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279DFAAF" w14:textId="77777777" w:rsidR="00EE59C2" w:rsidRPr="000322E4" w:rsidRDefault="00CA442F" w:rsidP="00CA442F">
      <w:pPr>
        <w:pStyle w:val="aff8"/>
      </w:pPr>
      <w:r w:rsidRPr="000322E4">
        <w:rPr>
          <w:noProof/>
          <w:lang w:eastAsia="ru-RU"/>
        </w:rPr>
        <mc:AlternateContent>
          <mc:Choice Requires="wps">
            <w:drawing>
              <wp:anchor distT="0" distB="0" distL="114300" distR="114300" simplePos="0" relativeHeight="251659264" behindDoc="1" locked="0" layoutInCell="1" allowOverlap="1" wp14:anchorId="6877B488" wp14:editId="5355C6CE">
                <wp:simplePos x="0" y="0"/>
                <wp:positionH relativeFrom="page">
                  <wp:posOffset>22225</wp:posOffset>
                </wp:positionH>
                <wp:positionV relativeFrom="paragraph">
                  <wp:posOffset>-705188</wp:posOffset>
                </wp:positionV>
                <wp:extent cx="7601585" cy="11021060"/>
                <wp:effectExtent l="0" t="0" r="0" b="8890"/>
                <wp:wrapNone/>
                <wp:docPr id="4"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1585" cy="11021060"/>
                        </a:xfrm>
                        <a:prstGeom prst="rect">
                          <a:avLst/>
                        </a:prstGeom>
                        <a:solidFill>
                          <a:srgbClr val="0B595D">
                            <a:alpha val="10000"/>
                          </a:srgbClr>
                        </a:solidFill>
                        <a:ln>
                          <a:noFill/>
                        </a:ln>
                      </wps:spPr>
                      <wps:style>
                        <a:lnRef idx="2">
                          <a:schemeClr val="accent1">
                            <a:shade val="50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F6F6EB" id="Прямоугольник 3" o:spid="_x0000_s1026" style="position:absolute;margin-left:1.75pt;margin-top:-55.55pt;width:598.55pt;height:867.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" fillcolor="#0b595d" stroked="f" strokeweight="1pt">
                <v:fill opacity="6682f"/>
                <v:path arrowok="t"/>
                <w10:wrap anchorx="page"/>
              </v:rect>
            </w:pict>
          </mc:Fallback>
        </mc:AlternateContent>
      </w:r>
      <w:r w:rsidR="00CC5156" w:rsidRPr="000322E4">
        <w:rPr>
          <w:noProof/>
          <w:lang w:eastAsia="ru-RU"/>
        </w:rPr>
        <mc:AlternateContent>
          <mc:Choice Requires="wps">
            <w:drawing>
              <wp:anchor distT="0" distB="0" distL="114300" distR="114300" simplePos="0" relativeHeight="251660288" behindDoc="1" locked="0" layoutInCell="1" allowOverlap="1" wp14:anchorId="1CB8C147" wp14:editId="76DB7E9B">
                <wp:simplePos x="0" y="0"/>
                <wp:positionH relativeFrom="column">
                  <wp:posOffset>-822960</wp:posOffset>
                </wp:positionH>
                <wp:positionV relativeFrom="paragraph">
                  <wp:posOffset>-491490</wp:posOffset>
                </wp:positionV>
                <wp:extent cx="7000875" cy="8448675"/>
                <wp:effectExtent l="0" t="0" r="9525" b="9525"/>
                <wp:wrapNone/>
                <wp:docPr id="2"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0875" cy="8448675"/>
                        </a:xfrm>
                        <a:prstGeom prst="rect">
                          <a:avLst/>
                        </a:prstGeom>
                        <a:solidFill>
                          <a:schemeClr val="bg1"/>
                        </a:solidFill>
                        <a:ln>
                          <a:noFill/>
                        </a:ln>
                      </wps:spPr>
                      <wps:style>
                        <a:lnRef idx="0">
                          <a:scrgbClr r="0" g="0" b="0"/>
                        </a:lnRef>
                        <a:fillRef idx="0">
                          <a:scrgbClr r="0" g="0" b="0"/>
                        </a:fillRef>
                        <a:effectRef idx="0">
                          <a:scrgbClr r="0" g="0" b="0"/>
                        </a:effectRef>
                        <a:fontRef idx="minor">
                          <a:schemeClr val="lt1"/>
                        </a:fontRef>
                      </wps:style>
                      <wps:txbx>
                        <w:txbxContent>
                          <w:p w14:paraId="2938D40B" w14:textId="77777777" w:rsidR="00F35A3E" w:rsidRDefault="00F35A3E" w:rsidP="00F8226D">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B8C147" id="Прямоугольник 3" o:spid="_x0000_s1026" style="position:absolute;left:0;text-align:left;margin-left:-64.8pt;margin-top:-38.7pt;width:551.25pt;height:66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" fillcolor="white [3212]" stroked="f">
                <v:textbox>
                  <w:txbxContent>
                    <w:p w14:paraId="2938D40B" w14:textId="77777777" w:rsidR="00F35A3E" w:rsidRDefault="00F35A3E" w:rsidP="00F8226D">
                      <w:pPr>
                        <w:jc w:val="center"/>
                      </w:pPr>
                      <w:r>
                        <w:t>\9</w:t>
                      </w:r>
                    </w:p>
                  </w:txbxContent>
                </v:textbox>
              </v:rect>
            </w:pict>
          </mc:Fallback>
        </mc:AlternateContent>
      </w:r>
    </w:p>
    <w:p w14:paraId="72A6C4F7" w14:textId="77777777" w:rsidR="00EE59C2" w:rsidRPr="000322E4" w:rsidRDefault="00EE59C2" w:rsidP="00CA442F">
      <w:pPr>
        <w:pStyle w:val="aff8"/>
      </w:pPr>
    </w:p>
    <w:p w14:paraId="02DF3D2F" w14:textId="77777777" w:rsidR="002145F1" w:rsidRPr="000322E4" w:rsidRDefault="002145F1" w:rsidP="00CA442F"/>
    <w:tbl>
      <w:tblPr>
        <w:tblStyle w:val="aff9"/>
        <w:tblpPr w:leftFromText="180" w:rightFromText="180" w:vertAnchor="page" w:horzAnchor="margin" w:tblpXSpec="right" w:tblpY="2391"/>
        <w:tblW w:w="9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839"/>
      </w:tblGrid>
      <w:tr w:rsidR="00CD01CE" w:rsidRPr="000322E4" w14:paraId="70F7BEBE" w14:textId="77777777" w:rsidTr="00CD01CE">
        <w:tc>
          <w:tcPr>
            <w:tcW w:w="9525" w:type="dxa"/>
            <w:gridSpan w:val="2"/>
          </w:tcPr>
          <w:p w14:paraId="493AD485" w14:textId="77777777" w:rsidR="00CD01CE" w:rsidRPr="000322E4" w:rsidRDefault="00CD01CE" w:rsidP="00CA442F">
            <w:pPr>
              <w:tabs>
                <w:tab w:val="left" w:pos="6135"/>
              </w:tabs>
              <w:rPr>
                <w:sz w:val="28"/>
                <w:szCs w:val="28"/>
              </w:rPr>
            </w:pPr>
            <w:r w:rsidRPr="000322E4">
              <w:rPr>
                <w:color w:val="808080" w:themeColor="background1" w:themeShade="80"/>
              </w:rPr>
              <w:t xml:space="preserve">Клинические </w:t>
            </w:r>
            <w:r w:rsidRPr="000322E4">
              <w:rPr>
                <w:noProof/>
                <w:color w:val="767171" w:themeColor="background2" w:themeShade="80"/>
              </w:rPr>
              <w:t>рекомендации</w:t>
            </w:r>
          </w:p>
        </w:tc>
      </w:tr>
      <w:tr w:rsidR="00CD01CE" w:rsidRPr="000322E4" w14:paraId="37962056" w14:textId="77777777" w:rsidTr="00CD01CE">
        <w:trPr>
          <w:trHeight w:val="1907"/>
        </w:trPr>
        <w:tc>
          <w:tcPr>
            <w:tcW w:w="9525" w:type="dxa"/>
            <w:gridSpan w:val="2"/>
          </w:tcPr>
          <w:p w14:paraId="6B5D7A5A" w14:textId="77777777" w:rsidR="00CD01CE" w:rsidRPr="000322E4" w:rsidRDefault="00CD01CE" w:rsidP="00CA442F">
            <w:pPr>
              <w:tabs>
                <w:tab w:val="left" w:pos="6135"/>
              </w:tabs>
              <w:rPr>
                <w:b/>
                <w:color w:val="000000"/>
                <w:sz w:val="36"/>
              </w:rPr>
            </w:pPr>
            <w:r w:rsidRPr="000322E4">
              <w:rPr>
                <w:b/>
                <w:color w:val="000000"/>
                <w:sz w:val="36"/>
              </w:rPr>
              <w:t>Агрессивные нефолликулярные лимфомы – диффузная крупноклеточная В-клеточная лимфома, первичная медиастинальная В-клеточная лимфома, лимфома Беркитта</w:t>
            </w:r>
          </w:p>
          <w:p w14:paraId="7C2BCE4B" w14:textId="77777777" w:rsidR="00CD01CE" w:rsidRPr="000322E4" w:rsidRDefault="00CD01CE" w:rsidP="00CA442F">
            <w:pPr>
              <w:tabs>
                <w:tab w:val="left" w:pos="6135"/>
              </w:tabs>
              <w:rPr>
                <w:sz w:val="28"/>
                <w:szCs w:val="28"/>
              </w:rPr>
            </w:pPr>
          </w:p>
        </w:tc>
      </w:tr>
      <w:tr w:rsidR="00CD01CE" w:rsidRPr="000322E4" w14:paraId="475D31C4" w14:textId="77777777" w:rsidTr="00CD01CE">
        <w:trPr>
          <w:trHeight w:val="815"/>
        </w:trPr>
        <w:tc>
          <w:tcPr>
            <w:tcW w:w="3686" w:type="dxa"/>
          </w:tcPr>
          <w:p w14:paraId="15635E48" w14:textId="77777777" w:rsidR="00CD01CE" w:rsidRPr="000322E4" w:rsidRDefault="00CD01CE" w:rsidP="00CA442F">
            <w:pPr>
              <w:tabs>
                <w:tab w:val="left" w:pos="6135"/>
              </w:tabs>
              <w:rPr>
                <w:szCs w:val="28"/>
              </w:rPr>
            </w:pPr>
            <w:r w:rsidRPr="000322E4">
              <w:rPr>
                <w:color w:val="808080" w:themeColor="background1" w:themeShade="80"/>
                <w:szCs w:val="28"/>
              </w:rPr>
              <w:t xml:space="preserve">Кодирование по Международной статистической классификации болезней и проблем, связанных со здоровьем: </w:t>
            </w:r>
          </w:p>
          <w:p w14:paraId="2024BE3C" w14:textId="77777777" w:rsidR="00CD01CE" w:rsidRPr="000322E4" w:rsidRDefault="00CD01CE" w:rsidP="00CA442F">
            <w:pPr>
              <w:pStyle w:val="aff4"/>
              <w:ind w:firstLine="0"/>
              <w:jc w:val="left"/>
              <w:rPr>
                <w:sz w:val="24"/>
                <w:szCs w:val="28"/>
              </w:rPr>
            </w:pPr>
          </w:p>
        </w:tc>
        <w:tc>
          <w:tcPr>
            <w:tcW w:w="5839" w:type="dxa"/>
          </w:tcPr>
          <w:p w14:paraId="3CA2C19D" w14:textId="77777777" w:rsidR="00CD01CE" w:rsidRPr="000322E4" w:rsidRDefault="00CD01CE" w:rsidP="00CA442F">
            <w:pPr>
              <w:tabs>
                <w:tab w:val="left" w:pos="6135"/>
              </w:tabs>
              <w:rPr>
                <w:szCs w:val="28"/>
              </w:rPr>
            </w:pPr>
          </w:p>
          <w:p w14:paraId="4AEA7841" w14:textId="77777777" w:rsidR="00CD01CE" w:rsidRPr="000322E4" w:rsidRDefault="00CD01CE" w:rsidP="00CA442F">
            <w:pPr>
              <w:tabs>
                <w:tab w:val="left" w:pos="6135"/>
              </w:tabs>
              <w:rPr>
                <w:szCs w:val="28"/>
              </w:rPr>
            </w:pPr>
          </w:p>
          <w:p w14:paraId="201435C0" w14:textId="77777777" w:rsidR="00CD01CE" w:rsidRPr="000322E4" w:rsidRDefault="00CD01CE" w:rsidP="00CA442F">
            <w:pPr>
              <w:tabs>
                <w:tab w:val="left" w:pos="6135"/>
              </w:tabs>
              <w:rPr>
                <w:szCs w:val="28"/>
              </w:rPr>
            </w:pPr>
          </w:p>
          <w:p w14:paraId="425EBBF3" w14:textId="77777777" w:rsidR="00CD01CE" w:rsidRPr="000322E4" w:rsidRDefault="00CD01CE" w:rsidP="00CA442F">
            <w:pPr>
              <w:tabs>
                <w:tab w:val="left" w:pos="6135"/>
              </w:tabs>
              <w:rPr>
                <w:b/>
                <w:bCs/>
                <w:szCs w:val="28"/>
              </w:rPr>
            </w:pPr>
            <w:r w:rsidRPr="000322E4">
              <w:rPr>
                <w:rStyle w:val="pop-slug-vol"/>
              </w:rPr>
              <w:t>С83.3, С83.7, С85.2, С91.8</w:t>
            </w:r>
          </w:p>
        </w:tc>
      </w:tr>
      <w:tr w:rsidR="00CD01CE" w:rsidRPr="000322E4" w14:paraId="594B0789" w14:textId="77777777" w:rsidTr="00CD01CE">
        <w:trPr>
          <w:trHeight w:val="815"/>
        </w:trPr>
        <w:tc>
          <w:tcPr>
            <w:tcW w:w="3686" w:type="dxa"/>
          </w:tcPr>
          <w:p w14:paraId="5D4B19E6" w14:textId="77777777" w:rsidR="00CD01CE" w:rsidRPr="000322E4" w:rsidRDefault="00CD01CE" w:rsidP="00CA442F">
            <w:pPr>
              <w:tabs>
                <w:tab w:val="left" w:pos="6135"/>
              </w:tabs>
              <w:rPr>
                <w:color w:val="808080" w:themeColor="background1" w:themeShade="80"/>
                <w:szCs w:val="28"/>
              </w:rPr>
            </w:pPr>
            <w:r w:rsidRPr="000322E4">
              <w:rPr>
                <w:rStyle w:val="pop-slug-vol"/>
                <w:color w:val="767171" w:themeColor="background2" w:themeShade="80"/>
                <w:szCs w:val="28"/>
              </w:rPr>
              <w:t>Возрастная группа:</w:t>
            </w:r>
            <w:r w:rsidRPr="000322E4">
              <w:rPr>
                <w:rStyle w:val="pop-slug-vol"/>
                <w:b/>
                <w:color w:val="767171" w:themeColor="background2" w:themeShade="80"/>
                <w:szCs w:val="28"/>
              </w:rPr>
              <w:t xml:space="preserve"> </w:t>
            </w:r>
            <w:r w:rsidRPr="000322E4">
              <w:rPr>
                <w:szCs w:val="28"/>
              </w:rPr>
              <w:t xml:space="preserve"> </w:t>
            </w:r>
          </w:p>
        </w:tc>
        <w:tc>
          <w:tcPr>
            <w:tcW w:w="5839" w:type="dxa"/>
          </w:tcPr>
          <w:p w14:paraId="252D6366" w14:textId="77777777" w:rsidR="00CD01CE" w:rsidRPr="000322E4" w:rsidRDefault="00CD01CE" w:rsidP="00CA442F">
            <w:pPr>
              <w:tabs>
                <w:tab w:val="left" w:pos="6135"/>
              </w:tabs>
              <w:rPr>
                <w:color w:val="808080" w:themeColor="background1" w:themeShade="80"/>
                <w:szCs w:val="28"/>
              </w:rPr>
            </w:pPr>
            <w:r w:rsidRPr="000322E4">
              <w:rPr>
                <w:b/>
                <w:bCs/>
                <w:szCs w:val="28"/>
              </w:rPr>
              <w:t>Взрослые, дети</w:t>
            </w:r>
          </w:p>
        </w:tc>
      </w:tr>
      <w:tr w:rsidR="00CD01CE" w:rsidRPr="000322E4" w14:paraId="2C95E366" w14:textId="77777777" w:rsidTr="00CD01CE">
        <w:trPr>
          <w:trHeight w:val="815"/>
        </w:trPr>
        <w:tc>
          <w:tcPr>
            <w:tcW w:w="3686" w:type="dxa"/>
          </w:tcPr>
          <w:p w14:paraId="2E6CF78D" w14:textId="77777777" w:rsidR="00CD01CE" w:rsidRPr="000322E4" w:rsidRDefault="00CD01CE" w:rsidP="00CA442F">
            <w:pPr>
              <w:tabs>
                <w:tab w:val="left" w:pos="6135"/>
              </w:tabs>
              <w:rPr>
                <w:color w:val="808080" w:themeColor="background1" w:themeShade="80"/>
                <w:szCs w:val="28"/>
              </w:rPr>
            </w:pPr>
            <w:r w:rsidRPr="000322E4">
              <w:rPr>
                <w:color w:val="808080" w:themeColor="background1" w:themeShade="80"/>
              </w:rPr>
              <w:t>Год утверждения:</w:t>
            </w:r>
          </w:p>
        </w:tc>
        <w:tc>
          <w:tcPr>
            <w:tcW w:w="5839" w:type="dxa"/>
          </w:tcPr>
          <w:p w14:paraId="25619B77" w14:textId="5240478E" w:rsidR="00CD01CE" w:rsidRPr="000322E4" w:rsidRDefault="00CD01CE" w:rsidP="00CA442F">
            <w:pPr>
              <w:tabs>
                <w:tab w:val="left" w:pos="6135"/>
              </w:tabs>
              <w:rPr>
                <w:b/>
              </w:rPr>
            </w:pPr>
          </w:p>
        </w:tc>
      </w:tr>
      <w:tr w:rsidR="00CD01CE" w:rsidRPr="000322E4" w14:paraId="23AF11EF" w14:textId="77777777" w:rsidTr="00CD01CE">
        <w:tc>
          <w:tcPr>
            <w:tcW w:w="9525" w:type="dxa"/>
            <w:gridSpan w:val="2"/>
          </w:tcPr>
          <w:p w14:paraId="0D417841" w14:textId="77777777" w:rsidR="00CD01CE" w:rsidRPr="000322E4" w:rsidRDefault="00CD01CE" w:rsidP="00CA442F">
            <w:pPr>
              <w:tabs>
                <w:tab w:val="left" w:pos="6135"/>
              </w:tabs>
              <w:rPr>
                <w:color w:val="FF0000"/>
                <w:sz w:val="20"/>
                <w:szCs w:val="20"/>
              </w:rPr>
            </w:pPr>
            <w:r w:rsidRPr="000322E4">
              <w:rPr>
                <w:color w:val="808080" w:themeColor="background1" w:themeShade="80"/>
              </w:rPr>
              <w:t>Разработчик клинической рекомендации:</w:t>
            </w:r>
            <w:r w:rsidRPr="000322E4">
              <w:rPr>
                <w:color w:val="FF0000"/>
                <w:sz w:val="20"/>
                <w:szCs w:val="20"/>
              </w:rPr>
              <w:t xml:space="preserve"> </w:t>
            </w:r>
          </w:p>
        </w:tc>
      </w:tr>
      <w:tr w:rsidR="00CD01CE" w:rsidRPr="000322E4" w14:paraId="1ED3BA39" w14:textId="77777777" w:rsidTr="00CD01CE">
        <w:trPr>
          <w:trHeight w:val="4170"/>
        </w:trPr>
        <w:tc>
          <w:tcPr>
            <w:tcW w:w="9525" w:type="dxa"/>
            <w:gridSpan w:val="2"/>
          </w:tcPr>
          <w:p w14:paraId="0E4FB9C5" w14:textId="77777777" w:rsidR="00CD01CE" w:rsidRPr="000322E4" w:rsidRDefault="00CD01CE" w:rsidP="00CA442F">
            <w:pPr>
              <w:pStyle w:val="aff8"/>
              <w:numPr>
                <w:ilvl w:val="0"/>
                <w:numId w:val="2"/>
              </w:numPr>
              <w:rPr>
                <w:b/>
                <w:sz w:val="28"/>
              </w:rPr>
            </w:pPr>
            <w:r w:rsidRPr="000322E4">
              <w:t>Ассоциация онкологов России</w:t>
            </w:r>
          </w:p>
          <w:p w14:paraId="23967A08" w14:textId="77777777" w:rsidR="00CD01CE" w:rsidRPr="000322E4" w:rsidRDefault="00CD01CE" w:rsidP="00CA442F">
            <w:pPr>
              <w:pStyle w:val="aff8"/>
              <w:numPr>
                <w:ilvl w:val="0"/>
                <w:numId w:val="2"/>
              </w:numPr>
            </w:pPr>
            <w:r w:rsidRPr="000322E4">
              <w:t>Российское общество онкогематологов</w:t>
            </w:r>
          </w:p>
          <w:p w14:paraId="5ED458F9" w14:textId="77777777" w:rsidR="00CD01CE" w:rsidRPr="000322E4" w:rsidRDefault="00CD01CE" w:rsidP="00CA442F">
            <w:pPr>
              <w:pStyle w:val="aff8"/>
              <w:numPr>
                <w:ilvl w:val="0"/>
                <w:numId w:val="2"/>
              </w:numPr>
              <w:rPr>
                <w:b/>
                <w:sz w:val="28"/>
              </w:rPr>
            </w:pPr>
            <w:r w:rsidRPr="000322E4">
              <w:t>Национальное гематологическое общество</w:t>
            </w:r>
          </w:p>
          <w:p w14:paraId="13664105" w14:textId="77777777" w:rsidR="00CD01CE" w:rsidRPr="000322E4" w:rsidRDefault="00CD01CE" w:rsidP="00CA442F">
            <w:pPr>
              <w:pStyle w:val="aff8"/>
              <w:numPr>
                <w:ilvl w:val="0"/>
                <w:numId w:val="2"/>
              </w:numPr>
              <w:rPr>
                <w:b/>
                <w:sz w:val="28"/>
              </w:rPr>
            </w:pPr>
            <w:r w:rsidRPr="000322E4">
              <w:t>Национальное общество детских гематологов и онкологов</w:t>
            </w:r>
          </w:p>
          <w:p w14:paraId="54D91A42" w14:textId="77777777" w:rsidR="00CD01CE" w:rsidRPr="000322E4" w:rsidRDefault="00CD01CE" w:rsidP="00CA442F">
            <w:pPr>
              <w:pStyle w:val="aff8"/>
              <w:rPr>
                <w:b/>
                <w:sz w:val="28"/>
              </w:rPr>
            </w:pPr>
          </w:p>
          <w:p w14:paraId="27D12DB8" w14:textId="77777777" w:rsidR="00CD01CE" w:rsidRPr="000322E4" w:rsidRDefault="00CD01CE" w:rsidP="00CA442F">
            <w:pPr>
              <w:pStyle w:val="aff8"/>
              <w:ind w:firstLine="0"/>
              <w:rPr>
                <w:b/>
                <w:sz w:val="28"/>
              </w:rPr>
            </w:pPr>
          </w:p>
        </w:tc>
      </w:tr>
    </w:tbl>
    <w:p w14:paraId="3B9BD009" w14:textId="77777777" w:rsidR="002145F1" w:rsidRPr="000322E4" w:rsidRDefault="002145F1" w:rsidP="00CA442F"/>
    <w:p w14:paraId="6388AD01" w14:textId="77777777" w:rsidR="002145F1" w:rsidRPr="000322E4" w:rsidRDefault="002145F1" w:rsidP="00CA442F"/>
    <w:p w14:paraId="0D61E100" w14:textId="77777777" w:rsidR="002145F1" w:rsidRPr="000322E4" w:rsidRDefault="002145F1" w:rsidP="00CA442F"/>
    <w:bookmarkStart w:id="1" w:name="_Toc492379891" w:displacedByCustomXml="next"/>
    <w:sdt>
      <w:sdtPr>
        <w:rPr>
          <w:rFonts w:eastAsia="Times New Roman" w:cstheme="minorBidi"/>
          <w:b w:val="0"/>
          <w:szCs w:val="22"/>
          <w:u w:val="none"/>
          <w:lang w:eastAsia="ru-RU"/>
        </w:rPr>
        <w:id w:val="-606890957"/>
        <w:docPartObj>
          <w:docPartGallery w:val="Table of Contents"/>
          <w:docPartUnique/>
        </w:docPartObj>
      </w:sdtPr>
      <w:sdtEndPr>
        <w:rPr>
          <w:rFonts w:cs="Times New Roman"/>
          <w:bCs/>
          <w:szCs w:val="24"/>
        </w:rPr>
      </w:sdtEndPr>
      <w:sdtContent>
        <w:p w14:paraId="7F01641C" w14:textId="77777777" w:rsidR="00094ED6" w:rsidRPr="000322E4" w:rsidRDefault="00094ED6" w:rsidP="00CA442F">
          <w:pPr>
            <w:pStyle w:val="aff"/>
            <w:spacing w:before="0" w:line="360" w:lineRule="auto"/>
            <w:rPr>
              <w:rFonts w:cstheme="minorBidi"/>
              <w:b w:val="0"/>
              <w:szCs w:val="22"/>
              <w:u w:val="none"/>
            </w:rPr>
          </w:pPr>
        </w:p>
        <w:p w14:paraId="736A7F54" w14:textId="77777777" w:rsidR="00172112" w:rsidRPr="000322E4" w:rsidRDefault="00172112" w:rsidP="00CA442F">
          <w:pPr>
            <w:pStyle w:val="afff2"/>
          </w:pPr>
          <w:bookmarkStart w:id="2" w:name="_Toc66096806"/>
          <w:r w:rsidRPr="000322E4">
            <w:lastRenderedPageBreak/>
            <w:t>Оглавление</w:t>
          </w:r>
          <w:bookmarkEnd w:id="1"/>
          <w:bookmarkEnd w:id="2"/>
        </w:p>
        <w:p w14:paraId="0E672F85" w14:textId="28054458" w:rsidR="0094088A" w:rsidRDefault="00172112">
          <w:pPr>
            <w:pStyle w:val="1a"/>
            <w:rPr>
              <w:rFonts w:asciiTheme="minorHAnsi" w:eastAsiaTheme="minorEastAsia" w:hAnsiTheme="minorHAnsi"/>
              <w:noProof/>
              <w:szCs w:val="24"/>
              <w:lang w:eastAsia="ru-RU"/>
            </w:rPr>
          </w:pPr>
          <w:r w:rsidRPr="000322E4">
            <w:rPr>
              <w:rFonts w:cs="Times New Roman"/>
              <w:szCs w:val="24"/>
            </w:rPr>
            <w:fldChar w:fldCharType="begin"/>
          </w:r>
          <w:r w:rsidRPr="000322E4">
            <w:rPr>
              <w:rFonts w:cs="Times New Roman"/>
              <w:szCs w:val="24"/>
            </w:rPr>
            <w:instrText xml:space="preserve"> TOC \o "1-3" \h \z \u </w:instrText>
          </w:r>
          <w:r w:rsidRPr="000322E4">
            <w:rPr>
              <w:rFonts w:cs="Times New Roman"/>
              <w:szCs w:val="24"/>
            </w:rPr>
            <w:fldChar w:fldCharType="separate"/>
          </w:r>
          <w:hyperlink w:anchor="_Toc66096806" w:history="1">
            <w:r w:rsidR="0094088A" w:rsidRPr="00AA4760">
              <w:rPr>
                <w:rStyle w:val="affd"/>
                <w:noProof/>
              </w:rPr>
              <w:t>Оглавление</w:t>
            </w:r>
            <w:r w:rsidR="0094088A">
              <w:rPr>
                <w:noProof/>
                <w:webHidden/>
              </w:rPr>
              <w:tab/>
            </w:r>
            <w:r w:rsidR="0094088A">
              <w:rPr>
                <w:noProof/>
                <w:webHidden/>
              </w:rPr>
              <w:fldChar w:fldCharType="begin"/>
            </w:r>
            <w:r w:rsidR="0094088A">
              <w:rPr>
                <w:noProof/>
                <w:webHidden/>
              </w:rPr>
              <w:instrText xml:space="preserve"> PAGEREF _Toc66096806 \h </w:instrText>
            </w:r>
            <w:r w:rsidR="0094088A">
              <w:rPr>
                <w:noProof/>
                <w:webHidden/>
              </w:rPr>
            </w:r>
            <w:r w:rsidR="0094088A">
              <w:rPr>
                <w:noProof/>
                <w:webHidden/>
              </w:rPr>
              <w:fldChar w:fldCharType="separate"/>
            </w:r>
            <w:r w:rsidR="0094088A">
              <w:rPr>
                <w:noProof/>
                <w:webHidden/>
              </w:rPr>
              <w:t>2</w:t>
            </w:r>
            <w:r w:rsidR="0094088A">
              <w:rPr>
                <w:noProof/>
                <w:webHidden/>
              </w:rPr>
              <w:fldChar w:fldCharType="end"/>
            </w:r>
          </w:hyperlink>
        </w:p>
        <w:p w14:paraId="2796B5EB" w14:textId="3D3053E0" w:rsidR="0094088A" w:rsidRDefault="00A679EB">
          <w:pPr>
            <w:pStyle w:val="1a"/>
            <w:rPr>
              <w:rFonts w:asciiTheme="minorHAnsi" w:eastAsiaTheme="minorEastAsia" w:hAnsiTheme="minorHAnsi"/>
              <w:noProof/>
              <w:szCs w:val="24"/>
              <w:lang w:eastAsia="ru-RU"/>
            </w:rPr>
          </w:pPr>
          <w:hyperlink w:anchor="_Toc66096807" w:history="1">
            <w:r w:rsidR="0094088A" w:rsidRPr="00AA4760">
              <w:rPr>
                <w:rStyle w:val="affd"/>
                <w:noProof/>
              </w:rPr>
              <w:t>Список сокращений</w:t>
            </w:r>
            <w:r w:rsidR="0094088A">
              <w:rPr>
                <w:noProof/>
                <w:webHidden/>
              </w:rPr>
              <w:tab/>
            </w:r>
            <w:r w:rsidR="0094088A">
              <w:rPr>
                <w:noProof/>
                <w:webHidden/>
              </w:rPr>
              <w:fldChar w:fldCharType="begin"/>
            </w:r>
            <w:r w:rsidR="0094088A">
              <w:rPr>
                <w:noProof/>
                <w:webHidden/>
              </w:rPr>
              <w:instrText xml:space="preserve"> PAGEREF _Toc66096807 \h </w:instrText>
            </w:r>
            <w:r w:rsidR="0094088A">
              <w:rPr>
                <w:noProof/>
                <w:webHidden/>
              </w:rPr>
            </w:r>
            <w:r w:rsidR="0094088A">
              <w:rPr>
                <w:noProof/>
                <w:webHidden/>
              </w:rPr>
              <w:fldChar w:fldCharType="separate"/>
            </w:r>
            <w:r w:rsidR="0094088A">
              <w:rPr>
                <w:noProof/>
                <w:webHidden/>
              </w:rPr>
              <w:t>5</w:t>
            </w:r>
            <w:r w:rsidR="0094088A">
              <w:rPr>
                <w:noProof/>
                <w:webHidden/>
              </w:rPr>
              <w:fldChar w:fldCharType="end"/>
            </w:r>
          </w:hyperlink>
        </w:p>
        <w:p w14:paraId="5BCDBF7A" w14:textId="349C1065" w:rsidR="0094088A" w:rsidRDefault="00A679EB">
          <w:pPr>
            <w:pStyle w:val="1a"/>
            <w:rPr>
              <w:rFonts w:asciiTheme="minorHAnsi" w:eastAsiaTheme="minorEastAsia" w:hAnsiTheme="minorHAnsi"/>
              <w:noProof/>
              <w:szCs w:val="24"/>
              <w:lang w:eastAsia="ru-RU"/>
            </w:rPr>
          </w:pPr>
          <w:hyperlink w:anchor="_Toc66096808" w:history="1">
            <w:r w:rsidR="0094088A" w:rsidRPr="00AA4760">
              <w:rPr>
                <w:rStyle w:val="affd"/>
                <w:noProof/>
              </w:rPr>
              <w:t>Термины и определения</w:t>
            </w:r>
            <w:r w:rsidR="0094088A">
              <w:rPr>
                <w:noProof/>
                <w:webHidden/>
              </w:rPr>
              <w:tab/>
            </w:r>
            <w:r w:rsidR="0094088A">
              <w:rPr>
                <w:noProof/>
                <w:webHidden/>
              </w:rPr>
              <w:fldChar w:fldCharType="begin"/>
            </w:r>
            <w:r w:rsidR="0094088A">
              <w:rPr>
                <w:noProof/>
                <w:webHidden/>
              </w:rPr>
              <w:instrText xml:space="preserve"> PAGEREF _Toc66096808 \h </w:instrText>
            </w:r>
            <w:r w:rsidR="0094088A">
              <w:rPr>
                <w:noProof/>
                <w:webHidden/>
              </w:rPr>
            </w:r>
            <w:r w:rsidR="0094088A">
              <w:rPr>
                <w:noProof/>
                <w:webHidden/>
              </w:rPr>
              <w:fldChar w:fldCharType="separate"/>
            </w:r>
            <w:r w:rsidR="0094088A">
              <w:rPr>
                <w:noProof/>
                <w:webHidden/>
              </w:rPr>
              <w:t>7</w:t>
            </w:r>
            <w:r w:rsidR="0094088A">
              <w:rPr>
                <w:noProof/>
                <w:webHidden/>
              </w:rPr>
              <w:fldChar w:fldCharType="end"/>
            </w:r>
          </w:hyperlink>
        </w:p>
        <w:p w14:paraId="7F37939E" w14:textId="18F859BD" w:rsidR="0094088A" w:rsidRDefault="00A679EB">
          <w:pPr>
            <w:pStyle w:val="1a"/>
            <w:rPr>
              <w:rFonts w:asciiTheme="minorHAnsi" w:eastAsiaTheme="minorEastAsia" w:hAnsiTheme="minorHAnsi"/>
              <w:noProof/>
              <w:szCs w:val="24"/>
              <w:lang w:eastAsia="ru-RU"/>
            </w:rPr>
          </w:pPr>
          <w:hyperlink w:anchor="_Toc66096809" w:history="1">
            <w:r w:rsidR="0094088A" w:rsidRPr="00AA4760">
              <w:rPr>
                <w:rStyle w:val="affd"/>
                <w:noProof/>
              </w:rPr>
              <w:t>1. Краткая информация по заболеванию или состоянию (группе заболеваний или состояний)</w:t>
            </w:r>
            <w:r w:rsidR="0094088A">
              <w:rPr>
                <w:noProof/>
                <w:webHidden/>
              </w:rPr>
              <w:tab/>
            </w:r>
            <w:r w:rsidR="0094088A">
              <w:rPr>
                <w:noProof/>
                <w:webHidden/>
              </w:rPr>
              <w:fldChar w:fldCharType="begin"/>
            </w:r>
            <w:r w:rsidR="0094088A">
              <w:rPr>
                <w:noProof/>
                <w:webHidden/>
              </w:rPr>
              <w:instrText xml:space="preserve"> PAGEREF _Toc66096809 \h </w:instrText>
            </w:r>
            <w:r w:rsidR="0094088A">
              <w:rPr>
                <w:noProof/>
                <w:webHidden/>
              </w:rPr>
            </w:r>
            <w:r w:rsidR="0094088A">
              <w:rPr>
                <w:noProof/>
                <w:webHidden/>
              </w:rPr>
              <w:fldChar w:fldCharType="separate"/>
            </w:r>
            <w:r w:rsidR="0094088A">
              <w:rPr>
                <w:noProof/>
                <w:webHidden/>
              </w:rPr>
              <w:t>8</w:t>
            </w:r>
            <w:r w:rsidR="0094088A">
              <w:rPr>
                <w:noProof/>
                <w:webHidden/>
              </w:rPr>
              <w:fldChar w:fldCharType="end"/>
            </w:r>
          </w:hyperlink>
        </w:p>
        <w:p w14:paraId="12270E9C" w14:textId="0DFA4643" w:rsidR="0094088A" w:rsidRDefault="00A679EB">
          <w:pPr>
            <w:pStyle w:val="21"/>
            <w:rPr>
              <w:rFonts w:asciiTheme="minorHAnsi" w:eastAsiaTheme="minorEastAsia" w:hAnsiTheme="minorHAnsi" w:cstheme="minorBidi"/>
              <w:noProof/>
              <w:sz w:val="24"/>
              <w:szCs w:val="24"/>
              <w:lang w:eastAsia="ru-RU"/>
            </w:rPr>
          </w:pPr>
          <w:hyperlink w:anchor="_Toc66096810" w:history="1">
            <w:r w:rsidR="0094088A" w:rsidRPr="00AA4760">
              <w:rPr>
                <w:rStyle w:val="affd"/>
                <w:noProof/>
              </w:rPr>
              <w:t xml:space="preserve">1.1 Определение </w:t>
            </w:r>
            <w:r w:rsidR="0094088A" w:rsidRPr="00AA4760">
              <w:rPr>
                <w:rStyle w:val="affd"/>
                <w:noProof/>
                <w:shd w:val="clear" w:color="auto" w:fill="FFFFFF"/>
              </w:rPr>
              <w:t>заболевания или состояния (группы заболеваний или состояний)</w:t>
            </w:r>
            <w:r w:rsidR="0094088A">
              <w:rPr>
                <w:noProof/>
                <w:webHidden/>
              </w:rPr>
              <w:tab/>
            </w:r>
            <w:r w:rsidR="0094088A">
              <w:rPr>
                <w:noProof/>
                <w:webHidden/>
              </w:rPr>
              <w:fldChar w:fldCharType="begin"/>
            </w:r>
            <w:r w:rsidR="0094088A">
              <w:rPr>
                <w:noProof/>
                <w:webHidden/>
              </w:rPr>
              <w:instrText xml:space="preserve"> PAGEREF _Toc66096810 \h </w:instrText>
            </w:r>
            <w:r w:rsidR="0094088A">
              <w:rPr>
                <w:noProof/>
                <w:webHidden/>
              </w:rPr>
            </w:r>
            <w:r w:rsidR="0094088A">
              <w:rPr>
                <w:noProof/>
                <w:webHidden/>
              </w:rPr>
              <w:fldChar w:fldCharType="separate"/>
            </w:r>
            <w:r w:rsidR="0094088A">
              <w:rPr>
                <w:noProof/>
                <w:webHidden/>
              </w:rPr>
              <w:t>8</w:t>
            </w:r>
            <w:r w:rsidR="0094088A">
              <w:rPr>
                <w:noProof/>
                <w:webHidden/>
              </w:rPr>
              <w:fldChar w:fldCharType="end"/>
            </w:r>
          </w:hyperlink>
        </w:p>
        <w:p w14:paraId="7F683409" w14:textId="74BE6BE4" w:rsidR="0094088A" w:rsidRDefault="00A679EB">
          <w:pPr>
            <w:pStyle w:val="21"/>
            <w:rPr>
              <w:rFonts w:asciiTheme="minorHAnsi" w:eastAsiaTheme="minorEastAsia" w:hAnsiTheme="minorHAnsi" w:cstheme="minorBidi"/>
              <w:noProof/>
              <w:sz w:val="24"/>
              <w:szCs w:val="24"/>
              <w:lang w:eastAsia="ru-RU"/>
            </w:rPr>
          </w:pPr>
          <w:hyperlink w:anchor="_Toc66096811" w:history="1">
            <w:r w:rsidR="0094088A" w:rsidRPr="00AA4760">
              <w:rPr>
                <w:rStyle w:val="affd"/>
                <w:noProof/>
              </w:rPr>
              <w:t xml:space="preserve">1.2 Этиология и патогенез </w:t>
            </w:r>
            <w:r w:rsidR="0094088A" w:rsidRPr="00AA4760">
              <w:rPr>
                <w:rStyle w:val="affd"/>
                <w:noProof/>
                <w:shd w:val="clear" w:color="auto" w:fill="FFFFFF"/>
              </w:rPr>
              <w:t>заболевания или состояния (группы заболеваний или состояний)</w:t>
            </w:r>
            <w:r w:rsidR="0094088A">
              <w:rPr>
                <w:noProof/>
                <w:webHidden/>
              </w:rPr>
              <w:tab/>
            </w:r>
            <w:r w:rsidR="0094088A">
              <w:rPr>
                <w:noProof/>
                <w:webHidden/>
              </w:rPr>
              <w:fldChar w:fldCharType="begin"/>
            </w:r>
            <w:r w:rsidR="0094088A">
              <w:rPr>
                <w:noProof/>
                <w:webHidden/>
              </w:rPr>
              <w:instrText xml:space="preserve"> PAGEREF _Toc66096811 \h </w:instrText>
            </w:r>
            <w:r w:rsidR="0094088A">
              <w:rPr>
                <w:noProof/>
                <w:webHidden/>
              </w:rPr>
            </w:r>
            <w:r w:rsidR="0094088A">
              <w:rPr>
                <w:noProof/>
                <w:webHidden/>
              </w:rPr>
              <w:fldChar w:fldCharType="separate"/>
            </w:r>
            <w:r w:rsidR="0094088A">
              <w:rPr>
                <w:noProof/>
                <w:webHidden/>
              </w:rPr>
              <w:t>8</w:t>
            </w:r>
            <w:r w:rsidR="0094088A">
              <w:rPr>
                <w:noProof/>
                <w:webHidden/>
              </w:rPr>
              <w:fldChar w:fldCharType="end"/>
            </w:r>
          </w:hyperlink>
        </w:p>
        <w:p w14:paraId="5BA13467" w14:textId="3A504742" w:rsidR="0094088A" w:rsidRDefault="00A679EB">
          <w:pPr>
            <w:pStyle w:val="21"/>
            <w:rPr>
              <w:rFonts w:asciiTheme="minorHAnsi" w:eastAsiaTheme="minorEastAsia" w:hAnsiTheme="minorHAnsi" w:cstheme="minorBidi"/>
              <w:noProof/>
              <w:sz w:val="24"/>
              <w:szCs w:val="24"/>
              <w:lang w:eastAsia="ru-RU"/>
            </w:rPr>
          </w:pPr>
          <w:hyperlink w:anchor="_Toc66096812" w:history="1">
            <w:r w:rsidR="0094088A" w:rsidRPr="00AA4760">
              <w:rPr>
                <w:rStyle w:val="affd"/>
                <w:noProof/>
              </w:rPr>
              <w:t xml:space="preserve">1.3 Эпидемиология </w:t>
            </w:r>
            <w:r w:rsidR="0094088A" w:rsidRPr="00AA4760">
              <w:rPr>
                <w:rStyle w:val="affd"/>
                <w:noProof/>
                <w:shd w:val="clear" w:color="auto" w:fill="FFFFFF"/>
              </w:rPr>
              <w:t>заболевания или состояния (группы заболеваний или состояний)</w:t>
            </w:r>
            <w:r w:rsidR="0094088A">
              <w:rPr>
                <w:noProof/>
                <w:webHidden/>
              </w:rPr>
              <w:tab/>
            </w:r>
            <w:r w:rsidR="0094088A">
              <w:rPr>
                <w:noProof/>
                <w:webHidden/>
              </w:rPr>
              <w:fldChar w:fldCharType="begin"/>
            </w:r>
            <w:r w:rsidR="0094088A">
              <w:rPr>
                <w:noProof/>
                <w:webHidden/>
              </w:rPr>
              <w:instrText xml:space="preserve"> PAGEREF _Toc66096812 \h </w:instrText>
            </w:r>
            <w:r w:rsidR="0094088A">
              <w:rPr>
                <w:noProof/>
                <w:webHidden/>
              </w:rPr>
            </w:r>
            <w:r w:rsidR="0094088A">
              <w:rPr>
                <w:noProof/>
                <w:webHidden/>
              </w:rPr>
              <w:fldChar w:fldCharType="separate"/>
            </w:r>
            <w:r w:rsidR="0094088A">
              <w:rPr>
                <w:noProof/>
                <w:webHidden/>
              </w:rPr>
              <w:t>10</w:t>
            </w:r>
            <w:r w:rsidR="0094088A">
              <w:rPr>
                <w:noProof/>
                <w:webHidden/>
              </w:rPr>
              <w:fldChar w:fldCharType="end"/>
            </w:r>
          </w:hyperlink>
        </w:p>
        <w:p w14:paraId="52644C6D" w14:textId="0A100FDC" w:rsidR="0094088A" w:rsidRDefault="00A679EB">
          <w:pPr>
            <w:pStyle w:val="21"/>
            <w:rPr>
              <w:rFonts w:asciiTheme="minorHAnsi" w:eastAsiaTheme="minorEastAsia" w:hAnsiTheme="minorHAnsi" w:cstheme="minorBidi"/>
              <w:noProof/>
              <w:sz w:val="24"/>
              <w:szCs w:val="24"/>
              <w:lang w:eastAsia="ru-RU"/>
            </w:rPr>
          </w:pPr>
          <w:hyperlink w:anchor="_Toc66096813" w:history="1">
            <w:r w:rsidR="0094088A" w:rsidRPr="00AA4760">
              <w:rPr>
                <w:rStyle w:val="affd"/>
                <w:noProof/>
              </w:rPr>
              <w:t xml:space="preserve">1.4 </w:t>
            </w:r>
            <w:r w:rsidR="0094088A" w:rsidRPr="00AA4760">
              <w:rPr>
                <w:rStyle w:val="affd"/>
                <w:noProof/>
                <w:shd w:val="clear" w:color="auto" w:fill="FFFFFF"/>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r w:rsidR="0094088A">
              <w:rPr>
                <w:noProof/>
                <w:webHidden/>
              </w:rPr>
              <w:tab/>
            </w:r>
            <w:r w:rsidR="0094088A">
              <w:rPr>
                <w:noProof/>
                <w:webHidden/>
              </w:rPr>
              <w:fldChar w:fldCharType="begin"/>
            </w:r>
            <w:r w:rsidR="0094088A">
              <w:rPr>
                <w:noProof/>
                <w:webHidden/>
              </w:rPr>
              <w:instrText xml:space="preserve"> PAGEREF _Toc66096813 \h </w:instrText>
            </w:r>
            <w:r w:rsidR="0094088A">
              <w:rPr>
                <w:noProof/>
                <w:webHidden/>
              </w:rPr>
            </w:r>
            <w:r w:rsidR="0094088A">
              <w:rPr>
                <w:noProof/>
                <w:webHidden/>
              </w:rPr>
              <w:fldChar w:fldCharType="separate"/>
            </w:r>
            <w:r w:rsidR="0094088A">
              <w:rPr>
                <w:noProof/>
                <w:webHidden/>
              </w:rPr>
              <w:t>10</w:t>
            </w:r>
            <w:r w:rsidR="0094088A">
              <w:rPr>
                <w:noProof/>
                <w:webHidden/>
              </w:rPr>
              <w:fldChar w:fldCharType="end"/>
            </w:r>
          </w:hyperlink>
        </w:p>
        <w:p w14:paraId="6CD4D8D9" w14:textId="696BF0E3" w:rsidR="0094088A" w:rsidRDefault="00A679EB">
          <w:pPr>
            <w:pStyle w:val="21"/>
            <w:rPr>
              <w:rFonts w:asciiTheme="minorHAnsi" w:eastAsiaTheme="minorEastAsia" w:hAnsiTheme="minorHAnsi" w:cstheme="minorBidi"/>
              <w:noProof/>
              <w:sz w:val="24"/>
              <w:szCs w:val="24"/>
              <w:lang w:eastAsia="ru-RU"/>
            </w:rPr>
          </w:pPr>
          <w:hyperlink w:anchor="_Toc66096814" w:history="1">
            <w:r w:rsidR="0094088A" w:rsidRPr="00AA4760">
              <w:rPr>
                <w:rStyle w:val="affd"/>
                <w:noProof/>
              </w:rPr>
              <w:t xml:space="preserve">1.5 Классификация </w:t>
            </w:r>
            <w:r w:rsidR="0094088A" w:rsidRPr="00AA4760">
              <w:rPr>
                <w:rStyle w:val="affd"/>
                <w:noProof/>
                <w:shd w:val="clear" w:color="auto" w:fill="FFFFFF"/>
              </w:rPr>
              <w:t>заболевания или состояния (группы заболеваний или состояний)</w:t>
            </w:r>
            <w:r w:rsidR="0094088A">
              <w:rPr>
                <w:noProof/>
                <w:webHidden/>
              </w:rPr>
              <w:tab/>
            </w:r>
            <w:r w:rsidR="0094088A">
              <w:rPr>
                <w:noProof/>
                <w:webHidden/>
              </w:rPr>
              <w:fldChar w:fldCharType="begin"/>
            </w:r>
            <w:r w:rsidR="0094088A">
              <w:rPr>
                <w:noProof/>
                <w:webHidden/>
              </w:rPr>
              <w:instrText xml:space="preserve"> PAGEREF _Toc66096814 \h </w:instrText>
            </w:r>
            <w:r w:rsidR="0094088A">
              <w:rPr>
                <w:noProof/>
                <w:webHidden/>
              </w:rPr>
            </w:r>
            <w:r w:rsidR="0094088A">
              <w:rPr>
                <w:noProof/>
                <w:webHidden/>
              </w:rPr>
              <w:fldChar w:fldCharType="separate"/>
            </w:r>
            <w:r w:rsidR="0094088A">
              <w:rPr>
                <w:noProof/>
                <w:webHidden/>
              </w:rPr>
              <w:t>10</w:t>
            </w:r>
            <w:r w:rsidR="0094088A">
              <w:rPr>
                <w:noProof/>
                <w:webHidden/>
              </w:rPr>
              <w:fldChar w:fldCharType="end"/>
            </w:r>
          </w:hyperlink>
        </w:p>
        <w:p w14:paraId="3C8FE236" w14:textId="1AD57922" w:rsidR="0094088A" w:rsidRDefault="00A679EB">
          <w:pPr>
            <w:pStyle w:val="21"/>
            <w:rPr>
              <w:rFonts w:asciiTheme="minorHAnsi" w:eastAsiaTheme="minorEastAsia" w:hAnsiTheme="minorHAnsi" w:cstheme="minorBidi"/>
              <w:noProof/>
              <w:sz w:val="24"/>
              <w:szCs w:val="24"/>
              <w:lang w:eastAsia="ru-RU"/>
            </w:rPr>
          </w:pPr>
          <w:hyperlink w:anchor="_Toc66096815" w:history="1">
            <w:r w:rsidR="0094088A" w:rsidRPr="00AA4760">
              <w:rPr>
                <w:rStyle w:val="affd"/>
                <w:noProof/>
              </w:rPr>
              <w:t xml:space="preserve">1.6 Клиническая картина </w:t>
            </w:r>
            <w:r w:rsidR="0094088A" w:rsidRPr="00AA4760">
              <w:rPr>
                <w:rStyle w:val="affd"/>
                <w:noProof/>
                <w:shd w:val="clear" w:color="auto" w:fill="FFFFFF"/>
              </w:rPr>
              <w:t>заболевания или состояния (группы заболеваний или состояний)</w:t>
            </w:r>
            <w:r w:rsidR="0094088A">
              <w:rPr>
                <w:noProof/>
                <w:webHidden/>
              </w:rPr>
              <w:tab/>
            </w:r>
            <w:r w:rsidR="0094088A">
              <w:rPr>
                <w:noProof/>
                <w:webHidden/>
              </w:rPr>
              <w:fldChar w:fldCharType="begin"/>
            </w:r>
            <w:r w:rsidR="0094088A">
              <w:rPr>
                <w:noProof/>
                <w:webHidden/>
              </w:rPr>
              <w:instrText xml:space="preserve"> PAGEREF _Toc66096815 \h </w:instrText>
            </w:r>
            <w:r w:rsidR="0094088A">
              <w:rPr>
                <w:noProof/>
                <w:webHidden/>
              </w:rPr>
            </w:r>
            <w:r w:rsidR="0094088A">
              <w:rPr>
                <w:noProof/>
                <w:webHidden/>
              </w:rPr>
              <w:fldChar w:fldCharType="separate"/>
            </w:r>
            <w:r w:rsidR="0094088A">
              <w:rPr>
                <w:noProof/>
                <w:webHidden/>
              </w:rPr>
              <w:t>12</w:t>
            </w:r>
            <w:r w:rsidR="0094088A">
              <w:rPr>
                <w:noProof/>
                <w:webHidden/>
              </w:rPr>
              <w:fldChar w:fldCharType="end"/>
            </w:r>
          </w:hyperlink>
        </w:p>
        <w:p w14:paraId="76E60250" w14:textId="061F04C7" w:rsidR="0094088A" w:rsidRDefault="00A679EB">
          <w:pPr>
            <w:pStyle w:val="1a"/>
            <w:rPr>
              <w:rFonts w:asciiTheme="minorHAnsi" w:eastAsiaTheme="minorEastAsia" w:hAnsiTheme="minorHAnsi"/>
              <w:noProof/>
              <w:szCs w:val="24"/>
              <w:lang w:eastAsia="ru-RU"/>
            </w:rPr>
          </w:pPr>
          <w:hyperlink w:anchor="_Toc66096816" w:history="1">
            <w:r w:rsidR="0094088A" w:rsidRPr="00AA4760">
              <w:rPr>
                <w:rStyle w:val="affd"/>
                <w:noProof/>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r w:rsidR="0094088A">
              <w:rPr>
                <w:noProof/>
                <w:webHidden/>
              </w:rPr>
              <w:tab/>
            </w:r>
            <w:r w:rsidR="0094088A">
              <w:rPr>
                <w:noProof/>
                <w:webHidden/>
              </w:rPr>
              <w:fldChar w:fldCharType="begin"/>
            </w:r>
            <w:r w:rsidR="0094088A">
              <w:rPr>
                <w:noProof/>
                <w:webHidden/>
              </w:rPr>
              <w:instrText xml:space="preserve"> PAGEREF _Toc66096816 \h </w:instrText>
            </w:r>
            <w:r w:rsidR="0094088A">
              <w:rPr>
                <w:noProof/>
                <w:webHidden/>
              </w:rPr>
            </w:r>
            <w:r w:rsidR="0094088A">
              <w:rPr>
                <w:noProof/>
                <w:webHidden/>
              </w:rPr>
              <w:fldChar w:fldCharType="separate"/>
            </w:r>
            <w:r w:rsidR="0094088A">
              <w:rPr>
                <w:noProof/>
                <w:webHidden/>
              </w:rPr>
              <w:t>14</w:t>
            </w:r>
            <w:r w:rsidR="0094088A">
              <w:rPr>
                <w:noProof/>
                <w:webHidden/>
              </w:rPr>
              <w:fldChar w:fldCharType="end"/>
            </w:r>
          </w:hyperlink>
        </w:p>
        <w:p w14:paraId="70F3A8F3" w14:textId="3D0AB0F9" w:rsidR="0094088A" w:rsidRDefault="00A679EB">
          <w:pPr>
            <w:pStyle w:val="21"/>
            <w:rPr>
              <w:rFonts w:asciiTheme="minorHAnsi" w:eastAsiaTheme="minorEastAsia" w:hAnsiTheme="minorHAnsi" w:cstheme="minorBidi"/>
              <w:noProof/>
              <w:sz w:val="24"/>
              <w:szCs w:val="24"/>
              <w:lang w:eastAsia="ru-RU"/>
            </w:rPr>
          </w:pPr>
          <w:hyperlink w:anchor="_Toc66096817" w:history="1">
            <w:r w:rsidR="0094088A" w:rsidRPr="00AA4760">
              <w:rPr>
                <w:rStyle w:val="affd"/>
                <w:noProof/>
              </w:rPr>
              <w:t>2.1 Жалобы и анамнез</w:t>
            </w:r>
            <w:r w:rsidR="0094088A">
              <w:rPr>
                <w:noProof/>
                <w:webHidden/>
              </w:rPr>
              <w:tab/>
            </w:r>
            <w:r w:rsidR="0094088A">
              <w:rPr>
                <w:noProof/>
                <w:webHidden/>
              </w:rPr>
              <w:fldChar w:fldCharType="begin"/>
            </w:r>
            <w:r w:rsidR="0094088A">
              <w:rPr>
                <w:noProof/>
                <w:webHidden/>
              </w:rPr>
              <w:instrText xml:space="preserve"> PAGEREF _Toc66096817 \h </w:instrText>
            </w:r>
            <w:r w:rsidR="0094088A">
              <w:rPr>
                <w:noProof/>
                <w:webHidden/>
              </w:rPr>
            </w:r>
            <w:r w:rsidR="0094088A">
              <w:rPr>
                <w:noProof/>
                <w:webHidden/>
              </w:rPr>
              <w:fldChar w:fldCharType="separate"/>
            </w:r>
            <w:r w:rsidR="0094088A">
              <w:rPr>
                <w:noProof/>
                <w:webHidden/>
              </w:rPr>
              <w:t>14</w:t>
            </w:r>
            <w:r w:rsidR="0094088A">
              <w:rPr>
                <w:noProof/>
                <w:webHidden/>
              </w:rPr>
              <w:fldChar w:fldCharType="end"/>
            </w:r>
          </w:hyperlink>
        </w:p>
        <w:p w14:paraId="4EA57613" w14:textId="1A94D0E6" w:rsidR="0094088A" w:rsidRDefault="00A679EB">
          <w:pPr>
            <w:pStyle w:val="21"/>
            <w:rPr>
              <w:rFonts w:asciiTheme="minorHAnsi" w:eastAsiaTheme="minorEastAsia" w:hAnsiTheme="minorHAnsi" w:cstheme="minorBidi"/>
              <w:noProof/>
              <w:sz w:val="24"/>
              <w:szCs w:val="24"/>
              <w:lang w:eastAsia="ru-RU"/>
            </w:rPr>
          </w:pPr>
          <w:hyperlink w:anchor="_Toc66096818" w:history="1">
            <w:r w:rsidR="0094088A" w:rsidRPr="00AA4760">
              <w:rPr>
                <w:rStyle w:val="affd"/>
                <w:noProof/>
              </w:rPr>
              <w:t>2.2 Физикальное обследование</w:t>
            </w:r>
            <w:r w:rsidR="0094088A">
              <w:rPr>
                <w:noProof/>
                <w:webHidden/>
              </w:rPr>
              <w:tab/>
            </w:r>
            <w:r w:rsidR="0094088A">
              <w:rPr>
                <w:noProof/>
                <w:webHidden/>
              </w:rPr>
              <w:fldChar w:fldCharType="begin"/>
            </w:r>
            <w:r w:rsidR="0094088A">
              <w:rPr>
                <w:noProof/>
                <w:webHidden/>
              </w:rPr>
              <w:instrText xml:space="preserve"> PAGEREF _Toc66096818 \h </w:instrText>
            </w:r>
            <w:r w:rsidR="0094088A">
              <w:rPr>
                <w:noProof/>
                <w:webHidden/>
              </w:rPr>
            </w:r>
            <w:r w:rsidR="0094088A">
              <w:rPr>
                <w:noProof/>
                <w:webHidden/>
              </w:rPr>
              <w:fldChar w:fldCharType="separate"/>
            </w:r>
            <w:r w:rsidR="0094088A">
              <w:rPr>
                <w:noProof/>
                <w:webHidden/>
              </w:rPr>
              <w:t>15</w:t>
            </w:r>
            <w:r w:rsidR="0094088A">
              <w:rPr>
                <w:noProof/>
                <w:webHidden/>
              </w:rPr>
              <w:fldChar w:fldCharType="end"/>
            </w:r>
          </w:hyperlink>
        </w:p>
        <w:p w14:paraId="3CAFA439" w14:textId="74446557" w:rsidR="0094088A" w:rsidRDefault="00A679EB">
          <w:pPr>
            <w:pStyle w:val="21"/>
            <w:rPr>
              <w:rFonts w:asciiTheme="minorHAnsi" w:eastAsiaTheme="minorEastAsia" w:hAnsiTheme="minorHAnsi" w:cstheme="minorBidi"/>
              <w:noProof/>
              <w:sz w:val="24"/>
              <w:szCs w:val="24"/>
              <w:lang w:eastAsia="ru-RU"/>
            </w:rPr>
          </w:pPr>
          <w:hyperlink w:anchor="_Toc66096819" w:history="1">
            <w:r w:rsidR="0094088A" w:rsidRPr="00AA4760">
              <w:rPr>
                <w:rStyle w:val="affd"/>
                <w:noProof/>
              </w:rPr>
              <w:t>2.3 Лабораторные диагностические исследования</w:t>
            </w:r>
            <w:r w:rsidR="0094088A">
              <w:rPr>
                <w:noProof/>
                <w:webHidden/>
              </w:rPr>
              <w:tab/>
            </w:r>
            <w:r w:rsidR="0094088A">
              <w:rPr>
                <w:noProof/>
                <w:webHidden/>
              </w:rPr>
              <w:fldChar w:fldCharType="begin"/>
            </w:r>
            <w:r w:rsidR="0094088A">
              <w:rPr>
                <w:noProof/>
                <w:webHidden/>
              </w:rPr>
              <w:instrText xml:space="preserve"> PAGEREF _Toc66096819 \h </w:instrText>
            </w:r>
            <w:r w:rsidR="0094088A">
              <w:rPr>
                <w:noProof/>
                <w:webHidden/>
              </w:rPr>
            </w:r>
            <w:r w:rsidR="0094088A">
              <w:rPr>
                <w:noProof/>
                <w:webHidden/>
              </w:rPr>
              <w:fldChar w:fldCharType="separate"/>
            </w:r>
            <w:r w:rsidR="0094088A">
              <w:rPr>
                <w:noProof/>
                <w:webHidden/>
              </w:rPr>
              <w:t>15</w:t>
            </w:r>
            <w:r w:rsidR="0094088A">
              <w:rPr>
                <w:noProof/>
                <w:webHidden/>
              </w:rPr>
              <w:fldChar w:fldCharType="end"/>
            </w:r>
          </w:hyperlink>
        </w:p>
        <w:p w14:paraId="393BF912" w14:textId="2BAA010C" w:rsidR="0094088A" w:rsidRDefault="00A679EB">
          <w:pPr>
            <w:pStyle w:val="21"/>
            <w:rPr>
              <w:rFonts w:asciiTheme="minorHAnsi" w:eastAsiaTheme="minorEastAsia" w:hAnsiTheme="minorHAnsi" w:cstheme="minorBidi"/>
              <w:noProof/>
              <w:sz w:val="24"/>
              <w:szCs w:val="24"/>
              <w:lang w:eastAsia="ru-RU"/>
            </w:rPr>
          </w:pPr>
          <w:hyperlink w:anchor="_Toc66096820" w:history="1">
            <w:r w:rsidR="0094088A" w:rsidRPr="00AA4760">
              <w:rPr>
                <w:rStyle w:val="affd"/>
                <w:noProof/>
              </w:rPr>
              <w:t>2.4 Инструментальные диагностические исследования</w:t>
            </w:r>
            <w:r w:rsidR="0094088A">
              <w:rPr>
                <w:noProof/>
                <w:webHidden/>
              </w:rPr>
              <w:tab/>
            </w:r>
            <w:r w:rsidR="0094088A">
              <w:rPr>
                <w:noProof/>
                <w:webHidden/>
              </w:rPr>
              <w:fldChar w:fldCharType="begin"/>
            </w:r>
            <w:r w:rsidR="0094088A">
              <w:rPr>
                <w:noProof/>
                <w:webHidden/>
              </w:rPr>
              <w:instrText xml:space="preserve"> PAGEREF _Toc66096820 \h </w:instrText>
            </w:r>
            <w:r w:rsidR="0094088A">
              <w:rPr>
                <w:noProof/>
                <w:webHidden/>
              </w:rPr>
            </w:r>
            <w:r w:rsidR="0094088A">
              <w:rPr>
                <w:noProof/>
                <w:webHidden/>
              </w:rPr>
              <w:fldChar w:fldCharType="separate"/>
            </w:r>
            <w:r w:rsidR="0094088A">
              <w:rPr>
                <w:noProof/>
                <w:webHidden/>
              </w:rPr>
              <w:t>18</w:t>
            </w:r>
            <w:r w:rsidR="0094088A">
              <w:rPr>
                <w:noProof/>
                <w:webHidden/>
              </w:rPr>
              <w:fldChar w:fldCharType="end"/>
            </w:r>
          </w:hyperlink>
        </w:p>
        <w:p w14:paraId="4CCF03A0" w14:textId="73FD6FD7" w:rsidR="0094088A" w:rsidRDefault="00A679EB">
          <w:pPr>
            <w:pStyle w:val="21"/>
            <w:rPr>
              <w:rFonts w:asciiTheme="minorHAnsi" w:eastAsiaTheme="minorEastAsia" w:hAnsiTheme="minorHAnsi" w:cstheme="minorBidi"/>
              <w:noProof/>
              <w:sz w:val="24"/>
              <w:szCs w:val="24"/>
              <w:lang w:eastAsia="ru-RU"/>
            </w:rPr>
          </w:pPr>
          <w:hyperlink w:anchor="_Toc66096821" w:history="1">
            <w:r w:rsidR="0094088A" w:rsidRPr="00AA4760">
              <w:rPr>
                <w:rStyle w:val="affd"/>
                <w:noProof/>
              </w:rPr>
              <w:t>2.5 Иные диагностические исследования</w:t>
            </w:r>
            <w:r w:rsidR="0094088A">
              <w:rPr>
                <w:noProof/>
                <w:webHidden/>
              </w:rPr>
              <w:tab/>
            </w:r>
            <w:r w:rsidR="0094088A">
              <w:rPr>
                <w:noProof/>
                <w:webHidden/>
              </w:rPr>
              <w:fldChar w:fldCharType="begin"/>
            </w:r>
            <w:r w:rsidR="0094088A">
              <w:rPr>
                <w:noProof/>
                <w:webHidden/>
              </w:rPr>
              <w:instrText xml:space="preserve"> PAGEREF _Toc66096821 \h </w:instrText>
            </w:r>
            <w:r w:rsidR="0094088A">
              <w:rPr>
                <w:noProof/>
                <w:webHidden/>
              </w:rPr>
            </w:r>
            <w:r w:rsidR="0094088A">
              <w:rPr>
                <w:noProof/>
                <w:webHidden/>
              </w:rPr>
              <w:fldChar w:fldCharType="separate"/>
            </w:r>
            <w:r w:rsidR="0094088A">
              <w:rPr>
                <w:noProof/>
                <w:webHidden/>
              </w:rPr>
              <w:t>20</w:t>
            </w:r>
            <w:r w:rsidR="0094088A">
              <w:rPr>
                <w:noProof/>
                <w:webHidden/>
              </w:rPr>
              <w:fldChar w:fldCharType="end"/>
            </w:r>
          </w:hyperlink>
        </w:p>
        <w:p w14:paraId="3CCAF408" w14:textId="75E388AC" w:rsidR="0094088A" w:rsidRDefault="00A679EB">
          <w:pPr>
            <w:pStyle w:val="1a"/>
            <w:rPr>
              <w:rFonts w:asciiTheme="minorHAnsi" w:eastAsiaTheme="minorEastAsia" w:hAnsiTheme="minorHAnsi"/>
              <w:noProof/>
              <w:szCs w:val="24"/>
              <w:lang w:eastAsia="ru-RU"/>
            </w:rPr>
          </w:pPr>
          <w:hyperlink w:anchor="_Toc66096822" w:history="1">
            <w:r w:rsidR="0094088A" w:rsidRPr="00AA4760">
              <w:rPr>
                <w:rStyle w:val="affd"/>
                <w:noProof/>
              </w:rPr>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r w:rsidR="0094088A">
              <w:rPr>
                <w:noProof/>
                <w:webHidden/>
              </w:rPr>
              <w:tab/>
            </w:r>
            <w:r w:rsidR="0094088A">
              <w:rPr>
                <w:noProof/>
                <w:webHidden/>
              </w:rPr>
              <w:fldChar w:fldCharType="begin"/>
            </w:r>
            <w:r w:rsidR="0094088A">
              <w:rPr>
                <w:noProof/>
                <w:webHidden/>
              </w:rPr>
              <w:instrText xml:space="preserve"> PAGEREF _Toc66096822 \h </w:instrText>
            </w:r>
            <w:r w:rsidR="0094088A">
              <w:rPr>
                <w:noProof/>
                <w:webHidden/>
              </w:rPr>
            </w:r>
            <w:r w:rsidR="0094088A">
              <w:rPr>
                <w:noProof/>
                <w:webHidden/>
              </w:rPr>
              <w:fldChar w:fldCharType="separate"/>
            </w:r>
            <w:r w:rsidR="0094088A">
              <w:rPr>
                <w:noProof/>
                <w:webHidden/>
              </w:rPr>
              <w:t>24</w:t>
            </w:r>
            <w:r w:rsidR="0094088A">
              <w:rPr>
                <w:noProof/>
                <w:webHidden/>
              </w:rPr>
              <w:fldChar w:fldCharType="end"/>
            </w:r>
          </w:hyperlink>
        </w:p>
        <w:p w14:paraId="5100A7C1" w14:textId="6E853795" w:rsidR="0094088A" w:rsidRDefault="00A679EB">
          <w:pPr>
            <w:pStyle w:val="21"/>
            <w:rPr>
              <w:rFonts w:asciiTheme="minorHAnsi" w:eastAsiaTheme="minorEastAsia" w:hAnsiTheme="minorHAnsi" w:cstheme="minorBidi"/>
              <w:noProof/>
              <w:sz w:val="24"/>
              <w:szCs w:val="24"/>
              <w:lang w:eastAsia="ru-RU"/>
            </w:rPr>
          </w:pPr>
          <w:hyperlink w:anchor="_Toc66096823" w:history="1">
            <w:r w:rsidR="0094088A" w:rsidRPr="00AA4760">
              <w:rPr>
                <w:rStyle w:val="affd"/>
                <w:noProof/>
              </w:rPr>
              <w:t>3.1 Первая линия терапии ДВКЛ у взрослых пациентов</w:t>
            </w:r>
            <w:r w:rsidR="0094088A">
              <w:rPr>
                <w:noProof/>
                <w:webHidden/>
              </w:rPr>
              <w:tab/>
            </w:r>
            <w:r w:rsidR="0094088A">
              <w:rPr>
                <w:noProof/>
                <w:webHidden/>
              </w:rPr>
              <w:fldChar w:fldCharType="begin"/>
            </w:r>
            <w:r w:rsidR="0094088A">
              <w:rPr>
                <w:noProof/>
                <w:webHidden/>
              </w:rPr>
              <w:instrText xml:space="preserve"> PAGEREF _Toc66096823 \h </w:instrText>
            </w:r>
            <w:r w:rsidR="0094088A">
              <w:rPr>
                <w:noProof/>
                <w:webHidden/>
              </w:rPr>
            </w:r>
            <w:r w:rsidR="0094088A">
              <w:rPr>
                <w:noProof/>
                <w:webHidden/>
              </w:rPr>
              <w:fldChar w:fldCharType="separate"/>
            </w:r>
            <w:r w:rsidR="0094088A">
              <w:rPr>
                <w:noProof/>
                <w:webHidden/>
              </w:rPr>
              <w:t>25</w:t>
            </w:r>
            <w:r w:rsidR="0094088A">
              <w:rPr>
                <w:noProof/>
                <w:webHidden/>
              </w:rPr>
              <w:fldChar w:fldCharType="end"/>
            </w:r>
          </w:hyperlink>
        </w:p>
        <w:p w14:paraId="21307094" w14:textId="27C8EE8D" w:rsidR="0094088A" w:rsidRDefault="00A679EB">
          <w:pPr>
            <w:pStyle w:val="21"/>
            <w:rPr>
              <w:rFonts w:asciiTheme="minorHAnsi" w:eastAsiaTheme="minorEastAsia" w:hAnsiTheme="minorHAnsi" w:cstheme="minorBidi"/>
              <w:noProof/>
              <w:sz w:val="24"/>
              <w:szCs w:val="24"/>
              <w:lang w:eastAsia="ru-RU"/>
            </w:rPr>
          </w:pPr>
          <w:hyperlink w:anchor="_Toc66096824" w:history="1">
            <w:r w:rsidR="0094088A" w:rsidRPr="00AA4760">
              <w:rPr>
                <w:rStyle w:val="affd"/>
                <w:noProof/>
              </w:rPr>
              <w:t>3.2 Первая линия терапии первичной медиастинальной (тимической) В-клеточной крупноклеточной лимфомы</w:t>
            </w:r>
            <w:r w:rsidR="0094088A">
              <w:rPr>
                <w:noProof/>
                <w:webHidden/>
              </w:rPr>
              <w:tab/>
            </w:r>
            <w:r w:rsidR="0094088A">
              <w:rPr>
                <w:noProof/>
                <w:webHidden/>
              </w:rPr>
              <w:fldChar w:fldCharType="begin"/>
            </w:r>
            <w:r w:rsidR="0094088A">
              <w:rPr>
                <w:noProof/>
                <w:webHidden/>
              </w:rPr>
              <w:instrText xml:space="preserve"> PAGEREF _Toc66096824 \h </w:instrText>
            </w:r>
            <w:r w:rsidR="0094088A">
              <w:rPr>
                <w:noProof/>
                <w:webHidden/>
              </w:rPr>
            </w:r>
            <w:r w:rsidR="0094088A">
              <w:rPr>
                <w:noProof/>
                <w:webHidden/>
              </w:rPr>
              <w:fldChar w:fldCharType="separate"/>
            </w:r>
            <w:r w:rsidR="0094088A">
              <w:rPr>
                <w:noProof/>
                <w:webHidden/>
              </w:rPr>
              <w:t>28</w:t>
            </w:r>
            <w:r w:rsidR="0094088A">
              <w:rPr>
                <w:noProof/>
                <w:webHidden/>
              </w:rPr>
              <w:fldChar w:fldCharType="end"/>
            </w:r>
          </w:hyperlink>
        </w:p>
        <w:p w14:paraId="5A5BB2F5" w14:textId="56583428" w:rsidR="0094088A" w:rsidRDefault="00A679EB">
          <w:pPr>
            <w:pStyle w:val="21"/>
            <w:rPr>
              <w:rFonts w:asciiTheme="minorHAnsi" w:eastAsiaTheme="minorEastAsia" w:hAnsiTheme="minorHAnsi" w:cstheme="minorBidi"/>
              <w:noProof/>
              <w:sz w:val="24"/>
              <w:szCs w:val="24"/>
              <w:lang w:eastAsia="ru-RU"/>
            </w:rPr>
          </w:pPr>
          <w:hyperlink w:anchor="_Toc66096825" w:history="1">
            <w:r w:rsidR="0094088A" w:rsidRPr="00AA4760">
              <w:rPr>
                <w:rStyle w:val="affd"/>
                <w:noProof/>
              </w:rPr>
              <w:t>3.3 Лечение первичной лимфомы ЦНС (ПЛЦНС)</w:t>
            </w:r>
            <w:r w:rsidR="0094088A">
              <w:rPr>
                <w:noProof/>
                <w:webHidden/>
              </w:rPr>
              <w:tab/>
            </w:r>
            <w:r w:rsidR="0094088A">
              <w:rPr>
                <w:noProof/>
                <w:webHidden/>
              </w:rPr>
              <w:fldChar w:fldCharType="begin"/>
            </w:r>
            <w:r w:rsidR="0094088A">
              <w:rPr>
                <w:noProof/>
                <w:webHidden/>
              </w:rPr>
              <w:instrText xml:space="preserve"> PAGEREF _Toc66096825 \h </w:instrText>
            </w:r>
            <w:r w:rsidR="0094088A">
              <w:rPr>
                <w:noProof/>
                <w:webHidden/>
              </w:rPr>
            </w:r>
            <w:r w:rsidR="0094088A">
              <w:rPr>
                <w:noProof/>
                <w:webHidden/>
              </w:rPr>
              <w:fldChar w:fldCharType="separate"/>
            </w:r>
            <w:r w:rsidR="0094088A">
              <w:rPr>
                <w:noProof/>
                <w:webHidden/>
              </w:rPr>
              <w:t>28</w:t>
            </w:r>
            <w:r w:rsidR="0094088A">
              <w:rPr>
                <w:noProof/>
                <w:webHidden/>
              </w:rPr>
              <w:fldChar w:fldCharType="end"/>
            </w:r>
          </w:hyperlink>
        </w:p>
        <w:p w14:paraId="0AED4F01" w14:textId="587AA342" w:rsidR="0094088A" w:rsidRDefault="00A679EB">
          <w:pPr>
            <w:pStyle w:val="21"/>
            <w:rPr>
              <w:rFonts w:asciiTheme="minorHAnsi" w:eastAsiaTheme="minorEastAsia" w:hAnsiTheme="minorHAnsi" w:cstheme="minorBidi"/>
              <w:noProof/>
              <w:sz w:val="24"/>
              <w:szCs w:val="24"/>
              <w:lang w:eastAsia="ru-RU"/>
            </w:rPr>
          </w:pPr>
          <w:hyperlink w:anchor="_Toc66096826" w:history="1">
            <w:r w:rsidR="0094088A" w:rsidRPr="00AA4760">
              <w:rPr>
                <w:rStyle w:val="affd"/>
                <w:noProof/>
              </w:rPr>
              <w:t>3.4 Первая линия терапии ДВКЛ у детей и подростков до 18 лет</w:t>
            </w:r>
            <w:r w:rsidR="0094088A">
              <w:rPr>
                <w:noProof/>
                <w:webHidden/>
              </w:rPr>
              <w:tab/>
            </w:r>
            <w:r w:rsidR="0094088A">
              <w:rPr>
                <w:noProof/>
                <w:webHidden/>
              </w:rPr>
              <w:fldChar w:fldCharType="begin"/>
            </w:r>
            <w:r w:rsidR="0094088A">
              <w:rPr>
                <w:noProof/>
                <w:webHidden/>
              </w:rPr>
              <w:instrText xml:space="preserve"> PAGEREF _Toc66096826 \h </w:instrText>
            </w:r>
            <w:r w:rsidR="0094088A">
              <w:rPr>
                <w:noProof/>
                <w:webHidden/>
              </w:rPr>
            </w:r>
            <w:r w:rsidR="0094088A">
              <w:rPr>
                <w:noProof/>
                <w:webHidden/>
              </w:rPr>
              <w:fldChar w:fldCharType="separate"/>
            </w:r>
            <w:r w:rsidR="0094088A">
              <w:rPr>
                <w:noProof/>
                <w:webHidden/>
              </w:rPr>
              <w:t>30</w:t>
            </w:r>
            <w:r w:rsidR="0094088A">
              <w:rPr>
                <w:noProof/>
                <w:webHidden/>
              </w:rPr>
              <w:fldChar w:fldCharType="end"/>
            </w:r>
          </w:hyperlink>
        </w:p>
        <w:p w14:paraId="4CFC7F5A" w14:textId="0639F3EA" w:rsidR="0094088A" w:rsidRDefault="00A679EB">
          <w:pPr>
            <w:pStyle w:val="21"/>
            <w:rPr>
              <w:rFonts w:asciiTheme="minorHAnsi" w:eastAsiaTheme="minorEastAsia" w:hAnsiTheme="minorHAnsi" w:cstheme="minorBidi"/>
              <w:noProof/>
              <w:sz w:val="24"/>
              <w:szCs w:val="24"/>
              <w:lang w:eastAsia="ru-RU"/>
            </w:rPr>
          </w:pPr>
          <w:hyperlink w:anchor="_Toc66096827" w:history="1">
            <w:r w:rsidR="0094088A" w:rsidRPr="00AA4760">
              <w:rPr>
                <w:rStyle w:val="affd"/>
                <w:noProof/>
              </w:rPr>
              <w:t>3.5 Лечение лимфомы Беркитта</w:t>
            </w:r>
            <w:r w:rsidR="0094088A">
              <w:rPr>
                <w:noProof/>
                <w:webHidden/>
              </w:rPr>
              <w:tab/>
            </w:r>
            <w:r w:rsidR="0094088A">
              <w:rPr>
                <w:noProof/>
                <w:webHidden/>
              </w:rPr>
              <w:fldChar w:fldCharType="begin"/>
            </w:r>
            <w:r w:rsidR="0094088A">
              <w:rPr>
                <w:noProof/>
                <w:webHidden/>
              </w:rPr>
              <w:instrText xml:space="preserve"> PAGEREF _Toc66096827 \h </w:instrText>
            </w:r>
            <w:r w:rsidR="0094088A">
              <w:rPr>
                <w:noProof/>
                <w:webHidden/>
              </w:rPr>
            </w:r>
            <w:r w:rsidR="0094088A">
              <w:rPr>
                <w:noProof/>
                <w:webHidden/>
              </w:rPr>
              <w:fldChar w:fldCharType="separate"/>
            </w:r>
            <w:r w:rsidR="0094088A">
              <w:rPr>
                <w:noProof/>
                <w:webHidden/>
              </w:rPr>
              <w:t>30</w:t>
            </w:r>
            <w:r w:rsidR="0094088A">
              <w:rPr>
                <w:noProof/>
                <w:webHidden/>
              </w:rPr>
              <w:fldChar w:fldCharType="end"/>
            </w:r>
          </w:hyperlink>
        </w:p>
        <w:p w14:paraId="0DAE7D0F" w14:textId="6D02DC2B" w:rsidR="0094088A" w:rsidRDefault="00A679EB">
          <w:pPr>
            <w:pStyle w:val="21"/>
            <w:rPr>
              <w:rFonts w:asciiTheme="minorHAnsi" w:eastAsiaTheme="minorEastAsia" w:hAnsiTheme="minorHAnsi" w:cstheme="minorBidi"/>
              <w:noProof/>
              <w:sz w:val="24"/>
              <w:szCs w:val="24"/>
              <w:lang w:eastAsia="ru-RU"/>
            </w:rPr>
          </w:pPr>
          <w:hyperlink w:anchor="_Toc66096828" w:history="1">
            <w:r w:rsidR="0094088A" w:rsidRPr="00AA4760">
              <w:rPr>
                <w:rStyle w:val="affd"/>
                <w:noProof/>
              </w:rPr>
              <w:t>3.6 Лечение рецидивов агрессивных нефолликулярных В-клеточных лимфом</w:t>
            </w:r>
            <w:r w:rsidR="0094088A">
              <w:rPr>
                <w:noProof/>
                <w:webHidden/>
              </w:rPr>
              <w:tab/>
            </w:r>
            <w:r w:rsidR="0094088A">
              <w:rPr>
                <w:noProof/>
                <w:webHidden/>
              </w:rPr>
              <w:fldChar w:fldCharType="begin"/>
            </w:r>
            <w:r w:rsidR="0094088A">
              <w:rPr>
                <w:noProof/>
                <w:webHidden/>
              </w:rPr>
              <w:instrText xml:space="preserve"> PAGEREF _Toc66096828 \h </w:instrText>
            </w:r>
            <w:r w:rsidR="0094088A">
              <w:rPr>
                <w:noProof/>
                <w:webHidden/>
              </w:rPr>
            </w:r>
            <w:r w:rsidR="0094088A">
              <w:rPr>
                <w:noProof/>
                <w:webHidden/>
              </w:rPr>
              <w:fldChar w:fldCharType="separate"/>
            </w:r>
            <w:r w:rsidR="0094088A">
              <w:rPr>
                <w:noProof/>
                <w:webHidden/>
              </w:rPr>
              <w:t>33</w:t>
            </w:r>
            <w:r w:rsidR="0094088A">
              <w:rPr>
                <w:noProof/>
                <w:webHidden/>
              </w:rPr>
              <w:fldChar w:fldCharType="end"/>
            </w:r>
          </w:hyperlink>
        </w:p>
        <w:p w14:paraId="7A00685C" w14:textId="35C04FF6" w:rsidR="0094088A" w:rsidRDefault="00A679EB">
          <w:pPr>
            <w:pStyle w:val="21"/>
            <w:rPr>
              <w:rFonts w:asciiTheme="minorHAnsi" w:eastAsiaTheme="minorEastAsia" w:hAnsiTheme="minorHAnsi" w:cstheme="minorBidi"/>
              <w:noProof/>
              <w:sz w:val="24"/>
              <w:szCs w:val="24"/>
              <w:lang w:eastAsia="ru-RU"/>
            </w:rPr>
          </w:pPr>
          <w:hyperlink w:anchor="_Toc66096829" w:history="1">
            <w:r w:rsidR="0094088A" w:rsidRPr="00AA4760">
              <w:rPr>
                <w:rStyle w:val="affd"/>
                <w:noProof/>
              </w:rPr>
              <w:t>3.7 Оценка ответа на лечение</w:t>
            </w:r>
            <w:r w:rsidR="0094088A">
              <w:rPr>
                <w:noProof/>
                <w:webHidden/>
              </w:rPr>
              <w:tab/>
            </w:r>
            <w:r w:rsidR="0094088A">
              <w:rPr>
                <w:noProof/>
                <w:webHidden/>
              </w:rPr>
              <w:fldChar w:fldCharType="begin"/>
            </w:r>
            <w:r w:rsidR="0094088A">
              <w:rPr>
                <w:noProof/>
                <w:webHidden/>
              </w:rPr>
              <w:instrText xml:space="preserve"> PAGEREF _Toc66096829 \h </w:instrText>
            </w:r>
            <w:r w:rsidR="0094088A">
              <w:rPr>
                <w:noProof/>
                <w:webHidden/>
              </w:rPr>
            </w:r>
            <w:r w:rsidR="0094088A">
              <w:rPr>
                <w:noProof/>
                <w:webHidden/>
              </w:rPr>
              <w:fldChar w:fldCharType="separate"/>
            </w:r>
            <w:r w:rsidR="0094088A">
              <w:rPr>
                <w:noProof/>
                <w:webHidden/>
              </w:rPr>
              <w:t>35</w:t>
            </w:r>
            <w:r w:rsidR="0094088A">
              <w:rPr>
                <w:noProof/>
                <w:webHidden/>
              </w:rPr>
              <w:fldChar w:fldCharType="end"/>
            </w:r>
          </w:hyperlink>
        </w:p>
        <w:p w14:paraId="7CB08F4C" w14:textId="1BE567B2" w:rsidR="0094088A" w:rsidRDefault="00A679EB">
          <w:pPr>
            <w:pStyle w:val="21"/>
            <w:rPr>
              <w:rFonts w:asciiTheme="minorHAnsi" w:eastAsiaTheme="minorEastAsia" w:hAnsiTheme="minorHAnsi" w:cstheme="minorBidi"/>
              <w:noProof/>
              <w:sz w:val="24"/>
              <w:szCs w:val="24"/>
              <w:lang w:eastAsia="ru-RU"/>
            </w:rPr>
          </w:pPr>
          <w:hyperlink w:anchor="_Toc66096830" w:history="1">
            <w:r w:rsidR="0094088A" w:rsidRPr="00AA4760">
              <w:rPr>
                <w:rStyle w:val="affd"/>
                <w:noProof/>
              </w:rPr>
              <w:t>3.8 Сопутствующая и сопроводительная терапия</w:t>
            </w:r>
            <w:r w:rsidR="0094088A">
              <w:rPr>
                <w:noProof/>
                <w:webHidden/>
              </w:rPr>
              <w:tab/>
            </w:r>
            <w:r w:rsidR="0094088A">
              <w:rPr>
                <w:noProof/>
                <w:webHidden/>
              </w:rPr>
              <w:fldChar w:fldCharType="begin"/>
            </w:r>
            <w:r w:rsidR="0094088A">
              <w:rPr>
                <w:noProof/>
                <w:webHidden/>
              </w:rPr>
              <w:instrText xml:space="preserve"> PAGEREF _Toc66096830 \h </w:instrText>
            </w:r>
            <w:r w:rsidR="0094088A">
              <w:rPr>
                <w:noProof/>
                <w:webHidden/>
              </w:rPr>
            </w:r>
            <w:r w:rsidR="0094088A">
              <w:rPr>
                <w:noProof/>
                <w:webHidden/>
              </w:rPr>
              <w:fldChar w:fldCharType="separate"/>
            </w:r>
            <w:r w:rsidR="0094088A">
              <w:rPr>
                <w:noProof/>
                <w:webHidden/>
              </w:rPr>
              <w:t>35</w:t>
            </w:r>
            <w:r w:rsidR="0094088A">
              <w:rPr>
                <w:noProof/>
                <w:webHidden/>
              </w:rPr>
              <w:fldChar w:fldCharType="end"/>
            </w:r>
          </w:hyperlink>
        </w:p>
        <w:p w14:paraId="1C765CCF" w14:textId="64C373FD" w:rsidR="0094088A" w:rsidRDefault="00A679EB">
          <w:pPr>
            <w:pStyle w:val="1a"/>
            <w:rPr>
              <w:rFonts w:asciiTheme="minorHAnsi" w:eastAsiaTheme="minorEastAsia" w:hAnsiTheme="minorHAnsi"/>
              <w:noProof/>
              <w:szCs w:val="24"/>
              <w:lang w:eastAsia="ru-RU"/>
            </w:rPr>
          </w:pPr>
          <w:hyperlink w:anchor="_Toc66096831" w:history="1">
            <w:r w:rsidR="0094088A" w:rsidRPr="00AA4760">
              <w:rPr>
                <w:rStyle w:val="affd"/>
                <w:noProof/>
              </w:rPr>
              <w:t>4. 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r w:rsidR="0094088A">
              <w:rPr>
                <w:noProof/>
                <w:webHidden/>
              </w:rPr>
              <w:tab/>
            </w:r>
            <w:r w:rsidR="0094088A">
              <w:rPr>
                <w:noProof/>
                <w:webHidden/>
              </w:rPr>
              <w:fldChar w:fldCharType="begin"/>
            </w:r>
            <w:r w:rsidR="0094088A">
              <w:rPr>
                <w:noProof/>
                <w:webHidden/>
              </w:rPr>
              <w:instrText xml:space="preserve"> PAGEREF _Toc66096831 \h </w:instrText>
            </w:r>
            <w:r w:rsidR="0094088A">
              <w:rPr>
                <w:noProof/>
                <w:webHidden/>
              </w:rPr>
            </w:r>
            <w:r w:rsidR="0094088A">
              <w:rPr>
                <w:noProof/>
                <w:webHidden/>
              </w:rPr>
              <w:fldChar w:fldCharType="separate"/>
            </w:r>
            <w:r w:rsidR="0094088A">
              <w:rPr>
                <w:noProof/>
                <w:webHidden/>
              </w:rPr>
              <w:t>37</w:t>
            </w:r>
            <w:r w:rsidR="0094088A">
              <w:rPr>
                <w:noProof/>
                <w:webHidden/>
              </w:rPr>
              <w:fldChar w:fldCharType="end"/>
            </w:r>
          </w:hyperlink>
        </w:p>
        <w:p w14:paraId="03D330F8" w14:textId="5888A158" w:rsidR="0094088A" w:rsidRDefault="00A679EB">
          <w:pPr>
            <w:pStyle w:val="1a"/>
            <w:rPr>
              <w:rFonts w:asciiTheme="minorHAnsi" w:eastAsiaTheme="minorEastAsia" w:hAnsiTheme="minorHAnsi"/>
              <w:noProof/>
              <w:szCs w:val="24"/>
              <w:lang w:eastAsia="ru-RU"/>
            </w:rPr>
          </w:pPr>
          <w:hyperlink w:anchor="_Toc66096832" w:history="1">
            <w:r w:rsidR="0094088A" w:rsidRPr="00AA4760">
              <w:rPr>
                <w:rStyle w:val="affd"/>
                <w:noProof/>
              </w:rPr>
              <w:t>5. Профилактика и диспансерное наблюдение, медицинские показания и противопоказания к применению методов профилактики</w:t>
            </w:r>
            <w:r w:rsidR="0094088A">
              <w:rPr>
                <w:noProof/>
                <w:webHidden/>
              </w:rPr>
              <w:tab/>
            </w:r>
            <w:r w:rsidR="0094088A">
              <w:rPr>
                <w:noProof/>
                <w:webHidden/>
              </w:rPr>
              <w:fldChar w:fldCharType="begin"/>
            </w:r>
            <w:r w:rsidR="0094088A">
              <w:rPr>
                <w:noProof/>
                <w:webHidden/>
              </w:rPr>
              <w:instrText xml:space="preserve"> PAGEREF _Toc66096832 \h </w:instrText>
            </w:r>
            <w:r w:rsidR="0094088A">
              <w:rPr>
                <w:noProof/>
                <w:webHidden/>
              </w:rPr>
            </w:r>
            <w:r w:rsidR="0094088A">
              <w:rPr>
                <w:noProof/>
                <w:webHidden/>
              </w:rPr>
              <w:fldChar w:fldCharType="separate"/>
            </w:r>
            <w:r w:rsidR="0094088A">
              <w:rPr>
                <w:noProof/>
                <w:webHidden/>
              </w:rPr>
              <w:t>37</w:t>
            </w:r>
            <w:r w:rsidR="0094088A">
              <w:rPr>
                <w:noProof/>
                <w:webHidden/>
              </w:rPr>
              <w:fldChar w:fldCharType="end"/>
            </w:r>
          </w:hyperlink>
        </w:p>
        <w:p w14:paraId="580A3D4F" w14:textId="7BB00BE6" w:rsidR="0094088A" w:rsidRDefault="00A679EB">
          <w:pPr>
            <w:pStyle w:val="1a"/>
            <w:rPr>
              <w:rFonts w:asciiTheme="minorHAnsi" w:eastAsiaTheme="minorEastAsia" w:hAnsiTheme="minorHAnsi"/>
              <w:noProof/>
              <w:szCs w:val="24"/>
              <w:lang w:eastAsia="ru-RU"/>
            </w:rPr>
          </w:pPr>
          <w:hyperlink w:anchor="_Toc66096833" w:history="1">
            <w:r w:rsidR="0094088A" w:rsidRPr="00AA4760">
              <w:rPr>
                <w:rStyle w:val="affd"/>
                <w:noProof/>
              </w:rPr>
              <w:t>6. Организация оказания медицинской помощи</w:t>
            </w:r>
            <w:r w:rsidR="0094088A">
              <w:rPr>
                <w:noProof/>
                <w:webHidden/>
              </w:rPr>
              <w:tab/>
            </w:r>
            <w:r w:rsidR="0094088A">
              <w:rPr>
                <w:noProof/>
                <w:webHidden/>
              </w:rPr>
              <w:fldChar w:fldCharType="begin"/>
            </w:r>
            <w:r w:rsidR="0094088A">
              <w:rPr>
                <w:noProof/>
                <w:webHidden/>
              </w:rPr>
              <w:instrText xml:space="preserve"> PAGEREF _Toc66096833 \h </w:instrText>
            </w:r>
            <w:r w:rsidR="0094088A">
              <w:rPr>
                <w:noProof/>
                <w:webHidden/>
              </w:rPr>
            </w:r>
            <w:r w:rsidR="0094088A">
              <w:rPr>
                <w:noProof/>
                <w:webHidden/>
              </w:rPr>
              <w:fldChar w:fldCharType="separate"/>
            </w:r>
            <w:r w:rsidR="0094088A">
              <w:rPr>
                <w:noProof/>
                <w:webHidden/>
              </w:rPr>
              <w:t>40</w:t>
            </w:r>
            <w:r w:rsidR="0094088A">
              <w:rPr>
                <w:noProof/>
                <w:webHidden/>
              </w:rPr>
              <w:fldChar w:fldCharType="end"/>
            </w:r>
          </w:hyperlink>
        </w:p>
        <w:p w14:paraId="1BDEE7C7" w14:textId="43ADE5D7" w:rsidR="0094088A" w:rsidRDefault="00A679EB">
          <w:pPr>
            <w:pStyle w:val="1a"/>
            <w:rPr>
              <w:rFonts w:asciiTheme="minorHAnsi" w:eastAsiaTheme="minorEastAsia" w:hAnsiTheme="minorHAnsi"/>
              <w:noProof/>
              <w:szCs w:val="24"/>
              <w:lang w:eastAsia="ru-RU"/>
            </w:rPr>
          </w:pPr>
          <w:hyperlink w:anchor="_Toc66096834" w:history="1">
            <w:r w:rsidR="0094088A" w:rsidRPr="00AA4760">
              <w:rPr>
                <w:rStyle w:val="affd"/>
                <w:noProof/>
              </w:rPr>
              <w:t>7. Дополнительная информация (в том числе факторы, влияющие на исход заболевания или состояния)</w:t>
            </w:r>
            <w:r w:rsidR="0094088A">
              <w:rPr>
                <w:noProof/>
                <w:webHidden/>
              </w:rPr>
              <w:tab/>
            </w:r>
            <w:r w:rsidR="0094088A">
              <w:rPr>
                <w:noProof/>
                <w:webHidden/>
              </w:rPr>
              <w:fldChar w:fldCharType="begin"/>
            </w:r>
            <w:r w:rsidR="0094088A">
              <w:rPr>
                <w:noProof/>
                <w:webHidden/>
              </w:rPr>
              <w:instrText xml:space="preserve"> PAGEREF _Toc66096834 \h </w:instrText>
            </w:r>
            <w:r w:rsidR="0094088A">
              <w:rPr>
                <w:noProof/>
                <w:webHidden/>
              </w:rPr>
            </w:r>
            <w:r w:rsidR="0094088A">
              <w:rPr>
                <w:noProof/>
                <w:webHidden/>
              </w:rPr>
              <w:fldChar w:fldCharType="separate"/>
            </w:r>
            <w:r w:rsidR="0094088A">
              <w:rPr>
                <w:noProof/>
                <w:webHidden/>
              </w:rPr>
              <w:t>43</w:t>
            </w:r>
            <w:r w:rsidR="0094088A">
              <w:rPr>
                <w:noProof/>
                <w:webHidden/>
              </w:rPr>
              <w:fldChar w:fldCharType="end"/>
            </w:r>
          </w:hyperlink>
        </w:p>
        <w:p w14:paraId="516E7C3B" w14:textId="7EEB9BA4" w:rsidR="0094088A" w:rsidRDefault="00A679EB">
          <w:pPr>
            <w:pStyle w:val="21"/>
            <w:rPr>
              <w:rFonts w:asciiTheme="minorHAnsi" w:eastAsiaTheme="minorEastAsia" w:hAnsiTheme="minorHAnsi" w:cstheme="minorBidi"/>
              <w:noProof/>
              <w:sz w:val="24"/>
              <w:szCs w:val="24"/>
              <w:lang w:eastAsia="ru-RU"/>
            </w:rPr>
          </w:pPr>
          <w:hyperlink w:anchor="_Toc66096835" w:history="1">
            <w:r w:rsidR="0094088A" w:rsidRPr="00AA4760">
              <w:rPr>
                <w:rStyle w:val="affd"/>
                <w:noProof/>
              </w:rPr>
              <w:t>7.1 Общие требования к морфологической диагностике лимфом</w:t>
            </w:r>
            <w:r w:rsidR="0094088A">
              <w:rPr>
                <w:noProof/>
                <w:webHidden/>
              </w:rPr>
              <w:tab/>
            </w:r>
            <w:r w:rsidR="0094088A">
              <w:rPr>
                <w:noProof/>
                <w:webHidden/>
              </w:rPr>
              <w:fldChar w:fldCharType="begin"/>
            </w:r>
            <w:r w:rsidR="0094088A">
              <w:rPr>
                <w:noProof/>
                <w:webHidden/>
              </w:rPr>
              <w:instrText xml:space="preserve"> PAGEREF _Toc66096835 \h </w:instrText>
            </w:r>
            <w:r w:rsidR="0094088A">
              <w:rPr>
                <w:noProof/>
                <w:webHidden/>
              </w:rPr>
            </w:r>
            <w:r w:rsidR="0094088A">
              <w:rPr>
                <w:noProof/>
                <w:webHidden/>
              </w:rPr>
              <w:fldChar w:fldCharType="separate"/>
            </w:r>
            <w:r w:rsidR="0094088A">
              <w:rPr>
                <w:noProof/>
                <w:webHidden/>
              </w:rPr>
              <w:t>43</w:t>
            </w:r>
            <w:r w:rsidR="0094088A">
              <w:rPr>
                <w:noProof/>
                <w:webHidden/>
              </w:rPr>
              <w:fldChar w:fldCharType="end"/>
            </w:r>
          </w:hyperlink>
        </w:p>
        <w:p w14:paraId="16A0D374" w14:textId="7F037BAF" w:rsidR="0094088A" w:rsidRDefault="00A679EB">
          <w:pPr>
            <w:pStyle w:val="21"/>
            <w:rPr>
              <w:rFonts w:asciiTheme="minorHAnsi" w:eastAsiaTheme="minorEastAsia" w:hAnsiTheme="minorHAnsi" w:cstheme="minorBidi"/>
              <w:noProof/>
              <w:sz w:val="24"/>
              <w:szCs w:val="24"/>
              <w:lang w:eastAsia="ru-RU"/>
            </w:rPr>
          </w:pPr>
          <w:hyperlink w:anchor="_Toc66096836" w:history="1">
            <w:r w:rsidR="0094088A" w:rsidRPr="00AA4760">
              <w:rPr>
                <w:rStyle w:val="affd"/>
                <w:noProof/>
              </w:rPr>
              <w:t>7.2 Морфологическая и иммуногистохимическая диагностика агрессивных нефолликулярных В-клеточных лимфом</w:t>
            </w:r>
            <w:r w:rsidR="0094088A">
              <w:rPr>
                <w:noProof/>
                <w:webHidden/>
              </w:rPr>
              <w:tab/>
            </w:r>
            <w:r w:rsidR="0094088A">
              <w:rPr>
                <w:noProof/>
                <w:webHidden/>
              </w:rPr>
              <w:fldChar w:fldCharType="begin"/>
            </w:r>
            <w:r w:rsidR="0094088A">
              <w:rPr>
                <w:noProof/>
                <w:webHidden/>
              </w:rPr>
              <w:instrText xml:space="preserve"> PAGEREF _Toc66096836 \h </w:instrText>
            </w:r>
            <w:r w:rsidR="0094088A">
              <w:rPr>
                <w:noProof/>
                <w:webHidden/>
              </w:rPr>
            </w:r>
            <w:r w:rsidR="0094088A">
              <w:rPr>
                <w:noProof/>
                <w:webHidden/>
              </w:rPr>
              <w:fldChar w:fldCharType="separate"/>
            </w:r>
            <w:r w:rsidR="0094088A">
              <w:rPr>
                <w:noProof/>
                <w:webHidden/>
              </w:rPr>
              <w:t>46</w:t>
            </w:r>
            <w:r w:rsidR="0094088A">
              <w:rPr>
                <w:noProof/>
                <w:webHidden/>
              </w:rPr>
              <w:fldChar w:fldCharType="end"/>
            </w:r>
          </w:hyperlink>
        </w:p>
        <w:p w14:paraId="32DCD1D2" w14:textId="1192AA7D" w:rsidR="0094088A" w:rsidRDefault="00A679EB">
          <w:pPr>
            <w:pStyle w:val="21"/>
            <w:rPr>
              <w:rFonts w:asciiTheme="minorHAnsi" w:eastAsiaTheme="minorEastAsia" w:hAnsiTheme="minorHAnsi" w:cstheme="minorBidi"/>
              <w:noProof/>
              <w:sz w:val="24"/>
              <w:szCs w:val="24"/>
              <w:lang w:eastAsia="ru-RU"/>
            </w:rPr>
          </w:pPr>
          <w:hyperlink w:anchor="_Toc66096837" w:history="1">
            <w:r w:rsidR="0094088A" w:rsidRPr="00AA4760">
              <w:rPr>
                <w:rStyle w:val="affd"/>
                <w:noProof/>
              </w:rPr>
              <w:t>7.3 Стадирование агрессивных нефолликулярных В-клеточных лимфом</w:t>
            </w:r>
            <w:r w:rsidR="0094088A">
              <w:rPr>
                <w:noProof/>
                <w:webHidden/>
              </w:rPr>
              <w:tab/>
            </w:r>
            <w:r w:rsidR="0094088A">
              <w:rPr>
                <w:noProof/>
                <w:webHidden/>
              </w:rPr>
              <w:fldChar w:fldCharType="begin"/>
            </w:r>
            <w:r w:rsidR="0094088A">
              <w:rPr>
                <w:noProof/>
                <w:webHidden/>
              </w:rPr>
              <w:instrText xml:space="preserve"> PAGEREF _Toc66096837 \h </w:instrText>
            </w:r>
            <w:r w:rsidR="0094088A">
              <w:rPr>
                <w:noProof/>
                <w:webHidden/>
              </w:rPr>
            </w:r>
            <w:r w:rsidR="0094088A">
              <w:rPr>
                <w:noProof/>
                <w:webHidden/>
              </w:rPr>
              <w:fldChar w:fldCharType="separate"/>
            </w:r>
            <w:r w:rsidR="0094088A">
              <w:rPr>
                <w:noProof/>
                <w:webHidden/>
              </w:rPr>
              <w:t>49</w:t>
            </w:r>
            <w:r w:rsidR="0094088A">
              <w:rPr>
                <w:noProof/>
                <w:webHidden/>
              </w:rPr>
              <w:fldChar w:fldCharType="end"/>
            </w:r>
          </w:hyperlink>
        </w:p>
        <w:p w14:paraId="5C6A4678" w14:textId="4E9302AE" w:rsidR="0094088A" w:rsidRDefault="00A679EB">
          <w:pPr>
            <w:pStyle w:val="21"/>
            <w:rPr>
              <w:rFonts w:asciiTheme="minorHAnsi" w:eastAsiaTheme="minorEastAsia" w:hAnsiTheme="minorHAnsi" w:cstheme="minorBidi"/>
              <w:noProof/>
              <w:sz w:val="24"/>
              <w:szCs w:val="24"/>
              <w:lang w:eastAsia="ru-RU"/>
            </w:rPr>
          </w:pPr>
          <w:hyperlink w:anchor="_Toc66096838" w:history="1">
            <w:r w:rsidR="0094088A" w:rsidRPr="00AA4760">
              <w:rPr>
                <w:rStyle w:val="affd"/>
                <w:noProof/>
              </w:rPr>
              <w:t>7.4 Определение групп риска ДВКЛ у взрослых пациентов</w:t>
            </w:r>
            <w:r w:rsidR="0094088A">
              <w:rPr>
                <w:noProof/>
                <w:webHidden/>
              </w:rPr>
              <w:tab/>
            </w:r>
            <w:r w:rsidR="0094088A">
              <w:rPr>
                <w:noProof/>
                <w:webHidden/>
              </w:rPr>
              <w:fldChar w:fldCharType="begin"/>
            </w:r>
            <w:r w:rsidR="0094088A">
              <w:rPr>
                <w:noProof/>
                <w:webHidden/>
              </w:rPr>
              <w:instrText xml:space="preserve"> PAGEREF _Toc66096838 \h </w:instrText>
            </w:r>
            <w:r w:rsidR="0094088A">
              <w:rPr>
                <w:noProof/>
                <w:webHidden/>
              </w:rPr>
            </w:r>
            <w:r w:rsidR="0094088A">
              <w:rPr>
                <w:noProof/>
                <w:webHidden/>
              </w:rPr>
              <w:fldChar w:fldCharType="separate"/>
            </w:r>
            <w:r w:rsidR="0094088A">
              <w:rPr>
                <w:noProof/>
                <w:webHidden/>
              </w:rPr>
              <w:t>51</w:t>
            </w:r>
            <w:r w:rsidR="0094088A">
              <w:rPr>
                <w:noProof/>
                <w:webHidden/>
              </w:rPr>
              <w:fldChar w:fldCharType="end"/>
            </w:r>
          </w:hyperlink>
        </w:p>
        <w:p w14:paraId="741E59FC" w14:textId="330A24D3" w:rsidR="0094088A" w:rsidRDefault="00A679EB">
          <w:pPr>
            <w:pStyle w:val="21"/>
            <w:rPr>
              <w:rFonts w:asciiTheme="minorHAnsi" w:eastAsiaTheme="minorEastAsia" w:hAnsiTheme="minorHAnsi" w:cstheme="minorBidi"/>
              <w:noProof/>
              <w:sz w:val="24"/>
              <w:szCs w:val="24"/>
              <w:lang w:eastAsia="ru-RU"/>
            </w:rPr>
          </w:pPr>
          <w:hyperlink w:anchor="_Toc66096839" w:history="1">
            <w:r w:rsidR="0094088A" w:rsidRPr="00AA4760">
              <w:rPr>
                <w:rStyle w:val="affd"/>
                <w:noProof/>
              </w:rPr>
              <w:t>7.5 Определение групп риска ДВКЛ у пациентов моложе 18 лет</w:t>
            </w:r>
            <w:r w:rsidR="0094088A">
              <w:rPr>
                <w:noProof/>
                <w:webHidden/>
              </w:rPr>
              <w:tab/>
            </w:r>
            <w:r w:rsidR="0094088A">
              <w:rPr>
                <w:noProof/>
                <w:webHidden/>
              </w:rPr>
              <w:fldChar w:fldCharType="begin"/>
            </w:r>
            <w:r w:rsidR="0094088A">
              <w:rPr>
                <w:noProof/>
                <w:webHidden/>
              </w:rPr>
              <w:instrText xml:space="preserve"> PAGEREF _Toc66096839 \h </w:instrText>
            </w:r>
            <w:r w:rsidR="0094088A">
              <w:rPr>
                <w:noProof/>
                <w:webHidden/>
              </w:rPr>
            </w:r>
            <w:r w:rsidR="0094088A">
              <w:rPr>
                <w:noProof/>
                <w:webHidden/>
              </w:rPr>
              <w:fldChar w:fldCharType="separate"/>
            </w:r>
            <w:r w:rsidR="0094088A">
              <w:rPr>
                <w:noProof/>
                <w:webHidden/>
              </w:rPr>
              <w:t>53</w:t>
            </w:r>
            <w:r w:rsidR="0094088A">
              <w:rPr>
                <w:noProof/>
                <w:webHidden/>
              </w:rPr>
              <w:fldChar w:fldCharType="end"/>
            </w:r>
          </w:hyperlink>
        </w:p>
        <w:p w14:paraId="4B6F0412" w14:textId="0A13AB60" w:rsidR="0094088A" w:rsidRDefault="00A679EB">
          <w:pPr>
            <w:pStyle w:val="21"/>
            <w:rPr>
              <w:rFonts w:asciiTheme="minorHAnsi" w:eastAsiaTheme="minorEastAsia" w:hAnsiTheme="minorHAnsi" w:cstheme="minorBidi"/>
              <w:noProof/>
              <w:sz w:val="24"/>
              <w:szCs w:val="24"/>
              <w:lang w:eastAsia="ru-RU"/>
            </w:rPr>
          </w:pPr>
          <w:hyperlink w:anchor="_Toc66096840" w:history="1">
            <w:r w:rsidR="0094088A" w:rsidRPr="00AA4760">
              <w:rPr>
                <w:rStyle w:val="affd"/>
                <w:noProof/>
              </w:rPr>
              <w:t>7.6 Оценка ответа на лечение при лимфомах</w:t>
            </w:r>
            <w:r w:rsidR="0094088A">
              <w:rPr>
                <w:noProof/>
                <w:webHidden/>
              </w:rPr>
              <w:tab/>
            </w:r>
            <w:r w:rsidR="0094088A">
              <w:rPr>
                <w:noProof/>
                <w:webHidden/>
              </w:rPr>
              <w:fldChar w:fldCharType="begin"/>
            </w:r>
            <w:r w:rsidR="0094088A">
              <w:rPr>
                <w:noProof/>
                <w:webHidden/>
              </w:rPr>
              <w:instrText xml:space="preserve"> PAGEREF _Toc66096840 \h </w:instrText>
            </w:r>
            <w:r w:rsidR="0094088A">
              <w:rPr>
                <w:noProof/>
                <w:webHidden/>
              </w:rPr>
            </w:r>
            <w:r w:rsidR="0094088A">
              <w:rPr>
                <w:noProof/>
                <w:webHidden/>
              </w:rPr>
              <w:fldChar w:fldCharType="separate"/>
            </w:r>
            <w:r w:rsidR="0094088A">
              <w:rPr>
                <w:noProof/>
                <w:webHidden/>
              </w:rPr>
              <w:t>53</w:t>
            </w:r>
            <w:r w:rsidR="0094088A">
              <w:rPr>
                <w:noProof/>
                <w:webHidden/>
              </w:rPr>
              <w:fldChar w:fldCharType="end"/>
            </w:r>
          </w:hyperlink>
        </w:p>
        <w:p w14:paraId="7CFBF330" w14:textId="66D55007" w:rsidR="0094088A" w:rsidRDefault="00A679EB">
          <w:pPr>
            <w:pStyle w:val="21"/>
            <w:rPr>
              <w:rFonts w:asciiTheme="minorHAnsi" w:eastAsiaTheme="minorEastAsia" w:hAnsiTheme="minorHAnsi" w:cstheme="minorBidi"/>
              <w:noProof/>
              <w:sz w:val="24"/>
              <w:szCs w:val="24"/>
              <w:lang w:eastAsia="ru-RU"/>
            </w:rPr>
          </w:pPr>
          <w:hyperlink w:anchor="_Toc66096841" w:history="1">
            <w:r w:rsidR="0094088A" w:rsidRPr="00AA4760">
              <w:rPr>
                <w:rStyle w:val="affd"/>
                <w:noProof/>
              </w:rPr>
              <w:t>7.7 Лучевая терапия при ДВКЛ</w:t>
            </w:r>
            <w:r w:rsidR="0094088A">
              <w:rPr>
                <w:noProof/>
                <w:webHidden/>
              </w:rPr>
              <w:tab/>
            </w:r>
            <w:r w:rsidR="0094088A">
              <w:rPr>
                <w:noProof/>
                <w:webHidden/>
              </w:rPr>
              <w:fldChar w:fldCharType="begin"/>
            </w:r>
            <w:r w:rsidR="0094088A">
              <w:rPr>
                <w:noProof/>
                <w:webHidden/>
              </w:rPr>
              <w:instrText xml:space="preserve"> PAGEREF _Toc66096841 \h </w:instrText>
            </w:r>
            <w:r w:rsidR="0094088A">
              <w:rPr>
                <w:noProof/>
                <w:webHidden/>
              </w:rPr>
            </w:r>
            <w:r w:rsidR="0094088A">
              <w:rPr>
                <w:noProof/>
                <w:webHidden/>
              </w:rPr>
              <w:fldChar w:fldCharType="separate"/>
            </w:r>
            <w:r w:rsidR="0094088A">
              <w:rPr>
                <w:noProof/>
                <w:webHidden/>
              </w:rPr>
              <w:t>56</w:t>
            </w:r>
            <w:r w:rsidR="0094088A">
              <w:rPr>
                <w:noProof/>
                <w:webHidden/>
              </w:rPr>
              <w:fldChar w:fldCharType="end"/>
            </w:r>
          </w:hyperlink>
        </w:p>
        <w:p w14:paraId="68AD71AB" w14:textId="7557867E" w:rsidR="0094088A" w:rsidRDefault="00A679EB">
          <w:pPr>
            <w:pStyle w:val="21"/>
            <w:rPr>
              <w:rFonts w:asciiTheme="minorHAnsi" w:eastAsiaTheme="minorEastAsia" w:hAnsiTheme="minorHAnsi" w:cstheme="minorBidi"/>
              <w:noProof/>
              <w:sz w:val="24"/>
              <w:szCs w:val="24"/>
              <w:lang w:eastAsia="ru-RU"/>
            </w:rPr>
          </w:pPr>
          <w:hyperlink w:anchor="_Toc66096842" w:history="1">
            <w:r w:rsidR="0094088A" w:rsidRPr="00AA4760">
              <w:rPr>
                <w:rStyle w:val="affd"/>
                <w:noProof/>
              </w:rPr>
              <w:t xml:space="preserve">7.8 </w:t>
            </w:r>
            <w:r w:rsidR="0094088A" w:rsidRPr="00AA4760">
              <w:rPr>
                <w:rStyle w:val="affd"/>
                <w:noProof/>
                <w:lang w:eastAsia="ru-RU"/>
              </w:rPr>
              <w:t>Профилактика и лечение синдрома лизиса опухоли.</w:t>
            </w:r>
            <w:r w:rsidR="0094088A">
              <w:rPr>
                <w:noProof/>
                <w:webHidden/>
              </w:rPr>
              <w:tab/>
            </w:r>
            <w:r w:rsidR="0094088A">
              <w:rPr>
                <w:noProof/>
                <w:webHidden/>
              </w:rPr>
              <w:fldChar w:fldCharType="begin"/>
            </w:r>
            <w:r w:rsidR="0094088A">
              <w:rPr>
                <w:noProof/>
                <w:webHidden/>
              </w:rPr>
              <w:instrText xml:space="preserve"> PAGEREF _Toc66096842 \h </w:instrText>
            </w:r>
            <w:r w:rsidR="0094088A">
              <w:rPr>
                <w:noProof/>
                <w:webHidden/>
              </w:rPr>
            </w:r>
            <w:r w:rsidR="0094088A">
              <w:rPr>
                <w:noProof/>
                <w:webHidden/>
              </w:rPr>
              <w:fldChar w:fldCharType="separate"/>
            </w:r>
            <w:r w:rsidR="0094088A">
              <w:rPr>
                <w:noProof/>
                <w:webHidden/>
              </w:rPr>
              <w:t>57</w:t>
            </w:r>
            <w:r w:rsidR="0094088A">
              <w:rPr>
                <w:noProof/>
                <w:webHidden/>
              </w:rPr>
              <w:fldChar w:fldCharType="end"/>
            </w:r>
          </w:hyperlink>
        </w:p>
        <w:p w14:paraId="60EEA96D" w14:textId="65D2346C" w:rsidR="0094088A" w:rsidRDefault="00A679EB">
          <w:pPr>
            <w:pStyle w:val="21"/>
            <w:rPr>
              <w:rFonts w:asciiTheme="minorHAnsi" w:eastAsiaTheme="minorEastAsia" w:hAnsiTheme="minorHAnsi" w:cstheme="minorBidi"/>
              <w:noProof/>
              <w:sz w:val="24"/>
              <w:szCs w:val="24"/>
              <w:lang w:eastAsia="ru-RU"/>
            </w:rPr>
          </w:pPr>
          <w:hyperlink w:anchor="_Toc66096843" w:history="1">
            <w:r w:rsidR="0094088A" w:rsidRPr="00AA4760">
              <w:rPr>
                <w:rStyle w:val="affd"/>
                <w:noProof/>
              </w:rPr>
              <w:t>7.9 Профилактика, диагностика и лечение тромботических осложнений</w:t>
            </w:r>
            <w:r w:rsidR="0094088A">
              <w:rPr>
                <w:noProof/>
                <w:webHidden/>
              </w:rPr>
              <w:tab/>
            </w:r>
            <w:r w:rsidR="0094088A">
              <w:rPr>
                <w:noProof/>
                <w:webHidden/>
              </w:rPr>
              <w:fldChar w:fldCharType="begin"/>
            </w:r>
            <w:r w:rsidR="0094088A">
              <w:rPr>
                <w:noProof/>
                <w:webHidden/>
              </w:rPr>
              <w:instrText xml:space="preserve"> PAGEREF _Toc66096843 \h </w:instrText>
            </w:r>
            <w:r w:rsidR="0094088A">
              <w:rPr>
                <w:noProof/>
                <w:webHidden/>
              </w:rPr>
            </w:r>
            <w:r w:rsidR="0094088A">
              <w:rPr>
                <w:noProof/>
                <w:webHidden/>
              </w:rPr>
              <w:fldChar w:fldCharType="separate"/>
            </w:r>
            <w:r w:rsidR="0094088A">
              <w:rPr>
                <w:noProof/>
                <w:webHidden/>
              </w:rPr>
              <w:t>60</w:t>
            </w:r>
            <w:r w:rsidR="0094088A">
              <w:rPr>
                <w:noProof/>
                <w:webHidden/>
              </w:rPr>
              <w:fldChar w:fldCharType="end"/>
            </w:r>
          </w:hyperlink>
        </w:p>
        <w:p w14:paraId="3EE6A18D" w14:textId="5EBFD372" w:rsidR="0094088A" w:rsidRDefault="00A679EB">
          <w:pPr>
            <w:pStyle w:val="21"/>
            <w:rPr>
              <w:rFonts w:asciiTheme="minorHAnsi" w:eastAsiaTheme="minorEastAsia" w:hAnsiTheme="minorHAnsi" w:cstheme="minorBidi"/>
              <w:noProof/>
              <w:sz w:val="24"/>
              <w:szCs w:val="24"/>
              <w:lang w:eastAsia="ru-RU"/>
            </w:rPr>
          </w:pPr>
          <w:hyperlink w:anchor="_Toc66096844" w:history="1">
            <w:r w:rsidR="0094088A" w:rsidRPr="00AA4760">
              <w:rPr>
                <w:rStyle w:val="affd"/>
                <w:noProof/>
              </w:rPr>
              <w:t>7.10 Профилактика, диагностика и лечение геморрагических осложнений</w:t>
            </w:r>
            <w:r w:rsidR="0094088A">
              <w:rPr>
                <w:noProof/>
                <w:webHidden/>
              </w:rPr>
              <w:tab/>
            </w:r>
            <w:r w:rsidR="0094088A">
              <w:rPr>
                <w:noProof/>
                <w:webHidden/>
              </w:rPr>
              <w:fldChar w:fldCharType="begin"/>
            </w:r>
            <w:r w:rsidR="0094088A">
              <w:rPr>
                <w:noProof/>
                <w:webHidden/>
              </w:rPr>
              <w:instrText xml:space="preserve"> PAGEREF _Toc66096844 \h </w:instrText>
            </w:r>
            <w:r w:rsidR="0094088A">
              <w:rPr>
                <w:noProof/>
                <w:webHidden/>
              </w:rPr>
            </w:r>
            <w:r w:rsidR="0094088A">
              <w:rPr>
                <w:noProof/>
                <w:webHidden/>
              </w:rPr>
              <w:fldChar w:fldCharType="separate"/>
            </w:r>
            <w:r w:rsidR="0094088A">
              <w:rPr>
                <w:noProof/>
                <w:webHidden/>
              </w:rPr>
              <w:t>76</w:t>
            </w:r>
            <w:r w:rsidR="0094088A">
              <w:rPr>
                <w:noProof/>
                <w:webHidden/>
              </w:rPr>
              <w:fldChar w:fldCharType="end"/>
            </w:r>
          </w:hyperlink>
        </w:p>
        <w:p w14:paraId="30D067BB" w14:textId="06608310" w:rsidR="0094088A" w:rsidRDefault="00A679EB">
          <w:pPr>
            <w:pStyle w:val="21"/>
            <w:rPr>
              <w:rFonts w:asciiTheme="minorHAnsi" w:eastAsiaTheme="minorEastAsia" w:hAnsiTheme="minorHAnsi" w:cstheme="minorBidi"/>
              <w:noProof/>
              <w:sz w:val="24"/>
              <w:szCs w:val="24"/>
              <w:lang w:eastAsia="ru-RU"/>
            </w:rPr>
          </w:pPr>
          <w:hyperlink w:anchor="_Toc66096845" w:history="1">
            <w:r w:rsidR="0094088A" w:rsidRPr="00AA4760">
              <w:rPr>
                <w:rStyle w:val="affd"/>
                <w:noProof/>
              </w:rPr>
              <w:t>7.11 Лечение меноррагий у пациенток с гематологическими заболеваниями</w:t>
            </w:r>
            <w:r w:rsidR="0094088A">
              <w:rPr>
                <w:noProof/>
                <w:webHidden/>
              </w:rPr>
              <w:tab/>
            </w:r>
            <w:r w:rsidR="0094088A">
              <w:rPr>
                <w:noProof/>
                <w:webHidden/>
              </w:rPr>
              <w:fldChar w:fldCharType="begin"/>
            </w:r>
            <w:r w:rsidR="0094088A">
              <w:rPr>
                <w:noProof/>
                <w:webHidden/>
              </w:rPr>
              <w:instrText xml:space="preserve"> PAGEREF _Toc66096845 \h </w:instrText>
            </w:r>
            <w:r w:rsidR="0094088A">
              <w:rPr>
                <w:noProof/>
                <w:webHidden/>
              </w:rPr>
            </w:r>
            <w:r w:rsidR="0094088A">
              <w:rPr>
                <w:noProof/>
                <w:webHidden/>
              </w:rPr>
              <w:fldChar w:fldCharType="separate"/>
            </w:r>
            <w:r w:rsidR="0094088A">
              <w:rPr>
                <w:noProof/>
                <w:webHidden/>
              </w:rPr>
              <w:t>81</w:t>
            </w:r>
            <w:r w:rsidR="0094088A">
              <w:rPr>
                <w:noProof/>
                <w:webHidden/>
              </w:rPr>
              <w:fldChar w:fldCharType="end"/>
            </w:r>
          </w:hyperlink>
        </w:p>
        <w:p w14:paraId="46282BAD" w14:textId="275E73C5" w:rsidR="0094088A" w:rsidRDefault="00A679EB">
          <w:pPr>
            <w:pStyle w:val="21"/>
            <w:rPr>
              <w:rFonts w:asciiTheme="minorHAnsi" w:eastAsiaTheme="minorEastAsia" w:hAnsiTheme="minorHAnsi" w:cstheme="minorBidi"/>
              <w:noProof/>
              <w:sz w:val="24"/>
              <w:szCs w:val="24"/>
              <w:lang w:eastAsia="ru-RU"/>
            </w:rPr>
          </w:pPr>
          <w:hyperlink w:anchor="_Toc66096846" w:history="1">
            <w:r w:rsidR="0094088A" w:rsidRPr="00AA4760">
              <w:rPr>
                <w:rStyle w:val="affd"/>
                <w:noProof/>
              </w:rPr>
              <w:t xml:space="preserve">7.12 </w:t>
            </w:r>
            <w:r w:rsidR="0094088A" w:rsidRPr="00AA4760">
              <w:rPr>
                <w:rStyle w:val="affd"/>
                <w:noProof/>
                <w:kern w:val="32"/>
              </w:rPr>
              <w:t>Диагностика гемотрансмиссивных инфекций</w:t>
            </w:r>
            <w:r w:rsidR="0094088A">
              <w:rPr>
                <w:noProof/>
                <w:webHidden/>
              </w:rPr>
              <w:tab/>
            </w:r>
            <w:r w:rsidR="0094088A">
              <w:rPr>
                <w:noProof/>
                <w:webHidden/>
              </w:rPr>
              <w:fldChar w:fldCharType="begin"/>
            </w:r>
            <w:r w:rsidR="0094088A">
              <w:rPr>
                <w:noProof/>
                <w:webHidden/>
              </w:rPr>
              <w:instrText xml:space="preserve"> PAGEREF _Toc66096846 \h </w:instrText>
            </w:r>
            <w:r w:rsidR="0094088A">
              <w:rPr>
                <w:noProof/>
                <w:webHidden/>
              </w:rPr>
            </w:r>
            <w:r w:rsidR="0094088A">
              <w:rPr>
                <w:noProof/>
                <w:webHidden/>
              </w:rPr>
              <w:fldChar w:fldCharType="separate"/>
            </w:r>
            <w:r w:rsidR="0094088A">
              <w:rPr>
                <w:noProof/>
                <w:webHidden/>
              </w:rPr>
              <w:t>86</w:t>
            </w:r>
            <w:r w:rsidR="0094088A">
              <w:rPr>
                <w:noProof/>
                <w:webHidden/>
              </w:rPr>
              <w:fldChar w:fldCharType="end"/>
            </w:r>
          </w:hyperlink>
        </w:p>
        <w:p w14:paraId="0E207546" w14:textId="33B7AD31" w:rsidR="0094088A" w:rsidRDefault="00A679EB">
          <w:pPr>
            <w:pStyle w:val="21"/>
            <w:rPr>
              <w:rFonts w:asciiTheme="minorHAnsi" w:eastAsiaTheme="minorEastAsia" w:hAnsiTheme="minorHAnsi" w:cstheme="minorBidi"/>
              <w:noProof/>
              <w:sz w:val="24"/>
              <w:szCs w:val="24"/>
              <w:lang w:eastAsia="ru-RU"/>
            </w:rPr>
          </w:pPr>
          <w:hyperlink w:anchor="_Toc66096847" w:history="1">
            <w:r w:rsidR="0094088A" w:rsidRPr="00AA4760">
              <w:rPr>
                <w:rStyle w:val="affd"/>
                <w:noProof/>
              </w:rPr>
              <w:t>7.13 Диагностика и лечение бактериальных инфекционных осложнений</w:t>
            </w:r>
            <w:r w:rsidR="0094088A">
              <w:rPr>
                <w:noProof/>
                <w:webHidden/>
              </w:rPr>
              <w:tab/>
            </w:r>
            <w:r w:rsidR="0094088A">
              <w:rPr>
                <w:noProof/>
                <w:webHidden/>
              </w:rPr>
              <w:fldChar w:fldCharType="begin"/>
            </w:r>
            <w:r w:rsidR="0094088A">
              <w:rPr>
                <w:noProof/>
                <w:webHidden/>
              </w:rPr>
              <w:instrText xml:space="preserve"> PAGEREF _Toc66096847 \h </w:instrText>
            </w:r>
            <w:r w:rsidR="0094088A">
              <w:rPr>
                <w:noProof/>
                <w:webHidden/>
              </w:rPr>
            </w:r>
            <w:r w:rsidR="0094088A">
              <w:rPr>
                <w:noProof/>
                <w:webHidden/>
              </w:rPr>
              <w:fldChar w:fldCharType="separate"/>
            </w:r>
            <w:r w:rsidR="0094088A">
              <w:rPr>
                <w:noProof/>
                <w:webHidden/>
              </w:rPr>
              <w:t>89</w:t>
            </w:r>
            <w:r w:rsidR="0094088A">
              <w:rPr>
                <w:noProof/>
                <w:webHidden/>
              </w:rPr>
              <w:fldChar w:fldCharType="end"/>
            </w:r>
          </w:hyperlink>
        </w:p>
        <w:p w14:paraId="0E3FC7B7" w14:textId="76ABF25C" w:rsidR="0094088A" w:rsidRDefault="00A679EB">
          <w:pPr>
            <w:pStyle w:val="21"/>
            <w:rPr>
              <w:rFonts w:asciiTheme="minorHAnsi" w:eastAsiaTheme="minorEastAsia" w:hAnsiTheme="minorHAnsi" w:cstheme="minorBidi"/>
              <w:noProof/>
              <w:sz w:val="24"/>
              <w:szCs w:val="24"/>
              <w:lang w:eastAsia="ru-RU"/>
            </w:rPr>
          </w:pPr>
          <w:hyperlink w:anchor="_Toc66096848" w:history="1">
            <w:r w:rsidR="0094088A" w:rsidRPr="00AA4760">
              <w:rPr>
                <w:rStyle w:val="affd"/>
                <w:noProof/>
              </w:rPr>
              <w:t>7.14 Вирусные инфекции у пациентов с гематологическими заболеваниями</w:t>
            </w:r>
            <w:r w:rsidR="0094088A">
              <w:rPr>
                <w:noProof/>
                <w:webHidden/>
              </w:rPr>
              <w:tab/>
            </w:r>
            <w:r w:rsidR="0094088A">
              <w:rPr>
                <w:noProof/>
                <w:webHidden/>
              </w:rPr>
              <w:fldChar w:fldCharType="begin"/>
            </w:r>
            <w:r w:rsidR="0094088A">
              <w:rPr>
                <w:noProof/>
                <w:webHidden/>
              </w:rPr>
              <w:instrText xml:space="preserve"> PAGEREF _Toc66096848 \h </w:instrText>
            </w:r>
            <w:r w:rsidR="0094088A">
              <w:rPr>
                <w:noProof/>
                <w:webHidden/>
              </w:rPr>
            </w:r>
            <w:r w:rsidR="0094088A">
              <w:rPr>
                <w:noProof/>
                <w:webHidden/>
              </w:rPr>
              <w:fldChar w:fldCharType="separate"/>
            </w:r>
            <w:r w:rsidR="0094088A">
              <w:rPr>
                <w:noProof/>
                <w:webHidden/>
              </w:rPr>
              <w:t>110</w:t>
            </w:r>
            <w:r w:rsidR="0094088A">
              <w:rPr>
                <w:noProof/>
                <w:webHidden/>
              </w:rPr>
              <w:fldChar w:fldCharType="end"/>
            </w:r>
          </w:hyperlink>
        </w:p>
        <w:p w14:paraId="3FDD5D52" w14:textId="0FE23F13" w:rsidR="0094088A" w:rsidRDefault="00A679EB">
          <w:pPr>
            <w:pStyle w:val="21"/>
            <w:rPr>
              <w:rFonts w:asciiTheme="minorHAnsi" w:eastAsiaTheme="minorEastAsia" w:hAnsiTheme="minorHAnsi" w:cstheme="minorBidi"/>
              <w:noProof/>
              <w:sz w:val="24"/>
              <w:szCs w:val="24"/>
              <w:lang w:eastAsia="ru-RU"/>
            </w:rPr>
          </w:pPr>
          <w:hyperlink w:anchor="_Toc66096849" w:history="1">
            <w:r w:rsidR="0094088A" w:rsidRPr="00AA4760">
              <w:rPr>
                <w:rStyle w:val="affd"/>
                <w:noProof/>
              </w:rPr>
              <w:t>7.15 Диагностика и лечение инфекций, вызванных грибами</w:t>
            </w:r>
            <w:r w:rsidR="0094088A">
              <w:rPr>
                <w:noProof/>
                <w:webHidden/>
              </w:rPr>
              <w:tab/>
            </w:r>
            <w:r w:rsidR="0094088A">
              <w:rPr>
                <w:noProof/>
                <w:webHidden/>
              </w:rPr>
              <w:fldChar w:fldCharType="begin"/>
            </w:r>
            <w:r w:rsidR="0094088A">
              <w:rPr>
                <w:noProof/>
                <w:webHidden/>
              </w:rPr>
              <w:instrText xml:space="preserve"> PAGEREF _Toc66096849 \h </w:instrText>
            </w:r>
            <w:r w:rsidR="0094088A">
              <w:rPr>
                <w:noProof/>
                <w:webHidden/>
              </w:rPr>
            </w:r>
            <w:r w:rsidR="0094088A">
              <w:rPr>
                <w:noProof/>
                <w:webHidden/>
              </w:rPr>
              <w:fldChar w:fldCharType="separate"/>
            </w:r>
            <w:r w:rsidR="0094088A">
              <w:rPr>
                <w:noProof/>
                <w:webHidden/>
              </w:rPr>
              <w:t>114</w:t>
            </w:r>
            <w:r w:rsidR="0094088A">
              <w:rPr>
                <w:noProof/>
                <w:webHidden/>
              </w:rPr>
              <w:fldChar w:fldCharType="end"/>
            </w:r>
          </w:hyperlink>
        </w:p>
        <w:p w14:paraId="2A51E237" w14:textId="429417C3" w:rsidR="0094088A" w:rsidRDefault="00A679EB">
          <w:pPr>
            <w:pStyle w:val="21"/>
            <w:rPr>
              <w:rFonts w:asciiTheme="minorHAnsi" w:eastAsiaTheme="minorEastAsia" w:hAnsiTheme="minorHAnsi" w:cstheme="minorBidi"/>
              <w:noProof/>
              <w:sz w:val="24"/>
              <w:szCs w:val="24"/>
              <w:lang w:eastAsia="ru-RU"/>
            </w:rPr>
          </w:pPr>
          <w:hyperlink w:anchor="_Toc66096850" w:history="1">
            <w:r w:rsidR="0094088A" w:rsidRPr="00AA4760">
              <w:rPr>
                <w:rStyle w:val="affd"/>
                <w:noProof/>
              </w:rPr>
              <w:t>7.16 Диагностика и лечение септического шока и острой дыхательной недостаточности у гематологических пациентов</w:t>
            </w:r>
            <w:r w:rsidR="0094088A">
              <w:rPr>
                <w:noProof/>
                <w:webHidden/>
              </w:rPr>
              <w:tab/>
            </w:r>
            <w:r w:rsidR="0094088A">
              <w:rPr>
                <w:noProof/>
                <w:webHidden/>
              </w:rPr>
              <w:fldChar w:fldCharType="begin"/>
            </w:r>
            <w:r w:rsidR="0094088A">
              <w:rPr>
                <w:noProof/>
                <w:webHidden/>
              </w:rPr>
              <w:instrText xml:space="preserve"> PAGEREF _Toc66096850 \h </w:instrText>
            </w:r>
            <w:r w:rsidR="0094088A">
              <w:rPr>
                <w:noProof/>
                <w:webHidden/>
              </w:rPr>
            </w:r>
            <w:r w:rsidR="0094088A">
              <w:rPr>
                <w:noProof/>
                <w:webHidden/>
              </w:rPr>
              <w:fldChar w:fldCharType="separate"/>
            </w:r>
            <w:r w:rsidR="0094088A">
              <w:rPr>
                <w:noProof/>
                <w:webHidden/>
              </w:rPr>
              <w:t>140</w:t>
            </w:r>
            <w:r w:rsidR="0094088A">
              <w:rPr>
                <w:noProof/>
                <w:webHidden/>
              </w:rPr>
              <w:fldChar w:fldCharType="end"/>
            </w:r>
          </w:hyperlink>
        </w:p>
        <w:p w14:paraId="22602023" w14:textId="2AF3AC31" w:rsidR="0094088A" w:rsidRDefault="00A679EB">
          <w:pPr>
            <w:pStyle w:val="21"/>
            <w:rPr>
              <w:rFonts w:asciiTheme="minorHAnsi" w:eastAsiaTheme="minorEastAsia" w:hAnsiTheme="minorHAnsi" w:cstheme="minorBidi"/>
              <w:noProof/>
              <w:sz w:val="24"/>
              <w:szCs w:val="24"/>
              <w:lang w:eastAsia="ru-RU"/>
            </w:rPr>
          </w:pPr>
          <w:hyperlink w:anchor="_Toc66096851" w:history="1">
            <w:r w:rsidR="0094088A" w:rsidRPr="00AA4760">
              <w:rPr>
                <w:rStyle w:val="affd"/>
                <w:noProof/>
              </w:rPr>
              <w:t>7.17 Диагностика и лечение почечной недостаточности в гематологии</w:t>
            </w:r>
            <w:r w:rsidR="0094088A">
              <w:rPr>
                <w:noProof/>
                <w:webHidden/>
              </w:rPr>
              <w:tab/>
            </w:r>
            <w:r w:rsidR="0094088A">
              <w:rPr>
                <w:noProof/>
                <w:webHidden/>
              </w:rPr>
              <w:fldChar w:fldCharType="begin"/>
            </w:r>
            <w:r w:rsidR="0094088A">
              <w:rPr>
                <w:noProof/>
                <w:webHidden/>
              </w:rPr>
              <w:instrText xml:space="preserve"> PAGEREF _Toc66096851 \h </w:instrText>
            </w:r>
            <w:r w:rsidR="0094088A">
              <w:rPr>
                <w:noProof/>
                <w:webHidden/>
              </w:rPr>
            </w:r>
            <w:r w:rsidR="0094088A">
              <w:rPr>
                <w:noProof/>
                <w:webHidden/>
              </w:rPr>
              <w:fldChar w:fldCharType="separate"/>
            </w:r>
            <w:r w:rsidR="0094088A">
              <w:rPr>
                <w:noProof/>
                <w:webHidden/>
              </w:rPr>
              <w:t>169</w:t>
            </w:r>
            <w:r w:rsidR="0094088A">
              <w:rPr>
                <w:noProof/>
                <w:webHidden/>
              </w:rPr>
              <w:fldChar w:fldCharType="end"/>
            </w:r>
          </w:hyperlink>
        </w:p>
        <w:p w14:paraId="5CBDB57B" w14:textId="4D7BF4AB" w:rsidR="0094088A" w:rsidRDefault="00A679EB">
          <w:pPr>
            <w:pStyle w:val="21"/>
            <w:rPr>
              <w:rFonts w:asciiTheme="minorHAnsi" w:eastAsiaTheme="minorEastAsia" w:hAnsiTheme="minorHAnsi" w:cstheme="minorBidi"/>
              <w:noProof/>
              <w:sz w:val="24"/>
              <w:szCs w:val="24"/>
              <w:lang w:eastAsia="ru-RU"/>
            </w:rPr>
          </w:pPr>
          <w:hyperlink w:anchor="_Toc66096852" w:history="1">
            <w:r w:rsidR="0094088A" w:rsidRPr="00AA4760">
              <w:rPr>
                <w:rStyle w:val="affd"/>
                <w:noProof/>
              </w:rPr>
              <w:t>7.18 Диагностика и лечение неврологических проявлений при гематологических заболеваниях</w:t>
            </w:r>
            <w:r w:rsidR="0094088A">
              <w:rPr>
                <w:noProof/>
                <w:webHidden/>
              </w:rPr>
              <w:tab/>
            </w:r>
            <w:r w:rsidR="0094088A">
              <w:rPr>
                <w:noProof/>
                <w:webHidden/>
              </w:rPr>
              <w:fldChar w:fldCharType="begin"/>
            </w:r>
            <w:r w:rsidR="0094088A">
              <w:rPr>
                <w:noProof/>
                <w:webHidden/>
              </w:rPr>
              <w:instrText xml:space="preserve"> PAGEREF _Toc66096852 \h </w:instrText>
            </w:r>
            <w:r w:rsidR="0094088A">
              <w:rPr>
                <w:noProof/>
                <w:webHidden/>
              </w:rPr>
            </w:r>
            <w:r w:rsidR="0094088A">
              <w:rPr>
                <w:noProof/>
                <w:webHidden/>
              </w:rPr>
              <w:fldChar w:fldCharType="separate"/>
            </w:r>
            <w:r w:rsidR="0094088A">
              <w:rPr>
                <w:noProof/>
                <w:webHidden/>
              </w:rPr>
              <w:t>178</w:t>
            </w:r>
            <w:r w:rsidR="0094088A">
              <w:rPr>
                <w:noProof/>
                <w:webHidden/>
              </w:rPr>
              <w:fldChar w:fldCharType="end"/>
            </w:r>
          </w:hyperlink>
        </w:p>
        <w:p w14:paraId="74E8168F" w14:textId="7B394425" w:rsidR="0094088A" w:rsidRDefault="00A679EB">
          <w:pPr>
            <w:pStyle w:val="21"/>
            <w:rPr>
              <w:rFonts w:asciiTheme="minorHAnsi" w:eastAsiaTheme="minorEastAsia" w:hAnsiTheme="minorHAnsi" w:cstheme="minorBidi"/>
              <w:noProof/>
              <w:sz w:val="24"/>
              <w:szCs w:val="24"/>
              <w:lang w:eastAsia="ru-RU"/>
            </w:rPr>
          </w:pPr>
          <w:hyperlink w:anchor="_Toc66096853" w:history="1">
            <w:r w:rsidR="0094088A" w:rsidRPr="00AA4760">
              <w:rPr>
                <w:rStyle w:val="affd"/>
                <w:noProof/>
              </w:rPr>
              <w:t>7.19 Кардиологическое обследование и лечение пациентов с гематологическими заболеваниями</w:t>
            </w:r>
            <w:r w:rsidR="0094088A">
              <w:rPr>
                <w:noProof/>
                <w:webHidden/>
              </w:rPr>
              <w:tab/>
            </w:r>
            <w:r w:rsidR="0094088A">
              <w:rPr>
                <w:noProof/>
                <w:webHidden/>
              </w:rPr>
              <w:fldChar w:fldCharType="begin"/>
            </w:r>
            <w:r w:rsidR="0094088A">
              <w:rPr>
                <w:noProof/>
                <w:webHidden/>
              </w:rPr>
              <w:instrText xml:space="preserve"> PAGEREF _Toc66096853 \h </w:instrText>
            </w:r>
            <w:r w:rsidR="0094088A">
              <w:rPr>
                <w:noProof/>
                <w:webHidden/>
              </w:rPr>
            </w:r>
            <w:r w:rsidR="0094088A">
              <w:rPr>
                <w:noProof/>
                <w:webHidden/>
              </w:rPr>
              <w:fldChar w:fldCharType="separate"/>
            </w:r>
            <w:r w:rsidR="0094088A">
              <w:rPr>
                <w:noProof/>
                <w:webHidden/>
              </w:rPr>
              <w:t>193</w:t>
            </w:r>
            <w:r w:rsidR="0094088A">
              <w:rPr>
                <w:noProof/>
                <w:webHidden/>
              </w:rPr>
              <w:fldChar w:fldCharType="end"/>
            </w:r>
          </w:hyperlink>
        </w:p>
        <w:p w14:paraId="06B654DA" w14:textId="5D8DD743" w:rsidR="0094088A" w:rsidRDefault="00A679EB">
          <w:pPr>
            <w:pStyle w:val="1a"/>
            <w:rPr>
              <w:rFonts w:asciiTheme="minorHAnsi" w:eastAsiaTheme="minorEastAsia" w:hAnsiTheme="minorHAnsi"/>
              <w:noProof/>
              <w:szCs w:val="24"/>
              <w:lang w:eastAsia="ru-RU"/>
            </w:rPr>
          </w:pPr>
          <w:hyperlink w:anchor="_Toc66096854" w:history="1">
            <w:r w:rsidR="0094088A" w:rsidRPr="00AA4760">
              <w:rPr>
                <w:rStyle w:val="affd"/>
                <w:noProof/>
              </w:rPr>
              <w:t>Критерии оценки качества медицинской помощи</w:t>
            </w:r>
            <w:r w:rsidR="0094088A">
              <w:rPr>
                <w:noProof/>
                <w:webHidden/>
              </w:rPr>
              <w:tab/>
            </w:r>
            <w:r w:rsidR="0094088A">
              <w:rPr>
                <w:noProof/>
                <w:webHidden/>
              </w:rPr>
              <w:fldChar w:fldCharType="begin"/>
            </w:r>
            <w:r w:rsidR="0094088A">
              <w:rPr>
                <w:noProof/>
                <w:webHidden/>
              </w:rPr>
              <w:instrText xml:space="preserve"> PAGEREF _Toc66096854 \h </w:instrText>
            </w:r>
            <w:r w:rsidR="0094088A">
              <w:rPr>
                <w:noProof/>
                <w:webHidden/>
              </w:rPr>
            </w:r>
            <w:r w:rsidR="0094088A">
              <w:rPr>
                <w:noProof/>
                <w:webHidden/>
              </w:rPr>
              <w:fldChar w:fldCharType="separate"/>
            </w:r>
            <w:r w:rsidR="0094088A">
              <w:rPr>
                <w:noProof/>
                <w:webHidden/>
              </w:rPr>
              <w:t>204</w:t>
            </w:r>
            <w:r w:rsidR="0094088A">
              <w:rPr>
                <w:noProof/>
                <w:webHidden/>
              </w:rPr>
              <w:fldChar w:fldCharType="end"/>
            </w:r>
          </w:hyperlink>
        </w:p>
        <w:p w14:paraId="1BE1EE10" w14:textId="6BFE3E08" w:rsidR="0094088A" w:rsidRDefault="00A679EB">
          <w:pPr>
            <w:pStyle w:val="1a"/>
            <w:rPr>
              <w:rFonts w:asciiTheme="minorHAnsi" w:eastAsiaTheme="minorEastAsia" w:hAnsiTheme="minorHAnsi"/>
              <w:noProof/>
              <w:szCs w:val="24"/>
              <w:lang w:eastAsia="ru-RU"/>
            </w:rPr>
          </w:pPr>
          <w:hyperlink w:anchor="_Toc66096855" w:history="1">
            <w:r w:rsidR="0094088A" w:rsidRPr="00AA4760">
              <w:rPr>
                <w:rStyle w:val="affd"/>
                <w:noProof/>
              </w:rPr>
              <w:t>Список литературы</w:t>
            </w:r>
            <w:r w:rsidR="0094088A">
              <w:rPr>
                <w:noProof/>
                <w:webHidden/>
              </w:rPr>
              <w:tab/>
            </w:r>
            <w:r w:rsidR="0094088A">
              <w:rPr>
                <w:noProof/>
                <w:webHidden/>
              </w:rPr>
              <w:fldChar w:fldCharType="begin"/>
            </w:r>
            <w:r w:rsidR="0094088A">
              <w:rPr>
                <w:noProof/>
                <w:webHidden/>
              </w:rPr>
              <w:instrText xml:space="preserve"> PAGEREF _Toc66096855 \h </w:instrText>
            </w:r>
            <w:r w:rsidR="0094088A">
              <w:rPr>
                <w:noProof/>
                <w:webHidden/>
              </w:rPr>
            </w:r>
            <w:r w:rsidR="0094088A">
              <w:rPr>
                <w:noProof/>
                <w:webHidden/>
              </w:rPr>
              <w:fldChar w:fldCharType="separate"/>
            </w:r>
            <w:r w:rsidR="0094088A">
              <w:rPr>
                <w:noProof/>
                <w:webHidden/>
              </w:rPr>
              <w:t>208</w:t>
            </w:r>
            <w:r w:rsidR="0094088A">
              <w:rPr>
                <w:noProof/>
                <w:webHidden/>
              </w:rPr>
              <w:fldChar w:fldCharType="end"/>
            </w:r>
          </w:hyperlink>
        </w:p>
        <w:p w14:paraId="45769E80" w14:textId="2C91B2F3" w:rsidR="0094088A" w:rsidRDefault="00A679EB">
          <w:pPr>
            <w:pStyle w:val="1a"/>
            <w:rPr>
              <w:rFonts w:asciiTheme="minorHAnsi" w:eastAsiaTheme="minorEastAsia" w:hAnsiTheme="minorHAnsi"/>
              <w:noProof/>
              <w:szCs w:val="24"/>
              <w:lang w:eastAsia="ru-RU"/>
            </w:rPr>
          </w:pPr>
          <w:hyperlink w:anchor="_Toc66096856" w:history="1">
            <w:r w:rsidR="0094088A" w:rsidRPr="00AA4760">
              <w:rPr>
                <w:rStyle w:val="affd"/>
                <w:noProof/>
              </w:rPr>
              <w:t>Приложение А1. Состав рабочей группы по разработке и пересмотру клинических рекомендаций</w:t>
            </w:r>
            <w:r w:rsidR="0094088A">
              <w:rPr>
                <w:noProof/>
                <w:webHidden/>
              </w:rPr>
              <w:tab/>
            </w:r>
            <w:r w:rsidR="0094088A">
              <w:rPr>
                <w:noProof/>
                <w:webHidden/>
              </w:rPr>
              <w:fldChar w:fldCharType="begin"/>
            </w:r>
            <w:r w:rsidR="0094088A">
              <w:rPr>
                <w:noProof/>
                <w:webHidden/>
              </w:rPr>
              <w:instrText xml:space="preserve"> PAGEREF _Toc66096856 \h </w:instrText>
            </w:r>
            <w:r w:rsidR="0094088A">
              <w:rPr>
                <w:noProof/>
                <w:webHidden/>
              </w:rPr>
            </w:r>
            <w:r w:rsidR="0094088A">
              <w:rPr>
                <w:noProof/>
                <w:webHidden/>
              </w:rPr>
              <w:fldChar w:fldCharType="separate"/>
            </w:r>
            <w:r w:rsidR="0094088A">
              <w:rPr>
                <w:noProof/>
                <w:webHidden/>
              </w:rPr>
              <w:t>231</w:t>
            </w:r>
            <w:r w:rsidR="0094088A">
              <w:rPr>
                <w:noProof/>
                <w:webHidden/>
              </w:rPr>
              <w:fldChar w:fldCharType="end"/>
            </w:r>
          </w:hyperlink>
        </w:p>
        <w:p w14:paraId="72AB614C" w14:textId="06950FE4" w:rsidR="0094088A" w:rsidRDefault="00A679EB">
          <w:pPr>
            <w:pStyle w:val="1a"/>
            <w:rPr>
              <w:rFonts w:asciiTheme="minorHAnsi" w:eastAsiaTheme="minorEastAsia" w:hAnsiTheme="minorHAnsi"/>
              <w:noProof/>
              <w:szCs w:val="24"/>
              <w:lang w:eastAsia="ru-RU"/>
            </w:rPr>
          </w:pPr>
          <w:hyperlink w:anchor="_Toc66096857" w:history="1">
            <w:r w:rsidR="0094088A" w:rsidRPr="00AA4760">
              <w:rPr>
                <w:rStyle w:val="affd"/>
                <w:noProof/>
              </w:rPr>
              <w:t>Приложение А2. Методология разработки клинических рекомендаций</w:t>
            </w:r>
            <w:r w:rsidR="0094088A">
              <w:rPr>
                <w:noProof/>
                <w:webHidden/>
              </w:rPr>
              <w:tab/>
            </w:r>
            <w:r w:rsidR="0094088A">
              <w:rPr>
                <w:noProof/>
                <w:webHidden/>
              </w:rPr>
              <w:fldChar w:fldCharType="begin"/>
            </w:r>
            <w:r w:rsidR="0094088A">
              <w:rPr>
                <w:noProof/>
                <w:webHidden/>
              </w:rPr>
              <w:instrText xml:space="preserve"> PAGEREF _Toc66096857 \h </w:instrText>
            </w:r>
            <w:r w:rsidR="0094088A">
              <w:rPr>
                <w:noProof/>
                <w:webHidden/>
              </w:rPr>
            </w:r>
            <w:r w:rsidR="0094088A">
              <w:rPr>
                <w:noProof/>
                <w:webHidden/>
              </w:rPr>
              <w:fldChar w:fldCharType="separate"/>
            </w:r>
            <w:r w:rsidR="0094088A">
              <w:rPr>
                <w:noProof/>
                <w:webHidden/>
              </w:rPr>
              <w:t>238</w:t>
            </w:r>
            <w:r w:rsidR="0094088A">
              <w:rPr>
                <w:noProof/>
                <w:webHidden/>
              </w:rPr>
              <w:fldChar w:fldCharType="end"/>
            </w:r>
          </w:hyperlink>
        </w:p>
        <w:p w14:paraId="33C0A7C8" w14:textId="329F42FA" w:rsidR="0094088A" w:rsidRDefault="00A679EB">
          <w:pPr>
            <w:pStyle w:val="1a"/>
            <w:rPr>
              <w:rFonts w:asciiTheme="minorHAnsi" w:eastAsiaTheme="minorEastAsia" w:hAnsiTheme="minorHAnsi"/>
              <w:noProof/>
              <w:szCs w:val="24"/>
              <w:lang w:eastAsia="ru-RU"/>
            </w:rPr>
          </w:pPr>
          <w:hyperlink w:anchor="_Toc66096858" w:history="1">
            <w:r w:rsidR="0094088A" w:rsidRPr="00AA4760">
              <w:rPr>
                <w:rStyle w:val="affd"/>
                <w:noProof/>
              </w:rPr>
              <w:t>Приложение А3.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r w:rsidR="0094088A">
              <w:rPr>
                <w:noProof/>
                <w:webHidden/>
              </w:rPr>
              <w:tab/>
            </w:r>
            <w:r w:rsidR="0094088A">
              <w:rPr>
                <w:noProof/>
                <w:webHidden/>
              </w:rPr>
              <w:fldChar w:fldCharType="begin"/>
            </w:r>
            <w:r w:rsidR="0094088A">
              <w:rPr>
                <w:noProof/>
                <w:webHidden/>
              </w:rPr>
              <w:instrText xml:space="preserve"> PAGEREF _Toc66096858 \h </w:instrText>
            </w:r>
            <w:r w:rsidR="0094088A">
              <w:rPr>
                <w:noProof/>
                <w:webHidden/>
              </w:rPr>
            </w:r>
            <w:r w:rsidR="0094088A">
              <w:rPr>
                <w:noProof/>
                <w:webHidden/>
              </w:rPr>
              <w:fldChar w:fldCharType="separate"/>
            </w:r>
            <w:r w:rsidR="0094088A">
              <w:rPr>
                <w:noProof/>
                <w:webHidden/>
              </w:rPr>
              <w:t>241</w:t>
            </w:r>
            <w:r w:rsidR="0094088A">
              <w:rPr>
                <w:noProof/>
                <w:webHidden/>
              </w:rPr>
              <w:fldChar w:fldCharType="end"/>
            </w:r>
          </w:hyperlink>
        </w:p>
        <w:p w14:paraId="00F17136" w14:textId="5C1A847D" w:rsidR="0094088A" w:rsidRDefault="00A679EB">
          <w:pPr>
            <w:pStyle w:val="21"/>
            <w:rPr>
              <w:rFonts w:asciiTheme="minorHAnsi" w:eastAsiaTheme="minorEastAsia" w:hAnsiTheme="minorHAnsi" w:cstheme="minorBidi"/>
              <w:noProof/>
              <w:sz w:val="24"/>
              <w:szCs w:val="24"/>
              <w:lang w:eastAsia="ru-RU"/>
            </w:rPr>
          </w:pPr>
          <w:hyperlink w:anchor="_Toc66096859" w:history="1">
            <w:r w:rsidR="0094088A" w:rsidRPr="00AA4760">
              <w:rPr>
                <w:rStyle w:val="affd"/>
                <w:noProof/>
              </w:rPr>
              <w:t>Приложение А3.1. Режимы лекарственного лечения ДВКЛ</w:t>
            </w:r>
            <w:r w:rsidR="0094088A">
              <w:rPr>
                <w:noProof/>
                <w:webHidden/>
              </w:rPr>
              <w:tab/>
            </w:r>
            <w:r w:rsidR="0094088A">
              <w:rPr>
                <w:noProof/>
                <w:webHidden/>
              </w:rPr>
              <w:fldChar w:fldCharType="begin"/>
            </w:r>
            <w:r w:rsidR="0094088A">
              <w:rPr>
                <w:noProof/>
                <w:webHidden/>
              </w:rPr>
              <w:instrText xml:space="preserve"> PAGEREF _Toc66096859 \h </w:instrText>
            </w:r>
            <w:r w:rsidR="0094088A">
              <w:rPr>
                <w:noProof/>
                <w:webHidden/>
              </w:rPr>
            </w:r>
            <w:r w:rsidR="0094088A">
              <w:rPr>
                <w:noProof/>
                <w:webHidden/>
              </w:rPr>
              <w:fldChar w:fldCharType="separate"/>
            </w:r>
            <w:r w:rsidR="0094088A">
              <w:rPr>
                <w:noProof/>
                <w:webHidden/>
              </w:rPr>
              <w:t>241</w:t>
            </w:r>
            <w:r w:rsidR="0094088A">
              <w:rPr>
                <w:noProof/>
                <w:webHidden/>
              </w:rPr>
              <w:fldChar w:fldCharType="end"/>
            </w:r>
          </w:hyperlink>
        </w:p>
        <w:p w14:paraId="4990D805" w14:textId="6A4360B5" w:rsidR="0094088A" w:rsidRDefault="00A679EB">
          <w:pPr>
            <w:pStyle w:val="21"/>
            <w:rPr>
              <w:rFonts w:asciiTheme="minorHAnsi" w:eastAsiaTheme="minorEastAsia" w:hAnsiTheme="minorHAnsi" w:cstheme="minorBidi"/>
              <w:noProof/>
              <w:sz w:val="24"/>
              <w:szCs w:val="24"/>
              <w:lang w:eastAsia="ru-RU"/>
            </w:rPr>
          </w:pPr>
          <w:hyperlink w:anchor="_Toc66096860" w:history="1">
            <w:r w:rsidR="0094088A" w:rsidRPr="00AA4760">
              <w:rPr>
                <w:rStyle w:val="affd"/>
                <w:noProof/>
              </w:rPr>
              <w:t>Приложение А3.2. Рекомендации по редукции доз или увеличению промежутков при проведении миелосупрессивной цитостатической терапии</w:t>
            </w:r>
            <w:r w:rsidR="0094088A">
              <w:rPr>
                <w:noProof/>
                <w:webHidden/>
              </w:rPr>
              <w:tab/>
            </w:r>
            <w:r w:rsidR="0094088A">
              <w:rPr>
                <w:noProof/>
                <w:webHidden/>
              </w:rPr>
              <w:fldChar w:fldCharType="begin"/>
            </w:r>
            <w:r w:rsidR="0094088A">
              <w:rPr>
                <w:noProof/>
                <w:webHidden/>
              </w:rPr>
              <w:instrText xml:space="preserve"> PAGEREF _Toc66096860 \h </w:instrText>
            </w:r>
            <w:r w:rsidR="0094088A">
              <w:rPr>
                <w:noProof/>
                <w:webHidden/>
              </w:rPr>
            </w:r>
            <w:r w:rsidR="0094088A">
              <w:rPr>
                <w:noProof/>
                <w:webHidden/>
              </w:rPr>
              <w:fldChar w:fldCharType="separate"/>
            </w:r>
            <w:r w:rsidR="0094088A">
              <w:rPr>
                <w:noProof/>
                <w:webHidden/>
              </w:rPr>
              <w:t>252</w:t>
            </w:r>
            <w:r w:rsidR="0094088A">
              <w:rPr>
                <w:noProof/>
                <w:webHidden/>
              </w:rPr>
              <w:fldChar w:fldCharType="end"/>
            </w:r>
          </w:hyperlink>
        </w:p>
        <w:p w14:paraId="54BC0285" w14:textId="6B6C2CFB" w:rsidR="0094088A" w:rsidRDefault="00A679EB">
          <w:pPr>
            <w:pStyle w:val="21"/>
            <w:rPr>
              <w:rFonts w:asciiTheme="minorHAnsi" w:eastAsiaTheme="minorEastAsia" w:hAnsiTheme="minorHAnsi" w:cstheme="minorBidi"/>
              <w:noProof/>
              <w:sz w:val="24"/>
              <w:szCs w:val="24"/>
              <w:lang w:eastAsia="ru-RU"/>
            </w:rPr>
          </w:pPr>
          <w:hyperlink w:anchor="_Toc66096861" w:history="1">
            <w:r w:rsidR="0094088A" w:rsidRPr="00AA4760">
              <w:rPr>
                <w:rStyle w:val="affd"/>
                <w:noProof/>
              </w:rPr>
              <w:t>Приложение А3.3. Порядок применения ритуксимаба**</w:t>
            </w:r>
            <w:r w:rsidR="0094088A">
              <w:rPr>
                <w:noProof/>
                <w:webHidden/>
              </w:rPr>
              <w:tab/>
            </w:r>
            <w:r w:rsidR="0094088A">
              <w:rPr>
                <w:noProof/>
                <w:webHidden/>
              </w:rPr>
              <w:fldChar w:fldCharType="begin"/>
            </w:r>
            <w:r w:rsidR="0094088A">
              <w:rPr>
                <w:noProof/>
                <w:webHidden/>
              </w:rPr>
              <w:instrText xml:space="preserve"> PAGEREF _Toc66096861 \h </w:instrText>
            </w:r>
            <w:r w:rsidR="0094088A">
              <w:rPr>
                <w:noProof/>
                <w:webHidden/>
              </w:rPr>
            </w:r>
            <w:r w:rsidR="0094088A">
              <w:rPr>
                <w:noProof/>
                <w:webHidden/>
              </w:rPr>
              <w:fldChar w:fldCharType="separate"/>
            </w:r>
            <w:r w:rsidR="0094088A">
              <w:rPr>
                <w:noProof/>
                <w:webHidden/>
              </w:rPr>
              <w:t>253</w:t>
            </w:r>
            <w:r w:rsidR="0094088A">
              <w:rPr>
                <w:noProof/>
                <w:webHidden/>
              </w:rPr>
              <w:fldChar w:fldCharType="end"/>
            </w:r>
          </w:hyperlink>
        </w:p>
        <w:p w14:paraId="4BB9914A" w14:textId="77A009B8" w:rsidR="0094088A" w:rsidRDefault="00A679EB">
          <w:pPr>
            <w:pStyle w:val="21"/>
            <w:rPr>
              <w:rFonts w:asciiTheme="minorHAnsi" w:eastAsiaTheme="minorEastAsia" w:hAnsiTheme="minorHAnsi" w:cstheme="minorBidi"/>
              <w:noProof/>
              <w:sz w:val="24"/>
              <w:szCs w:val="24"/>
              <w:lang w:eastAsia="ru-RU"/>
            </w:rPr>
          </w:pPr>
          <w:hyperlink w:anchor="_Toc66096862" w:history="1">
            <w:r w:rsidR="0094088A" w:rsidRPr="00AA4760">
              <w:rPr>
                <w:rStyle w:val="affd"/>
                <w:noProof/>
              </w:rPr>
              <w:t xml:space="preserve">Приложение А3.4. </w:t>
            </w:r>
            <w:r w:rsidR="0094088A" w:rsidRPr="00AA4760">
              <w:rPr>
                <w:rStyle w:val="affd"/>
                <w:noProof/>
                <w:lang w:eastAsia="ru-RU"/>
              </w:rPr>
              <w:t>Профилактика и лечение тошноты и рвоты</w:t>
            </w:r>
            <w:r w:rsidR="0094088A">
              <w:rPr>
                <w:noProof/>
                <w:webHidden/>
              </w:rPr>
              <w:tab/>
            </w:r>
            <w:r w:rsidR="0094088A">
              <w:rPr>
                <w:noProof/>
                <w:webHidden/>
              </w:rPr>
              <w:fldChar w:fldCharType="begin"/>
            </w:r>
            <w:r w:rsidR="0094088A">
              <w:rPr>
                <w:noProof/>
                <w:webHidden/>
              </w:rPr>
              <w:instrText xml:space="preserve"> PAGEREF _Toc66096862 \h </w:instrText>
            </w:r>
            <w:r w:rsidR="0094088A">
              <w:rPr>
                <w:noProof/>
                <w:webHidden/>
              </w:rPr>
            </w:r>
            <w:r w:rsidR="0094088A">
              <w:rPr>
                <w:noProof/>
                <w:webHidden/>
              </w:rPr>
              <w:fldChar w:fldCharType="separate"/>
            </w:r>
            <w:r w:rsidR="0094088A">
              <w:rPr>
                <w:noProof/>
                <w:webHidden/>
              </w:rPr>
              <w:t>254</w:t>
            </w:r>
            <w:r w:rsidR="0094088A">
              <w:rPr>
                <w:noProof/>
                <w:webHidden/>
              </w:rPr>
              <w:fldChar w:fldCharType="end"/>
            </w:r>
          </w:hyperlink>
        </w:p>
        <w:p w14:paraId="2907B015" w14:textId="71777E36" w:rsidR="0094088A" w:rsidRDefault="00A679EB">
          <w:pPr>
            <w:pStyle w:val="21"/>
            <w:rPr>
              <w:rFonts w:asciiTheme="minorHAnsi" w:eastAsiaTheme="minorEastAsia" w:hAnsiTheme="minorHAnsi" w:cstheme="minorBidi"/>
              <w:noProof/>
              <w:sz w:val="24"/>
              <w:szCs w:val="24"/>
              <w:lang w:eastAsia="ru-RU"/>
            </w:rPr>
          </w:pPr>
          <w:hyperlink w:anchor="_Toc66096863" w:history="1">
            <w:r w:rsidR="0094088A" w:rsidRPr="00AA4760">
              <w:rPr>
                <w:rStyle w:val="affd"/>
                <w:noProof/>
              </w:rPr>
              <w:t xml:space="preserve">Приложение А3.5. </w:t>
            </w:r>
            <w:r w:rsidR="0094088A" w:rsidRPr="00AA4760">
              <w:rPr>
                <w:rStyle w:val="affd"/>
                <w:noProof/>
                <w:lang w:eastAsia="ru-RU"/>
              </w:rPr>
              <w:t>Профилактика язвенной болезни желудка и 12-перстной кишки на фоне терапии глюкокортикостероидами</w:t>
            </w:r>
            <w:r w:rsidR="0094088A">
              <w:rPr>
                <w:noProof/>
                <w:webHidden/>
              </w:rPr>
              <w:tab/>
            </w:r>
            <w:r w:rsidR="0094088A">
              <w:rPr>
                <w:noProof/>
                <w:webHidden/>
              </w:rPr>
              <w:fldChar w:fldCharType="begin"/>
            </w:r>
            <w:r w:rsidR="0094088A">
              <w:rPr>
                <w:noProof/>
                <w:webHidden/>
              </w:rPr>
              <w:instrText xml:space="preserve"> PAGEREF _Toc66096863 \h </w:instrText>
            </w:r>
            <w:r w:rsidR="0094088A">
              <w:rPr>
                <w:noProof/>
                <w:webHidden/>
              </w:rPr>
            </w:r>
            <w:r w:rsidR="0094088A">
              <w:rPr>
                <w:noProof/>
                <w:webHidden/>
              </w:rPr>
              <w:fldChar w:fldCharType="separate"/>
            </w:r>
            <w:r w:rsidR="0094088A">
              <w:rPr>
                <w:noProof/>
                <w:webHidden/>
              </w:rPr>
              <w:t>264</w:t>
            </w:r>
            <w:r w:rsidR="0094088A">
              <w:rPr>
                <w:noProof/>
                <w:webHidden/>
              </w:rPr>
              <w:fldChar w:fldCharType="end"/>
            </w:r>
          </w:hyperlink>
        </w:p>
        <w:p w14:paraId="26FAD432" w14:textId="0D2C54C5" w:rsidR="0094088A" w:rsidRDefault="00A679EB">
          <w:pPr>
            <w:pStyle w:val="21"/>
            <w:rPr>
              <w:rFonts w:asciiTheme="minorHAnsi" w:eastAsiaTheme="minorEastAsia" w:hAnsiTheme="minorHAnsi" w:cstheme="minorBidi"/>
              <w:noProof/>
              <w:sz w:val="24"/>
              <w:szCs w:val="24"/>
              <w:lang w:eastAsia="ru-RU"/>
            </w:rPr>
          </w:pPr>
          <w:hyperlink w:anchor="_Toc66096864" w:history="1">
            <w:r w:rsidR="0094088A" w:rsidRPr="00AA4760">
              <w:rPr>
                <w:rStyle w:val="affd"/>
                <w:noProof/>
              </w:rPr>
              <w:t>Приложение А3.6. Инфузионная терапия у гематологических пациентов</w:t>
            </w:r>
            <w:r w:rsidR="0094088A">
              <w:rPr>
                <w:noProof/>
                <w:webHidden/>
              </w:rPr>
              <w:tab/>
            </w:r>
            <w:r w:rsidR="0094088A">
              <w:rPr>
                <w:noProof/>
                <w:webHidden/>
              </w:rPr>
              <w:fldChar w:fldCharType="begin"/>
            </w:r>
            <w:r w:rsidR="0094088A">
              <w:rPr>
                <w:noProof/>
                <w:webHidden/>
              </w:rPr>
              <w:instrText xml:space="preserve"> PAGEREF _Toc66096864 \h </w:instrText>
            </w:r>
            <w:r w:rsidR="0094088A">
              <w:rPr>
                <w:noProof/>
                <w:webHidden/>
              </w:rPr>
            </w:r>
            <w:r w:rsidR="0094088A">
              <w:rPr>
                <w:noProof/>
                <w:webHidden/>
              </w:rPr>
              <w:fldChar w:fldCharType="separate"/>
            </w:r>
            <w:r w:rsidR="0094088A">
              <w:rPr>
                <w:noProof/>
                <w:webHidden/>
              </w:rPr>
              <w:t>266</w:t>
            </w:r>
            <w:r w:rsidR="0094088A">
              <w:rPr>
                <w:noProof/>
                <w:webHidden/>
              </w:rPr>
              <w:fldChar w:fldCharType="end"/>
            </w:r>
          </w:hyperlink>
        </w:p>
        <w:p w14:paraId="7FAB4F56" w14:textId="01620DB9" w:rsidR="0094088A" w:rsidRDefault="00A679EB">
          <w:pPr>
            <w:pStyle w:val="21"/>
            <w:rPr>
              <w:rFonts w:asciiTheme="minorHAnsi" w:eastAsiaTheme="minorEastAsia" w:hAnsiTheme="minorHAnsi" w:cstheme="minorBidi"/>
              <w:noProof/>
              <w:sz w:val="24"/>
              <w:szCs w:val="24"/>
              <w:lang w:eastAsia="ru-RU"/>
            </w:rPr>
          </w:pPr>
          <w:hyperlink w:anchor="_Toc66096865" w:history="1">
            <w:r w:rsidR="0094088A" w:rsidRPr="00AA4760">
              <w:rPr>
                <w:rStyle w:val="affd"/>
                <w:noProof/>
              </w:rPr>
              <w:t>Приложение А3.7. Применение компонентов донорской крови у гематологических пациентов</w:t>
            </w:r>
            <w:r w:rsidR="0094088A">
              <w:rPr>
                <w:noProof/>
                <w:webHidden/>
              </w:rPr>
              <w:tab/>
            </w:r>
            <w:r w:rsidR="0094088A">
              <w:rPr>
                <w:noProof/>
                <w:webHidden/>
              </w:rPr>
              <w:fldChar w:fldCharType="begin"/>
            </w:r>
            <w:r w:rsidR="0094088A">
              <w:rPr>
                <w:noProof/>
                <w:webHidden/>
              </w:rPr>
              <w:instrText xml:space="preserve"> PAGEREF _Toc66096865 \h </w:instrText>
            </w:r>
            <w:r w:rsidR="0094088A">
              <w:rPr>
                <w:noProof/>
                <w:webHidden/>
              </w:rPr>
            </w:r>
            <w:r w:rsidR="0094088A">
              <w:rPr>
                <w:noProof/>
                <w:webHidden/>
              </w:rPr>
              <w:fldChar w:fldCharType="separate"/>
            </w:r>
            <w:r w:rsidR="0094088A">
              <w:rPr>
                <w:noProof/>
                <w:webHidden/>
              </w:rPr>
              <w:t>270</w:t>
            </w:r>
            <w:r w:rsidR="0094088A">
              <w:rPr>
                <w:noProof/>
                <w:webHidden/>
              </w:rPr>
              <w:fldChar w:fldCharType="end"/>
            </w:r>
          </w:hyperlink>
        </w:p>
        <w:p w14:paraId="6A0F99E4" w14:textId="5971801A" w:rsidR="0094088A" w:rsidRDefault="00A679EB">
          <w:pPr>
            <w:pStyle w:val="21"/>
            <w:rPr>
              <w:rFonts w:asciiTheme="minorHAnsi" w:eastAsiaTheme="minorEastAsia" w:hAnsiTheme="minorHAnsi" w:cstheme="minorBidi"/>
              <w:noProof/>
              <w:sz w:val="24"/>
              <w:szCs w:val="24"/>
              <w:lang w:eastAsia="ru-RU"/>
            </w:rPr>
          </w:pPr>
          <w:hyperlink w:anchor="_Toc66096866" w:history="1">
            <w:r w:rsidR="0094088A" w:rsidRPr="00AA4760">
              <w:rPr>
                <w:rStyle w:val="affd"/>
                <w:noProof/>
              </w:rPr>
              <w:t>Приложение А3.8. Парентеральное питание у гематологических пациентов</w:t>
            </w:r>
            <w:r w:rsidR="0094088A">
              <w:rPr>
                <w:noProof/>
                <w:webHidden/>
              </w:rPr>
              <w:tab/>
            </w:r>
            <w:r w:rsidR="0094088A">
              <w:rPr>
                <w:noProof/>
                <w:webHidden/>
              </w:rPr>
              <w:fldChar w:fldCharType="begin"/>
            </w:r>
            <w:r w:rsidR="0094088A">
              <w:rPr>
                <w:noProof/>
                <w:webHidden/>
              </w:rPr>
              <w:instrText xml:space="preserve"> PAGEREF _Toc66096866 \h </w:instrText>
            </w:r>
            <w:r w:rsidR="0094088A">
              <w:rPr>
                <w:noProof/>
                <w:webHidden/>
              </w:rPr>
            </w:r>
            <w:r w:rsidR="0094088A">
              <w:rPr>
                <w:noProof/>
                <w:webHidden/>
              </w:rPr>
              <w:fldChar w:fldCharType="separate"/>
            </w:r>
            <w:r w:rsidR="0094088A">
              <w:rPr>
                <w:noProof/>
                <w:webHidden/>
              </w:rPr>
              <w:t>290</w:t>
            </w:r>
            <w:r w:rsidR="0094088A">
              <w:rPr>
                <w:noProof/>
                <w:webHidden/>
              </w:rPr>
              <w:fldChar w:fldCharType="end"/>
            </w:r>
          </w:hyperlink>
        </w:p>
        <w:p w14:paraId="738F9F36" w14:textId="4F17489E" w:rsidR="0094088A" w:rsidRDefault="00A679EB">
          <w:pPr>
            <w:pStyle w:val="21"/>
            <w:rPr>
              <w:rFonts w:asciiTheme="minorHAnsi" w:eastAsiaTheme="minorEastAsia" w:hAnsiTheme="minorHAnsi" w:cstheme="minorBidi"/>
              <w:noProof/>
              <w:sz w:val="24"/>
              <w:szCs w:val="24"/>
              <w:lang w:eastAsia="ru-RU"/>
            </w:rPr>
          </w:pPr>
          <w:hyperlink w:anchor="_Toc66096867" w:history="1">
            <w:r w:rsidR="0094088A" w:rsidRPr="00AA4760">
              <w:rPr>
                <w:rStyle w:val="affd"/>
                <w:noProof/>
              </w:rPr>
              <w:t xml:space="preserve">Приложение А3.9. </w:t>
            </w:r>
            <w:r w:rsidR="0094088A" w:rsidRPr="00AA4760">
              <w:rPr>
                <w:rStyle w:val="affd"/>
                <w:rFonts w:eastAsia="Arial Unicode MS"/>
                <w:noProof/>
              </w:rPr>
              <w:t>Протоколы выполнения аспирационного и биопсийного исследования костного мозга</w:t>
            </w:r>
            <w:r w:rsidR="0094088A">
              <w:rPr>
                <w:noProof/>
                <w:webHidden/>
              </w:rPr>
              <w:tab/>
            </w:r>
            <w:r w:rsidR="0094088A">
              <w:rPr>
                <w:noProof/>
                <w:webHidden/>
              </w:rPr>
              <w:fldChar w:fldCharType="begin"/>
            </w:r>
            <w:r w:rsidR="0094088A">
              <w:rPr>
                <w:noProof/>
                <w:webHidden/>
              </w:rPr>
              <w:instrText xml:space="preserve"> PAGEREF _Toc66096867 \h </w:instrText>
            </w:r>
            <w:r w:rsidR="0094088A">
              <w:rPr>
                <w:noProof/>
                <w:webHidden/>
              </w:rPr>
            </w:r>
            <w:r w:rsidR="0094088A">
              <w:rPr>
                <w:noProof/>
                <w:webHidden/>
              </w:rPr>
              <w:fldChar w:fldCharType="separate"/>
            </w:r>
            <w:r w:rsidR="0094088A">
              <w:rPr>
                <w:noProof/>
                <w:webHidden/>
              </w:rPr>
              <w:t>298</w:t>
            </w:r>
            <w:r w:rsidR="0094088A">
              <w:rPr>
                <w:noProof/>
                <w:webHidden/>
              </w:rPr>
              <w:fldChar w:fldCharType="end"/>
            </w:r>
          </w:hyperlink>
        </w:p>
        <w:p w14:paraId="67DBBD39" w14:textId="2ED2433F" w:rsidR="0094088A" w:rsidRDefault="00A679EB">
          <w:pPr>
            <w:pStyle w:val="21"/>
            <w:rPr>
              <w:rFonts w:asciiTheme="minorHAnsi" w:eastAsiaTheme="minorEastAsia" w:hAnsiTheme="minorHAnsi" w:cstheme="minorBidi"/>
              <w:noProof/>
              <w:sz w:val="24"/>
              <w:szCs w:val="24"/>
              <w:lang w:eastAsia="ru-RU"/>
            </w:rPr>
          </w:pPr>
          <w:hyperlink w:anchor="_Toc66096868" w:history="1">
            <w:r w:rsidR="0094088A" w:rsidRPr="00AA4760">
              <w:rPr>
                <w:rStyle w:val="affd"/>
                <w:noProof/>
              </w:rPr>
              <w:t xml:space="preserve">Приложение А3.10. </w:t>
            </w:r>
            <w:r w:rsidR="0094088A" w:rsidRPr="00AA4760">
              <w:rPr>
                <w:rStyle w:val="affd"/>
                <w:bCs/>
                <w:noProof/>
              </w:rPr>
              <w:t>Протокол выполнения спиномозговой (люмбальной) пункции у гематологических пациентов</w:t>
            </w:r>
            <w:r w:rsidR="0094088A">
              <w:rPr>
                <w:noProof/>
                <w:webHidden/>
              </w:rPr>
              <w:tab/>
            </w:r>
            <w:r w:rsidR="0094088A">
              <w:rPr>
                <w:noProof/>
                <w:webHidden/>
              </w:rPr>
              <w:fldChar w:fldCharType="begin"/>
            </w:r>
            <w:r w:rsidR="0094088A">
              <w:rPr>
                <w:noProof/>
                <w:webHidden/>
              </w:rPr>
              <w:instrText xml:space="preserve"> PAGEREF _Toc66096868 \h </w:instrText>
            </w:r>
            <w:r w:rsidR="0094088A">
              <w:rPr>
                <w:noProof/>
                <w:webHidden/>
              </w:rPr>
            </w:r>
            <w:r w:rsidR="0094088A">
              <w:rPr>
                <w:noProof/>
                <w:webHidden/>
              </w:rPr>
              <w:fldChar w:fldCharType="separate"/>
            </w:r>
            <w:r w:rsidR="0094088A">
              <w:rPr>
                <w:noProof/>
                <w:webHidden/>
              </w:rPr>
              <w:t>308</w:t>
            </w:r>
            <w:r w:rsidR="0094088A">
              <w:rPr>
                <w:noProof/>
                <w:webHidden/>
              </w:rPr>
              <w:fldChar w:fldCharType="end"/>
            </w:r>
          </w:hyperlink>
        </w:p>
        <w:p w14:paraId="73F70F0B" w14:textId="7AFD869D" w:rsidR="0094088A" w:rsidRDefault="00A679EB">
          <w:pPr>
            <w:pStyle w:val="21"/>
            <w:rPr>
              <w:rFonts w:asciiTheme="minorHAnsi" w:eastAsiaTheme="minorEastAsia" w:hAnsiTheme="minorHAnsi" w:cstheme="minorBidi"/>
              <w:noProof/>
              <w:sz w:val="24"/>
              <w:szCs w:val="24"/>
              <w:lang w:eastAsia="ru-RU"/>
            </w:rPr>
          </w:pPr>
          <w:hyperlink w:anchor="_Toc66096869" w:history="1">
            <w:r w:rsidR="0094088A" w:rsidRPr="00AA4760">
              <w:rPr>
                <w:rStyle w:val="affd"/>
                <w:noProof/>
              </w:rPr>
              <w:t>Приложение А3.11. Спленэктомия у пациентов с гематологическими заболеваниями</w:t>
            </w:r>
            <w:r w:rsidR="0094088A">
              <w:rPr>
                <w:noProof/>
                <w:webHidden/>
              </w:rPr>
              <w:tab/>
            </w:r>
            <w:r w:rsidR="0094088A">
              <w:rPr>
                <w:noProof/>
                <w:webHidden/>
              </w:rPr>
              <w:fldChar w:fldCharType="begin"/>
            </w:r>
            <w:r w:rsidR="0094088A">
              <w:rPr>
                <w:noProof/>
                <w:webHidden/>
              </w:rPr>
              <w:instrText xml:space="preserve"> PAGEREF _Toc66096869 \h </w:instrText>
            </w:r>
            <w:r w:rsidR="0094088A">
              <w:rPr>
                <w:noProof/>
                <w:webHidden/>
              </w:rPr>
            </w:r>
            <w:r w:rsidR="0094088A">
              <w:rPr>
                <w:noProof/>
                <w:webHidden/>
              </w:rPr>
              <w:fldChar w:fldCharType="separate"/>
            </w:r>
            <w:r w:rsidR="0094088A">
              <w:rPr>
                <w:noProof/>
                <w:webHidden/>
              </w:rPr>
              <w:t>318</w:t>
            </w:r>
            <w:r w:rsidR="0094088A">
              <w:rPr>
                <w:noProof/>
                <w:webHidden/>
              </w:rPr>
              <w:fldChar w:fldCharType="end"/>
            </w:r>
          </w:hyperlink>
        </w:p>
        <w:p w14:paraId="680902F1" w14:textId="34DE4BE6" w:rsidR="0094088A" w:rsidRDefault="00A679EB">
          <w:pPr>
            <w:pStyle w:val="21"/>
            <w:rPr>
              <w:rFonts w:asciiTheme="minorHAnsi" w:eastAsiaTheme="minorEastAsia" w:hAnsiTheme="minorHAnsi" w:cstheme="minorBidi"/>
              <w:noProof/>
              <w:sz w:val="24"/>
              <w:szCs w:val="24"/>
              <w:lang w:eastAsia="ru-RU"/>
            </w:rPr>
          </w:pPr>
          <w:hyperlink w:anchor="_Toc66096870" w:history="1">
            <w:r w:rsidR="0094088A" w:rsidRPr="00AA4760">
              <w:rPr>
                <w:rStyle w:val="affd"/>
                <w:noProof/>
              </w:rPr>
              <w:t>Приложение А3.12. Лечение гематологического пациента в отделении реанимации и интенсивной терапии</w:t>
            </w:r>
            <w:r w:rsidR="0094088A">
              <w:rPr>
                <w:noProof/>
                <w:webHidden/>
              </w:rPr>
              <w:tab/>
            </w:r>
            <w:r w:rsidR="0094088A">
              <w:rPr>
                <w:noProof/>
                <w:webHidden/>
              </w:rPr>
              <w:fldChar w:fldCharType="begin"/>
            </w:r>
            <w:r w:rsidR="0094088A">
              <w:rPr>
                <w:noProof/>
                <w:webHidden/>
              </w:rPr>
              <w:instrText xml:space="preserve"> PAGEREF _Toc66096870 \h </w:instrText>
            </w:r>
            <w:r w:rsidR="0094088A">
              <w:rPr>
                <w:noProof/>
                <w:webHidden/>
              </w:rPr>
            </w:r>
            <w:r w:rsidR="0094088A">
              <w:rPr>
                <w:noProof/>
                <w:webHidden/>
              </w:rPr>
              <w:fldChar w:fldCharType="separate"/>
            </w:r>
            <w:r w:rsidR="0094088A">
              <w:rPr>
                <w:noProof/>
                <w:webHidden/>
              </w:rPr>
              <w:t>328</w:t>
            </w:r>
            <w:r w:rsidR="0094088A">
              <w:rPr>
                <w:noProof/>
                <w:webHidden/>
              </w:rPr>
              <w:fldChar w:fldCharType="end"/>
            </w:r>
          </w:hyperlink>
        </w:p>
        <w:p w14:paraId="3CC2D1C2" w14:textId="5AC3395C" w:rsidR="0094088A" w:rsidRDefault="00A679EB">
          <w:pPr>
            <w:pStyle w:val="21"/>
            <w:rPr>
              <w:rFonts w:asciiTheme="minorHAnsi" w:eastAsiaTheme="minorEastAsia" w:hAnsiTheme="minorHAnsi" w:cstheme="minorBidi"/>
              <w:noProof/>
              <w:sz w:val="24"/>
              <w:szCs w:val="24"/>
              <w:lang w:eastAsia="ru-RU"/>
            </w:rPr>
          </w:pPr>
          <w:hyperlink w:anchor="_Toc66096871" w:history="1">
            <w:r w:rsidR="0094088A" w:rsidRPr="00AA4760">
              <w:rPr>
                <w:rStyle w:val="affd"/>
                <w:noProof/>
              </w:rPr>
              <w:t>Приложение А3.13. Трансплантация аутологичных гемопоэтических стволовых клеток</w:t>
            </w:r>
            <w:r w:rsidR="0094088A">
              <w:rPr>
                <w:noProof/>
                <w:webHidden/>
              </w:rPr>
              <w:tab/>
            </w:r>
            <w:r w:rsidR="0094088A">
              <w:rPr>
                <w:noProof/>
                <w:webHidden/>
              </w:rPr>
              <w:fldChar w:fldCharType="begin"/>
            </w:r>
            <w:r w:rsidR="0094088A">
              <w:rPr>
                <w:noProof/>
                <w:webHidden/>
              </w:rPr>
              <w:instrText xml:space="preserve"> PAGEREF _Toc66096871 \h </w:instrText>
            </w:r>
            <w:r w:rsidR="0094088A">
              <w:rPr>
                <w:noProof/>
                <w:webHidden/>
              </w:rPr>
            </w:r>
            <w:r w:rsidR="0094088A">
              <w:rPr>
                <w:noProof/>
                <w:webHidden/>
              </w:rPr>
              <w:fldChar w:fldCharType="separate"/>
            </w:r>
            <w:r w:rsidR="0094088A">
              <w:rPr>
                <w:noProof/>
                <w:webHidden/>
              </w:rPr>
              <w:t>336</w:t>
            </w:r>
            <w:r w:rsidR="0094088A">
              <w:rPr>
                <w:noProof/>
                <w:webHidden/>
              </w:rPr>
              <w:fldChar w:fldCharType="end"/>
            </w:r>
          </w:hyperlink>
        </w:p>
        <w:p w14:paraId="18F5E322" w14:textId="36B95407" w:rsidR="0094088A" w:rsidRDefault="00A679EB">
          <w:pPr>
            <w:pStyle w:val="21"/>
            <w:rPr>
              <w:rFonts w:asciiTheme="minorHAnsi" w:eastAsiaTheme="minorEastAsia" w:hAnsiTheme="minorHAnsi" w:cstheme="minorBidi"/>
              <w:noProof/>
              <w:sz w:val="24"/>
              <w:szCs w:val="24"/>
              <w:lang w:eastAsia="ru-RU"/>
            </w:rPr>
          </w:pPr>
          <w:hyperlink w:anchor="_Toc66096872" w:history="1">
            <w:r w:rsidR="0094088A" w:rsidRPr="00AA4760">
              <w:rPr>
                <w:rStyle w:val="affd"/>
                <w:noProof/>
              </w:rPr>
              <w:t>Приложение А3.14. Проведение трансплантации аллогенных гемопоэтических стволовых клеток</w:t>
            </w:r>
            <w:r w:rsidR="0094088A">
              <w:rPr>
                <w:noProof/>
                <w:webHidden/>
              </w:rPr>
              <w:tab/>
            </w:r>
            <w:r w:rsidR="0094088A">
              <w:rPr>
                <w:noProof/>
                <w:webHidden/>
              </w:rPr>
              <w:fldChar w:fldCharType="begin"/>
            </w:r>
            <w:r w:rsidR="0094088A">
              <w:rPr>
                <w:noProof/>
                <w:webHidden/>
              </w:rPr>
              <w:instrText xml:space="preserve"> PAGEREF _Toc66096872 \h </w:instrText>
            </w:r>
            <w:r w:rsidR="0094088A">
              <w:rPr>
                <w:noProof/>
                <w:webHidden/>
              </w:rPr>
            </w:r>
            <w:r w:rsidR="0094088A">
              <w:rPr>
                <w:noProof/>
                <w:webHidden/>
              </w:rPr>
              <w:fldChar w:fldCharType="separate"/>
            </w:r>
            <w:r w:rsidR="0094088A">
              <w:rPr>
                <w:noProof/>
                <w:webHidden/>
              </w:rPr>
              <w:t>391</w:t>
            </w:r>
            <w:r w:rsidR="0094088A">
              <w:rPr>
                <w:noProof/>
                <w:webHidden/>
              </w:rPr>
              <w:fldChar w:fldCharType="end"/>
            </w:r>
          </w:hyperlink>
        </w:p>
        <w:p w14:paraId="2C175928" w14:textId="6EFFF0AB" w:rsidR="0094088A" w:rsidRDefault="00A679EB">
          <w:pPr>
            <w:pStyle w:val="1a"/>
            <w:rPr>
              <w:rFonts w:asciiTheme="minorHAnsi" w:eastAsiaTheme="minorEastAsia" w:hAnsiTheme="minorHAnsi"/>
              <w:noProof/>
              <w:szCs w:val="24"/>
              <w:lang w:eastAsia="ru-RU"/>
            </w:rPr>
          </w:pPr>
          <w:hyperlink w:anchor="_Toc66096873" w:history="1">
            <w:r w:rsidR="0094088A" w:rsidRPr="00AA4760">
              <w:rPr>
                <w:rStyle w:val="affd"/>
                <w:noProof/>
              </w:rPr>
              <w:t>Приложение Б. Алгоритмы действий врача</w:t>
            </w:r>
            <w:r w:rsidR="0094088A">
              <w:rPr>
                <w:noProof/>
                <w:webHidden/>
              </w:rPr>
              <w:tab/>
            </w:r>
            <w:r w:rsidR="0094088A">
              <w:rPr>
                <w:noProof/>
                <w:webHidden/>
              </w:rPr>
              <w:fldChar w:fldCharType="begin"/>
            </w:r>
            <w:r w:rsidR="0094088A">
              <w:rPr>
                <w:noProof/>
                <w:webHidden/>
              </w:rPr>
              <w:instrText xml:space="preserve"> PAGEREF _Toc66096873 \h </w:instrText>
            </w:r>
            <w:r w:rsidR="0094088A">
              <w:rPr>
                <w:noProof/>
                <w:webHidden/>
              </w:rPr>
            </w:r>
            <w:r w:rsidR="0094088A">
              <w:rPr>
                <w:noProof/>
                <w:webHidden/>
              </w:rPr>
              <w:fldChar w:fldCharType="separate"/>
            </w:r>
            <w:r w:rsidR="0094088A">
              <w:rPr>
                <w:noProof/>
                <w:webHidden/>
              </w:rPr>
              <w:t>512</w:t>
            </w:r>
            <w:r w:rsidR="0094088A">
              <w:rPr>
                <w:noProof/>
                <w:webHidden/>
              </w:rPr>
              <w:fldChar w:fldCharType="end"/>
            </w:r>
          </w:hyperlink>
        </w:p>
        <w:p w14:paraId="16C42A27" w14:textId="48B53B85" w:rsidR="0094088A" w:rsidRDefault="00A679EB">
          <w:pPr>
            <w:pStyle w:val="1a"/>
            <w:rPr>
              <w:rFonts w:asciiTheme="minorHAnsi" w:eastAsiaTheme="minorEastAsia" w:hAnsiTheme="minorHAnsi"/>
              <w:noProof/>
              <w:szCs w:val="24"/>
              <w:lang w:eastAsia="ru-RU"/>
            </w:rPr>
          </w:pPr>
          <w:hyperlink w:anchor="_Toc66096874" w:history="1">
            <w:r w:rsidR="0094088A" w:rsidRPr="00AA4760">
              <w:rPr>
                <w:rStyle w:val="affd"/>
                <w:noProof/>
              </w:rPr>
              <w:t>Приложение В. Информация для пациента</w:t>
            </w:r>
            <w:r w:rsidR="0094088A">
              <w:rPr>
                <w:noProof/>
                <w:webHidden/>
              </w:rPr>
              <w:tab/>
            </w:r>
            <w:r w:rsidR="0094088A">
              <w:rPr>
                <w:noProof/>
                <w:webHidden/>
              </w:rPr>
              <w:fldChar w:fldCharType="begin"/>
            </w:r>
            <w:r w:rsidR="0094088A">
              <w:rPr>
                <w:noProof/>
                <w:webHidden/>
              </w:rPr>
              <w:instrText xml:space="preserve"> PAGEREF _Toc66096874 \h </w:instrText>
            </w:r>
            <w:r w:rsidR="0094088A">
              <w:rPr>
                <w:noProof/>
                <w:webHidden/>
              </w:rPr>
            </w:r>
            <w:r w:rsidR="0094088A">
              <w:rPr>
                <w:noProof/>
                <w:webHidden/>
              </w:rPr>
              <w:fldChar w:fldCharType="separate"/>
            </w:r>
            <w:r w:rsidR="0094088A">
              <w:rPr>
                <w:noProof/>
                <w:webHidden/>
              </w:rPr>
              <w:t>514</w:t>
            </w:r>
            <w:r w:rsidR="0094088A">
              <w:rPr>
                <w:noProof/>
                <w:webHidden/>
              </w:rPr>
              <w:fldChar w:fldCharType="end"/>
            </w:r>
          </w:hyperlink>
        </w:p>
        <w:p w14:paraId="7E91CCBE" w14:textId="3054DB4B" w:rsidR="0094088A" w:rsidRDefault="00A679EB">
          <w:pPr>
            <w:pStyle w:val="1a"/>
            <w:rPr>
              <w:rFonts w:asciiTheme="minorHAnsi" w:eastAsiaTheme="minorEastAsia" w:hAnsiTheme="minorHAnsi"/>
              <w:noProof/>
              <w:szCs w:val="24"/>
              <w:lang w:eastAsia="ru-RU"/>
            </w:rPr>
          </w:pPr>
          <w:hyperlink w:anchor="_Toc66096875" w:history="1">
            <w:r w:rsidR="0094088A" w:rsidRPr="00AA4760">
              <w:rPr>
                <w:rStyle w:val="affd"/>
                <w:noProof/>
              </w:rPr>
              <w:t>Приложение Г. Шкалы оценки, вопросники и другие оценочные инструменты состояния пациента, приведенные в клинических рекомендациях</w:t>
            </w:r>
            <w:r w:rsidR="0094088A">
              <w:rPr>
                <w:noProof/>
                <w:webHidden/>
              </w:rPr>
              <w:tab/>
            </w:r>
            <w:r w:rsidR="0094088A">
              <w:rPr>
                <w:noProof/>
                <w:webHidden/>
              </w:rPr>
              <w:fldChar w:fldCharType="begin"/>
            </w:r>
            <w:r w:rsidR="0094088A">
              <w:rPr>
                <w:noProof/>
                <w:webHidden/>
              </w:rPr>
              <w:instrText xml:space="preserve"> PAGEREF _Toc66096875 \h </w:instrText>
            </w:r>
            <w:r w:rsidR="0094088A">
              <w:rPr>
                <w:noProof/>
                <w:webHidden/>
              </w:rPr>
            </w:r>
            <w:r w:rsidR="0094088A">
              <w:rPr>
                <w:noProof/>
                <w:webHidden/>
              </w:rPr>
              <w:fldChar w:fldCharType="separate"/>
            </w:r>
            <w:r w:rsidR="0094088A">
              <w:rPr>
                <w:noProof/>
                <w:webHidden/>
              </w:rPr>
              <w:t>515</w:t>
            </w:r>
            <w:r w:rsidR="0094088A">
              <w:rPr>
                <w:noProof/>
                <w:webHidden/>
              </w:rPr>
              <w:fldChar w:fldCharType="end"/>
            </w:r>
          </w:hyperlink>
        </w:p>
        <w:p w14:paraId="3A68862A" w14:textId="2FA6B472" w:rsidR="0094088A" w:rsidRDefault="00A679EB">
          <w:pPr>
            <w:pStyle w:val="21"/>
            <w:rPr>
              <w:rFonts w:asciiTheme="minorHAnsi" w:eastAsiaTheme="minorEastAsia" w:hAnsiTheme="minorHAnsi" w:cstheme="minorBidi"/>
              <w:noProof/>
              <w:sz w:val="24"/>
              <w:szCs w:val="24"/>
              <w:lang w:eastAsia="ru-RU"/>
            </w:rPr>
          </w:pPr>
          <w:hyperlink w:anchor="_Toc66096876" w:history="1">
            <w:r w:rsidR="0094088A" w:rsidRPr="00AA4760">
              <w:rPr>
                <w:rStyle w:val="affd"/>
                <w:noProof/>
              </w:rPr>
              <w:t>Приложение Г1. Шкала оценки общего состояния пациента Восточной объединенной онкологической группы (ECOG)</w:t>
            </w:r>
            <w:r w:rsidR="0094088A">
              <w:rPr>
                <w:noProof/>
                <w:webHidden/>
              </w:rPr>
              <w:tab/>
            </w:r>
            <w:r w:rsidR="0094088A">
              <w:rPr>
                <w:noProof/>
                <w:webHidden/>
              </w:rPr>
              <w:fldChar w:fldCharType="begin"/>
            </w:r>
            <w:r w:rsidR="0094088A">
              <w:rPr>
                <w:noProof/>
                <w:webHidden/>
              </w:rPr>
              <w:instrText xml:space="preserve"> PAGEREF _Toc66096876 \h </w:instrText>
            </w:r>
            <w:r w:rsidR="0094088A">
              <w:rPr>
                <w:noProof/>
                <w:webHidden/>
              </w:rPr>
            </w:r>
            <w:r w:rsidR="0094088A">
              <w:rPr>
                <w:noProof/>
                <w:webHidden/>
              </w:rPr>
              <w:fldChar w:fldCharType="separate"/>
            </w:r>
            <w:r w:rsidR="0094088A">
              <w:rPr>
                <w:noProof/>
                <w:webHidden/>
              </w:rPr>
              <w:t>515</w:t>
            </w:r>
            <w:r w:rsidR="0094088A">
              <w:rPr>
                <w:noProof/>
                <w:webHidden/>
              </w:rPr>
              <w:fldChar w:fldCharType="end"/>
            </w:r>
          </w:hyperlink>
        </w:p>
        <w:p w14:paraId="56EFDDE3" w14:textId="7A90B2A3" w:rsidR="0094088A" w:rsidRDefault="00A679EB">
          <w:pPr>
            <w:pStyle w:val="21"/>
            <w:rPr>
              <w:rFonts w:asciiTheme="minorHAnsi" w:eastAsiaTheme="minorEastAsia" w:hAnsiTheme="minorHAnsi" w:cstheme="minorBidi"/>
              <w:noProof/>
              <w:sz w:val="24"/>
              <w:szCs w:val="24"/>
              <w:lang w:eastAsia="ru-RU"/>
            </w:rPr>
          </w:pPr>
          <w:hyperlink w:anchor="_Toc66096877" w:history="1">
            <w:r w:rsidR="0094088A" w:rsidRPr="00AA4760">
              <w:rPr>
                <w:rStyle w:val="affd"/>
                <w:noProof/>
              </w:rPr>
              <w:t>Приложение Г2. Шкала визуальной оценки ПЭТ-данных</w:t>
            </w:r>
            <w:r w:rsidR="0094088A">
              <w:rPr>
                <w:noProof/>
                <w:webHidden/>
              </w:rPr>
              <w:tab/>
            </w:r>
            <w:r w:rsidR="0094088A">
              <w:rPr>
                <w:noProof/>
                <w:webHidden/>
              </w:rPr>
              <w:fldChar w:fldCharType="begin"/>
            </w:r>
            <w:r w:rsidR="0094088A">
              <w:rPr>
                <w:noProof/>
                <w:webHidden/>
              </w:rPr>
              <w:instrText xml:space="preserve"> PAGEREF _Toc66096877 \h </w:instrText>
            </w:r>
            <w:r w:rsidR="0094088A">
              <w:rPr>
                <w:noProof/>
                <w:webHidden/>
              </w:rPr>
            </w:r>
            <w:r w:rsidR="0094088A">
              <w:rPr>
                <w:noProof/>
                <w:webHidden/>
              </w:rPr>
              <w:fldChar w:fldCharType="separate"/>
            </w:r>
            <w:r w:rsidR="0094088A">
              <w:rPr>
                <w:noProof/>
                <w:webHidden/>
              </w:rPr>
              <w:t>515</w:t>
            </w:r>
            <w:r w:rsidR="0094088A">
              <w:rPr>
                <w:noProof/>
                <w:webHidden/>
              </w:rPr>
              <w:fldChar w:fldCharType="end"/>
            </w:r>
          </w:hyperlink>
        </w:p>
        <w:p w14:paraId="4B202521" w14:textId="62022091" w:rsidR="0094088A" w:rsidRDefault="00A679EB">
          <w:pPr>
            <w:pStyle w:val="21"/>
            <w:rPr>
              <w:rFonts w:asciiTheme="minorHAnsi" w:eastAsiaTheme="minorEastAsia" w:hAnsiTheme="minorHAnsi" w:cstheme="minorBidi"/>
              <w:noProof/>
              <w:sz w:val="24"/>
              <w:szCs w:val="24"/>
              <w:lang w:eastAsia="ru-RU"/>
            </w:rPr>
          </w:pPr>
          <w:hyperlink w:anchor="_Toc66096878" w:history="1">
            <w:r w:rsidR="0094088A" w:rsidRPr="00AA4760">
              <w:rPr>
                <w:rStyle w:val="affd"/>
                <w:noProof/>
              </w:rPr>
              <w:t>Приложение Г3. Шкала Khorana для оценки риска ВТЭО у пациентов, получающих химиотерапию</w:t>
            </w:r>
            <w:r w:rsidR="0094088A">
              <w:rPr>
                <w:noProof/>
                <w:webHidden/>
              </w:rPr>
              <w:tab/>
            </w:r>
            <w:r w:rsidR="0094088A">
              <w:rPr>
                <w:noProof/>
                <w:webHidden/>
              </w:rPr>
              <w:fldChar w:fldCharType="begin"/>
            </w:r>
            <w:r w:rsidR="0094088A">
              <w:rPr>
                <w:noProof/>
                <w:webHidden/>
              </w:rPr>
              <w:instrText xml:space="preserve"> PAGEREF _Toc66096878 \h </w:instrText>
            </w:r>
            <w:r w:rsidR="0094088A">
              <w:rPr>
                <w:noProof/>
                <w:webHidden/>
              </w:rPr>
            </w:r>
            <w:r w:rsidR="0094088A">
              <w:rPr>
                <w:noProof/>
                <w:webHidden/>
              </w:rPr>
              <w:fldChar w:fldCharType="separate"/>
            </w:r>
            <w:r w:rsidR="0094088A">
              <w:rPr>
                <w:noProof/>
                <w:webHidden/>
              </w:rPr>
              <w:t>516</w:t>
            </w:r>
            <w:r w:rsidR="0094088A">
              <w:rPr>
                <w:noProof/>
                <w:webHidden/>
              </w:rPr>
              <w:fldChar w:fldCharType="end"/>
            </w:r>
          </w:hyperlink>
        </w:p>
        <w:p w14:paraId="2B3D50C3" w14:textId="54C7CCDB" w:rsidR="0094088A" w:rsidRDefault="00A679EB">
          <w:pPr>
            <w:pStyle w:val="21"/>
            <w:rPr>
              <w:rFonts w:asciiTheme="minorHAnsi" w:eastAsiaTheme="minorEastAsia" w:hAnsiTheme="minorHAnsi" w:cstheme="minorBidi"/>
              <w:noProof/>
              <w:sz w:val="24"/>
              <w:szCs w:val="24"/>
              <w:lang w:eastAsia="ru-RU"/>
            </w:rPr>
          </w:pPr>
          <w:hyperlink w:anchor="_Toc66096879" w:history="1">
            <w:r w:rsidR="0094088A" w:rsidRPr="00AA4760">
              <w:rPr>
                <w:rStyle w:val="affd"/>
                <w:noProof/>
              </w:rPr>
              <w:t xml:space="preserve">Приложение Г4. </w:t>
            </w:r>
            <w:r w:rsidR="0094088A" w:rsidRPr="00AA4760">
              <w:rPr>
                <w:rStyle w:val="affd"/>
                <w:rFonts w:eastAsia="SimSun"/>
                <w:noProof/>
              </w:rPr>
              <w:t>Расчет трансплантационного риска по шкале EBMT</w:t>
            </w:r>
            <w:r w:rsidR="0094088A">
              <w:rPr>
                <w:noProof/>
                <w:webHidden/>
              </w:rPr>
              <w:tab/>
            </w:r>
            <w:r w:rsidR="0094088A">
              <w:rPr>
                <w:noProof/>
                <w:webHidden/>
              </w:rPr>
              <w:fldChar w:fldCharType="begin"/>
            </w:r>
            <w:r w:rsidR="0094088A">
              <w:rPr>
                <w:noProof/>
                <w:webHidden/>
              </w:rPr>
              <w:instrText xml:space="preserve"> PAGEREF _Toc66096879 \h </w:instrText>
            </w:r>
            <w:r w:rsidR="0094088A">
              <w:rPr>
                <w:noProof/>
                <w:webHidden/>
              </w:rPr>
            </w:r>
            <w:r w:rsidR="0094088A">
              <w:rPr>
                <w:noProof/>
                <w:webHidden/>
              </w:rPr>
              <w:fldChar w:fldCharType="separate"/>
            </w:r>
            <w:r w:rsidR="0094088A">
              <w:rPr>
                <w:noProof/>
                <w:webHidden/>
              </w:rPr>
              <w:t>517</w:t>
            </w:r>
            <w:r w:rsidR="0094088A">
              <w:rPr>
                <w:noProof/>
                <w:webHidden/>
              </w:rPr>
              <w:fldChar w:fldCharType="end"/>
            </w:r>
          </w:hyperlink>
        </w:p>
        <w:p w14:paraId="6A500049" w14:textId="41BFE762" w:rsidR="0094088A" w:rsidRDefault="00A679EB">
          <w:pPr>
            <w:pStyle w:val="21"/>
            <w:rPr>
              <w:rFonts w:asciiTheme="minorHAnsi" w:eastAsiaTheme="minorEastAsia" w:hAnsiTheme="minorHAnsi" w:cstheme="minorBidi"/>
              <w:noProof/>
              <w:sz w:val="24"/>
              <w:szCs w:val="24"/>
              <w:lang w:eastAsia="ru-RU"/>
            </w:rPr>
          </w:pPr>
          <w:hyperlink w:anchor="_Toc66096880" w:history="1">
            <w:r w:rsidR="0094088A" w:rsidRPr="00AA4760">
              <w:rPr>
                <w:rStyle w:val="affd"/>
                <w:noProof/>
              </w:rPr>
              <w:t xml:space="preserve">Приложение Г5. </w:t>
            </w:r>
            <w:r w:rsidR="0094088A" w:rsidRPr="00AA4760">
              <w:rPr>
                <w:rStyle w:val="affd"/>
                <w:rFonts w:eastAsia="SimSun"/>
                <w:noProof/>
              </w:rPr>
              <w:t>Расчет трансплантационного риска по шкале HCT-CI</w:t>
            </w:r>
            <w:r w:rsidR="0094088A">
              <w:rPr>
                <w:noProof/>
                <w:webHidden/>
              </w:rPr>
              <w:tab/>
            </w:r>
            <w:r w:rsidR="0094088A">
              <w:rPr>
                <w:noProof/>
                <w:webHidden/>
              </w:rPr>
              <w:fldChar w:fldCharType="begin"/>
            </w:r>
            <w:r w:rsidR="0094088A">
              <w:rPr>
                <w:noProof/>
                <w:webHidden/>
              </w:rPr>
              <w:instrText xml:space="preserve"> PAGEREF _Toc66096880 \h </w:instrText>
            </w:r>
            <w:r w:rsidR="0094088A">
              <w:rPr>
                <w:noProof/>
                <w:webHidden/>
              </w:rPr>
            </w:r>
            <w:r w:rsidR="0094088A">
              <w:rPr>
                <w:noProof/>
                <w:webHidden/>
              </w:rPr>
              <w:fldChar w:fldCharType="separate"/>
            </w:r>
            <w:r w:rsidR="0094088A">
              <w:rPr>
                <w:noProof/>
                <w:webHidden/>
              </w:rPr>
              <w:t>518</w:t>
            </w:r>
            <w:r w:rsidR="0094088A">
              <w:rPr>
                <w:noProof/>
                <w:webHidden/>
              </w:rPr>
              <w:fldChar w:fldCharType="end"/>
            </w:r>
          </w:hyperlink>
        </w:p>
        <w:p w14:paraId="3A87BBBF" w14:textId="1A27DA3F" w:rsidR="0033051F" w:rsidRPr="000322E4" w:rsidRDefault="00172112" w:rsidP="00CA442F">
          <w:pPr>
            <w:rPr>
              <w:bCs/>
            </w:rPr>
          </w:pPr>
          <w:r w:rsidRPr="000322E4">
            <w:rPr>
              <w:b/>
              <w:bCs/>
            </w:rPr>
            <w:fldChar w:fldCharType="end"/>
          </w:r>
        </w:p>
      </w:sdtContent>
    </w:sdt>
    <w:bookmarkStart w:id="3" w:name="__RefHeading___doc_abbreviation" w:displacedByCustomXml="prev"/>
    <w:p w14:paraId="043A721F" w14:textId="77777777" w:rsidR="000414F6" w:rsidRPr="000322E4" w:rsidRDefault="00CB71DA" w:rsidP="00CA442F">
      <w:pPr>
        <w:pStyle w:val="afff2"/>
      </w:pPr>
      <w:bookmarkStart w:id="4" w:name="_Toc66096807"/>
      <w:r w:rsidRPr="000322E4">
        <w:t>Список сокращений</w:t>
      </w:r>
      <w:bookmarkEnd w:id="3"/>
      <w:bookmarkEnd w:id="4"/>
    </w:p>
    <w:p w14:paraId="5138B9AC" w14:textId="77777777" w:rsidR="00C3662B" w:rsidRPr="000322E4" w:rsidRDefault="00C3662B" w:rsidP="00CA442F">
      <w:pPr>
        <w:contextualSpacing/>
      </w:pPr>
      <w:r w:rsidRPr="000322E4">
        <w:t>АЧТВ – активированное частичное тромбопластиновое время</w:t>
      </w:r>
    </w:p>
    <w:p w14:paraId="0837CDFC" w14:textId="77777777" w:rsidR="00C3662B" w:rsidRPr="000322E4" w:rsidRDefault="00C3662B" w:rsidP="00CA442F">
      <w:pPr>
        <w:contextualSpacing/>
      </w:pPr>
      <w:r w:rsidRPr="000322E4">
        <w:t>МНО – международное нормализованное отношение</w:t>
      </w:r>
    </w:p>
    <w:p w14:paraId="5FE5EF7F" w14:textId="77777777" w:rsidR="00C3662B" w:rsidRPr="000322E4" w:rsidRDefault="00C3662B" w:rsidP="00CA442F">
      <w:pPr>
        <w:contextualSpacing/>
      </w:pPr>
      <w:r w:rsidRPr="000322E4">
        <w:t>МПИ – международный прогностический индекс</w:t>
      </w:r>
    </w:p>
    <w:p w14:paraId="1321C8C3" w14:textId="77777777" w:rsidR="00C3662B" w:rsidRPr="000322E4" w:rsidRDefault="00C3662B" w:rsidP="00CA442F">
      <w:pPr>
        <w:contextualSpacing/>
      </w:pPr>
      <w:r w:rsidRPr="000322E4">
        <w:t>ВБП – выживаемость без прогрессирования</w:t>
      </w:r>
    </w:p>
    <w:p w14:paraId="121F8A5A" w14:textId="77777777" w:rsidR="00C3662B" w:rsidRPr="000322E4" w:rsidRDefault="00C3662B" w:rsidP="00CA442F">
      <w:pPr>
        <w:contextualSpacing/>
      </w:pPr>
      <w:r w:rsidRPr="000322E4">
        <w:t>ОВ – общая выживаемость</w:t>
      </w:r>
    </w:p>
    <w:p w14:paraId="5F0B6A4C" w14:textId="77777777" w:rsidR="00C3662B" w:rsidRPr="000322E4" w:rsidRDefault="00C3662B" w:rsidP="00CA442F">
      <w:pPr>
        <w:contextualSpacing/>
      </w:pPr>
      <w:r w:rsidRPr="000322E4">
        <w:t xml:space="preserve">УЗИ – ультразвуковое исследование </w:t>
      </w:r>
    </w:p>
    <w:p w14:paraId="53F9CA03" w14:textId="77777777" w:rsidR="00C3662B" w:rsidRPr="000322E4" w:rsidRDefault="00C3662B" w:rsidP="00CA442F">
      <w:pPr>
        <w:contextualSpacing/>
      </w:pPr>
      <w:r w:rsidRPr="000322E4">
        <w:t xml:space="preserve">КТ – компьютерная томография </w:t>
      </w:r>
    </w:p>
    <w:p w14:paraId="30C7BE37" w14:textId="77777777" w:rsidR="00C3662B" w:rsidRPr="000322E4" w:rsidRDefault="00C3662B" w:rsidP="00CA442F">
      <w:pPr>
        <w:contextualSpacing/>
      </w:pPr>
      <w:r w:rsidRPr="000322E4">
        <w:t>ПЭТ – позитронно-эмиссионная томография</w:t>
      </w:r>
    </w:p>
    <w:p w14:paraId="79D917BF" w14:textId="77777777" w:rsidR="00C3662B" w:rsidRPr="000322E4" w:rsidRDefault="00C3662B" w:rsidP="00CA442F">
      <w:pPr>
        <w:contextualSpacing/>
      </w:pPr>
      <w:r w:rsidRPr="000322E4">
        <w:t>МРТ – магнитно-резонансная томография</w:t>
      </w:r>
    </w:p>
    <w:p w14:paraId="1870FD70" w14:textId="77777777" w:rsidR="00DA1F72" w:rsidRPr="000322E4" w:rsidRDefault="00DA1F72" w:rsidP="00CA442F">
      <w:pPr>
        <w:contextualSpacing/>
      </w:pPr>
      <w:r w:rsidRPr="000322E4">
        <w:t>ЛБ – лимфома Беркитта</w:t>
      </w:r>
    </w:p>
    <w:p w14:paraId="41B77FB0" w14:textId="77777777" w:rsidR="00C3662B" w:rsidRPr="000322E4" w:rsidRDefault="00C3662B" w:rsidP="00CA442F">
      <w:pPr>
        <w:contextualSpacing/>
      </w:pPr>
      <w:r w:rsidRPr="000322E4">
        <w:t>ЛТ – лучевая терапия</w:t>
      </w:r>
    </w:p>
    <w:p w14:paraId="37AA6026" w14:textId="77777777" w:rsidR="00C3662B" w:rsidRPr="000322E4" w:rsidRDefault="00C3662B" w:rsidP="00CA442F">
      <w:pPr>
        <w:contextualSpacing/>
      </w:pPr>
      <w:r w:rsidRPr="000322E4">
        <w:t>РОД - разовая доза облучения</w:t>
      </w:r>
    </w:p>
    <w:p w14:paraId="1E376A26" w14:textId="77777777" w:rsidR="00C3662B" w:rsidRPr="000322E4" w:rsidRDefault="00C3662B" w:rsidP="00CA442F">
      <w:pPr>
        <w:contextualSpacing/>
      </w:pPr>
      <w:r w:rsidRPr="000322E4">
        <w:t>СОД - суммарная доза облучения</w:t>
      </w:r>
    </w:p>
    <w:p w14:paraId="4EEFED33" w14:textId="77777777" w:rsidR="00C3662B" w:rsidRPr="000322E4" w:rsidRDefault="00C3662B" w:rsidP="00CA442F">
      <w:pPr>
        <w:contextualSpacing/>
      </w:pPr>
      <w:r w:rsidRPr="000322E4">
        <w:t>ЭКГ - электрокардиография</w:t>
      </w:r>
    </w:p>
    <w:p w14:paraId="656B9C9C" w14:textId="77777777" w:rsidR="00C3662B" w:rsidRPr="000322E4" w:rsidRDefault="00C3662B" w:rsidP="00CA442F">
      <w:pPr>
        <w:contextualSpacing/>
      </w:pPr>
      <w:r w:rsidRPr="000322E4">
        <w:t>Эхо-КГ - эхокардиография</w:t>
      </w:r>
    </w:p>
    <w:p w14:paraId="6C63F9C4" w14:textId="77777777" w:rsidR="00C3662B" w:rsidRPr="000322E4" w:rsidRDefault="00C3662B" w:rsidP="00CA442F">
      <w:pPr>
        <w:contextualSpacing/>
      </w:pPr>
      <w:r w:rsidRPr="000322E4">
        <w:t>ВДХТ с аутоТГСК – высокодозная химиотерапия с последующей трасплантацией аутологичных гемопоэтических стволовых клеток</w:t>
      </w:r>
    </w:p>
    <w:p w14:paraId="5271C006" w14:textId="77777777" w:rsidR="00C3662B" w:rsidRPr="000322E4" w:rsidRDefault="00C3662B" w:rsidP="00CA442F">
      <w:pPr>
        <w:contextualSpacing/>
      </w:pPr>
      <w:r w:rsidRPr="000322E4">
        <w:t>ГЭБ – гематоэнцефалический барьер</w:t>
      </w:r>
    </w:p>
    <w:p w14:paraId="70E08EB4" w14:textId="77777777" w:rsidR="00C3662B" w:rsidRPr="000322E4" w:rsidRDefault="00C3662B" w:rsidP="00CA442F">
      <w:pPr>
        <w:contextualSpacing/>
      </w:pPr>
      <w:r w:rsidRPr="000322E4">
        <w:t>MALT - мукозассоциированная лимфома</w:t>
      </w:r>
    </w:p>
    <w:p w14:paraId="71CF7823" w14:textId="77777777" w:rsidR="00C3662B" w:rsidRPr="000322E4" w:rsidRDefault="00C3662B" w:rsidP="00CA442F">
      <w:pPr>
        <w:contextualSpacing/>
      </w:pPr>
      <w:r w:rsidRPr="000322E4">
        <w:t>НХЛ - неходжкинские лимфомы</w:t>
      </w:r>
    </w:p>
    <w:p w14:paraId="3F40D485" w14:textId="77777777" w:rsidR="00C3662B" w:rsidRPr="000322E4" w:rsidRDefault="00C3662B" w:rsidP="00CA442F">
      <w:pPr>
        <w:contextualSpacing/>
      </w:pPr>
      <w:r w:rsidRPr="000322E4">
        <w:lastRenderedPageBreak/>
        <w:t>ИФТ - иммунофенотипирование методом проточной цитометрии</w:t>
      </w:r>
    </w:p>
    <w:p w14:paraId="3525CB42" w14:textId="77777777" w:rsidR="00C3662B" w:rsidRPr="000322E4" w:rsidRDefault="00C3662B" w:rsidP="00CA442F">
      <w:pPr>
        <w:contextualSpacing/>
      </w:pPr>
      <w:r w:rsidRPr="000322E4">
        <w:t>ИГХ -иммуногистохимия</w:t>
      </w:r>
    </w:p>
    <w:p w14:paraId="05F36DC2" w14:textId="77777777" w:rsidR="00C3662B" w:rsidRPr="000322E4" w:rsidRDefault="00C3662B" w:rsidP="00CA442F">
      <w:pPr>
        <w:contextualSpacing/>
      </w:pPr>
      <w:r w:rsidRPr="000322E4">
        <w:t>КМ - костный мозг</w:t>
      </w:r>
    </w:p>
    <w:p w14:paraId="66C66997" w14:textId="77777777" w:rsidR="00C3662B" w:rsidRPr="000322E4" w:rsidRDefault="00C3662B" w:rsidP="00CA442F">
      <w:pPr>
        <w:contextualSpacing/>
      </w:pPr>
      <w:r w:rsidRPr="000322E4">
        <w:t>ЛДГ-лактатдегидрогеназа</w:t>
      </w:r>
    </w:p>
    <w:p w14:paraId="64CDB5F2" w14:textId="77777777" w:rsidR="00C3662B" w:rsidRPr="000322E4" w:rsidRDefault="00C3662B" w:rsidP="00CA442F">
      <w:pPr>
        <w:contextualSpacing/>
      </w:pPr>
      <w:r w:rsidRPr="000322E4">
        <w:t>ДВКЛ –диффузная крупноклеточная В-клеточная лимфома</w:t>
      </w:r>
    </w:p>
    <w:p w14:paraId="42C9FAED" w14:textId="77777777" w:rsidR="00C3662B" w:rsidRPr="000322E4" w:rsidRDefault="00C3662B" w:rsidP="00CA442F">
      <w:pPr>
        <w:contextualSpacing/>
      </w:pPr>
      <w:r w:rsidRPr="000322E4">
        <w:t>ВКЛ- В-клеточная крупноклеточная лимфома</w:t>
      </w:r>
    </w:p>
    <w:p w14:paraId="59AC3328" w14:textId="77777777" w:rsidR="00C3662B" w:rsidRPr="000322E4" w:rsidRDefault="00C3662B" w:rsidP="00CA442F">
      <w:pPr>
        <w:contextualSpacing/>
      </w:pPr>
      <w:r w:rsidRPr="000322E4">
        <w:t>ПМВКЛ – первичная медиастинальная крупноклеточная В-клеточная лимфома</w:t>
      </w:r>
    </w:p>
    <w:p w14:paraId="3E33764C" w14:textId="77777777" w:rsidR="00C3662B" w:rsidRPr="000322E4" w:rsidRDefault="00C3662B" w:rsidP="00CA442F">
      <w:pPr>
        <w:contextualSpacing/>
      </w:pPr>
      <w:r w:rsidRPr="000322E4">
        <w:t>ПЛЦНС – первичная лимфома центральной нервной системы</w:t>
      </w:r>
    </w:p>
    <w:p w14:paraId="574E299C" w14:textId="77777777" w:rsidR="00C3662B" w:rsidRPr="000322E4" w:rsidRDefault="00C3662B" w:rsidP="00CA442F">
      <w:pPr>
        <w:contextualSpacing/>
      </w:pPr>
      <w:r w:rsidRPr="000322E4">
        <w:t>ЦНС – центральная нервная система</w:t>
      </w:r>
    </w:p>
    <w:p w14:paraId="6C9F2401" w14:textId="77777777" w:rsidR="001B6C0A" w:rsidRPr="000322E4" w:rsidRDefault="001B6C0A" w:rsidP="00CA442F">
      <w:pPr>
        <w:contextualSpacing/>
      </w:pPr>
      <w:r w:rsidRPr="000322E4">
        <w:rPr>
          <w:lang w:val="en-US"/>
        </w:rPr>
        <w:t>Mtx</w:t>
      </w:r>
      <w:r w:rsidRPr="000322E4">
        <w:t>/</w:t>
      </w:r>
      <w:r w:rsidRPr="000322E4">
        <w:rPr>
          <w:lang w:val="en-US"/>
        </w:rPr>
        <w:t>AraC</w:t>
      </w:r>
      <w:r w:rsidRPr="000322E4">
        <w:t>/</w:t>
      </w:r>
      <w:r w:rsidRPr="000322E4">
        <w:rPr>
          <w:lang w:val="en-US"/>
        </w:rPr>
        <w:t>Pred</w:t>
      </w:r>
      <w:r w:rsidRPr="000322E4">
        <w:t xml:space="preserve"> – интратекальное введение метотрексата</w:t>
      </w:r>
      <w:r w:rsidRPr="000322E4">
        <w:rPr>
          <w:bCs/>
        </w:rPr>
        <w:t xml:space="preserve">**, </w:t>
      </w:r>
      <w:r w:rsidRPr="000322E4">
        <w:t>цитарабина</w:t>
      </w:r>
      <w:r w:rsidRPr="000322E4">
        <w:rPr>
          <w:bCs/>
        </w:rPr>
        <w:t xml:space="preserve">** и </w:t>
      </w:r>
      <w:r w:rsidRPr="000322E4">
        <w:t>преднизолона</w:t>
      </w:r>
      <w:r w:rsidRPr="000322E4">
        <w:rPr>
          <w:bCs/>
        </w:rPr>
        <w:t>**</w:t>
      </w:r>
    </w:p>
    <w:p w14:paraId="30352E81" w14:textId="77777777" w:rsidR="006619AD" w:rsidRPr="000322E4" w:rsidRDefault="00C3662B" w:rsidP="00CA442F">
      <w:pPr>
        <w:contextualSpacing/>
      </w:pPr>
      <w:r w:rsidRPr="000322E4">
        <w:t xml:space="preserve">FISH – флуоресцентная гибридизаация </w:t>
      </w:r>
      <w:r w:rsidRPr="000322E4">
        <w:rPr>
          <w:i/>
        </w:rPr>
        <w:t>in situ</w:t>
      </w:r>
    </w:p>
    <w:p w14:paraId="0345D353" w14:textId="77777777" w:rsidR="006619AD" w:rsidRPr="000322E4" w:rsidRDefault="006619AD" w:rsidP="00CA442F">
      <w:pPr>
        <w:contextualSpacing/>
      </w:pPr>
      <w:r w:rsidRPr="000322E4">
        <w:t>** – жизненно необходимые и важнейшие лекарственные препараты</w:t>
      </w:r>
    </w:p>
    <w:p w14:paraId="28C8BD11" w14:textId="77777777" w:rsidR="006619AD" w:rsidRPr="000322E4" w:rsidRDefault="006619AD" w:rsidP="00CA442F">
      <w:pPr>
        <w:contextualSpacing/>
      </w:pPr>
      <w:r w:rsidRPr="000322E4">
        <w:t># – препарат, применяющийся не в соответствии с показаниями к применению и противопоказаниями, способами применения и дозами, содержащимися в инструкции по применению лекарственного препарата (офф-лейбл)</w:t>
      </w:r>
    </w:p>
    <w:p w14:paraId="380A0B92" w14:textId="77777777" w:rsidR="006619AD" w:rsidRPr="000322E4" w:rsidRDefault="006619AD" w:rsidP="00CA442F"/>
    <w:p w14:paraId="746ABB13" w14:textId="77777777" w:rsidR="000414F6" w:rsidRPr="000322E4" w:rsidRDefault="00CB71DA" w:rsidP="00CA442F">
      <w:pPr>
        <w:pStyle w:val="afff2"/>
      </w:pPr>
      <w:r w:rsidRPr="000322E4">
        <w:br w:type="page"/>
      </w:r>
      <w:bookmarkStart w:id="5" w:name="__RefHeading___doc_terms"/>
      <w:bookmarkStart w:id="6" w:name="_Toc66096808"/>
      <w:r w:rsidRPr="000322E4">
        <w:lastRenderedPageBreak/>
        <w:t>Термины и определения</w:t>
      </w:r>
      <w:bookmarkEnd w:id="5"/>
      <w:bookmarkEnd w:id="6"/>
    </w:p>
    <w:p w14:paraId="3D97BC57" w14:textId="77777777" w:rsidR="006619AD" w:rsidRPr="000322E4" w:rsidRDefault="006619AD" w:rsidP="00CA442F">
      <w:pPr>
        <w:contextualSpacing/>
      </w:pPr>
      <w:r w:rsidRPr="000322E4">
        <w:rPr>
          <w:b/>
        </w:rPr>
        <w:t>ECOG</w:t>
      </w:r>
      <w:r w:rsidRPr="000322E4">
        <w:t xml:space="preserve"> – оценка общего состояния пациента по шкале, разработанной Восточной объединенной онкологической группой (Eastern Cooperative Oncology Group) – см. приложение Г1.</w:t>
      </w:r>
    </w:p>
    <w:p w14:paraId="012139F0" w14:textId="77777777" w:rsidR="006619AD" w:rsidRPr="000322E4" w:rsidRDefault="006619AD" w:rsidP="00CA442F">
      <w:pPr>
        <w:contextualSpacing/>
      </w:pPr>
      <w:r w:rsidRPr="000322E4">
        <w:rPr>
          <w:b/>
        </w:rPr>
        <w:t xml:space="preserve">В-симптомы </w:t>
      </w:r>
      <w:r w:rsidRPr="000322E4">
        <w:t>– неспецифичиеские симптомы опухолевой интоксикации, включающие лихорадку выше 38°С не менее трех дней подряд без признаков воспаления; ночные профузные поты; похудание на 10% массы тела за последние 6 месяцев.</w:t>
      </w:r>
    </w:p>
    <w:p w14:paraId="72B867FA" w14:textId="77777777" w:rsidR="001D40F8" w:rsidRPr="000322E4" w:rsidRDefault="001D40F8" w:rsidP="00CA442F"/>
    <w:p w14:paraId="2779E014" w14:textId="77777777" w:rsidR="00275A41" w:rsidRPr="000322E4" w:rsidRDefault="00CB71DA" w:rsidP="00CA442F">
      <w:pPr>
        <w:pStyle w:val="afd"/>
        <w:spacing w:beforeAutospacing="0" w:afterAutospacing="0" w:line="360" w:lineRule="auto"/>
        <w:divId w:val="576134796"/>
      </w:pPr>
      <w:r w:rsidRPr="000322E4">
        <w:t>                                   </w:t>
      </w:r>
    </w:p>
    <w:p w14:paraId="099620D5" w14:textId="77777777" w:rsidR="00B8195D" w:rsidRPr="000322E4" w:rsidRDefault="00CB71DA" w:rsidP="00CA442F">
      <w:pPr>
        <w:pStyle w:val="afff2"/>
        <w:spacing w:before="0"/>
        <w:jc w:val="both"/>
      </w:pPr>
      <w:r w:rsidRPr="000322E4">
        <w:br w:type="page"/>
      </w:r>
      <w:bookmarkStart w:id="7" w:name="__RefHeading___doc_1"/>
    </w:p>
    <w:p w14:paraId="5F763C61" w14:textId="77777777" w:rsidR="000414F6" w:rsidRPr="000322E4" w:rsidRDefault="00CB71DA" w:rsidP="00CA442F">
      <w:pPr>
        <w:pStyle w:val="afff2"/>
      </w:pPr>
      <w:bookmarkStart w:id="8" w:name="_Toc66096809"/>
      <w:r w:rsidRPr="000322E4">
        <w:lastRenderedPageBreak/>
        <w:t>1. Краткая информация</w:t>
      </w:r>
      <w:bookmarkEnd w:id="7"/>
      <w:r w:rsidR="00384B6A" w:rsidRPr="000322E4">
        <w:t xml:space="preserve"> по заболеванию или состоянию (группе заболеваний или состояний)</w:t>
      </w:r>
      <w:bookmarkEnd w:id="8"/>
    </w:p>
    <w:p w14:paraId="55F74D7F" w14:textId="77777777" w:rsidR="00B46390" w:rsidRPr="000322E4" w:rsidRDefault="00B46390" w:rsidP="00CA442F">
      <w:pPr>
        <w:pStyle w:val="2"/>
        <w:spacing w:before="0"/>
        <w:rPr>
          <w:color w:val="000000" w:themeColor="text1"/>
        </w:rPr>
      </w:pPr>
      <w:bookmarkStart w:id="9" w:name="_Toc469402330"/>
      <w:bookmarkStart w:id="10" w:name="_Toc468273527"/>
      <w:bookmarkStart w:id="11" w:name="_Toc468273445"/>
      <w:bookmarkStart w:id="12" w:name="_Toc66096810"/>
      <w:bookmarkStart w:id="13" w:name="__RefHeading___doc_2"/>
      <w:bookmarkEnd w:id="9"/>
      <w:bookmarkEnd w:id="10"/>
      <w:bookmarkEnd w:id="11"/>
      <w:r w:rsidRPr="000322E4">
        <w:rPr>
          <w:color w:val="000000" w:themeColor="text1"/>
        </w:rPr>
        <w:t>1.1 Определение</w:t>
      </w:r>
      <w:r w:rsidR="00311757" w:rsidRPr="000322E4">
        <w:rPr>
          <w:color w:val="000000" w:themeColor="text1"/>
        </w:rPr>
        <w:t xml:space="preserve"> </w:t>
      </w:r>
      <w:r w:rsidR="00311757" w:rsidRPr="000322E4">
        <w:rPr>
          <w:color w:val="000000" w:themeColor="text1"/>
          <w:shd w:val="clear" w:color="auto" w:fill="FFFFFF"/>
        </w:rPr>
        <w:t>заболевания или состояния (группы заболеваний или состояний)</w:t>
      </w:r>
      <w:bookmarkEnd w:id="12"/>
    </w:p>
    <w:p w14:paraId="0B64EF6F" w14:textId="77777777" w:rsidR="009673D9" w:rsidRPr="000322E4" w:rsidRDefault="009673D9" w:rsidP="00CA442F">
      <w:pPr>
        <w:ind w:firstLine="709"/>
      </w:pPr>
      <w:r w:rsidRPr="000322E4">
        <w:rPr>
          <w:b/>
        </w:rPr>
        <w:t>Диффузная крупноклеточная В-клеточная лимфома (ДВКЛ)</w:t>
      </w:r>
      <w:r w:rsidRPr="000322E4">
        <w:t xml:space="preserve"> является гетерогенной группой лимфатических опухолей с различными клиническими, морфологическими, иммунофенотипическими, цитогенетическими проявлениями и с разным ответом на терапию. Субстратом опухоли являются крупные лимфоидные В-клетки, которые характеризуются выраженным атипизмом и полиморфизмом, наличием крупного ядра, в два и более раз превышающим размер ядра малого лимфоцита или равным и превышающим размер ядра макрофага. Опухолевые клетки в большинстве случаев располагаются диффузно, но могут быть и разбросанными среди зрелых В-лимфоцитов, иногда на фоне Т-клеточного окружения, или формировать очаговые скопления </w:t>
      </w:r>
      <w:r w:rsidRPr="000322E4">
        <w:fldChar w:fldCharType="begin" w:fldLock="1"/>
      </w:r>
      <w:r w:rsidR="002E6B0E" w:rsidRPr="000322E4">
        <w:instrText>ADDIN CSL_CITATION {"citationItems":[{"id":"ITEM-1","itemData":{"ISBN":"9789283244943","abstract":"Revised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J","non-dropping-particle":"","parse-names":false,"suffix":""}],"id":"ITEM-1","issued":{"date-parts":[["2017"]]},"number-of-pages":"585","title":"WHO classification of tumours of haematopoietic and lymphoid tissues. Revised 4th ed. Lyon, France: International Agency for Research in Cancer (IARC)","type":"book"},"uris":["http://www.mendeley.com/documents/?uuid=b06b14d2-e846-3ead-b23a-17e93b076e13"]}],"mendeley":{"formattedCitation":"[1]","plainTextFormattedCitation":"[1]","previouslyFormattedCitation":"[1]"},"properties":{"noteIndex":0},"schema":"https://github.com/citation-style-language/schema/raw/master/csl-citation.json"}</w:instrText>
      </w:r>
      <w:r w:rsidRPr="000322E4">
        <w:fldChar w:fldCharType="separate"/>
      </w:r>
      <w:r w:rsidRPr="000322E4">
        <w:rPr>
          <w:noProof/>
        </w:rPr>
        <w:t>[1]</w:t>
      </w:r>
      <w:r w:rsidRPr="000322E4">
        <w:fldChar w:fldCharType="end"/>
      </w:r>
      <w:r w:rsidRPr="000322E4">
        <w:t>. В зависимости от клинических проявления, морфологических и молекулярных признаков выделяют различные типы крупноклеточных В-клеточных лимфом (см</w:t>
      </w:r>
      <w:r w:rsidRPr="000322E4">
        <w:rPr>
          <w:color w:val="000000" w:themeColor="text1"/>
        </w:rPr>
        <w:t>.</w:t>
      </w:r>
      <w:r w:rsidRPr="000322E4">
        <w:t xml:space="preserve"> раздел классификация).</w:t>
      </w:r>
    </w:p>
    <w:p w14:paraId="3A423730" w14:textId="77777777" w:rsidR="00DA1F72" w:rsidRPr="000322E4" w:rsidRDefault="00DA1F72" w:rsidP="00CA442F">
      <w:pPr>
        <w:ind w:firstLine="709"/>
      </w:pPr>
      <w:r w:rsidRPr="000322E4">
        <w:rPr>
          <w:b/>
          <w:bCs/>
        </w:rPr>
        <w:t>Лимфома Беркитта (ЛБ)</w:t>
      </w:r>
      <w:r w:rsidRPr="000322E4">
        <w:t xml:space="preserve"> – высоко агрессивная лимфома из иммунологически зрелых В-клеток с преимущественно экстранодальной локализацией </w:t>
      </w:r>
      <w:r w:rsidRPr="000322E4">
        <w:fldChar w:fldCharType="begin" w:fldLock="1"/>
      </w:r>
      <w:r w:rsidRPr="000322E4">
        <w:instrText>ADDIN CSL_CITATION {"citationItems":[{"id":"ITEM-1","itemData":{"author":[{"dropping-particle":"","family":"Барях","given":"Е.А.","non-dropping-particle":"","parse-names":false,"suffix":""}],"container-title":"Российские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Савченко.","id":"ITEM-1","issued":{"date-parts":[["2018"]]},"page":"80-87","title":"Лимфома Беркитта","type":"chapter"},"uris":["http://www.mendeley.com/documents/?uuid=6c46cd48-7af0-4ac2-8eb1-93f86718c4df"]}],"mendeley":{"formattedCitation":"[2]","plainTextFormattedCitation":"[2]","previouslyFormattedCitation":"[2]"},"properties":{"noteIndex":0},"schema":"https://github.com/citation-style-language/schema/raw/master/csl-citation.json"}</w:instrText>
      </w:r>
      <w:r w:rsidRPr="000322E4">
        <w:fldChar w:fldCharType="separate"/>
      </w:r>
      <w:r w:rsidRPr="000322E4">
        <w:rPr>
          <w:noProof/>
        </w:rPr>
        <w:t>[2]</w:t>
      </w:r>
      <w:r w:rsidRPr="000322E4">
        <w:fldChar w:fldCharType="end"/>
      </w:r>
      <w:r w:rsidRPr="000322E4">
        <w:t>.</w:t>
      </w:r>
    </w:p>
    <w:p w14:paraId="194BF951" w14:textId="77777777" w:rsidR="00B46390" w:rsidRPr="000322E4" w:rsidRDefault="00B46390" w:rsidP="00CA442F">
      <w:pPr>
        <w:pStyle w:val="2"/>
        <w:spacing w:before="0"/>
        <w:rPr>
          <w:color w:val="000000" w:themeColor="text1"/>
        </w:rPr>
      </w:pPr>
      <w:bookmarkStart w:id="14" w:name="_Toc66096811"/>
      <w:r w:rsidRPr="000322E4">
        <w:rPr>
          <w:color w:val="000000" w:themeColor="text1"/>
        </w:rPr>
        <w:t>1.2 Этиология и патогенез</w:t>
      </w:r>
      <w:r w:rsidR="00311757" w:rsidRPr="000322E4">
        <w:rPr>
          <w:color w:val="000000" w:themeColor="text1"/>
        </w:rPr>
        <w:t xml:space="preserve"> </w:t>
      </w:r>
      <w:r w:rsidR="00311757" w:rsidRPr="000322E4">
        <w:rPr>
          <w:color w:val="000000" w:themeColor="text1"/>
          <w:shd w:val="clear" w:color="auto" w:fill="FFFFFF"/>
        </w:rPr>
        <w:t>заболевания или состояния (группы заболеваний или состояний)</w:t>
      </w:r>
      <w:bookmarkEnd w:id="14"/>
    </w:p>
    <w:p w14:paraId="12A859D7" w14:textId="77777777" w:rsidR="009673D9" w:rsidRPr="000322E4" w:rsidRDefault="009673D9" w:rsidP="00CA442F">
      <w:pPr>
        <w:ind w:firstLine="709"/>
      </w:pPr>
      <w:r w:rsidRPr="000322E4">
        <w:t xml:space="preserve">Этиология ДВКЛ остается неясной. Опухоль чаще возникает </w:t>
      </w:r>
      <w:r w:rsidRPr="000322E4">
        <w:rPr>
          <w:lang w:val="en-US"/>
        </w:rPr>
        <w:t>de</w:t>
      </w:r>
      <w:r w:rsidRPr="000322E4">
        <w:t xml:space="preserve"> </w:t>
      </w:r>
      <w:r w:rsidRPr="000322E4">
        <w:rPr>
          <w:lang w:val="en-US"/>
        </w:rPr>
        <w:t>novo</w:t>
      </w:r>
      <w:r w:rsidRPr="000322E4">
        <w:t xml:space="preserve">, но может также трансформироваться из менее агрессивной лимфомы (ХЛЛ/лимфома из малых лимфоцитов, фолликулярная лимфома, лимфома из клеток маргинальной зоны или вариант нодулярного лимфоидного преобладания лимфомы Ходжкина). Значимым фактором риска является также сопутствующий иммунодефицит, у таких пациентов значительно чаще, чем в спорадических случаях встречается </w:t>
      </w:r>
      <w:r w:rsidRPr="000322E4">
        <w:rPr>
          <w:lang w:val="en-US"/>
        </w:rPr>
        <w:t>EBV</w:t>
      </w:r>
      <w:r w:rsidRPr="000322E4">
        <w:t xml:space="preserve">-позитивная ДВКЛ. </w:t>
      </w:r>
    </w:p>
    <w:p w14:paraId="5F8B5689" w14:textId="77777777" w:rsidR="009673D9" w:rsidRPr="000322E4" w:rsidRDefault="009673D9" w:rsidP="00CA442F">
      <w:pPr>
        <w:ind w:firstLine="708"/>
      </w:pPr>
      <w:r w:rsidRPr="000322E4">
        <w:t>В патогенезе ДВКЛ основными звеньями являются нарушение клеточных процессов пролиферации, созревания и дифференцировки В - лимфоцитов.  Первый этап дифференцировки В-лимфоцитов (первичная перестройка генов, кодирующих синтез иммуноглобулинов) проходит в костном мозге. Клетки с «успешной перестройкой» генов иммуноглобулинов (</w:t>
      </w:r>
      <w:r w:rsidRPr="000322E4">
        <w:rPr>
          <w:i/>
        </w:rPr>
        <w:t>наивные</w:t>
      </w:r>
      <w:r w:rsidRPr="000322E4">
        <w:t xml:space="preserve"> В-клетки), покидают костный мозг и попадают во вторичные лимфоидные органы – лимфатические узлы, миндалины, селезенку, пейеровы бляшки, где, трансформировавшись под влиянием антигенной стимуляции, при участии фолликулярных дендритных клеток и Т-лимфоцитов образуют фолликулы. В зародышевом центре вторичных фолликулов наивные B-клетки, не имеющие комплементарного антигена и не </w:t>
      </w:r>
      <w:r w:rsidRPr="000322E4">
        <w:lastRenderedPageBreak/>
        <w:t>способные произвести функциональное антитело, подвергаются апоптозу.   С В-лимфоцитами,  получившими возможность синтезировать  антитела после контакта с соответствующими антигенами,  в зародышевом центре происходит ряд измененей (переключение класса иммуноглобулина (IgM, IgD на IgG, IgA или IgE), а также соматическая гипермутация (замена одного нуклеотида в гипервариабельных регионах иммуноглобулинов), после чего В-клетки покидают фолликул, становясь окончательно дифференцированными плазматическими клетками или долгоживущими В-клетками памяти. Случайные неудачи в управлении этими процессами и играют решающую роль в развитии B-клеточных опухолей, в том числе ДВКЛ</w:t>
      </w:r>
      <w:r w:rsidR="002E6B0E" w:rsidRPr="000322E4">
        <w:t xml:space="preserve"> </w:t>
      </w:r>
      <w:r w:rsidR="002E6B0E" w:rsidRPr="000322E4">
        <w:fldChar w:fldCharType="begin" w:fldLock="1"/>
      </w:r>
      <w:r w:rsidR="00DA1F72" w:rsidRPr="000322E4">
        <w:instrText>ADDIN CSL_CITATION {"citationItems":[{"id":"ITEM-1","itemData":{"DOI":"10.1016/1074-7613(94)90081-7","ISSN":"10747613","PMID":"7889417","abstract":"The precise time of appearance of the first hematopoietic stem cell activity in the developing mouse embryo is unknown. Recently the aorta-gonad-mesonephros region of the developing mouse embryo has been shown to possess hematopoietic colony-forming activity (CFU-S) in irradiated recipient mice. To determine whether the mouse embryo possesses definitive hematopoietic stem cell activity in the analogous AGM region and to determine the order of appearance of stem cells in the yolk sac, AGM region, and liver, we transferred these embryonic tissues into adult irradiated recipients. We report here the long-term, complete, and functional hematopoietic repopulation of primary and serial recipients with AGM-derived cells. We observe potent hematopoietic stem cell activity in the AGM region before the appearance of yolk sac and liver stem cell activity and discuss a model for the maturation of stem cell activity in mouse embryogenesis. © 1994.","author":[{"dropping-particle":"","family":"Müller","given":"Albrecht M.","non-dropping-particle":"","parse-names":false,"suffix":""},{"dropping-particle":"","family":"Medvinsky","given":"Alexander","non-dropping-particle":"","parse-names":false,"suffix":""},{"dropping-particle":"","family":"Strouboulis","given":"John","non-dropping-particle":"","parse-names":false,"suffix":""},{"dropping-particle":"","family":"Grosveld","given":"Frank","non-dropping-particle":"","parse-names":false,"suffix":""},{"dropping-particle":"","family":"Dzierzakt","given":"Elaine","non-dropping-particle":"","parse-names":false,"suffix":""}],"container-title":"Immunity","id":"ITEM-1","issue":"4","issued":{"date-parts":[["1994"]]},"page":"291-301","title":"Development of hematopoietic stem cell activity in the mouse embryo","type":"article-journal","volume":"1"},"uris":["http://www.mendeley.com/documents/?uuid=317b018b-c655-30cc-903e-290b72242351"]},{"id":"ITEM-2","itemData":{"DOI":"10.1038/nri1649","ISSN":"14741733","abstract":"In this Opinion article, I address the role of the pre-B-cell receptor (pre-BCR) in the development of antigen-specific B cells in terms of immunoglobulin heavy chain (IgH) variable-region repertoire selection, precursor B-cell differentiation and proliferation, and IgH allelic exclusion. Comparisons with the role of the pre-T-cell receptor (pre-TCR) in T-cell development raise provocative questions. Why do B- and T-cell lineages both use a surrogate chain -the surrogate light chain and the pre-TCR α-chain, respectively - as a step to develop their repertoires of antigen-recognizing cells? What are the functions of the pre-BCR and pre-TCR in lymphocyte differentiation and antigen-receptor allelic exclusion? This article, together with the accompanying article by Harald von Boehmer, hopes to answer some of these questions.","author":[{"dropping-particle":"","family":"Melchers","given":"Fritz","non-dropping-particle":"","parse-names":false,"suffix":""}],"container-title":"Nature Reviews Immunology","id":"ITEM-2","issue":"7","issued":{"date-parts":[["2005","7"]]},"page":"578-584","title":"The pre-B-cell receptor: Selector of fitting immunoglobulin heavy chains for the B-cell repertoire","type":"article","volume":"5"},"uris":["http://www.mendeley.com/documents/?uuid=4181a166-7eec-3522-8446-99d5c9d19a7f"]},{"id":"ITEM-3","itemData":{"DOI":"10.1084/jem.20060964","ISSN":"00221007","abstract":"The contribution of proliferation to B lymphocyte homeostasis and antigen responses is largely unknown. We quantified the replication history of mouse and human B lymphocyte subsets by calculating the ratio between genomic coding joints and signal joints on kappa-deleting recombination excision circles (KREC) of the IGK-deleting rearrangement. This approach was validated with in vitro proliferation studies. We demonstrate that naive mature B lymphocytes, but not transitional B lymphocytes, undergo in vivo homeostatic proliferation in the absence of somatic mutations in the periphery. T cell-dependent B cell proliferation was substantially higher and showed higher frequencies of somatic hypermutation than T cell-independent responses, fitting with the robustness and high affinity of T cell-dependent antibody responses. More extensive proliferation and somatic hypermutation in antigen-experienced B lymphocytes from human adults compared to children indicated consecutive responses upon additional antigen exposures. Our combined observations unravel the contribution of proliferation to both B lymphocyte homeostasis and antigeninduced B cell expansion. We propose an important role for both processes in humoral immunity. These new insights will support the understanding of peripheral B cell regeneration after hematopoietic stem cell transplantation or B cell-directed antibody therapy, and the identification of defects in homeostatic or antigen-induced B cell proliferation in patients with common variable immunodeficiency or another antibody deficiency. JEM © The Rockefeller University Press.","author":[{"dropping-particle":"","family":"Zelm","given":"Menno C.","non-dropping-particle":"Van","parse-names":false,"suffix":""},{"dropping-particle":"","family":"Szczepański","given":"Tomasz","non-dropping-particle":"","parse-names":false,"suffix":""},{"dropping-particle":"","family":"Burg","given":"Mirjam","non-dropping-particle":"Van Der","parse-names":false,"suffix":""},{"dropping-particle":"","family":"Dongen","given":"Jacques J.M.","non-dropping-particle":"Van","parse-names":false,"suffix":""}],"container-title":"Journal of Experimental Medicine","id":"ITEM-3","issue":"3","issued":{"date-parts":[["2007","3","19"]]},"page":"645-655","title":"Replication history of B lymphocytes reveals homeostatic proliferation and extensive antigen-induced B cell expansion","type":"article-journal","volume":"204"},"uris":["http://www.mendeley.com/documents/?uuid=0267efa3-d200-3fc4-8e9a-da092a73a49f"]},{"id":"ITEM-4","itemData":{"DOI":"10.1093/intimm/5.6.647","ISSN":"09538178","PMID":"8347558","abstract":"B lymphocyte differentiation is characterized by an ordered series of Ig gene assembly and expression events. In the majority of normal B cells, assembly and expression of Ig heavy (H) chain genes precedes that of light (L) chain genes. To determine the role of the Ig heavy chain protein in B cell development and L chain gene rearrangement, we have generated mice that cannot assemble Ig H chain genes as a result of targeted deletion of the JH gene segments in embryonic stem cells. Mice homozygous for this deletion are devoid of slg+ B cells in the bone marrow and periphery. B cell differentiation in these mice is blocked at the large, CD43+ precursor stage. However, these precursor B cells do assemble κ{script} L chain genes at a low level in the absence of μ H chain proteins. These data demonstrate that rearrangement and expression of the μ H chain gene is not absolutely required for κ{script} L chain gene rearrangement in vivo. Expression of μ chains may facilitate either efficient L chain gene rearrangement or the survival of cells that have rearranged light chain genes by promoting the differentiation of large, CD43+ to small, CD43- pre-B cells. © 1993 Oxford University Press.","author":[{"dropping-particle":"","family":"Chen","given":"Jianzhu","non-dropping-particle":"","parse-names":false,"suffix":""},{"dropping-particle":"","family":"Trounstine","given":"Mary","non-dropping-particle":"","parse-names":false,"suffix":""},{"dropping-particle":"","family":"Alt","given":"Frederick W.","non-dropping-particle":"","parse-names":false,"suffix":""},{"dropping-particle":"","family":"Young","given":"Faith","non-dropping-particle":"","parse-names":false,"suffix":""},{"dropping-particle":"","family":"Kurahara","given":"Carole","non-dropping-particle":"","parse-names":false,"suffix":""},{"dropping-particle":"","family":"Loring","given":"Jeanne F.","non-dropping-particle":"","parse-names":false,"suffix":""},{"dropping-particle":"","family":"Huszar","given":"Dennis","non-dropping-particle":"","parse-names":false,"suffix":""}],"container-title":"International Immunology","id":"ITEM-4","issue":"6","issued":{"date-parts":[["1993","6"]]},"page":"647-656","title":"Immunoglobulin gene rearrangement in B cell deficient mice generated by targeted deletion of the JH locus","type":"article-journal","volume":"5"},"uris":["http://www.mendeley.com/documents/?uuid=7df7eae5-f787-3e7c-b178-28b15e20bb75"]},{"id":"ITEM-5","itemData":{"DOI":"10.1146/annurev.genet.41.110306.130340","ISSN":"0066-4197","abstract":"The immunoglobulin (Ig) repertoire achieves functional diversification through several somatic alterations of the Ig locus. One of these processes, somatic hypermutation (SHM), deposits point mutations into the variable region of the Ig gene to generate higher-affinity variants. Activation-induced cytidine deaminase (AID) converts cytidine to uridine to initiate the hypermutation process. Error-prone versions of DNA repair are believed to then process these lesions into a diverse spectrum of point mutations. We review the current understanding of the molecular mechanisms and regulation of SHM, and also discuss emerging ideas which merit further exploration. Expected final online publication date for the Annual Review of Genetics Volume 41 is November 10, 2007. Please see http://www.annualreviews.org/catalog/pubdates.aspx for revised estimates.","author":[{"dropping-particle":"","family":"Teng","given":"Grace","non-dropping-particle":"","parse-names":false,"suffix":""},{"dropping-particle":"","family":"Papavasiliou","given":"F. Nina","non-dropping-particle":"","parse-names":false,"suffix":""}],"container-title":"Annual Review of Genetics","id":"ITEM-5","issue":"1","issued":{"date-parts":[["2007","12"]]},"page":"107-120","publisher":"Annual Reviews","title":"Immunoglobulin Somatic Hypermutation","type":"article-journal","volume":"41"},"uris":["http://www.mendeley.com/documents/?uuid=08c1e979-33b5-348b-92b0-f37a77e9e20b"]},{"id":"ITEM-6","itemData":{"ISSN":"0022-1767","PMID":"6420469","abstract":"Studies investigating the relative rates of biosynthesis of mu- and delta-polypeptide chains in normal resting B lymphocytes have shown that the translation rate of mu m is about sevenfold higher than that of delta m, thus reflecting the relative abundance of mRNA encoding these two chains. The turnover rate of cell surface IgM is faster, however, than that of cell surface IgD, resulting in higher expression of cell surface IgD relative to IgM under steady state conditions. LPS stimulation of B lymphocytes induces the complete cessation of synthesis of the delta-chain, thus accounting for the gradual disappearance of IgD from the cell surface of activated cells.","author":[{"dropping-particle":"","family":"Yuan","given":"D","non-dropping-particle":"","parse-names":false,"suffix":""}],"container-title":"Journal of immunology (Baltimore, Md. : 1950)","id":"ITEM-6","issue":"3","issued":{"date-parts":[["1984","3"]]},"page":"1566-70","title":"Regulation of IgM and IgD synthesis in B lymphocytes. II. Translational and post-translational events.","type":"article-journal","volume":"132"},"uris":["http://www.mendeley.com/documents/?uuid=bf392155-db28-3630-a227-407a60253829"]},{"id":"ITEM-7","itemData":{"DOI":"10.1182/asheducation-2007.1.210","ISSN":"15204391","abstract":"The immune system requires the production of high affinity antibodies of different subclasses to accomplish its many effector functions. Specific steps in B-cell ontogeny that occur within germinal centers of secondary lymphoid organs create much of the diversity in the immune system. This process also provides the raw material for the genesis of B-cell lymphomas as misdirection of the molecular machinery that regulate these steps can cause chromosomal translocations, prevent apoptosis and promote proliferation of abnormal clones. Many recent avenues of investigation have elucidated that the germinal center is a dynamic microenvironment where B-cells undergo repeated rounds of mutation and selection. Gene expression studies have further shown that malignancies derived from germinal center B-cells elaborate specific gene expression signatures that derive from neoplastic cells as well as elements of the host response such as T-cells and macrophages. This review will examine the current understanding of B-cell development in the germinal center and the key molecules involved in this process. Interactions between lymphoma cells and their cellular partners and models in the growth and development of follicular lymphoma will be presented.","author":[{"dropping-particle":"","family":"Natkunam","given":"Yasodha","non-dropping-particle":"","parse-names":false,"suffix":""}],"container-title":"Hematology / the Education Program of the American Society of Hematology. American Society of Hematology. Education Program","id":"ITEM-7","issued":{"date-parts":[["2007"]]},"page":"210-215","title":"The biology of the germinal center.","type":"article"},"uris":["http://www.mendeley.com/documents/?uuid=c1cde9a5-8fa5-3238-806a-673423588857"]}],"mendeley":{"formattedCitation":"[3–9]","plainTextFormattedCitation":"[3–9]","previouslyFormattedCitation":"[3–9]"},"properties":{"noteIndex":0},"schema":"https://github.com/citation-style-language/schema/raw/master/csl-citation.json"}</w:instrText>
      </w:r>
      <w:r w:rsidR="002E6B0E" w:rsidRPr="000322E4">
        <w:fldChar w:fldCharType="separate"/>
      </w:r>
      <w:r w:rsidR="00DA1F72" w:rsidRPr="000322E4">
        <w:rPr>
          <w:noProof/>
        </w:rPr>
        <w:t>[3–9]</w:t>
      </w:r>
      <w:r w:rsidR="002E6B0E" w:rsidRPr="000322E4">
        <w:fldChar w:fldCharType="end"/>
      </w:r>
      <w:r w:rsidR="002E6B0E" w:rsidRPr="000322E4">
        <w:t>.</w:t>
      </w:r>
    </w:p>
    <w:p w14:paraId="7F839FE8" w14:textId="77777777" w:rsidR="009673D9" w:rsidRPr="000322E4" w:rsidRDefault="009673D9" w:rsidP="00CA442F">
      <w:pPr>
        <w:ind w:firstLine="708"/>
      </w:pPr>
      <w:r w:rsidRPr="000322E4">
        <w:t xml:space="preserve">Как показали молекулярно-генетические исследования, в патогенезе ДВККЛ имеют значение многие гены, регулирующие события в зародышевых центрах, но самым изученным механизмом является перестройка гена </w:t>
      </w:r>
      <w:r w:rsidRPr="000322E4">
        <w:rPr>
          <w:lang w:val="en-US"/>
        </w:rPr>
        <w:t>Bcl</w:t>
      </w:r>
      <w:r w:rsidRPr="000322E4">
        <w:t>-6, расположенного в локусе 3</w:t>
      </w:r>
      <w:r w:rsidRPr="000322E4">
        <w:rPr>
          <w:lang w:val="en-US"/>
        </w:rPr>
        <w:t>q</w:t>
      </w:r>
      <w:r w:rsidRPr="000322E4">
        <w:t xml:space="preserve">27 и экспрессируемого исключительно В-клетками зародышевого центра. В физиологических условиях ген </w:t>
      </w:r>
      <w:r w:rsidRPr="000322E4">
        <w:rPr>
          <w:lang w:val="en-US"/>
        </w:rPr>
        <w:t>Bcl</w:t>
      </w:r>
      <w:r w:rsidRPr="000322E4">
        <w:t>-6 связывается с определенными регулирующими последовательностями ДНК, влияет на транскрипцию других генов, участвующих в активации и терминальной дифференцировке В-лимфоцитов. При перестройке локуса 3</w:t>
      </w:r>
      <w:r w:rsidRPr="000322E4">
        <w:rPr>
          <w:lang w:val="en-US"/>
        </w:rPr>
        <w:t>q</w:t>
      </w:r>
      <w:r w:rsidRPr="000322E4">
        <w:t>27 происходит блок дальнейшей дифференцировки В-клеток в плазматические клетки, что приводит к бесконтрольной пролиферации В-клеток зародышевого центра</w:t>
      </w:r>
      <w:r w:rsidR="002E6B0E" w:rsidRPr="000322E4">
        <w:t xml:space="preserve"> </w:t>
      </w:r>
      <w:r w:rsidRPr="000322E4">
        <w:t xml:space="preserve"> </w:t>
      </w:r>
      <w:r w:rsidR="002E6B0E" w:rsidRPr="000322E4">
        <w:fldChar w:fldCharType="begin" w:fldLock="1"/>
      </w:r>
      <w:r w:rsidR="00DA1F72" w:rsidRPr="000322E4">
        <w:instrText>ADDIN CSL_CITATION {"citationItems":[{"id":"ITEM-1","itemData":{"DOI":"10.1128/mcb.25.15.6475-6484.2005","ISSN":"0270-7306","abstract":"The t(14;18) chromosomal translocation is the most common translocation in human cancer, and it occurs in all follicular lymphomas. The 150-bp bcl-2 major breakpoint region (Mbr) on chromosome 18 is a fragile site, because it adopts a non-B DNA conformation that can be cleaved by the RAG complex. The non-B DNA structure and the chromosomal translocation can be recapitulated on intracellular human minichromosomes where immunoglobulin 12- and 23-signals are positioned downstream of the bcl-2 Mbr. Here we show that either of the two coding ends in these V(D)J recombination reactions can recombine with either of the two broken ends of the bcl-2 Mbr but that neither signal end can recombine with the Mbr. Moreover, we show that the rejoining is fully dependent on DNA ligase IV, indicating that the rejoining phase relies on the nonhomologous DNA end-joining pathway. These results permit us to formulate a complete model for the order and types of cleavage and rejoining events in the t(14;18) translocation. Copyright © 2005, American Society for Microbiology. All Rights Reserved.","author":[{"dropping-particle":"","family":"Raghavan","given":"S. C.","non-dropping-particle":"","parse-names":false,"suffix":""},{"dropping-particle":"","family":"Hsieh","given":"C.-L.","non-dropping-particle":"","parse-names":false,"suffix":""},{"dropping-particle":"","family":"Lieber","given":"M. R.","non-dropping-particle":"","parse-names":false,"suffix":""}],"container-title":"Molecular and Cellular Biology","id":"ITEM-1","issue":"15","issued":{"date-parts":[["2005","8","1"]]},"page":"6475-6484","publisher":"American Society for Microbiology","title":"Both V(D)J Coding Ends but Neither Signal End Can Recombine at the bcl-2 Major Breakpoint Region, and the Rejoining Is Ligase IV Dependent","type":"article-journal","volume":"25"},"uris":["http://www.mendeley.com/documents/?uuid=12a8c37c-f069-3033-8c60-681d591b1306"]}],"mendeley":{"formattedCitation":"[10]","plainTextFormattedCitation":"[10]","previouslyFormattedCitation":"[10]"},"properties":{"noteIndex":0},"schema":"https://github.com/citation-style-language/schema/raw/master/csl-citation.json"}</w:instrText>
      </w:r>
      <w:r w:rsidR="002E6B0E" w:rsidRPr="000322E4">
        <w:fldChar w:fldCharType="separate"/>
      </w:r>
      <w:r w:rsidR="00DA1F72" w:rsidRPr="000322E4">
        <w:rPr>
          <w:noProof/>
        </w:rPr>
        <w:t>[10]</w:t>
      </w:r>
      <w:r w:rsidR="002E6B0E" w:rsidRPr="000322E4">
        <w:fldChar w:fldCharType="end"/>
      </w:r>
      <w:r w:rsidR="002E6B0E" w:rsidRPr="000322E4">
        <w:t>.</w:t>
      </w:r>
    </w:p>
    <w:p w14:paraId="779A74D3" w14:textId="77777777" w:rsidR="00DA1F72" w:rsidRPr="000322E4" w:rsidRDefault="00DA1F72" w:rsidP="00CA442F">
      <w:pPr>
        <w:ind w:firstLine="709"/>
      </w:pPr>
      <w:r w:rsidRPr="000322E4">
        <w:t xml:space="preserve">ЛБ делят на 3 варианта: эндемический, спорадический и иммунодефицит-ассоциированный </w:t>
      </w:r>
      <w:r w:rsidRPr="000322E4">
        <w:fldChar w:fldCharType="begin" w:fldLock="1"/>
      </w:r>
      <w:r w:rsidR="00C51648" w:rsidRPr="000322E4">
        <w:instrText>ADDIN CSL_CITATION {"citationItems":[{"id":"ITEM-1","itemData":{"author":[{"dropping-particle":"","family":"Барях","given":"Е.А.","non-dropping-particle":"","parse-names":false,"suffix":""}],"container-title":"Российские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Савченко.","id":"ITEM-1","issued":{"date-parts":[["2018"]]},"page":"80-87","title":"Лимфома Беркитта","type":"chapter"},"uris":["http://www.mendeley.com/documents/?uuid=6c46cd48-7af0-4ac2-8eb1-93f86718c4df"]}],"mendeley":{"formattedCitation":"[2]","plainTextFormattedCitation":"[2]","previouslyFormattedCitation":"[2]"},"properties":{"noteIndex":0},"schema":"https://github.com/citation-style-language/schema/raw/master/csl-citation.json"}</w:instrText>
      </w:r>
      <w:r w:rsidRPr="000322E4">
        <w:fldChar w:fldCharType="separate"/>
      </w:r>
      <w:r w:rsidRPr="000322E4">
        <w:rPr>
          <w:noProof/>
        </w:rPr>
        <w:t>[2]</w:t>
      </w:r>
      <w:r w:rsidRPr="000322E4">
        <w:fldChar w:fldCharType="end"/>
      </w:r>
      <w:r w:rsidRPr="000322E4">
        <w:t>.</w:t>
      </w:r>
    </w:p>
    <w:p w14:paraId="7B80B211" w14:textId="77777777" w:rsidR="00DA1F72" w:rsidRPr="000322E4" w:rsidRDefault="00DA1F72" w:rsidP="00CA442F">
      <w:pPr>
        <w:ind w:firstLine="709"/>
      </w:pPr>
      <w:r w:rsidRPr="000322E4">
        <w:t xml:space="preserve">Эндемический вариант ЛБ чаще всего встречается в странах экваториальной Африки и Папуа-Новой Гвинеи, в которых это заболевание составляет до 75% всех детских онкологических заболеваний. Заболевание ассоциировано с такими инфекционными агентами, как вирус Эпштейна-Барр (EBV) или малярийный плазмодий. В клинической картине часто наблюдается поражение лицевого скелета: верхней и нижней челюстей, орбиты, а также почек, яичек, яичников, слюнных, молочных желез и центральной нервной системы. </w:t>
      </w:r>
    </w:p>
    <w:p w14:paraId="133C3A47" w14:textId="77777777" w:rsidR="00DA1F72" w:rsidRPr="000322E4" w:rsidRDefault="00DA1F72" w:rsidP="00CA442F">
      <w:pPr>
        <w:ind w:firstLine="709"/>
      </w:pPr>
      <w:r w:rsidRPr="000322E4">
        <w:t>Спорадический вариант ЛБ – типичная ЛБ по морфологическим, иммунофенотипическим и цитогенетическим признакам, возникающая вне эндемичной зоны.</w:t>
      </w:r>
    </w:p>
    <w:p w14:paraId="08947244" w14:textId="77777777" w:rsidR="00DA1F72" w:rsidRPr="000322E4" w:rsidRDefault="00DA1F72" w:rsidP="00CA442F">
      <w:pPr>
        <w:ind w:firstLine="709"/>
      </w:pPr>
      <w:r w:rsidRPr="000322E4">
        <w:t xml:space="preserve">Иммунодефицит-ассоциированный вариант ЛБ – ЛБ, возникающая на фоне иммунодефицитных состояний (у больных ВИЧ-инфекцией, после трансплантации органов, у больных первичными иммунодефицитами). Чаще всего встречается у ВИЧ-инфицированных больных, причем на ранних этапах развития (до снижения CD4+ клеток). </w:t>
      </w:r>
      <w:r w:rsidRPr="000322E4">
        <w:lastRenderedPageBreak/>
        <w:t>Болеют преимущественно мужчины. Частыми проявлениями заболевания являются лимфаденопатия, спленомегалия, вовлечение в опухолевый процесс костного мозга.</w:t>
      </w:r>
    </w:p>
    <w:p w14:paraId="41F03E38" w14:textId="77777777" w:rsidR="00B46390" w:rsidRPr="000322E4" w:rsidRDefault="00B46390" w:rsidP="00CA442F">
      <w:pPr>
        <w:pStyle w:val="2"/>
        <w:spacing w:before="0"/>
        <w:rPr>
          <w:color w:val="000000" w:themeColor="text1"/>
        </w:rPr>
      </w:pPr>
      <w:bookmarkStart w:id="15" w:name="_Toc66096812"/>
      <w:r w:rsidRPr="000322E4">
        <w:rPr>
          <w:color w:val="000000" w:themeColor="text1"/>
        </w:rPr>
        <w:t>1.3 Эпидемиология</w:t>
      </w:r>
      <w:r w:rsidR="00311757" w:rsidRPr="000322E4">
        <w:rPr>
          <w:color w:val="000000" w:themeColor="text1"/>
        </w:rPr>
        <w:t xml:space="preserve"> </w:t>
      </w:r>
      <w:r w:rsidR="00311757" w:rsidRPr="000322E4">
        <w:rPr>
          <w:color w:val="000000" w:themeColor="text1"/>
          <w:shd w:val="clear" w:color="auto" w:fill="FFFFFF"/>
        </w:rPr>
        <w:t>заболевания или состояния (группы заболеваний или состояний)</w:t>
      </w:r>
      <w:bookmarkEnd w:id="15"/>
    </w:p>
    <w:p w14:paraId="388FC7EE" w14:textId="77777777" w:rsidR="00F5789A" w:rsidRPr="000322E4" w:rsidRDefault="002E6B0E" w:rsidP="00CA442F">
      <w:pPr>
        <w:ind w:firstLine="709"/>
        <w:rPr>
          <w:rFonts w:eastAsia="Calibri" w:cstheme="minorHAnsi"/>
        </w:rPr>
      </w:pPr>
      <w:r w:rsidRPr="000322E4">
        <w:rPr>
          <w:rFonts w:eastAsia="Calibri" w:cstheme="minorHAnsi"/>
        </w:rPr>
        <w:t xml:space="preserve">Диффузная В-клеточная крупноклеточная лимфома (ДВКЛ) является наиболее распространенным вариантом лимфопролиферативных заболеваний взрослых (30-40% от всех неходжкинских лимфом). В возрасте до 18 лет частота этого варианта В-клеточной опухоли не превышает 8-10%. Заболеваемость составляет в среднем 4-5 на 100 000 населения, ежегодно в мире диагностируется 123 000 новых случаев ДВКЛ. Риск развития болезни выше у людей с серопозитивностью вируса гепатита С, при наличии вируса иммунодефицита человека (ВИЧ), аутоиммунных заболеваний. Медиана возраста составляет примерно 60 лет, мужчины и женщины болеют ДВКЛ почти </w:t>
      </w:r>
      <w:r w:rsidRPr="000322E4">
        <w:rPr>
          <w:rFonts w:eastAsia="Calibri" w:cstheme="minorHAnsi"/>
          <w:lang w:val="en-US"/>
        </w:rPr>
        <w:t>c</w:t>
      </w:r>
      <w:r w:rsidRPr="000322E4">
        <w:rPr>
          <w:rFonts w:eastAsia="Calibri" w:cstheme="minorHAnsi"/>
        </w:rPr>
        <w:t xml:space="preserve"> равной частотой </w:t>
      </w:r>
      <w:r w:rsidR="007818F7" w:rsidRPr="000322E4">
        <w:rPr>
          <w:rFonts w:eastAsia="Calibri" w:cstheme="minorHAnsi"/>
        </w:rPr>
        <w:fldChar w:fldCharType="begin" w:fldLock="1"/>
      </w:r>
      <w:r w:rsidR="00DA1F72" w:rsidRPr="000322E4">
        <w:rPr>
          <w:rFonts w:eastAsia="Calibri" w:cstheme="minorHAnsi"/>
        </w:rPr>
        <w:instrText>ADDIN CSL_CITATION {"citationItems":[{"id":"ITEM-1","itemData":{"author":[{"dropping-particle":"","family":"Тумян","given":"Г.С.","non-dropping-particle":"","parse-names":false,"suffix":""},{"dropping-particle":"","family":"Кравченко","given":"С.К.","non-dropping-particle":"","parse-names":false,"suffix":""},{"dropping-particle":"","family":"Михайлова","given":"Н.Б.","non-dropping-particle":"","parse-names":false,"suffix":""},{"dropping-particle":"","family":"Барях","given":"Е.А.","non-dropping-particle":"","parse-names":false,"suffix":""},{"dropping-particle":"","family":"Птушкин","given":"В.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Савченко.","id":"ITEM-1","issued":{"date-parts":[["2018"]]},"page":"58-68","title":"Диффузная В-клеточная крупноклеточная лимфома","type":"chapter"},"uris":["http://www.mendeley.com/documents/?uuid=cb7114f7-4655-4733-8df2-526cc4e32730"]},{"id":"ITEM-2","itemData":{"ISBN":"9789283244943","abstract":"Revised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J","non-dropping-particle":"","parse-names":false,"suffix":""}],"id":"ITEM-2","issued":{"date-parts":[["2017"]]},"number-of-pages":"585","title":"WHO classification of tumours of haematopoietic and lymphoid tissues. Revised 4th ed. Lyon, France: International Agency for Research in Cancer (IARC)","type":"book"},"uris":["http://www.mendeley.com/documents/?uuid=b06b14d2-e846-3ead-b23a-17e93b076e13"]}],"mendeley":{"formattedCitation":"[1,11]","plainTextFormattedCitation":"[1,11]","previouslyFormattedCitation":"[1,11]"},"properties":{"noteIndex":0},"schema":"https://github.com/citation-style-language/schema/raw/master/csl-citation.json"}</w:instrText>
      </w:r>
      <w:r w:rsidR="007818F7" w:rsidRPr="000322E4">
        <w:rPr>
          <w:rFonts w:eastAsia="Calibri" w:cstheme="minorHAnsi"/>
        </w:rPr>
        <w:fldChar w:fldCharType="separate"/>
      </w:r>
      <w:r w:rsidR="00DA1F72" w:rsidRPr="000322E4">
        <w:rPr>
          <w:rFonts w:eastAsia="Calibri" w:cstheme="minorHAnsi"/>
          <w:noProof/>
        </w:rPr>
        <w:t>[1,11]</w:t>
      </w:r>
      <w:r w:rsidR="007818F7" w:rsidRPr="000322E4">
        <w:rPr>
          <w:rFonts w:eastAsia="Calibri" w:cstheme="minorHAnsi"/>
        </w:rPr>
        <w:fldChar w:fldCharType="end"/>
      </w:r>
      <w:r w:rsidRPr="000322E4">
        <w:rPr>
          <w:rFonts w:eastAsia="Calibri" w:cstheme="minorHAnsi"/>
        </w:rPr>
        <w:t xml:space="preserve">. </w:t>
      </w:r>
    </w:p>
    <w:p w14:paraId="7EF5CA47" w14:textId="77777777" w:rsidR="00DA1F72" w:rsidRPr="000322E4" w:rsidRDefault="00DA1F72" w:rsidP="00CA442F">
      <w:pPr>
        <w:ind w:firstLine="709"/>
        <w:contextualSpacing/>
      </w:pPr>
      <w:r w:rsidRPr="000322E4">
        <w:t xml:space="preserve">ЛБ болеют преимущественно мужчины. У детей ЛБ составляет около 30–50 % всех лимфом. Соотношение мальчики : девочки – 3–4 : 1, средний возраст – 8 лет. У взрослых ЛБ встречается значительно реже – в 2 % случаев всех лимфом. Болеют преимущественно молодые мужчины, соотношение мужчины : женщины – 3 : 1, средний возраст – 25–30 лет </w:t>
      </w:r>
      <w:r w:rsidRPr="000322E4">
        <w:fldChar w:fldCharType="begin" w:fldLock="1"/>
      </w:r>
      <w:r w:rsidRPr="000322E4">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лейкозы","type":"chapter"},"uris":["http://www.mendeley.com/documents/?uuid=08f85f58-ddaa-48eb-b937-65d15d14b213"]},{"id":"ITEM-3","itemData":{"ISSN":"0008-543X (Print)","PMID":"6299496","abstract":"An account is given of the steps that led to the recognition of the tumor that became known as Burkitt's lymphoma. This is followed by a description of the methods employed in the subsequent epidemiologic studies, the manner in which successive hypotheses of etiology were erected and demolished, and the discovery by Epstein and his colleagues of the Epstein-Barr virus. The impact that this tumor has had on aspects of cancer research is considered.","author":[{"dropping-particle":"","family":"Burkitt","given":"D P","non-dropping-particle":"","parse-names":false,"suffix":""}],"container-title":"Cancer","id":"ITEM-3","issue":"10","issued":{"date-parts":[["1983","5"]]},"page":"1777-1786","title":"The discovery of Burkitt's lymphoma.","type":"article-journal","volume":"51"},"uris":["http://www.mendeley.com/documents/?uuid=b4af3e00-84f4-3f5a-a7fb-15561427ed39"]}],"mendeley":{"formattedCitation":"[12–14]","plainTextFormattedCitation":"[12–14]","previouslyFormattedCitation":"[12–14]"},"properties":{"noteIndex":0},"schema":"https://github.com/citation-style-language/schema/raw/master/csl-citation.json"}</w:instrText>
      </w:r>
      <w:r w:rsidRPr="000322E4">
        <w:fldChar w:fldCharType="separate"/>
      </w:r>
      <w:r w:rsidRPr="000322E4">
        <w:rPr>
          <w:noProof/>
        </w:rPr>
        <w:t>[12–14]</w:t>
      </w:r>
      <w:r w:rsidRPr="000322E4">
        <w:fldChar w:fldCharType="end"/>
      </w:r>
      <w:r w:rsidRPr="000322E4">
        <w:t>.</w:t>
      </w:r>
    </w:p>
    <w:p w14:paraId="365DF74F" w14:textId="77777777" w:rsidR="00311757" w:rsidRPr="000322E4" w:rsidRDefault="00B46390" w:rsidP="00CA442F">
      <w:pPr>
        <w:pStyle w:val="2"/>
        <w:spacing w:before="0"/>
        <w:rPr>
          <w:color w:val="000000" w:themeColor="text1"/>
        </w:rPr>
      </w:pPr>
      <w:bookmarkStart w:id="16" w:name="_Toc66096813"/>
      <w:r w:rsidRPr="000322E4">
        <w:rPr>
          <w:color w:val="000000" w:themeColor="text1"/>
        </w:rPr>
        <w:t xml:space="preserve">1.4 </w:t>
      </w:r>
      <w:r w:rsidR="00311757" w:rsidRPr="000322E4">
        <w:rPr>
          <w:color w:val="000000" w:themeColor="text1"/>
          <w:shd w:val="clear" w:color="auto" w:fill="FFFFFF"/>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bookmarkEnd w:id="16"/>
    </w:p>
    <w:p w14:paraId="4DE572BB" w14:textId="77777777" w:rsidR="007818F7" w:rsidRPr="000322E4" w:rsidRDefault="007818F7" w:rsidP="00CA442F">
      <w:pPr>
        <w:pStyle w:val="afe"/>
        <w:numPr>
          <w:ilvl w:val="0"/>
          <w:numId w:val="25"/>
        </w:numPr>
      </w:pPr>
      <w:r w:rsidRPr="000322E4">
        <w:t xml:space="preserve">С83.3 – Диффузная крупноклеточная В-клеточная лимфома </w:t>
      </w:r>
    </w:p>
    <w:p w14:paraId="766F5263" w14:textId="77777777" w:rsidR="006D0BE5" w:rsidRPr="000322E4" w:rsidRDefault="006D0BE5" w:rsidP="00CA442F">
      <w:pPr>
        <w:pStyle w:val="afe"/>
        <w:numPr>
          <w:ilvl w:val="0"/>
          <w:numId w:val="25"/>
        </w:numPr>
      </w:pPr>
      <w:r w:rsidRPr="000322E4">
        <w:t>С83.7 – Лимфома Беркитта</w:t>
      </w:r>
    </w:p>
    <w:p w14:paraId="27B893BB" w14:textId="77777777" w:rsidR="009A2FEF" w:rsidRPr="000322E4" w:rsidRDefault="007818F7" w:rsidP="00CA442F">
      <w:pPr>
        <w:pStyle w:val="afe"/>
        <w:numPr>
          <w:ilvl w:val="0"/>
          <w:numId w:val="25"/>
        </w:numPr>
      </w:pPr>
      <w:r w:rsidRPr="000322E4">
        <w:rPr>
          <w:lang w:val="en-US"/>
        </w:rPr>
        <w:t>C</w:t>
      </w:r>
      <w:r w:rsidRPr="000322E4">
        <w:t>85.2 – Медиастинальная (тимусная) большая В-клеточная лимфома</w:t>
      </w:r>
    </w:p>
    <w:p w14:paraId="6F0838D5" w14:textId="77777777" w:rsidR="006D0BE5" w:rsidRPr="000322E4" w:rsidRDefault="006D0BE5" w:rsidP="00CA442F">
      <w:pPr>
        <w:pStyle w:val="afe"/>
        <w:numPr>
          <w:ilvl w:val="0"/>
          <w:numId w:val="25"/>
        </w:numPr>
      </w:pPr>
      <w:r w:rsidRPr="000322E4">
        <w:t>С91.8 – Зрелый В-клеточный лейкоз типа Беркитта</w:t>
      </w:r>
    </w:p>
    <w:p w14:paraId="297943A8" w14:textId="77777777" w:rsidR="00B46390" w:rsidRPr="000322E4" w:rsidRDefault="00B46390" w:rsidP="00CA442F">
      <w:pPr>
        <w:pStyle w:val="2"/>
        <w:spacing w:before="0"/>
      </w:pPr>
      <w:bookmarkStart w:id="17" w:name="_Toc66096814"/>
      <w:r w:rsidRPr="000322E4">
        <w:t>1.5 Классификация</w:t>
      </w:r>
      <w:r w:rsidR="00311757" w:rsidRPr="000322E4">
        <w:t xml:space="preserve"> </w:t>
      </w:r>
      <w:r w:rsidR="00311757" w:rsidRPr="000322E4">
        <w:rPr>
          <w:color w:val="333333"/>
          <w:shd w:val="clear" w:color="auto" w:fill="FFFFFF"/>
        </w:rPr>
        <w:t>заболевания или состояния (группы заболеваний или состояний)</w:t>
      </w:r>
      <w:bookmarkEnd w:id="17"/>
    </w:p>
    <w:p w14:paraId="2C255CAC" w14:textId="77777777" w:rsidR="007818F7" w:rsidRPr="000322E4" w:rsidRDefault="007818F7" w:rsidP="00CA442F">
      <w:pPr>
        <w:ind w:firstLine="709"/>
        <w:contextualSpacing/>
      </w:pPr>
      <w:r w:rsidRPr="000322E4">
        <w:t xml:space="preserve">Разнообразие клинических, морфологических и иммунологических характеристик, а также молекулярно-цитогенетические исследования последних лет доказали, что ДВКЛ является не единой нозологической формой, а группой лимфатических опухолей, имеющих близкий, но неодинаковый патогенез. В настоящее время выделено несколько вариантов ДВКЛ в зависимости от уровня дифференцировки опухолевых клеток, типов нарушения клеточных процессов, хромосомных аномалий </w:t>
      </w:r>
      <w:r w:rsidRPr="000322E4">
        <w:fldChar w:fldCharType="begin" w:fldLock="1"/>
      </w:r>
      <w:r w:rsidRPr="000322E4">
        <w:instrText>ADDIN CSL_CITATION {"citationItems":[{"id":"ITEM-1","itemData":{"ISBN":"9789283244943","abstract":"Revised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J","non-dropping-particle":"","parse-names":false,"suffix":""}],"id":"ITEM-1","issued":{"date-parts":[["2017"]]},"number-of-pages":"585","title":"WHO classification of tumours of haematopoietic and lymphoid tissues. Revised 4th ed. Lyon, France: International Agency for Research in Cancer (IARC)","type":"book"},"uris":["http://www.mendeley.com/documents/?uuid=b06b14d2-e846-3ead-b23a-17e93b076e13"]}],"mendeley":{"formattedCitation":"[1]","plainTextFormattedCitation":"[1]","previouslyFormattedCitation":"[1]"},"properties":{"noteIndex":0},"schema":"https://github.com/citation-style-language/schema/raw/master/csl-citation.json"}</w:instrText>
      </w:r>
      <w:r w:rsidRPr="000322E4">
        <w:fldChar w:fldCharType="separate"/>
      </w:r>
      <w:r w:rsidRPr="000322E4">
        <w:rPr>
          <w:noProof/>
        </w:rPr>
        <w:t>[1]</w:t>
      </w:r>
      <w:r w:rsidRPr="000322E4">
        <w:fldChar w:fldCharType="end"/>
      </w:r>
      <w:r w:rsidRPr="000322E4">
        <w:t xml:space="preserve">. В соответствии с </w:t>
      </w:r>
      <w:r w:rsidRPr="000322E4">
        <w:rPr>
          <w:i/>
        </w:rPr>
        <w:t>классификацией ВОЗ</w:t>
      </w:r>
      <w:r w:rsidRPr="000322E4">
        <w:t xml:space="preserve"> пересмотра 2017 г. самостоятельными вариантами ДВКЛ признаны: </w:t>
      </w:r>
    </w:p>
    <w:p w14:paraId="306107C1" w14:textId="77777777" w:rsidR="007818F7" w:rsidRPr="000322E4" w:rsidRDefault="007818F7" w:rsidP="00CA442F">
      <w:pPr>
        <w:pStyle w:val="afe"/>
        <w:numPr>
          <w:ilvl w:val="0"/>
          <w:numId w:val="32"/>
        </w:numPr>
        <w:ind w:left="426"/>
      </w:pPr>
      <w:r w:rsidRPr="000322E4">
        <w:lastRenderedPageBreak/>
        <w:t>ДВККЛ, неспецифицированная (</w:t>
      </w:r>
      <w:r w:rsidRPr="000322E4">
        <w:rPr>
          <w:lang w:val="en-US"/>
        </w:rPr>
        <w:t>NOS</w:t>
      </w:r>
      <w:r w:rsidRPr="000322E4">
        <w:t xml:space="preserve">).  В данную биологически гетерогенную группу включены заболевания, не относящиеся ни к одной из нижеперечисленных вариантов крупноклеточных лимфом:  </w:t>
      </w:r>
    </w:p>
    <w:p w14:paraId="157345B7" w14:textId="77777777" w:rsidR="007818F7" w:rsidRPr="000322E4" w:rsidRDefault="007818F7" w:rsidP="00CA442F">
      <w:pPr>
        <w:pStyle w:val="afe"/>
        <w:numPr>
          <w:ilvl w:val="0"/>
          <w:numId w:val="32"/>
        </w:numPr>
        <w:ind w:left="426"/>
      </w:pPr>
      <w:r w:rsidRPr="000322E4">
        <w:t>В-крупноклеточная лимфома, богатая Т-клетками/гистиоцитами</w:t>
      </w:r>
    </w:p>
    <w:p w14:paraId="024645B7" w14:textId="77777777" w:rsidR="007818F7" w:rsidRPr="000322E4" w:rsidRDefault="007818F7" w:rsidP="00CA442F">
      <w:pPr>
        <w:pStyle w:val="afe"/>
        <w:numPr>
          <w:ilvl w:val="0"/>
          <w:numId w:val="32"/>
        </w:numPr>
        <w:ind w:left="426"/>
      </w:pPr>
      <w:r w:rsidRPr="000322E4">
        <w:t>первичная ДВККЛ ЦНС (ПЛЦНС)</w:t>
      </w:r>
    </w:p>
    <w:p w14:paraId="5CED34DA" w14:textId="77777777" w:rsidR="007818F7" w:rsidRPr="000322E4" w:rsidRDefault="007818F7" w:rsidP="00CA442F">
      <w:pPr>
        <w:pStyle w:val="afe"/>
        <w:numPr>
          <w:ilvl w:val="0"/>
          <w:numId w:val="32"/>
        </w:numPr>
        <w:ind w:left="426"/>
      </w:pPr>
      <w:r w:rsidRPr="000322E4">
        <w:t>первичная кожная ДВККЛ, тип «нижних конечностей» (</w:t>
      </w:r>
      <w:r w:rsidRPr="000322E4">
        <w:rPr>
          <w:lang w:val="en-US"/>
        </w:rPr>
        <w:t>leg</w:t>
      </w:r>
      <w:r w:rsidRPr="000322E4">
        <w:t>-</w:t>
      </w:r>
      <w:r w:rsidRPr="000322E4">
        <w:rPr>
          <w:lang w:val="en-US"/>
        </w:rPr>
        <w:t>type</w:t>
      </w:r>
      <w:r w:rsidRPr="000322E4">
        <w:t>)</w:t>
      </w:r>
    </w:p>
    <w:p w14:paraId="131171F5" w14:textId="77777777" w:rsidR="007818F7" w:rsidRPr="000322E4" w:rsidRDefault="007818F7" w:rsidP="00CA442F">
      <w:pPr>
        <w:pStyle w:val="afe"/>
        <w:numPr>
          <w:ilvl w:val="0"/>
          <w:numId w:val="32"/>
        </w:numPr>
        <w:ind w:left="426"/>
      </w:pPr>
      <w:r w:rsidRPr="000322E4">
        <w:rPr>
          <w:lang w:val="en-US"/>
        </w:rPr>
        <w:t>EBV</w:t>
      </w:r>
      <w:r w:rsidRPr="000322E4">
        <w:t xml:space="preserve">-позитивная ДВККЛ, </w:t>
      </w:r>
      <w:r w:rsidRPr="000322E4">
        <w:rPr>
          <w:lang w:val="en-US"/>
        </w:rPr>
        <w:t>NOS</w:t>
      </w:r>
    </w:p>
    <w:p w14:paraId="1F4D778F" w14:textId="77777777" w:rsidR="007818F7" w:rsidRPr="000322E4" w:rsidRDefault="007818F7" w:rsidP="00CA442F">
      <w:pPr>
        <w:pStyle w:val="afe"/>
        <w:numPr>
          <w:ilvl w:val="0"/>
          <w:numId w:val="32"/>
        </w:numPr>
        <w:ind w:left="426"/>
      </w:pPr>
      <w:r w:rsidRPr="000322E4">
        <w:t>ДВККЛ, ассоциированная с хроническим воспалением</w:t>
      </w:r>
    </w:p>
    <w:p w14:paraId="79F05B39" w14:textId="77777777" w:rsidR="007818F7" w:rsidRPr="000322E4" w:rsidRDefault="007818F7" w:rsidP="00CA442F">
      <w:pPr>
        <w:pStyle w:val="afe"/>
        <w:numPr>
          <w:ilvl w:val="0"/>
          <w:numId w:val="32"/>
        </w:numPr>
        <w:ind w:left="426"/>
      </w:pPr>
      <w:r w:rsidRPr="000322E4">
        <w:t>лимфоматоидный гранулематоз</w:t>
      </w:r>
    </w:p>
    <w:p w14:paraId="14E89557" w14:textId="77777777" w:rsidR="007818F7" w:rsidRPr="000322E4" w:rsidRDefault="007818F7" w:rsidP="00CA442F">
      <w:pPr>
        <w:pStyle w:val="afe"/>
        <w:numPr>
          <w:ilvl w:val="0"/>
          <w:numId w:val="32"/>
        </w:numPr>
        <w:ind w:left="426"/>
      </w:pPr>
      <w:r w:rsidRPr="000322E4">
        <w:t xml:space="preserve">крупноклеточная лимфома с реарранжировкой </w:t>
      </w:r>
      <w:r w:rsidRPr="000322E4">
        <w:rPr>
          <w:lang w:val="en-US"/>
        </w:rPr>
        <w:t>IRF</w:t>
      </w:r>
      <w:r w:rsidRPr="000322E4">
        <w:t>4</w:t>
      </w:r>
    </w:p>
    <w:p w14:paraId="39B5F95B" w14:textId="77777777" w:rsidR="007818F7" w:rsidRPr="000322E4" w:rsidRDefault="007818F7" w:rsidP="00CA442F">
      <w:pPr>
        <w:pStyle w:val="afe"/>
        <w:numPr>
          <w:ilvl w:val="0"/>
          <w:numId w:val="32"/>
        </w:numPr>
        <w:ind w:left="426"/>
      </w:pPr>
      <w:r w:rsidRPr="000322E4">
        <w:t>первичная медиастинальная (тимическая) крупноклеточная лимфома (ПМВКЛ)</w:t>
      </w:r>
    </w:p>
    <w:p w14:paraId="152BEE3B" w14:textId="77777777" w:rsidR="007818F7" w:rsidRPr="000322E4" w:rsidRDefault="007818F7" w:rsidP="00CA442F">
      <w:pPr>
        <w:pStyle w:val="afe"/>
        <w:numPr>
          <w:ilvl w:val="0"/>
          <w:numId w:val="32"/>
        </w:numPr>
        <w:ind w:left="426"/>
      </w:pPr>
      <w:r w:rsidRPr="000322E4">
        <w:t>внутрисосудистая крупноклеточная лимфома</w:t>
      </w:r>
    </w:p>
    <w:p w14:paraId="515EFC90" w14:textId="77777777" w:rsidR="007818F7" w:rsidRPr="000322E4" w:rsidRDefault="007818F7" w:rsidP="00CA442F">
      <w:pPr>
        <w:pStyle w:val="afe"/>
        <w:numPr>
          <w:ilvl w:val="0"/>
          <w:numId w:val="32"/>
        </w:numPr>
        <w:ind w:left="426"/>
      </w:pPr>
      <w:r w:rsidRPr="000322E4">
        <w:rPr>
          <w:lang w:val="en-US"/>
        </w:rPr>
        <w:t>ALK</w:t>
      </w:r>
      <w:r w:rsidRPr="000322E4">
        <w:t>-позитивная В-крупноклеточная лимфома</w:t>
      </w:r>
    </w:p>
    <w:p w14:paraId="440C03D1" w14:textId="77777777" w:rsidR="007818F7" w:rsidRPr="000322E4" w:rsidRDefault="007818F7" w:rsidP="00CA442F">
      <w:pPr>
        <w:pStyle w:val="afe"/>
        <w:numPr>
          <w:ilvl w:val="0"/>
          <w:numId w:val="32"/>
        </w:numPr>
        <w:ind w:left="426"/>
      </w:pPr>
      <w:r w:rsidRPr="000322E4">
        <w:t>плазмобластная лимфома</w:t>
      </w:r>
    </w:p>
    <w:p w14:paraId="1BFB4B29" w14:textId="77777777" w:rsidR="007818F7" w:rsidRPr="000322E4" w:rsidRDefault="007818F7" w:rsidP="00CA442F">
      <w:pPr>
        <w:pStyle w:val="afe"/>
        <w:numPr>
          <w:ilvl w:val="0"/>
          <w:numId w:val="32"/>
        </w:numPr>
        <w:ind w:left="426"/>
      </w:pPr>
      <w:r w:rsidRPr="000322E4">
        <w:t>НН</w:t>
      </w:r>
      <w:r w:rsidRPr="000322E4">
        <w:rPr>
          <w:lang w:val="en-US"/>
        </w:rPr>
        <w:t>V</w:t>
      </w:r>
      <w:r w:rsidRPr="000322E4">
        <w:t>8 позитивная крупноклеточная лимфома</w:t>
      </w:r>
    </w:p>
    <w:p w14:paraId="127F1C65" w14:textId="77777777" w:rsidR="007818F7" w:rsidRPr="000322E4" w:rsidRDefault="007818F7" w:rsidP="00CA442F">
      <w:pPr>
        <w:pStyle w:val="afe"/>
        <w:numPr>
          <w:ilvl w:val="0"/>
          <w:numId w:val="32"/>
        </w:numPr>
        <w:ind w:left="426"/>
      </w:pPr>
      <w:r w:rsidRPr="000322E4">
        <w:t xml:space="preserve">первичная лимфома серозных полостей </w:t>
      </w:r>
    </w:p>
    <w:p w14:paraId="31710085" w14:textId="77777777" w:rsidR="007818F7" w:rsidRPr="000322E4" w:rsidRDefault="007818F7" w:rsidP="00CA442F">
      <w:pPr>
        <w:contextualSpacing/>
      </w:pPr>
      <w:r w:rsidRPr="000322E4">
        <w:t>Отдельно рассматриваются следующие группы В- крупноклеточных лимфом:</w:t>
      </w:r>
    </w:p>
    <w:p w14:paraId="572DC023" w14:textId="77777777" w:rsidR="007818F7" w:rsidRPr="000322E4" w:rsidRDefault="007818F7" w:rsidP="00CA442F">
      <w:pPr>
        <w:pStyle w:val="afe"/>
        <w:numPr>
          <w:ilvl w:val="0"/>
          <w:numId w:val="33"/>
        </w:numPr>
        <w:ind w:left="426"/>
      </w:pPr>
      <w:r w:rsidRPr="000322E4">
        <w:t xml:space="preserve">агрессивная лимфома с </w:t>
      </w:r>
      <w:r w:rsidRPr="000322E4">
        <w:rPr>
          <w:lang w:val="en-US"/>
        </w:rPr>
        <w:t>MYC</w:t>
      </w:r>
      <w:r w:rsidRPr="000322E4">
        <w:t xml:space="preserve">  и </w:t>
      </w:r>
      <w:r w:rsidRPr="000322E4">
        <w:rPr>
          <w:lang w:val="en-US"/>
        </w:rPr>
        <w:t>BCL</w:t>
      </w:r>
      <w:r w:rsidRPr="000322E4">
        <w:t xml:space="preserve">-2 и/или </w:t>
      </w:r>
      <w:r w:rsidRPr="000322E4">
        <w:rPr>
          <w:lang w:val="en-US"/>
        </w:rPr>
        <w:t>BCL</w:t>
      </w:r>
      <w:r w:rsidRPr="000322E4">
        <w:t xml:space="preserve"> 6 реарранжировкой</w:t>
      </w:r>
    </w:p>
    <w:p w14:paraId="1130E60B" w14:textId="77777777" w:rsidR="007818F7" w:rsidRPr="000322E4" w:rsidRDefault="007818F7" w:rsidP="00CA442F">
      <w:pPr>
        <w:pStyle w:val="afe"/>
        <w:numPr>
          <w:ilvl w:val="0"/>
          <w:numId w:val="33"/>
        </w:numPr>
        <w:ind w:left="426"/>
      </w:pPr>
      <w:r w:rsidRPr="000322E4">
        <w:t>агрессивная лимфома, неклассифицируемая, с чертами, промежуточными между ДВККЛ и лимфомой Ходжкина (лимфома серой зоны)</w:t>
      </w:r>
    </w:p>
    <w:p w14:paraId="1BF5F9FB" w14:textId="77777777" w:rsidR="007818F7" w:rsidRPr="000322E4" w:rsidRDefault="007818F7" w:rsidP="00CA442F">
      <w:pPr>
        <w:ind w:left="-1" w:firstLine="708"/>
        <w:contextualSpacing/>
      </w:pPr>
      <w:r w:rsidRPr="000322E4">
        <w:t xml:space="preserve">Вариантом ДВКЛ в настоящее время также признаны случаи с очаговым поражением фолликулярных структур, с иммуногистохимически подтвержденным происхождением из фолликулярных дендритных клеток (ранее 3В цитологический тип фолликулярной лимфомы).    В последнее время охарактеризована новая группа лимфом - ДВКЛ, ассоциированные с фолликулярной  лимфомой, с  </w:t>
      </w:r>
      <w:r w:rsidRPr="000322E4">
        <w:rPr>
          <w:lang w:val="en-US"/>
        </w:rPr>
        <w:t>MALT</w:t>
      </w:r>
      <w:r w:rsidRPr="000322E4">
        <w:t>-лимфомой желудка и MALT-лимфомой других локализаций, имеющая клинические,  морфо-иммунологические и молекулярно-генетические особенности и возможно, в скором времени потребующая разработки новых подходов к их лечению.</w:t>
      </w:r>
    </w:p>
    <w:p w14:paraId="4683DEAF" w14:textId="77777777" w:rsidR="007818F7" w:rsidRPr="000322E4" w:rsidRDefault="007818F7" w:rsidP="00CA442F">
      <w:pPr>
        <w:ind w:firstLine="709"/>
        <w:contextualSpacing/>
        <w:rPr>
          <w:bCs/>
        </w:rPr>
      </w:pPr>
      <w:r w:rsidRPr="000322E4">
        <w:rPr>
          <w:bCs/>
        </w:rPr>
        <w:t>Выделены следующие морфологические варианты ДВКЛ неспецифицированной, имеющие различную клиническую картину и течение заболевания:</w:t>
      </w:r>
    </w:p>
    <w:p w14:paraId="4C02CADF" w14:textId="77777777" w:rsidR="007818F7" w:rsidRPr="000322E4" w:rsidRDefault="007818F7" w:rsidP="00CA442F">
      <w:pPr>
        <w:pStyle w:val="afe"/>
        <w:numPr>
          <w:ilvl w:val="0"/>
          <w:numId w:val="34"/>
        </w:numPr>
        <w:ind w:left="426"/>
      </w:pPr>
      <w:r w:rsidRPr="000322E4">
        <w:t>центробластный</w:t>
      </w:r>
    </w:p>
    <w:p w14:paraId="222DAB0D" w14:textId="77777777" w:rsidR="007818F7" w:rsidRPr="000322E4" w:rsidRDefault="007818F7" w:rsidP="00CA442F">
      <w:pPr>
        <w:pStyle w:val="afe"/>
        <w:numPr>
          <w:ilvl w:val="0"/>
          <w:numId w:val="34"/>
        </w:numPr>
        <w:ind w:left="426"/>
      </w:pPr>
      <w:r w:rsidRPr="000322E4">
        <w:t xml:space="preserve">иммунобластный </w:t>
      </w:r>
    </w:p>
    <w:p w14:paraId="4D07C3A0" w14:textId="77777777" w:rsidR="007818F7" w:rsidRPr="000322E4" w:rsidRDefault="007818F7" w:rsidP="00CA442F">
      <w:pPr>
        <w:pStyle w:val="afe"/>
        <w:numPr>
          <w:ilvl w:val="0"/>
          <w:numId w:val="34"/>
        </w:numPr>
        <w:ind w:left="426"/>
      </w:pPr>
      <w:r w:rsidRPr="000322E4">
        <w:t xml:space="preserve">анапластический </w:t>
      </w:r>
    </w:p>
    <w:p w14:paraId="3DE8A9EA" w14:textId="77777777" w:rsidR="007818F7" w:rsidRPr="000322E4" w:rsidRDefault="007818F7" w:rsidP="00CA442F">
      <w:pPr>
        <w:pStyle w:val="afe"/>
        <w:numPr>
          <w:ilvl w:val="0"/>
          <w:numId w:val="34"/>
        </w:numPr>
        <w:ind w:left="426"/>
      </w:pPr>
      <w:r w:rsidRPr="000322E4">
        <w:t>другие редкие варианты</w:t>
      </w:r>
    </w:p>
    <w:p w14:paraId="21CB5937" w14:textId="77777777" w:rsidR="007818F7" w:rsidRPr="000322E4" w:rsidRDefault="007818F7" w:rsidP="00CA442F">
      <w:pPr>
        <w:ind w:firstLine="709"/>
        <w:contextualSpacing/>
        <w:rPr>
          <w:bCs/>
        </w:rPr>
      </w:pPr>
      <w:r w:rsidRPr="000322E4">
        <w:rPr>
          <w:bCs/>
        </w:rPr>
        <w:lastRenderedPageBreak/>
        <w:t>В практике гематопатолога в настоящее время используется определение молекулярного подтипа ДВКЛ:</w:t>
      </w:r>
    </w:p>
    <w:p w14:paraId="112A5957" w14:textId="77777777" w:rsidR="007818F7" w:rsidRPr="000322E4" w:rsidRDefault="007818F7" w:rsidP="00CA442F">
      <w:pPr>
        <w:pStyle w:val="afe"/>
        <w:numPr>
          <w:ilvl w:val="0"/>
          <w:numId w:val="35"/>
        </w:numPr>
        <w:ind w:left="426"/>
      </w:pPr>
      <w:r w:rsidRPr="000322E4">
        <w:t>Из В-клеток герминальных центров фолликулов (GСB-подтип)</w:t>
      </w:r>
    </w:p>
    <w:p w14:paraId="20B22796" w14:textId="77777777" w:rsidR="007818F7" w:rsidRPr="000322E4" w:rsidRDefault="007818F7" w:rsidP="00CA442F">
      <w:pPr>
        <w:pStyle w:val="afe"/>
        <w:numPr>
          <w:ilvl w:val="0"/>
          <w:numId w:val="35"/>
        </w:numPr>
        <w:ind w:left="426"/>
      </w:pPr>
      <w:r w:rsidRPr="000322E4">
        <w:t xml:space="preserve">Из активированных В-клеток (non-GСB, </w:t>
      </w:r>
      <w:r w:rsidRPr="000322E4">
        <w:rPr>
          <w:lang w:val="en-US"/>
        </w:rPr>
        <w:t>ABC</w:t>
      </w:r>
      <w:r w:rsidRPr="000322E4">
        <w:t>-</w:t>
      </w:r>
      <w:r w:rsidRPr="000322E4">
        <w:rPr>
          <w:lang w:val="en-US"/>
        </w:rPr>
        <w:t>like</w:t>
      </w:r>
      <w:r w:rsidRPr="000322E4">
        <w:t xml:space="preserve"> подтип) </w:t>
      </w:r>
    </w:p>
    <w:p w14:paraId="6DA57C2F" w14:textId="77777777" w:rsidR="00F5789A" w:rsidRPr="000322E4" w:rsidRDefault="007818F7" w:rsidP="00CA442F">
      <w:pPr>
        <w:ind w:firstLine="709"/>
        <w:contextualSpacing/>
      </w:pPr>
      <w:r w:rsidRPr="000322E4">
        <w:t xml:space="preserve">Известно, что опухолевые клетки при ДВКЛ обычно экспрессируют пан-В-клеточные антигены, такие как </w:t>
      </w:r>
      <w:r w:rsidRPr="000322E4">
        <w:rPr>
          <w:lang w:val="en-US"/>
        </w:rPr>
        <w:t>CD</w:t>
      </w:r>
      <w:r w:rsidRPr="000322E4">
        <w:t xml:space="preserve">19, </w:t>
      </w:r>
      <w:r w:rsidRPr="000322E4">
        <w:rPr>
          <w:lang w:val="en-US"/>
        </w:rPr>
        <w:t>CD</w:t>
      </w:r>
      <w:r w:rsidRPr="000322E4">
        <w:t xml:space="preserve">20, </w:t>
      </w:r>
      <w:r w:rsidRPr="000322E4">
        <w:rPr>
          <w:lang w:val="en-US"/>
        </w:rPr>
        <w:t>CD</w:t>
      </w:r>
      <w:r w:rsidRPr="000322E4">
        <w:t xml:space="preserve">22, </w:t>
      </w:r>
      <w:r w:rsidRPr="000322E4">
        <w:rPr>
          <w:lang w:val="en-US"/>
        </w:rPr>
        <w:t>CD</w:t>
      </w:r>
      <w:r w:rsidRPr="000322E4">
        <w:t xml:space="preserve">79а, РАХ5, но в процессе прогрессии заболевания некоторые из них могут утрачиваться. В 50-75% случаев экспрессируются поверхностные и цитоплазматические иммуноглобулины (в порядке убывания </w:t>
      </w:r>
      <w:r w:rsidRPr="000322E4">
        <w:rPr>
          <w:lang w:val="en-US"/>
        </w:rPr>
        <w:t>IgM</w:t>
      </w:r>
      <w:r w:rsidRPr="000322E4">
        <w:t xml:space="preserve">, </w:t>
      </w:r>
      <w:r w:rsidRPr="000322E4">
        <w:rPr>
          <w:lang w:val="en-US"/>
        </w:rPr>
        <w:t>IgG</w:t>
      </w:r>
      <w:r w:rsidRPr="000322E4">
        <w:t xml:space="preserve">, </w:t>
      </w:r>
      <w:r w:rsidRPr="000322E4">
        <w:rPr>
          <w:lang w:val="en-US"/>
        </w:rPr>
        <w:t>Ig</w:t>
      </w:r>
      <w:r w:rsidRPr="000322E4">
        <w:t xml:space="preserve">А). </w:t>
      </w:r>
      <w:r w:rsidRPr="000322E4">
        <w:rPr>
          <w:lang w:val="en-US"/>
        </w:rPr>
        <w:t>CD</w:t>
      </w:r>
      <w:r w:rsidRPr="000322E4">
        <w:t xml:space="preserve">30 может выявляться на опухолевых клетках в 10-20% случаев, особенно в анапластическом варианте лимфомы. Присутствие </w:t>
      </w:r>
      <w:r w:rsidRPr="000322E4">
        <w:rPr>
          <w:lang w:val="en-US"/>
        </w:rPr>
        <w:t>EBV</w:t>
      </w:r>
      <w:r w:rsidRPr="000322E4">
        <w:t xml:space="preserve"> в большинстве клеток является основанием для установления диагноза </w:t>
      </w:r>
      <w:r w:rsidRPr="000322E4">
        <w:rPr>
          <w:lang w:val="en-US"/>
        </w:rPr>
        <w:t>EBV</w:t>
      </w:r>
      <w:r w:rsidRPr="000322E4">
        <w:t xml:space="preserve">-позитивной ДВКЛ, неспецифицированной, большинство опухолевых лимфоидных клеток при этом </w:t>
      </w:r>
      <w:r w:rsidRPr="000322E4">
        <w:rPr>
          <w:lang w:val="en-US"/>
        </w:rPr>
        <w:t>CD</w:t>
      </w:r>
      <w:r w:rsidRPr="000322E4">
        <w:t xml:space="preserve">30 позитивны. </w:t>
      </w:r>
      <w:r w:rsidRPr="000322E4">
        <w:rPr>
          <w:lang w:val="en-US"/>
        </w:rPr>
        <w:t>CD</w:t>
      </w:r>
      <w:r w:rsidRPr="000322E4">
        <w:t xml:space="preserve">5+ на клетках определяется в 5-10% случаев, при этом это могут быть как </w:t>
      </w:r>
      <w:r w:rsidRPr="000322E4">
        <w:rPr>
          <w:lang w:val="en-US"/>
        </w:rPr>
        <w:t>de</w:t>
      </w:r>
      <w:r w:rsidRPr="000322E4">
        <w:t xml:space="preserve"> </w:t>
      </w:r>
      <w:r w:rsidRPr="000322E4">
        <w:rPr>
          <w:lang w:val="en-US"/>
        </w:rPr>
        <w:t>novo</w:t>
      </w:r>
      <w:r w:rsidRPr="000322E4">
        <w:t xml:space="preserve"> ДВКЛ, так и вторичные крупноклеточные лимфомы, возникшие вследствие трансформации из ХЛЛ/лимфомы из малых лимфоцитов. Частота экспрессии </w:t>
      </w:r>
      <w:r w:rsidRPr="000322E4">
        <w:rPr>
          <w:lang w:val="en-US"/>
        </w:rPr>
        <w:t>CD</w:t>
      </w:r>
      <w:r w:rsidRPr="000322E4">
        <w:t xml:space="preserve">10, </w:t>
      </w:r>
      <w:r w:rsidRPr="000322E4">
        <w:rPr>
          <w:lang w:val="en-US"/>
        </w:rPr>
        <w:t>BCL</w:t>
      </w:r>
      <w:r w:rsidRPr="000322E4">
        <w:t xml:space="preserve">6, </w:t>
      </w:r>
      <w:r w:rsidRPr="000322E4">
        <w:rPr>
          <w:lang w:val="en-US"/>
        </w:rPr>
        <w:t>IRF</w:t>
      </w:r>
      <w:r w:rsidRPr="000322E4">
        <w:t>4/</w:t>
      </w:r>
      <w:r w:rsidRPr="000322E4">
        <w:rPr>
          <w:lang w:val="en-US"/>
        </w:rPr>
        <w:t>MUM</w:t>
      </w:r>
      <w:r w:rsidRPr="000322E4">
        <w:t xml:space="preserve">1, </w:t>
      </w:r>
      <w:r w:rsidRPr="000322E4">
        <w:rPr>
          <w:lang w:val="en-US"/>
        </w:rPr>
        <w:t>FOXP</w:t>
      </w:r>
      <w:r w:rsidRPr="000322E4">
        <w:t xml:space="preserve">1, </w:t>
      </w:r>
      <w:r w:rsidRPr="000322E4">
        <w:rPr>
          <w:lang w:val="en-US"/>
        </w:rPr>
        <w:t>GCET</w:t>
      </w:r>
      <w:r w:rsidRPr="000322E4">
        <w:t xml:space="preserve">1 и </w:t>
      </w:r>
      <w:r w:rsidRPr="000322E4">
        <w:rPr>
          <w:lang w:val="en-US"/>
        </w:rPr>
        <w:t>LM</w:t>
      </w:r>
      <w:r w:rsidRPr="000322E4">
        <w:t xml:space="preserve">02 варьируется. В алгоритме </w:t>
      </w:r>
      <w:r w:rsidRPr="000322E4">
        <w:rPr>
          <w:lang w:val="en-US"/>
        </w:rPr>
        <w:t>Hans</w:t>
      </w:r>
      <w:r w:rsidRPr="000322E4">
        <w:t xml:space="preserve"> используются 3 основных маркера для отличия </w:t>
      </w:r>
      <w:r w:rsidRPr="000322E4">
        <w:rPr>
          <w:lang w:val="en-US"/>
        </w:rPr>
        <w:t>GCB</w:t>
      </w:r>
      <w:r w:rsidRPr="000322E4">
        <w:t xml:space="preserve"> от </w:t>
      </w:r>
      <w:r w:rsidRPr="000322E4">
        <w:rPr>
          <w:lang w:val="en-US"/>
        </w:rPr>
        <w:t>ABC</w:t>
      </w:r>
      <w:r w:rsidRPr="000322E4">
        <w:t xml:space="preserve"> типов ДВКЛ: </w:t>
      </w:r>
      <w:r w:rsidRPr="000322E4">
        <w:rPr>
          <w:lang w:val="en-US"/>
        </w:rPr>
        <w:t>CD</w:t>
      </w:r>
      <w:r w:rsidRPr="000322E4">
        <w:t xml:space="preserve">10, </w:t>
      </w:r>
      <w:r w:rsidRPr="000322E4">
        <w:rPr>
          <w:lang w:val="en-US"/>
        </w:rPr>
        <w:t>BCL</w:t>
      </w:r>
      <w:r w:rsidRPr="000322E4">
        <w:t xml:space="preserve">-6 и </w:t>
      </w:r>
      <w:r w:rsidRPr="000322E4">
        <w:rPr>
          <w:lang w:val="en-US"/>
        </w:rPr>
        <w:t>IRF</w:t>
      </w:r>
      <w:r w:rsidRPr="000322E4">
        <w:t>4/</w:t>
      </w:r>
      <w:r w:rsidRPr="000322E4">
        <w:rPr>
          <w:lang w:val="en-US"/>
        </w:rPr>
        <w:t>MUM</w:t>
      </w:r>
      <w:r w:rsidRPr="000322E4">
        <w:t xml:space="preserve">1. Тест считается позитивным при выявлении этих антигенов на 30% и более опухолевых клеток. Показатель пролиферативной активности опухоли </w:t>
      </w:r>
      <w:r w:rsidRPr="000322E4">
        <w:rPr>
          <w:lang w:val="en-US"/>
        </w:rPr>
        <w:t>Ki</w:t>
      </w:r>
      <w:r w:rsidRPr="000322E4">
        <w:t xml:space="preserve">-67 высокий, от 40 до 90%  в некоторых случаях более 90%. Экспрессия р53 определяется у 20-60% </w:t>
      </w:r>
      <w:r w:rsidR="00103620" w:rsidRPr="000322E4">
        <w:t xml:space="preserve">лиц, </w:t>
      </w:r>
      <w:r w:rsidRPr="000322E4">
        <w:t xml:space="preserve">больных ДВКЛ, что во многом определяет ответ на лечение и прогноз у данной группы пациентов </w:t>
      </w:r>
      <w:r w:rsidRPr="000322E4">
        <w:fldChar w:fldCharType="begin" w:fldLock="1"/>
      </w:r>
      <w:r w:rsidR="005A2396" w:rsidRPr="000322E4">
        <w:instrText>ADDIN CSL_CITATION {"citationItems":[{"id":"ITEM-1","itemData":{"ISBN":"9789283244943","abstract":"Revised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J","non-dropping-particle":"","parse-names":false,"suffix":""}],"id":"ITEM-1","issued":{"date-parts":[["2017"]]},"number-of-pages":"585","title":"WHO classification of tumours of haematopoietic and lymphoid tissues. Revised 4th ed. Lyon, France: International Agency for Research in Cancer (IARC)","type":"book"},"uris":["http://www.mendeley.com/documents/?uuid=b06b14d2-e846-3ead-b23a-17e93b076e13"]}],"mendeley":{"formattedCitation":"[1]","plainTextFormattedCitation":"[1]","previouslyFormattedCitation":"[1]"},"properties":{"noteIndex":0},"schema":"https://github.com/citation-style-language/schema/raw/master/csl-citation.json"}</w:instrText>
      </w:r>
      <w:r w:rsidRPr="000322E4">
        <w:fldChar w:fldCharType="separate"/>
      </w:r>
      <w:r w:rsidRPr="000322E4">
        <w:rPr>
          <w:noProof/>
        </w:rPr>
        <w:t>[1]</w:t>
      </w:r>
      <w:r w:rsidRPr="000322E4">
        <w:fldChar w:fldCharType="end"/>
      </w:r>
      <w:r w:rsidRPr="000322E4">
        <w:t xml:space="preserve">. </w:t>
      </w:r>
    </w:p>
    <w:p w14:paraId="0099F6FD" w14:textId="77777777" w:rsidR="00F5789A" w:rsidRPr="000322E4" w:rsidRDefault="00B46390" w:rsidP="00CA442F">
      <w:pPr>
        <w:pStyle w:val="2"/>
        <w:spacing w:before="0"/>
        <w:rPr>
          <w:color w:val="000000" w:themeColor="text1"/>
        </w:rPr>
      </w:pPr>
      <w:bookmarkStart w:id="18" w:name="_Toc66096815"/>
      <w:r w:rsidRPr="000322E4">
        <w:rPr>
          <w:color w:val="000000" w:themeColor="text1"/>
        </w:rPr>
        <w:t>1.6 Клиническая картина</w:t>
      </w:r>
      <w:r w:rsidR="00A70F44" w:rsidRPr="000322E4">
        <w:rPr>
          <w:color w:val="000000" w:themeColor="text1"/>
        </w:rPr>
        <w:t xml:space="preserve"> </w:t>
      </w:r>
      <w:r w:rsidR="00A70F44" w:rsidRPr="000322E4">
        <w:rPr>
          <w:color w:val="000000" w:themeColor="text1"/>
          <w:shd w:val="clear" w:color="auto" w:fill="FFFFFF"/>
        </w:rPr>
        <w:t>заболевания или состояния (группы заболеваний или состояний)</w:t>
      </w:r>
      <w:bookmarkEnd w:id="18"/>
    </w:p>
    <w:p w14:paraId="2DA4E835" w14:textId="77777777" w:rsidR="000718D1" w:rsidRPr="000322E4" w:rsidRDefault="000718D1" w:rsidP="00CA442F">
      <w:pPr>
        <w:ind w:firstLine="709"/>
        <w:contextualSpacing/>
      </w:pPr>
      <w:r w:rsidRPr="000322E4">
        <w:t>Клинические признаки</w:t>
      </w:r>
      <w:r w:rsidR="00C51648" w:rsidRPr="000322E4">
        <w:t xml:space="preserve"> ДВКЛ</w:t>
      </w:r>
      <w:r w:rsidRPr="000322E4">
        <w:t xml:space="preserve"> разнообразны, не всегда специфичны и определяются первичной локализацией, скоростью роста и распространенностью опухоли, а также наличием/отсутствием симптомов интоксикации (В-симптомами – температурой тела &gt;38°С более 3 дней без признаков воспаления, ночными профузными потами, похуданием на 10 % массы тела за последние 6 мес.). Может наблюдаться увеличение лимфатических узлов, в случае вовлечения в процесс лимфатических узлов средостения и/или тимуса возможно развитие синдрома верхней полой вены (цианоз; одутловатость головы, шеи, верхних конечностей, верхней половины грудной клетки; расширение подкожных вен; одышка, охриплость голоса, кашель и др.). Процесс, локализованный в лимфатических узлах брюшной полости/забрюшинного пространства, может манифестироваться возникновением болевого синдрома и/или признаками нарушения функции внутренних органов, компремированных опухолевыми образованиями. При экстранодальном </w:t>
      </w:r>
      <w:r w:rsidRPr="000322E4">
        <w:lastRenderedPageBreak/>
        <w:t>поражении обычно превалируют симптомы нарушения функции соответствующих органов и систем. ПЛЦНС в большинстве случаев проявляется очаговой и/или общемозговой неврологической симптоматикой. Часто встречаются изменения психики, симптомы повышения внутричерепного давления, судорожные припадки.</w:t>
      </w:r>
    </w:p>
    <w:p w14:paraId="2A6CF7BF" w14:textId="77777777" w:rsidR="00C51648" w:rsidRPr="000322E4" w:rsidRDefault="00C51648" w:rsidP="00CA442F">
      <w:pPr>
        <w:ind w:firstLine="709"/>
        <w:contextualSpacing/>
      </w:pPr>
      <w:r w:rsidRPr="000322E4">
        <w:t>Клинические проявления ЛБ обусловлены локализацией и объемом опухоли. Практически всегда есть В-симптомы, чаще всего – быстро развивающаяся потеря массы тела (до 10 кг и более за месяц).</w:t>
      </w:r>
    </w:p>
    <w:p w14:paraId="31692C19" w14:textId="77777777" w:rsidR="00C51648" w:rsidRPr="000322E4" w:rsidRDefault="00C51648" w:rsidP="00CA442F">
      <w:pPr>
        <w:ind w:firstLine="709"/>
        <w:contextualSpacing/>
      </w:pPr>
      <w:r w:rsidRPr="000322E4">
        <w:t xml:space="preserve">Для ЛБ характерна экстранодальная локализация опухоли. Наиболее часто поражаются органы брюшной полости: тонкая кишка (чаще ее терминальный отдел), брыжейка, а также желудок, толстая кишка, брюшина, печень, селезенка. Специфическое поражение костного мозга наблюдается в 25-35% случаев, центральной нервной системы - в 20-25% случаев. Типично вовлечение почек, яичников, яичек, абдоминальных и забрюшинных лимфатических узлов (особенно в илеоцекальной области), реже – периферических лимфатических узлов.  </w:t>
      </w:r>
    </w:p>
    <w:p w14:paraId="2ACD84C7" w14:textId="77777777" w:rsidR="00C51648" w:rsidRPr="000322E4" w:rsidRDefault="00C51648" w:rsidP="00CA442F">
      <w:pPr>
        <w:ind w:firstLine="709"/>
        <w:contextualSpacing/>
      </w:pPr>
      <w:r w:rsidRPr="000322E4">
        <w:t>В 10-15% случаев ЛБ отмечено вовлечение кольца Вальдейера, слюнных желез, верхней и нижней челюсти, орбиты. Средостение поражается редко.</w:t>
      </w:r>
    </w:p>
    <w:p w14:paraId="296B7F47" w14:textId="77777777" w:rsidR="00C51648" w:rsidRPr="000322E4" w:rsidRDefault="00C51648" w:rsidP="00CA442F">
      <w:pPr>
        <w:ind w:firstLine="709"/>
        <w:contextualSpacing/>
      </w:pPr>
      <w:r w:rsidRPr="000322E4">
        <w:t>Характерным симптомокомплексом при ЛБ является клиника «острого живота» в результате обструктивной кишечной непроходимости, острого аппендицита, желудочно-кишечного кровотечения или перфорации вследствие специфической инфильтрации желудка и/или кишечника. При физикальном осмотре у больного можно обнаружить увеличение живота за счет опухоли и асцита. Рост опухоли происходит стремительно, и в большинстве случаев к моменту госпитализации поражение органов брюшной полости представлено массивным опухолевым конгломератом с вовлечением нескольких внутренних органов. Как правило, больные ЛБ поступают в стационар в тяжелом или крайне тяжелом состоянии, обусловленном большой опухолевой массой, интоксикацией, истощением вплоть до кахексии, электролитными нарушениями. Нередко основной терапевтической проблемой у больных ЛБ на начальном этапе заболевания является прогрессирующая острая почечная недостаточность (ОПН). Наиболее частыми причинами ее развития являются специфическое поражение почек, синдром лизиса опухоли (СЛО) и нарушение уродинамики за счет сдавления мочеточников опухолевым конгломератом с развитием постренальной анурии.</w:t>
      </w:r>
    </w:p>
    <w:p w14:paraId="1BFE92BC" w14:textId="77777777" w:rsidR="000414F6" w:rsidRPr="000322E4" w:rsidRDefault="00B46390" w:rsidP="00CA442F">
      <w:pPr>
        <w:pStyle w:val="afff2"/>
      </w:pPr>
      <w:bookmarkStart w:id="19" w:name="_Toc66096816"/>
      <w:r w:rsidRPr="000322E4">
        <w:lastRenderedPageBreak/>
        <w:t xml:space="preserve">2. </w:t>
      </w:r>
      <w:r w:rsidR="00CB71DA" w:rsidRPr="000322E4">
        <w:t>Диагностика</w:t>
      </w:r>
      <w:bookmarkEnd w:id="13"/>
      <w:r w:rsidR="0038545E" w:rsidRPr="000322E4">
        <w:t xml:space="preserve"> заболевания или состояния (группы заболеваний или состояний), медицинские показания и противопоказания к применению методов диагностики</w:t>
      </w:r>
      <w:bookmarkEnd w:id="19"/>
    </w:p>
    <w:p w14:paraId="10500084" w14:textId="77777777" w:rsidR="00F5789A" w:rsidRPr="000322E4" w:rsidRDefault="00F5789A" w:rsidP="00CA442F">
      <w:pPr>
        <w:tabs>
          <w:tab w:val="left" w:pos="709"/>
        </w:tabs>
        <w:ind w:firstLine="709"/>
        <w:rPr>
          <w:i/>
          <w:iCs/>
        </w:rPr>
      </w:pPr>
      <w:r w:rsidRPr="000322E4">
        <w:rPr>
          <w:i/>
          <w:iCs/>
        </w:rPr>
        <w:t>Многие рекомендованные методы диагностики заболевания и связанных с ним состояний имеют ограниченную доказательную базу (в соответствии с шкалами оценки УДД и УРР) по причине отсутствия посвященных им клинических исследований. Невзирая на это, они являются необходимыми элементами обследования пациента для установления диагноза и выбора тактики лечения, так как более эффективные и доказанные методы в настоящее время не разработаны.</w:t>
      </w:r>
    </w:p>
    <w:p w14:paraId="68308B59" w14:textId="77777777" w:rsidR="000718D1" w:rsidRPr="000322E4" w:rsidRDefault="00334F6C" w:rsidP="00CA442F">
      <w:pPr>
        <w:tabs>
          <w:tab w:val="left" w:pos="709"/>
        </w:tabs>
        <w:ind w:firstLine="709"/>
        <w:rPr>
          <w:i/>
          <w:iCs/>
        </w:rPr>
      </w:pPr>
      <w:r w:rsidRPr="000322E4">
        <w:rPr>
          <w:b/>
          <w:i/>
        </w:rPr>
        <w:t>Критерии установления диагноза/</w:t>
      </w:r>
      <w:r w:rsidR="00B0565A" w:rsidRPr="000322E4">
        <w:rPr>
          <w:b/>
          <w:i/>
        </w:rPr>
        <w:t>состояния</w:t>
      </w:r>
      <w:r w:rsidR="00ED5598" w:rsidRPr="000322E4">
        <w:rPr>
          <w:b/>
          <w:i/>
        </w:rPr>
        <w:t xml:space="preserve">: </w:t>
      </w:r>
      <w:r w:rsidR="000718D1" w:rsidRPr="000322E4">
        <w:rPr>
          <w:i/>
          <w:iCs/>
        </w:rPr>
        <w:t>диагноз</w:t>
      </w:r>
      <w:r w:rsidR="00C51648" w:rsidRPr="000322E4">
        <w:rPr>
          <w:i/>
          <w:iCs/>
        </w:rPr>
        <w:t>ы</w:t>
      </w:r>
      <w:r w:rsidR="000718D1" w:rsidRPr="000322E4">
        <w:rPr>
          <w:i/>
          <w:iCs/>
        </w:rPr>
        <w:t xml:space="preserve"> ДВКЛ</w:t>
      </w:r>
      <w:r w:rsidR="009B70C4" w:rsidRPr="000322E4">
        <w:rPr>
          <w:i/>
          <w:iCs/>
        </w:rPr>
        <w:t>, ПМВКЛ</w:t>
      </w:r>
      <w:r w:rsidR="00C51648" w:rsidRPr="000322E4">
        <w:rPr>
          <w:i/>
          <w:iCs/>
        </w:rPr>
        <w:t xml:space="preserve"> и ЛБ</w:t>
      </w:r>
      <w:r w:rsidR="000718D1" w:rsidRPr="000322E4">
        <w:rPr>
          <w:i/>
          <w:iCs/>
        </w:rPr>
        <w:t xml:space="preserve"> устанавлива</w:t>
      </w:r>
      <w:r w:rsidR="009B70C4" w:rsidRPr="000322E4">
        <w:rPr>
          <w:i/>
          <w:iCs/>
        </w:rPr>
        <w:t>ю</w:t>
      </w:r>
      <w:r w:rsidR="000718D1" w:rsidRPr="000322E4">
        <w:rPr>
          <w:i/>
          <w:iCs/>
        </w:rPr>
        <w:t xml:space="preserve">тся на основании </w:t>
      </w:r>
      <w:r w:rsidR="00103620" w:rsidRPr="000322E4">
        <w:rPr>
          <w:i/>
          <w:iCs/>
        </w:rPr>
        <w:t xml:space="preserve">патолого-анатомического </w:t>
      </w:r>
      <w:r w:rsidR="000718D1" w:rsidRPr="000322E4">
        <w:rPr>
          <w:i/>
          <w:iCs/>
        </w:rPr>
        <w:t>исследования биоптата опухоли</w:t>
      </w:r>
      <w:r w:rsidR="00103620" w:rsidRPr="000322E4">
        <w:rPr>
          <w:i/>
          <w:iCs/>
        </w:rPr>
        <w:t xml:space="preserve"> с применением иммуногистохимических методов</w:t>
      </w:r>
      <w:r w:rsidR="000718D1" w:rsidRPr="000322E4">
        <w:rPr>
          <w:i/>
          <w:iCs/>
        </w:rPr>
        <w:t>.  Рекомендуется обязательное выполнение эксцизионной биопсии (при отсутствии технической возможности –</w:t>
      </w:r>
      <w:r w:rsidR="00103620" w:rsidRPr="000322E4">
        <w:rPr>
          <w:i/>
          <w:iCs/>
        </w:rPr>
        <w:t xml:space="preserve"> </w:t>
      </w:r>
      <w:r w:rsidR="000718D1" w:rsidRPr="000322E4">
        <w:rPr>
          <w:i/>
          <w:iCs/>
        </w:rPr>
        <w:t xml:space="preserve"> </w:t>
      </w:r>
      <w:r w:rsidR="000718D1" w:rsidRPr="000322E4">
        <w:rPr>
          <w:i/>
          <w:iCs/>
          <w:lang w:val="en-US"/>
        </w:rPr>
        <w:t>cor</w:t>
      </w:r>
      <w:r w:rsidR="000718D1" w:rsidRPr="000322E4">
        <w:rPr>
          <w:i/>
          <w:iCs/>
        </w:rPr>
        <w:t xml:space="preserve"> - биопсии) лимфатического узла или очага поражения с </w:t>
      </w:r>
      <w:r w:rsidR="00103620" w:rsidRPr="000322E4">
        <w:rPr>
          <w:i/>
          <w:iCs/>
        </w:rPr>
        <w:t xml:space="preserve">последующим патолого-анатомическим исследованием </w:t>
      </w:r>
      <w:r w:rsidR="000718D1" w:rsidRPr="000322E4">
        <w:rPr>
          <w:i/>
          <w:iCs/>
        </w:rPr>
        <w:t xml:space="preserve">(цитологическим и гистологическим) </w:t>
      </w:r>
      <w:r w:rsidR="00103620" w:rsidRPr="000322E4">
        <w:rPr>
          <w:i/>
          <w:iCs/>
        </w:rPr>
        <w:t>с применением иммуногистохимических методов</w:t>
      </w:r>
      <w:r w:rsidR="000718D1" w:rsidRPr="000322E4">
        <w:rPr>
          <w:i/>
          <w:iCs/>
        </w:rPr>
        <w:t xml:space="preserve">. Для уточнения диагноза в некоторых случаях требуется дополнительно выполнение молекулярно-биологических и цитогенетических методов исследования биологического материала </w:t>
      </w:r>
      <w:r w:rsidR="000718D1" w:rsidRPr="000322E4">
        <w:rPr>
          <w:i/>
          <w:iCs/>
        </w:rPr>
        <w:fldChar w:fldCharType="begin" w:fldLock="1"/>
      </w:r>
      <w:r w:rsidR="00DA1F72" w:rsidRPr="000322E4">
        <w:rPr>
          <w:i/>
          <w:iCs/>
        </w:rPr>
        <w:instrText>ADDIN CSL_CITATION {"citationItems":[{"id":"ITEM-1","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-1","issued":{"date-parts":[["0"]]},"title":"B-cell lymphomas. NCCN Clinical Practice Guidelines in Oncology. Version 5.2019","type":"article"},"uris":["http://www.mendeley.com/documents/?uuid=4e117fbe-c678-350d-9b0c-f8bba5d6f848"]}],"mendeley":{"formattedCitation":"[15]","plainTextFormattedCitation":"[15]","previouslyFormattedCitation":"[15]"},"properties":{"noteIndex":0},"schema":"https://github.com/citation-style-language/schema/raw/master/csl-citation.json"}</w:instrText>
      </w:r>
      <w:r w:rsidR="000718D1" w:rsidRPr="000322E4">
        <w:rPr>
          <w:i/>
          <w:iCs/>
        </w:rPr>
        <w:fldChar w:fldCharType="separate"/>
      </w:r>
      <w:r w:rsidR="00DA1F72" w:rsidRPr="000322E4">
        <w:rPr>
          <w:iCs/>
          <w:noProof/>
        </w:rPr>
        <w:t>[15]</w:t>
      </w:r>
      <w:r w:rsidR="000718D1" w:rsidRPr="000322E4">
        <w:rPr>
          <w:i/>
          <w:iCs/>
        </w:rPr>
        <w:fldChar w:fldCharType="end"/>
      </w:r>
      <w:r w:rsidR="000718D1" w:rsidRPr="000322E4">
        <w:rPr>
          <w:i/>
          <w:iCs/>
        </w:rPr>
        <w:t>.</w:t>
      </w:r>
    </w:p>
    <w:p w14:paraId="295ED127" w14:textId="77777777" w:rsidR="004D1259" w:rsidRPr="000322E4" w:rsidRDefault="004D1259" w:rsidP="00CA442F">
      <w:pPr>
        <w:tabs>
          <w:tab w:val="left" w:pos="709"/>
        </w:tabs>
        <w:ind w:firstLine="709"/>
        <w:rPr>
          <w:i/>
          <w:iCs/>
        </w:rPr>
      </w:pPr>
      <w:r w:rsidRPr="000322E4">
        <w:rPr>
          <w:i/>
          <w:iCs/>
        </w:rPr>
        <w:t xml:space="preserve">Яркие клинические особенности ЛБ позволяют предположить этот диагноз уже на основании внимательной оценки анамнеза, клинических проявлений, первоочередных стандартных лабораторных показателей и результатов простейших первоначальных диагностических мероприятий (УЗИ брюшной полости). Дальнейший диагностический процесс, получение и исследование материала должны проводиться в режиме оказания неотложной помощи, целью которой является верификация диагноза и срочное начало соответствующей адекватной терапии </w:t>
      </w:r>
      <w:r w:rsidRPr="000322E4">
        <w:rPr>
          <w:i/>
          <w:iCs/>
          <w:lang w:val="en-US"/>
        </w:rPr>
        <w:fldChar w:fldCharType="begin" w:fldLock="1"/>
      </w:r>
      <w:r w:rsidR="00D611C5" w:rsidRPr="000322E4">
        <w:rPr>
          <w:i/>
          <w:iCs/>
          <w:lang w:val="en-US"/>
        </w:rPr>
        <w:instrText>ADDIN</w:instrText>
      </w:r>
      <w:r w:rsidR="00D611C5" w:rsidRPr="000322E4">
        <w:rPr>
          <w:i/>
          <w:iCs/>
        </w:rPr>
        <w:instrText xml:space="preserve"> </w:instrText>
      </w:r>
      <w:r w:rsidR="00D611C5" w:rsidRPr="000322E4">
        <w:rPr>
          <w:i/>
          <w:iCs/>
          <w:lang w:val="en-US"/>
        </w:rPr>
        <w:instrText>CSL</w:instrText>
      </w:r>
      <w:r w:rsidR="00D611C5" w:rsidRPr="000322E4">
        <w:rPr>
          <w:i/>
          <w:iCs/>
        </w:rPr>
        <w:instrText>_</w:instrText>
      </w:r>
      <w:r w:rsidR="00D611C5" w:rsidRPr="000322E4">
        <w:rPr>
          <w:i/>
          <w:iCs/>
          <w:lang w:val="en-US"/>
        </w:rPr>
        <w:instrText>CITATION</w:instrText>
      </w:r>
      <w:r w:rsidR="00D611C5" w:rsidRPr="000322E4">
        <w:rPr>
          <w:i/>
          <w:iCs/>
        </w:rPr>
        <w:instrText xml:space="preserve"> {"</w:instrText>
      </w:r>
      <w:r w:rsidR="00D611C5" w:rsidRPr="000322E4">
        <w:rPr>
          <w:i/>
          <w:iCs/>
          <w:lang w:val="en-US"/>
        </w:rPr>
        <w:instrText>citationItems</w:instrText>
      </w:r>
      <w:r w:rsidR="00D611C5" w:rsidRPr="000322E4">
        <w:rPr>
          <w:i/>
          <w:iCs/>
        </w:rPr>
        <w:instrText>":[{"</w:instrText>
      </w:r>
      <w:r w:rsidR="00D611C5" w:rsidRPr="000322E4">
        <w:rPr>
          <w:i/>
          <w:iCs/>
          <w:lang w:val="en-US"/>
        </w:rPr>
        <w:instrText>id</w:instrText>
      </w:r>
      <w:r w:rsidR="00D611C5" w:rsidRPr="000322E4">
        <w:rPr>
          <w:i/>
          <w:iCs/>
        </w:rPr>
        <w:instrText>":"</w:instrText>
      </w:r>
      <w:r w:rsidR="00D611C5" w:rsidRPr="000322E4">
        <w:rPr>
          <w:i/>
          <w:iCs/>
          <w:lang w:val="en-US"/>
        </w:rPr>
        <w:instrText>ITEM</w:instrText>
      </w:r>
      <w:r w:rsidR="00D611C5" w:rsidRPr="000322E4">
        <w:rPr>
          <w:i/>
          <w:iCs/>
        </w:rPr>
        <w:instrText>-1","</w:instrText>
      </w:r>
      <w:r w:rsidR="00D611C5" w:rsidRPr="000322E4">
        <w:rPr>
          <w:i/>
          <w:iCs/>
          <w:lang w:val="en-US"/>
        </w:rPr>
        <w:instrText>itemData</w:instrText>
      </w:r>
      <w:r w:rsidR="00D611C5" w:rsidRPr="000322E4">
        <w:rPr>
          <w:i/>
          <w:iCs/>
        </w:rPr>
        <w:instrText>":{"</w:instrText>
      </w:r>
      <w:r w:rsidR="00D611C5" w:rsidRPr="000322E4">
        <w:rPr>
          <w:i/>
          <w:iCs/>
          <w:lang w:val="en-US"/>
        </w:rPr>
        <w:instrText>author</w:instrText>
      </w:r>
      <w:r w:rsidR="00D611C5" w:rsidRPr="000322E4">
        <w:rPr>
          <w:i/>
          <w:iCs/>
        </w:rPr>
        <w:instrText>":[{"</w:instrText>
      </w:r>
      <w:r w:rsidR="00D611C5" w:rsidRPr="000322E4">
        <w:rPr>
          <w:i/>
          <w:iCs/>
          <w:lang w:val="en-US"/>
        </w:rPr>
        <w:instrText>dropping</w:instrText>
      </w:r>
      <w:r w:rsidR="00D611C5" w:rsidRPr="000322E4">
        <w:rPr>
          <w:i/>
          <w:iCs/>
        </w:rPr>
        <w:instrText>-</w:instrText>
      </w:r>
      <w:r w:rsidR="00D611C5" w:rsidRPr="000322E4">
        <w:rPr>
          <w:i/>
          <w:iCs/>
          <w:lang w:val="en-US"/>
        </w:rPr>
        <w:instrText>particle</w:instrText>
      </w:r>
      <w:r w:rsidR="00D611C5" w:rsidRPr="000322E4">
        <w:rPr>
          <w:i/>
          <w:iCs/>
        </w:rPr>
        <w:instrText>":"","</w:instrText>
      </w:r>
      <w:r w:rsidR="00D611C5" w:rsidRPr="000322E4">
        <w:rPr>
          <w:i/>
          <w:iCs/>
          <w:lang w:val="en-US"/>
        </w:rPr>
        <w:instrText>family</w:instrText>
      </w:r>
      <w:r w:rsidR="00D611C5" w:rsidRPr="000322E4">
        <w:rPr>
          <w:i/>
          <w:iCs/>
        </w:rPr>
        <w:instrText>":"Барях","</w:instrText>
      </w:r>
      <w:r w:rsidR="00D611C5" w:rsidRPr="000322E4">
        <w:rPr>
          <w:i/>
          <w:iCs/>
          <w:lang w:val="en-US"/>
        </w:rPr>
        <w:instrText>given</w:instrText>
      </w:r>
      <w:r w:rsidR="00D611C5" w:rsidRPr="000322E4">
        <w:rPr>
          <w:i/>
          <w:iCs/>
        </w:rPr>
        <w:instrText>":"Е.А.","</w:instrText>
      </w:r>
      <w:r w:rsidR="00D611C5" w:rsidRPr="000322E4">
        <w:rPr>
          <w:i/>
          <w:iCs/>
          <w:lang w:val="en-US"/>
        </w:rPr>
        <w:instrText>non</w:instrText>
      </w:r>
      <w:r w:rsidR="00D611C5" w:rsidRPr="000322E4">
        <w:rPr>
          <w:i/>
          <w:iCs/>
        </w:rPr>
        <w:instrText>-</w:instrText>
      </w:r>
      <w:r w:rsidR="00D611C5" w:rsidRPr="000322E4">
        <w:rPr>
          <w:i/>
          <w:iCs/>
          <w:lang w:val="en-US"/>
        </w:rPr>
        <w:instrText>dropping</w:instrText>
      </w:r>
      <w:r w:rsidR="00D611C5" w:rsidRPr="000322E4">
        <w:rPr>
          <w:i/>
          <w:iCs/>
        </w:rPr>
        <w:instrText>-</w:instrText>
      </w:r>
      <w:r w:rsidR="00D611C5" w:rsidRPr="000322E4">
        <w:rPr>
          <w:i/>
          <w:iCs/>
          <w:lang w:val="en-US"/>
        </w:rPr>
        <w:instrText>particle</w:instrText>
      </w:r>
      <w:r w:rsidR="00D611C5" w:rsidRPr="000322E4">
        <w:rPr>
          <w:i/>
          <w:iCs/>
        </w:rPr>
        <w:instrText>":"","</w:instrText>
      </w:r>
      <w:r w:rsidR="00D611C5" w:rsidRPr="000322E4">
        <w:rPr>
          <w:i/>
          <w:iCs/>
          <w:lang w:val="en-US"/>
        </w:rPr>
        <w:instrText>parse</w:instrText>
      </w:r>
      <w:r w:rsidR="00D611C5" w:rsidRPr="000322E4">
        <w:rPr>
          <w:i/>
          <w:iCs/>
        </w:rPr>
        <w:instrText>-</w:instrText>
      </w:r>
      <w:r w:rsidR="00D611C5" w:rsidRPr="000322E4">
        <w:rPr>
          <w:i/>
          <w:iCs/>
          <w:lang w:val="en-US"/>
        </w:rPr>
        <w:instrText>names</w:instrText>
      </w:r>
      <w:r w:rsidR="00D611C5" w:rsidRPr="000322E4">
        <w:rPr>
          <w:i/>
          <w:iCs/>
        </w:rPr>
        <w:instrText>":</w:instrText>
      </w:r>
      <w:r w:rsidR="00D611C5" w:rsidRPr="000322E4">
        <w:rPr>
          <w:i/>
          <w:iCs/>
          <w:lang w:val="en-US"/>
        </w:rPr>
        <w:instrText>false</w:instrText>
      </w:r>
      <w:r w:rsidR="00D611C5" w:rsidRPr="000322E4">
        <w:rPr>
          <w:i/>
          <w:iCs/>
        </w:rPr>
        <w:instrText>,"</w:instrText>
      </w:r>
      <w:r w:rsidR="00D611C5" w:rsidRPr="000322E4">
        <w:rPr>
          <w:i/>
          <w:iCs/>
          <w:lang w:val="en-US"/>
        </w:rPr>
        <w:instrText>suffix</w:instrText>
      </w:r>
      <w:r w:rsidR="00D611C5" w:rsidRPr="000322E4">
        <w:rPr>
          <w:i/>
          <w:iCs/>
        </w:rPr>
        <w:instrText>":""}],"</w:instrText>
      </w:r>
      <w:r w:rsidR="00D611C5" w:rsidRPr="000322E4">
        <w:rPr>
          <w:i/>
          <w:iCs/>
          <w:lang w:val="en-US"/>
        </w:rPr>
        <w:instrText>container</w:instrText>
      </w:r>
      <w:r w:rsidR="00D611C5" w:rsidRPr="000322E4">
        <w:rPr>
          <w:i/>
          <w:iCs/>
        </w:rPr>
        <w:instrText>-</w:instrText>
      </w:r>
      <w:r w:rsidR="00D611C5" w:rsidRPr="000322E4">
        <w:rPr>
          <w:i/>
          <w:iCs/>
          <w:lang w:val="en-US"/>
        </w:rPr>
        <w:instrText>title</w:instrText>
      </w:r>
      <w:r w:rsidR="00D611C5" w:rsidRPr="000322E4">
        <w:rPr>
          <w:i/>
          <w:iCs/>
        </w:rPr>
        <w:instrText>":"Российские клинические рекомендации по диагностике и лечению злокачественных лимфопролиферативных заболеваний; под ред. И.В. Поддубной, В.Г. Савченко.","</w:instrText>
      </w:r>
      <w:r w:rsidR="00D611C5" w:rsidRPr="000322E4">
        <w:rPr>
          <w:i/>
          <w:iCs/>
          <w:lang w:val="en-US"/>
        </w:rPr>
        <w:instrText>id</w:instrText>
      </w:r>
      <w:r w:rsidR="00D611C5" w:rsidRPr="000322E4">
        <w:rPr>
          <w:i/>
          <w:iCs/>
        </w:rPr>
        <w:instrText>":"</w:instrText>
      </w:r>
      <w:r w:rsidR="00D611C5" w:rsidRPr="000322E4">
        <w:rPr>
          <w:i/>
          <w:iCs/>
          <w:lang w:val="en-US"/>
        </w:rPr>
        <w:instrText>ITEM</w:instrText>
      </w:r>
      <w:r w:rsidR="00D611C5" w:rsidRPr="000322E4">
        <w:rPr>
          <w:i/>
          <w:iCs/>
        </w:rPr>
        <w:instrText>-1","</w:instrText>
      </w:r>
      <w:r w:rsidR="00D611C5" w:rsidRPr="000322E4">
        <w:rPr>
          <w:i/>
          <w:iCs/>
          <w:lang w:val="en-US"/>
        </w:rPr>
        <w:instrText>issued</w:instrText>
      </w:r>
      <w:r w:rsidR="00D611C5" w:rsidRPr="000322E4">
        <w:rPr>
          <w:i/>
          <w:iCs/>
        </w:rPr>
        <w:instrText>":{"</w:instrText>
      </w:r>
      <w:r w:rsidR="00D611C5" w:rsidRPr="000322E4">
        <w:rPr>
          <w:i/>
          <w:iCs/>
          <w:lang w:val="en-US"/>
        </w:rPr>
        <w:instrText>date</w:instrText>
      </w:r>
      <w:r w:rsidR="00D611C5" w:rsidRPr="000322E4">
        <w:rPr>
          <w:i/>
          <w:iCs/>
        </w:rPr>
        <w:instrText>-</w:instrText>
      </w:r>
      <w:r w:rsidR="00D611C5" w:rsidRPr="000322E4">
        <w:rPr>
          <w:i/>
          <w:iCs/>
          <w:lang w:val="en-US"/>
        </w:rPr>
        <w:instrText>parts</w:instrText>
      </w:r>
      <w:r w:rsidR="00D611C5" w:rsidRPr="000322E4">
        <w:rPr>
          <w:i/>
          <w:iCs/>
        </w:rPr>
        <w:instrText>":[["2018"]]},"</w:instrText>
      </w:r>
      <w:r w:rsidR="00D611C5" w:rsidRPr="000322E4">
        <w:rPr>
          <w:i/>
          <w:iCs/>
          <w:lang w:val="en-US"/>
        </w:rPr>
        <w:instrText>page</w:instrText>
      </w:r>
      <w:r w:rsidR="00D611C5" w:rsidRPr="000322E4">
        <w:rPr>
          <w:i/>
          <w:iCs/>
        </w:rPr>
        <w:instrText>":"80-87","</w:instrText>
      </w:r>
      <w:r w:rsidR="00D611C5" w:rsidRPr="000322E4">
        <w:rPr>
          <w:i/>
          <w:iCs/>
          <w:lang w:val="en-US"/>
        </w:rPr>
        <w:instrText>title</w:instrText>
      </w:r>
      <w:r w:rsidR="00D611C5" w:rsidRPr="000322E4">
        <w:rPr>
          <w:i/>
          <w:iCs/>
        </w:rPr>
        <w:instrText>":"Лимфома Беркитта","</w:instrText>
      </w:r>
      <w:r w:rsidR="00D611C5" w:rsidRPr="000322E4">
        <w:rPr>
          <w:i/>
          <w:iCs/>
          <w:lang w:val="en-US"/>
        </w:rPr>
        <w:instrText>type</w:instrText>
      </w:r>
      <w:r w:rsidR="00D611C5" w:rsidRPr="000322E4">
        <w:rPr>
          <w:i/>
          <w:iCs/>
        </w:rPr>
        <w:instrText>":"</w:instrText>
      </w:r>
      <w:r w:rsidR="00D611C5" w:rsidRPr="000322E4">
        <w:rPr>
          <w:i/>
          <w:iCs/>
          <w:lang w:val="en-US"/>
        </w:rPr>
        <w:instrText>chapter</w:instrText>
      </w:r>
      <w:r w:rsidR="00D611C5" w:rsidRPr="000322E4">
        <w:rPr>
          <w:i/>
          <w:iCs/>
        </w:rPr>
        <w:instrText>"},"</w:instrText>
      </w:r>
      <w:r w:rsidR="00D611C5" w:rsidRPr="000322E4">
        <w:rPr>
          <w:i/>
          <w:iCs/>
          <w:lang w:val="en-US"/>
        </w:rPr>
        <w:instrText>uris</w:instrText>
      </w:r>
      <w:r w:rsidR="00D611C5" w:rsidRPr="000322E4">
        <w:rPr>
          <w:i/>
          <w:iCs/>
        </w:rPr>
        <w:instrText>":["</w:instrText>
      </w:r>
      <w:r w:rsidR="00D611C5" w:rsidRPr="000322E4">
        <w:rPr>
          <w:i/>
          <w:iCs/>
          <w:lang w:val="en-US"/>
        </w:rPr>
        <w:instrText>http</w:instrText>
      </w:r>
      <w:r w:rsidR="00D611C5" w:rsidRPr="000322E4">
        <w:rPr>
          <w:i/>
          <w:iCs/>
        </w:rPr>
        <w:instrText>://</w:instrText>
      </w:r>
      <w:r w:rsidR="00D611C5" w:rsidRPr="000322E4">
        <w:rPr>
          <w:i/>
          <w:iCs/>
          <w:lang w:val="en-US"/>
        </w:rPr>
        <w:instrText>www</w:instrText>
      </w:r>
      <w:r w:rsidR="00D611C5" w:rsidRPr="000322E4">
        <w:rPr>
          <w:i/>
          <w:iCs/>
        </w:rPr>
        <w:instrText>.</w:instrText>
      </w:r>
      <w:r w:rsidR="00D611C5" w:rsidRPr="000322E4">
        <w:rPr>
          <w:i/>
          <w:iCs/>
          <w:lang w:val="en-US"/>
        </w:rPr>
        <w:instrText>mendeley</w:instrText>
      </w:r>
      <w:r w:rsidR="00D611C5" w:rsidRPr="000322E4">
        <w:rPr>
          <w:i/>
          <w:iCs/>
        </w:rPr>
        <w:instrText>.</w:instrText>
      </w:r>
      <w:r w:rsidR="00D611C5" w:rsidRPr="000322E4">
        <w:rPr>
          <w:i/>
          <w:iCs/>
          <w:lang w:val="en-US"/>
        </w:rPr>
        <w:instrText>com</w:instrText>
      </w:r>
      <w:r w:rsidR="00D611C5" w:rsidRPr="000322E4">
        <w:rPr>
          <w:i/>
          <w:iCs/>
        </w:rPr>
        <w:instrText>/</w:instrText>
      </w:r>
      <w:r w:rsidR="00D611C5" w:rsidRPr="000322E4">
        <w:rPr>
          <w:i/>
          <w:iCs/>
          <w:lang w:val="en-US"/>
        </w:rPr>
        <w:instrText>documents</w:instrText>
      </w:r>
      <w:r w:rsidR="00D611C5" w:rsidRPr="000322E4">
        <w:rPr>
          <w:i/>
          <w:iCs/>
        </w:rPr>
        <w:instrText>/?</w:instrText>
      </w:r>
      <w:r w:rsidR="00D611C5" w:rsidRPr="000322E4">
        <w:rPr>
          <w:i/>
          <w:iCs/>
          <w:lang w:val="en-US"/>
        </w:rPr>
        <w:instrText>uuid</w:instrText>
      </w:r>
      <w:r w:rsidR="00D611C5" w:rsidRPr="000322E4">
        <w:rPr>
          <w:i/>
          <w:iCs/>
        </w:rPr>
        <w:instrText>=6</w:instrText>
      </w:r>
      <w:r w:rsidR="00D611C5" w:rsidRPr="000322E4">
        <w:rPr>
          <w:i/>
          <w:iCs/>
          <w:lang w:val="en-US"/>
        </w:rPr>
        <w:instrText>c</w:instrText>
      </w:r>
      <w:r w:rsidR="00D611C5" w:rsidRPr="000322E4">
        <w:rPr>
          <w:i/>
          <w:iCs/>
        </w:rPr>
        <w:instrText>46</w:instrText>
      </w:r>
      <w:r w:rsidR="00D611C5" w:rsidRPr="000322E4">
        <w:rPr>
          <w:i/>
          <w:iCs/>
          <w:lang w:val="en-US"/>
        </w:rPr>
        <w:instrText>cd</w:instrText>
      </w:r>
      <w:r w:rsidR="00D611C5" w:rsidRPr="000322E4">
        <w:rPr>
          <w:i/>
          <w:iCs/>
        </w:rPr>
        <w:instrText>48-7</w:instrText>
      </w:r>
      <w:r w:rsidR="00D611C5" w:rsidRPr="000322E4">
        <w:rPr>
          <w:i/>
          <w:iCs/>
          <w:lang w:val="en-US"/>
        </w:rPr>
        <w:instrText>af</w:instrText>
      </w:r>
      <w:r w:rsidR="00D611C5" w:rsidRPr="000322E4">
        <w:rPr>
          <w:i/>
          <w:iCs/>
        </w:rPr>
        <w:instrText>0-4</w:instrText>
      </w:r>
      <w:r w:rsidR="00D611C5" w:rsidRPr="000322E4">
        <w:rPr>
          <w:i/>
          <w:iCs/>
          <w:lang w:val="en-US"/>
        </w:rPr>
        <w:instrText>ac</w:instrText>
      </w:r>
      <w:r w:rsidR="00D611C5" w:rsidRPr="000322E4">
        <w:rPr>
          <w:i/>
          <w:iCs/>
        </w:rPr>
        <w:instrText>2-8</w:instrText>
      </w:r>
      <w:r w:rsidR="00D611C5" w:rsidRPr="000322E4">
        <w:rPr>
          <w:i/>
          <w:iCs/>
          <w:lang w:val="en-US"/>
        </w:rPr>
        <w:instrText>eb</w:instrText>
      </w:r>
      <w:r w:rsidR="00D611C5" w:rsidRPr="000322E4">
        <w:rPr>
          <w:i/>
          <w:iCs/>
        </w:rPr>
        <w:instrText>1-93</w:instrText>
      </w:r>
      <w:r w:rsidR="00D611C5" w:rsidRPr="000322E4">
        <w:rPr>
          <w:i/>
          <w:iCs/>
          <w:lang w:val="en-US"/>
        </w:rPr>
        <w:instrText>f</w:instrText>
      </w:r>
      <w:r w:rsidR="00D611C5" w:rsidRPr="000322E4">
        <w:rPr>
          <w:i/>
          <w:iCs/>
        </w:rPr>
        <w:instrText>86718</w:instrText>
      </w:r>
      <w:r w:rsidR="00D611C5" w:rsidRPr="000322E4">
        <w:rPr>
          <w:i/>
          <w:iCs/>
          <w:lang w:val="en-US"/>
        </w:rPr>
        <w:instrText>c</w:instrText>
      </w:r>
      <w:r w:rsidR="00D611C5" w:rsidRPr="000322E4">
        <w:rPr>
          <w:i/>
          <w:iCs/>
        </w:rPr>
        <w:instrText>4</w:instrText>
      </w:r>
      <w:r w:rsidR="00D611C5" w:rsidRPr="000322E4">
        <w:rPr>
          <w:i/>
          <w:iCs/>
          <w:lang w:val="en-US"/>
        </w:rPr>
        <w:instrText>df</w:instrText>
      </w:r>
      <w:r w:rsidR="00D611C5" w:rsidRPr="000322E4">
        <w:rPr>
          <w:i/>
          <w:iCs/>
        </w:rPr>
        <w:instrText>"]}],"</w:instrText>
      </w:r>
      <w:r w:rsidR="00D611C5" w:rsidRPr="000322E4">
        <w:rPr>
          <w:i/>
          <w:iCs/>
          <w:lang w:val="en-US"/>
        </w:rPr>
        <w:instrText>mendeley</w:instrText>
      </w:r>
      <w:r w:rsidR="00D611C5" w:rsidRPr="000322E4">
        <w:rPr>
          <w:i/>
          <w:iCs/>
        </w:rPr>
        <w:instrText>":{"</w:instrText>
      </w:r>
      <w:r w:rsidR="00D611C5" w:rsidRPr="000322E4">
        <w:rPr>
          <w:i/>
          <w:iCs/>
          <w:lang w:val="en-US"/>
        </w:rPr>
        <w:instrText>formattedCitation</w:instrText>
      </w:r>
      <w:r w:rsidR="00D611C5" w:rsidRPr="000322E4">
        <w:rPr>
          <w:i/>
          <w:iCs/>
        </w:rPr>
        <w:instrText>":"[2]","</w:instrText>
      </w:r>
      <w:r w:rsidR="00D611C5" w:rsidRPr="000322E4">
        <w:rPr>
          <w:i/>
          <w:iCs/>
          <w:lang w:val="en-US"/>
        </w:rPr>
        <w:instrText>plainTextFormattedCitation</w:instrText>
      </w:r>
      <w:r w:rsidR="00D611C5" w:rsidRPr="000322E4">
        <w:rPr>
          <w:i/>
          <w:iCs/>
        </w:rPr>
        <w:instrText>":"[2]","</w:instrText>
      </w:r>
      <w:r w:rsidR="00D611C5" w:rsidRPr="000322E4">
        <w:rPr>
          <w:i/>
          <w:iCs/>
          <w:lang w:val="en-US"/>
        </w:rPr>
        <w:instrText>previouslyFormattedCitation</w:instrText>
      </w:r>
      <w:r w:rsidR="00D611C5" w:rsidRPr="000322E4">
        <w:rPr>
          <w:i/>
          <w:iCs/>
        </w:rPr>
        <w:instrText>":"[2]"},"</w:instrText>
      </w:r>
      <w:r w:rsidR="00D611C5" w:rsidRPr="000322E4">
        <w:rPr>
          <w:i/>
          <w:iCs/>
          <w:lang w:val="en-US"/>
        </w:rPr>
        <w:instrText>properties</w:instrText>
      </w:r>
      <w:r w:rsidR="00D611C5" w:rsidRPr="000322E4">
        <w:rPr>
          <w:i/>
          <w:iCs/>
        </w:rPr>
        <w:instrText>":{"</w:instrText>
      </w:r>
      <w:r w:rsidR="00D611C5" w:rsidRPr="000322E4">
        <w:rPr>
          <w:i/>
          <w:iCs/>
          <w:lang w:val="en-US"/>
        </w:rPr>
        <w:instrText>noteIndex</w:instrText>
      </w:r>
      <w:r w:rsidR="00D611C5" w:rsidRPr="000322E4">
        <w:rPr>
          <w:i/>
          <w:iCs/>
        </w:rPr>
        <w:instrText>":0},"</w:instrText>
      </w:r>
      <w:r w:rsidR="00D611C5" w:rsidRPr="000322E4">
        <w:rPr>
          <w:i/>
          <w:iCs/>
          <w:lang w:val="en-US"/>
        </w:rPr>
        <w:instrText>schema</w:instrText>
      </w:r>
      <w:r w:rsidR="00D611C5" w:rsidRPr="000322E4">
        <w:rPr>
          <w:i/>
          <w:iCs/>
        </w:rPr>
        <w:instrText>":"</w:instrText>
      </w:r>
      <w:r w:rsidR="00D611C5" w:rsidRPr="000322E4">
        <w:rPr>
          <w:i/>
          <w:iCs/>
          <w:lang w:val="en-US"/>
        </w:rPr>
        <w:instrText>https</w:instrText>
      </w:r>
      <w:r w:rsidR="00D611C5" w:rsidRPr="000322E4">
        <w:rPr>
          <w:i/>
          <w:iCs/>
        </w:rPr>
        <w:instrText>://</w:instrText>
      </w:r>
      <w:r w:rsidR="00D611C5" w:rsidRPr="000322E4">
        <w:rPr>
          <w:i/>
          <w:iCs/>
          <w:lang w:val="en-US"/>
        </w:rPr>
        <w:instrText>github</w:instrText>
      </w:r>
      <w:r w:rsidR="00D611C5" w:rsidRPr="000322E4">
        <w:rPr>
          <w:i/>
          <w:iCs/>
        </w:rPr>
        <w:instrText>.</w:instrText>
      </w:r>
      <w:r w:rsidR="00D611C5" w:rsidRPr="000322E4">
        <w:rPr>
          <w:i/>
          <w:iCs/>
          <w:lang w:val="en-US"/>
        </w:rPr>
        <w:instrText>com</w:instrText>
      </w:r>
      <w:r w:rsidR="00D611C5" w:rsidRPr="000322E4">
        <w:rPr>
          <w:i/>
          <w:iCs/>
        </w:rPr>
        <w:instrText>/</w:instrText>
      </w:r>
      <w:r w:rsidR="00D611C5" w:rsidRPr="000322E4">
        <w:rPr>
          <w:i/>
          <w:iCs/>
          <w:lang w:val="en-US"/>
        </w:rPr>
        <w:instrText>citation</w:instrText>
      </w:r>
      <w:r w:rsidR="00D611C5" w:rsidRPr="000322E4">
        <w:rPr>
          <w:i/>
          <w:iCs/>
        </w:rPr>
        <w:instrText>-</w:instrText>
      </w:r>
      <w:r w:rsidR="00D611C5" w:rsidRPr="000322E4">
        <w:rPr>
          <w:i/>
          <w:iCs/>
          <w:lang w:val="en-US"/>
        </w:rPr>
        <w:instrText>style</w:instrText>
      </w:r>
      <w:r w:rsidR="00D611C5" w:rsidRPr="000322E4">
        <w:rPr>
          <w:i/>
          <w:iCs/>
        </w:rPr>
        <w:instrText>-</w:instrText>
      </w:r>
      <w:r w:rsidR="00D611C5" w:rsidRPr="000322E4">
        <w:rPr>
          <w:i/>
          <w:iCs/>
          <w:lang w:val="en-US"/>
        </w:rPr>
        <w:instrText>language</w:instrText>
      </w:r>
      <w:r w:rsidR="00D611C5" w:rsidRPr="000322E4">
        <w:rPr>
          <w:i/>
          <w:iCs/>
        </w:rPr>
        <w:instrText>/</w:instrText>
      </w:r>
      <w:r w:rsidR="00D611C5" w:rsidRPr="000322E4">
        <w:rPr>
          <w:i/>
          <w:iCs/>
          <w:lang w:val="en-US"/>
        </w:rPr>
        <w:instrText>schema</w:instrText>
      </w:r>
      <w:r w:rsidR="00D611C5" w:rsidRPr="000322E4">
        <w:rPr>
          <w:i/>
          <w:iCs/>
        </w:rPr>
        <w:instrText>/</w:instrText>
      </w:r>
      <w:r w:rsidR="00D611C5" w:rsidRPr="000322E4">
        <w:rPr>
          <w:i/>
          <w:iCs/>
          <w:lang w:val="en-US"/>
        </w:rPr>
        <w:instrText>raw</w:instrText>
      </w:r>
      <w:r w:rsidR="00D611C5" w:rsidRPr="000322E4">
        <w:rPr>
          <w:i/>
          <w:iCs/>
        </w:rPr>
        <w:instrText>/</w:instrText>
      </w:r>
      <w:r w:rsidR="00D611C5" w:rsidRPr="000322E4">
        <w:rPr>
          <w:i/>
          <w:iCs/>
          <w:lang w:val="en-US"/>
        </w:rPr>
        <w:instrText>master</w:instrText>
      </w:r>
      <w:r w:rsidR="00D611C5" w:rsidRPr="000322E4">
        <w:rPr>
          <w:i/>
          <w:iCs/>
        </w:rPr>
        <w:instrText>/</w:instrText>
      </w:r>
      <w:r w:rsidR="00D611C5" w:rsidRPr="000322E4">
        <w:rPr>
          <w:i/>
          <w:iCs/>
          <w:lang w:val="en-US"/>
        </w:rPr>
        <w:instrText>csl</w:instrText>
      </w:r>
      <w:r w:rsidR="00D611C5" w:rsidRPr="000322E4">
        <w:rPr>
          <w:i/>
          <w:iCs/>
        </w:rPr>
        <w:instrText>-</w:instrText>
      </w:r>
      <w:r w:rsidR="00D611C5" w:rsidRPr="000322E4">
        <w:rPr>
          <w:i/>
          <w:iCs/>
          <w:lang w:val="en-US"/>
        </w:rPr>
        <w:instrText>citation</w:instrText>
      </w:r>
      <w:r w:rsidR="00D611C5" w:rsidRPr="000322E4">
        <w:rPr>
          <w:i/>
          <w:iCs/>
        </w:rPr>
        <w:instrText>.</w:instrText>
      </w:r>
      <w:r w:rsidR="00D611C5" w:rsidRPr="000322E4">
        <w:rPr>
          <w:i/>
          <w:iCs/>
          <w:lang w:val="en-US"/>
        </w:rPr>
        <w:instrText>json</w:instrText>
      </w:r>
      <w:r w:rsidR="00D611C5" w:rsidRPr="000322E4">
        <w:rPr>
          <w:i/>
          <w:iCs/>
        </w:rPr>
        <w:instrText>"}</w:instrText>
      </w:r>
      <w:r w:rsidRPr="000322E4">
        <w:rPr>
          <w:i/>
          <w:iCs/>
          <w:lang w:val="en-US"/>
        </w:rPr>
        <w:fldChar w:fldCharType="separate"/>
      </w:r>
      <w:r w:rsidRPr="000322E4">
        <w:rPr>
          <w:iCs/>
          <w:noProof/>
        </w:rPr>
        <w:t>[2]</w:t>
      </w:r>
      <w:r w:rsidRPr="000322E4">
        <w:rPr>
          <w:i/>
          <w:iCs/>
          <w:lang w:val="en-US"/>
        </w:rPr>
        <w:fldChar w:fldCharType="end"/>
      </w:r>
      <w:r w:rsidRPr="000322E4">
        <w:rPr>
          <w:i/>
          <w:iCs/>
        </w:rPr>
        <w:t>.</w:t>
      </w:r>
    </w:p>
    <w:p w14:paraId="358A920C" w14:textId="77777777" w:rsidR="00E136D2" w:rsidRPr="000322E4" w:rsidRDefault="000718D1" w:rsidP="00CA442F">
      <w:pPr>
        <w:tabs>
          <w:tab w:val="left" w:pos="709"/>
        </w:tabs>
        <w:ind w:firstLine="709"/>
      </w:pPr>
      <w:r w:rsidRPr="000322E4">
        <w:rPr>
          <w:i/>
          <w:iCs/>
        </w:rPr>
        <w:t xml:space="preserve">Диагноз ПЛЦНС устанавливается на основании биопсии (открытой или с использованием стереотаксической техники) и исследования </w:t>
      </w:r>
      <w:r w:rsidR="00E0494A" w:rsidRPr="000322E4">
        <w:rPr>
          <w:i/>
          <w:iCs/>
        </w:rPr>
        <w:t>спинномозговой жидкости</w:t>
      </w:r>
      <w:r w:rsidRPr="000322E4">
        <w:rPr>
          <w:i/>
          <w:iCs/>
        </w:rPr>
        <w:t xml:space="preserve"> (</w:t>
      </w:r>
      <w:r w:rsidR="002667AE" w:rsidRPr="000322E4">
        <w:rPr>
          <w:i/>
          <w:iCs/>
        </w:rPr>
        <w:t xml:space="preserve">общий </w:t>
      </w:r>
      <w:r w:rsidR="00E0494A" w:rsidRPr="000322E4">
        <w:rPr>
          <w:i/>
          <w:iCs/>
        </w:rPr>
        <w:t>(клинический) анализ спинномозговой жидкости</w:t>
      </w:r>
      <w:r w:rsidRPr="000322E4">
        <w:rPr>
          <w:i/>
          <w:iCs/>
        </w:rPr>
        <w:t xml:space="preserve">, </w:t>
      </w:r>
      <w:r w:rsidR="00E0494A" w:rsidRPr="000322E4">
        <w:rPr>
          <w:i/>
          <w:iCs/>
        </w:rPr>
        <w:t>цитологическое исследование клеток спинномозговой жидкости</w:t>
      </w:r>
      <w:r w:rsidR="002667AE" w:rsidRPr="000322E4">
        <w:rPr>
          <w:i/>
          <w:iCs/>
        </w:rPr>
        <w:t>, исследование биологического материала (спинномозговой жидкости) методом проточной цитофлуориметрии</w:t>
      </w:r>
      <w:r w:rsidRPr="000322E4">
        <w:rPr>
          <w:i/>
          <w:iCs/>
        </w:rPr>
        <w:t>).   При отсутствии возможности выполнения биопсии опухоли диагноз может быть установлен</w:t>
      </w:r>
      <w:r w:rsidR="002667AE" w:rsidRPr="000322E4">
        <w:rPr>
          <w:i/>
          <w:iCs/>
        </w:rPr>
        <w:t xml:space="preserve"> только</w:t>
      </w:r>
      <w:r w:rsidRPr="000322E4">
        <w:rPr>
          <w:i/>
          <w:iCs/>
        </w:rPr>
        <w:t xml:space="preserve"> на основании</w:t>
      </w:r>
      <w:r w:rsidR="002667AE" w:rsidRPr="000322E4">
        <w:rPr>
          <w:i/>
          <w:iCs/>
        </w:rPr>
        <w:t xml:space="preserve"> результатов исследования </w:t>
      </w:r>
      <w:r w:rsidRPr="000322E4">
        <w:rPr>
          <w:i/>
          <w:iCs/>
        </w:rPr>
        <w:t xml:space="preserve"> </w:t>
      </w:r>
      <w:r w:rsidR="002667AE" w:rsidRPr="000322E4">
        <w:rPr>
          <w:i/>
          <w:iCs/>
        </w:rPr>
        <w:t>биологического материала (спинномозговой жидкости) методом проточной цитофлуориметрии</w:t>
      </w:r>
      <w:r w:rsidRPr="000322E4">
        <w:rPr>
          <w:i/>
          <w:iCs/>
        </w:rPr>
        <w:t xml:space="preserve"> </w:t>
      </w:r>
      <w:r w:rsidRPr="000322E4">
        <w:rPr>
          <w:i/>
          <w:iCs/>
        </w:rPr>
        <w:fldChar w:fldCharType="begin" w:fldLock="1"/>
      </w:r>
      <w:r w:rsidR="00DA1F72" w:rsidRPr="000322E4">
        <w:rPr>
          <w:i/>
          <w:iCs/>
        </w:rPr>
        <w:instrText>ADDIN CSL_CITATION {"citationItems":[{"id":"ITEM-1","itemData":{"DOI":"10.1200/JCO.2017.72.7602","ISSN":"15277755","PMID":"28640701","abstract":"Primary CNS lymphoma (PCNSL) is a rare form of extranodal non-Hodgkin lymphoma that is typically confined to the brain, eyes, and cerebrospinal fluid without evidence of systemic spread. The prognosis of patients with PCNSL has improved during the last decades with the introduction of high-dose methotrexate. However, despite recent progress, results after treatment are durable in half of patients, and therapy can be associated with late neurotoxicity. PCNSL is an uncommon tumor, and only four randomized trials and one phase III trial have been completed so far, all in the first-line setting. To our knowledge, no randomized trial has been conducted for recurrent/refractory disease, leaving many questions unanswered about optimal first-line and salvage treatments. This review will give an overview of the presentation, evaluation, and treatment of immunocompetent patients with PCNSL.","author":[{"dropping-particle":"","family":"Grommes","given":"Christian","non-dropping-particle":"","parse-names":false,"suffix":""},{"dropping-particle":"","family":"DeAngelis","given":"Lisa M.","non-dropping-particle":"","parse-names":false,"suffix":""}],"container-title":"Journal of Clinical Oncology","id":"ITEM-1","issue":"21","issued":{"date-parts":[["2017","7","20"]]},"page":"2410-2418","publisher":"American Society of Clinical Oncology","title":"Primary CNS lymphoma","type":"article","volume":"35"},"uris":["http://www.mendeley.com/documents/?uuid=182c350d-ad17-3bb3-bec5-d0f20d4b7264"]}],"mendeley":{"formattedCitation":"[16]","plainTextFormattedCitation":"[16]","previouslyFormattedCitation":"[16]"},"properties":{"noteIndex":0},"schema":"https://github.com/citation-style-language/schema/raw/master/csl-citation.json"}</w:instrText>
      </w:r>
      <w:r w:rsidRPr="000322E4">
        <w:rPr>
          <w:i/>
          <w:iCs/>
        </w:rPr>
        <w:fldChar w:fldCharType="separate"/>
      </w:r>
      <w:r w:rsidR="00DA1F72" w:rsidRPr="000322E4">
        <w:rPr>
          <w:iCs/>
          <w:noProof/>
        </w:rPr>
        <w:t>[16]</w:t>
      </w:r>
      <w:r w:rsidRPr="000322E4">
        <w:rPr>
          <w:i/>
          <w:iCs/>
        </w:rPr>
        <w:fldChar w:fldCharType="end"/>
      </w:r>
      <w:r w:rsidRPr="000322E4">
        <w:rPr>
          <w:i/>
          <w:iCs/>
        </w:rPr>
        <w:t>.</w:t>
      </w:r>
      <w:bookmarkStart w:id="20" w:name="_Toc469402336"/>
      <w:bookmarkStart w:id="21" w:name="_Toc468273531"/>
      <w:bookmarkStart w:id="22" w:name="_Toc468273449"/>
      <w:bookmarkEnd w:id="20"/>
      <w:bookmarkEnd w:id="21"/>
      <w:bookmarkEnd w:id="22"/>
    </w:p>
    <w:p w14:paraId="201197C6" w14:textId="77777777" w:rsidR="00B46390" w:rsidRPr="000322E4" w:rsidRDefault="00B46390" w:rsidP="00CA442F">
      <w:pPr>
        <w:pStyle w:val="2"/>
        <w:spacing w:before="0"/>
        <w:divId w:val="266810958"/>
      </w:pPr>
      <w:bookmarkStart w:id="23" w:name="_Toc66096817"/>
      <w:r w:rsidRPr="000322E4">
        <w:t>2.1 Жалобы и анамнез</w:t>
      </w:r>
      <w:bookmarkEnd w:id="23"/>
    </w:p>
    <w:p w14:paraId="5DF8505C" w14:textId="77777777" w:rsidR="00E136D2" w:rsidRPr="000322E4" w:rsidRDefault="005A50FB" w:rsidP="00CA442F">
      <w:pPr>
        <w:pStyle w:val="afff8"/>
        <w:spacing w:before="0"/>
        <w:divId w:val="266810958"/>
      </w:pPr>
      <w:r w:rsidRPr="000322E4">
        <w:lastRenderedPageBreak/>
        <w:t xml:space="preserve">Всем пациентам с подозрением на </w:t>
      </w:r>
      <w:r w:rsidR="00685BEC" w:rsidRPr="000322E4">
        <w:t>ДВКЛ</w:t>
      </w:r>
      <w:r w:rsidR="009B70C4" w:rsidRPr="000322E4">
        <w:t>, ПМВКЛ или ЛБ</w:t>
      </w:r>
      <w:r w:rsidRPr="000322E4">
        <w:t xml:space="preserve">, а также всем пациентам с верифицированной  </w:t>
      </w:r>
      <w:r w:rsidR="00685BEC" w:rsidRPr="000322E4">
        <w:t>ДВКЛ</w:t>
      </w:r>
      <w:r w:rsidR="009B70C4" w:rsidRPr="000322E4">
        <w:t>, ПМВКЛ или ЛБ</w:t>
      </w:r>
      <w:r w:rsidRPr="000322E4">
        <w:t xml:space="preserve"> </w:t>
      </w:r>
      <w:r w:rsidR="00D17164" w:rsidRPr="000322E4">
        <w:t>при каждом приеме (осмотре, консультации) врача-</w:t>
      </w:r>
      <w:r w:rsidR="00C51648" w:rsidRPr="000322E4">
        <w:t>онколога или врача-</w:t>
      </w:r>
      <w:r w:rsidR="00D17164" w:rsidRPr="000322E4">
        <w:t>гематолога</w:t>
      </w:r>
      <w:r w:rsidR="00E136D2" w:rsidRPr="000322E4">
        <w:t xml:space="preserve"> </w:t>
      </w:r>
      <w:r w:rsidR="00E136D2" w:rsidRPr="000322E4">
        <w:rPr>
          <w:b/>
        </w:rPr>
        <w:t>рекомендуется</w:t>
      </w:r>
      <w:r w:rsidR="00E136D2" w:rsidRPr="000322E4">
        <w:t xml:space="preserve"> сбор </w:t>
      </w:r>
      <w:r w:rsidR="00C51648" w:rsidRPr="000322E4">
        <w:t xml:space="preserve">жалоб и </w:t>
      </w:r>
      <w:r w:rsidR="00E136D2" w:rsidRPr="000322E4">
        <w:t>анамнеза при заболеваниях органов кроветворения и крови</w:t>
      </w:r>
      <w:r w:rsidRPr="000322E4">
        <w:t xml:space="preserve"> для оценки состояния пациента, а также для установления факторов, которые могут оказать влияние на определение лечебной тактики пациента </w:t>
      </w:r>
      <w:r w:rsidRPr="000322E4">
        <w:fldChar w:fldCharType="begin" w:fldLock="1"/>
      </w:r>
      <w:r w:rsidR="00C51648" w:rsidRPr="000322E4">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author":[{"dropping-particle":"","family":"Тумян","given":"Г.С.","non-dropping-particle":"","parse-names":false,"suffix":""},{"dropping-particle":"","family":"Кравченко","given":"С.К.","non-dropping-particle":"","parse-names":false,"suffix":""},{"dropping-particle":"","family":"Михайлова","given":"Н.Б.","non-dropping-particle":"","parse-names":false,"suffix":""},{"dropping-particle":"","family":"Барях","given":"Е.А.","non-dropping-particle":"","parse-names":false,"suffix":""},{"dropping-particle":"","family":"Птушкин","given":"В.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Савченко.","id":"ITEM-2","issued":{"date-parts":[["2018"]]},"page":"58-68","title":"Диффузная В-клеточная крупноклеточная лимфома","type":"chapter"},"uris":["http://www.mendeley.com/documents/?uuid=cb7114f7-4655-4733-8df2-526cc4e32730"]},{"id":"ITEM-3","itemData":{"DOI":"10.1093/annonc/mdv304","ISSN":"1569-8041","PMID":"26314773","author":[{"dropping-particle":"","family":"Tilly","given":"H","non-dropping-particle":"","parse-names":false,"suffix":""},{"dropping-particle":"","family":"Gomes da Silva","given":"M","non-dropping-particle":"","parse-names":false,"suffix":""},{"dropping-particle":"","family":"Vitolo","given":"U","non-dropping-particle":"","parse-names":false,"suffix":""},{"dropping-particle":"","family":"Jack","given":"A","non-dropping-particle":"","parse-names":false,"suffix":""},{"dropping-particle":"","family":"Meignan","given":"M","non-dropping-particle":"","parse-names":false,"suffix":""},{"dropping-particle":"","family":"Lopez-Guillermo","given":"A","non-dropping-particle":"","parse-names":false,"suffix":""},{"dropping-particle":"","family":"Walewski","given":"J","non-dropping-particle":"","parse-names":false,"suffix":""},{"dropping-particle":"","family":"André","given":"M","non-dropping-particle":"","parse-names":false,"suffix":""},{"dropping-particle":"","family":"Johnson","given":"P W","non-dropping-particle":"","parse-names":false,"suffix":""},{"dropping-particle":"","family":"Pfreundschuh","given":"M","non-dropping-particle":"","parse-names":false,"suffix":""},{"dropping-particle":"","family":"Ladetto","given":"M","non-dropping-particle":"","parse-names":false,"suffix":""},{"dropping-particle":"","family":"ESMO Guidelines Committee","given":"","non-dropping-particle":"","parse-names":false,"suffix":""}],"container-title":"Annals of oncology : official journal of the European Society for Medical Oncology","id":"ITEM-3","issued":{"date-parts":[["2015","9"]]},"page":"v116-25","title":"Diffuse large B-cell lymphoma (DLBCL): ESMO Clinical Practice Guidelines for diagnosis, treatment and follow-up.","type":"article-journal","volume":"26 Suppl 5"},"uris":["http://www.mendeley.com/documents/?uuid=1697b7a7-5190-39af-8155-3d2b075b5466"]},{"id":"ITEM-4","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Савченко.","id":"ITEM-4","issued":{"date-parts":[["2018"]]},"page":"80-87","title":"Лимфома Беркитта","type":"chapter"},"uris":["http://www.mendeley.com/documents/?uuid=6c46cd48-7af0-4ac2-8eb1-93f86718c4df"]}],"mendeley":{"formattedCitation":"[2,11,17,18]","plainTextFormattedCitation":"[2,11,17,18]","previouslyFormattedCitation":"[2,11,17,18]"},"properties":{"noteIndex":0},"schema":"https://github.com/citation-style-language/schema/raw/master/csl-citation.json"}</w:instrText>
      </w:r>
      <w:r w:rsidRPr="000322E4">
        <w:fldChar w:fldCharType="separate"/>
      </w:r>
      <w:r w:rsidR="00C51648" w:rsidRPr="000322E4">
        <w:rPr>
          <w:noProof/>
        </w:rPr>
        <w:t>[2,11,17,18]</w:t>
      </w:r>
      <w:r w:rsidRPr="000322E4">
        <w:fldChar w:fldCharType="end"/>
      </w:r>
      <w:r w:rsidR="00E136D2" w:rsidRPr="000322E4">
        <w:t>.</w:t>
      </w:r>
    </w:p>
    <w:p w14:paraId="1A2FB390" w14:textId="77777777" w:rsidR="00E136D2" w:rsidRPr="000322E4" w:rsidRDefault="00E136D2" w:rsidP="00CA442F">
      <w:pPr>
        <w:ind w:left="709"/>
        <w:contextualSpacing/>
        <w:divId w:val="266810958"/>
        <w:rPr>
          <w:b/>
        </w:rPr>
      </w:pPr>
      <w:r w:rsidRPr="000322E4">
        <w:rPr>
          <w:b/>
        </w:rPr>
        <w:t>Уровень убедительности рекомендаций С (уровень достоверности доказательств 5).</w:t>
      </w:r>
    </w:p>
    <w:p w14:paraId="3308627F" w14:textId="77777777" w:rsidR="00E136D2" w:rsidRPr="000322E4" w:rsidRDefault="00E136D2" w:rsidP="00CA442F">
      <w:pPr>
        <w:ind w:left="709"/>
        <w:contextualSpacing/>
        <w:divId w:val="266810958"/>
        <w:rPr>
          <w:i/>
        </w:rPr>
      </w:pPr>
      <w:r w:rsidRPr="000322E4">
        <w:rPr>
          <w:b/>
        </w:rPr>
        <w:t>Комментарии:</w:t>
      </w:r>
      <w:r w:rsidRPr="000322E4">
        <w:t xml:space="preserve"> </w:t>
      </w:r>
      <w:r w:rsidR="00D476E4" w:rsidRPr="000322E4">
        <w:rPr>
          <w:i/>
        </w:rPr>
        <w:t>жалобы неспецифичны и определяются первичной локализацией, скоростью и распространенностью опухоли, могут присутст</w:t>
      </w:r>
      <w:r w:rsidR="00D476E4" w:rsidRPr="000322E4">
        <w:rPr>
          <w:i/>
        </w:rPr>
        <w:softHyphen/>
        <w:t>вовать любые жалобы, связанные с вовлечением/нарушением функции органов и тканей. При сборе жалоб особое внимание необходимо уделить выявлению неспецифических симптомов интоксикации (температуры тела &gt;38°С 3 дня и более без признаков воспаления, ночных профузных потов; похудания на 10 % массы тела за последние 6 мес.).</w:t>
      </w:r>
      <w:r w:rsidR="00D476E4" w:rsidRPr="000322E4">
        <w:t xml:space="preserve"> При </w:t>
      </w:r>
      <w:r w:rsidR="00D476E4" w:rsidRPr="000322E4">
        <w:rPr>
          <w:i/>
        </w:rPr>
        <w:t>ПЛЦНС в большинстве случаев наблюдаются жалобы, связанные с общемозговой (головная боль, тошнота, рвота) или очаговой неврологической симптоматикой. Учитывая агрессивный характер опухоли, анамнез заболевания, как правило, короткий</w:t>
      </w:r>
      <w:r w:rsidRPr="000322E4">
        <w:rPr>
          <w:i/>
        </w:rPr>
        <w:t xml:space="preserve">. </w:t>
      </w:r>
    </w:p>
    <w:p w14:paraId="63B76B0A" w14:textId="77777777" w:rsidR="00B46390" w:rsidRPr="000322E4" w:rsidRDefault="00B46390" w:rsidP="00CA442F">
      <w:pPr>
        <w:pStyle w:val="2"/>
        <w:spacing w:before="0"/>
        <w:divId w:val="266810958"/>
      </w:pPr>
      <w:bookmarkStart w:id="24" w:name="_Toc66096818"/>
      <w:r w:rsidRPr="000322E4">
        <w:t>2.2 Физикальное обследование</w:t>
      </w:r>
      <w:bookmarkEnd w:id="24"/>
    </w:p>
    <w:p w14:paraId="0E9254B9" w14:textId="77777777" w:rsidR="0052462B" w:rsidRPr="000322E4" w:rsidRDefault="005A50FB" w:rsidP="00CA442F">
      <w:pPr>
        <w:pStyle w:val="afff8"/>
        <w:spacing w:before="0"/>
        <w:divId w:val="266810958"/>
      </w:pPr>
      <w:r w:rsidRPr="000322E4">
        <w:t xml:space="preserve">Всем пациентам с подозрением на </w:t>
      </w:r>
      <w:r w:rsidR="00D476E4" w:rsidRPr="000322E4">
        <w:t>ДВКЛ</w:t>
      </w:r>
      <w:r w:rsidR="009B70C4" w:rsidRPr="000322E4">
        <w:t>, ПМВКЛ или ЛБ</w:t>
      </w:r>
      <w:r w:rsidRPr="000322E4">
        <w:t xml:space="preserve">, или с выявленной </w:t>
      </w:r>
      <w:r w:rsidR="00D476E4" w:rsidRPr="000322E4">
        <w:t>ДВКЛ</w:t>
      </w:r>
      <w:r w:rsidR="009B70C4" w:rsidRPr="000322E4">
        <w:t>, ПМВКЛ или ЛБ</w:t>
      </w:r>
      <w:r w:rsidRPr="000322E4">
        <w:t>, при первичном или повторном приеме, при контрольных обследованиях и при подозрении на рецидив/прогрессирование заболевания</w:t>
      </w:r>
      <w:r w:rsidR="0052462B" w:rsidRPr="000322E4">
        <w:t xml:space="preserve"> </w:t>
      </w:r>
      <w:r w:rsidR="0052462B" w:rsidRPr="000322E4">
        <w:rPr>
          <w:b/>
          <w:bCs/>
        </w:rPr>
        <w:t>рекомендуется</w:t>
      </w:r>
      <w:r w:rsidR="0052462B" w:rsidRPr="000322E4">
        <w:t xml:space="preserve"> </w:t>
      </w:r>
      <w:bookmarkStart w:id="25" w:name="_Hlk532293045"/>
      <w:r w:rsidR="0052462B" w:rsidRPr="000322E4">
        <w:t>выполнение визуального осмотра терапевтического, пальпации терапевтической и аускультации терапевтической</w:t>
      </w:r>
      <w:bookmarkEnd w:id="25"/>
      <w:r w:rsidR="0052462B" w:rsidRPr="000322E4">
        <w:t xml:space="preserve"> для </w:t>
      </w:r>
      <w:r w:rsidRPr="000322E4">
        <w:t>уточнения распространенности заболевания и оценки состояния пациента по органам и системам</w:t>
      </w:r>
      <w:r w:rsidR="00C51648" w:rsidRPr="000322E4">
        <w:t xml:space="preserve"> </w:t>
      </w:r>
      <w:r w:rsidR="00C51648" w:rsidRPr="000322E4">
        <w:fldChar w:fldCharType="begin" w:fldLock="1"/>
      </w:r>
      <w:r w:rsidR="00C51648" w:rsidRPr="000322E4">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author":[{"dropping-particle":"","family":"Тумян","given":"Г.С.","non-dropping-particle":"","parse-names":false,"suffix":""},{"dropping-particle":"","family":"Кравченко","given":"С.К.","non-dropping-particle":"","parse-names":false,"suffix":""},{"dropping-particle":"","family":"Михайлова","given":"Н.Б.","non-dropping-particle":"","parse-names":false,"suffix":""},{"dropping-particle":"","family":"Барях","given":"Е.А.","non-dropping-particle":"","parse-names":false,"suffix":""},{"dropping-particle":"","family":"Птушкин","given":"В.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Савченко.","id":"ITEM-2","issued":{"date-parts":[["2018"]]},"page":"58-68","title":"Диффузная В-клеточная крупноклеточная лимфома","type":"chapter"},"uris":["http://www.mendeley.com/documents/?uuid=cb7114f7-4655-4733-8df2-526cc4e32730"]},{"id":"ITEM-3","itemData":{"DOI":"10.1093/annonc/mdv304","ISSN":"1569-8041","PMID":"26314773","author":[{"dropping-particle":"","family":"Tilly","given":"H","non-dropping-particle":"","parse-names":false,"suffix":""},{"dropping-particle":"","family":"Gomes da Silva","given":"M","non-dropping-particle":"","parse-names":false,"suffix":""},{"dropping-particle":"","family":"Vitolo","given":"U","non-dropping-particle":"","parse-names":false,"suffix":""},{"dropping-particle":"","family":"Jack","given":"A","non-dropping-particle":"","parse-names":false,"suffix":""},{"dropping-particle":"","family":"Meignan","given":"M","non-dropping-particle":"","parse-names":false,"suffix":""},{"dropping-particle":"","family":"Lopez-Guillermo","given":"A","non-dropping-particle":"","parse-names":false,"suffix":""},{"dropping-particle":"","family":"Walewski","given":"J","non-dropping-particle":"","parse-names":false,"suffix":""},{"dropping-particle":"","family":"André","given":"M","non-dropping-particle":"","parse-names":false,"suffix":""},{"dropping-particle":"","family":"Johnson","given":"P W","non-dropping-particle":"","parse-names":false,"suffix":""},{"dropping-particle":"","family":"Pfreundschuh","given":"M","non-dropping-particle":"","parse-names":false,"suffix":""},{"dropping-particle":"","family":"Ladetto","given":"M","non-dropping-particle":"","parse-names":false,"suffix":""},{"dropping-particle":"","family":"ESMO Guidelines Committee","given":"","non-dropping-particle":"","parse-names":false,"suffix":""}],"container-title":"Annals of oncology : official journal of the European Society for Medical Oncology","id":"ITEM-3","issued":{"date-parts":[["2015","9"]]},"page":"v116-25","title":"Diffuse large B-cell lymphoma (DLBCL): ESMO Clinical Practice Guidelines for diagnosis, treatment and follow-up.","type":"article-journal","volume":"26 Suppl 5"},"uris":["http://www.mendeley.com/documents/?uuid=1697b7a7-5190-39af-8155-3d2b075b5466"]},{"id":"ITEM-4","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Савченко.","id":"ITEM-4","issued":{"date-parts":[["2018"]]},"page":"80-87","title":"Лимфома Беркитта","type":"chapter"},"uris":["http://www.mendeley.com/documents/?uuid=6c46cd48-7af0-4ac2-8eb1-93f86718c4df"]}],"mendeley":{"formattedCitation":"[2,11,17,18]","plainTextFormattedCitation":"[2,11,17,18]","previouslyFormattedCitation":"[2,11,17,18]"},"properties":{"noteIndex":0},"schema":"https://github.com/citation-style-language/schema/raw/master/csl-citation.json"}</w:instrText>
      </w:r>
      <w:r w:rsidR="00C51648" w:rsidRPr="000322E4">
        <w:fldChar w:fldCharType="separate"/>
      </w:r>
      <w:r w:rsidR="00C51648" w:rsidRPr="000322E4">
        <w:rPr>
          <w:noProof/>
        </w:rPr>
        <w:t>[2,11,17,18]</w:t>
      </w:r>
      <w:r w:rsidR="00C51648" w:rsidRPr="000322E4">
        <w:fldChar w:fldCharType="end"/>
      </w:r>
      <w:r w:rsidR="0052462B" w:rsidRPr="000322E4">
        <w:t>.</w:t>
      </w:r>
    </w:p>
    <w:p w14:paraId="1EC8FAE0" w14:textId="77777777" w:rsidR="0052462B" w:rsidRPr="000322E4" w:rsidRDefault="0052462B" w:rsidP="00CA442F">
      <w:pPr>
        <w:ind w:left="709"/>
        <w:contextualSpacing/>
        <w:divId w:val="266810958"/>
        <w:rPr>
          <w:b/>
        </w:rPr>
      </w:pPr>
      <w:r w:rsidRPr="000322E4">
        <w:rPr>
          <w:b/>
        </w:rPr>
        <w:t>Уровень убедительности рекомендаций С (уровень достоверности доказательств 5)</w:t>
      </w:r>
    </w:p>
    <w:p w14:paraId="1F4D29A9" w14:textId="77777777" w:rsidR="0052462B" w:rsidRPr="000322E4" w:rsidRDefault="0052462B" w:rsidP="00CA442F">
      <w:pPr>
        <w:ind w:left="709"/>
        <w:contextualSpacing/>
        <w:divId w:val="266810958"/>
        <w:rPr>
          <w:i/>
        </w:rPr>
      </w:pPr>
      <w:r w:rsidRPr="000322E4">
        <w:rPr>
          <w:b/>
        </w:rPr>
        <w:t xml:space="preserve">Комментарий: </w:t>
      </w:r>
      <w:bookmarkStart w:id="26" w:name="_Hlk532293146"/>
      <w:r w:rsidRPr="000322E4">
        <w:rPr>
          <w:i/>
        </w:rPr>
        <w:t xml:space="preserve">при осмотре необходимо оценить общее состояние пациента по шкале </w:t>
      </w:r>
      <w:r w:rsidRPr="000322E4">
        <w:rPr>
          <w:i/>
          <w:lang w:val="en-US"/>
        </w:rPr>
        <w:t>ECOG</w:t>
      </w:r>
      <w:r w:rsidRPr="000322E4">
        <w:rPr>
          <w:i/>
        </w:rPr>
        <w:t xml:space="preserve"> (см. приложение Г</w:t>
      </w:r>
      <w:r w:rsidR="005D0A68" w:rsidRPr="000322E4">
        <w:rPr>
          <w:i/>
        </w:rPr>
        <w:t>1</w:t>
      </w:r>
      <w:r w:rsidRPr="000322E4">
        <w:rPr>
          <w:i/>
        </w:rPr>
        <w:t>), а также осмотреть кожные покровы, миндалины и полость рта; пальпация должна включать в себя пальпацию всех доступных групп периферических лимфатических узлов, печени, селезенки.</w:t>
      </w:r>
      <w:bookmarkEnd w:id="26"/>
    </w:p>
    <w:p w14:paraId="6E43FA67" w14:textId="77777777" w:rsidR="00094ED6" w:rsidRPr="000322E4" w:rsidRDefault="00B46390" w:rsidP="00CA442F">
      <w:pPr>
        <w:pStyle w:val="2"/>
        <w:spacing w:before="0"/>
        <w:divId w:val="266810958"/>
      </w:pPr>
      <w:bookmarkStart w:id="27" w:name="_Toc66096819"/>
      <w:r w:rsidRPr="000322E4">
        <w:t>2.3 Лабораторн</w:t>
      </w:r>
      <w:r w:rsidR="00A70F44" w:rsidRPr="000322E4">
        <w:t>ые диагностические исследования</w:t>
      </w:r>
      <w:bookmarkEnd w:id="27"/>
    </w:p>
    <w:p w14:paraId="40EA4298" w14:textId="77777777" w:rsidR="0052462B" w:rsidRPr="000322E4" w:rsidRDefault="0052462B" w:rsidP="00CA442F">
      <w:pPr>
        <w:pStyle w:val="afe"/>
        <w:numPr>
          <w:ilvl w:val="0"/>
          <w:numId w:val="5"/>
        </w:numPr>
        <w:ind w:left="709" w:hanging="709"/>
        <w:divId w:val="266810958"/>
      </w:pPr>
      <w:r w:rsidRPr="000322E4">
        <w:t xml:space="preserve">Всем пациентам с подозрением на </w:t>
      </w:r>
      <w:r w:rsidR="00D476E4" w:rsidRPr="000322E4">
        <w:t>ДВКЛ</w:t>
      </w:r>
      <w:r w:rsidR="009B70C4" w:rsidRPr="000322E4">
        <w:t>, ПМВКЛ или ЛБ</w:t>
      </w:r>
      <w:r w:rsidRPr="000322E4">
        <w:t xml:space="preserve"> или выявленной </w:t>
      </w:r>
      <w:r w:rsidR="00D476E4" w:rsidRPr="000322E4">
        <w:t>ДВКЛ</w:t>
      </w:r>
      <w:r w:rsidR="009B70C4" w:rsidRPr="000322E4">
        <w:t>, ПМВКЛ или ЛБ</w:t>
      </w:r>
      <w:r w:rsidRPr="000322E4">
        <w:t xml:space="preserve"> при первичном или повторном приеме, после завершения каждого </w:t>
      </w:r>
      <w:r w:rsidRPr="000322E4">
        <w:lastRenderedPageBreak/>
        <w:t xml:space="preserve">цикла терапии и перед началом каждого нового цикла терапии, при оценке ремиссии после завершения терапии, при контрольных обследованиях, и при подозрении на рецидив заболевания </w:t>
      </w:r>
      <w:r w:rsidRPr="000322E4">
        <w:rPr>
          <w:b/>
        </w:rPr>
        <w:t>рекомендуется</w:t>
      </w:r>
      <w:r w:rsidRPr="000322E4">
        <w:t xml:space="preserve"> для уточнения состояния пациента, планирования терапевтической тактики и определения необходимости ее модификации, а также для определения потребности в сопутствующей и сопроводительной терапии выполнить следующие диагностические исследования </w:t>
      </w:r>
      <w:r w:rsidRPr="000322E4">
        <w:fldChar w:fldCharType="begin" w:fldLock="1"/>
      </w:r>
      <w:r w:rsidR="00C51648" w:rsidRPr="000322E4">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DOI":"10.1093/annonc/mdv304","ISSN":"1569-8041","PMID":"26314773","author":[{"dropping-particle":"","family":"Tilly","given":"H","non-dropping-particle":"","parse-names":false,"suffix":""},{"dropping-particle":"","family":"Gomes da Silva","given":"M","non-dropping-particle":"","parse-names":false,"suffix":""},{"dropping-particle":"","family":"Vitolo","given":"U","non-dropping-particle":"","parse-names":false,"suffix":""},{"dropping-particle":"","family":"Jack","given":"A","non-dropping-particle":"","parse-names":false,"suffix":""},{"dropping-particle":"","family":"Meignan","given":"M","non-dropping-particle":"","parse-names":false,"suffix":""},{"dropping-particle":"","family":"Lopez-Guillermo","given":"A","non-dropping-particle":"","parse-names":false,"suffix":""},{"dropping-particle":"","family":"Walewski","given":"J","non-dropping-particle":"","parse-names":false,"suffix":""},{"dropping-particle":"","family":"André","given":"M","non-dropping-particle":"","parse-names":false,"suffix":""},{"dropping-particle":"","family":"Johnson","given":"P W","non-dropping-particle":"","parse-names":false,"suffix":""},{"dropping-particle":"","family":"Pfreundschuh","given":"M","non-dropping-particle":"","parse-names":false,"suffix":""},{"dropping-particle":"","family":"Ladetto","given":"M","non-dropping-particle":"","parse-names":false,"suffix":""},{"dropping-particle":"","family":"ESMO Guidelines Committee","given":"","non-dropping-particle":"","parse-names":false,"suffix":""}],"container-title":"Annals of oncology : official journal of the European Society for Medical Oncology","id":"ITEM-2","issued":{"date-parts":[["2015","9"]]},"page":"v116-25","title":"Diffuse large B-cell lymphoma (DLBCL): ESMO Clinical Practice Guidelines for diagnosis, treatment and follow-up.","type":"article-journal","volume":"26 Suppl 5"},"uris":["http://www.mendeley.com/documents/?uuid=1697b7a7-5190-39af-8155-3d2b075b5466"]}],"mendeley":{"formattedCitation":"[17,18]","plainTextFormattedCitation":"[17,18]","previouslyFormattedCitation":"[17,18]"},"properties":{"noteIndex":0},"schema":"https://github.com/citation-style-language/schema/raw/master/csl-citation.json"}</w:instrText>
      </w:r>
      <w:r w:rsidRPr="000322E4">
        <w:fldChar w:fldCharType="separate"/>
      </w:r>
      <w:r w:rsidR="00C51648" w:rsidRPr="000322E4">
        <w:rPr>
          <w:noProof/>
        </w:rPr>
        <w:t>[17,18]</w:t>
      </w:r>
      <w:r w:rsidRPr="000322E4">
        <w:fldChar w:fldCharType="end"/>
      </w:r>
      <w:r w:rsidRPr="000322E4">
        <w:t>:</w:t>
      </w:r>
    </w:p>
    <w:p w14:paraId="7609A0C0" w14:textId="77777777" w:rsidR="0052462B" w:rsidRPr="000322E4" w:rsidRDefault="00BA2C65" w:rsidP="00CA442F">
      <w:pPr>
        <w:pStyle w:val="afe"/>
        <w:numPr>
          <w:ilvl w:val="1"/>
          <w:numId w:val="5"/>
        </w:numPr>
        <w:divId w:val="266810958"/>
      </w:pPr>
      <w:bookmarkStart w:id="28" w:name="_Hlk532293244"/>
      <w:r w:rsidRPr="000322E4">
        <w:t>общий (клинический) анализ крови развернутый</w:t>
      </w:r>
      <w:r w:rsidRPr="000322E4" w:rsidDel="00442E27">
        <w:t xml:space="preserve"> </w:t>
      </w:r>
      <w:r w:rsidRPr="000322E4">
        <w:t xml:space="preserve">с исследованием </w:t>
      </w:r>
      <w:r w:rsidRPr="000322E4">
        <w:rPr>
          <w:rFonts w:cs="Times New Roman"/>
        </w:rPr>
        <w:t>уровней общего гемоглобина</w:t>
      </w:r>
      <w:r w:rsidRPr="000322E4">
        <w:t xml:space="preserve">, эритроцитов, тромбоцитов, лейкоцитов в крови, с дифференцированным подсчетом лейкоцитов (лейкоцитарная формула), с исследованием </w:t>
      </w:r>
      <w:r w:rsidRPr="000322E4">
        <w:rPr>
          <w:rFonts w:cs="Times New Roman"/>
        </w:rPr>
        <w:t>уровня</w:t>
      </w:r>
      <w:r w:rsidRPr="000322E4">
        <w:t xml:space="preserve"> ретикулоцитов в крови, а также с исследованием скорости оседания эритроцитов</w:t>
      </w:r>
      <w:bookmarkEnd w:id="28"/>
      <w:r w:rsidR="0052462B" w:rsidRPr="000322E4">
        <w:t>;</w:t>
      </w:r>
    </w:p>
    <w:p w14:paraId="6A68D64A" w14:textId="77777777" w:rsidR="0052462B" w:rsidRPr="000322E4" w:rsidRDefault="0052462B" w:rsidP="00CA442F">
      <w:pPr>
        <w:pStyle w:val="afe"/>
        <w:numPr>
          <w:ilvl w:val="1"/>
          <w:numId w:val="5"/>
        </w:numPr>
        <w:divId w:val="266810958"/>
      </w:pPr>
      <w:r w:rsidRPr="000322E4">
        <w:t>общ</w:t>
      </w:r>
      <w:r w:rsidR="007C3C41" w:rsidRPr="000322E4">
        <w:t>ий</w:t>
      </w:r>
      <w:r w:rsidRPr="000322E4">
        <w:t xml:space="preserve"> (клиническ</w:t>
      </w:r>
      <w:r w:rsidR="007C3C41" w:rsidRPr="000322E4">
        <w:t>ий</w:t>
      </w:r>
      <w:r w:rsidRPr="000322E4">
        <w:t>) анализ мочи;</w:t>
      </w:r>
    </w:p>
    <w:p w14:paraId="52F1CE7E" w14:textId="77777777" w:rsidR="00BA2C65" w:rsidRPr="000322E4" w:rsidRDefault="00BA2C65" w:rsidP="00CA442F">
      <w:pPr>
        <w:pStyle w:val="afe"/>
        <w:numPr>
          <w:ilvl w:val="1"/>
          <w:numId w:val="5"/>
        </w:numPr>
        <w:divId w:val="266810958"/>
      </w:pPr>
      <w:r w:rsidRPr="000322E4">
        <w:t xml:space="preserve">анализ крови биохимический общетерапевтический с </w:t>
      </w:r>
      <w:r w:rsidRPr="000322E4">
        <w:rPr>
          <w:iCs/>
        </w:rPr>
        <w:t xml:space="preserve">определениями активностей лактатдегидрогеназы (ЛДГ), </w:t>
      </w:r>
      <w:r w:rsidRPr="000322E4">
        <w:rPr>
          <w:rFonts w:eastAsia="Times New Roman" w:cs="Times New Roman"/>
          <w:szCs w:val="24"/>
          <w:lang w:eastAsia="ru-RU"/>
        </w:rPr>
        <w:t>аланинаминотрансферазы</w:t>
      </w:r>
      <w:r w:rsidRPr="000322E4">
        <w:rPr>
          <w:iCs/>
        </w:rPr>
        <w:t xml:space="preserve"> (АЛТ), аспартатаминотрансферазы (АСТ), щелочной фосфатазы в крови, исследованиями уровней мочевины, креатинина, альбумина, общего белка, </w:t>
      </w:r>
      <w:r w:rsidRPr="000322E4">
        <w:rPr>
          <w:rFonts w:cs="Times New Roman"/>
        </w:rPr>
        <w:t xml:space="preserve">общего билирубина, калия, натрия, общего кальция, хлоридов </w:t>
      </w:r>
      <w:r w:rsidRPr="000322E4">
        <w:rPr>
          <w:iCs/>
        </w:rPr>
        <w:t>в крови, исследованием уровня бета-2-микроглобулина в крови</w:t>
      </w:r>
      <w:r w:rsidRPr="000322E4" w:rsidDel="00442E27">
        <w:rPr>
          <w:iCs/>
        </w:rPr>
        <w:t xml:space="preserve"> </w:t>
      </w:r>
      <w:r w:rsidRPr="000322E4">
        <w:rPr>
          <w:iCs/>
        </w:rPr>
        <w:t>(другие параметры биохимического анализа крови могут быть включены в исследование на усмотрение врача);</w:t>
      </w:r>
    </w:p>
    <w:p w14:paraId="218B8A0C" w14:textId="77777777" w:rsidR="00D60231" w:rsidRPr="000322E4" w:rsidRDefault="00D60231" w:rsidP="00CA442F">
      <w:pPr>
        <w:pStyle w:val="afe"/>
        <w:numPr>
          <w:ilvl w:val="1"/>
          <w:numId w:val="5"/>
        </w:numPr>
        <w:divId w:val="266810958"/>
      </w:pPr>
      <w:r w:rsidRPr="000322E4">
        <w:rPr>
          <w:iCs/>
        </w:rPr>
        <w:t xml:space="preserve">у пациентов в тяжелом состоянии, а также при наличии признаков острой почечной недостаточности (особенно при ЛБ) - </w:t>
      </w:r>
      <w:r w:rsidRPr="000322E4">
        <w:t>исследование кислотно-основного состояния и газов крови</w:t>
      </w:r>
    </w:p>
    <w:p w14:paraId="013BB2C6" w14:textId="77777777" w:rsidR="0052462B" w:rsidRPr="000322E4" w:rsidRDefault="004A21C0" w:rsidP="00CA442F">
      <w:pPr>
        <w:pStyle w:val="afe"/>
        <w:numPr>
          <w:ilvl w:val="1"/>
          <w:numId w:val="5"/>
        </w:numPr>
        <w:divId w:val="266810958"/>
        <w:rPr>
          <w:iCs/>
        </w:rPr>
      </w:pPr>
      <w:r w:rsidRPr="000322E4">
        <w:t xml:space="preserve">исследование свертывающей системы крови (коагулограмма) с </w:t>
      </w:r>
      <w:r w:rsidRPr="000322E4">
        <w:rPr>
          <w:iCs/>
        </w:rPr>
        <w:t xml:space="preserve">включением </w:t>
      </w:r>
      <w:r w:rsidR="00A81848" w:rsidRPr="000322E4">
        <w:rPr>
          <w:iCs/>
        </w:rPr>
        <w:t xml:space="preserve">следующих параметров: протромбин, МНО, АЧТВ, фибриноген, тромбиновое время, антитромбин </w:t>
      </w:r>
      <w:r w:rsidR="00A81848" w:rsidRPr="000322E4">
        <w:rPr>
          <w:iCs/>
          <w:lang w:val="en-US"/>
        </w:rPr>
        <w:t>III</w:t>
      </w:r>
      <w:r w:rsidR="00A81848" w:rsidRPr="000322E4">
        <w:rPr>
          <w:iCs/>
        </w:rPr>
        <w:t xml:space="preserve">, плазминоген, </w:t>
      </w:r>
      <w:r w:rsidR="00A81848" w:rsidRPr="000322E4">
        <w:rPr>
          <w:iCs/>
          <w:lang w:val="en-US"/>
        </w:rPr>
        <w:t>D</w:t>
      </w:r>
      <w:r w:rsidR="00A81848" w:rsidRPr="000322E4">
        <w:rPr>
          <w:iCs/>
        </w:rPr>
        <w:t>-димер</w:t>
      </w:r>
      <w:r w:rsidR="00C51648" w:rsidRPr="000322E4">
        <w:rPr>
          <w:iCs/>
        </w:rPr>
        <w:t xml:space="preserve"> </w:t>
      </w:r>
      <w:r w:rsidR="00C51648" w:rsidRPr="000322E4">
        <w:rPr>
          <w:iCs/>
          <w:lang w:val="en-US"/>
        </w:rPr>
        <w:fldChar w:fldCharType="begin" w:fldLock="1"/>
      </w:r>
      <w:r w:rsidR="00C51648" w:rsidRPr="000322E4">
        <w:rPr>
          <w:iCs/>
          <w:lang w:val="en-US"/>
        </w:rPr>
        <w:instrText>ADDIN</w:instrText>
      </w:r>
      <w:r w:rsidR="00C51648" w:rsidRPr="000322E4">
        <w:rPr>
          <w:iCs/>
        </w:rPr>
        <w:instrText xml:space="preserve"> </w:instrText>
      </w:r>
      <w:r w:rsidR="00C51648" w:rsidRPr="000322E4">
        <w:rPr>
          <w:iCs/>
          <w:lang w:val="en-US"/>
        </w:rPr>
        <w:instrText>CSL</w:instrText>
      </w:r>
      <w:r w:rsidR="00C51648" w:rsidRPr="000322E4">
        <w:rPr>
          <w:iCs/>
        </w:rPr>
        <w:instrText>_</w:instrText>
      </w:r>
      <w:r w:rsidR="00C51648" w:rsidRPr="000322E4">
        <w:rPr>
          <w:iCs/>
          <w:lang w:val="en-US"/>
        </w:rPr>
        <w:instrText>CITATION</w:instrText>
      </w:r>
      <w:r w:rsidR="00C51648" w:rsidRPr="000322E4">
        <w:rPr>
          <w:iCs/>
        </w:rPr>
        <w:instrText xml:space="preserve"> {"</w:instrText>
      </w:r>
      <w:r w:rsidR="00C51648" w:rsidRPr="000322E4">
        <w:rPr>
          <w:iCs/>
          <w:lang w:val="en-US"/>
        </w:rPr>
        <w:instrText>citationItems</w:instrText>
      </w:r>
      <w:r w:rsidR="00C51648" w:rsidRPr="000322E4">
        <w:rPr>
          <w:iCs/>
        </w:rPr>
        <w:instrText>":[{"</w:instrText>
      </w:r>
      <w:r w:rsidR="00C51648" w:rsidRPr="000322E4">
        <w:rPr>
          <w:iCs/>
          <w:lang w:val="en-US"/>
        </w:rPr>
        <w:instrText>id</w:instrText>
      </w:r>
      <w:r w:rsidR="00C51648" w:rsidRPr="000322E4">
        <w:rPr>
          <w:iCs/>
        </w:rPr>
        <w:instrText>":"</w:instrText>
      </w:r>
      <w:r w:rsidR="00C51648" w:rsidRPr="000322E4">
        <w:rPr>
          <w:iCs/>
          <w:lang w:val="en-US"/>
        </w:rPr>
        <w:instrText>ITEM</w:instrText>
      </w:r>
      <w:r w:rsidR="00C51648" w:rsidRPr="000322E4">
        <w:rPr>
          <w:iCs/>
        </w:rPr>
        <w:instrText>-1","</w:instrText>
      </w:r>
      <w:r w:rsidR="00C51648" w:rsidRPr="000322E4">
        <w:rPr>
          <w:iCs/>
          <w:lang w:val="en-US"/>
        </w:rPr>
        <w:instrText>itemData</w:instrText>
      </w:r>
      <w:r w:rsidR="00C51648" w:rsidRPr="000322E4">
        <w:rPr>
          <w:iCs/>
        </w:rPr>
        <w:instrText>":{"</w:instrText>
      </w:r>
      <w:r w:rsidR="00C51648" w:rsidRPr="000322E4">
        <w:rPr>
          <w:iCs/>
          <w:lang w:val="en-US"/>
        </w:rPr>
        <w:instrText>DOI</w:instrText>
      </w:r>
      <w:r w:rsidR="00C51648" w:rsidRPr="000322E4">
        <w:rPr>
          <w:iCs/>
        </w:rPr>
        <w:instrText>":"10.1634/</w:instrText>
      </w:r>
      <w:r w:rsidR="00C51648" w:rsidRPr="000322E4">
        <w:rPr>
          <w:iCs/>
          <w:lang w:val="en-US"/>
        </w:rPr>
        <w:instrText>theoncologist</w:instrText>
      </w:r>
      <w:r w:rsidR="00C51648" w:rsidRPr="000322E4">
        <w:rPr>
          <w:iCs/>
        </w:rPr>
        <w:instrText>.2015-0361","</w:instrText>
      </w:r>
      <w:r w:rsidR="00C51648" w:rsidRPr="000322E4">
        <w:rPr>
          <w:iCs/>
          <w:lang w:val="en-US"/>
        </w:rPr>
        <w:instrText>ISSN</w:instrText>
      </w:r>
      <w:r w:rsidR="00C51648" w:rsidRPr="000322E4">
        <w:rPr>
          <w:iCs/>
        </w:rPr>
        <w:instrText>":"1083-7159","</w:instrText>
      </w:r>
      <w:r w:rsidR="00C51648" w:rsidRPr="000322E4">
        <w:rPr>
          <w:iCs/>
          <w:lang w:val="en-US"/>
        </w:rPr>
        <w:instrText>abstract</w:instrText>
      </w:r>
      <w:r w:rsidR="00C51648" w:rsidRPr="000322E4">
        <w:rPr>
          <w:iCs/>
        </w:rPr>
        <w:instrText xml:space="preserve">":"© </w:instrText>
      </w:r>
      <w:r w:rsidR="00C51648" w:rsidRPr="000322E4">
        <w:rPr>
          <w:iCs/>
          <w:lang w:val="en-US"/>
        </w:rPr>
        <w:instrText>AlphaMed</w:instrText>
      </w:r>
      <w:r w:rsidR="00C51648" w:rsidRPr="000322E4">
        <w:rPr>
          <w:iCs/>
        </w:rPr>
        <w:instrText xml:space="preserve"> </w:instrText>
      </w:r>
      <w:r w:rsidR="00C51648" w:rsidRPr="000322E4">
        <w:rPr>
          <w:iCs/>
          <w:lang w:val="en-US"/>
        </w:rPr>
        <w:instrText>Press</w:instrText>
      </w:r>
      <w:r w:rsidR="00C51648" w:rsidRPr="000322E4">
        <w:rPr>
          <w:iCs/>
        </w:rPr>
        <w:instrText xml:space="preserve"> 2016. </w:instrText>
      </w:r>
      <w:r w:rsidR="00C51648" w:rsidRPr="000322E4">
        <w:rPr>
          <w:iCs/>
          <w:lang w:val="en-US"/>
        </w:rPr>
        <w:instrText>Background</w:instrText>
      </w:r>
      <w:r w:rsidR="00C51648" w:rsidRPr="000322E4">
        <w:rPr>
          <w:iCs/>
        </w:rPr>
        <w:instrText xml:space="preserve">. </w:instrText>
      </w:r>
      <w:r w:rsidR="00C51648" w:rsidRPr="000322E4">
        <w:rPr>
          <w:iCs/>
          <w:lang w:val="en-US"/>
        </w:rPr>
        <w:instrText>Retrospective</w:instrText>
      </w:r>
      <w:r w:rsidR="00C51648" w:rsidRPr="000322E4">
        <w:rPr>
          <w:iCs/>
        </w:rPr>
        <w:instrText xml:space="preserve"> </w:instrText>
      </w:r>
      <w:r w:rsidR="00C51648" w:rsidRPr="000322E4">
        <w:rPr>
          <w:iCs/>
          <w:lang w:val="en-US"/>
        </w:rPr>
        <w:instrText>studies</w:instrText>
      </w:r>
      <w:r w:rsidR="00C51648" w:rsidRPr="000322E4">
        <w:rPr>
          <w:iCs/>
        </w:rPr>
        <w:instrText xml:space="preserve"> </w:instrText>
      </w:r>
      <w:r w:rsidR="00C51648" w:rsidRPr="000322E4">
        <w:rPr>
          <w:iCs/>
          <w:lang w:val="en-US"/>
        </w:rPr>
        <w:instrText>have</w:instrText>
      </w:r>
      <w:r w:rsidR="00C51648" w:rsidRPr="000322E4">
        <w:rPr>
          <w:iCs/>
        </w:rPr>
        <w:instrText xml:space="preserve"> </w:instrText>
      </w:r>
      <w:r w:rsidR="00C51648" w:rsidRPr="000322E4">
        <w:rPr>
          <w:iCs/>
          <w:lang w:val="en-US"/>
        </w:rPr>
        <w:instrText>suggested</w:instrText>
      </w:r>
      <w:r w:rsidR="00C51648" w:rsidRPr="000322E4">
        <w:rPr>
          <w:iCs/>
        </w:rPr>
        <w:instrText xml:space="preserve"> </w:instrText>
      </w:r>
      <w:r w:rsidR="00C51648" w:rsidRPr="000322E4">
        <w:rPr>
          <w:iCs/>
          <w:lang w:val="en-US"/>
        </w:rPr>
        <w:instrText>an</w:instrText>
      </w:r>
      <w:r w:rsidR="00C51648" w:rsidRPr="000322E4">
        <w:rPr>
          <w:iCs/>
        </w:rPr>
        <w:instrText xml:space="preserve"> </w:instrText>
      </w:r>
      <w:r w:rsidR="00C51648" w:rsidRPr="000322E4">
        <w:rPr>
          <w:iCs/>
          <w:lang w:val="en-US"/>
        </w:rPr>
        <w:instrText>association</w:instrText>
      </w:r>
      <w:r w:rsidR="00C51648" w:rsidRPr="000322E4">
        <w:rPr>
          <w:iCs/>
        </w:rPr>
        <w:instrText xml:space="preserve"> </w:instrText>
      </w:r>
      <w:r w:rsidR="00C51648" w:rsidRPr="000322E4">
        <w:rPr>
          <w:iCs/>
          <w:lang w:val="en-US"/>
        </w:rPr>
        <w:instrText>between</w:instrText>
      </w:r>
      <w:r w:rsidR="00C51648" w:rsidRPr="000322E4">
        <w:rPr>
          <w:iCs/>
        </w:rPr>
        <w:instrText xml:space="preserve"> </w:instrText>
      </w:r>
      <w:r w:rsidR="00C51648" w:rsidRPr="000322E4">
        <w:rPr>
          <w:iCs/>
          <w:lang w:val="en-US"/>
        </w:rPr>
        <w:instrText>cancer</w:instrText>
      </w:r>
      <w:r w:rsidR="00C51648" w:rsidRPr="000322E4">
        <w:rPr>
          <w:iCs/>
        </w:rPr>
        <w:instrText>-</w:instrText>
      </w:r>
      <w:r w:rsidR="00C51648" w:rsidRPr="000322E4">
        <w:rPr>
          <w:iCs/>
          <w:lang w:val="en-US"/>
        </w:rPr>
        <w:instrText>associated</w:instrText>
      </w:r>
      <w:r w:rsidR="00C51648" w:rsidRPr="000322E4">
        <w:rPr>
          <w:iCs/>
        </w:rPr>
        <w:instrText xml:space="preserve"> </w:instrText>
      </w:r>
      <w:r w:rsidR="00C51648" w:rsidRPr="000322E4">
        <w:rPr>
          <w:iCs/>
          <w:lang w:val="en-US"/>
        </w:rPr>
        <w:instrText>venous</w:instrText>
      </w:r>
      <w:r w:rsidR="00C51648" w:rsidRPr="000322E4">
        <w:rPr>
          <w:iCs/>
        </w:rPr>
        <w:instrText xml:space="preserve"> </w:instrText>
      </w:r>
      <w:r w:rsidR="00C51648" w:rsidRPr="000322E4">
        <w:rPr>
          <w:iCs/>
          <w:lang w:val="en-US"/>
        </w:rPr>
        <w:instrText>thromboembolism</w:instrText>
      </w:r>
      <w:r w:rsidR="00C51648" w:rsidRPr="000322E4">
        <w:rPr>
          <w:iCs/>
        </w:rPr>
        <w:instrText xml:space="preserve"> (</w:instrText>
      </w:r>
      <w:r w:rsidR="00C51648" w:rsidRPr="000322E4">
        <w:rPr>
          <w:iCs/>
          <w:lang w:val="en-US"/>
        </w:rPr>
        <w:instrText>VTE</w:instrText>
      </w:r>
      <w:r w:rsidR="00C51648" w:rsidRPr="000322E4">
        <w:rPr>
          <w:iCs/>
        </w:rPr>
        <w:instrText xml:space="preserve">) </w:instrText>
      </w:r>
      <w:r w:rsidR="00C51648" w:rsidRPr="000322E4">
        <w:rPr>
          <w:iCs/>
          <w:lang w:val="en-US"/>
        </w:rPr>
        <w:instrText>and</w:instrText>
      </w:r>
      <w:r w:rsidR="00C51648" w:rsidRPr="000322E4">
        <w:rPr>
          <w:iCs/>
        </w:rPr>
        <w:instrText xml:space="preserve"> </w:instrText>
      </w:r>
      <w:r w:rsidR="00C51648" w:rsidRPr="000322E4">
        <w:rPr>
          <w:iCs/>
          <w:lang w:val="en-US"/>
        </w:rPr>
        <w:instrText>patient</w:instrText>
      </w:r>
      <w:r w:rsidR="00C51648" w:rsidRPr="000322E4">
        <w:rPr>
          <w:iCs/>
        </w:rPr>
        <w:instrText xml:space="preserve"> </w:instrText>
      </w:r>
      <w:r w:rsidR="00C51648" w:rsidRPr="000322E4">
        <w:rPr>
          <w:iCs/>
          <w:lang w:val="en-US"/>
        </w:rPr>
        <w:instrText>survival</w:instrText>
      </w:r>
      <w:r w:rsidR="00C51648" w:rsidRPr="000322E4">
        <w:rPr>
          <w:iCs/>
        </w:rPr>
        <w:instrText>.</w:instrText>
      </w:r>
      <w:r w:rsidR="00C51648" w:rsidRPr="000322E4">
        <w:rPr>
          <w:iCs/>
          <w:lang w:val="en-US"/>
        </w:rPr>
        <w:instrText>Weevaluated</w:instrText>
      </w:r>
      <w:r w:rsidR="00C51648" w:rsidRPr="000322E4">
        <w:rPr>
          <w:iCs/>
        </w:rPr>
        <w:instrText xml:space="preserve"> </w:instrText>
      </w:r>
      <w:r w:rsidR="00C51648" w:rsidRPr="000322E4">
        <w:rPr>
          <w:iCs/>
          <w:lang w:val="en-US"/>
        </w:rPr>
        <w:instrText>a</w:instrText>
      </w:r>
      <w:r w:rsidR="00C51648" w:rsidRPr="000322E4">
        <w:rPr>
          <w:iCs/>
        </w:rPr>
        <w:instrText xml:space="preserve"> </w:instrText>
      </w:r>
      <w:r w:rsidR="00C51648" w:rsidRPr="000322E4">
        <w:rPr>
          <w:iCs/>
          <w:lang w:val="en-US"/>
        </w:rPr>
        <w:instrText>previously</w:instrText>
      </w:r>
      <w:r w:rsidR="00C51648" w:rsidRPr="000322E4">
        <w:rPr>
          <w:iCs/>
        </w:rPr>
        <w:instrText xml:space="preserve"> </w:instrText>
      </w:r>
      <w:r w:rsidR="00C51648" w:rsidRPr="000322E4">
        <w:rPr>
          <w:iCs/>
          <w:lang w:val="en-US"/>
        </w:rPr>
        <w:instrText>validated</w:instrText>
      </w:r>
      <w:r w:rsidR="00C51648" w:rsidRPr="000322E4">
        <w:rPr>
          <w:iCs/>
        </w:rPr>
        <w:instrText xml:space="preserve"> </w:instrText>
      </w:r>
      <w:r w:rsidR="00C51648" w:rsidRPr="000322E4">
        <w:rPr>
          <w:iCs/>
          <w:lang w:val="en-US"/>
        </w:rPr>
        <w:instrText>VTE</w:instrText>
      </w:r>
      <w:r w:rsidR="00C51648" w:rsidRPr="000322E4">
        <w:rPr>
          <w:iCs/>
        </w:rPr>
        <w:instrText xml:space="preserve"> </w:instrText>
      </w:r>
      <w:r w:rsidR="00C51648" w:rsidRPr="000322E4">
        <w:rPr>
          <w:iCs/>
          <w:lang w:val="en-US"/>
        </w:rPr>
        <w:instrText>Clinical</w:instrText>
      </w:r>
      <w:r w:rsidR="00C51648" w:rsidRPr="000322E4">
        <w:rPr>
          <w:iCs/>
        </w:rPr>
        <w:instrText xml:space="preserve"> </w:instrText>
      </w:r>
      <w:r w:rsidR="00C51648" w:rsidRPr="000322E4">
        <w:rPr>
          <w:iCs/>
          <w:lang w:val="en-US"/>
        </w:rPr>
        <w:instrText>Risk</w:instrText>
      </w:r>
      <w:r w:rsidR="00C51648" w:rsidRPr="000322E4">
        <w:rPr>
          <w:iCs/>
        </w:rPr>
        <w:instrText xml:space="preserve"> </w:instrText>
      </w:r>
      <w:r w:rsidR="00C51648" w:rsidRPr="000322E4">
        <w:rPr>
          <w:iCs/>
          <w:lang w:val="en-US"/>
        </w:rPr>
        <w:instrText>Score</w:instrText>
      </w:r>
      <w:r w:rsidR="00C51648" w:rsidRPr="000322E4">
        <w:rPr>
          <w:iCs/>
        </w:rPr>
        <w:instrText xml:space="preserve"> </w:instrText>
      </w:r>
      <w:r w:rsidR="00C51648" w:rsidRPr="000322E4">
        <w:rPr>
          <w:iCs/>
          <w:lang w:val="en-US"/>
        </w:rPr>
        <w:instrText>in</w:instrText>
      </w:r>
      <w:r w:rsidR="00C51648" w:rsidRPr="000322E4">
        <w:rPr>
          <w:iCs/>
        </w:rPr>
        <w:instrText xml:space="preserve"> </w:instrText>
      </w:r>
      <w:r w:rsidR="00C51648" w:rsidRPr="000322E4">
        <w:rPr>
          <w:iCs/>
          <w:lang w:val="en-US"/>
        </w:rPr>
        <w:instrText>also</w:instrText>
      </w:r>
      <w:r w:rsidR="00C51648" w:rsidRPr="000322E4">
        <w:rPr>
          <w:iCs/>
        </w:rPr>
        <w:instrText xml:space="preserve"> </w:instrText>
      </w:r>
      <w:r w:rsidR="00C51648" w:rsidRPr="000322E4">
        <w:rPr>
          <w:iCs/>
          <w:lang w:val="en-US"/>
        </w:rPr>
        <w:instrText>predicting</w:instrText>
      </w:r>
      <w:r w:rsidR="00C51648" w:rsidRPr="000322E4">
        <w:rPr>
          <w:iCs/>
        </w:rPr>
        <w:instrText xml:space="preserve"> </w:instrText>
      </w:r>
      <w:r w:rsidR="00C51648" w:rsidRPr="000322E4">
        <w:rPr>
          <w:iCs/>
          <w:lang w:val="en-US"/>
        </w:rPr>
        <w:instrText>early</w:instrText>
      </w:r>
      <w:r w:rsidR="00C51648" w:rsidRPr="000322E4">
        <w:rPr>
          <w:iCs/>
        </w:rPr>
        <w:instrText xml:space="preserve"> </w:instrText>
      </w:r>
      <w:r w:rsidR="00C51648" w:rsidRPr="000322E4">
        <w:rPr>
          <w:iCs/>
          <w:lang w:val="en-US"/>
        </w:rPr>
        <w:instrText>mortality</w:instrText>
      </w:r>
      <w:r w:rsidR="00C51648" w:rsidRPr="000322E4">
        <w:rPr>
          <w:iCs/>
        </w:rPr>
        <w:instrText xml:space="preserve"> </w:instrText>
      </w:r>
      <w:r w:rsidR="00C51648" w:rsidRPr="000322E4">
        <w:rPr>
          <w:iCs/>
          <w:lang w:val="en-US"/>
        </w:rPr>
        <w:instrText>and</w:instrText>
      </w:r>
      <w:r w:rsidR="00C51648" w:rsidRPr="000322E4">
        <w:rPr>
          <w:iCs/>
        </w:rPr>
        <w:instrText xml:space="preserve"> </w:instrText>
      </w:r>
      <w:r w:rsidR="00C51648" w:rsidRPr="000322E4">
        <w:rPr>
          <w:iCs/>
          <w:lang w:val="en-US"/>
        </w:rPr>
        <w:instrText>cancer</w:instrText>
      </w:r>
      <w:r w:rsidR="00C51648" w:rsidRPr="000322E4">
        <w:rPr>
          <w:iCs/>
        </w:rPr>
        <w:instrText xml:space="preserve"> </w:instrText>
      </w:r>
      <w:r w:rsidR="00C51648" w:rsidRPr="000322E4">
        <w:rPr>
          <w:iCs/>
          <w:lang w:val="en-US"/>
        </w:rPr>
        <w:instrText>progression</w:instrText>
      </w:r>
      <w:r w:rsidR="00C51648" w:rsidRPr="000322E4">
        <w:rPr>
          <w:iCs/>
        </w:rPr>
        <w:instrText xml:space="preserve">. </w:instrText>
      </w:r>
      <w:r w:rsidR="00C51648" w:rsidRPr="000322E4">
        <w:rPr>
          <w:iCs/>
          <w:lang w:val="en-US"/>
        </w:rPr>
        <w:instrText>Methods</w:instrText>
      </w:r>
      <w:r w:rsidR="00C51648" w:rsidRPr="000322E4">
        <w:rPr>
          <w:iCs/>
        </w:rPr>
        <w:instrText xml:space="preserve">. </w:instrText>
      </w:r>
      <w:r w:rsidR="00C51648" w:rsidRPr="000322E4">
        <w:rPr>
          <w:iCs/>
          <w:lang w:val="en-US"/>
        </w:rPr>
        <w:instrText>A</w:instrText>
      </w:r>
      <w:r w:rsidR="00C51648" w:rsidRPr="000322E4">
        <w:rPr>
          <w:iCs/>
        </w:rPr>
        <w:instrText xml:space="preserve"> </w:instrText>
      </w:r>
      <w:r w:rsidR="00C51648" w:rsidRPr="000322E4">
        <w:rPr>
          <w:iCs/>
          <w:lang w:val="en-US"/>
        </w:rPr>
        <w:instrText>large</w:instrText>
      </w:r>
      <w:r w:rsidR="00C51648" w:rsidRPr="000322E4">
        <w:rPr>
          <w:iCs/>
        </w:rPr>
        <w:instrText xml:space="preserve">, </w:instrText>
      </w:r>
      <w:r w:rsidR="00C51648" w:rsidRPr="000322E4">
        <w:rPr>
          <w:iCs/>
          <w:lang w:val="en-US"/>
        </w:rPr>
        <w:instrText>nationwide</w:instrText>
      </w:r>
      <w:r w:rsidR="00C51648" w:rsidRPr="000322E4">
        <w:rPr>
          <w:iCs/>
        </w:rPr>
        <w:instrText xml:space="preserve">, </w:instrText>
      </w:r>
      <w:r w:rsidR="00C51648" w:rsidRPr="000322E4">
        <w:rPr>
          <w:iCs/>
          <w:lang w:val="en-US"/>
        </w:rPr>
        <w:instrText>prospective</w:instrText>
      </w:r>
      <w:r w:rsidR="00C51648" w:rsidRPr="000322E4">
        <w:rPr>
          <w:iCs/>
        </w:rPr>
        <w:instrText xml:space="preserve"> </w:instrText>
      </w:r>
      <w:r w:rsidR="00C51648" w:rsidRPr="000322E4">
        <w:rPr>
          <w:iCs/>
          <w:lang w:val="en-US"/>
        </w:rPr>
        <w:instrText>cohort</w:instrText>
      </w:r>
      <w:r w:rsidR="00C51648" w:rsidRPr="000322E4">
        <w:rPr>
          <w:iCs/>
        </w:rPr>
        <w:instrText xml:space="preserve"> </w:instrText>
      </w:r>
      <w:r w:rsidR="00C51648" w:rsidRPr="000322E4">
        <w:rPr>
          <w:iCs/>
          <w:lang w:val="en-US"/>
        </w:rPr>
        <w:instrText>study</w:instrText>
      </w:r>
      <w:r w:rsidR="00C51648" w:rsidRPr="000322E4">
        <w:rPr>
          <w:iCs/>
        </w:rPr>
        <w:instrText xml:space="preserve"> </w:instrText>
      </w:r>
      <w:r w:rsidR="00C51648" w:rsidRPr="000322E4">
        <w:rPr>
          <w:iCs/>
          <w:lang w:val="en-US"/>
        </w:rPr>
        <w:instrText>of</w:instrText>
      </w:r>
      <w:r w:rsidR="00C51648" w:rsidRPr="000322E4">
        <w:rPr>
          <w:iCs/>
        </w:rPr>
        <w:instrText xml:space="preserve"> </w:instrText>
      </w:r>
      <w:r w:rsidR="00C51648" w:rsidRPr="000322E4">
        <w:rPr>
          <w:iCs/>
          <w:lang w:val="en-US"/>
        </w:rPr>
        <w:instrText>adults</w:instrText>
      </w:r>
      <w:r w:rsidR="00C51648" w:rsidRPr="000322E4">
        <w:rPr>
          <w:iCs/>
        </w:rPr>
        <w:instrText xml:space="preserve"> </w:instrText>
      </w:r>
      <w:r w:rsidR="00C51648" w:rsidRPr="000322E4">
        <w:rPr>
          <w:iCs/>
          <w:lang w:val="en-US"/>
        </w:rPr>
        <w:instrText>with</w:instrText>
      </w:r>
      <w:r w:rsidR="00C51648" w:rsidRPr="000322E4">
        <w:rPr>
          <w:iCs/>
        </w:rPr>
        <w:instrText xml:space="preserve"> </w:instrText>
      </w:r>
      <w:r w:rsidR="00C51648" w:rsidRPr="000322E4">
        <w:rPr>
          <w:iCs/>
          <w:lang w:val="en-US"/>
        </w:rPr>
        <w:instrText>solid</w:instrText>
      </w:r>
      <w:r w:rsidR="00C51648" w:rsidRPr="000322E4">
        <w:rPr>
          <w:iCs/>
        </w:rPr>
        <w:instrText xml:space="preserve"> </w:instrText>
      </w:r>
      <w:r w:rsidR="00C51648" w:rsidRPr="000322E4">
        <w:rPr>
          <w:iCs/>
          <w:lang w:val="en-US"/>
        </w:rPr>
        <w:instrText>tumors</w:instrText>
      </w:r>
      <w:r w:rsidR="00C51648" w:rsidRPr="000322E4">
        <w:rPr>
          <w:iCs/>
        </w:rPr>
        <w:instrText xml:space="preserve"> </w:instrText>
      </w:r>
      <w:r w:rsidR="00C51648" w:rsidRPr="000322E4">
        <w:rPr>
          <w:iCs/>
          <w:lang w:val="en-US"/>
        </w:rPr>
        <w:instrText>orlymphoma</w:instrText>
      </w:r>
      <w:r w:rsidR="00C51648" w:rsidRPr="000322E4">
        <w:rPr>
          <w:iCs/>
        </w:rPr>
        <w:instrText xml:space="preserve"> </w:instrText>
      </w:r>
      <w:r w:rsidR="00C51648" w:rsidRPr="000322E4">
        <w:rPr>
          <w:iCs/>
          <w:lang w:val="en-US"/>
        </w:rPr>
        <w:instrText>initiating</w:instrText>
      </w:r>
      <w:r w:rsidR="00C51648" w:rsidRPr="000322E4">
        <w:rPr>
          <w:iCs/>
        </w:rPr>
        <w:instrText xml:space="preserve"> </w:instrText>
      </w:r>
      <w:r w:rsidR="00C51648" w:rsidRPr="000322E4">
        <w:rPr>
          <w:iCs/>
          <w:lang w:val="en-US"/>
        </w:rPr>
        <w:instrText>chemotherapy</w:instrText>
      </w:r>
      <w:r w:rsidR="00C51648" w:rsidRPr="000322E4">
        <w:rPr>
          <w:iCs/>
        </w:rPr>
        <w:instrText xml:space="preserve"> </w:instrText>
      </w:r>
      <w:r w:rsidR="00C51648" w:rsidRPr="000322E4">
        <w:rPr>
          <w:iCs/>
          <w:lang w:val="en-US"/>
        </w:rPr>
        <w:instrText>was</w:instrText>
      </w:r>
      <w:r w:rsidR="00C51648" w:rsidRPr="000322E4">
        <w:rPr>
          <w:iCs/>
        </w:rPr>
        <w:instrText xml:space="preserve"> </w:instrText>
      </w:r>
      <w:r w:rsidR="00C51648" w:rsidRPr="000322E4">
        <w:rPr>
          <w:iCs/>
          <w:lang w:val="en-US"/>
        </w:rPr>
        <w:instrText>conducted</w:instrText>
      </w:r>
      <w:r w:rsidR="00C51648" w:rsidRPr="000322E4">
        <w:rPr>
          <w:iCs/>
        </w:rPr>
        <w:instrText xml:space="preserve"> </w:instrText>
      </w:r>
      <w:r w:rsidR="00C51648" w:rsidRPr="000322E4">
        <w:rPr>
          <w:iCs/>
          <w:lang w:val="en-US"/>
        </w:rPr>
        <w:instrText>from</w:instrText>
      </w:r>
      <w:r w:rsidR="00C51648" w:rsidRPr="000322E4">
        <w:rPr>
          <w:iCs/>
        </w:rPr>
        <w:instrText xml:space="preserve"> 2002 </w:instrText>
      </w:r>
      <w:r w:rsidR="00C51648" w:rsidRPr="000322E4">
        <w:rPr>
          <w:iCs/>
          <w:lang w:val="en-US"/>
        </w:rPr>
        <w:instrText>to</w:instrText>
      </w:r>
      <w:r w:rsidR="00C51648" w:rsidRPr="000322E4">
        <w:rPr>
          <w:iCs/>
        </w:rPr>
        <w:instrText xml:space="preserve"> 2006 </w:instrText>
      </w:r>
      <w:r w:rsidR="00C51648" w:rsidRPr="000322E4">
        <w:rPr>
          <w:iCs/>
          <w:lang w:val="en-US"/>
        </w:rPr>
        <w:instrText>at</w:instrText>
      </w:r>
      <w:r w:rsidR="00C51648" w:rsidRPr="000322E4">
        <w:rPr>
          <w:iCs/>
        </w:rPr>
        <w:instrText xml:space="preserve"> 115 </w:instrText>
      </w:r>
      <w:r w:rsidR="00C51648" w:rsidRPr="000322E4">
        <w:rPr>
          <w:iCs/>
          <w:lang w:val="en-US"/>
        </w:rPr>
        <w:instrText>U</w:instrText>
      </w:r>
      <w:r w:rsidR="00C51648" w:rsidRPr="000322E4">
        <w:rPr>
          <w:iCs/>
        </w:rPr>
        <w:instrText>.</w:instrText>
      </w:r>
      <w:r w:rsidR="00C51648" w:rsidRPr="000322E4">
        <w:rPr>
          <w:iCs/>
          <w:lang w:val="en-US"/>
        </w:rPr>
        <w:instrText>S</w:instrText>
      </w:r>
      <w:r w:rsidR="00C51648" w:rsidRPr="000322E4">
        <w:rPr>
          <w:iCs/>
        </w:rPr>
        <w:instrText xml:space="preserve">. </w:instrText>
      </w:r>
      <w:r w:rsidR="00C51648" w:rsidRPr="000322E4">
        <w:rPr>
          <w:iCs/>
          <w:lang w:val="en-US"/>
        </w:rPr>
        <w:instrText>practice</w:instrText>
      </w:r>
      <w:r w:rsidR="00C51648" w:rsidRPr="000322E4">
        <w:rPr>
          <w:iCs/>
        </w:rPr>
        <w:instrText xml:space="preserve"> </w:instrText>
      </w:r>
      <w:r w:rsidR="00C51648" w:rsidRPr="000322E4">
        <w:rPr>
          <w:iCs/>
          <w:lang w:val="en-US"/>
        </w:rPr>
        <w:instrText>sites</w:instrText>
      </w:r>
      <w:r w:rsidR="00C51648" w:rsidRPr="000322E4">
        <w:rPr>
          <w:iCs/>
        </w:rPr>
        <w:instrText xml:space="preserve">. </w:instrText>
      </w:r>
      <w:r w:rsidR="00C51648" w:rsidRPr="000322E4">
        <w:rPr>
          <w:iCs/>
          <w:lang w:val="en-US"/>
        </w:rPr>
        <w:instrText>Survivalandcancer</w:instrText>
      </w:r>
      <w:r w:rsidR="00C51648" w:rsidRPr="000322E4">
        <w:rPr>
          <w:iCs/>
        </w:rPr>
        <w:instrText xml:space="preserve"> </w:instrText>
      </w:r>
      <w:r w:rsidR="00C51648" w:rsidRPr="000322E4">
        <w:rPr>
          <w:iCs/>
          <w:lang w:val="en-US"/>
        </w:rPr>
        <w:instrText>progressionwereestimatedbythemethod</w:instrText>
      </w:r>
      <w:r w:rsidR="00C51648" w:rsidRPr="000322E4">
        <w:rPr>
          <w:iCs/>
        </w:rPr>
        <w:instrText xml:space="preserve"> </w:instrText>
      </w:r>
      <w:r w:rsidR="00C51648" w:rsidRPr="000322E4">
        <w:rPr>
          <w:iCs/>
          <w:lang w:val="en-US"/>
        </w:rPr>
        <w:instrText>of</w:instrText>
      </w:r>
      <w:r w:rsidR="00C51648" w:rsidRPr="000322E4">
        <w:rPr>
          <w:iCs/>
        </w:rPr>
        <w:instrText xml:space="preserve"> </w:instrText>
      </w:r>
      <w:r w:rsidR="00C51648" w:rsidRPr="000322E4">
        <w:rPr>
          <w:iCs/>
          <w:lang w:val="en-US"/>
        </w:rPr>
        <w:instrText>Kaplan</w:instrText>
      </w:r>
      <w:r w:rsidR="00C51648" w:rsidRPr="000322E4">
        <w:rPr>
          <w:iCs/>
        </w:rPr>
        <w:instrText xml:space="preserve"> </w:instrText>
      </w:r>
      <w:r w:rsidR="00C51648" w:rsidRPr="000322E4">
        <w:rPr>
          <w:iCs/>
          <w:lang w:val="en-US"/>
        </w:rPr>
        <w:instrText>and</w:instrText>
      </w:r>
      <w:r w:rsidR="00C51648" w:rsidRPr="000322E4">
        <w:rPr>
          <w:iCs/>
        </w:rPr>
        <w:instrText xml:space="preserve"> </w:instrText>
      </w:r>
      <w:r w:rsidR="00C51648" w:rsidRPr="000322E4">
        <w:rPr>
          <w:iCs/>
          <w:lang w:val="en-US"/>
        </w:rPr>
        <w:instrText>Meier</w:instrText>
      </w:r>
      <w:r w:rsidR="00C51648" w:rsidRPr="000322E4">
        <w:rPr>
          <w:iCs/>
        </w:rPr>
        <w:instrText xml:space="preserve">. </w:instrText>
      </w:r>
      <w:r w:rsidR="00C51648" w:rsidRPr="000322E4">
        <w:rPr>
          <w:iCs/>
          <w:lang w:val="en-US"/>
        </w:rPr>
        <w:instrText>Multivariate</w:instrText>
      </w:r>
      <w:r w:rsidR="00C51648" w:rsidRPr="000322E4">
        <w:rPr>
          <w:iCs/>
        </w:rPr>
        <w:instrText xml:space="preserve"> </w:instrText>
      </w:r>
      <w:r w:rsidR="00C51648" w:rsidRPr="000322E4">
        <w:rPr>
          <w:iCs/>
          <w:lang w:val="en-US"/>
        </w:rPr>
        <w:instrText>analysis</w:instrText>
      </w:r>
      <w:r w:rsidR="00C51648" w:rsidRPr="000322E4">
        <w:rPr>
          <w:iCs/>
        </w:rPr>
        <w:instrText xml:space="preserve"> </w:instrText>
      </w:r>
      <w:r w:rsidR="00C51648" w:rsidRPr="000322E4">
        <w:rPr>
          <w:iCs/>
          <w:lang w:val="en-US"/>
        </w:rPr>
        <w:instrText>was</w:instrText>
      </w:r>
      <w:r w:rsidR="00C51648" w:rsidRPr="000322E4">
        <w:rPr>
          <w:iCs/>
        </w:rPr>
        <w:instrText xml:space="preserve"> </w:instrText>
      </w:r>
      <w:r w:rsidR="00C51648" w:rsidRPr="000322E4">
        <w:rPr>
          <w:iCs/>
          <w:lang w:val="en-US"/>
        </w:rPr>
        <w:instrText>based</w:instrText>
      </w:r>
      <w:r w:rsidR="00C51648" w:rsidRPr="000322E4">
        <w:rPr>
          <w:iCs/>
        </w:rPr>
        <w:instrText xml:space="preserve"> </w:instrText>
      </w:r>
      <w:r w:rsidR="00C51648" w:rsidRPr="000322E4">
        <w:rPr>
          <w:iCs/>
          <w:lang w:val="en-US"/>
        </w:rPr>
        <w:instrText>on</w:instrText>
      </w:r>
      <w:r w:rsidR="00C51648" w:rsidRPr="000322E4">
        <w:rPr>
          <w:iCs/>
        </w:rPr>
        <w:instrText xml:space="preserve"> </w:instrText>
      </w:r>
      <w:r w:rsidR="00C51648" w:rsidRPr="000322E4">
        <w:rPr>
          <w:iCs/>
          <w:lang w:val="en-US"/>
        </w:rPr>
        <w:instrText>Cox</w:instrText>
      </w:r>
      <w:r w:rsidR="00C51648" w:rsidRPr="000322E4">
        <w:rPr>
          <w:iCs/>
        </w:rPr>
        <w:instrText xml:space="preserve"> </w:instrText>
      </w:r>
      <w:r w:rsidR="00C51648" w:rsidRPr="000322E4">
        <w:rPr>
          <w:iCs/>
          <w:lang w:val="en-US"/>
        </w:rPr>
        <w:instrText>regression</w:instrText>
      </w:r>
      <w:r w:rsidR="00C51648" w:rsidRPr="000322E4">
        <w:rPr>
          <w:iCs/>
        </w:rPr>
        <w:instrText xml:space="preserve"> </w:instrText>
      </w:r>
      <w:r w:rsidR="00C51648" w:rsidRPr="000322E4">
        <w:rPr>
          <w:iCs/>
          <w:lang w:val="en-US"/>
        </w:rPr>
        <w:instrText>analysis</w:instrText>
      </w:r>
      <w:r w:rsidR="00C51648" w:rsidRPr="000322E4">
        <w:rPr>
          <w:iCs/>
        </w:rPr>
        <w:instrText xml:space="preserve"> </w:instrText>
      </w:r>
      <w:r w:rsidR="00C51648" w:rsidRPr="000322E4">
        <w:rPr>
          <w:iCs/>
          <w:lang w:val="en-US"/>
        </w:rPr>
        <w:instrText>adjusted</w:instrText>
      </w:r>
      <w:r w:rsidR="00C51648" w:rsidRPr="000322E4">
        <w:rPr>
          <w:iCs/>
        </w:rPr>
        <w:instrText xml:space="preserve"> </w:instrText>
      </w:r>
      <w:r w:rsidR="00C51648" w:rsidRPr="000322E4">
        <w:rPr>
          <w:iCs/>
          <w:lang w:val="en-US"/>
        </w:rPr>
        <w:instrText>for</w:instrText>
      </w:r>
      <w:r w:rsidR="00C51648" w:rsidRPr="000322E4">
        <w:rPr>
          <w:iCs/>
        </w:rPr>
        <w:instrText xml:space="preserve"> </w:instrText>
      </w:r>
      <w:r w:rsidR="00C51648" w:rsidRPr="000322E4">
        <w:rPr>
          <w:iCs/>
          <w:lang w:val="en-US"/>
        </w:rPr>
        <w:instrText>major</w:instrText>
      </w:r>
      <w:r w:rsidR="00C51648" w:rsidRPr="000322E4">
        <w:rPr>
          <w:iCs/>
        </w:rPr>
        <w:instrText xml:space="preserve"> </w:instrText>
      </w:r>
      <w:r w:rsidR="00C51648" w:rsidRPr="000322E4">
        <w:rPr>
          <w:iCs/>
          <w:lang w:val="en-US"/>
        </w:rPr>
        <w:instrText>prognostic</w:instrText>
      </w:r>
      <w:r w:rsidR="00C51648" w:rsidRPr="000322E4">
        <w:rPr>
          <w:iCs/>
        </w:rPr>
        <w:instrText xml:space="preserve"> </w:instrText>
      </w:r>
      <w:r w:rsidR="00C51648" w:rsidRPr="000322E4">
        <w:rPr>
          <w:iCs/>
          <w:lang w:val="en-US"/>
        </w:rPr>
        <w:instrText>factors</w:instrText>
      </w:r>
      <w:r w:rsidR="00C51648" w:rsidRPr="000322E4">
        <w:rPr>
          <w:iCs/>
        </w:rPr>
        <w:instrText xml:space="preserve"> </w:instrText>
      </w:r>
      <w:r w:rsidR="00C51648" w:rsidRPr="000322E4">
        <w:rPr>
          <w:iCs/>
          <w:lang w:val="en-US"/>
        </w:rPr>
        <w:instrText>including</w:instrText>
      </w:r>
      <w:r w:rsidR="00C51648" w:rsidRPr="000322E4">
        <w:rPr>
          <w:iCs/>
        </w:rPr>
        <w:instrText xml:space="preserve"> </w:instrText>
      </w:r>
      <w:r w:rsidR="00C51648" w:rsidRPr="000322E4">
        <w:rPr>
          <w:iCs/>
          <w:lang w:val="en-US"/>
        </w:rPr>
        <w:instrText>VTE</w:instrText>
      </w:r>
      <w:r w:rsidR="00C51648" w:rsidRPr="000322E4">
        <w:rPr>
          <w:iCs/>
        </w:rPr>
        <w:instrText xml:space="preserve"> </w:instrText>
      </w:r>
      <w:r w:rsidR="00C51648" w:rsidRPr="000322E4">
        <w:rPr>
          <w:iCs/>
          <w:lang w:val="en-US"/>
        </w:rPr>
        <w:instrText>itself</w:instrText>
      </w:r>
      <w:r w:rsidR="00C51648" w:rsidRPr="000322E4">
        <w:rPr>
          <w:iCs/>
        </w:rPr>
        <w:instrText xml:space="preserve">. </w:instrText>
      </w:r>
      <w:r w:rsidR="00C51648" w:rsidRPr="000322E4">
        <w:rPr>
          <w:iCs/>
          <w:lang w:val="en-US"/>
        </w:rPr>
        <w:instrText>Results</w:instrText>
      </w:r>
      <w:r w:rsidR="00C51648" w:rsidRPr="000322E4">
        <w:rPr>
          <w:iCs/>
        </w:rPr>
        <w:instrText xml:space="preserve">. </w:instrText>
      </w:r>
      <w:r w:rsidR="00C51648" w:rsidRPr="000322E4">
        <w:rPr>
          <w:iCs/>
          <w:lang w:val="en-US"/>
        </w:rPr>
        <w:instrText>Of</w:instrText>
      </w:r>
      <w:r w:rsidR="00C51648" w:rsidRPr="000322E4">
        <w:rPr>
          <w:iCs/>
        </w:rPr>
        <w:instrText xml:space="preserve"> 4,405 </w:instrText>
      </w:r>
      <w:r w:rsidR="00C51648" w:rsidRPr="000322E4">
        <w:rPr>
          <w:iCs/>
          <w:lang w:val="en-US"/>
        </w:rPr>
        <w:instrText>patients</w:instrText>
      </w:r>
      <w:r w:rsidR="00C51648" w:rsidRPr="000322E4">
        <w:rPr>
          <w:iCs/>
        </w:rPr>
        <w:instrText xml:space="preserve">, 134 (3.0%) </w:instrText>
      </w:r>
      <w:r w:rsidR="00C51648" w:rsidRPr="000322E4">
        <w:rPr>
          <w:iCs/>
          <w:lang w:val="en-US"/>
        </w:rPr>
        <w:instrText>died</w:instrText>
      </w:r>
      <w:r w:rsidR="00C51648" w:rsidRPr="000322E4">
        <w:rPr>
          <w:iCs/>
        </w:rPr>
        <w:instrText xml:space="preserve"> </w:instrText>
      </w:r>
      <w:r w:rsidR="00C51648" w:rsidRPr="000322E4">
        <w:rPr>
          <w:iCs/>
          <w:lang w:val="en-US"/>
        </w:rPr>
        <w:instrText>and</w:instrText>
      </w:r>
      <w:r w:rsidR="00C51648" w:rsidRPr="000322E4">
        <w:rPr>
          <w:iCs/>
        </w:rPr>
        <w:instrText xml:space="preserve"> 330 (7.5%) </w:instrText>
      </w:r>
      <w:r w:rsidR="00C51648" w:rsidRPr="000322E4">
        <w:rPr>
          <w:iCs/>
          <w:lang w:val="en-US"/>
        </w:rPr>
        <w:instrText>experienced</w:instrText>
      </w:r>
      <w:r w:rsidR="00C51648" w:rsidRPr="000322E4">
        <w:rPr>
          <w:iCs/>
        </w:rPr>
        <w:instrText xml:space="preserve"> </w:instrText>
      </w:r>
      <w:r w:rsidR="00C51648" w:rsidRPr="000322E4">
        <w:rPr>
          <w:iCs/>
          <w:lang w:val="en-US"/>
        </w:rPr>
        <w:instrText>disease</w:instrText>
      </w:r>
      <w:r w:rsidR="00C51648" w:rsidRPr="000322E4">
        <w:rPr>
          <w:iCs/>
        </w:rPr>
        <w:instrText xml:space="preserve"> </w:instrText>
      </w:r>
      <w:r w:rsidR="00C51648" w:rsidRPr="000322E4">
        <w:rPr>
          <w:iCs/>
          <w:lang w:val="en-US"/>
        </w:rPr>
        <w:instrText>progression</w:instrText>
      </w:r>
      <w:r w:rsidR="00C51648" w:rsidRPr="000322E4">
        <w:rPr>
          <w:iCs/>
        </w:rPr>
        <w:instrText xml:space="preserve"> </w:instrText>
      </w:r>
      <w:r w:rsidR="00C51648" w:rsidRPr="000322E4">
        <w:rPr>
          <w:iCs/>
          <w:lang w:val="en-US"/>
        </w:rPr>
        <w:instrText>during</w:instrText>
      </w:r>
      <w:r w:rsidR="00C51648" w:rsidRPr="000322E4">
        <w:rPr>
          <w:iCs/>
        </w:rPr>
        <w:instrText xml:space="preserve"> </w:instrText>
      </w:r>
      <w:r w:rsidR="00C51648" w:rsidRPr="000322E4">
        <w:rPr>
          <w:iCs/>
          <w:lang w:val="en-US"/>
        </w:rPr>
        <w:instrText>the</w:instrText>
      </w:r>
      <w:r w:rsidR="00C51648" w:rsidRPr="000322E4">
        <w:rPr>
          <w:iCs/>
        </w:rPr>
        <w:instrText xml:space="preserve"> </w:instrText>
      </w:r>
      <w:r w:rsidR="00C51648" w:rsidRPr="000322E4">
        <w:rPr>
          <w:iCs/>
          <w:lang w:val="en-US"/>
        </w:rPr>
        <w:instrText>first</w:instrText>
      </w:r>
      <w:r w:rsidR="00C51648" w:rsidRPr="000322E4">
        <w:rPr>
          <w:iCs/>
        </w:rPr>
        <w:instrText xml:space="preserve"> 4 </w:instrText>
      </w:r>
      <w:r w:rsidR="00C51648" w:rsidRPr="000322E4">
        <w:rPr>
          <w:iCs/>
          <w:lang w:val="en-US"/>
        </w:rPr>
        <w:instrText>months</w:instrText>
      </w:r>
      <w:r w:rsidR="00C51648" w:rsidRPr="000322E4">
        <w:rPr>
          <w:iCs/>
        </w:rPr>
        <w:instrText xml:space="preserve"> </w:instrText>
      </w:r>
      <w:r w:rsidR="00C51648" w:rsidRPr="000322E4">
        <w:rPr>
          <w:iCs/>
          <w:lang w:val="en-US"/>
        </w:rPr>
        <w:instrText>of</w:instrText>
      </w:r>
      <w:r w:rsidR="00C51648" w:rsidRPr="000322E4">
        <w:rPr>
          <w:iCs/>
        </w:rPr>
        <w:instrText xml:space="preserve"> </w:instrText>
      </w:r>
      <w:r w:rsidR="00C51648" w:rsidRPr="000322E4">
        <w:rPr>
          <w:iCs/>
          <w:lang w:val="en-US"/>
        </w:rPr>
        <w:instrText>therapy</w:instrText>
      </w:r>
      <w:r w:rsidR="00C51648" w:rsidRPr="000322E4">
        <w:rPr>
          <w:iCs/>
        </w:rPr>
        <w:instrText xml:space="preserve"> (</w:instrText>
      </w:r>
      <w:r w:rsidR="00C51648" w:rsidRPr="000322E4">
        <w:rPr>
          <w:iCs/>
          <w:lang w:val="en-US"/>
        </w:rPr>
        <w:instrText>median</w:instrText>
      </w:r>
      <w:r w:rsidR="00C51648" w:rsidRPr="000322E4">
        <w:rPr>
          <w:iCs/>
        </w:rPr>
        <w:instrText xml:space="preserve"> </w:instrText>
      </w:r>
      <w:r w:rsidR="00C51648" w:rsidRPr="000322E4">
        <w:rPr>
          <w:iCs/>
          <w:lang w:val="en-US"/>
        </w:rPr>
        <w:instrText>follow</w:instrText>
      </w:r>
      <w:r w:rsidR="00C51648" w:rsidRPr="000322E4">
        <w:rPr>
          <w:iCs/>
        </w:rPr>
        <w:instrText>-</w:instrText>
      </w:r>
      <w:r w:rsidR="00C51648" w:rsidRPr="000322E4">
        <w:rPr>
          <w:iCs/>
          <w:lang w:val="en-US"/>
        </w:rPr>
        <w:instrText>up</w:instrText>
      </w:r>
      <w:r w:rsidR="00C51648" w:rsidRPr="000322E4">
        <w:rPr>
          <w:iCs/>
        </w:rPr>
        <w:instrText xml:space="preserve"> 75 </w:instrText>
      </w:r>
      <w:r w:rsidR="00C51648" w:rsidRPr="000322E4">
        <w:rPr>
          <w:iCs/>
          <w:lang w:val="en-US"/>
        </w:rPr>
        <w:instrText>days</w:instrText>
      </w:r>
      <w:r w:rsidR="00C51648" w:rsidRPr="000322E4">
        <w:rPr>
          <w:iCs/>
        </w:rPr>
        <w:instrText xml:space="preserve">). </w:instrText>
      </w:r>
      <w:r w:rsidR="00C51648" w:rsidRPr="000322E4">
        <w:rPr>
          <w:iCs/>
          <w:lang w:val="en-US"/>
        </w:rPr>
        <w:instrText>Patients</w:instrText>
      </w:r>
      <w:r w:rsidR="00C51648" w:rsidRPr="000322E4">
        <w:rPr>
          <w:iCs/>
        </w:rPr>
        <w:instrText xml:space="preserve"> </w:instrText>
      </w:r>
      <w:r w:rsidR="00C51648" w:rsidRPr="000322E4">
        <w:rPr>
          <w:iCs/>
          <w:lang w:val="en-US"/>
        </w:rPr>
        <w:instrText>deemed</w:instrText>
      </w:r>
      <w:r w:rsidR="00C51648" w:rsidRPr="000322E4">
        <w:rPr>
          <w:iCs/>
        </w:rPr>
        <w:instrText xml:space="preserve"> </w:instrText>
      </w:r>
      <w:r w:rsidR="00C51648" w:rsidRPr="000322E4">
        <w:rPr>
          <w:iCs/>
          <w:lang w:val="en-US"/>
        </w:rPr>
        <w:instrText>high</w:instrText>
      </w:r>
      <w:r w:rsidR="00C51648" w:rsidRPr="000322E4">
        <w:rPr>
          <w:iCs/>
        </w:rPr>
        <w:instrText xml:space="preserve"> </w:instrText>
      </w:r>
      <w:r w:rsidR="00C51648" w:rsidRPr="000322E4">
        <w:rPr>
          <w:iCs/>
          <w:lang w:val="en-US"/>
        </w:rPr>
        <w:instrText>risk</w:instrText>
      </w:r>
      <w:r w:rsidR="00C51648" w:rsidRPr="000322E4">
        <w:rPr>
          <w:iCs/>
        </w:rPr>
        <w:instrText xml:space="preserve"> (</w:instrText>
      </w:r>
      <w:r w:rsidR="00C51648" w:rsidRPr="000322E4">
        <w:rPr>
          <w:iCs/>
          <w:lang w:val="en-US"/>
        </w:rPr>
        <w:instrText>n</w:instrText>
      </w:r>
      <w:r w:rsidR="00C51648" w:rsidRPr="000322E4">
        <w:rPr>
          <w:iCs/>
        </w:rPr>
        <w:instrText xml:space="preserve"> = 540, 12.3%) </w:instrText>
      </w:r>
      <w:r w:rsidR="00C51648" w:rsidRPr="000322E4">
        <w:rPr>
          <w:iCs/>
          <w:lang w:val="en-US"/>
        </w:rPr>
        <w:instrText>by</w:instrText>
      </w:r>
      <w:r w:rsidR="00C51648" w:rsidRPr="000322E4">
        <w:rPr>
          <w:iCs/>
        </w:rPr>
        <w:instrText xml:space="preserve"> </w:instrText>
      </w:r>
      <w:r w:rsidR="00C51648" w:rsidRPr="000322E4">
        <w:rPr>
          <w:iCs/>
          <w:lang w:val="en-US"/>
        </w:rPr>
        <w:instrText>the</w:instrText>
      </w:r>
      <w:r w:rsidR="00C51648" w:rsidRPr="000322E4">
        <w:rPr>
          <w:iCs/>
        </w:rPr>
        <w:instrText xml:space="preserve"> </w:instrText>
      </w:r>
      <w:r w:rsidR="00C51648" w:rsidRPr="000322E4">
        <w:rPr>
          <w:iCs/>
          <w:lang w:val="en-US"/>
        </w:rPr>
        <w:instrText>Clinical</w:instrText>
      </w:r>
      <w:r w:rsidR="00C51648" w:rsidRPr="000322E4">
        <w:rPr>
          <w:iCs/>
        </w:rPr>
        <w:instrText xml:space="preserve"> </w:instrText>
      </w:r>
      <w:r w:rsidR="00C51648" w:rsidRPr="000322E4">
        <w:rPr>
          <w:iCs/>
          <w:lang w:val="en-US"/>
        </w:rPr>
        <w:instrText>Risk</w:instrText>
      </w:r>
      <w:r w:rsidR="00C51648" w:rsidRPr="000322E4">
        <w:rPr>
          <w:iCs/>
        </w:rPr>
        <w:instrText xml:space="preserve"> </w:instrText>
      </w:r>
      <w:r w:rsidR="00C51648" w:rsidRPr="000322E4">
        <w:rPr>
          <w:iCs/>
          <w:lang w:val="en-US"/>
        </w:rPr>
        <w:instrText>Score</w:instrText>
      </w:r>
      <w:r w:rsidR="00C51648" w:rsidRPr="000322E4">
        <w:rPr>
          <w:iCs/>
        </w:rPr>
        <w:instrText xml:space="preserve"> </w:instrText>
      </w:r>
      <w:r w:rsidR="00C51648" w:rsidRPr="000322E4">
        <w:rPr>
          <w:iCs/>
          <w:lang w:val="en-US"/>
        </w:rPr>
        <w:instrText>had</w:instrText>
      </w:r>
      <w:r w:rsidR="00C51648" w:rsidRPr="000322E4">
        <w:rPr>
          <w:iCs/>
        </w:rPr>
        <w:instrText xml:space="preserve"> </w:instrText>
      </w:r>
      <w:r w:rsidR="00C51648" w:rsidRPr="000322E4">
        <w:rPr>
          <w:iCs/>
          <w:lang w:val="en-US"/>
        </w:rPr>
        <w:instrText>a</w:instrText>
      </w:r>
      <w:r w:rsidR="00C51648" w:rsidRPr="000322E4">
        <w:rPr>
          <w:iCs/>
        </w:rPr>
        <w:instrText xml:space="preserve"> 120-</w:instrText>
      </w:r>
      <w:r w:rsidR="00C51648" w:rsidRPr="000322E4">
        <w:rPr>
          <w:iCs/>
          <w:lang w:val="en-US"/>
        </w:rPr>
        <w:instrText>day</w:instrText>
      </w:r>
      <w:r w:rsidR="00C51648" w:rsidRPr="000322E4">
        <w:rPr>
          <w:iCs/>
        </w:rPr>
        <w:instrText xml:space="preserve"> </w:instrText>
      </w:r>
      <w:r w:rsidR="00C51648" w:rsidRPr="000322E4">
        <w:rPr>
          <w:iCs/>
          <w:lang w:val="en-US"/>
        </w:rPr>
        <w:instrText>mortality</w:instrText>
      </w:r>
      <w:r w:rsidR="00C51648" w:rsidRPr="000322E4">
        <w:rPr>
          <w:iCs/>
        </w:rPr>
        <w:instrText xml:space="preserve"> </w:instrText>
      </w:r>
      <w:r w:rsidR="00C51648" w:rsidRPr="000322E4">
        <w:rPr>
          <w:iCs/>
          <w:lang w:val="en-US"/>
        </w:rPr>
        <w:instrText>rate</w:instrText>
      </w:r>
      <w:r w:rsidR="00C51648" w:rsidRPr="000322E4">
        <w:rPr>
          <w:iCs/>
        </w:rPr>
        <w:instrText xml:space="preserve"> </w:instrText>
      </w:r>
      <w:r w:rsidR="00C51648" w:rsidRPr="000322E4">
        <w:rPr>
          <w:iCs/>
          <w:lang w:val="en-US"/>
        </w:rPr>
        <w:instrText>of</w:instrText>
      </w:r>
      <w:r w:rsidR="00C51648" w:rsidRPr="000322E4">
        <w:rPr>
          <w:iCs/>
        </w:rPr>
        <w:instrText xml:space="preserve"> 12.7% (</w:instrText>
      </w:r>
      <w:r w:rsidR="00C51648" w:rsidRPr="000322E4">
        <w:rPr>
          <w:iCs/>
          <w:lang w:val="en-US"/>
        </w:rPr>
        <w:instrText>adjusted</w:instrText>
      </w:r>
      <w:r w:rsidR="00C51648" w:rsidRPr="000322E4">
        <w:rPr>
          <w:iCs/>
        </w:rPr>
        <w:instrText xml:space="preserve"> </w:instrText>
      </w:r>
      <w:r w:rsidR="00C51648" w:rsidRPr="000322E4">
        <w:rPr>
          <w:iCs/>
          <w:lang w:val="en-US"/>
        </w:rPr>
        <w:instrText>hazard</w:instrText>
      </w:r>
      <w:r w:rsidR="00C51648" w:rsidRPr="000322E4">
        <w:rPr>
          <w:iCs/>
        </w:rPr>
        <w:instrText xml:space="preserve"> </w:instrText>
      </w:r>
      <w:r w:rsidR="00C51648" w:rsidRPr="000322E4">
        <w:rPr>
          <w:iCs/>
          <w:lang w:val="en-US"/>
        </w:rPr>
        <w:instrText>ratio</w:instrText>
      </w:r>
      <w:r w:rsidR="00C51648" w:rsidRPr="000322E4">
        <w:rPr>
          <w:iCs/>
        </w:rPr>
        <w:instrText xml:space="preserve"> [</w:instrText>
      </w:r>
      <w:r w:rsidR="00C51648" w:rsidRPr="000322E4">
        <w:rPr>
          <w:iCs/>
          <w:lang w:val="en-US"/>
        </w:rPr>
        <w:instrText>aHR</w:instrText>
      </w:r>
      <w:r w:rsidR="00C51648" w:rsidRPr="000322E4">
        <w:rPr>
          <w:iCs/>
        </w:rPr>
        <w:instrText xml:space="preserve">] 3.00, 95% </w:instrText>
      </w:r>
      <w:r w:rsidR="00C51648" w:rsidRPr="000322E4">
        <w:rPr>
          <w:iCs/>
          <w:lang w:val="en-US"/>
        </w:rPr>
        <w:instrText>confidence</w:instrText>
      </w:r>
      <w:r w:rsidR="00C51648" w:rsidRPr="000322E4">
        <w:rPr>
          <w:iCs/>
        </w:rPr>
        <w:instrText xml:space="preserve"> </w:instrText>
      </w:r>
      <w:r w:rsidR="00C51648" w:rsidRPr="000322E4">
        <w:rPr>
          <w:iCs/>
          <w:lang w:val="en-US"/>
        </w:rPr>
        <w:instrText>interval</w:instrText>
      </w:r>
      <w:r w:rsidR="00C51648" w:rsidRPr="000322E4">
        <w:rPr>
          <w:iCs/>
        </w:rPr>
        <w:instrText xml:space="preserve"> [</w:instrText>
      </w:r>
      <w:r w:rsidR="00C51648" w:rsidRPr="000322E4">
        <w:rPr>
          <w:iCs/>
          <w:lang w:val="en-US"/>
        </w:rPr>
        <w:instrText>CI</w:instrText>
      </w:r>
      <w:r w:rsidR="00C51648" w:rsidRPr="000322E4">
        <w:rPr>
          <w:iCs/>
        </w:rPr>
        <w:instrText xml:space="preserve">]  1.4-6.3), </w:instrText>
      </w:r>
      <w:r w:rsidR="00C51648" w:rsidRPr="000322E4">
        <w:rPr>
          <w:iCs/>
          <w:lang w:val="en-US"/>
        </w:rPr>
        <w:instrText>and</w:instrText>
      </w:r>
      <w:r w:rsidR="00C51648" w:rsidRPr="000322E4">
        <w:rPr>
          <w:iCs/>
        </w:rPr>
        <w:instrText xml:space="preserve"> </w:instrText>
      </w:r>
      <w:r w:rsidR="00C51648" w:rsidRPr="000322E4">
        <w:rPr>
          <w:iCs/>
          <w:lang w:val="en-US"/>
        </w:rPr>
        <w:instrText>intermediate</w:instrText>
      </w:r>
      <w:r w:rsidR="00C51648" w:rsidRPr="000322E4">
        <w:rPr>
          <w:iCs/>
        </w:rPr>
        <w:instrText>-</w:instrText>
      </w:r>
      <w:r w:rsidR="00C51648" w:rsidRPr="000322E4">
        <w:rPr>
          <w:iCs/>
          <w:lang w:val="en-US"/>
        </w:rPr>
        <w:instrText>risk</w:instrText>
      </w:r>
      <w:r w:rsidR="00C51648" w:rsidRPr="000322E4">
        <w:rPr>
          <w:iCs/>
        </w:rPr>
        <w:instrText xml:space="preserve"> </w:instrText>
      </w:r>
      <w:r w:rsidR="00C51648" w:rsidRPr="000322E4">
        <w:rPr>
          <w:iCs/>
          <w:lang w:val="en-US"/>
        </w:rPr>
        <w:instrText>patients</w:instrText>
      </w:r>
      <w:r w:rsidR="00C51648" w:rsidRPr="000322E4">
        <w:rPr>
          <w:iCs/>
        </w:rPr>
        <w:instrText xml:space="preserve"> (</w:instrText>
      </w:r>
      <w:r w:rsidR="00C51648" w:rsidRPr="000322E4">
        <w:rPr>
          <w:iCs/>
          <w:lang w:val="en-US"/>
        </w:rPr>
        <w:instrText>n</w:instrText>
      </w:r>
      <w:r w:rsidR="00C51648" w:rsidRPr="000322E4">
        <w:rPr>
          <w:iCs/>
        </w:rPr>
        <w:instrText xml:space="preserve"> = 2,665, 60.5%) </w:instrText>
      </w:r>
      <w:r w:rsidR="00C51648" w:rsidRPr="000322E4">
        <w:rPr>
          <w:iCs/>
          <w:lang w:val="en-US"/>
        </w:rPr>
        <w:instrText>had</w:instrText>
      </w:r>
      <w:r w:rsidR="00C51648" w:rsidRPr="000322E4">
        <w:rPr>
          <w:iCs/>
        </w:rPr>
        <w:instrText xml:space="preserve"> </w:instrText>
      </w:r>
      <w:r w:rsidR="00C51648" w:rsidRPr="000322E4">
        <w:rPr>
          <w:iCs/>
          <w:lang w:val="en-US"/>
        </w:rPr>
        <w:instrText>a</w:instrText>
      </w:r>
      <w:r w:rsidR="00C51648" w:rsidRPr="000322E4">
        <w:rPr>
          <w:iCs/>
        </w:rPr>
        <w:instrText xml:space="preserve"> </w:instrText>
      </w:r>
      <w:r w:rsidR="00C51648" w:rsidRPr="000322E4">
        <w:rPr>
          <w:iCs/>
          <w:lang w:val="en-US"/>
        </w:rPr>
        <w:instrText>mortality</w:instrText>
      </w:r>
      <w:r w:rsidR="00C51648" w:rsidRPr="000322E4">
        <w:rPr>
          <w:iCs/>
        </w:rPr>
        <w:instrText xml:space="preserve"> </w:instrText>
      </w:r>
      <w:r w:rsidR="00C51648" w:rsidRPr="000322E4">
        <w:rPr>
          <w:iCs/>
          <w:lang w:val="en-US"/>
        </w:rPr>
        <w:instrText>rate</w:instrText>
      </w:r>
      <w:r w:rsidR="00C51648" w:rsidRPr="000322E4">
        <w:rPr>
          <w:iCs/>
        </w:rPr>
        <w:instrText xml:space="preserve"> </w:instrText>
      </w:r>
      <w:r w:rsidR="00C51648" w:rsidRPr="000322E4">
        <w:rPr>
          <w:iCs/>
          <w:lang w:val="en-US"/>
        </w:rPr>
        <w:instrText>of</w:instrText>
      </w:r>
      <w:r w:rsidR="00C51648" w:rsidRPr="000322E4">
        <w:rPr>
          <w:iCs/>
        </w:rPr>
        <w:instrText xml:space="preserve"> 5.9% (</w:instrText>
      </w:r>
      <w:r w:rsidR="00C51648" w:rsidRPr="000322E4">
        <w:rPr>
          <w:iCs/>
          <w:lang w:val="en-US"/>
        </w:rPr>
        <w:instrText>aHR</w:instrText>
      </w:r>
      <w:r w:rsidR="00C51648" w:rsidRPr="000322E4">
        <w:rPr>
          <w:iCs/>
        </w:rPr>
        <w:instrText xml:space="preserve"> 2.3, 95% </w:instrText>
      </w:r>
      <w:r w:rsidR="00C51648" w:rsidRPr="000322E4">
        <w:rPr>
          <w:iCs/>
          <w:lang w:val="en-US"/>
        </w:rPr>
        <w:instrText>CI</w:instrText>
      </w:r>
      <w:r w:rsidR="00C51648" w:rsidRPr="000322E4">
        <w:rPr>
          <w:iCs/>
        </w:rPr>
        <w:instrText xml:space="preserve"> 1.2-4.4) </w:instrText>
      </w:r>
      <w:r w:rsidR="00C51648" w:rsidRPr="000322E4">
        <w:rPr>
          <w:iCs/>
          <w:lang w:val="en-US"/>
        </w:rPr>
        <w:instrText>compared</w:instrText>
      </w:r>
      <w:r w:rsidR="00C51648" w:rsidRPr="000322E4">
        <w:rPr>
          <w:iCs/>
        </w:rPr>
        <w:instrText xml:space="preserve"> </w:instrText>
      </w:r>
      <w:r w:rsidR="00C51648" w:rsidRPr="000322E4">
        <w:rPr>
          <w:iCs/>
          <w:lang w:val="en-US"/>
        </w:rPr>
        <w:instrText>with</w:instrText>
      </w:r>
      <w:r w:rsidR="00C51648" w:rsidRPr="000322E4">
        <w:rPr>
          <w:iCs/>
        </w:rPr>
        <w:instrText xml:space="preserve"> </w:instrText>
      </w:r>
      <w:r w:rsidR="00C51648" w:rsidRPr="000322E4">
        <w:rPr>
          <w:iCs/>
          <w:lang w:val="en-US"/>
        </w:rPr>
        <w:instrText>only</w:instrText>
      </w:r>
      <w:r w:rsidR="00C51648" w:rsidRPr="000322E4">
        <w:rPr>
          <w:iCs/>
        </w:rPr>
        <w:instrText xml:space="preserve"> 1.4% </w:instrText>
      </w:r>
      <w:r w:rsidR="00C51648" w:rsidRPr="000322E4">
        <w:rPr>
          <w:iCs/>
          <w:lang w:val="en-US"/>
        </w:rPr>
        <w:instrText>for</w:instrText>
      </w:r>
      <w:r w:rsidR="00C51648" w:rsidRPr="000322E4">
        <w:rPr>
          <w:iCs/>
        </w:rPr>
        <w:instrText xml:space="preserve"> </w:instrText>
      </w:r>
      <w:r w:rsidR="00C51648" w:rsidRPr="000322E4">
        <w:rPr>
          <w:iCs/>
          <w:lang w:val="en-US"/>
        </w:rPr>
        <w:instrText>low</w:instrText>
      </w:r>
      <w:r w:rsidR="00C51648" w:rsidRPr="000322E4">
        <w:rPr>
          <w:iCs/>
        </w:rPr>
        <w:instrText>-</w:instrText>
      </w:r>
      <w:r w:rsidR="00C51648" w:rsidRPr="000322E4">
        <w:rPr>
          <w:iCs/>
          <w:lang w:val="en-US"/>
        </w:rPr>
        <w:instrText>risk</w:instrText>
      </w:r>
      <w:r w:rsidR="00C51648" w:rsidRPr="000322E4">
        <w:rPr>
          <w:iCs/>
        </w:rPr>
        <w:instrText xml:space="preserve"> </w:instrText>
      </w:r>
      <w:r w:rsidR="00C51648" w:rsidRPr="000322E4">
        <w:rPr>
          <w:iCs/>
          <w:lang w:val="en-US"/>
        </w:rPr>
        <w:instrText>patients</w:instrText>
      </w:r>
      <w:r w:rsidR="00C51648" w:rsidRPr="000322E4">
        <w:rPr>
          <w:iCs/>
        </w:rPr>
        <w:instrText xml:space="preserve"> (</w:instrText>
      </w:r>
      <w:r w:rsidR="00C51648" w:rsidRPr="000322E4">
        <w:rPr>
          <w:iCs/>
          <w:lang w:val="en-US"/>
        </w:rPr>
        <w:instrText>n</w:instrText>
      </w:r>
      <w:r w:rsidR="00C51648" w:rsidRPr="000322E4">
        <w:rPr>
          <w:iCs/>
        </w:rPr>
        <w:instrText xml:space="preserve"> = 1,200, 27.2%). </w:instrText>
      </w:r>
      <w:r w:rsidR="00C51648" w:rsidRPr="000322E4">
        <w:rPr>
          <w:iCs/>
          <w:lang w:val="en-US"/>
        </w:rPr>
        <w:instrText>At</w:instrText>
      </w:r>
      <w:r w:rsidR="00C51648" w:rsidRPr="000322E4">
        <w:rPr>
          <w:iCs/>
        </w:rPr>
        <w:instrText xml:space="preserve"> 120 </w:instrText>
      </w:r>
      <w:r w:rsidR="00C51648" w:rsidRPr="000322E4">
        <w:rPr>
          <w:iCs/>
          <w:lang w:val="en-US"/>
        </w:rPr>
        <w:instrText>days</w:instrText>
      </w:r>
      <w:r w:rsidR="00C51648" w:rsidRPr="000322E4">
        <w:rPr>
          <w:iCs/>
        </w:rPr>
        <w:instrText xml:space="preserve"> </w:instrText>
      </w:r>
      <w:r w:rsidR="00C51648" w:rsidRPr="000322E4">
        <w:rPr>
          <w:iCs/>
          <w:lang w:val="en-US"/>
        </w:rPr>
        <w:instrText>of</w:instrText>
      </w:r>
      <w:r w:rsidR="00C51648" w:rsidRPr="000322E4">
        <w:rPr>
          <w:iCs/>
        </w:rPr>
        <w:instrText xml:space="preserve"> </w:instrText>
      </w:r>
      <w:r w:rsidR="00C51648" w:rsidRPr="000322E4">
        <w:rPr>
          <w:iCs/>
          <w:lang w:val="en-US"/>
        </w:rPr>
        <w:instrText>follow</w:instrText>
      </w:r>
      <w:r w:rsidR="00C51648" w:rsidRPr="000322E4">
        <w:rPr>
          <w:iCs/>
        </w:rPr>
        <w:instrText>-</w:instrText>
      </w:r>
      <w:r w:rsidR="00C51648" w:rsidRPr="000322E4">
        <w:rPr>
          <w:iCs/>
          <w:lang w:val="en-US"/>
        </w:rPr>
        <w:instrText>up</w:instrText>
      </w:r>
      <w:r w:rsidR="00C51648" w:rsidRPr="000322E4">
        <w:rPr>
          <w:iCs/>
        </w:rPr>
        <w:instrText xml:space="preserve">, </w:instrText>
      </w:r>
      <w:r w:rsidR="00C51648" w:rsidRPr="000322E4">
        <w:rPr>
          <w:iCs/>
          <w:lang w:val="en-US"/>
        </w:rPr>
        <w:instrText>cancer</w:instrText>
      </w:r>
      <w:r w:rsidR="00C51648" w:rsidRPr="000322E4">
        <w:rPr>
          <w:iCs/>
        </w:rPr>
        <w:instrText xml:space="preserve"> </w:instrText>
      </w:r>
      <w:r w:rsidR="00C51648" w:rsidRPr="000322E4">
        <w:rPr>
          <w:iCs/>
          <w:lang w:val="en-US"/>
        </w:rPr>
        <w:instrText>progression</w:instrText>
      </w:r>
      <w:r w:rsidR="00C51648" w:rsidRPr="000322E4">
        <w:rPr>
          <w:iCs/>
        </w:rPr>
        <w:instrText xml:space="preserve"> </w:instrText>
      </w:r>
      <w:r w:rsidR="00C51648" w:rsidRPr="000322E4">
        <w:rPr>
          <w:iCs/>
          <w:lang w:val="en-US"/>
        </w:rPr>
        <w:instrText>occurred</w:instrText>
      </w:r>
      <w:r w:rsidR="00C51648" w:rsidRPr="000322E4">
        <w:rPr>
          <w:iCs/>
        </w:rPr>
        <w:instrText xml:space="preserve"> </w:instrText>
      </w:r>
      <w:r w:rsidR="00C51648" w:rsidRPr="000322E4">
        <w:rPr>
          <w:iCs/>
          <w:lang w:val="en-US"/>
        </w:rPr>
        <w:instrText>in</w:instrText>
      </w:r>
      <w:r w:rsidR="00C51648" w:rsidRPr="000322E4">
        <w:rPr>
          <w:iCs/>
        </w:rPr>
        <w:instrText xml:space="preserve"> 27.2% </w:instrText>
      </w:r>
      <w:r w:rsidR="00C51648" w:rsidRPr="000322E4">
        <w:rPr>
          <w:iCs/>
          <w:lang w:val="en-US"/>
        </w:rPr>
        <w:instrText>of</w:instrText>
      </w:r>
      <w:r w:rsidR="00C51648" w:rsidRPr="000322E4">
        <w:rPr>
          <w:iCs/>
        </w:rPr>
        <w:instrText xml:space="preserve"> </w:instrText>
      </w:r>
      <w:r w:rsidR="00C51648" w:rsidRPr="000322E4">
        <w:rPr>
          <w:iCs/>
          <w:lang w:val="en-US"/>
        </w:rPr>
        <w:instrText>high</w:instrText>
      </w:r>
      <w:r w:rsidR="00C51648" w:rsidRPr="000322E4">
        <w:rPr>
          <w:iCs/>
        </w:rPr>
        <w:instrText>-</w:instrText>
      </w:r>
      <w:r w:rsidR="00C51648" w:rsidRPr="000322E4">
        <w:rPr>
          <w:iCs/>
          <w:lang w:val="en-US"/>
        </w:rPr>
        <w:instrText>risk</w:instrText>
      </w:r>
      <w:r w:rsidR="00C51648" w:rsidRPr="000322E4">
        <w:rPr>
          <w:iCs/>
        </w:rPr>
        <w:instrText xml:space="preserve"> </w:instrText>
      </w:r>
      <w:r w:rsidR="00C51648" w:rsidRPr="000322E4">
        <w:rPr>
          <w:iCs/>
          <w:lang w:val="en-US"/>
        </w:rPr>
        <w:instrText>patients</w:instrText>
      </w:r>
      <w:r w:rsidR="00C51648" w:rsidRPr="000322E4">
        <w:rPr>
          <w:iCs/>
        </w:rPr>
        <w:instrText xml:space="preserve"> (</w:instrText>
      </w:r>
      <w:r w:rsidR="00C51648" w:rsidRPr="000322E4">
        <w:rPr>
          <w:iCs/>
          <w:lang w:val="en-US"/>
        </w:rPr>
        <w:instrText>aHR</w:instrText>
      </w:r>
      <w:r w:rsidR="00C51648" w:rsidRPr="000322E4">
        <w:rPr>
          <w:iCs/>
        </w:rPr>
        <w:instrText xml:space="preserve"> 2.2, 95% </w:instrText>
      </w:r>
      <w:r w:rsidR="00C51648" w:rsidRPr="000322E4">
        <w:rPr>
          <w:iCs/>
          <w:lang w:val="en-US"/>
        </w:rPr>
        <w:instrText>CI</w:instrText>
      </w:r>
      <w:r w:rsidR="00C51648" w:rsidRPr="000322E4">
        <w:rPr>
          <w:iCs/>
        </w:rPr>
        <w:instrText xml:space="preserve"> 1.4-3.5) </w:instrText>
      </w:r>
      <w:r w:rsidR="00C51648" w:rsidRPr="000322E4">
        <w:rPr>
          <w:iCs/>
          <w:lang w:val="en-US"/>
        </w:rPr>
        <w:instrText>and</w:instrText>
      </w:r>
      <w:r w:rsidR="00C51648" w:rsidRPr="000322E4">
        <w:rPr>
          <w:iCs/>
        </w:rPr>
        <w:instrText xml:space="preserve"> 16.4% </w:instrText>
      </w:r>
      <w:r w:rsidR="00C51648" w:rsidRPr="000322E4">
        <w:rPr>
          <w:iCs/>
          <w:lang w:val="en-US"/>
        </w:rPr>
        <w:instrText>of</w:instrText>
      </w:r>
      <w:r w:rsidR="00C51648" w:rsidRPr="000322E4">
        <w:rPr>
          <w:iCs/>
        </w:rPr>
        <w:instrText xml:space="preserve"> </w:instrText>
      </w:r>
      <w:r w:rsidR="00C51648" w:rsidRPr="000322E4">
        <w:rPr>
          <w:iCs/>
          <w:lang w:val="en-US"/>
        </w:rPr>
        <w:instrText>intermediate</w:instrText>
      </w:r>
      <w:r w:rsidR="00C51648" w:rsidRPr="000322E4">
        <w:rPr>
          <w:iCs/>
        </w:rPr>
        <w:instrText>-</w:instrText>
      </w:r>
      <w:r w:rsidR="00C51648" w:rsidRPr="000322E4">
        <w:rPr>
          <w:iCs/>
          <w:lang w:val="en-US"/>
        </w:rPr>
        <w:instrText>risk</w:instrText>
      </w:r>
      <w:r w:rsidR="00C51648" w:rsidRPr="000322E4">
        <w:rPr>
          <w:iCs/>
        </w:rPr>
        <w:instrText xml:space="preserve"> </w:instrText>
      </w:r>
      <w:r w:rsidR="00C51648" w:rsidRPr="000322E4">
        <w:rPr>
          <w:iCs/>
          <w:lang w:val="en-US"/>
        </w:rPr>
        <w:instrText>patients</w:instrText>
      </w:r>
      <w:r w:rsidR="00C51648" w:rsidRPr="000322E4">
        <w:rPr>
          <w:iCs/>
        </w:rPr>
        <w:instrText xml:space="preserve"> (</w:instrText>
      </w:r>
      <w:r w:rsidR="00C51648" w:rsidRPr="000322E4">
        <w:rPr>
          <w:iCs/>
          <w:lang w:val="en-US"/>
        </w:rPr>
        <w:instrText>aHR</w:instrText>
      </w:r>
      <w:r w:rsidR="00C51648" w:rsidRPr="000322E4">
        <w:rPr>
          <w:iCs/>
        </w:rPr>
        <w:instrText xml:space="preserve"> 1.9, 95% </w:instrText>
      </w:r>
      <w:r w:rsidR="00C51648" w:rsidRPr="000322E4">
        <w:rPr>
          <w:iCs/>
          <w:lang w:val="en-US"/>
        </w:rPr>
        <w:instrText>CI</w:instrText>
      </w:r>
      <w:r w:rsidR="00C51648" w:rsidRPr="000322E4">
        <w:rPr>
          <w:iCs/>
        </w:rPr>
        <w:instrText xml:space="preserve"> 1.3-2.7) </w:instrText>
      </w:r>
      <w:r w:rsidR="00C51648" w:rsidRPr="000322E4">
        <w:rPr>
          <w:iCs/>
          <w:lang w:val="en-US"/>
        </w:rPr>
        <w:instrText>compared</w:instrText>
      </w:r>
      <w:r w:rsidR="00C51648" w:rsidRPr="000322E4">
        <w:rPr>
          <w:iCs/>
        </w:rPr>
        <w:instrText xml:space="preserve"> </w:instrText>
      </w:r>
      <w:r w:rsidR="00C51648" w:rsidRPr="000322E4">
        <w:rPr>
          <w:iCs/>
          <w:lang w:val="en-US"/>
        </w:rPr>
        <w:instrText>with</w:instrText>
      </w:r>
      <w:r w:rsidR="00C51648" w:rsidRPr="000322E4">
        <w:rPr>
          <w:iCs/>
        </w:rPr>
        <w:instrText xml:space="preserve"> </w:instrText>
      </w:r>
      <w:r w:rsidR="00C51648" w:rsidRPr="000322E4">
        <w:rPr>
          <w:iCs/>
          <w:lang w:val="en-US"/>
        </w:rPr>
        <w:instrText>only</w:instrText>
      </w:r>
      <w:r w:rsidR="00C51648" w:rsidRPr="000322E4">
        <w:rPr>
          <w:iCs/>
        </w:rPr>
        <w:instrText xml:space="preserve"> 8.5% </w:instrText>
      </w:r>
      <w:r w:rsidR="00C51648" w:rsidRPr="000322E4">
        <w:rPr>
          <w:iCs/>
          <w:lang w:val="en-US"/>
        </w:rPr>
        <w:instrText>of</w:instrText>
      </w:r>
      <w:r w:rsidR="00C51648" w:rsidRPr="000322E4">
        <w:rPr>
          <w:iCs/>
        </w:rPr>
        <w:instrText xml:space="preserve"> </w:instrText>
      </w:r>
      <w:r w:rsidR="00C51648" w:rsidRPr="000322E4">
        <w:rPr>
          <w:iCs/>
          <w:lang w:val="en-US"/>
        </w:rPr>
        <w:instrText>low</w:instrText>
      </w:r>
      <w:r w:rsidR="00C51648" w:rsidRPr="000322E4">
        <w:rPr>
          <w:iCs/>
        </w:rPr>
        <w:instrText>-</w:instrText>
      </w:r>
      <w:r w:rsidR="00C51648" w:rsidRPr="000322E4">
        <w:rPr>
          <w:iCs/>
          <w:lang w:val="en-US"/>
        </w:rPr>
        <w:instrText>risk</w:instrText>
      </w:r>
      <w:r w:rsidR="00C51648" w:rsidRPr="000322E4">
        <w:rPr>
          <w:iCs/>
        </w:rPr>
        <w:instrText xml:space="preserve"> </w:instrText>
      </w:r>
      <w:r w:rsidR="00C51648" w:rsidRPr="000322E4">
        <w:rPr>
          <w:iCs/>
          <w:lang w:val="en-US"/>
        </w:rPr>
        <w:instrText>patients</w:instrText>
      </w:r>
      <w:r w:rsidR="00C51648" w:rsidRPr="000322E4">
        <w:rPr>
          <w:iCs/>
        </w:rPr>
        <w:instrText xml:space="preserve"> (</w:instrText>
      </w:r>
      <w:r w:rsidR="00C51648" w:rsidRPr="000322E4">
        <w:rPr>
          <w:iCs/>
          <w:lang w:val="en-US"/>
        </w:rPr>
        <w:instrText>p</w:instrText>
      </w:r>
      <w:r w:rsidR="00C51648" w:rsidRPr="000322E4">
        <w:rPr>
          <w:iCs/>
        </w:rPr>
        <w:instrText xml:space="preserve">  &lt;  .0001). </w:instrText>
      </w:r>
      <w:r w:rsidR="00C51648" w:rsidRPr="000322E4">
        <w:rPr>
          <w:iCs/>
          <w:lang w:val="en-US"/>
        </w:rPr>
        <w:instrText>Conclusion</w:instrText>
      </w:r>
      <w:r w:rsidR="00C51648" w:rsidRPr="000322E4">
        <w:rPr>
          <w:iCs/>
        </w:rPr>
        <w:instrText xml:space="preserve">. </w:instrText>
      </w:r>
      <w:r w:rsidR="00C51648" w:rsidRPr="000322E4">
        <w:rPr>
          <w:iCs/>
          <w:lang w:val="en-US"/>
        </w:rPr>
        <w:instrText>The</w:instrText>
      </w:r>
      <w:r w:rsidR="00C51648" w:rsidRPr="000322E4">
        <w:rPr>
          <w:iCs/>
        </w:rPr>
        <w:instrText xml:space="preserve"> </w:instrText>
      </w:r>
      <w:r w:rsidR="00C51648" w:rsidRPr="000322E4">
        <w:rPr>
          <w:iCs/>
          <w:lang w:val="en-US"/>
        </w:rPr>
        <w:instrText>Clinical</w:instrText>
      </w:r>
      <w:r w:rsidR="00C51648" w:rsidRPr="000322E4">
        <w:rPr>
          <w:iCs/>
        </w:rPr>
        <w:instrText xml:space="preserve"> </w:instrText>
      </w:r>
      <w:r w:rsidR="00C51648" w:rsidRPr="000322E4">
        <w:rPr>
          <w:iCs/>
          <w:lang w:val="en-US"/>
        </w:rPr>
        <w:instrText>Risk</w:instrText>
      </w:r>
      <w:r w:rsidR="00C51648" w:rsidRPr="000322E4">
        <w:rPr>
          <w:iCs/>
        </w:rPr>
        <w:instrText xml:space="preserve"> </w:instrText>
      </w:r>
      <w:r w:rsidR="00C51648" w:rsidRPr="000322E4">
        <w:rPr>
          <w:iCs/>
          <w:lang w:val="en-US"/>
        </w:rPr>
        <w:instrText>Score</w:instrText>
      </w:r>
      <w:r w:rsidR="00C51648" w:rsidRPr="000322E4">
        <w:rPr>
          <w:iCs/>
        </w:rPr>
        <w:instrText xml:space="preserve">, </w:instrText>
      </w:r>
      <w:r w:rsidR="00C51648" w:rsidRPr="000322E4">
        <w:rPr>
          <w:iCs/>
          <w:lang w:val="en-US"/>
        </w:rPr>
        <w:instrText>originally</w:instrText>
      </w:r>
      <w:r w:rsidR="00C51648" w:rsidRPr="000322E4">
        <w:rPr>
          <w:iCs/>
        </w:rPr>
        <w:instrText xml:space="preserve"> </w:instrText>
      </w:r>
      <w:r w:rsidR="00C51648" w:rsidRPr="000322E4">
        <w:rPr>
          <w:iCs/>
          <w:lang w:val="en-US"/>
        </w:rPr>
        <w:instrText>developed</w:instrText>
      </w:r>
      <w:r w:rsidR="00C51648" w:rsidRPr="000322E4">
        <w:rPr>
          <w:iCs/>
        </w:rPr>
        <w:instrText xml:space="preserve"> </w:instrText>
      </w:r>
      <w:r w:rsidR="00C51648" w:rsidRPr="000322E4">
        <w:rPr>
          <w:iCs/>
          <w:lang w:val="en-US"/>
        </w:rPr>
        <w:instrText>to</w:instrText>
      </w:r>
      <w:r w:rsidR="00C51648" w:rsidRPr="000322E4">
        <w:rPr>
          <w:iCs/>
        </w:rPr>
        <w:instrText xml:space="preserve"> </w:instrText>
      </w:r>
      <w:r w:rsidR="00C51648" w:rsidRPr="000322E4">
        <w:rPr>
          <w:iCs/>
          <w:lang w:val="en-US"/>
        </w:rPr>
        <w:instrText>predict</w:instrText>
      </w:r>
      <w:r w:rsidR="00C51648" w:rsidRPr="000322E4">
        <w:rPr>
          <w:iCs/>
        </w:rPr>
        <w:instrText xml:space="preserve"> </w:instrText>
      </w:r>
      <w:r w:rsidR="00C51648" w:rsidRPr="000322E4">
        <w:rPr>
          <w:iCs/>
          <w:lang w:val="en-US"/>
        </w:rPr>
        <w:instrText>the</w:instrText>
      </w:r>
      <w:r w:rsidR="00C51648" w:rsidRPr="000322E4">
        <w:rPr>
          <w:iCs/>
        </w:rPr>
        <w:instrText xml:space="preserve"> </w:instrText>
      </w:r>
      <w:r w:rsidR="00C51648" w:rsidRPr="000322E4">
        <w:rPr>
          <w:iCs/>
          <w:lang w:val="en-US"/>
        </w:rPr>
        <w:instrText>occurrence</w:instrText>
      </w:r>
      <w:r w:rsidR="00C51648" w:rsidRPr="000322E4">
        <w:rPr>
          <w:iCs/>
        </w:rPr>
        <w:instrText xml:space="preserve"> </w:instrText>
      </w:r>
      <w:r w:rsidR="00C51648" w:rsidRPr="000322E4">
        <w:rPr>
          <w:iCs/>
          <w:lang w:val="en-US"/>
        </w:rPr>
        <w:instrText>of</w:instrText>
      </w:r>
      <w:r w:rsidR="00C51648" w:rsidRPr="000322E4">
        <w:rPr>
          <w:iCs/>
        </w:rPr>
        <w:instrText xml:space="preserve"> </w:instrText>
      </w:r>
      <w:r w:rsidR="00C51648" w:rsidRPr="000322E4">
        <w:rPr>
          <w:iCs/>
          <w:lang w:val="en-US"/>
        </w:rPr>
        <w:instrText>VTE</w:instrText>
      </w:r>
      <w:r w:rsidR="00C51648" w:rsidRPr="000322E4">
        <w:rPr>
          <w:iCs/>
        </w:rPr>
        <w:instrText xml:space="preserve">, </w:instrText>
      </w:r>
      <w:r w:rsidR="00C51648" w:rsidRPr="000322E4">
        <w:rPr>
          <w:iCs/>
          <w:lang w:val="en-US"/>
        </w:rPr>
        <w:instrText>is</w:instrText>
      </w:r>
      <w:r w:rsidR="00C51648" w:rsidRPr="000322E4">
        <w:rPr>
          <w:iCs/>
        </w:rPr>
        <w:instrText xml:space="preserve"> </w:instrText>
      </w:r>
      <w:r w:rsidR="00C51648" w:rsidRPr="000322E4">
        <w:rPr>
          <w:iCs/>
          <w:lang w:val="en-US"/>
        </w:rPr>
        <w:instrText>also</w:instrText>
      </w:r>
      <w:r w:rsidR="00C51648" w:rsidRPr="000322E4">
        <w:rPr>
          <w:iCs/>
        </w:rPr>
        <w:instrText xml:space="preserve"> </w:instrText>
      </w:r>
      <w:r w:rsidR="00C51648" w:rsidRPr="000322E4">
        <w:rPr>
          <w:iCs/>
          <w:lang w:val="en-US"/>
        </w:rPr>
        <w:instrText>predictive</w:instrText>
      </w:r>
      <w:r w:rsidR="00C51648" w:rsidRPr="000322E4">
        <w:rPr>
          <w:iCs/>
        </w:rPr>
        <w:instrText xml:space="preserve"> </w:instrText>
      </w:r>
      <w:r w:rsidR="00C51648" w:rsidRPr="000322E4">
        <w:rPr>
          <w:iCs/>
          <w:lang w:val="en-US"/>
        </w:rPr>
        <w:instrText>of</w:instrText>
      </w:r>
      <w:r w:rsidR="00C51648" w:rsidRPr="000322E4">
        <w:rPr>
          <w:iCs/>
        </w:rPr>
        <w:instrText xml:space="preserve"> </w:instrText>
      </w:r>
      <w:r w:rsidR="00C51648" w:rsidRPr="000322E4">
        <w:rPr>
          <w:iCs/>
          <w:lang w:val="en-US"/>
        </w:rPr>
        <w:instrText>early</w:instrText>
      </w:r>
      <w:r w:rsidR="00C51648" w:rsidRPr="000322E4">
        <w:rPr>
          <w:iCs/>
        </w:rPr>
        <w:instrText xml:space="preserve"> </w:instrText>
      </w:r>
      <w:r w:rsidR="00C51648" w:rsidRPr="000322E4">
        <w:rPr>
          <w:iCs/>
          <w:lang w:val="en-US"/>
        </w:rPr>
        <w:instrText>mortality</w:instrText>
      </w:r>
      <w:r w:rsidR="00C51648" w:rsidRPr="000322E4">
        <w:rPr>
          <w:iCs/>
        </w:rPr>
        <w:instrText xml:space="preserve"> </w:instrText>
      </w:r>
      <w:r w:rsidR="00C51648" w:rsidRPr="000322E4">
        <w:rPr>
          <w:iCs/>
          <w:lang w:val="en-US"/>
        </w:rPr>
        <w:instrText>and</w:instrText>
      </w:r>
      <w:r w:rsidR="00C51648" w:rsidRPr="000322E4">
        <w:rPr>
          <w:iCs/>
        </w:rPr>
        <w:instrText xml:space="preserve"> </w:instrText>
      </w:r>
      <w:r w:rsidR="00C51648" w:rsidRPr="000322E4">
        <w:rPr>
          <w:iCs/>
          <w:lang w:val="en-US"/>
        </w:rPr>
        <w:instrText>cancer</w:instrText>
      </w:r>
      <w:r w:rsidR="00C51648" w:rsidRPr="000322E4">
        <w:rPr>
          <w:iCs/>
        </w:rPr>
        <w:instrText xml:space="preserve"> </w:instrText>
      </w:r>
      <w:r w:rsidR="00C51648" w:rsidRPr="000322E4">
        <w:rPr>
          <w:iCs/>
          <w:lang w:val="en-US"/>
        </w:rPr>
        <w:instrText>progression</w:instrText>
      </w:r>
      <w:r w:rsidR="00C51648" w:rsidRPr="000322E4">
        <w:rPr>
          <w:iCs/>
        </w:rPr>
        <w:instrText xml:space="preserve"> </w:instrText>
      </w:r>
      <w:r w:rsidR="00C51648" w:rsidRPr="000322E4">
        <w:rPr>
          <w:iCs/>
          <w:lang w:val="en-US"/>
        </w:rPr>
        <w:instrText>during</w:instrText>
      </w:r>
      <w:r w:rsidR="00C51648" w:rsidRPr="000322E4">
        <w:rPr>
          <w:iCs/>
        </w:rPr>
        <w:instrText xml:space="preserve"> </w:instrText>
      </w:r>
      <w:r w:rsidR="00C51648" w:rsidRPr="000322E4">
        <w:rPr>
          <w:iCs/>
          <w:lang w:val="en-US"/>
        </w:rPr>
        <w:instrText>the</w:instrText>
      </w:r>
      <w:r w:rsidR="00C51648" w:rsidRPr="000322E4">
        <w:rPr>
          <w:iCs/>
        </w:rPr>
        <w:instrText xml:space="preserve"> </w:instrText>
      </w:r>
      <w:r w:rsidR="00C51648" w:rsidRPr="000322E4">
        <w:rPr>
          <w:iCs/>
          <w:lang w:val="en-US"/>
        </w:rPr>
        <w:instrText>first</w:instrText>
      </w:r>
      <w:r w:rsidR="00C51648" w:rsidRPr="000322E4">
        <w:rPr>
          <w:iCs/>
        </w:rPr>
        <w:instrText xml:space="preserve"> </w:instrText>
      </w:r>
      <w:r w:rsidR="00C51648" w:rsidRPr="000322E4">
        <w:rPr>
          <w:iCs/>
          <w:lang w:val="en-US"/>
        </w:rPr>
        <w:instrText>four</w:instrText>
      </w:r>
      <w:r w:rsidR="00C51648" w:rsidRPr="000322E4">
        <w:rPr>
          <w:iCs/>
        </w:rPr>
        <w:instrText xml:space="preserve"> </w:instrText>
      </w:r>
      <w:r w:rsidR="00C51648" w:rsidRPr="000322E4">
        <w:rPr>
          <w:iCs/>
          <w:lang w:val="en-US"/>
        </w:rPr>
        <w:instrText>cycles</w:instrText>
      </w:r>
      <w:r w:rsidR="00C51648" w:rsidRPr="000322E4">
        <w:rPr>
          <w:iCs/>
        </w:rPr>
        <w:instrText xml:space="preserve"> </w:instrText>
      </w:r>
      <w:r w:rsidR="00C51648" w:rsidRPr="000322E4">
        <w:rPr>
          <w:iCs/>
          <w:lang w:val="en-US"/>
        </w:rPr>
        <w:instrText>of</w:instrText>
      </w:r>
      <w:r w:rsidR="00C51648" w:rsidRPr="000322E4">
        <w:rPr>
          <w:iCs/>
        </w:rPr>
        <w:instrText xml:space="preserve"> </w:instrText>
      </w:r>
      <w:r w:rsidR="00C51648" w:rsidRPr="000322E4">
        <w:rPr>
          <w:iCs/>
          <w:lang w:val="en-US"/>
        </w:rPr>
        <w:instrText>outpatient</w:instrText>
      </w:r>
      <w:r w:rsidR="00C51648" w:rsidRPr="000322E4">
        <w:rPr>
          <w:iCs/>
        </w:rPr>
        <w:instrText xml:space="preserve"> </w:instrText>
      </w:r>
      <w:r w:rsidR="00C51648" w:rsidRPr="000322E4">
        <w:rPr>
          <w:iCs/>
          <w:lang w:val="en-US"/>
        </w:rPr>
        <w:instrText>chemotherapy</w:instrText>
      </w:r>
      <w:r w:rsidR="00C51648" w:rsidRPr="000322E4">
        <w:rPr>
          <w:iCs/>
        </w:rPr>
        <w:instrText xml:space="preserve">, </w:instrText>
      </w:r>
      <w:r w:rsidR="00C51648" w:rsidRPr="000322E4">
        <w:rPr>
          <w:iCs/>
          <w:lang w:val="en-US"/>
        </w:rPr>
        <w:instrText>independent</w:instrText>
      </w:r>
      <w:r w:rsidR="00C51648" w:rsidRPr="000322E4">
        <w:rPr>
          <w:iCs/>
        </w:rPr>
        <w:instrText xml:space="preserve"> </w:instrText>
      </w:r>
      <w:r w:rsidR="00C51648" w:rsidRPr="000322E4">
        <w:rPr>
          <w:iCs/>
          <w:lang w:val="en-US"/>
        </w:rPr>
        <w:instrText>from</w:instrText>
      </w:r>
      <w:r w:rsidR="00C51648" w:rsidRPr="000322E4">
        <w:rPr>
          <w:iCs/>
        </w:rPr>
        <w:instrText xml:space="preserve"> </w:instrText>
      </w:r>
      <w:r w:rsidR="00C51648" w:rsidRPr="000322E4">
        <w:rPr>
          <w:iCs/>
          <w:lang w:val="en-US"/>
        </w:rPr>
        <w:instrText>other</w:instrText>
      </w:r>
      <w:r w:rsidR="00C51648" w:rsidRPr="000322E4">
        <w:rPr>
          <w:iCs/>
        </w:rPr>
        <w:instrText xml:space="preserve"> </w:instrText>
      </w:r>
      <w:r w:rsidR="00C51648" w:rsidRPr="000322E4">
        <w:rPr>
          <w:iCs/>
          <w:lang w:val="en-US"/>
        </w:rPr>
        <w:instrText>major</w:instrText>
      </w:r>
      <w:r w:rsidR="00C51648" w:rsidRPr="000322E4">
        <w:rPr>
          <w:iCs/>
        </w:rPr>
        <w:instrText xml:space="preserve"> </w:instrText>
      </w:r>
      <w:r w:rsidR="00C51648" w:rsidRPr="000322E4">
        <w:rPr>
          <w:iCs/>
          <w:lang w:val="en-US"/>
        </w:rPr>
        <w:instrText>prognostic</w:instrText>
      </w:r>
      <w:r w:rsidR="00C51648" w:rsidRPr="000322E4">
        <w:rPr>
          <w:iCs/>
        </w:rPr>
        <w:instrText xml:space="preserve"> </w:instrText>
      </w:r>
      <w:r w:rsidR="00C51648" w:rsidRPr="000322E4">
        <w:rPr>
          <w:iCs/>
          <w:lang w:val="en-US"/>
        </w:rPr>
        <w:instrText>factors</w:instrText>
      </w:r>
      <w:r w:rsidR="00C51648" w:rsidRPr="000322E4">
        <w:rPr>
          <w:iCs/>
        </w:rPr>
        <w:instrText xml:space="preserve"> </w:instrText>
      </w:r>
      <w:r w:rsidR="00C51648" w:rsidRPr="000322E4">
        <w:rPr>
          <w:iCs/>
          <w:lang w:val="en-US"/>
        </w:rPr>
        <w:instrText>including</w:instrText>
      </w:r>
      <w:r w:rsidR="00C51648" w:rsidRPr="000322E4">
        <w:rPr>
          <w:iCs/>
        </w:rPr>
        <w:instrText xml:space="preserve"> </w:instrText>
      </w:r>
      <w:r w:rsidR="00C51648" w:rsidRPr="000322E4">
        <w:rPr>
          <w:iCs/>
          <w:lang w:val="en-US"/>
        </w:rPr>
        <w:instrText>VTE</w:instrText>
      </w:r>
      <w:r w:rsidR="00C51648" w:rsidRPr="000322E4">
        <w:rPr>
          <w:iCs/>
        </w:rPr>
        <w:instrText xml:space="preserve"> </w:instrText>
      </w:r>
      <w:r w:rsidR="00C51648" w:rsidRPr="000322E4">
        <w:rPr>
          <w:iCs/>
          <w:lang w:val="en-US"/>
        </w:rPr>
        <w:instrText>itself</w:instrText>
      </w:r>
      <w:r w:rsidR="00C51648" w:rsidRPr="000322E4">
        <w:rPr>
          <w:iCs/>
        </w:rPr>
        <w:instrText xml:space="preserve">. </w:instrText>
      </w:r>
      <w:r w:rsidR="00C51648" w:rsidRPr="000322E4">
        <w:rPr>
          <w:iCs/>
          <w:lang w:val="en-US"/>
        </w:rPr>
        <w:instrText>Ongoing</w:instrText>
      </w:r>
      <w:r w:rsidR="00C51648" w:rsidRPr="000322E4">
        <w:rPr>
          <w:iCs/>
        </w:rPr>
        <w:instrText xml:space="preserve"> </w:instrText>
      </w:r>
      <w:r w:rsidR="00C51648" w:rsidRPr="000322E4">
        <w:rPr>
          <w:iCs/>
          <w:lang w:val="en-US"/>
        </w:rPr>
        <w:instrText>and</w:instrText>
      </w:r>
      <w:r w:rsidR="00C51648" w:rsidRPr="000322E4">
        <w:rPr>
          <w:iCs/>
        </w:rPr>
        <w:instrText xml:space="preserve"> </w:instrText>
      </w:r>
      <w:r w:rsidR="00C51648" w:rsidRPr="000322E4">
        <w:rPr>
          <w:iCs/>
          <w:lang w:val="en-US"/>
        </w:rPr>
        <w:instrText>future</w:instrText>
      </w:r>
      <w:r w:rsidR="00C51648" w:rsidRPr="000322E4">
        <w:rPr>
          <w:iCs/>
        </w:rPr>
        <w:instrText xml:space="preserve"> </w:instrText>
      </w:r>
      <w:r w:rsidR="00C51648" w:rsidRPr="000322E4">
        <w:rPr>
          <w:iCs/>
          <w:lang w:val="en-US"/>
        </w:rPr>
        <w:instrText>studies</w:instrText>
      </w:r>
      <w:r w:rsidR="00C51648" w:rsidRPr="000322E4">
        <w:rPr>
          <w:iCs/>
        </w:rPr>
        <w:instrText xml:space="preserve"> </w:instrText>
      </w:r>
      <w:r w:rsidR="00C51648" w:rsidRPr="000322E4">
        <w:rPr>
          <w:iCs/>
          <w:lang w:val="en-US"/>
        </w:rPr>
        <w:instrText>will</w:instrText>
      </w:r>
      <w:r w:rsidR="00C51648" w:rsidRPr="000322E4">
        <w:rPr>
          <w:iCs/>
        </w:rPr>
        <w:instrText xml:space="preserve"> </w:instrText>
      </w:r>
      <w:r w:rsidR="00C51648" w:rsidRPr="000322E4">
        <w:rPr>
          <w:iCs/>
          <w:lang w:val="en-US"/>
        </w:rPr>
        <w:instrText>help</w:instrText>
      </w:r>
      <w:r w:rsidR="00C51648" w:rsidRPr="000322E4">
        <w:rPr>
          <w:iCs/>
        </w:rPr>
        <w:instrText xml:space="preserve"> </w:instrText>
      </w:r>
      <w:r w:rsidR="00C51648" w:rsidRPr="000322E4">
        <w:rPr>
          <w:iCs/>
          <w:lang w:val="en-US"/>
        </w:rPr>
        <w:instrText>determine</w:instrText>
      </w:r>
      <w:r w:rsidR="00C51648" w:rsidRPr="000322E4">
        <w:rPr>
          <w:iCs/>
        </w:rPr>
        <w:instrText xml:space="preserve"> </w:instrText>
      </w:r>
      <w:r w:rsidR="00C51648" w:rsidRPr="000322E4">
        <w:rPr>
          <w:iCs/>
          <w:lang w:val="en-US"/>
        </w:rPr>
        <w:instrText>the</w:instrText>
      </w:r>
      <w:r w:rsidR="00C51648" w:rsidRPr="000322E4">
        <w:rPr>
          <w:iCs/>
        </w:rPr>
        <w:instrText xml:space="preserve"> </w:instrText>
      </w:r>
      <w:r w:rsidR="00C51648" w:rsidRPr="000322E4">
        <w:rPr>
          <w:iCs/>
          <w:lang w:val="en-US"/>
        </w:rPr>
        <w:instrText>impact</w:instrText>
      </w:r>
      <w:r w:rsidR="00C51648" w:rsidRPr="000322E4">
        <w:rPr>
          <w:iCs/>
        </w:rPr>
        <w:instrText xml:space="preserve"> </w:instrText>
      </w:r>
      <w:r w:rsidR="00C51648" w:rsidRPr="000322E4">
        <w:rPr>
          <w:iCs/>
          <w:lang w:val="en-US"/>
        </w:rPr>
        <w:instrText>of</w:instrText>
      </w:r>
      <w:r w:rsidR="00C51648" w:rsidRPr="000322E4">
        <w:rPr>
          <w:iCs/>
        </w:rPr>
        <w:instrText xml:space="preserve"> </w:instrText>
      </w:r>
      <w:r w:rsidR="00C51648" w:rsidRPr="000322E4">
        <w:rPr>
          <w:iCs/>
          <w:lang w:val="en-US"/>
        </w:rPr>
        <w:instrText>VTE</w:instrText>
      </w:r>
      <w:r w:rsidR="00C51648" w:rsidRPr="000322E4">
        <w:rPr>
          <w:iCs/>
        </w:rPr>
        <w:instrText xml:space="preserve"> </w:instrText>
      </w:r>
      <w:r w:rsidR="00C51648" w:rsidRPr="000322E4">
        <w:rPr>
          <w:iCs/>
          <w:lang w:val="en-US"/>
        </w:rPr>
        <w:instrText>prophylaxis</w:instrText>
      </w:r>
      <w:r w:rsidR="00C51648" w:rsidRPr="000322E4">
        <w:rPr>
          <w:iCs/>
        </w:rPr>
        <w:instrText xml:space="preserve"> </w:instrText>
      </w:r>
      <w:r w:rsidR="00C51648" w:rsidRPr="000322E4">
        <w:rPr>
          <w:iCs/>
          <w:lang w:val="en-US"/>
        </w:rPr>
        <w:instrText>on</w:instrText>
      </w:r>
      <w:r w:rsidR="00C51648" w:rsidRPr="000322E4">
        <w:rPr>
          <w:iCs/>
        </w:rPr>
        <w:instrText xml:space="preserve"> </w:instrText>
      </w:r>
      <w:r w:rsidR="00C51648" w:rsidRPr="000322E4">
        <w:rPr>
          <w:iCs/>
          <w:lang w:val="en-US"/>
        </w:rPr>
        <w:instrText>survival</w:instrText>
      </w:r>
      <w:r w:rsidR="00C51648" w:rsidRPr="000322E4">
        <w:rPr>
          <w:iCs/>
        </w:rPr>
        <w:instrText>.","</w:instrText>
      </w:r>
      <w:r w:rsidR="00C51648" w:rsidRPr="000322E4">
        <w:rPr>
          <w:iCs/>
          <w:lang w:val="en-US"/>
        </w:rPr>
        <w:instrText>author</w:instrText>
      </w:r>
      <w:r w:rsidR="00C51648" w:rsidRPr="000322E4">
        <w:rPr>
          <w:iCs/>
        </w:rPr>
        <w:instrText>":[{"</w:instrText>
      </w:r>
      <w:r w:rsidR="00C51648" w:rsidRPr="000322E4">
        <w:rPr>
          <w:iCs/>
          <w:lang w:val="en-US"/>
        </w:rPr>
        <w:instrText>dropping</w:instrText>
      </w:r>
      <w:r w:rsidR="00C51648" w:rsidRPr="000322E4">
        <w:rPr>
          <w:iCs/>
        </w:rPr>
        <w:instrText>-</w:instrText>
      </w:r>
      <w:r w:rsidR="00C51648" w:rsidRPr="000322E4">
        <w:rPr>
          <w:iCs/>
          <w:lang w:val="en-US"/>
        </w:rPr>
        <w:instrText>particle</w:instrText>
      </w:r>
      <w:r w:rsidR="00C51648" w:rsidRPr="000322E4">
        <w:rPr>
          <w:iCs/>
        </w:rPr>
        <w:instrText>":"","</w:instrText>
      </w:r>
      <w:r w:rsidR="00C51648" w:rsidRPr="000322E4">
        <w:rPr>
          <w:iCs/>
          <w:lang w:val="en-US"/>
        </w:rPr>
        <w:instrText>family</w:instrText>
      </w:r>
      <w:r w:rsidR="00C51648" w:rsidRPr="000322E4">
        <w:rPr>
          <w:iCs/>
        </w:rPr>
        <w:instrText>":"</w:instrText>
      </w:r>
      <w:r w:rsidR="00C51648" w:rsidRPr="000322E4">
        <w:rPr>
          <w:iCs/>
          <w:lang w:val="en-US"/>
        </w:rPr>
        <w:instrText>Kuderer</w:instrText>
      </w:r>
      <w:r w:rsidR="00C51648" w:rsidRPr="000322E4">
        <w:rPr>
          <w:iCs/>
        </w:rPr>
        <w:instrText>","</w:instrText>
      </w:r>
      <w:r w:rsidR="00C51648" w:rsidRPr="000322E4">
        <w:rPr>
          <w:iCs/>
          <w:lang w:val="en-US"/>
        </w:rPr>
        <w:instrText>given</w:instrText>
      </w:r>
      <w:r w:rsidR="00C51648" w:rsidRPr="000322E4">
        <w:rPr>
          <w:iCs/>
        </w:rPr>
        <w:instrText>":"</w:instrText>
      </w:r>
      <w:r w:rsidR="00C51648" w:rsidRPr="000322E4">
        <w:rPr>
          <w:iCs/>
          <w:lang w:val="en-US"/>
        </w:rPr>
        <w:instrText>Nicole</w:instrText>
      </w:r>
      <w:r w:rsidR="00C51648" w:rsidRPr="000322E4">
        <w:rPr>
          <w:iCs/>
        </w:rPr>
        <w:instrText xml:space="preserve"> </w:instrText>
      </w:r>
      <w:r w:rsidR="00C51648" w:rsidRPr="000322E4">
        <w:rPr>
          <w:iCs/>
          <w:lang w:val="en-US"/>
        </w:rPr>
        <w:instrText>M</w:instrText>
      </w:r>
      <w:r w:rsidR="00C51648" w:rsidRPr="000322E4">
        <w:rPr>
          <w:iCs/>
        </w:rPr>
        <w:instrText>.","</w:instrText>
      </w:r>
      <w:r w:rsidR="00C51648" w:rsidRPr="000322E4">
        <w:rPr>
          <w:iCs/>
          <w:lang w:val="en-US"/>
        </w:rPr>
        <w:instrText>non</w:instrText>
      </w:r>
      <w:r w:rsidR="00C51648" w:rsidRPr="000322E4">
        <w:rPr>
          <w:iCs/>
        </w:rPr>
        <w:instrText>-</w:instrText>
      </w:r>
      <w:r w:rsidR="00C51648" w:rsidRPr="000322E4">
        <w:rPr>
          <w:iCs/>
          <w:lang w:val="en-US"/>
        </w:rPr>
        <w:instrText>dropping</w:instrText>
      </w:r>
      <w:r w:rsidR="00C51648" w:rsidRPr="000322E4">
        <w:rPr>
          <w:iCs/>
        </w:rPr>
        <w:instrText>-</w:instrText>
      </w:r>
      <w:r w:rsidR="00C51648" w:rsidRPr="000322E4">
        <w:rPr>
          <w:iCs/>
          <w:lang w:val="en-US"/>
        </w:rPr>
        <w:instrText>particle</w:instrText>
      </w:r>
      <w:r w:rsidR="00C51648" w:rsidRPr="000322E4">
        <w:rPr>
          <w:iCs/>
        </w:rPr>
        <w:instrText>":"","</w:instrText>
      </w:r>
      <w:r w:rsidR="00C51648" w:rsidRPr="000322E4">
        <w:rPr>
          <w:iCs/>
          <w:lang w:val="en-US"/>
        </w:rPr>
        <w:instrText>parse</w:instrText>
      </w:r>
      <w:r w:rsidR="00C51648" w:rsidRPr="000322E4">
        <w:rPr>
          <w:iCs/>
        </w:rPr>
        <w:instrText>-</w:instrText>
      </w:r>
      <w:r w:rsidR="00C51648" w:rsidRPr="000322E4">
        <w:rPr>
          <w:iCs/>
          <w:lang w:val="en-US"/>
        </w:rPr>
        <w:instrText>names</w:instrText>
      </w:r>
      <w:r w:rsidR="00C51648" w:rsidRPr="000322E4">
        <w:rPr>
          <w:iCs/>
        </w:rPr>
        <w:instrText>":</w:instrText>
      </w:r>
      <w:r w:rsidR="00C51648" w:rsidRPr="000322E4">
        <w:rPr>
          <w:iCs/>
          <w:lang w:val="en-US"/>
        </w:rPr>
        <w:instrText>false</w:instrText>
      </w:r>
      <w:r w:rsidR="00C51648" w:rsidRPr="000322E4">
        <w:rPr>
          <w:iCs/>
        </w:rPr>
        <w:instrText>,"</w:instrText>
      </w:r>
      <w:r w:rsidR="00C51648" w:rsidRPr="000322E4">
        <w:rPr>
          <w:iCs/>
          <w:lang w:val="en-US"/>
        </w:rPr>
        <w:instrText>suffix</w:instrText>
      </w:r>
      <w:r w:rsidR="00C51648" w:rsidRPr="000322E4">
        <w:rPr>
          <w:iCs/>
        </w:rPr>
        <w:instrText>":""},{"</w:instrText>
      </w:r>
      <w:r w:rsidR="00C51648" w:rsidRPr="000322E4">
        <w:rPr>
          <w:iCs/>
          <w:lang w:val="en-US"/>
        </w:rPr>
        <w:instrText>dropping</w:instrText>
      </w:r>
      <w:r w:rsidR="00C51648" w:rsidRPr="000322E4">
        <w:rPr>
          <w:iCs/>
        </w:rPr>
        <w:instrText>-</w:instrText>
      </w:r>
      <w:r w:rsidR="00C51648" w:rsidRPr="000322E4">
        <w:rPr>
          <w:iCs/>
          <w:lang w:val="en-US"/>
        </w:rPr>
        <w:instrText>particle</w:instrText>
      </w:r>
      <w:r w:rsidR="00C51648" w:rsidRPr="000322E4">
        <w:rPr>
          <w:iCs/>
        </w:rPr>
        <w:instrText>":"","</w:instrText>
      </w:r>
      <w:r w:rsidR="00C51648" w:rsidRPr="000322E4">
        <w:rPr>
          <w:iCs/>
          <w:lang w:val="en-US"/>
        </w:rPr>
        <w:instrText>family</w:instrText>
      </w:r>
      <w:r w:rsidR="00C51648" w:rsidRPr="000322E4">
        <w:rPr>
          <w:iCs/>
        </w:rPr>
        <w:instrText>":"</w:instrText>
      </w:r>
      <w:r w:rsidR="00C51648" w:rsidRPr="000322E4">
        <w:rPr>
          <w:iCs/>
          <w:lang w:val="en-US"/>
        </w:rPr>
        <w:instrText>Culakova</w:instrText>
      </w:r>
      <w:r w:rsidR="00C51648" w:rsidRPr="000322E4">
        <w:rPr>
          <w:iCs/>
        </w:rPr>
        <w:instrText>","</w:instrText>
      </w:r>
      <w:r w:rsidR="00C51648" w:rsidRPr="000322E4">
        <w:rPr>
          <w:iCs/>
          <w:lang w:val="en-US"/>
        </w:rPr>
        <w:instrText>given</w:instrText>
      </w:r>
      <w:r w:rsidR="00C51648" w:rsidRPr="000322E4">
        <w:rPr>
          <w:iCs/>
        </w:rPr>
        <w:instrText>":"</w:instrText>
      </w:r>
      <w:r w:rsidR="00C51648" w:rsidRPr="000322E4">
        <w:rPr>
          <w:iCs/>
          <w:lang w:val="en-US"/>
        </w:rPr>
        <w:instrText>Eva</w:instrText>
      </w:r>
      <w:r w:rsidR="00C51648" w:rsidRPr="000322E4">
        <w:rPr>
          <w:iCs/>
        </w:rPr>
        <w:instrText>","</w:instrText>
      </w:r>
      <w:r w:rsidR="00C51648" w:rsidRPr="000322E4">
        <w:rPr>
          <w:iCs/>
          <w:lang w:val="en-US"/>
        </w:rPr>
        <w:instrText>non</w:instrText>
      </w:r>
      <w:r w:rsidR="00C51648" w:rsidRPr="000322E4">
        <w:rPr>
          <w:iCs/>
        </w:rPr>
        <w:instrText>-</w:instrText>
      </w:r>
      <w:r w:rsidR="00C51648" w:rsidRPr="000322E4">
        <w:rPr>
          <w:iCs/>
          <w:lang w:val="en-US"/>
        </w:rPr>
        <w:instrText>dropping</w:instrText>
      </w:r>
      <w:r w:rsidR="00C51648" w:rsidRPr="000322E4">
        <w:rPr>
          <w:iCs/>
        </w:rPr>
        <w:instrText>-</w:instrText>
      </w:r>
      <w:r w:rsidR="00C51648" w:rsidRPr="000322E4">
        <w:rPr>
          <w:iCs/>
          <w:lang w:val="en-US"/>
        </w:rPr>
        <w:instrText>particle</w:instrText>
      </w:r>
      <w:r w:rsidR="00C51648" w:rsidRPr="000322E4">
        <w:rPr>
          <w:iCs/>
        </w:rPr>
        <w:instrText>":"","</w:instrText>
      </w:r>
      <w:r w:rsidR="00C51648" w:rsidRPr="000322E4">
        <w:rPr>
          <w:iCs/>
          <w:lang w:val="en-US"/>
        </w:rPr>
        <w:instrText>parse</w:instrText>
      </w:r>
      <w:r w:rsidR="00C51648" w:rsidRPr="000322E4">
        <w:rPr>
          <w:iCs/>
        </w:rPr>
        <w:instrText>-</w:instrText>
      </w:r>
      <w:r w:rsidR="00C51648" w:rsidRPr="000322E4">
        <w:rPr>
          <w:iCs/>
          <w:lang w:val="en-US"/>
        </w:rPr>
        <w:instrText>names</w:instrText>
      </w:r>
      <w:r w:rsidR="00C51648" w:rsidRPr="000322E4">
        <w:rPr>
          <w:iCs/>
        </w:rPr>
        <w:instrText>":</w:instrText>
      </w:r>
      <w:r w:rsidR="00C51648" w:rsidRPr="000322E4">
        <w:rPr>
          <w:iCs/>
          <w:lang w:val="en-US"/>
        </w:rPr>
        <w:instrText>false</w:instrText>
      </w:r>
      <w:r w:rsidR="00C51648" w:rsidRPr="000322E4">
        <w:rPr>
          <w:iCs/>
        </w:rPr>
        <w:instrText>,"</w:instrText>
      </w:r>
      <w:r w:rsidR="00C51648" w:rsidRPr="000322E4">
        <w:rPr>
          <w:iCs/>
          <w:lang w:val="en-US"/>
        </w:rPr>
        <w:instrText>suffix</w:instrText>
      </w:r>
      <w:r w:rsidR="00C51648" w:rsidRPr="000322E4">
        <w:rPr>
          <w:iCs/>
        </w:rPr>
        <w:instrText>":""},{"</w:instrText>
      </w:r>
      <w:r w:rsidR="00C51648" w:rsidRPr="000322E4">
        <w:rPr>
          <w:iCs/>
          <w:lang w:val="en-US"/>
        </w:rPr>
        <w:instrText>dropping</w:instrText>
      </w:r>
      <w:r w:rsidR="00C51648" w:rsidRPr="000322E4">
        <w:rPr>
          <w:iCs/>
        </w:rPr>
        <w:instrText>-</w:instrText>
      </w:r>
      <w:r w:rsidR="00C51648" w:rsidRPr="000322E4">
        <w:rPr>
          <w:iCs/>
          <w:lang w:val="en-US"/>
        </w:rPr>
        <w:instrText>particle</w:instrText>
      </w:r>
      <w:r w:rsidR="00C51648" w:rsidRPr="000322E4">
        <w:rPr>
          <w:iCs/>
        </w:rPr>
        <w:instrText>":"","</w:instrText>
      </w:r>
      <w:r w:rsidR="00C51648" w:rsidRPr="000322E4">
        <w:rPr>
          <w:iCs/>
          <w:lang w:val="en-US"/>
        </w:rPr>
        <w:instrText>family</w:instrText>
      </w:r>
      <w:r w:rsidR="00C51648" w:rsidRPr="000322E4">
        <w:rPr>
          <w:iCs/>
        </w:rPr>
        <w:instrText>":"</w:instrText>
      </w:r>
      <w:r w:rsidR="00C51648" w:rsidRPr="000322E4">
        <w:rPr>
          <w:iCs/>
          <w:lang w:val="en-US"/>
        </w:rPr>
        <w:instrText>Lyman</w:instrText>
      </w:r>
      <w:r w:rsidR="00C51648" w:rsidRPr="000322E4">
        <w:rPr>
          <w:iCs/>
        </w:rPr>
        <w:instrText>","</w:instrText>
      </w:r>
      <w:r w:rsidR="00C51648" w:rsidRPr="000322E4">
        <w:rPr>
          <w:iCs/>
          <w:lang w:val="en-US"/>
        </w:rPr>
        <w:instrText>given</w:instrText>
      </w:r>
      <w:r w:rsidR="00C51648" w:rsidRPr="000322E4">
        <w:rPr>
          <w:iCs/>
        </w:rPr>
        <w:instrText>":"</w:instrText>
      </w:r>
      <w:r w:rsidR="00C51648" w:rsidRPr="000322E4">
        <w:rPr>
          <w:iCs/>
          <w:lang w:val="en-US"/>
        </w:rPr>
        <w:instrText>Gary</w:instrText>
      </w:r>
      <w:r w:rsidR="00C51648" w:rsidRPr="000322E4">
        <w:rPr>
          <w:iCs/>
        </w:rPr>
        <w:instrText xml:space="preserve"> </w:instrText>
      </w:r>
      <w:r w:rsidR="00C51648" w:rsidRPr="000322E4">
        <w:rPr>
          <w:iCs/>
          <w:lang w:val="en-US"/>
        </w:rPr>
        <w:instrText>H</w:instrText>
      </w:r>
      <w:r w:rsidR="00C51648" w:rsidRPr="000322E4">
        <w:rPr>
          <w:iCs/>
        </w:rPr>
        <w:instrText>.","</w:instrText>
      </w:r>
      <w:r w:rsidR="00C51648" w:rsidRPr="000322E4">
        <w:rPr>
          <w:iCs/>
          <w:lang w:val="en-US"/>
        </w:rPr>
        <w:instrText>non</w:instrText>
      </w:r>
      <w:r w:rsidR="00C51648" w:rsidRPr="000322E4">
        <w:rPr>
          <w:iCs/>
        </w:rPr>
        <w:instrText>-</w:instrText>
      </w:r>
      <w:r w:rsidR="00C51648" w:rsidRPr="000322E4">
        <w:rPr>
          <w:iCs/>
          <w:lang w:val="en-US"/>
        </w:rPr>
        <w:instrText>dropping</w:instrText>
      </w:r>
      <w:r w:rsidR="00C51648" w:rsidRPr="000322E4">
        <w:rPr>
          <w:iCs/>
        </w:rPr>
        <w:instrText>-</w:instrText>
      </w:r>
      <w:r w:rsidR="00C51648" w:rsidRPr="000322E4">
        <w:rPr>
          <w:iCs/>
          <w:lang w:val="en-US"/>
        </w:rPr>
        <w:instrText>particle</w:instrText>
      </w:r>
      <w:r w:rsidR="00C51648" w:rsidRPr="000322E4">
        <w:rPr>
          <w:iCs/>
        </w:rPr>
        <w:instrText>":"","</w:instrText>
      </w:r>
      <w:r w:rsidR="00C51648" w:rsidRPr="000322E4">
        <w:rPr>
          <w:iCs/>
          <w:lang w:val="en-US"/>
        </w:rPr>
        <w:instrText>parse</w:instrText>
      </w:r>
      <w:r w:rsidR="00C51648" w:rsidRPr="000322E4">
        <w:rPr>
          <w:iCs/>
        </w:rPr>
        <w:instrText>-</w:instrText>
      </w:r>
      <w:r w:rsidR="00C51648" w:rsidRPr="000322E4">
        <w:rPr>
          <w:iCs/>
          <w:lang w:val="en-US"/>
        </w:rPr>
        <w:instrText>names</w:instrText>
      </w:r>
      <w:r w:rsidR="00C51648" w:rsidRPr="000322E4">
        <w:rPr>
          <w:iCs/>
        </w:rPr>
        <w:instrText>":</w:instrText>
      </w:r>
      <w:r w:rsidR="00C51648" w:rsidRPr="000322E4">
        <w:rPr>
          <w:iCs/>
          <w:lang w:val="en-US"/>
        </w:rPr>
        <w:instrText>false</w:instrText>
      </w:r>
      <w:r w:rsidR="00C51648" w:rsidRPr="000322E4">
        <w:rPr>
          <w:iCs/>
        </w:rPr>
        <w:instrText>,"</w:instrText>
      </w:r>
      <w:r w:rsidR="00C51648" w:rsidRPr="000322E4">
        <w:rPr>
          <w:iCs/>
          <w:lang w:val="en-US"/>
        </w:rPr>
        <w:instrText>suffix</w:instrText>
      </w:r>
      <w:r w:rsidR="00C51648" w:rsidRPr="000322E4">
        <w:rPr>
          <w:iCs/>
        </w:rPr>
        <w:instrText>":""},{"</w:instrText>
      </w:r>
      <w:r w:rsidR="00C51648" w:rsidRPr="000322E4">
        <w:rPr>
          <w:iCs/>
          <w:lang w:val="en-US"/>
        </w:rPr>
        <w:instrText>dropping</w:instrText>
      </w:r>
      <w:r w:rsidR="00C51648" w:rsidRPr="000322E4">
        <w:rPr>
          <w:iCs/>
        </w:rPr>
        <w:instrText>-</w:instrText>
      </w:r>
      <w:r w:rsidR="00C51648" w:rsidRPr="000322E4">
        <w:rPr>
          <w:iCs/>
          <w:lang w:val="en-US"/>
        </w:rPr>
        <w:instrText>particle</w:instrText>
      </w:r>
      <w:r w:rsidR="00C51648" w:rsidRPr="000322E4">
        <w:rPr>
          <w:iCs/>
        </w:rPr>
        <w:instrText>":"","</w:instrText>
      </w:r>
      <w:r w:rsidR="00C51648" w:rsidRPr="000322E4">
        <w:rPr>
          <w:iCs/>
          <w:lang w:val="en-US"/>
        </w:rPr>
        <w:instrText>family</w:instrText>
      </w:r>
      <w:r w:rsidR="00C51648" w:rsidRPr="000322E4">
        <w:rPr>
          <w:iCs/>
        </w:rPr>
        <w:instrText>":"</w:instrText>
      </w:r>
      <w:r w:rsidR="00C51648" w:rsidRPr="000322E4">
        <w:rPr>
          <w:iCs/>
          <w:lang w:val="en-US"/>
        </w:rPr>
        <w:instrText>Francis</w:instrText>
      </w:r>
      <w:r w:rsidR="00C51648" w:rsidRPr="000322E4">
        <w:rPr>
          <w:iCs/>
        </w:rPr>
        <w:instrText>","</w:instrText>
      </w:r>
      <w:r w:rsidR="00C51648" w:rsidRPr="000322E4">
        <w:rPr>
          <w:iCs/>
          <w:lang w:val="en-US"/>
        </w:rPr>
        <w:instrText>given</w:instrText>
      </w:r>
      <w:r w:rsidR="00C51648" w:rsidRPr="000322E4">
        <w:rPr>
          <w:iCs/>
        </w:rPr>
        <w:instrText>":"</w:instrText>
      </w:r>
      <w:r w:rsidR="00C51648" w:rsidRPr="000322E4">
        <w:rPr>
          <w:iCs/>
          <w:lang w:val="en-US"/>
        </w:rPr>
        <w:instrText>Charles</w:instrText>
      </w:r>
      <w:r w:rsidR="00C51648" w:rsidRPr="000322E4">
        <w:rPr>
          <w:iCs/>
        </w:rPr>
        <w:instrText>","</w:instrText>
      </w:r>
      <w:r w:rsidR="00C51648" w:rsidRPr="000322E4">
        <w:rPr>
          <w:iCs/>
          <w:lang w:val="en-US"/>
        </w:rPr>
        <w:instrText>non</w:instrText>
      </w:r>
      <w:r w:rsidR="00C51648" w:rsidRPr="000322E4">
        <w:rPr>
          <w:iCs/>
        </w:rPr>
        <w:instrText>-</w:instrText>
      </w:r>
      <w:r w:rsidR="00C51648" w:rsidRPr="000322E4">
        <w:rPr>
          <w:iCs/>
          <w:lang w:val="en-US"/>
        </w:rPr>
        <w:instrText>dropping</w:instrText>
      </w:r>
      <w:r w:rsidR="00C51648" w:rsidRPr="000322E4">
        <w:rPr>
          <w:iCs/>
        </w:rPr>
        <w:instrText>-</w:instrText>
      </w:r>
      <w:r w:rsidR="00C51648" w:rsidRPr="000322E4">
        <w:rPr>
          <w:iCs/>
          <w:lang w:val="en-US"/>
        </w:rPr>
        <w:instrText>particle</w:instrText>
      </w:r>
      <w:r w:rsidR="00C51648" w:rsidRPr="000322E4">
        <w:rPr>
          <w:iCs/>
        </w:rPr>
        <w:instrText>":"","</w:instrText>
      </w:r>
      <w:r w:rsidR="00C51648" w:rsidRPr="000322E4">
        <w:rPr>
          <w:iCs/>
          <w:lang w:val="en-US"/>
        </w:rPr>
        <w:instrText>parse</w:instrText>
      </w:r>
      <w:r w:rsidR="00C51648" w:rsidRPr="000322E4">
        <w:rPr>
          <w:iCs/>
        </w:rPr>
        <w:instrText>-</w:instrText>
      </w:r>
      <w:r w:rsidR="00C51648" w:rsidRPr="000322E4">
        <w:rPr>
          <w:iCs/>
          <w:lang w:val="en-US"/>
        </w:rPr>
        <w:instrText>names</w:instrText>
      </w:r>
      <w:r w:rsidR="00C51648" w:rsidRPr="000322E4">
        <w:rPr>
          <w:iCs/>
        </w:rPr>
        <w:instrText>":</w:instrText>
      </w:r>
      <w:r w:rsidR="00C51648" w:rsidRPr="000322E4">
        <w:rPr>
          <w:iCs/>
          <w:lang w:val="en-US"/>
        </w:rPr>
        <w:instrText>false</w:instrText>
      </w:r>
      <w:r w:rsidR="00C51648" w:rsidRPr="000322E4">
        <w:rPr>
          <w:iCs/>
        </w:rPr>
        <w:instrText>,"</w:instrText>
      </w:r>
      <w:r w:rsidR="00C51648" w:rsidRPr="000322E4">
        <w:rPr>
          <w:iCs/>
          <w:lang w:val="en-US"/>
        </w:rPr>
        <w:instrText>suffix</w:instrText>
      </w:r>
      <w:r w:rsidR="00C51648" w:rsidRPr="000322E4">
        <w:rPr>
          <w:iCs/>
        </w:rPr>
        <w:instrText>":""},{"</w:instrText>
      </w:r>
      <w:r w:rsidR="00C51648" w:rsidRPr="000322E4">
        <w:rPr>
          <w:iCs/>
          <w:lang w:val="en-US"/>
        </w:rPr>
        <w:instrText>dropping</w:instrText>
      </w:r>
      <w:r w:rsidR="00C51648" w:rsidRPr="000322E4">
        <w:rPr>
          <w:iCs/>
        </w:rPr>
        <w:instrText>-</w:instrText>
      </w:r>
      <w:r w:rsidR="00C51648" w:rsidRPr="000322E4">
        <w:rPr>
          <w:iCs/>
          <w:lang w:val="en-US"/>
        </w:rPr>
        <w:instrText>particle</w:instrText>
      </w:r>
      <w:r w:rsidR="00C51648" w:rsidRPr="000322E4">
        <w:rPr>
          <w:iCs/>
        </w:rPr>
        <w:instrText>":"","</w:instrText>
      </w:r>
      <w:r w:rsidR="00C51648" w:rsidRPr="000322E4">
        <w:rPr>
          <w:iCs/>
          <w:lang w:val="en-US"/>
        </w:rPr>
        <w:instrText>family</w:instrText>
      </w:r>
      <w:r w:rsidR="00C51648" w:rsidRPr="000322E4">
        <w:rPr>
          <w:iCs/>
        </w:rPr>
        <w:instrText>":"</w:instrText>
      </w:r>
      <w:r w:rsidR="00C51648" w:rsidRPr="000322E4">
        <w:rPr>
          <w:iCs/>
          <w:lang w:val="en-US"/>
        </w:rPr>
        <w:instrText>Falanga</w:instrText>
      </w:r>
      <w:r w:rsidR="00C51648" w:rsidRPr="000322E4">
        <w:rPr>
          <w:iCs/>
        </w:rPr>
        <w:instrText>","</w:instrText>
      </w:r>
      <w:r w:rsidR="00C51648" w:rsidRPr="000322E4">
        <w:rPr>
          <w:iCs/>
          <w:lang w:val="en-US"/>
        </w:rPr>
        <w:instrText>given</w:instrText>
      </w:r>
      <w:r w:rsidR="00C51648" w:rsidRPr="000322E4">
        <w:rPr>
          <w:iCs/>
        </w:rPr>
        <w:instrText>":"</w:instrText>
      </w:r>
      <w:r w:rsidR="00C51648" w:rsidRPr="000322E4">
        <w:rPr>
          <w:iCs/>
          <w:lang w:val="en-US"/>
        </w:rPr>
        <w:instrText>Anna</w:instrText>
      </w:r>
      <w:r w:rsidR="00C51648" w:rsidRPr="000322E4">
        <w:rPr>
          <w:iCs/>
        </w:rPr>
        <w:instrText>","</w:instrText>
      </w:r>
      <w:r w:rsidR="00C51648" w:rsidRPr="000322E4">
        <w:rPr>
          <w:iCs/>
          <w:lang w:val="en-US"/>
        </w:rPr>
        <w:instrText>non</w:instrText>
      </w:r>
      <w:r w:rsidR="00C51648" w:rsidRPr="000322E4">
        <w:rPr>
          <w:iCs/>
        </w:rPr>
        <w:instrText>-</w:instrText>
      </w:r>
      <w:r w:rsidR="00C51648" w:rsidRPr="000322E4">
        <w:rPr>
          <w:iCs/>
          <w:lang w:val="en-US"/>
        </w:rPr>
        <w:instrText>dropping</w:instrText>
      </w:r>
      <w:r w:rsidR="00C51648" w:rsidRPr="000322E4">
        <w:rPr>
          <w:iCs/>
        </w:rPr>
        <w:instrText>-</w:instrText>
      </w:r>
      <w:r w:rsidR="00C51648" w:rsidRPr="000322E4">
        <w:rPr>
          <w:iCs/>
          <w:lang w:val="en-US"/>
        </w:rPr>
        <w:instrText>particle</w:instrText>
      </w:r>
      <w:r w:rsidR="00C51648" w:rsidRPr="000322E4">
        <w:rPr>
          <w:iCs/>
        </w:rPr>
        <w:instrText>":"","</w:instrText>
      </w:r>
      <w:r w:rsidR="00C51648" w:rsidRPr="000322E4">
        <w:rPr>
          <w:iCs/>
          <w:lang w:val="en-US"/>
        </w:rPr>
        <w:instrText>parse</w:instrText>
      </w:r>
      <w:r w:rsidR="00C51648" w:rsidRPr="000322E4">
        <w:rPr>
          <w:iCs/>
        </w:rPr>
        <w:instrText>-</w:instrText>
      </w:r>
      <w:r w:rsidR="00C51648" w:rsidRPr="000322E4">
        <w:rPr>
          <w:iCs/>
          <w:lang w:val="en-US"/>
        </w:rPr>
        <w:instrText>names</w:instrText>
      </w:r>
      <w:r w:rsidR="00C51648" w:rsidRPr="000322E4">
        <w:rPr>
          <w:iCs/>
        </w:rPr>
        <w:instrText>":</w:instrText>
      </w:r>
      <w:r w:rsidR="00C51648" w:rsidRPr="000322E4">
        <w:rPr>
          <w:iCs/>
          <w:lang w:val="en-US"/>
        </w:rPr>
        <w:instrText>false</w:instrText>
      </w:r>
      <w:r w:rsidR="00C51648" w:rsidRPr="000322E4">
        <w:rPr>
          <w:iCs/>
        </w:rPr>
        <w:instrText>,"</w:instrText>
      </w:r>
      <w:r w:rsidR="00C51648" w:rsidRPr="000322E4">
        <w:rPr>
          <w:iCs/>
          <w:lang w:val="en-US"/>
        </w:rPr>
        <w:instrText>suffix</w:instrText>
      </w:r>
      <w:r w:rsidR="00C51648" w:rsidRPr="000322E4">
        <w:rPr>
          <w:iCs/>
        </w:rPr>
        <w:instrText>":""},{"</w:instrText>
      </w:r>
      <w:r w:rsidR="00C51648" w:rsidRPr="000322E4">
        <w:rPr>
          <w:iCs/>
          <w:lang w:val="en-US"/>
        </w:rPr>
        <w:instrText>dropping</w:instrText>
      </w:r>
      <w:r w:rsidR="00C51648" w:rsidRPr="000322E4">
        <w:rPr>
          <w:iCs/>
        </w:rPr>
        <w:instrText>-</w:instrText>
      </w:r>
      <w:r w:rsidR="00C51648" w:rsidRPr="000322E4">
        <w:rPr>
          <w:iCs/>
          <w:lang w:val="en-US"/>
        </w:rPr>
        <w:instrText>particle</w:instrText>
      </w:r>
      <w:r w:rsidR="00C51648" w:rsidRPr="000322E4">
        <w:rPr>
          <w:iCs/>
        </w:rPr>
        <w:instrText>":"","</w:instrText>
      </w:r>
      <w:r w:rsidR="00C51648" w:rsidRPr="000322E4">
        <w:rPr>
          <w:iCs/>
          <w:lang w:val="en-US"/>
        </w:rPr>
        <w:instrText>family</w:instrText>
      </w:r>
      <w:r w:rsidR="00C51648" w:rsidRPr="000322E4">
        <w:rPr>
          <w:iCs/>
        </w:rPr>
        <w:instrText>":"</w:instrText>
      </w:r>
      <w:r w:rsidR="00C51648" w:rsidRPr="000322E4">
        <w:rPr>
          <w:iCs/>
          <w:lang w:val="en-US"/>
        </w:rPr>
        <w:instrText>Khorana</w:instrText>
      </w:r>
      <w:r w:rsidR="00C51648" w:rsidRPr="000322E4">
        <w:rPr>
          <w:iCs/>
        </w:rPr>
        <w:instrText>","</w:instrText>
      </w:r>
      <w:r w:rsidR="00C51648" w:rsidRPr="000322E4">
        <w:rPr>
          <w:iCs/>
          <w:lang w:val="en-US"/>
        </w:rPr>
        <w:instrText>given</w:instrText>
      </w:r>
      <w:r w:rsidR="00C51648" w:rsidRPr="000322E4">
        <w:rPr>
          <w:iCs/>
        </w:rPr>
        <w:instrText>":"</w:instrText>
      </w:r>
      <w:r w:rsidR="00C51648" w:rsidRPr="000322E4">
        <w:rPr>
          <w:iCs/>
          <w:lang w:val="en-US"/>
        </w:rPr>
        <w:instrText>Alok</w:instrText>
      </w:r>
      <w:r w:rsidR="00C51648" w:rsidRPr="000322E4">
        <w:rPr>
          <w:iCs/>
        </w:rPr>
        <w:instrText xml:space="preserve"> </w:instrText>
      </w:r>
      <w:r w:rsidR="00C51648" w:rsidRPr="000322E4">
        <w:rPr>
          <w:iCs/>
          <w:lang w:val="en-US"/>
        </w:rPr>
        <w:instrText>A</w:instrText>
      </w:r>
      <w:r w:rsidR="00C51648" w:rsidRPr="000322E4">
        <w:rPr>
          <w:iCs/>
        </w:rPr>
        <w:instrText>.","</w:instrText>
      </w:r>
      <w:r w:rsidR="00C51648" w:rsidRPr="000322E4">
        <w:rPr>
          <w:iCs/>
          <w:lang w:val="en-US"/>
        </w:rPr>
        <w:instrText>non</w:instrText>
      </w:r>
      <w:r w:rsidR="00C51648" w:rsidRPr="000322E4">
        <w:rPr>
          <w:iCs/>
        </w:rPr>
        <w:instrText>-</w:instrText>
      </w:r>
      <w:r w:rsidR="00C51648" w:rsidRPr="000322E4">
        <w:rPr>
          <w:iCs/>
          <w:lang w:val="en-US"/>
        </w:rPr>
        <w:instrText>dropping</w:instrText>
      </w:r>
      <w:r w:rsidR="00C51648" w:rsidRPr="000322E4">
        <w:rPr>
          <w:iCs/>
        </w:rPr>
        <w:instrText>-</w:instrText>
      </w:r>
      <w:r w:rsidR="00C51648" w:rsidRPr="000322E4">
        <w:rPr>
          <w:iCs/>
          <w:lang w:val="en-US"/>
        </w:rPr>
        <w:instrText>particle</w:instrText>
      </w:r>
      <w:r w:rsidR="00C51648" w:rsidRPr="000322E4">
        <w:rPr>
          <w:iCs/>
        </w:rPr>
        <w:instrText>":"","</w:instrText>
      </w:r>
      <w:r w:rsidR="00C51648" w:rsidRPr="000322E4">
        <w:rPr>
          <w:iCs/>
          <w:lang w:val="en-US"/>
        </w:rPr>
        <w:instrText>parse</w:instrText>
      </w:r>
      <w:r w:rsidR="00C51648" w:rsidRPr="000322E4">
        <w:rPr>
          <w:iCs/>
        </w:rPr>
        <w:instrText>-</w:instrText>
      </w:r>
      <w:r w:rsidR="00C51648" w:rsidRPr="000322E4">
        <w:rPr>
          <w:iCs/>
          <w:lang w:val="en-US"/>
        </w:rPr>
        <w:instrText>names</w:instrText>
      </w:r>
      <w:r w:rsidR="00C51648" w:rsidRPr="000322E4">
        <w:rPr>
          <w:iCs/>
        </w:rPr>
        <w:instrText>":</w:instrText>
      </w:r>
      <w:r w:rsidR="00C51648" w:rsidRPr="000322E4">
        <w:rPr>
          <w:iCs/>
          <w:lang w:val="en-US"/>
        </w:rPr>
        <w:instrText>false</w:instrText>
      </w:r>
      <w:r w:rsidR="00C51648" w:rsidRPr="000322E4">
        <w:rPr>
          <w:iCs/>
        </w:rPr>
        <w:instrText>,"</w:instrText>
      </w:r>
      <w:r w:rsidR="00C51648" w:rsidRPr="000322E4">
        <w:rPr>
          <w:iCs/>
          <w:lang w:val="en-US"/>
        </w:rPr>
        <w:instrText>suffix</w:instrText>
      </w:r>
      <w:r w:rsidR="00C51648" w:rsidRPr="000322E4">
        <w:rPr>
          <w:iCs/>
        </w:rPr>
        <w:instrText>":""}],"</w:instrText>
      </w:r>
      <w:r w:rsidR="00C51648" w:rsidRPr="000322E4">
        <w:rPr>
          <w:iCs/>
          <w:lang w:val="en-US"/>
        </w:rPr>
        <w:instrText>container</w:instrText>
      </w:r>
      <w:r w:rsidR="00C51648" w:rsidRPr="000322E4">
        <w:rPr>
          <w:iCs/>
        </w:rPr>
        <w:instrText>-</w:instrText>
      </w:r>
      <w:r w:rsidR="00C51648" w:rsidRPr="000322E4">
        <w:rPr>
          <w:iCs/>
          <w:lang w:val="en-US"/>
        </w:rPr>
        <w:instrText>title</w:instrText>
      </w:r>
      <w:r w:rsidR="00C51648" w:rsidRPr="000322E4">
        <w:rPr>
          <w:iCs/>
        </w:rPr>
        <w:instrText>":"</w:instrText>
      </w:r>
      <w:r w:rsidR="00C51648" w:rsidRPr="000322E4">
        <w:rPr>
          <w:iCs/>
          <w:lang w:val="en-US"/>
        </w:rPr>
        <w:instrText>The</w:instrText>
      </w:r>
      <w:r w:rsidR="00C51648" w:rsidRPr="000322E4">
        <w:rPr>
          <w:iCs/>
        </w:rPr>
        <w:instrText xml:space="preserve"> </w:instrText>
      </w:r>
      <w:r w:rsidR="00C51648" w:rsidRPr="000322E4">
        <w:rPr>
          <w:iCs/>
          <w:lang w:val="en-US"/>
        </w:rPr>
        <w:instrText>Oncologist</w:instrText>
      </w:r>
      <w:r w:rsidR="00C51648" w:rsidRPr="000322E4">
        <w:rPr>
          <w:iCs/>
        </w:rPr>
        <w:instrText>","</w:instrText>
      </w:r>
      <w:r w:rsidR="00C51648" w:rsidRPr="000322E4">
        <w:rPr>
          <w:iCs/>
          <w:lang w:val="en-US"/>
        </w:rPr>
        <w:instrText>id</w:instrText>
      </w:r>
      <w:r w:rsidR="00C51648" w:rsidRPr="000322E4">
        <w:rPr>
          <w:iCs/>
        </w:rPr>
        <w:instrText>":"</w:instrText>
      </w:r>
      <w:r w:rsidR="00C51648" w:rsidRPr="000322E4">
        <w:rPr>
          <w:iCs/>
          <w:lang w:val="en-US"/>
        </w:rPr>
        <w:instrText>ITEM</w:instrText>
      </w:r>
      <w:r w:rsidR="00C51648" w:rsidRPr="000322E4">
        <w:rPr>
          <w:iCs/>
        </w:rPr>
        <w:instrText>-1","</w:instrText>
      </w:r>
      <w:r w:rsidR="00C51648" w:rsidRPr="000322E4">
        <w:rPr>
          <w:iCs/>
          <w:lang w:val="en-US"/>
        </w:rPr>
        <w:instrText>issue</w:instrText>
      </w:r>
      <w:r w:rsidR="00C51648" w:rsidRPr="000322E4">
        <w:rPr>
          <w:iCs/>
        </w:rPr>
        <w:instrText>":"7","</w:instrText>
      </w:r>
      <w:r w:rsidR="00C51648" w:rsidRPr="000322E4">
        <w:rPr>
          <w:iCs/>
          <w:lang w:val="en-US"/>
        </w:rPr>
        <w:instrText>issued</w:instrText>
      </w:r>
      <w:r w:rsidR="00C51648" w:rsidRPr="000322E4">
        <w:rPr>
          <w:iCs/>
        </w:rPr>
        <w:instrText>":{"</w:instrText>
      </w:r>
      <w:r w:rsidR="00C51648" w:rsidRPr="000322E4">
        <w:rPr>
          <w:iCs/>
          <w:lang w:val="en-US"/>
        </w:rPr>
        <w:instrText>date</w:instrText>
      </w:r>
      <w:r w:rsidR="00C51648" w:rsidRPr="000322E4">
        <w:rPr>
          <w:iCs/>
        </w:rPr>
        <w:instrText>-</w:instrText>
      </w:r>
      <w:r w:rsidR="00C51648" w:rsidRPr="000322E4">
        <w:rPr>
          <w:iCs/>
          <w:lang w:val="en-US"/>
        </w:rPr>
        <w:instrText>parts</w:instrText>
      </w:r>
      <w:r w:rsidR="00C51648" w:rsidRPr="000322E4">
        <w:rPr>
          <w:iCs/>
        </w:rPr>
        <w:instrText>":[["2016","7"]]},"</w:instrText>
      </w:r>
      <w:r w:rsidR="00C51648" w:rsidRPr="000322E4">
        <w:rPr>
          <w:iCs/>
          <w:lang w:val="en-US"/>
        </w:rPr>
        <w:instrText>page</w:instrText>
      </w:r>
      <w:r w:rsidR="00C51648" w:rsidRPr="000322E4">
        <w:rPr>
          <w:iCs/>
        </w:rPr>
        <w:instrText>":"861-867","</w:instrText>
      </w:r>
      <w:r w:rsidR="00C51648" w:rsidRPr="000322E4">
        <w:rPr>
          <w:iCs/>
          <w:lang w:val="en-US"/>
        </w:rPr>
        <w:instrText>publisher</w:instrText>
      </w:r>
      <w:r w:rsidR="00C51648" w:rsidRPr="000322E4">
        <w:rPr>
          <w:iCs/>
        </w:rPr>
        <w:instrText>":"</w:instrText>
      </w:r>
      <w:r w:rsidR="00C51648" w:rsidRPr="000322E4">
        <w:rPr>
          <w:iCs/>
          <w:lang w:val="en-US"/>
        </w:rPr>
        <w:instrText>Alphamed</w:instrText>
      </w:r>
      <w:r w:rsidR="00C51648" w:rsidRPr="000322E4">
        <w:rPr>
          <w:iCs/>
        </w:rPr>
        <w:instrText xml:space="preserve"> </w:instrText>
      </w:r>
      <w:r w:rsidR="00C51648" w:rsidRPr="000322E4">
        <w:rPr>
          <w:iCs/>
          <w:lang w:val="en-US"/>
        </w:rPr>
        <w:instrText>Press</w:instrText>
      </w:r>
      <w:r w:rsidR="00C51648" w:rsidRPr="000322E4">
        <w:rPr>
          <w:iCs/>
        </w:rPr>
        <w:instrText>","</w:instrText>
      </w:r>
      <w:r w:rsidR="00C51648" w:rsidRPr="000322E4">
        <w:rPr>
          <w:iCs/>
          <w:lang w:val="en-US"/>
        </w:rPr>
        <w:instrText>title</w:instrText>
      </w:r>
      <w:r w:rsidR="00C51648" w:rsidRPr="000322E4">
        <w:rPr>
          <w:iCs/>
        </w:rPr>
        <w:instrText>":"</w:instrText>
      </w:r>
      <w:r w:rsidR="00C51648" w:rsidRPr="000322E4">
        <w:rPr>
          <w:iCs/>
          <w:lang w:val="en-US"/>
        </w:rPr>
        <w:instrText>A</w:instrText>
      </w:r>
      <w:r w:rsidR="00C51648" w:rsidRPr="000322E4">
        <w:rPr>
          <w:iCs/>
        </w:rPr>
        <w:instrText xml:space="preserve"> </w:instrText>
      </w:r>
      <w:r w:rsidR="00C51648" w:rsidRPr="000322E4">
        <w:rPr>
          <w:iCs/>
          <w:lang w:val="en-US"/>
        </w:rPr>
        <w:instrText>Validated</w:instrText>
      </w:r>
      <w:r w:rsidR="00C51648" w:rsidRPr="000322E4">
        <w:rPr>
          <w:iCs/>
        </w:rPr>
        <w:instrText xml:space="preserve"> </w:instrText>
      </w:r>
      <w:r w:rsidR="00C51648" w:rsidRPr="000322E4">
        <w:rPr>
          <w:iCs/>
          <w:lang w:val="en-US"/>
        </w:rPr>
        <w:instrText>Risk</w:instrText>
      </w:r>
      <w:r w:rsidR="00C51648" w:rsidRPr="000322E4">
        <w:rPr>
          <w:iCs/>
        </w:rPr>
        <w:instrText xml:space="preserve"> </w:instrText>
      </w:r>
      <w:r w:rsidR="00C51648" w:rsidRPr="000322E4">
        <w:rPr>
          <w:iCs/>
          <w:lang w:val="en-US"/>
        </w:rPr>
        <w:instrText>Score</w:instrText>
      </w:r>
      <w:r w:rsidR="00C51648" w:rsidRPr="000322E4">
        <w:rPr>
          <w:iCs/>
        </w:rPr>
        <w:instrText xml:space="preserve"> </w:instrText>
      </w:r>
      <w:r w:rsidR="00C51648" w:rsidRPr="000322E4">
        <w:rPr>
          <w:iCs/>
          <w:lang w:val="en-US"/>
        </w:rPr>
        <w:instrText>for Venous Thromboembolism Is Predictive of Cancer Progression and Mortality","type":"article-journal","volume":"21"},"uris":["http://www.mendeley.com/documents/?uuid=18a4966e-5d62-3c04-83a9-fd95d5e2da41"]},{"id":"ITEM-2","itemData":{"DOI":"10.1016/s0049-3848(16)30136-0","ISSN":"00493848","abstract":"BACKGROUND\\nRecent studies show that the risk of VTE in NHL pts is similar to that observed in high risk solid tumors (i.e. pancreatic, ovarian cancer). VTE in NHL occurs in most cases within three months from diagnosis and can have substantial impact on treatment delivery and outcome as well as on quality of life. However few data are available on potential predictors. \\n\\nAIMS\\nTo better clarify the epidemiology of early (within six months from treatment start) VTE in NHL we conducted a pooled data analysis of 12 clinical trials from FIL. Our analysis included basic demographic features, lymphoma-related characteristics as well the Khorana score (based on histology, BMI, platelets WBC and HB counts) which is extensively used in solid tumors to predict VTE risk. \\n\\nPATIENTS AND METHODS\\nFrom Jan. 2010 to Dec. 2014, all pts with B-cell NHL enrolled in prospective clinical trials from FIL for frontline treatment were included. For 9 studies study period included the entire trial population was included. The analyses were conducted based on CRFs as well as pharmacovigilance reports. VTE definition and grading was stated according to standard criteria of toxicity (CTCAE V4.0). Cumulative incidence of VTE from the study enrollment was estimated using the method described by Gooley et al. accounting for death from any causes as a competing risk. The Fine &amp; Gray survival model was used to identify predictors of VTE among NHL pts. Factors predicting the grade of VTE were investigated using an ordinal logistic regression model. This pooled data analysis was approved by local IRB. \\n\\nRESULTS\\nOverall, 1,717 patients belonging to 12 studies were evaluated. Eight were phase I/II or II (25% of pts) and 4 phase III (75% of pts). M/F ratio was 1.41, Median age was 57, (IQ range (IQR) 49-66). Histologies were: DLCL-B 34%, FL 41%, MCL 18%, other 6%. Median BMI was 25 (IQR 22-28). Median Hb, WBC and platelets counts were 13g/dl) (IQR 11.5-14.2), 7.1*10^9/l (IQR 5.6-10.3), 224*10^9/l (IQR 169-298), respectively. 1189 pts were evaluable Khorana score: 58% low risk, 30% intermediate risk, 12% were high risk. Human erythropoetin support was given to 9% of patients. All pts received Rituximab. Planned therapeutic programs included ASCT in 27% of pts, conventional chemotherapy in 67% a conventional chemotherapy plus lenalidomide in 6%. Overall 59 any grade VTE episodes occurred in 51 pts (2.9%), including 21 grade III-IV VTE (18 pts). None was fatal. Median time from study …","author":[{"dropping-particle":"","family":"Santi","given":"R.M.","non-dropping-particle":"","parse-names":false,"suffix":""},{"dropping-particle":"","family":"Ceccarelli","given":"M.","non-dropping-particle":"","parse-names":false,"suffix":""},{"dropping-particle":"","family":"Catania","given":"G.","non-dropping-particle":"","parse-names":false,"suffix":""},{"dropping-particle":"","family":"Monagheddu","given":"C.","non-dropping-particle":"","parse-names":false,"suffix":""},{"dropping-particle":"","family":"Evangelista","given":"A.","non-dropping-particle":"","parse-names":false,"suffix":""},{"dropping-particle":"","family":"Bernocco","given":"E.","non-dropping-particle":"","parse-names":false,"suffix":""},{"dropping-particle":"","family":"Monaco","given":"F.","non-dropping-particle":"","parse-names":false,"suffix":""},{"dropping-particle":"","family":"Federico","given":"M.","non-dropping-particle":"","parse-names":false,"suffix":""},{"dropping-particle":"","family":"Vitolo","given":"U.","non-dropping-particle":"","parse-names":false,"suffix":""},{"dropping-particle":"","family":"Cortelazzo","given":"S.","non-dropping-particle":"","parse-names":false,"suffix":""},{"dropping-particle":"","family":"Cabras","given":"M.G.","non-dropping-particle":"","parse-names":false,"suffix":""},{"dropping-particle":"","family":"Spina","given":"M.","non-dropping-particle":"","parse-names":false,"suffix":""},{"dropping-particle":"","family":"Baldini","given":"L.","non-dropping-particle":"","parse-names":false,"suffix":""},{"dropping-particle":"","family":"Boccomini","given":"C.","non-dropping-particle":"","parse-names":false,"suffix":""},{"dropping-particle":"","family":"Chiappella","given":"A.","non-dropping-particle":"","parse-names":false,"suffix":""},{"dropping-particle":"","family":"Bari","given":"A.","non-dropping-particle":"","parse-names":false,"suffix":""},{"dropping-particle":"","family":"Luminari","given":"S.","non-dropping-particle":"","parse-names":false,"suffix":""},{"dropping-particle":"","family":"Calabrese","given":"M.","non-dropping-particle":"","parse-names":false,"suffix":""},{"dropping-particle":"","family":"Levis","given":"A.","non-dropping-particle":"","parse-names":false,"suffix":""},{"dropping-particle":"","family":"Visco","given":"C.","non-dropping-particle":"","parse-names":false,"suffix":""},{"dropping-particle":"","family":"Contino","given":"L.","non-dropping-particle":"","parse-names":false,"suffix":""},{"dropping-particle":"","family":"Ciccone","given":"G.","non-dropping-particle":"","parse-names":false,"suffix":""},{"dropping-particle":"","family":"Ladetto","given":"M.","non-dropping-particle":"","parse-names":false,"suffix":""}],"container-title":"Thrombosis Research","id":"ITEM-2","issued":{"date-parts":[["2016","4","1"]]},"page":"S177","publisher":"Elsevier BV","title":"PO-03 - Khorana score and histotype predict the incidence of early venous thromboembolism (VTE) in Non Hodgkin Lymphoma (NHL). A pooled data analysis of twelve clinical trials of Fondazione Italiana Linfomi (FIL)","type":"article-journal","volume":"140"},"uris":["http://www.mendeley.com/documents/?uuid=f8991f19-b353-3dbf-93ae-ea021c37a7dc"]}],"mendeley":{"formattedCitation":"[19,20]","plainTextFormattedCitation":"[19,20]","previouslyFormattedCitation":"[19,20]"},"properties":{"noteIndex":0},"schema":"https://github.com/citation-style-language/schema/raw/master/csl-citation.json"}</w:instrText>
      </w:r>
      <w:r w:rsidR="00C51648" w:rsidRPr="000322E4">
        <w:rPr>
          <w:iCs/>
          <w:lang w:val="en-US"/>
        </w:rPr>
        <w:fldChar w:fldCharType="separate"/>
      </w:r>
      <w:r w:rsidR="00C51648" w:rsidRPr="000322E4">
        <w:rPr>
          <w:iCs/>
          <w:noProof/>
          <w:lang w:val="en-US"/>
        </w:rPr>
        <w:t>[19,20]</w:t>
      </w:r>
      <w:r w:rsidR="00C51648" w:rsidRPr="000322E4">
        <w:rPr>
          <w:iCs/>
          <w:lang w:val="en-US"/>
        </w:rPr>
        <w:fldChar w:fldCharType="end"/>
      </w:r>
      <w:r w:rsidR="0052462B" w:rsidRPr="000322E4">
        <w:rPr>
          <w:iCs/>
        </w:rPr>
        <w:t>.</w:t>
      </w:r>
    </w:p>
    <w:p w14:paraId="6A46032F" w14:textId="77777777" w:rsidR="0052462B" w:rsidRPr="000322E4" w:rsidRDefault="0052462B" w:rsidP="00CA442F">
      <w:pPr>
        <w:ind w:left="709"/>
        <w:contextualSpacing/>
        <w:divId w:val="266810958"/>
        <w:rPr>
          <w:b/>
        </w:rPr>
      </w:pPr>
      <w:r w:rsidRPr="000322E4">
        <w:rPr>
          <w:b/>
        </w:rPr>
        <w:t>Уровень убедительности рекомендаций С (уровень достоверности доказательств 5).</w:t>
      </w:r>
    </w:p>
    <w:p w14:paraId="1AF51731" w14:textId="77777777" w:rsidR="00D67C73" w:rsidRPr="000322E4" w:rsidRDefault="00D67C73" w:rsidP="00CA442F">
      <w:pPr>
        <w:ind w:left="709"/>
        <w:contextualSpacing/>
        <w:divId w:val="266810958"/>
        <w:rPr>
          <w:i/>
        </w:rPr>
      </w:pPr>
      <w:r w:rsidRPr="000322E4">
        <w:rPr>
          <w:b/>
        </w:rPr>
        <w:t xml:space="preserve">Комментарий: </w:t>
      </w:r>
      <w:r w:rsidR="005A50FB" w:rsidRPr="000322E4">
        <w:rPr>
          <w:i/>
          <w:iCs/>
        </w:rPr>
        <w:t>объем исследования включает в себя дифференциальный подсчет клеток крови с использованием автоматического анализатора; исследование морфологии эритроцитов, тромбоцитов, лейкоцитов по мазку, при необходимости – оптический подсчет количества тромбоцитов (по Фонио)</w:t>
      </w:r>
      <w:r w:rsidRPr="000322E4">
        <w:rPr>
          <w:i/>
        </w:rPr>
        <w:t>.</w:t>
      </w:r>
    </w:p>
    <w:p w14:paraId="47876E12" w14:textId="77777777" w:rsidR="00F82D52" w:rsidRPr="000322E4" w:rsidRDefault="00F82D52" w:rsidP="00CA442F">
      <w:pPr>
        <w:pStyle w:val="a"/>
        <w:spacing w:before="0"/>
        <w:divId w:val="266810958"/>
      </w:pPr>
      <w:r w:rsidRPr="000322E4">
        <w:t xml:space="preserve">Всем пациентам </w:t>
      </w:r>
      <w:r w:rsidR="000958E3" w:rsidRPr="000322E4">
        <w:t>с подозрением на ДВКЛ</w:t>
      </w:r>
      <w:r w:rsidR="009B70C4" w:rsidRPr="000322E4">
        <w:t>, ПМВКЛ или ЛБ</w:t>
      </w:r>
      <w:r w:rsidR="000958E3" w:rsidRPr="000322E4">
        <w:t xml:space="preserve"> или с верифицированной ДВКЛ</w:t>
      </w:r>
      <w:r w:rsidR="009B70C4" w:rsidRPr="000322E4">
        <w:t>, ПМВКЛ или ЛБ</w:t>
      </w:r>
      <w:r w:rsidR="000958E3" w:rsidRPr="000322E4">
        <w:t xml:space="preserve"> при выявлении лимфоцитоза в общем </w:t>
      </w:r>
      <w:r w:rsidR="00E0494A" w:rsidRPr="000322E4">
        <w:t xml:space="preserve">(клиническом) </w:t>
      </w:r>
      <w:r w:rsidR="000958E3" w:rsidRPr="000322E4">
        <w:t xml:space="preserve">анализе </w:t>
      </w:r>
      <w:r w:rsidR="000958E3" w:rsidRPr="000322E4">
        <w:lastRenderedPageBreak/>
        <w:t>крови (независимо от числа лейкоцитов), а также при преобладании лимфоидных клеток, атипичных лимфоцитов или клеток с бластной морфологией на любом этапе диагностики и лечения</w:t>
      </w:r>
      <w:r w:rsidRPr="000322E4">
        <w:t xml:space="preserve"> </w:t>
      </w:r>
      <w:r w:rsidRPr="000322E4">
        <w:rPr>
          <w:b/>
        </w:rPr>
        <w:t>рекомендуется</w:t>
      </w:r>
      <w:r w:rsidRPr="000322E4">
        <w:t xml:space="preserve"> </w:t>
      </w:r>
      <w:r w:rsidR="000958E3" w:rsidRPr="000322E4">
        <w:t xml:space="preserve">выполнение иммунофенотипирования </w:t>
      </w:r>
      <w:r w:rsidR="00E0494A" w:rsidRPr="000322E4">
        <w:t>периферической крови для выявления субпопуляционного состава лимфоцитов</w:t>
      </w:r>
      <w:r w:rsidRPr="000322E4">
        <w:t xml:space="preserve"> </w:t>
      </w:r>
      <w:r w:rsidRPr="000322E4">
        <w:fldChar w:fldCharType="begin" w:fldLock="1"/>
      </w:r>
      <w:r w:rsidR="004D1259" w:rsidRPr="000322E4">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DOI":"10.1093/annonc/mdv304","ISSN":"1569-8041","PMID":"26314773","author":[{"dropping-particle":"","family":"Tilly","given":"H","non-dropping-particle":"","parse-names":false,"suffix":""},{"dropping-particle":"","family":"Gomes da Silva","given":"M","non-dropping-particle":"","parse-names":false,"suffix":""},{"dropping-particle":"","family":"Vitolo","given":"U","non-dropping-particle":"","parse-names":false,"suffix":""},{"dropping-particle":"","family":"Jack","given":"A","non-dropping-particle":"","parse-names":false,"suffix":""},{"dropping-particle":"","family":"Meignan","given":"M","non-dropping-particle":"","parse-names":false,"suffix":""},{"dropping-particle":"","family":"Lopez-Guillermo","given":"A","non-dropping-particle":"","parse-names":false,"suffix":""},{"dropping-particle":"","family":"Walewski","given":"J","non-dropping-particle":"","parse-names":false,"suffix":""},{"dropping-particle":"","family":"André","given":"M","non-dropping-particle":"","parse-names":false,"suffix":""},{"dropping-particle":"","family":"Johnson","given":"P W","non-dropping-particle":"","parse-names":false,"suffix":""},{"dropping-particle":"","family":"Pfreundschuh","given":"M","non-dropping-particle":"","parse-names":false,"suffix":""},{"dropping-particle":"","family":"Ladetto","given":"M","non-dropping-particle":"","parse-names":false,"suffix":""},{"dropping-particle":"","family":"ESMO Guidelines Committee","given":"","non-dropping-particle":"","parse-names":false,"suffix":""}],"container-title":"Annals of oncology : official journal of the European Society for Medical Oncology","id":"ITEM-2","issued":{"date-parts":[["2015","9"]]},"page":"v116-25","title":"Diffuse large B-cell lymphoma (DLBCL): ESMO Clinical Practice Guidelines for diagnosis, treatment and follow-up.","type":"article-journal","volume":"26 Suppl 5"},"uris":["http://www.mendeley.com/documents/?uuid=1697b7a7-5190-39af-8155-3d2b075b5466"]}],"mendeley":{"formattedCitation":"[17,18]","plainTextFormattedCitation":"[17,18]","previouslyFormattedCitation":"[17,18]"},"properties":{"noteIndex":0},"schema":"https://github.com/citation-style-language/schema/raw/master/csl-citation.json"}</w:instrText>
      </w:r>
      <w:r w:rsidRPr="000322E4">
        <w:fldChar w:fldCharType="separate"/>
      </w:r>
      <w:r w:rsidR="00C51648" w:rsidRPr="000322E4">
        <w:rPr>
          <w:noProof/>
        </w:rPr>
        <w:t>[17,18]</w:t>
      </w:r>
      <w:r w:rsidRPr="000322E4">
        <w:fldChar w:fldCharType="end"/>
      </w:r>
      <w:r w:rsidRPr="000322E4">
        <w:t xml:space="preserve">. </w:t>
      </w:r>
    </w:p>
    <w:p w14:paraId="31967604" w14:textId="77777777" w:rsidR="00F82D52" w:rsidRPr="000322E4" w:rsidRDefault="00F82D52" w:rsidP="00CA442F">
      <w:pPr>
        <w:ind w:left="709"/>
        <w:contextualSpacing/>
        <w:divId w:val="266810958"/>
        <w:rPr>
          <w:b/>
        </w:rPr>
      </w:pPr>
      <w:r w:rsidRPr="000322E4">
        <w:rPr>
          <w:b/>
        </w:rPr>
        <w:t>Уровень убедительности рекомендаций С (уровень достоверности доказательств 5).</w:t>
      </w:r>
    </w:p>
    <w:p w14:paraId="743A4A3F" w14:textId="77777777" w:rsidR="000958E3" w:rsidRPr="000322E4" w:rsidRDefault="000958E3" w:rsidP="00CA442F">
      <w:pPr>
        <w:ind w:left="709"/>
        <w:contextualSpacing/>
        <w:divId w:val="266810958"/>
        <w:rPr>
          <w:b/>
        </w:rPr>
      </w:pPr>
      <w:r w:rsidRPr="000322E4">
        <w:rPr>
          <w:b/>
        </w:rPr>
        <w:t xml:space="preserve">Комментарий: </w:t>
      </w:r>
      <w:r w:rsidRPr="000322E4">
        <w:rPr>
          <w:i/>
        </w:rPr>
        <w:t xml:space="preserve">выполнение ИФТ желательно при наличии лимфоцитоза в общем анализе крови (независимо от числа лейкоцитов), а также при преобладании лимфоидных клеток, атипичных лимфоцитов или клеток с бластной морфологией в плевральной, асцитической или других биологических жидкостях. Выполнение ИФТ позволяет быстро провести дифференциальную диагностику опухолевого и реактивного лимфоцитоза, что важно для определения дальнейшей тактики обследования пациента. Материалом для ИФТ могут служить клетки крови, костного мозга, выпотных жидкостей, </w:t>
      </w:r>
      <w:r w:rsidR="00E0494A" w:rsidRPr="000322E4">
        <w:rPr>
          <w:i/>
        </w:rPr>
        <w:t>спинномозговой жидкости</w:t>
      </w:r>
      <w:r w:rsidRPr="000322E4">
        <w:rPr>
          <w:i/>
        </w:rPr>
        <w:t>, гомогенизированные образцы тканей (селезенка, лимфатические узлы и т.д.), клеточная суспензия, полученная при аспирационной тонкоигольной пункции лимфатических узлов. Минимальная ИФТ - панель должна включать оценку экспрессии CD19, CD20, CD10, CD5, СД23, CD3, CD45, легкие цепи иммуноглобулинов (Ig-kappa, Ig-lambda).</w:t>
      </w:r>
      <w:r w:rsidRPr="000322E4">
        <w:rPr>
          <w:i/>
          <w:iCs/>
        </w:rPr>
        <w:t>бъем исследования включает в себя дифференциальный подсчет.</w:t>
      </w:r>
    </w:p>
    <w:p w14:paraId="7B3F4812" w14:textId="77777777" w:rsidR="000958E3" w:rsidRPr="000322E4" w:rsidRDefault="000958E3" w:rsidP="00CA442F">
      <w:pPr>
        <w:pStyle w:val="a"/>
        <w:spacing w:before="0"/>
        <w:divId w:val="266810958"/>
      </w:pPr>
      <w:r w:rsidRPr="000322E4">
        <w:t>Всем пациентам с ДВКЛ</w:t>
      </w:r>
      <w:r w:rsidR="009B70C4" w:rsidRPr="000322E4">
        <w:t>, ПМВКЛ или ЛБ</w:t>
      </w:r>
      <w:r w:rsidRPr="000322E4">
        <w:t xml:space="preserve"> при наличии клинических или лабораторных признаков гемолиза перед проведением первой линии противоопухолевой терапии </w:t>
      </w:r>
      <w:r w:rsidRPr="000322E4">
        <w:rPr>
          <w:b/>
        </w:rPr>
        <w:t>рекомендуется</w:t>
      </w:r>
      <w:r w:rsidRPr="000322E4">
        <w:t xml:space="preserve"> прямой антиглобулиновый тест (прямая проба Кумбса)</w:t>
      </w:r>
      <w:r w:rsidR="00527A4D" w:rsidRPr="000322E4">
        <w:t xml:space="preserve"> для уточнения причины гемолиза </w:t>
      </w:r>
      <w:r w:rsidRPr="000322E4">
        <w:t xml:space="preserve"> </w:t>
      </w:r>
      <w:r w:rsidRPr="000322E4">
        <w:fldChar w:fldCharType="begin" w:fldLock="1"/>
      </w:r>
      <w:r w:rsidR="004D1259" w:rsidRPr="000322E4">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лимфом","type":"chapter"},"uris":["http://www.mendeley.com/documents/?uuid=d7eb85a2-da5e-400d-b112-7f0a5734958d"]},{"id":"ITEM-2","itemData":{"DOI":"10.7534/j.issn.1009-2137.2013.03.019","ISSN":"10092137","abstract":"This study was purpose to investigate the clinical characteristics of B-cell chronic lymphoproliferative disorders (B-CLPD) complicated by autoimmune hemolytic anemia (AIHA) so as to improve the understanding of this disease. The clinical characteristics, laboratory data, therapy and outcome of 14 patients suffering from B-CLPD complicated by AIHA were retrospectively analyzed in Wuxi People Hospital and the First Affiliated Hospital of Nanjing Medical University from 2000 to 2012. The results showed that 9 cases of the 14 patients were patients with chronic lymphocytic leukemia (CLL), 5 cases were patients with lymphoma, at time of hemolysis the median level of hemoglobin was 61 (33 - 84)g/L, the median ratio of reticulocytes was 12.0 (3.1 - 35.0)%, the positive rate of Coombs test was 100%. 1 case received corticosteroid alone, 5 cases were treated with chemotherapy combined with corticosteroid, 8 cases were treated with immunochemotherapy rituximab combined with corticosteroid. Overall response rate was 100%, in which CR was 78.6% (11/14), PR was 21.4% (3/14). The follow-up for these patients were performed to now, 35.7% (5/14) patients relapsed with hemolysis again, but they showed therapeutic response to treatment with above-mentioned therapy. From patients treated with rituximab alone, only 1 patient relapsed. Among 14 patients, 6 cases died, 1 case was lost, the other cases are still alive. It is concluded that the AIHA is the commonest complication of B-CLPD, it can be observed at different stages of B-CLPD, the treatment with corticosteroids can give well therapeutic effect for these patients, but the long time CR is lower, the rituximab has been confirmed to be effective for B-CLPD complicated by AIHA.","author":[{"dropping-particle":"","family":"Zhuang","given":"Yun","non-dropping-particle":"","parse-names":false,"suffix":""},{"dropping-particle":"","family":"Fan","given":"Lei","non-dropping-particle":"","parse-names":false,"suffix":""},{"dropping-particle":"","family":"Shen","given":"Yun Feng","non-dropping-particle":"","parse-names":false,"suffix":""},{"dropping-particle":"","family":"Xu","given":"Wei","non-dropping-particle":"","parse-names":false,"suffix":""},{"dropping-particle":"","family":"Li","given":"Jian Yong","non-dropping-particle":"","parse-names":false,"suffix":""}],"container-title":"Zhongguo shi yan xue ye xue za zhi / Zhongguo bing li sheng li xue hui = Journal of experimental hematology / Chinese Association of Pathophysiology","id":"ITEM-2","issue":"3","issued":{"date-parts":[["2013","6"]]},"page":"633-636","title":"[Autoimmune hemolytic anemia associated with B-cell chronic lymphoproliferative disorders].","type":"article-journal","volume":"21"},"uris":["http://www.mendeley.com/documents/?uuid=d43fc990-5159-3b21-a018-24862dc86441"]},{"id":"ITEM-3","itemData":{"ISSN":"0485-1439","PMID":"17695307","abstract":"A 75-year-old woman was admitted for general fatigue. Diagnostic investigations showed no lymphadenopathy or hepatosplenomegaly. Laboratory examinations revealed severe anemia and an undetectable level of haptoglobin in the peripheral blood. A direct Coombs test was positive. Bone marrow examination showed abnormal, large, CD20-positive lymphocytes and erythroid hypoplasia. Accordingly, a diagnosis of primary diffuse large B-cell lymphoma (DLBCL) of the bone marrow with autoimmune hemolytic anemia (AIHA) and erythroid hypoplasia was made. The patient was treated with prednisolone and 3 courses of rituximab, followed by 6 courses of R-CHOP. AIHA and erythroid hypoplasia subsided after prednisolone and 3 courses of rituximab. Treatment with 6 courses of R-CHOP resulted in complete remission. Isolated bone marrow disease as a presenting feature of DLBCL is very rare. Although malignant lymphomas are often associated with immunologic disorders, this is the first report of diffuse large B-cell lymphoma with isolated bone marrow disease and simultaneous autoimmune hemolytic anemia and erythroid hypoplasia. This case provides valuable information concerning the pathophysiology of an immunologic anomaly with malignant lymphoma.","author":[{"dropping-particle":"","family":"Sumi","given":"Masahiko","non-dropping-particle":"","parse-names":false,"suffix":""},{"dropping-particle":"","family":"Ichikawa","given":"Naoaki","non-dropping-particle":"","parse-names":false,"suffix":""},{"dropping-particle":"","family":"Shimizu","given":"Ikuo","non-dropping-particle":"","parse-names":false,"suffix":""},{"dropping-particle":"","family":"Yotsumoto","given":"Mihoko","non-dropping-particle":"","parse-names":false,"suffix":""},{"dropping-particle":"","family":"Ueno","given":"Mayumi","non-dropping-particle":"","parse-names":false,"suffix":""},{"dropping-particle":"","family":"Kobayashi","given":"Hikaru","non-dropping-particle":"","parse-names":false,"suffix":""}],"container-title":"[Rinsho ketsueki] The Japanese journal of clinical hematology","id":"ITEM-3","issue":"7","issued":{"date-parts":[["2007","7"]]},"page":"571-5","title":"[Primary diffuse large B-cell lymphoma of the bone marrow complicated with autoimmune hemolytic anemia and erythroid hypoplasia].","type":"article-journal","volume":"48"},"uris":["http://www.mendeley.com/documents/?uuid=33f3bf3c-a54e-331c-8320-5a5e5695ed37"]},{"id":"ITEM-4","itemData":{"ISSN":"1009-2137","PMID":"22391174","abstract":"The cases of lymphoma accompanied or preceded by Coombs' test positive autoimmune hemolytic anemia (AIHA) have been reported. However, Coombs' test negative AIHA prior to the diagnosis of lymphoma was rarely described. Herein, this article reports a case of non-Hodgkin's lymphoma (NHL) preceded about 1.5 years by Coombs test negative AIHA. A woman aged 69 was diagnosed with HA based on the history and laboratory tests. Further studies revealed that this patient was negative with Coombs' test for IgG, IgM, IgA and C3. After all possible causes of HA, especially malignancies were ruled out, the patient was diagnosed with Coombs' test negative AIHA and treated with prednisolone. The patient responded well initially to steroid treatment. Two recurrences of acute HA were presented at time of 10 months post steroid cessation, and immediately after an attempt to withdraw steroid, respectively, but the hemolysis was effectively controlled by reinstitution of prednisolone. At third recurrence, however, the patient was no longer responding to steroid, and was found with cervical lymphadenopathy. Coombs' test for IgG, IgM, IgA and C3 remained negative. B cell NHL was diagnosed by pathology. After receiving 6 cycles of CHOP chemotherapy, the patient was lymphoma free, but the hemolysis was not improved, however, which was effectively controlled by the following low dose-rituximab (RTX) therapy. The patient was still kept in a remission of lymphoma free of anemia. In conclusion, this report presented a very rare case of NHL with Coombs' test negative AIHA as initial major clinical manifestation.","author":[{"dropping-particle":"","family":"Wan","given":"Sui-Gui","non-dropping-particle":"","parse-names":false,"suffix":""},{"dropping-particle":"","family":"Lin","given":"Yang","non-dropping-particle":"","parse-names":false,"suffix":""},{"dropping-particle":"","family":"Xia","given":"Chang-Qing","non-dropping-particle":"","parse-names":false,"suffix":""},{"dropping-particle":"","family":"Zhao","given":"Hong","non-dropping-particle":"","parse-names":false,"suffix":""},{"dropping-particle":"","family":"Xu","given":"Juan","non-dropping-particle":"","parse-names":false,"suffix":""}],"container-title":"Zhongguo shi yan xue ye xue za zhi","id":"ITEM-4","issue":"1","issued":{"date-parts":[["2012","2"]]},"page":"97-9","title":"Incipient Coombs' test negative autoimmune hemolytic anemia precedes non-Hodgkin's lymphoma.","type":"article-journal","volume":"20"},"uris":["http://www.mendeley.com/documents/?uuid=b0df6826-2e70-3689-9ab0-5b79e55db775"]},{"id":"ITEM-5","itemData":{"ISSN":"0041-4301","PMID":"17290572","abstract":"Autoimmune hemolytic anemia (AIHA) is an unusual complication of malignancy. We diagnosed primary splenic anaplastic large cell lymphoma (ALCL) in a patient. A seven-year-old boy presented with Coombs test-positive hemolytic anemia. After a course of prednisolone therapy, a complete response for anemia was achieved. Twenty months later, in addition to severe hemolytic anemia, the patient was diagnosed with ALCL after splenectomy and pathologic examination of the sample. The recognition of this clinical picture as a complication of non-Hodgkin's lymphoma has important implications. The most effective management of AIHA in the setting of cancer is to treat the underlying malignancy.","author":[{"dropping-particle":"","family":"Köksal","given":"Yavuz","non-dropping-particle":"","parse-names":false,"suffix":""},{"dropping-particle":"","family":"Calişkan","given":"Umran","non-dropping-particle":"","parse-names":false,"suffix":""},{"dropping-particle":"","family":"Uçar","given":"Canan","non-dropping-particle":"","parse-names":false,"suffix":""},{"dropping-particle":"","family":"Erekul","given":"Selim","non-dropping-particle":"","parse-names":false,"suffix":""},{"dropping-particle":"","family":"Ilerisoy Yakut","given":"Zeynep","non-dropping-particle":"","parse-names":false,"suffix":""}],"container-title":"The Turkish journal of pediatrics","id":"ITEM-5","issue":"4","issued":{"date-parts":[["0"]]},"page":"354-6","title":"Autoimmune hemolytic anemia as presenting manifestation of primary splenic anaplastic large cell lymphoma.","type":"article-journal","volume":"48"},"uris":["http://www.mendeley.com/documents/?uuid=46985db8-c224-3d7d-a1d7-089cf46e6f67"]}],"mendeley":{"formattedCitation":"[17,21–24]","plainTextFormattedCitation":"[17,21–24]","previouslyFormattedCitation":"[17,21–24]"},"properties":{"noteIndex":0},"schema":"https://github.com/citation-style-language/schema/raw/master/csl-citation.json"}</w:instrText>
      </w:r>
      <w:r w:rsidRPr="000322E4">
        <w:fldChar w:fldCharType="separate"/>
      </w:r>
      <w:r w:rsidR="004D1259" w:rsidRPr="000322E4">
        <w:rPr>
          <w:noProof/>
        </w:rPr>
        <w:t>[17,21–24]</w:t>
      </w:r>
      <w:r w:rsidRPr="000322E4">
        <w:fldChar w:fldCharType="end"/>
      </w:r>
      <w:r w:rsidRPr="000322E4">
        <w:t xml:space="preserve">. </w:t>
      </w:r>
    </w:p>
    <w:p w14:paraId="45BCDE0A" w14:textId="77777777" w:rsidR="000958E3" w:rsidRPr="000322E4" w:rsidRDefault="000958E3" w:rsidP="00CA442F">
      <w:pPr>
        <w:ind w:left="709"/>
        <w:contextualSpacing/>
        <w:divId w:val="266810958"/>
        <w:rPr>
          <w:b/>
        </w:rPr>
      </w:pPr>
      <w:r w:rsidRPr="000322E4">
        <w:rPr>
          <w:b/>
        </w:rPr>
        <w:t>Уровень убедительности рекомендаций С (уровень достоверности</w:t>
      </w:r>
      <w:r w:rsidR="00E904D8" w:rsidRPr="000322E4">
        <w:rPr>
          <w:b/>
        </w:rPr>
        <w:t xml:space="preserve"> доказательств 4)</w:t>
      </w:r>
    </w:p>
    <w:p w14:paraId="799EF714" w14:textId="77777777" w:rsidR="0052462B" w:rsidRPr="000322E4" w:rsidRDefault="0052462B" w:rsidP="00CA442F">
      <w:pPr>
        <w:pStyle w:val="a"/>
        <w:spacing w:before="0"/>
        <w:divId w:val="266810958"/>
      </w:pPr>
      <w:r w:rsidRPr="000322E4">
        <w:t>Всем</w:t>
      </w:r>
      <w:r w:rsidR="00D75819" w:rsidRPr="000322E4">
        <w:t xml:space="preserve"> ранее не получавшим лечение</w:t>
      </w:r>
      <w:r w:rsidRPr="000322E4">
        <w:t xml:space="preserve"> пациентам с </w:t>
      </w:r>
      <w:r w:rsidR="000958E3" w:rsidRPr="000322E4">
        <w:t>ДВКЛ</w:t>
      </w:r>
      <w:r w:rsidR="009B70C4" w:rsidRPr="000322E4">
        <w:t>, ПМВКЛ или ЛБ</w:t>
      </w:r>
      <w:r w:rsidRPr="000322E4">
        <w:t xml:space="preserve"> перед проведением первой линии противоопухолевой терапии </w:t>
      </w:r>
      <w:r w:rsidRPr="000322E4">
        <w:rPr>
          <w:b/>
        </w:rPr>
        <w:t>рекомендуется</w:t>
      </w:r>
      <w:r w:rsidRPr="000322E4">
        <w:t xml:space="preserve"> определение основных групп крови по системе AB0, определение антигена D системы Резус (резус-фактора) для возможности выполнения гемотрансфузии при наличии показаний до, во время или после терапии</w:t>
      </w:r>
      <w:r w:rsidR="00A87256" w:rsidRPr="000322E4">
        <w:t xml:space="preserve"> </w:t>
      </w:r>
      <w:r w:rsidR="00A87256" w:rsidRPr="000322E4">
        <w:fldChar w:fldCharType="begin" w:fldLock="1"/>
      </w:r>
      <w:r w:rsidR="00DA1F72" w:rsidRPr="000322E4">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mendeley":{"formattedCitation":"[17]","plainTextFormattedCitation":"[17]","previouslyFormattedCitation":"[17]"},"properties":{"noteIndex":0},"schema":"https://github.com/citation-style-language/schema/raw/master/csl-citation.json"}</w:instrText>
      </w:r>
      <w:r w:rsidR="00A87256" w:rsidRPr="000322E4">
        <w:fldChar w:fldCharType="separate"/>
      </w:r>
      <w:r w:rsidR="00DA1F72" w:rsidRPr="000322E4">
        <w:rPr>
          <w:noProof/>
        </w:rPr>
        <w:t>[17]</w:t>
      </w:r>
      <w:r w:rsidR="00A87256" w:rsidRPr="000322E4">
        <w:fldChar w:fldCharType="end"/>
      </w:r>
      <w:r w:rsidRPr="000322E4">
        <w:t xml:space="preserve">. </w:t>
      </w:r>
    </w:p>
    <w:p w14:paraId="6279A51D" w14:textId="77777777" w:rsidR="0052462B" w:rsidRPr="000322E4" w:rsidRDefault="0052462B" w:rsidP="00CA442F">
      <w:pPr>
        <w:ind w:left="709"/>
        <w:contextualSpacing/>
        <w:divId w:val="266810958"/>
        <w:rPr>
          <w:b/>
        </w:rPr>
      </w:pPr>
      <w:r w:rsidRPr="000322E4">
        <w:rPr>
          <w:b/>
        </w:rPr>
        <w:t>Уровень убедительности рекомендаций С (уровень достоверности доказательств 5).</w:t>
      </w:r>
    </w:p>
    <w:p w14:paraId="6FC02445" w14:textId="77777777" w:rsidR="004A21C0" w:rsidRPr="000322E4" w:rsidRDefault="0052462B" w:rsidP="00CA442F">
      <w:pPr>
        <w:pStyle w:val="a"/>
        <w:spacing w:before="0"/>
        <w:divId w:val="266810958"/>
        <w:rPr>
          <w:b/>
        </w:rPr>
      </w:pPr>
      <w:r w:rsidRPr="000322E4">
        <w:lastRenderedPageBreak/>
        <w:t>Всем</w:t>
      </w:r>
      <w:r w:rsidR="00D75819" w:rsidRPr="000322E4">
        <w:t xml:space="preserve"> ранее не получавшим лечение </w:t>
      </w:r>
      <w:r w:rsidRPr="000322E4">
        <w:t xml:space="preserve">пациентам с </w:t>
      </w:r>
      <w:r w:rsidR="000958E3" w:rsidRPr="000322E4">
        <w:t>ДВКЛ</w:t>
      </w:r>
      <w:r w:rsidR="009B70C4" w:rsidRPr="000322E4">
        <w:t>, ПМВКЛ или ЛБ</w:t>
      </w:r>
      <w:r w:rsidRPr="000322E4">
        <w:t xml:space="preserve"> перед проведением первой линии противоопухолевой терапии </w:t>
      </w:r>
      <w:r w:rsidRPr="000322E4">
        <w:rPr>
          <w:b/>
        </w:rPr>
        <w:t>рекомендуется</w:t>
      </w:r>
      <w:r w:rsidRPr="000322E4">
        <w:t xml:space="preserve"> </w:t>
      </w:r>
      <w:r w:rsidR="004A21C0" w:rsidRPr="000322E4">
        <w:t xml:space="preserve">для уточнения наличия сопутствующих инфекционных заболеваний и планирования необходимой сопутствующей терапии </w:t>
      </w:r>
      <w:r w:rsidRPr="000322E4">
        <w:t>выполнение</w:t>
      </w:r>
      <w:r w:rsidR="004A21C0" w:rsidRPr="000322E4">
        <w:t xml:space="preserve"> следующих исследований</w:t>
      </w:r>
      <w:r w:rsidR="000E2BA9" w:rsidRPr="000322E4">
        <w:t xml:space="preserve"> </w:t>
      </w:r>
      <w:r w:rsidR="000E2BA9" w:rsidRPr="000322E4">
        <w:fldChar w:fldCharType="begin" w:fldLock="1"/>
      </w:r>
      <w:r w:rsidR="004D1259" w:rsidRPr="000322E4">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DOI":"10.1093/annonc/mdv304","ISSN":"1569-8041","PMID":"26314773","author":[{"dropping-particle":"","family":"Tilly","given":"H","non-dropping-particle":"","parse-names":false,"suffix":""},{"dropping-particle":"","family":"Gomes da Silva","given":"M","non-dropping-particle":"","parse-names":false,"suffix":""},{"dropping-particle":"","family":"Vitolo","given":"U","non-dropping-particle":"","parse-names":false,"suffix":""},{"dropping-particle":"","family":"Jack","given":"A","non-dropping-particle":"","parse-names":false,"suffix":""},{"dropping-particle":"","family":"Meignan","given":"M","non-dropping-particle":"","parse-names":false,"suffix":""},{"dropping-particle":"","family":"Lopez-Guillermo","given":"A","non-dropping-particle":"","parse-names":false,"suffix":""},{"dropping-particle":"","family":"Walewski","given":"J","non-dropping-particle":"","parse-names":false,"suffix":""},{"dropping-particle":"","family":"André","given":"M","non-dropping-particle":"","parse-names":false,"suffix":""},{"dropping-particle":"","family":"Johnson","given":"P W","non-dropping-particle":"","parse-names":false,"suffix":""},{"dropping-particle":"","family":"Pfreundschuh","given":"M","non-dropping-particle":"","parse-names":false,"suffix":""},{"dropping-particle":"","family":"Ladetto","given":"M","non-dropping-particle":"","parse-names":false,"suffix":""},{"dropping-particle":"","family":"ESMO Guidelines Committee","given":"","non-dropping-particle":"","parse-names":false,"suffix":""}],"container-title":"Annals of oncology : official journal of the European Society for Medical Oncology","id":"ITEM-2","issued":{"date-parts":[["2015","9"]]},"page":"v116-25","title":"Diffuse large B-cell lymphoma (DLBCL): ESMO Clinical Practice Guidelines for diagnosis, treatment and follow-up.","type":"article-journal","volume":"26 Suppl 5"},"uris":["http://www.mendeley.com/documents/?uuid=1697b7a7-5190-39af-8155-3d2b075b5466"]}],"mendeley":{"formattedCitation":"[17,18]","plainTextFormattedCitation":"[17,18]","previouslyFormattedCitation":"[17,18]"},"properties":{"noteIndex":0},"schema":"https://github.com/citation-style-language/schema/raw/master/csl-citation.json"}</w:instrText>
      </w:r>
      <w:r w:rsidR="000E2BA9" w:rsidRPr="000322E4">
        <w:fldChar w:fldCharType="separate"/>
      </w:r>
      <w:r w:rsidR="004D1259" w:rsidRPr="000322E4">
        <w:rPr>
          <w:noProof/>
        </w:rPr>
        <w:t>[17,18]</w:t>
      </w:r>
      <w:r w:rsidR="000E2BA9" w:rsidRPr="000322E4">
        <w:fldChar w:fldCharType="end"/>
      </w:r>
      <w:r w:rsidR="004A21C0" w:rsidRPr="000322E4">
        <w:t>:</w:t>
      </w:r>
    </w:p>
    <w:p w14:paraId="393C69FF" w14:textId="77777777" w:rsidR="0052462B" w:rsidRPr="000322E4" w:rsidRDefault="0052462B" w:rsidP="00CA442F">
      <w:pPr>
        <w:pStyle w:val="afe"/>
        <w:numPr>
          <w:ilvl w:val="0"/>
          <w:numId w:val="7"/>
        </w:numPr>
        <w:divId w:val="266810958"/>
      </w:pPr>
      <w:r w:rsidRPr="000322E4">
        <w:t>молекулярно-биологического исследования крови на вирус гепатита B (Hepatitis B virus) и на вирус гепатита C (Hepatitis C virus)</w:t>
      </w:r>
      <w:r w:rsidR="004A21C0" w:rsidRPr="000322E4">
        <w:t>;</w:t>
      </w:r>
    </w:p>
    <w:p w14:paraId="5DBB2A16" w14:textId="77777777" w:rsidR="004A21C0" w:rsidRPr="000322E4" w:rsidRDefault="004A21C0" w:rsidP="00CA442F">
      <w:pPr>
        <w:pStyle w:val="afe"/>
        <w:numPr>
          <w:ilvl w:val="0"/>
          <w:numId w:val="7"/>
        </w:numPr>
        <w:divId w:val="266810958"/>
      </w:pPr>
      <w:r w:rsidRPr="000322E4">
        <w:t>молекулярно-биологического исследования крови на вирус иммунодефицита человека ВИЧ-1 (Human immunodeficiency virus HIV-1)</w:t>
      </w:r>
      <w:r w:rsidR="00D67C73" w:rsidRPr="000322E4">
        <w:t>;</w:t>
      </w:r>
    </w:p>
    <w:p w14:paraId="704A6EA6" w14:textId="77777777" w:rsidR="0052462B" w:rsidRPr="000322E4" w:rsidRDefault="0052462B" w:rsidP="00CA442F">
      <w:pPr>
        <w:pStyle w:val="afe"/>
        <w:ind w:left="709" w:firstLine="0"/>
        <w:divId w:val="266810958"/>
        <w:rPr>
          <w:b/>
        </w:rPr>
      </w:pPr>
      <w:r w:rsidRPr="000322E4">
        <w:rPr>
          <w:b/>
        </w:rPr>
        <w:t>Уровень убедительности рекомендаций С (уровень достоверности доказательств 5).</w:t>
      </w:r>
    </w:p>
    <w:p w14:paraId="7283BC48" w14:textId="77777777" w:rsidR="003263CD" w:rsidRPr="000322E4" w:rsidRDefault="005D4E90" w:rsidP="00CA442F">
      <w:pPr>
        <w:pStyle w:val="a"/>
        <w:spacing w:before="0"/>
        <w:divId w:val="266810958"/>
        <w:rPr>
          <w:i/>
        </w:rPr>
      </w:pPr>
      <w:r w:rsidRPr="000322E4">
        <w:t xml:space="preserve">Всем пациентам с </w:t>
      </w:r>
      <w:r w:rsidR="000958E3" w:rsidRPr="000322E4">
        <w:t>ДВКЛ</w:t>
      </w:r>
      <w:r w:rsidR="009B70C4" w:rsidRPr="000322E4">
        <w:t>, ПМВКЛ или ЛБ</w:t>
      </w:r>
      <w:r w:rsidRPr="000322E4">
        <w:t xml:space="preserve">  младше 18 лет до начала противоопухолевой терапии, а также в</w:t>
      </w:r>
      <w:r w:rsidR="003263CD" w:rsidRPr="000322E4">
        <w:t xml:space="preserve">сем пациентам с </w:t>
      </w:r>
      <w:r w:rsidR="000958E3" w:rsidRPr="000322E4">
        <w:t>ДВКЛ</w:t>
      </w:r>
      <w:r w:rsidR="009B70C4" w:rsidRPr="000322E4">
        <w:t>, ПМВКЛ или ЛБ</w:t>
      </w:r>
      <w:r w:rsidRPr="000322E4">
        <w:t xml:space="preserve"> независимо от возраста</w:t>
      </w:r>
      <w:r w:rsidR="003263CD" w:rsidRPr="000322E4">
        <w:t xml:space="preserve">, получающим или получавшим противоопухолевую терапию, после первого эпизода тяжелой инфекции </w:t>
      </w:r>
      <w:r w:rsidR="003263CD" w:rsidRPr="000322E4">
        <w:rPr>
          <w:b/>
          <w:bCs/>
        </w:rPr>
        <w:t>рекомендуется</w:t>
      </w:r>
      <w:r w:rsidR="003263CD" w:rsidRPr="000322E4">
        <w:t xml:space="preserve"> определение иммунного статуса (</w:t>
      </w:r>
      <w:r w:rsidR="00E0494A" w:rsidRPr="000322E4">
        <w:t xml:space="preserve">исследования </w:t>
      </w:r>
      <w:r w:rsidR="003263CD" w:rsidRPr="000322E4">
        <w:t xml:space="preserve">уровня иммуноглобулинов </w:t>
      </w:r>
      <w:r w:rsidR="003263CD" w:rsidRPr="000322E4">
        <w:rPr>
          <w:lang w:val="en-US"/>
        </w:rPr>
        <w:t>G</w:t>
      </w:r>
      <w:r w:rsidR="003263CD" w:rsidRPr="000322E4">
        <w:t xml:space="preserve">, </w:t>
      </w:r>
      <w:r w:rsidR="003263CD" w:rsidRPr="000322E4">
        <w:rPr>
          <w:lang w:val="en-US"/>
        </w:rPr>
        <w:t>A</w:t>
      </w:r>
      <w:r w:rsidR="003263CD" w:rsidRPr="000322E4">
        <w:t xml:space="preserve"> и </w:t>
      </w:r>
      <w:r w:rsidR="003263CD" w:rsidRPr="000322E4">
        <w:rPr>
          <w:lang w:val="en-US"/>
        </w:rPr>
        <w:t>M</w:t>
      </w:r>
      <w:r w:rsidR="003263CD" w:rsidRPr="000322E4">
        <w:t xml:space="preserve"> в крови</w:t>
      </w:r>
      <w:r w:rsidR="00E0494A" w:rsidRPr="000322E4">
        <w:t>)</w:t>
      </w:r>
      <w:r w:rsidR="003263CD" w:rsidRPr="000322E4">
        <w:t xml:space="preserve"> для уточнения риска развития инфекционных осложнений и необходимости назначения соответствующей профилактики </w:t>
      </w:r>
      <w:r w:rsidR="003263CD" w:rsidRPr="000322E4">
        <w:fldChar w:fldCharType="begin" w:fldLock="1"/>
      </w:r>
      <w:r w:rsidR="004D1259" w:rsidRPr="000322E4">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лимфом","type":"chapter"},"uris":["http://www.mendeley.com/documents/?uuid=d7eb85a2-da5e-400d-b112-7f0a5734958d"]},{"id":"ITEM-2","itemData":{"DOI":"10.7861/clinmedicine.16-6-571","ISSN":"14734893","abstract":"Antibody defi ciencies can occur in the context of primary disorders due to inherited genetic defects; however, secondary immune disorders are far more prevalent and can be caused by various diseases and their treatment, certain medications and surgical procedures. Immunoglobulin replacement therapy has been shown to be effective in reducing infections, morbidity and mortality in primary antibody defi ciencies but secondary antibody defi ciencies are in general poorly defi ned and there are no guidelines for the management of patients with this condition. Clinical decisions are based on experience from primary antibody defi ciencies. Both primary and secondary antibody defi ciencies can be associated with infections, immune dysregulation and end-organ damage, causing signifi cant morbidity and mortality. Therefore, it is important to diagnose and treat these patients promptly to minimise adverse effects and improve quality of life. We focus on secondary antibody defi ciency and describe the causes, diagnosis and treatment of this disorder.","author":[{"dropping-particle":"","family":"Srivastava","given":"Sapna","non-dropping-particle":"","parse-names":false,"suffix":""},{"dropping-particle":"","family":"Wood","given":"Philip","non-dropping-particle":"","parse-names":false,"suffix":""}],"container-title":"Clinical Medicine, Journal of the Royal College of Physicians of London","id":"ITEM-2","issued":{"date-parts":[["2016"]]},"title":"Secondary antibody deficiency-causes and approach to diagnosis","type":"article-journal"},"uris":["http://www.mendeley.com/documents/?uuid=122c5237-a104-392a-be50-9d92c8764a3d"]}],"mendeley":{"formattedCitation":"[17,25]","plainTextFormattedCitation":"[17,25]","previouslyFormattedCitation":"[17,25]"},"properties":{"noteIndex":0},"schema":"https://github.com/citation-style-language/schema/raw/master/csl-citation.json"}</w:instrText>
      </w:r>
      <w:r w:rsidR="003263CD" w:rsidRPr="000322E4">
        <w:fldChar w:fldCharType="separate"/>
      </w:r>
      <w:r w:rsidR="004D1259" w:rsidRPr="000322E4">
        <w:rPr>
          <w:noProof/>
        </w:rPr>
        <w:t>[17,25]</w:t>
      </w:r>
      <w:r w:rsidR="003263CD" w:rsidRPr="000322E4">
        <w:fldChar w:fldCharType="end"/>
      </w:r>
      <w:r w:rsidR="003263CD" w:rsidRPr="000322E4">
        <w:t>.</w:t>
      </w:r>
    </w:p>
    <w:p w14:paraId="42DAF83D" w14:textId="77777777" w:rsidR="003263CD" w:rsidRPr="000322E4" w:rsidRDefault="003263CD" w:rsidP="00CA442F">
      <w:pPr>
        <w:ind w:left="709"/>
        <w:contextualSpacing/>
        <w:divId w:val="266810958"/>
        <w:rPr>
          <w:b/>
        </w:rPr>
      </w:pPr>
      <w:r w:rsidRPr="000322E4">
        <w:rPr>
          <w:b/>
        </w:rPr>
        <w:t>Уровень убедительности рекомендаций С (уровень достоверности доказательств 5).</w:t>
      </w:r>
    </w:p>
    <w:p w14:paraId="65720D28" w14:textId="77777777" w:rsidR="003263CD" w:rsidRPr="000322E4" w:rsidRDefault="003263CD" w:rsidP="00CA442F">
      <w:pPr>
        <w:ind w:left="709"/>
        <w:contextualSpacing/>
        <w:divId w:val="266810958"/>
        <w:rPr>
          <w:i/>
        </w:rPr>
      </w:pPr>
      <w:r w:rsidRPr="000322E4">
        <w:rPr>
          <w:b/>
        </w:rPr>
        <w:t>Комментарии:</w:t>
      </w:r>
      <w:r w:rsidRPr="000322E4">
        <w:t xml:space="preserve"> </w:t>
      </w:r>
      <w:r w:rsidRPr="000322E4">
        <w:rPr>
          <w:i/>
        </w:rPr>
        <w:t xml:space="preserve">если </w:t>
      </w:r>
      <w:r w:rsidRPr="000322E4">
        <w:rPr>
          <w:i/>
          <w:lang w:val="en-US"/>
        </w:rPr>
        <w:t>IgG</w:t>
      </w:r>
      <w:r w:rsidR="00D17164" w:rsidRPr="000322E4">
        <w:rPr>
          <w:i/>
        </w:rPr>
        <w:t xml:space="preserve"> </w:t>
      </w:r>
      <w:r w:rsidRPr="000322E4">
        <w:rPr>
          <w:i/>
        </w:rPr>
        <w:t>&lt;4 г/л, клиническая ситуация расценивается как симптоматическая гипогаммаглобулинемия. В этих случаях показана заместительная терапия иммуноглобулинами (см. раздел «Сопутствующая и сопроводительная терапия)</w:t>
      </w:r>
    </w:p>
    <w:p w14:paraId="636F9EEE" w14:textId="77777777" w:rsidR="00F6558C" w:rsidRPr="000322E4" w:rsidRDefault="00B46390" w:rsidP="00CA442F">
      <w:pPr>
        <w:pStyle w:val="2"/>
        <w:spacing w:before="0"/>
        <w:divId w:val="266810958"/>
      </w:pPr>
      <w:bookmarkStart w:id="29" w:name="_Toc66096820"/>
      <w:r w:rsidRPr="000322E4">
        <w:t xml:space="preserve">2.4 </w:t>
      </w:r>
      <w:r w:rsidR="00A70F44" w:rsidRPr="000322E4">
        <w:t xml:space="preserve">Инструментальные </w:t>
      </w:r>
      <w:r w:rsidRPr="000322E4">
        <w:t>диагно</w:t>
      </w:r>
      <w:r w:rsidR="00A70F44" w:rsidRPr="000322E4">
        <w:t>стические исследования</w:t>
      </w:r>
      <w:bookmarkEnd w:id="29"/>
    </w:p>
    <w:p w14:paraId="4C3103C6" w14:textId="77777777" w:rsidR="00E80F3F" w:rsidRPr="000322E4" w:rsidRDefault="00E80F3F" w:rsidP="00CA442F">
      <w:pPr>
        <w:pStyle w:val="a"/>
        <w:spacing w:before="0"/>
        <w:divId w:val="266810958"/>
      </w:pPr>
      <w:r w:rsidRPr="000322E4">
        <w:t>Всем пациентам при установлении диагноза ДВКЛ</w:t>
      </w:r>
      <w:r w:rsidR="009B70C4" w:rsidRPr="000322E4">
        <w:t>, ПМВКЛ или ЛБ</w:t>
      </w:r>
      <w:r w:rsidRPr="000322E4">
        <w:t xml:space="preserve">, при оценке ответа на лечение, а также при подозрении на рецидив заболевания </w:t>
      </w:r>
      <w:r w:rsidRPr="000322E4">
        <w:rPr>
          <w:b/>
        </w:rPr>
        <w:t>рекомендуется</w:t>
      </w:r>
      <w:r w:rsidRPr="000322E4">
        <w:t xml:space="preserve"> при наличии возможности выполнить позитронную эмиссионную томографию, совмещенную с компьютерной томографией (ПЭТ/КТ) с туморотропными радиофармпрепаратами (РФП) или (хуже, при отсутствии технической возможности выполнит ПЭТ/КТ) позитронную эмиссионную томографию (ПЭТ) всего тела с туморотропными РФП для стадирования заболевания и оценки эффекта на терапию </w:t>
      </w:r>
      <w:r w:rsidRPr="000322E4">
        <w:fldChar w:fldCharType="begin" w:fldLock="1"/>
      </w:r>
      <w:r w:rsidRPr="000322E4">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author":[{"dropping-particle":"","family":"Мухортова","given":"О.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Савченко.","id":"ITEM-2","issued":{"date-parts":[["2018"]]},"page":"168-179","title":"Использование ПЭТ/КТ при лимфопролиферативных заболеваниях","type":"chapter"},"uris":["http://www.mendeley.com/documents/?uuid=84c36229-beea-4ecf-a021-0d26c44a1db3"]},{"id":"ITEM-3","itemData":{"DOI":"10.1093/annonc/mdv304","ISSN":"1569-8041","PMID":"26314773","author":[{"dropping-particle":"","family":"Tilly","given":"H","non-dropping-particle":"","parse-names":false,"suffix":""},{"dropping-particle":"","family":"Gomes da Silva","given":"M","non-dropping-particle":"","parse-names":false,"suffix":""},{"dropping-particle":"","family":"Vitolo","given":"U","non-dropping-particle":"","parse-names":false,"suffix":""},{"dropping-particle":"","family":"Jack","given":"A","non-dropping-particle":"","parse-names":false,"suffix":""},{"dropping-particle":"","family":"Meignan","given":"M","non-dropping-particle":"","parse-names":false,"suffix":""},{"dropping-particle":"","family":"Lopez-Guillermo","given":"A","non-dropping-particle":"","parse-names":false,"suffix":""},{"dropping-particle":"","family":"Walewski","given":"J","non-dropping-particle":"","parse-names":false,"suffix":""},{"dropping-particle":"","family":"André","given":"M","non-dropping-particle":"","parse-names":false,"suffix":""},{"dropping-particle":"","family":"Johnson","given":"P W","non-dropping-particle":"","parse-names":false,"suffix":""},{"dropping-particle":"","family":"Pfreundschuh","given":"M","non-dropping-particle":"","parse-names":false,"suffix":""},{"dropping-particle":"","family":"Ladetto","given":"M","non-dropping-particle":"","parse-names":false,"suffix":""},{"dropping-particle":"","family":"ESMO Guidelines Committee","given":"","non-dropping-particle":"","parse-names":false,"suffix":""}],"container-title":"Annals of oncology : official journal of the European Society for Medical Oncology","id":"ITEM-3","issued":{"date-parts":[["2015","9"]]},"page":"v116-25","title":"Diffuse large B-cell lymphoma (DLBCL): ESMO Clinical Practice Guidelines for diagnosis, treatment and follow-up.","type":"article-journal","volume":"26 Suppl 5"},"uris":["http://www.mendeley.com/documents/?uuid=1697b7a7-5190-39af-8155-3d2b075b5466"]},{"id":"ITEM-4","itemData":{"ISSN":"1824-4785","PMID":"21150862","abstract":"AIM To compare the accuracy of bone marrow biopsy (BMb) and positron emission tomography (PET) in bone marrow disease (BMD) detection, in a large multicentre population of patients with new diagnosis of malignant lymphoma. METHODS PET and BMb were performed to complete disease staging in 337 consecutive patients: 130 Hodgkin's disease (HD), 207 aggressive non Hodgkin's lymphoma (NHL). Sensitivity, specificity and accuracy of both techniques in BMD detection were evaluated and compared. RESULTS 87 patients with BMD (25 positives at both exams, 27 only at the BMb and 35 only at the PET study). PET vs. BMb were reordered: sensitivity: 69% vs. 59.8%; specificity: 99.2% vs. 100%; accuracy: 91.4% vs. 89.6%; positive predictive value: 96.8% vs. 100%; negative predictive value: 90.2% vs. 87.7%. CONCLUSION The sensitivity of PET and BMb is similar (69% and 60%, respectively), PET and BMb are complementary: in fact out of 87 patients with confirmed BMD only 25 are positive at both exams, while 27 only at the BMb and 35 only at the PET exam; the integration of PET findings with BMb ones increases the diagnostic accuracy. Consequentially PET is essential during the staging of malignant lymphomas.","author":[{"dropping-particle":"","family":"Pelosi","given":"E","non-dropping-particle":"","parse-names":false,"suffix":""},{"dropping-particle":"","family":"Penna","given":"D","non-dropping-particle":"","parse-names":false,"suffix":""},{"dropping-particle":"","family":"Douroukas","given":"A","non-dropping-particle":"","parse-names":false,"suffix":""},{"dropping-particle":"","family":"Bellò","given":"M","non-dropping-particle":"","parse-names":false,"suffix":""},{"dropping-particle":"","family":"Amati","given":"A","non-dropping-particle":"","parse-names":false,"suffix":""},{"dropping-particle":"","family":"Arena","given":"V","non-dropping-particle":"","parse-names":false,"suffix":""},{"dropping-particle":"","family":"Passera","given":"R","non-dropping-particle":"","parse-names":false,"suffix":""},{"dropping-particle":"","family":"Bisi","given":"G","non-dropping-particle":"","parse-names":false,"suffix":""}],"container-title":"The quarterly journal of nuclear medicine and molecular imaging : official publication of the Italian Association of Nuclear Medicine (AIMN) [and] the International Association of Radiopharmacology (IAR), [and] Section of the Society of...","id":"ITEM-4","issue":"4","issued":{"date-parts":[["2011","8"]]},"page":"469-75","title":"Bone marrow disease detection with FDG-PET/CT and bone marrow biopsy during the staging of malignant lymphoma: results from a large multicentre study.","type":"article-journal","volume":"55"},"uris":["http://www.mendeley.com/documents/?uuid=345c3cc1-480a-36b0-8e1e-f4e24ab559fb"]},{"id":"ITEM-5","itemData":{"DOI":"10.1182/blood-2012-12-473389","ISSN":"00064971","abstract":"We investigated whether positron emission tomography combined with computed tomography (PET-CT) identifies clinically important bone marrow involvement by diffuse large B-cell lymphoma (DLBCL) with sufficient accuracy to replace routine staging bone marrow biopsy. All patients from a single centre diagnosed as DLBCL since 2005 had data extracted from staging PET-CT, marrow biopsy, and treatment records. Of 130 patients, 35 (27%) were judged to have marrow involvement; 33 were identified by PET-CT compared with 14 by marrow histology. PET identified all clinically important marrow lymphoma, while biopsy did not upstage any patient. Sensitivity and specificity were 94% and 100% for PET-CT and 40% and 100% for marrow biopsy. As a secondary aim, we compared the prognosis of marrow involvement, as detected by PET-CT or biopsy. Cases with marrow deposits identified by PET-CT but not biopsy had progression-free survival (PFS) and overall survival similar to stage IV disease without involved marrow. Positive biopsy conferred significantly inferior PFS (P 5 = 003); these cases frequently had other markers of poor-risk disease. These data confirm that in experienced hands PET-CT has a high level of accuracy for identifying marrow disease in DLBCL, and provide new insight into the nature and clinical significance of marrow involvement. © 2013 by The American Society of Hematology.","author":[{"dropping-particle":"","family":"Khan","given":"Anjum Bashir","non-dropping-particle":"","parse-names":false,"suffix":""},{"dropping-particle":"","family":"Barrington","given":"Sally Fiona","non-dropping-particle":"","parse-names":false,"suffix":""},{"dropping-particle":"","family":"Mikhaeel","given":"Nabegh George","non-dropping-particle":"","parse-names":false,"suffix":""},{"dropping-particle":"","family":"Hunt","given":"Alesia Abigael","non-dropping-particle":"","parse-names":false,"suffix":""},{"dropping-particle":"","family":"Cameron","given":"Laura","non-dropping-particle":"","parse-names":false,"suffix":""},{"dropping-particle":"","family":"Morris","given":"Tim","non-dropping-particle":"","parse-names":false,"suffix":""},{"dropping-particle":"","family":"Carr","given":"Robert","non-dropping-particle":"","parse-names":false,"suffix":""}],"container-title":"Blood","id":"ITEM-5","issue":"1","issued":{"date-parts":[["2013","7","4"]]},"page":"61-67","title":"PET-CT staging of DLBCL accurately identifies and provides new insight into the clinical significance of bone marrow involvement","type":"paper-conference","volume":"122"},"uris":["http://www.mendeley.com/documents/?uuid=017163c4-37bb-393a-bb27-8c9e7c5f788b"]}],"mendeley":{"formattedCitation":"[17,18,26–28]","plainTextFormattedCitation":"[17,18,26–28]","previouslyFormattedCitation":"[17,18,26–28]"},"properties":{"noteIndex":0},"schema":"https://github.com/citation-style-language/schema/raw/master/csl-citation.json"}</w:instrText>
      </w:r>
      <w:r w:rsidRPr="000322E4">
        <w:fldChar w:fldCharType="separate"/>
      </w:r>
      <w:r w:rsidRPr="000322E4">
        <w:rPr>
          <w:noProof/>
        </w:rPr>
        <w:t>[17,18,26–28]</w:t>
      </w:r>
      <w:r w:rsidRPr="000322E4">
        <w:fldChar w:fldCharType="end"/>
      </w:r>
      <w:r w:rsidRPr="000322E4">
        <w:t>.</w:t>
      </w:r>
    </w:p>
    <w:p w14:paraId="0F6AB1AD" w14:textId="77777777" w:rsidR="00E80F3F" w:rsidRPr="000322E4" w:rsidRDefault="00E80F3F" w:rsidP="00CA442F">
      <w:pPr>
        <w:ind w:left="709"/>
        <w:contextualSpacing/>
        <w:divId w:val="266810958"/>
        <w:rPr>
          <w:b/>
        </w:rPr>
      </w:pPr>
      <w:r w:rsidRPr="000322E4">
        <w:rPr>
          <w:b/>
        </w:rPr>
        <w:t>Уровень убедительности рекомендаций В (уровень достоверности доказательств 2).</w:t>
      </w:r>
    </w:p>
    <w:p w14:paraId="0B2EFF29" w14:textId="77777777" w:rsidR="00E80F3F" w:rsidRPr="000322E4" w:rsidRDefault="00E80F3F" w:rsidP="00CA442F">
      <w:pPr>
        <w:pStyle w:val="afe"/>
        <w:ind w:left="709" w:firstLine="0"/>
        <w:divId w:val="266810958"/>
        <w:rPr>
          <w:i/>
        </w:rPr>
      </w:pPr>
      <w:r w:rsidRPr="000322E4">
        <w:rPr>
          <w:b/>
        </w:rPr>
        <w:lastRenderedPageBreak/>
        <w:t>Комментарии:</w:t>
      </w:r>
      <w:r w:rsidRPr="000322E4">
        <w:t xml:space="preserve"> </w:t>
      </w:r>
      <w:r w:rsidRPr="000322E4">
        <w:rPr>
          <w:i/>
        </w:rPr>
        <w:t xml:space="preserve">ПЭТ/КТ, выполненная до начала лечения, позволяет не только уточнить стадию, но и более точно определить локализацию очагов поражения, особенно экстранодальные вовлечения, которые могут плохо диагностироваться при КТ, что имеет существенное значение для последующей оценки эффекта терапии индукции и качественного планирования последующей лучевой терапии и минимизации облучения здоровых тканей. При наличии возможности выполнения ПЭТ/КТ, она может быть применена в соответствии с пересмотренными критериями оценки ответа, в первую очередь у пациентов с минимальным объемом опухоли, а также с учетом возможной коррекции лечения. </w:t>
      </w:r>
    </w:p>
    <w:p w14:paraId="24FF7C0C" w14:textId="77777777" w:rsidR="00E80F3F" w:rsidRPr="000322E4" w:rsidRDefault="00E80F3F" w:rsidP="00CA442F">
      <w:pPr>
        <w:pStyle w:val="afe"/>
        <w:ind w:left="709" w:firstLine="0"/>
        <w:divId w:val="266810958"/>
      </w:pPr>
      <w:r w:rsidRPr="000322E4">
        <w:rPr>
          <w:i/>
        </w:rPr>
        <w:t xml:space="preserve">При наличии технической возможности ПЭТ/КТ должна оцениваться по шкале </w:t>
      </w:r>
      <w:r w:rsidRPr="000322E4">
        <w:rPr>
          <w:i/>
          <w:lang w:val="en-US"/>
        </w:rPr>
        <w:t>Deauville</w:t>
      </w:r>
      <w:r w:rsidRPr="000322E4">
        <w:rPr>
          <w:i/>
        </w:rPr>
        <w:t xml:space="preserve"> (см. приложение Г2).</w:t>
      </w:r>
    </w:p>
    <w:p w14:paraId="78469C04" w14:textId="77777777" w:rsidR="00B0429E" w:rsidRPr="000322E4" w:rsidRDefault="00B0429E" w:rsidP="00CA442F">
      <w:pPr>
        <w:pStyle w:val="a"/>
        <w:spacing w:before="0"/>
        <w:divId w:val="266810958"/>
      </w:pPr>
      <w:r w:rsidRPr="000322E4">
        <w:t>Всем пациентам при установ</w:t>
      </w:r>
      <w:r w:rsidR="007C3C41" w:rsidRPr="000322E4">
        <w:t>лении</w:t>
      </w:r>
      <w:r w:rsidRPr="000322E4">
        <w:t xml:space="preserve"> диагноза </w:t>
      </w:r>
      <w:r w:rsidR="000958E3" w:rsidRPr="000322E4">
        <w:t>ДВКЛ</w:t>
      </w:r>
      <w:r w:rsidR="009B70C4" w:rsidRPr="000322E4">
        <w:t>, ПМВКЛ или ЛБ</w:t>
      </w:r>
      <w:r w:rsidRPr="000322E4">
        <w:t>,</w:t>
      </w:r>
      <w:r w:rsidR="00E80F3F" w:rsidRPr="000322E4">
        <w:t xml:space="preserve"> которым не может быть выполнена ПЭТ/КТ,</w:t>
      </w:r>
      <w:r w:rsidRPr="000322E4">
        <w:t xml:space="preserve"> при оценке ответа на лечение, а </w:t>
      </w:r>
      <w:r w:rsidRPr="000322E4">
        <w:rPr>
          <w:color w:val="000000" w:themeColor="text1"/>
        </w:rPr>
        <w:t xml:space="preserve">также при подозрении на рецидив заболевания </w:t>
      </w:r>
      <w:r w:rsidRPr="000322E4">
        <w:rPr>
          <w:b/>
          <w:color w:val="000000" w:themeColor="text1"/>
        </w:rPr>
        <w:t>рекомендуется</w:t>
      </w:r>
      <w:r w:rsidRPr="000322E4">
        <w:rPr>
          <w:color w:val="000000" w:themeColor="text1"/>
        </w:rPr>
        <w:t xml:space="preserve"> выполнить КТ </w:t>
      </w:r>
      <w:r w:rsidR="00E45C65" w:rsidRPr="000322E4">
        <w:rPr>
          <w:color w:val="000000" w:themeColor="text1"/>
        </w:rPr>
        <w:t xml:space="preserve">шеи, </w:t>
      </w:r>
      <w:r w:rsidRPr="000322E4">
        <w:t xml:space="preserve">грудной клетки, органов брюшной полости и малого таза (с контрастированием) для стадирования заболевания и уточнения наличия, размеров и распространенности опухолевых очагов </w:t>
      </w:r>
      <w:r w:rsidRPr="000322E4">
        <w:fldChar w:fldCharType="begin" w:fldLock="1"/>
      </w:r>
      <w:r w:rsidR="00E80F3F" w:rsidRPr="000322E4">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DOI":"10.1093/annonc/mdv304","ISSN":"1569-8041","PMID":"26314773","author":[{"dropping-particle":"","family":"Tilly","given":"H","non-dropping-particle":"","parse-names":false,"suffix":""},{"dropping-particle":"","family":"Gomes da Silva","given":"M","non-dropping-particle":"","parse-names":false,"suffix":""},{"dropping-particle":"","family":"Vitolo","given":"U","non-dropping-particle":"","parse-names":false,"suffix":""},{"dropping-particle":"","family":"Jack","given":"A","non-dropping-particle":"","parse-names":false,"suffix":""},{"dropping-particle":"","family":"Meignan","given":"M","non-dropping-particle":"","parse-names":false,"suffix":""},{"dropping-particle":"","family":"Lopez-Guillermo","given":"A","non-dropping-particle":"","parse-names":false,"suffix":""},{"dropping-particle":"","family":"Walewski","given":"J","non-dropping-particle":"","parse-names":false,"suffix":""},{"dropping-particle":"","family":"André","given":"M","non-dropping-particle":"","parse-names":false,"suffix":""},{"dropping-particle":"","family":"Johnson","given":"P W","non-dropping-particle":"","parse-names":false,"suffix":""},{"dropping-particle":"","family":"Pfreundschuh","given":"M","non-dropping-particle":"","parse-names":false,"suffix":""},{"dropping-particle":"","family":"Ladetto","given":"M","non-dropping-particle":"","parse-names":false,"suffix":""},{"dropping-particle":"","family":"ESMO Guidelines Committee","given":"","non-dropping-particle":"","parse-names":false,"suffix":""}],"container-title":"Annals of oncology : official journal of the European Society for Medical Oncology","id":"ITEM-2","issued":{"date-parts":[["2015","9"]]},"page":"v116-25","title":"Diffuse large B-cell lymphoma (DLBCL): ESMO Clinical Practice Guidelines for diagnosis, treatment and follow-up.","type":"article-journal","volume":"26 Suppl 5"},"uris":["http://www.mendeley.com/documents/?uuid=1697b7a7-5190-39af-8155-3d2b075b5466"]}],"mendeley":{"formattedCitation":"[17,18]","plainTextFormattedCitation":"[17,18]","previouslyFormattedCitation":"[17,18]"},"properties":{"noteIndex":0},"schema":"https://github.com/citation-style-language/schema/raw/master/csl-citation.json"}</w:instrText>
      </w:r>
      <w:r w:rsidRPr="000322E4">
        <w:fldChar w:fldCharType="separate"/>
      </w:r>
      <w:r w:rsidR="00D611C5" w:rsidRPr="000322E4">
        <w:rPr>
          <w:noProof/>
        </w:rPr>
        <w:t>[17,18]</w:t>
      </w:r>
      <w:r w:rsidRPr="000322E4">
        <w:fldChar w:fldCharType="end"/>
      </w:r>
      <w:r w:rsidRPr="000322E4">
        <w:t>.</w:t>
      </w:r>
    </w:p>
    <w:p w14:paraId="47DC467B" w14:textId="77777777" w:rsidR="00B0429E" w:rsidRPr="000322E4" w:rsidRDefault="00B0429E" w:rsidP="00CA442F">
      <w:pPr>
        <w:pStyle w:val="afe"/>
        <w:ind w:left="709" w:firstLine="0"/>
        <w:divId w:val="266810958"/>
        <w:rPr>
          <w:color w:val="000000" w:themeColor="text1"/>
        </w:rPr>
      </w:pPr>
      <w:r w:rsidRPr="000322E4">
        <w:rPr>
          <w:b/>
        </w:rPr>
        <w:t>Уровень убедительности рекомендаций С (уровень достоверности доказательств 5).</w:t>
      </w:r>
    </w:p>
    <w:p w14:paraId="6888AE6E" w14:textId="77777777" w:rsidR="000F4D7F" w:rsidRPr="000322E4" w:rsidRDefault="00B0429E" w:rsidP="00CA442F">
      <w:pPr>
        <w:pStyle w:val="a"/>
        <w:spacing w:before="0"/>
        <w:divId w:val="266810958"/>
      </w:pPr>
      <w:r w:rsidRPr="000322E4">
        <w:t>Пациентам с противопоказаниями к</w:t>
      </w:r>
      <w:r w:rsidR="00E80F3F" w:rsidRPr="000322E4">
        <w:t xml:space="preserve"> ПЭТ/КТ и</w:t>
      </w:r>
      <w:r w:rsidRPr="000322E4">
        <w:t xml:space="preserve"> КТ, либо при невозможности выполнения </w:t>
      </w:r>
      <w:r w:rsidR="00E80F3F" w:rsidRPr="000322E4">
        <w:t>ПЭТ/</w:t>
      </w:r>
      <w:r w:rsidRPr="000322E4">
        <w:t>КТ</w:t>
      </w:r>
      <w:r w:rsidR="00E80F3F" w:rsidRPr="000322E4">
        <w:t xml:space="preserve"> и КТ</w:t>
      </w:r>
      <w:r w:rsidRPr="000322E4">
        <w:t>, при установ</w:t>
      </w:r>
      <w:r w:rsidR="007C3C41" w:rsidRPr="000322E4">
        <w:t>лении</w:t>
      </w:r>
      <w:r w:rsidRPr="000322E4">
        <w:t xml:space="preserve"> диагноза </w:t>
      </w:r>
      <w:r w:rsidR="00622670" w:rsidRPr="000322E4">
        <w:t>ДВКЛ</w:t>
      </w:r>
      <w:r w:rsidR="009B70C4" w:rsidRPr="000322E4">
        <w:t>, ПМВКЛ или ЛБ</w:t>
      </w:r>
      <w:r w:rsidRPr="000322E4">
        <w:t xml:space="preserve">, при оценке ответа на лечение, а также при подозрении на рецидив заболевания </w:t>
      </w:r>
      <w:r w:rsidRPr="000322E4">
        <w:rPr>
          <w:b/>
        </w:rPr>
        <w:t>рекомендуется</w:t>
      </w:r>
      <w:r w:rsidRPr="000322E4">
        <w:t xml:space="preserve"> </w:t>
      </w:r>
      <w:r w:rsidR="000F4D7F" w:rsidRPr="000322E4">
        <w:t xml:space="preserve">для стадирования заболевания и уточнения наличия, размеров и распространенности опухолевых очагов </w:t>
      </w:r>
      <w:r w:rsidRPr="000322E4">
        <w:t>выполнить</w:t>
      </w:r>
      <w:r w:rsidR="000F4D7F" w:rsidRPr="000322E4">
        <w:t xml:space="preserve"> следующие диагностические исследования </w:t>
      </w:r>
      <w:r w:rsidR="000F4D7F" w:rsidRPr="000322E4">
        <w:fldChar w:fldCharType="begin" w:fldLock="1"/>
      </w:r>
      <w:r w:rsidR="00DA1F72" w:rsidRPr="000322E4">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mendeley":{"formattedCitation":"[17]","plainTextFormattedCitation":"[17]","previouslyFormattedCitation":"[17]"},"properties":{"noteIndex":0},"schema":"https://github.com/citation-style-language/schema/raw/master/csl-citation.json"}</w:instrText>
      </w:r>
      <w:r w:rsidR="000F4D7F" w:rsidRPr="000322E4">
        <w:fldChar w:fldCharType="separate"/>
      </w:r>
      <w:r w:rsidR="00DA1F72" w:rsidRPr="000322E4">
        <w:rPr>
          <w:noProof/>
        </w:rPr>
        <w:t>[17]</w:t>
      </w:r>
      <w:r w:rsidR="000F4D7F" w:rsidRPr="000322E4">
        <w:fldChar w:fldCharType="end"/>
      </w:r>
      <w:r w:rsidR="000F4D7F" w:rsidRPr="000322E4">
        <w:t>:</w:t>
      </w:r>
    </w:p>
    <w:p w14:paraId="5E989251" w14:textId="77777777" w:rsidR="00B0429E" w:rsidRPr="000322E4" w:rsidRDefault="00B0429E" w:rsidP="00CA442F">
      <w:pPr>
        <w:pStyle w:val="afe"/>
        <w:numPr>
          <w:ilvl w:val="1"/>
          <w:numId w:val="6"/>
        </w:numPr>
        <w:divId w:val="266810958"/>
        <w:rPr>
          <w:color w:val="000000" w:themeColor="text1"/>
        </w:rPr>
      </w:pPr>
      <w:r w:rsidRPr="000322E4">
        <w:rPr>
          <w:color w:val="000000" w:themeColor="text1"/>
        </w:rPr>
        <w:t>рентгенографию органов грудной клетки в двух проекциях</w:t>
      </w:r>
      <w:r w:rsidR="000F4D7F" w:rsidRPr="000322E4">
        <w:t>;</w:t>
      </w:r>
    </w:p>
    <w:p w14:paraId="1E321DE5" w14:textId="77777777" w:rsidR="000F4D7F" w:rsidRPr="000322E4" w:rsidRDefault="000F4D7F" w:rsidP="00CA442F">
      <w:pPr>
        <w:pStyle w:val="afe"/>
        <w:numPr>
          <w:ilvl w:val="1"/>
          <w:numId w:val="6"/>
        </w:numPr>
        <w:divId w:val="266810958"/>
        <w:rPr>
          <w:color w:val="000000" w:themeColor="text1"/>
        </w:rPr>
      </w:pPr>
      <w:r w:rsidRPr="000322E4">
        <w:rPr>
          <w:color w:val="000000" w:themeColor="text1"/>
        </w:rPr>
        <w:t>ультразвуковое исследование лимфатических узлов и внутренних органов</w:t>
      </w:r>
      <w:r w:rsidR="00622670" w:rsidRPr="000322E4">
        <w:rPr>
          <w:color w:val="000000" w:themeColor="text1"/>
        </w:rPr>
        <w:t>, у мужчин – также яичек</w:t>
      </w:r>
      <w:r w:rsidRPr="000322E4">
        <w:rPr>
          <w:color w:val="000000" w:themeColor="text1"/>
        </w:rPr>
        <w:t>.</w:t>
      </w:r>
    </w:p>
    <w:p w14:paraId="03B1A653" w14:textId="77777777" w:rsidR="00B0429E" w:rsidRPr="000322E4" w:rsidRDefault="00B0429E" w:rsidP="00CA442F">
      <w:pPr>
        <w:ind w:left="709"/>
        <w:contextualSpacing/>
        <w:divId w:val="266810958"/>
        <w:rPr>
          <w:b/>
        </w:rPr>
      </w:pPr>
      <w:r w:rsidRPr="000322E4">
        <w:rPr>
          <w:b/>
        </w:rPr>
        <w:t>Уровень убедительности рекомендаций С (уровень достоверности доказательств 5).</w:t>
      </w:r>
    </w:p>
    <w:p w14:paraId="5146603E" w14:textId="77777777" w:rsidR="00B0429E" w:rsidRPr="000322E4" w:rsidRDefault="00B0429E" w:rsidP="00CA442F">
      <w:pPr>
        <w:ind w:left="709"/>
        <w:contextualSpacing/>
        <w:divId w:val="266810958"/>
        <w:rPr>
          <w:i/>
        </w:rPr>
      </w:pPr>
      <w:r w:rsidRPr="000322E4">
        <w:rPr>
          <w:b/>
        </w:rPr>
        <w:t>Комментарии:</w:t>
      </w:r>
      <w:r w:rsidRPr="000322E4">
        <w:t xml:space="preserve"> </w:t>
      </w:r>
      <w:r w:rsidR="000F4D7F" w:rsidRPr="000322E4">
        <w:rPr>
          <w:i/>
        </w:rPr>
        <w:t xml:space="preserve">при </w:t>
      </w:r>
      <w:r w:rsidRPr="000322E4">
        <w:rPr>
          <w:i/>
        </w:rPr>
        <w:t>ультразвуковом исследовании необходимо оценить периферические лимфатические узлы, внутрибрюшные, забрюшинные узлы, органы брюшной полости и малого таза.</w:t>
      </w:r>
      <w:r w:rsidR="00F6558C" w:rsidRPr="000322E4">
        <w:rPr>
          <w:i/>
        </w:rPr>
        <w:t xml:space="preserve"> Лимфоузлы диаметром менее 1 см считаются непораженными, лимфоузлы диаметром 1-2 см требуют динамического </w:t>
      </w:r>
      <w:r w:rsidR="00F6558C" w:rsidRPr="000322E4">
        <w:rPr>
          <w:i/>
        </w:rPr>
        <w:lastRenderedPageBreak/>
        <w:t>наблюдения в процессе терапии, лимфоузлы диаметром более 2 см считаются пораженными.</w:t>
      </w:r>
    </w:p>
    <w:p w14:paraId="13E71D2B" w14:textId="77777777" w:rsidR="00622670" w:rsidRPr="000322E4" w:rsidRDefault="00622670" w:rsidP="00CA442F">
      <w:pPr>
        <w:pStyle w:val="afff8"/>
        <w:spacing w:before="0"/>
        <w:divId w:val="266810958"/>
      </w:pPr>
      <w:r w:rsidRPr="000322E4">
        <w:t>Пациентам с подозрением на ПЛЦНС, либо с установленным диагнозом ПЛЦНС</w:t>
      </w:r>
      <w:r w:rsidR="00E80F3F" w:rsidRPr="000322E4">
        <w:t>, а также всем пациентам с ДВКЛ</w:t>
      </w:r>
      <w:r w:rsidR="009B70C4" w:rsidRPr="000322E4">
        <w:t>, ПМВКЛ или ЛБ</w:t>
      </w:r>
      <w:r w:rsidRPr="000322E4">
        <w:t xml:space="preserve"> </w:t>
      </w:r>
      <w:r w:rsidR="00E80F3F" w:rsidRPr="000322E4">
        <w:t xml:space="preserve">с нейролейкемией и/или неврологической симптоматикой, имеющейся в дебюте болезни или на этапах ее развития, </w:t>
      </w:r>
      <w:r w:rsidRPr="000322E4">
        <w:t xml:space="preserve">перед лечением, после завершения лечения или в процессе лечения для исключения прогрессирования, </w:t>
      </w:r>
      <w:r w:rsidRPr="000322E4">
        <w:rPr>
          <w:b/>
          <w:bCs/>
        </w:rPr>
        <w:t>рекомендуется</w:t>
      </w:r>
      <w:r w:rsidRPr="000322E4">
        <w:t xml:space="preserve"> выполнить МРТ головного мозга с внутривенным контрастированием для уточнения распространенности опухолевого процесса или оценки противоопухолевого эффекта, если исследование выполнено в динамике </w:t>
      </w:r>
      <w:r w:rsidRPr="000322E4">
        <w:fldChar w:fldCharType="begin" w:fldLock="1"/>
      </w:r>
      <w:r w:rsidR="00E80F3F" w:rsidRPr="000322E4">
        <w:instrText>ADDIN CSL_CITATION {"citationItems":[{"id":"ITEM-1","itemData":{"DOI":"10.1200/JCO.2017.72.7602","ISSN":"15277755","PMID":"28640701","abstract":"Primary CNS lymphoma (PCNSL) is a rare form of extranodal non-Hodgkin lymphoma that is typically confined to the brain, eyes, and cerebrospinal fluid without evidence of systemic spread. The prognosis of patients with PCNSL has improved during the last decades with the introduction of high-dose methotrexate. However, despite recent progress, results after treatment are durable in half of patients, and therapy can be associated with late neurotoxicity. PCNSL is an uncommon tumor, and only four randomized trials and one phase III trial have been completed so far, all in the first-line setting. To our knowledge, no randomized trial has been conducted for recurrent/refractory disease, leaving many questions unanswered about optimal first-line and salvage treatments. This review will give an overview of the presentation, evaluation, and treatment of immunocompetent patients with PCNSL.","author":[{"dropping-particle":"","family":"Grommes","given":"Christian","non-dropping-particle":"","parse-names":false,"suffix":""},{"dropping-particle":"","family":"DeAngelis","given":"Lisa M.","non-dropping-particle":"","parse-names":false,"suffix":""}],"container-title":"Journal of Clinical Oncology","id":"ITEM-1","issue":"21","issued":{"date-parts":[["2017","7","20"]]},"page":"2410-2418","publisher":"American Society of Clinical Oncology","title":"Primary CNS lymphoma","type":"article","volume":"35"},"uris":["http://www.mendeley.com/documents/?uuid=182c350d-ad17-3bb3-bec5-d0f20d4b7264"]},{"id":"ITEM-2","itemData":{"author":[{"dropping-particle":"","family":"Кузьмин","given":"А.А.","non-dropping-particle":"","parse-names":false,"suffix":""},{"dropping-particle":"","family":"Бабичева","given":"Л.Г.","non-dropping-particle":"","parse-names":false,"suffix":""},{"dropping-particle":"","family":"Тумян","given":"Г.С.","non-dropping-particle":"","parse-names":false,"suffix":""},{"dropping-particle":"","family":"Птушкин","given":"В.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Савченко.","id":"ITEM-2","issued":{"date-parts":[["2018"]]},"page":"87-93","title":"Первичная лимфома центральной нервной системы","type":"chapter"},"uris":["http://www.mendeley.com/documents/?uuid=dac650cf-b934-4db3-8c16-71fbc7fc82e3"]}],"mendeley":{"formattedCitation":"[16,29]","plainTextFormattedCitation":"[16,29]","previouslyFormattedCitation":"[16,29]"},"properties":{"noteIndex":0},"schema":"https://github.com/citation-style-language/schema/raw/master/csl-citation.json"}</w:instrText>
      </w:r>
      <w:r w:rsidRPr="000322E4">
        <w:fldChar w:fldCharType="separate"/>
      </w:r>
      <w:r w:rsidR="000D5584" w:rsidRPr="000322E4">
        <w:rPr>
          <w:noProof/>
        </w:rPr>
        <w:t>[16,29]</w:t>
      </w:r>
      <w:r w:rsidRPr="000322E4">
        <w:fldChar w:fldCharType="end"/>
      </w:r>
      <w:r w:rsidRPr="000322E4">
        <w:t>.</w:t>
      </w:r>
    </w:p>
    <w:p w14:paraId="2456AAA7" w14:textId="77777777" w:rsidR="00622670" w:rsidRPr="000322E4" w:rsidRDefault="00622670" w:rsidP="00CA442F">
      <w:pPr>
        <w:pStyle w:val="afe"/>
        <w:ind w:left="709" w:firstLine="0"/>
        <w:divId w:val="266810958"/>
        <w:rPr>
          <w:color w:val="000000" w:themeColor="text1"/>
        </w:rPr>
      </w:pPr>
      <w:r w:rsidRPr="000322E4">
        <w:rPr>
          <w:b/>
        </w:rPr>
        <w:t>Уровень убедительности рекомендаций С (уровень достоверности доказательств 5).</w:t>
      </w:r>
    </w:p>
    <w:p w14:paraId="2BDD8CB4" w14:textId="77777777" w:rsidR="00EB08D0" w:rsidRPr="000322E4" w:rsidRDefault="00B0429E" w:rsidP="00CA442F">
      <w:pPr>
        <w:pStyle w:val="afff8"/>
        <w:spacing w:before="0"/>
        <w:divId w:val="266810958"/>
      </w:pPr>
      <w:r w:rsidRPr="000322E4">
        <w:t xml:space="preserve">Всем пациентам с установленным диагнозом </w:t>
      </w:r>
      <w:r w:rsidR="00622670" w:rsidRPr="000322E4">
        <w:t>ДВКЛ</w:t>
      </w:r>
      <w:r w:rsidRPr="000322E4">
        <w:t>, которым планируется лечение по поводу впервые установленного заболевания, либо по поводу рецидива,</w:t>
      </w:r>
      <w:r w:rsidR="009D7E19" w:rsidRPr="000322E4">
        <w:t xml:space="preserve"> и всем пациентам с ЛБ</w:t>
      </w:r>
      <w:r w:rsidRPr="000322E4">
        <w:t xml:space="preserve"> </w:t>
      </w:r>
      <w:r w:rsidRPr="000322E4">
        <w:rPr>
          <w:b/>
        </w:rPr>
        <w:t>рекомендуется</w:t>
      </w:r>
      <w:r w:rsidRPr="000322E4">
        <w:t xml:space="preserve"> </w:t>
      </w:r>
      <w:r w:rsidR="00EB08D0" w:rsidRPr="000322E4">
        <w:t>для своевременного выявления сопутствующей патологии со стороны сердечно-сосудистой, дыхательной и пищеварительной систем и для определения необходимости их профилактики или лечения рекомендуется выполнить следующие исследования</w:t>
      </w:r>
      <w:r w:rsidRPr="000322E4">
        <w:t xml:space="preserve"> </w:t>
      </w:r>
      <w:r w:rsidR="00C346EB" w:rsidRPr="000322E4">
        <w:fldChar w:fldCharType="begin" w:fldLock="1"/>
      </w:r>
      <w:r w:rsidR="00EE3B0B" w:rsidRPr="000322E4">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Савченко.","id":"ITEM-2","issued":{"date-parts":[["2018"]]},"page":"80-87","title":"Лимфома Беркитта","type":"chapter"},"uris":["http://www.mendeley.com/documents/?uuid=6c46cd48-7af0-4ac2-8eb1-93f86718c4df"]}],"mendeley":{"formattedCitation":"[2,17]","plainTextFormattedCitation":"[2,17]","previouslyFormattedCitation":"[2,17]"},"properties":{"noteIndex":0},"schema":"https://github.com/citation-style-language/schema/raw/master/csl-citation.json"}</w:instrText>
      </w:r>
      <w:r w:rsidR="00C346EB" w:rsidRPr="000322E4">
        <w:fldChar w:fldCharType="separate"/>
      </w:r>
      <w:r w:rsidR="009D7E19" w:rsidRPr="000322E4">
        <w:rPr>
          <w:noProof/>
        </w:rPr>
        <w:t>[2,17]</w:t>
      </w:r>
      <w:r w:rsidR="00C346EB" w:rsidRPr="000322E4">
        <w:fldChar w:fldCharType="end"/>
      </w:r>
      <w:r w:rsidR="00EB08D0" w:rsidRPr="000322E4">
        <w:t>:</w:t>
      </w:r>
    </w:p>
    <w:p w14:paraId="6D6BAC88" w14:textId="77777777" w:rsidR="00EB08D0" w:rsidRPr="000322E4" w:rsidRDefault="00EB08D0" w:rsidP="00CA442F">
      <w:pPr>
        <w:pStyle w:val="afe"/>
        <w:numPr>
          <w:ilvl w:val="1"/>
          <w:numId w:val="6"/>
        </w:numPr>
        <w:divId w:val="266810958"/>
      </w:pPr>
      <w:r w:rsidRPr="000322E4">
        <w:t>электрокардиографию;</w:t>
      </w:r>
    </w:p>
    <w:p w14:paraId="56C6C0C3" w14:textId="77777777" w:rsidR="00EB08D0" w:rsidRPr="000322E4" w:rsidRDefault="00EB08D0" w:rsidP="00CA442F">
      <w:pPr>
        <w:pStyle w:val="afe"/>
        <w:numPr>
          <w:ilvl w:val="1"/>
          <w:numId w:val="6"/>
        </w:numPr>
        <w:divId w:val="266810958"/>
      </w:pPr>
      <w:r w:rsidRPr="000322E4">
        <w:t>эхокардиографию;</w:t>
      </w:r>
    </w:p>
    <w:p w14:paraId="21DDCD49" w14:textId="77777777" w:rsidR="00EB08D0" w:rsidRPr="000322E4" w:rsidRDefault="00EB08D0" w:rsidP="00CA442F">
      <w:pPr>
        <w:pStyle w:val="afe"/>
        <w:numPr>
          <w:ilvl w:val="1"/>
          <w:numId w:val="6"/>
        </w:numPr>
        <w:divId w:val="266810958"/>
      </w:pPr>
      <w:r w:rsidRPr="000322E4">
        <w:t>эзофагогастродоуденоскопию;</w:t>
      </w:r>
    </w:p>
    <w:p w14:paraId="55193831" w14:textId="77777777" w:rsidR="009D7E19" w:rsidRPr="000322E4" w:rsidRDefault="009D7E19" w:rsidP="00CA442F">
      <w:pPr>
        <w:pStyle w:val="afe"/>
        <w:numPr>
          <w:ilvl w:val="1"/>
          <w:numId w:val="6"/>
        </w:numPr>
        <w:divId w:val="266810958"/>
      </w:pPr>
      <w:r w:rsidRPr="000322E4">
        <w:t>колоноскопию, биопсию кишки эндоскопическую при подозрении на поражение кишки при ЛБ;</w:t>
      </w:r>
    </w:p>
    <w:p w14:paraId="438DA55D" w14:textId="77777777" w:rsidR="00EB08D0" w:rsidRPr="000322E4" w:rsidRDefault="00EB08D0" w:rsidP="00CA442F">
      <w:pPr>
        <w:pStyle w:val="afe"/>
        <w:numPr>
          <w:ilvl w:val="1"/>
          <w:numId w:val="6"/>
        </w:numPr>
        <w:divId w:val="266810958"/>
      </w:pPr>
      <w:r w:rsidRPr="000322E4">
        <w:t>ультразвуковую допплерографию сосудов (артерий и вен) нижних конечностей</w:t>
      </w:r>
      <w:r w:rsidR="00E80F3F" w:rsidRPr="000322E4">
        <w:t xml:space="preserve"> </w:t>
      </w:r>
      <w:r w:rsidR="00E80F3F" w:rsidRPr="000322E4">
        <w:fldChar w:fldCharType="begin" w:fldLock="1"/>
      </w:r>
      <w:r w:rsidR="009D7E19" w:rsidRPr="000322E4">
        <w:instrText>ADDIN CSL_CITATION {"citationItems":[{"id":"ITEM-1","itemData":{"DOI":"10.5812/ircmj.14722","ISSN":"20741812","abstract":"Background: Deep vein thrombosis (DVT) is a well-recognized complication in patients with cancer. Chemotherapy and cancer surgery increase the risk of DVT in these patients. There are a few reports about the prevalence of DVT in patients with cancer regarding different managing modalities. Objectives: This study aimed to assess the prevalence of DVT in patients with cancer, who were hospitalized in teaching hospitals, according to their treatment intervention. Patients and Methods: A cross-sectional retrospective study was conducted on 602 patients with cancer in Kerman, Iran, during years 2006-2007. Among the subjects, 301 had been operated and the rest had received chemotherapy. The prevalence of DVT was determined based on patients’ variables, cancer factors, and therapeutic modalities. Results: Totally, 349 subjects (58%) were male. DVT incidence was 19.9%, most of the cases were over 40 years of age (82.2%), and 21.2% of males and 18.2% of females had developed DVT. The prevalence of DVT in chemotherapy group was higher than that in surgery group (21.9% and 17.9%, respectively); however, this difference was statistically insignificant. DVT developed more frequently in lung cancer (42%) with small cell carcinoma being the most common pathologic finding (42.9%) in those with lung cancer (P = 0.0001). Conclusions: DVT occurs frequently in patients with malignancies. In this study, there was no association between DVT prevalence and age as well as sex; nonetheless, the prevalence was significantly higher in some sites and in patients with certain pathologies. Although DVT prevalence was higher in chemotherapy than in surgery, the difference was insignificant. Informing patients with cancer about symptoms of DVT and prophylactic interventions are warranted.","author":[{"dropping-particle":"","family":"Fekri","given":"Mitra Samare","non-dropping-particle":"","parse-names":false,"suffix":""},{"dropping-particle":"","family":"Zade","given":"Mahdie Khalily","non-dropping-particle":"","parse-names":false,"suffix":""},{"dropping-particle":"","family":"Fatehi","given":"Shima","non-dropping-particle":"","parse-names":false,"suffix":""}],"container-title":"Iranian Red Crescent Medical Journal","id":"ITEM-1","issue":"9","issued":{"date-parts":[["2014","9","1"]]},"publisher":"Kowsar Medical Publishing Company","title":"The association of deep vein thrombosis with cancer treatment modality: Chemotherapy or surgery?","type":"article-journal","volume":"16"},"uris":["http://www.mendeley.com/documents/?uuid=ae10daf8-ebbd-3677-a3a8-37a3491efde5"]}],"mendeley":{"formattedCitation":"[30]","plainTextFormattedCitation":"[30]","previouslyFormattedCitation":"[30]"},"properties":{"noteIndex":0},"schema":"https://github.com/citation-style-language/schema/raw/master/csl-citation.json"}</w:instrText>
      </w:r>
      <w:r w:rsidR="00E80F3F" w:rsidRPr="000322E4">
        <w:fldChar w:fldCharType="separate"/>
      </w:r>
      <w:r w:rsidR="00E80F3F" w:rsidRPr="000322E4">
        <w:rPr>
          <w:noProof/>
        </w:rPr>
        <w:t>[30]</w:t>
      </w:r>
      <w:r w:rsidR="00E80F3F" w:rsidRPr="000322E4">
        <w:fldChar w:fldCharType="end"/>
      </w:r>
    </w:p>
    <w:p w14:paraId="2C0DBA67" w14:textId="77777777" w:rsidR="00B0429E" w:rsidRPr="000322E4" w:rsidRDefault="00B0429E" w:rsidP="00CA442F">
      <w:pPr>
        <w:pStyle w:val="afffa"/>
        <w:divId w:val="266810958"/>
      </w:pPr>
      <w:r w:rsidRPr="000322E4">
        <w:t>Уровень убедительности рекомендаций С (уровень достоверности доказательств 5).</w:t>
      </w:r>
    </w:p>
    <w:p w14:paraId="25B4BE30" w14:textId="77777777" w:rsidR="00622670" w:rsidRPr="000322E4" w:rsidRDefault="00622670" w:rsidP="00CA442F">
      <w:pPr>
        <w:ind w:left="709"/>
        <w:contextualSpacing/>
        <w:divId w:val="266810958"/>
        <w:rPr>
          <w:b/>
        </w:rPr>
      </w:pPr>
      <w:r w:rsidRPr="000322E4">
        <w:rPr>
          <w:b/>
        </w:rPr>
        <w:t>Комментарии:</w:t>
      </w:r>
      <w:r w:rsidRPr="000322E4">
        <w:t xml:space="preserve"> </w:t>
      </w:r>
      <w:r w:rsidRPr="000322E4">
        <w:rPr>
          <w:i/>
          <w:spacing w:val="-4"/>
        </w:rPr>
        <w:t>эзофагогастродоуденоскопия выполняется как с целью установления распространенности опухолевого процесса, так и с целью исключения неопухолевой патологии, требующей дополнительного лечения, профилактики развития осложнений в процессе терапии.</w:t>
      </w:r>
    </w:p>
    <w:p w14:paraId="21F0F6D4" w14:textId="77777777" w:rsidR="00B46390" w:rsidRPr="000322E4" w:rsidRDefault="00B46390" w:rsidP="00CA442F">
      <w:pPr>
        <w:pStyle w:val="2"/>
        <w:spacing w:before="0"/>
        <w:divId w:val="266810958"/>
      </w:pPr>
      <w:bookmarkStart w:id="30" w:name="_Toc66096821"/>
      <w:r w:rsidRPr="000322E4">
        <w:t>2.5 Ин</w:t>
      </w:r>
      <w:r w:rsidR="00A70F44" w:rsidRPr="000322E4">
        <w:t>ые диагностические исследования</w:t>
      </w:r>
      <w:bookmarkEnd w:id="30"/>
    </w:p>
    <w:p w14:paraId="3439F01E" w14:textId="77777777" w:rsidR="00C346EB" w:rsidRPr="000322E4" w:rsidRDefault="00C346EB" w:rsidP="00CA442F">
      <w:pPr>
        <w:pStyle w:val="afff8"/>
        <w:spacing w:before="0"/>
      </w:pPr>
      <w:bookmarkStart w:id="31" w:name="__RefHeading___doc_3"/>
      <w:r w:rsidRPr="000322E4">
        <w:t xml:space="preserve">Всем пациентам с подозрением на </w:t>
      </w:r>
      <w:r w:rsidR="000958E3" w:rsidRPr="000322E4">
        <w:t>ДВКЛ</w:t>
      </w:r>
      <w:r w:rsidR="009B70C4" w:rsidRPr="000322E4">
        <w:t>, ПМВКЛ или ЛБ</w:t>
      </w:r>
      <w:r w:rsidRPr="000322E4">
        <w:t xml:space="preserve">, с подозрением на рецидив </w:t>
      </w:r>
      <w:r w:rsidR="000958E3" w:rsidRPr="000322E4">
        <w:t>ДВКЛ</w:t>
      </w:r>
      <w:r w:rsidR="009B70C4" w:rsidRPr="000322E4">
        <w:t>, ПМВКЛ или ЛБ</w:t>
      </w:r>
      <w:r w:rsidR="00E07D1C" w:rsidRPr="000322E4">
        <w:t>, а также при неоднозначности трактовки противоопухолевого ответа после завершения лечения</w:t>
      </w:r>
      <w:r w:rsidRPr="000322E4">
        <w:t xml:space="preserve"> </w:t>
      </w:r>
      <w:r w:rsidRPr="000322E4">
        <w:rPr>
          <w:b/>
        </w:rPr>
        <w:t>рекомендуется</w:t>
      </w:r>
      <w:r w:rsidRPr="000322E4">
        <w:t xml:space="preserve"> выполнить </w:t>
      </w:r>
      <w:r w:rsidRPr="000322E4">
        <w:lastRenderedPageBreak/>
        <w:t xml:space="preserve">биопсию </w:t>
      </w:r>
      <w:r w:rsidR="00861F2F" w:rsidRPr="000322E4">
        <w:t xml:space="preserve">(взятие биопсийного материала) </w:t>
      </w:r>
      <w:r w:rsidRPr="000322E4">
        <w:t>лимфатического узла либо другого очага поражения</w:t>
      </w:r>
      <w:r w:rsidR="00170E50" w:rsidRPr="000322E4">
        <w:t>,</w:t>
      </w:r>
      <w:r w:rsidR="00861F2F" w:rsidRPr="000322E4">
        <w:t xml:space="preserve"> </w:t>
      </w:r>
      <w:r w:rsidR="00170E50" w:rsidRPr="000322E4">
        <w:rPr>
          <w:szCs w:val="24"/>
          <w:lang w:eastAsia="ru-RU"/>
        </w:rPr>
        <w:t>патолого-анатомическое исследование биопсийного (операционного) материала с применением иммуногистохимических методов</w:t>
      </w:r>
      <w:r w:rsidRPr="000322E4">
        <w:t xml:space="preserve"> для верификации диагноза </w:t>
      </w:r>
      <w:r w:rsidRPr="000322E4">
        <w:fldChar w:fldCharType="begin" w:fldLock="1"/>
      </w:r>
      <w:r w:rsidR="00EE3B0B" w:rsidRPr="000322E4">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author":[{"dropping-particle":"","family":"Тумян","given":"Г.С.","non-dropping-particle":"","parse-names":false,"suffix":""},{"dropping-particle":"","family":"Кравченко","given":"С.К.","non-dropping-particle":"","parse-names":false,"suffix":""},{"dropping-particle":"","family":"Михайлова","given":"Н.Б.","non-dropping-particle":"","parse-names":false,"suffix":""},{"dropping-particle":"","family":"Барях","given":"Е.А.","non-dropping-particle":"","parse-names":false,"suffix":""},{"dropping-particle":"","family":"Птушкин","given":"В.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Савченко.","id":"ITEM-2","issued":{"date-parts":[["2018"]]},"page":"58-68","title":"Диффузная В-клеточная крупноклеточная лимфома","type":"chapter"},"uris":["http://www.mendeley.com/documents/?uuid=cb7114f7-4655-4733-8df2-526cc4e32730"]},{"id":"ITEM-3","itemData":{"DOI":"10.1093/annonc/mdv304","ISSN":"1569-8041","PMID":"26314773","author":[{"dropping-particle":"","family":"Tilly","given":"H","non-dropping-particle":"","parse-names":false,"suffix":""},{"dropping-particle":"","family":"Gomes da Silva","given":"M","non-dropping-particle":"","parse-names":false,"suffix":""},{"dropping-particle":"","family":"Vitolo","given":"U","non-dropping-particle":"","parse-names":false,"suffix":""},{"dropping-particle":"","family":"Jack","given":"A","non-dropping-particle":"","parse-names":false,"suffix":""},{"dropping-particle":"","family":"Meignan","given":"M","non-dropping-particle":"","parse-names":false,"suffix":""},{"dropping-particle":"","family":"Lopez-Guillermo","given":"A","non-dropping-particle":"","parse-names":false,"suffix":""},{"dropping-particle":"","family":"Walewski","given":"J","non-dropping-particle":"","parse-names":false,"suffix":""},{"dropping-particle":"","family":"André","given":"M","non-dropping-particle":"","parse-names":false,"suffix":""},{"dropping-particle":"","family":"Johnson","given":"P W","non-dropping-particle":"","parse-names":false,"suffix":""},{"dropping-particle":"","family":"Pfreundschuh","given":"M","non-dropping-particle":"","parse-names":false,"suffix":""},{"dropping-particle":"","family":"Ladetto","given":"M","non-dropping-particle":"","parse-names":false,"suffix":""},{"dropping-particle":"","family":"ESMO Guidelines Committee","given":"","non-dropping-particle":"","parse-names":false,"suffix":""}],"container-title":"Annals of oncology : official journal of the European Society for Medical Oncology","id":"ITEM-3","issued":{"date-parts":[["2015","9"]]},"page":"v116-25","title":"Diffuse large B-cell lymphoma (DLBCL): ESMO Clinical Practice Guidelines for diagnosis, treatment and follow-up.","type":"article-journal","volume":"26 Suppl 5"},"uris":["http://www.mendeley.com/documents/?uuid=1697b7a7-5190-39af-8155-3d2b075b5466"]}],"mendeley":{"formattedCitation":"[11,17,18]","plainTextFormattedCitation":"[11,17,18]","previouslyFormattedCitation":"[11,17,18]"},"properties":{"noteIndex":0},"schema":"https://github.com/citation-style-language/schema/raw/master/csl-citation.json"}</w:instrText>
      </w:r>
      <w:r w:rsidRPr="000322E4">
        <w:fldChar w:fldCharType="separate"/>
      </w:r>
      <w:r w:rsidR="00EE3B0B" w:rsidRPr="000322E4">
        <w:rPr>
          <w:noProof/>
        </w:rPr>
        <w:t>[11,17,18]</w:t>
      </w:r>
      <w:r w:rsidRPr="000322E4">
        <w:fldChar w:fldCharType="end"/>
      </w:r>
      <w:r w:rsidRPr="000322E4">
        <w:t>.</w:t>
      </w:r>
    </w:p>
    <w:p w14:paraId="2DBD8538" w14:textId="77777777" w:rsidR="00C346EB" w:rsidRPr="000322E4" w:rsidRDefault="00C346EB" w:rsidP="00CA442F">
      <w:pPr>
        <w:ind w:left="709"/>
        <w:contextualSpacing/>
        <w:rPr>
          <w:b/>
        </w:rPr>
      </w:pPr>
      <w:r w:rsidRPr="000322E4">
        <w:rPr>
          <w:b/>
        </w:rPr>
        <w:t>Уровень убедительности рекомендаций С (уровень достоверности доказательств 5).</w:t>
      </w:r>
    </w:p>
    <w:p w14:paraId="5AAC7269" w14:textId="77777777" w:rsidR="00B16826" w:rsidRPr="000322E4" w:rsidRDefault="00C346EB" w:rsidP="00CA442F">
      <w:pPr>
        <w:ind w:left="709"/>
        <w:contextualSpacing/>
        <w:rPr>
          <w:i/>
        </w:rPr>
      </w:pPr>
      <w:r w:rsidRPr="000322E4">
        <w:rPr>
          <w:b/>
        </w:rPr>
        <w:t>Комментарии:</w:t>
      </w:r>
      <w:r w:rsidRPr="000322E4">
        <w:rPr>
          <w:i/>
        </w:rPr>
        <w:t xml:space="preserve"> </w:t>
      </w:r>
      <w:r w:rsidR="00861F2F" w:rsidRPr="000322E4">
        <w:rPr>
          <w:i/>
        </w:rPr>
        <w:t xml:space="preserve">выбор </w:t>
      </w:r>
      <w:r w:rsidR="00B16826" w:rsidRPr="000322E4">
        <w:rPr>
          <w:i/>
        </w:rPr>
        <w:t>ткани и объем биопсии должны быть адекватны поставленной диагностической задаче.</w:t>
      </w:r>
    </w:p>
    <w:p w14:paraId="24AE0169" w14:textId="77777777" w:rsidR="00B16826" w:rsidRPr="000322E4" w:rsidRDefault="00B16826" w:rsidP="00CA442F">
      <w:pPr>
        <w:ind w:left="709"/>
        <w:contextualSpacing/>
        <w:rPr>
          <w:i/>
        </w:rPr>
      </w:pPr>
      <w:r w:rsidRPr="000322E4">
        <w:rPr>
          <w:i/>
        </w:rPr>
        <w:t>•</w:t>
      </w:r>
      <w:r w:rsidRPr="000322E4">
        <w:rPr>
          <w:i/>
        </w:rPr>
        <w:tab/>
        <w:t xml:space="preserve">Тонкоигольные биопсии лимфоидной ткани могут быть диагностически значимыми, но не всегда </w:t>
      </w:r>
    </w:p>
    <w:p w14:paraId="4278D5C3" w14:textId="77777777" w:rsidR="00B16826" w:rsidRPr="000322E4" w:rsidRDefault="00B16826" w:rsidP="00CA442F">
      <w:pPr>
        <w:ind w:left="709"/>
        <w:contextualSpacing/>
        <w:rPr>
          <w:i/>
        </w:rPr>
      </w:pPr>
      <w:r w:rsidRPr="000322E4">
        <w:rPr>
          <w:i/>
        </w:rPr>
        <w:t>•</w:t>
      </w:r>
      <w:r w:rsidRPr="000322E4">
        <w:rPr>
          <w:i/>
        </w:rPr>
        <w:tab/>
        <w:t>Краевые биопсии лимфоидной ткани мало информативны.</w:t>
      </w:r>
    </w:p>
    <w:p w14:paraId="30AD71A8" w14:textId="77777777" w:rsidR="00B16826" w:rsidRPr="000322E4" w:rsidRDefault="00B16826" w:rsidP="00CA442F">
      <w:pPr>
        <w:ind w:left="709"/>
        <w:contextualSpacing/>
        <w:rPr>
          <w:i/>
        </w:rPr>
      </w:pPr>
      <w:r w:rsidRPr="000322E4">
        <w:rPr>
          <w:i/>
        </w:rPr>
        <w:t>•</w:t>
      </w:r>
      <w:r w:rsidRPr="000322E4">
        <w:rPr>
          <w:i/>
        </w:rPr>
        <w:tab/>
        <w:t>Фрагментация материала крайне затрудняет его оценку.</w:t>
      </w:r>
    </w:p>
    <w:p w14:paraId="08EE0F61" w14:textId="77777777" w:rsidR="00B16826" w:rsidRPr="000322E4" w:rsidRDefault="00B16826" w:rsidP="00CA442F">
      <w:pPr>
        <w:ind w:left="709"/>
        <w:contextualSpacing/>
        <w:rPr>
          <w:i/>
        </w:rPr>
      </w:pPr>
      <w:r w:rsidRPr="000322E4">
        <w:rPr>
          <w:i/>
        </w:rPr>
        <w:t>•</w:t>
      </w:r>
      <w:r w:rsidRPr="000322E4">
        <w:rPr>
          <w:i/>
        </w:rPr>
        <w:tab/>
        <w:t xml:space="preserve">Материал для гистологического исследования должен быть помещён в фиксирующую среду как можно быстрее. Нельзя допускать высыхания материала. </w:t>
      </w:r>
    </w:p>
    <w:p w14:paraId="2FD0AB72" w14:textId="77777777" w:rsidR="00B16826" w:rsidRPr="000322E4" w:rsidRDefault="00B16826" w:rsidP="00CA442F">
      <w:pPr>
        <w:ind w:left="709"/>
        <w:contextualSpacing/>
        <w:rPr>
          <w:i/>
        </w:rPr>
      </w:pPr>
      <w:r w:rsidRPr="000322E4">
        <w:rPr>
          <w:i/>
        </w:rPr>
        <w:t>•</w:t>
      </w:r>
      <w:r w:rsidRPr="000322E4">
        <w:rPr>
          <w:i/>
        </w:rPr>
        <w:tab/>
        <w:t>Соотношение объёма фиксирующей среды к объёму фиксируемого объекта не менее чем 10:1</w:t>
      </w:r>
    </w:p>
    <w:p w14:paraId="734DF885" w14:textId="77777777" w:rsidR="00B16826" w:rsidRPr="000322E4" w:rsidRDefault="00B16826" w:rsidP="00CA442F">
      <w:pPr>
        <w:ind w:left="709"/>
        <w:contextualSpacing/>
        <w:rPr>
          <w:i/>
        </w:rPr>
      </w:pPr>
      <w:r w:rsidRPr="000322E4">
        <w:rPr>
          <w:i/>
        </w:rPr>
        <w:t>•</w:t>
      </w:r>
      <w:r w:rsidRPr="000322E4">
        <w:rPr>
          <w:i/>
        </w:rPr>
        <w:tab/>
        <w:t>Время фиксации не должно быть менее 12 и более 48 часов.</w:t>
      </w:r>
    </w:p>
    <w:p w14:paraId="11440ACB" w14:textId="77777777" w:rsidR="00B16826" w:rsidRPr="000322E4" w:rsidRDefault="00B16826" w:rsidP="00CA442F">
      <w:pPr>
        <w:ind w:left="709"/>
        <w:contextualSpacing/>
        <w:rPr>
          <w:i/>
        </w:rPr>
      </w:pPr>
      <w:r w:rsidRPr="000322E4">
        <w:rPr>
          <w:i/>
        </w:rPr>
        <w:t>Неадекватная (слабая или чрезмерная) фиксация приводит к изменению морфологических свойств ткани и артефициальным результатам ИГХ.</w:t>
      </w:r>
    </w:p>
    <w:p w14:paraId="7A5EC69D" w14:textId="77777777" w:rsidR="00B16826" w:rsidRPr="000322E4" w:rsidRDefault="00B16826" w:rsidP="00CA442F">
      <w:pPr>
        <w:ind w:left="709"/>
        <w:contextualSpacing/>
        <w:rPr>
          <w:i/>
        </w:rPr>
      </w:pPr>
      <w:r w:rsidRPr="000322E4">
        <w:rPr>
          <w:i/>
        </w:rPr>
        <w:t xml:space="preserve">Гистологический материал должен сопровождаться направлением, содержащим информацию о пациенте, длительности и характере заболевания, локализации очага поражения, описании биопсии </w:t>
      </w:r>
      <w:r w:rsidRPr="000322E4">
        <w:rPr>
          <w:i/>
        </w:rPr>
        <w:fldChar w:fldCharType="begin" w:fldLock="1"/>
      </w:r>
      <w:r w:rsidR="009D7E19" w:rsidRPr="000322E4">
        <w:rPr>
          <w:i/>
        </w:rPr>
        <w:instrText>ADDIN CSL_CITATION {"citationItems":[{"id":"ITEM-1","itemData":{"author":[{"dropping-particle":"","family":"Криволапов","given":"Ю.А.","non-dropping-particle":"","parse-names":false,"suffix":""},{"dropping-particle":"","family":"Леенман","given":"Е.Е.","non-dropping-particle":"","parse-names":false,"suffix":""}],"id":"ITEM-1","issued":{"date-parts":[["2006"]]},"publisher":"КОСТА, Санкт-Петербург","title":"Морфологическая диагностика лимфом","type":"book"},"uris":["http://www.mendeley.com/documents/?uuid=e5e5daac-5f8a-4f1d-9717-13c0235ef6a9"]}],"mendeley":{"formattedCitation":"[31]","plainTextFormattedCitation":"[31]","previouslyFormattedCitation":"[31]"},"properties":{"noteIndex":0},"schema":"https://github.com/citation-style-language/schema/raw/master/csl-citation.json"}</w:instrText>
      </w:r>
      <w:r w:rsidRPr="000322E4">
        <w:rPr>
          <w:i/>
        </w:rPr>
        <w:fldChar w:fldCharType="separate"/>
      </w:r>
      <w:r w:rsidR="00E80F3F" w:rsidRPr="000322E4">
        <w:rPr>
          <w:noProof/>
        </w:rPr>
        <w:t>[31]</w:t>
      </w:r>
      <w:r w:rsidRPr="000322E4">
        <w:rPr>
          <w:i/>
        </w:rPr>
        <w:fldChar w:fldCharType="end"/>
      </w:r>
      <w:r w:rsidRPr="000322E4">
        <w:rPr>
          <w:i/>
        </w:rPr>
        <w:t>.</w:t>
      </w:r>
    </w:p>
    <w:p w14:paraId="20F67012" w14:textId="77777777" w:rsidR="002A7272" w:rsidRPr="000322E4" w:rsidRDefault="002A7272" w:rsidP="00CA442F">
      <w:pPr>
        <w:ind w:left="709"/>
        <w:contextualSpacing/>
        <w:rPr>
          <w:i/>
        </w:rPr>
      </w:pPr>
      <w:r w:rsidRPr="000322E4">
        <w:rPr>
          <w:i/>
        </w:rPr>
        <w:t>Диагностические полостные операции – торакоскопия/томия, лапароскопия/томия с биопсией внутригрудных, внутрибрюшных л/у или печени проводятся только при отсутствии увеличенных периферических лимфоузлов и невозможности верификации диагноза</w:t>
      </w:r>
      <w:r w:rsidR="00861F2F" w:rsidRPr="000322E4">
        <w:rPr>
          <w:i/>
        </w:rPr>
        <w:t>.</w:t>
      </w:r>
    </w:p>
    <w:p w14:paraId="29361FE8" w14:textId="77777777" w:rsidR="00861F2F" w:rsidRPr="000322E4" w:rsidRDefault="00861F2F" w:rsidP="00CA442F">
      <w:pPr>
        <w:ind w:left="709"/>
        <w:contextualSpacing/>
        <w:rPr>
          <w:i/>
        </w:rPr>
      </w:pPr>
      <w:r w:rsidRPr="000322E4">
        <w:rPr>
          <w:i/>
        </w:rPr>
        <w:t xml:space="preserve">Гистологические и иммуногистохимические характеристики различных </w:t>
      </w:r>
      <w:r w:rsidR="000958E3" w:rsidRPr="000322E4">
        <w:rPr>
          <w:i/>
        </w:rPr>
        <w:t>ДВКЛ</w:t>
      </w:r>
      <w:r w:rsidRPr="000322E4">
        <w:rPr>
          <w:i/>
        </w:rPr>
        <w:t xml:space="preserve">, а также обязательные требования к </w:t>
      </w:r>
      <w:r w:rsidR="00AF7684" w:rsidRPr="000322E4">
        <w:rPr>
          <w:i/>
        </w:rPr>
        <w:t>патолого-анатомическому заключению</w:t>
      </w:r>
      <w:r w:rsidRPr="000322E4">
        <w:rPr>
          <w:i/>
        </w:rPr>
        <w:t xml:space="preserve"> представлены в разделе 7.1 данных рекомендаций.</w:t>
      </w:r>
      <w:r w:rsidR="00AF7684" w:rsidRPr="000322E4">
        <w:rPr>
          <w:i/>
        </w:rPr>
        <w:t xml:space="preserve"> </w:t>
      </w:r>
      <w:r w:rsidR="0064071E" w:rsidRPr="000322E4">
        <w:rPr>
          <w:i/>
        </w:rPr>
        <w:t xml:space="preserve">Описание морфологической и иммуногистохимической картины </w:t>
      </w:r>
      <w:r w:rsidR="00E07D1C" w:rsidRPr="000322E4">
        <w:rPr>
          <w:i/>
        </w:rPr>
        <w:t xml:space="preserve">различных </w:t>
      </w:r>
      <w:r w:rsidR="000958E3" w:rsidRPr="000322E4">
        <w:rPr>
          <w:i/>
        </w:rPr>
        <w:t>ДВКЛ</w:t>
      </w:r>
      <w:r w:rsidR="0064071E" w:rsidRPr="000322E4">
        <w:rPr>
          <w:i/>
        </w:rPr>
        <w:t xml:space="preserve"> представлено в разделе 7.2 данных рекомендаций</w:t>
      </w:r>
    </w:p>
    <w:p w14:paraId="1C72D80E" w14:textId="77777777" w:rsidR="00CE3AE3" w:rsidRPr="000322E4" w:rsidRDefault="006E6304" w:rsidP="00CA442F">
      <w:pPr>
        <w:pStyle w:val="afff8"/>
        <w:spacing w:before="0"/>
        <w:rPr>
          <w:lang w:eastAsia="ru-RU"/>
        </w:rPr>
      </w:pPr>
      <w:r w:rsidRPr="000322E4">
        <w:rPr>
          <w:lang w:eastAsia="ru-RU"/>
        </w:rPr>
        <w:t xml:space="preserve">Всем пациентам при подозрении или наличии подтвержденного диагноза </w:t>
      </w:r>
      <w:r w:rsidR="000958E3" w:rsidRPr="000322E4">
        <w:rPr>
          <w:lang w:eastAsia="ru-RU"/>
        </w:rPr>
        <w:t>ДВКЛ</w:t>
      </w:r>
      <w:r w:rsidR="009B70C4" w:rsidRPr="000322E4">
        <w:t>, ПМВКЛ или ЛБ</w:t>
      </w:r>
      <w:r w:rsidR="00EE3B0B" w:rsidRPr="000322E4">
        <w:rPr>
          <w:lang w:eastAsia="ru-RU"/>
        </w:rPr>
        <w:t xml:space="preserve"> </w:t>
      </w:r>
      <w:r w:rsidRPr="000322E4">
        <w:rPr>
          <w:lang w:eastAsia="ru-RU"/>
        </w:rPr>
        <w:t xml:space="preserve">первично (для </w:t>
      </w:r>
      <w:r w:rsidR="00CE3AE3" w:rsidRPr="000322E4">
        <w:rPr>
          <w:lang w:eastAsia="ru-RU"/>
        </w:rPr>
        <w:t>стадирования заболевания)</w:t>
      </w:r>
      <w:r w:rsidRPr="000322E4">
        <w:rPr>
          <w:lang w:eastAsia="ru-RU"/>
        </w:rPr>
        <w:t>, после завершения терапии</w:t>
      </w:r>
      <w:r w:rsidR="00CE3AE3" w:rsidRPr="000322E4">
        <w:rPr>
          <w:lang w:eastAsia="ru-RU"/>
        </w:rPr>
        <w:t xml:space="preserve"> (для оценки противоопухолевого ответа)</w:t>
      </w:r>
      <w:r w:rsidRPr="000322E4">
        <w:rPr>
          <w:lang w:eastAsia="ru-RU"/>
        </w:rPr>
        <w:t>, при подозрении на рецидив заболевания</w:t>
      </w:r>
      <w:r w:rsidR="00B264A8" w:rsidRPr="000322E4">
        <w:rPr>
          <w:lang w:eastAsia="ru-RU"/>
        </w:rPr>
        <w:t xml:space="preserve"> </w:t>
      </w:r>
      <w:r w:rsidR="00B264A8" w:rsidRPr="000322E4">
        <w:rPr>
          <w:b/>
          <w:bCs/>
          <w:lang w:eastAsia="ru-RU"/>
        </w:rPr>
        <w:t>рекомендуется</w:t>
      </w:r>
      <w:r w:rsidR="00EF5C06" w:rsidRPr="000322E4">
        <w:rPr>
          <w:b/>
          <w:bCs/>
          <w:lang w:eastAsia="ru-RU"/>
        </w:rPr>
        <w:t xml:space="preserve"> </w:t>
      </w:r>
      <w:r w:rsidR="00EF5C06" w:rsidRPr="000322E4">
        <w:rPr>
          <w:b/>
          <w:bCs/>
          <w:lang w:eastAsia="ru-RU"/>
        </w:rPr>
        <w:fldChar w:fldCharType="begin" w:fldLock="1"/>
      </w:r>
      <w:r w:rsidR="00EE3B0B" w:rsidRPr="000322E4">
        <w:rPr>
          <w:b/>
          <w:bCs/>
          <w:lang w:eastAsia="ru-RU"/>
        </w:rPr>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author":[{"dropping-particle":"","family":"Тумян","given":"Г.С.","non-dropping-particle":"","parse-names":false,"suffix":""},{"dropping-particle":"","family":"Кравченко","given":"С.К.","non-dropping-particle":"","parse-names":false,"suffix":""},{"dropping-particle":"","family":"Михайлова","given":"Н.Б.","non-dropping-particle":"","parse-names":false,"suffix":""},{"dropping-particle":"","family":"Барях","given":"Е.А.","non-dropping-particle":"","parse-names":false,"suffix":""},{"dropping-particle":"","family":"Птушкин","given":"В.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Савченко.","id":"ITEM-2","issued":{"date-parts":[["2018"]]},"page":"58-68","title":"Диффузная В-клеточная крупноклеточная лимфома","type":"chapter"},"uris":["http://www.mendeley.com/documents/?uuid=cb7114f7-4655-4733-8df2-526cc4e32730"]},{"id":"ITEM-3","itemData":{"ISSN":"1824-4785","PMID":"21150862","abstract":"AIM To compare the accuracy of bone marrow biopsy (BMb) and positron emission tomography (PET) in bone marrow disease (BMD) detection, in a large multicentre population of patients with new diagnosis of malignant lymphoma. METHODS PET and BMb were performed to complete disease staging in 337 consecutive patients: 130 Hodgkin's disease (HD), 207 aggressive non Hodgkin's lymphoma (NHL). Sensitivity, specificity and accuracy of both techniques in BMD detection were evaluated and compared. RESULTS 87 patients with BMD (25 positives at both exams, 27 only at the BMb and 35 only at the PET study). PET vs. BMb were reordered: sensitivity: 69% vs. 59.8%; specificity: 99.2% vs. 100%; accuracy: 91.4% vs. 89.6%; positive predictive value: 96.8% vs. 100%; negative predictive value: 90.2% vs. 87.7%. CONCLUSION The sensitivity of PET and BMb is similar (69% and 60%, respectively), PET and BMb are complementary: in fact out of 87 patients with confirmed BMD only 25 are positive at both exams, while 27 only at the BMb and 35 only at the PET exam; the integration of PET findings with BMb ones increases the diagnostic accuracy. Consequentially PET is essential during the staging of malignant lymphomas.","author":[{"dropping-particle":"","family":"Pelosi","given":"E","non-dropping-particle":"","parse-names":false,"suffix":""},{"dropping-particle":"","family":"Penna","given":"D","non-dropping-particle":"","parse-names":false,"suffix":""},{"dropping-particle":"","family":"Douroukas","given":"A","non-dropping-particle":"","parse-names":false,"suffix":""},{"dropping-particle":"","family":"Bellò","given":"M","non-dropping-particle":"","parse-names":false,"suffix":""},{"dropping-particle":"","family":"Amati","given":"A","non-dropping-particle":"","parse-names":false,"suffix":""},{"dropping-particle":"","family":"Arena","given":"V","non-dropping-particle":"","parse-names":false,"suffix":""},{"dropping-particle":"","family":"Passera","given":"R","non-dropping-particle":"","parse-names":false,"suffix":""},{"dropping-particle":"","family":"Bisi","given":"G","non-dropping-particle":"","parse-names":false,"suffix":""}],"container-title":"The quarterly journal of nuclear medicine and molecular imaging : official publication of the Italian Association of Nuclear Medicine (AIMN) [and] the International Association of Radiopharmacology (IAR), [and] Section of the Society of...","id":"ITEM-3","issue":"4","issued":{"date-parts":[["2011","8"]]},"page":"469-75","title":"Bone marrow disease detection with FDG-PET/CT and bone marrow biopsy during the staging of malignant lymphoma: results from a large multicentre study.","type":"article-journal","volume":"55"},"uris":["http://www.mendeley.com/documents/?uuid=345c3cc1-480a-36b0-8e1e-f4e24ab559fb"]},{"id":"ITEM-4","itemData":{"DOI":"10.1182/blood-2012-12-473389","ISSN":"00064971","abstract":"We investigated whether positron emission tomography combined with computed tomography (PET-CT) identifies clinically important bone marrow involvement by diffuse large B-cell lymphoma (DLBCL) with sufficient accuracy to replace routine staging bone marrow biopsy. All patients from a single centre diagnosed as DLBCL since 2005 had data extracted from staging PET-CT, marrow biopsy, and treatment records. Of 130 patients, 35 (27%) were judged to have marrow involvement; 33 were identified by PET-CT compared with 14 by marrow histology. PET identified all clinically important marrow lymphoma, while biopsy did not upstage any patient. Sensitivity and specificity were 94% and 100% for PET-CT and 40% and 100% for marrow biopsy. As a secondary aim, we compared the prognosis of marrow involvement, as detected by PET-CT or biopsy. Cases with marrow deposits identified by PET-CT but not biopsy had progression-free survival (PFS) and overall survival similar to stage IV disease without involved marrow. Positive biopsy conferred significantly inferior PFS (P 5 = 003); these cases frequently had other markers of poor-risk disease. These data confirm that in experienced hands PET-CT has a high level of accuracy for identifying marrow disease in DLBCL, and provide new insight into the nature and clinical significance of marrow involvement. © 2013 by The American Society of Hematology.","author":[{"dropping-particle":"","family":"Khan","given":"Anjum Bashir","non-dropping-particle":"","parse-names":false,"suffix":""},{"dropping-particle":"","family":"Barrington","given":"Sally Fiona","non-dropping-particle":"","parse-names":false,"suffix":""},{"dropping-particle":"","family":"Mikhaeel","given":"Nabegh George","non-dropping-particle":"","parse-names":false,"suffix":""},{"dropping-particle":"","family":"Hunt","given":"Alesia Abigael","non-dropping-particle":"","parse-names":false,"suffix":""},{"dropping-particle":"","family":"Cameron","given":"Laura","non-dropping-particle":"","parse-names":false,"suffix":""},{"dropping-particle":"","family":"Morris","given":"Tim","non-dropping-particle":"","parse-names":false,"suffix":""},{"dropping-particle":"","family":"Carr","given":"Robert","non-dropping-particle":"","parse-names":false,"suffix":""}],"container-title":"Blood","id":"ITEM-4","issue":"1","issued":{"date-parts":[["2013","7","4"]]},"page":"61-67","title":"PET-CT staging of DLBCL accurately identifies and provides new insight into the clinical significance of bone marrow involvement","type":"paper-conference","volume":"122"},"uris":["http://www.mendeley.com/documents/?uuid=017163c4-37bb-393a-bb27-8c9e7c5f788b"]}],"mendeley":{"formattedCitation":"[11,17,27,28]","plainTextFormattedCitation":"[11,17,27,28]","previouslyFormattedCitation":"[11,17,27,28]"},"properties":{"noteIndex":0},"schema":"https://github.com/citation-style-language/schema/raw/master/csl-citation.json"}</w:instrText>
      </w:r>
      <w:r w:rsidR="00EF5C06" w:rsidRPr="000322E4">
        <w:rPr>
          <w:b/>
          <w:bCs/>
          <w:lang w:eastAsia="ru-RU"/>
        </w:rPr>
        <w:fldChar w:fldCharType="separate"/>
      </w:r>
      <w:r w:rsidR="00EE3B0B" w:rsidRPr="000322E4">
        <w:rPr>
          <w:bCs/>
          <w:noProof/>
          <w:lang w:eastAsia="ru-RU"/>
        </w:rPr>
        <w:t>[11,17,27,28]</w:t>
      </w:r>
      <w:r w:rsidR="00EF5C06" w:rsidRPr="000322E4">
        <w:rPr>
          <w:b/>
          <w:bCs/>
          <w:lang w:eastAsia="ru-RU"/>
        </w:rPr>
        <w:fldChar w:fldCharType="end"/>
      </w:r>
      <w:r w:rsidR="00CE3AE3" w:rsidRPr="000322E4">
        <w:rPr>
          <w:b/>
          <w:bCs/>
          <w:lang w:eastAsia="ru-RU"/>
        </w:rPr>
        <w:t>:</w:t>
      </w:r>
      <w:r w:rsidR="00B264A8" w:rsidRPr="000322E4">
        <w:rPr>
          <w:lang w:eastAsia="ru-RU"/>
        </w:rPr>
        <w:t xml:space="preserve"> </w:t>
      </w:r>
    </w:p>
    <w:p w14:paraId="7CD76394" w14:textId="77777777" w:rsidR="00CE3AE3" w:rsidRPr="000322E4" w:rsidRDefault="00AF52E2" w:rsidP="00CA442F">
      <w:pPr>
        <w:numPr>
          <w:ilvl w:val="1"/>
          <w:numId w:val="8"/>
        </w:numPr>
        <w:rPr>
          <w:color w:val="000000" w:themeColor="text1"/>
        </w:rPr>
      </w:pPr>
      <w:r w:rsidRPr="000322E4">
        <w:lastRenderedPageBreak/>
        <w:t>получение цитологического препарата костного мозга путем пункции</w:t>
      </w:r>
      <w:r w:rsidR="00CE3AE3" w:rsidRPr="000322E4">
        <w:rPr>
          <w:color w:val="000000" w:themeColor="text1"/>
        </w:rPr>
        <w:t>, цитологическое исследование мазка костного мозга (миелограмма), а</w:t>
      </w:r>
      <w:r w:rsidRPr="000322E4">
        <w:rPr>
          <w:color w:val="000000" w:themeColor="text1"/>
        </w:rPr>
        <w:t xml:space="preserve"> </w:t>
      </w:r>
      <w:r w:rsidR="00CE3AE3" w:rsidRPr="000322E4">
        <w:rPr>
          <w:color w:val="000000" w:themeColor="text1"/>
        </w:rPr>
        <w:t xml:space="preserve">при повышении количества лимфоидных клеток, наличия атипичных лимфоцитов или клеток с бластной морфологией </w:t>
      </w:r>
      <w:r w:rsidRPr="000322E4">
        <w:rPr>
          <w:color w:val="000000" w:themeColor="text1"/>
        </w:rPr>
        <w:t>в костном мозге –</w:t>
      </w:r>
      <w:r w:rsidR="00CE3AE3" w:rsidRPr="000322E4">
        <w:rPr>
          <w:color w:val="000000" w:themeColor="text1"/>
        </w:rPr>
        <w:t xml:space="preserve"> </w:t>
      </w:r>
      <w:r w:rsidRPr="000322E4">
        <w:rPr>
          <w:color w:val="000000" w:themeColor="text1"/>
        </w:rPr>
        <w:t>исследование биологического материала (аспирата костного мозга) методом проточной цитофлуориметрии</w:t>
      </w:r>
    </w:p>
    <w:p w14:paraId="6E142471" w14:textId="77777777" w:rsidR="00B264A8" w:rsidRPr="000322E4" w:rsidRDefault="00F6558C" w:rsidP="00CA442F">
      <w:pPr>
        <w:numPr>
          <w:ilvl w:val="1"/>
          <w:numId w:val="8"/>
        </w:numPr>
        <w:rPr>
          <w:color w:val="000000" w:themeColor="text1"/>
        </w:rPr>
      </w:pPr>
      <w:r w:rsidRPr="000322E4">
        <w:rPr>
          <w:color w:val="000000" w:themeColor="text1"/>
        </w:rPr>
        <w:t>получение гистологического препарата костного мозга (трепанобиопсия), патолого-анатомическое исследование биопсийного (операционного) материала костного мозга с применением иммуногистохимических методов</w:t>
      </w:r>
      <w:r w:rsidR="00861F2F" w:rsidRPr="000322E4">
        <w:rPr>
          <w:color w:val="000000" w:themeColor="text1"/>
        </w:rPr>
        <w:t>.</w:t>
      </w:r>
    </w:p>
    <w:p w14:paraId="15C6F0AC" w14:textId="77777777" w:rsidR="00B264A8" w:rsidRPr="000322E4" w:rsidRDefault="00B264A8" w:rsidP="00CA442F">
      <w:pPr>
        <w:ind w:left="709"/>
        <w:contextualSpacing/>
        <w:rPr>
          <w:b/>
          <w:color w:val="000000" w:themeColor="text1"/>
        </w:rPr>
      </w:pPr>
      <w:r w:rsidRPr="000322E4">
        <w:rPr>
          <w:b/>
          <w:color w:val="000000" w:themeColor="text1"/>
        </w:rPr>
        <w:t xml:space="preserve">Уровень убедительности рекомендаций </w:t>
      </w:r>
      <w:r w:rsidR="00796731" w:rsidRPr="000322E4">
        <w:rPr>
          <w:b/>
          <w:color w:val="000000" w:themeColor="text1"/>
        </w:rPr>
        <w:t xml:space="preserve">В </w:t>
      </w:r>
      <w:r w:rsidRPr="000322E4">
        <w:rPr>
          <w:b/>
          <w:color w:val="000000" w:themeColor="text1"/>
        </w:rPr>
        <w:t xml:space="preserve">(уровень достоверности доказательств </w:t>
      </w:r>
      <w:r w:rsidR="00796731" w:rsidRPr="000322E4">
        <w:rPr>
          <w:b/>
          <w:color w:val="000000" w:themeColor="text1"/>
        </w:rPr>
        <w:t>2</w:t>
      </w:r>
      <w:r w:rsidRPr="000322E4">
        <w:rPr>
          <w:b/>
          <w:color w:val="000000" w:themeColor="text1"/>
        </w:rPr>
        <w:t>).</w:t>
      </w:r>
    </w:p>
    <w:p w14:paraId="0C0BC670" w14:textId="77777777" w:rsidR="00AF52E2" w:rsidRPr="000322E4" w:rsidRDefault="00B264A8" w:rsidP="00CA442F">
      <w:pPr>
        <w:ind w:left="720"/>
        <w:rPr>
          <w:i/>
        </w:rPr>
      </w:pPr>
      <w:r w:rsidRPr="000322E4">
        <w:rPr>
          <w:b/>
          <w:color w:val="000000" w:themeColor="text1"/>
        </w:rPr>
        <w:t>Комментарии:</w:t>
      </w:r>
      <w:r w:rsidRPr="000322E4">
        <w:rPr>
          <w:color w:val="000000" w:themeColor="text1"/>
        </w:rPr>
        <w:t xml:space="preserve"> </w:t>
      </w:r>
      <w:r w:rsidR="00AF52E2" w:rsidRPr="000322E4">
        <w:rPr>
          <w:i/>
        </w:rPr>
        <w:t>исследование костного мозга (аспират и трепанат) также рекомендуется при появлении клинически немотивированных цитопении и лихорадки (вне зависимости от наличия исходного поражения).</w:t>
      </w:r>
    </w:p>
    <w:p w14:paraId="3AC862E5" w14:textId="77777777" w:rsidR="00B16826" w:rsidRPr="000322E4" w:rsidRDefault="00861F2F" w:rsidP="00CA442F">
      <w:pPr>
        <w:ind w:left="720"/>
        <w:rPr>
          <w:i/>
        </w:rPr>
      </w:pPr>
      <w:r w:rsidRPr="000322E4">
        <w:rPr>
          <w:i/>
        </w:rPr>
        <w:t xml:space="preserve">У </w:t>
      </w:r>
      <w:r w:rsidR="00B16826" w:rsidRPr="000322E4">
        <w:rPr>
          <w:i/>
        </w:rPr>
        <w:t>детей трепанобиопсия подвздошной кости должна обязательно проводиться под общей анестезией.</w:t>
      </w:r>
      <w:r w:rsidR="00B264A8" w:rsidRPr="000322E4">
        <w:rPr>
          <w:i/>
        </w:rPr>
        <w:t xml:space="preserve"> </w:t>
      </w:r>
    </w:p>
    <w:p w14:paraId="3486CB7A" w14:textId="77777777" w:rsidR="00622670" w:rsidRPr="000322E4" w:rsidRDefault="00622670" w:rsidP="00CA442F">
      <w:pPr>
        <w:pStyle w:val="afff8"/>
        <w:spacing w:before="0"/>
        <w:rPr>
          <w:color w:val="000000" w:themeColor="text1"/>
          <w:szCs w:val="24"/>
          <w:lang w:eastAsia="ru-RU"/>
        </w:rPr>
      </w:pPr>
      <w:r w:rsidRPr="000322E4">
        <w:rPr>
          <w:color w:val="000000" w:themeColor="text1"/>
          <w:szCs w:val="24"/>
          <w:lang w:eastAsia="ru-RU"/>
        </w:rPr>
        <w:t>Всем пациентам</w:t>
      </w:r>
      <w:r w:rsidR="004D1259" w:rsidRPr="000322E4">
        <w:rPr>
          <w:color w:val="000000" w:themeColor="text1"/>
          <w:szCs w:val="24"/>
          <w:lang w:eastAsia="ru-RU"/>
        </w:rPr>
        <w:t xml:space="preserve"> с ЛБ, также всем пациентам</w:t>
      </w:r>
      <w:r w:rsidR="00D611C5" w:rsidRPr="000322E4">
        <w:rPr>
          <w:color w:val="000000" w:themeColor="text1"/>
          <w:szCs w:val="24"/>
          <w:lang w:eastAsia="ru-RU"/>
        </w:rPr>
        <w:t xml:space="preserve"> с ДВКЛ</w:t>
      </w:r>
      <w:r w:rsidRPr="000322E4">
        <w:rPr>
          <w:color w:val="000000" w:themeColor="text1"/>
          <w:szCs w:val="24"/>
          <w:lang w:eastAsia="ru-RU"/>
        </w:rPr>
        <w:t xml:space="preserve"> </w:t>
      </w:r>
      <w:r w:rsidRPr="000322E4">
        <w:t>с неврологической симптоматикой, имеющейся в дебюте болезни или на этапах ее развития, а также пациентам</w:t>
      </w:r>
      <w:r w:rsidR="00D611C5" w:rsidRPr="000322E4">
        <w:t xml:space="preserve"> с ДВКЛ</w:t>
      </w:r>
      <w:r w:rsidRPr="000322E4">
        <w:t xml:space="preserve"> из группы высокого  риска по вовлечению ЦНС (4-6 прогностических факторов по шкале</w:t>
      </w:r>
      <w:r w:rsidR="00F5607D" w:rsidRPr="000322E4">
        <w:t xml:space="preserve"> </w:t>
      </w:r>
      <w:r w:rsidR="00F5607D" w:rsidRPr="000322E4">
        <w:rPr>
          <w:iCs/>
          <w:lang w:val="en-US"/>
        </w:rPr>
        <w:t>CNS</w:t>
      </w:r>
      <w:r w:rsidR="00F5607D" w:rsidRPr="000322E4">
        <w:rPr>
          <w:iCs/>
        </w:rPr>
        <w:t>-</w:t>
      </w:r>
      <w:r w:rsidR="00F5607D" w:rsidRPr="000322E4">
        <w:rPr>
          <w:iCs/>
          <w:lang w:val="en-US"/>
        </w:rPr>
        <w:t>IPI</w:t>
      </w:r>
      <w:r w:rsidR="00F5607D" w:rsidRPr="000322E4">
        <w:t xml:space="preserve"> – см. раздел </w:t>
      </w:r>
      <w:r w:rsidR="00497137" w:rsidRPr="000322E4">
        <w:t>7.4 данных рекомендаций</w:t>
      </w:r>
      <w:r w:rsidRPr="000322E4">
        <w:t xml:space="preserve">, а также </w:t>
      </w:r>
      <w:r w:rsidR="00E47FC8" w:rsidRPr="000322E4">
        <w:t xml:space="preserve">пациентам </w:t>
      </w:r>
      <w:r w:rsidRPr="000322E4">
        <w:t xml:space="preserve">с ВИЧ ассоциированной лимфомой, лимфомой яичка, лимфомой высокой степени злокачественности с транслокацией </w:t>
      </w:r>
      <w:r w:rsidRPr="000322E4">
        <w:rPr>
          <w:lang w:val="en-US"/>
        </w:rPr>
        <w:t>MYC</w:t>
      </w:r>
      <w:r w:rsidRPr="000322E4">
        <w:t xml:space="preserve">, </w:t>
      </w:r>
      <w:r w:rsidRPr="000322E4">
        <w:rPr>
          <w:lang w:val="en-US"/>
        </w:rPr>
        <w:t>BCL</w:t>
      </w:r>
      <w:r w:rsidRPr="000322E4">
        <w:t xml:space="preserve">-2 и/или </w:t>
      </w:r>
      <w:r w:rsidRPr="000322E4">
        <w:rPr>
          <w:lang w:val="en-US"/>
        </w:rPr>
        <w:t>BCL</w:t>
      </w:r>
      <w:r w:rsidRPr="000322E4">
        <w:t xml:space="preserve">-6, лимфомой высокой степени злокачественности, неклассифицируемой,  или ДВКЛ с вовлечением почек или надпочечников, </w:t>
      </w:r>
      <w:r w:rsidR="00E47FC8" w:rsidRPr="000322E4">
        <w:t xml:space="preserve">пациентам </w:t>
      </w:r>
      <w:r w:rsidRPr="000322E4">
        <w:t xml:space="preserve">с </w:t>
      </w:r>
      <w:r w:rsidRPr="000322E4">
        <w:rPr>
          <w:lang w:val="en-US"/>
        </w:rPr>
        <w:t>I</w:t>
      </w:r>
      <w:r w:rsidRPr="000322E4">
        <w:t>Е ДВКЛ с поражением молочных желез) перед началом терапии</w:t>
      </w:r>
      <w:r w:rsidRPr="000322E4">
        <w:rPr>
          <w:color w:val="000000" w:themeColor="text1"/>
          <w:szCs w:val="24"/>
          <w:lang w:eastAsia="ru-RU"/>
        </w:rPr>
        <w:t xml:space="preserve"> </w:t>
      </w:r>
      <w:r w:rsidRPr="000322E4">
        <w:rPr>
          <w:b/>
          <w:bCs/>
          <w:color w:val="000000" w:themeColor="text1"/>
          <w:szCs w:val="24"/>
          <w:lang w:eastAsia="ru-RU"/>
        </w:rPr>
        <w:t xml:space="preserve">рекомендуется </w:t>
      </w:r>
      <w:r w:rsidRPr="000322E4">
        <w:rPr>
          <w:b/>
          <w:bCs/>
          <w:color w:val="000000" w:themeColor="text1"/>
          <w:szCs w:val="24"/>
          <w:lang w:eastAsia="ru-RU"/>
        </w:rPr>
        <w:fldChar w:fldCharType="begin" w:fldLock="1"/>
      </w:r>
      <w:r w:rsidR="00E80F3F" w:rsidRPr="000322E4">
        <w:rPr>
          <w:b/>
          <w:bCs/>
          <w:color w:val="000000" w:themeColor="text1"/>
          <w:szCs w:val="24"/>
          <w:lang w:eastAsia="ru-RU"/>
        </w:rPr>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author":[{"dropping-particle":"","family":"Тумян","given":"Г.С.","non-dropping-particle":"","parse-names":false,"suffix":""},{"dropping-particle":"","family":"Кравченко","given":"С.К.","non-dropping-particle":"","parse-names":false,"suffix":""},{"dropping-particle":"","family":"Михайлова","given":"Н.Б.","non-dropping-particle":"","parse-names":false,"suffix":""},{"dropping-particle":"","family":"Барях","given":"Е.А.","non-dropping-particle":"","parse-names":false,"suffix":""},{"dropping-particle":"","family":"Птушкин","given":"В.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Савченко.","id":"ITEM-2","issued":{"date-parts":[["2018"]]},"page":"58-68","title":"Диффузная В-клеточная крупноклеточная лимфома","type":"chapter"},"uris":["http://www.mendeley.com/documents/?uuid=cb7114f7-4655-4733-8df2-526cc4e32730"]},{"id":"ITEM-3","itemData":{"author":[{"dropping-particle":"","family":"Кузьмин","given":"А.А.","non-dropping-particle":"","parse-names":false,"suffix":""},{"dropping-particle":"","family":"Бабичева","</w:instrText>
      </w:r>
      <w:r w:rsidR="00E80F3F" w:rsidRPr="000322E4">
        <w:rPr>
          <w:b/>
          <w:bCs/>
          <w:color w:val="000000" w:themeColor="text1"/>
          <w:szCs w:val="24"/>
          <w:lang w:val="en-US" w:eastAsia="ru-RU"/>
        </w:rPr>
        <w:instrText>given</w:instrText>
      </w:r>
      <w:r w:rsidR="00E80F3F" w:rsidRPr="000322E4">
        <w:rPr>
          <w:b/>
          <w:bCs/>
          <w:color w:val="000000" w:themeColor="text1"/>
          <w:szCs w:val="24"/>
          <w:lang w:eastAsia="ru-RU"/>
        </w:rPr>
        <w:instrText>":"Л.Г.","</w:instrText>
      </w:r>
      <w:r w:rsidR="00E80F3F" w:rsidRPr="000322E4">
        <w:rPr>
          <w:b/>
          <w:bCs/>
          <w:color w:val="000000" w:themeColor="text1"/>
          <w:szCs w:val="24"/>
          <w:lang w:val="en-US" w:eastAsia="ru-RU"/>
        </w:rPr>
        <w:instrText>non</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dropping</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particle</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parse</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names</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false</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suffix</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dropping</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particle</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family</w:instrText>
      </w:r>
      <w:r w:rsidR="00E80F3F" w:rsidRPr="000322E4">
        <w:rPr>
          <w:b/>
          <w:bCs/>
          <w:color w:val="000000" w:themeColor="text1"/>
          <w:szCs w:val="24"/>
          <w:lang w:eastAsia="ru-RU"/>
        </w:rPr>
        <w:instrText>":"Тумян","</w:instrText>
      </w:r>
      <w:r w:rsidR="00E80F3F" w:rsidRPr="000322E4">
        <w:rPr>
          <w:b/>
          <w:bCs/>
          <w:color w:val="000000" w:themeColor="text1"/>
          <w:szCs w:val="24"/>
          <w:lang w:val="en-US" w:eastAsia="ru-RU"/>
        </w:rPr>
        <w:instrText>given</w:instrText>
      </w:r>
      <w:r w:rsidR="00E80F3F" w:rsidRPr="000322E4">
        <w:rPr>
          <w:b/>
          <w:bCs/>
          <w:color w:val="000000" w:themeColor="text1"/>
          <w:szCs w:val="24"/>
          <w:lang w:eastAsia="ru-RU"/>
        </w:rPr>
        <w:instrText>":"Г.С.","</w:instrText>
      </w:r>
      <w:r w:rsidR="00E80F3F" w:rsidRPr="000322E4">
        <w:rPr>
          <w:b/>
          <w:bCs/>
          <w:color w:val="000000" w:themeColor="text1"/>
          <w:szCs w:val="24"/>
          <w:lang w:val="en-US" w:eastAsia="ru-RU"/>
        </w:rPr>
        <w:instrText>non</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dropping</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particle</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parse</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names</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false</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suffix</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dropping</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particle</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family</w:instrText>
      </w:r>
      <w:r w:rsidR="00E80F3F" w:rsidRPr="000322E4">
        <w:rPr>
          <w:b/>
          <w:bCs/>
          <w:color w:val="000000" w:themeColor="text1"/>
          <w:szCs w:val="24"/>
          <w:lang w:eastAsia="ru-RU"/>
        </w:rPr>
        <w:instrText>":"Птушкин","</w:instrText>
      </w:r>
      <w:r w:rsidR="00E80F3F" w:rsidRPr="000322E4">
        <w:rPr>
          <w:b/>
          <w:bCs/>
          <w:color w:val="000000" w:themeColor="text1"/>
          <w:szCs w:val="24"/>
          <w:lang w:val="en-US" w:eastAsia="ru-RU"/>
        </w:rPr>
        <w:instrText>given</w:instrText>
      </w:r>
      <w:r w:rsidR="00E80F3F" w:rsidRPr="000322E4">
        <w:rPr>
          <w:b/>
          <w:bCs/>
          <w:color w:val="000000" w:themeColor="text1"/>
          <w:szCs w:val="24"/>
          <w:lang w:eastAsia="ru-RU"/>
        </w:rPr>
        <w:instrText>":"В.В.","</w:instrText>
      </w:r>
      <w:r w:rsidR="00E80F3F" w:rsidRPr="000322E4">
        <w:rPr>
          <w:b/>
          <w:bCs/>
          <w:color w:val="000000" w:themeColor="text1"/>
          <w:szCs w:val="24"/>
          <w:lang w:val="en-US" w:eastAsia="ru-RU"/>
        </w:rPr>
        <w:instrText>non</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dropping</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particle</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parse</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names</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false</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suffix</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container</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title</w:instrText>
      </w:r>
      <w:r w:rsidR="00E80F3F" w:rsidRPr="000322E4">
        <w:rPr>
          <w:b/>
          <w:bCs/>
          <w:color w:val="000000" w:themeColor="text1"/>
          <w:szCs w:val="24"/>
          <w:lang w:eastAsia="ru-RU"/>
        </w:rPr>
        <w:instrText>":"Российские клинические рекомендации по диагностике и лечению злокачественных лимфопролиферативных заболеваний; под ред. И.В. Поддубной, В.Г. Савченко.","</w:instrText>
      </w:r>
      <w:r w:rsidR="00E80F3F" w:rsidRPr="000322E4">
        <w:rPr>
          <w:b/>
          <w:bCs/>
          <w:color w:val="000000" w:themeColor="text1"/>
          <w:szCs w:val="24"/>
          <w:lang w:val="en-US" w:eastAsia="ru-RU"/>
        </w:rPr>
        <w:instrText>id</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ITEM</w:instrText>
      </w:r>
      <w:r w:rsidR="00E80F3F" w:rsidRPr="000322E4">
        <w:rPr>
          <w:b/>
          <w:bCs/>
          <w:color w:val="000000" w:themeColor="text1"/>
          <w:szCs w:val="24"/>
          <w:lang w:eastAsia="ru-RU"/>
        </w:rPr>
        <w:instrText>-3","</w:instrText>
      </w:r>
      <w:r w:rsidR="00E80F3F" w:rsidRPr="000322E4">
        <w:rPr>
          <w:b/>
          <w:bCs/>
          <w:color w:val="000000" w:themeColor="text1"/>
          <w:szCs w:val="24"/>
          <w:lang w:val="en-US" w:eastAsia="ru-RU"/>
        </w:rPr>
        <w:instrText>issued</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date</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parts</w:instrText>
      </w:r>
      <w:r w:rsidR="00E80F3F" w:rsidRPr="000322E4">
        <w:rPr>
          <w:b/>
          <w:bCs/>
          <w:color w:val="000000" w:themeColor="text1"/>
          <w:szCs w:val="24"/>
          <w:lang w:eastAsia="ru-RU"/>
        </w:rPr>
        <w:instrText>":[["2018"]]},"</w:instrText>
      </w:r>
      <w:r w:rsidR="00E80F3F" w:rsidRPr="000322E4">
        <w:rPr>
          <w:b/>
          <w:bCs/>
          <w:color w:val="000000" w:themeColor="text1"/>
          <w:szCs w:val="24"/>
          <w:lang w:val="en-US" w:eastAsia="ru-RU"/>
        </w:rPr>
        <w:instrText>page</w:instrText>
      </w:r>
      <w:r w:rsidR="00E80F3F" w:rsidRPr="000322E4">
        <w:rPr>
          <w:b/>
          <w:bCs/>
          <w:color w:val="000000" w:themeColor="text1"/>
          <w:szCs w:val="24"/>
          <w:lang w:eastAsia="ru-RU"/>
        </w:rPr>
        <w:instrText>":"87-93","</w:instrText>
      </w:r>
      <w:r w:rsidR="00E80F3F" w:rsidRPr="000322E4">
        <w:rPr>
          <w:b/>
          <w:bCs/>
          <w:color w:val="000000" w:themeColor="text1"/>
          <w:szCs w:val="24"/>
          <w:lang w:val="en-US" w:eastAsia="ru-RU"/>
        </w:rPr>
        <w:instrText>title</w:instrText>
      </w:r>
      <w:r w:rsidR="00E80F3F" w:rsidRPr="000322E4">
        <w:rPr>
          <w:b/>
          <w:bCs/>
          <w:color w:val="000000" w:themeColor="text1"/>
          <w:szCs w:val="24"/>
          <w:lang w:eastAsia="ru-RU"/>
        </w:rPr>
        <w:instrText>":"Первичная лимфома центральной нервной системы","</w:instrText>
      </w:r>
      <w:r w:rsidR="00E80F3F" w:rsidRPr="000322E4">
        <w:rPr>
          <w:b/>
          <w:bCs/>
          <w:color w:val="000000" w:themeColor="text1"/>
          <w:szCs w:val="24"/>
          <w:lang w:val="en-US" w:eastAsia="ru-RU"/>
        </w:rPr>
        <w:instrText>type</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chapter</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uris</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http</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www</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mendeley</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com</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documents</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uuid</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dac</w:instrText>
      </w:r>
      <w:r w:rsidR="00E80F3F" w:rsidRPr="000322E4">
        <w:rPr>
          <w:b/>
          <w:bCs/>
          <w:color w:val="000000" w:themeColor="text1"/>
          <w:szCs w:val="24"/>
          <w:lang w:eastAsia="ru-RU"/>
        </w:rPr>
        <w:instrText>650</w:instrText>
      </w:r>
      <w:r w:rsidR="00E80F3F" w:rsidRPr="000322E4">
        <w:rPr>
          <w:b/>
          <w:bCs/>
          <w:color w:val="000000" w:themeColor="text1"/>
          <w:szCs w:val="24"/>
          <w:lang w:val="en-US" w:eastAsia="ru-RU"/>
        </w:rPr>
        <w:instrText>cf</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b</w:instrText>
      </w:r>
      <w:r w:rsidR="00E80F3F" w:rsidRPr="000322E4">
        <w:rPr>
          <w:b/>
          <w:bCs/>
          <w:color w:val="000000" w:themeColor="text1"/>
          <w:szCs w:val="24"/>
          <w:lang w:eastAsia="ru-RU"/>
        </w:rPr>
        <w:instrText>934-4</w:instrText>
      </w:r>
      <w:r w:rsidR="00E80F3F" w:rsidRPr="000322E4">
        <w:rPr>
          <w:b/>
          <w:bCs/>
          <w:color w:val="000000" w:themeColor="text1"/>
          <w:szCs w:val="24"/>
          <w:lang w:val="en-US" w:eastAsia="ru-RU"/>
        </w:rPr>
        <w:instrText>db</w:instrText>
      </w:r>
      <w:r w:rsidR="00E80F3F" w:rsidRPr="000322E4">
        <w:rPr>
          <w:b/>
          <w:bCs/>
          <w:color w:val="000000" w:themeColor="text1"/>
          <w:szCs w:val="24"/>
          <w:lang w:eastAsia="ru-RU"/>
        </w:rPr>
        <w:instrText>3-8</w:instrText>
      </w:r>
      <w:r w:rsidR="00E80F3F" w:rsidRPr="000322E4">
        <w:rPr>
          <w:b/>
          <w:bCs/>
          <w:color w:val="000000" w:themeColor="text1"/>
          <w:szCs w:val="24"/>
          <w:lang w:val="en-US" w:eastAsia="ru-RU"/>
        </w:rPr>
        <w:instrText>c</w:instrText>
      </w:r>
      <w:r w:rsidR="00E80F3F" w:rsidRPr="000322E4">
        <w:rPr>
          <w:b/>
          <w:bCs/>
          <w:color w:val="000000" w:themeColor="text1"/>
          <w:szCs w:val="24"/>
          <w:lang w:eastAsia="ru-RU"/>
        </w:rPr>
        <w:instrText>16-71</w:instrText>
      </w:r>
      <w:r w:rsidR="00E80F3F" w:rsidRPr="000322E4">
        <w:rPr>
          <w:b/>
          <w:bCs/>
          <w:color w:val="000000" w:themeColor="text1"/>
          <w:szCs w:val="24"/>
          <w:lang w:val="en-US" w:eastAsia="ru-RU"/>
        </w:rPr>
        <w:instrText>fbc</w:instrText>
      </w:r>
      <w:r w:rsidR="00E80F3F" w:rsidRPr="000322E4">
        <w:rPr>
          <w:b/>
          <w:bCs/>
          <w:color w:val="000000" w:themeColor="text1"/>
          <w:szCs w:val="24"/>
          <w:lang w:eastAsia="ru-RU"/>
        </w:rPr>
        <w:instrText>7</w:instrText>
      </w:r>
      <w:r w:rsidR="00E80F3F" w:rsidRPr="000322E4">
        <w:rPr>
          <w:b/>
          <w:bCs/>
          <w:color w:val="000000" w:themeColor="text1"/>
          <w:szCs w:val="24"/>
          <w:lang w:val="en-US" w:eastAsia="ru-RU"/>
        </w:rPr>
        <w:instrText>fc</w:instrText>
      </w:r>
      <w:r w:rsidR="00E80F3F" w:rsidRPr="000322E4">
        <w:rPr>
          <w:b/>
          <w:bCs/>
          <w:color w:val="000000" w:themeColor="text1"/>
          <w:szCs w:val="24"/>
          <w:lang w:eastAsia="ru-RU"/>
        </w:rPr>
        <w:instrText>82</w:instrText>
      </w:r>
      <w:r w:rsidR="00E80F3F" w:rsidRPr="000322E4">
        <w:rPr>
          <w:b/>
          <w:bCs/>
          <w:color w:val="000000" w:themeColor="text1"/>
          <w:szCs w:val="24"/>
          <w:lang w:val="en-US" w:eastAsia="ru-RU"/>
        </w:rPr>
        <w:instrText>e</w:instrText>
      </w:r>
      <w:r w:rsidR="00E80F3F" w:rsidRPr="000322E4">
        <w:rPr>
          <w:b/>
          <w:bCs/>
          <w:color w:val="000000" w:themeColor="text1"/>
          <w:szCs w:val="24"/>
          <w:lang w:eastAsia="ru-RU"/>
        </w:rPr>
        <w:instrText>3"]},{"</w:instrText>
      </w:r>
      <w:r w:rsidR="00E80F3F" w:rsidRPr="000322E4">
        <w:rPr>
          <w:b/>
          <w:bCs/>
          <w:color w:val="000000" w:themeColor="text1"/>
          <w:szCs w:val="24"/>
          <w:lang w:val="en-US" w:eastAsia="ru-RU"/>
        </w:rPr>
        <w:instrText>id</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ITEM</w:instrText>
      </w:r>
      <w:r w:rsidR="00E80F3F" w:rsidRPr="000322E4">
        <w:rPr>
          <w:b/>
          <w:bCs/>
          <w:color w:val="000000" w:themeColor="text1"/>
          <w:szCs w:val="24"/>
          <w:lang w:eastAsia="ru-RU"/>
        </w:rPr>
        <w:instrText>-4","</w:instrText>
      </w:r>
      <w:r w:rsidR="00E80F3F" w:rsidRPr="000322E4">
        <w:rPr>
          <w:b/>
          <w:bCs/>
          <w:color w:val="000000" w:themeColor="text1"/>
          <w:szCs w:val="24"/>
          <w:lang w:val="en-US" w:eastAsia="ru-RU"/>
        </w:rPr>
        <w:instrText>itemData</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author</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dropping</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particle</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family</w:instrText>
      </w:r>
      <w:r w:rsidR="00E80F3F" w:rsidRPr="000322E4">
        <w:rPr>
          <w:b/>
          <w:bCs/>
          <w:color w:val="000000" w:themeColor="text1"/>
          <w:szCs w:val="24"/>
          <w:lang w:eastAsia="ru-RU"/>
        </w:rPr>
        <w:instrText>":"Барях","</w:instrText>
      </w:r>
      <w:r w:rsidR="00E80F3F" w:rsidRPr="000322E4">
        <w:rPr>
          <w:b/>
          <w:bCs/>
          <w:color w:val="000000" w:themeColor="text1"/>
          <w:szCs w:val="24"/>
          <w:lang w:val="en-US" w:eastAsia="ru-RU"/>
        </w:rPr>
        <w:instrText>given</w:instrText>
      </w:r>
      <w:r w:rsidR="00E80F3F" w:rsidRPr="000322E4">
        <w:rPr>
          <w:b/>
          <w:bCs/>
          <w:color w:val="000000" w:themeColor="text1"/>
          <w:szCs w:val="24"/>
          <w:lang w:eastAsia="ru-RU"/>
        </w:rPr>
        <w:instrText>":"Е.А.","</w:instrText>
      </w:r>
      <w:r w:rsidR="00E80F3F" w:rsidRPr="000322E4">
        <w:rPr>
          <w:b/>
          <w:bCs/>
          <w:color w:val="000000" w:themeColor="text1"/>
          <w:szCs w:val="24"/>
          <w:lang w:val="en-US" w:eastAsia="ru-RU"/>
        </w:rPr>
        <w:instrText>non</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dropping</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particle</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parse</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names</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false</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suffix</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container</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title</w:instrText>
      </w:r>
      <w:r w:rsidR="00E80F3F" w:rsidRPr="000322E4">
        <w:rPr>
          <w:b/>
          <w:bCs/>
          <w:color w:val="000000" w:themeColor="text1"/>
          <w:szCs w:val="24"/>
          <w:lang w:eastAsia="ru-RU"/>
        </w:rPr>
        <w:instrText>":"Российские клинические рекомендации по диагностике и лечению злокачественных лимфопролиферативных заболеваний; под ред. И.В. Поддубной, В.Г. Савченко.","</w:instrText>
      </w:r>
      <w:r w:rsidR="00E80F3F" w:rsidRPr="000322E4">
        <w:rPr>
          <w:b/>
          <w:bCs/>
          <w:color w:val="000000" w:themeColor="text1"/>
          <w:szCs w:val="24"/>
          <w:lang w:val="en-US" w:eastAsia="ru-RU"/>
        </w:rPr>
        <w:instrText>id</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ITEM</w:instrText>
      </w:r>
      <w:r w:rsidR="00E80F3F" w:rsidRPr="000322E4">
        <w:rPr>
          <w:b/>
          <w:bCs/>
          <w:color w:val="000000" w:themeColor="text1"/>
          <w:szCs w:val="24"/>
          <w:lang w:eastAsia="ru-RU"/>
        </w:rPr>
        <w:instrText>-4","</w:instrText>
      </w:r>
      <w:r w:rsidR="00E80F3F" w:rsidRPr="000322E4">
        <w:rPr>
          <w:b/>
          <w:bCs/>
          <w:color w:val="000000" w:themeColor="text1"/>
          <w:szCs w:val="24"/>
          <w:lang w:val="en-US" w:eastAsia="ru-RU"/>
        </w:rPr>
        <w:instrText>issued</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date</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parts</w:instrText>
      </w:r>
      <w:r w:rsidR="00E80F3F" w:rsidRPr="000322E4">
        <w:rPr>
          <w:b/>
          <w:bCs/>
          <w:color w:val="000000" w:themeColor="text1"/>
          <w:szCs w:val="24"/>
          <w:lang w:eastAsia="ru-RU"/>
        </w:rPr>
        <w:instrText>":[["2018"]]},"</w:instrText>
      </w:r>
      <w:r w:rsidR="00E80F3F" w:rsidRPr="000322E4">
        <w:rPr>
          <w:b/>
          <w:bCs/>
          <w:color w:val="000000" w:themeColor="text1"/>
          <w:szCs w:val="24"/>
          <w:lang w:val="en-US" w:eastAsia="ru-RU"/>
        </w:rPr>
        <w:instrText>page</w:instrText>
      </w:r>
      <w:r w:rsidR="00E80F3F" w:rsidRPr="000322E4">
        <w:rPr>
          <w:b/>
          <w:bCs/>
          <w:color w:val="000000" w:themeColor="text1"/>
          <w:szCs w:val="24"/>
          <w:lang w:eastAsia="ru-RU"/>
        </w:rPr>
        <w:instrText>":"80-87","</w:instrText>
      </w:r>
      <w:r w:rsidR="00E80F3F" w:rsidRPr="000322E4">
        <w:rPr>
          <w:b/>
          <w:bCs/>
          <w:color w:val="000000" w:themeColor="text1"/>
          <w:szCs w:val="24"/>
          <w:lang w:val="en-US" w:eastAsia="ru-RU"/>
        </w:rPr>
        <w:instrText>title</w:instrText>
      </w:r>
      <w:r w:rsidR="00E80F3F" w:rsidRPr="000322E4">
        <w:rPr>
          <w:b/>
          <w:bCs/>
          <w:color w:val="000000" w:themeColor="text1"/>
          <w:szCs w:val="24"/>
          <w:lang w:eastAsia="ru-RU"/>
        </w:rPr>
        <w:instrText>":"Лимфома Беркитта","</w:instrText>
      </w:r>
      <w:r w:rsidR="00E80F3F" w:rsidRPr="000322E4">
        <w:rPr>
          <w:b/>
          <w:bCs/>
          <w:color w:val="000000" w:themeColor="text1"/>
          <w:szCs w:val="24"/>
          <w:lang w:val="en-US" w:eastAsia="ru-RU"/>
        </w:rPr>
        <w:instrText>type</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chapter</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uris</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http</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www</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mendeley</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com</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documents</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uuid</w:instrText>
      </w:r>
      <w:r w:rsidR="00E80F3F" w:rsidRPr="000322E4">
        <w:rPr>
          <w:b/>
          <w:bCs/>
          <w:color w:val="000000" w:themeColor="text1"/>
          <w:szCs w:val="24"/>
          <w:lang w:eastAsia="ru-RU"/>
        </w:rPr>
        <w:instrText>=6</w:instrText>
      </w:r>
      <w:r w:rsidR="00E80F3F" w:rsidRPr="000322E4">
        <w:rPr>
          <w:b/>
          <w:bCs/>
          <w:color w:val="000000" w:themeColor="text1"/>
          <w:szCs w:val="24"/>
          <w:lang w:val="en-US" w:eastAsia="ru-RU"/>
        </w:rPr>
        <w:instrText>c</w:instrText>
      </w:r>
      <w:r w:rsidR="00E80F3F" w:rsidRPr="000322E4">
        <w:rPr>
          <w:b/>
          <w:bCs/>
          <w:color w:val="000000" w:themeColor="text1"/>
          <w:szCs w:val="24"/>
          <w:lang w:eastAsia="ru-RU"/>
        </w:rPr>
        <w:instrText>46</w:instrText>
      </w:r>
      <w:r w:rsidR="00E80F3F" w:rsidRPr="000322E4">
        <w:rPr>
          <w:b/>
          <w:bCs/>
          <w:color w:val="000000" w:themeColor="text1"/>
          <w:szCs w:val="24"/>
          <w:lang w:val="en-US" w:eastAsia="ru-RU"/>
        </w:rPr>
        <w:instrText>cd</w:instrText>
      </w:r>
      <w:r w:rsidR="00E80F3F" w:rsidRPr="000322E4">
        <w:rPr>
          <w:b/>
          <w:bCs/>
          <w:color w:val="000000" w:themeColor="text1"/>
          <w:szCs w:val="24"/>
          <w:lang w:eastAsia="ru-RU"/>
        </w:rPr>
        <w:instrText>48-7</w:instrText>
      </w:r>
      <w:r w:rsidR="00E80F3F" w:rsidRPr="000322E4">
        <w:rPr>
          <w:b/>
          <w:bCs/>
          <w:color w:val="000000" w:themeColor="text1"/>
          <w:szCs w:val="24"/>
          <w:lang w:val="en-US" w:eastAsia="ru-RU"/>
        </w:rPr>
        <w:instrText>af</w:instrText>
      </w:r>
      <w:r w:rsidR="00E80F3F" w:rsidRPr="000322E4">
        <w:rPr>
          <w:b/>
          <w:bCs/>
          <w:color w:val="000000" w:themeColor="text1"/>
          <w:szCs w:val="24"/>
          <w:lang w:eastAsia="ru-RU"/>
        </w:rPr>
        <w:instrText>0-4</w:instrText>
      </w:r>
      <w:r w:rsidR="00E80F3F" w:rsidRPr="000322E4">
        <w:rPr>
          <w:b/>
          <w:bCs/>
          <w:color w:val="000000" w:themeColor="text1"/>
          <w:szCs w:val="24"/>
          <w:lang w:val="en-US" w:eastAsia="ru-RU"/>
        </w:rPr>
        <w:instrText>ac</w:instrText>
      </w:r>
      <w:r w:rsidR="00E80F3F" w:rsidRPr="000322E4">
        <w:rPr>
          <w:b/>
          <w:bCs/>
          <w:color w:val="000000" w:themeColor="text1"/>
          <w:szCs w:val="24"/>
          <w:lang w:eastAsia="ru-RU"/>
        </w:rPr>
        <w:instrText>2-8</w:instrText>
      </w:r>
      <w:r w:rsidR="00E80F3F" w:rsidRPr="000322E4">
        <w:rPr>
          <w:b/>
          <w:bCs/>
          <w:color w:val="000000" w:themeColor="text1"/>
          <w:szCs w:val="24"/>
          <w:lang w:val="en-US" w:eastAsia="ru-RU"/>
        </w:rPr>
        <w:instrText>eb</w:instrText>
      </w:r>
      <w:r w:rsidR="00E80F3F" w:rsidRPr="000322E4">
        <w:rPr>
          <w:b/>
          <w:bCs/>
          <w:color w:val="000000" w:themeColor="text1"/>
          <w:szCs w:val="24"/>
          <w:lang w:eastAsia="ru-RU"/>
        </w:rPr>
        <w:instrText>1-93</w:instrText>
      </w:r>
      <w:r w:rsidR="00E80F3F" w:rsidRPr="000322E4">
        <w:rPr>
          <w:b/>
          <w:bCs/>
          <w:color w:val="000000" w:themeColor="text1"/>
          <w:szCs w:val="24"/>
          <w:lang w:val="en-US" w:eastAsia="ru-RU"/>
        </w:rPr>
        <w:instrText>f</w:instrText>
      </w:r>
      <w:r w:rsidR="00E80F3F" w:rsidRPr="000322E4">
        <w:rPr>
          <w:b/>
          <w:bCs/>
          <w:color w:val="000000" w:themeColor="text1"/>
          <w:szCs w:val="24"/>
          <w:lang w:eastAsia="ru-RU"/>
        </w:rPr>
        <w:instrText>86718</w:instrText>
      </w:r>
      <w:r w:rsidR="00E80F3F" w:rsidRPr="000322E4">
        <w:rPr>
          <w:b/>
          <w:bCs/>
          <w:color w:val="000000" w:themeColor="text1"/>
          <w:szCs w:val="24"/>
          <w:lang w:val="en-US" w:eastAsia="ru-RU"/>
        </w:rPr>
        <w:instrText>c</w:instrText>
      </w:r>
      <w:r w:rsidR="00E80F3F" w:rsidRPr="000322E4">
        <w:rPr>
          <w:b/>
          <w:bCs/>
          <w:color w:val="000000" w:themeColor="text1"/>
          <w:szCs w:val="24"/>
          <w:lang w:eastAsia="ru-RU"/>
        </w:rPr>
        <w:instrText>4</w:instrText>
      </w:r>
      <w:r w:rsidR="00E80F3F" w:rsidRPr="000322E4">
        <w:rPr>
          <w:b/>
          <w:bCs/>
          <w:color w:val="000000" w:themeColor="text1"/>
          <w:szCs w:val="24"/>
          <w:lang w:val="en-US" w:eastAsia="ru-RU"/>
        </w:rPr>
        <w:instrText>df</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mendeley</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formattedCitation</w:instrText>
      </w:r>
      <w:r w:rsidR="00E80F3F" w:rsidRPr="000322E4">
        <w:rPr>
          <w:b/>
          <w:bCs/>
          <w:color w:val="000000" w:themeColor="text1"/>
          <w:szCs w:val="24"/>
          <w:lang w:eastAsia="ru-RU"/>
        </w:rPr>
        <w:instrText>":"[2,11,17,29]","</w:instrText>
      </w:r>
      <w:r w:rsidR="00E80F3F" w:rsidRPr="000322E4">
        <w:rPr>
          <w:b/>
          <w:bCs/>
          <w:color w:val="000000" w:themeColor="text1"/>
          <w:szCs w:val="24"/>
          <w:lang w:val="en-US" w:eastAsia="ru-RU"/>
        </w:rPr>
        <w:instrText>plainTextFormattedCitation</w:instrText>
      </w:r>
      <w:r w:rsidR="00E80F3F" w:rsidRPr="000322E4">
        <w:rPr>
          <w:b/>
          <w:bCs/>
          <w:color w:val="000000" w:themeColor="text1"/>
          <w:szCs w:val="24"/>
          <w:lang w:eastAsia="ru-RU"/>
        </w:rPr>
        <w:instrText>":"[2,11,17,29]","</w:instrText>
      </w:r>
      <w:r w:rsidR="00E80F3F" w:rsidRPr="000322E4">
        <w:rPr>
          <w:b/>
          <w:bCs/>
          <w:color w:val="000000" w:themeColor="text1"/>
          <w:szCs w:val="24"/>
          <w:lang w:val="en-US" w:eastAsia="ru-RU"/>
        </w:rPr>
        <w:instrText>previouslyFormattedCitation</w:instrText>
      </w:r>
      <w:r w:rsidR="00E80F3F" w:rsidRPr="000322E4">
        <w:rPr>
          <w:b/>
          <w:bCs/>
          <w:color w:val="000000" w:themeColor="text1"/>
          <w:szCs w:val="24"/>
          <w:lang w:eastAsia="ru-RU"/>
        </w:rPr>
        <w:instrText>":"[2,11,17,29]"},"</w:instrText>
      </w:r>
      <w:r w:rsidR="00E80F3F" w:rsidRPr="000322E4">
        <w:rPr>
          <w:b/>
          <w:bCs/>
          <w:color w:val="000000" w:themeColor="text1"/>
          <w:szCs w:val="24"/>
          <w:lang w:val="en-US" w:eastAsia="ru-RU"/>
        </w:rPr>
        <w:instrText>properties</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noteIndex</w:instrText>
      </w:r>
      <w:r w:rsidR="00E80F3F" w:rsidRPr="000322E4">
        <w:rPr>
          <w:b/>
          <w:bCs/>
          <w:color w:val="000000" w:themeColor="text1"/>
          <w:szCs w:val="24"/>
          <w:lang w:eastAsia="ru-RU"/>
        </w:rPr>
        <w:instrText>":0},"</w:instrText>
      </w:r>
      <w:r w:rsidR="00E80F3F" w:rsidRPr="000322E4">
        <w:rPr>
          <w:b/>
          <w:bCs/>
          <w:color w:val="000000" w:themeColor="text1"/>
          <w:szCs w:val="24"/>
          <w:lang w:val="en-US" w:eastAsia="ru-RU"/>
        </w:rPr>
        <w:instrText>schema</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https</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github</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com</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citation</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style</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language</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schema</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raw</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master</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csl</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citation</w:instrText>
      </w:r>
      <w:r w:rsidR="00E80F3F" w:rsidRPr="000322E4">
        <w:rPr>
          <w:b/>
          <w:bCs/>
          <w:color w:val="000000" w:themeColor="text1"/>
          <w:szCs w:val="24"/>
          <w:lang w:eastAsia="ru-RU"/>
        </w:rPr>
        <w:instrText>.</w:instrText>
      </w:r>
      <w:r w:rsidR="00E80F3F" w:rsidRPr="000322E4">
        <w:rPr>
          <w:b/>
          <w:bCs/>
          <w:color w:val="000000" w:themeColor="text1"/>
          <w:szCs w:val="24"/>
          <w:lang w:val="en-US" w:eastAsia="ru-RU"/>
        </w:rPr>
        <w:instrText>json</w:instrText>
      </w:r>
      <w:r w:rsidR="00E80F3F" w:rsidRPr="000322E4">
        <w:rPr>
          <w:b/>
          <w:bCs/>
          <w:color w:val="000000" w:themeColor="text1"/>
          <w:szCs w:val="24"/>
          <w:lang w:eastAsia="ru-RU"/>
        </w:rPr>
        <w:instrText>"}</w:instrText>
      </w:r>
      <w:r w:rsidRPr="000322E4">
        <w:rPr>
          <w:b/>
          <w:bCs/>
          <w:color w:val="000000" w:themeColor="text1"/>
          <w:szCs w:val="24"/>
          <w:lang w:eastAsia="ru-RU"/>
        </w:rPr>
        <w:fldChar w:fldCharType="separate"/>
      </w:r>
      <w:r w:rsidR="000D5584" w:rsidRPr="000322E4">
        <w:rPr>
          <w:bCs/>
          <w:noProof/>
          <w:color w:val="000000" w:themeColor="text1"/>
          <w:szCs w:val="24"/>
          <w:lang w:eastAsia="ru-RU"/>
        </w:rPr>
        <w:t>[2,11,17,29]</w:t>
      </w:r>
      <w:r w:rsidRPr="000322E4">
        <w:rPr>
          <w:b/>
          <w:bCs/>
          <w:color w:val="000000" w:themeColor="text1"/>
          <w:szCs w:val="24"/>
          <w:lang w:eastAsia="ru-RU"/>
        </w:rPr>
        <w:fldChar w:fldCharType="end"/>
      </w:r>
      <w:r w:rsidRPr="000322E4">
        <w:rPr>
          <w:b/>
          <w:bCs/>
          <w:color w:val="000000" w:themeColor="text1"/>
          <w:szCs w:val="24"/>
          <w:lang w:eastAsia="ru-RU"/>
        </w:rPr>
        <w:t>:</w:t>
      </w:r>
      <w:r w:rsidRPr="000322E4">
        <w:rPr>
          <w:color w:val="000000" w:themeColor="text1"/>
          <w:szCs w:val="24"/>
          <w:lang w:eastAsia="ru-RU"/>
        </w:rPr>
        <w:t xml:space="preserve"> </w:t>
      </w:r>
    </w:p>
    <w:p w14:paraId="3238CA75" w14:textId="77777777" w:rsidR="00622670" w:rsidRPr="000322E4" w:rsidRDefault="003670CE" w:rsidP="00CA442F">
      <w:pPr>
        <w:numPr>
          <w:ilvl w:val="1"/>
          <w:numId w:val="8"/>
        </w:numPr>
        <w:rPr>
          <w:color w:val="000000" w:themeColor="text1"/>
        </w:rPr>
      </w:pPr>
      <w:r w:rsidRPr="000322E4">
        <w:t xml:space="preserve">выполнение </w:t>
      </w:r>
      <w:r w:rsidR="00E0494A" w:rsidRPr="000322E4">
        <w:t xml:space="preserve">спинномозговой </w:t>
      </w:r>
      <w:r w:rsidR="00622670" w:rsidRPr="000322E4">
        <w:t>пункции</w:t>
      </w:r>
      <w:r w:rsidR="00796731" w:rsidRPr="000322E4">
        <w:t>;</w:t>
      </w:r>
    </w:p>
    <w:p w14:paraId="47BBBAC1" w14:textId="77777777" w:rsidR="00622670" w:rsidRPr="000322E4" w:rsidRDefault="003670CE" w:rsidP="00CA442F">
      <w:pPr>
        <w:numPr>
          <w:ilvl w:val="1"/>
          <w:numId w:val="8"/>
        </w:numPr>
        <w:rPr>
          <w:color w:val="000000" w:themeColor="text1"/>
        </w:rPr>
      </w:pPr>
      <w:r w:rsidRPr="000322E4">
        <w:rPr>
          <w:color w:val="000000" w:themeColor="text1"/>
        </w:rPr>
        <w:t xml:space="preserve">исследование </w:t>
      </w:r>
      <w:r w:rsidR="00E0494A" w:rsidRPr="000322E4">
        <w:t>спинномозговой жидкости</w:t>
      </w:r>
      <w:r w:rsidR="00622670" w:rsidRPr="000322E4">
        <w:rPr>
          <w:color w:val="000000" w:themeColor="text1"/>
        </w:rPr>
        <w:t xml:space="preserve">, включающее </w:t>
      </w:r>
      <w:r w:rsidR="00622670" w:rsidRPr="000322E4">
        <w:t xml:space="preserve">визуальную оценку, определение концентрации белка и глюкозы, </w:t>
      </w:r>
      <w:r w:rsidR="00E0494A" w:rsidRPr="000322E4">
        <w:t xml:space="preserve">микроскопическое исследование спинномозговой жидкости, подсчет клеток в счетной камере (определение цитоза), </w:t>
      </w:r>
      <w:r w:rsidR="00622670" w:rsidRPr="000322E4">
        <w:t>с оценкой морфологии лейкоцитов в мазке, а также, при обнаружении повышенного количества лимфоидных элементов, выполнение ИФТ ликвора</w:t>
      </w:r>
      <w:r w:rsidR="00622670" w:rsidRPr="000322E4">
        <w:rPr>
          <w:color w:val="000000" w:themeColor="text1"/>
        </w:rPr>
        <w:t>.</w:t>
      </w:r>
    </w:p>
    <w:p w14:paraId="07F84633" w14:textId="77777777" w:rsidR="00622670" w:rsidRPr="000322E4" w:rsidRDefault="00622670" w:rsidP="00CA442F">
      <w:pPr>
        <w:ind w:left="720"/>
        <w:rPr>
          <w:b/>
          <w:color w:val="000000" w:themeColor="text1"/>
        </w:rPr>
      </w:pPr>
      <w:r w:rsidRPr="000322E4">
        <w:rPr>
          <w:b/>
          <w:color w:val="000000" w:themeColor="text1"/>
        </w:rPr>
        <w:t>Уровень убедительности рекомендаций С (уровень достоверности доказательств 5)</w:t>
      </w:r>
    </w:p>
    <w:p w14:paraId="5AA9BBF6" w14:textId="77777777" w:rsidR="00D60231" w:rsidRPr="000322E4" w:rsidRDefault="00D60231" w:rsidP="00CA442F">
      <w:pPr>
        <w:pStyle w:val="afff8"/>
        <w:spacing w:before="0"/>
      </w:pPr>
      <w:r w:rsidRPr="000322E4">
        <w:lastRenderedPageBreak/>
        <w:t xml:space="preserve">Всем пациентам с подозрением на ЛБ или с верифицированной ЛБ с асцитом </w:t>
      </w:r>
      <w:r w:rsidRPr="000322E4">
        <w:rPr>
          <w:b/>
        </w:rPr>
        <w:t>рекомендуется</w:t>
      </w:r>
      <w:r w:rsidRPr="000322E4">
        <w:t xml:space="preserve"> выполнить</w:t>
      </w:r>
      <w:r w:rsidR="00072ECA" w:rsidRPr="000322E4">
        <w:t xml:space="preserve"> парацентез с регулируемым удалением перитонеального транссудата</w:t>
      </w:r>
      <w:r w:rsidRPr="000322E4">
        <w:t xml:space="preserve">, </w:t>
      </w:r>
      <w:r w:rsidR="00072ECA" w:rsidRPr="000322E4">
        <w:t xml:space="preserve">цитологическое исследование перитонеальной жидкости и исследование биологического материала (перитонеальной жидкости) методом проточной цитофлуориметрии </w:t>
      </w:r>
      <w:r w:rsidRPr="000322E4">
        <w:t>для</w:t>
      </w:r>
      <w:r w:rsidR="00072ECA" w:rsidRPr="000322E4">
        <w:t xml:space="preserve"> уточнения распространенности опухолевого процесса</w:t>
      </w:r>
      <w:r w:rsidRPr="000322E4">
        <w:t xml:space="preserve"> верификации диагноза </w:t>
      </w:r>
      <w:r w:rsidRPr="000322E4">
        <w:fldChar w:fldCharType="begin" w:fldLock="1"/>
      </w:r>
      <w:r w:rsidR="007A7BCA" w:rsidRPr="000322E4">
        <w:rPr>
          <w:lang w:val="en-US"/>
        </w:rPr>
        <w:instrText>ADDIN</w:instrText>
      </w:r>
      <w:r w:rsidR="007A7BCA" w:rsidRPr="000322E4">
        <w:instrText xml:space="preserve"> </w:instrText>
      </w:r>
      <w:r w:rsidR="007A7BCA" w:rsidRPr="000322E4">
        <w:rPr>
          <w:lang w:val="en-US"/>
        </w:rPr>
        <w:instrText>CSL</w:instrText>
      </w:r>
      <w:r w:rsidR="007A7BCA" w:rsidRPr="000322E4">
        <w:instrText>_</w:instrText>
      </w:r>
      <w:r w:rsidR="007A7BCA" w:rsidRPr="000322E4">
        <w:rPr>
          <w:lang w:val="en-US"/>
        </w:rPr>
        <w:instrText>CITATION</w:instrText>
      </w:r>
      <w:r w:rsidR="007A7BCA" w:rsidRPr="000322E4">
        <w:instrText xml:space="preserve"> {"</w:instrText>
      </w:r>
      <w:r w:rsidR="007A7BCA" w:rsidRPr="000322E4">
        <w:rPr>
          <w:lang w:val="en-US"/>
        </w:rPr>
        <w:instrText>citationItems</w:instrText>
      </w:r>
      <w:r w:rsidR="007A7BCA" w:rsidRPr="000322E4">
        <w:instrText>":[{"</w:instrText>
      </w:r>
      <w:r w:rsidR="007A7BCA" w:rsidRPr="000322E4">
        <w:rPr>
          <w:lang w:val="en-US"/>
        </w:rPr>
        <w:instrText>id</w:instrText>
      </w:r>
      <w:r w:rsidR="007A7BCA" w:rsidRPr="000322E4">
        <w:instrText>":"</w:instrText>
      </w:r>
      <w:r w:rsidR="007A7BCA" w:rsidRPr="000322E4">
        <w:rPr>
          <w:lang w:val="en-US"/>
        </w:rPr>
        <w:instrText>ITEM</w:instrText>
      </w:r>
      <w:r w:rsidR="007A7BCA" w:rsidRPr="000322E4">
        <w:instrText>-1","</w:instrText>
      </w:r>
      <w:r w:rsidR="007A7BCA" w:rsidRPr="000322E4">
        <w:rPr>
          <w:lang w:val="en-US"/>
        </w:rPr>
        <w:instrText>itemData</w:instrText>
      </w:r>
      <w:r w:rsidR="007A7BCA" w:rsidRPr="000322E4">
        <w:instrText>":{"</w:instrText>
      </w:r>
      <w:r w:rsidR="007A7BCA" w:rsidRPr="000322E4">
        <w:rPr>
          <w:lang w:val="en-US"/>
        </w:rPr>
        <w:instrText>author</w:instrText>
      </w:r>
      <w:r w:rsidR="007A7BCA" w:rsidRPr="000322E4">
        <w:instrText>":[{"</w:instrText>
      </w:r>
      <w:r w:rsidR="007A7BCA" w:rsidRPr="000322E4">
        <w:rPr>
          <w:lang w:val="en-US"/>
        </w:rPr>
        <w:instrText>dropping</w:instrText>
      </w:r>
      <w:r w:rsidR="007A7BCA" w:rsidRPr="000322E4">
        <w:instrText>-</w:instrText>
      </w:r>
      <w:r w:rsidR="007A7BCA" w:rsidRPr="000322E4">
        <w:rPr>
          <w:lang w:val="en-US"/>
        </w:rPr>
        <w:instrText>particle</w:instrText>
      </w:r>
      <w:r w:rsidR="007A7BCA" w:rsidRPr="000322E4">
        <w:instrText>":"","</w:instrText>
      </w:r>
      <w:r w:rsidR="007A7BCA" w:rsidRPr="000322E4">
        <w:rPr>
          <w:lang w:val="en-US"/>
        </w:rPr>
        <w:instrText>family</w:instrText>
      </w:r>
      <w:r w:rsidR="007A7BCA" w:rsidRPr="000322E4">
        <w:instrText>":"Барях","</w:instrText>
      </w:r>
      <w:r w:rsidR="007A7BCA" w:rsidRPr="000322E4">
        <w:rPr>
          <w:lang w:val="en-US"/>
        </w:rPr>
        <w:instrText>given</w:instrText>
      </w:r>
      <w:r w:rsidR="007A7BCA" w:rsidRPr="000322E4">
        <w:instrText>":"Е.А.","</w:instrText>
      </w:r>
      <w:r w:rsidR="007A7BCA" w:rsidRPr="000322E4">
        <w:rPr>
          <w:lang w:val="en-US"/>
        </w:rPr>
        <w:instrText>non</w:instrText>
      </w:r>
      <w:r w:rsidR="007A7BCA" w:rsidRPr="000322E4">
        <w:instrText>-</w:instrText>
      </w:r>
      <w:r w:rsidR="007A7BCA" w:rsidRPr="000322E4">
        <w:rPr>
          <w:lang w:val="en-US"/>
        </w:rPr>
        <w:instrText>dropping</w:instrText>
      </w:r>
      <w:r w:rsidR="007A7BCA" w:rsidRPr="000322E4">
        <w:instrText>-</w:instrText>
      </w:r>
      <w:r w:rsidR="007A7BCA" w:rsidRPr="000322E4">
        <w:rPr>
          <w:lang w:val="en-US"/>
        </w:rPr>
        <w:instrText>particle</w:instrText>
      </w:r>
      <w:r w:rsidR="007A7BCA" w:rsidRPr="000322E4">
        <w:instrText>":"","</w:instrText>
      </w:r>
      <w:r w:rsidR="007A7BCA" w:rsidRPr="000322E4">
        <w:rPr>
          <w:lang w:val="en-US"/>
        </w:rPr>
        <w:instrText>parse</w:instrText>
      </w:r>
      <w:r w:rsidR="007A7BCA" w:rsidRPr="000322E4">
        <w:instrText>-</w:instrText>
      </w:r>
      <w:r w:rsidR="007A7BCA" w:rsidRPr="000322E4">
        <w:rPr>
          <w:lang w:val="en-US"/>
        </w:rPr>
        <w:instrText>names</w:instrText>
      </w:r>
      <w:r w:rsidR="007A7BCA" w:rsidRPr="000322E4">
        <w:instrText>":</w:instrText>
      </w:r>
      <w:r w:rsidR="007A7BCA" w:rsidRPr="000322E4">
        <w:rPr>
          <w:lang w:val="en-US"/>
        </w:rPr>
        <w:instrText>false</w:instrText>
      </w:r>
      <w:r w:rsidR="007A7BCA" w:rsidRPr="000322E4">
        <w:instrText>,"</w:instrText>
      </w:r>
      <w:r w:rsidR="007A7BCA" w:rsidRPr="000322E4">
        <w:rPr>
          <w:lang w:val="en-US"/>
        </w:rPr>
        <w:instrText>suffix</w:instrText>
      </w:r>
      <w:r w:rsidR="007A7BCA" w:rsidRPr="000322E4">
        <w:instrText>":""}],"</w:instrText>
      </w:r>
      <w:r w:rsidR="007A7BCA" w:rsidRPr="000322E4">
        <w:rPr>
          <w:lang w:val="en-US"/>
        </w:rPr>
        <w:instrText>container</w:instrText>
      </w:r>
      <w:r w:rsidR="007A7BCA" w:rsidRPr="000322E4">
        <w:instrText>-</w:instrText>
      </w:r>
      <w:r w:rsidR="007A7BCA" w:rsidRPr="000322E4">
        <w:rPr>
          <w:lang w:val="en-US"/>
        </w:rPr>
        <w:instrText>title</w:instrText>
      </w:r>
      <w:r w:rsidR="007A7BCA" w:rsidRPr="000322E4">
        <w:instrText>":"Российские клинические рекомендации по диагностике и лечению злокачественных лимфопролиферативных заболеваний; под ред. И.В. Поддубной, В.Г. Савченко.","</w:instrText>
      </w:r>
      <w:r w:rsidR="007A7BCA" w:rsidRPr="000322E4">
        <w:rPr>
          <w:lang w:val="en-US"/>
        </w:rPr>
        <w:instrText>id</w:instrText>
      </w:r>
      <w:r w:rsidR="007A7BCA" w:rsidRPr="000322E4">
        <w:instrText>":"</w:instrText>
      </w:r>
      <w:r w:rsidR="007A7BCA" w:rsidRPr="000322E4">
        <w:rPr>
          <w:lang w:val="en-US"/>
        </w:rPr>
        <w:instrText>ITEM</w:instrText>
      </w:r>
      <w:r w:rsidR="007A7BCA" w:rsidRPr="000322E4">
        <w:instrText>-1","</w:instrText>
      </w:r>
      <w:r w:rsidR="007A7BCA" w:rsidRPr="000322E4">
        <w:rPr>
          <w:lang w:val="en-US"/>
        </w:rPr>
        <w:instrText>issued</w:instrText>
      </w:r>
      <w:r w:rsidR="007A7BCA" w:rsidRPr="000322E4">
        <w:instrText>":{"</w:instrText>
      </w:r>
      <w:r w:rsidR="007A7BCA" w:rsidRPr="000322E4">
        <w:rPr>
          <w:lang w:val="en-US"/>
        </w:rPr>
        <w:instrText>date</w:instrText>
      </w:r>
      <w:r w:rsidR="007A7BCA" w:rsidRPr="000322E4">
        <w:instrText>-</w:instrText>
      </w:r>
      <w:r w:rsidR="007A7BCA" w:rsidRPr="000322E4">
        <w:rPr>
          <w:lang w:val="en-US"/>
        </w:rPr>
        <w:instrText>parts</w:instrText>
      </w:r>
      <w:r w:rsidR="007A7BCA" w:rsidRPr="000322E4">
        <w:instrText>":[["2018"]]},"page":"80-87","title":"Лимфома Беркитта","type":"chapter"},"uris":["http://www.mendeley.com/documents/?uuid=6c46cd48-7af0-4ac2-8eb1-93f86718c4df"]}],"mendeley":{"formattedCitation":"[2]","plainTextFormattedCitation":"[2]","previouslyFormattedCitation":"[2]"},"properties":{"noteIndex":0},"schema":"https://github.com/citation-style-language/schema/raw/master/csl-citation.json"}</w:instrText>
      </w:r>
      <w:r w:rsidRPr="000322E4">
        <w:fldChar w:fldCharType="separate"/>
      </w:r>
      <w:r w:rsidR="00072ECA" w:rsidRPr="000322E4">
        <w:rPr>
          <w:noProof/>
        </w:rPr>
        <w:t>[2]</w:t>
      </w:r>
      <w:r w:rsidRPr="000322E4">
        <w:fldChar w:fldCharType="end"/>
      </w:r>
      <w:r w:rsidRPr="000322E4">
        <w:t>.</w:t>
      </w:r>
    </w:p>
    <w:p w14:paraId="3C9CB75E" w14:textId="77777777" w:rsidR="00D60231" w:rsidRPr="000322E4" w:rsidRDefault="00D60231" w:rsidP="00CA442F">
      <w:pPr>
        <w:ind w:left="709"/>
        <w:contextualSpacing/>
        <w:rPr>
          <w:b/>
        </w:rPr>
      </w:pPr>
      <w:r w:rsidRPr="000322E4">
        <w:rPr>
          <w:b/>
        </w:rPr>
        <w:t>Уровень убедительности рекомендаций С (уровень достоверности доказательств 5).</w:t>
      </w:r>
    </w:p>
    <w:p w14:paraId="6333534F" w14:textId="77777777" w:rsidR="00072ECA" w:rsidRPr="000322E4" w:rsidRDefault="00072ECA" w:rsidP="00CA442F">
      <w:pPr>
        <w:pStyle w:val="afff8"/>
        <w:spacing w:before="0"/>
      </w:pPr>
      <w:r w:rsidRPr="000322E4">
        <w:t xml:space="preserve">Всем пациентам с подозрением на ЛБ или с верифицированной ЛБ с плевритом </w:t>
      </w:r>
      <w:r w:rsidRPr="000322E4">
        <w:rPr>
          <w:b/>
        </w:rPr>
        <w:t>рекомендуется</w:t>
      </w:r>
      <w:r w:rsidRPr="000322E4">
        <w:t xml:space="preserve"> выполнить дренирование плевральной полости, цитологическое исследование плевральной жидкости и исследование биологического материала (плевральной жидкости) методом проточной цитофлуориметрии для уточнения распространенности опухолевого процесса верификации диагноза </w:t>
      </w:r>
      <w:r w:rsidRPr="000322E4">
        <w:fldChar w:fldCharType="begin" w:fldLock="1"/>
      </w:r>
      <w:r w:rsidR="007A7BCA" w:rsidRPr="000322E4">
        <w:instrText>ADDIN CSL_CITATION {"citationItems":[{"id":"ITEM-1","itemData":{"author":[{"dropping-particle":"","family":"Барях","given":"Е.А.","non-dropping-particle":"","parse-names":false,"suffix":""}],"container-title":"Российские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Савченко.","id":"ITEM-1","issued":{"date-parts":[["2018"]]},"page":"80-87","title":"Лимфома Беркитта","type":"chapter"},"uris":["http://www.mendeley.com/documents/?uuid=6c46cd48-7af0-4ac2-8eb1-93f86718c4df"]}],"mendeley":{"formattedCitation":"[2]","plainTextFormattedCitation":"[2]","previouslyFormattedCitation":"[2]"},"properties":{"noteIndex":0},"schema":"https://github.com/citation-style-language/schema/raw/master/csl-citation.json"}</w:instrText>
      </w:r>
      <w:r w:rsidRPr="000322E4">
        <w:fldChar w:fldCharType="separate"/>
      </w:r>
      <w:r w:rsidRPr="000322E4">
        <w:rPr>
          <w:noProof/>
        </w:rPr>
        <w:t>[2]</w:t>
      </w:r>
      <w:r w:rsidRPr="000322E4">
        <w:fldChar w:fldCharType="end"/>
      </w:r>
      <w:r w:rsidRPr="000322E4">
        <w:t>.</w:t>
      </w:r>
    </w:p>
    <w:p w14:paraId="430FE673" w14:textId="77777777" w:rsidR="00072ECA" w:rsidRPr="000322E4" w:rsidRDefault="00072ECA" w:rsidP="00CA442F">
      <w:pPr>
        <w:ind w:left="709"/>
        <w:contextualSpacing/>
        <w:rPr>
          <w:b/>
        </w:rPr>
      </w:pPr>
      <w:r w:rsidRPr="000322E4">
        <w:rPr>
          <w:b/>
        </w:rPr>
        <w:t>Уровень убедительности рекомендаций С (уровень достоверности доказательств 5).</w:t>
      </w:r>
    </w:p>
    <w:p w14:paraId="5408A111" w14:textId="77777777" w:rsidR="007A7BCA" w:rsidRPr="000322E4" w:rsidRDefault="007A7BCA" w:rsidP="00CA442F">
      <w:pPr>
        <w:pStyle w:val="afff8"/>
        <w:spacing w:before="0"/>
      </w:pPr>
      <w:r w:rsidRPr="000322E4">
        <w:t xml:space="preserve">Всем пациентам младше 18 лет с верифицированной ЛБ, особенно если опухоль обнаружена в младшем возрасте или если есть признаки врожденного иммунодефицита или синдрома нестабильности хромосом, </w:t>
      </w:r>
      <w:r w:rsidRPr="000322E4">
        <w:rPr>
          <w:b/>
        </w:rPr>
        <w:t>рекомендуется</w:t>
      </w:r>
      <w:r w:rsidRPr="000322E4">
        <w:t xml:space="preserve"> выполнить молекулярно-биологическое исследование крови на вирус Эпштейна-Барра (Epstein - Barr virus) для уточнения этиологии и патогенеза заболевания </w:t>
      </w:r>
      <w:r w:rsidRPr="000322E4">
        <w:fldChar w:fldCharType="begin" w:fldLock="1"/>
      </w:r>
      <w:r w:rsidRPr="000322E4">
        <w:instrText>ADDIN CSL_CITATION {"citationItems":[{"id":"ITEM-1","itemData":{"author":[{"dropping-particle":"","family":"Барях","given":"Е.А.","non-dropping-particle":"","parse-names":false,"suffix":""}],"container-title":"Российские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Савченко.","id":"ITEM-1","issued":{"date-parts":[["2018"]]},"page":"80-87","title":"Лимфома Беркитта","type":"chapter"},"uris":["http://www.mendeley.com/documents/?uuid=6c46cd48-7af0-4ac2-8eb1-93f86718c4df"]}],"mendeley":{"formattedCitation":"[2]","plainTextFormattedCitation":"[2]","previouslyFormattedCitation":"[2]"},"properties":{"noteIndex":0},"schema":"https://github.com/citation-style-language/schema/raw/master/csl-citation.json"}</w:instrText>
      </w:r>
      <w:r w:rsidRPr="000322E4">
        <w:fldChar w:fldCharType="separate"/>
      </w:r>
      <w:r w:rsidRPr="000322E4">
        <w:rPr>
          <w:noProof/>
        </w:rPr>
        <w:t>[2]</w:t>
      </w:r>
      <w:r w:rsidRPr="000322E4">
        <w:fldChar w:fldCharType="end"/>
      </w:r>
      <w:r w:rsidRPr="000322E4">
        <w:t>.</w:t>
      </w:r>
    </w:p>
    <w:p w14:paraId="6A17FA77" w14:textId="77777777" w:rsidR="007A7BCA" w:rsidRPr="000322E4" w:rsidRDefault="007A7BCA" w:rsidP="00CA442F">
      <w:pPr>
        <w:ind w:left="709"/>
        <w:contextualSpacing/>
        <w:rPr>
          <w:b/>
        </w:rPr>
      </w:pPr>
      <w:r w:rsidRPr="000322E4">
        <w:rPr>
          <w:b/>
        </w:rPr>
        <w:t>Уровень убедительности рекомендаций С (уровень достоверности доказательств 5).</w:t>
      </w:r>
    </w:p>
    <w:p w14:paraId="34F099A6" w14:textId="77777777" w:rsidR="000578EF" w:rsidRPr="000322E4" w:rsidRDefault="000578EF" w:rsidP="00CA442F">
      <w:pPr>
        <w:pStyle w:val="afff8"/>
        <w:spacing w:before="0"/>
        <w:rPr>
          <w:lang w:eastAsia="ru-RU"/>
        </w:rPr>
      </w:pPr>
      <w:r w:rsidRPr="000322E4">
        <w:t xml:space="preserve">Пациентам с </w:t>
      </w:r>
      <w:r w:rsidR="00BD2E10" w:rsidRPr="000322E4">
        <w:t xml:space="preserve">верифицированной </w:t>
      </w:r>
      <w:r w:rsidR="00622670" w:rsidRPr="000322E4">
        <w:t>ДВКЛ</w:t>
      </w:r>
      <w:r w:rsidR="009B70C4" w:rsidRPr="000322E4">
        <w:t>, ПМВКЛ или ЛБ</w:t>
      </w:r>
      <w:r w:rsidR="00BD2E10" w:rsidRPr="000322E4">
        <w:t xml:space="preserve"> при первичном обследовании и планировании терапии </w:t>
      </w:r>
      <w:r w:rsidRPr="000322E4">
        <w:rPr>
          <w:b/>
          <w:lang w:eastAsia="ru-RU"/>
        </w:rPr>
        <w:t>рекомендуется</w:t>
      </w:r>
      <w:r w:rsidRPr="000322E4">
        <w:rPr>
          <w:lang w:eastAsia="ru-RU"/>
        </w:rPr>
        <w:t xml:space="preserve"> в зависимости от сопутствующей патологии о</w:t>
      </w:r>
      <w:r w:rsidRPr="000322E4">
        <w:t>смотр (консультация)</w:t>
      </w:r>
      <w:r w:rsidRPr="000322E4">
        <w:rPr>
          <w:lang w:eastAsia="ru-RU"/>
        </w:rPr>
        <w:t xml:space="preserve"> врача-кардиолога, врача-эндокринолога, врача-невролога, врача-инфекциониста</w:t>
      </w:r>
      <w:r w:rsidR="007A7BCA" w:rsidRPr="000322E4">
        <w:rPr>
          <w:lang w:eastAsia="ru-RU"/>
        </w:rPr>
        <w:t>, для детей раннего возраста с ЛБ – врача-генетика и врача-иммунолога,</w:t>
      </w:r>
      <w:r w:rsidRPr="000322E4">
        <w:rPr>
          <w:lang w:eastAsia="ru-RU"/>
        </w:rPr>
        <w:t xml:space="preserve"> </w:t>
      </w:r>
      <w:r w:rsidR="007A7BCA" w:rsidRPr="000322E4">
        <w:rPr>
          <w:lang w:eastAsia="ru-RU"/>
        </w:rPr>
        <w:t xml:space="preserve">а также </w:t>
      </w:r>
      <w:r w:rsidRPr="000322E4">
        <w:rPr>
          <w:lang w:eastAsia="ru-RU"/>
        </w:rPr>
        <w:t xml:space="preserve">других врачей-специалистов для определения необходимости терапии сопутствующих заболеваний </w:t>
      </w:r>
      <w:r w:rsidRPr="000322E4">
        <w:fldChar w:fldCharType="begin" w:fldLock="1"/>
      </w:r>
      <w:r w:rsidR="00FF47BC" w:rsidRPr="000322E4">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Савченко.","id":"ITEM-2","issued":{"date-parts":[["2018"]]},"page":"80-87","title":"Лимфома Беркитта","type":"chapter"},"uris":["http://www.mendeley.com/documents/?uuid=6c46cd48-7af0-4ac2-8eb1-93f86718c4df"]}],"mendeley":{"formattedCitation":"[2,17]","plainTextFormattedCitation":"[2,17]","previouslyFormattedCitation":"[2,17]"},"properties":{"noteIndex":0},"schema":"https://github.com/citation-style-language/schema/raw/master/csl-citation.json"}</w:instrText>
      </w:r>
      <w:r w:rsidRPr="000322E4">
        <w:fldChar w:fldCharType="separate"/>
      </w:r>
      <w:r w:rsidR="007A7BCA" w:rsidRPr="000322E4">
        <w:rPr>
          <w:noProof/>
        </w:rPr>
        <w:t>[2,17]</w:t>
      </w:r>
      <w:r w:rsidRPr="000322E4">
        <w:fldChar w:fldCharType="end"/>
      </w:r>
      <w:r w:rsidRPr="000322E4">
        <w:rPr>
          <w:lang w:eastAsia="ru-RU"/>
        </w:rPr>
        <w:t>.</w:t>
      </w:r>
    </w:p>
    <w:p w14:paraId="0D4336CC" w14:textId="77777777" w:rsidR="000578EF" w:rsidRPr="000322E4" w:rsidRDefault="000578EF" w:rsidP="00CA442F">
      <w:pPr>
        <w:pStyle w:val="affff0"/>
        <w:ind w:left="709" w:firstLine="0"/>
        <w:rPr>
          <w:b/>
        </w:rPr>
      </w:pPr>
      <w:r w:rsidRPr="000322E4">
        <w:rPr>
          <w:b/>
        </w:rPr>
        <w:t>Уровень убедительности рекомендаций С (уровень достоверности доказательств 5).</w:t>
      </w:r>
    </w:p>
    <w:p w14:paraId="6699DA24" w14:textId="77777777" w:rsidR="00F82D52" w:rsidRPr="000322E4" w:rsidRDefault="00F82D52" w:rsidP="00CA442F">
      <w:pPr>
        <w:pStyle w:val="a"/>
        <w:spacing w:before="0"/>
        <w:rPr>
          <w:rFonts w:eastAsia="Times New Roman"/>
          <w:lang w:eastAsia="ru-RU"/>
        </w:rPr>
      </w:pPr>
      <w:r w:rsidRPr="000322E4">
        <w:t xml:space="preserve">Пациентам с верифицированной </w:t>
      </w:r>
      <w:r w:rsidR="00622670" w:rsidRPr="000322E4">
        <w:t>ДВКЛ</w:t>
      </w:r>
      <w:r w:rsidR="009B70C4" w:rsidRPr="000322E4">
        <w:t>, ПМВКЛ или ЛБ</w:t>
      </w:r>
      <w:r w:rsidRPr="000322E4">
        <w:t xml:space="preserve"> при первичном обследовании и планировании терапии </w:t>
      </w:r>
      <w:r w:rsidRPr="000322E4">
        <w:rPr>
          <w:rFonts w:eastAsia="Times New Roman"/>
          <w:b/>
          <w:lang w:eastAsia="ru-RU"/>
        </w:rPr>
        <w:t>рекомендуется</w:t>
      </w:r>
      <w:r w:rsidRPr="000322E4">
        <w:rPr>
          <w:rFonts w:eastAsia="Times New Roman"/>
          <w:lang w:eastAsia="ru-RU"/>
        </w:rPr>
        <w:t xml:space="preserve"> оценить </w:t>
      </w:r>
      <w:r w:rsidRPr="000322E4">
        <w:t xml:space="preserve">риск развития венозных тромбоэмболических осложнений (шкала оценки риска ВТЭО по Khorana – см. приложение Г3 данных рекомендаций) для выявления пациентов, требующих </w:t>
      </w:r>
      <w:r w:rsidRPr="000322E4">
        <w:lastRenderedPageBreak/>
        <w:t>назначения и определения способов  профилактики тромботических  осложнений при проведении цитостатической терапии</w:t>
      </w:r>
      <w:r w:rsidRPr="000322E4">
        <w:rPr>
          <w:rFonts w:eastAsia="Times New Roman"/>
          <w:lang w:eastAsia="ru-RU"/>
        </w:rPr>
        <w:t xml:space="preserve"> </w:t>
      </w:r>
      <w:r w:rsidRPr="000322E4">
        <w:rPr>
          <w:rFonts w:eastAsia="Times New Roman"/>
        </w:rPr>
        <w:fldChar w:fldCharType="begin" w:fldLock="1"/>
      </w:r>
      <w:r w:rsidR="00072ECA" w:rsidRPr="000322E4">
        <w:rPr>
          <w:rFonts w:eastAsia="Times New Roman"/>
        </w:rPr>
        <w:instrText>ADDIN CSL_CITATION {"citationItems":[{"id":"ITEM-1","itemData":{"author":[{"dropping-particle":"","family":"Бокерия","given":"Л.А.","non-dropping-particle":"","parse-names":false,"suffix":""},{"dropping-particle":"","family":"Затевахин","given":"И.И.","non-dropping-particle":"","parse-names":false,"suffix":""},{"dropping-particle":"","family":"Кириенко","given":"А.И.","non-dropping-particle":"","parse-names":false,"suffix":""}],"container-title":"Флебология","id":"ITEM-1","issue":"2","issued":{"date-parts":[["2015"]]},"page":"3-52","title":"Российские клинические рекомендации по диагностике, лечению и профилактике венозных тромбоэмболических осложнений (ВТЭО).","type":"article-journal","volume":"4"},"uris":["http://www.mendeley.com/documents/?uuid=86c98716-7768-469e-9d28-62b6dd34948f"]},{"id":"ITEM-2","itemData":{"author":[{"dropping-particle":"","family":"Кириенко","given":"А.И.","non-dropping-particle":"","parse-names":false,"suffix":""},{"dropping-particle":"","family":"Галстян","given":"Г.М.","non-dropping-particle":"","parse-names":false,"suffix":""},{"dropping-particle":"","family":"Савченко","given":"В.Г.","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Савченко.","id":"ITEM-2","issued":{"date-parts":[["2018"]]},"page":"268-278","title":"Профилактика венозных тромбоэмболических осложнений при лимфопролиферативных заболеваниях","type":"chapter"},"uris":["http://www.mendeley.com/documents/?uuid=cc775b4e-6cf7-4317-b2fc-ce2a5210744b"]},{"id":"ITEM-3","itemData":{"DOI":"10.1160/TH16-11-0895","ISSN":"03406245","abstract":"Current data suggests that the risk of venous thromboembolism (VTE) in patients with non-Hodgkin lymphoma (NHL) is comparable to that observed in patients with solid tumours, although more robust confirmatory analyses are required. With that in mind, we investigated the occurrence of VTE in a pooled analysis of 12 “Fondazione Italiana Linfomi” (FIL) prospective clinical studies. Specifically, we wished to assess the cumulative incidence of VTE in NHL patients, evaluate the predictive value of the Khorana Score (KS), and identify other potential risk factors for VTEs. Data for VTE occurrence were retrieved from study databases and pharmacovigilance reports. Our analysis includes 1717 patients from 12 prospective phase II and III trials, including newly diagnosed NHL. We observed 53 VTEs (any grade) in 46 patients, with 20 severe VTEs in 17 patients. The cumulative incidences for „all-grade“ or grade ≥3 VTEs were 2.9 % (95 % CI: 2.1-3.8) and 1.1 % (95 % CI: 0.6-1.6), respectively. KS categories were positively associated with the risk of VTE of any grade, and with severe events (i. e. grade ≥3; Gray’s test p-values = 0.048 and 0.012, respectively). Among NHL patients, those with diffuse large B-cell lymphoma (DLBCL) showed a greater risk of (any grade) VTE (HR: 3.42, 95 % CI: 1.32-8.84, p-value = 0.011). Our study indicates that 1) VTE is a relevant complication for NHL patients, 2) KS is predictive of VTE events and 3) DLBCL histotype is an independent risk factor for VTE incidence, for which preventative interventions could be considered.","author":[{"dropping-particle":"","family":"Santi","given":"Roberto Mario","non-dropping-particle":"","parse-names":false,"suffix":""},{"dropping-particle":"","family":"Ceccarelli","given":"Manuela","non-dropping-particle":"","parse-names":false,"suffix":""},{"dropping-particle":"","family":"Bernocco","given":"Elisa","non-dropping-particle":"","parse-names":false,"suffix":""},{"dropping-particle":"","family":"Monagheddu","given":"Chiara","non-dropping-particle":"","parse-names":false,"suffix":""},{"dropping-particle":"","family":"Evangelista","given":"Andrea","non-dropping-particle":"","parse-names":false,"suffix":""},{"dropping-particle":"","family":"Valeri","given":"Federica","non-dropping-particle":"","parse-names":false,"suffix":""},{"dropping-particle":"","family":"Monaco","given":"Federico","non-dropping-particle":"","parse-names":false,"suffix":""},{"dropping-particle":"","family":"Vitolo","given":"Umberto","non-dropping-particle":"","parse-names":false,"suffix":""},{"dropping-particle":"","family":"Cortelazzo","given":"Sergio","non-dropping-particle":"","parse-names":false,"suffix":""},{"dropping-particle":"","family":"Cabras","given":"Maria Giuseppina","non-dropping-particle":"","parse-names":false,"suffix":""},{"dropping-particle":"","family":"Spina","given":"Michele","non-dropping-particle":"","parse-names":false,"suffix":""},{"dropping-particle":"","family":"Baldini","given":"Luca","non-dropping-particle":"","parse-names":false,"suffix":""},{"dropping-particle":"","family":"Boccomini","given":"Carola","non-dropping-particle":"","parse-names":false,"suffix":""},{"dropping-particle":"","family":"Chiappella","given":"Annalisa","non-dropping-particle":"","parse-names":false,"suffix":""},{"dropping-particle":"","family":"Bari","given":"Alessia","non-dropping-particle":"","parse-names":false,"suffix":""},{"dropping-particle":"","family":"Luminari","given":"Stefano","non-dropping-particle":"","parse-names":false,"suffix":""},{"dropping-particle":"","family":"Visco","given":"Carlo","non-dropping-particle":"","parse-names":false,"suffix":""},{"dropping-particle":"","family":"Calabrese","given":"Marco","non-dropping-particle":"","parse-names":false,"suffix":""},{"dropping-particle":"","family":"Limberti","given":"Giulia","non-dropping-particle":"","parse-names":false,"suffix":""},{"dropping-particle":"","family":"Levis","given":"Alessandro","non-dropping-particle":"","parse-names":false,"suffix":""},{"dropping-particle":"","family":"Contino","given":"Laura","non-dropping-particle":"","parse-names":false,"suffix":""},{"dropping-particle":"","family":"Ciccone","given":"Giovannino","non-dropping-particle":"","parse-names":false,"suffix":""},{"dropping-particle":"","family":"Ladetto","given":"Marco","non-dropping-particle":"","parse-names":false,"suffix":""}],"container-title":"Thrombosis and Haemostasis","id":"ITEM-3","issue":"8","issued":{"date-parts":[["2017","4","27"]]},"page":"1615-1621","publisher":"Schattauer GmbH","title":"Khorana score and histotype predicts incidence of early venous thromboembolism in Non-Hodgkin lymphomas: A Pooled-Data analysis of 12 clinical trials of fondazione italiana linfomi (FIL)","type":"article-journal","volume":"117"},"uris":["http://www.mendeley.com/documents/?uuid=08ff1c42-56b9-3c28-b502-37fb28c97ec6"]},{"id":"ITEM-4","itemData":{"DOI":"10.1016/s0049-3848(16)30136-0","ISSN":"00493848","abstract":"BACKGROUND\\nRecent studies show that the risk of VTE in NHL pts is similar to that observed in high risk solid tumors (i.e. pancreatic, ovarian cancer). VTE in NHL occurs in most cases within three months from diagnosis and can have substantial impact on treatment delivery and outcome as well as on quality of life. However few data are available on potential predictors. \\n\\nAIMS\\nTo better clarify the epidemiology of early (within six months from treatment start) VTE in NHL we conducted a pooled data analysis of 12 clinical trials from FIL. Our analysis included basic demographic features, lymphoma-related characteristics as well the Khorana score (based on histology, BMI, platelets WBC and HB counts) which is extensively used in solid tumors to predict VTE risk. \\n\\nPATIENTS AND METHODS\\nFrom Jan. 2010 to Dec. 2014, all pts with B-cell NHL enrolled in prospective clinical trials from FIL for frontline treatment were included. For 9 studies study period included the entire trial population was included. The analyses were conducted based on CRFs as well as pharmacovigilance reports. VTE definition and grading was stated according to standard criteria of toxicity (CTCAE V4.0). Cumulative incidence of VTE from the study enrollment was estimated using the method described by Gooley et al. accounting for death from any causes as a competing risk. The Fine &amp; Gray survival model was used to identify predictors of VTE among NHL pts. Factors predicting the grade of VTE were investigated using an ordinal logistic regression model. This pooled data analysis was approved by local IRB. \\n\\nRESULTS\\nOverall, 1,717 patients belonging to 12 studies were evaluated. Eight were phase I/II or II (25% of pts) and 4 phase III (75% of pts). M/F ratio was 1.41, Median age was 57, (IQ range (IQR) 49-66). Histologies were: DLCL-B 34%, FL 41%, MCL 18%, other 6%. Median BMI was 25 (IQR 22-28). Median Hb, WBC and platelets counts were 13g/dl) (IQR 11.5-14.2), 7.1*10^9/l (IQR 5.6-10.3), 224*10^9/l (IQR 169-298), respectively. 1189 pts were evaluable Khorana score: 58% low risk, 30% intermediate risk, 12% were high risk. Human erythropoetin support was given to 9% of patients. All pts received Rituximab. Planned therapeutic programs included ASCT in 27% of pts, conventional chemotherapy in 67% a conventional chemotherapy plus lenalidomide in 6%. Overall 59 any grade VTE episodes occurred in 51 pts (2.9%), including 21 grade III-IV VTE (18 pts). None was fatal. Median time from study …","author":[{"dropping-particle":"","family":"Santi","given":"R.M.","non-dropping-particle":"","parse-names":false,"suffix":""},{"dropping-particle":"","family":"Ceccarelli","given":"M.","non-dropping-particle":"","parse-names":false,"suffix":""},{"dropping-particle":"","family":"Catania","given":"G.","non-dropping-particle":"","parse-names":false,"suffix":""},{"dropping-particle":"","family":"Monagheddu","given":"C.","non-dropping-particle":"","parse-names":false,"suffix":""},{"dropping-particle":"","family":"Evangelista","given":"A.","non-dropping-particle":"","parse-names":false,"suffix":""},{"dropping-particle":"","family":"Bernocco","given":"E.","non-dropping-particle":"","parse-names":false,"suffix":""},{"dropping-particle":"","family":"Monaco","given":"F.","non-dropping-particle":"","parse-names":false,"suffix":""},{"dropping-particle":"","family":"Federico","given":"M.","non-dropping-particle":"","parse-names":false,"suffix":""},{"dropping-particle":"","family":"Vitolo","given":"U.","non-dropping-particle":"","parse-names":false,"suffix":""},{"dropping-particle":"","family":"Cortelazzo","given":"S.","non-dropping-particle":"","parse-names":false,"suffix":""},{"dropping-particle":"","family":"Cabras","given":"M.G.","non-dropping-particle":"","parse-names":false,"suffix":""},{"dropping-particle":"","family":"Spina","given":"M.","non-dropping-particle":"","parse-names":false,"suffix":""},{"dropping-particle":"","family":"Baldini","given":"L.","non-dropping-particle":"","parse-names":false,"suffix":""},{"dropping-particle":"","family":"Boccomini","given":"C.","non-dropping-particle":"","parse-names":false,"suffix":""},{"dropping-particle":"","family":"Chiappella","given":"A.","non-dropping-particle":"","parse-names":false,"suffix":""},{"dropping-particle":"","family":"Bari","given":"A.","non-dropping-particle":"","parse-names":false,"suffix":""},{"dropping-particle":"","family":"Luminari","given":"S.","non-dropping-particle":"","parse-names":false,"suffix":""},{"dropping-particle":"","family":"Calabrese","given":"M.","non-dropping-particle":"","parse-names":false,"suffix":""},{"dropping-particle":"","family":"Levis","given":"A.","non-dropping-particle":"","parse-names":false,"suffix":""},{"dropping-particle":"","family":"Visco","given":"C.","non-dropping-particle":"","parse-names":false,"suffix":""},{"dropping-particle":"","family":"Contino","given":"L.","non-dropping-particle":"","parse-names":false,"suffix":""},{"dropping-particle":"","family":"Ciccone","given":"G.","non-dropping-particle":"","parse-names":false,"suffix":""},{"dropping-particle":"","family":"Ladetto","given":"M.","non-dropping-particle":"","parse-names":false,"suffix":""}],"container-title":"Thrombosis Research","id":"ITEM-4","issued":{"date-parts":[["2016","4","1"]]},"page":"S177","publisher":"Elsevier BV","title":"PO-03 - Khorana score and histotype predict the incidence of early venous thromboembolism (VTE) in Non Hodgkin Lymphoma (NHL). A pooled data analysis of twelve clinical trials of Fondazione Italiana Linfomi (FIL)","type":"article-journal","volume":"140"},"uris":["http://www.mendeley.com/documents/?uuid=f8991f19-b353-3dbf-93ae-ea021c37a7dc"]},{"id":"ITEM-5","itemData":{"DOI":"10.1634/theoncologist.2015-0361","ISSN":"1083-7159","abstract":"© AlphaMed Press 2016. Background. Retrospective studies have suggested an association between cancer-associated venous thromboembolism (VTE) and patient survival.Weevaluated a previously validated VTE Clinical Risk Score in also predicting early mortality and cancer progression. Methods. A large, nationwide, prospective cohort study of adults with solid tumors orlymphoma initiating chemotherapy was conducted from 2002 to 2006 at 115 U.S. practice sites. Survivalandcancer progressionwereestimatedbythemethod of Kaplan and Meier. Multivariate analysis was based on Cox regression analysis adjusted for major prognostic factors including VTE itself. Results. Of 4,405 patients, 134 (3.0%) died and 330 (7.5%) experienced disease progression during the first 4 months of therapy (median follow-up 75 days). Patients deemed high risk (n = 540, 12.3%) by the Clinical Risk Score had a 120-day mortality rate of 12.7% (adjusted hazard ratio [aHR] 3.00, 95% confidence interval [CI]  1.4-6.3), and intermediate-risk patients (n = 2,665, 60.5%) had a mortality rate of 5.9% (aHR 2.3, 95% CI 1.2-4.4) compared with only 1.4% for low-risk patients (n = 1,200, 27.2%). At 120 days of follow-up, cancer progression occurred in 27.2% of high-risk patients (aHR 2.2, 95% CI 1.4-3.5) and 16.4% of intermediate-risk patients (aHR 1.9, 95% CI 1.3-2.7) compared with only 8.5% of low-risk patients (p  &lt;  .0001). Conclusion. The Clinical Risk Score, originally developed to predict the occurrence of VTE, is also predictive of early mortality and cancer progression during the first four cycles of outpatient chemotherapy, independent from other major prognostic factors including VTE itself. Ongoing and future studies will help determine the impact of VTE prophylaxis on survival.","author":[{"dropping-particle":"","family":"Kuderer","given":"Nicole M.","non-dropping-particle":"","parse-names":false,"suffix":""},{"dropping-particle":"","family":"Culakova","given":"Eva","non-dropping-particle":"","parse-names":false,"suffix":""},{"dropping-particle":"","family":"Lyman","given":"Gary H.","non-dropping-particle":"","parse-names":false,"suffix":""},{"dropping-particle":"","family":"Francis","given":"Charles","non-dropping-particle":"","parse-names":false,"suffix":""},{"dropping-particle":"","family":"Falanga","given":"Anna","non-dropping-particle":"","parse-names":false,"suffix":""},{"dropping-particle":"","family":"Khorana","given":"Alok A.","non-dropping-particle":"","parse-names":false,"suffix":""}],"container-title":"The Oncologist","id":"ITEM-5","issue":"7","issued":{"date-parts":[["2016","7"]]},"page":"861-867","publisher":"Alphamed Press","title":"A Validated Risk Score for Venous Thromboembolism Is Predictive of Cancer Progression and Mortality","type":"article-journal","volume":"21"},"uris":["http://www.mendeley.com/documents/?uuid=18a4966e-5d62-3c04-83a9-fd95d5e2da41"]}],"mendeley":{"formattedCitation":"[19,20,32–34]","plainTextFormattedCitation":"[19,20,32–34]","previouslyFormattedCitation":"[19,20,32–34]"},"properties":{"noteIndex":0},"schema":"https://github.com/citation-style-language/schema/raw/master/csl-citation.json"}</w:instrText>
      </w:r>
      <w:r w:rsidRPr="000322E4">
        <w:rPr>
          <w:rFonts w:eastAsia="Times New Roman"/>
        </w:rPr>
        <w:fldChar w:fldCharType="separate"/>
      </w:r>
      <w:r w:rsidR="00EE3B0B" w:rsidRPr="000322E4">
        <w:rPr>
          <w:rFonts w:eastAsia="Times New Roman"/>
          <w:noProof/>
        </w:rPr>
        <w:t>[19,20,32–34]</w:t>
      </w:r>
      <w:r w:rsidRPr="000322E4">
        <w:rPr>
          <w:rFonts w:eastAsia="Times New Roman"/>
        </w:rPr>
        <w:fldChar w:fldCharType="end"/>
      </w:r>
      <w:r w:rsidRPr="000322E4">
        <w:rPr>
          <w:rFonts w:eastAsia="Times New Roman"/>
          <w:lang w:eastAsia="ru-RU"/>
        </w:rPr>
        <w:t>.</w:t>
      </w:r>
    </w:p>
    <w:p w14:paraId="37529376" w14:textId="77777777" w:rsidR="00F82D52" w:rsidRPr="000322E4" w:rsidRDefault="00F82D52" w:rsidP="00CA442F">
      <w:pPr>
        <w:pStyle w:val="affff0"/>
        <w:ind w:left="709" w:firstLine="0"/>
        <w:rPr>
          <w:b/>
        </w:rPr>
      </w:pPr>
      <w:r w:rsidRPr="000322E4">
        <w:rPr>
          <w:b/>
        </w:rPr>
        <w:t xml:space="preserve">Уровень убедительности рекомендаций </w:t>
      </w:r>
      <w:r w:rsidR="000C58AB" w:rsidRPr="000322E4">
        <w:rPr>
          <w:b/>
        </w:rPr>
        <w:t xml:space="preserve">В </w:t>
      </w:r>
      <w:r w:rsidRPr="000322E4">
        <w:rPr>
          <w:b/>
        </w:rPr>
        <w:t xml:space="preserve">(уровень достоверности доказательств </w:t>
      </w:r>
      <w:r w:rsidR="000C58AB" w:rsidRPr="000322E4">
        <w:rPr>
          <w:b/>
        </w:rPr>
        <w:t>3</w:t>
      </w:r>
      <w:r w:rsidRPr="000322E4">
        <w:rPr>
          <w:b/>
        </w:rPr>
        <w:t>).</w:t>
      </w:r>
    </w:p>
    <w:p w14:paraId="75EFDD6C" w14:textId="77777777" w:rsidR="00F82D52" w:rsidRPr="000322E4" w:rsidRDefault="00F82D52" w:rsidP="00CA442F">
      <w:pPr>
        <w:pStyle w:val="a"/>
        <w:spacing w:before="0"/>
      </w:pPr>
      <w:r w:rsidRPr="000322E4">
        <w:t xml:space="preserve">Всем женщинам детородного возраста с впервые выявленной </w:t>
      </w:r>
      <w:r w:rsidR="00622670" w:rsidRPr="000322E4">
        <w:t>ДВКЛ</w:t>
      </w:r>
      <w:r w:rsidR="009B70C4" w:rsidRPr="000322E4">
        <w:t>, ПМВКЛ или ЛБ</w:t>
      </w:r>
      <w:r w:rsidRPr="000322E4">
        <w:t xml:space="preserve">, а также с рецидивом </w:t>
      </w:r>
      <w:r w:rsidR="00622670" w:rsidRPr="000322E4">
        <w:t>ДВКЛ</w:t>
      </w:r>
      <w:r w:rsidR="009B70C4" w:rsidRPr="000322E4">
        <w:t>, ПМВКЛ или ЛБ</w:t>
      </w:r>
      <w:r w:rsidRPr="000322E4">
        <w:t xml:space="preserve">, перед началом терапии </w:t>
      </w:r>
      <w:r w:rsidRPr="000322E4">
        <w:rPr>
          <w:b/>
        </w:rPr>
        <w:t>рекомендуется</w:t>
      </w:r>
      <w:r w:rsidRPr="000322E4">
        <w:t xml:space="preserve"> выполнение комплекса исследований по определению беременности для коррекции терапевтической тактики и консультации акушера-гинеколога в случае наличия беременности и желания женщины ее сохранить </w:t>
      </w:r>
      <w:r w:rsidRPr="000322E4">
        <w:fldChar w:fldCharType="begin" w:fldLock="1"/>
      </w:r>
      <w:r w:rsidR="00EE3B0B" w:rsidRPr="000322E4">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author":[{"dropping-particle":"","family":"Шмаков","given":"Р.Г.","non-dropping-particle":"","parse-names":false,"suffix":""},{"dropping-particle":"","family":"Демина","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Савченко.","id":"ITEM-2","issued":{"date-parts":[["2018"]]},"page":"143-150","title":"Лимфомы и беременность","type":"chapter"},"uris":["http://www.mendeley.com/documents/?uuid=1b144eff-cfc3-4cd9-b619-e66b3bbc7228"]}],"mendeley":{"formattedCitation":"[17,35]","plainTextFormattedCitation":"[17,35]","previouslyFormattedCitation":"[17,35]"},"properties":{"noteIndex":0},"schema":"https://github.com/citation-style-language/schema/raw/master/csl-citation.json"}</w:instrText>
      </w:r>
      <w:r w:rsidRPr="000322E4">
        <w:fldChar w:fldCharType="separate"/>
      </w:r>
      <w:r w:rsidR="00EE3B0B" w:rsidRPr="000322E4">
        <w:rPr>
          <w:noProof/>
        </w:rPr>
        <w:t>[17,35]</w:t>
      </w:r>
      <w:r w:rsidRPr="000322E4">
        <w:fldChar w:fldCharType="end"/>
      </w:r>
      <w:r w:rsidRPr="000322E4">
        <w:t>.</w:t>
      </w:r>
    </w:p>
    <w:p w14:paraId="0E0E63FC" w14:textId="77777777" w:rsidR="00F82D52" w:rsidRPr="000322E4" w:rsidRDefault="00F82D52" w:rsidP="00CA442F">
      <w:pPr>
        <w:ind w:left="709" w:hanging="1"/>
        <w:contextualSpacing/>
        <w:rPr>
          <w:b/>
        </w:rPr>
      </w:pPr>
      <w:r w:rsidRPr="000322E4">
        <w:rPr>
          <w:b/>
        </w:rPr>
        <w:t>Уровень убедительности рекомендаций С (уровень достоверности доказательств 5).</w:t>
      </w:r>
    </w:p>
    <w:p w14:paraId="591E75D0" w14:textId="77777777" w:rsidR="00ED5598" w:rsidRPr="000322E4" w:rsidRDefault="00CB71DA" w:rsidP="008A40EA">
      <w:pPr>
        <w:pStyle w:val="afff2"/>
        <w:rPr>
          <w:rStyle w:val="afffc"/>
          <w:rFonts w:eastAsia="Sans" w:cstheme="minorBidi"/>
          <w:i w:val="0"/>
          <w:color w:val="auto"/>
          <w:sz w:val="28"/>
          <w:szCs w:val="22"/>
        </w:rPr>
      </w:pPr>
      <w:bookmarkStart w:id="32" w:name="_Toc66096822"/>
      <w:r w:rsidRPr="000322E4">
        <w:t>3. Лечение</w:t>
      </w:r>
      <w:bookmarkEnd w:id="31"/>
      <w:r w:rsidR="0038545E" w:rsidRPr="000322E4">
        <w:t>,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bookmarkStart w:id="33" w:name="_Toc469402341"/>
      <w:bookmarkStart w:id="34" w:name="_Toc468273538"/>
      <w:bookmarkStart w:id="35" w:name="_Toc468273456"/>
      <w:bookmarkEnd w:id="32"/>
      <w:bookmarkEnd w:id="33"/>
      <w:bookmarkEnd w:id="34"/>
      <w:bookmarkEnd w:id="35"/>
    </w:p>
    <w:p w14:paraId="009AA068" w14:textId="77777777" w:rsidR="007A344D" w:rsidRPr="000322E4" w:rsidRDefault="000578EF" w:rsidP="00CA442F">
      <w:pPr>
        <w:pStyle w:val="afd"/>
        <w:spacing w:beforeAutospacing="0" w:afterAutospacing="0" w:line="360" w:lineRule="auto"/>
        <w:rPr>
          <w:i/>
          <w:iCs/>
        </w:rPr>
      </w:pPr>
      <w:bookmarkStart w:id="36" w:name="__RefHeading___doc_4"/>
      <w:r w:rsidRPr="000322E4">
        <w:rPr>
          <w:i/>
          <w:iCs/>
        </w:rPr>
        <w:t>При выборе тактики и проведении терапии следует учитывать, что у пациента могут быть нестандартные проявления болезни, а также сочетание конкретной болезни с другими патологиями, что может диктовать лечащему врачу изменения в алгоритме выбора оптимальной тактики диагностики и лечения.</w:t>
      </w:r>
    </w:p>
    <w:p w14:paraId="47086237" w14:textId="77777777" w:rsidR="00043202" w:rsidRPr="000322E4" w:rsidRDefault="00043202" w:rsidP="00CA442F">
      <w:pPr>
        <w:pStyle w:val="afd"/>
        <w:spacing w:beforeAutospacing="0" w:afterAutospacing="0" w:line="360" w:lineRule="auto"/>
        <w:rPr>
          <w:i/>
          <w:iCs/>
        </w:rPr>
      </w:pPr>
      <w:r w:rsidRPr="000322E4">
        <w:rPr>
          <w:i/>
          <w:iCs/>
        </w:rPr>
        <w:t>Учитывая наличие неудовлетворенных медицинских потребностей (большое количество рецидивов, недостаточная эффективность и высокая токсичность существующих методов лечения), а также интенсивное изучение новых методов диагностики и лечения, рекомендуется участие пациентов в исследовательских проектах.</w:t>
      </w:r>
    </w:p>
    <w:p w14:paraId="27ACA6CF" w14:textId="77777777" w:rsidR="003F0AA9" w:rsidRPr="000322E4" w:rsidRDefault="003F0AA9" w:rsidP="00CA442F">
      <w:pPr>
        <w:pStyle w:val="afd"/>
        <w:spacing w:beforeAutospacing="0" w:afterAutospacing="0" w:line="360" w:lineRule="auto"/>
        <w:rPr>
          <w:i/>
          <w:iCs/>
        </w:rPr>
      </w:pPr>
      <w:r w:rsidRPr="000322E4">
        <w:rPr>
          <w:i/>
          <w:iCs/>
        </w:rPr>
        <w:t>Каждый цикл терапии начинается, если состояние пациента удовлетворяет следующим критериям:</w:t>
      </w:r>
    </w:p>
    <w:p w14:paraId="25881570" w14:textId="77777777" w:rsidR="003F0AA9" w:rsidRPr="000322E4" w:rsidRDefault="00263322" w:rsidP="008A40EA">
      <w:pPr>
        <w:pStyle w:val="1f6"/>
        <w:numPr>
          <w:ilvl w:val="0"/>
          <w:numId w:val="5"/>
        </w:numPr>
        <w:rPr>
          <w:rFonts w:ascii="Times New Roman" w:hAnsi="Times New Roman"/>
          <w:bCs w:val="0"/>
          <w:i/>
          <w:sz w:val="24"/>
          <w:szCs w:val="24"/>
        </w:rPr>
      </w:pPr>
      <w:r w:rsidRPr="000322E4">
        <w:rPr>
          <w:rFonts w:ascii="Times New Roman" w:hAnsi="Times New Roman"/>
          <w:bCs w:val="0"/>
          <w:i/>
          <w:sz w:val="24"/>
          <w:szCs w:val="24"/>
        </w:rPr>
        <w:t xml:space="preserve">гранулоциты </w:t>
      </w:r>
      <w:r w:rsidRPr="000322E4">
        <w:rPr>
          <w:rFonts w:ascii="Times New Roman" w:hAnsi="Times New Roman"/>
          <w:bCs w:val="0"/>
          <w:i/>
          <w:sz w:val="24"/>
          <w:szCs w:val="24"/>
          <w:lang w:val="en-US"/>
        </w:rPr>
        <w:t>&gt;</w:t>
      </w:r>
      <w:r w:rsidR="003F0AA9" w:rsidRPr="000322E4">
        <w:rPr>
          <w:rFonts w:ascii="Times New Roman" w:hAnsi="Times New Roman"/>
          <w:bCs w:val="0"/>
          <w:i/>
          <w:sz w:val="24"/>
          <w:szCs w:val="24"/>
        </w:rPr>
        <w:t xml:space="preserve"> </w:t>
      </w:r>
      <w:r w:rsidR="007A344D" w:rsidRPr="000322E4">
        <w:rPr>
          <w:rFonts w:ascii="Times New Roman" w:hAnsi="Times New Roman"/>
          <w:bCs w:val="0"/>
          <w:i/>
          <w:sz w:val="24"/>
          <w:szCs w:val="24"/>
        </w:rPr>
        <w:t>1</w:t>
      </w:r>
      <w:r w:rsidRPr="000322E4">
        <w:rPr>
          <w:rFonts w:ascii="Times New Roman" w:hAnsi="Times New Roman"/>
          <w:bCs w:val="0"/>
          <w:i/>
          <w:sz w:val="24"/>
          <w:szCs w:val="24"/>
        </w:rPr>
        <w:t xml:space="preserve"> </w:t>
      </w:r>
      <w:r w:rsidRPr="000322E4">
        <w:rPr>
          <w:rFonts w:ascii="Times New Roman" w:hAnsi="Times New Roman"/>
          <w:bCs w:val="0"/>
          <w:i/>
          <w:sz w:val="24"/>
          <w:szCs w:val="24"/>
          <w:lang w:val="en-US"/>
        </w:rPr>
        <w:t>x 10</w:t>
      </w:r>
      <w:r w:rsidRPr="000322E4">
        <w:rPr>
          <w:rFonts w:ascii="Times New Roman" w:hAnsi="Times New Roman"/>
          <w:bCs w:val="0"/>
          <w:i/>
          <w:sz w:val="24"/>
          <w:szCs w:val="24"/>
          <w:vertAlign w:val="superscript"/>
          <w:lang w:val="en-US"/>
        </w:rPr>
        <w:t>9</w:t>
      </w:r>
      <w:r w:rsidRPr="000322E4">
        <w:rPr>
          <w:rFonts w:ascii="Times New Roman" w:hAnsi="Times New Roman"/>
          <w:bCs w:val="0"/>
          <w:i/>
          <w:sz w:val="24"/>
          <w:szCs w:val="24"/>
        </w:rPr>
        <w:t>/л</w:t>
      </w:r>
      <w:r w:rsidR="003F0AA9" w:rsidRPr="000322E4">
        <w:rPr>
          <w:rFonts w:ascii="Times New Roman" w:hAnsi="Times New Roman"/>
          <w:bCs w:val="0"/>
          <w:i/>
          <w:sz w:val="24"/>
          <w:szCs w:val="24"/>
        </w:rPr>
        <w:t xml:space="preserve">, </w:t>
      </w:r>
    </w:p>
    <w:p w14:paraId="70AB330A" w14:textId="77777777" w:rsidR="003F0AA9" w:rsidRPr="000322E4" w:rsidRDefault="00263322" w:rsidP="008A40EA">
      <w:pPr>
        <w:pStyle w:val="1f6"/>
        <w:numPr>
          <w:ilvl w:val="0"/>
          <w:numId w:val="5"/>
        </w:numPr>
        <w:rPr>
          <w:rFonts w:ascii="Times New Roman" w:hAnsi="Times New Roman"/>
          <w:bCs w:val="0"/>
          <w:i/>
          <w:sz w:val="24"/>
          <w:szCs w:val="24"/>
        </w:rPr>
      </w:pPr>
      <w:r w:rsidRPr="000322E4">
        <w:rPr>
          <w:rFonts w:ascii="Times New Roman" w:hAnsi="Times New Roman"/>
          <w:bCs w:val="0"/>
          <w:i/>
          <w:sz w:val="24"/>
          <w:szCs w:val="24"/>
        </w:rPr>
        <w:t xml:space="preserve">тромбоциты </w:t>
      </w:r>
      <w:r w:rsidRPr="000322E4">
        <w:rPr>
          <w:rFonts w:ascii="Times New Roman" w:hAnsi="Times New Roman"/>
          <w:bCs w:val="0"/>
          <w:i/>
          <w:sz w:val="24"/>
          <w:szCs w:val="24"/>
          <w:lang w:val="en-US"/>
        </w:rPr>
        <w:t xml:space="preserve">&gt; </w:t>
      </w:r>
      <w:r w:rsidR="007A344D" w:rsidRPr="000322E4">
        <w:rPr>
          <w:rFonts w:ascii="Times New Roman" w:hAnsi="Times New Roman"/>
          <w:bCs w:val="0"/>
          <w:i/>
          <w:sz w:val="24"/>
          <w:szCs w:val="24"/>
        </w:rPr>
        <w:t>10</w:t>
      </w:r>
      <w:r w:rsidR="003F0AA9" w:rsidRPr="000322E4">
        <w:rPr>
          <w:rFonts w:ascii="Times New Roman" w:hAnsi="Times New Roman"/>
          <w:bCs w:val="0"/>
          <w:i/>
          <w:sz w:val="24"/>
          <w:szCs w:val="24"/>
        </w:rPr>
        <w:t>0</w:t>
      </w:r>
      <w:r w:rsidRPr="000322E4">
        <w:rPr>
          <w:rFonts w:ascii="Times New Roman" w:hAnsi="Times New Roman"/>
          <w:bCs w:val="0"/>
          <w:i/>
          <w:sz w:val="24"/>
          <w:szCs w:val="24"/>
          <w:lang w:val="en-US"/>
        </w:rPr>
        <w:t xml:space="preserve"> x 10</w:t>
      </w:r>
      <w:r w:rsidRPr="000322E4">
        <w:rPr>
          <w:rFonts w:ascii="Times New Roman" w:hAnsi="Times New Roman"/>
          <w:bCs w:val="0"/>
          <w:i/>
          <w:sz w:val="24"/>
          <w:szCs w:val="24"/>
          <w:vertAlign w:val="superscript"/>
          <w:lang w:val="en-US"/>
        </w:rPr>
        <w:t>9</w:t>
      </w:r>
      <w:r w:rsidRPr="000322E4">
        <w:rPr>
          <w:rFonts w:ascii="Times New Roman" w:hAnsi="Times New Roman"/>
          <w:bCs w:val="0"/>
          <w:i/>
          <w:sz w:val="24"/>
          <w:szCs w:val="24"/>
        </w:rPr>
        <w:t>/л</w:t>
      </w:r>
      <w:r w:rsidR="003F0AA9" w:rsidRPr="000322E4">
        <w:rPr>
          <w:rFonts w:ascii="Times New Roman" w:hAnsi="Times New Roman"/>
          <w:bCs w:val="0"/>
          <w:i/>
          <w:sz w:val="24"/>
          <w:szCs w:val="24"/>
        </w:rPr>
        <w:t>.</w:t>
      </w:r>
    </w:p>
    <w:p w14:paraId="72D2002A" w14:textId="77777777" w:rsidR="007C3C41" w:rsidRPr="000322E4" w:rsidRDefault="007C3C41" w:rsidP="00CA442F">
      <w:pPr>
        <w:pStyle w:val="1f6"/>
        <w:ind w:firstLine="720"/>
        <w:rPr>
          <w:rFonts w:ascii="Times New Roman" w:hAnsi="Times New Roman"/>
          <w:bCs w:val="0"/>
          <w:i/>
          <w:iCs w:val="0"/>
          <w:sz w:val="24"/>
          <w:szCs w:val="24"/>
        </w:rPr>
      </w:pPr>
      <w:r w:rsidRPr="000322E4">
        <w:rPr>
          <w:rFonts w:ascii="Times New Roman" w:hAnsi="Times New Roman"/>
          <w:bCs w:val="0"/>
          <w:i/>
          <w:iCs w:val="0"/>
          <w:sz w:val="24"/>
          <w:szCs w:val="24"/>
        </w:rPr>
        <w:t xml:space="preserve">Для </w:t>
      </w:r>
      <w:r w:rsidR="00103620" w:rsidRPr="000322E4">
        <w:rPr>
          <w:rFonts w:ascii="Times New Roman" w:hAnsi="Times New Roman"/>
          <w:bCs w:val="0"/>
          <w:i/>
          <w:iCs w:val="0"/>
          <w:sz w:val="24"/>
          <w:szCs w:val="24"/>
        </w:rPr>
        <w:t xml:space="preserve">пациентов </w:t>
      </w:r>
      <w:r w:rsidRPr="000322E4">
        <w:rPr>
          <w:rFonts w:ascii="Times New Roman" w:hAnsi="Times New Roman"/>
          <w:bCs w:val="0"/>
          <w:i/>
          <w:iCs w:val="0"/>
          <w:sz w:val="24"/>
          <w:szCs w:val="24"/>
        </w:rPr>
        <w:t>с цитопенией, обусловленной поражением костного мозга, специфическая терапия возможна и при более низких показателях лейкоцитов и тромбоцитов, однако в этих случаях должна быть обеспечена соответствующая сопроводительная терапия.</w:t>
      </w:r>
    </w:p>
    <w:p w14:paraId="7D5D3D12" w14:textId="77777777" w:rsidR="00497137" w:rsidRPr="000322E4" w:rsidRDefault="00497137" w:rsidP="00CA442F">
      <w:pPr>
        <w:pStyle w:val="1f6"/>
        <w:ind w:firstLine="720"/>
        <w:rPr>
          <w:rFonts w:ascii="Times New Roman" w:hAnsi="Times New Roman"/>
          <w:bCs w:val="0"/>
          <w:i/>
          <w:sz w:val="24"/>
          <w:szCs w:val="24"/>
        </w:rPr>
      </w:pPr>
      <w:r w:rsidRPr="000322E4">
        <w:rPr>
          <w:rFonts w:ascii="Times New Roman" w:hAnsi="Times New Roman"/>
          <w:bCs w:val="0"/>
          <w:i/>
          <w:sz w:val="24"/>
          <w:szCs w:val="24"/>
        </w:rPr>
        <w:t xml:space="preserve">Все режимы терапии, начиная с первого курса, должны проводиться с ритуксимабом** во внутривенной или подкожной форме. В нескольких крупных рандомизированных исследованиях доказано, что подкожная форма ритуксимаба** </w:t>
      </w:r>
      <w:r w:rsidRPr="000322E4">
        <w:rPr>
          <w:rFonts w:ascii="Times New Roman" w:hAnsi="Times New Roman"/>
          <w:bCs w:val="0"/>
          <w:i/>
          <w:sz w:val="24"/>
          <w:szCs w:val="24"/>
        </w:rPr>
        <w:lastRenderedPageBreak/>
        <w:t>является столь же эффективной и безопасной, как и внутривенная. Первое введение препарата всем пациентам проводится в дозе 375 мг/м</w:t>
      </w:r>
      <w:r w:rsidRPr="000322E4">
        <w:rPr>
          <w:rFonts w:ascii="Times New Roman" w:hAnsi="Times New Roman"/>
          <w:bCs w:val="0"/>
          <w:i/>
          <w:sz w:val="24"/>
          <w:szCs w:val="24"/>
          <w:vertAlign w:val="superscript"/>
        </w:rPr>
        <w:t>2</w:t>
      </w:r>
      <w:r w:rsidRPr="000322E4">
        <w:rPr>
          <w:rFonts w:ascii="Times New Roman" w:hAnsi="Times New Roman"/>
          <w:bCs w:val="0"/>
          <w:i/>
          <w:sz w:val="24"/>
          <w:szCs w:val="24"/>
        </w:rPr>
        <w:t xml:space="preserve"> внутривенно, во втором и/или последующих циклах терапии ритуксимаб** может вводиться подкожно в фиксированной дозе 1400 мг независимо от площади поверхности тела.</w:t>
      </w:r>
    </w:p>
    <w:p w14:paraId="7CFCD871" w14:textId="77777777" w:rsidR="00F533A5" w:rsidRPr="000322E4" w:rsidRDefault="00F533A5" w:rsidP="008A40EA">
      <w:pPr>
        <w:pStyle w:val="1f6"/>
        <w:rPr>
          <w:rFonts w:ascii="Times New Roman" w:hAnsi="Times New Roman"/>
          <w:bCs w:val="0"/>
          <w:i/>
          <w:iCs w:val="0"/>
          <w:sz w:val="24"/>
          <w:szCs w:val="24"/>
        </w:rPr>
      </w:pPr>
      <w:r w:rsidRPr="000322E4">
        <w:rPr>
          <w:rFonts w:ascii="Times New Roman" w:hAnsi="Times New Roman"/>
          <w:bCs w:val="0"/>
          <w:i/>
          <w:iCs w:val="0"/>
          <w:sz w:val="24"/>
          <w:szCs w:val="24"/>
        </w:rPr>
        <w:t>Пациент прекращает лечение по протоколу в случаях прогрессии заболевания или токсических эффектов, не позволяющих продолжать химиотерапию в необходимом объеме.</w:t>
      </w:r>
    </w:p>
    <w:p w14:paraId="0B085F77" w14:textId="77777777" w:rsidR="000578EF" w:rsidRPr="000322E4" w:rsidRDefault="000578EF" w:rsidP="008A40EA">
      <w:pPr>
        <w:pStyle w:val="2"/>
        <w:spacing w:before="0"/>
        <w:contextualSpacing/>
      </w:pPr>
      <w:bookmarkStart w:id="37" w:name="_Toc66096823"/>
      <w:r w:rsidRPr="000322E4">
        <w:t xml:space="preserve">3.1 Первая линия терапии </w:t>
      </w:r>
      <w:r w:rsidR="00B57EFF" w:rsidRPr="000322E4">
        <w:t>ДВКЛ</w:t>
      </w:r>
      <w:r w:rsidR="00F5607D" w:rsidRPr="000322E4">
        <w:t xml:space="preserve"> у взрослых пациентов</w:t>
      </w:r>
      <w:bookmarkEnd w:id="37"/>
      <w:r w:rsidR="00FE0969" w:rsidRPr="000322E4">
        <w:t xml:space="preserve"> </w:t>
      </w:r>
    </w:p>
    <w:p w14:paraId="5B4307CF" w14:textId="77777777" w:rsidR="001E1A3A" w:rsidRPr="000322E4" w:rsidRDefault="001E1A3A" w:rsidP="008A40EA">
      <w:pPr>
        <w:pStyle w:val="afe"/>
        <w:numPr>
          <w:ilvl w:val="0"/>
          <w:numId w:val="9"/>
        </w:numPr>
        <w:ind w:left="709" w:hanging="709"/>
      </w:pPr>
      <w:r w:rsidRPr="000322E4">
        <w:t xml:space="preserve">Пациентам с верифицированной ДВКЛ с высокой опухолевой нагрузкой </w:t>
      </w:r>
      <w:r w:rsidRPr="000322E4">
        <w:rPr>
          <w:b/>
          <w:bCs/>
        </w:rPr>
        <w:t>рекомендуется</w:t>
      </w:r>
      <w:r w:rsidRPr="000322E4">
        <w:t xml:space="preserve"> начинать лечение </w:t>
      </w:r>
      <w:r w:rsidRPr="000322E4">
        <w:rPr>
          <w:rFonts w:eastAsia="Calibri" w:cstheme="minorHAnsi"/>
        </w:rPr>
        <w:t>с предфазы (</w:t>
      </w:r>
      <w:r w:rsidR="00062D82" w:rsidRPr="000322E4">
        <w:rPr>
          <w:rFonts w:eastAsia="Calibri" w:cstheme="minorHAnsi"/>
        </w:rPr>
        <w:t>#</w:t>
      </w:r>
      <w:r w:rsidRPr="000322E4">
        <w:rPr>
          <w:rFonts w:eastAsia="Calibri" w:cstheme="minorHAnsi"/>
        </w:rPr>
        <w:t>преднизолон** 100 мг внутрь 5-7 дней) на фоне инфузионной терапии (2-3 литра в сутки) и приема аллопуринола для предотвращения синдрома лизиса опухоли (см. раздел 3</w:t>
      </w:r>
      <w:r w:rsidR="00DE6A24" w:rsidRPr="000322E4">
        <w:rPr>
          <w:rFonts w:eastAsia="Calibri" w:cstheme="minorHAnsi"/>
        </w:rPr>
        <w:t>.</w:t>
      </w:r>
      <w:r w:rsidR="007D4302" w:rsidRPr="000322E4">
        <w:rPr>
          <w:rFonts w:eastAsia="Calibri" w:cstheme="minorHAnsi"/>
        </w:rPr>
        <w:t>7</w:t>
      </w:r>
      <w:r w:rsidRPr="000322E4">
        <w:rPr>
          <w:rFonts w:eastAsia="Calibri" w:cstheme="minorHAnsi"/>
        </w:rPr>
        <w:t xml:space="preserve">.) </w:t>
      </w:r>
      <w:r w:rsidRPr="000322E4">
        <w:rPr>
          <w:rFonts w:eastAsia="Calibri" w:cstheme="minorHAnsi"/>
        </w:rPr>
        <w:fldChar w:fldCharType="begin" w:fldLock="1"/>
      </w:r>
      <w:r w:rsidR="00DA1F72" w:rsidRPr="000322E4">
        <w:rPr>
          <w:rFonts w:eastAsia="Calibri" w:cstheme="minorHAnsi"/>
        </w:rPr>
        <w:instrText>ADDIN CSL_CITATION {"citationItems":[{"id":"ITEM-1","itemData":{"author":[{"dropping-particle":"","family":"Тумян","given":"Г.С.","non-dropping-particle":"","parse-names":false,"suffix":""},{"dropping-particle":"","family":"Кравченко","given":"С.К.","non-dropping-particle":"","parse-names":false,"suffix":""},{"dropping-particle":"","family":"Михайлова","given":"Н.Б.","non-dropping-particle":"","parse-names":false,"suffix":""},{"dropping-particle":"","family":"Барях","given":"Е.А.","non-dropping-particle":"","parse-names":false,"suffix":""},{"dropping-particle":"","family":"Птушкин","given":"В.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Савченко.","id":"ITEM-1","issued":{"date-parts":[["2018"]]},"page":"58-68","title":"Диффузная В-клеточная крупноклеточная лимфома","type":"chapter"},"uris":["http://www.mendeley.com/documents/?uuid=cb7114f7-4655-4733-8df2-526cc4e32730"]}],"mendeley":{"formattedCitation":"[11]","plainTextFormattedCitation":"[11]","previouslyFormattedCitation":"[11]"},"properties":{"noteIndex":0},"schema":"https://github.com/citation-style-language/schema/raw/master/csl-citation.json"}</w:instrText>
      </w:r>
      <w:r w:rsidRPr="000322E4">
        <w:rPr>
          <w:rFonts w:eastAsia="Calibri" w:cstheme="minorHAnsi"/>
        </w:rPr>
        <w:fldChar w:fldCharType="separate"/>
      </w:r>
      <w:r w:rsidR="00DA1F72" w:rsidRPr="000322E4">
        <w:rPr>
          <w:rFonts w:eastAsia="Calibri" w:cstheme="minorHAnsi"/>
          <w:noProof/>
        </w:rPr>
        <w:t>[11]</w:t>
      </w:r>
      <w:r w:rsidRPr="000322E4">
        <w:rPr>
          <w:rFonts w:eastAsia="Calibri" w:cstheme="minorHAnsi"/>
        </w:rPr>
        <w:fldChar w:fldCharType="end"/>
      </w:r>
      <w:r w:rsidRPr="000322E4">
        <w:rPr>
          <w:rFonts w:eastAsia="Calibri" w:cstheme="minorHAnsi"/>
        </w:rPr>
        <w:t>.</w:t>
      </w:r>
      <w:r w:rsidRPr="000322E4">
        <w:t xml:space="preserve"> </w:t>
      </w:r>
    </w:p>
    <w:p w14:paraId="358F7727" w14:textId="77777777" w:rsidR="001E1A3A" w:rsidRPr="000322E4" w:rsidRDefault="001E1A3A" w:rsidP="008A40EA">
      <w:pPr>
        <w:ind w:left="709"/>
        <w:contextualSpacing/>
        <w:rPr>
          <w:b/>
        </w:rPr>
      </w:pPr>
      <w:r w:rsidRPr="000322E4">
        <w:rPr>
          <w:b/>
        </w:rPr>
        <w:t xml:space="preserve">Уровень убедительности рекомендаций </w:t>
      </w:r>
      <w:r w:rsidRPr="000322E4">
        <w:rPr>
          <w:b/>
          <w:lang w:val="en-US"/>
        </w:rPr>
        <w:t>C</w:t>
      </w:r>
      <w:r w:rsidRPr="000322E4">
        <w:rPr>
          <w:b/>
        </w:rPr>
        <w:t xml:space="preserve"> (уровень достоверности доказательств 5).</w:t>
      </w:r>
    </w:p>
    <w:p w14:paraId="5BDADCAC" w14:textId="77777777" w:rsidR="008E7EEC" w:rsidRPr="000322E4" w:rsidRDefault="00B57EFF" w:rsidP="008A40EA">
      <w:pPr>
        <w:pStyle w:val="a"/>
        <w:spacing w:before="0"/>
      </w:pPr>
      <w:r w:rsidRPr="000322E4">
        <w:t>Пациентам</w:t>
      </w:r>
      <w:r w:rsidR="00F5607D" w:rsidRPr="000322E4">
        <w:t xml:space="preserve"> старше 18 лет</w:t>
      </w:r>
      <w:r w:rsidRPr="000322E4">
        <w:t xml:space="preserve"> с впервые установленной ДВКЛ I-II стадии </w:t>
      </w:r>
      <w:r w:rsidRPr="000322E4">
        <w:rPr>
          <w:b/>
          <w:bCs/>
        </w:rPr>
        <w:t>рекомендуется</w:t>
      </w:r>
      <w:r w:rsidRPr="000322E4">
        <w:t xml:space="preserve"> провести 4-6 курсов иммунохимиотерапии</w:t>
      </w:r>
      <w:r w:rsidR="00746BF7" w:rsidRPr="000322E4">
        <w:t xml:space="preserve"> по схеме</w:t>
      </w:r>
      <w:r w:rsidRPr="000322E4">
        <w:t xml:space="preserve"> R-CHOP-21</w:t>
      </w:r>
      <w:r w:rsidR="00CD0739" w:rsidRPr="000322E4">
        <w:t xml:space="preserve"> </w:t>
      </w:r>
      <w:r w:rsidRPr="000322E4">
        <w:t>(схемы режимов лечения см. в приложении А3.</w:t>
      </w:r>
      <w:r w:rsidR="00CD0739" w:rsidRPr="000322E4">
        <w:t>1</w:t>
      </w:r>
      <w:r w:rsidRPr="000322E4">
        <w:t>)  с последующим выполнением процедуры рестадирования (</w:t>
      </w:r>
      <w:r w:rsidR="00CD0739" w:rsidRPr="000322E4">
        <w:t>см. раздел 7.</w:t>
      </w:r>
      <w:r w:rsidR="00AE61A0" w:rsidRPr="000322E4">
        <w:t>6</w:t>
      </w:r>
      <w:r w:rsidRPr="000322E4">
        <w:t xml:space="preserve">) </w:t>
      </w:r>
      <w:r w:rsidR="006B6073" w:rsidRPr="000322E4">
        <w:fldChar w:fldCharType="begin" w:fldLock="1"/>
      </w:r>
      <w:r w:rsidR="00FE4AC0" w:rsidRPr="000322E4">
        <w:instrText>ADDIN CSL_CITATION {"citationItems":[{"id":"ITEM-1","itemData":{"DOI":"10.1182/blood-2010-03-276246","ISSN":"15280020","abstract":"We report the outcome of patients included in the LNH-98.5 study, which compared cyclophosphamide, doxorubicin, vincristine, and prednisone (CHOP) to rituximab plus CHOP (R-CHOP) therapy in 399 patients with diffuse large B-cell lymphoma (DLBCL) aged 60 to 80 years, with a median follow-up time of 10 years. Clinical event information was updated in all living patients (with the exception of 3 patients) in 2009. Survival end points were improved in patients treated with R-CHOP: the 10-year progression-free survival was 36.5%, compared with 20% with CHOP alone, and the 10-year overall survival was 43.5% compared with 27.6%. The same risk of death due to other diseases, secondary cancers, and late relapses was observed in both study arms. Relapses occurring after 5 years represented 7% of all disease progressions. The results from the 10-year analysis confirm the benefits and tolerability of the addition of rituximab to CHOP. Our findings underscore the need to treat elderly patients as young patients, with the use of curative chemotherapy. © 2010 by The American Society of Hematology.","author":[{"dropping-particle":"","family":"Coiffier","given":"Bertrand","non-dropping-particle":"","parse-names":false,"suffix":""},{"dropping-particle":"","family":"Thieblemont","given":"Catherine","non-dropping-particle":"","parse-names":false,"suffix":""},{"dropping-particle":"","family":"Neste","given":"Eric","non-dropping-particle":"Van Den","parse-names":false,"suffix":""},{"dropping-particle":"","family":"Lepeu","given":"Gérard","non-dropping-particle":"","parse-names":false,"suffix":""},{"dropping-particle":"","family":"Plantier","given":"Isabelle","non-dropping-particle":"","parse-names":false,"suffix":""},{"dropping-particle":"","family":"Castaigne","given":"Sylvie","non-dropping-particle":"","parse-names":false,"suffix":""},{"dropping-particle":"","family":"Lefort","given":"Sophie","non-dropping-particle":"","parse-names":false,"suffix":""},{"dropping-particle":"","family":"Marit","given":"Gérald","non-dropping-particle":"","parse-names":false,"suffix":""},{"dropping-particle":"","family":"Macro","given":"Margaret","non-dropping-particle":"","parse-names":false,"suffix":""},{"dropping-particle":"","family":"Sebban","given":"Catherine","non-dropping-particle":"","parse-names":false,"suffix":""},{"dropping-particle":"","family":"Belhadj","given":"Karim","non-dropping-particle":"","parse-names":false,"suffix":""},{"dropping-particle":"","family":"Bordessoule","given":"Dominique","non-dropping-particle":"","parse-names":false,"suffix":""},{"dropping-particle":"","family":"Fermé","given":"Christophe","non-dropping-particle":"","parse-names":false,"suffix":""},{"dropping-particle":"","family":"Tilly","given":"Hervé","non-dropping-particle":"","parse-names":false,"suffix":""}],"container-title":"Blood","id":"ITEM-1","issue":"12","issued":{"date-parts":[["2010","9","23"]]},"page":"2040-2045","publisher":"American Society of Hematology","title":"Long-term outcome of patients in the LNH-98.5 trial, the first randomized study comparing rituximab-CHOP to standard CHOP chemotherapy in DLBCL patients: A study by the Groupe d'Etudes des Lymphomes de l'Adulte","type":"article-journal","volume":"116"},"uris":["http://www.mendeley.com/documents/?uuid=c10963c4-44e4-37de-9b33-f1faa7a9fa55"]},{"id":"ITEM-2","itemData":{"DOI":"10.1200/JCO.2005.09.131","ISSN":"0732183X","abstract":"Purpose: To analyze the long-term outcome of patients included in the Lymphome Non Hodgkinien study 98-5 (LNH98-5) comparing cyclophosphamide, doxorubicin, vincristine, and prednisone (CHOP) to rituximab plus CHOP (R-CHOP) in elderly patients with diffuse large B-cell lymphoma. Patients and Methods: LNH98-5 was a randomized study that included 399 previously untreated patients, age 60 to 80 years, with diffuse large B-cell lymphoma. Patients received eight cycles of classical CHOP (cyclophosphamide 750 mg/m2, doxorubicin 50 mg/m2, vincristine 1.4 mg/m2, and prednisone 40 mg/m 2 for 5 days) every 3 weeks. In R-CHOP, rituximab 375 mg/m 2 was administered the same day as CHOP. Survivals were analyzed using the intent-to-treat principle. Results: Median follow-up is 5 years at present. Event-free survival, progression-free survival, disease-free survival, and overall survival remain statistically significant in favor of the combination of R-CHOP (P= .00002, P &lt; .00001, P &lt; .00031, and P &lt; .0073, respectively, in the log-rank test). Patients with low-risk or high-risk lymphoma according to the age-adjusted International Prognostic Index have longer survivals if treated with the combination. No long-term toxicity appeared to be associated with the R-CHOP combination. Conclusion: Using the combination of R-CHOP leads to significant improvement of the outcome of elderly patients with diffuse large B-cell lymphoma, with significant survival benefit maintained during a 5-year follow-up. This combination should become the standard for treating these patients. © 2005 by American Society of Clinical Oncology.","author":[{"dropping-particle":"","family":"Feugier","given":"Pierre","non-dropping-particle":"","parse-names":false,"suffix":""},{"dropping-particle":"","family":"Hoof","given":"A.","non-dropping-particle":"Van","parse-names":false,"suffix":""},{"dropping-particle":"","family":"Sebban","given":"C.","non-dropping-particle":"","parse-names":false,"suffix":""},{"dropping-particle":"","family":"Solal-Celigny","given":"P.","non-dropping-particle":"","parse-names":false,"suffix":""},{"dropping-particle":"","family":"Bouabdallah","given":"R.","non-dropping-particle":"","parse-names":false,"suffix":""},{"dropping-particle":"","family":"Fermé","given":"C.","non-dropping-particle":"","parse-names":false,"suffix":""},{"dropping-particle":"","family":"Christian","given":"B.","non-dropping-particle":"","parse-names":false,"suffix":""},{"dropping-particle":"","family":"Lepage","given":"E.","non-dropping-particle":"","parse-names":false,"suffix":""},{"dropping-particle":"","family":"Tilly","given":"H.","non-dropping-particle":"","parse-names":false,"suffix":""},{"dropping-particle":"","family":"Morschhauser","given":"F.","non-dropping-particle":"","parse-names":false,"suffix":""},{"dropping-particle":"","family":"Gaulard","given":"P.","non-dropping-particle":"","parse-names":false,"suffix":""},{"dropping-particle":"","family":"Salles","given":"G.","non-dropping-particle":"","parse-names":false,"suffix":""},{"dropping-particle":"","family":"Bosly","given":"A.","non-dropping-particle":"","parse-names":false,"suffix":""},{"dropping-particle":"","family":"Gisselbrecht","given":"C.","non-dropping-particle":"","parse-names":false,"suffix":""},{"dropping-particle":"","family":"Reyes","given":"F.","non-dropping-particle":"","parse-names":false,"suffix":""},{"dropping-particle":"","family":"Coiffier","given":"B.","non-dropping-particle":"","parse-names":false,"suffix":""}],"container-title":"Journal of Clinical Oncology","id":"ITEM-2","issue":"18","issued":{"date-parts":[["2005","6","20"]]},"page":"4117-4126","title":"Long-term results of the R-CHOP study in the treatment of elderly patients with diffuse large B-cell lymphoma: A study by the groupe d'etude des lymphomes de l'adulte","type":"article-journal","volume":"23"},"uris":["http://www.mendeley.com/documents/?uuid=eb7df7c3-c637-3f34-8ed5-dd4ceae537f1"]},{"id":"ITEM-3","itemData":{"DOI":"10.1016/S1470-2045(06)70664-7","ISSN":"14702045","abstract":"Background: The role of rituximab in combination with different CHOP (cyclophosphamide, doxorubicin, vincristine, and prednisone)-like chemotherapy regimens in young patients with good-prognosis diffuse large-B-cell lymphoma remains to be defined. We aimed to compare CHOP-like chemotherapy and rituximab with CHOP-like chemotherapy alone in these patients. Methods: 824 patients who were from 18 countries; aged 18-60 years; and who had no risk factors or one risk factor according to age-adjusted International Prognostic Index (IPI), stage II-IV disease, or stage I disease with bulk were enrolled. These patients were randomly assigned to six cycles of CHOP-like chemotherapy and rituximab (n=413) or to six cycles of CHOP-like chemotherapy alone (n=411). Bulky and extranodal sites received additional radiotherapy. The primary endpoint was event-free survival; secondary endpoints were response, progression under therapy, progression-free survival, overall survival, and frequency of toxic effects. Analyses were done by intention to treat and per protocol. This trial is registered at http://www.clinicaltrials.gov, NCT 00064116. Findings: After a median follow-up of 34 months (range 0·03-61), patients assigned chemotherapy and rituximab had increased 3-year event-free survival compared with those assigned chemotherapy alone (79% [95% CI 75-83] vs 59% [54-64]; difference between groups 20% [13-27], log-rank p&lt;0·0001), and had increased 3-year overall survival (93% [90-95] vs 84% [80-88]; difference between groups 9% [3-13], log-rank p=0·0001). Event-free survival was affected by treatment group, presence of bulky disease, and age-adjusted IPI: after chemotherapy and rituximab, a favourable subgroup (ie, IPI=0, no bulk) could be defined from a less-favourable subgroup (ie, IPI=1 or bulk, or both). Groups did not differ in the frequency of adverse events. Interpretation: Rituximab added to six cycles of CHOP is an effective treatment for young patients with good-prognosis diffuse large-B-cell lymphoma. The definition of two prognostic subgroups allows for a more refined therapeutic approach for these patients. © 2006 Elsevier Ltd. All rights reserved.","author":[{"dropping-particle":"","family":"Pfreundschuh","given":"Michael","non-dropping-particle":"","parse-names":false,"suffix":""},{"dropping-particle":"","family":"Trümper","given":"Lorenz","non-dropping-particle":"","parse-names":false,"suffix":""},{"dropping-particle":"","family":"Österborg","given":"Anders","non-dropping-particle":"","parse-names":false,"suffix":""},{"dropping-particle":"","family":"Pettengell","given":"Ruth","non-dropping-particle":"","parse-names":false,"suffix":""},{"dropping-particle":"","family":"Trneny","given":"Marek","non-dropping-particle":"","parse-names":false,"suffix":""},{"dropping-particle":"","family":"Imrie","given":"Kevin","non-dropping-particle":"","parse-names":false,"suffix":""},{"dropping-particle":"","family":"Ma","given":"David","non-dropping-particle":"","parse-names":false,"suffix":""},{"dropping-particle":"","family":"Gill","given":"Devinder","non-dropping-particle":"","parse-names":false,"suffix":""},{"dropping-particle":"","family":"Walewski","given":"Jan","non-dropping-particle":"","parse-names":false,"suffix":""},{"dropping-particle":"","family":"Zinzani","given":"Pier Luigi","non-dropping-particle":"","parse-names":false,"suffix":""},{"dropping-particle":"","family":"Stahel","given":"Rolf","non-dropping-particle":"","parse-names":false,"suffix":""},{"dropping-particle":"","family":"Kvaloy","given":"Stein","non-dropping-particle":"","parse-names":false,"suffix":""},{"dropping-particle":"","family":"Shpilberg","given":"Ofer","non-dropping-particle":"","parse-names":false,"suffix":""},{"dropping-particle":"","family":"Jaeger","given":"Ulrich","non-dropping-particle":"","parse-names":false,"suffix":""},{"dropping-particle":"","family":"Hansen","given":"Mads","non-dropping-particle":"","parse-names":false,"suffix":""},{"dropping-particle":"","family":"Lehtinen","given":"Tuula","non-dropping-particle":"","parse-names":false,"suffix":""},{"dropping-particle":"","family":"López-Guillermo","given":"Armando","non-dropping-particle":"","parse-names":false,"suffix":""},{"dropping-particle":"","family":"Corrado","given":"Claudia","non-dropping-particle":"","parse-names":false,"suffix":""},{"dropping-particle":"","family":"Scheliga","given":"Adriana","non-dropping-particle":"","parse-names":false,"suffix":""},{"dropping-particle":"","family":"Milpied","given":"Noel","non-dropping-particle":"","parse-names":false,"suffix":""},{"dropping-particle":"","family":"Mendila","given":"Myriam","non-dropping-particle":"","parse-names":false,"suffix":""},{"dropping-particle":"","family":"Rashford","given":"Michelle","non-dropping-particle":"","parse-names":false,"suffix":""},{"dropping-particle":"","family":"Kuhnt","given":"Evelyn","non-dropping-particle":"","parse-names":false,"suffix":""},{"dropping-particle":"","family":"Loeffler","given":"Markus","non-dropping-particle":"","parse-names":false,"suffix":""}],"container-title":"Lancet Oncology","id":"ITEM-3","issue":"5","issued":{"date-parts":[["2006","5"]]},"page":"379-391","title":"CHOP-like chemotherapy plus rituximab versus CHOP-like chemotherapy alone in young patients with good-prognosis diffuse large-B-cell lymphoma: a randomised controlled trial by the MabThera International Trial (MInT) Group","type":"article-journal","volume":"7"},"uris":["http://www.mendeley.com/documents/?uuid=805ebaf8-c90d-3a2a-9895-15fe62df78e2"]},{"id":"ITEM-4","itemData":{"DOI":"10.1056/NEJM199807023390104","ISSN":"00284793","abstract":"Background Patients with clinically localized, intermediate- or high- grade non-Hodgkin's lymphoma usually receive initial treatment with a doxorubicin-containing regimen such as cyclophosphamide, doxorubicin, vincristine, and prednisone (CHOP). Pilot studies suggest that eight cycles of CHOP alone or three cycles of CHOP followed by involved-field radiotherapy are effective in such patients. Methods We compared these two approaches in a prospective, randomized, multi-institutional study. The end points were progression-free survival, overall survival, and life-threatening or fatal toxic effects. Two hundred eligible patients were randomly assigned to receive CHOP plus radiotherapy, and 201 received CHOP alone. Results Patients treated with three cycles of CHOP plus radiotherapy had significantly better progression-free survival (P=0.03) and overall survival (P=0.02) than patients treated with CHOP alone. The five-year estimates of progression- free survival for patients receiving CHOP plus radiotherapy and for patients receiving CHOP alone were 77 percent and 64 percent, respectively. The five- year estimates of overall survival for patients receiving CHOP plus radiotherapy and for patients receiving CHOP alone were 82 percent and 72 percent, respectively. The adverse effects included one death in each treatment group. Life-threatening toxic effects of any type were seen in 61 of 200 patients treated with CHOP plus radiotherapy and in 80 of 201 patients treated with CHOP alone (P=0.06). The left ventricular function was decreased in seven patients who received CHOP alone, whereas no cardiac events were recorded in the group receiving CHOP plus radiotherapy (P=0.02). Conclusions Three cycles of CHOP followed by involved-field radiotherapy are superior to eight cycles of CHOP alone for the treatment of localized intermediate- and high-grade non-Hodgkin's lymphoma.","author":[{"dropping-particle":"","family":"Miller","given":"Thomas P.","non-dropping-particle":"","parse-names":false,"suffix":""},{"dropping-particle":"","family":"Dahlberg","given":"Steve","non-dropping-particle":"","parse-names":false,"suffix":""},{"dropping-particle":"","family":"Cassady","given":"J. Robert","non-dropping-particle":"","parse-names":false,"suffix":""},{"dropping-particle":"","family":"Adelstein","given":"David J.","non-dropping-particle":"","parse-names":false,"suffix":""},{"dropping-particle":"","family":"Spier","given":"Catherine M.","non-dropping-particle":"","parse-names":false,"suffix":""},{"dropping-particle":"","family":"Grogan","given":"Thomas M.","non-dropping-particle":"","parse-names":false,"suffix":""},{"dropping-particle":"","family":"LeBlanc","given":"Michael","non-dropping-particle":"","parse-names":false,"suffix":""},{"dropping-particle":"","family":"Carlin","given":"Susan","non-dropping-particle":"","parse-names":false,"suffix":""},{"dropping-particle":"","family":"Chase","given":"Ellen","non-dropping-particle":"","parse-names":false,"suffix":""},{"dropping-particle":"","family":"Fisher","given":"Richard I.","non-dropping-particle":"","parse-names":false,"suffix":""}],"container-title":"New England Journal of Medicine","id":"ITEM-4","issue":"1","issued":{"date-parts":[["1998","7","2"]]},"page":"21-26","title":"Chemotherapy alone compared with chemotherapy plus radiotherapy for localized intermediate- and high-grade non-Hodgkin's lymphoma","type":"article-journal","volume":"339"},"uris":["http://www.mendeley.com/documents/?uuid=5750c820-620d-35ec-af78-8f3147d7c38d"]},{"id":"ITEM-5","itemData":{"DOI":"10.1200/JCO.2004.06.088","ISSN":"0732183X","abstract":"Purpose: To compare low-dose (30 Gy) radiotherapy (RT) with observation (OBS) in limited-stage aggressive lymphoma patients achieving complete remission (CR) after chemotherapy, and to measure conversion from partial response (PR) to CR with high-dose (40 Gy) RT. Patients and Methods: From 1984 to 1992, stage I (with risk factors) and II adults with diffuse aggressive lymphoma in CR after eight cycles of cyclophosphamide, doxorubicin, vincristine, and prednisone (CHOP) were randomly assigned to 30 Gy involved-field RT or OBS. PR patients received 40 Gy RT. Results: Among 172 CR patients, the 6-year disease-free survival (DFS) was 73% for low-dose RT versus 56% for OBS (two-sided P = .05). Failure-free survival (two-sided P = .06), and time to progression (two-sided P = .06) also favored RT. Intent-to-treat analyses yielded similar results. No survival differences were observed. Three RT versus 15 OBS patients relapsed in initial disease sites. At 6 years, failure-free survival was 63% in PR patients; conversion to CR did not significantly influence clinical outcome. Conclusion: For patients in CR after CHOP, low-dose RT prolonged DFS and provided local control, but no survival benefit was observed. The majority of PR patients were event-free at 6 years despite residual radiographic abnormalities. Future efforts should be directed toward improved imaging and more effective systemic therapies. © 2004 by American Society of Clinical Oncology.","author":[{"dropping-particle":"","family":"Horning","given":"Sandra J.","non-dropping-particle":"","parse-names":false,"suffix":""},{"dropping-particle":"","family":"Weller","given":"Edie","non-dropping-particle":"","parse-names":false,"suffix":""},{"dropping-particle":"","family":"Kim","given":"Kyung Mann","non-dropping-particle":"","parse-names":false,"suffix":""},{"dropping-particle":"","family":"Earle","given":"John D.","non-dropping-particle":"","parse-names":false,"suffix":""},{"dropping-particle":"","family":"O'Connell","given":"Michael J.","non-dropping-particle":"","parse-names":false,"suffix":""},{"dropping-particle":"","family":"Habermann","given":"Thomas M.","non-dropping-particle":"","parse-names":false,"suffix":""},{"dropping-particle":"","family":"Glick","given":"John H.","non-dropping-particle":"","parse-names":false,"suffix":""}],"container-title":"Journal of Clinical Oncology","id":"ITEM-5","issue":"15","issued":{"date-parts":[["2004","8"]]},"page":"3032-3038","title":"Chemotherapy with or without radiotherapy in limited-stage diffuse aggressive non-Hodgkin's lymphoma: Eastern Cooperative Oncology Group Study 1484","type":"article-journal","volume":"22"},"uris":["http://www.mendeley.com/documents/?uuid=b56310c6-223f-345b-93f3-e630a2d72c65"]},{"id":"ITEM-6","itemData":{"DOI":"10.1200/JCO.2007.13.6929","ISSN":"0732183X","abstract":"Purpose: To evaluate the effect of rituximab in limited-stage diffuse large B-cell lymphoma (DLBCL), we conducted a multicenter phase II trial combining rituximab with three cycles of CHOP (cyclophosphamide, doxorubicin, vincristine, and prednisone; R-CHOP) followed by involved-field radiation therapy (IFRT). Patients and Methods: Southwest Oncology Group (SWOG) study S0014 enrolled patients with newly diagnosed, aggressive, CD20-expressing non-Hodgkin's lymphoma (NHL). Patients had limited-stage disease and at least one adverse risk factor as defined by the stage-modified International Prognostic Index (nonbulky stage II disease, age &gt; 60 years, WHO performance status of 2, or elevated serum lactate dehydrogenase). Four doses of rituximab were infused on days -7, 1, 22, and 43, and CHOP was administered on days 3, 24, and 45, followed 3 weeks later by 40 to 46 Gy of IFRT. Results: Sixty patients with aggressive NHL were eligible. With the median follow-up of 5.3 years, treatment resulted in a progression-free survival (PFS) of 93% at 2 years and 88% at 4 years. Overall survival (OS) was 95% at 2 years and 92% at 4 years. These results were compared with those from a historic group of patients treated without rituximab on S8736, demonstrating PFS of 78% and OS of 88% at 4 years. Conclusion: In limited-stage DLBCL, the addition of rituximab to three cycles of CHOP plus IFRT met prespecified study criteria of efficacy, with 2-year PFS of at least 84%, meriting further investigation. There is a pattern of continuing relapse with modest survival gains. We hypothesize that such a pattern may be the result of biologic differences between limited- and advanced-stage lymphoma. © 2008 by American Society of Clinical Oncology.","author":[{"dropping-particle":"","family":"Persky","given":"Daniel O.","non-dropping-particle":"","parse-names":false,"suffix":""},{"dropping-particle":"","family":"Unger","given":"Joseph M.","non-dropping-particle":"","parse-names":false,"suffix":""},{"dropping-particle":"","family":"Spier","given":"Catherine M.","non-dropping-particle":"","parse-names":false,"suffix":""},{"dropping-particle":"","family":"Stea","given":"Baldassarre","non-dropping-particle":"","parse-names":false,"suffix":""},{"dropping-particle":"","family":"LeBlanc","given":"Michael","non-dropping-particle":"","parse-names":false,"suffix":""},{"dropping-particle":"","family":"McCarty","given":"Matthew J.","non-dropping-particle":"","parse-names":false,"suffix":""},{"dropping-particle":"","family":"Rimsza","given":"Lisa M.","non-dropping-particle":"","parse-names":false,"suffix":""},{"dropping-particle":"","family":"Fisher","given":"Richard I.","non-dropping-particle":"","parse-names":false,"suffix":""},{"dropping-particle":"","family":"Miller","given":"Thomas P.","non-dropping-particle":"","parse-names":false,"suffix":""}],"container-title":"Journal of Clinical Oncology","id":"ITEM-6","issue":"14","issued":{"date-parts":[["2008","5","10"]]},"page":"2258-2263","title":"Phase II study of rituximab plus three cycles of CHOP and involved-field radiotherapy for patients with limited-stage aggressive B-cell lymphoma: Southwest Oncology Group Study 0014","type":"article-journal","volume":"26"},"uris":["http://www.mendeley.com/documents/?uuid=7448f813-39f1-3ffd-994a-b0fb40324c4c"]},{"id":"ITEM-7","itemData":{"DOI":"10.1093/annonc/mdy184","ISSN":"1569-8041","PMID":"29790897","author":[{"dropping-particle":"","family":"Wästerlid","given":"T","non-dropping-particle":"","parse-names":false,"suffix":""},{"dropping-particle":"","family":"Biccler","given":"J L","non-dropping-particle":"","parse-names":false,"suffix":""},{"dropping-particle":"","family":"Brown","given":"P N","non-dropping-particle":"","parse-names":false,"suffix":""},{"dropping-particle":"","family":"Bøgsted","given":"M","non-dropping-particle":"","parse-names":false,"suffix":""},{"dropping-particle":"","family":"Enblad","given":"G","non-dropping-particle":"","parse-names":false,"suffix":""},{"dropping-particle":"","family":"Mészáros Jørgensen","given":"J","non-dropping-particle":"","parse-names":false,"suffix":""},{"dropping-particle":"","family":"Christensen","given":"J H","non-dropping-particle":"","parse-names":false,"suffix":""},{"dropping-particle":"","family":"Wahlin","given":"B E","non-dropping-particle":"","parse-names":false,"suffix":""},{"dropping-particle":"","family":"Smedby","given":"K E","non-dropping-particle":"","parse-names":false,"suffix":""},{"dropping-particle":"","family":"El-Galaly","given":"T C","non-dropping-particle":"","parse-names":false,"suffix":""},{"dropping-particle":"","family":"Jerkeman","given":"M","non-dropping-particle":"","parse-names":false,"suffix":""}],"container-title":"Annals of oncology : official journal of the European Society for Medical Oncology","id":"ITEM-7","issue":"8","issued":{"date-parts":[["2018"]]},"page":"1882-1883","title":"Six cycles of R-CHOP-21 are not inferior to eight cycles for treatment of diffuse large B-cell lymphoma: a Nordic Lymphoma Group Population-based Study.","type":"article-journal","volume":"29"},"uris":["http://www.mendeley.com/documents/?uuid=eee9eefc-217c-39a9-8108-d467754b3a23"]},{"id":"ITEM-8","itemData":{"DOI":"10.1016/S0140-6736(13)60313-X","ISSN":"1474547X","abstract":"Background Dose intensification with a combination of cyclophosphamide, doxorubicin, vincristine, and prednisolone (CHOP) every 2 weeks improves outcomes in patients older than 60 years with diffuse large B-cell lymphoma compared with CHOP every 3 weeks. We investigated whether this survival benefit from dose intensification persists in the presence of rituximab (R-CHOP) in all age groups. Methods Patients (aged ≥18 years) with previously untreated bulky stage IA to stage IV diffuse large B-cell lymphoma in 119 centres in the UK were randomly assigned centrally in a one-to-one ratio, using minimisation, to receive six cycles of R-CHOP every 14 days plus two cycles of rituximab (R-CHOP-14) or eight cycles of R-CHOP every 21 days (R-CHOP-21). R-CHOP-21 was intravenous cyclophosphamide 750 mg/m2, doxorubicin 50 mg/m 2, vincristine 1·4 mg/m2 (maximum dose 2 mg), and rituximab 375 mg/m2 on day 1, and oral prednisolone 40 mg/m 2 on days 1-5, administered every 21 days for a total of eight cycles. R-CHOP-14 was intravenous cyclophosphamide 750 mg/m2, doxorubicin 50 mg/m2, vincristine 2 mg, rituximab 375 mg/m 2 on day 1, and oral prednisolone 100 mg on days 1-5, administered every 14 days for six cycles, followed by two further infusions of rituximab 375 mg/m2 on day 1 every 14 days. The trial was not masked. The primary outcome was overall survival (OS). This study is registered, number ISCRTN 16017947. Findings 1080 patients were assigned to R-CHOP-21 (n=540) and R-CHOP-14 (n=540). With a median follow-up of 46 months (IQR 35-57), 2-year OS was 82·7% (79·5-85·9) in the R-CHOP-14 group and 80·8% (77·5-84·2) in the R-CHOP-21 (standard) group (hazard ratio 0·90, 95% CI 0·70-1·15; p=0·3763). No significant improvement was noted in 2-year progression-free survival (R-CHOP-14 75·4%, 71·8-79·1, and R-CHOP-21 74·8%, 71·0-78·4; 0·94, 0·76-1·17; p=0·5907). High international prognostic index, poor-prognosis molecular characteristics, and cell of origin were not predictive for benefit from either schedule. Grade 3 or 4 neutropenia was higher in the R-CHOP-21 group (318 [60%] of 534 vs 167 [31%] of 534), with no prophylactic use of recombinant human granulocyte-colony stimulating factor mandated in this group, whereas grade 3 or 4 thrombo cytopenia was higher with R-CHOP-14 (50 [9%] vs 28 [5%]); other frequent grade 3 or 4 adverse events were febrile neutropenia (58 [11%] vs 28 [5%]) and infection (125 [23%] vs 96 [18%]). Frequencies of non-haematological adverse events …","author":[{"dropping-particle":"","family":"Cunningham","given":"David","non-dropping-particle":"","parse-names":false,"suffix":""},{"dropping-particle":"","family":"Hawkes","given":"Eliza A.","non-dropping-particle":"","parse-names":false,"suffix":""},{"dropping-particle":"","family":"Jack","given":"Andrew","non-dropping-particle":"","parse-names":false,"suffix":""},{"dropping-particle":"","family":"Qian","given":"Wendi","non-dropping-particle":"","parse-names":false,"suffix":""},{"dropping-particle":"","family":"Smith","given":"Paul","non-dropping-particle":"","parse-names":false,"suffix":""},{"dropping-particle":"","family":"Mouncey","given":"Paul","non-dropping-particle":"","parse-names":false,"suffix":""},{"dropping-particle":"","family":"Pocock","given":"Christopher","non-dropping-particle":"","parse-names":false,"suffix":""},{"dropping-particle":"","family":"Ardeshna","given":"Kirit M.","non-dropping-particle":"","parse-names":false,"suffix":""},{"dropping-particle":"","family":"Radford","given":"John A.","non-dropping-particle":"","parse-names":false,"suffix":""},{"dropping-particle":"","family":"McMillan","given":"Andrew","non-dropping-particle":"","parse-names":false,"suffix":""},{"dropping-particle":"","family":"Davies","given":"John","non-dropping-particle":"","parse-names":false,"suffix":""},{"dropping-particle":"","family":"Turner","given":"Deborah","non-dropping-particle":"","parse-names":false,"suffix":""},{"dropping-particle":"","family":"Kruger","given":"Anton","non-dropping-particle":"","parse-names":false,"suffix":""},{"dropping-particle":"","family":"Johnson","given":"Peter","non-dropping-particle":"","parse-names":false,"suffix":""},{"dropping-particle":"","family":"Gambell","given":"Joanna","non-dropping-particle":"","parse-names":false,"suffix":""},{"dropping-particle":"","family":"Linch","given":"David","non-dropping-particle":"","parse-names":false,"suffix":""}],"container-title":"The Lancet","id":"ITEM-8","issue":"9880","issued":{"date-parts":[["2013","5","25"]]},"page":"1817-1826","publisher":"Lancet Publishing Group","title":"Rituximab plus cyclophosphamide, doxorubicin, vincristine, and prednisolone in patients with newly diagnosed diffuse large B-cell non-Hodgkin lymphoma: A phase 3 comparison of dose intensification with 14-day versus 21-day cycles","type":"article-journal","volume":"381"},"uris":["http://www.mendeley.com/documents/?uuid=528af3f9-f37f-38fb-9cfc-d82be32faa43"]}],"mendeley":{"formattedCitation":"[36–43]","plainTextFormattedCitation":"[36–43]","previouslyFormattedCitation":"[36–43]"},"properties":{"noteIndex":0},"schema":"https://github.com/citation-style-language/schema/raw/master/csl-citation.json"}</w:instrText>
      </w:r>
      <w:r w:rsidR="006B6073" w:rsidRPr="000322E4">
        <w:fldChar w:fldCharType="separate"/>
      </w:r>
      <w:r w:rsidR="00FF47BC" w:rsidRPr="000322E4">
        <w:rPr>
          <w:noProof/>
        </w:rPr>
        <w:t>[36–43]</w:t>
      </w:r>
      <w:r w:rsidR="006B6073" w:rsidRPr="000322E4">
        <w:fldChar w:fldCharType="end"/>
      </w:r>
      <w:r w:rsidRPr="000322E4">
        <w:t xml:space="preserve">. </w:t>
      </w:r>
    </w:p>
    <w:p w14:paraId="76509397" w14:textId="77777777" w:rsidR="008E7EEC" w:rsidRPr="000322E4" w:rsidRDefault="008E7EEC" w:rsidP="008A40EA">
      <w:pPr>
        <w:ind w:left="709"/>
        <w:contextualSpacing/>
        <w:rPr>
          <w:b/>
        </w:rPr>
      </w:pPr>
      <w:r w:rsidRPr="000322E4">
        <w:rPr>
          <w:b/>
        </w:rPr>
        <w:t xml:space="preserve">Уровень убедительности рекомендаций </w:t>
      </w:r>
      <w:r w:rsidRPr="000322E4">
        <w:rPr>
          <w:b/>
          <w:lang w:val="en-US"/>
        </w:rPr>
        <w:t>B</w:t>
      </w:r>
      <w:r w:rsidRPr="000322E4">
        <w:rPr>
          <w:b/>
        </w:rPr>
        <w:t xml:space="preserve"> (уровень достоверности доказательств 2).</w:t>
      </w:r>
    </w:p>
    <w:p w14:paraId="0C3AF148" w14:textId="77777777" w:rsidR="008E7EEC" w:rsidRPr="000322E4" w:rsidRDefault="008E7EEC" w:rsidP="008A40EA">
      <w:pPr>
        <w:ind w:left="709"/>
        <w:contextualSpacing/>
        <w:rPr>
          <w:i/>
          <w:iCs/>
        </w:rPr>
      </w:pPr>
      <w:r w:rsidRPr="000322E4">
        <w:rPr>
          <w:b/>
        </w:rPr>
        <w:t>Комментарий:</w:t>
      </w:r>
      <w:r w:rsidRPr="000322E4">
        <w:rPr>
          <w:bCs/>
        </w:rPr>
        <w:t xml:space="preserve"> </w:t>
      </w:r>
      <w:r w:rsidR="006B6073" w:rsidRPr="000322E4">
        <w:rPr>
          <w:i/>
          <w:iCs/>
        </w:rPr>
        <w:t xml:space="preserve">В случае отсутствия противоопухолевого ответа и/или при наличии признаков прогрессирования ДВКЛ </w:t>
      </w:r>
      <w:r w:rsidR="00103620" w:rsidRPr="000322E4">
        <w:rPr>
          <w:i/>
          <w:iCs/>
        </w:rPr>
        <w:t xml:space="preserve">пациент </w:t>
      </w:r>
      <w:r w:rsidR="006B6073" w:rsidRPr="000322E4">
        <w:rPr>
          <w:i/>
          <w:iCs/>
        </w:rPr>
        <w:t>переводится на терапию в рамках 2 линии</w:t>
      </w:r>
      <w:r w:rsidR="00746BF7" w:rsidRPr="000322E4">
        <w:rPr>
          <w:i/>
          <w:iCs/>
        </w:rPr>
        <w:t>.</w:t>
      </w:r>
    </w:p>
    <w:p w14:paraId="4C472083" w14:textId="77777777" w:rsidR="00746BF7" w:rsidRPr="000322E4" w:rsidRDefault="00746BF7" w:rsidP="008A40EA">
      <w:pPr>
        <w:pStyle w:val="afff8"/>
        <w:spacing w:before="0"/>
        <w:rPr>
          <w:i/>
          <w:iCs/>
        </w:rPr>
      </w:pPr>
      <w:r w:rsidRPr="000322E4">
        <w:t>В случае достижения противоопухолевого ответа по схеме R-CHOP у пациентов старше 18 лет с впервые установленной ДВКЛ I-II стадии, рекомендовано выполнение консолидирующей  лучевой терапии на зоны исходно поражённых лимфатических узлов и/или экстранодального поражения СОД 30 Гр, РОД 1,8 - 2,0 Гр</w:t>
      </w:r>
      <w:r w:rsidR="00FE4AC0" w:rsidRPr="000322E4">
        <w:t xml:space="preserve"> </w:t>
      </w:r>
      <w:r w:rsidR="00FE4AC0" w:rsidRPr="000322E4">
        <w:rPr>
          <w:lang w:val="en-US"/>
        </w:rPr>
        <w:fldChar w:fldCharType="begin" w:fldLock="1"/>
      </w:r>
      <w:r w:rsidR="003B604F" w:rsidRPr="000322E4">
        <w:rPr>
          <w:lang w:val="en-US"/>
        </w:rPr>
        <w:instrText>ADDIN</w:instrText>
      </w:r>
      <w:r w:rsidR="003B604F" w:rsidRPr="000322E4">
        <w:instrText xml:space="preserve"> </w:instrText>
      </w:r>
      <w:r w:rsidR="003B604F" w:rsidRPr="000322E4">
        <w:rPr>
          <w:lang w:val="en-US"/>
        </w:rPr>
        <w:instrText>CSL</w:instrText>
      </w:r>
      <w:r w:rsidR="003B604F" w:rsidRPr="000322E4">
        <w:instrText>_</w:instrText>
      </w:r>
      <w:r w:rsidR="003B604F" w:rsidRPr="000322E4">
        <w:rPr>
          <w:lang w:val="en-US"/>
        </w:rPr>
        <w:instrText>CITATION</w:instrText>
      </w:r>
      <w:r w:rsidR="003B604F" w:rsidRPr="000322E4">
        <w:instrText xml:space="preserve"> {"</w:instrText>
      </w:r>
      <w:r w:rsidR="003B604F" w:rsidRPr="000322E4">
        <w:rPr>
          <w:lang w:val="en-US"/>
        </w:rPr>
        <w:instrText>citationItems</w:instrText>
      </w:r>
      <w:r w:rsidR="003B604F" w:rsidRPr="000322E4">
        <w:instrText>":[{"</w:instrText>
      </w:r>
      <w:r w:rsidR="003B604F" w:rsidRPr="000322E4">
        <w:rPr>
          <w:lang w:val="en-US"/>
        </w:rPr>
        <w:instrText>id</w:instrText>
      </w:r>
      <w:r w:rsidR="003B604F" w:rsidRPr="000322E4">
        <w:instrText>":"</w:instrText>
      </w:r>
      <w:r w:rsidR="003B604F" w:rsidRPr="000322E4">
        <w:rPr>
          <w:lang w:val="en-US"/>
        </w:rPr>
        <w:instrText>ITEM</w:instrText>
      </w:r>
      <w:r w:rsidR="003B604F" w:rsidRPr="000322E4">
        <w:instrText>-1","</w:instrText>
      </w:r>
      <w:r w:rsidR="003B604F" w:rsidRPr="000322E4">
        <w:rPr>
          <w:lang w:val="en-US"/>
        </w:rPr>
        <w:instrText>itemData</w:instrText>
      </w:r>
      <w:r w:rsidR="003B604F" w:rsidRPr="000322E4">
        <w:instrText>":{"</w:instrText>
      </w:r>
      <w:r w:rsidR="003B604F" w:rsidRPr="000322E4">
        <w:rPr>
          <w:lang w:val="en-US"/>
        </w:rPr>
        <w:instrText>DOI</w:instrText>
      </w:r>
      <w:r w:rsidR="003B604F" w:rsidRPr="000322E4">
        <w:instrText>":"10.1016/</w:instrText>
      </w:r>
      <w:r w:rsidR="003B604F" w:rsidRPr="000322E4">
        <w:rPr>
          <w:lang w:val="en-US"/>
        </w:rPr>
        <w:instrText>j</w:instrText>
      </w:r>
      <w:r w:rsidR="003B604F" w:rsidRPr="000322E4">
        <w:instrText>.</w:instrText>
      </w:r>
      <w:r w:rsidR="003B604F" w:rsidRPr="000322E4">
        <w:rPr>
          <w:lang w:val="en-US"/>
        </w:rPr>
        <w:instrText>ijrobp</w:instrText>
      </w:r>
      <w:r w:rsidR="003B604F" w:rsidRPr="000322E4">
        <w:instrText>.2014.12.042","</w:instrText>
      </w:r>
      <w:r w:rsidR="003B604F" w:rsidRPr="000322E4">
        <w:rPr>
          <w:lang w:val="en-US"/>
        </w:rPr>
        <w:instrText>ISSN</w:instrText>
      </w:r>
      <w:r w:rsidR="003B604F" w:rsidRPr="000322E4">
        <w:instrText>":"1879355</w:instrText>
      </w:r>
      <w:r w:rsidR="003B604F" w:rsidRPr="000322E4">
        <w:rPr>
          <w:lang w:val="en-US"/>
        </w:rPr>
        <w:instrText>X</w:instrText>
      </w:r>
      <w:r w:rsidR="003B604F" w:rsidRPr="000322E4">
        <w:instrText>","</w:instrText>
      </w:r>
      <w:r w:rsidR="003B604F" w:rsidRPr="000322E4">
        <w:rPr>
          <w:lang w:val="en-US"/>
        </w:rPr>
        <w:instrText>abstract</w:instrText>
      </w:r>
      <w:r w:rsidR="003B604F" w:rsidRPr="000322E4">
        <w:instrText>":"</w:instrText>
      </w:r>
      <w:r w:rsidR="003B604F" w:rsidRPr="000322E4">
        <w:rPr>
          <w:lang w:val="en-US"/>
        </w:rPr>
        <w:instrText>Purpose</w:instrText>
      </w:r>
      <w:r w:rsidR="003B604F" w:rsidRPr="000322E4">
        <w:instrText xml:space="preserve"> </w:instrText>
      </w:r>
      <w:r w:rsidR="003B604F" w:rsidRPr="000322E4">
        <w:rPr>
          <w:lang w:val="en-US"/>
        </w:rPr>
        <w:instrText>The</w:instrText>
      </w:r>
      <w:r w:rsidR="003B604F" w:rsidRPr="000322E4">
        <w:instrText xml:space="preserve"> </w:instrText>
      </w:r>
      <w:r w:rsidR="003B604F" w:rsidRPr="000322E4">
        <w:rPr>
          <w:lang w:val="en-US"/>
        </w:rPr>
        <w:instrText>purpose</w:instrText>
      </w:r>
      <w:r w:rsidR="003B604F" w:rsidRPr="000322E4">
        <w:instrText xml:space="preserve"> </w:instrText>
      </w:r>
      <w:r w:rsidR="003B604F" w:rsidRPr="000322E4">
        <w:rPr>
          <w:lang w:val="en-US"/>
        </w:rPr>
        <w:instrText>of</w:instrText>
      </w:r>
      <w:r w:rsidR="003B604F" w:rsidRPr="000322E4">
        <w:instrText xml:space="preserve"> </w:instrText>
      </w:r>
      <w:r w:rsidR="003B604F" w:rsidRPr="000322E4">
        <w:rPr>
          <w:lang w:val="en-US"/>
        </w:rPr>
        <w:instrText>this</w:instrText>
      </w:r>
      <w:r w:rsidR="003B604F" w:rsidRPr="000322E4">
        <w:instrText xml:space="preserve"> </w:instrText>
      </w:r>
      <w:r w:rsidR="003B604F" w:rsidRPr="000322E4">
        <w:rPr>
          <w:lang w:val="en-US"/>
        </w:rPr>
        <w:instrText>study</w:instrText>
      </w:r>
      <w:r w:rsidR="003B604F" w:rsidRPr="000322E4">
        <w:instrText xml:space="preserve"> </w:instrText>
      </w:r>
      <w:r w:rsidR="003B604F" w:rsidRPr="000322E4">
        <w:rPr>
          <w:lang w:val="en-US"/>
        </w:rPr>
        <w:instrText>was</w:instrText>
      </w:r>
      <w:r w:rsidR="003B604F" w:rsidRPr="000322E4">
        <w:instrText xml:space="preserve"> </w:instrText>
      </w:r>
      <w:r w:rsidR="003B604F" w:rsidRPr="000322E4">
        <w:rPr>
          <w:lang w:val="en-US"/>
        </w:rPr>
        <w:instrText>to</w:instrText>
      </w:r>
      <w:r w:rsidR="003B604F" w:rsidRPr="000322E4">
        <w:instrText xml:space="preserve"> </w:instrText>
      </w:r>
      <w:r w:rsidR="003B604F" w:rsidRPr="000322E4">
        <w:rPr>
          <w:lang w:val="en-US"/>
        </w:rPr>
        <w:instrText>evaluate</w:instrText>
      </w:r>
      <w:r w:rsidR="003B604F" w:rsidRPr="000322E4">
        <w:instrText xml:space="preserve"> </w:instrText>
      </w:r>
      <w:r w:rsidR="003B604F" w:rsidRPr="000322E4">
        <w:rPr>
          <w:lang w:val="en-US"/>
        </w:rPr>
        <w:instrText>the</w:instrText>
      </w:r>
      <w:r w:rsidR="003B604F" w:rsidRPr="000322E4">
        <w:instrText xml:space="preserve"> </w:instrText>
      </w:r>
      <w:r w:rsidR="003B604F" w:rsidRPr="000322E4">
        <w:rPr>
          <w:lang w:val="en-US"/>
        </w:rPr>
        <w:instrText>role</w:instrText>
      </w:r>
      <w:r w:rsidR="003B604F" w:rsidRPr="000322E4">
        <w:instrText xml:space="preserve"> </w:instrText>
      </w:r>
      <w:r w:rsidR="003B604F" w:rsidRPr="000322E4">
        <w:rPr>
          <w:lang w:val="en-US"/>
        </w:rPr>
        <w:instrText>of</w:instrText>
      </w:r>
      <w:r w:rsidR="003B604F" w:rsidRPr="000322E4">
        <w:instrText xml:space="preserve"> </w:instrText>
      </w:r>
      <w:r w:rsidR="003B604F" w:rsidRPr="000322E4">
        <w:rPr>
          <w:lang w:val="en-US"/>
        </w:rPr>
        <w:instrText>involved</w:instrText>
      </w:r>
      <w:r w:rsidR="003B604F" w:rsidRPr="000322E4">
        <w:instrText>-</w:instrText>
      </w:r>
      <w:r w:rsidR="003B604F" w:rsidRPr="000322E4">
        <w:rPr>
          <w:lang w:val="en-US"/>
        </w:rPr>
        <w:instrText>lesion</w:instrText>
      </w:r>
      <w:r w:rsidR="003B604F" w:rsidRPr="000322E4">
        <w:instrText xml:space="preserve"> </w:instrText>
      </w:r>
      <w:r w:rsidR="003B604F" w:rsidRPr="000322E4">
        <w:rPr>
          <w:lang w:val="en-US"/>
        </w:rPr>
        <w:instrText>radiation</w:instrText>
      </w:r>
      <w:r w:rsidR="003B604F" w:rsidRPr="000322E4">
        <w:instrText xml:space="preserve"> </w:instrText>
      </w:r>
      <w:r w:rsidR="003B604F" w:rsidRPr="000322E4">
        <w:rPr>
          <w:lang w:val="en-US"/>
        </w:rPr>
        <w:instrText>therapy</w:instrText>
      </w:r>
      <w:r w:rsidR="003B604F" w:rsidRPr="000322E4">
        <w:instrText xml:space="preserve"> (</w:instrText>
      </w:r>
      <w:r w:rsidR="003B604F" w:rsidRPr="000322E4">
        <w:rPr>
          <w:lang w:val="en-US"/>
        </w:rPr>
        <w:instrText>ILRT</w:instrText>
      </w:r>
      <w:r w:rsidR="003B604F" w:rsidRPr="000322E4">
        <w:instrText xml:space="preserve">) </w:instrText>
      </w:r>
      <w:r w:rsidR="003B604F" w:rsidRPr="000322E4">
        <w:rPr>
          <w:lang w:val="en-US"/>
        </w:rPr>
        <w:instrText>after</w:instrText>
      </w:r>
      <w:r w:rsidR="003B604F" w:rsidRPr="000322E4">
        <w:instrText xml:space="preserve"> </w:instrText>
      </w:r>
      <w:r w:rsidR="003B604F" w:rsidRPr="000322E4">
        <w:rPr>
          <w:lang w:val="en-US"/>
        </w:rPr>
        <w:instrText>rituximab</w:instrText>
      </w:r>
      <w:r w:rsidR="003B604F" w:rsidRPr="000322E4">
        <w:instrText xml:space="preserve">, </w:instrText>
      </w:r>
      <w:r w:rsidR="003B604F" w:rsidRPr="000322E4">
        <w:rPr>
          <w:lang w:val="en-US"/>
        </w:rPr>
        <w:instrText>cyclophosphamide</w:instrText>
      </w:r>
      <w:r w:rsidR="003B604F" w:rsidRPr="000322E4">
        <w:instrText xml:space="preserve">, </w:instrText>
      </w:r>
      <w:r w:rsidR="003B604F" w:rsidRPr="000322E4">
        <w:rPr>
          <w:lang w:val="en-US"/>
        </w:rPr>
        <w:instrText>doxorubicin</w:instrText>
      </w:r>
      <w:r w:rsidR="003B604F" w:rsidRPr="000322E4">
        <w:instrText xml:space="preserve">, </w:instrText>
      </w:r>
      <w:r w:rsidR="003B604F" w:rsidRPr="000322E4">
        <w:rPr>
          <w:lang w:val="en-US"/>
        </w:rPr>
        <w:instrText>vincristine</w:instrText>
      </w:r>
      <w:r w:rsidR="003B604F" w:rsidRPr="000322E4">
        <w:instrText xml:space="preserve">, </w:instrText>
      </w:r>
      <w:r w:rsidR="003B604F" w:rsidRPr="000322E4">
        <w:rPr>
          <w:lang w:val="en-US"/>
        </w:rPr>
        <w:instrText>and</w:instrText>
      </w:r>
      <w:r w:rsidR="003B604F" w:rsidRPr="000322E4">
        <w:instrText xml:space="preserve"> </w:instrText>
      </w:r>
      <w:r w:rsidR="003B604F" w:rsidRPr="000322E4">
        <w:rPr>
          <w:lang w:val="en-US"/>
        </w:rPr>
        <w:instrText>prednisone</w:instrText>
      </w:r>
      <w:r w:rsidR="003B604F" w:rsidRPr="000322E4">
        <w:instrText xml:space="preserve"> (</w:instrText>
      </w:r>
      <w:r w:rsidR="003B604F" w:rsidRPr="000322E4">
        <w:rPr>
          <w:lang w:val="en-US"/>
        </w:rPr>
        <w:instrText>R</w:instrText>
      </w:r>
      <w:r w:rsidR="003B604F" w:rsidRPr="000322E4">
        <w:instrText>-</w:instrText>
      </w:r>
      <w:r w:rsidR="003B604F" w:rsidRPr="000322E4">
        <w:rPr>
          <w:lang w:val="en-US"/>
        </w:rPr>
        <w:instrText>CHOP</w:instrText>
      </w:r>
      <w:r w:rsidR="003B604F" w:rsidRPr="000322E4">
        <w:instrText xml:space="preserve">) </w:instrText>
      </w:r>
      <w:r w:rsidR="003B604F" w:rsidRPr="000322E4">
        <w:rPr>
          <w:lang w:val="en-US"/>
        </w:rPr>
        <w:instrText>chemotherapy</w:instrText>
      </w:r>
      <w:r w:rsidR="003B604F" w:rsidRPr="000322E4">
        <w:instrText xml:space="preserve"> </w:instrText>
      </w:r>
      <w:r w:rsidR="003B604F" w:rsidRPr="000322E4">
        <w:rPr>
          <w:lang w:val="en-US"/>
        </w:rPr>
        <w:instrText>in</w:instrText>
      </w:r>
      <w:r w:rsidR="003B604F" w:rsidRPr="000322E4">
        <w:instrText xml:space="preserve"> </w:instrText>
      </w:r>
      <w:r w:rsidR="003B604F" w:rsidRPr="000322E4">
        <w:rPr>
          <w:lang w:val="en-US"/>
        </w:rPr>
        <w:instrText>limited</w:instrText>
      </w:r>
      <w:r w:rsidR="003B604F" w:rsidRPr="000322E4">
        <w:instrText xml:space="preserve"> </w:instrText>
      </w:r>
      <w:r w:rsidR="003B604F" w:rsidRPr="000322E4">
        <w:rPr>
          <w:lang w:val="en-US"/>
        </w:rPr>
        <w:instrText>stage</w:instrText>
      </w:r>
      <w:r w:rsidR="003B604F" w:rsidRPr="000322E4">
        <w:instrText xml:space="preserve"> </w:instrText>
      </w:r>
      <w:r w:rsidR="003B604F" w:rsidRPr="000322E4">
        <w:rPr>
          <w:lang w:val="en-US"/>
        </w:rPr>
        <w:instrText>diffuse</w:instrText>
      </w:r>
      <w:r w:rsidR="003B604F" w:rsidRPr="000322E4">
        <w:instrText xml:space="preserve"> </w:instrText>
      </w:r>
      <w:r w:rsidR="003B604F" w:rsidRPr="000322E4">
        <w:rPr>
          <w:lang w:val="en-US"/>
        </w:rPr>
        <w:instrText>large</w:instrText>
      </w:r>
      <w:r w:rsidR="003B604F" w:rsidRPr="000322E4">
        <w:instrText xml:space="preserve"> </w:instrText>
      </w:r>
      <w:r w:rsidR="003B604F" w:rsidRPr="000322E4">
        <w:rPr>
          <w:lang w:val="en-US"/>
        </w:rPr>
        <w:instrText>B</w:instrText>
      </w:r>
      <w:r w:rsidR="003B604F" w:rsidRPr="000322E4">
        <w:instrText>-</w:instrText>
      </w:r>
      <w:r w:rsidR="003B604F" w:rsidRPr="000322E4">
        <w:rPr>
          <w:lang w:val="en-US"/>
        </w:rPr>
        <w:instrText>cell</w:instrText>
      </w:r>
      <w:r w:rsidR="003B604F" w:rsidRPr="000322E4">
        <w:instrText xml:space="preserve"> </w:instrText>
      </w:r>
      <w:r w:rsidR="003B604F" w:rsidRPr="000322E4">
        <w:rPr>
          <w:lang w:val="en-US"/>
        </w:rPr>
        <w:instrText>lymphoma</w:instrText>
      </w:r>
      <w:r w:rsidR="003B604F" w:rsidRPr="000322E4">
        <w:instrText xml:space="preserve"> (</w:instrText>
      </w:r>
      <w:r w:rsidR="003B604F" w:rsidRPr="000322E4">
        <w:rPr>
          <w:lang w:val="en-US"/>
        </w:rPr>
        <w:instrText>DLBCL</w:instrText>
      </w:r>
      <w:r w:rsidR="003B604F" w:rsidRPr="000322E4">
        <w:instrText xml:space="preserve">) </w:instrText>
      </w:r>
      <w:r w:rsidR="003B604F" w:rsidRPr="000322E4">
        <w:rPr>
          <w:lang w:val="en-US"/>
        </w:rPr>
        <w:instrText>by</w:instrText>
      </w:r>
      <w:r w:rsidR="003B604F" w:rsidRPr="000322E4">
        <w:instrText xml:space="preserve"> </w:instrText>
      </w:r>
      <w:r w:rsidR="003B604F" w:rsidRPr="000322E4">
        <w:rPr>
          <w:lang w:val="en-US"/>
        </w:rPr>
        <w:instrText>comparing</w:instrText>
      </w:r>
      <w:r w:rsidR="003B604F" w:rsidRPr="000322E4">
        <w:instrText xml:space="preserve"> </w:instrText>
      </w:r>
      <w:r w:rsidR="003B604F" w:rsidRPr="000322E4">
        <w:rPr>
          <w:lang w:val="en-US"/>
        </w:rPr>
        <w:instrText>outcomes</w:instrText>
      </w:r>
      <w:r w:rsidR="003B604F" w:rsidRPr="000322E4">
        <w:instrText xml:space="preserve"> </w:instrText>
      </w:r>
      <w:r w:rsidR="003B604F" w:rsidRPr="000322E4">
        <w:rPr>
          <w:lang w:val="en-US"/>
        </w:rPr>
        <w:instrText>of</w:instrText>
      </w:r>
      <w:r w:rsidR="003B604F" w:rsidRPr="000322E4">
        <w:instrText xml:space="preserve"> </w:instrText>
      </w:r>
      <w:r w:rsidR="003B604F" w:rsidRPr="000322E4">
        <w:rPr>
          <w:lang w:val="en-US"/>
        </w:rPr>
        <w:instrText>R</w:instrText>
      </w:r>
      <w:r w:rsidR="003B604F" w:rsidRPr="000322E4">
        <w:instrText>-</w:instrText>
      </w:r>
      <w:r w:rsidR="003B604F" w:rsidRPr="000322E4">
        <w:rPr>
          <w:lang w:val="en-US"/>
        </w:rPr>
        <w:instrText>CHOP</w:instrText>
      </w:r>
      <w:r w:rsidR="003B604F" w:rsidRPr="000322E4">
        <w:instrText xml:space="preserve"> </w:instrText>
      </w:r>
      <w:r w:rsidR="003B604F" w:rsidRPr="000322E4">
        <w:rPr>
          <w:lang w:val="en-US"/>
        </w:rPr>
        <w:instrText>therapy</w:instrText>
      </w:r>
      <w:r w:rsidR="003B604F" w:rsidRPr="000322E4">
        <w:instrText xml:space="preserve"> </w:instrText>
      </w:r>
      <w:r w:rsidR="003B604F" w:rsidRPr="000322E4">
        <w:rPr>
          <w:lang w:val="en-US"/>
        </w:rPr>
        <w:instrText>alone</w:instrText>
      </w:r>
      <w:r w:rsidR="003B604F" w:rsidRPr="000322E4">
        <w:instrText xml:space="preserve"> </w:instrText>
      </w:r>
      <w:r w:rsidR="003B604F" w:rsidRPr="000322E4">
        <w:rPr>
          <w:lang w:val="en-US"/>
        </w:rPr>
        <w:instrText>with</w:instrText>
      </w:r>
      <w:r w:rsidR="003B604F" w:rsidRPr="000322E4">
        <w:instrText xml:space="preserve"> </w:instrText>
      </w:r>
      <w:r w:rsidR="003B604F" w:rsidRPr="000322E4">
        <w:rPr>
          <w:lang w:val="en-US"/>
        </w:rPr>
        <w:instrText>R</w:instrText>
      </w:r>
      <w:r w:rsidR="003B604F" w:rsidRPr="000322E4">
        <w:instrText>-</w:instrText>
      </w:r>
      <w:r w:rsidR="003B604F" w:rsidRPr="000322E4">
        <w:rPr>
          <w:lang w:val="en-US"/>
        </w:rPr>
        <w:instrText>CHOP</w:instrText>
      </w:r>
      <w:r w:rsidR="003B604F" w:rsidRPr="000322E4">
        <w:instrText xml:space="preserve"> </w:instrText>
      </w:r>
      <w:r w:rsidR="003B604F" w:rsidRPr="000322E4">
        <w:rPr>
          <w:lang w:val="en-US"/>
        </w:rPr>
        <w:instrText>followed</w:instrText>
      </w:r>
      <w:r w:rsidR="003B604F" w:rsidRPr="000322E4">
        <w:instrText xml:space="preserve"> </w:instrText>
      </w:r>
      <w:r w:rsidR="003B604F" w:rsidRPr="000322E4">
        <w:rPr>
          <w:lang w:val="en-US"/>
        </w:rPr>
        <w:instrText>by</w:instrText>
      </w:r>
      <w:r w:rsidR="003B604F" w:rsidRPr="000322E4">
        <w:instrText xml:space="preserve"> </w:instrText>
      </w:r>
      <w:r w:rsidR="003B604F" w:rsidRPr="000322E4">
        <w:rPr>
          <w:lang w:val="en-US"/>
        </w:rPr>
        <w:instrText>ILRT</w:instrText>
      </w:r>
      <w:r w:rsidR="003B604F" w:rsidRPr="000322E4">
        <w:instrText xml:space="preserve">. </w:instrText>
      </w:r>
      <w:r w:rsidR="003B604F" w:rsidRPr="000322E4">
        <w:rPr>
          <w:lang w:val="en-US"/>
        </w:rPr>
        <w:instrText>Methods</w:instrText>
      </w:r>
      <w:r w:rsidR="003B604F" w:rsidRPr="000322E4">
        <w:instrText xml:space="preserve"> </w:instrText>
      </w:r>
      <w:r w:rsidR="003B604F" w:rsidRPr="000322E4">
        <w:rPr>
          <w:lang w:val="en-US"/>
        </w:rPr>
        <w:instrText>and</w:instrText>
      </w:r>
      <w:r w:rsidR="003B604F" w:rsidRPr="000322E4">
        <w:instrText xml:space="preserve"> </w:instrText>
      </w:r>
      <w:r w:rsidR="003B604F" w:rsidRPr="000322E4">
        <w:rPr>
          <w:lang w:val="en-US"/>
        </w:rPr>
        <w:instrText>Materials</w:instrText>
      </w:r>
      <w:r w:rsidR="003B604F" w:rsidRPr="000322E4">
        <w:instrText xml:space="preserve"> </w:instrText>
      </w:r>
      <w:r w:rsidR="003B604F" w:rsidRPr="000322E4">
        <w:rPr>
          <w:lang w:val="en-US"/>
        </w:rPr>
        <w:instrText>We</w:instrText>
      </w:r>
      <w:r w:rsidR="003B604F" w:rsidRPr="000322E4">
        <w:instrText xml:space="preserve"> </w:instrText>
      </w:r>
      <w:r w:rsidR="003B604F" w:rsidRPr="000322E4">
        <w:rPr>
          <w:lang w:val="en-US"/>
        </w:rPr>
        <w:instrText>identified</w:instrText>
      </w:r>
      <w:r w:rsidR="003B604F" w:rsidRPr="000322E4">
        <w:instrText xml:space="preserve"> 198 </w:instrText>
      </w:r>
      <w:r w:rsidR="003B604F" w:rsidRPr="000322E4">
        <w:rPr>
          <w:lang w:val="en-US"/>
        </w:rPr>
        <w:instrText>patients</w:instrText>
      </w:r>
      <w:r w:rsidR="003B604F" w:rsidRPr="000322E4">
        <w:instrText xml:space="preserve"> </w:instrText>
      </w:r>
      <w:r w:rsidR="003B604F" w:rsidRPr="000322E4">
        <w:rPr>
          <w:lang w:val="en-US"/>
        </w:rPr>
        <w:instrText>treated</w:instrText>
      </w:r>
      <w:r w:rsidR="003B604F" w:rsidRPr="000322E4">
        <w:instrText xml:space="preserve"> </w:instrText>
      </w:r>
      <w:r w:rsidR="003B604F" w:rsidRPr="000322E4">
        <w:rPr>
          <w:lang w:val="en-US"/>
        </w:rPr>
        <w:instrText>with</w:instrText>
      </w:r>
      <w:r w:rsidR="003B604F" w:rsidRPr="000322E4">
        <w:instrText xml:space="preserve"> </w:instrText>
      </w:r>
      <w:r w:rsidR="003B604F" w:rsidRPr="000322E4">
        <w:rPr>
          <w:lang w:val="en-US"/>
        </w:rPr>
        <w:instrText>R</w:instrText>
      </w:r>
      <w:r w:rsidR="003B604F" w:rsidRPr="000322E4">
        <w:instrText>-</w:instrText>
      </w:r>
      <w:r w:rsidR="003B604F" w:rsidRPr="000322E4">
        <w:rPr>
          <w:lang w:val="en-US"/>
        </w:rPr>
        <w:instrText>CHOP</w:instrText>
      </w:r>
      <w:r w:rsidR="003B604F" w:rsidRPr="000322E4">
        <w:instrText xml:space="preserve"> (</w:instrText>
      </w:r>
      <w:r w:rsidR="003B604F" w:rsidRPr="000322E4">
        <w:rPr>
          <w:lang w:val="en-US"/>
        </w:rPr>
        <w:instrText>median</w:instrText>
      </w:r>
      <w:r w:rsidR="003B604F" w:rsidRPr="000322E4">
        <w:instrText xml:space="preserve">, 6 </w:instrText>
      </w:r>
      <w:r w:rsidR="003B604F" w:rsidRPr="000322E4">
        <w:rPr>
          <w:lang w:val="en-US"/>
        </w:rPr>
        <w:instrText>cycles</w:instrText>
      </w:r>
      <w:r w:rsidR="003B604F" w:rsidRPr="000322E4">
        <w:instrText xml:space="preserve">) </w:instrText>
      </w:r>
      <w:r w:rsidR="003B604F" w:rsidRPr="000322E4">
        <w:rPr>
          <w:lang w:val="en-US"/>
        </w:rPr>
        <w:instrText>for</w:instrText>
      </w:r>
      <w:r w:rsidR="003B604F" w:rsidRPr="000322E4">
        <w:instrText xml:space="preserve"> </w:instrText>
      </w:r>
      <w:r w:rsidR="003B604F" w:rsidRPr="000322E4">
        <w:rPr>
          <w:lang w:val="en-US"/>
        </w:rPr>
        <w:instrText>pathologically</w:instrText>
      </w:r>
      <w:r w:rsidR="003B604F" w:rsidRPr="000322E4">
        <w:instrText xml:space="preserve"> </w:instrText>
      </w:r>
      <w:r w:rsidR="003B604F" w:rsidRPr="000322E4">
        <w:rPr>
          <w:lang w:val="en-US"/>
        </w:rPr>
        <w:instrText>confirmed</w:instrText>
      </w:r>
      <w:r w:rsidR="003B604F" w:rsidRPr="000322E4">
        <w:instrText xml:space="preserve"> </w:instrText>
      </w:r>
      <w:r w:rsidR="003B604F" w:rsidRPr="000322E4">
        <w:rPr>
          <w:lang w:val="en-US"/>
        </w:rPr>
        <w:instrText>DLBCL</w:instrText>
      </w:r>
      <w:r w:rsidR="003B604F" w:rsidRPr="000322E4">
        <w:instrText xml:space="preserve"> </w:instrText>
      </w:r>
      <w:r w:rsidR="003B604F" w:rsidRPr="000322E4">
        <w:rPr>
          <w:lang w:val="en-US"/>
        </w:rPr>
        <w:instrText>of</w:instrText>
      </w:r>
      <w:r w:rsidR="003B604F" w:rsidRPr="000322E4">
        <w:instrText xml:space="preserve"> </w:instrText>
      </w:r>
      <w:r w:rsidR="003B604F" w:rsidRPr="000322E4">
        <w:rPr>
          <w:lang w:val="en-US"/>
        </w:rPr>
        <w:instrText>limited</w:instrText>
      </w:r>
      <w:r w:rsidR="003B604F" w:rsidRPr="000322E4">
        <w:instrText xml:space="preserve"> </w:instrText>
      </w:r>
      <w:r w:rsidR="003B604F" w:rsidRPr="000322E4">
        <w:rPr>
          <w:lang w:val="en-US"/>
        </w:rPr>
        <w:instrText>stage</w:instrText>
      </w:r>
      <w:r w:rsidR="003B604F" w:rsidRPr="000322E4">
        <w:instrText xml:space="preserve"> </w:instrText>
      </w:r>
      <w:r w:rsidR="003B604F" w:rsidRPr="000322E4">
        <w:rPr>
          <w:lang w:val="en-US"/>
        </w:rPr>
        <w:instrText>from</w:instrText>
      </w:r>
      <w:r w:rsidR="003B604F" w:rsidRPr="000322E4">
        <w:instrText xml:space="preserve"> </w:instrText>
      </w:r>
      <w:r w:rsidR="003B604F" w:rsidRPr="000322E4">
        <w:rPr>
          <w:lang w:val="en-US"/>
        </w:rPr>
        <w:instrText>July</w:instrText>
      </w:r>
      <w:r w:rsidR="003B604F" w:rsidRPr="000322E4">
        <w:instrText xml:space="preserve"> 2004 </w:instrText>
      </w:r>
      <w:r w:rsidR="003B604F" w:rsidRPr="000322E4">
        <w:rPr>
          <w:lang w:val="en-US"/>
        </w:rPr>
        <w:instrText>to</w:instrText>
      </w:r>
      <w:r w:rsidR="003B604F" w:rsidRPr="000322E4">
        <w:instrText xml:space="preserve"> </w:instrText>
      </w:r>
      <w:r w:rsidR="003B604F" w:rsidRPr="000322E4">
        <w:rPr>
          <w:lang w:val="en-US"/>
        </w:rPr>
        <w:instrText>December</w:instrText>
      </w:r>
      <w:r w:rsidR="003B604F" w:rsidRPr="000322E4">
        <w:instrText xml:space="preserve"> 2012. </w:instrText>
      </w:r>
      <w:r w:rsidR="003B604F" w:rsidRPr="000322E4">
        <w:rPr>
          <w:lang w:val="en-US"/>
        </w:rPr>
        <w:instrText>Clinical</w:instrText>
      </w:r>
      <w:r w:rsidR="003B604F" w:rsidRPr="000322E4">
        <w:instrText xml:space="preserve"> </w:instrText>
      </w:r>
      <w:r w:rsidR="003B604F" w:rsidRPr="000322E4">
        <w:rPr>
          <w:lang w:val="en-US"/>
        </w:rPr>
        <w:instrText>characteristics</w:instrText>
      </w:r>
      <w:r w:rsidR="003B604F" w:rsidRPr="000322E4">
        <w:instrText xml:space="preserve"> </w:instrText>
      </w:r>
      <w:r w:rsidR="003B604F" w:rsidRPr="000322E4">
        <w:rPr>
          <w:lang w:val="en-US"/>
        </w:rPr>
        <w:instrText>of</w:instrText>
      </w:r>
      <w:r w:rsidR="003B604F" w:rsidRPr="000322E4">
        <w:instrText xml:space="preserve"> </w:instrText>
      </w:r>
      <w:r w:rsidR="003B604F" w:rsidRPr="000322E4">
        <w:rPr>
          <w:lang w:val="en-US"/>
        </w:rPr>
        <w:instrText>these</w:instrText>
      </w:r>
      <w:r w:rsidR="003B604F" w:rsidRPr="000322E4">
        <w:instrText xml:space="preserve"> </w:instrText>
      </w:r>
      <w:r w:rsidR="003B604F" w:rsidRPr="000322E4">
        <w:rPr>
          <w:lang w:val="en-US"/>
        </w:rPr>
        <w:instrText>patients</w:instrText>
      </w:r>
      <w:r w:rsidR="003B604F" w:rsidRPr="000322E4">
        <w:instrText xml:space="preserve"> </w:instrText>
      </w:r>
      <w:r w:rsidR="003B604F" w:rsidRPr="000322E4">
        <w:rPr>
          <w:lang w:val="en-US"/>
        </w:rPr>
        <w:instrText>were</w:instrText>
      </w:r>
      <w:r w:rsidR="003B604F" w:rsidRPr="000322E4">
        <w:instrText xml:space="preserve"> 33% </w:instrText>
      </w:r>
      <w:r w:rsidR="003B604F" w:rsidRPr="000322E4">
        <w:rPr>
          <w:lang w:val="en-US"/>
        </w:rPr>
        <w:instrText>with</w:instrText>
      </w:r>
      <w:r w:rsidR="003B604F" w:rsidRPr="000322E4">
        <w:instrText xml:space="preserve"> </w:instrText>
      </w:r>
      <w:r w:rsidR="003B604F" w:rsidRPr="000322E4">
        <w:rPr>
          <w:lang w:val="en-US"/>
        </w:rPr>
        <w:instrText>stage</w:instrText>
      </w:r>
      <w:r w:rsidR="003B604F" w:rsidRPr="000322E4">
        <w:instrText xml:space="preserve"> </w:instrText>
      </w:r>
      <w:r w:rsidR="003B604F" w:rsidRPr="000322E4">
        <w:rPr>
          <w:lang w:val="en-US"/>
        </w:rPr>
        <w:instrText>I</w:instrText>
      </w:r>
      <w:r w:rsidR="003B604F" w:rsidRPr="000322E4">
        <w:instrText xml:space="preserve"> </w:instrText>
      </w:r>
      <w:r w:rsidR="003B604F" w:rsidRPr="000322E4">
        <w:rPr>
          <w:lang w:val="en-US"/>
        </w:rPr>
        <w:instrText>and</w:instrText>
      </w:r>
      <w:r w:rsidR="003B604F" w:rsidRPr="000322E4">
        <w:instrText xml:space="preserve"> 66.7% </w:instrText>
      </w:r>
      <w:r w:rsidR="003B604F" w:rsidRPr="000322E4">
        <w:rPr>
          <w:lang w:val="en-US"/>
        </w:rPr>
        <w:instrText>with</w:instrText>
      </w:r>
      <w:r w:rsidR="003B604F" w:rsidRPr="000322E4">
        <w:instrText xml:space="preserve"> </w:instrText>
      </w:r>
      <w:r w:rsidR="003B604F" w:rsidRPr="000322E4">
        <w:rPr>
          <w:lang w:val="en-US"/>
        </w:rPr>
        <w:instrText>stage</w:instrText>
      </w:r>
      <w:r w:rsidR="003B604F" w:rsidRPr="000322E4">
        <w:instrText xml:space="preserve"> </w:instrText>
      </w:r>
      <w:r w:rsidR="003B604F" w:rsidRPr="000322E4">
        <w:rPr>
          <w:lang w:val="en-US"/>
        </w:rPr>
        <w:instrText>II</w:instrText>
      </w:r>
      <w:r w:rsidR="003B604F" w:rsidRPr="000322E4">
        <w:instrText xml:space="preserve">; 79.8% </w:instrText>
      </w:r>
      <w:r w:rsidR="003B604F" w:rsidRPr="000322E4">
        <w:rPr>
          <w:lang w:val="en-US"/>
        </w:rPr>
        <w:instrText>were</w:instrText>
      </w:r>
      <w:r w:rsidR="003B604F" w:rsidRPr="000322E4">
        <w:instrText xml:space="preserve"> </w:instrText>
      </w:r>
      <w:r w:rsidR="003B604F" w:rsidRPr="000322E4">
        <w:rPr>
          <w:lang w:val="en-US"/>
        </w:rPr>
        <w:instrText>in</w:instrText>
      </w:r>
      <w:r w:rsidR="003B604F" w:rsidRPr="000322E4">
        <w:instrText xml:space="preserve"> </w:instrText>
      </w:r>
      <w:r w:rsidR="003B604F" w:rsidRPr="000322E4">
        <w:rPr>
          <w:lang w:val="en-US"/>
        </w:rPr>
        <w:instrText>the</w:instrText>
      </w:r>
      <w:r w:rsidR="003B604F" w:rsidRPr="000322E4">
        <w:instrText xml:space="preserve"> </w:instrText>
      </w:r>
      <w:r w:rsidR="003B604F" w:rsidRPr="000322E4">
        <w:rPr>
          <w:lang w:val="en-US"/>
        </w:rPr>
        <w:instrText>low</w:instrText>
      </w:r>
      <w:r w:rsidR="003B604F" w:rsidRPr="000322E4">
        <w:instrText xml:space="preserve"> </w:instrText>
      </w:r>
      <w:r w:rsidR="003B604F" w:rsidRPr="000322E4">
        <w:rPr>
          <w:lang w:val="en-US"/>
        </w:rPr>
        <w:instrText>or</w:instrText>
      </w:r>
      <w:r w:rsidR="003B604F" w:rsidRPr="000322E4">
        <w:instrText xml:space="preserve"> </w:instrText>
      </w:r>
      <w:r w:rsidR="003B604F" w:rsidRPr="000322E4">
        <w:rPr>
          <w:lang w:val="en-US"/>
        </w:rPr>
        <w:instrText>low</w:instrText>
      </w:r>
      <w:r w:rsidR="003B604F" w:rsidRPr="000322E4">
        <w:instrText>-</w:instrText>
      </w:r>
      <w:r w:rsidR="003B604F" w:rsidRPr="000322E4">
        <w:rPr>
          <w:lang w:val="en-US"/>
        </w:rPr>
        <w:instrText>intermediate</w:instrText>
      </w:r>
      <w:r w:rsidR="003B604F" w:rsidRPr="000322E4">
        <w:instrText xml:space="preserve"> </w:instrText>
      </w:r>
      <w:r w:rsidR="003B604F" w:rsidRPr="000322E4">
        <w:rPr>
          <w:lang w:val="en-US"/>
        </w:rPr>
        <w:instrText>risk</w:instrText>
      </w:r>
      <w:r w:rsidR="003B604F" w:rsidRPr="000322E4">
        <w:instrText xml:space="preserve"> </w:instrText>
      </w:r>
      <w:r w:rsidR="003B604F" w:rsidRPr="000322E4">
        <w:rPr>
          <w:lang w:val="en-US"/>
        </w:rPr>
        <w:instrText>group</w:instrText>
      </w:r>
      <w:r w:rsidR="003B604F" w:rsidRPr="000322E4">
        <w:instrText xml:space="preserve">; 13.6% </w:instrText>
      </w:r>
      <w:r w:rsidR="003B604F" w:rsidRPr="000322E4">
        <w:rPr>
          <w:lang w:val="en-US"/>
        </w:rPr>
        <w:instrText>had</w:instrText>
      </w:r>
      <w:r w:rsidR="003B604F" w:rsidRPr="000322E4">
        <w:instrText xml:space="preserve"> </w:instrText>
      </w:r>
      <w:r w:rsidR="003B604F" w:rsidRPr="000322E4">
        <w:rPr>
          <w:lang w:val="en-US"/>
        </w:rPr>
        <w:instrText>B</w:instrText>
      </w:r>
      <w:r w:rsidR="003B604F" w:rsidRPr="000322E4">
        <w:instrText xml:space="preserve"> </w:instrText>
      </w:r>
      <w:r w:rsidR="003B604F" w:rsidRPr="000322E4">
        <w:rPr>
          <w:lang w:val="en-US"/>
        </w:rPr>
        <w:instrText>symptoms</w:instrText>
      </w:r>
      <w:r w:rsidR="003B604F" w:rsidRPr="000322E4">
        <w:instrText xml:space="preserve">; 29.8% </w:instrText>
      </w:r>
      <w:r w:rsidR="003B604F" w:rsidRPr="000322E4">
        <w:rPr>
          <w:lang w:val="en-US"/>
        </w:rPr>
        <w:instrText>had</w:instrText>
      </w:r>
      <w:r w:rsidR="003B604F" w:rsidRPr="000322E4">
        <w:instrText xml:space="preserve"> </w:instrText>
      </w:r>
      <w:r w:rsidR="003B604F" w:rsidRPr="000322E4">
        <w:rPr>
          <w:lang w:val="en-US"/>
        </w:rPr>
        <w:instrText>bulky</w:instrText>
      </w:r>
      <w:r w:rsidR="003B604F" w:rsidRPr="000322E4">
        <w:instrText xml:space="preserve"> </w:instrText>
      </w:r>
      <w:r w:rsidR="003B604F" w:rsidRPr="000322E4">
        <w:rPr>
          <w:lang w:val="en-US"/>
        </w:rPr>
        <w:instrText>tumors</w:instrText>
      </w:r>
      <w:r w:rsidR="003B604F" w:rsidRPr="000322E4">
        <w:instrText xml:space="preserve"> (≥7 </w:instrText>
      </w:r>
      <w:r w:rsidR="003B604F" w:rsidRPr="000322E4">
        <w:rPr>
          <w:lang w:val="en-US"/>
        </w:rPr>
        <w:instrText>cm</w:instrText>
      </w:r>
      <w:r w:rsidR="003B604F" w:rsidRPr="000322E4">
        <w:instrText xml:space="preserve">); </w:instrText>
      </w:r>
      <w:r w:rsidR="003B604F" w:rsidRPr="000322E4">
        <w:rPr>
          <w:lang w:val="en-US"/>
        </w:rPr>
        <w:instrText>and</w:instrText>
      </w:r>
      <w:r w:rsidR="003B604F" w:rsidRPr="000322E4">
        <w:instrText xml:space="preserve"> 75.3% </w:instrText>
      </w:r>
      <w:r w:rsidR="003B604F" w:rsidRPr="000322E4">
        <w:rPr>
          <w:lang w:val="en-US"/>
        </w:rPr>
        <w:instrText>underwent</w:instrText>
      </w:r>
      <w:r w:rsidR="003B604F" w:rsidRPr="000322E4">
        <w:instrText xml:space="preserve"> ≥6 </w:instrText>
      </w:r>
      <w:r w:rsidR="003B604F" w:rsidRPr="000322E4">
        <w:rPr>
          <w:lang w:val="en-US"/>
        </w:rPr>
        <w:instrText>cycles</w:instrText>
      </w:r>
      <w:r w:rsidR="003B604F" w:rsidRPr="000322E4">
        <w:instrText xml:space="preserve"> </w:instrText>
      </w:r>
      <w:r w:rsidR="003B604F" w:rsidRPr="000322E4">
        <w:rPr>
          <w:lang w:val="en-US"/>
        </w:rPr>
        <w:instrText>of</w:instrText>
      </w:r>
      <w:r w:rsidR="003B604F" w:rsidRPr="000322E4">
        <w:instrText xml:space="preserve"> </w:instrText>
      </w:r>
      <w:r w:rsidR="003B604F" w:rsidRPr="000322E4">
        <w:rPr>
          <w:lang w:val="en-US"/>
        </w:rPr>
        <w:instrText>R</w:instrText>
      </w:r>
      <w:r w:rsidR="003B604F" w:rsidRPr="000322E4">
        <w:instrText>-</w:instrText>
      </w:r>
      <w:r w:rsidR="003B604F" w:rsidRPr="000322E4">
        <w:rPr>
          <w:lang w:val="en-US"/>
        </w:rPr>
        <w:instrText>CHOP</w:instrText>
      </w:r>
      <w:r w:rsidR="003B604F" w:rsidRPr="000322E4">
        <w:instrText xml:space="preserve"> </w:instrText>
      </w:r>
      <w:r w:rsidR="003B604F" w:rsidRPr="000322E4">
        <w:rPr>
          <w:lang w:val="en-US"/>
        </w:rPr>
        <w:instrText>therapy</w:instrText>
      </w:r>
      <w:r w:rsidR="003B604F" w:rsidRPr="000322E4">
        <w:instrText xml:space="preserve">. </w:instrText>
      </w:r>
      <w:r w:rsidR="003B604F" w:rsidRPr="000322E4">
        <w:rPr>
          <w:lang w:val="en-US"/>
        </w:rPr>
        <w:instrText>RT</w:instrText>
      </w:r>
      <w:r w:rsidR="003B604F" w:rsidRPr="000322E4">
        <w:instrText xml:space="preserve"> </w:instrText>
      </w:r>
      <w:r w:rsidR="003B604F" w:rsidRPr="000322E4">
        <w:rPr>
          <w:lang w:val="en-US"/>
        </w:rPr>
        <w:instrText>was</w:instrText>
      </w:r>
      <w:r w:rsidR="003B604F" w:rsidRPr="000322E4">
        <w:instrText xml:space="preserve"> </w:instrText>
      </w:r>
      <w:r w:rsidR="003B604F" w:rsidRPr="000322E4">
        <w:rPr>
          <w:lang w:val="en-US"/>
        </w:rPr>
        <w:instrText>given</w:instrText>
      </w:r>
      <w:r w:rsidR="003B604F" w:rsidRPr="000322E4">
        <w:instrText xml:space="preserve"> </w:instrText>
      </w:r>
      <w:r w:rsidR="003B604F" w:rsidRPr="000322E4">
        <w:rPr>
          <w:lang w:val="en-US"/>
        </w:rPr>
        <w:instrText>to</w:instrText>
      </w:r>
      <w:r w:rsidR="003B604F" w:rsidRPr="000322E4">
        <w:instrText xml:space="preserve"> 43 </w:instrText>
      </w:r>
      <w:r w:rsidR="003B604F" w:rsidRPr="000322E4">
        <w:rPr>
          <w:lang w:val="en-US"/>
        </w:rPr>
        <w:instrText>patients</w:instrText>
      </w:r>
      <w:r w:rsidR="003B604F" w:rsidRPr="000322E4">
        <w:instrText xml:space="preserve"> (21.7%) </w:instrText>
      </w:r>
      <w:r w:rsidR="003B604F" w:rsidRPr="000322E4">
        <w:rPr>
          <w:lang w:val="en-US"/>
        </w:rPr>
        <w:instrText>using</w:instrText>
      </w:r>
      <w:r w:rsidR="003B604F" w:rsidRPr="000322E4">
        <w:instrText xml:space="preserve"> </w:instrText>
      </w:r>
      <w:r w:rsidR="003B604F" w:rsidRPr="000322E4">
        <w:rPr>
          <w:lang w:val="en-US"/>
        </w:rPr>
        <w:instrText>ILRT</w:instrText>
      </w:r>
      <w:r w:rsidR="003B604F" w:rsidRPr="000322E4">
        <w:instrText xml:space="preserve"> </w:instrText>
      </w:r>
      <w:r w:rsidR="003B604F" w:rsidRPr="000322E4">
        <w:rPr>
          <w:lang w:val="en-US"/>
        </w:rPr>
        <w:instrText>technique</w:instrText>
      </w:r>
      <w:r w:rsidR="003B604F" w:rsidRPr="000322E4">
        <w:instrText xml:space="preserve">, </w:instrText>
      </w:r>
      <w:r w:rsidR="003B604F" w:rsidRPr="000322E4">
        <w:rPr>
          <w:lang w:val="en-US"/>
        </w:rPr>
        <w:instrText>which</w:instrText>
      </w:r>
      <w:r w:rsidR="003B604F" w:rsidRPr="000322E4">
        <w:instrText xml:space="preserve"> </w:instrText>
      </w:r>
      <w:r w:rsidR="003B604F" w:rsidRPr="000322E4">
        <w:rPr>
          <w:lang w:val="en-US"/>
        </w:rPr>
        <w:instrText>included</w:instrText>
      </w:r>
      <w:r w:rsidR="003B604F" w:rsidRPr="000322E4">
        <w:instrText xml:space="preserve"> </w:instrText>
      </w:r>
      <w:r w:rsidR="003B604F" w:rsidRPr="000322E4">
        <w:rPr>
          <w:lang w:val="en-US"/>
        </w:rPr>
        <w:instrText>the</w:instrText>
      </w:r>
      <w:r w:rsidR="003B604F" w:rsidRPr="000322E4">
        <w:instrText xml:space="preserve"> </w:instrText>
      </w:r>
      <w:r w:rsidR="003B604F" w:rsidRPr="000322E4">
        <w:rPr>
          <w:lang w:val="en-US"/>
        </w:rPr>
        <w:instrText>prechemotherapy</w:instrText>
      </w:r>
      <w:r w:rsidR="003B604F" w:rsidRPr="000322E4">
        <w:instrText xml:space="preserve"> </w:instrText>
      </w:r>
      <w:r w:rsidR="003B604F" w:rsidRPr="000322E4">
        <w:rPr>
          <w:lang w:val="en-US"/>
        </w:rPr>
        <w:instrText>tumor</w:instrText>
      </w:r>
      <w:r w:rsidR="003B604F" w:rsidRPr="000322E4">
        <w:instrText xml:space="preserve"> </w:instrText>
      </w:r>
      <w:r w:rsidR="003B604F" w:rsidRPr="000322E4">
        <w:rPr>
          <w:lang w:val="en-US"/>
        </w:rPr>
        <w:instrText>volume</w:instrText>
      </w:r>
      <w:r w:rsidR="003B604F" w:rsidRPr="000322E4">
        <w:instrText xml:space="preserve"> </w:instrText>
      </w:r>
      <w:r w:rsidR="003B604F" w:rsidRPr="000322E4">
        <w:rPr>
          <w:lang w:val="en-US"/>
        </w:rPr>
        <w:instrText>with</w:instrText>
      </w:r>
      <w:r w:rsidR="003B604F" w:rsidRPr="000322E4">
        <w:instrText xml:space="preserve"> </w:instrText>
      </w:r>
      <w:r w:rsidR="003B604F" w:rsidRPr="000322E4">
        <w:rPr>
          <w:lang w:val="en-US"/>
        </w:rPr>
        <w:instrText>a</w:instrText>
      </w:r>
      <w:r w:rsidR="003B604F" w:rsidRPr="000322E4">
        <w:instrText xml:space="preserve"> </w:instrText>
      </w:r>
      <w:r w:rsidR="003B604F" w:rsidRPr="000322E4">
        <w:rPr>
          <w:lang w:val="en-US"/>
        </w:rPr>
        <w:instrText>median</w:instrText>
      </w:r>
      <w:r w:rsidR="003B604F" w:rsidRPr="000322E4">
        <w:instrText xml:space="preserve"> </w:instrText>
      </w:r>
      <w:r w:rsidR="003B604F" w:rsidRPr="000322E4">
        <w:rPr>
          <w:lang w:val="en-US"/>
        </w:rPr>
        <w:instrText>margin</w:instrText>
      </w:r>
      <w:r w:rsidR="003B604F" w:rsidRPr="000322E4">
        <w:instrText xml:space="preserve"> </w:instrText>
      </w:r>
      <w:r w:rsidR="003B604F" w:rsidRPr="000322E4">
        <w:rPr>
          <w:lang w:val="en-US"/>
        </w:rPr>
        <w:instrText>of</w:instrText>
      </w:r>
      <w:r w:rsidR="003B604F" w:rsidRPr="000322E4">
        <w:instrText xml:space="preserve"> 2 </w:instrText>
      </w:r>
      <w:r w:rsidR="003B604F" w:rsidRPr="000322E4">
        <w:rPr>
          <w:lang w:val="en-US"/>
        </w:rPr>
        <w:instrText>cm</w:instrText>
      </w:r>
      <w:r w:rsidR="003B604F" w:rsidRPr="000322E4">
        <w:instrText xml:space="preserve"> (</w:instrText>
      </w:r>
      <w:r w:rsidR="003B604F" w:rsidRPr="000322E4">
        <w:rPr>
          <w:lang w:val="en-US"/>
        </w:rPr>
        <w:instrText>median</w:instrText>
      </w:r>
      <w:r w:rsidR="003B604F" w:rsidRPr="000322E4">
        <w:instrText xml:space="preserve"> </w:instrText>
      </w:r>
      <w:r w:rsidR="003B604F" w:rsidRPr="000322E4">
        <w:rPr>
          <w:lang w:val="en-US"/>
        </w:rPr>
        <w:instrText>RT</w:instrText>
      </w:r>
      <w:r w:rsidR="003B604F" w:rsidRPr="000322E4">
        <w:instrText xml:space="preserve"> </w:instrText>
      </w:r>
      <w:r w:rsidR="003B604F" w:rsidRPr="000322E4">
        <w:rPr>
          <w:lang w:val="en-US"/>
        </w:rPr>
        <w:instrText>dose</w:instrText>
      </w:r>
      <w:r w:rsidR="003B604F" w:rsidRPr="000322E4">
        <w:instrText xml:space="preserve">: 36 </w:instrText>
      </w:r>
      <w:r w:rsidR="003B604F" w:rsidRPr="000322E4">
        <w:rPr>
          <w:lang w:val="en-US"/>
        </w:rPr>
        <w:instrText>Gy</w:instrText>
      </w:r>
      <w:r w:rsidR="003B604F" w:rsidRPr="000322E4">
        <w:instrText xml:space="preserve">). </w:instrText>
      </w:r>
      <w:r w:rsidR="003B604F" w:rsidRPr="000322E4">
        <w:rPr>
          <w:lang w:val="en-US"/>
        </w:rPr>
        <w:instrText>Results</w:instrText>
      </w:r>
      <w:r w:rsidR="003B604F" w:rsidRPr="000322E4">
        <w:instrText xml:space="preserve"> </w:instrText>
      </w:r>
      <w:r w:rsidR="003B604F" w:rsidRPr="000322E4">
        <w:rPr>
          <w:lang w:val="en-US"/>
        </w:rPr>
        <w:instrText>After</w:instrText>
      </w:r>
      <w:r w:rsidR="003B604F" w:rsidRPr="000322E4">
        <w:instrText xml:space="preserve"> </w:instrText>
      </w:r>
      <w:r w:rsidR="003B604F" w:rsidRPr="000322E4">
        <w:rPr>
          <w:lang w:val="en-US"/>
        </w:rPr>
        <w:instrText>a</w:instrText>
      </w:r>
      <w:r w:rsidR="003B604F" w:rsidRPr="000322E4">
        <w:instrText xml:space="preserve"> </w:instrText>
      </w:r>
      <w:r w:rsidR="003B604F" w:rsidRPr="000322E4">
        <w:rPr>
          <w:lang w:val="en-US"/>
        </w:rPr>
        <w:instrText>median</w:instrText>
      </w:r>
      <w:r w:rsidR="003B604F" w:rsidRPr="000322E4">
        <w:instrText xml:space="preserve"> </w:instrText>
      </w:r>
      <w:r w:rsidR="003B604F" w:rsidRPr="000322E4">
        <w:rPr>
          <w:lang w:val="en-US"/>
        </w:rPr>
        <w:instrText>follow</w:instrText>
      </w:r>
      <w:r w:rsidR="003B604F" w:rsidRPr="000322E4">
        <w:instrText>-</w:instrText>
      </w:r>
      <w:r w:rsidR="003B604F" w:rsidRPr="000322E4">
        <w:rPr>
          <w:lang w:val="en-US"/>
        </w:rPr>
        <w:instrText>up</w:instrText>
      </w:r>
      <w:r w:rsidR="003B604F" w:rsidRPr="000322E4">
        <w:instrText xml:space="preserve"> </w:instrText>
      </w:r>
      <w:r w:rsidR="003B604F" w:rsidRPr="000322E4">
        <w:rPr>
          <w:lang w:val="en-US"/>
        </w:rPr>
        <w:instrText>of</w:instrText>
      </w:r>
      <w:r w:rsidR="003B604F" w:rsidRPr="000322E4">
        <w:instrText xml:space="preserve"> 40 </w:instrText>
      </w:r>
      <w:r w:rsidR="003B604F" w:rsidRPr="000322E4">
        <w:rPr>
          <w:lang w:val="en-US"/>
        </w:rPr>
        <w:instrText>months</w:instrText>
      </w:r>
      <w:r w:rsidR="003B604F" w:rsidRPr="000322E4">
        <w:instrText>, 3-</w:instrText>
      </w:r>
      <w:r w:rsidR="003B604F" w:rsidRPr="000322E4">
        <w:rPr>
          <w:lang w:val="en-US"/>
        </w:rPr>
        <w:instrText>year</w:instrText>
      </w:r>
      <w:r w:rsidR="003B604F" w:rsidRPr="000322E4">
        <w:instrText xml:space="preserve"> </w:instrText>
      </w:r>
      <w:r w:rsidR="003B604F" w:rsidRPr="000322E4">
        <w:rPr>
          <w:lang w:val="en-US"/>
        </w:rPr>
        <w:instrText>progression</w:instrText>
      </w:r>
      <w:r w:rsidR="003B604F" w:rsidRPr="000322E4">
        <w:instrText>-</w:instrText>
      </w:r>
      <w:r w:rsidR="003B604F" w:rsidRPr="000322E4">
        <w:rPr>
          <w:lang w:val="en-US"/>
        </w:rPr>
        <w:instrText>free</w:instrText>
      </w:r>
      <w:r w:rsidR="003B604F" w:rsidRPr="000322E4">
        <w:instrText xml:space="preserve"> </w:instrText>
      </w:r>
      <w:r w:rsidR="003B604F" w:rsidRPr="000322E4">
        <w:rPr>
          <w:lang w:val="en-US"/>
        </w:rPr>
        <w:instrText>survival</w:instrText>
      </w:r>
      <w:r w:rsidR="003B604F" w:rsidRPr="000322E4">
        <w:instrText xml:space="preserve"> (</w:instrText>
      </w:r>
      <w:r w:rsidR="003B604F" w:rsidRPr="000322E4">
        <w:rPr>
          <w:lang w:val="en-US"/>
        </w:rPr>
        <w:instrText>PFS</w:instrText>
      </w:r>
      <w:r w:rsidR="003B604F" w:rsidRPr="000322E4">
        <w:instrText xml:space="preserve">) </w:instrText>
      </w:r>
      <w:r w:rsidR="003B604F" w:rsidRPr="000322E4">
        <w:rPr>
          <w:lang w:val="en-US"/>
        </w:rPr>
        <w:instrText>and</w:instrText>
      </w:r>
      <w:r w:rsidR="003B604F" w:rsidRPr="000322E4">
        <w:instrText xml:space="preserve"> </w:instrText>
      </w:r>
      <w:r w:rsidR="003B604F" w:rsidRPr="000322E4">
        <w:rPr>
          <w:lang w:val="en-US"/>
        </w:rPr>
        <w:instrText>overall</w:instrText>
      </w:r>
      <w:r w:rsidR="003B604F" w:rsidRPr="000322E4">
        <w:instrText xml:space="preserve"> </w:instrText>
      </w:r>
      <w:r w:rsidR="003B604F" w:rsidRPr="000322E4">
        <w:rPr>
          <w:lang w:val="en-US"/>
        </w:rPr>
        <w:instrText>survival</w:instrText>
      </w:r>
      <w:r w:rsidR="003B604F" w:rsidRPr="000322E4">
        <w:instrText xml:space="preserve"> (</w:instrText>
      </w:r>
      <w:r w:rsidR="003B604F" w:rsidRPr="000322E4">
        <w:rPr>
          <w:lang w:val="en-US"/>
        </w:rPr>
        <w:instrText>OS</w:instrText>
      </w:r>
      <w:r w:rsidR="003B604F" w:rsidRPr="000322E4">
        <w:instrText xml:space="preserve">) </w:instrText>
      </w:r>
      <w:r w:rsidR="003B604F" w:rsidRPr="000322E4">
        <w:rPr>
          <w:lang w:val="en-US"/>
        </w:rPr>
        <w:instrText>were</w:instrText>
      </w:r>
      <w:r w:rsidR="003B604F" w:rsidRPr="000322E4">
        <w:instrText xml:space="preserve"> 85.8% </w:instrText>
      </w:r>
      <w:r w:rsidR="003B604F" w:rsidRPr="000322E4">
        <w:rPr>
          <w:lang w:val="en-US"/>
        </w:rPr>
        <w:instrText>and</w:instrText>
      </w:r>
      <w:r w:rsidR="003B604F" w:rsidRPr="000322E4">
        <w:instrText xml:space="preserve"> 88.9%, </w:instrText>
      </w:r>
      <w:r w:rsidR="003B604F" w:rsidRPr="000322E4">
        <w:rPr>
          <w:lang w:val="en-US"/>
        </w:rPr>
        <w:instrText>respectively</w:instrText>
      </w:r>
      <w:r w:rsidR="003B604F" w:rsidRPr="000322E4">
        <w:instrText xml:space="preserve">. </w:instrText>
      </w:r>
      <w:r w:rsidR="003B604F" w:rsidRPr="000322E4">
        <w:rPr>
          <w:lang w:val="en-US"/>
        </w:rPr>
        <w:instrText>Multivariate</w:instrText>
      </w:r>
      <w:r w:rsidR="003B604F" w:rsidRPr="000322E4">
        <w:instrText xml:space="preserve"> </w:instrText>
      </w:r>
      <w:r w:rsidR="003B604F" w:rsidRPr="000322E4">
        <w:rPr>
          <w:lang w:val="en-US"/>
        </w:rPr>
        <w:instrText>analysis</w:instrText>
      </w:r>
      <w:r w:rsidR="003B604F" w:rsidRPr="000322E4">
        <w:instrText xml:space="preserve"> </w:instrText>
      </w:r>
      <w:r w:rsidR="003B604F" w:rsidRPr="000322E4">
        <w:rPr>
          <w:lang w:val="en-US"/>
        </w:rPr>
        <w:instrText>showed</w:instrText>
      </w:r>
      <w:r w:rsidR="003B604F" w:rsidRPr="000322E4">
        <w:instrText xml:space="preserve"> ≥6 </w:instrText>
      </w:r>
      <w:r w:rsidR="003B604F" w:rsidRPr="000322E4">
        <w:rPr>
          <w:lang w:val="en-US"/>
        </w:rPr>
        <w:instrText>cycles</w:instrText>
      </w:r>
      <w:r w:rsidR="003B604F" w:rsidRPr="000322E4">
        <w:instrText xml:space="preserve"> </w:instrText>
      </w:r>
      <w:r w:rsidR="003B604F" w:rsidRPr="000322E4">
        <w:rPr>
          <w:lang w:val="en-US"/>
        </w:rPr>
        <w:instrText>of</w:instrText>
      </w:r>
      <w:r w:rsidR="003B604F" w:rsidRPr="000322E4">
        <w:instrText xml:space="preserve"> </w:instrText>
      </w:r>
      <w:r w:rsidR="003B604F" w:rsidRPr="000322E4">
        <w:rPr>
          <w:lang w:val="en-US"/>
        </w:rPr>
        <w:instrText>R</w:instrText>
      </w:r>
      <w:r w:rsidR="003B604F" w:rsidRPr="000322E4">
        <w:instrText>-</w:instrText>
      </w:r>
      <w:r w:rsidR="003B604F" w:rsidRPr="000322E4">
        <w:rPr>
          <w:lang w:val="en-US"/>
        </w:rPr>
        <w:instrText>CHOP</w:instrText>
      </w:r>
      <w:r w:rsidR="003B604F" w:rsidRPr="000322E4">
        <w:instrText xml:space="preserve"> (</w:instrText>
      </w:r>
      <w:r w:rsidR="003B604F" w:rsidRPr="000322E4">
        <w:rPr>
          <w:lang w:val="en-US"/>
        </w:rPr>
        <w:instrText>PFS</w:instrText>
      </w:r>
      <w:r w:rsidR="003B604F" w:rsidRPr="000322E4">
        <w:instrText xml:space="preserve">, </w:instrText>
      </w:r>
      <w:r w:rsidR="003B604F" w:rsidRPr="000322E4">
        <w:rPr>
          <w:lang w:val="en-US"/>
        </w:rPr>
        <w:instrText>P</w:instrText>
      </w:r>
      <w:r w:rsidR="003B604F" w:rsidRPr="000322E4">
        <w:instrText xml:space="preserve">=.004; </w:instrText>
      </w:r>
      <w:r w:rsidR="003B604F" w:rsidRPr="000322E4">
        <w:rPr>
          <w:lang w:val="en-US"/>
        </w:rPr>
        <w:instrText>OS</w:instrText>
      </w:r>
      <w:r w:rsidR="003B604F" w:rsidRPr="000322E4">
        <w:instrText xml:space="preserve">, </w:instrText>
      </w:r>
      <w:r w:rsidR="003B604F" w:rsidRPr="000322E4">
        <w:rPr>
          <w:lang w:val="en-US"/>
        </w:rPr>
        <w:instrText>P</w:instrText>
      </w:r>
      <w:r w:rsidR="003B604F" w:rsidRPr="000322E4">
        <w:instrText xml:space="preserve">=.004) </w:instrText>
      </w:r>
      <w:r w:rsidR="003B604F" w:rsidRPr="000322E4">
        <w:rPr>
          <w:lang w:val="en-US"/>
        </w:rPr>
        <w:instrText>and</w:instrText>
      </w:r>
      <w:r w:rsidR="003B604F" w:rsidRPr="000322E4">
        <w:instrText xml:space="preserve"> </w:instrText>
      </w:r>
      <w:r w:rsidR="003B604F" w:rsidRPr="000322E4">
        <w:rPr>
          <w:lang w:val="en-US"/>
        </w:rPr>
        <w:instrText>ILRT</w:instrText>
      </w:r>
      <w:r w:rsidR="003B604F" w:rsidRPr="000322E4">
        <w:instrText xml:space="preserve"> (</w:instrText>
      </w:r>
      <w:r w:rsidR="003B604F" w:rsidRPr="000322E4">
        <w:rPr>
          <w:lang w:val="en-US"/>
        </w:rPr>
        <w:instrText>PFS</w:instrText>
      </w:r>
      <w:r w:rsidR="003B604F" w:rsidRPr="000322E4">
        <w:instrText xml:space="preserve">, </w:instrText>
      </w:r>
      <w:r w:rsidR="003B604F" w:rsidRPr="000322E4">
        <w:rPr>
          <w:lang w:val="en-US"/>
        </w:rPr>
        <w:instrText>P</w:instrText>
      </w:r>
      <w:r w:rsidR="003B604F" w:rsidRPr="000322E4">
        <w:instrText xml:space="preserve">=.021; </w:instrText>
      </w:r>
      <w:r w:rsidR="003B604F" w:rsidRPr="000322E4">
        <w:rPr>
          <w:lang w:val="en-US"/>
        </w:rPr>
        <w:instrText>OS</w:instrText>
      </w:r>
      <w:r w:rsidR="003B604F" w:rsidRPr="000322E4">
        <w:instrText xml:space="preserve">, </w:instrText>
      </w:r>
      <w:r w:rsidR="003B604F" w:rsidRPr="000322E4">
        <w:rPr>
          <w:lang w:val="en-US"/>
        </w:rPr>
        <w:instrText>P</w:instrText>
      </w:r>
      <w:r w:rsidR="003B604F" w:rsidRPr="000322E4">
        <w:instrText xml:space="preserve">=.014) </w:instrText>
      </w:r>
      <w:r w:rsidR="003B604F" w:rsidRPr="000322E4">
        <w:rPr>
          <w:lang w:val="en-US"/>
        </w:rPr>
        <w:instrText>were</w:instrText>
      </w:r>
      <w:r w:rsidR="003B604F" w:rsidRPr="000322E4">
        <w:instrText xml:space="preserve"> </w:instrText>
      </w:r>
      <w:r w:rsidR="003B604F" w:rsidRPr="000322E4">
        <w:rPr>
          <w:lang w:val="en-US"/>
        </w:rPr>
        <w:instrText>favorable</w:instrText>
      </w:r>
      <w:r w:rsidR="003B604F" w:rsidRPr="000322E4">
        <w:instrText xml:space="preserve"> </w:instrText>
      </w:r>
      <w:r w:rsidR="003B604F" w:rsidRPr="000322E4">
        <w:rPr>
          <w:lang w:val="en-US"/>
        </w:rPr>
        <w:instrText>prognosticators</w:instrText>
      </w:r>
      <w:r w:rsidR="003B604F" w:rsidRPr="000322E4">
        <w:instrText xml:space="preserve"> </w:instrText>
      </w:r>
      <w:r w:rsidR="003B604F" w:rsidRPr="000322E4">
        <w:rPr>
          <w:lang w:val="en-US"/>
        </w:rPr>
        <w:instrText>of</w:instrText>
      </w:r>
      <w:r w:rsidR="003B604F" w:rsidRPr="000322E4">
        <w:instrText xml:space="preserve"> </w:instrText>
      </w:r>
      <w:r w:rsidR="003B604F" w:rsidRPr="000322E4">
        <w:rPr>
          <w:lang w:val="en-US"/>
        </w:rPr>
        <w:instrText>PFS</w:instrText>
      </w:r>
      <w:r w:rsidR="003B604F" w:rsidRPr="000322E4">
        <w:instrText xml:space="preserve"> </w:instrText>
      </w:r>
      <w:r w:rsidR="003B604F" w:rsidRPr="000322E4">
        <w:rPr>
          <w:lang w:val="en-US"/>
        </w:rPr>
        <w:instrText>and</w:instrText>
      </w:r>
      <w:r w:rsidR="003B604F" w:rsidRPr="000322E4">
        <w:instrText xml:space="preserve"> </w:instrText>
      </w:r>
      <w:r w:rsidR="003B604F" w:rsidRPr="000322E4">
        <w:rPr>
          <w:lang w:val="en-US"/>
        </w:rPr>
        <w:instrText>OS</w:instrText>
      </w:r>
      <w:r w:rsidR="003B604F" w:rsidRPr="000322E4">
        <w:instrText xml:space="preserve">. </w:instrText>
      </w:r>
      <w:r w:rsidR="003B604F" w:rsidRPr="000322E4">
        <w:rPr>
          <w:lang w:val="en-US"/>
        </w:rPr>
        <w:instrText>A</w:instrText>
      </w:r>
      <w:r w:rsidR="003B604F" w:rsidRPr="000322E4">
        <w:instrText xml:space="preserve"> </w:instrText>
      </w:r>
      <w:r w:rsidR="003B604F" w:rsidRPr="000322E4">
        <w:rPr>
          <w:lang w:val="en-US"/>
        </w:rPr>
        <w:instrText>bulky</w:instrText>
      </w:r>
      <w:r w:rsidR="003B604F" w:rsidRPr="000322E4">
        <w:instrText xml:space="preserve"> </w:instrText>
      </w:r>
      <w:r w:rsidR="003B604F" w:rsidRPr="000322E4">
        <w:rPr>
          <w:lang w:val="en-US"/>
        </w:rPr>
        <w:instrText>tumor</w:instrText>
      </w:r>
      <w:r w:rsidR="003B604F" w:rsidRPr="000322E4">
        <w:instrText xml:space="preserve"> (</w:instrText>
      </w:r>
      <w:r w:rsidR="003B604F" w:rsidRPr="000322E4">
        <w:rPr>
          <w:lang w:val="en-US"/>
        </w:rPr>
        <w:instrText>P</w:instrText>
      </w:r>
      <w:r w:rsidR="003B604F" w:rsidRPr="000322E4">
        <w:instrText xml:space="preserve">=.027) </w:instrText>
      </w:r>
      <w:r w:rsidR="003B604F" w:rsidRPr="000322E4">
        <w:rPr>
          <w:lang w:val="en-US"/>
        </w:rPr>
        <w:instrText>and</w:instrText>
      </w:r>
      <w:r w:rsidR="003B604F" w:rsidRPr="000322E4">
        <w:instrText xml:space="preserve"> </w:instrText>
      </w:r>
      <w:r w:rsidR="003B604F" w:rsidRPr="000322E4">
        <w:rPr>
          <w:lang w:val="en-US"/>
        </w:rPr>
        <w:instrText>response</w:instrText>
      </w:r>
      <w:r w:rsidR="003B604F" w:rsidRPr="000322E4">
        <w:instrText xml:space="preserve"> </w:instrText>
      </w:r>
      <w:r w:rsidR="003B604F" w:rsidRPr="000322E4">
        <w:rPr>
          <w:lang w:val="en-US"/>
        </w:rPr>
        <w:instrText>to</w:instrText>
      </w:r>
      <w:r w:rsidR="003B604F" w:rsidRPr="000322E4">
        <w:instrText xml:space="preserve"> </w:instrText>
      </w:r>
      <w:r w:rsidR="003B604F" w:rsidRPr="000322E4">
        <w:rPr>
          <w:lang w:val="en-US"/>
        </w:rPr>
        <w:instrText>R</w:instrText>
      </w:r>
      <w:r w:rsidR="003B604F" w:rsidRPr="000322E4">
        <w:instrText>-</w:instrText>
      </w:r>
      <w:r w:rsidR="003B604F" w:rsidRPr="000322E4">
        <w:rPr>
          <w:lang w:val="en-US"/>
        </w:rPr>
        <w:instrText>CHOP</w:instrText>
      </w:r>
      <w:r w:rsidR="003B604F" w:rsidRPr="000322E4">
        <w:instrText xml:space="preserve"> (</w:instrText>
      </w:r>
      <w:r w:rsidR="003B604F" w:rsidRPr="000322E4">
        <w:rPr>
          <w:lang w:val="en-US"/>
        </w:rPr>
        <w:instrText>P</w:instrText>
      </w:r>
      <w:r w:rsidR="003B604F" w:rsidRPr="000322E4">
        <w:instrText xml:space="preserve">=.012) </w:instrText>
      </w:r>
      <w:r w:rsidR="003B604F" w:rsidRPr="000322E4">
        <w:rPr>
          <w:lang w:val="en-US"/>
        </w:rPr>
        <w:instrText>were</w:instrText>
      </w:r>
      <w:r w:rsidR="003B604F" w:rsidRPr="000322E4">
        <w:instrText xml:space="preserve"> </w:instrText>
      </w:r>
      <w:r w:rsidR="003B604F" w:rsidRPr="000322E4">
        <w:rPr>
          <w:lang w:val="en-US"/>
        </w:rPr>
        <w:instrText>also</w:instrText>
      </w:r>
      <w:r w:rsidR="003B604F" w:rsidRPr="000322E4">
        <w:instrText xml:space="preserve"> </w:instrText>
      </w:r>
      <w:r w:rsidR="003B604F" w:rsidRPr="000322E4">
        <w:rPr>
          <w:lang w:val="en-US"/>
        </w:rPr>
        <w:instrText>found</w:instrText>
      </w:r>
      <w:r w:rsidR="003B604F" w:rsidRPr="000322E4">
        <w:instrText xml:space="preserve"> </w:instrText>
      </w:r>
      <w:r w:rsidR="003B604F" w:rsidRPr="000322E4">
        <w:rPr>
          <w:lang w:val="en-US"/>
        </w:rPr>
        <w:instrText>to</w:instrText>
      </w:r>
      <w:r w:rsidR="003B604F" w:rsidRPr="000322E4">
        <w:instrText xml:space="preserve"> </w:instrText>
      </w:r>
      <w:r w:rsidR="003B604F" w:rsidRPr="000322E4">
        <w:rPr>
          <w:lang w:val="en-US"/>
        </w:rPr>
        <w:instrText>be</w:instrText>
      </w:r>
      <w:r w:rsidR="003B604F" w:rsidRPr="000322E4">
        <w:instrText xml:space="preserve"> </w:instrText>
      </w:r>
      <w:r w:rsidR="003B604F" w:rsidRPr="000322E4">
        <w:rPr>
          <w:lang w:val="en-US"/>
        </w:rPr>
        <w:instrText>independent</w:instrText>
      </w:r>
      <w:r w:rsidR="003B604F" w:rsidRPr="000322E4">
        <w:instrText xml:space="preserve"> </w:instrText>
      </w:r>
      <w:r w:rsidR="003B604F" w:rsidRPr="000322E4">
        <w:rPr>
          <w:lang w:val="en-US"/>
        </w:rPr>
        <w:instrText>factors</w:instrText>
      </w:r>
      <w:r w:rsidR="003B604F" w:rsidRPr="000322E4">
        <w:instrText xml:space="preserve"> </w:instrText>
      </w:r>
      <w:r w:rsidR="003B604F" w:rsidRPr="000322E4">
        <w:rPr>
          <w:lang w:val="en-US"/>
        </w:rPr>
        <w:instrText>of</w:instrText>
      </w:r>
      <w:r w:rsidR="003B604F" w:rsidRPr="000322E4">
        <w:instrText xml:space="preserve"> </w:instrText>
      </w:r>
      <w:r w:rsidR="003B604F" w:rsidRPr="000322E4">
        <w:rPr>
          <w:lang w:val="en-US"/>
        </w:rPr>
        <w:instrText>OS</w:instrText>
      </w:r>
      <w:r w:rsidR="003B604F" w:rsidRPr="000322E4">
        <w:instrText xml:space="preserve">. </w:instrText>
      </w:r>
      <w:r w:rsidR="003B604F" w:rsidRPr="000322E4">
        <w:rPr>
          <w:lang w:val="en-US"/>
        </w:rPr>
        <w:instrText>In</w:instrText>
      </w:r>
      <w:r w:rsidR="003B604F" w:rsidRPr="000322E4">
        <w:instrText xml:space="preserve"> </w:instrText>
      </w:r>
      <w:r w:rsidR="003B604F" w:rsidRPr="000322E4">
        <w:rPr>
          <w:lang w:val="en-US"/>
        </w:rPr>
        <w:instrText>subgroup</w:instrText>
      </w:r>
      <w:r w:rsidR="003B604F" w:rsidRPr="000322E4">
        <w:instrText xml:space="preserve"> </w:instrText>
      </w:r>
      <w:r w:rsidR="003B604F" w:rsidRPr="000322E4">
        <w:rPr>
          <w:lang w:val="en-US"/>
        </w:rPr>
        <w:instrText>analysis</w:instrText>
      </w:r>
      <w:r w:rsidR="003B604F" w:rsidRPr="000322E4">
        <w:instrText xml:space="preserve">, </w:instrText>
      </w:r>
      <w:r w:rsidR="003B604F" w:rsidRPr="000322E4">
        <w:rPr>
          <w:lang w:val="en-US"/>
        </w:rPr>
        <w:instrText>the</w:instrText>
      </w:r>
      <w:r w:rsidR="003B604F" w:rsidRPr="000322E4">
        <w:instrText xml:space="preserve"> </w:instrText>
      </w:r>
      <w:r w:rsidR="003B604F" w:rsidRPr="000322E4">
        <w:rPr>
          <w:lang w:val="en-US"/>
        </w:rPr>
        <w:instrText>effect</w:instrText>
      </w:r>
      <w:r w:rsidR="003B604F" w:rsidRPr="000322E4">
        <w:instrText xml:space="preserve"> </w:instrText>
      </w:r>
      <w:r w:rsidR="003B604F" w:rsidRPr="000322E4">
        <w:rPr>
          <w:lang w:val="en-US"/>
        </w:rPr>
        <w:instrText>of</w:instrText>
      </w:r>
      <w:r w:rsidR="003B604F" w:rsidRPr="000322E4">
        <w:instrText xml:space="preserve"> </w:instrText>
      </w:r>
      <w:r w:rsidR="003B604F" w:rsidRPr="000322E4">
        <w:rPr>
          <w:lang w:val="en-US"/>
        </w:rPr>
        <w:instrText>ILRT</w:instrText>
      </w:r>
      <w:r w:rsidR="003B604F" w:rsidRPr="000322E4">
        <w:instrText xml:space="preserve"> </w:instrText>
      </w:r>
      <w:r w:rsidR="003B604F" w:rsidRPr="000322E4">
        <w:rPr>
          <w:lang w:val="en-US"/>
        </w:rPr>
        <w:instrText>was</w:instrText>
      </w:r>
      <w:r w:rsidR="003B604F" w:rsidRPr="000322E4">
        <w:instrText xml:space="preserve"> </w:instrText>
      </w:r>
      <w:r w:rsidR="003B604F" w:rsidRPr="000322E4">
        <w:rPr>
          <w:lang w:val="en-US"/>
        </w:rPr>
        <w:instrText>prominent</w:instrText>
      </w:r>
      <w:r w:rsidR="003B604F" w:rsidRPr="000322E4">
        <w:instrText xml:space="preserve"> </w:instrText>
      </w:r>
      <w:r w:rsidR="003B604F" w:rsidRPr="000322E4">
        <w:rPr>
          <w:lang w:val="en-US"/>
        </w:rPr>
        <w:instrText>in</w:instrText>
      </w:r>
      <w:r w:rsidR="003B604F" w:rsidRPr="000322E4">
        <w:instrText xml:space="preserve"> </w:instrText>
      </w:r>
      <w:r w:rsidR="003B604F" w:rsidRPr="000322E4">
        <w:rPr>
          <w:lang w:val="en-US"/>
        </w:rPr>
        <w:instrText>patients</w:instrText>
      </w:r>
      <w:r w:rsidR="003B604F" w:rsidRPr="000322E4">
        <w:instrText xml:space="preserve"> </w:instrText>
      </w:r>
      <w:r w:rsidR="003B604F" w:rsidRPr="000322E4">
        <w:rPr>
          <w:lang w:val="en-US"/>
        </w:rPr>
        <w:instrText>with</w:instrText>
      </w:r>
      <w:r w:rsidR="003B604F" w:rsidRPr="000322E4">
        <w:instrText xml:space="preserve"> </w:instrText>
      </w:r>
      <w:r w:rsidR="003B604F" w:rsidRPr="000322E4">
        <w:rPr>
          <w:lang w:val="en-US"/>
        </w:rPr>
        <w:instrText>a</w:instrText>
      </w:r>
      <w:r w:rsidR="003B604F" w:rsidRPr="000322E4">
        <w:instrText xml:space="preserve"> </w:instrText>
      </w:r>
      <w:r w:rsidR="003B604F" w:rsidRPr="000322E4">
        <w:rPr>
          <w:lang w:val="en-US"/>
        </w:rPr>
        <w:instrText>bulky</w:instrText>
      </w:r>
      <w:r w:rsidR="003B604F" w:rsidRPr="000322E4">
        <w:instrText xml:space="preserve"> </w:instrText>
      </w:r>
      <w:r w:rsidR="003B604F" w:rsidRPr="000322E4">
        <w:rPr>
          <w:lang w:val="en-US"/>
        </w:rPr>
        <w:instrText>tumor</w:instrText>
      </w:r>
      <w:r w:rsidR="003B604F" w:rsidRPr="000322E4">
        <w:instrText xml:space="preserve"> (</w:instrText>
      </w:r>
      <w:r w:rsidR="003B604F" w:rsidRPr="000322E4">
        <w:rPr>
          <w:lang w:val="en-US"/>
        </w:rPr>
        <w:instrText>PFS</w:instrText>
      </w:r>
      <w:r w:rsidR="003B604F" w:rsidRPr="000322E4">
        <w:instrText xml:space="preserve">, </w:instrText>
      </w:r>
      <w:r w:rsidR="003B604F" w:rsidRPr="000322E4">
        <w:rPr>
          <w:lang w:val="en-US"/>
        </w:rPr>
        <w:instrText>P</w:instrText>
      </w:r>
      <w:r w:rsidR="003B604F" w:rsidRPr="000322E4">
        <w:instrText xml:space="preserve">=.014; </w:instrText>
      </w:r>
      <w:r w:rsidR="003B604F" w:rsidRPr="000322E4">
        <w:rPr>
          <w:lang w:val="en-US"/>
        </w:rPr>
        <w:instrText>OS</w:instrText>
      </w:r>
      <w:r w:rsidR="003B604F" w:rsidRPr="000322E4">
        <w:instrText xml:space="preserve">, </w:instrText>
      </w:r>
      <w:r w:rsidR="003B604F" w:rsidRPr="000322E4">
        <w:rPr>
          <w:lang w:val="en-US"/>
        </w:rPr>
        <w:instrText>P</w:instrText>
      </w:r>
      <w:r w:rsidR="003B604F" w:rsidRPr="000322E4">
        <w:instrText xml:space="preserve">=.030) </w:instrText>
      </w:r>
      <w:r w:rsidR="003B604F" w:rsidRPr="000322E4">
        <w:rPr>
          <w:lang w:val="en-US"/>
        </w:rPr>
        <w:instrText>or</w:instrText>
      </w:r>
      <w:r w:rsidR="003B604F" w:rsidRPr="000322E4">
        <w:instrText xml:space="preserve"> </w:instrText>
      </w:r>
      <w:r w:rsidR="003B604F" w:rsidRPr="000322E4">
        <w:rPr>
          <w:lang w:val="en-US"/>
        </w:rPr>
        <w:instrText>an</w:instrText>
      </w:r>
      <w:r w:rsidR="003B604F" w:rsidRPr="000322E4">
        <w:instrText xml:space="preserve"> </w:instrText>
      </w:r>
      <w:r w:rsidR="003B604F" w:rsidRPr="000322E4">
        <w:rPr>
          <w:lang w:val="en-US"/>
        </w:rPr>
        <w:instrText>elevated</w:instrText>
      </w:r>
      <w:r w:rsidR="003B604F" w:rsidRPr="000322E4">
        <w:instrText xml:space="preserve"> </w:instrText>
      </w:r>
      <w:r w:rsidR="003B604F" w:rsidRPr="000322E4">
        <w:rPr>
          <w:lang w:val="en-US"/>
        </w:rPr>
        <w:instrText>level</w:instrText>
      </w:r>
      <w:r w:rsidR="003B604F" w:rsidRPr="000322E4">
        <w:instrText xml:space="preserve"> </w:instrText>
      </w:r>
      <w:r w:rsidR="003B604F" w:rsidRPr="000322E4">
        <w:rPr>
          <w:lang w:val="en-US"/>
        </w:rPr>
        <w:instrText>of</w:instrText>
      </w:r>
      <w:r w:rsidR="003B604F" w:rsidRPr="000322E4">
        <w:instrText xml:space="preserve"> </w:instrText>
      </w:r>
      <w:r w:rsidR="003B604F" w:rsidRPr="000322E4">
        <w:rPr>
          <w:lang w:val="en-US"/>
        </w:rPr>
        <w:instrText>serum</w:instrText>
      </w:r>
      <w:r w:rsidR="003B604F" w:rsidRPr="000322E4">
        <w:instrText xml:space="preserve"> </w:instrText>
      </w:r>
      <w:r w:rsidR="003B604F" w:rsidRPr="000322E4">
        <w:rPr>
          <w:lang w:val="en-US"/>
        </w:rPr>
        <w:instrText>lactate</w:instrText>
      </w:r>
      <w:r w:rsidR="003B604F" w:rsidRPr="000322E4">
        <w:instrText xml:space="preserve"> </w:instrText>
      </w:r>
      <w:r w:rsidR="003B604F" w:rsidRPr="000322E4">
        <w:rPr>
          <w:lang w:val="en-US"/>
        </w:rPr>
        <w:instrText>dehydrogenase</w:instrText>
      </w:r>
      <w:r w:rsidR="003B604F" w:rsidRPr="000322E4">
        <w:instrText xml:space="preserve"> (</w:instrText>
      </w:r>
      <w:r w:rsidR="003B604F" w:rsidRPr="000322E4">
        <w:rPr>
          <w:lang w:val="en-US"/>
        </w:rPr>
        <w:instrText>LDH</w:instrText>
      </w:r>
      <w:r w:rsidR="003B604F" w:rsidRPr="000322E4">
        <w:instrText xml:space="preserve">; </w:instrText>
      </w:r>
      <w:r w:rsidR="003B604F" w:rsidRPr="000322E4">
        <w:rPr>
          <w:lang w:val="en-US"/>
        </w:rPr>
        <w:instrText>PFS</w:instrText>
      </w:r>
      <w:r w:rsidR="003B604F" w:rsidRPr="000322E4">
        <w:instrText xml:space="preserve">, </w:instrText>
      </w:r>
      <w:r w:rsidR="003B604F" w:rsidRPr="000322E4">
        <w:rPr>
          <w:lang w:val="en-US"/>
        </w:rPr>
        <w:instrText>P</w:instrText>
      </w:r>
      <w:r w:rsidR="003B604F" w:rsidRPr="000322E4">
        <w:instrText xml:space="preserve">=.004; </w:instrText>
      </w:r>
      <w:r w:rsidR="003B604F" w:rsidRPr="000322E4">
        <w:rPr>
          <w:lang w:val="en-US"/>
        </w:rPr>
        <w:instrText>OS</w:instrText>
      </w:r>
      <w:r w:rsidR="003B604F" w:rsidRPr="000322E4">
        <w:instrText xml:space="preserve">, </w:instrText>
      </w:r>
      <w:r w:rsidR="003B604F" w:rsidRPr="000322E4">
        <w:rPr>
          <w:lang w:val="en-US"/>
        </w:rPr>
        <w:instrText>P</w:instrText>
      </w:r>
      <w:r w:rsidR="003B604F" w:rsidRPr="000322E4">
        <w:instrText xml:space="preserve">=.012). </w:instrText>
      </w:r>
      <w:r w:rsidR="003B604F" w:rsidRPr="000322E4">
        <w:rPr>
          <w:lang w:val="en-US"/>
        </w:rPr>
        <w:instrText>Conclusions</w:instrText>
      </w:r>
      <w:r w:rsidR="003B604F" w:rsidRPr="000322E4">
        <w:instrText xml:space="preserve"> </w:instrText>
      </w:r>
      <w:r w:rsidR="003B604F" w:rsidRPr="000322E4">
        <w:rPr>
          <w:lang w:val="en-US"/>
        </w:rPr>
        <w:instrText>Our</w:instrText>
      </w:r>
      <w:r w:rsidR="003B604F" w:rsidRPr="000322E4">
        <w:instrText xml:space="preserve"> </w:instrText>
      </w:r>
      <w:r w:rsidR="003B604F" w:rsidRPr="000322E4">
        <w:rPr>
          <w:lang w:val="en-US"/>
        </w:rPr>
        <w:instrText>results</w:instrText>
      </w:r>
      <w:r w:rsidR="003B604F" w:rsidRPr="000322E4">
        <w:instrText xml:space="preserve"> </w:instrText>
      </w:r>
      <w:r w:rsidR="003B604F" w:rsidRPr="000322E4">
        <w:rPr>
          <w:lang w:val="en-US"/>
        </w:rPr>
        <w:instrText>suggest</w:instrText>
      </w:r>
      <w:r w:rsidR="003B604F" w:rsidRPr="000322E4">
        <w:instrText xml:space="preserve"> </w:instrText>
      </w:r>
      <w:r w:rsidR="003B604F" w:rsidRPr="000322E4">
        <w:rPr>
          <w:lang w:val="en-US"/>
        </w:rPr>
        <w:instrText>that</w:instrText>
      </w:r>
      <w:r w:rsidR="003B604F" w:rsidRPr="000322E4">
        <w:instrText xml:space="preserve"> </w:instrText>
      </w:r>
      <w:r w:rsidR="003B604F" w:rsidRPr="000322E4">
        <w:rPr>
          <w:lang w:val="en-US"/>
        </w:rPr>
        <w:instrText>ILRT</w:instrText>
      </w:r>
      <w:r w:rsidR="003B604F" w:rsidRPr="000322E4">
        <w:instrText xml:space="preserve"> </w:instrText>
      </w:r>
      <w:r w:rsidR="003B604F" w:rsidRPr="000322E4">
        <w:rPr>
          <w:lang w:val="en-US"/>
        </w:rPr>
        <w:instrText>after</w:instrText>
      </w:r>
      <w:r w:rsidR="003B604F" w:rsidRPr="000322E4">
        <w:instrText xml:space="preserve"> </w:instrText>
      </w:r>
      <w:r w:rsidR="003B604F" w:rsidRPr="000322E4">
        <w:rPr>
          <w:lang w:val="en-US"/>
        </w:rPr>
        <w:instrText>R</w:instrText>
      </w:r>
      <w:r w:rsidR="003B604F" w:rsidRPr="000322E4">
        <w:instrText>-</w:instrText>
      </w:r>
      <w:r w:rsidR="003B604F" w:rsidRPr="000322E4">
        <w:rPr>
          <w:lang w:val="en-US"/>
        </w:rPr>
        <w:instrText>CHOP</w:instrText>
      </w:r>
      <w:r w:rsidR="003B604F" w:rsidRPr="000322E4">
        <w:instrText xml:space="preserve"> </w:instrText>
      </w:r>
      <w:r w:rsidR="003B604F" w:rsidRPr="000322E4">
        <w:rPr>
          <w:lang w:val="en-US"/>
        </w:rPr>
        <w:instrText>therapy</w:instrText>
      </w:r>
      <w:r w:rsidR="003B604F" w:rsidRPr="000322E4">
        <w:instrText xml:space="preserve"> </w:instrText>
      </w:r>
      <w:r w:rsidR="003B604F" w:rsidRPr="000322E4">
        <w:rPr>
          <w:lang w:val="en-US"/>
        </w:rPr>
        <w:instrText>improves</w:instrText>
      </w:r>
      <w:r w:rsidR="003B604F" w:rsidRPr="000322E4">
        <w:instrText xml:space="preserve"> </w:instrText>
      </w:r>
      <w:r w:rsidR="003B604F" w:rsidRPr="000322E4">
        <w:rPr>
          <w:lang w:val="en-US"/>
        </w:rPr>
        <w:instrText>PFS</w:instrText>
      </w:r>
      <w:r w:rsidR="003B604F" w:rsidRPr="000322E4">
        <w:instrText xml:space="preserve"> </w:instrText>
      </w:r>
      <w:r w:rsidR="003B604F" w:rsidRPr="000322E4">
        <w:rPr>
          <w:lang w:val="en-US"/>
        </w:rPr>
        <w:instrText>and</w:instrText>
      </w:r>
      <w:r w:rsidR="003B604F" w:rsidRPr="000322E4">
        <w:instrText xml:space="preserve"> </w:instrText>
      </w:r>
      <w:r w:rsidR="003B604F" w:rsidRPr="000322E4">
        <w:rPr>
          <w:lang w:val="en-US"/>
        </w:rPr>
        <w:instrText>OS</w:instrText>
      </w:r>
      <w:r w:rsidR="003B604F" w:rsidRPr="000322E4">
        <w:instrText xml:space="preserve"> </w:instrText>
      </w:r>
      <w:r w:rsidR="003B604F" w:rsidRPr="000322E4">
        <w:rPr>
          <w:lang w:val="en-US"/>
        </w:rPr>
        <w:instrText>in</w:instrText>
      </w:r>
      <w:r w:rsidR="003B604F" w:rsidRPr="000322E4">
        <w:instrText xml:space="preserve"> </w:instrText>
      </w:r>
      <w:r w:rsidR="003B604F" w:rsidRPr="000322E4">
        <w:rPr>
          <w:lang w:val="en-US"/>
        </w:rPr>
        <w:instrText>patients</w:instrText>
      </w:r>
      <w:r w:rsidR="003B604F" w:rsidRPr="000322E4">
        <w:instrText xml:space="preserve"> </w:instrText>
      </w:r>
      <w:r w:rsidR="003B604F" w:rsidRPr="000322E4">
        <w:rPr>
          <w:lang w:val="en-US"/>
        </w:rPr>
        <w:instrText>with</w:instrText>
      </w:r>
      <w:r w:rsidR="003B604F" w:rsidRPr="000322E4">
        <w:instrText xml:space="preserve"> </w:instrText>
      </w:r>
      <w:r w:rsidR="003B604F" w:rsidRPr="000322E4">
        <w:rPr>
          <w:lang w:val="en-US"/>
        </w:rPr>
        <w:instrText>limited</w:instrText>
      </w:r>
      <w:r w:rsidR="003B604F" w:rsidRPr="000322E4">
        <w:instrText xml:space="preserve"> </w:instrText>
      </w:r>
      <w:r w:rsidR="003B604F" w:rsidRPr="000322E4">
        <w:rPr>
          <w:lang w:val="en-US"/>
        </w:rPr>
        <w:instrText>stage</w:instrText>
      </w:r>
      <w:r w:rsidR="003B604F" w:rsidRPr="000322E4">
        <w:instrText xml:space="preserve"> </w:instrText>
      </w:r>
      <w:r w:rsidR="003B604F" w:rsidRPr="000322E4">
        <w:rPr>
          <w:lang w:val="en-US"/>
        </w:rPr>
        <w:instrText>DLBCL</w:instrText>
      </w:r>
      <w:r w:rsidR="003B604F" w:rsidRPr="000322E4">
        <w:instrText xml:space="preserve">, </w:instrText>
      </w:r>
      <w:r w:rsidR="003B604F" w:rsidRPr="000322E4">
        <w:rPr>
          <w:lang w:val="en-US"/>
        </w:rPr>
        <w:instrText>especially</w:instrText>
      </w:r>
      <w:r w:rsidR="003B604F" w:rsidRPr="000322E4">
        <w:instrText xml:space="preserve"> </w:instrText>
      </w:r>
      <w:r w:rsidR="003B604F" w:rsidRPr="000322E4">
        <w:rPr>
          <w:lang w:val="en-US"/>
        </w:rPr>
        <w:instrText>in</w:instrText>
      </w:r>
      <w:r w:rsidR="003B604F" w:rsidRPr="000322E4">
        <w:instrText xml:space="preserve"> </w:instrText>
      </w:r>
      <w:r w:rsidR="003B604F" w:rsidRPr="000322E4">
        <w:rPr>
          <w:lang w:val="en-US"/>
        </w:rPr>
        <w:instrText>those</w:instrText>
      </w:r>
      <w:r w:rsidR="003B604F" w:rsidRPr="000322E4">
        <w:instrText xml:space="preserve"> </w:instrText>
      </w:r>
      <w:r w:rsidR="003B604F" w:rsidRPr="000322E4">
        <w:rPr>
          <w:lang w:val="en-US"/>
        </w:rPr>
        <w:instrText>with</w:instrText>
      </w:r>
      <w:r w:rsidR="003B604F" w:rsidRPr="000322E4">
        <w:instrText xml:space="preserve"> </w:instrText>
      </w:r>
      <w:r w:rsidR="003B604F" w:rsidRPr="000322E4">
        <w:rPr>
          <w:lang w:val="en-US"/>
        </w:rPr>
        <w:instrText>bulky</w:instrText>
      </w:r>
      <w:r w:rsidR="003B604F" w:rsidRPr="000322E4">
        <w:instrText xml:space="preserve"> </w:instrText>
      </w:r>
      <w:r w:rsidR="003B604F" w:rsidRPr="000322E4">
        <w:rPr>
          <w:lang w:val="en-US"/>
        </w:rPr>
        <w:instrText>disease</w:instrText>
      </w:r>
      <w:r w:rsidR="003B604F" w:rsidRPr="000322E4">
        <w:instrText xml:space="preserve"> </w:instrText>
      </w:r>
      <w:r w:rsidR="003B604F" w:rsidRPr="000322E4">
        <w:rPr>
          <w:lang w:val="en-US"/>
        </w:rPr>
        <w:instrText>or</w:instrText>
      </w:r>
      <w:r w:rsidR="003B604F" w:rsidRPr="000322E4">
        <w:instrText xml:space="preserve"> </w:instrText>
      </w:r>
      <w:r w:rsidR="003B604F" w:rsidRPr="000322E4">
        <w:rPr>
          <w:lang w:val="en-US"/>
        </w:rPr>
        <w:instrText>an</w:instrText>
      </w:r>
      <w:r w:rsidR="003B604F" w:rsidRPr="000322E4">
        <w:instrText xml:space="preserve"> </w:instrText>
      </w:r>
      <w:r w:rsidR="003B604F" w:rsidRPr="000322E4">
        <w:rPr>
          <w:lang w:val="en-US"/>
        </w:rPr>
        <w:instrText>elevated</w:instrText>
      </w:r>
      <w:r w:rsidR="003B604F" w:rsidRPr="000322E4">
        <w:instrText xml:space="preserve"> </w:instrText>
      </w:r>
      <w:r w:rsidR="003B604F" w:rsidRPr="000322E4">
        <w:rPr>
          <w:lang w:val="en-US"/>
        </w:rPr>
        <w:instrText>serum</w:instrText>
      </w:r>
      <w:r w:rsidR="003B604F" w:rsidRPr="000322E4">
        <w:instrText xml:space="preserve"> </w:instrText>
      </w:r>
      <w:r w:rsidR="003B604F" w:rsidRPr="000322E4">
        <w:rPr>
          <w:lang w:val="en-US"/>
        </w:rPr>
        <w:instrText>LDH</w:instrText>
      </w:r>
      <w:r w:rsidR="003B604F" w:rsidRPr="000322E4">
        <w:instrText xml:space="preserve"> </w:instrText>
      </w:r>
      <w:r w:rsidR="003B604F" w:rsidRPr="000322E4">
        <w:rPr>
          <w:lang w:val="en-US"/>
        </w:rPr>
        <w:instrText>level</w:instrText>
      </w:r>
      <w:r w:rsidR="003B604F" w:rsidRPr="000322E4">
        <w:instrText>.","</w:instrText>
      </w:r>
      <w:r w:rsidR="003B604F" w:rsidRPr="000322E4">
        <w:rPr>
          <w:lang w:val="en-US"/>
        </w:rPr>
        <w:instrText>author</w:instrText>
      </w:r>
      <w:r w:rsidR="003B604F" w:rsidRPr="000322E4">
        <w:instrText>":[{"</w:instrText>
      </w:r>
      <w:r w:rsidR="003B604F" w:rsidRPr="000322E4">
        <w:rPr>
          <w:lang w:val="en-US"/>
        </w:rPr>
        <w:instrText>dropping</w:instrText>
      </w:r>
      <w:r w:rsidR="003B604F" w:rsidRPr="000322E4">
        <w:instrText>-</w:instrText>
      </w:r>
      <w:r w:rsidR="003B604F" w:rsidRPr="000322E4">
        <w:rPr>
          <w:lang w:val="en-US"/>
        </w:rPr>
        <w:instrText>particle</w:instrText>
      </w:r>
      <w:r w:rsidR="003B604F" w:rsidRPr="000322E4">
        <w:instrText>":"","</w:instrText>
      </w:r>
      <w:r w:rsidR="003B604F" w:rsidRPr="000322E4">
        <w:rPr>
          <w:lang w:val="en-US"/>
        </w:rPr>
        <w:instrText>family</w:instrText>
      </w:r>
      <w:r w:rsidR="003B604F" w:rsidRPr="000322E4">
        <w:instrText>":"</w:instrText>
      </w:r>
      <w:r w:rsidR="003B604F" w:rsidRPr="000322E4">
        <w:rPr>
          <w:lang w:val="en-US"/>
        </w:rPr>
        <w:instrText>Kwon</w:instrText>
      </w:r>
      <w:r w:rsidR="003B604F" w:rsidRPr="000322E4">
        <w:instrText>","</w:instrText>
      </w:r>
      <w:r w:rsidR="003B604F" w:rsidRPr="000322E4">
        <w:rPr>
          <w:lang w:val="en-US"/>
        </w:rPr>
        <w:instrText>given</w:instrText>
      </w:r>
      <w:r w:rsidR="003B604F" w:rsidRPr="000322E4">
        <w:instrText>":"</w:instrText>
      </w:r>
      <w:r w:rsidR="003B604F" w:rsidRPr="000322E4">
        <w:rPr>
          <w:lang w:val="en-US"/>
        </w:rPr>
        <w:instrText>Jeanny</w:instrText>
      </w:r>
      <w:r w:rsidR="003B604F" w:rsidRPr="000322E4">
        <w:instrText>","</w:instrText>
      </w:r>
      <w:r w:rsidR="003B604F" w:rsidRPr="000322E4">
        <w:rPr>
          <w:lang w:val="en-US"/>
        </w:rPr>
        <w:instrText>non</w:instrText>
      </w:r>
      <w:r w:rsidR="003B604F" w:rsidRPr="000322E4">
        <w:instrText>-</w:instrText>
      </w:r>
      <w:r w:rsidR="003B604F" w:rsidRPr="000322E4">
        <w:rPr>
          <w:lang w:val="en-US"/>
        </w:rPr>
        <w:instrText>dropping</w:instrText>
      </w:r>
      <w:r w:rsidR="003B604F" w:rsidRPr="000322E4">
        <w:instrText>-</w:instrText>
      </w:r>
      <w:r w:rsidR="003B604F" w:rsidRPr="000322E4">
        <w:rPr>
          <w:lang w:val="en-US"/>
        </w:rPr>
        <w:instrText>particle</w:instrText>
      </w:r>
      <w:r w:rsidR="003B604F" w:rsidRPr="000322E4">
        <w:instrText>":"","</w:instrText>
      </w:r>
      <w:r w:rsidR="003B604F" w:rsidRPr="000322E4">
        <w:rPr>
          <w:lang w:val="en-US"/>
        </w:rPr>
        <w:instrText>parse</w:instrText>
      </w:r>
      <w:r w:rsidR="003B604F" w:rsidRPr="000322E4">
        <w:instrText>-</w:instrText>
      </w:r>
      <w:r w:rsidR="003B604F" w:rsidRPr="000322E4">
        <w:rPr>
          <w:lang w:val="en-US"/>
        </w:rPr>
        <w:instrText>names</w:instrText>
      </w:r>
      <w:r w:rsidR="003B604F" w:rsidRPr="000322E4">
        <w:instrText>":</w:instrText>
      </w:r>
      <w:r w:rsidR="003B604F" w:rsidRPr="000322E4">
        <w:rPr>
          <w:lang w:val="en-US"/>
        </w:rPr>
        <w:instrText>false</w:instrText>
      </w:r>
      <w:r w:rsidR="003B604F" w:rsidRPr="000322E4">
        <w:instrText>,"</w:instrText>
      </w:r>
      <w:r w:rsidR="003B604F" w:rsidRPr="000322E4">
        <w:rPr>
          <w:lang w:val="en-US"/>
        </w:rPr>
        <w:instrText>suffix</w:instrText>
      </w:r>
      <w:r w:rsidR="003B604F" w:rsidRPr="000322E4">
        <w:instrText>":""},{"</w:instrText>
      </w:r>
      <w:r w:rsidR="003B604F" w:rsidRPr="000322E4">
        <w:rPr>
          <w:lang w:val="en-US"/>
        </w:rPr>
        <w:instrText>dropping</w:instrText>
      </w:r>
      <w:r w:rsidR="003B604F" w:rsidRPr="000322E4">
        <w:instrText>-</w:instrText>
      </w:r>
      <w:r w:rsidR="003B604F" w:rsidRPr="000322E4">
        <w:rPr>
          <w:lang w:val="en-US"/>
        </w:rPr>
        <w:instrText>particle</w:instrText>
      </w:r>
      <w:r w:rsidR="003B604F" w:rsidRPr="000322E4">
        <w:instrText>":"","</w:instrText>
      </w:r>
      <w:r w:rsidR="003B604F" w:rsidRPr="000322E4">
        <w:rPr>
          <w:lang w:val="en-US"/>
        </w:rPr>
        <w:instrText>family</w:instrText>
      </w:r>
      <w:r w:rsidR="003B604F" w:rsidRPr="000322E4">
        <w:instrText>":"</w:instrText>
      </w:r>
      <w:r w:rsidR="003B604F" w:rsidRPr="000322E4">
        <w:rPr>
          <w:lang w:val="en-US"/>
        </w:rPr>
        <w:instrText>Kim</w:instrText>
      </w:r>
      <w:r w:rsidR="003B604F" w:rsidRPr="000322E4">
        <w:instrText>","</w:instrText>
      </w:r>
      <w:r w:rsidR="003B604F" w:rsidRPr="000322E4">
        <w:rPr>
          <w:lang w:val="en-US"/>
        </w:rPr>
        <w:instrText>given</w:instrText>
      </w:r>
      <w:r w:rsidR="003B604F" w:rsidRPr="000322E4">
        <w:instrText>":"</w:instrText>
      </w:r>
      <w:r w:rsidR="003B604F" w:rsidRPr="000322E4">
        <w:rPr>
          <w:lang w:val="en-US"/>
        </w:rPr>
        <w:instrText>Il</w:instrText>
      </w:r>
      <w:r w:rsidR="003B604F" w:rsidRPr="000322E4">
        <w:instrText xml:space="preserve"> </w:instrText>
      </w:r>
      <w:r w:rsidR="003B604F" w:rsidRPr="000322E4">
        <w:rPr>
          <w:lang w:val="en-US"/>
        </w:rPr>
        <w:instrText>Han</w:instrText>
      </w:r>
      <w:r w:rsidR="003B604F" w:rsidRPr="000322E4">
        <w:instrText>","</w:instrText>
      </w:r>
      <w:r w:rsidR="003B604F" w:rsidRPr="000322E4">
        <w:rPr>
          <w:lang w:val="en-US"/>
        </w:rPr>
        <w:instrText>non</w:instrText>
      </w:r>
      <w:r w:rsidR="003B604F" w:rsidRPr="000322E4">
        <w:instrText>-</w:instrText>
      </w:r>
      <w:r w:rsidR="003B604F" w:rsidRPr="000322E4">
        <w:rPr>
          <w:lang w:val="en-US"/>
        </w:rPr>
        <w:instrText>dropping</w:instrText>
      </w:r>
      <w:r w:rsidR="003B604F" w:rsidRPr="000322E4">
        <w:instrText>-</w:instrText>
      </w:r>
      <w:r w:rsidR="003B604F" w:rsidRPr="000322E4">
        <w:rPr>
          <w:lang w:val="en-US"/>
        </w:rPr>
        <w:instrText>particle</w:instrText>
      </w:r>
      <w:r w:rsidR="003B604F" w:rsidRPr="000322E4">
        <w:instrText>":"","</w:instrText>
      </w:r>
      <w:r w:rsidR="003B604F" w:rsidRPr="000322E4">
        <w:rPr>
          <w:lang w:val="en-US"/>
        </w:rPr>
        <w:instrText>parse</w:instrText>
      </w:r>
      <w:r w:rsidR="003B604F" w:rsidRPr="000322E4">
        <w:instrText>-</w:instrText>
      </w:r>
      <w:r w:rsidR="003B604F" w:rsidRPr="000322E4">
        <w:rPr>
          <w:lang w:val="en-US"/>
        </w:rPr>
        <w:instrText>names</w:instrText>
      </w:r>
      <w:r w:rsidR="003B604F" w:rsidRPr="000322E4">
        <w:instrText>":</w:instrText>
      </w:r>
      <w:r w:rsidR="003B604F" w:rsidRPr="000322E4">
        <w:rPr>
          <w:lang w:val="en-US"/>
        </w:rPr>
        <w:instrText>false</w:instrText>
      </w:r>
      <w:r w:rsidR="003B604F" w:rsidRPr="000322E4">
        <w:instrText>,"</w:instrText>
      </w:r>
      <w:r w:rsidR="003B604F" w:rsidRPr="000322E4">
        <w:rPr>
          <w:lang w:val="en-US"/>
        </w:rPr>
        <w:instrText>suffix</w:instrText>
      </w:r>
      <w:r w:rsidR="003B604F" w:rsidRPr="000322E4">
        <w:instrText>":""},{"</w:instrText>
      </w:r>
      <w:r w:rsidR="003B604F" w:rsidRPr="000322E4">
        <w:rPr>
          <w:lang w:val="en-US"/>
        </w:rPr>
        <w:instrText>dropping</w:instrText>
      </w:r>
      <w:r w:rsidR="003B604F" w:rsidRPr="000322E4">
        <w:instrText>-</w:instrText>
      </w:r>
      <w:r w:rsidR="003B604F" w:rsidRPr="000322E4">
        <w:rPr>
          <w:lang w:val="en-US"/>
        </w:rPr>
        <w:instrText>particle</w:instrText>
      </w:r>
      <w:r w:rsidR="003B604F" w:rsidRPr="000322E4">
        <w:instrText>":"","</w:instrText>
      </w:r>
      <w:r w:rsidR="003B604F" w:rsidRPr="000322E4">
        <w:rPr>
          <w:lang w:val="en-US"/>
        </w:rPr>
        <w:instrText>family</w:instrText>
      </w:r>
      <w:r w:rsidR="003B604F" w:rsidRPr="000322E4">
        <w:instrText>":"</w:instrText>
      </w:r>
      <w:r w:rsidR="003B604F" w:rsidRPr="000322E4">
        <w:rPr>
          <w:lang w:val="en-US"/>
        </w:rPr>
        <w:instrText>Kim</w:instrText>
      </w:r>
      <w:r w:rsidR="003B604F" w:rsidRPr="000322E4">
        <w:instrText>","</w:instrText>
      </w:r>
      <w:r w:rsidR="003B604F" w:rsidRPr="000322E4">
        <w:rPr>
          <w:lang w:val="en-US"/>
        </w:rPr>
        <w:instrText>given</w:instrText>
      </w:r>
      <w:r w:rsidR="003B604F" w:rsidRPr="000322E4">
        <w:instrText>":"</w:instrText>
      </w:r>
      <w:r w:rsidR="003B604F" w:rsidRPr="000322E4">
        <w:rPr>
          <w:lang w:val="en-US"/>
        </w:rPr>
        <w:instrText>Byoung</w:instrText>
      </w:r>
      <w:r w:rsidR="003B604F" w:rsidRPr="000322E4">
        <w:instrText xml:space="preserve"> </w:instrText>
      </w:r>
      <w:r w:rsidR="003B604F" w:rsidRPr="000322E4">
        <w:rPr>
          <w:lang w:val="en-US"/>
        </w:rPr>
        <w:instrText>Hyuck</w:instrText>
      </w:r>
      <w:r w:rsidR="003B604F" w:rsidRPr="000322E4">
        <w:instrText>","</w:instrText>
      </w:r>
      <w:r w:rsidR="003B604F" w:rsidRPr="000322E4">
        <w:rPr>
          <w:lang w:val="en-US"/>
        </w:rPr>
        <w:instrText>non</w:instrText>
      </w:r>
      <w:r w:rsidR="003B604F" w:rsidRPr="000322E4">
        <w:instrText>-</w:instrText>
      </w:r>
      <w:r w:rsidR="003B604F" w:rsidRPr="000322E4">
        <w:rPr>
          <w:lang w:val="en-US"/>
        </w:rPr>
        <w:instrText>dropping</w:instrText>
      </w:r>
      <w:r w:rsidR="003B604F" w:rsidRPr="000322E4">
        <w:instrText>-</w:instrText>
      </w:r>
      <w:r w:rsidR="003B604F" w:rsidRPr="000322E4">
        <w:rPr>
          <w:lang w:val="en-US"/>
        </w:rPr>
        <w:instrText>particle</w:instrText>
      </w:r>
      <w:r w:rsidR="003B604F" w:rsidRPr="000322E4">
        <w:instrText>":"","</w:instrText>
      </w:r>
      <w:r w:rsidR="003B604F" w:rsidRPr="000322E4">
        <w:rPr>
          <w:lang w:val="en-US"/>
        </w:rPr>
        <w:instrText>parse</w:instrText>
      </w:r>
      <w:r w:rsidR="003B604F" w:rsidRPr="000322E4">
        <w:instrText>-</w:instrText>
      </w:r>
      <w:r w:rsidR="003B604F" w:rsidRPr="000322E4">
        <w:rPr>
          <w:lang w:val="en-US"/>
        </w:rPr>
        <w:instrText>names</w:instrText>
      </w:r>
      <w:r w:rsidR="003B604F" w:rsidRPr="000322E4">
        <w:instrText>":</w:instrText>
      </w:r>
      <w:r w:rsidR="003B604F" w:rsidRPr="000322E4">
        <w:rPr>
          <w:lang w:val="en-US"/>
        </w:rPr>
        <w:instrText>false</w:instrText>
      </w:r>
      <w:r w:rsidR="003B604F" w:rsidRPr="000322E4">
        <w:instrText>,"</w:instrText>
      </w:r>
      <w:r w:rsidR="003B604F" w:rsidRPr="000322E4">
        <w:rPr>
          <w:lang w:val="en-US"/>
        </w:rPr>
        <w:instrText>suffix</w:instrText>
      </w:r>
      <w:r w:rsidR="003B604F" w:rsidRPr="000322E4">
        <w:instrText>":""},{"</w:instrText>
      </w:r>
      <w:r w:rsidR="003B604F" w:rsidRPr="000322E4">
        <w:rPr>
          <w:lang w:val="en-US"/>
        </w:rPr>
        <w:instrText>dropping</w:instrText>
      </w:r>
      <w:r w:rsidR="003B604F" w:rsidRPr="000322E4">
        <w:instrText>-</w:instrText>
      </w:r>
      <w:r w:rsidR="003B604F" w:rsidRPr="000322E4">
        <w:rPr>
          <w:lang w:val="en-US"/>
        </w:rPr>
        <w:instrText>particle</w:instrText>
      </w:r>
      <w:r w:rsidR="003B604F" w:rsidRPr="000322E4">
        <w:instrText>":"","</w:instrText>
      </w:r>
      <w:r w:rsidR="003B604F" w:rsidRPr="000322E4">
        <w:rPr>
          <w:lang w:val="en-US"/>
        </w:rPr>
        <w:instrText>family</w:instrText>
      </w:r>
      <w:r w:rsidR="003B604F" w:rsidRPr="000322E4">
        <w:instrText>":"</w:instrText>
      </w:r>
      <w:r w:rsidR="003B604F" w:rsidRPr="000322E4">
        <w:rPr>
          <w:lang w:val="en-US"/>
        </w:rPr>
        <w:instrText>Kim</w:instrText>
      </w:r>
      <w:r w:rsidR="003B604F" w:rsidRPr="000322E4">
        <w:instrText>","</w:instrText>
      </w:r>
      <w:r w:rsidR="003B604F" w:rsidRPr="000322E4">
        <w:rPr>
          <w:lang w:val="en-US"/>
        </w:rPr>
        <w:instrText>given</w:instrText>
      </w:r>
      <w:r w:rsidR="003B604F" w:rsidRPr="000322E4">
        <w:instrText>":"</w:instrText>
      </w:r>
      <w:r w:rsidR="003B604F" w:rsidRPr="000322E4">
        <w:rPr>
          <w:lang w:val="en-US"/>
        </w:rPr>
        <w:instrText>Tae</w:instrText>
      </w:r>
      <w:r w:rsidR="003B604F" w:rsidRPr="000322E4">
        <w:instrText xml:space="preserve"> </w:instrText>
      </w:r>
      <w:r w:rsidR="003B604F" w:rsidRPr="000322E4">
        <w:rPr>
          <w:lang w:val="en-US"/>
        </w:rPr>
        <w:instrText>Min</w:instrText>
      </w:r>
      <w:r w:rsidR="003B604F" w:rsidRPr="000322E4">
        <w:instrText>","</w:instrText>
      </w:r>
      <w:r w:rsidR="003B604F" w:rsidRPr="000322E4">
        <w:rPr>
          <w:lang w:val="en-US"/>
        </w:rPr>
        <w:instrText>non</w:instrText>
      </w:r>
      <w:r w:rsidR="003B604F" w:rsidRPr="000322E4">
        <w:instrText>-</w:instrText>
      </w:r>
      <w:r w:rsidR="003B604F" w:rsidRPr="000322E4">
        <w:rPr>
          <w:lang w:val="en-US"/>
        </w:rPr>
        <w:instrText>dropping</w:instrText>
      </w:r>
      <w:r w:rsidR="003B604F" w:rsidRPr="000322E4">
        <w:instrText>-</w:instrText>
      </w:r>
      <w:r w:rsidR="003B604F" w:rsidRPr="000322E4">
        <w:rPr>
          <w:lang w:val="en-US"/>
        </w:rPr>
        <w:instrText>particle</w:instrText>
      </w:r>
      <w:r w:rsidR="003B604F" w:rsidRPr="000322E4">
        <w:instrText>":"","</w:instrText>
      </w:r>
      <w:r w:rsidR="003B604F" w:rsidRPr="000322E4">
        <w:rPr>
          <w:lang w:val="en-US"/>
        </w:rPr>
        <w:instrText>parse</w:instrText>
      </w:r>
      <w:r w:rsidR="003B604F" w:rsidRPr="000322E4">
        <w:instrText>-</w:instrText>
      </w:r>
      <w:r w:rsidR="003B604F" w:rsidRPr="000322E4">
        <w:rPr>
          <w:lang w:val="en-US"/>
        </w:rPr>
        <w:instrText>names</w:instrText>
      </w:r>
      <w:r w:rsidR="003B604F" w:rsidRPr="000322E4">
        <w:instrText>":</w:instrText>
      </w:r>
      <w:r w:rsidR="003B604F" w:rsidRPr="000322E4">
        <w:rPr>
          <w:lang w:val="en-US"/>
        </w:rPr>
        <w:instrText>false</w:instrText>
      </w:r>
      <w:r w:rsidR="003B604F" w:rsidRPr="000322E4">
        <w:instrText>,"</w:instrText>
      </w:r>
      <w:r w:rsidR="003B604F" w:rsidRPr="000322E4">
        <w:rPr>
          <w:lang w:val="en-US"/>
        </w:rPr>
        <w:instrText>suffix</w:instrText>
      </w:r>
      <w:r w:rsidR="003B604F" w:rsidRPr="000322E4">
        <w:instrText>":""},{"</w:instrText>
      </w:r>
      <w:r w:rsidR="003B604F" w:rsidRPr="000322E4">
        <w:rPr>
          <w:lang w:val="en-US"/>
        </w:rPr>
        <w:instrText>dropping</w:instrText>
      </w:r>
      <w:r w:rsidR="003B604F" w:rsidRPr="000322E4">
        <w:instrText>-</w:instrText>
      </w:r>
      <w:r w:rsidR="003B604F" w:rsidRPr="000322E4">
        <w:rPr>
          <w:lang w:val="en-US"/>
        </w:rPr>
        <w:instrText>particle</w:instrText>
      </w:r>
      <w:r w:rsidR="003B604F" w:rsidRPr="000322E4">
        <w:instrText>":"","</w:instrText>
      </w:r>
      <w:r w:rsidR="003B604F" w:rsidRPr="000322E4">
        <w:rPr>
          <w:lang w:val="en-US"/>
        </w:rPr>
        <w:instrText>family</w:instrText>
      </w:r>
      <w:r w:rsidR="003B604F" w:rsidRPr="000322E4">
        <w:instrText>":"</w:instrText>
      </w:r>
      <w:r w:rsidR="003B604F" w:rsidRPr="000322E4">
        <w:rPr>
          <w:lang w:val="en-US"/>
        </w:rPr>
        <w:instrText>Heo</w:instrText>
      </w:r>
      <w:r w:rsidR="003B604F" w:rsidRPr="000322E4">
        <w:instrText>","</w:instrText>
      </w:r>
      <w:r w:rsidR="003B604F" w:rsidRPr="000322E4">
        <w:rPr>
          <w:lang w:val="en-US"/>
        </w:rPr>
        <w:instrText>given</w:instrText>
      </w:r>
      <w:r w:rsidR="003B604F" w:rsidRPr="000322E4">
        <w:instrText>":"</w:instrText>
      </w:r>
      <w:r w:rsidR="003B604F" w:rsidRPr="000322E4">
        <w:rPr>
          <w:lang w:val="en-US"/>
        </w:rPr>
        <w:instrText>Dae</w:instrText>
      </w:r>
      <w:r w:rsidR="003B604F" w:rsidRPr="000322E4">
        <w:instrText xml:space="preserve"> </w:instrText>
      </w:r>
      <w:r w:rsidR="003B604F" w:rsidRPr="000322E4">
        <w:rPr>
          <w:lang w:val="en-US"/>
        </w:rPr>
        <w:instrText>Seog</w:instrText>
      </w:r>
      <w:r w:rsidR="003B604F" w:rsidRPr="000322E4">
        <w:instrText>","</w:instrText>
      </w:r>
      <w:r w:rsidR="003B604F" w:rsidRPr="000322E4">
        <w:rPr>
          <w:lang w:val="en-US"/>
        </w:rPr>
        <w:instrText>non</w:instrText>
      </w:r>
      <w:r w:rsidR="003B604F" w:rsidRPr="000322E4">
        <w:instrText>-</w:instrText>
      </w:r>
      <w:r w:rsidR="003B604F" w:rsidRPr="000322E4">
        <w:rPr>
          <w:lang w:val="en-US"/>
        </w:rPr>
        <w:instrText>dropping</w:instrText>
      </w:r>
      <w:r w:rsidR="003B604F" w:rsidRPr="000322E4">
        <w:instrText>-</w:instrText>
      </w:r>
      <w:r w:rsidR="003B604F" w:rsidRPr="000322E4">
        <w:rPr>
          <w:lang w:val="en-US"/>
        </w:rPr>
        <w:instrText>particle</w:instrText>
      </w:r>
      <w:r w:rsidR="003B604F" w:rsidRPr="000322E4">
        <w:instrText>":"","</w:instrText>
      </w:r>
      <w:r w:rsidR="003B604F" w:rsidRPr="000322E4">
        <w:rPr>
          <w:lang w:val="en-US"/>
        </w:rPr>
        <w:instrText>parse</w:instrText>
      </w:r>
      <w:r w:rsidR="003B604F" w:rsidRPr="000322E4">
        <w:instrText>-</w:instrText>
      </w:r>
      <w:r w:rsidR="003B604F" w:rsidRPr="000322E4">
        <w:rPr>
          <w:lang w:val="en-US"/>
        </w:rPr>
        <w:instrText>names</w:instrText>
      </w:r>
      <w:r w:rsidR="003B604F" w:rsidRPr="000322E4">
        <w:instrText>":</w:instrText>
      </w:r>
      <w:r w:rsidR="003B604F" w:rsidRPr="000322E4">
        <w:rPr>
          <w:lang w:val="en-US"/>
        </w:rPr>
        <w:instrText>false</w:instrText>
      </w:r>
      <w:r w:rsidR="003B604F" w:rsidRPr="000322E4">
        <w:instrText>,"</w:instrText>
      </w:r>
      <w:r w:rsidR="003B604F" w:rsidRPr="000322E4">
        <w:rPr>
          <w:lang w:val="en-US"/>
        </w:rPr>
        <w:instrText>suffix</w:instrText>
      </w:r>
      <w:r w:rsidR="003B604F" w:rsidRPr="000322E4">
        <w:instrText>":""}],"</w:instrText>
      </w:r>
      <w:r w:rsidR="003B604F" w:rsidRPr="000322E4">
        <w:rPr>
          <w:lang w:val="en-US"/>
        </w:rPr>
        <w:instrText>container</w:instrText>
      </w:r>
      <w:r w:rsidR="003B604F" w:rsidRPr="000322E4">
        <w:instrText>-</w:instrText>
      </w:r>
      <w:r w:rsidR="003B604F" w:rsidRPr="000322E4">
        <w:rPr>
          <w:lang w:val="en-US"/>
        </w:rPr>
        <w:instrText>title</w:instrText>
      </w:r>
      <w:r w:rsidR="003B604F" w:rsidRPr="000322E4">
        <w:instrText>":"</w:instrText>
      </w:r>
      <w:r w:rsidR="003B604F" w:rsidRPr="000322E4">
        <w:rPr>
          <w:lang w:val="en-US"/>
        </w:rPr>
        <w:instrText>International</w:instrText>
      </w:r>
      <w:r w:rsidR="003B604F" w:rsidRPr="000322E4">
        <w:instrText xml:space="preserve"> </w:instrText>
      </w:r>
      <w:r w:rsidR="003B604F" w:rsidRPr="000322E4">
        <w:rPr>
          <w:lang w:val="en-US"/>
        </w:rPr>
        <w:instrText>Journal</w:instrText>
      </w:r>
      <w:r w:rsidR="003B604F" w:rsidRPr="000322E4">
        <w:instrText xml:space="preserve"> </w:instrText>
      </w:r>
      <w:r w:rsidR="003B604F" w:rsidRPr="000322E4">
        <w:rPr>
          <w:lang w:val="en-US"/>
        </w:rPr>
        <w:instrText>of</w:instrText>
      </w:r>
      <w:r w:rsidR="003B604F" w:rsidRPr="000322E4">
        <w:instrText xml:space="preserve"> </w:instrText>
      </w:r>
      <w:r w:rsidR="003B604F" w:rsidRPr="000322E4">
        <w:rPr>
          <w:lang w:val="en-US"/>
        </w:rPr>
        <w:instrText>Radiation</w:instrText>
      </w:r>
      <w:r w:rsidR="003B604F" w:rsidRPr="000322E4">
        <w:instrText xml:space="preserve"> </w:instrText>
      </w:r>
      <w:r w:rsidR="003B604F" w:rsidRPr="000322E4">
        <w:rPr>
          <w:lang w:val="en-US"/>
        </w:rPr>
        <w:instrText>Oncology</w:instrText>
      </w:r>
      <w:r w:rsidR="003B604F" w:rsidRPr="000322E4">
        <w:instrText xml:space="preserve"> </w:instrText>
      </w:r>
      <w:r w:rsidR="003B604F" w:rsidRPr="000322E4">
        <w:rPr>
          <w:lang w:val="en-US"/>
        </w:rPr>
        <w:instrText>Biology</w:instrText>
      </w:r>
      <w:r w:rsidR="003B604F" w:rsidRPr="000322E4">
        <w:instrText xml:space="preserve"> </w:instrText>
      </w:r>
      <w:r w:rsidR="003B604F" w:rsidRPr="000322E4">
        <w:rPr>
          <w:lang w:val="en-US"/>
        </w:rPr>
        <w:instrText>Physics</w:instrText>
      </w:r>
      <w:r w:rsidR="003B604F" w:rsidRPr="000322E4">
        <w:instrText>","</w:instrText>
      </w:r>
      <w:r w:rsidR="003B604F" w:rsidRPr="000322E4">
        <w:rPr>
          <w:lang w:val="en-US"/>
        </w:rPr>
        <w:instrText>id</w:instrText>
      </w:r>
      <w:r w:rsidR="003B604F" w:rsidRPr="000322E4">
        <w:instrText>":"</w:instrText>
      </w:r>
      <w:r w:rsidR="003B604F" w:rsidRPr="000322E4">
        <w:rPr>
          <w:lang w:val="en-US"/>
        </w:rPr>
        <w:instrText>ITEM</w:instrText>
      </w:r>
      <w:r w:rsidR="003B604F" w:rsidRPr="000322E4">
        <w:instrText>-1","</w:instrText>
      </w:r>
      <w:r w:rsidR="003B604F" w:rsidRPr="000322E4">
        <w:rPr>
          <w:lang w:val="en-US"/>
        </w:rPr>
        <w:instrText>issue</w:instrText>
      </w:r>
      <w:r w:rsidR="003B604F" w:rsidRPr="000322E4">
        <w:instrText>":"1","</w:instrText>
      </w:r>
      <w:r w:rsidR="003B604F" w:rsidRPr="000322E4">
        <w:rPr>
          <w:lang w:val="en-US"/>
        </w:rPr>
        <w:instrText>issued</w:instrText>
      </w:r>
      <w:r w:rsidR="003B604F" w:rsidRPr="000322E4">
        <w:instrText>":{"</w:instrText>
      </w:r>
      <w:r w:rsidR="003B604F" w:rsidRPr="000322E4">
        <w:rPr>
          <w:lang w:val="en-US"/>
        </w:rPr>
        <w:instrText>date</w:instrText>
      </w:r>
      <w:r w:rsidR="003B604F" w:rsidRPr="000322E4">
        <w:instrText>-</w:instrText>
      </w:r>
      <w:r w:rsidR="003B604F" w:rsidRPr="000322E4">
        <w:rPr>
          <w:lang w:val="en-US"/>
        </w:rPr>
        <w:instrText>parts</w:instrText>
      </w:r>
      <w:r w:rsidR="003B604F" w:rsidRPr="000322E4">
        <w:instrText>":[["2015","5","1"]]},"</w:instrText>
      </w:r>
      <w:r w:rsidR="003B604F" w:rsidRPr="000322E4">
        <w:rPr>
          <w:lang w:val="en-US"/>
        </w:rPr>
        <w:instrText>page</w:instrText>
      </w:r>
      <w:r w:rsidR="003B604F" w:rsidRPr="000322E4">
        <w:instrText>":"91-98","</w:instrText>
      </w:r>
      <w:r w:rsidR="003B604F" w:rsidRPr="000322E4">
        <w:rPr>
          <w:lang w:val="en-US"/>
        </w:rPr>
        <w:instrText>publisher</w:instrText>
      </w:r>
      <w:r w:rsidR="003B604F" w:rsidRPr="000322E4">
        <w:instrText>":"</w:instrText>
      </w:r>
      <w:r w:rsidR="003B604F" w:rsidRPr="000322E4">
        <w:rPr>
          <w:lang w:val="en-US"/>
        </w:rPr>
        <w:instrText>Elsevier</w:instrText>
      </w:r>
      <w:r w:rsidR="003B604F" w:rsidRPr="000322E4">
        <w:instrText xml:space="preserve"> </w:instrText>
      </w:r>
      <w:r w:rsidR="003B604F" w:rsidRPr="000322E4">
        <w:rPr>
          <w:lang w:val="en-US"/>
        </w:rPr>
        <w:instrText>Inc</w:instrText>
      </w:r>
      <w:r w:rsidR="003B604F" w:rsidRPr="000322E4">
        <w:instrText>.","</w:instrText>
      </w:r>
      <w:r w:rsidR="003B604F" w:rsidRPr="000322E4">
        <w:rPr>
          <w:lang w:val="en-US"/>
        </w:rPr>
        <w:instrText>title</w:instrText>
      </w:r>
      <w:r w:rsidR="003B604F" w:rsidRPr="000322E4">
        <w:instrText>":"</w:instrText>
      </w:r>
      <w:r w:rsidR="003B604F" w:rsidRPr="000322E4">
        <w:rPr>
          <w:lang w:val="en-US"/>
        </w:rPr>
        <w:instrText>Additional</w:instrText>
      </w:r>
      <w:r w:rsidR="003B604F" w:rsidRPr="000322E4">
        <w:instrText xml:space="preserve"> </w:instrText>
      </w:r>
      <w:r w:rsidR="003B604F" w:rsidRPr="000322E4">
        <w:rPr>
          <w:lang w:val="en-US"/>
        </w:rPr>
        <w:instrText>survival</w:instrText>
      </w:r>
      <w:r w:rsidR="003B604F" w:rsidRPr="000322E4">
        <w:instrText xml:space="preserve"> </w:instrText>
      </w:r>
      <w:r w:rsidR="003B604F" w:rsidRPr="000322E4">
        <w:rPr>
          <w:lang w:val="en-US"/>
        </w:rPr>
        <w:instrText>benefit</w:instrText>
      </w:r>
      <w:r w:rsidR="003B604F" w:rsidRPr="000322E4">
        <w:instrText xml:space="preserve"> </w:instrText>
      </w:r>
      <w:r w:rsidR="003B604F" w:rsidRPr="000322E4">
        <w:rPr>
          <w:lang w:val="en-US"/>
        </w:rPr>
        <w:instrText>of</w:instrText>
      </w:r>
      <w:r w:rsidR="003B604F" w:rsidRPr="000322E4">
        <w:instrText xml:space="preserve"> </w:instrText>
      </w:r>
      <w:r w:rsidR="003B604F" w:rsidRPr="000322E4">
        <w:rPr>
          <w:lang w:val="en-US"/>
        </w:rPr>
        <w:instrText>involved</w:instrText>
      </w:r>
      <w:r w:rsidR="003B604F" w:rsidRPr="000322E4">
        <w:instrText>-</w:instrText>
      </w:r>
      <w:r w:rsidR="003B604F" w:rsidRPr="000322E4">
        <w:rPr>
          <w:lang w:val="en-US"/>
        </w:rPr>
        <w:instrText>lesion</w:instrText>
      </w:r>
      <w:r w:rsidR="003B604F" w:rsidRPr="000322E4">
        <w:instrText xml:space="preserve"> </w:instrText>
      </w:r>
      <w:r w:rsidR="003B604F" w:rsidRPr="000322E4">
        <w:rPr>
          <w:lang w:val="en-US"/>
        </w:rPr>
        <w:instrText>radiation</w:instrText>
      </w:r>
      <w:r w:rsidR="003B604F" w:rsidRPr="000322E4">
        <w:instrText xml:space="preserve"> </w:instrText>
      </w:r>
      <w:r w:rsidR="003B604F" w:rsidRPr="000322E4">
        <w:rPr>
          <w:lang w:val="en-US"/>
        </w:rPr>
        <w:instrText>therapy</w:instrText>
      </w:r>
      <w:r w:rsidR="003B604F" w:rsidRPr="000322E4">
        <w:instrText xml:space="preserve"> </w:instrText>
      </w:r>
      <w:r w:rsidR="003B604F" w:rsidRPr="000322E4">
        <w:rPr>
          <w:lang w:val="en-US"/>
        </w:rPr>
        <w:instrText>after</w:instrText>
      </w:r>
      <w:r w:rsidR="003B604F" w:rsidRPr="000322E4">
        <w:instrText xml:space="preserve"> </w:instrText>
      </w:r>
      <w:r w:rsidR="003B604F" w:rsidRPr="000322E4">
        <w:rPr>
          <w:lang w:val="en-US"/>
        </w:rPr>
        <w:instrText>r</w:instrText>
      </w:r>
      <w:r w:rsidR="003B604F" w:rsidRPr="000322E4">
        <w:instrText>-</w:instrText>
      </w:r>
      <w:r w:rsidR="003B604F" w:rsidRPr="000322E4">
        <w:rPr>
          <w:lang w:val="en-US"/>
        </w:rPr>
        <w:instrText>chop</w:instrText>
      </w:r>
      <w:r w:rsidR="003B604F" w:rsidRPr="000322E4">
        <w:instrText xml:space="preserve"> </w:instrText>
      </w:r>
      <w:r w:rsidR="003B604F" w:rsidRPr="000322E4">
        <w:rPr>
          <w:lang w:val="en-US"/>
        </w:rPr>
        <w:instrText>chemotherapy</w:instrText>
      </w:r>
      <w:r w:rsidR="003B604F" w:rsidRPr="000322E4">
        <w:instrText xml:space="preserve"> </w:instrText>
      </w:r>
      <w:r w:rsidR="003B604F" w:rsidRPr="000322E4">
        <w:rPr>
          <w:lang w:val="en-US"/>
        </w:rPr>
        <w:instrText>in</w:instrText>
      </w:r>
      <w:r w:rsidR="003B604F" w:rsidRPr="000322E4">
        <w:instrText xml:space="preserve"> </w:instrText>
      </w:r>
      <w:r w:rsidR="003B604F" w:rsidRPr="000322E4">
        <w:rPr>
          <w:lang w:val="en-US"/>
        </w:rPr>
        <w:instrText>limited</w:instrText>
      </w:r>
      <w:r w:rsidR="003B604F" w:rsidRPr="000322E4">
        <w:instrText xml:space="preserve"> </w:instrText>
      </w:r>
      <w:r w:rsidR="003B604F" w:rsidRPr="000322E4">
        <w:rPr>
          <w:lang w:val="en-US"/>
        </w:rPr>
        <w:instrText>stage</w:instrText>
      </w:r>
      <w:r w:rsidR="003B604F" w:rsidRPr="000322E4">
        <w:instrText xml:space="preserve"> </w:instrText>
      </w:r>
      <w:r w:rsidR="003B604F" w:rsidRPr="000322E4">
        <w:rPr>
          <w:lang w:val="en-US"/>
        </w:rPr>
        <w:instrText>diffuse</w:instrText>
      </w:r>
      <w:r w:rsidR="003B604F" w:rsidRPr="000322E4">
        <w:instrText xml:space="preserve"> </w:instrText>
      </w:r>
      <w:r w:rsidR="003B604F" w:rsidRPr="000322E4">
        <w:rPr>
          <w:lang w:val="en-US"/>
        </w:rPr>
        <w:instrText>large</w:instrText>
      </w:r>
      <w:r w:rsidR="003B604F" w:rsidRPr="000322E4">
        <w:instrText xml:space="preserve"> </w:instrText>
      </w:r>
      <w:r w:rsidR="003B604F" w:rsidRPr="000322E4">
        <w:rPr>
          <w:lang w:val="en-US"/>
        </w:rPr>
        <w:instrText>b</w:instrText>
      </w:r>
      <w:r w:rsidR="003B604F" w:rsidRPr="000322E4">
        <w:instrText>-</w:instrText>
      </w:r>
      <w:r w:rsidR="003B604F" w:rsidRPr="000322E4">
        <w:rPr>
          <w:lang w:val="en-US"/>
        </w:rPr>
        <w:instrText>cell</w:instrText>
      </w:r>
      <w:r w:rsidR="003B604F" w:rsidRPr="000322E4">
        <w:instrText xml:space="preserve"> </w:instrText>
      </w:r>
      <w:r w:rsidR="003B604F" w:rsidRPr="000322E4">
        <w:rPr>
          <w:lang w:val="en-US"/>
        </w:rPr>
        <w:instrText>lymphoma</w:instrText>
      </w:r>
      <w:r w:rsidR="003B604F" w:rsidRPr="000322E4">
        <w:instrText>","</w:instrText>
      </w:r>
      <w:r w:rsidR="003B604F" w:rsidRPr="000322E4">
        <w:rPr>
          <w:lang w:val="en-US"/>
        </w:rPr>
        <w:instrText>type</w:instrText>
      </w:r>
      <w:r w:rsidR="003B604F" w:rsidRPr="000322E4">
        <w:instrText>":"</w:instrText>
      </w:r>
      <w:r w:rsidR="003B604F" w:rsidRPr="000322E4">
        <w:rPr>
          <w:lang w:val="en-US"/>
        </w:rPr>
        <w:instrText>article</w:instrText>
      </w:r>
      <w:r w:rsidR="003B604F" w:rsidRPr="000322E4">
        <w:instrText>-</w:instrText>
      </w:r>
      <w:r w:rsidR="003B604F" w:rsidRPr="000322E4">
        <w:rPr>
          <w:lang w:val="en-US"/>
        </w:rPr>
        <w:instrText>journal</w:instrText>
      </w:r>
      <w:r w:rsidR="003B604F" w:rsidRPr="000322E4">
        <w:instrText>","</w:instrText>
      </w:r>
      <w:r w:rsidR="003B604F" w:rsidRPr="000322E4">
        <w:rPr>
          <w:lang w:val="en-US"/>
        </w:rPr>
        <w:instrText>volume</w:instrText>
      </w:r>
      <w:r w:rsidR="003B604F" w:rsidRPr="000322E4">
        <w:instrText>":"92"},"</w:instrText>
      </w:r>
      <w:r w:rsidR="003B604F" w:rsidRPr="000322E4">
        <w:rPr>
          <w:lang w:val="en-US"/>
        </w:rPr>
        <w:instrText>uris</w:instrText>
      </w:r>
      <w:r w:rsidR="003B604F" w:rsidRPr="000322E4">
        <w:instrText>":["</w:instrText>
      </w:r>
      <w:r w:rsidR="003B604F" w:rsidRPr="000322E4">
        <w:rPr>
          <w:lang w:val="en-US"/>
        </w:rPr>
        <w:instrText>http</w:instrText>
      </w:r>
      <w:r w:rsidR="003B604F" w:rsidRPr="000322E4">
        <w:instrText>://</w:instrText>
      </w:r>
      <w:r w:rsidR="003B604F" w:rsidRPr="000322E4">
        <w:rPr>
          <w:lang w:val="en-US"/>
        </w:rPr>
        <w:instrText>www</w:instrText>
      </w:r>
      <w:r w:rsidR="003B604F" w:rsidRPr="000322E4">
        <w:instrText>.</w:instrText>
      </w:r>
      <w:r w:rsidR="003B604F" w:rsidRPr="000322E4">
        <w:rPr>
          <w:lang w:val="en-US"/>
        </w:rPr>
        <w:instrText>mendeley</w:instrText>
      </w:r>
      <w:r w:rsidR="003B604F" w:rsidRPr="000322E4">
        <w:instrText>.</w:instrText>
      </w:r>
      <w:r w:rsidR="003B604F" w:rsidRPr="000322E4">
        <w:rPr>
          <w:lang w:val="en-US"/>
        </w:rPr>
        <w:instrText>com</w:instrText>
      </w:r>
      <w:r w:rsidR="003B604F" w:rsidRPr="000322E4">
        <w:instrText>/</w:instrText>
      </w:r>
      <w:r w:rsidR="003B604F" w:rsidRPr="000322E4">
        <w:rPr>
          <w:lang w:val="en-US"/>
        </w:rPr>
        <w:instrText>documents</w:instrText>
      </w:r>
      <w:r w:rsidR="003B604F" w:rsidRPr="000322E4">
        <w:instrText>/?</w:instrText>
      </w:r>
      <w:r w:rsidR="003B604F" w:rsidRPr="000322E4">
        <w:rPr>
          <w:lang w:val="en-US"/>
        </w:rPr>
        <w:instrText>uuid</w:instrText>
      </w:r>
      <w:r w:rsidR="003B604F" w:rsidRPr="000322E4">
        <w:instrText>=779041</w:instrText>
      </w:r>
      <w:r w:rsidR="003B604F" w:rsidRPr="000322E4">
        <w:rPr>
          <w:lang w:val="en-US"/>
        </w:rPr>
        <w:instrText>ac</w:instrText>
      </w:r>
      <w:r w:rsidR="003B604F" w:rsidRPr="000322E4">
        <w:instrText>-2168-35</w:instrText>
      </w:r>
      <w:r w:rsidR="003B604F" w:rsidRPr="000322E4">
        <w:rPr>
          <w:lang w:val="en-US"/>
        </w:rPr>
        <w:instrText>ad</w:instrText>
      </w:r>
      <w:r w:rsidR="003B604F" w:rsidRPr="000322E4">
        <w:instrText>-9</w:instrText>
      </w:r>
      <w:r w:rsidR="003B604F" w:rsidRPr="000322E4">
        <w:rPr>
          <w:lang w:val="en-US"/>
        </w:rPr>
        <w:instrText>d</w:instrText>
      </w:r>
      <w:r w:rsidR="003B604F" w:rsidRPr="000322E4">
        <w:instrText>53-4</w:instrText>
      </w:r>
      <w:r w:rsidR="003B604F" w:rsidRPr="000322E4">
        <w:rPr>
          <w:lang w:val="en-US"/>
        </w:rPr>
        <w:instrText>c</w:instrText>
      </w:r>
      <w:r w:rsidR="003B604F" w:rsidRPr="000322E4">
        <w:instrText>15</w:instrText>
      </w:r>
      <w:r w:rsidR="003B604F" w:rsidRPr="000322E4">
        <w:rPr>
          <w:lang w:val="en-US"/>
        </w:rPr>
        <w:instrText>ca</w:instrText>
      </w:r>
      <w:r w:rsidR="003B604F" w:rsidRPr="000322E4">
        <w:instrText>0</w:instrText>
      </w:r>
      <w:r w:rsidR="003B604F" w:rsidRPr="000322E4">
        <w:rPr>
          <w:lang w:val="en-US"/>
        </w:rPr>
        <w:instrText>ee</w:instrText>
      </w:r>
      <w:r w:rsidR="003B604F" w:rsidRPr="000322E4">
        <w:instrText>6</w:instrText>
      </w:r>
      <w:r w:rsidR="003B604F" w:rsidRPr="000322E4">
        <w:rPr>
          <w:lang w:val="en-US"/>
        </w:rPr>
        <w:instrText>c</w:instrText>
      </w:r>
      <w:r w:rsidR="003B604F" w:rsidRPr="000322E4">
        <w:instrText>4"]}],"</w:instrText>
      </w:r>
      <w:r w:rsidR="003B604F" w:rsidRPr="000322E4">
        <w:rPr>
          <w:lang w:val="en-US"/>
        </w:rPr>
        <w:instrText>mendeley</w:instrText>
      </w:r>
      <w:r w:rsidR="003B604F" w:rsidRPr="000322E4">
        <w:instrText>":{"</w:instrText>
      </w:r>
      <w:r w:rsidR="003B604F" w:rsidRPr="000322E4">
        <w:rPr>
          <w:lang w:val="en-US"/>
        </w:rPr>
        <w:instrText>formattedCitation</w:instrText>
      </w:r>
      <w:r w:rsidR="003B604F" w:rsidRPr="000322E4">
        <w:instrText>":"[44]","</w:instrText>
      </w:r>
      <w:r w:rsidR="003B604F" w:rsidRPr="000322E4">
        <w:rPr>
          <w:lang w:val="en-US"/>
        </w:rPr>
        <w:instrText>plainTextFormattedCitation</w:instrText>
      </w:r>
      <w:r w:rsidR="003B604F" w:rsidRPr="000322E4">
        <w:instrText>":"[44]","</w:instrText>
      </w:r>
      <w:r w:rsidR="003B604F" w:rsidRPr="000322E4">
        <w:rPr>
          <w:lang w:val="en-US"/>
        </w:rPr>
        <w:instrText>previouslyFormattedCitation</w:instrText>
      </w:r>
      <w:r w:rsidR="003B604F" w:rsidRPr="000322E4">
        <w:instrText>":"[44]"},"</w:instrText>
      </w:r>
      <w:r w:rsidR="003B604F" w:rsidRPr="000322E4">
        <w:rPr>
          <w:lang w:val="en-US"/>
        </w:rPr>
        <w:instrText>properties</w:instrText>
      </w:r>
      <w:r w:rsidR="003B604F" w:rsidRPr="000322E4">
        <w:instrText>":{"</w:instrText>
      </w:r>
      <w:r w:rsidR="003B604F" w:rsidRPr="000322E4">
        <w:rPr>
          <w:lang w:val="en-US"/>
        </w:rPr>
        <w:instrText>noteIndex</w:instrText>
      </w:r>
      <w:r w:rsidR="003B604F" w:rsidRPr="000322E4">
        <w:instrText>":0},"</w:instrText>
      </w:r>
      <w:r w:rsidR="003B604F" w:rsidRPr="000322E4">
        <w:rPr>
          <w:lang w:val="en-US"/>
        </w:rPr>
        <w:instrText>schema</w:instrText>
      </w:r>
      <w:r w:rsidR="003B604F" w:rsidRPr="000322E4">
        <w:instrText>":"</w:instrText>
      </w:r>
      <w:r w:rsidR="003B604F" w:rsidRPr="000322E4">
        <w:rPr>
          <w:lang w:val="en-US"/>
        </w:rPr>
        <w:instrText>https</w:instrText>
      </w:r>
      <w:r w:rsidR="003B604F" w:rsidRPr="000322E4">
        <w:instrText>://</w:instrText>
      </w:r>
      <w:r w:rsidR="003B604F" w:rsidRPr="000322E4">
        <w:rPr>
          <w:lang w:val="en-US"/>
        </w:rPr>
        <w:instrText>github</w:instrText>
      </w:r>
      <w:r w:rsidR="003B604F" w:rsidRPr="000322E4">
        <w:instrText>.</w:instrText>
      </w:r>
      <w:r w:rsidR="003B604F" w:rsidRPr="000322E4">
        <w:rPr>
          <w:lang w:val="en-US"/>
        </w:rPr>
        <w:instrText>com</w:instrText>
      </w:r>
      <w:r w:rsidR="003B604F" w:rsidRPr="000322E4">
        <w:instrText>/</w:instrText>
      </w:r>
      <w:r w:rsidR="003B604F" w:rsidRPr="000322E4">
        <w:rPr>
          <w:lang w:val="en-US"/>
        </w:rPr>
        <w:instrText>citation</w:instrText>
      </w:r>
      <w:r w:rsidR="003B604F" w:rsidRPr="000322E4">
        <w:instrText>-</w:instrText>
      </w:r>
      <w:r w:rsidR="003B604F" w:rsidRPr="000322E4">
        <w:rPr>
          <w:lang w:val="en-US"/>
        </w:rPr>
        <w:instrText>style</w:instrText>
      </w:r>
      <w:r w:rsidR="003B604F" w:rsidRPr="000322E4">
        <w:instrText>-</w:instrText>
      </w:r>
      <w:r w:rsidR="003B604F" w:rsidRPr="000322E4">
        <w:rPr>
          <w:lang w:val="en-US"/>
        </w:rPr>
        <w:instrText>language</w:instrText>
      </w:r>
      <w:r w:rsidR="003B604F" w:rsidRPr="000322E4">
        <w:instrText>/</w:instrText>
      </w:r>
      <w:r w:rsidR="003B604F" w:rsidRPr="000322E4">
        <w:rPr>
          <w:lang w:val="en-US"/>
        </w:rPr>
        <w:instrText>schema</w:instrText>
      </w:r>
      <w:r w:rsidR="003B604F" w:rsidRPr="000322E4">
        <w:instrText>/</w:instrText>
      </w:r>
      <w:r w:rsidR="003B604F" w:rsidRPr="000322E4">
        <w:rPr>
          <w:lang w:val="en-US"/>
        </w:rPr>
        <w:instrText>raw</w:instrText>
      </w:r>
      <w:r w:rsidR="003B604F" w:rsidRPr="000322E4">
        <w:instrText>/</w:instrText>
      </w:r>
      <w:r w:rsidR="003B604F" w:rsidRPr="000322E4">
        <w:rPr>
          <w:lang w:val="en-US"/>
        </w:rPr>
        <w:instrText>master</w:instrText>
      </w:r>
      <w:r w:rsidR="003B604F" w:rsidRPr="000322E4">
        <w:instrText>/</w:instrText>
      </w:r>
      <w:r w:rsidR="003B604F" w:rsidRPr="000322E4">
        <w:rPr>
          <w:lang w:val="en-US"/>
        </w:rPr>
        <w:instrText>csl</w:instrText>
      </w:r>
      <w:r w:rsidR="003B604F" w:rsidRPr="000322E4">
        <w:instrText>-</w:instrText>
      </w:r>
      <w:r w:rsidR="003B604F" w:rsidRPr="000322E4">
        <w:rPr>
          <w:lang w:val="en-US"/>
        </w:rPr>
        <w:instrText>citation</w:instrText>
      </w:r>
      <w:r w:rsidR="003B604F" w:rsidRPr="000322E4">
        <w:instrText>.</w:instrText>
      </w:r>
      <w:r w:rsidR="003B604F" w:rsidRPr="000322E4">
        <w:rPr>
          <w:lang w:val="en-US"/>
        </w:rPr>
        <w:instrText>json</w:instrText>
      </w:r>
      <w:r w:rsidR="003B604F" w:rsidRPr="000322E4">
        <w:instrText>"}</w:instrText>
      </w:r>
      <w:r w:rsidR="00FE4AC0" w:rsidRPr="000322E4">
        <w:rPr>
          <w:lang w:val="en-US"/>
        </w:rPr>
        <w:fldChar w:fldCharType="separate"/>
      </w:r>
      <w:r w:rsidR="00FE4AC0" w:rsidRPr="000322E4">
        <w:rPr>
          <w:noProof/>
        </w:rPr>
        <w:t>[44]</w:t>
      </w:r>
      <w:r w:rsidR="00FE4AC0" w:rsidRPr="000322E4">
        <w:rPr>
          <w:lang w:val="en-US"/>
        </w:rPr>
        <w:fldChar w:fldCharType="end"/>
      </w:r>
    </w:p>
    <w:p w14:paraId="5FB714C2" w14:textId="77777777" w:rsidR="00746BF7" w:rsidRPr="000322E4" w:rsidRDefault="00746BF7" w:rsidP="008A40EA">
      <w:pPr>
        <w:ind w:left="709"/>
        <w:contextualSpacing/>
        <w:rPr>
          <w:b/>
        </w:rPr>
      </w:pPr>
      <w:r w:rsidRPr="000322E4">
        <w:rPr>
          <w:b/>
        </w:rPr>
        <w:t>Уровень убедительности рекомендаций С (уровень достоверности доказательств 4).</w:t>
      </w:r>
    </w:p>
    <w:p w14:paraId="0DA44825" w14:textId="77777777" w:rsidR="00F5607D" w:rsidRPr="000322E4" w:rsidRDefault="00F5607D" w:rsidP="008A40EA">
      <w:pPr>
        <w:pStyle w:val="a"/>
        <w:spacing w:before="0"/>
      </w:pPr>
      <w:r w:rsidRPr="000322E4">
        <w:t>Пациентам старше 18 лет с впервые установленной ДВКЛ III</w:t>
      </w:r>
      <w:r w:rsidR="00AD0C41" w:rsidRPr="000322E4">
        <w:t>-</w:t>
      </w:r>
      <w:r w:rsidR="00AD0C41" w:rsidRPr="000322E4">
        <w:rPr>
          <w:lang w:val="en-US"/>
        </w:rPr>
        <w:t>IV</w:t>
      </w:r>
      <w:r w:rsidRPr="000322E4">
        <w:t xml:space="preserve"> стадии </w:t>
      </w:r>
      <w:r w:rsidRPr="000322E4">
        <w:rPr>
          <w:b/>
          <w:bCs/>
        </w:rPr>
        <w:t>рекомендуется</w:t>
      </w:r>
      <w:r w:rsidRPr="000322E4">
        <w:t xml:space="preserve"> провести </w:t>
      </w:r>
      <w:r w:rsidR="004252FC" w:rsidRPr="000322E4">
        <w:t>2</w:t>
      </w:r>
      <w:r w:rsidRPr="000322E4">
        <w:t>-</w:t>
      </w:r>
      <w:r w:rsidR="004252FC" w:rsidRPr="000322E4">
        <w:t>4</w:t>
      </w:r>
      <w:r w:rsidRPr="000322E4">
        <w:t xml:space="preserve"> курсов иммунохимиотерапии R-CHOP-21 (схемы режимов лечения см. в приложении А3.1)  с последующим выполнением процедуры рестадирования (см. раздел 7.</w:t>
      </w:r>
      <w:r w:rsidR="00AE61A0" w:rsidRPr="000322E4">
        <w:t>6</w:t>
      </w:r>
      <w:r w:rsidRPr="000322E4">
        <w:t xml:space="preserve">) и, в случае достижения противоопухолевого ответа, </w:t>
      </w:r>
      <w:r w:rsidR="004252FC" w:rsidRPr="000322E4">
        <w:t xml:space="preserve">проведением еще 2-4 курсов иммунохимиотерапии R-CHOP-21 (суммарно 6)  и </w:t>
      </w:r>
      <w:r w:rsidR="004252FC" w:rsidRPr="000322E4">
        <w:lastRenderedPageBreak/>
        <w:t xml:space="preserve">планированием </w:t>
      </w:r>
      <w:r w:rsidRPr="000322E4">
        <w:t>консолидирующей  лучевой терапии</w:t>
      </w:r>
      <w:r w:rsidR="009375D9" w:rsidRPr="000322E4">
        <w:t xml:space="preserve"> на зоны с исходно массивными опухолевыми образованиями СОД 30 Гр и/или изолированными очагами поражения костей в СОД 30-40Гр, РОД 1,8-2,0 Гр </w:t>
      </w:r>
      <w:r w:rsidRPr="000322E4">
        <w:fldChar w:fldCharType="begin" w:fldLock="1"/>
      </w:r>
      <w:r w:rsidR="003B604F" w:rsidRPr="000322E4">
        <w:instrText>ADDIN CSL_CITATION {"citationItems":[{"id":"ITEM-1","itemData":{"DOI":"10.1182/blood-2010-03-276246","ISSN":"15280020","abstract":"We report the outcome of patients included in the LNH-98.5 study, which compared cyclophosphamide, doxorubicin, vincristine, and prednisone (CHOP) to rituximab plus CHOP (R-CHOP) therapy in 399 patients with diffuse large B-cell lymphoma (DLBCL) aged 60 to 80 years, with a median follow-up time of 10 years. Clinical event information was updated in all living patients (with the exception of 3 patients) in 2009. Survival end points were improved in patients treated with R-CHOP: the 10-year progression-free survival was 36.5%, compared with 20% with CHOP alone, and the 10-year overall survival was 43.5% compared with 27.6%. The same risk of death due to other diseases, secondary cancers, and late relapses was observed in both study arms. Relapses occurring after 5 years represented 7% of all disease progressions. The results from the 10-year analysis confirm the benefits and tolerability of the addition of rituximab to CHOP. Our findings underscore the need to treat elderly patients as young patients, with the use of curative chemotherapy. © 2010 by The American Society of Hematology.","author":[{"dropping-particle":"","family":"Coiffier","given":"Bertrand","non-dropping-particle":"","parse-names":false,"suffix":""},{"dropping-particle":"","family":"Thieblemont","given":"Catherine","non-dropping-particle":"","parse-names":false,"suffix":""},{"dropping-particle":"","family":"Neste","given":"Eric","non-dropping-particle":"Van Den","parse-names":false,"suffix":""},{"dropping-particle":"","family":"Lepeu","given":"Gérard","non-dropping-particle":"","parse-names":false,"suffix":""},{"dropping-particle":"","family":"Plantier","given":"Isabelle","non-dropping-particle":"","parse-names":false,"suffix":""},{"dropping-particle":"","family":"Castaigne","given":"Sylvie","non-dropping-particle":"","parse-names":false,"suffix":""},{"dropping-particle":"","family":"Lefort","given":"Sophie","non-dropping-particle":"","parse-names":false,"suffix":""},{"dropping-particle":"","family":"Marit","given":"Gérald","non-dropping-particle":"","parse-names":false,"suffix":""},{"dropping-particle":"","family":"Macro","given":"Margaret","non-dropping-particle":"","parse-names":false,"suffix":""},{"dropping-particle":"","family":"Sebban","given":"Catherine","non-dropping-particle":"","parse-names":false,"suffix":""},{"dropping-particle":"","family":"Belhadj","given":"Karim","non-dropping-particle":"","parse-names":false,"suffix":""},{"dropping-particle":"","family":"Bordessoule","given":"Dominique","non-dropping-particle":"","parse-names":false,"suffix":""},{"dropping-particle":"","family":"Fermé","given":"Christophe","non-dropping-particle":"","parse-names":false,"suffix":""},{"dropping-particle":"","family":"Tilly","given":"Hervé","non-dropping-particle":"","parse-names":false,"suffix":""}],"container-title":"Blood","id":"ITEM-1","issue":"12","issued":{"date-parts":[["2010","9","23"]]},"page":"2040-2045","publisher":"American Society of Hematology","title":"Long-term outcome of patients in the LNH-98.5 trial, the first randomized study comparing rituximab-CHOP to standard CHOP chemotherapy in DLBCL patients: A study by the Groupe d'Etudes des Lymphomes de l'Adulte","type":"article-journal","volume":"116"},"uris":["http://www.mendeley.com/documents/?uuid=c10963c4-44e4-37de-9b33-f1faa7a9fa55"]},{"id":"ITEM-2","itemData":{"DOI":"10.1200/JCO.2005.09.131","ISSN":"0732183X","abstract":"Purpose: To analyze the long-term outcome of patients included in the Lymphome Non Hodgkinien study 98-5 (LNH98-5) comparing cyclophosphamide, doxorubicin, vincristine, and prednisone (CHOP) to rituximab plus CHOP (R-CHOP) in elderly patients with diffuse large B-cell lymphoma. Patients and Methods: LNH98-5 was a randomized study that included 399 previously untreated patients, age 60 to 80 years, with diffuse large B-cell lymphoma. Patients received eight cycles of classical CHOP (cyclophosphamide 750 mg/m2, doxorubicin 50 mg/m2, vincristine 1.4 mg/m2, and prednisone 40 mg/m 2 for 5 days) every 3 weeks. In R-CHOP, rituximab 375 mg/m 2 was administered the same day as CHOP. Survivals were analyzed using the intent-to-treat principle. Results: Median follow-up is 5 years at present. Event-free survival, progression-free survival, disease-free survival, and overall survival remain statistically significant in favor of the combination of R-CHOP (P= .00002, P &lt; .00001, P &lt; .00031, and P &lt; .0073, respectively, in the log-rank test). Patients with low-risk or high-risk lymphoma according to the age-adjusted International Prognostic Index have longer survivals if treated with the combination. No long-term toxicity appeared to be associated with the R-CHOP combination. Conclusion: Using the combination of R-CHOP leads to significant improvement of the outcome of elderly patients with diffuse large B-cell lymphoma, with significant survival benefit maintained during a 5-year follow-up. This combination should become the standard for treating these patients. © 2005 by American Society of Clinical Oncology.","author":[{"dropping-particle":"","family":"Feugier","given":"Pierre","non-dropping-particle":"","parse-names":false,"suffix":""},{"dropping-particle":"","family":"Hoof","given":"A.","non-dropping-particle":"Van","parse-names":false,"suffix":""},{"dropping-particle":"","family":"Sebban","given":"C.","non-dropping-particle":"","parse-names":false,"suffix":""},{"dropping-particle":"","family":"Solal-Celigny","given":"P.","non-dropping-particle":"","parse-names":false,"suffix":""},{"dropping-particle":"","family":"Bouabdallah","given":"R.","non-dropping-particle":"","parse-names":false,"suffix":""},{"dropping-particle":"","family":"Fermé","given":"C.","non-dropping-particle":"","parse-names":false,"suffix":""},{"dropping-particle":"","family":"Christian","given":"B.","non-dropping-particle":"","parse-names":false,"suffix":""},{"dropping-particle":"","family":"Lepage","given":"E.","non-dropping-particle":"","parse-names":false,"suffix":""},{"dropping-particle":"","family":"Tilly","given":"H.","non-dropping-particle":"","parse-names":false,"suffix":""},{"dropping-particle":"","family":"Morschhauser","given":"F.","non-dropping-particle":"","parse-names":false,"suffix":""},{"dropping-particle":"","family":"Gaulard","given":"P.","non-dropping-particle":"","parse-names":false,"suffix":""},{"dropping-particle":"","family":"Salles","given":"G.","non-dropping-particle":"","parse-names":false,"suffix":""},{"dropping-particle":"","family":"Bosly","given":"A.","non-dropping-particle":"","parse-names":false,"suffix":""},{"dropping-particle":"","family":"Gisselbrecht","given":"C.","non-dropping-particle":"","parse-names":false,"suffix":""},{"dropping-particle":"","family":"Reyes","given":"F.","non-dropping-particle":"","parse-names":false,"suffix":""},{"dropping-particle":"","family":"Coiffier","given":"B.","non-dropping-particle":"","parse-names":false,"suffix":""}],"container-title":"Journal of Clinical Oncology","id":"ITEM-2","issue":"18","issued":{"date-parts":[["2005","6","20"]]},"page":"4117-4126","title":"Long-term results of the R-CHOP study in the treatment of elderly patients with diffuse large B-cell lymphoma: A study by the groupe d'etude des lymphomes de l'adulte","type":"article-journal","volume":"23"},"uris":["http://www.mendeley.com/documents/?uuid=eb7df7c3-c637-3f34-8ed5-dd4ceae537f1"]},{"id":"ITEM-3","itemData":{"DOI":"10.1016/S1470-2045(06)70664-7","ISSN":"14702045","abstract":"Background: The role of rituximab in combination with different CHOP (cyclophosphamide, doxorubicin, vincristine, and prednisone)-like chemotherapy regimens in young patients with good-prognosis diffuse large-B-cell lymphoma remains to be defined. We aimed to compare CHOP-like chemotherapy and rituximab with CHOP-like chemotherapy alone in these patients. Methods: 824 patients who were from 18 countries; aged 18-60 years; and who had no risk factors or one risk factor according to age-adjusted International Prognostic Index (IPI), stage II-IV disease, or stage I disease with bulk were enrolled. These patients were randomly assigned to six cycles of CHOP-like chemotherapy and rituximab (n=413) or to six cycles of CHOP-like chemotherapy alone (n=411). Bulky and extranodal sites received additional radiotherapy. The primary endpoint was event-free survival; secondary endpoints were response, progression under therapy, progression-free survival, overall survival, and frequency of toxic effects. Analyses were done by intention to treat and per protocol. This trial is registered at http://www.clinicaltrials.gov, NCT 00064116. Findings: After a median follow-up of 34 months (range 0·03-61), patients assigned chemotherapy and rituximab had increased 3-year event-free survival compared with those assigned chemotherapy alone (79% [95% CI 75-83] vs 59% [54-64]; difference between groups 20% [13-27], log-rank p&lt;0·0001), and had increased 3-year overall survival (93% [90-95] vs 84% [80-88]; difference between groups 9% [3-13], log-rank p=0·0001). Event-free survival was affected by treatment group, presence of bulky disease, and age-adjusted IPI: after chemotherapy and rituximab, a favourable subgroup (ie, IPI=0, no bulk) could be defined from a less-favourable subgroup (ie, IPI=1 or bulk, or both). Groups did not differ in the frequency of adverse events. Interpretation: Rituximab added to six cycles of CHOP is an effective treatment for young patients with good-prognosis diffuse large-B-cell lymphoma. The definition of two prognostic subgroups allows for a more refined therapeutic approach for these patients. © 2006 Elsevier Ltd. All rights reserved.","author":[{"dropping-particle":"","family":"Pfreundschuh","given":"Michael","non-dropping-particle":"","parse-names":false,"suffix":""},{"dropping-particle":"","family":"Trümper","given":"Lorenz","non-dropping-particle":"","parse-names":false,"suffix":""},{"dropping-particle":"","family":"Österborg","given":"Anders","non-dropping-particle":"","parse-names":false,"suffix":""},{"dropping-particle":"","family":"Pettengell","given":"Ruth","non-dropping-particle":"","parse-names":false,"suffix":""},{"dropping-particle":"","family":"Trneny","given":"Marek","non-dropping-particle":"","parse-names":false,"suffix":""},{"dropping-particle":"","family":"Imrie","given":"Kevin","non-dropping-particle":"","parse-names":false,"suffix":""},{"dropping-particle":"","family":"Ma","given":"David","non-dropping-particle":"","parse-names":false,"suffix":""},{"dropping-particle":"","family":"Gill","given":"Devinder","non-dropping-particle":"","parse-names":false,"suffix":""},{"dropping-particle":"","family":"Walewski","given":"Jan","non-dropping-particle":"","parse-names":false,"suffix":""},{"dropping-particle":"","family":"Zinzani","given":"Pier Luigi","non-dropping-particle":"","parse-names":false,"suffix":""},{"dropping-particle":"","family":"Stahel","given":"Rolf","non-dropping-particle":"","parse-names":false,"suffix":""},{"dropping-particle":"","family":"Kvaloy","given":"Stein","non-dropping-particle":"","parse-names":false,"suffix":""},{"dropping-particle":"","family":"Shpilberg","given":"Ofer","non-dropping-particle":"","parse-names":false,"suffix":""},{"dropping-particle":"","family":"Jaeger","given":"Ulrich","non-dropping-particle":"","parse-names":false,"suffix":""},{"dropping-particle":"","family":"Hansen","given":"Mads","non-dropping-particle":"","parse-names":false,"suffix":""},{"dropping-particle":"","family":"Lehtinen","given":"Tuula","non-dropping-particle":"","parse-names":false,"suffix":""},{"dropping-particle":"","family":"López-Guillermo","given":"Armando","non-dropping-particle":"","parse-names":false,"suffix":""},{"dropping-particle":"","family":"Corrado","given":"Claudia","non-dropping-particle":"","parse-names":false,"suffix":""},{"dropping-particle":"","family":"Scheliga","given":"Adriana","non-dropping-particle":"","parse-names":false,"suffix":""},{"dropping-particle":"","family":"Milpied","given":"Noel","non-dropping-particle":"","parse-names":false,"suffix":""},{"dropping-particle":"","family":"Mendila","given":"Myriam","non-dropping-particle":"","parse-names":false,"suffix":""},{"dropping-particle":"","family":"Rashford","given":"Michelle","non-dropping-particle":"","parse-names":false,"suffix":""},{"dropping-particle":"","family":"Kuhnt","given":"Evelyn","non-dropping-particle":"","parse-names":false,"suffix":""},{"dropping-particle":"","family":"Loeffler","given":"Markus","non-dropping-particle":"","parse-names":false,"suffix":""}],"container-title":"Lancet Oncology","id":"ITEM-3","issue":"5","issued":{"date-parts":[["2006","5"]]},"page":"379-391","title":"CHOP-like chemotherapy plus rituximab versus CHOP-like chemotherapy alone in young patients with good-prognosis diffuse large-B-cell lymphoma: a randomised controlled trial by the MabThera International Trial (MInT) Group","type":"article-journal","volume":"7"},"uris":["http://www.mendeley.com/documents/?uuid=805ebaf8-c90d-3a2a-9895-15fe62df78e2"]},{"id":"ITEM-4","itemData":{"DOI":"10.1016/j.ijrobp.2014.01.006","ISSN":"1879355X","abstract":"Radiation therapy (RT) is the most effective single modality for local control of non-Hodgkin lymphoma (NHL) and is an important component of therapy for many patients. Many of the historic concepts of dose and volume have recently been challenged by the advent of modern imaging and RT planning tools. The International Lymphoma Radiation Oncology Group (ILROG) has developed these guidelines after multinational meetings and analysis of available evidence. The guidelines represent an agreed consensus view of the ILROG steering committee on the use of RT in NHL in the modern era. The roles of reduced volume and reduced doses are addressed, integrating modern imaging with 3-dimensional planning and advanced techniques of RT delivery. In the modern era, in which combined-modality treatment with systemic therapy is appropriate, the previously applied extended-field and involved-field RT techniques that targeted nodal regions have now been replaced by limiting the RT to smaller volumes based solely on detectable nodal involvement at presentation. A new concept, involved-site RT, defines the clinical target volume. For indolent NHL, often treated with RT alone, larger fields should be considered. Newer treatment techniques, including intensity modulated RT, breath holding, image guided RT, and 4-dimensional imaging, should be implemented, and their use is expected to decrease significantly the risk for normal tissue damage while still achieving the primary goal of local tumor control. © 2014 Elsevier Inc. All rights reserved.","author":[{"dropping-particle":"","family":"Illidge","given":"Tim","non-dropping-particle":"","parse-names":false,"suffix":""},{"dropping-particle":"","family":"Specht","given":"Lena","non-dropping-particle":"","parse-names":false,"suffix":""},{"dropping-particle":"","family":"Yahalom","given":"Joachim","non-dropping-particle":"","parse-names":false,"suffix":""},{"dropping-particle":"","family":"Aleman","given":"Berthe","non-dropping-particle":"","parse-names":false,"suffix":""},{"dropping-particle":"","family":"Berthelsen","given":"Anne Kiil","non-dropping-particle":"","parse-names":false,"suffix":""},{"dropping-particle":"","family":"Constine","given":"Louis","non-dropping-particle":"","parse-names":false,"suffix":""},{"dropping-particle":"","family":"Dabaja","given":"Bouthaina","non-dropping-particle":"","parse-names":false,"suffix":""},{"dropping-particle":"","family":"Dharmarajan","given":"Kavita","non-dropping-particle":"","parse-names":false,"suffix":""},{"dropping-particle":"","family":"Ng","given":"Andrea","non-dropping-particle":"","parse-names":false,"suffix":""},{"dropping-particle":"","family":"Ricardi","given":"Umberto","non-dropping-particle":"","parse-names":false,"suffix":""},{"dropping-particle":"","family":"Wirth","given":"Andrew","non-dropping-particle":"","parse-names":false,"suffix":""}],"container-title":"International Journal of Radiation Oncology Biology Physics","id":"ITEM-4","issue":"1","issued":{"date-parts":[["2014","5","1"]]},"page":"49-58","publisher":"Elsevier Inc.","title":"Modern radiation therapy for nodal non-hodgkin lymphoma - Target definition and dose guidelines from the international lymphoma radiation oncology group","type":"article","volume":"89"},"uris":["http://www.mendeley.com/documents/?uuid=5c57fece-507a-32db-b04a-89e0d0f6fca0"]},{"id":"ITEM-5","itemData":{"DOI":"10.1200/JCO.2013.51.4505","ISSN":"15277755","abstract":"Purpose: R-CHOP (rituximab plus cyclophosphamide, doxorubicin, vincristine, and prednisone) is standard care for aggressive B-cell lymphoma. A prospective trial was conducted to investigate the role of additive radiotherapy (RT) to bulky and extralymphatic disease. Patients and Methods: The best arm of the RICOVER-60 trial (6xR-CHOP-14+2R [R-CHOP administered once every 2 weeks plus two additional applications of rituximab] plus involved-field RT [36 Gy] to sites of initial bulky [≥ 7.5 cm] disease and extralymphatic involvement) was compared with a cohort receiving the same immunochemotherapy but without RT in an amendment to the RICOVER-60 trial (RICOVER-noRTh) in a prospective fashion. Results: After a median observation time of 39 months, 164 of 166 RICOVER-noRTh patients were evaluable. In a multivariable analysis of the intention-to-treat population adjusting for International Prognostic Index risk factors and age (&gt; 70 years), event-free survival (EFS) of patients with bulky disease was inferior without additive RT (hazard ratio [HR], 2.1; 95% CI, 1.3 to 3.5; P = .005), with trends for inferior progression-free (PFS; HR, 1.8; 95% CI, 1.0 to 3.3; P = .058) and overall survival (OS; HR, 1.6; 95% CI, 0.9 to 3.1; P = .127). In a per-protocol analysis with 11 patients in RICOVER-noRTh excluded for receiving unplanned RT, multivariable analysis revealed HRs of 2.7 (95% CI, 1.3 to 5.9; P = .011) for EFS, 4.4 (95% CI, 1.8 to 10.6; P = .001) for PFS, and 4.3 (95% CI, 1.7 to 11.1; P = .002) for OS for patients not receiving RT to bulky disease. Conclusion: Additive RT to bulky sites abrogates bulky disease as a risk factor and improves outcome of elderly patients with aggressive B-cell lymphoma. Whether RT can be spared in patients with (metabolic) complete remission after immunochemotherapy must be addressed in appropriately designed prospective trials. © 2014 by American Society of Clinical Oncology.","author":[{"dropping-particle":"","family":"Held","given":"Gerhard","non-dropping-particle":"","parse-names":false,"suffix":""},{"dropping-particle":"","family":"Murawski","given":"Niels","non-dropping-particle":"","parse-names":false,"suffix":""},{"dropping-particle":"","family":"Ziepert","given":"Marita","non-dropping-particle":"","parse-names":false,"suffix":""},{"dropping-particle":"","family":"Fleckenstein","given":"Jochen","non-dropping-particle":"","parse-names":false,"suffix":""},{"dropping-particle":"","family":"Pöschel","given":"Viola","non-dropping-particle":"","parse-names":false,"suffix":""},{"dropping-particle":"","family":"Zwick","given":"Carsten","non-dropping-particle":"","parse-names":false,"suffix":""},{"dropping-particle":"","family":"Bittenbring","given":"Jörg","non-dropping-particle":"","parse-names":false,"suffix":""},{"dropping-particle":"","family":"Hänel","given":"Mathias","non-dropping-particle":"","parse-names":false,"suffix":""},{"dropping-particle":"","family":"Wilhelm","given":"Sibylla","non-dropping-particle":"","parse-names":false,"suffix":""},{"dropping-particle":"","family":"Schubert","given":"Jörg","non-dropping-particle":"","parse-names":false,"suffix":""},{"dropping-particle":"","family":"Schmitz","given":"Norbert","non-dropping-particle":"","parse-names":false,"suffix":""},{"dropping-particle":"","family":"Löffler","given":"Markus","non-dropping-particle":"","parse-names":false,"suffix":""},{"dropping-particle":"","family":"Rübe","given":"Christian","non-dropping-particle":"","parse-names":false,"suffix":""},{"dropping-particle":"","family":"Pfreundschuh","given":"Michael","non-dropping-particle":"","parse-names":false,"suffix":""}],"container-title":"Journal of Clinical Oncology","id":"ITEM-5","issue":"11","issued":{"date-parts":[["2014","4","10"]]},"page":"1112-1118","publisher":"American Society of Clinical Oncology","title":"Role of radiotherapy to bulky disease in elderly patients with aggressive b-cell lymphoma","type":"article-journal","volume":"32"},"uris":["http://www.mendeley.com/documents/?uuid=6256bfef-0c49-37be-93af-e837883993c4"]},{"id":"ITEM-6","itemData":{"DOI":"10.3109/10428194.2013.779687","ISSN":"10428194","abstract":"Diffuse large B-cell lymphoma (DLBCL) represents the most common subtype of non-Hodgkin lymphoma (NHL) in the United States, and two-thirds of these patients will present with advanced stage (stage III-IV) disease. Although radiation therapy (RT) alone was the first curative therapy for limited stage DLBCL, the advancement of combination chemotherapy with cyclophosphamide, doxorubicin, vincristine and prednisone (CHOP) with the addition of the anti-CD20 antibody rituximab became the cornerstone of current management. The role of consolidative RT as part of first-line therapy in the management of patients with advanced stage DLBCL remains unclear, and represents an area of controversy with considerable differences in patterns of practice across different institutions. Emerging data now challenge the National Comprehensive Cancer Network (NCCN) guidelines, and give support to the use of consolidative RT in patients with advanced stage DLBCL. This review summarizes the major studies as reflected in our current practice and provides further insight into future directions for randomized trials which would help better define the role of consolidative RT in such a cohort. © 2013 Informa UK, Ltd.","author":[{"dropping-particle":"","family":"Shi","given":"Zheng","non-dropping-particle":"","parse-names":false,"suffix":""},{"dropping-particle":"","family":"Esiashvili","given":"Natia","non-dropping-particle":"","parse-names":false,"suffix":""},{"dropping-particle":"","family":"Flowers","given":"Christopher","non-dropping-particle":"","parse-names":false,"suffix":""},{"dropping-particle":"","family":"Das","given":"Satya","non-dropping-particle":"","parse-names":false,"suffix":""},{"dropping-particle":"","family":"Khan","given":"Mohammad K.","non-dropping-particle":"","parse-names":false,"suffix":""}],"container-title":"Leukemia and Lymphoma","id":"ITEM-6","issue":"10","issued":{"date-parts":[["2013","10"]]},"page":"2122-2130","title":"Renewed interest in the role of consolidative radiotherapy in advanced stage diffuse large B-cell lymphoma","type":"article","volume":"54"},"uris":["http://www.mendeley.com/documents/?uuid=54d9c3d2-7224-334a-8c9c-0b7d0407320b"]},{"id":"ITEM-7","itemData":{"ISSN":"0890-9091","PMID":"25510806","abstract":"Diffuse large B-cell lymphoma (DLBCL) is the most common subtype of non-Hodgkin lymphoma. Approximately half of patients will present with advanced (stage III/IV) disease. The cornerstone of treatment is a combination of chemotherapy and immunotherapy, most commonly R-CHOP (rituximab, cyclophosphamide, doxorubicin, vincristine, prednisone). Efforts to improve upon R-CHOP-including more chemotherapy cycles, dose-dense chemotherapy, alternative drug combinations, high-dose chemotherapy with autologous stem cell transplant, and maintenance rituximab-have generally proved unsuccessful. There is a growing body of retrospective and prospective data, however, suggesting a benefit for consolidation radiation therapy (RT) in select patients with advanced DLBCL. Consolidation RT has been shown to improve outcomes for patients with advanced DLBCL generally, and in specific instances including initially bulky disease, bone involvement, or in the setting of a partial response to systemic therapy. In these settings consolidation RT is highly efficacious at achieving local disease control and improving overall outcomes.","author":[{"dropping-particle":"","family":"Boyle","given":"John","non-dropping-particle":"","parse-names":false,"suffix":""},{"dropping-particle":"","family":"Beaven","given":"Anne W","non-dropping-particle":"","parse-names":false,"suffix":""},{"dropping-particle":"","family":"Diehl","given":"Louis F","non-dropping-particle":"","parse-names":false,"suffix":""},{"dropping-particle":"","family":"Prosnitz","given":"Leonard R","non-dropping-particle":"","parse-names":false,"suffix":""},{"dropping-particle":"","family":"Kelsey","given":"Chris R","non-dropping-particle":"","parse-names":false,"suffix":""}],"container-title":"Oncology (Williston Park, N.Y.)","id":"ITEM-7","issue":"12","issued":{"date-parts":[["2014","12"]]},"page":"1074-81, 1084","title":"Improving outcomes in advanced DLBCL: systemic approaches and radiotherapy.","type":"article-journal","volume":"28"},"uris":["http://www.mendeley.com/documents/?uuid=c886d7cf-02e5-344d-ac5f-72ca44dd3184"]},{"id":"ITEM-8","itemData":{"DOI":"10.1002/cncr.29113","ISSN":"10970142","abstract":"BACKGROUND The role of consolidation radiotherapy was examined for patients with diffuse large B-cell lymphoma who were treated at institutions of the National Comprehensive Cancer Network during the rituximab era. METHODS Failure-free survival (FFS) and overall survival (OS) were analyzed in terms of patient and treatment characteristics. Potential associations were investigated with univariate and multivariate survival analysis and matched pair analysis. RESULTS There were 841 patients, and most (710 or 84%) received 6 to 8 cycles of rituximab, cyclophosphamide, doxorubicin, vincristine, and prednisone (R-CHOP); 293 (35%) received consolidation radiation therapy (RT). Failure occurred for 181 patients: 126 patients (70%) who did not receive RT and 55 patients (30%) who did. At 5 years, both OS and FFS rates were better for patients who had received RT versus those who did not (OS, 91% vs 83% [P = .01]; FFS, 83% vs 76% [P = .05]). A matched pair analysis (217 pairs matched by age, stage, International Prognostic Index [IPI] score, B symptoms, disease bulk, and response to chemotherapy) showed that the receipt of RT improved OS (hazard ratio [HR], 0.53 [P = .07]) and FFS (HR, 0.77 [P = .34]) for patients with stage III/IV disease, but too few events took place among those with stage I/II disease for meaningful comparisons (HR for OS, 0.94 [P = .89]; HR for FFS, 1.81 [P = .15]). A multivariate analysis suggested that the IPI score and the response to chemotherapy had the greatest influence on outcomes. CONCLUSIONS There was a trend of higher OS and FFS rates for patients who had received consolidation RT after R-CHOP (especially for patients with stage III/IV disease), but the difference did not reach statistical significance. Cancer 2014.","author":[{"dropping-particle":"","family":"Dabaja","given":"Bouthaina S.","non-dropping-particle":"","parse-names":false,"suffix":""},{"dropping-particle":"","family":"Vanderplas","given":"Ann M.","non-dropping-particle":"","parse-names":false,"suffix":""},{"dropping-particle":"","family":"Crosby-Thompson","given":"Allison L.","non-dropping-particle":"","parse-names":false,"suffix":""},{"dropping-particle":"","family":"Abel","given":"Gregory A.","non-dropping-particle":"","parse-names":false,"suffix":""},{"dropping-particle":"","family":"Czuczman","given":"Myron S.","non-dropping-particle":"","parse-names":false,"suffix":""},{"dropping-particle":"","family":"Friedberg","given":"Jonathan W.","non-dropping-particle":"","parse-names":false,"suffix":""},{"dropping-particle":"","family":"Gordon","given":"Leo I.","non-dropping-particle":"","parse-names":false,"suffix":""},{"dropping-particle":"","family":"Kaminski","given":"Mark","non-dropping-particle":"","parse-names":false,"suffix":""},{"dropping-particle":"","family":"Niland","given":"Joyce","non-dropping-particle":"","parse-names":false,"suffix":""},{"dropping-particle":"","family":"Millenson","given":"Michael","non-dropping-particle":"","parse-names":false,"suffix":""},{"dropping-particle":"","family":"Nademanee","given":"Auayporn P.","non-dropping-particle":"","parse-names":false,"suffix":""},{"dropping-particle":"","family":"Zelenetz","given":"Andrew","non-dropping-particle":"","parse-names":false,"suffix":""},{"dropping-particle":"","family":"Lacasce","given":"Ann S.","non-dropping-particle":"","parse-names":false,"suffix":""},{"dropping-particle":"","family":"Rodriguez","given":"Maria Alma","non-dropping-particle":"","parse-names":false,"suffix":""}],"container-title":"Cancer","id":"ITEM-8","issue":"7","issued":{"date-parts":[["2015","4","1"]]},"page":"1032-1039","publisher":"John Wiley and Sons Inc.","title":"Radiation for diffuse large B-cell lymphoma in the rituximab era: Analysis of the National Comprehensive Cancer Network lymphoma outcomes project","type":"paper-conference","volume":"121"},"uris":["http://www.mendeley.com/documents/?uuid=b24d1ddb-2448-341b-989c-63e965523fea"]}],"mendeley":{"formattedCitation":"[36–38,45–49]","plainTextFormattedCitation":"[36–38,45–49]","previouslyFormattedCitation":"[36–38,45–49]"},"properties":{"noteIndex":0},"schema":"https://github.com/citation-style-language/schema/raw/master/csl-citation.json"}</w:instrText>
      </w:r>
      <w:r w:rsidRPr="000322E4">
        <w:fldChar w:fldCharType="separate"/>
      </w:r>
      <w:r w:rsidR="00FE4AC0" w:rsidRPr="000322E4">
        <w:rPr>
          <w:noProof/>
        </w:rPr>
        <w:t>[36–38,45–49]</w:t>
      </w:r>
      <w:r w:rsidRPr="000322E4">
        <w:fldChar w:fldCharType="end"/>
      </w:r>
      <w:r w:rsidRPr="000322E4">
        <w:t xml:space="preserve">. </w:t>
      </w:r>
    </w:p>
    <w:p w14:paraId="72707BF8" w14:textId="77777777" w:rsidR="00F5607D" w:rsidRPr="000322E4" w:rsidRDefault="00F5607D" w:rsidP="008A40EA">
      <w:pPr>
        <w:ind w:left="709"/>
        <w:contextualSpacing/>
        <w:rPr>
          <w:b/>
        </w:rPr>
      </w:pPr>
      <w:r w:rsidRPr="000322E4">
        <w:rPr>
          <w:b/>
        </w:rPr>
        <w:t xml:space="preserve">Уровень убедительности рекомендаций </w:t>
      </w:r>
      <w:r w:rsidR="00D9209D" w:rsidRPr="000322E4">
        <w:rPr>
          <w:b/>
        </w:rPr>
        <w:t xml:space="preserve">С </w:t>
      </w:r>
      <w:r w:rsidRPr="000322E4">
        <w:rPr>
          <w:b/>
        </w:rPr>
        <w:t xml:space="preserve">(уровень достоверности доказательств </w:t>
      </w:r>
      <w:r w:rsidR="00D9209D" w:rsidRPr="000322E4">
        <w:rPr>
          <w:b/>
        </w:rPr>
        <w:t>4</w:t>
      </w:r>
      <w:r w:rsidRPr="000322E4">
        <w:rPr>
          <w:b/>
        </w:rPr>
        <w:t>).</w:t>
      </w:r>
    </w:p>
    <w:p w14:paraId="6050D2B3" w14:textId="77777777" w:rsidR="00F5607D" w:rsidRPr="000322E4" w:rsidRDefault="00F5607D" w:rsidP="008A40EA">
      <w:pPr>
        <w:ind w:left="709"/>
        <w:contextualSpacing/>
        <w:rPr>
          <w:i/>
          <w:iCs/>
        </w:rPr>
      </w:pPr>
      <w:r w:rsidRPr="000322E4">
        <w:rPr>
          <w:b/>
        </w:rPr>
        <w:t>Комментарий:</w:t>
      </w:r>
      <w:r w:rsidRPr="000322E4">
        <w:rPr>
          <w:bCs/>
        </w:rPr>
        <w:t xml:space="preserve"> </w:t>
      </w:r>
      <w:r w:rsidR="004252FC" w:rsidRPr="000322E4">
        <w:rPr>
          <w:i/>
          <w:iCs/>
        </w:rPr>
        <w:t xml:space="preserve">в </w:t>
      </w:r>
      <w:r w:rsidRPr="000322E4">
        <w:rPr>
          <w:i/>
          <w:iCs/>
        </w:rPr>
        <w:t xml:space="preserve">случае отсутствия противоопухолевого ответа и/или при наличии признаков прогрессирования ДВККЛ </w:t>
      </w:r>
      <w:r w:rsidR="00103620" w:rsidRPr="000322E4">
        <w:rPr>
          <w:i/>
          <w:iCs/>
        </w:rPr>
        <w:t xml:space="preserve">пациент </w:t>
      </w:r>
      <w:r w:rsidRPr="000322E4">
        <w:rPr>
          <w:i/>
          <w:iCs/>
        </w:rPr>
        <w:t>переводится на терапию в рамках 2 линии</w:t>
      </w:r>
      <w:r w:rsidR="00013C75" w:rsidRPr="000322E4">
        <w:rPr>
          <w:i/>
          <w:iCs/>
        </w:rPr>
        <w:t>.</w:t>
      </w:r>
    </w:p>
    <w:p w14:paraId="17B015BD" w14:textId="77777777" w:rsidR="00A61C76" w:rsidRPr="000322E4" w:rsidRDefault="00A61C76" w:rsidP="008A40EA">
      <w:pPr>
        <w:pStyle w:val="a"/>
        <w:spacing w:before="0"/>
      </w:pPr>
      <w:r w:rsidRPr="000322E4">
        <w:t>Пациентам старше 18 лет с впервые установленной ДВКЛ</w:t>
      </w:r>
      <w:r w:rsidR="001E1A3A" w:rsidRPr="000322E4">
        <w:t xml:space="preserve"> </w:t>
      </w:r>
      <w:r w:rsidRPr="000322E4">
        <w:t xml:space="preserve">при наличии серьезной </w:t>
      </w:r>
      <w:r w:rsidR="00D9209D" w:rsidRPr="000322E4">
        <w:t xml:space="preserve">сердечно-сосудистой </w:t>
      </w:r>
      <w:r w:rsidRPr="000322E4">
        <w:t xml:space="preserve">патологии </w:t>
      </w:r>
      <w:r w:rsidRPr="000322E4">
        <w:rPr>
          <w:rStyle w:val="affc"/>
          <w:i w:val="0"/>
        </w:rPr>
        <w:t xml:space="preserve">(снижение фракции выброса левого желудочка ниже 50%) </w:t>
      </w:r>
      <w:r w:rsidRPr="000322E4">
        <w:rPr>
          <w:rStyle w:val="affc"/>
          <w:b/>
          <w:bCs/>
          <w:i w:val="0"/>
        </w:rPr>
        <w:t>рекомендуется</w:t>
      </w:r>
      <w:r w:rsidRPr="000322E4">
        <w:rPr>
          <w:rStyle w:val="affc"/>
          <w:i w:val="0"/>
        </w:rPr>
        <w:t xml:space="preserve"> терапия режимами иммунохимиотерапии, не содержащими доксорубицин** или с использованием пегилированного липосомального доксорубицина**</w:t>
      </w:r>
      <w:r w:rsidR="00FE2B46" w:rsidRPr="000322E4">
        <w:rPr>
          <w:rStyle w:val="affc"/>
          <w:i w:val="0"/>
        </w:rPr>
        <w:t>:</w:t>
      </w:r>
      <w:r w:rsidRPr="000322E4">
        <w:rPr>
          <w:rStyle w:val="affc"/>
          <w:i w:val="0"/>
        </w:rPr>
        <w:t xml:space="preserve"> </w:t>
      </w:r>
      <w:r w:rsidR="007F4661" w:rsidRPr="000322E4">
        <w:rPr>
          <w:rStyle w:val="affc"/>
          <w:i w:val="0"/>
          <w:lang w:val="en-US"/>
        </w:rPr>
        <w:t>CHOP</w:t>
      </w:r>
      <w:r w:rsidR="007F4661" w:rsidRPr="000322E4">
        <w:rPr>
          <w:rStyle w:val="affc"/>
          <w:i w:val="0"/>
        </w:rPr>
        <w:t xml:space="preserve"> с пегилированным липосомальным доксорубицином, </w:t>
      </w:r>
      <w:r w:rsidRPr="000322E4">
        <w:rPr>
          <w:rStyle w:val="affc"/>
          <w:i w:val="0"/>
          <w:color w:val="000000" w:themeColor="text1"/>
        </w:rPr>
        <w:t>CEOP</w:t>
      </w:r>
      <w:r w:rsidRPr="000322E4">
        <w:rPr>
          <w:rStyle w:val="affc"/>
          <w:i w:val="0"/>
        </w:rPr>
        <w:t>,</w:t>
      </w:r>
      <w:r w:rsidR="007F4661" w:rsidRPr="000322E4">
        <w:rPr>
          <w:rStyle w:val="affc"/>
          <w:i w:val="0"/>
        </w:rPr>
        <w:t xml:space="preserve"> </w:t>
      </w:r>
      <w:r w:rsidR="007F4661" w:rsidRPr="000322E4">
        <w:rPr>
          <w:rStyle w:val="affc"/>
          <w:i w:val="0"/>
          <w:lang w:val="en-US"/>
        </w:rPr>
        <w:t>CCOP</w:t>
      </w:r>
      <w:r w:rsidR="008A40EA" w:rsidRPr="000322E4">
        <w:rPr>
          <w:rStyle w:val="affc"/>
          <w:i w:val="0"/>
        </w:rPr>
        <w:t>,</w:t>
      </w:r>
      <w:r w:rsidRPr="000322E4">
        <w:rPr>
          <w:rStyle w:val="affc"/>
          <w:i w:val="0"/>
        </w:rPr>
        <w:t xml:space="preserve"> GCVP</w:t>
      </w:r>
      <w:r w:rsidR="005C1E9B" w:rsidRPr="000322E4">
        <w:rPr>
          <w:rStyle w:val="affc"/>
          <w:i w:val="0"/>
        </w:rPr>
        <w:t xml:space="preserve">, </w:t>
      </w:r>
      <w:r w:rsidR="005C1E9B" w:rsidRPr="000322E4">
        <w:rPr>
          <w:rStyle w:val="affc"/>
          <w:i w:val="0"/>
          <w:lang w:val="en-US"/>
        </w:rPr>
        <w:t>CNOP</w:t>
      </w:r>
      <w:r w:rsidRPr="000322E4">
        <w:rPr>
          <w:rStyle w:val="affc"/>
          <w:i w:val="0"/>
        </w:rPr>
        <w:t xml:space="preserve"> </w:t>
      </w:r>
      <w:r w:rsidR="00FB58EF" w:rsidRPr="000322E4">
        <w:rPr>
          <w:rStyle w:val="affc"/>
          <w:i w:val="0"/>
        </w:rPr>
        <w:t>в комбинации с ритуксимабом** (</w:t>
      </w:r>
      <w:r w:rsidR="001E1A3A" w:rsidRPr="000322E4">
        <w:rPr>
          <w:rStyle w:val="affc"/>
          <w:i w:val="0"/>
        </w:rPr>
        <w:t>см. приложение А3.1</w:t>
      </w:r>
      <w:r w:rsidRPr="000322E4">
        <w:rPr>
          <w:rStyle w:val="affc"/>
          <w:i w:val="0"/>
        </w:rPr>
        <w:t>)</w:t>
      </w:r>
      <w:r w:rsidR="008A40EA" w:rsidRPr="000322E4">
        <w:rPr>
          <w:rStyle w:val="affc"/>
          <w:i w:val="0"/>
        </w:rPr>
        <w:t xml:space="preserve"> </w:t>
      </w:r>
      <w:r w:rsidR="005C1E9B" w:rsidRPr="000322E4">
        <w:fldChar w:fldCharType="begin" w:fldLock="1"/>
      </w:r>
      <w:r w:rsidR="00C37789" w:rsidRPr="000322E4">
        <w:instrText>ADDIN CSL_CITATION {"citationItems":[{"id":"ITEM-1","itemData":{"ISSN":"0390-6078","PMID":"12161358","abstract":"BACKGROUND AND OBJECTIVES Anthracycline-based combination chemotherapy regimens are the standard therapy for patients with diffuse large B-cell lymphoma (DLBCL), but such regimens may be poorly tolerated in elderly patients. DESIGN AND METHODS In a prospective phase II study we analyzed the feasibility of a regimen (CCOP) that includes pegylated liposomal doxorubicin (Caelyx ) plus vincristine, cyclophosphamide and prednisone in patients with DLBCL above the age of 60 years. RESULTS Thirty-three patients, with a median age of 74 years, were enrolled in the study. The overall response rate was 64% (49% complete remissions and 15% partial remissions). The estimated one-year overall and event-free survivals were 55% (95% CI, 38-72) and 45% (95%CI, 28-62), respectively. The only relevant toxicity was neutropenia, which reached grades 3-4 in 21 cases (64%). INTERPRETATION AND CONCLUSIONS These results suggest that CCOP appears to be an acceptable alternative for elderly patients with DLBCL, and randomized trials against a conventional doxorubicin-containing regimen are justified.","author":[{"dropping-particle":"","family":"Martino","given":"Rodrigo","non-dropping-particle":"","parse-names":false,"suffix":""},{"dropping-particle":"","family":"Perea","given":"Granada","non-dropping-particle":"","parse-names":false,"suffix":""},{"dropping-particle":"","family":"Caballero","given":"María Dolores","non-dropping-particle":"","parse-names":false,"suffix":""},{"dropping-particle":"V","family":"Mateos","given":"María","non-dropping-particle":"","parse-names":false,"suffix":""},{"dropping-particle":"","family":"Ribera","given":"Josep M","non-dropping-particle":"","parse-names":false,"suffix":""},{"dropping-particle":"","family":"Oteyza","given":"Jaime Pérez","non-dropping-particle":"de","parse-names":false,"suffix":""},{"dropping-particle":"","family":"Arranz","given":"Reyes","non-dropping-particle":"","parse-names":false,"suffix":""},{"dropping-particle":"","family":"Terol","given":"María José","non-dropping-particle":"","parse-names":false,"suffix":""},{"dropping-particle":"","family":"Sierra","given":"Jorge","non-dropping-particle":"","parse-names":false,"suffix":""},{"dropping-particle":"","family":"San Miguel","given":"Jesús F","non-dropping-particle":"","parse-names":false,"suffix":""}],"container-title":"Haematologica","id":"ITEM-1","issue":"8","issued":{"date-parts":[["2002","8","1"]]},"page":"822-7","publisher":"Haematologica","title":"Cyclophosphamide, pegylated liposomal doxorubicin (Caelyx), vincristine and prednisone (CCOP) in elderly patients with diffuse large B-cell lymphoma: results from a prospective phase II study.","type":"article-journal","volume":"87"},"uris":["http://www.mendeley.com/documents/?uuid=3f2e1abe-b820-48c7-b6d1-a9c3185592ee"]},{"id":"ITEM-2","itemData":{"DOI":"10.1080/10428190600799946","ISSN":"10428194","abstract":"Thirty untreated patients, median age 69 years (range 60-75 years), with diffuse large B-cell lymphoma (B-DLCL) were treated with a pegylated liposomal doxorubicin (PL-doxorubicin) modified CHOP-rituximab regimen. PL-doxorubicin 30 mg/m2, was given in combination with standard dosage of prednisone, vincristine, cyclophosphamide, rituximab (according to CHOP-R regimen) every 21 days for six courses. Cardiac toxicity was evaluated by mean of echocardiography for left ventricular ejection fraction (LVEF) evaluations and serum troponin-I levels. Overall response and complete response rates were 76% and 59%. Projected two year event free survival and overall survival are 65.5% and 68.5%. No treatment-related mortality was documented. WHO grade III-IV neutropenia and thrombocytopenia were 86% and 3%. Extra-hematological III-IV toxicity was represented, respectively, by a single case of infection, mucositis, and bleeding. LVEF evaluations and the troponin levels did not show significant changes over the course of the treatment. One patient with a previous history of atrial fibrillation experienced a single episode of arrhythmia. None of the patients developed palmar-plantar erythrodysesthesia. This regimen appears an active regimen for the treatment of elderly patients with B-DLCL. The replacement of conventional doxorubicin with PL-doxorubicin seems to be associated with a negligible incidence of extra-hematological toxicity, in particular cardiac and infectious complications.","author":[{"dropping-particle":"","family":"Zaja","given":"F.","non-dropping-particle":"","parse-names":false,"suffix":""},{"dropping-particle":"","family":"Tomadini","given":"V.","non-dropping-particle":"","parse-names":false,"suffix":""},{"dropping-particle":"","family":"Zaccaria","given":"A.","non-dropping-particle":"","parse-names":false,"suffix":""},{"dropping-particle":"","family":"Lenoci","given":"M.","non-dropping-particle":"","parse-names":false,"suffix":""},{"dropping-particle":"","family":"Battista","given":"M.","non-dropping-particle":"","parse-names":false,"suffix":""},{"dropping-particle":"","family":"Molinari","given":"A. L.","non-dropping-particle":"","parse-names":false,"suffix":""},{"dropping-particle":"","family":"Fabbri","given":"A.","non-dropping-particle":"","parse-names":false,"suffix":""},{"dropping-particle":"","family":"Battista","given":"R.","non-dropping-particle":"","parse-names":false,"suffix":""},{"dropping-particle":"","family":"Cabras","given":"M. G.","non-dropping-particle":"","parse-names":false,"suffix":""},{"dropping-particle":"","family":"Gallamini","given":"A.","non-dropping-particle":"","parse-names":false,"suffix":""},{"dropping-particle":"","family":"Fanin","given":"R.","non-dropping-particle":"","parse-names":false,"suffix":""}],"container-title":"Leukemia and Lymphoma","id":"ITEM-2","issue":"10","issued":{"date-parts":[["2006","10"]]},"page":"2174-2180","title":"CHOP-rituximab with pegylated liposomal doxorubicin for the treatment of elderly patients with diffuse large B-cell lymphoma","type":"article-journal","volume":"47"},"uris":["http://www.mendeley.com/documents/?uuid=f43fc2fc-c6d0-394a-ab16-c200c65f161a"]},{"id":"ITEM-3","itemData":{"DOI":"10.1182/blood.v114.22.408.408","ISSN":"0006-4971","abstract":"Abstract 408","author":[{"dropping-particle":"","family":"Moccia","given":"Alden A.","non-dropping-particle":"","parse-names":false,"suffix":""},{"dropping-particle":"","family":"Schaff","given":"Kimberly","non-dropping-particle":"","parse-names":false,"suffix":""},{"dropping-particle":"","family":"Hoskins","given":"Paul","non-dropping-particle":"","parse-names":false,"suffix":""},{"dropping-particle":"","family":"Klasa","given":"Richard","non-dropping-particle":"","parse-names":false,"suffix":""},{"dropping-particle":"","family":"Savage","given":"Kerry J.","non-dropping-particle":"","parse-names":false,"suffix":""},{"dropping-particle":"","family":"Shenkier","given":"Tamara","non-dropping-particle":"","parse-names":false,"suffix":""},{"dropping-particle":"","family":"Gascoyne","given":"Randy D.","non-dropping-particle":"","parse-names":false,"suffix":""},{"dropping-particle":"","family":"Connors","given":"Joseph M.","non-dropping-particle":"","parse-names":false,"suffix":""},{"dropping-particle":"","family":"Sehn","given":"Laurie H.","non-dropping-particle":"","parse-names":false,"suffix":""}],"container-title":"Blood","id":"ITEM-3","issue":"22","issued":{"date-parts":[["2009","11","20"]]},"page":"408-408","publisher":"American Society of Hematology","title":"R-CHOP with Etoposide Substituted for Doxorubicin (R-CEOP): Excellent Outcome in Diffuse Large B Cell Lymphoma for Patients with a Contraindication to Anthracyclines.","type":"article-journal","volume":"114"},"uris":["http://www.mendeley.com/documents/?uuid=077fb5fc-03d3-38fb-a737-1e2c0637b312"]},{"id":"ITEM-4","itemData":{"DOI":"10.1200/JCO.2013.49.7586","ISSN":"15277755","abstract":"Purpose: The treatment of patients with diffuse large B-cell lymphoma (DLBCL) with cardiac comorbidity is problematic, because this group may not be able to receive anthracycline-containing chemoimmunotherapy. We designed a single-arm phase II multicenter trial of rituximab, gemcitabine, cyclophosphamide, vincristine, and prednisolone (R-GCVP) in patients considered unfit for anthracycline-containing chemoimmunotherapy because of cardiac comorbidity. Patients and Methods: Sixty-one of 62 patients received R-GCVP, administered on day 1 with gemcitabine repeated on day 8 of a 21-day cycle. Median age was 76.5 years. All patients had advanced disease; 27 (43.5%) had left ventricular ejection fraction of ≤ 50%, and 35 (56.5%) had borderline ejection fraction of &gt; 50% but ≤ 55% and comorbid cardiac risk factors such as ischemic heart disease, diabetes mellitus, or hypertension. Primary end point was overall response rate at the end of treatment. Results: Thirty-eight patients (61.3%; 95% CI, 49.2 to 73.4) achieved disease response (complete response [CR], n = 18; undocumented/unconfirmed CR, n = 6; partial response, n = 14). Two-year progression-free survival for all patients was 49.8% (95% CI, 37.3 to 62.3), and 2-year overall survival was 55.8% (95% CI, 43.3 to 68.4). Thirty-four patients experienced grade ≥ 3 hematologic toxicity. There were 15 cardiac events, of which seven were grade 1 to 2, five were grade 3 to 4, and three were fatal, reflecting the poor cardiac status of the study population. Conclusion: Our phase II multicenter trial showed that the R-GCVP regimen is an active, reasonably well-tolerated treatment for patients with DLBCL for whom anthracycline-containing immunochemotherapy was considered unsuitable because of coexisting cardiac disease. © 2013 by American Society of Clinical Oncology.","author":[{"dropping-particle":"","family":"Fields","given":"Paul A.","non-dropping-particle":"","parse-names":false,"suffix":""},{"dropping-particle":"","family":"Townsend","given":"William","non-dropping-particle":"","parse-names":false,"suffix":""},{"dropping-particle":"","family":"Webb","given":"Andrew","non-dropping-particle":"","parse-names":false,"suffix":""},{"dropping-particle":"","family":"Counsell","given":"Nicholas","non-dropping-particle":"","parse-names":false,"suffix":""},{"dropping-particle":"","family":"Pocock","given":"Christopher","non-dropping-particle":"","parse-names":false,"suffix":""},{"dropping-particle":"","family":"Smith","given":"Paul","non-dropping-particle":"","parse-names":false,"suffix":""},{"dropping-particle":"","family":"Jack","given":"Andrew","non-dropping-particle":"","parse-names":false,"suffix":""},{"dropping-particle":"","family":"El-Mehidi","given":"Nadjet","non-dropping-particle":"","parse-names":false,"suffix":""},{"dropping-particle":"","family":"Johnson","given":"Peter W.","non-dropping-particle":"","parse-names":false,"suffix":""},{"dropping-particle":"","family":"Radford","given":"John","non-dropping-particle":"","parse-names":false,"suffix":""},{"dropping-particle":"","family":"Linch","given":"David C.","non-dropping-particle":"","parse-names":false,"suffix":""},{"dropping-particle":"","family":"Cunnningham","given":"David","non-dropping-particle":"","parse-names":false,"suffix":""}],"container-title":"Journal of Clinical Oncology","id":"ITEM-4","issue":"4","issued":{"date-parts":[["2014","2","1"]]},"page":"282-287","publisher":"American Society of Clinical Oncology","title":"De novo treatment of diffuse large B-cell lymphoma with rituximab, cyclophosphamide, vincristine, gemcitabine, and prednisolone in patients with cardiac comorbidity: A United Kingdom National Cancer Research Institute trial","type":"article-journal","volume":"32"},"uris":["http://www.mendeley.com/documents/?uuid=0847902b-64d1-3c94-b0e5-4eabd02def00"]},{"id":"ITEM-5","itemData":{"DOI":"10.1016/S1726-4901(08)70106-0","ISSN":"17287731","abstract":"Primary splenic lymphoma (PSL) is a rare disease with ambiguous definition, comprising less than 1% of non-Hodgkin's lymphoma. Even rarer is PSL combined with hemophagocytic lymphohistiocytosis (HLH), which has presentations of fever, cytopenia, hepatosplenomegaly, hyperferritinemia, and phagocytosis of hematopoietic cells in the reticuloendothelial system. We report the case of a 77-year-old man who presented with HLH initially. Refusing diagnostic splenectomy, he received chemotherapy. Spontaneous splenic rupture occurred after chemotherapy. In the following emergency operation, PSL was diagnosed. He received another 5 courses of chemotherapy with the R-CNOP regimen (rituximab, cyclophosphamide, mitoxantrone, vincristine, prednisolone). Now he has no residual or relapsed disease. Diagnostic splenectomy for adult HLH patients without definite etiologies may play an important role. © 2008 Elsevier. All rights reserved.","author":[{"dropping-particle":"","family":"Han","given":"Shao Min","non-dropping-particle":"","parse-names":false,"suffix":""},{"dropping-particle":"","family":"Teng","given":"Chieh Lin","non-dropping-particle":"","parse-names":false,"suffix":""},{"dropping-particle":"","family":"Hwang","given":"Guang Yuh","non-dropping-particle":"","parse-names":false,"suffix":""},{"dropping-particle":"","family":"Chou","given":"Guan","non-dropping-particle":"","parse-names":false,"suffix":""},{"dropping-particle":"","family":"Tsai","given":"Che An","non-dropping-particle":"","parse-names":false,"suffix":""}],"container-title":"Journal of the Chinese Medical Association","id":"ITEM-5","issue":"4","issued":{"date-parts":[["2008","4"]]},"page":"210-213","publisher":"Elsevier (Singapore) Pte Ltd","title":"Primary splenic lymphoma associated with hemophagocytic lymphohistiocytosis complicated with splenic rupture","type":"article-journal","volume":"71"},"uris":["http://www.mendeley.com/documents/?uuid=d18e0634-d75a-3799-9100-3435cd2d0334"]},{"id":"ITEM-6","itemData":{"DOI":"10.1007/s12325-017-0612-x","ISSN":"18658652","abstract":"Abstract: Rituximab is a human/murine, chimeric anti-CD20 monoclonal antibody with established efficacy, and a favorable and well-defined safety profile in patients with various CD20-expressing lymphoid malignancies, including indolent and aggressive forms of B-cell non-Hodgkin lymphoma. Since its first approval 20 years ago, intravenously administered rituximab has revolutionized the treatment of B-cell malignancies and has become a standard component of care for follicular lymphoma, diffuse large B-cell lymphoma, chronic lymphocytic leukemia, and mantle cell lymphoma. For all of these diseases, clinical trials have demonstrated that rituximab not only prolongs the time to disease progression but also extends overall survival. Efficacy benefits have also been shown in patients with marginal zone lymphoma and in more aggressive diseases such as Burkitt lymphoma. Although the proven clinical efficacy and success of rituximab has led to the development of other anti-CD20 monoclonal antibodies in recent years (e.g., obinutuzumab, ofatumumab, veltuzumab, and ocrelizumab), rituximab is likely to maintain a position within the therapeutic armamentarium because it is well established with a long history of successful clinical use. Furthermore, a subcutaneous formulation of the drug has been approved both in the EU and in the USA for the treatment of B-cell malignancies. Using the wealth of data published on rituximab during the last two decades, we review the preclinical development of rituximab and the clinical experience gained in the treatment of hematologic B-cell malignancies, with a focus on the well-established intravenous route of administration. This article is a companion paper to A. Davies, et al., which is also published in this issue. Funding: F. Hoffmann-La Roche Ltd., Basel, Switzerland.","author":[{"dropping-particle":"","family":"Salles","given":"Gilles","non-dropping-particle":"","parse-names":false,"suffix":""},{"dropping-particle":"","family":"Barrett","given":"Martin","non-dropping-particle":"","parse-names":false,"suffix":""},{"dropping-particle":"","family":"Foà","given":"Robin","non-dropping-particle":"","parse-names":false,"suffix":""},{"dropping-particle":"","family":"Maurer","given":"Joerg","non-dropping-particle":"","parse-names":false,"suffix":""},{"dropping-particle":"","family":"O’Brien","given":"Susan","non-dropping-particle":"","parse-names":false,"suffix":""},{"dropping-particle":"","family":"Valente","given":"Nancy","non-dropping-particle":"","parse-names":false,"suffix":""},{"dropping-particle":"","family":"Wenger","given":"Michael","non-dropping-particle":"","parse-names":false,"suffix":""},{"dropping-particle":"","family":"Maloney","given":"David G.","non-dropping-particle":"","parse-names":false,"suffix":""}],"container-title":"Advances in Therapy","id":"ITEM-6","issue":"10","issued":{"date-parts":[["2017"]]},"page":"2232-2273","title":"Rituximab in B-Cell Hematologic Malignancies: A Review of 20 Years of Clinical Experience","type":"article","volume":"34"},"uris":["http://www.mendeley.com/documents/?uuid=99572feb-1e31-3440-866b-d3d6fcf81668"]},{"id":"ITEM-7","itemData":{"DOI":"10.1200/jco.2006.24.18_suppl.7577","ISSN":"0732-183X","abstract":"&lt;p&gt;7577&lt;/p&gt;","author":[{"dropping-particle":"","family":"Raefsky","given":"E. L.","non-dropping-particle":"","parse-names":false,"suffix":""},{"dropping-particle":"","family":"Greco","given":"F. A.","non-dropping-particle":"","parse-names":false,"suffix":""},{"dropping-particle":"","family":"Spigel","given":"D. R.","non-dropping-particle":"","parse-names":false,"suffix":""},{"dropping-particle":"","family":"Doss","given":"H. H.","non-dropping-particle":"","parse-names":false,"suffix":""},{"dropping-particle":"","family":"Farley","given":"C.","non-dropping-particle":"","parse-names":false,"suffix":""},{"dropping-particle":"","family":"Saez","given":"R.","non-dropping-particle":"","parse-names":false,"suffix":""},{"dropping-particle":"","family":"Kommor","given":"M.","non-dropping-particle":"","parse-names":false,"suffix":""},{"dropping-particle":"","family":"Hainsworth","given":"J. D.","non-dropping-particle":"","parse-names":false,"suffix":""}],"container-title":"Journal of Clinical Oncology","id":"ITEM-7","issue":"18_suppl","issued":{"date-parts":[["2006","6","20"]]},"page":"7577-7577","publisher":"American Society of Clinical Oncology","title":"Brief duration rituximab(R)/chemotherapy (CNOP or CVP) followed by maintenance rituximab in elderly/poor performance status patients (pts) with diffuse large B-cell lymphoma (DLBCL): A phase II trial of the Minnie Pearl Cancer Research Network","type":"article-journal","volume":"24"},"uris":["http://www.mendeley.com/documents/?uuid=76f4f06c-afe0-37d5-89e5-46625af51045"]}],"mendeley":{"formattedCitation":"[50–56]","plainTextFormattedCitation":"[50–56]","previouslyFormattedCitation":"[50–56]"},"properties":{"noteIndex":0},"schema":"https://github.com/citation-style-language/schema/raw/master/csl-citation.json"}</w:instrText>
      </w:r>
      <w:r w:rsidR="005C1E9B" w:rsidRPr="000322E4">
        <w:fldChar w:fldCharType="separate"/>
      </w:r>
      <w:r w:rsidR="00C37789" w:rsidRPr="000322E4">
        <w:rPr>
          <w:noProof/>
        </w:rPr>
        <w:t>[50–56]</w:t>
      </w:r>
      <w:r w:rsidR="005C1E9B" w:rsidRPr="000322E4">
        <w:fldChar w:fldCharType="end"/>
      </w:r>
    </w:p>
    <w:p w14:paraId="593EBF09" w14:textId="77777777" w:rsidR="00A61C76" w:rsidRPr="000322E4" w:rsidRDefault="00A61C76" w:rsidP="008E3584">
      <w:pPr>
        <w:ind w:left="709"/>
        <w:contextualSpacing/>
        <w:rPr>
          <w:b/>
        </w:rPr>
      </w:pPr>
      <w:r w:rsidRPr="000322E4">
        <w:rPr>
          <w:b/>
        </w:rPr>
        <w:t xml:space="preserve">Уровень убедительности рекомендаций </w:t>
      </w:r>
      <w:r w:rsidR="0071141A" w:rsidRPr="000322E4">
        <w:rPr>
          <w:b/>
        </w:rPr>
        <w:t xml:space="preserve">С </w:t>
      </w:r>
      <w:r w:rsidRPr="000322E4">
        <w:rPr>
          <w:b/>
        </w:rPr>
        <w:t xml:space="preserve">(уровень достоверности доказательств </w:t>
      </w:r>
      <w:r w:rsidR="0071141A" w:rsidRPr="000322E4">
        <w:rPr>
          <w:b/>
        </w:rPr>
        <w:t>4</w:t>
      </w:r>
      <w:r w:rsidRPr="000322E4">
        <w:rPr>
          <w:b/>
        </w:rPr>
        <w:t>)</w:t>
      </w:r>
    </w:p>
    <w:p w14:paraId="5733B221" w14:textId="77777777" w:rsidR="001E1A3A" w:rsidRPr="000322E4" w:rsidRDefault="001E1A3A" w:rsidP="008A40EA">
      <w:pPr>
        <w:pStyle w:val="a"/>
        <w:spacing w:before="0"/>
      </w:pPr>
      <w:r w:rsidRPr="000322E4">
        <w:t xml:space="preserve">Пациентам с верифицированной ДВКЛ с высоким риском вовлечения ЦНС (4-6 прогностических факторов по по шкале </w:t>
      </w:r>
      <w:r w:rsidRPr="000322E4">
        <w:rPr>
          <w:iCs/>
          <w:lang w:val="en-US"/>
        </w:rPr>
        <w:t>CNS</w:t>
      </w:r>
      <w:r w:rsidRPr="000322E4">
        <w:rPr>
          <w:iCs/>
        </w:rPr>
        <w:t>-</w:t>
      </w:r>
      <w:r w:rsidRPr="000322E4">
        <w:rPr>
          <w:iCs/>
          <w:lang w:val="en-US"/>
        </w:rPr>
        <w:t>IPI</w:t>
      </w:r>
      <w:r w:rsidRPr="000322E4">
        <w:t xml:space="preserve"> – см. раздел 7.4 данных рекомендаций, а также пациентам с ВИЧ-ассоциированной лимфомой, лимфомой яичка, лимфомой высокой степени злокачественности с транслокацией </w:t>
      </w:r>
      <w:r w:rsidRPr="000322E4">
        <w:rPr>
          <w:lang w:val="en-US"/>
        </w:rPr>
        <w:t>MYC</w:t>
      </w:r>
      <w:r w:rsidRPr="000322E4">
        <w:t xml:space="preserve">, </w:t>
      </w:r>
      <w:r w:rsidRPr="000322E4">
        <w:rPr>
          <w:lang w:val="en-US"/>
        </w:rPr>
        <w:t>BCL</w:t>
      </w:r>
      <w:r w:rsidRPr="000322E4">
        <w:t xml:space="preserve">-2 и/или </w:t>
      </w:r>
      <w:r w:rsidRPr="000322E4">
        <w:rPr>
          <w:lang w:val="en-US"/>
        </w:rPr>
        <w:t>BCL</w:t>
      </w:r>
      <w:r w:rsidRPr="000322E4">
        <w:t xml:space="preserve">-6, лимфомой высокой степени злокачественности, неклассифицируемой,  или ДВККЛ с вовлечением почек или надпочечников, пациентам с </w:t>
      </w:r>
      <w:r w:rsidRPr="000322E4">
        <w:rPr>
          <w:lang w:val="en-US"/>
        </w:rPr>
        <w:t>I</w:t>
      </w:r>
      <w:r w:rsidRPr="000322E4">
        <w:t xml:space="preserve">Е ДВККЛ с поражением молочных желез)  </w:t>
      </w:r>
      <w:r w:rsidRPr="000322E4">
        <w:rPr>
          <w:b/>
          <w:bCs/>
        </w:rPr>
        <w:t>рекомендуется</w:t>
      </w:r>
      <w:r w:rsidRPr="000322E4">
        <w:t xml:space="preserve"> проведение </w:t>
      </w:r>
      <w:r w:rsidRPr="000322E4">
        <w:rPr>
          <w:rFonts w:eastAsia="Calibri" w:cstheme="minorHAnsi"/>
        </w:rPr>
        <w:t xml:space="preserve">профилактики рецидива в ЦНС, которая включает 4 интратекальных введения </w:t>
      </w:r>
      <w:r w:rsidR="00062D82" w:rsidRPr="000322E4">
        <w:rPr>
          <w:rFonts w:eastAsia="Calibri" w:cstheme="minorHAnsi"/>
        </w:rPr>
        <w:t>#</w:t>
      </w:r>
      <w:r w:rsidRPr="000322E4">
        <w:rPr>
          <w:rFonts w:eastAsia="Calibri" w:cstheme="minorHAnsi"/>
        </w:rPr>
        <w:t>метотрексата** (</w:t>
      </w:r>
      <w:r w:rsidR="00FE7926" w:rsidRPr="000322E4">
        <w:rPr>
          <w:rFonts w:eastAsia="Calibri" w:cstheme="minorHAnsi"/>
        </w:rPr>
        <w:t>12-15</w:t>
      </w:r>
      <w:r w:rsidRPr="000322E4">
        <w:rPr>
          <w:rFonts w:eastAsia="Calibri" w:cstheme="minorHAnsi"/>
        </w:rPr>
        <w:t xml:space="preserve"> мг), </w:t>
      </w:r>
      <w:r w:rsidR="00062D82" w:rsidRPr="000322E4">
        <w:rPr>
          <w:rFonts w:eastAsia="Calibri" w:cstheme="minorHAnsi"/>
        </w:rPr>
        <w:t>#</w:t>
      </w:r>
      <w:r w:rsidRPr="000322E4">
        <w:rPr>
          <w:rFonts w:eastAsia="Calibri" w:cstheme="minorHAnsi"/>
        </w:rPr>
        <w:t>цитарабина** (2</w:t>
      </w:r>
      <w:r w:rsidR="00FE7926" w:rsidRPr="000322E4">
        <w:rPr>
          <w:rFonts w:eastAsia="Calibri" w:cstheme="minorHAnsi"/>
        </w:rPr>
        <w:t>4-30</w:t>
      </w:r>
      <w:r w:rsidRPr="000322E4">
        <w:rPr>
          <w:rFonts w:eastAsia="Calibri" w:cstheme="minorHAnsi"/>
        </w:rPr>
        <w:t xml:space="preserve"> мг), </w:t>
      </w:r>
      <w:r w:rsidR="00062D82" w:rsidRPr="000322E4">
        <w:rPr>
          <w:rFonts w:eastAsia="Calibri" w:cstheme="minorHAnsi"/>
        </w:rPr>
        <w:t>#</w:t>
      </w:r>
      <w:r w:rsidRPr="000322E4">
        <w:rPr>
          <w:rFonts w:eastAsia="Calibri" w:cstheme="minorHAnsi"/>
        </w:rPr>
        <w:t>дексаметазона** (</w:t>
      </w:r>
      <w:r w:rsidR="00BF4184" w:rsidRPr="000322E4">
        <w:rPr>
          <w:rFonts w:eastAsia="Calibri" w:cstheme="minorHAnsi"/>
        </w:rPr>
        <w:t>5</w:t>
      </w:r>
      <w:r w:rsidRPr="000322E4">
        <w:rPr>
          <w:rFonts w:eastAsia="Calibri" w:cstheme="minorHAnsi"/>
        </w:rPr>
        <w:t xml:space="preserve"> мг) и 2 системных введения высоких доз метотрексата** (1,5-3 г/м</w:t>
      </w:r>
      <w:r w:rsidRPr="000322E4">
        <w:rPr>
          <w:rFonts w:eastAsia="Calibri" w:cstheme="minorHAnsi"/>
          <w:vertAlign w:val="superscript"/>
        </w:rPr>
        <w:t>2</w:t>
      </w:r>
      <w:r w:rsidRPr="000322E4">
        <w:rPr>
          <w:rFonts w:eastAsia="Calibri" w:cstheme="minorHAnsi"/>
        </w:rPr>
        <w:t xml:space="preserve">) </w:t>
      </w:r>
      <w:r w:rsidRPr="000322E4">
        <w:rPr>
          <w:rFonts w:eastAsia="Calibri" w:cstheme="minorHAnsi"/>
        </w:rPr>
        <w:fldChar w:fldCharType="begin" w:fldLock="1"/>
      </w:r>
      <w:r w:rsidR="00C37789" w:rsidRPr="000322E4">
        <w:rPr>
          <w:rFonts w:eastAsia="Calibri" w:cstheme="minorHAnsi"/>
        </w:rPr>
        <w:instrText>ADDIN CSL_CITATION {"citationItems":[{"id":"ITEM-1","itemData":{"author":[{"dropping-particle":"","family":"Тумян","given":"Г.С.","non-dropping-particle":"","parse-names":false,"suffix":""},{"dropping-particle":"","family":"Кравченко","given":"С.К.","non-dropping-particle":"","parse-names":false,"suffix":""},{"dropping-particle":"","family":"Михайлова","given":"Н.Б.","non-dropping-particle":"","parse-names":false,"suffix":""},{"dropping-particle":"","family":"Барях","given":"Е.А.","non-dropping-particle":"","parse-names":false,"suffix":""},{"dropping-particle":"","family":"Птушкин","given":"В.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Савченко.","id":"ITEM-1","issued":{"date-parts":[["2018"]]},"page":"58-68","title":"Диффузная В-клеточная крупноклеточная лимфома","type":"chapter"},"uris":["http://www.mendeley.com/documents/?uuid=cb7114f7-4655-4733-8df2-526cc4e32730"]},{"id":"ITEM-2","itemData":{"DOI":"10.7399/fh.2017.41.1.10616","abstract":"Introduction: Intrathecal chemotherapy is frequently used in clinical practice for treatment and prevention of neoplastic me­ ningitis. Despite its widespread use, there is little information about practical aspects such as the volume of drug to be admi­ nistered or its preparation and administration. Objective: To conduct a literature review about practical as­ pects of the use of intrathecal chemotherapy. Materials: Search in PubMed/ Medline using the terms \"che­ motherapy AND intrathecal\", analysis of secondary and ter­ tiary information sources. Results: The most widely used drugs in intrathecal therapy are methotrexate and cytarabine, at variable doses. One of the as­ pects with higher variability among different studies is their potential combination with a glucocorticoid, the specific cor­ ticoid selected and its dose. The efficacy and toxicity of the different combinations have not been compared. Regarding preparation, it is worth highlighting the recommendation to adjust pH and osmolarity to the physiological range, with the aim of improving tolerability. The volume of administration can influence distribution, and recommendated range is between 5 and 12 mL. Overall, it is recommended to extract a similar volume of cerebrospinal fluid before administration. The po­ sition of the patient during and after administration can have an impact on distribution and toxicity; lateral decubitus or si­ tting position is recommended in the first case, and prone and/ or supine position in the second one. Most publications don't explain how the treatment has been prepared or administered, and the lack of standardization could affect results. Conclusions: There is a great variability in practice when using intrathecal chemotherapy, despite being an effective therapy, accepted by all international groups. This uncertainty is not li­ Resumen Introducción: La quimioterapia intratecal es utilizada frecuen­ temente, en la práctica clínica, para el tratamiento y prevención de la meningitis neoplásica. A pesar de su uso extendido, existe poca información acerca de aspectos prácticos tales como el volumen de fármaco a administrar o la forma de preparación y administración. Objetivo: Realizar una revisión de la literatura acerca de aspec­ tos prácticos de la utilización de la quimioterapia intratecal. Material: Búsqueda en PubMed/Medline utilizando los térmi­ nos \"chemotherapy AND intrathecal\", análisis de fuentes de información secundarias y terciarias. Resultados: Lo…","author":[{"dropping-particle":"","family":"Olmos-Jiménez","given":"Raquel","non-dropping-particle":"","parse-names":false,"suffix":""},{"dropping-particle":"","family":"Espuny-Miró","given":"Alberto","non-dropping-particle":"","parse-names":false,"suffix":""},{"dropping-particle":"","family":"Cárceles-Rodríguez","given":"Carlos","non-dropping-particle":"","parse-names":false,"suffix":""},{"dropping-particle":"","family":"Sacramento Díaz-Carrasco","given":"María","non-dropping-particle":"","parse-names":false,"suffix":""}],"container-title":"Farm Hosp","id":"ITEM-2","issue":"1","issued":{"date-parts":[["2017"]]},"page":"105-129","title":"Practical aspects of the use of intrathecal chemotherapy Aspectos prácticos de la utilización de quimioterapia intratecal","type":"article-journal","volume":"41"},"uris":["http://www.mendeley.com/documents/?uuid=9aa635f8-5102-3828-a106-593616701f6e"]}],"mendeley":{"formattedCitation":"[11,57]","plainTextFormattedCitation":"[11,57]","previouslyFormattedCitation":"[11,57]"},"properties":{"noteIndex":0},"schema":"https://github.com/citation-style-language/schema/raw/master/csl-citation.json"}</w:instrText>
      </w:r>
      <w:r w:rsidRPr="000322E4">
        <w:rPr>
          <w:rFonts w:eastAsia="Calibri" w:cstheme="minorHAnsi"/>
        </w:rPr>
        <w:fldChar w:fldCharType="separate"/>
      </w:r>
      <w:r w:rsidR="00C37789" w:rsidRPr="000322E4">
        <w:rPr>
          <w:rFonts w:eastAsia="Calibri" w:cstheme="minorHAnsi"/>
          <w:noProof/>
        </w:rPr>
        <w:t>[11,57]</w:t>
      </w:r>
      <w:r w:rsidRPr="000322E4">
        <w:rPr>
          <w:rFonts w:eastAsia="Calibri" w:cstheme="minorHAnsi"/>
        </w:rPr>
        <w:fldChar w:fldCharType="end"/>
      </w:r>
      <w:r w:rsidRPr="000322E4">
        <w:rPr>
          <w:rFonts w:eastAsia="Calibri" w:cstheme="minorHAnsi"/>
        </w:rPr>
        <w:t>.</w:t>
      </w:r>
      <w:r w:rsidRPr="000322E4">
        <w:t xml:space="preserve"> </w:t>
      </w:r>
    </w:p>
    <w:p w14:paraId="75459179" w14:textId="77777777" w:rsidR="001E1A3A" w:rsidRPr="000322E4" w:rsidRDefault="001E1A3A" w:rsidP="008A40EA">
      <w:pPr>
        <w:ind w:left="709"/>
        <w:contextualSpacing/>
        <w:rPr>
          <w:b/>
        </w:rPr>
      </w:pPr>
      <w:r w:rsidRPr="000322E4">
        <w:rPr>
          <w:b/>
        </w:rPr>
        <w:t xml:space="preserve">Уровень убедительности рекомендаций </w:t>
      </w:r>
      <w:r w:rsidRPr="000322E4">
        <w:rPr>
          <w:b/>
          <w:lang w:val="en-US"/>
        </w:rPr>
        <w:t>C</w:t>
      </w:r>
      <w:r w:rsidRPr="000322E4">
        <w:rPr>
          <w:b/>
        </w:rPr>
        <w:t xml:space="preserve"> (уровень достоверности доказательств 5).</w:t>
      </w:r>
    </w:p>
    <w:p w14:paraId="08EAC7F8" w14:textId="77777777" w:rsidR="00085E80" w:rsidRPr="000322E4" w:rsidRDefault="00085E80" w:rsidP="008A40EA">
      <w:pPr>
        <w:pStyle w:val="a"/>
        <w:spacing w:before="0"/>
      </w:pPr>
      <w:r w:rsidRPr="000322E4">
        <w:t xml:space="preserve">Пациентам старше 18 лет с впервые установленной ДВКЛ яичка </w:t>
      </w:r>
      <w:r w:rsidRPr="000322E4">
        <w:rPr>
          <w:b/>
          <w:bCs/>
        </w:rPr>
        <w:t>рекомендуется</w:t>
      </w:r>
      <w:r w:rsidRPr="000322E4">
        <w:t xml:space="preserve"> выполнение орхофуникулэктомии с последующей </w:t>
      </w:r>
      <w:r w:rsidR="002C0F8E" w:rsidRPr="000322E4">
        <w:t xml:space="preserve">химиотерапией  </w:t>
      </w:r>
      <w:r w:rsidRPr="000322E4">
        <w:t xml:space="preserve">в соответствии с рекомендациями для ДВКЛ соответсвующей стадии с высоким риском вовлечения ЦНС и последующей лучевой терапии на область мошонки СОД 30 Гр, РОД 1,8-2,0 Гр </w:t>
      </w:r>
      <w:r w:rsidRPr="000322E4">
        <w:fldChar w:fldCharType="begin" w:fldLock="1"/>
      </w:r>
      <w:r w:rsidR="004436C7" w:rsidRPr="000322E4">
        <w:instrText>ADDIN CSL_CITATION {"citationItems":[{"id":"ITEM-1","itemData":{"author":[{"dropping-particle":"","family":"Тумян","given":"Г.С.","non-dropping-particle":"","parse-names":false,"suffix":""},{"dropping-particle":"","family":"Кравченко","given":"С.К.","non-dropping-particle":"","parse-names":false,"suffix":""},{"dropping-particle":"","family":"Михайлова","given":"Н.Б.","non-dropping-particle":"","parse-names":false,"suffix":""},{"dropping-particle":"","family":"Барях","given":"Е.А.","non-dropping-particle":"","parse-names":false,"suffix":""},{"dropping-particle":"","family":"Птушкин","given":"В.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Савченко.","id":"ITEM-1","issued":{"date-parts":[["2018"]]},"page":"58-68","title":"Диффузная В-клеточная крупноклеточная лимфома","type":"chapter"},"uris":["http://www.mendeley.com/documents/?uuid=cb7114f7-4655-4733-8df2-526cc4e32730"]}],"mendeley":{"formattedCitation":"[11]","plainTextFormattedCitation":"[11]","previouslyFormattedCitation":"[11]"},"properties":{"noteIndex":0},"schema":"https://github.com/citation-style-language/schema/raw/master/csl-citation.json"}</w:instrText>
      </w:r>
      <w:r w:rsidRPr="000322E4">
        <w:fldChar w:fldCharType="separate"/>
      </w:r>
      <w:r w:rsidR="004436C7" w:rsidRPr="000322E4">
        <w:rPr>
          <w:noProof/>
        </w:rPr>
        <w:t>[11]</w:t>
      </w:r>
      <w:r w:rsidRPr="000322E4">
        <w:fldChar w:fldCharType="end"/>
      </w:r>
      <w:r w:rsidRPr="000322E4">
        <w:t xml:space="preserve">. </w:t>
      </w:r>
    </w:p>
    <w:p w14:paraId="3206360F" w14:textId="77777777" w:rsidR="00085E80" w:rsidRPr="000322E4" w:rsidRDefault="00085E80" w:rsidP="008A40EA">
      <w:pPr>
        <w:ind w:left="709"/>
        <w:contextualSpacing/>
        <w:rPr>
          <w:b/>
        </w:rPr>
      </w:pPr>
      <w:r w:rsidRPr="000322E4">
        <w:rPr>
          <w:b/>
        </w:rPr>
        <w:lastRenderedPageBreak/>
        <w:t xml:space="preserve">Уровень убедительности рекомендаций </w:t>
      </w:r>
      <w:r w:rsidR="004436C7" w:rsidRPr="000322E4">
        <w:rPr>
          <w:b/>
        </w:rPr>
        <w:t xml:space="preserve">С </w:t>
      </w:r>
      <w:r w:rsidRPr="000322E4">
        <w:rPr>
          <w:b/>
        </w:rPr>
        <w:t xml:space="preserve">(уровень достоверности доказательств </w:t>
      </w:r>
      <w:r w:rsidR="004436C7" w:rsidRPr="000322E4">
        <w:rPr>
          <w:b/>
        </w:rPr>
        <w:t>5</w:t>
      </w:r>
      <w:r w:rsidRPr="000322E4">
        <w:rPr>
          <w:b/>
        </w:rPr>
        <w:t>).</w:t>
      </w:r>
    </w:p>
    <w:p w14:paraId="3354A36F" w14:textId="77777777" w:rsidR="00D928DC" w:rsidRPr="000322E4" w:rsidRDefault="00D928DC" w:rsidP="008A40EA">
      <w:pPr>
        <w:pStyle w:val="a"/>
        <w:spacing w:before="0"/>
      </w:pPr>
      <w:r w:rsidRPr="000322E4">
        <w:t>Пациентам</w:t>
      </w:r>
      <w:r w:rsidR="00260AFA" w:rsidRPr="000322E4">
        <w:t xml:space="preserve"> старше 18 лет</w:t>
      </w:r>
      <w:r w:rsidRPr="000322E4">
        <w:t xml:space="preserve"> с впервые установленной ДВКЛ при одновременном выявлении паренхиматозного </w:t>
      </w:r>
      <w:r w:rsidRPr="000322E4">
        <w:rPr>
          <w:color w:val="000000" w:themeColor="text1"/>
        </w:rPr>
        <w:t xml:space="preserve">поражения ЦНС </w:t>
      </w:r>
      <w:r w:rsidRPr="000322E4">
        <w:rPr>
          <w:b/>
          <w:bCs/>
          <w:color w:val="000000" w:themeColor="text1"/>
        </w:rPr>
        <w:t>рекомендовано</w:t>
      </w:r>
      <w:r w:rsidRPr="000322E4">
        <w:rPr>
          <w:color w:val="000000" w:themeColor="text1"/>
        </w:rPr>
        <w:t xml:space="preserve"> проведение программы лечения </w:t>
      </w:r>
      <w:r w:rsidRPr="000322E4">
        <w:rPr>
          <w:color w:val="000000" w:themeColor="text1"/>
          <w:lang w:val="en-CA"/>
        </w:rPr>
        <w:t>R</w:t>
      </w:r>
      <w:r w:rsidRPr="000322E4">
        <w:rPr>
          <w:color w:val="000000" w:themeColor="text1"/>
        </w:rPr>
        <w:t>-</w:t>
      </w:r>
      <w:r w:rsidRPr="000322E4">
        <w:rPr>
          <w:color w:val="000000" w:themeColor="text1"/>
          <w:lang w:val="en-CA"/>
        </w:rPr>
        <w:t>CHOP</w:t>
      </w:r>
      <w:r w:rsidRPr="000322E4">
        <w:rPr>
          <w:color w:val="000000" w:themeColor="text1"/>
        </w:rPr>
        <w:t xml:space="preserve"> </w:t>
      </w:r>
      <w:r w:rsidR="004436C7" w:rsidRPr="000322E4">
        <w:rPr>
          <w:rStyle w:val="affc"/>
          <w:i w:val="0"/>
          <w:color w:val="000000" w:themeColor="text1"/>
        </w:rPr>
        <w:t xml:space="preserve">(см. приложение А3.1) </w:t>
      </w:r>
      <w:r w:rsidR="004436C7" w:rsidRPr="000322E4">
        <w:rPr>
          <w:color w:val="000000" w:themeColor="text1"/>
        </w:rPr>
        <w:t xml:space="preserve">с добавлением </w:t>
      </w:r>
      <w:r w:rsidR="004436C7" w:rsidRPr="000322E4">
        <w:rPr>
          <w:rFonts w:eastAsia="Calibri" w:cstheme="minorHAnsi"/>
          <w:color w:val="000000" w:themeColor="text1"/>
        </w:rPr>
        <w:t>2 системных введений высоких доз метотрексата** (3</w:t>
      </w:r>
      <w:r w:rsidR="00CA64E2" w:rsidRPr="000322E4">
        <w:rPr>
          <w:rFonts w:eastAsia="Calibri" w:cstheme="minorHAnsi"/>
          <w:color w:val="000000" w:themeColor="text1"/>
        </w:rPr>
        <w:t>,5</w:t>
      </w:r>
      <w:r w:rsidR="004436C7" w:rsidRPr="000322E4">
        <w:rPr>
          <w:rFonts w:eastAsia="Calibri" w:cstheme="minorHAnsi"/>
          <w:color w:val="000000" w:themeColor="text1"/>
        </w:rPr>
        <w:t xml:space="preserve"> г/м</w:t>
      </w:r>
      <w:r w:rsidR="004436C7" w:rsidRPr="000322E4">
        <w:rPr>
          <w:rFonts w:eastAsia="Calibri" w:cstheme="minorHAnsi"/>
          <w:color w:val="000000" w:themeColor="text1"/>
          <w:vertAlign w:val="superscript"/>
        </w:rPr>
        <w:t>2</w:t>
      </w:r>
      <w:r w:rsidR="004436C7" w:rsidRPr="000322E4">
        <w:rPr>
          <w:rFonts w:eastAsia="Calibri" w:cstheme="minorHAnsi"/>
          <w:color w:val="000000" w:themeColor="text1"/>
        </w:rPr>
        <w:t>)</w:t>
      </w:r>
      <w:r w:rsidRPr="000322E4">
        <w:t xml:space="preserve"> </w:t>
      </w:r>
      <w:r w:rsidRPr="000322E4">
        <w:fldChar w:fldCharType="begin" w:fldLock="1"/>
      </w:r>
      <w:r w:rsidR="00C37789" w:rsidRPr="000322E4">
        <w:instrText>ADDIN CSL_CITATION {"citationItems":[{"id":"ITEM-1","itemData":{"DOI":"10.1002/ajh.25558","ISSN":"10968652","abstract":"The incidence of systemic diffuse large B cell lymphoma (DLBCL) concurrently involving the central nervous system (CNS) at diagnosis, is very low and data regarding the clinical course of these patients are scarce. We investigated characteristics, efficacy of treatment regimens including consolidative autologous stem cell transplantation and outcome of patients presenting with concomitant systemic and CNS DLBCL. The records of 44 patients, diagnosed between 2004 and 2017, who fulfilled the inclusion criteria, were retrospectively reviewed. CNS involvement was diagnosed as solely parenchymal in 41%, solely leptomeningeal in 43%, and paranchymal with leptomeningeal in 11% of the patients. Induction regimens were anthracycline-based combined with high-dose methotrexate (HD-MTX) in 80% (n = 35) of patients, anthracycline-based combined with intrathecal MTX in 3, cytarabine-based (without antracyclines) in 2, HD-MTX in 1 and palliative in three. Five of 41 patients treated with chemotherapy died of treatment-related toxicity, all due to infections. Nineteen patients had consolidative autologous transplantation. Overall response rate following induction was 80% (complete responses 66% and partial responses 15%). All relapses (n = 11) occurred within less than 2 years. Within a median follow-up of 26.8 months, 3-years projected overall survival (OS) and progression free survival rates for the entire cohort were 56% ± 8.3 and 42% ± 8.9, respectively. In multivariate analysis, RCHOP-HD MTX-based induction [HR = 0.228, (0.054-0.964)], administration of 3.5 g/m2 MTX [HR = 0.735 (0.620-0.871)], and attaining CR following induction [HR = 0.185, (0.051-0.667)] predicted longer OS. RCHOP-HD MTX can provide prolonged remissions in DLBCL patients presenting with concomitant systemic and CNS involvement whereas role of autograft remains uncertain.","author":[{"dropping-particle":"","family":"Perry","given":"Chava","non-dropping-particle":"","parse-names":false,"suffix":""},{"dropping-particle":"","family":"Barouch","given":"Sharon","non-dropping-particle":"Ben","parse-names":false,"suffix":""},{"dropping-particle":"","family":"Goldschmidt","given":"Neta","non-dropping-particle":"","parse-names":false,"suffix":""},{"dropping-particle":"","family":"Sarid","given":"Nadav","non-dropping-particle":"","parse-names":false,"suffix":""},{"dropping-particle":"","family":"Herishanu","given":"Yair","non-dropping-particle":"","parse-names":false,"suffix":""},{"dropping-particle":"","family":"Shvidel","given":"Lev","non-dropping-particle":"","parse-names":false,"suffix":""},{"dropping-particle":"","family":"Bairey","given":"Osnat","non-dropping-particle":"","parse-names":false,"suffix":""},{"dropping-particle":"","family":"Lavi","given":"Noa","non-dropping-particle":"","parse-names":false,"suffix":""},{"dropping-particle":"","family":"Horowitz","given":"Netanel","non-dropping-particle":"","parse-names":false,"suffix":""},{"dropping-particle":"","family":"Avigdor","given":"Avraham","non-dropping-particle":"","parse-names":false,"suffix":""},{"dropping-particle":"","family":"Lebel","given":"Eyal","non-dropping-particle":"","parse-names":false,"suffix":""},{"dropping-particle":"","family":"Sofer","given":"Orit","non-dropping-particle":"","parse-names":false,"suffix":""},{"dropping-particle":"","family":"Ram","given":"Ron","non-dropping-particle":"","parse-names":false,"suffix":""},{"dropping-particle":"","family":"Avivi","given":"Irit","non-dropping-particle":"","parse-names":false,"suffix":""}],"container-title":"American Journal of Hematology","id":"ITEM-1","issue":"9","issued":{"date-parts":[["2019"]]},"page":"992-1001","publisher":"Wiley-Liss Inc.","title":"Characteristics, management and outcome of DLBCL patients, presenting with simultaneous systemic and CNS disease at diagnosis: A retrospective multicenter study","type":"article-journal","volume":"94"},"uris":["http://www.mendeley.com/documents/?uuid=16b93294-7ed6-390c-bf31-540c4899c83e"]}],"mendeley":{"formattedCitation":"[58]","plainTextFormattedCitation":"[58]","previouslyFormattedCitation":"[58]"},"properties":{"noteIndex":0},"schema":"https://github.com/citation-style-language/schema/raw/master/csl-citation.json"}</w:instrText>
      </w:r>
      <w:r w:rsidRPr="000322E4">
        <w:fldChar w:fldCharType="separate"/>
      </w:r>
      <w:r w:rsidR="00C37789" w:rsidRPr="000322E4">
        <w:rPr>
          <w:noProof/>
        </w:rPr>
        <w:t>[58]</w:t>
      </w:r>
      <w:r w:rsidRPr="000322E4">
        <w:fldChar w:fldCharType="end"/>
      </w:r>
      <w:r w:rsidRPr="000322E4">
        <w:t xml:space="preserve">. </w:t>
      </w:r>
    </w:p>
    <w:p w14:paraId="510EA5D3" w14:textId="77777777" w:rsidR="00D928DC" w:rsidRPr="000322E4" w:rsidRDefault="00D928DC" w:rsidP="008A40EA">
      <w:pPr>
        <w:ind w:left="709"/>
        <w:contextualSpacing/>
        <w:rPr>
          <w:b/>
        </w:rPr>
      </w:pPr>
      <w:r w:rsidRPr="000322E4">
        <w:rPr>
          <w:b/>
        </w:rPr>
        <w:t xml:space="preserve">Уровень убедительности рекомендаций </w:t>
      </w:r>
      <w:r w:rsidR="00D5432B" w:rsidRPr="000322E4">
        <w:rPr>
          <w:b/>
        </w:rPr>
        <w:t xml:space="preserve">С </w:t>
      </w:r>
      <w:r w:rsidRPr="000322E4">
        <w:rPr>
          <w:b/>
        </w:rPr>
        <w:t xml:space="preserve">(уровень достоверности доказательств </w:t>
      </w:r>
      <w:r w:rsidR="00D5432B" w:rsidRPr="000322E4">
        <w:rPr>
          <w:b/>
        </w:rPr>
        <w:t>4</w:t>
      </w:r>
      <w:r w:rsidRPr="000322E4">
        <w:rPr>
          <w:b/>
        </w:rPr>
        <w:t>).</w:t>
      </w:r>
    </w:p>
    <w:p w14:paraId="39FC7AF3" w14:textId="77777777" w:rsidR="00D928DC" w:rsidRPr="000322E4" w:rsidRDefault="00D928DC" w:rsidP="008A40EA">
      <w:pPr>
        <w:pStyle w:val="a"/>
        <w:spacing w:before="0"/>
      </w:pPr>
      <w:r w:rsidRPr="000322E4">
        <w:t>Пациентам</w:t>
      </w:r>
      <w:r w:rsidR="00260AFA" w:rsidRPr="000322E4">
        <w:t xml:space="preserve"> старше 18 лет</w:t>
      </w:r>
      <w:r w:rsidRPr="000322E4">
        <w:t xml:space="preserve"> с впервые установленной ДВКЛ при одновременном выявлении  поражения оболочек головного/спинного мозга (нейролейкемии) </w:t>
      </w:r>
      <w:r w:rsidRPr="000322E4">
        <w:rPr>
          <w:b/>
          <w:bCs/>
        </w:rPr>
        <w:t>рекомендовано</w:t>
      </w:r>
      <w:r w:rsidRPr="000322E4">
        <w:t xml:space="preserve"> проведение программного лечения по схеме </w:t>
      </w:r>
      <w:r w:rsidRPr="000322E4">
        <w:rPr>
          <w:lang w:val="en-CA"/>
        </w:rPr>
        <w:t>R</w:t>
      </w:r>
      <w:r w:rsidRPr="000322E4">
        <w:t>-</w:t>
      </w:r>
      <w:r w:rsidRPr="000322E4">
        <w:rPr>
          <w:lang w:val="en-CA"/>
        </w:rPr>
        <w:t>CHOP</w:t>
      </w:r>
      <w:r w:rsidRPr="000322E4">
        <w:t xml:space="preserve"> с выполнением интратекальных введений цитостатиков (</w:t>
      </w:r>
      <w:r w:rsidR="007E272E" w:rsidRPr="000322E4">
        <w:t>#</w:t>
      </w:r>
      <w:r w:rsidRPr="000322E4">
        <w:t xml:space="preserve">метотрексат** 15 мг, </w:t>
      </w:r>
      <w:r w:rsidR="007E272E" w:rsidRPr="000322E4">
        <w:t>#</w:t>
      </w:r>
      <w:r w:rsidRPr="000322E4">
        <w:t xml:space="preserve">цитарабин** 30 мг, </w:t>
      </w:r>
      <w:r w:rsidR="007E272E" w:rsidRPr="000322E4">
        <w:t>#</w:t>
      </w:r>
      <w:r w:rsidRPr="000322E4">
        <w:t>дексаметазон** 4 мг) дважды в неделю до полной санации ликвора с последующими интратекальными введениями препаратов 1 раз в месяц до завершения  программы иммунотерапии с последующим введением метотрексата** в высоких дозах</w:t>
      </w:r>
      <w:r w:rsidRPr="000322E4">
        <w:rPr>
          <w:rStyle w:val="affc"/>
          <w:i w:val="0"/>
        </w:rPr>
        <w:t xml:space="preserve"> </w:t>
      </w:r>
      <w:r w:rsidRPr="000322E4">
        <w:fldChar w:fldCharType="begin" w:fldLock="1"/>
      </w:r>
      <w:r w:rsidR="005C1E9B" w:rsidRPr="000322E4">
        <w:instrText>ADDIN CSL_CITATION {"citationItems":[{"id":"ITEM-1","itemData":{"author":[{"dropping-particle":"","family":"Тумян","given":"Г.С.","non-dropping-particle":"","parse-names":false,"suffix":""},{"dropping-particle":"","family":"Кравченко","given":"С.К.","non-dropping-particle":"","parse-names":false,"suffix":""},{"dropping-particle":"","family":"Михайлова","given":"Н.Б.","non-dropping-particle":"","parse-names":false,"suffix":""},{"dropping-particle":"","family":"Барях","given":"Е.А.","non-dropping-particle":"","parse-names":false,"suffix":""},{"dropping-particle":"","family":"Птушкин","given":"В.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Савченко.","id":"ITEM-1","issued":{"date-parts":[["2018"]]},"page":"58-68","title":"Диффузная В-клеточная крупноклеточная лимфома","type":"chapter"},"uris":["http://www.mendeley.com/documents/?uuid=cb7114f7-4655-4733-8df2-526cc4e32730"]}],"mendeley":{"formattedCitation":"[11]","plainTextFormattedCitation":"[11]","previouslyFormattedCitation":"[11]"},"properties":{"noteIndex":0},"schema":"https://github.com/citation-style-language/schema/raw/master/csl-citation.json"}</w:instrText>
      </w:r>
      <w:r w:rsidRPr="000322E4">
        <w:fldChar w:fldCharType="separate"/>
      </w:r>
      <w:r w:rsidR="004436C7" w:rsidRPr="000322E4">
        <w:rPr>
          <w:noProof/>
        </w:rPr>
        <w:t>[11]</w:t>
      </w:r>
      <w:r w:rsidRPr="000322E4">
        <w:fldChar w:fldCharType="end"/>
      </w:r>
      <w:r w:rsidRPr="000322E4">
        <w:t xml:space="preserve">. </w:t>
      </w:r>
    </w:p>
    <w:p w14:paraId="26059A50" w14:textId="77777777" w:rsidR="00D928DC" w:rsidRPr="000322E4" w:rsidRDefault="00D928DC" w:rsidP="008A40EA">
      <w:pPr>
        <w:ind w:left="709"/>
        <w:contextualSpacing/>
        <w:rPr>
          <w:b/>
        </w:rPr>
      </w:pPr>
      <w:r w:rsidRPr="000322E4">
        <w:rPr>
          <w:b/>
        </w:rPr>
        <w:t xml:space="preserve">Уровень убедительности рекомендаций </w:t>
      </w:r>
      <w:r w:rsidR="004436C7" w:rsidRPr="000322E4">
        <w:rPr>
          <w:b/>
        </w:rPr>
        <w:t xml:space="preserve">С </w:t>
      </w:r>
      <w:r w:rsidRPr="000322E4">
        <w:rPr>
          <w:b/>
        </w:rPr>
        <w:t xml:space="preserve">(уровень достоверности доказательств </w:t>
      </w:r>
      <w:r w:rsidR="004436C7" w:rsidRPr="000322E4">
        <w:rPr>
          <w:b/>
        </w:rPr>
        <w:t>5</w:t>
      </w:r>
      <w:r w:rsidRPr="000322E4">
        <w:rPr>
          <w:b/>
        </w:rPr>
        <w:t>).</w:t>
      </w:r>
    </w:p>
    <w:p w14:paraId="3FFDC754" w14:textId="77777777" w:rsidR="001E1A3A" w:rsidRPr="000322E4" w:rsidRDefault="001E1A3A" w:rsidP="008A40EA">
      <w:pPr>
        <w:pStyle w:val="afe"/>
        <w:ind w:left="709" w:firstLine="0"/>
        <w:rPr>
          <w:bCs/>
          <w:i/>
          <w:iCs/>
          <w:szCs w:val="24"/>
        </w:rPr>
      </w:pPr>
      <w:r w:rsidRPr="000322E4">
        <w:rPr>
          <w:b/>
          <w:szCs w:val="24"/>
        </w:rPr>
        <w:t>Комментарий:</w:t>
      </w:r>
      <w:r w:rsidRPr="000322E4">
        <w:rPr>
          <w:bCs/>
          <w:szCs w:val="24"/>
        </w:rPr>
        <w:t xml:space="preserve"> </w:t>
      </w:r>
      <w:r w:rsidR="004436C7" w:rsidRPr="000322E4">
        <w:rPr>
          <w:bCs/>
          <w:i/>
          <w:iCs/>
          <w:szCs w:val="24"/>
        </w:rPr>
        <w:t xml:space="preserve">выбор </w:t>
      </w:r>
      <w:r w:rsidRPr="000322E4">
        <w:rPr>
          <w:bCs/>
          <w:i/>
          <w:iCs/>
          <w:szCs w:val="24"/>
        </w:rPr>
        <w:t>дозы метотрексата** для внутривенной инфузии определяется возрастом, наличием сопутствующих заболеваний и состояний, выделительной функцией почек. Для снижения токсичности рекомендуется ограничиться 4-часовой длительностью инфузии метотрексата*</w:t>
      </w:r>
      <w:r w:rsidR="003122E1" w:rsidRPr="000322E4">
        <w:rPr>
          <w:bCs/>
          <w:i/>
          <w:iCs/>
          <w:szCs w:val="24"/>
        </w:rPr>
        <w:t>*.</w:t>
      </w:r>
      <w:r w:rsidRPr="000322E4">
        <w:rPr>
          <w:bCs/>
          <w:i/>
          <w:iCs/>
          <w:szCs w:val="24"/>
        </w:rPr>
        <w:t xml:space="preserve"> Профилактика поражения ЦНС выполняется на ранних этапах программного лечения, при необходимости – с поддержкой колониестимулирующими факторами (по одному интратекальному введению в 1-й день циклов 1-4, метотрексат** в высоких дозах назначается на 15-й день 1 или 2-ого циклов и после завершения последнего цикла лечения). В ряде случаев, при тяжелом соматическом состоянии </w:t>
      </w:r>
      <w:r w:rsidR="00103620" w:rsidRPr="000322E4">
        <w:rPr>
          <w:bCs/>
          <w:i/>
          <w:iCs/>
          <w:szCs w:val="24"/>
        </w:rPr>
        <w:t>пациента</w:t>
      </w:r>
      <w:r w:rsidRPr="000322E4">
        <w:rPr>
          <w:bCs/>
          <w:i/>
          <w:iCs/>
          <w:szCs w:val="24"/>
        </w:rPr>
        <w:t>, наличии значимого плеврита/асцита возможно использование системного метотрексата** в конце лекарственного лечения (2 введения препарата с перерывом в 15 дней).</w:t>
      </w:r>
    </w:p>
    <w:p w14:paraId="05D4BA4F" w14:textId="77777777" w:rsidR="001E1A3A" w:rsidRPr="000322E4" w:rsidRDefault="001E1A3A" w:rsidP="008A40EA">
      <w:pPr>
        <w:pStyle w:val="afff8"/>
        <w:spacing w:before="0"/>
      </w:pPr>
      <w:r w:rsidRPr="000322E4">
        <w:t xml:space="preserve">Пациентам с впервые установленной ДВКЛ старше 80 лет, с выраженной сопутствующей патологией и/или с ослабленным соматическим статусом </w:t>
      </w:r>
      <w:r w:rsidRPr="000322E4">
        <w:rPr>
          <w:rStyle w:val="affc"/>
          <w:b/>
          <w:bCs/>
          <w:i w:val="0"/>
        </w:rPr>
        <w:t>рекомендуется</w:t>
      </w:r>
      <w:r w:rsidRPr="000322E4">
        <w:rPr>
          <w:rStyle w:val="affc"/>
          <w:i w:val="0"/>
        </w:rPr>
        <w:t xml:space="preserve"> применение менее токсичных режимов иммунохимиотерапии</w:t>
      </w:r>
      <w:r w:rsidR="005C1E9B" w:rsidRPr="000322E4">
        <w:rPr>
          <w:rStyle w:val="affc"/>
          <w:i w:val="0"/>
        </w:rPr>
        <w:t xml:space="preserve"> (</w:t>
      </w:r>
      <w:r w:rsidR="005C1E9B" w:rsidRPr="000322E4">
        <w:rPr>
          <w:rStyle w:val="affc"/>
          <w:i w:val="0"/>
          <w:lang w:val="en-US"/>
        </w:rPr>
        <w:t>R</w:t>
      </w:r>
      <w:r w:rsidR="005C1E9B" w:rsidRPr="000322E4">
        <w:rPr>
          <w:rStyle w:val="affc"/>
          <w:i w:val="0"/>
        </w:rPr>
        <w:t>-</w:t>
      </w:r>
      <w:r w:rsidR="005C1E9B" w:rsidRPr="000322E4">
        <w:rPr>
          <w:rStyle w:val="affc"/>
          <w:i w:val="0"/>
          <w:lang w:val="en-US"/>
        </w:rPr>
        <w:t>CVP</w:t>
      </w:r>
      <w:r w:rsidR="005C1E9B" w:rsidRPr="000322E4">
        <w:rPr>
          <w:rStyle w:val="affc"/>
          <w:i w:val="0"/>
        </w:rPr>
        <w:t xml:space="preserve">, </w:t>
      </w:r>
      <w:r w:rsidR="005C1E9B" w:rsidRPr="000322E4">
        <w:rPr>
          <w:rStyle w:val="affc"/>
          <w:i w:val="0"/>
          <w:lang w:val="en-US"/>
        </w:rPr>
        <w:t>BR</w:t>
      </w:r>
      <w:r w:rsidR="005C1E9B" w:rsidRPr="000322E4">
        <w:rPr>
          <w:rStyle w:val="affc"/>
          <w:i w:val="0"/>
        </w:rPr>
        <w:t xml:space="preserve">, </w:t>
      </w:r>
      <w:r w:rsidRPr="000322E4">
        <w:rPr>
          <w:rStyle w:val="affc"/>
          <w:i w:val="0"/>
        </w:rPr>
        <w:t>R-mini-CHOP</w:t>
      </w:r>
      <w:r w:rsidR="005C1E9B" w:rsidRPr="000322E4">
        <w:rPr>
          <w:rStyle w:val="affc"/>
          <w:i w:val="0"/>
        </w:rPr>
        <w:t xml:space="preserve"> –</w:t>
      </w:r>
      <w:r w:rsidRPr="000322E4">
        <w:rPr>
          <w:rStyle w:val="affc"/>
          <w:i w:val="0"/>
        </w:rPr>
        <w:t xml:space="preserve"> см. приложение А3.1) </w:t>
      </w:r>
      <w:r w:rsidR="005C1E9B" w:rsidRPr="000322E4">
        <w:fldChar w:fldCharType="begin" w:fldLock="1"/>
      </w:r>
      <w:r w:rsidR="00C37789" w:rsidRPr="000322E4">
        <w:instrText>ADDIN CSL_CITATION {"citationItems":[{"id":"ITEM-1","itemData":{"DOI":"10.1016/S1470-2045(11)70069-9","ISSN":"14702045","abstract":"Background: Diffuse large B-cell lymphoma is a common cancer in elderly patients. Although treatment has been standardised in younger patients, no prospective study has been done in patients over 80 years old. We aimed to investigate the efficacy and safety of a decreased dose of CHOP (doxorubicin, cyclophosphamide, vincristine, and prednisone) chemotherapy with a conventional dose of rituximab in elderly patients with diffuse large B-cell lymphoma. Methods: We did a prospective, multicentre, single-arm, phase 2 study of patients aged over 80 years who had diffuse large B-cell lymphoma. Patients were included from 38 centres in France and Belgium. All patients received six cycles of rituximab combined with low-dose CHOP (R-miniCHOP) at 3-week intervals. Patients received 375 mg/m2 rituximab, 400 mg/m2 cyclophosphamide, 25 mg/m2 doxorubicin, and 1 mg vincristine on day 1 of each cycle, and 40 mg/m2 prednisone on days 1-5. The primary endpoint was overall survival, both unadjusted and adjusted for treatment and baseline prognostic factors. Analysis was by intention to treat. This study is registered with ClinicalTrials.gov, NCT01087424. Findings: 150 patients were enrolled between Jan 9, 2006, and Jan 23, 2009 and 149 were included in the intention-to-treat analyses. Median age was 83 years (range 80-95). After a median follow-up of 20 months (range 0-45), the median overall survival was 29 months (95% CI 21 to upper limit not reached); 2-year overall survival was 59% (49-67%). In multivariate analyses, overall survival was only affected by a serum albumin concentration of 35 g/L or less (hazard ratio 3·2, 95% CI 1·4-7·1; p=0·0053). Median progression-free survival was 21 months (95% CI 13 to upper limit not reached), with a 2-year progression free survival of 47% (38-56). 58 deaths were reported, 33 of which were secondary to lymphoma progression. 12 deaths were attributed to toxicity of the treatment. The most frequent side-effect was haematological toxicity (grade ≥3 neutropenia in 59 patients; febrile neutropenia in 11 patients). Interpretation: R-miniCHOP offers a good compromise between efficacy and safety in patients aged over 80 years old. R-miniCHOP should be considered as the new standard treatment in this subgroup of patients. Funding: Groupe d'Etude des Lymphomes de l'Adulte (GELA). © 2011 Elsevier Ltd.","author":[{"dropping-particle":"","family":"Peyrade","given":"Frédéric","non-dropping-particle":"","parse-names":false,"suffix":""},{"dropping-particle":"","family":"Jardin","given":"Fabrice","non-dropping-particle":"","parse-names":false,"suffix":""},{"dropping-particle":"","family":"Thieblemont","given":"Catherine","non-dropping-particle":"","parse-names":false,"suffix":""},{"dropping-particle":"","family":"Thyss","given":"Antoine","non-dropping-particle":"","parse-names":false,"suffix":""},{"dropping-particle":"","family":"Emile","given":"Jean François","non-dropping-particle":"","parse-names":false,"suffix":""},{"dropping-particle":"","family":"Castaigne","given":"Sylvie","non-dropping-particle":"","parse-names":false,"suffix":""},{"dropping-particle":"","family":"Coiffier","given":"Bertrand","non-dropping-particle":"","parse-names":false,"suffix":""},{"dropping-particle":"","family":"Haioun","given":"Corinne","non-dropping-particle":"","parse-names":false,"suffix":""},{"dropping-particle":"","family":"Bologna","given":"Serge","non-dropping-particle":"","parse-names":false,"suffix":""},{"dropping-particle":"","family":"Fitoussi","given":"Olivier","non-dropping-particle":"","parse-names":false,"suffix":""},{"dropping-particle":"","family":"Lepeu","given":"Gérard","non-dropping-particle":"","parse-names":false,"suffix":""},{"dropping-particle":"","family":"Fruchart","given":"Christophe","non-dropping-particle":"","parse-names":false,"suffix":""},{"dropping-particle":"","family":"Bordessoule","given":"Dominique","non-dropping-particle":"","parse-names":false,"suffix":""},{"dropping-particle":"","family":"Blanc","given":"Michel","non-dropping-particle":"","parse-names":false,"suffix":""},{"dropping-particle":"","family":"Delarue","given":"Richard","non-dropping-particle":"","parse-names":false,"suffix":""},{"dropping-particle":"","family":"Janvier","given":"Maud","non-dropping-particle":"","parse-names":false,"suffix":""},{"dropping-particle":"","family":"Salles","given":"Bruno","non-dropping-particle":"","parse-names":false,"suffix":""},{"dropping-particle":"","family":"André","given":"Marc","non-dropping-particle":"","parse-names":false,"suffix":""},{"dropping-particle":"","family":"Fournier","given":"Marion","non-dropping-particle":"","parse-names":false,"suffix":""},{"dropping-particle":"","family":"Gaulard","given":"Philippe","non-dropping-particle":"","parse-names":false,"suffix":""},{"dropping-particle":"","family":"Tilly","given":"Hervé","non-dropping-particle":"","parse-names":false,"suffix":""}],"container-title":"The Lancet Oncology","id":"ITEM-1","issue":"5","issued":{"date-parts":[["2011","5"]]},"page":"460-468","title":"Attenuated immunochemotherapy regimen (R-miniCHOP) in elderly patients older than 80 years with diffuse large B-cell lymphoma: A multicentre, single-arm, phase 2 trial","type":"article-journal","volume":"12"},"uris":["http://www.mendeley.com/documents/?uuid=1f10293b-8542-395b-ba32-5b71aa075ff0"]},{"id":"ITEM-2","itemData":{"DOI":"10.1200/jco.2013.31.15_suppl.8536","ISSN":"0732-183X","abstract":"8536 Background: We report the outcome of patients included in the LNH 03-7B prospective phase II study of the GELA group which evaluated the tolerance and efficacy of a reduced dosage chemotherapy regimen (miniCHOP) associated with full dose rituximab in patients aged over 80 years with DLBCL. Methods: Patients were between 80 and 95 years (median 83 years), had disease stage I Bulky to IV and 65% had poor risk lymphoma according to IPI. Perfomance status was 0-2 in all cases. The majority of deaths and grade III/IV toxicity occurred during cycle 1 and 2. Response to treatment and early survival analyses were previously presented with 20 months median follow-up (Lancet oncol 2011;12:460-468). Results: At the time of this analysis, The median follow-up time was 41 months and 75 (50%) patients were alive. The 4-year estimated overall survival (OS) was 49.3% [95% CI: 40.8-57.3%] and the median OS was 38 months. The 4-year estimated PFS, EFS and DFS were 41.4% [95% CI: 33.1-49.5%], 39.4% [95% CI : 31.2-47.5%] and 57.9% [95% CI : 47.3-67.2%] respectively.]. During the additional follow-up, 8 patients relapsed (10% of CR patients) and 17 died. No long term toxicity was recorded. In a multivariate analysis an albumin level &gt;35 g/l remained significantly associated with a longer survival. Conclusions: These results show that very old patients with DLBCL treated with RminiCHOP could express long-term survival and probably be cured. Regarding the DFS and despite the early toxicity, it seems crucial to obtain the best possible response. This long term analysis confirm that in patient aged over 80y with DLBCL and with PS from 0 to 2, RminiCHOP is the treatment cornerstone. Clinical trial information: NCT01087424.","author":[{"dropping-particle":"","family":"Peyrade","given":"Frederic","non-dropping-particle":"","parse-names":false,"suffix":""},{"dropping-particle":"","family":"Fain","given":"Olivier","non-dropping-particle":"","parse-names":false,"suffix":""},{"dropping-particle":"","family":"Fabiani","given":"Bettina","non-dropping-particle":"","parse-names":false,"suffix":""},{"dropping-particle":"","family":"Bauduer","given":"Frederic","non-dropping-particle":"","parse-names":false,"suffix":""},{"dropping-particle":"","family":"Neste","given":"Eric","non-dropping-particle":"Van Den","parse-names":false,"suffix":""},{"dropping-particle":"","family":"Macro","given":"Margaret","non-dropping-particle":"","parse-names":false,"suffix":""},{"dropping-particle":"","family":"Devidas","given":"Alain","non-dropping-particle":"","parse-names":false,"suffix":""},{"dropping-particle":"","family":"Collignon","given":"Joelle","non-dropping-particle":"","parse-names":false,"suffix":""},{"dropping-particle":"","family":"Rose","given":"Christian","non-dropping-particle":"","parse-names":false,"suffix":""},{"dropping-particle":"","family":"Bonnet","given":"Sophie","non-dropping-particle":"","parse-names":false,"suffix":""},{"dropping-particle":"","family":"Maerevoet","given":"Marie","non-dropping-particle":"","parse-names":false,"suffix":""},{"dropping-particle":"","family":"Demuynck","given":"Hilde","non-dropping-particle":"","parse-names":false,"suffix":""},{"dropping-particle":"","family":"Casasnovas","given":"Rene-Olivier","non-dropping-particle":"","parse-names":false,"suffix":""}],"container-title":"Journal of Clinical Oncology","id":"ITEM-2","issue":"15_suppl","issued":{"date-parts":[["2013"]]},"page":"8536","publisher":"American Society of Clinical Oncology","title":"Long-term follow-up of the GELA LNH 03-7B study: A prospective phase II study of 150 patients over 80 years with diffuse large B-cell lymphoma (DLBCL) treated with RminiCHOP.","type":"article-journal","volume":"31"},"uris":["http://www.mendeley.com/documents/?uuid=fa7bbef8-84c8-3435-966c-b1eaae1aa162"]},{"id":"ITEM-3","itemData":{"DOI":"10.1007/s00277-016-2768-x","ISSN":"14320584","abstract":"Patients aged 80 or over with diffuse large B cell lymphoma (DLBCL) often have comorbidities that increase drug toxicity and prevent the use of otherwise optimal treatment. We performed a retrospective analysis of 43 patients aged 80 or over (median age: 83; range: 80–93) unable to receive treatment with anthracyclines, at diagnosis of DLBCL, treated with an R-CVP treatment (standard R-CHOP without doxorubicin). The patients had one or more comorbidities: 18 patients (41.9 %) had a performance status (PS) of 3; 23 patients (53.5 %) had low creatinine clearance; 12 patients (27.9 %) had low left ventricular ejection fraction; seven patients (16.3 %) had poor hepatic function; and 26 patients (60.5 %) had a Charlson index score ≥4. Thirty patients (70 %) had two or three adverse factors according to the age-adjusted International Prognostic Index. Twenty-five patients (58.1 %) received eight cycles of R-CVP, but the full eight cycles could not be given to 18 patients (41.9 %). The OR rate was 58.1 % (CR 37.2 %). There were 34 deaths (79 %) during treatment and follow-up. Ten patients (23.3 %) died early from toxicity before interim evaluation; all had PS 3. The median follow-up of surviving patients was 52.6 months. The overall 2-year survival rate was 31.9 % and the median OS was 12.6 months. The median OS for patients who completed the entire treatment was 26.4 months. The median PFS was 11.2 months. In multivariate analyses, OS was only affected by performance status ≥2 and Charlson index score ≥4. The R-CVP regimen can be active in elderly frail patients aged 80 or more with DLBCL, but systematic geriatric assessment is required so that those unsuitable for chemotherapy are excluded.","author":[{"dropping-particle":"","family":"Laribi","given":"Kamel","non-dropping-particle":"","parse-names":false,"suffix":""},{"dropping-particle":"","family":"Denizon","given":"Nathalie","non-dropping-particle":"","parse-names":false,"suffix":""},{"dropping-particle":"","family":"Bolle","given":"Delphine","non-dropping-particle":"","parse-names":false,"suffix":""},{"dropping-particle":"","family":"Truong","given":"Catherine","non-dropping-particle":"","parse-names":false,"suffix":""},{"dropping-particle":"","family":"Besançon","given":"Anne","non-dropping-particle":"","parse-names":false,"suffix":""},{"dropping-particle":"","family":"Sandrini","given":"Jeremy","non-dropping-particle":"","parse-names":false,"suffix":""},{"dropping-particle":"","family":"Anghel","given":"Andreaa","non-dropping-particle":"","parse-names":false,"suffix":""},{"dropping-particle":"","family":"Farhi","given":"Jonathan","non-dropping-particle":"","parse-names":false,"suffix":""},{"dropping-particle":"","family":"Ghnaya","given":"Habib","non-dropping-particle":"","parse-names":false,"suffix":""},{"dropping-particle":"","family":"Baugier de Materre","given":"Alix","non-dropping-particle":"","parse-names":false,"suffix":""}],"container-title":"Annals of Hematology","id":"ITEM-3","issue":"10","issued":{"date-parts":[["2016","10","1"]]},"page":"1705-1714","publisher":"Springer Verlag","title":"R-CVP regimen is active in frail elderly patients aged 80 or over with diffuse large B cell lymphoma","type":"article-journal","volume":"95"},"uris":["http://www.mendeley.com/documents/?uuid=4f1e73e5-4563-30cd-a068-12950a36fd3d"]},{"id":"ITEM-4","itemData":{"DOI":"10.1007/s00277-017-3017-7","ISSN":"14320584","author":[{"dropping-particle":"","family":"Arakaki","given":"Hideki","non-dropping-particle":"","parse-names":false,"suffix":""},{"dropping-particle":"","family":"Nakazato","given":"Tomonori","non-dropping-particle":"","parse-names":false,"suffix":""},{"dropping-particle":"","family":"Osada","given":"Yuki","non-dropping-particle":"","parse-names":false,"suffix":""},{"dropping-particle":"","family":"Ito","given":"Chisako","non-dropping-particle":"","parse-names":false,"suffix":""},{"dropping-particle":"","family":"Aisa","given":"Yoshinobu","non-dropping-particle":"","parse-names":false,"suffix":""},{"dropping-particle":"","family":"Mori","given":"Takehiko","non-dropping-particle":"","parse-names":false,"suffix":""}],"container-title":"Annals of Hematology","id":"ITEM-4","issue":"7","issued":{"date-parts":[["2017","7","1"]]},"page":"1225-1226","publisher":"Springer Verlag","title":"Comparison of R-CVP with R-CHOP for very elderly patients aged 80 or over with diffuse large B cell lymphoma","type":"article","volume":"96"},"uris":["http://www.mendeley.com/documents/?uuid=0fbde1d9-7549-3c37-8916-2698e4818096"]},{"id":"ITEM-5","itemData":{"DOI":"10.1007/s00277-019-03819-3","ISSN":"14320584","abstract":"Despite bendamustine-rituximab (BR) showed disappointing efficacy in diffuse large B cell lymphoma (DLBCL), it is still occasionally used as first-line treatment in older DLBCL patients instead of recommended R-CHOP. This multicentre, retrospective study was aimed to clarify circumstances in which BR may be justified in this setting. Patients ≥ 65 years with ECOG performance status (PS) ≥ 2 or ≥ 75 years regardless of PS were included. A total of 140 patients were analysed (BR, 68; R-CHOP, 72). BR patients were older (p &lt; 0.001) and were diagnosed more often with high-risk disease (p = 0.03); no difference regarding comorbidities or PS was seen. Compared with R-CHOP, BR was associated with marked inferior overall survival (OS) (16.3 vs. 75.4 months; p = 0.006) and progression-free survival (PFS) (11.0 vs. 62.3 months; p &lt; 0.001). In multivariate analysis, only high age-adjusted Charlson Comorbidity Index (aaCCI) was associated with inferior PFS in R-CHOP patients (hazard ratio 2.67; p = 0.012). Comparing the subgroup of BR and R-CHOP patients with high aaCCI, there was no difference in OS (p = 0.73) or PFS (p = 0.75). Due to the observed non-superiority of R-CHOP in older DLBCL patients with comorbidities, we propose that this subgroup may be treated alternatively with BR, whereas all other older patients are clearly R-CHOP candidates.","author":[{"dropping-particle":"","family":"Zeremski","given":"Vanja","non-dropping-particle":"","parse-names":false,"suffix":""},{"dropping-particle":"","family":"Jentsch-Ullrich","given":"Kathleen","non-dropping-particle":"","parse-names":false,"suffix":""},{"dropping-particle":"","family":"Kahl","given":"Christoph","non-dropping-particle":"","parse-names":false,"suffix":""},{"dropping-particle":"","family":"Mohren","given":"Martin","non-dropping-particle":"","parse-names":false,"suffix":""},{"dropping-particle":"","family":"Eberhardt","given":"Judith","non-dropping-particle":"","parse-names":false,"suffix":""},{"dropping-particle":"","family":"Fischer","given":"Thomas","non-dropping-particle":"","parse-names":false,"suffix":""},{"dropping-particle":"","family":"Schalk","given":"Enrico","non-dropping-particle":"","parse-names":false,"suffix":""}],"container-title":"Annals of Hematology","id":"ITEM-5","issue":"12","issued":{"date-parts":[["2019","12","1"]]},"page":"2729-2737","publisher":"Springer","title":"Is bendamustine-rituximab a reasonable treatment in selected older patients with diffuse large B cell lymphoma? Results from a multicentre, retrospective study","type":"article-journal","volume":"98"},"uris":["http://www.mendeley.com/documents/?uuid=920882d1-175a-3334-86bd-c7ba5af21976"]},{"id":"ITEM-6","itemData":{"DOI":"10.3324/haematol.2017.186569","ISSN":"15928721","abstract":"We conducted a phase II study to assess activity and safety profile of bendamustine and rituximab in elderly patients with untreated diffuse large B-cell lymphoma (DLBCL) who were prospectively defined as frail using a simplified version of the Comprehensive Geriatric Assessment (CGA). Patients had to be over 70 years of age, with histologically confirmed DLBCL. Frail patients were those younger than 80 years with a frail profile at CGA or older than 80 years with an unfit profile. Treatment consisted of 4-6 courses of bendamustine [90 mg/m 2 days (d)1-2] and rituximab (375 mg/m 2 d1) administered every 28 days. Other main study end points were complete remission rate and the rate of extra-hematologic adverse events. Forty-nine patients were enrolled of whom 45 were confirmed eligible. Overall, 24 patients achieved a complete remission (53%; 95%CI: 38-68%) and the overall response rate was 62% (95%CI: 47-76%). The most frequent grade 3-4 adverse event was neutropenia (37.8%). Grade 3-4 extra-hematologic adverse events were observed in 7 patients (15.6%; 95%CI: 6.5-29.5%); the most frequent was grade 3 infection in 2 patients. With a median follow up of 33 months (range 1-52), the median progression-free survival was ten months (95%CI: 7-25). The study shows promising activity and manageable toxicity profile of BR combination as first-line therapy for patients with DLBCL who are prospectively defined as frail according to a simplified CGA, as adopted in this trial (clinicaltrials.gov identifier: 01990144).","author":[{"dropping-particle":"","family":"Storti","given":"Sergio","non-dropping-particle":"","parse-names":false,"suffix":""},{"dropping-particle":"","family":"Spina","given":"Michele","non-dropping-particle":"","parse-names":false,"suffix":""},{"dropping-particle":"","family":"Pesce","given":"Emanuela Anna","non-dropping-particle":"","parse-names":false,"suffix":""},{"dropping-particle":"","family":"Salvi","given":"Flavia","non-dropping-particle":"","parse-names":false,"suffix":""},{"dropping-particle":"","family":"Merli","given":"Michele","non-dropping-particle":"","parse-names":false,"suffix":""},{"dropping-particle":"","family":"Ruffini","given":"Alessia","non-dropping-particle":"","parse-names":false,"suffix":""},{"dropping-particle":"","family":"Cabras","given":"Giuseppina","non-dropping-particle":"","parse-names":false,"suffix":""},{"dropping-particle":"","family":"Chiappella","given":"Annalisa","non-dropping-particle":"","parse-names":false,"suffix":""},{"dropping-particle":"","family":"Angelucci","given":"Emanuele","non-dropping-particle":"","parse-names":false,"suffix":""},{"dropping-particle":"","family":"Fabbri","given":"Alberto","non-dropping-particle":"","parse-names":false,"suffix":""},{"dropping-particle":"","family":"Liberati","given":"Anna Marina","non-dropping-particle":"","parse-names":false,"suffix":""},{"dropping-particle":"","family":"Tani","given":"Monica","non-dropping-particle":"","parse-names":false,"suffix":""},{"dropping-particle":"","family":"Musuraca","given":"Gerardo","non-dropping-particle":"","parse-names":false,"suffix":""},{"dropping-particle":"","family":"Molinari","given":"Annalia","non-dropping-particle":"","parse-names":false,"suffix":""},{"dropping-particle":"","family":"Petrilli","given":"Maria Pia","non-dropping-particle":"","parse-names":false,"suffix":""},{"dropping-particle":"","family":"Palladino","given":"Carmela","non-dropping-particle":"","parse-names":false,"suffix":""},{"dropping-particle":"","family":"Ciancia","given":"Rosanna","non-dropping-particle":"","parse-names":false,"suffix":""},{"dropping-particle":"","family":"Ferrario","given":"Andrea","non-dropping-particle":"","parse-names":false,"suffix":""},{"dropping-particle":"","family":"Gasbarrino","given":"Cristiana","non-dropping-particle":"","parse-names":false,"suffix":""},{"dropping-particle":"","family":"Monaco","given":"Federico","non-dropping-particle":"","parse-names":false,"suffix":""},{"dropping-particle":"","family":"Fraticelli","given":"Vincenzo","non-dropping-particle":"","parse-names":false,"suffix":""},{"dropping-particle":"","family":"Vellis","given":"Annalisa","non-dropping-particle":"De","parse-names":false,"suffix":""},{"dropping-particle":"","family":"Merli","given":"Francesco","non-dropping-particle":"","parse-names":false,"suffix":""},{"dropping-particle":"","family":"Luminari","given":"Stefano","non-dropping-particle":"","parse-names":false,"suffix":""}],"container-title":"Haematologica","id":"ITEM-6","issue":"8","issued":{"date-parts":[["2018","7","31"]]},"page":"1345-1350","publisher":"Ferrata Storti Foundation","title":"Rituximab plus bendamustine as front-line treatment in frail elderly (&gt;70 years) patients with diffuse large b-cell non-hodgkin lymphoma: A phase ii multicenter study of the fondazione italiana linfomi","type":"article-journal","volume":"103"},"uris":["http://www.mendeley.com/documents/?uuid=42955152-80e8-3fa0-bcc8-9fbe611003f6"]}],"mendeley":{"formattedCitation":"[59–64]","plainTextFormattedCitation":"[59–64]","previouslyFormattedCitation":"[59–64]"},"properties":{"noteIndex":0},"schema":"https://github.com/citation-style-language/schema/raw/master/csl-citation.json"}</w:instrText>
      </w:r>
      <w:r w:rsidR="005C1E9B" w:rsidRPr="000322E4">
        <w:fldChar w:fldCharType="separate"/>
      </w:r>
      <w:r w:rsidR="00C37789" w:rsidRPr="000322E4">
        <w:rPr>
          <w:noProof/>
        </w:rPr>
        <w:t>[59–64]</w:t>
      </w:r>
      <w:r w:rsidR="005C1E9B" w:rsidRPr="000322E4">
        <w:fldChar w:fldCharType="end"/>
      </w:r>
      <w:r w:rsidR="005C1E9B" w:rsidRPr="000322E4">
        <w:rPr>
          <w:b/>
          <w:bCs/>
        </w:rPr>
        <w:t xml:space="preserve"> </w:t>
      </w:r>
    </w:p>
    <w:p w14:paraId="4CFC258A" w14:textId="77777777" w:rsidR="001E1A3A" w:rsidRPr="000322E4" w:rsidRDefault="001E1A3A" w:rsidP="008A40EA">
      <w:pPr>
        <w:ind w:left="709"/>
        <w:contextualSpacing/>
        <w:rPr>
          <w:b/>
        </w:rPr>
      </w:pPr>
      <w:r w:rsidRPr="000322E4">
        <w:rPr>
          <w:b/>
        </w:rPr>
        <w:t xml:space="preserve">Уровень убедительности рекомендаций </w:t>
      </w:r>
      <w:r w:rsidR="003122E1" w:rsidRPr="000322E4">
        <w:rPr>
          <w:b/>
        </w:rPr>
        <w:t xml:space="preserve">С </w:t>
      </w:r>
      <w:r w:rsidRPr="000322E4">
        <w:rPr>
          <w:b/>
        </w:rPr>
        <w:t xml:space="preserve">(уровень достоверности доказательств </w:t>
      </w:r>
      <w:r w:rsidR="003122E1" w:rsidRPr="000322E4">
        <w:rPr>
          <w:b/>
        </w:rPr>
        <w:t>4</w:t>
      </w:r>
      <w:r w:rsidRPr="000322E4">
        <w:rPr>
          <w:b/>
        </w:rPr>
        <w:t>).</w:t>
      </w:r>
    </w:p>
    <w:p w14:paraId="00390BDC" w14:textId="77777777" w:rsidR="00210FA0" w:rsidRPr="000322E4" w:rsidRDefault="00210FA0" w:rsidP="008A40EA">
      <w:pPr>
        <w:pStyle w:val="2"/>
        <w:spacing w:before="0"/>
        <w:contextualSpacing/>
      </w:pPr>
      <w:bookmarkStart w:id="38" w:name="_Toc66096824"/>
      <w:r w:rsidRPr="000322E4">
        <w:lastRenderedPageBreak/>
        <w:t>3.</w:t>
      </w:r>
      <w:r w:rsidR="00260AFA" w:rsidRPr="000322E4">
        <w:t>2</w:t>
      </w:r>
      <w:r w:rsidRPr="000322E4">
        <w:t xml:space="preserve"> Первая линия терапии первичной медиастинальной (тимической) В-клеточной крупноклеточной лимфомы</w:t>
      </w:r>
      <w:bookmarkEnd w:id="38"/>
    </w:p>
    <w:p w14:paraId="2788998A" w14:textId="77777777" w:rsidR="00210FA0" w:rsidRPr="000322E4" w:rsidRDefault="00210FA0" w:rsidP="008A40EA">
      <w:pPr>
        <w:pStyle w:val="afff8"/>
        <w:spacing w:before="0"/>
      </w:pPr>
      <w:r w:rsidRPr="000322E4">
        <w:t>Пациентам</w:t>
      </w:r>
      <w:r w:rsidR="00260AFA" w:rsidRPr="000322E4">
        <w:t xml:space="preserve"> старше 18 лет</w:t>
      </w:r>
      <w:r w:rsidRPr="000322E4">
        <w:t xml:space="preserve"> с установленным диагнозом ПМВКЛ </w:t>
      </w:r>
      <w:r w:rsidRPr="000322E4">
        <w:rPr>
          <w:b/>
        </w:rPr>
        <w:t xml:space="preserve">рекомендовано </w:t>
      </w:r>
      <w:r w:rsidRPr="000322E4">
        <w:rPr>
          <w:bCs/>
        </w:rPr>
        <w:t>проведение</w:t>
      </w:r>
      <w:r w:rsidRPr="000322E4">
        <w:t xml:space="preserve"> одного из следующих режимов иммунохимиотерапии на выбор лечащего врача (см. приложение А3.1) </w:t>
      </w:r>
      <w:r w:rsidRPr="000322E4">
        <w:fldChar w:fldCharType="begin" w:fldLock="1"/>
      </w:r>
      <w:r w:rsidR="00C37789" w:rsidRPr="000322E4">
        <w:instrText>ADDIN CSL_CITATION {"citationItems":[{"id":"ITEM-1","itemData":{"DOI":"10.3816/CLM.2009.n.074","ISSN":"15579190","abstract":"Background: Third-generation regimens (MACOP-B [methotrexate/leucovorin (LV)/doxorubicin/cyclophosphamide/vincristine/ prednisone/bleomycin] or VACOP-B [etoposide/LV/doxorubicin/cyclophosphamide/vincristine/prednisone/bleomycin]) in combination with local radiation therapy seem to improve lymphoma-free survival of primary mediastinal large B-cell lymphoma (PMLBCL). Recently, the superiority of R-CHOP (rituximab plus cyclophosphamide/doxorubicin/vincristine/ prednisone) over CHOP-like regimens has been demonstrated in elderly and younger patients with low-risk diffuse large B-cell lymphoma. Patients and Methods: Retrospectively, between February 2002 and July 2006, 45 previously untreated patients with PMLBCL were treated with a combination of a third-generation chemotherapy regimen (MACOP-B or VACOP-B), concurrent rituximab, and mediastinal radiation therapy. Results: Twenty-six (62%) patients achieved a complete response (CR), and 15 (36%) obtained a partial response after MACOP-B/VACOP-B plus rituximab. After radiation therapy, the CR rate was 80%. At a median follow-up of 28 months, among the 34 patients who obtained a CR, 3 relapsed after 16, 19, and 22 months, respectively. Projected overall survival was 80% at 5 years; the relapse-free survival (RFS) curve of the 34 patients who achieved CR was 88% at 5 years. Conclusion: In this retrospective study, in patients with PMLBCL, combined-modality treatment using the MACOP-B/VACOP-B regimen plus rituximab induces a high remission rate, with patients having a &gt; 80% chance of surviving relapse free at 5 years. In comparison with historical data on MACOP-B/VACOP-B without rituximab, there are no statistically significant differences in terms of CR and RFS rates.","author":[{"dropping-particle":"","family":"Zinzani","given":"Pier Luigi","non-dropping-particle":"","parse-names":false,"suffix":""},{"dropping-particle":"","family":"Stefoni","given":"Vittorio","non-dropping-particle":"","parse-names":false,"suffix":""},{"dropping-particle":"","family":"Finolezzi","given":"Erica","non-dropping-particle":"","parse-names":false,"suffix":""},{"dropping-particle":"","family":"Brusamolino","given":"Ercole","non-dropping-particle":"","parse-names":false,"suffix":""},{"dropping-particle":"","family":"Cabras","given":"Maria Giuseppina","non-dropping-particle":"","parse-names":false,"suffix":""},{"dropping-particle":"","family":"Chiappella","given":"Annalisa","non-dropping-particle":"","parse-names":false,"suffix":""},{"dropping-particle":"","family":"Salvi","given":"Flavia","non-dropping-particle":"","parse-names":false,"suffix":""},{"dropping-particle":"","family":"Rossi","given":"Andrea","non-dropping-particle":"","parse-names":false,"suffix":""},{"dropping-particle":"","family":"Broccoli","given":"Alessandro","non-dropping-particle":"","parse-names":false,"suffix":""},{"dropping-particle":"","family":"Martelli","given":"Maurizio","non-dropping-particle":"","parse-names":false,"suffix":""}],"container-title":"Clinical Lymphoma and Myeloma","id":"ITEM-1","issue":"5","issued":{"date-parts":[["2009","10","1"]]},"page":"381-385","publisher":"Cancer Information Group, LP","title":"Rituximab combined with MACOP-B or VACOP-B and radiation therapy in primary mediastinal large B-cell lymphoma: A retrospective study","type":"article-journal","volume":"9"},"uris":["http://www.mendeley.com/documents/?uuid=a12eb4c5-b379-3abf-9bab-bdd4fd30fd75"]},{"id":"ITEM-2","itemData":{"author":[{"dropping-particle":"","family":"Вернюк","given":"М.А.","non-dropping-particle":"","parse-names":false,"suffix":""},{"dropping-particle":"","family":"Тюрина","given":"Н.Г.","non-dropping-particle":"","parse-names":false,"suffix":""},{"dropping-particle":"","family":"Павлова","given":"О.А.","non-dropping-particle":"","parse-names":false,"suffix":""},{"dropping-particle":"","family":"Червонцева","given":"А.М.","non-dropping-particle":"","parse-names":false,"suffix":""},{"dropping-particle":"","family":"Жуков","given":"Н.В.","non-dropping-particle":"","parse-names":false,"suffix":""}],"container-title":"Онкогематология","id":"ITEM-2","issued":{"date-parts":[["2013"]]},"page":"18-23","title":"Опыт лечения первичной медиастинальной В-крупноклеточной лимфомы","type":"article-journal","volume":"4"},"uris":["http://www.mendeley.com/documents/?uuid=ba22f72c-afee-41ab-a4fe-c98c71096551"]},{"id":"ITEM-3","itemData":{"author":[{"dropping-particle":"","family":"Тумян","given":"Г.С.","non-dropping-particle":"","parse-names":false,"suffix":""}],"container-title":"Современная онкология","id":"ITEM-3","issue":"3","issued":{"date-parts":[["2008"]]},"page":"66-68","title":"Первичная медиастинальная В-крупноклеточная лимфома: диагностика, клиническая картина и лечение","type":"article-journal","volume":"10"},"uris":["http://www.mendeley.com/documents/?uuid=1ecdd8f8-1b2f-4452-b7b0-134663b7c18f"]},{"id":"ITEM-4","itemData":{"DOI":"10.1056/NEJMoa1214561","ISSN":"15334406","abstract":"BACKGROUND: Primary mediastinal B-cell lymphoma is a distinct subtype of diffuse large-B-cell lymphoma that is closely related to nodular sclerosing Hodgkin's lymphoma. Patients are usually young and present with large mediastinal masses. There is no standard treatment, but the inadequacy of immunochemotherapy alone has resulted in routine consolidation with mediastinal radiotherapy, which has potentially serious late effects. We aimed to develop a strategy that improves the rate of cure and obviates the need for radiotherapy. METHODS: We conducted a single-group, phase 2, prospective study of infusional dose-adjusted etoposide, doxorubicin, and cyclophosphamide with vincristine, prednisone, and rituximab (DA-EPOCH-R) and filgrastim without radiotherapy in 51 patients with untreated primary mediastinal B-cell lymphoma. We used results from a retrospective study of DA-EPOCH-R from another center to independently verify the outcomes. RESULTS: The patients had a median age of 30 years (range, 19 to 52) and a median tumor diameter of 11 cm; 59% were women. During a median of 5 years of follow-up, the event-free survival rate was 93%, and the overall survival rate was 97%. Among the 16 patients who were involved in the retrospective analysis at another center, over a median of 3 years of follow-up, the event-free survival rate was 100%, and no patients received radiotherapy. No late morbidity or cardiac toxic effects were found in any patients. After follow-up ranging from 10 months to 14 years, all but 2 of the 51 patients (4%) who received DA-EPOCH-R alone were in complete remission. The 2 remaining patients received radiotherapy and were disease-free at follow-up. CONCLUSIONS: Therapy with DA-EPOCH-R obviated the need for radiotherapy in patients with primary mediastinal B-cell lymphoma. (Funded by the National Cancer Institute; ClinicalTrials.gov number, NCT00001337.) Copyright © 2013 Massachusetts Medical Society.","author":[{"dropping-particle":"","family":"Dunleavy","given":"Kieron","non-dropping-particle":"","parse-names":false,"suffix":""},{"dropping-particle":"","family":"Pittaluga","given":"Stefania","non-dropping-particle":"","parse-names":false,"suffix":""},{"dropping-particle":"","family":"Maeda","given":"Lauren S.","non-dropping-particle":"","parse-names":false,"suffix":""},{"dropping-particle":"","family":"Advani","given":"Ranjana","non-dropping-particle":"","parse-names":false,"suffix":""},{"dropping-particle":"","family":"Chen","given":"Clara C.","non-dropping-particle":"","parse-names":false,"suffix":""},{"dropping-particle":"","family":"Hessler","given":"Julie","non-dropping-particle":"","parse-names":false,"suffix":""},{"dropping-particle":"","family":"Steinberg","given":"Seth M.","non-dropping-particle":"","parse-names":false,"suffix":""},{"dropping-particle":"","family":"Grant","given":"Cliona","non-dropping-particle":"","parse-names":false,"suffix":""},{"dropping-particle":"","family":"Wright","given":"George","non-dropping-particle":"","parse-names":false,"suffix":""},{"dropping-particle":"","family":"Varma","given":"Gaurav","non-dropping-particle":"","parse-names":false,"suffix":""},{"dropping-particle":"","family":"Staudt","given":"Louis M.","non-dropping-particle":"","parse-names":false,"suffix":""},{"dropping-particle":"","family":"Jaffe","given":"Elaine S.","non-dropping-particle":"","parse-names":false,"suffix":""},{"dropping-particle":"","family":"Wilson","given":"Wyndham H.","non-dropping-particle":"","parse-names":false,"suffix":""}],"container-title":"New England Journal of Medicine","id":"ITEM-4","issue":"15","issued":{"date-parts":[["2013","4","11"]]},"page":"1408-1416","publisher":"Massachussetts Medical Society","title":"Dose-adjusted EPOCH-rituximab therapy in primary mediastinal B-cell lymphoma","type":"article-journal","volume":"368"},"uris":["http://www.mendeley.com/documents/?uuid=ab2bf952-eead-3cc2-82f7-59d922c2fd09"]},{"id":"ITEM-5","itemData":{"DOI":"10.1002/cam4.2347","ISSN":"20457634","abstract":"Primary mediastinal large B-cell lymphoma (PMBCL) is a distinct clinico-pathological subtype of diffuse large B-cell lymphoma with unclear prognostic factors and limited clinical data. Optimal treatment and role for radiotherapy is not fully defined. We performed a multicenter retrospective review of 124 patients with newly diagnosed PMBCL between 2001 and 2016. Treatment regimens were R-CHOP (n = 41), R-CHOP + RT (n = 37), and DA-EPOCH-R (n = 46). 6% (n = 3) in the DA-EPOCH-R group received RT. With a median follow up of 45 months, the overall 5-year OS and PFS was 89.4% and 82.4%, respectively. The type of chemo-radiotherapy regimen, B symptoms and Ann-Arbor staging showed a significant association with OS on univariate analysis but only B symptoms remained prognostic (P = 0.012) after multivariate analysis. The chemo-radiotherapy regimen, Japanese IPI and Ann-Arbor stage was significantly associated with PFS in univariate analysis, but only chemo-radiotherapy regimen remained significant (P = 0.02) after multivariate analysis. Patients who received R-CHOP + RT or DA-EPOCH-R had better PFS than those receiving R-CHOP alone, with 5-year PFS of 90% vs 88.5% vs 56%, respectively (P = 0.02). In the subgroup analysis of patients with bulk (n = 71), R-CHOP alone (n = 21) had inferior 5-year PFS 56.6% compared to those who received R-CHOP + RT (n = 23) 91.3% or DA-EPOCH-R (n = 27) 92.6% (P = 0.007). In contrast, in patients without bulk (n = 42), there was no impact of treatment regimen on PFS (P = 0.25). In conclusion, R-CHOP + RT and DA-EPOCH-R provide excellent outcomes in patients with PMBCL. In patients with bulky disease, the use of DA-EPOCH-R may be preferable as it allows omission of RT without reduction in efficacy.","author":[{"dropping-particle":"","family":"Chan","given":"Esther Hian Li","non-dropping-particle":"","parse-names":false,"suffix":""},{"dropping-particle":"","family":"Koh","given":"Liang Piu","non-dropping-particle":"","parse-names":false,"suffix":""},{"dropping-particle":"","family":"Lee","given":"Joanne","non-dropping-particle":"","parse-names":false,"suffix":""},{"dropping-particle":"","family":"Mel","given":"Sanjay","non-dropping-particle":"De","parse-names":false,"suffix":""},{"dropping-particle":"","family":"Jeyasekharan","given":"Anand","non-dropping-particle":"","parse-names":false,"suffix":""},{"dropping-particle":"","family":"Liu","given":"Xin","non-dropping-particle":"","parse-names":false,"suffix":""},{"dropping-particle":"","family":"Tang","given":"Tiffany","non-dropping-particle":"","parse-names":false,"suffix":""},{"dropping-particle":"","family":"Lim","given":"Soon Thye","non-dropping-particle":"","parse-names":false,"suffix":""},{"dropping-particle":"","family":"Tao","given":"Miriam","non-dropping-particle":"","parse-names":false,"suffix":""},{"dropping-particle":"","family":"Quek","given":"Richard","non-dropping-particle":"","parse-names":false,"suffix":""},{"dropping-particle":"","family":"Farid Bin Harunal Ras","given":"Mohamad","non-dropping-particle":"","parse-names":false,"suffix":""},{"dropping-particle":"","family":"Lee","given":"Yuh Shan","non-dropping-particle":"","parse-names":false,"suffix":""},{"dropping-particle":"","family":"Diong","given":"Colin","non-dropping-particle":"","parse-names":false,"suffix":""},{"dropping-particle":"","family":"Tan","given":"Daryl","non-dropping-particle":"","parse-names":false,"suffix":""},{"dropping-particle":"","family":"Kim","given":"Seok Jin","non-dropping-particle":"","parse-names":false,"suffix":""},{"dropping-particle":"","family":"Chee","given":"Yen Lin","non-dropping-particle":"","parse-names":false,"suffix":""},{"dropping-particle":"","family":"Poon","given":"Li Mei Michelle","non-dropping-particle":"","parse-names":false,"suffix":""}],"container-title":"Cancer Medicine","id":"ITEM-5","issue":"10","issued":{"date-parts":[["2019","8"]]},"page":"4626-4632","publisher":"Blackwell Publishing Ltd","title":"Real world experience of R-CHOP with or without consolidative radiotherapy vs DA-EPOCH-R in the first-line treatment of primary mediastinal B-cell lymphoma","type":"article-journal","volume":"8"},"uris":["http://www.mendeley.com/documents/?uuid=763b4824-ca36-31a1-ba2b-44186d6ea483"]},{"id":"ITEM-6","itemData":{"author":[{"dropping-particle":"","family":"Мангасарова","given":"Я.К.","non-dropping-particle":"","parse-names":false,"suffix":""},{"dropping-particle":"","family":"Магомедова","given":"А.У.","non-dropping-particle":"","parse-names":false,"suffix":""},{"dropping-particle":"","family":"Ковригина","given":"А.М.","non-dropping-particle":"","parse-names":false,"suffix":""},{"dropping-particle":"","family":"Костина","given":"И.Э.","non-dropping-particle":"","parse-names":false,"suffix":""},{"dropping-particle":"","family":"Нестерова","given":"Е.С.","non-dropping-particle":"","parse-names":false,"suffix":""},{"dropping-particle":"","family":"Горенкова","given":"Л.Г.","non-dropping-particle":"","parse-names":false,"suffix":""},{"dropping-particle":"","family":"Мисюрина","given":"А.Е.","non-dropping-particle":"","parse-names":false,"suffix":""},{"dropping-particle":"","family":"Марголин","given":"О.В.","non-dropping-particle":"","parse-names":false,"suffix":""},{"dropping-particle":"","family":"Кравченко","given":"С.К.","non-dropping-particle":"","parse-names":false,"suffix":""}],"container-title":"Клиническая онкогематология","id":"ITEM-6","issue":"3","issued":{"date-parts":[["2018"]]},"page":"220-226","title":"Первичная медиастинальная (тимическая) В-крупноклеточная лимфома: диагностика отдаленных экстрамедиастинальных поражений и возможности лечения","type":"article-journal","volume":"11"},"uris":["http://www.mendeley.com/documents/?uuid=80d180ed-4e73-48d0-83aa-df76d0de3f6c"]},{"id":"ITEM-7","itemData":{"DOI":"10.3109/10428190903216796","ISSN":"10428194","abstract":"Young patients (aged 1860 years) with good-prognosis diffuse large B-cell lymphoma (DLBCL) [0 and 1 risk factor according to age-adjusted international prognostic index (aa-IPI)] are distinguished from patients with poor-prognosis. Six cycles of cyclophosphamide, doxorubicin, vincristine, prednisone (CHOP) in combination with rituximab achieved best results in young patients with low-risk DLBCL. We retrospectively analyzed the data of 82 patients (1860 years) with untreated aa-IPI 01 DLBCL, from six Italian institutions, who underwent, between January 2002 and January 2007, rituximab-cyclophosphamide, doxorubicin, vincristine, methotrexate, bleomicin and prednisone (R-MACOP-B) therapy followed, in patients with bulky presentation, by 3036 Gy involved-field radiation therapy (34 patients). An overall response rate was noted in 77 out of 82 (94) patients (75 patients had a complete response (91), 2 patients had a partial response). With a median follow-up of 46 months, 7-year progression-free and overall survival were estimated to be 91 and 94, respectively. R-MACOP-B regimen followed by involved-field radiation on bulky presentation is safe and very effective in the treatment of young patients with low-risk DLBCL. © 2009 Informa Healthcare USA, Inc.","author":[{"dropping-particle":"","family":"Derenzini","given":"Enrico","non-dropping-particle":"","parse-names":false,"suffix":""},{"dropping-particle":"","family":"Stefoni","given":"Vittorio","non-dropping-particle":"","parse-names":false,"suffix":""},{"dropping-particle":"","family":"Pellegrini","given":"Cinzia","non-dropping-particle":"","parse-names":false,"suffix":""},{"dropping-particle":"","family":"Fina","given":"Maria Paola","non-dropping-particle":"","parse-names":false,"suffix":""},{"dropping-particle":"","family":"Broccoli","given":"Alessandro","non-dropping-particle":"","parse-names":false,"suffix":""},{"dropping-particle":"","family":"Venturini","given":"Filippo","non-dropping-particle":"","parse-names":false,"suffix":""},{"dropping-particle":"","family":"Gandolfi","given":"Letizia","non-dropping-particle":"","parse-names":false,"suffix":""},{"dropping-particle":"","family":"Pileri","given":"Stefano A.","non-dropping-particle":"","parse-names":false,"suffix":""},{"dropping-particle":"","family":"Martelli","given":"Maurizio","non-dropping-particle":"","parse-names":false,"suffix":""},{"dropping-particle":"","family":"Petti","given":"Maria Concetta","non-dropping-particle":"","parse-names":false,"suffix":""},{"dropping-particle":"","family":"Perrotti","given":"Alessio","non-dropping-particle":"","parse-names":false,"suffix":""},{"dropping-particle":"","family":"Renzo","given":"Amalia","non-dropping-particle":"De","parse-names":false,"suffix":""},{"dropping-particle":"","family":"Zaja","given":"Francesco","non-dropping-particle":"","parse-names":false,"suffix":""},{"dropping-particle":"","family":"Baccarani","given":"Michele","non-dropping-particle":"","parse-names":false,"suffix":""},{"dropping-particle":"","family":"Zinzani","given":"Pier Luigi","non-dropping-particle":"","parse-names":false,"suffix":""}],"container-title":"Leukemia and Lymphoma","id":"ITEM-7","issue":"11","issued":{"date-parts":[["2009","11"]]},"page":"1824-1829","publisher":"Taylor &amp; Francis","title":"Cyclophosphamide, doxorubicin, vincristine, methotrexate, bleomicin and prednisone plus rituximab in untreated young patients with low-risk (age-adjusted international prognostic index 01) diffuse large B-cell lymphoma","type":"article-journal","volume":"50"},"uris":["http://www.mendeley.com/documents/?uuid=951e19d5-4af0-3134-80eb-a4949fbd2f5c"]}],"mendeley":{"formattedCitation":"[65–71]","plainTextFormattedCitation":"[65–71]","previouslyFormattedCitation":"[65–71]"},"properties":{"noteIndex":0},"schema":"https://github.com/citation-style-language/schema/raw/master/csl-citation.json"}</w:instrText>
      </w:r>
      <w:r w:rsidRPr="000322E4">
        <w:fldChar w:fldCharType="separate"/>
      </w:r>
      <w:r w:rsidR="00C37789" w:rsidRPr="000322E4">
        <w:rPr>
          <w:noProof/>
        </w:rPr>
        <w:t>[65–71]</w:t>
      </w:r>
      <w:r w:rsidRPr="000322E4">
        <w:fldChar w:fldCharType="end"/>
      </w:r>
      <w:r w:rsidRPr="000322E4">
        <w:t>:</w:t>
      </w:r>
    </w:p>
    <w:p w14:paraId="3E7719D4" w14:textId="77777777" w:rsidR="00210FA0" w:rsidRPr="000322E4" w:rsidRDefault="00210FA0" w:rsidP="008A40EA">
      <w:pPr>
        <w:pStyle w:val="afe"/>
        <w:numPr>
          <w:ilvl w:val="1"/>
          <w:numId w:val="9"/>
        </w:numPr>
      </w:pPr>
      <w:r w:rsidRPr="000322E4">
        <w:rPr>
          <w:lang w:val="en-US"/>
        </w:rPr>
        <w:t>DA</w:t>
      </w:r>
      <w:r w:rsidRPr="000322E4">
        <w:t>-</w:t>
      </w:r>
      <w:r w:rsidRPr="000322E4">
        <w:rPr>
          <w:lang w:val="en-US"/>
        </w:rPr>
        <w:t>EPOCH</w:t>
      </w:r>
      <w:r w:rsidRPr="000322E4">
        <w:t>-</w:t>
      </w:r>
      <w:r w:rsidRPr="000322E4">
        <w:rPr>
          <w:lang w:val="en-US"/>
        </w:rPr>
        <w:t>R</w:t>
      </w:r>
    </w:p>
    <w:p w14:paraId="7A26A1F2" w14:textId="77777777" w:rsidR="00C36E4E" w:rsidRPr="000322E4" w:rsidRDefault="00210FA0" w:rsidP="008A40EA">
      <w:pPr>
        <w:pStyle w:val="afe"/>
        <w:numPr>
          <w:ilvl w:val="1"/>
          <w:numId w:val="9"/>
        </w:numPr>
      </w:pPr>
      <w:r w:rsidRPr="000322E4">
        <w:rPr>
          <w:lang w:val="en-US"/>
        </w:rPr>
        <w:t>R</w:t>
      </w:r>
      <w:r w:rsidRPr="000322E4">
        <w:t>-</w:t>
      </w:r>
      <w:r w:rsidRPr="000322E4">
        <w:rPr>
          <w:lang w:val="en-US"/>
        </w:rPr>
        <w:t>MACOP</w:t>
      </w:r>
      <w:r w:rsidRPr="000322E4">
        <w:t>-</w:t>
      </w:r>
      <w:r w:rsidRPr="000322E4">
        <w:rPr>
          <w:lang w:val="en-US"/>
        </w:rPr>
        <w:t>B</w:t>
      </w:r>
    </w:p>
    <w:p w14:paraId="371FA924" w14:textId="77777777" w:rsidR="00210FA0" w:rsidRPr="000322E4" w:rsidRDefault="00C36E4E" w:rsidP="008A40EA">
      <w:pPr>
        <w:pStyle w:val="afe"/>
        <w:numPr>
          <w:ilvl w:val="1"/>
          <w:numId w:val="9"/>
        </w:numPr>
      </w:pPr>
      <w:r w:rsidRPr="000322E4">
        <w:rPr>
          <w:lang w:val="en-US"/>
        </w:rPr>
        <w:t>R</w:t>
      </w:r>
      <w:r w:rsidR="00210FA0" w:rsidRPr="000322E4">
        <w:t>-</w:t>
      </w:r>
      <w:r w:rsidR="00210FA0" w:rsidRPr="000322E4">
        <w:rPr>
          <w:lang w:val="en-US"/>
        </w:rPr>
        <w:t>CHOP</w:t>
      </w:r>
    </w:p>
    <w:p w14:paraId="54A89707" w14:textId="77777777" w:rsidR="00210FA0" w:rsidRPr="000322E4" w:rsidRDefault="00210FA0" w:rsidP="008A40EA">
      <w:pPr>
        <w:ind w:left="709"/>
        <w:contextualSpacing/>
        <w:rPr>
          <w:b/>
        </w:rPr>
      </w:pPr>
      <w:r w:rsidRPr="000322E4">
        <w:rPr>
          <w:b/>
        </w:rPr>
        <w:t xml:space="preserve">Уровень убедительности рекомендаций </w:t>
      </w:r>
      <w:r w:rsidR="00834102" w:rsidRPr="000322E4">
        <w:rPr>
          <w:b/>
          <w:lang w:val="en-US"/>
        </w:rPr>
        <w:t>C</w:t>
      </w:r>
      <w:r w:rsidR="00834102" w:rsidRPr="000322E4">
        <w:rPr>
          <w:b/>
        </w:rPr>
        <w:t xml:space="preserve"> </w:t>
      </w:r>
      <w:r w:rsidRPr="000322E4">
        <w:rPr>
          <w:b/>
        </w:rPr>
        <w:t xml:space="preserve">(уровень достоверности доказательств </w:t>
      </w:r>
      <w:r w:rsidR="00834102" w:rsidRPr="000322E4">
        <w:rPr>
          <w:b/>
        </w:rPr>
        <w:t>4</w:t>
      </w:r>
      <w:r w:rsidRPr="000322E4">
        <w:rPr>
          <w:b/>
        </w:rPr>
        <w:t>).</w:t>
      </w:r>
    </w:p>
    <w:p w14:paraId="62B6D649" w14:textId="77777777" w:rsidR="00210FA0" w:rsidRPr="000322E4" w:rsidRDefault="00210FA0" w:rsidP="008A40EA">
      <w:pPr>
        <w:ind w:left="709"/>
        <w:contextualSpacing/>
        <w:rPr>
          <w:i/>
        </w:rPr>
      </w:pPr>
      <w:r w:rsidRPr="000322E4">
        <w:rPr>
          <w:b/>
        </w:rPr>
        <w:t>Комментарий:</w:t>
      </w:r>
      <w:r w:rsidRPr="000322E4">
        <w:rPr>
          <w:bCs/>
        </w:rPr>
        <w:t xml:space="preserve"> </w:t>
      </w:r>
      <w:r w:rsidR="002A607D" w:rsidRPr="000322E4">
        <w:rPr>
          <w:i/>
        </w:rPr>
        <w:t xml:space="preserve">эффективность и преимущества в достижении противоопухолевого ответа, показателей ВБП и ОВ режимов R-MACOP-B и R-DA-EPOCH над режимом </w:t>
      </w:r>
      <w:r w:rsidR="002A607D" w:rsidRPr="000322E4">
        <w:rPr>
          <w:i/>
          <w:lang w:val="en-US"/>
        </w:rPr>
        <w:t>R</w:t>
      </w:r>
      <w:r w:rsidR="002A607D" w:rsidRPr="000322E4">
        <w:rPr>
          <w:i/>
        </w:rPr>
        <w:t>-</w:t>
      </w:r>
      <w:r w:rsidR="002A607D" w:rsidRPr="000322E4">
        <w:rPr>
          <w:i/>
          <w:lang w:val="en-US"/>
        </w:rPr>
        <w:t>CHOP</w:t>
      </w:r>
      <w:r w:rsidR="002A607D" w:rsidRPr="000322E4">
        <w:rPr>
          <w:i/>
        </w:rPr>
        <w:t xml:space="preserve"> продемонстрированы в нескольких международных и отечественных проспективных и ретроспективных исследованиях. Программа R-MACOP-B рассчитана для использования в условиях дневного стационара.</w:t>
      </w:r>
    </w:p>
    <w:p w14:paraId="1B479A32" w14:textId="77777777" w:rsidR="002A607D" w:rsidRPr="000322E4" w:rsidRDefault="002A607D" w:rsidP="008A40EA">
      <w:pPr>
        <w:pStyle w:val="afff8"/>
        <w:spacing w:before="0"/>
      </w:pPr>
      <w:r w:rsidRPr="000322E4">
        <w:t xml:space="preserve">Пациентам с установленным диагнозом ПМВКЛ с исходным массивным поражением средостения </w:t>
      </w:r>
      <w:r w:rsidR="009375D9" w:rsidRPr="000322E4">
        <w:t xml:space="preserve">в случае достижения ремиссии после индукционной химиотерапии </w:t>
      </w:r>
      <w:r w:rsidRPr="000322E4">
        <w:rPr>
          <w:b/>
        </w:rPr>
        <w:t xml:space="preserve">рекомендовано </w:t>
      </w:r>
      <w:r w:rsidRPr="000322E4">
        <w:rPr>
          <w:bCs/>
        </w:rPr>
        <w:t>проведение</w:t>
      </w:r>
      <w:r w:rsidRPr="000322E4">
        <w:t xml:space="preserve"> консолидирующей</w:t>
      </w:r>
      <w:r w:rsidR="00260AFA" w:rsidRPr="000322E4">
        <w:t xml:space="preserve"> дистанционной</w:t>
      </w:r>
      <w:r w:rsidRPr="000322E4">
        <w:t xml:space="preserve"> лучевой терапии на средостение</w:t>
      </w:r>
      <w:r w:rsidR="009375D9" w:rsidRPr="000322E4">
        <w:t xml:space="preserve"> СОД 30 Гр, РОД 1,8-2,0 Гр, при сохранении остаточной опухоли в средостении – с добавлением «буста» СОД 6-10 Гр на остаточную опухоль</w:t>
      </w:r>
      <w:r w:rsidRPr="000322E4">
        <w:t xml:space="preserve"> </w:t>
      </w:r>
      <w:r w:rsidRPr="000322E4">
        <w:fldChar w:fldCharType="begin" w:fldLock="1"/>
      </w:r>
      <w:r w:rsidR="00C37789" w:rsidRPr="000322E4">
        <w:instrText>ADDIN CSL_CITATION {"citationItems":[{"id":"ITEM-1","itemData":{"DOI":"10.3816/CLM.2009.n.074","ISSN":"15579190","abstract":"Background: Third-generation regimens (MACOP-B [methotrexate/leucovorin (LV)/doxorubicin/cyclophosphamide/vincristine/ prednisone/bleomycin] or VACOP-B [etoposide/LV/doxorubicin/cyclophosphamide/vincristine/prednisone/bleomycin]) in combination with local radiation therapy seem to improve lymphoma-free survival of primary mediastinal large B-cell lymphoma (PMLBCL). Recently, the superiority of R-CHOP (rituximab plus cyclophosphamide/doxorubicin/vincristine/ prednisone) over CHOP-like regimens has been demonstrated in elderly and younger patients with low-risk diffuse large B-cell lymphoma. Patients and Methods: Retrospectively, between February 2002 and July 2006, 45 previously untreated patients with PMLBCL were treated with a combination of a third-generation chemotherapy regimen (MACOP-B or VACOP-B), concurrent rituximab, and mediastinal radiation therapy. Results: Twenty-six (62%) patients achieved a complete response (CR), and 15 (36%) obtained a partial response after MACOP-B/VACOP-B plus rituximab. After radiation therapy, the CR rate was 80%. At a median follow-up of 28 months, among the 34 patients who obtained a CR, 3 relapsed after 16, 19, and 22 months, respectively. Projected overall survival was 80% at 5 years; the relapse-free survival (RFS) curve of the 34 patients who achieved CR was 88% at 5 years. Conclusion: In this retrospective study, in patients with PMLBCL, combined-modality treatment using the MACOP-B/VACOP-B regimen plus rituximab induces a high remission rate, with patients having a &gt; 80% chance of surviving relapse free at 5 years. In comparison with historical data on MACOP-B/VACOP-B without rituximab, there are no statistically significant differences in terms of CR and RFS rates.","author":[{"dropping-particle":"","family":"Zinzani","given":"Pier Luigi","non-dropping-particle":"","parse-names":false,"suffix":""},{"dropping-particle":"","family":"Stefoni","given":"Vittorio","non-dropping-particle":"","parse-names":false,"suffix":""},{"dropping-particle":"","family":"Finolezzi","given":"Erica","non-dropping-particle":"","parse-names":false,"suffix":""},{"dropping-particle":"","family":"Brusamolino","given":"Ercole","non-dropping-particle":"","parse-names":false,"suffix":""},{"dropping-particle":"","family":"Cabras","given":"Maria Giuseppina","non-dropping-particle":"","parse-names":false,"suffix":""},{"dropping-particle":"","family":"Chiappella","given":"Annalisa","non-dropping-particle":"","parse-names":false,"suffix":""},{"dropping-particle":"","family":"Salvi","given":"Flavia","non-dropping-particle":"","parse-names":false,"suffix":""},{"dropping-particle":"","family":"Rossi","given":"Andrea","non-dropping-particle":"","parse-names":false,"suffix":""},{"dropping-particle":"","family":"Broccoli","given":"Alessandro","non-dropping-particle":"","parse-names":false,"suffix":""},{"dropping-particle":"","family":"Martelli","given":"Maurizio","non-dropping-particle":"","parse-names":false,"suffix":""}],"container-title":"Clinical Lymphoma and Myeloma","id":"ITEM-1","issue":"5","issued":{"date-parts":[["2009","10","1"]]},"page":"381-385","publisher":"Cancer Information Group, LP","title":"Rituximab combined with MACOP-B or VACOP-B and radiation therapy in primary mediastinal large B-cell lymphoma: A retrospective study","type":"article-journal","volume":"9"},"uris":["http://www.mendeley.com/documents/?uuid=a12eb4c5-b379-3abf-9bab-bdd4fd30fd75"]},{"id":"ITEM-2","itemData":{"author":[{"dropping-particle":"","family":"Вернюк","given":"М.А.","non-dropping-particle":"","parse-names":false,"suffix":""},{"dropping-particle":"","family":"Тюрина","given":"Н.Г.","non-dropping-particle":"","parse-names":false,"suffix":""},{"dropping-particle":"","family":"Павлова","given":"О.А.","non-dropping-particle":"","parse-names":false,"suffix":""},{"dropping-particle":"","family":"Червонцева","given":"А.М.","non-dropping-particle":"","parse-names":false,"suffix":""},{"dropping-particle":"","family":"Жуков","given":"Н.В.","non-dropping-particle":"","parse-names":false,"suffix":""}],"container-title":"Онкогематология","id":"ITEM-2","issued":{"date-parts":[["2013"]]},"page":"18-23","title":"Опыт лечения первичной медиастинальной В-крупноклеточной лимфомы","type":"article-journal","volume":"4"},"uris":["http://www.mendeley.com/documents/?uuid=ba22f72c-afee-41ab-a4fe-c98c71096551"]},{"id":"ITEM-3","itemData":{"author":[{"dropping-particle":"","family":"Тумян","given":"Г.С.","non-dropping-particle":"","parse-names":false,"suffix":""}],"container-title":"Современная онкология","id":"ITEM-3","issue":"3","issued":{"date-parts":[["2008"]]},"page":"66-68","title":"Первичная медиастинальная В-крупноклеточная лимфома: диагностика, клиническая картина и лечение","type":"article-journal","volume":"10"},"uris":["http://www.mendeley.com/documents/?uuid=1ecdd8f8-1b2f-4452-b7b0-134663b7c18f"]},{"id":"ITEM-4","itemData":{"DOI":"10.1056/NEJMoa1214561","ISSN":"15334406","abstract":"BACKGROUND: Primary mediastinal B-cell lymphoma is a distinct subtype of diffuse large-B-cell lymphoma that is closely related to nodular sclerosing Hodgkin's lymphoma. Patients are usually young and present with large mediastinal masses. There is no standard treatment, but the inadequacy of immunochemotherapy alone has resulted in routine consolidation with mediastinal radiotherapy, which has potentially serious late effects. We aimed to develop a strategy that improves the rate of cure and obviates the need for radiotherapy. METHODS: We conducted a single-group, phase 2, prospective study of infusional dose-adjusted etoposide, doxorubicin, and cyclophosphamide with vincristine, prednisone, and rituximab (DA-EPOCH-R) and filgrastim without radiotherapy in 51 patients with untreated primary mediastinal B-cell lymphoma. We used results from a retrospective study of DA-EPOCH-R from another center to independently verify the outcomes. RESULTS: The patients had a median age of 30 years (range, 19 to 52) and a median tumor diameter of 11 cm; 59% were women. During a median of 5 years of follow-up, the event-free survival rate was 93%, and the overall survival rate was 97%. Among the 16 patients who were involved in the retrospective analysis at another center, over a median of 3 years of follow-up, the event-free survival rate was 100%, and no patients received radiotherapy. No late morbidity or cardiac toxic effects were found in any patients. After follow-up ranging from 10 months to 14 years, all but 2 of the 51 patients (4%) who received DA-EPOCH-R alone were in complete remission. The 2 remaining patients received radiotherapy and were disease-free at follow-up. CONCLUSIONS: Therapy with DA-EPOCH-R obviated the need for radiotherapy in patients with primary mediastinal B-cell lymphoma. (Funded by the National Cancer Institute; ClinicalTrials.gov number, NCT00001337.) Copyright © 2013 Massachusetts Medical Society.","author":[{"dropping-particle":"","family":"Dunleavy","given":"Kieron","non-dropping-particle":"","parse-names":false,"suffix":""},{"dropping-particle":"","family":"Pittaluga","given":"Stefania","non-dropping-particle":"","parse-names":false,"suffix":""},{"dropping-particle":"","family":"Maeda","given":"Lauren S.","non-dropping-particle":"","parse-names":false,"suffix":""},{"dropping-particle":"","family":"Advani","given":"Ranjana","non-dropping-particle":"","parse-names":false,"suffix":""},{"dropping-particle":"","family":"Chen","given":"Clara C.","non-dropping-particle":"","parse-names":false,"suffix":""},{"dropping-particle":"","family":"Hessler","given":"Julie","non-dropping-particle":"","parse-names":false,"suffix":""},{"dropping-particle":"","family":"Steinberg","given":"Seth M.","non-dropping-particle":"","parse-names":false,"suffix":""},{"dropping-particle":"","family":"Grant","given":"Cliona","non-dropping-particle":"","parse-names":false,"suffix":""},{"dropping-particle":"","family":"Wright","given":"George","non-dropping-particle":"","parse-names":false,"suffix":""},{"dropping-particle":"","family":"Varma","given":"Gaurav","non-dropping-particle":"","parse-names":false,"suffix":""},{"dropping-particle":"","family":"Staudt","given":"Louis M.","non-dropping-particle":"","parse-names":false,"suffix":""},{"dropping-particle":"","family":"Jaffe","given":"Elaine S.","non-dropping-particle":"","parse-names":false,"suffix":""},{"dropping-particle":"","family":"Wilson","given":"Wyndham H.","non-dropping-particle":"","parse-names":false,"suffix":""}],"container-title":"New England Journal of Medicine","id":"ITEM-4","issue":"15","issued":{"date-parts":[["2013","4","11"]]},"page":"1408-1416","publisher":"Massachussetts Medical Society","title":"Dose-adjusted EPOCH-rituximab therapy in primary mediastinal B-cell lymphoma","type":"article-journal","volume":"368"},"uris":["http://www.mendeley.com/documents/?uuid=ab2bf952-eead-3cc2-82f7-59d922c2fd09"]},{"id":"ITEM-5","itemData":{"DOI":"10.1002/cam4.2347","ISSN":"20457634","abstract":"Primary mediastinal large B-cell lymphoma (PMBCL) is a distinct clinico-pathological subtype of diffuse large B-cell lymphoma with unclear prognostic factors and limited clinical data. Optimal treatment and role for radiotherapy is not fully defined. We performed a multicenter retrospective review of 124 patients with newly diagnosed PMBCL between 2001 and 2016. Treatment regimens were R-CHOP (n = 41), R-CHOP + RT (n = 37), and DA-EPOCH-R (n = 46). 6% (n = 3) in the DA-EPOCH-R group received RT. With a median follow up of 45 months, the overall 5-year OS and PFS was 89.4% and 82.4%, respectively. The type of chemo-radiotherapy regimen, B symptoms and Ann-Arbor staging showed a significant association with OS on univariate analysis but only B symptoms remained prognostic (P = 0.012) after multivariate analysis. The chemo-radiotherapy regimen, Japanese IPI and Ann-Arbor stage was significantly associated with PFS in univariate analysis, but only chemo-radiotherapy regimen remained significant (P = 0.02) after multivariate analysis. Patients who received R-CHOP + RT or DA-EPOCH-R had better PFS than those receiving R-CHOP alone, with 5-year PFS of 90% vs 88.5% vs 56%, respectively (P = 0.02). In the subgroup analysis of patients with bulk (n = 71), R-CHOP alone (n = 21) had inferior 5-year PFS 56.6% compared to those who received R-CHOP + RT (n = 23) 91.3% or DA-EPOCH-R (n = 27) 92.6% (P = 0.007). In contrast, in patients without bulk (n = 42), there was no impact of treatment regimen on PFS (P = 0.25). In conclusion, R-CHOP + RT and DA-EPOCH-R provide excellent outcomes in patients with PMBCL. In patients with bulky disease, the use of DA-EPOCH-R may be preferable as it allows omission of RT without reduction in efficacy.","author":[{"dropping-particle":"","family":"Chan","given":"Esther Hian Li","non-dropping-particle":"","parse-names":false,"suffix":""},{"dropping-particle":"","family":"Koh","given":"Liang Piu","non-dropping-particle":"","parse-names":false,"suffix":""},{"dropping-particle":"","family":"Lee","given":"Joanne","non-dropping-particle":"","parse-names":false,"suffix":""},{"dropping-particle":"","family":"Mel","given":"Sanjay","non-dropping-particle":"De","parse-names":false,"suffix":""},{"dropping-particle":"","family":"Jeyasekharan","given":"Anand","non-dropping-particle":"","parse-names":false,"suffix":""},{"dropping-particle":"","family":"Liu","given":"Xin","non-dropping-particle":"","parse-names":false,"suffix":""},{"dropping-particle":"","family":"Tang","given":"Tiffany","non-dropping-particle":"","parse-names":false,"suffix":""},{"dropping-particle":"","family":"Lim","given":"Soon Thye","non-dropping-particle":"","parse-names":false,"suffix":""},{"dropping-particle":"","family":"Tao","given":"Miriam","non-dropping-particle":"","parse-names":false,"suffix":""},{"dropping-particle":"","family":"Quek","given":"Richard","non-dropping-particle":"","parse-names":false,"suffix":""},{"dropping-particle":"","family":"Farid Bin Harunal Ras","given":"Mohamad","non-dropping-particle":"","parse-names":false,"suffix":""},{"dropping-particle":"","family":"Lee","given":"Yuh Shan","non-dropping-particle":"","parse-names":false,"suffix":""},{"dropping-particle":"","family":"Diong","given":"Colin","non-dropping-particle":"","parse-names":false,"suffix":""},{"dropping-particle":"","family":"Tan","given":"Daryl","non-dropping-particle":"","parse-names":false,"suffix":""},{"dropping-particle":"","family":"Kim","given":"Seok Jin","non-dropping-particle":"","parse-names":false,"suffix":""},{"dropping-particle":"","family":"Chee","given":"Yen Lin","non-dropping-particle":"","parse-names":false,"suffix":""},{"dropping-particle":"","family":"Poon","given":"Li Mei Michelle","non-dropping-particle":"","parse-names":false,"suffix":""}],"container-title":"Cancer Medicine","id":"ITEM-5","issue":"10","issued":{"date-parts":[["2019","8"]]},"page":"4626-4632","publisher":"Blackwell Publishing Ltd","title":"Real world experience of R-CHOP with or without consolidative radiotherapy vs DA-EPOCH-R in the first-line treatment of primary mediastinal B-cell lymphoma","type":"article-journal","volume":"8"},"uris":["http://www.mendeley.com/documents/?uuid=763b4824-ca36-31a1-ba2b-44186d6ea483"]},{"id":"ITEM-6","itemData":{"author":[{"dropping-particle":"","family":"Мангасарова","given":"Я.К.","non-dropping-particle":"","parse-names":false,"suffix":""},{"dropping-particle":"","family":"Магомедова","given":"А.У.","non-dropping-particle":"","parse-names":false,"suffix":""},{"dropping-particle":"","family":"Ковригина","given":"А.М.","non-dropping-particle":"","parse-names":false,"suffix":""},{"dropping-particle":"","family":"Костина","given":"И.Э.","non-dropping-particle":"","parse-names":false,"suffix":""},{"dropping-particle":"","family":"Нестерова","given":"Е.С.","non-dropping-particle":"","parse-names":false,"suffix":""},{"dropping-particle":"","family":"Горенкова","given":"Л.Г.","non-dropping-particle":"","parse-names":false,"suffix":""},{"dropping-particle":"","family":"Мисюрина","given":"А.Е.","non-dropping-particle":"","parse-names":false,"suffix":""},{"dropping-particle":"","family":"Марголин","given":"О.В.","non-dropping-particle":"","parse-names":false,"suffix":""},{"dropping-particle":"","family":"Кравченко","given":"С.К.","non-dropping-particle":"","parse-names":false,"suffix":""}],"container-title":"Клиническая онкогематология","id":"ITEM-6","issue":"3","issued":{"date-parts":[["2018"]]},"page":"220-226","title":"Первичная медиастинальная (тимическая) В-крупноклеточная лимфома: диагностика отдаленных экстрамедиастинальных поражений и возможности лечения","type":"article-journal","volume":"11"},"uris":["http://www.mendeley.com/documents/?uuid=80d180ed-4e73-48d0-83aa-df76d0de3f6c"]}],"mendeley":{"formattedCitation":"[65–70]","plainTextFormattedCitation":"[65–70]","previouslyFormattedCitation":"[65–70]"},"properties":{"noteIndex":0},"schema":"https://github.com/citation-style-language/schema/raw/master/csl-citation.json"}</w:instrText>
      </w:r>
      <w:r w:rsidRPr="000322E4">
        <w:fldChar w:fldCharType="separate"/>
      </w:r>
      <w:r w:rsidR="00C37789" w:rsidRPr="000322E4">
        <w:rPr>
          <w:noProof/>
        </w:rPr>
        <w:t>[65–70]</w:t>
      </w:r>
      <w:r w:rsidRPr="000322E4">
        <w:fldChar w:fldCharType="end"/>
      </w:r>
      <w:r w:rsidRPr="000322E4">
        <w:t>.</w:t>
      </w:r>
    </w:p>
    <w:p w14:paraId="24F32451" w14:textId="77777777" w:rsidR="002A607D" w:rsidRPr="000322E4" w:rsidRDefault="002A607D" w:rsidP="008A40EA">
      <w:pPr>
        <w:ind w:left="709"/>
        <w:contextualSpacing/>
        <w:rPr>
          <w:b/>
        </w:rPr>
      </w:pPr>
      <w:r w:rsidRPr="000322E4">
        <w:rPr>
          <w:b/>
        </w:rPr>
        <w:t xml:space="preserve">Уровень убедительности рекомендаций </w:t>
      </w:r>
      <w:r w:rsidR="00834102" w:rsidRPr="000322E4">
        <w:rPr>
          <w:b/>
          <w:lang w:val="en-US"/>
        </w:rPr>
        <w:t>C</w:t>
      </w:r>
      <w:r w:rsidR="00834102" w:rsidRPr="000322E4">
        <w:rPr>
          <w:b/>
        </w:rPr>
        <w:t xml:space="preserve"> </w:t>
      </w:r>
      <w:r w:rsidRPr="000322E4">
        <w:rPr>
          <w:b/>
        </w:rPr>
        <w:t xml:space="preserve">(уровень достоверности доказательств </w:t>
      </w:r>
      <w:r w:rsidR="00834102" w:rsidRPr="000322E4">
        <w:rPr>
          <w:b/>
        </w:rPr>
        <w:t>4</w:t>
      </w:r>
      <w:r w:rsidRPr="000322E4">
        <w:rPr>
          <w:b/>
        </w:rPr>
        <w:t>).</w:t>
      </w:r>
    </w:p>
    <w:p w14:paraId="1EC4FB17" w14:textId="77777777" w:rsidR="002A607D" w:rsidRPr="000322E4" w:rsidRDefault="002A607D" w:rsidP="008A40EA">
      <w:pPr>
        <w:pStyle w:val="2"/>
        <w:spacing w:before="0"/>
        <w:contextualSpacing/>
      </w:pPr>
      <w:bookmarkStart w:id="39" w:name="_Toc66096825"/>
      <w:r w:rsidRPr="000322E4">
        <w:t>3.</w:t>
      </w:r>
      <w:r w:rsidR="00260AFA" w:rsidRPr="000322E4">
        <w:t>3</w:t>
      </w:r>
      <w:r w:rsidRPr="000322E4">
        <w:t xml:space="preserve"> </w:t>
      </w:r>
      <w:r w:rsidR="00716437" w:rsidRPr="000322E4">
        <w:t>Лечение первичной лимфомы ЦНС (ПЛЦНС)</w:t>
      </w:r>
      <w:bookmarkEnd w:id="39"/>
    </w:p>
    <w:p w14:paraId="05E155A9" w14:textId="77777777" w:rsidR="00716437" w:rsidRPr="000322E4" w:rsidRDefault="00716437" w:rsidP="008A40EA">
      <w:pPr>
        <w:pStyle w:val="afff8"/>
        <w:spacing w:before="0"/>
      </w:pPr>
      <w:r w:rsidRPr="000322E4">
        <w:t xml:space="preserve">Пациентам с впервые верифицированной ПЛЦНС </w:t>
      </w:r>
      <w:r w:rsidRPr="000322E4">
        <w:rPr>
          <w:b/>
        </w:rPr>
        <w:t xml:space="preserve">рекомендовано </w:t>
      </w:r>
      <w:r w:rsidR="00101F95" w:rsidRPr="000322E4">
        <w:t>лечени</w:t>
      </w:r>
      <w:r w:rsidR="00A6186F" w:rsidRPr="000322E4">
        <w:t>е</w:t>
      </w:r>
      <w:r w:rsidR="00101F95" w:rsidRPr="000322E4">
        <w:t xml:space="preserve"> с включением высоких доз метотрексата** (≥3000 мг/м</w:t>
      </w:r>
      <w:r w:rsidR="00101F95" w:rsidRPr="000322E4">
        <w:rPr>
          <w:vertAlign w:val="superscript"/>
        </w:rPr>
        <w:t>2</w:t>
      </w:r>
      <w:r w:rsidR="00101F95" w:rsidRPr="000322E4">
        <w:t xml:space="preserve">)  </w:t>
      </w:r>
      <w:r w:rsidRPr="000322E4">
        <w:t>(см. приложение А3.1)</w:t>
      </w:r>
      <w:r w:rsidR="00101F95" w:rsidRPr="000322E4">
        <w:t xml:space="preserve"> </w:t>
      </w:r>
      <w:r w:rsidRPr="000322E4">
        <w:rPr>
          <w:b/>
        </w:rPr>
        <w:t xml:space="preserve"> </w:t>
      </w:r>
      <w:r w:rsidRPr="000322E4">
        <w:fldChar w:fldCharType="begin" w:fldLock="1"/>
      </w:r>
      <w:r w:rsidR="00C37789" w:rsidRPr="000322E4">
        <w:instrText>ADDIN CSL_CITATION {"citationItems":[{"id":"ITEM-1","itemData":{"DOI":"10.1016/S1470-2045(10)70229-1","ISSN":"14702045","abstract":"Background: High-dose methotrexate is the standard of care for patients with newly diagnosed primary CNS lymphoma. The role of whole brain radiotherapy is controversial because delayed neurotoxicity limits its acceptance as a standard of care. We aimed to investigate whether first-line chemotherapy based on high-dose methotrexate was non-inferior to the same chemotherapy regimen followed by whole brain radiotherapy for overall survival. Methods: Immunocompetent patients with newly diagnosed primary CNS lymphoma were enrolled from 75 centres and treated between May, 2000, and May, 2009. Patients were allocated by computer-generated block randomisation to receive first-line chemotherapy based on high-dose methotrexate with or without subsequent whole brain radiotherapy, with stratification by age (&lt;60 vs ≥60 years) and institution (Berlin vs Tübingen vs all other sites). The biostatistics centre assigned patients to treatment groups and informed local centres by fax; physicians and patients were not masked to treatment group after assignment. Patients enrolled between May, 2000, and August, 2006, received high-dose methotrexate (4 g/m2) on day 1 of six 14-day cycles; thereafter, patients received high-dose methotrexate plus ifosfamide (1·5 g/m2) on days 3-5 of six 14-day cycles. In those assigned to receive first-line chemotherapy followed by radiotherapy, whole brain radiotherapy was given to a total dose of 45 Gy, in 30 fractions of 1·5 Gy given daily on weekdays. Patients allocated to first-line chemotherapy without whole brain radiotherapy who had not achieved complete response were given high-dose cytarabine. The primary endpoint was overall survival, and analysis was per protocol. Our hypothesis was that the omission of whole brain radiotherapy does not compromise overall survival, with a non-inferiority margin of 0·9. This trial is registered with ClinicalTrials.gov, number NCT00153530. Findings: 551 patients (median age 63 years, IQR 55-69) were enrolled and randomised, of whom 318 were treated per protocol. In the per-protocol population, median overall survival was 32·4 months (95% CI 25·8-39·0) in patients receiving whole brain radiotherapy (n=154), and 37·1 months (27·5-46·7) in those not receiving whole brain radiotherapy (n=164), hazard ratio 1·06 (95% CI 0·80-1·40; p=0·71). Thus our primary hypothesis was not proven. Median progression-free survival was 18·3 months (95% CI 11·6-25·0) in patients receiving whole brain radiotherapy, and 11·9 …","author":[{"dropping-particle":"","family":"Thiel","given":"Eckhard","non-dropping-particle":"","parse-names":false,"suffix":""},{"dropping-particle":"","family":"Korfel","given":"Agnieszka","non-dropping-particle":"","parse-names":false,"suffix":""},{"dropping-particle":"","family":"Martus","given":"Peter","non-dropping-particle":"","parse-names":false,"suffix":""},{"dropping-particle":"","family":"Kanz","given":"Lothar","non-dropping-particle":"","parse-names":false,"suffix":""},{"dropping-particle":"","family":"Griesinger","given":"Frank","non-dropping-particle":"","parse-names":false,"suffix":""},{"dropping-particle":"","family":"Rauch","given":"Michael","non-dropping-particle":"","parse-names":false,"suffix":""},{"dropping-particle":"","family":"Röth","given":"Alexander","non-dropping-particle":"","parse-names":false,"suffix":""},{"dropping-particle":"","family":"Hertenstein","given":"Bernd","non-dropping-particle":"","parse-names":false,"suffix":""},{"dropping-particle":"","family":"Toll","given":"Theda","non-dropping-particle":"von","parse-names":false,"suffix":""},{"dropping-particle":"","family":"Hundsberger","given":"Thomas","non-dropping-particle":"","parse-names":false,"suffix":""},{"dropping-particle":"","family":"Mergenthaler","given":"Hans Günther","non-dropping-particle":"","parse-names":false,"suffix":""},{"dropping-particle":"","family":"Leithäuser","given":"Malte","non-dropping-particle":"","parse-names":false,"suffix":""},{"dropping-particle":"","family":"Birnbaum","given":"Tobias","non-dropping-particle":"","parse-names":false,"suffix":""},{"dropping-particle":"","family":"Fischer","given":"Lars","non-dropping-particle":"","parse-names":false,"suffix":""},{"dropping-particle":"","family":"Jahnke","given":"Kristoph","non-dropping-particle":"","parse-names":false,"suffix":""},{"dropping-particle":"","family":"Herrlinger","given":"Ulrich","non-dropping-particle":"","parse-names":false,"suffix":""},{"dropping-particle":"","family":"Plasswilm","given":"Ludwig","non-dropping-particle":"","parse-names":false,"suffix":""},{"dropping-particle":"","family":"Nägele","given":"Thomas","non-dropping-particle":"","parse-names":false,"suffix":""},{"dropping-particle":"","family":"Pietsch","given":"Torsten","non-dropping-particle":"","parse-names":false,"suffix":""},{"dropping-particle":"","family":"Bamberg","given":"Michael","non-dropping-particle":"","parse-names":false,"suffix":""},{"dropping-particle":"","family":"Weller","given":"Michael","non-dropping-particle":"","parse-names":false,"suffix":""}],"container-title":"The Lancet Oncology","id":"ITEM-1","issue":"11","issued":{"date-parts":[["2010","11"]]},"page":"1036-1047","title":"High-dose methotrexate with or without whole brain radiotherapy for primary CNS lymphoma (G-PCNSL-SG-1): a phase 3, randomised, non-inferiority trial","type":"article-journal","volume":"11"},"uris":["http://www.mendeley.com/documents/?uuid=4f8cf043-3a2a-35c6-b4f9-c28df8d2d84a"]},{"id":"ITEM-2","itemData":{"DOI":"10.1016/S0140-6736(09)61416-1","ISSN":"01406736","abstract":"Background: Chemotherapy with high-dose methotrexate is the conventional approach to treat primary CNS lymphomas, but superiority of polychemotherapy compared with high-dose methotrexate alone is unproven. We assessed the effect of adding high-dose cytarabine to methotrexate in patients with newly diagnosed primary CNS lymphoma. Methods: This open, randomised, phase 2 trial was undertaken in 24 centres in six countries. 79 patients with non-Hodgkin lymphoma exclusively localised into the CNS, cranial nerves, or eyes, aged 18-75 years, and with Eastern Cooperative Oncology Group performance status of 3 or lower and measurable disease were centrally randomly assigned by computer to receive four courses of either methotrexate 3·5 g/m2 on day 1 (n=40) or methotrexate 3·5 g/m2 on day 1 plus cytarabine 2 g/m2 twice a day on days 2-3 (n=39). Both regimens were administered every 3 weeks and were followed by whole-brain irradiation. The primary endpoint was complete remission rate after chemotherapy. Analysis was by intention to treat. This study is registered with ClinicalTrials.gov, number NCT00210314. Findings: All randomly assigned participants were analysed. After chemotherapy, seven patients given methotrexate and 18 given methotrexate plus cytarabine achieved a complete remission, with a complete remission rate of 18% (95% CI 6-30) and 46% (31-61), respectively, (p=0·006). Nine patients receiving methotrexate and nine receiving methotrexate plus cytarabine achieved a partial response, with an overall response rate of 40% (25-55) and 69% (55-83), respectively, (p=0·009). Grade 3-4 haematological toxicity was more common in the methotrexate plus cytarabine group than in the methotrexate group (36 [92%] vs six [15%]). Four patients died of toxic effects (three vs one). Interpretation: In patients aged 75 years and younger with primary CNS lymphoma, the addition of high-dose cytarabine to high-dose methotrexate provides improved outcome with acceptable toxicity compared with high-dose methotrexate alone. Funding: Swiss Cancer League. © 2009 Elsevier Ltd. All rights reserved.","author":[{"dropping-particle":"","family":"Ferreri","given":"Andrés JM","non-dropping-particle":"","parse-names":false,"suffix":""},{"dropping-particle":"","family":"Reni","given":"Michele","non-dropping-particle":"","parse-names":false,"suffix":""},{"dropping-particle":"","family":"Foppoli","given":"Marco","non-dropping-particle":"","parse-names":false,"suffix":""},{"dropping-particle":"","family":"Martelli","given":"Maurizio","non-dropping-particle":"","parse-names":false,"suffix":""},{"dropping-particle":"","family":"Pangalis","given":"Gerasimus A.","non-dropping-particle":"","parse-names":false,"suffix":""},{"dropping-particle":"","family":"Frezzato","given":"Maurizio","non-dropping-particle":"","parse-names":false,"suffix":""},{"dropping-particle":"","family":"Cabras","given":"Maria Giuseppina","non-dropping-particle":"","parse-names":false,"suffix":""},{"dropping-particle":"","family":"Fabbri","given":"Alberto","non-dropping-particle":"","parse-names":false,"suffix":""},{"dropping-particle":"","family":"Corazzelli","given":"Gaetano","non-dropping-particle":"","parse-names":false,"suffix":""},{"dropping-particle":"","family":"Ilariucci","given":"Fiorella","non-dropping-particle":"","parse-names":false,"suffix":""},{"dropping-particle":"","family":"Rossi","given":"Giuseppe","non-dropping-particle":"","parse-names":false,"suffix":""},{"dropping-particle":"","family":"Soffietti","given":"Riccardo","non-dropping-particle":"","parse-names":false,"suffix":""},{"dropping-particle":"","family":"Stelitano","given":"Caterina","non-dropping-particle":"","parse-names":false,"suffix":""},{"dropping-particle":"","family":"Vallisa","given":"Daniele","non-dropping-particle":"","parse-names":false,"suffix":""},{"dropping-particle":"","family":"Zaja","given":"Francesco","non-dropping-particle":"","parse-names":false,"suffix":""},{"dropping-particle":"","family":"Zoppegno","given":"Lucía","non-dropping-particle":"","parse-names":false,"suffix":""},{"dropping-particle":"","family":"Aondio","given":"Gian Marco","non-dropping-particle":"","parse-names":false,"suffix":""},{"dropping-particle":"","family":"Avvisati","given":"Giuseppe","non-dropping-particle":"","parse-names":false,"suffix":""},{"dropping-particle":"","family":"Balzarotti","given":"Monica","non-dropping-particle":"","parse-names":false,"suffix":""},{"dropping-particle":"","family":"Brandes","given":"Alba A.","non-dropping-particle":"","parse-names":false,"suffix":""},{"dropping-particle":"","family":"Fajardo","given":"José","non-dropping-particle":"","parse-names":false,"suffix":""},{"dropping-particle":"","family":"Gomez","given":"Henry","non-dropping-particle":"","parse-names":false,"suffix":""},{"dropping-particle":"","family":"Guarini","given":"Attilio","non-dropping-particle":"","parse-names":false,"suffix":""},{"dropping-particle":"","family":"Pinotti","given":"Graziella","non-dropping-particle":"","parse-names":false,"suffix":""},{"dropping-particle":"","family":"Rigacci","given":"Luigi","non-dropping-particle":"","parse-names":false,"suffix":""},{"dropping-particle":"","family":"Uhlmann","given":"Catrina","non-dropping-particle":"","parse-names":false,"suffix":""},{"dropping-particle":"","family":"Picozzi","given":"Piero","non-dropping-particle":"","parse-names":false,"suffix":""},{"dropping-particle":"","family":"Vezzulli","given":"Paolo","non-dropping-particle":"","parse-names":false,"suffix":""},{"dropping-particle":"","family":"Ponzoni","given":"Maurilio","non-dropping-particle":"","parse-names":false,"suffix":""},{"dropping-particle":"","family":"Zucca","given":"Emanuele","non-dropping-particle":"","parse-names":false,"suffix":""},{"dropping-particle":"","family":"Caligaris-Cappio","given":"Federico","non-dropping-particle":"","parse-names":false,"suffix":""},{"dropping-particle":"","family":"Cavalli","given":"Franco","non-dropping-particle":"","parse-names":false,"suffix":""}],"container-title":"The Lancet","id":"ITEM-2","issue":"9700","issued":{"date-parts":[["2009"]]},"page":"1512-1520","title":"High-dose cytarabine plus high-dose methotrexate versus high-dose methotrexate alone in patients with primary CNS lymphoma: a randomised phase 2 trial","type":"article-journal","volume":"374"},"uris":["http://www.mendeley.com/documents/?uuid=ff6c34eb-65ed-333e-878d-5d30c9dd2ebd"]},{"id":"ITEM-3","itemData":{"DOI":"10.1200/JCO.2012.46.9957","ISSN":"0732183X","abstract":"Purpose Concerns regarding neurocognitive toxicity of whole-brain radiotherapy (WBRT) have motivated development of alternative, dose-intensive chemotherapeutic strategies as consolidation in primary CNS lymphoma (PCNSL). We performed a multicenter study of high-dose consolidation, without WBRT, in PCNSL. Objectives were to determine: one, rate of complete response (CR) after remission induction therapy with methotrexate, temozolomide, and rituximab (MT-R); two, feasibility of a two-step approach using high-dose consolidation with etoposide plus cytarabine (EA); three, progression-free survival (PFS); and four, correlation between clinical and molecular prognostic factors and outcome. Patients and Methods Forty-four patients with newly diagnosed PCNSL were treated with induction MT-R, and patients who achieved CR received EA consolidation. We performed a prospective analysis of molecular prognostic biomarkers in PCNSL in the setting of a clinical trial. Results The rate of CR to MT-R was 66%. The overall 2-year PFS was 0.57, with median follow-up of 4.9 years. The 2-year time to progression was 0.59, and for patients who completed consolidation, it was 0.77. Patients age &gt; 60 years did as well as younger patients, and the most significant clinical prognostic variable was treatment delay. High BCL6 expression correlated with shorter survival. Conclusion CALGB 50202 demonstrates for the first time to our knowledge that dose-intensive consolidation for PCNSL is feasible in the multicenter setting and yields rates of PFS and OS at least comparable to those of regimens involving WBRT. On the basis of these encouraging results, an intergroup study has been activated comparing EA consolidation with myeloablative chemotherapy in this randomized trial in PCNSL, in which neither arm involves WBRT. Copyright © 2013 American Society of Clinical Oncology. All rights reserved.","author":[{"dropping-particle":"","family":"Rubenstein","given":"James L.","non-dropping-particle":"","parse-names":false,"suffix":""},{"dropping-particle":"","family":"Hsi","given":"Eric D.","non-dropping-particle":"","parse-names":false,"suffix":""},{"dropping-particle":"","family":"Johnson","given":"Jeffrey L.","non-dropping-particle":"","parse-names":false,"suffix":""},{"dropping-particle":"","family":"Jung","given":"Sin Ho","non-dropping-particle":"","parse-names":false,"suffix":""},{"dropping-particle":"","family":"Nakashima","given":"Megan O.","non-dropping-particle":"","parse-names":false,"suffix":""},{"dropping-particle":"","family":"Grant","given":"Barbara","non-dropping-particle":"","parse-names":false,"suffix":""},{"dropping-particle":"","family":"Cheson","given":"Bruce D.","non-dropping-particle":"","parse-names":false,"suffix":""},{"dropping-particle":"","family":"Kaplan","given":"Lawrence D.","non-dropping-particle":"","parse-names":false,"suffix":""}],"container-title":"Journal of Clinical Oncology","id":"ITEM-3","issue":"25","issued":{"date-parts":[["2013","9","1"]]},"page":"3061-3068","title":"Intensive chemotherapy and immunotherapy in patients with newly diagnosed primary CNS lymphoma: CALGB 50202 (Alliance 50202)","type":"article-journal","volume":"31"},"uris":["http://www.mendeley.com/documents/?uuid=7fd13872-59f9-3663-b3dd-f3fd86080132"]},{"id":"ITEM-4","itemData":{"DOI":"10.1093/neuonc/noq011","ISSN":"1523-5866","PMID":"20511181","abstract":"We conducted a prospective Phase II study of high-dose methotrexate (HD-MTX) and rituximab with deferred whole brain radiotherapy in patients with newly diagnosed B-cell primary central nervous system lymphoma with a primary objective of evaluating progression-free survival (PFS). Forty patients (25 men; 15 women), ages 18-93 years (median 61.5), were treated. All patients received biweekly HD-MTX/rituximab (8 g/m(2)/dose; 375 mg/m(2)/dose) for 4-6 cycles (induction) and following best radiographic response, with every 4 weeks HD-MTX (8 g/m(2)/dose) for 4 cycles (maintenance). Neurological and neuroradiographic evaluation were performed every 4 weeks during induction therapy and every 8 weeks during maintenance therapy. All patients were evaluable. A total of 303 cycles of HD-MTX (median 8 cycles; range 4-10) was administered. HD-MTX/rituximab-related toxicity included 16 grade 3 adverse events in 13 patients (32.5%). Following induction, 8 patients (20%) demonstrated progressive disease and discontinued therapy; 32 patients (80%) demonstrated a partial (8/40; 20%) or complete (24/40; 60%) radiographic response. At the conclusion of maintenance therapy (6-10 months of total therapy), 28 patients (70%) demonstrated either a partial (1/28) or complete (27/28) response. Overall, survival of these 28 patients ranged from 11 to 80 months (median 33.5). Survival in the entire cohort ranged from 6 to 80 months with an estimated median of 29 months. Overall, PFS ranged from 2 to 80 months (median 21.0). HD-MTX/rituximab and deferred radiotherapy demonstrated similar or better efficacy similar to other HD-MTX-only regimens and reduced time on therapy on average to 6 months.","author":[{"dropping-particle":"","family":"Chamberlain","given":"Marc C","non-dropping-particle":"","parse-names":false,"suffix":""},{"dropping-particle":"","family":"Johnston","given":"Sandra K","non-dropping-particle":"","parse-names":false,"suffix":""}],"container-title":"Neuro-oncology","id":"ITEM-4","issue":"7","issued":{"date-parts":[["2010","7"]]},"page":"736-44","title":"High-dose methotrexate and rituximab with deferred radiotherapy for newly diagnosed primary B-cell CNS lymphoma.","type":"article-journal","volume":"12"},"uris":["http://www.mendeley.com/documents/?uuid=ed268df3-8138-3706-b145-a6ed55d67297"]},{"id":"ITEM-5","itemData":{"DOI":"10.1212/WNL.0000000000000593","ISSN":"1526632X","abstract":"Objective: To evaluate the efficacy of rituximab (R) when added to high-dose methotrexate (HDMTX) in patients with newly diagnosed immunocompetent primary CNS lymphomas (PCNSLs). Methods: Immunocompetent adults with newly diagnosed PCNSL treated at The Johns Hopkins Hospital between 1995 and 2012 were investigated. From 1995 to 2008, patients received HD-MTX monotherapy (8 g/m2 initially every 2 weeks and after complete response [CR] monthly to complete 12 months of therapy). From 2008 to 2012, patients received the same HD-MTX with rituximab (375 mg/m2) with each HD-MTX treatment. CR rates and median overall and progression-free survival were analyzed for each patient cohort in this single-institution, retrospective study. Results: A total of 81 patients were identified: 54 received HD-MTX (median age 66 years) while 27 received HD-MTX/R (median age 65 years). CR rates were 36% in the HD-MTX cohort and 73% in the HD-MTX/R cohort (p = 0.0145). Median progression-free survival was 4.5 months in the HD-MTX cohort and 26.7 months in the HD-MTX/R cohort (p = 0.003). Median overall survival was 16.3 months in the HD-MTX cohort and has not yet been reached in the HD-MTX/R cohort (p = 0.01). Conclusions: The addition of rituximab to HD-MTX appears to improve CR rates as well as overall and progression-free survival in patients with newly diagnosed PCNSL. Comparisons of long-term survival in the 2 cohorts await further maturation of the data. Classification of evidence: This study provides Class III evidence that in immunocompetent patients with PCNSL, HD-MTX plus rituximab compared with HD-MTX alone improves CR and overall survival rates. © 2014 American Academy of Neurology.","author":[{"dropping-particle":"","family":"Holdhoff","given":"Matthias","non-dropping-particle":"","parse-names":false,"suffix":""},{"dropping-particle":"","family":"Ambady","given":"Prakash","non-dropping-particle":"","parse-names":false,"suffix":""},{"dropping-particle":"","family":"Abdelaziz","given":"Ahmed","non-dropping-particle":"","parse-names":false,"suffix":""},{"dropping-particle":"","family":"Sarai","given":"Guneet","non-dropping-particle":"","parse-names":false,"suffix":""},{"dropping-particle":"","family":"Bonekamp","given":"David","non-dropping-particle":"","parse-names":false,"suffix":""},{"dropping-particle":"","family":"Blakeley","given":"Jaishri","non-dropping-particle":"","parse-names":false,"suffix":""},{"dropping-particle":"","family":"Grossman","given":"Stuart A.","non-dropping-particle":"","parse-names":false,"suffix":""},{"dropping-particle":"","family":"Ye","given":"Xiaobu","non-dropping-particle":"","parse-names":false,"suffix":""}],"container-title":"Neurology","id":"ITEM-5","issue":"3","issued":{"date-parts":[["2014","7","15"]]},"page":"235-239","publisher":"Lippincott Williams and Wilkins","title":"High-dose methotrexate with or without rituximab in newly diagnosed primary CNS lymphoma","type":"article-journal","volume":"83"},"uris":["http://www.mendeley.com/documents/?uuid=17caaea4-b755-39e2-a62a-d87d8a504fe8"]}],"mendeley":{"formattedCitation":"[72–76]","plainTextFormattedCitation":"[72–76]","previouslyFormattedCitation":"[72–76]"},"properties":{"noteIndex":0},"schema":"https://github.com/citation-style-language/schema/raw/master/csl-citation.json"}</w:instrText>
      </w:r>
      <w:r w:rsidRPr="000322E4">
        <w:fldChar w:fldCharType="separate"/>
      </w:r>
      <w:r w:rsidR="00C37789" w:rsidRPr="000322E4">
        <w:rPr>
          <w:noProof/>
        </w:rPr>
        <w:t>[72–76]</w:t>
      </w:r>
      <w:r w:rsidRPr="000322E4">
        <w:fldChar w:fldCharType="end"/>
      </w:r>
      <w:r w:rsidRPr="000322E4">
        <w:t>.</w:t>
      </w:r>
    </w:p>
    <w:p w14:paraId="309FDFA1" w14:textId="77777777" w:rsidR="00716437" w:rsidRPr="000322E4" w:rsidRDefault="00716437" w:rsidP="008A40EA">
      <w:pPr>
        <w:ind w:left="709"/>
        <w:contextualSpacing/>
        <w:rPr>
          <w:b/>
        </w:rPr>
      </w:pPr>
      <w:r w:rsidRPr="000322E4">
        <w:rPr>
          <w:b/>
        </w:rPr>
        <w:t xml:space="preserve">Уровень убедительности рекомендаций </w:t>
      </w:r>
      <w:r w:rsidR="008327E3" w:rsidRPr="000322E4">
        <w:rPr>
          <w:b/>
        </w:rPr>
        <w:t xml:space="preserve">В </w:t>
      </w:r>
      <w:r w:rsidRPr="000322E4">
        <w:rPr>
          <w:b/>
        </w:rPr>
        <w:t xml:space="preserve">(уровень достоверности доказательств </w:t>
      </w:r>
      <w:r w:rsidR="0057542B" w:rsidRPr="000322E4">
        <w:rPr>
          <w:b/>
        </w:rPr>
        <w:t>2</w:t>
      </w:r>
      <w:r w:rsidRPr="000322E4">
        <w:rPr>
          <w:b/>
        </w:rPr>
        <w:t>).</w:t>
      </w:r>
    </w:p>
    <w:p w14:paraId="0052F5EA" w14:textId="77777777" w:rsidR="0057542B" w:rsidRPr="000322E4" w:rsidRDefault="0057542B" w:rsidP="008A40EA">
      <w:pPr>
        <w:ind w:left="709"/>
      </w:pPr>
      <w:r w:rsidRPr="000322E4">
        <w:rPr>
          <w:b/>
        </w:rPr>
        <w:t xml:space="preserve">Комментарии: </w:t>
      </w:r>
      <w:r w:rsidRPr="000322E4">
        <w:rPr>
          <w:i/>
          <w:color w:val="000000"/>
        </w:rPr>
        <w:t xml:space="preserve">Применение химиотерапии значительно улучшило результаты лечения ПЛЦНС. Выбор лекарственных препаратов для лечения ПЛЦНС обусловлен их активностью при НХЛ и способностью проникать через гематоэнцефалический барьер (ГЭБ). Стандартные протоколы (CHOP, MACOP-B), применяемые при лечении других форм НХЛ, не эффективны для ПЛЦНС, поскольку входящие в них лекарственные средства не могут проникать через ГЭБ. К препаратам, </w:t>
      </w:r>
      <w:r w:rsidRPr="000322E4">
        <w:rPr>
          <w:i/>
          <w:color w:val="000000"/>
        </w:rPr>
        <w:lastRenderedPageBreak/>
        <w:t>проникающим через ГЭБ, относят метотрексат, цитарабин, прокарбазин, винкристин, кармустин, ломустин, тиотепа, топотекан, циклофосфамид, этопозид, цисплатин и</w:t>
      </w:r>
      <w:r w:rsidR="005C347F">
        <w:rPr>
          <w:i/>
          <w:color w:val="000000"/>
        </w:rPr>
        <w:t xml:space="preserve"> глюкокортикоиды</w:t>
      </w:r>
      <w:r w:rsidRPr="000322E4">
        <w:rPr>
          <w:i/>
          <w:color w:val="000000"/>
        </w:rPr>
        <w:t xml:space="preserve"> </w:t>
      </w:r>
      <w:r w:rsidRPr="000322E4">
        <w:fldChar w:fldCharType="begin" w:fldLock="1"/>
      </w:r>
      <w:r w:rsidR="00C37789" w:rsidRPr="000322E4">
        <w:instrText>ADDIN CSL_CITATION {"citationItems":[{"id":"ITEM-1","itemData":{"DOI":"10.1016/S1470-2045(10)70229-1","ISSN":"14702045","abstract":"Background: High-dose methotrexate is the standard of care for patients with newly diagnosed primary CNS lymphoma. The role of whole brain radiotherapy is controversial because delayed neurotoxicity limits its acceptance as a standard of care. We aimed to investigate whether first-line chemotherapy based on high-dose methotrexate was non-inferior to the same chemotherapy regimen followed by whole brain radiotherapy for overall survival. Methods: Immunocompetent patients with newly diagnosed primary CNS lymphoma were enrolled from 75 centres and treated between May, 2000, and May, 2009. Patients were allocated by computer-generated block randomisation to receive first-line chemotherapy based on high-dose methotrexate with or without subsequent whole brain radiotherapy, with stratification by age (&lt;60 vs ≥60 years) and institution (Berlin vs Tübingen vs all other sites). The biostatistics centre assigned patients to treatment groups and informed local centres by fax; physicians and patients were not masked to treatment group after assignment. Patients enrolled between May, 2000, and August, 2006, received high-dose methotrexate (4 g/m2) on day 1 of six 14-day cycles; thereafter, patients received high-dose methotrexate plus ifosfamide (1·5 g/m2) on days 3-5 of six 14-day cycles. In those assigned to receive first-line chemotherapy followed by radiotherapy, whole brain radiotherapy was given to a total dose of 45 Gy, in 30 fractions of 1·5 Gy given daily on weekdays. Patients allocated to first-line chemotherapy without whole brain radiotherapy who had not achieved complete response were given high-dose cytarabine. The primary endpoint was overall survival, and analysis was per protocol. Our hypothesis was that the omission of whole brain radiotherapy does not compromise overall survival, with a non-inferiority margin of 0·9. This trial is registered with ClinicalTrials.gov, number NCT00153530. Findings: 551 patients (median age 63 years, IQR 55-69) were enrolled and randomised, of whom 318 were treated per protocol. In the per-protocol population, median overall survival was 32·4 months (95% CI 25·8-39·0) in patients receiving whole brain radiotherapy (n=154), and 37·1 months (27·5-46·7) in those not receiving whole brain radiotherapy (n=164), hazard ratio 1·06 (95% CI 0·80-1·40; p=0·71). Thus our primary hypothesis was not proven. Median progression-free survival was 18·3 months (95% CI 11·6-25·0) in patients receiving whole brain radiotherapy, and 11·9 …","author":[{"dropping-particle":"","family":"Thiel","given":"Eckhard","non-dropping-particle":"","parse-names":false,"suffix":""},{"dropping-particle":"","family":"Korfel","given":"Agnieszka","non-dropping-particle":"","parse-names":false,"suffix":""},{"dropping-particle":"","family":"Martus","given":"Peter","non-dropping-particle":"","parse-names":false,"suffix":""},{"dropping-particle":"","family":"Kanz","given":"Lothar","non-dropping-particle":"","parse-names":false,"suffix":""},{"dropping-particle":"","family":"Griesinger","given":"Frank","non-dropping-particle":"","parse-names":false,"suffix":""},{"dropping-particle":"","family":"Rauch","given":"Michael","non-dropping-particle":"","parse-names":false,"suffix":""},{"dropping-particle":"","family":"Röth","given":"Alexander","non-dropping-particle":"","parse-names":false,"suffix":""},{"dropping-particle":"","family":"Hertenstein","given":"Bernd","non-dropping-particle":"","parse-names":false,"suffix":""},{"dropping-particle":"","family":"Toll","given":"Theda","non-dropping-particle":"von","parse-names":false,"suffix":""},{"dropping-particle":"","family":"Hundsberger","given":"Thomas","non-dropping-particle":"","parse-names":false,"suffix":""},{"dropping-particle":"","family":"Mergenthaler","given":"Hans Günther","non-dropping-particle":"","parse-names":false,"suffix":""},{"dropping-particle":"","family":"Leithäuser","given":"Malte","non-dropping-particle":"","parse-names":false,"suffix":""},{"dropping-particle":"","family":"Birnbaum","given":"Tobias","non-dropping-particle":"","parse-names":false,"suffix":""},{"dropping-particle":"","family":"Fischer","given":"Lars","non-dropping-particle":"","parse-names":false,"suffix":""},{"dropping-particle":"","family":"Jahnke","given":"Kristoph","non-dropping-particle":"","parse-names":false,"suffix":""},{"dropping-particle":"","family":"Herrlinger","given":"Ulrich","non-dropping-particle":"","parse-names":false,"suffix":""},{"dropping-particle":"","family":"Plasswilm","given":"Ludwig","non-dropping-particle":"","parse-names":false,"suffix":""},{"dropping-particle":"","family":"Nägele","given":"Thomas","non-dropping-particle":"","parse-names":false,"suffix":""},{"dropping-particle":"","family":"Pietsch","given":"Torsten","non-dropping-particle":"","parse-names":false,"suffix":""},{"dropping-particle":"","family":"Bamberg","given":"Michael","non-dropping-particle":"","parse-names":false,"suffix":""},{"dropping-particle":"","family":"Weller","given":"Michael","non-dropping-particle":"","parse-names":false,"suffix":""}],"container-title":"The Lancet Oncology","id":"ITEM-1","issue":"11","issued":{"date-parts":[["2010","11"]]},"page":"1036-1047","title":"High-dose methotrexate with or without whole brain radiotherapy for primary CNS lymphoma (G-PCNSL-SG-1): a phase 3, randomised, non-inferiority trial","type":"article-journal","volume":"11"},"uris":["http://www.mendeley.com/documents/?uuid=4f8cf043-3a2a-35c6-b4f9-c28df8d2d84a"]},{"id":"ITEM-2","itemData":{"DOI":"10.1016/S0140-6736(09)61416-1","ISSN":"01406736","abstract":"Background: Chemotherapy with high-dose methotrexate is the conventional approach to treat primary CNS lymphomas, but superiority of polychemotherapy compared with high-dose methotrexate alone is unproven. We assessed the effect of adding high-dose cytarabine to methotrexate in patients with newly diagnosed primary CNS lymphoma. Methods: This open, randomised, phase 2 trial was undertaken in 24 centres in six countries. 79 patients with non-Hodgkin lymphoma exclusively localised into the CNS, cranial nerves, or eyes, aged 18-75 years, and with Eastern Cooperative Oncology Group performance status of 3 or lower and measurable disease were centrally randomly assigned by computer to receive four courses of either methotrexate 3·5 g/m2 on day 1 (n=40) or methotrexate 3·5 g/m2 on day 1 plus cytarabine 2 g/m2 twice a day on days 2-3 (n=39). Both regimens were administered every 3 weeks and were followed by whole-brain irradiation. The primary endpoint was complete remission rate after chemotherapy. Analysis was by intention to treat. This study is registered with ClinicalTrials.gov, number NCT00210314. Findings: All randomly assigned participants were analysed. After chemotherapy, seven patients given methotrexate and 18 given methotrexate plus cytarabine achieved a complete remission, with a complete remission rate of 18% (95% CI 6-30) and 46% (31-61), respectively, (p=0·006). Nine patients receiving methotrexate and nine receiving methotrexate plus cytarabine achieved a partial response, with an overall response rate of 40% (25-55) and 69% (55-83), respectively, (p=0·009). Grade 3-4 haematological toxicity was more common in the methotrexate plus cytarabine group than in the methotrexate group (36 [92%] vs six [15%]). Four patients died of toxic effects (three vs one). Interpretation: In patients aged 75 years and younger with primary CNS lymphoma, the addition of high-dose cytarabine to high-dose methotrexate provides improved outcome with acceptable toxicity compared with high-dose methotrexate alone. Funding: Swiss Cancer League. © 2009 Elsevier Ltd. All rights reserved.","author":[{"dropping-particle":"","family":"Ferreri","given":"Andrés JM","non-dropping-particle":"","parse-names":false,"suffix":""},{"dropping-particle":"","family":"Reni","given":"Michele","non-dropping-particle":"","parse-names":false,"suffix":""},{"dropping-particle":"","family":"Foppoli","given":"Marco","non-dropping-particle":"","parse-names":false,"suffix":""},{"dropping-particle":"","family":"Martelli","given":"Maurizio","non-dropping-particle":"","parse-names":false,"suffix":""},{"dropping-particle":"","family":"Pangalis","given":"Gerasimus A.","non-dropping-particle":"","parse-names":false,"suffix":""},{"dropping-particle":"","family":"Frezzato","given":"Maurizio","non-dropping-particle":"","parse-names":false,"suffix":""},{"dropping-particle":"","family":"Cabras","given":"Maria Giuseppina","non-dropping-particle":"","parse-names":false,"suffix":""},{"dropping-particle":"","family":"Fabbri","given":"Alberto","non-dropping-particle":"","parse-names":false,"suffix":""},{"dropping-particle":"","family":"Corazzelli","given":"Gaetano","non-dropping-particle":"","parse-names":false,"suffix":""},{"dropping-particle":"","family":"Ilariucci","given":"Fiorella","non-dropping-particle":"","parse-names":false,"suffix":""},{"dropping-particle":"","family":"Rossi","given":"Giuseppe","non-dropping-particle":"","parse-names":false,"suffix":""},{"dropping-particle":"","family":"Soffietti","given":"Riccardo","non-dropping-particle":"","parse-names":false,"suffix":""},{"dropping-particle":"","family":"Stelitano","given":"Caterina","non-dropping-particle":"","parse-names":false,"suffix":""},{"dropping-particle":"","family":"Vallisa","given":"Daniele","non-dropping-particle":"","parse-names":false,"suffix":""},{"dropping-particle":"","family":"Zaja","given":"Francesco","non-dropping-particle":"","parse-names":false,"suffix":""},{"dropping-particle":"","family":"Zoppegno","given":"Lucía","non-dropping-particle":"","parse-names":false,"suffix":""},{"dropping-particle":"","family":"Aondio","given":"Gian Marco","non-dropping-particle":"","parse-names":false,"suffix":""},{"dropping-particle":"","family":"Avvisati","given":"Giuseppe","non-dropping-particle":"","parse-names":false,"suffix":""},{"dropping-particle":"","family":"Balzarotti","given":"Monica","non-dropping-particle":"","parse-names":false,"suffix":""},{"dropping-particle":"","family":"Brandes","given":"Alba A.","non-dropping-particle":"","parse-names":false,"suffix":""},{"dropping-particle":"","family":"Fajardo","given":"José","non-dropping-particle":"","parse-names":false,"suffix":""},{"dropping-particle":"","family":"Gomez","given":"Henry","non-dropping-particle":"","parse-names":false,"suffix":""},{"dropping-particle":"","family":"Guarini","given":"Attilio","non-dropping-particle":"","parse-names":false,"suffix":""},{"dropping-particle":"","family":"Pinotti","given":"Graziella","non-dropping-particle":"","parse-names":false,"suffix":""},{"dropping-particle":"","family":"Rigacci","given":"Luigi","non-dropping-particle":"","parse-names":false,"suffix":""},{"dropping-particle":"","family":"Uhlmann","given":"Catrina","non-dropping-particle":"","parse-names":false,"suffix":""},{"dropping-particle":"","family":"Picozzi","given":"Piero","non-dropping-particle":"","parse-names":false,"suffix":""},{"dropping-particle":"","family":"Vezzulli","given":"Paolo","non-dropping-particle":"","parse-names":false,"suffix":""},{"dropping-particle":"","family":"Ponzoni","given":"Maurilio","non-dropping-particle":"","parse-names":false,"suffix":""},{"dropping-particle":"","family":"Zucca","given":"Emanuele","non-dropping-particle":"","parse-names":false,"suffix":""},{"dropping-particle":"","family":"Caligaris-Cappio","given":"Federico","non-dropping-particle":"","parse-names":false,"suffix":""},{"dropping-particle":"","family":"Cavalli","given":"Franco","non-dropping-particle":"","parse-names":false,"suffix":""}],"container-title":"The Lancet","id":"ITEM-2","issue":"9700","issued":{"date-parts":[["2009"]]},"page":"1512-1520","title":"High-dose cytarabine plus high-dose methotrexate versus high-dose methotrexate alone in patients with primary CNS lymphoma: a randomised phase 2 trial","type":"article-journal","volume":"374"},"uris":["http://www.mendeley.com/documents/?uuid=ff6c34eb-65ed-333e-878d-5d30c9dd2ebd"]},{"id":"ITEM-3","itemData":{"DOI":"10.1200/JCO.2012.46.9957","ISSN":"0732183X","abstract":"Purpose Concerns regarding neurocognitive toxicity of whole-brain radiotherapy (WBRT) have motivated development of alternative, dose-intensive chemotherapeutic strategies as consolidation in primary CNS lymphoma (PCNSL). We performed a multicenter study of high-dose consolidation, without WBRT, in PCNSL. Objectives were to determine: one, rate of complete response (CR) after remission induction therapy with methotrexate, temozolomide, and rituximab (MT-R); two, feasibility of a two-step approach using high-dose consolidation with etoposide plus cytarabine (EA); three, progression-free survival (PFS); and four, correlation between clinical and molecular prognostic factors and outcome. Patients and Methods Forty-four patients with newly diagnosed PCNSL were treated with induction MT-R, and patients who achieved CR received EA consolidation. We performed a prospective analysis of molecular prognostic biomarkers in PCNSL in the setting of a clinical trial. Results The rate of CR to MT-R was 66%. The overall 2-year PFS was 0.57, with median follow-up of 4.9 years. The 2-year time to progression was 0.59, and for patients who completed consolidation, it was 0.77. Patients age &gt; 60 years did as well as younger patients, and the most significant clinical prognostic variable was treatment delay. High BCL6 expression correlated with shorter survival. Conclusion CALGB 50202 demonstrates for the first time to our knowledge that dose-intensive consolidation for PCNSL is feasible in the multicenter setting and yields rates of PFS and OS at least comparable to those of regimens involving WBRT. On the basis of these encouraging results, an intergroup study has been activated comparing EA consolidation with myeloablative chemotherapy in this randomized trial in PCNSL, in which neither arm involves WBRT. Copyright © 2013 American Society of Clinical Oncology. All rights reserved.","author":[{"dropping-particle":"","family":"Rubenstein","given":"James L.","non-dropping-particle":"","parse-names":false,"suffix":""},{"dropping-particle":"","family":"Hsi","given":"Eric D.","non-dropping-particle":"","parse-names":false,"suffix":""},{"dropping-particle":"","family":"Johnson","given":"Jeffrey L.","non-dropping-particle":"","parse-names":false,"suffix":""},{"dropping-particle":"","family":"Jung","given":"Sin Ho","non-dropping-particle":"","parse-names":false,"suffix":""},{"dropping-particle":"","family":"Nakashima","given":"Megan O.","non-dropping-particle":"","parse-names":false,"suffix":""},{"dropping-particle":"","family":"Grant","given":"Barbara","non-dropping-particle":"","parse-names":false,"suffix":""},{"dropping-particle":"","family":"Cheson","given":"Bruce D.","non-dropping-particle":"","parse-names":false,"suffix":""},{"dropping-particle":"","family":"Kaplan","given":"Lawrence D.","non-dropping-particle":"","parse-names":false,"suffix":""}],"container-title":"Journal of Clinical Oncology","id":"ITEM-3","issue":"25","issued":{"date-parts":[["2013","9","1"]]},"page":"3061-3068","title":"Intensive chemotherapy and immunotherapy in patients with newly diagnosed primary CNS lymphoma: CALGB 50202 (Alliance 50202)","type":"article-journal","volume":"31"},"uris":["http://www.mendeley.com/documents/?uuid=7fd13872-59f9-3663-b3dd-f3fd86080132"]},{"id":"ITEM-4","itemData":{"DOI":"10.1093/neuonc/noq011","ISSN":"1523-5866","PMID":"20511181","abstract":"We conducted a prospective Phase II study of high-dose methotrexate (HD-MTX) and rituximab with deferred whole brain radiotherapy in patients with newly diagnosed B-cell primary central nervous system lymphoma with a primary objective of evaluating progression-free survival (PFS). Forty patients (25 men; 15 women), ages 18-93 years (median 61.5), were treated. All patients received biweekly HD-MTX/rituximab (8 g/m(2)/dose; 375 mg/m(2)/dose) for 4-6 cycles (induction) and following best radiographic response, with every 4 weeks HD-MTX (8 g/m(2)/dose) for 4 cycles (maintenance). Neurological and neuroradiographic evaluation were performed every 4 weeks during induction therapy and every 8 weeks during maintenance therapy. All patients were evaluable. A total of 303 cycles of HD-MTX (median 8 cycles; range 4-10) was administered. HD-MTX/rituximab-related toxicity included 16 grade 3 adverse events in 13 patients (32.5%). Following induction, 8 patients (20%) demonstrated progressive disease and discontinued therapy; 32 patients (80%) demonstrated a partial (8/40; 20%) or complete (24/40; 60%) radiographic response. At the conclusion of maintenance therapy (6-10 months of total therapy), 28 patients (70%) demonstrated either a partial (1/28) or complete (27/28) response. Overall, survival of these 28 patients ranged from 11 to 80 months (median 33.5). Survival in the entire cohort ranged from 6 to 80 months with an estimated median of 29 months. Overall, PFS ranged from 2 to 80 months (median 21.0). HD-MTX/rituximab and deferred radiotherapy demonstrated similar or better efficacy similar to other HD-MTX-only regimens and reduced time on therapy on average to 6 months.","author":[{"dropping-particle":"","family":"Chamberlain","given":"Marc C","non-dropping-particle":"","parse-names":false,"suffix":""},{"dropping-particle":"","family":"Johnston","given":"Sandra K","non-dropping-particle":"","parse-names":false,"suffix":""}],"container-title":"Neuro-oncology","id":"ITEM-4","issue":"7","issued":{"date-parts":[["2010","7"]]},"page":"736-44","title":"High-dose methotrexate and rituximab with deferred radiotherapy for newly diagnosed primary B-cell CNS lymphoma.","type":"article-journal","volume":"12"},"uris":["http://www.mendeley.com/documents/?uuid=ed268df3-8138-3706-b145-a6ed55d67297"]},{"id":"ITEM-5","itemData":{"DOI":"10.1212/WNL.0000000000000593","ISSN":"1526632X","abstract":"Objective: To evaluate the efficacy of rituximab (R) when added to high-dose methotrexate (HDMTX) in patients with newly diagnosed immunocompetent primary CNS lymphomas (PCNSLs). Methods: Immunocompetent adults with newly diagnosed PCNSL treated at The Johns Hopkins Hospital between 1995 and 2012 were investigated. From 1995 to 2008, patients received HD-MTX monotherapy (8 g/m2 initially every 2 weeks and after complete response [CR] monthly to complete 12 months of therapy). From 2008 to 2012, patients received the same HD-MTX with rituximab (375 mg/m2) with each HD-MTX treatment. CR rates and median overall and progression-free survival were analyzed for each patient cohort in this single-institution, retrospective study. Results: A total of 81 patients were identified: 54 received HD-MTX (median age 66 years) while 27 received HD-MTX/R (median age 65 years). CR rates were 36% in the HD-MTX cohort and 73% in the HD-MTX/R cohort (p = 0.0145). Median progression-free survival was 4.5 months in the HD-MTX cohort and 26.7 months in the HD-MTX/R cohort (p = 0.003). Median overall survival was 16.3 months in the HD-MTX cohort and has not yet been reached in the HD-MTX/R cohort (p = 0.01). Conclusions: The addition of rituximab to HD-MTX appears to improve CR rates as well as overall and progression-free survival in patients with newly diagnosed PCNSL. Comparisons of long-term survival in the 2 cohorts await further maturation of the data. Classification of evidence: This study provides Class III evidence that in immunocompetent patients with PCNSL, HD-MTX plus rituximab compared with HD-MTX alone improves CR and overall survival rates. © 2014 American Academy of Neurology.","author":[{"dropping-particle":"","family":"Holdhoff","given":"Matthias","non-dropping-particle":"","parse-names":false,"suffix":""},{"dropping-particle":"","family":"Ambady","given":"Prakash","non-dropping-particle":"","parse-names":false,"suffix":""},{"dropping-particle":"","family":"Abdelaziz","given":"Ahmed","non-dropping-particle":"","parse-names":false,"suffix":""},{"dropping-particle":"","family":"Sarai","given":"Guneet","non-dropping-particle":"","parse-names":false,"suffix":""},{"dropping-particle":"","family":"Bonekamp","given":"David","non-dropping-particle":"","parse-names":false,"suffix":""},{"dropping-particle":"","family":"Blakeley","given":"Jaishri","non-dropping-particle":"","parse-names":false,"suffix":""},{"dropping-particle":"","family":"Grossman","given":"Stuart A.","non-dropping-particle":"","parse-names":false,"suffix":""},{"dropping-particle":"","family":"Ye","given":"Xiaobu","non-dropping-particle":"","parse-names":false,"suffix":""}],"container-title":"Neurology","id":"ITEM-5","issue":"3","issued":{"date-parts":[["2014","7","15"]]},"page":"235-239","publisher":"Lippincott Williams and Wilkins","title":"High-dose methotrexate with or without rituximab in newly diagnosed primary CNS lymphoma","type":"article-journal","volume":"83"},"uris":["http://www.mendeley.com/documents/?uuid=17caaea4-b755-39e2-a62a-d87d8a504fe8"]},{"id":"ITEM-6","itemData":{"DOI":"10.1016/S2352-3026(15)00074-5","ISSN":"23523026","abstract":"BACKGROUND: No standard chemotherapy regimen exists for primary CNS lymphoma, reflecting an absence of randomised studies. We prospectively tested two promising methotrexate-based regimens, one more intensive and a milder regimen, for primary CNS lymphoma in the elderly population, who account for most patients. METHODS: In this open-label, randomised phase 2 trial, done in 13 French institutions, we enrolled immunocompetent patients who had neuroimaging and histologically confirmed newly diagnosed primary CNS lymphoma, were aged 60 years and older, and had a Karnofsky performance scale score of 40 or more. Participants were stratified by Karnofsky performance scale score (&lt;60 vs ≥60) and treating institution and randomly assigned (1:1) to receive methotrexate (3·5 g/m2) with temozolomide (150 mg/m2) or methotrexate (3·5 g/m2), procarbazine (100 mg/m2), vincristine (1·4 mg/m2), and cytarabine (3 mg/m2). Neither regimen included radiotherapy; both included prophylactic G-CSF and corticosteroids. The primary endpoint was 1-year progression-free survival. Analysis was intent to treat, in a non-comparative phase 2 trial design. This study is registered with ClinicalTrials.gov, number NCT00503594. FINDINGS: Between July 16, 2007, and March 25, 2010, 98 patients were enrolled, of whom 95 were randomly assigned and analysed; 48 to methotrexate with temozolomide and 47 to methotrexate, procarbazine, vincristine, and cytarabine. 1-year progression-free survival was 36% (95% CI 22-50) in the methotrexate, procarbazine, vincristine, and cytarabine group and 36% (22-50) in the methotrexate with temozolomide group; median progression-free survival was 9·5 months (95% CI 5·3-13·8) versus 6·1 months (3·8-11·9), respectively. Objective responses were noted in 82% (95% CI 68-92) of patients in the methotrexate, procarbazine, vincristine, and cytarabine group versus 71% (55-84) of patients in the methotrexate with temozolomide group. Median overall survival was 31 months (95% CI 12·2-35·8) in the methotrexate, procarbazine, vincristine, and cytarabine group and 14 months (8·1-28·4) in the methotrexate with temozolomide group. No differences were noted in toxic effects between the two groups. The most common grades 3 and 4 toxicities in both groups were liver dysfunction (21 [4%] in the the methotrexate and temozolomide group and 18 [38%] in the methotrexate, procarbazine, vincristine, and cytarabine group), lymphopenia (14 [29%] and 14 [30%]), and infection (six [13%] an…","author":[{"dropping-particle":"","family":"Omuro","given":"Antonio","non-dropping-particle":"","parse-names":false,"suffix":""},{"dropping-particle":"","family":"Chinot","given":"Olivier","non-dropping-particle":"","parse-names":false,"suffix":""},{"dropping-particle":"","family":"Taillandier","given":"Luc","non-dropping-particle":"","parse-names":false,"suffix":""},{"dropping-particle":"","family":"Ghesquieres","given":"Hervé","non-dropping-particle":"","parse-names":false,"suffix":""},{"dropping-particle":"","family":"Soussain","given":"Carole","non-dropping-particle":"","parse-names":false,"suffix":""},{"dropping-particle":"","family":"Delwail","given":"Vincent","non-dropping-particle":"","parse-names":false,"suffix":""},{"dropping-particle":"","family":"Lamy","given":"Thierry","non-dropping-particle":"","parse-names":false,"suffix":""},{"dropping-particle":"","family":"Gressin","given":"Rémy","non-dropping-particle":"","parse-names":false,"suffix":""},{"dropping-particle":"","family":"Choquet","given":"Sylvain","non-dropping-particle":"","parse-names":false,"suffix":""},{"dropping-particle":"","family":"Soubeyran","given":"Pierre","non-dropping-particle":"","parse-names":false,"suffix":""},{"dropping-particle":"","family":"Huchet","given":"Aymeri","non-dropping-particle":"","parse-names":false,"suffix":""},{"dropping-particle":"","family":"Benouaich-Amiel","given":"Alexandra","non-dropping-particle":"","parse-names":false,"suffix":""},{"dropping-particle":"","family":"Lebouvier-Sadot","given":"Sophie","non-dropping-particle":"","parse-names":false,"suffix":""},{"dropping-particle":"","family":"Gyan","given":"Emmanuel","non-dropping-particle":"","parse-names":false,"suffix":""},{"dropping-particle":"","family":"Touitou","given":"Valérie","non-dropping-particle":"","parse-names":false,"suffix":""},{"dropping-particle":"","family":"Barrié","given":"Maryline","non-dropping-particle":"","parse-names":false,"suffix":""},{"dropping-particle":"","family":"Rio","given":"Monica Sierra","non-dropping-particle":"del","parse-names":false,"suffix":""},{"dropping-particle":"","family":"Gonzalez-Aguilar","given":"Alberto","non-dropping-particle":"","parse-names":false,"suffix":""},{"dropping-particle":"","family":"Houillier","given":"Caroline","non-dropping-particle":"","parse-names":false,"suffix":""},{"dropping-particle":"","family":"Delgadillo","given":"Daniel","non-dropping-particle":"","parse-names":false,"suffix":""},{"dropping-particle":"","family":"Lacomblez","given":"Lucette","non-dropping-particle":"","parse-names":false,"suffix":""},{"dropping-particle":"","family":"Tanguy","given":"Marie Laure","non-dropping-particle":"","parse-names":false,"suffix":""},{"dropping-particle":"","family":"Hoang-Xuan","given":"Khê","non-dropping-particle":"","parse-names":false,"suffix":""}],"container-title":"The Lancet Haematology","id":"ITEM-6","issue":"6","issued":{"date-parts":[["2015","6"]]},"page":"e251-e259","publisher":"Elsevier Ltd","title":"Methotrexate and temozolomide versus methotrexate, procarbazine, vincristine, and cytarabine for primary CNS lymphoma in an elderly population: An intergroup ANOCEF-GOELAMS randomised phase 2 trial","type":"article-journal","volume":"2"},"uris":["http://www.mendeley.com/documents/?uuid=0a1fbb92-d487-3b66-9700-72c0a823cf91"]},{"id":"ITEM-7","itemData":{"DOI":"10.1200/JCO.2013.50.4910","ISSN":"15277755","abstract":"Purpose: A multicenter phase II study was conducted to assess the efficacy of rituximab, methotrexate, procarbazine, and vincristine (R-MPV) followed by consolidation reduced-dose whole-brain radiotherapy (rdWBRT) and cytarabine in primary CNS lymphoma. Patients and Methods: Patients received induction chemotherapy with R-MPV (five to seven cycles); those achieving a complete response (CR) received rdWBRT (23.4 Gy), and otherwise, standard WBRT was offered (45 Gy). Consolidation cytarabine was given after the radiotherapy. The primary end point was 2-year progression-free survival (PFS) in patients receiving rdWBRT. Exploratory end points included prospective neuropsychological evaluation, analysis of magnetic resonance imaging (MRI) white matter changes using the Fazekas scale, and evaluation of the apparent diffusion coefficient (ADC) as a prognostic factor. Results: Fifty-two patients were enrolled, with median age of 60 years (range, 30 to 79 years) and median Karnofsky performance score of 70 (range, 50 to 100). Thirty-one patients (60%) achieved a CR after R-MPV and received rdWBRT. The 2-year PFS for this group was 77%; median PFS was 7.7 years. Median overall survival (OS) was not reached (median follow-up for survivors, 5.9 years); 3-year OS was 87%. The overall (N = 52) median PFS was 3.3 years, and median OS was 6.6 years. Cognitive assessment showed improvement in executive function (P &lt; .01) and verbal memory (P &lt; .05) after chemotherapy, and follow-up scores remained relatively stable across the various domains (n = 12). All examined MRIs (n = 28) displayed a Fazekas score of ≤ 3, and no patient developed scores of 4 to 5; differences in ADC values did not predict response (P = .15), PFS (P = .27), or OS (P = .33). Conclusion: R-MPV combined with consolidation rdWBRT and cytarabine is associated with high response rates, long-term disease control, and minimal neurotoxicity. © 2013 by American Society of Clinical Oncology.","author":[{"dropping-particle":"","family":"Morris","given":"Patrick G.","non-dropping-particle":"","parse-names":false,"suffix":""},{"dropping-particle":"","family":"Correa","given":"Denise D.","non-dropping-particle":"","parse-names":false,"suffix":""},{"dropping-particle":"","family":"Yahalom","given":"Joachim","non-dropping-particle":"","parse-names":false,"suffix":""},{"dropping-particle":"","family":"Raizer","given":"Jeffrey J.","non-dropping-particle":"","parse-names":false,"suffix":""},{"dropping-particle":"","family":"Schiff","given":"David","non-dropping-particle":"","parse-names":false,"suffix":""},{"dropping-particle":"","family":"Grant","given":"Barbara","non-dropping-particle":"","parse-names":false,"suffix":""},{"dropping-particle":"","family":"Grimm","given":"Sean","non-dropping-particle":"","parse-names":false,"suffix":""},{"dropping-particle":"","family":"Lai","given":"Rose K.","non-dropping-particle":"","parse-names":false,"suffix":""},{"dropping-particle":"","family":"Reiner","given":"Anne S.","non-dropping-particle":"","parse-names":false,"suffix":""},{"dropping-particle":"","family":"Panageas","given":"Kathy","non-dropping-particle":"","parse-names":false,"suffix":""},{"dropping-particle":"","family":"Karimi","given":"Sasan","non-dropping-particle":"","parse-names":false,"suffix":""},{"dropping-particle":"","family":"Curry","given":"Richard","non-dropping-particle":"","parse-names":false,"suffix":""},{"dropping-particle":"","family":"Shah","given":"Gaurav","non-dropping-particle":"","parse-names":false,"suffix":""},{"dropping-particle":"","family":"Abrey","given":"Lauren E.","non-dropping-particle":"","parse-names":false,"suffix":""},{"dropping-particle":"","family":"DeAngelis","given":"Lisa M.","non-dropping-particle":"","parse-names":false,"suffix":""},{"dropping-particle":"","family":"Omuro","given":"Antonio","non-dropping-particle":"","parse-names":false,"suffix":""}],"container-title":"Journal of Clinical Oncology","id":"ITEM-7","issue":"31","issued":{"date-parts":[["2013","11","1"]]},"page":"3971-3979","publisher":"American Society of Clinical Oncology","title":"Rituximab, methotrexate, procarbazine, and vincristine followed by consolidation reduced-dose whole-brain radiotherapy and cytarabine in newly diagnosed primary CNS lymphoma: Final results and long-term outcome","type":"article-journal","volume":"31"},"uris":["http://www.mendeley.com/documents/?uuid=07de7ec0-87f0-38d4-81b2-29cb402e4a1a"]},{"id":"ITEM-8","itemData":{"DOI":"10.1093/annonc/mdq712","ISSN":"1569-8041","PMID":"21303800","abstract":"BACKGROUND Primary central nervous system lymphoma (PCNSL) is an aggressive extranodal non-Hodgkin lymphoma confined to the central nervous system. In this article, we report the results of a pilot trial adding rituximab to the established regimen consisting of methotrexate, procarbazine, and lomustine (R-MCP). DESIGN AND METHODS PCNSL patients ≥65 years without Karnofsky performance score (KPS) limit were included. R-MCP regimen consisted of rituximab (375 mg/m(2) i.v. on days -6, 1, 15, and 29), methotrexate (3 g/m(2) i.v., days 2, 16, and 30) followed by folinic rescue, procarbazine (60 mg/m(2) orally, days 2-11), and lomustine (110 mg/m(2) orally, day 2). A maximum of three 43-day cycles were applied. Primary end point was response to treatment obtained by magnetic resonance imaging. Secondary end points were overall survival (OS) and progression-free survival (PFS). RESULTS Twenty-eight patients were included (median age 75, median KPS 60%). Best documented response: complete remission in 18 of 28 (64%), partial remission in 5 of 28 (18%), stable disease in 1 of 28 (4%), and progressive disease in 2 of 28 (7%) patients. Response was not assessed in two patients. Two treatment-associated deaths were observed. After a median follow-up of 36 months, the 3-year PFS and OS was 31%. CONCLUSION R-MCP regimen is well tolerated and active in elderly patients with newly diagnosed PCNSL.","author":[{"dropping-particle":"","family":"Fritsch","given":"K","non-dropping-particle":"","parse-names":false,"suffix":""},{"dropping-particle":"","family":"Kasenda","given":"B","non-dropping-particle":"","parse-names":false,"suffix":""},{"dropping-particle":"","family":"Hader","given":"C","non-dropping-particle":"","parse-names":false,"suffix":""},{"dropping-particle":"","family":"Nikkhah","given":"G","non-dropping-particle":"","parse-names":false,"suffix":""},{"dropping-particle":"","family":"Prinz","given":"M","non-dropping-particle":"","parse-names":false,"suffix":""},{"dropping-particle":"","family":"Haug","given":"V","non-dropping-particle":"","parse-names":false,"suffix":""},{"dropping-particle":"","family":"Haug","given":"S","non-dropping-particle":"","parse-names":false,"suffix":""},{"dropping-particle":"","family":"Ihorst","given":"G","non-dropping-particle":"","parse-names":false,"suffix":""},{"dropping-particle":"","family":"Finke","given":"J","non-dropping-particle":"","parse-names":false,"suffix":""},{"dropping-particle":"","family":"Illerhaus","given":"G","non-dropping-particle":"","parse-names":false,"suffix":""}],"container-title":"Annals of oncology : official journal of the European Society for Medical Oncology","id":"ITEM-8","issue":"9","issued":{"date-parts":[["2011","9"]]},"page":"2080-5","title":"Immunochemotherapy with rituximab, methotrexate, procarbazine, and lomustine for primary CNS lymphoma (PCNSL) in the elderly.","type":"article-journal","volume":"22"},"uris":["http://www.mendeley.com/documents/?uuid=c5014370-e027-3c23-8df9-a764eeff52b0"]}],"mendeley":{"formattedCitation":"[72–79]","plainTextFormattedCitation":"[72–79]","previouslyFormattedCitation":"[72–79]"},"properties":{"noteIndex":0},"schema":"https://github.com/citation-style-language/schema/raw/master/csl-citation.json"}</w:instrText>
      </w:r>
      <w:r w:rsidRPr="000322E4">
        <w:fldChar w:fldCharType="separate"/>
      </w:r>
      <w:r w:rsidR="00C37789" w:rsidRPr="000322E4">
        <w:rPr>
          <w:noProof/>
        </w:rPr>
        <w:t>[72–79]</w:t>
      </w:r>
      <w:r w:rsidRPr="000322E4">
        <w:fldChar w:fldCharType="end"/>
      </w:r>
      <w:r w:rsidRPr="000322E4">
        <w:t>.</w:t>
      </w:r>
    </w:p>
    <w:p w14:paraId="09B0BDFF" w14:textId="77777777" w:rsidR="002A607D" w:rsidRPr="000322E4" w:rsidRDefault="0057542B" w:rsidP="008A40EA">
      <w:pPr>
        <w:ind w:left="709"/>
        <w:contextualSpacing/>
        <w:rPr>
          <w:i/>
          <w:color w:val="000000"/>
        </w:rPr>
      </w:pPr>
      <w:r w:rsidRPr="000322E4">
        <w:rPr>
          <w:i/>
          <w:color w:val="000000"/>
        </w:rPr>
        <w:t>MTX** в высоких дозах является одним из наиболее часто используемых препаратов для лечения ПЛЦНС. Доза MTX** ≥ 1 г/м</w:t>
      </w:r>
      <w:r w:rsidRPr="000322E4">
        <w:rPr>
          <w:i/>
          <w:color w:val="000000"/>
          <w:vertAlign w:val="superscript"/>
        </w:rPr>
        <w:t>2</w:t>
      </w:r>
      <w:r w:rsidRPr="000322E4">
        <w:rPr>
          <w:i/>
          <w:color w:val="000000"/>
        </w:rPr>
        <w:t> уже обеспечивает необходимую лечебную концентрацию в головном мозг</w:t>
      </w:r>
      <w:r w:rsidR="00260AFA" w:rsidRPr="000322E4">
        <w:rPr>
          <w:i/>
          <w:color w:val="000000"/>
        </w:rPr>
        <w:t>е</w:t>
      </w:r>
      <w:r w:rsidRPr="000322E4">
        <w:rPr>
          <w:i/>
          <w:color w:val="000000"/>
        </w:rPr>
        <w:t>, а доза ≥ 3,5 г/м</w:t>
      </w:r>
      <w:r w:rsidRPr="000322E4">
        <w:rPr>
          <w:i/>
          <w:color w:val="000000"/>
          <w:vertAlign w:val="superscript"/>
        </w:rPr>
        <w:t>2</w:t>
      </w:r>
      <w:r w:rsidRPr="000322E4">
        <w:rPr>
          <w:i/>
          <w:color w:val="000000"/>
        </w:rPr>
        <w:t xml:space="preserve"> — в ликворе. На основании полученных данных наиболее эффективными режимами лечения признаны монотерапия высокими дозами MTX** (от </w:t>
      </w:r>
      <w:r w:rsidR="00260AFA" w:rsidRPr="000322E4">
        <w:rPr>
          <w:i/>
          <w:color w:val="000000"/>
        </w:rPr>
        <w:t>3</w:t>
      </w:r>
      <w:r w:rsidRPr="000322E4">
        <w:rPr>
          <w:i/>
          <w:color w:val="000000"/>
        </w:rPr>
        <w:t xml:space="preserve"> до 8 г/м</w:t>
      </w:r>
      <w:r w:rsidRPr="000322E4">
        <w:rPr>
          <w:i/>
          <w:color w:val="000000"/>
          <w:vertAlign w:val="superscript"/>
        </w:rPr>
        <w:t>2</w:t>
      </w:r>
      <w:r w:rsidRPr="000322E4">
        <w:rPr>
          <w:i/>
          <w:color w:val="000000"/>
        </w:rPr>
        <w:t>) и комбинация его с другими химиотерапевтическими агентами.</w:t>
      </w:r>
    </w:p>
    <w:p w14:paraId="5C7584A7" w14:textId="77777777" w:rsidR="0057542B" w:rsidRPr="000322E4" w:rsidRDefault="0057542B" w:rsidP="008A40EA">
      <w:pPr>
        <w:pStyle w:val="afff8"/>
        <w:spacing w:before="0"/>
      </w:pPr>
      <w:r w:rsidRPr="000322E4">
        <w:t>Пациентам с впервые верифицированной ПЛЦНС, которым по тем или иным причинам невозможно проведение терапии с включением высоких доз метотрексата** (≥3000 мг/м</w:t>
      </w:r>
      <w:r w:rsidRPr="000322E4">
        <w:rPr>
          <w:vertAlign w:val="superscript"/>
        </w:rPr>
        <w:t>2</w:t>
      </w:r>
      <w:r w:rsidRPr="000322E4">
        <w:t xml:space="preserve">),  </w:t>
      </w:r>
      <w:r w:rsidRPr="000322E4">
        <w:rPr>
          <w:b/>
        </w:rPr>
        <w:t>рекомендован</w:t>
      </w:r>
      <w:r w:rsidR="00F66932" w:rsidRPr="000322E4">
        <w:rPr>
          <w:b/>
        </w:rPr>
        <w:t>а</w:t>
      </w:r>
      <w:r w:rsidRPr="000322E4">
        <w:rPr>
          <w:b/>
        </w:rPr>
        <w:t xml:space="preserve"> </w:t>
      </w:r>
      <w:r w:rsidR="00F66932" w:rsidRPr="000322E4">
        <w:t xml:space="preserve">терапия комбинацией  </w:t>
      </w:r>
      <w:r w:rsidR="00D2304E" w:rsidRPr="00D2304E">
        <w:t>#</w:t>
      </w:r>
      <w:r w:rsidR="006C029F" w:rsidRPr="000322E4">
        <w:t>темозоломида** и ритуксимаба**</w:t>
      </w:r>
      <w:r w:rsidRPr="000322E4">
        <w:t xml:space="preserve"> (см. приложение А3.1) </w:t>
      </w:r>
      <w:r w:rsidRPr="000322E4">
        <w:rPr>
          <w:b/>
        </w:rPr>
        <w:t xml:space="preserve"> </w:t>
      </w:r>
      <w:r w:rsidRPr="000322E4">
        <w:fldChar w:fldCharType="begin" w:fldLock="1"/>
      </w:r>
      <w:r w:rsidR="00C37789" w:rsidRPr="000322E4">
        <w:instrText>ADDIN CSL_CITATION {"citationItems":[{"id":"ITEM-1","itemData":{"DOI":"10.1002/cncr.20339","ISSN":"0008-543X","abstract":"BACKGROUND. Methotrexate-based and alkylator-based chemotherapy regimens are associated with renal and bone marrow toxicities, which limit their use in patients with central nervous system (CNS) lymphomas. The authors report their experience with an immunochemotherapy regimen consisting of rituximab and temozolomide in patients with primary or metastatic CNS lymphoma. METHODS. Seven patients who had received rituximab and temozolomide were identified from the database of the brain tumor clinic at the authors' institution: three patients had developed recurrent primary CNS lymphoma (PCNSL), one patient had newly diagnosed PCNSL but had poor renal function, and three other patients with systemic non-Hodgkin lymphoma developed recurrent lymphoma in the brain only. Patients were scheduled to receive 4 cycles of induction rituximab on Day 1 and temozolomide on Days 1-5 of a 28-day cycle. Thereafter, their treatment included a total of up to 8 maintenance cycles of temozolomide alone on Days 1-5 of a 28-day cycle. A gadolinium-enhanced magnetic resonance image of the head was obtained after every two cycles of treatment. RESULTS. All patients received rituximab without toxicity. Of the 4 patients who received induction temozolomide at doses &gt; 150 mg/m2 daily on Days 1-5, 2 experienced Grade 2 leukopenia and thrombocytopenia. Five patients achieved a radiographic complete response, and two patients had partial responses after induction treatment. The median response duration was 6 months (range 3-12+ months), and the median survival was 8 months (range 3+-12+ months). CONCLUSIONS. Although median survival was short, immunochemotherapy with rituximab and temozolomide was well tolerated and exhibited efficacy in this elderly and heavily pretreated cohort. The data obtained in the current study suggest that the optimal induction dose combination consists of rituximab 375 mg/m2 on Day 1 and temozolomide 150 mg/m2 daily on Days 1-5. © 2004 American Cancer Society.","author":[{"dropping-particle":"","family":"Wong","given":"Eric T.","non-dropping-particle":"","parse-names":false,"suffix":""},{"dropping-particle":"","family":"Tishler","given":"Roy","non-dropping-particle":"","parse-names":false,"suffix":""},{"dropping-particle":"","family":"Barron","given":"Loretta","non-dropping-particle":"","parse-names":false,"suffix":""},{"dropping-particle":"","family":"Wu","given":"Julian K.","non-dropping-particle":"","parse-names":false,"suffix":""}],"container-title":"Cancer","id":"ITEM-1","issue":"1","issued":{"date-parts":[["2004","7","1"]]},"page":"139-145","title":"Immunochemotherapy with rituximab and temozolomide for central nervous system lymphomas","type":"article-journal","volume":"101"},"uris":["http://www.mendeley.com/documents/?uuid=d5d8adba-c9a5-3b37-a941-79d220a16009"]}],"mendeley":{"formattedCitation":"[80]","plainTextFormattedCitation":"[80]","previouslyFormattedCitation":"[80]"},"properties":{"noteIndex":0},"schema":"https://github.com/citation-style-language/schema/raw/master/csl-citation.json"}</w:instrText>
      </w:r>
      <w:r w:rsidRPr="000322E4">
        <w:fldChar w:fldCharType="separate"/>
      </w:r>
      <w:r w:rsidR="00C37789" w:rsidRPr="000322E4">
        <w:rPr>
          <w:noProof/>
        </w:rPr>
        <w:t>[80]</w:t>
      </w:r>
      <w:r w:rsidRPr="000322E4">
        <w:fldChar w:fldCharType="end"/>
      </w:r>
      <w:r w:rsidRPr="000322E4">
        <w:t>.</w:t>
      </w:r>
    </w:p>
    <w:p w14:paraId="236ED88C" w14:textId="77777777" w:rsidR="0057542B" w:rsidRPr="000322E4" w:rsidRDefault="0057542B" w:rsidP="00357C19">
      <w:pPr>
        <w:ind w:left="709"/>
        <w:contextualSpacing/>
        <w:rPr>
          <w:b/>
        </w:rPr>
      </w:pPr>
      <w:r w:rsidRPr="000322E4">
        <w:rPr>
          <w:b/>
        </w:rPr>
        <w:t xml:space="preserve">Уровень убедительности рекомендаций </w:t>
      </w:r>
      <w:r w:rsidR="006C029F" w:rsidRPr="000322E4">
        <w:rPr>
          <w:b/>
          <w:lang w:val="en-US"/>
        </w:rPr>
        <w:t>C</w:t>
      </w:r>
      <w:r w:rsidR="006C029F" w:rsidRPr="000322E4">
        <w:rPr>
          <w:b/>
        </w:rPr>
        <w:t xml:space="preserve"> </w:t>
      </w:r>
      <w:r w:rsidRPr="000322E4">
        <w:rPr>
          <w:b/>
        </w:rPr>
        <w:t xml:space="preserve">(уровень достоверности доказательств </w:t>
      </w:r>
      <w:r w:rsidR="008119CC" w:rsidRPr="000322E4">
        <w:rPr>
          <w:b/>
        </w:rPr>
        <w:t>4</w:t>
      </w:r>
      <w:r w:rsidRPr="000322E4">
        <w:rPr>
          <w:b/>
        </w:rPr>
        <w:t>).</w:t>
      </w:r>
    </w:p>
    <w:p w14:paraId="6E762DE6" w14:textId="77777777" w:rsidR="00357C19" w:rsidRPr="000322E4" w:rsidRDefault="00A6186F" w:rsidP="00357C19">
      <w:pPr>
        <w:pStyle w:val="afff8"/>
        <w:spacing w:before="0"/>
      </w:pPr>
      <w:r w:rsidRPr="000322E4">
        <w:t xml:space="preserve">Пациентам с ПЛЦНС </w:t>
      </w:r>
      <w:r w:rsidRPr="000322E4">
        <w:rPr>
          <w:lang w:eastAsia="ru-RU"/>
        </w:rPr>
        <w:t>при достижении полной ремиссии</w:t>
      </w:r>
      <w:r w:rsidR="009512F1" w:rsidRPr="000322E4">
        <w:rPr>
          <w:lang w:eastAsia="ru-RU"/>
        </w:rPr>
        <w:t xml:space="preserve"> после первой линии индукционной терапии</w:t>
      </w:r>
      <w:r w:rsidRPr="000322E4">
        <w:t xml:space="preserve"> </w:t>
      </w:r>
      <w:r w:rsidRPr="000322E4">
        <w:rPr>
          <w:b/>
        </w:rPr>
        <w:t xml:space="preserve">рекомендовано </w:t>
      </w:r>
      <w:r w:rsidRPr="000322E4">
        <w:rPr>
          <w:lang w:eastAsia="ru-RU"/>
        </w:rPr>
        <w:t>проведение этапа консолидации ремиссии</w:t>
      </w:r>
      <w:r w:rsidR="00357C19" w:rsidRPr="000322E4">
        <w:rPr>
          <w:lang w:eastAsia="ru-RU"/>
        </w:rPr>
        <w:t xml:space="preserve"> по одной из следующих терапевтических стратегий</w:t>
      </w:r>
      <w:r w:rsidRPr="000322E4">
        <w:rPr>
          <w:lang w:eastAsia="ru-RU"/>
        </w:rPr>
        <w:t xml:space="preserve">: </w:t>
      </w:r>
    </w:p>
    <w:p w14:paraId="46CBD5DA" w14:textId="77777777" w:rsidR="00357C19" w:rsidRPr="000322E4" w:rsidRDefault="00A6186F" w:rsidP="00357C19">
      <w:pPr>
        <w:pStyle w:val="afff8"/>
        <w:numPr>
          <w:ilvl w:val="1"/>
          <w:numId w:val="1"/>
        </w:numPr>
        <w:spacing w:before="0"/>
      </w:pPr>
      <w:r w:rsidRPr="000322E4">
        <w:rPr>
          <w:lang w:eastAsia="ru-RU"/>
        </w:rPr>
        <w:t>ВДХТ с аутоТГСК у пациентов моложе 65 лет</w:t>
      </w:r>
      <w:r w:rsidR="00357C19" w:rsidRPr="000322E4">
        <w:rPr>
          <w:lang w:eastAsia="ru-RU"/>
        </w:rPr>
        <w:t xml:space="preserve"> </w:t>
      </w:r>
      <w:r w:rsidR="00357C19" w:rsidRPr="000322E4">
        <w:rPr>
          <w:lang w:eastAsia="ru-RU"/>
        </w:rPr>
        <w:fldChar w:fldCharType="begin" w:fldLock="1"/>
      </w:r>
      <w:r w:rsidR="00C37789" w:rsidRPr="000322E4">
        <w:rPr>
          <w:lang w:eastAsia="ru-RU"/>
        </w:rPr>
        <w:instrText>ADDIN CSL_CITATION {"citationItems":[{"id":"ITEM-1","itemData":{"DOI":"10.1200/JCO.2006.06.2117","ISSN":"0732183X","abstract":"Purpose: To improve survival and reduce toxicity in primary CNS lymphoma (PCNSL) treatment, we conducted a multicenter phase II study with early high-dose chemotherapy (HDT) and autologous stem-cell transplantation (ASCT) followed by hyperfractionated whole-brain radiotherapy (WBRT) for newly diagnosed PCNSL patients younger than 65 years of age. Patients and Methods: Chemotherapy included three steps: three cycles of methotrexate (8 g/m 2); cytarabine (AraC; two doses of 3 g/m2) and thiotepa (40 mg/m2) followed by stem-cell harvest; HDT with carmustine (400 mg/m2) and thiotepa (two doses of 5 mg/kg body weight) followed by ASCT. WBRT (45 Gy, two doses of 1 Gy/d) was administered for consolidation. Results: Thirty patients with PCNSL younger than 65 years of age (median, 54 years; range, 27 years to 64 years) were enrolled (nine pilot-phase; 21 phase II). Twenty-eight patients responded to methotrexate: six patients with complete remission (CR), 15 patients with partial remission (PR), and seven patients with stable disease (SD) with clinical improvement. Of 26 patients proceeding to AraC and thiotepa, 10 patients achieved CR, 14 patients achieved PR, one patient experienced SD with clinical improvement, and one patient suffered disease progression. Twenty-three patients received HDT plus ASCT, resulting in 15 patients with CRs and eight patients with PRs. After WBRT, 21 of 21 patients had CRs. One patient died from liver failure after methotrexate. HDT was well tolerated apart from WHO grade 3/4 cytopenia. With a median follow-up of 63 months (range, 4 months to 84 months), 5-year overall survival probability is 69% for all patients and 87% for the 23 patients receiving HDT plus ASCT. The 5-year probability of relapse-related death is 21% for all patients (n = 30) and 8.7% for patients treated with HDT plus ASCT (n = 23). Conclusion: Sequential systemic methotrexate and AraC and thiotepa followed by HDT plus ASCT and hyperfractionated WBRT is very effective with little toxicity as initial therapy for PCNSL. © 2006 by American Society of Clinical Oncology.","author":[{"dropping-particle":"","family":"Illerhaus","given":"Gerald","non-dropping-particle":"","parse-names":false,"suffix":""},{"dropping-particle":"","family":"Marks","given":"Reinhard","non-dropping-particle":"","parse-names":false,"suffix":""},{"dropping-particle":"","family":"Ihorst","given":"Gabriele","non-dropping-particle":"","parse-names":false,"suffix":""},{"dropping-particle":"","family":"Guttenberger","given":"Roland","non-dropping-particle":"","parse-names":false,"suffix":""},{"dropping-particle":"","family":"Ostertag","given":"Christoph","non-dropping-particle":"","parse-names":false,"suffix":""},{"dropping-particle":"","family":"Derigs","given":"Günther","non-dropping-particle":"","parse-names":false,"suffix":""},{"dropping-particle":"","family":"Frickhofen","given":"Norbert","non-dropping-particle":"","parse-names":false,"suffix":""},{"dropping-particle":"","family":"Feuerhake","given":"Friedrich","non-dropping-particle":"","parse-names":false,"suffix":""},{"dropping-particle":"","family":"Volk","given":"Benedikt","non-dropping-particle":"","parse-names":false,"suffix":""},{"dropping-particle":"","family":"Finke","given":"Jürgen","non-dropping-particle":"","parse-names":false,"suffix":""}],"container-title":"Journal of Clinical Oncology","id":"ITEM-1","issue":"24","issued":{"date-parts":[["2006","8","20"]]},"page":"3865-3870","title":"High-dose chemotherapy with autologous stem-cell transplantation and hyperfractionated radiotherapy as first-line treatment of primary CNS lymphoma","type":"article-journal","volume":"24"},"uris":["http://www.mendeley.com/documents/?uuid=f8b152aa-293d-3ad2-8ea6-ed0af35f5a68"]},{"id":"ITEM-2","itemData":{"DOI":"10.1200/JCO.18.00306","ISSN":"1527-7755","PMID":"30785830","abstract":"PURPOSE To determine the efficacy and toxicity of chemoimmunotherapy followed by either whole-brain radiotherapy (WBRT) or intensive chemotherapy and autologous stem-cell transplantation (ASCT) as a first-line treatment of primary CNS lymphoma (PCNSL). PATIENTS AND METHODS Immunocompetent patients (18 to 60 years of age) with untreated PCNSL were randomly assigned to receive WBRT or ASCT as consolidation treatment after induction chemotherapy consisting of two cycles of R-MBVP (rituximab 375 mg/m2 day (D) 1, methotrexate 3 g/m2 D1; D15, VP16 100 mg/m2 D2, BCNU 100 mg/m2 D3, prednisone 60 mg/kg/d D1-D5) followed by two cycles of R-AraC (rituximab 375 mg/m2 D1, cytarabine 3 g/m2 D1 to D2). Intensive chemotherapy consisted of thiotepa (250 mg/m2/d D9; D8; D7), busulfan (8 mg/kg D6 through D4), and cyclophosphamide (60 mg/kg/d D3; D2). WBRT delivered 40 Gy (2 Gy/fraction). The primary end point was 2-year progression-free survival. Cognitive outcome was the main secondary end point. Analysis was intention to treat in a noncomparative phase II trial. RESULTS Between October 2008 and February 2014, 140 patients were recruited from 23 French centers. Both WBRT and ASCT met the predetermined threshold (among the first 38 patients in each group, at least 24 patients were alive and disease free at 2 years). The 2-year progression-free survival rates were 63% (95% CI, 49% to 81%) and 87% (95% CI, 77% to 98%) in the WBRT and ASCT arms, respectively. Toxicity deaths were recorded in one and five patients after WBRT and ASCT, respectively. Cognitive impairment was observed after WBRT, whereas cognitive functions were preserved or improved after ASCT. CONCLUSION WBRT and ASCT are effective consolidation treatments for patients with PCNSL who are 60 years of age and younger. The efficacy end points tended to favor the ASCT arm. The specific risk of each procedure should be considered.","author":[{"dropping-particle":"","family":"Houillier","given":"Caroline","non-dropping-particle":"","parse-names":false,"suffix":""},{"dropping-particle":"","family":"Taillandier","given":"Luc","non-dropping-particle":"","parse-names":false,"suffix":""},{"dropping-particle":"","family":"Dureau","given":"Sylvain","non-dropping-particle":"","parse-names":false,"suffix":""},{"dropping-particle":"","family":"Lamy","given":"Thierry","non-dropping-particle":"","parse-names":false,"suffix":""},{"dropping-particle":"","family":"Laadhari","given":"Mouna","non-dropping-particle":"","parse-names":false,"suffix":""},{"dropping-particle":"","family":"Chinot","given":"Olivier","non-dropping-particle":"","parse-names":false,"suffix":""},{"dropping-particle":"","family":"Moluçon-Chabrot","given":"Cecile","non-dropping-particle":"","parse-names":false,"suffix":""},{"dropping-particle":"","family":"Soubeyran","given":"Pierre","non-dropping-particle":"","parse-names":false,"suffix":""},{"dropping-particle":"","family":"Gressin","given":"Remy","non-dropping-particle":"","parse-names":false,"suffix":""},{"dropping-particle":"","family":"Choquet","given":"Sylvain","non-dropping-particle":"","parse-names":false,"suffix":""},{"dropping-particle":"","family":"Damaj","given":"Gandhi","non-dropping-particle":"","parse-names":false,"suffix":""},{"dropping-particle":"","family":"Thyss","given":"Antoine","non-dropping-particle":"","parse-names":false,"suffix":""},{"dropping-particle":"","family":"Abraham","given":"Julie","non-dropping-particle":"","parse-names":false,"suffix":""},{"dropping-particle":"","family":"Delwail","given":"Vincent","non-dropping-particle":"","parse-names":false,"suffix":""},{"dropping-particle":"","family":"Gyan","given":"Emmanuel","non-dropping-particle":"","parse-names":false,"suffix":""},{"dropping-particle":"","family":"Sanhes","given":"Laurence","non-dropping-particle":"","parse-names":false,"suffix":""},{"dropping-particle":"","family":"Cornillon","given":"Jérôme","non-dropping-particle":"","parse-names":false,"suffix":""},{"dropping-particle":"","family":"Garidi","given":"Reda","non-dropping-particle":"","parse-names":false,"suffix":""},{"dropping-particle":"","family":"Delmer","given":"Alain","non-dropping-particle":"","parse-names":false,"suffix":""},{"dropping-particle":"","family":"Tanguy","given":"Marie-Laure","non-dropping-particle":"","parse-names":false,"suffix":""},{"dropping-particle":"","family":"Jijakli","given":"Ahmad","non-dropping-particle":"Al","parse-names":false,"suffix":""},{"dropping-particle":"","family":"Morel","given":"Pierre","non-dropping-particle":"","parse-names":false,"suffix":""},{"dropping-particle":"","family":"Bourquard","given":"Pascal","non-dropping-particle":"","parse-names":false,"suffix":""},{"dropping-particle":"","family":"Moles","given":"Marie-Pierre","non-dropping-particle":"","parse-names":false,"suffix":""},{"dropping-particle":"","family":"Chauchet","given":"Adrien","non-dropping-particle":"","parse-names":false,"suffix":""},{"dropping-particle":"","family":"Gastinne","given":"Thomas","non-dropping-particle":"","parse-names":false,"suffix":""},{"dropping-particle":"","family":"Constans","given":"Jean-Marc","non-dropping-particle":"","parse-names":false,"suffix":""},{"dropping-particle":"","family":"Langer","given":"Adriana","non-dropping-particle":"","parse-names":false,"suffix":""},{"dropping-particle":"","family":"Martin","given":"Antoine","non-dropping-particle":"","parse-names":false,"suffix":""},{"dropping-particle":"","family":"Moisson","given":"Patricia","non-dropping-particle":"","parse-names":false,"suffix":""},{"dropping-particle":"","family":"Lacomblez","given":"Lucette","non-dropping-particle":"","parse-names":false,"suffix":""},{"dropping-particle":"","family":"Martin-Duverneuil","given":"Nadine","non-dropping-particle":"","parse-names":false,"suffix":""},{"dropping-particle":"","family":"Delgadillo","given":"Daniel","non-dropping-particle":"","parse-names":false,"suffix":""},{"dropping-particle":"","family":"Turbiez","given":"Isabelle","non-dropping-particle":"","parse-names":false,"suffix":""},{"dropping-particle":"","family":"Feuvret","given":"Loïc","non-dropping-particle":"","parse-names":false,"suffix":""},{"dropping-particle":"","family":"Cassoux","given":"Nathalie","non-dropping-particle":"","parse-names":false,"suffix":""},{"dropping-particle":"","family":"Touitou","given":"Valérie","non-dropping-particle":"","parse-names":false,"suffix":""},{"dropping-particle":"","family":"Ricard","given":"Damien","non-dropping-particle":"","parse-names":false,"suffix":""},{"dropping-particle":"","family":"Hoang-Xuan","given":"Khê","non-dropping-particle":"","parse-names":false,"suffix":""},{"dropping-particle":"","family":"Soussain","given":"Carole","non-dropping-particle":"","parse-names":false,"suffix":""},{"dropping-particle":"","family":"Intergroupe GOELAMS–ANOCEF and the LOC Network for CNS Lymphoma","given":"","non-dropping-particle":"","parse-names":false,"suffix":""}],"container-title":"Journal of clinical oncology : official journal of the American Society of Clinical Oncology","id":"ITEM-2","issue":"10","issued":{"date-parts":[["2019","4","1"]]},"page":"823-833","publisher":"American Society of Clinical Oncology","title":"Radiotherapy or Autologous Stem-Cell Transplantation for Primary CNS Lymphoma in Patients 60 Years of Age and Younger: Results of the Intergroup ANOCEF-GOELAMS Randomized Phase II PRECIS Study.","type":"article-journal","volume":"37"},"uris":["http://www.mendeley.com/documents/?uuid=3c1f7860-8a64-35f6-b2b0-4d605f1581c6"]}],"mendeley":{"formattedCitation":"[81,82]","plainTextFormattedCitation":"[81,82]","previouslyFormattedCitation":"[81,82]"},"properties":{"noteIndex":0},"schema":"https://github.com/citation-style-language/schema/raw/master/csl-citation.json"}</w:instrText>
      </w:r>
      <w:r w:rsidR="00357C19" w:rsidRPr="000322E4">
        <w:rPr>
          <w:lang w:eastAsia="ru-RU"/>
        </w:rPr>
        <w:fldChar w:fldCharType="separate"/>
      </w:r>
      <w:r w:rsidR="00C37789" w:rsidRPr="000322E4">
        <w:rPr>
          <w:noProof/>
          <w:lang w:eastAsia="ru-RU"/>
        </w:rPr>
        <w:t>[81,82]</w:t>
      </w:r>
      <w:r w:rsidR="00357C19" w:rsidRPr="000322E4">
        <w:rPr>
          <w:lang w:eastAsia="ru-RU"/>
        </w:rPr>
        <w:fldChar w:fldCharType="end"/>
      </w:r>
      <w:r w:rsidRPr="000322E4">
        <w:rPr>
          <w:lang w:eastAsia="ru-RU"/>
        </w:rPr>
        <w:t xml:space="preserve">, </w:t>
      </w:r>
    </w:p>
    <w:p w14:paraId="14D7EB6F" w14:textId="77777777" w:rsidR="00357C19" w:rsidRPr="000322E4" w:rsidRDefault="00A6186F" w:rsidP="00357C19">
      <w:pPr>
        <w:pStyle w:val="afff8"/>
        <w:numPr>
          <w:ilvl w:val="1"/>
          <w:numId w:val="1"/>
        </w:numPr>
        <w:spacing w:before="0"/>
      </w:pPr>
      <w:r w:rsidRPr="000322E4">
        <w:rPr>
          <w:lang w:eastAsia="ru-RU"/>
        </w:rPr>
        <w:t>химиотерапи</w:t>
      </w:r>
      <w:r w:rsidR="00357C19" w:rsidRPr="000322E4">
        <w:rPr>
          <w:lang w:eastAsia="ru-RU"/>
        </w:rPr>
        <w:t>я</w:t>
      </w:r>
      <w:r w:rsidRPr="000322E4">
        <w:rPr>
          <w:lang w:eastAsia="ru-RU"/>
        </w:rPr>
        <w:t xml:space="preserve"> с включением высоких доз цитарабина** +/- </w:t>
      </w:r>
      <w:r w:rsidR="00212EF5" w:rsidRPr="000322E4">
        <w:rPr>
          <w:lang w:eastAsia="ru-RU"/>
        </w:rPr>
        <w:t>высокие дозы метотрексата</w:t>
      </w:r>
      <w:r w:rsidR="00357C19" w:rsidRPr="000322E4">
        <w:rPr>
          <w:lang w:eastAsia="ru-RU"/>
        </w:rPr>
        <w:t xml:space="preserve"> (см. приложение А3.1)</w:t>
      </w:r>
      <w:r w:rsidR="00212EF5" w:rsidRPr="000322E4">
        <w:rPr>
          <w:lang w:eastAsia="ru-RU"/>
        </w:rPr>
        <w:t xml:space="preserve"> </w:t>
      </w:r>
      <w:r w:rsidR="00416CC7" w:rsidRPr="000322E4">
        <w:rPr>
          <w:lang w:eastAsia="ru-RU"/>
        </w:rPr>
        <w:fldChar w:fldCharType="begin" w:fldLock="1"/>
      </w:r>
      <w:r w:rsidR="00C37789" w:rsidRPr="000322E4">
        <w:rPr>
          <w:lang w:eastAsia="ru-RU"/>
        </w:rPr>
        <w:instrText>ADDIN CSL_CITATION {"citationItems":[{"id":"ITEM-1","itemData":{"DOI":"10.1016/S0140-6736(09)61416-1","ISSN":"01406736","abstract":"Background: Chemotherapy with high-dose methotrexate is the conventional approach to treat primary CNS lymphomas, but superiority of polychemotherapy compared with high-dose methotrexate alone is unproven. We assessed the effect of adding high-dose cytarabine to methotrexate in patients with newly diagnosed primary CNS lymphoma. Methods: This open, randomised, phase 2 trial was undertaken in 24 centres in six countries. 79 patients with non-Hodgkin lymphoma exclusively localised into the CNS, cranial nerves, or eyes, aged 18-75 years, and with Eastern Cooperative Oncology Group performance status of 3 or lower and measurable disease were centrally randomly assigned by computer to receive four courses of either methotrexate 3·5 g/m2 on day 1 (n=40) or methotrexate 3·5 g/m2 on day 1 plus cytarabine 2 g/m2 twice a day on days 2-3 (n=39). Both regimens were administered every 3 weeks and were followed by whole-brain irradiation. The primary endpoint was complete remission rate after chemotherapy. Analysis was by intention to treat. This study is registered with ClinicalTrials.gov, number NCT00210314. Findings: All randomly assigned participants were analysed. After chemotherapy, seven patients given methotrexate and 18 given methotrexate plus cytarabine achieved a complete remission, with a complete remission rate of 18% (95% CI 6-30) and 46% (31-61), respectively, (p=0·006). Nine patients receiving methotrexate and nine receiving methotrexate plus cytarabine achieved a partial response, with an overall response rate of 40% (25-55) and 69% (55-83), respectively, (p=0·009). Grade 3-4 haematological toxicity was more common in the methotrexate plus cytarabine group than in the methotrexate group (36 [92%] vs six [15%]). Four patients died of toxic effects (three vs one). Interpretation: In patients aged 75 years and younger with primary CNS lymphoma, the addition of high-dose cytarabine to high-dose methotrexate provides improved outcome with acceptable toxicity compared with high-dose methotrexate alone. Funding: Swiss Cancer League. © 2009 Elsevier Ltd. All rights reserved.","author":[{"dropping-particle":"","family":"Ferreri","given":"Andrés JM","non-dropping-particle":"","parse-names":false,"suffix":""},{"dropping-particle":"","family":"Reni","given":"Michele","non-dropping-particle":"","parse-names":false,"suffix":""},{"dropping-particle":"","family":"Foppoli","given":"Marco","non-dropping-particle":"","parse-names":false,"suffix":""},{"dropping-particle":"","family":"Martelli","given":"Maurizio","non-dropping-particle":"","parse-names":false,"suffix":""},{"dropping-particle":"","family":"Pangalis","given":"Gerasimus A.","non-dropping-particle":"","parse-names":false,"suffix":""},{"dropping-particle":"","family":"Frezzato","given":"Maurizio","non-dropping-particle":"","parse-names":false,"suffix":""},{"dropping-particle":"","family":"Cabras","given":"Maria Giuseppina","non-dropping-particle":"","parse-names":false,"suffix":""},{"dropping-particle":"","family":"Fabbri","given":"Alberto","non-dropping-particle":"","parse-names":false,"suffix":""},{"dropping-particle":"","family":"Corazzelli","given":"Gaetano","non-dropping-particle":"","parse-names":false,"suffix":""},{"dropping-particle":"","family":"Ilariucci","given":"Fiorella","non-dropping-particle":"","parse-names":false,"suffix":""},{"dropping-particle":"","family":"Rossi","given":"Giuseppe","non-dropping-particle":"","parse-names":false,"suffix":""},{"dropping-particle":"","family":"Soffietti","given":"Riccardo","non-dropping-particle":"","parse-names":false,"suffix":""},{"dropping-particle":"","family":"Stelitano","given":"Caterina","non-dropping-particle":"","parse-names":false,"suffix":""},{"dropping-particle":"","family":"Vallisa","given":"Daniele","non-dropping-particle":"","parse-names":false,"suffix":""},{"dropping-particle":"","family":"Zaja","given":"Francesco","non-dropping-particle":"","parse-names":false,"suffix":""},{"dropping-particle":"","family":"Zoppegno","given":"Lucía","non-dropping-particle":"","parse-names":false,"suffix":""},{"dropping-particle":"","family":"Aondio","given":"Gian Marco","non-dropping-particle":"","parse-names":false,"suffix":""},{"dropping-particle":"","family":"Avvisati","given":"Giuseppe","non-dropping-particle":"","parse-names":false,"suffix":""},{"dropping-particle":"","family":"Balzarotti","given":"Monica","non-dropping-particle":"","parse-names":false,"suffix":""},{"dropping-particle":"","family":"Brandes","given":"Alba A.","non-dropping-particle":"","parse-names":false,"suffix":""},{"dropping-particle":"","family":"Fajardo","given":"José","non-dropping-particle":"","parse-names":false,"suffix":""},{"dropping-particle":"","family":"Gomez","given":"Henry","non-dropping-particle":"","parse-names":false,"suffix":""},{"dropping-particle":"","family":"Guarini","given":"Attilio","non-dropping-particle":"","parse-names":false,"suffix":""},{"dropping-particle":"","family":"Pinotti","given":"Graziella","non-dropping-particle":"","parse-names":false,"suffix":""},{"dropping-particle":"","family":"Rigacci","given":"Luigi","non-dropping-particle":"","parse-names":false,"suffix":""},{"dropping-particle":"","family":"Uhlmann","given":"Catrina","non-dropping-particle":"","parse-names":false,"suffix":""},{"dropping-particle":"","family":"Picozzi","given":"Piero","non-dropping-particle":"","parse-names":false,"suffix":""},{"dropping-particle":"","family":"Vezzulli","given":"Paolo","non-dropping-particle":"","parse-names":false,"suffix":""},{"dropping-particle":"","family":"Ponzoni","given":"Maurilio","non-dropping-particle":"","parse-names":false,"suffix":""},{"dropping-particle":"","family":"Zucca","given":"Emanuele","non-dropping-particle":"","parse-names":false,"suffix":""},{"dropping-particle":"","family":"Caligaris-Cappio","given":"Federico","non-dropping-particle":"","parse-names":false,"suffix":""},{"dropping-particle":"","family":"Cavalli","given":"Franco","non-dropping-particle":"","parse-names":false,"suffix":""}],"container-title":"The Lancet","id":"ITEM-1","issue":"9700","issued":{"date-parts":[["2009"]]},"page":"1512-1520","title":"High-dose cytarabine plus high-dose methotrexate versus high-dose methotrexate alone in patients with primary CNS lymphoma: a randomised phase 2 trial","type":"article-journal","volume":"374"},"uris":["http://www.mendeley.com/documents/?uuid=ff6c34eb-65ed-333e-878d-5d30c9dd2ebd"]},{"id":"ITEM-2","itemData":{"DOI":"10.1016/S2352-3026(16)00036-3","ISSN":"23523026","abstract":"Background: Standard treatment for patients with primary CNS lymphoma remains to be defined. Active therapies are often associated with increased risk of haematological or neurological toxicity. In this trial, we addressed the tolerability and efficacy of adding rituximab with or without thiotepa to methotrexate-cytarabine combination therapy (the MATRix regimen), followed by a second randomisation comparing consolidation with whole-brain radiotherapy or autologous stem cell transplantation in patients with primary CNS lymphoma. We report the results of the first randomisation in this Article. Methods: For the international randomised phase 2 International Extranodal Lymphoma Study Group-32 (IELSG32) trial, HIV-negative patients (aged 18-70 years) with newly diagnosed primary CNS lymphoma and measurable disease were enrolled from 53 cancer centres in five European countries (Denmark, Germany, Italy, Switzerland, and the UK) and randomly assigned (1:1:1) to receive four courses of methotrexate 3·5 g/m2 on day 1 plus cytarabine 2 g/m2 twice daily on days 2 and 3 (group A); or the same combination plus two doses of rituximab 375 mg/m2 on days -5 and 0 (group B); or the same methotrexate-cytarabine-rituximab combination plus thiotepa 30 mg/m2 on day 4 (group C), with the three groups repeating treatment every 3 weeks. Patients with responsive or stable disease after the first stage were then randomly allocated between whole-brain radiotherapy and autologous stem cell transplantation. A permuted blocks randomised design (block size four) was used for both randomisations, and a computer-generated randomisation list was used within each stratum to preserve allocation concealment. Randomisation was stratified by IELSG risk score (low vs intermediate vs high). No masking after assignment to intervention was used. The primary endpoint of the first randomisation was the complete remission rate, analysed by modified intention to treat. This study is registered with ClinicalTrials.gov, number NCT01011920. Findings: Between Feb 19, 2010, and Aug 27, 2014, 227 eligible patients were recruited. 219 of these 227 enrolled patients were assessable. At median follow-up of 30 months (IQR 22-38), patients treated with rituximab and thiotepa had a complete remission rate of 49% (95% CI 38-60), compared with 23% (14-31) of those treated with methotrexate-cytarabine alone (hazard ratio 0·46, 95% CI 0·28-0·74) and 30% (21-42) of those treated with methotrexate-cytarabine plus ri…","author":[{"dropping-particle":"","family":"Ferreri","given":"Andrés J.M.","non-dropping-particle":"","parse-names":false,"suffix":""},{"dropping-particle":"","family":"Cwynarski","given":"Kate","non-dropping-particle":"","parse-names":false,"suffix":""},{"dropping-particle":"","family":"Pulczynski","given":"Elisa","non-dropping-particle":"","parse-names":false,"suffix":""},{"dropping-particle":"","family":"Ponzoni","given":"Maurilio","non-dropping-particle":"","parse-names":false,"suffix":""},{"dropping-particle":"","family":"Deckert","given":"Martina","non-dropping-particle":"","parse-names":false,"suffix":""},{"dropping-particle":"","family":"Politi","given":"Letterio S.","non-dropping-particle":"","parse-names":false,"suffix":""},{"dropping-particle":"","family":"Torri","given":"Valter","non-dropping-particle":"","parse-names":false,"suffix":""},{"dropping-particle":"","family":"Fox","given":"Christopher P.","non-dropping-particle":"","parse-names":false,"suffix":""},{"dropping-particle":"La","family":"Rosée","given":"Paul","non-dropping-particle":"","parse-names":false,"suffix":""},{"dropping-particle":"","family":"Schorb","given":"Elisabeth","non-dropping-particle":"","parse-names":false,"suffix":""},{"dropping-particle":"","family":"Ambrosetti","given":"Achille","non-dropping-particle":"","parse-names":false,"suffix":""},{"dropping-particle":"","family":"Roth","given":"Alexander","non-dropping-particle":"","parse-names":false,"suffix":""},{"dropping-particle":"","family":"Hemmaway","given":"Claire","non-dropping-particle":"","parse-names":false,"suffix":""},{"dropping-particle":"","family":"Ferrari","given":"Angela","non-dropping-particle":"","parse-names":false,"suffix":""},{"dropping-particle":"","family":"Linton","given":"Kim M.","non-dropping-particle":"","parse-names":false,"suffix":""},{"dropping-particle":"","family":"Rudà","given":"Roberta","non-dropping-particle":"","parse-names":false,"suffix":""},{"dropping-particle":"","family":"Binder","given":"Mascha","non-dropping-particle":"","parse-names":false,"suffix":""},{"dropping-particle":"","family":"Pukrop","given":"Tobias","non-dropping-particle":"","parse-names":false,"suffix":""},{"dropping-particle":"","family":"Balzarotti","given":"Monica","non-dropping-particle":"","parse-names":false,"suffix":""},{"dropping-particle":"","family":"Fabbri","given":"Alberto","non-dropping-particle":"","parse-names":false,"suffix":""},{"dropping-particle":"","family":"Johnson","given":"Peter","non-dropping-particle":"","parse-names":false,"suffix":""},{"dropping-particle":"","family":"Gørløv","given":"Jette Sønderskov","non-dropping-particle":"","parse-names":false,"suffix":""},{"dropping-particle":"","family":"Hess","given":"Georg","non-dropping-particle":"","parse-names":false,"suffix":""},{"dropping-particle":"","family":"Panse","given":"Jens","non-dropping-particle":"","parse-names":false,"suffix":""},{"dropping-particle":"","family":"Pisani","given":"Francesco","non-dropping-particle":"","parse-names":false,"suffix":""},{"dropping-particle":"","family":"Tucci","given":"Alessandra","non-dropping-particle":"","parse-names":false,"suffix":""},{"dropping-particle":"","family":"Stilgenbauer","given":"Stephan","non-dropping-particle":"","parse-names":false,"suffix":""},{"dropping-particle":"","family":"Hertenstein","given":"Bernd","non-dropping-particle":"","parse-names":false,"suffix":""},{"dropping-particle":"","family":"Keller","given":"Ulrich","non-dropping-particle":"","parse-names":false,"suffix":""},{"dropping-particle":"","family":"Krause","given":"Stefan W.","non-dropping-particle":"","parse-names":false,"suffix":""},{"dropping-particle":"","family":"Levis","given":"Alessandro","non-dropping-particle":"","parse-names":false,"suffix":""},{"dropping-particle":"","family":"Schmoll","given":"Hans J.","non-dropping-particle":"","parse-names":false,"suffix":""},{"dropping-particle":"","family":"Cavalli","given":"Franco","non-dropping-particle":"","parse-names":false,"suffix":""},{"dropping-particle":"","family":"Finke","given":"Jürgen","non-dropping-particle":"","parse-names":false,"suffix":""},{"dropping-particle":"","family":"Reni","given":"Michele","non-dropping-particle":"","parse-names":false,"suffix":""},{"dropping-particle":"","family":"Zucca","given":"Emanuele","non-dropping-particle":"","parse-names":false,"suffix":""},{"dropping-particle":"","family":"Illerhaus","given":"Gerald","non-dropping-particle":"","parse-names":false,"suffix":""}],"container-title":"The Lancet Haematology","id":"ITEM-2","issue":"5","issued":{"date-parts":[["2016","5","1"]]},"page":"e217-e227","publisher":"Elsevier Ltd","title":"Chemoimmunotherapy with methotrexate, cytarabine, thiotepa, and rituximab (MATRix regimen) in patients with primary CNS lymphoma: Results of the first randomisation of the International Extranodal Lymphoma Study Group-32 (IELSG32) phase 2 trial","type":"article-journal","volume":"3"},"uris":["http://www.mendeley.com/documents/?uuid=dba9195b-19f7-3b8c-bc61-a75828657f4a"]}],"mendeley":{"formattedCitation":"[73,83]","plainTextFormattedCitation":"[73,83]","previouslyFormattedCitation":"[73,83]"},"properties":{"noteIndex":0},"schema":"https://github.com/citation-style-language/schema/raw/master/csl-citation.json"}</w:instrText>
      </w:r>
      <w:r w:rsidR="00416CC7" w:rsidRPr="000322E4">
        <w:rPr>
          <w:lang w:eastAsia="ru-RU"/>
        </w:rPr>
        <w:fldChar w:fldCharType="separate"/>
      </w:r>
      <w:r w:rsidR="00C37789" w:rsidRPr="000322E4">
        <w:rPr>
          <w:noProof/>
          <w:lang w:eastAsia="ru-RU"/>
        </w:rPr>
        <w:t>[73,83]</w:t>
      </w:r>
      <w:r w:rsidR="00416CC7" w:rsidRPr="000322E4">
        <w:rPr>
          <w:lang w:eastAsia="ru-RU"/>
        </w:rPr>
        <w:fldChar w:fldCharType="end"/>
      </w:r>
    </w:p>
    <w:p w14:paraId="3A6FAFA1" w14:textId="77777777" w:rsidR="00A6186F" w:rsidRPr="000322E4" w:rsidRDefault="00A6186F" w:rsidP="00A76511">
      <w:pPr>
        <w:pStyle w:val="afff8"/>
        <w:numPr>
          <w:ilvl w:val="1"/>
          <w:numId w:val="1"/>
        </w:numPr>
        <w:spacing w:before="0"/>
      </w:pPr>
      <w:r w:rsidRPr="000322E4">
        <w:rPr>
          <w:lang w:eastAsia="ru-RU"/>
        </w:rPr>
        <w:t>проведение лучевой терапии</w:t>
      </w:r>
      <w:r w:rsidRPr="000322E4">
        <w:t xml:space="preserve"> </w:t>
      </w:r>
      <w:r w:rsidR="009375D9" w:rsidRPr="000322E4">
        <w:t>на весь головной мозг СОД 2</w:t>
      </w:r>
      <w:r w:rsidR="00212EF5" w:rsidRPr="000322E4">
        <w:t>3,</w:t>
      </w:r>
      <w:r w:rsidR="009375D9" w:rsidRPr="000322E4">
        <w:t>4 Гр, РОД 1,8 Гр</w:t>
      </w:r>
      <w:r w:rsidR="00212EF5" w:rsidRPr="000322E4">
        <w:t xml:space="preserve"> </w:t>
      </w:r>
      <w:r w:rsidR="00212EF5" w:rsidRPr="000322E4">
        <w:rPr>
          <w:lang w:val="en-US"/>
        </w:rPr>
        <w:fldChar w:fldCharType="begin" w:fldLock="1"/>
      </w:r>
      <w:r w:rsidR="00C37789" w:rsidRPr="000322E4">
        <w:rPr>
          <w:lang w:val="en-US"/>
        </w:rPr>
        <w:instrText>ADDIN</w:instrText>
      </w:r>
      <w:r w:rsidR="00C37789" w:rsidRPr="000322E4">
        <w:instrText xml:space="preserve"> </w:instrText>
      </w:r>
      <w:r w:rsidR="00C37789" w:rsidRPr="000322E4">
        <w:rPr>
          <w:lang w:val="en-US"/>
        </w:rPr>
        <w:instrText>CSL</w:instrText>
      </w:r>
      <w:r w:rsidR="00C37789" w:rsidRPr="000322E4">
        <w:instrText>_</w:instrText>
      </w:r>
      <w:r w:rsidR="00C37789" w:rsidRPr="000322E4">
        <w:rPr>
          <w:lang w:val="en-US"/>
        </w:rPr>
        <w:instrText>CITATION</w:instrText>
      </w:r>
      <w:r w:rsidR="00C37789" w:rsidRPr="000322E4">
        <w:instrText xml:space="preserve"> {"</w:instrText>
      </w:r>
      <w:r w:rsidR="00C37789" w:rsidRPr="000322E4">
        <w:rPr>
          <w:lang w:val="en-US"/>
        </w:rPr>
        <w:instrText>citationItems</w:instrText>
      </w:r>
      <w:r w:rsidR="00C37789" w:rsidRPr="000322E4">
        <w:instrText>":[{"</w:instrText>
      </w:r>
      <w:r w:rsidR="00C37789" w:rsidRPr="000322E4">
        <w:rPr>
          <w:lang w:val="en-US"/>
        </w:rPr>
        <w:instrText>id</w:instrText>
      </w:r>
      <w:r w:rsidR="00C37789" w:rsidRPr="000322E4">
        <w:instrText>":"</w:instrText>
      </w:r>
      <w:r w:rsidR="00C37789" w:rsidRPr="000322E4">
        <w:rPr>
          <w:lang w:val="en-US"/>
        </w:rPr>
        <w:instrText>ITEM</w:instrText>
      </w:r>
      <w:r w:rsidR="00C37789" w:rsidRPr="000322E4">
        <w:instrText>-1","</w:instrText>
      </w:r>
      <w:r w:rsidR="00C37789" w:rsidRPr="000322E4">
        <w:rPr>
          <w:lang w:val="en-US"/>
        </w:rPr>
        <w:instrText>itemData</w:instrText>
      </w:r>
      <w:r w:rsidR="00C37789" w:rsidRPr="000322E4">
        <w:instrText>":{"</w:instrText>
      </w:r>
      <w:r w:rsidR="00C37789" w:rsidRPr="000322E4">
        <w:rPr>
          <w:lang w:val="en-US"/>
        </w:rPr>
        <w:instrText>DOI</w:instrText>
      </w:r>
      <w:r w:rsidR="00C37789" w:rsidRPr="000322E4">
        <w:instrText>":"10.1200/</w:instrText>
      </w:r>
      <w:r w:rsidR="00C37789" w:rsidRPr="000322E4">
        <w:rPr>
          <w:lang w:val="en-US"/>
        </w:rPr>
        <w:instrText>JCO</w:instrText>
      </w:r>
      <w:r w:rsidR="00C37789" w:rsidRPr="000322E4">
        <w:instrText>.2013.50.4910","</w:instrText>
      </w:r>
      <w:r w:rsidR="00C37789" w:rsidRPr="000322E4">
        <w:rPr>
          <w:lang w:val="en-US"/>
        </w:rPr>
        <w:instrText>ISSN</w:instrText>
      </w:r>
      <w:r w:rsidR="00C37789" w:rsidRPr="000322E4">
        <w:instrText>":"15277755","</w:instrText>
      </w:r>
      <w:r w:rsidR="00C37789" w:rsidRPr="000322E4">
        <w:rPr>
          <w:lang w:val="en-US"/>
        </w:rPr>
        <w:instrText>abstract</w:instrText>
      </w:r>
      <w:r w:rsidR="00C37789" w:rsidRPr="000322E4">
        <w:instrText>":"</w:instrText>
      </w:r>
      <w:r w:rsidR="00C37789" w:rsidRPr="000322E4">
        <w:rPr>
          <w:lang w:val="en-US"/>
        </w:rPr>
        <w:instrText>Purpose</w:instrText>
      </w:r>
      <w:r w:rsidR="00C37789" w:rsidRPr="000322E4">
        <w:instrText xml:space="preserve">: </w:instrText>
      </w:r>
      <w:r w:rsidR="00C37789" w:rsidRPr="000322E4">
        <w:rPr>
          <w:lang w:val="en-US"/>
        </w:rPr>
        <w:instrText>A</w:instrText>
      </w:r>
      <w:r w:rsidR="00C37789" w:rsidRPr="000322E4">
        <w:instrText xml:space="preserve"> </w:instrText>
      </w:r>
      <w:r w:rsidR="00C37789" w:rsidRPr="000322E4">
        <w:rPr>
          <w:lang w:val="en-US"/>
        </w:rPr>
        <w:instrText>multicenter</w:instrText>
      </w:r>
      <w:r w:rsidR="00C37789" w:rsidRPr="000322E4">
        <w:instrText xml:space="preserve"> </w:instrText>
      </w:r>
      <w:r w:rsidR="00C37789" w:rsidRPr="000322E4">
        <w:rPr>
          <w:lang w:val="en-US"/>
        </w:rPr>
        <w:instrText>phase</w:instrText>
      </w:r>
      <w:r w:rsidR="00C37789" w:rsidRPr="000322E4">
        <w:instrText xml:space="preserve"> </w:instrText>
      </w:r>
      <w:r w:rsidR="00C37789" w:rsidRPr="000322E4">
        <w:rPr>
          <w:lang w:val="en-US"/>
        </w:rPr>
        <w:instrText>II</w:instrText>
      </w:r>
      <w:r w:rsidR="00C37789" w:rsidRPr="000322E4">
        <w:instrText xml:space="preserve"> </w:instrText>
      </w:r>
      <w:r w:rsidR="00C37789" w:rsidRPr="000322E4">
        <w:rPr>
          <w:lang w:val="en-US"/>
        </w:rPr>
        <w:instrText>study</w:instrText>
      </w:r>
      <w:r w:rsidR="00C37789" w:rsidRPr="000322E4">
        <w:instrText xml:space="preserve"> </w:instrText>
      </w:r>
      <w:r w:rsidR="00C37789" w:rsidRPr="000322E4">
        <w:rPr>
          <w:lang w:val="en-US"/>
        </w:rPr>
        <w:instrText>was</w:instrText>
      </w:r>
      <w:r w:rsidR="00C37789" w:rsidRPr="000322E4">
        <w:instrText xml:space="preserve"> </w:instrText>
      </w:r>
      <w:r w:rsidR="00C37789" w:rsidRPr="000322E4">
        <w:rPr>
          <w:lang w:val="en-US"/>
        </w:rPr>
        <w:instrText>conducted</w:instrText>
      </w:r>
      <w:r w:rsidR="00C37789" w:rsidRPr="000322E4">
        <w:instrText xml:space="preserve"> </w:instrText>
      </w:r>
      <w:r w:rsidR="00C37789" w:rsidRPr="000322E4">
        <w:rPr>
          <w:lang w:val="en-US"/>
        </w:rPr>
        <w:instrText>to</w:instrText>
      </w:r>
      <w:r w:rsidR="00C37789" w:rsidRPr="000322E4">
        <w:instrText xml:space="preserve"> </w:instrText>
      </w:r>
      <w:r w:rsidR="00C37789" w:rsidRPr="000322E4">
        <w:rPr>
          <w:lang w:val="en-US"/>
        </w:rPr>
        <w:instrText>assess</w:instrText>
      </w:r>
      <w:r w:rsidR="00C37789" w:rsidRPr="000322E4">
        <w:instrText xml:space="preserve"> </w:instrText>
      </w:r>
      <w:r w:rsidR="00C37789" w:rsidRPr="000322E4">
        <w:rPr>
          <w:lang w:val="en-US"/>
        </w:rPr>
        <w:instrText>the</w:instrText>
      </w:r>
      <w:r w:rsidR="00C37789" w:rsidRPr="000322E4">
        <w:instrText xml:space="preserve"> </w:instrText>
      </w:r>
      <w:r w:rsidR="00C37789" w:rsidRPr="000322E4">
        <w:rPr>
          <w:lang w:val="en-US"/>
        </w:rPr>
        <w:instrText>efficacy</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rituximab</w:instrText>
      </w:r>
      <w:r w:rsidR="00C37789" w:rsidRPr="000322E4">
        <w:instrText xml:space="preserve">, </w:instrText>
      </w:r>
      <w:r w:rsidR="00C37789" w:rsidRPr="000322E4">
        <w:rPr>
          <w:lang w:val="en-US"/>
        </w:rPr>
        <w:instrText>methotrexate</w:instrText>
      </w:r>
      <w:r w:rsidR="00C37789" w:rsidRPr="000322E4">
        <w:instrText xml:space="preserve">, </w:instrText>
      </w:r>
      <w:r w:rsidR="00C37789" w:rsidRPr="000322E4">
        <w:rPr>
          <w:lang w:val="en-US"/>
        </w:rPr>
        <w:instrText>procarbazine</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vincristine</w:instrText>
      </w:r>
      <w:r w:rsidR="00C37789" w:rsidRPr="000322E4">
        <w:instrText xml:space="preserve"> (</w:instrText>
      </w:r>
      <w:r w:rsidR="00C37789" w:rsidRPr="000322E4">
        <w:rPr>
          <w:lang w:val="en-US"/>
        </w:rPr>
        <w:instrText>R</w:instrText>
      </w:r>
      <w:r w:rsidR="00C37789" w:rsidRPr="000322E4">
        <w:instrText>-</w:instrText>
      </w:r>
      <w:r w:rsidR="00C37789" w:rsidRPr="000322E4">
        <w:rPr>
          <w:lang w:val="en-US"/>
        </w:rPr>
        <w:instrText>MPV</w:instrText>
      </w:r>
      <w:r w:rsidR="00C37789" w:rsidRPr="000322E4">
        <w:instrText xml:space="preserve">) </w:instrText>
      </w:r>
      <w:r w:rsidR="00C37789" w:rsidRPr="000322E4">
        <w:rPr>
          <w:lang w:val="en-US"/>
        </w:rPr>
        <w:instrText>followed</w:instrText>
      </w:r>
      <w:r w:rsidR="00C37789" w:rsidRPr="000322E4">
        <w:instrText xml:space="preserve"> </w:instrText>
      </w:r>
      <w:r w:rsidR="00C37789" w:rsidRPr="000322E4">
        <w:rPr>
          <w:lang w:val="en-US"/>
        </w:rPr>
        <w:instrText>by</w:instrText>
      </w:r>
      <w:r w:rsidR="00C37789" w:rsidRPr="000322E4">
        <w:instrText xml:space="preserve"> </w:instrText>
      </w:r>
      <w:r w:rsidR="00C37789" w:rsidRPr="000322E4">
        <w:rPr>
          <w:lang w:val="en-US"/>
        </w:rPr>
        <w:instrText>consolidation</w:instrText>
      </w:r>
      <w:r w:rsidR="00C37789" w:rsidRPr="000322E4">
        <w:instrText xml:space="preserve"> </w:instrText>
      </w:r>
      <w:r w:rsidR="00C37789" w:rsidRPr="000322E4">
        <w:rPr>
          <w:lang w:val="en-US"/>
        </w:rPr>
        <w:instrText>reduced</w:instrText>
      </w:r>
      <w:r w:rsidR="00C37789" w:rsidRPr="000322E4">
        <w:instrText>-</w:instrText>
      </w:r>
      <w:r w:rsidR="00C37789" w:rsidRPr="000322E4">
        <w:rPr>
          <w:lang w:val="en-US"/>
        </w:rPr>
        <w:instrText>dose</w:instrText>
      </w:r>
      <w:r w:rsidR="00C37789" w:rsidRPr="000322E4">
        <w:instrText xml:space="preserve"> </w:instrText>
      </w:r>
      <w:r w:rsidR="00C37789" w:rsidRPr="000322E4">
        <w:rPr>
          <w:lang w:val="en-US"/>
        </w:rPr>
        <w:instrText>whole</w:instrText>
      </w:r>
      <w:r w:rsidR="00C37789" w:rsidRPr="000322E4">
        <w:instrText>-</w:instrText>
      </w:r>
      <w:r w:rsidR="00C37789" w:rsidRPr="000322E4">
        <w:rPr>
          <w:lang w:val="en-US"/>
        </w:rPr>
        <w:instrText>brain</w:instrText>
      </w:r>
      <w:r w:rsidR="00C37789" w:rsidRPr="000322E4">
        <w:instrText xml:space="preserve"> </w:instrText>
      </w:r>
      <w:r w:rsidR="00C37789" w:rsidRPr="000322E4">
        <w:rPr>
          <w:lang w:val="en-US"/>
        </w:rPr>
        <w:instrText>radiotherapy</w:instrText>
      </w:r>
      <w:r w:rsidR="00C37789" w:rsidRPr="000322E4">
        <w:instrText xml:space="preserve"> (</w:instrText>
      </w:r>
      <w:r w:rsidR="00C37789" w:rsidRPr="000322E4">
        <w:rPr>
          <w:lang w:val="en-US"/>
        </w:rPr>
        <w:instrText>rdWBRT</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cytarabine</w:instrText>
      </w:r>
      <w:r w:rsidR="00C37789" w:rsidRPr="000322E4">
        <w:instrText xml:space="preserve"> </w:instrText>
      </w:r>
      <w:r w:rsidR="00C37789" w:rsidRPr="000322E4">
        <w:rPr>
          <w:lang w:val="en-US"/>
        </w:rPr>
        <w:instrText>in</w:instrText>
      </w:r>
      <w:r w:rsidR="00C37789" w:rsidRPr="000322E4">
        <w:instrText xml:space="preserve"> </w:instrText>
      </w:r>
      <w:r w:rsidR="00C37789" w:rsidRPr="000322E4">
        <w:rPr>
          <w:lang w:val="en-US"/>
        </w:rPr>
        <w:instrText>primary</w:instrText>
      </w:r>
      <w:r w:rsidR="00C37789" w:rsidRPr="000322E4">
        <w:instrText xml:space="preserve"> </w:instrText>
      </w:r>
      <w:r w:rsidR="00C37789" w:rsidRPr="000322E4">
        <w:rPr>
          <w:lang w:val="en-US"/>
        </w:rPr>
        <w:instrText>CNS</w:instrText>
      </w:r>
      <w:r w:rsidR="00C37789" w:rsidRPr="000322E4">
        <w:instrText xml:space="preserve"> </w:instrText>
      </w:r>
      <w:r w:rsidR="00C37789" w:rsidRPr="000322E4">
        <w:rPr>
          <w:lang w:val="en-US"/>
        </w:rPr>
        <w:instrText>lymphoma</w:instrText>
      </w:r>
      <w:r w:rsidR="00C37789" w:rsidRPr="000322E4">
        <w:instrText xml:space="preserve">. </w:instrText>
      </w:r>
      <w:r w:rsidR="00C37789" w:rsidRPr="000322E4">
        <w:rPr>
          <w:lang w:val="en-US"/>
        </w:rPr>
        <w:instrText>Patients</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Methods</w:instrText>
      </w:r>
      <w:r w:rsidR="00C37789" w:rsidRPr="000322E4">
        <w:instrText xml:space="preserve">: </w:instrText>
      </w:r>
      <w:r w:rsidR="00C37789" w:rsidRPr="000322E4">
        <w:rPr>
          <w:lang w:val="en-US"/>
        </w:rPr>
        <w:instrText>Patients</w:instrText>
      </w:r>
      <w:r w:rsidR="00C37789" w:rsidRPr="000322E4">
        <w:instrText xml:space="preserve"> </w:instrText>
      </w:r>
      <w:r w:rsidR="00C37789" w:rsidRPr="000322E4">
        <w:rPr>
          <w:lang w:val="en-US"/>
        </w:rPr>
        <w:instrText>received</w:instrText>
      </w:r>
      <w:r w:rsidR="00C37789" w:rsidRPr="000322E4">
        <w:instrText xml:space="preserve"> </w:instrText>
      </w:r>
      <w:r w:rsidR="00C37789" w:rsidRPr="000322E4">
        <w:rPr>
          <w:lang w:val="en-US"/>
        </w:rPr>
        <w:instrText>induction</w:instrText>
      </w:r>
      <w:r w:rsidR="00C37789" w:rsidRPr="000322E4">
        <w:instrText xml:space="preserve"> </w:instrText>
      </w:r>
      <w:r w:rsidR="00C37789" w:rsidRPr="000322E4">
        <w:rPr>
          <w:lang w:val="en-US"/>
        </w:rPr>
        <w:instrText>chemotherapy</w:instrText>
      </w:r>
      <w:r w:rsidR="00C37789" w:rsidRPr="000322E4">
        <w:instrText xml:space="preserve"> </w:instrText>
      </w:r>
      <w:r w:rsidR="00C37789" w:rsidRPr="000322E4">
        <w:rPr>
          <w:lang w:val="en-US"/>
        </w:rPr>
        <w:instrText>with</w:instrText>
      </w:r>
      <w:r w:rsidR="00C37789" w:rsidRPr="000322E4">
        <w:instrText xml:space="preserve"> </w:instrText>
      </w:r>
      <w:r w:rsidR="00C37789" w:rsidRPr="000322E4">
        <w:rPr>
          <w:lang w:val="en-US"/>
        </w:rPr>
        <w:instrText>R</w:instrText>
      </w:r>
      <w:r w:rsidR="00C37789" w:rsidRPr="000322E4">
        <w:instrText>-</w:instrText>
      </w:r>
      <w:r w:rsidR="00C37789" w:rsidRPr="000322E4">
        <w:rPr>
          <w:lang w:val="en-US"/>
        </w:rPr>
        <w:instrText>MPV</w:instrText>
      </w:r>
      <w:r w:rsidR="00C37789" w:rsidRPr="000322E4">
        <w:instrText xml:space="preserve"> (</w:instrText>
      </w:r>
      <w:r w:rsidR="00C37789" w:rsidRPr="000322E4">
        <w:rPr>
          <w:lang w:val="en-US"/>
        </w:rPr>
        <w:instrText>five</w:instrText>
      </w:r>
      <w:r w:rsidR="00C37789" w:rsidRPr="000322E4">
        <w:instrText xml:space="preserve"> </w:instrText>
      </w:r>
      <w:r w:rsidR="00C37789" w:rsidRPr="000322E4">
        <w:rPr>
          <w:lang w:val="en-US"/>
        </w:rPr>
        <w:instrText>to</w:instrText>
      </w:r>
      <w:r w:rsidR="00C37789" w:rsidRPr="000322E4">
        <w:instrText xml:space="preserve"> </w:instrText>
      </w:r>
      <w:r w:rsidR="00C37789" w:rsidRPr="000322E4">
        <w:rPr>
          <w:lang w:val="en-US"/>
        </w:rPr>
        <w:instrText>seven</w:instrText>
      </w:r>
      <w:r w:rsidR="00C37789" w:rsidRPr="000322E4">
        <w:instrText xml:space="preserve"> </w:instrText>
      </w:r>
      <w:r w:rsidR="00C37789" w:rsidRPr="000322E4">
        <w:rPr>
          <w:lang w:val="en-US"/>
        </w:rPr>
        <w:instrText>cycles</w:instrText>
      </w:r>
      <w:r w:rsidR="00C37789" w:rsidRPr="000322E4">
        <w:instrText xml:space="preserve">); </w:instrText>
      </w:r>
      <w:r w:rsidR="00C37789" w:rsidRPr="000322E4">
        <w:rPr>
          <w:lang w:val="en-US"/>
        </w:rPr>
        <w:instrText>those</w:instrText>
      </w:r>
      <w:r w:rsidR="00C37789" w:rsidRPr="000322E4">
        <w:instrText xml:space="preserve"> </w:instrText>
      </w:r>
      <w:r w:rsidR="00C37789" w:rsidRPr="000322E4">
        <w:rPr>
          <w:lang w:val="en-US"/>
        </w:rPr>
        <w:instrText>achieving</w:instrText>
      </w:r>
      <w:r w:rsidR="00C37789" w:rsidRPr="000322E4">
        <w:instrText xml:space="preserve"> </w:instrText>
      </w:r>
      <w:r w:rsidR="00C37789" w:rsidRPr="000322E4">
        <w:rPr>
          <w:lang w:val="en-US"/>
        </w:rPr>
        <w:instrText>a</w:instrText>
      </w:r>
      <w:r w:rsidR="00C37789" w:rsidRPr="000322E4">
        <w:instrText xml:space="preserve"> </w:instrText>
      </w:r>
      <w:r w:rsidR="00C37789" w:rsidRPr="000322E4">
        <w:rPr>
          <w:lang w:val="en-US"/>
        </w:rPr>
        <w:instrText>complete</w:instrText>
      </w:r>
      <w:r w:rsidR="00C37789" w:rsidRPr="000322E4">
        <w:instrText xml:space="preserve"> </w:instrText>
      </w:r>
      <w:r w:rsidR="00C37789" w:rsidRPr="000322E4">
        <w:rPr>
          <w:lang w:val="en-US"/>
        </w:rPr>
        <w:instrText>response</w:instrText>
      </w:r>
      <w:r w:rsidR="00C37789" w:rsidRPr="000322E4">
        <w:instrText xml:space="preserve"> (</w:instrText>
      </w:r>
      <w:r w:rsidR="00C37789" w:rsidRPr="000322E4">
        <w:rPr>
          <w:lang w:val="en-US"/>
        </w:rPr>
        <w:instrText>CR</w:instrText>
      </w:r>
      <w:r w:rsidR="00C37789" w:rsidRPr="000322E4">
        <w:instrText xml:space="preserve">) </w:instrText>
      </w:r>
      <w:r w:rsidR="00C37789" w:rsidRPr="000322E4">
        <w:rPr>
          <w:lang w:val="en-US"/>
        </w:rPr>
        <w:instrText>received</w:instrText>
      </w:r>
      <w:r w:rsidR="00C37789" w:rsidRPr="000322E4">
        <w:instrText xml:space="preserve"> </w:instrText>
      </w:r>
      <w:r w:rsidR="00C37789" w:rsidRPr="000322E4">
        <w:rPr>
          <w:lang w:val="en-US"/>
        </w:rPr>
        <w:instrText>rdWBRT</w:instrText>
      </w:r>
      <w:r w:rsidR="00C37789" w:rsidRPr="000322E4">
        <w:instrText xml:space="preserve"> (23.4 </w:instrText>
      </w:r>
      <w:r w:rsidR="00C37789" w:rsidRPr="000322E4">
        <w:rPr>
          <w:lang w:val="en-US"/>
        </w:rPr>
        <w:instrText>Gy</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otherwise</w:instrText>
      </w:r>
      <w:r w:rsidR="00C37789" w:rsidRPr="000322E4">
        <w:instrText xml:space="preserve">, </w:instrText>
      </w:r>
      <w:r w:rsidR="00C37789" w:rsidRPr="000322E4">
        <w:rPr>
          <w:lang w:val="en-US"/>
        </w:rPr>
        <w:instrText>standard</w:instrText>
      </w:r>
      <w:r w:rsidR="00C37789" w:rsidRPr="000322E4">
        <w:instrText xml:space="preserve"> </w:instrText>
      </w:r>
      <w:r w:rsidR="00C37789" w:rsidRPr="000322E4">
        <w:rPr>
          <w:lang w:val="en-US"/>
        </w:rPr>
        <w:instrText>WBRT</w:instrText>
      </w:r>
      <w:r w:rsidR="00C37789" w:rsidRPr="000322E4">
        <w:instrText xml:space="preserve"> </w:instrText>
      </w:r>
      <w:r w:rsidR="00C37789" w:rsidRPr="000322E4">
        <w:rPr>
          <w:lang w:val="en-US"/>
        </w:rPr>
        <w:instrText>was</w:instrText>
      </w:r>
      <w:r w:rsidR="00C37789" w:rsidRPr="000322E4">
        <w:instrText xml:space="preserve"> </w:instrText>
      </w:r>
      <w:r w:rsidR="00C37789" w:rsidRPr="000322E4">
        <w:rPr>
          <w:lang w:val="en-US"/>
        </w:rPr>
        <w:instrText>offered</w:instrText>
      </w:r>
      <w:r w:rsidR="00C37789" w:rsidRPr="000322E4">
        <w:instrText xml:space="preserve"> (45 </w:instrText>
      </w:r>
      <w:r w:rsidR="00C37789" w:rsidRPr="000322E4">
        <w:rPr>
          <w:lang w:val="en-US"/>
        </w:rPr>
        <w:instrText>Gy</w:instrText>
      </w:r>
      <w:r w:rsidR="00C37789" w:rsidRPr="000322E4">
        <w:instrText xml:space="preserve">). </w:instrText>
      </w:r>
      <w:r w:rsidR="00C37789" w:rsidRPr="000322E4">
        <w:rPr>
          <w:lang w:val="en-US"/>
        </w:rPr>
        <w:instrText>Consolidation</w:instrText>
      </w:r>
      <w:r w:rsidR="00C37789" w:rsidRPr="000322E4">
        <w:instrText xml:space="preserve"> </w:instrText>
      </w:r>
      <w:r w:rsidR="00C37789" w:rsidRPr="000322E4">
        <w:rPr>
          <w:lang w:val="en-US"/>
        </w:rPr>
        <w:instrText>cytarabine</w:instrText>
      </w:r>
      <w:r w:rsidR="00C37789" w:rsidRPr="000322E4">
        <w:instrText xml:space="preserve"> </w:instrText>
      </w:r>
      <w:r w:rsidR="00C37789" w:rsidRPr="000322E4">
        <w:rPr>
          <w:lang w:val="en-US"/>
        </w:rPr>
        <w:instrText>was</w:instrText>
      </w:r>
      <w:r w:rsidR="00C37789" w:rsidRPr="000322E4">
        <w:instrText xml:space="preserve"> </w:instrText>
      </w:r>
      <w:r w:rsidR="00C37789" w:rsidRPr="000322E4">
        <w:rPr>
          <w:lang w:val="en-US"/>
        </w:rPr>
        <w:instrText>given</w:instrText>
      </w:r>
      <w:r w:rsidR="00C37789" w:rsidRPr="000322E4">
        <w:instrText xml:space="preserve"> </w:instrText>
      </w:r>
      <w:r w:rsidR="00C37789" w:rsidRPr="000322E4">
        <w:rPr>
          <w:lang w:val="en-US"/>
        </w:rPr>
        <w:instrText>after</w:instrText>
      </w:r>
      <w:r w:rsidR="00C37789" w:rsidRPr="000322E4">
        <w:instrText xml:space="preserve"> </w:instrText>
      </w:r>
      <w:r w:rsidR="00C37789" w:rsidRPr="000322E4">
        <w:rPr>
          <w:lang w:val="en-US"/>
        </w:rPr>
        <w:instrText>the</w:instrText>
      </w:r>
      <w:r w:rsidR="00C37789" w:rsidRPr="000322E4">
        <w:instrText xml:space="preserve"> </w:instrText>
      </w:r>
      <w:r w:rsidR="00C37789" w:rsidRPr="000322E4">
        <w:rPr>
          <w:lang w:val="en-US"/>
        </w:rPr>
        <w:instrText>radiotherapy</w:instrText>
      </w:r>
      <w:r w:rsidR="00C37789" w:rsidRPr="000322E4">
        <w:instrText xml:space="preserve">. </w:instrText>
      </w:r>
      <w:r w:rsidR="00C37789" w:rsidRPr="000322E4">
        <w:rPr>
          <w:lang w:val="en-US"/>
        </w:rPr>
        <w:instrText>The</w:instrText>
      </w:r>
      <w:r w:rsidR="00C37789" w:rsidRPr="000322E4">
        <w:instrText xml:space="preserve"> </w:instrText>
      </w:r>
      <w:r w:rsidR="00C37789" w:rsidRPr="000322E4">
        <w:rPr>
          <w:lang w:val="en-US"/>
        </w:rPr>
        <w:instrText>primary</w:instrText>
      </w:r>
      <w:r w:rsidR="00C37789" w:rsidRPr="000322E4">
        <w:instrText xml:space="preserve"> </w:instrText>
      </w:r>
      <w:r w:rsidR="00C37789" w:rsidRPr="000322E4">
        <w:rPr>
          <w:lang w:val="en-US"/>
        </w:rPr>
        <w:instrText>end</w:instrText>
      </w:r>
      <w:r w:rsidR="00C37789" w:rsidRPr="000322E4">
        <w:instrText xml:space="preserve"> </w:instrText>
      </w:r>
      <w:r w:rsidR="00C37789" w:rsidRPr="000322E4">
        <w:rPr>
          <w:lang w:val="en-US"/>
        </w:rPr>
        <w:instrText>point</w:instrText>
      </w:r>
      <w:r w:rsidR="00C37789" w:rsidRPr="000322E4">
        <w:instrText xml:space="preserve"> </w:instrText>
      </w:r>
      <w:r w:rsidR="00C37789" w:rsidRPr="000322E4">
        <w:rPr>
          <w:lang w:val="en-US"/>
        </w:rPr>
        <w:instrText>was</w:instrText>
      </w:r>
      <w:r w:rsidR="00C37789" w:rsidRPr="000322E4">
        <w:instrText xml:space="preserve"> 2-</w:instrText>
      </w:r>
      <w:r w:rsidR="00C37789" w:rsidRPr="000322E4">
        <w:rPr>
          <w:lang w:val="en-US"/>
        </w:rPr>
        <w:instrText>year</w:instrText>
      </w:r>
      <w:r w:rsidR="00C37789" w:rsidRPr="000322E4">
        <w:instrText xml:space="preserve"> </w:instrText>
      </w:r>
      <w:r w:rsidR="00C37789" w:rsidRPr="000322E4">
        <w:rPr>
          <w:lang w:val="en-US"/>
        </w:rPr>
        <w:instrText>progression</w:instrText>
      </w:r>
      <w:r w:rsidR="00C37789" w:rsidRPr="000322E4">
        <w:instrText>-</w:instrText>
      </w:r>
      <w:r w:rsidR="00C37789" w:rsidRPr="000322E4">
        <w:rPr>
          <w:lang w:val="en-US"/>
        </w:rPr>
        <w:instrText>free</w:instrText>
      </w:r>
      <w:r w:rsidR="00C37789" w:rsidRPr="000322E4">
        <w:instrText xml:space="preserve"> </w:instrText>
      </w:r>
      <w:r w:rsidR="00C37789" w:rsidRPr="000322E4">
        <w:rPr>
          <w:lang w:val="en-US"/>
        </w:rPr>
        <w:instrText>survival</w:instrText>
      </w:r>
      <w:r w:rsidR="00C37789" w:rsidRPr="000322E4">
        <w:instrText xml:space="preserve"> (</w:instrText>
      </w:r>
      <w:r w:rsidR="00C37789" w:rsidRPr="000322E4">
        <w:rPr>
          <w:lang w:val="en-US"/>
        </w:rPr>
        <w:instrText>PFS</w:instrText>
      </w:r>
      <w:r w:rsidR="00C37789" w:rsidRPr="000322E4">
        <w:instrText xml:space="preserve">) </w:instrText>
      </w:r>
      <w:r w:rsidR="00C37789" w:rsidRPr="000322E4">
        <w:rPr>
          <w:lang w:val="en-US"/>
        </w:rPr>
        <w:instrText>in</w:instrText>
      </w:r>
      <w:r w:rsidR="00C37789" w:rsidRPr="000322E4">
        <w:instrText xml:space="preserve"> </w:instrText>
      </w:r>
      <w:r w:rsidR="00C37789" w:rsidRPr="000322E4">
        <w:rPr>
          <w:lang w:val="en-US"/>
        </w:rPr>
        <w:instrText>patients</w:instrText>
      </w:r>
      <w:r w:rsidR="00C37789" w:rsidRPr="000322E4">
        <w:instrText xml:space="preserve"> </w:instrText>
      </w:r>
      <w:r w:rsidR="00C37789" w:rsidRPr="000322E4">
        <w:rPr>
          <w:lang w:val="en-US"/>
        </w:rPr>
        <w:instrText>receiving</w:instrText>
      </w:r>
      <w:r w:rsidR="00C37789" w:rsidRPr="000322E4">
        <w:instrText xml:space="preserve"> </w:instrText>
      </w:r>
      <w:r w:rsidR="00C37789" w:rsidRPr="000322E4">
        <w:rPr>
          <w:lang w:val="en-US"/>
        </w:rPr>
        <w:instrText>rdWBRT</w:instrText>
      </w:r>
      <w:r w:rsidR="00C37789" w:rsidRPr="000322E4">
        <w:instrText xml:space="preserve">. </w:instrText>
      </w:r>
      <w:r w:rsidR="00C37789" w:rsidRPr="000322E4">
        <w:rPr>
          <w:lang w:val="en-US"/>
        </w:rPr>
        <w:instrText>Exploratory</w:instrText>
      </w:r>
      <w:r w:rsidR="00C37789" w:rsidRPr="000322E4">
        <w:instrText xml:space="preserve"> </w:instrText>
      </w:r>
      <w:r w:rsidR="00C37789" w:rsidRPr="000322E4">
        <w:rPr>
          <w:lang w:val="en-US"/>
        </w:rPr>
        <w:instrText>end</w:instrText>
      </w:r>
      <w:r w:rsidR="00C37789" w:rsidRPr="000322E4">
        <w:instrText xml:space="preserve"> </w:instrText>
      </w:r>
      <w:r w:rsidR="00C37789" w:rsidRPr="000322E4">
        <w:rPr>
          <w:lang w:val="en-US"/>
        </w:rPr>
        <w:instrText>points</w:instrText>
      </w:r>
      <w:r w:rsidR="00C37789" w:rsidRPr="000322E4">
        <w:instrText xml:space="preserve"> </w:instrText>
      </w:r>
      <w:r w:rsidR="00C37789" w:rsidRPr="000322E4">
        <w:rPr>
          <w:lang w:val="en-US"/>
        </w:rPr>
        <w:instrText>included</w:instrText>
      </w:r>
      <w:r w:rsidR="00C37789" w:rsidRPr="000322E4">
        <w:instrText xml:space="preserve"> </w:instrText>
      </w:r>
      <w:r w:rsidR="00C37789" w:rsidRPr="000322E4">
        <w:rPr>
          <w:lang w:val="en-US"/>
        </w:rPr>
        <w:instrText>prospective</w:instrText>
      </w:r>
      <w:r w:rsidR="00C37789" w:rsidRPr="000322E4">
        <w:instrText xml:space="preserve"> </w:instrText>
      </w:r>
      <w:r w:rsidR="00C37789" w:rsidRPr="000322E4">
        <w:rPr>
          <w:lang w:val="en-US"/>
        </w:rPr>
        <w:instrText>neuropsychological</w:instrText>
      </w:r>
      <w:r w:rsidR="00C37789" w:rsidRPr="000322E4">
        <w:instrText xml:space="preserve"> </w:instrText>
      </w:r>
      <w:r w:rsidR="00C37789" w:rsidRPr="000322E4">
        <w:rPr>
          <w:lang w:val="en-US"/>
        </w:rPr>
        <w:instrText>evaluation</w:instrText>
      </w:r>
      <w:r w:rsidR="00C37789" w:rsidRPr="000322E4">
        <w:instrText xml:space="preserve">, </w:instrText>
      </w:r>
      <w:r w:rsidR="00C37789" w:rsidRPr="000322E4">
        <w:rPr>
          <w:lang w:val="en-US"/>
        </w:rPr>
        <w:instrText>analysis</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magnetic</w:instrText>
      </w:r>
      <w:r w:rsidR="00C37789" w:rsidRPr="000322E4">
        <w:instrText xml:space="preserve"> </w:instrText>
      </w:r>
      <w:r w:rsidR="00C37789" w:rsidRPr="000322E4">
        <w:rPr>
          <w:lang w:val="en-US"/>
        </w:rPr>
        <w:instrText>resonance</w:instrText>
      </w:r>
      <w:r w:rsidR="00C37789" w:rsidRPr="000322E4">
        <w:instrText xml:space="preserve"> </w:instrText>
      </w:r>
      <w:r w:rsidR="00C37789" w:rsidRPr="000322E4">
        <w:rPr>
          <w:lang w:val="en-US"/>
        </w:rPr>
        <w:instrText>imaging</w:instrText>
      </w:r>
      <w:r w:rsidR="00C37789" w:rsidRPr="000322E4">
        <w:instrText xml:space="preserve"> (</w:instrText>
      </w:r>
      <w:r w:rsidR="00C37789" w:rsidRPr="000322E4">
        <w:rPr>
          <w:lang w:val="en-US"/>
        </w:rPr>
        <w:instrText>MRI</w:instrText>
      </w:r>
      <w:r w:rsidR="00C37789" w:rsidRPr="000322E4">
        <w:instrText xml:space="preserve">) </w:instrText>
      </w:r>
      <w:r w:rsidR="00C37789" w:rsidRPr="000322E4">
        <w:rPr>
          <w:lang w:val="en-US"/>
        </w:rPr>
        <w:instrText>white</w:instrText>
      </w:r>
      <w:r w:rsidR="00C37789" w:rsidRPr="000322E4">
        <w:instrText xml:space="preserve"> </w:instrText>
      </w:r>
      <w:r w:rsidR="00C37789" w:rsidRPr="000322E4">
        <w:rPr>
          <w:lang w:val="en-US"/>
        </w:rPr>
        <w:instrText>matter</w:instrText>
      </w:r>
      <w:r w:rsidR="00C37789" w:rsidRPr="000322E4">
        <w:instrText xml:space="preserve"> </w:instrText>
      </w:r>
      <w:r w:rsidR="00C37789" w:rsidRPr="000322E4">
        <w:rPr>
          <w:lang w:val="en-US"/>
        </w:rPr>
        <w:instrText>changes</w:instrText>
      </w:r>
      <w:r w:rsidR="00C37789" w:rsidRPr="000322E4">
        <w:instrText xml:space="preserve"> </w:instrText>
      </w:r>
      <w:r w:rsidR="00C37789" w:rsidRPr="000322E4">
        <w:rPr>
          <w:lang w:val="en-US"/>
        </w:rPr>
        <w:instrText>using</w:instrText>
      </w:r>
      <w:r w:rsidR="00C37789" w:rsidRPr="000322E4">
        <w:instrText xml:space="preserve"> </w:instrText>
      </w:r>
      <w:r w:rsidR="00C37789" w:rsidRPr="000322E4">
        <w:rPr>
          <w:lang w:val="en-US"/>
        </w:rPr>
        <w:instrText>the</w:instrText>
      </w:r>
      <w:r w:rsidR="00C37789" w:rsidRPr="000322E4">
        <w:instrText xml:space="preserve"> </w:instrText>
      </w:r>
      <w:r w:rsidR="00C37789" w:rsidRPr="000322E4">
        <w:rPr>
          <w:lang w:val="en-US"/>
        </w:rPr>
        <w:instrText>Fazekas</w:instrText>
      </w:r>
      <w:r w:rsidR="00C37789" w:rsidRPr="000322E4">
        <w:instrText xml:space="preserve"> </w:instrText>
      </w:r>
      <w:r w:rsidR="00C37789" w:rsidRPr="000322E4">
        <w:rPr>
          <w:lang w:val="en-US"/>
        </w:rPr>
        <w:instrText>scale</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evaluation</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the</w:instrText>
      </w:r>
      <w:r w:rsidR="00C37789" w:rsidRPr="000322E4">
        <w:instrText xml:space="preserve"> </w:instrText>
      </w:r>
      <w:r w:rsidR="00C37789" w:rsidRPr="000322E4">
        <w:rPr>
          <w:lang w:val="en-US"/>
        </w:rPr>
        <w:instrText>apparent</w:instrText>
      </w:r>
      <w:r w:rsidR="00C37789" w:rsidRPr="000322E4">
        <w:instrText xml:space="preserve"> </w:instrText>
      </w:r>
      <w:r w:rsidR="00C37789" w:rsidRPr="000322E4">
        <w:rPr>
          <w:lang w:val="en-US"/>
        </w:rPr>
        <w:instrText>diffusion</w:instrText>
      </w:r>
      <w:r w:rsidR="00C37789" w:rsidRPr="000322E4">
        <w:instrText xml:space="preserve"> </w:instrText>
      </w:r>
      <w:r w:rsidR="00C37789" w:rsidRPr="000322E4">
        <w:rPr>
          <w:lang w:val="en-US"/>
        </w:rPr>
        <w:instrText>coefficient</w:instrText>
      </w:r>
      <w:r w:rsidR="00C37789" w:rsidRPr="000322E4">
        <w:instrText xml:space="preserve"> (</w:instrText>
      </w:r>
      <w:r w:rsidR="00C37789" w:rsidRPr="000322E4">
        <w:rPr>
          <w:lang w:val="en-US"/>
        </w:rPr>
        <w:instrText>ADC</w:instrText>
      </w:r>
      <w:r w:rsidR="00C37789" w:rsidRPr="000322E4">
        <w:instrText xml:space="preserve">) </w:instrText>
      </w:r>
      <w:r w:rsidR="00C37789" w:rsidRPr="000322E4">
        <w:rPr>
          <w:lang w:val="en-US"/>
        </w:rPr>
        <w:instrText>as</w:instrText>
      </w:r>
      <w:r w:rsidR="00C37789" w:rsidRPr="000322E4">
        <w:instrText xml:space="preserve"> </w:instrText>
      </w:r>
      <w:r w:rsidR="00C37789" w:rsidRPr="000322E4">
        <w:rPr>
          <w:lang w:val="en-US"/>
        </w:rPr>
        <w:instrText>a</w:instrText>
      </w:r>
      <w:r w:rsidR="00C37789" w:rsidRPr="000322E4">
        <w:instrText xml:space="preserve"> </w:instrText>
      </w:r>
      <w:r w:rsidR="00C37789" w:rsidRPr="000322E4">
        <w:rPr>
          <w:lang w:val="en-US"/>
        </w:rPr>
        <w:instrText>prognostic</w:instrText>
      </w:r>
      <w:r w:rsidR="00C37789" w:rsidRPr="000322E4">
        <w:instrText xml:space="preserve"> </w:instrText>
      </w:r>
      <w:r w:rsidR="00C37789" w:rsidRPr="000322E4">
        <w:rPr>
          <w:lang w:val="en-US"/>
        </w:rPr>
        <w:instrText>factor</w:instrText>
      </w:r>
      <w:r w:rsidR="00C37789" w:rsidRPr="000322E4">
        <w:instrText xml:space="preserve">. </w:instrText>
      </w:r>
      <w:r w:rsidR="00C37789" w:rsidRPr="000322E4">
        <w:rPr>
          <w:lang w:val="en-US"/>
        </w:rPr>
        <w:instrText>Results</w:instrText>
      </w:r>
      <w:r w:rsidR="00C37789" w:rsidRPr="000322E4">
        <w:instrText xml:space="preserve">: </w:instrText>
      </w:r>
      <w:r w:rsidR="00C37789" w:rsidRPr="000322E4">
        <w:rPr>
          <w:lang w:val="en-US"/>
        </w:rPr>
        <w:instrText>Fifty</w:instrText>
      </w:r>
      <w:r w:rsidR="00C37789" w:rsidRPr="000322E4">
        <w:instrText>-</w:instrText>
      </w:r>
      <w:r w:rsidR="00C37789" w:rsidRPr="000322E4">
        <w:rPr>
          <w:lang w:val="en-US"/>
        </w:rPr>
        <w:instrText>two</w:instrText>
      </w:r>
      <w:r w:rsidR="00C37789" w:rsidRPr="000322E4">
        <w:instrText xml:space="preserve"> </w:instrText>
      </w:r>
      <w:r w:rsidR="00C37789" w:rsidRPr="000322E4">
        <w:rPr>
          <w:lang w:val="en-US"/>
        </w:rPr>
        <w:instrText>patients</w:instrText>
      </w:r>
      <w:r w:rsidR="00C37789" w:rsidRPr="000322E4">
        <w:instrText xml:space="preserve"> </w:instrText>
      </w:r>
      <w:r w:rsidR="00C37789" w:rsidRPr="000322E4">
        <w:rPr>
          <w:lang w:val="en-US"/>
        </w:rPr>
        <w:instrText>were</w:instrText>
      </w:r>
      <w:r w:rsidR="00C37789" w:rsidRPr="000322E4">
        <w:instrText xml:space="preserve"> </w:instrText>
      </w:r>
      <w:r w:rsidR="00C37789" w:rsidRPr="000322E4">
        <w:rPr>
          <w:lang w:val="en-US"/>
        </w:rPr>
        <w:instrText>enrolled</w:instrText>
      </w:r>
      <w:r w:rsidR="00C37789" w:rsidRPr="000322E4">
        <w:instrText xml:space="preserve">, </w:instrText>
      </w:r>
      <w:r w:rsidR="00C37789" w:rsidRPr="000322E4">
        <w:rPr>
          <w:lang w:val="en-US"/>
        </w:rPr>
        <w:instrText>with</w:instrText>
      </w:r>
      <w:r w:rsidR="00C37789" w:rsidRPr="000322E4">
        <w:instrText xml:space="preserve"> </w:instrText>
      </w:r>
      <w:r w:rsidR="00C37789" w:rsidRPr="000322E4">
        <w:rPr>
          <w:lang w:val="en-US"/>
        </w:rPr>
        <w:instrText>median</w:instrText>
      </w:r>
      <w:r w:rsidR="00C37789" w:rsidRPr="000322E4">
        <w:instrText xml:space="preserve"> </w:instrText>
      </w:r>
      <w:r w:rsidR="00C37789" w:rsidRPr="000322E4">
        <w:rPr>
          <w:lang w:val="en-US"/>
        </w:rPr>
        <w:instrText>age</w:instrText>
      </w:r>
      <w:r w:rsidR="00C37789" w:rsidRPr="000322E4">
        <w:instrText xml:space="preserve"> </w:instrText>
      </w:r>
      <w:r w:rsidR="00C37789" w:rsidRPr="000322E4">
        <w:rPr>
          <w:lang w:val="en-US"/>
        </w:rPr>
        <w:instrText>of</w:instrText>
      </w:r>
      <w:r w:rsidR="00C37789" w:rsidRPr="000322E4">
        <w:instrText xml:space="preserve"> 60 </w:instrText>
      </w:r>
      <w:r w:rsidR="00C37789" w:rsidRPr="000322E4">
        <w:rPr>
          <w:lang w:val="en-US"/>
        </w:rPr>
        <w:instrText>years</w:instrText>
      </w:r>
      <w:r w:rsidR="00C37789" w:rsidRPr="000322E4">
        <w:instrText xml:space="preserve"> (</w:instrText>
      </w:r>
      <w:r w:rsidR="00C37789" w:rsidRPr="000322E4">
        <w:rPr>
          <w:lang w:val="en-US"/>
        </w:rPr>
        <w:instrText>range</w:instrText>
      </w:r>
      <w:r w:rsidR="00C37789" w:rsidRPr="000322E4">
        <w:instrText xml:space="preserve">, 30 </w:instrText>
      </w:r>
      <w:r w:rsidR="00C37789" w:rsidRPr="000322E4">
        <w:rPr>
          <w:lang w:val="en-US"/>
        </w:rPr>
        <w:instrText>to</w:instrText>
      </w:r>
      <w:r w:rsidR="00C37789" w:rsidRPr="000322E4">
        <w:instrText xml:space="preserve"> 79 </w:instrText>
      </w:r>
      <w:r w:rsidR="00C37789" w:rsidRPr="000322E4">
        <w:rPr>
          <w:lang w:val="en-US"/>
        </w:rPr>
        <w:instrText>years</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median</w:instrText>
      </w:r>
      <w:r w:rsidR="00C37789" w:rsidRPr="000322E4">
        <w:instrText xml:space="preserve"> </w:instrText>
      </w:r>
      <w:r w:rsidR="00C37789" w:rsidRPr="000322E4">
        <w:rPr>
          <w:lang w:val="en-US"/>
        </w:rPr>
        <w:instrText>Karnofsky</w:instrText>
      </w:r>
      <w:r w:rsidR="00C37789" w:rsidRPr="000322E4">
        <w:instrText xml:space="preserve"> </w:instrText>
      </w:r>
      <w:r w:rsidR="00C37789" w:rsidRPr="000322E4">
        <w:rPr>
          <w:lang w:val="en-US"/>
        </w:rPr>
        <w:instrText>performance</w:instrText>
      </w:r>
      <w:r w:rsidR="00C37789" w:rsidRPr="000322E4">
        <w:instrText xml:space="preserve"> </w:instrText>
      </w:r>
      <w:r w:rsidR="00C37789" w:rsidRPr="000322E4">
        <w:rPr>
          <w:lang w:val="en-US"/>
        </w:rPr>
        <w:instrText>score</w:instrText>
      </w:r>
      <w:r w:rsidR="00C37789" w:rsidRPr="000322E4">
        <w:instrText xml:space="preserve"> </w:instrText>
      </w:r>
      <w:r w:rsidR="00C37789" w:rsidRPr="000322E4">
        <w:rPr>
          <w:lang w:val="en-US"/>
        </w:rPr>
        <w:instrText>of</w:instrText>
      </w:r>
      <w:r w:rsidR="00C37789" w:rsidRPr="000322E4">
        <w:instrText xml:space="preserve"> 70 (</w:instrText>
      </w:r>
      <w:r w:rsidR="00C37789" w:rsidRPr="000322E4">
        <w:rPr>
          <w:lang w:val="en-US"/>
        </w:rPr>
        <w:instrText>range</w:instrText>
      </w:r>
      <w:r w:rsidR="00C37789" w:rsidRPr="000322E4">
        <w:instrText xml:space="preserve">, 50 </w:instrText>
      </w:r>
      <w:r w:rsidR="00C37789" w:rsidRPr="000322E4">
        <w:rPr>
          <w:lang w:val="en-US"/>
        </w:rPr>
        <w:instrText>to</w:instrText>
      </w:r>
      <w:r w:rsidR="00C37789" w:rsidRPr="000322E4">
        <w:instrText xml:space="preserve"> 100). </w:instrText>
      </w:r>
      <w:r w:rsidR="00C37789" w:rsidRPr="000322E4">
        <w:rPr>
          <w:lang w:val="en-US"/>
        </w:rPr>
        <w:instrText>Thirty</w:instrText>
      </w:r>
      <w:r w:rsidR="00C37789" w:rsidRPr="000322E4">
        <w:instrText>-</w:instrText>
      </w:r>
      <w:r w:rsidR="00C37789" w:rsidRPr="000322E4">
        <w:rPr>
          <w:lang w:val="en-US"/>
        </w:rPr>
        <w:instrText>one</w:instrText>
      </w:r>
      <w:r w:rsidR="00C37789" w:rsidRPr="000322E4">
        <w:instrText xml:space="preserve"> </w:instrText>
      </w:r>
      <w:r w:rsidR="00C37789" w:rsidRPr="000322E4">
        <w:rPr>
          <w:lang w:val="en-US"/>
        </w:rPr>
        <w:instrText>patients</w:instrText>
      </w:r>
      <w:r w:rsidR="00C37789" w:rsidRPr="000322E4">
        <w:instrText xml:space="preserve"> (60%) </w:instrText>
      </w:r>
      <w:r w:rsidR="00C37789" w:rsidRPr="000322E4">
        <w:rPr>
          <w:lang w:val="en-US"/>
        </w:rPr>
        <w:instrText>achieved</w:instrText>
      </w:r>
      <w:r w:rsidR="00C37789" w:rsidRPr="000322E4">
        <w:instrText xml:space="preserve"> </w:instrText>
      </w:r>
      <w:r w:rsidR="00C37789" w:rsidRPr="000322E4">
        <w:rPr>
          <w:lang w:val="en-US"/>
        </w:rPr>
        <w:instrText>a</w:instrText>
      </w:r>
      <w:r w:rsidR="00C37789" w:rsidRPr="000322E4">
        <w:instrText xml:space="preserve"> </w:instrText>
      </w:r>
      <w:r w:rsidR="00C37789" w:rsidRPr="000322E4">
        <w:rPr>
          <w:lang w:val="en-US"/>
        </w:rPr>
        <w:instrText>CR</w:instrText>
      </w:r>
      <w:r w:rsidR="00C37789" w:rsidRPr="000322E4">
        <w:instrText xml:space="preserve"> </w:instrText>
      </w:r>
      <w:r w:rsidR="00C37789" w:rsidRPr="000322E4">
        <w:rPr>
          <w:lang w:val="en-US"/>
        </w:rPr>
        <w:instrText>after</w:instrText>
      </w:r>
      <w:r w:rsidR="00C37789" w:rsidRPr="000322E4">
        <w:instrText xml:space="preserve"> </w:instrText>
      </w:r>
      <w:r w:rsidR="00C37789" w:rsidRPr="000322E4">
        <w:rPr>
          <w:lang w:val="en-US"/>
        </w:rPr>
        <w:instrText>R</w:instrText>
      </w:r>
      <w:r w:rsidR="00C37789" w:rsidRPr="000322E4">
        <w:instrText>-</w:instrText>
      </w:r>
      <w:r w:rsidR="00C37789" w:rsidRPr="000322E4">
        <w:rPr>
          <w:lang w:val="en-US"/>
        </w:rPr>
        <w:instrText>MPV</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received</w:instrText>
      </w:r>
      <w:r w:rsidR="00C37789" w:rsidRPr="000322E4">
        <w:instrText xml:space="preserve"> </w:instrText>
      </w:r>
      <w:r w:rsidR="00C37789" w:rsidRPr="000322E4">
        <w:rPr>
          <w:lang w:val="en-US"/>
        </w:rPr>
        <w:instrText>rdWBRT</w:instrText>
      </w:r>
      <w:r w:rsidR="00C37789" w:rsidRPr="000322E4">
        <w:instrText xml:space="preserve">. </w:instrText>
      </w:r>
      <w:r w:rsidR="00C37789" w:rsidRPr="000322E4">
        <w:rPr>
          <w:lang w:val="en-US"/>
        </w:rPr>
        <w:instrText>The</w:instrText>
      </w:r>
      <w:r w:rsidR="00C37789" w:rsidRPr="000322E4">
        <w:instrText xml:space="preserve"> 2-</w:instrText>
      </w:r>
      <w:r w:rsidR="00C37789" w:rsidRPr="000322E4">
        <w:rPr>
          <w:lang w:val="en-US"/>
        </w:rPr>
        <w:instrText>year</w:instrText>
      </w:r>
      <w:r w:rsidR="00C37789" w:rsidRPr="000322E4">
        <w:instrText xml:space="preserve"> </w:instrText>
      </w:r>
      <w:r w:rsidR="00C37789" w:rsidRPr="000322E4">
        <w:rPr>
          <w:lang w:val="en-US"/>
        </w:rPr>
        <w:instrText>PFS</w:instrText>
      </w:r>
      <w:r w:rsidR="00C37789" w:rsidRPr="000322E4">
        <w:instrText xml:space="preserve"> </w:instrText>
      </w:r>
      <w:r w:rsidR="00C37789" w:rsidRPr="000322E4">
        <w:rPr>
          <w:lang w:val="en-US"/>
        </w:rPr>
        <w:instrText>for</w:instrText>
      </w:r>
      <w:r w:rsidR="00C37789" w:rsidRPr="000322E4">
        <w:instrText xml:space="preserve"> </w:instrText>
      </w:r>
      <w:r w:rsidR="00C37789" w:rsidRPr="000322E4">
        <w:rPr>
          <w:lang w:val="en-US"/>
        </w:rPr>
        <w:instrText>this</w:instrText>
      </w:r>
      <w:r w:rsidR="00C37789" w:rsidRPr="000322E4">
        <w:instrText xml:space="preserve"> </w:instrText>
      </w:r>
      <w:r w:rsidR="00C37789" w:rsidRPr="000322E4">
        <w:rPr>
          <w:lang w:val="en-US"/>
        </w:rPr>
        <w:instrText>group</w:instrText>
      </w:r>
      <w:r w:rsidR="00C37789" w:rsidRPr="000322E4">
        <w:instrText xml:space="preserve"> </w:instrText>
      </w:r>
      <w:r w:rsidR="00C37789" w:rsidRPr="000322E4">
        <w:rPr>
          <w:lang w:val="en-US"/>
        </w:rPr>
        <w:instrText>was</w:instrText>
      </w:r>
      <w:r w:rsidR="00C37789" w:rsidRPr="000322E4">
        <w:instrText xml:space="preserve"> 77%; </w:instrText>
      </w:r>
      <w:r w:rsidR="00C37789" w:rsidRPr="000322E4">
        <w:rPr>
          <w:lang w:val="en-US"/>
        </w:rPr>
        <w:instrText>median</w:instrText>
      </w:r>
      <w:r w:rsidR="00C37789" w:rsidRPr="000322E4">
        <w:instrText xml:space="preserve"> </w:instrText>
      </w:r>
      <w:r w:rsidR="00C37789" w:rsidRPr="000322E4">
        <w:rPr>
          <w:lang w:val="en-US"/>
        </w:rPr>
        <w:instrText>PFS</w:instrText>
      </w:r>
      <w:r w:rsidR="00C37789" w:rsidRPr="000322E4">
        <w:instrText xml:space="preserve"> </w:instrText>
      </w:r>
      <w:r w:rsidR="00C37789" w:rsidRPr="000322E4">
        <w:rPr>
          <w:lang w:val="en-US"/>
        </w:rPr>
        <w:instrText>was</w:instrText>
      </w:r>
      <w:r w:rsidR="00C37789" w:rsidRPr="000322E4">
        <w:instrText xml:space="preserve"> 7.7 </w:instrText>
      </w:r>
      <w:r w:rsidR="00C37789" w:rsidRPr="000322E4">
        <w:rPr>
          <w:lang w:val="en-US"/>
        </w:rPr>
        <w:instrText>years</w:instrText>
      </w:r>
      <w:r w:rsidR="00C37789" w:rsidRPr="000322E4">
        <w:instrText xml:space="preserve">. </w:instrText>
      </w:r>
      <w:r w:rsidR="00C37789" w:rsidRPr="000322E4">
        <w:rPr>
          <w:lang w:val="en-US"/>
        </w:rPr>
        <w:instrText>Median</w:instrText>
      </w:r>
      <w:r w:rsidR="00C37789" w:rsidRPr="000322E4">
        <w:instrText xml:space="preserve"> </w:instrText>
      </w:r>
      <w:r w:rsidR="00C37789" w:rsidRPr="000322E4">
        <w:rPr>
          <w:lang w:val="en-US"/>
        </w:rPr>
        <w:instrText>overall</w:instrText>
      </w:r>
      <w:r w:rsidR="00C37789" w:rsidRPr="000322E4">
        <w:instrText xml:space="preserve"> </w:instrText>
      </w:r>
      <w:r w:rsidR="00C37789" w:rsidRPr="000322E4">
        <w:rPr>
          <w:lang w:val="en-US"/>
        </w:rPr>
        <w:instrText>survival</w:instrText>
      </w:r>
      <w:r w:rsidR="00C37789" w:rsidRPr="000322E4">
        <w:instrText xml:space="preserve"> (</w:instrText>
      </w:r>
      <w:r w:rsidR="00C37789" w:rsidRPr="000322E4">
        <w:rPr>
          <w:lang w:val="en-US"/>
        </w:rPr>
        <w:instrText>OS</w:instrText>
      </w:r>
      <w:r w:rsidR="00C37789" w:rsidRPr="000322E4">
        <w:instrText xml:space="preserve">) </w:instrText>
      </w:r>
      <w:r w:rsidR="00C37789" w:rsidRPr="000322E4">
        <w:rPr>
          <w:lang w:val="en-US"/>
        </w:rPr>
        <w:instrText>was</w:instrText>
      </w:r>
      <w:r w:rsidR="00C37789" w:rsidRPr="000322E4">
        <w:instrText xml:space="preserve"> </w:instrText>
      </w:r>
      <w:r w:rsidR="00C37789" w:rsidRPr="000322E4">
        <w:rPr>
          <w:lang w:val="en-US"/>
        </w:rPr>
        <w:instrText>not</w:instrText>
      </w:r>
      <w:r w:rsidR="00C37789" w:rsidRPr="000322E4">
        <w:instrText xml:space="preserve"> </w:instrText>
      </w:r>
      <w:r w:rsidR="00C37789" w:rsidRPr="000322E4">
        <w:rPr>
          <w:lang w:val="en-US"/>
        </w:rPr>
        <w:instrText>reached</w:instrText>
      </w:r>
      <w:r w:rsidR="00C37789" w:rsidRPr="000322E4">
        <w:instrText xml:space="preserve"> (</w:instrText>
      </w:r>
      <w:r w:rsidR="00C37789" w:rsidRPr="000322E4">
        <w:rPr>
          <w:lang w:val="en-US"/>
        </w:rPr>
        <w:instrText>median</w:instrText>
      </w:r>
      <w:r w:rsidR="00C37789" w:rsidRPr="000322E4">
        <w:instrText xml:space="preserve"> </w:instrText>
      </w:r>
      <w:r w:rsidR="00C37789" w:rsidRPr="000322E4">
        <w:rPr>
          <w:lang w:val="en-US"/>
        </w:rPr>
        <w:instrText>follow</w:instrText>
      </w:r>
      <w:r w:rsidR="00C37789" w:rsidRPr="000322E4">
        <w:instrText>-</w:instrText>
      </w:r>
      <w:r w:rsidR="00C37789" w:rsidRPr="000322E4">
        <w:rPr>
          <w:lang w:val="en-US"/>
        </w:rPr>
        <w:instrText>up</w:instrText>
      </w:r>
      <w:r w:rsidR="00C37789" w:rsidRPr="000322E4">
        <w:instrText xml:space="preserve"> </w:instrText>
      </w:r>
      <w:r w:rsidR="00C37789" w:rsidRPr="000322E4">
        <w:rPr>
          <w:lang w:val="en-US"/>
        </w:rPr>
        <w:instrText>for</w:instrText>
      </w:r>
      <w:r w:rsidR="00C37789" w:rsidRPr="000322E4">
        <w:instrText xml:space="preserve"> </w:instrText>
      </w:r>
      <w:r w:rsidR="00C37789" w:rsidRPr="000322E4">
        <w:rPr>
          <w:lang w:val="en-US"/>
        </w:rPr>
        <w:instrText>survivors</w:instrText>
      </w:r>
      <w:r w:rsidR="00C37789" w:rsidRPr="000322E4">
        <w:instrText xml:space="preserve">, 5.9 </w:instrText>
      </w:r>
      <w:r w:rsidR="00C37789" w:rsidRPr="000322E4">
        <w:rPr>
          <w:lang w:val="en-US"/>
        </w:rPr>
        <w:instrText>years</w:instrText>
      </w:r>
      <w:r w:rsidR="00C37789" w:rsidRPr="000322E4">
        <w:instrText>); 3-</w:instrText>
      </w:r>
      <w:r w:rsidR="00C37789" w:rsidRPr="000322E4">
        <w:rPr>
          <w:lang w:val="en-US"/>
        </w:rPr>
        <w:instrText>year</w:instrText>
      </w:r>
      <w:r w:rsidR="00C37789" w:rsidRPr="000322E4">
        <w:instrText xml:space="preserve"> </w:instrText>
      </w:r>
      <w:r w:rsidR="00C37789" w:rsidRPr="000322E4">
        <w:rPr>
          <w:lang w:val="en-US"/>
        </w:rPr>
        <w:instrText>OS</w:instrText>
      </w:r>
      <w:r w:rsidR="00C37789" w:rsidRPr="000322E4">
        <w:instrText xml:space="preserve"> </w:instrText>
      </w:r>
      <w:r w:rsidR="00C37789" w:rsidRPr="000322E4">
        <w:rPr>
          <w:lang w:val="en-US"/>
        </w:rPr>
        <w:instrText>was</w:instrText>
      </w:r>
      <w:r w:rsidR="00C37789" w:rsidRPr="000322E4">
        <w:instrText xml:space="preserve"> 87%. </w:instrText>
      </w:r>
      <w:r w:rsidR="00C37789" w:rsidRPr="000322E4">
        <w:rPr>
          <w:lang w:val="en-US"/>
        </w:rPr>
        <w:instrText>The</w:instrText>
      </w:r>
      <w:r w:rsidR="00C37789" w:rsidRPr="000322E4">
        <w:instrText xml:space="preserve"> </w:instrText>
      </w:r>
      <w:r w:rsidR="00C37789" w:rsidRPr="000322E4">
        <w:rPr>
          <w:lang w:val="en-US"/>
        </w:rPr>
        <w:instrText>overall</w:instrText>
      </w:r>
      <w:r w:rsidR="00C37789" w:rsidRPr="000322E4">
        <w:instrText xml:space="preserve"> (</w:instrText>
      </w:r>
      <w:r w:rsidR="00C37789" w:rsidRPr="000322E4">
        <w:rPr>
          <w:lang w:val="en-US"/>
        </w:rPr>
        <w:instrText>N</w:instrText>
      </w:r>
      <w:r w:rsidR="00C37789" w:rsidRPr="000322E4">
        <w:instrText xml:space="preserve"> = 52) </w:instrText>
      </w:r>
      <w:r w:rsidR="00C37789" w:rsidRPr="000322E4">
        <w:rPr>
          <w:lang w:val="en-US"/>
        </w:rPr>
        <w:instrText>median</w:instrText>
      </w:r>
      <w:r w:rsidR="00C37789" w:rsidRPr="000322E4">
        <w:instrText xml:space="preserve"> </w:instrText>
      </w:r>
      <w:r w:rsidR="00C37789" w:rsidRPr="000322E4">
        <w:rPr>
          <w:lang w:val="en-US"/>
        </w:rPr>
        <w:instrText>PFS</w:instrText>
      </w:r>
      <w:r w:rsidR="00C37789" w:rsidRPr="000322E4">
        <w:instrText xml:space="preserve"> </w:instrText>
      </w:r>
      <w:r w:rsidR="00C37789" w:rsidRPr="000322E4">
        <w:rPr>
          <w:lang w:val="en-US"/>
        </w:rPr>
        <w:instrText>was</w:instrText>
      </w:r>
      <w:r w:rsidR="00C37789" w:rsidRPr="000322E4">
        <w:instrText xml:space="preserve"> 3.3 </w:instrText>
      </w:r>
      <w:r w:rsidR="00C37789" w:rsidRPr="000322E4">
        <w:rPr>
          <w:lang w:val="en-US"/>
        </w:rPr>
        <w:instrText>years</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median</w:instrText>
      </w:r>
      <w:r w:rsidR="00C37789" w:rsidRPr="000322E4">
        <w:instrText xml:space="preserve"> </w:instrText>
      </w:r>
      <w:r w:rsidR="00C37789" w:rsidRPr="000322E4">
        <w:rPr>
          <w:lang w:val="en-US"/>
        </w:rPr>
        <w:instrText>OS</w:instrText>
      </w:r>
      <w:r w:rsidR="00C37789" w:rsidRPr="000322E4">
        <w:instrText xml:space="preserve"> </w:instrText>
      </w:r>
      <w:r w:rsidR="00C37789" w:rsidRPr="000322E4">
        <w:rPr>
          <w:lang w:val="en-US"/>
        </w:rPr>
        <w:instrText>was</w:instrText>
      </w:r>
      <w:r w:rsidR="00C37789" w:rsidRPr="000322E4">
        <w:instrText xml:space="preserve"> 6.6 </w:instrText>
      </w:r>
      <w:r w:rsidR="00C37789" w:rsidRPr="000322E4">
        <w:rPr>
          <w:lang w:val="en-US"/>
        </w:rPr>
        <w:instrText>years</w:instrText>
      </w:r>
      <w:r w:rsidR="00C37789" w:rsidRPr="000322E4">
        <w:instrText xml:space="preserve">. </w:instrText>
      </w:r>
      <w:r w:rsidR="00C37789" w:rsidRPr="000322E4">
        <w:rPr>
          <w:lang w:val="en-US"/>
        </w:rPr>
        <w:instrText>Cognitive</w:instrText>
      </w:r>
      <w:r w:rsidR="00C37789" w:rsidRPr="000322E4">
        <w:instrText xml:space="preserve"> </w:instrText>
      </w:r>
      <w:r w:rsidR="00C37789" w:rsidRPr="000322E4">
        <w:rPr>
          <w:lang w:val="en-US"/>
        </w:rPr>
        <w:instrText>assessment</w:instrText>
      </w:r>
      <w:r w:rsidR="00C37789" w:rsidRPr="000322E4">
        <w:instrText xml:space="preserve"> </w:instrText>
      </w:r>
      <w:r w:rsidR="00C37789" w:rsidRPr="000322E4">
        <w:rPr>
          <w:lang w:val="en-US"/>
        </w:rPr>
        <w:instrText>showed</w:instrText>
      </w:r>
      <w:r w:rsidR="00C37789" w:rsidRPr="000322E4">
        <w:instrText xml:space="preserve"> </w:instrText>
      </w:r>
      <w:r w:rsidR="00C37789" w:rsidRPr="000322E4">
        <w:rPr>
          <w:lang w:val="en-US"/>
        </w:rPr>
        <w:instrText>improvement</w:instrText>
      </w:r>
      <w:r w:rsidR="00C37789" w:rsidRPr="000322E4">
        <w:instrText xml:space="preserve"> </w:instrText>
      </w:r>
      <w:r w:rsidR="00C37789" w:rsidRPr="000322E4">
        <w:rPr>
          <w:lang w:val="en-US"/>
        </w:rPr>
        <w:instrText>in</w:instrText>
      </w:r>
      <w:r w:rsidR="00C37789" w:rsidRPr="000322E4">
        <w:instrText xml:space="preserve"> </w:instrText>
      </w:r>
      <w:r w:rsidR="00C37789" w:rsidRPr="000322E4">
        <w:rPr>
          <w:lang w:val="en-US"/>
        </w:rPr>
        <w:instrText>executive</w:instrText>
      </w:r>
      <w:r w:rsidR="00C37789" w:rsidRPr="000322E4">
        <w:instrText xml:space="preserve"> </w:instrText>
      </w:r>
      <w:r w:rsidR="00C37789" w:rsidRPr="000322E4">
        <w:rPr>
          <w:lang w:val="en-US"/>
        </w:rPr>
        <w:instrText>function</w:instrText>
      </w:r>
      <w:r w:rsidR="00C37789" w:rsidRPr="000322E4">
        <w:instrText xml:space="preserve"> (</w:instrText>
      </w:r>
      <w:r w:rsidR="00C37789" w:rsidRPr="000322E4">
        <w:rPr>
          <w:lang w:val="en-US"/>
        </w:rPr>
        <w:instrText>P</w:instrText>
      </w:r>
      <w:r w:rsidR="00C37789" w:rsidRPr="000322E4">
        <w:instrText xml:space="preserve"> &lt; .01) </w:instrText>
      </w:r>
      <w:r w:rsidR="00C37789" w:rsidRPr="000322E4">
        <w:rPr>
          <w:lang w:val="en-US"/>
        </w:rPr>
        <w:instrText>and</w:instrText>
      </w:r>
      <w:r w:rsidR="00C37789" w:rsidRPr="000322E4">
        <w:instrText xml:space="preserve"> </w:instrText>
      </w:r>
      <w:r w:rsidR="00C37789" w:rsidRPr="000322E4">
        <w:rPr>
          <w:lang w:val="en-US"/>
        </w:rPr>
        <w:instrText>verbal</w:instrText>
      </w:r>
      <w:r w:rsidR="00C37789" w:rsidRPr="000322E4">
        <w:instrText xml:space="preserve"> </w:instrText>
      </w:r>
      <w:r w:rsidR="00C37789" w:rsidRPr="000322E4">
        <w:rPr>
          <w:lang w:val="en-US"/>
        </w:rPr>
        <w:instrText>memory</w:instrText>
      </w:r>
      <w:r w:rsidR="00C37789" w:rsidRPr="000322E4">
        <w:instrText xml:space="preserve"> (</w:instrText>
      </w:r>
      <w:r w:rsidR="00C37789" w:rsidRPr="000322E4">
        <w:rPr>
          <w:lang w:val="en-US"/>
        </w:rPr>
        <w:instrText>P</w:instrText>
      </w:r>
      <w:r w:rsidR="00C37789" w:rsidRPr="000322E4">
        <w:instrText xml:space="preserve"> &lt; .05) </w:instrText>
      </w:r>
      <w:r w:rsidR="00C37789" w:rsidRPr="000322E4">
        <w:rPr>
          <w:lang w:val="en-US"/>
        </w:rPr>
        <w:instrText>after</w:instrText>
      </w:r>
      <w:r w:rsidR="00C37789" w:rsidRPr="000322E4">
        <w:instrText xml:space="preserve"> </w:instrText>
      </w:r>
      <w:r w:rsidR="00C37789" w:rsidRPr="000322E4">
        <w:rPr>
          <w:lang w:val="en-US"/>
        </w:rPr>
        <w:instrText>chemotherapy</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follow</w:instrText>
      </w:r>
      <w:r w:rsidR="00C37789" w:rsidRPr="000322E4">
        <w:instrText>-</w:instrText>
      </w:r>
      <w:r w:rsidR="00C37789" w:rsidRPr="000322E4">
        <w:rPr>
          <w:lang w:val="en-US"/>
        </w:rPr>
        <w:instrText>up</w:instrText>
      </w:r>
      <w:r w:rsidR="00C37789" w:rsidRPr="000322E4">
        <w:instrText xml:space="preserve"> </w:instrText>
      </w:r>
      <w:r w:rsidR="00C37789" w:rsidRPr="000322E4">
        <w:rPr>
          <w:lang w:val="en-US"/>
        </w:rPr>
        <w:instrText>scores</w:instrText>
      </w:r>
      <w:r w:rsidR="00C37789" w:rsidRPr="000322E4">
        <w:instrText xml:space="preserve"> </w:instrText>
      </w:r>
      <w:r w:rsidR="00C37789" w:rsidRPr="000322E4">
        <w:rPr>
          <w:lang w:val="en-US"/>
        </w:rPr>
        <w:instrText>remained</w:instrText>
      </w:r>
      <w:r w:rsidR="00C37789" w:rsidRPr="000322E4">
        <w:instrText xml:space="preserve"> </w:instrText>
      </w:r>
      <w:r w:rsidR="00C37789" w:rsidRPr="000322E4">
        <w:rPr>
          <w:lang w:val="en-US"/>
        </w:rPr>
        <w:instrText>relatively</w:instrText>
      </w:r>
      <w:r w:rsidR="00C37789" w:rsidRPr="000322E4">
        <w:instrText xml:space="preserve"> </w:instrText>
      </w:r>
      <w:r w:rsidR="00C37789" w:rsidRPr="000322E4">
        <w:rPr>
          <w:lang w:val="en-US"/>
        </w:rPr>
        <w:instrText>stable</w:instrText>
      </w:r>
      <w:r w:rsidR="00C37789" w:rsidRPr="000322E4">
        <w:instrText xml:space="preserve"> </w:instrText>
      </w:r>
      <w:r w:rsidR="00C37789" w:rsidRPr="000322E4">
        <w:rPr>
          <w:lang w:val="en-US"/>
        </w:rPr>
        <w:instrText>across</w:instrText>
      </w:r>
      <w:r w:rsidR="00C37789" w:rsidRPr="000322E4">
        <w:instrText xml:space="preserve"> </w:instrText>
      </w:r>
      <w:r w:rsidR="00C37789" w:rsidRPr="000322E4">
        <w:rPr>
          <w:lang w:val="en-US"/>
        </w:rPr>
        <w:instrText>the</w:instrText>
      </w:r>
      <w:r w:rsidR="00C37789" w:rsidRPr="000322E4">
        <w:instrText xml:space="preserve"> </w:instrText>
      </w:r>
      <w:r w:rsidR="00C37789" w:rsidRPr="000322E4">
        <w:rPr>
          <w:lang w:val="en-US"/>
        </w:rPr>
        <w:instrText>various</w:instrText>
      </w:r>
      <w:r w:rsidR="00C37789" w:rsidRPr="000322E4">
        <w:instrText xml:space="preserve"> </w:instrText>
      </w:r>
      <w:r w:rsidR="00C37789" w:rsidRPr="000322E4">
        <w:rPr>
          <w:lang w:val="en-US"/>
        </w:rPr>
        <w:instrText>domains</w:instrText>
      </w:r>
      <w:r w:rsidR="00C37789" w:rsidRPr="000322E4">
        <w:instrText xml:space="preserve"> (</w:instrText>
      </w:r>
      <w:r w:rsidR="00C37789" w:rsidRPr="000322E4">
        <w:rPr>
          <w:lang w:val="en-US"/>
        </w:rPr>
        <w:instrText>n</w:instrText>
      </w:r>
      <w:r w:rsidR="00C37789" w:rsidRPr="000322E4">
        <w:instrText xml:space="preserve"> = 12). </w:instrText>
      </w:r>
      <w:r w:rsidR="00C37789" w:rsidRPr="000322E4">
        <w:rPr>
          <w:lang w:val="en-US"/>
        </w:rPr>
        <w:instrText>All</w:instrText>
      </w:r>
      <w:r w:rsidR="00C37789" w:rsidRPr="000322E4">
        <w:instrText xml:space="preserve"> </w:instrText>
      </w:r>
      <w:r w:rsidR="00C37789" w:rsidRPr="000322E4">
        <w:rPr>
          <w:lang w:val="en-US"/>
        </w:rPr>
        <w:instrText>examined</w:instrText>
      </w:r>
      <w:r w:rsidR="00C37789" w:rsidRPr="000322E4">
        <w:instrText xml:space="preserve"> </w:instrText>
      </w:r>
      <w:r w:rsidR="00C37789" w:rsidRPr="000322E4">
        <w:rPr>
          <w:lang w:val="en-US"/>
        </w:rPr>
        <w:instrText>MRIs</w:instrText>
      </w:r>
      <w:r w:rsidR="00C37789" w:rsidRPr="000322E4">
        <w:instrText xml:space="preserve"> (</w:instrText>
      </w:r>
      <w:r w:rsidR="00C37789" w:rsidRPr="000322E4">
        <w:rPr>
          <w:lang w:val="en-US"/>
        </w:rPr>
        <w:instrText>n</w:instrText>
      </w:r>
      <w:r w:rsidR="00C37789" w:rsidRPr="000322E4">
        <w:instrText xml:space="preserve"> = 28) </w:instrText>
      </w:r>
      <w:r w:rsidR="00C37789" w:rsidRPr="000322E4">
        <w:rPr>
          <w:lang w:val="en-US"/>
        </w:rPr>
        <w:instrText>displayed</w:instrText>
      </w:r>
      <w:r w:rsidR="00C37789" w:rsidRPr="000322E4">
        <w:instrText xml:space="preserve"> </w:instrText>
      </w:r>
      <w:r w:rsidR="00C37789" w:rsidRPr="000322E4">
        <w:rPr>
          <w:lang w:val="en-US"/>
        </w:rPr>
        <w:instrText>a</w:instrText>
      </w:r>
      <w:r w:rsidR="00C37789" w:rsidRPr="000322E4">
        <w:instrText xml:space="preserve"> </w:instrText>
      </w:r>
      <w:r w:rsidR="00C37789" w:rsidRPr="000322E4">
        <w:rPr>
          <w:lang w:val="en-US"/>
        </w:rPr>
        <w:instrText>Fazekas</w:instrText>
      </w:r>
      <w:r w:rsidR="00C37789" w:rsidRPr="000322E4">
        <w:instrText xml:space="preserve"> </w:instrText>
      </w:r>
      <w:r w:rsidR="00C37789" w:rsidRPr="000322E4">
        <w:rPr>
          <w:lang w:val="en-US"/>
        </w:rPr>
        <w:instrText>score</w:instrText>
      </w:r>
      <w:r w:rsidR="00C37789" w:rsidRPr="000322E4">
        <w:instrText xml:space="preserve"> </w:instrText>
      </w:r>
      <w:r w:rsidR="00C37789" w:rsidRPr="000322E4">
        <w:rPr>
          <w:lang w:val="en-US"/>
        </w:rPr>
        <w:instrText>of</w:instrText>
      </w:r>
      <w:r w:rsidR="00C37789" w:rsidRPr="000322E4">
        <w:instrText xml:space="preserve"> ≤ 3, </w:instrText>
      </w:r>
      <w:r w:rsidR="00C37789" w:rsidRPr="000322E4">
        <w:rPr>
          <w:lang w:val="en-US"/>
        </w:rPr>
        <w:instrText>and</w:instrText>
      </w:r>
      <w:r w:rsidR="00C37789" w:rsidRPr="000322E4">
        <w:instrText xml:space="preserve"> </w:instrText>
      </w:r>
      <w:r w:rsidR="00C37789" w:rsidRPr="000322E4">
        <w:rPr>
          <w:lang w:val="en-US"/>
        </w:rPr>
        <w:instrText>no</w:instrText>
      </w:r>
      <w:r w:rsidR="00C37789" w:rsidRPr="000322E4">
        <w:instrText xml:space="preserve"> </w:instrText>
      </w:r>
      <w:r w:rsidR="00C37789" w:rsidRPr="000322E4">
        <w:rPr>
          <w:lang w:val="en-US"/>
        </w:rPr>
        <w:instrText>patient</w:instrText>
      </w:r>
      <w:r w:rsidR="00C37789" w:rsidRPr="000322E4">
        <w:instrText xml:space="preserve"> </w:instrText>
      </w:r>
      <w:r w:rsidR="00C37789" w:rsidRPr="000322E4">
        <w:rPr>
          <w:lang w:val="en-US"/>
        </w:rPr>
        <w:instrText>developed</w:instrText>
      </w:r>
      <w:r w:rsidR="00C37789" w:rsidRPr="000322E4">
        <w:instrText xml:space="preserve"> </w:instrText>
      </w:r>
      <w:r w:rsidR="00C37789" w:rsidRPr="000322E4">
        <w:rPr>
          <w:lang w:val="en-US"/>
        </w:rPr>
        <w:instrText>scores</w:instrText>
      </w:r>
      <w:r w:rsidR="00C37789" w:rsidRPr="000322E4">
        <w:instrText xml:space="preserve"> </w:instrText>
      </w:r>
      <w:r w:rsidR="00C37789" w:rsidRPr="000322E4">
        <w:rPr>
          <w:lang w:val="en-US"/>
        </w:rPr>
        <w:instrText>of</w:instrText>
      </w:r>
      <w:r w:rsidR="00C37789" w:rsidRPr="000322E4">
        <w:instrText xml:space="preserve"> 4 </w:instrText>
      </w:r>
      <w:r w:rsidR="00C37789" w:rsidRPr="000322E4">
        <w:rPr>
          <w:lang w:val="en-US"/>
        </w:rPr>
        <w:instrText>to</w:instrText>
      </w:r>
      <w:r w:rsidR="00C37789" w:rsidRPr="000322E4">
        <w:instrText xml:space="preserve"> 5; </w:instrText>
      </w:r>
      <w:r w:rsidR="00C37789" w:rsidRPr="000322E4">
        <w:rPr>
          <w:lang w:val="en-US"/>
        </w:rPr>
        <w:instrText>differences</w:instrText>
      </w:r>
      <w:r w:rsidR="00C37789" w:rsidRPr="000322E4">
        <w:instrText xml:space="preserve"> </w:instrText>
      </w:r>
      <w:r w:rsidR="00C37789" w:rsidRPr="000322E4">
        <w:rPr>
          <w:lang w:val="en-US"/>
        </w:rPr>
        <w:instrText>in</w:instrText>
      </w:r>
      <w:r w:rsidR="00C37789" w:rsidRPr="000322E4">
        <w:instrText xml:space="preserve"> </w:instrText>
      </w:r>
      <w:r w:rsidR="00C37789" w:rsidRPr="000322E4">
        <w:rPr>
          <w:lang w:val="en-US"/>
        </w:rPr>
        <w:instrText>ADC</w:instrText>
      </w:r>
      <w:r w:rsidR="00C37789" w:rsidRPr="000322E4">
        <w:instrText xml:space="preserve"> </w:instrText>
      </w:r>
      <w:r w:rsidR="00C37789" w:rsidRPr="000322E4">
        <w:rPr>
          <w:lang w:val="en-US"/>
        </w:rPr>
        <w:instrText>values</w:instrText>
      </w:r>
      <w:r w:rsidR="00C37789" w:rsidRPr="000322E4">
        <w:instrText xml:space="preserve"> </w:instrText>
      </w:r>
      <w:r w:rsidR="00C37789" w:rsidRPr="000322E4">
        <w:rPr>
          <w:lang w:val="en-US"/>
        </w:rPr>
        <w:instrText>did</w:instrText>
      </w:r>
      <w:r w:rsidR="00C37789" w:rsidRPr="000322E4">
        <w:instrText xml:space="preserve"> </w:instrText>
      </w:r>
      <w:r w:rsidR="00C37789" w:rsidRPr="000322E4">
        <w:rPr>
          <w:lang w:val="en-US"/>
        </w:rPr>
        <w:instrText>not</w:instrText>
      </w:r>
      <w:r w:rsidR="00C37789" w:rsidRPr="000322E4">
        <w:instrText xml:space="preserve"> </w:instrText>
      </w:r>
      <w:r w:rsidR="00C37789" w:rsidRPr="000322E4">
        <w:rPr>
          <w:lang w:val="en-US"/>
        </w:rPr>
        <w:instrText>predict</w:instrText>
      </w:r>
      <w:r w:rsidR="00C37789" w:rsidRPr="000322E4">
        <w:instrText xml:space="preserve"> </w:instrText>
      </w:r>
      <w:r w:rsidR="00C37789" w:rsidRPr="000322E4">
        <w:rPr>
          <w:lang w:val="en-US"/>
        </w:rPr>
        <w:instrText>response</w:instrText>
      </w:r>
      <w:r w:rsidR="00C37789" w:rsidRPr="000322E4">
        <w:instrText xml:space="preserve"> (</w:instrText>
      </w:r>
      <w:r w:rsidR="00C37789" w:rsidRPr="000322E4">
        <w:rPr>
          <w:lang w:val="en-US"/>
        </w:rPr>
        <w:instrText>P</w:instrText>
      </w:r>
      <w:r w:rsidR="00C37789" w:rsidRPr="000322E4">
        <w:instrText xml:space="preserve"> = .15), </w:instrText>
      </w:r>
      <w:r w:rsidR="00C37789" w:rsidRPr="000322E4">
        <w:rPr>
          <w:lang w:val="en-US"/>
        </w:rPr>
        <w:instrText>PFS</w:instrText>
      </w:r>
      <w:r w:rsidR="00C37789" w:rsidRPr="000322E4">
        <w:instrText xml:space="preserve"> (</w:instrText>
      </w:r>
      <w:r w:rsidR="00C37789" w:rsidRPr="000322E4">
        <w:rPr>
          <w:lang w:val="en-US"/>
        </w:rPr>
        <w:instrText>P</w:instrText>
      </w:r>
      <w:r w:rsidR="00C37789" w:rsidRPr="000322E4">
        <w:instrText xml:space="preserve"> = .27), </w:instrText>
      </w:r>
      <w:r w:rsidR="00C37789" w:rsidRPr="000322E4">
        <w:rPr>
          <w:lang w:val="en-US"/>
        </w:rPr>
        <w:instrText>or</w:instrText>
      </w:r>
      <w:r w:rsidR="00C37789" w:rsidRPr="000322E4">
        <w:instrText xml:space="preserve"> </w:instrText>
      </w:r>
      <w:r w:rsidR="00C37789" w:rsidRPr="000322E4">
        <w:rPr>
          <w:lang w:val="en-US"/>
        </w:rPr>
        <w:instrText>OS</w:instrText>
      </w:r>
      <w:r w:rsidR="00C37789" w:rsidRPr="000322E4">
        <w:instrText xml:space="preserve"> (</w:instrText>
      </w:r>
      <w:r w:rsidR="00C37789" w:rsidRPr="000322E4">
        <w:rPr>
          <w:lang w:val="en-US"/>
        </w:rPr>
        <w:instrText>P</w:instrText>
      </w:r>
      <w:r w:rsidR="00C37789" w:rsidRPr="000322E4">
        <w:instrText xml:space="preserve"> = .33). </w:instrText>
      </w:r>
      <w:r w:rsidR="00C37789" w:rsidRPr="000322E4">
        <w:rPr>
          <w:lang w:val="en-US"/>
        </w:rPr>
        <w:instrText>Conclusion</w:instrText>
      </w:r>
      <w:r w:rsidR="00C37789" w:rsidRPr="000322E4">
        <w:instrText xml:space="preserve">: </w:instrText>
      </w:r>
      <w:r w:rsidR="00C37789" w:rsidRPr="000322E4">
        <w:rPr>
          <w:lang w:val="en-US"/>
        </w:rPr>
        <w:instrText>R</w:instrText>
      </w:r>
      <w:r w:rsidR="00C37789" w:rsidRPr="000322E4">
        <w:instrText>-</w:instrText>
      </w:r>
      <w:r w:rsidR="00C37789" w:rsidRPr="000322E4">
        <w:rPr>
          <w:lang w:val="en-US"/>
        </w:rPr>
        <w:instrText>MPV</w:instrText>
      </w:r>
      <w:r w:rsidR="00C37789" w:rsidRPr="000322E4">
        <w:instrText xml:space="preserve"> </w:instrText>
      </w:r>
      <w:r w:rsidR="00C37789" w:rsidRPr="000322E4">
        <w:rPr>
          <w:lang w:val="en-US"/>
        </w:rPr>
        <w:instrText>combined</w:instrText>
      </w:r>
      <w:r w:rsidR="00C37789" w:rsidRPr="000322E4">
        <w:instrText xml:space="preserve"> </w:instrText>
      </w:r>
      <w:r w:rsidR="00C37789" w:rsidRPr="000322E4">
        <w:rPr>
          <w:lang w:val="en-US"/>
        </w:rPr>
        <w:instrText>with</w:instrText>
      </w:r>
      <w:r w:rsidR="00C37789" w:rsidRPr="000322E4">
        <w:instrText xml:space="preserve"> </w:instrText>
      </w:r>
      <w:r w:rsidR="00C37789" w:rsidRPr="000322E4">
        <w:rPr>
          <w:lang w:val="en-US"/>
        </w:rPr>
        <w:instrText>consolidation</w:instrText>
      </w:r>
      <w:r w:rsidR="00C37789" w:rsidRPr="000322E4">
        <w:instrText xml:space="preserve"> </w:instrText>
      </w:r>
      <w:r w:rsidR="00C37789" w:rsidRPr="000322E4">
        <w:rPr>
          <w:lang w:val="en-US"/>
        </w:rPr>
        <w:instrText>rdWBRT</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cytarabine</w:instrText>
      </w:r>
      <w:r w:rsidR="00C37789" w:rsidRPr="000322E4">
        <w:instrText xml:space="preserve"> </w:instrText>
      </w:r>
      <w:r w:rsidR="00C37789" w:rsidRPr="000322E4">
        <w:rPr>
          <w:lang w:val="en-US"/>
        </w:rPr>
        <w:instrText>is</w:instrText>
      </w:r>
      <w:r w:rsidR="00C37789" w:rsidRPr="000322E4">
        <w:instrText xml:space="preserve"> </w:instrText>
      </w:r>
      <w:r w:rsidR="00C37789" w:rsidRPr="000322E4">
        <w:rPr>
          <w:lang w:val="en-US"/>
        </w:rPr>
        <w:instrText>associated</w:instrText>
      </w:r>
      <w:r w:rsidR="00C37789" w:rsidRPr="000322E4">
        <w:instrText xml:space="preserve"> </w:instrText>
      </w:r>
      <w:r w:rsidR="00C37789" w:rsidRPr="000322E4">
        <w:rPr>
          <w:lang w:val="en-US"/>
        </w:rPr>
        <w:instrText>with</w:instrText>
      </w:r>
      <w:r w:rsidR="00C37789" w:rsidRPr="000322E4">
        <w:instrText xml:space="preserve"> </w:instrText>
      </w:r>
      <w:r w:rsidR="00C37789" w:rsidRPr="000322E4">
        <w:rPr>
          <w:lang w:val="en-US"/>
        </w:rPr>
        <w:instrText>high</w:instrText>
      </w:r>
      <w:r w:rsidR="00C37789" w:rsidRPr="000322E4">
        <w:instrText xml:space="preserve"> </w:instrText>
      </w:r>
      <w:r w:rsidR="00C37789" w:rsidRPr="000322E4">
        <w:rPr>
          <w:lang w:val="en-US"/>
        </w:rPr>
        <w:instrText>response</w:instrText>
      </w:r>
      <w:r w:rsidR="00C37789" w:rsidRPr="000322E4">
        <w:instrText xml:space="preserve"> </w:instrText>
      </w:r>
      <w:r w:rsidR="00C37789" w:rsidRPr="000322E4">
        <w:rPr>
          <w:lang w:val="en-US"/>
        </w:rPr>
        <w:instrText>rates</w:instrText>
      </w:r>
      <w:r w:rsidR="00C37789" w:rsidRPr="000322E4">
        <w:instrText xml:space="preserve">, </w:instrText>
      </w:r>
      <w:r w:rsidR="00C37789" w:rsidRPr="000322E4">
        <w:rPr>
          <w:lang w:val="en-US"/>
        </w:rPr>
        <w:instrText>long</w:instrText>
      </w:r>
      <w:r w:rsidR="00C37789" w:rsidRPr="000322E4">
        <w:instrText>-</w:instrText>
      </w:r>
      <w:r w:rsidR="00C37789" w:rsidRPr="000322E4">
        <w:rPr>
          <w:lang w:val="en-US"/>
        </w:rPr>
        <w:instrText>term</w:instrText>
      </w:r>
      <w:r w:rsidR="00C37789" w:rsidRPr="000322E4">
        <w:instrText xml:space="preserve"> </w:instrText>
      </w:r>
      <w:r w:rsidR="00C37789" w:rsidRPr="000322E4">
        <w:rPr>
          <w:lang w:val="en-US"/>
        </w:rPr>
        <w:instrText>disease</w:instrText>
      </w:r>
      <w:r w:rsidR="00C37789" w:rsidRPr="000322E4">
        <w:instrText xml:space="preserve"> </w:instrText>
      </w:r>
      <w:r w:rsidR="00C37789" w:rsidRPr="000322E4">
        <w:rPr>
          <w:lang w:val="en-US"/>
        </w:rPr>
        <w:instrText>control</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minimal</w:instrText>
      </w:r>
      <w:r w:rsidR="00C37789" w:rsidRPr="000322E4">
        <w:instrText xml:space="preserve"> </w:instrText>
      </w:r>
      <w:r w:rsidR="00C37789" w:rsidRPr="000322E4">
        <w:rPr>
          <w:lang w:val="en-US"/>
        </w:rPr>
        <w:instrText>neurotoxicity</w:instrText>
      </w:r>
      <w:r w:rsidR="00C37789" w:rsidRPr="000322E4">
        <w:instrText xml:space="preserve">. © 2013 </w:instrText>
      </w:r>
      <w:r w:rsidR="00C37789" w:rsidRPr="000322E4">
        <w:rPr>
          <w:lang w:val="en-US"/>
        </w:rPr>
        <w:instrText>by</w:instrText>
      </w:r>
      <w:r w:rsidR="00C37789" w:rsidRPr="000322E4">
        <w:instrText xml:space="preserve"> </w:instrText>
      </w:r>
      <w:r w:rsidR="00C37789" w:rsidRPr="000322E4">
        <w:rPr>
          <w:lang w:val="en-US"/>
        </w:rPr>
        <w:instrText>American</w:instrText>
      </w:r>
      <w:r w:rsidR="00C37789" w:rsidRPr="000322E4">
        <w:instrText xml:space="preserve"> </w:instrText>
      </w:r>
      <w:r w:rsidR="00C37789" w:rsidRPr="000322E4">
        <w:rPr>
          <w:lang w:val="en-US"/>
        </w:rPr>
        <w:instrText>Society</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Clinical</w:instrText>
      </w:r>
      <w:r w:rsidR="00C37789" w:rsidRPr="000322E4">
        <w:instrText xml:space="preserve"> </w:instrText>
      </w:r>
      <w:r w:rsidR="00C37789" w:rsidRPr="000322E4">
        <w:rPr>
          <w:lang w:val="en-US"/>
        </w:rPr>
        <w:instrText>Oncology</w:instrText>
      </w:r>
      <w:r w:rsidR="00C37789" w:rsidRPr="000322E4">
        <w:instrText>.","</w:instrText>
      </w:r>
      <w:r w:rsidR="00C37789" w:rsidRPr="000322E4">
        <w:rPr>
          <w:lang w:val="en-US"/>
        </w:rPr>
        <w:instrText>author</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Morris</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Patrick</w:instrText>
      </w:r>
      <w:r w:rsidR="00C37789" w:rsidRPr="000322E4">
        <w:instrText xml:space="preserve"> </w:instrText>
      </w:r>
      <w:r w:rsidR="00C37789" w:rsidRPr="000322E4">
        <w:rPr>
          <w:lang w:val="en-US"/>
        </w:rPr>
        <w:instrText>G</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Correa</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Denise</w:instrText>
      </w:r>
      <w:r w:rsidR="00C37789" w:rsidRPr="000322E4">
        <w:instrText xml:space="preserve"> </w:instrText>
      </w:r>
      <w:r w:rsidR="00C37789" w:rsidRPr="000322E4">
        <w:rPr>
          <w:lang w:val="en-US"/>
        </w:rPr>
        <w:instrText>D</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Yahalom</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Joachim</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Raizer</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Jeffrey</w:instrText>
      </w:r>
      <w:r w:rsidR="00C37789" w:rsidRPr="000322E4">
        <w:instrText xml:space="preserve"> </w:instrText>
      </w:r>
      <w:r w:rsidR="00C37789" w:rsidRPr="000322E4">
        <w:rPr>
          <w:lang w:val="en-US"/>
        </w:rPr>
        <w:instrText>J</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Schiff</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David</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Grant</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Barbara</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Grimm</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Sean</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names":false,"suffix":""},{"dropping-particle":"","family":"Lai","given":"Rose K.","non-dropping-particle":"","parse-names":false,"suffix":""},{"dropping-particle":"","family":"Reiner","given":"Anne S.","non-dropping-particle":"","parse-names":false,"suffix":""},{"dropping-particle":"","family":"Panageas","given":"Kathy","non-dropping-particle":"","parse-names":false,"suffix":""},{"dropping-particle":"","family":"Karimi","given":"Sasan","non-dropping-particle":"","parse-names":false,"suffix":""},{"dropping-particle":"","family":"Curry","given":"Richard","non-dropping-particle":"","parse-names":false,"suffix":""},{"dropping-particle":"","family":"Shah","given":"Gaurav","non-dropping-particle":"","parse-names":false,"suffix":""},{"dropping-particle":"","family":"Abrey","given":"Lauren E.","non-dropping-particle":"","parse-names":false,"suffix":""},{"dropping-particle":"","family":"DeAngelis","given":"Lisa M.","non-dropping-particle":"","parse-names":false,"suffix":""},{"dropping-particle":"","family":"Omuro","given":"Antonio","non-dropping-particle":"","parse-names":false,"suffix":""}],"container-title":"Journal of Clinical Oncology","id":"ITEM-1","issue":"31","issued":{"date-parts":[["2013","11","1"]]},"page":"3971-3979","publisher":"American Society of Clinical Oncology","title":"Rituximab, methotrexate, procarbazine, and vincristine followed by consolidation reduced-dose whole-brain radiotherapy and cytarabine in newly diagnosed primary CNS lymphoma: Final results and long-term outcome","type":"article-journal","volume":"31"},"uris":["http://www.mendeley.com/documents/?uuid=07de7ec0-87f0-38d4-81b2-29cb402e4a1a"]}],"mendeley":{"formattedCitation":"[78]","plainTextFormattedCitation":"[78]","previouslyFormattedCitation":"[78]"},"properties":{"noteIndex":0},"schema":"https://github.com/citation-style-language/schema/raw/master/csl-citation.json"}</w:instrText>
      </w:r>
      <w:r w:rsidR="00212EF5" w:rsidRPr="000322E4">
        <w:rPr>
          <w:lang w:val="en-US"/>
        </w:rPr>
        <w:fldChar w:fldCharType="separate"/>
      </w:r>
      <w:r w:rsidR="00C37789" w:rsidRPr="000322E4">
        <w:rPr>
          <w:noProof/>
          <w:lang w:val="en-US"/>
        </w:rPr>
        <w:t>[78]</w:t>
      </w:r>
      <w:r w:rsidR="00212EF5" w:rsidRPr="000322E4">
        <w:rPr>
          <w:lang w:val="en-US"/>
        </w:rPr>
        <w:fldChar w:fldCharType="end"/>
      </w:r>
      <w:r w:rsidRPr="000322E4">
        <w:t>.</w:t>
      </w:r>
    </w:p>
    <w:p w14:paraId="69B19711" w14:textId="77777777" w:rsidR="00A6186F" w:rsidRPr="000322E4" w:rsidRDefault="00A6186F" w:rsidP="00416CC7">
      <w:pPr>
        <w:ind w:left="709"/>
        <w:contextualSpacing/>
        <w:rPr>
          <w:b/>
        </w:rPr>
      </w:pPr>
      <w:r w:rsidRPr="000322E4">
        <w:rPr>
          <w:b/>
        </w:rPr>
        <w:t xml:space="preserve">Уровень убедительности рекомендаций </w:t>
      </w:r>
      <w:r w:rsidR="00357C19" w:rsidRPr="000322E4">
        <w:rPr>
          <w:b/>
        </w:rPr>
        <w:t xml:space="preserve">С </w:t>
      </w:r>
      <w:r w:rsidRPr="000322E4">
        <w:rPr>
          <w:b/>
        </w:rPr>
        <w:t xml:space="preserve">(уровень достоверности доказательств </w:t>
      </w:r>
      <w:r w:rsidR="00357C19" w:rsidRPr="000322E4">
        <w:rPr>
          <w:b/>
        </w:rPr>
        <w:t>4</w:t>
      </w:r>
      <w:r w:rsidRPr="000322E4">
        <w:rPr>
          <w:b/>
        </w:rPr>
        <w:t>).</w:t>
      </w:r>
    </w:p>
    <w:p w14:paraId="5CFD5060" w14:textId="77777777" w:rsidR="0057542B" w:rsidRPr="000322E4" w:rsidRDefault="00A6186F" w:rsidP="00416CC7">
      <w:pPr>
        <w:ind w:left="709"/>
        <w:contextualSpacing/>
        <w:rPr>
          <w:i/>
        </w:rPr>
      </w:pPr>
      <w:r w:rsidRPr="000322E4">
        <w:rPr>
          <w:b/>
        </w:rPr>
        <w:t xml:space="preserve">Комментарии: </w:t>
      </w:r>
      <w:r w:rsidRPr="000322E4">
        <w:rPr>
          <w:i/>
        </w:rPr>
        <w:t>в настоящее время отсутствуют сведения о преимуществе того или иного варианта терапии на этапе консолидации ремиссии при ПЛЦНС</w:t>
      </w:r>
      <w:r w:rsidR="009512F1" w:rsidRPr="000322E4">
        <w:rPr>
          <w:i/>
        </w:rPr>
        <w:t>.</w:t>
      </w:r>
    </w:p>
    <w:p w14:paraId="7D014D9C" w14:textId="77777777" w:rsidR="009512F1" w:rsidRPr="000322E4" w:rsidRDefault="009512F1" w:rsidP="00416CC7">
      <w:pPr>
        <w:pStyle w:val="afff8"/>
        <w:spacing w:before="0"/>
      </w:pPr>
      <w:r w:rsidRPr="000322E4">
        <w:t xml:space="preserve">Пациентам с ПЛЦНС </w:t>
      </w:r>
      <w:r w:rsidRPr="000322E4">
        <w:rPr>
          <w:lang w:eastAsia="ru-RU"/>
        </w:rPr>
        <w:t xml:space="preserve">при сохранении резидуальной опухоли после первой линии индукционной терапии </w:t>
      </w:r>
      <w:r w:rsidRPr="000322E4">
        <w:rPr>
          <w:b/>
        </w:rPr>
        <w:t xml:space="preserve">рекомендовано </w:t>
      </w:r>
      <w:r w:rsidRPr="000322E4">
        <w:rPr>
          <w:lang w:eastAsia="ru-RU"/>
        </w:rPr>
        <w:t xml:space="preserve">проведение курсов химиотерапии с включением высоких доз цитарабина** +/- этопозида** </w:t>
      </w:r>
      <w:r w:rsidR="009375D9" w:rsidRPr="000322E4">
        <w:t xml:space="preserve">(см. приложение А3.1) </w:t>
      </w:r>
      <w:r w:rsidR="009375D9" w:rsidRPr="000322E4">
        <w:rPr>
          <w:b/>
        </w:rPr>
        <w:t xml:space="preserve"> </w:t>
      </w:r>
      <w:r w:rsidRPr="000322E4">
        <w:rPr>
          <w:lang w:eastAsia="ru-RU"/>
        </w:rPr>
        <w:t>или проведение лучевой терапии</w:t>
      </w:r>
      <w:r w:rsidR="009375D9" w:rsidRPr="000322E4">
        <w:rPr>
          <w:lang w:eastAsia="ru-RU"/>
        </w:rPr>
        <w:t xml:space="preserve"> </w:t>
      </w:r>
      <w:r w:rsidR="009375D9" w:rsidRPr="000322E4">
        <w:t xml:space="preserve">на весь головной мозг СОД 30-36 Гр с последующим дополнительным облучением резидуальных опухолевых образований до </w:t>
      </w:r>
      <w:r w:rsidR="006D44E2" w:rsidRPr="000322E4">
        <w:t xml:space="preserve">44 </w:t>
      </w:r>
      <w:r w:rsidR="009375D9" w:rsidRPr="000322E4">
        <w:t>Гр, или проведение лучевой терапии только на резидуальные опухолевые образования до 45 Гр</w:t>
      </w:r>
      <w:r w:rsidRPr="000322E4">
        <w:t xml:space="preserve"> </w:t>
      </w:r>
      <w:r w:rsidRPr="000322E4">
        <w:fldChar w:fldCharType="begin" w:fldLock="1"/>
      </w:r>
      <w:r w:rsidR="00C114E4" w:rsidRPr="000322E4">
        <w:instrText>ADDIN CSL_CITATION {"citationItems":[{"id":"ITEM-1","itemData":{"author":[{"dropping-particle":"","family":"Кузьмин","given":"А.А.","non-dropping-particle":"","parse-names":false,"suffix":""},{"dropping-particle":"","family":"Бабичева","given":"Л.Г.","non-dropping-particle":"","parse-names":false,"suffix":""},{"dropping-particle":"","family":"Тумян","given":"Г.С.","non-dropping-particle":"","parse-names":false,"suffix":""},{"dropping-particle":"","family":"Птушкин","given":"В.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Савченко.","id":"ITEM-1","issued":{"date-parts":[["2018"]]},"page":"87-93","title":"Первичная лимфома центральной нервной системы","type":"chapter"},"uris":["http://www.mendeley.com/documents/?uuid=dac650cf-b934-4db3-8c16-71fbc7fc82e3"]}],"mendeley":{"formattedCitation":"[29]","plainTextFormattedCitation":"[29]","previouslyFormattedCitation":"[29]"},"properties":{"noteIndex":0},"schema":"https://github.com/citation-style-language/schema/raw/master/csl-citation.json"}</w:instrText>
      </w:r>
      <w:r w:rsidRPr="000322E4">
        <w:fldChar w:fldCharType="separate"/>
      </w:r>
      <w:r w:rsidR="00416CC7" w:rsidRPr="000322E4">
        <w:rPr>
          <w:noProof/>
        </w:rPr>
        <w:t>[29]</w:t>
      </w:r>
      <w:r w:rsidRPr="000322E4">
        <w:fldChar w:fldCharType="end"/>
      </w:r>
      <w:r w:rsidRPr="000322E4">
        <w:t>.</w:t>
      </w:r>
    </w:p>
    <w:p w14:paraId="360B589A" w14:textId="77777777" w:rsidR="009512F1" w:rsidRPr="000322E4" w:rsidRDefault="009512F1" w:rsidP="00416CC7">
      <w:pPr>
        <w:ind w:left="709"/>
        <w:contextualSpacing/>
        <w:rPr>
          <w:b/>
        </w:rPr>
      </w:pPr>
      <w:r w:rsidRPr="000322E4">
        <w:rPr>
          <w:b/>
        </w:rPr>
        <w:lastRenderedPageBreak/>
        <w:t xml:space="preserve">Уровень убедительности рекомендаций </w:t>
      </w:r>
      <w:r w:rsidRPr="000322E4">
        <w:rPr>
          <w:b/>
          <w:lang w:val="en-US"/>
        </w:rPr>
        <w:t>C</w:t>
      </w:r>
      <w:r w:rsidRPr="000322E4">
        <w:rPr>
          <w:b/>
        </w:rPr>
        <w:t xml:space="preserve"> (уровень достоверности доказательств 5).</w:t>
      </w:r>
    </w:p>
    <w:p w14:paraId="6C52DA65" w14:textId="77777777" w:rsidR="009375D9" w:rsidRPr="000322E4" w:rsidRDefault="009375D9" w:rsidP="00416CC7">
      <w:pPr>
        <w:ind w:left="709"/>
      </w:pPr>
      <w:r w:rsidRPr="000322E4">
        <w:rPr>
          <w:b/>
        </w:rPr>
        <w:t>Комментарии:</w:t>
      </w:r>
      <w:r w:rsidRPr="000322E4">
        <w:t xml:space="preserve"> </w:t>
      </w:r>
      <w:r w:rsidRPr="000322E4">
        <w:rPr>
          <w:i/>
        </w:rPr>
        <w:t>проведение лучевой терапии на головной мозг сопряжено с риском развития нейротоксичности, более высоким у пациентов старше 60 лет.</w:t>
      </w:r>
    </w:p>
    <w:p w14:paraId="41913559" w14:textId="77777777" w:rsidR="00021FC9" w:rsidRPr="000322E4" w:rsidRDefault="00021FC9" w:rsidP="00416CC7">
      <w:pPr>
        <w:pStyle w:val="2"/>
        <w:spacing w:before="0"/>
        <w:contextualSpacing/>
      </w:pPr>
      <w:bookmarkStart w:id="40" w:name="_Toc66096826"/>
      <w:r w:rsidRPr="000322E4">
        <w:t>3.</w:t>
      </w:r>
      <w:r w:rsidR="007726E0" w:rsidRPr="000322E4">
        <w:t>4</w:t>
      </w:r>
      <w:r w:rsidRPr="000322E4">
        <w:t xml:space="preserve"> Первая линия терапии ДВКЛ у детей и подростков до 18 лет</w:t>
      </w:r>
      <w:bookmarkEnd w:id="40"/>
    </w:p>
    <w:p w14:paraId="7AB87D75" w14:textId="77777777" w:rsidR="00021FC9" w:rsidRPr="000322E4" w:rsidRDefault="00021FC9" w:rsidP="00416CC7">
      <w:pPr>
        <w:pStyle w:val="afff8"/>
        <w:spacing w:before="0"/>
      </w:pPr>
      <w:r w:rsidRPr="000322E4">
        <w:t xml:space="preserve">Пациентам до 18 лет с установленным диагнозом агрессивной нефолликулярной В-клеточной лимфомы (ДВКЛ, ЛБ или ПМВКЛ) </w:t>
      </w:r>
      <w:r w:rsidRPr="000322E4">
        <w:rPr>
          <w:b/>
        </w:rPr>
        <w:t xml:space="preserve">рекомендовано </w:t>
      </w:r>
      <w:r w:rsidRPr="000322E4">
        <w:rPr>
          <w:bCs/>
        </w:rPr>
        <w:t>проведение</w:t>
      </w:r>
      <w:r w:rsidRPr="000322E4">
        <w:t xml:space="preserve"> многокомпонентной полихимиотерапии на основе протоколов группы БФМ (см. приложение А3.1) в зависимости от групп риска (см. раздел 7.5) с включением ритуксимаба**</w:t>
      </w:r>
      <w:r w:rsidRPr="000322E4">
        <w:rPr>
          <w:b/>
        </w:rPr>
        <w:t xml:space="preserve"> </w:t>
      </w:r>
      <w:r w:rsidRPr="000322E4">
        <w:fldChar w:fldCharType="begin" w:fldLock="1"/>
      </w:r>
      <w:r w:rsidR="00C37789" w:rsidRPr="000322E4">
        <w:instrText>ADDIN CSL_CITATION {"citationItems":[{"id":"ITEM-1","itemData":{"DOI":"10.1111/bjh.15944","ISSN":"13652141","abstract":"The value of adding rituximab to chemotherapy in children with aggressive B-cell non-Hodgkin lymphoma (B-NHL) is still insufficiently studied. We enrolled 231 patients [mean age 9 years old (range 2–17); male:female ratio 3·4:1] with Burkitt (BL, 179 patients, 76·7%), diffuse large B-cell (32 patients, 14%), primary mediastinal B-cell (14 patients, 6%), and other (6 patients, 2·6%) B-cell lymphomas in a prospective study of immuno-chemotherapy. Stages were I–II in 32% and III–IV in 68% of the patients. Four doses of 375 mg/m2 rituximab were added to the Berlin-Frankfurt-Munster-NHL-90-like chemotherapy, with methotrexate being reduced or omitted in the first 2 induction blocks. The complete remission rate was 100% in limited-stage and 91·4% in advanced-stage patients. Five advanced-stage patients (2·2%) died in induction and 1 patient with stage 2 B-NHL died in remission; 11 patients in the high-risk group progressed on therapy (3 non-BL are alive after salvage) and 5 relapsed. Sixteen patients (9·7%) with advanced stage disease proceeded to transplant. With a median follow-up of 46 months, 98·5 ± 1% of patients with limited disease and 88·1 ± 2% (88·1% in Risk Group 3; 82·6% in Risk Group 4) in advanced stages are alive. This study confirmed that combined immunochemotherapy for B-lymphomas is highly effective in children, despite reducing the intensity of the induction blocks.","author":[{"dropping-particle":"","family":"Maschan","given":"Alexey","non-dropping-particle":"","parse-names":false,"suffix":""},{"dropping-particle":"","family":"Myakova","given":"Natalia","non-dropping-particle":"","parse-names":false,"suffix":""},{"dropping-particle":"","family":"Aleinikova","given":"Olga","non-dropping-particle":"","parse-names":false,"suffix":""},{"dropping-particle":"","family":"Abugova","given":"Yulia","non-dropping-particle":"","parse-names":false,"suffix":""},{"dropping-particle":"","family":"Ponomareva","given":"Natalia","non-dropping-particle":"","parse-names":false,"suffix":""},{"dropping-particle":"","family":"Belogurova","given":"Margarita","non-dropping-particle":"","parse-names":false,"suffix":""},{"dropping-particle":"","family":"Fechina","given":"Larisa","non-dropping-particle":"","parse-names":false,"suffix":""},{"dropping-particle":"","family":"Fedorova","given":"Alina","non-dropping-particle":"","parse-names":false,"suffix":""},{"dropping-particle":"","family":"Grigor'eva","given":"Natalia","non-dropping-particle":"","parse-names":false,"suffix":""},{"dropping-particle":"","family":"Lebedev","given":"Vladimir","non-dropping-particle":"","parse-names":false,"suffix":""},{"dropping-particle":"","family":"Nikonova","given":"Olga","non-dropping-particle":"","parse-names":false,"suffix":""},{"dropping-particle":"","family":"Shamardina","given":"Anastassia","non-dropping-particle":"","parse-names":false,"suffix":""},{"dropping-particle":"","family":"Sharapova","given":"Guzel","non-dropping-particle":"","parse-names":false,"suffix":""},{"dropping-particle":"","family":"Smirnova","given":"Nadezhda","non-dropping-particle":"","parse-names":false,"suffix":""},{"dropping-particle":"","family":"Rudneva","given":"Anastassia","non-dropping-particle":"","parse-names":false,"suffix":""},{"dropping-particle":"","family":"Volchkov","given":"Egor","non-dropping-particle":"","parse-names":false,"suffix":""},{"dropping-particle":"","family":"Samochatova","given":"Elena","non-dropping-particle":"","parse-names":false,"suffix":""}],"container-title":"British Journal of Haematology","id":"ITEM-1","issue":"3","issued":{"date-parts":[["2019","8","1"]]},"page":"477-483","publisher":"Blackwell Publishing Ltd","title":"Rituximab and reduced-intensity chemotherapy in children and adolescents with mature B-cell lymphoma: interim results for 231 patients enrolled in the second Russian-Belorussian multicentre study B-NHL-2010M","type":"article-journal","volume":"186"},"uris":["http://www.mendeley.com/documents/?uuid=d785740a-3410-3e67-a0c7-4d516bcdcf16"]}],"mendeley":{"formattedCitation":"[84]","plainTextFormattedCitation":"[84]","previouslyFormattedCitation":"[84]"},"properties":{"noteIndex":0},"schema":"https://github.com/citation-style-language/schema/raw/master/csl-citation.json"}</w:instrText>
      </w:r>
      <w:r w:rsidRPr="000322E4">
        <w:fldChar w:fldCharType="separate"/>
      </w:r>
      <w:r w:rsidR="00C37789" w:rsidRPr="000322E4">
        <w:rPr>
          <w:noProof/>
        </w:rPr>
        <w:t>[84]</w:t>
      </w:r>
      <w:r w:rsidRPr="000322E4">
        <w:fldChar w:fldCharType="end"/>
      </w:r>
      <w:r w:rsidRPr="000322E4">
        <w:t>.</w:t>
      </w:r>
    </w:p>
    <w:p w14:paraId="12B1E173" w14:textId="77777777" w:rsidR="00021FC9" w:rsidRPr="000322E4" w:rsidRDefault="00021FC9" w:rsidP="00416CC7">
      <w:pPr>
        <w:ind w:left="709"/>
        <w:contextualSpacing/>
        <w:rPr>
          <w:b/>
        </w:rPr>
      </w:pPr>
      <w:r w:rsidRPr="000322E4">
        <w:rPr>
          <w:b/>
        </w:rPr>
        <w:t xml:space="preserve">Уровень убедительности рекомендаций </w:t>
      </w:r>
      <w:r w:rsidR="006D44E2" w:rsidRPr="000322E4">
        <w:rPr>
          <w:b/>
        </w:rPr>
        <w:t xml:space="preserve">В </w:t>
      </w:r>
      <w:r w:rsidRPr="000322E4">
        <w:rPr>
          <w:b/>
        </w:rPr>
        <w:t xml:space="preserve">(уровень достоверности доказательств </w:t>
      </w:r>
      <w:r w:rsidR="006D44E2" w:rsidRPr="000322E4">
        <w:rPr>
          <w:b/>
        </w:rPr>
        <w:t>3</w:t>
      </w:r>
      <w:r w:rsidRPr="000322E4">
        <w:rPr>
          <w:b/>
        </w:rPr>
        <w:t>).</w:t>
      </w:r>
    </w:p>
    <w:p w14:paraId="4D22BAA4" w14:textId="77777777" w:rsidR="00021FC9" w:rsidRPr="000322E4" w:rsidRDefault="00021FC9" w:rsidP="00416CC7">
      <w:pPr>
        <w:ind w:left="709"/>
        <w:contextualSpacing/>
        <w:rPr>
          <w:bCs/>
          <w:i/>
          <w:iCs/>
        </w:rPr>
      </w:pPr>
      <w:r w:rsidRPr="000322E4">
        <w:rPr>
          <w:b/>
        </w:rPr>
        <w:t>Комментарий:</w:t>
      </w:r>
      <w:r w:rsidRPr="000322E4">
        <w:rPr>
          <w:bCs/>
        </w:rPr>
        <w:t xml:space="preserve"> </w:t>
      </w:r>
      <w:r w:rsidRPr="000322E4">
        <w:rPr>
          <w:i/>
          <w:iCs/>
        </w:rPr>
        <w:t>при сохраняющемся остаточном образовании после 4 блока пациенту рекомендовано провести контрольное обследование (ПЭТ/КТ или биопсию остаточного образования), в сомнительных случаях – обе процедуры. Если нет данных об активном опухолевом процессе, продолжают курсы АА-ВВ-СС.</w:t>
      </w:r>
      <w:r w:rsidRPr="000322E4">
        <w:rPr>
          <w:bCs/>
          <w:i/>
          <w:iCs/>
        </w:rPr>
        <w:t xml:space="preserve"> </w:t>
      </w:r>
    </w:p>
    <w:p w14:paraId="485EF274" w14:textId="77777777" w:rsidR="00021FC9" w:rsidRPr="000322E4" w:rsidRDefault="00350858" w:rsidP="00416CC7">
      <w:pPr>
        <w:ind w:left="709"/>
        <w:contextualSpacing/>
        <w:rPr>
          <w:i/>
        </w:rPr>
      </w:pPr>
      <w:r w:rsidRPr="000322E4">
        <w:rPr>
          <w:i/>
        </w:rPr>
        <w:t>При инициальном поражении ЦНС (особенно при наличии инфильтративных очагов) больным после блока АА проводит</w:t>
      </w:r>
      <w:r w:rsidR="004A4684" w:rsidRPr="000322E4">
        <w:rPr>
          <w:i/>
        </w:rPr>
        <w:t>ся</w:t>
      </w:r>
      <w:r w:rsidRPr="000322E4">
        <w:rPr>
          <w:i/>
        </w:rPr>
        <w:t xml:space="preserve"> эндолюмбальн</w:t>
      </w:r>
      <w:r w:rsidR="004A4684" w:rsidRPr="000322E4">
        <w:rPr>
          <w:i/>
        </w:rPr>
        <w:t>ая</w:t>
      </w:r>
      <w:r w:rsidRPr="000322E4">
        <w:rPr>
          <w:i/>
        </w:rPr>
        <w:t xml:space="preserve"> терапи</w:t>
      </w:r>
      <w:r w:rsidR="004A4684" w:rsidRPr="000322E4">
        <w:rPr>
          <w:i/>
        </w:rPr>
        <w:t>я</w:t>
      </w:r>
      <w:r w:rsidRPr="000322E4">
        <w:rPr>
          <w:i/>
        </w:rPr>
        <w:t xml:space="preserve"> (по 2-3 введения в течение одного блока в полной возрастной дозе трех препаратов, кроме введений на блоке СС)</w:t>
      </w:r>
      <w:r w:rsidR="00021FC9" w:rsidRPr="000322E4">
        <w:rPr>
          <w:i/>
        </w:rPr>
        <w:t>.</w:t>
      </w:r>
    </w:p>
    <w:p w14:paraId="7D8833EA" w14:textId="77777777" w:rsidR="00021FC9" w:rsidRPr="000322E4" w:rsidRDefault="007726E0" w:rsidP="00416CC7">
      <w:pPr>
        <w:pStyle w:val="2"/>
        <w:spacing w:before="0"/>
      </w:pPr>
      <w:bookmarkStart w:id="41" w:name="_Toc66096827"/>
      <w:r w:rsidRPr="000322E4">
        <w:t>3.5 Лечение лимфомы Беркитта</w:t>
      </w:r>
      <w:bookmarkEnd w:id="41"/>
    </w:p>
    <w:p w14:paraId="6D3C87CC" w14:textId="77777777" w:rsidR="007726E0" w:rsidRPr="000322E4" w:rsidRDefault="007726E0" w:rsidP="00416CC7">
      <w:pPr>
        <w:ind w:firstLine="709"/>
        <w:contextualSpacing/>
        <w:rPr>
          <w:i/>
        </w:rPr>
      </w:pPr>
      <w:r w:rsidRPr="000322E4">
        <w:rPr>
          <w:i/>
        </w:rPr>
        <w:t xml:space="preserve">Лечение ЛБ проводится в кратчайшие сроки и в режиме оказания неотложной медицинской помощи </w:t>
      </w:r>
      <w:r w:rsidRPr="000322E4">
        <w:rPr>
          <w:i/>
        </w:rPr>
        <w:fldChar w:fldCharType="begin" w:fldLock="1"/>
      </w:r>
      <w:r w:rsidR="00C37789" w:rsidRPr="000322E4">
        <w:rPr>
          <w:i/>
        </w:rPr>
        <w:instrText>ADDIN CSL_CITATION {"citationItems":[{"id":"ITEM-1","itemData":{"DOI":"10.1016/j.ejca.2017.03.013","ISSN":"18790852","abstract":"Background Non-Hodgkin lymphoma (NHL) is often diagnosed after emergency presentation, a route associated with poor survival and an indicator of diagnostic delay. Accounting for around half of all NHLs, diffuse large B-cell lymphoma (DLBCL) is of particular interest since although it is potentially curable with standardised chemotherapy it can be challenging to identify at an early stage in the primary care setting. Patients and methods Set within a socio-demographically representative United Kingdom population of around 4 million people, data are from an established patient cohort. This report includes all patients (≥18 years) diagnosed with DLBCL 2004–2011 (n = 1660). Emergency admissions were identified via linkage to Hospital Episode Statistics using standard methods, and survival was examined using proportional hazards regression. Results Two out of every five patients were diagnosed following an emergency admission, and this was associated with advanced disease and poor survival (p &lt; 0.001). Among the 80% of patients treated with curative chemotherapy, survival discrepancies emerged at the point of diagnosis; the adjusted hazard ratio (emergency versus non-emergency) at one month being 4.0 (95% confidence interval 1.9–8.2). No lasting impact was evident in patients who survived for 12 months or more. Conclusion Emergency presentation impacts negatively on DLBCL survival; patients presenting via this route have significantly poorer outcomes than patients with similar clinical characteristics who present via other routes.","author":[{"dropping-particle":"","family":"Kane","given":"Eleanor","non-dropping-particle":"","parse-names":false,"suffix":""},{"dropping-particle":"","family":"Howell","given":"Debra","non-dropping-particle":"","parse-names":false,"suffix":""},{"dropping-particle":"","family":"Smith","given":"Alexandra","non-dropping-particle":"","parse-names":false,"suffix":""},{"dropping-particle":"","family":"Crouch","given":"Simon","non-dropping-particle":"","parse-names":false,"suffix":""},{"dropping-particle":"","family":"Burton","given":"Cathy","non-dropping-particle":"","parse-names":false,"suffix":""},{"dropping-particle":"","family":"Roman","given":"Eve","non-dropping-particle":"","parse-names":false,"suffix":""},{"dropping-particle":"","family":"Patmore","given":"Russell","non-dropping-particle":"","parse-names":false,"suffix":""}],"container-title":"European Journal of Cancer","id":"ITEM-1","issued":{"date-parts":[["2017","6","1"]]},"page":"53-60","publisher":"Elsevier Ltd","title":"Emergency admission and survival from aggressive non-Hodgkin lymphoma: A report from the UK's population-based Haematological Malignancy Research Network","type":"article-journal","volume":"78"},"uris":["http://www.mendeley.com/documents/?uuid=40576fb6-316e-3a7e-8692-5f2f6f9fddee"]},{"id":"ITEM-2","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Савченко.","id":"ITEM-2","issued":{"date-parts":[["2018"]]},"page":"80-87","title":"Лимфома Беркитта","type":"chapter"},"uris":["http://www.mendeley.com/documents/?uuid=6c46cd48-7af0-4ac2-8eb1-93f86718c4df"]}],"mendeley":{"formattedCitation":"[2,85]","plainTextFormattedCitation":"[2,85]","previouslyFormattedCitation":"[2,85]"},"properties":{"noteIndex":0},"schema":"https://github.com/citation-style-language/schema/raw/master/csl-citation.json"}</w:instrText>
      </w:r>
      <w:r w:rsidRPr="000322E4">
        <w:rPr>
          <w:i/>
        </w:rPr>
        <w:fldChar w:fldCharType="separate"/>
      </w:r>
      <w:r w:rsidR="00C37789" w:rsidRPr="000322E4">
        <w:rPr>
          <w:noProof/>
        </w:rPr>
        <w:t>[2,85]</w:t>
      </w:r>
      <w:r w:rsidRPr="000322E4">
        <w:rPr>
          <w:i/>
        </w:rPr>
        <w:fldChar w:fldCharType="end"/>
      </w:r>
      <w:r w:rsidRPr="000322E4">
        <w:rPr>
          <w:i/>
        </w:rPr>
        <w:t>.</w:t>
      </w:r>
    </w:p>
    <w:p w14:paraId="46329D9D" w14:textId="77777777" w:rsidR="007726E0" w:rsidRPr="000322E4" w:rsidRDefault="007726E0" w:rsidP="00416CC7">
      <w:pPr>
        <w:widowControl w:val="0"/>
        <w:numPr>
          <w:ilvl w:val="0"/>
          <w:numId w:val="26"/>
        </w:numPr>
        <w:autoSpaceDE w:val="0"/>
        <w:autoSpaceDN w:val="0"/>
        <w:adjustRightInd w:val="0"/>
        <w:contextualSpacing/>
        <w:rPr>
          <w:b/>
          <w:sz w:val="28"/>
          <w:szCs w:val="28"/>
        </w:rPr>
      </w:pPr>
      <w:r w:rsidRPr="000322E4">
        <w:rPr>
          <w:bCs/>
        </w:rPr>
        <w:t>П</w:t>
      </w:r>
      <w:r w:rsidRPr="000322E4">
        <w:t xml:space="preserve">ациентам с ЛБ </w:t>
      </w:r>
      <w:r w:rsidRPr="000322E4">
        <w:rPr>
          <w:b/>
          <w:bCs/>
        </w:rPr>
        <w:t>рекомендуется</w:t>
      </w:r>
      <w:r w:rsidRPr="000322E4">
        <w:t xml:space="preserve"> экстренное купирование имеющихся хирургических осложнений (кишечная непроходимость, кровотечения, перфорация), коррекция электролитных нарушений, купирование инфекционных осложнений, болевого синдрома </w:t>
      </w:r>
      <w:r w:rsidRPr="000322E4">
        <w:rPr>
          <w:i/>
        </w:rPr>
        <w:fldChar w:fldCharType="begin" w:fldLock="1"/>
      </w:r>
      <w:r w:rsidR="00C37789" w:rsidRPr="000322E4">
        <w:rPr>
          <w:i/>
        </w:rPr>
        <w:instrText>ADDIN CSL_CITATION {"citationItems":[{"id":"ITEM-1","itemData":{"DOI":"10.1016/j.ejca.2017.03.013","ISSN":"18790852","abstract":"Background Non-Hodgkin lymphoma (NHL) is often diagnosed after emergency presentation, a route associated with poor survival and an indicator of diagnostic delay. Accounting for around half of all NHLs, diffuse large B-cell lymphoma (DLBCL) is of particular interest since although it is potentially curable with standardised chemotherapy it can be challenging to identify at an early stage in the primary care setting. Patients and methods Set within a socio-demographically representative United Kingdom population of around 4 million people, data are from an established patient cohort. This report includes all patients (≥18 years) diagnosed with DLBCL 2004–2011 (n = 1660). Emergency admissions were identified via linkage to Hospital Episode Statistics using standard methods, and survival was examined using proportional hazards regression. Results Two out of every five patients were diagnosed following an emergency admission, and this was associated with advanced disease and poor survival (p &lt; 0.001). Among the 80% of patients treated with curative chemotherapy, survival discrepancies emerged at the point of diagnosis; the adjusted hazard ratio (emergency versus non-emergency) at one month being 4.0 (95% confidence interval 1.9–8.2). No lasting impact was evident in patients who survived for 12 months or more. Conclusion Emergency presentation impacts negatively on DLBCL survival; patients presenting via this route have significantly poorer outcomes than patients with similar clinical characteristics who present via other routes.","author":[{"dropping-particle":"","family":"Kane","given":"Eleanor","non-dropping-particle":"","parse-names":false,"suffix":""},{"dropping-particle":"","family":"Howell","given":"Debra","non-dropping-particle":"","parse-names":false,"suffix":""},{"dropping-particle":"","family":"Smith","given":"Alexandra","non-dropping-particle":"","parse-names":false,"suffix":""},{"dropping-particle":"","family":"Crouch","given":"Simon","non-dropping-particle":"","parse-names":false,"suffix":""},{"dropping-particle":"","family":"Burton","given":"Cathy","non-dropping-particle":"","parse-names":false,"suffix":""},{"dropping-particle":"","family":"Roman","given":"Eve","non-dropping-particle":"","parse-names":false,"suffix":""},{"dropping-particle":"","family":"Patmore","given":"Russell","non-dropping-particle":"","parse-names":false,"suffix":""}],"container-title":"European Journal of Cancer","id":"ITEM-1","issued":{"date-parts":[["2017","6","1"]]},"page":"53-60","publisher":"Elsevier Ltd","title":"Emergency admission and survival from aggressive non-Hodgkin lymphoma: A report from the UK's population-based Haematological Malignancy Research Network","type":"article-journal","volume":"78"},"uris":["http://www.mendeley.com/documents/?uuid=40576fb6-316e-3a7e-8692-5f2f6f9fddee"]},{"id":"ITEM-2","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Савченко.","id":"ITEM-2","issued":{"date-parts":[["2018"]]},"page":"80-87","title":"Лимфома Беркитта","type":"chapter"},"uris":["http://www.mendeley.com/documents/?uuid=6c46cd48-7af0-4ac2-8eb1-93f86718c4df"]}],"mendeley":{"formattedCitation":"[2,85]","plainTextFormattedCitation":"[2,85]","previouslyFormattedCitation":"[2,85]"},"properties":{"noteIndex":0},"schema":"https://github.com/citation-style-language/schema/raw/master/csl-citation.json"}</w:instrText>
      </w:r>
      <w:r w:rsidRPr="000322E4">
        <w:rPr>
          <w:i/>
        </w:rPr>
        <w:fldChar w:fldCharType="separate"/>
      </w:r>
      <w:r w:rsidR="00C37789" w:rsidRPr="000322E4">
        <w:rPr>
          <w:noProof/>
        </w:rPr>
        <w:t>[2,85]</w:t>
      </w:r>
      <w:r w:rsidRPr="000322E4">
        <w:rPr>
          <w:i/>
        </w:rPr>
        <w:fldChar w:fldCharType="end"/>
      </w:r>
      <w:r w:rsidRPr="000322E4">
        <w:rPr>
          <w:i/>
        </w:rPr>
        <w:t>.</w:t>
      </w:r>
    </w:p>
    <w:p w14:paraId="1ED5574B" w14:textId="77777777" w:rsidR="007726E0" w:rsidRPr="000322E4" w:rsidRDefault="007726E0" w:rsidP="00CA442F">
      <w:pPr>
        <w:pStyle w:val="afffa"/>
        <w:rPr>
          <w:rFonts w:eastAsia="Arial Unicode MS"/>
          <w:color w:val="000000"/>
        </w:rPr>
      </w:pPr>
      <w:r w:rsidRPr="000322E4">
        <w:t xml:space="preserve">Уровень убедительности рекомендаций – </w:t>
      </w:r>
      <w:r w:rsidRPr="000322E4">
        <w:rPr>
          <w:lang w:val="en-US"/>
        </w:rPr>
        <w:t>B</w:t>
      </w:r>
      <w:r w:rsidRPr="000322E4">
        <w:t xml:space="preserve"> (уровень </w:t>
      </w:r>
      <w:r w:rsidRPr="000322E4">
        <w:rPr>
          <w:spacing w:val="-1"/>
        </w:rPr>
        <w:t xml:space="preserve">достоверности доказательств </w:t>
      </w:r>
      <w:r w:rsidRPr="000322E4">
        <w:t>– 5)</w:t>
      </w:r>
      <w:r w:rsidRPr="000322E4">
        <w:rPr>
          <w:rFonts w:eastAsia="Arial Unicode MS"/>
          <w:color w:val="000000"/>
        </w:rPr>
        <w:t>.</w:t>
      </w:r>
    </w:p>
    <w:p w14:paraId="7982A81E" w14:textId="77777777" w:rsidR="007726E0" w:rsidRPr="000322E4" w:rsidRDefault="007726E0" w:rsidP="00416CC7">
      <w:pPr>
        <w:pStyle w:val="a"/>
        <w:spacing w:before="0"/>
      </w:pPr>
      <w:r w:rsidRPr="000322E4">
        <w:t xml:space="preserve">Пациентам с ЛБ при наличии острой почечной недостаточности </w:t>
      </w:r>
      <w:r w:rsidRPr="000322E4">
        <w:rPr>
          <w:b/>
          <w:bCs/>
        </w:rPr>
        <w:t>рекомендуется</w:t>
      </w:r>
      <w:r w:rsidRPr="000322E4">
        <w:t xml:space="preserve"> проводить ХТ на фоне ежедневных сеансов гемодиализа </w:t>
      </w:r>
      <w:r w:rsidRPr="000322E4">
        <w:fldChar w:fldCharType="begin" w:fldLock="1"/>
      </w:r>
      <w:r w:rsidR="00C37789" w:rsidRPr="000322E4">
        <w:instrText>ADDIN CSL_CITATION {"citationItems":[{"id":"ITEM-1","itemData":{"DOI":"10.4103/0971-4065.57102","ISSN":"09714065","abstract":"Morbidity and mortality in patients with hematologic malignancies are significantly increased by development of acute renal failure. This is more likely in the developing world where facilities for renal replacement therapy are scarce. This review discusses the pathophysiology of acute renal failure due to tumor lysis syndrome in patients with Burkitt′s lymphoma, the commonest hematological malignancy in the pediatric age group in sub-Saharan Africa, and evaluates the possible management options. Tumor lysis can also develop in association with other hematologic malignancies, both spontaneously and following treatment, and these principles are applicable in all such cases.","author":[{"dropping-particle":"","family":"Senbanjo","given":"I. O.","non-dropping-particle":"","parse-names":false,"suffix":""}],"container-title":"Indian Journal of Nephrology","id":"ITEM-1","issue":"3","issued":{"date-parts":[["2009","7","1"]]},"page":"83-86","title":"Tumor lysis and acute renal failure in Burkitt′s lymphoma: A review on pathophysiology and management","type":"article","volume":"19"},"uris":["http://www.mendeley.com/documents/?uuid=f5f980dd-8348-3033-a578-1f2ff406326c"]}],"mendeley":{"formattedCitation":"[86]","plainTextFormattedCitation":"[86]","previouslyFormattedCitation":"[86]"},"properties":{"noteIndex":0},"schema":"https://github.com/citation-style-language/schema/raw/master/csl-citation.json"}</w:instrText>
      </w:r>
      <w:r w:rsidRPr="000322E4">
        <w:fldChar w:fldCharType="separate"/>
      </w:r>
      <w:r w:rsidR="00C37789" w:rsidRPr="000322E4">
        <w:rPr>
          <w:noProof/>
        </w:rPr>
        <w:t>[86]</w:t>
      </w:r>
      <w:r w:rsidRPr="000322E4">
        <w:fldChar w:fldCharType="end"/>
      </w:r>
      <w:r w:rsidRPr="000322E4">
        <w:t>.</w:t>
      </w:r>
    </w:p>
    <w:p w14:paraId="247878DE" w14:textId="77777777" w:rsidR="007726E0" w:rsidRPr="000322E4" w:rsidRDefault="007726E0" w:rsidP="00CA442F">
      <w:pPr>
        <w:pStyle w:val="afffa"/>
      </w:pPr>
      <w:r w:rsidRPr="000322E4">
        <w:t xml:space="preserve">Уровень убедительности рекомендаций – </w:t>
      </w:r>
      <w:r w:rsidRPr="000322E4">
        <w:rPr>
          <w:lang w:val="en-US"/>
        </w:rPr>
        <w:t>C</w:t>
      </w:r>
      <w:r w:rsidRPr="000322E4">
        <w:t xml:space="preserve"> (уровень </w:t>
      </w:r>
      <w:r w:rsidRPr="000322E4">
        <w:rPr>
          <w:spacing w:val="-1"/>
        </w:rPr>
        <w:t xml:space="preserve">достоверности доказательств </w:t>
      </w:r>
      <w:r w:rsidRPr="000322E4">
        <w:t>– 5).</w:t>
      </w:r>
    </w:p>
    <w:p w14:paraId="3CC19AC4" w14:textId="77777777" w:rsidR="007726E0" w:rsidRPr="000322E4" w:rsidRDefault="007726E0" w:rsidP="00416CC7">
      <w:pPr>
        <w:pStyle w:val="a"/>
        <w:spacing w:before="0"/>
      </w:pPr>
      <w:r w:rsidRPr="000322E4">
        <w:t xml:space="preserve">Пациентам с ЛБ </w:t>
      </w:r>
      <w:r w:rsidRPr="000322E4">
        <w:rPr>
          <w:b/>
          <w:bCs/>
        </w:rPr>
        <w:t>рекомендуется</w:t>
      </w:r>
      <w:r w:rsidRPr="000322E4">
        <w:t xml:space="preserve"> в качестве основного метода лечения короткая импульсная высокоинтенсивная ХТ +/– ритуксимаб** (см. приложение </w:t>
      </w:r>
      <w:r w:rsidRPr="000322E4">
        <w:rPr>
          <w:lang w:val="en-US"/>
        </w:rPr>
        <w:t>A</w:t>
      </w:r>
      <w:r w:rsidRPr="000322E4">
        <w:t xml:space="preserve">3.1) </w:t>
      </w:r>
      <w:r w:rsidRPr="000322E4">
        <w:fldChar w:fldCharType="begin" w:fldLock="1"/>
      </w:r>
      <w:r w:rsidR="00C37789" w:rsidRPr="000322E4">
        <w:instrText>ADDIN CSL_CITATION {"citationItems":[{"id":"ITEM-1","itemData":{"DOI":"10.1007/s00277-017-3167-7","ISSN":"1432-0584","PMID":"29209924","abstract":"Burkitt lymphoma is an aggressive B cell malignancy accounting for 1-2% of all adult lymphomas. Treatment with dose-intensive, multi-agent chemotherapy is effective but associated with considerable toxicity. In this observational study, we compared real-world efficacy, toxicity, and costs of four frequently employed treatment strategies for Burkitt lymphoma: the Lymphome Malins B (LMB), the Berlin-Frankfurt-Münster (BFM), the HOVON, and the CODOX-M/IVAC regimens. We collected data from 147 adult patients treated in eight referral centers. Following central pathology assessment, 105 of these cases were accepted as Burkitt lymphoma, resulting in the following treatment groups: LMB 36 patients, BFM 19 patients, HOVON 29 patients, and CODOX-M/IVAC 21 patients (median age 39 years, range 14-74; mean duration of follow-up 47 months). There was no significant difference between age, sex ratio, disease stage, or percentage HIV-positive patients between the treatment groups. Five-year progression-free survival (69%, p = 0.966) and 5-year overall survival (69%, p = 0.981) were comparable for all treatment groups. Treatment-related toxicity was also comparable with only hepatotoxicity seen more frequently in the CODOX/M-IVAC group (p = 0.004). Costs were determined by the number of rituximab gifts and the number of inpatients days. Overall, CODOX-M/IVAC had the most beneficial profile with regards to costs, treatment duration, and percentage of patients completing planned treatment. We conclude that the four treatment protocols for Burkitt lymphoma yield nearly identical results with regards to efficacy and safety but differ in treatment duration and costs. These differences may help guide future choice of treatment.","author":[{"dropping-particle":"","family":"Oosten","given":"L E M","non-dropping-particle":"","parse-names":false,"suffix":""},{"dropping-particle":"","family":"Chamuleau","given":"M E D","non-dropping-particle":"","parse-names":false,"suffix":""},{"dropping-particle":"","family":"Thielen","given":"F W","non-dropping-particle":"","parse-names":false,"suffix":""},{"dropping-particle":"","family":"Wreede","given":"L C","non-dropping-particle":"de","parse-names":false,"suffix":""},{"dropping-particle":"","family":"Siemes","given":"C","non-dropping-particle":"","parse-names":false,"suffix":""},{"dropping-particle":"","family":"Doorduijn","given":"J K","non-dropping-particle":"","parse-names":false,"suffix":""},{"dropping-particle":"","family":"Smeekes","given":"O S","non-dropping-particle":"","parse-names":false,"suffix":""},{"dropping-particle":"","family":"Kersten","given":"M J","non-dropping-particle":"","parse-names":false,"suffix":""},{"dropping-particle":"","family":"Hardi","given":"L","non-dropping-particle":"","parse-names":false,"suffix":""},{"dropping-particle":"","family":"Baars","given":"J W","non-dropping-particle":"","parse-names":false,"suffix":""},{"dropping-particle":"","family":"Demandt","given":"A M P","non-dropping-particle":"","parse-names":false,"suffix":""},{"dropping-particle":"","family":"Stevens","given":"W B C","non-dropping-particle":"","parse-names":false,"suffix":""},{"dropping-particle":"","family":"Nijland","given":"M","non-dropping-particle":"","parse-names":false,"suffix":""},{"dropping-particle":"","family":"Imhoff","given":"G W","non-dropping-particle":"van","parse-names":false,"suffix":""},{"dropping-particle":"","family":"Brouwer","given":"R","non-dropping-particle":"","parse-names":false,"suffix":""},{"dropping-particle":"","family":"Uyl-de Groot","given":"C A","non-dropping-particle":"","parse-names":false,"suffix":""},{"dropping-particle":"","family":"Kluin","given":"P M","non-dropping-particle":"","parse-names":false,"suffix":""},{"dropping-particle":"","family":"Jong","given":"D","non-dropping-particle":"de","parse-names":false,"suffix":""},{"dropping-particle":"","family":"Veelken","given":"H","non-dropping-particle":"","parse-names":false,"suffix":""}],"container-title":"Annals of hematology","id":"ITEM-1","issue":"2","issued":{"date-parts":[["2018","2"]]},"page":"255-266","title":"Treatment of sporadic Burkitt lymphoma in adults, a retrospective comparison of four treatment regimens.","type":"article-journal","volume":"97"},"uris":["http://www.mendeley.com/documents/?uuid=4854059d-c095-362e-a61b-2f81d7e3ac6c"]}],"mendeley":{"formattedCitation":"[87]","plainTextFormattedCitation":"[87]","previouslyFormattedCitation":"[87]"},"properties":{"noteIndex":0},"schema":"https://github.com/citation-style-language/schema/raw/master/csl-citation.json"}</w:instrText>
      </w:r>
      <w:r w:rsidRPr="000322E4">
        <w:fldChar w:fldCharType="separate"/>
      </w:r>
      <w:r w:rsidR="00C37789" w:rsidRPr="000322E4">
        <w:rPr>
          <w:noProof/>
        </w:rPr>
        <w:t>[87]</w:t>
      </w:r>
      <w:r w:rsidRPr="000322E4">
        <w:fldChar w:fldCharType="end"/>
      </w:r>
      <w:r w:rsidRPr="000322E4">
        <w:t>.</w:t>
      </w:r>
    </w:p>
    <w:p w14:paraId="6A5B1AEE" w14:textId="77777777" w:rsidR="007726E0" w:rsidRPr="000322E4" w:rsidRDefault="007726E0" w:rsidP="00CA442F">
      <w:pPr>
        <w:pStyle w:val="afffa"/>
        <w:rPr>
          <w:rFonts w:eastAsia="Arial Unicode MS"/>
          <w:color w:val="000000"/>
        </w:rPr>
      </w:pPr>
      <w:r w:rsidRPr="000322E4">
        <w:lastRenderedPageBreak/>
        <w:t xml:space="preserve">Уровень убедительности рекомендаций – С (уровень </w:t>
      </w:r>
      <w:r w:rsidRPr="000322E4">
        <w:rPr>
          <w:spacing w:val="-1"/>
        </w:rPr>
        <w:t xml:space="preserve">достоверности доказательств </w:t>
      </w:r>
      <w:r w:rsidRPr="000322E4">
        <w:t xml:space="preserve">– </w:t>
      </w:r>
      <w:r w:rsidR="006D44E2" w:rsidRPr="000322E4">
        <w:t>5</w:t>
      </w:r>
      <w:r w:rsidRPr="000322E4">
        <w:t>)</w:t>
      </w:r>
      <w:r w:rsidRPr="000322E4">
        <w:rPr>
          <w:rFonts w:eastAsia="Arial Unicode MS"/>
          <w:color w:val="000000"/>
        </w:rPr>
        <w:t>.</w:t>
      </w:r>
    </w:p>
    <w:p w14:paraId="44251279" w14:textId="77777777" w:rsidR="007726E0" w:rsidRPr="000322E4" w:rsidRDefault="007726E0" w:rsidP="00C114E4">
      <w:pPr>
        <w:ind w:left="709"/>
        <w:contextualSpacing/>
        <w:rPr>
          <w:i/>
        </w:rPr>
      </w:pPr>
      <w:r w:rsidRPr="000322E4">
        <w:rPr>
          <w:b/>
        </w:rPr>
        <w:t>Комментарии:</w:t>
      </w:r>
      <w:r w:rsidRPr="000322E4">
        <w:t xml:space="preserve"> </w:t>
      </w:r>
      <w:r w:rsidRPr="000322E4">
        <w:rPr>
          <w:i/>
        </w:rPr>
        <w:t xml:space="preserve">при редко встречающихся локальных стадиях заболевания количество курсов ХТ редуцировано в соответствии с протоколами. К факторам плохого прогноза, требующим интенсификации терапии, относят: поражение КМ и ЦНС, повышение ЛДГ &gt;2 верхних границ нормальных значений, поражение почек, костей (мультифокальные очаги), размер опухоли более 10 см. </w:t>
      </w:r>
    </w:p>
    <w:p w14:paraId="5D428904" w14:textId="77777777" w:rsidR="007726E0" w:rsidRPr="000322E4" w:rsidRDefault="007726E0" w:rsidP="00C114E4">
      <w:pPr>
        <w:pStyle w:val="a"/>
        <w:spacing w:before="0"/>
        <w:rPr>
          <w:i/>
        </w:rPr>
      </w:pPr>
      <w:r w:rsidRPr="000322E4">
        <w:t>Пациентам с ЛБ в 1-й линии лечения</w:t>
      </w:r>
      <w:r w:rsidRPr="000322E4">
        <w:rPr>
          <w:b/>
          <w:bCs/>
        </w:rPr>
        <w:t xml:space="preserve"> рекомендуется</w:t>
      </w:r>
      <w:r w:rsidRPr="000322E4">
        <w:t xml:space="preserve"> применение интенсивных протоколов ХТ: R-Hyper-CVAD, ЛБ-М-04+/-R, LMB 95, CODOXM/IVAC+/-R, (схемы см. в приложении А3.1) </w:t>
      </w:r>
      <w:r w:rsidRPr="000322E4">
        <w:fldChar w:fldCharType="begin" w:fldLock="1"/>
      </w:r>
      <w:r w:rsidR="00C114E4" w:rsidRPr="000322E4">
        <w:instrText>ADDIN CSL_CITATION {"citationItems":[{"id":"ITEM-1","itemData":{"author":[{"dropping-particle":"","family":"Барях","given":"Е.А.","non-dropping-particle":"","parse-names":false,"suffix":""}],"container-title":"Российские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Савченко.","id":"ITEM-1","issued":{"date-parts":[["2018"]]},"page":"80-87","title":"Лимфома Беркитта","type":"chapter"},"uris":["http://www.mendeley.com/documents/?uuid=6c46cd48-7af0-4ac2-8eb1-93f86718c4df"]}],"mendeley":{"formattedCitation":"[2]","plainTextFormattedCitation":"[2]","previouslyFormattedCitation":"[2]"},"properties":{"noteIndex":0},"schema":"https://github.com/citation-style-language/schema/raw/master/csl-citation.json"}</w:instrText>
      </w:r>
      <w:r w:rsidRPr="000322E4">
        <w:fldChar w:fldCharType="separate"/>
      </w:r>
      <w:r w:rsidR="00C114E4" w:rsidRPr="000322E4">
        <w:rPr>
          <w:noProof/>
        </w:rPr>
        <w:t>[2]</w:t>
      </w:r>
      <w:r w:rsidRPr="000322E4">
        <w:fldChar w:fldCharType="end"/>
      </w:r>
      <w:r w:rsidRPr="000322E4">
        <w:t xml:space="preserve">. </w:t>
      </w:r>
    </w:p>
    <w:p w14:paraId="5C8F4F38" w14:textId="77777777" w:rsidR="007726E0" w:rsidRPr="000322E4" w:rsidRDefault="007726E0" w:rsidP="00CA442F">
      <w:pPr>
        <w:pStyle w:val="afffa"/>
        <w:rPr>
          <w:rFonts w:eastAsia="Arial Unicode MS"/>
          <w:color w:val="000000"/>
        </w:rPr>
      </w:pPr>
      <w:r w:rsidRPr="000322E4">
        <w:t xml:space="preserve">Уровень убедительности рекомендаций – С (уровень </w:t>
      </w:r>
      <w:r w:rsidRPr="000322E4">
        <w:rPr>
          <w:spacing w:val="-1"/>
        </w:rPr>
        <w:t xml:space="preserve">достоверности доказательств </w:t>
      </w:r>
      <w:r w:rsidRPr="000322E4">
        <w:t>– 5)</w:t>
      </w:r>
      <w:r w:rsidRPr="000322E4">
        <w:rPr>
          <w:rFonts w:eastAsia="Arial Unicode MS"/>
          <w:color w:val="000000"/>
        </w:rPr>
        <w:t>.</w:t>
      </w:r>
    </w:p>
    <w:p w14:paraId="00DEFF59" w14:textId="77777777" w:rsidR="007726E0" w:rsidRPr="000322E4" w:rsidRDefault="007726E0" w:rsidP="00C114E4">
      <w:pPr>
        <w:ind w:left="709"/>
        <w:contextualSpacing/>
        <w:rPr>
          <w:i/>
        </w:rPr>
      </w:pPr>
      <w:r w:rsidRPr="000322E4">
        <w:rPr>
          <w:b/>
        </w:rPr>
        <w:t>Комментарии:</w:t>
      </w:r>
      <w:r w:rsidRPr="000322E4">
        <w:t xml:space="preserve"> </w:t>
      </w:r>
      <w:r w:rsidRPr="000322E4">
        <w:rPr>
          <w:i/>
        </w:rPr>
        <w:t>основным правилом в терапии ЛБ является соблюдение принципа «доза – интервал», т.</w:t>
      </w:r>
      <w:r w:rsidRPr="000322E4">
        <w:rPr>
          <w:i/>
          <w:lang w:val="en-US"/>
        </w:rPr>
        <w:t> </w:t>
      </w:r>
      <w:r w:rsidRPr="000322E4">
        <w:rPr>
          <w:i/>
        </w:rPr>
        <w:t>е. проведение курса в полных дозах с соблюдением межкурсового интервала. За исключением ситуаций развития жизнеугрожающих осложнений, не рекомендуется прерывать начатый курс ХТ. В исключительных случаях при наличии тяжелых инфекционных осложнений, с которыми не удалось справиться к окончанию межкурсового перерыва, возможно увеличение интервала между курсами.</w:t>
      </w:r>
    </w:p>
    <w:p w14:paraId="05F6B14F" w14:textId="77777777" w:rsidR="007726E0" w:rsidRPr="000322E4" w:rsidRDefault="007726E0" w:rsidP="00C114E4">
      <w:pPr>
        <w:pStyle w:val="a"/>
        <w:spacing w:before="0"/>
        <w:rPr>
          <w:i/>
        </w:rPr>
      </w:pPr>
      <w:r w:rsidRPr="000322E4">
        <w:t xml:space="preserve">Пациентам с ЛБ </w:t>
      </w:r>
      <w:r w:rsidRPr="000322E4">
        <w:rPr>
          <w:b/>
        </w:rPr>
        <w:t>не рекомендуется</w:t>
      </w:r>
      <w:r w:rsidRPr="000322E4">
        <w:t xml:space="preserve"> проведение терапии по схеме R-CHOP вследствие ее неэффективности </w:t>
      </w:r>
      <w:r w:rsidRPr="000322E4">
        <w:fldChar w:fldCharType="begin" w:fldLock="1"/>
      </w:r>
      <w:r w:rsidR="00350858" w:rsidRPr="000322E4">
        <w:instrText>ADDIN CSL_CITATION {"citationItems":[{"id":"ITEM-1","itemData":{"author":[{"dropping-particle":"","family":"Барях","given":"Е.А.","non-dropping-particle":"","parse-names":false,"suffix":""}],"container-title":"Российские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Савченко.","id":"ITEM-1","issued":{"date-parts":[["2018"]]},"page":"80-87","title":"Лимфома Беркитта","type":"chapter"},"uris":["http://www.mendeley.com/documents/?uuid=6c46cd48-7af0-4ac2-8eb1-93f86718c4df"]}],"mendeley":{"formattedCitation":"[2]","plainTextFormattedCitation":"[2]","previouslyFormattedCitation":"[2]"},"properties":{"noteIndex":0},"schema":"https://github.com/citation-style-language/schema/raw/master/csl-citation.json"}</w:instrText>
      </w:r>
      <w:r w:rsidRPr="000322E4">
        <w:fldChar w:fldCharType="separate"/>
      </w:r>
      <w:r w:rsidRPr="000322E4">
        <w:rPr>
          <w:noProof/>
        </w:rPr>
        <w:t>[2]</w:t>
      </w:r>
      <w:r w:rsidRPr="000322E4">
        <w:fldChar w:fldCharType="end"/>
      </w:r>
      <w:r w:rsidRPr="000322E4">
        <w:t>.</w:t>
      </w:r>
    </w:p>
    <w:p w14:paraId="63FCCB1C" w14:textId="77777777" w:rsidR="007726E0" w:rsidRPr="000322E4" w:rsidRDefault="007726E0" w:rsidP="00CA442F">
      <w:pPr>
        <w:pStyle w:val="afffa"/>
        <w:rPr>
          <w:rFonts w:eastAsia="Arial Unicode MS"/>
          <w:color w:val="000000"/>
        </w:rPr>
      </w:pPr>
      <w:r w:rsidRPr="000322E4">
        <w:t xml:space="preserve">Уровень убедительности рекомендаций – С (уровень </w:t>
      </w:r>
      <w:r w:rsidRPr="000322E4">
        <w:rPr>
          <w:spacing w:val="-1"/>
        </w:rPr>
        <w:t xml:space="preserve">достоверности доказательств </w:t>
      </w:r>
      <w:r w:rsidRPr="000322E4">
        <w:t>– 5)</w:t>
      </w:r>
      <w:r w:rsidRPr="000322E4">
        <w:rPr>
          <w:rFonts w:eastAsia="Arial Unicode MS"/>
          <w:color w:val="000000"/>
        </w:rPr>
        <w:t>.</w:t>
      </w:r>
    </w:p>
    <w:p w14:paraId="7408EB56" w14:textId="77777777" w:rsidR="007726E0" w:rsidRPr="000322E4" w:rsidRDefault="007726E0" w:rsidP="00C114E4">
      <w:pPr>
        <w:pStyle w:val="a"/>
        <w:spacing w:before="0"/>
        <w:rPr>
          <w:i/>
        </w:rPr>
      </w:pPr>
      <w:r w:rsidRPr="000322E4">
        <w:t xml:space="preserve">Пациентам старше 55 лет без поражения ЦНС (не кандидатам для интенсивной ХТ) </w:t>
      </w:r>
      <w:r w:rsidRPr="000322E4">
        <w:rPr>
          <w:b/>
        </w:rPr>
        <w:t>рекомендуется</w:t>
      </w:r>
      <w:r w:rsidRPr="000322E4">
        <w:t xml:space="preserve"> проведение лечения по протоколу R-DA-EPOCH (см. приложение А3.1) </w:t>
      </w:r>
      <w:r w:rsidRPr="000322E4">
        <w:rPr>
          <w:lang w:val="en-US"/>
        </w:rPr>
        <w:fldChar w:fldCharType="begin" w:fldLock="1"/>
      </w:r>
      <w:r w:rsidR="00C37789" w:rsidRPr="000322E4">
        <w:rPr>
          <w:lang w:val="en-US"/>
        </w:rPr>
        <w:instrText>ADDIN</w:instrText>
      </w:r>
      <w:r w:rsidR="00C37789" w:rsidRPr="000322E4">
        <w:instrText xml:space="preserve"> </w:instrText>
      </w:r>
      <w:r w:rsidR="00C37789" w:rsidRPr="000322E4">
        <w:rPr>
          <w:lang w:val="en-US"/>
        </w:rPr>
        <w:instrText>CSL</w:instrText>
      </w:r>
      <w:r w:rsidR="00C37789" w:rsidRPr="000322E4">
        <w:instrText>_</w:instrText>
      </w:r>
      <w:r w:rsidR="00C37789" w:rsidRPr="000322E4">
        <w:rPr>
          <w:lang w:val="en-US"/>
        </w:rPr>
        <w:instrText>CITATION</w:instrText>
      </w:r>
      <w:r w:rsidR="00C37789" w:rsidRPr="000322E4">
        <w:instrText xml:space="preserve"> {"</w:instrText>
      </w:r>
      <w:r w:rsidR="00C37789" w:rsidRPr="000322E4">
        <w:rPr>
          <w:lang w:val="en-US"/>
        </w:rPr>
        <w:instrText>citationItems</w:instrText>
      </w:r>
      <w:r w:rsidR="00C37789" w:rsidRPr="000322E4">
        <w:instrText>":[{"</w:instrText>
      </w:r>
      <w:r w:rsidR="00C37789" w:rsidRPr="000322E4">
        <w:rPr>
          <w:lang w:val="en-US"/>
        </w:rPr>
        <w:instrText>id</w:instrText>
      </w:r>
      <w:r w:rsidR="00C37789" w:rsidRPr="000322E4">
        <w:instrText>":"</w:instrText>
      </w:r>
      <w:r w:rsidR="00C37789" w:rsidRPr="000322E4">
        <w:rPr>
          <w:lang w:val="en-US"/>
        </w:rPr>
        <w:instrText>ITEM</w:instrText>
      </w:r>
      <w:r w:rsidR="00C37789" w:rsidRPr="000322E4">
        <w:instrText>-1","</w:instrText>
      </w:r>
      <w:r w:rsidR="00C37789" w:rsidRPr="000322E4">
        <w:rPr>
          <w:lang w:val="en-US"/>
        </w:rPr>
        <w:instrText>itemData</w:instrText>
      </w:r>
      <w:r w:rsidR="00C37789" w:rsidRPr="000322E4">
        <w:instrText>":{"</w:instrText>
      </w:r>
      <w:r w:rsidR="00C37789" w:rsidRPr="000322E4">
        <w:rPr>
          <w:lang w:val="en-US"/>
        </w:rPr>
        <w:instrText>DOI</w:instrText>
      </w:r>
      <w:r w:rsidR="00C37789" w:rsidRPr="000322E4">
        <w:instrText>":"10.1200/</w:instrText>
      </w:r>
      <w:r w:rsidR="00C37789" w:rsidRPr="000322E4">
        <w:rPr>
          <w:lang w:val="en-US"/>
        </w:rPr>
        <w:instrText>jop</w:instrText>
      </w:r>
      <w:r w:rsidR="00C37789" w:rsidRPr="000322E4">
        <w:instrText>.18.00148","</w:instrText>
      </w:r>
      <w:r w:rsidR="00C37789" w:rsidRPr="000322E4">
        <w:rPr>
          <w:lang w:val="en-US"/>
        </w:rPr>
        <w:instrText>ISSN</w:instrText>
      </w:r>
      <w:r w:rsidR="00C37789" w:rsidRPr="000322E4">
        <w:instrText>":"1554-7477","</w:instrText>
      </w:r>
      <w:r w:rsidR="00C37789" w:rsidRPr="000322E4">
        <w:rPr>
          <w:lang w:val="en-US"/>
        </w:rPr>
        <w:instrText>abstract</w:instrText>
      </w:r>
      <w:r w:rsidR="00C37789" w:rsidRPr="000322E4">
        <w:instrText>":"</w:instrText>
      </w:r>
      <w:r w:rsidR="00C37789" w:rsidRPr="000322E4">
        <w:rPr>
          <w:lang w:val="en-US"/>
        </w:rPr>
        <w:instrText>Burkitt</w:instrText>
      </w:r>
      <w:r w:rsidR="00C37789" w:rsidRPr="000322E4">
        <w:instrText>'</w:instrText>
      </w:r>
      <w:r w:rsidR="00C37789" w:rsidRPr="000322E4">
        <w:rPr>
          <w:lang w:val="en-US"/>
        </w:rPr>
        <w:instrText>s</w:instrText>
      </w:r>
      <w:r w:rsidR="00C37789" w:rsidRPr="000322E4">
        <w:instrText xml:space="preserve"> </w:instrText>
      </w:r>
      <w:r w:rsidR="00C37789" w:rsidRPr="000322E4">
        <w:rPr>
          <w:lang w:val="en-US"/>
        </w:rPr>
        <w:instrText>lymphoma</w:instrText>
      </w:r>
      <w:r w:rsidR="00C37789" w:rsidRPr="000322E4">
        <w:instrText xml:space="preserve"> </w:instrText>
      </w:r>
      <w:r w:rsidR="00C37789" w:rsidRPr="000322E4">
        <w:rPr>
          <w:lang w:val="en-US"/>
        </w:rPr>
        <w:instrText>is</w:instrText>
      </w:r>
      <w:r w:rsidR="00C37789" w:rsidRPr="000322E4">
        <w:instrText xml:space="preserve"> </w:instrText>
      </w:r>
      <w:r w:rsidR="00C37789" w:rsidRPr="000322E4">
        <w:rPr>
          <w:lang w:val="en-US"/>
        </w:rPr>
        <w:instrText>a</w:instrText>
      </w:r>
      <w:r w:rsidR="00C37789" w:rsidRPr="000322E4">
        <w:instrText xml:space="preserve"> </w:instrText>
      </w:r>
      <w:r w:rsidR="00C37789" w:rsidRPr="000322E4">
        <w:rPr>
          <w:lang w:val="en-US"/>
        </w:rPr>
        <w:instrText>rarely</w:instrText>
      </w:r>
      <w:r w:rsidR="00C37789" w:rsidRPr="000322E4">
        <w:instrText xml:space="preserve"> </w:instrText>
      </w:r>
      <w:r w:rsidR="00C37789" w:rsidRPr="000322E4">
        <w:rPr>
          <w:lang w:val="en-US"/>
        </w:rPr>
        <w:instrText>encountered</w:instrText>
      </w:r>
      <w:r w:rsidR="00C37789" w:rsidRPr="000322E4">
        <w:instrText xml:space="preserve">, </w:instrText>
      </w:r>
      <w:r w:rsidR="00C37789" w:rsidRPr="000322E4">
        <w:rPr>
          <w:lang w:val="en-US"/>
        </w:rPr>
        <w:instrText>aggressive</w:instrText>
      </w:r>
      <w:r w:rsidR="00C37789" w:rsidRPr="000322E4">
        <w:instrText xml:space="preserve"> </w:instrText>
      </w:r>
      <w:r w:rsidR="00C37789" w:rsidRPr="000322E4">
        <w:rPr>
          <w:lang w:val="en-US"/>
        </w:rPr>
        <w:instrText>B</w:instrText>
      </w:r>
      <w:r w:rsidR="00C37789" w:rsidRPr="000322E4">
        <w:instrText>-</w:instrText>
      </w:r>
      <w:r w:rsidR="00C37789" w:rsidRPr="000322E4">
        <w:rPr>
          <w:lang w:val="en-US"/>
        </w:rPr>
        <w:instrText>cell</w:instrText>
      </w:r>
      <w:r w:rsidR="00C37789" w:rsidRPr="000322E4">
        <w:instrText xml:space="preserve"> </w:instrText>
      </w:r>
      <w:r w:rsidR="00C37789" w:rsidRPr="000322E4">
        <w:rPr>
          <w:lang w:val="en-US"/>
        </w:rPr>
        <w:instrText>lymphoma</w:instrText>
      </w:r>
      <w:r w:rsidR="00C37789" w:rsidRPr="000322E4">
        <w:instrText xml:space="preserve"> </w:instrText>
      </w:r>
      <w:r w:rsidR="00C37789" w:rsidRPr="000322E4">
        <w:rPr>
          <w:lang w:val="en-US"/>
        </w:rPr>
        <w:instrText>that</w:instrText>
      </w:r>
      <w:r w:rsidR="00C37789" w:rsidRPr="000322E4">
        <w:instrText xml:space="preserve"> </w:instrText>
      </w:r>
      <w:r w:rsidR="00C37789" w:rsidRPr="000322E4">
        <w:rPr>
          <w:lang w:val="en-US"/>
        </w:rPr>
        <w:instrText>is</w:instrText>
      </w:r>
      <w:r w:rsidR="00C37789" w:rsidRPr="000322E4">
        <w:instrText xml:space="preserve"> </w:instrText>
      </w:r>
      <w:r w:rsidR="00C37789" w:rsidRPr="000322E4">
        <w:rPr>
          <w:lang w:val="en-US"/>
        </w:rPr>
        <w:instrText>highly</w:instrText>
      </w:r>
      <w:r w:rsidR="00C37789" w:rsidRPr="000322E4">
        <w:instrText xml:space="preserve"> </w:instrText>
      </w:r>
      <w:r w:rsidR="00C37789" w:rsidRPr="000322E4">
        <w:rPr>
          <w:lang w:val="en-US"/>
        </w:rPr>
        <w:instrText>curable</w:instrText>
      </w:r>
      <w:r w:rsidR="00C37789" w:rsidRPr="000322E4">
        <w:instrText xml:space="preserve"> </w:instrText>
      </w:r>
      <w:r w:rsidR="00C37789" w:rsidRPr="000322E4">
        <w:rPr>
          <w:lang w:val="en-US"/>
        </w:rPr>
        <w:instrText>in</w:instrText>
      </w:r>
      <w:r w:rsidR="00C37789" w:rsidRPr="000322E4">
        <w:instrText xml:space="preserve"> </w:instrText>
      </w:r>
      <w:r w:rsidR="00C37789" w:rsidRPr="000322E4">
        <w:rPr>
          <w:lang w:val="en-US"/>
        </w:rPr>
        <w:instrText>children</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young</w:instrText>
      </w:r>
      <w:r w:rsidR="00C37789" w:rsidRPr="000322E4">
        <w:instrText xml:space="preserve"> </w:instrText>
      </w:r>
      <w:r w:rsidR="00C37789" w:rsidRPr="000322E4">
        <w:rPr>
          <w:lang w:val="en-US"/>
        </w:rPr>
        <w:instrText>adults</w:instrText>
      </w:r>
      <w:r w:rsidR="00C37789" w:rsidRPr="000322E4">
        <w:instrText xml:space="preserve">. </w:instrText>
      </w:r>
      <w:r w:rsidR="00C37789" w:rsidRPr="000322E4">
        <w:rPr>
          <w:lang w:val="en-US"/>
        </w:rPr>
        <w:instrText>In</w:instrText>
      </w:r>
      <w:r w:rsidR="00C37789" w:rsidRPr="000322E4">
        <w:instrText xml:space="preserve"> </w:instrText>
      </w:r>
      <w:r w:rsidR="00C37789" w:rsidRPr="000322E4">
        <w:rPr>
          <w:lang w:val="en-US"/>
        </w:rPr>
        <w:instrText>middle</w:instrText>
      </w:r>
      <w:r w:rsidR="00C37789" w:rsidRPr="000322E4">
        <w:instrText>-</w:instrText>
      </w:r>
      <w:r w:rsidR="00C37789" w:rsidRPr="000322E4">
        <w:rPr>
          <w:lang w:val="en-US"/>
        </w:rPr>
        <w:instrText>aged</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older</w:instrText>
      </w:r>
      <w:r w:rsidR="00C37789" w:rsidRPr="000322E4">
        <w:instrText xml:space="preserve"> </w:instrText>
      </w:r>
      <w:r w:rsidR="00C37789" w:rsidRPr="000322E4">
        <w:rPr>
          <w:lang w:val="en-US"/>
        </w:rPr>
        <w:instrText>adults</w:instrText>
      </w:r>
      <w:r w:rsidR="00C37789" w:rsidRPr="000322E4">
        <w:instrText xml:space="preserve">, </w:instrText>
      </w:r>
      <w:r w:rsidR="00C37789" w:rsidRPr="000322E4">
        <w:rPr>
          <w:lang w:val="en-US"/>
        </w:rPr>
        <w:instrText>however</w:instrText>
      </w:r>
      <w:r w:rsidR="00C37789" w:rsidRPr="000322E4">
        <w:instrText xml:space="preserve">, </w:instrText>
      </w:r>
      <w:r w:rsidR="00C37789" w:rsidRPr="000322E4">
        <w:rPr>
          <w:lang w:val="en-US"/>
        </w:rPr>
        <w:instrText>administering</w:instrText>
      </w:r>
      <w:r w:rsidR="00C37789" w:rsidRPr="000322E4">
        <w:instrText xml:space="preserve"> </w:instrText>
      </w:r>
      <w:r w:rsidR="00C37789" w:rsidRPr="000322E4">
        <w:rPr>
          <w:lang w:val="en-US"/>
        </w:rPr>
        <w:instrText>curative</w:instrText>
      </w:r>
      <w:r w:rsidR="00C37789" w:rsidRPr="000322E4">
        <w:instrText xml:space="preserve"> </w:instrText>
      </w:r>
      <w:r w:rsidR="00C37789" w:rsidRPr="000322E4">
        <w:rPr>
          <w:lang w:val="en-US"/>
        </w:rPr>
        <w:instrText>therapy</w:instrText>
      </w:r>
      <w:r w:rsidR="00C37789" w:rsidRPr="000322E4">
        <w:instrText xml:space="preserve"> </w:instrText>
      </w:r>
      <w:r w:rsidR="00C37789" w:rsidRPr="000322E4">
        <w:rPr>
          <w:lang w:val="en-US"/>
        </w:rPr>
        <w:instrText>may</w:instrText>
      </w:r>
      <w:r w:rsidR="00C37789" w:rsidRPr="000322E4">
        <w:instrText xml:space="preserve"> </w:instrText>
      </w:r>
      <w:r w:rsidR="00C37789" w:rsidRPr="000322E4">
        <w:rPr>
          <w:lang w:val="en-US"/>
        </w:rPr>
        <w:instrText>be</w:instrText>
      </w:r>
      <w:r w:rsidR="00C37789" w:rsidRPr="000322E4">
        <w:instrText xml:space="preserve"> </w:instrText>
      </w:r>
      <w:r w:rsidR="00C37789" w:rsidRPr="000322E4">
        <w:rPr>
          <w:lang w:val="en-US"/>
        </w:rPr>
        <w:instrText>challenging</w:instrText>
      </w:r>
      <w:r w:rsidR="00C37789" w:rsidRPr="000322E4">
        <w:instrText xml:space="preserve"> </w:instrText>
      </w:r>
      <w:r w:rsidR="00C37789" w:rsidRPr="000322E4">
        <w:rPr>
          <w:lang w:val="en-US"/>
        </w:rPr>
        <w:instrText>because</w:instrText>
      </w:r>
      <w:r w:rsidR="00C37789" w:rsidRPr="000322E4">
        <w:instrText xml:space="preserve"> </w:instrText>
      </w:r>
      <w:r w:rsidR="00C37789" w:rsidRPr="000322E4">
        <w:rPr>
          <w:lang w:val="en-US"/>
        </w:rPr>
        <w:instrText>standard</w:instrText>
      </w:r>
      <w:r w:rsidR="00C37789" w:rsidRPr="000322E4">
        <w:instrText xml:space="preserve"> </w:instrText>
      </w:r>
      <w:r w:rsidR="00C37789" w:rsidRPr="000322E4">
        <w:rPr>
          <w:lang w:val="en-US"/>
        </w:rPr>
        <w:instrText>Burkitt</w:instrText>
      </w:r>
      <w:r w:rsidR="00C37789" w:rsidRPr="000322E4">
        <w:instrText>'</w:instrText>
      </w:r>
      <w:r w:rsidR="00C37789" w:rsidRPr="000322E4">
        <w:rPr>
          <w:lang w:val="en-US"/>
        </w:rPr>
        <w:instrText>s</w:instrText>
      </w:r>
      <w:r w:rsidR="00C37789" w:rsidRPr="000322E4">
        <w:instrText xml:space="preserve"> </w:instrText>
      </w:r>
      <w:r w:rsidR="00C37789" w:rsidRPr="000322E4">
        <w:rPr>
          <w:lang w:val="en-US"/>
        </w:rPr>
        <w:instrText>lymphoma</w:instrText>
      </w:r>
      <w:r w:rsidR="00C37789" w:rsidRPr="000322E4">
        <w:instrText xml:space="preserve"> </w:instrText>
      </w:r>
      <w:r w:rsidR="00C37789" w:rsidRPr="000322E4">
        <w:rPr>
          <w:lang w:val="en-US"/>
        </w:rPr>
        <w:instrText>platforms</w:instrText>
      </w:r>
      <w:r w:rsidR="00C37789" w:rsidRPr="000322E4">
        <w:instrText xml:space="preserve"> </w:instrText>
      </w:r>
      <w:r w:rsidR="00C37789" w:rsidRPr="000322E4">
        <w:rPr>
          <w:lang w:val="en-US"/>
        </w:rPr>
        <w:instrText>are</w:instrText>
      </w:r>
      <w:r w:rsidR="00C37789" w:rsidRPr="000322E4">
        <w:instrText xml:space="preserve"> </w:instrText>
      </w:r>
      <w:r w:rsidR="00C37789" w:rsidRPr="000322E4">
        <w:rPr>
          <w:lang w:val="en-US"/>
        </w:rPr>
        <w:instrText>associated</w:instrText>
      </w:r>
      <w:r w:rsidR="00C37789" w:rsidRPr="000322E4">
        <w:instrText xml:space="preserve"> </w:instrText>
      </w:r>
      <w:r w:rsidR="00C37789" w:rsidRPr="000322E4">
        <w:rPr>
          <w:lang w:val="en-US"/>
        </w:rPr>
        <w:instrText>with</w:instrText>
      </w:r>
      <w:r w:rsidR="00C37789" w:rsidRPr="000322E4">
        <w:instrText xml:space="preserve"> </w:instrText>
      </w:r>
      <w:r w:rsidR="00C37789" w:rsidRPr="000322E4">
        <w:rPr>
          <w:lang w:val="en-US"/>
        </w:rPr>
        <w:instrText>high</w:instrText>
      </w:r>
      <w:r w:rsidR="00C37789" w:rsidRPr="000322E4">
        <w:instrText xml:space="preserve"> </w:instrText>
      </w:r>
      <w:r w:rsidR="00C37789" w:rsidRPr="000322E4">
        <w:rPr>
          <w:lang w:val="en-US"/>
        </w:rPr>
        <w:instrText>treatment</w:instrText>
      </w:r>
      <w:r w:rsidR="00C37789" w:rsidRPr="000322E4">
        <w:instrText>-</w:instrText>
      </w:r>
      <w:r w:rsidR="00C37789" w:rsidRPr="000322E4">
        <w:rPr>
          <w:lang w:val="en-US"/>
        </w:rPr>
        <w:instrText>related</w:instrText>
      </w:r>
      <w:r w:rsidR="00C37789" w:rsidRPr="000322E4">
        <w:instrText xml:space="preserve"> </w:instrText>
      </w:r>
      <w:r w:rsidR="00C37789" w:rsidRPr="000322E4">
        <w:rPr>
          <w:lang w:val="en-US"/>
        </w:rPr>
        <w:instrText>toxicity</w:instrText>
      </w:r>
      <w:r w:rsidR="00C37789" w:rsidRPr="000322E4">
        <w:instrText xml:space="preserve"> </w:instrText>
      </w:r>
      <w:r w:rsidR="00C37789" w:rsidRPr="000322E4">
        <w:rPr>
          <w:lang w:val="en-US"/>
        </w:rPr>
        <w:instrText>in</w:instrText>
      </w:r>
      <w:r w:rsidR="00C37789" w:rsidRPr="000322E4">
        <w:instrText xml:space="preserve"> </w:instrText>
      </w:r>
      <w:r w:rsidR="00C37789" w:rsidRPr="000322E4">
        <w:rPr>
          <w:lang w:val="en-US"/>
        </w:rPr>
        <w:instrText>these</w:instrText>
      </w:r>
      <w:r w:rsidR="00C37789" w:rsidRPr="000322E4">
        <w:instrText xml:space="preserve"> </w:instrText>
      </w:r>
      <w:r w:rsidR="00C37789" w:rsidRPr="000322E4">
        <w:rPr>
          <w:lang w:val="en-US"/>
        </w:rPr>
        <w:instrText>age</w:instrText>
      </w:r>
      <w:r w:rsidR="00C37789" w:rsidRPr="000322E4">
        <w:instrText xml:space="preserve"> </w:instrText>
      </w:r>
      <w:r w:rsidR="00C37789" w:rsidRPr="000322E4">
        <w:rPr>
          <w:lang w:val="en-US"/>
        </w:rPr>
        <w:instrText>groups</w:instrText>
      </w:r>
      <w:r w:rsidR="00C37789" w:rsidRPr="000322E4">
        <w:instrText xml:space="preserve">. </w:instrText>
      </w:r>
      <w:r w:rsidR="00C37789" w:rsidRPr="000322E4">
        <w:rPr>
          <w:lang w:val="en-US"/>
        </w:rPr>
        <w:instrText>Because</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its</w:instrText>
      </w:r>
      <w:r w:rsidR="00C37789" w:rsidRPr="000322E4">
        <w:instrText xml:space="preserve"> </w:instrText>
      </w:r>
      <w:r w:rsidR="00C37789" w:rsidRPr="000322E4">
        <w:rPr>
          <w:lang w:val="en-US"/>
        </w:rPr>
        <w:instrText>high</w:instrText>
      </w:r>
      <w:r w:rsidR="00C37789" w:rsidRPr="000322E4">
        <w:instrText xml:space="preserve"> </w:instrText>
      </w:r>
      <w:r w:rsidR="00C37789" w:rsidRPr="000322E4">
        <w:rPr>
          <w:lang w:val="en-US"/>
        </w:rPr>
        <w:instrText>curability</w:instrText>
      </w:r>
      <w:r w:rsidR="00C37789" w:rsidRPr="000322E4">
        <w:instrText xml:space="preserve">, </w:instrText>
      </w:r>
      <w:r w:rsidR="00C37789" w:rsidRPr="000322E4">
        <w:rPr>
          <w:lang w:val="en-US"/>
        </w:rPr>
        <w:instrText>the</w:instrText>
      </w:r>
      <w:r w:rsidR="00C37789" w:rsidRPr="000322E4">
        <w:instrText xml:space="preserve"> </w:instrText>
      </w:r>
      <w:r w:rsidR="00C37789" w:rsidRPr="000322E4">
        <w:rPr>
          <w:lang w:val="en-US"/>
        </w:rPr>
        <w:instrText>testing</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alternative</w:instrText>
      </w:r>
      <w:r w:rsidR="00C37789" w:rsidRPr="000322E4">
        <w:instrText xml:space="preserve">, </w:instrText>
      </w:r>
      <w:r w:rsidR="00C37789" w:rsidRPr="000322E4">
        <w:rPr>
          <w:lang w:val="en-US"/>
        </w:rPr>
        <w:instrText>less</w:instrText>
      </w:r>
      <w:r w:rsidR="00C37789" w:rsidRPr="000322E4">
        <w:instrText xml:space="preserve"> </w:instrText>
      </w:r>
      <w:r w:rsidR="00C37789" w:rsidRPr="000322E4">
        <w:rPr>
          <w:lang w:val="en-US"/>
        </w:rPr>
        <w:instrText>toxic</w:instrText>
      </w:r>
      <w:r w:rsidR="00C37789" w:rsidRPr="000322E4">
        <w:instrText xml:space="preserve"> </w:instrText>
      </w:r>
      <w:r w:rsidR="00C37789" w:rsidRPr="000322E4">
        <w:rPr>
          <w:lang w:val="en-US"/>
        </w:rPr>
        <w:instrText>approaches</w:instrText>
      </w:r>
      <w:r w:rsidR="00C37789" w:rsidRPr="000322E4">
        <w:instrText xml:space="preserve"> </w:instrText>
      </w:r>
      <w:r w:rsidR="00C37789" w:rsidRPr="000322E4">
        <w:rPr>
          <w:lang w:val="en-US"/>
        </w:rPr>
        <w:instrText>in</w:instrText>
      </w:r>
      <w:r w:rsidR="00C37789" w:rsidRPr="000322E4">
        <w:instrText xml:space="preserve"> </w:instrText>
      </w:r>
      <w:r w:rsidR="00C37789" w:rsidRPr="000322E4">
        <w:rPr>
          <w:lang w:val="en-US"/>
        </w:rPr>
        <w:instrText>Burkitt</w:instrText>
      </w:r>
      <w:r w:rsidR="00C37789" w:rsidRPr="000322E4">
        <w:instrText>'</w:instrText>
      </w:r>
      <w:r w:rsidR="00C37789" w:rsidRPr="000322E4">
        <w:rPr>
          <w:lang w:val="en-US"/>
        </w:rPr>
        <w:instrText>s</w:instrText>
      </w:r>
      <w:r w:rsidR="00C37789" w:rsidRPr="000322E4">
        <w:instrText xml:space="preserve"> </w:instrText>
      </w:r>
      <w:r w:rsidR="00C37789" w:rsidRPr="000322E4">
        <w:rPr>
          <w:lang w:val="en-US"/>
        </w:rPr>
        <w:instrText>lymphoma</w:instrText>
      </w:r>
      <w:r w:rsidR="00C37789" w:rsidRPr="000322E4">
        <w:instrText xml:space="preserve"> </w:instrText>
      </w:r>
      <w:r w:rsidR="00C37789" w:rsidRPr="000322E4">
        <w:rPr>
          <w:lang w:val="en-US"/>
        </w:rPr>
        <w:instrText>has</w:instrText>
      </w:r>
      <w:r w:rsidR="00C37789" w:rsidRPr="000322E4">
        <w:instrText xml:space="preserve"> </w:instrText>
      </w:r>
      <w:r w:rsidR="00C37789" w:rsidRPr="000322E4">
        <w:rPr>
          <w:lang w:val="en-US"/>
        </w:rPr>
        <w:instrText>been</w:instrText>
      </w:r>
      <w:r w:rsidR="00C37789" w:rsidRPr="000322E4">
        <w:instrText xml:space="preserve"> </w:instrText>
      </w:r>
      <w:r w:rsidR="00C37789" w:rsidRPr="000322E4">
        <w:rPr>
          <w:lang w:val="en-US"/>
        </w:rPr>
        <w:instrText>challenging</w:instrText>
      </w:r>
      <w:r w:rsidR="00C37789" w:rsidRPr="000322E4">
        <w:instrText xml:space="preserve">. </w:instrText>
      </w:r>
      <w:r w:rsidR="00C37789" w:rsidRPr="000322E4">
        <w:rPr>
          <w:lang w:val="en-US"/>
        </w:rPr>
        <w:instrText>Although</w:instrText>
      </w:r>
      <w:r w:rsidR="00C37789" w:rsidRPr="000322E4">
        <w:instrText xml:space="preserve"> </w:instrText>
      </w:r>
      <w:r w:rsidR="00C37789" w:rsidRPr="000322E4">
        <w:rPr>
          <w:lang w:val="en-US"/>
        </w:rPr>
        <w:instrText>the</w:instrText>
      </w:r>
      <w:r w:rsidR="00C37789" w:rsidRPr="000322E4">
        <w:instrText xml:space="preserve"> </w:instrText>
      </w:r>
      <w:r w:rsidR="00C37789" w:rsidRPr="000322E4">
        <w:rPr>
          <w:lang w:val="en-US"/>
        </w:rPr>
        <w:instrText>critical</w:instrText>
      </w:r>
      <w:r w:rsidR="00C37789" w:rsidRPr="000322E4">
        <w:instrText xml:space="preserve"> </w:instrText>
      </w:r>
      <w:r w:rsidR="00C37789" w:rsidRPr="000322E4">
        <w:rPr>
          <w:lang w:val="en-US"/>
        </w:rPr>
        <w:instrText>role</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MYC</w:instrText>
      </w:r>
      <w:r w:rsidR="00C37789" w:rsidRPr="000322E4">
        <w:instrText xml:space="preserve"> </w:instrText>
      </w:r>
      <w:r w:rsidR="00C37789" w:rsidRPr="000322E4">
        <w:rPr>
          <w:lang w:val="en-US"/>
        </w:rPr>
        <w:instrText>in</w:instrText>
      </w:r>
      <w:r w:rsidR="00C37789" w:rsidRPr="000322E4">
        <w:instrText xml:space="preserve"> </w:instrText>
      </w:r>
      <w:r w:rsidR="00C37789" w:rsidRPr="000322E4">
        <w:rPr>
          <w:lang w:val="en-US"/>
        </w:rPr>
        <w:instrText>Burkitt</w:instrText>
      </w:r>
      <w:r w:rsidR="00C37789" w:rsidRPr="000322E4">
        <w:instrText>'</w:instrText>
      </w:r>
      <w:r w:rsidR="00C37789" w:rsidRPr="000322E4">
        <w:rPr>
          <w:lang w:val="en-US"/>
        </w:rPr>
        <w:instrText>s</w:instrText>
      </w:r>
      <w:r w:rsidR="00C37789" w:rsidRPr="000322E4">
        <w:instrText xml:space="preserve"> </w:instrText>
      </w:r>
      <w:r w:rsidR="00C37789" w:rsidRPr="000322E4">
        <w:rPr>
          <w:lang w:val="en-US"/>
        </w:rPr>
        <w:instrText>lymphoma</w:instrText>
      </w:r>
      <w:r w:rsidR="00C37789" w:rsidRPr="000322E4">
        <w:instrText xml:space="preserve"> </w:instrText>
      </w:r>
      <w:r w:rsidR="00C37789" w:rsidRPr="000322E4">
        <w:rPr>
          <w:lang w:val="en-US"/>
        </w:rPr>
        <w:instrText>has</w:instrText>
      </w:r>
      <w:r w:rsidR="00C37789" w:rsidRPr="000322E4">
        <w:instrText xml:space="preserve"> </w:instrText>
      </w:r>
      <w:r w:rsidR="00C37789" w:rsidRPr="000322E4">
        <w:rPr>
          <w:lang w:val="en-US"/>
        </w:rPr>
        <w:instrText>been</w:instrText>
      </w:r>
      <w:r w:rsidR="00C37789" w:rsidRPr="000322E4">
        <w:instrText xml:space="preserve"> </w:instrText>
      </w:r>
      <w:r w:rsidR="00C37789" w:rsidRPr="000322E4">
        <w:rPr>
          <w:lang w:val="en-US"/>
        </w:rPr>
        <w:instrText>well</w:instrText>
      </w:r>
      <w:r w:rsidR="00C37789" w:rsidRPr="000322E4">
        <w:instrText xml:space="preserve"> </w:instrText>
      </w:r>
      <w:r w:rsidR="00C37789" w:rsidRPr="000322E4">
        <w:rPr>
          <w:lang w:val="en-US"/>
        </w:rPr>
        <w:instrText>described</w:instrText>
      </w:r>
      <w:r w:rsidR="00C37789" w:rsidRPr="000322E4">
        <w:instrText xml:space="preserve">, </w:instrText>
      </w:r>
      <w:r w:rsidR="00C37789" w:rsidRPr="000322E4">
        <w:rPr>
          <w:lang w:val="en-US"/>
        </w:rPr>
        <w:instrText>recent</w:instrText>
      </w:r>
      <w:r w:rsidR="00C37789" w:rsidRPr="000322E4">
        <w:instrText xml:space="preserve"> </w:instrText>
      </w:r>
      <w:r w:rsidR="00C37789" w:rsidRPr="000322E4">
        <w:rPr>
          <w:lang w:val="en-US"/>
        </w:rPr>
        <w:instrText>biologic</w:instrText>
      </w:r>
      <w:r w:rsidR="00C37789" w:rsidRPr="000322E4">
        <w:instrText xml:space="preserve"> </w:instrText>
      </w:r>
      <w:r w:rsidR="00C37789" w:rsidRPr="000322E4">
        <w:rPr>
          <w:lang w:val="en-US"/>
        </w:rPr>
        <w:instrText>insights</w:instrText>
      </w:r>
      <w:r w:rsidR="00C37789" w:rsidRPr="000322E4">
        <w:instrText xml:space="preserve"> </w:instrText>
      </w:r>
      <w:r w:rsidR="00C37789" w:rsidRPr="000322E4">
        <w:rPr>
          <w:lang w:val="en-US"/>
        </w:rPr>
        <w:instrText>have</w:instrText>
      </w:r>
      <w:r w:rsidR="00C37789" w:rsidRPr="000322E4">
        <w:instrText xml:space="preserve"> </w:instrText>
      </w:r>
      <w:r w:rsidR="00C37789" w:rsidRPr="000322E4">
        <w:rPr>
          <w:lang w:val="en-US"/>
        </w:rPr>
        <w:instrText>identified</w:instrText>
      </w:r>
      <w:r w:rsidR="00C37789" w:rsidRPr="000322E4">
        <w:instrText xml:space="preserve"> </w:instrText>
      </w:r>
      <w:r w:rsidR="00C37789" w:rsidRPr="000322E4">
        <w:rPr>
          <w:lang w:val="en-US"/>
        </w:rPr>
        <w:instrText>several</w:instrText>
      </w:r>
      <w:r w:rsidR="00C37789" w:rsidRPr="000322E4">
        <w:instrText xml:space="preserve"> </w:instrText>
      </w:r>
      <w:r w:rsidR="00C37789" w:rsidRPr="000322E4">
        <w:rPr>
          <w:lang w:val="en-US"/>
        </w:rPr>
        <w:instrText>new</w:instrText>
      </w:r>
      <w:r w:rsidR="00C37789" w:rsidRPr="000322E4">
        <w:instrText xml:space="preserve"> </w:instrText>
      </w:r>
      <w:r w:rsidR="00C37789" w:rsidRPr="000322E4">
        <w:rPr>
          <w:lang w:val="en-US"/>
        </w:rPr>
        <w:instrText>mutations</w:instrText>
      </w:r>
      <w:r w:rsidR="00C37789" w:rsidRPr="000322E4">
        <w:instrText xml:space="preserve"> </w:instrText>
      </w:r>
      <w:r w:rsidR="00C37789" w:rsidRPr="000322E4">
        <w:rPr>
          <w:lang w:val="en-US"/>
        </w:rPr>
        <w:instrText>that</w:instrText>
      </w:r>
      <w:r w:rsidR="00C37789" w:rsidRPr="000322E4">
        <w:instrText xml:space="preserve"> </w:instrText>
      </w:r>
      <w:r w:rsidR="00C37789" w:rsidRPr="000322E4">
        <w:rPr>
          <w:lang w:val="en-US"/>
        </w:rPr>
        <w:instrText>cooperate</w:instrText>
      </w:r>
      <w:r w:rsidR="00C37789" w:rsidRPr="000322E4">
        <w:instrText xml:space="preserve"> </w:instrText>
      </w:r>
      <w:r w:rsidR="00C37789" w:rsidRPr="000322E4">
        <w:rPr>
          <w:lang w:val="en-US"/>
        </w:rPr>
        <w:instrText>with</w:instrText>
      </w:r>
      <w:r w:rsidR="00C37789" w:rsidRPr="000322E4">
        <w:instrText xml:space="preserve"> </w:instrText>
      </w:r>
      <w:r w:rsidR="00C37789" w:rsidRPr="000322E4">
        <w:rPr>
          <w:lang w:val="en-US"/>
        </w:rPr>
        <w:instrText>MYC</w:instrText>
      </w:r>
      <w:r w:rsidR="00C37789" w:rsidRPr="000322E4">
        <w:instrText xml:space="preserve"> </w:instrText>
      </w:r>
      <w:r w:rsidR="00C37789" w:rsidRPr="000322E4">
        <w:rPr>
          <w:lang w:val="en-US"/>
        </w:rPr>
        <w:instrText>in</w:instrText>
      </w:r>
      <w:r w:rsidR="00C37789" w:rsidRPr="000322E4">
        <w:instrText xml:space="preserve"> </w:instrText>
      </w:r>
      <w:r w:rsidR="00C37789" w:rsidRPr="000322E4">
        <w:rPr>
          <w:lang w:val="en-US"/>
        </w:rPr>
        <w:instrText>driving</w:instrText>
      </w:r>
      <w:r w:rsidR="00C37789" w:rsidRPr="000322E4">
        <w:instrText xml:space="preserve"> </w:instrText>
      </w:r>
      <w:r w:rsidR="00C37789" w:rsidRPr="000322E4">
        <w:rPr>
          <w:lang w:val="en-US"/>
        </w:rPr>
        <w:instrText>lymphomagenesis</w:instrText>
      </w:r>
      <w:r w:rsidR="00C37789" w:rsidRPr="000322E4">
        <w:instrText xml:space="preserve">, </w:instrText>
      </w:r>
      <w:r w:rsidR="00C37789" w:rsidRPr="000322E4">
        <w:rPr>
          <w:lang w:val="en-US"/>
        </w:rPr>
        <w:instrText>paving</w:instrText>
      </w:r>
      <w:r w:rsidR="00C37789" w:rsidRPr="000322E4">
        <w:instrText xml:space="preserve"> </w:instrText>
      </w:r>
      <w:r w:rsidR="00C37789" w:rsidRPr="000322E4">
        <w:rPr>
          <w:lang w:val="en-US"/>
        </w:rPr>
        <w:instrText>the</w:instrText>
      </w:r>
      <w:r w:rsidR="00C37789" w:rsidRPr="000322E4">
        <w:instrText xml:space="preserve"> </w:instrText>
      </w:r>
      <w:r w:rsidR="00C37789" w:rsidRPr="000322E4">
        <w:rPr>
          <w:lang w:val="en-US"/>
        </w:rPr>
        <w:instrText>way</w:instrText>
      </w:r>
      <w:r w:rsidR="00C37789" w:rsidRPr="000322E4">
        <w:instrText xml:space="preserve"> </w:instrText>
      </w:r>
      <w:r w:rsidR="00C37789" w:rsidRPr="000322E4">
        <w:rPr>
          <w:lang w:val="en-US"/>
        </w:rPr>
        <w:instrText>for</w:instrText>
      </w:r>
      <w:r w:rsidR="00C37789" w:rsidRPr="000322E4">
        <w:instrText xml:space="preserve"> </w:instrText>
      </w:r>
      <w:r w:rsidR="00C37789" w:rsidRPr="000322E4">
        <w:rPr>
          <w:lang w:val="en-US"/>
        </w:rPr>
        <w:instrText>novel</w:instrText>
      </w:r>
      <w:r w:rsidR="00C37789" w:rsidRPr="000322E4">
        <w:instrText xml:space="preserve"> </w:instrText>
      </w:r>
      <w:r w:rsidR="00C37789" w:rsidRPr="000322E4">
        <w:rPr>
          <w:lang w:val="en-US"/>
        </w:rPr>
        <w:instrText>drug</w:instrText>
      </w:r>
      <w:r w:rsidR="00C37789" w:rsidRPr="000322E4">
        <w:instrText xml:space="preserve"> </w:instrText>
      </w:r>
      <w:r w:rsidR="00C37789" w:rsidRPr="000322E4">
        <w:rPr>
          <w:lang w:val="en-US"/>
        </w:rPr>
        <w:instrText>testing</w:instrText>
      </w:r>
      <w:r w:rsidR="00C37789" w:rsidRPr="000322E4">
        <w:instrText xml:space="preserve"> </w:instrText>
      </w:r>
      <w:r w:rsidR="00C37789" w:rsidRPr="000322E4">
        <w:rPr>
          <w:lang w:val="en-US"/>
        </w:rPr>
        <w:instrText>in</w:instrText>
      </w:r>
      <w:r w:rsidR="00C37789" w:rsidRPr="000322E4">
        <w:instrText xml:space="preserve"> </w:instrText>
      </w:r>
      <w:r w:rsidR="00C37789" w:rsidRPr="000322E4">
        <w:rPr>
          <w:lang w:val="en-US"/>
        </w:rPr>
        <w:instrText>this</w:instrText>
      </w:r>
      <w:r w:rsidR="00C37789" w:rsidRPr="000322E4">
        <w:instrText xml:space="preserve"> </w:instrText>
      </w:r>
      <w:r w:rsidR="00C37789" w:rsidRPr="000322E4">
        <w:rPr>
          <w:lang w:val="en-US"/>
        </w:rPr>
        <w:instrText>disease</w:instrText>
      </w:r>
      <w:r w:rsidR="00C37789" w:rsidRPr="000322E4">
        <w:instrText xml:space="preserve">. </w:instrText>
      </w:r>
      <w:r w:rsidR="00C37789" w:rsidRPr="000322E4">
        <w:rPr>
          <w:lang w:val="en-US"/>
        </w:rPr>
        <w:instrText>Recently</w:instrText>
      </w:r>
      <w:r w:rsidR="00C37789" w:rsidRPr="000322E4">
        <w:instrText xml:space="preserve">, </w:instrText>
      </w:r>
      <w:r w:rsidR="00C37789" w:rsidRPr="000322E4">
        <w:rPr>
          <w:lang w:val="en-US"/>
        </w:rPr>
        <w:instrText>intermediate</w:instrText>
      </w:r>
      <w:r w:rsidR="00C37789" w:rsidRPr="000322E4">
        <w:instrText>-</w:instrText>
      </w:r>
      <w:r w:rsidR="00C37789" w:rsidRPr="000322E4">
        <w:rPr>
          <w:lang w:val="en-US"/>
        </w:rPr>
        <w:instrText>intensity</w:instrText>
      </w:r>
      <w:r w:rsidR="00C37789" w:rsidRPr="000322E4">
        <w:instrText xml:space="preserve"> </w:instrText>
      </w:r>
      <w:r w:rsidR="00C37789" w:rsidRPr="000322E4">
        <w:rPr>
          <w:lang w:val="en-US"/>
        </w:rPr>
        <w:instrText>approaches</w:instrText>
      </w:r>
      <w:r w:rsidR="00C37789" w:rsidRPr="000322E4">
        <w:instrText xml:space="preserve"> </w:instrText>
      </w:r>
      <w:r w:rsidR="00C37789" w:rsidRPr="000322E4">
        <w:rPr>
          <w:lang w:val="en-US"/>
        </w:rPr>
        <w:instrText>have</w:instrText>
      </w:r>
      <w:r w:rsidR="00C37789" w:rsidRPr="000322E4">
        <w:instrText xml:space="preserve"> </w:instrText>
      </w:r>
      <w:r w:rsidR="00C37789" w:rsidRPr="000322E4">
        <w:rPr>
          <w:lang w:val="en-US"/>
        </w:rPr>
        <w:instrText>been</w:instrText>
      </w:r>
      <w:r w:rsidR="00C37789" w:rsidRPr="000322E4">
        <w:instrText xml:space="preserve"> </w:instrText>
      </w:r>
      <w:r w:rsidR="00C37789" w:rsidRPr="000322E4">
        <w:rPr>
          <w:lang w:val="en-US"/>
        </w:rPr>
        <w:instrText>tested</w:instrText>
      </w:r>
      <w:r w:rsidR="00C37789" w:rsidRPr="000322E4">
        <w:instrText xml:space="preserve"> </w:instrText>
      </w:r>
      <w:r w:rsidR="00C37789" w:rsidRPr="000322E4">
        <w:rPr>
          <w:lang w:val="en-US"/>
        </w:rPr>
        <w:instrText>in</w:instrText>
      </w:r>
      <w:r w:rsidR="00C37789" w:rsidRPr="000322E4">
        <w:instrText xml:space="preserve"> </w:instrText>
      </w:r>
      <w:r w:rsidR="00C37789" w:rsidRPr="000322E4">
        <w:rPr>
          <w:lang w:val="en-US"/>
        </w:rPr>
        <w:instrText>Burkitt</w:instrText>
      </w:r>
      <w:r w:rsidR="00C37789" w:rsidRPr="000322E4">
        <w:instrText>'</w:instrText>
      </w:r>
      <w:r w:rsidR="00C37789" w:rsidRPr="000322E4">
        <w:rPr>
          <w:lang w:val="en-US"/>
        </w:rPr>
        <w:instrText>s</w:instrText>
      </w:r>
      <w:r w:rsidR="00C37789" w:rsidRPr="000322E4">
        <w:instrText xml:space="preserve"> </w:instrText>
      </w:r>
      <w:r w:rsidR="00C37789" w:rsidRPr="000322E4">
        <w:rPr>
          <w:lang w:val="en-US"/>
        </w:rPr>
        <w:instrText>lymphoma</w:instrText>
      </w:r>
      <w:r w:rsidR="00C37789" w:rsidRPr="000322E4">
        <w:instrText xml:space="preserve">. </w:instrText>
      </w:r>
      <w:r w:rsidR="00C37789" w:rsidRPr="000322E4">
        <w:rPr>
          <w:lang w:val="en-US"/>
        </w:rPr>
        <w:instrText>Early</w:instrText>
      </w:r>
      <w:r w:rsidR="00C37789" w:rsidRPr="000322E4">
        <w:instrText xml:space="preserve"> </w:instrText>
      </w:r>
      <w:r w:rsidR="00C37789" w:rsidRPr="000322E4">
        <w:rPr>
          <w:lang w:val="en-US"/>
        </w:rPr>
        <w:instrText>multicenter</w:instrText>
      </w:r>
      <w:r w:rsidR="00C37789" w:rsidRPr="000322E4">
        <w:instrText xml:space="preserve"> </w:instrText>
      </w:r>
      <w:r w:rsidR="00C37789" w:rsidRPr="000322E4">
        <w:rPr>
          <w:lang w:val="en-US"/>
        </w:rPr>
        <w:instrText>results</w:instrText>
      </w:r>
      <w:r w:rsidR="00C37789" w:rsidRPr="000322E4">
        <w:instrText xml:space="preserve"> </w:instrText>
      </w:r>
      <w:r w:rsidR="00C37789" w:rsidRPr="000322E4">
        <w:rPr>
          <w:lang w:val="en-US"/>
        </w:rPr>
        <w:instrText>demonstrate</w:instrText>
      </w:r>
      <w:r w:rsidR="00C37789" w:rsidRPr="000322E4">
        <w:instrText xml:space="preserve"> </w:instrText>
      </w:r>
      <w:r w:rsidR="00C37789" w:rsidRPr="000322E4">
        <w:rPr>
          <w:lang w:val="en-US"/>
        </w:rPr>
        <w:instrText>good</w:instrText>
      </w:r>
      <w:r w:rsidR="00C37789" w:rsidRPr="000322E4">
        <w:instrText xml:space="preserve"> </w:instrText>
      </w:r>
      <w:r w:rsidR="00C37789" w:rsidRPr="000322E4">
        <w:rPr>
          <w:lang w:val="en-US"/>
        </w:rPr>
        <w:instrText>tolerability</w:instrText>
      </w:r>
      <w:r w:rsidR="00C37789" w:rsidRPr="000322E4">
        <w:instrText xml:space="preserve"> </w:instrText>
      </w:r>
      <w:r w:rsidR="00C37789" w:rsidRPr="000322E4">
        <w:rPr>
          <w:lang w:val="en-US"/>
        </w:rPr>
        <w:instrText>while</w:instrText>
      </w:r>
      <w:r w:rsidR="00C37789" w:rsidRPr="000322E4">
        <w:instrText xml:space="preserve"> </w:instrText>
      </w:r>
      <w:r w:rsidR="00C37789" w:rsidRPr="000322E4">
        <w:rPr>
          <w:lang w:val="en-US"/>
        </w:rPr>
        <w:instrText>maintaining</w:instrText>
      </w:r>
      <w:r w:rsidR="00C37789" w:rsidRPr="000322E4">
        <w:instrText xml:space="preserve"> </w:instrText>
      </w:r>
      <w:r w:rsidR="00C37789" w:rsidRPr="000322E4">
        <w:rPr>
          <w:lang w:val="en-US"/>
        </w:rPr>
        <w:instrText>high</w:instrText>
      </w:r>
      <w:r w:rsidR="00C37789" w:rsidRPr="000322E4">
        <w:instrText xml:space="preserve"> </w:instrText>
      </w:r>
      <w:r w:rsidR="00C37789" w:rsidRPr="000322E4">
        <w:rPr>
          <w:lang w:val="en-US"/>
        </w:rPr>
        <w:instrText>cure</w:instrText>
      </w:r>
      <w:r w:rsidR="00C37789" w:rsidRPr="000322E4">
        <w:instrText xml:space="preserve"> </w:instrText>
      </w:r>
      <w:r w:rsidR="00C37789" w:rsidRPr="000322E4">
        <w:rPr>
          <w:lang w:val="en-US"/>
        </w:rPr>
        <w:instrText>rates</w:instrText>
      </w:r>
      <w:r w:rsidR="00C37789" w:rsidRPr="000322E4">
        <w:instrText xml:space="preserve"> </w:instrText>
      </w:r>
      <w:r w:rsidR="00C37789" w:rsidRPr="000322E4">
        <w:rPr>
          <w:lang w:val="en-US"/>
        </w:rPr>
        <w:instrText>in</w:instrText>
      </w:r>
      <w:r w:rsidR="00C37789" w:rsidRPr="000322E4">
        <w:instrText xml:space="preserve"> </w:instrText>
      </w:r>
      <w:r w:rsidR="00C37789" w:rsidRPr="000322E4">
        <w:rPr>
          <w:lang w:val="en-US"/>
        </w:rPr>
        <w:instrText>all</w:instrText>
      </w:r>
      <w:r w:rsidR="00C37789" w:rsidRPr="000322E4">
        <w:instrText xml:space="preserve"> </w:instrText>
      </w:r>
      <w:r w:rsidR="00C37789" w:rsidRPr="000322E4">
        <w:rPr>
          <w:lang w:val="en-US"/>
        </w:rPr>
        <w:instrText>patient</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age</w:instrText>
      </w:r>
      <w:r w:rsidR="00C37789" w:rsidRPr="000322E4">
        <w:instrText xml:space="preserve"> </w:instrText>
      </w:r>
      <w:r w:rsidR="00C37789" w:rsidRPr="000322E4">
        <w:rPr>
          <w:lang w:val="en-US"/>
        </w:rPr>
        <w:instrText>groups</w:instrText>
      </w:r>
      <w:r w:rsidR="00C37789" w:rsidRPr="000322E4">
        <w:instrText>.","</w:instrText>
      </w:r>
      <w:r w:rsidR="00C37789" w:rsidRPr="000322E4">
        <w:rPr>
          <w:lang w:val="en-US"/>
        </w:rPr>
        <w:instrText>author</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Dunleavy</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Kieron</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container</w:instrText>
      </w:r>
      <w:r w:rsidR="00C37789" w:rsidRPr="000322E4">
        <w:instrText>-</w:instrText>
      </w:r>
      <w:r w:rsidR="00C37789" w:rsidRPr="000322E4">
        <w:rPr>
          <w:lang w:val="en-US"/>
        </w:rPr>
        <w:instrText>title</w:instrText>
      </w:r>
      <w:r w:rsidR="00C37789" w:rsidRPr="000322E4">
        <w:instrText>":"</w:instrText>
      </w:r>
      <w:r w:rsidR="00C37789" w:rsidRPr="000322E4">
        <w:rPr>
          <w:lang w:val="en-US"/>
        </w:rPr>
        <w:instrText>Journal</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Oncology</w:instrText>
      </w:r>
      <w:r w:rsidR="00C37789" w:rsidRPr="000322E4">
        <w:instrText xml:space="preserve"> </w:instrText>
      </w:r>
      <w:r w:rsidR="00C37789" w:rsidRPr="000322E4">
        <w:rPr>
          <w:lang w:val="en-US"/>
        </w:rPr>
        <w:instrText>Practice</w:instrText>
      </w:r>
      <w:r w:rsidR="00C37789" w:rsidRPr="000322E4">
        <w:instrText>","</w:instrText>
      </w:r>
      <w:r w:rsidR="00C37789" w:rsidRPr="000322E4">
        <w:rPr>
          <w:lang w:val="en-US"/>
        </w:rPr>
        <w:instrText>id</w:instrText>
      </w:r>
      <w:r w:rsidR="00C37789" w:rsidRPr="000322E4">
        <w:instrText>":"</w:instrText>
      </w:r>
      <w:r w:rsidR="00C37789" w:rsidRPr="000322E4">
        <w:rPr>
          <w:lang w:val="en-US"/>
        </w:rPr>
        <w:instrText>ITEM</w:instrText>
      </w:r>
      <w:r w:rsidR="00C37789" w:rsidRPr="000322E4">
        <w:instrText>-1","</w:instrText>
      </w:r>
      <w:r w:rsidR="00C37789" w:rsidRPr="000322E4">
        <w:rPr>
          <w:lang w:val="en-US"/>
        </w:rPr>
        <w:instrText>issue</w:instrText>
      </w:r>
      <w:r w:rsidR="00C37789" w:rsidRPr="000322E4">
        <w:instrText>":"11","</w:instrText>
      </w:r>
      <w:r w:rsidR="00C37789" w:rsidRPr="000322E4">
        <w:rPr>
          <w:lang w:val="en-US"/>
        </w:rPr>
        <w:instrText>issued</w:instrText>
      </w:r>
      <w:r w:rsidR="00C37789" w:rsidRPr="000322E4">
        <w:instrText>":{"</w:instrText>
      </w:r>
      <w:r w:rsidR="00C37789" w:rsidRPr="000322E4">
        <w:rPr>
          <w:lang w:val="en-US"/>
        </w:rPr>
        <w:instrText>date</w:instrText>
      </w:r>
      <w:r w:rsidR="00C37789" w:rsidRPr="000322E4">
        <w:instrText>-</w:instrText>
      </w:r>
      <w:r w:rsidR="00C37789" w:rsidRPr="000322E4">
        <w:rPr>
          <w:lang w:val="en-US"/>
        </w:rPr>
        <w:instrText>parts</w:instrText>
      </w:r>
      <w:r w:rsidR="00C37789" w:rsidRPr="000322E4">
        <w:instrText>":[["2018","11"]]},"</w:instrText>
      </w:r>
      <w:r w:rsidR="00C37789" w:rsidRPr="000322E4">
        <w:rPr>
          <w:lang w:val="en-US"/>
        </w:rPr>
        <w:instrText>page</w:instrText>
      </w:r>
      <w:r w:rsidR="00C37789" w:rsidRPr="000322E4">
        <w:instrText>":"665-671","</w:instrText>
      </w:r>
      <w:r w:rsidR="00C37789" w:rsidRPr="000322E4">
        <w:rPr>
          <w:lang w:val="en-US"/>
        </w:rPr>
        <w:instrText>publisher</w:instrText>
      </w:r>
      <w:r w:rsidR="00C37789" w:rsidRPr="000322E4">
        <w:instrText>":"</w:instrText>
      </w:r>
      <w:r w:rsidR="00C37789" w:rsidRPr="000322E4">
        <w:rPr>
          <w:lang w:val="en-US"/>
        </w:rPr>
        <w:instrText>American</w:instrText>
      </w:r>
      <w:r w:rsidR="00C37789" w:rsidRPr="000322E4">
        <w:instrText xml:space="preserve"> </w:instrText>
      </w:r>
      <w:r w:rsidR="00C37789" w:rsidRPr="000322E4">
        <w:rPr>
          <w:lang w:val="en-US"/>
        </w:rPr>
        <w:instrText>Society</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Clinical</w:instrText>
      </w:r>
      <w:r w:rsidR="00C37789" w:rsidRPr="000322E4">
        <w:instrText xml:space="preserve"> </w:instrText>
      </w:r>
      <w:r w:rsidR="00C37789" w:rsidRPr="000322E4">
        <w:rPr>
          <w:lang w:val="en-US"/>
        </w:rPr>
        <w:instrText>Oncology</w:instrText>
      </w:r>
      <w:r w:rsidR="00C37789" w:rsidRPr="000322E4">
        <w:instrText xml:space="preserve"> (</w:instrText>
      </w:r>
      <w:r w:rsidR="00C37789" w:rsidRPr="000322E4">
        <w:rPr>
          <w:lang w:val="en-US"/>
        </w:rPr>
        <w:instrText>ASCO</w:instrText>
      </w:r>
      <w:r w:rsidR="00C37789" w:rsidRPr="000322E4">
        <w:instrText>)","</w:instrText>
      </w:r>
      <w:r w:rsidR="00C37789" w:rsidRPr="000322E4">
        <w:rPr>
          <w:lang w:val="en-US"/>
        </w:rPr>
        <w:instrText>title</w:instrText>
      </w:r>
      <w:r w:rsidR="00C37789" w:rsidRPr="000322E4">
        <w:instrText>":"</w:instrText>
      </w:r>
      <w:r w:rsidR="00C37789" w:rsidRPr="000322E4">
        <w:rPr>
          <w:lang w:val="en-US"/>
        </w:rPr>
        <w:instrText>Approach</w:instrText>
      </w:r>
      <w:r w:rsidR="00C37789" w:rsidRPr="000322E4">
        <w:instrText xml:space="preserve"> </w:instrText>
      </w:r>
      <w:r w:rsidR="00C37789" w:rsidRPr="000322E4">
        <w:rPr>
          <w:lang w:val="en-US"/>
        </w:rPr>
        <w:instrText>to</w:instrText>
      </w:r>
      <w:r w:rsidR="00C37789" w:rsidRPr="000322E4">
        <w:instrText xml:space="preserve"> </w:instrText>
      </w:r>
      <w:r w:rsidR="00C37789" w:rsidRPr="000322E4">
        <w:rPr>
          <w:lang w:val="en-US"/>
        </w:rPr>
        <w:instrText>the</w:instrText>
      </w:r>
      <w:r w:rsidR="00C37789" w:rsidRPr="000322E4">
        <w:instrText xml:space="preserve"> </w:instrText>
      </w:r>
      <w:r w:rsidR="00C37789" w:rsidRPr="000322E4">
        <w:rPr>
          <w:lang w:val="en-US"/>
        </w:rPr>
        <w:instrText>Diagnosis</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Treatment</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Adult</w:instrText>
      </w:r>
      <w:r w:rsidR="00C37789" w:rsidRPr="000322E4">
        <w:instrText xml:space="preserve"> </w:instrText>
      </w:r>
      <w:r w:rsidR="00C37789" w:rsidRPr="000322E4">
        <w:rPr>
          <w:lang w:val="en-US"/>
        </w:rPr>
        <w:instrText>Burkitt</w:instrText>
      </w:r>
      <w:r w:rsidR="00C37789" w:rsidRPr="000322E4">
        <w:instrText>'</w:instrText>
      </w:r>
      <w:r w:rsidR="00C37789" w:rsidRPr="000322E4">
        <w:rPr>
          <w:lang w:val="en-US"/>
        </w:rPr>
        <w:instrText>s</w:instrText>
      </w:r>
      <w:r w:rsidR="00C37789" w:rsidRPr="000322E4">
        <w:instrText xml:space="preserve"> </w:instrText>
      </w:r>
      <w:r w:rsidR="00C37789" w:rsidRPr="000322E4">
        <w:rPr>
          <w:lang w:val="en-US"/>
        </w:rPr>
        <w:instrText>Lymphoma</w:instrText>
      </w:r>
      <w:r w:rsidR="00C37789" w:rsidRPr="000322E4">
        <w:instrText>","</w:instrText>
      </w:r>
      <w:r w:rsidR="00C37789" w:rsidRPr="000322E4">
        <w:rPr>
          <w:lang w:val="en-US"/>
        </w:rPr>
        <w:instrText>type</w:instrText>
      </w:r>
      <w:r w:rsidR="00C37789" w:rsidRPr="000322E4">
        <w:instrText>":"</w:instrText>
      </w:r>
      <w:r w:rsidR="00C37789" w:rsidRPr="000322E4">
        <w:rPr>
          <w:lang w:val="en-US"/>
        </w:rPr>
        <w:instrText>article</w:instrText>
      </w:r>
      <w:r w:rsidR="00C37789" w:rsidRPr="000322E4">
        <w:instrText>-</w:instrText>
      </w:r>
      <w:r w:rsidR="00C37789" w:rsidRPr="000322E4">
        <w:rPr>
          <w:lang w:val="en-US"/>
        </w:rPr>
        <w:instrText>journal</w:instrText>
      </w:r>
      <w:r w:rsidR="00C37789" w:rsidRPr="000322E4">
        <w:instrText>","</w:instrText>
      </w:r>
      <w:r w:rsidR="00C37789" w:rsidRPr="000322E4">
        <w:rPr>
          <w:lang w:val="en-US"/>
        </w:rPr>
        <w:instrText>volume</w:instrText>
      </w:r>
      <w:r w:rsidR="00C37789" w:rsidRPr="000322E4">
        <w:instrText>":"14"},"</w:instrText>
      </w:r>
      <w:r w:rsidR="00C37789" w:rsidRPr="000322E4">
        <w:rPr>
          <w:lang w:val="en-US"/>
        </w:rPr>
        <w:instrText>uris</w:instrText>
      </w:r>
      <w:r w:rsidR="00C37789" w:rsidRPr="000322E4">
        <w:instrText>":["</w:instrText>
      </w:r>
      <w:r w:rsidR="00C37789" w:rsidRPr="000322E4">
        <w:rPr>
          <w:lang w:val="en-US"/>
        </w:rPr>
        <w:instrText>http</w:instrText>
      </w:r>
      <w:r w:rsidR="00C37789" w:rsidRPr="000322E4">
        <w:instrText>://</w:instrText>
      </w:r>
      <w:r w:rsidR="00C37789" w:rsidRPr="000322E4">
        <w:rPr>
          <w:lang w:val="en-US"/>
        </w:rPr>
        <w:instrText>www</w:instrText>
      </w:r>
      <w:r w:rsidR="00C37789" w:rsidRPr="000322E4">
        <w:instrText>.</w:instrText>
      </w:r>
      <w:r w:rsidR="00C37789" w:rsidRPr="000322E4">
        <w:rPr>
          <w:lang w:val="en-US"/>
        </w:rPr>
        <w:instrText>mendeley</w:instrText>
      </w:r>
      <w:r w:rsidR="00C37789" w:rsidRPr="000322E4">
        <w:instrText>.</w:instrText>
      </w:r>
      <w:r w:rsidR="00C37789" w:rsidRPr="000322E4">
        <w:rPr>
          <w:lang w:val="en-US"/>
        </w:rPr>
        <w:instrText>com</w:instrText>
      </w:r>
      <w:r w:rsidR="00C37789" w:rsidRPr="000322E4">
        <w:instrText>/</w:instrText>
      </w:r>
      <w:r w:rsidR="00C37789" w:rsidRPr="000322E4">
        <w:rPr>
          <w:lang w:val="en-US"/>
        </w:rPr>
        <w:instrText>documents</w:instrText>
      </w:r>
      <w:r w:rsidR="00C37789" w:rsidRPr="000322E4">
        <w:instrText>/?</w:instrText>
      </w:r>
      <w:r w:rsidR="00C37789" w:rsidRPr="000322E4">
        <w:rPr>
          <w:lang w:val="en-US"/>
        </w:rPr>
        <w:instrText>uuid</w:instrText>
      </w:r>
      <w:r w:rsidR="00C37789" w:rsidRPr="000322E4">
        <w:instrText>=7</w:instrText>
      </w:r>
      <w:r w:rsidR="00C37789" w:rsidRPr="000322E4">
        <w:rPr>
          <w:lang w:val="en-US"/>
        </w:rPr>
        <w:instrText>abde</w:instrText>
      </w:r>
      <w:r w:rsidR="00C37789" w:rsidRPr="000322E4">
        <w:instrText>26</w:instrText>
      </w:r>
      <w:r w:rsidR="00C37789" w:rsidRPr="000322E4">
        <w:rPr>
          <w:lang w:val="en-US"/>
        </w:rPr>
        <w:instrText>b</w:instrText>
      </w:r>
      <w:r w:rsidR="00C37789" w:rsidRPr="000322E4">
        <w:instrText>-</w:instrText>
      </w:r>
      <w:r w:rsidR="00C37789" w:rsidRPr="000322E4">
        <w:rPr>
          <w:lang w:val="en-US"/>
        </w:rPr>
        <w:instrText>c</w:instrText>
      </w:r>
      <w:r w:rsidR="00C37789" w:rsidRPr="000322E4">
        <w:instrText>6</w:instrText>
      </w:r>
      <w:r w:rsidR="00C37789" w:rsidRPr="000322E4">
        <w:rPr>
          <w:lang w:val="en-US"/>
        </w:rPr>
        <w:instrText>f</w:instrText>
      </w:r>
      <w:r w:rsidR="00C37789" w:rsidRPr="000322E4">
        <w:instrText>6-3</w:instrText>
      </w:r>
      <w:r w:rsidR="00C37789" w:rsidRPr="000322E4">
        <w:rPr>
          <w:lang w:val="en-US"/>
        </w:rPr>
        <w:instrText>d</w:instrText>
      </w:r>
      <w:r w:rsidR="00C37789" w:rsidRPr="000322E4">
        <w:instrText>3</w:instrText>
      </w:r>
      <w:r w:rsidR="00C37789" w:rsidRPr="000322E4">
        <w:rPr>
          <w:lang w:val="en-US"/>
        </w:rPr>
        <w:instrText>e</w:instrText>
      </w:r>
      <w:r w:rsidR="00C37789" w:rsidRPr="000322E4">
        <w:instrText>-</w:instrText>
      </w:r>
      <w:r w:rsidR="00C37789" w:rsidRPr="000322E4">
        <w:rPr>
          <w:lang w:val="en-US"/>
        </w:rPr>
        <w:instrText>b</w:instrText>
      </w:r>
      <w:r w:rsidR="00C37789" w:rsidRPr="000322E4">
        <w:instrText>960-</w:instrText>
      </w:r>
      <w:r w:rsidR="00C37789" w:rsidRPr="000322E4">
        <w:rPr>
          <w:lang w:val="en-US"/>
        </w:rPr>
        <w:instrText>b</w:instrText>
      </w:r>
      <w:r w:rsidR="00C37789" w:rsidRPr="000322E4">
        <w:instrText>44</w:instrText>
      </w:r>
      <w:r w:rsidR="00C37789" w:rsidRPr="000322E4">
        <w:rPr>
          <w:lang w:val="en-US"/>
        </w:rPr>
        <w:instrText>bb</w:instrText>
      </w:r>
      <w:r w:rsidR="00C37789" w:rsidRPr="000322E4">
        <w:instrText>7413</w:instrText>
      </w:r>
      <w:r w:rsidR="00C37789" w:rsidRPr="000322E4">
        <w:rPr>
          <w:lang w:val="en-US"/>
        </w:rPr>
        <w:instrText>a</w:instrText>
      </w:r>
      <w:r w:rsidR="00C37789" w:rsidRPr="000322E4">
        <w:instrText>36"]}],"</w:instrText>
      </w:r>
      <w:r w:rsidR="00C37789" w:rsidRPr="000322E4">
        <w:rPr>
          <w:lang w:val="en-US"/>
        </w:rPr>
        <w:instrText>mendeley</w:instrText>
      </w:r>
      <w:r w:rsidR="00C37789" w:rsidRPr="000322E4">
        <w:instrText>":{"</w:instrText>
      </w:r>
      <w:r w:rsidR="00C37789" w:rsidRPr="000322E4">
        <w:rPr>
          <w:lang w:val="en-US"/>
        </w:rPr>
        <w:instrText>formattedCitation</w:instrText>
      </w:r>
      <w:r w:rsidR="00C37789" w:rsidRPr="000322E4">
        <w:instrText>":"[88]","</w:instrText>
      </w:r>
      <w:r w:rsidR="00C37789" w:rsidRPr="000322E4">
        <w:rPr>
          <w:lang w:val="en-US"/>
        </w:rPr>
        <w:instrText>plainTextFormattedCitation</w:instrText>
      </w:r>
      <w:r w:rsidR="00C37789" w:rsidRPr="000322E4">
        <w:instrText>":"[88]","</w:instrText>
      </w:r>
      <w:r w:rsidR="00C37789" w:rsidRPr="000322E4">
        <w:rPr>
          <w:lang w:val="en-US"/>
        </w:rPr>
        <w:instrText>previouslyFormattedCitation</w:instrText>
      </w:r>
      <w:r w:rsidR="00C37789" w:rsidRPr="000322E4">
        <w:instrText>":"[88]"},"</w:instrText>
      </w:r>
      <w:r w:rsidR="00C37789" w:rsidRPr="000322E4">
        <w:rPr>
          <w:lang w:val="en-US"/>
        </w:rPr>
        <w:instrText>properties</w:instrText>
      </w:r>
      <w:r w:rsidR="00C37789" w:rsidRPr="000322E4">
        <w:instrText>":{"</w:instrText>
      </w:r>
      <w:r w:rsidR="00C37789" w:rsidRPr="000322E4">
        <w:rPr>
          <w:lang w:val="en-US"/>
        </w:rPr>
        <w:instrText>noteIndex</w:instrText>
      </w:r>
      <w:r w:rsidR="00C37789" w:rsidRPr="000322E4">
        <w:instrText>":0},"</w:instrText>
      </w:r>
      <w:r w:rsidR="00C37789" w:rsidRPr="000322E4">
        <w:rPr>
          <w:lang w:val="en-US"/>
        </w:rPr>
        <w:instrText>schema</w:instrText>
      </w:r>
      <w:r w:rsidR="00C37789" w:rsidRPr="000322E4">
        <w:instrText>":"</w:instrText>
      </w:r>
      <w:r w:rsidR="00C37789" w:rsidRPr="000322E4">
        <w:rPr>
          <w:lang w:val="en-US"/>
        </w:rPr>
        <w:instrText>https</w:instrText>
      </w:r>
      <w:r w:rsidR="00C37789" w:rsidRPr="000322E4">
        <w:instrText>://</w:instrText>
      </w:r>
      <w:r w:rsidR="00C37789" w:rsidRPr="000322E4">
        <w:rPr>
          <w:lang w:val="en-US"/>
        </w:rPr>
        <w:instrText>github</w:instrText>
      </w:r>
      <w:r w:rsidR="00C37789" w:rsidRPr="000322E4">
        <w:instrText>.</w:instrText>
      </w:r>
      <w:r w:rsidR="00C37789" w:rsidRPr="000322E4">
        <w:rPr>
          <w:lang w:val="en-US"/>
        </w:rPr>
        <w:instrText>com</w:instrText>
      </w:r>
      <w:r w:rsidR="00C37789" w:rsidRPr="000322E4">
        <w:instrText>/</w:instrText>
      </w:r>
      <w:r w:rsidR="00C37789" w:rsidRPr="000322E4">
        <w:rPr>
          <w:lang w:val="en-US"/>
        </w:rPr>
        <w:instrText>citation</w:instrText>
      </w:r>
      <w:r w:rsidR="00C37789" w:rsidRPr="000322E4">
        <w:instrText>-</w:instrText>
      </w:r>
      <w:r w:rsidR="00C37789" w:rsidRPr="000322E4">
        <w:rPr>
          <w:lang w:val="en-US"/>
        </w:rPr>
        <w:instrText>style</w:instrText>
      </w:r>
      <w:r w:rsidR="00C37789" w:rsidRPr="000322E4">
        <w:instrText>-</w:instrText>
      </w:r>
      <w:r w:rsidR="00C37789" w:rsidRPr="000322E4">
        <w:rPr>
          <w:lang w:val="en-US"/>
        </w:rPr>
        <w:instrText>language</w:instrText>
      </w:r>
      <w:r w:rsidR="00C37789" w:rsidRPr="000322E4">
        <w:instrText>/</w:instrText>
      </w:r>
      <w:r w:rsidR="00C37789" w:rsidRPr="000322E4">
        <w:rPr>
          <w:lang w:val="en-US"/>
        </w:rPr>
        <w:instrText>schema</w:instrText>
      </w:r>
      <w:r w:rsidR="00C37789" w:rsidRPr="000322E4">
        <w:instrText>/</w:instrText>
      </w:r>
      <w:r w:rsidR="00C37789" w:rsidRPr="000322E4">
        <w:rPr>
          <w:lang w:val="en-US"/>
        </w:rPr>
        <w:instrText>raw</w:instrText>
      </w:r>
      <w:r w:rsidR="00C37789" w:rsidRPr="000322E4">
        <w:instrText>/</w:instrText>
      </w:r>
      <w:r w:rsidR="00C37789" w:rsidRPr="000322E4">
        <w:rPr>
          <w:lang w:val="en-US"/>
        </w:rPr>
        <w:instrText>master</w:instrText>
      </w:r>
      <w:r w:rsidR="00C37789" w:rsidRPr="000322E4">
        <w:instrText>/</w:instrText>
      </w:r>
      <w:r w:rsidR="00C37789" w:rsidRPr="000322E4">
        <w:rPr>
          <w:lang w:val="en-US"/>
        </w:rPr>
        <w:instrText>csl</w:instrText>
      </w:r>
      <w:r w:rsidR="00C37789" w:rsidRPr="000322E4">
        <w:instrText>-</w:instrText>
      </w:r>
      <w:r w:rsidR="00C37789" w:rsidRPr="000322E4">
        <w:rPr>
          <w:lang w:val="en-US"/>
        </w:rPr>
        <w:instrText>citation</w:instrText>
      </w:r>
      <w:r w:rsidR="00C37789" w:rsidRPr="000322E4">
        <w:instrText>.</w:instrText>
      </w:r>
      <w:r w:rsidR="00C37789" w:rsidRPr="000322E4">
        <w:rPr>
          <w:lang w:val="en-US"/>
        </w:rPr>
        <w:instrText>json</w:instrText>
      </w:r>
      <w:r w:rsidR="00C37789" w:rsidRPr="000322E4">
        <w:instrText>"}</w:instrText>
      </w:r>
      <w:r w:rsidRPr="000322E4">
        <w:rPr>
          <w:lang w:val="en-US"/>
        </w:rPr>
        <w:fldChar w:fldCharType="separate"/>
      </w:r>
      <w:r w:rsidR="00C37789" w:rsidRPr="000322E4">
        <w:rPr>
          <w:noProof/>
        </w:rPr>
        <w:t>[88]</w:t>
      </w:r>
      <w:r w:rsidRPr="000322E4">
        <w:rPr>
          <w:lang w:val="en-US"/>
        </w:rPr>
        <w:fldChar w:fldCharType="end"/>
      </w:r>
      <w:r w:rsidRPr="000322E4">
        <w:t>.</w:t>
      </w:r>
    </w:p>
    <w:p w14:paraId="15392DFE" w14:textId="77777777" w:rsidR="007726E0" w:rsidRPr="000322E4" w:rsidRDefault="007726E0" w:rsidP="00C114E4">
      <w:pPr>
        <w:ind w:left="709"/>
        <w:contextualSpacing/>
        <w:rPr>
          <w:rFonts w:eastAsia="Arial Unicode MS"/>
          <w:color w:val="000000"/>
        </w:rPr>
      </w:pPr>
      <w:r w:rsidRPr="000322E4">
        <w:rPr>
          <w:b/>
        </w:rPr>
        <w:t xml:space="preserve">Уровень убедительности рекомендаций – С (уровень </w:t>
      </w:r>
      <w:r w:rsidRPr="000322E4">
        <w:rPr>
          <w:b/>
          <w:spacing w:val="-1"/>
        </w:rPr>
        <w:t xml:space="preserve">достоверности доказательств </w:t>
      </w:r>
      <w:r w:rsidRPr="000322E4">
        <w:rPr>
          <w:b/>
        </w:rPr>
        <w:t>– 5)</w:t>
      </w:r>
      <w:r w:rsidRPr="000322E4">
        <w:rPr>
          <w:rFonts w:eastAsia="Arial Unicode MS"/>
          <w:color w:val="000000"/>
        </w:rPr>
        <w:t>.</w:t>
      </w:r>
    </w:p>
    <w:p w14:paraId="4DA6248B" w14:textId="77777777" w:rsidR="007726E0" w:rsidRPr="000322E4" w:rsidRDefault="007726E0" w:rsidP="00C114E4">
      <w:pPr>
        <w:pStyle w:val="a"/>
        <w:spacing w:before="0"/>
        <w:rPr>
          <w:i/>
        </w:rPr>
      </w:pPr>
      <w:r w:rsidRPr="000322E4">
        <w:t xml:space="preserve">Всем пациентам с ЛБ </w:t>
      </w:r>
      <w:r w:rsidRPr="000322E4">
        <w:rPr>
          <w:b/>
        </w:rPr>
        <w:t>рекомендуется</w:t>
      </w:r>
      <w:r w:rsidRPr="000322E4">
        <w:t xml:space="preserve"> устанавливать центральный венозный катетер для проведения ХТ и сопроводительной терапии [1, 2].</w:t>
      </w:r>
    </w:p>
    <w:p w14:paraId="79D4B5F8" w14:textId="77777777" w:rsidR="007726E0" w:rsidRPr="000322E4" w:rsidRDefault="007726E0" w:rsidP="00CA442F">
      <w:pPr>
        <w:pStyle w:val="afffa"/>
        <w:rPr>
          <w:rFonts w:eastAsia="Arial Unicode MS"/>
          <w:color w:val="000000"/>
        </w:rPr>
      </w:pPr>
      <w:r w:rsidRPr="000322E4">
        <w:t xml:space="preserve">Уровень убедительности рекомендаций – </w:t>
      </w:r>
      <w:r w:rsidRPr="000322E4">
        <w:rPr>
          <w:lang w:val="en-US"/>
        </w:rPr>
        <w:t>C</w:t>
      </w:r>
      <w:r w:rsidRPr="000322E4">
        <w:t xml:space="preserve"> (уровень </w:t>
      </w:r>
      <w:r w:rsidRPr="000322E4">
        <w:rPr>
          <w:spacing w:val="-1"/>
        </w:rPr>
        <w:t xml:space="preserve">достоверности доказательств </w:t>
      </w:r>
      <w:r w:rsidRPr="000322E4">
        <w:t>– 5).</w:t>
      </w:r>
    </w:p>
    <w:p w14:paraId="7055E440" w14:textId="77777777" w:rsidR="007726E0" w:rsidRPr="000322E4" w:rsidRDefault="007726E0" w:rsidP="00C114E4">
      <w:pPr>
        <w:pStyle w:val="a"/>
        <w:spacing w:before="0"/>
        <w:rPr>
          <w:b/>
        </w:rPr>
      </w:pPr>
      <w:r w:rsidRPr="000322E4">
        <w:rPr>
          <w:b/>
        </w:rPr>
        <w:t>Рекомендуется</w:t>
      </w:r>
      <w:r w:rsidRPr="000322E4">
        <w:t xml:space="preserve"> пациентам при проведении первого курса терапии обязательную профилактику и лечение синдрома массивного лизиса опухоли: аллопуринол** 10 мг/кг/сут и инфузионная терапия 3 л/м</w:t>
      </w:r>
      <w:r w:rsidRPr="000322E4">
        <w:rPr>
          <w:vertAlign w:val="superscript"/>
        </w:rPr>
        <w:t>2</w:t>
      </w:r>
      <w:r w:rsidRPr="000322E4">
        <w:t xml:space="preserve">/сут с защелачиванием раствора натрия </w:t>
      </w:r>
      <w:r w:rsidRPr="000322E4">
        <w:lastRenderedPageBreak/>
        <w:t xml:space="preserve">гидрокарбоната** 40–80 ммоль/л под контролем диуреза и плановым назначением фуросемида**, лабораторным контролем кислотно-основного состояния </w:t>
      </w:r>
      <w:r w:rsidRPr="000322E4">
        <w:fldChar w:fldCharType="begin" w:fldLock="1"/>
      </w:r>
      <w:r w:rsidR="00C37789" w:rsidRPr="000322E4">
        <w:instrText>ADDIN CSL_CITATION {"citationItems":[{"id":"ITEM-1","itemData":{"author":[{"dropping-particle":"","family":"Барях","given":"Е.А.","non-dropping-particle":"","parse-names":false,"suffix":""},{"dropping-particle":"","family":"Мякова","given":"Н.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Савченко.","id":"ITEM-1","issued":{"date-parts":[["2018"]]},"page":"251-253","title":"Профилактика и лечение синдрома лизиса опухоли","type":"chapter"},"uris":["http://www.mendeley.com/documents/?uuid=f076f62d-bb83-43f7-ada9-fd1c459dafc9"]},{"id":"ITEM-2","itemData":{"author":[{"dropping-particle":"","family":"Барях","given":"Е.А.","non-dropping-particle":"","parse-names":false,"suffix":""},{"dropping-particle":"","family":"Кравченко","given":"С.К.","non-dropping-particle":"","parse-names":false,"suffix":""},{"dropping-particle":"","family":"Кременецкая","given":"А.М.","non-dropping-particle":"","parse-names":false,"suffix":""},{"dropping-particle":"","family":"Звонков","given":"Е.Е.","non-dropping-particle":"","parse-names":false,"suffix":""},{"dropping-particle":"","family":"Магомедова","given":"А.У.","non-dropping-particle":"","parse-names":false,"suffix":""},{"dropping-particle":"","family":"Обухова","given":"Т.Н.","non-dropping-particle":"","parse-names":false,"suffix":""},{"dropping-particle":"","family":"Попова","given":"Ю.Ю.","non-dropping-particle":"","parse-names":false,"suffix":""},{"dropping-particle":"","family":"Финк","given":"О.С.","non-dropping-particle":"","parse-names":false,"suffix":""},{"dropping-particle":"","family":"Клясова","given":"Г.А.","non-dropping-particle":"","parse-names":false,"suffix":""},{"dropping-particle":"","family":"Шулутко","given":"Е.М.","non-dropping-particle":"","parse-names":false,"suffix":""},{"dropping-particle":"","family":"Галстян","given":"Г.М.","non-dropping-particle":"","parse-names":false,"suffix":""},{"dropping-particle":"","family":"Капланская","given":"И.Б.","non-dropping-particle":"","parse-names":false,"suffix":""},{"dropping-particle":"","family":"Воробьев","given":"И.А.","non-dropping-particle":"","parse-names":false,"suffix":""},{"dropping-particle":"","family":"Воробьев","given":"А.И.","non-dropping-particle":"","parse-names":false,"suffix":""}],"container-title":"Клиническая онкогематология. Фундаментальные исследования и клиническая практика","id":"ITEM-2","issue":"2","issued":{"date-parts":[["2010"]]},"page":"138-143","title":"Лейкоз/лимфома Беркитта: клинические особенности, диагностические критерии, терапевтическая тактика","type":"article-journal","volume":"3"},"uris":["http://www.mendeley.com/documents/?uuid=ca97d2c7-6100-4926-b460-c64743fdc29b"]}],"mendeley":{"formattedCitation":"[89,90]","plainTextFormattedCitation":"[89,90]","previouslyFormattedCitation":"[89,90]"},"properties":{"noteIndex":0},"schema":"https://github.com/citation-style-language/schema/raw/master/csl-citation.json"}</w:instrText>
      </w:r>
      <w:r w:rsidRPr="000322E4">
        <w:fldChar w:fldCharType="separate"/>
      </w:r>
      <w:r w:rsidR="00C37789" w:rsidRPr="000322E4">
        <w:rPr>
          <w:noProof/>
        </w:rPr>
        <w:t>[89,90]</w:t>
      </w:r>
      <w:r w:rsidRPr="000322E4">
        <w:fldChar w:fldCharType="end"/>
      </w:r>
      <w:r w:rsidRPr="000322E4">
        <w:t xml:space="preserve">. </w:t>
      </w:r>
    </w:p>
    <w:p w14:paraId="2A226084" w14:textId="77777777" w:rsidR="007726E0" w:rsidRPr="000322E4" w:rsidRDefault="007726E0" w:rsidP="00CA442F">
      <w:pPr>
        <w:pStyle w:val="afffa"/>
      </w:pPr>
      <w:r w:rsidRPr="000322E4">
        <w:t>Уровень убедительности рекомендаций – С (уровень достоверности доказательств – 5).</w:t>
      </w:r>
    </w:p>
    <w:p w14:paraId="03DD65C6" w14:textId="77777777" w:rsidR="007726E0" w:rsidRPr="000322E4" w:rsidRDefault="007726E0" w:rsidP="00C114E4">
      <w:pPr>
        <w:pStyle w:val="a"/>
        <w:spacing w:before="0"/>
        <w:rPr>
          <w:b/>
        </w:rPr>
      </w:pPr>
      <w:r w:rsidRPr="000322E4">
        <w:t>При применении высоких доз метотрексата** рекомендованы контроль его элиминации (определение концентрации в сыворотке!) и коррекция дозы кальция</w:t>
      </w:r>
      <w:r w:rsidR="006D44E2" w:rsidRPr="000322E4">
        <w:t xml:space="preserve"> фолината</w:t>
      </w:r>
      <w:r w:rsidRPr="000322E4">
        <w:t xml:space="preserve">** ежедневно до нормализации показателей </w:t>
      </w:r>
      <w:r w:rsidRPr="000322E4">
        <w:fldChar w:fldCharType="begin" w:fldLock="1"/>
      </w:r>
      <w:r w:rsidR="00350858" w:rsidRPr="000322E4">
        <w:instrText>ADDIN CSL_CITATION {"citationItems":[{"id":"ITEM-1","itemData":{"author":[{"dropping-particle":"","family":"Барях","given":"Е.А.","non-dropping-particle":"","parse-names":false,"suffix":""}],"container-title":"Российские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Савченко.","id":"ITEM-1","issued":{"date-parts":[["2018"]]},"page":"80-87","title":"Лимфома Беркитта","type":"chapter"},"uris":["http://www.mendeley.com/documents/?uuid=6c46cd48-7af0-4ac2-8eb1-93f86718c4df"]}],"mendeley":{"formattedCitation":"[2]","plainTextFormattedCitation":"[2]","previouslyFormattedCitation":"[2]"},"properties":{"noteIndex":0},"schema":"https://github.com/citation-style-language/schema/raw/master/csl-citation.json"}</w:instrText>
      </w:r>
      <w:r w:rsidRPr="000322E4">
        <w:fldChar w:fldCharType="separate"/>
      </w:r>
      <w:r w:rsidRPr="000322E4">
        <w:rPr>
          <w:noProof/>
        </w:rPr>
        <w:t>[2]</w:t>
      </w:r>
      <w:r w:rsidRPr="000322E4">
        <w:fldChar w:fldCharType="end"/>
      </w:r>
      <w:r w:rsidRPr="000322E4">
        <w:t xml:space="preserve">. </w:t>
      </w:r>
    </w:p>
    <w:p w14:paraId="5F960AC9" w14:textId="77777777" w:rsidR="007726E0" w:rsidRPr="000322E4" w:rsidRDefault="007726E0" w:rsidP="00CA442F">
      <w:pPr>
        <w:pStyle w:val="afffa"/>
      </w:pPr>
      <w:r w:rsidRPr="000322E4">
        <w:t>Уровень убедительности рекомендаций – С (уровень достоверности доказательств – 5).</w:t>
      </w:r>
    </w:p>
    <w:p w14:paraId="1A28A128" w14:textId="77777777" w:rsidR="007726E0" w:rsidRPr="000322E4" w:rsidRDefault="007726E0" w:rsidP="00C114E4">
      <w:pPr>
        <w:pStyle w:val="a"/>
        <w:spacing w:before="0"/>
        <w:rPr>
          <w:rFonts w:eastAsia="Arial Unicode MS"/>
          <w:color w:val="000000"/>
        </w:rPr>
      </w:pPr>
      <w:r w:rsidRPr="000322E4">
        <w:t xml:space="preserve">Всем пациентам с массивным экстрамедуллярным опухолевым поражением (органов средостения, брюшной полости и др.) рекомендовано проведение профилактики тромботических осложнений под контролем коагулограммы согласно существующим протоколам профилактики венозных тромбоэмболических осложнений (см. соответствующие клинические рекомендации) </w:t>
      </w:r>
      <w:r w:rsidRPr="000322E4">
        <w:fldChar w:fldCharType="begin" w:fldLock="1"/>
      </w:r>
      <w:r w:rsidR="00350858" w:rsidRPr="000322E4">
        <w:instrText>ADDIN CSL_CITATION {"citationItems":[{"id":"ITEM-1","itemData":{"author":[{"dropping-particle":"","family":"Бокерия","given":"Л.А.","non-dropping-particle":"","parse-names":false,"suffix":""},{"dropping-particle":"","family":"Затевахин","given":"И.И.","non-dropping-particle":"","parse-names":false,"suffix":""},{"dropping-particle":"","family":"Кириенко","given":"А.И.","non-dropping-particle":"","parse-names":false,"suffix":""}],"container-title":"Флебология","id":"ITEM-1","issue":"2","issued":{"date-parts":[["2015"]]},"page":"3-52","title":"Российские клинические рекомендации по диагностике, лечению и профилактике венозных тромбоэмболических осложнений (ВТЭО).","type":"article-journal","volume":"4"},"uris":["http://www.mendeley.com/documents/?uuid=86c98716-7768-469e-9d28-62b6dd34948f"]}],"mendeley":{"formattedCitation":"[32]","plainTextFormattedCitation":"[32]","previouslyFormattedCitation":"[32]"},"properties":{"noteIndex":0},"schema":"https://github.com/citation-style-language/schema/raw/master/csl-citation.json"}</w:instrText>
      </w:r>
      <w:r w:rsidRPr="000322E4">
        <w:fldChar w:fldCharType="separate"/>
      </w:r>
      <w:r w:rsidRPr="000322E4">
        <w:rPr>
          <w:noProof/>
        </w:rPr>
        <w:t>[32]</w:t>
      </w:r>
      <w:r w:rsidRPr="000322E4">
        <w:fldChar w:fldCharType="end"/>
      </w:r>
      <w:r w:rsidRPr="000322E4">
        <w:t>.</w:t>
      </w:r>
    </w:p>
    <w:p w14:paraId="23BB30BB" w14:textId="77777777" w:rsidR="007726E0" w:rsidRPr="000322E4" w:rsidRDefault="007726E0" w:rsidP="00CA442F">
      <w:pPr>
        <w:pStyle w:val="afffa"/>
        <w:rPr>
          <w:rFonts w:eastAsia="Arial Unicode MS"/>
          <w:color w:val="000000"/>
        </w:rPr>
      </w:pPr>
      <w:r w:rsidRPr="000322E4">
        <w:t xml:space="preserve">Уровень убедительности рекомендаций – С (уровень </w:t>
      </w:r>
      <w:r w:rsidRPr="000322E4">
        <w:rPr>
          <w:spacing w:val="-1"/>
        </w:rPr>
        <w:t xml:space="preserve">достоверности доказательств </w:t>
      </w:r>
      <w:r w:rsidRPr="000322E4">
        <w:t>– 5).</w:t>
      </w:r>
    </w:p>
    <w:p w14:paraId="5F494E6C" w14:textId="77777777" w:rsidR="007726E0" w:rsidRPr="000322E4" w:rsidRDefault="007726E0" w:rsidP="00C114E4">
      <w:pPr>
        <w:pStyle w:val="a"/>
        <w:spacing w:before="0"/>
      </w:pPr>
      <w:r w:rsidRPr="000322E4">
        <w:rPr>
          <w:b/>
        </w:rPr>
        <w:t>Рекомендуется</w:t>
      </w:r>
      <w:r w:rsidRPr="000322E4">
        <w:t xml:space="preserve"> терапию ЛБ у пациентов, инфицированных ВИЧ, проводить по аналогичным протоколам на фоне постоянного приема антиретровирусной терапии </w:t>
      </w:r>
      <w:r w:rsidRPr="000322E4">
        <w:fldChar w:fldCharType="begin" w:fldLock="1"/>
      </w:r>
      <w:r w:rsidR="00C37789" w:rsidRPr="000322E4">
        <w:instrText>ADDIN CSL_CITATION {"citationItems":[{"id":"ITEM-1","itemData":{"author":[{"dropping-particle":"","family":"Дудина","given":"Г.А.","non-dropping-particle":"","parse-names":false,"suffix":""},{"dropping-particle":"","family":"Пивник","given":"А.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Савченко.","id":"ITEM-1","issued":{"date-parts":[["2018"]]},"page":"126-137","title":"Неходжкинские лимфомы у больных ВИЧ-инфекцией","type":"chapter"},"uris":["http://www.mendeley.com/documents/?uuid=776f7d54-f8fa-4921-a982-b651232ebe49"]}],"mendeley":{"formattedCitation":"[91]","plainTextFormattedCitation":"[91]","previouslyFormattedCitation":"[91]"},"properties":{"noteIndex":0},"schema":"https://github.com/citation-style-language/schema/raw/master/csl-citation.json"}</w:instrText>
      </w:r>
      <w:r w:rsidRPr="000322E4">
        <w:fldChar w:fldCharType="separate"/>
      </w:r>
      <w:r w:rsidR="00C37789" w:rsidRPr="000322E4">
        <w:rPr>
          <w:noProof/>
        </w:rPr>
        <w:t>[91]</w:t>
      </w:r>
      <w:r w:rsidRPr="000322E4">
        <w:fldChar w:fldCharType="end"/>
      </w:r>
      <w:r w:rsidRPr="000322E4">
        <w:t>.</w:t>
      </w:r>
    </w:p>
    <w:p w14:paraId="1A5272EF" w14:textId="77777777" w:rsidR="007726E0" w:rsidRPr="000322E4" w:rsidRDefault="007726E0" w:rsidP="00CA442F">
      <w:pPr>
        <w:pStyle w:val="afffa"/>
      </w:pPr>
      <w:r w:rsidRPr="000322E4">
        <w:t xml:space="preserve">Уровень убедительности рекомендаций – С (уровень </w:t>
      </w:r>
      <w:r w:rsidRPr="000322E4">
        <w:rPr>
          <w:spacing w:val="-1"/>
        </w:rPr>
        <w:t xml:space="preserve">достоверности доказательств </w:t>
      </w:r>
      <w:r w:rsidRPr="000322E4">
        <w:t>– 5).</w:t>
      </w:r>
    </w:p>
    <w:p w14:paraId="680FEB4D" w14:textId="77777777" w:rsidR="007726E0" w:rsidRPr="000322E4" w:rsidRDefault="007726E0" w:rsidP="00C114E4">
      <w:pPr>
        <w:pStyle w:val="a"/>
        <w:spacing w:before="0"/>
        <w:rPr>
          <w:rFonts w:eastAsia="Arial Unicode MS"/>
          <w:color w:val="000000"/>
        </w:rPr>
      </w:pPr>
      <w:r w:rsidRPr="000322E4">
        <w:rPr>
          <w:b/>
        </w:rPr>
        <w:t>Не рекомендуется</w:t>
      </w:r>
      <w:r w:rsidRPr="000322E4">
        <w:t xml:space="preserve"> вводить ритуксимаб** ВИЧ-инфицированным пациентам при количестве CD4-клеток менее 100/мкл </w:t>
      </w:r>
      <w:r w:rsidR="003A0E7E" w:rsidRPr="000322E4">
        <w:t xml:space="preserve">в связи с увеличением количества инфекционных осложнений и высоким риском смерти от них </w:t>
      </w:r>
      <w:r w:rsidRPr="000322E4">
        <w:fldChar w:fldCharType="begin" w:fldLock="1"/>
      </w:r>
      <w:r w:rsidR="00C37789" w:rsidRPr="000322E4">
        <w:instrText>ADDIN CSL_CITATION {"citationItems":[{"id":"ITEM-1","itemData":{"author":[{"dropping-particle":"","family":"Дудина","given":"Г.А.","non-dropping-particle":"","parse-names":false,"suffix":""},{"dropping-particle":"","family":"Пивник","given":"А.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Савченко.","id":"ITEM-1","issued":{"date-parts":[["2018"]]},"page":"126-137","title":"Неходжкинские лимфомы у больных ВИЧ-инфекцией","type":"chapter"},"uris":["http://www.mendeley.com/documents/?uuid=776f7d54-f8fa-4921-a982-b651232ebe49"]}],"mendeley":{"formattedCitation":"[91]","plainTextFormattedCitation":"[91]","previouslyFormattedCitation":"[91]"},"properties":{"noteIndex":0},"schema":"https://github.com/citation-style-language/schema/raw/master/csl-citation.json"}</w:instrText>
      </w:r>
      <w:r w:rsidRPr="000322E4">
        <w:fldChar w:fldCharType="separate"/>
      </w:r>
      <w:r w:rsidR="00C37789" w:rsidRPr="000322E4">
        <w:rPr>
          <w:noProof/>
        </w:rPr>
        <w:t>[91]</w:t>
      </w:r>
      <w:r w:rsidRPr="000322E4">
        <w:fldChar w:fldCharType="end"/>
      </w:r>
      <w:r w:rsidRPr="000322E4">
        <w:t>.</w:t>
      </w:r>
    </w:p>
    <w:p w14:paraId="45C2D6D1" w14:textId="77777777" w:rsidR="007726E0" w:rsidRPr="000322E4" w:rsidRDefault="007726E0" w:rsidP="00CA442F">
      <w:pPr>
        <w:pStyle w:val="afffa"/>
        <w:rPr>
          <w:rFonts w:eastAsia="Arial Unicode MS"/>
          <w:color w:val="000000"/>
        </w:rPr>
      </w:pPr>
      <w:r w:rsidRPr="000322E4">
        <w:t xml:space="preserve">Уровень убедительности рекомендаций – С (уровень </w:t>
      </w:r>
      <w:r w:rsidRPr="000322E4">
        <w:rPr>
          <w:spacing w:val="-1"/>
        </w:rPr>
        <w:t xml:space="preserve">достоверности доказательств </w:t>
      </w:r>
      <w:r w:rsidRPr="000322E4">
        <w:t>– 5).</w:t>
      </w:r>
    </w:p>
    <w:p w14:paraId="5EB7F4B4" w14:textId="77777777" w:rsidR="007726E0" w:rsidRPr="000322E4" w:rsidRDefault="007726E0" w:rsidP="00C114E4">
      <w:pPr>
        <w:pStyle w:val="a"/>
        <w:spacing w:before="0"/>
      </w:pPr>
      <w:r w:rsidRPr="000322E4">
        <w:rPr>
          <w:b/>
        </w:rPr>
        <w:t>Рекомендуется</w:t>
      </w:r>
      <w:r w:rsidRPr="000322E4">
        <w:t xml:space="preserve"> все</w:t>
      </w:r>
      <w:r w:rsidR="003A0E7E" w:rsidRPr="000322E4">
        <w:t>м</w:t>
      </w:r>
      <w:r w:rsidRPr="000322E4">
        <w:t xml:space="preserve"> пациентам с ЛБ обязательная профилактика нейролейкемии путем интратекального введения 3 препаратов (цитарабин** 30 мг, метотрексат** 15 мг, дексаметазон** 4 мг) 1 раз за курс в течение всего периода терапии </w:t>
      </w:r>
      <w:r w:rsidRPr="000322E4">
        <w:fldChar w:fldCharType="begin" w:fldLock="1"/>
      </w:r>
      <w:r w:rsidR="00350858" w:rsidRPr="000322E4">
        <w:instrText>ADDIN CSL_CITATION {"citationItems":[{"id":"ITEM-1","itemData":{"author":[{"dropping-particle":"","family":"Барях","given":"Е.А.","non-dropping-particle":"","parse-names":false,"suffix":""}],"container-title":"Российские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Савченко.","id":"ITEM-1","issued":{"date-parts":[["2018"]]},"page":"80-87","title":"Лимфома Беркитта","type":"chapter"},"uris":["http://www.mendeley.com/documents/?uuid=6c46cd48-7af0-4ac2-8eb1-93f86718c4df"]}],"mendeley":{"formattedCitation":"[2]","plainTextFormattedCitation":"[2]","previouslyFormattedCitation":"[2]"},"properties":{"noteIndex":0},"schema":"https://github.com/citation-style-language/schema/raw/master/csl-citation.json"}</w:instrText>
      </w:r>
      <w:r w:rsidRPr="000322E4">
        <w:fldChar w:fldCharType="separate"/>
      </w:r>
      <w:r w:rsidRPr="000322E4">
        <w:rPr>
          <w:noProof/>
        </w:rPr>
        <w:t>[2]</w:t>
      </w:r>
      <w:r w:rsidRPr="000322E4">
        <w:fldChar w:fldCharType="end"/>
      </w:r>
      <w:r w:rsidRPr="000322E4">
        <w:t xml:space="preserve">. </w:t>
      </w:r>
    </w:p>
    <w:p w14:paraId="523382FE" w14:textId="77777777" w:rsidR="007726E0" w:rsidRPr="000322E4" w:rsidRDefault="007726E0" w:rsidP="00CA442F">
      <w:pPr>
        <w:pStyle w:val="afffa"/>
      </w:pPr>
      <w:r w:rsidRPr="000322E4">
        <w:t xml:space="preserve">Уровень убедительности рекомендаций – С (уровень </w:t>
      </w:r>
      <w:r w:rsidRPr="000322E4">
        <w:rPr>
          <w:spacing w:val="-1"/>
        </w:rPr>
        <w:t xml:space="preserve">достоверности доказательств </w:t>
      </w:r>
      <w:r w:rsidRPr="000322E4">
        <w:t>– 5).</w:t>
      </w:r>
    </w:p>
    <w:p w14:paraId="1D352FCE" w14:textId="77777777" w:rsidR="007726E0" w:rsidRPr="000322E4" w:rsidRDefault="007726E0" w:rsidP="00C114E4">
      <w:pPr>
        <w:ind w:left="709"/>
        <w:contextualSpacing/>
        <w:rPr>
          <w:i/>
        </w:rPr>
      </w:pPr>
      <w:r w:rsidRPr="000322E4">
        <w:rPr>
          <w:b/>
        </w:rPr>
        <w:t>Комментарии:</w:t>
      </w:r>
      <w:r w:rsidRPr="000322E4">
        <w:t xml:space="preserve"> </w:t>
      </w:r>
      <w:r w:rsidRPr="000322E4">
        <w:rPr>
          <w:i/>
          <w:iCs/>
        </w:rPr>
        <w:t xml:space="preserve">лечение нейролейкемии должно выполняться в соответствии со стандартными правилами: спинномозговые пункции с введением цитостатиков выполняют 3 раза в неделю до получения 3 нормальных анализов ликвора связи с увеличением количества инфекционных осложнений и высоким риском смерти от </w:t>
      </w:r>
      <w:r w:rsidRPr="000322E4">
        <w:rPr>
          <w:i/>
          <w:iCs/>
        </w:rPr>
        <w:lastRenderedPageBreak/>
        <w:t xml:space="preserve">них. </w:t>
      </w:r>
      <w:r w:rsidRPr="000322E4">
        <w:rPr>
          <w:bCs/>
          <w:i/>
          <w:iCs/>
        </w:rPr>
        <w:t>Н</w:t>
      </w:r>
      <w:r w:rsidRPr="000322E4">
        <w:rPr>
          <w:i/>
        </w:rPr>
        <w:t>а последующих блоках ХТ (после санации ликвора) люмбальные пункции с интратекальным введением цитостатиков проводят дважды за курс.</w:t>
      </w:r>
    </w:p>
    <w:p w14:paraId="1C77AA09" w14:textId="77777777" w:rsidR="007726E0" w:rsidRPr="000322E4" w:rsidRDefault="007726E0" w:rsidP="00C114E4">
      <w:pPr>
        <w:pStyle w:val="a"/>
        <w:spacing w:before="0"/>
        <w:rPr>
          <w:i/>
        </w:rPr>
      </w:pPr>
      <w:r w:rsidRPr="000322E4">
        <w:rPr>
          <w:b/>
        </w:rPr>
        <w:t>Рекомендуется</w:t>
      </w:r>
      <w:r w:rsidRPr="000322E4">
        <w:t xml:space="preserve"> </w:t>
      </w:r>
      <w:r w:rsidR="003A0E7E" w:rsidRPr="000322E4">
        <w:t xml:space="preserve">всем пациентам с ЛБ </w:t>
      </w:r>
      <w:r w:rsidRPr="000322E4">
        <w:t xml:space="preserve">ауто-ТГСК, которая может являться вариантом терапии при рецидиве, отвечающем на лечение, или во второй ремиссии </w:t>
      </w:r>
      <w:r w:rsidRPr="000322E4">
        <w:fldChar w:fldCharType="begin" w:fldLock="1"/>
      </w:r>
      <w:r w:rsidR="00C37789" w:rsidRPr="000322E4">
        <w:instrText>ADDIN CSL_CITATION {"citationItems":[{"id":"ITEM-1","itemData":{"DOI":"10.1200/JCO.1996.14.9.2465","ISSN":"0732183X","abstract":"PURPOSE: To investigate the results of treatment for adult patients with Burkitt's and Burkitt-like non-Hodgkin's lymphoma (NHL) undergoing high-dose therapy and autologous stem-cell transplantation (ASCT), and to determine prognostic factors for this group. PATIENTS AND METHODS: A retrospective analysis of 117 adult patients reported to the lymphoma registry of the European Group for Blood and Marrow Transplantation (EBMT) between June 1984 and November 1994. Seventy of these patients received high-dose therapy and stem-cell transplantation in first complete remission (CR). Data on all patients were reviewed, and prognostic factors were determined by univariate and multivariate analysis. RESULTS: The actuarial overall survival (OS) rate for the entire group was 53% at 3 years. The major factor predicting for outcome after transplantation was disease status: the 3-year actuarial OS rate was 72% for patients transplanted in first CR, compared with 37% for patients in chemosensitive relapse, and 7% for chemoresistant patients. For patients transplanted in first CR, disease bulk at the time of ASCT was the only factor predictive of progression-free survival (PFS) and OS. CONCLUSION: The results of high-dose therapy and ASCT for patients with relapsed disease, particularly chemosensitive relapse, are superior to those reported for conventional-dose salvage regimens. The results for patients transplanted in first CR require comparison with modern dose-intensive regimens.","author":[{"dropping-particle":"","family":"Sweetenham","given":"J. W.","non-dropping-particle":"","parse-names":false,"suffix":""},{"dropping-particle":"","family":"Pearce","given":"R.","non-dropping-particle":"","parse-names":false,"suffix":""},{"dropping-particle":"","family":"Taghipour","given":"G.","non-dropping-particle":"","parse-names":false,"suffix":""},{"dropping-particle":"","family":"Biaise","given":"D.","non-dropping-particle":"","parse-names":false,"suffix":""},{"dropping-particle":"","family":"Gisselbrecht","given":"C.","non-dropping-particle":"","parse-names":false,"suffix":""},{"dropping-particle":"","family":"Goldstone","given":"A. H.","non-dropping-particle":"","parse-names":false,"suffix":""}],"container-title":"Journal of Clinical Oncology","id":"ITEM-1","issue":"9","issued":{"date-parts":[["1996"]]},"page":"2465-2472","publisher":"American Society of Clinical Oncology","title":"Adult Burkitt's and Burkitt-like non-Hodgkin's lymphoma - Outcome for patients treated with high-dose therapy and autologous stem-cell transplantation in first remission or at relapse: Results from the European group for blood and marrow transplantation","type":"article-journal","volume":"14"},"uris":["http://www.mendeley.com/documents/?uuid=05684feb-eaa2-3a48-a6f5-7e5ff32cb2c2"]}],"mendeley":{"formattedCitation":"[92]","plainTextFormattedCitation":"[92]","previouslyFormattedCitation":"[92]"},"properties":{"noteIndex":0},"schema":"https://github.com/citation-style-language/schema/raw/master/csl-citation.json"}</w:instrText>
      </w:r>
      <w:r w:rsidRPr="000322E4">
        <w:fldChar w:fldCharType="separate"/>
      </w:r>
      <w:r w:rsidR="00C37789" w:rsidRPr="000322E4">
        <w:rPr>
          <w:noProof/>
        </w:rPr>
        <w:t>[92]</w:t>
      </w:r>
      <w:r w:rsidRPr="000322E4">
        <w:fldChar w:fldCharType="end"/>
      </w:r>
      <w:r w:rsidRPr="000322E4">
        <w:t>.</w:t>
      </w:r>
    </w:p>
    <w:p w14:paraId="35C2D796" w14:textId="77777777" w:rsidR="007726E0" w:rsidRPr="000322E4" w:rsidRDefault="007726E0" w:rsidP="00CA442F">
      <w:pPr>
        <w:pStyle w:val="afffa"/>
      </w:pPr>
      <w:r w:rsidRPr="000322E4">
        <w:t xml:space="preserve">Уровень убедительности рекомендаций – С (уровень </w:t>
      </w:r>
      <w:r w:rsidRPr="000322E4">
        <w:rPr>
          <w:spacing w:val="-1"/>
        </w:rPr>
        <w:t xml:space="preserve">достоверности доказательств </w:t>
      </w:r>
      <w:r w:rsidRPr="000322E4">
        <w:t>– 4).</w:t>
      </w:r>
    </w:p>
    <w:p w14:paraId="0ED577CD" w14:textId="77777777" w:rsidR="007726E0" w:rsidRPr="000322E4" w:rsidRDefault="007726E0" w:rsidP="00C114E4">
      <w:pPr>
        <w:contextualSpacing/>
        <w:rPr>
          <w:b/>
        </w:rPr>
      </w:pPr>
      <w:r w:rsidRPr="000322E4">
        <w:rPr>
          <w:b/>
        </w:rPr>
        <w:t>Комментарии:</w:t>
      </w:r>
      <w:r w:rsidRPr="000322E4">
        <w:t xml:space="preserve"> </w:t>
      </w:r>
      <w:r w:rsidRPr="000322E4">
        <w:rPr>
          <w:i/>
        </w:rPr>
        <w:t>большинство рецидивов ЛБ инкурабельны.</w:t>
      </w:r>
    </w:p>
    <w:p w14:paraId="2E61B2F0" w14:textId="77777777" w:rsidR="007726E0" w:rsidRPr="000322E4" w:rsidRDefault="007726E0" w:rsidP="00C114E4">
      <w:pPr>
        <w:pStyle w:val="a"/>
        <w:spacing w:before="0"/>
      </w:pPr>
      <w:r w:rsidRPr="000322E4">
        <w:rPr>
          <w:b/>
        </w:rPr>
        <w:t>Не рекомендуется</w:t>
      </w:r>
      <w:r w:rsidRPr="000322E4">
        <w:t xml:space="preserve"> всем пациентам </w:t>
      </w:r>
      <w:r w:rsidR="003A0E7E" w:rsidRPr="000322E4">
        <w:t xml:space="preserve">с ЛБ </w:t>
      </w:r>
      <w:r w:rsidRPr="000322E4">
        <w:t xml:space="preserve">алло-ТГСК в связи с рисками, обусловленными выполнением трансплантации </w:t>
      </w:r>
      <w:r w:rsidRPr="000322E4">
        <w:fldChar w:fldCharType="begin" w:fldLock="1"/>
      </w:r>
      <w:r w:rsidR="00C37789" w:rsidRPr="000322E4">
        <w:instrText>ADDIN CSL_CITATION {"citationItems":[{"id":"ITEM-1","itemData":{"DOI":"10.1111/j.1365-2141.2005.05755.x","ISSN":"0007-1048","PMID":"16197454","abstract":"Forty-four patients with relapsed or refractory aggressive histology non-Hodgkin lymphoma (NHL) (diffuse large B cell, n = 23; peripheral T cell, n = 5; transformed B cell, n = 16) proceeded to allogeneic stem cell transplant (allo-SCT) between 1987 and 2003. Median age at transplant was 40 years (range 19-56 years). At the time of transplant, 35 were chemosensitive and nine were chemorefractory. Thirty-three patients had matched sibling donors and 11 had unrelated donors. Forty-two patients (95%) received radiation-based conditioning regimens. Event-free survival (EFS) and overall survival (OS) at 5 years was 43% [95% confidence interval (CI): 27-58%] and 48% (95% CI: 32-63%) respectively. Treatment-related mortality was 25% at 1 year. Grade III-IV acute graft-versus-host disease (GVHD) was the only significant variable affecting OS and EFS, and had a negative impact. Chronic GVHD did not influence survival. Lymphoma relapse &lt;12 months after initial therapy predicted for increased risk of relapse post-transplant (P = 0.02). Patients with chemorefractory lymphoma were not at increased risk of relapse (P = 0.20) with four of nine patients remaining alive without disease 12-103 months post-transplant. In conclusion, allo-SCT for relapsed or refractory aggressive histology NHL results in long-term EFS and OS of 40-50%. Patients with chemorefractory disease can have a durable remission post-transplant.","author":[{"dropping-particle":"","family":"Doocey","given":"Richard T","non-dropping-particle":"","parse-names":false,"suffix":""},{"dropping-particle":"","family":"Toze","given":"Cynthia L","non-dropping-particle":"","parse-names":false,"suffix":""},{"dropping-particle":"","family":"Connors","given":"Joseph M","non-dropping-particle":"","parse-names":false,"suffix":""},{"dropping-particle":"","family":"Nevill","given":"Thomas J","non-dropping-particle":"","parse-names":false,"suffix":""},{"dropping-particle":"","family":"Gascoyne","given":"Randy D","non-dropping-particle":"","parse-names":false,"suffix":""},{"dropping-particle":"","family":"Barnett","given":"Michael J","non-dropping-particle":"","parse-names":false,"suffix":""},{"dropping-particle":"","family":"Forrest","given":"Donna L","non-dropping-particle":"","parse-names":false,"suffix":""},{"dropping-particle":"","family":"Hogge","given":"Donna E","non-dropping-particle":"","parse-names":false,"suffix":""},{"dropping-particle":"","family":"Lavoie","given":"Julye C","non-dropping-particle":"","parse-names":false,"suffix":""},{"dropping-particle":"","family":"Nantel","given":"Stephen H","non-dropping-particle":"","parse-names":false,"suffix":""},{"dropping-particle":"","family":"Shepherd","given":"John D","non-dropping-particle":"","parse-names":false,"suffix":""},{"dropping-particle":"","family":"Sutherland","given":"Heather J","non-dropping-particle":"","parse-names":false,"suffix":""},{"dropping-particle":"","family":"Voss","given":"Nicholas J","non-dropping-particle":"","parse-names":false,"suffix":""},{"dropping-particle":"","family":"Smith","given":"Clayton A","non-dropping-particle":"","parse-names":false,"suffix":""},{"dropping-particle":"","family":"Song","given":"Kevin W","non-dropping-particle":"","parse-names":false,"suffix":""}],"container-title":"British journal of haematology","id":"ITEM-1","issue":"2","issued":{"date-parts":[["2005","10"]]},"page":"223-30","title":"Allogeneic haematopoietic stem-cell transplantation for relapsed and refractory aggressive histology non-Hodgkin lymphoma.","type":"article-journal","volume":"131"},"uris":["http://www.mendeley.com/documents/?uuid=e5ac2f06-26b6-3c9e-8f68-23443d3b456f"]}],"mendeley":{"formattedCitation":"[93]","plainTextFormattedCitation":"[93]","previouslyFormattedCitation":"[93]"},"properties":{"noteIndex":0},"schema":"https://github.com/citation-style-language/schema/raw/master/csl-citation.json"}</w:instrText>
      </w:r>
      <w:r w:rsidRPr="000322E4">
        <w:fldChar w:fldCharType="separate"/>
      </w:r>
      <w:r w:rsidR="00C37789" w:rsidRPr="000322E4">
        <w:rPr>
          <w:noProof/>
        </w:rPr>
        <w:t>[93]</w:t>
      </w:r>
      <w:r w:rsidRPr="000322E4">
        <w:fldChar w:fldCharType="end"/>
      </w:r>
      <w:r w:rsidRPr="000322E4">
        <w:t>.</w:t>
      </w:r>
    </w:p>
    <w:p w14:paraId="751A7541" w14:textId="77777777" w:rsidR="007726E0" w:rsidRPr="000322E4" w:rsidRDefault="007726E0" w:rsidP="00CA442F">
      <w:pPr>
        <w:pStyle w:val="afffa"/>
      </w:pPr>
      <w:r w:rsidRPr="000322E4">
        <w:t>Уровень убедительности рекомендаций – С (уровень достоверности доказательств – 4).</w:t>
      </w:r>
    </w:p>
    <w:p w14:paraId="1311372D" w14:textId="77777777" w:rsidR="00AE77FF" w:rsidRPr="000322E4" w:rsidRDefault="00AE77FF" w:rsidP="00C114E4">
      <w:pPr>
        <w:pStyle w:val="2"/>
        <w:spacing w:before="0"/>
        <w:contextualSpacing/>
      </w:pPr>
      <w:bookmarkStart w:id="42" w:name="_Toc66096828"/>
      <w:r w:rsidRPr="000322E4">
        <w:t>3.</w:t>
      </w:r>
      <w:r w:rsidR="007726E0" w:rsidRPr="000322E4">
        <w:t>6</w:t>
      </w:r>
      <w:r w:rsidRPr="000322E4">
        <w:t xml:space="preserve"> Лечение рецидивов </w:t>
      </w:r>
      <w:r w:rsidR="007726E0" w:rsidRPr="000322E4">
        <w:t>агрессивных нефолликулярных В-клеточных лимфом</w:t>
      </w:r>
      <w:bookmarkEnd w:id="42"/>
    </w:p>
    <w:p w14:paraId="167E76DE" w14:textId="77777777" w:rsidR="00E26065" w:rsidRPr="000322E4" w:rsidRDefault="00E26065" w:rsidP="00C114E4">
      <w:pPr>
        <w:pStyle w:val="afff8"/>
        <w:spacing w:before="0"/>
      </w:pPr>
      <w:r w:rsidRPr="000322E4">
        <w:t xml:space="preserve">Пациентам с рецидивами/рефрактерными формами ДВКЛ моложе 65 лет без значимой коморбидности </w:t>
      </w:r>
      <w:r w:rsidRPr="000322E4">
        <w:rPr>
          <w:b/>
        </w:rPr>
        <w:t xml:space="preserve">рекомендовано </w:t>
      </w:r>
      <w:r w:rsidRPr="000322E4">
        <w:rPr>
          <w:szCs w:val="24"/>
          <w:lang w:eastAsia="ru-RU"/>
        </w:rPr>
        <w:t xml:space="preserve">проведение </w:t>
      </w:r>
      <w:r w:rsidR="00140246" w:rsidRPr="000322E4">
        <w:rPr>
          <w:szCs w:val="24"/>
          <w:lang w:eastAsia="ru-RU"/>
        </w:rPr>
        <w:t>интенсивных рецидивов противорецидивной терапии по одной из следующих схем</w:t>
      </w:r>
      <w:r w:rsidR="00A33C04" w:rsidRPr="000322E4">
        <w:t>:</w:t>
      </w:r>
    </w:p>
    <w:p w14:paraId="0CA2DAFF" w14:textId="77777777" w:rsidR="00A33C04" w:rsidRPr="000322E4" w:rsidRDefault="00A33C04" w:rsidP="00F414BF">
      <w:pPr>
        <w:pStyle w:val="afe"/>
        <w:numPr>
          <w:ilvl w:val="1"/>
          <w:numId w:val="9"/>
        </w:numPr>
      </w:pPr>
      <w:r w:rsidRPr="000322E4">
        <w:rPr>
          <w:lang w:val="en-US"/>
        </w:rPr>
        <w:t>DHAP</w:t>
      </w:r>
      <w:r w:rsidR="00496F35" w:rsidRPr="000322E4">
        <w:rPr>
          <w:lang w:val="en-US"/>
        </w:rPr>
        <w:t xml:space="preserve"> </w:t>
      </w:r>
      <w:r w:rsidR="00496F35" w:rsidRPr="000322E4">
        <w:rPr>
          <w:lang w:val="en-US"/>
        </w:rPr>
        <w:fldChar w:fldCharType="begin" w:fldLock="1"/>
      </w:r>
      <w:r w:rsidR="00C37789" w:rsidRPr="000322E4">
        <w:rPr>
          <w:lang w:val="en-US"/>
        </w:rPr>
        <w:instrText>ADDIN CSL_CITATION {"citationItems":[{"id":"ITEM-1","itemData":{"id":"ITEM-1","issued":{"date-parts":[["2015"]]},"title":"Guidelines for the management of non-­-Hodgkin's and Hodgkin's lymphoma in adults","type":"report"},"uris":["http://www.mendeley.com/documents/?uuid=a380ec17-d736-3ac7-b3e2-610474fcc0a2"]}],"mendeley":{"formattedCitation":"[94]","plainTextFormattedCitation":"[94]","previouslyFormattedCitation":"[94]"},"properties":{"noteIndex":0},"schema":"https://github.com/citation-style-language/schema/raw/master/csl-citation.json"}</w:instrText>
      </w:r>
      <w:r w:rsidR="00496F35" w:rsidRPr="000322E4">
        <w:rPr>
          <w:lang w:val="en-US"/>
        </w:rPr>
        <w:fldChar w:fldCharType="separate"/>
      </w:r>
      <w:r w:rsidR="00C37789" w:rsidRPr="000322E4">
        <w:rPr>
          <w:noProof/>
          <w:lang w:val="en-US"/>
        </w:rPr>
        <w:t>[94]</w:t>
      </w:r>
      <w:r w:rsidR="00496F35" w:rsidRPr="000322E4">
        <w:rPr>
          <w:lang w:val="en-US"/>
        </w:rPr>
        <w:fldChar w:fldCharType="end"/>
      </w:r>
    </w:p>
    <w:p w14:paraId="5EB832E4" w14:textId="77777777" w:rsidR="00A33C04" w:rsidRPr="000322E4" w:rsidRDefault="00A33C04" w:rsidP="00F414BF">
      <w:pPr>
        <w:pStyle w:val="afe"/>
        <w:numPr>
          <w:ilvl w:val="1"/>
          <w:numId w:val="9"/>
        </w:numPr>
      </w:pPr>
      <w:r w:rsidRPr="000322E4">
        <w:rPr>
          <w:lang w:val="en-US"/>
        </w:rPr>
        <w:t>ESHAP</w:t>
      </w:r>
      <w:r w:rsidR="00496F35" w:rsidRPr="000322E4">
        <w:rPr>
          <w:lang w:val="en-US"/>
        </w:rPr>
        <w:t xml:space="preserve"> </w:t>
      </w:r>
      <w:r w:rsidR="00496F35" w:rsidRPr="000322E4">
        <w:rPr>
          <w:lang w:val="en-US"/>
        </w:rPr>
        <w:fldChar w:fldCharType="begin" w:fldLock="1"/>
      </w:r>
      <w:r w:rsidR="00C37789" w:rsidRPr="000322E4">
        <w:rPr>
          <w:lang w:val="en-US"/>
        </w:rPr>
        <w:instrText>ADDIN CSL_CITATION {"citationItems":[{"id":"ITEM-1","itemData":{"DOI":"10.1200/JCO.1994.12.6.1169","ISSN":"0732183X","abstract":"Purpose: This study attempted to determine the efficacy of the combination of etoposide (VP-16), methylprednisolone, and cytarabine (Ara-C) with or without cisplatin in relapsing and refractory adult lymphoma patients. Patients and Methods: The first 63 patients were randomized to receive VP-16 40 mg/m2/d for 4 days, methylprednisolone 500 mg intravenously daily for 5 days, and Ara-C 2 g/m2 intravenously over 2 to 3 hours on day 5 with or without cisplatin 25 mg/m2 IV administered by 24-hour infusion for 4 days (ESHA ± P). Markedly different responses between ESHA (33%) and ESHAP (75%) led to deletion of the ESHA arm. A total of 122 patients on the ESHAP regimen were studied. Results: Forty-five patients (37%) attained a complete remission (CR) and 33 (27%) attained a partial remission (PR), for a total response rate of 64%. The median duration of CR was 20 months, with 28% of remitters still in CR at 3 years. The overall median survival duration was 14 months; the survival rate at 3 years was 31%. Overall time to treatment failure (TTF) showed 10% of all patients to be alive and disease-free at 40 months. Response and survival rates were similar in patients with low-grade (n = 34), intermediate-grade (n = 67), transformed (n = 18), and high-grade (n = 3) lymphoma. The most significant factors for response and survival by multivariate analysis were the serum lactic dehydrogenase (LDH) level, tumor burden, and age (when analyzed as a continuous variable), while prior CR was highly significant by univariate analysis. A significant difference in survival was noted for patients with normal LDH levels and low- or intermediate-tumor burden or patients with low tumor burden and elevated LDH levels (55% 3-year survival rate) versus patients with elevated LDH levels and intermediate or high tumor burden (&lt; 20%). Major toxicities included myelosuppression, with a median granulocyte count of 500/μL and platelet count of 70,000/μL. Conclusion: ESHAP was found to be an active, tolerable chemotherapy regimen for relapsing and refractory lymphoma. Applying a prognostic model based on tumor burden and serum LDH level shows significant differences in survival in this patient population.","author":[{"dropping-particle":"","family":"Velasquez","given":"W. S.","non-dropping-particle":"","parse-names":false,"suffix":""},{"dropping-particle":"","family":"McLaughlin","given":"P.","non-dropping-particle":"","parse-names":false,"suffix":""},{"dropping-particle":"","family":"Tucker","given":"S.","non-dropping-particle":"","parse-names":false,"suffix":""},{"dropping-particle":"","family":"Hagemeister","given":"F. B.","non-dropping-particle":"","parse-names":false,"suffix":""},{"dropping-particle":"","family":"Swan","given":"F.","non-dropping-particle":"","parse-names":false,"suffix":""},{"dropping-particle":"","family":"Rodriguez","given":"M. A.","non-dropping-particle":"","parse-names":false,"suffix":""},{"dropping-particle":"","family":"Romaguera","given":"J.","non-dropping-particle":"","parse-names":false,"suffix":""},{"dropping-particle":"","family":"Rubenstein","given":"E.","non-dropping-particle":"","parse-names":false,"suffix":""},{"dropping-particle":"","family":"Cabanillas","given":"F.","non-dropping-particle":"","parse-names":false,"suffix":""}],"container-title":"Journal of Clinical Oncology","id":"ITEM-1","issue":"6","issued":{"date-parts":[["1994","6"]]},"page":"1169-1176","publisher":"American Society of Clinical Oncology","title":"ESHAP - An effective chemotherapy regimen in refractory and relapsing lymphoma: A 4-year follow-up study","type":"article-journal","volume":"12"},"uris":["http://www.mendeley.com/documents/?uuid=58c7db38-48ed-4e7d-873e-d735e5fdcf22"]}],"mendeley":{"formattedCitation":"[95]","plainTextFormattedCitation":"[95]","previouslyFormattedCitation":"[95]"},"properties":{"noteIndex":0},"schema":"https://github.com/citation-style-language/schema/raw/master/csl-citation.json"}</w:instrText>
      </w:r>
      <w:r w:rsidR="00496F35" w:rsidRPr="000322E4">
        <w:rPr>
          <w:lang w:val="en-US"/>
        </w:rPr>
        <w:fldChar w:fldCharType="separate"/>
      </w:r>
      <w:r w:rsidR="00C37789" w:rsidRPr="000322E4">
        <w:rPr>
          <w:noProof/>
          <w:lang w:val="en-US"/>
        </w:rPr>
        <w:t>[95]</w:t>
      </w:r>
      <w:r w:rsidR="00496F35" w:rsidRPr="000322E4">
        <w:rPr>
          <w:lang w:val="en-US"/>
        </w:rPr>
        <w:fldChar w:fldCharType="end"/>
      </w:r>
    </w:p>
    <w:p w14:paraId="5B852EE4" w14:textId="77777777" w:rsidR="00A33C04" w:rsidRPr="000322E4" w:rsidRDefault="00A33C04" w:rsidP="00F414BF">
      <w:pPr>
        <w:pStyle w:val="afe"/>
        <w:numPr>
          <w:ilvl w:val="1"/>
          <w:numId w:val="9"/>
        </w:numPr>
      </w:pPr>
      <w:r w:rsidRPr="000322E4">
        <w:rPr>
          <w:lang w:val="en-US"/>
        </w:rPr>
        <w:t>ICE</w:t>
      </w:r>
      <w:r w:rsidR="00496F35" w:rsidRPr="000322E4">
        <w:rPr>
          <w:lang w:val="en-US"/>
        </w:rPr>
        <w:t xml:space="preserve"> </w:t>
      </w:r>
      <w:r w:rsidR="00496F35" w:rsidRPr="000322E4">
        <w:rPr>
          <w:lang w:val="en-US"/>
        </w:rPr>
        <w:fldChar w:fldCharType="begin" w:fldLock="1"/>
      </w:r>
      <w:r w:rsidR="00C37789" w:rsidRPr="000322E4">
        <w:rPr>
          <w:lang w:val="en-US"/>
        </w:rPr>
        <w:instrText>ADDIN CSL_CITATION {"citationItems":[{"id":"ITEM-1","itemData":{"DOI":"10.1093/annonc/mdg702","ISSN":"09237534","PMID":"12736224","abstract":"Despite advances in the management of aggressive non-Hodgkin's lymphoma, the treatment of relapsed and primary refractory disease remains a major challenge. High-dose chemotherapy or radio-chemotherapy followed by autologous or allogeneic stem cell transplantation (SCT) is a potentially curative treatment approach; however, the applicability of this approach is restricted to patients responding to second-line chemotherapy. Thus, second-line therapy must be both efficacious and without stem cell or organ toxicity that would compromise the ability to proceed to SCT. The ifosfamide, carboplatin and etoposide (ICE) regimen was developed to address these challenges. In a series of prospective clinical trials, 222 patients were treated with the ICE regimen, with an overall response rate of 72%. The mobilization of stem cells with this regimen was excellent, with 86% of patients mobilizing at least 2.0 × 106 CD34+ cells/kg. The incidence of treatment-related toxicity precluding SCT after ICE is very low. Herein, we report the clinical results of this treatment program for 222 patients with 5-year median follow-up for surviving patients. Rituximab was subsequently added to the ICE regimen for patients with diffuse large B-cell lymphoma (DLBCL) to improve upon these favorable results. This resulted in an increased complete remission rate. Additional follow-up is necessary to determine if this improvement in the complete remission rate will confer an increase in the overall survival following SCT.","author":[{"dropping-particle":"","family":"Zelenetz","given":"A. D.","non-dropping-particle":"","parse-names":false,"suffix":""},{"dropping-particle":"","family":"Hamlin","given":"P.","non-dropping-particle":"","parse-names":false,"suffix":""},{"dropping-particle":"","family":"Kewalramani","given":"T.","non-dropping-particle":"","parse-names":false,"suffix":""},{"dropping-particle":"","family":"Yahalom","given":"J.","non-dropping-particle":"","parse-names":false,"suffix":""},{"dropping-particle":"","family":"Nimer","given":"S.","non-dropping-particle":"","parse-names":false,"suffix":""},{"dropping-particle":"","family":"Moskowitz","given":"C. H.","non-dropping-particle":"","parse-names":false,"suffix":""}],"container-title":"Annals of Oncology","id":"ITEM-1","issue":"SUPPL. 1","issued":{"date-parts":[["2003"]]},"title":"Ifosfamide, carboplatin, etoposide (ICE)-based second-line chemotherapy for the management of relapsed and refractory aggressive non-Hodgkin's lymphoma","type":"article-journal","volume":"14"},"uris":["http://www.mendeley.com/documents/?uuid=81f1024b-4652-3404-9c8e-9f2c8255711f"]}],"mendeley":{"formattedCitation":"[96]","plainTextFormattedCitation":"[96]","previouslyFormattedCitation":"[96]"},"properties":{"noteIndex":0},"schema":"https://github.com/citation-style-language/schema/raw/master/csl-citation.json"}</w:instrText>
      </w:r>
      <w:r w:rsidR="00496F35" w:rsidRPr="000322E4">
        <w:rPr>
          <w:lang w:val="en-US"/>
        </w:rPr>
        <w:fldChar w:fldCharType="separate"/>
      </w:r>
      <w:r w:rsidR="00C37789" w:rsidRPr="000322E4">
        <w:rPr>
          <w:noProof/>
          <w:lang w:val="en-US"/>
        </w:rPr>
        <w:t>[96]</w:t>
      </w:r>
      <w:r w:rsidR="00496F35" w:rsidRPr="000322E4">
        <w:rPr>
          <w:lang w:val="en-US"/>
        </w:rPr>
        <w:fldChar w:fldCharType="end"/>
      </w:r>
    </w:p>
    <w:p w14:paraId="1F64C768" w14:textId="77777777" w:rsidR="00A33C04" w:rsidRPr="000322E4" w:rsidRDefault="00A33C04" w:rsidP="00F414BF">
      <w:pPr>
        <w:pStyle w:val="afe"/>
        <w:numPr>
          <w:ilvl w:val="1"/>
          <w:numId w:val="9"/>
        </w:numPr>
      </w:pPr>
      <w:r w:rsidRPr="000322E4">
        <w:rPr>
          <w:lang w:val="en-US"/>
        </w:rPr>
        <w:t>GDP</w:t>
      </w:r>
      <w:r w:rsidR="00496F35" w:rsidRPr="000322E4">
        <w:rPr>
          <w:lang w:val="en-US"/>
        </w:rPr>
        <w:t xml:space="preserve"> </w:t>
      </w:r>
      <w:r w:rsidR="00496F35" w:rsidRPr="000322E4">
        <w:rPr>
          <w:lang w:val="en-US"/>
        </w:rPr>
        <w:fldChar w:fldCharType="begin" w:fldLock="1"/>
      </w:r>
      <w:r w:rsidR="00C37789" w:rsidRPr="000322E4">
        <w:rPr>
          <w:lang w:val="en-US"/>
        </w:rPr>
        <w:instrText>ADDIN CSL_CITATION {"citationItems":[{"id":"ITEM-1","itemData":{"DOI":"10.1002/cncr.20587","ISSN":"0008543X","abstract":"BACKGROUND. Gemcitabine has been shown to have activity as a single agent in lymphoma and, when combined with cisplatin, is effective therapy for a number of solid tumors. The authors wished to determine the response rate and toxicity of gemcitabine, dexamethasone, and cisplatin for recurrent or refractory non-Hodgkin lymphoma (NHL). METHODS. Patients with recurrent or refractory diffuse large B-cell NHL or variants (REAL classification), measurable disease, and one previous chemotherapy regimen were eligible. Treatment consisted of gemcitabine 1000 mg/m2 intravenously (i.v.) on Days 1 and 8, dexamethasone 40 mg orally on Days 1-4, and cisplatin 75 mg/m2 i.v. on Day 1 (GDP), every 21 days as an outpatient. The primary end point was a response after two cycles. Patients could then proceed to stem cell transplantation (SCT) or receive up to six treatment cycles. RESULTS. Fifty-one eligible patients were evaluable for toxicity and response. The median age of the patients was 57 years (range, 18-84 years) and most had diffuse large-cell lymphoma. After 2 cycles, there were 8 complete responses (CR; 16%) and 17 partial responses (PR; 33%). There was an overall response rate (RR) of 49% (95% confidence interval = 37-63%). The RR afer completion of all protocol chemotherapy (including those who received &gt; 2 cycles of GDP) was 53% (11 CR, 16 PR). Grade 3 and 4 neutropenia occurred in 33% and 39% of patients, respectively. Grade 3 and 4 thrombocytopenia occurred in 24% and 4% of patients, respectively. Seven patients (14%) experienced febrile neutropenia. Of the 35 patients &lt; 66 years, 22 (63%) proceeded to SCT. CONCLUSIONS. GDP is an active regimen in B-cell NHL and can be administered with acceptable toxicity to outpatients. A Phase III trial comparing GDP with standard cisplatin-based chemotherapy is now ongoing through the National Cancer Institute of Canada Clinical Trials Group. © 2004 American Cancer Society.","author":[{"dropping-particle":"","family":"Crump","given":"Michael","non-dropping-particle":"","parse-names":false,"suffix":""},{"dropping-particle":"","family":"Baetz","given":"Tara","non-dropping-particle":"","parse-names":false,"suffix":""},{"dropping-particle":"","family":"Couban","given":"Stephen","non-dropping-particle":"","parse-names":false,"suffix":""},{"dropping-particle":"","family":"Belch","given":"Andrew","non-dropping-particle":"","parse-names":false,"suffix":""},{"dropping-particle":"","family":"Marcellus","given":"Deborah","non-dropping-particle":"","parse-names":false,"suffix":""},{"dropping-particle":"","family":"Howson-Jan","given":"Kang","non-dropping-particle":"","parse-names":false,"suffix":""},{"dropping-particle":"","family":"Imrie","given":"Kevin","non-dropping-particle":"","parse-names":false,"suffix":""},{"dropping-particle":"","family":"Myers","given":"Robert","non-dropping-particle":"","parse-names":false,"suffix":""},{"dropping-particle":"","family":"Adams","given":"Grenfell","non-dropping-particle":"","parse-names":false,"suffix":""},{"dropping-particle":"","family":"Ding","given":"Keyue","non-dropping-particle":"","parse-names":false,"suffix":""},{"dropping-particle":"","family":"Paul","given":"Nancy","non-dropping-particle":"","parse-names":false,"suffix":""},{"dropping-particle":"","family":"Shepherd","given":"Lois","non-dropping-particle":"","parse-names":false,"suffix":""},{"dropping-particle":"","family":"Iglesias","given":"Jose","non-dropping-particle":"","parse-names":false,"suffix":""},{"dropping-particle":"","family":"Meyer","given":"Ralph","non-dropping-particle":"","parse-names":false,"suffix":""}],"container-title":"Cancer","id":"ITEM-1","issue":"8","issued":{"date-parts":[["2004","10","15"]]},"page":"1835-1842","title":"Gemcitabine, dexamethasone, and cisplatin in patients with recurrent or refractory aggressive histology B-cell non-Hodgkin lymphoma: A phase II study by the National Cancer Institute of Canada Clinical Trials Group (NCIC-CTG)","type":"article-journal","volume":"101"},"uris":["http://www.mendeley.com/documents/?uuid=c4263650-1307-3d44-8329-df1ffbf659e1"]}],"mendeley":{"formattedCitation":"[97]","plainTextFormattedCitation":"[97]","previouslyFormattedCitation":"[97]"},"properties":{"noteIndex":0},"schema":"https://github.com/citation-style-language/schema/raw/master/csl-citation.json"}</w:instrText>
      </w:r>
      <w:r w:rsidR="00496F35" w:rsidRPr="000322E4">
        <w:rPr>
          <w:lang w:val="en-US"/>
        </w:rPr>
        <w:fldChar w:fldCharType="separate"/>
      </w:r>
      <w:r w:rsidR="00C37789" w:rsidRPr="000322E4">
        <w:rPr>
          <w:noProof/>
          <w:lang w:val="en-US"/>
        </w:rPr>
        <w:t>[97]</w:t>
      </w:r>
      <w:r w:rsidR="00496F35" w:rsidRPr="000322E4">
        <w:rPr>
          <w:lang w:val="en-US"/>
        </w:rPr>
        <w:fldChar w:fldCharType="end"/>
      </w:r>
    </w:p>
    <w:p w14:paraId="7842ADCE" w14:textId="77777777" w:rsidR="00A33C04" w:rsidRPr="000322E4" w:rsidRDefault="00A33C04" w:rsidP="00F414BF">
      <w:pPr>
        <w:pStyle w:val="afe"/>
        <w:numPr>
          <w:ilvl w:val="1"/>
          <w:numId w:val="9"/>
        </w:numPr>
      </w:pPr>
      <w:r w:rsidRPr="000322E4">
        <w:rPr>
          <w:lang w:val="en-US"/>
        </w:rPr>
        <w:t>GemOx</w:t>
      </w:r>
      <w:r w:rsidR="00496F35" w:rsidRPr="000322E4">
        <w:rPr>
          <w:lang w:val="en-US"/>
        </w:rPr>
        <w:t xml:space="preserve"> </w:t>
      </w:r>
      <w:r w:rsidR="00496F35" w:rsidRPr="000322E4">
        <w:rPr>
          <w:lang w:val="en-US"/>
        </w:rPr>
        <w:fldChar w:fldCharType="begin" w:fldLock="1"/>
      </w:r>
      <w:r w:rsidR="00C37789" w:rsidRPr="000322E4">
        <w:rPr>
          <w:lang w:val="en-US"/>
        </w:rPr>
        <w:instrText>ADDIN CSL_CITATION {"citationItems":[{"id":"ITEM-1","itemData":{"DOI":"10.1007/s00280-009-0941-9","ISSN":"03445704","PMID":"19219604","abstract":"PURPOSE To determine the efficacy and safety of the combination of gemcitabine plus oxaliplatin, with and without rituximab, in patients with relapsed/refractory B-cell lymphoma unsuitable for high dose therapy. METHODS Patients were prospectively enrolled in two subsequent trials, GEMOX [gemcitabine (1200 mg/m(2), days 1 and 8) and oxaliplatin (120 mg/m(2), day 2), three-weekly] and R-GEMOX [rituximab (375 mg/m(2), day 1), gemcitabine (1200 mg/m(2), day 1) and oxaliplatin (120 mg/m(2), day 2), bi-weekly], up to six courses. RESULTS Sixty-two patients were enrolled: GEMOX [n = 30; median age, 66 years (range, 46-85); previous chemotherapy &gt; or =2, 70%; PS ECOG &gt; or = 2, 57%]; R-GEMOX [n = 32; median age, 65 years (range 32-79); previous chemotherapy &gt; or =2, 75%; PS ECOG &gt; or = 2, 47%]. Overall and complete response rates were 57 and 30% (95% CI, 15-49) for GEMOX and 78 and 50% (95% CI, 32-68) in R-GEMOX, respectively. Grade 3/4 neutropenia occurred in 57 and 47% of cycles and grade 3/4 thrombocytopenia in 26 and 17% of courses for GEMOX and R-GEMOX, respectively. At 42 months, the failure-free survival (FFS) was 7% (95% CI, 0-16) for GEMOX and 28% (95% CI, 9-47) for R-GEMOX (P = 0.014), with overall survivals of 7 (95% CI, 0-16) and 37% (95% CI, 20-55), respectively (P = 0.016). CONCLUSIONS Both regimes showed good tolerability and appealing response rates. FFS was more prolonged in R-GEMOX, but patients continuously relapsed without a clear plateau on survival curves.","author":[{"dropping-particle":"","family":"Corazzelli","given":"Gaetano","non-dropping-particle":"","parse-names":false,"suffix":""},{"dropping-particle":"","family":"Capobianco","given":"Gaetana","non-dropping-particle":"","parse-names":false,"suffix":""},{"dropping-particle":"","family":"Arcamone","given":"Manuela","non-dropping-particle":"","parse-names":false,"suffix":""},{"dropping-particle":"","family":"Ballerini","given":"Pier Ferruccio","non-dropping-particle":"","parse-names":false,"suffix":""},{"dropping-particle":"","family":"Iannitto","given":"Emilio","non-dropping-particle":"","parse-names":false,"suffix":""},{"dropping-particle":"","family":"Russo","given":"Filippo","non-dropping-particle":"","parse-names":false,"suffix":""},{"dropping-particle":"","family":"Frigeri","given":"Ferdinando","non-dropping-particle":"","parse-names":false,"suffix":""},{"dropping-particle":"","family":"Becchimanzi","given":"Cristina","non-dropping-particle":"","parse-names":false,"suffix":""},{"dropping-particle":"","family":"Marcacci","given":"Gianpaolo","non-dropping-particle":"","parse-names":false,"suffix":""},{"dropping-particle":"","family":"Chiara","given":"Annarosaria","non-dropping-particle":"De","parse-names":false,"suffix":""},{"dropping-particle":"","family":"Pinto","given":"Antonio","non-dropping-particle":"","parse-names":false,"suffix":""}],"container-title":"Cancer chemotherapy and pharmacology","id":"ITEM-1","issue":"5","issued":{"date-parts":[["2009","10"]]},"page":"907-16","title":"Long-term results of gemcitabine plus oxaliplatin with and without rituximab as salvage treatment for transplant-ineligible patients with refractory/relapsing B-cell lymphoma.","type":"article-journal","volume":"64"},"uris":["http://www.mendeley.com/documents/?uuid=94d56952-9f06-4fc1-a65e-4bfb5f2841d6"]}],"mendeley":{"formattedCitation":"[98]","plainTextFormattedCitation":"[98]","previouslyFormattedCitation":"[98]"},"properties":{"noteIndex":0},"schema":"https://github.com/citation-style-language/schema/raw/master/csl-citation.json"}</w:instrText>
      </w:r>
      <w:r w:rsidR="00496F35" w:rsidRPr="000322E4">
        <w:rPr>
          <w:lang w:val="en-US"/>
        </w:rPr>
        <w:fldChar w:fldCharType="separate"/>
      </w:r>
      <w:r w:rsidR="00C37789" w:rsidRPr="000322E4">
        <w:rPr>
          <w:noProof/>
          <w:lang w:val="en-US"/>
        </w:rPr>
        <w:t>[98]</w:t>
      </w:r>
      <w:r w:rsidR="00496F35" w:rsidRPr="000322E4">
        <w:rPr>
          <w:lang w:val="en-US"/>
        </w:rPr>
        <w:fldChar w:fldCharType="end"/>
      </w:r>
    </w:p>
    <w:p w14:paraId="3112AD8D" w14:textId="77777777" w:rsidR="00A33C04" w:rsidRPr="000322E4" w:rsidRDefault="00A33C04" w:rsidP="00F414BF">
      <w:pPr>
        <w:pStyle w:val="afe"/>
        <w:numPr>
          <w:ilvl w:val="1"/>
          <w:numId w:val="9"/>
        </w:numPr>
      </w:pPr>
      <w:r w:rsidRPr="000322E4">
        <w:rPr>
          <w:lang w:val="en-US"/>
        </w:rPr>
        <w:t>DHAX</w:t>
      </w:r>
      <w:r w:rsidR="00F414BF" w:rsidRPr="000322E4">
        <w:t xml:space="preserve"> </w:t>
      </w:r>
      <w:r w:rsidR="00F414BF" w:rsidRPr="000322E4">
        <w:rPr>
          <w:lang w:val="en-US"/>
        </w:rPr>
        <w:fldChar w:fldCharType="begin" w:fldLock="1"/>
      </w:r>
      <w:r w:rsidR="00C37789" w:rsidRPr="000322E4">
        <w:rPr>
          <w:lang w:val="en-US"/>
        </w:rPr>
        <w:instrText>ADDIN CSL_CITATION {"citationItems":[{"id":"ITEM-1","itemData":{"DOI":"10.1046/j.1365-2141.2001.03181.x","ISSN":"00071048","abstract":"This study was designed to assess the efficacy and safety of substituting cisplatin with oxaliplatin in the DHAP (dexamethasone, cytarabine and cisplatin) regimen for patients with relapsed or refractory non-Hodgkin's lymphoma. Twenty-four evaluable patients with intermediate or high-grade non-Hodgkin's lymphoma were treated at 3-weekly intervals with oxaliplatin (130 mg/m2, d 1), cytarabine (2 g/m2 for two doses, d 2) and dexamethasone (40 mg, d 1-4). The median age of the patients was 58 (range 18-70). Histological subtypes were diffuse large B cell, 20; mantle cell, two; anaplastic large cell, one; and peripheral T cell, one. The overall objective response rate (RR) was 50% [95% confidence interval (CI) = 29-71%] including four complete responses and eight partial responses. RR for those patients treated at first relapse was higher than those treated at second and subsequent relapse (77% versus 29%). Grade 3 and 4 toxicity was mainly haematological: anaemia 17%, neutropenia 75% and thrombocytopenia 75%. No grade 4 non-haematological toxicity was reported. No significant renal and neurotoxicity was demonstrated. Median survival was 10.6 months. Probabilities of 1-year progression-free survival and overall survival were 47% (95% CI = 26-66%) and 50% (95% CI = 23-72%) respectively. In conclusion, dexamethasone, cytarabine and oxaliplatin (DHAX) is a novel combination in salvage therapy for relapsed or refractory non-Hodgkin's lymphoma. It has clinically significant activity with an acceptable toxicity profile. Lack of renal toxicity makes DHAX an attractive cytoreductive regimen before high-dose chemotherapy.","author":[{"dropping-particle":"","family":"Chau","given":"Ian","non-dropping-particle":"","parse-names":false,"suffix":""},{"dropping-particle":"","family":"Webb","given":"Andrew","non-dropping-particle":"","parse-names":false,"suffix":""},{"dropping-particle":"","family":"Cunningham","given":"David","non-dropping-particle":"","parse-names":false,"suffix":""},{"dropping-particle":"","family":"Hill","given":"Mark","non-dropping-particle":"","parse-names":false,"suffix":""},{"dropping-particle":"","family":"Rao","given":"Sheela","non-dropping-particle":"","parse-names":false,"suffix":""},{"dropping-particle":"","family":"Ageli","given":"Suad","non-dropping-particle":"","parse-names":false,"suffix":""},{"dropping-particle":"","family":"Norman","given":"Andrew","non-dropping-particle":"","parse-names":false,"suffix":""},{"dropping-particle":"","family":"Gill","given":"Kairen","non-dropping-particle":"","parse-names":false,"suffix":""},{"dropping-particle":"","family":"Howard","given":"Anne","non-dropping-particle":"","parse-names":false,"suffix":""},{"dropping-particle":"","family":"Catovsky","given":"Daniel","non-dropping-particle":"","parse-names":false,"suffix":""}],"container-title":"British Journal of Haematology","id":"ITEM-1","issue":"4","issued":{"date-parts":[["2001","12"]]},"page":"786-792","title":"An oxaliplatin-based chemotherapy in patients with relapsed or refractory intermediate and high-grade non-Hodgkin's lymphoma","type":"article-journal","volume":"115"},"uris":["http://www.mendeley.com/documents/?uuid=f4c05131-9586-3f40-ad46-6e84e6b61c46"]}],"mendeley":{"formattedCitation":"[99]","plainTextFormattedCitation":"[99]","previouslyFormattedCitation":"[99]"},"properties":{"noteIndex":0},"schema":"https://github.com/citation-style-language/schema/raw/master/csl-citation.json"}</w:instrText>
      </w:r>
      <w:r w:rsidR="00F414BF" w:rsidRPr="000322E4">
        <w:rPr>
          <w:lang w:val="en-US"/>
        </w:rPr>
        <w:fldChar w:fldCharType="separate"/>
      </w:r>
      <w:r w:rsidR="00C37789" w:rsidRPr="000322E4">
        <w:rPr>
          <w:noProof/>
        </w:rPr>
        <w:t>[99]</w:t>
      </w:r>
      <w:r w:rsidR="00F414BF" w:rsidRPr="000322E4">
        <w:rPr>
          <w:lang w:val="en-US"/>
        </w:rPr>
        <w:fldChar w:fldCharType="end"/>
      </w:r>
      <w:r w:rsidR="00F414BF" w:rsidRPr="000322E4" w:rsidDel="00F414BF">
        <w:rPr>
          <w:lang w:val="en-US"/>
        </w:rPr>
        <w:t xml:space="preserve"> </w:t>
      </w:r>
    </w:p>
    <w:p w14:paraId="3498BB7C" w14:textId="77777777" w:rsidR="00BB3904" w:rsidRPr="000322E4" w:rsidRDefault="00BB3904" w:rsidP="00F414BF">
      <w:pPr>
        <w:pStyle w:val="afe"/>
        <w:numPr>
          <w:ilvl w:val="1"/>
          <w:numId w:val="9"/>
        </w:numPr>
      </w:pPr>
      <w:r w:rsidRPr="000322E4">
        <w:rPr>
          <w:lang w:val="en-US"/>
        </w:rPr>
        <w:t xml:space="preserve">MINE </w:t>
      </w:r>
      <w:r w:rsidRPr="000322E4">
        <w:rPr>
          <w:lang w:val="en-US"/>
        </w:rPr>
        <w:fldChar w:fldCharType="begin" w:fldLock="1"/>
      </w:r>
      <w:r w:rsidR="00C37789" w:rsidRPr="000322E4">
        <w:rPr>
          <w:lang w:val="en-US"/>
        </w:rPr>
        <w:instrText>ADDIN CSL_CITATION {"citationItems":[{"id":"ITEM-1","itemData":{"DOI":"10.3109/10428194.2015.1135437","ISSN":"10292403","author":[{"dropping-particle":"","family":"Amorim","given":"Sandy","non-dropping-particle":"","parse-names":false,"suffix":""},{"dropping-particle":"","family":"Fleury","given":"Isabelle","non-dropping-particle":"","parse-names":false,"suffix":""},{"dropping-particle":"","family":"Mounier","given":"Nicolas","non-dropping-particle":"","parse-names":false,"suffix":""},{"dropping-particle":"","family":"Harel","given":"Stéphanie","non-dropping-particle":"","parse-names":false,"suffix":""},{"dropping-particle":"","family":"Brice","given":"Pauline","non-dropping-particle":"","parse-names":false,"suffix":""},{"dropping-particle":"","family":"Thieblemont","given":"Catherine","non-dropping-particle":"","parse-names":false,"suffix":""}],"container-title":"Leukemia and Lymphoma","id":"ITEM-1","issue":"10","issued":{"date-parts":[["2016","10","2"]]},"page":"2425-2428","publisher":"Taylor and Francis Ltd","title":"Consolidation therapy with mitoxantrone, ifosfamide and etoposide with or without rituximab before stem cell transplantation in relapsed diffuse large B-cell lymphoma patients failing second-line treatment","type":"article","volume":"57"},"uris":["http://www.mendeley.com/documents/?uuid=ba15de37-26c3-3642-b509-b49ecb260e3c"]}],"mendeley":{"formattedCitation":"[100]","plainTextFormattedCitation":"[100]","previouslyFormattedCitation":"[100]"},"properties":{"noteIndex":0},"schema":"https://github.com/citation-style-language/schema/raw/master/csl-citation.json"}</w:instrText>
      </w:r>
      <w:r w:rsidRPr="000322E4">
        <w:rPr>
          <w:lang w:val="en-US"/>
        </w:rPr>
        <w:fldChar w:fldCharType="separate"/>
      </w:r>
      <w:r w:rsidR="00C37789" w:rsidRPr="000322E4">
        <w:rPr>
          <w:noProof/>
          <w:lang w:val="en-US"/>
        </w:rPr>
        <w:t>[100]</w:t>
      </w:r>
      <w:r w:rsidRPr="000322E4">
        <w:rPr>
          <w:lang w:val="en-US"/>
        </w:rPr>
        <w:fldChar w:fldCharType="end"/>
      </w:r>
    </w:p>
    <w:p w14:paraId="625D65E7" w14:textId="77777777" w:rsidR="00E26065" w:rsidRPr="000322E4" w:rsidRDefault="00E26065" w:rsidP="00F414BF">
      <w:pPr>
        <w:ind w:left="709"/>
        <w:contextualSpacing/>
        <w:rPr>
          <w:b/>
        </w:rPr>
      </w:pPr>
      <w:r w:rsidRPr="000322E4">
        <w:rPr>
          <w:b/>
        </w:rPr>
        <w:t xml:space="preserve">Уровень убедительности рекомендаций </w:t>
      </w:r>
      <w:r w:rsidR="00D36141" w:rsidRPr="000322E4">
        <w:rPr>
          <w:b/>
        </w:rPr>
        <w:t xml:space="preserve">С </w:t>
      </w:r>
      <w:r w:rsidRPr="000322E4">
        <w:rPr>
          <w:b/>
        </w:rPr>
        <w:t xml:space="preserve">(уровень достоверности доказательств </w:t>
      </w:r>
      <w:r w:rsidR="00D36141" w:rsidRPr="000322E4">
        <w:rPr>
          <w:b/>
        </w:rPr>
        <w:t>5</w:t>
      </w:r>
      <w:r w:rsidRPr="000322E4">
        <w:rPr>
          <w:b/>
        </w:rPr>
        <w:t>).</w:t>
      </w:r>
    </w:p>
    <w:p w14:paraId="341B314D" w14:textId="77777777" w:rsidR="00A33C04" w:rsidRPr="000322E4" w:rsidRDefault="00A33C04" w:rsidP="00F414BF">
      <w:pPr>
        <w:ind w:left="709"/>
        <w:rPr>
          <w:i/>
          <w:iCs/>
        </w:rPr>
      </w:pPr>
      <w:r w:rsidRPr="000322E4">
        <w:rPr>
          <w:b/>
        </w:rPr>
        <w:t>Комментарии:</w:t>
      </w:r>
      <w:r w:rsidRPr="000322E4">
        <w:t xml:space="preserve"> </w:t>
      </w:r>
      <w:r w:rsidRPr="000322E4">
        <w:rPr>
          <w:i/>
          <w:iCs/>
        </w:rPr>
        <w:t>цитостатики, используемые в данных схемах лечения, не оказывают повреждающего влияния на стоволовые гемопоэтические клетки и не ухудшают качество сбора стволовых клеток для ауто- трансплантата.</w:t>
      </w:r>
    </w:p>
    <w:p w14:paraId="123F1D69" w14:textId="77777777" w:rsidR="0011642B" w:rsidRPr="000322E4" w:rsidRDefault="0011642B" w:rsidP="00F414BF">
      <w:pPr>
        <w:pStyle w:val="afff8"/>
        <w:spacing w:before="0"/>
      </w:pPr>
      <w:r w:rsidRPr="000322E4">
        <w:t xml:space="preserve">Пациентам с рецидивами/рефрактерными формами ДВКЛ моложе 65 лет без значимой коморбидности в случае достижения противоопухолевого ответа на противорецидивную терапию </w:t>
      </w:r>
      <w:r w:rsidRPr="000322E4">
        <w:rPr>
          <w:bCs/>
        </w:rPr>
        <w:t>при наличии возможности</w:t>
      </w:r>
      <w:r w:rsidRPr="000322E4">
        <w:t xml:space="preserve"> </w:t>
      </w:r>
      <w:r w:rsidRPr="000322E4">
        <w:rPr>
          <w:b/>
        </w:rPr>
        <w:t xml:space="preserve">рекомендовано </w:t>
      </w:r>
      <w:r w:rsidRPr="000322E4">
        <w:rPr>
          <w:szCs w:val="24"/>
          <w:lang w:eastAsia="ru-RU"/>
        </w:rPr>
        <w:t xml:space="preserve">проведение высокодозной химиотерапии с трансплантацией аутологичных гемопоэтических стволовых клеток </w:t>
      </w:r>
      <w:r w:rsidRPr="000322E4">
        <w:fldChar w:fldCharType="begin" w:fldLock="1"/>
      </w:r>
      <w:r w:rsidR="00C37789" w:rsidRPr="000322E4">
        <w:instrText>ADDIN CSL_CITATION {"citationItems":[{"id":"ITEM-1","itemData":{"DOI":"10.1056/NEJM199512073332305","ISSN":"15334406","abstract":"High-dose chemotherapy followed by autologous bone marrow transplantation is a therapeutic option for patients with chemotherapy-sensitive non-Hodgkin's lymphoma who have relapses. In this report we describe a prospective randomized study of such treatment. A total of 215 patients with relapses of non-Hodgkin's lymphoma were treated between July 1987 and June 1994. All patients received two courses of conventional chemotherapy. The 109 patients who had a response to chemotherapy were randomly assigned to receive four courses of chemotherapy plus radiotherapy (54 patients) or radiotherapy plus intensive chemotherapy and autologous bone marrow transplantation (55 patients). The overall rate of response to conventional chemotherapy was 58 percent; among patients with relapses after chemotherapy, the response rate was 64 percent, and among those with relapses during chemotherapy, the response rate was 21 percent. There were three deaths from toxic effects among the patients in the transplantation group, and none among those in the group receiving chemotherapy without transplantation. The two groups did not differ in terms of prognostic factors. The median follow-up time was 63 months. The response rate was 84 percent after bone marrow transplantation and 44 percent after chemotherapy without transplantation. At five years, the rate of event-free survival was 46 percent in the transplantation group and 12 percent in the group receiving chemotherapy without transplantation (P = 0.001), and the rate of overall survival was 53 and 32 percent, respectively (P = 0.038). As compared with conventional chemotherapy, treatment with high-dose chemotherapy and autologous bone marrow transplantation increases event-free and overall survival in patients with chemotherapy-sensitive non-Hodgkin's lymphoma in relapse. © 1995, Massachusetts Medical Society. All rights reserved.","author":[{"dropping-particle":"","family":"Philip","given":"Thierry","non-dropping-particle":"","parse-names":false,"suffix":""},{"dropping-particle":"","family":"Guglielmi","given":"Cesare","non-dropping-particle":"","parse-names":false,"suffix":""},{"dropping-particle":"","family":"Hagenbeek","given":"Anton","non-dropping-particle":"","parse-names":false,"suffix":""},{"dropping-particle":"","family":"Somers","given":"Renier","non-dropping-particle":"","parse-names":false,"suffix":""},{"dropping-particle":"","family":"Lelie","given":"Hans","non-dropping-particle":"Van Der","parse-names":false,"suffix":""},{"dropping-particle":"","family":"Bron","given":"Dominique","non-dropping-particle":"","parse-names":false,"suffix":""},{"dropping-particle":"","family":"Sonneveld","given":"Pieter","non-dropping-particle":"","parse-names":false,"suffix":""},{"dropping-particle":"","family":"Gisselbrecht","given":"Christian","non-dropping-particle":"","parse-names":false,"suffix":""},{"dropping-particle":"","family":"Cahn","given":"Jean Yves","non-dropping-particle":"","parse-names":false,"suffix":""},{"dropping-particle":"","family":"Harousseau","given":"Jean Luc","non-dropping-particle":"","parse-names":false,"suffix":""},{"dropping-particle":"","family":"Coiffier","given":"Bertrand","non-dropping-particle":"","parse-names":false,"suffix":""},{"dropping-particle":"","family":"Biron","given":"Pierre","non-dropping-particle":"","parse-names":false,"suffix":""},{"dropping-particle":"","family":"Mandelli","given":"Franco","non-dropping-particle":"","parse-names":false,"suffix":""},{"dropping-particle":"","family":"Chauvin","given":"Franck","non-dropping-particle":"","parse-names":false,"suffix":""}],"container-title":"New England Journal of Medicine","id":"ITEM-1","issue":"23","issued":{"date-parts":[["1995","12","7"]]},"page":"1540-1545","title":"Autologous bone marrow transplantation as compared with salvage chemotherapy in relapses of chemotherapy-sensitive non-hodgkin's lymphoma","type":"article-journal","volume":"333"},"uris":["http://www.mendeley.com/documents/?uuid=8c2de6b9-bbfd-3bb4-a853-02372fd7b8eb"]}],"mendeley":{"formattedCitation":"[101]","plainTextFormattedCitation":"[101]","previouslyFormattedCitation":"[101]"},"properties":{"noteIndex":0},"schema":"https://github.com/citation-style-language/schema/raw/master/csl-citation.json"}</w:instrText>
      </w:r>
      <w:r w:rsidRPr="000322E4">
        <w:fldChar w:fldCharType="separate"/>
      </w:r>
      <w:r w:rsidR="00C37789" w:rsidRPr="000322E4">
        <w:rPr>
          <w:noProof/>
        </w:rPr>
        <w:t>[101]</w:t>
      </w:r>
      <w:r w:rsidRPr="000322E4">
        <w:fldChar w:fldCharType="end"/>
      </w:r>
      <w:r w:rsidRPr="000322E4">
        <w:t>.</w:t>
      </w:r>
    </w:p>
    <w:p w14:paraId="1A57EEBB" w14:textId="77777777" w:rsidR="00A33C04" w:rsidRPr="000322E4" w:rsidRDefault="009A20F4" w:rsidP="00CA442F">
      <w:pPr>
        <w:pStyle w:val="afe"/>
        <w:ind w:left="709" w:firstLine="0"/>
        <w:rPr>
          <w:b/>
        </w:rPr>
      </w:pPr>
      <w:r w:rsidRPr="000322E4">
        <w:rPr>
          <w:b/>
        </w:rPr>
        <w:t xml:space="preserve">Уровень убедительности рекомендаций </w:t>
      </w:r>
      <w:r w:rsidR="00B4008F" w:rsidRPr="000322E4">
        <w:rPr>
          <w:b/>
        </w:rPr>
        <w:t>С</w:t>
      </w:r>
      <w:r w:rsidRPr="000322E4">
        <w:rPr>
          <w:b/>
        </w:rPr>
        <w:t xml:space="preserve"> (уровень достоверности доказательств </w:t>
      </w:r>
      <w:r w:rsidR="00B4008F" w:rsidRPr="000322E4">
        <w:rPr>
          <w:b/>
        </w:rPr>
        <w:t>4</w:t>
      </w:r>
      <w:r w:rsidRPr="000322E4">
        <w:rPr>
          <w:b/>
        </w:rPr>
        <w:t>).</w:t>
      </w:r>
    </w:p>
    <w:p w14:paraId="3A6E4E81" w14:textId="77777777" w:rsidR="009A20F4" w:rsidRPr="000322E4" w:rsidRDefault="009A20F4" w:rsidP="00F414BF">
      <w:pPr>
        <w:ind w:left="709"/>
        <w:rPr>
          <w:i/>
          <w:iCs/>
        </w:rPr>
      </w:pPr>
      <w:r w:rsidRPr="000322E4">
        <w:rPr>
          <w:b/>
        </w:rPr>
        <w:lastRenderedPageBreak/>
        <w:t>Комментарии:</w:t>
      </w:r>
      <w:r w:rsidRPr="000322E4">
        <w:t xml:space="preserve"> </w:t>
      </w:r>
      <w:r w:rsidRPr="000322E4">
        <w:rPr>
          <w:i/>
          <w:iCs/>
        </w:rPr>
        <w:t>тактика лечения рецидивов у пациентов после ВДХТ с аутоТГСК определяется физическим состоянием пациента, а также объемом проведенного ранее лечения. У молодых пациентов с хорошим соматическим статусом можно рассматривать возможность выполнения алло-ТГСК (алло-ТКМ). Предлагается рассмотреть вопрос об участии пациентов данной группы в клинических исследованиях.</w:t>
      </w:r>
    </w:p>
    <w:p w14:paraId="34C68B26" w14:textId="77777777" w:rsidR="009A20F4" w:rsidRPr="000322E4" w:rsidRDefault="009A20F4" w:rsidP="00F414BF">
      <w:pPr>
        <w:pStyle w:val="afe"/>
        <w:numPr>
          <w:ilvl w:val="0"/>
          <w:numId w:val="9"/>
        </w:numPr>
        <w:ind w:left="709" w:hanging="709"/>
      </w:pPr>
      <w:r w:rsidRPr="000322E4">
        <w:t xml:space="preserve">Пациентам с рецидивами/рефрактерными формами ДВКЛ старше 65 лет и/или со значимой коморбидностью и не являющимся кандидатами на проведение ВДХТ с ауто-ТГСК </w:t>
      </w:r>
      <w:r w:rsidRPr="000322E4">
        <w:rPr>
          <w:b/>
        </w:rPr>
        <w:t xml:space="preserve">рекомендовано </w:t>
      </w:r>
      <w:r w:rsidRPr="000322E4">
        <w:rPr>
          <w:rFonts w:eastAsia="Times New Roman"/>
          <w:szCs w:val="24"/>
          <w:lang w:eastAsia="ru-RU"/>
        </w:rPr>
        <w:t xml:space="preserve">проведение </w:t>
      </w:r>
      <w:r w:rsidRPr="000322E4">
        <w:t xml:space="preserve">менее интенсивных режимов химиотерапии/иммунохимиотерапии второй и последующих линий терапии, таких как: </w:t>
      </w:r>
    </w:p>
    <w:p w14:paraId="3FD4F3F1" w14:textId="77777777" w:rsidR="00D36123" w:rsidRPr="000322E4" w:rsidRDefault="00D36123" w:rsidP="00F414BF">
      <w:pPr>
        <w:pStyle w:val="afe"/>
        <w:numPr>
          <w:ilvl w:val="1"/>
          <w:numId w:val="9"/>
        </w:numPr>
      </w:pPr>
      <w:r w:rsidRPr="000322E4">
        <w:rPr>
          <w:lang w:val="en-US"/>
        </w:rPr>
        <w:t xml:space="preserve">GemOx </w:t>
      </w:r>
      <w:r w:rsidRPr="000322E4">
        <w:rPr>
          <w:lang w:val="en-US"/>
        </w:rPr>
        <w:fldChar w:fldCharType="begin" w:fldLock="1"/>
      </w:r>
      <w:r w:rsidR="00C37789" w:rsidRPr="000322E4">
        <w:rPr>
          <w:lang w:val="en-US"/>
        </w:rPr>
        <w:instrText>ADDIN CSL_CITATION {"citationItems":[{"id":"ITEM-1","itemData":{"DOI":"10.3324/haematol.2013.090597","ISSN":"03906078","abstract":"A previous pilot study with rituximab, gemcitabine and oxaliplatin showed promising activity in patients with refractory/relapsed B-cell lymphoma. We, therefore, conducted a phase II study to determine whether these results could be reproduced in a multi-institutional setting. This phase II study included 49 patients with refractory (n=6) or relapsing (n=43) diffuse large B-cell lymphoma. The median age of the patients was 69 years. Prior treatment included rituximab in 31 (63%) and autologous transplantation in 17 (35%) patients. International Prognostic Index at enrollment was &gt;2 in 34 patients (71%). The primary endpoint was overall response rate after four cycles of treatment. Patients were planned to receive eight cycles if they reached at least partial remission after four cycles. After four cycles 21 patients (44%) were in complete remission and 8 (17%) in partial remission, resulting in an overall response rate of 61%. Factors significantly affecting overall response rate were early (&lt;1 year) progression/relapse (18% versus 54%; P=0.001) and prior exposure to rituximab (23% versus 65%; P=0.004). Five-year progression-free and overall survival rates were 12.8% and 13.9%, respectively. Rituximab, gemcitabine and oxaliplatin were well tolerated with grade 3-4 infectious episodes in 22% of the cycles. These results are the first confirmation from a multicenter study that rituximab, gemcitabine and oxaliplatin provide a consistent response rate in patients with refractory/relapsed diffuse large B-cell lymphoma. This therapy can now be considered as a platform for new combinations with targeted treatments. This trial was registered at clinicaltrial.gov under #NCT00169195. © 2013 Ferrata Storti Foundation.","author":[{"dropping-particle":"","family":"Mounier","given":"Nicolas","non-dropping-particle":"","parse-names":false,"suffix":""},{"dropping-particle":"","family":"Gnaoui","given":"Taoufik","non-dropping-particle":"El","parse-names":false,"suffix":""},{"dropping-particle":"","family":"Tilly","given":"Hervé","non-dropping-particle":"","parse-names":false,"suffix":""},{"dropping-particle":"","family":"Canioni","given":"Danièle","non-dropping-particle":"","parse-names":false,"suffix":""},{"dropping-particle":"","family":"Sebban","given":"Catherine","non-dropping-particle":"","parse-names":false,"suffix":""},{"dropping-particle":"","family":"Casasnovas","given":"René Olivier","non-dropping-particle":"","parse-names":false,"suffix":""},{"dropping-particle":"","family":"Delarue","given":"Richard","non-dropping-particle":"","parse-names":false,"suffix":""},{"dropping-particle":"","family":"Sonet","given":"Anne","non-dropping-particle":"","parse-names":false,"suffix":""},{"dropping-particle":"","family":"Beaussart","given":"Pauline","non-dropping-particle":"","parse-names":false,"suffix":""},{"dropping-particle":"","family":"Petrella","given":"Tony","non-dropping-particle":"","parse-names":false,"suffix":""},{"dropping-particle":"","family":"Castaigne","given":"Sylvie","non-dropping-particle":"","parse-names":false,"suffix":""},{"dropping-particle":"","family":"Bologna","given":"Serge","non-dropping-particle":"","parse-names":false,"suffix":""},{"dropping-particle":"","family":"Salles","given":"Gilles","non-dropping-particle":"","parse-names":false,"suffix":""},{"dropping-particle":"","family":"Rahmouni","given":"Alain","non-dropping-particle":"","parse-names":false,"suffix":""},{"dropping-particle":"","family":"Gaulard","given":"Philippe","non-dropping-particle":"","parse-names":false,"suffix":""},{"dropping-particle":"","family":"Haioun","given":"Corinne","non-dropping-particle":"","parse-names":false,"suffix":""}],"container-title":"Haematologica","id":"ITEM-1","issue":"11","issued":{"date-parts":[["2013","11","1"]]},"page":"1726-1731","title":"Rituximab plus gemcitabine and oxaliplatin in patients with refractory/relapsed diffuse large B-cell lymphoma who are not candidates for high-dose therapy. A phase II lymphoma study Association trial","type":"article-journal","volume":"98"},"uris":["http://www.mendeley.com/documents/?uuid=9f883ea0-57fe-3731-ab2d-2c5d5446927a"]}],"mendeley":{"formattedCitation":"[102]","plainTextFormattedCitation":"[102]","previouslyFormattedCitation":"[102]"},"properties":{"noteIndex":0},"schema":"https://github.com/citation-style-language/schema/raw/master/csl-citation.json"}</w:instrText>
      </w:r>
      <w:r w:rsidRPr="000322E4">
        <w:rPr>
          <w:lang w:val="en-US"/>
        </w:rPr>
        <w:fldChar w:fldCharType="separate"/>
      </w:r>
      <w:r w:rsidR="00C37789" w:rsidRPr="000322E4">
        <w:rPr>
          <w:noProof/>
          <w:lang w:val="en-US"/>
        </w:rPr>
        <w:t>[102]</w:t>
      </w:r>
      <w:r w:rsidRPr="000322E4">
        <w:rPr>
          <w:lang w:val="en-US"/>
        </w:rPr>
        <w:fldChar w:fldCharType="end"/>
      </w:r>
    </w:p>
    <w:p w14:paraId="679F34CC" w14:textId="77777777" w:rsidR="009A20F4" w:rsidRPr="000322E4" w:rsidRDefault="009A20F4" w:rsidP="00F414BF">
      <w:pPr>
        <w:pStyle w:val="afe"/>
        <w:numPr>
          <w:ilvl w:val="1"/>
          <w:numId w:val="9"/>
        </w:numPr>
      </w:pPr>
      <w:r w:rsidRPr="000322E4">
        <w:rPr>
          <w:lang w:val="en-US"/>
        </w:rPr>
        <w:t>BR</w:t>
      </w:r>
      <w:r w:rsidR="00D36123" w:rsidRPr="000322E4">
        <w:rPr>
          <w:lang w:val="en-US"/>
        </w:rPr>
        <w:t xml:space="preserve"> </w:t>
      </w:r>
      <w:r w:rsidR="00D36123" w:rsidRPr="000322E4">
        <w:rPr>
          <w:lang w:val="en-US"/>
        </w:rPr>
        <w:fldChar w:fldCharType="begin" w:fldLock="1"/>
      </w:r>
      <w:r w:rsidR="00C37789" w:rsidRPr="000322E4">
        <w:rPr>
          <w:lang w:val="en-US"/>
        </w:rPr>
        <w:instrText>ADDIN CSL_CITATION {"citationItems":[{"id":"ITEM-1","itemData":{"DOI":"10.1007/s00277-013-1879-x","ISSN":"09395555","abstract":"Patients with relapsed or refractory diffuse large B cell lymphoma (DLBCL) are treated with salvage regimens and may be considered for high-dose chemotherapy and autologous stem cell transplantation if disease is chemosensitive. Bendamustine is active in indolent B cell lymphomas and chronic lymphocytic leukemia but has not been extensively studied in aggressive lymphomas. This trial examines the combination of bendamustine and rituximab in patients with relapsed and refractory DLBCL. Patients received bendamustine at 90 mg/m2 (n = 2) or 120 mg/m2 (n = 57) on days 1 and 2 and rituximab at 375 mg/m2 on day 1 every 28 days for up to 6 cycles. The study evaluated objective response rate (ORR), duration of response (DOR), progression-free survival (PFS), and treatment safety. Fifty-nine patients were treated, and 48 were evaluable for response. Median age was 74; 89 % had stage III or IV disease, and 63 % had high revised International Prognostic Index scores; the median number of prior therapies was 1. Based on analysis using the intent-to-treat population, the ORR was 45.8 % (complete response, 15.3 %; partial response, 30.5 %). The median DOR was 17.3 months, and the median PFS was 3.6 months. Grade 3 or 4 hematological toxicities included neutropenia (36 %), leukopenia (29 %), thrombocytopenia (22 %), and anemia (12 %). The combination of bendamustine and rituximab showed modest activity in patients with relapsed and refractory DLBCL and has an acceptable toxicity profile. © 2013 The Author(s).","author":[{"dropping-particle":"","family":"Vacirca","given":"Jeffrey L.","non-dropping-particle":"","parse-names":false,"suffix":""},{"dropping-particle":"","family":"Acs","given":"Peter I.","non-dropping-particle":"","parse-names":false,"suffix":""},{"dropping-particle":"","family":"Tabbara","given":"Imad A.","non-dropping-particle":"","parse-names":false,"suffix":""},{"dropping-particle":"","family":"Rosen","given":"Peter J.","non-dropping-particle":"","parse-names":false,"suffix":""},{"dropping-particle":"","family":"Lee","given":"Peter","non-dropping-particle":"","parse-names":false,"suffix":""},{"dropping-particle":"","family":"Lynam","given":"Eric","non-dropping-particle":"","parse-names":false,"suffix":""}],"container-title":"Annals of Hematology","id":"ITEM-1","issue":"3","issued":{"date-parts":[["2014","3"]]},"page":"403-409","title":"Bendamustine combined with rituximab for patients with relapsed or refractory diffuse large B cell lymphoma","type":"article-journal","volume":"93"},"uris":["http://www.mendeley.com/documents/?uuid=0070ae13-9af0-3b16-960e-b2b285b056da"]},{"id":"ITEM-2","itemData":{"DOI":"10.1200/JCO.2012.46.5203","ISSN":"15277755","abstract":"Purpose Effective and less aggressive therapies are required for patients with relapsed or refractory diffuse large B-cell lymphoma (DLBCL) who are not eligible for or have undergone autologous stem-cell transplantation (ASCT). The present phase II study assessed the efficacy and safety of bendamustine plus rituximab (BR) in this population. Patients and Methods Patients with relapsed or refractory DLBCL treated with one to three prior chemotherapy regimens received rituximab 375 mg/m2 intravenous (IV) infusion on day 1 and bendamustine 120 mg/m2 by IV infusion on days 2 and 3 of each 21-day cycle for up to six cycles. The primary end point was overall response rate (ORR), and the secondary end points were complete response (CR) rate, progression-free survival (PFS), and safety. Results Sixty-Three patients were enrolled, and 59 received BR. The median age was 67 years (range, 36 to 75 years), and 62.7% of patients were 65 years of age or older. Fifty-seven patients (96.6%) were previously treated with rituximab-containing chemotherapy. The ORR was 62.7% (95% CI, 49.1% to 75.0%), with a CR rate of 37.3% (95% CI, 25.0% to 50.9%). The ORRs were comparable between patients - 65 years of age and less than 65 years (62.2% and 63.6%, respectively). The median PFS was 6.7 months (95% CI, 3.6 to 13.7 months). The most frequently observed grade 3 or 4 adverse events were hematologic: lymphopenia (78.0%), neutropenia (76.3%), leukopenia (72.9%), CD4 lymphopenia (66.1%), and thrombocytopenia (22.0%). Conclusion BR is a promising salvage regimen for patients with relapsed or refractory DLBCL after rituximab-containing chemotherapy, warranting further investigation.","author":[{"dropping-particle":"","family":"Ohmachi","given":"Ken","non-dropping-particle":"","parse-names":false,"suffix":""},{"dropping-particle":"","family":"Niitsu","given":"Nozomi","non-dropping-particle":"","parse-names":false,"suffix":""},{"dropping-particle":"","family":"Uchida","given":"Toshiki","non-dropping-particle":"","parse-names":false,"suffix":""},{"dropping-particle":"","family":"Kim","given":"Seok Jin","non-dropping-particle":"","parse-names":false,"suffix":""},{"dropping-particle":"","family":"Ando","given":"Kiyoshi","non-dropping-particle":"","parse-names":false,"suffix":""},{"dropping-particle":"","family":"Takahashi","given":"Naoki","non-dropping-particle":"","parse-names":false,"suffix":""},{"dropping-particle":"","family":"Takahashi","given":"Naoto","non-dropping-particle":"","parse-names":false,"suffix":""},{"dropping-particle":"","family":"Uike","given":"Naokuni","non-dropping-particle":"","parse-names":false,"suffix":""},{"dropping-particle":"","family":"Eom","given":"Hyeon Seok","non-dropping-particle":"","parse-names":false,"suffix":""},{"dropping-particle":"","family":"Chae","given":"Yee Soo","non-dropping-particle":"","parse-names":false,"suffix":""},{"dropping-particle":"","family":"Terauchi","given":"Takashi","non-dropping-particle":"","parse-names":false,"suffix":""},{"dropping-particle":"","family":"Tateishi","given":"Ukihide","non-dropping-particle":"","parse-names":false,"suffix":""},{"dropping-particle":"","family":"Tatsumi","given":"Mitsuaki","non-dropping-particle":"","parse-names":false,"suffix":""},{"dropping-particle":"","family":"Kim","given":"Won Seog","non-dropping-particle":"","parse-names":false,"suffix":""},{"dropping-particle":"","family":"Tobinai","given":"Kensei","non-dropping-particle":"","parse-names":false,"suffix":""},{"dropping-particle":"","family":"Suh","given":"Cheolwon","non-dropping-particle":"","parse-names":false,"suffix":""},{"dropping-particle":"","family":"Ogura","given":"Michinori","non-dropping-particle":"","parse-names":false,"suffix":""}],"container-title":"Journal of Clinical Oncology","id":"ITEM-2","issue":"17","issued":{"date-parts":[["2013","6","10"]]},"page":"2103-2109","publisher":"American Society of Clinical Oncology","title":"Multicenter phase II study of bendamustine plus rituximab in patients with relapsed or refractory diffuse large B-cell lymphoma","type":"paper-conference","volume":"31"},"uris":["http://www.mendeley.com/documents/?uuid=11818781-861b-36f3-aa08-86cabb13c19e"]}],"mendeley":{"formattedCitation":"[103,104]","plainTextFormattedCitation":"[103,104]","previouslyFormattedCitation":"[103,104]"},"properties":{"noteIndex":0},"schema":"https://github.com/citation-style-language/schema/raw/master/csl-citation.json"}</w:instrText>
      </w:r>
      <w:r w:rsidR="00D36123" w:rsidRPr="000322E4">
        <w:rPr>
          <w:lang w:val="en-US"/>
        </w:rPr>
        <w:fldChar w:fldCharType="separate"/>
      </w:r>
      <w:r w:rsidR="00C37789" w:rsidRPr="000322E4">
        <w:rPr>
          <w:noProof/>
          <w:lang w:val="en-US"/>
        </w:rPr>
        <w:t>[103,104]</w:t>
      </w:r>
      <w:r w:rsidR="00D36123" w:rsidRPr="000322E4">
        <w:rPr>
          <w:lang w:val="en-US"/>
        </w:rPr>
        <w:fldChar w:fldCharType="end"/>
      </w:r>
      <w:r w:rsidRPr="000322E4">
        <w:t xml:space="preserve">, </w:t>
      </w:r>
    </w:p>
    <w:p w14:paraId="61B9648D" w14:textId="77777777" w:rsidR="009A20F4" w:rsidRPr="000322E4" w:rsidRDefault="009A20F4" w:rsidP="00F414BF">
      <w:pPr>
        <w:pStyle w:val="afe"/>
        <w:numPr>
          <w:ilvl w:val="1"/>
          <w:numId w:val="9"/>
        </w:numPr>
      </w:pPr>
      <w:r w:rsidRPr="000322E4">
        <w:rPr>
          <w:lang w:val="en-US"/>
        </w:rPr>
        <w:t>CEPP</w:t>
      </w:r>
      <w:r w:rsidR="00D36123" w:rsidRPr="000322E4">
        <w:rPr>
          <w:lang w:val="en-US"/>
        </w:rPr>
        <w:t xml:space="preserve"> </w:t>
      </w:r>
      <w:r w:rsidR="00D36123" w:rsidRPr="000322E4">
        <w:rPr>
          <w:lang w:val="en-US"/>
        </w:rPr>
        <w:fldChar w:fldCharType="begin" w:fldLock="1"/>
      </w:r>
      <w:r w:rsidR="00C37789" w:rsidRPr="000322E4">
        <w:rPr>
          <w:lang w:val="en-US"/>
        </w:rPr>
        <w:instrText>ADDIN CSL_CITATION {"citationItems":[{"id":"ITEM-1","itemData":{"DOI":"10.1182/blood.v76.7.1293.bloodjournal7671293","ISSN":"00064971","PMID":"2207307","abstract":"Eighty-three patients with intermediate- or high-grade non-Hodgkin's lymphoma were treated with CEPP(B) (cyclophosphamide, etoposide [VP-16], procarbazine, and prednisone with or without bleomycin) chemotherapy at Stanford University Medical Center (Stanford, CA) from January 1982 through June 1989. Sixty-nine received CEPP(B) as second-line or subsequent therapy after relapse from previous combination chemotherapy, and 14 patients received CEPP(B) as first-line therapy. Of 75 patients evaluable for response, 30 patients (40%) achieved a complete response (CR) and 24 patients (32%) achieved a partial response (PR), providing an overall response rate of 72%. Complete responses were recorded on 21 of 61 (34%) patients with recurrent disease and 9 of the 14 patients who received CEPP(B) as first line therapy (64%). Myelosuppression was the major side effect of treatment, resulting in eight neutropenic-febrile episodes from a total of 253 courses. A single fatal toxic event occurred on a patient who developed adult respiratory distress syndrome. Overall, CEPP(B) was well-tolerated and proved to be effective palliative therapy for patients with non-Hodgkin's lymphoma after relapse. As such, CEPP(B) may be considered for cytoreduction before ablative therapy and bone marrow transplantation. CEPP(B) may also be considered for initial therapy in selected patients who cannot tolerate doxorubicin-containing regimens.","author":[{"dropping-particle":"","family":"Chao","given":"N. J.","non-dropping-particle":"","parse-names":false,"suffix":""},{"dropping-particle":"","family":"Rosenberg","given":"S. A.","non-dropping-particle":"","parse-names":false,"suffix":""},{"dropping-particle":"","family":"Horning","given":"S. J.","non-dropping-particle":"","parse-names":false,"suffix":""}],"container-title":"Blood","id":"ITEM-1","issue":"7","issued":{"date-parts":[["1990"]]},"page":"1293-1298","title":"CEPP(B): An effective and well-tolerated regimen in poor-risk, aggressive non-Hodgkin's lymphoma","type":"article-journal","volume":"76"},"uris":["http://www.mendeley.com/documents/?uuid=8a216bfd-7651-3d0e-b380-02003a5766a8"]}],"mendeley":{"formattedCitation":"[105]","plainTextFormattedCitation":"[105]","previouslyFormattedCitation":"[105]"},"properties":{"noteIndex":0},"schema":"https://github.com/citation-style-language/schema/raw/master/csl-citation.json"}</w:instrText>
      </w:r>
      <w:r w:rsidR="00D36123" w:rsidRPr="000322E4">
        <w:rPr>
          <w:lang w:val="en-US"/>
        </w:rPr>
        <w:fldChar w:fldCharType="separate"/>
      </w:r>
      <w:r w:rsidR="00C37789" w:rsidRPr="000322E4">
        <w:rPr>
          <w:noProof/>
          <w:lang w:val="en-US"/>
        </w:rPr>
        <w:t>[105]</w:t>
      </w:r>
      <w:r w:rsidR="00D36123" w:rsidRPr="000322E4">
        <w:rPr>
          <w:lang w:val="en-US"/>
        </w:rPr>
        <w:fldChar w:fldCharType="end"/>
      </w:r>
      <w:r w:rsidRPr="000322E4">
        <w:t xml:space="preserve">, </w:t>
      </w:r>
    </w:p>
    <w:p w14:paraId="20536B63" w14:textId="77777777" w:rsidR="009A20F4" w:rsidRPr="000322E4" w:rsidRDefault="009A20F4" w:rsidP="00F414BF">
      <w:pPr>
        <w:pStyle w:val="afe"/>
        <w:numPr>
          <w:ilvl w:val="1"/>
          <w:numId w:val="9"/>
        </w:numPr>
      </w:pPr>
      <w:r w:rsidRPr="000322E4">
        <w:rPr>
          <w:lang w:val="en-US"/>
        </w:rPr>
        <w:t>GDP</w:t>
      </w:r>
      <w:r w:rsidR="00D36123" w:rsidRPr="000322E4">
        <w:rPr>
          <w:lang w:val="en-US"/>
        </w:rPr>
        <w:t xml:space="preserve"> </w:t>
      </w:r>
      <w:r w:rsidR="00D36123" w:rsidRPr="000322E4">
        <w:rPr>
          <w:lang w:val="en-US"/>
        </w:rPr>
        <w:fldChar w:fldCharType="begin" w:fldLock="1"/>
      </w:r>
      <w:r w:rsidR="00C37789" w:rsidRPr="000322E4">
        <w:rPr>
          <w:lang w:val="en-US"/>
        </w:rPr>
        <w:instrText>ADDIN CSL_CITATION {"citationItems":[{"id":"ITEM-1","itemData":{"DOI":"10.3109/10428194.2010.491137","ISSN":"10428194","abstract":"We conducted a multi-center phase II trial of gemcitabine (G), carboplatin (C), dexamethasone (D), and rituximab (R) in order to examine its safety and efficacy as an outpatient salvage regimen for lymphoma. Fifty-one patients received 24 21-day cycles of G (1000mg/m2, days 1 and 8), C (AUC5, day 1), D (40mg, daily days 14), and R (375mg/m2, day 8 for CD20-positive disease) and were evaluable for response. Characteristics included: median age 58 yeas (1979 years), stage III/IV 88, elevated LDH 33, median prior therapies 2, prior stem cell transplant 12, chemoresistant 62, median prior remission duration 2.5 months. The overall and complete response rates were 67 (95 confidence interval [CI] 5480) and 31 (95 CI 1944), respectively, with activity seen in a broad variety of histologies. Responses occurred in 16 of 17 (94, 95 CI 83100) transplant-eligible patients and 15 of 28 (54, 95 CI 3471) with chemoresistant disease. The median CD34 yield in patients attempting peripheral blood stem cell (PBSC) collection following this regimen was 10.9×106 CD34 cells/kg (range 5.024.1×10 6). Hematologic toxicity was common, but febrile neutropenia (2.5) and grade 4 non-hematologic adverse events (n2) were rare, with no treatment-related deaths. GCD(R) is a safe and effective outpatient regimen for relapsed lymphoma, and successfully mobilizes PBSCs. © 2010 Informa UK, Ltd.","author":[{"dropping-particle":"","family":"Gopal","given":"Ajay K.","non-dropping-particle":"","parse-names":false,"suffix":""},{"dropping-particle":"","family":"Press","given":"Oliver W.","non-dropping-particle":"","parse-names":false,"suffix":""},{"dropping-particle":"","family":"Shustov","given":"Andrei R.","non-dropping-particle":"","parse-names":false,"suffix":""},{"dropping-particle":"","family":"Petersdorf","given":"Stephen H.","non-dropping-particle":"","parse-names":false,"suffix":""},{"dropping-particle":"","family":"Gooley","given":"Ted A.","non-dropping-particle":"","parse-names":false,"suffix":""},{"dropping-particle":"","family":"Daniels","given":"Jasmine T.","non-dropping-particle":"","parse-names":false,"suffix":""},{"dropping-particle":"","family":"Garrison","given":"Mitchell A.","non-dropping-particle":"","parse-names":false,"suffix":""},{"dropping-particle":"","family":"Gjerset","given":"George F.","non-dropping-particle":"","parse-names":false,"suffix":""},{"dropping-particle":"","family":"Lonergan","given":"Matthew","non-dropping-particle":"","parse-names":false,"suffix":""},{"dropping-particle":"","family":"Murphy","given":"Anne E.","non-dropping-particle":"","parse-names":false,"suffix":""},{"dropping-particle":"","family":"Smith","given":"Julie C.","non-dropping-particle":"","parse-names":false,"suffix":""},{"dropping-particle":"","family":"Pagel","given":"John M.","non-dropping-particle":"","parse-names":false,"suffix":""}],"container-title":"Leukemia and Lymphoma","id":"ITEM-1","issue":"8","issued":{"date-parts":[["2010","8"]]},"page":"1523-1529","title":"Efficacy and safety of gemcitabine, carboplatin, dexamethasone, and rituximab in patients with relapsed/refractory lymphoma: A prospective multi-center phase II study by the Puget Sound Oncology Consortium","type":"article-journal","volume":"51"},"uris":["http://www.mendeley.com/documents/?uuid=d780465f-a25a-33fc-bd81-4ad6855226a0"]}],"mendeley":{"formattedCitation":"[106]","plainTextFormattedCitation":"[106]","previouslyFormattedCitation":"[106]"},"properties":{"noteIndex":0},"schema":"https://github.com/citation-style-language/schema/raw/master/csl-citation.json"}</w:instrText>
      </w:r>
      <w:r w:rsidR="00D36123" w:rsidRPr="000322E4">
        <w:rPr>
          <w:lang w:val="en-US"/>
        </w:rPr>
        <w:fldChar w:fldCharType="separate"/>
      </w:r>
      <w:r w:rsidR="00C37789" w:rsidRPr="000322E4">
        <w:rPr>
          <w:noProof/>
          <w:lang w:val="en-US"/>
        </w:rPr>
        <w:t>[106]</w:t>
      </w:r>
      <w:r w:rsidR="00D36123" w:rsidRPr="000322E4">
        <w:rPr>
          <w:lang w:val="en-US"/>
        </w:rPr>
        <w:fldChar w:fldCharType="end"/>
      </w:r>
      <w:r w:rsidRPr="000322E4">
        <w:t xml:space="preserve">, </w:t>
      </w:r>
    </w:p>
    <w:p w14:paraId="3B4B799A" w14:textId="77777777" w:rsidR="009A20F4" w:rsidRPr="000322E4" w:rsidRDefault="00D2304E" w:rsidP="00F414BF">
      <w:pPr>
        <w:pStyle w:val="afe"/>
        <w:numPr>
          <w:ilvl w:val="1"/>
          <w:numId w:val="9"/>
        </w:numPr>
      </w:pPr>
      <w:r>
        <w:rPr>
          <w:lang w:val="en-US"/>
        </w:rPr>
        <w:t>#</w:t>
      </w:r>
      <w:r w:rsidR="009A20F4" w:rsidRPr="000322E4">
        <w:t xml:space="preserve">Гемцитабин** + </w:t>
      </w:r>
      <w:r>
        <w:rPr>
          <w:lang w:val="en-US"/>
        </w:rPr>
        <w:t>#</w:t>
      </w:r>
      <w:r w:rsidR="009A20F4" w:rsidRPr="000322E4">
        <w:t>Винорелбин**</w:t>
      </w:r>
      <w:r w:rsidR="00D36123" w:rsidRPr="000322E4">
        <w:rPr>
          <w:lang w:val="en-US"/>
        </w:rPr>
        <w:t xml:space="preserve"> </w:t>
      </w:r>
      <w:r w:rsidR="00D36123" w:rsidRPr="000322E4">
        <w:rPr>
          <w:lang w:val="en-US"/>
        </w:rPr>
        <w:fldChar w:fldCharType="begin" w:fldLock="1"/>
      </w:r>
      <w:r w:rsidR="00C37789" w:rsidRPr="000322E4">
        <w:rPr>
          <w:lang w:val="en-US"/>
        </w:rPr>
        <w:instrText>ADDIN CSL_CITATION {"citationItems":[{"id":"ITEM-1","itemData":{"DOI":"10.1111/j.1600-0609.2005.00482.x","ISSN":"09024441","abstract":"To investigate the efficacy and toxicity of the combination of gemcitabine and vinorelbine in patients with relapsed or refractory diffuse large B-cell lymphoma (DLBL), 22 patients with relapsed or refractory DLBL were treated with gemcitabine 1000 mg/m2 and vinorelbine 30 mg/m2 on days 1 and 8 every 3 wk for a maximum of six cycles. Fourteen patients were considered chemosensitive while eight patients were considered chemoresistant to the last treatment regimen. All 22 patients were assessed for response to treatment. Three patients (14%) achieved complete remission and eight patients (36%) had partial remission of their disease, with an overall response rate of 50%. With a median follow up of 44 months, the median time to progression (TTP) for all patients was 8.1 months while the median overall survival (OS) was 12.9 months. Toxicity was minimal and all patients were treated on an outpatient basis. The combination of gemcitabine and vinorelbine is an effective and well-tolerated regimen for patients with relapsed of refractory DLBL. © Blackwell Munksgaard 2005.","author":[{"dropping-particle":"","family":"Papageorgiou","given":"Efstathios S.","non-dropping-particle":"","parse-names":false,"suffix":""},{"dropping-particle":"","family":"Tsirigotis","given":"Panagiotis","non-dropping-particle":"","parse-names":false,"suffix":""},{"dropping-particle":"","family":"Dimopoulos","given":"Meletios","non-dropping-particle":"","parse-names":false,"suffix":""},{"dropping-particle":"","family":"Pavlidis","given":"Nikolaos","non-dropping-particle":"","parse-names":false,"suffix":""},{"dropping-particle":"","family":"Fountzilas","given":"George","non-dropping-particle":"","parse-names":false,"suffix":""},{"dropping-particle":"","family":"Papageorgiou","given":"Sotirios","non-dropping-particle":"","parse-names":false,"suffix":""},{"dropping-particle":"","family":"Economopoulos","given":"Theofanis","non-dropping-particle":"","parse-names":false,"suffix":""}],"container-title":"European Journal of Haematology","id":"ITEM-1","issue":"2","issued":{"date-parts":[["2005","8"]]},"page":"124-129","title":"Combination chemotherapy with gemcitabine and vinorelbine in the treatment of relapsed or refractory diffuse large B-cell lymphoma: A phase-II trial by the Hellenic Cooperative Oncology Group","type":"article-journal","volume":"75"},"uris":["http://www.mendeley.com/documents/?uuid=1c1506a1-5edd-3390-84b3-4cf10928adb2"]}],"mendeley":{"formattedCitation":"[107]","plainTextFormattedCitation":"[107]","previouslyFormattedCitation":"[107]"},"properties":{"noteIndex":0},"schema":"https://github.com/citation-style-language/schema/raw/master/csl-citation.json"}</w:instrText>
      </w:r>
      <w:r w:rsidR="00D36123" w:rsidRPr="000322E4">
        <w:rPr>
          <w:lang w:val="en-US"/>
        </w:rPr>
        <w:fldChar w:fldCharType="separate"/>
      </w:r>
      <w:r w:rsidR="00C37789" w:rsidRPr="000322E4">
        <w:rPr>
          <w:noProof/>
          <w:lang w:val="en-US"/>
        </w:rPr>
        <w:t>[107]</w:t>
      </w:r>
      <w:r w:rsidR="00D36123" w:rsidRPr="000322E4">
        <w:rPr>
          <w:lang w:val="en-US"/>
        </w:rPr>
        <w:fldChar w:fldCharType="end"/>
      </w:r>
    </w:p>
    <w:p w14:paraId="5984CB1B" w14:textId="77777777" w:rsidR="009A20F4" w:rsidRPr="000322E4" w:rsidRDefault="009A20F4" w:rsidP="00F414BF">
      <w:pPr>
        <w:ind w:left="709"/>
        <w:contextualSpacing/>
        <w:rPr>
          <w:b/>
        </w:rPr>
      </w:pPr>
      <w:r w:rsidRPr="000322E4">
        <w:rPr>
          <w:b/>
        </w:rPr>
        <w:t xml:space="preserve">Уровень убедительности рекомендаций </w:t>
      </w:r>
      <w:r w:rsidR="006D44E2" w:rsidRPr="000322E4">
        <w:rPr>
          <w:b/>
        </w:rPr>
        <w:t xml:space="preserve">С </w:t>
      </w:r>
      <w:r w:rsidRPr="000322E4">
        <w:rPr>
          <w:b/>
        </w:rPr>
        <w:t xml:space="preserve">(уровень достоверности доказательств </w:t>
      </w:r>
      <w:r w:rsidR="006D44E2" w:rsidRPr="000322E4">
        <w:rPr>
          <w:b/>
        </w:rPr>
        <w:t>4</w:t>
      </w:r>
      <w:r w:rsidRPr="000322E4">
        <w:rPr>
          <w:b/>
        </w:rPr>
        <w:t>).</w:t>
      </w:r>
    </w:p>
    <w:p w14:paraId="5670B38F" w14:textId="77777777" w:rsidR="00A33C04" w:rsidRPr="000322E4" w:rsidRDefault="00A33C04" w:rsidP="00F414BF">
      <w:pPr>
        <w:pStyle w:val="afff8"/>
        <w:spacing w:before="0"/>
      </w:pPr>
      <w:r w:rsidRPr="000322E4">
        <w:t xml:space="preserve">Пациентам с рецидивами/рефрактерными формами ДВКЛ, у которых </w:t>
      </w:r>
      <w:r w:rsidRPr="000322E4">
        <w:rPr>
          <w:lang w:eastAsia="ru-RU"/>
        </w:rPr>
        <w:t xml:space="preserve">рецидив был диагностирован более чем через 6 месяцев после предшествующего введения препарата, </w:t>
      </w:r>
      <w:r w:rsidRPr="000322E4">
        <w:rPr>
          <w:b/>
        </w:rPr>
        <w:t xml:space="preserve">рекомендовано </w:t>
      </w:r>
      <w:r w:rsidRPr="000322E4">
        <w:rPr>
          <w:lang w:eastAsia="ru-RU"/>
        </w:rPr>
        <w:t xml:space="preserve">добавление к противорецидивной терапии ритуксимаба** </w:t>
      </w:r>
      <w:r w:rsidRPr="000322E4">
        <w:fldChar w:fldCharType="begin" w:fldLock="1"/>
      </w:r>
      <w:r w:rsidR="00D36123" w:rsidRPr="000322E4">
        <w:instrText>ADDIN CSL_CITATION {"citationItems":[{"id":"ITEM-1","itemData":{"DOI":"10.1007/s12325-017-0612-x","ISSN":"18658652","abstract":"Abstract: Rituximab is a human/murine, chimeric anti-CD20 monoclonal antibody with established efficacy, and a favorable and well-defined safety profile in patients with various CD20-expressing lymphoid malignancies, including indolent and aggressive forms of B-cell non-Hodgkin lymphoma. Since its first approval 20 years ago, intravenously administered rituximab has revolutionized the treatment of B-cell malignancies and has become a standard component of care for follicular lymphoma, diffuse large B-cell lymphoma, chronic lymphocytic leukemia, and mantle cell lymphoma. For all of these diseases, clinical trials have demonstrated that rituximab not only prolongs the time to disease progression but also extends overall survival. Efficacy benefits have also been shown in patients with marginal zone lymphoma and in more aggressive diseases such as Burkitt lymphoma. Although the proven clinical efficacy and success of rituximab has led to the development of other anti-CD20 monoclonal antibodies in recent years (e.g., obinutuzumab, ofatumumab, veltuzumab, and ocrelizumab), rituximab is likely to maintain a position within the therapeutic armamentarium because it is well established with a long history of successful clinical use. Furthermore, a subcutaneous formulation of the drug has been approved both in the EU and in the USA for the treatment of B-cell malignancies. Using the wealth of data published on rituximab during the last two decades, we review the preclinical development of rituximab and the clinical experience gained in the treatment of hematologic B-cell malignancies, with a focus on the well-established intravenous route of administration. This article is a companion paper to A. Davies, et al., which is also published in this issue. Funding: F. Hoffmann-La Roche Ltd., Basel, Switzerland.","author":[{"dropping-particle":"","family":"Salles","given":"Gilles","non-dropping-particle":"","parse-names":false,"suffix":""},{"dropping-particle":"","family":"Barrett","given":"Martin","non-dropping-particle":"","parse-names":false,"suffix":""},{"dropping-particle":"","family":"Foà","given":"Robin","non-dropping-particle":"","parse-names":false,"suffix":""},{"dropping-particle":"","family":"Maurer","given":"Joerg","non-dropping-particle":"","parse-names":false,"suffix":""},{"dropping-particle":"","family":"O’Brien","given":"Susan","non-dropping-particle":"","parse-names":false,"suffix":""},{"dropping-particle":"","family":"Valente","given":"Nancy","non-dropping-particle":"","parse-names":false,"suffix":""},{"dropping-particle":"","family":"Wenger","given":"Michael","non-dropping-particle":"","parse-names":false,"suffix":""},{"dropping-particle":"","family":"Maloney","given":"David G.","non-dropping-particle":"","parse-names":false,"suffix":""}],"container-title":"Advances in Therapy","id":"ITEM-1","issue":"10","issued":{"date-parts":[["2017"]]},"page":"2232-2273","title":"Rituximab in B-Cell Hematologic Malignancies: A Review of 20 Years of Clinical Experience","type":"article","volume":"34"},"uris":["http://www.mendeley.com/documents/?uuid=99572feb-1e31-3440-866b-d3d6fcf81668"]}],"mendeley":{"formattedCitation":"[55]","plainTextFormattedCitation":"[55]","previouslyFormattedCitation":"[55]"},"properties":{"noteIndex":0},"schema":"https://github.com/citation-style-language/schema/raw/master/csl-citation.json"}</w:instrText>
      </w:r>
      <w:r w:rsidRPr="000322E4">
        <w:fldChar w:fldCharType="separate"/>
      </w:r>
      <w:r w:rsidR="00D36123" w:rsidRPr="000322E4">
        <w:rPr>
          <w:noProof/>
        </w:rPr>
        <w:t>[55]</w:t>
      </w:r>
      <w:r w:rsidRPr="000322E4">
        <w:fldChar w:fldCharType="end"/>
      </w:r>
      <w:r w:rsidRPr="000322E4">
        <w:t>.</w:t>
      </w:r>
    </w:p>
    <w:p w14:paraId="3CA54C3E" w14:textId="77777777" w:rsidR="00A33C04" w:rsidRPr="000322E4" w:rsidRDefault="00A33C04" w:rsidP="00F414BF">
      <w:pPr>
        <w:ind w:left="709"/>
        <w:contextualSpacing/>
        <w:rPr>
          <w:b/>
        </w:rPr>
      </w:pPr>
      <w:r w:rsidRPr="000322E4">
        <w:rPr>
          <w:b/>
        </w:rPr>
        <w:t xml:space="preserve">Уровень убедительности рекомендаций </w:t>
      </w:r>
      <w:r w:rsidR="00D36123" w:rsidRPr="000322E4">
        <w:rPr>
          <w:b/>
          <w:lang w:val="en-US"/>
        </w:rPr>
        <w:t>C</w:t>
      </w:r>
      <w:r w:rsidR="00D36123" w:rsidRPr="000322E4">
        <w:rPr>
          <w:b/>
        </w:rPr>
        <w:t xml:space="preserve"> </w:t>
      </w:r>
      <w:r w:rsidRPr="000322E4">
        <w:rPr>
          <w:b/>
        </w:rPr>
        <w:t xml:space="preserve">(уровень достоверности доказательств </w:t>
      </w:r>
      <w:r w:rsidR="00D36123" w:rsidRPr="000322E4">
        <w:rPr>
          <w:b/>
        </w:rPr>
        <w:t>5</w:t>
      </w:r>
      <w:r w:rsidRPr="000322E4">
        <w:rPr>
          <w:b/>
        </w:rPr>
        <w:t>).</w:t>
      </w:r>
    </w:p>
    <w:p w14:paraId="2C6AB174" w14:textId="77777777" w:rsidR="005C2F6B" w:rsidRPr="000322E4" w:rsidRDefault="005C2F6B" w:rsidP="00F414BF">
      <w:pPr>
        <w:pStyle w:val="afff8"/>
        <w:spacing w:before="0"/>
      </w:pPr>
      <w:r w:rsidRPr="000322E4">
        <w:t xml:space="preserve">Пациентам с рецидивами/рефрактерными формами ПЛЦНС, развившимися после тотального облучения головного мозга </w:t>
      </w:r>
      <w:r w:rsidRPr="000322E4">
        <w:rPr>
          <w:b/>
        </w:rPr>
        <w:t xml:space="preserve">рекомендовано </w:t>
      </w:r>
      <w:r w:rsidRPr="000322E4">
        <w:t>в зависимости от физического и неврологического статуса, возраста, сопутствующих заболеваний</w:t>
      </w:r>
      <w:r w:rsidRPr="000322E4">
        <w:rPr>
          <w:lang w:eastAsia="ru-RU"/>
        </w:rPr>
        <w:t xml:space="preserve"> проведение системной химиотерапии</w:t>
      </w:r>
      <w:r w:rsidR="00DE6A24" w:rsidRPr="000322E4">
        <w:rPr>
          <w:lang w:eastAsia="ru-RU"/>
        </w:rPr>
        <w:t xml:space="preserve"> (</w:t>
      </w:r>
      <w:r w:rsidR="00DE6A24" w:rsidRPr="000322E4">
        <w:t xml:space="preserve">повторное введение высокодозного метотрексата** с /или без  риткусимаба**, </w:t>
      </w:r>
      <w:r w:rsidR="00D2304E" w:rsidRPr="00D2304E">
        <w:t>#</w:t>
      </w:r>
      <w:r w:rsidR="00DE6A24" w:rsidRPr="000322E4">
        <w:t>темозоломид** с/или без ритуксимаба**, топотекан, DHAP, высокие дозы цитарабина**)</w:t>
      </w:r>
      <w:r w:rsidRPr="000322E4">
        <w:rPr>
          <w:lang w:eastAsia="ru-RU"/>
        </w:rPr>
        <w:t xml:space="preserve"> </w:t>
      </w:r>
      <w:r w:rsidRPr="000322E4">
        <w:t>и/или интратекального введения цитостатиков</w:t>
      </w:r>
      <w:r w:rsidR="00DE6A24" w:rsidRPr="000322E4">
        <w:t xml:space="preserve"> с или без высокодозной химиотерапии с трансплантацией аутологичных стволовых клеток</w:t>
      </w:r>
      <w:r w:rsidRPr="000322E4">
        <w:t>, или повторного облучения или паллиативной помощи</w:t>
      </w:r>
      <w:r w:rsidRPr="000322E4">
        <w:rPr>
          <w:lang w:eastAsia="ru-RU"/>
        </w:rPr>
        <w:t xml:space="preserve"> </w:t>
      </w:r>
      <w:r w:rsidRPr="000322E4">
        <w:fldChar w:fldCharType="begin" w:fldLock="1"/>
      </w:r>
      <w:r w:rsidR="00C37789" w:rsidRPr="000322E4">
        <w:instrText>ADDIN CSL_CITATION {"citationItems":[{"id":"ITEM-1","itemData":{"DOI":"10.1016/S1470-2045(10)70229-1","ISSN":"14702045","abstract":"Background: High-dose methotrexate is the standard of care for patients with newly diagnosed primary CNS lymphoma. The role of whole brain radiotherapy is controversial because delayed neurotoxicity limits its acceptance as a standard of care. We aimed to investigate whether first-line chemotherapy based on high-dose methotrexate was non-inferior to the same chemotherapy regimen followed by whole brain radiotherapy for overall survival. Methods: Immunocompetent patients with newly diagnosed primary CNS lymphoma were enrolled from 75 centres and treated between May, 2000, and May, 2009. Patients were allocated by computer-generated block randomisation to receive first-line chemotherapy based on high-dose methotrexate with or without subsequent whole brain radiotherapy, with stratification by age (&lt;60 vs ≥60 years) and institution (Berlin vs Tübingen vs all other sites). The biostatistics centre assigned patients to treatment groups and informed local centres by fax; physicians and patients were not masked to treatment group after assignment. Patients enrolled between May, 2000, and August, 2006, received high-dose methotrexate (4 g/m2) on day 1 of six 14-day cycles; thereafter, patients received high-dose methotrexate plus ifosfamide (1·5 g/m2) on days 3-5 of six 14-day cycles. In those assigned to receive first-line chemotherapy followed by radiotherapy, whole brain radiotherapy was given to a total dose of 45 Gy, in 30 fractions of 1·5 Gy given daily on weekdays. Patients allocated to first-line chemotherapy without whole brain radiotherapy who had not achieved complete response were given high-dose cytarabine. The primary endpoint was overall survival, and analysis was per protocol. Our hypothesis was that the omission of whole brain radiotherapy does not compromise overall survival, with a non-inferiority margin of 0·9. This trial is registered with ClinicalTrials.gov, number NCT00153530. Findings: 551 patients (median age 63 years, IQR 55-69) were enrolled and randomised, of whom 318 were treated per protocol. In the per-protocol population, median overall survival was 32·4 months (95% CI 25·8-39·0) in patients receiving whole brain radiotherapy (n=154), and 37·1 months (27·5-46·7) in those not receiving whole brain radiotherapy (n=164), hazard ratio 1·06 (95% CI 0·80-1·40; p=0·71). Thus our primary hypothesis was not proven. Median progression-free survival was 18·3 months (95% CI 11·6-25·0) in patients receiving whole brain radiotherapy, and 11·9 …","author":[{"dropping-particle":"","family":"Thiel","given":"Eckhard","non-dropping-particle":"","parse-names":false,"suffix":""},{"dropping-particle":"","family":"Korfel","given":"Agnieszka","non-dropping-particle":"","parse-names":false,"suffix":""},{"dropping-particle":"","family":"Martus","given":"Peter","non-dropping-particle":"","parse-names":false,"suffix":""},{"dropping-particle":"","family":"Kanz","given":"Lothar","non-dropping-particle":"","parse-names":false,"suffix":""},{"dropping-particle":"","family":"Griesinger","given":"Frank","non-dropping-particle":"","parse-names":false,"suffix":""},{"dropping-particle":"","family":"Rauch","given":"Michael","non-dropping-particle":"","parse-names":false,"suffix":""},{"dropping-particle":"","family":"Röth","given":"Alexander","non-dropping-particle":"","parse-names":false,"suffix":""},{"dropping-particle":"","family":"Hertenstein","given":"Bernd","non-dropping-particle":"","parse-names":false,"suffix":""},{"dropping-particle":"","family":"Toll","given":"Theda","non-dropping-particle":"von","parse-names":false,"suffix":""},{"dropping-particle":"","family":"Hundsberger","given":"Thomas","non-dropping-particle":"","parse-names":false,"suffix":""},{"dropping-particle":"","family":"Mergenthaler","given":"Hans Günther","non-dropping-particle":"","parse-names":false,"suffix":""},{"dropping-particle":"","family":"Leithäuser","given":"Malte","non-dropping-particle":"","parse-names":false,"suffix":""},{"dropping-particle":"","family":"Birnbaum","given":"Tobias","non-dropping-particle":"","parse-names":false,"suffix":""},{"dropping-particle":"","family":"Fischer","given":"Lars","non-dropping-particle":"","parse-names":false,"suffix":""},{"dropping-particle":"","family":"Jahnke","given":"Kristoph","non-dropping-particle":"","parse-names":false,"suffix":""},{"dropping-particle":"","family":"Herrlinger","given":"Ulrich","non-dropping-particle":"","parse-names":false,"suffix":""},{"dropping-particle":"","family":"Plasswilm","given":"Ludwig","non-dropping-particle":"","parse-names":false,"suffix":""},{"dropping-particle":"","family":"Nägele","given":"Thomas","non-dropping-particle":"","parse-names":false,"suffix":""},{"dropping-particle":"","family":"Pietsch","given":"Torsten","non-dropping-particle":"","parse-names":false,"suffix":""},{"dropping-particle":"","family":"Bamberg","given":"Michael","non-dropping-particle":"","parse-names":false,"suffix":""},{"dropping-particle":"","family":"Weller","given":"Michael","non-dropping-particle":"","parse-names":false,"suffix":""}],"container-title":"The Lancet Oncology","id":"ITEM-1","issue":"11","issued":{"date-parts":[["2010","11"]]},"page":"1036-1047","title":"High-dose methotrexate with or without whole brain radiotherapy for primary CNS lymphoma (G-PCNSL-SG-1): a phase 3, randomised, non-inferiority trial","type":"article-journal","volume":"11"},"uris":["http://www.mendeley.com/documents/?uuid=4f8cf043-3a2a-35c6-b4f9-c28df8d2d84a"]},{"id":"ITEM-2","itemData":{"DOI":"10.1016/S0140-6736(09)61416-1","ISSN":"01406736","abstract":"Background: Chemotherapy with high-dose methotrexate is the conventional approach to treat primary CNS lymphomas, but superiority of polychemotherapy compared with high-dose methotrexate alone is unproven. We assessed the effect of adding high-dose cytarabine to methotrexate in patients with newly diagnosed primary CNS lymphoma. Methods: This open, randomised, phase 2 trial was undertaken in 24 centres in six countries. 79 patients with non-Hodgkin lymphoma exclusively localised into the CNS, cranial nerves, or eyes, aged 18-75 years, and with Eastern Cooperative Oncology Group performance status of 3 or lower and measurable disease were centrally randomly assigned by computer to receive four courses of either methotrexate 3·5 g/m2 on day 1 (n=40) or methotrexate 3·5 g/m2 on day 1 plus cytarabine 2 g/m2 twice a day on days 2-3 (n=39). Both regimens were administered every 3 weeks and were followed by whole-brain irradiation. The primary endpoint was complete remission rate after chemotherapy. Analysis was by intention to treat. This study is registered with ClinicalTrials.gov, number NCT00210314. Findings: All randomly assigned participants were analysed. After chemotherapy, seven patients given methotrexate and 18 given methotrexate plus cytarabine achieved a complete remission, with a complete remission rate of 18% (95% CI 6-30) and 46% (31-61), respectively, (p=0·006). Nine patients receiving methotrexate and nine receiving methotrexate plus cytarabine achieved a partial response, with an overall response rate of 40% (25-55) and 69% (55-83), respectively, (p=0·009). Grade 3-4 haematological toxicity was more common in the methotrexate plus cytarabine group than in the methotrexate group (36 [92%] vs six [15%]). Four patients died of toxic effects (three vs one). Interpretation: In patients aged 75 years and younger with primary CNS lymphoma, the addition of high-dose cytarabine to high-dose methotrexate provides improved outcome with acceptable toxicity compared with high-dose methotrexate alone. Funding: Swiss Cancer League. © 2009 Elsevier Ltd. All rights reserved.","author":[{"dropping-particle":"","family":"Ferreri","given":"Andrés JM","non-dropping-particle":"","parse-names":false,"suffix":""},{"dropping-particle":"","family":"Reni","given":"Michele","non-dropping-particle":"","parse-names":false,"suffix":""},{"dropping-particle":"","family":"Foppoli","given":"Marco","non-dropping-particle":"","parse-names":false,"suffix":""},{"dropping-particle":"","family":"Martelli","given":"Maurizio","non-dropping-particle":"","parse-names":false,"suffix":""},{"dropping-particle":"","family":"Pangalis","given":"Gerasimus A.","non-dropping-particle":"","parse-names":false,"suffix":""},{"dropping-particle":"","family":"Frezzato","given":"Maurizio","non-dropping-particle":"","parse-names":false,"suffix":""},{"dropping-particle":"","family":"Cabras","given":"Maria Giuseppina","non-dropping-particle":"","parse-names":false,"suffix":""},{"dropping-particle":"","family":"Fabbri","given":"Alberto","non-dropping-particle":"","parse-names":false,"suffix":""},{"dropping-particle":"","family":"Corazzelli","given":"Gaetano","non-dropping-particle":"","parse-names":false,"suffix":""},{"dropping-particle":"","family":"Ilariucci","given":"Fiorella","non-dropping-particle":"","parse-names":false,"suffix":""},{"dropping-particle":"","family":"Rossi","given":"Giuseppe","non-dropping-particle":"","parse-names":false,"suffix":""},{"dropping-particle":"","family":"Soffietti","given":"Riccardo","non-dropping-particle":"","parse-names":false,"suffix":""},{"dropping-particle":"","family":"Stelitano","given":"Caterina","non-dropping-particle":"","parse-names":false,"suffix":""},{"dropping-particle":"","family":"Vallisa","given":"Daniele","non-dropping-particle":"","parse-names":false,"suffix":""},{"dropping-particle":"","family":"Zaja","given":"Francesco","non-dropping-particle":"","parse-names":false,"suffix":""},{"dropping-particle":"","family":"Zoppegno","given":"Lucía","non-dropping-particle":"","parse-names":false,"suffix":""},{"dropping-particle":"","family":"Aondio","given":"Gian Marco","non-dropping-particle":"","parse-names":false,"suffix":""},{"dropping-particle":"","family":"Avvisati","given":"Giuseppe","non-dropping-particle":"","parse-names":false,"suffix":""},{"dropping-particle":"","family":"Balzarotti","given":"Monica","non-dropping-particle":"","parse-names":false,"suffix":""},{"dropping-particle":"","family":"Brandes","given":"Alba A.","non-dropping-particle":"","parse-names":false,"suffix":""},{"dropping-particle":"","family":"Fajardo","given":"José","non-dropping-particle":"","parse-names":false,"suffix":""},{"dropping-particle":"","family":"Gomez","given":"Henry","non-dropping-particle":"","parse-names":false,"suffix":""},{"dropping-particle":"","family":"Guarini","given":"Attilio","non-dropping-particle":"","parse-names":false,"suffix":""},{"dropping-particle":"","family":"Pinotti","given":"Graziella","non-dropping-particle":"","parse-names":false,"suffix":""},{"dropping-particle":"","family":"Rigacci","given":"Luigi","non-dropping-particle":"","parse-names":false,"suffix":""},{"dropping-particle":"","family":"Uhlmann","given":"Catrina","non-dropping-particle":"","parse-names":false,"suffix":""},{"dropping-particle":"","family":"Picozzi","given":"Piero","non-dropping-particle":"","parse-names":false,"suffix":""},{"dropping-particle":"","family":"Vezzulli","given":"Paolo","non-dropping-particle":"","parse-names":false,"suffix":""},{"dropping-particle":"","family":"Ponzoni","given":"Maurilio","non-dropping-particle":"","parse-names":false,"suffix":""},{"dropping-particle":"","family":"Zucca","given":"Emanuele","non-dropping-particle":"","parse-names":false,"suffix":""},{"dropping-particle":"","family":"Caligaris-Cappio","given":"Federico","non-dropping-particle":"","parse-names":false,"suffix":""},{"dropping-particle":"","family":"Cavalli","given":"Franco","non-dropping-particle":"","parse-names":false,"suffix":""}],"container-title":"The Lancet","id":"ITEM-2","issue":"9700","issued":{"date-parts":[["2009"]]},"page":"1512-1520","title":"High-dose cytarabine plus high-dose methotrexate versus high-dose methotrexate alone in patients with primary CNS lymphoma: a randomised phase 2 trial","type":"article-journal","volume":"374"},"uris":["http://www.mendeley.com/documents/?uuid=ff6c34eb-65ed-333e-878d-5d30c9dd2ebd"]},{"id":"ITEM-3","itemData":{"DOI":"10.1093/jnci/80.17.1408","ISSN":"0027-8874","PMID":"3172268","abstract":"Ten patients with parenchymal CNS lymphoma received combination chemotherapy with dexamethasone, high-dose cytarabine, and cisplatin (DHAP), and additional therapy according to clinical circumstances. Two of four patients with primary CNS lymphoma achieved and remain in complete remission (CR). Four of six patients with CNS lymphoma at relapse also achieved CR. DHAP is active against CNS lymphoma. Further trials with DHAP, particularly in conjunction with other treatment modalities, are warranted.","author":[{"dropping-particle":"","family":"McLaughlin","given":"P","non-dropping-particle":"","parse-names":false,"suffix":""},{"dropping-particle":"","family":"Velasquez","given":"W S","non-dropping-particle":"","parse-names":false,"suffix":""},{"dropping-particle":"","family":"Redman","given":"J R","non-dropping-particle":"","parse-names":false,"suffix":""},{"dropping-particle":"","family":"Yung","given":"W K","non-dropping-particle":"","parse-names":false,"suffix":""},{"dropping-particle":"","family":"Hagemeister","given":"F B","non-dropping-particle":"","parse-names":false,"suffix":""},{"dropping-particle":"","family":"Rodriguez","given":"M A","non-dropping-particle":"","parse-names":false,"suffix":""},{"dropping-particle":"","family":"Cabanillas","given":"F","non-dropping-particle":"","parse-names":false,"suffix":""}],"container-title":"Journal of the National Cancer Institute","id":"ITEM-3","issue":"17","issued":{"date-parts":[["1988","11","2"]]},"page":"1408-12","title":"Chemotherapy with dexamethasone, high-dose cytarabine, and cisplatin for parenchymal brain lymphoma.","type":"article-journal","volume":"80"},"uris":["http://www.mendeley.com/documents/?uuid=fa097cbb-f48c-3862-a073-b6059158db96"]},{"id":"ITEM-4","itemData":{"DOI":"10.3109/10428194.2014.916800","ISSN":"10292403","abstract":"The prognosis for patients with central nervous system (CNS) involvement by recurrent or refractory diffuse large B-cell lymphoma is poor, with overall survival (OS) of 4-10 months. High-dose chemotherapy (HDC) and autologous stem cell transplant (ASCT) is a potential treatment alternative. We reviewed patients with recurrent primary (PCNSL) or secondary (SCNSL) CNS lymphoma referred for consolidation HDC-ASCT utilizing thiotepa, busulfan and cyclophosphamide (TBC). Among the 17 patients included, all had achieved a complete remission after salvage induction chemotherapy, which incorporated methotrexate in 82% of patients. Two patients failed stem-cell harvesting and 15 (88%) underwent transplant. The estimated 3-year progression-free survival (PFS) and OS were both 93% (95% confidence interval 61-99%). Median PFS and OS were not reached. There was no transplant-related mortality. These results confirm the benefit of TBC followed by ASCT in select patients with recurrent PCNSL and suggest a potential role for the regimen in those with SCNSL. Further investigation is warranted.","author":[{"dropping-particle":"","family":"Welch","given":"Mary R.","non-dropping-particle":"","parse-names":false,"suffix":""},{"dropping-particle":"","family":"Sauter","given":"Craig S.","non-dropping-particle":"","parse-names":false,"suffix":""},{"dropping-particle":"","family":"Matasar","given":"Matthew J.","non-dropping-particle":"","parse-names":false,"suffix":""},{"dropping-particle":"","family":"Faivre","given":"Geraldine","non-dropping-particle":"","parse-names":false,"suffix":""},{"dropping-particle":"","family":"Weaver","given":"Susan A.","non-dropping-particle":"","parse-names":false,"suffix":""},{"dropping-particle":"","family":"Moskowitz","given":"Craig H.","non-dropping-particle":"","parse-names":false,"suffix":""},{"dropping-particle":"","family":"Omuro","given":"Antonio M.","non-dropping-particle":"","parse-names":false,"suffix":""}],"container-title":"Leukemia and Lymphoma","id":"ITEM-4","issue":"2","issued":{"date-parts":[["2015","2","1"]]},"page":"361-367","publisher":"Informa Healthcare","title":"Autologous stem cell transplant in recurrent or refractory primary or secondary central nervous system lymphoma using thiotepa, busulfan and cyclophosphamide","type":"article-journal","volume":"56"},"uris":["http://www.mendeley.com/documents/?uuid=58e365c0-daa1-3d31-92db-ceacf55db374"]},{"id":"ITEM-5","itemData":{"DOI":"10.1200/JCO.2005.01.161","ISSN":"0732183X","abstract":"Purpose: This study evaluates the efficacy and toxicity of whole-brain radiation therapy (WBRT) as salvage therapy for immunocompetent patients who failed initial high-dose methotrexate for primary CNS lymphoma (PCNSL). Patients and Methods: The study cohort included 27 consecutive patients who failed initial high-dose methotrexate and then received salvage WBRT (median dose, 36 Gy). Actuarial survival was measured from the initiation of radiotherapy. Results: Ten patients (37%) achieved a complete radiographic response (CR), and 10 patients (37%) a partial response to WBRT, for a 74% overall radiographic response rate. At the time of maximal response, Karnofsky performance status improved in 12 (44%) of 27 patients and at least stabilized in 67%. Median estimated survival from initiation of WBRT was 10.9 months (range, 0.3 to 63.7 months). The univariate predictor of longer survival was age less than 60 years at the time of WBRT (P = .028). Among patients who survived 4 months, achievement of a CR to WBRT by 4 months (P = .002) predicted longer survival. Late treatment-associated neurotoxicity was diagnosed in four patients (15%) and was significantly associated with total radiation doses greater than 36 Gy (P = .04). No patient treated with daily fractions less than 1.8 Gy developed late neurotoxicity. Conclusion: For patients with PCNSL who experience treatment failure with methotrexate, WBRT provides high response rates (74%) and a median survival of 10.9 months. Age less than 60 years and response to WBRT predict post-WBRT survival. Modest rates of late neurotoxicity (15%) were seen and were associated with a total dose greater than 36 Gy. © 2005 by American Society of Clinical Oncology.","author":[{"dropping-particle":"","family":"Nguyen","given":"Paul L.","non-dropping-particle":"","parse-names":false,"suffix":""},{"dropping-particle":"","family":"Chakravarti","given":"Arnab","non-dropping-particle":"","parse-names":false,"suffix":""},{"dropping-particle":"","family":"Finkelstein","given":"Dianne M.","non-dropping-particle":"","parse-names":false,"suffix":""},{"dropping-particle":"","family":"Hochberg","given":"Fred H.","non-dropping-particle":"","parse-names":false,"suffix":""},{"dropping-particle":"","family":"Batchelor","given":"Tracy T.","non-dropping-particle":"","parse-names":false,"suffix":""},{"dropping-particle":"","family":"Loeffler","given":"Jay S.","non-dropping-particle":"","parse-names":false,"suffix":""}],"container-title":"Journal of Clinical Oncology","id":"ITEM-5","issue":"7","issued":{"date-parts":[["2005","3","1"]]},"page":"1507-1513","title":"Results of whole-brain radiation as salvage of methotrexate failure for immunocompetent patients with primary CNS lymphoma","type":"article-journal","volume":"23"},"uris":["http://www.mendeley.com/documents/?uuid=4a193ec7-ab91-3c54-82cb-30f291d607ae"]}],"mendeley":{"formattedCitation":"[72,73,108–110]","plainTextFormattedCitation":"[72,73,108–110]","previouslyFormattedCitation":"[72,73,108–110]"},"properties":{"noteIndex":0},"schema":"https://github.com/citation-style-language/schema/raw/master/csl-citation.json"}</w:instrText>
      </w:r>
      <w:r w:rsidRPr="000322E4">
        <w:fldChar w:fldCharType="separate"/>
      </w:r>
      <w:r w:rsidR="00C37789" w:rsidRPr="000322E4">
        <w:rPr>
          <w:noProof/>
        </w:rPr>
        <w:t>[72,73,108–110]</w:t>
      </w:r>
      <w:r w:rsidRPr="000322E4">
        <w:fldChar w:fldCharType="end"/>
      </w:r>
      <w:r w:rsidRPr="000322E4">
        <w:t>.</w:t>
      </w:r>
    </w:p>
    <w:p w14:paraId="14267B32" w14:textId="77777777" w:rsidR="005C2F6B" w:rsidRPr="000322E4" w:rsidRDefault="005C2F6B" w:rsidP="00F414BF">
      <w:pPr>
        <w:ind w:left="709"/>
        <w:contextualSpacing/>
        <w:rPr>
          <w:b/>
        </w:rPr>
      </w:pPr>
      <w:r w:rsidRPr="000322E4">
        <w:rPr>
          <w:b/>
        </w:rPr>
        <w:t xml:space="preserve">Уровень убедительности рекомендаций </w:t>
      </w:r>
      <w:r w:rsidR="00DE6A24" w:rsidRPr="000322E4">
        <w:rPr>
          <w:b/>
        </w:rPr>
        <w:t>С</w:t>
      </w:r>
      <w:r w:rsidRPr="000322E4">
        <w:rPr>
          <w:b/>
        </w:rPr>
        <w:t xml:space="preserve"> (уровень достоверности доказательств </w:t>
      </w:r>
      <w:r w:rsidR="00DE6A24" w:rsidRPr="000322E4">
        <w:rPr>
          <w:b/>
        </w:rPr>
        <w:t>4</w:t>
      </w:r>
      <w:r w:rsidRPr="000322E4">
        <w:rPr>
          <w:b/>
        </w:rPr>
        <w:t>).</w:t>
      </w:r>
    </w:p>
    <w:p w14:paraId="2350EEA7" w14:textId="77777777" w:rsidR="005C2F6B" w:rsidRPr="000322E4" w:rsidRDefault="005C2F6B" w:rsidP="00F414BF">
      <w:pPr>
        <w:ind w:left="709"/>
        <w:contextualSpacing/>
        <w:rPr>
          <w:b/>
        </w:rPr>
      </w:pPr>
      <w:r w:rsidRPr="000322E4">
        <w:rPr>
          <w:b/>
        </w:rPr>
        <w:lastRenderedPageBreak/>
        <w:t>Комментарии:</w:t>
      </w:r>
      <w:r w:rsidRPr="000322E4">
        <w:t xml:space="preserve"> </w:t>
      </w:r>
      <w:r w:rsidR="00DE6A24" w:rsidRPr="000322E4">
        <w:rPr>
          <w:i/>
          <w:iCs/>
        </w:rPr>
        <w:t>пациентам, получившим в первой линии  режимы с высокодозным метотрексатом, без лучевой терапии, выбор между назначением системной химиотерапии или облучения зависит от длительности ответа на ХТ первой линии: если эффект сохраняется относительно долго (1</w:t>
      </w:r>
      <w:r w:rsidR="009462E4" w:rsidRPr="000322E4">
        <w:rPr>
          <w:i/>
          <w:iCs/>
        </w:rPr>
        <w:t xml:space="preserve"> </w:t>
      </w:r>
      <w:r w:rsidR="00DE6A24" w:rsidRPr="000322E4">
        <w:rPr>
          <w:i/>
          <w:iCs/>
        </w:rPr>
        <w:t>год и больше),  рекомендуется возобновление ХТ, того же или иного режима. Если ответ был коротким или не получен вообще, рекомендуется выполнение ЛТ: на весь головной мозг или вовлеченные области с/или без системной терапии. В иных случаях, как опция рассматривается паллиативная терапия, для отдельных групп пациентов — ВДХТ с аутоТГСК.</w:t>
      </w:r>
    </w:p>
    <w:p w14:paraId="72E04D10" w14:textId="77777777" w:rsidR="000578EF" w:rsidRPr="000322E4" w:rsidRDefault="000578EF" w:rsidP="00F414BF">
      <w:pPr>
        <w:pStyle w:val="2"/>
        <w:spacing w:before="0"/>
        <w:contextualSpacing/>
      </w:pPr>
      <w:bookmarkStart w:id="43" w:name="_Toc66096829"/>
      <w:r w:rsidRPr="000322E4">
        <w:t>3.</w:t>
      </w:r>
      <w:r w:rsidR="007726E0" w:rsidRPr="000322E4">
        <w:t>7</w:t>
      </w:r>
      <w:r w:rsidRPr="000322E4">
        <w:t xml:space="preserve"> Оценка ответа на лечение</w:t>
      </w:r>
      <w:bookmarkEnd w:id="43"/>
    </w:p>
    <w:p w14:paraId="21F95B32" w14:textId="77777777" w:rsidR="000578EF" w:rsidRPr="000322E4" w:rsidRDefault="000578EF" w:rsidP="00F414BF">
      <w:pPr>
        <w:pStyle w:val="afff8"/>
        <w:spacing w:before="0"/>
      </w:pPr>
      <w:r w:rsidRPr="000322E4">
        <w:t xml:space="preserve">Всем пациентам с </w:t>
      </w:r>
      <w:r w:rsidR="00AE61A0" w:rsidRPr="000322E4">
        <w:t>ДВКЛ</w:t>
      </w:r>
      <w:r w:rsidR="007726E0" w:rsidRPr="000322E4">
        <w:t>, ПМВКЛ или ЛБ</w:t>
      </w:r>
      <w:r w:rsidR="00AE61A0" w:rsidRPr="000322E4">
        <w:t xml:space="preserve"> </w:t>
      </w:r>
      <w:r w:rsidRPr="000322E4">
        <w:t>после завершения всей программы лечения,</w:t>
      </w:r>
      <w:r w:rsidRPr="000322E4">
        <w:rPr>
          <w:b/>
        </w:rPr>
        <w:t xml:space="preserve"> рекомендуется</w:t>
      </w:r>
      <w:r w:rsidRPr="000322E4">
        <w:t xml:space="preserve"> оценка ответа на терапию в соответствии со стандартными критериями ответа на лечение лимфом (см. </w:t>
      </w:r>
      <w:r w:rsidR="007A344D" w:rsidRPr="000322E4">
        <w:t>раздел 7.</w:t>
      </w:r>
      <w:r w:rsidR="00AE61A0" w:rsidRPr="000322E4">
        <w:t>6</w:t>
      </w:r>
      <w:r w:rsidR="007A344D" w:rsidRPr="000322E4">
        <w:t xml:space="preserve"> данных рекомендаций</w:t>
      </w:r>
      <w:r w:rsidRPr="000322E4">
        <w:t>)</w:t>
      </w:r>
      <w:r w:rsidR="001D28F8" w:rsidRPr="000322E4">
        <w:t xml:space="preserve"> </w:t>
      </w:r>
      <w:r w:rsidR="001D28F8" w:rsidRPr="000322E4">
        <w:fldChar w:fldCharType="begin" w:fldLock="1"/>
      </w:r>
      <w:r w:rsidR="00C37789" w:rsidRPr="000322E4">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лимфом","type":"chapter"},"uris":["http://www.mendeley.com/documents/?uuid=d7eb85a2-da5e-400d-b112-7f0a5734958d"]},{"id":"ITEM-2","itemData":{"DOI":"10.1200/JCO.2006.09.2403","ISSN":"0732183X","abstract":"PURPOSE Standardized response criteria are needed to interpret and compare clinical trials and for approval of new therapeutic agents by regulatory agencies. METHODS The International Working Group response criteria (Cheson et al, J Clin Oncol 17:1244, 1999) were widely adopted, but required reassessment because of identified limitations and the increased use of [18F]fluorodeoxyglucose-positron emission tomography (PET), immunohistochemistry (IHC), and flow cytometry. The International Harmonization Project was convened to provide updated recommendations. RESULTS New guidelines are presented incorporating PET, IHC, and flow cytometry for definitions of response in non-Hodgkin's and Hodgkin's lymphoma. Standardized definitions of end points are provided. CONCLUSION We hope that these guidelines will be adopted widely by study groups, pharmaceutical and biotechnology companies, and regulatory agencies to facilitate the development of new and more effective therapies to improve the outcome of patients with lymphoma.","author":[{"dropping-particle":"","family":"Cheson","given":"Bruce D.","non-dropping-particle":"","parse-names":false,"suffix":""},{"dropping-particle":"","family":"Pfistner","given":"Beate","non-dropping-particle":"","parse-names":false,"suffix":""},{"dropping-particle":"","family":"Juweid","given":"Malik E.","non-dropping-particle":"","parse-names":false,"suffix":""},{"dropping-particle":"","family":"Gascoyne","given":"Randy D.","non-dropping-particle":"","parse-names":false,"suffix":""},{"dropping-particle":"","family":"Specht","given":"Lena","non-dropping-particle":"","parse-names":false,"suffix":""},{"dropping-particle":"","family":"Horning","given":"Sandra J.","non-dropping-particle":"","parse-names":false,"suffix":""},{"dropping-particle":"","family":"Coiffier","given":"Bertrand","non-dropping-particle":"","parse-names":false,"suffix":""},{"dropping-particle":"","family":"Fisher","given":"Richard I.","non-dropping-particle":"","parse-names":false,"suffix":""},{"dropping-particle":"","family":"Hagenbeek","given":"Anton","non-dropping-particle":"","parse-names":false,"suffix":""},{"dropping-particle":"","family":"Zucca","given":"Emanuele","non-dropping-particle":"","parse-names":false,"suffix":""},{"dropping-particle":"","family":"Rosen","given":"Steven T.","non-dropping-particle":"","parse-names":false,"suffix":""},{"dropping-particle":"","family":"Stroobants","given":"Sigrid","non-dropping-particle":"","parse-names":false,"suffix":""},{"dropping-particle":"","family":"Lister","given":"T. Andrew","non-dropping-particle":"","parse-names":false,"suffix":""},{"dropping-particle":"","family":"Hoppe","given":"Richard T.","non-dropping-particle":"","parse-names":false,"suffix":""},{"dropping-particle":"","family":"Dreyling","given":"Martin","non-dropping-particle":"","parse-names":false,"suffix":""},{"dropping-particle":"","family":"Tobinai","given":"Kensei","non-dropping-particle":"","parse-names":false,"suffix":""},{"dropping-particle":"","family":"Vose","given":"Julie M.","non-dropping-particle":"","parse-names":false,"suffix":""},{"dropping-particle":"","family":"Connors","given":"Joseph M.","non-dropping-particle":"","parse-names":false,"suffix":""},{"dropping-particle":"","family":"Federico","given":"Massimo","non-dropping-particle":"","parse-names":false,"suffix":""},{"dropping-particle":"","family":"Diehl","given":"Volker","non-dropping-particle":"","parse-names":false,"suffix":""}],"container-title":"Journal of Clinical Oncology","id":"ITEM-2","issue":"5","issued":{"date-parts":[["2007"]]},"page":"579-586","title":"Revised response criteria for malignant lymphoma","type":"article","volume":"25"},"uris":["http://www.mendeley.com/documents/?uuid=54621e2a-fa6c-3787-a396-2fbb20883fe7"]}],"mendeley":{"formattedCitation":"[17,111]","plainTextFormattedCitation":"[17,111]","previouslyFormattedCitation":"[17,111]"},"properties":{"noteIndex":0},"schema":"https://github.com/citation-style-language/schema/raw/master/csl-citation.json"}</w:instrText>
      </w:r>
      <w:r w:rsidR="001D28F8" w:rsidRPr="000322E4">
        <w:fldChar w:fldCharType="separate"/>
      </w:r>
      <w:r w:rsidR="00C37789" w:rsidRPr="000322E4">
        <w:rPr>
          <w:noProof/>
        </w:rPr>
        <w:t>[17,111]</w:t>
      </w:r>
      <w:r w:rsidR="001D28F8" w:rsidRPr="000322E4">
        <w:fldChar w:fldCharType="end"/>
      </w:r>
      <w:r w:rsidRPr="000322E4">
        <w:t xml:space="preserve">. </w:t>
      </w:r>
    </w:p>
    <w:p w14:paraId="762C54B8" w14:textId="77777777" w:rsidR="000578EF" w:rsidRPr="000322E4" w:rsidRDefault="000578EF" w:rsidP="00F414BF">
      <w:pPr>
        <w:ind w:left="709"/>
        <w:rPr>
          <w:b/>
        </w:rPr>
      </w:pPr>
      <w:r w:rsidRPr="000322E4">
        <w:rPr>
          <w:b/>
        </w:rPr>
        <w:t>Уровень убедительности рекомендаций С (уровень достоверности доказательств 5).</w:t>
      </w:r>
    </w:p>
    <w:p w14:paraId="1DBB0298" w14:textId="77777777" w:rsidR="001D28F8" w:rsidRPr="000322E4" w:rsidRDefault="001D28F8" w:rsidP="00F414BF">
      <w:pPr>
        <w:pStyle w:val="2"/>
        <w:spacing w:before="0"/>
        <w:contextualSpacing/>
      </w:pPr>
      <w:bookmarkStart w:id="44" w:name="_Toc66096830"/>
      <w:r w:rsidRPr="000322E4">
        <w:t>3.</w:t>
      </w:r>
      <w:r w:rsidR="007726E0" w:rsidRPr="000322E4">
        <w:t>8</w:t>
      </w:r>
      <w:r w:rsidRPr="000322E4">
        <w:t xml:space="preserve"> Сопутствующая и сопроводительная терапия</w:t>
      </w:r>
      <w:bookmarkEnd w:id="44"/>
    </w:p>
    <w:p w14:paraId="2A5F3C7D" w14:textId="77777777" w:rsidR="001D28F8" w:rsidRPr="000322E4" w:rsidRDefault="001D28F8" w:rsidP="00F414BF">
      <w:pPr>
        <w:pStyle w:val="a"/>
        <w:spacing w:before="0"/>
      </w:pPr>
      <w:r w:rsidRPr="000322E4">
        <w:t xml:space="preserve">Всем пациентам </w:t>
      </w:r>
      <w:r w:rsidRPr="000322E4">
        <w:rPr>
          <w:lang w:val="en-US"/>
        </w:rPr>
        <w:t>c</w:t>
      </w:r>
      <w:r w:rsidRPr="000322E4">
        <w:t xml:space="preserve"> </w:t>
      </w:r>
      <w:r w:rsidR="00AE61A0" w:rsidRPr="000322E4">
        <w:t>ДВКЛ</w:t>
      </w:r>
      <w:r w:rsidR="007726E0" w:rsidRPr="000322E4">
        <w:t>, ПМВКЛ или ЛБ</w:t>
      </w:r>
      <w:r w:rsidRPr="000322E4">
        <w:t xml:space="preserve"> с исходно массивным поражением, получающим противоопухолевую терапию, </w:t>
      </w:r>
      <w:r w:rsidRPr="000322E4">
        <w:rPr>
          <w:b/>
        </w:rPr>
        <w:t xml:space="preserve">рекомендовано </w:t>
      </w:r>
      <w:r w:rsidRPr="000322E4">
        <w:t xml:space="preserve">проведение профилактики синдрома лизиса опухолей согласно существующим профильным рекомендациям </w:t>
      </w:r>
      <w:r w:rsidRPr="000322E4">
        <w:fldChar w:fldCharType="begin" w:fldLock="1"/>
      </w:r>
      <w:r w:rsidR="00C37789" w:rsidRPr="000322E4">
        <w:instrText>ADDIN CSL_CITATION {"citationItems":[{"id":"ITEM-1","itemData":{"author":[{"dropping-particle":"","family":"Барях","given":"Е.А.","non-dropping-particle":"","parse-names":false,"suffix":""},{"dropping-particle":"","family":"Мякова","given":"Н.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Савченко.","id":"ITEM-1","issued":{"date-parts":[["2018"]]},"page":"251-253","title":"Профилактика и лечение синдрома лизиса опухоли","type":"chapter"},"uris":["http://www.mendeley.com/documents/?uuid=f076f62d-bb83-43f7-ada9-fd1c459dafc9"]}],"mendeley":{"formattedCitation":"[89]","plainTextFormattedCitation":"[89]","previouslyFormattedCitation":"[89]"},"properties":{"noteIndex":0},"schema":"https://github.com/citation-style-language/schema/raw/master/csl-citation.json"}</w:instrText>
      </w:r>
      <w:r w:rsidRPr="000322E4">
        <w:fldChar w:fldCharType="separate"/>
      </w:r>
      <w:r w:rsidR="00C37789" w:rsidRPr="000322E4">
        <w:rPr>
          <w:noProof/>
        </w:rPr>
        <w:t>[89]</w:t>
      </w:r>
      <w:r w:rsidRPr="000322E4">
        <w:fldChar w:fldCharType="end"/>
      </w:r>
    </w:p>
    <w:p w14:paraId="22A054E3" w14:textId="77777777" w:rsidR="001D28F8" w:rsidRPr="000322E4" w:rsidRDefault="001D28F8" w:rsidP="00F414BF">
      <w:pPr>
        <w:ind w:left="709"/>
        <w:contextualSpacing/>
        <w:rPr>
          <w:b/>
        </w:rPr>
      </w:pPr>
      <w:r w:rsidRPr="000322E4">
        <w:rPr>
          <w:b/>
        </w:rPr>
        <w:t>Уровень убедительности рекомендаций С (уровень достоверности доказательств 5).</w:t>
      </w:r>
    </w:p>
    <w:p w14:paraId="7BE55B42" w14:textId="77777777" w:rsidR="001D28F8" w:rsidRPr="000322E4" w:rsidRDefault="001D28F8" w:rsidP="00F414BF">
      <w:pPr>
        <w:pStyle w:val="a"/>
        <w:spacing w:before="0"/>
      </w:pPr>
      <w:r w:rsidRPr="000322E4">
        <w:t xml:space="preserve">Всем пациентам </w:t>
      </w:r>
      <w:r w:rsidRPr="000322E4">
        <w:rPr>
          <w:lang w:val="en-US"/>
        </w:rPr>
        <w:t>c</w:t>
      </w:r>
      <w:r w:rsidRPr="000322E4">
        <w:t xml:space="preserve"> </w:t>
      </w:r>
      <w:r w:rsidR="00AE61A0" w:rsidRPr="000322E4">
        <w:t>ДВКЛ</w:t>
      </w:r>
      <w:r w:rsidR="007726E0" w:rsidRPr="000322E4">
        <w:t>, ПМВКЛ или ЛБ</w:t>
      </w:r>
      <w:r w:rsidRPr="000322E4">
        <w:t xml:space="preserve"> со сниженной концентрацией гемоглобина крови </w:t>
      </w:r>
      <w:r w:rsidRPr="000322E4">
        <w:rPr>
          <w:b/>
        </w:rPr>
        <w:t xml:space="preserve">рекомендовано </w:t>
      </w:r>
      <w:r w:rsidRPr="000322E4">
        <w:rPr>
          <w:bCs/>
        </w:rPr>
        <w:t>лечен</w:t>
      </w:r>
      <w:r w:rsidRPr="000322E4">
        <w:t xml:space="preserve">ие анемии согласно существующим профильным рекомендациям </w:t>
      </w:r>
      <w:r w:rsidRPr="000322E4">
        <w:fldChar w:fldCharType="begin" w:fldLock="1"/>
      </w:r>
      <w:r w:rsidR="00C37789" w:rsidRPr="000322E4">
        <w:instrText>ADDIN CSL_CITATION {"citationItems":[{"id":"ITEM-1","itemData":{"author":[{"dropping-particle":"","family":"Aapro","given":"M.","non-dropping-particle":"","parse-names":false,"suffix":""},{"dropping-particle":"","family":"Давыдкин","given":"И.Л.","non-dropping-particle":"","parse-names":false,"suffix":""},{"dropping-particle":"","family":"Давиденко","given":"И.С.","non-dropping-particle":"","parse-names":false,"suffix":""},{"dropping-particle":"","family":"Королева","given":"И.А.","non-dropping-particle":"","parse-names":false,"suffix":""},{"dropping-particle":"","family":"Манзюк","given":"Л.В.","non-dropping-particle":"","parse-names":false,"suffix":""},{"dropping-particle":"","family":"Моисеенко","given":"В.М.","non-dropping-particle":"","parse-names":false,"suffix":""},{"dropping-particle":"","family":"Поддубная","given":"И.В.","non-dropping-particle":"","parse-names":false,"suffix":""},{"dropping-particle":"","family":"Птушкин","given":"В.В.","non-dropping-particle":"","parse-names":false,"suffix":""},{"dropping-particle":"","family":"Поспелова","given":"Т.И.","non-dropping-particle":"","parse-names":false,"suffix":""},{"dropping-particle":"","family":"Снеговой","given":"А.В.","non-dropping-particle":"","parse-names":false,"suffix":""},{"dropping-particle":"","family":"Тюляндин","given":"С.А.","non-dropping-particle":"","parse-names":false,"suffix":""},{"dropping-particle":"","family":"Чернов","given":"В.М.","non-dropping-particle":"","parse-names":false,"suffix":""}],"id":"ITEM-1","issued":{"date-parts":[["2014"]]},"publisher":"Ассоциация онкологов России","publisher-place":"М.","title":"Клинические рекомендации по лечению анемии у больных злокачественными новообразованиями.","type":"article"},"uris":["http://www.mendeley.com/documents/?uuid=b7b22c8b-58ed-4971-a61d-a05fab12a819"]},{"id":"ITEM-2","itemData":{"author":[{"dropping-particle":"","family":"Орлова","given":"Р.В.","non-dropping-particle":"","parse-names":false,"suffix":""},{"dropping-particle":"","family":"Гладков","given":"О.А.","non-dropping-particle":"","parse-names":false,"suffix":""},{"dropping-particle":"","family":"Жуков","given":"Н.В.","non-dropping-particle":"","parse-names":false,"suffix":""},{"dropping-particle":"","family":"Копп","given":"М.В.","non-dropping-particle":"","parse-names":false,"suffix":""},{"dropping-particle":"","family":"Королева","given":"И.А.","non-dropping-particle":"","parse-names":false,"suffix":""},{"dropping-particle":"","family":"Ларионова","given":"В.Б.","non-dropping-particle":"","parse-names":false,"suffix":""},{"dropping-particle":"","family":"Моисеенко","given":"В.М.","non-dropping-particle":"","parse-names":false,"suffix":""},{"dropping-particle":"","family":"Поддубная","given":"И.В.","non-dropping-particle":"","parse-names":false,"suffix":""},{"dropping-particle":"","family":"Птушкин","given":"В.В.","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онкологии.","id":"ITEM-2","issued":{"date-parts":[["2018"]]},"page":"494-501","title":"Практические рекомендации по лечению анемии при злокачественных новообразованиях","type":"chapter"},"uris":["http://www.mendeley.com/documents/?uuid=959e602b-c01f-46ef-8d86-ffaa7505b3fe"]}],"mendeley":{"formattedCitation":"[112,113]","plainTextFormattedCitation":"[112,113]","previouslyFormattedCitation":"[112,113]"},"properties":{"noteIndex":0},"schema":"https://github.com/citation-style-language/schema/raw/master/csl-citation.json"}</w:instrText>
      </w:r>
      <w:r w:rsidRPr="000322E4">
        <w:fldChar w:fldCharType="separate"/>
      </w:r>
      <w:r w:rsidR="00C37789" w:rsidRPr="000322E4">
        <w:rPr>
          <w:noProof/>
        </w:rPr>
        <w:t>[112,113]</w:t>
      </w:r>
      <w:r w:rsidRPr="000322E4">
        <w:fldChar w:fldCharType="end"/>
      </w:r>
      <w:r w:rsidRPr="000322E4">
        <w:t>.</w:t>
      </w:r>
    </w:p>
    <w:p w14:paraId="28EAE82B" w14:textId="77777777" w:rsidR="001D28F8" w:rsidRPr="000322E4" w:rsidRDefault="001D28F8" w:rsidP="00F414BF">
      <w:pPr>
        <w:ind w:left="709"/>
        <w:contextualSpacing/>
        <w:rPr>
          <w:b/>
        </w:rPr>
      </w:pPr>
      <w:r w:rsidRPr="000322E4">
        <w:rPr>
          <w:b/>
        </w:rPr>
        <w:t>Уровень убедительности рекомендаций С (уровень достоверности доказательств 5).</w:t>
      </w:r>
    </w:p>
    <w:p w14:paraId="56D97065" w14:textId="77777777" w:rsidR="001D28F8" w:rsidRPr="000322E4" w:rsidRDefault="001D28F8" w:rsidP="00F414BF">
      <w:pPr>
        <w:pStyle w:val="a"/>
        <w:spacing w:before="0"/>
      </w:pPr>
      <w:r w:rsidRPr="000322E4">
        <w:t xml:space="preserve">Всем пациентам </w:t>
      </w:r>
      <w:r w:rsidRPr="000322E4">
        <w:rPr>
          <w:lang w:val="en-US"/>
        </w:rPr>
        <w:t>c</w:t>
      </w:r>
      <w:r w:rsidRPr="000322E4">
        <w:t xml:space="preserve"> </w:t>
      </w:r>
      <w:r w:rsidR="00AE61A0" w:rsidRPr="000322E4">
        <w:t>ДВКЛ</w:t>
      </w:r>
      <w:r w:rsidR="007726E0" w:rsidRPr="000322E4">
        <w:t>, ПМВКЛ или ЛБ</w:t>
      </w:r>
      <w:r w:rsidRPr="000322E4">
        <w:t xml:space="preserve">, получающим противоопухолевую химио- или лучевую терапию, </w:t>
      </w:r>
      <w:r w:rsidRPr="000322E4">
        <w:rPr>
          <w:b/>
        </w:rPr>
        <w:t xml:space="preserve">рекомендована </w:t>
      </w:r>
      <w:r w:rsidRPr="000322E4">
        <w:rPr>
          <w:bCs/>
        </w:rPr>
        <w:t>профилактика и лечен</w:t>
      </w:r>
      <w:r w:rsidRPr="000322E4">
        <w:t>ие тошноты и рвоты в зависимости от эметогенного потенциала проводимого лечения согласно существующим профильным рекомендациям</w:t>
      </w:r>
      <w:r w:rsidR="00D234C0" w:rsidRPr="000322E4">
        <w:t xml:space="preserve"> </w:t>
      </w:r>
      <w:r w:rsidR="00D234C0" w:rsidRPr="000322E4">
        <w:fldChar w:fldCharType="begin" w:fldLock="1"/>
      </w:r>
      <w:r w:rsidR="00C37789" w:rsidRPr="000322E4">
        <w:instrText>ADDIN CSL_CITATION {"citationItems":[{"id":"ITEM-1","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онкологии.","id":"ITEM-1","issued":{"date-parts":[["2018"]]},"page":"502-511","title":"Практические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[114]","plainTextFormattedCitation":"[114]","previouslyFormattedCitation":"[114]"},"properties":{"noteIndex":0},"schema":"https://github.com/citation-style-language/schema/raw/master/csl-citation.json"}</w:instrText>
      </w:r>
      <w:r w:rsidR="00D234C0" w:rsidRPr="000322E4">
        <w:fldChar w:fldCharType="separate"/>
      </w:r>
      <w:r w:rsidR="00C37789" w:rsidRPr="000322E4">
        <w:rPr>
          <w:noProof/>
        </w:rPr>
        <w:t>[114]</w:t>
      </w:r>
      <w:r w:rsidR="00D234C0" w:rsidRPr="000322E4">
        <w:fldChar w:fldCharType="end"/>
      </w:r>
      <w:r w:rsidR="00D234C0" w:rsidRPr="000322E4">
        <w:t>.</w:t>
      </w:r>
    </w:p>
    <w:p w14:paraId="6EB9A410" w14:textId="77777777" w:rsidR="001D28F8" w:rsidRPr="000322E4" w:rsidRDefault="001D28F8" w:rsidP="00F414BF">
      <w:pPr>
        <w:ind w:left="709"/>
        <w:contextualSpacing/>
        <w:rPr>
          <w:b/>
        </w:rPr>
      </w:pPr>
      <w:r w:rsidRPr="000322E4">
        <w:rPr>
          <w:b/>
        </w:rPr>
        <w:t>Уровень убедительности рекомендаций С (уровень достоверности доказательств 5).</w:t>
      </w:r>
    </w:p>
    <w:p w14:paraId="62D7DDB1" w14:textId="77777777" w:rsidR="001D28F8" w:rsidRPr="000322E4" w:rsidRDefault="001D28F8" w:rsidP="00F414BF">
      <w:pPr>
        <w:pStyle w:val="a"/>
        <w:spacing w:before="0"/>
      </w:pPr>
      <w:r w:rsidRPr="000322E4">
        <w:lastRenderedPageBreak/>
        <w:t xml:space="preserve">Пациентам с </w:t>
      </w:r>
      <w:r w:rsidR="00AE61A0" w:rsidRPr="000322E4">
        <w:t>ДВКЛ</w:t>
      </w:r>
      <w:r w:rsidR="007726E0" w:rsidRPr="000322E4">
        <w:t>, ПМВКЛ или ЛБ</w:t>
      </w:r>
      <w:r w:rsidRPr="000322E4">
        <w:t xml:space="preserve"> с выявленной симптоматической гипогаммаглобулинемией (перенесенная тяжелая инфекция, </w:t>
      </w:r>
      <w:r w:rsidRPr="000322E4">
        <w:rPr>
          <w:lang w:val="en-US"/>
        </w:rPr>
        <w:t>IgG</w:t>
      </w:r>
      <w:r w:rsidRPr="000322E4">
        <w:t xml:space="preserve"> &lt; 4 г/л) </w:t>
      </w:r>
      <w:r w:rsidRPr="000322E4">
        <w:rPr>
          <w:b/>
        </w:rPr>
        <w:t xml:space="preserve">рекомендовано </w:t>
      </w:r>
      <w:r w:rsidRPr="000322E4">
        <w:t>проведение заместительной терапии #иммуноглобулином человека нормальным 0,2-0,4 г/кг в/в кажды</w:t>
      </w:r>
      <w:r w:rsidR="00347A28" w:rsidRPr="000322E4">
        <w:t>е</w:t>
      </w:r>
      <w:r w:rsidRPr="000322E4">
        <w:t xml:space="preserve"> 3-4 недели в течение 12 месяцев </w:t>
      </w:r>
      <w:r w:rsidR="000C58AB" w:rsidRPr="000322E4">
        <w:t xml:space="preserve">для лечения вторичного иммунодефицита </w:t>
      </w:r>
      <w:r w:rsidR="00D234C0" w:rsidRPr="000322E4">
        <w:fldChar w:fldCharType="begin" w:fldLock="1"/>
      </w:r>
      <w:r w:rsidR="00C37789" w:rsidRPr="000322E4">
        <w:instrText>ADDIN CSL_CITATION {"citationItems":[{"id":"ITEM-1","itemData":{"author":[{"dropping-particle":"","family":"Константинова","given":"Т.С.","non-dropping-particle":"","parse-names":false,"suffix":""},{"dropping-particle":"","family":"Клясова","given":"Г.А.","non-dropping-particle":"","parse-names":false,"suffix":""},{"dropping-particle":"","family":"Капланов","given":"К.Д.","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Савченко.","id":"ITEM-1","issued":{"date-parts":[["2018"]]},"page":"289-311","title":"Лечение и профилактика инфекционных осложнений у пациентов с лимфопролиферативными заболеваниями.","type":"chapter"},"uris":["http://www.mendeley.com/documents/?uuid=b8826e3f-ec9d-405b-84e4-56b1a1300212"]},{"id":"ITEM-2","itemData":{"DOI":"10.7861/clinmedicine.16-6-571","ISSN":"14734893","abstract":"Antibody defi ciencies can occur in the context of primary disorders due to inherited genetic defects; however, secondary immune disorders are far more prevalent and can be caused by various diseases and their treatment, certain medications and surgical procedures. Immunoglobulin replacement therapy has been shown to be effective in reducing infections, morbidity and mortality in primary antibody defi ciencies but secondary antibody defi ciencies are in general poorly defi ned and there are no guidelines for the management of patients with this condition. Clinical decisions are based on experience from primary antibody defi ciencies. Both primary and secondary antibody defi ciencies can be associated with infections, immune dysregulation and end-organ damage, causing signifi cant morbidity and mortality. Therefore, it is important to diagnose and treat these patients promptly to minimise adverse effects and improve quality of life. We focus on secondary antibody defi ciency and describe the causes, diagnosis and treatment of this disorder.","author":[{"dropping-particle":"","family":"Srivastava","given":"Sapna","non-dropping-particle":"","parse-names":false,"suffix":""},{"dropping-particle":"","family":"Wood","given":"Philip","non-dropping-particle":"","parse-names":false,"suffix":""}],"container-title":"Clinical Medicine, Journal of the Royal College of Physicians of London","id":"ITEM-2","issued":{"date-parts":[["2016"]]},"title":"Secondary antibody deficiency-causes and approach to diagnosis","type":"article-journal"},"uris":["http://www.mendeley.com/documents/?uuid=122c5237-a104-392a-be50-9d92c8764a3d"]}],"mendeley":{"formattedCitation":"[25,115]","plainTextFormattedCitation":"[25,115]","previouslyFormattedCitation":"[25,115]"},"properties":{"noteIndex":0},"schema":"https://github.com/citation-style-language/schema/raw/master/csl-citation.json"}</w:instrText>
      </w:r>
      <w:r w:rsidR="00D234C0" w:rsidRPr="000322E4">
        <w:fldChar w:fldCharType="separate"/>
      </w:r>
      <w:r w:rsidR="00C37789" w:rsidRPr="000322E4">
        <w:rPr>
          <w:noProof/>
        </w:rPr>
        <w:t>[25,115]</w:t>
      </w:r>
      <w:r w:rsidR="00D234C0" w:rsidRPr="000322E4">
        <w:fldChar w:fldCharType="end"/>
      </w:r>
      <w:r w:rsidRPr="000322E4">
        <w:t>.</w:t>
      </w:r>
    </w:p>
    <w:p w14:paraId="0E60AE17" w14:textId="77777777" w:rsidR="001D28F8" w:rsidRPr="000322E4" w:rsidRDefault="001D28F8" w:rsidP="00F414BF">
      <w:pPr>
        <w:ind w:left="709"/>
        <w:contextualSpacing/>
        <w:rPr>
          <w:b/>
        </w:rPr>
      </w:pPr>
      <w:r w:rsidRPr="000322E4">
        <w:rPr>
          <w:b/>
        </w:rPr>
        <w:t>Уровень убедительности рекомендаций С (уровень достоверности доказательств 5).</w:t>
      </w:r>
    </w:p>
    <w:p w14:paraId="2E035337" w14:textId="77777777" w:rsidR="001D28F8" w:rsidRPr="000322E4" w:rsidRDefault="001D28F8" w:rsidP="00F414BF">
      <w:pPr>
        <w:ind w:left="709"/>
        <w:contextualSpacing/>
        <w:rPr>
          <w:i/>
        </w:rPr>
      </w:pPr>
      <w:r w:rsidRPr="000322E4">
        <w:rPr>
          <w:b/>
        </w:rPr>
        <w:t xml:space="preserve">Комментарий: </w:t>
      </w:r>
      <w:r w:rsidR="00D234C0" w:rsidRPr="000322E4">
        <w:rPr>
          <w:i/>
        </w:rPr>
        <w:t xml:space="preserve">терапия </w:t>
      </w:r>
      <w:r w:rsidRPr="000322E4">
        <w:rPr>
          <w:i/>
        </w:rPr>
        <w:t xml:space="preserve">проводится под контролем уровня </w:t>
      </w:r>
      <w:r w:rsidRPr="000322E4">
        <w:rPr>
          <w:i/>
          <w:lang w:val="en-US"/>
        </w:rPr>
        <w:t>IgG</w:t>
      </w:r>
      <w:r w:rsidRPr="000322E4">
        <w:rPr>
          <w:i/>
        </w:rPr>
        <w:t xml:space="preserve"> каждые 6 месяцев, пересмотр дозы #иммуноглобулина человека нормального каждые 6 месяцев. После завершения терапии проводится пожизненное мониторирование уровня </w:t>
      </w:r>
      <w:r w:rsidRPr="000322E4">
        <w:rPr>
          <w:i/>
          <w:lang w:val="en-US"/>
        </w:rPr>
        <w:t>IgG</w:t>
      </w:r>
      <w:r w:rsidRPr="000322E4">
        <w:rPr>
          <w:i/>
        </w:rPr>
        <w:t xml:space="preserve"> 1 раз в год, в случае пов</w:t>
      </w:r>
      <w:r w:rsidR="00285B5C" w:rsidRPr="000322E4">
        <w:rPr>
          <w:i/>
        </w:rPr>
        <w:t>т</w:t>
      </w:r>
      <w:r w:rsidRPr="000322E4">
        <w:rPr>
          <w:i/>
        </w:rPr>
        <w:t xml:space="preserve">орного снижения </w:t>
      </w:r>
      <w:r w:rsidRPr="000322E4">
        <w:rPr>
          <w:i/>
          <w:lang w:val="en-US"/>
        </w:rPr>
        <w:t>IgG</w:t>
      </w:r>
      <w:r w:rsidRPr="000322E4">
        <w:rPr>
          <w:i/>
        </w:rPr>
        <w:t xml:space="preserve"> &lt; 4 г/л проводятся повторные курсы заместительной терапии аналогичным препарато</w:t>
      </w:r>
      <w:r w:rsidR="003430E6" w:rsidRPr="000322E4">
        <w:rPr>
          <w:i/>
        </w:rPr>
        <w:t>м</w:t>
      </w:r>
      <w:r w:rsidRPr="000322E4">
        <w:rPr>
          <w:i/>
        </w:rPr>
        <w:t xml:space="preserve"> в аналогичном режиме в течение 12 месяцев</w:t>
      </w:r>
      <w:r w:rsidR="00D234C0" w:rsidRPr="000322E4">
        <w:rPr>
          <w:i/>
        </w:rPr>
        <w:t>.</w:t>
      </w:r>
    </w:p>
    <w:p w14:paraId="509C3AEC" w14:textId="77777777" w:rsidR="00A9169E" w:rsidRPr="000322E4" w:rsidRDefault="00A9169E" w:rsidP="00F414BF">
      <w:pPr>
        <w:pStyle w:val="a"/>
        <w:spacing w:before="0"/>
      </w:pPr>
      <w:bookmarkStart w:id="45" w:name="_Toc24546444"/>
      <w:r w:rsidRPr="000322E4">
        <w:rPr>
          <w:bCs/>
        </w:rPr>
        <w:t xml:space="preserve">Для пациенток с </w:t>
      </w:r>
      <w:r w:rsidR="00AE61A0" w:rsidRPr="000322E4">
        <w:t>ДВКЛ</w:t>
      </w:r>
      <w:r w:rsidR="007726E0" w:rsidRPr="000322E4">
        <w:t>, ПМВКЛ или ЛБ</w:t>
      </w:r>
      <w:r w:rsidRPr="000322E4">
        <w:rPr>
          <w:bCs/>
        </w:rPr>
        <w:t xml:space="preserve"> – девочек и молодых женщин, у которых планируется лучевая терапия на подвздошную область, </w:t>
      </w:r>
      <w:r w:rsidRPr="000322E4">
        <w:rPr>
          <w:b/>
        </w:rPr>
        <w:t>рекомендуется</w:t>
      </w:r>
      <w:r w:rsidRPr="000322E4">
        <w:t xml:space="preserve"> рассмотрение вопроса о необходимости гомолатеральной овариопексии для защиты яичников </w:t>
      </w:r>
      <w:r w:rsidRPr="000322E4">
        <w:fldChar w:fldCharType="begin" w:fldLock="1"/>
      </w:r>
      <w:r w:rsidR="00C37789" w:rsidRPr="000322E4">
        <w:instrText>ADDIN CSL_CITATION {"citationItems":[{"id":"ITEM-1","itemData":{"author":[{"dropping-particle":"","family":"Meirow","given":"D","non-dropping-particle":"","parse-names":false,"suffix":""},{"dropping-particle":"","family":"Nugent","given":"D","non-dropping-particle":"","parse-names":false,"suffix":""}],"container-title":"Human reproduction update","id":"ITEM-1","issue":"6","issued":{"date-parts":[["2001"]]},"page":"535-543","title":"The effects of radiotherapy and chemotherapy on female reproduction","type":"article-journal","volume":"7"},"uris":["http://www.mendeley.com/documents/?uuid=a7e3f9a7-1c88-3f3e-a54b-2c4a6a10c6b6"]}],"mendeley":{"formattedCitation":"[116]","plainTextFormattedCitation":"[116]","previouslyFormattedCitation":"[116]"},"properties":{"noteIndex":0},"schema":"https://github.com/citation-style-language/schema/raw/master/csl-citation.json"}</w:instrText>
      </w:r>
      <w:r w:rsidRPr="000322E4">
        <w:fldChar w:fldCharType="separate"/>
      </w:r>
      <w:r w:rsidR="00C37789" w:rsidRPr="000322E4">
        <w:rPr>
          <w:noProof/>
        </w:rPr>
        <w:t>[116]</w:t>
      </w:r>
      <w:r w:rsidRPr="000322E4">
        <w:fldChar w:fldCharType="end"/>
      </w:r>
      <w:r w:rsidRPr="000322E4">
        <w:t>.</w:t>
      </w:r>
    </w:p>
    <w:p w14:paraId="148D56B0" w14:textId="77777777" w:rsidR="00A9169E" w:rsidRPr="000322E4" w:rsidRDefault="00A9169E" w:rsidP="00F414BF">
      <w:pPr>
        <w:ind w:left="709"/>
        <w:contextualSpacing/>
        <w:rPr>
          <w:b/>
        </w:rPr>
      </w:pPr>
      <w:r w:rsidRPr="000322E4">
        <w:rPr>
          <w:b/>
        </w:rPr>
        <w:t xml:space="preserve">Уровень убедительности рекомендаций </w:t>
      </w:r>
      <w:r w:rsidRPr="000322E4">
        <w:rPr>
          <w:b/>
          <w:lang w:val="en-US"/>
        </w:rPr>
        <w:t>C</w:t>
      </w:r>
      <w:r w:rsidRPr="000322E4">
        <w:rPr>
          <w:b/>
        </w:rPr>
        <w:t xml:space="preserve"> (уровень </w:t>
      </w:r>
      <w:r w:rsidRPr="000322E4">
        <w:rPr>
          <w:b/>
          <w:spacing w:val="-1"/>
        </w:rPr>
        <w:t xml:space="preserve">достоверности доказательств </w:t>
      </w:r>
      <w:r w:rsidRPr="000322E4">
        <w:rPr>
          <w:b/>
        </w:rPr>
        <w:t>– 5)</w:t>
      </w:r>
    </w:p>
    <w:p w14:paraId="0D436772" w14:textId="77777777" w:rsidR="00A9169E" w:rsidRPr="000322E4" w:rsidRDefault="00A9169E" w:rsidP="00F414BF">
      <w:pPr>
        <w:ind w:left="709"/>
        <w:contextualSpacing/>
        <w:rPr>
          <w:i/>
        </w:rPr>
      </w:pPr>
      <w:r w:rsidRPr="000322E4">
        <w:rPr>
          <w:b/>
        </w:rPr>
        <w:t xml:space="preserve">Комментарий: </w:t>
      </w:r>
      <w:r w:rsidRPr="000322E4">
        <w:rPr>
          <w:i/>
        </w:rPr>
        <w:t>овариопексия особенно показана, если ожидаемая доза облучения на яичники составит более 5 Гр, так как при этом может возникнуть длительная дисфункция яичника.  Этого можно избежать, если лучевая терапия проводится с противоположных полей в СОД 20 Гр и яичник находится, как минимум, на расстоянии 2 см от границы лучевой области.</w:t>
      </w:r>
    </w:p>
    <w:p w14:paraId="6DE43B28" w14:textId="77777777" w:rsidR="00702D8D" w:rsidRPr="000322E4" w:rsidRDefault="00A9169E" w:rsidP="00F414BF">
      <w:pPr>
        <w:ind w:left="709"/>
        <w:contextualSpacing/>
        <w:rPr>
          <w:rStyle w:val="affb"/>
          <w:bCs w:val="0"/>
        </w:rPr>
      </w:pPr>
      <w:r w:rsidRPr="000322E4">
        <w:rPr>
          <w:i/>
        </w:rPr>
        <w:t>При проведении овариопексии нить должна быть обязательно помечена клипсой</w:t>
      </w:r>
      <w:r w:rsidR="00D051CB" w:rsidRPr="000322E4">
        <w:rPr>
          <w:i/>
        </w:rPr>
        <w:t>.</w:t>
      </w:r>
      <w:r w:rsidRPr="000322E4">
        <w:rPr>
          <w:i/>
        </w:rPr>
        <w:t xml:space="preserve"> Процедура выполняется хирургом немедленно после консультации</w:t>
      </w:r>
      <w:r w:rsidR="00AF07AB" w:rsidRPr="000322E4">
        <w:rPr>
          <w:i/>
        </w:rPr>
        <w:t xml:space="preserve"> врача-радиолога</w:t>
      </w:r>
      <w:r w:rsidRPr="000322E4">
        <w:rPr>
          <w:i/>
        </w:rPr>
        <w:t xml:space="preserve"> до начала лучевой терапии на поддиафрагмальную область.</w:t>
      </w:r>
    </w:p>
    <w:p w14:paraId="67BE56F4" w14:textId="77777777" w:rsidR="00D234C0" w:rsidRPr="000322E4" w:rsidRDefault="00D234C0" w:rsidP="00CA442F">
      <w:pPr>
        <w:pStyle w:val="afd"/>
        <w:spacing w:beforeAutospacing="0" w:afterAutospacing="0" w:line="360" w:lineRule="auto"/>
        <w:contextualSpacing/>
        <w:rPr>
          <w:rStyle w:val="affb"/>
        </w:rPr>
      </w:pPr>
      <w:r w:rsidRPr="000322E4">
        <w:rPr>
          <w:rStyle w:val="affb"/>
        </w:rPr>
        <w:t>Обезболивание</w:t>
      </w:r>
      <w:bookmarkEnd w:id="45"/>
    </w:p>
    <w:p w14:paraId="0C1ABE5D" w14:textId="77777777" w:rsidR="00D234C0" w:rsidRPr="000322E4" w:rsidRDefault="00D234C0" w:rsidP="00F414BF">
      <w:pPr>
        <w:pStyle w:val="a"/>
        <w:spacing w:before="0"/>
      </w:pPr>
      <w:r w:rsidRPr="000322E4">
        <w:t xml:space="preserve">Пациентам с </w:t>
      </w:r>
      <w:r w:rsidR="00AE61A0" w:rsidRPr="000322E4">
        <w:t>ДВКЛ</w:t>
      </w:r>
      <w:r w:rsidRPr="000322E4">
        <w:t xml:space="preserve"> при возникновении острого или хронического болевого синдрома </w:t>
      </w:r>
      <w:r w:rsidRPr="000322E4">
        <w:rPr>
          <w:b/>
        </w:rPr>
        <w:t>рекомендуется</w:t>
      </w:r>
      <w:r w:rsidRPr="000322E4">
        <w:t xml:space="preserve"> провести диагностику причины болевого синдрома и последующую терапию болевого синдрома</w:t>
      </w:r>
      <w:r w:rsidR="00D051CB" w:rsidRPr="000322E4">
        <w:t xml:space="preserve"> в соответствии с существующими профильными рекомендациями</w:t>
      </w:r>
      <w:r w:rsidRPr="000322E4">
        <w:t xml:space="preserve"> </w:t>
      </w:r>
      <w:r w:rsidRPr="000322E4">
        <w:fldChar w:fldCharType="begin" w:fldLock="1"/>
      </w:r>
      <w:r w:rsidR="00C37789" w:rsidRPr="000322E4">
        <w:instrText>ADDIN CSL_CITATION {"citationItems":[{"id":"ITEM-1","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-1","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-2","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Савченко.","id":"ITEM-2","issued":{"date-parts":[["2018"]]},"page":"278-288","title":"Лечение болевого синдрома у онкологических больных","type":"chapter"},"uris":["http://www.mendeley.com/documents/?uuid=3021caae-334d-4ac5-97a6-7ea5587353dc"]}],"mendeley":{"formattedCitation":"[117,118]","plainTextFormattedCitation":"[117,118]","previouslyFormattedCitation":"[117,118]"},"properties":{"noteIndex":0},"schema":"https://github.com/citation-style-language/schema/raw/master/csl-citation.json"}</w:instrText>
      </w:r>
      <w:r w:rsidRPr="000322E4">
        <w:fldChar w:fldCharType="separate"/>
      </w:r>
      <w:r w:rsidR="00C37789" w:rsidRPr="000322E4">
        <w:rPr>
          <w:noProof/>
        </w:rPr>
        <w:t>[117,118]</w:t>
      </w:r>
      <w:r w:rsidRPr="000322E4">
        <w:fldChar w:fldCharType="end"/>
      </w:r>
      <w:r w:rsidRPr="000322E4">
        <w:t>.</w:t>
      </w:r>
    </w:p>
    <w:p w14:paraId="7905A297" w14:textId="77777777" w:rsidR="00D234C0" w:rsidRPr="000322E4" w:rsidRDefault="00D234C0" w:rsidP="00F414BF">
      <w:pPr>
        <w:ind w:left="709"/>
        <w:contextualSpacing/>
        <w:rPr>
          <w:b/>
          <w:color w:val="000000"/>
        </w:rPr>
      </w:pPr>
      <w:r w:rsidRPr="000322E4">
        <w:rPr>
          <w:b/>
          <w:color w:val="000000"/>
        </w:rPr>
        <w:t>Уровень убедительности рекомендаций – С (уровень достоверности доказательств – 5)</w:t>
      </w:r>
    </w:p>
    <w:p w14:paraId="683B6C85" w14:textId="77777777" w:rsidR="00FA47CA" w:rsidRPr="000322E4" w:rsidRDefault="00FA47CA" w:rsidP="00CA442F">
      <w:pPr>
        <w:pStyle w:val="afd"/>
        <w:spacing w:beforeAutospacing="0" w:afterAutospacing="0" w:line="360" w:lineRule="auto"/>
        <w:contextualSpacing/>
        <w:rPr>
          <w:rStyle w:val="affb"/>
        </w:rPr>
      </w:pPr>
      <w:r w:rsidRPr="000322E4">
        <w:rPr>
          <w:rStyle w:val="affb"/>
        </w:rPr>
        <w:t>Диетотерапия</w:t>
      </w:r>
    </w:p>
    <w:p w14:paraId="4ABF1949" w14:textId="77777777" w:rsidR="00FA47CA" w:rsidRPr="000322E4" w:rsidRDefault="00FA47CA" w:rsidP="00CA442F">
      <w:pPr>
        <w:pStyle w:val="afd"/>
        <w:spacing w:beforeAutospacing="0" w:afterAutospacing="0" w:line="360" w:lineRule="auto"/>
        <w:contextualSpacing/>
        <w:rPr>
          <w:i/>
          <w:iCs/>
        </w:rPr>
      </w:pPr>
      <w:r w:rsidRPr="000322E4">
        <w:rPr>
          <w:rStyle w:val="affb"/>
          <w:b w:val="0"/>
          <w:bCs w:val="0"/>
          <w:i/>
          <w:iCs/>
        </w:rPr>
        <w:lastRenderedPageBreak/>
        <w:t>Не применяется.</w:t>
      </w:r>
    </w:p>
    <w:p w14:paraId="2039DFBC" w14:textId="36E1868C" w:rsidR="000414F6" w:rsidRPr="000322E4" w:rsidRDefault="00CB71DA" w:rsidP="00F414BF">
      <w:pPr>
        <w:pStyle w:val="afff2"/>
      </w:pPr>
      <w:bookmarkStart w:id="46" w:name="_Toc66096831"/>
      <w:r w:rsidRPr="000322E4">
        <w:t xml:space="preserve">4. </w:t>
      </w:r>
      <w:bookmarkEnd w:id="36"/>
      <w:r w:rsidR="00F543FD" w:rsidRPr="00F543FD">
        <w:t>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bookmarkEnd w:id="46"/>
    </w:p>
    <w:p w14:paraId="6748FD72" w14:textId="77777777" w:rsidR="006F29CD" w:rsidRPr="000322E4" w:rsidRDefault="006F29CD" w:rsidP="00F414BF">
      <w:pPr>
        <w:pStyle w:val="afff8"/>
        <w:spacing w:before="0"/>
      </w:pPr>
      <w:bookmarkStart w:id="47" w:name="__RefHeading___doc_5"/>
      <w:r w:rsidRPr="000322E4">
        <w:t xml:space="preserve">Всем пациентам с </w:t>
      </w:r>
      <w:r w:rsidR="00AE61A0" w:rsidRPr="000322E4">
        <w:t>ДВКЛ</w:t>
      </w:r>
      <w:r w:rsidRPr="000322E4">
        <w:t xml:space="preserve"> на всех этапах терапии заболевания, а также после завершения лекарственного лечения </w:t>
      </w:r>
      <w:r w:rsidRPr="000322E4">
        <w:rPr>
          <w:b/>
        </w:rPr>
        <w:t>рекомендуется</w:t>
      </w:r>
      <w:r w:rsidRPr="000322E4">
        <w:t xml:space="preserve"> комплексная реабилитация, а также, при необходимости, поддерживающая терапия </w:t>
      </w:r>
      <w:r w:rsidRPr="000322E4">
        <w:fldChar w:fldCharType="begin" w:fldLock="1"/>
      </w:r>
      <w:r w:rsidR="00C37789" w:rsidRPr="000322E4">
        <w:instrText>ADDIN CSL_CITATION {"citationItems":[{"id":"ITEM-1","itemData":{"DOI":"10.1097/PHM.0b013e31820be055","ISSN":"1537-7385","PMID":"21765268","abstract":"Patients facing hematologic malignancy and its treatment are highly vulnerable to profound physiologic, functional, and cognitive disability and often experience a significant increase in psychosocial stress. For optimal outcomes, this incredibly vulnerable oncology population will need earlier and more comprehensive involvement of rehabilitation services, including exercise strategies.Exercise interventions for those with cancer have not been well studied, particularly in those with hematologic malignancies. Of the research available to date, significant methodologic limitations exist. There is a strong need for further investigation into the effects of and guidelines for exercise interventions in this population of patients, particularly among those undergoing or having undergone hematopoietic stem cell transplantation, as this has historically been a difficult population to study because of the high morbidity and potential for medical complications. From the limited data available to date, exercise seems to be generally safe, feasible, efficacious, and capable of providing functional improvements for those with hematologic cancers.","author":[{"dropping-particle":"","family":"Paul","given":"Kelly L","non-dropping-particle":"","parse-names":false,"suffix":""}],"container-title":"American journal of physical medicine &amp; rehabilitation","id":"ITEM-1","issue":"5 Suppl 1","issued":{"date-parts":[["2011","5"]]},"page":"S88-94","title":"Rehabilitation and exercise considerations in hematologic malignancies.","type":"article-journal","volume":"90"},"uris":["http://www.mendeley.com/documents/?uuid=2b502bce-bc0a-35cf-9c9a-aab53cb19bfd"]},{"id":"ITEM-2","itemData":{"DOI":"10.1002/hon.2561","ISSN":"10991069","abstract":"Randomized trials of maintenance therapy (MT) in diffuse large B cell lymphoma (DLBCL) are inconclusive regarding its effect on overall survival (OS) and disease control. We aimed to examine the efficacy and safety of MT in this meta-analysis. Systematic review and meta-analysis of randomized controlled trials comparing MT with observation or placebo, in patients with DLBCL, who achieved complete response (CR) or partial response (PR) after first-line chemotherapy with or without rituximab. Primary outcome was OS. Secondary outcomes included relapse rate, disease control (defined as progression-free survival, event-free survival, or disease-free survival, as reported in the original trials), and safety. Our search yielded 14 trials including 5122 patients. Median age of patients was 49 to 70 years. Six trials included rituximab as the MT; three included Interferon alfa; other trials include thalidomide, lenalidomide, cyclophosphamide and prednisone, serine threonine kinase inhibitor enzastaurin, and mTOR inhibitor everolimus. MT did not improve OS compared to observation, OR 0.91, (95% CI 0.78-1.07). Results were the same in a subgroup analysis by the type of maintenance (rituximab vs other). MT did decreased relapse rate, RR 0.76 (95% CI 0.65-0.89) and improved disease control, OR 0.74 (95% CI 0.65-0.84). Disease control was significantly improved in the subgroup of studies evaluating rituximab as maintenance OR 0.61 (95% CI 0.47-0.79) and in the subgroup of R-CHOP induction studies OR 0.77 (95% CI 0.67-0.88). Serious or grade III/IV adverse events including neutropenia and infections were significantly more common in the maintenance arm, RR = 1.69 (95% CI 1.29-2.22). MT in patients with DLBCL achieving CR or PR after induction therapy did not affect OS, yet it decreased relapse rate and improved disease control at the cost of higher infection rate. Our data do not support routine administration of MT in patients with DLBCL.","author":[{"dropping-particle":"","family":"Rozental","given":"Alon","non-dropping-particle":"","parse-names":false,"suffix":""},{"dropping-particle":"","family":"Gafter-Gvili","given":"Anat","non-dropping-particle":"","parse-names":false,"suffix":""},{"dropping-particle":"","family":"Vidal","given":"Liat","non-dropping-particle":"","parse-names":false,"suffix":""},{"dropping-particle":"","family":"Raanani","given":"Pia","non-dropping-particle":"","parse-names":false,"suffix":""},{"dropping-particle":"","family":"Gurion","given":"Ronit","non-dropping-particle":"","parse-names":false,"suffix":""}],"container-title":"Hematological Oncology","id":"ITEM-2","issue":"1","issued":{"date-parts":[["2019","2","1"]]},"page":"27-34","publisher":"John Wiley and Sons Ltd","title":"The role of maintenance therapy in patients with diffuse large B cell lymphoma: A systematic review and meta-analysis","type":"article-journal","volume":"37"},"uris":["http://www.mendeley.com/documents/?uuid=9d0e3f8c-bfa4-357c-b374-138c04bee059"]}],"mendeley":{"formattedCitation":"[119,120]","plainTextFormattedCitation":"[119,120]","previouslyFormattedCitation":"[119,120]"},"properties":{"noteIndex":0},"schema":"https://github.com/citation-style-language/schema/raw/master/csl-citation.json"}</w:instrText>
      </w:r>
      <w:r w:rsidRPr="000322E4">
        <w:fldChar w:fldCharType="separate"/>
      </w:r>
      <w:r w:rsidR="00C37789" w:rsidRPr="000322E4">
        <w:rPr>
          <w:noProof/>
        </w:rPr>
        <w:t>[119,120]</w:t>
      </w:r>
      <w:r w:rsidRPr="000322E4">
        <w:fldChar w:fldCharType="end"/>
      </w:r>
      <w:r w:rsidRPr="000322E4">
        <w:t xml:space="preserve">. </w:t>
      </w:r>
    </w:p>
    <w:p w14:paraId="762FE98F" w14:textId="77777777" w:rsidR="006F29CD" w:rsidRPr="000322E4" w:rsidRDefault="006F29CD" w:rsidP="00F414BF">
      <w:pPr>
        <w:ind w:left="709"/>
        <w:contextualSpacing/>
        <w:rPr>
          <w:b/>
        </w:rPr>
      </w:pPr>
      <w:r w:rsidRPr="000322E4">
        <w:rPr>
          <w:b/>
        </w:rPr>
        <w:t xml:space="preserve">Уровень убедительности рекомендаций </w:t>
      </w:r>
      <w:r w:rsidRPr="000322E4">
        <w:rPr>
          <w:b/>
          <w:lang w:val="en-US"/>
        </w:rPr>
        <w:t>C</w:t>
      </w:r>
      <w:r w:rsidRPr="000322E4">
        <w:rPr>
          <w:b/>
        </w:rPr>
        <w:t xml:space="preserve"> (уровень достоверности доказательств 5).</w:t>
      </w:r>
    </w:p>
    <w:p w14:paraId="2720096A" w14:textId="77777777" w:rsidR="006F29CD" w:rsidRPr="000322E4" w:rsidRDefault="006F29CD" w:rsidP="00F414BF">
      <w:pPr>
        <w:ind w:left="709"/>
        <w:contextualSpacing/>
        <w:rPr>
          <w:i/>
        </w:rPr>
      </w:pPr>
      <w:r w:rsidRPr="000322E4">
        <w:rPr>
          <w:b/>
        </w:rPr>
        <w:t>Комментарий:</w:t>
      </w:r>
      <w:r w:rsidRPr="000322E4">
        <w:t xml:space="preserve"> </w:t>
      </w:r>
      <w:r w:rsidRPr="000322E4">
        <w:rPr>
          <w:i/>
        </w:rPr>
        <w:t xml:space="preserve">Специальных методов реабилитации при </w:t>
      </w:r>
      <w:r w:rsidR="00DE6A24" w:rsidRPr="000322E4">
        <w:rPr>
          <w:i/>
        </w:rPr>
        <w:t>ДВКЛ</w:t>
      </w:r>
      <w:r w:rsidRPr="000322E4">
        <w:rPr>
          <w:i/>
        </w:rPr>
        <w:t xml:space="preserve"> не существует. Реабилитация пациентов с </w:t>
      </w:r>
      <w:r w:rsidR="00DE6A24" w:rsidRPr="000322E4">
        <w:rPr>
          <w:i/>
        </w:rPr>
        <w:t>ДВКЛ</w:t>
      </w:r>
      <w:r w:rsidRPr="000322E4">
        <w:rPr>
          <w:i/>
        </w:rPr>
        <w:t xml:space="preserve"> должна носить комплексный характер, охватывая не только медицинские, но и социально-психологические аспекты адаптации пациента к нормальной жизни. Такая реабилитация требует, кроме медицинской помощи, обязательного участия социальных работников и психологов. Программы реабилитации разрабатываются индивидуально, в зависимости от выявленных осложнений лекарственного лечения, сопутствующей патологии, социальных и психологических проблем.</w:t>
      </w:r>
    </w:p>
    <w:p w14:paraId="1315E1BB" w14:textId="77777777" w:rsidR="006F29CD" w:rsidRPr="000322E4" w:rsidRDefault="006F29CD" w:rsidP="00F414BF">
      <w:pPr>
        <w:ind w:left="709"/>
        <w:contextualSpacing/>
        <w:rPr>
          <w:i/>
        </w:rPr>
      </w:pPr>
      <w:r w:rsidRPr="000322E4">
        <w:rPr>
          <w:i/>
        </w:rPr>
        <w:t xml:space="preserve">Реабилитация при возникновении осложнений в течение заболевания и лечения проводится в рамках соответствующих нозологий. </w:t>
      </w:r>
    </w:p>
    <w:p w14:paraId="49817B94" w14:textId="77777777" w:rsidR="00A43CE5" w:rsidRPr="000322E4" w:rsidRDefault="00094ED6" w:rsidP="00F414BF">
      <w:pPr>
        <w:pStyle w:val="afff2"/>
      </w:pPr>
      <w:bookmarkStart w:id="48" w:name="_Toc66096832"/>
      <w:r w:rsidRPr="000322E4">
        <w:t xml:space="preserve">5. </w:t>
      </w:r>
      <w:r w:rsidR="00CB71DA" w:rsidRPr="000322E4">
        <w:t>Профилактика</w:t>
      </w:r>
      <w:bookmarkEnd w:id="47"/>
      <w:r w:rsidR="00B104EF" w:rsidRPr="000322E4">
        <w:t xml:space="preserve"> и диспансерное наблюдение</w:t>
      </w:r>
      <w:r w:rsidR="00A43CE5" w:rsidRPr="000322E4">
        <w:t>,</w:t>
      </w:r>
      <w:r w:rsidR="008371F9" w:rsidRPr="000322E4">
        <w:t xml:space="preserve"> </w:t>
      </w:r>
      <w:r w:rsidR="00A43CE5" w:rsidRPr="000322E4">
        <w:t>медицинские показания и противопоказания к применению методов профилактики</w:t>
      </w:r>
      <w:bookmarkEnd w:id="48"/>
    </w:p>
    <w:p w14:paraId="076EC2E6" w14:textId="77777777" w:rsidR="003B006C" w:rsidRPr="000322E4" w:rsidRDefault="003B006C" w:rsidP="00F414BF">
      <w:pPr>
        <w:ind w:firstLine="709"/>
      </w:pPr>
      <w:bookmarkStart w:id="49" w:name="__RefHeading___doc_6"/>
      <w:r w:rsidRPr="000322E4">
        <w:rPr>
          <w:i/>
          <w:iCs/>
        </w:rPr>
        <w:t xml:space="preserve">Методов профилактики </w:t>
      </w:r>
      <w:r w:rsidR="00DE6A24" w:rsidRPr="000322E4">
        <w:rPr>
          <w:i/>
          <w:iCs/>
        </w:rPr>
        <w:t>ДВКЛ</w:t>
      </w:r>
      <w:r w:rsidRPr="000322E4">
        <w:rPr>
          <w:i/>
          <w:iCs/>
        </w:rPr>
        <w:t xml:space="preserve"> в настоящее время не существует, поскольку неизвестны этиологические факторы, ведущие к развитию заболевания.</w:t>
      </w:r>
    </w:p>
    <w:p w14:paraId="3F3794C5" w14:textId="77777777" w:rsidR="00655C97" w:rsidRPr="000322E4" w:rsidRDefault="00F533A5" w:rsidP="00F414BF">
      <w:pPr>
        <w:pStyle w:val="afe"/>
        <w:numPr>
          <w:ilvl w:val="0"/>
          <w:numId w:val="10"/>
        </w:numPr>
        <w:ind w:left="709" w:hanging="425"/>
      </w:pPr>
      <w:r w:rsidRPr="000322E4">
        <w:t>Взрослым</w:t>
      </w:r>
      <w:r w:rsidR="00655C97" w:rsidRPr="000322E4">
        <w:t xml:space="preserve"> пациентам, завершивши</w:t>
      </w:r>
      <w:r w:rsidRPr="000322E4">
        <w:t>м</w:t>
      </w:r>
      <w:r w:rsidR="00655C97" w:rsidRPr="000322E4">
        <w:t xml:space="preserve"> лечение по поводу </w:t>
      </w:r>
      <w:r w:rsidR="00DE6A24" w:rsidRPr="000322E4">
        <w:t>ДВКЛ</w:t>
      </w:r>
      <w:r w:rsidR="00655C97" w:rsidRPr="000322E4">
        <w:t xml:space="preserve"> с достижением ПР, </w:t>
      </w:r>
      <w:r w:rsidR="00655C97" w:rsidRPr="000322E4">
        <w:rPr>
          <w:b/>
          <w:bCs/>
        </w:rPr>
        <w:t xml:space="preserve">рекомендуется </w:t>
      </w:r>
      <w:r w:rsidR="00655C97" w:rsidRPr="000322E4">
        <w:t>диспансерное наблюдение</w:t>
      </w:r>
      <w:r w:rsidR="00831EAA" w:rsidRPr="000322E4">
        <w:t xml:space="preserve"> у</w:t>
      </w:r>
      <w:r w:rsidR="00BA2C65" w:rsidRPr="000322E4">
        <w:t xml:space="preserve"> врача-</w:t>
      </w:r>
      <w:r w:rsidR="00831EAA" w:rsidRPr="000322E4">
        <w:t xml:space="preserve">онколога или </w:t>
      </w:r>
      <w:r w:rsidR="00BA2C65" w:rsidRPr="000322E4">
        <w:t>врача-</w:t>
      </w:r>
      <w:r w:rsidR="00831EAA" w:rsidRPr="000322E4">
        <w:t>гематолога</w:t>
      </w:r>
      <w:r w:rsidR="00655C97" w:rsidRPr="000322E4">
        <w:t xml:space="preserve"> </w:t>
      </w:r>
      <w:r w:rsidR="00BA2C65" w:rsidRPr="000322E4">
        <w:t xml:space="preserve">с соблюдением следующей частоты обследований пациента - </w:t>
      </w:r>
      <w:r w:rsidR="00441E32" w:rsidRPr="000322E4">
        <w:t xml:space="preserve">в течение первого года </w:t>
      </w:r>
      <w:r w:rsidR="00831EAA" w:rsidRPr="000322E4">
        <w:t xml:space="preserve">после завершения терапии </w:t>
      </w:r>
      <w:r w:rsidR="00441E32" w:rsidRPr="000322E4">
        <w:t>каждые 3 месяца, 2-го года – каждые 6 месяцев, в дальнейшем – ежегодно</w:t>
      </w:r>
      <w:r w:rsidR="003430E6" w:rsidRPr="000322E4">
        <w:t>, после 5 лет – каждые 2 года</w:t>
      </w:r>
      <w:r w:rsidR="00831EAA" w:rsidRPr="000322E4">
        <w:t xml:space="preserve"> </w:t>
      </w:r>
      <w:r w:rsidR="00831EAA" w:rsidRPr="000322E4">
        <w:fldChar w:fldCharType="begin" w:fldLock="1"/>
      </w:r>
      <w:r w:rsidR="00FE7926" w:rsidRPr="000322E4">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author":[{"dropping-particle":"","family":"Тумян","given":"Г.С.","non-dropping-particle":"","parse-names":false,"suffix":""},{"dropping-particle":"","family":"Кравченко","given":"С.К.","non-dropping-particle":"","parse-names":false,"suffix":""},{"dropping-particle":"","family":"Михайлова","given":"Н.Б.","non-dropping-particle":"","parse-names":false,"suffix":""},{"dropping-particle":"","family":"Барях","given":"Е.А.","non-dropping-particle":"","parse-names":false,"suffix":""},{"dropping-particle":"","family":"Птушкин","given":"В.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Савченко.","id":"ITEM-2","issued":{"date-parts":[["2018"]]},"page":"58-68","title":"Диффузная В-клеточная крупноклеточная лимфома","type":"chapter"},"uris":["http://www.mendeley.com/documents/?uuid=cb7114f7-4655-4733-8df2-526cc4e32730"]},{"id":"ITEM-3","itemData":{"DOI":"10.1093/annonc/mdv304","ISSN":"1569-8041","PMID":"26314773","author":[{"dropping-particle":"","family":"Tilly","given":"H","non-dropping-particle":"","parse-names":false,"suffix":""},{"dropping-particle":"","family":"Gomes da Silva","given":"M","non-dropping-particle":"","parse-names":false,"suffix":""},{"dropping-particle":"","family":"Vitolo","given":"U","non-dropping-particle":"","parse-names":false,"suffix":""},{"dropping-particle":"","family":"Jack","given":"A","non-dropping-particle":"","parse-names":false,"suffix":""},{"dropping-particle":"","family":"Meignan","given":"M","non-dropping-particle":"","parse-names":false,"suffix":""},{"dropping-particle":"","family":"Lopez-Guillermo","given":"A","non-dropping-particle":"","parse-names":false,"suffix":""},{"dropping-particle":"","family":"Walewski","given":"J","non-dropping-particle":"","parse-names":false,"suffix":""},{"dropping-particle":"","family":"André","given":"M","non-dropping-particle":"","parse-names":false,"suffix":""},{"dropping-particle":"","family":"Johnson","given":"P W","non-dropping-particle":"","parse-names":false,"suffix":""},{"dropping-particle":"","family":"Pfreundschuh","given":"M","non-dropping-particle":"","parse-names":false,"suffix":""},{"dropping-particle":"","family":"Ladetto","given":"M","non-dropping-particle":"","parse-names":false,"suffix":""},{"dropping-particle":"","family":"ESMO Guidelines Committee","given":"","non-dropping-particle":"","parse-names":false,"suffix":""}],"container-title":"Annals of oncology : official journal of the European Society for Medical Oncology","id":"ITEM-3","issued":{"date-parts":[["2015","9"]]},"page":"v116-25","title":"Diffuse large B-cell lymphoma (DLBCL): ESMO Clinical Practice Guidelines for diagnosis, treatment and follow-up.","type":"article-journal","volume":"26 Suppl 5"},"uris":["http://www.mendeley.com/documents/?uuid=1697b7a7-5190-39af-8155-3d2b075b5466"]}],"mendeley":{"formattedCitation":"[11,17,18]","plainTextFormattedCitation":"[11,17,18]","previouslyFormattedCitation":"[11,17,18]"},"properties":{"noteIndex":0},"schema":"https://github.com/citation-style-language/schema/raw/master/csl-citation.json"}</w:instrText>
      </w:r>
      <w:r w:rsidR="00831EAA" w:rsidRPr="000322E4">
        <w:fldChar w:fldCharType="separate"/>
      </w:r>
      <w:r w:rsidR="009B70C4" w:rsidRPr="000322E4">
        <w:rPr>
          <w:noProof/>
        </w:rPr>
        <w:t>[11,17,18]</w:t>
      </w:r>
      <w:r w:rsidR="00831EAA" w:rsidRPr="000322E4">
        <w:fldChar w:fldCharType="end"/>
      </w:r>
      <w:r w:rsidR="00441E32" w:rsidRPr="000322E4">
        <w:t>.</w:t>
      </w:r>
      <w:r w:rsidR="00655C97" w:rsidRPr="000322E4">
        <w:t xml:space="preserve"> </w:t>
      </w:r>
    </w:p>
    <w:p w14:paraId="525331A4" w14:textId="77777777" w:rsidR="00831EAA" w:rsidRPr="000322E4" w:rsidRDefault="00441E32" w:rsidP="00F414BF">
      <w:pPr>
        <w:ind w:left="709"/>
        <w:contextualSpacing/>
        <w:rPr>
          <w:b/>
        </w:rPr>
      </w:pPr>
      <w:r w:rsidRPr="000322E4">
        <w:rPr>
          <w:b/>
        </w:rPr>
        <w:t xml:space="preserve">Уровень убедительности рекомендаций </w:t>
      </w:r>
      <w:r w:rsidRPr="000322E4">
        <w:rPr>
          <w:b/>
          <w:lang w:val="en-US"/>
        </w:rPr>
        <w:t>C</w:t>
      </w:r>
      <w:r w:rsidRPr="000322E4">
        <w:rPr>
          <w:b/>
        </w:rPr>
        <w:t xml:space="preserve"> (уровень достоверности доказательств 5).</w:t>
      </w:r>
    </w:p>
    <w:p w14:paraId="5CA445E1" w14:textId="77777777" w:rsidR="00831EAA" w:rsidRPr="000322E4" w:rsidRDefault="00441E32" w:rsidP="00F414BF">
      <w:pPr>
        <w:ind w:left="709"/>
        <w:contextualSpacing/>
        <w:rPr>
          <w:i/>
          <w:iCs/>
        </w:rPr>
      </w:pPr>
      <w:r w:rsidRPr="000322E4">
        <w:rPr>
          <w:b/>
        </w:rPr>
        <w:t>Комментарий:</w:t>
      </w:r>
      <w:r w:rsidRPr="000322E4">
        <w:t xml:space="preserve"> </w:t>
      </w:r>
      <w:r w:rsidR="00831EAA" w:rsidRPr="000322E4">
        <w:rPr>
          <w:i/>
        </w:rPr>
        <w:t>диспа</w:t>
      </w:r>
      <w:r w:rsidR="003430E6" w:rsidRPr="000322E4">
        <w:rPr>
          <w:i/>
        </w:rPr>
        <w:t>нс</w:t>
      </w:r>
      <w:r w:rsidRPr="000322E4">
        <w:rPr>
          <w:i/>
        </w:rPr>
        <w:t>е</w:t>
      </w:r>
      <w:r w:rsidR="00831EAA" w:rsidRPr="000322E4">
        <w:rPr>
          <w:i/>
        </w:rPr>
        <w:t xml:space="preserve">рное наблюдение должно включать тщательный сбор жалоб, клинический осмотр пациента, </w:t>
      </w:r>
      <w:r w:rsidRPr="000322E4">
        <w:rPr>
          <w:i/>
          <w:iCs/>
        </w:rPr>
        <w:t xml:space="preserve">рентгенологический контроль органов </w:t>
      </w:r>
      <w:r w:rsidRPr="000322E4">
        <w:rPr>
          <w:i/>
          <w:iCs/>
        </w:rPr>
        <w:lastRenderedPageBreak/>
        <w:t>грудной клетки</w:t>
      </w:r>
      <w:r w:rsidR="009B70C4" w:rsidRPr="000322E4">
        <w:rPr>
          <w:i/>
          <w:iCs/>
        </w:rPr>
        <w:t xml:space="preserve"> (КТ или рентгенография)</w:t>
      </w:r>
      <w:r w:rsidRPr="000322E4">
        <w:rPr>
          <w:i/>
          <w:iCs/>
        </w:rPr>
        <w:t>, УЗИ брюшной полости и периферических лимфатических коллекторов</w:t>
      </w:r>
      <w:r w:rsidR="00831EAA" w:rsidRPr="000322E4">
        <w:rPr>
          <w:i/>
          <w:iCs/>
        </w:rPr>
        <w:t>.</w:t>
      </w:r>
      <w:r w:rsidR="003430E6" w:rsidRPr="000322E4">
        <w:rPr>
          <w:i/>
          <w:iCs/>
        </w:rPr>
        <w:t xml:space="preserve"> Для </w:t>
      </w:r>
      <w:r w:rsidR="00103620" w:rsidRPr="000322E4">
        <w:rPr>
          <w:i/>
          <w:iCs/>
        </w:rPr>
        <w:t>пациентов</w:t>
      </w:r>
      <w:r w:rsidR="003430E6" w:rsidRPr="000322E4">
        <w:rPr>
          <w:i/>
          <w:iCs/>
        </w:rPr>
        <w:t>, получавших антрациклины и блеомицин в сочетании с облучением средостения – исследование функции сердца</w:t>
      </w:r>
      <w:r w:rsidR="009B70C4" w:rsidRPr="000322E4">
        <w:rPr>
          <w:i/>
          <w:iCs/>
        </w:rPr>
        <w:t xml:space="preserve"> (ЭКТ и ЭхоКГ)</w:t>
      </w:r>
      <w:r w:rsidR="003430E6" w:rsidRPr="000322E4">
        <w:rPr>
          <w:i/>
          <w:iCs/>
        </w:rPr>
        <w:t xml:space="preserve"> и легких</w:t>
      </w:r>
      <w:r w:rsidR="009B70C4" w:rsidRPr="000322E4">
        <w:rPr>
          <w:i/>
          <w:iCs/>
        </w:rPr>
        <w:t xml:space="preserve"> (спирография)</w:t>
      </w:r>
      <w:r w:rsidR="003430E6" w:rsidRPr="000322E4">
        <w:rPr>
          <w:i/>
          <w:iCs/>
        </w:rPr>
        <w:t>.</w:t>
      </w:r>
    </w:p>
    <w:p w14:paraId="2519B8C2" w14:textId="77777777" w:rsidR="00F533A5" w:rsidRPr="000322E4" w:rsidRDefault="00F533A5" w:rsidP="00F414BF">
      <w:pPr>
        <w:pStyle w:val="afe"/>
        <w:numPr>
          <w:ilvl w:val="0"/>
          <w:numId w:val="10"/>
        </w:numPr>
        <w:ind w:left="709" w:hanging="425"/>
      </w:pPr>
      <w:r w:rsidRPr="000322E4">
        <w:t xml:space="preserve">Детям и подросткам, завершившим лечение по поводу </w:t>
      </w:r>
      <w:r w:rsidR="00EA74D7" w:rsidRPr="000322E4">
        <w:t>ДВКЛ</w:t>
      </w:r>
      <w:r w:rsidRPr="000322E4">
        <w:t xml:space="preserve"> с достижением ПР, </w:t>
      </w:r>
      <w:r w:rsidRPr="000322E4">
        <w:rPr>
          <w:b/>
          <w:bCs/>
        </w:rPr>
        <w:t xml:space="preserve">рекомендуется </w:t>
      </w:r>
      <w:r w:rsidRPr="000322E4">
        <w:t xml:space="preserve">диспансерное наблюдение у </w:t>
      </w:r>
      <w:r w:rsidR="00BA2C65" w:rsidRPr="000322E4">
        <w:t>врача-</w:t>
      </w:r>
      <w:r w:rsidRPr="000322E4">
        <w:t xml:space="preserve">онколога или </w:t>
      </w:r>
      <w:r w:rsidR="00BA2C65" w:rsidRPr="000322E4">
        <w:t>врача-</w:t>
      </w:r>
      <w:r w:rsidRPr="000322E4">
        <w:t xml:space="preserve">гематолога по графику, представленному в табл. 5.1 </w:t>
      </w:r>
      <w:r w:rsidRPr="000322E4">
        <w:fldChar w:fldCharType="begin" w:fldLock="1"/>
      </w:r>
      <w:r w:rsidR="00C37789" w:rsidRPr="000322E4">
        <w:instrText>ADDIN CSL_CITATION {"citationItems":[{"id":"ITEM-1","itemData":{"author":[{"dropping-particle":"","family":"Румянцев","given":"А.Г.","non-dropping-particle":"","parse-names":false,"suffix":""},{"dropping-particle":"","family":"Самочатова","given":"Е.В.","non-dropping-particle":"","parse-names":false,"suffix":""}],"id":"ITEM-1","issued":{"date-parts":[["2004"]]},"publisher":"Медпрактика-М, Москва","title":"Практическое руководство по детским болезням. Гематология/онкология детского возраста.","type":"book"},"uris":["http://www.mendeley.com/documents/?uuid=8c7d4149-b932-4e8f-a7ab-5a5e6f9b51b5"]}],"mendeley":{"formattedCitation":"[121]","plainTextFormattedCitation":"[121]","previouslyFormattedCitation":"[121]"},"properties":{"noteIndex":0},"schema":"https://github.com/citation-style-language/schema/raw/master/csl-citation.json"}</w:instrText>
      </w:r>
      <w:r w:rsidRPr="000322E4">
        <w:fldChar w:fldCharType="separate"/>
      </w:r>
      <w:r w:rsidR="00C37789" w:rsidRPr="000322E4">
        <w:rPr>
          <w:noProof/>
        </w:rPr>
        <w:t>[121]</w:t>
      </w:r>
      <w:r w:rsidRPr="000322E4">
        <w:fldChar w:fldCharType="end"/>
      </w:r>
      <w:r w:rsidRPr="000322E4">
        <w:t xml:space="preserve">. </w:t>
      </w:r>
    </w:p>
    <w:p w14:paraId="66D1B328" w14:textId="77777777" w:rsidR="00F533A5" w:rsidRPr="000322E4" w:rsidRDefault="00F533A5" w:rsidP="00F414BF">
      <w:pPr>
        <w:ind w:left="709"/>
        <w:contextualSpacing/>
        <w:rPr>
          <w:b/>
        </w:rPr>
      </w:pPr>
      <w:r w:rsidRPr="000322E4">
        <w:rPr>
          <w:b/>
        </w:rPr>
        <w:t xml:space="preserve">Уровень убедительности рекомендаций </w:t>
      </w:r>
      <w:r w:rsidRPr="000322E4">
        <w:rPr>
          <w:b/>
          <w:lang w:val="en-US"/>
        </w:rPr>
        <w:t>C</w:t>
      </w:r>
      <w:r w:rsidRPr="000322E4">
        <w:rPr>
          <w:b/>
        </w:rPr>
        <w:t xml:space="preserve"> (уровень достоверности доказательств 5).</w:t>
      </w:r>
    </w:p>
    <w:p w14:paraId="15D2E6B7" w14:textId="77777777" w:rsidR="00F533A5" w:rsidRPr="000322E4" w:rsidRDefault="00F533A5" w:rsidP="00F414BF">
      <w:pPr>
        <w:ind w:left="709"/>
        <w:contextualSpacing/>
        <w:rPr>
          <w:i/>
        </w:rPr>
      </w:pPr>
      <w:r w:rsidRPr="000322E4">
        <w:rPr>
          <w:b/>
        </w:rPr>
        <w:t>Комментарий:</w:t>
      </w:r>
      <w:r w:rsidRPr="000322E4">
        <w:t xml:space="preserve"> </w:t>
      </w:r>
    </w:p>
    <w:p w14:paraId="56E9C482" w14:textId="77777777" w:rsidR="00F533A5" w:rsidRPr="000322E4" w:rsidRDefault="00F533A5" w:rsidP="00F414BF">
      <w:pPr>
        <w:ind w:left="709"/>
        <w:contextualSpacing/>
        <w:rPr>
          <w:i/>
        </w:rPr>
      </w:pPr>
      <w:r w:rsidRPr="000322E4">
        <w:rPr>
          <w:i/>
        </w:rPr>
        <w:t xml:space="preserve">Таблица 5.1. График диспансерного наблюдения детей после завершения терапии по поводу </w:t>
      </w:r>
      <w:r w:rsidR="00210FA0" w:rsidRPr="000322E4">
        <w:rPr>
          <w:i/>
        </w:rPr>
        <w:t>ДВКЛ</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276"/>
        <w:gridCol w:w="1134"/>
        <w:gridCol w:w="1276"/>
        <w:gridCol w:w="1134"/>
        <w:gridCol w:w="1275"/>
        <w:gridCol w:w="1134"/>
      </w:tblGrid>
      <w:tr w:rsidR="00F533A5" w:rsidRPr="000322E4" w14:paraId="0C2F201F" w14:textId="77777777" w:rsidTr="00F533A5">
        <w:tc>
          <w:tcPr>
            <w:tcW w:w="2552" w:type="dxa"/>
          </w:tcPr>
          <w:p w14:paraId="61249ABF" w14:textId="77777777" w:rsidR="00F533A5" w:rsidRPr="000322E4" w:rsidRDefault="00F533A5" w:rsidP="00F414BF">
            <w:pPr>
              <w:ind w:left="67"/>
              <w:contextualSpacing/>
              <w:rPr>
                <w:rFonts w:cs="Arial"/>
                <w:sz w:val="22"/>
              </w:rPr>
            </w:pPr>
            <w:r w:rsidRPr="000322E4">
              <w:rPr>
                <w:rFonts w:cs="Arial"/>
                <w:sz w:val="22"/>
              </w:rPr>
              <w:t>Обследование</w:t>
            </w:r>
          </w:p>
        </w:tc>
        <w:tc>
          <w:tcPr>
            <w:tcW w:w="1276" w:type="dxa"/>
          </w:tcPr>
          <w:p w14:paraId="54518453" w14:textId="77777777" w:rsidR="00F533A5" w:rsidRPr="000322E4" w:rsidRDefault="00F533A5" w:rsidP="00F414BF">
            <w:pPr>
              <w:contextualSpacing/>
              <w:rPr>
                <w:rFonts w:cs="Arial"/>
                <w:sz w:val="22"/>
              </w:rPr>
            </w:pPr>
            <w:r w:rsidRPr="000322E4">
              <w:rPr>
                <w:rFonts w:cs="Arial"/>
                <w:sz w:val="22"/>
              </w:rPr>
              <w:t>1-ый год</w:t>
            </w:r>
          </w:p>
        </w:tc>
        <w:tc>
          <w:tcPr>
            <w:tcW w:w="1134" w:type="dxa"/>
          </w:tcPr>
          <w:p w14:paraId="564E566B" w14:textId="77777777" w:rsidR="00F533A5" w:rsidRPr="000322E4" w:rsidRDefault="00F533A5" w:rsidP="00F414BF">
            <w:pPr>
              <w:contextualSpacing/>
              <w:rPr>
                <w:rFonts w:cs="Arial"/>
                <w:sz w:val="22"/>
              </w:rPr>
            </w:pPr>
            <w:r w:rsidRPr="000322E4">
              <w:rPr>
                <w:rFonts w:cs="Arial"/>
                <w:sz w:val="22"/>
              </w:rPr>
              <w:t>2-ой год</w:t>
            </w:r>
          </w:p>
        </w:tc>
        <w:tc>
          <w:tcPr>
            <w:tcW w:w="1276" w:type="dxa"/>
          </w:tcPr>
          <w:p w14:paraId="165620CA" w14:textId="77777777" w:rsidR="00F533A5" w:rsidRPr="000322E4" w:rsidRDefault="00F533A5" w:rsidP="00F414BF">
            <w:pPr>
              <w:contextualSpacing/>
              <w:rPr>
                <w:rFonts w:cs="Arial"/>
                <w:sz w:val="22"/>
              </w:rPr>
            </w:pPr>
            <w:r w:rsidRPr="000322E4">
              <w:rPr>
                <w:rFonts w:cs="Arial"/>
                <w:sz w:val="22"/>
              </w:rPr>
              <w:t>3-ий год</w:t>
            </w:r>
          </w:p>
        </w:tc>
        <w:tc>
          <w:tcPr>
            <w:tcW w:w="1134" w:type="dxa"/>
          </w:tcPr>
          <w:p w14:paraId="013497AA" w14:textId="77777777" w:rsidR="00F533A5" w:rsidRPr="000322E4" w:rsidRDefault="00F533A5" w:rsidP="00F414BF">
            <w:pPr>
              <w:contextualSpacing/>
              <w:rPr>
                <w:rFonts w:cs="Arial"/>
                <w:sz w:val="22"/>
              </w:rPr>
            </w:pPr>
            <w:r w:rsidRPr="000322E4">
              <w:rPr>
                <w:rFonts w:cs="Arial"/>
                <w:sz w:val="22"/>
              </w:rPr>
              <w:t>4-ый год</w:t>
            </w:r>
          </w:p>
        </w:tc>
        <w:tc>
          <w:tcPr>
            <w:tcW w:w="1275" w:type="dxa"/>
          </w:tcPr>
          <w:p w14:paraId="59AB03A9" w14:textId="77777777" w:rsidR="00F533A5" w:rsidRPr="000322E4" w:rsidRDefault="00F533A5" w:rsidP="00F414BF">
            <w:pPr>
              <w:contextualSpacing/>
              <w:rPr>
                <w:rFonts w:cs="Arial"/>
                <w:sz w:val="22"/>
              </w:rPr>
            </w:pPr>
            <w:r w:rsidRPr="000322E4">
              <w:rPr>
                <w:rFonts w:cs="Arial"/>
                <w:sz w:val="22"/>
              </w:rPr>
              <w:t>5-ый год</w:t>
            </w:r>
          </w:p>
        </w:tc>
        <w:tc>
          <w:tcPr>
            <w:tcW w:w="1134" w:type="dxa"/>
          </w:tcPr>
          <w:p w14:paraId="10B85F5D" w14:textId="77777777" w:rsidR="00F533A5" w:rsidRPr="000322E4" w:rsidRDefault="00F533A5" w:rsidP="00F414BF">
            <w:pPr>
              <w:contextualSpacing/>
              <w:rPr>
                <w:rFonts w:cs="Arial"/>
                <w:sz w:val="22"/>
              </w:rPr>
            </w:pPr>
            <w:r w:rsidRPr="000322E4">
              <w:rPr>
                <w:rFonts w:cs="Arial"/>
                <w:sz w:val="22"/>
              </w:rPr>
              <w:t>6-ой  год</w:t>
            </w:r>
          </w:p>
        </w:tc>
      </w:tr>
      <w:tr w:rsidR="00F533A5" w:rsidRPr="000322E4" w14:paraId="7C83C123" w14:textId="77777777" w:rsidTr="00F533A5">
        <w:trPr>
          <w:cantSplit/>
        </w:trPr>
        <w:tc>
          <w:tcPr>
            <w:tcW w:w="2552" w:type="dxa"/>
          </w:tcPr>
          <w:p w14:paraId="06EFF49F" w14:textId="77777777" w:rsidR="00F533A5" w:rsidRPr="000322E4" w:rsidRDefault="00F533A5" w:rsidP="00F414BF">
            <w:pPr>
              <w:ind w:left="67"/>
              <w:contextualSpacing/>
              <w:rPr>
                <w:rFonts w:cs="Arial"/>
                <w:sz w:val="22"/>
              </w:rPr>
            </w:pPr>
            <w:r w:rsidRPr="000322E4">
              <w:rPr>
                <w:rFonts w:cs="Arial"/>
                <w:sz w:val="22"/>
              </w:rPr>
              <w:t>Клинический осмотр</w:t>
            </w:r>
          </w:p>
        </w:tc>
        <w:tc>
          <w:tcPr>
            <w:tcW w:w="1276" w:type="dxa"/>
          </w:tcPr>
          <w:p w14:paraId="3E882372" w14:textId="77777777" w:rsidR="00F533A5" w:rsidRPr="000322E4" w:rsidRDefault="00F533A5" w:rsidP="00F414BF">
            <w:pPr>
              <w:contextualSpacing/>
              <w:rPr>
                <w:rFonts w:cs="Arial"/>
                <w:sz w:val="22"/>
              </w:rPr>
            </w:pPr>
            <w:r w:rsidRPr="000322E4">
              <w:rPr>
                <w:rFonts w:cs="Arial"/>
                <w:sz w:val="22"/>
              </w:rPr>
              <w:t>4-8х</w:t>
            </w:r>
          </w:p>
        </w:tc>
        <w:tc>
          <w:tcPr>
            <w:tcW w:w="1134" w:type="dxa"/>
          </w:tcPr>
          <w:p w14:paraId="07C4A249" w14:textId="77777777" w:rsidR="00F533A5" w:rsidRPr="000322E4" w:rsidRDefault="00F533A5" w:rsidP="00F414BF">
            <w:pPr>
              <w:contextualSpacing/>
              <w:rPr>
                <w:rFonts w:cs="Arial"/>
                <w:sz w:val="22"/>
              </w:rPr>
            </w:pPr>
            <w:r w:rsidRPr="000322E4">
              <w:rPr>
                <w:rFonts w:cs="Arial"/>
                <w:sz w:val="22"/>
              </w:rPr>
              <w:t>4-8х</w:t>
            </w:r>
          </w:p>
        </w:tc>
        <w:tc>
          <w:tcPr>
            <w:tcW w:w="1276" w:type="dxa"/>
          </w:tcPr>
          <w:p w14:paraId="1D928424" w14:textId="77777777" w:rsidR="00F533A5" w:rsidRPr="000322E4" w:rsidRDefault="00F533A5" w:rsidP="00F414BF">
            <w:pPr>
              <w:contextualSpacing/>
              <w:rPr>
                <w:rFonts w:cs="Arial"/>
                <w:sz w:val="22"/>
              </w:rPr>
            </w:pPr>
            <w:r w:rsidRPr="000322E4">
              <w:rPr>
                <w:rFonts w:cs="Arial"/>
                <w:sz w:val="22"/>
              </w:rPr>
              <w:t>4х</w:t>
            </w:r>
          </w:p>
        </w:tc>
        <w:tc>
          <w:tcPr>
            <w:tcW w:w="1134" w:type="dxa"/>
          </w:tcPr>
          <w:p w14:paraId="18E426B5" w14:textId="77777777" w:rsidR="00F533A5" w:rsidRPr="000322E4" w:rsidRDefault="00F533A5" w:rsidP="00F414BF">
            <w:pPr>
              <w:contextualSpacing/>
              <w:rPr>
                <w:rFonts w:cs="Arial"/>
                <w:sz w:val="22"/>
              </w:rPr>
            </w:pPr>
            <w:r w:rsidRPr="000322E4">
              <w:rPr>
                <w:rFonts w:cs="Arial"/>
                <w:sz w:val="22"/>
              </w:rPr>
              <w:t>2х</w:t>
            </w:r>
          </w:p>
        </w:tc>
        <w:tc>
          <w:tcPr>
            <w:tcW w:w="1275" w:type="dxa"/>
          </w:tcPr>
          <w:p w14:paraId="03ADA821" w14:textId="77777777" w:rsidR="00F533A5" w:rsidRPr="000322E4" w:rsidRDefault="00F533A5" w:rsidP="00F414BF">
            <w:pPr>
              <w:contextualSpacing/>
              <w:rPr>
                <w:rFonts w:cs="Arial"/>
                <w:sz w:val="22"/>
              </w:rPr>
            </w:pPr>
            <w:r w:rsidRPr="000322E4">
              <w:rPr>
                <w:rFonts w:cs="Arial"/>
                <w:sz w:val="22"/>
              </w:rPr>
              <w:t>2х</w:t>
            </w:r>
          </w:p>
        </w:tc>
        <w:tc>
          <w:tcPr>
            <w:tcW w:w="1134" w:type="dxa"/>
            <w:vMerge w:val="restart"/>
            <w:textDirection w:val="btLr"/>
          </w:tcPr>
          <w:p w14:paraId="38179A35" w14:textId="77777777" w:rsidR="00F533A5" w:rsidRPr="000322E4" w:rsidRDefault="00F533A5" w:rsidP="00F414BF">
            <w:pPr>
              <w:contextualSpacing/>
              <w:rPr>
                <w:rFonts w:cs="Arial"/>
                <w:sz w:val="22"/>
              </w:rPr>
            </w:pPr>
            <w:r w:rsidRPr="000322E4">
              <w:rPr>
                <w:rFonts w:cs="Arial"/>
                <w:sz w:val="22"/>
              </w:rPr>
              <w:t>Индивидуально</w:t>
            </w:r>
          </w:p>
        </w:tc>
      </w:tr>
      <w:tr w:rsidR="00F533A5" w:rsidRPr="000322E4" w14:paraId="2D61699A" w14:textId="77777777" w:rsidTr="00F533A5">
        <w:trPr>
          <w:cantSplit/>
        </w:trPr>
        <w:tc>
          <w:tcPr>
            <w:tcW w:w="2552" w:type="dxa"/>
          </w:tcPr>
          <w:p w14:paraId="65954C68" w14:textId="77777777" w:rsidR="00F533A5" w:rsidRPr="000322E4" w:rsidRDefault="00F533A5" w:rsidP="00F414BF">
            <w:pPr>
              <w:ind w:left="67"/>
              <w:contextualSpacing/>
              <w:rPr>
                <w:rFonts w:cs="Arial"/>
                <w:sz w:val="22"/>
              </w:rPr>
            </w:pPr>
            <w:r w:rsidRPr="000322E4">
              <w:rPr>
                <w:rFonts w:cs="Arial"/>
                <w:sz w:val="22"/>
              </w:rPr>
              <w:t>ОАК</w:t>
            </w:r>
          </w:p>
        </w:tc>
        <w:tc>
          <w:tcPr>
            <w:tcW w:w="1276" w:type="dxa"/>
          </w:tcPr>
          <w:p w14:paraId="2BA112D1" w14:textId="77777777" w:rsidR="00F533A5" w:rsidRPr="000322E4" w:rsidRDefault="00F533A5" w:rsidP="00F414BF">
            <w:pPr>
              <w:contextualSpacing/>
              <w:rPr>
                <w:rFonts w:cs="Arial"/>
                <w:sz w:val="22"/>
              </w:rPr>
            </w:pPr>
            <w:r w:rsidRPr="000322E4">
              <w:rPr>
                <w:rFonts w:cs="Arial"/>
                <w:sz w:val="22"/>
              </w:rPr>
              <w:t>4х</w:t>
            </w:r>
          </w:p>
        </w:tc>
        <w:tc>
          <w:tcPr>
            <w:tcW w:w="1134" w:type="dxa"/>
          </w:tcPr>
          <w:p w14:paraId="5D5B9804" w14:textId="77777777" w:rsidR="00F533A5" w:rsidRPr="000322E4" w:rsidRDefault="00F533A5" w:rsidP="00F414BF">
            <w:pPr>
              <w:contextualSpacing/>
              <w:rPr>
                <w:rFonts w:cs="Arial"/>
                <w:sz w:val="22"/>
              </w:rPr>
            </w:pPr>
            <w:r w:rsidRPr="000322E4">
              <w:rPr>
                <w:rFonts w:cs="Arial"/>
                <w:sz w:val="22"/>
              </w:rPr>
              <w:t>4х</w:t>
            </w:r>
          </w:p>
        </w:tc>
        <w:tc>
          <w:tcPr>
            <w:tcW w:w="1276" w:type="dxa"/>
          </w:tcPr>
          <w:p w14:paraId="1DE3C538" w14:textId="77777777" w:rsidR="00F533A5" w:rsidRPr="000322E4" w:rsidRDefault="00F533A5" w:rsidP="00F414BF">
            <w:pPr>
              <w:contextualSpacing/>
              <w:rPr>
                <w:rFonts w:cs="Arial"/>
                <w:sz w:val="22"/>
              </w:rPr>
            </w:pPr>
            <w:r w:rsidRPr="000322E4">
              <w:rPr>
                <w:rFonts w:cs="Arial"/>
                <w:sz w:val="22"/>
              </w:rPr>
              <w:t>2х</w:t>
            </w:r>
          </w:p>
        </w:tc>
        <w:tc>
          <w:tcPr>
            <w:tcW w:w="1134" w:type="dxa"/>
          </w:tcPr>
          <w:p w14:paraId="4611C12C" w14:textId="77777777" w:rsidR="00F533A5" w:rsidRPr="000322E4" w:rsidRDefault="00F533A5" w:rsidP="00F414BF">
            <w:pPr>
              <w:contextualSpacing/>
              <w:rPr>
                <w:rFonts w:cs="Arial"/>
                <w:sz w:val="22"/>
              </w:rPr>
            </w:pPr>
            <w:r w:rsidRPr="000322E4">
              <w:rPr>
                <w:rFonts w:cs="Arial"/>
                <w:sz w:val="22"/>
              </w:rPr>
              <w:t>2х</w:t>
            </w:r>
          </w:p>
        </w:tc>
        <w:tc>
          <w:tcPr>
            <w:tcW w:w="1275" w:type="dxa"/>
          </w:tcPr>
          <w:p w14:paraId="322C87EE" w14:textId="77777777" w:rsidR="00F533A5" w:rsidRPr="000322E4" w:rsidRDefault="00F533A5" w:rsidP="00F414BF">
            <w:pPr>
              <w:contextualSpacing/>
              <w:rPr>
                <w:rFonts w:cs="Arial"/>
                <w:sz w:val="22"/>
              </w:rPr>
            </w:pPr>
            <w:r w:rsidRPr="000322E4">
              <w:rPr>
                <w:rFonts w:cs="Arial"/>
                <w:sz w:val="22"/>
              </w:rPr>
              <w:t>2х</w:t>
            </w:r>
          </w:p>
        </w:tc>
        <w:tc>
          <w:tcPr>
            <w:tcW w:w="1134" w:type="dxa"/>
            <w:vMerge/>
          </w:tcPr>
          <w:p w14:paraId="71679238" w14:textId="77777777" w:rsidR="00F533A5" w:rsidRPr="000322E4" w:rsidRDefault="00F533A5" w:rsidP="00F414BF">
            <w:pPr>
              <w:contextualSpacing/>
              <w:rPr>
                <w:rFonts w:cs="Arial"/>
                <w:sz w:val="22"/>
              </w:rPr>
            </w:pPr>
          </w:p>
        </w:tc>
      </w:tr>
      <w:tr w:rsidR="00F533A5" w:rsidRPr="000322E4" w14:paraId="7929B428" w14:textId="77777777" w:rsidTr="00F533A5">
        <w:trPr>
          <w:cantSplit/>
        </w:trPr>
        <w:tc>
          <w:tcPr>
            <w:tcW w:w="2552" w:type="dxa"/>
          </w:tcPr>
          <w:p w14:paraId="0D1D0B25" w14:textId="77777777" w:rsidR="00F533A5" w:rsidRPr="000322E4" w:rsidRDefault="00F533A5" w:rsidP="00F414BF">
            <w:pPr>
              <w:ind w:left="67"/>
              <w:contextualSpacing/>
              <w:rPr>
                <w:rFonts w:cs="Arial"/>
                <w:sz w:val="22"/>
              </w:rPr>
            </w:pPr>
            <w:r w:rsidRPr="000322E4">
              <w:rPr>
                <w:rFonts w:cs="Arial"/>
                <w:sz w:val="22"/>
              </w:rPr>
              <w:t>ФВД</w:t>
            </w:r>
          </w:p>
        </w:tc>
        <w:tc>
          <w:tcPr>
            <w:tcW w:w="1276" w:type="dxa"/>
          </w:tcPr>
          <w:p w14:paraId="2E4147E2" w14:textId="77777777" w:rsidR="00F533A5" w:rsidRPr="000322E4" w:rsidRDefault="00F533A5" w:rsidP="00F414BF">
            <w:pPr>
              <w:contextualSpacing/>
              <w:rPr>
                <w:rFonts w:cs="Arial"/>
                <w:sz w:val="22"/>
              </w:rPr>
            </w:pPr>
            <w:r w:rsidRPr="000322E4">
              <w:rPr>
                <w:rFonts w:cs="Arial"/>
                <w:sz w:val="22"/>
              </w:rPr>
              <w:t>1х</w:t>
            </w:r>
          </w:p>
        </w:tc>
        <w:tc>
          <w:tcPr>
            <w:tcW w:w="4819" w:type="dxa"/>
            <w:gridSpan w:val="4"/>
          </w:tcPr>
          <w:p w14:paraId="196F80D8" w14:textId="77777777" w:rsidR="00F533A5" w:rsidRPr="000322E4" w:rsidRDefault="00F533A5" w:rsidP="00F414BF">
            <w:pPr>
              <w:contextualSpacing/>
              <w:rPr>
                <w:rFonts w:cs="Arial"/>
                <w:sz w:val="22"/>
              </w:rPr>
            </w:pPr>
            <w:r w:rsidRPr="000322E4">
              <w:rPr>
                <w:rFonts w:cs="Arial"/>
                <w:sz w:val="22"/>
              </w:rPr>
              <w:t>Индивидуально</w:t>
            </w:r>
          </w:p>
        </w:tc>
        <w:tc>
          <w:tcPr>
            <w:tcW w:w="1134" w:type="dxa"/>
            <w:vMerge/>
          </w:tcPr>
          <w:p w14:paraId="65AEACD7" w14:textId="77777777" w:rsidR="00F533A5" w:rsidRPr="000322E4" w:rsidRDefault="00F533A5" w:rsidP="00F414BF">
            <w:pPr>
              <w:contextualSpacing/>
              <w:rPr>
                <w:rFonts w:cs="Arial"/>
                <w:sz w:val="22"/>
              </w:rPr>
            </w:pPr>
          </w:p>
        </w:tc>
      </w:tr>
      <w:tr w:rsidR="00F533A5" w:rsidRPr="000322E4" w14:paraId="6E66B53F" w14:textId="77777777" w:rsidTr="00F533A5">
        <w:trPr>
          <w:cantSplit/>
        </w:trPr>
        <w:tc>
          <w:tcPr>
            <w:tcW w:w="2552" w:type="dxa"/>
          </w:tcPr>
          <w:p w14:paraId="4FF14CA1" w14:textId="77777777" w:rsidR="00F533A5" w:rsidRPr="000322E4" w:rsidRDefault="00F533A5" w:rsidP="00F414BF">
            <w:pPr>
              <w:ind w:left="67"/>
              <w:contextualSpacing/>
              <w:rPr>
                <w:rFonts w:cs="Arial"/>
                <w:sz w:val="22"/>
              </w:rPr>
            </w:pPr>
            <w:r w:rsidRPr="000322E4">
              <w:rPr>
                <w:rFonts w:cs="Arial"/>
                <w:sz w:val="22"/>
              </w:rPr>
              <w:t>УЗИ</w:t>
            </w:r>
          </w:p>
        </w:tc>
        <w:tc>
          <w:tcPr>
            <w:tcW w:w="1276" w:type="dxa"/>
          </w:tcPr>
          <w:p w14:paraId="77159E1E" w14:textId="77777777" w:rsidR="00F533A5" w:rsidRPr="000322E4" w:rsidRDefault="00F533A5" w:rsidP="00F414BF">
            <w:pPr>
              <w:contextualSpacing/>
              <w:rPr>
                <w:rFonts w:cs="Arial"/>
                <w:sz w:val="22"/>
              </w:rPr>
            </w:pPr>
            <w:r w:rsidRPr="000322E4">
              <w:rPr>
                <w:rFonts w:cs="Arial"/>
                <w:sz w:val="22"/>
              </w:rPr>
              <w:t>4х</w:t>
            </w:r>
          </w:p>
        </w:tc>
        <w:tc>
          <w:tcPr>
            <w:tcW w:w="1134" w:type="dxa"/>
          </w:tcPr>
          <w:p w14:paraId="135FD8BE" w14:textId="77777777" w:rsidR="00F533A5" w:rsidRPr="000322E4" w:rsidRDefault="00F533A5" w:rsidP="00F414BF">
            <w:pPr>
              <w:contextualSpacing/>
              <w:rPr>
                <w:rFonts w:cs="Arial"/>
                <w:sz w:val="22"/>
              </w:rPr>
            </w:pPr>
            <w:r w:rsidRPr="000322E4">
              <w:rPr>
                <w:rFonts w:cs="Arial"/>
                <w:sz w:val="22"/>
              </w:rPr>
              <w:t>4х</w:t>
            </w:r>
          </w:p>
        </w:tc>
        <w:tc>
          <w:tcPr>
            <w:tcW w:w="1276" w:type="dxa"/>
          </w:tcPr>
          <w:p w14:paraId="5F0A9D9B" w14:textId="77777777" w:rsidR="00F533A5" w:rsidRPr="000322E4" w:rsidRDefault="00F533A5" w:rsidP="00F414BF">
            <w:pPr>
              <w:contextualSpacing/>
              <w:rPr>
                <w:rFonts w:cs="Arial"/>
                <w:sz w:val="22"/>
              </w:rPr>
            </w:pPr>
            <w:r w:rsidRPr="000322E4">
              <w:rPr>
                <w:rFonts w:cs="Arial"/>
                <w:sz w:val="22"/>
              </w:rPr>
              <w:t>2х</w:t>
            </w:r>
          </w:p>
        </w:tc>
        <w:tc>
          <w:tcPr>
            <w:tcW w:w="1134" w:type="dxa"/>
          </w:tcPr>
          <w:p w14:paraId="354D2012" w14:textId="77777777" w:rsidR="00F533A5" w:rsidRPr="000322E4" w:rsidRDefault="00F533A5" w:rsidP="00F414BF">
            <w:pPr>
              <w:contextualSpacing/>
              <w:rPr>
                <w:rFonts w:cs="Arial"/>
                <w:sz w:val="22"/>
              </w:rPr>
            </w:pPr>
            <w:r w:rsidRPr="000322E4">
              <w:rPr>
                <w:rFonts w:cs="Arial"/>
                <w:sz w:val="22"/>
              </w:rPr>
              <w:t>2х</w:t>
            </w:r>
          </w:p>
        </w:tc>
        <w:tc>
          <w:tcPr>
            <w:tcW w:w="1275" w:type="dxa"/>
          </w:tcPr>
          <w:p w14:paraId="6AD4276E" w14:textId="77777777" w:rsidR="00F533A5" w:rsidRPr="000322E4" w:rsidRDefault="00F533A5" w:rsidP="00F414BF">
            <w:pPr>
              <w:contextualSpacing/>
              <w:rPr>
                <w:rFonts w:cs="Arial"/>
                <w:sz w:val="22"/>
              </w:rPr>
            </w:pPr>
            <w:r w:rsidRPr="000322E4">
              <w:rPr>
                <w:rFonts w:cs="Arial"/>
                <w:sz w:val="22"/>
              </w:rPr>
              <w:t>2х</w:t>
            </w:r>
          </w:p>
        </w:tc>
        <w:tc>
          <w:tcPr>
            <w:tcW w:w="1134" w:type="dxa"/>
            <w:vMerge/>
          </w:tcPr>
          <w:p w14:paraId="67F99F72" w14:textId="77777777" w:rsidR="00F533A5" w:rsidRPr="000322E4" w:rsidRDefault="00F533A5" w:rsidP="00F414BF">
            <w:pPr>
              <w:contextualSpacing/>
              <w:rPr>
                <w:rFonts w:cs="Arial"/>
                <w:sz w:val="22"/>
              </w:rPr>
            </w:pPr>
          </w:p>
        </w:tc>
      </w:tr>
      <w:tr w:rsidR="00F533A5" w:rsidRPr="000322E4" w14:paraId="55FDAC31" w14:textId="77777777" w:rsidTr="00F533A5">
        <w:trPr>
          <w:cantSplit/>
        </w:trPr>
        <w:tc>
          <w:tcPr>
            <w:tcW w:w="2552" w:type="dxa"/>
          </w:tcPr>
          <w:p w14:paraId="7544341C" w14:textId="77777777" w:rsidR="00F533A5" w:rsidRPr="000322E4" w:rsidRDefault="00F533A5" w:rsidP="00F414BF">
            <w:pPr>
              <w:ind w:left="67"/>
              <w:contextualSpacing/>
              <w:rPr>
                <w:rFonts w:cs="Arial"/>
                <w:sz w:val="22"/>
              </w:rPr>
            </w:pPr>
            <w:r w:rsidRPr="000322E4">
              <w:rPr>
                <w:rFonts w:cs="Arial"/>
                <w:sz w:val="22"/>
              </w:rPr>
              <w:t>КТ, МРТ</w:t>
            </w:r>
          </w:p>
        </w:tc>
        <w:tc>
          <w:tcPr>
            <w:tcW w:w="1276" w:type="dxa"/>
          </w:tcPr>
          <w:p w14:paraId="54900AAF" w14:textId="77777777" w:rsidR="00F533A5" w:rsidRPr="000322E4" w:rsidRDefault="00F533A5" w:rsidP="00F414BF">
            <w:pPr>
              <w:contextualSpacing/>
              <w:rPr>
                <w:rFonts w:cs="Arial"/>
                <w:sz w:val="22"/>
              </w:rPr>
            </w:pPr>
            <w:r w:rsidRPr="000322E4">
              <w:rPr>
                <w:rFonts w:cs="Arial"/>
                <w:sz w:val="22"/>
              </w:rPr>
              <w:t>2х</w:t>
            </w:r>
          </w:p>
        </w:tc>
        <w:tc>
          <w:tcPr>
            <w:tcW w:w="1134" w:type="dxa"/>
          </w:tcPr>
          <w:p w14:paraId="34F6C6CC" w14:textId="77777777" w:rsidR="00F533A5" w:rsidRPr="000322E4" w:rsidRDefault="00F533A5" w:rsidP="00F414BF">
            <w:pPr>
              <w:contextualSpacing/>
              <w:rPr>
                <w:rFonts w:cs="Arial"/>
                <w:sz w:val="22"/>
              </w:rPr>
            </w:pPr>
            <w:r w:rsidRPr="000322E4">
              <w:rPr>
                <w:rFonts w:cs="Arial"/>
                <w:sz w:val="22"/>
              </w:rPr>
              <w:t>2-1х</w:t>
            </w:r>
          </w:p>
        </w:tc>
        <w:tc>
          <w:tcPr>
            <w:tcW w:w="1276" w:type="dxa"/>
          </w:tcPr>
          <w:p w14:paraId="7A35572C" w14:textId="77777777" w:rsidR="00F533A5" w:rsidRPr="000322E4" w:rsidRDefault="00F533A5" w:rsidP="00F414BF">
            <w:pPr>
              <w:contextualSpacing/>
              <w:rPr>
                <w:rFonts w:cs="Arial"/>
                <w:sz w:val="22"/>
              </w:rPr>
            </w:pPr>
            <w:r w:rsidRPr="000322E4">
              <w:rPr>
                <w:rFonts w:cs="Arial"/>
                <w:sz w:val="22"/>
              </w:rPr>
              <w:t>1х</w:t>
            </w:r>
          </w:p>
        </w:tc>
        <w:tc>
          <w:tcPr>
            <w:tcW w:w="1134" w:type="dxa"/>
          </w:tcPr>
          <w:p w14:paraId="6B5E35BB" w14:textId="77777777" w:rsidR="00F533A5" w:rsidRPr="000322E4" w:rsidRDefault="00F533A5" w:rsidP="00F414BF">
            <w:pPr>
              <w:contextualSpacing/>
              <w:rPr>
                <w:rFonts w:cs="Arial"/>
                <w:sz w:val="22"/>
              </w:rPr>
            </w:pPr>
            <w:r w:rsidRPr="000322E4">
              <w:rPr>
                <w:rFonts w:cs="Arial"/>
                <w:sz w:val="22"/>
              </w:rPr>
              <w:t>1х</w:t>
            </w:r>
          </w:p>
        </w:tc>
        <w:tc>
          <w:tcPr>
            <w:tcW w:w="1275" w:type="dxa"/>
          </w:tcPr>
          <w:p w14:paraId="184045CA" w14:textId="77777777" w:rsidR="00F533A5" w:rsidRPr="000322E4" w:rsidRDefault="00F533A5" w:rsidP="00F414BF">
            <w:pPr>
              <w:contextualSpacing/>
              <w:rPr>
                <w:rFonts w:cs="Arial"/>
                <w:sz w:val="22"/>
              </w:rPr>
            </w:pPr>
            <w:r w:rsidRPr="000322E4">
              <w:rPr>
                <w:rFonts w:cs="Arial"/>
                <w:sz w:val="22"/>
              </w:rPr>
              <w:t>1х</w:t>
            </w:r>
          </w:p>
        </w:tc>
        <w:tc>
          <w:tcPr>
            <w:tcW w:w="1134" w:type="dxa"/>
            <w:vMerge/>
          </w:tcPr>
          <w:p w14:paraId="74C21DC9" w14:textId="77777777" w:rsidR="00F533A5" w:rsidRPr="000322E4" w:rsidRDefault="00F533A5" w:rsidP="00F414BF">
            <w:pPr>
              <w:contextualSpacing/>
              <w:rPr>
                <w:rFonts w:cs="Arial"/>
                <w:sz w:val="22"/>
              </w:rPr>
            </w:pPr>
          </w:p>
        </w:tc>
      </w:tr>
      <w:tr w:rsidR="00F533A5" w:rsidRPr="000322E4" w14:paraId="075AC173" w14:textId="77777777" w:rsidTr="00F533A5">
        <w:trPr>
          <w:cantSplit/>
        </w:trPr>
        <w:tc>
          <w:tcPr>
            <w:tcW w:w="2552" w:type="dxa"/>
          </w:tcPr>
          <w:p w14:paraId="7FC3BD85" w14:textId="77777777" w:rsidR="00F533A5" w:rsidRPr="000322E4" w:rsidRDefault="00F533A5" w:rsidP="00F414BF">
            <w:pPr>
              <w:ind w:left="67"/>
              <w:contextualSpacing/>
              <w:rPr>
                <w:rFonts w:cs="Arial"/>
                <w:sz w:val="22"/>
              </w:rPr>
            </w:pPr>
            <w:r w:rsidRPr="000322E4">
              <w:rPr>
                <w:rFonts w:cs="Arial"/>
                <w:sz w:val="22"/>
              </w:rPr>
              <w:t>Гормоны щитовидной железы</w:t>
            </w:r>
          </w:p>
        </w:tc>
        <w:tc>
          <w:tcPr>
            <w:tcW w:w="1276" w:type="dxa"/>
          </w:tcPr>
          <w:p w14:paraId="134AA2D6" w14:textId="77777777" w:rsidR="00F533A5" w:rsidRPr="000322E4" w:rsidRDefault="00F533A5" w:rsidP="00F414BF">
            <w:pPr>
              <w:contextualSpacing/>
              <w:rPr>
                <w:rFonts w:cs="Arial"/>
                <w:sz w:val="22"/>
              </w:rPr>
            </w:pPr>
            <w:r w:rsidRPr="000322E4">
              <w:rPr>
                <w:rFonts w:cs="Arial"/>
                <w:sz w:val="22"/>
              </w:rPr>
              <w:t>1х</w:t>
            </w:r>
          </w:p>
        </w:tc>
        <w:tc>
          <w:tcPr>
            <w:tcW w:w="1134" w:type="dxa"/>
          </w:tcPr>
          <w:p w14:paraId="3155A79C" w14:textId="77777777" w:rsidR="00F533A5" w:rsidRPr="000322E4" w:rsidRDefault="00F533A5" w:rsidP="00F414BF">
            <w:pPr>
              <w:contextualSpacing/>
              <w:rPr>
                <w:rFonts w:cs="Arial"/>
                <w:sz w:val="22"/>
              </w:rPr>
            </w:pPr>
            <w:r w:rsidRPr="000322E4">
              <w:rPr>
                <w:rFonts w:cs="Arial"/>
                <w:sz w:val="22"/>
              </w:rPr>
              <w:t>1х</w:t>
            </w:r>
          </w:p>
        </w:tc>
        <w:tc>
          <w:tcPr>
            <w:tcW w:w="1276" w:type="dxa"/>
          </w:tcPr>
          <w:p w14:paraId="3E0BEA88" w14:textId="77777777" w:rsidR="00F533A5" w:rsidRPr="000322E4" w:rsidRDefault="00F533A5" w:rsidP="00F414BF">
            <w:pPr>
              <w:contextualSpacing/>
              <w:rPr>
                <w:rFonts w:cs="Arial"/>
                <w:sz w:val="22"/>
              </w:rPr>
            </w:pPr>
            <w:r w:rsidRPr="000322E4">
              <w:rPr>
                <w:rFonts w:cs="Arial"/>
                <w:sz w:val="22"/>
              </w:rPr>
              <w:t>1х</w:t>
            </w:r>
          </w:p>
        </w:tc>
        <w:tc>
          <w:tcPr>
            <w:tcW w:w="1134" w:type="dxa"/>
          </w:tcPr>
          <w:p w14:paraId="6A313B98" w14:textId="77777777" w:rsidR="00F533A5" w:rsidRPr="000322E4" w:rsidRDefault="00F533A5" w:rsidP="00F414BF">
            <w:pPr>
              <w:contextualSpacing/>
              <w:rPr>
                <w:rFonts w:cs="Arial"/>
                <w:sz w:val="22"/>
              </w:rPr>
            </w:pPr>
            <w:r w:rsidRPr="000322E4">
              <w:rPr>
                <w:rFonts w:cs="Arial"/>
                <w:sz w:val="22"/>
              </w:rPr>
              <w:t>1х</w:t>
            </w:r>
          </w:p>
        </w:tc>
        <w:tc>
          <w:tcPr>
            <w:tcW w:w="1275" w:type="dxa"/>
          </w:tcPr>
          <w:p w14:paraId="7DC82E66" w14:textId="77777777" w:rsidR="00F533A5" w:rsidRPr="000322E4" w:rsidRDefault="00F533A5" w:rsidP="00F414BF">
            <w:pPr>
              <w:contextualSpacing/>
              <w:rPr>
                <w:rFonts w:cs="Arial"/>
                <w:sz w:val="22"/>
              </w:rPr>
            </w:pPr>
            <w:r w:rsidRPr="000322E4">
              <w:rPr>
                <w:rFonts w:cs="Arial"/>
                <w:sz w:val="22"/>
              </w:rPr>
              <w:t>1х</w:t>
            </w:r>
          </w:p>
        </w:tc>
        <w:tc>
          <w:tcPr>
            <w:tcW w:w="1134" w:type="dxa"/>
            <w:vMerge/>
          </w:tcPr>
          <w:p w14:paraId="03A90CC0" w14:textId="77777777" w:rsidR="00F533A5" w:rsidRPr="000322E4" w:rsidRDefault="00F533A5" w:rsidP="00F414BF">
            <w:pPr>
              <w:contextualSpacing/>
              <w:rPr>
                <w:rFonts w:cs="Arial"/>
                <w:sz w:val="22"/>
              </w:rPr>
            </w:pPr>
          </w:p>
        </w:tc>
      </w:tr>
      <w:tr w:rsidR="00F533A5" w:rsidRPr="000322E4" w14:paraId="58AAC16D" w14:textId="77777777" w:rsidTr="00F533A5">
        <w:trPr>
          <w:cantSplit/>
        </w:trPr>
        <w:tc>
          <w:tcPr>
            <w:tcW w:w="2552" w:type="dxa"/>
          </w:tcPr>
          <w:p w14:paraId="3FBC05E2" w14:textId="77777777" w:rsidR="00F533A5" w:rsidRPr="000322E4" w:rsidRDefault="00F533A5" w:rsidP="00F414BF">
            <w:pPr>
              <w:ind w:left="67"/>
              <w:contextualSpacing/>
              <w:rPr>
                <w:rFonts w:cs="Arial"/>
                <w:sz w:val="22"/>
              </w:rPr>
            </w:pPr>
            <w:r w:rsidRPr="000322E4">
              <w:rPr>
                <w:rFonts w:cs="Arial"/>
                <w:sz w:val="22"/>
              </w:rPr>
              <w:t>ЭКГ, ЭХО-КГ</w:t>
            </w:r>
          </w:p>
        </w:tc>
        <w:tc>
          <w:tcPr>
            <w:tcW w:w="1276" w:type="dxa"/>
          </w:tcPr>
          <w:p w14:paraId="2B3A9648" w14:textId="77777777" w:rsidR="00F533A5" w:rsidRPr="000322E4" w:rsidRDefault="00F533A5" w:rsidP="00F414BF">
            <w:pPr>
              <w:contextualSpacing/>
              <w:rPr>
                <w:rFonts w:cs="Arial"/>
                <w:sz w:val="22"/>
              </w:rPr>
            </w:pPr>
          </w:p>
        </w:tc>
        <w:tc>
          <w:tcPr>
            <w:tcW w:w="1134" w:type="dxa"/>
          </w:tcPr>
          <w:p w14:paraId="01A40035" w14:textId="77777777" w:rsidR="00F533A5" w:rsidRPr="000322E4" w:rsidRDefault="00F533A5" w:rsidP="00F414BF">
            <w:pPr>
              <w:contextualSpacing/>
              <w:rPr>
                <w:rFonts w:cs="Arial"/>
                <w:sz w:val="22"/>
              </w:rPr>
            </w:pPr>
            <w:r w:rsidRPr="000322E4">
              <w:rPr>
                <w:rFonts w:cs="Arial"/>
                <w:sz w:val="22"/>
              </w:rPr>
              <w:t>1х</w:t>
            </w:r>
          </w:p>
        </w:tc>
        <w:tc>
          <w:tcPr>
            <w:tcW w:w="1276" w:type="dxa"/>
          </w:tcPr>
          <w:p w14:paraId="0BA89FA3" w14:textId="77777777" w:rsidR="00F533A5" w:rsidRPr="000322E4" w:rsidRDefault="00F533A5" w:rsidP="00F414BF">
            <w:pPr>
              <w:contextualSpacing/>
              <w:rPr>
                <w:rFonts w:cs="Arial"/>
                <w:sz w:val="22"/>
              </w:rPr>
            </w:pPr>
          </w:p>
        </w:tc>
        <w:tc>
          <w:tcPr>
            <w:tcW w:w="1134" w:type="dxa"/>
          </w:tcPr>
          <w:p w14:paraId="5F00F466" w14:textId="77777777" w:rsidR="00F533A5" w:rsidRPr="000322E4" w:rsidRDefault="00F533A5" w:rsidP="00F414BF">
            <w:pPr>
              <w:contextualSpacing/>
              <w:rPr>
                <w:rFonts w:cs="Arial"/>
                <w:sz w:val="22"/>
              </w:rPr>
            </w:pPr>
          </w:p>
        </w:tc>
        <w:tc>
          <w:tcPr>
            <w:tcW w:w="1275" w:type="dxa"/>
          </w:tcPr>
          <w:p w14:paraId="42ACDDA2" w14:textId="77777777" w:rsidR="00F533A5" w:rsidRPr="000322E4" w:rsidRDefault="00F533A5" w:rsidP="00F414BF">
            <w:pPr>
              <w:contextualSpacing/>
              <w:rPr>
                <w:rFonts w:cs="Arial"/>
                <w:sz w:val="22"/>
              </w:rPr>
            </w:pPr>
            <w:r w:rsidRPr="000322E4">
              <w:rPr>
                <w:rFonts w:cs="Arial"/>
                <w:sz w:val="22"/>
              </w:rPr>
              <w:t>1х</w:t>
            </w:r>
          </w:p>
        </w:tc>
        <w:tc>
          <w:tcPr>
            <w:tcW w:w="1134" w:type="dxa"/>
            <w:vMerge/>
          </w:tcPr>
          <w:p w14:paraId="7CBF79A6" w14:textId="77777777" w:rsidR="00F533A5" w:rsidRPr="000322E4" w:rsidRDefault="00F533A5" w:rsidP="00F414BF">
            <w:pPr>
              <w:contextualSpacing/>
              <w:rPr>
                <w:rFonts w:cs="Arial"/>
                <w:sz w:val="22"/>
              </w:rPr>
            </w:pPr>
          </w:p>
        </w:tc>
      </w:tr>
    </w:tbl>
    <w:p w14:paraId="29CB50A2" w14:textId="77777777" w:rsidR="00F533A5" w:rsidRPr="000322E4" w:rsidRDefault="00F533A5" w:rsidP="00F414BF">
      <w:pPr>
        <w:ind w:left="709"/>
        <w:contextualSpacing/>
        <w:rPr>
          <w:i/>
          <w:iCs/>
        </w:rPr>
      </w:pPr>
    </w:p>
    <w:p w14:paraId="77E12F1D" w14:textId="77777777" w:rsidR="00F82F9F" w:rsidRPr="000322E4" w:rsidRDefault="00F82F9F" w:rsidP="00F414BF">
      <w:pPr>
        <w:pStyle w:val="afe"/>
        <w:numPr>
          <w:ilvl w:val="0"/>
          <w:numId w:val="10"/>
        </w:numPr>
        <w:ind w:left="709" w:hanging="425"/>
      </w:pPr>
      <w:r w:rsidRPr="000322E4">
        <w:t xml:space="preserve">Детям и подросткам, завершившим лечение по поводу </w:t>
      </w:r>
      <w:r w:rsidR="00210FA0" w:rsidRPr="000322E4">
        <w:t>ДВКЛ</w:t>
      </w:r>
      <w:r w:rsidRPr="000322E4">
        <w:t xml:space="preserve"> с достижением ПР, </w:t>
      </w:r>
      <w:r w:rsidRPr="000322E4">
        <w:rPr>
          <w:b/>
          <w:bCs/>
        </w:rPr>
        <w:t xml:space="preserve">рекомендуется </w:t>
      </w:r>
      <w:r w:rsidRPr="000322E4">
        <w:t>скрининг поздних эффектов терапии (см. табл. 5.2), скрини</w:t>
      </w:r>
      <w:r w:rsidR="008B322C" w:rsidRPr="000322E4">
        <w:t>н</w:t>
      </w:r>
      <w:r w:rsidRPr="000322E4">
        <w:t>г органных осложнений проведенного лечения (см. табл. 5.3) и скрини</w:t>
      </w:r>
      <w:r w:rsidR="008B322C" w:rsidRPr="000322E4">
        <w:t>н</w:t>
      </w:r>
      <w:r w:rsidRPr="000322E4">
        <w:t xml:space="preserve">г по кардиотоксическим эффектам (в зависимости от проведенного лечения и возраста пациента – см. табл. 5.4) </w:t>
      </w:r>
      <w:r w:rsidRPr="000322E4">
        <w:fldChar w:fldCharType="begin" w:fldLock="1"/>
      </w:r>
      <w:r w:rsidR="00C37789" w:rsidRPr="000322E4">
        <w:instrText>ADDIN CSL_CITATION {"citationItems":[{"id":"ITEM-1","itemData":{"author":[{"dropping-particle":"","family":"Румянцев","given":"А.Г.","non-dropping-particle":"","parse-names":false,"suffix":""},{"dropping-particle":"","family":"Самочатова","given":"Е.В.","non-dropping-particle":"","parse-names":false,"suffix":""}],"id":"ITEM-1","issued":{"date-parts":[["2004"]]},"publisher":"Медпрактика-М, Москва","title":"Практическое руководство по детским болезням. Гематология/онкология детского возраста.","type":"book"},"uris":["http://www.mendeley.com/documents/?uuid=8c7d4149-b932-4e8f-a7ab-5a5e6f9b51b5"]}],"mendeley":{"formattedCitation":"[121]","plainTextFormattedCitation":"[121]","previouslyFormattedCitation":"[121]"},"properties":{"noteIndex":0},"schema":"https://github.com/citation-style-language/schema/raw/master/csl-citation.json"}</w:instrText>
      </w:r>
      <w:r w:rsidRPr="000322E4">
        <w:fldChar w:fldCharType="separate"/>
      </w:r>
      <w:r w:rsidR="00C37789" w:rsidRPr="000322E4">
        <w:rPr>
          <w:noProof/>
        </w:rPr>
        <w:t>[121]</w:t>
      </w:r>
      <w:r w:rsidRPr="000322E4">
        <w:fldChar w:fldCharType="end"/>
      </w:r>
      <w:r w:rsidRPr="000322E4">
        <w:t xml:space="preserve">. </w:t>
      </w:r>
    </w:p>
    <w:p w14:paraId="14D96AB1" w14:textId="77777777" w:rsidR="00F82F9F" w:rsidRPr="000322E4" w:rsidRDefault="00F82F9F" w:rsidP="00F414BF">
      <w:pPr>
        <w:ind w:left="709"/>
        <w:contextualSpacing/>
        <w:rPr>
          <w:b/>
        </w:rPr>
      </w:pPr>
      <w:r w:rsidRPr="000322E4">
        <w:rPr>
          <w:b/>
        </w:rPr>
        <w:t xml:space="preserve">Уровень убедительности рекомендаций </w:t>
      </w:r>
      <w:r w:rsidRPr="000322E4">
        <w:rPr>
          <w:b/>
          <w:lang w:val="en-US"/>
        </w:rPr>
        <w:t>C</w:t>
      </w:r>
      <w:r w:rsidRPr="000322E4">
        <w:rPr>
          <w:b/>
        </w:rPr>
        <w:t xml:space="preserve"> (уровень достоверности доказательств 5).</w:t>
      </w:r>
    </w:p>
    <w:p w14:paraId="73DEC537" w14:textId="77777777" w:rsidR="00F82F9F" w:rsidRPr="000322E4" w:rsidRDefault="00F82F9F" w:rsidP="00F414BF">
      <w:pPr>
        <w:ind w:left="709"/>
        <w:contextualSpacing/>
        <w:rPr>
          <w:i/>
        </w:rPr>
      </w:pPr>
      <w:r w:rsidRPr="000322E4">
        <w:rPr>
          <w:b/>
        </w:rPr>
        <w:t>Комментарий:</w:t>
      </w:r>
      <w:r w:rsidRPr="000322E4">
        <w:t xml:space="preserve"> </w:t>
      </w:r>
    </w:p>
    <w:p w14:paraId="4440C2AB" w14:textId="77777777" w:rsidR="00F82F9F" w:rsidRPr="000322E4" w:rsidRDefault="00F82F9F" w:rsidP="00F414BF">
      <w:pPr>
        <w:ind w:left="709"/>
        <w:contextualSpacing/>
        <w:rPr>
          <w:i/>
        </w:rPr>
      </w:pPr>
      <w:r w:rsidRPr="000322E4">
        <w:rPr>
          <w:i/>
        </w:rPr>
        <w:t>Таблица 5.2. Скрини</w:t>
      </w:r>
      <w:r w:rsidR="008B322C" w:rsidRPr="000322E4">
        <w:rPr>
          <w:i/>
        </w:rPr>
        <w:t>н</w:t>
      </w:r>
      <w:r w:rsidRPr="000322E4">
        <w:rPr>
          <w:i/>
        </w:rPr>
        <w:t>г поздних эффектов противолимфомной терапии</w:t>
      </w: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11"/>
        <w:gridCol w:w="7229"/>
      </w:tblGrid>
      <w:tr w:rsidR="008762E9" w:rsidRPr="000322E4" w14:paraId="1A79BEFA" w14:textId="77777777" w:rsidTr="009B70C4">
        <w:trPr>
          <w:trHeight w:val="508"/>
        </w:trPr>
        <w:tc>
          <w:tcPr>
            <w:tcW w:w="2411" w:type="dxa"/>
            <w:tcMar>
              <w:top w:w="72" w:type="dxa"/>
              <w:left w:w="144" w:type="dxa"/>
              <w:bottom w:w="72" w:type="dxa"/>
              <w:right w:w="144" w:type="dxa"/>
            </w:tcMar>
          </w:tcPr>
          <w:p w14:paraId="03790559" w14:textId="77777777" w:rsidR="00F82F9F" w:rsidRPr="000322E4" w:rsidRDefault="00F82F9F" w:rsidP="00F414BF">
            <w:pPr>
              <w:ind w:left="63" w:hanging="6"/>
              <w:contextualSpacing/>
              <w:rPr>
                <w:rFonts w:cs="Arial"/>
                <w:sz w:val="22"/>
              </w:rPr>
            </w:pPr>
            <w:r w:rsidRPr="000322E4">
              <w:rPr>
                <w:rFonts w:cs="Arial"/>
                <w:sz w:val="22"/>
              </w:rPr>
              <w:t>1 год от окончания терапии (каждые 3 мес.)</w:t>
            </w:r>
          </w:p>
        </w:tc>
        <w:tc>
          <w:tcPr>
            <w:tcW w:w="7229" w:type="dxa"/>
            <w:tcMar>
              <w:top w:w="72" w:type="dxa"/>
              <w:left w:w="144" w:type="dxa"/>
              <w:bottom w:w="72" w:type="dxa"/>
              <w:right w:w="144" w:type="dxa"/>
            </w:tcMar>
          </w:tcPr>
          <w:p w14:paraId="54CED809" w14:textId="77777777" w:rsidR="00F82F9F" w:rsidRPr="000322E4" w:rsidRDefault="00F82F9F" w:rsidP="00F414BF">
            <w:pPr>
              <w:numPr>
                <w:ilvl w:val="0"/>
                <w:numId w:val="27"/>
              </w:numPr>
              <w:ind w:left="276" w:hanging="284"/>
              <w:contextualSpacing/>
              <w:rPr>
                <w:rFonts w:cs="Arial"/>
                <w:sz w:val="22"/>
              </w:rPr>
            </w:pPr>
            <w:r w:rsidRPr="000322E4">
              <w:rPr>
                <w:rFonts w:cs="Arial"/>
                <w:sz w:val="22"/>
              </w:rPr>
              <w:t>осмотр (рост/вес, объем яичек, признаки полового созревания)</w:t>
            </w:r>
          </w:p>
          <w:p w14:paraId="1E42ADA9" w14:textId="77777777" w:rsidR="00F82F9F" w:rsidRPr="000322E4" w:rsidRDefault="00F82F9F" w:rsidP="00F414BF">
            <w:pPr>
              <w:numPr>
                <w:ilvl w:val="0"/>
                <w:numId w:val="27"/>
              </w:numPr>
              <w:ind w:left="276" w:hanging="284"/>
              <w:contextualSpacing/>
              <w:rPr>
                <w:rFonts w:cs="Arial"/>
                <w:sz w:val="22"/>
              </w:rPr>
            </w:pPr>
            <w:r w:rsidRPr="000322E4">
              <w:rPr>
                <w:rFonts w:cs="Arial"/>
                <w:sz w:val="22"/>
              </w:rPr>
              <w:t>ежемесячное самообследование молочных желез</w:t>
            </w:r>
          </w:p>
          <w:p w14:paraId="7F0CDE71" w14:textId="77777777" w:rsidR="00F82F9F" w:rsidRPr="000322E4" w:rsidRDefault="00F82F9F" w:rsidP="00F414BF">
            <w:pPr>
              <w:numPr>
                <w:ilvl w:val="0"/>
                <w:numId w:val="27"/>
              </w:numPr>
              <w:ind w:left="276" w:hanging="284"/>
              <w:contextualSpacing/>
              <w:rPr>
                <w:rFonts w:cs="Arial"/>
                <w:sz w:val="22"/>
              </w:rPr>
            </w:pPr>
            <w:r w:rsidRPr="000322E4">
              <w:rPr>
                <w:rFonts w:cs="Arial"/>
                <w:sz w:val="22"/>
              </w:rPr>
              <w:t>общий анализ крови + СОЭ</w:t>
            </w:r>
          </w:p>
          <w:p w14:paraId="2BBEA224" w14:textId="77777777" w:rsidR="00F82F9F" w:rsidRPr="000322E4" w:rsidRDefault="00F82F9F" w:rsidP="00F414BF">
            <w:pPr>
              <w:numPr>
                <w:ilvl w:val="0"/>
                <w:numId w:val="27"/>
              </w:numPr>
              <w:ind w:left="276" w:hanging="284"/>
              <w:contextualSpacing/>
              <w:rPr>
                <w:rFonts w:cs="Arial"/>
                <w:sz w:val="22"/>
              </w:rPr>
            </w:pPr>
            <w:r w:rsidRPr="000322E4">
              <w:rPr>
                <w:rFonts w:cs="Arial"/>
                <w:sz w:val="22"/>
              </w:rPr>
              <w:lastRenderedPageBreak/>
              <w:t xml:space="preserve">Рентгенография органов грудной клетки/КТ шеи/грудной клетки для </w:t>
            </w:r>
            <w:r w:rsidRPr="000322E4">
              <w:rPr>
                <w:rFonts w:cs="Arial"/>
                <w:sz w:val="22"/>
                <w:lang w:val="en-US"/>
              </w:rPr>
              <w:t>I</w:t>
            </w:r>
            <w:r w:rsidRPr="000322E4">
              <w:rPr>
                <w:rFonts w:cs="Arial"/>
                <w:sz w:val="22"/>
              </w:rPr>
              <w:t>-</w:t>
            </w:r>
            <w:r w:rsidRPr="000322E4">
              <w:rPr>
                <w:rFonts w:cs="Arial"/>
                <w:sz w:val="22"/>
                <w:lang w:val="en-US"/>
              </w:rPr>
              <w:t>II</w:t>
            </w:r>
            <w:r w:rsidRPr="000322E4">
              <w:rPr>
                <w:rFonts w:cs="Arial"/>
                <w:sz w:val="22"/>
              </w:rPr>
              <w:t xml:space="preserve"> + КТ живота/таза для </w:t>
            </w:r>
            <w:r w:rsidRPr="000322E4">
              <w:rPr>
                <w:rFonts w:cs="Arial"/>
                <w:sz w:val="22"/>
                <w:lang w:val="en-US"/>
              </w:rPr>
              <w:t>III</w:t>
            </w:r>
            <w:r w:rsidRPr="000322E4">
              <w:rPr>
                <w:rFonts w:cs="Arial"/>
                <w:sz w:val="22"/>
              </w:rPr>
              <w:t>-</w:t>
            </w:r>
            <w:r w:rsidRPr="000322E4">
              <w:rPr>
                <w:rFonts w:cs="Arial"/>
                <w:sz w:val="22"/>
                <w:lang w:val="en-US"/>
              </w:rPr>
              <w:t>IV</w:t>
            </w:r>
            <w:r w:rsidRPr="000322E4">
              <w:rPr>
                <w:rFonts w:cs="Arial"/>
                <w:sz w:val="22"/>
              </w:rPr>
              <w:t xml:space="preserve"> стадий</w:t>
            </w:r>
          </w:p>
          <w:p w14:paraId="4B5F1A1E" w14:textId="77777777" w:rsidR="00F82F9F" w:rsidRPr="000322E4" w:rsidRDefault="00F82F9F" w:rsidP="00F414BF">
            <w:pPr>
              <w:numPr>
                <w:ilvl w:val="0"/>
                <w:numId w:val="27"/>
              </w:numPr>
              <w:ind w:left="276" w:hanging="284"/>
              <w:contextualSpacing/>
              <w:rPr>
                <w:rFonts w:cs="Arial"/>
                <w:sz w:val="22"/>
              </w:rPr>
            </w:pPr>
            <w:r w:rsidRPr="000322E4">
              <w:rPr>
                <w:rFonts w:cs="Arial"/>
                <w:sz w:val="22"/>
              </w:rPr>
              <w:t xml:space="preserve">ЭКГ/эхоКГ/Холтер, </w:t>
            </w:r>
            <w:r w:rsidRPr="000322E4">
              <w:rPr>
                <w:rFonts w:cs="Arial"/>
                <w:sz w:val="22"/>
                <w:lang w:val="en-US"/>
              </w:rPr>
              <w:t>LH</w:t>
            </w:r>
            <w:r w:rsidRPr="000322E4">
              <w:rPr>
                <w:rFonts w:cs="Arial"/>
                <w:sz w:val="22"/>
              </w:rPr>
              <w:t xml:space="preserve">, </w:t>
            </w:r>
            <w:r w:rsidRPr="000322E4">
              <w:rPr>
                <w:rFonts w:cs="Arial"/>
                <w:sz w:val="22"/>
                <w:lang w:val="en-US"/>
              </w:rPr>
              <w:t>FSH</w:t>
            </w:r>
            <w:r w:rsidRPr="000322E4">
              <w:rPr>
                <w:rFonts w:cs="Arial"/>
                <w:sz w:val="22"/>
              </w:rPr>
              <w:t xml:space="preserve">, эстрогены/тестостерон, гормоны щит. </w:t>
            </w:r>
            <w:r w:rsidR="008B322C" w:rsidRPr="000322E4">
              <w:rPr>
                <w:rFonts w:cs="Arial"/>
                <w:sz w:val="22"/>
              </w:rPr>
              <w:t>Ж</w:t>
            </w:r>
            <w:r w:rsidRPr="000322E4">
              <w:rPr>
                <w:rFonts w:cs="Arial"/>
                <w:sz w:val="22"/>
              </w:rPr>
              <w:t>елезы</w:t>
            </w:r>
          </w:p>
        </w:tc>
      </w:tr>
      <w:tr w:rsidR="008762E9" w:rsidRPr="000322E4" w14:paraId="1BD0C912" w14:textId="77777777" w:rsidTr="009B70C4">
        <w:trPr>
          <w:trHeight w:val="421"/>
        </w:trPr>
        <w:tc>
          <w:tcPr>
            <w:tcW w:w="2411" w:type="dxa"/>
            <w:tcMar>
              <w:top w:w="72" w:type="dxa"/>
              <w:left w:w="144" w:type="dxa"/>
              <w:bottom w:w="72" w:type="dxa"/>
              <w:right w:w="144" w:type="dxa"/>
            </w:tcMar>
          </w:tcPr>
          <w:p w14:paraId="4BA03AA3" w14:textId="77777777" w:rsidR="00F82F9F" w:rsidRPr="000322E4" w:rsidRDefault="00F82F9F" w:rsidP="00F414BF">
            <w:pPr>
              <w:ind w:left="63" w:hanging="6"/>
              <w:contextualSpacing/>
              <w:rPr>
                <w:rFonts w:cs="Arial"/>
                <w:sz w:val="22"/>
              </w:rPr>
            </w:pPr>
            <w:r w:rsidRPr="000322E4">
              <w:rPr>
                <w:rFonts w:cs="Arial"/>
                <w:sz w:val="22"/>
              </w:rPr>
              <w:lastRenderedPageBreak/>
              <w:t>2 год от окончания терапии</w:t>
            </w:r>
          </w:p>
        </w:tc>
        <w:tc>
          <w:tcPr>
            <w:tcW w:w="7229" w:type="dxa"/>
            <w:tcMar>
              <w:top w:w="72" w:type="dxa"/>
              <w:left w:w="144" w:type="dxa"/>
              <w:bottom w:w="72" w:type="dxa"/>
              <w:right w:w="144" w:type="dxa"/>
            </w:tcMar>
          </w:tcPr>
          <w:p w14:paraId="5CF6536F" w14:textId="77777777" w:rsidR="00F82F9F" w:rsidRPr="000322E4" w:rsidRDefault="00F82F9F" w:rsidP="00F414BF">
            <w:pPr>
              <w:numPr>
                <w:ilvl w:val="0"/>
                <w:numId w:val="28"/>
              </w:numPr>
              <w:ind w:left="276" w:hanging="284"/>
              <w:contextualSpacing/>
              <w:rPr>
                <w:rFonts w:cs="Arial"/>
                <w:sz w:val="22"/>
              </w:rPr>
            </w:pPr>
            <w:r w:rsidRPr="000322E4">
              <w:rPr>
                <w:rFonts w:cs="Arial"/>
                <w:sz w:val="22"/>
              </w:rPr>
              <w:t>осмотр, анализы и КТ каждые 6 мес.</w:t>
            </w:r>
          </w:p>
          <w:p w14:paraId="70EBA974" w14:textId="77777777" w:rsidR="00F82F9F" w:rsidRPr="000322E4" w:rsidRDefault="00F82F9F" w:rsidP="00F414BF">
            <w:pPr>
              <w:numPr>
                <w:ilvl w:val="0"/>
                <w:numId w:val="28"/>
              </w:numPr>
              <w:ind w:left="276" w:hanging="284"/>
              <w:contextualSpacing/>
              <w:rPr>
                <w:rFonts w:cs="Arial"/>
                <w:sz w:val="22"/>
              </w:rPr>
            </w:pPr>
            <w:r w:rsidRPr="000322E4">
              <w:rPr>
                <w:rFonts w:cs="Arial"/>
                <w:sz w:val="22"/>
              </w:rPr>
              <w:t>ежегодно – маммолог, оценка функции сердца, легких, щитовидной железы и гормонального статуса</w:t>
            </w:r>
          </w:p>
        </w:tc>
      </w:tr>
      <w:tr w:rsidR="008762E9" w:rsidRPr="000322E4" w14:paraId="4C076F6F" w14:textId="77777777" w:rsidTr="009B70C4">
        <w:trPr>
          <w:trHeight w:val="13"/>
        </w:trPr>
        <w:tc>
          <w:tcPr>
            <w:tcW w:w="2411" w:type="dxa"/>
            <w:tcMar>
              <w:top w:w="72" w:type="dxa"/>
              <w:left w:w="144" w:type="dxa"/>
              <w:bottom w:w="72" w:type="dxa"/>
              <w:right w:w="144" w:type="dxa"/>
            </w:tcMar>
          </w:tcPr>
          <w:p w14:paraId="33BE69D1" w14:textId="77777777" w:rsidR="00F82F9F" w:rsidRPr="000322E4" w:rsidRDefault="00F82F9F" w:rsidP="00F414BF">
            <w:pPr>
              <w:ind w:left="63" w:hanging="6"/>
              <w:contextualSpacing/>
              <w:rPr>
                <w:rFonts w:cs="Arial"/>
                <w:sz w:val="22"/>
              </w:rPr>
            </w:pPr>
            <w:r w:rsidRPr="000322E4">
              <w:rPr>
                <w:rFonts w:cs="Arial"/>
                <w:sz w:val="22"/>
              </w:rPr>
              <w:t>3 год от окончания терапии</w:t>
            </w:r>
          </w:p>
        </w:tc>
        <w:tc>
          <w:tcPr>
            <w:tcW w:w="7229" w:type="dxa"/>
            <w:tcMar>
              <w:top w:w="72" w:type="dxa"/>
              <w:left w:w="144" w:type="dxa"/>
              <w:bottom w:w="72" w:type="dxa"/>
              <w:right w:w="144" w:type="dxa"/>
            </w:tcMar>
          </w:tcPr>
          <w:p w14:paraId="2AEE4C32" w14:textId="77777777" w:rsidR="00F82F9F" w:rsidRPr="000322E4" w:rsidRDefault="00F82F9F" w:rsidP="00F414BF">
            <w:pPr>
              <w:numPr>
                <w:ilvl w:val="0"/>
                <w:numId w:val="29"/>
              </w:numPr>
              <w:ind w:left="276" w:hanging="284"/>
              <w:contextualSpacing/>
              <w:rPr>
                <w:rFonts w:cs="Arial"/>
                <w:sz w:val="22"/>
              </w:rPr>
            </w:pPr>
            <w:r w:rsidRPr="000322E4">
              <w:rPr>
                <w:rFonts w:cs="Arial"/>
                <w:sz w:val="22"/>
              </w:rPr>
              <w:t>осмотр, анализы и КТ каждые 12 мес.</w:t>
            </w:r>
          </w:p>
          <w:p w14:paraId="12EDE8C4" w14:textId="77777777" w:rsidR="00F82F9F" w:rsidRPr="000322E4" w:rsidRDefault="00F82F9F" w:rsidP="00F414BF">
            <w:pPr>
              <w:numPr>
                <w:ilvl w:val="0"/>
                <w:numId w:val="29"/>
              </w:numPr>
              <w:ind w:left="276" w:hanging="284"/>
              <w:contextualSpacing/>
              <w:rPr>
                <w:rFonts w:cs="Arial"/>
                <w:sz w:val="22"/>
              </w:rPr>
            </w:pPr>
            <w:r w:rsidRPr="000322E4">
              <w:rPr>
                <w:rFonts w:cs="Arial"/>
                <w:sz w:val="22"/>
              </w:rPr>
              <w:t>маммолог, оценка функции сердца, легких, щитовидной железы и гормонального статуса</w:t>
            </w:r>
          </w:p>
        </w:tc>
      </w:tr>
      <w:tr w:rsidR="008762E9" w:rsidRPr="000322E4" w14:paraId="509A61F7" w14:textId="77777777" w:rsidTr="008762E9">
        <w:trPr>
          <w:trHeight w:val="553"/>
        </w:trPr>
        <w:tc>
          <w:tcPr>
            <w:tcW w:w="2411" w:type="dxa"/>
            <w:tcMar>
              <w:top w:w="72" w:type="dxa"/>
              <w:left w:w="144" w:type="dxa"/>
              <w:bottom w:w="72" w:type="dxa"/>
              <w:right w:w="144" w:type="dxa"/>
            </w:tcMar>
          </w:tcPr>
          <w:p w14:paraId="544AD30F" w14:textId="77777777" w:rsidR="00F82F9F" w:rsidRPr="000322E4" w:rsidRDefault="00F82F9F" w:rsidP="00F414BF">
            <w:pPr>
              <w:ind w:left="63" w:hanging="6"/>
              <w:contextualSpacing/>
              <w:rPr>
                <w:rFonts w:cs="Arial"/>
                <w:sz w:val="22"/>
              </w:rPr>
            </w:pPr>
            <w:r w:rsidRPr="000322E4">
              <w:rPr>
                <w:rFonts w:cs="Arial"/>
                <w:sz w:val="22"/>
              </w:rPr>
              <w:t>4 год от окончания терапии</w:t>
            </w:r>
          </w:p>
        </w:tc>
        <w:tc>
          <w:tcPr>
            <w:tcW w:w="7229" w:type="dxa"/>
            <w:tcMar>
              <w:top w:w="72" w:type="dxa"/>
              <w:left w:w="144" w:type="dxa"/>
              <w:bottom w:w="72" w:type="dxa"/>
              <w:right w:w="144" w:type="dxa"/>
            </w:tcMar>
          </w:tcPr>
          <w:p w14:paraId="558FC934" w14:textId="77777777" w:rsidR="009B70C4" w:rsidRPr="000322E4" w:rsidRDefault="009B70C4" w:rsidP="00F414BF">
            <w:pPr>
              <w:numPr>
                <w:ilvl w:val="0"/>
                <w:numId w:val="29"/>
              </w:numPr>
              <w:ind w:left="276" w:hanging="284"/>
              <w:contextualSpacing/>
              <w:rPr>
                <w:rFonts w:cs="Arial"/>
                <w:sz w:val="22"/>
              </w:rPr>
            </w:pPr>
            <w:r w:rsidRPr="000322E4">
              <w:rPr>
                <w:rFonts w:cs="Arial"/>
                <w:sz w:val="22"/>
              </w:rPr>
              <w:t>осмотр, анализы и КТ каждые 12 мес.</w:t>
            </w:r>
          </w:p>
          <w:p w14:paraId="0826B92B" w14:textId="77777777" w:rsidR="00F82F9F" w:rsidRPr="000322E4" w:rsidRDefault="009B70C4" w:rsidP="00F414BF">
            <w:pPr>
              <w:numPr>
                <w:ilvl w:val="0"/>
                <w:numId w:val="29"/>
              </w:numPr>
              <w:ind w:left="276" w:hanging="284"/>
              <w:contextualSpacing/>
              <w:rPr>
                <w:rFonts w:cs="Arial"/>
                <w:sz w:val="22"/>
              </w:rPr>
            </w:pPr>
            <w:r w:rsidRPr="000322E4">
              <w:rPr>
                <w:rFonts w:cs="Arial"/>
                <w:sz w:val="22"/>
              </w:rPr>
              <w:t>маммолог, оценка функции сердца, легких, щитовидной железы и гормонального статуса</w:t>
            </w:r>
          </w:p>
        </w:tc>
      </w:tr>
      <w:tr w:rsidR="008762E9" w:rsidRPr="000322E4" w14:paraId="487C6B61" w14:textId="77777777" w:rsidTr="008762E9">
        <w:trPr>
          <w:trHeight w:val="548"/>
        </w:trPr>
        <w:tc>
          <w:tcPr>
            <w:tcW w:w="2411" w:type="dxa"/>
            <w:tcMar>
              <w:top w:w="72" w:type="dxa"/>
              <w:left w:w="144" w:type="dxa"/>
              <w:bottom w:w="72" w:type="dxa"/>
              <w:right w:w="144" w:type="dxa"/>
            </w:tcMar>
          </w:tcPr>
          <w:p w14:paraId="4DAD152D" w14:textId="77777777" w:rsidR="00F82F9F" w:rsidRPr="000322E4" w:rsidRDefault="00F82F9F" w:rsidP="00F414BF">
            <w:pPr>
              <w:ind w:left="63" w:hanging="6"/>
              <w:contextualSpacing/>
              <w:rPr>
                <w:rFonts w:cs="Arial"/>
                <w:sz w:val="22"/>
              </w:rPr>
            </w:pPr>
            <w:r w:rsidRPr="000322E4">
              <w:rPr>
                <w:rFonts w:cs="Arial"/>
                <w:sz w:val="22"/>
              </w:rPr>
              <w:t>5 год от окончания терапии</w:t>
            </w:r>
          </w:p>
        </w:tc>
        <w:tc>
          <w:tcPr>
            <w:tcW w:w="7229" w:type="dxa"/>
            <w:tcMar>
              <w:top w:w="72" w:type="dxa"/>
              <w:left w:w="144" w:type="dxa"/>
              <w:bottom w:w="72" w:type="dxa"/>
              <w:right w:w="144" w:type="dxa"/>
            </w:tcMar>
          </w:tcPr>
          <w:p w14:paraId="04122E07" w14:textId="77777777" w:rsidR="00F82F9F" w:rsidRPr="000322E4" w:rsidRDefault="00F82F9F" w:rsidP="00F414BF">
            <w:pPr>
              <w:ind w:left="276" w:hanging="284"/>
              <w:contextualSpacing/>
              <w:rPr>
                <w:rFonts w:cs="Arial"/>
                <w:sz w:val="22"/>
              </w:rPr>
            </w:pPr>
            <w:r w:rsidRPr="000322E4">
              <w:rPr>
                <w:rFonts w:cs="Arial"/>
                <w:sz w:val="22"/>
              </w:rPr>
              <w:t>Переход под наблюдение в катамнестическую службу</w:t>
            </w:r>
          </w:p>
        </w:tc>
      </w:tr>
    </w:tbl>
    <w:p w14:paraId="683041DA" w14:textId="77777777" w:rsidR="00F82F9F" w:rsidRPr="000322E4" w:rsidRDefault="00F82F9F" w:rsidP="00F414BF">
      <w:pPr>
        <w:ind w:left="709"/>
        <w:contextualSpacing/>
        <w:rPr>
          <w:i/>
        </w:rPr>
      </w:pPr>
    </w:p>
    <w:p w14:paraId="1E5B2B54" w14:textId="77777777" w:rsidR="008762E9" w:rsidRPr="000322E4" w:rsidRDefault="008762E9" w:rsidP="00F414BF">
      <w:pPr>
        <w:ind w:left="709"/>
        <w:contextualSpacing/>
        <w:rPr>
          <w:i/>
        </w:rPr>
      </w:pPr>
      <w:r w:rsidRPr="000322E4">
        <w:rPr>
          <w:i/>
        </w:rPr>
        <w:t>Таблица 5.</w:t>
      </w:r>
      <w:r w:rsidR="00210FA0" w:rsidRPr="000322E4">
        <w:rPr>
          <w:i/>
        </w:rPr>
        <w:t>3</w:t>
      </w:r>
      <w:r w:rsidRPr="000322E4">
        <w:rPr>
          <w:i/>
        </w:rPr>
        <w:t>. Скрининг по кардиотоксическим эффектам</w:t>
      </w:r>
    </w:p>
    <w:tbl>
      <w:tblPr>
        <w:tblW w:w="9843"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63"/>
        <w:gridCol w:w="2460"/>
        <w:gridCol w:w="3000"/>
        <w:gridCol w:w="2720"/>
      </w:tblGrid>
      <w:tr w:rsidR="008762E9" w:rsidRPr="000322E4" w14:paraId="6F553561" w14:textId="77777777" w:rsidTr="00D254F2">
        <w:trPr>
          <w:trHeight w:val="332"/>
        </w:trPr>
        <w:tc>
          <w:tcPr>
            <w:tcW w:w="9843" w:type="dxa"/>
            <w:gridSpan w:val="4"/>
            <w:tcMar>
              <w:top w:w="72" w:type="dxa"/>
              <w:left w:w="144" w:type="dxa"/>
              <w:bottom w:w="72" w:type="dxa"/>
              <w:right w:w="144" w:type="dxa"/>
            </w:tcMar>
          </w:tcPr>
          <w:p w14:paraId="2A99F4E8" w14:textId="77777777" w:rsidR="008762E9" w:rsidRPr="000322E4" w:rsidRDefault="008762E9" w:rsidP="00F414BF">
            <w:pPr>
              <w:contextualSpacing/>
              <w:rPr>
                <w:rFonts w:cs="Arial"/>
                <w:sz w:val="22"/>
              </w:rPr>
            </w:pPr>
            <w:r w:rsidRPr="000322E4">
              <w:rPr>
                <w:rFonts w:cs="Arial"/>
                <w:sz w:val="22"/>
              </w:rPr>
              <w:t>Функция сердца</w:t>
            </w:r>
          </w:p>
        </w:tc>
      </w:tr>
      <w:tr w:rsidR="008762E9" w:rsidRPr="000322E4" w14:paraId="4802819C" w14:textId="77777777" w:rsidTr="00D254F2">
        <w:trPr>
          <w:trHeight w:val="465"/>
        </w:trPr>
        <w:tc>
          <w:tcPr>
            <w:tcW w:w="1663" w:type="dxa"/>
            <w:tcMar>
              <w:top w:w="72" w:type="dxa"/>
              <w:left w:w="144" w:type="dxa"/>
              <w:bottom w:w="72" w:type="dxa"/>
              <w:right w:w="144" w:type="dxa"/>
            </w:tcMar>
          </w:tcPr>
          <w:p w14:paraId="32EDC6EC" w14:textId="77777777" w:rsidR="008762E9" w:rsidRPr="000322E4" w:rsidRDefault="008762E9" w:rsidP="00F414BF">
            <w:pPr>
              <w:contextualSpacing/>
              <w:rPr>
                <w:rFonts w:cs="Arial"/>
                <w:sz w:val="22"/>
              </w:rPr>
            </w:pPr>
            <w:r w:rsidRPr="000322E4">
              <w:rPr>
                <w:rFonts w:cs="Arial"/>
                <w:sz w:val="22"/>
              </w:rPr>
              <w:t>Возраст</w:t>
            </w:r>
          </w:p>
        </w:tc>
        <w:tc>
          <w:tcPr>
            <w:tcW w:w="2460" w:type="dxa"/>
            <w:tcMar>
              <w:top w:w="72" w:type="dxa"/>
              <w:left w:w="144" w:type="dxa"/>
              <w:bottom w:w="72" w:type="dxa"/>
              <w:right w:w="144" w:type="dxa"/>
            </w:tcMar>
          </w:tcPr>
          <w:p w14:paraId="66F508CD" w14:textId="77777777" w:rsidR="008762E9" w:rsidRPr="000322E4" w:rsidRDefault="008762E9" w:rsidP="00F414BF">
            <w:pPr>
              <w:contextualSpacing/>
              <w:rPr>
                <w:rFonts w:cs="Arial"/>
                <w:sz w:val="22"/>
              </w:rPr>
            </w:pPr>
            <w:r w:rsidRPr="000322E4">
              <w:rPr>
                <w:rFonts w:cs="Arial"/>
                <w:sz w:val="22"/>
                <w:lang w:val="en-US"/>
              </w:rPr>
              <w:t>Облучение</w:t>
            </w:r>
            <w:r w:rsidRPr="000322E4">
              <w:rPr>
                <w:rFonts w:cs="Arial"/>
                <w:sz w:val="22"/>
              </w:rPr>
              <w:t xml:space="preserve"> средостения</w:t>
            </w:r>
          </w:p>
        </w:tc>
        <w:tc>
          <w:tcPr>
            <w:tcW w:w="3000" w:type="dxa"/>
            <w:tcMar>
              <w:top w:w="72" w:type="dxa"/>
              <w:left w:w="144" w:type="dxa"/>
              <w:bottom w:w="72" w:type="dxa"/>
              <w:right w:w="144" w:type="dxa"/>
            </w:tcMar>
          </w:tcPr>
          <w:p w14:paraId="615F7BBC" w14:textId="77777777" w:rsidR="008762E9" w:rsidRPr="000322E4" w:rsidRDefault="008762E9" w:rsidP="00F414BF">
            <w:pPr>
              <w:contextualSpacing/>
              <w:rPr>
                <w:rFonts w:cs="Arial"/>
                <w:sz w:val="22"/>
              </w:rPr>
            </w:pPr>
            <w:r w:rsidRPr="000322E4">
              <w:rPr>
                <w:rFonts w:cs="Arial"/>
                <w:sz w:val="22"/>
              </w:rPr>
              <w:t>Доза антрациклинов</w:t>
            </w:r>
          </w:p>
        </w:tc>
        <w:tc>
          <w:tcPr>
            <w:tcW w:w="2720" w:type="dxa"/>
            <w:tcMar>
              <w:top w:w="72" w:type="dxa"/>
              <w:left w:w="144" w:type="dxa"/>
              <w:bottom w:w="72" w:type="dxa"/>
              <w:right w:w="144" w:type="dxa"/>
            </w:tcMar>
          </w:tcPr>
          <w:p w14:paraId="271ABE47" w14:textId="77777777" w:rsidR="008762E9" w:rsidRPr="000322E4" w:rsidRDefault="008762E9" w:rsidP="00F414BF">
            <w:pPr>
              <w:contextualSpacing/>
              <w:rPr>
                <w:rFonts w:cs="Arial"/>
                <w:sz w:val="22"/>
              </w:rPr>
            </w:pPr>
            <w:r w:rsidRPr="000322E4">
              <w:rPr>
                <w:rFonts w:cs="Arial"/>
                <w:sz w:val="22"/>
              </w:rPr>
              <w:t>ЭхоКГ</w:t>
            </w:r>
          </w:p>
        </w:tc>
      </w:tr>
      <w:tr w:rsidR="008762E9" w:rsidRPr="000322E4" w14:paraId="57B09B74" w14:textId="77777777" w:rsidTr="00D254F2">
        <w:trPr>
          <w:trHeight w:val="402"/>
        </w:trPr>
        <w:tc>
          <w:tcPr>
            <w:tcW w:w="1663" w:type="dxa"/>
            <w:vMerge w:val="restart"/>
            <w:tcMar>
              <w:top w:w="72" w:type="dxa"/>
              <w:left w:w="144" w:type="dxa"/>
              <w:bottom w:w="72" w:type="dxa"/>
              <w:right w:w="144" w:type="dxa"/>
            </w:tcMar>
          </w:tcPr>
          <w:p w14:paraId="23331304" w14:textId="77777777" w:rsidR="008762E9" w:rsidRPr="000322E4" w:rsidRDefault="008762E9" w:rsidP="00F414BF">
            <w:pPr>
              <w:contextualSpacing/>
              <w:rPr>
                <w:rFonts w:cs="Arial"/>
                <w:sz w:val="22"/>
              </w:rPr>
            </w:pPr>
            <w:r w:rsidRPr="000322E4">
              <w:rPr>
                <w:rFonts w:cs="Arial"/>
                <w:sz w:val="22"/>
                <w:lang w:val="en-US"/>
              </w:rPr>
              <w:t>&lt; 1</w:t>
            </w:r>
            <w:r w:rsidRPr="000322E4">
              <w:rPr>
                <w:rFonts w:cs="Arial"/>
                <w:sz w:val="22"/>
              </w:rPr>
              <w:t xml:space="preserve"> года</w:t>
            </w:r>
          </w:p>
        </w:tc>
        <w:tc>
          <w:tcPr>
            <w:tcW w:w="2460" w:type="dxa"/>
            <w:tcMar>
              <w:top w:w="72" w:type="dxa"/>
              <w:left w:w="144" w:type="dxa"/>
              <w:bottom w:w="72" w:type="dxa"/>
              <w:right w:w="144" w:type="dxa"/>
            </w:tcMar>
          </w:tcPr>
          <w:p w14:paraId="796D5605" w14:textId="77777777" w:rsidR="008762E9" w:rsidRPr="000322E4" w:rsidRDefault="008762E9" w:rsidP="00F414BF">
            <w:pPr>
              <w:contextualSpacing/>
              <w:rPr>
                <w:rFonts w:cs="Arial"/>
                <w:sz w:val="22"/>
              </w:rPr>
            </w:pPr>
            <w:r w:rsidRPr="000322E4">
              <w:rPr>
                <w:rFonts w:cs="Arial"/>
                <w:sz w:val="22"/>
              </w:rPr>
              <w:t>+</w:t>
            </w:r>
          </w:p>
        </w:tc>
        <w:tc>
          <w:tcPr>
            <w:tcW w:w="3000" w:type="dxa"/>
            <w:tcMar>
              <w:top w:w="72" w:type="dxa"/>
              <w:left w:w="144" w:type="dxa"/>
              <w:bottom w:w="72" w:type="dxa"/>
              <w:right w:w="144" w:type="dxa"/>
            </w:tcMar>
          </w:tcPr>
          <w:p w14:paraId="7289E849" w14:textId="77777777" w:rsidR="008762E9" w:rsidRPr="000322E4" w:rsidRDefault="008762E9" w:rsidP="00F414BF">
            <w:pPr>
              <w:contextualSpacing/>
              <w:rPr>
                <w:rFonts w:cs="Arial"/>
                <w:sz w:val="22"/>
              </w:rPr>
            </w:pPr>
            <w:r w:rsidRPr="000322E4">
              <w:rPr>
                <w:rFonts w:cs="Arial"/>
                <w:sz w:val="22"/>
              </w:rPr>
              <w:t>любая</w:t>
            </w:r>
          </w:p>
        </w:tc>
        <w:tc>
          <w:tcPr>
            <w:tcW w:w="2720" w:type="dxa"/>
            <w:tcMar>
              <w:top w:w="72" w:type="dxa"/>
              <w:left w:w="144" w:type="dxa"/>
              <w:bottom w:w="72" w:type="dxa"/>
              <w:right w:w="144" w:type="dxa"/>
            </w:tcMar>
          </w:tcPr>
          <w:p w14:paraId="2FA13D12" w14:textId="77777777" w:rsidR="008762E9" w:rsidRPr="000322E4" w:rsidRDefault="008762E9" w:rsidP="00F414BF">
            <w:pPr>
              <w:contextualSpacing/>
              <w:rPr>
                <w:rFonts w:cs="Arial"/>
                <w:sz w:val="22"/>
              </w:rPr>
            </w:pPr>
            <w:r w:rsidRPr="000322E4">
              <w:rPr>
                <w:rFonts w:cs="Arial"/>
                <w:sz w:val="22"/>
              </w:rPr>
              <w:t>раз в год</w:t>
            </w:r>
          </w:p>
        </w:tc>
      </w:tr>
      <w:tr w:rsidR="008762E9" w:rsidRPr="000322E4" w14:paraId="5FDEAE2D" w14:textId="77777777" w:rsidTr="00D254F2">
        <w:trPr>
          <w:trHeight w:val="397"/>
        </w:trPr>
        <w:tc>
          <w:tcPr>
            <w:tcW w:w="1663" w:type="dxa"/>
            <w:vMerge/>
            <w:vAlign w:val="center"/>
          </w:tcPr>
          <w:p w14:paraId="2D4888A9" w14:textId="77777777" w:rsidR="008762E9" w:rsidRPr="000322E4" w:rsidRDefault="008762E9" w:rsidP="00F414BF">
            <w:pPr>
              <w:contextualSpacing/>
              <w:rPr>
                <w:rFonts w:cs="Arial"/>
                <w:sz w:val="22"/>
              </w:rPr>
            </w:pPr>
          </w:p>
        </w:tc>
        <w:tc>
          <w:tcPr>
            <w:tcW w:w="2460" w:type="dxa"/>
            <w:vMerge w:val="restart"/>
            <w:tcMar>
              <w:top w:w="72" w:type="dxa"/>
              <w:left w:w="144" w:type="dxa"/>
              <w:bottom w:w="72" w:type="dxa"/>
              <w:right w:w="144" w:type="dxa"/>
            </w:tcMar>
          </w:tcPr>
          <w:p w14:paraId="52AF74DD" w14:textId="77777777" w:rsidR="008762E9" w:rsidRPr="000322E4" w:rsidRDefault="008762E9" w:rsidP="00F414BF">
            <w:pPr>
              <w:contextualSpacing/>
              <w:rPr>
                <w:rFonts w:cs="Arial"/>
                <w:sz w:val="22"/>
              </w:rPr>
            </w:pPr>
            <w:r w:rsidRPr="000322E4">
              <w:rPr>
                <w:rFonts w:cs="Arial"/>
                <w:sz w:val="22"/>
              </w:rPr>
              <w:t>-</w:t>
            </w:r>
          </w:p>
        </w:tc>
        <w:tc>
          <w:tcPr>
            <w:tcW w:w="3000" w:type="dxa"/>
            <w:tcMar>
              <w:top w:w="72" w:type="dxa"/>
              <w:left w:w="144" w:type="dxa"/>
              <w:bottom w:w="72" w:type="dxa"/>
              <w:right w:w="144" w:type="dxa"/>
            </w:tcMar>
          </w:tcPr>
          <w:p w14:paraId="30232857" w14:textId="77777777" w:rsidR="008762E9" w:rsidRPr="000322E4" w:rsidRDefault="008762E9" w:rsidP="00F414BF">
            <w:pPr>
              <w:contextualSpacing/>
              <w:rPr>
                <w:rFonts w:cs="Arial"/>
                <w:sz w:val="22"/>
              </w:rPr>
            </w:pPr>
            <w:r w:rsidRPr="000322E4">
              <w:rPr>
                <w:rFonts w:cs="Arial"/>
                <w:sz w:val="22"/>
                <w:lang w:val="en-US"/>
              </w:rPr>
              <w:t>&lt;200</w:t>
            </w:r>
            <w:r w:rsidRPr="000322E4">
              <w:rPr>
                <w:rFonts w:cs="Arial"/>
                <w:sz w:val="22"/>
              </w:rPr>
              <w:t xml:space="preserve"> мг/м</w:t>
            </w:r>
            <w:r w:rsidR="003430E6" w:rsidRPr="000322E4">
              <w:rPr>
                <w:rFonts w:cs="Arial"/>
                <w:sz w:val="22"/>
                <w:vertAlign w:val="superscript"/>
              </w:rPr>
              <w:t>2</w:t>
            </w:r>
          </w:p>
        </w:tc>
        <w:tc>
          <w:tcPr>
            <w:tcW w:w="2720" w:type="dxa"/>
            <w:tcMar>
              <w:top w:w="72" w:type="dxa"/>
              <w:left w:w="144" w:type="dxa"/>
              <w:bottom w:w="72" w:type="dxa"/>
              <w:right w:w="144" w:type="dxa"/>
            </w:tcMar>
          </w:tcPr>
          <w:p w14:paraId="4FCF5437" w14:textId="77777777" w:rsidR="008762E9" w:rsidRPr="000322E4" w:rsidRDefault="008762E9" w:rsidP="00F414BF">
            <w:pPr>
              <w:contextualSpacing/>
              <w:rPr>
                <w:rFonts w:cs="Arial"/>
                <w:sz w:val="22"/>
              </w:rPr>
            </w:pPr>
            <w:r w:rsidRPr="000322E4">
              <w:rPr>
                <w:rFonts w:cs="Arial"/>
                <w:sz w:val="22"/>
              </w:rPr>
              <w:t>каждые 2 года</w:t>
            </w:r>
          </w:p>
        </w:tc>
      </w:tr>
      <w:tr w:rsidR="008762E9" w:rsidRPr="000322E4" w14:paraId="7A074A46" w14:textId="77777777" w:rsidTr="00D254F2">
        <w:trPr>
          <w:trHeight w:val="377"/>
        </w:trPr>
        <w:tc>
          <w:tcPr>
            <w:tcW w:w="1663" w:type="dxa"/>
            <w:vMerge/>
            <w:vAlign w:val="center"/>
          </w:tcPr>
          <w:p w14:paraId="7CCCD946" w14:textId="77777777" w:rsidR="008762E9" w:rsidRPr="000322E4" w:rsidRDefault="008762E9" w:rsidP="00F414BF">
            <w:pPr>
              <w:contextualSpacing/>
              <w:rPr>
                <w:rFonts w:cs="Arial"/>
                <w:sz w:val="22"/>
              </w:rPr>
            </w:pPr>
          </w:p>
        </w:tc>
        <w:tc>
          <w:tcPr>
            <w:tcW w:w="0" w:type="auto"/>
            <w:vMerge/>
            <w:vAlign w:val="center"/>
          </w:tcPr>
          <w:p w14:paraId="59B845F8" w14:textId="77777777" w:rsidR="008762E9" w:rsidRPr="000322E4" w:rsidRDefault="008762E9" w:rsidP="00F414BF">
            <w:pPr>
              <w:contextualSpacing/>
              <w:rPr>
                <w:rFonts w:cs="Arial"/>
                <w:sz w:val="22"/>
              </w:rPr>
            </w:pPr>
          </w:p>
        </w:tc>
        <w:tc>
          <w:tcPr>
            <w:tcW w:w="3000" w:type="dxa"/>
            <w:tcMar>
              <w:top w:w="72" w:type="dxa"/>
              <w:left w:w="144" w:type="dxa"/>
              <w:bottom w:w="72" w:type="dxa"/>
              <w:right w:w="144" w:type="dxa"/>
            </w:tcMar>
          </w:tcPr>
          <w:p w14:paraId="0D611888" w14:textId="77777777" w:rsidR="008762E9" w:rsidRPr="000322E4" w:rsidRDefault="008762E9" w:rsidP="00F414BF">
            <w:pPr>
              <w:contextualSpacing/>
              <w:rPr>
                <w:rFonts w:cs="Arial"/>
                <w:sz w:val="22"/>
              </w:rPr>
            </w:pPr>
            <w:r w:rsidRPr="000322E4">
              <w:rPr>
                <w:rFonts w:cs="Arial"/>
                <w:sz w:val="22"/>
                <w:lang w:val="en-US"/>
              </w:rPr>
              <w:t>&gt;200</w:t>
            </w:r>
            <w:r w:rsidRPr="000322E4">
              <w:rPr>
                <w:rFonts w:cs="Arial"/>
                <w:sz w:val="22"/>
              </w:rPr>
              <w:t xml:space="preserve"> </w:t>
            </w:r>
            <w:r w:rsidR="003430E6" w:rsidRPr="000322E4">
              <w:rPr>
                <w:rFonts w:cs="Arial"/>
                <w:sz w:val="22"/>
              </w:rPr>
              <w:t>мг/м</w:t>
            </w:r>
            <w:r w:rsidR="003430E6" w:rsidRPr="000322E4">
              <w:rPr>
                <w:rFonts w:cs="Arial"/>
                <w:sz w:val="22"/>
                <w:vertAlign w:val="superscript"/>
              </w:rPr>
              <w:t>2</w:t>
            </w:r>
          </w:p>
        </w:tc>
        <w:tc>
          <w:tcPr>
            <w:tcW w:w="2720" w:type="dxa"/>
            <w:tcMar>
              <w:top w:w="72" w:type="dxa"/>
              <w:left w:w="144" w:type="dxa"/>
              <w:bottom w:w="72" w:type="dxa"/>
              <w:right w:w="144" w:type="dxa"/>
            </w:tcMar>
          </w:tcPr>
          <w:p w14:paraId="60F6E049" w14:textId="77777777" w:rsidR="008762E9" w:rsidRPr="000322E4" w:rsidRDefault="008762E9" w:rsidP="00F414BF">
            <w:pPr>
              <w:contextualSpacing/>
              <w:rPr>
                <w:rFonts w:cs="Arial"/>
                <w:sz w:val="22"/>
              </w:rPr>
            </w:pPr>
            <w:r w:rsidRPr="000322E4">
              <w:rPr>
                <w:rFonts w:cs="Arial"/>
                <w:sz w:val="22"/>
              </w:rPr>
              <w:t>раз в год</w:t>
            </w:r>
          </w:p>
        </w:tc>
      </w:tr>
      <w:tr w:rsidR="008762E9" w:rsidRPr="000322E4" w14:paraId="39CD1252" w14:textId="77777777" w:rsidTr="00D254F2">
        <w:trPr>
          <w:trHeight w:val="371"/>
        </w:trPr>
        <w:tc>
          <w:tcPr>
            <w:tcW w:w="1663" w:type="dxa"/>
            <w:vMerge w:val="restart"/>
            <w:tcMar>
              <w:top w:w="72" w:type="dxa"/>
              <w:left w:w="144" w:type="dxa"/>
              <w:bottom w:w="72" w:type="dxa"/>
              <w:right w:w="144" w:type="dxa"/>
            </w:tcMar>
          </w:tcPr>
          <w:p w14:paraId="04B96601" w14:textId="77777777" w:rsidR="008762E9" w:rsidRPr="000322E4" w:rsidRDefault="008762E9" w:rsidP="00F414BF">
            <w:pPr>
              <w:contextualSpacing/>
              <w:rPr>
                <w:rFonts w:cs="Arial"/>
                <w:sz w:val="22"/>
              </w:rPr>
            </w:pPr>
            <w:r w:rsidRPr="000322E4">
              <w:rPr>
                <w:rFonts w:cs="Arial"/>
                <w:sz w:val="22"/>
              </w:rPr>
              <w:t>1-4 лет</w:t>
            </w:r>
          </w:p>
        </w:tc>
        <w:tc>
          <w:tcPr>
            <w:tcW w:w="2460" w:type="dxa"/>
            <w:tcMar>
              <w:top w:w="72" w:type="dxa"/>
              <w:left w:w="144" w:type="dxa"/>
              <w:bottom w:w="72" w:type="dxa"/>
              <w:right w:w="144" w:type="dxa"/>
            </w:tcMar>
          </w:tcPr>
          <w:p w14:paraId="578AF088" w14:textId="77777777" w:rsidR="008762E9" w:rsidRPr="000322E4" w:rsidRDefault="008762E9" w:rsidP="00F414BF">
            <w:pPr>
              <w:contextualSpacing/>
              <w:rPr>
                <w:rFonts w:cs="Arial"/>
                <w:sz w:val="22"/>
              </w:rPr>
            </w:pPr>
            <w:r w:rsidRPr="000322E4">
              <w:rPr>
                <w:rFonts w:cs="Arial"/>
                <w:sz w:val="22"/>
              </w:rPr>
              <w:t>+</w:t>
            </w:r>
          </w:p>
        </w:tc>
        <w:tc>
          <w:tcPr>
            <w:tcW w:w="3000" w:type="dxa"/>
            <w:tcMar>
              <w:top w:w="72" w:type="dxa"/>
              <w:left w:w="144" w:type="dxa"/>
              <w:bottom w:w="72" w:type="dxa"/>
              <w:right w:w="144" w:type="dxa"/>
            </w:tcMar>
          </w:tcPr>
          <w:p w14:paraId="083A65C7" w14:textId="77777777" w:rsidR="008762E9" w:rsidRPr="000322E4" w:rsidRDefault="008762E9" w:rsidP="00F414BF">
            <w:pPr>
              <w:contextualSpacing/>
              <w:rPr>
                <w:rFonts w:cs="Arial"/>
                <w:sz w:val="22"/>
              </w:rPr>
            </w:pPr>
            <w:r w:rsidRPr="000322E4">
              <w:rPr>
                <w:rFonts w:cs="Arial"/>
                <w:sz w:val="22"/>
              </w:rPr>
              <w:t>любая</w:t>
            </w:r>
          </w:p>
        </w:tc>
        <w:tc>
          <w:tcPr>
            <w:tcW w:w="2720" w:type="dxa"/>
            <w:tcMar>
              <w:top w:w="72" w:type="dxa"/>
              <w:left w:w="144" w:type="dxa"/>
              <w:bottom w:w="72" w:type="dxa"/>
              <w:right w:w="144" w:type="dxa"/>
            </w:tcMar>
          </w:tcPr>
          <w:p w14:paraId="435F4B00" w14:textId="77777777" w:rsidR="008762E9" w:rsidRPr="000322E4" w:rsidRDefault="008762E9" w:rsidP="00F414BF">
            <w:pPr>
              <w:contextualSpacing/>
              <w:rPr>
                <w:rFonts w:cs="Arial"/>
                <w:sz w:val="22"/>
              </w:rPr>
            </w:pPr>
            <w:r w:rsidRPr="000322E4">
              <w:rPr>
                <w:rFonts w:cs="Arial"/>
                <w:sz w:val="22"/>
              </w:rPr>
              <w:t>раз в год</w:t>
            </w:r>
          </w:p>
        </w:tc>
      </w:tr>
      <w:tr w:rsidR="008762E9" w:rsidRPr="000322E4" w14:paraId="5CDB1B30" w14:textId="77777777" w:rsidTr="00D254F2">
        <w:trPr>
          <w:trHeight w:val="334"/>
        </w:trPr>
        <w:tc>
          <w:tcPr>
            <w:tcW w:w="1663" w:type="dxa"/>
            <w:vMerge/>
            <w:vAlign w:val="center"/>
          </w:tcPr>
          <w:p w14:paraId="0B44AD08" w14:textId="77777777" w:rsidR="008762E9" w:rsidRPr="000322E4" w:rsidRDefault="008762E9" w:rsidP="00F414BF">
            <w:pPr>
              <w:contextualSpacing/>
              <w:rPr>
                <w:rFonts w:cs="Arial"/>
                <w:sz w:val="22"/>
              </w:rPr>
            </w:pPr>
          </w:p>
        </w:tc>
        <w:tc>
          <w:tcPr>
            <w:tcW w:w="2460" w:type="dxa"/>
            <w:vMerge w:val="restart"/>
            <w:tcMar>
              <w:top w:w="72" w:type="dxa"/>
              <w:left w:w="144" w:type="dxa"/>
              <w:bottom w:w="72" w:type="dxa"/>
              <w:right w:w="144" w:type="dxa"/>
            </w:tcMar>
          </w:tcPr>
          <w:p w14:paraId="64AECC31" w14:textId="77777777" w:rsidR="008762E9" w:rsidRPr="000322E4" w:rsidRDefault="008762E9" w:rsidP="00F414BF">
            <w:pPr>
              <w:contextualSpacing/>
              <w:rPr>
                <w:rFonts w:cs="Arial"/>
                <w:sz w:val="22"/>
              </w:rPr>
            </w:pPr>
            <w:r w:rsidRPr="000322E4">
              <w:rPr>
                <w:rFonts w:cs="Arial"/>
                <w:sz w:val="22"/>
              </w:rPr>
              <w:t>-</w:t>
            </w:r>
          </w:p>
        </w:tc>
        <w:tc>
          <w:tcPr>
            <w:tcW w:w="3000" w:type="dxa"/>
            <w:tcMar>
              <w:top w:w="72" w:type="dxa"/>
              <w:left w:w="144" w:type="dxa"/>
              <w:bottom w:w="72" w:type="dxa"/>
              <w:right w:w="144" w:type="dxa"/>
            </w:tcMar>
          </w:tcPr>
          <w:p w14:paraId="20DC6E29" w14:textId="77777777" w:rsidR="008762E9" w:rsidRPr="000322E4" w:rsidRDefault="008762E9" w:rsidP="00F414BF">
            <w:pPr>
              <w:contextualSpacing/>
              <w:rPr>
                <w:rFonts w:cs="Arial"/>
                <w:sz w:val="22"/>
              </w:rPr>
            </w:pPr>
            <w:r w:rsidRPr="000322E4">
              <w:rPr>
                <w:rFonts w:cs="Arial"/>
                <w:sz w:val="22"/>
                <w:lang w:val="en-US"/>
              </w:rPr>
              <w:t>&lt;100</w:t>
            </w:r>
            <w:r w:rsidRPr="000322E4">
              <w:rPr>
                <w:rFonts w:cs="Arial"/>
                <w:sz w:val="22"/>
              </w:rPr>
              <w:t xml:space="preserve"> </w:t>
            </w:r>
            <w:r w:rsidR="003430E6" w:rsidRPr="000322E4">
              <w:rPr>
                <w:rFonts w:cs="Arial"/>
                <w:sz w:val="22"/>
              </w:rPr>
              <w:t>мг/м</w:t>
            </w:r>
            <w:r w:rsidR="003430E6" w:rsidRPr="000322E4">
              <w:rPr>
                <w:rFonts w:cs="Arial"/>
                <w:sz w:val="22"/>
                <w:vertAlign w:val="superscript"/>
              </w:rPr>
              <w:t>2</w:t>
            </w:r>
          </w:p>
        </w:tc>
        <w:tc>
          <w:tcPr>
            <w:tcW w:w="2720" w:type="dxa"/>
            <w:tcMar>
              <w:top w:w="72" w:type="dxa"/>
              <w:left w:w="144" w:type="dxa"/>
              <w:bottom w:w="72" w:type="dxa"/>
              <w:right w:w="144" w:type="dxa"/>
            </w:tcMar>
          </w:tcPr>
          <w:p w14:paraId="437AE61F" w14:textId="77777777" w:rsidR="008762E9" w:rsidRPr="000322E4" w:rsidRDefault="008762E9" w:rsidP="00F414BF">
            <w:pPr>
              <w:contextualSpacing/>
              <w:rPr>
                <w:rFonts w:cs="Arial"/>
                <w:sz w:val="22"/>
              </w:rPr>
            </w:pPr>
            <w:r w:rsidRPr="000322E4">
              <w:rPr>
                <w:rFonts w:cs="Arial"/>
                <w:sz w:val="22"/>
              </w:rPr>
              <w:t>каждые 5 лет</w:t>
            </w:r>
          </w:p>
        </w:tc>
      </w:tr>
      <w:tr w:rsidR="008762E9" w:rsidRPr="000322E4" w14:paraId="5E8B507C" w14:textId="77777777" w:rsidTr="00D254F2">
        <w:trPr>
          <w:trHeight w:val="186"/>
        </w:trPr>
        <w:tc>
          <w:tcPr>
            <w:tcW w:w="1663" w:type="dxa"/>
            <w:vMerge/>
            <w:vAlign w:val="center"/>
          </w:tcPr>
          <w:p w14:paraId="5CAED7CD" w14:textId="77777777" w:rsidR="008762E9" w:rsidRPr="000322E4" w:rsidRDefault="008762E9" w:rsidP="00F414BF">
            <w:pPr>
              <w:contextualSpacing/>
              <w:rPr>
                <w:rFonts w:cs="Arial"/>
                <w:sz w:val="22"/>
              </w:rPr>
            </w:pPr>
          </w:p>
        </w:tc>
        <w:tc>
          <w:tcPr>
            <w:tcW w:w="0" w:type="auto"/>
            <w:vMerge/>
            <w:vAlign w:val="center"/>
          </w:tcPr>
          <w:p w14:paraId="3A99CBBC" w14:textId="77777777" w:rsidR="008762E9" w:rsidRPr="000322E4" w:rsidRDefault="008762E9" w:rsidP="00F414BF">
            <w:pPr>
              <w:contextualSpacing/>
              <w:rPr>
                <w:rFonts w:cs="Arial"/>
                <w:sz w:val="22"/>
              </w:rPr>
            </w:pPr>
          </w:p>
        </w:tc>
        <w:tc>
          <w:tcPr>
            <w:tcW w:w="3000" w:type="dxa"/>
            <w:tcMar>
              <w:top w:w="72" w:type="dxa"/>
              <w:left w:w="144" w:type="dxa"/>
              <w:bottom w:w="72" w:type="dxa"/>
              <w:right w:w="144" w:type="dxa"/>
            </w:tcMar>
          </w:tcPr>
          <w:p w14:paraId="3929B33B" w14:textId="77777777" w:rsidR="008762E9" w:rsidRPr="000322E4" w:rsidRDefault="008762E9" w:rsidP="00F414BF">
            <w:pPr>
              <w:contextualSpacing/>
              <w:rPr>
                <w:rFonts w:cs="Arial"/>
                <w:sz w:val="22"/>
              </w:rPr>
            </w:pPr>
            <w:r w:rsidRPr="000322E4">
              <w:rPr>
                <w:rFonts w:cs="Arial"/>
                <w:sz w:val="22"/>
                <w:lang w:val="en-US"/>
              </w:rPr>
              <w:t>100-300</w:t>
            </w:r>
            <w:r w:rsidRPr="000322E4">
              <w:rPr>
                <w:rFonts w:cs="Arial"/>
                <w:sz w:val="22"/>
              </w:rPr>
              <w:t xml:space="preserve"> </w:t>
            </w:r>
            <w:r w:rsidR="003430E6" w:rsidRPr="000322E4">
              <w:rPr>
                <w:rFonts w:cs="Arial"/>
                <w:sz w:val="22"/>
              </w:rPr>
              <w:t>мг/м</w:t>
            </w:r>
            <w:r w:rsidR="003430E6" w:rsidRPr="000322E4">
              <w:rPr>
                <w:rFonts w:cs="Arial"/>
                <w:sz w:val="22"/>
                <w:vertAlign w:val="superscript"/>
              </w:rPr>
              <w:t>2</w:t>
            </w:r>
          </w:p>
        </w:tc>
        <w:tc>
          <w:tcPr>
            <w:tcW w:w="2720" w:type="dxa"/>
            <w:tcMar>
              <w:top w:w="72" w:type="dxa"/>
              <w:left w:w="144" w:type="dxa"/>
              <w:bottom w:w="72" w:type="dxa"/>
              <w:right w:w="144" w:type="dxa"/>
            </w:tcMar>
          </w:tcPr>
          <w:p w14:paraId="0FCDA04D" w14:textId="77777777" w:rsidR="008762E9" w:rsidRPr="000322E4" w:rsidRDefault="008762E9" w:rsidP="00F414BF">
            <w:pPr>
              <w:contextualSpacing/>
              <w:rPr>
                <w:rFonts w:cs="Arial"/>
                <w:sz w:val="22"/>
              </w:rPr>
            </w:pPr>
            <w:r w:rsidRPr="000322E4">
              <w:rPr>
                <w:rFonts w:cs="Arial"/>
                <w:sz w:val="22"/>
              </w:rPr>
              <w:t>каждые 2 года</w:t>
            </w:r>
          </w:p>
        </w:tc>
      </w:tr>
      <w:tr w:rsidR="008762E9" w:rsidRPr="000322E4" w14:paraId="0710B5A9" w14:textId="77777777" w:rsidTr="00D254F2">
        <w:trPr>
          <w:trHeight w:val="166"/>
        </w:trPr>
        <w:tc>
          <w:tcPr>
            <w:tcW w:w="1663" w:type="dxa"/>
            <w:vMerge/>
            <w:vAlign w:val="center"/>
          </w:tcPr>
          <w:p w14:paraId="219B8CD3" w14:textId="77777777" w:rsidR="008762E9" w:rsidRPr="000322E4" w:rsidRDefault="008762E9" w:rsidP="00F414BF">
            <w:pPr>
              <w:contextualSpacing/>
              <w:rPr>
                <w:rFonts w:cs="Arial"/>
                <w:sz w:val="22"/>
              </w:rPr>
            </w:pPr>
          </w:p>
        </w:tc>
        <w:tc>
          <w:tcPr>
            <w:tcW w:w="0" w:type="auto"/>
            <w:vMerge/>
            <w:vAlign w:val="center"/>
          </w:tcPr>
          <w:p w14:paraId="67764414" w14:textId="77777777" w:rsidR="008762E9" w:rsidRPr="000322E4" w:rsidRDefault="008762E9" w:rsidP="00F414BF">
            <w:pPr>
              <w:contextualSpacing/>
              <w:rPr>
                <w:rFonts w:cs="Arial"/>
                <w:sz w:val="22"/>
              </w:rPr>
            </w:pPr>
          </w:p>
        </w:tc>
        <w:tc>
          <w:tcPr>
            <w:tcW w:w="3000" w:type="dxa"/>
            <w:tcMar>
              <w:top w:w="72" w:type="dxa"/>
              <w:left w:w="144" w:type="dxa"/>
              <w:bottom w:w="72" w:type="dxa"/>
              <w:right w:w="144" w:type="dxa"/>
            </w:tcMar>
          </w:tcPr>
          <w:p w14:paraId="3F1EB3C5" w14:textId="77777777" w:rsidR="008762E9" w:rsidRPr="000322E4" w:rsidRDefault="008762E9" w:rsidP="00F414BF">
            <w:pPr>
              <w:contextualSpacing/>
              <w:rPr>
                <w:rFonts w:cs="Arial"/>
                <w:sz w:val="22"/>
              </w:rPr>
            </w:pPr>
            <w:r w:rsidRPr="000322E4">
              <w:rPr>
                <w:rFonts w:cs="Arial"/>
                <w:sz w:val="22"/>
                <w:lang w:val="en-US"/>
              </w:rPr>
              <w:t>&gt;300</w:t>
            </w:r>
            <w:r w:rsidRPr="000322E4">
              <w:rPr>
                <w:rFonts w:cs="Arial"/>
                <w:sz w:val="22"/>
              </w:rPr>
              <w:t xml:space="preserve"> мг/м</w:t>
            </w:r>
            <w:r w:rsidR="003430E6" w:rsidRPr="000322E4">
              <w:rPr>
                <w:rFonts w:cs="Arial"/>
                <w:sz w:val="22"/>
                <w:vertAlign w:val="superscript"/>
              </w:rPr>
              <w:t>2</w:t>
            </w:r>
          </w:p>
        </w:tc>
        <w:tc>
          <w:tcPr>
            <w:tcW w:w="2720" w:type="dxa"/>
            <w:tcMar>
              <w:top w:w="72" w:type="dxa"/>
              <w:left w:w="144" w:type="dxa"/>
              <w:bottom w:w="72" w:type="dxa"/>
              <w:right w:w="144" w:type="dxa"/>
            </w:tcMar>
          </w:tcPr>
          <w:p w14:paraId="17E353C0" w14:textId="77777777" w:rsidR="008762E9" w:rsidRPr="000322E4" w:rsidRDefault="008762E9" w:rsidP="00F414BF">
            <w:pPr>
              <w:contextualSpacing/>
              <w:rPr>
                <w:rFonts w:cs="Arial"/>
                <w:sz w:val="22"/>
              </w:rPr>
            </w:pPr>
            <w:r w:rsidRPr="000322E4">
              <w:rPr>
                <w:rFonts w:cs="Arial"/>
                <w:sz w:val="22"/>
              </w:rPr>
              <w:t>раз в год</w:t>
            </w:r>
          </w:p>
        </w:tc>
      </w:tr>
      <w:tr w:rsidR="008762E9" w:rsidRPr="000322E4" w14:paraId="2115A205" w14:textId="77777777" w:rsidTr="00D254F2">
        <w:trPr>
          <w:trHeight w:val="159"/>
        </w:trPr>
        <w:tc>
          <w:tcPr>
            <w:tcW w:w="1663" w:type="dxa"/>
            <w:vMerge w:val="restart"/>
            <w:tcMar>
              <w:top w:w="72" w:type="dxa"/>
              <w:left w:w="144" w:type="dxa"/>
              <w:bottom w:w="72" w:type="dxa"/>
              <w:right w:w="144" w:type="dxa"/>
            </w:tcMar>
          </w:tcPr>
          <w:p w14:paraId="2715BDC2" w14:textId="77777777" w:rsidR="008762E9" w:rsidRPr="000322E4" w:rsidRDefault="008762E9" w:rsidP="00F414BF">
            <w:pPr>
              <w:contextualSpacing/>
              <w:rPr>
                <w:rFonts w:cs="Arial"/>
                <w:sz w:val="22"/>
              </w:rPr>
            </w:pPr>
            <w:r w:rsidRPr="000322E4">
              <w:rPr>
                <w:rFonts w:cs="Arial"/>
                <w:sz w:val="22"/>
                <w:lang w:val="en-US"/>
              </w:rPr>
              <w:t xml:space="preserve">&gt; 5 </w:t>
            </w:r>
            <w:r w:rsidRPr="000322E4">
              <w:rPr>
                <w:rFonts w:cs="Arial"/>
                <w:sz w:val="22"/>
              </w:rPr>
              <w:t>лет</w:t>
            </w:r>
          </w:p>
        </w:tc>
        <w:tc>
          <w:tcPr>
            <w:tcW w:w="2460" w:type="dxa"/>
            <w:vMerge w:val="restart"/>
            <w:tcMar>
              <w:top w:w="72" w:type="dxa"/>
              <w:left w:w="144" w:type="dxa"/>
              <w:bottom w:w="72" w:type="dxa"/>
              <w:right w:w="144" w:type="dxa"/>
            </w:tcMar>
          </w:tcPr>
          <w:p w14:paraId="081D7925" w14:textId="77777777" w:rsidR="008762E9" w:rsidRPr="000322E4" w:rsidRDefault="008762E9" w:rsidP="00F414BF">
            <w:pPr>
              <w:contextualSpacing/>
              <w:rPr>
                <w:rFonts w:cs="Arial"/>
                <w:sz w:val="22"/>
              </w:rPr>
            </w:pPr>
            <w:r w:rsidRPr="000322E4">
              <w:rPr>
                <w:rFonts w:cs="Arial"/>
                <w:sz w:val="22"/>
              </w:rPr>
              <w:t>+</w:t>
            </w:r>
          </w:p>
        </w:tc>
        <w:tc>
          <w:tcPr>
            <w:tcW w:w="3000" w:type="dxa"/>
            <w:tcMar>
              <w:top w:w="72" w:type="dxa"/>
              <w:left w:w="144" w:type="dxa"/>
              <w:bottom w:w="72" w:type="dxa"/>
              <w:right w:w="144" w:type="dxa"/>
            </w:tcMar>
          </w:tcPr>
          <w:p w14:paraId="6DBD46B9" w14:textId="77777777" w:rsidR="008762E9" w:rsidRPr="000322E4" w:rsidRDefault="008762E9" w:rsidP="00F414BF">
            <w:pPr>
              <w:contextualSpacing/>
              <w:rPr>
                <w:rFonts w:cs="Arial"/>
                <w:sz w:val="22"/>
              </w:rPr>
            </w:pPr>
            <w:r w:rsidRPr="000322E4">
              <w:rPr>
                <w:rFonts w:cs="Arial"/>
                <w:sz w:val="22"/>
                <w:lang w:val="en-US"/>
              </w:rPr>
              <w:t>&lt;300</w:t>
            </w:r>
            <w:r w:rsidRPr="000322E4">
              <w:rPr>
                <w:rFonts w:cs="Arial"/>
                <w:sz w:val="22"/>
              </w:rPr>
              <w:t xml:space="preserve"> мг/м</w:t>
            </w:r>
            <w:r w:rsidR="003430E6" w:rsidRPr="000322E4">
              <w:rPr>
                <w:rFonts w:cs="Arial"/>
                <w:sz w:val="22"/>
                <w:vertAlign w:val="superscript"/>
              </w:rPr>
              <w:t>2</w:t>
            </w:r>
          </w:p>
        </w:tc>
        <w:tc>
          <w:tcPr>
            <w:tcW w:w="2720" w:type="dxa"/>
            <w:tcMar>
              <w:top w:w="72" w:type="dxa"/>
              <w:left w:w="144" w:type="dxa"/>
              <w:bottom w:w="72" w:type="dxa"/>
              <w:right w:w="144" w:type="dxa"/>
            </w:tcMar>
          </w:tcPr>
          <w:p w14:paraId="114F0F96" w14:textId="77777777" w:rsidR="008762E9" w:rsidRPr="000322E4" w:rsidRDefault="008762E9" w:rsidP="00F414BF">
            <w:pPr>
              <w:contextualSpacing/>
              <w:rPr>
                <w:rFonts w:cs="Arial"/>
                <w:sz w:val="22"/>
              </w:rPr>
            </w:pPr>
            <w:r w:rsidRPr="000322E4">
              <w:rPr>
                <w:rFonts w:cs="Arial"/>
                <w:sz w:val="22"/>
              </w:rPr>
              <w:t>каждые 2 года</w:t>
            </w:r>
          </w:p>
        </w:tc>
      </w:tr>
      <w:tr w:rsidR="008762E9" w:rsidRPr="000322E4" w14:paraId="36BFC34A" w14:textId="77777777" w:rsidTr="00D254F2">
        <w:trPr>
          <w:trHeight w:val="139"/>
        </w:trPr>
        <w:tc>
          <w:tcPr>
            <w:tcW w:w="1663" w:type="dxa"/>
            <w:vMerge/>
            <w:vAlign w:val="center"/>
          </w:tcPr>
          <w:p w14:paraId="55F559F4" w14:textId="77777777" w:rsidR="008762E9" w:rsidRPr="000322E4" w:rsidRDefault="008762E9" w:rsidP="00F414BF">
            <w:pPr>
              <w:contextualSpacing/>
              <w:rPr>
                <w:rFonts w:cs="Arial"/>
                <w:sz w:val="22"/>
              </w:rPr>
            </w:pPr>
          </w:p>
        </w:tc>
        <w:tc>
          <w:tcPr>
            <w:tcW w:w="0" w:type="auto"/>
            <w:vMerge/>
            <w:vAlign w:val="center"/>
          </w:tcPr>
          <w:p w14:paraId="4088D210" w14:textId="77777777" w:rsidR="008762E9" w:rsidRPr="000322E4" w:rsidRDefault="008762E9" w:rsidP="00F414BF">
            <w:pPr>
              <w:contextualSpacing/>
              <w:rPr>
                <w:rFonts w:cs="Arial"/>
                <w:sz w:val="22"/>
              </w:rPr>
            </w:pPr>
          </w:p>
        </w:tc>
        <w:tc>
          <w:tcPr>
            <w:tcW w:w="3000" w:type="dxa"/>
            <w:tcMar>
              <w:top w:w="72" w:type="dxa"/>
              <w:left w:w="144" w:type="dxa"/>
              <w:bottom w:w="72" w:type="dxa"/>
              <w:right w:w="144" w:type="dxa"/>
            </w:tcMar>
          </w:tcPr>
          <w:p w14:paraId="5BEF8348" w14:textId="77777777" w:rsidR="008762E9" w:rsidRPr="000322E4" w:rsidRDefault="008762E9" w:rsidP="00F414BF">
            <w:pPr>
              <w:contextualSpacing/>
              <w:rPr>
                <w:rFonts w:cs="Arial"/>
                <w:sz w:val="22"/>
              </w:rPr>
            </w:pPr>
            <w:r w:rsidRPr="000322E4">
              <w:rPr>
                <w:rFonts w:cs="Arial"/>
                <w:sz w:val="22"/>
                <w:lang w:val="en-US"/>
              </w:rPr>
              <w:t>&gt;300</w:t>
            </w:r>
            <w:r w:rsidRPr="000322E4">
              <w:rPr>
                <w:rFonts w:cs="Arial"/>
                <w:sz w:val="22"/>
              </w:rPr>
              <w:t xml:space="preserve"> мг/м</w:t>
            </w:r>
            <w:r w:rsidR="003430E6" w:rsidRPr="000322E4">
              <w:rPr>
                <w:rFonts w:cs="Arial"/>
                <w:sz w:val="22"/>
                <w:vertAlign w:val="superscript"/>
              </w:rPr>
              <w:t>2</w:t>
            </w:r>
          </w:p>
        </w:tc>
        <w:tc>
          <w:tcPr>
            <w:tcW w:w="2720" w:type="dxa"/>
            <w:tcMar>
              <w:top w:w="72" w:type="dxa"/>
              <w:left w:w="144" w:type="dxa"/>
              <w:bottom w:w="72" w:type="dxa"/>
              <w:right w:w="144" w:type="dxa"/>
            </w:tcMar>
          </w:tcPr>
          <w:p w14:paraId="0E8C4856" w14:textId="77777777" w:rsidR="008762E9" w:rsidRPr="000322E4" w:rsidRDefault="008762E9" w:rsidP="00F414BF">
            <w:pPr>
              <w:contextualSpacing/>
              <w:rPr>
                <w:rFonts w:cs="Arial"/>
                <w:sz w:val="22"/>
              </w:rPr>
            </w:pPr>
            <w:r w:rsidRPr="000322E4">
              <w:rPr>
                <w:rFonts w:cs="Arial"/>
                <w:sz w:val="22"/>
              </w:rPr>
              <w:t>раз в год</w:t>
            </w:r>
          </w:p>
        </w:tc>
      </w:tr>
      <w:tr w:rsidR="008762E9" w:rsidRPr="000322E4" w14:paraId="52E96A6C" w14:textId="77777777" w:rsidTr="00D254F2">
        <w:trPr>
          <w:trHeight w:val="303"/>
        </w:trPr>
        <w:tc>
          <w:tcPr>
            <w:tcW w:w="1663" w:type="dxa"/>
            <w:vMerge/>
            <w:vAlign w:val="center"/>
          </w:tcPr>
          <w:p w14:paraId="75B3C2A0" w14:textId="77777777" w:rsidR="008762E9" w:rsidRPr="000322E4" w:rsidRDefault="008762E9" w:rsidP="00F414BF">
            <w:pPr>
              <w:contextualSpacing/>
              <w:rPr>
                <w:rFonts w:cs="Arial"/>
                <w:sz w:val="22"/>
              </w:rPr>
            </w:pPr>
          </w:p>
        </w:tc>
        <w:tc>
          <w:tcPr>
            <w:tcW w:w="2460" w:type="dxa"/>
            <w:vMerge w:val="restart"/>
            <w:tcMar>
              <w:top w:w="72" w:type="dxa"/>
              <w:left w:w="144" w:type="dxa"/>
              <w:bottom w:w="72" w:type="dxa"/>
              <w:right w:w="144" w:type="dxa"/>
            </w:tcMar>
          </w:tcPr>
          <w:p w14:paraId="0C3E5EAD" w14:textId="77777777" w:rsidR="008762E9" w:rsidRPr="000322E4" w:rsidRDefault="008762E9" w:rsidP="00F414BF">
            <w:pPr>
              <w:contextualSpacing/>
              <w:rPr>
                <w:rFonts w:cs="Arial"/>
                <w:sz w:val="22"/>
              </w:rPr>
            </w:pPr>
            <w:r w:rsidRPr="000322E4">
              <w:rPr>
                <w:rFonts w:cs="Arial"/>
                <w:sz w:val="22"/>
              </w:rPr>
              <w:t>-</w:t>
            </w:r>
          </w:p>
        </w:tc>
        <w:tc>
          <w:tcPr>
            <w:tcW w:w="3000" w:type="dxa"/>
            <w:tcMar>
              <w:top w:w="72" w:type="dxa"/>
              <w:left w:w="144" w:type="dxa"/>
              <w:bottom w:w="72" w:type="dxa"/>
              <w:right w:w="144" w:type="dxa"/>
            </w:tcMar>
          </w:tcPr>
          <w:p w14:paraId="4FC2D1B6" w14:textId="77777777" w:rsidR="008762E9" w:rsidRPr="000322E4" w:rsidRDefault="008762E9" w:rsidP="00F414BF">
            <w:pPr>
              <w:contextualSpacing/>
              <w:rPr>
                <w:rFonts w:cs="Arial"/>
                <w:sz w:val="22"/>
              </w:rPr>
            </w:pPr>
            <w:r w:rsidRPr="000322E4">
              <w:rPr>
                <w:rFonts w:cs="Arial"/>
                <w:sz w:val="22"/>
                <w:lang w:val="en-US"/>
              </w:rPr>
              <w:t>&lt;200</w:t>
            </w:r>
            <w:r w:rsidRPr="000322E4">
              <w:rPr>
                <w:rFonts w:cs="Arial"/>
                <w:sz w:val="22"/>
              </w:rPr>
              <w:t xml:space="preserve"> мг/м</w:t>
            </w:r>
            <w:r w:rsidR="003430E6" w:rsidRPr="000322E4">
              <w:rPr>
                <w:rFonts w:cs="Arial"/>
                <w:sz w:val="22"/>
                <w:vertAlign w:val="superscript"/>
              </w:rPr>
              <w:t>2</w:t>
            </w:r>
          </w:p>
        </w:tc>
        <w:tc>
          <w:tcPr>
            <w:tcW w:w="2720" w:type="dxa"/>
            <w:tcMar>
              <w:top w:w="72" w:type="dxa"/>
              <w:left w:w="144" w:type="dxa"/>
              <w:bottom w:w="72" w:type="dxa"/>
              <w:right w:w="144" w:type="dxa"/>
            </w:tcMar>
          </w:tcPr>
          <w:p w14:paraId="7FF41C2A" w14:textId="77777777" w:rsidR="008762E9" w:rsidRPr="000322E4" w:rsidRDefault="008762E9" w:rsidP="00F414BF">
            <w:pPr>
              <w:contextualSpacing/>
              <w:rPr>
                <w:rFonts w:cs="Arial"/>
                <w:sz w:val="22"/>
              </w:rPr>
            </w:pPr>
            <w:r w:rsidRPr="000322E4">
              <w:rPr>
                <w:rFonts w:cs="Arial"/>
                <w:sz w:val="22"/>
              </w:rPr>
              <w:t>каждые 5 лет</w:t>
            </w:r>
          </w:p>
        </w:tc>
      </w:tr>
      <w:tr w:rsidR="008762E9" w:rsidRPr="000322E4" w14:paraId="0C8D92E6" w14:textId="77777777" w:rsidTr="00D254F2">
        <w:trPr>
          <w:trHeight w:val="297"/>
        </w:trPr>
        <w:tc>
          <w:tcPr>
            <w:tcW w:w="1663" w:type="dxa"/>
            <w:vMerge/>
            <w:vAlign w:val="center"/>
          </w:tcPr>
          <w:p w14:paraId="5FA4921D" w14:textId="77777777" w:rsidR="008762E9" w:rsidRPr="000322E4" w:rsidRDefault="008762E9" w:rsidP="00F414BF">
            <w:pPr>
              <w:contextualSpacing/>
              <w:rPr>
                <w:rFonts w:cs="Arial"/>
                <w:sz w:val="22"/>
              </w:rPr>
            </w:pPr>
          </w:p>
        </w:tc>
        <w:tc>
          <w:tcPr>
            <w:tcW w:w="0" w:type="auto"/>
            <w:vMerge/>
            <w:vAlign w:val="center"/>
          </w:tcPr>
          <w:p w14:paraId="47865D6B" w14:textId="77777777" w:rsidR="008762E9" w:rsidRPr="000322E4" w:rsidRDefault="008762E9" w:rsidP="00F414BF">
            <w:pPr>
              <w:contextualSpacing/>
              <w:rPr>
                <w:rFonts w:cs="Arial"/>
                <w:sz w:val="22"/>
              </w:rPr>
            </w:pPr>
          </w:p>
        </w:tc>
        <w:tc>
          <w:tcPr>
            <w:tcW w:w="3000" w:type="dxa"/>
            <w:tcMar>
              <w:top w:w="72" w:type="dxa"/>
              <w:left w:w="144" w:type="dxa"/>
              <w:bottom w:w="72" w:type="dxa"/>
              <w:right w:w="144" w:type="dxa"/>
            </w:tcMar>
          </w:tcPr>
          <w:p w14:paraId="08BAA785" w14:textId="77777777" w:rsidR="008762E9" w:rsidRPr="000322E4" w:rsidRDefault="008762E9" w:rsidP="00F414BF">
            <w:pPr>
              <w:contextualSpacing/>
              <w:rPr>
                <w:rFonts w:cs="Arial"/>
                <w:sz w:val="22"/>
              </w:rPr>
            </w:pPr>
            <w:r w:rsidRPr="000322E4">
              <w:rPr>
                <w:rFonts w:cs="Arial"/>
                <w:sz w:val="22"/>
                <w:lang w:val="en-US"/>
              </w:rPr>
              <w:t>200-300</w:t>
            </w:r>
            <w:r w:rsidRPr="000322E4">
              <w:rPr>
                <w:rFonts w:cs="Arial"/>
                <w:sz w:val="22"/>
              </w:rPr>
              <w:t xml:space="preserve"> мг/м</w:t>
            </w:r>
            <w:r w:rsidR="003430E6" w:rsidRPr="000322E4">
              <w:rPr>
                <w:rFonts w:cs="Arial"/>
                <w:sz w:val="22"/>
                <w:vertAlign w:val="superscript"/>
              </w:rPr>
              <w:t>2</w:t>
            </w:r>
          </w:p>
        </w:tc>
        <w:tc>
          <w:tcPr>
            <w:tcW w:w="2720" w:type="dxa"/>
            <w:tcMar>
              <w:top w:w="72" w:type="dxa"/>
              <w:left w:w="144" w:type="dxa"/>
              <w:bottom w:w="72" w:type="dxa"/>
              <w:right w:w="144" w:type="dxa"/>
            </w:tcMar>
          </w:tcPr>
          <w:p w14:paraId="7BB93E07" w14:textId="77777777" w:rsidR="008762E9" w:rsidRPr="000322E4" w:rsidRDefault="008762E9" w:rsidP="00F414BF">
            <w:pPr>
              <w:contextualSpacing/>
              <w:rPr>
                <w:rFonts w:cs="Arial"/>
                <w:sz w:val="22"/>
              </w:rPr>
            </w:pPr>
            <w:r w:rsidRPr="000322E4">
              <w:rPr>
                <w:rFonts w:cs="Arial"/>
                <w:sz w:val="22"/>
              </w:rPr>
              <w:t>каждые 2 года</w:t>
            </w:r>
          </w:p>
        </w:tc>
      </w:tr>
      <w:tr w:rsidR="008762E9" w:rsidRPr="000322E4" w14:paraId="48707103" w14:textId="77777777" w:rsidTr="00D254F2">
        <w:trPr>
          <w:trHeight w:val="163"/>
        </w:trPr>
        <w:tc>
          <w:tcPr>
            <w:tcW w:w="1663" w:type="dxa"/>
            <w:vMerge/>
            <w:vAlign w:val="center"/>
          </w:tcPr>
          <w:p w14:paraId="2E493AE0" w14:textId="77777777" w:rsidR="008762E9" w:rsidRPr="000322E4" w:rsidRDefault="008762E9" w:rsidP="00F414BF">
            <w:pPr>
              <w:contextualSpacing/>
              <w:rPr>
                <w:rFonts w:cs="Arial"/>
                <w:sz w:val="22"/>
              </w:rPr>
            </w:pPr>
          </w:p>
        </w:tc>
        <w:tc>
          <w:tcPr>
            <w:tcW w:w="0" w:type="auto"/>
            <w:vMerge/>
            <w:vAlign w:val="center"/>
          </w:tcPr>
          <w:p w14:paraId="4A647B7E" w14:textId="77777777" w:rsidR="008762E9" w:rsidRPr="000322E4" w:rsidRDefault="008762E9" w:rsidP="00F414BF">
            <w:pPr>
              <w:contextualSpacing/>
              <w:rPr>
                <w:rFonts w:cs="Arial"/>
                <w:sz w:val="22"/>
              </w:rPr>
            </w:pPr>
          </w:p>
        </w:tc>
        <w:tc>
          <w:tcPr>
            <w:tcW w:w="3000" w:type="dxa"/>
            <w:tcMar>
              <w:top w:w="72" w:type="dxa"/>
              <w:left w:w="144" w:type="dxa"/>
              <w:bottom w:w="72" w:type="dxa"/>
              <w:right w:w="144" w:type="dxa"/>
            </w:tcMar>
          </w:tcPr>
          <w:p w14:paraId="0BE25BA1" w14:textId="77777777" w:rsidR="008762E9" w:rsidRPr="000322E4" w:rsidRDefault="008762E9" w:rsidP="00F414BF">
            <w:pPr>
              <w:contextualSpacing/>
              <w:rPr>
                <w:rFonts w:cs="Arial"/>
                <w:sz w:val="22"/>
              </w:rPr>
            </w:pPr>
            <w:r w:rsidRPr="000322E4">
              <w:rPr>
                <w:rFonts w:cs="Arial"/>
                <w:sz w:val="22"/>
                <w:lang w:val="en-US"/>
              </w:rPr>
              <w:t>&gt;300</w:t>
            </w:r>
            <w:r w:rsidRPr="000322E4">
              <w:rPr>
                <w:rFonts w:cs="Arial"/>
                <w:sz w:val="22"/>
              </w:rPr>
              <w:t xml:space="preserve"> мг/м</w:t>
            </w:r>
            <w:r w:rsidR="003430E6" w:rsidRPr="000322E4">
              <w:rPr>
                <w:rFonts w:cs="Arial"/>
                <w:sz w:val="22"/>
                <w:vertAlign w:val="superscript"/>
              </w:rPr>
              <w:t>2</w:t>
            </w:r>
          </w:p>
        </w:tc>
        <w:tc>
          <w:tcPr>
            <w:tcW w:w="2720" w:type="dxa"/>
            <w:tcMar>
              <w:top w:w="72" w:type="dxa"/>
              <w:left w:w="144" w:type="dxa"/>
              <w:bottom w:w="72" w:type="dxa"/>
              <w:right w:w="144" w:type="dxa"/>
            </w:tcMar>
          </w:tcPr>
          <w:p w14:paraId="05E1F493" w14:textId="77777777" w:rsidR="008762E9" w:rsidRPr="000322E4" w:rsidRDefault="008762E9" w:rsidP="00F414BF">
            <w:pPr>
              <w:contextualSpacing/>
              <w:rPr>
                <w:rFonts w:cs="Arial"/>
                <w:sz w:val="22"/>
              </w:rPr>
            </w:pPr>
            <w:r w:rsidRPr="000322E4">
              <w:rPr>
                <w:rFonts w:cs="Arial"/>
                <w:sz w:val="22"/>
              </w:rPr>
              <w:t>раз в год</w:t>
            </w:r>
          </w:p>
        </w:tc>
      </w:tr>
    </w:tbl>
    <w:p w14:paraId="1CAC501E" w14:textId="77777777" w:rsidR="00F82F9F" w:rsidRPr="000322E4" w:rsidRDefault="00F82F9F" w:rsidP="00F414BF">
      <w:pPr>
        <w:ind w:left="709"/>
        <w:contextualSpacing/>
        <w:rPr>
          <w:b/>
        </w:rPr>
      </w:pPr>
    </w:p>
    <w:p w14:paraId="198A4214" w14:textId="77777777" w:rsidR="009B4039" w:rsidRPr="000322E4" w:rsidRDefault="00C4630C" w:rsidP="00F414BF">
      <w:pPr>
        <w:pStyle w:val="afff2"/>
      </w:pPr>
      <w:bookmarkStart w:id="50" w:name="_Toc66096833"/>
      <w:r w:rsidRPr="000322E4">
        <w:t xml:space="preserve">6. </w:t>
      </w:r>
      <w:r w:rsidR="009B4039" w:rsidRPr="000322E4">
        <w:t xml:space="preserve">Организация </w:t>
      </w:r>
      <w:r w:rsidR="00103620" w:rsidRPr="000322E4">
        <w:t xml:space="preserve">оказания </w:t>
      </w:r>
      <w:r w:rsidR="009B4039" w:rsidRPr="000322E4">
        <w:t>медицинской помощи</w:t>
      </w:r>
      <w:bookmarkEnd w:id="50"/>
    </w:p>
    <w:p w14:paraId="6815AF10" w14:textId="77777777" w:rsidR="00613DB8" w:rsidRPr="000322E4" w:rsidRDefault="00613DB8" w:rsidP="00F414BF">
      <w:pPr>
        <w:ind w:firstLine="851"/>
      </w:pPr>
      <w:r w:rsidRPr="000322E4">
        <w:t>Медицинская помощь, за исключением медицинской помощи в рамках клинической апробации, в соответствии с федеральным законом от 21.11.2011 № 323-ФЗ (ред. от 25.05.2019) «Об основах охраны здоровья граждан в Российской Федерации» организуется и оказывается:</w:t>
      </w:r>
    </w:p>
    <w:p w14:paraId="22E9E2B0" w14:textId="77777777" w:rsidR="00613DB8" w:rsidRPr="000322E4" w:rsidRDefault="00613DB8" w:rsidP="00F414BF">
      <w:pPr>
        <w:pStyle w:val="afe"/>
        <w:numPr>
          <w:ilvl w:val="0"/>
          <w:numId w:val="16"/>
        </w:numPr>
        <w:ind w:left="0" w:firstLine="851"/>
      </w:pPr>
      <w:r w:rsidRPr="000322E4">
        <w:t>в соответствии с положением об организации оказания медицинской помощи по видам медицинской помощи, которое утверждается уполномоченным федеральным органом исполнительной власти;</w:t>
      </w:r>
    </w:p>
    <w:p w14:paraId="01AA46AB" w14:textId="77777777" w:rsidR="00613DB8" w:rsidRPr="000322E4" w:rsidRDefault="00613DB8" w:rsidP="00F414BF">
      <w:pPr>
        <w:pStyle w:val="afe"/>
        <w:numPr>
          <w:ilvl w:val="0"/>
          <w:numId w:val="16"/>
        </w:numPr>
        <w:ind w:left="0" w:firstLine="851"/>
      </w:pPr>
      <w:r w:rsidRPr="000322E4">
        <w:t>в соответствии с порядком оказания помощи по профилю «онкология», обязательным для исполнения на территории Российской Федерации всеми медицинскими организациями;</w:t>
      </w:r>
    </w:p>
    <w:p w14:paraId="7C65C198" w14:textId="77777777" w:rsidR="00613DB8" w:rsidRPr="000322E4" w:rsidRDefault="00613DB8" w:rsidP="00F414BF">
      <w:pPr>
        <w:pStyle w:val="afe"/>
        <w:numPr>
          <w:ilvl w:val="0"/>
          <w:numId w:val="16"/>
        </w:numPr>
        <w:ind w:left="0" w:firstLine="851"/>
      </w:pPr>
      <w:r w:rsidRPr="000322E4">
        <w:t>на основе настоящих клинических рекомендаций;</w:t>
      </w:r>
    </w:p>
    <w:p w14:paraId="66C0DC41" w14:textId="77777777" w:rsidR="00613DB8" w:rsidRPr="000322E4" w:rsidRDefault="00613DB8" w:rsidP="00F414BF">
      <w:pPr>
        <w:pStyle w:val="afe"/>
        <w:numPr>
          <w:ilvl w:val="0"/>
          <w:numId w:val="16"/>
        </w:numPr>
        <w:ind w:left="0" w:firstLine="851"/>
      </w:pPr>
      <w:r w:rsidRPr="000322E4">
        <w:t>с учетом стандартов медицинской помощи, утвержденных уполномоченным федеральным органом исполнительной власти.</w:t>
      </w:r>
    </w:p>
    <w:p w14:paraId="0FCE8E8C" w14:textId="77777777" w:rsidR="00613DB8" w:rsidRPr="000322E4" w:rsidRDefault="00613DB8" w:rsidP="00F414BF">
      <w:pPr>
        <w:ind w:firstLine="851"/>
      </w:pPr>
      <w:r w:rsidRPr="000322E4">
        <w:t>Первичная специализированная медико-санитарная помощь оказывается врачом-онкологом и иными врачами-специалистами в центре амбулаторной онкологической помощи либо в первичном онкологическом кабинете, первичном онкологическом отделении, поликлиническом отделении онкологического диспансера.</w:t>
      </w:r>
    </w:p>
    <w:p w14:paraId="023F37AD" w14:textId="77777777" w:rsidR="00613DB8" w:rsidRPr="000322E4" w:rsidRDefault="00613DB8" w:rsidP="00F414BF">
      <w:pPr>
        <w:ind w:firstLine="851"/>
      </w:pPr>
      <w:r w:rsidRPr="000322E4">
        <w:t>При выявлении у пациента</w:t>
      </w:r>
      <w:r w:rsidR="00695151" w:rsidRPr="000322E4">
        <w:t xml:space="preserve"> </w:t>
      </w:r>
      <w:r w:rsidR="00EA74D7" w:rsidRPr="000322E4">
        <w:t>ДВКЛ</w:t>
      </w:r>
      <w:r w:rsidRPr="000322E4">
        <w:t xml:space="preserve"> или подозрении на него врачи-терапевты, врачи-терапевты участковые, врачи общей практики (семейные врачи), врачи-специалисты, средние медицинские работники в установленном порядке направляют пациента на консультацию в центр амбулаторной онкологической помощи либо в первичный онкологический кабинет, первичное онкологическое отделение медицинской организации для оказания ему первичной специализированной медико-санитарной помощи.</w:t>
      </w:r>
    </w:p>
    <w:p w14:paraId="4E479EC5" w14:textId="77777777" w:rsidR="00613DB8" w:rsidRPr="000322E4" w:rsidRDefault="00613DB8" w:rsidP="00F414BF">
      <w:pPr>
        <w:ind w:firstLine="851"/>
      </w:pPr>
      <w:r w:rsidRPr="000322E4">
        <w:t xml:space="preserve">Консультация в центре амбулаторной онкологической помощи либо в первичном онкологическом кабинете, первичном онкологическом отделении медицинской организации должна быть проведена не позднее 5 рабочих дней с даты выдачи направления на консультацию. Врач-онколог центра амбулаторной онкологической помощи (в случае отсутствия центра амбулаторной онкологической помощи врач-онколог первичного онкологического кабинета или первичного онкологического отделения) организует взятие биопсийного (операционного) материала, а также организует выполнение иных </w:t>
      </w:r>
      <w:r w:rsidRPr="000322E4">
        <w:lastRenderedPageBreak/>
        <w:t>диагностических исследований, необходимых для установления диагноза, включая распространенность онкологического процесса и стадию заболевания.</w:t>
      </w:r>
    </w:p>
    <w:p w14:paraId="2CA2CAE1" w14:textId="77777777" w:rsidR="00613DB8" w:rsidRPr="000322E4" w:rsidRDefault="00613DB8" w:rsidP="00F414BF">
      <w:pPr>
        <w:ind w:firstLine="851"/>
      </w:pPr>
      <w:r w:rsidRPr="000322E4">
        <w:t>В случае невозможности взятия в медицинской организации, в составе которой организован центр амбулаторной онкологической помощи (первичный онкологический кабинет, первичное онкологическое отделение), биопсийного (операционного) материала, проведения иных диагностических исследований пациент направляется лечащим врачом в онкологический диспансер или в медицинскую организацию, оказывающую медицинскую помощь пациентам с онкологическими заболеваниями.</w:t>
      </w:r>
    </w:p>
    <w:p w14:paraId="7C4DE603" w14:textId="77777777" w:rsidR="00613DB8" w:rsidRPr="000322E4" w:rsidRDefault="00613DB8" w:rsidP="00F414BF">
      <w:pPr>
        <w:ind w:firstLine="851"/>
      </w:pPr>
      <w:r w:rsidRPr="000322E4">
        <w:t>Срок выполнения патологоанатомических исследований, необходимых для гистологической верификации злокачественного новообразования, не должен превышать 15 рабочих дней с даты поступления биопсийного (операционного) материала в патологоанатомическое бюро (отделение).</w:t>
      </w:r>
    </w:p>
    <w:p w14:paraId="537DFDD8" w14:textId="77777777" w:rsidR="00613DB8" w:rsidRPr="000322E4" w:rsidRDefault="00613DB8" w:rsidP="00F414BF">
      <w:pPr>
        <w:ind w:firstLine="851"/>
      </w:pPr>
      <w:r w:rsidRPr="000322E4">
        <w:t xml:space="preserve">При выявлении </w:t>
      </w:r>
      <w:r w:rsidR="00EA74D7" w:rsidRPr="000322E4">
        <w:t>ДВКЛ</w:t>
      </w:r>
      <w:r w:rsidRPr="000322E4">
        <w:t xml:space="preserve"> или подозрении на него в ходе оказания скорой медицинской помощи пациента переводят или направляют в медицинские организации, оказывающие медицинскую помощь пациентам с онкологическими заболеваниями, для определения тактики ведения и необходимости применения дополнительно других методов специализированного противоопухолевого лечения.</w:t>
      </w:r>
    </w:p>
    <w:p w14:paraId="238031F2" w14:textId="77777777" w:rsidR="00613DB8" w:rsidRPr="000322E4" w:rsidRDefault="00613DB8" w:rsidP="00F414BF">
      <w:pPr>
        <w:ind w:firstLine="851"/>
      </w:pPr>
      <w:r w:rsidRPr="000322E4">
        <w:t>Врач-онколог центра амбулаторной онкологической помощи (первичного онкологического кабинета, первичного онкологического отделения) направляет пациента в онкологический диспансер или в медицинские организации, оказывающие медицинскую помощь пациентам с онкологическими заболеваниями, для уточнения диагноза (в случае невозможности установления диагноза, включая распространенность онкологического процесса и стадию заболевания, врачом-онкологом центра амбулаторной онкологической помощи, первичного онкологического кабинета или первичного онкологического отделения) и оказания специализированной, в том числе высокотехнологичной, медицинской помощи.</w:t>
      </w:r>
    </w:p>
    <w:p w14:paraId="0808C8AA" w14:textId="77777777" w:rsidR="00613DB8" w:rsidRPr="000322E4" w:rsidRDefault="00613DB8" w:rsidP="00F414BF">
      <w:pPr>
        <w:ind w:firstLine="851"/>
        <w:rPr>
          <w:color w:val="000000" w:themeColor="text1"/>
        </w:rPr>
      </w:pPr>
      <w:r w:rsidRPr="000322E4">
        <w:t xml:space="preserve">Срок начала оказания специализированной, за исключением высокотехнологичной, медицинской помощи пациентам с онкологическими заболеваниями в медицинской организации, оказывающей медицинскую помощь пациентам с онкологическими заболеваниями, не должен превышать 14 календарных дней с даты гистологической верификации </w:t>
      </w:r>
      <w:r w:rsidRPr="000322E4">
        <w:rPr>
          <w:color w:val="000000" w:themeColor="text1"/>
        </w:rPr>
        <w:t>злокачественного новообразования или 14 календарных дней с даты установления предварительного диагноза</w:t>
      </w:r>
      <w:r w:rsidR="00880FB4" w:rsidRPr="000322E4">
        <w:rPr>
          <w:color w:val="000000" w:themeColor="text1"/>
        </w:rPr>
        <w:t xml:space="preserve"> </w:t>
      </w:r>
      <w:r w:rsidR="00EA74D7" w:rsidRPr="000322E4">
        <w:rPr>
          <w:color w:val="000000" w:themeColor="text1"/>
        </w:rPr>
        <w:t>ДВКЛ</w:t>
      </w:r>
      <w:r w:rsidRPr="000322E4">
        <w:rPr>
          <w:color w:val="000000" w:themeColor="text1"/>
        </w:rPr>
        <w:t xml:space="preserve"> (в случае отсутствия медицинских показаний к проведению патолого-анатомических исследований в амбулаторных условиях).</w:t>
      </w:r>
    </w:p>
    <w:p w14:paraId="5406DAA1" w14:textId="77777777" w:rsidR="00613DB8" w:rsidRPr="000322E4" w:rsidRDefault="00613DB8" w:rsidP="00F414BF">
      <w:pPr>
        <w:ind w:firstLine="851"/>
        <w:rPr>
          <w:color w:val="000000" w:themeColor="text1"/>
        </w:rPr>
      </w:pPr>
      <w:r w:rsidRPr="000322E4">
        <w:rPr>
          <w:color w:val="000000" w:themeColor="text1"/>
        </w:rPr>
        <w:lastRenderedPageBreak/>
        <w:t xml:space="preserve">Специализированная, в том числе высокотехнологичная, медицинская помощь оказывается врачами-онкологами, </w:t>
      </w:r>
      <w:r w:rsidR="00880FB4" w:rsidRPr="000322E4">
        <w:rPr>
          <w:color w:val="000000" w:themeColor="text1"/>
        </w:rPr>
        <w:t xml:space="preserve">врачами-гематологами, </w:t>
      </w:r>
      <w:r w:rsidRPr="000322E4">
        <w:rPr>
          <w:color w:val="000000" w:themeColor="text1"/>
        </w:rPr>
        <w:t xml:space="preserve">врачами-радиотерапевтами в онкологическом диспансере или в медицинских организациях, оказывающих медицинскую помощь пациентам с </w:t>
      </w:r>
      <w:r w:rsidR="00EA74D7" w:rsidRPr="000322E4">
        <w:rPr>
          <w:color w:val="000000" w:themeColor="text1"/>
        </w:rPr>
        <w:t>ДВКЛ</w:t>
      </w:r>
      <w:r w:rsidRPr="000322E4">
        <w:rPr>
          <w:color w:val="000000" w:themeColor="text1"/>
        </w:rPr>
        <w:t>, имеющих лицензию, необходимую материально-техническую базу, сертифицированных специалистов</w:t>
      </w:r>
      <w:r w:rsidRPr="000322E4">
        <w:t xml:space="preserve">, в стационарных условиях и условиях дневного стационара и включает в себя профилактику, диагностику, лечение онкологических заболеваний, требующих использования </w:t>
      </w:r>
      <w:r w:rsidRPr="000322E4">
        <w:rPr>
          <w:color w:val="000000" w:themeColor="text1"/>
        </w:rPr>
        <w:t>специальных методов и сложных уникальных медицинских технологий, а также медицинскую реабилитацию.</w:t>
      </w:r>
    </w:p>
    <w:p w14:paraId="25FE2729" w14:textId="77777777" w:rsidR="00613DB8" w:rsidRPr="000322E4" w:rsidRDefault="00613DB8" w:rsidP="00F414BF">
      <w:pPr>
        <w:ind w:firstLine="851"/>
      </w:pPr>
      <w:r w:rsidRPr="000322E4">
        <w:rPr>
          <w:color w:val="000000" w:themeColor="text1"/>
        </w:rPr>
        <w:t xml:space="preserve">В медицинской организации, оказывающей медицинскую помощь пациентам с </w:t>
      </w:r>
      <w:r w:rsidR="00EA74D7" w:rsidRPr="000322E4">
        <w:rPr>
          <w:color w:val="000000" w:themeColor="text1"/>
        </w:rPr>
        <w:t>ДВКЛ</w:t>
      </w:r>
      <w:r w:rsidR="006C0C64" w:rsidRPr="000322E4">
        <w:rPr>
          <w:color w:val="000000" w:themeColor="text1"/>
        </w:rPr>
        <w:t>,</w:t>
      </w:r>
      <w:r w:rsidRPr="000322E4">
        <w:rPr>
          <w:color w:val="000000" w:themeColor="text1"/>
        </w:rPr>
        <w:t xml:space="preserve"> тактика медицинского обследования </w:t>
      </w:r>
      <w:r w:rsidRPr="000322E4">
        <w:t>и лечения устанавливается консилиумом врачей-онкологов и врачей-радиотерапевтов с привлечением при необходимости других врачей-специалистов. Решение консилиума врачей оформляется протоколом, подписывается участниками консилиума врачей и вносится в медицинскую документацию пациента.</w:t>
      </w:r>
    </w:p>
    <w:p w14:paraId="22310D1D" w14:textId="77777777" w:rsidR="00613DB8" w:rsidRPr="000322E4" w:rsidRDefault="00613DB8" w:rsidP="00F414BF">
      <w:pPr>
        <w:ind w:firstLine="851"/>
      </w:pPr>
      <w:r w:rsidRPr="000322E4">
        <w:t>Показания к госпитализации в круглосуточный или дневной стационар медицинской организации, оказывающей специализированную, в том числе высокотехнологичную, медицинскую помощь по профилю «онкология» определяются консилиумом врачей-онкологов и врачей-радиотерапевтов с привлечением при необходимости других врачей-специалистов.</w:t>
      </w:r>
    </w:p>
    <w:p w14:paraId="4ED0D45F" w14:textId="77777777" w:rsidR="00613DB8" w:rsidRPr="000322E4" w:rsidRDefault="00613DB8" w:rsidP="00CA442F">
      <w:pPr>
        <w:pStyle w:val="1f0"/>
        <w:contextualSpacing/>
        <w:rPr>
          <w:b/>
        </w:rPr>
      </w:pPr>
      <w:r w:rsidRPr="000322E4">
        <w:rPr>
          <w:b/>
        </w:rPr>
        <w:t xml:space="preserve">Показания для плановой госпитализации: </w:t>
      </w:r>
    </w:p>
    <w:p w14:paraId="3C701B40" w14:textId="77777777" w:rsidR="00EA74D7" w:rsidRPr="000322E4" w:rsidRDefault="00613DB8" w:rsidP="00CA442F">
      <w:pPr>
        <w:pStyle w:val="1f0"/>
        <w:contextualSpacing/>
      </w:pPr>
      <w:r w:rsidRPr="000322E4">
        <w:t>1.</w:t>
      </w:r>
      <w:r w:rsidRPr="000322E4">
        <w:tab/>
      </w:r>
      <w:r w:rsidR="00EA74D7" w:rsidRPr="000322E4">
        <w:t>Проведение терапии в случаях, требующих круглосуточного наблюдения за пациентом по причине тяжести состояния, обусловленного опухолью, или по причине риска осложнений, связанных с программой лечения или сопутствующими заболеваниями.</w:t>
      </w:r>
    </w:p>
    <w:p w14:paraId="33D23ED1" w14:textId="77777777" w:rsidR="00613DB8" w:rsidRPr="000322E4" w:rsidRDefault="00EA74D7" w:rsidP="008A40EA">
      <w:pPr>
        <w:pStyle w:val="1f0"/>
        <w:contextualSpacing/>
      </w:pPr>
      <w:r w:rsidRPr="000322E4">
        <w:t>2.</w:t>
      </w:r>
      <w:r w:rsidRPr="000322E4">
        <w:tab/>
        <w:t>Обследование пациента, включающее биопсию и инвазивные вмешательства, в случаях, когда оно не может быть проведено амбулаторно</w:t>
      </w:r>
    </w:p>
    <w:p w14:paraId="23C0A63A" w14:textId="77777777" w:rsidR="00613DB8" w:rsidRPr="000322E4" w:rsidRDefault="00613DB8" w:rsidP="008A40EA">
      <w:pPr>
        <w:pStyle w:val="1f0"/>
        <w:contextualSpacing/>
        <w:rPr>
          <w:b/>
        </w:rPr>
      </w:pPr>
      <w:r w:rsidRPr="000322E4">
        <w:rPr>
          <w:b/>
        </w:rPr>
        <w:t xml:space="preserve">Показания для экстренной госпитализации: </w:t>
      </w:r>
    </w:p>
    <w:p w14:paraId="30B5D1CB" w14:textId="77777777" w:rsidR="00EA74D7" w:rsidRPr="000322E4" w:rsidRDefault="00613DB8" w:rsidP="00B85809">
      <w:pPr>
        <w:pStyle w:val="1f0"/>
        <w:contextualSpacing/>
      </w:pPr>
      <w:r w:rsidRPr="000322E4">
        <w:t>1.</w:t>
      </w:r>
      <w:r w:rsidRPr="000322E4">
        <w:tab/>
      </w:r>
      <w:r w:rsidR="00EA74D7" w:rsidRPr="000322E4">
        <w:t>Развитие тяжелой инфекции (необязательна госпитализация в гематологический стационар).</w:t>
      </w:r>
    </w:p>
    <w:p w14:paraId="4A3E209A" w14:textId="77777777" w:rsidR="00EA74D7" w:rsidRPr="000322E4" w:rsidRDefault="00EA74D7" w:rsidP="00B85809">
      <w:pPr>
        <w:pStyle w:val="1f0"/>
        <w:contextualSpacing/>
      </w:pPr>
      <w:r w:rsidRPr="000322E4">
        <w:t>2.</w:t>
      </w:r>
      <w:r w:rsidRPr="000322E4">
        <w:tab/>
        <w:t>Развитие угрожающих жизни цитопений (глубокой анемии, геморрагического синдрома, нейтропении).</w:t>
      </w:r>
    </w:p>
    <w:p w14:paraId="4C759534" w14:textId="77777777" w:rsidR="00EA74D7" w:rsidRPr="000322E4" w:rsidRDefault="00EA74D7" w:rsidP="00B85809">
      <w:pPr>
        <w:pStyle w:val="1f0"/>
        <w:contextualSpacing/>
      </w:pPr>
      <w:r w:rsidRPr="000322E4">
        <w:t>3.</w:t>
      </w:r>
      <w:r w:rsidRPr="000322E4">
        <w:tab/>
        <w:t xml:space="preserve">Развитие осложнений ДВККЛ: симптоматическую лимфаденопатию и органомегалию с риском развития тяжелых осложнений, нейролейкемию, специфический плеврит, хилоторакс, синдром компрессии верхней полой с признаками дыхательной недостаточности и другие осложнения, угрожающие </w:t>
      </w:r>
      <w:r w:rsidRPr="000322E4">
        <w:lastRenderedPageBreak/>
        <w:t xml:space="preserve">жизни. </w:t>
      </w:r>
    </w:p>
    <w:p w14:paraId="55E9BCE3" w14:textId="77777777" w:rsidR="00EA74D7" w:rsidRPr="000322E4" w:rsidRDefault="00EA74D7" w:rsidP="005B7DE0">
      <w:pPr>
        <w:pStyle w:val="1f0"/>
        <w:contextualSpacing/>
      </w:pPr>
      <w:r w:rsidRPr="000322E4">
        <w:t>4.</w:t>
      </w:r>
      <w:r w:rsidRPr="000322E4">
        <w:tab/>
        <w:t>Развитие осложнений терапии, включая синдром лизиса опухоли, тяжелые инфузионные реакции, миелотоксический агранулоцитоз с лихорадкой и другие осложнения, угрожающие жизни.</w:t>
      </w:r>
    </w:p>
    <w:p w14:paraId="030037DF" w14:textId="77777777" w:rsidR="00613DB8" w:rsidRPr="000322E4" w:rsidRDefault="00613DB8" w:rsidP="00357C19">
      <w:pPr>
        <w:pStyle w:val="1f0"/>
        <w:contextualSpacing/>
        <w:rPr>
          <w:b/>
        </w:rPr>
      </w:pPr>
      <w:r w:rsidRPr="000322E4">
        <w:rPr>
          <w:b/>
        </w:rPr>
        <w:t>Показания к выписке пациента из стационара:</w:t>
      </w:r>
    </w:p>
    <w:p w14:paraId="3A6C0C9A" w14:textId="77777777" w:rsidR="00EA74D7" w:rsidRPr="000322E4" w:rsidRDefault="00EA74D7" w:rsidP="00F414BF">
      <w:pPr>
        <w:pStyle w:val="afe"/>
        <w:numPr>
          <w:ilvl w:val="0"/>
          <w:numId w:val="38"/>
        </w:numPr>
        <w:tabs>
          <w:tab w:val="left" w:pos="1134"/>
        </w:tabs>
        <w:suppressAutoHyphens/>
        <w:contextualSpacing w:val="0"/>
      </w:pPr>
      <w:r w:rsidRPr="000322E4">
        <w:t>Завершение курса лечения или одного из этапов оказания специализированной, в том числе высокотехнологичной, медицинской помощи, в условиях круглосуточного или дневного стационара при условии отсутствия осложнений лечения, требующих медикаментозной коррекции и/или медицинских вмешательств в стационарных условиях.</w:t>
      </w:r>
    </w:p>
    <w:p w14:paraId="5E2C3854" w14:textId="77777777" w:rsidR="00EA74D7" w:rsidRPr="000322E4" w:rsidRDefault="00EA74D7" w:rsidP="00F414BF">
      <w:pPr>
        <w:pStyle w:val="afe"/>
        <w:numPr>
          <w:ilvl w:val="0"/>
          <w:numId w:val="38"/>
        </w:numPr>
        <w:tabs>
          <w:tab w:val="left" w:pos="1134"/>
        </w:tabs>
        <w:suppressAutoHyphens/>
        <w:contextualSpacing w:val="0"/>
      </w:pPr>
      <w:r w:rsidRPr="000322E4">
        <w:t xml:space="preserve">Отказ </w:t>
      </w:r>
      <w:r w:rsidR="00103620" w:rsidRPr="000322E4">
        <w:t xml:space="preserve">пациента </w:t>
      </w:r>
      <w:r w:rsidRPr="000322E4">
        <w:t>или его законного представителя от специализированной, в том числе высокотехнологичной, медицинской помощи в условиях круглосуточного или дневного стационара, установленной консилиумом медицинской организации, оказывающей онкологическую помощь, при условии отсутствия осложнений основного заболевания и/или лечения, требующих медикаментозной коррекции и/или медицинских вмешательств в стационарных условиях.</w:t>
      </w:r>
    </w:p>
    <w:p w14:paraId="6179CAD3" w14:textId="77777777" w:rsidR="00EA74D7" w:rsidRPr="000322E4" w:rsidRDefault="00EA74D7" w:rsidP="00F414BF">
      <w:pPr>
        <w:pStyle w:val="afe"/>
        <w:numPr>
          <w:ilvl w:val="0"/>
          <w:numId w:val="38"/>
        </w:numPr>
        <w:tabs>
          <w:tab w:val="left" w:pos="1134"/>
        </w:tabs>
        <w:suppressAutoHyphens/>
        <w:contextualSpacing w:val="0"/>
      </w:pPr>
      <w:r w:rsidRPr="000322E4">
        <w:t xml:space="preserve">Необходимость перевода </w:t>
      </w:r>
      <w:r w:rsidR="00103620" w:rsidRPr="000322E4">
        <w:t xml:space="preserve">пациента </w:t>
      </w:r>
      <w:r w:rsidRPr="000322E4">
        <w:t>в другую медицинскую организацию по соответствующему профилю оказания медицинской помощи.</w:t>
      </w:r>
    </w:p>
    <w:p w14:paraId="1866F877" w14:textId="77777777" w:rsidR="00EA74D7" w:rsidRPr="000322E4" w:rsidRDefault="00EA74D7" w:rsidP="00F414BF">
      <w:pPr>
        <w:pStyle w:val="afe"/>
        <w:numPr>
          <w:ilvl w:val="0"/>
          <w:numId w:val="38"/>
        </w:numPr>
        <w:tabs>
          <w:tab w:val="left" w:pos="1134"/>
        </w:tabs>
        <w:suppressAutoHyphens/>
        <w:contextualSpacing w:val="0"/>
      </w:pPr>
      <w:r w:rsidRPr="000322E4">
        <w:t>Решение врачебной комиссии об отсутствии показаний к пребыванию пациента в стационаре в связи с бесперспективностью лечения и необходимостью оказания только паллиативной помощи.</w:t>
      </w:r>
    </w:p>
    <w:p w14:paraId="4156B1B7" w14:textId="77777777" w:rsidR="00613DB8" w:rsidRPr="000322E4" w:rsidRDefault="00613DB8" w:rsidP="00CA442F">
      <w:pPr>
        <w:pStyle w:val="1f0"/>
        <w:ind w:left="0" w:firstLine="851"/>
        <w:rPr>
          <w:color w:val="000000"/>
        </w:rPr>
      </w:pPr>
      <w:r w:rsidRPr="000322E4">
        <w:rPr>
          <w:color w:val="000000"/>
        </w:rPr>
        <w:t>Заключение о целесообразности перевода пациента в профильную медицинскую организацию составляется после предварительной консультации по предоставленным медицинским документам и/или предварительного осмотра пациента врачами-специалистами медицинской организации, в которую планируется перевод.</w:t>
      </w:r>
    </w:p>
    <w:p w14:paraId="35EC9412" w14:textId="77777777" w:rsidR="00613DB8" w:rsidRPr="000322E4" w:rsidRDefault="00613DB8" w:rsidP="00CA442F">
      <w:pPr>
        <w:pStyle w:val="1f0"/>
        <w:ind w:left="0" w:firstLine="851"/>
        <w:contextualSpacing/>
      </w:pPr>
    </w:p>
    <w:p w14:paraId="4FF9412B" w14:textId="77777777" w:rsidR="00CB562F" w:rsidRPr="000322E4" w:rsidRDefault="00C4630C" w:rsidP="00F414BF">
      <w:pPr>
        <w:pStyle w:val="afff2"/>
      </w:pPr>
      <w:bookmarkStart w:id="51" w:name="_Toc66096834"/>
      <w:r w:rsidRPr="000322E4">
        <w:t xml:space="preserve">7. </w:t>
      </w:r>
      <w:r w:rsidR="00CB71DA" w:rsidRPr="000322E4">
        <w:t>Дополнительная инфор</w:t>
      </w:r>
      <w:r w:rsidR="009B4039" w:rsidRPr="000322E4">
        <w:t>мация (</w:t>
      </w:r>
      <w:r w:rsidR="00A43CE5" w:rsidRPr="000322E4">
        <w:t>в том числе факторы, влияющие на</w:t>
      </w:r>
      <w:r w:rsidR="00CB71DA" w:rsidRPr="000322E4">
        <w:t xml:space="preserve"> исход заболевания</w:t>
      </w:r>
      <w:bookmarkEnd w:id="49"/>
      <w:r w:rsidR="008371F9" w:rsidRPr="000322E4">
        <w:t xml:space="preserve"> </w:t>
      </w:r>
      <w:r w:rsidR="00A43CE5" w:rsidRPr="000322E4">
        <w:t>или состояния)</w:t>
      </w:r>
      <w:bookmarkEnd w:id="51"/>
    </w:p>
    <w:p w14:paraId="2845E52A" w14:textId="77777777" w:rsidR="002C7010" w:rsidRPr="000322E4" w:rsidRDefault="002C7010" w:rsidP="00F414BF">
      <w:pPr>
        <w:pStyle w:val="2"/>
        <w:spacing w:before="0"/>
      </w:pPr>
      <w:bookmarkStart w:id="52" w:name="_Toc66096835"/>
      <w:bookmarkStart w:id="53" w:name="__RefHeading___doc_criteria"/>
      <w:r w:rsidRPr="000322E4">
        <w:t xml:space="preserve">7.1 </w:t>
      </w:r>
      <w:r w:rsidR="00A26422" w:rsidRPr="000322E4">
        <w:t>Общие требования к морфологической диагностик</w:t>
      </w:r>
      <w:r w:rsidR="000718D1" w:rsidRPr="000322E4">
        <w:t>е</w:t>
      </w:r>
      <w:r w:rsidR="00A26422" w:rsidRPr="000322E4">
        <w:t xml:space="preserve"> лимфом</w:t>
      </w:r>
      <w:bookmarkEnd w:id="52"/>
      <w:r w:rsidRPr="000322E4">
        <w:t xml:space="preserve"> </w:t>
      </w:r>
    </w:p>
    <w:p w14:paraId="1C754E3B" w14:textId="77777777" w:rsidR="00A26422" w:rsidRPr="000322E4" w:rsidRDefault="00A26422" w:rsidP="00F414BF">
      <w:pPr>
        <w:ind w:firstLine="567"/>
        <w:rPr>
          <w:rFonts w:eastAsia="Calibri" w:cstheme="minorHAnsi"/>
          <w:color w:val="000000" w:themeColor="text1"/>
        </w:rPr>
      </w:pPr>
      <w:r w:rsidRPr="000322E4">
        <w:rPr>
          <w:rFonts w:eastAsia="Calibri" w:cstheme="minorHAnsi"/>
        </w:rPr>
        <w:t xml:space="preserve">До биопсии лимфатического узла необходимо выполнить общий анализ крови с подсчетом лейкоцитарной формулы, чтобы </w:t>
      </w:r>
      <w:r w:rsidRPr="000322E4">
        <w:rPr>
          <w:rFonts w:eastAsia="Calibri" w:cstheme="minorHAnsi"/>
          <w:color w:val="000000"/>
        </w:rPr>
        <w:t>исключить выполнение биопсии</w:t>
      </w:r>
      <w:r w:rsidRPr="000322E4">
        <w:rPr>
          <w:rFonts w:eastAsia="Calibri" w:cstheme="minorHAnsi"/>
        </w:rPr>
        <w:t xml:space="preserve"> у </w:t>
      </w:r>
      <w:r w:rsidR="00103620" w:rsidRPr="000322E4">
        <w:rPr>
          <w:rFonts w:eastAsia="Calibri" w:cstheme="minorHAnsi"/>
        </w:rPr>
        <w:t xml:space="preserve">пациентов с </w:t>
      </w:r>
      <w:r w:rsidRPr="000322E4">
        <w:rPr>
          <w:rFonts w:eastAsia="Calibri" w:cstheme="minorHAnsi"/>
        </w:rPr>
        <w:t xml:space="preserve">хроническим лимфолейкозом, моноклональным В-клеточным лимфоцитозом, острыми лейкозами, </w:t>
      </w:r>
      <w:r w:rsidRPr="000322E4">
        <w:rPr>
          <w:rFonts w:eastAsia="Calibri" w:cstheme="minorHAnsi"/>
          <w:color w:val="000000"/>
        </w:rPr>
        <w:t>при лимфоцитозе инфекционной (</w:t>
      </w:r>
      <w:r w:rsidRPr="000322E4">
        <w:rPr>
          <w:rFonts w:eastAsia="Calibri" w:cstheme="minorHAnsi"/>
          <w:color w:val="000000"/>
          <w:lang w:val="en-US"/>
        </w:rPr>
        <w:t>HIV</w:t>
      </w:r>
      <w:r w:rsidRPr="000322E4">
        <w:rPr>
          <w:rFonts w:eastAsia="Calibri" w:cstheme="minorHAnsi"/>
          <w:color w:val="000000"/>
        </w:rPr>
        <w:t xml:space="preserve">, </w:t>
      </w:r>
      <w:r w:rsidRPr="000322E4">
        <w:rPr>
          <w:rFonts w:eastAsia="Calibri" w:cstheme="minorHAnsi"/>
          <w:color w:val="000000"/>
          <w:lang w:val="en-US"/>
        </w:rPr>
        <w:t>EBV</w:t>
      </w:r>
      <w:r w:rsidRPr="000322E4">
        <w:rPr>
          <w:rFonts w:eastAsia="Calibri" w:cstheme="minorHAnsi"/>
          <w:color w:val="000000"/>
        </w:rPr>
        <w:t xml:space="preserve">, </w:t>
      </w:r>
      <w:r w:rsidRPr="000322E4">
        <w:rPr>
          <w:rFonts w:eastAsia="Calibri" w:cstheme="minorHAnsi"/>
          <w:color w:val="000000"/>
          <w:lang w:val="en-US"/>
        </w:rPr>
        <w:t>CMV</w:t>
      </w:r>
      <w:r w:rsidRPr="000322E4">
        <w:rPr>
          <w:rFonts w:eastAsia="Calibri" w:cstheme="minorHAnsi"/>
          <w:color w:val="000000"/>
        </w:rPr>
        <w:t xml:space="preserve">-инфекции, коклюш, </w:t>
      </w:r>
      <w:r w:rsidRPr="000322E4">
        <w:rPr>
          <w:rFonts w:eastAsia="Calibri" w:cstheme="minorHAnsi"/>
          <w:color w:val="000000"/>
        </w:rPr>
        <w:lastRenderedPageBreak/>
        <w:t xml:space="preserve">вирусные гепатиты, токсоплазмоз и др.) или другой этиологии (поствакцинальный, </w:t>
      </w:r>
      <w:r w:rsidRPr="000322E4">
        <w:rPr>
          <w:rFonts w:eastAsia="Calibri" w:cstheme="minorHAnsi"/>
          <w:color w:val="000000" w:themeColor="text1"/>
        </w:rPr>
        <w:t xml:space="preserve">лекарственная реакция, курение, тимома, «стрессорный» лимфоцитоз). </w:t>
      </w:r>
    </w:p>
    <w:p w14:paraId="5B46FC55" w14:textId="77777777" w:rsidR="00A26422" w:rsidRPr="000322E4" w:rsidRDefault="00A26422" w:rsidP="00F414BF">
      <w:pPr>
        <w:ind w:firstLine="567"/>
        <w:rPr>
          <w:rFonts w:eastAsia="Calibri" w:cstheme="minorHAnsi"/>
        </w:rPr>
      </w:pPr>
      <w:r w:rsidRPr="000322E4">
        <w:rPr>
          <w:rFonts w:eastAsia="Calibri" w:cstheme="minorHAnsi"/>
          <w:color w:val="000000" w:themeColor="text1"/>
        </w:rPr>
        <w:t xml:space="preserve">Диагноз </w:t>
      </w:r>
      <w:r w:rsidR="00EA74D7" w:rsidRPr="000322E4">
        <w:rPr>
          <w:rFonts w:eastAsia="Calibri" w:cstheme="minorHAnsi"/>
          <w:color w:val="000000" w:themeColor="text1"/>
        </w:rPr>
        <w:t>ДВКЛ</w:t>
      </w:r>
      <w:r w:rsidRPr="000322E4">
        <w:rPr>
          <w:rFonts w:eastAsia="Calibri" w:cstheme="minorHAnsi"/>
          <w:color w:val="000000" w:themeColor="text1"/>
        </w:rPr>
        <w:t xml:space="preserve"> устанавливают на основании </w:t>
      </w:r>
      <w:r w:rsidR="00791E66" w:rsidRPr="000322E4">
        <w:rPr>
          <w:rFonts w:eastAsia="Calibri" w:cstheme="minorHAnsi"/>
          <w:color w:val="000000" w:themeColor="text1"/>
        </w:rPr>
        <w:t xml:space="preserve">патолого-анатомического исследования с применением </w:t>
      </w:r>
      <w:r w:rsidRPr="000322E4">
        <w:rPr>
          <w:rFonts w:eastAsia="Calibri" w:cstheme="minorHAnsi"/>
          <w:color w:val="000000" w:themeColor="text1"/>
        </w:rPr>
        <w:t>иммуногистохимическ</w:t>
      </w:r>
      <w:r w:rsidR="00791E66" w:rsidRPr="000322E4">
        <w:rPr>
          <w:rFonts w:eastAsia="Calibri" w:cstheme="minorHAnsi"/>
          <w:color w:val="000000" w:themeColor="text1"/>
        </w:rPr>
        <w:t>их</w:t>
      </w:r>
      <w:r w:rsidRPr="000322E4">
        <w:rPr>
          <w:rFonts w:eastAsia="Calibri" w:cstheme="minorHAnsi"/>
          <w:color w:val="000000" w:themeColor="text1"/>
        </w:rPr>
        <w:t xml:space="preserve"> </w:t>
      </w:r>
      <w:r w:rsidR="00791E66" w:rsidRPr="000322E4">
        <w:rPr>
          <w:rFonts w:eastAsia="Calibri" w:cstheme="minorHAnsi"/>
          <w:color w:val="000000" w:themeColor="text1"/>
        </w:rPr>
        <w:t>методов</w:t>
      </w:r>
      <w:r w:rsidRPr="000322E4">
        <w:rPr>
          <w:rFonts w:eastAsia="Calibri" w:cstheme="minorHAnsi"/>
          <w:color w:val="000000" w:themeColor="text1"/>
        </w:rPr>
        <w:t xml:space="preserve"> биопсийного </w:t>
      </w:r>
      <w:r w:rsidRPr="000322E4">
        <w:rPr>
          <w:rFonts w:eastAsia="Calibri" w:cstheme="minorHAnsi"/>
        </w:rPr>
        <w:t xml:space="preserve">или операционного материала. В части случаев необходимо проведение молекулярно-биологических и генетических тестов. Цитологическое исследование пунктатов или мазков-отпечатков лимфатических узлов или других опухолевых очагов является дополнительным методом исследования и не может служить достаточным основанием для диагноза лимфомы и ее нозологической верификации. </w:t>
      </w:r>
    </w:p>
    <w:p w14:paraId="4D4B2CFC" w14:textId="77777777" w:rsidR="00A26422" w:rsidRPr="000322E4" w:rsidRDefault="00A26422" w:rsidP="00F414BF">
      <w:pPr>
        <w:ind w:firstLine="567"/>
        <w:rPr>
          <w:rFonts w:eastAsia="Calibri" w:cstheme="minorHAnsi"/>
        </w:rPr>
      </w:pPr>
      <w:r w:rsidRPr="000322E4">
        <w:rPr>
          <w:rFonts w:eastAsia="Calibri" w:cstheme="minorHAnsi"/>
        </w:rPr>
        <w:t xml:space="preserve">При первичном обследовании пациента во всех случаях проводится гистологическое и иммуногистохимическое исследование материала инцизионной или эксцизионной биопсии патологического очага или операционного материала при обязательном предоставлении врачу-патологоанатому выписки из амбулаторной карты/истории болезни пациента. Пунктировать лимфатические узлы для аспирации клеточной взвеси не следует. В исключительных случаях (локализация опухоли в труднодоступных анатомических зонах, тяжесть состояния пациента) при обосновании невозможности выполнения эксцизионной биопсии (отраженном в медицинской документации), объектом исследования может быть тканевой материал, полученный с помощью пистолетной («кор»-) биопсии. Пригодным для исследования является биоптат диаметром не менее 16 </w:t>
      </w:r>
      <w:r w:rsidRPr="000322E4">
        <w:rPr>
          <w:rFonts w:eastAsia="Calibri" w:cstheme="minorHAnsi"/>
          <w:lang w:val="en-US"/>
        </w:rPr>
        <w:t>G</w:t>
      </w:r>
      <w:r w:rsidRPr="000322E4">
        <w:rPr>
          <w:rFonts w:eastAsia="Calibri" w:cstheme="minorHAnsi"/>
        </w:rPr>
        <w:t xml:space="preserve">, при длине опухолевого инфильтрата в ткани не менее 1,5 см. Объем иммуногистохимического исследования определяет врач-патологоанатом при гистологическом изучении материала. Разделение материала между различными лабораториями категорически недопустимо. Протокол </w:t>
      </w:r>
      <w:r w:rsidR="00791E66" w:rsidRPr="000322E4">
        <w:rPr>
          <w:rFonts w:eastAsia="Calibri" w:cstheme="minorHAnsi"/>
        </w:rPr>
        <w:t>атолого-анатомического исследования биопсийного (операционного) материала</w:t>
      </w:r>
      <w:r w:rsidRPr="000322E4">
        <w:rPr>
          <w:rFonts w:eastAsia="Calibri" w:cstheme="minorHAnsi"/>
        </w:rPr>
        <w:t xml:space="preserve"> должен содержать:</w:t>
      </w:r>
    </w:p>
    <w:p w14:paraId="58098CCC" w14:textId="77777777" w:rsidR="00A26422" w:rsidRPr="000322E4" w:rsidRDefault="00A26422" w:rsidP="00F414BF">
      <w:pPr>
        <w:pStyle w:val="afe"/>
        <w:numPr>
          <w:ilvl w:val="0"/>
          <w:numId w:val="30"/>
        </w:numPr>
        <w:rPr>
          <w:rFonts w:eastAsia="Calibri" w:cstheme="minorHAnsi"/>
        </w:rPr>
      </w:pPr>
      <w:r w:rsidRPr="000322E4">
        <w:rPr>
          <w:rFonts w:eastAsia="Calibri" w:cstheme="minorHAnsi"/>
        </w:rPr>
        <w:t>Макроскопическое описание материала, присланного для исследования; при исследовании готовых блоков и микропрепаратов в протоколе должны быть указаны количество и идентификационные номера всех присланных объектов.</w:t>
      </w:r>
    </w:p>
    <w:p w14:paraId="016B525E" w14:textId="77777777" w:rsidR="004B7BA3" w:rsidRPr="000322E4" w:rsidRDefault="00A26422" w:rsidP="00F414BF">
      <w:pPr>
        <w:pStyle w:val="afe"/>
        <w:numPr>
          <w:ilvl w:val="0"/>
          <w:numId w:val="30"/>
        </w:numPr>
        <w:rPr>
          <w:rFonts w:eastAsia="Calibri" w:cstheme="minorHAnsi"/>
        </w:rPr>
      </w:pPr>
      <w:r w:rsidRPr="000322E4">
        <w:rPr>
          <w:rFonts w:eastAsia="Calibri" w:cstheme="minorHAnsi"/>
        </w:rPr>
        <w:t>Гистологическое описание лимфомы с указанием типа роста (диффузный, нодулярный и т. п.), характеристики клеточного состава (мелкие, крупные клетки, полиморфный состав, анапластическая, бластная/бластоидная морфология, наличие многоядерных форм, характеристика ядер), наличия реактивных и резидуальных компонентов.</w:t>
      </w:r>
      <w:r w:rsidR="004B7BA3" w:rsidRPr="000322E4">
        <w:rPr>
          <w:rFonts w:eastAsia="Calibri" w:cstheme="minorHAnsi"/>
        </w:rPr>
        <w:t xml:space="preserve"> </w:t>
      </w:r>
    </w:p>
    <w:p w14:paraId="0D4394FA" w14:textId="77777777" w:rsidR="004B7BA3" w:rsidRPr="000322E4" w:rsidRDefault="004B7BA3" w:rsidP="00F414BF">
      <w:pPr>
        <w:pStyle w:val="afe"/>
        <w:numPr>
          <w:ilvl w:val="0"/>
          <w:numId w:val="30"/>
        </w:numPr>
        <w:rPr>
          <w:rFonts w:eastAsia="Calibri" w:cstheme="minorHAnsi"/>
        </w:rPr>
      </w:pPr>
      <w:r w:rsidRPr="000322E4">
        <w:rPr>
          <w:rFonts w:eastAsia="Calibri" w:cstheme="minorHAnsi"/>
        </w:rPr>
        <w:t xml:space="preserve">Результаты иммуногистохимического исследования с указанием использованных антител и подробностей окрашивания, указывающих на специфический характер реакции (например, окрашивание ядер в реакциях с антителами к TdT, </w:t>
      </w:r>
      <w:r w:rsidRPr="000322E4">
        <w:rPr>
          <w:rFonts w:eastAsia="Calibri" w:cstheme="minorHAnsi"/>
          <w:lang w:val="en-US"/>
        </w:rPr>
        <w:t>BCL</w:t>
      </w:r>
      <w:r w:rsidRPr="000322E4">
        <w:rPr>
          <w:rFonts w:eastAsia="Calibri" w:cstheme="minorHAnsi"/>
        </w:rPr>
        <w:t xml:space="preserve">-6, Cyclin </w:t>
      </w:r>
      <w:r w:rsidRPr="000322E4">
        <w:rPr>
          <w:rFonts w:eastAsia="Calibri" w:cstheme="minorHAnsi"/>
        </w:rPr>
        <w:lastRenderedPageBreak/>
        <w:t>D1; цитоплазмы</w:t>
      </w:r>
      <w:r w:rsidRPr="000322E4">
        <w:rPr>
          <w:rFonts w:eastAsia="Calibri" w:cstheme="minorHAnsi"/>
          <w:color w:val="FF0000"/>
        </w:rPr>
        <w:t xml:space="preserve"> </w:t>
      </w:r>
      <w:r w:rsidRPr="000322E4">
        <w:rPr>
          <w:rFonts w:eastAsia="Calibri" w:cstheme="minorHAnsi"/>
        </w:rPr>
        <w:t>–</w:t>
      </w:r>
      <w:r w:rsidRPr="000322E4">
        <w:rPr>
          <w:rFonts w:eastAsia="Calibri" w:cstheme="minorHAnsi"/>
          <w:color w:val="FF0000"/>
        </w:rPr>
        <w:t xml:space="preserve"> </w:t>
      </w:r>
      <w:r w:rsidRPr="000322E4">
        <w:rPr>
          <w:rFonts w:eastAsia="Calibri" w:cstheme="minorHAnsi"/>
        </w:rPr>
        <w:t>в</w:t>
      </w:r>
      <w:r w:rsidRPr="000322E4">
        <w:rPr>
          <w:rFonts w:eastAsia="Calibri" w:cstheme="minorHAnsi"/>
          <w:color w:val="FF0000"/>
        </w:rPr>
        <w:t xml:space="preserve"> </w:t>
      </w:r>
      <w:r w:rsidRPr="000322E4">
        <w:rPr>
          <w:rFonts w:eastAsia="Calibri" w:cstheme="minorHAnsi"/>
        </w:rPr>
        <w:t>реакциях на CD79a; гранулярная цитоплазматическая реакция - цитотоксические молекулы; окрашивание цитоплазмы или мембраны - в реакциях с антителами к CD3, тяжелым или легким цепям иммуноглобулинов; мембраны – в реакциях на CD20, CD10), интенсивность, особенности иммуногистоархитектоники. Представление результатов иммуногистохимических тестов только в виде «крестов» («плюсов») и перечня антител недопустимо.</w:t>
      </w:r>
    </w:p>
    <w:p w14:paraId="74B6F078" w14:textId="77777777" w:rsidR="00A26422" w:rsidRPr="000322E4" w:rsidRDefault="00791E66" w:rsidP="00F414BF">
      <w:pPr>
        <w:pStyle w:val="afe"/>
        <w:numPr>
          <w:ilvl w:val="0"/>
          <w:numId w:val="30"/>
        </w:numPr>
        <w:rPr>
          <w:rFonts w:eastAsia="Calibri" w:cstheme="minorHAnsi"/>
        </w:rPr>
      </w:pPr>
      <w:r w:rsidRPr="000322E4">
        <w:rPr>
          <w:rFonts w:eastAsia="Calibri" w:cstheme="minorHAnsi"/>
        </w:rPr>
        <w:t>Заключение</w:t>
      </w:r>
      <w:r w:rsidR="00A26422" w:rsidRPr="000322E4">
        <w:rPr>
          <w:rFonts w:eastAsia="Calibri" w:cstheme="minorHAnsi"/>
        </w:rPr>
        <w:t>, сформулированное в соответствии с действующей редакцией классификации опухолей гемопоэтической и лимфоидной тканей (ВОЗ, 2017 г.).</w:t>
      </w:r>
    </w:p>
    <w:p w14:paraId="29341309" w14:textId="77777777" w:rsidR="00A26422" w:rsidRPr="000322E4" w:rsidRDefault="00A26422" w:rsidP="00F414BF">
      <w:pPr>
        <w:ind w:firstLine="567"/>
        <w:rPr>
          <w:rFonts w:eastAsia="Calibri" w:cstheme="minorHAnsi"/>
        </w:rPr>
      </w:pPr>
      <w:r w:rsidRPr="000322E4">
        <w:rPr>
          <w:rFonts w:eastAsia="Calibri" w:cstheme="minorHAnsi"/>
        </w:rPr>
        <w:t xml:space="preserve">Обязательным компонентом определения распространенности опухолевого процесса (стадии) является гистологическое исследование трепанобиоптата костного мозга. В процессе первичного обследования рекомендуется выполнять биопсию билатерально. </w:t>
      </w:r>
    </w:p>
    <w:p w14:paraId="4DCAFDA3" w14:textId="77777777" w:rsidR="00A26422" w:rsidRPr="000322E4" w:rsidRDefault="003B604F" w:rsidP="00F414BF">
      <w:pPr>
        <w:ind w:firstLine="567"/>
        <w:rPr>
          <w:rFonts w:eastAsia="Calibri" w:cstheme="minorHAnsi"/>
          <w:strike/>
          <w:color w:val="000000" w:themeColor="text1"/>
        </w:rPr>
      </w:pPr>
      <w:r w:rsidRPr="000322E4">
        <w:rPr>
          <w:rFonts w:eastAsia="Calibri" w:cstheme="minorHAnsi"/>
        </w:rPr>
        <w:t xml:space="preserve">Цитологическое </w:t>
      </w:r>
      <w:r w:rsidR="00A26422" w:rsidRPr="000322E4">
        <w:rPr>
          <w:rFonts w:eastAsia="Calibri" w:cstheme="minorHAnsi"/>
        </w:rPr>
        <w:t xml:space="preserve">исследование пунктата костного мозга (стернального или др.) </w:t>
      </w:r>
      <w:r w:rsidR="00A26422" w:rsidRPr="000322E4">
        <w:rPr>
          <w:rFonts w:eastAsia="Calibri" w:cstheme="minorHAnsi"/>
          <w:color w:val="000000" w:themeColor="text1"/>
        </w:rPr>
        <w:t>не заменяет</w:t>
      </w:r>
      <w:r w:rsidRPr="000322E4">
        <w:rPr>
          <w:rFonts w:eastAsia="Calibri" w:cstheme="minorHAnsi"/>
          <w:color w:val="000000" w:themeColor="text1"/>
        </w:rPr>
        <w:t xml:space="preserve"> патолого-анатомическое </w:t>
      </w:r>
      <w:r w:rsidR="00A26422" w:rsidRPr="000322E4">
        <w:rPr>
          <w:rFonts w:eastAsia="Calibri" w:cstheme="minorHAnsi"/>
          <w:color w:val="000000" w:themeColor="text1"/>
        </w:rPr>
        <w:t xml:space="preserve">исследование трепанобиоптата. </w:t>
      </w:r>
    </w:p>
    <w:p w14:paraId="7F7126FC" w14:textId="77777777" w:rsidR="00A26422" w:rsidRPr="000322E4" w:rsidRDefault="00A26422" w:rsidP="00F414BF">
      <w:pPr>
        <w:ind w:firstLine="567"/>
        <w:rPr>
          <w:rFonts w:eastAsia="Calibri" w:cstheme="minorHAnsi"/>
        </w:rPr>
      </w:pPr>
      <w:r w:rsidRPr="000322E4">
        <w:rPr>
          <w:rFonts w:eastAsia="Calibri" w:cstheme="minorHAnsi"/>
          <w:color w:val="000000" w:themeColor="text1"/>
        </w:rPr>
        <w:t xml:space="preserve">При наличии в общем анализе крови или миелограмме лимфоцитоза, независимо от числа лейкоцитов, а также при преобладании лимфоидных клеточных элементов, </w:t>
      </w:r>
      <w:r w:rsidRPr="000322E4">
        <w:rPr>
          <w:rFonts w:eastAsia="Calibri" w:cstheme="minorHAnsi"/>
        </w:rPr>
        <w:t>атипичных лимфоцитов или клеток с бластной морфологией в плевральной, асцитической или других биологических жидкостях необходимо выполнить иммунофенотипирование методом проточной цитометрии. Проточная цитометрия позволяет быстро провести дифференциальную диагностику опухолевого и реактивного лимфоцитоза, что важно для определения дальнейшей тактики обследования пациента. Материалом для анализа методом проточной цитометрии могут служить клетки крови, костного мозга, выпотных жидкостей, бронхоальвеолярного смыва, ликвора, гомогенизированные образцы тканей (селезенка, лимфатические узлы и т. д.), клеточная суспензия, полученная при аспирационной тонкоигольной пункции лимфатических узлов.</w:t>
      </w:r>
    </w:p>
    <w:p w14:paraId="32F18A68" w14:textId="77777777" w:rsidR="00A26422" w:rsidRPr="000322E4" w:rsidRDefault="00A26422" w:rsidP="00F414BF">
      <w:pPr>
        <w:ind w:firstLine="567"/>
        <w:rPr>
          <w:rFonts w:eastAsia="Calibri" w:cstheme="minorHAnsi"/>
        </w:rPr>
      </w:pPr>
      <w:r w:rsidRPr="000322E4">
        <w:rPr>
          <w:rFonts w:eastAsia="Calibri" w:cstheme="minorHAnsi"/>
        </w:rPr>
        <w:t>При определении стадии опухолевого процесса может потребоваться биопсия других очагов поражения, если нельзя исключить их опухолевую</w:t>
      </w:r>
      <w:r w:rsidRPr="000322E4">
        <w:rPr>
          <w:rFonts w:eastAsia="Calibri" w:cstheme="minorHAnsi"/>
          <w:color w:val="1F497D"/>
        </w:rPr>
        <w:t xml:space="preserve"> </w:t>
      </w:r>
      <w:r w:rsidRPr="000322E4">
        <w:rPr>
          <w:rFonts w:eastAsia="Calibri" w:cstheme="minorHAnsi"/>
        </w:rPr>
        <w:t>природу другими способами.</w:t>
      </w:r>
    </w:p>
    <w:p w14:paraId="7757912B" w14:textId="77777777" w:rsidR="00A26422" w:rsidRPr="000322E4" w:rsidRDefault="00A26422" w:rsidP="00F414BF">
      <w:pPr>
        <w:ind w:firstLine="567"/>
        <w:rPr>
          <w:rFonts w:eastAsia="Calibri" w:cstheme="minorHAnsi"/>
        </w:rPr>
      </w:pPr>
      <w:r w:rsidRPr="000322E4">
        <w:rPr>
          <w:rFonts w:eastAsia="Calibri" w:cstheme="minorHAnsi"/>
        </w:rPr>
        <w:t xml:space="preserve">При рецидиве или прогрессировании заболевания обязательно выполнение повторной биопсии и </w:t>
      </w:r>
      <w:r w:rsidR="00791E66" w:rsidRPr="000322E4">
        <w:t xml:space="preserve">патолого-анатомического </w:t>
      </w:r>
      <w:r w:rsidRPr="000322E4">
        <w:rPr>
          <w:rFonts w:eastAsia="Calibri" w:cstheme="minorHAnsi"/>
        </w:rPr>
        <w:t>исследования пораженных лимфатических узлов или экстранодальных очагов. Повторная биопсия также показана при наличии резидуальных очагов для подтверждения ремиссии. Проведение повторной биопсии патологического очага является обязательным при первично-резистентном течении или рецидиве заболевания в целях подтверждения диагноза или верификации опухолевой трансформации, а также исключения второй опухоли, инфекционного процесса.</w:t>
      </w:r>
    </w:p>
    <w:p w14:paraId="75691335" w14:textId="77777777" w:rsidR="00A26422" w:rsidRPr="000322E4" w:rsidRDefault="00A26422" w:rsidP="00F414BF">
      <w:pPr>
        <w:ind w:firstLine="567"/>
        <w:rPr>
          <w:rFonts w:eastAsia="Calibri" w:cstheme="minorHAnsi"/>
        </w:rPr>
      </w:pPr>
      <w:r w:rsidRPr="000322E4">
        <w:rPr>
          <w:rFonts w:eastAsia="Calibri" w:cstheme="minorHAnsi"/>
        </w:rPr>
        <w:t xml:space="preserve">Повторная аспирация и трепанобиопсия костного мозга выполняются для плановой оценки результатов лечения и при появлении клинически немотивированных цитопении и </w:t>
      </w:r>
      <w:r w:rsidRPr="000322E4">
        <w:rPr>
          <w:rFonts w:eastAsia="Calibri" w:cstheme="minorHAnsi"/>
        </w:rPr>
        <w:lastRenderedPageBreak/>
        <w:t xml:space="preserve">лихорадки. Аспират костного мозга может быть информативен для оценки регенерации и диспластических изменений миелопоэза. У </w:t>
      </w:r>
      <w:r w:rsidR="00103620" w:rsidRPr="000322E4">
        <w:rPr>
          <w:rFonts w:eastAsia="Calibri" w:cstheme="minorHAnsi"/>
        </w:rPr>
        <w:t xml:space="preserve">пациентов </w:t>
      </w:r>
      <w:r w:rsidRPr="000322E4">
        <w:rPr>
          <w:rFonts w:eastAsia="Calibri" w:cstheme="minorHAnsi"/>
        </w:rPr>
        <w:t xml:space="preserve">с поражением костного мозга цитологическое исследование пунктата для оценки изменений объема опухолевой инфильтрации не всегда информативно. </w:t>
      </w:r>
    </w:p>
    <w:p w14:paraId="2CD2EC5E" w14:textId="77777777" w:rsidR="002902DF" w:rsidRDefault="002902DF" w:rsidP="00F414BF">
      <w:pPr>
        <w:pStyle w:val="2"/>
        <w:spacing w:before="0"/>
      </w:pPr>
    </w:p>
    <w:p w14:paraId="5B12CA5E" w14:textId="08C947C4" w:rsidR="00A26422" w:rsidRPr="000322E4" w:rsidRDefault="00A26422" w:rsidP="00F414BF">
      <w:pPr>
        <w:pStyle w:val="2"/>
        <w:spacing w:before="0"/>
      </w:pPr>
      <w:bookmarkStart w:id="54" w:name="_Toc66096836"/>
      <w:r w:rsidRPr="000322E4">
        <w:t>7.</w:t>
      </w:r>
      <w:r w:rsidR="0064071E" w:rsidRPr="000322E4">
        <w:t>2</w:t>
      </w:r>
      <w:r w:rsidRPr="000322E4">
        <w:t xml:space="preserve"> Морфологическая и иммуногистохимическая диагностика </w:t>
      </w:r>
      <w:r w:rsidR="009B70C4" w:rsidRPr="000322E4">
        <w:t>агрессивных нефолликулярных В-клеточных лимфом</w:t>
      </w:r>
      <w:bookmarkEnd w:id="54"/>
    </w:p>
    <w:p w14:paraId="7AEA6A90" w14:textId="77777777" w:rsidR="009673D9" w:rsidRPr="000322E4" w:rsidRDefault="009673D9" w:rsidP="00F414BF">
      <w:pPr>
        <w:ind w:firstLine="567"/>
        <w:rPr>
          <w:rFonts w:cstheme="minorHAnsi"/>
        </w:rPr>
      </w:pPr>
      <w:r w:rsidRPr="000322E4">
        <w:rPr>
          <w:rFonts w:cstheme="minorHAnsi"/>
        </w:rPr>
        <w:t xml:space="preserve">Морфологический субстрат диффузной В-клеточной крупноклеточной лимфомы (ДВКЛ) представлен центробластами, иммунобластами, клетками с многодольчатыми ядрами, клетками с полиморфными/анаплазированными ядрами в различных количественных соотношениях, что определяет морфологический вариант опухоли: центробластный, иммунобластный (&gt;90% опухолевых клеток с морфологией иммунобластов), анапластический. </w:t>
      </w:r>
    </w:p>
    <w:p w14:paraId="0E06FE2B" w14:textId="77777777" w:rsidR="009673D9" w:rsidRPr="000322E4" w:rsidRDefault="009673D9" w:rsidP="00F414BF">
      <w:pPr>
        <w:ind w:firstLine="567"/>
        <w:rPr>
          <w:rFonts w:cstheme="minorHAnsi"/>
        </w:rPr>
      </w:pPr>
      <w:r w:rsidRPr="000322E4">
        <w:rPr>
          <w:rFonts w:cstheme="minorHAnsi"/>
        </w:rPr>
        <w:t xml:space="preserve">Иммунофенотип опухоли характеризуется экспрессией пан-В-клеточных антигенов </w:t>
      </w:r>
      <w:r w:rsidRPr="000322E4">
        <w:rPr>
          <w:rFonts w:cstheme="minorHAnsi"/>
          <w:lang w:val="en-US"/>
        </w:rPr>
        <w:t>CD</w:t>
      </w:r>
      <w:r w:rsidRPr="000322E4">
        <w:rPr>
          <w:rFonts w:cstheme="minorHAnsi"/>
        </w:rPr>
        <w:t xml:space="preserve">20, </w:t>
      </w:r>
      <w:r w:rsidRPr="000322E4">
        <w:rPr>
          <w:rFonts w:cstheme="minorHAnsi"/>
          <w:lang w:val="en-US"/>
        </w:rPr>
        <w:t>CD</w:t>
      </w:r>
      <w:r w:rsidRPr="000322E4">
        <w:rPr>
          <w:rFonts w:cstheme="minorHAnsi"/>
        </w:rPr>
        <w:t xml:space="preserve">19, </w:t>
      </w:r>
      <w:r w:rsidRPr="000322E4">
        <w:rPr>
          <w:rFonts w:cstheme="minorHAnsi"/>
          <w:lang w:val="en-US"/>
        </w:rPr>
        <w:t>CD</w:t>
      </w:r>
      <w:r w:rsidRPr="000322E4">
        <w:rPr>
          <w:rFonts w:cstheme="minorHAnsi"/>
        </w:rPr>
        <w:t>79</w:t>
      </w:r>
      <w:r w:rsidRPr="000322E4">
        <w:rPr>
          <w:rFonts w:cstheme="minorHAnsi"/>
          <w:lang w:val="en-US"/>
        </w:rPr>
        <w:t>a</w:t>
      </w:r>
      <w:r w:rsidRPr="000322E4">
        <w:rPr>
          <w:rFonts w:cstheme="minorHAnsi"/>
        </w:rPr>
        <w:t xml:space="preserve">, </w:t>
      </w:r>
      <w:r w:rsidRPr="000322E4">
        <w:rPr>
          <w:rFonts w:cstheme="minorHAnsi"/>
          <w:lang w:val="en-US"/>
        </w:rPr>
        <w:t>PAX</w:t>
      </w:r>
      <w:r w:rsidRPr="000322E4">
        <w:rPr>
          <w:rFonts w:cstheme="minorHAnsi"/>
        </w:rPr>
        <w:t xml:space="preserve">-5 (мономорфная интенсивная ядерная экспрессия), </w:t>
      </w:r>
      <w:r w:rsidRPr="000322E4">
        <w:rPr>
          <w:rFonts w:cstheme="minorHAnsi"/>
          <w:lang w:val="en-US"/>
        </w:rPr>
        <w:t>CD</w:t>
      </w:r>
      <w:r w:rsidRPr="000322E4">
        <w:rPr>
          <w:rFonts w:cstheme="minorHAnsi"/>
        </w:rPr>
        <w:t xml:space="preserve">45 и отсутствием экспрессии </w:t>
      </w:r>
      <w:r w:rsidRPr="000322E4">
        <w:rPr>
          <w:rFonts w:cstheme="minorHAnsi"/>
          <w:lang w:val="en-US"/>
        </w:rPr>
        <w:t>CD</w:t>
      </w:r>
      <w:r w:rsidRPr="000322E4">
        <w:rPr>
          <w:rFonts w:cstheme="minorHAnsi"/>
        </w:rPr>
        <w:t xml:space="preserve">3. </w:t>
      </w:r>
      <w:r w:rsidRPr="000322E4">
        <w:rPr>
          <w:rFonts w:cstheme="minorHAnsi"/>
          <w:lang w:val="en-US"/>
        </w:rPr>
        <w:t>CD</w:t>
      </w:r>
      <w:r w:rsidRPr="000322E4">
        <w:rPr>
          <w:rFonts w:cstheme="minorHAnsi"/>
        </w:rPr>
        <w:t xml:space="preserve">30 (мембранная +/- </w:t>
      </w:r>
      <w:r w:rsidRPr="000322E4">
        <w:rPr>
          <w:rFonts w:cstheme="minorHAnsi"/>
          <w:lang w:val="en-US"/>
        </w:rPr>
        <w:t>dot</w:t>
      </w:r>
      <w:r w:rsidRPr="000322E4">
        <w:rPr>
          <w:rFonts w:cstheme="minorHAnsi"/>
        </w:rPr>
        <w:t>-</w:t>
      </w:r>
      <w:r w:rsidRPr="000322E4">
        <w:rPr>
          <w:rFonts w:cstheme="minorHAnsi"/>
          <w:lang w:val="en-US"/>
        </w:rPr>
        <w:t>like</w:t>
      </w:r>
      <w:r w:rsidRPr="000322E4">
        <w:rPr>
          <w:rFonts w:cstheme="minorHAnsi"/>
        </w:rPr>
        <w:t xml:space="preserve"> реакция) может быть экспрессирован частью опухолевых клеток. </w:t>
      </w:r>
      <w:r w:rsidRPr="000322E4">
        <w:rPr>
          <w:rFonts w:cstheme="minorHAnsi"/>
          <w:lang w:val="en-US"/>
        </w:rPr>
        <w:t>CD</w:t>
      </w:r>
      <w:r w:rsidRPr="000322E4">
        <w:rPr>
          <w:rFonts w:cstheme="minorHAnsi"/>
        </w:rPr>
        <w:t xml:space="preserve">5-позитивная ДВКЛ встречается примерно в 10% наблюдений. В этих случаях необходимо иммуногистохимическое исследование с антителами к </w:t>
      </w:r>
      <w:r w:rsidRPr="000322E4">
        <w:rPr>
          <w:rFonts w:cstheme="minorHAnsi"/>
          <w:lang w:val="en-US"/>
        </w:rPr>
        <w:t>Cyclin</w:t>
      </w:r>
      <w:r w:rsidRPr="000322E4">
        <w:rPr>
          <w:rFonts w:cstheme="minorHAnsi"/>
        </w:rPr>
        <w:t xml:space="preserve"> </w:t>
      </w:r>
      <w:r w:rsidRPr="000322E4">
        <w:rPr>
          <w:rFonts w:cstheme="minorHAnsi"/>
          <w:lang w:val="en-US"/>
        </w:rPr>
        <w:t>D</w:t>
      </w:r>
      <w:r w:rsidRPr="000322E4">
        <w:rPr>
          <w:rFonts w:cstheme="minorHAnsi"/>
        </w:rPr>
        <w:t xml:space="preserve">1 для исключения полиморфноклеточного/бластоидного варианта лимфомы из клеток мантии. Вместе с тем, до 20% ДВКЛ могут экспрессировать </w:t>
      </w:r>
      <w:r w:rsidRPr="000322E4">
        <w:rPr>
          <w:rFonts w:cstheme="minorHAnsi"/>
          <w:lang w:val="en-US"/>
        </w:rPr>
        <w:t>Cyclin</w:t>
      </w:r>
      <w:r w:rsidRPr="000322E4">
        <w:rPr>
          <w:rFonts w:cstheme="minorHAnsi"/>
        </w:rPr>
        <w:t xml:space="preserve"> </w:t>
      </w:r>
      <w:r w:rsidRPr="000322E4">
        <w:rPr>
          <w:rFonts w:cstheme="minorHAnsi"/>
          <w:lang w:val="en-US"/>
        </w:rPr>
        <w:t>D</w:t>
      </w:r>
      <w:r w:rsidRPr="000322E4">
        <w:rPr>
          <w:rFonts w:cstheme="minorHAnsi"/>
        </w:rPr>
        <w:t xml:space="preserve">1 (часть опухолевых клеток, слабая по интенсивности ядерная реакция). </w:t>
      </w:r>
    </w:p>
    <w:p w14:paraId="3D5161CE" w14:textId="77777777" w:rsidR="009673D9" w:rsidRPr="000322E4" w:rsidRDefault="009673D9" w:rsidP="00F414BF">
      <w:pPr>
        <w:ind w:firstLine="567"/>
        <w:rPr>
          <w:rFonts w:cstheme="minorHAnsi"/>
        </w:rPr>
      </w:pPr>
      <w:r w:rsidRPr="000322E4">
        <w:rPr>
          <w:rFonts w:cstheme="minorHAnsi"/>
        </w:rPr>
        <w:t xml:space="preserve">ДВКЛ, как правило, характеризуется высокой митотической и пролиферативной активностью. Индекс пролиферации (по </w:t>
      </w:r>
      <w:r w:rsidRPr="000322E4">
        <w:rPr>
          <w:rFonts w:cstheme="minorHAnsi"/>
          <w:lang w:val="en-US"/>
        </w:rPr>
        <w:t>Ki</w:t>
      </w:r>
      <w:r w:rsidRPr="000322E4">
        <w:rPr>
          <w:rFonts w:cstheme="minorHAnsi"/>
        </w:rPr>
        <w:t xml:space="preserve">-67) колеблется в широком диапазоне от 40% до 90%, в отдельных наблюдениях превышает 90%. </w:t>
      </w:r>
    </w:p>
    <w:p w14:paraId="7621FFCA" w14:textId="77777777" w:rsidR="009673D9" w:rsidRPr="000322E4" w:rsidRDefault="009673D9" w:rsidP="00F414BF">
      <w:pPr>
        <w:ind w:firstLine="567"/>
        <w:rPr>
          <w:rFonts w:cstheme="minorHAnsi"/>
        </w:rPr>
      </w:pPr>
      <w:r w:rsidRPr="000322E4">
        <w:rPr>
          <w:rFonts w:cstheme="minorHAnsi"/>
        </w:rPr>
        <w:t xml:space="preserve">Изучение профиля экспрессии генов позволяет идентифицировать молекулярные подтипы ДВКЛ, что может иметь прогностическое значение: благоприятным признается GCB (герминоклеточный) подтип, неблагоприятным – АВС подтип (из активированных В-клеток). С помощью иммуногистохимического алгоритма с использованием суррогатных маркеров CD10, ВCL-6, MUM.1 (алгоритм </w:t>
      </w:r>
      <w:r w:rsidRPr="000322E4">
        <w:rPr>
          <w:rFonts w:cstheme="minorHAnsi"/>
          <w:lang w:val="en-US"/>
        </w:rPr>
        <w:t>Hans</w:t>
      </w:r>
      <w:r w:rsidRPr="000322E4">
        <w:rPr>
          <w:rFonts w:cstheme="minorHAnsi"/>
        </w:rPr>
        <w:t xml:space="preserve">, 2004; рис. 7.2.1) или </w:t>
      </w:r>
      <w:r w:rsidRPr="000322E4">
        <w:rPr>
          <w:rFonts w:cstheme="minorHAnsi"/>
          <w:lang w:val="en-US"/>
        </w:rPr>
        <w:t>CD</w:t>
      </w:r>
      <w:r w:rsidRPr="000322E4">
        <w:rPr>
          <w:rFonts w:cstheme="minorHAnsi"/>
        </w:rPr>
        <w:t xml:space="preserve">10, </w:t>
      </w:r>
      <w:r w:rsidRPr="000322E4">
        <w:rPr>
          <w:rFonts w:cstheme="minorHAnsi"/>
          <w:lang w:val="en-US"/>
        </w:rPr>
        <w:t>BCL</w:t>
      </w:r>
      <w:r w:rsidRPr="000322E4">
        <w:rPr>
          <w:rFonts w:cstheme="minorHAnsi"/>
        </w:rPr>
        <w:t xml:space="preserve">-6, </w:t>
      </w:r>
      <w:r w:rsidRPr="000322E4">
        <w:rPr>
          <w:rFonts w:cstheme="minorHAnsi"/>
          <w:lang w:val="en-US"/>
        </w:rPr>
        <w:t>FOXP</w:t>
      </w:r>
      <w:r w:rsidRPr="000322E4">
        <w:rPr>
          <w:rFonts w:cstheme="minorHAnsi"/>
        </w:rPr>
        <w:t xml:space="preserve">1 (алгоритм </w:t>
      </w:r>
      <w:r w:rsidRPr="000322E4">
        <w:rPr>
          <w:rFonts w:cstheme="minorHAnsi"/>
          <w:lang w:val="en-US"/>
        </w:rPr>
        <w:t>Visco</w:t>
      </w:r>
      <w:r w:rsidRPr="000322E4">
        <w:rPr>
          <w:rFonts w:cstheme="minorHAnsi"/>
        </w:rPr>
        <w:t>-</w:t>
      </w:r>
      <w:r w:rsidRPr="000322E4">
        <w:rPr>
          <w:rFonts w:cstheme="minorHAnsi"/>
          <w:lang w:val="en-US"/>
        </w:rPr>
        <w:t>Young</w:t>
      </w:r>
      <w:r w:rsidRPr="000322E4">
        <w:rPr>
          <w:rFonts w:cstheme="minorHAnsi"/>
        </w:rPr>
        <w:t>, 2012; рис. 7.2.2) могут быть выделены</w:t>
      </w:r>
      <w:r w:rsidRPr="000322E4">
        <w:rPr>
          <w:rFonts w:cstheme="minorHAnsi"/>
          <w:color w:val="FF0000"/>
        </w:rPr>
        <w:t xml:space="preserve"> </w:t>
      </w:r>
      <w:r w:rsidRPr="000322E4">
        <w:rPr>
          <w:rFonts w:cstheme="minorHAnsi"/>
        </w:rPr>
        <w:t xml:space="preserve">иммуногистохимические подгруппы ДВКЛ (GCB и non-GCB типы), коррелирующие с профилем экспрессии генов. </w:t>
      </w:r>
    </w:p>
    <w:p w14:paraId="115ECE10" w14:textId="77777777" w:rsidR="009673D9" w:rsidRPr="000322E4" w:rsidRDefault="009673D9" w:rsidP="00F414BF">
      <w:pPr>
        <w:ind w:firstLine="567"/>
        <w:rPr>
          <w:rFonts w:cstheme="minorHAnsi"/>
        </w:rPr>
      </w:pPr>
    </w:p>
    <w:p w14:paraId="7D140204" w14:textId="77777777" w:rsidR="009673D9" w:rsidRPr="000322E4" w:rsidRDefault="009673D9" w:rsidP="00F414BF">
      <w:pPr>
        <w:ind w:firstLine="567"/>
        <w:rPr>
          <w:rFonts w:cstheme="minorHAnsi"/>
        </w:rPr>
      </w:pPr>
      <w:r w:rsidRPr="000322E4">
        <w:rPr>
          <w:rFonts w:cstheme="minorHAnsi"/>
        </w:rPr>
        <w:t>Рисунок 7.2.1</w:t>
      </w:r>
    </w:p>
    <w:p w14:paraId="039E5B3A" w14:textId="77777777" w:rsidR="009673D9" w:rsidRPr="000322E4" w:rsidRDefault="009673D9" w:rsidP="00F414BF">
      <w:pPr>
        <w:ind w:firstLine="567"/>
        <w:rPr>
          <w:rFonts w:cstheme="minorHAnsi"/>
          <w:lang w:val="en-US"/>
        </w:rPr>
      </w:pPr>
      <w:r w:rsidRPr="000322E4">
        <w:rPr>
          <w:rFonts w:cstheme="minorHAnsi"/>
        </w:rPr>
        <w:t xml:space="preserve">Диагностический алгоритм </w:t>
      </w:r>
      <w:r w:rsidRPr="000322E4">
        <w:rPr>
          <w:rFonts w:cstheme="minorHAnsi"/>
          <w:lang w:val="en-US"/>
        </w:rPr>
        <w:t>Hans</w:t>
      </w:r>
      <w:r w:rsidRPr="000322E4">
        <w:rPr>
          <w:rFonts w:cstheme="minorHAnsi"/>
        </w:rPr>
        <w:t>,</w:t>
      </w:r>
      <w:r w:rsidRPr="000322E4">
        <w:rPr>
          <w:rFonts w:cstheme="minorHAnsi"/>
          <w:lang w:val="en-US"/>
        </w:rPr>
        <w:t xml:space="preserve"> 2004</w:t>
      </w:r>
    </w:p>
    <w:p w14:paraId="6D1E78A4" w14:textId="77777777" w:rsidR="009673D9" w:rsidRPr="000322E4" w:rsidRDefault="009673D9" w:rsidP="00F414BF">
      <w:pPr>
        <w:ind w:firstLine="567"/>
        <w:rPr>
          <w:rFonts w:cstheme="minorHAnsi"/>
        </w:rPr>
      </w:pPr>
    </w:p>
    <w:p w14:paraId="45070ABD" w14:textId="77777777" w:rsidR="009673D9" w:rsidRPr="000322E4" w:rsidRDefault="009673D9" w:rsidP="00F414BF">
      <w:pPr>
        <w:ind w:firstLine="567"/>
        <w:rPr>
          <w:rFonts w:cstheme="minorHAnsi"/>
        </w:rPr>
      </w:pPr>
      <w:r w:rsidRPr="000322E4">
        <w:rPr>
          <w:rFonts w:cstheme="minorHAnsi"/>
          <w:noProof/>
        </w:rPr>
        <w:lastRenderedPageBreak/>
        <w:drawing>
          <wp:inline distT="0" distB="0" distL="0" distR="0" wp14:anchorId="5D94FAE4" wp14:editId="3769DCF6">
            <wp:extent cx="3985260" cy="1249680"/>
            <wp:effectExtent l="0" t="0" r="0" b="7620"/>
            <wp:docPr id="24" name="Рисунок 24" descr="Изображение выглядит как объект,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3985260" cy="1249680"/>
                    </a:xfrm>
                    <a:prstGeom prst="rect">
                      <a:avLst/>
                    </a:prstGeom>
                  </pic:spPr>
                </pic:pic>
              </a:graphicData>
            </a:graphic>
          </wp:inline>
        </w:drawing>
      </w:r>
    </w:p>
    <w:p w14:paraId="3A33C283" w14:textId="77777777" w:rsidR="009673D9" w:rsidRPr="000322E4" w:rsidRDefault="009673D9" w:rsidP="00F414BF">
      <w:pPr>
        <w:ind w:firstLine="567"/>
        <w:rPr>
          <w:rFonts w:cstheme="minorHAnsi"/>
          <w:lang w:val="en-US"/>
        </w:rPr>
      </w:pPr>
    </w:p>
    <w:p w14:paraId="6EB9EADD" w14:textId="77777777" w:rsidR="009673D9" w:rsidRPr="000322E4" w:rsidRDefault="009673D9" w:rsidP="00F414BF">
      <w:pPr>
        <w:ind w:firstLine="567"/>
        <w:rPr>
          <w:rFonts w:cstheme="minorHAnsi"/>
        </w:rPr>
      </w:pPr>
    </w:p>
    <w:p w14:paraId="6D7400DE" w14:textId="77777777" w:rsidR="009673D9" w:rsidRPr="000322E4" w:rsidRDefault="009673D9" w:rsidP="00F414BF">
      <w:pPr>
        <w:ind w:firstLine="567"/>
        <w:rPr>
          <w:rFonts w:cstheme="minorHAnsi"/>
        </w:rPr>
      </w:pPr>
      <w:r w:rsidRPr="000322E4">
        <w:rPr>
          <w:rFonts w:cstheme="minorHAnsi"/>
        </w:rPr>
        <w:t>Рисунок 7.2.2</w:t>
      </w:r>
    </w:p>
    <w:p w14:paraId="165223BC" w14:textId="77777777" w:rsidR="009673D9" w:rsidRPr="000322E4" w:rsidRDefault="009673D9" w:rsidP="00F414BF">
      <w:pPr>
        <w:ind w:firstLine="567"/>
        <w:rPr>
          <w:rFonts w:cstheme="minorHAnsi"/>
        </w:rPr>
      </w:pPr>
      <w:r w:rsidRPr="000322E4">
        <w:rPr>
          <w:rFonts w:cstheme="minorHAnsi"/>
        </w:rPr>
        <w:t xml:space="preserve">Диагностический алгоритм </w:t>
      </w:r>
      <w:r w:rsidRPr="000322E4">
        <w:rPr>
          <w:rFonts w:cstheme="minorHAnsi"/>
          <w:lang w:val="en-US"/>
        </w:rPr>
        <w:t>Visco</w:t>
      </w:r>
      <w:r w:rsidRPr="000322E4">
        <w:rPr>
          <w:rFonts w:cstheme="minorHAnsi"/>
        </w:rPr>
        <w:t>-</w:t>
      </w:r>
      <w:r w:rsidRPr="000322E4">
        <w:rPr>
          <w:rFonts w:cstheme="minorHAnsi"/>
          <w:lang w:val="en-US"/>
        </w:rPr>
        <w:t>Young</w:t>
      </w:r>
      <w:r w:rsidRPr="000322E4">
        <w:rPr>
          <w:rFonts w:cstheme="minorHAnsi"/>
        </w:rPr>
        <w:t>, 2012</w:t>
      </w:r>
    </w:p>
    <w:p w14:paraId="6831AA1A" w14:textId="77777777" w:rsidR="009673D9" w:rsidRPr="000322E4" w:rsidRDefault="009673D9" w:rsidP="00F414BF">
      <w:pPr>
        <w:ind w:firstLine="567"/>
        <w:rPr>
          <w:rFonts w:cstheme="minorHAnsi"/>
          <w:lang w:val="en-US"/>
        </w:rPr>
      </w:pPr>
      <w:r w:rsidRPr="000322E4">
        <w:rPr>
          <w:rFonts w:cstheme="minorHAnsi"/>
          <w:noProof/>
        </w:rPr>
        <w:drawing>
          <wp:inline distT="0" distB="0" distL="0" distR="0" wp14:anchorId="734EA4ED" wp14:editId="2B1A16F4">
            <wp:extent cx="4084320" cy="1577340"/>
            <wp:effectExtent l="0" t="0" r="0" b="3810"/>
            <wp:docPr id="38" name="Рисунок 38" descr="Изображение выглядит как объект,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4084320" cy="1577340"/>
                    </a:xfrm>
                    <a:prstGeom prst="rect">
                      <a:avLst/>
                    </a:prstGeom>
                  </pic:spPr>
                </pic:pic>
              </a:graphicData>
            </a:graphic>
          </wp:inline>
        </w:drawing>
      </w:r>
    </w:p>
    <w:p w14:paraId="54579A3C" w14:textId="77777777" w:rsidR="009673D9" w:rsidRPr="000322E4" w:rsidRDefault="009673D9" w:rsidP="00F414BF">
      <w:pPr>
        <w:ind w:firstLine="567"/>
        <w:rPr>
          <w:rFonts w:cstheme="minorHAnsi"/>
        </w:rPr>
      </w:pPr>
    </w:p>
    <w:p w14:paraId="3FC4D420" w14:textId="77777777" w:rsidR="009673D9" w:rsidRPr="000322E4" w:rsidRDefault="009673D9" w:rsidP="00F414BF">
      <w:pPr>
        <w:ind w:firstLine="567"/>
        <w:rPr>
          <w:rFonts w:cstheme="minorHAnsi"/>
        </w:rPr>
      </w:pPr>
      <w:r w:rsidRPr="000322E4">
        <w:rPr>
          <w:rFonts w:cstheme="minorHAnsi"/>
        </w:rPr>
        <w:t xml:space="preserve">Для выявления случаев ДВКЛ с неблагоприятным прогнозом, требующих интенсификации терапии, классификация ВОЗ рекомендует исследовать наличие/отсутствие коэкспрессии </w:t>
      </w:r>
      <w:r w:rsidRPr="000322E4">
        <w:rPr>
          <w:rFonts w:cstheme="minorHAnsi"/>
          <w:lang w:val="en-US"/>
        </w:rPr>
        <w:t>c</w:t>
      </w:r>
      <w:r w:rsidRPr="000322E4">
        <w:rPr>
          <w:rFonts w:cstheme="minorHAnsi"/>
        </w:rPr>
        <w:t>-</w:t>
      </w:r>
      <w:r w:rsidRPr="000322E4">
        <w:rPr>
          <w:rFonts w:cstheme="minorHAnsi"/>
          <w:lang w:val="en-US"/>
        </w:rPr>
        <w:t>Myc</w:t>
      </w:r>
      <w:r w:rsidRPr="000322E4">
        <w:rPr>
          <w:rFonts w:cstheme="minorHAnsi"/>
        </w:rPr>
        <w:t xml:space="preserve"> (учитывается при окрашивании более 40% клеток) и </w:t>
      </w:r>
      <w:r w:rsidRPr="000322E4">
        <w:rPr>
          <w:rFonts w:cstheme="minorHAnsi"/>
          <w:lang w:val="en-US"/>
        </w:rPr>
        <w:t>BCL</w:t>
      </w:r>
      <w:r w:rsidRPr="000322E4">
        <w:rPr>
          <w:rFonts w:cstheme="minorHAnsi"/>
        </w:rPr>
        <w:t>-2 (более 50% клеток).</w:t>
      </w:r>
    </w:p>
    <w:p w14:paraId="7D0AB1C7" w14:textId="77777777" w:rsidR="009673D9" w:rsidRPr="000322E4" w:rsidRDefault="009673D9" w:rsidP="00F414BF">
      <w:pPr>
        <w:ind w:firstLine="567"/>
        <w:rPr>
          <w:rFonts w:cstheme="minorHAnsi"/>
        </w:rPr>
      </w:pPr>
      <w:r w:rsidRPr="000322E4">
        <w:rPr>
          <w:rFonts w:cstheme="minorHAnsi"/>
        </w:rPr>
        <w:t xml:space="preserve">В диагностический алгоритм целесообразно включить определение перестройки гена </w:t>
      </w:r>
      <w:r w:rsidRPr="000322E4">
        <w:rPr>
          <w:rFonts w:cstheme="minorHAnsi"/>
          <w:i/>
        </w:rPr>
        <w:t>MYC</w:t>
      </w:r>
      <w:r w:rsidRPr="000322E4">
        <w:rPr>
          <w:rFonts w:cstheme="minorHAnsi"/>
        </w:rPr>
        <w:t xml:space="preserve"> - ДВКЛ с реаранжировкой </w:t>
      </w:r>
      <w:r w:rsidRPr="000322E4">
        <w:rPr>
          <w:rFonts w:cstheme="minorHAnsi"/>
          <w:i/>
          <w:lang w:val="en-US"/>
        </w:rPr>
        <w:t>MYC</w:t>
      </w:r>
      <w:r w:rsidRPr="000322E4">
        <w:rPr>
          <w:rFonts w:cstheme="minorHAnsi"/>
        </w:rPr>
        <w:t xml:space="preserve"> встречается в около 10% случаев. </w:t>
      </w:r>
    </w:p>
    <w:p w14:paraId="1E531D8D" w14:textId="77777777" w:rsidR="009673D9" w:rsidRPr="000322E4" w:rsidRDefault="009673D9" w:rsidP="00F414BF">
      <w:pPr>
        <w:ind w:firstLine="567"/>
        <w:rPr>
          <w:rFonts w:cstheme="minorHAnsi"/>
        </w:rPr>
      </w:pPr>
      <w:r w:rsidRPr="000322E4">
        <w:rPr>
          <w:rFonts w:cstheme="minorHAnsi"/>
        </w:rPr>
        <w:t xml:space="preserve">Если ткань опухоли, имеющая структуру ДВКЛ, содержит очаги некроза, участки ангиоцентрического роста, крупные одно-, двуядерные клетки с крупными ядрышками, напоминающие клетки Ходжкина и Рид-Штернберга, признаки плазмоцитоидной дифференцировки, необходимо включить в спектр дифференциальной диагностики </w:t>
      </w:r>
      <w:r w:rsidRPr="000322E4">
        <w:rPr>
          <w:rFonts w:cstheme="minorHAnsi"/>
          <w:lang w:val="en-US"/>
        </w:rPr>
        <w:t>EBV</w:t>
      </w:r>
      <w:r w:rsidRPr="000322E4">
        <w:rPr>
          <w:rFonts w:cstheme="minorHAnsi"/>
        </w:rPr>
        <w:t xml:space="preserve">-позитивную ДВКЛ. Рекомендуется использовать панель маркеров: </w:t>
      </w:r>
      <w:r w:rsidRPr="000322E4">
        <w:rPr>
          <w:rFonts w:cstheme="minorHAnsi"/>
          <w:lang w:val="en-US"/>
        </w:rPr>
        <w:t>CD</w:t>
      </w:r>
      <w:r w:rsidRPr="000322E4">
        <w:rPr>
          <w:rFonts w:cstheme="minorHAnsi"/>
        </w:rPr>
        <w:t xml:space="preserve">20, </w:t>
      </w:r>
      <w:r w:rsidRPr="000322E4">
        <w:rPr>
          <w:rFonts w:cstheme="minorHAnsi"/>
          <w:lang w:val="en-US"/>
        </w:rPr>
        <w:t>CD</w:t>
      </w:r>
      <w:r w:rsidRPr="000322E4">
        <w:rPr>
          <w:rFonts w:cstheme="minorHAnsi"/>
        </w:rPr>
        <w:t xml:space="preserve">30, </w:t>
      </w:r>
      <w:r w:rsidRPr="000322E4">
        <w:rPr>
          <w:rFonts w:cstheme="minorHAnsi"/>
          <w:lang w:val="en-US"/>
        </w:rPr>
        <w:t>EBV</w:t>
      </w:r>
      <w:r w:rsidRPr="000322E4">
        <w:rPr>
          <w:rFonts w:cstheme="minorHAnsi"/>
        </w:rPr>
        <w:t>-</w:t>
      </w:r>
      <w:r w:rsidRPr="000322E4">
        <w:rPr>
          <w:rFonts w:cstheme="minorHAnsi"/>
          <w:lang w:val="en-US"/>
        </w:rPr>
        <w:t>LMP</w:t>
      </w:r>
      <w:r w:rsidRPr="000322E4">
        <w:rPr>
          <w:rFonts w:cstheme="minorHAnsi"/>
        </w:rPr>
        <w:t xml:space="preserve">, однако диагностика этой лимфомы часто невозможна без выявления малых РНК вируса Эпштейна-Барр - </w:t>
      </w:r>
      <w:r w:rsidRPr="000322E4">
        <w:rPr>
          <w:rFonts w:cstheme="minorHAnsi"/>
          <w:lang w:val="en-US"/>
        </w:rPr>
        <w:t>EBER</w:t>
      </w:r>
      <w:r w:rsidRPr="000322E4">
        <w:rPr>
          <w:rFonts w:cstheme="minorHAnsi"/>
        </w:rPr>
        <w:t xml:space="preserve"> (методом гибридизации </w:t>
      </w:r>
      <w:r w:rsidRPr="000322E4">
        <w:rPr>
          <w:rFonts w:cstheme="minorHAnsi"/>
          <w:lang w:val="en-US"/>
        </w:rPr>
        <w:t>in</w:t>
      </w:r>
      <w:r w:rsidRPr="000322E4">
        <w:rPr>
          <w:rFonts w:cstheme="minorHAnsi"/>
        </w:rPr>
        <w:t xml:space="preserve"> </w:t>
      </w:r>
      <w:r w:rsidRPr="000322E4">
        <w:rPr>
          <w:rFonts w:cstheme="minorHAnsi"/>
          <w:lang w:val="en-US"/>
        </w:rPr>
        <w:t>situ</w:t>
      </w:r>
      <w:r w:rsidRPr="000322E4">
        <w:rPr>
          <w:rFonts w:cstheme="minorHAnsi"/>
        </w:rPr>
        <w:t xml:space="preserve">). При </w:t>
      </w:r>
      <w:r w:rsidRPr="000322E4">
        <w:rPr>
          <w:rFonts w:cstheme="minorHAnsi"/>
          <w:lang w:val="en-US"/>
        </w:rPr>
        <w:t>EBV</w:t>
      </w:r>
      <w:r w:rsidRPr="000322E4">
        <w:rPr>
          <w:rFonts w:cstheme="minorHAnsi"/>
        </w:rPr>
        <w:t xml:space="preserve">+ ДВКЛ практически все крупные опухолевые клетки (&gt;90%) мономорфно экспрессируют </w:t>
      </w:r>
      <w:r w:rsidRPr="000322E4">
        <w:rPr>
          <w:rFonts w:cstheme="minorHAnsi"/>
          <w:lang w:val="en-US"/>
        </w:rPr>
        <w:t>EBER</w:t>
      </w:r>
      <w:r w:rsidRPr="000322E4">
        <w:rPr>
          <w:rFonts w:cstheme="minorHAnsi"/>
        </w:rPr>
        <w:t xml:space="preserve"> (</w:t>
      </w:r>
      <w:r w:rsidRPr="000322E4">
        <w:rPr>
          <w:rFonts w:cstheme="minorHAnsi"/>
          <w:lang w:val="en-US"/>
        </w:rPr>
        <w:t>ISH</w:t>
      </w:r>
      <w:r w:rsidRPr="000322E4">
        <w:rPr>
          <w:rFonts w:cstheme="minorHAnsi"/>
        </w:rPr>
        <w:t>).</w:t>
      </w:r>
    </w:p>
    <w:p w14:paraId="75A1603E" w14:textId="77777777" w:rsidR="009673D9" w:rsidRPr="000322E4" w:rsidRDefault="009673D9" w:rsidP="00F414BF">
      <w:pPr>
        <w:ind w:firstLine="567"/>
        <w:rPr>
          <w:rFonts w:cstheme="minorHAnsi"/>
        </w:rPr>
      </w:pPr>
      <w:r w:rsidRPr="000322E4">
        <w:rPr>
          <w:rFonts w:cstheme="minorHAnsi"/>
        </w:rPr>
        <w:t>В целом, в спектре ДВКЛ (по классификации ВОЗ 2017 г.) опухолевый пролиферат с морфологией центробластов и/или иммунобластов может соответствовать по крайней мере 13 нозологическим формам лимфом:</w:t>
      </w:r>
    </w:p>
    <w:p w14:paraId="4AF6294D" w14:textId="77777777" w:rsidR="009673D9" w:rsidRPr="000322E4" w:rsidRDefault="009673D9" w:rsidP="00F414BF">
      <w:pPr>
        <w:pStyle w:val="afe"/>
        <w:numPr>
          <w:ilvl w:val="0"/>
          <w:numId w:val="31"/>
        </w:numPr>
        <w:rPr>
          <w:rFonts w:cstheme="minorHAnsi"/>
        </w:rPr>
      </w:pPr>
      <w:r w:rsidRPr="000322E4">
        <w:rPr>
          <w:rFonts w:cstheme="minorHAnsi"/>
        </w:rPr>
        <w:t>ДВКЛ, неуточненная</w:t>
      </w:r>
    </w:p>
    <w:p w14:paraId="609B55B3" w14:textId="77777777" w:rsidR="009673D9" w:rsidRPr="000322E4" w:rsidRDefault="009673D9" w:rsidP="00F414BF">
      <w:pPr>
        <w:pStyle w:val="afe"/>
        <w:numPr>
          <w:ilvl w:val="0"/>
          <w:numId w:val="31"/>
        </w:numPr>
        <w:rPr>
          <w:rFonts w:cstheme="minorHAnsi"/>
        </w:rPr>
      </w:pPr>
      <w:r w:rsidRPr="000322E4">
        <w:rPr>
          <w:rFonts w:cstheme="minorHAnsi"/>
        </w:rPr>
        <w:lastRenderedPageBreak/>
        <w:t>ДВКЛ, богатая Т-клетками и/или гистиоцитами</w:t>
      </w:r>
    </w:p>
    <w:p w14:paraId="42338EFE" w14:textId="77777777" w:rsidR="009673D9" w:rsidRPr="000322E4" w:rsidRDefault="009673D9" w:rsidP="00F414BF">
      <w:pPr>
        <w:pStyle w:val="afe"/>
        <w:numPr>
          <w:ilvl w:val="0"/>
          <w:numId w:val="31"/>
        </w:numPr>
        <w:rPr>
          <w:rFonts w:cstheme="minorHAnsi"/>
        </w:rPr>
      </w:pPr>
      <w:r w:rsidRPr="000322E4">
        <w:rPr>
          <w:rFonts w:cstheme="minorHAnsi"/>
        </w:rPr>
        <w:t xml:space="preserve">Первичная кожная ДВКЛ, </w:t>
      </w:r>
      <w:r w:rsidRPr="000322E4">
        <w:rPr>
          <w:rFonts w:cstheme="minorHAnsi"/>
          <w:lang w:val="en-US"/>
        </w:rPr>
        <w:t>leg</w:t>
      </w:r>
      <w:r w:rsidRPr="000322E4">
        <w:rPr>
          <w:rFonts w:cstheme="minorHAnsi"/>
        </w:rPr>
        <w:t xml:space="preserve"> </w:t>
      </w:r>
      <w:r w:rsidRPr="000322E4">
        <w:rPr>
          <w:rFonts w:cstheme="minorHAnsi"/>
          <w:lang w:val="en-US"/>
        </w:rPr>
        <w:t>type</w:t>
      </w:r>
    </w:p>
    <w:p w14:paraId="4F016D61" w14:textId="77777777" w:rsidR="009673D9" w:rsidRPr="000322E4" w:rsidRDefault="009673D9" w:rsidP="00F414BF">
      <w:pPr>
        <w:pStyle w:val="afe"/>
        <w:numPr>
          <w:ilvl w:val="0"/>
          <w:numId w:val="31"/>
        </w:numPr>
        <w:rPr>
          <w:rFonts w:cstheme="minorHAnsi"/>
        </w:rPr>
      </w:pPr>
      <w:r w:rsidRPr="000322E4">
        <w:rPr>
          <w:rFonts w:cstheme="minorHAnsi"/>
        </w:rPr>
        <w:t>Первичная ДВКЛ ЦНС</w:t>
      </w:r>
    </w:p>
    <w:p w14:paraId="04CE0A8B" w14:textId="77777777" w:rsidR="009673D9" w:rsidRPr="000322E4" w:rsidRDefault="009673D9" w:rsidP="00F414BF">
      <w:pPr>
        <w:pStyle w:val="afe"/>
        <w:numPr>
          <w:ilvl w:val="0"/>
          <w:numId w:val="31"/>
        </w:numPr>
        <w:rPr>
          <w:rFonts w:cstheme="minorHAnsi"/>
        </w:rPr>
      </w:pPr>
      <w:r w:rsidRPr="000322E4">
        <w:rPr>
          <w:rFonts w:cstheme="minorHAnsi"/>
        </w:rPr>
        <w:t>Фибрин-ассоциированная ДВКЛ</w:t>
      </w:r>
    </w:p>
    <w:p w14:paraId="6F7723FA" w14:textId="77777777" w:rsidR="009673D9" w:rsidRPr="000322E4" w:rsidRDefault="009673D9" w:rsidP="00F414BF">
      <w:pPr>
        <w:pStyle w:val="afe"/>
        <w:numPr>
          <w:ilvl w:val="0"/>
          <w:numId w:val="31"/>
        </w:numPr>
        <w:rPr>
          <w:rFonts w:cstheme="minorHAnsi"/>
        </w:rPr>
      </w:pPr>
      <w:r w:rsidRPr="000322E4">
        <w:rPr>
          <w:rFonts w:cstheme="minorHAnsi"/>
        </w:rPr>
        <w:t>ДВКЛ, ассоциированная с хроническим воспалением</w:t>
      </w:r>
    </w:p>
    <w:p w14:paraId="48AC117A" w14:textId="77777777" w:rsidR="009673D9" w:rsidRPr="000322E4" w:rsidRDefault="009673D9" w:rsidP="00F414BF">
      <w:pPr>
        <w:pStyle w:val="afe"/>
        <w:numPr>
          <w:ilvl w:val="0"/>
          <w:numId w:val="31"/>
        </w:numPr>
        <w:rPr>
          <w:rFonts w:cstheme="minorHAnsi"/>
        </w:rPr>
      </w:pPr>
      <w:r w:rsidRPr="000322E4">
        <w:rPr>
          <w:rFonts w:cstheme="minorHAnsi"/>
        </w:rPr>
        <w:t xml:space="preserve">ДВКЛ, </w:t>
      </w:r>
      <w:r w:rsidRPr="000322E4">
        <w:rPr>
          <w:rFonts w:cstheme="minorHAnsi"/>
          <w:lang w:val="en-US"/>
        </w:rPr>
        <w:t>EBV</w:t>
      </w:r>
      <w:r w:rsidRPr="000322E4">
        <w:rPr>
          <w:rFonts w:cstheme="minorHAnsi"/>
        </w:rPr>
        <w:t>+, неуточненная</w:t>
      </w:r>
    </w:p>
    <w:p w14:paraId="0C273F47" w14:textId="77777777" w:rsidR="009673D9" w:rsidRPr="000322E4" w:rsidRDefault="009673D9" w:rsidP="00F414BF">
      <w:pPr>
        <w:pStyle w:val="afe"/>
        <w:numPr>
          <w:ilvl w:val="0"/>
          <w:numId w:val="31"/>
        </w:numPr>
        <w:rPr>
          <w:rFonts w:cstheme="minorHAnsi"/>
        </w:rPr>
      </w:pPr>
      <w:r w:rsidRPr="000322E4">
        <w:rPr>
          <w:rFonts w:cstheme="minorHAnsi"/>
        </w:rPr>
        <w:t>Плазмобластная лимфома</w:t>
      </w:r>
    </w:p>
    <w:p w14:paraId="58B344FB" w14:textId="77777777" w:rsidR="009673D9" w:rsidRPr="000322E4" w:rsidRDefault="009673D9" w:rsidP="00F414BF">
      <w:pPr>
        <w:pStyle w:val="afe"/>
        <w:numPr>
          <w:ilvl w:val="0"/>
          <w:numId w:val="31"/>
        </w:numPr>
        <w:rPr>
          <w:rFonts w:cstheme="minorHAnsi"/>
        </w:rPr>
      </w:pPr>
      <w:r w:rsidRPr="000322E4">
        <w:rPr>
          <w:rFonts w:cstheme="minorHAnsi"/>
        </w:rPr>
        <w:t xml:space="preserve">В-клеточная крупноклеточная лимфома, </w:t>
      </w:r>
      <w:r w:rsidRPr="000322E4">
        <w:rPr>
          <w:rFonts w:cstheme="minorHAnsi"/>
          <w:lang w:val="en-US"/>
        </w:rPr>
        <w:t>ALK</w:t>
      </w:r>
      <w:r w:rsidRPr="000322E4">
        <w:rPr>
          <w:rFonts w:cstheme="minorHAnsi"/>
        </w:rPr>
        <w:t>+</w:t>
      </w:r>
    </w:p>
    <w:p w14:paraId="706A483E" w14:textId="77777777" w:rsidR="009673D9" w:rsidRPr="000322E4" w:rsidRDefault="009673D9" w:rsidP="00F414BF">
      <w:pPr>
        <w:pStyle w:val="afe"/>
        <w:numPr>
          <w:ilvl w:val="0"/>
          <w:numId w:val="31"/>
        </w:numPr>
        <w:rPr>
          <w:rFonts w:cstheme="minorHAnsi"/>
        </w:rPr>
      </w:pPr>
      <w:r w:rsidRPr="000322E4">
        <w:rPr>
          <w:rFonts w:cstheme="minorHAnsi"/>
        </w:rPr>
        <w:t>Внутрисосудистая В-клеточная крупноклеточная лимфома</w:t>
      </w:r>
    </w:p>
    <w:p w14:paraId="3862646A" w14:textId="77777777" w:rsidR="009673D9" w:rsidRPr="000322E4" w:rsidRDefault="009673D9" w:rsidP="00F414BF">
      <w:pPr>
        <w:pStyle w:val="afe"/>
        <w:numPr>
          <w:ilvl w:val="0"/>
          <w:numId w:val="31"/>
        </w:numPr>
        <w:rPr>
          <w:rFonts w:cstheme="minorHAnsi"/>
        </w:rPr>
      </w:pPr>
      <w:r w:rsidRPr="000322E4">
        <w:rPr>
          <w:rFonts w:cstheme="minorHAnsi"/>
        </w:rPr>
        <w:t>Первичная медиастинальная (тимическая) В-клеточная крупноклеточная лимфома</w:t>
      </w:r>
    </w:p>
    <w:p w14:paraId="31B313F2" w14:textId="77777777" w:rsidR="009673D9" w:rsidRPr="000322E4" w:rsidRDefault="009673D9" w:rsidP="00F414BF">
      <w:pPr>
        <w:pStyle w:val="afe"/>
        <w:numPr>
          <w:ilvl w:val="0"/>
          <w:numId w:val="31"/>
        </w:numPr>
        <w:rPr>
          <w:rFonts w:cstheme="minorHAnsi"/>
        </w:rPr>
      </w:pPr>
      <w:r w:rsidRPr="000322E4">
        <w:rPr>
          <w:rFonts w:cstheme="minorHAnsi"/>
        </w:rPr>
        <w:t xml:space="preserve">ДВКЛ, </w:t>
      </w:r>
      <w:r w:rsidRPr="000322E4">
        <w:rPr>
          <w:rFonts w:cstheme="minorHAnsi"/>
          <w:lang w:val="en-US"/>
        </w:rPr>
        <w:t>HHV</w:t>
      </w:r>
      <w:r w:rsidRPr="000322E4">
        <w:rPr>
          <w:rFonts w:cstheme="minorHAnsi"/>
        </w:rPr>
        <w:t>+, неуточненная</w:t>
      </w:r>
    </w:p>
    <w:p w14:paraId="3E10F1CC" w14:textId="77777777" w:rsidR="009673D9" w:rsidRPr="000322E4" w:rsidRDefault="009673D9" w:rsidP="00F414BF">
      <w:pPr>
        <w:pStyle w:val="afe"/>
        <w:numPr>
          <w:ilvl w:val="0"/>
          <w:numId w:val="31"/>
        </w:numPr>
        <w:rPr>
          <w:rFonts w:cstheme="minorHAnsi"/>
        </w:rPr>
      </w:pPr>
      <w:r w:rsidRPr="000322E4">
        <w:rPr>
          <w:rFonts w:cstheme="minorHAnsi"/>
        </w:rPr>
        <w:t xml:space="preserve">В-клеточная лимфома высокой степени злокачественности с реаранжировками </w:t>
      </w:r>
      <w:r w:rsidRPr="000322E4">
        <w:rPr>
          <w:rFonts w:cstheme="minorHAnsi"/>
          <w:i/>
          <w:lang w:val="en-US"/>
        </w:rPr>
        <w:t>MYC</w:t>
      </w:r>
      <w:r w:rsidRPr="000322E4">
        <w:rPr>
          <w:rFonts w:cstheme="minorHAnsi"/>
        </w:rPr>
        <w:t xml:space="preserve"> и </w:t>
      </w:r>
      <w:r w:rsidRPr="000322E4">
        <w:rPr>
          <w:rFonts w:cstheme="minorHAnsi"/>
          <w:i/>
          <w:lang w:val="en-US"/>
        </w:rPr>
        <w:t>BCL</w:t>
      </w:r>
      <w:r w:rsidRPr="000322E4">
        <w:rPr>
          <w:rFonts w:cstheme="minorHAnsi"/>
          <w:i/>
        </w:rPr>
        <w:t xml:space="preserve">-2 </w:t>
      </w:r>
      <w:r w:rsidRPr="000322E4">
        <w:rPr>
          <w:rFonts w:cstheme="minorHAnsi"/>
        </w:rPr>
        <w:t xml:space="preserve"> и/или </w:t>
      </w:r>
      <w:r w:rsidRPr="000322E4">
        <w:rPr>
          <w:rFonts w:cstheme="minorHAnsi"/>
          <w:i/>
          <w:lang w:val="en-US"/>
        </w:rPr>
        <w:t>BCL</w:t>
      </w:r>
      <w:r w:rsidRPr="000322E4">
        <w:rPr>
          <w:rFonts w:cstheme="minorHAnsi"/>
          <w:i/>
        </w:rPr>
        <w:t>-6.</w:t>
      </w:r>
    </w:p>
    <w:p w14:paraId="2B18F282" w14:textId="77777777" w:rsidR="009673D9" w:rsidRPr="000322E4" w:rsidRDefault="009673D9" w:rsidP="00F414BF">
      <w:pPr>
        <w:ind w:firstLine="567"/>
        <w:rPr>
          <w:rFonts w:cstheme="minorHAnsi"/>
        </w:rPr>
      </w:pPr>
      <w:r w:rsidRPr="000322E4">
        <w:rPr>
          <w:rFonts w:cstheme="minorHAnsi"/>
        </w:rPr>
        <w:t xml:space="preserve">Нозологическая форма устанавливается с учетом клинико-анамнестических данных, локализации опухолевого поражения, на основе детального морфологического, расширенного ИГХ-исследования, с использованием в ряде случаев молекулярных тестов. </w:t>
      </w:r>
    </w:p>
    <w:p w14:paraId="771C1F11" w14:textId="77777777" w:rsidR="009B70C4" w:rsidRPr="000322E4" w:rsidRDefault="009B70C4" w:rsidP="00F414BF">
      <w:pPr>
        <w:ind w:firstLine="567"/>
        <w:rPr>
          <w:rFonts w:eastAsia="BalticaC" w:cstheme="minorHAnsi"/>
        </w:rPr>
      </w:pPr>
      <w:r w:rsidRPr="000322E4">
        <w:rPr>
          <w:rFonts w:eastAsia="BalticaC" w:cstheme="minorHAnsi"/>
        </w:rPr>
        <w:t xml:space="preserve">Лимфома Беркитта (ЛБ) представляет собой В-клеточную лимфому с диффузным ростом мономорфных клеток среднего размера с округлыми ядрами, высоким ядерно-цитоплазматическим соотношением, выраженными морфологическими признаками апоптоза. Типична картина «звездного неба» (макрофаги с фрагментами апоптозных телец в цитоплазме). </w:t>
      </w:r>
    </w:p>
    <w:p w14:paraId="0CE0D813" w14:textId="77777777" w:rsidR="009B70C4" w:rsidRPr="000322E4" w:rsidRDefault="009B70C4" w:rsidP="00F414BF">
      <w:pPr>
        <w:ind w:firstLine="567"/>
        <w:rPr>
          <w:rFonts w:eastAsia="BalticaC" w:cstheme="minorHAnsi"/>
        </w:rPr>
      </w:pPr>
      <w:r w:rsidRPr="000322E4">
        <w:rPr>
          <w:rFonts w:eastAsia="BalticaC" w:cstheme="minorHAnsi"/>
        </w:rPr>
        <w:t xml:space="preserve">Опухоль имеет иммунофенотип CD20+, CD10+, CD38+, BCL-6+, BCL-2-, CD44-, TdT-, CD3-, </w:t>
      </w:r>
      <w:r w:rsidRPr="000322E4">
        <w:rPr>
          <w:rFonts w:eastAsia="BalticaC" w:cstheme="minorHAnsi"/>
          <w:lang w:val="en-US"/>
        </w:rPr>
        <w:t>EBER</w:t>
      </w:r>
      <w:r w:rsidRPr="000322E4">
        <w:rPr>
          <w:rFonts w:eastAsia="BalticaC" w:cstheme="minorHAnsi"/>
        </w:rPr>
        <w:t xml:space="preserve"> (</w:t>
      </w:r>
      <w:r w:rsidRPr="000322E4">
        <w:rPr>
          <w:rFonts w:eastAsia="BalticaC" w:cstheme="minorHAnsi"/>
          <w:lang w:val="en-US"/>
        </w:rPr>
        <w:t>ISH</w:t>
      </w:r>
      <w:r w:rsidRPr="000322E4">
        <w:rPr>
          <w:rFonts w:eastAsia="BalticaC" w:cstheme="minorHAnsi"/>
        </w:rPr>
        <w:t xml:space="preserve">)-/+. Индекс пролиферативной активности опухолевых клеток (по Ki-67) приближается к 100%. В редких случаях часть опухолевых клеток слабо экспрессирует </w:t>
      </w:r>
      <w:r w:rsidRPr="000322E4">
        <w:rPr>
          <w:rFonts w:eastAsia="BalticaC" w:cstheme="minorHAnsi"/>
          <w:lang w:val="en-US"/>
        </w:rPr>
        <w:t>BCL</w:t>
      </w:r>
      <w:r w:rsidRPr="000322E4">
        <w:rPr>
          <w:rFonts w:eastAsia="BalticaC" w:cstheme="minorHAnsi"/>
        </w:rPr>
        <w:t xml:space="preserve">-2 (цитоплазматическая реакция). Экспрессия </w:t>
      </w:r>
      <w:r w:rsidRPr="000322E4">
        <w:rPr>
          <w:rFonts w:eastAsia="BalticaC" w:cstheme="minorHAnsi"/>
          <w:lang w:val="en-US"/>
        </w:rPr>
        <w:t>MUM</w:t>
      </w:r>
      <w:r w:rsidRPr="000322E4">
        <w:rPr>
          <w:rFonts w:eastAsia="BalticaC" w:cstheme="minorHAnsi"/>
        </w:rPr>
        <w:t xml:space="preserve">.1 (ядерная реакция) часто ассоциирована с наличием инфекции </w:t>
      </w:r>
      <w:r w:rsidRPr="000322E4">
        <w:rPr>
          <w:rFonts w:eastAsia="BalticaC" w:cstheme="minorHAnsi"/>
          <w:lang w:val="en-US"/>
        </w:rPr>
        <w:t>HIV</w:t>
      </w:r>
      <w:r w:rsidRPr="000322E4">
        <w:rPr>
          <w:rFonts w:eastAsia="BalticaC" w:cstheme="minorHAnsi"/>
        </w:rPr>
        <w:t xml:space="preserve"> и </w:t>
      </w:r>
      <w:r w:rsidRPr="000322E4">
        <w:rPr>
          <w:rFonts w:eastAsia="BalticaC" w:cstheme="minorHAnsi"/>
          <w:lang w:val="en-US"/>
        </w:rPr>
        <w:t>EBV</w:t>
      </w:r>
      <w:r w:rsidRPr="000322E4">
        <w:rPr>
          <w:rFonts w:eastAsia="BalticaC" w:cstheme="minorHAnsi"/>
        </w:rPr>
        <w:t>.</w:t>
      </w:r>
    </w:p>
    <w:p w14:paraId="28CDFEFC" w14:textId="77777777" w:rsidR="009B70C4" w:rsidRPr="000322E4" w:rsidRDefault="009B70C4" w:rsidP="00F414BF">
      <w:pPr>
        <w:ind w:firstLine="567"/>
        <w:rPr>
          <w:rFonts w:eastAsia="BalticaC" w:cstheme="minorHAnsi"/>
        </w:rPr>
      </w:pPr>
      <w:r w:rsidRPr="000322E4">
        <w:rPr>
          <w:rFonts w:eastAsia="BalticaC" w:cstheme="minorHAnsi"/>
        </w:rPr>
        <w:t xml:space="preserve">Диагноз ЛБ требует обязательного проведения цитогенетического/FISH исследования для выявления транслокации c-myc/IgH, и исключения реаранжировок генов </w:t>
      </w:r>
      <w:r w:rsidRPr="000322E4">
        <w:rPr>
          <w:rFonts w:eastAsia="BalticaC" w:cstheme="minorHAnsi"/>
          <w:i/>
        </w:rPr>
        <w:t>BCL-2, BCL-6</w:t>
      </w:r>
      <w:r w:rsidRPr="000322E4">
        <w:rPr>
          <w:rFonts w:eastAsia="BalticaC" w:cstheme="minorHAnsi"/>
        </w:rPr>
        <w:t>.</w:t>
      </w:r>
    </w:p>
    <w:p w14:paraId="01BBD83A" w14:textId="77777777" w:rsidR="009B70C4" w:rsidRPr="000322E4" w:rsidRDefault="009B70C4" w:rsidP="00F414BF">
      <w:pPr>
        <w:ind w:firstLine="567"/>
        <w:rPr>
          <w:rFonts w:eastAsia="BalticaC" w:cstheme="minorHAnsi"/>
        </w:rPr>
      </w:pPr>
      <w:r w:rsidRPr="000322E4">
        <w:rPr>
          <w:rFonts w:eastAsia="BalticaC" w:cstheme="minorHAnsi"/>
        </w:rPr>
        <w:t xml:space="preserve">Признаком, свидетельствующим о высокой вероятности реаранжировки гена </w:t>
      </w:r>
      <w:r w:rsidRPr="000322E4">
        <w:rPr>
          <w:rFonts w:eastAsia="BalticaC" w:cstheme="minorHAnsi"/>
          <w:i/>
        </w:rPr>
        <w:t>с-</w:t>
      </w:r>
      <w:r w:rsidRPr="000322E4">
        <w:rPr>
          <w:rFonts w:eastAsia="BalticaC" w:cstheme="minorHAnsi"/>
          <w:i/>
          <w:lang w:val="en-US"/>
        </w:rPr>
        <w:t>MYC</w:t>
      </w:r>
      <w:r w:rsidRPr="000322E4">
        <w:rPr>
          <w:rFonts w:eastAsia="BalticaC" w:cstheme="minorHAnsi"/>
        </w:rPr>
        <w:t xml:space="preserve">, является экспрессия белка </w:t>
      </w:r>
      <w:r w:rsidRPr="000322E4">
        <w:rPr>
          <w:rFonts w:eastAsia="BalticaC" w:cstheme="minorHAnsi"/>
          <w:lang w:val="en-US"/>
        </w:rPr>
        <w:t>c</w:t>
      </w:r>
      <w:r w:rsidRPr="000322E4">
        <w:rPr>
          <w:rFonts w:eastAsia="BalticaC" w:cstheme="minorHAnsi"/>
        </w:rPr>
        <w:t>-</w:t>
      </w:r>
      <w:r w:rsidRPr="000322E4">
        <w:rPr>
          <w:rFonts w:eastAsia="BalticaC" w:cstheme="minorHAnsi"/>
          <w:lang w:val="en-US"/>
        </w:rPr>
        <w:t>MYC</w:t>
      </w:r>
      <w:r w:rsidRPr="000322E4">
        <w:rPr>
          <w:rFonts w:eastAsia="BalticaC" w:cstheme="minorHAnsi"/>
        </w:rPr>
        <w:t xml:space="preserve"> (клон </w:t>
      </w:r>
      <w:r w:rsidRPr="000322E4">
        <w:rPr>
          <w:rFonts w:eastAsia="BalticaC" w:cstheme="minorHAnsi"/>
          <w:lang w:val="en-US"/>
        </w:rPr>
        <w:t>Y</w:t>
      </w:r>
      <w:r w:rsidRPr="000322E4">
        <w:rPr>
          <w:rFonts w:eastAsia="BalticaC" w:cstheme="minorHAnsi"/>
        </w:rPr>
        <w:t>69/</w:t>
      </w:r>
      <w:r w:rsidRPr="000322E4">
        <w:rPr>
          <w:rFonts w:eastAsia="BalticaC" w:cstheme="minorHAnsi"/>
          <w:lang w:val="en-US"/>
        </w:rPr>
        <w:t>EP</w:t>
      </w:r>
      <w:r w:rsidRPr="000322E4">
        <w:rPr>
          <w:rFonts w:eastAsia="BalticaC" w:cstheme="minorHAnsi"/>
        </w:rPr>
        <w:t>121) в 100% опухолевых клеток с интенсивным ядерным окрашиванием.</w:t>
      </w:r>
    </w:p>
    <w:p w14:paraId="1E62D1E9" w14:textId="77777777" w:rsidR="009B70C4" w:rsidRPr="000322E4" w:rsidRDefault="009B70C4" w:rsidP="00F414BF">
      <w:pPr>
        <w:rPr>
          <w:rFonts w:cstheme="minorHAnsi"/>
        </w:rPr>
      </w:pPr>
      <w:r w:rsidRPr="000322E4">
        <w:rPr>
          <w:rFonts w:cstheme="minorHAnsi"/>
        </w:rPr>
        <w:t>В-клеточная лимфома высокой степени злокачественности встречается в виде</w:t>
      </w:r>
    </w:p>
    <w:p w14:paraId="501B8AE6" w14:textId="77777777" w:rsidR="009B70C4" w:rsidRPr="000322E4" w:rsidRDefault="009B70C4" w:rsidP="009F7A84">
      <w:pPr>
        <w:pStyle w:val="afe"/>
        <w:numPr>
          <w:ilvl w:val="0"/>
          <w:numId w:val="56"/>
        </w:numPr>
        <w:rPr>
          <w:rFonts w:cstheme="minorHAnsi"/>
        </w:rPr>
      </w:pPr>
      <w:r w:rsidRPr="000322E4">
        <w:rPr>
          <w:rFonts w:cstheme="minorHAnsi"/>
        </w:rPr>
        <w:t xml:space="preserve">В-клеточной лимфомы высокой степени злокачественности с реаранжировками </w:t>
      </w:r>
      <w:r w:rsidRPr="000322E4">
        <w:rPr>
          <w:rFonts w:cstheme="minorHAnsi"/>
          <w:i/>
          <w:lang w:val="en-US"/>
        </w:rPr>
        <w:t>MYC</w:t>
      </w:r>
      <w:r w:rsidRPr="000322E4">
        <w:rPr>
          <w:rFonts w:cstheme="minorHAnsi"/>
        </w:rPr>
        <w:t xml:space="preserve">, </w:t>
      </w:r>
      <w:r w:rsidRPr="000322E4">
        <w:rPr>
          <w:rFonts w:cstheme="minorHAnsi"/>
          <w:i/>
          <w:lang w:val="en-US"/>
        </w:rPr>
        <w:t>BCL</w:t>
      </w:r>
      <w:r w:rsidRPr="000322E4">
        <w:rPr>
          <w:rFonts w:cstheme="minorHAnsi"/>
          <w:i/>
        </w:rPr>
        <w:t>-2</w:t>
      </w:r>
      <w:r w:rsidRPr="000322E4">
        <w:rPr>
          <w:rFonts w:cstheme="minorHAnsi"/>
        </w:rPr>
        <w:t xml:space="preserve"> и/или </w:t>
      </w:r>
      <w:r w:rsidRPr="000322E4">
        <w:rPr>
          <w:rFonts w:cstheme="minorHAnsi"/>
          <w:i/>
          <w:lang w:val="en-US"/>
        </w:rPr>
        <w:t>BCL</w:t>
      </w:r>
      <w:r w:rsidRPr="000322E4">
        <w:rPr>
          <w:rFonts w:cstheme="minorHAnsi"/>
          <w:i/>
        </w:rPr>
        <w:t xml:space="preserve">-6 </w:t>
      </w:r>
    </w:p>
    <w:p w14:paraId="4BAC6D53" w14:textId="77777777" w:rsidR="009B70C4" w:rsidRPr="000322E4" w:rsidRDefault="009B70C4" w:rsidP="009F7A84">
      <w:pPr>
        <w:pStyle w:val="afe"/>
        <w:numPr>
          <w:ilvl w:val="0"/>
          <w:numId w:val="56"/>
        </w:numPr>
        <w:rPr>
          <w:rFonts w:cstheme="minorHAnsi"/>
        </w:rPr>
      </w:pPr>
      <w:r w:rsidRPr="000322E4">
        <w:rPr>
          <w:rFonts w:cstheme="minorHAnsi"/>
        </w:rPr>
        <w:t xml:space="preserve">В-клеточной лимфомы высокой степени злокачественности, неуточненной </w:t>
      </w:r>
    </w:p>
    <w:p w14:paraId="30EAE5D7" w14:textId="77777777" w:rsidR="009B70C4" w:rsidRPr="000322E4" w:rsidRDefault="009B70C4" w:rsidP="00F414BF">
      <w:pPr>
        <w:rPr>
          <w:rFonts w:cstheme="minorHAnsi"/>
        </w:rPr>
      </w:pPr>
      <w:r w:rsidRPr="000322E4">
        <w:rPr>
          <w:rFonts w:cstheme="minorHAnsi"/>
        </w:rPr>
        <w:lastRenderedPageBreak/>
        <w:t xml:space="preserve">В-клеточная лимфома высокой степени злокачественности в классификации ВОЗ 2017 г. заменила «В-клеточную лимфому, неклассифицируемую, занимающую промежуточное положение между диффузной крупноклеточной В-клеточной лимфомой и лимфомой Беркитта». </w:t>
      </w:r>
    </w:p>
    <w:p w14:paraId="3E803708" w14:textId="77777777" w:rsidR="009B70C4" w:rsidRPr="000322E4" w:rsidRDefault="009B70C4" w:rsidP="00F414BF">
      <w:pPr>
        <w:rPr>
          <w:rFonts w:cstheme="minorHAnsi"/>
          <w:i/>
        </w:rPr>
      </w:pPr>
      <w:r w:rsidRPr="000322E4">
        <w:rPr>
          <w:rFonts w:cstheme="minorHAnsi"/>
        </w:rPr>
        <w:t xml:space="preserve">В отличие от классификации ВОЗ 2008 г., из этой группы исключены фолликулярная лимфома с трансформацией в В-клеточную лимфому высокой степени злокачественности с реаранжировками </w:t>
      </w:r>
      <w:r w:rsidRPr="000322E4">
        <w:rPr>
          <w:rFonts w:cstheme="minorHAnsi"/>
          <w:i/>
          <w:lang w:val="en-US"/>
        </w:rPr>
        <w:t>MYC</w:t>
      </w:r>
      <w:r w:rsidRPr="000322E4">
        <w:rPr>
          <w:rFonts w:cstheme="minorHAnsi"/>
          <w:i/>
        </w:rPr>
        <w:t xml:space="preserve">, </w:t>
      </w:r>
      <w:r w:rsidRPr="000322E4">
        <w:rPr>
          <w:rFonts w:cstheme="minorHAnsi"/>
          <w:i/>
          <w:lang w:val="en-US"/>
        </w:rPr>
        <w:t>BCL</w:t>
      </w:r>
      <w:r w:rsidRPr="000322E4">
        <w:rPr>
          <w:rFonts w:cstheme="minorHAnsi"/>
          <w:i/>
        </w:rPr>
        <w:t>-2</w:t>
      </w:r>
      <w:r w:rsidRPr="000322E4">
        <w:rPr>
          <w:rFonts w:cstheme="minorHAnsi"/>
        </w:rPr>
        <w:t xml:space="preserve">, а также лимфобластная лимфома, </w:t>
      </w:r>
      <w:r w:rsidRPr="000322E4">
        <w:rPr>
          <w:rFonts w:cstheme="minorHAnsi"/>
          <w:lang w:val="en-US"/>
        </w:rPr>
        <w:t>TdT</w:t>
      </w:r>
      <w:r w:rsidRPr="000322E4">
        <w:rPr>
          <w:rFonts w:cstheme="minorHAnsi"/>
        </w:rPr>
        <w:t xml:space="preserve">+ с реаранжировками </w:t>
      </w:r>
      <w:r w:rsidRPr="000322E4">
        <w:rPr>
          <w:rFonts w:cstheme="minorHAnsi"/>
          <w:i/>
          <w:lang w:val="en-US"/>
        </w:rPr>
        <w:t>MYC</w:t>
      </w:r>
      <w:r w:rsidRPr="000322E4">
        <w:rPr>
          <w:rFonts w:cstheme="minorHAnsi"/>
          <w:i/>
        </w:rPr>
        <w:t>,</w:t>
      </w:r>
      <w:r w:rsidRPr="000322E4">
        <w:rPr>
          <w:rFonts w:cstheme="minorHAnsi"/>
        </w:rPr>
        <w:t xml:space="preserve"> </w:t>
      </w:r>
      <w:r w:rsidRPr="000322E4">
        <w:rPr>
          <w:rFonts w:cstheme="minorHAnsi"/>
          <w:i/>
          <w:lang w:val="en-US"/>
        </w:rPr>
        <w:t>BCL</w:t>
      </w:r>
      <w:r w:rsidRPr="000322E4">
        <w:rPr>
          <w:rFonts w:cstheme="minorHAnsi"/>
          <w:i/>
        </w:rPr>
        <w:t>-2.</w:t>
      </w:r>
    </w:p>
    <w:p w14:paraId="57CC0426" w14:textId="77777777" w:rsidR="009B70C4" w:rsidRPr="000322E4" w:rsidRDefault="009B70C4" w:rsidP="00F414BF">
      <w:pPr>
        <w:ind w:firstLine="360"/>
        <w:rPr>
          <w:rFonts w:cstheme="minorHAnsi"/>
        </w:rPr>
      </w:pPr>
      <w:r w:rsidRPr="000322E4">
        <w:rPr>
          <w:rFonts w:cstheme="minorHAnsi"/>
        </w:rPr>
        <w:t xml:space="preserve">Диагностика В-клеточной лимфомы высокой степени злокачественности с реаранжировками </w:t>
      </w:r>
      <w:r w:rsidRPr="000322E4">
        <w:rPr>
          <w:rFonts w:cstheme="minorHAnsi"/>
          <w:i/>
          <w:lang w:val="en-US"/>
        </w:rPr>
        <w:t>MYC</w:t>
      </w:r>
      <w:r w:rsidRPr="000322E4">
        <w:rPr>
          <w:rFonts w:cstheme="minorHAnsi"/>
        </w:rPr>
        <w:t xml:space="preserve">, </w:t>
      </w:r>
      <w:r w:rsidRPr="000322E4">
        <w:rPr>
          <w:rFonts w:cstheme="minorHAnsi"/>
          <w:i/>
          <w:lang w:val="en-US"/>
        </w:rPr>
        <w:t>BCL</w:t>
      </w:r>
      <w:r w:rsidRPr="000322E4">
        <w:rPr>
          <w:rFonts w:cstheme="minorHAnsi"/>
          <w:i/>
        </w:rPr>
        <w:t>-2</w:t>
      </w:r>
      <w:r w:rsidRPr="000322E4">
        <w:rPr>
          <w:rFonts w:cstheme="minorHAnsi"/>
        </w:rPr>
        <w:t xml:space="preserve"> и/или </w:t>
      </w:r>
      <w:r w:rsidRPr="000322E4">
        <w:rPr>
          <w:rFonts w:cstheme="minorHAnsi"/>
          <w:i/>
          <w:lang w:val="en-US"/>
        </w:rPr>
        <w:t>BCL</w:t>
      </w:r>
      <w:r w:rsidRPr="000322E4">
        <w:rPr>
          <w:rFonts w:cstheme="minorHAnsi"/>
          <w:i/>
        </w:rPr>
        <w:t>-6</w:t>
      </w:r>
      <w:r w:rsidRPr="000322E4">
        <w:rPr>
          <w:rFonts w:cstheme="minorHAnsi"/>
        </w:rPr>
        <w:t xml:space="preserve"> невозможна без выявления указанных реаранжировок. Необходимо учитывать, что изолированная реаранжировка </w:t>
      </w:r>
      <w:r w:rsidRPr="000322E4">
        <w:rPr>
          <w:rFonts w:cstheme="minorHAnsi"/>
          <w:i/>
        </w:rPr>
        <w:t xml:space="preserve">MYC </w:t>
      </w:r>
      <w:r w:rsidRPr="000322E4">
        <w:rPr>
          <w:rFonts w:cstheme="minorHAnsi"/>
        </w:rPr>
        <w:t>является одним из диагностических признаков лимфомы Беркитта, а также может встречаться при других лимфомах: диффузной В-клеточной крупноклеточной лимфоме (5-10% наблюдений), плазмобластной лимфоме (примерно в 50%), В-лимфобластной лимфоме TdT+.</w:t>
      </w:r>
    </w:p>
    <w:p w14:paraId="48C80244" w14:textId="77777777" w:rsidR="009B70C4" w:rsidRPr="000322E4" w:rsidRDefault="009B70C4" w:rsidP="00F414BF">
      <w:pPr>
        <w:ind w:firstLine="360"/>
        <w:rPr>
          <w:rFonts w:cstheme="minorHAnsi"/>
        </w:rPr>
      </w:pPr>
      <w:r w:rsidRPr="000322E4">
        <w:rPr>
          <w:rFonts w:cstheme="minorHAnsi"/>
        </w:rPr>
        <w:t xml:space="preserve">Субстрат этой опухоли может напоминать ЛБ, иметь черты ЛБ и ДВКЛ, может иметь бластоидный вид, напоминая бластоидный вариант лимфомы из клеток мантии или лимфобластную лимфому, а также соответствовать диффузной В-клеточной крупноклеточной лимфоме. Диагностические иммунофенотипические признаки отсутствуют. </w:t>
      </w:r>
    </w:p>
    <w:p w14:paraId="3C0BCA16" w14:textId="77777777" w:rsidR="009B70C4" w:rsidRPr="000322E4" w:rsidRDefault="009B70C4" w:rsidP="00F414BF">
      <w:pPr>
        <w:ind w:firstLine="360"/>
        <w:rPr>
          <w:rFonts w:cstheme="minorHAnsi"/>
        </w:rPr>
      </w:pPr>
      <w:r w:rsidRPr="000322E4">
        <w:rPr>
          <w:rFonts w:cstheme="minorHAnsi"/>
        </w:rPr>
        <w:t>Опухоли с морфологическими/иммунофенотипическими чертами лимфомы Беркитта и диффузной В-клеточной крупноклеточной лимфомы («промежуточного типа») или с бластоидной морфологией, но без указанных реаранжировок классифицируются как В-клеточные лимфомы высокой степени злокачественности, неуточненные (</w:t>
      </w:r>
      <w:r w:rsidRPr="000322E4">
        <w:rPr>
          <w:rFonts w:cstheme="minorHAnsi"/>
          <w:lang w:val="en-US"/>
        </w:rPr>
        <w:t>NOS</w:t>
      </w:r>
      <w:r w:rsidRPr="000322E4">
        <w:rPr>
          <w:rFonts w:cstheme="minorHAnsi"/>
        </w:rPr>
        <w:t xml:space="preserve">). </w:t>
      </w:r>
    </w:p>
    <w:p w14:paraId="2B549099" w14:textId="77777777" w:rsidR="009B70C4" w:rsidRPr="000322E4" w:rsidRDefault="009B70C4" w:rsidP="00F414BF">
      <w:pPr>
        <w:ind w:firstLine="360"/>
        <w:rPr>
          <w:rFonts w:cstheme="minorHAnsi"/>
        </w:rPr>
      </w:pPr>
      <w:r w:rsidRPr="000322E4">
        <w:rPr>
          <w:rFonts w:cstheme="minorHAnsi"/>
        </w:rPr>
        <w:t>Если опухоль имеет «промежуточную» морфологию, но полностью соответствует иммунофенотипу и генотипу лимфомы Беркитта, она диагностируется как лимфома Беркитта.</w:t>
      </w:r>
    </w:p>
    <w:p w14:paraId="359DFB95" w14:textId="77777777" w:rsidR="002902DF" w:rsidRDefault="002902DF" w:rsidP="00F414BF">
      <w:pPr>
        <w:pStyle w:val="2"/>
        <w:spacing w:before="0"/>
        <w:rPr>
          <w:color w:val="000000" w:themeColor="text1"/>
        </w:rPr>
      </w:pPr>
    </w:p>
    <w:p w14:paraId="663C18EB" w14:textId="12828E69" w:rsidR="002C7010" w:rsidRPr="000322E4" w:rsidRDefault="002C7010" w:rsidP="00F414BF">
      <w:pPr>
        <w:pStyle w:val="2"/>
        <w:spacing w:before="0"/>
        <w:rPr>
          <w:color w:val="000000" w:themeColor="text1"/>
        </w:rPr>
      </w:pPr>
      <w:bookmarkStart w:id="55" w:name="_Toc66096837"/>
      <w:r w:rsidRPr="000322E4">
        <w:rPr>
          <w:color w:val="000000" w:themeColor="text1"/>
        </w:rPr>
        <w:t>7.</w:t>
      </w:r>
      <w:r w:rsidR="0064071E" w:rsidRPr="000322E4">
        <w:rPr>
          <w:color w:val="000000" w:themeColor="text1"/>
        </w:rPr>
        <w:t>3</w:t>
      </w:r>
      <w:r w:rsidRPr="000322E4">
        <w:rPr>
          <w:color w:val="000000" w:themeColor="text1"/>
        </w:rPr>
        <w:t xml:space="preserve"> Стадирование</w:t>
      </w:r>
      <w:r w:rsidR="00F65B65" w:rsidRPr="000322E4">
        <w:rPr>
          <w:color w:val="000000" w:themeColor="text1"/>
        </w:rPr>
        <w:t xml:space="preserve"> </w:t>
      </w:r>
      <w:r w:rsidR="009B70C4" w:rsidRPr="000322E4">
        <w:rPr>
          <w:color w:val="000000" w:themeColor="text1"/>
        </w:rPr>
        <w:t>агрессивных нефолликулярных В-клеточных лимфом</w:t>
      </w:r>
      <w:bookmarkEnd w:id="55"/>
    </w:p>
    <w:p w14:paraId="2A94D952" w14:textId="77777777" w:rsidR="00A54C2B" w:rsidRPr="000322E4" w:rsidRDefault="002C7010" w:rsidP="00F414BF">
      <w:pPr>
        <w:ind w:firstLine="567"/>
        <w:rPr>
          <w:bCs/>
        </w:rPr>
      </w:pPr>
      <w:r w:rsidRPr="000322E4">
        <w:rPr>
          <w:bCs/>
        </w:rPr>
        <w:t xml:space="preserve">Стадирование </w:t>
      </w:r>
      <w:r w:rsidR="005A2396" w:rsidRPr="000322E4">
        <w:rPr>
          <w:bCs/>
        </w:rPr>
        <w:t>ДВК</w:t>
      </w:r>
      <w:r w:rsidR="009B70C4" w:rsidRPr="000322E4">
        <w:rPr>
          <w:bCs/>
        </w:rPr>
        <w:t>Л</w:t>
      </w:r>
      <w:r w:rsidR="00F65B65" w:rsidRPr="000322E4">
        <w:rPr>
          <w:bCs/>
        </w:rPr>
        <w:t xml:space="preserve"> </w:t>
      </w:r>
      <w:r w:rsidRPr="000322E4">
        <w:rPr>
          <w:bCs/>
        </w:rPr>
        <w:t xml:space="preserve">осуществляется по результатам обследования в соответствии с критериями классификации </w:t>
      </w:r>
      <w:r w:rsidRPr="000322E4">
        <w:rPr>
          <w:bCs/>
          <w:lang w:val="en-US"/>
        </w:rPr>
        <w:t>Ann</w:t>
      </w:r>
      <w:r w:rsidRPr="000322E4">
        <w:rPr>
          <w:bCs/>
        </w:rPr>
        <w:t xml:space="preserve"> </w:t>
      </w:r>
      <w:r w:rsidRPr="000322E4">
        <w:rPr>
          <w:bCs/>
          <w:lang w:val="en-US"/>
        </w:rPr>
        <w:t>Arbor</w:t>
      </w:r>
      <w:r w:rsidR="00F65B65" w:rsidRPr="000322E4">
        <w:rPr>
          <w:bCs/>
        </w:rPr>
        <w:t xml:space="preserve"> (табл. 7.3.1)</w:t>
      </w:r>
      <w:r w:rsidR="00F65B65" w:rsidRPr="000322E4">
        <w:t>.</w:t>
      </w:r>
      <w:r w:rsidR="00F65B65" w:rsidRPr="000322E4">
        <w:rPr>
          <w:bCs/>
        </w:rPr>
        <w:t xml:space="preserve"> </w:t>
      </w:r>
      <w:r w:rsidR="00791E66" w:rsidRPr="000322E4">
        <w:rPr>
          <w:bCs/>
        </w:rPr>
        <w:t xml:space="preserve"> Данная классификация не применима для ПЛЦНС. Диагноз ПЛЦНС формулируется с указанием локализации очага поражения без указания стадии.</w:t>
      </w:r>
    </w:p>
    <w:p w14:paraId="2B61F27C" w14:textId="77777777" w:rsidR="00F65B65" w:rsidRPr="000322E4" w:rsidRDefault="00F65B65" w:rsidP="00F414BF">
      <w:r w:rsidRPr="000322E4">
        <w:rPr>
          <w:b/>
          <w:bCs/>
        </w:rPr>
        <w:t xml:space="preserve">Таблица 7.3.1. </w:t>
      </w:r>
      <w:r w:rsidRPr="000322E4">
        <w:rPr>
          <w:b/>
        </w:rPr>
        <w:t xml:space="preserve">Стадирование лимфом по </w:t>
      </w:r>
      <w:r w:rsidRPr="000322E4">
        <w:rPr>
          <w:b/>
          <w:lang w:val="en-US"/>
        </w:rPr>
        <w:t>Ann</w:t>
      </w:r>
      <w:r w:rsidRPr="000322E4">
        <w:rPr>
          <w:b/>
        </w:rPr>
        <w:t xml:space="preserve"> </w:t>
      </w:r>
      <w:r w:rsidRPr="000322E4">
        <w:rPr>
          <w:b/>
          <w:lang w:val="en-US"/>
        </w:rPr>
        <w:t>Arbor</w:t>
      </w:r>
      <w:r w:rsidRPr="000322E4">
        <w:rPr>
          <w:b/>
        </w:rPr>
        <w:t xml:space="preserve"> (модификация Лугано, 2014)</w:t>
      </w:r>
      <w:r w:rsidR="00BB7996" w:rsidRPr="000322E4">
        <w:rPr>
          <w:b/>
        </w:rPr>
        <w:t xml:space="preserve"> </w:t>
      </w:r>
      <w:r w:rsidR="00BB7996" w:rsidRPr="000322E4">
        <w:rPr>
          <w:lang w:val="en-US"/>
        </w:rPr>
        <w:fldChar w:fldCharType="begin" w:fldLock="1"/>
      </w:r>
      <w:r w:rsidR="00C37789" w:rsidRPr="000322E4">
        <w:rPr>
          <w:lang w:val="en-US"/>
        </w:rPr>
        <w:instrText>ADDIN</w:instrText>
      </w:r>
      <w:r w:rsidR="00C37789" w:rsidRPr="000322E4">
        <w:instrText xml:space="preserve"> </w:instrText>
      </w:r>
      <w:r w:rsidR="00C37789" w:rsidRPr="000322E4">
        <w:rPr>
          <w:lang w:val="en-US"/>
        </w:rPr>
        <w:instrText>CSL</w:instrText>
      </w:r>
      <w:r w:rsidR="00C37789" w:rsidRPr="000322E4">
        <w:instrText>_</w:instrText>
      </w:r>
      <w:r w:rsidR="00C37789" w:rsidRPr="000322E4">
        <w:rPr>
          <w:lang w:val="en-US"/>
        </w:rPr>
        <w:instrText>CITATION</w:instrText>
      </w:r>
      <w:r w:rsidR="00C37789" w:rsidRPr="000322E4">
        <w:instrText xml:space="preserve"> {"</w:instrText>
      </w:r>
      <w:r w:rsidR="00C37789" w:rsidRPr="000322E4">
        <w:rPr>
          <w:lang w:val="en-US"/>
        </w:rPr>
        <w:instrText>citationItems</w:instrText>
      </w:r>
      <w:r w:rsidR="00C37789" w:rsidRPr="000322E4">
        <w:instrText>":[{"</w:instrText>
      </w:r>
      <w:r w:rsidR="00C37789" w:rsidRPr="000322E4">
        <w:rPr>
          <w:lang w:val="en-US"/>
        </w:rPr>
        <w:instrText>id</w:instrText>
      </w:r>
      <w:r w:rsidR="00C37789" w:rsidRPr="000322E4">
        <w:instrText>":"</w:instrText>
      </w:r>
      <w:r w:rsidR="00C37789" w:rsidRPr="000322E4">
        <w:rPr>
          <w:lang w:val="en-US"/>
        </w:rPr>
        <w:instrText>ITEM</w:instrText>
      </w:r>
      <w:r w:rsidR="00C37789" w:rsidRPr="000322E4">
        <w:instrText>-1","</w:instrText>
      </w:r>
      <w:r w:rsidR="00C37789" w:rsidRPr="000322E4">
        <w:rPr>
          <w:lang w:val="en-US"/>
        </w:rPr>
        <w:instrText>itemData</w:instrText>
      </w:r>
      <w:r w:rsidR="00C37789" w:rsidRPr="000322E4">
        <w:instrText>":{"</w:instrText>
      </w:r>
      <w:r w:rsidR="00C37789" w:rsidRPr="000322E4">
        <w:rPr>
          <w:lang w:val="en-US"/>
        </w:rPr>
        <w:instrText>DOI</w:instrText>
      </w:r>
      <w:r w:rsidR="00C37789" w:rsidRPr="000322E4">
        <w:instrText>":"10.1200/</w:instrText>
      </w:r>
      <w:r w:rsidR="00C37789" w:rsidRPr="000322E4">
        <w:rPr>
          <w:lang w:val="en-US"/>
        </w:rPr>
        <w:instrText>JCO</w:instrText>
      </w:r>
      <w:r w:rsidR="00C37789" w:rsidRPr="000322E4">
        <w:instrText>.2013.54.8800","</w:instrText>
      </w:r>
      <w:r w:rsidR="00C37789" w:rsidRPr="000322E4">
        <w:rPr>
          <w:lang w:val="en-US"/>
        </w:rPr>
        <w:instrText>ISSN</w:instrText>
      </w:r>
      <w:r w:rsidR="00C37789" w:rsidRPr="000322E4">
        <w:instrText>":"15277755","</w:instrText>
      </w:r>
      <w:r w:rsidR="00C37789" w:rsidRPr="000322E4">
        <w:rPr>
          <w:lang w:val="en-US"/>
        </w:rPr>
        <w:instrText>PMID</w:instrText>
      </w:r>
      <w:r w:rsidR="00C37789" w:rsidRPr="000322E4">
        <w:instrText>":"25113753","</w:instrText>
      </w:r>
      <w:r w:rsidR="00C37789" w:rsidRPr="000322E4">
        <w:rPr>
          <w:lang w:val="en-US"/>
        </w:rPr>
        <w:instrText>abstract</w:instrText>
      </w:r>
      <w:r w:rsidR="00C37789" w:rsidRPr="000322E4">
        <w:instrText>":"</w:instrText>
      </w:r>
      <w:r w:rsidR="00C37789" w:rsidRPr="000322E4">
        <w:rPr>
          <w:lang w:val="en-US"/>
        </w:rPr>
        <w:instrText>The</w:instrText>
      </w:r>
      <w:r w:rsidR="00C37789" w:rsidRPr="000322E4">
        <w:instrText xml:space="preserve"> </w:instrText>
      </w:r>
      <w:r w:rsidR="00C37789" w:rsidRPr="000322E4">
        <w:rPr>
          <w:lang w:val="en-US"/>
        </w:rPr>
        <w:instrText>purpose</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this</w:instrText>
      </w:r>
      <w:r w:rsidR="00C37789" w:rsidRPr="000322E4">
        <w:instrText xml:space="preserve"> </w:instrText>
      </w:r>
      <w:r w:rsidR="00C37789" w:rsidRPr="000322E4">
        <w:rPr>
          <w:lang w:val="en-US"/>
        </w:rPr>
        <w:instrText>work</w:instrText>
      </w:r>
      <w:r w:rsidR="00C37789" w:rsidRPr="000322E4">
        <w:instrText xml:space="preserve"> </w:instrText>
      </w:r>
      <w:r w:rsidR="00C37789" w:rsidRPr="000322E4">
        <w:rPr>
          <w:lang w:val="en-US"/>
        </w:rPr>
        <w:instrText>was</w:instrText>
      </w:r>
      <w:r w:rsidR="00C37789" w:rsidRPr="000322E4">
        <w:instrText xml:space="preserve"> </w:instrText>
      </w:r>
      <w:r w:rsidR="00C37789" w:rsidRPr="000322E4">
        <w:rPr>
          <w:lang w:val="en-US"/>
        </w:rPr>
        <w:instrText>to</w:instrText>
      </w:r>
      <w:r w:rsidR="00C37789" w:rsidRPr="000322E4">
        <w:instrText xml:space="preserve"> </w:instrText>
      </w:r>
      <w:r w:rsidR="00C37789" w:rsidRPr="000322E4">
        <w:rPr>
          <w:lang w:val="en-US"/>
        </w:rPr>
        <w:instrText>modernize</w:instrText>
      </w:r>
      <w:r w:rsidR="00C37789" w:rsidRPr="000322E4">
        <w:instrText xml:space="preserve"> </w:instrText>
      </w:r>
      <w:r w:rsidR="00C37789" w:rsidRPr="000322E4">
        <w:rPr>
          <w:lang w:val="en-US"/>
        </w:rPr>
        <w:instrText>recommendations</w:instrText>
      </w:r>
      <w:r w:rsidR="00C37789" w:rsidRPr="000322E4">
        <w:instrText xml:space="preserve"> </w:instrText>
      </w:r>
      <w:r w:rsidR="00C37789" w:rsidRPr="000322E4">
        <w:rPr>
          <w:lang w:val="en-US"/>
        </w:rPr>
        <w:instrText>for</w:instrText>
      </w:r>
      <w:r w:rsidR="00C37789" w:rsidRPr="000322E4">
        <w:instrText xml:space="preserve"> </w:instrText>
      </w:r>
      <w:r w:rsidR="00C37789" w:rsidRPr="000322E4">
        <w:rPr>
          <w:lang w:val="en-US"/>
        </w:rPr>
        <w:instrText>evaluation</w:instrText>
      </w:r>
      <w:r w:rsidR="00C37789" w:rsidRPr="000322E4">
        <w:instrText xml:space="preserve">, </w:instrText>
      </w:r>
      <w:r w:rsidR="00C37789" w:rsidRPr="000322E4">
        <w:rPr>
          <w:lang w:val="en-US"/>
        </w:rPr>
        <w:instrText>staging</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response</w:instrText>
      </w:r>
      <w:r w:rsidR="00C37789" w:rsidRPr="000322E4">
        <w:instrText xml:space="preserve"> </w:instrText>
      </w:r>
      <w:r w:rsidR="00C37789" w:rsidRPr="000322E4">
        <w:rPr>
          <w:lang w:val="en-US"/>
        </w:rPr>
        <w:instrText>assessment</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patients</w:instrText>
      </w:r>
      <w:r w:rsidR="00C37789" w:rsidRPr="000322E4">
        <w:instrText xml:space="preserve"> </w:instrText>
      </w:r>
      <w:r w:rsidR="00C37789" w:rsidRPr="000322E4">
        <w:rPr>
          <w:lang w:val="en-US"/>
        </w:rPr>
        <w:instrText>with</w:instrText>
      </w:r>
      <w:r w:rsidR="00C37789" w:rsidRPr="000322E4">
        <w:instrText xml:space="preserve"> </w:instrText>
      </w:r>
      <w:r w:rsidR="00C37789" w:rsidRPr="000322E4">
        <w:rPr>
          <w:lang w:val="en-US"/>
        </w:rPr>
        <w:instrText>Hodgkin</w:instrText>
      </w:r>
      <w:r w:rsidR="00C37789" w:rsidRPr="000322E4">
        <w:instrText xml:space="preserve"> </w:instrText>
      </w:r>
      <w:r w:rsidR="00C37789" w:rsidRPr="000322E4">
        <w:rPr>
          <w:lang w:val="en-US"/>
        </w:rPr>
        <w:instrText>lymphoma</w:instrText>
      </w:r>
      <w:r w:rsidR="00C37789" w:rsidRPr="000322E4">
        <w:instrText xml:space="preserve"> (</w:instrText>
      </w:r>
      <w:r w:rsidR="00C37789" w:rsidRPr="000322E4">
        <w:rPr>
          <w:lang w:val="en-US"/>
        </w:rPr>
        <w:instrText>HL</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non</w:instrText>
      </w:r>
      <w:r w:rsidR="00C37789" w:rsidRPr="000322E4">
        <w:instrText>-</w:instrText>
      </w:r>
      <w:r w:rsidR="00C37789" w:rsidRPr="000322E4">
        <w:rPr>
          <w:lang w:val="en-US"/>
        </w:rPr>
        <w:instrText>Hodgkin</w:instrText>
      </w:r>
      <w:r w:rsidR="00C37789" w:rsidRPr="000322E4">
        <w:instrText xml:space="preserve"> </w:instrText>
      </w:r>
      <w:r w:rsidR="00C37789" w:rsidRPr="000322E4">
        <w:rPr>
          <w:lang w:val="en-US"/>
        </w:rPr>
        <w:instrText>lymphoma</w:instrText>
      </w:r>
      <w:r w:rsidR="00C37789" w:rsidRPr="000322E4">
        <w:instrText xml:space="preserve"> (</w:instrText>
      </w:r>
      <w:r w:rsidR="00C37789" w:rsidRPr="000322E4">
        <w:rPr>
          <w:lang w:val="en-US"/>
        </w:rPr>
        <w:instrText>NHL</w:instrText>
      </w:r>
      <w:r w:rsidR="00C37789" w:rsidRPr="000322E4">
        <w:instrText xml:space="preserve">). </w:instrText>
      </w:r>
      <w:r w:rsidR="00C37789" w:rsidRPr="000322E4">
        <w:rPr>
          <w:lang w:val="en-US"/>
        </w:rPr>
        <w:instrText>A</w:instrText>
      </w:r>
      <w:r w:rsidR="00C37789" w:rsidRPr="000322E4">
        <w:instrText xml:space="preserve"> </w:instrText>
      </w:r>
      <w:r w:rsidR="00C37789" w:rsidRPr="000322E4">
        <w:rPr>
          <w:lang w:val="en-US"/>
        </w:rPr>
        <w:instrText>workshop</w:instrText>
      </w:r>
      <w:r w:rsidR="00C37789" w:rsidRPr="000322E4">
        <w:instrText xml:space="preserve"> </w:instrText>
      </w:r>
      <w:r w:rsidR="00C37789" w:rsidRPr="000322E4">
        <w:rPr>
          <w:lang w:val="en-US"/>
        </w:rPr>
        <w:instrText>was</w:instrText>
      </w:r>
      <w:r w:rsidR="00C37789" w:rsidRPr="000322E4">
        <w:instrText xml:space="preserve"> </w:instrText>
      </w:r>
      <w:r w:rsidR="00C37789" w:rsidRPr="000322E4">
        <w:rPr>
          <w:lang w:val="en-US"/>
        </w:rPr>
        <w:instrText>held</w:instrText>
      </w:r>
      <w:r w:rsidR="00C37789" w:rsidRPr="000322E4">
        <w:instrText xml:space="preserve"> </w:instrText>
      </w:r>
      <w:r w:rsidR="00C37789" w:rsidRPr="000322E4">
        <w:rPr>
          <w:lang w:val="en-US"/>
        </w:rPr>
        <w:instrText>at</w:instrText>
      </w:r>
      <w:r w:rsidR="00C37789" w:rsidRPr="000322E4">
        <w:instrText xml:space="preserve"> </w:instrText>
      </w:r>
      <w:r w:rsidR="00C37789" w:rsidRPr="000322E4">
        <w:rPr>
          <w:lang w:val="en-US"/>
        </w:rPr>
        <w:instrText>the</w:instrText>
      </w:r>
      <w:r w:rsidR="00C37789" w:rsidRPr="000322E4">
        <w:instrText xml:space="preserve"> 11</w:instrText>
      </w:r>
      <w:r w:rsidR="00C37789" w:rsidRPr="000322E4">
        <w:rPr>
          <w:lang w:val="en-US"/>
        </w:rPr>
        <w:instrText>th</w:instrText>
      </w:r>
      <w:r w:rsidR="00C37789" w:rsidRPr="000322E4">
        <w:instrText xml:space="preserve"> </w:instrText>
      </w:r>
      <w:r w:rsidR="00C37789" w:rsidRPr="000322E4">
        <w:rPr>
          <w:lang w:val="en-US"/>
        </w:rPr>
        <w:instrText>International</w:instrText>
      </w:r>
      <w:r w:rsidR="00C37789" w:rsidRPr="000322E4">
        <w:instrText xml:space="preserve"> </w:instrText>
      </w:r>
      <w:r w:rsidR="00C37789" w:rsidRPr="000322E4">
        <w:rPr>
          <w:lang w:val="en-US"/>
        </w:rPr>
        <w:instrText>Conference</w:instrText>
      </w:r>
      <w:r w:rsidR="00C37789" w:rsidRPr="000322E4">
        <w:instrText xml:space="preserve"> </w:instrText>
      </w:r>
      <w:r w:rsidR="00C37789" w:rsidRPr="000322E4">
        <w:rPr>
          <w:lang w:val="en-US"/>
        </w:rPr>
        <w:instrText>on</w:instrText>
      </w:r>
      <w:r w:rsidR="00C37789" w:rsidRPr="000322E4">
        <w:instrText xml:space="preserve"> </w:instrText>
      </w:r>
      <w:r w:rsidR="00C37789" w:rsidRPr="000322E4">
        <w:rPr>
          <w:lang w:val="en-US"/>
        </w:rPr>
        <w:instrText>Malignant</w:instrText>
      </w:r>
      <w:r w:rsidR="00C37789" w:rsidRPr="000322E4">
        <w:instrText xml:space="preserve"> </w:instrText>
      </w:r>
      <w:r w:rsidR="00C37789" w:rsidRPr="000322E4">
        <w:rPr>
          <w:lang w:val="en-US"/>
        </w:rPr>
        <w:instrText>Lymphoma</w:instrText>
      </w:r>
      <w:r w:rsidR="00C37789" w:rsidRPr="000322E4">
        <w:instrText xml:space="preserve"> </w:instrText>
      </w:r>
      <w:r w:rsidR="00C37789" w:rsidRPr="000322E4">
        <w:rPr>
          <w:lang w:val="en-US"/>
        </w:rPr>
        <w:instrText>in</w:instrText>
      </w:r>
      <w:r w:rsidR="00C37789" w:rsidRPr="000322E4">
        <w:instrText xml:space="preserve"> </w:instrText>
      </w:r>
      <w:r w:rsidR="00C37789" w:rsidRPr="000322E4">
        <w:rPr>
          <w:lang w:val="en-US"/>
        </w:rPr>
        <w:instrText>Lugano</w:instrText>
      </w:r>
      <w:r w:rsidR="00C37789" w:rsidRPr="000322E4">
        <w:instrText xml:space="preserve">, </w:instrText>
      </w:r>
      <w:r w:rsidR="00C37789" w:rsidRPr="000322E4">
        <w:rPr>
          <w:lang w:val="en-US"/>
        </w:rPr>
        <w:instrText>Switzerland</w:instrText>
      </w:r>
      <w:r w:rsidR="00C37789" w:rsidRPr="000322E4">
        <w:instrText xml:space="preserve">, </w:instrText>
      </w:r>
      <w:r w:rsidR="00C37789" w:rsidRPr="000322E4">
        <w:rPr>
          <w:lang w:val="en-US"/>
        </w:rPr>
        <w:instrText>in</w:instrText>
      </w:r>
      <w:r w:rsidR="00C37789" w:rsidRPr="000322E4">
        <w:instrText xml:space="preserve"> </w:instrText>
      </w:r>
      <w:r w:rsidR="00C37789" w:rsidRPr="000322E4">
        <w:rPr>
          <w:lang w:val="en-US"/>
        </w:rPr>
        <w:instrText>June</w:instrText>
      </w:r>
      <w:r w:rsidR="00C37789" w:rsidRPr="000322E4">
        <w:instrText xml:space="preserve"> 2011, </w:instrText>
      </w:r>
      <w:r w:rsidR="00C37789" w:rsidRPr="000322E4">
        <w:rPr>
          <w:lang w:val="en-US"/>
        </w:rPr>
        <w:instrText>that</w:instrText>
      </w:r>
      <w:r w:rsidR="00C37789" w:rsidRPr="000322E4">
        <w:instrText xml:space="preserve"> </w:instrText>
      </w:r>
      <w:r w:rsidR="00C37789" w:rsidRPr="000322E4">
        <w:rPr>
          <w:lang w:val="en-US"/>
        </w:rPr>
        <w:instrText>included</w:instrText>
      </w:r>
      <w:r w:rsidR="00C37789" w:rsidRPr="000322E4">
        <w:instrText xml:space="preserve"> </w:instrText>
      </w:r>
      <w:r w:rsidR="00C37789" w:rsidRPr="000322E4">
        <w:rPr>
          <w:lang w:val="en-US"/>
        </w:rPr>
        <w:instrText>leading</w:instrText>
      </w:r>
      <w:r w:rsidR="00C37789" w:rsidRPr="000322E4">
        <w:instrText xml:space="preserve"> </w:instrText>
      </w:r>
      <w:r w:rsidR="00C37789" w:rsidRPr="000322E4">
        <w:rPr>
          <w:lang w:val="en-US"/>
        </w:rPr>
        <w:instrText>hematologists</w:instrText>
      </w:r>
      <w:r w:rsidR="00C37789" w:rsidRPr="000322E4">
        <w:instrText xml:space="preserve">, </w:instrText>
      </w:r>
      <w:r w:rsidR="00C37789" w:rsidRPr="000322E4">
        <w:rPr>
          <w:lang w:val="en-US"/>
        </w:rPr>
        <w:instrText>oncologists</w:instrText>
      </w:r>
      <w:r w:rsidR="00C37789" w:rsidRPr="000322E4">
        <w:instrText xml:space="preserve">, </w:instrText>
      </w:r>
      <w:r w:rsidR="00C37789" w:rsidRPr="000322E4">
        <w:rPr>
          <w:lang w:val="en-US"/>
        </w:rPr>
        <w:instrText>radiation</w:instrText>
      </w:r>
      <w:r w:rsidR="00C37789" w:rsidRPr="000322E4">
        <w:instrText xml:space="preserve"> </w:instrText>
      </w:r>
      <w:r w:rsidR="00C37789" w:rsidRPr="000322E4">
        <w:rPr>
          <w:lang w:val="en-US"/>
        </w:rPr>
        <w:instrText>oncologists</w:instrText>
      </w:r>
      <w:r w:rsidR="00C37789" w:rsidRPr="000322E4">
        <w:instrText xml:space="preserve">, </w:instrText>
      </w:r>
      <w:r w:rsidR="00C37789" w:rsidRPr="000322E4">
        <w:rPr>
          <w:lang w:val="en-US"/>
        </w:rPr>
        <w:instrText>pathologists</w:instrText>
      </w:r>
      <w:r w:rsidR="00C37789" w:rsidRPr="000322E4">
        <w:instrText xml:space="preserve">, </w:instrText>
      </w:r>
      <w:r w:rsidR="00C37789" w:rsidRPr="000322E4">
        <w:rPr>
          <w:lang w:val="en-US"/>
        </w:rPr>
        <w:instrText>radiologists</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nuclear</w:instrText>
      </w:r>
      <w:r w:rsidR="00C37789" w:rsidRPr="000322E4">
        <w:instrText xml:space="preserve"> </w:instrText>
      </w:r>
      <w:r w:rsidR="00C37789" w:rsidRPr="000322E4">
        <w:rPr>
          <w:lang w:val="en-US"/>
        </w:rPr>
        <w:instrText>medicine</w:instrText>
      </w:r>
      <w:r w:rsidR="00C37789" w:rsidRPr="000322E4">
        <w:instrText xml:space="preserve"> </w:instrText>
      </w:r>
      <w:r w:rsidR="00C37789" w:rsidRPr="000322E4">
        <w:rPr>
          <w:lang w:val="en-US"/>
        </w:rPr>
        <w:instrText>physicians</w:instrText>
      </w:r>
      <w:r w:rsidR="00C37789" w:rsidRPr="000322E4">
        <w:instrText xml:space="preserve">, </w:instrText>
      </w:r>
      <w:r w:rsidR="00C37789" w:rsidRPr="000322E4">
        <w:rPr>
          <w:lang w:val="en-US"/>
        </w:rPr>
        <w:instrText>representing</w:instrText>
      </w:r>
      <w:r w:rsidR="00C37789" w:rsidRPr="000322E4">
        <w:instrText xml:space="preserve"> </w:instrText>
      </w:r>
      <w:r w:rsidR="00C37789" w:rsidRPr="000322E4">
        <w:rPr>
          <w:lang w:val="en-US"/>
        </w:rPr>
        <w:instrText>major</w:instrText>
      </w:r>
      <w:r w:rsidR="00C37789" w:rsidRPr="000322E4">
        <w:instrText xml:space="preserve"> </w:instrText>
      </w:r>
      <w:r w:rsidR="00C37789" w:rsidRPr="000322E4">
        <w:rPr>
          <w:lang w:val="en-US"/>
        </w:rPr>
        <w:instrText>international</w:instrText>
      </w:r>
      <w:r w:rsidR="00C37789" w:rsidRPr="000322E4">
        <w:instrText xml:space="preserve"> </w:instrText>
      </w:r>
      <w:r w:rsidR="00C37789" w:rsidRPr="000322E4">
        <w:rPr>
          <w:lang w:val="en-US"/>
        </w:rPr>
        <w:instrText>lymphoma</w:instrText>
      </w:r>
      <w:r w:rsidR="00C37789" w:rsidRPr="000322E4">
        <w:instrText xml:space="preserve"> </w:instrText>
      </w:r>
      <w:r w:rsidR="00C37789" w:rsidRPr="000322E4">
        <w:rPr>
          <w:lang w:val="en-US"/>
        </w:rPr>
        <w:instrText>clinical</w:instrText>
      </w:r>
      <w:r w:rsidR="00C37789" w:rsidRPr="000322E4">
        <w:instrText xml:space="preserve"> </w:instrText>
      </w:r>
      <w:r w:rsidR="00C37789" w:rsidRPr="000322E4">
        <w:rPr>
          <w:lang w:val="en-US"/>
        </w:rPr>
        <w:instrText>trials</w:instrText>
      </w:r>
      <w:r w:rsidR="00C37789" w:rsidRPr="000322E4">
        <w:instrText xml:space="preserve"> </w:instrText>
      </w:r>
      <w:r w:rsidR="00C37789" w:rsidRPr="000322E4">
        <w:rPr>
          <w:lang w:val="en-US"/>
        </w:rPr>
        <w:instrText>groups</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cancer</w:instrText>
      </w:r>
      <w:r w:rsidR="00C37789" w:rsidRPr="000322E4">
        <w:instrText xml:space="preserve"> </w:instrText>
      </w:r>
      <w:r w:rsidR="00C37789" w:rsidRPr="000322E4">
        <w:rPr>
          <w:lang w:val="en-US"/>
        </w:rPr>
        <w:instrText>centers</w:instrText>
      </w:r>
      <w:r w:rsidR="00C37789" w:rsidRPr="000322E4">
        <w:instrText xml:space="preserve">. </w:instrText>
      </w:r>
      <w:r w:rsidR="00C37789" w:rsidRPr="000322E4">
        <w:rPr>
          <w:lang w:val="en-US"/>
        </w:rPr>
        <w:instrText>Clinical</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imaging</w:instrText>
      </w:r>
      <w:r w:rsidR="00C37789" w:rsidRPr="000322E4">
        <w:instrText xml:space="preserve"> </w:instrText>
      </w:r>
      <w:r w:rsidR="00C37789" w:rsidRPr="000322E4">
        <w:rPr>
          <w:lang w:val="en-US"/>
        </w:rPr>
        <w:instrText>subcommittees</w:instrText>
      </w:r>
      <w:r w:rsidR="00C37789" w:rsidRPr="000322E4">
        <w:instrText xml:space="preserve"> </w:instrText>
      </w:r>
      <w:r w:rsidR="00C37789" w:rsidRPr="000322E4">
        <w:rPr>
          <w:lang w:val="en-US"/>
        </w:rPr>
        <w:instrText>presented</w:instrText>
      </w:r>
      <w:r w:rsidR="00C37789" w:rsidRPr="000322E4">
        <w:instrText xml:space="preserve"> </w:instrText>
      </w:r>
      <w:r w:rsidR="00C37789" w:rsidRPr="000322E4">
        <w:rPr>
          <w:lang w:val="en-US"/>
        </w:rPr>
        <w:instrText>their</w:instrText>
      </w:r>
      <w:r w:rsidR="00C37789" w:rsidRPr="000322E4">
        <w:instrText xml:space="preserve"> </w:instrText>
      </w:r>
      <w:r w:rsidR="00C37789" w:rsidRPr="000322E4">
        <w:rPr>
          <w:lang w:val="en-US"/>
        </w:rPr>
        <w:instrText>conclusions</w:instrText>
      </w:r>
      <w:r w:rsidR="00C37789" w:rsidRPr="000322E4">
        <w:instrText xml:space="preserve"> </w:instrText>
      </w:r>
      <w:r w:rsidR="00C37789" w:rsidRPr="000322E4">
        <w:rPr>
          <w:lang w:val="en-US"/>
        </w:rPr>
        <w:instrText>at</w:instrText>
      </w:r>
      <w:r w:rsidR="00C37789" w:rsidRPr="000322E4">
        <w:instrText xml:space="preserve"> </w:instrText>
      </w:r>
      <w:r w:rsidR="00C37789" w:rsidRPr="000322E4">
        <w:rPr>
          <w:lang w:val="en-US"/>
        </w:rPr>
        <w:instrText>a</w:instrText>
      </w:r>
      <w:r w:rsidR="00C37789" w:rsidRPr="000322E4">
        <w:instrText xml:space="preserve"> </w:instrText>
      </w:r>
      <w:r w:rsidR="00C37789" w:rsidRPr="000322E4">
        <w:rPr>
          <w:lang w:val="en-US"/>
        </w:rPr>
        <w:instrText>subsequent</w:instrText>
      </w:r>
      <w:r w:rsidR="00C37789" w:rsidRPr="000322E4">
        <w:instrText xml:space="preserve"> </w:instrText>
      </w:r>
      <w:r w:rsidR="00C37789" w:rsidRPr="000322E4">
        <w:rPr>
          <w:lang w:val="en-US"/>
        </w:rPr>
        <w:instrText>workshop</w:instrText>
      </w:r>
      <w:r w:rsidR="00C37789" w:rsidRPr="000322E4">
        <w:instrText xml:space="preserve"> </w:instrText>
      </w:r>
      <w:r w:rsidR="00C37789" w:rsidRPr="000322E4">
        <w:rPr>
          <w:lang w:val="en-US"/>
        </w:rPr>
        <w:instrText>at</w:instrText>
      </w:r>
      <w:r w:rsidR="00C37789" w:rsidRPr="000322E4">
        <w:instrText xml:space="preserve"> </w:instrText>
      </w:r>
      <w:r w:rsidR="00C37789" w:rsidRPr="000322E4">
        <w:rPr>
          <w:lang w:val="en-US"/>
        </w:rPr>
        <w:instrText>the</w:instrText>
      </w:r>
      <w:r w:rsidR="00C37789" w:rsidRPr="000322E4">
        <w:instrText xml:space="preserve"> 12</w:instrText>
      </w:r>
      <w:r w:rsidR="00C37789" w:rsidRPr="000322E4">
        <w:rPr>
          <w:lang w:val="en-US"/>
        </w:rPr>
        <w:instrText>th</w:instrText>
      </w:r>
      <w:r w:rsidR="00C37789" w:rsidRPr="000322E4">
        <w:instrText xml:space="preserve"> </w:instrText>
      </w:r>
      <w:r w:rsidR="00C37789" w:rsidRPr="000322E4">
        <w:rPr>
          <w:lang w:val="en-US"/>
        </w:rPr>
        <w:instrText>International</w:instrText>
      </w:r>
      <w:r w:rsidR="00C37789" w:rsidRPr="000322E4">
        <w:instrText xml:space="preserve"> </w:instrText>
      </w:r>
      <w:r w:rsidR="00C37789" w:rsidRPr="000322E4">
        <w:rPr>
          <w:lang w:val="en-US"/>
        </w:rPr>
        <w:instrText>Conference</w:instrText>
      </w:r>
      <w:r w:rsidR="00C37789" w:rsidRPr="000322E4">
        <w:instrText xml:space="preserve"> </w:instrText>
      </w:r>
      <w:r w:rsidR="00C37789" w:rsidRPr="000322E4">
        <w:rPr>
          <w:lang w:val="en-US"/>
        </w:rPr>
        <w:instrText>on</w:instrText>
      </w:r>
      <w:r w:rsidR="00C37789" w:rsidRPr="000322E4">
        <w:instrText xml:space="preserve"> </w:instrText>
      </w:r>
      <w:r w:rsidR="00C37789" w:rsidRPr="000322E4">
        <w:rPr>
          <w:lang w:val="en-US"/>
        </w:rPr>
        <w:instrText>Malignant</w:instrText>
      </w:r>
      <w:r w:rsidR="00C37789" w:rsidRPr="000322E4">
        <w:instrText xml:space="preserve"> </w:instrText>
      </w:r>
      <w:r w:rsidR="00C37789" w:rsidRPr="000322E4">
        <w:rPr>
          <w:lang w:val="en-US"/>
        </w:rPr>
        <w:instrText>Lymphoma</w:instrText>
      </w:r>
      <w:r w:rsidR="00C37789" w:rsidRPr="000322E4">
        <w:instrText xml:space="preserve">, </w:instrText>
      </w:r>
      <w:r w:rsidR="00C37789" w:rsidRPr="000322E4">
        <w:rPr>
          <w:lang w:val="en-US"/>
        </w:rPr>
        <w:instrText>leading</w:instrText>
      </w:r>
      <w:r w:rsidR="00C37789" w:rsidRPr="000322E4">
        <w:instrText xml:space="preserve"> </w:instrText>
      </w:r>
      <w:r w:rsidR="00C37789" w:rsidRPr="000322E4">
        <w:rPr>
          <w:lang w:val="en-US"/>
        </w:rPr>
        <w:instrText>to</w:instrText>
      </w:r>
      <w:r w:rsidR="00C37789" w:rsidRPr="000322E4">
        <w:instrText xml:space="preserve"> </w:instrText>
      </w:r>
      <w:r w:rsidR="00C37789" w:rsidRPr="000322E4">
        <w:rPr>
          <w:lang w:val="en-US"/>
        </w:rPr>
        <w:instrText>revised</w:instrText>
      </w:r>
      <w:r w:rsidR="00C37789" w:rsidRPr="000322E4">
        <w:instrText xml:space="preserve"> </w:instrText>
      </w:r>
      <w:r w:rsidR="00C37789" w:rsidRPr="000322E4">
        <w:rPr>
          <w:lang w:val="en-US"/>
        </w:rPr>
        <w:instrText>criteria</w:instrText>
      </w:r>
      <w:r w:rsidR="00C37789" w:rsidRPr="000322E4">
        <w:instrText xml:space="preserve"> </w:instrText>
      </w:r>
      <w:r w:rsidR="00C37789" w:rsidRPr="000322E4">
        <w:rPr>
          <w:lang w:val="en-US"/>
        </w:rPr>
        <w:instrText>for</w:instrText>
      </w:r>
      <w:r w:rsidR="00C37789" w:rsidRPr="000322E4">
        <w:instrText xml:space="preserve"> </w:instrText>
      </w:r>
      <w:r w:rsidR="00C37789" w:rsidRPr="000322E4">
        <w:rPr>
          <w:lang w:val="en-US"/>
        </w:rPr>
        <w:instrText>staging</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the</w:instrText>
      </w:r>
      <w:r w:rsidR="00C37789" w:rsidRPr="000322E4">
        <w:instrText xml:space="preserve"> </w:instrText>
      </w:r>
      <w:r w:rsidR="00C37789" w:rsidRPr="000322E4">
        <w:rPr>
          <w:lang w:val="en-US"/>
        </w:rPr>
        <w:instrText>International</w:instrText>
      </w:r>
      <w:r w:rsidR="00C37789" w:rsidRPr="000322E4">
        <w:instrText xml:space="preserve"> </w:instrText>
      </w:r>
      <w:r w:rsidR="00C37789" w:rsidRPr="000322E4">
        <w:rPr>
          <w:lang w:val="en-US"/>
        </w:rPr>
        <w:instrText>Working</w:instrText>
      </w:r>
      <w:r w:rsidR="00C37789" w:rsidRPr="000322E4">
        <w:instrText xml:space="preserve"> </w:instrText>
      </w:r>
      <w:r w:rsidR="00C37789" w:rsidRPr="000322E4">
        <w:rPr>
          <w:lang w:val="en-US"/>
        </w:rPr>
        <w:instrText>Group</w:instrText>
      </w:r>
      <w:r w:rsidR="00C37789" w:rsidRPr="000322E4">
        <w:instrText xml:space="preserve"> </w:instrText>
      </w:r>
      <w:r w:rsidR="00C37789" w:rsidRPr="000322E4">
        <w:rPr>
          <w:lang w:val="en-US"/>
        </w:rPr>
        <w:instrText>Guidelines</w:instrText>
      </w:r>
      <w:r w:rsidR="00C37789" w:rsidRPr="000322E4">
        <w:instrText xml:space="preserve"> </w:instrText>
      </w:r>
      <w:r w:rsidR="00C37789" w:rsidRPr="000322E4">
        <w:rPr>
          <w:lang w:val="en-US"/>
        </w:rPr>
        <w:instrText>of</w:instrText>
      </w:r>
      <w:r w:rsidR="00C37789" w:rsidRPr="000322E4">
        <w:instrText xml:space="preserve"> 2007 </w:instrText>
      </w:r>
      <w:r w:rsidR="00C37789" w:rsidRPr="000322E4">
        <w:rPr>
          <w:lang w:val="en-US"/>
        </w:rPr>
        <w:instrText>for</w:instrText>
      </w:r>
      <w:r w:rsidR="00C37789" w:rsidRPr="000322E4">
        <w:instrText xml:space="preserve"> </w:instrText>
      </w:r>
      <w:r w:rsidR="00C37789" w:rsidRPr="000322E4">
        <w:rPr>
          <w:lang w:val="en-US"/>
        </w:rPr>
        <w:instrText>response</w:instrText>
      </w:r>
      <w:r w:rsidR="00C37789" w:rsidRPr="000322E4">
        <w:instrText xml:space="preserve">. </w:instrText>
      </w:r>
      <w:r w:rsidR="00C37789" w:rsidRPr="000322E4">
        <w:rPr>
          <w:lang w:val="en-US"/>
        </w:rPr>
        <w:instrText>As</w:instrText>
      </w:r>
      <w:r w:rsidR="00C37789" w:rsidRPr="000322E4">
        <w:instrText xml:space="preserve"> </w:instrText>
      </w:r>
      <w:r w:rsidR="00C37789" w:rsidRPr="000322E4">
        <w:rPr>
          <w:lang w:val="en-US"/>
        </w:rPr>
        <w:instrText>a</w:instrText>
      </w:r>
      <w:r w:rsidR="00C37789" w:rsidRPr="000322E4">
        <w:instrText xml:space="preserve"> </w:instrText>
      </w:r>
      <w:r w:rsidR="00C37789" w:rsidRPr="000322E4">
        <w:rPr>
          <w:lang w:val="en-US"/>
        </w:rPr>
        <w:instrText>result</w:instrText>
      </w:r>
      <w:r w:rsidR="00C37789" w:rsidRPr="000322E4">
        <w:instrText xml:space="preserve">, </w:instrText>
      </w:r>
      <w:r w:rsidR="00C37789" w:rsidRPr="000322E4">
        <w:rPr>
          <w:lang w:val="en-US"/>
        </w:rPr>
        <w:instrText>fluorodeoxyglucose</w:instrText>
      </w:r>
      <w:r w:rsidR="00C37789" w:rsidRPr="000322E4">
        <w:instrText xml:space="preserve"> (</w:instrText>
      </w:r>
      <w:r w:rsidR="00C37789" w:rsidRPr="000322E4">
        <w:rPr>
          <w:lang w:val="en-US"/>
        </w:rPr>
        <w:instrText>FDG</w:instrText>
      </w:r>
      <w:r w:rsidR="00C37789" w:rsidRPr="000322E4">
        <w:instrText xml:space="preserve">) </w:instrText>
      </w:r>
      <w:r w:rsidR="00C37789" w:rsidRPr="000322E4">
        <w:rPr>
          <w:lang w:val="en-US"/>
        </w:rPr>
        <w:instrText>positron</w:instrText>
      </w:r>
      <w:r w:rsidR="00C37789" w:rsidRPr="000322E4">
        <w:instrText xml:space="preserve"> </w:instrText>
      </w:r>
      <w:r w:rsidR="00C37789" w:rsidRPr="000322E4">
        <w:rPr>
          <w:lang w:val="en-US"/>
        </w:rPr>
        <w:instrText>emission</w:instrText>
      </w:r>
      <w:r w:rsidR="00C37789" w:rsidRPr="000322E4">
        <w:instrText xml:space="preserve"> </w:instrText>
      </w:r>
      <w:r w:rsidR="00C37789" w:rsidRPr="000322E4">
        <w:rPr>
          <w:lang w:val="en-US"/>
        </w:rPr>
        <w:instrText>tomography</w:instrText>
      </w:r>
      <w:r w:rsidR="00C37789" w:rsidRPr="000322E4">
        <w:instrText xml:space="preserve"> (</w:instrText>
      </w:r>
      <w:r w:rsidR="00C37789" w:rsidRPr="000322E4">
        <w:rPr>
          <w:lang w:val="en-US"/>
        </w:rPr>
        <w:instrText>PET</w:instrText>
      </w:r>
      <w:r w:rsidR="00C37789" w:rsidRPr="000322E4">
        <w:instrText>)-</w:instrText>
      </w:r>
      <w:r w:rsidR="00C37789" w:rsidRPr="000322E4">
        <w:rPr>
          <w:lang w:val="en-US"/>
        </w:rPr>
        <w:instrText>computed</w:instrText>
      </w:r>
      <w:r w:rsidR="00C37789" w:rsidRPr="000322E4">
        <w:instrText xml:space="preserve"> </w:instrText>
      </w:r>
      <w:r w:rsidR="00C37789" w:rsidRPr="000322E4">
        <w:rPr>
          <w:lang w:val="en-US"/>
        </w:rPr>
        <w:instrText>tomography</w:instrText>
      </w:r>
      <w:r w:rsidR="00C37789" w:rsidRPr="000322E4">
        <w:instrText xml:space="preserve"> (</w:instrText>
      </w:r>
      <w:r w:rsidR="00C37789" w:rsidRPr="000322E4">
        <w:rPr>
          <w:lang w:val="en-US"/>
        </w:rPr>
        <w:instrText>CT</w:instrText>
      </w:r>
      <w:r w:rsidR="00C37789" w:rsidRPr="000322E4">
        <w:instrText xml:space="preserve">) </w:instrText>
      </w:r>
      <w:r w:rsidR="00C37789" w:rsidRPr="000322E4">
        <w:rPr>
          <w:lang w:val="en-US"/>
        </w:rPr>
        <w:instrText>was</w:instrText>
      </w:r>
      <w:r w:rsidR="00C37789" w:rsidRPr="000322E4">
        <w:instrText xml:space="preserve"> </w:instrText>
      </w:r>
      <w:r w:rsidR="00C37789" w:rsidRPr="000322E4">
        <w:rPr>
          <w:lang w:val="en-US"/>
        </w:rPr>
        <w:instrText>formally</w:instrText>
      </w:r>
      <w:r w:rsidR="00C37789" w:rsidRPr="000322E4">
        <w:instrText xml:space="preserve"> </w:instrText>
      </w:r>
      <w:r w:rsidR="00C37789" w:rsidRPr="000322E4">
        <w:rPr>
          <w:lang w:val="en-US"/>
        </w:rPr>
        <w:instrText>incorporated</w:instrText>
      </w:r>
      <w:r w:rsidR="00C37789" w:rsidRPr="000322E4">
        <w:instrText xml:space="preserve"> </w:instrText>
      </w:r>
      <w:r w:rsidR="00C37789" w:rsidRPr="000322E4">
        <w:rPr>
          <w:lang w:val="en-US"/>
        </w:rPr>
        <w:instrText>into</w:instrText>
      </w:r>
      <w:r w:rsidR="00C37789" w:rsidRPr="000322E4">
        <w:instrText xml:space="preserve"> </w:instrText>
      </w:r>
      <w:r w:rsidR="00C37789" w:rsidRPr="000322E4">
        <w:rPr>
          <w:lang w:val="en-US"/>
        </w:rPr>
        <w:instrText>standard</w:instrText>
      </w:r>
      <w:r w:rsidR="00C37789" w:rsidRPr="000322E4">
        <w:instrText xml:space="preserve"> </w:instrText>
      </w:r>
      <w:r w:rsidR="00C37789" w:rsidRPr="000322E4">
        <w:rPr>
          <w:lang w:val="en-US"/>
        </w:rPr>
        <w:instrText>staging</w:instrText>
      </w:r>
      <w:r w:rsidR="00C37789" w:rsidRPr="000322E4">
        <w:instrText xml:space="preserve"> </w:instrText>
      </w:r>
      <w:r w:rsidR="00C37789" w:rsidRPr="000322E4">
        <w:rPr>
          <w:lang w:val="en-US"/>
        </w:rPr>
        <w:instrText>for</w:instrText>
      </w:r>
      <w:r w:rsidR="00C37789" w:rsidRPr="000322E4">
        <w:instrText xml:space="preserve"> </w:instrText>
      </w:r>
      <w:r w:rsidR="00C37789" w:rsidRPr="000322E4">
        <w:rPr>
          <w:lang w:val="en-US"/>
        </w:rPr>
        <w:instrText>FDG</w:instrText>
      </w:r>
      <w:r w:rsidR="00C37789" w:rsidRPr="000322E4">
        <w:instrText>-</w:instrText>
      </w:r>
      <w:r w:rsidR="00C37789" w:rsidRPr="000322E4">
        <w:rPr>
          <w:lang w:val="en-US"/>
        </w:rPr>
        <w:instrText>avid</w:instrText>
      </w:r>
      <w:r w:rsidR="00C37789" w:rsidRPr="000322E4">
        <w:instrText xml:space="preserve"> </w:instrText>
      </w:r>
      <w:r w:rsidR="00C37789" w:rsidRPr="000322E4">
        <w:rPr>
          <w:lang w:val="en-US"/>
        </w:rPr>
        <w:instrText>lymphomas</w:instrText>
      </w:r>
      <w:r w:rsidR="00C37789" w:rsidRPr="000322E4">
        <w:instrText xml:space="preserve">. </w:instrText>
      </w:r>
      <w:r w:rsidR="00C37789" w:rsidRPr="000322E4">
        <w:rPr>
          <w:lang w:val="en-US"/>
        </w:rPr>
        <w:instrText>A</w:instrText>
      </w:r>
      <w:r w:rsidR="00C37789" w:rsidRPr="000322E4">
        <w:instrText xml:space="preserve"> </w:instrText>
      </w:r>
      <w:r w:rsidR="00C37789" w:rsidRPr="000322E4">
        <w:rPr>
          <w:lang w:val="en-US"/>
        </w:rPr>
        <w:instrText>modification</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the</w:instrText>
      </w:r>
      <w:r w:rsidR="00C37789" w:rsidRPr="000322E4">
        <w:instrText xml:space="preserve"> </w:instrText>
      </w:r>
      <w:r w:rsidR="00C37789" w:rsidRPr="000322E4">
        <w:rPr>
          <w:lang w:val="en-US"/>
        </w:rPr>
        <w:instrText>Ann</w:instrText>
      </w:r>
      <w:r w:rsidR="00C37789" w:rsidRPr="000322E4">
        <w:instrText xml:space="preserve"> </w:instrText>
      </w:r>
      <w:r w:rsidR="00C37789" w:rsidRPr="000322E4">
        <w:rPr>
          <w:lang w:val="en-US"/>
        </w:rPr>
        <w:instrText>Arbor</w:instrText>
      </w:r>
      <w:r w:rsidR="00C37789" w:rsidRPr="000322E4">
        <w:instrText xml:space="preserve"> </w:instrText>
      </w:r>
      <w:r w:rsidR="00C37789" w:rsidRPr="000322E4">
        <w:rPr>
          <w:lang w:val="en-US"/>
        </w:rPr>
        <w:instrText>descriptive</w:instrText>
      </w:r>
      <w:r w:rsidR="00C37789" w:rsidRPr="000322E4">
        <w:instrText xml:space="preserve"> </w:instrText>
      </w:r>
      <w:r w:rsidR="00C37789" w:rsidRPr="000322E4">
        <w:rPr>
          <w:lang w:val="en-US"/>
        </w:rPr>
        <w:instrText>terminology</w:instrText>
      </w:r>
      <w:r w:rsidR="00C37789" w:rsidRPr="000322E4">
        <w:instrText xml:space="preserve"> </w:instrText>
      </w:r>
      <w:r w:rsidR="00C37789" w:rsidRPr="000322E4">
        <w:rPr>
          <w:lang w:val="en-US"/>
        </w:rPr>
        <w:instrText>will</w:instrText>
      </w:r>
      <w:r w:rsidR="00C37789" w:rsidRPr="000322E4">
        <w:instrText xml:space="preserve"> </w:instrText>
      </w:r>
      <w:r w:rsidR="00C37789" w:rsidRPr="000322E4">
        <w:rPr>
          <w:lang w:val="en-US"/>
        </w:rPr>
        <w:instrText>be</w:instrText>
      </w:r>
      <w:r w:rsidR="00C37789" w:rsidRPr="000322E4">
        <w:instrText xml:space="preserve"> </w:instrText>
      </w:r>
      <w:r w:rsidR="00C37789" w:rsidRPr="000322E4">
        <w:rPr>
          <w:lang w:val="en-US"/>
        </w:rPr>
        <w:instrText>used</w:instrText>
      </w:r>
      <w:r w:rsidR="00C37789" w:rsidRPr="000322E4">
        <w:instrText xml:space="preserve"> </w:instrText>
      </w:r>
      <w:r w:rsidR="00C37789" w:rsidRPr="000322E4">
        <w:rPr>
          <w:lang w:val="en-US"/>
        </w:rPr>
        <w:instrText>for</w:instrText>
      </w:r>
      <w:r w:rsidR="00C37789" w:rsidRPr="000322E4">
        <w:instrText xml:space="preserve"> </w:instrText>
      </w:r>
      <w:r w:rsidR="00C37789" w:rsidRPr="000322E4">
        <w:rPr>
          <w:lang w:val="en-US"/>
        </w:rPr>
        <w:instrText>anatomic</w:instrText>
      </w:r>
      <w:r w:rsidR="00C37789" w:rsidRPr="000322E4">
        <w:instrText xml:space="preserve"> </w:instrText>
      </w:r>
      <w:r w:rsidR="00C37789" w:rsidRPr="000322E4">
        <w:rPr>
          <w:lang w:val="en-US"/>
        </w:rPr>
        <w:instrText>distribution</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disease</w:instrText>
      </w:r>
      <w:r w:rsidR="00C37789" w:rsidRPr="000322E4">
        <w:instrText xml:space="preserve"> </w:instrText>
      </w:r>
      <w:r w:rsidR="00C37789" w:rsidRPr="000322E4">
        <w:rPr>
          <w:lang w:val="en-US"/>
        </w:rPr>
        <w:instrText>extent</w:instrText>
      </w:r>
      <w:r w:rsidR="00C37789" w:rsidRPr="000322E4">
        <w:instrText xml:space="preserve">, </w:instrText>
      </w:r>
      <w:r w:rsidR="00C37789" w:rsidRPr="000322E4">
        <w:rPr>
          <w:lang w:val="en-US"/>
        </w:rPr>
        <w:instrText>but</w:instrText>
      </w:r>
      <w:r w:rsidR="00C37789" w:rsidRPr="000322E4">
        <w:instrText xml:space="preserve"> </w:instrText>
      </w:r>
      <w:r w:rsidR="00C37789" w:rsidRPr="000322E4">
        <w:rPr>
          <w:lang w:val="en-US"/>
        </w:rPr>
        <w:instrText>the</w:instrText>
      </w:r>
      <w:r w:rsidR="00C37789" w:rsidRPr="000322E4">
        <w:instrText xml:space="preserve"> </w:instrText>
      </w:r>
      <w:r w:rsidR="00C37789" w:rsidRPr="000322E4">
        <w:rPr>
          <w:lang w:val="en-US"/>
        </w:rPr>
        <w:instrText>suffixes</w:instrText>
      </w:r>
      <w:r w:rsidR="00C37789" w:rsidRPr="000322E4">
        <w:instrText xml:space="preserve"> </w:instrText>
      </w:r>
      <w:r w:rsidR="00C37789" w:rsidRPr="000322E4">
        <w:rPr>
          <w:lang w:val="en-US"/>
        </w:rPr>
        <w:instrText>A</w:instrText>
      </w:r>
      <w:r w:rsidR="00C37789" w:rsidRPr="000322E4">
        <w:instrText xml:space="preserve"> </w:instrText>
      </w:r>
      <w:r w:rsidR="00C37789" w:rsidRPr="000322E4">
        <w:rPr>
          <w:lang w:val="en-US"/>
        </w:rPr>
        <w:instrText>or</w:instrText>
      </w:r>
      <w:r w:rsidR="00C37789" w:rsidRPr="000322E4">
        <w:instrText xml:space="preserve"> </w:instrText>
      </w:r>
      <w:r w:rsidR="00C37789" w:rsidRPr="000322E4">
        <w:rPr>
          <w:lang w:val="en-US"/>
        </w:rPr>
        <w:instrText>B</w:instrText>
      </w:r>
      <w:r w:rsidR="00C37789" w:rsidRPr="000322E4">
        <w:instrText xml:space="preserve"> </w:instrText>
      </w:r>
      <w:r w:rsidR="00C37789" w:rsidRPr="000322E4">
        <w:rPr>
          <w:lang w:val="en-US"/>
        </w:rPr>
        <w:instrText>for</w:instrText>
      </w:r>
      <w:r w:rsidR="00C37789" w:rsidRPr="000322E4">
        <w:instrText xml:space="preserve"> </w:instrText>
      </w:r>
      <w:r w:rsidR="00C37789" w:rsidRPr="000322E4">
        <w:rPr>
          <w:lang w:val="en-US"/>
        </w:rPr>
        <w:instrText>symptoms</w:instrText>
      </w:r>
      <w:r w:rsidR="00C37789" w:rsidRPr="000322E4">
        <w:instrText xml:space="preserve"> </w:instrText>
      </w:r>
      <w:r w:rsidR="00C37789" w:rsidRPr="000322E4">
        <w:rPr>
          <w:lang w:val="en-US"/>
        </w:rPr>
        <w:instrText>will</w:instrText>
      </w:r>
      <w:r w:rsidR="00C37789" w:rsidRPr="000322E4">
        <w:instrText xml:space="preserve"> </w:instrText>
      </w:r>
      <w:r w:rsidR="00C37789" w:rsidRPr="000322E4">
        <w:rPr>
          <w:lang w:val="en-US"/>
        </w:rPr>
        <w:instrText>only</w:instrText>
      </w:r>
      <w:r w:rsidR="00C37789" w:rsidRPr="000322E4">
        <w:instrText xml:space="preserve"> </w:instrText>
      </w:r>
      <w:r w:rsidR="00C37789" w:rsidRPr="000322E4">
        <w:rPr>
          <w:lang w:val="en-US"/>
        </w:rPr>
        <w:instrText>be</w:instrText>
      </w:r>
      <w:r w:rsidR="00C37789" w:rsidRPr="000322E4">
        <w:instrText xml:space="preserve"> </w:instrText>
      </w:r>
      <w:r w:rsidR="00C37789" w:rsidRPr="000322E4">
        <w:rPr>
          <w:lang w:val="en-US"/>
        </w:rPr>
        <w:instrText>included</w:instrText>
      </w:r>
      <w:r w:rsidR="00C37789" w:rsidRPr="000322E4">
        <w:instrText xml:space="preserve"> </w:instrText>
      </w:r>
      <w:r w:rsidR="00C37789" w:rsidRPr="000322E4">
        <w:rPr>
          <w:lang w:val="en-US"/>
        </w:rPr>
        <w:instrText>for</w:instrText>
      </w:r>
      <w:r w:rsidR="00C37789" w:rsidRPr="000322E4">
        <w:instrText xml:space="preserve"> </w:instrText>
      </w:r>
      <w:r w:rsidR="00C37789" w:rsidRPr="000322E4">
        <w:rPr>
          <w:lang w:val="en-US"/>
        </w:rPr>
        <w:instrText>HL</w:instrText>
      </w:r>
      <w:r w:rsidR="00C37789" w:rsidRPr="000322E4">
        <w:instrText xml:space="preserve">. </w:instrText>
      </w:r>
      <w:r w:rsidR="00C37789" w:rsidRPr="000322E4">
        <w:rPr>
          <w:lang w:val="en-US"/>
        </w:rPr>
        <w:instrText>A</w:instrText>
      </w:r>
      <w:r w:rsidR="00C37789" w:rsidRPr="000322E4">
        <w:instrText xml:space="preserve"> </w:instrText>
      </w:r>
      <w:r w:rsidR="00C37789" w:rsidRPr="000322E4">
        <w:rPr>
          <w:lang w:val="en-US"/>
        </w:rPr>
        <w:instrText>bone</w:instrText>
      </w:r>
      <w:r w:rsidR="00C37789" w:rsidRPr="000322E4">
        <w:instrText xml:space="preserve"> </w:instrText>
      </w:r>
      <w:r w:rsidR="00C37789" w:rsidRPr="000322E4">
        <w:rPr>
          <w:lang w:val="en-US"/>
        </w:rPr>
        <w:instrText>marrow</w:instrText>
      </w:r>
      <w:r w:rsidR="00C37789" w:rsidRPr="000322E4">
        <w:instrText xml:space="preserve"> </w:instrText>
      </w:r>
      <w:r w:rsidR="00C37789" w:rsidRPr="000322E4">
        <w:rPr>
          <w:lang w:val="en-US"/>
        </w:rPr>
        <w:instrText>biopsy</w:instrText>
      </w:r>
      <w:r w:rsidR="00C37789" w:rsidRPr="000322E4">
        <w:instrText xml:space="preserve"> </w:instrText>
      </w:r>
      <w:r w:rsidR="00C37789" w:rsidRPr="000322E4">
        <w:rPr>
          <w:lang w:val="en-US"/>
        </w:rPr>
        <w:instrText>is</w:instrText>
      </w:r>
      <w:r w:rsidR="00C37789" w:rsidRPr="000322E4">
        <w:instrText xml:space="preserve"> </w:instrText>
      </w:r>
      <w:r w:rsidR="00C37789" w:rsidRPr="000322E4">
        <w:rPr>
          <w:lang w:val="en-US"/>
        </w:rPr>
        <w:instrText>no</w:instrText>
      </w:r>
      <w:r w:rsidR="00C37789" w:rsidRPr="000322E4">
        <w:instrText xml:space="preserve"> </w:instrText>
      </w:r>
      <w:r w:rsidR="00C37789" w:rsidRPr="000322E4">
        <w:rPr>
          <w:lang w:val="en-US"/>
        </w:rPr>
        <w:instrText>longer</w:instrText>
      </w:r>
      <w:r w:rsidR="00C37789" w:rsidRPr="000322E4">
        <w:instrText xml:space="preserve"> </w:instrText>
      </w:r>
      <w:r w:rsidR="00C37789" w:rsidRPr="000322E4">
        <w:rPr>
          <w:lang w:val="en-US"/>
        </w:rPr>
        <w:instrText>indicated</w:instrText>
      </w:r>
      <w:r w:rsidR="00C37789" w:rsidRPr="000322E4">
        <w:instrText xml:space="preserve"> </w:instrText>
      </w:r>
      <w:r w:rsidR="00C37789" w:rsidRPr="000322E4">
        <w:rPr>
          <w:lang w:val="en-US"/>
        </w:rPr>
        <w:instrText>for</w:instrText>
      </w:r>
      <w:r w:rsidR="00C37789" w:rsidRPr="000322E4">
        <w:instrText xml:space="preserve"> </w:instrText>
      </w:r>
      <w:r w:rsidR="00C37789" w:rsidRPr="000322E4">
        <w:rPr>
          <w:lang w:val="en-US"/>
        </w:rPr>
        <w:instrText>the</w:instrText>
      </w:r>
      <w:r w:rsidR="00C37789" w:rsidRPr="000322E4">
        <w:instrText xml:space="preserve"> </w:instrText>
      </w:r>
      <w:r w:rsidR="00C37789" w:rsidRPr="000322E4">
        <w:rPr>
          <w:lang w:val="en-US"/>
        </w:rPr>
        <w:instrText>routine</w:instrText>
      </w:r>
      <w:r w:rsidR="00C37789" w:rsidRPr="000322E4">
        <w:instrText xml:space="preserve"> </w:instrText>
      </w:r>
      <w:r w:rsidR="00C37789" w:rsidRPr="000322E4">
        <w:rPr>
          <w:lang w:val="en-US"/>
        </w:rPr>
        <w:instrText>staging</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HL</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most</w:instrText>
      </w:r>
      <w:r w:rsidR="00C37789" w:rsidRPr="000322E4">
        <w:instrText xml:space="preserve"> </w:instrText>
      </w:r>
      <w:r w:rsidR="00C37789" w:rsidRPr="000322E4">
        <w:rPr>
          <w:lang w:val="en-US"/>
        </w:rPr>
        <w:instrText>diffuse</w:instrText>
      </w:r>
      <w:r w:rsidR="00C37789" w:rsidRPr="000322E4">
        <w:instrText xml:space="preserve"> </w:instrText>
      </w:r>
      <w:r w:rsidR="00C37789" w:rsidRPr="000322E4">
        <w:rPr>
          <w:lang w:val="en-US"/>
        </w:rPr>
        <w:instrText>large</w:instrText>
      </w:r>
      <w:r w:rsidR="00C37789" w:rsidRPr="000322E4">
        <w:instrText xml:space="preserve"> </w:instrText>
      </w:r>
      <w:r w:rsidR="00C37789" w:rsidRPr="000322E4">
        <w:rPr>
          <w:lang w:val="en-US"/>
        </w:rPr>
        <w:instrText>B</w:instrText>
      </w:r>
      <w:r w:rsidR="00C37789" w:rsidRPr="000322E4">
        <w:instrText>-</w:instrText>
      </w:r>
      <w:r w:rsidR="00C37789" w:rsidRPr="000322E4">
        <w:rPr>
          <w:lang w:val="en-US"/>
        </w:rPr>
        <w:instrText>cell</w:instrText>
      </w:r>
      <w:r w:rsidR="00C37789" w:rsidRPr="000322E4">
        <w:instrText xml:space="preserve"> </w:instrText>
      </w:r>
      <w:r w:rsidR="00C37789" w:rsidRPr="000322E4">
        <w:rPr>
          <w:lang w:val="en-US"/>
        </w:rPr>
        <w:instrText>lymphomas</w:instrText>
      </w:r>
      <w:r w:rsidR="00C37789" w:rsidRPr="000322E4">
        <w:instrText xml:space="preserve">. </w:instrText>
      </w:r>
      <w:r w:rsidR="00C37789" w:rsidRPr="000322E4">
        <w:rPr>
          <w:lang w:val="en-US"/>
        </w:rPr>
        <w:instrText>However</w:instrText>
      </w:r>
      <w:r w:rsidR="00C37789" w:rsidRPr="000322E4">
        <w:instrText xml:space="preserve">, </w:instrText>
      </w:r>
      <w:r w:rsidR="00C37789" w:rsidRPr="000322E4">
        <w:rPr>
          <w:lang w:val="en-US"/>
        </w:rPr>
        <w:instrText>regardless</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stage</w:instrText>
      </w:r>
      <w:r w:rsidR="00C37789" w:rsidRPr="000322E4">
        <w:instrText xml:space="preserve">, </w:instrText>
      </w:r>
      <w:r w:rsidR="00C37789" w:rsidRPr="000322E4">
        <w:rPr>
          <w:lang w:val="en-US"/>
        </w:rPr>
        <w:instrText>general</w:instrText>
      </w:r>
      <w:r w:rsidR="00C37789" w:rsidRPr="000322E4">
        <w:instrText xml:space="preserve"> </w:instrText>
      </w:r>
      <w:r w:rsidR="00C37789" w:rsidRPr="000322E4">
        <w:rPr>
          <w:lang w:val="en-US"/>
        </w:rPr>
        <w:instrText>practice</w:instrText>
      </w:r>
      <w:r w:rsidR="00C37789" w:rsidRPr="000322E4">
        <w:instrText xml:space="preserve"> </w:instrText>
      </w:r>
      <w:r w:rsidR="00C37789" w:rsidRPr="000322E4">
        <w:rPr>
          <w:lang w:val="en-US"/>
        </w:rPr>
        <w:instrText>is</w:instrText>
      </w:r>
      <w:r w:rsidR="00C37789" w:rsidRPr="000322E4">
        <w:instrText xml:space="preserve"> </w:instrText>
      </w:r>
      <w:r w:rsidR="00C37789" w:rsidRPr="000322E4">
        <w:rPr>
          <w:lang w:val="en-US"/>
        </w:rPr>
        <w:instrText>to</w:instrText>
      </w:r>
      <w:r w:rsidR="00C37789" w:rsidRPr="000322E4">
        <w:instrText xml:space="preserve"> </w:instrText>
      </w:r>
      <w:r w:rsidR="00C37789" w:rsidRPr="000322E4">
        <w:rPr>
          <w:lang w:val="en-US"/>
        </w:rPr>
        <w:instrText>treat</w:instrText>
      </w:r>
      <w:r w:rsidR="00C37789" w:rsidRPr="000322E4">
        <w:instrText xml:space="preserve"> </w:instrText>
      </w:r>
      <w:r w:rsidR="00C37789" w:rsidRPr="000322E4">
        <w:rPr>
          <w:lang w:val="en-US"/>
        </w:rPr>
        <w:instrText>patients</w:instrText>
      </w:r>
      <w:r w:rsidR="00C37789" w:rsidRPr="000322E4">
        <w:instrText xml:space="preserve"> </w:instrText>
      </w:r>
      <w:r w:rsidR="00C37789" w:rsidRPr="000322E4">
        <w:rPr>
          <w:lang w:val="en-US"/>
        </w:rPr>
        <w:instrText>based</w:instrText>
      </w:r>
      <w:r w:rsidR="00C37789" w:rsidRPr="000322E4">
        <w:instrText xml:space="preserve"> </w:instrText>
      </w:r>
      <w:r w:rsidR="00C37789" w:rsidRPr="000322E4">
        <w:rPr>
          <w:lang w:val="en-US"/>
        </w:rPr>
        <w:instrText>on</w:instrText>
      </w:r>
      <w:r w:rsidR="00C37789" w:rsidRPr="000322E4">
        <w:instrText xml:space="preserve"> </w:instrText>
      </w:r>
      <w:r w:rsidR="00C37789" w:rsidRPr="000322E4">
        <w:rPr>
          <w:lang w:val="en-US"/>
        </w:rPr>
        <w:instrText>limited</w:instrText>
      </w:r>
      <w:r w:rsidR="00C37789" w:rsidRPr="000322E4">
        <w:instrText xml:space="preserve"> (</w:instrText>
      </w:r>
      <w:r w:rsidR="00C37789" w:rsidRPr="000322E4">
        <w:rPr>
          <w:lang w:val="en-US"/>
        </w:rPr>
        <w:instrText>stages</w:instrText>
      </w:r>
      <w:r w:rsidR="00C37789" w:rsidRPr="000322E4">
        <w:instrText xml:space="preserve"> </w:instrText>
      </w:r>
      <w:r w:rsidR="00C37789" w:rsidRPr="000322E4">
        <w:rPr>
          <w:lang w:val="en-US"/>
        </w:rPr>
        <w:instrText>I</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II</w:instrText>
      </w:r>
      <w:r w:rsidR="00C37789" w:rsidRPr="000322E4">
        <w:instrText xml:space="preserve">, </w:instrText>
      </w:r>
      <w:r w:rsidR="00C37789" w:rsidRPr="000322E4">
        <w:rPr>
          <w:lang w:val="en-US"/>
        </w:rPr>
        <w:instrText>nonbulky</w:instrText>
      </w:r>
      <w:r w:rsidR="00C37789" w:rsidRPr="000322E4">
        <w:instrText xml:space="preserve">) </w:instrText>
      </w:r>
      <w:r w:rsidR="00C37789" w:rsidRPr="000322E4">
        <w:rPr>
          <w:lang w:val="en-US"/>
        </w:rPr>
        <w:instrText>or</w:instrText>
      </w:r>
      <w:r w:rsidR="00C37789" w:rsidRPr="000322E4">
        <w:instrText xml:space="preserve"> </w:instrText>
      </w:r>
      <w:r w:rsidR="00C37789" w:rsidRPr="000322E4">
        <w:rPr>
          <w:lang w:val="en-US"/>
        </w:rPr>
        <w:instrText>advanced</w:instrText>
      </w:r>
      <w:r w:rsidR="00C37789" w:rsidRPr="000322E4">
        <w:instrText xml:space="preserve"> (</w:instrText>
      </w:r>
      <w:r w:rsidR="00C37789" w:rsidRPr="000322E4">
        <w:rPr>
          <w:lang w:val="en-US"/>
        </w:rPr>
        <w:instrText>stage</w:instrText>
      </w:r>
      <w:r w:rsidR="00C37789" w:rsidRPr="000322E4">
        <w:instrText xml:space="preserve"> </w:instrText>
      </w:r>
      <w:r w:rsidR="00C37789" w:rsidRPr="000322E4">
        <w:rPr>
          <w:lang w:val="en-US"/>
        </w:rPr>
        <w:instrText>III</w:instrText>
      </w:r>
      <w:r w:rsidR="00C37789" w:rsidRPr="000322E4">
        <w:instrText xml:space="preserve"> </w:instrText>
      </w:r>
      <w:r w:rsidR="00C37789" w:rsidRPr="000322E4">
        <w:rPr>
          <w:lang w:val="en-US"/>
        </w:rPr>
        <w:instrText>or</w:instrText>
      </w:r>
      <w:r w:rsidR="00C37789" w:rsidRPr="000322E4">
        <w:instrText xml:space="preserve"> </w:instrText>
      </w:r>
      <w:r w:rsidR="00C37789" w:rsidRPr="000322E4">
        <w:rPr>
          <w:lang w:val="en-US"/>
        </w:rPr>
        <w:instrText>IV</w:instrText>
      </w:r>
      <w:r w:rsidR="00C37789" w:rsidRPr="000322E4">
        <w:instrText xml:space="preserve">) </w:instrText>
      </w:r>
      <w:r w:rsidR="00C37789" w:rsidRPr="000322E4">
        <w:rPr>
          <w:lang w:val="en-US"/>
        </w:rPr>
        <w:instrText>disease</w:instrText>
      </w:r>
      <w:r w:rsidR="00C37789" w:rsidRPr="000322E4">
        <w:instrText xml:space="preserve">, </w:instrText>
      </w:r>
      <w:r w:rsidR="00C37789" w:rsidRPr="000322E4">
        <w:rPr>
          <w:lang w:val="en-US"/>
        </w:rPr>
        <w:instrText>with</w:instrText>
      </w:r>
      <w:r w:rsidR="00C37789" w:rsidRPr="000322E4">
        <w:instrText xml:space="preserve"> </w:instrText>
      </w:r>
      <w:r w:rsidR="00C37789" w:rsidRPr="000322E4">
        <w:rPr>
          <w:lang w:val="en-US"/>
        </w:rPr>
        <w:instrText>stage</w:instrText>
      </w:r>
      <w:r w:rsidR="00C37789" w:rsidRPr="000322E4">
        <w:instrText xml:space="preserve"> </w:instrText>
      </w:r>
      <w:r w:rsidR="00C37789" w:rsidRPr="000322E4">
        <w:rPr>
          <w:lang w:val="en-US"/>
        </w:rPr>
        <w:instrText>II</w:instrText>
      </w:r>
      <w:r w:rsidR="00C37789" w:rsidRPr="000322E4">
        <w:instrText xml:space="preserve"> </w:instrText>
      </w:r>
      <w:r w:rsidR="00C37789" w:rsidRPr="000322E4">
        <w:rPr>
          <w:lang w:val="en-US"/>
        </w:rPr>
        <w:instrText>bulky</w:instrText>
      </w:r>
      <w:r w:rsidR="00C37789" w:rsidRPr="000322E4">
        <w:instrText xml:space="preserve"> </w:instrText>
      </w:r>
      <w:r w:rsidR="00C37789" w:rsidRPr="000322E4">
        <w:rPr>
          <w:lang w:val="en-US"/>
        </w:rPr>
        <w:instrText>disease</w:instrText>
      </w:r>
      <w:r w:rsidR="00C37789" w:rsidRPr="000322E4">
        <w:instrText xml:space="preserve"> </w:instrText>
      </w:r>
      <w:r w:rsidR="00C37789" w:rsidRPr="000322E4">
        <w:rPr>
          <w:lang w:val="en-US"/>
        </w:rPr>
        <w:instrText>considered</w:instrText>
      </w:r>
      <w:r w:rsidR="00C37789" w:rsidRPr="000322E4">
        <w:instrText xml:space="preserve"> </w:instrText>
      </w:r>
      <w:r w:rsidR="00C37789" w:rsidRPr="000322E4">
        <w:rPr>
          <w:lang w:val="en-US"/>
        </w:rPr>
        <w:instrText>as</w:instrText>
      </w:r>
      <w:r w:rsidR="00C37789" w:rsidRPr="000322E4">
        <w:instrText xml:space="preserve"> </w:instrText>
      </w:r>
      <w:r w:rsidR="00C37789" w:rsidRPr="000322E4">
        <w:rPr>
          <w:lang w:val="en-US"/>
        </w:rPr>
        <w:instrText>limited</w:instrText>
      </w:r>
      <w:r w:rsidR="00C37789" w:rsidRPr="000322E4">
        <w:instrText xml:space="preserve"> </w:instrText>
      </w:r>
      <w:r w:rsidR="00C37789" w:rsidRPr="000322E4">
        <w:rPr>
          <w:lang w:val="en-US"/>
        </w:rPr>
        <w:instrText>or</w:instrText>
      </w:r>
      <w:r w:rsidR="00C37789" w:rsidRPr="000322E4">
        <w:instrText xml:space="preserve"> </w:instrText>
      </w:r>
      <w:r w:rsidR="00C37789" w:rsidRPr="000322E4">
        <w:rPr>
          <w:lang w:val="en-US"/>
        </w:rPr>
        <w:instrText>advanced</w:instrText>
      </w:r>
      <w:r w:rsidR="00C37789" w:rsidRPr="000322E4">
        <w:instrText xml:space="preserve"> </w:instrText>
      </w:r>
      <w:r w:rsidR="00C37789" w:rsidRPr="000322E4">
        <w:rPr>
          <w:lang w:val="en-US"/>
        </w:rPr>
        <w:instrText>disease</w:instrText>
      </w:r>
      <w:r w:rsidR="00C37789" w:rsidRPr="000322E4">
        <w:instrText xml:space="preserve"> </w:instrText>
      </w:r>
      <w:r w:rsidR="00C37789" w:rsidRPr="000322E4">
        <w:rPr>
          <w:lang w:val="en-US"/>
        </w:rPr>
        <w:instrText>based</w:instrText>
      </w:r>
      <w:r w:rsidR="00C37789" w:rsidRPr="000322E4">
        <w:instrText xml:space="preserve"> </w:instrText>
      </w:r>
      <w:r w:rsidR="00C37789" w:rsidRPr="000322E4">
        <w:rPr>
          <w:lang w:val="en-US"/>
        </w:rPr>
        <w:instrText>on</w:instrText>
      </w:r>
      <w:r w:rsidR="00C37789" w:rsidRPr="000322E4">
        <w:instrText xml:space="preserve"> </w:instrText>
      </w:r>
      <w:r w:rsidR="00C37789" w:rsidRPr="000322E4">
        <w:rPr>
          <w:lang w:val="en-US"/>
        </w:rPr>
        <w:instrText>histology</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a</w:instrText>
      </w:r>
      <w:r w:rsidR="00C37789" w:rsidRPr="000322E4">
        <w:instrText xml:space="preserve"> </w:instrText>
      </w:r>
      <w:r w:rsidR="00C37789" w:rsidRPr="000322E4">
        <w:rPr>
          <w:lang w:val="en-US"/>
        </w:rPr>
        <w:instrText>number</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prognostic</w:instrText>
      </w:r>
      <w:r w:rsidR="00C37789" w:rsidRPr="000322E4">
        <w:instrText xml:space="preserve"> </w:instrText>
      </w:r>
      <w:r w:rsidR="00C37789" w:rsidRPr="000322E4">
        <w:rPr>
          <w:lang w:val="en-US"/>
        </w:rPr>
        <w:instrText>factors</w:instrText>
      </w:r>
      <w:r w:rsidR="00C37789" w:rsidRPr="000322E4">
        <w:instrText xml:space="preserve">. </w:instrText>
      </w:r>
      <w:r w:rsidR="00C37789" w:rsidRPr="000322E4">
        <w:rPr>
          <w:lang w:val="en-US"/>
        </w:rPr>
        <w:instrText>PET</w:instrText>
      </w:r>
      <w:r w:rsidR="00C37789" w:rsidRPr="000322E4">
        <w:instrText>-</w:instrText>
      </w:r>
      <w:r w:rsidR="00C37789" w:rsidRPr="000322E4">
        <w:rPr>
          <w:lang w:val="en-US"/>
        </w:rPr>
        <w:instrText>CT</w:instrText>
      </w:r>
      <w:r w:rsidR="00C37789" w:rsidRPr="000322E4">
        <w:instrText xml:space="preserve"> </w:instrText>
      </w:r>
      <w:r w:rsidR="00C37789" w:rsidRPr="000322E4">
        <w:rPr>
          <w:lang w:val="en-US"/>
        </w:rPr>
        <w:instrText>will</w:instrText>
      </w:r>
      <w:r w:rsidR="00C37789" w:rsidRPr="000322E4">
        <w:instrText xml:space="preserve"> </w:instrText>
      </w:r>
      <w:r w:rsidR="00C37789" w:rsidRPr="000322E4">
        <w:rPr>
          <w:lang w:val="en-US"/>
        </w:rPr>
        <w:instrText>be</w:instrText>
      </w:r>
      <w:r w:rsidR="00C37789" w:rsidRPr="000322E4">
        <w:instrText xml:space="preserve"> </w:instrText>
      </w:r>
      <w:r w:rsidR="00C37789" w:rsidRPr="000322E4">
        <w:rPr>
          <w:lang w:val="en-US"/>
        </w:rPr>
        <w:instrText>used</w:instrText>
      </w:r>
      <w:r w:rsidR="00C37789" w:rsidRPr="000322E4">
        <w:instrText xml:space="preserve"> </w:instrText>
      </w:r>
      <w:r w:rsidR="00C37789" w:rsidRPr="000322E4">
        <w:rPr>
          <w:lang w:val="en-US"/>
        </w:rPr>
        <w:instrText>to</w:instrText>
      </w:r>
      <w:r w:rsidR="00C37789" w:rsidRPr="000322E4">
        <w:instrText xml:space="preserve"> </w:instrText>
      </w:r>
      <w:r w:rsidR="00C37789" w:rsidRPr="000322E4">
        <w:rPr>
          <w:lang w:val="en-US"/>
        </w:rPr>
        <w:instrText>assess</w:instrText>
      </w:r>
      <w:r w:rsidR="00C37789" w:rsidRPr="000322E4">
        <w:instrText xml:space="preserve"> </w:instrText>
      </w:r>
      <w:r w:rsidR="00C37789" w:rsidRPr="000322E4">
        <w:rPr>
          <w:lang w:val="en-US"/>
        </w:rPr>
        <w:instrText>response</w:instrText>
      </w:r>
      <w:r w:rsidR="00C37789" w:rsidRPr="000322E4">
        <w:instrText xml:space="preserve"> </w:instrText>
      </w:r>
      <w:r w:rsidR="00C37789" w:rsidRPr="000322E4">
        <w:rPr>
          <w:lang w:val="en-US"/>
        </w:rPr>
        <w:instrText>in</w:instrText>
      </w:r>
      <w:r w:rsidR="00C37789" w:rsidRPr="000322E4">
        <w:instrText xml:space="preserve"> </w:instrText>
      </w:r>
      <w:r w:rsidR="00C37789" w:rsidRPr="000322E4">
        <w:rPr>
          <w:lang w:val="en-US"/>
        </w:rPr>
        <w:instrText>FDG</w:instrText>
      </w:r>
      <w:r w:rsidR="00C37789" w:rsidRPr="000322E4">
        <w:instrText>-</w:instrText>
      </w:r>
      <w:r w:rsidR="00C37789" w:rsidRPr="000322E4">
        <w:rPr>
          <w:lang w:val="en-US"/>
        </w:rPr>
        <w:instrText>avid</w:instrText>
      </w:r>
      <w:r w:rsidR="00C37789" w:rsidRPr="000322E4">
        <w:instrText xml:space="preserve"> </w:instrText>
      </w:r>
      <w:r w:rsidR="00C37789" w:rsidRPr="000322E4">
        <w:rPr>
          <w:lang w:val="en-US"/>
        </w:rPr>
        <w:instrText>histologies</w:instrText>
      </w:r>
      <w:r w:rsidR="00C37789" w:rsidRPr="000322E4">
        <w:instrText xml:space="preserve"> </w:instrText>
      </w:r>
      <w:r w:rsidR="00C37789" w:rsidRPr="000322E4">
        <w:rPr>
          <w:lang w:val="en-US"/>
        </w:rPr>
        <w:instrText>using</w:instrText>
      </w:r>
      <w:r w:rsidR="00C37789" w:rsidRPr="000322E4">
        <w:instrText xml:space="preserve"> </w:instrText>
      </w:r>
      <w:r w:rsidR="00C37789" w:rsidRPr="000322E4">
        <w:rPr>
          <w:lang w:val="en-US"/>
        </w:rPr>
        <w:instrText>the</w:instrText>
      </w:r>
      <w:r w:rsidR="00C37789" w:rsidRPr="000322E4">
        <w:instrText xml:space="preserve"> 5-</w:instrText>
      </w:r>
      <w:r w:rsidR="00C37789" w:rsidRPr="000322E4">
        <w:rPr>
          <w:lang w:val="en-US"/>
        </w:rPr>
        <w:instrText>point</w:instrText>
      </w:r>
      <w:r w:rsidR="00C37789" w:rsidRPr="000322E4">
        <w:instrText xml:space="preserve"> </w:instrText>
      </w:r>
      <w:r w:rsidR="00C37789" w:rsidRPr="000322E4">
        <w:rPr>
          <w:lang w:val="en-US"/>
        </w:rPr>
        <w:instrText>scale</w:instrText>
      </w:r>
      <w:r w:rsidR="00C37789" w:rsidRPr="000322E4">
        <w:instrText xml:space="preserve">. </w:instrText>
      </w:r>
      <w:r w:rsidR="00C37789" w:rsidRPr="000322E4">
        <w:rPr>
          <w:lang w:val="en-US"/>
        </w:rPr>
        <w:instrText>The</w:instrText>
      </w:r>
      <w:r w:rsidR="00C37789" w:rsidRPr="000322E4">
        <w:instrText xml:space="preserve"> </w:instrText>
      </w:r>
      <w:r w:rsidR="00C37789" w:rsidRPr="000322E4">
        <w:rPr>
          <w:lang w:val="en-US"/>
        </w:rPr>
        <w:instrText>product</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the</w:instrText>
      </w:r>
      <w:r w:rsidR="00C37789" w:rsidRPr="000322E4">
        <w:instrText xml:space="preserve"> </w:instrText>
      </w:r>
      <w:r w:rsidR="00C37789" w:rsidRPr="000322E4">
        <w:rPr>
          <w:lang w:val="en-US"/>
        </w:rPr>
        <w:instrText>perpendicular</w:instrText>
      </w:r>
      <w:r w:rsidR="00C37789" w:rsidRPr="000322E4">
        <w:instrText xml:space="preserve"> </w:instrText>
      </w:r>
      <w:r w:rsidR="00C37789" w:rsidRPr="000322E4">
        <w:rPr>
          <w:lang w:val="en-US"/>
        </w:rPr>
        <w:instrText>diameters</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a</w:instrText>
      </w:r>
      <w:r w:rsidR="00C37789" w:rsidRPr="000322E4">
        <w:instrText xml:space="preserve"> </w:instrText>
      </w:r>
      <w:r w:rsidR="00C37789" w:rsidRPr="000322E4">
        <w:rPr>
          <w:lang w:val="en-US"/>
        </w:rPr>
        <w:instrText>single</w:instrText>
      </w:r>
      <w:r w:rsidR="00C37789" w:rsidRPr="000322E4">
        <w:instrText xml:space="preserve"> </w:instrText>
      </w:r>
      <w:r w:rsidR="00C37789" w:rsidRPr="000322E4">
        <w:rPr>
          <w:lang w:val="en-US"/>
        </w:rPr>
        <w:instrText>node</w:instrText>
      </w:r>
      <w:r w:rsidR="00C37789" w:rsidRPr="000322E4">
        <w:instrText xml:space="preserve"> </w:instrText>
      </w:r>
      <w:r w:rsidR="00C37789" w:rsidRPr="000322E4">
        <w:rPr>
          <w:lang w:val="en-US"/>
        </w:rPr>
        <w:instrText>can</w:instrText>
      </w:r>
      <w:r w:rsidR="00C37789" w:rsidRPr="000322E4">
        <w:instrText xml:space="preserve"> </w:instrText>
      </w:r>
      <w:r w:rsidR="00C37789" w:rsidRPr="000322E4">
        <w:rPr>
          <w:lang w:val="en-US"/>
        </w:rPr>
        <w:instrText>be</w:instrText>
      </w:r>
      <w:r w:rsidR="00C37789" w:rsidRPr="000322E4">
        <w:instrText xml:space="preserve"> </w:instrText>
      </w:r>
      <w:r w:rsidR="00C37789" w:rsidRPr="000322E4">
        <w:rPr>
          <w:lang w:val="en-US"/>
        </w:rPr>
        <w:instrText>used</w:instrText>
      </w:r>
      <w:r w:rsidR="00C37789" w:rsidRPr="000322E4">
        <w:instrText xml:space="preserve"> </w:instrText>
      </w:r>
      <w:r w:rsidR="00C37789" w:rsidRPr="000322E4">
        <w:rPr>
          <w:lang w:val="en-US"/>
        </w:rPr>
        <w:instrText>to</w:instrText>
      </w:r>
      <w:r w:rsidR="00C37789" w:rsidRPr="000322E4">
        <w:instrText xml:space="preserve"> </w:instrText>
      </w:r>
      <w:r w:rsidR="00C37789" w:rsidRPr="000322E4">
        <w:rPr>
          <w:lang w:val="en-US"/>
        </w:rPr>
        <w:instrText>identify</w:instrText>
      </w:r>
      <w:r w:rsidR="00C37789" w:rsidRPr="000322E4">
        <w:instrText xml:space="preserve"> </w:instrText>
      </w:r>
      <w:r w:rsidR="00C37789" w:rsidRPr="000322E4">
        <w:rPr>
          <w:lang w:val="en-US"/>
        </w:rPr>
        <w:instrText>progressive</w:instrText>
      </w:r>
      <w:r w:rsidR="00C37789" w:rsidRPr="000322E4">
        <w:instrText xml:space="preserve"> </w:instrText>
      </w:r>
      <w:r w:rsidR="00C37789" w:rsidRPr="000322E4">
        <w:rPr>
          <w:lang w:val="en-US"/>
        </w:rPr>
        <w:instrText>disease</w:instrText>
      </w:r>
      <w:r w:rsidR="00C37789" w:rsidRPr="000322E4">
        <w:instrText xml:space="preserve">. </w:instrText>
      </w:r>
      <w:r w:rsidR="00C37789" w:rsidRPr="000322E4">
        <w:rPr>
          <w:lang w:val="en-US"/>
        </w:rPr>
        <w:instrText>Routine</w:instrText>
      </w:r>
      <w:r w:rsidR="00C37789" w:rsidRPr="000322E4">
        <w:instrText xml:space="preserve"> </w:instrText>
      </w:r>
      <w:r w:rsidR="00C37789" w:rsidRPr="000322E4">
        <w:rPr>
          <w:lang w:val="en-US"/>
        </w:rPr>
        <w:instrText>surveillance</w:instrText>
      </w:r>
      <w:r w:rsidR="00C37789" w:rsidRPr="000322E4">
        <w:instrText xml:space="preserve"> </w:instrText>
      </w:r>
      <w:r w:rsidR="00C37789" w:rsidRPr="000322E4">
        <w:rPr>
          <w:lang w:val="en-US"/>
        </w:rPr>
        <w:instrText>scans</w:instrText>
      </w:r>
      <w:r w:rsidR="00C37789" w:rsidRPr="000322E4">
        <w:instrText xml:space="preserve"> </w:instrText>
      </w:r>
      <w:r w:rsidR="00C37789" w:rsidRPr="000322E4">
        <w:rPr>
          <w:lang w:val="en-US"/>
        </w:rPr>
        <w:instrText>are</w:instrText>
      </w:r>
      <w:r w:rsidR="00C37789" w:rsidRPr="000322E4">
        <w:instrText xml:space="preserve"> </w:instrText>
      </w:r>
      <w:r w:rsidR="00C37789" w:rsidRPr="000322E4">
        <w:rPr>
          <w:lang w:val="en-US"/>
        </w:rPr>
        <w:instrText>discouraged</w:instrText>
      </w:r>
      <w:r w:rsidR="00C37789" w:rsidRPr="000322E4">
        <w:instrText xml:space="preserve">. </w:instrText>
      </w:r>
      <w:r w:rsidR="00C37789" w:rsidRPr="000322E4">
        <w:rPr>
          <w:lang w:val="en-US"/>
        </w:rPr>
        <w:instrText>These</w:instrText>
      </w:r>
      <w:r w:rsidR="00C37789" w:rsidRPr="000322E4">
        <w:instrText xml:space="preserve"> </w:instrText>
      </w:r>
      <w:r w:rsidR="00C37789" w:rsidRPr="000322E4">
        <w:rPr>
          <w:lang w:val="en-US"/>
        </w:rPr>
        <w:instrText>recommendations</w:instrText>
      </w:r>
      <w:r w:rsidR="00C37789" w:rsidRPr="000322E4">
        <w:instrText xml:space="preserve"> </w:instrText>
      </w:r>
      <w:r w:rsidR="00C37789" w:rsidRPr="000322E4">
        <w:rPr>
          <w:lang w:val="en-US"/>
        </w:rPr>
        <w:instrText>should</w:instrText>
      </w:r>
      <w:r w:rsidR="00C37789" w:rsidRPr="000322E4">
        <w:instrText xml:space="preserve"> </w:instrText>
      </w:r>
      <w:r w:rsidR="00C37789" w:rsidRPr="000322E4">
        <w:rPr>
          <w:lang w:val="en-US"/>
        </w:rPr>
        <w:instrText>improve</w:instrText>
      </w:r>
      <w:r w:rsidR="00C37789" w:rsidRPr="000322E4">
        <w:instrText xml:space="preserve"> </w:instrText>
      </w:r>
      <w:r w:rsidR="00C37789" w:rsidRPr="000322E4">
        <w:rPr>
          <w:lang w:val="en-US"/>
        </w:rPr>
        <w:instrText>evaluation</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patients</w:instrText>
      </w:r>
      <w:r w:rsidR="00C37789" w:rsidRPr="000322E4">
        <w:instrText xml:space="preserve"> </w:instrText>
      </w:r>
      <w:r w:rsidR="00C37789" w:rsidRPr="000322E4">
        <w:rPr>
          <w:lang w:val="en-US"/>
        </w:rPr>
        <w:instrText>with</w:instrText>
      </w:r>
      <w:r w:rsidR="00C37789" w:rsidRPr="000322E4">
        <w:instrText xml:space="preserve"> </w:instrText>
      </w:r>
      <w:r w:rsidR="00C37789" w:rsidRPr="000322E4">
        <w:rPr>
          <w:lang w:val="en-US"/>
        </w:rPr>
        <w:instrText>lymphoma</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enhance</w:instrText>
      </w:r>
      <w:r w:rsidR="00C37789" w:rsidRPr="000322E4">
        <w:instrText xml:space="preserve"> </w:instrText>
      </w:r>
      <w:r w:rsidR="00C37789" w:rsidRPr="000322E4">
        <w:rPr>
          <w:lang w:val="en-US"/>
        </w:rPr>
        <w:instrText>the</w:instrText>
      </w:r>
      <w:r w:rsidR="00C37789" w:rsidRPr="000322E4">
        <w:instrText xml:space="preserve"> </w:instrText>
      </w:r>
      <w:r w:rsidR="00C37789" w:rsidRPr="000322E4">
        <w:rPr>
          <w:lang w:val="en-US"/>
        </w:rPr>
        <w:instrText>ability</w:instrText>
      </w:r>
      <w:r w:rsidR="00C37789" w:rsidRPr="000322E4">
        <w:instrText xml:space="preserve"> </w:instrText>
      </w:r>
      <w:r w:rsidR="00C37789" w:rsidRPr="000322E4">
        <w:rPr>
          <w:lang w:val="en-US"/>
        </w:rPr>
        <w:instrText>to</w:instrText>
      </w:r>
      <w:r w:rsidR="00C37789" w:rsidRPr="000322E4">
        <w:instrText xml:space="preserve"> </w:instrText>
      </w:r>
      <w:r w:rsidR="00C37789" w:rsidRPr="000322E4">
        <w:rPr>
          <w:lang w:val="en-US"/>
        </w:rPr>
        <w:instrText>compare</w:instrText>
      </w:r>
      <w:r w:rsidR="00C37789" w:rsidRPr="000322E4">
        <w:instrText xml:space="preserve"> </w:instrText>
      </w:r>
      <w:r w:rsidR="00C37789" w:rsidRPr="000322E4">
        <w:rPr>
          <w:lang w:val="en-US"/>
        </w:rPr>
        <w:instrText>outcomes</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clinical</w:instrText>
      </w:r>
      <w:r w:rsidR="00C37789" w:rsidRPr="000322E4">
        <w:instrText xml:space="preserve"> </w:instrText>
      </w:r>
      <w:r w:rsidR="00C37789" w:rsidRPr="000322E4">
        <w:rPr>
          <w:lang w:val="en-US"/>
        </w:rPr>
        <w:instrText>trials</w:instrText>
      </w:r>
      <w:r w:rsidR="00C37789" w:rsidRPr="000322E4">
        <w:instrText>.","</w:instrText>
      </w:r>
      <w:r w:rsidR="00C37789" w:rsidRPr="000322E4">
        <w:rPr>
          <w:lang w:val="en-US"/>
        </w:rPr>
        <w:instrText>author</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Cheson</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Bruce</w:instrText>
      </w:r>
      <w:r w:rsidR="00C37789" w:rsidRPr="000322E4">
        <w:instrText xml:space="preserve"> </w:instrText>
      </w:r>
      <w:r w:rsidR="00C37789" w:rsidRPr="000322E4">
        <w:rPr>
          <w:lang w:val="en-US"/>
        </w:rPr>
        <w:instrText>D</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Fisher</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Richard</w:instrText>
      </w:r>
      <w:r w:rsidR="00C37789" w:rsidRPr="000322E4">
        <w:instrText xml:space="preserve"> </w:instrText>
      </w:r>
      <w:r w:rsidR="00C37789" w:rsidRPr="000322E4">
        <w:rPr>
          <w:lang w:val="en-US"/>
        </w:rPr>
        <w:instrText>I</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Barrington</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Sally</w:instrText>
      </w:r>
      <w:r w:rsidR="00C37789" w:rsidRPr="000322E4">
        <w:instrText xml:space="preserve"> </w:instrText>
      </w:r>
      <w:r w:rsidR="00C37789" w:rsidRPr="000322E4">
        <w:rPr>
          <w:lang w:val="en-US"/>
        </w:rPr>
        <w:instrText>F</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Cavalli</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Franco</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Schwartz</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Lawrence</w:instrText>
      </w:r>
      <w:r w:rsidR="00C37789" w:rsidRPr="000322E4">
        <w:instrText xml:space="preserve"> </w:instrText>
      </w:r>
      <w:r w:rsidR="00C37789" w:rsidRPr="000322E4">
        <w:rPr>
          <w:lang w:val="en-US"/>
        </w:rPr>
        <w:instrText>H</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Zucca</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Emanuele</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Lister</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T</w:instrText>
      </w:r>
      <w:r w:rsidR="00C37789" w:rsidRPr="000322E4">
        <w:instrText xml:space="preserve">. </w:instrText>
      </w:r>
      <w:r w:rsidR="00C37789" w:rsidRPr="000322E4">
        <w:rPr>
          <w:lang w:val="en-US"/>
        </w:rPr>
        <w:instrText>Andrew</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container</w:instrText>
      </w:r>
      <w:r w:rsidR="00C37789" w:rsidRPr="000322E4">
        <w:instrText>-</w:instrText>
      </w:r>
      <w:r w:rsidR="00C37789" w:rsidRPr="000322E4">
        <w:rPr>
          <w:lang w:val="en-US"/>
        </w:rPr>
        <w:instrText>title</w:instrText>
      </w:r>
      <w:r w:rsidR="00C37789" w:rsidRPr="000322E4">
        <w:instrText>":"</w:instrText>
      </w:r>
      <w:r w:rsidR="00C37789" w:rsidRPr="000322E4">
        <w:rPr>
          <w:lang w:val="en-US"/>
        </w:rPr>
        <w:instrText>Journal</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Clinical</w:instrText>
      </w:r>
      <w:r w:rsidR="00C37789" w:rsidRPr="000322E4">
        <w:instrText xml:space="preserve"> </w:instrText>
      </w:r>
      <w:r w:rsidR="00C37789" w:rsidRPr="000322E4">
        <w:rPr>
          <w:lang w:val="en-US"/>
        </w:rPr>
        <w:instrText>Oncology</w:instrText>
      </w:r>
      <w:r w:rsidR="00C37789" w:rsidRPr="000322E4">
        <w:instrText>","</w:instrText>
      </w:r>
      <w:r w:rsidR="00C37789" w:rsidRPr="000322E4">
        <w:rPr>
          <w:lang w:val="en-US"/>
        </w:rPr>
        <w:instrText>id</w:instrText>
      </w:r>
      <w:r w:rsidR="00C37789" w:rsidRPr="000322E4">
        <w:instrText>":"</w:instrText>
      </w:r>
      <w:r w:rsidR="00C37789" w:rsidRPr="000322E4">
        <w:rPr>
          <w:lang w:val="en-US"/>
        </w:rPr>
        <w:instrText>ITEM</w:instrText>
      </w:r>
      <w:r w:rsidR="00C37789" w:rsidRPr="000322E4">
        <w:instrText>-1","</w:instrText>
      </w:r>
      <w:r w:rsidR="00C37789" w:rsidRPr="000322E4">
        <w:rPr>
          <w:lang w:val="en-US"/>
        </w:rPr>
        <w:instrText>issue</w:instrText>
      </w:r>
      <w:r w:rsidR="00C37789" w:rsidRPr="000322E4">
        <w:instrText>":"27","</w:instrText>
      </w:r>
      <w:r w:rsidR="00C37789" w:rsidRPr="000322E4">
        <w:rPr>
          <w:lang w:val="en-US"/>
        </w:rPr>
        <w:instrText>issued</w:instrText>
      </w:r>
      <w:r w:rsidR="00C37789" w:rsidRPr="000322E4">
        <w:instrText>":{"</w:instrText>
      </w:r>
      <w:r w:rsidR="00C37789" w:rsidRPr="000322E4">
        <w:rPr>
          <w:lang w:val="en-US"/>
        </w:rPr>
        <w:instrText>date</w:instrText>
      </w:r>
      <w:r w:rsidR="00C37789" w:rsidRPr="000322E4">
        <w:instrText>-</w:instrText>
      </w:r>
      <w:r w:rsidR="00C37789" w:rsidRPr="000322E4">
        <w:rPr>
          <w:lang w:val="en-US"/>
        </w:rPr>
        <w:instrText>parts</w:instrText>
      </w:r>
      <w:r w:rsidR="00C37789" w:rsidRPr="000322E4">
        <w:instrText>":[["2014","9","20"]]},"</w:instrText>
      </w:r>
      <w:r w:rsidR="00C37789" w:rsidRPr="000322E4">
        <w:rPr>
          <w:lang w:val="en-US"/>
        </w:rPr>
        <w:instrText>page</w:instrText>
      </w:r>
      <w:r w:rsidR="00C37789" w:rsidRPr="000322E4">
        <w:instrText>":"3059-3067","</w:instrText>
      </w:r>
      <w:r w:rsidR="00C37789" w:rsidRPr="000322E4">
        <w:rPr>
          <w:lang w:val="en-US"/>
        </w:rPr>
        <w:instrText>publisher</w:instrText>
      </w:r>
      <w:r w:rsidR="00C37789" w:rsidRPr="000322E4">
        <w:instrText>":"</w:instrText>
      </w:r>
      <w:r w:rsidR="00C37789" w:rsidRPr="000322E4">
        <w:rPr>
          <w:lang w:val="en-US"/>
        </w:rPr>
        <w:instrText>American</w:instrText>
      </w:r>
      <w:r w:rsidR="00C37789" w:rsidRPr="000322E4">
        <w:instrText xml:space="preserve"> </w:instrText>
      </w:r>
      <w:r w:rsidR="00C37789" w:rsidRPr="000322E4">
        <w:rPr>
          <w:lang w:val="en-US"/>
        </w:rPr>
        <w:instrText>Society</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Clinical</w:instrText>
      </w:r>
      <w:r w:rsidR="00C37789" w:rsidRPr="000322E4">
        <w:instrText xml:space="preserve"> </w:instrText>
      </w:r>
      <w:r w:rsidR="00C37789" w:rsidRPr="000322E4">
        <w:rPr>
          <w:lang w:val="en-US"/>
        </w:rPr>
        <w:instrText>Oncology</w:instrText>
      </w:r>
      <w:r w:rsidR="00C37789" w:rsidRPr="000322E4">
        <w:instrText>","</w:instrText>
      </w:r>
      <w:r w:rsidR="00C37789" w:rsidRPr="000322E4">
        <w:rPr>
          <w:lang w:val="en-US"/>
        </w:rPr>
        <w:instrText>title</w:instrText>
      </w:r>
      <w:r w:rsidR="00C37789" w:rsidRPr="000322E4">
        <w:instrText>":"</w:instrText>
      </w:r>
      <w:r w:rsidR="00C37789" w:rsidRPr="000322E4">
        <w:rPr>
          <w:lang w:val="en-US"/>
        </w:rPr>
        <w:instrText>Recommendations</w:instrText>
      </w:r>
      <w:r w:rsidR="00C37789" w:rsidRPr="000322E4">
        <w:instrText xml:space="preserve"> </w:instrText>
      </w:r>
      <w:r w:rsidR="00C37789" w:rsidRPr="000322E4">
        <w:rPr>
          <w:lang w:val="en-US"/>
        </w:rPr>
        <w:instrText>for</w:instrText>
      </w:r>
      <w:r w:rsidR="00C37789" w:rsidRPr="000322E4">
        <w:instrText xml:space="preserve"> </w:instrText>
      </w:r>
      <w:r w:rsidR="00C37789" w:rsidRPr="000322E4">
        <w:rPr>
          <w:lang w:val="en-US"/>
        </w:rPr>
        <w:instrText>initial</w:instrText>
      </w:r>
      <w:r w:rsidR="00C37789" w:rsidRPr="000322E4">
        <w:instrText xml:space="preserve"> </w:instrText>
      </w:r>
      <w:r w:rsidR="00C37789" w:rsidRPr="000322E4">
        <w:rPr>
          <w:lang w:val="en-US"/>
        </w:rPr>
        <w:instrText>evaluation</w:instrText>
      </w:r>
      <w:r w:rsidR="00C37789" w:rsidRPr="000322E4">
        <w:instrText xml:space="preserve">, </w:instrText>
      </w:r>
      <w:r w:rsidR="00C37789" w:rsidRPr="000322E4">
        <w:rPr>
          <w:lang w:val="en-US"/>
        </w:rPr>
        <w:instrText>staging</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response</w:instrText>
      </w:r>
      <w:r w:rsidR="00C37789" w:rsidRPr="000322E4">
        <w:instrText xml:space="preserve"> </w:instrText>
      </w:r>
      <w:r w:rsidR="00C37789" w:rsidRPr="000322E4">
        <w:rPr>
          <w:lang w:val="en-US"/>
        </w:rPr>
        <w:instrText>assessment</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hodgkin</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non</w:instrText>
      </w:r>
      <w:r w:rsidR="00C37789" w:rsidRPr="000322E4">
        <w:instrText>-</w:instrText>
      </w:r>
      <w:r w:rsidR="00C37789" w:rsidRPr="000322E4">
        <w:rPr>
          <w:lang w:val="en-US"/>
        </w:rPr>
        <w:instrText>hodgkin</w:instrText>
      </w:r>
      <w:r w:rsidR="00C37789" w:rsidRPr="000322E4">
        <w:instrText xml:space="preserve"> </w:instrText>
      </w:r>
      <w:r w:rsidR="00C37789" w:rsidRPr="000322E4">
        <w:rPr>
          <w:lang w:val="en-US"/>
        </w:rPr>
        <w:instrText>lymphoma</w:instrText>
      </w:r>
      <w:r w:rsidR="00C37789" w:rsidRPr="000322E4">
        <w:instrText xml:space="preserve">: </w:instrText>
      </w:r>
      <w:r w:rsidR="00C37789" w:rsidRPr="000322E4">
        <w:rPr>
          <w:lang w:val="en-US"/>
        </w:rPr>
        <w:instrText>The</w:instrText>
      </w:r>
      <w:r w:rsidR="00C37789" w:rsidRPr="000322E4">
        <w:instrText xml:space="preserve"> </w:instrText>
      </w:r>
      <w:r w:rsidR="00C37789" w:rsidRPr="000322E4">
        <w:rPr>
          <w:lang w:val="en-US"/>
        </w:rPr>
        <w:instrText>lugano</w:instrText>
      </w:r>
      <w:r w:rsidR="00C37789" w:rsidRPr="000322E4">
        <w:instrText xml:space="preserve"> </w:instrText>
      </w:r>
      <w:r w:rsidR="00C37789" w:rsidRPr="000322E4">
        <w:rPr>
          <w:lang w:val="en-US"/>
        </w:rPr>
        <w:instrText>classification</w:instrText>
      </w:r>
      <w:r w:rsidR="00C37789" w:rsidRPr="000322E4">
        <w:instrText>","</w:instrText>
      </w:r>
      <w:r w:rsidR="00C37789" w:rsidRPr="000322E4">
        <w:rPr>
          <w:lang w:val="en-US"/>
        </w:rPr>
        <w:instrText>type</w:instrText>
      </w:r>
      <w:r w:rsidR="00C37789" w:rsidRPr="000322E4">
        <w:instrText>":"</w:instrText>
      </w:r>
      <w:r w:rsidR="00C37789" w:rsidRPr="000322E4">
        <w:rPr>
          <w:lang w:val="en-US"/>
        </w:rPr>
        <w:instrText>article</w:instrText>
      </w:r>
      <w:r w:rsidR="00C37789" w:rsidRPr="000322E4">
        <w:instrText>","</w:instrText>
      </w:r>
      <w:r w:rsidR="00C37789" w:rsidRPr="000322E4">
        <w:rPr>
          <w:lang w:val="en-US"/>
        </w:rPr>
        <w:instrText>volume</w:instrText>
      </w:r>
      <w:r w:rsidR="00C37789" w:rsidRPr="000322E4">
        <w:instrText>":"32"},"</w:instrText>
      </w:r>
      <w:r w:rsidR="00C37789" w:rsidRPr="000322E4">
        <w:rPr>
          <w:lang w:val="en-US"/>
        </w:rPr>
        <w:instrText>uris</w:instrText>
      </w:r>
      <w:r w:rsidR="00C37789" w:rsidRPr="000322E4">
        <w:instrText>":["</w:instrText>
      </w:r>
      <w:r w:rsidR="00C37789" w:rsidRPr="000322E4">
        <w:rPr>
          <w:lang w:val="en-US"/>
        </w:rPr>
        <w:instrText>http</w:instrText>
      </w:r>
      <w:r w:rsidR="00C37789" w:rsidRPr="000322E4">
        <w:instrText>://</w:instrText>
      </w:r>
      <w:r w:rsidR="00C37789" w:rsidRPr="000322E4">
        <w:rPr>
          <w:lang w:val="en-US"/>
        </w:rPr>
        <w:instrText>www</w:instrText>
      </w:r>
      <w:r w:rsidR="00C37789" w:rsidRPr="000322E4">
        <w:instrText>.</w:instrText>
      </w:r>
      <w:r w:rsidR="00C37789" w:rsidRPr="000322E4">
        <w:rPr>
          <w:lang w:val="en-US"/>
        </w:rPr>
        <w:instrText>mendeley</w:instrText>
      </w:r>
      <w:r w:rsidR="00C37789" w:rsidRPr="000322E4">
        <w:instrText>.</w:instrText>
      </w:r>
      <w:r w:rsidR="00C37789" w:rsidRPr="000322E4">
        <w:rPr>
          <w:lang w:val="en-US"/>
        </w:rPr>
        <w:instrText>com</w:instrText>
      </w:r>
      <w:r w:rsidR="00C37789" w:rsidRPr="000322E4">
        <w:instrText>/</w:instrText>
      </w:r>
      <w:r w:rsidR="00C37789" w:rsidRPr="000322E4">
        <w:rPr>
          <w:lang w:val="en-US"/>
        </w:rPr>
        <w:instrText>documents</w:instrText>
      </w:r>
      <w:r w:rsidR="00C37789" w:rsidRPr="000322E4">
        <w:instrText>/?</w:instrText>
      </w:r>
      <w:r w:rsidR="00C37789" w:rsidRPr="000322E4">
        <w:rPr>
          <w:lang w:val="en-US"/>
        </w:rPr>
        <w:instrText>uuid</w:instrText>
      </w:r>
      <w:r w:rsidR="00C37789" w:rsidRPr="000322E4">
        <w:instrText>=3853</w:instrText>
      </w:r>
      <w:r w:rsidR="00C37789" w:rsidRPr="000322E4">
        <w:rPr>
          <w:lang w:val="en-US"/>
        </w:rPr>
        <w:instrText>ddf</w:instrText>
      </w:r>
      <w:r w:rsidR="00C37789" w:rsidRPr="000322E4">
        <w:instrText>5-</w:instrText>
      </w:r>
      <w:r w:rsidR="00C37789" w:rsidRPr="000322E4">
        <w:rPr>
          <w:lang w:val="en-US"/>
        </w:rPr>
        <w:instrText>ac</w:instrText>
      </w:r>
      <w:r w:rsidR="00C37789" w:rsidRPr="000322E4">
        <w:instrText>32-35</w:instrText>
      </w:r>
      <w:r w:rsidR="00C37789" w:rsidRPr="000322E4">
        <w:rPr>
          <w:lang w:val="en-US"/>
        </w:rPr>
        <w:instrText>e</w:instrText>
      </w:r>
      <w:r w:rsidR="00C37789" w:rsidRPr="000322E4">
        <w:instrText>2-</w:instrText>
      </w:r>
      <w:r w:rsidR="00C37789" w:rsidRPr="000322E4">
        <w:rPr>
          <w:lang w:val="en-US"/>
        </w:rPr>
        <w:instrText>bd</w:instrText>
      </w:r>
      <w:r w:rsidR="00C37789" w:rsidRPr="000322E4">
        <w:instrText>1</w:instrText>
      </w:r>
      <w:r w:rsidR="00C37789" w:rsidRPr="000322E4">
        <w:rPr>
          <w:lang w:val="en-US"/>
        </w:rPr>
        <w:instrText>b</w:instrText>
      </w:r>
      <w:r w:rsidR="00C37789" w:rsidRPr="000322E4">
        <w:instrText>-3</w:instrText>
      </w:r>
      <w:r w:rsidR="00C37789" w:rsidRPr="000322E4">
        <w:rPr>
          <w:lang w:val="en-US"/>
        </w:rPr>
        <w:instrText>ee</w:instrText>
      </w:r>
      <w:r w:rsidR="00C37789" w:rsidRPr="000322E4">
        <w:instrText>48</w:instrText>
      </w:r>
      <w:r w:rsidR="00C37789" w:rsidRPr="000322E4">
        <w:rPr>
          <w:lang w:val="en-US"/>
        </w:rPr>
        <w:instrText>b</w:instrText>
      </w:r>
      <w:r w:rsidR="00C37789" w:rsidRPr="000322E4">
        <w:instrText>5</w:instrText>
      </w:r>
      <w:r w:rsidR="00C37789" w:rsidRPr="000322E4">
        <w:rPr>
          <w:lang w:val="en-US"/>
        </w:rPr>
        <w:instrText>dd</w:instrText>
      </w:r>
      <w:r w:rsidR="00C37789" w:rsidRPr="000322E4">
        <w:instrText>16</w:instrText>
      </w:r>
      <w:r w:rsidR="00C37789" w:rsidRPr="000322E4">
        <w:rPr>
          <w:lang w:val="en-US"/>
        </w:rPr>
        <w:instrText>a</w:instrText>
      </w:r>
      <w:r w:rsidR="00C37789" w:rsidRPr="000322E4">
        <w:instrText>"]}],"</w:instrText>
      </w:r>
      <w:r w:rsidR="00C37789" w:rsidRPr="000322E4">
        <w:rPr>
          <w:lang w:val="en-US"/>
        </w:rPr>
        <w:instrText>mendeley</w:instrText>
      </w:r>
      <w:r w:rsidR="00C37789" w:rsidRPr="000322E4">
        <w:instrText>":{"</w:instrText>
      </w:r>
      <w:r w:rsidR="00C37789" w:rsidRPr="000322E4">
        <w:rPr>
          <w:lang w:val="en-US"/>
        </w:rPr>
        <w:instrText>formattedCitation</w:instrText>
      </w:r>
      <w:r w:rsidR="00C37789" w:rsidRPr="000322E4">
        <w:instrText>":"[122]","</w:instrText>
      </w:r>
      <w:r w:rsidR="00C37789" w:rsidRPr="000322E4">
        <w:rPr>
          <w:lang w:val="en-US"/>
        </w:rPr>
        <w:instrText>plainTextFormattedCitation</w:instrText>
      </w:r>
      <w:r w:rsidR="00C37789" w:rsidRPr="000322E4">
        <w:instrText>":"[122]","</w:instrText>
      </w:r>
      <w:r w:rsidR="00C37789" w:rsidRPr="000322E4">
        <w:rPr>
          <w:lang w:val="en-US"/>
        </w:rPr>
        <w:instrText>previouslyFormattedCitation</w:instrText>
      </w:r>
      <w:r w:rsidR="00C37789" w:rsidRPr="000322E4">
        <w:instrText>":"[122]"},"</w:instrText>
      </w:r>
      <w:r w:rsidR="00C37789" w:rsidRPr="000322E4">
        <w:rPr>
          <w:lang w:val="en-US"/>
        </w:rPr>
        <w:instrText>properties</w:instrText>
      </w:r>
      <w:r w:rsidR="00C37789" w:rsidRPr="000322E4">
        <w:instrText>":{"</w:instrText>
      </w:r>
      <w:r w:rsidR="00C37789" w:rsidRPr="000322E4">
        <w:rPr>
          <w:lang w:val="en-US"/>
        </w:rPr>
        <w:instrText>noteIndex</w:instrText>
      </w:r>
      <w:r w:rsidR="00C37789" w:rsidRPr="000322E4">
        <w:instrText>":0},"</w:instrText>
      </w:r>
      <w:r w:rsidR="00C37789" w:rsidRPr="000322E4">
        <w:rPr>
          <w:lang w:val="en-US"/>
        </w:rPr>
        <w:instrText>schema</w:instrText>
      </w:r>
      <w:r w:rsidR="00C37789" w:rsidRPr="000322E4">
        <w:instrText>":"</w:instrText>
      </w:r>
      <w:r w:rsidR="00C37789" w:rsidRPr="000322E4">
        <w:rPr>
          <w:lang w:val="en-US"/>
        </w:rPr>
        <w:instrText>https</w:instrText>
      </w:r>
      <w:r w:rsidR="00C37789" w:rsidRPr="000322E4">
        <w:instrText>://</w:instrText>
      </w:r>
      <w:r w:rsidR="00C37789" w:rsidRPr="000322E4">
        <w:rPr>
          <w:lang w:val="en-US"/>
        </w:rPr>
        <w:instrText>github</w:instrText>
      </w:r>
      <w:r w:rsidR="00C37789" w:rsidRPr="000322E4">
        <w:instrText>.</w:instrText>
      </w:r>
      <w:r w:rsidR="00C37789" w:rsidRPr="000322E4">
        <w:rPr>
          <w:lang w:val="en-US"/>
        </w:rPr>
        <w:instrText>com</w:instrText>
      </w:r>
      <w:r w:rsidR="00C37789" w:rsidRPr="000322E4">
        <w:instrText>/</w:instrText>
      </w:r>
      <w:r w:rsidR="00C37789" w:rsidRPr="000322E4">
        <w:rPr>
          <w:lang w:val="en-US"/>
        </w:rPr>
        <w:instrText>citation</w:instrText>
      </w:r>
      <w:r w:rsidR="00C37789" w:rsidRPr="000322E4">
        <w:instrText>-</w:instrText>
      </w:r>
      <w:r w:rsidR="00C37789" w:rsidRPr="000322E4">
        <w:rPr>
          <w:lang w:val="en-US"/>
        </w:rPr>
        <w:instrText>style</w:instrText>
      </w:r>
      <w:r w:rsidR="00C37789" w:rsidRPr="000322E4">
        <w:instrText>-</w:instrText>
      </w:r>
      <w:r w:rsidR="00C37789" w:rsidRPr="000322E4">
        <w:rPr>
          <w:lang w:val="en-US"/>
        </w:rPr>
        <w:instrText>language</w:instrText>
      </w:r>
      <w:r w:rsidR="00C37789" w:rsidRPr="000322E4">
        <w:instrText>/</w:instrText>
      </w:r>
      <w:r w:rsidR="00C37789" w:rsidRPr="000322E4">
        <w:rPr>
          <w:lang w:val="en-US"/>
        </w:rPr>
        <w:instrText>schema</w:instrText>
      </w:r>
      <w:r w:rsidR="00C37789" w:rsidRPr="000322E4">
        <w:instrText>/</w:instrText>
      </w:r>
      <w:r w:rsidR="00C37789" w:rsidRPr="000322E4">
        <w:rPr>
          <w:lang w:val="en-US"/>
        </w:rPr>
        <w:instrText>raw</w:instrText>
      </w:r>
      <w:r w:rsidR="00C37789" w:rsidRPr="000322E4">
        <w:instrText>/</w:instrText>
      </w:r>
      <w:r w:rsidR="00C37789" w:rsidRPr="000322E4">
        <w:rPr>
          <w:lang w:val="en-US"/>
        </w:rPr>
        <w:instrText>master</w:instrText>
      </w:r>
      <w:r w:rsidR="00C37789" w:rsidRPr="000322E4">
        <w:instrText>/</w:instrText>
      </w:r>
      <w:r w:rsidR="00C37789" w:rsidRPr="000322E4">
        <w:rPr>
          <w:lang w:val="en-US"/>
        </w:rPr>
        <w:instrText>csl</w:instrText>
      </w:r>
      <w:r w:rsidR="00C37789" w:rsidRPr="000322E4">
        <w:instrText>-</w:instrText>
      </w:r>
      <w:r w:rsidR="00C37789" w:rsidRPr="000322E4">
        <w:rPr>
          <w:lang w:val="en-US"/>
        </w:rPr>
        <w:instrText>citation</w:instrText>
      </w:r>
      <w:r w:rsidR="00C37789" w:rsidRPr="000322E4">
        <w:instrText>.</w:instrText>
      </w:r>
      <w:r w:rsidR="00C37789" w:rsidRPr="000322E4">
        <w:rPr>
          <w:lang w:val="en-US"/>
        </w:rPr>
        <w:instrText>json</w:instrText>
      </w:r>
      <w:r w:rsidR="00C37789" w:rsidRPr="000322E4">
        <w:instrText>"}</w:instrText>
      </w:r>
      <w:r w:rsidR="00BB7996" w:rsidRPr="000322E4">
        <w:rPr>
          <w:lang w:val="en-US"/>
        </w:rPr>
        <w:fldChar w:fldCharType="separate"/>
      </w:r>
      <w:r w:rsidR="00C37789" w:rsidRPr="000322E4">
        <w:rPr>
          <w:noProof/>
        </w:rPr>
        <w:t>[122]</w:t>
      </w:r>
      <w:r w:rsidR="00BB7996" w:rsidRPr="000322E4">
        <w:rPr>
          <w:lang w:val="en-US"/>
        </w:rPr>
        <w:fldChar w:fldCharType="end"/>
      </w:r>
      <w:r w:rsidR="00BB7996" w:rsidRPr="000322E4">
        <w:t>:</w:t>
      </w:r>
    </w:p>
    <w:tbl>
      <w:tblPr>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00" w:firstRow="0" w:lastRow="0" w:firstColumn="0" w:lastColumn="0" w:noHBand="0" w:noVBand="0"/>
      </w:tblPr>
      <w:tblGrid>
        <w:gridCol w:w="1555"/>
        <w:gridCol w:w="3892"/>
        <w:gridCol w:w="3892"/>
      </w:tblGrid>
      <w:tr w:rsidR="00224547" w:rsidRPr="000322E4" w14:paraId="537414E1" w14:textId="77777777" w:rsidTr="00BB7996">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054C3" w14:textId="77777777" w:rsidR="00224547" w:rsidRPr="000322E4" w:rsidRDefault="00224547" w:rsidP="00F414BF">
            <w:pPr>
              <w:rPr>
                <w:b/>
              </w:rPr>
            </w:pPr>
            <w:r w:rsidRPr="000322E4">
              <w:rPr>
                <w:b/>
              </w:rPr>
              <w:t>Стадия</w:t>
            </w:r>
          </w:p>
        </w:tc>
        <w:tc>
          <w:tcPr>
            <w:tcW w:w="3892" w:type="dxa"/>
            <w:tcBorders>
              <w:top w:val="single" w:sz="4" w:space="0" w:color="000000"/>
              <w:left w:val="single" w:sz="4" w:space="0" w:color="000000"/>
              <w:right w:val="single" w:sz="4" w:space="0" w:color="000000"/>
            </w:tcBorders>
            <w:shd w:val="clear" w:color="auto" w:fill="auto"/>
          </w:tcPr>
          <w:p w14:paraId="0CE0B541" w14:textId="77777777" w:rsidR="00224547" w:rsidRPr="000322E4" w:rsidRDefault="00224547" w:rsidP="00F414BF">
            <w:pPr>
              <w:rPr>
                <w:b/>
              </w:rPr>
            </w:pPr>
            <w:r w:rsidRPr="000322E4">
              <w:rPr>
                <w:b/>
              </w:rPr>
              <w:t>Поражение лимфоузлов</w:t>
            </w:r>
          </w:p>
        </w:tc>
        <w:tc>
          <w:tcPr>
            <w:tcW w:w="3892" w:type="dxa"/>
            <w:tcBorders>
              <w:top w:val="single" w:sz="4" w:space="0" w:color="000000"/>
              <w:left w:val="single" w:sz="4" w:space="0" w:color="000000"/>
              <w:right w:val="single" w:sz="4" w:space="0" w:color="000000"/>
            </w:tcBorders>
            <w:shd w:val="clear" w:color="auto" w:fill="auto"/>
          </w:tcPr>
          <w:p w14:paraId="23962E1F" w14:textId="77777777" w:rsidR="00224547" w:rsidRPr="000322E4" w:rsidRDefault="00224547" w:rsidP="00F414BF">
            <w:pPr>
              <w:rPr>
                <w:b/>
              </w:rPr>
            </w:pPr>
            <w:r w:rsidRPr="000322E4">
              <w:rPr>
                <w:b/>
              </w:rPr>
              <w:t>Экстранодальное поражение</w:t>
            </w:r>
          </w:p>
        </w:tc>
      </w:tr>
      <w:tr w:rsidR="00224547" w:rsidRPr="000322E4" w14:paraId="01A75E43" w14:textId="77777777" w:rsidTr="00BB7996">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1EFBB" w14:textId="77777777" w:rsidR="00224547" w:rsidRPr="000322E4" w:rsidRDefault="00224547" w:rsidP="00F414BF">
            <w:pPr>
              <w:rPr>
                <w:b/>
              </w:rPr>
            </w:pPr>
            <w:r w:rsidRPr="000322E4">
              <w:rPr>
                <w:b/>
              </w:rPr>
              <w:lastRenderedPageBreak/>
              <w:t>Стадия I</w:t>
            </w:r>
          </w:p>
        </w:tc>
        <w:tc>
          <w:tcPr>
            <w:tcW w:w="3892" w:type="dxa"/>
            <w:tcBorders>
              <w:top w:val="single" w:sz="4" w:space="0" w:color="000000"/>
              <w:left w:val="single" w:sz="4" w:space="0" w:color="000000"/>
              <w:right w:val="single" w:sz="4" w:space="0" w:color="000000"/>
            </w:tcBorders>
            <w:shd w:val="clear" w:color="auto" w:fill="auto"/>
          </w:tcPr>
          <w:p w14:paraId="0D66934E" w14:textId="77777777" w:rsidR="00224547" w:rsidRPr="000322E4" w:rsidRDefault="00224547" w:rsidP="00F414BF">
            <w:r w:rsidRPr="000322E4">
              <w:t xml:space="preserve">Вовлечение одного ЛУ или одной группы ЛУ </w:t>
            </w:r>
          </w:p>
        </w:tc>
        <w:tc>
          <w:tcPr>
            <w:tcW w:w="3892" w:type="dxa"/>
            <w:tcBorders>
              <w:top w:val="single" w:sz="4" w:space="0" w:color="000000"/>
              <w:left w:val="single" w:sz="4" w:space="0" w:color="000000"/>
              <w:right w:val="single" w:sz="4" w:space="0" w:color="000000"/>
            </w:tcBorders>
            <w:shd w:val="clear" w:color="auto" w:fill="auto"/>
          </w:tcPr>
          <w:p w14:paraId="332DDDEB" w14:textId="77777777" w:rsidR="00224547" w:rsidRPr="000322E4" w:rsidRDefault="00224547" w:rsidP="00F414BF">
            <w:r w:rsidRPr="000322E4">
              <w:t>Локализованное поражение одного экстралимфатического органа или ткани без поражения ЛУ</w:t>
            </w:r>
          </w:p>
        </w:tc>
      </w:tr>
      <w:tr w:rsidR="00224547" w:rsidRPr="000322E4" w14:paraId="37074C3A" w14:textId="77777777" w:rsidTr="00BB7996">
        <w:trPr>
          <w:trHeight w:val="1284"/>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7D44F" w14:textId="77777777" w:rsidR="00224547" w:rsidRPr="000322E4" w:rsidRDefault="00224547" w:rsidP="00F414BF">
            <w:pPr>
              <w:rPr>
                <w:b/>
              </w:rPr>
            </w:pPr>
            <w:r w:rsidRPr="000322E4">
              <w:rPr>
                <w:b/>
              </w:rPr>
              <w:t>Стадия II</w:t>
            </w:r>
          </w:p>
        </w:tc>
        <w:tc>
          <w:tcPr>
            <w:tcW w:w="3892" w:type="dxa"/>
            <w:tcBorders>
              <w:left w:val="single" w:sz="4" w:space="0" w:color="000000"/>
              <w:right w:val="single" w:sz="4" w:space="0" w:color="000000"/>
            </w:tcBorders>
            <w:shd w:val="clear" w:color="auto" w:fill="auto"/>
          </w:tcPr>
          <w:p w14:paraId="4EF8955E" w14:textId="77777777" w:rsidR="00224547" w:rsidRPr="000322E4" w:rsidRDefault="00224547" w:rsidP="00F414BF">
            <w:r w:rsidRPr="000322E4">
              <w:t>Вовлечение ≥ 2 групп ЛУ по одну сторону диафрагмы</w:t>
            </w:r>
          </w:p>
          <w:p w14:paraId="3187251B" w14:textId="77777777" w:rsidR="00224547" w:rsidRPr="000322E4" w:rsidRDefault="00224547" w:rsidP="00F414BF">
            <w:r w:rsidRPr="000322E4">
              <w:rPr>
                <w:b/>
              </w:rPr>
              <w:t xml:space="preserve">Стадия </w:t>
            </w:r>
            <w:r w:rsidRPr="000322E4">
              <w:rPr>
                <w:b/>
                <w:lang w:val="en-US"/>
              </w:rPr>
              <w:t>II</w:t>
            </w:r>
            <w:r w:rsidRPr="000322E4">
              <w:rPr>
                <w:b/>
              </w:rPr>
              <w:t xml:space="preserve"> </w:t>
            </w:r>
            <w:r w:rsidRPr="000322E4">
              <w:rPr>
                <w:b/>
                <w:lang w:val="en-US"/>
              </w:rPr>
              <w:t>bulky</w:t>
            </w:r>
            <w:r w:rsidRPr="000322E4">
              <w:rPr>
                <w:b/>
              </w:rPr>
              <w:t xml:space="preserve"> – </w:t>
            </w:r>
            <w:r w:rsidRPr="000322E4">
              <w:rPr>
                <w:bCs/>
              </w:rPr>
              <w:t>стадия</w:t>
            </w:r>
            <w:r w:rsidRPr="000322E4">
              <w:rPr>
                <w:b/>
              </w:rPr>
              <w:t xml:space="preserve"> </w:t>
            </w:r>
            <w:r w:rsidRPr="000322E4">
              <w:rPr>
                <w:bCs/>
                <w:lang w:val="en-US"/>
              </w:rPr>
              <w:t>II</w:t>
            </w:r>
            <w:r w:rsidRPr="000322E4">
              <w:rPr>
                <w:b/>
              </w:rPr>
              <w:t xml:space="preserve"> </w:t>
            </w:r>
            <w:r w:rsidRPr="000322E4">
              <w:rPr>
                <w:lang w:val="en-US"/>
              </w:rPr>
              <w:t>c</w:t>
            </w:r>
            <w:r w:rsidRPr="000322E4">
              <w:t xml:space="preserve"> массивным поражением ЛУ</w:t>
            </w:r>
          </w:p>
        </w:tc>
        <w:tc>
          <w:tcPr>
            <w:tcW w:w="3892" w:type="dxa"/>
            <w:tcBorders>
              <w:left w:val="single" w:sz="4" w:space="0" w:color="000000"/>
              <w:right w:val="single" w:sz="4" w:space="0" w:color="000000"/>
            </w:tcBorders>
            <w:shd w:val="clear" w:color="auto" w:fill="auto"/>
          </w:tcPr>
          <w:p w14:paraId="28A758D3" w14:textId="77777777" w:rsidR="00224547" w:rsidRPr="000322E4" w:rsidRDefault="00BB7996" w:rsidP="00F414BF">
            <w:r w:rsidRPr="000322E4">
              <w:t>Локализованное поражение экстралимфатического органа или ткани + поражение регионарных ЛУ по одну сторону диафрагмы</w:t>
            </w:r>
            <w:r w:rsidR="00224547" w:rsidRPr="000322E4">
              <w:t xml:space="preserve"> </w:t>
            </w:r>
          </w:p>
        </w:tc>
      </w:tr>
      <w:tr w:rsidR="00224547" w:rsidRPr="000322E4" w14:paraId="1CC73BED" w14:textId="77777777" w:rsidTr="00BB7996">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4220A" w14:textId="77777777" w:rsidR="00224547" w:rsidRPr="000322E4" w:rsidRDefault="00224547" w:rsidP="00F414BF">
            <w:pPr>
              <w:rPr>
                <w:b/>
              </w:rPr>
            </w:pPr>
            <w:r w:rsidRPr="000322E4">
              <w:rPr>
                <w:b/>
              </w:rPr>
              <w:t>Стадия III</w:t>
            </w:r>
          </w:p>
        </w:tc>
        <w:tc>
          <w:tcPr>
            <w:tcW w:w="7784" w:type="dxa"/>
            <w:gridSpan w:val="2"/>
            <w:tcBorders>
              <w:left w:val="single" w:sz="4" w:space="0" w:color="000000"/>
              <w:right w:val="single" w:sz="4" w:space="0" w:color="000000"/>
            </w:tcBorders>
            <w:shd w:val="clear" w:color="auto" w:fill="auto"/>
          </w:tcPr>
          <w:p w14:paraId="6F9AB2B8" w14:textId="77777777" w:rsidR="00224547" w:rsidRPr="000322E4" w:rsidRDefault="00224547" w:rsidP="00F414BF">
            <w:r w:rsidRPr="000322E4">
              <w:t>Вовлечение ЛУ по обе стороны диафрагмы или вовлечение ЛУ выше диафрагмы с поражением селезенки</w:t>
            </w:r>
          </w:p>
        </w:tc>
      </w:tr>
      <w:tr w:rsidR="00224547" w:rsidRPr="000322E4" w14:paraId="3D2E19CB" w14:textId="77777777" w:rsidTr="00BB7996">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2A8F9" w14:textId="77777777" w:rsidR="00224547" w:rsidRPr="000322E4" w:rsidRDefault="00224547" w:rsidP="00F414BF">
            <w:pPr>
              <w:rPr>
                <w:b/>
              </w:rPr>
            </w:pPr>
            <w:r w:rsidRPr="000322E4">
              <w:rPr>
                <w:b/>
              </w:rPr>
              <w:t>Стадия IV</w:t>
            </w:r>
          </w:p>
        </w:tc>
        <w:tc>
          <w:tcPr>
            <w:tcW w:w="7784" w:type="dxa"/>
            <w:gridSpan w:val="2"/>
            <w:tcBorders>
              <w:left w:val="single" w:sz="4" w:space="0" w:color="000000"/>
              <w:bottom w:val="single" w:sz="4" w:space="0" w:color="000000"/>
              <w:right w:val="single" w:sz="4" w:space="0" w:color="000000"/>
            </w:tcBorders>
            <w:shd w:val="clear" w:color="auto" w:fill="auto"/>
          </w:tcPr>
          <w:p w14:paraId="582922EF" w14:textId="77777777" w:rsidR="00224547" w:rsidRPr="000322E4" w:rsidRDefault="00224547" w:rsidP="00F414BF">
            <w:r w:rsidRPr="000322E4">
              <w:t>Диффузное или диссеминированное поражение экстралимфатического органа или ткани с/без вовлечения ЛУ либо поражение экстранодальн</w:t>
            </w:r>
            <w:r w:rsidR="00BB7996" w:rsidRPr="000322E4">
              <w:t>ого органа или ткани + поражение нерегионарных ЛУ</w:t>
            </w:r>
          </w:p>
        </w:tc>
      </w:tr>
    </w:tbl>
    <w:p w14:paraId="2CA05AF6" w14:textId="77777777" w:rsidR="009B70C4" w:rsidRPr="000322E4" w:rsidRDefault="009B70C4" w:rsidP="00CA442F">
      <w:pPr>
        <w:pStyle w:val="afd"/>
        <w:spacing w:beforeAutospacing="0" w:afterAutospacing="0" w:line="360" w:lineRule="auto"/>
      </w:pPr>
    </w:p>
    <w:p w14:paraId="1ECE5D85" w14:textId="77777777" w:rsidR="009B70C4" w:rsidRPr="000322E4" w:rsidRDefault="009B70C4" w:rsidP="00CA442F">
      <w:pPr>
        <w:pStyle w:val="afd"/>
        <w:spacing w:beforeAutospacing="0" w:afterAutospacing="0" w:line="360" w:lineRule="auto"/>
      </w:pPr>
      <w:r w:rsidRPr="000322E4">
        <w:t>Для определения распространенности опухолевого процесса используется стадирование по S.B. Murphy (аналогично – St. Jude)</w:t>
      </w:r>
    </w:p>
    <w:p w14:paraId="6DE67C19" w14:textId="77777777" w:rsidR="009B70C4" w:rsidRPr="000322E4" w:rsidRDefault="009B70C4" w:rsidP="008A40EA">
      <w:pPr>
        <w:pStyle w:val="afd"/>
        <w:spacing w:beforeAutospacing="0" w:afterAutospacing="0" w:line="360" w:lineRule="auto"/>
        <w:rPr>
          <w:b/>
          <w:bCs/>
        </w:rPr>
      </w:pPr>
      <w:r w:rsidRPr="000322E4">
        <w:rPr>
          <w:b/>
          <w:bCs/>
        </w:rPr>
        <w:t>I стадия:</w:t>
      </w:r>
    </w:p>
    <w:p w14:paraId="3E33C18B" w14:textId="77777777" w:rsidR="009B70C4" w:rsidRPr="000322E4" w:rsidRDefault="009B70C4" w:rsidP="008A40EA">
      <w:pPr>
        <w:pStyle w:val="afd"/>
        <w:spacing w:beforeAutospacing="0" w:afterAutospacing="0" w:line="360" w:lineRule="auto"/>
      </w:pPr>
      <w:r w:rsidRPr="000322E4">
        <w:t>•</w:t>
      </w:r>
      <w:r w:rsidRPr="000322E4">
        <w:tab/>
        <w:t>одна локальная экстранодальная или нодальная, за исключением медиастинальной, абдоминальной или эпидуральной локализации</w:t>
      </w:r>
    </w:p>
    <w:p w14:paraId="6294D214" w14:textId="77777777" w:rsidR="009B70C4" w:rsidRPr="000322E4" w:rsidRDefault="009B70C4" w:rsidP="00B85809">
      <w:pPr>
        <w:pStyle w:val="afd"/>
        <w:spacing w:beforeAutospacing="0" w:afterAutospacing="0" w:line="360" w:lineRule="auto"/>
        <w:rPr>
          <w:b/>
          <w:bCs/>
        </w:rPr>
      </w:pPr>
      <w:r w:rsidRPr="000322E4">
        <w:rPr>
          <w:b/>
          <w:bCs/>
        </w:rPr>
        <w:t>II стадия:</w:t>
      </w:r>
    </w:p>
    <w:p w14:paraId="024C2847" w14:textId="77777777" w:rsidR="009B70C4" w:rsidRPr="000322E4" w:rsidRDefault="009B70C4" w:rsidP="00B85809">
      <w:pPr>
        <w:pStyle w:val="afd"/>
        <w:spacing w:beforeAutospacing="0" w:afterAutospacing="0" w:line="360" w:lineRule="auto"/>
      </w:pPr>
      <w:r w:rsidRPr="000322E4">
        <w:t>•</w:t>
      </w:r>
      <w:r w:rsidRPr="000322E4">
        <w:tab/>
        <w:t>одна экстранодальная опухоль с поражением региональных лимфоузлов</w:t>
      </w:r>
    </w:p>
    <w:p w14:paraId="3EB1EB8F" w14:textId="77777777" w:rsidR="009B70C4" w:rsidRPr="000322E4" w:rsidRDefault="009B70C4" w:rsidP="005B7DE0">
      <w:pPr>
        <w:pStyle w:val="afd"/>
        <w:spacing w:beforeAutospacing="0" w:afterAutospacing="0" w:line="360" w:lineRule="auto"/>
      </w:pPr>
      <w:r w:rsidRPr="000322E4">
        <w:t>•</w:t>
      </w:r>
      <w:r w:rsidRPr="000322E4">
        <w:tab/>
        <w:t>две и более групп лимфоузлов по одну сторону диафрагмы</w:t>
      </w:r>
    </w:p>
    <w:p w14:paraId="4AA69688" w14:textId="77777777" w:rsidR="009B70C4" w:rsidRPr="000322E4" w:rsidRDefault="009B70C4" w:rsidP="00357C19">
      <w:pPr>
        <w:pStyle w:val="afd"/>
        <w:spacing w:beforeAutospacing="0" w:afterAutospacing="0" w:line="360" w:lineRule="auto"/>
      </w:pPr>
      <w:r w:rsidRPr="000322E4">
        <w:t>•</w:t>
      </w:r>
      <w:r w:rsidRPr="000322E4">
        <w:tab/>
        <w:t>две одиночные экстранодальные опухоли с/без поражения региональных лимфоузлов по одну сторону диафрагмы</w:t>
      </w:r>
    </w:p>
    <w:p w14:paraId="73E9B81E" w14:textId="77777777" w:rsidR="009B70C4" w:rsidRPr="000322E4" w:rsidRDefault="009B70C4" w:rsidP="00357C19">
      <w:pPr>
        <w:pStyle w:val="afd"/>
        <w:spacing w:beforeAutospacing="0" w:afterAutospacing="0" w:line="360" w:lineRule="auto"/>
      </w:pPr>
      <w:r w:rsidRPr="000322E4">
        <w:t>•</w:t>
      </w:r>
      <w:r w:rsidRPr="000322E4">
        <w:tab/>
        <w:t>первичная опухоль желудочно-кишечного тракта, локализованная в илеоцекальной области с/без поражения мезентериальных лимфоузлов</w:t>
      </w:r>
    </w:p>
    <w:p w14:paraId="6849597F" w14:textId="77777777" w:rsidR="009B70C4" w:rsidRPr="000322E4" w:rsidRDefault="009B70C4" w:rsidP="00357C19">
      <w:pPr>
        <w:pStyle w:val="afd"/>
        <w:spacing w:beforeAutospacing="0" w:afterAutospacing="0" w:line="360" w:lineRule="auto"/>
      </w:pPr>
      <w:r w:rsidRPr="000322E4">
        <w:t>•</w:t>
      </w:r>
      <w:r w:rsidRPr="000322E4">
        <w:tab/>
        <w:t>исключаются медиастинальные, абдоминальные и эпидуральные опухоли</w:t>
      </w:r>
    </w:p>
    <w:p w14:paraId="60FB4E0D" w14:textId="77777777" w:rsidR="009B70C4" w:rsidRPr="000322E4" w:rsidRDefault="009B70C4" w:rsidP="00357C19">
      <w:pPr>
        <w:pStyle w:val="afd"/>
        <w:spacing w:beforeAutospacing="0" w:afterAutospacing="0" w:line="360" w:lineRule="auto"/>
      </w:pPr>
      <w:r w:rsidRPr="000322E4">
        <w:t>IIR – резецированная опухоль (макроскопически полностью удалена)</w:t>
      </w:r>
    </w:p>
    <w:p w14:paraId="23EE3EA9" w14:textId="77777777" w:rsidR="009B70C4" w:rsidRPr="000322E4" w:rsidRDefault="009B70C4" w:rsidP="00357C19">
      <w:pPr>
        <w:pStyle w:val="afd"/>
        <w:spacing w:beforeAutospacing="0" w:afterAutospacing="0" w:line="360" w:lineRule="auto"/>
      </w:pPr>
      <w:r w:rsidRPr="000322E4">
        <w:t>IINR – не резецированная опухоль (макроскопически не полностью удалена)</w:t>
      </w:r>
    </w:p>
    <w:p w14:paraId="05E6AF7E" w14:textId="77777777" w:rsidR="009B70C4" w:rsidRPr="000322E4" w:rsidRDefault="009B70C4" w:rsidP="00357C19">
      <w:pPr>
        <w:pStyle w:val="afd"/>
        <w:spacing w:beforeAutospacing="0" w:afterAutospacing="0" w:line="360" w:lineRule="auto"/>
        <w:rPr>
          <w:b/>
          <w:bCs/>
        </w:rPr>
      </w:pPr>
      <w:r w:rsidRPr="000322E4">
        <w:rPr>
          <w:b/>
          <w:bCs/>
        </w:rPr>
        <w:t xml:space="preserve">III стадия:  </w:t>
      </w:r>
    </w:p>
    <w:p w14:paraId="7DE71CEE" w14:textId="77777777" w:rsidR="009B70C4" w:rsidRPr="000322E4" w:rsidRDefault="009B70C4" w:rsidP="00357C19">
      <w:pPr>
        <w:pStyle w:val="afd"/>
        <w:spacing w:beforeAutospacing="0" w:afterAutospacing="0" w:line="360" w:lineRule="auto"/>
      </w:pPr>
      <w:r w:rsidRPr="000322E4">
        <w:t>•</w:t>
      </w:r>
      <w:r w:rsidRPr="000322E4">
        <w:tab/>
        <w:t>две одиночные экстранодальные опухоли по обе стороны диафрагмы</w:t>
      </w:r>
    </w:p>
    <w:p w14:paraId="264DE474" w14:textId="77777777" w:rsidR="009B70C4" w:rsidRPr="000322E4" w:rsidRDefault="009B70C4" w:rsidP="00357C19">
      <w:pPr>
        <w:pStyle w:val="afd"/>
        <w:spacing w:beforeAutospacing="0" w:afterAutospacing="0" w:line="360" w:lineRule="auto"/>
      </w:pPr>
      <w:r w:rsidRPr="000322E4">
        <w:t>•</w:t>
      </w:r>
      <w:r w:rsidRPr="000322E4">
        <w:tab/>
        <w:t>две и более областей лимфоузлов по обе стороны диафрагмы</w:t>
      </w:r>
    </w:p>
    <w:p w14:paraId="1541F1B6" w14:textId="77777777" w:rsidR="009B70C4" w:rsidRPr="000322E4" w:rsidRDefault="009B70C4" w:rsidP="00357C19">
      <w:pPr>
        <w:pStyle w:val="afd"/>
        <w:spacing w:beforeAutospacing="0" w:afterAutospacing="0" w:line="360" w:lineRule="auto"/>
      </w:pPr>
      <w:r w:rsidRPr="000322E4">
        <w:t>•</w:t>
      </w:r>
      <w:r w:rsidRPr="000322E4">
        <w:tab/>
        <w:t>все первичные внутригрудные опухоли (медиастинальные, плевральные)</w:t>
      </w:r>
    </w:p>
    <w:p w14:paraId="1DE2961B" w14:textId="77777777" w:rsidR="009B70C4" w:rsidRPr="000322E4" w:rsidRDefault="009B70C4" w:rsidP="00357C19">
      <w:pPr>
        <w:pStyle w:val="afd"/>
        <w:spacing w:beforeAutospacing="0" w:afterAutospacing="0" w:line="360" w:lineRule="auto"/>
      </w:pPr>
      <w:r w:rsidRPr="000322E4">
        <w:t>•</w:t>
      </w:r>
      <w:r w:rsidRPr="000322E4">
        <w:tab/>
        <w:t>все обширные внутрибрюшные опухоли (нерезектабельные)</w:t>
      </w:r>
    </w:p>
    <w:p w14:paraId="18A54C1F" w14:textId="77777777" w:rsidR="009B70C4" w:rsidRPr="000322E4" w:rsidRDefault="009B70C4" w:rsidP="00357C19">
      <w:pPr>
        <w:pStyle w:val="afd"/>
        <w:spacing w:beforeAutospacing="0" w:afterAutospacing="0" w:line="360" w:lineRule="auto"/>
      </w:pPr>
      <w:r w:rsidRPr="000322E4">
        <w:t>•</w:t>
      </w:r>
      <w:r w:rsidRPr="000322E4">
        <w:tab/>
        <w:t>все параспинальные и эпидуральные опухоли вне зависимости от других мест поражения</w:t>
      </w:r>
    </w:p>
    <w:p w14:paraId="18661196" w14:textId="77777777" w:rsidR="009B70C4" w:rsidRPr="000322E4" w:rsidRDefault="009B70C4" w:rsidP="00357C19">
      <w:pPr>
        <w:pStyle w:val="afd"/>
        <w:spacing w:beforeAutospacing="0" w:afterAutospacing="0" w:line="360" w:lineRule="auto"/>
        <w:rPr>
          <w:b/>
          <w:bCs/>
        </w:rPr>
      </w:pPr>
      <w:r w:rsidRPr="000322E4">
        <w:rPr>
          <w:b/>
          <w:bCs/>
        </w:rPr>
        <w:lastRenderedPageBreak/>
        <w:t>IV стадия:</w:t>
      </w:r>
    </w:p>
    <w:p w14:paraId="1EBD768B" w14:textId="77777777" w:rsidR="009B70C4" w:rsidRPr="000322E4" w:rsidRDefault="009B70C4" w:rsidP="00357C19">
      <w:pPr>
        <w:pStyle w:val="afd"/>
        <w:spacing w:beforeAutospacing="0" w:afterAutospacing="0" w:line="360" w:lineRule="auto"/>
      </w:pPr>
      <w:r w:rsidRPr="000322E4">
        <w:t>•</w:t>
      </w:r>
      <w:r w:rsidRPr="000322E4">
        <w:tab/>
        <w:t>любая из перечисленных выше локализаций опухоли с инициальным поражением центральной нервной системы и/или костного мозга (бласты &lt;25%) и/или мультифокальным поражением скелета</w:t>
      </w:r>
    </w:p>
    <w:p w14:paraId="65797E2C" w14:textId="77777777" w:rsidR="009B70C4" w:rsidRPr="000322E4" w:rsidRDefault="009B70C4" w:rsidP="00357C19">
      <w:pPr>
        <w:pStyle w:val="afd"/>
        <w:spacing w:beforeAutospacing="0" w:afterAutospacing="0" w:line="360" w:lineRule="auto"/>
        <w:rPr>
          <w:b/>
          <w:bCs/>
        </w:rPr>
      </w:pPr>
      <w:r w:rsidRPr="000322E4">
        <w:rPr>
          <w:b/>
          <w:bCs/>
        </w:rPr>
        <w:t>Лимфома/лейкоз Беркитта (Стадия IV-ОЛЛ по типу L3):</w:t>
      </w:r>
    </w:p>
    <w:p w14:paraId="00EA495C" w14:textId="77777777" w:rsidR="009B70C4" w:rsidRPr="000322E4" w:rsidRDefault="009B70C4" w:rsidP="00357C19">
      <w:pPr>
        <w:pStyle w:val="afd"/>
        <w:spacing w:beforeAutospacing="0" w:afterAutospacing="0" w:line="360" w:lineRule="auto"/>
      </w:pPr>
      <w:r w:rsidRPr="000322E4">
        <w:t>•</w:t>
      </w:r>
      <w:r w:rsidRPr="000322E4">
        <w:tab/>
        <w:t>в костном мозге &gt;25% опухолевых клеток</w:t>
      </w:r>
    </w:p>
    <w:p w14:paraId="370D0D10" w14:textId="77777777" w:rsidR="009B70C4" w:rsidRPr="000322E4" w:rsidRDefault="009B70C4" w:rsidP="00357C19">
      <w:pPr>
        <w:pStyle w:val="afd"/>
        <w:spacing w:beforeAutospacing="0" w:afterAutospacing="0" w:line="360" w:lineRule="auto"/>
      </w:pPr>
    </w:p>
    <w:p w14:paraId="0ABAF2F6" w14:textId="77777777" w:rsidR="00BB7996" w:rsidRPr="000322E4" w:rsidRDefault="00BB7996" w:rsidP="00F414BF">
      <w:pPr>
        <w:pStyle w:val="2"/>
        <w:spacing w:before="0"/>
        <w:rPr>
          <w:color w:val="000000" w:themeColor="text1"/>
        </w:rPr>
      </w:pPr>
      <w:bookmarkStart w:id="56" w:name="_Toc66096838"/>
      <w:r w:rsidRPr="000322E4">
        <w:rPr>
          <w:color w:val="000000" w:themeColor="text1"/>
        </w:rPr>
        <w:t>7.</w:t>
      </w:r>
      <w:r w:rsidR="00B356F3" w:rsidRPr="000322E4">
        <w:rPr>
          <w:color w:val="000000" w:themeColor="text1"/>
        </w:rPr>
        <w:t>4</w:t>
      </w:r>
      <w:r w:rsidRPr="000322E4">
        <w:rPr>
          <w:color w:val="000000" w:themeColor="text1"/>
        </w:rPr>
        <w:t xml:space="preserve"> Определение групп риска </w:t>
      </w:r>
      <w:r w:rsidR="005A2396" w:rsidRPr="000322E4">
        <w:rPr>
          <w:color w:val="000000" w:themeColor="text1"/>
        </w:rPr>
        <w:t>ДВКЛ</w:t>
      </w:r>
      <w:r w:rsidR="00AE61A0" w:rsidRPr="000322E4">
        <w:rPr>
          <w:color w:val="000000" w:themeColor="text1"/>
        </w:rPr>
        <w:t xml:space="preserve"> у взрослых пациентов</w:t>
      </w:r>
      <w:bookmarkEnd w:id="56"/>
    </w:p>
    <w:p w14:paraId="410785A2" w14:textId="77777777" w:rsidR="005A2396" w:rsidRPr="000322E4" w:rsidRDefault="005A2396" w:rsidP="00F414BF">
      <w:pPr>
        <w:contextualSpacing/>
      </w:pPr>
      <w:r w:rsidRPr="000322E4">
        <w:t xml:space="preserve">Для анализа индивидуального риска раннего прогрессирования используются международный прогностический индекс IPI (для всей популяции </w:t>
      </w:r>
      <w:r w:rsidR="00103620" w:rsidRPr="000322E4">
        <w:t xml:space="preserve">пациентов </w:t>
      </w:r>
      <w:r w:rsidRPr="000322E4">
        <w:t xml:space="preserve">– табл. 7.4.1 </w:t>
      </w:r>
      <w:r w:rsidRPr="000322E4">
        <w:fldChar w:fldCharType="begin" w:fldLock="1"/>
      </w:r>
      <w:r w:rsidR="00C37789" w:rsidRPr="000322E4">
        <w:instrText>ADDIN CSL_CITATION {"citationItems":[{"id":"ITEM-1","itemData":{"DOI":"10.1056/NEJM199309303291402","ISSN":"15334406","abstract":"Although many patients with intermediate-grade or high-grade (aggressive) non-Hodgkin's lymphoma are cured by combination chemotherapy, the remainder are not cured and ultimately die of their disease. The Ann Arbor classification, used to determine the stage of this disease, does not consistently distinguish between patients with different long-term prognoses. This project was undertaken to develop a model for predicting outcome in patients with aggressive non-Hodgkin's lymphoma on the basis of the patients' clinical characteristics before treatment. Adults with aggressive non-Hodgkin's lymphoma from 16 institutions and cooperative groups in the United States, Europe, and Canada who were treated between 1982 and 1987 with combination-chemotherapy regimens containing doxorubicin were evaluated for clinical features predictive of overall survival and relapse-free survival. Features that remained independently significant in step-down regression analyses of survival were incorporated into models that identified groups of patients of all ages and groups of patients no more than 60 years old with different risks of death. In 2031 patients of all ages, our model, based on age, tumor stage, serum lactate dehydrogenase concentration, performance status, and number of extranodal disease sites, identified four risk groups with predicted five-year survival rates of 73 percent, 51 percent, 43 percent, and 26 percent. In 1274 patients 60 or younger, an age-adjusted model based on tumor stage, lactate dehydrogenase level, and performance status identified four risk groups with predicted five-year survival rates of 83 percent, 69 percent, 46 percent, and 32 percent. In both models, the increased risk of death was due to both a lower rate of complete responses and a higher rate of relapse from complete response. These two indexes, called the international index and the age-adjusted international index, were significantly more accurate than the Ann Arbor classification in predicting long-term survival. The international index and the age-adjusted international index should be used in the design of future therapeutic trials in patients with aggressive non-Hodgkin's lymphoma and in the selection of appropriate therapeutic approaches for individual patients., Combination chemotherapy has transformed aggressive non-Hodgkin's lymphoma from a fatal disease into one that is often curable. However, many patients still die of their disease, underscoring the need for more accurat…","container-title":"New England Journal of Medicine","id":"ITEM-1","issue":"14","issued":{"date-parts":[["1993","9","30"]]},"page":"987-994","title":"A Predictive Model for Aggressive Non-Hodgkin's Lymphoma","type":"article-journal","volume":"329"},"uris":["http://www.mendeley.com/documents/?uuid=b5cb2e4b-c485-42d1-8c35-7c30e0aa4e10"]}],"mendeley":{"formattedCitation":"[123]","plainTextFormattedCitation":"[123]","previouslyFormattedCitation":"[123]"},"properties":{"noteIndex":0},"schema":"https://github.com/citation-style-language/schema/raw/master/csl-citation.json"}</w:instrText>
      </w:r>
      <w:r w:rsidRPr="000322E4">
        <w:fldChar w:fldCharType="separate"/>
      </w:r>
      <w:r w:rsidR="00C37789" w:rsidRPr="000322E4">
        <w:rPr>
          <w:noProof/>
        </w:rPr>
        <w:t>[123]</w:t>
      </w:r>
      <w:r w:rsidRPr="000322E4">
        <w:fldChar w:fldCharType="end"/>
      </w:r>
      <w:r w:rsidRPr="000322E4">
        <w:t xml:space="preserve">, и скорректированный по возрасту aаIPI (для </w:t>
      </w:r>
      <w:r w:rsidR="00103620" w:rsidRPr="000322E4">
        <w:t xml:space="preserve">пациентов </w:t>
      </w:r>
      <w:r w:rsidRPr="000322E4">
        <w:t xml:space="preserve">моложе 60 лет – табл. 7.4.2 </w:t>
      </w:r>
      <w:r w:rsidRPr="000322E4">
        <w:fldChar w:fldCharType="begin" w:fldLock="1"/>
      </w:r>
      <w:r w:rsidR="00C37789" w:rsidRPr="000322E4">
        <w:instrText>ADDIN CSL_CITATION {"citationItems":[{"id":"ITEM-1","itemData":{"DOI":"10.1016/j.jnci.2011.07.003","ISSN":"11100362","abstract":"Background: Diffuse large B-cell lymphoma (DLBCL) is the most common subtype of NHL in Egypt. It represents about 49% of NHL presenting to the National Cancer Institute (NCI), Cairo University. CHOP regimen is the standard treatment used for NHL since the 1970s with only 30-40% overall survival. Recently, integration of Rituximab became a standard of care for patients with DLBCL. However, its widespread use in developing countries is still limited by the lack of financial coverage. Clinical prognostic factors, as well as the pathological markers, are mandatory to individualize treatment. Aim: The aim of the study was to evaluate the clinical risk stratification models including the age adjusted International prognostic index (aaIPI), patients profile and dose intensity (DI) of Cyclophosphamide and Doxorubicin as effective tools for predicting the outcome and prognosis of our DLBCL patients treated with first line CHOP regimen. Patients and methods: This retrospective study included 224 patients with diffuse large B cell lymphoma who were treated with 3-8 cycles of CHOP regimen at the Medical Oncology Department, NCI, Cairo University during the time period from 1999 to 2006. Results: One hundred and seventy-eight patients (79.5%) achieved CR after the CHOP regimen with an observation period of 51months. The median survival time was 12months. The OS and DFS at 2years were 82% and 68.8%, respectively. The univariate analysis of predictive factors for response to treatment showed that the CR rate was significantly affected by aa-IPI and its elements (performance status, stage &amp; LDH), extranodal lesions and DI of Cyclophosphamide and Doxorubicin. The CR rate was 96.9%, 91.2%, 73.9% and 55.6% in cases with aa-IPI 0, 1, 2 and 3, respectively (p&lt;0.001) and it was 82.4%, 81.9% versus 50% in cases with no extranodal site, one extranodal site and two extranodal sites, respectively (p=0.01). As regard DI of Cyclophosphamide, with DI below or equal to the median (249mg/m2/week) the CR rate was 69%, while with DI above the median the CR rate was 87.7% (p=0.001). For Doxorubicin, the CR rate was 72.3% with DI below or equal to the median (16.5mg/m2/week), however, it was 86.6% with DI above the median (p=0.008). The OS rate was significantly affected by aa-IPI as it was 89.8% in cases of aa-IPI 0+1 versus 75.8% in those of aa-IPI 2+3 (p=0.03). DI of Cyclophosphamide and Doxorubicin significantly influenced the OS. The OS rate was 74% with DI of Doxorubicin below or e…","author":[{"dropping-particle":"","family":"Abdelhamid","given":"Thoraya","non-dropping-particle":"","parse-names":false,"suffix":""},{"dropping-particle":"","family":"Samra","given":"Mohamed","non-dropping-particle":"","parse-names":false,"suffix":""},{"dropping-particle":"","family":"Ramadan","given":"Hanan","non-dropping-particle":"","parse-names":false,"suffix":""},{"dropping-particle":"","family":"Mehessin","given":"Marowa","non-dropping-particle":"","parse-names":false,"suffix":""},{"dropping-particle":"","family":"Mokhtar","given":"Nadia","non-dropping-particle":"","parse-names":false,"suffix":""}],"container-title":"Journal of the Egyptian National Cancer Institute","id":"ITEM-1","issue":"1","issued":{"date-parts":[["2011","3"]]},"page":"17-24","title":"Clinical prognostic factors of diffuse large B cell non-Hodgkin lymphoma: A retrospective study","type":"article-journal","volume":"23"},"uris":["http://www.mendeley.com/documents/?uuid=36e15a65-f52d-3a3a-8525-34376ee288ce"]}],"mendeley":{"formattedCitation":"[124]","plainTextFormattedCitation":"[124]","previouslyFormattedCitation":"[124]"},"properties":{"noteIndex":0},"schema":"https://github.com/citation-style-language/schema/raw/master/csl-citation.json"}</w:instrText>
      </w:r>
      <w:r w:rsidRPr="000322E4">
        <w:fldChar w:fldCharType="separate"/>
      </w:r>
      <w:r w:rsidR="00C37789" w:rsidRPr="000322E4">
        <w:rPr>
          <w:noProof/>
        </w:rPr>
        <w:t>[124]</w:t>
      </w:r>
      <w:r w:rsidRPr="000322E4">
        <w:fldChar w:fldCharType="end"/>
      </w:r>
      <w:r w:rsidRPr="000322E4">
        <w:t xml:space="preserve">, которые не потеряли своего значения в условиях современных программ лечения. </w:t>
      </w:r>
    </w:p>
    <w:p w14:paraId="589E6F84" w14:textId="77777777" w:rsidR="005A2396" w:rsidRPr="000322E4" w:rsidRDefault="005A2396" w:rsidP="00F414BF">
      <w:pPr>
        <w:contextualSpacing/>
      </w:pPr>
    </w:p>
    <w:p w14:paraId="512908B9" w14:textId="77777777" w:rsidR="005A2396" w:rsidRPr="000322E4" w:rsidRDefault="005A2396" w:rsidP="00F414BF">
      <w:pPr>
        <w:contextualSpacing/>
      </w:pPr>
      <w:r w:rsidRPr="000322E4">
        <w:rPr>
          <w:b/>
        </w:rPr>
        <w:t>Таблица 7.4.1. Международный прогностический индекс (</w:t>
      </w:r>
      <w:r w:rsidRPr="000322E4">
        <w:rPr>
          <w:b/>
          <w:lang w:val="en-US"/>
        </w:rPr>
        <w:t>IPI</w:t>
      </w:r>
      <w:r w:rsidRPr="000322E4">
        <w:rPr>
          <w:b/>
        </w:rPr>
        <w:t xml:space="preserve">)   </w:t>
      </w:r>
    </w:p>
    <w:tbl>
      <w:tblPr>
        <w:tblW w:w="0" w:type="auto"/>
        <w:tblInd w:w="-25" w:type="dxa"/>
        <w:tblLayout w:type="fixed"/>
        <w:tblLook w:val="0000" w:firstRow="0" w:lastRow="0" w:firstColumn="0" w:lastColumn="0" w:noHBand="0" w:noVBand="0"/>
      </w:tblPr>
      <w:tblGrid>
        <w:gridCol w:w="3020"/>
        <w:gridCol w:w="3021"/>
        <w:gridCol w:w="3071"/>
      </w:tblGrid>
      <w:tr w:rsidR="005A2396" w:rsidRPr="000322E4" w14:paraId="47419DBB" w14:textId="77777777" w:rsidTr="005A2396">
        <w:tc>
          <w:tcPr>
            <w:tcW w:w="3020" w:type="dxa"/>
            <w:tcBorders>
              <w:top w:val="single" w:sz="4" w:space="0" w:color="000000"/>
              <w:left w:val="single" w:sz="4" w:space="0" w:color="000000"/>
              <w:bottom w:val="single" w:sz="4" w:space="0" w:color="000000"/>
            </w:tcBorders>
            <w:shd w:val="clear" w:color="auto" w:fill="auto"/>
          </w:tcPr>
          <w:p w14:paraId="2E407F05" w14:textId="77777777" w:rsidR="005A2396" w:rsidRPr="000322E4" w:rsidRDefault="005A2396" w:rsidP="00F414BF">
            <w:r w:rsidRPr="000322E4">
              <w:rPr>
                <w:b/>
                <w:i/>
              </w:rPr>
              <w:t>Категория риска</w:t>
            </w:r>
          </w:p>
        </w:tc>
        <w:tc>
          <w:tcPr>
            <w:tcW w:w="3021" w:type="dxa"/>
            <w:tcBorders>
              <w:top w:val="single" w:sz="4" w:space="0" w:color="000000"/>
              <w:left w:val="single" w:sz="4" w:space="0" w:color="000000"/>
              <w:bottom w:val="single" w:sz="4" w:space="0" w:color="000000"/>
            </w:tcBorders>
            <w:shd w:val="clear" w:color="auto" w:fill="auto"/>
          </w:tcPr>
          <w:p w14:paraId="7B55A62C" w14:textId="77777777" w:rsidR="005A2396" w:rsidRPr="000322E4" w:rsidRDefault="005A2396" w:rsidP="00F414BF">
            <w:r w:rsidRPr="000322E4">
              <w:rPr>
                <w:b/>
                <w:i/>
              </w:rPr>
              <w:t>Кол-во факторов риска*</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1FD4F181" w14:textId="77777777" w:rsidR="005A2396" w:rsidRPr="000322E4" w:rsidRDefault="005A2396" w:rsidP="00F414BF">
            <w:r w:rsidRPr="000322E4">
              <w:rPr>
                <w:b/>
                <w:i/>
              </w:rPr>
              <w:t>Ожидаемая 3-летняя общая выживаемость, %</w:t>
            </w:r>
          </w:p>
        </w:tc>
      </w:tr>
      <w:tr w:rsidR="005A2396" w:rsidRPr="000322E4" w14:paraId="14B3750E" w14:textId="77777777" w:rsidTr="005A2396">
        <w:tc>
          <w:tcPr>
            <w:tcW w:w="3020" w:type="dxa"/>
            <w:tcBorders>
              <w:top w:val="single" w:sz="4" w:space="0" w:color="000000"/>
              <w:left w:val="single" w:sz="4" w:space="0" w:color="000000"/>
              <w:bottom w:val="single" w:sz="4" w:space="0" w:color="000000"/>
            </w:tcBorders>
            <w:shd w:val="clear" w:color="auto" w:fill="auto"/>
          </w:tcPr>
          <w:p w14:paraId="3B4CEDCB" w14:textId="77777777" w:rsidR="005A2396" w:rsidRPr="000322E4" w:rsidRDefault="005A2396" w:rsidP="00F414BF">
            <w:r w:rsidRPr="000322E4">
              <w:t>Низкий</w:t>
            </w:r>
          </w:p>
        </w:tc>
        <w:tc>
          <w:tcPr>
            <w:tcW w:w="3021" w:type="dxa"/>
            <w:tcBorders>
              <w:top w:val="single" w:sz="4" w:space="0" w:color="000000"/>
              <w:left w:val="single" w:sz="4" w:space="0" w:color="000000"/>
              <w:bottom w:val="single" w:sz="4" w:space="0" w:color="000000"/>
            </w:tcBorders>
            <w:shd w:val="clear" w:color="auto" w:fill="auto"/>
          </w:tcPr>
          <w:p w14:paraId="114B5CF1" w14:textId="77777777" w:rsidR="005A2396" w:rsidRPr="000322E4" w:rsidRDefault="005A2396" w:rsidP="00F414BF">
            <w:r w:rsidRPr="000322E4">
              <w:t>0-1</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13393503" w14:textId="77777777" w:rsidR="005A2396" w:rsidRPr="000322E4" w:rsidRDefault="005A2396" w:rsidP="00F414BF">
            <w:r w:rsidRPr="000322E4">
              <w:t>91 (89-94)</w:t>
            </w:r>
            <w:r w:rsidRPr="000322E4">
              <w:rPr>
                <w:vertAlign w:val="superscript"/>
              </w:rPr>
              <w:t>1</w:t>
            </w:r>
          </w:p>
        </w:tc>
      </w:tr>
      <w:tr w:rsidR="005A2396" w:rsidRPr="000322E4" w14:paraId="312EA17F" w14:textId="77777777" w:rsidTr="005A2396">
        <w:tc>
          <w:tcPr>
            <w:tcW w:w="3020" w:type="dxa"/>
            <w:tcBorders>
              <w:top w:val="single" w:sz="4" w:space="0" w:color="000000"/>
              <w:left w:val="single" w:sz="4" w:space="0" w:color="000000"/>
              <w:bottom w:val="single" w:sz="4" w:space="0" w:color="000000"/>
            </w:tcBorders>
            <w:shd w:val="clear" w:color="auto" w:fill="auto"/>
          </w:tcPr>
          <w:p w14:paraId="439E6012" w14:textId="77777777" w:rsidR="005A2396" w:rsidRPr="000322E4" w:rsidRDefault="005A2396" w:rsidP="00F414BF">
            <w:r w:rsidRPr="000322E4">
              <w:t>Низкий промежуточный</w:t>
            </w:r>
          </w:p>
        </w:tc>
        <w:tc>
          <w:tcPr>
            <w:tcW w:w="3021" w:type="dxa"/>
            <w:tcBorders>
              <w:top w:val="single" w:sz="4" w:space="0" w:color="000000"/>
              <w:left w:val="single" w:sz="4" w:space="0" w:color="000000"/>
              <w:bottom w:val="single" w:sz="4" w:space="0" w:color="000000"/>
            </w:tcBorders>
            <w:shd w:val="clear" w:color="auto" w:fill="auto"/>
          </w:tcPr>
          <w:p w14:paraId="2DD85F0B" w14:textId="77777777" w:rsidR="005A2396" w:rsidRPr="000322E4" w:rsidRDefault="005A2396" w:rsidP="00F414BF">
            <w:r w:rsidRPr="000322E4">
              <w:t>2</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60C2EDEE" w14:textId="77777777" w:rsidR="005A2396" w:rsidRPr="000322E4" w:rsidRDefault="005A2396" w:rsidP="00F414BF">
            <w:r w:rsidRPr="000322E4">
              <w:t>81 (73–86)</w:t>
            </w:r>
          </w:p>
        </w:tc>
      </w:tr>
      <w:tr w:rsidR="005A2396" w:rsidRPr="000322E4" w14:paraId="03FBD23B" w14:textId="77777777" w:rsidTr="005A2396">
        <w:tc>
          <w:tcPr>
            <w:tcW w:w="3020" w:type="dxa"/>
            <w:tcBorders>
              <w:top w:val="single" w:sz="4" w:space="0" w:color="000000"/>
              <w:left w:val="single" w:sz="4" w:space="0" w:color="000000"/>
              <w:bottom w:val="single" w:sz="4" w:space="0" w:color="000000"/>
            </w:tcBorders>
            <w:shd w:val="clear" w:color="auto" w:fill="auto"/>
          </w:tcPr>
          <w:p w14:paraId="64F65D66" w14:textId="77777777" w:rsidR="005A2396" w:rsidRPr="000322E4" w:rsidRDefault="005A2396" w:rsidP="00F414BF">
            <w:r w:rsidRPr="000322E4">
              <w:t>Высокий промежуточный</w:t>
            </w:r>
          </w:p>
        </w:tc>
        <w:tc>
          <w:tcPr>
            <w:tcW w:w="3021" w:type="dxa"/>
            <w:tcBorders>
              <w:top w:val="single" w:sz="4" w:space="0" w:color="000000"/>
              <w:left w:val="single" w:sz="4" w:space="0" w:color="000000"/>
              <w:bottom w:val="single" w:sz="4" w:space="0" w:color="000000"/>
            </w:tcBorders>
            <w:shd w:val="clear" w:color="auto" w:fill="auto"/>
          </w:tcPr>
          <w:p w14:paraId="5A6A1135" w14:textId="77777777" w:rsidR="005A2396" w:rsidRPr="000322E4" w:rsidRDefault="005A2396" w:rsidP="00F414BF">
            <w:r w:rsidRPr="000322E4">
              <w:t>3</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32230176" w14:textId="77777777" w:rsidR="005A2396" w:rsidRPr="000322E4" w:rsidRDefault="005A2396" w:rsidP="00F414BF">
            <w:r w:rsidRPr="000322E4">
              <w:t>65 (58–73)</w:t>
            </w:r>
          </w:p>
        </w:tc>
      </w:tr>
      <w:tr w:rsidR="005A2396" w:rsidRPr="000322E4" w14:paraId="082ECE67" w14:textId="77777777" w:rsidTr="005A2396">
        <w:tc>
          <w:tcPr>
            <w:tcW w:w="3020" w:type="dxa"/>
            <w:tcBorders>
              <w:top w:val="single" w:sz="4" w:space="0" w:color="000000"/>
              <w:left w:val="single" w:sz="4" w:space="0" w:color="000000"/>
              <w:bottom w:val="single" w:sz="4" w:space="0" w:color="000000"/>
            </w:tcBorders>
            <w:shd w:val="clear" w:color="auto" w:fill="auto"/>
          </w:tcPr>
          <w:p w14:paraId="6EBCC40C" w14:textId="77777777" w:rsidR="005A2396" w:rsidRPr="000322E4" w:rsidRDefault="005A2396" w:rsidP="00F414BF">
            <w:r w:rsidRPr="000322E4">
              <w:t>Высокий</w:t>
            </w:r>
          </w:p>
        </w:tc>
        <w:tc>
          <w:tcPr>
            <w:tcW w:w="3021" w:type="dxa"/>
            <w:tcBorders>
              <w:top w:val="single" w:sz="4" w:space="0" w:color="000000"/>
              <w:left w:val="single" w:sz="4" w:space="0" w:color="000000"/>
              <w:bottom w:val="single" w:sz="4" w:space="0" w:color="000000"/>
            </w:tcBorders>
            <w:shd w:val="clear" w:color="auto" w:fill="auto"/>
          </w:tcPr>
          <w:p w14:paraId="5AB9FD6A" w14:textId="77777777" w:rsidR="005A2396" w:rsidRPr="000322E4" w:rsidRDefault="005A2396" w:rsidP="00F414BF">
            <w:r w:rsidRPr="000322E4">
              <w:t>4-5</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2C3BAB7E" w14:textId="77777777" w:rsidR="005A2396" w:rsidRPr="000322E4" w:rsidRDefault="005A2396" w:rsidP="00F414BF">
            <w:r w:rsidRPr="000322E4">
              <w:t>59 (49–69)</w:t>
            </w:r>
          </w:p>
        </w:tc>
      </w:tr>
      <w:tr w:rsidR="005A2396" w:rsidRPr="000322E4" w14:paraId="23C374D2" w14:textId="77777777" w:rsidTr="005A2396">
        <w:tc>
          <w:tcPr>
            <w:tcW w:w="9112" w:type="dxa"/>
            <w:gridSpan w:val="3"/>
            <w:tcBorders>
              <w:top w:val="single" w:sz="4" w:space="0" w:color="000000"/>
              <w:left w:val="single" w:sz="4" w:space="0" w:color="000000"/>
              <w:bottom w:val="single" w:sz="4" w:space="0" w:color="000000"/>
              <w:right w:val="single" w:sz="4" w:space="0" w:color="000000"/>
            </w:tcBorders>
            <w:shd w:val="clear" w:color="auto" w:fill="auto"/>
          </w:tcPr>
          <w:p w14:paraId="06B0FFCA" w14:textId="77777777" w:rsidR="005A2396" w:rsidRPr="000322E4" w:rsidRDefault="005A2396" w:rsidP="00F414BF">
            <w:r w:rsidRPr="000322E4">
              <w:rPr>
                <w:b/>
                <w:i/>
              </w:rPr>
              <w:t>*Факторы риска:</w:t>
            </w:r>
          </w:p>
          <w:p w14:paraId="4F51AEF7" w14:textId="77777777" w:rsidR="005A2396" w:rsidRPr="000322E4" w:rsidRDefault="005A2396" w:rsidP="00F414BF">
            <w:pPr>
              <w:pStyle w:val="afe"/>
              <w:numPr>
                <w:ilvl w:val="0"/>
                <w:numId w:val="36"/>
              </w:numPr>
              <w:suppressAutoHyphens/>
            </w:pPr>
            <w:r w:rsidRPr="000322E4">
              <w:rPr>
                <w:i/>
                <w:iCs/>
              </w:rPr>
              <w:t>Возраст старше 60 лет</w:t>
            </w:r>
            <w:r w:rsidRPr="000322E4">
              <w:rPr>
                <w:i/>
                <w:iCs/>
              </w:rPr>
              <w:tab/>
            </w:r>
            <w:r w:rsidRPr="000322E4">
              <w:rPr>
                <w:i/>
                <w:iCs/>
              </w:rPr>
              <w:tab/>
            </w:r>
            <w:r w:rsidRPr="000322E4">
              <w:rPr>
                <w:i/>
                <w:iCs/>
              </w:rPr>
              <w:tab/>
            </w:r>
            <w:r w:rsidRPr="000322E4">
              <w:rPr>
                <w:i/>
                <w:iCs/>
              </w:rPr>
              <w:tab/>
            </w:r>
          </w:p>
          <w:p w14:paraId="0BB2179E" w14:textId="77777777" w:rsidR="005A2396" w:rsidRPr="000322E4" w:rsidRDefault="005A2396" w:rsidP="00F414BF">
            <w:pPr>
              <w:pStyle w:val="afe"/>
              <w:numPr>
                <w:ilvl w:val="0"/>
                <w:numId w:val="36"/>
              </w:numPr>
              <w:suppressAutoHyphens/>
            </w:pPr>
            <w:r w:rsidRPr="000322E4">
              <w:rPr>
                <w:i/>
                <w:iCs/>
              </w:rPr>
              <w:t>ECOG ≥2</w:t>
            </w:r>
            <w:r w:rsidRPr="000322E4">
              <w:rPr>
                <w:i/>
                <w:iCs/>
              </w:rPr>
              <w:tab/>
            </w:r>
            <w:r w:rsidRPr="000322E4">
              <w:rPr>
                <w:i/>
                <w:iCs/>
              </w:rPr>
              <w:tab/>
            </w:r>
            <w:r w:rsidRPr="000322E4">
              <w:rPr>
                <w:i/>
                <w:iCs/>
              </w:rPr>
              <w:tab/>
            </w:r>
            <w:r w:rsidRPr="000322E4">
              <w:rPr>
                <w:i/>
                <w:iCs/>
              </w:rPr>
              <w:tab/>
            </w:r>
            <w:r w:rsidRPr="000322E4">
              <w:rPr>
                <w:i/>
                <w:iCs/>
              </w:rPr>
              <w:tab/>
            </w:r>
            <w:r w:rsidRPr="000322E4">
              <w:rPr>
                <w:i/>
                <w:iCs/>
              </w:rPr>
              <w:tab/>
            </w:r>
          </w:p>
          <w:p w14:paraId="4A40D2BA" w14:textId="77777777" w:rsidR="005A2396" w:rsidRPr="000322E4" w:rsidRDefault="005A2396" w:rsidP="00F414BF">
            <w:pPr>
              <w:pStyle w:val="afe"/>
              <w:numPr>
                <w:ilvl w:val="0"/>
                <w:numId w:val="36"/>
              </w:numPr>
              <w:suppressAutoHyphens/>
            </w:pPr>
            <w:r w:rsidRPr="000322E4">
              <w:rPr>
                <w:i/>
                <w:iCs/>
              </w:rPr>
              <w:t>Повышение ЛДГ</w:t>
            </w:r>
            <w:r w:rsidRPr="000322E4">
              <w:rPr>
                <w:i/>
                <w:iCs/>
              </w:rPr>
              <w:tab/>
            </w:r>
            <w:r w:rsidRPr="000322E4">
              <w:rPr>
                <w:i/>
                <w:iCs/>
              </w:rPr>
              <w:tab/>
            </w:r>
            <w:r w:rsidRPr="000322E4">
              <w:rPr>
                <w:i/>
                <w:iCs/>
              </w:rPr>
              <w:tab/>
            </w:r>
            <w:r w:rsidRPr="000322E4">
              <w:rPr>
                <w:i/>
                <w:iCs/>
              </w:rPr>
              <w:tab/>
            </w:r>
            <w:r w:rsidRPr="000322E4">
              <w:rPr>
                <w:i/>
                <w:iCs/>
              </w:rPr>
              <w:tab/>
            </w:r>
          </w:p>
          <w:p w14:paraId="33E10A9A" w14:textId="77777777" w:rsidR="005A2396" w:rsidRPr="000322E4" w:rsidRDefault="005A2396" w:rsidP="00F414BF">
            <w:pPr>
              <w:pStyle w:val="afe"/>
              <w:numPr>
                <w:ilvl w:val="0"/>
                <w:numId w:val="36"/>
              </w:numPr>
              <w:suppressAutoHyphens/>
            </w:pPr>
            <w:r w:rsidRPr="000322E4">
              <w:rPr>
                <w:i/>
                <w:iCs/>
              </w:rPr>
              <w:t>Стадия III-IV</w:t>
            </w:r>
          </w:p>
          <w:p w14:paraId="5B609866" w14:textId="77777777" w:rsidR="005A2396" w:rsidRPr="000322E4" w:rsidRDefault="005A2396" w:rsidP="00F414BF">
            <w:pPr>
              <w:pStyle w:val="afe"/>
              <w:numPr>
                <w:ilvl w:val="0"/>
                <w:numId w:val="36"/>
              </w:numPr>
              <w:suppressAutoHyphens/>
            </w:pPr>
            <w:r w:rsidRPr="000322E4">
              <w:rPr>
                <w:i/>
                <w:iCs/>
              </w:rPr>
              <w:t>&gt;1 экстранодальной зоны поражения</w:t>
            </w:r>
          </w:p>
        </w:tc>
      </w:tr>
    </w:tbl>
    <w:p w14:paraId="1C65681E" w14:textId="77777777" w:rsidR="005A2396" w:rsidRPr="000322E4" w:rsidRDefault="005A2396" w:rsidP="00F414BF">
      <w:pPr>
        <w:contextualSpacing/>
      </w:pPr>
      <w:r w:rsidRPr="000322E4">
        <w:t>____________________________________________</w:t>
      </w:r>
    </w:p>
    <w:p w14:paraId="795819D7" w14:textId="77777777" w:rsidR="005A2396" w:rsidRPr="000322E4" w:rsidRDefault="005A2396" w:rsidP="00F414BF">
      <w:pPr>
        <w:contextualSpacing/>
      </w:pPr>
      <w:r w:rsidRPr="000322E4">
        <w:rPr>
          <w:vertAlign w:val="superscript"/>
        </w:rPr>
        <w:t>1</w:t>
      </w:r>
      <w:r w:rsidRPr="000322E4">
        <w:t>По данным различных клинических исследований.</w:t>
      </w:r>
    </w:p>
    <w:p w14:paraId="43E4503B" w14:textId="77777777" w:rsidR="005A2396" w:rsidRPr="000322E4" w:rsidRDefault="005A2396" w:rsidP="00F414BF">
      <w:pPr>
        <w:contextualSpacing/>
        <w:rPr>
          <w:rFonts w:ascii="Arial" w:hAnsi="Arial" w:cs="Arial"/>
          <w:color w:val="222222"/>
          <w:sz w:val="21"/>
          <w:szCs w:val="21"/>
        </w:rPr>
      </w:pPr>
    </w:p>
    <w:p w14:paraId="28E6BC7B" w14:textId="77777777" w:rsidR="005A2396" w:rsidRPr="000322E4" w:rsidRDefault="005A2396" w:rsidP="00F414BF">
      <w:pPr>
        <w:ind w:left="-1" w:firstLine="708"/>
        <w:contextualSpacing/>
      </w:pPr>
      <w:r w:rsidRPr="000322E4">
        <w:rPr>
          <w:b/>
        </w:rPr>
        <w:t xml:space="preserve">Таблица 7.4.2 Международный прогностический индекс, скорректированный по возрасту для </w:t>
      </w:r>
      <w:r w:rsidR="00103620" w:rsidRPr="000322E4">
        <w:rPr>
          <w:b/>
        </w:rPr>
        <w:t xml:space="preserve">пациентов </w:t>
      </w:r>
      <w:r w:rsidRPr="000322E4">
        <w:rPr>
          <w:b/>
        </w:rPr>
        <w:t xml:space="preserve">моложе 60 лет (ааIPI) </w:t>
      </w:r>
    </w:p>
    <w:tbl>
      <w:tblPr>
        <w:tblW w:w="0" w:type="auto"/>
        <w:tblInd w:w="-25" w:type="dxa"/>
        <w:tblLayout w:type="fixed"/>
        <w:tblLook w:val="0000" w:firstRow="0" w:lastRow="0" w:firstColumn="0" w:lastColumn="0" w:noHBand="0" w:noVBand="0"/>
      </w:tblPr>
      <w:tblGrid>
        <w:gridCol w:w="3020"/>
        <w:gridCol w:w="3021"/>
        <w:gridCol w:w="3071"/>
      </w:tblGrid>
      <w:tr w:rsidR="005A2396" w:rsidRPr="000322E4" w14:paraId="10056B3C" w14:textId="77777777" w:rsidTr="005A2396">
        <w:tc>
          <w:tcPr>
            <w:tcW w:w="3020" w:type="dxa"/>
            <w:tcBorders>
              <w:top w:val="single" w:sz="4" w:space="0" w:color="000000"/>
              <w:left w:val="single" w:sz="4" w:space="0" w:color="000000"/>
              <w:bottom w:val="single" w:sz="4" w:space="0" w:color="000000"/>
            </w:tcBorders>
            <w:shd w:val="clear" w:color="auto" w:fill="auto"/>
          </w:tcPr>
          <w:p w14:paraId="36D97461" w14:textId="77777777" w:rsidR="005A2396" w:rsidRPr="000322E4" w:rsidRDefault="005A2396" w:rsidP="00F414BF">
            <w:r w:rsidRPr="000322E4">
              <w:rPr>
                <w:b/>
                <w:i/>
              </w:rPr>
              <w:t>Категория риска</w:t>
            </w:r>
          </w:p>
        </w:tc>
        <w:tc>
          <w:tcPr>
            <w:tcW w:w="3021" w:type="dxa"/>
            <w:tcBorders>
              <w:top w:val="single" w:sz="4" w:space="0" w:color="000000"/>
              <w:left w:val="single" w:sz="4" w:space="0" w:color="000000"/>
              <w:bottom w:val="single" w:sz="4" w:space="0" w:color="000000"/>
            </w:tcBorders>
            <w:shd w:val="clear" w:color="auto" w:fill="auto"/>
          </w:tcPr>
          <w:p w14:paraId="4F5281D5" w14:textId="77777777" w:rsidR="005A2396" w:rsidRPr="000322E4" w:rsidRDefault="005A2396" w:rsidP="00F414BF">
            <w:r w:rsidRPr="000322E4">
              <w:rPr>
                <w:b/>
                <w:i/>
              </w:rPr>
              <w:t>Кол-во факторов риска*</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2B4BA4FE" w14:textId="77777777" w:rsidR="005A2396" w:rsidRPr="000322E4" w:rsidRDefault="005A2396" w:rsidP="00F414BF">
            <w:r w:rsidRPr="000322E4">
              <w:rPr>
                <w:b/>
                <w:i/>
              </w:rPr>
              <w:t>Ожидаемая 3-летняя общая выживаемость, %</w:t>
            </w:r>
          </w:p>
        </w:tc>
      </w:tr>
      <w:tr w:rsidR="005A2396" w:rsidRPr="000322E4" w14:paraId="6E59EE62" w14:textId="77777777" w:rsidTr="005A2396">
        <w:tc>
          <w:tcPr>
            <w:tcW w:w="3020" w:type="dxa"/>
            <w:tcBorders>
              <w:top w:val="single" w:sz="4" w:space="0" w:color="000000"/>
              <w:left w:val="single" w:sz="4" w:space="0" w:color="000000"/>
              <w:bottom w:val="single" w:sz="4" w:space="0" w:color="000000"/>
            </w:tcBorders>
            <w:shd w:val="clear" w:color="auto" w:fill="auto"/>
          </w:tcPr>
          <w:p w14:paraId="3AEF90CC" w14:textId="77777777" w:rsidR="005A2396" w:rsidRPr="000322E4" w:rsidRDefault="005A2396" w:rsidP="00F414BF">
            <w:r w:rsidRPr="000322E4">
              <w:t>Низкий</w:t>
            </w:r>
          </w:p>
        </w:tc>
        <w:tc>
          <w:tcPr>
            <w:tcW w:w="3021" w:type="dxa"/>
            <w:tcBorders>
              <w:top w:val="single" w:sz="4" w:space="0" w:color="000000"/>
              <w:left w:val="single" w:sz="4" w:space="0" w:color="000000"/>
              <w:bottom w:val="single" w:sz="4" w:space="0" w:color="000000"/>
            </w:tcBorders>
            <w:shd w:val="clear" w:color="auto" w:fill="auto"/>
          </w:tcPr>
          <w:p w14:paraId="1392BE33" w14:textId="77777777" w:rsidR="005A2396" w:rsidRPr="000322E4" w:rsidRDefault="005A2396" w:rsidP="00F414BF">
            <w:r w:rsidRPr="000322E4">
              <w:t>0</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7F976711" w14:textId="77777777" w:rsidR="005A2396" w:rsidRPr="000322E4" w:rsidRDefault="005A2396" w:rsidP="00F414BF">
            <w:r w:rsidRPr="000322E4">
              <w:t>98 (96–100)</w:t>
            </w:r>
          </w:p>
        </w:tc>
      </w:tr>
      <w:tr w:rsidR="005A2396" w:rsidRPr="000322E4" w14:paraId="751D11B3" w14:textId="77777777" w:rsidTr="005A2396">
        <w:tc>
          <w:tcPr>
            <w:tcW w:w="3020" w:type="dxa"/>
            <w:tcBorders>
              <w:top w:val="single" w:sz="4" w:space="0" w:color="000000"/>
              <w:left w:val="single" w:sz="4" w:space="0" w:color="000000"/>
              <w:bottom w:val="single" w:sz="4" w:space="0" w:color="000000"/>
            </w:tcBorders>
            <w:shd w:val="clear" w:color="auto" w:fill="auto"/>
          </w:tcPr>
          <w:p w14:paraId="0B1B2582" w14:textId="77777777" w:rsidR="005A2396" w:rsidRPr="000322E4" w:rsidRDefault="005A2396" w:rsidP="00F414BF">
            <w:r w:rsidRPr="000322E4">
              <w:t>Низкий промежуточный</w:t>
            </w:r>
          </w:p>
        </w:tc>
        <w:tc>
          <w:tcPr>
            <w:tcW w:w="3021" w:type="dxa"/>
            <w:tcBorders>
              <w:top w:val="single" w:sz="4" w:space="0" w:color="000000"/>
              <w:left w:val="single" w:sz="4" w:space="0" w:color="000000"/>
              <w:bottom w:val="single" w:sz="4" w:space="0" w:color="000000"/>
            </w:tcBorders>
            <w:shd w:val="clear" w:color="auto" w:fill="auto"/>
          </w:tcPr>
          <w:p w14:paraId="2B7AA21A" w14:textId="77777777" w:rsidR="005A2396" w:rsidRPr="000322E4" w:rsidRDefault="005A2396" w:rsidP="00F414BF">
            <w:r w:rsidRPr="000322E4">
              <w:t>1</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1AA989ED" w14:textId="77777777" w:rsidR="005A2396" w:rsidRPr="000322E4" w:rsidRDefault="005A2396" w:rsidP="00F414BF">
            <w:r w:rsidRPr="000322E4">
              <w:t>92 (87–95)</w:t>
            </w:r>
          </w:p>
        </w:tc>
      </w:tr>
      <w:tr w:rsidR="005A2396" w:rsidRPr="000322E4" w14:paraId="57ADC5B6" w14:textId="77777777" w:rsidTr="005A2396">
        <w:tc>
          <w:tcPr>
            <w:tcW w:w="3020" w:type="dxa"/>
            <w:tcBorders>
              <w:top w:val="single" w:sz="4" w:space="0" w:color="000000"/>
              <w:left w:val="single" w:sz="4" w:space="0" w:color="000000"/>
              <w:bottom w:val="single" w:sz="4" w:space="0" w:color="000000"/>
            </w:tcBorders>
            <w:shd w:val="clear" w:color="auto" w:fill="auto"/>
          </w:tcPr>
          <w:p w14:paraId="773D009A" w14:textId="77777777" w:rsidR="005A2396" w:rsidRPr="000322E4" w:rsidRDefault="005A2396" w:rsidP="00F414BF">
            <w:r w:rsidRPr="000322E4">
              <w:lastRenderedPageBreak/>
              <w:t>Высокий промежуточный</w:t>
            </w:r>
          </w:p>
        </w:tc>
        <w:tc>
          <w:tcPr>
            <w:tcW w:w="3021" w:type="dxa"/>
            <w:tcBorders>
              <w:top w:val="single" w:sz="4" w:space="0" w:color="000000"/>
              <w:left w:val="single" w:sz="4" w:space="0" w:color="000000"/>
              <w:bottom w:val="single" w:sz="4" w:space="0" w:color="000000"/>
            </w:tcBorders>
            <w:shd w:val="clear" w:color="auto" w:fill="auto"/>
          </w:tcPr>
          <w:p w14:paraId="7A4D0875" w14:textId="77777777" w:rsidR="005A2396" w:rsidRPr="000322E4" w:rsidRDefault="005A2396" w:rsidP="00F414BF">
            <w:r w:rsidRPr="000322E4">
              <w:t>2</w:t>
            </w:r>
          </w:p>
        </w:tc>
        <w:tc>
          <w:tcPr>
            <w:tcW w:w="307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84A5BB9" w14:textId="77777777" w:rsidR="005A2396" w:rsidRPr="000322E4" w:rsidRDefault="005A2396" w:rsidP="00F414BF">
            <w:r w:rsidRPr="000322E4">
              <w:t>75(66–82)</w:t>
            </w:r>
          </w:p>
        </w:tc>
      </w:tr>
      <w:tr w:rsidR="005A2396" w:rsidRPr="000322E4" w14:paraId="4F253257" w14:textId="77777777" w:rsidTr="005A2396">
        <w:tc>
          <w:tcPr>
            <w:tcW w:w="3020" w:type="dxa"/>
            <w:tcBorders>
              <w:top w:val="single" w:sz="4" w:space="0" w:color="000000"/>
              <w:left w:val="single" w:sz="4" w:space="0" w:color="000000"/>
              <w:bottom w:val="single" w:sz="4" w:space="0" w:color="000000"/>
            </w:tcBorders>
            <w:shd w:val="clear" w:color="auto" w:fill="auto"/>
          </w:tcPr>
          <w:p w14:paraId="4086BA8C" w14:textId="77777777" w:rsidR="005A2396" w:rsidRPr="000322E4" w:rsidRDefault="005A2396" w:rsidP="00F414BF">
            <w:r w:rsidRPr="000322E4">
              <w:t>Высокий</w:t>
            </w:r>
          </w:p>
        </w:tc>
        <w:tc>
          <w:tcPr>
            <w:tcW w:w="3021" w:type="dxa"/>
            <w:tcBorders>
              <w:top w:val="single" w:sz="4" w:space="0" w:color="000000"/>
              <w:left w:val="single" w:sz="4" w:space="0" w:color="000000"/>
              <w:bottom w:val="single" w:sz="4" w:space="0" w:color="000000"/>
            </w:tcBorders>
            <w:shd w:val="clear" w:color="auto" w:fill="auto"/>
          </w:tcPr>
          <w:p w14:paraId="0BAF6820" w14:textId="77777777" w:rsidR="005A2396" w:rsidRPr="000322E4" w:rsidRDefault="005A2396" w:rsidP="00F414BF">
            <w:r w:rsidRPr="000322E4">
              <w:t>3</w:t>
            </w:r>
          </w:p>
        </w:tc>
        <w:tc>
          <w:tcPr>
            <w:tcW w:w="3071" w:type="dxa"/>
            <w:vMerge/>
            <w:tcBorders>
              <w:top w:val="single" w:sz="4" w:space="0" w:color="000000"/>
              <w:left w:val="single" w:sz="4" w:space="0" w:color="000000"/>
              <w:bottom w:val="single" w:sz="4" w:space="0" w:color="000000"/>
              <w:right w:val="single" w:sz="4" w:space="0" w:color="000000"/>
            </w:tcBorders>
            <w:shd w:val="clear" w:color="auto" w:fill="auto"/>
          </w:tcPr>
          <w:p w14:paraId="633A503D" w14:textId="77777777" w:rsidR="005A2396" w:rsidRPr="000322E4" w:rsidRDefault="005A2396" w:rsidP="00F414BF">
            <w:pPr>
              <w:snapToGrid w:val="0"/>
              <w:rPr>
                <w:sz w:val="22"/>
              </w:rPr>
            </w:pPr>
          </w:p>
        </w:tc>
      </w:tr>
      <w:tr w:rsidR="005A2396" w:rsidRPr="000322E4" w14:paraId="06AEACA2" w14:textId="77777777" w:rsidTr="005A2396">
        <w:tc>
          <w:tcPr>
            <w:tcW w:w="9112" w:type="dxa"/>
            <w:gridSpan w:val="3"/>
            <w:tcBorders>
              <w:top w:val="single" w:sz="4" w:space="0" w:color="000000"/>
              <w:left w:val="single" w:sz="4" w:space="0" w:color="000000"/>
              <w:bottom w:val="single" w:sz="4" w:space="0" w:color="000000"/>
              <w:right w:val="single" w:sz="4" w:space="0" w:color="000000"/>
            </w:tcBorders>
            <w:shd w:val="clear" w:color="auto" w:fill="auto"/>
          </w:tcPr>
          <w:p w14:paraId="610908F2" w14:textId="77777777" w:rsidR="005A2396" w:rsidRPr="000322E4" w:rsidRDefault="005A2396" w:rsidP="00F414BF">
            <w:r w:rsidRPr="000322E4">
              <w:rPr>
                <w:b/>
                <w:i/>
              </w:rPr>
              <w:t>*Факторы риска:</w:t>
            </w:r>
            <w:r w:rsidRPr="000322E4">
              <w:rPr>
                <w:sz w:val="26"/>
              </w:rPr>
              <w:tab/>
            </w:r>
            <w:r w:rsidRPr="000322E4">
              <w:rPr>
                <w:sz w:val="26"/>
              </w:rPr>
              <w:tab/>
            </w:r>
          </w:p>
          <w:p w14:paraId="32A927D9" w14:textId="77777777" w:rsidR="005A2396" w:rsidRPr="000322E4" w:rsidRDefault="005A2396" w:rsidP="00F414BF">
            <w:pPr>
              <w:pStyle w:val="afe"/>
              <w:numPr>
                <w:ilvl w:val="0"/>
                <w:numId w:val="36"/>
              </w:numPr>
              <w:suppressAutoHyphens/>
            </w:pPr>
            <w:r w:rsidRPr="000322E4">
              <w:rPr>
                <w:i/>
                <w:iCs/>
              </w:rPr>
              <w:t>ECOG ≥2</w:t>
            </w:r>
            <w:r w:rsidRPr="000322E4">
              <w:rPr>
                <w:i/>
                <w:iCs/>
              </w:rPr>
              <w:tab/>
            </w:r>
            <w:r w:rsidRPr="000322E4">
              <w:rPr>
                <w:i/>
                <w:iCs/>
              </w:rPr>
              <w:tab/>
            </w:r>
            <w:r w:rsidRPr="000322E4">
              <w:rPr>
                <w:i/>
                <w:iCs/>
              </w:rPr>
              <w:tab/>
            </w:r>
            <w:r w:rsidRPr="000322E4">
              <w:rPr>
                <w:i/>
                <w:iCs/>
              </w:rPr>
              <w:tab/>
            </w:r>
            <w:r w:rsidRPr="000322E4">
              <w:rPr>
                <w:i/>
                <w:iCs/>
              </w:rPr>
              <w:tab/>
            </w:r>
            <w:r w:rsidRPr="000322E4">
              <w:rPr>
                <w:i/>
                <w:iCs/>
              </w:rPr>
              <w:tab/>
            </w:r>
          </w:p>
          <w:p w14:paraId="1E6A73F2" w14:textId="77777777" w:rsidR="005A2396" w:rsidRPr="000322E4" w:rsidRDefault="005A2396" w:rsidP="00F414BF">
            <w:pPr>
              <w:pStyle w:val="afe"/>
              <w:numPr>
                <w:ilvl w:val="0"/>
                <w:numId w:val="36"/>
              </w:numPr>
              <w:suppressAutoHyphens/>
            </w:pPr>
            <w:r w:rsidRPr="000322E4">
              <w:rPr>
                <w:i/>
                <w:iCs/>
              </w:rPr>
              <w:t>Повышение ЛДГ</w:t>
            </w:r>
            <w:r w:rsidRPr="000322E4">
              <w:rPr>
                <w:i/>
                <w:iCs/>
              </w:rPr>
              <w:tab/>
            </w:r>
            <w:r w:rsidRPr="000322E4">
              <w:rPr>
                <w:i/>
                <w:iCs/>
              </w:rPr>
              <w:tab/>
            </w:r>
            <w:r w:rsidRPr="000322E4">
              <w:rPr>
                <w:i/>
                <w:iCs/>
              </w:rPr>
              <w:tab/>
            </w:r>
            <w:r w:rsidRPr="000322E4">
              <w:rPr>
                <w:i/>
                <w:iCs/>
              </w:rPr>
              <w:tab/>
            </w:r>
            <w:r w:rsidRPr="000322E4">
              <w:rPr>
                <w:i/>
                <w:iCs/>
              </w:rPr>
              <w:tab/>
            </w:r>
          </w:p>
          <w:p w14:paraId="74EEC2A8" w14:textId="77777777" w:rsidR="005A2396" w:rsidRPr="000322E4" w:rsidRDefault="005A2396" w:rsidP="00F414BF">
            <w:pPr>
              <w:pStyle w:val="afe"/>
              <w:numPr>
                <w:ilvl w:val="0"/>
                <w:numId w:val="36"/>
              </w:numPr>
              <w:suppressAutoHyphens/>
            </w:pPr>
            <w:r w:rsidRPr="000322E4">
              <w:rPr>
                <w:i/>
                <w:iCs/>
              </w:rPr>
              <w:t>Стадия III-IV</w:t>
            </w:r>
          </w:p>
        </w:tc>
      </w:tr>
    </w:tbl>
    <w:p w14:paraId="7621713B" w14:textId="77777777" w:rsidR="005A2396" w:rsidRPr="000322E4" w:rsidRDefault="005A2396" w:rsidP="00F414BF">
      <w:pPr>
        <w:contextualSpacing/>
        <w:rPr>
          <w:b/>
        </w:rPr>
      </w:pPr>
    </w:p>
    <w:p w14:paraId="7C01CEFA" w14:textId="77777777" w:rsidR="005A2396" w:rsidRPr="000322E4" w:rsidRDefault="005A2396" w:rsidP="00F414BF">
      <w:pPr>
        <w:ind w:left="-1"/>
        <w:contextualSpacing/>
        <w:rPr>
          <w:iCs/>
        </w:rPr>
      </w:pPr>
      <w:r w:rsidRPr="000322E4">
        <w:rPr>
          <w:iCs/>
        </w:rPr>
        <w:t xml:space="preserve">Прогностические модели типа R-IPI (пересмотренный в эру ритуксимаба) или Е-IPI (шкала для пожилых) тестированы на меньшем числе </w:t>
      </w:r>
      <w:r w:rsidR="00103620" w:rsidRPr="000322E4">
        <w:rPr>
          <w:iCs/>
        </w:rPr>
        <w:t>пациентов</w:t>
      </w:r>
      <w:r w:rsidRPr="000322E4">
        <w:rPr>
          <w:iCs/>
        </w:rPr>
        <w:t xml:space="preserve"> и могут рассматриваться в качестве дополнительных прогностических конструкций.</w:t>
      </w:r>
    </w:p>
    <w:p w14:paraId="6C6E5869" w14:textId="77777777" w:rsidR="005A2396" w:rsidRPr="000322E4" w:rsidRDefault="005A2396" w:rsidP="00F414BF">
      <w:pPr>
        <w:contextualSpacing/>
        <w:rPr>
          <w:i/>
        </w:rPr>
      </w:pPr>
    </w:p>
    <w:p w14:paraId="60429D44" w14:textId="77777777" w:rsidR="005A2396" w:rsidRPr="000322E4" w:rsidRDefault="005A2396" w:rsidP="00F414BF">
      <w:pPr>
        <w:ind w:left="-1"/>
        <w:contextualSpacing/>
      </w:pPr>
      <w:r w:rsidRPr="000322E4">
        <w:t>Также существует шкала</w:t>
      </w:r>
      <w:r w:rsidRPr="000322E4">
        <w:rPr>
          <w:i/>
        </w:rPr>
        <w:t xml:space="preserve"> </w:t>
      </w:r>
      <w:r w:rsidRPr="000322E4">
        <w:rPr>
          <w:b/>
          <w:bCs/>
          <w:i/>
          <w:lang w:val="en-US"/>
        </w:rPr>
        <w:t>CNS</w:t>
      </w:r>
      <w:r w:rsidRPr="000322E4">
        <w:rPr>
          <w:b/>
          <w:bCs/>
          <w:i/>
        </w:rPr>
        <w:t>-</w:t>
      </w:r>
      <w:r w:rsidRPr="000322E4">
        <w:rPr>
          <w:b/>
          <w:bCs/>
          <w:i/>
          <w:lang w:val="en-US"/>
        </w:rPr>
        <w:t>IPI</w:t>
      </w:r>
      <w:r w:rsidRPr="000322E4">
        <w:rPr>
          <w:b/>
          <w:bCs/>
          <w:i/>
        </w:rPr>
        <w:t xml:space="preserve"> </w:t>
      </w:r>
      <w:r w:rsidRPr="000322E4">
        <w:t>для пациентов с ДВКЛ, отражающая риск развития рецидива/прогрессирования с поражением ЦНС</w:t>
      </w:r>
    </w:p>
    <w:tbl>
      <w:tblPr>
        <w:tblW w:w="0" w:type="auto"/>
        <w:tblInd w:w="-25" w:type="dxa"/>
        <w:tblLayout w:type="fixed"/>
        <w:tblLook w:val="0000" w:firstRow="0" w:lastRow="0" w:firstColumn="0" w:lastColumn="0" w:noHBand="0" w:noVBand="0"/>
      </w:tblPr>
      <w:tblGrid>
        <w:gridCol w:w="3020"/>
        <w:gridCol w:w="2880"/>
        <w:gridCol w:w="3212"/>
      </w:tblGrid>
      <w:tr w:rsidR="005A2396" w:rsidRPr="000322E4" w14:paraId="26C84CA7" w14:textId="77777777" w:rsidTr="005A2396">
        <w:tc>
          <w:tcPr>
            <w:tcW w:w="3020" w:type="dxa"/>
            <w:tcBorders>
              <w:top w:val="single" w:sz="4" w:space="0" w:color="000000"/>
              <w:left w:val="single" w:sz="4" w:space="0" w:color="000000"/>
              <w:bottom w:val="single" w:sz="4" w:space="0" w:color="000000"/>
            </w:tcBorders>
            <w:shd w:val="clear" w:color="auto" w:fill="auto"/>
          </w:tcPr>
          <w:p w14:paraId="769833E8" w14:textId="77777777" w:rsidR="005A2396" w:rsidRPr="000322E4" w:rsidRDefault="005A2396" w:rsidP="00F414BF">
            <w:r w:rsidRPr="000322E4">
              <w:rPr>
                <w:b/>
                <w:i/>
              </w:rPr>
              <w:t>Категория риска</w:t>
            </w:r>
          </w:p>
        </w:tc>
        <w:tc>
          <w:tcPr>
            <w:tcW w:w="2880" w:type="dxa"/>
            <w:tcBorders>
              <w:top w:val="single" w:sz="4" w:space="0" w:color="000000"/>
              <w:left w:val="single" w:sz="4" w:space="0" w:color="000000"/>
              <w:bottom w:val="single" w:sz="4" w:space="0" w:color="000000"/>
            </w:tcBorders>
            <w:shd w:val="clear" w:color="auto" w:fill="auto"/>
          </w:tcPr>
          <w:p w14:paraId="480C554D" w14:textId="77777777" w:rsidR="005A2396" w:rsidRPr="000322E4" w:rsidRDefault="005A2396" w:rsidP="00F414BF">
            <w:r w:rsidRPr="000322E4">
              <w:rPr>
                <w:b/>
                <w:i/>
              </w:rPr>
              <w:t>Кол-во факторов риска*</w:t>
            </w:r>
          </w:p>
        </w:tc>
        <w:tc>
          <w:tcPr>
            <w:tcW w:w="3212" w:type="dxa"/>
            <w:tcBorders>
              <w:top w:val="single" w:sz="4" w:space="0" w:color="000000"/>
              <w:left w:val="single" w:sz="4" w:space="0" w:color="000000"/>
              <w:bottom w:val="single" w:sz="4" w:space="0" w:color="000000"/>
              <w:right w:val="single" w:sz="4" w:space="0" w:color="000000"/>
            </w:tcBorders>
            <w:shd w:val="clear" w:color="auto" w:fill="auto"/>
          </w:tcPr>
          <w:p w14:paraId="1C3134EE" w14:textId="77777777" w:rsidR="005A2396" w:rsidRPr="000322E4" w:rsidRDefault="005A2396" w:rsidP="00F414BF">
            <w:r w:rsidRPr="000322E4">
              <w:rPr>
                <w:b/>
                <w:i/>
              </w:rPr>
              <w:t xml:space="preserve">Риск вовлечения ЦНС в рецидиве/прогрессировании  в течение 2 лет  </w:t>
            </w:r>
          </w:p>
        </w:tc>
      </w:tr>
      <w:tr w:rsidR="005A2396" w:rsidRPr="000322E4" w14:paraId="46320167" w14:textId="77777777" w:rsidTr="005A2396">
        <w:tc>
          <w:tcPr>
            <w:tcW w:w="3020" w:type="dxa"/>
            <w:tcBorders>
              <w:top w:val="single" w:sz="4" w:space="0" w:color="000000"/>
              <w:left w:val="single" w:sz="4" w:space="0" w:color="000000"/>
              <w:bottom w:val="single" w:sz="4" w:space="0" w:color="000000"/>
            </w:tcBorders>
            <w:shd w:val="clear" w:color="auto" w:fill="auto"/>
          </w:tcPr>
          <w:p w14:paraId="6D31735D" w14:textId="77777777" w:rsidR="005A2396" w:rsidRPr="000322E4" w:rsidRDefault="005A2396" w:rsidP="00F414BF">
            <w:r w:rsidRPr="000322E4">
              <w:t>Низкий</w:t>
            </w:r>
          </w:p>
        </w:tc>
        <w:tc>
          <w:tcPr>
            <w:tcW w:w="2880" w:type="dxa"/>
            <w:tcBorders>
              <w:top w:val="single" w:sz="4" w:space="0" w:color="000000"/>
              <w:left w:val="single" w:sz="4" w:space="0" w:color="000000"/>
              <w:bottom w:val="single" w:sz="4" w:space="0" w:color="000000"/>
            </w:tcBorders>
            <w:shd w:val="clear" w:color="auto" w:fill="auto"/>
          </w:tcPr>
          <w:p w14:paraId="1D23A8AE" w14:textId="77777777" w:rsidR="005A2396" w:rsidRPr="000322E4" w:rsidRDefault="005A2396" w:rsidP="00F414BF">
            <w:r w:rsidRPr="000322E4">
              <w:t>0-1</w:t>
            </w:r>
          </w:p>
        </w:tc>
        <w:tc>
          <w:tcPr>
            <w:tcW w:w="3212" w:type="dxa"/>
            <w:tcBorders>
              <w:top w:val="single" w:sz="4" w:space="0" w:color="000000"/>
              <w:left w:val="single" w:sz="4" w:space="0" w:color="000000"/>
              <w:bottom w:val="single" w:sz="4" w:space="0" w:color="000000"/>
              <w:right w:val="single" w:sz="4" w:space="0" w:color="000000"/>
            </w:tcBorders>
            <w:shd w:val="clear" w:color="auto" w:fill="auto"/>
          </w:tcPr>
          <w:p w14:paraId="7C0AD248" w14:textId="77777777" w:rsidR="005A2396" w:rsidRPr="000322E4" w:rsidRDefault="005A2396" w:rsidP="00F414BF">
            <w:r w:rsidRPr="000322E4">
              <w:t>Менее  5 %</w:t>
            </w:r>
          </w:p>
        </w:tc>
      </w:tr>
      <w:tr w:rsidR="005A2396" w:rsidRPr="000322E4" w14:paraId="688BB9EE" w14:textId="77777777" w:rsidTr="005A2396">
        <w:tc>
          <w:tcPr>
            <w:tcW w:w="3020" w:type="dxa"/>
            <w:tcBorders>
              <w:top w:val="single" w:sz="4" w:space="0" w:color="000000"/>
              <w:left w:val="single" w:sz="4" w:space="0" w:color="000000"/>
              <w:bottom w:val="single" w:sz="4" w:space="0" w:color="000000"/>
            </w:tcBorders>
            <w:shd w:val="clear" w:color="auto" w:fill="auto"/>
          </w:tcPr>
          <w:p w14:paraId="076C9FF7" w14:textId="77777777" w:rsidR="005A2396" w:rsidRPr="000322E4" w:rsidRDefault="005A2396" w:rsidP="00F414BF">
            <w:r w:rsidRPr="000322E4">
              <w:t>промежуточный</w:t>
            </w:r>
          </w:p>
        </w:tc>
        <w:tc>
          <w:tcPr>
            <w:tcW w:w="2880" w:type="dxa"/>
            <w:tcBorders>
              <w:top w:val="single" w:sz="4" w:space="0" w:color="000000"/>
              <w:left w:val="single" w:sz="4" w:space="0" w:color="000000"/>
              <w:bottom w:val="single" w:sz="4" w:space="0" w:color="000000"/>
            </w:tcBorders>
            <w:shd w:val="clear" w:color="auto" w:fill="auto"/>
          </w:tcPr>
          <w:p w14:paraId="6D418E82" w14:textId="77777777" w:rsidR="005A2396" w:rsidRPr="000322E4" w:rsidRDefault="005A2396" w:rsidP="00F414BF">
            <w:r w:rsidRPr="000322E4">
              <w:t>2-3</w:t>
            </w:r>
          </w:p>
        </w:tc>
        <w:tc>
          <w:tcPr>
            <w:tcW w:w="3212" w:type="dxa"/>
            <w:tcBorders>
              <w:top w:val="single" w:sz="4" w:space="0" w:color="000000"/>
              <w:left w:val="single" w:sz="4" w:space="0" w:color="000000"/>
              <w:bottom w:val="single" w:sz="4" w:space="0" w:color="000000"/>
              <w:right w:val="single" w:sz="4" w:space="0" w:color="000000"/>
            </w:tcBorders>
            <w:shd w:val="clear" w:color="auto" w:fill="auto"/>
          </w:tcPr>
          <w:p w14:paraId="070511E2" w14:textId="77777777" w:rsidR="005A2396" w:rsidRPr="000322E4" w:rsidRDefault="005A2396" w:rsidP="00F414BF">
            <w:r w:rsidRPr="000322E4">
              <w:t>Менее  5%</w:t>
            </w:r>
          </w:p>
        </w:tc>
      </w:tr>
      <w:tr w:rsidR="005A2396" w:rsidRPr="000322E4" w14:paraId="15A448CD" w14:textId="77777777" w:rsidTr="005A2396">
        <w:tc>
          <w:tcPr>
            <w:tcW w:w="3020" w:type="dxa"/>
            <w:tcBorders>
              <w:top w:val="single" w:sz="4" w:space="0" w:color="000000"/>
              <w:left w:val="single" w:sz="4" w:space="0" w:color="000000"/>
              <w:bottom w:val="single" w:sz="4" w:space="0" w:color="000000"/>
            </w:tcBorders>
            <w:shd w:val="clear" w:color="auto" w:fill="auto"/>
          </w:tcPr>
          <w:p w14:paraId="5368CD74" w14:textId="77777777" w:rsidR="005A2396" w:rsidRPr="000322E4" w:rsidRDefault="005A2396" w:rsidP="00F414BF">
            <w:r w:rsidRPr="000322E4">
              <w:t>Высокий</w:t>
            </w:r>
          </w:p>
        </w:tc>
        <w:tc>
          <w:tcPr>
            <w:tcW w:w="2880" w:type="dxa"/>
            <w:tcBorders>
              <w:top w:val="single" w:sz="4" w:space="0" w:color="000000"/>
              <w:left w:val="single" w:sz="4" w:space="0" w:color="000000"/>
              <w:bottom w:val="single" w:sz="4" w:space="0" w:color="000000"/>
            </w:tcBorders>
            <w:shd w:val="clear" w:color="auto" w:fill="auto"/>
          </w:tcPr>
          <w:p w14:paraId="769ECDDA" w14:textId="77777777" w:rsidR="005A2396" w:rsidRPr="000322E4" w:rsidRDefault="005A2396" w:rsidP="00F414BF">
            <w:r w:rsidRPr="000322E4">
              <w:t>4-6</w:t>
            </w:r>
          </w:p>
        </w:tc>
        <w:tc>
          <w:tcPr>
            <w:tcW w:w="3212" w:type="dxa"/>
            <w:tcBorders>
              <w:top w:val="single" w:sz="4" w:space="0" w:color="000000"/>
              <w:left w:val="single" w:sz="4" w:space="0" w:color="000000"/>
              <w:bottom w:val="single" w:sz="4" w:space="0" w:color="000000"/>
              <w:right w:val="single" w:sz="4" w:space="0" w:color="000000"/>
            </w:tcBorders>
            <w:shd w:val="clear" w:color="auto" w:fill="auto"/>
          </w:tcPr>
          <w:p w14:paraId="454C27EB" w14:textId="77777777" w:rsidR="005A2396" w:rsidRPr="000322E4" w:rsidRDefault="005A2396" w:rsidP="00F414BF">
            <w:r w:rsidRPr="000322E4">
              <w:rPr>
                <w:sz w:val="22"/>
              </w:rPr>
              <w:t xml:space="preserve">Более 10% </w:t>
            </w:r>
          </w:p>
        </w:tc>
      </w:tr>
      <w:tr w:rsidR="005A2396" w:rsidRPr="000322E4" w14:paraId="6F6BD433" w14:textId="77777777" w:rsidTr="005A2396">
        <w:tc>
          <w:tcPr>
            <w:tcW w:w="9112" w:type="dxa"/>
            <w:gridSpan w:val="3"/>
            <w:tcBorders>
              <w:top w:val="single" w:sz="4" w:space="0" w:color="000000"/>
              <w:left w:val="single" w:sz="4" w:space="0" w:color="000000"/>
              <w:bottom w:val="single" w:sz="4" w:space="0" w:color="000000"/>
              <w:right w:val="single" w:sz="4" w:space="0" w:color="000000"/>
            </w:tcBorders>
            <w:shd w:val="clear" w:color="auto" w:fill="auto"/>
          </w:tcPr>
          <w:p w14:paraId="5A899F90" w14:textId="77777777" w:rsidR="005A2396" w:rsidRPr="000322E4" w:rsidRDefault="005A2396" w:rsidP="00F414BF">
            <w:r w:rsidRPr="000322E4">
              <w:rPr>
                <w:b/>
                <w:i/>
              </w:rPr>
              <w:t>*Факторы риска:</w:t>
            </w:r>
            <w:r w:rsidRPr="000322E4">
              <w:rPr>
                <w:sz w:val="26"/>
              </w:rPr>
              <w:tab/>
            </w:r>
            <w:r w:rsidRPr="000322E4">
              <w:rPr>
                <w:sz w:val="26"/>
              </w:rPr>
              <w:tab/>
            </w:r>
          </w:p>
          <w:p w14:paraId="6CBB2EE7" w14:textId="77777777" w:rsidR="005A2396" w:rsidRPr="000322E4" w:rsidRDefault="005A2396" w:rsidP="00F414BF">
            <w:pPr>
              <w:pStyle w:val="afe"/>
              <w:numPr>
                <w:ilvl w:val="0"/>
                <w:numId w:val="37"/>
              </w:numPr>
              <w:suppressAutoHyphens/>
            </w:pPr>
            <w:r w:rsidRPr="000322E4">
              <w:rPr>
                <w:i/>
              </w:rPr>
              <w:t>Возраст более 60 лет</w:t>
            </w:r>
          </w:p>
          <w:p w14:paraId="64033AB8" w14:textId="77777777" w:rsidR="005A2396" w:rsidRPr="000322E4" w:rsidRDefault="005A2396" w:rsidP="00F414BF">
            <w:pPr>
              <w:pStyle w:val="afe"/>
              <w:numPr>
                <w:ilvl w:val="0"/>
                <w:numId w:val="37"/>
              </w:numPr>
              <w:suppressAutoHyphens/>
            </w:pPr>
            <w:r w:rsidRPr="000322E4">
              <w:rPr>
                <w:i/>
              </w:rPr>
              <w:t xml:space="preserve">Повышенный </w:t>
            </w:r>
            <w:r w:rsidR="00791E66" w:rsidRPr="000322E4">
              <w:rPr>
                <w:i/>
              </w:rPr>
              <w:t>уровень лактадгедигрогеназы в крови</w:t>
            </w:r>
          </w:p>
          <w:p w14:paraId="6AF086C6" w14:textId="77777777" w:rsidR="005A2396" w:rsidRPr="000322E4" w:rsidRDefault="005A2396" w:rsidP="00F414BF">
            <w:pPr>
              <w:pStyle w:val="afe"/>
              <w:numPr>
                <w:ilvl w:val="0"/>
                <w:numId w:val="37"/>
              </w:numPr>
              <w:suppressAutoHyphens/>
            </w:pPr>
            <w:r w:rsidRPr="000322E4">
              <w:rPr>
                <w:i/>
                <w:lang w:val="en-US"/>
              </w:rPr>
              <w:t>ECOG</w:t>
            </w:r>
            <w:r w:rsidRPr="000322E4">
              <w:rPr>
                <w:i/>
              </w:rPr>
              <w:t xml:space="preserve"> статус выше 1</w:t>
            </w:r>
          </w:p>
          <w:p w14:paraId="286F4348" w14:textId="77777777" w:rsidR="005A2396" w:rsidRPr="000322E4" w:rsidRDefault="005A2396" w:rsidP="00F414BF">
            <w:pPr>
              <w:pStyle w:val="afe"/>
              <w:numPr>
                <w:ilvl w:val="0"/>
                <w:numId w:val="37"/>
              </w:numPr>
              <w:suppressAutoHyphens/>
            </w:pPr>
            <w:r w:rsidRPr="000322E4">
              <w:rPr>
                <w:i/>
              </w:rPr>
              <w:t>Распространенные стадии (</w:t>
            </w:r>
            <w:r w:rsidRPr="000322E4">
              <w:rPr>
                <w:i/>
                <w:lang w:val="en-US"/>
              </w:rPr>
              <w:t>III</w:t>
            </w:r>
            <w:r w:rsidRPr="000322E4">
              <w:rPr>
                <w:i/>
              </w:rPr>
              <w:t xml:space="preserve"> или </w:t>
            </w:r>
            <w:r w:rsidRPr="000322E4">
              <w:rPr>
                <w:i/>
                <w:lang w:val="en-US"/>
              </w:rPr>
              <w:t>IV</w:t>
            </w:r>
            <w:r w:rsidRPr="000322E4">
              <w:rPr>
                <w:i/>
              </w:rPr>
              <w:t>)</w:t>
            </w:r>
          </w:p>
          <w:p w14:paraId="4F74E39E" w14:textId="77777777" w:rsidR="005A2396" w:rsidRPr="000322E4" w:rsidRDefault="005A2396" w:rsidP="00F414BF">
            <w:pPr>
              <w:pStyle w:val="afe"/>
              <w:numPr>
                <w:ilvl w:val="0"/>
                <w:numId w:val="37"/>
              </w:numPr>
              <w:suppressAutoHyphens/>
            </w:pPr>
            <w:r w:rsidRPr="000322E4">
              <w:rPr>
                <w:i/>
              </w:rPr>
              <w:t>Более чем один очаг экстранодального поражения</w:t>
            </w:r>
          </w:p>
          <w:p w14:paraId="524D02A8" w14:textId="77777777" w:rsidR="005A2396" w:rsidRPr="000322E4" w:rsidRDefault="005A2396" w:rsidP="00F414BF">
            <w:pPr>
              <w:pStyle w:val="afe"/>
              <w:numPr>
                <w:ilvl w:val="0"/>
                <w:numId w:val="37"/>
              </w:numPr>
              <w:suppressAutoHyphens/>
            </w:pPr>
            <w:r w:rsidRPr="000322E4">
              <w:rPr>
                <w:i/>
              </w:rPr>
              <w:t>Вовлечение почек и/или надпочечников</w:t>
            </w:r>
          </w:p>
        </w:tc>
      </w:tr>
    </w:tbl>
    <w:p w14:paraId="16B89B52" w14:textId="77777777" w:rsidR="005A2396" w:rsidRPr="000322E4" w:rsidRDefault="005A2396" w:rsidP="00F414BF">
      <w:pPr>
        <w:rPr>
          <w:b/>
        </w:rPr>
      </w:pPr>
    </w:p>
    <w:p w14:paraId="432B56C1" w14:textId="77777777" w:rsidR="005A2396" w:rsidRPr="000322E4" w:rsidRDefault="005A2396" w:rsidP="00F414BF">
      <w:pPr>
        <w:pStyle w:val="afd"/>
        <w:spacing w:beforeAutospacing="0" w:afterAutospacing="0" w:line="360" w:lineRule="auto"/>
      </w:pPr>
      <w:r w:rsidRPr="000322E4">
        <w:t xml:space="preserve">В соответствии с приведенной прогностической моделью высокий риск поражения ЦНС в рецидиве ДВКЛ  имеют пациенты с 4-6 прогностическими факторами, а также </w:t>
      </w:r>
      <w:r w:rsidR="00103620" w:rsidRPr="000322E4">
        <w:t xml:space="preserve">пациенты  </w:t>
      </w:r>
      <w:r w:rsidRPr="000322E4">
        <w:t xml:space="preserve">с ВИЧ- ассоциированной лимфомой, лимфомой яичка, лимфомой высокой степени злокачественности с транслокацией </w:t>
      </w:r>
      <w:r w:rsidRPr="000322E4">
        <w:rPr>
          <w:lang w:val="en-US"/>
        </w:rPr>
        <w:t>MYC</w:t>
      </w:r>
      <w:r w:rsidRPr="000322E4">
        <w:t xml:space="preserve">, </w:t>
      </w:r>
      <w:r w:rsidRPr="000322E4">
        <w:rPr>
          <w:lang w:val="en-US"/>
        </w:rPr>
        <w:t>BCL</w:t>
      </w:r>
      <w:r w:rsidRPr="000322E4">
        <w:t xml:space="preserve">-2 и/или </w:t>
      </w:r>
      <w:r w:rsidRPr="000322E4">
        <w:rPr>
          <w:lang w:val="en-US"/>
        </w:rPr>
        <w:t>BCL</w:t>
      </w:r>
      <w:r w:rsidRPr="000322E4">
        <w:t xml:space="preserve">-6, лимфомой высокой степени злокачественности, неклассифицируемой,  или ДВКЛ с вовлечением почек или надпочечников. Недавно получены данные о том, что стадия </w:t>
      </w:r>
      <w:r w:rsidRPr="000322E4">
        <w:rPr>
          <w:lang w:val="en-US"/>
        </w:rPr>
        <w:t>I</w:t>
      </w:r>
      <w:r w:rsidRPr="000322E4">
        <w:t xml:space="preserve">Е ДВКЛ с поражением молочных желез является потенциальным фактором риска для вовлечения ЦНС. </w:t>
      </w:r>
    </w:p>
    <w:p w14:paraId="37DF746F" w14:textId="77777777" w:rsidR="002902DF" w:rsidRDefault="002902DF" w:rsidP="00F414BF">
      <w:pPr>
        <w:pStyle w:val="2"/>
        <w:spacing w:before="0"/>
      </w:pPr>
    </w:p>
    <w:p w14:paraId="70AC0C44" w14:textId="4C56C564" w:rsidR="00AE61A0" w:rsidRPr="000322E4" w:rsidRDefault="00AE61A0" w:rsidP="00F414BF">
      <w:pPr>
        <w:pStyle w:val="2"/>
        <w:spacing w:before="0"/>
      </w:pPr>
      <w:bookmarkStart w:id="57" w:name="_Toc66096839"/>
      <w:r w:rsidRPr="000322E4">
        <w:lastRenderedPageBreak/>
        <w:t xml:space="preserve">7.5 </w:t>
      </w:r>
      <w:r w:rsidRPr="000322E4">
        <w:rPr>
          <w:color w:val="000000" w:themeColor="text1"/>
        </w:rPr>
        <w:t>Определение групп риска ДВКЛ у пациентов моложе 18 лет</w:t>
      </w:r>
      <w:bookmarkEnd w:id="57"/>
    </w:p>
    <w:p w14:paraId="135F8AF6" w14:textId="77777777" w:rsidR="00AE61A0" w:rsidRPr="000322E4" w:rsidRDefault="00AE61A0" w:rsidP="00F414BF">
      <w:pPr>
        <w:contextualSpacing/>
        <w:rPr>
          <w:bCs/>
          <w:iCs/>
        </w:rPr>
      </w:pPr>
      <w:r w:rsidRPr="000322E4">
        <w:rPr>
          <w:bCs/>
          <w:iCs/>
        </w:rPr>
        <w:t xml:space="preserve">При лечении пациентов моложе 18 лет с ДВКЛ выбор рукава протокола группы </w:t>
      </w:r>
      <w:r w:rsidRPr="000322E4">
        <w:rPr>
          <w:bCs/>
          <w:iCs/>
          <w:lang w:val="en-US"/>
        </w:rPr>
        <w:t>BFM</w:t>
      </w:r>
      <w:r w:rsidRPr="000322E4">
        <w:rPr>
          <w:bCs/>
          <w:iCs/>
        </w:rPr>
        <w:t xml:space="preserve"> основывается на определении группы риска пациента:</w:t>
      </w:r>
    </w:p>
    <w:p w14:paraId="5362B564" w14:textId="77777777" w:rsidR="00AE61A0" w:rsidRPr="000322E4" w:rsidRDefault="00AE61A0" w:rsidP="00F414BF">
      <w:pPr>
        <w:contextualSpacing/>
      </w:pPr>
      <w:r w:rsidRPr="000322E4">
        <w:rPr>
          <w:bCs/>
        </w:rPr>
        <w:t>R</w:t>
      </w:r>
      <w:r w:rsidR="009C533D" w:rsidRPr="000322E4">
        <w:rPr>
          <w:bCs/>
          <w:lang w:val="en-US"/>
        </w:rPr>
        <w:t>G</w:t>
      </w:r>
      <w:r w:rsidRPr="000322E4">
        <w:rPr>
          <w:bCs/>
        </w:rPr>
        <w:t xml:space="preserve">1 </w:t>
      </w:r>
      <w:r w:rsidRPr="000322E4">
        <w:t>- стадия I-II R; первичная опухоль макроскопически полностью удалена.</w:t>
      </w:r>
    </w:p>
    <w:p w14:paraId="0CD595BF" w14:textId="77777777" w:rsidR="00AE61A0" w:rsidRPr="000322E4" w:rsidRDefault="00AE61A0" w:rsidP="00F414BF">
      <w:pPr>
        <w:contextualSpacing/>
      </w:pPr>
      <w:r w:rsidRPr="000322E4">
        <w:rPr>
          <w:bCs/>
        </w:rPr>
        <w:t>R</w:t>
      </w:r>
      <w:r w:rsidR="009C533D" w:rsidRPr="000322E4">
        <w:rPr>
          <w:bCs/>
          <w:lang w:val="en-US"/>
        </w:rPr>
        <w:t>G</w:t>
      </w:r>
      <w:r w:rsidRPr="000322E4">
        <w:rPr>
          <w:bCs/>
        </w:rPr>
        <w:t>2</w:t>
      </w:r>
      <w:r w:rsidRPr="000322E4">
        <w:t xml:space="preserve"> - стадия II NR-III; первичная опухоль не удалена или удалена не полностью:</w:t>
      </w:r>
    </w:p>
    <w:p w14:paraId="78DE80BF" w14:textId="77777777" w:rsidR="00AE61A0" w:rsidRPr="000322E4" w:rsidRDefault="00AE61A0" w:rsidP="00F414BF">
      <w:pPr>
        <w:contextualSpacing/>
      </w:pPr>
      <w:r w:rsidRPr="000322E4">
        <w:t>1) только экстраабдоминальное поражение;</w:t>
      </w:r>
    </w:p>
    <w:p w14:paraId="0AFE20B7" w14:textId="77777777" w:rsidR="00AE61A0" w:rsidRPr="000322E4" w:rsidRDefault="00AE61A0" w:rsidP="00F414BF">
      <w:pPr>
        <w:contextualSpacing/>
      </w:pPr>
      <w:r w:rsidRPr="000322E4">
        <w:t>2) интраабдоминальная локализация</w:t>
      </w:r>
      <w:r w:rsidR="002215D8" w:rsidRPr="000322E4">
        <w:t>,</w:t>
      </w:r>
      <w:r w:rsidRPr="000322E4">
        <w:t xml:space="preserve"> если показатель ЛДГ до начала ПХТ после инициальной операции не превышает удвоенных нормальных значений.</w:t>
      </w:r>
    </w:p>
    <w:p w14:paraId="5239D3BD" w14:textId="77777777" w:rsidR="00AE61A0" w:rsidRPr="000322E4" w:rsidRDefault="00AE61A0" w:rsidP="00F414BF">
      <w:pPr>
        <w:contextualSpacing/>
      </w:pPr>
      <w:r w:rsidRPr="000322E4">
        <w:rPr>
          <w:bCs/>
        </w:rPr>
        <w:t>R</w:t>
      </w:r>
      <w:r w:rsidR="009C533D" w:rsidRPr="000322E4">
        <w:rPr>
          <w:bCs/>
          <w:lang w:val="en-US"/>
        </w:rPr>
        <w:t>G</w:t>
      </w:r>
      <w:r w:rsidRPr="000322E4">
        <w:rPr>
          <w:bCs/>
        </w:rPr>
        <w:t>3</w:t>
      </w:r>
      <w:r w:rsidR="009C533D" w:rsidRPr="000322E4">
        <w:rPr>
          <w:bCs/>
        </w:rPr>
        <w:t>,4</w:t>
      </w:r>
      <w:r w:rsidRPr="000322E4">
        <w:t xml:space="preserve"> - стадия II NR, III, IV; первичная опухоль не удалена или удалена не полностью, и имеет место хотя бы один из нижеперечисленных признаков:</w:t>
      </w:r>
    </w:p>
    <w:p w14:paraId="0F7CC989" w14:textId="77777777" w:rsidR="00AE61A0" w:rsidRPr="000322E4" w:rsidRDefault="00AE61A0" w:rsidP="00F414BF">
      <w:pPr>
        <w:contextualSpacing/>
      </w:pPr>
      <w:r w:rsidRPr="000322E4">
        <w:t>1) при абдоминальном поражении увеличение ЛДГ более, чем в 2 раза от возрастной нормы перед началом ПХТ после оперативного вмешательства (биопсия или удаление опухоли);</w:t>
      </w:r>
    </w:p>
    <w:p w14:paraId="414C585F" w14:textId="77777777" w:rsidR="00AE61A0" w:rsidRPr="000322E4" w:rsidRDefault="00AE61A0" w:rsidP="00F414BF">
      <w:pPr>
        <w:contextualSpacing/>
      </w:pPr>
      <w:r w:rsidRPr="000322E4">
        <w:t>2) поражение ЦНС;</w:t>
      </w:r>
    </w:p>
    <w:p w14:paraId="28E718EB" w14:textId="77777777" w:rsidR="00AE61A0" w:rsidRPr="000322E4" w:rsidRDefault="00AE61A0" w:rsidP="00F414BF">
      <w:pPr>
        <w:contextualSpacing/>
      </w:pPr>
      <w:r w:rsidRPr="000322E4">
        <w:t>3) поражение костного мозга;</w:t>
      </w:r>
    </w:p>
    <w:p w14:paraId="44B3B222" w14:textId="77777777" w:rsidR="00AE61A0" w:rsidRPr="000322E4" w:rsidRDefault="00AE61A0" w:rsidP="00F414BF">
      <w:pPr>
        <w:contextualSpacing/>
      </w:pPr>
      <w:r w:rsidRPr="000322E4">
        <w:t>4) мультифокальное поражение костей;</w:t>
      </w:r>
    </w:p>
    <w:p w14:paraId="3CC5961F" w14:textId="77777777" w:rsidR="00AE61A0" w:rsidRPr="000322E4" w:rsidRDefault="00AE61A0" w:rsidP="00F414BF">
      <w:pPr>
        <w:contextualSpacing/>
      </w:pPr>
      <w:r w:rsidRPr="000322E4">
        <w:t>5) B-ОЛ (&gt; 25% бластов в костном мозге).</w:t>
      </w:r>
    </w:p>
    <w:p w14:paraId="18D8C0FF" w14:textId="77777777" w:rsidR="00135B14" w:rsidRDefault="00135B14" w:rsidP="00F414BF">
      <w:pPr>
        <w:pStyle w:val="2"/>
        <w:spacing w:before="0"/>
      </w:pPr>
    </w:p>
    <w:p w14:paraId="031CFFF4" w14:textId="252BB558" w:rsidR="00546683" w:rsidRPr="000322E4" w:rsidRDefault="00546683" w:rsidP="00F414BF">
      <w:pPr>
        <w:pStyle w:val="2"/>
        <w:spacing w:before="0"/>
      </w:pPr>
      <w:bookmarkStart w:id="58" w:name="_Toc66096840"/>
      <w:r w:rsidRPr="000322E4">
        <w:t>7.</w:t>
      </w:r>
      <w:r w:rsidR="00AE61A0" w:rsidRPr="000322E4">
        <w:t>6</w:t>
      </w:r>
      <w:r w:rsidRPr="000322E4">
        <w:t xml:space="preserve"> Оценка ответа на лечение при лимфомах</w:t>
      </w:r>
      <w:bookmarkEnd w:id="58"/>
    </w:p>
    <w:p w14:paraId="0A93DB35" w14:textId="77777777" w:rsidR="00546683" w:rsidRPr="000322E4" w:rsidRDefault="00546683" w:rsidP="00F414BF">
      <w:r w:rsidRPr="000322E4">
        <w:t xml:space="preserve">Оценка ответа на лечение проводится в соответствии с обновленными критериями, предложенными Международной рабочей группой по лимфомам в 2007 году </w:t>
      </w:r>
      <w:r w:rsidRPr="000322E4">
        <w:fldChar w:fldCharType="begin" w:fldLock="1"/>
      </w:r>
      <w:r w:rsidR="00C37789" w:rsidRPr="000322E4">
        <w:instrText>ADDIN CSL_CITATION {"citationItems":[{"id":"ITEM-1","itemData":{"DOI":"10.1200/JCO.2006.09.2403","ISSN":"0732183X","abstract":"PURPOSE Standardized response criteria are needed to interpret and compare clinical trials and for approval of new therapeutic agents by regulatory agencies. METHODS The International Working Group response criteria (Cheson et al, J Clin Oncol 17:1244, 1999) were widely adopted, but required reassessment because of identified limitations and the increased use of [18F]fluorodeoxyglucose-positron emission tomography (PET), immunohistochemistry (IHC), and flow cytometry. The International Harmonization Project was convened to provide updated recommendations. RESULTS New guidelines are presented incorporating PET, IHC, and flow cytometry for definitions of response in non-Hodgkin's and Hodgkin's lymphoma. Standardized definitions of end points are provided. CONCLUSION We hope that these guidelines will be adopted widely by study groups, pharmaceutical and biotechnology companies, and regulatory agencies to facilitate the development of new and more effective therapies to improve the outcome of patients with lymphoma.","author":[{"dropping-particle":"","family":"Cheson","given":"Bruce D.","non-dropping-particle":"","parse-names":false,"suffix":""},{"dropping-particle":"","family":"Pfistner","given":"Beate","non-dropping-particle":"","parse-names":false,"suffix":""},{"dropping-particle":"","family":"Juweid","given":"Malik E.","non-dropping-particle":"","parse-names":false,"suffix":""},{"dropping-particle":"","family":"Gascoyne","given":"Randy D.","non-dropping-particle":"","parse-names":false,"suffix":""},{"dropping-particle":"","family":"Specht","given":"Lena","non-dropping-particle":"","parse-names":false,"suffix":""},{"dropping-particle":"","family":"Horning","given":"Sandra J.","non-dropping-particle":"","parse-names":false,"suffix":""},{"dropping-particle":"","family":"Coiffier","given":"Bertrand","non-dropping-particle":"","parse-names":false,"suffix":""},{"dropping-particle":"","family":"Fisher","given":"Richard I.","non-dropping-particle":"","parse-names":false,"suffix":""},{"dropping-particle":"","family":"Hagenbeek","given":"Anton","non-dropping-particle":"","parse-names":false,"suffix":""},{"dropping-particle":"","family":"Zucca","given":"Emanuele","non-dropping-particle":"","parse-names":false,"suffix":""},{"dropping-particle":"","family":"Rosen","given":"Steven T.","non-dropping-particle":"","parse-names":false,"suffix":""},{"dropping-particle":"","family":"Stroobants","given":"Sigrid","non-dropping-particle":"","parse-names":false,"suffix":""},{"dropping-particle":"","family":"Lister","given":"T. Andrew","non-dropping-particle":"","parse-names":false,"suffix":""},{"dropping-particle":"","family":"Hoppe","given":"Richard T.","non-dropping-particle":"","parse-names":false,"suffix":""},{"dropping-particle":"","family":"Dreyling","given":"Martin","non-dropping-particle":"","parse-names":false,"suffix":""},{"dropping-particle":"","family":"Tobinai","given":"Kensei","non-dropping-particle":"","parse-names":false,"suffix":""},{"dropping-particle":"","family":"Vose","given":"Julie M.","non-dropping-particle":"","parse-names":false,"suffix":""},{"dropping-particle":"","family":"Connors","given":"Joseph M.","non-dropping-particle":"","parse-names":false,"suffix":""},{"dropping-particle":"","family":"Federico","given":"Massimo","non-dropping-particle":"","parse-names":false,"suffix":""},{"dropping-particle":"","family":"Diehl","given":"Volker","non-dropping-particle":"","parse-names":false,"suffix":""}],"container-title":"Journal of Clinical Oncology","id":"ITEM-1","issue":"5","issued":{"date-parts":[["2007"]]},"page":"579-586","title":"Revised response criteria for malignant lymphoma","type":"article","volume":"25"},"uris":["http://www.mendeley.com/documents/?uuid=54621e2a-fa6c-3787-a396-2fbb20883fe7"]}],"mendeley":{"formattedCitation":"[111]","plainTextFormattedCitation":"[111]","previouslyFormattedCitation":"[111]"},"properties":{"noteIndex":0},"schema":"https://github.com/citation-style-language/schema/raw/master/csl-citation.json"}</w:instrText>
      </w:r>
      <w:r w:rsidRPr="000322E4">
        <w:fldChar w:fldCharType="separate"/>
      </w:r>
      <w:r w:rsidR="00C37789" w:rsidRPr="000322E4">
        <w:rPr>
          <w:noProof/>
        </w:rPr>
        <w:t>[111]</w:t>
      </w:r>
      <w:r w:rsidRPr="000322E4">
        <w:fldChar w:fldCharType="end"/>
      </w:r>
      <w:r w:rsidRPr="000322E4">
        <w:t>.</w:t>
      </w:r>
    </w:p>
    <w:p w14:paraId="654D3022" w14:textId="77777777" w:rsidR="00546683" w:rsidRPr="000322E4" w:rsidRDefault="00546683" w:rsidP="00F414BF">
      <w:pPr>
        <w:rPr>
          <w:rFonts w:eastAsia="Calibri"/>
          <w:i/>
          <w:u w:val="single"/>
        </w:rPr>
      </w:pPr>
      <w:r w:rsidRPr="000322E4">
        <w:rPr>
          <w:rFonts w:eastAsia="Calibri"/>
          <w:i/>
          <w:u w:val="single"/>
        </w:rPr>
        <w:t>Полная ремиссия</w:t>
      </w:r>
      <w:r w:rsidRPr="000322E4">
        <w:rPr>
          <w:rFonts w:eastAsia="Calibri"/>
          <w:i/>
          <w:u w:val="single"/>
          <w:lang w:val="en-US"/>
        </w:rPr>
        <w:t xml:space="preserve"> (</w:t>
      </w:r>
      <w:r w:rsidRPr="000322E4">
        <w:rPr>
          <w:rFonts w:eastAsia="Calibri"/>
          <w:i/>
          <w:u w:val="single"/>
        </w:rPr>
        <w:t>ПР</w:t>
      </w:r>
      <w:r w:rsidRPr="000322E4">
        <w:rPr>
          <w:rFonts w:eastAsia="Calibri"/>
          <w:i/>
          <w:u w:val="single"/>
          <w:lang w:val="en-US"/>
        </w:rPr>
        <w:t>)</w:t>
      </w:r>
      <w:r w:rsidRPr="000322E4">
        <w:rPr>
          <w:rFonts w:eastAsia="Calibri"/>
          <w:i/>
          <w:u w:val="single"/>
        </w:rPr>
        <w:t>:</w:t>
      </w:r>
    </w:p>
    <w:p w14:paraId="5D3C7BCE" w14:textId="77777777" w:rsidR="00546683" w:rsidRPr="000322E4" w:rsidRDefault="00546683" w:rsidP="00F414BF">
      <w:pPr>
        <w:numPr>
          <w:ilvl w:val="0"/>
          <w:numId w:val="20"/>
        </w:numPr>
        <w:contextualSpacing/>
        <w:rPr>
          <w:rFonts w:eastAsia="Calibri"/>
        </w:rPr>
      </w:pPr>
      <w:r w:rsidRPr="000322E4">
        <w:rPr>
          <w:rFonts w:eastAsia="Calibri"/>
        </w:rPr>
        <w:t>Полное исчезновение всех проявлений заболевания, в том числе выявляемых при помощи лабораторных и лучевых методов диагностики, а также клинических симптомов, если они имели место до начала лечения.</w:t>
      </w:r>
    </w:p>
    <w:p w14:paraId="74667B3A" w14:textId="77777777" w:rsidR="00546683" w:rsidRPr="000322E4" w:rsidRDefault="00546683" w:rsidP="00F414BF">
      <w:pPr>
        <w:numPr>
          <w:ilvl w:val="0"/>
          <w:numId w:val="20"/>
        </w:numPr>
        <w:contextualSpacing/>
        <w:rPr>
          <w:rFonts w:eastAsia="Calibri"/>
        </w:rPr>
      </w:pPr>
      <w:r w:rsidRPr="000322E4">
        <w:rPr>
          <w:rFonts w:eastAsia="Calibri"/>
        </w:rPr>
        <w:t>Размеры лимфатических узлов:</w:t>
      </w:r>
    </w:p>
    <w:p w14:paraId="1A9267C5" w14:textId="77777777" w:rsidR="00546683" w:rsidRPr="000322E4" w:rsidRDefault="00546683" w:rsidP="00F414BF">
      <w:pPr>
        <w:numPr>
          <w:ilvl w:val="1"/>
          <w:numId w:val="20"/>
        </w:numPr>
        <w:contextualSpacing/>
        <w:rPr>
          <w:rFonts w:eastAsia="Calibri"/>
        </w:rPr>
      </w:pPr>
      <w:r w:rsidRPr="000322E4">
        <w:rPr>
          <w:rFonts w:eastAsia="Calibri"/>
        </w:rPr>
        <w:t>≤ 1,5см по наибольшему диаметру, если до начала лечения размеры лимфатических узлов были больше 1,5 см</w:t>
      </w:r>
    </w:p>
    <w:p w14:paraId="7DA3A23E" w14:textId="77777777" w:rsidR="00546683" w:rsidRPr="000322E4" w:rsidRDefault="00546683" w:rsidP="00F414BF">
      <w:pPr>
        <w:numPr>
          <w:ilvl w:val="1"/>
          <w:numId w:val="20"/>
        </w:numPr>
        <w:contextualSpacing/>
        <w:rPr>
          <w:rFonts w:eastAsia="Calibri"/>
        </w:rPr>
      </w:pPr>
      <w:r w:rsidRPr="000322E4">
        <w:rPr>
          <w:rFonts w:eastAsia="Calibri"/>
        </w:rPr>
        <w:t>≤ 1,0см по наибольшему диаметру, если до начала лечения размеры лимфатических узлов были 1,5 – 1,1см</w:t>
      </w:r>
    </w:p>
    <w:p w14:paraId="09940EC7" w14:textId="77777777" w:rsidR="00546683" w:rsidRPr="000322E4" w:rsidRDefault="00546683" w:rsidP="00F414BF">
      <w:pPr>
        <w:numPr>
          <w:ilvl w:val="0"/>
          <w:numId w:val="20"/>
        </w:numPr>
        <w:contextualSpacing/>
        <w:rPr>
          <w:rFonts w:eastAsia="Calibri"/>
        </w:rPr>
      </w:pPr>
      <w:r w:rsidRPr="000322E4">
        <w:rPr>
          <w:rFonts w:eastAsia="Calibri"/>
        </w:rPr>
        <w:t>Печень, селезенка, если были увеличены до начала лечения, не пальпируются, по данным лучевых методов объемные образования в них не выявляются.</w:t>
      </w:r>
    </w:p>
    <w:p w14:paraId="10078B4A" w14:textId="77777777" w:rsidR="00546683" w:rsidRPr="000322E4" w:rsidRDefault="00546683" w:rsidP="00F414BF">
      <w:pPr>
        <w:numPr>
          <w:ilvl w:val="0"/>
          <w:numId w:val="20"/>
        </w:numPr>
        <w:contextualSpacing/>
        <w:rPr>
          <w:rFonts w:eastAsia="Calibri"/>
        </w:rPr>
      </w:pPr>
      <w:r w:rsidRPr="000322E4">
        <w:rPr>
          <w:rFonts w:eastAsia="Calibri"/>
        </w:rPr>
        <w:t xml:space="preserve">Костный мозг без признаков опухолевого поражения. Если результат морфологического исследования костного мозга неоднозначный, наличие или отсутствие поражения должно определяться иммуногистохимически. </w:t>
      </w:r>
    </w:p>
    <w:p w14:paraId="0C7742B2" w14:textId="77777777" w:rsidR="000A6EAB" w:rsidRPr="000322E4" w:rsidRDefault="000A6EAB" w:rsidP="00F414BF">
      <w:pPr>
        <w:rPr>
          <w:rFonts w:eastAsia="Calibri"/>
        </w:rPr>
      </w:pPr>
      <w:bookmarkStart w:id="59" w:name="_Hlk508045558"/>
      <w:r w:rsidRPr="000322E4">
        <w:rPr>
          <w:rFonts w:eastAsia="Calibri"/>
        </w:rPr>
        <w:lastRenderedPageBreak/>
        <w:t xml:space="preserve">Для </w:t>
      </w:r>
      <w:r w:rsidR="000718D1" w:rsidRPr="000322E4">
        <w:rPr>
          <w:rFonts w:eastAsia="Calibri"/>
        </w:rPr>
        <w:t>ДВКЛ</w:t>
      </w:r>
      <w:r w:rsidRPr="000322E4">
        <w:rPr>
          <w:rFonts w:eastAsia="Calibri"/>
        </w:rPr>
        <w:t xml:space="preserve"> ПР считается подтвержденной, если достигнутый эффект сохраняется не менее 3 месяцев или констатируется дальнейшее улучшение</w:t>
      </w:r>
      <w:bookmarkEnd w:id="59"/>
      <w:r w:rsidRPr="000322E4">
        <w:rPr>
          <w:rFonts w:eastAsia="Calibri"/>
        </w:rPr>
        <w:t xml:space="preserve">. </w:t>
      </w:r>
    </w:p>
    <w:p w14:paraId="56464B9A" w14:textId="77777777" w:rsidR="00546683" w:rsidRPr="000322E4" w:rsidRDefault="00546683" w:rsidP="00F414BF">
      <w:pPr>
        <w:rPr>
          <w:rFonts w:eastAsia="Calibri"/>
          <w:i/>
          <w:u w:val="single"/>
        </w:rPr>
      </w:pPr>
      <w:r w:rsidRPr="000322E4">
        <w:rPr>
          <w:rFonts w:eastAsia="Calibri"/>
          <w:i/>
          <w:u w:val="single"/>
        </w:rPr>
        <w:t xml:space="preserve">Неуверенная полная ремиссия (ПРн) констатируется только у </w:t>
      </w:r>
      <w:r w:rsidR="00103620" w:rsidRPr="000322E4">
        <w:rPr>
          <w:rFonts w:eastAsia="Calibri"/>
          <w:i/>
          <w:u w:val="single"/>
        </w:rPr>
        <w:t>пациентов</w:t>
      </w:r>
      <w:r w:rsidRPr="000322E4">
        <w:rPr>
          <w:rFonts w:eastAsia="Calibri"/>
          <w:i/>
          <w:u w:val="single"/>
        </w:rPr>
        <w:t>, которым не выполнялась ПЭТ-КТ для оценки эффекта:</w:t>
      </w:r>
    </w:p>
    <w:p w14:paraId="61CF41D6" w14:textId="77777777" w:rsidR="00546683" w:rsidRPr="000322E4" w:rsidRDefault="00546683" w:rsidP="00F414BF">
      <w:pPr>
        <w:numPr>
          <w:ilvl w:val="0"/>
          <w:numId w:val="21"/>
        </w:numPr>
        <w:contextualSpacing/>
        <w:rPr>
          <w:rFonts w:eastAsia="Calibri"/>
        </w:rPr>
      </w:pPr>
      <w:r w:rsidRPr="000322E4">
        <w:rPr>
          <w:rFonts w:eastAsia="Calibri"/>
        </w:rPr>
        <w:t>Остаточные изменения, выявляемые только при помощи лучевых методов исследования (особенно это касается остаточных объемных образований в месте массивного опухолевого поражения, чаще всего в средостении), в случае сокращения опухоли более чем на 75% от исходных размеров по сумме двух наибольших её диаметров. Эти остаточные изменения не должны увеличиваться в течение более чем 3 месяцев.</w:t>
      </w:r>
    </w:p>
    <w:p w14:paraId="671DA859" w14:textId="77777777" w:rsidR="00546683" w:rsidRPr="000322E4" w:rsidRDefault="00546683" w:rsidP="00F414BF">
      <w:pPr>
        <w:numPr>
          <w:ilvl w:val="0"/>
          <w:numId w:val="21"/>
        </w:numPr>
        <w:contextualSpacing/>
        <w:rPr>
          <w:rFonts w:eastAsia="Calibri"/>
        </w:rPr>
      </w:pPr>
      <w:r w:rsidRPr="000322E4">
        <w:rPr>
          <w:rFonts w:eastAsia="Calibri"/>
        </w:rPr>
        <w:t>По другим показателям – соответствие критериям полной ремиссии.</w:t>
      </w:r>
    </w:p>
    <w:p w14:paraId="77D056F7" w14:textId="77777777" w:rsidR="00546683" w:rsidRPr="000322E4" w:rsidRDefault="00546683" w:rsidP="00F414BF">
      <w:pPr>
        <w:rPr>
          <w:rFonts w:eastAsia="Calibri"/>
          <w:i/>
          <w:u w:val="single"/>
        </w:rPr>
      </w:pPr>
      <w:r w:rsidRPr="000322E4">
        <w:rPr>
          <w:rFonts w:eastAsia="Calibri"/>
          <w:i/>
          <w:u w:val="single"/>
        </w:rPr>
        <w:t>Частичная ремиссия (ЧР):</w:t>
      </w:r>
    </w:p>
    <w:p w14:paraId="0EA52C82" w14:textId="77777777" w:rsidR="00546683" w:rsidRPr="000322E4" w:rsidRDefault="00546683" w:rsidP="00F414BF">
      <w:pPr>
        <w:numPr>
          <w:ilvl w:val="0"/>
          <w:numId w:val="22"/>
        </w:numPr>
        <w:contextualSpacing/>
        <w:rPr>
          <w:rFonts w:eastAsia="Calibri"/>
        </w:rPr>
      </w:pPr>
      <w:r w:rsidRPr="000322E4">
        <w:rPr>
          <w:rFonts w:eastAsia="Calibri"/>
        </w:rPr>
        <w:t>Уменьшение суммы диаметров всех измеряемых очагов (лимфоузлов и/или очагов экстранодального поражения) не менее чем на 50%. Если размеры пораженных очагов менее 3см по наибольшему диаметру, то 2 наибольших очага должны уменьшиться не менее, чем на 50% по наибольшему диаметру. При наличии более чем 6 очагов поражения более 3 см, достаточна оценка 6 наибольших очагов, доступных четкому измерению в двух перпендикулярных направлениях. При наличии медиастинальных и/или ретроперитонеальных очагов поражения, они обязательно должны учитываться при измерении.</w:t>
      </w:r>
    </w:p>
    <w:p w14:paraId="71A9248E" w14:textId="77777777" w:rsidR="00546683" w:rsidRPr="000322E4" w:rsidRDefault="00546683" w:rsidP="00F414BF">
      <w:pPr>
        <w:numPr>
          <w:ilvl w:val="0"/>
          <w:numId w:val="22"/>
        </w:numPr>
        <w:ind w:left="714" w:hanging="357"/>
        <w:contextualSpacing/>
        <w:rPr>
          <w:rFonts w:eastAsia="Calibri"/>
        </w:rPr>
      </w:pPr>
      <w:r w:rsidRPr="000322E4">
        <w:rPr>
          <w:rFonts w:eastAsia="Calibri"/>
        </w:rPr>
        <w:t>Отсутствие новых очагов поражения, отсутствие признаков увеличени</w:t>
      </w:r>
      <w:r w:rsidR="000A6EAB" w:rsidRPr="000322E4">
        <w:rPr>
          <w:rFonts w:eastAsia="Calibri"/>
        </w:rPr>
        <w:t>я</w:t>
      </w:r>
      <w:r w:rsidRPr="000322E4">
        <w:rPr>
          <w:rFonts w:eastAsia="Calibri"/>
        </w:rPr>
        <w:t xml:space="preserve"> какого-либо из ранее диагностированных очагов поражения.</w:t>
      </w:r>
    </w:p>
    <w:p w14:paraId="00EC57AC" w14:textId="77777777" w:rsidR="00546683" w:rsidRPr="000322E4" w:rsidRDefault="00546683" w:rsidP="00F414BF">
      <w:pPr>
        <w:numPr>
          <w:ilvl w:val="0"/>
          <w:numId w:val="22"/>
        </w:numPr>
        <w:contextualSpacing/>
        <w:rPr>
          <w:rFonts w:eastAsia="Calibri"/>
        </w:rPr>
      </w:pPr>
      <w:r w:rsidRPr="000322E4">
        <w:rPr>
          <w:rFonts w:eastAsia="Calibri"/>
        </w:rPr>
        <w:t xml:space="preserve">В случае исходного поражения костного мозга, статус костного мозга для определения ЧР не значим. Однако при сохранении поражения костного мозга в процессе и/или после завершения лечения, обязательно уточнение характеристики опухолевых клеток. </w:t>
      </w:r>
      <w:r w:rsidR="00103620" w:rsidRPr="000322E4">
        <w:rPr>
          <w:rFonts w:eastAsia="Calibri"/>
        </w:rPr>
        <w:t xml:space="preserve">Пациенты </w:t>
      </w:r>
      <w:r w:rsidRPr="000322E4">
        <w:rPr>
          <w:rFonts w:eastAsia="Calibri"/>
        </w:rPr>
        <w:t>с исходным поражением костного мозга, у которых после завершения лечения клинически диагностируется ПР, но при этом сохраняется поражение костного мозга или костный мозг не может быть оценен, относятся к ЧР.</w:t>
      </w:r>
    </w:p>
    <w:p w14:paraId="05EC0D2C" w14:textId="77777777" w:rsidR="00546683" w:rsidRPr="000322E4" w:rsidRDefault="00546683" w:rsidP="00F414BF">
      <w:pPr>
        <w:rPr>
          <w:rFonts w:eastAsia="Calibri"/>
          <w:i/>
          <w:u w:val="single"/>
        </w:rPr>
      </w:pPr>
      <w:r w:rsidRPr="000322E4">
        <w:rPr>
          <w:rFonts w:eastAsia="Calibri"/>
          <w:i/>
          <w:u w:val="single"/>
        </w:rPr>
        <w:t>Стабилизация</w:t>
      </w:r>
    </w:p>
    <w:p w14:paraId="4BC2007D" w14:textId="77777777" w:rsidR="00546683" w:rsidRPr="000322E4" w:rsidRDefault="00546683" w:rsidP="00F414BF">
      <w:pPr>
        <w:ind w:left="709"/>
        <w:rPr>
          <w:rFonts w:eastAsia="Calibri"/>
        </w:rPr>
      </w:pPr>
      <w:r w:rsidRPr="000322E4">
        <w:rPr>
          <w:rFonts w:eastAsia="Calibri"/>
        </w:rPr>
        <w:t>Показатели опухоли не соответствуют ни критериям ПР или ЧР, ни критериям прогрессирования.</w:t>
      </w:r>
    </w:p>
    <w:p w14:paraId="6C99A6E3" w14:textId="77777777" w:rsidR="00546683" w:rsidRPr="000322E4" w:rsidRDefault="00546683" w:rsidP="00F414BF">
      <w:pPr>
        <w:rPr>
          <w:rFonts w:eastAsia="Calibri"/>
          <w:i/>
          <w:u w:val="single"/>
        </w:rPr>
      </w:pPr>
      <w:r w:rsidRPr="000322E4">
        <w:rPr>
          <w:rFonts w:eastAsia="Calibri"/>
          <w:i/>
          <w:u w:val="single"/>
        </w:rPr>
        <w:t>Рецидив (после ПР) или прогрессирование (после ЧР или стабилизации)</w:t>
      </w:r>
    </w:p>
    <w:p w14:paraId="5DA44D7F" w14:textId="77777777" w:rsidR="00546683" w:rsidRPr="000322E4" w:rsidRDefault="00546683" w:rsidP="00F414BF">
      <w:pPr>
        <w:numPr>
          <w:ilvl w:val="0"/>
          <w:numId w:val="23"/>
        </w:numPr>
        <w:contextualSpacing/>
        <w:rPr>
          <w:rFonts w:eastAsia="Calibri"/>
          <w:u w:val="single"/>
        </w:rPr>
      </w:pPr>
      <w:r w:rsidRPr="000322E4">
        <w:rPr>
          <w:rFonts w:eastAsia="Calibri"/>
        </w:rPr>
        <w:t xml:space="preserve">Появление новых очагов (увеличение лимфатических узлов или объемных образований экстранодальных локализаций) более 1,5 см в наибольшем измерении </w:t>
      </w:r>
      <w:r w:rsidRPr="000322E4">
        <w:rPr>
          <w:rFonts w:eastAsia="Calibri"/>
        </w:rPr>
        <w:lastRenderedPageBreak/>
        <w:t>в процессе или после завершения лечения, вне зависимости от изменения размеров других очагов поражения.</w:t>
      </w:r>
    </w:p>
    <w:p w14:paraId="033DE4DF" w14:textId="77777777" w:rsidR="00204469" w:rsidRPr="000322E4" w:rsidRDefault="00546683" w:rsidP="00F414BF">
      <w:pPr>
        <w:numPr>
          <w:ilvl w:val="0"/>
          <w:numId w:val="23"/>
        </w:numPr>
        <w:contextualSpacing/>
        <w:rPr>
          <w:rFonts w:eastAsia="Calibri"/>
          <w:u w:val="single"/>
        </w:rPr>
      </w:pPr>
      <w:r w:rsidRPr="000322E4">
        <w:rPr>
          <w:rFonts w:eastAsia="Calibri"/>
        </w:rPr>
        <w:t>Увеличение как минимум одного уже известного очага более чем на 25% от минимального. Для очагов менее 1 см в наибольшем измерении – увеличение до 1,5 см и более.</w:t>
      </w:r>
    </w:p>
    <w:p w14:paraId="7881E96B" w14:textId="77777777" w:rsidR="00204469" w:rsidRPr="000322E4" w:rsidRDefault="00204469" w:rsidP="00F414BF">
      <w:pPr>
        <w:contextualSpacing/>
        <w:rPr>
          <w:rFonts w:eastAsia="Calibri"/>
        </w:rPr>
      </w:pPr>
      <w:r w:rsidRPr="000322E4">
        <w:rPr>
          <w:rFonts w:eastAsia="Calibri"/>
        </w:rPr>
        <w:t>Ответ на лечение при ПЛЦНС должен оцениваться в соответствии с Международными рекомендациями 2005 г.</w:t>
      </w:r>
      <w:r w:rsidR="006B29A4" w:rsidRPr="000322E4">
        <w:rPr>
          <w:rFonts w:eastAsia="Calibri"/>
        </w:rPr>
        <w:t xml:space="preserve"> </w:t>
      </w:r>
      <w:r w:rsidR="006B29A4" w:rsidRPr="000322E4">
        <w:rPr>
          <w:rFonts w:eastAsia="Calibri"/>
        </w:rPr>
        <w:fldChar w:fldCharType="begin" w:fldLock="1"/>
      </w:r>
      <w:r w:rsidR="00C37789" w:rsidRPr="000322E4">
        <w:rPr>
          <w:rFonts w:eastAsia="Calibri"/>
        </w:rPr>
        <w:instrText>ADDIN CSL_CITATION {"citationItems":[{"id":"ITEM-1","itemData":{"DOI":"10.1200/JCO.2005.13.524","ISSN":"0732183X","PMID":"15955902","abstract":"Standardized guidelines for the baseline evaluation and response assessment of primary CNS lymphoma (PCNSL) are critical to ensure comparability among clinical trials for newly diagnosed patients. The relative rarity of this tumor precludes rapid completion of large-scale phase III trials and, therefore, our reliance on the results of well-designed phase II trials is critical. To formulate this recommendation, an international group of experts representing hematologic oncology, medical oncology, neuro-oncology, neurology, radiation oncology, neurosurgery, and ophthalmology met to review current standards of reporting and to formulate a consensus opinion regarding minimum baseline evaluation and common standards for assessing response to therapy. The response guidelines were based on the results of neuroimaging, corticosteroid use, ophthalmologic examination, and CSF cytology. A critical issue that requires additional study is the optimal method to assess the neurocognitive impact of therapy and address the quality of life of PCNSL survivors. We hope that these guidelines will improve communication among investigators and comparability among clinical trials in a way that will allow us to develop better therapies for patients. © 2005 by American Society of Clinical Oncology.","author":[{"dropping-particle":"","family":"Abrey","given":"Lauren E.","non-dropping-particle":"","parse-names":false,"suffix":""},{"dropping-particle":"","family":"Batchelor","given":"Tracy T.","non-dropping-particle":"","parse-names":false,"suffix":""},{"dropping-particle":"","family":"Ferreri","given":"Andrés J.M.","non-dropping-particle":"","parse-names":false,"suffix":""},{"dropping-particle":"","family":"Gospodarowicz","given":"Mary","non-dropping-particle":"","parse-names":false,"suffix":""},{"dropping-particle":"","family":"Pulczynski","given":"Elisa J.","non-dropping-particle":"","parse-names":false,"suffix":""},{"dropping-particle":"","family":"Zucca","given":"Emanuele","non-dropping-particle":"","parse-names":false,"suffix":""},{"dropping-particle":"","family":"Smith","given":"Justine R.","non-dropping-particle":"","parse-names":false,"suffix":""},{"dropping-particle":"","family":"Korfel","given":"Agnieszka","non-dropping-particle":"","parse-names":false,"suffix":""},{"dropping-particle":"","family":"Soussain","given":"Carole","non-dropping-particle":"","parse-names":false,"suffix":""},{"dropping-particle":"","family":"DeAngelis","given":"Lisa M.","non-dropping-particle":"","parse-names":false,"suffix":""},{"dropping-particle":"","family":"Neuwelt","given":"Edward A.","non-dropping-particle":"","parse-names":false,"suffix":""},{"dropping-particle":"","family":"O'Neill","given":"Brian Patrick","non-dropping-particle":"","parse-names":false,"suffix":""},{"dropping-particle":"","family":"Thiel","given":"Eckhard","non-dropping-particle":"","parse-names":false,"suffix":""},{"dropping-particle":"","family":"Shenkier","given":"Tamara","non-dropping-particle":"","parse-names":false,"suffix":""},{"dropping-particle":"","family":"Graus","given":"Fransesc","non-dropping-particle":"","parse-names":false,"suffix":""},{"dropping-particle":"","family":"Bent","given":"Martin","non-dropping-particle":"van den","parse-names":false,"suffix":""},{"dropping-particle":"","family":"Seymour","given":"John F.","non-dropping-particle":"","parse-names":false,"suffix":""},{"dropping-particle":"","family":"Poortmans","given":"Philip","non-dropping-particle":"","parse-names":false,"suffix":""},{"dropping-particle":"","family":"Armitage","given":"James O.","non-dropping-particle":"","parse-names":false,"suffix":""},{"dropping-particle":"","family":"Cavalli","given":"Franco","non-dropping-particle":"","parse-names":false,"suffix":""}],"container-title":"Journal of Clinical Oncology","id":"ITEM-1","issue":"22","issued":{"date-parts":[["2005"]]},"page":"5034-5043","title":"Report of an international workshop to standardize baseline evaluation and response criteria for primary CNS lymphoma","type":"article","volume":"23"},"uris":["http://www.mendeley.com/documents/?uuid=6aa22810-768e-39cd-8f01-27426aabcb58"]}],"mendeley":{"formattedCitation":"[125]","plainTextFormattedCitation":"[125]","previouslyFormattedCitation":"[125]"},"properties":{"noteIndex":0},"schema":"https://github.com/citation-style-language/schema/raw/master/csl-citation.json"}</w:instrText>
      </w:r>
      <w:r w:rsidR="006B29A4" w:rsidRPr="000322E4">
        <w:rPr>
          <w:rFonts w:eastAsia="Calibri"/>
        </w:rPr>
        <w:fldChar w:fldCharType="separate"/>
      </w:r>
      <w:r w:rsidR="00C37789" w:rsidRPr="000322E4">
        <w:rPr>
          <w:rFonts w:eastAsia="Calibri"/>
          <w:noProof/>
        </w:rPr>
        <w:t>[125]</w:t>
      </w:r>
      <w:r w:rsidR="006B29A4" w:rsidRPr="000322E4">
        <w:rPr>
          <w:rFonts w:eastAsia="Calibri"/>
        </w:rPr>
        <w:fldChar w:fldCharType="end"/>
      </w:r>
    </w:p>
    <w:p w14:paraId="2AE4A6BC" w14:textId="77777777" w:rsidR="00204469" w:rsidRPr="000322E4" w:rsidRDefault="00204469" w:rsidP="00F414BF">
      <w:pPr>
        <w:ind w:left="720"/>
        <w:contextualSpacing/>
        <w:rPr>
          <w:rFonts w:eastAsia="Calibri"/>
        </w:rPr>
      </w:pPr>
    </w:p>
    <w:p w14:paraId="20DD4441" w14:textId="77777777" w:rsidR="00204469" w:rsidRPr="000322E4" w:rsidRDefault="00204469" w:rsidP="00F414BF">
      <w:pPr>
        <w:rPr>
          <w:bCs/>
          <w:sz w:val="17"/>
        </w:rPr>
      </w:pPr>
      <w:r w:rsidRPr="000322E4">
        <w:rPr>
          <w:bCs/>
        </w:rPr>
        <w:t xml:space="preserve">Таблица </w:t>
      </w:r>
      <w:r w:rsidR="006B29A4" w:rsidRPr="000322E4">
        <w:rPr>
          <w:bCs/>
        </w:rPr>
        <w:t>7.</w:t>
      </w:r>
      <w:r w:rsidRPr="000322E4">
        <w:rPr>
          <w:bCs/>
        </w:rPr>
        <w:t>6.</w:t>
      </w:r>
      <w:r w:rsidR="006B29A4" w:rsidRPr="000322E4">
        <w:rPr>
          <w:bCs/>
        </w:rPr>
        <w:t>1</w:t>
      </w:r>
      <w:r w:rsidRPr="000322E4">
        <w:rPr>
          <w:bCs/>
        </w:rPr>
        <w:t xml:space="preserve"> </w:t>
      </w:r>
      <w:r w:rsidR="006B29A4" w:rsidRPr="000322E4">
        <w:rPr>
          <w:bCs/>
        </w:rPr>
        <w:t xml:space="preserve">Международные критерии </w:t>
      </w:r>
      <w:r w:rsidRPr="000322E4">
        <w:rPr>
          <w:bCs/>
        </w:rPr>
        <w:t xml:space="preserve">ответа на терапию </w:t>
      </w:r>
      <w:r w:rsidR="006B29A4" w:rsidRPr="000322E4">
        <w:rPr>
          <w:bCs/>
        </w:rPr>
        <w:t xml:space="preserve">ПЛЦНС. </w:t>
      </w:r>
    </w:p>
    <w:tbl>
      <w:tblPr>
        <w:tblW w:w="9797" w:type="dxa"/>
        <w:tblInd w:w="-289" w:type="dxa"/>
        <w:tblLayout w:type="fixed"/>
        <w:tblCellMar>
          <w:left w:w="0" w:type="dxa"/>
          <w:right w:w="0" w:type="dxa"/>
        </w:tblCellMar>
        <w:tblLook w:val="0000" w:firstRow="0" w:lastRow="0" w:firstColumn="0" w:lastColumn="0" w:noHBand="0" w:noVBand="0"/>
      </w:tblPr>
      <w:tblGrid>
        <w:gridCol w:w="1988"/>
        <w:gridCol w:w="1983"/>
        <w:gridCol w:w="1844"/>
        <w:gridCol w:w="2324"/>
        <w:gridCol w:w="1658"/>
      </w:tblGrid>
      <w:tr w:rsidR="00204469" w:rsidRPr="000322E4" w14:paraId="5C93ADA7" w14:textId="77777777" w:rsidTr="006B29A4">
        <w:trPr>
          <w:trHeight w:val="897"/>
        </w:trPr>
        <w:tc>
          <w:tcPr>
            <w:tcW w:w="1988" w:type="dxa"/>
            <w:tcBorders>
              <w:top w:val="single" w:sz="4" w:space="0" w:color="000000"/>
              <w:left w:val="single" w:sz="4" w:space="0" w:color="000000"/>
              <w:bottom w:val="single" w:sz="4" w:space="0" w:color="000000"/>
            </w:tcBorders>
            <w:shd w:val="clear" w:color="auto" w:fill="auto"/>
          </w:tcPr>
          <w:p w14:paraId="63902FCD" w14:textId="77777777" w:rsidR="00204469" w:rsidRPr="000322E4" w:rsidRDefault="00204469" w:rsidP="00F414BF">
            <w:pPr>
              <w:pStyle w:val="TableParagraph"/>
              <w:autoSpaceDE w:val="0"/>
              <w:ind w:left="485" w:right="434" w:hanging="20"/>
              <w:rPr>
                <w:rFonts w:ascii="Times New Roman" w:hAnsi="Times New Roman" w:cs="Times New Roman"/>
                <w:sz w:val="24"/>
                <w:szCs w:val="24"/>
                <w:lang w:val="ru-RU"/>
              </w:rPr>
            </w:pPr>
            <w:r w:rsidRPr="000322E4">
              <w:rPr>
                <w:rFonts w:ascii="Times New Roman" w:hAnsi="Times New Roman" w:cs="Times New Roman"/>
                <w:b/>
                <w:sz w:val="24"/>
                <w:szCs w:val="24"/>
                <w:lang w:val="ru-RU"/>
              </w:rPr>
              <w:t>Ответ на терапию</w:t>
            </w:r>
          </w:p>
        </w:tc>
        <w:tc>
          <w:tcPr>
            <w:tcW w:w="1983" w:type="dxa"/>
            <w:tcBorders>
              <w:top w:val="single" w:sz="4" w:space="0" w:color="000000"/>
              <w:left w:val="single" w:sz="4" w:space="0" w:color="000000"/>
              <w:bottom w:val="single" w:sz="4" w:space="0" w:color="000000"/>
            </w:tcBorders>
            <w:shd w:val="clear" w:color="auto" w:fill="auto"/>
          </w:tcPr>
          <w:p w14:paraId="2D86C289" w14:textId="77777777" w:rsidR="00204469" w:rsidRPr="000322E4" w:rsidRDefault="00204469" w:rsidP="00F414BF">
            <w:pPr>
              <w:pStyle w:val="TableParagraph"/>
              <w:autoSpaceDE w:val="0"/>
              <w:ind w:left="91" w:firstLine="72"/>
              <w:rPr>
                <w:rFonts w:ascii="Times New Roman" w:hAnsi="Times New Roman" w:cs="Times New Roman"/>
                <w:sz w:val="24"/>
                <w:szCs w:val="24"/>
                <w:lang w:val="ru-RU"/>
              </w:rPr>
            </w:pPr>
            <w:r w:rsidRPr="000322E4">
              <w:rPr>
                <w:rFonts w:ascii="Times New Roman" w:hAnsi="Times New Roman" w:cs="Times New Roman"/>
                <w:b/>
                <w:sz w:val="24"/>
                <w:szCs w:val="24"/>
                <w:lang w:val="ru-RU"/>
              </w:rPr>
              <w:t>Визуализация структур мозга</w:t>
            </w:r>
          </w:p>
        </w:tc>
        <w:tc>
          <w:tcPr>
            <w:tcW w:w="1844" w:type="dxa"/>
            <w:tcBorders>
              <w:top w:val="single" w:sz="4" w:space="0" w:color="000000"/>
              <w:left w:val="single" w:sz="4" w:space="0" w:color="000000"/>
              <w:bottom w:val="single" w:sz="4" w:space="0" w:color="000000"/>
            </w:tcBorders>
            <w:shd w:val="clear" w:color="auto" w:fill="auto"/>
          </w:tcPr>
          <w:p w14:paraId="25E1CD4D" w14:textId="77777777" w:rsidR="00204469" w:rsidRPr="000322E4" w:rsidRDefault="00204469" w:rsidP="005C347F">
            <w:pPr>
              <w:pStyle w:val="TableParagraph"/>
              <w:autoSpaceDE w:val="0"/>
              <w:ind w:left="38" w:right="32" w:firstLine="9"/>
              <w:rPr>
                <w:rFonts w:ascii="Times New Roman" w:hAnsi="Times New Roman" w:cs="Times New Roman"/>
                <w:sz w:val="24"/>
                <w:szCs w:val="24"/>
                <w:lang w:val="ru-RU"/>
              </w:rPr>
            </w:pPr>
            <w:r w:rsidRPr="000322E4">
              <w:rPr>
                <w:rFonts w:ascii="Times New Roman" w:hAnsi="Times New Roman" w:cs="Times New Roman"/>
                <w:b/>
                <w:sz w:val="24"/>
                <w:szCs w:val="24"/>
                <w:lang w:val="ru-RU"/>
              </w:rPr>
              <w:t xml:space="preserve">Прием </w:t>
            </w:r>
            <w:r w:rsidR="005C347F">
              <w:rPr>
                <w:rFonts w:ascii="Times New Roman" w:hAnsi="Times New Roman" w:cs="Times New Roman"/>
                <w:b/>
                <w:w w:val="95"/>
                <w:sz w:val="24"/>
                <w:szCs w:val="24"/>
                <w:lang w:val="ru-RU"/>
              </w:rPr>
              <w:t>глюкокортикоидов</w:t>
            </w:r>
          </w:p>
        </w:tc>
        <w:tc>
          <w:tcPr>
            <w:tcW w:w="2324" w:type="dxa"/>
            <w:tcBorders>
              <w:top w:val="single" w:sz="4" w:space="0" w:color="000000"/>
              <w:left w:val="single" w:sz="4" w:space="0" w:color="000000"/>
              <w:bottom w:val="single" w:sz="4" w:space="0" w:color="000000"/>
            </w:tcBorders>
            <w:shd w:val="clear" w:color="auto" w:fill="auto"/>
          </w:tcPr>
          <w:p w14:paraId="628DBA0B" w14:textId="77777777" w:rsidR="00204469" w:rsidRPr="000322E4" w:rsidRDefault="00204469" w:rsidP="00F414BF">
            <w:pPr>
              <w:pStyle w:val="TableParagraph"/>
              <w:autoSpaceDE w:val="0"/>
              <w:ind w:left="167" w:firstLine="307"/>
              <w:rPr>
                <w:rFonts w:ascii="Times New Roman" w:hAnsi="Times New Roman" w:cs="Times New Roman"/>
                <w:sz w:val="24"/>
                <w:szCs w:val="24"/>
                <w:lang w:val="ru-RU"/>
              </w:rPr>
            </w:pPr>
            <w:r w:rsidRPr="000322E4">
              <w:rPr>
                <w:rFonts w:ascii="Times New Roman" w:hAnsi="Times New Roman" w:cs="Times New Roman"/>
                <w:b/>
                <w:sz w:val="24"/>
                <w:szCs w:val="24"/>
                <w:lang w:val="ru-RU"/>
              </w:rPr>
              <w:t>Результаты проверки зрения</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14:paraId="7227253D" w14:textId="77777777" w:rsidR="00204469" w:rsidRPr="000322E4" w:rsidRDefault="00204469" w:rsidP="00F414BF">
            <w:pPr>
              <w:pStyle w:val="TableParagraph"/>
              <w:autoSpaceDE w:val="0"/>
              <w:ind w:left="177" w:firstLine="38"/>
              <w:rPr>
                <w:rFonts w:ascii="Times New Roman" w:hAnsi="Times New Roman" w:cs="Times New Roman"/>
                <w:sz w:val="24"/>
                <w:szCs w:val="24"/>
                <w:lang w:val="ru-RU"/>
              </w:rPr>
            </w:pPr>
            <w:r w:rsidRPr="000322E4">
              <w:rPr>
                <w:rFonts w:ascii="Times New Roman" w:hAnsi="Times New Roman" w:cs="Times New Roman"/>
                <w:b/>
                <w:sz w:val="24"/>
                <w:szCs w:val="24"/>
                <w:lang w:val="ru-RU"/>
              </w:rPr>
              <w:t xml:space="preserve">Результат </w:t>
            </w:r>
            <w:r w:rsidRPr="000322E4">
              <w:rPr>
                <w:rFonts w:ascii="Times New Roman" w:hAnsi="Times New Roman" w:cs="Times New Roman"/>
                <w:b/>
                <w:w w:val="95"/>
                <w:sz w:val="24"/>
                <w:szCs w:val="24"/>
                <w:lang w:val="ru-RU"/>
              </w:rPr>
              <w:t>цитологии</w:t>
            </w:r>
          </w:p>
          <w:p w14:paraId="62CC8EEB" w14:textId="77777777" w:rsidR="00204469" w:rsidRPr="000322E4" w:rsidRDefault="00204469" w:rsidP="00F414BF">
            <w:pPr>
              <w:pStyle w:val="TableParagraph"/>
              <w:autoSpaceDE w:val="0"/>
              <w:ind w:left="312"/>
              <w:rPr>
                <w:rFonts w:ascii="Times New Roman" w:hAnsi="Times New Roman" w:cs="Times New Roman"/>
                <w:sz w:val="24"/>
                <w:szCs w:val="24"/>
                <w:lang w:val="ru-RU"/>
              </w:rPr>
            </w:pPr>
            <w:r w:rsidRPr="000322E4">
              <w:rPr>
                <w:rFonts w:ascii="Times New Roman" w:hAnsi="Times New Roman" w:cs="Times New Roman"/>
                <w:b/>
                <w:sz w:val="24"/>
                <w:szCs w:val="24"/>
                <w:lang w:val="ru-RU"/>
              </w:rPr>
              <w:t>ликвора</w:t>
            </w:r>
          </w:p>
        </w:tc>
      </w:tr>
      <w:tr w:rsidR="00204469" w:rsidRPr="000322E4" w14:paraId="6931101C" w14:textId="77777777" w:rsidTr="006B29A4">
        <w:trPr>
          <w:trHeight w:val="897"/>
        </w:trPr>
        <w:tc>
          <w:tcPr>
            <w:tcW w:w="1988" w:type="dxa"/>
            <w:tcBorders>
              <w:top w:val="single" w:sz="4" w:space="0" w:color="000000"/>
              <w:left w:val="single" w:sz="4" w:space="0" w:color="000000"/>
              <w:bottom w:val="single" w:sz="4" w:space="0" w:color="000000"/>
            </w:tcBorders>
            <w:shd w:val="clear" w:color="auto" w:fill="auto"/>
          </w:tcPr>
          <w:p w14:paraId="2879C92B" w14:textId="77777777" w:rsidR="00204469" w:rsidRPr="000322E4" w:rsidRDefault="00204469" w:rsidP="00F414BF">
            <w:pPr>
              <w:pStyle w:val="TableParagraph"/>
              <w:autoSpaceDE w:val="0"/>
              <w:rPr>
                <w:rFonts w:ascii="Times New Roman" w:hAnsi="Times New Roman" w:cs="Times New Roman"/>
                <w:sz w:val="24"/>
                <w:szCs w:val="24"/>
                <w:lang w:val="ru-RU"/>
              </w:rPr>
            </w:pPr>
            <w:r w:rsidRPr="000322E4">
              <w:rPr>
                <w:rFonts w:ascii="Times New Roman" w:hAnsi="Times New Roman" w:cs="Times New Roman"/>
                <w:sz w:val="24"/>
                <w:szCs w:val="24"/>
                <w:lang w:val="ru-RU"/>
              </w:rPr>
              <w:t>Полный ответ</w:t>
            </w:r>
          </w:p>
        </w:tc>
        <w:tc>
          <w:tcPr>
            <w:tcW w:w="1983" w:type="dxa"/>
            <w:tcBorders>
              <w:top w:val="single" w:sz="4" w:space="0" w:color="000000"/>
              <w:left w:val="single" w:sz="4" w:space="0" w:color="000000"/>
              <w:bottom w:val="single" w:sz="4" w:space="0" w:color="000000"/>
            </w:tcBorders>
            <w:shd w:val="clear" w:color="auto" w:fill="auto"/>
          </w:tcPr>
          <w:p w14:paraId="632746DE" w14:textId="77777777" w:rsidR="00204469" w:rsidRPr="000322E4" w:rsidRDefault="00204469" w:rsidP="00F414BF">
            <w:pPr>
              <w:pStyle w:val="TableParagraph"/>
              <w:autoSpaceDE w:val="0"/>
              <w:ind w:left="105" w:right="416"/>
              <w:rPr>
                <w:rFonts w:ascii="Times New Roman" w:hAnsi="Times New Roman" w:cs="Times New Roman"/>
                <w:sz w:val="24"/>
                <w:szCs w:val="24"/>
                <w:lang w:val="ru-RU"/>
              </w:rPr>
            </w:pPr>
            <w:r w:rsidRPr="000322E4">
              <w:rPr>
                <w:rFonts w:ascii="Times New Roman" w:hAnsi="Times New Roman" w:cs="Times New Roman"/>
                <w:sz w:val="24"/>
                <w:szCs w:val="24"/>
                <w:lang w:val="ru-RU"/>
              </w:rPr>
              <w:t>Нет накопления</w:t>
            </w:r>
          </w:p>
          <w:p w14:paraId="74D6A117" w14:textId="77777777" w:rsidR="00204469" w:rsidRPr="000322E4" w:rsidRDefault="00204469" w:rsidP="00F414BF">
            <w:pPr>
              <w:pStyle w:val="TableParagraph"/>
              <w:autoSpaceDE w:val="0"/>
              <w:ind w:left="105"/>
              <w:rPr>
                <w:rFonts w:ascii="Times New Roman" w:hAnsi="Times New Roman" w:cs="Times New Roman"/>
                <w:sz w:val="24"/>
                <w:szCs w:val="24"/>
                <w:lang w:val="ru-RU"/>
              </w:rPr>
            </w:pPr>
            <w:r w:rsidRPr="000322E4">
              <w:rPr>
                <w:rFonts w:ascii="Times New Roman" w:hAnsi="Times New Roman" w:cs="Times New Roman"/>
                <w:sz w:val="24"/>
                <w:szCs w:val="24"/>
                <w:lang w:val="ru-RU"/>
              </w:rPr>
              <w:t>контраста</w:t>
            </w:r>
          </w:p>
        </w:tc>
        <w:tc>
          <w:tcPr>
            <w:tcW w:w="1844" w:type="dxa"/>
            <w:tcBorders>
              <w:top w:val="single" w:sz="4" w:space="0" w:color="000000"/>
              <w:left w:val="single" w:sz="4" w:space="0" w:color="000000"/>
              <w:bottom w:val="single" w:sz="4" w:space="0" w:color="000000"/>
            </w:tcBorders>
            <w:shd w:val="clear" w:color="auto" w:fill="auto"/>
          </w:tcPr>
          <w:p w14:paraId="68EEE584" w14:textId="77777777" w:rsidR="00204469" w:rsidRPr="000322E4" w:rsidRDefault="00204469" w:rsidP="00F414BF">
            <w:pPr>
              <w:pStyle w:val="TableParagraph"/>
              <w:autoSpaceDE w:val="0"/>
              <w:rPr>
                <w:rFonts w:ascii="Times New Roman" w:hAnsi="Times New Roman" w:cs="Times New Roman"/>
                <w:sz w:val="24"/>
                <w:szCs w:val="24"/>
                <w:lang w:val="ru-RU"/>
              </w:rPr>
            </w:pPr>
            <w:r w:rsidRPr="000322E4">
              <w:rPr>
                <w:rFonts w:ascii="Times New Roman" w:hAnsi="Times New Roman" w:cs="Times New Roman"/>
                <w:sz w:val="24"/>
                <w:szCs w:val="24"/>
                <w:lang w:val="ru-RU"/>
              </w:rPr>
              <w:t>Нет</w:t>
            </w:r>
          </w:p>
        </w:tc>
        <w:tc>
          <w:tcPr>
            <w:tcW w:w="2324" w:type="dxa"/>
            <w:tcBorders>
              <w:top w:val="single" w:sz="4" w:space="0" w:color="000000"/>
              <w:left w:val="single" w:sz="4" w:space="0" w:color="000000"/>
              <w:bottom w:val="single" w:sz="4" w:space="0" w:color="000000"/>
            </w:tcBorders>
            <w:shd w:val="clear" w:color="auto" w:fill="auto"/>
          </w:tcPr>
          <w:p w14:paraId="2FE7E407" w14:textId="77777777" w:rsidR="00204469" w:rsidRPr="000322E4" w:rsidRDefault="00204469" w:rsidP="00F414BF">
            <w:pPr>
              <w:pStyle w:val="TableParagraph"/>
              <w:autoSpaceDE w:val="0"/>
              <w:rPr>
                <w:rFonts w:ascii="Times New Roman" w:hAnsi="Times New Roman" w:cs="Times New Roman"/>
                <w:sz w:val="24"/>
                <w:szCs w:val="24"/>
                <w:lang w:val="ru-RU"/>
              </w:rPr>
            </w:pPr>
            <w:r w:rsidRPr="000322E4">
              <w:rPr>
                <w:rFonts w:ascii="Times New Roman" w:hAnsi="Times New Roman" w:cs="Times New Roman"/>
                <w:sz w:val="24"/>
                <w:szCs w:val="24"/>
                <w:lang w:val="ru-RU"/>
              </w:rPr>
              <w:t>Норма</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14:paraId="6E23A9AC" w14:textId="77777777" w:rsidR="00204469" w:rsidRPr="000322E4" w:rsidRDefault="00204469" w:rsidP="00F414BF">
            <w:pPr>
              <w:pStyle w:val="TableParagraph"/>
              <w:autoSpaceDE w:val="0"/>
              <w:ind w:left="91" w:right="113"/>
              <w:rPr>
                <w:rFonts w:ascii="Times New Roman" w:hAnsi="Times New Roman" w:cs="Times New Roman"/>
                <w:sz w:val="24"/>
                <w:szCs w:val="24"/>
                <w:lang w:val="ru-RU"/>
              </w:rPr>
            </w:pPr>
            <w:r w:rsidRPr="000322E4">
              <w:rPr>
                <w:rFonts w:ascii="Times New Roman" w:hAnsi="Times New Roman" w:cs="Times New Roman"/>
                <w:sz w:val="24"/>
                <w:szCs w:val="24"/>
                <w:lang w:val="ru-RU"/>
              </w:rPr>
              <w:t>Негативный</w:t>
            </w:r>
          </w:p>
        </w:tc>
      </w:tr>
      <w:tr w:rsidR="00204469" w:rsidRPr="000322E4" w14:paraId="44003F4C" w14:textId="77777777" w:rsidTr="006B29A4">
        <w:trPr>
          <w:trHeight w:val="897"/>
        </w:trPr>
        <w:tc>
          <w:tcPr>
            <w:tcW w:w="1988" w:type="dxa"/>
            <w:vMerge w:val="restart"/>
            <w:tcBorders>
              <w:top w:val="single" w:sz="4" w:space="0" w:color="000000"/>
              <w:left w:val="single" w:sz="4" w:space="0" w:color="000000"/>
              <w:bottom w:val="single" w:sz="4" w:space="0" w:color="000000"/>
            </w:tcBorders>
            <w:shd w:val="clear" w:color="auto" w:fill="auto"/>
          </w:tcPr>
          <w:p w14:paraId="1A440047" w14:textId="77777777" w:rsidR="00204469" w:rsidRPr="000322E4" w:rsidRDefault="00204469" w:rsidP="00F414BF">
            <w:pPr>
              <w:pStyle w:val="TableParagraph"/>
              <w:autoSpaceDE w:val="0"/>
              <w:rPr>
                <w:rFonts w:ascii="Times New Roman" w:hAnsi="Times New Roman" w:cs="Times New Roman"/>
                <w:sz w:val="24"/>
                <w:szCs w:val="24"/>
                <w:lang w:val="ru-RU"/>
              </w:rPr>
            </w:pPr>
            <w:r w:rsidRPr="000322E4">
              <w:rPr>
                <w:rFonts w:ascii="Times New Roman" w:hAnsi="Times New Roman" w:cs="Times New Roman"/>
                <w:sz w:val="24"/>
                <w:szCs w:val="24"/>
                <w:lang w:val="ru-RU"/>
              </w:rPr>
              <w:t>Неподтвержден ный полный ответ</w:t>
            </w:r>
          </w:p>
        </w:tc>
        <w:tc>
          <w:tcPr>
            <w:tcW w:w="1983" w:type="dxa"/>
            <w:tcBorders>
              <w:top w:val="single" w:sz="4" w:space="0" w:color="000000"/>
              <w:left w:val="single" w:sz="4" w:space="0" w:color="000000"/>
              <w:bottom w:val="single" w:sz="4" w:space="0" w:color="000000"/>
            </w:tcBorders>
            <w:shd w:val="clear" w:color="auto" w:fill="auto"/>
          </w:tcPr>
          <w:p w14:paraId="3DCB722B" w14:textId="77777777" w:rsidR="00204469" w:rsidRPr="000322E4" w:rsidRDefault="00204469" w:rsidP="00F414BF">
            <w:pPr>
              <w:pStyle w:val="TableParagraph"/>
              <w:autoSpaceDE w:val="0"/>
              <w:ind w:left="105" w:right="416"/>
              <w:rPr>
                <w:rFonts w:ascii="Times New Roman" w:hAnsi="Times New Roman" w:cs="Times New Roman"/>
                <w:sz w:val="24"/>
                <w:szCs w:val="24"/>
                <w:lang w:val="ru-RU"/>
              </w:rPr>
            </w:pPr>
            <w:r w:rsidRPr="000322E4">
              <w:rPr>
                <w:rFonts w:ascii="Times New Roman" w:hAnsi="Times New Roman" w:cs="Times New Roman"/>
                <w:sz w:val="24"/>
                <w:szCs w:val="24"/>
                <w:lang w:val="ru-RU"/>
              </w:rPr>
              <w:t>Нет накопления</w:t>
            </w:r>
          </w:p>
          <w:p w14:paraId="40E7B54F" w14:textId="77777777" w:rsidR="00204469" w:rsidRPr="000322E4" w:rsidRDefault="00204469" w:rsidP="00F414BF">
            <w:pPr>
              <w:pStyle w:val="TableParagraph"/>
              <w:autoSpaceDE w:val="0"/>
              <w:ind w:left="105"/>
              <w:rPr>
                <w:rFonts w:ascii="Times New Roman" w:hAnsi="Times New Roman" w:cs="Times New Roman"/>
                <w:sz w:val="24"/>
                <w:szCs w:val="24"/>
                <w:lang w:val="ru-RU"/>
              </w:rPr>
            </w:pPr>
            <w:r w:rsidRPr="000322E4">
              <w:rPr>
                <w:rFonts w:ascii="Times New Roman" w:hAnsi="Times New Roman" w:cs="Times New Roman"/>
                <w:sz w:val="24"/>
                <w:szCs w:val="24"/>
                <w:lang w:val="ru-RU"/>
              </w:rPr>
              <w:t>контраста</w:t>
            </w:r>
          </w:p>
        </w:tc>
        <w:tc>
          <w:tcPr>
            <w:tcW w:w="1844" w:type="dxa"/>
            <w:tcBorders>
              <w:top w:val="single" w:sz="4" w:space="0" w:color="000000"/>
              <w:left w:val="single" w:sz="4" w:space="0" w:color="000000"/>
              <w:bottom w:val="single" w:sz="4" w:space="0" w:color="000000"/>
            </w:tcBorders>
            <w:shd w:val="clear" w:color="auto" w:fill="auto"/>
          </w:tcPr>
          <w:p w14:paraId="142381CD" w14:textId="77777777" w:rsidR="00204469" w:rsidRPr="000322E4" w:rsidRDefault="00204469" w:rsidP="00F414BF">
            <w:pPr>
              <w:pStyle w:val="TableParagraph"/>
              <w:autoSpaceDE w:val="0"/>
              <w:rPr>
                <w:rFonts w:ascii="Times New Roman" w:hAnsi="Times New Roman" w:cs="Times New Roman"/>
                <w:sz w:val="24"/>
                <w:szCs w:val="24"/>
                <w:lang w:val="ru-RU"/>
              </w:rPr>
            </w:pPr>
            <w:r w:rsidRPr="000322E4">
              <w:rPr>
                <w:rFonts w:ascii="Times New Roman" w:hAnsi="Times New Roman" w:cs="Times New Roman"/>
                <w:sz w:val="24"/>
                <w:szCs w:val="24"/>
                <w:lang w:val="ru-RU"/>
              </w:rPr>
              <w:t>Любая</w:t>
            </w:r>
          </w:p>
        </w:tc>
        <w:tc>
          <w:tcPr>
            <w:tcW w:w="2324" w:type="dxa"/>
            <w:tcBorders>
              <w:top w:val="single" w:sz="4" w:space="0" w:color="000000"/>
              <w:left w:val="single" w:sz="4" w:space="0" w:color="000000"/>
              <w:bottom w:val="single" w:sz="4" w:space="0" w:color="000000"/>
            </w:tcBorders>
            <w:shd w:val="clear" w:color="auto" w:fill="auto"/>
          </w:tcPr>
          <w:p w14:paraId="313750BE" w14:textId="77777777" w:rsidR="00204469" w:rsidRPr="000322E4" w:rsidRDefault="00204469" w:rsidP="00F414BF">
            <w:pPr>
              <w:pStyle w:val="TableParagraph"/>
              <w:autoSpaceDE w:val="0"/>
              <w:rPr>
                <w:rFonts w:ascii="Times New Roman" w:hAnsi="Times New Roman" w:cs="Times New Roman"/>
                <w:sz w:val="24"/>
                <w:szCs w:val="24"/>
                <w:lang w:val="ru-RU"/>
              </w:rPr>
            </w:pPr>
            <w:r w:rsidRPr="000322E4">
              <w:rPr>
                <w:rFonts w:ascii="Times New Roman" w:hAnsi="Times New Roman" w:cs="Times New Roman"/>
                <w:sz w:val="24"/>
                <w:szCs w:val="24"/>
                <w:lang w:val="ru-RU"/>
              </w:rPr>
              <w:t>Норма</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14:paraId="32215680" w14:textId="77777777" w:rsidR="00204469" w:rsidRPr="000322E4" w:rsidRDefault="00204469" w:rsidP="00F414BF">
            <w:pPr>
              <w:pStyle w:val="TableParagraph"/>
              <w:autoSpaceDE w:val="0"/>
              <w:ind w:left="91" w:right="113"/>
              <w:rPr>
                <w:rFonts w:ascii="Times New Roman" w:hAnsi="Times New Roman" w:cs="Times New Roman"/>
                <w:sz w:val="24"/>
                <w:szCs w:val="24"/>
                <w:lang w:val="ru-RU"/>
              </w:rPr>
            </w:pPr>
            <w:r w:rsidRPr="000322E4">
              <w:rPr>
                <w:rFonts w:ascii="Times New Roman" w:hAnsi="Times New Roman" w:cs="Times New Roman"/>
                <w:sz w:val="24"/>
                <w:szCs w:val="24"/>
                <w:lang w:val="ru-RU"/>
              </w:rPr>
              <w:t>Негативный</w:t>
            </w:r>
          </w:p>
        </w:tc>
      </w:tr>
      <w:tr w:rsidR="00204469" w:rsidRPr="000322E4" w14:paraId="0E694CC6" w14:textId="77777777" w:rsidTr="006B29A4">
        <w:trPr>
          <w:trHeight w:val="1195"/>
        </w:trPr>
        <w:tc>
          <w:tcPr>
            <w:tcW w:w="1988" w:type="dxa"/>
            <w:vMerge/>
            <w:tcBorders>
              <w:top w:val="single" w:sz="4" w:space="0" w:color="000000"/>
              <w:left w:val="single" w:sz="4" w:space="0" w:color="000000"/>
              <w:bottom w:val="single" w:sz="4" w:space="0" w:color="000000"/>
            </w:tcBorders>
            <w:shd w:val="clear" w:color="auto" w:fill="auto"/>
          </w:tcPr>
          <w:p w14:paraId="5889156F" w14:textId="77777777" w:rsidR="00204469" w:rsidRPr="000322E4" w:rsidRDefault="00204469" w:rsidP="00F414BF">
            <w:pPr>
              <w:widowControl w:val="0"/>
              <w:autoSpaceDE w:val="0"/>
              <w:snapToGrid w:val="0"/>
            </w:pPr>
          </w:p>
        </w:tc>
        <w:tc>
          <w:tcPr>
            <w:tcW w:w="1983" w:type="dxa"/>
            <w:tcBorders>
              <w:top w:val="single" w:sz="4" w:space="0" w:color="000000"/>
              <w:left w:val="single" w:sz="4" w:space="0" w:color="000000"/>
              <w:bottom w:val="single" w:sz="4" w:space="0" w:color="000000"/>
            </w:tcBorders>
            <w:shd w:val="clear" w:color="auto" w:fill="auto"/>
          </w:tcPr>
          <w:p w14:paraId="1E082076" w14:textId="77777777" w:rsidR="00204469" w:rsidRPr="000322E4" w:rsidRDefault="00204469" w:rsidP="00CA442F">
            <w:pPr>
              <w:pStyle w:val="TableParagraph"/>
              <w:autoSpaceDE w:val="0"/>
              <w:ind w:left="105" w:right="279"/>
              <w:rPr>
                <w:rFonts w:ascii="Times New Roman" w:hAnsi="Times New Roman" w:cs="Times New Roman"/>
                <w:sz w:val="24"/>
                <w:szCs w:val="24"/>
                <w:lang w:val="ru-RU"/>
              </w:rPr>
            </w:pPr>
            <w:r w:rsidRPr="000322E4">
              <w:rPr>
                <w:rFonts w:ascii="Times New Roman" w:hAnsi="Times New Roman" w:cs="Times New Roman"/>
                <w:sz w:val="24"/>
                <w:szCs w:val="24"/>
                <w:lang w:val="ru-RU"/>
              </w:rPr>
              <w:t>Минимальное отклонение от нормы</w:t>
            </w:r>
          </w:p>
        </w:tc>
        <w:tc>
          <w:tcPr>
            <w:tcW w:w="1844" w:type="dxa"/>
            <w:tcBorders>
              <w:top w:val="single" w:sz="4" w:space="0" w:color="000000"/>
              <w:left w:val="single" w:sz="4" w:space="0" w:color="000000"/>
              <w:bottom w:val="single" w:sz="4" w:space="0" w:color="000000"/>
            </w:tcBorders>
            <w:shd w:val="clear" w:color="auto" w:fill="auto"/>
          </w:tcPr>
          <w:p w14:paraId="38D2203D" w14:textId="77777777" w:rsidR="00204469" w:rsidRPr="000322E4" w:rsidRDefault="00204469" w:rsidP="00F414BF">
            <w:pPr>
              <w:pStyle w:val="TableParagraph"/>
              <w:autoSpaceDE w:val="0"/>
              <w:rPr>
                <w:rFonts w:ascii="Times New Roman" w:hAnsi="Times New Roman" w:cs="Times New Roman"/>
                <w:sz w:val="24"/>
                <w:szCs w:val="24"/>
                <w:lang w:val="ru-RU"/>
              </w:rPr>
            </w:pPr>
            <w:r w:rsidRPr="000322E4">
              <w:rPr>
                <w:rFonts w:ascii="Times New Roman" w:hAnsi="Times New Roman" w:cs="Times New Roman"/>
                <w:sz w:val="24"/>
                <w:szCs w:val="24"/>
                <w:lang w:val="ru-RU"/>
              </w:rPr>
              <w:t>Любая</w:t>
            </w:r>
          </w:p>
        </w:tc>
        <w:tc>
          <w:tcPr>
            <w:tcW w:w="2324" w:type="dxa"/>
            <w:tcBorders>
              <w:top w:val="single" w:sz="4" w:space="0" w:color="000000"/>
              <w:left w:val="single" w:sz="4" w:space="0" w:color="000000"/>
              <w:bottom w:val="single" w:sz="4" w:space="0" w:color="000000"/>
            </w:tcBorders>
            <w:shd w:val="clear" w:color="auto" w:fill="auto"/>
          </w:tcPr>
          <w:p w14:paraId="702BA809" w14:textId="77777777" w:rsidR="00204469" w:rsidRPr="000322E4" w:rsidRDefault="00204469" w:rsidP="00F414BF">
            <w:pPr>
              <w:pStyle w:val="TableParagraph"/>
              <w:autoSpaceDE w:val="0"/>
              <w:ind w:right="768"/>
              <w:rPr>
                <w:rFonts w:ascii="Times New Roman" w:hAnsi="Times New Roman" w:cs="Times New Roman"/>
                <w:sz w:val="24"/>
                <w:szCs w:val="24"/>
                <w:lang w:val="ru-RU"/>
              </w:rPr>
            </w:pPr>
            <w:r w:rsidRPr="000322E4">
              <w:rPr>
                <w:rFonts w:ascii="Times New Roman" w:hAnsi="Times New Roman" w:cs="Times New Roman"/>
                <w:sz w:val="24"/>
                <w:szCs w:val="24"/>
                <w:lang w:val="ru-RU"/>
              </w:rPr>
              <w:t>Небольшие нарушения в пигментном</w:t>
            </w:r>
          </w:p>
          <w:p w14:paraId="55DA6657" w14:textId="77777777" w:rsidR="00204469" w:rsidRPr="000322E4" w:rsidRDefault="00204469" w:rsidP="00F414BF">
            <w:pPr>
              <w:pStyle w:val="TableParagraph"/>
              <w:autoSpaceDE w:val="0"/>
              <w:rPr>
                <w:rFonts w:ascii="Times New Roman" w:hAnsi="Times New Roman" w:cs="Times New Roman"/>
                <w:sz w:val="24"/>
                <w:szCs w:val="24"/>
                <w:lang w:val="ru-RU"/>
              </w:rPr>
            </w:pPr>
            <w:r w:rsidRPr="000322E4">
              <w:rPr>
                <w:rFonts w:ascii="Times New Roman" w:hAnsi="Times New Roman" w:cs="Times New Roman"/>
                <w:sz w:val="24"/>
                <w:szCs w:val="24"/>
                <w:lang w:val="ru-RU"/>
              </w:rPr>
              <w:t>эпителии сетчатки</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14:paraId="36950839" w14:textId="77777777" w:rsidR="00204469" w:rsidRPr="000322E4" w:rsidRDefault="00204469" w:rsidP="00F414BF">
            <w:pPr>
              <w:pStyle w:val="TableParagraph"/>
              <w:autoSpaceDE w:val="0"/>
              <w:ind w:left="91" w:right="113"/>
              <w:rPr>
                <w:rFonts w:ascii="Times New Roman" w:hAnsi="Times New Roman" w:cs="Times New Roman"/>
                <w:sz w:val="24"/>
                <w:szCs w:val="24"/>
                <w:lang w:val="ru-RU"/>
              </w:rPr>
            </w:pPr>
            <w:r w:rsidRPr="000322E4">
              <w:rPr>
                <w:rFonts w:ascii="Times New Roman" w:hAnsi="Times New Roman" w:cs="Times New Roman"/>
                <w:sz w:val="24"/>
                <w:szCs w:val="24"/>
                <w:lang w:val="ru-RU"/>
              </w:rPr>
              <w:t>Негативный</w:t>
            </w:r>
          </w:p>
        </w:tc>
      </w:tr>
      <w:tr w:rsidR="00204469" w:rsidRPr="000322E4" w14:paraId="1A61AFAA" w14:textId="77777777" w:rsidTr="006B29A4">
        <w:trPr>
          <w:trHeight w:val="1497"/>
        </w:trPr>
        <w:tc>
          <w:tcPr>
            <w:tcW w:w="1988" w:type="dxa"/>
            <w:vMerge w:val="restart"/>
            <w:tcBorders>
              <w:top w:val="single" w:sz="4" w:space="0" w:color="000000"/>
              <w:left w:val="single" w:sz="4" w:space="0" w:color="000000"/>
              <w:bottom w:val="single" w:sz="4" w:space="0" w:color="000000"/>
            </w:tcBorders>
            <w:shd w:val="clear" w:color="auto" w:fill="auto"/>
          </w:tcPr>
          <w:p w14:paraId="78B30824" w14:textId="77777777" w:rsidR="00204469" w:rsidRPr="000322E4" w:rsidRDefault="00204469" w:rsidP="00F414BF">
            <w:pPr>
              <w:pStyle w:val="TableParagraph"/>
              <w:autoSpaceDE w:val="0"/>
              <w:ind w:right="434"/>
              <w:rPr>
                <w:rFonts w:ascii="Times New Roman" w:hAnsi="Times New Roman" w:cs="Times New Roman"/>
                <w:sz w:val="24"/>
                <w:szCs w:val="24"/>
                <w:lang w:val="ru-RU"/>
              </w:rPr>
            </w:pPr>
            <w:r w:rsidRPr="000322E4">
              <w:rPr>
                <w:rFonts w:ascii="Times New Roman" w:hAnsi="Times New Roman" w:cs="Times New Roman"/>
                <w:w w:val="95"/>
                <w:sz w:val="24"/>
                <w:szCs w:val="24"/>
                <w:lang w:val="ru-RU"/>
              </w:rPr>
              <w:t xml:space="preserve">Частичный </w:t>
            </w:r>
            <w:r w:rsidRPr="000322E4">
              <w:rPr>
                <w:rFonts w:ascii="Times New Roman" w:hAnsi="Times New Roman" w:cs="Times New Roman"/>
                <w:sz w:val="24"/>
                <w:szCs w:val="24"/>
                <w:lang w:val="ru-RU"/>
              </w:rPr>
              <w:t>ответ</w:t>
            </w:r>
          </w:p>
        </w:tc>
        <w:tc>
          <w:tcPr>
            <w:tcW w:w="1983" w:type="dxa"/>
            <w:tcBorders>
              <w:top w:val="single" w:sz="4" w:space="0" w:color="000000"/>
              <w:left w:val="single" w:sz="4" w:space="0" w:color="000000"/>
              <w:bottom w:val="single" w:sz="4" w:space="0" w:color="000000"/>
            </w:tcBorders>
            <w:shd w:val="clear" w:color="auto" w:fill="auto"/>
          </w:tcPr>
          <w:p w14:paraId="074C4079" w14:textId="77777777" w:rsidR="00204469" w:rsidRPr="000322E4" w:rsidRDefault="00204469" w:rsidP="00F414BF">
            <w:pPr>
              <w:pStyle w:val="TableParagraph"/>
              <w:autoSpaceDE w:val="0"/>
              <w:ind w:left="105" w:right="416"/>
              <w:rPr>
                <w:rFonts w:ascii="Times New Roman" w:hAnsi="Times New Roman" w:cs="Times New Roman"/>
                <w:sz w:val="24"/>
                <w:szCs w:val="24"/>
                <w:lang w:val="ru-RU"/>
              </w:rPr>
            </w:pPr>
            <w:r w:rsidRPr="000322E4">
              <w:rPr>
                <w:rFonts w:ascii="Times New Roman" w:hAnsi="Times New Roman" w:cs="Times New Roman"/>
                <w:sz w:val="24"/>
                <w:szCs w:val="24"/>
                <w:lang w:val="ru-RU"/>
              </w:rPr>
              <w:t>Уменьшение</w:t>
            </w:r>
            <w:r w:rsidRPr="000322E4">
              <w:rPr>
                <w:rFonts w:ascii="Times New Roman" w:hAnsi="Times New Roman" w:cs="Times New Roman"/>
                <w:w w:val="99"/>
                <w:sz w:val="24"/>
                <w:szCs w:val="24"/>
                <w:lang w:val="ru-RU"/>
              </w:rPr>
              <w:t xml:space="preserve"> </w:t>
            </w:r>
            <w:r w:rsidRPr="000322E4">
              <w:rPr>
                <w:rFonts w:ascii="Times New Roman" w:hAnsi="Times New Roman" w:cs="Times New Roman"/>
                <w:sz w:val="24"/>
                <w:szCs w:val="24"/>
                <w:lang w:val="ru-RU"/>
              </w:rPr>
              <w:t>размеров опухоли на 50%</w:t>
            </w:r>
          </w:p>
        </w:tc>
        <w:tc>
          <w:tcPr>
            <w:tcW w:w="1844" w:type="dxa"/>
            <w:tcBorders>
              <w:top w:val="single" w:sz="4" w:space="0" w:color="000000"/>
              <w:left w:val="single" w:sz="4" w:space="0" w:color="000000"/>
              <w:bottom w:val="single" w:sz="4" w:space="0" w:color="000000"/>
            </w:tcBorders>
            <w:shd w:val="clear" w:color="auto" w:fill="auto"/>
          </w:tcPr>
          <w:p w14:paraId="13520AF2" w14:textId="77777777" w:rsidR="00204469" w:rsidRPr="000322E4" w:rsidRDefault="00204469" w:rsidP="00F414BF">
            <w:pPr>
              <w:pStyle w:val="TableParagraph"/>
              <w:autoSpaceDE w:val="0"/>
              <w:ind w:right="687"/>
              <w:rPr>
                <w:rFonts w:ascii="Times New Roman" w:hAnsi="Times New Roman" w:cs="Times New Roman"/>
                <w:sz w:val="24"/>
                <w:szCs w:val="24"/>
                <w:lang w:val="ru-RU"/>
              </w:rPr>
            </w:pPr>
            <w:r w:rsidRPr="000322E4">
              <w:rPr>
                <w:rFonts w:ascii="Times New Roman" w:hAnsi="Times New Roman" w:cs="Times New Roman"/>
                <w:sz w:val="24"/>
                <w:szCs w:val="24"/>
                <w:lang w:val="ru-RU"/>
              </w:rPr>
              <w:t>Не имеет значения</w:t>
            </w:r>
          </w:p>
        </w:tc>
        <w:tc>
          <w:tcPr>
            <w:tcW w:w="2324" w:type="dxa"/>
            <w:tcBorders>
              <w:top w:val="single" w:sz="4" w:space="0" w:color="000000"/>
              <w:left w:val="single" w:sz="4" w:space="0" w:color="000000"/>
              <w:bottom w:val="single" w:sz="4" w:space="0" w:color="000000"/>
            </w:tcBorders>
            <w:shd w:val="clear" w:color="auto" w:fill="auto"/>
          </w:tcPr>
          <w:p w14:paraId="4D7AA71A" w14:textId="77777777" w:rsidR="00204469" w:rsidRPr="000322E4" w:rsidRDefault="00204469" w:rsidP="00F414BF">
            <w:pPr>
              <w:pStyle w:val="TableParagraph"/>
              <w:autoSpaceDE w:val="0"/>
              <w:ind w:right="768"/>
              <w:rPr>
                <w:rFonts w:ascii="Times New Roman" w:hAnsi="Times New Roman" w:cs="Times New Roman"/>
                <w:sz w:val="24"/>
                <w:szCs w:val="24"/>
                <w:lang w:val="ru-RU"/>
              </w:rPr>
            </w:pPr>
            <w:r w:rsidRPr="000322E4">
              <w:rPr>
                <w:rFonts w:ascii="Times New Roman" w:hAnsi="Times New Roman" w:cs="Times New Roman"/>
                <w:sz w:val="24"/>
                <w:szCs w:val="24"/>
                <w:lang w:val="ru-RU"/>
              </w:rPr>
              <w:t>Небольшие нарушения в пигментном</w:t>
            </w:r>
          </w:p>
          <w:p w14:paraId="75696B55" w14:textId="77777777" w:rsidR="00204469" w:rsidRPr="000322E4" w:rsidRDefault="00204469" w:rsidP="00F414BF">
            <w:pPr>
              <w:pStyle w:val="TableParagraph"/>
              <w:autoSpaceDE w:val="0"/>
              <w:ind w:right="122"/>
              <w:rPr>
                <w:rFonts w:ascii="Times New Roman" w:hAnsi="Times New Roman" w:cs="Times New Roman"/>
                <w:sz w:val="24"/>
                <w:szCs w:val="24"/>
                <w:lang w:val="ru-RU"/>
              </w:rPr>
            </w:pPr>
            <w:r w:rsidRPr="000322E4">
              <w:rPr>
                <w:rFonts w:ascii="Times New Roman" w:hAnsi="Times New Roman" w:cs="Times New Roman"/>
                <w:sz w:val="24"/>
                <w:szCs w:val="24"/>
                <w:lang w:val="ru-RU"/>
              </w:rPr>
              <w:t>эпителии сетчатки или норма</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14:paraId="68478261" w14:textId="77777777" w:rsidR="00204469" w:rsidRPr="000322E4" w:rsidRDefault="00204469" w:rsidP="00F414BF">
            <w:pPr>
              <w:pStyle w:val="TableParagraph"/>
              <w:autoSpaceDE w:val="0"/>
              <w:ind w:left="91" w:right="113"/>
              <w:rPr>
                <w:rFonts w:ascii="Times New Roman" w:hAnsi="Times New Roman" w:cs="Times New Roman"/>
                <w:sz w:val="24"/>
                <w:szCs w:val="24"/>
                <w:lang w:val="ru-RU"/>
              </w:rPr>
            </w:pPr>
            <w:r w:rsidRPr="000322E4">
              <w:rPr>
                <w:rFonts w:ascii="Times New Roman" w:hAnsi="Times New Roman" w:cs="Times New Roman"/>
                <w:sz w:val="24"/>
                <w:szCs w:val="24"/>
                <w:lang w:val="ru-RU"/>
              </w:rPr>
              <w:t>Негативный</w:t>
            </w:r>
          </w:p>
        </w:tc>
      </w:tr>
      <w:tr w:rsidR="00204469" w:rsidRPr="000322E4" w14:paraId="03ECEBBD" w14:textId="77777777" w:rsidTr="006B29A4">
        <w:trPr>
          <w:trHeight w:val="1790"/>
        </w:trPr>
        <w:tc>
          <w:tcPr>
            <w:tcW w:w="1988" w:type="dxa"/>
            <w:vMerge/>
            <w:tcBorders>
              <w:top w:val="single" w:sz="4" w:space="0" w:color="000000"/>
              <w:left w:val="single" w:sz="4" w:space="0" w:color="000000"/>
              <w:bottom w:val="single" w:sz="4" w:space="0" w:color="000000"/>
            </w:tcBorders>
            <w:shd w:val="clear" w:color="auto" w:fill="auto"/>
          </w:tcPr>
          <w:p w14:paraId="309CB9DE" w14:textId="77777777" w:rsidR="00204469" w:rsidRPr="000322E4" w:rsidRDefault="00204469" w:rsidP="00F414BF">
            <w:pPr>
              <w:widowControl w:val="0"/>
              <w:autoSpaceDE w:val="0"/>
              <w:snapToGrid w:val="0"/>
            </w:pPr>
          </w:p>
        </w:tc>
        <w:tc>
          <w:tcPr>
            <w:tcW w:w="1983" w:type="dxa"/>
            <w:tcBorders>
              <w:top w:val="single" w:sz="4" w:space="0" w:color="000000"/>
              <w:left w:val="single" w:sz="4" w:space="0" w:color="000000"/>
              <w:bottom w:val="single" w:sz="4" w:space="0" w:color="000000"/>
            </w:tcBorders>
            <w:shd w:val="clear" w:color="auto" w:fill="auto"/>
          </w:tcPr>
          <w:p w14:paraId="07933A77" w14:textId="77777777" w:rsidR="00204469" w:rsidRPr="000322E4" w:rsidRDefault="00204469" w:rsidP="00F414BF">
            <w:pPr>
              <w:pStyle w:val="TableParagraph"/>
              <w:autoSpaceDE w:val="0"/>
              <w:ind w:left="105" w:right="416"/>
              <w:rPr>
                <w:rFonts w:ascii="Times New Roman" w:hAnsi="Times New Roman" w:cs="Times New Roman"/>
                <w:sz w:val="24"/>
                <w:szCs w:val="24"/>
                <w:lang w:val="ru-RU"/>
              </w:rPr>
            </w:pPr>
            <w:r w:rsidRPr="000322E4">
              <w:rPr>
                <w:rFonts w:ascii="Times New Roman" w:hAnsi="Times New Roman" w:cs="Times New Roman"/>
                <w:sz w:val="24"/>
                <w:szCs w:val="24"/>
                <w:lang w:val="ru-RU"/>
              </w:rPr>
              <w:t>Нет накопления контраста</w:t>
            </w:r>
          </w:p>
        </w:tc>
        <w:tc>
          <w:tcPr>
            <w:tcW w:w="1844" w:type="dxa"/>
            <w:tcBorders>
              <w:top w:val="single" w:sz="4" w:space="0" w:color="000000"/>
              <w:left w:val="single" w:sz="4" w:space="0" w:color="000000"/>
              <w:bottom w:val="single" w:sz="4" w:space="0" w:color="000000"/>
            </w:tcBorders>
            <w:shd w:val="clear" w:color="auto" w:fill="auto"/>
          </w:tcPr>
          <w:p w14:paraId="36369F47" w14:textId="77777777" w:rsidR="00204469" w:rsidRPr="000322E4" w:rsidRDefault="00204469" w:rsidP="00F414BF">
            <w:pPr>
              <w:pStyle w:val="TableParagraph"/>
              <w:autoSpaceDE w:val="0"/>
              <w:ind w:right="687"/>
              <w:rPr>
                <w:rFonts w:ascii="Times New Roman" w:hAnsi="Times New Roman" w:cs="Times New Roman"/>
                <w:sz w:val="24"/>
                <w:szCs w:val="24"/>
                <w:lang w:val="ru-RU"/>
              </w:rPr>
            </w:pPr>
            <w:r w:rsidRPr="000322E4">
              <w:rPr>
                <w:rFonts w:ascii="Times New Roman" w:hAnsi="Times New Roman" w:cs="Times New Roman"/>
                <w:sz w:val="24"/>
                <w:szCs w:val="24"/>
                <w:lang w:val="ru-RU"/>
              </w:rPr>
              <w:t>Не имеет значения</w:t>
            </w:r>
          </w:p>
        </w:tc>
        <w:tc>
          <w:tcPr>
            <w:tcW w:w="2324" w:type="dxa"/>
            <w:tcBorders>
              <w:top w:val="single" w:sz="4" w:space="0" w:color="000000"/>
              <w:left w:val="single" w:sz="4" w:space="0" w:color="000000"/>
              <w:bottom w:val="single" w:sz="4" w:space="0" w:color="000000"/>
            </w:tcBorders>
            <w:shd w:val="clear" w:color="auto" w:fill="auto"/>
          </w:tcPr>
          <w:p w14:paraId="68893B89" w14:textId="77777777" w:rsidR="00204469" w:rsidRPr="000322E4" w:rsidRDefault="00204469" w:rsidP="00F414BF">
            <w:pPr>
              <w:pStyle w:val="TableParagraph"/>
              <w:autoSpaceDE w:val="0"/>
              <w:ind w:right="752"/>
              <w:rPr>
                <w:rFonts w:ascii="Times New Roman" w:hAnsi="Times New Roman" w:cs="Times New Roman"/>
                <w:sz w:val="24"/>
                <w:szCs w:val="24"/>
                <w:lang w:val="ru-RU"/>
              </w:rPr>
            </w:pPr>
            <w:r w:rsidRPr="000322E4">
              <w:rPr>
                <w:rFonts w:ascii="Times New Roman" w:hAnsi="Times New Roman" w:cs="Times New Roman"/>
                <w:sz w:val="24"/>
                <w:szCs w:val="24"/>
                <w:lang w:val="ru-RU"/>
              </w:rPr>
              <w:t>Уменьшение</w:t>
            </w:r>
            <w:r w:rsidRPr="000322E4">
              <w:rPr>
                <w:rFonts w:ascii="Times New Roman" w:hAnsi="Times New Roman" w:cs="Times New Roman"/>
                <w:w w:val="99"/>
                <w:sz w:val="24"/>
                <w:szCs w:val="24"/>
                <w:lang w:val="ru-RU"/>
              </w:rPr>
              <w:t xml:space="preserve"> </w:t>
            </w:r>
            <w:r w:rsidRPr="000322E4">
              <w:rPr>
                <w:rFonts w:ascii="Times New Roman" w:hAnsi="Times New Roman" w:cs="Times New Roman"/>
                <w:sz w:val="24"/>
                <w:szCs w:val="24"/>
                <w:lang w:val="ru-RU"/>
              </w:rPr>
              <w:t>клеток</w:t>
            </w:r>
            <w:r w:rsidRPr="000322E4">
              <w:rPr>
                <w:rFonts w:ascii="Times New Roman" w:hAnsi="Times New Roman" w:cs="Times New Roman"/>
                <w:spacing w:val="-1"/>
                <w:sz w:val="24"/>
                <w:szCs w:val="24"/>
                <w:lang w:val="ru-RU"/>
              </w:rPr>
              <w:t xml:space="preserve"> </w:t>
            </w:r>
            <w:r w:rsidRPr="000322E4">
              <w:rPr>
                <w:rFonts w:ascii="Times New Roman" w:hAnsi="Times New Roman" w:cs="Times New Roman"/>
                <w:sz w:val="24"/>
                <w:szCs w:val="24"/>
                <w:lang w:val="ru-RU"/>
              </w:rPr>
              <w:t>в</w:t>
            </w:r>
          </w:p>
          <w:p w14:paraId="73BDE151" w14:textId="77777777" w:rsidR="00204469" w:rsidRPr="000322E4" w:rsidRDefault="00204469" w:rsidP="00CA442F">
            <w:pPr>
              <w:pStyle w:val="TableParagraph"/>
              <w:autoSpaceDE w:val="0"/>
              <w:ind w:right="105"/>
              <w:rPr>
                <w:rFonts w:ascii="Times New Roman" w:hAnsi="Times New Roman" w:cs="Times New Roman"/>
                <w:sz w:val="24"/>
                <w:szCs w:val="24"/>
                <w:lang w:val="ru-RU"/>
              </w:rPr>
            </w:pPr>
            <w:r w:rsidRPr="000322E4">
              <w:rPr>
                <w:rFonts w:ascii="Times New Roman" w:hAnsi="Times New Roman" w:cs="Times New Roman"/>
                <w:sz w:val="24"/>
                <w:szCs w:val="24"/>
                <w:lang w:val="ru-RU"/>
              </w:rPr>
              <w:t>стекловидном</w:t>
            </w:r>
            <w:r w:rsidRPr="000322E4">
              <w:rPr>
                <w:rFonts w:ascii="Times New Roman" w:hAnsi="Times New Roman" w:cs="Times New Roman"/>
                <w:spacing w:val="-7"/>
                <w:sz w:val="24"/>
                <w:szCs w:val="24"/>
                <w:lang w:val="ru-RU"/>
              </w:rPr>
              <w:t xml:space="preserve"> </w:t>
            </w:r>
            <w:r w:rsidRPr="000322E4">
              <w:rPr>
                <w:rFonts w:ascii="Times New Roman" w:hAnsi="Times New Roman" w:cs="Times New Roman"/>
                <w:sz w:val="24"/>
                <w:szCs w:val="24"/>
                <w:lang w:val="ru-RU"/>
              </w:rPr>
              <w:t>теле или инфильтрации сетчатки</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14:paraId="5679C581" w14:textId="77777777" w:rsidR="00204469" w:rsidRPr="000322E4" w:rsidRDefault="00204469" w:rsidP="00F414BF">
            <w:pPr>
              <w:pStyle w:val="TableParagraph"/>
              <w:autoSpaceDE w:val="0"/>
              <w:ind w:right="160"/>
              <w:rPr>
                <w:rFonts w:ascii="Times New Roman" w:hAnsi="Times New Roman" w:cs="Times New Roman"/>
                <w:sz w:val="24"/>
                <w:szCs w:val="24"/>
                <w:lang w:val="ru-RU"/>
              </w:rPr>
            </w:pPr>
            <w:r w:rsidRPr="000322E4">
              <w:rPr>
                <w:rFonts w:ascii="Times New Roman" w:hAnsi="Times New Roman" w:cs="Times New Roman"/>
                <w:sz w:val="24"/>
                <w:szCs w:val="24"/>
                <w:lang w:val="ru-RU"/>
              </w:rPr>
              <w:t>Сохраняется патология или подозрение на</w:t>
            </w:r>
          </w:p>
          <w:p w14:paraId="189AC10E" w14:textId="77777777" w:rsidR="00204469" w:rsidRPr="000322E4" w:rsidRDefault="00204469" w:rsidP="00F414BF">
            <w:pPr>
              <w:pStyle w:val="TableParagraph"/>
              <w:autoSpaceDE w:val="0"/>
              <w:rPr>
                <w:rFonts w:ascii="Times New Roman" w:hAnsi="Times New Roman" w:cs="Times New Roman"/>
                <w:sz w:val="24"/>
                <w:szCs w:val="24"/>
                <w:lang w:val="ru-RU"/>
              </w:rPr>
            </w:pPr>
            <w:r w:rsidRPr="000322E4">
              <w:rPr>
                <w:rFonts w:ascii="Times New Roman" w:hAnsi="Times New Roman" w:cs="Times New Roman"/>
                <w:sz w:val="24"/>
                <w:szCs w:val="24"/>
                <w:lang w:val="ru-RU"/>
              </w:rPr>
              <w:t>патологию</w:t>
            </w:r>
          </w:p>
        </w:tc>
      </w:tr>
      <w:tr w:rsidR="00204469" w:rsidRPr="000322E4" w14:paraId="751CDD8E" w14:textId="77777777" w:rsidTr="006B29A4">
        <w:trPr>
          <w:trHeight w:val="1199"/>
        </w:trPr>
        <w:tc>
          <w:tcPr>
            <w:tcW w:w="1988" w:type="dxa"/>
            <w:tcBorders>
              <w:top w:val="single" w:sz="4" w:space="0" w:color="000000"/>
              <w:left w:val="single" w:sz="4" w:space="0" w:color="000000"/>
              <w:bottom w:val="single" w:sz="4" w:space="0" w:color="000000"/>
            </w:tcBorders>
            <w:shd w:val="clear" w:color="auto" w:fill="auto"/>
          </w:tcPr>
          <w:p w14:paraId="331C673C" w14:textId="77777777" w:rsidR="00204469" w:rsidRPr="000322E4" w:rsidRDefault="00204469" w:rsidP="00F414BF">
            <w:pPr>
              <w:pStyle w:val="TableParagraph"/>
              <w:autoSpaceDE w:val="0"/>
              <w:rPr>
                <w:rFonts w:ascii="Times New Roman" w:hAnsi="Times New Roman" w:cs="Times New Roman"/>
                <w:sz w:val="24"/>
                <w:szCs w:val="24"/>
                <w:lang w:val="ru-RU"/>
              </w:rPr>
            </w:pPr>
            <w:r w:rsidRPr="000322E4">
              <w:rPr>
                <w:rFonts w:ascii="Times New Roman" w:hAnsi="Times New Roman" w:cs="Times New Roman"/>
                <w:sz w:val="24"/>
                <w:szCs w:val="24"/>
                <w:lang w:val="ru-RU"/>
              </w:rPr>
              <w:lastRenderedPageBreak/>
              <w:t>Прогрессирова ние</w:t>
            </w:r>
          </w:p>
          <w:p w14:paraId="63B13DC4" w14:textId="77777777" w:rsidR="00204469" w:rsidRPr="000322E4" w:rsidRDefault="00204469" w:rsidP="00F414BF">
            <w:pPr>
              <w:pStyle w:val="TableParagraph"/>
              <w:autoSpaceDE w:val="0"/>
              <w:rPr>
                <w:rFonts w:ascii="Times New Roman" w:hAnsi="Times New Roman" w:cs="Times New Roman"/>
                <w:sz w:val="24"/>
                <w:szCs w:val="24"/>
                <w:lang w:val="ru-RU"/>
              </w:rPr>
            </w:pPr>
            <w:r w:rsidRPr="000322E4">
              <w:rPr>
                <w:rFonts w:ascii="Times New Roman" w:hAnsi="Times New Roman" w:cs="Times New Roman"/>
                <w:sz w:val="24"/>
                <w:szCs w:val="24"/>
                <w:lang w:val="ru-RU"/>
              </w:rPr>
              <w:t>заболевания</w:t>
            </w:r>
          </w:p>
        </w:tc>
        <w:tc>
          <w:tcPr>
            <w:tcW w:w="1983" w:type="dxa"/>
            <w:tcBorders>
              <w:top w:val="single" w:sz="4" w:space="0" w:color="000000"/>
              <w:left w:val="single" w:sz="4" w:space="0" w:color="000000"/>
              <w:bottom w:val="single" w:sz="4" w:space="0" w:color="000000"/>
            </w:tcBorders>
            <w:shd w:val="clear" w:color="auto" w:fill="auto"/>
          </w:tcPr>
          <w:p w14:paraId="219B614C" w14:textId="77777777" w:rsidR="00204469" w:rsidRPr="000322E4" w:rsidRDefault="006B29A4" w:rsidP="00F414BF">
            <w:pPr>
              <w:pStyle w:val="TableParagraph"/>
              <w:autoSpaceDE w:val="0"/>
              <w:ind w:right="416"/>
              <w:rPr>
                <w:rFonts w:ascii="Times New Roman" w:hAnsi="Times New Roman" w:cs="Times New Roman"/>
                <w:sz w:val="24"/>
                <w:szCs w:val="24"/>
                <w:lang w:val="ru-RU"/>
              </w:rPr>
            </w:pPr>
            <w:r w:rsidRPr="000322E4">
              <w:rPr>
                <w:rFonts w:ascii="Times New Roman" w:hAnsi="Times New Roman" w:cs="Times New Roman"/>
                <w:sz w:val="24"/>
                <w:szCs w:val="24"/>
                <w:lang w:val="ru-RU"/>
              </w:rPr>
              <w:t>Увеличение р</w:t>
            </w:r>
            <w:r w:rsidR="00204469" w:rsidRPr="000322E4">
              <w:rPr>
                <w:rFonts w:ascii="Times New Roman" w:hAnsi="Times New Roman" w:cs="Times New Roman"/>
                <w:sz w:val="24"/>
                <w:szCs w:val="24"/>
                <w:lang w:val="ru-RU"/>
              </w:rPr>
              <w:t>азмеров опухоли на 25%</w:t>
            </w:r>
          </w:p>
          <w:p w14:paraId="60F052F6" w14:textId="77777777" w:rsidR="00204469" w:rsidRPr="000322E4" w:rsidRDefault="00204469" w:rsidP="00F414BF">
            <w:pPr>
              <w:pStyle w:val="TableParagraph"/>
              <w:autoSpaceDE w:val="0"/>
              <w:ind w:left="105" w:right="416"/>
              <w:rPr>
                <w:rFonts w:ascii="Times New Roman" w:hAnsi="Times New Roman" w:cs="Times New Roman"/>
                <w:sz w:val="24"/>
                <w:szCs w:val="24"/>
                <w:lang w:val="ru-RU"/>
              </w:rPr>
            </w:pPr>
            <w:r w:rsidRPr="000322E4">
              <w:rPr>
                <w:rFonts w:ascii="Times New Roman" w:hAnsi="Times New Roman" w:cs="Times New Roman"/>
                <w:sz w:val="24"/>
                <w:szCs w:val="24"/>
                <w:lang w:val="ru-RU"/>
              </w:rPr>
              <w:t>Новые очаги заболевания (ЦНС или другие лок.)</w:t>
            </w:r>
          </w:p>
        </w:tc>
        <w:tc>
          <w:tcPr>
            <w:tcW w:w="1844" w:type="dxa"/>
            <w:tcBorders>
              <w:top w:val="single" w:sz="4" w:space="0" w:color="000000"/>
              <w:left w:val="single" w:sz="4" w:space="0" w:color="000000"/>
              <w:bottom w:val="single" w:sz="4" w:space="0" w:color="000000"/>
            </w:tcBorders>
            <w:shd w:val="clear" w:color="auto" w:fill="auto"/>
          </w:tcPr>
          <w:p w14:paraId="7EAB839A" w14:textId="77777777" w:rsidR="00204469" w:rsidRPr="000322E4" w:rsidRDefault="00204469" w:rsidP="00F414BF">
            <w:pPr>
              <w:pStyle w:val="TableParagraph"/>
              <w:autoSpaceDE w:val="0"/>
              <w:ind w:right="687"/>
              <w:rPr>
                <w:rFonts w:ascii="Times New Roman" w:hAnsi="Times New Roman" w:cs="Times New Roman"/>
                <w:sz w:val="24"/>
                <w:szCs w:val="24"/>
                <w:lang w:val="ru-RU"/>
              </w:rPr>
            </w:pPr>
            <w:r w:rsidRPr="000322E4">
              <w:rPr>
                <w:rFonts w:ascii="Times New Roman" w:hAnsi="Times New Roman" w:cs="Times New Roman"/>
                <w:sz w:val="24"/>
                <w:szCs w:val="24"/>
                <w:lang w:val="ru-RU"/>
              </w:rPr>
              <w:t>Не имеет значения</w:t>
            </w:r>
          </w:p>
        </w:tc>
        <w:tc>
          <w:tcPr>
            <w:tcW w:w="2324" w:type="dxa"/>
            <w:tcBorders>
              <w:top w:val="single" w:sz="4" w:space="0" w:color="000000"/>
              <w:left w:val="single" w:sz="4" w:space="0" w:color="000000"/>
              <w:bottom w:val="single" w:sz="4" w:space="0" w:color="000000"/>
            </w:tcBorders>
            <w:shd w:val="clear" w:color="auto" w:fill="auto"/>
          </w:tcPr>
          <w:p w14:paraId="14E49BCA" w14:textId="77777777" w:rsidR="00204469" w:rsidRPr="000322E4" w:rsidRDefault="00204469" w:rsidP="00F414BF">
            <w:pPr>
              <w:pStyle w:val="TableParagraph"/>
              <w:autoSpaceDE w:val="0"/>
              <w:ind w:right="76"/>
              <w:rPr>
                <w:rFonts w:ascii="Times New Roman" w:hAnsi="Times New Roman" w:cs="Times New Roman"/>
                <w:sz w:val="24"/>
                <w:szCs w:val="24"/>
                <w:lang w:val="ru-RU"/>
              </w:rPr>
            </w:pPr>
            <w:r w:rsidRPr="000322E4">
              <w:rPr>
                <w:rFonts w:ascii="Times New Roman" w:hAnsi="Times New Roman" w:cs="Times New Roman"/>
                <w:sz w:val="24"/>
                <w:szCs w:val="24"/>
                <w:lang w:val="ru-RU"/>
              </w:rPr>
              <w:t>Рецидив или новое поражение глаз</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14:paraId="21395D24" w14:textId="77777777" w:rsidR="00204469" w:rsidRPr="000322E4" w:rsidRDefault="00204469" w:rsidP="00F414BF">
            <w:pPr>
              <w:pStyle w:val="TableParagraph"/>
              <w:autoSpaceDE w:val="0"/>
              <w:ind w:right="167"/>
              <w:rPr>
                <w:rFonts w:ascii="Times New Roman" w:hAnsi="Times New Roman" w:cs="Times New Roman"/>
                <w:w w:val="95"/>
                <w:sz w:val="24"/>
                <w:szCs w:val="24"/>
                <w:lang w:val="ru-RU"/>
              </w:rPr>
            </w:pPr>
            <w:r w:rsidRPr="000322E4">
              <w:rPr>
                <w:rFonts w:ascii="Times New Roman" w:hAnsi="Times New Roman" w:cs="Times New Roman"/>
                <w:sz w:val="24"/>
                <w:szCs w:val="24"/>
                <w:lang w:val="ru-RU"/>
              </w:rPr>
              <w:t>Рецидив или появление принаков</w:t>
            </w:r>
            <w:r w:rsidR="006B29A4" w:rsidRPr="000322E4">
              <w:rPr>
                <w:rFonts w:ascii="Times New Roman" w:hAnsi="Times New Roman" w:cs="Times New Roman"/>
                <w:sz w:val="24"/>
                <w:szCs w:val="24"/>
                <w:lang w:val="ru-RU"/>
              </w:rPr>
              <w:t xml:space="preserve"> поражения</w:t>
            </w:r>
          </w:p>
          <w:p w14:paraId="30B6EFDE" w14:textId="77777777" w:rsidR="00204469" w:rsidRPr="000322E4" w:rsidRDefault="00204469" w:rsidP="00F414BF">
            <w:pPr>
              <w:pStyle w:val="TableParagraph"/>
              <w:autoSpaceDE w:val="0"/>
              <w:ind w:right="167"/>
              <w:rPr>
                <w:rFonts w:ascii="Times New Roman" w:hAnsi="Times New Roman" w:cs="Times New Roman"/>
                <w:sz w:val="24"/>
                <w:szCs w:val="24"/>
                <w:lang w:val="ru-RU"/>
              </w:rPr>
            </w:pPr>
          </w:p>
        </w:tc>
      </w:tr>
    </w:tbl>
    <w:p w14:paraId="6F6C7C7B" w14:textId="77777777" w:rsidR="00204469" w:rsidRPr="000322E4" w:rsidRDefault="00204469" w:rsidP="00F414BF">
      <w:pPr>
        <w:pStyle w:val="a3"/>
        <w:spacing w:after="0" w:line="360" w:lineRule="auto"/>
        <w:rPr>
          <w:iCs/>
          <w:szCs w:val="24"/>
        </w:rPr>
      </w:pPr>
      <w:r w:rsidRPr="000322E4">
        <w:rPr>
          <w:iCs/>
          <w:szCs w:val="24"/>
        </w:rPr>
        <w:t>Следует отметить, что на момент установления полного ответа пациент не должен принимать какие-либо</w:t>
      </w:r>
      <w:r w:rsidR="005C347F">
        <w:rPr>
          <w:iCs/>
          <w:szCs w:val="24"/>
        </w:rPr>
        <w:t xml:space="preserve"> кортикостероиды для системного применения</w:t>
      </w:r>
      <w:r w:rsidRPr="000322E4">
        <w:rPr>
          <w:iCs/>
          <w:szCs w:val="24"/>
        </w:rPr>
        <w:t xml:space="preserve"> в течение двух недель. Редкие исключения возможны в случае</w:t>
      </w:r>
      <w:r w:rsidR="006B29A4" w:rsidRPr="000322E4">
        <w:rPr>
          <w:iCs/>
          <w:szCs w:val="24"/>
        </w:rPr>
        <w:t>,</w:t>
      </w:r>
      <w:r w:rsidRPr="000322E4">
        <w:rPr>
          <w:iCs/>
          <w:szCs w:val="24"/>
        </w:rPr>
        <w:t xml:space="preserve"> если пациент получает</w:t>
      </w:r>
      <w:r w:rsidR="005C347F">
        <w:rPr>
          <w:iCs/>
          <w:szCs w:val="24"/>
        </w:rPr>
        <w:t xml:space="preserve"> кортикостероиды для системного применения</w:t>
      </w:r>
      <w:r w:rsidRPr="000322E4">
        <w:rPr>
          <w:iCs/>
          <w:szCs w:val="24"/>
        </w:rPr>
        <w:t xml:space="preserve"> в связи с другим заболеванием (например, пангипопитуитаризм). Повторное офтальмологическое обследование не требуется у пациентов без признаков окулярной лимфомы исходно или без развития окулярных симптомов в последующий период. Пациентам без значительных патологических изменений состава цереброспинальной жидкости в исходном периоде не требуется проведение анализа цереброспинальной жидкости повторно при условии отсутствия отсроченных симптомов лептоменингиальной</w:t>
      </w:r>
      <w:r w:rsidRPr="000322E4">
        <w:rPr>
          <w:iCs/>
          <w:spacing w:val="-13"/>
          <w:szCs w:val="24"/>
        </w:rPr>
        <w:t xml:space="preserve"> </w:t>
      </w:r>
      <w:r w:rsidRPr="000322E4">
        <w:rPr>
          <w:iCs/>
          <w:szCs w:val="24"/>
        </w:rPr>
        <w:t>диссеминации.</w:t>
      </w:r>
    </w:p>
    <w:p w14:paraId="0CCCBAEC" w14:textId="77777777" w:rsidR="00135B14" w:rsidRDefault="00135B14" w:rsidP="00F414BF">
      <w:pPr>
        <w:pStyle w:val="2"/>
        <w:spacing w:before="0"/>
      </w:pPr>
    </w:p>
    <w:p w14:paraId="2FF06A1A" w14:textId="070603CE" w:rsidR="005E0767" w:rsidRPr="000322E4" w:rsidRDefault="005E0767" w:rsidP="00F414BF">
      <w:pPr>
        <w:pStyle w:val="2"/>
        <w:spacing w:before="0"/>
      </w:pPr>
      <w:bookmarkStart w:id="60" w:name="_Toc66096841"/>
      <w:r w:rsidRPr="000322E4">
        <w:t xml:space="preserve">7.7 Лучевая терапия при </w:t>
      </w:r>
      <w:r w:rsidR="00D41707" w:rsidRPr="000322E4">
        <w:t>ДВКЛ</w:t>
      </w:r>
      <w:bookmarkEnd w:id="60"/>
    </w:p>
    <w:p w14:paraId="3523452E" w14:textId="77777777" w:rsidR="00D41707" w:rsidRPr="000322E4" w:rsidRDefault="00D41707" w:rsidP="00F414BF">
      <w:pPr>
        <w:rPr>
          <w:iCs/>
        </w:rPr>
      </w:pPr>
      <w:r w:rsidRPr="000322E4">
        <w:rPr>
          <w:iCs/>
        </w:rPr>
        <w:t xml:space="preserve">Лучевая терапия у первичных </w:t>
      </w:r>
      <w:r w:rsidR="00103620" w:rsidRPr="000322E4">
        <w:rPr>
          <w:iCs/>
        </w:rPr>
        <w:t xml:space="preserve">пациентов с </w:t>
      </w:r>
      <w:r w:rsidRPr="000322E4">
        <w:rPr>
          <w:iCs/>
        </w:rPr>
        <w:t>ДВККЛ является, как правило, компонентом комбинированного иммуно-химиолучевого лечения, используется с целью консолидации ремиссии, достигнутой в результате проведения лекарственной терапии. Параметры лучевой терапии определяются в зависимости от первичной распространенности процесса – поражения лимфатических узлов, вовлечения и локализации экстранодальных очагов, объема остаточной опухоли.  Объем облучения ограничен чаще всего исходно визуализируемыми лимфатическими узлами и экстранодальными очагами (</w:t>
      </w:r>
      <w:r w:rsidRPr="000322E4">
        <w:rPr>
          <w:b/>
          <w:iCs/>
          <w:lang w:val="en-US"/>
        </w:rPr>
        <w:t>involved</w:t>
      </w:r>
      <w:r w:rsidRPr="000322E4">
        <w:rPr>
          <w:b/>
          <w:iCs/>
        </w:rPr>
        <w:t xml:space="preserve"> </w:t>
      </w:r>
      <w:r w:rsidRPr="000322E4">
        <w:rPr>
          <w:b/>
          <w:iCs/>
          <w:lang w:val="en-US"/>
        </w:rPr>
        <w:t>sites</w:t>
      </w:r>
      <w:r w:rsidRPr="000322E4">
        <w:rPr>
          <w:iCs/>
        </w:rPr>
        <w:t>). Определение исходных очагов поражения должно осуществляться с использованием контрастируемой компьютерной томографии, позитронно-эмиссионной томографии. Данные исследования должны проводиться и после завершения медикаментозного лечения для определения объема и СОД предстоящего облучения. Используемая в настоящее время технология планирования (3Д, 4Д) позволяет более точно определять границы опухоли и, соответственно, уменьшать размеры полей облучения.</w:t>
      </w:r>
    </w:p>
    <w:p w14:paraId="2521D878" w14:textId="77777777" w:rsidR="00D41707" w:rsidRPr="000322E4" w:rsidRDefault="00D41707" w:rsidP="00F414BF">
      <w:pPr>
        <w:rPr>
          <w:iCs/>
        </w:rPr>
      </w:pPr>
      <w:r w:rsidRPr="000322E4">
        <w:rPr>
          <w:iCs/>
        </w:rPr>
        <w:t xml:space="preserve">При ДВКЛ </w:t>
      </w:r>
      <w:r w:rsidRPr="000322E4">
        <w:rPr>
          <w:iCs/>
          <w:lang w:val="en-US"/>
        </w:rPr>
        <w:t>I</w:t>
      </w:r>
      <w:r w:rsidRPr="000322E4">
        <w:rPr>
          <w:iCs/>
        </w:rPr>
        <w:t xml:space="preserve">, </w:t>
      </w:r>
      <w:r w:rsidRPr="000322E4">
        <w:rPr>
          <w:iCs/>
          <w:lang w:val="en-US"/>
        </w:rPr>
        <w:t>II</w:t>
      </w:r>
      <w:r w:rsidRPr="000322E4">
        <w:rPr>
          <w:iCs/>
        </w:rPr>
        <w:t xml:space="preserve">, </w:t>
      </w:r>
      <w:r w:rsidRPr="000322E4">
        <w:rPr>
          <w:iCs/>
          <w:lang w:val="en-US"/>
        </w:rPr>
        <w:t>III</w:t>
      </w:r>
      <w:r w:rsidRPr="000322E4">
        <w:rPr>
          <w:iCs/>
        </w:rPr>
        <w:t xml:space="preserve"> </w:t>
      </w:r>
      <w:r w:rsidRPr="000322E4">
        <w:rPr>
          <w:iCs/>
          <w:lang w:val="en-US"/>
        </w:rPr>
        <w:t>c</w:t>
      </w:r>
      <w:r w:rsidRPr="000322E4">
        <w:rPr>
          <w:iCs/>
        </w:rPr>
        <w:t xml:space="preserve">тадий, когда поражение ограничено лимфатическими узлами, а лучевая терапия используется для консолидации ремиссии, целесообразно применение объема </w:t>
      </w:r>
      <w:r w:rsidRPr="000322E4">
        <w:rPr>
          <w:iCs/>
        </w:rPr>
        <w:lastRenderedPageBreak/>
        <w:t>облучения вовлеченных мест (</w:t>
      </w:r>
      <w:r w:rsidRPr="000322E4">
        <w:rPr>
          <w:b/>
          <w:iCs/>
          <w:lang w:val="en-US"/>
        </w:rPr>
        <w:t>ISRT</w:t>
      </w:r>
      <w:r w:rsidRPr="000322E4">
        <w:rPr>
          <w:iCs/>
        </w:rPr>
        <w:t xml:space="preserve">). При отсутствии полной регрессии опухоли может быть использовано дополнительно локальное облучение (“буст”). При планировании облучения медицинским физиком должны быть рассчитаны </w:t>
      </w:r>
      <w:r w:rsidRPr="000322E4">
        <w:rPr>
          <w:b/>
          <w:iCs/>
        </w:rPr>
        <w:t xml:space="preserve">гистограмма "доза-объем" </w:t>
      </w:r>
      <w:r w:rsidRPr="000322E4">
        <w:rPr>
          <w:iCs/>
        </w:rPr>
        <w:t>и вероятность осложнений со стороны нормальных тканей, которые должны быть учтены радиотерапевтом при принятии окончательного плана облучения.</w:t>
      </w:r>
    </w:p>
    <w:p w14:paraId="1E7A3682" w14:textId="77777777" w:rsidR="00D41707" w:rsidRPr="000322E4" w:rsidRDefault="00D41707" w:rsidP="00F414BF">
      <w:r w:rsidRPr="000322E4">
        <w:rPr>
          <w:iCs/>
        </w:rPr>
        <w:t xml:space="preserve">Дистанционную лучевую терапию целесообразно осуществлять на линейном ускорителе электронов. </w:t>
      </w:r>
      <w:r w:rsidRPr="000322E4">
        <w:rPr>
          <w:b/>
          <w:iCs/>
        </w:rPr>
        <w:t>Режим облучения</w:t>
      </w:r>
      <w:r w:rsidRPr="000322E4">
        <w:rPr>
          <w:iCs/>
        </w:rPr>
        <w:t xml:space="preserve"> - традиционный, один раз в день, 5 раз в неделю. Разовая очаговая доза – 1,8-2,0 Гр. Суммарная очаговая доза, как правило, 30 Гр.</w:t>
      </w:r>
    </w:p>
    <w:p w14:paraId="5189D492" w14:textId="5028CB79" w:rsidR="00D41707" w:rsidRDefault="00D41707" w:rsidP="00CA442F">
      <w:pPr>
        <w:pStyle w:val="afd"/>
        <w:spacing w:beforeAutospacing="0" w:afterAutospacing="0" w:line="360" w:lineRule="auto"/>
        <w:rPr>
          <w:rFonts w:eastAsiaTheme="minorHAnsi" w:cstheme="minorBidi"/>
          <w:iCs/>
          <w:lang w:eastAsia="en-US"/>
        </w:rPr>
      </w:pPr>
      <w:r w:rsidRPr="000322E4">
        <w:rPr>
          <w:rFonts w:eastAsiaTheme="minorHAnsi" w:cstheme="minorBidi"/>
          <w:iCs/>
          <w:lang w:eastAsia="en-US"/>
        </w:rPr>
        <w:t>Лучевую терапию следует начинать через 2-4 недели после завершения иммунохимио- или химиотерапии.</w:t>
      </w:r>
    </w:p>
    <w:p w14:paraId="4812C177" w14:textId="2E31C329" w:rsidR="00F543FD" w:rsidRDefault="00F543FD" w:rsidP="00CA442F">
      <w:pPr>
        <w:pStyle w:val="afd"/>
        <w:spacing w:beforeAutospacing="0" w:afterAutospacing="0" w:line="360" w:lineRule="auto"/>
        <w:rPr>
          <w:rFonts w:eastAsiaTheme="minorHAnsi" w:cstheme="minorBidi"/>
          <w:iCs/>
          <w:lang w:eastAsia="en-US"/>
        </w:rPr>
      </w:pPr>
    </w:p>
    <w:p w14:paraId="1BDD71C1" w14:textId="06C28A8A" w:rsidR="00C93F08" w:rsidRPr="00F01546" w:rsidRDefault="00F543FD" w:rsidP="00C93F08">
      <w:pPr>
        <w:pStyle w:val="2"/>
        <w:spacing w:before="0"/>
      </w:pPr>
      <w:bookmarkStart w:id="61" w:name="_Toc66096842"/>
      <w:r w:rsidRPr="000322E4">
        <w:t>7.</w:t>
      </w:r>
      <w:r>
        <w:t xml:space="preserve">8 </w:t>
      </w:r>
      <w:bookmarkStart w:id="62" w:name="_Toc535849606"/>
      <w:bookmarkStart w:id="63" w:name="_Toc64295956"/>
      <w:bookmarkStart w:id="64" w:name="_Toc64479212"/>
      <w:bookmarkStart w:id="65" w:name="_Toc11747750"/>
      <w:bookmarkStart w:id="66" w:name="_Toc24572135"/>
      <w:r w:rsidR="00C93F08" w:rsidRPr="00F01546">
        <w:rPr>
          <w:lang w:eastAsia="ru-RU"/>
        </w:rPr>
        <w:t>Профилактика и лечение синдрома лизиса опухоли</w:t>
      </w:r>
      <w:bookmarkEnd w:id="62"/>
      <w:r w:rsidR="00C93F08" w:rsidRPr="00F01546">
        <w:rPr>
          <w:lang w:eastAsia="ru-RU"/>
        </w:rPr>
        <w:t>.</w:t>
      </w:r>
      <w:bookmarkEnd w:id="61"/>
      <w:bookmarkEnd w:id="63"/>
      <w:bookmarkEnd w:id="64"/>
    </w:p>
    <w:p w14:paraId="1961AB65" w14:textId="62F9D67A" w:rsidR="00C93F08" w:rsidRDefault="00C93F08" w:rsidP="00C93F08">
      <w:pPr>
        <w:ind w:firstLine="709"/>
      </w:pPr>
      <w:r w:rsidRPr="0042150C">
        <w:t xml:space="preserve">Синдром лизиса опухоли (СЛО) </w:t>
      </w:r>
      <w:r>
        <w:t>–</w:t>
      </w:r>
      <w:r w:rsidRPr="0042150C">
        <w:t xml:space="preserve"> сложный патогенетический комплекс, включающий электролитные, метаболические нарушения и мочекислую канальцевую нефропатию, приводящую к развитию острой почечной недостаточности (ОПН)</w:t>
      </w:r>
      <w:r>
        <w:t xml:space="preserve"> </w:t>
      </w:r>
      <w:r>
        <w:fldChar w:fldCharType="begin" w:fldLock="1"/>
      </w:r>
      <w:r w:rsidR="00A61993">
        <w:instrText>ADDIN CSL_CITATION {"citationItems":[{"id":"ITEM-1","itemData":{"DOI":"10.1056/nejmra0904569","ISSN":"0028-4793","PMID":"21561350","abstract":"null ","author":[{"dropping-particle":"","family":"Howard","given":"Scott C.","non-dropping-particle":"","parse-names":false,"suffix":""},{"dropping-particle":"","family":"Jones","given":"Deborah P.","non-dropping-particle":"","parse-names":false,"suffix":""},{"dropping-particle":"","family":"Pui","given":"Ching-Hon","non-dropping-particle":"","parse-names":false,"suffix":""}],"container-title":"New England Journal of Medicine","id":"ITEM-1","issue":"19","issued":{"date-parts":[["2011","5","12"]]},"page":"1844-1854","publisher":"Massachusetts Medical Society","title":"The Tumor Lysis Syndrome","type":"article-journal","volume":"364"},"uris":["http://www.mendeley.com/documents/?uuid=a5435bb5-403c-3a24-b788-b35845755e8d"]},{"id":"ITEM-2","itemData":{"DOI":"10.1053/j.ackd.2013.07.001","ISSN":"15485595","PMID":"24359983","abstract":"Tumor lysis syndrome (TLS) is an oncologic emergency triggered by the rapid release of intracellular material from lysing malignant cells. Most common in rapidly growing hematologic malignancies, TLS has been reported in virtually every cancer type. Central to its pathogenesis is the rapid accumulation of uric acid derived from the breakdown of nucleic acids, which leads to kidney failure by various mechanisms. Kidney failure then limits the clearance of potassium, phosphorus, and uric acid leading to hyperkalemia, hyperphosphatemia, and secondary hypocalcemia, which can be fatal. Prevention of TLS may be more effective than treatment, and identification of at-risk individuals in whom to target preventative efforts remains a key research area. Herein, we discuss the pathophysiology, epidemiology, and treatment of TLS with an emphasis on the kidney manifestations of the disease. © 2014 National Kidney Foundation, Inc.","author":[{"dropping-particle":"","family":"Wilson","given":"F. Perry","non-dropping-particle":"","parse-names":false,"suffix":""},{"dropping-particle":"","family":"Berns","given":"Jeffrey S.","non-dropping-particle":"","parse-names":false,"suffix":""}],"container-title":"Advances in Chronic Kidney Disease","id":"ITEM-2","issue":"1","issued":{"date-parts":[["2014","1"]]},"page":"18-26","publisher":"Adv Chronic Kidney Dis","title":"Tumor Lysis Syndrome: New Challenges and Recent Advances","type":"article","volume":"21"},"uris":["http://www.mendeley.com/documents/?uuid=ceb08bff-6150-32da-b806-c391fc05904e"]}],"mendeley":{"formattedCitation":"[126,127]","plainTextFormattedCitation":"[126,127]","previouslyFormattedCitation":"[126,127]"},"properties":{"noteIndex":0},"schema":"https://github.com/citation-style-language/schema/raw/master/csl-citation.json"}</w:instrText>
      </w:r>
      <w:r>
        <w:fldChar w:fldCharType="separate"/>
      </w:r>
      <w:r w:rsidR="00514D9A" w:rsidRPr="00514D9A">
        <w:rPr>
          <w:noProof/>
        </w:rPr>
        <w:t>[126,127]</w:t>
      </w:r>
      <w:r>
        <w:fldChar w:fldCharType="end"/>
      </w:r>
      <w:r w:rsidRPr="0042150C">
        <w:t xml:space="preserve">. При массивном распаде опухолевых клеток происходит высвобождение калия, фосфора, продуктов распада пуринов (ксантина, гипоксантина и мочевой кислоты), что приводит к развитию гиперкалиемии, гиперурикемии, гиперфосфатемии, гипокальциемии, возникновению и прогрессированию метаболического ацидоза. </w:t>
      </w:r>
    </w:p>
    <w:p w14:paraId="52F8F098" w14:textId="77777777" w:rsidR="00C93F08" w:rsidRDefault="00C93F08" w:rsidP="00C93F08">
      <w:pPr>
        <w:ind w:firstLine="709"/>
      </w:pPr>
      <w:r w:rsidRPr="0042150C">
        <w:t>К факторам риска развития СЛО относятся</w:t>
      </w:r>
      <w:r>
        <w:t xml:space="preserve"> </w:t>
      </w:r>
      <w:r w:rsidRPr="0042150C">
        <w:t>большая опухолевая масса, ЛДГ &gt;1500 Е</w:t>
      </w:r>
      <w:r>
        <w:t>д</w:t>
      </w:r>
      <w:r w:rsidRPr="0042150C">
        <w:t xml:space="preserve">/л и опухолевое поражение костного мозга. </w:t>
      </w:r>
      <w:r w:rsidRPr="00513312">
        <w:t>СЛО наиболее часто возникает при острых лейкозах с гиперлейкоцитозом и при лимфомах с гиперлейкоцитозом и/или большим объемом опухоли («</w:t>
      </w:r>
      <w:r w:rsidRPr="00513312">
        <w:rPr>
          <w:lang w:val="en-US"/>
        </w:rPr>
        <w:t>bulky</w:t>
      </w:r>
      <w:r w:rsidRPr="00513312">
        <w:t>»), реже при хронических лейкозах в случае гиперлейкоцитоза с числом лейкоцитов в крови свыше 200</w:t>
      </w:r>
      <w:r w:rsidRPr="00513312">
        <w:rPr>
          <w:rFonts w:ascii="Arial" w:hAnsi="Arial" w:cs="Arial"/>
        </w:rPr>
        <w:t xml:space="preserve"> </w:t>
      </w:r>
      <w:r w:rsidRPr="00513312">
        <w:t>х10</w:t>
      </w:r>
      <w:r w:rsidRPr="00513312">
        <w:rPr>
          <w:vertAlign w:val="superscript"/>
        </w:rPr>
        <w:t>9</w:t>
      </w:r>
      <w:r w:rsidRPr="00513312">
        <w:t>/л.</w:t>
      </w:r>
    </w:p>
    <w:p w14:paraId="3332EC2F" w14:textId="77777777" w:rsidR="00C93F08" w:rsidRPr="0042150C" w:rsidRDefault="00C93F08" w:rsidP="00C93F08">
      <w:pPr>
        <w:ind w:firstLine="709"/>
      </w:pPr>
      <w:r w:rsidRPr="0042150C">
        <w:t xml:space="preserve">СЛО может развиться как на фоне начала использования химиотерапии, так и спонтанно, что объясняется не только высокой чувствительностью к химиотерапии и пролиферативной активностью опухолевых клеток, но и их повышенной способностью к апоптозу. </w:t>
      </w:r>
    </w:p>
    <w:p w14:paraId="439B8F4E" w14:textId="386CE2DE" w:rsidR="00C93F08" w:rsidRPr="0042150C" w:rsidRDefault="00C93F08" w:rsidP="00C93F08">
      <w:pPr>
        <w:ind w:firstLine="709"/>
      </w:pPr>
      <w:r w:rsidRPr="0042150C">
        <w:t>Гиперкалиемия является наибол</w:t>
      </w:r>
      <w:r>
        <w:t xml:space="preserve">ее тяжелым и опасным проявлением </w:t>
      </w:r>
      <w:r w:rsidRPr="0042150C">
        <w:t>СЛО и развивается, как правило, на 1-3 сутки химиотерапии</w:t>
      </w:r>
      <w:r w:rsidRPr="00893119">
        <w:t xml:space="preserve"> </w:t>
      </w:r>
      <w:r>
        <w:t xml:space="preserve"> </w:t>
      </w:r>
      <w:r>
        <w:fldChar w:fldCharType="begin" w:fldLock="1"/>
      </w:r>
      <w:r w:rsidR="00A61993">
        <w:instrText>ADDIN CSL_CITATION {"citationItems":[{"id":"ITEM-1","itemData":{"DOI":"10.1056/nejmra0904569","ISSN":"0028-4793","PMID":"21561350","abstract":"null ","author":[{"dropping-particle":"","family":"Howard","given":"Scott C.","non-dropping-particle":"","parse-names":false,"suffix":""},{"dropping-particle":"","family":"Jones","given":"Deborah P.","non-dropping-particle":"","parse-names":false,"suffix":""},{"dropping-particle":"","family":"Pui","given":"Ching-Hon","non-dropping-particle":"","parse-names":false,"suffix":""}],"container-title":"New England Journal of Medicine","id":"ITEM-1","issue":"19","issued":{"date-parts":[["2011","5","12"]]},"page":"1844-1854","publisher":"Massachusetts Medical Society","title":"The Tumor Lysis Syndrome","type":"article-journal","volume":"364"},"uris":["http://www.mendeley.com/documents/?uuid=a5435bb5-403c-3a24-b788-b35845755e8d"]},{"id":"ITEM-2","itemData":{"DOI":"10.1053/j.ackd.2013.07.001","ISSN":"15485595","PMID":"24359983","abstract":"Tumor lysis syndrome (TLS) is an oncologic emergency triggered by the rapid release of intracellular material from lysing malignant cells. Most common in rapidly growing hematologic malignancies, TLS has been reported in virtually every cancer type. Central to its pathogenesis is the rapid accumulation of uric acid derived from the breakdown of nucleic acids, which leads to kidney failure by various mechanisms. Kidney failure then limits the clearance of potassium, phosphorus, and uric acid leading to hyperkalemia, hyperphosphatemia, and secondary hypocalcemia, which can be fatal. Prevention of TLS may be more effective than treatment, and identification of at-risk individuals in whom to target preventative efforts remains a key research area. Herein, we discuss the pathophysiology, epidemiology, and treatment of TLS with an emphasis on the kidney manifestations of the disease. © 2014 National Kidney Foundation, Inc.","author":[{"dropping-particle":"","family":"Wilson","given":"F. Perry","non-dropping-particle":"","parse-names":false,"suffix":""},{"dropping-particle":"","family":"Berns","given":"Jeffrey S.","non-dropping-particle":"","parse-names":false,"suffix":""}],"container-title":"Advances in Chronic Kidney Disease","id":"ITEM-2","issue":"1","issued":{"date-parts":[["2014","1"]]},"page":"18-26","publisher":"Adv Chronic Kidney Dis","title":"Tumor Lysis Syndrome: New Challenges and Recent Advances","type":"article","volume":"21"},"uris":["http://www.mendeley.com/documents/?uuid=ceb08bff-6150-32da-b806-c391fc05904e"]}],"mendeley":{"formattedCitation":"[126,127]","plainTextFormattedCitation":"[126,127]","previouslyFormattedCitation":"[126,127]"},"properties":{"noteIndex":0},"schema":"https://github.com/citation-style-language/schema/raw/master/csl-citation.json"}</w:instrText>
      </w:r>
      <w:r>
        <w:fldChar w:fldCharType="separate"/>
      </w:r>
      <w:r w:rsidR="00514D9A" w:rsidRPr="00514D9A">
        <w:rPr>
          <w:noProof/>
        </w:rPr>
        <w:t>[126,127]</w:t>
      </w:r>
      <w:r>
        <w:fldChar w:fldCharType="end"/>
      </w:r>
      <w:r w:rsidRPr="0042150C">
        <w:t>. Известно, что 98% от общего количества калия в организме располагается внутриклеточно, поскольку под действием Na</w:t>
      </w:r>
      <w:r>
        <w:t>/</w:t>
      </w:r>
      <w:r w:rsidRPr="0042150C">
        <w:t>K-АТФазы в плазматической мембране происходит активный перенос калия внутрь клетки. При распаде опухолевых клеток весь внутриклеточный калий перемещается в межклеточное пространство и затем в кров</w:t>
      </w:r>
      <w:r>
        <w:t>еносное</w:t>
      </w:r>
      <w:r w:rsidRPr="0042150C">
        <w:t xml:space="preserve"> русло. Возникает гиперкалиемия, клинически проявляющаяся резкой мышечной слабостью, анорексией, диареей, тошнотой, </w:t>
      </w:r>
      <w:r w:rsidRPr="0042150C">
        <w:lastRenderedPageBreak/>
        <w:t>рвотой, парестезиями. Критическая гиперкалиемия (&gt;6-7 ммоль/л) приводит к нарушению проводимости и ритма сердца с возможной остановкой сердечной деятельности. При умеренной гиперкалиемии на электрокардиограмме выявляются высокий зубец Т с заостренной вершиной и узким основанием, наиболее выраженный в грудных отведениях V2-V4. При нарастании гиперкалиемии амплитуда зубца Р снижается, интервал Р-R удлиняется, а затем зубец Р исчезает совсем. Комплекс QRS расширяется и деформируется, как при блокаде ножек пучка Гиса. Появляется желудочковая тахикардия, фибрилляция желудочков и, наконец, в конечной стадии – желудочковая асистолия. При специфическом поражении почек, хронических заболеваниях по</w:t>
      </w:r>
      <w:r>
        <w:t>чек, ОПН, ацидозе гиперкалиемия</w:t>
      </w:r>
      <w:r w:rsidRPr="00A60D57">
        <w:t>,</w:t>
      </w:r>
      <w:r>
        <w:t xml:space="preserve"> как проявление СЛО</w:t>
      </w:r>
      <w:r w:rsidRPr="00DA3450">
        <w:t>,</w:t>
      </w:r>
      <w:r w:rsidRPr="0042150C">
        <w:t xml:space="preserve"> развивается быстрее и корригируется труднее. </w:t>
      </w:r>
    </w:p>
    <w:p w14:paraId="41D58112" w14:textId="51A9F418" w:rsidR="00C93F08" w:rsidRPr="0042150C" w:rsidRDefault="00C93F08" w:rsidP="00C93F08">
      <w:pPr>
        <w:ind w:firstLine="709"/>
      </w:pPr>
      <w:r w:rsidRPr="0042150C">
        <w:t xml:space="preserve">Гиперурикемия развивается при высокочувствительных к лекарственной терапии опухолях в первые сутки химиотерапии при быстром уменьшении размеров опухолевых очагов с массивным распадом опухолевых клеток. Опухолевая активность и ускоренный внутриклеточный обмен обусловливают повышенное </w:t>
      </w:r>
      <w:r>
        <w:t xml:space="preserve">внутриклеточное </w:t>
      </w:r>
      <w:r w:rsidRPr="0042150C">
        <w:t xml:space="preserve">содержание метаболитов нуклеиновых кислот – пуриновых оснований (ксантина и гипоксантина), которые под действием ксантинооксидазы превращаются в мочевую кислоту. При разрушении клеток ее содержание в крови резко возрастает и может достигать 18 г/сут (в норме 2 г/сут). Мочевая кислота выпадает в осадок в гломерулярном аппарате почек (канальцы первого порядка, где кислая </w:t>
      </w:r>
      <w:r>
        <w:rPr>
          <w:lang w:val="en-US"/>
        </w:rPr>
        <w:t>pH</w:t>
      </w:r>
      <w:r w:rsidRPr="0042150C">
        <w:t xml:space="preserve"> мочи), развивается мочекислая нефропатия и ОПН. Основными патогенетическими механизмами в формировании ОПН являются мочекислая нефропатия и гиповолемия (кислая среда, повышенное содержание мочевой кислоты на фоне дефицита жидкости приводит к ее отложению в виде кристаллов в мочевых путях с последующим развитием ОПН)</w:t>
      </w:r>
      <w:r w:rsidRPr="00893119">
        <w:t xml:space="preserve"> </w:t>
      </w:r>
      <w:r>
        <w:fldChar w:fldCharType="begin" w:fldLock="1"/>
      </w:r>
      <w:r w:rsidR="00A61993">
        <w:instrText>ADDIN CSL_CITATION {"citationItems":[{"id":"ITEM-1","itemData":{"DOI":"10.1056/nejmra0904569","ISSN":"0028-4793","PMID":"21561350","abstract":"null ","author":[{"dropping-particle":"","family":"Howard","given":"Scott C.","non-dropping-particle":"","parse-names":false,"suffix":""},{"dropping-particle":"","family":"Jones","given":"Deborah P.","non-dropping-particle":"","parse-names":false,"suffix":""},{"dropping-particle":"","family":"Pui","given":"Ching-Hon","non-dropping-particle":"","parse-names":false,"suffix":""}],"container-title":"New England Journal of Medicine","id":"ITEM-1","issue":"19","issued":{"date-parts":[["2011","5","12"]]},"page":"1844-1854","publisher":"Massachusetts Medical Society","title":"The Tumor Lysis Syndrome","type":"article-journal","volume":"364"},"uris":["http://www.mendeley.com/documents/?uuid=a5435bb5-403c-3a24-b788-b35845755e8d"]},{"id":"ITEM-2","itemData":{"DOI":"10.1053/j.ackd.2013.07.001","ISSN":"15485595","PMID":"24359983","abstract":"Tumor lysis syndrome (TLS) is an oncologic emergency triggered by the rapid release of intracellular material from lysing malignant cells. Most common in rapidly growing hematologic malignancies, TLS has been reported in virtually every cancer type. Central to its pathogenesis is the rapid accumulation of uric acid derived from the breakdown of nucleic acids, which leads to kidney failure by various mechanisms. Kidney failure then limits the clearance of potassium, phosphorus, and uric acid leading to hyperkalemia, hyperphosphatemia, and secondary hypocalcemia, which can be fatal. Prevention of TLS may be more effective than treatment, and identification of at-risk individuals in whom to target preventative efforts remains a key research area. Herein, we discuss the pathophysiology, epidemiology, and treatment of TLS with an emphasis on the kidney manifestations of the disease. © 2014 National Kidney Foundation, Inc.","author":[{"dropping-particle":"","family":"Wilson","given":"F. Perry","non-dropping-particle":"","parse-names":false,"suffix":""},{"dropping-particle":"","family":"Berns","given":"Jeffrey S.","non-dropping-particle":"","parse-names":false,"suffix":""}],"container-title":"Advances in Chronic Kidney Disease","id":"ITEM-2","issue":"1","issued":{"date-parts":[["2014","1"]]},"page":"18-26","publisher":"Adv Chronic Kidney Dis","title":"Tumor Lysis Syndrome: New Challenges and Recent Advances","type":"article","volume":"21"},"uris":["http://www.mendeley.com/documents/?uuid=ceb08bff-6150-32da-b806-c391fc05904e"]}],"mendeley":{"formattedCitation":"[126,127]","plainTextFormattedCitation":"[126,127]","previouslyFormattedCitation":"[126,127]"},"properties":{"noteIndex":0},"schema":"https://github.com/citation-style-language/schema/raw/master/csl-citation.json"}</w:instrText>
      </w:r>
      <w:r>
        <w:fldChar w:fldCharType="separate"/>
      </w:r>
      <w:r w:rsidR="00514D9A" w:rsidRPr="00514D9A">
        <w:rPr>
          <w:noProof/>
        </w:rPr>
        <w:t>[126,127]</w:t>
      </w:r>
      <w:r>
        <w:fldChar w:fldCharType="end"/>
      </w:r>
      <w:r w:rsidRPr="0042150C">
        <w:t>.</w:t>
      </w:r>
    </w:p>
    <w:p w14:paraId="36C5724C" w14:textId="213DCC5D" w:rsidR="00C93F08" w:rsidRPr="0042150C" w:rsidRDefault="00C93F08" w:rsidP="00C93F08">
      <w:pPr>
        <w:ind w:firstLine="709"/>
      </w:pPr>
      <w:r w:rsidRPr="0042150C">
        <w:t xml:space="preserve"> Гиперфосфатемия развивается на 1-2 сутки химиотерапии. В результате распада опухолевых масс внутриклеточный фосфор переходит во внеклеточное пространство и далее в кровяное русло. При превышении почечного порога экскреции фосфора развивается гиперфосфатемия, клинически проявляющаяся судорогами, аритмией. Опухолевые клетки содержат значительно большее количество внутриклеточного фосфора, чем нормальные лимфоциты. В связи с этим при разрушении опухоли выделившийся фосфор подвергается повторному использованию и участвует в синтезе новых опухолевых клеток. При увеличении содержания фосфора и кальция в кровяном русле происходит преципитация фосфата кальция с последующим развитием гипокальциемии. В клинике наблюдаются аритмии, судороги, реже ОПН в результате развития острого нефрокальциноза, связанного с отложением фосфата кальция в почечных канальцах</w:t>
      </w:r>
      <w:r>
        <w:t xml:space="preserve"> </w:t>
      </w:r>
      <w:r>
        <w:fldChar w:fldCharType="begin" w:fldLock="1"/>
      </w:r>
      <w:r w:rsidR="00A61993">
        <w:instrText>ADDIN CSL_CITATION {"citationItems":[{"id":"ITEM-1","itemData":{"DOI":"10.1056/nejmra0904569","ISSN":"0028-4793","PMID":"21561350","abstract":"null ","author":[{"dropping-particle":"","family":"Howard","given":"Scott C.","non-dropping-particle":"","parse-names":false,"suffix":""},{"dropping-particle":"","family":"Jones","given":"Deborah P.","non-dropping-particle":"","parse-names":false,"suffix":""},{"dropping-particle":"","family":"Pui","given":"Ching-Hon","non-dropping-particle":"","parse-names":false,"suffix":""}],"container-title":"New England Journal of Medicine","id":"ITEM-1","issue":"19","issued":{"date-parts":[["2011","5","12"]]},"page":"1844-1854","publisher":"Massachusetts Medical Society","title":"The Tumor Lysis Syndrome","type":"article-journal","volume":"364"},"uris":["http://www.mendeley.com/documents/?uuid=a5435bb5-403c-3a24-b788-b35845755e8d"]},{"id":"ITEM-2","itemData":{"DOI":"10.1053/j.ackd.2013.07.001","ISSN":"15485595","PMID":"24359983","abstract":"Tumor lysis syndrome (TLS) is an oncologic emergency triggered by the rapid release of intracellular material from lysing malignant cells. Most common in rapidly growing hematologic malignancies, TLS has been reported in virtually every cancer type. Central to its pathogenesis is the rapid accumulation of uric acid derived from the breakdown of nucleic acids, which leads to kidney failure by various mechanisms. Kidney failure then limits the clearance of potassium, phosphorus, and uric acid leading to hyperkalemia, hyperphosphatemia, and secondary hypocalcemia, which can be fatal. Prevention of TLS may be more effective than treatment, and identification of at-risk individuals in whom to target preventative efforts remains a key research area. Herein, we discuss the pathophysiology, epidemiology, and treatment of TLS with an emphasis on the kidney manifestations of the disease. © 2014 National Kidney Foundation, Inc.","author":[{"dropping-particle":"","family":"Wilson","given":"F. Perry","non-dropping-particle":"","parse-names":false,"suffix":""},{"dropping-particle":"","family":"Berns","given":"Jeffrey S.","non-dropping-particle":"","parse-names":false,"suffix":""}],"container-title":"Advances in Chronic Kidney Disease","id":"ITEM-2","issue":"1","issued":{"date-parts":[["2014","1"]]},"page":"18-26","publisher":"Adv Chronic Kidney Dis","title":"Tumor Lysis Syndrome: New Challenges and Recent Advances","type":"article","volume":"21"},"uris":["http://www.mendeley.com/documents/?uuid=ceb08bff-6150-32da-b806-c391fc05904e"]}],"mendeley":{"formattedCitation":"[126,127]","plainTextFormattedCitation":"[126,127]","previouslyFormattedCitation":"[126,127]"},"properties":{"noteIndex":0},"schema":"https://github.com/citation-style-language/schema/raw/master/csl-citation.json"}</w:instrText>
      </w:r>
      <w:r>
        <w:fldChar w:fldCharType="separate"/>
      </w:r>
      <w:r w:rsidR="00514D9A" w:rsidRPr="00514D9A">
        <w:rPr>
          <w:noProof/>
        </w:rPr>
        <w:t>[126,127]</w:t>
      </w:r>
      <w:r>
        <w:fldChar w:fldCharType="end"/>
      </w:r>
      <w:r w:rsidRPr="0042150C">
        <w:t>.</w:t>
      </w:r>
    </w:p>
    <w:p w14:paraId="4FBE9085" w14:textId="5C3A8B62" w:rsidR="00C93F08" w:rsidRPr="0042150C" w:rsidRDefault="00C93F08" w:rsidP="00C93F08">
      <w:pPr>
        <w:ind w:firstLine="709"/>
      </w:pPr>
      <w:r w:rsidRPr="0042150C">
        <w:lastRenderedPageBreak/>
        <w:t>Основными принципами терапии СЛО являются гидратация, коррекция метаболических нарушений и лечение ОПН</w:t>
      </w:r>
      <w:r w:rsidRPr="001F666B">
        <w:t xml:space="preserve"> </w:t>
      </w:r>
      <w:r>
        <w:fldChar w:fldCharType="begin" w:fldLock="1"/>
      </w:r>
      <w:r w:rsidR="00A61993">
        <w:instrText>ADDIN CSL_CITATION {"citationItems":[{"id":"ITEM-1","itemData":{"DOI":"10.1111/j.1365-2141.2010.08143.x","ISSN":"00071048","PMID":"20331465","abstract":"Tumour lysis syndrome (TLS) is a life-threatening oncological emergency characterized by metabolic abnormalities including hyperuricaemia, hyperphosphataemia, hyperkalaemia and hypocalcaemia. These metabolic complications predispose the cancer patient to clinical toxicities including renal insufficiency, cardiac arrhythmias, seizures, neurological complications and potentially sudden death. With the increased availability of newer therapeutic targeted agents, such as rasburicase (recombinant urate oxidase), there are no published guidelines on the risk classification of TLS for individual patients at risk of developing this syndrome. We convened an international TLS expert consensus panel to develop guidelines for a medical decision tree to assign low, intermediate and high risk to patients with cancer at risk for TLS. Risk factors included biological evidence of laboratory TLS (LTLS), proliferation, bulk and stage of malignant tumour and renal impairment and/or involvement at the time of TLS diagnosis. An international TLS consensus expert panel of paediatric and adult oncologists, experts in TLS pathophysiology and experts in TLS prophylaxis and management, developed a final model of low, intermediate and high risk TLS classification and associated TLS prophylaxis recommendations. © 2010 Blackwell Publishing Ltd.","author":[{"dropping-particle":"","family":"Cairo","given":"Mitchell S.","non-dropping-particle":"","parse-names":false,"suffix":""},{"dropping-particle":"","family":"Coiffier","given":"Bertrand","non-dropping-particle":"","parse-names":false,"suffix":""},{"dropping-particle":"","family":"Reiter","given":"Alfred","non-dropping-particle":"","parse-names":false,"suffix":""},{"dropping-particle":"","family":"Younes","given":"Anas","non-dropping-particle":"","parse-names":false,"suffix":""}],"container-title":"British Journal of Haematology","id":"ITEM-1","issue":"4","issued":{"date-parts":[["2010","5"]]},"page":"578-586","publisher":"Br J Haematol","title":"Recommendations for the evaluation of risk and prophylaxis of tumour lysis syndrome (TLS) in adults and children with malignant diseases: An expert TLS panel consensus","type":"article-journal","volume":"149"},"uris":["http://www.mendeley.com/documents/?uuid=7bb20647-3faa-4334-ba19-82c43085a876"]},{"id":"ITEM-2","itemData":{"DOI":"10.1007/s12325-011-0041-1","ISSN":"0741238X","PMID":"21779956","abstract":"Tumor lysis syndrome (TLS) is a life-threatening complication in patients with hematological disease and/or solid tumors that results from rapid, large-scale tumor necrosis occurring spontaneously, or more commonly, as a result of chemotherapy. TLS is characterized by metabolic and electrolyte imbalances that include hyperuricemia, hyperkalemia, hyperphosphatemia, and hypocalcemia. Identification of risk groups as well as early detection of TLS is crucial for the establishment of appropriate strategies of prophylaxis and treatment. Methods: A review of the peerreviewed literature on TLS between 1990 and 2011 was conducted via a systematic search of the PubMed database using the keywords 'TLS' [AND] 'management,' 'risk evaluation,' 'prophylaxis,' and 'treatment.' An expert opinion-based approach was used to review the national and international recommendations and guidelines on the topic. Results: The PubMed search produced 90 results, all of which were evaluated. These studies, together with a recent international consensus panel provided recommendations for evaluating the risk of TLS and providing prophylaxis. Five algorithms are presented that consider all of the factors when assessing the risk for neoplastic disease in general, and specifically for leukemia and lymphoma. Conclusion: The present report provides clinicians with an easily consultable tool to guide the evidence-based management of this oncohematological emergency. © Springer Healthcare 2011.","author":[{"dropping-particle":"","family":"Pession","given":"Andrea","non-dropping-particle":"","parse-names":false,"suffix":""},{"dropping-particle":"","family":"Masetti","given":"Riccardo","non-dropping-particle":"","parse-names":false,"suffix":""},{"dropping-particle":"","family":"Gaidano","given":"Gianluca","non-dropping-particle":"","parse-names":false,"suffix":""},{"dropping-particle":"","family":"Tosi","given":"Patrizia","non-dropping-particle":"","parse-names":false,"suffix":""},{"dropping-particle":"","family":"Rosti","given":"Giovanni","non-dropping-particle":"","parse-names":false,"suffix":""},{"dropping-particle":"","family":"Aglietta","given":"Massimo","non-dropping-particle":"","parse-names":false,"suffix":""},{"dropping-particle":"","family":"Specchia","given":"Giorgina","non-dropping-particle":"","parse-names":false,"suffix":""},{"dropping-particle":"","family":"Porta","given":"Fulvio","non-dropping-particle":"","parse-names":false,"suffix":""}],"container-title":"Advances in Therapy","id":"ITEM-2","issue":"8","issued":{"date-parts":[["2011","8"]]},"page":"684-697","publisher":"Adv Ther","title":"Risk evaluation, prophylaxis, and treatment of tumor lysis syndrome: Consensus of an italian expert panel","type":"article-journal","volume":"28"},"uris":["http://www.mendeley.com/documents/?uuid=3c7e41bc-a8b8-33b0-932f-12578dece577"]},{"id":"ITEM-3","itemData":{"ISSN":"2150-0878 (Print)","PMID":"25031988","abstract":"Tumor lysis syndrome (TLS), an oncologic emergency that typically occurs after the treatment of a malignancy with chemotherapy and/or radiotherapy, is the result of extreme tumor cell lysis with the release of intracellular potassium, nucleic acids, and phosphorus into the systemic circulation. Tumor lysis syndrome occurs most often after administration of cytotoxic therapy in patients with high-grade lymphomas and acute lymphoblastic leukemia, but it can also occur spontaneously in tumor types that have a high proliferative rate and/or a large tumor burden. The metabolic disturbances of TLS include hyperkalemia, hyperphosphatemia, secondary hypocalcemia, hyperuricemia, and acute renal failure. The most important treatment for TLS is prevention. The mainstays of TLS prevention include aggressive hydration, control of hyperuricemia with allopurinol and rasburicase treatment, and close monitoring of electrolyte abnormalities. It is crucial for clinicians to prevent, detect, and treat TLS early to prevent life-threatening complications such as acute renal failure, cardiac dysrhythmia, and seizures. The purpose of this article is to explain the pathophysiology of TLS, identify patients at risk for TLS, and detail strategies for prevention and management of this oncologic emergency.","author":[{"dropping-particle":"","family":"Sarno","given":"Jessica","non-dropping-particle":"","parse-names":false,"suffix":""}],"container-title":"Journal of the advanced practitioner in oncology","id":"ITEM-3","issue":"2","issued":{"date-parts":[["2013"]]},"page":"101-106","publisher":"Harborside Press","title":"Prevention and management of tumor lysis syndrome in adults with malignancy.","type":"article-journal","volume":"4"},"uris":["http://www.mendeley.com/documents/?uuid=ddbd61c7-d6ed-3fad-b126-5db4fff8a476"]}],"mendeley":{"formattedCitation":"[128–130]","plainTextFormattedCitation":"[128–130]","previouslyFormattedCitation":"[128–130]"},"properties":{"noteIndex":0},"schema":"https://github.com/citation-style-language/schema/raw/master/csl-citation.json"}</w:instrText>
      </w:r>
      <w:r>
        <w:fldChar w:fldCharType="separate"/>
      </w:r>
      <w:r w:rsidR="00514D9A" w:rsidRPr="00514D9A">
        <w:rPr>
          <w:noProof/>
        </w:rPr>
        <w:t>[128–130]</w:t>
      </w:r>
      <w:r>
        <w:fldChar w:fldCharType="end"/>
      </w:r>
      <w:r w:rsidRPr="0042150C">
        <w:t>. Гипергидратацию из расчета 1500-3000 мл/м</w:t>
      </w:r>
      <w:r w:rsidRPr="007D5385">
        <w:rPr>
          <w:vertAlign w:val="superscript"/>
        </w:rPr>
        <w:t>2</w:t>
      </w:r>
      <w:r w:rsidRPr="0042150C">
        <w:t xml:space="preserve"> в сутки в/в проводят</w:t>
      </w:r>
      <w:r>
        <w:t>,</w:t>
      </w:r>
      <w:r w:rsidRPr="0042150C">
        <w:t xml:space="preserve"> начиная за 1-2 дня до начала химиотерапии и завершая через 3-5 дней после ее окончания</w:t>
      </w:r>
      <w:r w:rsidRPr="00460A2E">
        <w:t xml:space="preserve"> </w:t>
      </w:r>
      <w:r>
        <w:fldChar w:fldCharType="begin" w:fldLock="1"/>
      </w:r>
      <w:r w:rsidR="00A61993">
        <w:instrText>ADDIN CSL_CITATION {"citationItems":[{"id":"ITEM-1","itemData":{"DOI":"10.1111/j.1365-2141.2010.08143.x","ISSN":"00071048","PMID":"20331465","abstract":"Tumour lysis syndrome (TLS) is a life-threatening oncological emergency characterized by metabolic abnormalities including hyperuricaemia, hyperphosphataemia, hyperkalaemia and hypocalcaemia. These metabolic complications predispose the cancer patient to clinical toxicities including renal insufficiency, cardiac arrhythmias, seizures, neurological complications and potentially sudden death. With the increased availability of newer therapeutic targeted agents, such as rasburicase (recombinant urate oxidase), there are no published guidelines on the risk classification of TLS for individual patients at risk of developing this syndrome. We convened an international TLS expert consensus panel to develop guidelines for a medical decision tree to assign low, intermediate and high risk to patients with cancer at risk for TLS. Risk factors included biological evidence of laboratory TLS (LTLS), proliferation, bulk and stage of malignant tumour and renal impairment and/or involvement at the time of TLS diagnosis. An international TLS consensus expert panel of paediatric and adult oncologists, experts in TLS pathophysiology and experts in TLS prophylaxis and management, developed a final model of low, intermediate and high risk TLS classification and associated TLS prophylaxis recommendations. © 2010 Blackwell Publishing Ltd.","author":[{"dropping-particle":"","family":"Cairo","given":"Mitchell S.","non-dropping-particle":"","parse-names":false,"suffix":""},{"dropping-particle":"","family":"Coiffier","given":"Bertrand","non-dropping-particle":"","parse-names":false,"suffix":""},{"dropping-particle":"","family":"Reiter","given":"Alfred","non-dropping-particle":"","parse-names":false,"suffix":""},{"dropping-particle":"","family":"Younes","given":"Anas","non-dropping-particle":"","parse-names":false,"suffix":""}],"container-title":"British Journal of Haematology","id":"ITEM-1","issue":"4","issued":{"date-parts":[["2010","5"]]},"page":"578-586","publisher":"Br J Haematol","title":"Recommendations for the evaluation of risk and prophylaxis of tumour lysis syndrome (TLS) in adults and children with malignant diseases: An expert TLS panel consensus","type":"article-journal","volume":"149"},"uris":["http://www.mendeley.com/documents/?uuid=7bb20647-3faa-4334-ba19-82c43085a876"]},{"id":"ITEM-2","itemData":{"DOI":"10.1007/s12325-011-0041-1","ISSN":"0741238X","PMID":"21779956","abstract":"Tumor lysis syndrome (TLS) is a life-threatening complication in patients with hematological disease and/or solid tumors that results from rapid, large-scale tumor necrosis occurring spontaneously, or more commonly, as a result of chemotherapy. TLS is characterized by metabolic and electrolyte imbalances that include hyperuricemia, hyperkalemia, hyperphosphatemia, and hypocalcemia. Identification of risk groups as well as early detection of TLS is crucial for the establishment of appropriate strategies of prophylaxis and treatment. Methods: A review of the peerreviewed literature on TLS between 1990 and 2011 was conducted via a systematic search of the PubMed database using the keywords 'TLS' [AND] 'management,' 'risk evaluation,' 'prophylaxis,' and 'treatment.' An expert opinion-based approach was used to review the national and international recommendations and guidelines on the topic. Results: The PubMed search produced 90 results, all of which were evaluated. These studies, together with a recent international consensus panel provided recommendations for evaluating the risk of TLS and providing prophylaxis. Five algorithms are presented that consider all of the factors when assessing the risk for neoplastic disease in general, and specifically for leukemia and lymphoma. Conclusion: The present report provides clinicians with an easily consultable tool to guide the evidence-based management of this oncohematological emergency. © Springer Healthcare 2011.","author":[{"dropping-particle":"","family":"Pession","given":"Andrea","non-dropping-particle":"","parse-names":false,"suffix":""},{"dropping-particle":"","family":"Masetti","given":"Riccardo","non-dropping-particle":"","parse-names":false,"suffix":""},{"dropping-particle":"","family":"Gaidano","given":"Gianluca","non-dropping-particle":"","parse-names":false,"suffix":""},{"dropping-particle":"","family":"Tosi","given":"Patrizia","non-dropping-particle":"","parse-names":false,"suffix":""},{"dropping-particle":"","family":"Rosti","given":"Giovanni","non-dropping-particle":"","parse-names":false,"suffix":""},{"dropping-particle":"","family":"Aglietta","given":"Massimo","non-dropping-particle":"","parse-names":false,"suffix":""},{"dropping-particle":"","family":"Specchia","given":"Giorgina","non-dropping-particle":"","parse-names":false,"suffix":""},{"dropping-particle":"","family":"Porta","given":"Fulvio","non-dropping-particle":"","parse-names":false,"suffix":""}],"container-title":"Advances in Therapy","id":"ITEM-2","issue":"8","issued":{"date-parts":[["2011","8"]]},"page":"684-697","publisher":"Adv Ther","title":"Risk evaluation, prophylaxis, and treatment of tumor lysis syndrome: Consensus of an italian expert panel","type":"article-journal","volume":"28"},"uris":["http://www.mendeley.com/documents/?uuid=3c7e41bc-a8b8-33b0-932f-12578dece577"]},{"id":"ITEM-3","itemData":{"ISSN":"2150-0878 (Print)","PMID":"25031988","abstract":"Tumor lysis syndrome (TLS), an oncologic emergency that typically occurs after the treatment of a malignancy with chemotherapy and/or radiotherapy, is the result of extreme tumor cell lysis with the release of intracellular potassium, nucleic acids, and phosphorus into the systemic circulation. Tumor lysis syndrome occurs most often after administration of cytotoxic therapy in patients with high-grade lymphomas and acute lymphoblastic leukemia, but it can also occur spontaneously in tumor types that have a high proliferative rate and/or a large tumor burden. The metabolic disturbances of TLS include hyperkalemia, hyperphosphatemia, secondary hypocalcemia, hyperuricemia, and acute renal failure. The most important treatment for TLS is prevention. The mainstays of TLS prevention include aggressive hydration, control of hyperuricemia with allopurinol and rasburicase treatment, and close monitoring of electrolyte abnormalities. It is crucial for clinicians to prevent, detect, and treat TLS early to prevent life-threatening complications such as acute renal failure, cardiac dysrhythmia, and seizures. The purpose of this article is to explain the pathophysiology of TLS, identify patients at risk for TLS, and detail strategies for prevention and management of this oncologic emergency.","author":[{"dropping-particle":"","family":"Sarno","given":"Jessica","non-dropping-particle":"","parse-names":false,"suffix":""}],"container-title":"Journal of the advanced practitioner in oncology","id":"ITEM-3","issue":"2","issued":{"date-parts":[["2013"]]},"page":"101-106","publisher":"Harborside Press","title":"Prevention and management of tumor lysis syndrome in adults with malignancy.","type":"article-journal","volume":"4"},"uris":["http://www.mendeley.com/documents/?uuid=ddbd61c7-d6ed-3fad-b126-5db4fff8a476"]}],"mendeley":{"formattedCitation":"[128–130]","plainTextFormattedCitation":"[128–130]","previouslyFormattedCitation":"[128–130]"},"properties":{"noteIndex":0},"schema":"https://github.com/citation-style-language/schema/raw/master/csl-citation.json"}</w:instrText>
      </w:r>
      <w:r>
        <w:fldChar w:fldCharType="separate"/>
      </w:r>
      <w:r w:rsidR="00514D9A" w:rsidRPr="00514D9A">
        <w:rPr>
          <w:noProof/>
        </w:rPr>
        <w:t>[128–130]</w:t>
      </w:r>
      <w:r>
        <w:fldChar w:fldCharType="end"/>
      </w:r>
      <w:r w:rsidRPr="0042150C">
        <w:t xml:space="preserve">. Для оценки состояния водного баланса, предотвращения волемической перегрузки необходимо ежедневное взвешивание пациента, контроль центрального венозного давления 2 раза в день, диуреза и баланса жидкости каждые 6 часов. Почасовой диурез должен составлять 200-250 мл. При недостаточном мочевыделении показана стимуляция </w:t>
      </w:r>
      <w:r>
        <w:t>фуросемидом</w:t>
      </w:r>
      <w:r w:rsidRPr="0042150C">
        <w:t xml:space="preserve"> в дозе от 1 до 10 мг/кг, при сопутствующей гипоальбуминемии проводят заместительную терапию альбумином</w:t>
      </w:r>
      <w:r w:rsidRPr="00500D1F">
        <w:t xml:space="preserve"> </w:t>
      </w:r>
      <w:r>
        <w:fldChar w:fldCharType="begin" w:fldLock="1"/>
      </w:r>
      <w:r w:rsidR="00A61993">
        <w:instrText>ADDIN CSL_CITATION {"citationItems":[{"id":"ITEM-1","itemData":{"DOI":"10.1111/j.1365-2141.2010.08143.x","ISSN":"00071048","PMID":"20331465","abstract":"Tumour lysis syndrome (TLS) is a life-threatening oncological emergency characterized by metabolic abnormalities including hyperuricaemia, hyperphosphataemia, hyperkalaemia and hypocalcaemia. These metabolic complications predispose the cancer patient to clinical toxicities including renal insufficiency, cardiac arrhythmias, seizures, neurological complications and potentially sudden death. With the increased availability of newer therapeutic targeted agents, such as rasburicase (recombinant urate oxidase), there are no published guidelines on the risk classification of TLS for individual patients at risk of developing this syndrome. We convened an international TLS expert consensus panel to develop guidelines for a medical decision tree to assign low, intermediate and high risk to patients with cancer at risk for TLS. Risk factors included biological evidence of laboratory TLS (LTLS), proliferation, bulk and stage of malignant tumour and renal impairment and/or involvement at the time of TLS diagnosis. An international TLS consensus expert panel of paediatric and adult oncologists, experts in TLS pathophysiology and experts in TLS prophylaxis and management, developed a final model of low, intermediate and high risk TLS classification and associated TLS prophylaxis recommendations. © 2010 Blackwell Publishing Ltd.","author":[{"dropping-particle":"","family":"Cairo","given":"Mitchell S.","non-dropping-particle":"","parse-names":false,"suffix":""},{"dropping-particle":"","family":"Coiffier","given":"Bertrand","non-dropping-particle":"","parse-names":false,"suffix":""},{"dropping-particle":"","family":"Reiter","given":"Alfred","non-dropping-particle":"","parse-names":false,"suffix":""},{"dropping-particle":"","family":"Younes","given":"Anas","non-dropping-particle":"","parse-names":false,"suffix":""}],"container-title":"British Journal of Haematology","id":"ITEM-1","issue":"4","issued":{"date-parts":[["2010","5"]]},"page":"578-586","publisher":"Br J Haematol","title":"Recommendations for the evaluation of risk and prophylaxis of tumour lysis syndrome (TLS) in adults and children with malignant diseases: An expert TLS panel consensus","type":"article-journal","volume":"149"},"uris":["http://www.mendeley.com/documents/?uuid=7bb20647-3faa-4334-ba19-82c43085a876"]},{"id":"ITEM-2","itemData":{"DOI":"10.1007/s12325-011-0041-1","ISSN":"0741238X","PMID":"21779956","abstract":"Tumor lysis syndrome (TLS) is a life-threatening complication in patients with hematological disease and/or solid tumors that results from rapid, large-scale tumor necrosis occurring spontaneously, or more commonly, as a result of chemotherapy. TLS is characterized by metabolic and electrolyte imbalances that include hyperuricemia, hyperkalemia, hyperphosphatemia, and hypocalcemia. Identification of risk groups as well as early detection of TLS is crucial for the establishment of appropriate strategies of prophylaxis and treatment. Methods: A review of the peerreviewed literature on TLS between 1990 and 2011 was conducted via a systematic search of the PubMed database using the keywords 'TLS' [AND] 'management,' 'risk evaluation,' 'prophylaxis,' and 'treatment.' An expert opinion-based approach was used to review the national and international recommendations and guidelines on the topic. Results: The PubMed search produced 90 results, all of which were evaluated. These studies, together with a recent international consensus panel provided recommendations for evaluating the risk of TLS and providing prophylaxis. Five algorithms are presented that consider all of the factors when assessing the risk for neoplastic disease in general, and specifically for leukemia and lymphoma. Conclusion: The present report provides clinicians with an easily consultable tool to guide the evidence-based management of this oncohematological emergency. © Springer Healthcare 2011.","author":[{"dropping-particle":"","family":"Pession","given":"Andrea","non-dropping-particle":"","parse-names":false,"suffix":""},{"dropping-particle":"","family":"Masetti","given":"Riccardo","non-dropping-particle":"","parse-names":false,"suffix":""},{"dropping-particle":"","family":"Gaidano","given":"Gianluca","non-dropping-particle":"","parse-names":false,"suffix":""},{"dropping-particle":"","family":"Tosi","given":"Patrizia","non-dropping-particle":"","parse-names":false,"suffix":""},{"dropping-particle":"","family":"Rosti","given":"Giovanni","non-dropping-particle":"","parse-names":false,"suffix":""},{"dropping-particle":"","family":"Aglietta","given":"Massimo","non-dropping-particle":"","parse-names":false,"suffix":""},{"dropping-particle":"","family":"Specchia","given":"Giorgina","non-dropping-particle":"","parse-names":false,"suffix":""},{"dropping-particle":"","family":"Porta","given":"Fulvio","non-dropping-particle":"","parse-names":false,"suffix":""}],"container-title":"Advances in Therapy","id":"ITEM-2","issue":"8","issued":{"date-parts":[["2011","8"]]},"page":"684-697","publisher":"Adv Ther","title":"Risk evaluation, prophylaxis, and treatment of tumor lysis syndrome: Consensus of an italian expert panel","type":"article-journal","volume":"28"},"uris":["http://www.mendeley.com/documents/?uuid=3c7e41bc-a8b8-33b0-932f-12578dece577"]},{"id":"ITEM-3","itemData":{"ISSN":"2150-0878 (Print)","PMID":"25031988","abstract":"Tumor lysis syndrome (TLS), an oncologic emergency that typically occurs after the treatment of a malignancy with chemotherapy and/or radiotherapy, is the result of extreme tumor cell lysis with the release of intracellular potassium, nucleic acids, and phosphorus into the systemic circulation. Tumor lysis syndrome occurs most often after administration of cytotoxic therapy in patients with high-grade lymphomas and acute lymphoblastic leukemia, but it can also occur spontaneously in tumor types that have a high proliferative rate and/or a large tumor burden. The metabolic disturbances of TLS include hyperkalemia, hyperphosphatemia, secondary hypocalcemia, hyperuricemia, and acute renal failure. The most important treatment for TLS is prevention. The mainstays of TLS prevention include aggressive hydration, control of hyperuricemia with allopurinol and rasburicase treatment, and close monitoring of electrolyte abnormalities. It is crucial for clinicians to prevent, detect, and treat TLS early to prevent life-threatening complications such as acute renal failure, cardiac dysrhythmia, and seizures. The purpose of this article is to explain the pathophysiology of TLS, identify patients at risk for TLS, and detail strategies for prevention and management of this oncologic emergency.","author":[{"dropping-particle":"","family":"Sarno","given":"Jessica","non-dropping-particle":"","parse-names":false,"suffix":""}],"container-title":"Journal of the advanced practitioner in oncology","id":"ITEM-3","issue":"2","issued":{"date-parts":[["2013"]]},"page":"101-106","publisher":"Harborside Press","title":"Prevention and management of tumor lysis syndrome in adults with malignancy.","type":"article-journal","volume":"4"},"uris":["http://www.mendeley.com/documents/?uuid=ddbd61c7-d6ed-3fad-b126-5db4fff8a476"]}],"mendeley":{"formattedCitation":"[128–130]","plainTextFormattedCitation":"[128–130]","previouslyFormattedCitation":"[128–130]"},"properties":{"noteIndex":0},"schema":"https://github.com/citation-style-language/schema/raw/master/csl-citation.json"}</w:instrText>
      </w:r>
      <w:r>
        <w:fldChar w:fldCharType="separate"/>
      </w:r>
      <w:r w:rsidR="00514D9A" w:rsidRPr="00514D9A">
        <w:rPr>
          <w:noProof/>
        </w:rPr>
        <w:t>[128–130]</w:t>
      </w:r>
      <w:r>
        <w:fldChar w:fldCharType="end"/>
      </w:r>
      <w:r w:rsidRPr="0042150C">
        <w:t>. Если проводимые мероприятия недостаточно эффективны, возможно применение допамина в почечной дозе (3-5 мкг/кг/мин)</w:t>
      </w:r>
      <w:r w:rsidRPr="00500D1F">
        <w:t xml:space="preserve"> </w:t>
      </w:r>
      <w:r>
        <w:fldChar w:fldCharType="begin" w:fldLock="1"/>
      </w:r>
      <w:r w:rsidR="00A61993">
        <w:instrText>ADDIN CSL_CITATION {"citationItems":[{"id":"ITEM-1","itemData":{"DOI":"10.1111/j.1365-2141.2010.08143.x","ISSN":"00071048","PMID":"20331465","abstract":"Tumour lysis syndrome (TLS) is a life-threatening oncological emergency characterized by metabolic abnormalities including hyperuricaemia, hyperphosphataemia, hyperkalaemia and hypocalcaemia. These metabolic complications predispose the cancer patient to clinical toxicities including renal insufficiency, cardiac arrhythmias, seizures, neurological complications and potentially sudden death. With the increased availability of newer therapeutic targeted agents, such as rasburicase (recombinant urate oxidase), there are no published guidelines on the risk classification of TLS for individual patients at risk of developing this syndrome. We convened an international TLS expert consensus panel to develop guidelines for a medical decision tree to assign low, intermediate and high risk to patients with cancer at risk for TLS. Risk factors included biological evidence of laboratory TLS (LTLS), proliferation, bulk and stage of malignant tumour and renal impairment and/or involvement at the time of TLS diagnosis. An international TLS consensus expert panel of paediatric and adult oncologists, experts in TLS pathophysiology and experts in TLS prophylaxis and management, developed a final model of low, intermediate and high risk TLS classification and associated TLS prophylaxis recommendations. © 2010 Blackwell Publishing Ltd.","author":[{"dropping-particle":"","family":"Cairo","given":"Mitchell S.","non-dropping-particle":"","parse-names":false,"suffix":""},{"dropping-particle":"","family":"Coiffier","given":"Bertrand","non-dropping-particle":"","parse-names":false,"suffix":""},{"dropping-particle":"","family":"Reiter","given":"Alfred","non-dropping-particle":"","parse-names":false,"suffix":""},{"dropping-particle":"","family":"Younes","given":"Anas","non-dropping-particle":"","parse-names":false,"suffix":""}],"container-title":"British Journal of Haematology","id":"ITEM-1","issue":"4","issued":{"date-parts":[["2010","5"]]},"page":"578-586","publisher":"Br J Haematol","title":"Recommendations for the evaluation of risk and prophylaxis of tumour lysis syndrome (TLS) in adults and children with malignant diseases: An expert TLS panel consensus","type":"article-journal","volume":"149"},"uris":["http://www.mendeley.com/documents/?uuid=7bb20647-3faa-4334-ba19-82c43085a876"]},{"id":"ITEM-2","itemData":{"DOI":"10.1007/s12325-011-0041-1","ISSN":"0741238X","PMID":"21779956","abstract":"Tumor lysis syndrome (TLS) is a life-threatening complication in patients with hematological disease and/or solid tumors that results from rapid, large-scale tumor necrosis occurring spontaneously, or more commonly, as a result of chemotherapy. TLS is characterized by metabolic and electrolyte imbalances that include hyperuricemia, hyperkalemia, hyperphosphatemia, and hypocalcemia. Identification of risk groups as well as early detection of TLS is crucial for the establishment of appropriate strategies of prophylaxis and treatment. Methods: A review of the peerreviewed literature on TLS between 1990 and 2011 was conducted via a systematic search of the PubMed database using the keywords 'TLS' [AND] 'management,' 'risk evaluation,' 'prophylaxis,' and 'treatment.' An expert opinion-based approach was used to review the national and international recommendations and guidelines on the topic. Results: The PubMed search produced 90 results, all of which were evaluated. These studies, together with a recent international consensus panel provided recommendations for evaluating the risk of TLS and providing prophylaxis. Five algorithms are presented that consider all of the factors when assessing the risk for neoplastic disease in general, and specifically for leukemia and lymphoma. Conclusion: The present report provides clinicians with an easily consultable tool to guide the evidence-based management of this oncohematological emergency. © Springer Healthcare 2011.","author":[{"dropping-particle":"","family":"Pession","given":"Andrea","non-dropping-particle":"","parse-names":false,"suffix":""},{"dropping-particle":"","family":"Masetti","given":"Riccardo","non-dropping-particle":"","parse-names":false,"suffix":""},{"dropping-particle":"","family":"Gaidano","given":"Gianluca","non-dropping-particle":"","parse-names":false,"suffix":""},{"dropping-particle":"","family":"Tosi","given":"Patrizia","non-dropping-particle":"","parse-names":false,"suffix":""},{"dropping-particle":"","family":"Rosti","given":"Giovanni","non-dropping-particle":"","parse-names":false,"suffix":""},{"dropping-particle":"","family":"Aglietta","given":"Massimo","non-dropping-particle":"","parse-names":false,"suffix":""},{"dropping-particle":"","family":"Specchia","given":"Giorgina","non-dropping-particle":"","parse-names":false,"suffix":""},{"dropping-particle":"","family":"Porta","given":"Fulvio","non-dropping-particle":"","parse-names":false,"suffix":""}],"container-title":"Advances in Therapy","id":"ITEM-2","issue":"8","issued":{"date-parts":[["2011","8"]]},"page":"684-697","publisher":"Adv Ther","title":"Risk evaluation, prophylaxis, and treatment of tumor lysis syndrome: Consensus of an italian expert panel","type":"article-journal","volume":"28"},"uris":["http://www.mendeley.com/documents/?uuid=3c7e41bc-a8b8-33b0-932f-12578dece577"]},{"id":"ITEM-3","itemData":{"ISSN":"2150-0878 (Print)","PMID":"25031988","abstract":"Tumor lysis syndrome (TLS), an oncologic emergency that typically occurs after the treatment of a malignancy with chemotherapy and/or radiotherapy, is the result of extreme tumor cell lysis with the release of intracellular potassium, nucleic acids, and phosphorus into the systemic circulation. Tumor lysis syndrome occurs most often after administration of cytotoxic therapy in patients with high-grade lymphomas and acute lymphoblastic leukemia, but it can also occur spontaneously in tumor types that have a high proliferative rate and/or a large tumor burden. The metabolic disturbances of TLS include hyperkalemia, hyperphosphatemia, secondary hypocalcemia, hyperuricemia, and acute renal failure. The most important treatment for TLS is prevention. The mainstays of TLS prevention include aggressive hydration, control of hyperuricemia with allopurinol and rasburicase treatment, and close monitoring of electrolyte abnormalities. It is crucial for clinicians to prevent, detect, and treat TLS early to prevent life-threatening complications such as acute renal failure, cardiac dysrhythmia, and seizures. The purpose of this article is to explain the pathophysiology of TLS, identify patients at risk for TLS, and detail strategies for prevention and management of this oncologic emergency.","author":[{"dropping-particle":"","family":"Sarno","given":"Jessica","non-dropping-particle":"","parse-names":false,"suffix":""}],"container-title":"Journal of the advanced practitioner in oncology","id":"ITEM-3","issue":"2","issued":{"date-parts":[["2013"]]},"page":"101-106","publisher":"Harborside Press","title":"Prevention and management of tumor lysis syndrome in adults with malignancy.","type":"article-journal","volume":"4"},"uris":["http://www.mendeley.com/documents/?uuid=ddbd61c7-d6ed-3fad-b126-5db4fff8a476"]}],"mendeley":{"formattedCitation":"[128–130]","plainTextFormattedCitation":"[128–130]","previouslyFormattedCitation":"[128–130]"},"properties":{"noteIndex":0},"schema":"https://github.com/citation-style-language/schema/raw/master/csl-citation.json"}</w:instrText>
      </w:r>
      <w:r>
        <w:fldChar w:fldCharType="separate"/>
      </w:r>
      <w:r w:rsidR="00514D9A" w:rsidRPr="00514D9A">
        <w:rPr>
          <w:noProof/>
        </w:rPr>
        <w:t>[128–130]</w:t>
      </w:r>
      <w:r>
        <w:fldChar w:fldCharType="end"/>
      </w:r>
      <w:r w:rsidRPr="0042150C">
        <w:t>. Критерием адекватной волемической нагрузки является показатель плотности мочи менее 1010 г/л.</w:t>
      </w:r>
    </w:p>
    <w:p w14:paraId="5CBB2005" w14:textId="1B26F0AA" w:rsidR="00C93F08" w:rsidRPr="0042150C" w:rsidRDefault="00C93F08" w:rsidP="00C93F08">
      <w:pPr>
        <w:ind w:firstLine="709"/>
      </w:pPr>
      <w:r w:rsidRPr="0042150C">
        <w:t xml:space="preserve">С целью своевременной коррекции электролитных и биохимических нарушений в период распада опухоли необходим контроль за уровнем калия, кальция, креатинина, мочевины, мочевой кислоты, общего белка, альбуминов, фосфатов в сыворотке крови, определение </w:t>
      </w:r>
      <w:r>
        <w:rPr>
          <w:lang w:val="en-US"/>
        </w:rPr>
        <w:t>pH</w:t>
      </w:r>
      <w:r w:rsidRPr="0042150C">
        <w:t xml:space="preserve"> мочи 1-2 раза в день</w:t>
      </w:r>
      <w:r w:rsidRPr="00500D1F">
        <w:t xml:space="preserve"> </w:t>
      </w:r>
      <w:r>
        <w:fldChar w:fldCharType="begin" w:fldLock="1"/>
      </w:r>
      <w:r w:rsidR="00A61993">
        <w:instrText>ADDIN CSL_CITATION {"citationItems":[{"id":"ITEM-1","itemData":{"DOI":"10.1111/j.1365-2141.2010.08143.x","ISSN":"00071048","PMID":"20331465","abstract":"Tumour lysis syndrome (TLS) is a life-threatening oncological emergency characterized by metabolic abnormalities including hyperuricaemia, hyperphosphataemia, hyperkalaemia and hypocalcaemia. These metabolic complications predispose the cancer patient to clinical toxicities including renal insufficiency, cardiac arrhythmias, seizures, neurological complications and potentially sudden death. With the increased availability of newer therapeutic targeted agents, such as rasburicase (recombinant urate oxidase), there are no published guidelines on the risk classification of TLS for individual patients at risk of developing this syndrome. We convened an international TLS expert consensus panel to develop guidelines for a medical decision tree to assign low, intermediate and high risk to patients with cancer at risk for TLS. Risk factors included biological evidence of laboratory TLS (LTLS), proliferation, bulk and stage of malignant tumour and renal impairment and/or involvement at the time of TLS diagnosis. An international TLS consensus expert panel of paediatric and adult oncologists, experts in TLS pathophysiology and experts in TLS prophylaxis and management, developed a final model of low, intermediate and high risk TLS classification and associated TLS prophylaxis recommendations. © 2010 Blackwell Publishing Ltd.","author":[{"dropping-particle":"","family":"Cairo","given":"Mitchell S.","non-dropping-particle":"","parse-names":false,"suffix":""},{"dropping-particle":"","family":"Coiffier","given":"Bertrand","non-dropping-particle":"","parse-names":false,"suffix":""},{"dropping-particle":"","family":"Reiter","given":"Alfred","non-dropping-particle":"","parse-names":false,"suffix":""},{"dropping-particle":"","family":"Younes","given":"Anas","non-dropping-particle":"","parse-names":false,"suffix":""}],"container-title":"British Journal of Haematology","id":"ITEM-1","issue":"4","issued":{"date-parts":[["2010","5"]]},"page":"578-586","publisher":"Br J Haematol","title":"Recommendations for the evaluation of risk and prophylaxis of tumour lysis syndrome (TLS) in adults and children with malignant diseases: An expert TLS panel consensus","type":"article-journal","volume":"149"},"uris":["http://www.mendeley.com/documents/?uuid=7bb20647-3faa-4334-ba19-82c43085a876"]},{"id":"ITEM-2","itemData":{"DOI":"10.1007/s12325-011-0041-1","ISSN":"0741238X","PMID":"21779956","abstract":"Tumor lysis syndrome (TLS) is a life-threatening complication in patients with hematological disease and/or solid tumors that results from rapid, large-scale tumor necrosis occurring spontaneously, or more commonly, as a result of chemotherapy. TLS is characterized by metabolic and electrolyte imbalances that include hyperuricemia, hyperkalemia, hyperphosphatemia, and hypocalcemia. Identification of risk groups as well as early detection of TLS is crucial for the establishment of appropriate strategies of prophylaxis and treatment. Methods: A review of the peerreviewed literature on TLS between 1990 and 2011 was conducted via a systematic search of the PubMed database using the keywords 'TLS' [AND] 'management,' 'risk evaluation,' 'prophylaxis,' and 'treatment.' An expert opinion-based approach was used to review the national and international recommendations and guidelines on the topic. Results: The PubMed search produced 90 results, all of which were evaluated. These studies, together with a recent international consensus panel provided recommendations for evaluating the risk of TLS and providing prophylaxis. Five algorithms are presented that consider all of the factors when assessing the risk for neoplastic disease in general, and specifically for leukemia and lymphoma. Conclusion: The present report provides clinicians with an easily consultable tool to guide the evidence-based management of this oncohematological emergency. © Springer Healthcare 2011.","author":[{"dropping-particle":"","family":"Pession","given":"Andrea","non-dropping-particle":"","parse-names":false,"suffix":""},{"dropping-particle":"","family":"Masetti","given":"Riccardo","non-dropping-particle":"","parse-names":false,"suffix":""},{"dropping-particle":"","family":"Gaidano","given":"Gianluca","non-dropping-particle":"","parse-names":false,"suffix":""},{"dropping-particle":"","family":"Tosi","given":"Patrizia","non-dropping-particle":"","parse-names":false,"suffix":""},{"dropping-particle":"","family":"Rosti","given":"Giovanni","non-dropping-particle":"","parse-names":false,"suffix":""},{"dropping-particle":"","family":"Aglietta","given":"Massimo","non-dropping-particle":"","parse-names":false,"suffix":""},{"dropping-particle":"","family":"Specchia","given":"Giorgina","non-dropping-particle":"","parse-names":false,"suffix":""},{"dropping-particle":"","family":"Porta","given":"Fulvio","non-dropping-particle":"","parse-names":false,"suffix":""}],"container-title":"Advances in Therapy","id":"ITEM-2","issue":"8","issued":{"date-parts":[["2011","8"]]},"page":"684-697","publisher":"Adv Ther","title":"Risk evaluation, prophylaxis, and treatment of tumor lysis syndrome: Consensus of an italian expert panel","type":"article-journal","volume":"28"},"uris":["http://www.mendeley.com/documents/?uuid=3c7e41bc-a8b8-33b0-932f-12578dece577"]},{"id":"ITEM-3","itemData":{"ISSN":"2150-0878 (Print)","PMID":"25031988","abstract":"Tumor lysis syndrome (TLS), an oncologic emergency that typically occurs after the treatment of a malignancy with chemotherapy and/or radiotherapy, is the result of extreme tumor cell lysis with the release of intracellular potassium, nucleic acids, and phosphorus into the systemic circulation. Tumor lysis syndrome occurs most often after administration of cytotoxic therapy in patients with high-grade lymphomas and acute lymphoblastic leukemia, but it can also occur spontaneously in tumor types that have a high proliferative rate and/or a large tumor burden. The metabolic disturbances of TLS include hyperkalemia, hyperphosphatemia, secondary hypocalcemia, hyperuricemia, and acute renal failure. The most important treatment for TLS is prevention. The mainstays of TLS prevention include aggressive hydration, control of hyperuricemia with allopurinol and rasburicase treatment, and close monitoring of electrolyte abnormalities. It is crucial for clinicians to prevent, detect, and treat TLS early to prevent life-threatening complications such as acute renal failure, cardiac dysrhythmia, and seizures. The purpose of this article is to explain the pathophysiology of TLS, identify patients at risk for TLS, and detail strategies for prevention and management of this oncologic emergency.","author":[{"dropping-particle":"","family":"Sarno","given":"Jessica","non-dropping-particle":"","parse-names":false,"suffix":""}],"container-title":"Journal of the advanced practitioner in oncology","id":"ITEM-3","issue":"2","issued":{"date-parts":[["2013"]]},"page":"101-106","publisher":"Harborside Press","title":"Prevention and management of tumor lysis syndrome in adults with malignancy.","type":"article-journal","volume":"4"},"uris":["http://www.mendeley.com/documents/?uuid=ddbd61c7-d6ed-3fad-b126-5db4fff8a476"]}],"mendeley":{"formattedCitation":"[128–130]","plainTextFormattedCitation":"[128–130]","previouslyFormattedCitation":"[128–130]"},"properties":{"noteIndex":0},"schema":"https://github.com/citation-style-language/schema/raw/master/csl-citation.json"}</w:instrText>
      </w:r>
      <w:r>
        <w:fldChar w:fldCharType="separate"/>
      </w:r>
      <w:r w:rsidR="00514D9A" w:rsidRPr="00514D9A">
        <w:rPr>
          <w:noProof/>
        </w:rPr>
        <w:t>[128–130]</w:t>
      </w:r>
      <w:r>
        <w:fldChar w:fldCharType="end"/>
      </w:r>
      <w:r w:rsidRPr="0042150C">
        <w:t>.</w:t>
      </w:r>
    </w:p>
    <w:p w14:paraId="11C85AA1" w14:textId="540CB9A1" w:rsidR="00C93F08" w:rsidRPr="0042150C" w:rsidRDefault="00C93F08" w:rsidP="00C93F08">
      <w:pPr>
        <w:ind w:firstLine="709"/>
      </w:pPr>
      <w:r w:rsidRPr="0042150C">
        <w:t>При угрожающей гиперкалиемии необходимо проведение гемодиализа, являющегося наиболее эффективным средством для снижения содержания калия в сыворотке крови</w:t>
      </w:r>
      <w:r w:rsidRPr="00500D1F">
        <w:t xml:space="preserve"> </w:t>
      </w:r>
      <w:r>
        <w:fldChar w:fldCharType="begin" w:fldLock="1"/>
      </w:r>
      <w:r w:rsidR="00A61993">
        <w:instrText>ADDIN CSL_CITATION {"citationItems":[{"id":"ITEM-1","itemData":{"DOI":"10.1111/j.1365-2141.2010.08143.x","ISSN":"00071048","PMID":"20331465","abstract":"Tumour lysis syndrome (TLS) is a life-threatening oncological emergency characterized by metabolic abnormalities including hyperuricaemia, hyperphosphataemia, hyperkalaemia and hypocalcaemia. These metabolic complications predispose the cancer patient to clinical toxicities including renal insufficiency, cardiac arrhythmias, seizures, neurological complications and potentially sudden death. With the increased availability of newer therapeutic targeted agents, such as rasburicase (recombinant urate oxidase), there are no published guidelines on the risk classification of TLS for individual patients at risk of developing this syndrome. We convened an international TLS expert consensus panel to develop guidelines for a medical decision tree to assign low, intermediate and high risk to patients with cancer at risk for TLS. Risk factors included biological evidence of laboratory TLS (LTLS), proliferation, bulk and stage of malignant tumour and renal impairment and/or involvement at the time of TLS diagnosis. An international TLS consensus expert panel of paediatric and adult oncologists, experts in TLS pathophysiology and experts in TLS prophylaxis and management, developed a final model of low, intermediate and high risk TLS classification and associated TLS prophylaxis recommendations. © 2010 Blackwell Publishing Ltd.","author":[{"dropping-particle":"","family":"Cairo","given":"Mitchell S.","non-dropping-particle":"","parse-names":false,"suffix":""},{"dropping-particle":"","family":"Coiffier","given":"Bertrand","non-dropping-particle":"","parse-names":false,"suffix":""},{"dropping-particle":"","family":"Reiter","given":"Alfred","non-dropping-particle":"","parse-names":false,"suffix":""},{"dropping-particle":"","family":"Younes","given":"Anas","non-dropping-particle":"","parse-names":false,"suffix":""}],"container-title":"British Journal of Haematology","id":"ITEM-1","issue":"4","issued":{"date-parts":[["2010","5"]]},"page":"578-586","publisher":"Br J Haematol","title":"Recommendations for the evaluation of risk and prophylaxis of tumour lysis syndrome (TLS) in adults and children with malignant diseases: An expert TLS panel consensus","type":"article-journal","volume":"149"},"uris":["http://www.mendeley.com/documents/?uuid=7bb20647-3faa-4334-ba19-82c43085a876"]},{"id":"ITEM-2","itemData":{"DOI":"10.1007/s12325-011-0041-1","ISSN":"0741238X","PMID":"21779956","abstract":"Tumor lysis syndrome (TLS) is a life-threatening complication in patients with hematological disease and/or solid tumors that results from rapid, large-scale tumor necrosis occurring spontaneously, or more commonly, as a result of chemotherapy. TLS is characterized by metabolic and electrolyte imbalances that include hyperuricemia, hyperkalemia, hyperphosphatemia, and hypocalcemia. Identification of risk groups as well as early detection of TLS is crucial for the establishment of appropriate strategies of prophylaxis and treatment. Methods: A review of the peerreviewed literature on TLS between 1990 and 2011 was conducted via a systematic search of the PubMed database using the keywords 'TLS' [AND] 'management,' 'risk evaluation,' 'prophylaxis,' and 'treatment.' An expert opinion-based approach was used to review the national and international recommendations and guidelines on the topic. Results: The PubMed search produced 90 results, all of which were evaluated. These studies, together with a recent international consensus panel provided recommendations for evaluating the risk of TLS and providing prophylaxis. Five algorithms are presented that consider all of the factors when assessing the risk for neoplastic disease in general, and specifically for leukemia and lymphoma. Conclusion: The present report provides clinicians with an easily consultable tool to guide the evidence-based management of this oncohematological emergency. © Springer Healthcare 2011.","author":[{"dropping-particle":"","family":"Pession","given":"Andrea","non-dropping-particle":"","parse-names":false,"suffix":""},{"dropping-particle":"","family":"Masetti","given":"Riccardo","non-dropping-particle":"","parse-names":false,"suffix":""},{"dropping-particle":"","family":"Gaidano","given":"Gianluca","non-dropping-particle":"","parse-names":false,"suffix":""},{"dropping-particle":"","family":"Tosi","given":"Patrizia","non-dropping-particle":"","parse-names":false,"suffix":""},{"dropping-particle":"","family":"Rosti","given":"Giovanni","non-dropping-particle":"","parse-names":false,"suffix":""},{"dropping-particle":"","family":"Aglietta","given":"Massimo","non-dropping-particle":"","parse-names":false,"suffix":""},{"dropping-particle":"","family":"Specchia","given":"Giorgina","non-dropping-particle":"","parse-names":false,"suffix":""},{"dropping-particle":"","family":"Porta","given":"Fulvio","non-dropping-particle":"","parse-names":false,"suffix":""}],"container-title":"Advances in Therapy","id":"ITEM-2","issue":"8","issued":{"date-parts":[["2011","8"]]},"page":"684-697","publisher":"Adv Ther","title":"Risk evaluation, prophylaxis, and treatment of tumor lysis syndrome: Consensus of an italian expert panel","type":"article-journal","volume":"28"},"uris":["http://www.mendeley.com/documents/?uuid=3c7e41bc-a8b8-33b0-932f-12578dece577"]},{"id":"ITEM-3","itemData":{"ISSN":"2150-0878 (Print)","PMID":"25031988","abstract":"Tumor lysis syndrome (TLS), an oncologic emergency that typically occurs after the treatment of a malignancy with chemotherapy and/or radiotherapy, is the result of extreme tumor cell lysis with the release of intracellular potassium, nucleic acids, and phosphorus into the systemic circulation. Tumor lysis syndrome occurs most often after administration of cytotoxic therapy in patients with high-grade lymphomas and acute lymphoblastic leukemia, but it can also occur spontaneously in tumor types that have a high proliferative rate and/or a large tumor burden. The metabolic disturbances of TLS include hyperkalemia, hyperphosphatemia, secondary hypocalcemia, hyperuricemia, and acute renal failure. The most important treatment for TLS is prevention. The mainstays of TLS prevention include aggressive hydration, control of hyperuricemia with allopurinol and rasburicase treatment, and close monitoring of electrolyte abnormalities. It is crucial for clinicians to prevent, detect, and treat TLS early to prevent life-threatening complications such as acute renal failure, cardiac dysrhythmia, and seizures. The purpose of this article is to explain the pathophysiology of TLS, identify patients at risk for TLS, and detail strategies for prevention and management of this oncologic emergency.","author":[{"dropping-particle":"","family":"Sarno","given":"Jessica","non-dropping-particle":"","parse-names":false,"suffix":""}],"container-title":"Journal of the advanced practitioner in oncology","id":"ITEM-3","issue":"2","issued":{"date-parts":[["2013"]]},"page":"101-106","publisher":"Harborside Press","title":"Prevention and management of tumor lysis syndrome in adults with malignancy.","type":"article-journal","volume":"4"},"uris":["http://www.mendeley.com/documents/?uuid=ddbd61c7-d6ed-3fad-b126-5db4fff8a476"]}],"mendeley":{"formattedCitation":"[128–130]","plainTextFormattedCitation":"[128–130]","previouslyFormattedCitation":"[128–130]"},"properties":{"noteIndex":0},"schema":"https://github.com/citation-style-language/schema/raw/master/csl-citation.json"}</w:instrText>
      </w:r>
      <w:r>
        <w:fldChar w:fldCharType="separate"/>
      </w:r>
      <w:r w:rsidR="00514D9A" w:rsidRPr="00514D9A">
        <w:rPr>
          <w:noProof/>
        </w:rPr>
        <w:t>[128–130]</w:t>
      </w:r>
      <w:r>
        <w:fldChar w:fldCharType="end"/>
      </w:r>
      <w:r w:rsidRPr="0042150C">
        <w:t>. К консервативным мероприятиям коррекции гиперкалиемии относят введение препаратов кальция, концентрированной глюкозы с инсулином, натрия бикарбоната</w:t>
      </w:r>
      <w:r w:rsidRPr="00500D1F">
        <w:t xml:space="preserve"> </w:t>
      </w:r>
      <w:r>
        <w:fldChar w:fldCharType="begin" w:fldLock="1"/>
      </w:r>
      <w:r w:rsidR="00A61993">
        <w:instrText>ADDIN CSL_CITATION {"citationItems":[{"id":"ITEM-1","itemData":{"DOI":"10.1111/j.1365-2141.2010.08143.x","ISSN":"00071048","PMID":"20331465","abstract":"Tumour lysis syndrome (TLS) is a life-threatening oncological emergency characterized by metabolic abnormalities including hyperuricaemia, hyperphosphataemia, hyperkalaemia and hypocalcaemia. These metabolic complications predispose the cancer patient to clinical toxicities including renal insufficiency, cardiac arrhythmias, seizures, neurological complications and potentially sudden death. With the increased availability of newer therapeutic targeted agents, such as rasburicase (recombinant urate oxidase), there are no published guidelines on the risk classification of TLS for individual patients at risk of developing this syndrome. We convened an international TLS expert consensus panel to develop guidelines for a medical decision tree to assign low, intermediate and high risk to patients with cancer at risk for TLS. Risk factors included biological evidence of laboratory TLS (LTLS), proliferation, bulk and stage of malignant tumour and renal impairment and/or involvement at the time of TLS diagnosis. An international TLS consensus expert panel of paediatric and adult oncologists, experts in TLS pathophysiology and experts in TLS prophylaxis and management, developed a final model of low, intermediate and high risk TLS classification and associated TLS prophylaxis recommendations. © 2010 Blackwell Publishing Ltd.","author":[{"dropping-particle":"","family":"Cairo","given":"Mitchell S.","non-dropping-particle":"","parse-names":false,"suffix":""},{"dropping-particle":"","family":"Coiffier","given":"Bertrand","non-dropping-particle":"","parse-names":false,"suffix":""},{"dropping-particle":"","family":"Reiter","given":"Alfred","non-dropping-particle":"","parse-names":false,"suffix":""},{"dropping-particle":"","family":"Younes","given":"Anas","non-dropping-particle":"","parse-names":false,"suffix":""}],"container-title":"British Journal of Haematology","id":"ITEM-1","issue":"4","issued":{"date-parts":[["2010","5"]]},"page":"578-586","publisher":"Br J Haematol","title":"Recommendations for the evaluation of risk and prophylaxis of tumour lysis syndrome (TLS) in adults and children with malignant diseases: An expert TLS panel consensus","type":"article-journal","volume":"149"},"uris":["http://www.mendeley.com/documents/?uuid=7bb20647-3faa-4334-ba19-82c43085a876"]},{"id":"ITEM-2","itemData":{"DOI":"10.1007/s12325-011-0041-1","ISSN":"0741238X","PMID":"21779956","abstract":"Tumor lysis syndrome (TLS) is a life-threatening complication in patients with hematological disease and/or solid tumors that results from rapid, large-scale tumor necrosis occurring spontaneously, or more commonly, as a result of chemotherapy. TLS is characterized by metabolic and electrolyte imbalances that include hyperuricemia, hyperkalemia, hyperphosphatemia, and hypocalcemia. Identification of risk groups as well as early detection of TLS is crucial for the establishment of appropriate strategies of prophylaxis and treatment. Methods: A review of the peerreviewed literature on TLS between 1990 and 2011 was conducted via a systematic search of the PubMed database using the keywords 'TLS' [AND] 'management,' 'risk evaluation,' 'prophylaxis,' and 'treatment.' An expert opinion-based approach was used to review the national and international recommendations and guidelines on the topic. Results: The PubMed search produced 90 results, all of which were evaluated. These studies, together with a recent international consensus panel provided recommendations for evaluating the risk of TLS and providing prophylaxis. Five algorithms are presented that consider all of the factors when assessing the risk for neoplastic disease in general, and specifically for leukemia and lymphoma. Conclusion: The present report provides clinicians with an easily consultable tool to guide the evidence-based management of this oncohematological emergency. © Springer Healthcare 2011.","author":[{"dropping-particle":"","family":"Pession","given":"Andrea","non-dropping-particle":"","parse-names":false,"suffix":""},{"dropping-particle":"","family":"Masetti","given":"Riccardo","non-dropping-particle":"","parse-names":false,"suffix":""},{"dropping-particle":"","family":"Gaidano","given":"Gianluca","non-dropping-particle":"","parse-names":false,"suffix":""},{"dropping-particle":"","family":"Tosi","given":"Patrizia","non-dropping-particle":"","parse-names":false,"suffix":""},{"dropping-particle":"","family":"Rosti","given":"Giovanni","non-dropping-particle":"","parse-names":false,"suffix":""},{"dropping-particle":"","family":"Aglietta","given":"Massimo","non-dropping-particle":"","parse-names":false,"suffix":""},{"dropping-particle":"","family":"Specchia","given":"Giorgina","non-dropping-particle":"","parse-names":false,"suffix":""},{"dropping-particle":"","family":"Porta","given":"Fulvio","non-dropping-particle":"","parse-names":false,"suffix":""}],"container-title":"Advances in Therapy","id":"ITEM-2","issue":"8","issued":{"date-parts":[["2011","8"]]},"page":"684-697","publisher":"Adv Ther","title":"Risk evaluation, prophylaxis, and treatment of tumor lysis syndrome: Consensus of an italian expert panel","type":"article-journal","volume":"28"},"uris":["http://www.mendeley.com/documents/?uuid=3c7e41bc-a8b8-33b0-932f-12578dece577"]},{"id":"ITEM-3","itemData":{"ISSN":"2150-0878 (Print)","PMID":"25031988","abstract":"Tumor lysis syndrome (TLS), an oncologic emergency that typically occurs after the treatment of a malignancy with chemotherapy and/or radiotherapy, is the result of extreme tumor cell lysis with the release of intracellular potassium, nucleic acids, and phosphorus into the systemic circulation. Tumor lysis syndrome occurs most often after administration of cytotoxic therapy in patients with high-grade lymphomas and acute lymphoblastic leukemia, but it can also occur spontaneously in tumor types that have a high proliferative rate and/or a large tumor burden. The metabolic disturbances of TLS include hyperkalemia, hyperphosphatemia, secondary hypocalcemia, hyperuricemia, and acute renal failure. The most important treatment for TLS is prevention. The mainstays of TLS prevention include aggressive hydration, control of hyperuricemia with allopurinol and rasburicase treatment, and close monitoring of electrolyte abnormalities. It is crucial for clinicians to prevent, detect, and treat TLS early to prevent life-threatening complications such as acute renal failure, cardiac dysrhythmia, and seizures. The purpose of this article is to explain the pathophysiology of TLS, identify patients at risk for TLS, and detail strategies for prevention and management of this oncologic emergency.","author":[{"dropping-particle":"","family":"Sarno","given":"Jessica","non-dropping-particle":"","parse-names":false,"suffix":""}],"container-title":"Journal of the advanced practitioner in oncology","id":"ITEM-3","issue":"2","issued":{"date-parts":[["2013"]]},"page":"101-106","publisher":"Harborside Press","title":"Prevention and management of tumor lysis syndrome in adults with malignancy.","type":"article-journal","volume":"4"},"uris":["http://www.mendeley.com/documents/?uuid=ddbd61c7-d6ed-3fad-b126-5db4fff8a476"]}],"mendeley":{"formattedCitation":"[128–130]","plainTextFormattedCitation":"[128–130]","previouslyFormattedCitation":"[128–130]"},"properties":{"noteIndex":0},"schema":"https://github.com/citation-style-language/schema/raw/master/csl-citation.json"}</w:instrText>
      </w:r>
      <w:r>
        <w:fldChar w:fldCharType="separate"/>
      </w:r>
      <w:r w:rsidR="00514D9A" w:rsidRPr="00514D9A">
        <w:rPr>
          <w:noProof/>
        </w:rPr>
        <w:t>[128–130]</w:t>
      </w:r>
      <w:r>
        <w:fldChar w:fldCharType="end"/>
      </w:r>
      <w:r w:rsidRPr="0042150C">
        <w:t xml:space="preserve">. Ионы кальция по влиянию на сердце являются антагонистами ионов калия. Глюконат или хлорид кальция 10% - 10-20 мл вводится внутривенно очень медленно. При отсутствии эффекта возможно повторное введение </w:t>
      </w:r>
      <w:r>
        <w:t xml:space="preserve">препарата </w:t>
      </w:r>
      <w:r w:rsidRPr="0042150C">
        <w:t xml:space="preserve">через 5-10 минут. Действие препаратов кальция начинается через несколько минут после внутривенного введения и продолжается в течение 20-30 минут. Концентрированная глюкоза стимулирует трансклеточный переход калия, его поглощение клетками печени и мышечными волокнами скелетной мускулатуры. Обычно вводится 500 мл 20% глюкозы с 20 </w:t>
      </w:r>
      <w:r>
        <w:t>МЕ</w:t>
      </w:r>
      <w:r w:rsidRPr="0042150C">
        <w:t xml:space="preserve"> инсулина в течение 1 часа. Натрия бикарбонат также потенцирует внутриклеточный переход ионов калия, однако его нельзя назначать одновременно с препаратами кальция в связи с возможностью связывания ионов кальция.</w:t>
      </w:r>
    </w:p>
    <w:p w14:paraId="4E497ACD" w14:textId="59A2669D" w:rsidR="00C93F08" w:rsidRPr="0042150C" w:rsidRDefault="00C93F08" w:rsidP="00C93F08">
      <w:pPr>
        <w:ind w:firstLine="709"/>
      </w:pPr>
      <w:r w:rsidRPr="0042150C">
        <w:t>С целью предотвращения гиперурикемии при большой опухолевой массе, интенсивной химиотерапии всегда должна предшествовать предфаза, помогающая постепенно сократить опухолевую массу и предотвратить развитие СЛО</w:t>
      </w:r>
      <w:r w:rsidRPr="00500D1F">
        <w:t xml:space="preserve"> </w:t>
      </w:r>
      <w:r>
        <w:fldChar w:fldCharType="begin" w:fldLock="1"/>
      </w:r>
      <w:r w:rsidR="00A61993">
        <w:instrText>ADDIN CSL_CITATION {"citationItems":[{"id":"ITEM-1","itemData":{"DOI":"10.1111/j.1365-2141.2010.08143.x","ISSN":"00071048","PMID":"20331465","abstract":"Tumour lysis syndrome (TLS) is a life-threatening oncological emergency characterized by metabolic abnormalities including hyperuricaemia, hyperphosphataemia, hyperkalaemia and hypocalcaemia. These metabolic complications predispose the cancer patient to clinical toxicities including renal insufficiency, cardiac arrhythmias, seizures, neurological complications and potentially sudden death. With the increased availability of newer therapeutic targeted agents, such as rasburicase (recombinant urate oxidase), there are no published guidelines on the risk classification of TLS for individual patients at risk of developing this syndrome. We convened an international TLS expert consensus panel to develop guidelines for a medical decision tree to assign low, intermediate and high risk to patients with cancer at risk for TLS. Risk factors included biological evidence of laboratory TLS (LTLS), proliferation, bulk and stage of malignant tumour and renal impairment and/or involvement at the time of TLS diagnosis. An international TLS consensus expert panel of paediatric and adult oncologists, experts in TLS pathophysiology and experts in TLS prophylaxis and management, developed a final model of low, intermediate and high risk TLS classification and associated TLS prophylaxis recommendations. © 2010 Blackwell Publishing Ltd.","author":[{"dropping-particle":"","family":"Cairo","given":"Mitchell S.","non-dropping-particle":"","parse-names":false,"suffix":""},{"dropping-particle":"","family":"Coiffier","given":"Bertrand","non-dropping-particle":"","parse-names":false,"suffix":""},{"dropping-particle":"","family":"Reiter","given":"Alfred","non-dropping-particle":"","parse-names":false,"suffix":""},{"dropping-particle":"","family":"Younes","given":"Anas","non-dropping-particle":"","parse-names":false,"suffix":""}],"container-title":"British Journal of Haematology","id":"ITEM-1","issue":"4","issued":{"date-parts":[["2010","5"]]},"page":"578-586","publisher":"Br J Haematol","title":"Recommendations for the evaluation of risk and prophylaxis of tumour lysis syndrome (TLS) in adults and children with malignant diseases: An expert TLS panel consensus","type":"article-journal","volume":"149"},"uris":["http://www.mendeley.com/documents/?uuid=7bb20647-3faa-4334-ba19-82c43085a876"]},{"id":"ITEM-2","itemData":{"DOI":"10.1007/s12325-011-0041-1","ISSN":"0741238X","PMID":"21779956","abstract":"Tumor lysis syndrome (TLS) is a life-threatening complication in patients with hematological disease and/or solid tumors that results from rapid, large-scale tumor necrosis occurring spontaneously, or more commonly, as a result of chemotherapy. TLS is characterized by metabolic and electrolyte imbalances that include hyperuricemia, hyperkalemia, hyperphosphatemia, and hypocalcemia. Identification of risk groups as well as early detection of TLS is crucial for the establishment of appropriate strategies of prophylaxis and treatment. Methods: A review of the peerreviewed literature on TLS between 1990 and 2011 was conducted via a systematic search of the PubMed database using the keywords 'TLS' [AND] 'management,' 'risk evaluation,' 'prophylaxis,' and 'treatment.' An expert opinion-based approach was used to review the national and international recommendations and guidelines on the topic. Results: The PubMed search produced 90 results, all of which were evaluated. These studies, together with a recent international consensus panel provided recommendations for evaluating the risk of TLS and providing prophylaxis. Five algorithms are presented that consider all of the factors when assessing the risk for neoplastic disease in general, and specifically for leukemia and lymphoma. Conclusion: The present report provides clinicians with an easily consultable tool to guide the evidence-based management of this oncohematological emergency. © Springer Healthcare 2011.","author":[{"dropping-particle":"","family":"Pession","given":"Andrea","non-dropping-particle":"","parse-names":false,"suffix":""},{"dropping-particle":"","family":"Masetti","given":"Riccardo","non-dropping-particle":"","parse-names":false,"suffix":""},{"dropping-particle":"","family":"Gaidano","given":"Gianluca","non-dropping-particle":"","parse-names":false,"suffix":""},{"dropping-particle":"","family":"Tosi","given":"Patrizia","non-dropping-particle":"","parse-names":false,"suffix":""},{"dropping-particle":"","family":"Rosti","given":"Giovanni","non-dropping-particle":"","parse-names":false,"suffix":""},{"dropping-particle":"","family":"Aglietta","given":"Massimo","non-dropping-particle":"","parse-names":false,"suffix":""},{"dropping-particle":"","family":"Specchia","given":"Giorgina","non-dropping-particle":"","parse-names":false,"suffix":""},{"dropping-particle":"","family":"Porta","given":"Fulvio","non-dropping-particle":"","parse-names":false,"suffix":""}],"container-title":"Advances in Therapy","id":"ITEM-2","issue":"8","issued":{"date-parts":[["2011","8"]]},"page":"684-697","publisher":"Adv Ther","title":"Risk evaluation, prophylaxis, and treatment of tumor lysis syndrome: Consensus of an italian expert panel","type":"article-journal","volume":"28"},"uris":["http://www.mendeley.com/documents/?uuid=3c7e41bc-a8b8-33b0-932f-12578dece577"]},{"id":"ITEM-3","itemData":{"ISSN":"2150-0878 (Print)","PMID":"25031988","abstract":"Tumor lysis syndrome (TLS), an oncologic emergency that typically occurs after the treatment of a malignancy with chemotherapy and/or radiotherapy, is the result of extreme tumor cell lysis with the release of intracellular potassium, nucleic acids, and phosphorus into the systemic circulation. Tumor lysis syndrome occurs most often after administration of cytotoxic therapy in patients with high-grade lymphomas and acute lymphoblastic leukemia, but it can also occur spontaneously in tumor types that have a high proliferative rate and/or a large tumor burden. The metabolic disturbances of TLS include hyperkalemia, hyperphosphatemia, secondary hypocalcemia, hyperuricemia, and acute renal failure. The most important treatment for TLS is prevention. The mainstays of TLS prevention include aggressive hydration, control of hyperuricemia with allopurinol and rasburicase treatment, and close monitoring of electrolyte abnormalities. It is crucial for clinicians to prevent, detect, and treat TLS early to prevent life-threatening complications such as acute renal failure, cardiac dysrhythmia, and seizures. The purpose of this article is to explain the pathophysiology of TLS, identify patients at risk for TLS, and detail strategies for prevention and management of this oncologic emergency.","author":[{"dropping-particle":"","family":"Sarno","given":"Jessica","non-dropping-particle":"","parse-names":false,"suffix":""}],"container-title":"Journal of the advanced practitioner in oncology","id":"ITEM-3","issue":"2","issued":{"date-parts":[["2013"]]},"page":"101-106","publisher":"Harborside Press","title":"Prevention and management of tumor lysis syndrome in adults with malignancy.","type":"article-journal","volume":"4"},"uris":["http://www.mendeley.com/documents/?uuid=ddbd61c7-d6ed-3fad-b126-5db4fff8a476"]}],"mendeley":{"formattedCitation":"[128–130]","plainTextFormattedCitation":"[128–130]","previouslyFormattedCitation":"[128–130]"},"properties":{"noteIndex":0},"schema":"https://github.com/citation-style-language/schema/raw/master/csl-citation.json"}</w:instrText>
      </w:r>
      <w:r>
        <w:fldChar w:fldCharType="separate"/>
      </w:r>
      <w:r w:rsidR="00514D9A" w:rsidRPr="00514D9A">
        <w:rPr>
          <w:noProof/>
        </w:rPr>
        <w:t>[128–130]</w:t>
      </w:r>
      <w:r>
        <w:fldChar w:fldCharType="end"/>
      </w:r>
      <w:r w:rsidRPr="0042150C">
        <w:t>. С целью предотвращения преобразования ксантина и гипоксантина в мочевую кислоту назначают аллопуринол, являющийся структурным аналогом гипоксантина</w:t>
      </w:r>
      <w:r w:rsidRPr="00500D1F">
        <w:t xml:space="preserve"> </w:t>
      </w:r>
      <w:r>
        <w:fldChar w:fldCharType="begin" w:fldLock="1"/>
      </w:r>
      <w:r w:rsidR="00A61993">
        <w:instrText>ADDIN CSL_CITATION {"citationItems":[{"id":"ITEM-1","itemData":{"DOI":"10.1111/j.1365-2141.2010.08143.x","ISSN":"00071048","PMID":"20331465","abstract":"Tumour lysis syndrome (TLS) is a life-threatening oncological emergency characterized by metabolic abnormalities including hyperuricaemia, hyperphosphataemia, hyperkalaemia and hypocalcaemia. These metabolic complications predispose the cancer patient to clinical toxicities including renal insufficiency, cardiac arrhythmias, seizures, neurological complications and potentially sudden death. With the increased availability of newer therapeutic targeted agents, such as rasburicase (recombinant urate oxidase), there are no published guidelines on the risk classification of TLS for individual patients at risk of developing this syndrome. We convened an international TLS expert consensus panel to develop guidelines for a medical decision tree to assign low, intermediate and high risk to patients with cancer at risk for TLS. Risk factors included biological evidence of laboratory TLS (LTLS), proliferation, bulk and stage of malignant tumour and renal impairment and/or involvement at the time of TLS diagnosis. An international TLS consensus expert panel of paediatric and adult oncologists, experts in TLS pathophysiology and experts in TLS prophylaxis and management, developed a final model of low, intermediate and high risk TLS classification and associated TLS prophylaxis recommendations. © 2010 Blackwell Publishing Ltd.","author":[{"dropping-particle":"","family":"Cairo","given":"Mitchell S.","non-dropping-particle":"","parse-names":false,"suffix":""},{"dropping-particle":"","family":"Coiffier","given":"Bertrand","non-dropping-particle":"","parse-names":false,"suffix":""},{"dropping-particle":"","family":"Reiter","given":"Alfred","non-dropping-particle":"","parse-names":false,"suffix":""},{"dropping-particle":"","family":"Younes","given":"Anas","non-dropping-particle":"","parse-names":false,"suffix":""}],"container-title":"British Journal of Haematology","id":"ITEM-1","issue":"4","issued":{"date-parts":[["2010","5"]]},"page":"578-586","publisher":"Br J Haematol","title":"Recommendations for the evaluation of risk and prophylaxis of tumour lysis syndrome (TLS) in adults and children with malignant diseases: An expert TLS panel consensus","type":"article-journal","volume":"149"},"uris":["http://www.mendeley.com/documents/?uuid=7bb20647-3faa-4334-ba19-82c43085a876"]},{"id":"ITEM-2","itemData":{"DOI":"10.1007/s12325-011-0041-1","ISSN":"0741238X","PMID":"21779956","abstract":"Tumor lysis syndrome (TLS) is a life-threatening complication in patients with hematological disease and/or solid tumors that results from rapid, large-scale tumor necrosis occurring spontaneously, or more commonly, as a result of chemotherapy. TLS is characterized by metabolic and electrolyte imbalances that include hyperuricemia, hyperkalemia, hyperphosphatemia, and hypocalcemia. Identification of risk groups as well as early detection of TLS is crucial for the establishment of appropriate strategies of prophylaxis and treatment. Methods: A review of the peerreviewed literature on TLS between 1990 and 2011 was conducted via a systematic search of the PubMed database using the keywords 'TLS' [AND] 'management,' 'risk evaluation,' 'prophylaxis,' and 'treatment.' An expert opinion-based approach was used to review the national and international recommendations and guidelines on the topic. Results: The PubMed search produced 90 results, all of which were evaluated. These studies, together with a recent international consensus panel provided recommendations for evaluating the risk of TLS and providing prophylaxis. Five algorithms are presented that consider all of the factors when assessing the risk for neoplastic disease in general, and specifically for leukemia and lymphoma. Conclusion: The present report provides clinicians with an easily consultable tool to guide the evidence-based management of this oncohematological emergency. © Springer Healthcare 2011.","author":[{"dropping-particle":"","family":"Pession","given":"Andrea","non-dropping-particle":"","parse-names":false,"suffix":""},{"dropping-particle":"","family":"Masetti","given":"Riccardo","non-dropping-particle":"","parse-names":false,"suffix":""},{"dropping-particle":"","family":"Gaidano","given":"Gianluca","non-dropping-particle":"","parse-names":false,"suffix":""},{"dropping-particle":"","family":"Tosi","given":"Patrizia","non-dropping-particle":"","parse-names":false,"suffix":""},{"dropping-particle":"","family":"Rosti","given":"Giovanni","non-dropping-particle":"","parse-names":false,"suffix":""},{"dropping-particle":"","family":"Aglietta","given":"Massimo","non-dropping-particle":"","parse-names":false,"suffix":""},{"dropping-particle":"","family":"Specchia","given":"Giorgina","non-dropping-particle":"","parse-names":false,"suffix":""},{"dropping-particle":"","family":"Porta","given":"Fulvio","non-dropping-particle":"","parse-names":false,"suffix":""}],"container-title":"Advances in Therapy","id":"ITEM-2","issue":"8","issued":{"date-parts":[["2011","8"]]},"page":"684-697","publisher":"Adv Ther","title":"Risk evaluation, prophylaxis, and treatment of tumor lysis syndrome: Consensus of an italian expert panel","type":"article-journal","volume":"28"},"uris":["http://www.mendeley.com/documents/?uuid=3c7e41bc-a8b8-33b0-932f-12578dece577"]},{"id":"ITEM-3","itemData":{"ISSN":"2150-0878 (Print)","PMID":"25031988","abstract":"Tumor lysis syndrome (TLS), an oncologic emergency that typically occurs after the treatment of a malignancy with chemotherapy and/or radiotherapy, is the result of extreme tumor cell lysis with the release of intracellular potassium, nucleic acids, and phosphorus into the systemic circulation. Tumor lysis syndrome occurs most often after administration of cytotoxic therapy in patients with high-grade lymphomas and acute lymphoblastic leukemia, but it can also occur spontaneously in tumor types that have a high proliferative rate and/or a large tumor burden. The metabolic disturbances of TLS include hyperkalemia, hyperphosphatemia, secondary hypocalcemia, hyperuricemia, and acute renal failure. The most important treatment for TLS is prevention. The mainstays of TLS prevention include aggressive hydration, control of hyperuricemia with allopurinol and rasburicase treatment, and close monitoring of electrolyte abnormalities. It is crucial for clinicians to prevent, detect, and treat TLS early to prevent life-threatening complications such as acute renal failure, cardiac dysrhythmia, and seizures. The purpose of this article is to explain the pathophysiology of TLS, identify patients at risk for TLS, and detail strategies for prevention and management of this oncologic emergency.","author":[{"dropping-particle":"","family":"Sarno","given":"Jessica","non-dropping-particle":"","parse-names":false,"suffix":""}],"container-title":"Journal of the advanced practitioner in oncology","id":"ITEM-3","issue":"2","issued":{"date-parts":[["2013"]]},"page":"101-106","publisher":"Harborside Press","title":"Prevention and management of tumor lysis syndrome in adults with malignancy.","type":"article-journal","volume":"4"},"uris":["http://www.mendeley.com/documents/?uuid=ddbd61c7-d6ed-3fad-b126-5db4fff8a476"]}],"mendeley":{"formattedCitation":"[128–130]","plainTextFormattedCitation":"[128–130]","previouslyFormattedCitation":"[128–130]"},"properties":{"noteIndex":0},"schema":"https://github.com/citation-style-language/schema/raw/master/csl-citation.json"}</w:instrText>
      </w:r>
      <w:r>
        <w:fldChar w:fldCharType="separate"/>
      </w:r>
      <w:r w:rsidR="00514D9A" w:rsidRPr="00514D9A">
        <w:rPr>
          <w:noProof/>
        </w:rPr>
        <w:t>[128–130]</w:t>
      </w:r>
      <w:r>
        <w:fldChar w:fldCharType="end"/>
      </w:r>
      <w:r w:rsidRPr="0042150C">
        <w:t xml:space="preserve">. </w:t>
      </w:r>
      <w:r w:rsidRPr="0042150C">
        <w:lastRenderedPageBreak/>
        <w:t xml:space="preserve">Аллопуринол ингибирует ксантиноксидазу, что приводит к снижению образования мочевой кислоты. Препарат назначается внутрь в дозе 600 мг в сутки за 1-3 дня до начала предфазы и далее непрерывно в течение курсов химиотерапии до момента максимального сокращения размеров опухолевых очагов, после чего доза аллопуринола сокращается до 300 мг в сутки и используется до окончания химиотерапии. Для повышения растворимости мочевой кислоты необходима щелочная среда. С этой целью назначается 4% раствор натрия гидрокарбоната из расчета 15-25 мл/час либо круглосуточно в виде непрерывной инфузии, либо болюсными введениями 4-6 раз в сутки в течение всей предфазы и 1-го курса химиотерапии. Как правило, вышеуказанной дозы достаточно для адекватного ощелачивания мочи, </w:t>
      </w:r>
      <w:r>
        <w:rPr>
          <w:lang w:val="en-US"/>
        </w:rPr>
        <w:t>pH</w:t>
      </w:r>
      <w:r w:rsidRPr="0042150C">
        <w:t xml:space="preserve"> которой должен быть 7,0 и более. Контроль следует проводить не реже 1 раза в сутки с целью коррекция дозы вводимого гидрокарбоната натрия. </w:t>
      </w:r>
    </w:p>
    <w:p w14:paraId="73F8D9AB" w14:textId="5ED2485C" w:rsidR="00C93F08" w:rsidRDefault="00C93F08" w:rsidP="00C93F08">
      <w:pPr>
        <w:ind w:firstLine="709"/>
      </w:pPr>
      <w:r w:rsidRPr="0042150C">
        <w:t xml:space="preserve">Тяжелый СЛО часто осложняется развитием гипокоагуляционной фазы синдрома диссеминированного внутрисосудистого свертывания, требующего массивной заместительной терапии свежезамороженной плазмой (не мене 1000 мл 2 раза в день), концентратами тромбоцитов и нередко </w:t>
      </w:r>
      <w:r w:rsidRPr="0042150C">
        <w:rPr>
          <w:rFonts w:ascii="Calibri" w:hAnsi="Calibri"/>
        </w:rPr>
        <w:t>–</w:t>
      </w:r>
      <w:r w:rsidRPr="0042150C">
        <w:t xml:space="preserve"> проведения плазмафереза.</w:t>
      </w:r>
    </w:p>
    <w:p w14:paraId="442EDE12" w14:textId="687F4E0A" w:rsidR="008B453D" w:rsidRDefault="008B453D" w:rsidP="00C93F08">
      <w:pPr>
        <w:ind w:firstLine="709"/>
      </w:pPr>
    </w:p>
    <w:p w14:paraId="73F182B3" w14:textId="53D5049F" w:rsidR="009F7A84" w:rsidRDefault="008B453D" w:rsidP="009F7A84">
      <w:pPr>
        <w:pStyle w:val="2"/>
        <w:spacing w:before="0"/>
      </w:pPr>
      <w:bookmarkStart w:id="67" w:name="_Toc66096843"/>
      <w:r w:rsidRPr="000322E4">
        <w:t>7.</w:t>
      </w:r>
      <w:r>
        <w:t xml:space="preserve">9 </w:t>
      </w:r>
      <w:bookmarkStart w:id="68" w:name="_Toc64295957"/>
      <w:bookmarkStart w:id="69" w:name="_Toc64479345"/>
      <w:r w:rsidR="009F7A84">
        <w:t>Профилактика, диагностика и лечение тромботических осложнений</w:t>
      </w:r>
      <w:bookmarkEnd w:id="67"/>
      <w:bookmarkEnd w:id="68"/>
      <w:bookmarkEnd w:id="69"/>
    </w:p>
    <w:p w14:paraId="13300165" w14:textId="1A809677" w:rsidR="009F7A84" w:rsidRDefault="009F7A84" w:rsidP="009F7A84">
      <w:pPr>
        <w:ind w:firstLine="709"/>
      </w:pPr>
      <w:r>
        <w:t>При гематологических заболеваниях, как первично, так и в процессе их лечения часто возникают тромботические осложнения, требующие профилактики и терапии. Частота тромботических нарушений при опухолях системы крови различна, проведение химиотерапии (ХТ) увеличивает частоту тромботических осложнений практически в 2 раза с 2.21% до 4.24% относительно исходного уровня</w:t>
      </w:r>
      <w:r w:rsidRPr="002470CB">
        <w:t xml:space="preserve"> </w:t>
      </w:r>
      <w:r>
        <w:fldChar w:fldCharType="begin" w:fldLock="1"/>
      </w:r>
      <w:r w:rsidR="009F4636">
        <w:instrText>ADDIN CSL_CITATION {"citationItems":[{"id":"ITEM-1","itemData":{"DOI":"10.1016/j.critrevonc.2018.02.003","ISSN":"18790461","PMID":"29548485","abstract":"Venous Thromboembolism (VTE) frequently complicates the course of hematologic malignancies (HM) and its incidence is similar to that observed in high-risk solid tumors. Despite that, pharmacologic prophylaxis and treatment of VTE in patients with HM is challenging, mainly because a severe thrombocytopenia frequently complicates the course of treatments or may be present since diagnosis, thus increasing the risk of bleeding. Therefore, in this setting, safe and effective methods of VTE prophylaxis and treatment have not been well defined and hematologists generally refer to guidelines produced for cancer patients that give indications on anticoagulation in patients with thrombocytopenia. In this review, besides to summarize the incidence and the available data on prophylaxis and treatment of VTE in HM, we give some advices on how to use antithrombotic drugs in patients with HM according to platelets count.","author":[{"dropping-particle":"","family":"Annibali","given":"Ombretta","non-dropping-particle":"","parse-names":false,"suffix":""},{"dropping-particle":"","family":"Napolitano","given":"Mariasanta","non-dropping-particle":"","parse-names":false,"suffix":""},{"dropping-particle":"","family":"Avvisati","given":"Giuseppe","non-dropping-particle":"","parse-names":false,"suffix":""},{"dropping-particle":"","family":"Siragusa","given":"Sergio","non-dropping-particle":"","parse-names":false,"suffix":""}],"container-title":"Critical Reviews in Oncology/Hematology","id":"ITEM-1","issued":{"date-parts":[["2018","4","1"]]},"page":"41-50","publisher":"Elsevier Ireland Ltd","title":"Incidence of venous thromboembolism and use of anticoagulation in hematological malignancies: Critical review of the literature","type":"article","volume":"124"},"uris":["http://www.mendeley.com/documents/?uuid=22f80e37-ad15-39e0-a4bd-123ad1adb983"]},{"id":"ITEM-2","itemData":{"DOI":"10.1097/CCO.0b013e3283592331","ISSN":"10408746","PMID":"23014188","abstract":"Purpose of Review: This review summarizes the current knowledge of the epidemiology, prophylaxis, and treatment of venous thromboembolism (VTE) in patients with lymphoma, multiple myeloma or acute leukemia. Recent Findings: Hematologic malignancies are associated with a high risk of thrombotic complications. The incidence of these events is greatly variable and is influenced by many factors, including the type and the stage of disease, antitumor therapies, and the use of central venous device (CVD). Epidemiological data allow an estimate of the incidence of VTE in acute leukemia, lymphomas, and multiple myeloma. The effect of chemotherapy on the incidence of thrombosis is particularly evident in acute leukemia as it causes the exacerbation of the clotting/bleeding syndrome typical of this disease. The role of chemotherapy is also relevant in lymphoma, and in multiple myeloma, in which the use of immunomodulating agents, in combination with chemotherapy and steroids significantly increases the risk of VTE. Summary: Thrombotic complications have a significant impact on morbidity and mortality of hematological cancer patients, therefore, in this setting, the issue of thromboprophylaxis to prevent VTE is important. However, no clear recommendation in these conditions is available, with the exception of multiple myeloma. Large prospective randomized clinical trials are needed to establish the best practice for prevention and treatment of VTE in these types of malignant diseases. © 2012 Wolters Kluwer Health | Lippincott Williams &amp; Wilkins.","author":[{"dropping-particle":"","family":"Falanga","given":"Anna","non-dropping-particle":"","parse-names":false,"suffix":""},{"dropping-particle":"","family":"Marchetti","given":"Marina","non-dropping-particle":"","parse-names":false,"suffix":""},{"dropping-particle":"","family":"Russo","given":"Laura","non-dropping-particle":"","parse-names":false,"suffix":""}],"container-title":"Current Opinion in Oncology","id":"ITEM-2","issue":"6","issued":{"date-parts":[["2012","11"]]},"page":"702-710","publisher":"Curr Opin Oncol","title":"Venous thromboembolism in the hematologic malignancies","type":"article","volume":"24"},"uris":["http://www.mendeley.com/documents/?uuid=59d797ff-66d3-3605-b564-548d92885ee6"]}],"mendeley":{"formattedCitation":"[131,132]","plainTextFormattedCitation":"[131,132]","previouslyFormattedCitation":"[131,132]"},"properties":{"noteIndex":0},"schema":"https://github.com/citation-style-language/schema/raw/master/csl-citation.json"}</w:instrText>
      </w:r>
      <w:r>
        <w:fldChar w:fldCharType="separate"/>
      </w:r>
      <w:r w:rsidR="00A61993" w:rsidRPr="00A61993">
        <w:rPr>
          <w:noProof/>
        </w:rPr>
        <w:t>[131,132]</w:t>
      </w:r>
      <w:r>
        <w:fldChar w:fldCharType="end"/>
      </w:r>
      <w:r>
        <w:t xml:space="preserve">. Причинами тромбозов у пациентов онкогематологическими заболеваниями, в частности с лимфомами, могут быть </w:t>
      </w:r>
      <w:r>
        <w:fldChar w:fldCharType="begin" w:fldLock="1"/>
      </w:r>
      <w:r w:rsidR="009F4636">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[133]","plainTextFormattedCitation":"[133]","previouslyFormattedCitation":"[133]"},"properties":{"noteIndex":0},"schema":"https://github.com/citation-style-language/schema/raw/master/csl-citation.json"}</w:instrText>
      </w:r>
      <w:r>
        <w:fldChar w:fldCharType="separate"/>
      </w:r>
      <w:r w:rsidR="00A61993" w:rsidRPr="00A61993">
        <w:rPr>
          <w:noProof/>
        </w:rPr>
        <w:t>[133]</w:t>
      </w:r>
      <w:r>
        <w:fldChar w:fldCharType="end"/>
      </w:r>
      <w:r>
        <w:t>:</w:t>
      </w:r>
    </w:p>
    <w:p w14:paraId="33B2369D" w14:textId="77777777" w:rsidR="009F7A84" w:rsidRPr="00F62DEE" w:rsidRDefault="009F7A84" w:rsidP="009F7A84">
      <w:pPr>
        <w:numPr>
          <w:ilvl w:val="0"/>
          <w:numId w:val="63"/>
        </w:numPr>
      </w:pPr>
      <w:r w:rsidRPr="00E5560E">
        <w:t>механические факторы (сдавление опухолью кровеносного сосуда, центральный или периферический венозные катетеры, нарушение целостности эндотелия некоторыми химиопрепаратами и др.);</w:t>
      </w:r>
    </w:p>
    <w:p w14:paraId="56E60458" w14:textId="77777777" w:rsidR="009F7A84" w:rsidRPr="00F62DEE" w:rsidRDefault="009F7A84" w:rsidP="009F7A84">
      <w:pPr>
        <w:numPr>
          <w:ilvl w:val="0"/>
          <w:numId w:val="63"/>
        </w:numPr>
      </w:pPr>
      <w:r w:rsidRPr="00E5560E">
        <w:t>коагулогические факторы (повышение или снижение активности факторов свертывания крови, повышение агрегационных свойств тромбоцитов и гипертромбоцитоз);</w:t>
      </w:r>
    </w:p>
    <w:p w14:paraId="51417F9B" w14:textId="77777777" w:rsidR="009F7A84" w:rsidRPr="00F62DEE" w:rsidRDefault="009F7A84" w:rsidP="009F7A84">
      <w:pPr>
        <w:numPr>
          <w:ilvl w:val="0"/>
          <w:numId w:val="63"/>
        </w:numPr>
      </w:pPr>
      <w:r w:rsidRPr="00E5560E">
        <w:t xml:space="preserve">реологические факторы (в том числе за счет гиперлейкоцитоза, эритроцитоза, гипертромбоцитоза); </w:t>
      </w:r>
    </w:p>
    <w:p w14:paraId="58C93CC4" w14:textId="77777777" w:rsidR="009F7A84" w:rsidRPr="00F62DEE" w:rsidRDefault="009F7A84" w:rsidP="009F7A84">
      <w:pPr>
        <w:numPr>
          <w:ilvl w:val="0"/>
          <w:numId w:val="63"/>
        </w:numPr>
      </w:pPr>
      <w:r w:rsidRPr="00E5560E">
        <w:t>химиолучевая терапия.</w:t>
      </w:r>
    </w:p>
    <w:p w14:paraId="3B2D14C7" w14:textId="77777777" w:rsidR="009F7A84" w:rsidRDefault="009F7A84" w:rsidP="009F7A84">
      <w:pPr>
        <w:ind w:firstLine="709"/>
      </w:pPr>
      <w:r>
        <w:t>Эти факторы часто сочетаются друг с другом.</w:t>
      </w:r>
    </w:p>
    <w:p w14:paraId="4B82ED82" w14:textId="77777777" w:rsidR="009F7A84" w:rsidRDefault="009F7A84" w:rsidP="009F7A84">
      <w:pPr>
        <w:ind w:firstLine="567"/>
      </w:pPr>
    </w:p>
    <w:p w14:paraId="78DE7E8C" w14:textId="77777777" w:rsidR="009F7A84" w:rsidRPr="00E5560E" w:rsidRDefault="009F7A84" w:rsidP="009F7A84">
      <w:pPr>
        <w:rPr>
          <w:i/>
          <w:iCs/>
          <w:u w:val="single"/>
        </w:rPr>
      </w:pPr>
      <w:r w:rsidRPr="00E5560E">
        <w:rPr>
          <w:i/>
          <w:iCs/>
          <w:u w:val="single"/>
        </w:rPr>
        <w:lastRenderedPageBreak/>
        <w:t>Клинические проявления тромботических осложнений.</w:t>
      </w:r>
    </w:p>
    <w:p w14:paraId="0AA9B766" w14:textId="1A3709DF" w:rsidR="009F7A84" w:rsidRDefault="009F7A84" w:rsidP="00A61993">
      <w:pPr>
        <w:ind w:firstLine="709"/>
      </w:pPr>
      <w:r>
        <w:t xml:space="preserve">Тромботические осложнения имеют гетерогенные проявления и подтверждаются различными лабораторными (коагулологическими, молекулярно-генетическими, биохимическими, цитологическими) и инструментальными методами. </w:t>
      </w:r>
    </w:p>
    <w:p w14:paraId="2BED8552" w14:textId="13554CAA" w:rsidR="009F7A84" w:rsidRDefault="009F7A84" w:rsidP="009F7A84">
      <w:pPr>
        <w:ind w:firstLine="709"/>
      </w:pPr>
      <w:r>
        <w:t xml:space="preserve">Для тромбозов характерны следующие признаки </w:t>
      </w:r>
      <w:r>
        <w:fldChar w:fldCharType="begin" w:fldLock="1"/>
      </w:r>
      <w:r w:rsidR="009F4636">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[133,134]","plainTextFormattedCitation":"[133,134]","previouslyFormattedCitation":"[133,134]"},"properties":{"noteIndex":0},"schema":"https://github.com/citation-style-language/schema/raw/master/csl-citation.json"}</w:instrText>
      </w:r>
      <w:r>
        <w:fldChar w:fldCharType="separate"/>
      </w:r>
      <w:r w:rsidR="00A61993" w:rsidRPr="00A61993">
        <w:rPr>
          <w:noProof/>
        </w:rPr>
        <w:t>[133,134]</w:t>
      </w:r>
      <w:r>
        <w:fldChar w:fldCharType="end"/>
      </w:r>
      <w:r>
        <w:t xml:space="preserve">: </w:t>
      </w:r>
    </w:p>
    <w:p w14:paraId="52205648" w14:textId="77777777" w:rsidR="009F7A84" w:rsidRDefault="009F7A84" w:rsidP="009F7A84">
      <w:pPr>
        <w:numPr>
          <w:ilvl w:val="0"/>
          <w:numId w:val="68"/>
        </w:numPr>
      </w:pPr>
      <w:r>
        <w:t>отек на месте тромбоза (венозный тромбоз);</w:t>
      </w:r>
    </w:p>
    <w:p w14:paraId="3D9AEA8A" w14:textId="77777777" w:rsidR="009F7A84" w:rsidRDefault="009F7A84" w:rsidP="009F7A84">
      <w:pPr>
        <w:numPr>
          <w:ilvl w:val="0"/>
          <w:numId w:val="68"/>
        </w:numPr>
      </w:pPr>
      <w:r>
        <w:t>умеренные болевые ощущения - чувство распирания, постоянные локальные боли (венозные и артериальные тромбозы);</w:t>
      </w:r>
    </w:p>
    <w:p w14:paraId="7B247690" w14:textId="77777777" w:rsidR="009F7A84" w:rsidRDefault="009F7A84" w:rsidP="009F7A84">
      <w:pPr>
        <w:numPr>
          <w:ilvl w:val="0"/>
          <w:numId w:val="68"/>
        </w:numPr>
      </w:pPr>
      <w:r>
        <w:t xml:space="preserve">повышение кожной температуры непосредственно в области тромбоза (венозные тромбозы); </w:t>
      </w:r>
    </w:p>
    <w:p w14:paraId="40E568A0" w14:textId="77777777" w:rsidR="009F7A84" w:rsidRDefault="009F7A84" w:rsidP="009F7A84">
      <w:pPr>
        <w:numPr>
          <w:ilvl w:val="0"/>
          <w:numId w:val="68"/>
        </w:numPr>
      </w:pPr>
      <w:r>
        <w:t>резкая болезненность, цианоз (синюшность), снижение температуры в области тромбообразования и прилежащих тканях (артериальные тромбозы);</w:t>
      </w:r>
    </w:p>
    <w:p w14:paraId="3BEB94C5" w14:textId="77777777" w:rsidR="009F7A84" w:rsidRDefault="009F7A84" w:rsidP="009F7A84">
      <w:pPr>
        <w:numPr>
          <w:ilvl w:val="0"/>
          <w:numId w:val="68"/>
        </w:numPr>
      </w:pPr>
      <w:r>
        <w:t>перемежающаяся хромота (артериальные тромбозы);</w:t>
      </w:r>
    </w:p>
    <w:p w14:paraId="57B730D1" w14:textId="77777777" w:rsidR="009F7A84" w:rsidRDefault="009F7A84" w:rsidP="009F7A84">
      <w:pPr>
        <w:numPr>
          <w:ilvl w:val="0"/>
          <w:numId w:val="68"/>
        </w:numPr>
      </w:pPr>
      <w:r>
        <w:t>при незначительных неокклюзирующих венозных и артериальных тромбозах клинические проявления могут быть минимальными или отсутствовать;</w:t>
      </w:r>
    </w:p>
    <w:p w14:paraId="29D8A74E" w14:textId="77777777" w:rsidR="009F7A84" w:rsidRDefault="009F7A84" w:rsidP="009F7A84">
      <w:pPr>
        <w:numPr>
          <w:ilvl w:val="0"/>
          <w:numId w:val="68"/>
        </w:numPr>
      </w:pPr>
      <w:r>
        <w:t>головные боли, неврологическая симптоматика, нарушение сознания (признаки ишемического инсульта).</w:t>
      </w:r>
    </w:p>
    <w:p w14:paraId="77972BF5" w14:textId="77777777" w:rsidR="009F7A84" w:rsidRDefault="009F7A84" w:rsidP="009F7A84">
      <w:pPr>
        <w:numPr>
          <w:ilvl w:val="0"/>
          <w:numId w:val="68"/>
        </w:numPr>
      </w:pPr>
      <w:r>
        <w:t>синдром сдавления венозного ствола или вены;</w:t>
      </w:r>
    </w:p>
    <w:p w14:paraId="7D7E40EC" w14:textId="77777777" w:rsidR="009F7A84" w:rsidRDefault="009F7A84" w:rsidP="009F7A84">
      <w:pPr>
        <w:numPr>
          <w:ilvl w:val="0"/>
          <w:numId w:val="68"/>
        </w:numPr>
      </w:pPr>
      <w:r>
        <w:t>расширение венозной сети;</w:t>
      </w:r>
    </w:p>
    <w:p w14:paraId="6F8DA5BA" w14:textId="77777777" w:rsidR="009F7A84" w:rsidRDefault="009F7A84" w:rsidP="009F7A84">
      <w:pPr>
        <w:numPr>
          <w:ilvl w:val="0"/>
          <w:numId w:val="68"/>
        </w:numPr>
      </w:pPr>
      <w:r>
        <w:t xml:space="preserve"> признаки дыхательной недостаточности при тромбоэмболии легочной артерии (ТЭЛА).</w:t>
      </w:r>
    </w:p>
    <w:p w14:paraId="281BC47C" w14:textId="77777777" w:rsidR="009F7A84" w:rsidRDefault="009F7A84" w:rsidP="00A61993">
      <w:pPr>
        <w:ind w:firstLine="709"/>
      </w:pPr>
      <w:r>
        <w:t xml:space="preserve">Для оценки риска развития тромботических нарушений и их рецидивов при лимфоме необходим тщательный сбор анамнеза с уточнением наличия тромбозов у пациента и родственников первой линии, а также оценка общего состояния пациента и выявление сопутствующих заболеваний. </w:t>
      </w:r>
    </w:p>
    <w:p w14:paraId="4C4DA2E3" w14:textId="77777777" w:rsidR="009F7A84" w:rsidRDefault="009F7A84" w:rsidP="009F7A84">
      <w:pPr>
        <w:pStyle w:val="Numlist"/>
        <w:spacing w:line="360" w:lineRule="auto"/>
        <w:ind w:firstLine="360"/>
        <w:jc w:val="both"/>
        <w:rPr>
          <w:b/>
        </w:rPr>
      </w:pPr>
    </w:p>
    <w:p w14:paraId="596EB023" w14:textId="2F57914B" w:rsidR="009F7A84" w:rsidRDefault="009F7A84" w:rsidP="00A61993">
      <w:pPr>
        <w:pStyle w:val="Numlist"/>
        <w:spacing w:line="360" w:lineRule="auto"/>
        <w:ind w:firstLine="709"/>
        <w:jc w:val="both"/>
      </w:pPr>
      <w:r w:rsidRPr="00D74B57">
        <w:rPr>
          <w:bCs/>
          <w:i/>
          <w:iCs/>
          <w:u w:val="single"/>
        </w:rPr>
        <w:t>Лабораторная диагностика</w:t>
      </w:r>
      <w:r>
        <w:rPr>
          <w:b/>
        </w:rPr>
        <w:t xml:space="preserve"> </w:t>
      </w:r>
      <w:r>
        <w:t xml:space="preserve">тромботических осложнений должна включать следующие исследования </w:t>
      </w:r>
      <w:r>
        <w:fldChar w:fldCharType="begin" w:fldLock="1"/>
      </w:r>
      <w:r w:rsidR="009F4636">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[133,134]","plainTextFormattedCitation":"[133,134]","previouslyFormattedCitation":"[133,134]"},"properties":{"noteIndex":0},"schema":"https://github.com/citation-style-language/schema/raw/master/csl-citation.json"}</w:instrText>
      </w:r>
      <w:r>
        <w:fldChar w:fldCharType="separate"/>
      </w:r>
      <w:r w:rsidR="00A61993" w:rsidRPr="00A61993">
        <w:rPr>
          <w:noProof/>
        </w:rPr>
        <w:t>[133,134]</w:t>
      </w:r>
      <w:r>
        <w:fldChar w:fldCharType="end"/>
      </w:r>
      <w:r>
        <w:t xml:space="preserve">: </w:t>
      </w:r>
    </w:p>
    <w:p w14:paraId="0668081C" w14:textId="77777777" w:rsidR="009F7A84" w:rsidRDefault="009F7A84" w:rsidP="009F7A84">
      <w:r>
        <w:t>1) Исследование периферической крови с подсчетом количества эритроцитов, гемоглобина и гематокрита, тромбоцитов (с подсчетом в мазке по Фонио), лейкоцитов, лейкоцитарной формулы – обязательно при диагностике, далее по показаниям с целью оценки динамики гематологических показателей и для контроля эффективности лечения.</w:t>
      </w:r>
    </w:p>
    <w:p w14:paraId="600BC208" w14:textId="77777777" w:rsidR="009F7A84" w:rsidRDefault="009F7A84" w:rsidP="009F7A84">
      <w:r>
        <w:t>2) Коагулограмма с определением следующих показателей:</w:t>
      </w:r>
    </w:p>
    <w:p w14:paraId="3E1F9F06" w14:textId="77777777" w:rsidR="009F7A84" w:rsidRDefault="009F7A84" w:rsidP="009F7A84">
      <w:pPr>
        <w:pStyle w:val="afe"/>
        <w:widowControl w:val="0"/>
        <w:numPr>
          <w:ilvl w:val="0"/>
          <w:numId w:val="62"/>
        </w:numPr>
        <w:ind w:left="1418" w:hanging="567"/>
        <w:rPr>
          <w:szCs w:val="24"/>
        </w:rPr>
      </w:pPr>
      <w:r>
        <w:rPr>
          <w:szCs w:val="24"/>
        </w:rPr>
        <w:t>активированное частичное тромбопластиновое время (АЧТВ);</w:t>
      </w:r>
    </w:p>
    <w:p w14:paraId="5E247528" w14:textId="77777777" w:rsidR="009F7A84" w:rsidRDefault="009F7A84" w:rsidP="009F7A84">
      <w:pPr>
        <w:pStyle w:val="afe"/>
        <w:widowControl w:val="0"/>
        <w:numPr>
          <w:ilvl w:val="0"/>
          <w:numId w:val="62"/>
        </w:numPr>
        <w:ind w:left="1418" w:hanging="567"/>
        <w:rPr>
          <w:szCs w:val="24"/>
        </w:rPr>
      </w:pPr>
      <w:r>
        <w:rPr>
          <w:szCs w:val="24"/>
        </w:rPr>
        <w:t>тромбиновое время (ТВ);</w:t>
      </w:r>
    </w:p>
    <w:p w14:paraId="37AF606A" w14:textId="77777777" w:rsidR="009F7A84" w:rsidRDefault="009F7A84" w:rsidP="009F7A84">
      <w:pPr>
        <w:pStyle w:val="afe"/>
        <w:widowControl w:val="0"/>
        <w:numPr>
          <w:ilvl w:val="0"/>
          <w:numId w:val="62"/>
        </w:numPr>
        <w:ind w:left="1418" w:hanging="567"/>
        <w:rPr>
          <w:szCs w:val="24"/>
        </w:rPr>
      </w:pPr>
      <w:r>
        <w:rPr>
          <w:szCs w:val="24"/>
        </w:rPr>
        <w:lastRenderedPageBreak/>
        <w:t>протромбин по Квику (международное нормализованное отношение - МНО);</w:t>
      </w:r>
    </w:p>
    <w:p w14:paraId="5E129707" w14:textId="77777777" w:rsidR="009F7A84" w:rsidRDefault="009F7A84" w:rsidP="009F7A84">
      <w:pPr>
        <w:pStyle w:val="afe"/>
        <w:widowControl w:val="0"/>
        <w:numPr>
          <w:ilvl w:val="0"/>
          <w:numId w:val="62"/>
        </w:numPr>
        <w:ind w:left="1418" w:hanging="567"/>
        <w:rPr>
          <w:szCs w:val="24"/>
        </w:rPr>
      </w:pPr>
      <w:r>
        <w:rPr>
          <w:szCs w:val="24"/>
        </w:rPr>
        <w:t>плазменная концентрация фибриногена;</w:t>
      </w:r>
    </w:p>
    <w:p w14:paraId="0A38BD31" w14:textId="77777777" w:rsidR="009F7A84" w:rsidRDefault="009F7A84" w:rsidP="009F7A84">
      <w:pPr>
        <w:pStyle w:val="afe"/>
        <w:widowControl w:val="0"/>
        <w:numPr>
          <w:ilvl w:val="0"/>
          <w:numId w:val="62"/>
        </w:numPr>
        <w:ind w:left="1418" w:hanging="567"/>
        <w:rPr>
          <w:szCs w:val="24"/>
        </w:rPr>
      </w:pPr>
      <w:r>
        <w:rPr>
          <w:szCs w:val="24"/>
        </w:rPr>
        <w:t xml:space="preserve">плазменная концентрация антитромбина III (АТ </w:t>
      </w:r>
      <w:r>
        <w:rPr>
          <w:szCs w:val="24"/>
          <w:lang w:val="en-US"/>
        </w:rPr>
        <w:t>III</w:t>
      </w:r>
      <w:r>
        <w:rPr>
          <w:szCs w:val="24"/>
        </w:rPr>
        <w:t>), особенно для групп высокого риска, в частности, получающих L-аспарагиназу;</w:t>
      </w:r>
    </w:p>
    <w:p w14:paraId="3DBEA584" w14:textId="77777777" w:rsidR="009F7A84" w:rsidRDefault="009F7A84" w:rsidP="009F7A84">
      <w:pPr>
        <w:pStyle w:val="afe"/>
        <w:widowControl w:val="0"/>
        <w:numPr>
          <w:ilvl w:val="0"/>
          <w:numId w:val="62"/>
        </w:numPr>
        <w:ind w:left="1418" w:hanging="567"/>
        <w:rPr>
          <w:szCs w:val="24"/>
        </w:rPr>
      </w:pPr>
      <w:r>
        <w:rPr>
          <w:szCs w:val="24"/>
        </w:rPr>
        <w:t>агрегация тромбоцитов, индуцированная АДФ и адреналином для пациентов, получающих терапию, соответственно клопидогрелом или ацетилсалициловой кислотой;</w:t>
      </w:r>
    </w:p>
    <w:p w14:paraId="55E092F1" w14:textId="7BAEDC34" w:rsidR="009F7A84" w:rsidRDefault="009F7A84" w:rsidP="009F7A84">
      <w:pPr>
        <w:pStyle w:val="afe"/>
        <w:widowControl w:val="0"/>
        <w:numPr>
          <w:ilvl w:val="0"/>
          <w:numId w:val="62"/>
        </w:numPr>
        <w:ind w:left="1418" w:hanging="567"/>
        <w:rPr>
          <w:szCs w:val="24"/>
        </w:rPr>
      </w:pPr>
      <w:r>
        <w:rPr>
          <w:szCs w:val="24"/>
        </w:rPr>
        <w:t>D-димер</w:t>
      </w:r>
      <w:r>
        <w:rPr>
          <w:szCs w:val="24"/>
          <w:lang w:val="en-US"/>
        </w:rPr>
        <w:t xml:space="preserve"> </w:t>
      </w:r>
      <w:r>
        <w:rPr>
          <w:szCs w:val="24"/>
          <w:lang w:val="en-US"/>
        </w:rPr>
        <w:fldChar w:fldCharType="begin" w:fldLock="1"/>
      </w:r>
      <w:r w:rsidR="009F4636">
        <w:rPr>
          <w:szCs w:val="24"/>
          <w:lang w:val="en-US"/>
        </w:rPr>
        <w:instrText>ADDIN CSL_CITATION {"citationItems":[{"id":"ITEM-1","itemData":{"author":[{"dropping-particle":"","family":"Greenberg","given":"C.S.","non-dropping-particle":"","parse-names":false,"suffix":""}],"container-title":"Clinical Advances in Hematology &amp; Oncology","id":"ITEM-1","issue":"8","issued":{"date-parts":[["2017"]]},"page":"580-583","title":"The role of D-dimer testing in clinical hematology and oncology","type":"article-journal","volume":"15"},"uris":["http://www.mendeley.com/documents/?uuid=bcd25bdb-3f17-4690-af2f-221107e95f2a"]}],"mendeley":{"formattedCitation":"[135]","plainTextFormattedCitation":"[135]","previouslyFormattedCitation":"[135]"},"properties":{"noteIndex":0},"schema":"https://github.com/citation-style-language/schema/raw/master/csl-citation.json"}</w:instrText>
      </w:r>
      <w:r>
        <w:rPr>
          <w:szCs w:val="24"/>
          <w:lang w:val="en-US"/>
        </w:rPr>
        <w:fldChar w:fldCharType="separate"/>
      </w:r>
      <w:r w:rsidR="00A61993" w:rsidRPr="00A61993">
        <w:rPr>
          <w:noProof/>
          <w:szCs w:val="24"/>
          <w:lang w:val="en-US"/>
        </w:rPr>
        <w:t>[135]</w:t>
      </w:r>
      <w:r>
        <w:rPr>
          <w:szCs w:val="24"/>
          <w:lang w:val="en-US"/>
        </w:rPr>
        <w:fldChar w:fldCharType="end"/>
      </w:r>
      <w:r>
        <w:rPr>
          <w:szCs w:val="24"/>
        </w:rPr>
        <w:t>;</w:t>
      </w:r>
    </w:p>
    <w:p w14:paraId="23720729" w14:textId="77777777" w:rsidR="009F7A84" w:rsidRDefault="009F7A84" w:rsidP="009F7A84">
      <w:pPr>
        <w:pStyle w:val="afe"/>
        <w:widowControl w:val="0"/>
        <w:numPr>
          <w:ilvl w:val="0"/>
          <w:numId w:val="62"/>
        </w:numPr>
        <w:ind w:left="1418" w:hanging="567"/>
        <w:rPr>
          <w:szCs w:val="24"/>
        </w:rPr>
      </w:pPr>
      <w:r>
        <w:rPr>
          <w:szCs w:val="24"/>
        </w:rPr>
        <w:t>протеин С;</w:t>
      </w:r>
    </w:p>
    <w:p w14:paraId="6889810A" w14:textId="77777777" w:rsidR="009F7A84" w:rsidRDefault="009F7A84" w:rsidP="009F7A84">
      <w:pPr>
        <w:pStyle w:val="afe"/>
        <w:widowControl w:val="0"/>
        <w:numPr>
          <w:ilvl w:val="0"/>
          <w:numId w:val="62"/>
        </w:numPr>
        <w:ind w:left="1418" w:hanging="567"/>
        <w:rPr>
          <w:szCs w:val="24"/>
        </w:rPr>
      </w:pPr>
      <w:r>
        <w:rPr>
          <w:szCs w:val="24"/>
        </w:rPr>
        <w:t xml:space="preserve">протеин </w:t>
      </w:r>
      <w:r>
        <w:rPr>
          <w:szCs w:val="24"/>
          <w:lang w:val="en-US"/>
        </w:rPr>
        <w:t>S</w:t>
      </w:r>
      <w:r>
        <w:rPr>
          <w:szCs w:val="24"/>
        </w:rPr>
        <w:t>;</w:t>
      </w:r>
    </w:p>
    <w:p w14:paraId="7E2851F8" w14:textId="77777777" w:rsidR="009F7A84" w:rsidRDefault="009F7A84" w:rsidP="009F7A84">
      <w:pPr>
        <w:pStyle w:val="afe"/>
        <w:widowControl w:val="0"/>
        <w:numPr>
          <w:ilvl w:val="0"/>
          <w:numId w:val="62"/>
        </w:numPr>
        <w:ind w:left="1418" w:hanging="567"/>
        <w:rPr>
          <w:szCs w:val="24"/>
        </w:rPr>
      </w:pPr>
      <w:r>
        <w:rPr>
          <w:szCs w:val="24"/>
        </w:rPr>
        <w:t>XIIa-зависимый фибринолиз;</w:t>
      </w:r>
    </w:p>
    <w:p w14:paraId="6BDD822A" w14:textId="77777777" w:rsidR="009F7A84" w:rsidRDefault="009F7A84" w:rsidP="00A61993">
      <w:pPr>
        <w:widowControl w:val="0"/>
        <w:ind w:firstLine="709"/>
      </w:pPr>
      <w:r>
        <w:t>Для исследования показателей гемостаза забор крови производят строго натощак, с помощью вакуумных пробирок. Забор крови из катетеров запрещен. Кровь набирают в пробирки, содержащие 3,2% цитрат натрия в соотношении 1:9. Исследование должно проводиться в течение 2-х часов после забора крови.  Достоверность результатов агрегабельности тромбоцитов можно оценить только при содержании в крови тромбоцитов ≥ 100 х 10</w:t>
      </w:r>
      <w:r>
        <w:rPr>
          <w:vertAlign w:val="superscript"/>
        </w:rPr>
        <w:t>9</w:t>
      </w:r>
      <w:r>
        <w:t>/л.</w:t>
      </w:r>
    </w:p>
    <w:p w14:paraId="2BD774D4" w14:textId="4BAC90D7" w:rsidR="009F7A84" w:rsidRDefault="009F7A84" w:rsidP="00A61993">
      <w:pPr>
        <w:widowControl w:val="0"/>
        <w:ind w:firstLine="709"/>
      </w:pPr>
      <w:r>
        <w:t xml:space="preserve">Повышенная концентрация </w:t>
      </w:r>
      <w:r>
        <w:rPr>
          <w:lang w:val="en-US"/>
        </w:rPr>
        <w:t>D</w:t>
      </w:r>
      <w:r>
        <w:t>-димера у онкогематологических больных встречается при различных ситуациях, не всегда обусловленных венозными тромбо-эмболическими осложнениями (ВТЭО): синдром диссеминированного внутрисосудистого свертывания (ДВС-синдром), гиперфибринолиз, сепсис, поражения печени, серповидноклеточная анемия и др</w:t>
      </w:r>
      <w:r w:rsidRPr="00B06F48">
        <w:t xml:space="preserve"> </w:t>
      </w:r>
      <w:r>
        <w:fldChar w:fldCharType="begin" w:fldLock="1"/>
      </w:r>
      <w:r w:rsidR="009F4636">
        <w:instrText>ADDIN CSL_CITATION {"citationItems":[{"id":"ITEM-1","itemData":{"author":[{"dropping-particle":"","family":"Greenberg","given":"C.S.","non-dropping-particle":"","parse-names":false,"suffix":""}],"container-title":"Clinical Advances in Hematology &amp; Oncology","id":"ITEM-1","issue":"8","issued":{"date-parts":[["2017"]]},"page":"580-583","title":"The role of D-dimer testing in clinical hematology and oncology","type":"article-journal","volume":"15"},"uris":["http://www.mendeley.com/documents/?uuid=bcd25bdb-3f17-4690-af2f-221107e95f2a"]}],"mendeley":{"formattedCitation":"[135]","plainTextFormattedCitation":"[135]","previouslyFormattedCitation":"[135]"},"properties":{"noteIndex":0},"schema":"https://github.com/citation-style-language/schema/raw/master/csl-citation.json"}</w:instrText>
      </w:r>
      <w:r>
        <w:fldChar w:fldCharType="separate"/>
      </w:r>
      <w:r w:rsidR="00A61993" w:rsidRPr="00A61993">
        <w:rPr>
          <w:noProof/>
        </w:rPr>
        <w:t>[135]</w:t>
      </w:r>
      <w:r>
        <w:fldChar w:fldCharType="end"/>
      </w:r>
      <w:r>
        <w:t xml:space="preserve">. Поэтому не рекомендуется начинать тромбопрофилактику ориентируясь только на повышенную концентрацию </w:t>
      </w:r>
      <w:r>
        <w:rPr>
          <w:lang w:val="en-US"/>
        </w:rPr>
        <w:t>D</w:t>
      </w:r>
      <w:r>
        <w:t>-димера. При концентрации D-димера выше порогового значения рекомендуется дополнительное проведение инструментальных методов обследования.</w:t>
      </w:r>
    </w:p>
    <w:p w14:paraId="03A9AE54" w14:textId="77777777" w:rsidR="009F7A84" w:rsidRPr="00494FA4" w:rsidRDefault="009F7A84" w:rsidP="009F7A84">
      <w:r>
        <w:t xml:space="preserve">3) Биохимический анализ крови: общий белок, альбумины, общий и прямой/непрямой билирубин, АСТ, АЛТ, ЛДГ, мочевая кислота, мочевина, креатинин, щелочная фосфатаза, </w:t>
      </w:r>
      <w:r w:rsidRPr="002B7BF0">
        <w:t xml:space="preserve">холестерин, триглицериды, индекс атерогенности </w:t>
      </w:r>
      <w:r>
        <w:t xml:space="preserve">– на этапе диагностике, далее по показаниям. </w:t>
      </w:r>
      <w:r w:rsidRPr="00494FA4">
        <w:rPr>
          <w:rStyle w:val="affb"/>
          <w:iCs/>
          <w:shd w:val="clear" w:color="auto" w:fill="FFFFFF"/>
        </w:rPr>
        <w:t>В</w:t>
      </w:r>
      <w:r w:rsidRPr="00111FC7">
        <w:rPr>
          <w:rStyle w:val="affc"/>
        </w:rPr>
        <w:t xml:space="preserve">ыполнение биохимического анализа крови необходимо для уточнения функциональной способности печени, что важно для выбора адекватной терапии. </w:t>
      </w:r>
    </w:p>
    <w:p w14:paraId="1F9180AB" w14:textId="77777777" w:rsidR="009F7A84" w:rsidRDefault="009F7A84" w:rsidP="009F7A84">
      <w:r>
        <w:t>4) Определение концентрации гомоцистеина – важно в диагностике гипергомоцистеинемии.</w:t>
      </w:r>
    </w:p>
    <w:p w14:paraId="2C01E3C8" w14:textId="77777777" w:rsidR="009F7A84" w:rsidRDefault="009F7A84" w:rsidP="009F7A84">
      <w:r>
        <w:t xml:space="preserve">5) Исследование мутации генов факторов, участвующих в гемостазе (протромбина G20210A, фактора V Лейден, </w:t>
      </w:r>
      <w:r w:rsidRPr="00A042E1">
        <w:t>метилентетрагидрофолатредуктазы</w:t>
      </w:r>
      <w:r>
        <w:t>), важно для верификации формы и варианта наследственных тромбофилий, определяется по показаниям.</w:t>
      </w:r>
    </w:p>
    <w:p w14:paraId="5F8C4A51" w14:textId="77777777" w:rsidR="009F7A84" w:rsidRPr="00494FA4" w:rsidRDefault="009F7A84" w:rsidP="009F7A84">
      <w:r>
        <w:lastRenderedPageBreak/>
        <w:t xml:space="preserve">6) Тромбоэластография, пространственная тромбодинамика и определение тромбинового потенциала – по показаниям. </w:t>
      </w:r>
    </w:p>
    <w:p w14:paraId="240BFD63" w14:textId="77777777" w:rsidR="009F7A84" w:rsidRDefault="009F7A84" w:rsidP="009F7A84">
      <w:pPr>
        <w:pStyle w:val="Numlist"/>
        <w:spacing w:line="360" w:lineRule="auto"/>
        <w:jc w:val="both"/>
      </w:pPr>
      <w:r>
        <w:t>Лабораторную оценку состояния системы свертывания крови осуществляют при первичном обследовании больного, до начала проведения специфической терапии, в том числе перед каждым курсом ХТ (по показаниям), а также в случае развития тромботических нарушений на любом этапе диагностики, наблюдения, лечения.</w:t>
      </w:r>
    </w:p>
    <w:p w14:paraId="7B049162" w14:textId="77777777" w:rsidR="009F7A84" w:rsidRDefault="009F7A84" w:rsidP="009F7A84">
      <w:pPr>
        <w:rPr>
          <w:b/>
        </w:rPr>
      </w:pPr>
    </w:p>
    <w:p w14:paraId="794A554F" w14:textId="413C1C42" w:rsidR="009F7A84" w:rsidRDefault="009F7A84" w:rsidP="00A61993">
      <w:pPr>
        <w:ind w:firstLine="709"/>
      </w:pPr>
      <w:r w:rsidRPr="004C1787">
        <w:rPr>
          <w:bCs/>
          <w:i/>
          <w:iCs/>
          <w:u w:val="single"/>
        </w:rPr>
        <w:t>Инструментальная диагностика</w:t>
      </w:r>
      <w:r>
        <w:t xml:space="preserve"> рекомендуется для определения выраженности и уточнения локализации тромботических осложнений. Выбор метода зависит от клинической картины и данных лабораторного обследования. Проводятся следующие виды исследования </w:t>
      </w:r>
      <w:r>
        <w:fldChar w:fldCharType="begin" w:fldLock="1"/>
      </w:r>
      <w:r w:rsidR="009F4636">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[133,134]","plainTextFormattedCitation":"[133,134]","previouslyFormattedCitation":"[133,134]"},"properties":{"noteIndex":0},"schema":"https://github.com/citation-style-language/schema/raw/master/csl-citation.json"}</w:instrText>
      </w:r>
      <w:r>
        <w:fldChar w:fldCharType="separate"/>
      </w:r>
      <w:r w:rsidR="00A61993" w:rsidRPr="00A61993">
        <w:rPr>
          <w:noProof/>
        </w:rPr>
        <w:t>[133,134]</w:t>
      </w:r>
      <w:r>
        <w:fldChar w:fldCharType="end"/>
      </w:r>
      <w:r>
        <w:t>:</w:t>
      </w:r>
    </w:p>
    <w:p w14:paraId="33B7A984" w14:textId="77777777" w:rsidR="009F7A84" w:rsidRDefault="009F7A84" w:rsidP="009F7A84">
      <w:pPr>
        <w:pStyle w:val="afe"/>
        <w:numPr>
          <w:ilvl w:val="0"/>
          <w:numId w:val="67"/>
        </w:numPr>
        <w:spacing w:after="200"/>
        <w:ind w:left="1134"/>
        <w:rPr>
          <w:szCs w:val="24"/>
        </w:rPr>
      </w:pPr>
      <w:r>
        <w:rPr>
          <w:szCs w:val="24"/>
        </w:rPr>
        <w:t>УЗИ сосудов, при котором определяются локализация тромбоза, размеры тромба, окклюзирующий или неокклюзирующий характер тромбоза, флотирующий или нефлотирующий характер тромба.</w:t>
      </w:r>
    </w:p>
    <w:p w14:paraId="27EF037F" w14:textId="77777777" w:rsidR="009F7A84" w:rsidRDefault="009F7A84" w:rsidP="009F7A84">
      <w:pPr>
        <w:pStyle w:val="afe"/>
        <w:numPr>
          <w:ilvl w:val="0"/>
          <w:numId w:val="67"/>
        </w:numPr>
        <w:ind w:left="1134"/>
        <w:rPr>
          <w:bCs/>
          <w:szCs w:val="24"/>
        </w:rPr>
      </w:pPr>
      <w:r>
        <w:rPr>
          <w:bCs/>
          <w:szCs w:val="24"/>
        </w:rPr>
        <w:t xml:space="preserve">УЗИ органов брюшной полости (размеры печени, селезенки, </w:t>
      </w:r>
      <w:r w:rsidRPr="00A042E1">
        <w:rPr>
          <w:bCs/>
          <w:szCs w:val="24"/>
        </w:rPr>
        <w:t>вены портальной системы и собственные вены печени</w:t>
      </w:r>
      <w:r>
        <w:rPr>
          <w:bCs/>
          <w:szCs w:val="24"/>
        </w:rPr>
        <w:t>), гемодинамические критерии портальной гипертензии при органомегалии и подозрении на тромбоз.</w:t>
      </w:r>
    </w:p>
    <w:p w14:paraId="1765F11C" w14:textId="77777777" w:rsidR="009F7A84" w:rsidRDefault="009F7A84" w:rsidP="009F7A84">
      <w:pPr>
        <w:pStyle w:val="afe"/>
        <w:numPr>
          <w:ilvl w:val="0"/>
          <w:numId w:val="67"/>
        </w:numPr>
        <w:ind w:left="1134"/>
        <w:rPr>
          <w:bCs/>
          <w:szCs w:val="24"/>
        </w:rPr>
      </w:pPr>
      <w:r w:rsidRPr="0065075D">
        <w:rPr>
          <w:iCs/>
          <w:szCs w:val="24"/>
        </w:rPr>
        <w:t xml:space="preserve">КТ </w:t>
      </w:r>
      <w:r w:rsidRPr="0065075D">
        <w:rPr>
          <w:bCs/>
          <w:szCs w:val="24"/>
        </w:rPr>
        <w:t xml:space="preserve">органов грудной клетки и брюшной полости с внутривенным контрастным </w:t>
      </w:r>
      <w:r>
        <w:rPr>
          <w:bCs/>
          <w:szCs w:val="24"/>
        </w:rPr>
        <w:t xml:space="preserve">усилением </w:t>
      </w:r>
      <w:r w:rsidRPr="0065075D">
        <w:rPr>
          <w:bCs/>
          <w:szCs w:val="24"/>
        </w:rPr>
        <w:t>для диагностики ТЭЛА, тромбоза вен и артерий брюшной полости, инфарктов паренхиматозных органов, оценки коллатералей.</w:t>
      </w:r>
    </w:p>
    <w:p w14:paraId="3CDF8E12" w14:textId="77777777" w:rsidR="009F7A84" w:rsidRPr="004C1787" w:rsidRDefault="009F7A84" w:rsidP="009F7A84">
      <w:pPr>
        <w:pStyle w:val="afe"/>
        <w:numPr>
          <w:ilvl w:val="0"/>
          <w:numId w:val="67"/>
        </w:numPr>
        <w:ind w:left="1134"/>
        <w:rPr>
          <w:bCs/>
          <w:szCs w:val="24"/>
        </w:rPr>
      </w:pPr>
      <w:r w:rsidRPr="004C1787">
        <w:rPr>
          <w:iCs/>
          <w:color w:val="000000"/>
          <w:szCs w:val="24"/>
        </w:rPr>
        <w:t>Магнитно-резонансная томография (МРТ)</w:t>
      </w:r>
      <w:r w:rsidRPr="004C1787">
        <w:rPr>
          <w:i/>
          <w:iCs/>
          <w:color w:val="000000"/>
          <w:szCs w:val="24"/>
        </w:rPr>
        <w:t xml:space="preserve"> </w:t>
      </w:r>
      <w:r w:rsidRPr="004C1787">
        <w:rPr>
          <w:szCs w:val="24"/>
        </w:rPr>
        <w:t>с внутривенным контрастным усилением головного мозга для выявления тромботических изменений в сосудах головного мозга, ишемических инсультов, кровоизлияний в головной мозг. МРТ органов грудной клетки и брюшной полости – при невозможности проведения КТ.</w:t>
      </w:r>
    </w:p>
    <w:p w14:paraId="675A2CA4" w14:textId="77777777" w:rsidR="009F7A84" w:rsidRPr="004C1787" w:rsidRDefault="009F7A84" w:rsidP="009F7A84">
      <w:pPr>
        <w:pStyle w:val="afe"/>
        <w:numPr>
          <w:ilvl w:val="0"/>
          <w:numId w:val="67"/>
        </w:numPr>
        <w:ind w:left="1134"/>
        <w:rPr>
          <w:bCs/>
          <w:szCs w:val="24"/>
        </w:rPr>
      </w:pPr>
      <w:r w:rsidRPr="004C1787">
        <w:rPr>
          <w:iCs/>
          <w:szCs w:val="24"/>
        </w:rPr>
        <w:t xml:space="preserve">Эзофагогастродуоденоскопия (ЭГДС) </w:t>
      </w:r>
      <w:r w:rsidRPr="004C1787">
        <w:rPr>
          <w:szCs w:val="24"/>
        </w:rPr>
        <w:t xml:space="preserve">с целью определения наличия варикозно расширенных вен пищевода и желудка даже при отсутствии симптоматики портальной гипертензии (в том числе и портальной гипертензионной гастропатии). Этот метод исследования может носить как диагностический, так и лечебный характер в отношении источника возникшего кровотечения. Желудочно-кишечное кровотечение, в том числе и анамнестическое, должно рассматриваться как абсолютное показание к неотложному эндоскопическому исследованию, которое тем эффективнее, чем раньше выполнено от начала кровотечения. Очень важным моментом диагностической ЭГДС является определение источника кровотечения: варикозно расширенные вены пищевода </w:t>
      </w:r>
      <w:r w:rsidRPr="004C1787">
        <w:rPr>
          <w:szCs w:val="24"/>
        </w:rPr>
        <w:lastRenderedPageBreak/>
        <w:t>и/или язвы желудка или двенадцатиперстной кишки, а</w:t>
      </w:r>
      <w:r w:rsidRPr="004C1787">
        <w:rPr>
          <w:i/>
          <w:color w:val="4472C4" w:themeColor="accent5"/>
          <w:szCs w:val="24"/>
        </w:rPr>
        <w:t xml:space="preserve"> </w:t>
      </w:r>
      <w:r w:rsidRPr="004C1787">
        <w:rPr>
          <w:szCs w:val="24"/>
        </w:rPr>
        <w:t>также оценка степени</w:t>
      </w:r>
      <w:r w:rsidRPr="004C1787">
        <w:rPr>
          <w:i/>
          <w:color w:val="4472C4" w:themeColor="accent5"/>
          <w:szCs w:val="24"/>
        </w:rPr>
        <w:t xml:space="preserve"> </w:t>
      </w:r>
      <w:r w:rsidRPr="004C1787">
        <w:rPr>
          <w:szCs w:val="24"/>
        </w:rPr>
        <w:t>устойчивости гемостаза из обнаруженных источников. Исследование выполняется всем пациентам на этапе диагностики, далее проводится мониторинг при выявлении патологии каждые 6 месяцев, и по показаниям.</w:t>
      </w:r>
    </w:p>
    <w:p w14:paraId="096F8332" w14:textId="77777777" w:rsidR="009F7A84" w:rsidRPr="004C1787" w:rsidRDefault="009F7A84" w:rsidP="009F7A84">
      <w:pPr>
        <w:pStyle w:val="afe"/>
        <w:numPr>
          <w:ilvl w:val="0"/>
          <w:numId w:val="67"/>
        </w:numPr>
        <w:ind w:left="1134"/>
        <w:rPr>
          <w:bCs/>
          <w:szCs w:val="24"/>
        </w:rPr>
      </w:pPr>
      <w:r w:rsidRPr="004C1787">
        <w:rPr>
          <w:iCs/>
          <w:szCs w:val="24"/>
        </w:rPr>
        <w:t xml:space="preserve">Рентгенологическое исследование пищевода и желудка </w:t>
      </w:r>
      <w:r w:rsidRPr="004C1787">
        <w:rPr>
          <w:szCs w:val="24"/>
        </w:rPr>
        <w:t xml:space="preserve">позволяет определить протяжённость варикозного расширения вен по длине пищевода, состояние нижнего пищеводного сфинктера и его функциональные возможности (по показаниям).  </w:t>
      </w:r>
    </w:p>
    <w:p w14:paraId="1608D30F" w14:textId="77777777" w:rsidR="009F7A84" w:rsidRPr="004C1787" w:rsidRDefault="009F7A84" w:rsidP="009F7A84">
      <w:pPr>
        <w:pStyle w:val="afe"/>
        <w:numPr>
          <w:ilvl w:val="0"/>
          <w:numId w:val="67"/>
        </w:numPr>
        <w:ind w:left="1134"/>
        <w:rPr>
          <w:bCs/>
          <w:szCs w:val="24"/>
        </w:rPr>
      </w:pPr>
      <w:r w:rsidRPr="004C1787">
        <w:rPr>
          <w:szCs w:val="24"/>
        </w:rPr>
        <w:t>Контрастные артерио- и венографии выявляют локализацию и анатомические особенности тромботических процессов.</w:t>
      </w:r>
    </w:p>
    <w:p w14:paraId="6B959B45" w14:textId="77777777" w:rsidR="009F7A84" w:rsidRPr="004C1787" w:rsidRDefault="009F7A84" w:rsidP="009F7A84">
      <w:pPr>
        <w:pStyle w:val="afe"/>
        <w:numPr>
          <w:ilvl w:val="0"/>
          <w:numId w:val="67"/>
        </w:numPr>
        <w:ind w:left="1134"/>
        <w:rPr>
          <w:bCs/>
          <w:szCs w:val="24"/>
        </w:rPr>
      </w:pPr>
      <w:r w:rsidRPr="004C1787">
        <w:rPr>
          <w:szCs w:val="24"/>
        </w:rPr>
        <w:t>ЭхоКГ для оценки легочной гипертензии.</w:t>
      </w:r>
    </w:p>
    <w:p w14:paraId="6572A871" w14:textId="77777777" w:rsidR="009F7A84" w:rsidRPr="004C1787" w:rsidRDefault="009F7A84" w:rsidP="009F7A84">
      <w:pPr>
        <w:pStyle w:val="afe"/>
        <w:numPr>
          <w:ilvl w:val="0"/>
          <w:numId w:val="67"/>
        </w:numPr>
        <w:ind w:left="1134"/>
        <w:rPr>
          <w:bCs/>
          <w:szCs w:val="24"/>
        </w:rPr>
      </w:pPr>
      <w:r>
        <w:t>Для установления объема опухолевого поражения и степени компрессии сосудов опухолью возможно проведение по показаниям КТ и УЗИ органов и полостей.</w:t>
      </w:r>
    </w:p>
    <w:p w14:paraId="7AB4D2FC" w14:textId="77777777" w:rsidR="009F7A84" w:rsidRDefault="009F7A84" w:rsidP="009F7A84">
      <w:pPr>
        <w:pStyle w:val="Numlist"/>
        <w:spacing w:line="360" w:lineRule="auto"/>
        <w:ind w:firstLine="709"/>
        <w:jc w:val="both"/>
        <w:rPr>
          <w:b/>
        </w:rPr>
      </w:pPr>
    </w:p>
    <w:p w14:paraId="060F08E2" w14:textId="070CD42D" w:rsidR="009F7A84" w:rsidRDefault="009F7A84" w:rsidP="009F7A84">
      <w:pPr>
        <w:pStyle w:val="Numlist"/>
        <w:spacing w:line="360" w:lineRule="auto"/>
        <w:ind w:firstLine="709"/>
        <w:jc w:val="both"/>
      </w:pPr>
      <w:r w:rsidRPr="004C1787">
        <w:rPr>
          <w:bCs/>
          <w:i/>
          <w:iCs/>
        </w:rPr>
        <w:t>Консультации специалистов</w:t>
      </w:r>
      <w:r>
        <w:t xml:space="preserve"> проводятся при необходимости уточнения тактики ведения пациентов с тромботическими осложнениями. По показаниям возможны консультации: ангиохирурга, травматолога-ортопеда, хирурга, уролога, невролога, кардиолога, ревматолога, оториноларинголога, гепатолога и др. специалистов </w:t>
      </w:r>
      <w:r>
        <w:fldChar w:fldCharType="begin" w:fldLock="1"/>
      </w:r>
      <w:r w:rsidR="009F4636">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[133]","plainTextFormattedCitation":"[133]","previouslyFormattedCitation":"[133]"},"properties":{"noteIndex":0},"schema":"https://github.com/citation-style-language/schema/raw/master/csl-citation.json"}</w:instrText>
      </w:r>
      <w:r>
        <w:fldChar w:fldCharType="separate"/>
      </w:r>
      <w:r w:rsidR="00A61993" w:rsidRPr="00A61993">
        <w:rPr>
          <w:noProof/>
        </w:rPr>
        <w:t>[133]</w:t>
      </w:r>
      <w:r>
        <w:fldChar w:fldCharType="end"/>
      </w:r>
      <w:r>
        <w:t>.</w:t>
      </w:r>
    </w:p>
    <w:p w14:paraId="09D478FB" w14:textId="77777777" w:rsidR="009F7A84" w:rsidRDefault="009F7A84" w:rsidP="009F7A84">
      <w:pPr>
        <w:rPr>
          <w:b/>
        </w:rPr>
      </w:pPr>
    </w:p>
    <w:p w14:paraId="3731F579" w14:textId="77777777" w:rsidR="009F7A84" w:rsidRPr="004C1787" w:rsidRDefault="009F7A84" w:rsidP="009F7A84">
      <w:pPr>
        <w:rPr>
          <w:bCs/>
          <w:i/>
          <w:iCs/>
          <w:u w:val="single"/>
        </w:rPr>
      </w:pPr>
      <w:r w:rsidRPr="004C1787">
        <w:rPr>
          <w:bCs/>
          <w:i/>
          <w:iCs/>
          <w:u w:val="single"/>
        </w:rPr>
        <w:t xml:space="preserve">Общие принципы профилактики ВТЭО у гематологических больных. </w:t>
      </w:r>
    </w:p>
    <w:p w14:paraId="12A2F6F4" w14:textId="77777777" w:rsidR="009F7A84" w:rsidRDefault="009F7A84" w:rsidP="009F7A84">
      <w:pPr>
        <w:pStyle w:val="Numlist"/>
        <w:spacing w:line="360" w:lineRule="auto"/>
        <w:jc w:val="both"/>
      </w:pPr>
      <w:r>
        <w:t>Риск тромботических осложнений при проведении ХТ может быть высоким и низким. На высокий риск развития тромботических нарушений указывают тромбозы в анамнезе; привычное невынашивание беременности; одновременное выявление трех и более показателей, характеризующих гиперкоагуляционное состояние, а именно укорочение (замедление) АЧТВ, повышение концентрации протромбина, фибриногена, D-димера, угнетение (замедление) XIIa-зависимого фибринолиза; повышение количества тромбоцитов и их агрегабельности; гиперкоагуляция при тромбоэластографии, тромбодинамике, в тесте определения тромбинового потенциала; генетические тромбофилии (мутации генов протромбина G20210A, фактора V Лейден); дефицит АТ III, протеина С и протеина S; гипергомоцистеинемия; наличие АФС; применение овариопротекторов и глюкокортикоидов.</w:t>
      </w:r>
    </w:p>
    <w:p w14:paraId="10E8B9DF" w14:textId="77777777" w:rsidR="009F7A84" w:rsidRPr="00F855C8" w:rsidRDefault="009F7A84" w:rsidP="009F7A84">
      <w:r>
        <w:t>С целью определения тактики ведения пациента у</w:t>
      </w:r>
      <w:r w:rsidRPr="00F855C8">
        <w:t xml:space="preserve"> каждого больного должна быть оценена степень риска развития ВТЭО; у больных, получающих лекарственную противоопухолевую терапию, следует учитывать до</w:t>
      </w:r>
      <w:r>
        <w:t>полнительные факторы риска ВТЭО.</w:t>
      </w:r>
      <w:r w:rsidRPr="00F855C8">
        <w:t xml:space="preserve"> </w:t>
      </w:r>
    </w:p>
    <w:p w14:paraId="4B2F6193" w14:textId="762F6133" w:rsidR="009F7A84" w:rsidRPr="00111FC7" w:rsidRDefault="009F7A84" w:rsidP="009F7A84">
      <w:pPr>
        <w:ind w:firstLine="708"/>
      </w:pPr>
      <w:r w:rsidRPr="00111FC7">
        <w:lastRenderedPageBreak/>
        <w:t>Профилактические мероприятия следует проводить у всех больных, относящихся к группам риска</w:t>
      </w:r>
      <w:r>
        <w:t xml:space="preserve"> </w:t>
      </w:r>
      <w:r>
        <w:fldChar w:fldCharType="begin" w:fldLock="1"/>
      </w:r>
      <w:r w:rsidR="009F4636">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[133,134]","plainTextFormattedCitation":"[133,134]","previouslyFormattedCitation":"[133,134]"},"properties":{"noteIndex":0},"schema":"https://github.com/citation-style-language/schema/raw/master/csl-citation.json"}</w:instrText>
      </w:r>
      <w:r>
        <w:fldChar w:fldCharType="separate"/>
      </w:r>
      <w:r w:rsidR="00A61993" w:rsidRPr="00A61993">
        <w:rPr>
          <w:noProof/>
        </w:rPr>
        <w:t>[133,134]</w:t>
      </w:r>
      <w:r>
        <w:fldChar w:fldCharType="end"/>
      </w:r>
      <w:r w:rsidRPr="00111FC7">
        <w:t>:</w:t>
      </w:r>
    </w:p>
    <w:p w14:paraId="73BF1BC4" w14:textId="77777777" w:rsidR="009F7A84" w:rsidRDefault="009F7A84" w:rsidP="009F7A84">
      <w:pPr>
        <w:pStyle w:val="afe"/>
        <w:numPr>
          <w:ilvl w:val="0"/>
          <w:numId w:val="58"/>
        </w:numPr>
        <w:rPr>
          <w:szCs w:val="24"/>
        </w:rPr>
      </w:pPr>
      <w:r>
        <w:rPr>
          <w:szCs w:val="24"/>
        </w:rPr>
        <w:t>обеспечение максимально возможной активности мышц нижних конечностей пациентов, находящихся на длительном постельном режиме, местные процедуры, увеличивающие объемный поток крови через глубокие вены нижних конечностей (эластическая компрессия нижних конечностей, перемежающаяся пневмокомпрессия, венозный насос для стопы);</w:t>
      </w:r>
    </w:p>
    <w:p w14:paraId="05992678" w14:textId="77777777" w:rsidR="009F7A84" w:rsidRDefault="009F7A84" w:rsidP="009F7A84">
      <w:pPr>
        <w:pStyle w:val="afe"/>
        <w:numPr>
          <w:ilvl w:val="0"/>
          <w:numId w:val="58"/>
        </w:numPr>
        <w:rPr>
          <w:szCs w:val="24"/>
        </w:rPr>
      </w:pPr>
      <w:r>
        <w:rPr>
          <w:szCs w:val="24"/>
        </w:rPr>
        <w:t>массаж, активные и пассивные нагрузки на верхние конечности, улучшающие циркуляцию крови; механические способы профилактики (компрессионный трикотаж, перемежающаяся пневматическая компрессия);</w:t>
      </w:r>
    </w:p>
    <w:p w14:paraId="5F656B3C" w14:textId="77777777" w:rsidR="009F7A84" w:rsidRPr="0019724D" w:rsidRDefault="009F7A84" w:rsidP="009F7A84">
      <w:pPr>
        <w:pStyle w:val="afe"/>
        <w:numPr>
          <w:ilvl w:val="0"/>
          <w:numId w:val="58"/>
        </w:numPr>
        <w:rPr>
          <w:szCs w:val="24"/>
        </w:rPr>
      </w:pPr>
      <w:r>
        <w:rPr>
          <w:szCs w:val="24"/>
        </w:rPr>
        <w:t>о</w:t>
      </w:r>
      <w:r w:rsidRPr="0019724D">
        <w:rPr>
          <w:szCs w:val="24"/>
        </w:rPr>
        <w:t xml:space="preserve">собенно важно применять механические способы профилактики при наличии противопоказаний к использованию антикоагулянтов; </w:t>
      </w:r>
    </w:p>
    <w:p w14:paraId="50CFCBFD" w14:textId="77777777" w:rsidR="009F7A84" w:rsidRDefault="009F7A84" w:rsidP="009F7A84">
      <w:pPr>
        <w:pStyle w:val="afe"/>
        <w:numPr>
          <w:ilvl w:val="0"/>
          <w:numId w:val="58"/>
        </w:numPr>
        <w:rPr>
          <w:szCs w:val="24"/>
        </w:rPr>
      </w:pPr>
      <w:r>
        <w:rPr>
          <w:szCs w:val="24"/>
        </w:rPr>
        <w:t>у больных с крайне высоким риском ВТЭО медикаментозная и механическая профилактика должны сочетаться;</w:t>
      </w:r>
    </w:p>
    <w:p w14:paraId="4ED19807" w14:textId="77777777" w:rsidR="009F7A84" w:rsidRDefault="009F7A84" w:rsidP="009F7A84">
      <w:pPr>
        <w:pStyle w:val="afe"/>
        <w:numPr>
          <w:ilvl w:val="0"/>
          <w:numId w:val="58"/>
        </w:numPr>
        <w:rPr>
          <w:szCs w:val="24"/>
        </w:rPr>
      </w:pPr>
      <w:r>
        <w:rPr>
          <w:szCs w:val="24"/>
        </w:rPr>
        <w:t xml:space="preserve">проведение лекарственной тромбопрофилактики прямыми (парентеральными и пероральными) и непрямыми антикоагулянтами; </w:t>
      </w:r>
    </w:p>
    <w:p w14:paraId="59C22CB1" w14:textId="77777777" w:rsidR="009F7A84" w:rsidRDefault="009F7A84" w:rsidP="009F7A84">
      <w:pPr>
        <w:pStyle w:val="afe"/>
        <w:numPr>
          <w:ilvl w:val="0"/>
          <w:numId w:val="58"/>
        </w:numPr>
        <w:rPr>
          <w:szCs w:val="24"/>
        </w:rPr>
      </w:pPr>
      <w:r>
        <w:rPr>
          <w:szCs w:val="24"/>
        </w:rPr>
        <w:t xml:space="preserve">наличие острого кровотечения является абсолютным противопоказанием к назначению препаратов антикоагулянтного, антитромботического и антиагрегантного действия; </w:t>
      </w:r>
    </w:p>
    <w:p w14:paraId="09396E93" w14:textId="77777777" w:rsidR="009F7A84" w:rsidRDefault="009F7A84" w:rsidP="009F7A84">
      <w:pPr>
        <w:pStyle w:val="afe"/>
        <w:numPr>
          <w:ilvl w:val="0"/>
          <w:numId w:val="58"/>
        </w:numPr>
        <w:rPr>
          <w:szCs w:val="24"/>
        </w:rPr>
      </w:pPr>
      <w:r>
        <w:rPr>
          <w:szCs w:val="24"/>
        </w:rPr>
        <w:t xml:space="preserve">установка кава-фильтра в нижней полой вене при повторных ТЭЛА при применении адекватной схемы антикоагулянтной лекарственной профилактики;  </w:t>
      </w:r>
    </w:p>
    <w:p w14:paraId="7B53C2EF" w14:textId="77777777" w:rsidR="009F7A84" w:rsidRDefault="009F7A84" w:rsidP="009F7A84">
      <w:pPr>
        <w:pStyle w:val="afe"/>
        <w:numPr>
          <w:ilvl w:val="0"/>
          <w:numId w:val="58"/>
        </w:numPr>
        <w:rPr>
          <w:szCs w:val="24"/>
        </w:rPr>
      </w:pPr>
      <w:r>
        <w:rPr>
          <w:szCs w:val="24"/>
        </w:rPr>
        <w:t xml:space="preserve">у пациентов после оперативных вмешательств - максимальная и возможно более ранняя активизация, включая методы пассивной нагрузки. </w:t>
      </w:r>
    </w:p>
    <w:p w14:paraId="576A3A3E" w14:textId="77777777" w:rsidR="009F7A84" w:rsidRDefault="009F7A84" w:rsidP="009F7A84">
      <w:pPr>
        <w:pStyle w:val="afe"/>
        <w:numPr>
          <w:ilvl w:val="0"/>
          <w:numId w:val="57"/>
        </w:numPr>
        <w:rPr>
          <w:szCs w:val="24"/>
        </w:rPr>
      </w:pPr>
      <w:r>
        <w:rPr>
          <w:szCs w:val="24"/>
        </w:rPr>
        <w:t>Проводить профилактику следует до тех пор, пока сохраняется высокий риск развития тромботических осложнений (месяцы и годы).</w:t>
      </w:r>
    </w:p>
    <w:p w14:paraId="21493A43" w14:textId="77777777" w:rsidR="009F7A84" w:rsidRDefault="009F7A84" w:rsidP="009F7A84">
      <w:pPr>
        <w:pStyle w:val="3"/>
        <w:keepLines w:val="0"/>
        <w:spacing w:before="0"/>
        <w:rPr>
          <w:rFonts w:ascii="Times New Roman" w:hAnsi="Times New Roman"/>
          <w:b/>
          <w:bCs/>
          <w:i/>
          <w:iCs/>
          <w:color w:val="auto"/>
          <w:u w:val="single"/>
          <w:lang w:eastAsia="ru-RU"/>
        </w:rPr>
      </w:pPr>
    </w:p>
    <w:p w14:paraId="114CD8BC" w14:textId="77777777" w:rsidR="009F7A84" w:rsidRPr="00F149A1" w:rsidRDefault="009F7A84" w:rsidP="00A61993">
      <w:pPr>
        <w:pStyle w:val="afd"/>
        <w:spacing w:beforeAutospacing="0" w:afterAutospacing="0" w:line="360" w:lineRule="auto"/>
        <w:ind w:firstLine="0"/>
        <w:rPr>
          <w:i/>
          <w:iCs/>
          <w:u w:val="single"/>
        </w:rPr>
      </w:pPr>
      <w:r w:rsidRPr="00F149A1">
        <w:rPr>
          <w:i/>
          <w:iCs/>
          <w:u w:val="single"/>
        </w:rPr>
        <w:t>Профилактика и лечение тромботических нарушений у онкогематологических пациентов.</w:t>
      </w:r>
    </w:p>
    <w:p w14:paraId="4C236735" w14:textId="446E426F" w:rsidR="009F7A84" w:rsidRDefault="009F7A84" w:rsidP="00A61993">
      <w:pPr>
        <w:ind w:firstLine="709"/>
        <w:contextualSpacing/>
      </w:pPr>
      <w:r>
        <w:t xml:space="preserve">При выявлении ВТЭО и определении его давности, локализации, распространенности, назначается соответствующая терапия </w:t>
      </w:r>
      <w:r>
        <w:fldChar w:fldCharType="begin" w:fldLock="1"/>
      </w:r>
      <w:r w:rsidR="009F4636">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[133,134]","plainTextFormattedCitation":"[133,134]","previouslyFormattedCitation":"[133,134]"},"properties":{"noteIndex":0},"schema":"https://github.com/citation-style-language/schema/raw/master/csl-citation.json"}</w:instrText>
      </w:r>
      <w:r>
        <w:fldChar w:fldCharType="separate"/>
      </w:r>
      <w:r w:rsidR="00A61993" w:rsidRPr="00A61993">
        <w:rPr>
          <w:noProof/>
        </w:rPr>
        <w:t>[133,134]</w:t>
      </w:r>
      <w:r>
        <w:fldChar w:fldCharType="end"/>
      </w:r>
      <w:r>
        <w:t>. Терапия должна проводиться в течение всего периода проведения специфической терапии основного гематологического заболевания в стационарных и/или амбулаторных условиях. Пациенты с острыми тромбозами чаще всего нуждаются в госпитализации в стационар.</w:t>
      </w:r>
    </w:p>
    <w:p w14:paraId="053B3DF7" w14:textId="77777777" w:rsidR="009F7A84" w:rsidRDefault="009F7A84" w:rsidP="009F7A84">
      <w:pPr>
        <w:rPr>
          <w:u w:val="single"/>
        </w:rPr>
      </w:pPr>
    </w:p>
    <w:p w14:paraId="4CC4DAD0" w14:textId="77777777" w:rsidR="009F7A84" w:rsidRDefault="009F7A84" w:rsidP="009F7A84">
      <w:pPr>
        <w:rPr>
          <w:u w:val="single"/>
        </w:rPr>
      </w:pPr>
      <w:r>
        <w:rPr>
          <w:u w:val="single"/>
        </w:rPr>
        <w:t>Медикаментозная терапия.</w:t>
      </w:r>
    </w:p>
    <w:p w14:paraId="370B2C3D" w14:textId="3274D242" w:rsidR="009F7A84" w:rsidRPr="003F7AC3" w:rsidRDefault="009F7A84" w:rsidP="009F7A84">
      <w:pPr>
        <w:ind w:firstLine="708"/>
      </w:pPr>
      <w:r w:rsidRPr="003F7AC3">
        <w:t>1) Антикоагулянтная терапия</w:t>
      </w:r>
      <w:r>
        <w:t xml:space="preserve"> </w:t>
      </w:r>
      <w:r>
        <w:fldChar w:fldCharType="begin" w:fldLock="1"/>
      </w:r>
      <w:r w:rsidR="009F4636">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терапия","type":"article-journal","volume":"61"},"uris":["http://www.mendeley.com/documents/?uuid=9198cd60-8a8e-46bc-9cfc-b0a20a2d96ea"]},{"id":"ITEM-2","itemData":{"DOI":"10.1016/j.critrevonc.2018.02.003","ISSN":"18790461","PMID":"29548485","abstract":"Venous Thromboembolism (VTE) frequently complicates the course of hematologic malignancies (HM) and its incidence is similar to that observed in high-risk solid tumors. Despite that, pharmacologic prophylaxis and treatment of VTE in patients with HM is challenging, mainly because a severe thrombocytopenia frequently complicates the course of treatments or may be present since diagnosis, thus increasing the risk of bleeding. Therefore, in this setting, safe and effective methods of VTE prophylaxis and treatment have not been well defined and hematologists generally refer to guidelines produced for cancer patients that give indications on anticoagulation in patients with thrombocytopenia. In this review, besides to summarize the incidence and the available data on prophylaxis and treatment of VTE in HM, we give some advices on how to use antithrombotic drugs in patients with HM according to platelets count.","author":[{"dropping-particle":"","family":"Annibali","given":"Ombretta","non-dropping-particle":"","parse-names":false,"suffix":""},{"dropping-particle":"","family":"Napolitano","given":"Mariasanta","non-dropping-particle":"","parse-names":false,"suffix":""},{"dropping-particle":"","family":"Avvisati","given":"Giuseppe","non-dropping-particle":"","parse-names":false,"suffix":""},{"dropping-particle":"","family":"Siragusa","given":"Sergio","non-dropping-particle":"","parse-names":false,"suffix":""}],"container-title":"Critical Reviews in Oncology/Hematology","id":"ITEM-2","issued":{"date-parts":[["2018","4","1"]]},"page":"41-50","publisher":"Elsevier Ireland Ltd","title":"Incidence of venous thromboembolism and use of anticoagulation in hematological malignancies: Critical review of the literature","type":"article","volume":"124"},"uris":["http://www.mendeley.com/documents/?uuid=22f80e37-ad15-39e0-a4bd-123ad1adb983"]},{"id":"ITEM-3","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-3","issued":{"date-parts":[["2010"]]},"number-of-pages":"192","title":"Практическая коагулология","type":"book"},"uris":["http://www.mendeley.com/documents/?uuid=36d7b04e-d654-47d2-a073-3cc2bb6e80ce"]}],"mendeley":{"formattedCitation":"[131,133,134]","plainTextFormattedCitation":"[131,133,134]","previouslyFormattedCitation":"[131,133,134]"},"properties":{"noteIndex":0},"schema":"https://github.com/citation-style-language/schema/raw/master/csl-citation.json"}</w:instrText>
      </w:r>
      <w:r>
        <w:fldChar w:fldCharType="separate"/>
      </w:r>
      <w:r w:rsidR="00A61993" w:rsidRPr="00A61993">
        <w:rPr>
          <w:noProof/>
        </w:rPr>
        <w:t>[131,133,134]</w:t>
      </w:r>
      <w:r>
        <w:fldChar w:fldCharType="end"/>
      </w:r>
      <w:r>
        <w:t>.</w:t>
      </w:r>
    </w:p>
    <w:p w14:paraId="42ACEF5C" w14:textId="1ADD87E3" w:rsidR="009F7A84" w:rsidRDefault="009F7A84" w:rsidP="00A61993">
      <w:pPr>
        <w:widowControl w:val="0"/>
        <w:ind w:firstLine="709"/>
      </w:pPr>
      <w:r>
        <w:lastRenderedPageBreak/>
        <w:t>Осуществляется лечение нефракционированным гепарином (НФГ), предпочтительно путем постоянного внутривенного введения при помощи инфузомата</w:t>
      </w:r>
      <w:r w:rsidRPr="00987C04">
        <w:t xml:space="preserve"> </w:t>
      </w:r>
      <w:r>
        <w:fldChar w:fldCharType="begin" w:fldLock="1"/>
      </w:r>
      <w:r w:rsidR="009F4636">
        <w:instrText>ADDIN CSL_CITATION {"citationItems":[{"id":"ITEM-1","itemData":{"author":[{"dropping-particle":"","family":"Weitz","given":"I. C.","non-dropping-particle":"","parse-names":false,"suffix":""},{"dropping-particle":"","family":"Israel","given":"V. K.","non-dropping-particle":"","parse-names":false,"suffix":""},{"dropping-particle":"","family":"Waisman","given":"James R","non-dropping-particle":"","parse-names":false,"suffix":""},{"dropping-particle":"","family":"Presant","given":"Cary A","non-dropping-particle":"","parse-names":false,"suffix":""},{"dropping-particle":"","family":"Rochanda","given":"Leanne","non-dropping-particle":"","parse-names":false,"suffix":""},{"dropping-particle":"","family":"Liebman","given":"Howard A","non-dropping-particle":"","parse-names":false,"suffix":""}],"container-title":"Thrombosis and Haemostasis","id":"ITEM-1","issue":"2","issued":{"date-parts":[["2002"]]},"page":"213-220","title":"Chemotherapy-induced activation of hemostasis: effect of a low molecular weight heparin (dalteparin sodium) on plasma markers of hemostatic activation","type":"article-journal","volume":"88"},"uris":["http://www.mendeley.com/documents/?uuid=4bd2d375-bafa-4614-b494-989a99e4214d"]}],"mendeley":{"formattedCitation":"[136]","plainTextFormattedCitation":"[136]","previouslyFormattedCitation":"[136]"},"properties":{"noteIndex":0},"schema":"https://github.com/citation-style-language/schema/raw/master/csl-citation.json"}</w:instrText>
      </w:r>
      <w:r>
        <w:fldChar w:fldCharType="separate"/>
      </w:r>
      <w:r w:rsidR="00A61993" w:rsidRPr="00A61993">
        <w:rPr>
          <w:noProof/>
        </w:rPr>
        <w:t>[136]</w:t>
      </w:r>
      <w:r>
        <w:fldChar w:fldCharType="end"/>
      </w:r>
      <w:r>
        <w:t xml:space="preserve">. Доза гепарина подбирается по АЧТВ, которое должно составлять 1,5-2 нормы. Начальная доза гепарина составляет 1000 МЕ/час. Профилактические и лечебные режимы введения НФГ представлены в таблицах 1 и 2. </w:t>
      </w:r>
    </w:p>
    <w:p w14:paraId="7F677608" w14:textId="4C88B136" w:rsidR="009F7A84" w:rsidRDefault="009F7A84" w:rsidP="00A61993">
      <w:pPr>
        <w:widowControl w:val="0"/>
        <w:ind w:firstLine="709"/>
      </w:pPr>
      <w:r>
        <w:t>Если количество тромбоцитов в крови меньше 100 х 10</w:t>
      </w:r>
      <w:r>
        <w:rPr>
          <w:vertAlign w:val="superscript"/>
        </w:rPr>
        <w:t>9</w:t>
      </w:r>
      <w:r>
        <w:t>/л, дозу НФГ снижают вдвое; если меньше 50х10</w:t>
      </w:r>
      <w:r>
        <w:rPr>
          <w:vertAlign w:val="superscript"/>
        </w:rPr>
        <w:t>9</w:t>
      </w:r>
      <w:r>
        <w:t>/л, НФГ отменяют. При развитии геморрагического синдрома любой тяжести введение НФГ прекращают и вводят протамина сульфат или свежезамороженную плазму (СЗП) 10</w:t>
      </w:r>
      <w:r>
        <w:rPr>
          <w:i/>
        </w:rPr>
        <w:t>—</w:t>
      </w:r>
      <w:r>
        <w:t xml:space="preserve">15 мл на кг массы тела. При гепаринотерапии обязателен контроль количества тромбоцитов в крови каждые 2-3 дня. В случае развития гепарин-индуцированной тромбоцитопении </w:t>
      </w:r>
      <w:r>
        <w:rPr>
          <w:lang w:val="en-US"/>
        </w:rPr>
        <w:t>II</w:t>
      </w:r>
      <w:r>
        <w:t xml:space="preserve"> типа (ГИТ </w:t>
      </w:r>
      <w:r>
        <w:rPr>
          <w:lang w:val="en-US"/>
        </w:rPr>
        <w:t>II</w:t>
      </w:r>
      <w:r>
        <w:t>) любые формы гепарина отменяются, не допускается промывка гепарином катетеров. При этом с антикоагулянтной целью применяются фондапаринукс или прямые оральные антикоагулянты (ривароксабан, дабигатран, апиксабан)</w:t>
      </w:r>
      <w:r w:rsidRPr="00E425CD">
        <w:t xml:space="preserve"> </w:t>
      </w:r>
      <w:r>
        <w:fldChar w:fldCharType="begin" w:fldLock="1"/>
      </w:r>
      <w:r w:rsidR="009F4636">
        <w:instrText>ADDIN CSL_CITATION {"citationItems":[{"id":"ITEM-1","itemData":{"DOI":"10.1016/j.thromres.2015.01.009","ISSN":"18792472","PMID":"25613925","abstract":"Background Heparin induced thrombocytopenia (HIT) is a potentially catastrophic syndrome with a high incidence of vascular thrombosis. There are little data on the efficacy of new oral anticoagulants (NOAC) in this setting. This study reports on the outcome of patients with HIT, treated with NOAC. Materials and Methods We retrospectively identified 22 patients with HIT who were treated by our group with a combination of NOAC and a short course of argatroban. These patients were evaluated in a prospective fashion for development of outcomes at a mean follow up of 19 ± 3 months. Results There were a total of 5 deep and 2 superficial vein thromboses diagnosed at index hospitalization. No patient developed arterial thrombosis. All patients tolerated NOAC and their platelet count normalized before discharge. At 19 months of follow-up, 6 patients had died of non-thrombotic causes. There was no bleeding, limb loss or recurrent venous thromboembolism in any patient. Conclusions In patients with HIT, a short course of parenteral treatment with argatroban followed by administration of a NOAC is highly safe and effective in prevention of thrombosis and normalization of platelet count. Development of HIT however, portends a poor prognosis independent of vascular thrombosis.","author":[{"dropping-particle":"","family":"Sharifi","given":"Mohsen","non-dropping-particle":"","parse-names":false,"suffix":""},{"dropping-particle":"","family":"Bay","given":"Curt","non-dropping-particle":"","parse-names":false,"suffix":""},{"dropping-particle":"","family":"Vajo","given":"Zoltan","non-dropping-particle":"","parse-names":false,"suffix":""},{"dropping-particle":"","family":"Freeman","given":"Wilbur","non-dropping-particle":"","parse-names":false,"suffix":""},{"dropping-particle":"","family":"Sharifi","given":"Mirali","non-dropping-particle":"","parse-names":false,"suffix":""},{"dropping-particle":"","family":"Schwartz","given":"Frederic","non-dropping-particle":"","parse-names":false,"suffix":""}],"container-title":"Thrombosis Research","id":"ITEM-1","issue":"4","issued":{"date-parts":[["2015","4","1"]]},"page":"607-609","publisher":"Elsevier Ltd","title":"New oral anticoagulants in the treatment of heparin- Induced thrombocytopenia","type":"article-journal","volume":"135"},"uris":["http://www.mendeley.com/documents/?uuid=c18762a2-54f4-3dcb-8daf-003be3aa9168"]}],"mendeley":{"formattedCitation":"[137]","plainTextFormattedCitation":"[137]","previouslyFormattedCitation":"[137]"},"properties":{"noteIndex":0},"schema":"https://github.com/citation-style-language/schema/raw/master/csl-citation.json"}</w:instrText>
      </w:r>
      <w:r>
        <w:fldChar w:fldCharType="separate"/>
      </w:r>
      <w:r w:rsidR="00A61993" w:rsidRPr="00A61993">
        <w:rPr>
          <w:noProof/>
        </w:rPr>
        <w:t>[137]</w:t>
      </w:r>
      <w:r>
        <w:fldChar w:fldCharType="end"/>
      </w:r>
      <w:r>
        <w:t xml:space="preserve">. </w:t>
      </w:r>
    </w:p>
    <w:p w14:paraId="3F281A66" w14:textId="77777777" w:rsidR="009F7A84" w:rsidRDefault="009F7A84" w:rsidP="00A61993">
      <w:pPr>
        <w:widowControl w:val="0"/>
        <w:ind w:firstLine="709"/>
      </w:pPr>
      <w:r>
        <w:t>ГИТ необходимо дифференцировать с миелотоксической тромбоцитопенией. Дифференциальным признаком является панцитопения при миелотоксичности и изолированная тромбоцитопения при ГИТ. Изолированное снижение тромбоцитов может быть и при инфекционных осложнениях – как признак потребления при микротромбировании.</w:t>
      </w:r>
    </w:p>
    <w:p w14:paraId="0089A0E3" w14:textId="77777777" w:rsidR="009F7A84" w:rsidRDefault="009F7A84" w:rsidP="00A61993">
      <w:pPr>
        <w:widowControl w:val="0"/>
        <w:ind w:firstLine="709"/>
      </w:pPr>
      <w:r>
        <w:t>Альтернативой НФГ является подкожное введение низкомолекулярного гепарина (НМГ). Доза подбирается из расчета 100 анти-</w:t>
      </w:r>
      <w:r>
        <w:rPr>
          <w:lang w:val="en-US"/>
        </w:rPr>
        <w:t>Xa</w:t>
      </w:r>
      <w:r>
        <w:t xml:space="preserve"> МЕ на кг массы тела. Препарат НМГ вводится подкожно 1-2 раза в день. Профилактические и лечебные режимы введения НМГ представлены в таблицах 1 и 2. </w:t>
      </w:r>
    </w:p>
    <w:p w14:paraId="3AEDD22C" w14:textId="77777777" w:rsidR="009F7A84" w:rsidRDefault="009F7A84" w:rsidP="00A61993">
      <w:pPr>
        <w:ind w:firstLine="709"/>
      </w:pPr>
      <w:r>
        <w:t>Для контроля используется анти-</w:t>
      </w:r>
      <w:r>
        <w:rPr>
          <w:lang w:val="en-US"/>
        </w:rPr>
        <w:t>X</w:t>
      </w:r>
      <w:r>
        <w:t>а активность, максимальный пик которой должен составлять 0,3-1,0 МЕ/мл через 3-4 часа после введения НМГ, а именно:</w:t>
      </w:r>
    </w:p>
    <w:p w14:paraId="50A4B42E" w14:textId="77777777" w:rsidR="009F7A84" w:rsidRDefault="009F7A84" w:rsidP="009F7A84">
      <w:pPr>
        <w:pStyle w:val="afe"/>
        <w:numPr>
          <w:ilvl w:val="0"/>
          <w:numId w:val="57"/>
        </w:numPr>
        <w:ind w:left="1134"/>
        <w:rPr>
          <w:szCs w:val="24"/>
        </w:rPr>
      </w:pPr>
      <w:r>
        <w:rPr>
          <w:szCs w:val="24"/>
        </w:rPr>
        <w:t xml:space="preserve">при профилактической дозе НМГ – 0,3-0,4 МЕ/мл плазмы, </w:t>
      </w:r>
    </w:p>
    <w:p w14:paraId="59A137FA" w14:textId="77777777" w:rsidR="009F7A84" w:rsidRDefault="009F7A84" w:rsidP="009F7A84">
      <w:pPr>
        <w:pStyle w:val="afe"/>
        <w:numPr>
          <w:ilvl w:val="0"/>
          <w:numId w:val="59"/>
        </w:numPr>
        <w:ind w:left="1134"/>
        <w:rPr>
          <w:szCs w:val="24"/>
        </w:rPr>
      </w:pPr>
      <w:r>
        <w:rPr>
          <w:szCs w:val="24"/>
        </w:rPr>
        <w:t>при лечебной дозе НМГ при введении 2 р/сут – 0,5-1,0 МЕ/мл плазмы,</w:t>
      </w:r>
    </w:p>
    <w:p w14:paraId="18ED67E9" w14:textId="77777777" w:rsidR="009F7A84" w:rsidRDefault="009F7A84" w:rsidP="009F7A84">
      <w:pPr>
        <w:pStyle w:val="afe"/>
        <w:numPr>
          <w:ilvl w:val="0"/>
          <w:numId w:val="59"/>
        </w:numPr>
        <w:ind w:left="1134"/>
        <w:rPr>
          <w:szCs w:val="24"/>
        </w:rPr>
      </w:pPr>
      <w:r>
        <w:rPr>
          <w:szCs w:val="24"/>
        </w:rPr>
        <w:t>при лечебной дозе НМГ при введении 1 р/сут – 1,0-2,0 МЕ/мл плазмы.</w:t>
      </w:r>
    </w:p>
    <w:p w14:paraId="66B8134F" w14:textId="77777777" w:rsidR="009F7A84" w:rsidRDefault="009F7A84" w:rsidP="009F7A84">
      <w:pPr>
        <w:ind w:left="708"/>
        <w:rPr>
          <w:bCs/>
        </w:rPr>
      </w:pPr>
    </w:p>
    <w:p w14:paraId="3EC9AA58" w14:textId="77777777" w:rsidR="009F7A84" w:rsidRPr="00B46409" w:rsidRDefault="009F7A84" w:rsidP="009F7A84">
      <w:pPr>
        <w:rPr>
          <w:bCs/>
        </w:rPr>
      </w:pPr>
      <w:r>
        <w:rPr>
          <w:bCs/>
        </w:rPr>
        <w:t>Таблица 1</w:t>
      </w:r>
      <w:r w:rsidRPr="00B46409">
        <w:rPr>
          <w:bCs/>
        </w:rPr>
        <w:t xml:space="preserve">. Дозы антикоагулянтных препаратов </w:t>
      </w:r>
      <w:r w:rsidRPr="00B46409">
        <w:rPr>
          <w:bCs/>
          <w:iCs/>
        </w:rPr>
        <w:t>для профилактики</w:t>
      </w:r>
      <w:r>
        <w:rPr>
          <w:bCs/>
          <w:iCs/>
        </w:rPr>
        <w:t xml:space="preserve"> </w:t>
      </w:r>
      <w:r w:rsidRPr="00B46409">
        <w:rPr>
          <w:bCs/>
        </w:rPr>
        <w:t>тромботических осложнений</w:t>
      </w:r>
    </w:p>
    <w:tbl>
      <w:tblPr>
        <w:tblStyle w:val="1fb"/>
        <w:tblW w:w="867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998"/>
        <w:gridCol w:w="4678"/>
      </w:tblGrid>
      <w:tr w:rsidR="009F7A84" w:rsidRPr="00B46409" w14:paraId="2911A431" w14:textId="77777777" w:rsidTr="002D3EBF">
        <w:trPr>
          <w:trHeight w:val="452"/>
        </w:trPr>
        <w:tc>
          <w:tcPr>
            <w:tcW w:w="3998" w:type="dxa"/>
            <w:shd w:val="clear" w:color="auto" w:fill="auto"/>
          </w:tcPr>
          <w:p w14:paraId="5998DA58" w14:textId="77777777" w:rsidR="009F7A84" w:rsidRPr="00B46409" w:rsidRDefault="009F7A84" w:rsidP="002D3EBF">
            <w:pPr>
              <w:jc w:val="center"/>
              <w:rPr>
                <w:bCs/>
              </w:rPr>
            </w:pPr>
            <w:r w:rsidRPr="00B46409">
              <w:rPr>
                <w:rFonts w:eastAsiaTheme="majorEastAsia"/>
                <w:bCs/>
              </w:rPr>
              <w:t>Терапия</w:t>
            </w:r>
          </w:p>
        </w:tc>
        <w:tc>
          <w:tcPr>
            <w:tcW w:w="4678" w:type="dxa"/>
            <w:shd w:val="clear" w:color="auto" w:fill="auto"/>
          </w:tcPr>
          <w:p w14:paraId="57FD3CC8" w14:textId="77777777" w:rsidR="009F7A84" w:rsidRPr="00B46409" w:rsidRDefault="009F7A84" w:rsidP="002D3EBF">
            <w:pPr>
              <w:jc w:val="center"/>
              <w:rPr>
                <w:bCs/>
              </w:rPr>
            </w:pPr>
            <w:r w:rsidRPr="00B46409">
              <w:rPr>
                <w:rFonts w:eastAsiaTheme="majorEastAsia"/>
                <w:bCs/>
              </w:rPr>
              <w:t>Дозы</w:t>
            </w:r>
          </w:p>
        </w:tc>
      </w:tr>
      <w:tr w:rsidR="009F7A84" w:rsidRPr="00B46409" w14:paraId="78AD5B7D" w14:textId="77777777" w:rsidTr="002D3EBF">
        <w:trPr>
          <w:trHeight w:val="452"/>
        </w:trPr>
        <w:tc>
          <w:tcPr>
            <w:tcW w:w="3998" w:type="dxa"/>
            <w:shd w:val="clear" w:color="auto" w:fill="auto"/>
          </w:tcPr>
          <w:p w14:paraId="24D4B5FB" w14:textId="77777777" w:rsidR="009F7A84" w:rsidRPr="00B46409" w:rsidRDefault="009F7A84" w:rsidP="002D3EBF">
            <w:pPr>
              <w:rPr>
                <w:bCs/>
              </w:rPr>
            </w:pPr>
            <w:r w:rsidRPr="00B46409">
              <w:rPr>
                <w:rFonts w:eastAsiaTheme="majorEastAsia"/>
                <w:bCs/>
              </w:rPr>
              <w:t>Нефракционированный гепарин</w:t>
            </w:r>
          </w:p>
        </w:tc>
        <w:tc>
          <w:tcPr>
            <w:tcW w:w="4678" w:type="dxa"/>
            <w:shd w:val="clear" w:color="auto" w:fill="auto"/>
          </w:tcPr>
          <w:p w14:paraId="0F563148" w14:textId="77777777" w:rsidR="009F7A84" w:rsidRPr="00B46409" w:rsidRDefault="009F7A84" w:rsidP="002D3EBF">
            <w:pPr>
              <w:rPr>
                <w:bCs/>
              </w:rPr>
            </w:pPr>
            <w:r>
              <w:rPr>
                <w:rFonts w:eastAsiaTheme="majorEastAsia"/>
                <w:bCs/>
              </w:rPr>
              <w:t>500 МЕ/час</w:t>
            </w:r>
            <w:r w:rsidRPr="00B46409">
              <w:rPr>
                <w:rFonts w:eastAsiaTheme="majorEastAsia"/>
                <w:bCs/>
              </w:rPr>
              <w:t xml:space="preserve"> </w:t>
            </w:r>
            <w:r>
              <w:rPr>
                <w:rFonts w:eastAsiaTheme="majorEastAsia"/>
                <w:bCs/>
              </w:rPr>
              <w:t>в/в непрерывно</w:t>
            </w:r>
            <w:r w:rsidRPr="00A4634E">
              <w:rPr>
                <w:bCs/>
                <w:color w:val="000000" w:themeColor="dark1" w:themeShade="BF"/>
                <w:kern w:val="2"/>
              </w:rPr>
              <w:t xml:space="preserve"> под контролем АЧТВ</w:t>
            </w:r>
          </w:p>
        </w:tc>
      </w:tr>
      <w:tr w:rsidR="009F7A84" w:rsidRPr="00B46409" w14:paraId="15799E43" w14:textId="77777777" w:rsidTr="002D3EBF">
        <w:trPr>
          <w:trHeight w:val="452"/>
        </w:trPr>
        <w:tc>
          <w:tcPr>
            <w:tcW w:w="3998" w:type="dxa"/>
            <w:shd w:val="clear" w:color="auto" w:fill="auto"/>
          </w:tcPr>
          <w:p w14:paraId="2D9BBD6D" w14:textId="77777777" w:rsidR="009F7A84" w:rsidRPr="00B46409" w:rsidRDefault="009F7A84" w:rsidP="002D3EBF">
            <w:pPr>
              <w:rPr>
                <w:bCs/>
              </w:rPr>
            </w:pPr>
            <w:r w:rsidRPr="00B46409">
              <w:rPr>
                <w:rFonts w:eastAsiaTheme="majorEastAsia"/>
                <w:bCs/>
              </w:rPr>
              <w:lastRenderedPageBreak/>
              <w:t>Далтепарин натрия</w:t>
            </w:r>
          </w:p>
        </w:tc>
        <w:tc>
          <w:tcPr>
            <w:tcW w:w="4678" w:type="dxa"/>
            <w:shd w:val="clear" w:color="auto" w:fill="auto"/>
          </w:tcPr>
          <w:p w14:paraId="4ABED18B" w14:textId="77777777" w:rsidR="009F7A84" w:rsidRPr="00B46409" w:rsidRDefault="009F7A84" w:rsidP="002D3EBF">
            <w:pPr>
              <w:rPr>
                <w:bCs/>
              </w:rPr>
            </w:pPr>
            <w:r w:rsidRPr="00B46409">
              <w:rPr>
                <w:rFonts w:eastAsiaTheme="majorEastAsia"/>
                <w:bCs/>
              </w:rPr>
              <w:t>5000 МЕ 1 раз в день, п/к</w:t>
            </w:r>
          </w:p>
        </w:tc>
      </w:tr>
      <w:tr w:rsidR="009F7A84" w:rsidRPr="00B46409" w14:paraId="536AAC30" w14:textId="77777777" w:rsidTr="002D3EBF">
        <w:trPr>
          <w:trHeight w:val="452"/>
        </w:trPr>
        <w:tc>
          <w:tcPr>
            <w:tcW w:w="3998" w:type="dxa"/>
            <w:shd w:val="clear" w:color="auto" w:fill="auto"/>
          </w:tcPr>
          <w:p w14:paraId="75B91EDE" w14:textId="77777777" w:rsidR="009F7A84" w:rsidRPr="00B46409" w:rsidRDefault="009F7A84" w:rsidP="002D3EBF">
            <w:pPr>
              <w:rPr>
                <w:bCs/>
              </w:rPr>
            </w:pPr>
            <w:r w:rsidRPr="00B46409">
              <w:rPr>
                <w:rFonts w:eastAsiaTheme="majorEastAsia"/>
                <w:bCs/>
              </w:rPr>
              <w:t>Эноксапарин натрия</w:t>
            </w:r>
          </w:p>
        </w:tc>
        <w:tc>
          <w:tcPr>
            <w:tcW w:w="4678" w:type="dxa"/>
            <w:shd w:val="clear" w:color="auto" w:fill="auto"/>
          </w:tcPr>
          <w:p w14:paraId="59E22322" w14:textId="77777777" w:rsidR="009F7A84" w:rsidRPr="00B46409" w:rsidRDefault="009F7A84" w:rsidP="002D3EBF">
            <w:pPr>
              <w:rPr>
                <w:bCs/>
              </w:rPr>
            </w:pPr>
            <w:r w:rsidRPr="00B46409">
              <w:rPr>
                <w:rFonts w:eastAsiaTheme="majorEastAsia"/>
                <w:bCs/>
              </w:rPr>
              <w:t>0,4 мл 1 раз в день, п/к</w:t>
            </w:r>
          </w:p>
        </w:tc>
      </w:tr>
      <w:tr w:rsidR="009F7A84" w:rsidRPr="00B46409" w14:paraId="0EC059AC" w14:textId="77777777" w:rsidTr="002D3EBF">
        <w:trPr>
          <w:trHeight w:val="452"/>
        </w:trPr>
        <w:tc>
          <w:tcPr>
            <w:tcW w:w="3998" w:type="dxa"/>
            <w:shd w:val="clear" w:color="auto" w:fill="auto"/>
          </w:tcPr>
          <w:p w14:paraId="3E5C894D" w14:textId="77777777" w:rsidR="009F7A84" w:rsidRPr="00B46409" w:rsidRDefault="009F7A84" w:rsidP="002D3EBF">
            <w:pPr>
              <w:rPr>
                <w:bCs/>
              </w:rPr>
            </w:pPr>
            <w:r w:rsidRPr="00B46409">
              <w:rPr>
                <w:rFonts w:eastAsiaTheme="majorEastAsia"/>
                <w:bCs/>
              </w:rPr>
              <w:t>Надропарин кальция</w:t>
            </w:r>
          </w:p>
        </w:tc>
        <w:tc>
          <w:tcPr>
            <w:tcW w:w="4678" w:type="dxa"/>
            <w:shd w:val="clear" w:color="auto" w:fill="auto"/>
          </w:tcPr>
          <w:p w14:paraId="7F0C1CF8" w14:textId="77777777" w:rsidR="009F7A84" w:rsidRPr="00B46409" w:rsidRDefault="009F7A84" w:rsidP="002D3EBF">
            <w:pPr>
              <w:rPr>
                <w:bCs/>
              </w:rPr>
            </w:pPr>
            <w:r w:rsidRPr="00B46409">
              <w:rPr>
                <w:rFonts w:eastAsiaTheme="majorEastAsia"/>
                <w:bCs/>
              </w:rPr>
              <w:t>0,3 мл 1 раз в день, п/к</w:t>
            </w:r>
          </w:p>
        </w:tc>
      </w:tr>
      <w:tr w:rsidR="009F7A84" w:rsidRPr="00B46409" w14:paraId="28686436" w14:textId="77777777" w:rsidTr="002D3EBF">
        <w:trPr>
          <w:trHeight w:val="452"/>
        </w:trPr>
        <w:tc>
          <w:tcPr>
            <w:tcW w:w="3998" w:type="dxa"/>
            <w:shd w:val="clear" w:color="auto" w:fill="auto"/>
          </w:tcPr>
          <w:p w14:paraId="043CCD77" w14:textId="77777777" w:rsidR="009F7A84" w:rsidRPr="00B46409" w:rsidRDefault="009F7A84" w:rsidP="002D3EBF">
            <w:pPr>
              <w:rPr>
                <w:bCs/>
              </w:rPr>
            </w:pPr>
            <w:r w:rsidRPr="00B46409">
              <w:rPr>
                <w:rFonts w:eastAsiaTheme="majorEastAsia"/>
                <w:bCs/>
              </w:rPr>
              <w:t>Фондапаринукс натрия</w:t>
            </w:r>
          </w:p>
        </w:tc>
        <w:tc>
          <w:tcPr>
            <w:tcW w:w="4678" w:type="dxa"/>
            <w:shd w:val="clear" w:color="auto" w:fill="auto"/>
          </w:tcPr>
          <w:p w14:paraId="2BA307A1" w14:textId="77777777" w:rsidR="009F7A84" w:rsidRPr="00B46409" w:rsidRDefault="009F7A84" w:rsidP="002D3EBF">
            <w:pPr>
              <w:rPr>
                <w:bCs/>
              </w:rPr>
            </w:pPr>
            <w:r w:rsidRPr="00B46409">
              <w:rPr>
                <w:rFonts w:eastAsiaTheme="majorEastAsia"/>
                <w:bCs/>
              </w:rPr>
              <w:t>2,5 мг 1 раз в день, п/к</w:t>
            </w:r>
          </w:p>
        </w:tc>
      </w:tr>
      <w:tr w:rsidR="009F7A84" w:rsidRPr="00B46409" w14:paraId="6E1A1B54" w14:textId="77777777" w:rsidTr="002D3EBF">
        <w:trPr>
          <w:trHeight w:val="452"/>
        </w:trPr>
        <w:tc>
          <w:tcPr>
            <w:tcW w:w="3998" w:type="dxa"/>
            <w:shd w:val="clear" w:color="auto" w:fill="auto"/>
          </w:tcPr>
          <w:p w14:paraId="47D93259" w14:textId="77777777" w:rsidR="009F7A84" w:rsidRPr="00A4634E" w:rsidRDefault="009F7A84" w:rsidP="002D3EBF">
            <w:r w:rsidRPr="00A4634E">
              <w:rPr>
                <w:bCs/>
                <w:color w:val="000000" w:themeColor="dark1" w:themeShade="BF"/>
                <w:kern w:val="2"/>
              </w:rPr>
              <w:t>Варфарин</w:t>
            </w:r>
          </w:p>
        </w:tc>
        <w:tc>
          <w:tcPr>
            <w:tcW w:w="4678" w:type="dxa"/>
            <w:shd w:val="clear" w:color="auto" w:fill="auto"/>
          </w:tcPr>
          <w:p w14:paraId="726D6C27" w14:textId="77777777" w:rsidR="009F7A84" w:rsidRPr="00A4634E" w:rsidRDefault="009F7A84" w:rsidP="002D3EBF">
            <w:r w:rsidRPr="00A4634E">
              <w:rPr>
                <w:bCs/>
                <w:color w:val="000000" w:themeColor="dark1" w:themeShade="BF"/>
                <w:kern w:val="2"/>
              </w:rPr>
              <w:t xml:space="preserve">Перорально, </w:t>
            </w:r>
            <w:r>
              <w:rPr>
                <w:bCs/>
                <w:color w:val="000000" w:themeColor="dark1" w:themeShade="BF"/>
                <w:kern w:val="2"/>
              </w:rPr>
              <w:t>под контролем МНО (ц</w:t>
            </w:r>
            <w:r w:rsidRPr="00A4634E">
              <w:rPr>
                <w:bCs/>
                <w:color w:val="000000" w:themeColor="dark1" w:themeShade="BF"/>
                <w:kern w:val="2"/>
              </w:rPr>
              <w:t>елевые значе</w:t>
            </w:r>
            <w:r>
              <w:rPr>
                <w:bCs/>
                <w:color w:val="000000" w:themeColor="dark1" w:themeShade="BF"/>
                <w:kern w:val="2"/>
              </w:rPr>
              <w:t>ния МНО: 2.0-2.5)</w:t>
            </w:r>
            <w:r w:rsidRPr="00A4634E">
              <w:rPr>
                <w:bCs/>
                <w:color w:val="000000" w:themeColor="dark1" w:themeShade="BF"/>
                <w:kern w:val="2"/>
              </w:rPr>
              <w:t xml:space="preserve">, </w:t>
            </w:r>
          </w:p>
          <w:p w14:paraId="6ADAFC9E" w14:textId="77777777" w:rsidR="009F7A84" w:rsidRPr="00A4634E" w:rsidRDefault="009F7A84" w:rsidP="002D3EBF">
            <w:r w:rsidRPr="00A4634E">
              <w:rPr>
                <w:bCs/>
                <w:color w:val="000000" w:themeColor="dark1" w:themeShade="BF"/>
                <w:kern w:val="2"/>
              </w:rPr>
              <w:t>после НМГ или НФГ</w:t>
            </w:r>
          </w:p>
        </w:tc>
      </w:tr>
      <w:tr w:rsidR="009F7A84" w:rsidRPr="00B46409" w14:paraId="65796386" w14:textId="77777777" w:rsidTr="002D3EBF">
        <w:trPr>
          <w:trHeight w:val="452"/>
        </w:trPr>
        <w:tc>
          <w:tcPr>
            <w:tcW w:w="3998" w:type="dxa"/>
            <w:shd w:val="clear" w:color="auto" w:fill="auto"/>
          </w:tcPr>
          <w:p w14:paraId="7A974EF0" w14:textId="77777777" w:rsidR="009F7A84" w:rsidRPr="00A4634E" w:rsidRDefault="009F7A84" w:rsidP="002D3EBF">
            <w:r w:rsidRPr="00A4634E">
              <w:rPr>
                <w:bCs/>
                <w:color w:val="000000" w:themeColor="dark1" w:themeShade="BF"/>
                <w:kern w:val="2"/>
              </w:rPr>
              <w:t>Ривароксабан</w:t>
            </w:r>
          </w:p>
        </w:tc>
        <w:tc>
          <w:tcPr>
            <w:tcW w:w="4678" w:type="dxa"/>
            <w:shd w:val="clear" w:color="auto" w:fill="auto"/>
          </w:tcPr>
          <w:p w14:paraId="19BC3CE9" w14:textId="77777777" w:rsidR="009F7A84" w:rsidRPr="00A4634E" w:rsidRDefault="009F7A84" w:rsidP="002D3EBF">
            <w:r>
              <w:rPr>
                <w:bCs/>
                <w:color w:val="000000" w:themeColor="dark1" w:themeShade="BF"/>
                <w:kern w:val="2"/>
              </w:rPr>
              <w:t>10-</w:t>
            </w:r>
            <w:r w:rsidRPr="00A4634E">
              <w:rPr>
                <w:bCs/>
                <w:color w:val="000000" w:themeColor="dark1" w:themeShade="BF"/>
                <w:kern w:val="2"/>
              </w:rPr>
              <w:t>20 мг утром, перорально</w:t>
            </w:r>
          </w:p>
        </w:tc>
      </w:tr>
      <w:tr w:rsidR="009F7A84" w:rsidRPr="00B46409" w14:paraId="75C5F46F" w14:textId="77777777" w:rsidTr="002D3EBF">
        <w:trPr>
          <w:trHeight w:val="452"/>
        </w:trPr>
        <w:tc>
          <w:tcPr>
            <w:tcW w:w="3998" w:type="dxa"/>
            <w:shd w:val="clear" w:color="auto" w:fill="auto"/>
          </w:tcPr>
          <w:p w14:paraId="7CEC0450" w14:textId="77777777" w:rsidR="009F7A84" w:rsidRPr="00A4634E" w:rsidRDefault="009F7A84" w:rsidP="002D3EBF">
            <w:r w:rsidRPr="00A4634E">
              <w:rPr>
                <w:bCs/>
                <w:color w:val="000000" w:themeColor="dark1" w:themeShade="BF"/>
                <w:kern w:val="2"/>
              </w:rPr>
              <w:t>Апиксабан</w:t>
            </w:r>
          </w:p>
        </w:tc>
        <w:tc>
          <w:tcPr>
            <w:tcW w:w="4678" w:type="dxa"/>
            <w:shd w:val="clear" w:color="auto" w:fill="auto"/>
          </w:tcPr>
          <w:p w14:paraId="056E5BD7" w14:textId="77777777" w:rsidR="009F7A84" w:rsidRPr="00A4634E" w:rsidRDefault="009F7A84" w:rsidP="002D3EBF">
            <w:r>
              <w:rPr>
                <w:bCs/>
                <w:color w:val="000000" w:themeColor="dark1" w:themeShade="BF"/>
                <w:kern w:val="2"/>
              </w:rPr>
              <w:t>2,5</w:t>
            </w:r>
            <w:r w:rsidRPr="00A4634E">
              <w:rPr>
                <w:bCs/>
                <w:color w:val="000000" w:themeColor="dark1" w:themeShade="BF"/>
                <w:kern w:val="2"/>
              </w:rPr>
              <w:t xml:space="preserve"> мг х 2 р/сутки, перорально</w:t>
            </w:r>
          </w:p>
        </w:tc>
      </w:tr>
      <w:tr w:rsidR="009F7A84" w:rsidRPr="00B46409" w14:paraId="452CD7E2" w14:textId="77777777" w:rsidTr="002D3EBF">
        <w:trPr>
          <w:trHeight w:val="452"/>
        </w:trPr>
        <w:tc>
          <w:tcPr>
            <w:tcW w:w="3998" w:type="dxa"/>
            <w:shd w:val="clear" w:color="auto" w:fill="auto"/>
          </w:tcPr>
          <w:p w14:paraId="463F4268" w14:textId="77777777" w:rsidR="009F7A84" w:rsidRPr="00A4634E" w:rsidRDefault="009F7A84" w:rsidP="002D3EBF">
            <w:r w:rsidRPr="00A4634E">
              <w:rPr>
                <w:bCs/>
                <w:color w:val="000000" w:themeColor="dark1" w:themeShade="BF"/>
                <w:kern w:val="2"/>
              </w:rPr>
              <w:t>Дабигатран этексилат</w:t>
            </w:r>
          </w:p>
        </w:tc>
        <w:tc>
          <w:tcPr>
            <w:tcW w:w="4678" w:type="dxa"/>
            <w:shd w:val="clear" w:color="auto" w:fill="auto"/>
          </w:tcPr>
          <w:p w14:paraId="03E361D5" w14:textId="77777777" w:rsidR="009F7A84" w:rsidRPr="00A4634E" w:rsidRDefault="009F7A84" w:rsidP="002D3EBF">
            <w:r>
              <w:rPr>
                <w:bCs/>
                <w:color w:val="000000" w:themeColor="dark1" w:themeShade="BF"/>
                <w:kern w:val="2"/>
              </w:rPr>
              <w:t>110-</w:t>
            </w:r>
            <w:r w:rsidRPr="00A4634E">
              <w:rPr>
                <w:bCs/>
                <w:color w:val="000000" w:themeColor="dark1" w:themeShade="BF"/>
                <w:kern w:val="2"/>
              </w:rPr>
              <w:t>150 мг х 2р/сутки, перорально</w:t>
            </w:r>
          </w:p>
        </w:tc>
      </w:tr>
    </w:tbl>
    <w:p w14:paraId="6462D915" w14:textId="77777777" w:rsidR="009F7A84" w:rsidRDefault="009F7A84" w:rsidP="009F7A84">
      <w:pPr>
        <w:rPr>
          <w:b/>
          <w:bCs/>
        </w:rPr>
      </w:pPr>
    </w:p>
    <w:p w14:paraId="3F2EEE9E" w14:textId="77777777" w:rsidR="009F7A84" w:rsidRPr="00A4634E" w:rsidRDefault="009F7A84" w:rsidP="009F7A84">
      <w:r w:rsidRPr="00A4634E">
        <w:rPr>
          <w:bCs/>
        </w:rPr>
        <w:t xml:space="preserve">Таблица </w:t>
      </w:r>
      <w:r>
        <w:rPr>
          <w:bCs/>
        </w:rPr>
        <w:t>2</w:t>
      </w:r>
      <w:r w:rsidRPr="00A4634E">
        <w:rPr>
          <w:bCs/>
        </w:rPr>
        <w:t xml:space="preserve">. Режимы антикоагулянтной терапии </w:t>
      </w:r>
      <w:r w:rsidRPr="00A4634E">
        <w:rPr>
          <w:bCs/>
          <w:iCs/>
        </w:rPr>
        <w:t xml:space="preserve">для лечения </w:t>
      </w:r>
      <w:r w:rsidRPr="00A4634E">
        <w:rPr>
          <w:bCs/>
        </w:rPr>
        <w:t>тромботических осложнений</w:t>
      </w:r>
    </w:p>
    <w:tbl>
      <w:tblPr>
        <w:tblStyle w:val="1fb"/>
        <w:tblW w:w="867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573"/>
        <w:gridCol w:w="5103"/>
      </w:tblGrid>
      <w:tr w:rsidR="009F7A84" w:rsidRPr="00A4634E" w14:paraId="660678B5" w14:textId="77777777" w:rsidTr="002D3EBF">
        <w:trPr>
          <w:trHeight w:val="333"/>
        </w:trPr>
        <w:tc>
          <w:tcPr>
            <w:tcW w:w="3573" w:type="dxa"/>
            <w:shd w:val="clear" w:color="auto" w:fill="auto"/>
          </w:tcPr>
          <w:p w14:paraId="06850422" w14:textId="77777777" w:rsidR="009F7A84" w:rsidRPr="00A4634E" w:rsidRDefault="009F7A84" w:rsidP="002D3EBF">
            <w:pPr>
              <w:jc w:val="center"/>
            </w:pPr>
            <w:r>
              <w:rPr>
                <w:bCs/>
                <w:color w:val="000000" w:themeColor="text1" w:themeShade="BF"/>
                <w:kern w:val="2"/>
              </w:rPr>
              <w:t>Препарат</w:t>
            </w:r>
          </w:p>
        </w:tc>
        <w:tc>
          <w:tcPr>
            <w:tcW w:w="5103" w:type="dxa"/>
            <w:shd w:val="clear" w:color="auto" w:fill="auto"/>
          </w:tcPr>
          <w:p w14:paraId="37FC52EF" w14:textId="77777777" w:rsidR="009F7A84" w:rsidRPr="00A4634E" w:rsidRDefault="009F7A84" w:rsidP="002D3EBF">
            <w:pPr>
              <w:jc w:val="center"/>
            </w:pPr>
            <w:r w:rsidRPr="00A4634E">
              <w:rPr>
                <w:bCs/>
                <w:color w:val="000000" w:themeColor="text1" w:themeShade="BF"/>
                <w:kern w:val="2"/>
              </w:rPr>
              <w:t>Доза</w:t>
            </w:r>
          </w:p>
        </w:tc>
      </w:tr>
      <w:tr w:rsidR="009F7A84" w:rsidRPr="00A4634E" w14:paraId="31A93DDF" w14:textId="77777777" w:rsidTr="002D3EBF">
        <w:trPr>
          <w:trHeight w:val="574"/>
        </w:trPr>
        <w:tc>
          <w:tcPr>
            <w:tcW w:w="3573" w:type="dxa"/>
            <w:shd w:val="clear" w:color="auto" w:fill="auto"/>
          </w:tcPr>
          <w:p w14:paraId="2151A873" w14:textId="77777777" w:rsidR="009F7A84" w:rsidRPr="00A4634E" w:rsidRDefault="009F7A84" w:rsidP="002D3EBF">
            <w:r w:rsidRPr="00A4634E">
              <w:rPr>
                <w:bCs/>
                <w:color w:val="000000" w:themeColor="dark1" w:themeShade="BF"/>
                <w:kern w:val="2"/>
              </w:rPr>
              <w:t>Нефракционированный гепарин</w:t>
            </w:r>
          </w:p>
        </w:tc>
        <w:tc>
          <w:tcPr>
            <w:tcW w:w="5103" w:type="dxa"/>
            <w:shd w:val="clear" w:color="auto" w:fill="auto"/>
          </w:tcPr>
          <w:p w14:paraId="54B7FE72" w14:textId="77777777" w:rsidR="009F7A84" w:rsidRPr="00A4634E" w:rsidRDefault="009F7A84" w:rsidP="002D3EBF">
            <w:r>
              <w:rPr>
                <w:bCs/>
                <w:color w:val="000000" w:themeColor="dark1" w:themeShade="BF"/>
                <w:kern w:val="2"/>
              </w:rPr>
              <w:t>1000 МЕ/час в/в непрерывно</w:t>
            </w:r>
            <w:r w:rsidRPr="00A4634E">
              <w:rPr>
                <w:bCs/>
                <w:color w:val="000000" w:themeColor="dark1" w:themeShade="BF"/>
                <w:kern w:val="2"/>
              </w:rPr>
              <w:t xml:space="preserve"> под контролем АЧТВ</w:t>
            </w:r>
          </w:p>
        </w:tc>
      </w:tr>
      <w:tr w:rsidR="009F7A84" w:rsidRPr="00A4634E" w14:paraId="6BF1152F" w14:textId="77777777" w:rsidTr="002D3EBF">
        <w:trPr>
          <w:trHeight w:val="574"/>
        </w:trPr>
        <w:tc>
          <w:tcPr>
            <w:tcW w:w="3573" w:type="dxa"/>
            <w:shd w:val="clear" w:color="auto" w:fill="auto"/>
          </w:tcPr>
          <w:p w14:paraId="44B7616A" w14:textId="77777777" w:rsidR="009F7A84" w:rsidRPr="00A4634E" w:rsidRDefault="009F7A84" w:rsidP="002D3EBF">
            <w:r w:rsidRPr="00A4634E">
              <w:rPr>
                <w:bCs/>
                <w:color w:val="000000" w:themeColor="dark1" w:themeShade="BF"/>
                <w:kern w:val="2"/>
              </w:rPr>
              <w:t>Далтепарин натрия</w:t>
            </w:r>
          </w:p>
        </w:tc>
        <w:tc>
          <w:tcPr>
            <w:tcW w:w="5103" w:type="dxa"/>
            <w:shd w:val="clear" w:color="auto" w:fill="auto"/>
          </w:tcPr>
          <w:p w14:paraId="4A20EB56" w14:textId="77777777" w:rsidR="009F7A84" w:rsidRPr="00A4634E" w:rsidRDefault="009F7A84" w:rsidP="002D3EBF">
            <w:r>
              <w:rPr>
                <w:bCs/>
                <w:color w:val="000000" w:themeColor="dark1" w:themeShade="BF"/>
                <w:kern w:val="2"/>
              </w:rPr>
              <w:t xml:space="preserve">100 МЕ/кг каждые 12 ч или 200 МЕ/кг 1 раз в день, </w:t>
            </w:r>
            <w:r w:rsidRPr="00A4634E">
              <w:rPr>
                <w:bCs/>
                <w:color w:val="000000" w:themeColor="dark1" w:themeShade="BF"/>
                <w:kern w:val="2"/>
              </w:rPr>
              <w:t>п/к</w:t>
            </w:r>
          </w:p>
        </w:tc>
      </w:tr>
      <w:tr w:rsidR="009F7A84" w:rsidRPr="00A4634E" w14:paraId="41BB1D19" w14:textId="77777777" w:rsidTr="002D3EBF">
        <w:trPr>
          <w:trHeight w:val="333"/>
        </w:trPr>
        <w:tc>
          <w:tcPr>
            <w:tcW w:w="3573" w:type="dxa"/>
            <w:shd w:val="clear" w:color="auto" w:fill="auto"/>
          </w:tcPr>
          <w:p w14:paraId="1AC6AF34" w14:textId="77777777" w:rsidR="009F7A84" w:rsidRPr="00A4634E" w:rsidRDefault="009F7A84" w:rsidP="002D3EBF">
            <w:r w:rsidRPr="00A4634E">
              <w:rPr>
                <w:bCs/>
                <w:color w:val="000000" w:themeColor="dark1" w:themeShade="BF"/>
                <w:kern w:val="2"/>
              </w:rPr>
              <w:t>Эноксапарин натрия</w:t>
            </w:r>
          </w:p>
        </w:tc>
        <w:tc>
          <w:tcPr>
            <w:tcW w:w="5103" w:type="dxa"/>
            <w:shd w:val="clear" w:color="auto" w:fill="auto"/>
          </w:tcPr>
          <w:p w14:paraId="533C0C92" w14:textId="77777777" w:rsidR="009F7A84" w:rsidRPr="00A4634E" w:rsidRDefault="009F7A84" w:rsidP="002D3EBF">
            <w:r w:rsidRPr="00A4634E">
              <w:rPr>
                <w:bCs/>
                <w:color w:val="000000" w:themeColor="dark1" w:themeShade="BF"/>
                <w:kern w:val="2"/>
              </w:rPr>
              <w:t xml:space="preserve">100 МЕ/кг каждые 12 ч </w:t>
            </w:r>
            <w:r>
              <w:rPr>
                <w:bCs/>
                <w:color w:val="000000" w:themeColor="dark1" w:themeShade="BF"/>
                <w:kern w:val="2"/>
              </w:rPr>
              <w:t>или</w:t>
            </w:r>
            <w:r w:rsidRPr="00A4634E">
              <w:rPr>
                <w:bCs/>
                <w:color w:val="000000" w:themeColor="dark1" w:themeShade="BF"/>
                <w:kern w:val="2"/>
              </w:rPr>
              <w:t xml:space="preserve"> 1,5 мг/кг 1 раз в день, п/к</w:t>
            </w:r>
          </w:p>
        </w:tc>
      </w:tr>
      <w:tr w:rsidR="009F7A84" w:rsidRPr="00A4634E" w14:paraId="41E576D3" w14:textId="77777777" w:rsidTr="002D3EBF">
        <w:trPr>
          <w:trHeight w:val="333"/>
        </w:trPr>
        <w:tc>
          <w:tcPr>
            <w:tcW w:w="3573" w:type="dxa"/>
            <w:shd w:val="clear" w:color="auto" w:fill="auto"/>
          </w:tcPr>
          <w:p w14:paraId="42581CAD" w14:textId="77777777" w:rsidR="009F7A84" w:rsidRPr="00A4634E" w:rsidRDefault="009F7A84" w:rsidP="002D3EBF">
            <w:r w:rsidRPr="00A4634E">
              <w:rPr>
                <w:bCs/>
                <w:color w:val="000000" w:themeColor="dark1" w:themeShade="BF"/>
                <w:kern w:val="2"/>
              </w:rPr>
              <w:t>Надропарин кальция</w:t>
            </w:r>
          </w:p>
        </w:tc>
        <w:tc>
          <w:tcPr>
            <w:tcW w:w="5103" w:type="dxa"/>
            <w:shd w:val="clear" w:color="auto" w:fill="auto"/>
          </w:tcPr>
          <w:p w14:paraId="4950F575" w14:textId="77777777" w:rsidR="009F7A84" w:rsidRPr="00A4634E" w:rsidRDefault="009F7A84" w:rsidP="002D3EBF">
            <w:r w:rsidRPr="00A4634E">
              <w:rPr>
                <w:bCs/>
                <w:color w:val="000000" w:themeColor="dark1" w:themeShade="BF"/>
                <w:kern w:val="2"/>
              </w:rPr>
              <w:t>86 МЕ/кг х 2 раза в день, п/к</w:t>
            </w:r>
          </w:p>
        </w:tc>
      </w:tr>
      <w:tr w:rsidR="009F7A84" w:rsidRPr="00A4634E" w14:paraId="49ED8D7B" w14:textId="77777777" w:rsidTr="002D3EBF">
        <w:trPr>
          <w:trHeight w:val="821"/>
        </w:trPr>
        <w:tc>
          <w:tcPr>
            <w:tcW w:w="3573" w:type="dxa"/>
            <w:shd w:val="clear" w:color="auto" w:fill="auto"/>
          </w:tcPr>
          <w:p w14:paraId="1B0C5705" w14:textId="77777777" w:rsidR="009F7A84" w:rsidRPr="00A4634E" w:rsidRDefault="009F7A84" w:rsidP="002D3EBF">
            <w:r w:rsidRPr="00A4634E">
              <w:rPr>
                <w:bCs/>
                <w:color w:val="000000" w:themeColor="dark1" w:themeShade="BF"/>
                <w:kern w:val="2"/>
              </w:rPr>
              <w:t>Фондапаринукс натрия</w:t>
            </w:r>
          </w:p>
        </w:tc>
        <w:tc>
          <w:tcPr>
            <w:tcW w:w="5103" w:type="dxa"/>
            <w:shd w:val="clear" w:color="auto" w:fill="auto"/>
          </w:tcPr>
          <w:p w14:paraId="4373108A" w14:textId="77777777" w:rsidR="009F7A84" w:rsidRPr="00A4634E" w:rsidRDefault="009F7A84" w:rsidP="002D3EBF">
            <w:r w:rsidRPr="00A4634E">
              <w:rPr>
                <w:bCs/>
                <w:color w:val="000000" w:themeColor="dark1" w:themeShade="BF"/>
                <w:kern w:val="2"/>
              </w:rPr>
              <w:t>менее 50 кг: 5 мг 1 раз в день</w:t>
            </w:r>
            <w:r>
              <w:rPr>
                <w:bCs/>
                <w:color w:val="000000" w:themeColor="dark1" w:themeShade="BF"/>
                <w:kern w:val="2"/>
              </w:rPr>
              <w:t>, п/к</w:t>
            </w:r>
          </w:p>
          <w:p w14:paraId="304E610A" w14:textId="77777777" w:rsidR="009F7A84" w:rsidRPr="00A4634E" w:rsidRDefault="009F7A84" w:rsidP="002D3EBF">
            <w:r w:rsidRPr="00A4634E">
              <w:rPr>
                <w:bCs/>
                <w:color w:val="000000" w:themeColor="dark1" w:themeShade="BF"/>
                <w:kern w:val="2"/>
              </w:rPr>
              <w:t>50—100 кг: 7,5 мг 1 раз в д</w:t>
            </w:r>
            <w:r>
              <w:rPr>
                <w:bCs/>
                <w:color w:val="000000" w:themeColor="dark1" w:themeShade="BF"/>
                <w:kern w:val="2"/>
              </w:rPr>
              <w:t xml:space="preserve">ень, п/к                         </w:t>
            </w:r>
            <w:r w:rsidRPr="00A4634E">
              <w:rPr>
                <w:bCs/>
                <w:color w:val="000000" w:themeColor="dark1" w:themeShade="BF"/>
                <w:kern w:val="2"/>
              </w:rPr>
              <w:t>более 100 кг: 10 мг 1 раз в день</w:t>
            </w:r>
            <w:r>
              <w:rPr>
                <w:bCs/>
                <w:color w:val="000000" w:themeColor="dark1" w:themeShade="BF"/>
                <w:kern w:val="2"/>
              </w:rPr>
              <w:t>, п/к</w:t>
            </w:r>
          </w:p>
        </w:tc>
      </w:tr>
      <w:tr w:rsidR="009F7A84" w:rsidRPr="00A4634E" w14:paraId="5B11E234" w14:textId="77777777" w:rsidTr="002D3EBF">
        <w:trPr>
          <w:trHeight w:val="821"/>
        </w:trPr>
        <w:tc>
          <w:tcPr>
            <w:tcW w:w="3573" w:type="dxa"/>
            <w:shd w:val="clear" w:color="auto" w:fill="auto"/>
          </w:tcPr>
          <w:p w14:paraId="39598126" w14:textId="77777777" w:rsidR="009F7A84" w:rsidRPr="00A4634E" w:rsidRDefault="009F7A84" w:rsidP="002D3EBF">
            <w:r w:rsidRPr="00A4634E">
              <w:rPr>
                <w:bCs/>
                <w:color w:val="000000" w:themeColor="dark1" w:themeShade="BF"/>
                <w:kern w:val="2"/>
              </w:rPr>
              <w:t>Варфарин</w:t>
            </w:r>
          </w:p>
        </w:tc>
        <w:tc>
          <w:tcPr>
            <w:tcW w:w="5103" w:type="dxa"/>
            <w:shd w:val="clear" w:color="auto" w:fill="auto"/>
          </w:tcPr>
          <w:p w14:paraId="39BC6400" w14:textId="77777777" w:rsidR="009F7A84" w:rsidRPr="00A4634E" w:rsidRDefault="009F7A84" w:rsidP="002D3EBF">
            <w:r w:rsidRPr="00A4634E">
              <w:rPr>
                <w:bCs/>
                <w:color w:val="000000" w:themeColor="dark1" w:themeShade="BF"/>
                <w:kern w:val="2"/>
              </w:rPr>
              <w:t xml:space="preserve">Перорально, целевые значения МНО: 2.0—3.0, </w:t>
            </w:r>
          </w:p>
          <w:p w14:paraId="0B551BA3" w14:textId="77777777" w:rsidR="009F7A84" w:rsidRPr="00A4634E" w:rsidRDefault="009F7A84" w:rsidP="002D3EBF">
            <w:r w:rsidRPr="00A4634E">
              <w:rPr>
                <w:bCs/>
                <w:color w:val="000000" w:themeColor="dark1" w:themeShade="BF"/>
                <w:kern w:val="2"/>
              </w:rPr>
              <w:t>после НМГ или НФГ</w:t>
            </w:r>
          </w:p>
        </w:tc>
      </w:tr>
      <w:tr w:rsidR="009F7A84" w:rsidRPr="00A4634E" w14:paraId="2A03CD90" w14:textId="77777777" w:rsidTr="002D3EBF">
        <w:trPr>
          <w:trHeight w:val="387"/>
        </w:trPr>
        <w:tc>
          <w:tcPr>
            <w:tcW w:w="3573" w:type="dxa"/>
            <w:shd w:val="clear" w:color="auto" w:fill="auto"/>
          </w:tcPr>
          <w:p w14:paraId="581FC240" w14:textId="77777777" w:rsidR="009F7A84" w:rsidRPr="00A4634E" w:rsidRDefault="009F7A84" w:rsidP="002D3EBF">
            <w:r w:rsidRPr="00A4634E">
              <w:rPr>
                <w:bCs/>
                <w:color w:val="000000" w:themeColor="dark1" w:themeShade="BF"/>
                <w:kern w:val="2"/>
              </w:rPr>
              <w:t>Ривароксабан</w:t>
            </w:r>
          </w:p>
        </w:tc>
        <w:tc>
          <w:tcPr>
            <w:tcW w:w="5103" w:type="dxa"/>
            <w:shd w:val="clear" w:color="auto" w:fill="auto"/>
          </w:tcPr>
          <w:p w14:paraId="556BF787" w14:textId="77777777" w:rsidR="009F7A84" w:rsidRPr="00A4634E" w:rsidRDefault="009F7A84" w:rsidP="002D3EBF">
            <w:r w:rsidRPr="00A4634E">
              <w:rPr>
                <w:bCs/>
                <w:color w:val="000000" w:themeColor="dark1" w:themeShade="BF"/>
                <w:kern w:val="2"/>
              </w:rPr>
              <w:t>15 мг х 2 р/сутки в течение 21 дня, далее 20 мг утром, перорально</w:t>
            </w:r>
          </w:p>
        </w:tc>
      </w:tr>
      <w:tr w:rsidR="009F7A84" w:rsidRPr="00A4634E" w14:paraId="2BB124E1" w14:textId="77777777" w:rsidTr="002D3EBF">
        <w:trPr>
          <w:trHeight w:val="333"/>
        </w:trPr>
        <w:tc>
          <w:tcPr>
            <w:tcW w:w="3573" w:type="dxa"/>
            <w:shd w:val="clear" w:color="auto" w:fill="auto"/>
          </w:tcPr>
          <w:p w14:paraId="6EF1C6C8" w14:textId="77777777" w:rsidR="009F7A84" w:rsidRPr="00A4634E" w:rsidRDefault="009F7A84" w:rsidP="002D3EBF">
            <w:r w:rsidRPr="00A4634E">
              <w:rPr>
                <w:bCs/>
                <w:color w:val="000000" w:themeColor="dark1" w:themeShade="BF"/>
                <w:kern w:val="2"/>
              </w:rPr>
              <w:t>Апиксабан</w:t>
            </w:r>
          </w:p>
        </w:tc>
        <w:tc>
          <w:tcPr>
            <w:tcW w:w="5103" w:type="dxa"/>
            <w:shd w:val="clear" w:color="auto" w:fill="auto"/>
          </w:tcPr>
          <w:p w14:paraId="4C63CCB5" w14:textId="77777777" w:rsidR="009F7A84" w:rsidRPr="00A4634E" w:rsidRDefault="009F7A84" w:rsidP="002D3EBF">
            <w:r w:rsidRPr="00A4634E">
              <w:rPr>
                <w:bCs/>
                <w:color w:val="000000" w:themeColor="dark1" w:themeShade="BF"/>
                <w:kern w:val="2"/>
              </w:rPr>
              <w:t>5,0 мг х 2 р/сутки, перорально</w:t>
            </w:r>
          </w:p>
        </w:tc>
      </w:tr>
      <w:tr w:rsidR="009F7A84" w:rsidRPr="00A4634E" w14:paraId="169950F0" w14:textId="77777777" w:rsidTr="002D3EBF">
        <w:trPr>
          <w:trHeight w:val="333"/>
        </w:trPr>
        <w:tc>
          <w:tcPr>
            <w:tcW w:w="3573" w:type="dxa"/>
            <w:shd w:val="clear" w:color="auto" w:fill="auto"/>
          </w:tcPr>
          <w:p w14:paraId="45E09F82" w14:textId="77777777" w:rsidR="009F7A84" w:rsidRPr="00A4634E" w:rsidRDefault="009F7A84" w:rsidP="002D3EBF">
            <w:r w:rsidRPr="00A4634E">
              <w:rPr>
                <w:bCs/>
                <w:color w:val="000000" w:themeColor="dark1" w:themeShade="BF"/>
                <w:kern w:val="2"/>
              </w:rPr>
              <w:t>Дабигатран этексилат</w:t>
            </w:r>
          </w:p>
        </w:tc>
        <w:tc>
          <w:tcPr>
            <w:tcW w:w="5103" w:type="dxa"/>
            <w:shd w:val="clear" w:color="auto" w:fill="auto"/>
          </w:tcPr>
          <w:p w14:paraId="55541AE9" w14:textId="77777777" w:rsidR="009F7A84" w:rsidRPr="00A4634E" w:rsidRDefault="009F7A84" w:rsidP="002D3EBF">
            <w:r w:rsidRPr="00A4634E">
              <w:rPr>
                <w:bCs/>
                <w:color w:val="000000" w:themeColor="dark1" w:themeShade="BF"/>
                <w:kern w:val="2"/>
              </w:rPr>
              <w:t>150 мг х 2р/сутки, перорально</w:t>
            </w:r>
          </w:p>
        </w:tc>
      </w:tr>
    </w:tbl>
    <w:p w14:paraId="12C2B712" w14:textId="77777777" w:rsidR="009F7A84" w:rsidRDefault="009F7A84" w:rsidP="009F7A84"/>
    <w:p w14:paraId="52F5E3A3" w14:textId="77777777" w:rsidR="009F7A84" w:rsidRDefault="009F7A84" w:rsidP="009F7A84">
      <w:pPr>
        <w:ind w:firstLine="360"/>
      </w:pPr>
    </w:p>
    <w:p w14:paraId="3E2AC399" w14:textId="77777777" w:rsidR="009F7A84" w:rsidRDefault="009F7A84" w:rsidP="00A61993">
      <w:pPr>
        <w:ind w:firstLine="709"/>
      </w:pPr>
      <w:r>
        <w:t>При длительной терапии НМГ рекомендуется мониторинг анти-Ха активности и коррекция дозы НМГ (при необходимости) один раз в месяц.</w:t>
      </w:r>
    </w:p>
    <w:p w14:paraId="099EA731" w14:textId="77777777" w:rsidR="009F7A84" w:rsidRDefault="009F7A84" w:rsidP="00A61993">
      <w:pPr>
        <w:ind w:firstLine="709"/>
      </w:pPr>
      <w:r>
        <w:lastRenderedPageBreak/>
        <w:t>Мониторинг анти-Ха активности абсолютно необходим в случае рецидивирующего тромбоза при использовании терапевтических доз НМГ или у пациентов с почечной недостаточностью. Больным с нарушением функции почек рекомендуется коррекция дозы НМГ и мониторинг анти-Ха активности с частотой один раз в неделю. Для больных с клинически выраженной почечной недостаточностью (клиренс креатинина &lt;30 мл/мин) дозу НМГ корректируют таким образом, чтобы она соответствовала уровню анти-Ха 0,2</w:t>
      </w:r>
      <w:r>
        <w:rPr>
          <w:i/>
        </w:rPr>
        <w:t>—</w:t>
      </w:r>
      <w:r>
        <w:t>0,3 анти-</w:t>
      </w:r>
      <w:r>
        <w:rPr>
          <w:lang w:val="en-US"/>
        </w:rPr>
        <w:t>Xa</w:t>
      </w:r>
      <w:r>
        <w:t xml:space="preserve"> МЕ/мл. </w:t>
      </w:r>
    </w:p>
    <w:p w14:paraId="2680B7C7" w14:textId="77777777" w:rsidR="009F7A84" w:rsidRDefault="009F7A84" w:rsidP="00A61993">
      <w:pPr>
        <w:ind w:firstLine="709"/>
      </w:pPr>
      <w:r>
        <w:t>Для выявления возможного накопления НМГ после нескольких введений следует проанализировать анти-Ха активность через 4 часа после третьего введения, если НМГ вводится дважды в день, или через 4 часа после второго введения, если препарат вводится один раз в сутки.</w:t>
      </w:r>
    </w:p>
    <w:p w14:paraId="331710E1" w14:textId="77777777" w:rsidR="009F7A84" w:rsidRDefault="009F7A84" w:rsidP="00A61993">
      <w:pPr>
        <w:ind w:firstLine="709"/>
      </w:pPr>
      <w:r>
        <w:t>Коррекция дозы НМГ у онкогематологических пациентов в связи с высоким риском кровотечений по причине тромбоцитопений заключается в двукратном снижении дозы при количестве тромбоцитов &lt;70×10</w:t>
      </w:r>
      <w:r>
        <w:rPr>
          <w:vertAlign w:val="superscript"/>
        </w:rPr>
        <w:t>9</w:t>
      </w:r>
      <w:r>
        <w:t>/л; временная отмена НМГ при количестве тромбоцитов &lt;30×10</w:t>
      </w:r>
      <w:r>
        <w:rPr>
          <w:vertAlign w:val="superscript"/>
        </w:rPr>
        <w:t>9</w:t>
      </w:r>
      <w:r>
        <w:t>/л. При острых тромбозах и тромбоцитопении в отсутствии геморрагических проявлений целесообразно использовать внутривенное с помощью инфузомата введение НФГ под контролем АЧТВ.</w:t>
      </w:r>
    </w:p>
    <w:p w14:paraId="16EF5B70" w14:textId="77777777" w:rsidR="009F7A84" w:rsidRDefault="009F7A84" w:rsidP="00A61993">
      <w:pPr>
        <w:ind w:firstLine="709"/>
      </w:pPr>
      <w:r>
        <w:t xml:space="preserve">В отдельных случаях тромбозов, а также при ГИТ </w:t>
      </w:r>
      <w:r>
        <w:rPr>
          <w:lang w:val="en-US"/>
        </w:rPr>
        <w:t>II</w:t>
      </w:r>
      <w:r>
        <w:t xml:space="preserve"> применяется фондапаринукс 5 мг подкожно (п/к) 1 раз в день при весе пациента более 50кг. При весе пациента 75 кг и более фондапаринукс вводится в дозе 7,5 мг.</w:t>
      </w:r>
    </w:p>
    <w:p w14:paraId="7793870A" w14:textId="23906F7F" w:rsidR="009F7A84" w:rsidRDefault="009F7A84" w:rsidP="00A61993">
      <w:pPr>
        <w:ind w:firstLine="709"/>
      </w:pPr>
      <w:r>
        <w:t>Прямые оральные антикоагулянты (ПОАК)</w:t>
      </w:r>
      <w:r>
        <w:rPr>
          <w:lang w:val="en-US"/>
        </w:rPr>
        <w:t xml:space="preserve"> </w:t>
      </w:r>
      <w:r>
        <w:fldChar w:fldCharType="begin" w:fldLock="1"/>
      </w:r>
      <w:r w:rsidR="009F4636">
        <w:instrText>ADDIN CSL_CITATION {"citationItems":[{"id":"ITEM-1","itemData":{"DOI":"10.1016/j.thromres.2015.01.009","ISSN":"18792472","PMID":"25613925","abstract":"Background Heparin induced thrombocytopenia (HIT) is a potentially catastrophic syndrome with a high incidence of vascular thrombosis. There are little data on the efficacy of new oral anticoagulants (NOAC) in this setting. This study reports on the outcome of patients with HIT, treated with NOAC. Materials and Methods We retrospectively identified 22 patients with HIT who were treated by our group with a combination of NOAC and a short course of argatroban. These patients were evaluated in a prospective fashion for development of outcomes at a mean follow up of 19 ± 3 months. Results There were a total of 5 deep and 2 superficial vein thromboses diagnosed at index hospitalization. No patient developed arterial thrombosis. All patients tolerated NOAC and their platelet count normalized before discharge. At 19 months of follow-up, 6 patients had died of non-thrombotic causes. There was no bleeding, limb loss or recurrent venous thromboembolism in any patient. Conclusions In patients with HIT, a short course of parenteral treatment with argatroban followed by administration of a NOAC is highly safe and effective in prevention of thrombosis and normalization of platelet count. Development of HIT however, portends a poor prognosis independent of vascular thrombosis.","author":[{"dropping-particle":"","family":"Sharifi","given":"Mohsen","non-dropping-particle":"","parse-names":false,"suffix":""},{"dropping-particle":"","family":"Bay","given":"Curt","non-dropping-particle":"","parse-names":false,"suffix":""},{"dropping-particle":"","family":"Vajo","given":"Zoltan","non-dropping-particle":"","parse-names":false,"suffix":""},{"dropping-particle":"","family":"Freeman","given":"Wilbur","non-dropping-particle":"","parse-names":false,"suffix":""},{"dropping-particle":"","family":"Sharifi","given":"Mirali","non-dropping-particle":"","parse-names":false,"suffix":""},{"dropping-particle":"","family":"Schwartz","given":"Frederic","non-dropping-particle":"","parse-names":false,"suffix":""}],"container-title":"Thrombosis Research","id":"ITEM-1","issue":"4","issued":{"date-parts":[["2015","4","1"]]},"page":"607-609","publisher":"Elsevier Ltd","title":"New oral anticoagulants in the treatment of heparin- Induced thrombocytopenia","type":"article-journal","volume":"135"},"uris":["http://www.mendeley.com/documents/?uuid=c18762a2-54f4-3dcb-8daf-003be3aa9168"]}],"mendeley":{"formattedCitation":"[137]","plainTextFormattedCitation":"[137]","previouslyFormattedCitation":"[137]"},"properties":{"noteIndex":0},"schema":"https://github.com/citation-style-language/schema/raw/master/csl-citation.json"}</w:instrText>
      </w:r>
      <w:r>
        <w:fldChar w:fldCharType="separate"/>
      </w:r>
      <w:r w:rsidR="00A61993" w:rsidRPr="00A61993">
        <w:rPr>
          <w:noProof/>
        </w:rPr>
        <w:t>[137]</w:t>
      </w:r>
      <w:r>
        <w:fldChar w:fldCharType="end"/>
      </w:r>
      <w:r>
        <w:t xml:space="preserve">: </w:t>
      </w:r>
    </w:p>
    <w:p w14:paraId="71B0830A" w14:textId="77777777" w:rsidR="009F7A84" w:rsidRPr="00C83EC0" w:rsidRDefault="009F7A84" w:rsidP="009F7A84">
      <w:pPr>
        <w:pStyle w:val="afe"/>
        <w:numPr>
          <w:ilvl w:val="0"/>
          <w:numId w:val="69"/>
        </w:numPr>
        <w:ind w:left="1134"/>
        <w:contextualSpacing w:val="0"/>
        <w:rPr>
          <w:szCs w:val="24"/>
        </w:rPr>
      </w:pPr>
      <w:r w:rsidRPr="00C83EC0">
        <w:rPr>
          <w:szCs w:val="24"/>
        </w:rPr>
        <w:t>ривароксабан в дозе 15 мг 2 раза в сутки во время еды в первые 3 недели, затем в дозе 20 мг 1 раз в сутки во время еды. Доза ривароксабана должна быть скорректирована у пациентов с нарушенной выделительной функцией почек. Следует помнить, что протромбиновое время и АЧТВ не отражают истинной концентрации и эффект ПОАК;</w:t>
      </w:r>
    </w:p>
    <w:p w14:paraId="1BA012F1" w14:textId="77777777" w:rsidR="009F7A84" w:rsidRPr="00C83EC0" w:rsidRDefault="009F7A84" w:rsidP="009F7A84">
      <w:pPr>
        <w:pStyle w:val="afe"/>
        <w:numPr>
          <w:ilvl w:val="0"/>
          <w:numId w:val="69"/>
        </w:numPr>
        <w:ind w:left="1134"/>
        <w:contextualSpacing w:val="0"/>
        <w:rPr>
          <w:rFonts w:eastAsia="Times New Roman"/>
          <w:szCs w:val="24"/>
          <w:lang w:eastAsia="ru-RU"/>
        </w:rPr>
      </w:pPr>
      <w:r w:rsidRPr="00C83EC0">
        <w:rPr>
          <w:rFonts w:eastAsia="Times New Roman"/>
          <w:szCs w:val="24"/>
          <w:lang w:eastAsia="ru-RU"/>
        </w:rPr>
        <w:t>дабигатрана этексилат назначают в дозе 150 г 2 раза в сутки; исследование тромбинового времени помогает подбирать необходимую дозу дабигатрана этексилата. При его удлинении более 120</w:t>
      </w:r>
      <w:r w:rsidRPr="00C83EC0">
        <w:rPr>
          <w:i/>
          <w:szCs w:val="24"/>
        </w:rPr>
        <w:t>—</w:t>
      </w:r>
      <w:r w:rsidRPr="00C83EC0">
        <w:rPr>
          <w:rFonts w:eastAsia="Times New Roman"/>
          <w:szCs w:val="24"/>
          <w:lang w:eastAsia="ru-RU"/>
        </w:rPr>
        <w:t xml:space="preserve">150 сек дозу препарата уменьшают до 110 мг 2 раза в сутки. Больным старше 75 лет дабигатрана этексилата назначают в дозе 75 мг 2 раза в сутки; </w:t>
      </w:r>
    </w:p>
    <w:p w14:paraId="67036836" w14:textId="77777777" w:rsidR="009F7A84" w:rsidRPr="00C83EC0" w:rsidRDefault="009F7A84" w:rsidP="009F7A84">
      <w:pPr>
        <w:pStyle w:val="afe"/>
        <w:numPr>
          <w:ilvl w:val="0"/>
          <w:numId w:val="69"/>
        </w:numPr>
        <w:ind w:left="1134"/>
        <w:contextualSpacing w:val="0"/>
        <w:rPr>
          <w:rFonts w:eastAsia="Times New Roman"/>
          <w:szCs w:val="24"/>
          <w:lang w:eastAsia="ru-RU"/>
        </w:rPr>
      </w:pPr>
      <w:r w:rsidRPr="00C83EC0">
        <w:rPr>
          <w:rFonts w:eastAsia="Times New Roman"/>
          <w:szCs w:val="24"/>
          <w:lang w:eastAsia="ru-RU"/>
        </w:rPr>
        <w:t>апиксабан применяют в дозе 5 мг 2 раза в сутки. Больным старше 75 лет апиксабан назначают в дозе 2,5 мг 2 раза в сутки. Лабораторный контроль не проводится;</w:t>
      </w:r>
    </w:p>
    <w:p w14:paraId="08C1D675" w14:textId="77777777" w:rsidR="009F7A84" w:rsidRPr="00C83EC0" w:rsidRDefault="009F7A84" w:rsidP="009F7A84">
      <w:pPr>
        <w:pStyle w:val="afe"/>
        <w:numPr>
          <w:ilvl w:val="0"/>
          <w:numId w:val="69"/>
        </w:numPr>
        <w:ind w:left="1134"/>
        <w:contextualSpacing w:val="0"/>
        <w:rPr>
          <w:rFonts w:eastAsia="Times New Roman"/>
          <w:szCs w:val="24"/>
          <w:lang w:eastAsia="ru-RU"/>
        </w:rPr>
      </w:pPr>
      <w:r w:rsidRPr="00C83EC0">
        <w:rPr>
          <w:rFonts w:eastAsia="Times New Roman"/>
          <w:szCs w:val="24"/>
          <w:lang w:eastAsia="ru-RU"/>
        </w:rPr>
        <w:t>сулодексид 250 ЛЕ х 2 раза в день.</w:t>
      </w:r>
    </w:p>
    <w:p w14:paraId="0F4CFD21" w14:textId="77777777" w:rsidR="009F7A84" w:rsidRDefault="009F7A84" w:rsidP="00A61993">
      <w:pPr>
        <w:ind w:firstLine="709"/>
      </w:pPr>
      <w:r>
        <w:lastRenderedPageBreak/>
        <w:t>Антагонист витамина К (АВК) – варфарин. Препарат следует принимать один раз в день в фиксированное время (предпочтительнее вечером) после еды. Доза варфарина корригируется по показателю МНО. Целевые значения МНО при лечении варфарином составляют 2-2,5. У пациентов с искусственными клапанами сердца МНО на терапии варфарином должно составлять 3.0-4.0.</w:t>
      </w:r>
      <w:r>
        <w:rPr>
          <w:rFonts w:ascii="Arial" w:hAnsi="Arial" w:cs="Arial"/>
          <w:color w:val="FF0000"/>
        </w:rPr>
        <w:t xml:space="preserve"> </w:t>
      </w:r>
      <w:r>
        <w:t>Начальная доза препарата для пациентов, которые ранее не применяли варфарин, составляет 2,5-5,0 мг/сут. Для пациентов, которые ранее применяли варфарин, рекомендуемая стартовая доза составляет двойную дозу известной поддерживающей дозы препарата и назначается в течение первых 2-х дней. В случае необходимости перевода пациента с инъекций НМГ на длительный прием АВК, рекомендуется в течение первых 4-5 дней приема варфарина продолжать инъекции НМГ в профилактической дозе во избежание тромботических осложнений вследствие угнетения активности протеина С АВК. Первый контроль MHO следует проводить через 24-48 часов после начала приема варфарина. На протяжении первой недели определение MHO рекомендуется проводить ежедневно. Через 3-4 дня одновременного применения варфарина и гепарина проводят исследование МНО. При достижении МНО 2,0 и более - гепарин отменяется. Если МНО меньше 2,0, то дозу варфарина увеличивают на 0,5 таблетки и продолжают одновременные применение варфарина и гепарина в течение 3 дней. Вновь проводят исследование МНО. Если МНО 2,0 и более, то гепарин отменяется. Схема подбора дозы варфарина представлена в таблице 3. В дальнейшем лабораторный контроль проводят регулярно каждые 4-8 недель.</w:t>
      </w:r>
    </w:p>
    <w:p w14:paraId="17979E6D" w14:textId="77777777" w:rsidR="009F7A84" w:rsidRDefault="009F7A84" w:rsidP="009F7A84">
      <w:pPr>
        <w:ind w:firstLine="708"/>
      </w:pPr>
    </w:p>
    <w:p w14:paraId="2EA5815B" w14:textId="77777777" w:rsidR="009F7A84" w:rsidRPr="00B46409" w:rsidRDefault="009F7A84" w:rsidP="009F7A84">
      <w:r w:rsidRPr="00B46409">
        <w:t xml:space="preserve">Таблица </w:t>
      </w:r>
      <w:r>
        <w:t>3</w:t>
      </w:r>
      <w:r w:rsidRPr="00B46409">
        <w:t xml:space="preserve">. </w:t>
      </w:r>
      <w:r w:rsidRPr="00B46409">
        <w:rPr>
          <w:bCs/>
        </w:rPr>
        <w:t>Коррекция дозы варфарина в зависимости от МНО</w:t>
      </w:r>
    </w:p>
    <w:tbl>
      <w:tblPr>
        <w:tblStyle w:val="1fb"/>
        <w:tblW w:w="89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394"/>
        <w:gridCol w:w="4570"/>
      </w:tblGrid>
      <w:tr w:rsidR="009F7A84" w14:paraId="1394B073" w14:textId="77777777" w:rsidTr="002D3EBF">
        <w:trPr>
          <w:trHeight w:val="374"/>
        </w:trPr>
        <w:tc>
          <w:tcPr>
            <w:tcW w:w="4394" w:type="dxa"/>
            <w:shd w:val="clear" w:color="auto" w:fill="auto"/>
          </w:tcPr>
          <w:p w14:paraId="1E605E05" w14:textId="77777777" w:rsidR="009F7A84" w:rsidRPr="007C4816" w:rsidRDefault="009F7A84" w:rsidP="002D3EBF">
            <w:pPr>
              <w:jc w:val="center"/>
            </w:pPr>
            <w:r w:rsidRPr="007C4816">
              <w:rPr>
                <w:rFonts w:eastAsiaTheme="majorEastAsia"/>
                <w:bCs/>
              </w:rPr>
              <w:t xml:space="preserve"> </w:t>
            </w:r>
            <w:r>
              <w:rPr>
                <w:rFonts w:eastAsiaTheme="majorEastAsia"/>
                <w:bCs/>
              </w:rPr>
              <w:t>Дни приема варфарина 2-5</w:t>
            </w:r>
          </w:p>
        </w:tc>
        <w:tc>
          <w:tcPr>
            <w:tcW w:w="4570" w:type="dxa"/>
            <w:shd w:val="clear" w:color="auto" w:fill="auto"/>
          </w:tcPr>
          <w:p w14:paraId="7203B71C" w14:textId="77777777" w:rsidR="009F7A84" w:rsidRPr="007C4816" w:rsidRDefault="009F7A84" w:rsidP="002D3EBF">
            <w:pPr>
              <w:jc w:val="center"/>
            </w:pPr>
            <w:r w:rsidRPr="007C4816">
              <w:rPr>
                <w:rFonts w:eastAsiaTheme="majorEastAsia"/>
                <w:bCs/>
              </w:rPr>
              <w:t xml:space="preserve"> </w:t>
            </w:r>
            <w:r>
              <w:rPr>
                <w:rFonts w:eastAsiaTheme="majorEastAsia"/>
                <w:bCs/>
              </w:rPr>
              <w:t>Дни приема варфарина 6 и далее</w:t>
            </w:r>
          </w:p>
        </w:tc>
      </w:tr>
      <w:tr w:rsidR="009F7A84" w14:paraId="4CE076CA" w14:textId="77777777" w:rsidTr="002D3EBF">
        <w:trPr>
          <w:trHeight w:val="714"/>
        </w:trPr>
        <w:tc>
          <w:tcPr>
            <w:tcW w:w="4394" w:type="dxa"/>
            <w:shd w:val="clear" w:color="auto" w:fill="auto"/>
          </w:tcPr>
          <w:p w14:paraId="4A41E83F" w14:textId="77777777" w:rsidR="009F7A84" w:rsidRPr="007C4816" w:rsidRDefault="009F7A84" w:rsidP="002D3EBF">
            <w:r w:rsidRPr="007C4816">
              <w:rPr>
                <w:rFonts w:eastAsiaTheme="majorEastAsia"/>
                <w:bCs/>
              </w:rPr>
              <w:t>МНО</w:t>
            </w:r>
            <w:r>
              <w:rPr>
                <w:rFonts w:eastAsiaTheme="majorEastAsia"/>
                <w:bCs/>
              </w:rPr>
              <w:t xml:space="preserve"> 1.1–</w:t>
            </w:r>
            <w:r w:rsidRPr="007C4816">
              <w:rPr>
                <w:rFonts w:eastAsiaTheme="majorEastAsia"/>
                <w:bCs/>
              </w:rPr>
              <w:t>1.3 – повторить инициальную дозу</w:t>
            </w:r>
          </w:p>
        </w:tc>
        <w:tc>
          <w:tcPr>
            <w:tcW w:w="4570" w:type="dxa"/>
            <w:shd w:val="clear" w:color="auto" w:fill="auto"/>
          </w:tcPr>
          <w:p w14:paraId="5D7782C4" w14:textId="77777777" w:rsidR="009F7A84" w:rsidRPr="007C4816" w:rsidRDefault="009F7A84" w:rsidP="002D3EBF">
            <w:r w:rsidRPr="007C4816">
              <w:rPr>
                <w:rFonts w:eastAsiaTheme="majorEastAsia"/>
                <w:bCs/>
              </w:rPr>
              <w:t>МНО</w:t>
            </w:r>
            <w:r>
              <w:rPr>
                <w:rFonts w:eastAsiaTheme="majorEastAsia"/>
                <w:bCs/>
              </w:rPr>
              <w:t xml:space="preserve"> 1.1–</w:t>
            </w:r>
            <w:r w:rsidRPr="007C4816">
              <w:rPr>
                <w:rFonts w:eastAsiaTheme="majorEastAsia"/>
                <w:bCs/>
              </w:rPr>
              <w:t>1.4 – увеличить дозу на 20%</w:t>
            </w:r>
          </w:p>
        </w:tc>
      </w:tr>
      <w:tr w:rsidR="009F7A84" w14:paraId="2B68BCF4" w14:textId="77777777" w:rsidTr="002D3EBF">
        <w:trPr>
          <w:trHeight w:val="515"/>
        </w:trPr>
        <w:tc>
          <w:tcPr>
            <w:tcW w:w="4394" w:type="dxa"/>
            <w:shd w:val="clear" w:color="auto" w:fill="auto"/>
          </w:tcPr>
          <w:p w14:paraId="5A39F833" w14:textId="77777777" w:rsidR="009F7A84" w:rsidRPr="007C4816" w:rsidRDefault="009F7A84" w:rsidP="002D3EBF">
            <w:r w:rsidRPr="007C4816">
              <w:rPr>
                <w:rFonts w:eastAsiaTheme="majorEastAsia"/>
                <w:bCs/>
              </w:rPr>
              <w:t>МНО 1.4–1.9 – 50% инициальной дозы</w:t>
            </w:r>
          </w:p>
        </w:tc>
        <w:tc>
          <w:tcPr>
            <w:tcW w:w="4570" w:type="dxa"/>
            <w:shd w:val="clear" w:color="auto" w:fill="auto"/>
          </w:tcPr>
          <w:p w14:paraId="7CF3AE0A" w14:textId="77777777" w:rsidR="009F7A84" w:rsidRPr="007C4816" w:rsidRDefault="009F7A84" w:rsidP="002D3EBF">
            <w:r w:rsidRPr="007C4816">
              <w:rPr>
                <w:rFonts w:eastAsiaTheme="majorEastAsia"/>
                <w:bCs/>
              </w:rPr>
              <w:t xml:space="preserve">МНО </w:t>
            </w:r>
            <w:r>
              <w:rPr>
                <w:rFonts w:eastAsiaTheme="majorEastAsia"/>
                <w:bCs/>
              </w:rPr>
              <w:t>1.5–</w:t>
            </w:r>
            <w:r w:rsidRPr="007C4816">
              <w:rPr>
                <w:rFonts w:eastAsiaTheme="majorEastAsia"/>
                <w:bCs/>
              </w:rPr>
              <w:t>1.9 – увеличить дозу на 10%</w:t>
            </w:r>
          </w:p>
        </w:tc>
      </w:tr>
      <w:tr w:rsidR="009F7A84" w14:paraId="7A888FF8" w14:textId="77777777" w:rsidTr="002D3EBF">
        <w:trPr>
          <w:trHeight w:val="539"/>
        </w:trPr>
        <w:tc>
          <w:tcPr>
            <w:tcW w:w="4394" w:type="dxa"/>
            <w:shd w:val="clear" w:color="auto" w:fill="auto"/>
          </w:tcPr>
          <w:p w14:paraId="6C25B847" w14:textId="77777777" w:rsidR="009F7A84" w:rsidRPr="007C4816" w:rsidRDefault="009F7A84" w:rsidP="002D3EBF">
            <w:r w:rsidRPr="007C4816">
              <w:rPr>
                <w:rFonts w:eastAsiaTheme="majorEastAsia"/>
                <w:bCs/>
              </w:rPr>
              <w:t xml:space="preserve">МНО </w:t>
            </w:r>
            <w:r>
              <w:rPr>
                <w:rFonts w:eastAsiaTheme="majorEastAsia"/>
                <w:bCs/>
              </w:rPr>
              <w:t>2.0</w:t>
            </w:r>
            <w:r w:rsidRPr="007C4816">
              <w:rPr>
                <w:rFonts w:eastAsiaTheme="majorEastAsia"/>
                <w:bCs/>
              </w:rPr>
              <w:t>–3.0 – 50% инициальной дозы</w:t>
            </w:r>
          </w:p>
        </w:tc>
        <w:tc>
          <w:tcPr>
            <w:tcW w:w="4570" w:type="dxa"/>
            <w:shd w:val="clear" w:color="auto" w:fill="auto"/>
          </w:tcPr>
          <w:p w14:paraId="7E1B5B40" w14:textId="77777777" w:rsidR="009F7A84" w:rsidRPr="007C4816" w:rsidRDefault="009F7A84" w:rsidP="002D3EBF">
            <w:r w:rsidRPr="007C4816">
              <w:rPr>
                <w:rFonts w:eastAsiaTheme="majorEastAsia"/>
                <w:bCs/>
              </w:rPr>
              <w:t xml:space="preserve">МНО </w:t>
            </w:r>
            <w:r>
              <w:rPr>
                <w:rFonts w:eastAsiaTheme="majorEastAsia"/>
                <w:bCs/>
              </w:rPr>
              <w:t>2.0</w:t>
            </w:r>
            <w:r w:rsidRPr="007C4816">
              <w:rPr>
                <w:rFonts w:eastAsiaTheme="majorEastAsia"/>
                <w:bCs/>
              </w:rPr>
              <w:t>–3.0 – продолжать без изменений</w:t>
            </w:r>
          </w:p>
        </w:tc>
      </w:tr>
      <w:tr w:rsidR="009F7A84" w14:paraId="2F5A68CC" w14:textId="77777777" w:rsidTr="002D3EBF">
        <w:trPr>
          <w:trHeight w:val="437"/>
        </w:trPr>
        <w:tc>
          <w:tcPr>
            <w:tcW w:w="4394" w:type="dxa"/>
            <w:shd w:val="clear" w:color="auto" w:fill="auto"/>
          </w:tcPr>
          <w:p w14:paraId="640828AF" w14:textId="77777777" w:rsidR="009F7A84" w:rsidRPr="007C4816" w:rsidRDefault="009F7A84" w:rsidP="002D3EBF">
            <w:r w:rsidRPr="007C4816">
              <w:rPr>
                <w:rFonts w:eastAsiaTheme="majorEastAsia"/>
                <w:bCs/>
              </w:rPr>
              <w:t>МНО 3.1–3.5 – 25% инициальной дозы</w:t>
            </w:r>
          </w:p>
        </w:tc>
        <w:tc>
          <w:tcPr>
            <w:tcW w:w="4570" w:type="dxa"/>
            <w:shd w:val="clear" w:color="auto" w:fill="auto"/>
          </w:tcPr>
          <w:p w14:paraId="280DAAB3" w14:textId="77777777" w:rsidR="009F7A84" w:rsidRPr="007C4816" w:rsidRDefault="009F7A84" w:rsidP="002D3EBF">
            <w:r w:rsidRPr="007C4816">
              <w:rPr>
                <w:rFonts w:eastAsiaTheme="majorEastAsia"/>
                <w:bCs/>
              </w:rPr>
              <w:t xml:space="preserve">МНО </w:t>
            </w:r>
            <w:r>
              <w:rPr>
                <w:rFonts w:eastAsiaTheme="majorEastAsia"/>
                <w:bCs/>
              </w:rPr>
              <w:t>3.1–</w:t>
            </w:r>
            <w:r w:rsidRPr="007C4816">
              <w:rPr>
                <w:rFonts w:eastAsiaTheme="majorEastAsia"/>
                <w:bCs/>
              </w:rPr>
              <w:t>3.5 – уменьшить дозу на 10%</w:t>
            </w:r>
          </w:p>
        </w:tc>
      </w:tr>
      <w:tr w:rsidR="009F7A84" w14:paraId="2D9FFF21" w14:textId="77777777" w:rsidTr="002D3EBF">
        <w:trPr>
          <w:trHeight w:val="565"/>
        </w:trPr>
        <w:tc>
          <w:tcPr>
            <w:tcW w:w="4394" w:type="dxa"/>
            <w:vMerge w:val="restart"/>
            <w:shd w:val="clear" w:color="auto" w:fill="auto"/>
          </w:tcPr>
          <w:p w14:paraId="3A7336CC" w14:textId="77777777" w:rsidR="009F7A84" w:rsidRPr="007C4816" w:rsidRDefault="009F7A84" w:rsidP="002D3EBF">
            <w:r w:rsidRPr="007C4816">
              <w:rPr>
                <w:rFonts w:eastAsiaTheme="majorEastAsia"/>
                <w:bCs/>
              </w:rPr>
              <w:t>МНО &gt;</w:t>
            </w:r>
            <w:r w:rsidRPr="007C4816">
              <w:rPr>
                <w:rFonts w:eastAsiaTheme="majorEastAsia"/>
                <w:bCs/>
                <w:lang w:val="pl-PL"/>
              </w:rPr>
              <w:t xml:space="preserve"> 3</w:t>
            </w:r>
            <w:r w:rsidRPr="007C4816">
              <w:rPr>
                <w:rFonts w:eastAsiaTheme="majorEastAsia"/>
                <w:bCs/>
              </w:rPr>
              <w:t xml:space="preserve">.5 – пауза до тех пор, пока МНО не станет &lt; 3.5, затем начать повторный прием </w:t>
            </w:r>
            <w:r>
              <w:rPr>
                <w:rFonts w:eastAsiaTheme="majorEastAsia"/>
                <w:bCs/>
              </w:rPr>
              <w:t>50% предшествующей дозы</w:t>
            </w:r>
          </w:p>
          <w:p w14:paraId="7109FE08" w14:textId="77777777" w:rsidR="009F7A84" w:rsidRPr="007C4816" w:rsidRDefault="009F7A84" w:rsidP="002D3EBF">
            <w:pPr>
              <w:jc w:val="center"/>
            </w:pPr>
          </w:p>
        </w:tc>
        <w:tc>
          <w:tcPr>
            <w:tcW w:w="4570" w:type="dxa"/>
            <w:shd w:val="clear" w:color="auto" w:fill="auto"/>
          </w:tcPr>
          <w:p w14:paraId="27637584" w14:textId="77777777" w:rsidR="009F7A84" w:rsidRPr="007C4816" w:rsidRDefault="009F7A84" w:rsidP="002D3EBF">
            <w:r w:rsidRPr="007C4816">
              <w:rPr>
                <w:rFonts w:eastAsiaTheme="majorEastAsia"/>
                <w:bCs/>
              </w:rPr>
              <w:t xml:space="preserve">МНО </w:t>
            </w:r>
            <w:r>
              <w:rPr>
                <w:rFonts w:eastAsiaTheme="majorEastAsia"/>
                <w:bCs/>
              </w:rPr>
              <w:t>3.6</w:t>
            </w:r>
            <w:r w:rsidRPr="007C4816">
              <w:rPr>
                <w:rFonts w:eastAsiaTheme="majorEastAsia"/>
                <w:bCs/>
              </w:rPr>
              <w:t>–4.0 – однократно 50% дозы, затем в уменьшенной на 20%</w:t>
            </w:r>
            <w:r>
              <w:rPr>
                <w:rFonts w:eastAsiaTheme="majorEastAsia"/>
                <w:bCs/>
              </w:rPr>
              <w:t xml:space="preserve"> дозе</w:t>
            </w:r>
          </w:p>
        </w:tc>
      </w:tr>
      <w:tr w:rsidR="009F7A84" w14:paraId="64E8611F" w14:textId="77777777" w:rsidTr="002D3EBF">
        <w:trPr>
          <w:trHeight w:val="755"/>
        </w:trPr>
        <w:tc>
          <w:tcPr>
            <w:tcW w:w="4394" w:type="dxa"/>
            <w:vMerge/>
            <w:shd w:val="clear" w:color="auto" w:fill="auto"/>
          </w:tcPr>
          <w:p w14:paraId="6E0B54F9" w14:textId="77777777" w:rsidR="009F7A84" w:rsidRPr="007C4816" w:rsidRDefault="009F7A84" w:rsidP="002D3EBF">
            <w:pPr>
              <w:jc w:val="center"/>
              <w:rPr>
                <w:rFonts w:eastAsiaTheme="majorEastAsia"/>
                <w:bCs/>
              </w:rPr>
            </w:pPr>
          </w:p>
        </w:tc>
        <w:tc>
          <w:tcPr>
            <w:tcW w:w="4570" w:type="dxa"/>
            <w:shd w:val="clear" w:color="auto" w:fill="auto"/>
          </w:tcPr>
          <w:p w14:paraId="43C7D94E" w14:textId="77777777" w:rsidR="009F7A84" w:rsidRPr="007C4816" w:rsidRDefault="009F7A84" w:rsidP="002D3EBF">
            <w:r w:rsidRPr="007C4816">
              <w:rPr>
                <w:rFonts w:eastAsiaTheme="majorEastAsia"/>
                <w:bCs/>
              </w:rPr>
              <w:t>МНО &gt; 4.0 пауза до тех пор, пока МНО не станет &lt; 3.5, затем начать повторный прием (25% предшествующей дозы)</w:t>
            </w:r>
          </w:p>
        </w:tc>
      </w:tr>
    </w:tbl>
    <w:p w14:paraId="41E2CFA8" w14:textId="77777777" w:rsidR="009F7A84" w:rsidRDefault="009F7A84" w:rsidP="009F7A84">
      <w:pPr>
        <w:rPr>
          <w:strike/>
        </w:rPr>
      </w:pPr>
    </w:p>
    <w:p w14:paraId="3545415D" w14:textId="77777777" w:rsidR="009F7A84" w:rsidRDefault="009F7A84" w:rsidP="00A61993">
      <w:pPr>
        <w:ind w:firstLine="709"/>
      </w:pPr>
      <w:r>
        <w:lastRenderedPageBreak/>
        <w:t xml:space="preserve">В случае если при лечении варфарином появляется патологическая кровоточивость, необходимо определить протромбин по Квику (МНО), отменить варфарин. В лечении тяжелых варфариновых кровотечений используются: концентраты протромбинового комплекса или свежезамороженная плазма (СЗП). </w:t>
      </w:r>
    </w:p>
    <w:p w14:paraId="3CE964C0" w14:textId="77777777" w:rsidR="009F7A84" w:rsidRDefault="009F7A84" w:rsidP="00A61993">
      <w:pPr>
        <w:ind w:firstLine="709"/>
      </w:pPr>
      <w:r>
        <w:t>Перевод пациентов с парентеральных препаратов на прямые пероральные антитромботические средства может производиться по следующему алгоритму:</w:t>
      </w:r>
    </w:p>
    <w:p w14:paraId="60CAFD07" w14:textId="77777777" w:rsidR="009F7A84" w:rsidRDefault="009F7A84" w:rsidP="009F7A84">
      <w:pPr>
        <w:pStyle w:val="afe"/>
        <w:numPr>
          <w:ilvl w:val="0"/>
          <w:numId w:val="60"/>
        </w:numPr>
        <w:ind w:left="1134"/>
        <w:rPr>
          <w:szCs w:val="24"/>
        </w:rPr>
      </w:pPr>
      <w:r>
        <w:rPr>
          <w:szCs w:val="24"/>
        </w:rPr>
        <w:t>лечение прямыми пероральными антикоагулянтами должно быть начато за 0-2 часа до следующего планового введения парентерального антикоагулянта;</w:t>
      </w:r>
    </w:p>
    <w:p w14:paraId="6659E93B" w14:textId="77777777" w:rsidR="009F7A84" w:rsidRDefault="009F7A84" w:rsidP="009F7A84">
      <w:pPr>
        <w:pStyle w:val="afe"/>
        <w:numPr>
          <w:ilvl w:val="0"/>
          <w:numId w:val="60"/>
        </w:numPr>
        <w:ind w:left="1134"/>
        <w:rPr>
          <w:szCs w:val="24"/>
        </w:rPr>
      </w:pPr>
      <w:r>
        <w:rPr>
          <w:szCs w:val="24"/>
        </w:rPr>
        <w:t>замена введения очередной дозы парентерального препарата приемом дозы перорального антикоагулянта для НМГ и фондапаринукса – через 24 часа, для НФГ – через 8 часов (для ривароксабана – прием пероральной формы сразу после отмены НФГ).</w:t>
      </w:r>
    </w:p>
    <w:p w14:paraId="225567A8" w14:textId="77777777" w:rsidR="009F7A84" w:rsidRDefault="009F7A84" w:rsidP="00A61993">
      <w:pPr>
        <w:ind w:firstLine="709"/>
      </w:pPr>
      <w:r>
        <w:t>Препараты АВК и ПОАК можно использовать в виде монотерапии для профилактики тромботических нарушений во время ХТ и других видов специфического лечения.</w:t>
      </w:r>
    </w:p>
    <w:p w14:paraId="41766F19" w14:textId="77777777" w:rsidR="009F7A84" w:rsidRDefault="009F7A84" w:rsidP="00A61993">
      <w:pPr>
        <w:ind w:firstLine="709"/>
      </w:pPr>
      <w:r>
        <w:t>В настоящее время перевод пациентов с приема пероральных антикоагулянтов к парентеральному введению антикоагулянтов осуществляется по следующему алгоритму:</w:t>
      </w:r>
    </w:p>
    <w:p w14:paraId="7790EE77" w14:textId="77777777" w:rsidR="009F7A84" w:rsidRDefault="009F7A84" w:rsidP="009F7A84">
      <w:pPr>
        <w:pStyle w:val="afe"/>
        <w:numPr>
          <w:ilvl w:val="0"/>
          <w:numId w:val="61"/>
        </w:numPr>
        <w:ind w:left="1134"/>
        <w:rPr>
          <w:szCs w:val="24"/>
        </w:rPr>
      </w:pPr>
      <w:r>
        <w:rPr>
          <w:szCs w:val="24"/>
        </w:rPr>
        <w:t>для дабигатрана этексилата или ривароксабана необходим перерыв 24 часа с приема последней дозы, после чего нужно ввести парентеральный антикоагулянт;</w:t>
      </w:r>
    </w:p>
    <w:p w14:paraId="0E194A03" w14:textId="77777777" w:rsidR="009F7A84" w:rsidRDefault="009F7A84" w:rsidP="009F7A84">
      <w:pPr>
        <w:pStyle w:val="afe"/>
        <w:numPr>
          <w:ilvl w:val="0"/>
          <w:numId w:val="61"/>
        </w:numPr>
        <w:ind w:left="1134"/>
        <w:rPr>
          <w:szCs w:val="24"/>
        </w:rPr>
      </w:pPr>
      <w:r>
        <w:rPr>
          <w:szCs w:val="24"/>
        </w:rPr>
        <w:t>для апиксабана – выждать 12 часов с приема последней дозы и ввести парентеральный антикоагулянт.</w:t>
      </w:r>
    </w:p>
    <w:p w14:paraId="7B391573" w14:textId="77777777" w:rsidR="009F7A84" w:rsidRDefault="009F7A84" w:rsidP="009F7A84">
      <w:pPr>
        <w:ind w:firstLine="708"/>
        <w:rPr>
          <w:bCs/>
        </w:rPr>
      </w:pPr>
      <w:r>
        <w:rPr>
          <w:bCs/>
        </w:rPr>
        <w:t>Гематологическим пациентам с высоким риском тромботических осложнений необходимо обязательное проведение антитромботической профилактики в случае проведения хирургического вмешательства. Дозы и режимы лекарственных препаратов представлены в таблице 4.</w:t>
      </w:r>
    </w:p>
    <w:p w14:paraId="57F8DE1A" w14:textId="77777777" w:rsidR="009F7A84" w:rsidRDefault="009F7A84" w:rsidP="009F7A84">
      <w:pPr>
        <w:rPr>
          <w:bCs/>
        </w:rPr>
      </w:pPr>
    </w:p>
    <w:p w14:paraId="016D7912" w14:textId="77777777" w:rsidR="009F7A84" w:rsidRPr="00B46409" w:rsidRDefault="009F7A84" w:rsidP="009F7A84">
      <w:pPr>
        <w:rPr>
          <w:bCs/>
        </w:rPr>
      </w:pPr>
      <w:r w:rsidRPr="00B46409">
        <w:rPr>
          <w:bCs/>
        </w:rPr>
        <w:t xml:space="preserve">Таблица </w:t>
      </w:r>
      <w:r>
        <w:rPr>
          <w:bCs/>
        </w:rPr>
        <w:t>4</w:t>
      </w:r>
      <w:r w:rsidRPr="00B46409">
        <w:rPr>
          <w:bCs/>
        </w:rPr>
        <w:t xml:space="preserve">. Дозы антикоагулянтных препаратов </w:t>
      </w:r>
      <w:r w:rsidRPr="00B46409">
        <w:rPr>
          <w:bCs/>
          <w:iCs/>
        </w:rPr>
        <w:t>для профилактики</w:t>
      </w:r>
      <w:r>
        <w:rPr>
          <w:bCs/>
          <w:iCs/>
        </w:rPr>
        <w:t xml:space="preserve"> </w:t>
      </w:r>
      <w:r w:rsidRPr="00B46409">
        <w:rPr>
          <w:bCs/>
        </w:rPr>
        <w:t>тромботических осложнений при проведении хирургических вмешательств</w:t>
      </w:r>
    </w:p>
    <w:tbl>
      <w:tblPr>
        <w:tblStyle w:val="1fb"/>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258"/>
        <w:gridCol w:w="4680"/>
      </w:tblGrid>
      <w:tr w:rsidR="009F7A84" w:rsidRPr="00B46409" w14:paraId="224EFF06" w14:textId="77777777" w:rsidTr="002D3EBF">
        <w:trPr>
          <w:trHeight w:val="452"/>
        </w:trPr>
        <w:tc>
          <w:tcPr>
            <w:tcW w:w="3258" w:type="dxa"/>
            <w:shd w:val="clear" w:color="auto" w:fill="auto"/>
          </w:tcPr>
          <w:p w14:paraId="5FCA510C" w14:textId="77777777" w:rsidR="009F7A84" w:rsidRPr="00B46409" w:rsidRDefault="009F7A84" w:rsidP="002D3EBF">
            <w:pPr>
              <w:rPr>
                <w:bCs/>
              </w:rPr>
            </w:pPr>
            <w:r w:rsidRPr="00B46409">
              <w:rPr>
                <w:rFonts w:eastAsiaTheme="majorEastAsia"/>
                <w:bCs/>
              </w:rPr>
              <w:t>Нефракционированный гепарин</w:t>
            </w:r>
          </w:p>
        </w:tc>
        <w:tc>
          <w:tcPr>
            <w:tcW w:w="4680" w:type="dxa"/>
            <w:shd w:val="clear" w:color="auto" w:fill="auto"/>
          </w:tcPr>
          <w:p w14:paraId="6F942B53" w14:textId="77777777" w:rsidR="009F7A84" w:rsidRPr="00B46409" w:rsidRDefault="009F7A84" w:rsidP="002D3EBF">
            <w:pPr>
              <w:rPr>
                <w:bCs/>
              </w:rPr>
            </w:pPr>
            <w:r w:rsidRPr="00B46409">
              <w:rPr>
                <w:rFonts w:eastAsiaTheme="majorEastAsia"/>
                <w:bCs/>
              </w:rPr>
              <w:t>5000 МЕ за 10—12 ч перед операцией и 5000 МЕ 1 раз в день после, п/к</w:t>
            </w:r>
          </w:p>
        </w:tc>
      </w:tr>
      <w:tr w:rsidR="009F7A84" w:rsidRPr="00B46409" w14:paraId="5102BE10" w14:textId="77777777" w:rsidTr="002D3EBF">
        <w:trPr>
          <w:trHeight w:val="452"/>
        </w:trPr>
        <w:tc>
          <w:tcPr>
            <w:tcW w:w="3258" w:type="dxa"/>
            <w:shd w:val="clear" w:color="auto" w:fill="auto"/>
          </w:tcPr>
          <w:p w14:paraId="4B9A43FF" w14:textId="77777777" w:rsidR="009F7A84" w:rsidRPr="00B46409" w:rsidRDefault="009F7A84" w:rsidP="002D3EBF">
            <w:pPr>
              <w:rPr>
                <w:bCs/>
              </w:rPr>
            </w:pPr>
            <w:r w:rsidRPr="00B46409">
              <w:rPr>
                <w:rFonts w:eastAsiaTheme="majorEastAsia"/>
                <w:bCs/>
              </w:rPr>
              <w:t>Далтепарин натрия</w:t>
            </w:r>
          </w:p>
        </w:tc>
        <w:tc>
          <w:tcPr>
            <w:tcW w:w="4680" w:type="dxa"/>
            <w:shd w:val="clear" w:color="auto" w:fill="auto"/>
          </w:tcPr>
          <w:p w14:paraId="782F7E07" w14:textId="77777777" w:rsidR="009F7A84" w:rsidRPr="00B46409" w:rsidRDefault="009F7A84" w:rsidP="002D3EBF">
            <w:pPr>
              <w:rPr>
                <w:bCs/>
              </w:rPr>
            </w:pPr>
            <w:r w:rsidRPr="00B46409">
              <w:rPr>
                <w:rFonts w:eastAsiaTheme="majorEastAsia"/>
                <w:bCs/>
              </w:rPr>
              <w:t>5000 МЕ за 10—12 ч перед операцией и 5000 МЕ 1 раз в день после, п/к</w:t>
            </w:r>
          </w:p>
        </w:tc>
      </w:tr>
      <w:tr w:rsidR="009F7A84" w:rsidRPr="00B46409" w14:paraId="274D8369" w14:textId="77777777" w:rsidTr="002D3EBF">
        <w:trPr>
          <w:trHeight w:val="561"/>
        </w:trPr>
        <w:tc>
          <w:tcPr>
            <w:tcW w:w="3258" w:type="dxa"/>
            <w:shd w:val="clear" w:color="auto" w:fill="auto"/>
          </w:tcPr>
          <w:p w14:paraId="71425ED3" w14:textId="77777777" w:rsidR="009F7A84" w:rsidRPr="00B46409" w:rsidRDefault="009F7A84" w:rsidP="002D3EBF">
            <w:pPr>
              <w:rPr>
                <w:bCs/>
              </w:rPr>
            </w:pPr>
            <w:r w:rsidRPr="00B46409">
              <w:rPr>
                <w:rFonts w:eastAsiaTheme="majorEastAsia"/>
                <w:bCs/>
              </w:rPr>
              <w:lastRenderedPageBreak/>
              <w:t>Эноксапарин натрия</w:t>
            </w:r>
          </w:p>
        </w:tc>
        <w:tc>
          <w:tcPr>
            <w:tcW w:w="4680" w:type="dxa"/>
            <w:shd w:val="clear" w:color="auto" w:fill="auto"/>
          </w:tcPr>
          <w:p w14:paraId="1A3CBDE4" w14:textId="77777777" w:rsidR="009F7A84" w:rsidRPr="00B46409" w:rsidRDefault="009F7A84" w:rsidP="002D3EBF">
            <w:pPr>
              <w:rPr>
                <w:bCs/>
              </w:rPr>
            </w:pPr>
            <w:r w:rsidRPr="00B46409">
              <w:rPr>
                <w:rFonts w:eastAsiaTheme="majorEastAsia"/>
                <w:bCs/>
              </w:rPr>
              <w:t>0,4 мл за 10—12 ч перед операцией и 0,4 мл 1 раз в день после, п/к</w:t>
            </w:r>
          </w:p>
        </w:tc>
      </w:tr>
      <w:tr w:rsidR="009F7A84" w:rsidRPr="00B46409" w14:paraId="2E2F8595" w14:textId="77777777" w:rsidTr="002D3EBF">
        <w:trPr>
          <w:trHeight w:val="452"/>
        </w:trPr>
        <w:tc>
          <w:tcPr>
            <w:tcW w:w="3258" w:type="dxa"/>
            <w:shd w:val="clear" w:color="auto" w:fill="auto"/>
          </w:tcPr>
          <w:p w14:paraId="63B713BB" w14:textId="77777777" w:rsidR="009F7A84" w:rsidRPr="00B46409" w:rsidRDefault="009F7A84" w:rsidP="002D3EBF">
            <w:pPr>
              <w:rPr>
                <w:bCs/>
              </w:rPr>
            </w:pPr>
            <w:r w:rsidRPr="00B46409">
              <w:rPr>
                <w:rFonts w:eastAsiaTheme="majorEastAsia"/>
                <w:bCs/>
              </w:rPr>
              <w:t>Надропарин кальция</w:t>
            </w:r>
          </w:p>
        </w:tc>
        <w:tc>
          <w:tcPr>
            <w:tcW w:w="4680" w:type="dxa"/>
            <w:shd w:val="clear" w:color="auto" w:fill="auto"/>
          </w:tcPr>
          <w:p w14:paraId="017CDCCE" w14:textId="77777777" w:rsidR="009F7A84" w:rsidRPr="00B46409" w:rsidRDefault="009F7A84" w:rsidP="002D3EBF">
            <w:pPr>
              <w:rPr>
                <w:bCs/>
              </w:rPr>
            </w:pPr>
            <w:r w:rsidRPr="00B46409">
              <w:rPr>
                <w:rFonts w:eastAsiaTheme="majorEastAsia"/>
                <w:bCs/>
              </w:rPr>
              <w:t>0,3 мл за 10—12 ч перед операцией и 0,3 мл 1 раз в день после, п/к</w:t>
            </w:r>
          </w:p>
        </w:tc>
      </w:tr>
      <w:tr w:rsidR="009F7A84" w:rsidRPr="00B46409" w14:paraId="755CD304" w14:textId="77777777" w:rsidTr="002D3EBF">
        <w:trPr>
          <w:trHeight w:val="780"/>
        </w:trPr>
        <w:tc>
          <w:tcPr>
            <w:tcW w:w="3258" w:type="dxa"/>
            <w:shd w:val="clear" w:color="auto" w:fill="auto"/>
          </w:tcPr>
          <w:p w14:paraId="70246830" w14:textId="77777777" w:rsidR="009F7A84" w:rsidRPr="00B46409" w:rsidRDefault="009F7A84" w:rsidP="002D3EBF">
            <w:pPr>
              <w:rPr>
                <w:bCs/>
              </w:rPr>
            </w:pPr>
            <w:r w:rsidRPr="00B46409">
              <w:rPr>
                <w:rFonts w:eastAsiaTheme="majorEastAsia"/>
                <w:bCs/>
              </w:rPr>
              <w:t>Фондапаринукс натрия</w:t>
            </w:r>
          </w:p>
        </w:tc>
        <w:tc>
          <w:tcPr>
            <w:tcW w:w="4680" w:type="dxa"/>
            <w:shd w:val="clear" w:color="auto" w:fill="auto"/>
          </w:tcPr>
          <w:p w14:paraId="3FBDF495" w14:textId="77777777" w:rsidR="009F7A84" w:rsidRPr="00B46409" w:rsidRDefault="009F7A84" w:rsidP="002D3EBF">
            <w:pPr>
              <w:rPr>
                <w:bCs/>
              </w:rPr>
            </w:pPr>
            <w:r w:rsidRPr="00B46409">
              <w:rPr>
                <w:rFonts w:eastAsiaTheme="majorEastAsia"/>
                <w:bCs/>
              </w:rPr>
              <w:t>2,5 мг ежедневно 1 раз в день перед оперативным лечением и через 6—8 ч после, п/к</w:t>
            </w:r>
          </w:p>
        </w:tc>
      </w:tr>
    </w:tbl>
    <w:p w14:paraId="051826F5" w14:textId="77777777" w:rsidR="009F7A84" w:rsidRDefault="009F7A84" w:rsidP="009F7A84">
      <w:pPr>
        <w:rPr>
          <w:b/>
          <w:bCs/>
        </w:rPr>
      </w:pPr>
    </w:p>
    <w:p w14:paraId="0A9B4B11" w14:textId="77777777" w:rsidR="009F7A84" w:rsidRPr="00C14067" w:rsidRDefault="009F7A84" w:rsidP="00A61993">
      <w:pPr>
        <w:ind w:firstLine="709"/>
      </w:pPr>
      <w:r>
        <w:t>Длительность терапии определяется причиной, видом и локализацией тромботического осложнения. Обязательно учитываются данные анамнеза пациента по предшествующим тромботическим событиям. В некоторых ситуациях антикоагулянтная терапия проводится пожизненно.</w:t>
      </w:r>
    </w:p>
    <w:p w14:paraId="029B7849" w14:textId="77777777" w:rsidR="009F7A84" w:rsidRDefault="009F7A84" w:rsidP="00A61993">
      <w:pPr>
        <w:ind w:firstLine="709"/>
        <w:rPr>
          <w:u w:val="single"/>
        </w:rPr>
      </w:pPr>
    </w:p>
    <w:p w14:paraId="21624956" w14:textId="4A9844FB" w:rsidR="009F7A84" w:rsidRPr="00307C3E" w:rsidRDefault="009F7A84" w:rsidP="00A61993">
      <w:pPr>
        <w:ind w:firstLine="709"/>
      </w:pPr>
      <w:r w:rsidRPr="00307C3E">
        <w:t>2) Фибринолитическая терапия</w:t>
      </w:r>
      <w:r>
        <w:t xml:space="preserve"> </w:t>
      </w:r>
      <w:r>
        <w:fldChar w:fldCharType="begin" w:fldLock="1"/>
      </w:r>
      <w:r w:rsidR="009F4636">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[133,134]","plainTextFormattedCitation":"[133,134]","previouslyFormattedCitation":"[133,134]"},"properties":{"noteIndex":0},"schema":"https://github.com/citation-style-language/schema/raw/master/csl-citation.json"}</w:instrText>
      </w:r>
      <w:r>
        <w:fldChar w:fldCharType="separate"/>
      </w:r>
      <w:r w:rsidR="00A61993" w:rsidRPr="00A61993">
        <w:rPr>
          <w:noProof/>
        </w:rPr>
        <w:t>[133,134]</w:t>
      </w:r>
      <w:r>
        <w:fldChar w:fldCharType="end"/>
      </w:r>
      <w:r w:rsidRPr="00307C3E">
        <w:t>.</w:t>
      </w:r>
    </w:p>
    <w:p w14:paraId="52A4204A" w14:textId="77777777" w:rsidR="009F7A84" w:rsidRDefault="009F7A84" w:rsidP="00A61993">
      <w:pPr>
        <w:ind w:firstLine="709"/>
        <w:rPr>
          <w:sz w:val="28"/>
          <w:szCs w:val="28"/>
        </w:rPr>
      </w:pPr>
      <w:r>
        <w:t xml:space="preserve">Тромболизис эффективен при ТЭЛА, в раннем периоде острого инфаркта миокарда и ишемического инсульта, тромбозе синусов головного мозга, а также при угрозе формирования гангрены вследствие венозной окклюзии. С целью тромболизиса используются такие препараты, как стрептокиназа, урокиназа, алтеплаза. Дозы фибринолитических препаратов и режимы их применения различны и зависят от показаний. </w:t>
      </w:r>
    </w:p>
    <w:p w14:paraId="7D77A2A0" w14:textId="77777777" w:rsidR="009F7A84" w:rsidRDefault="009F7A84" w:rsidP="00A61993">
      <w:pPr>
        <w:ind w:firstLine="709"/>
        <w:rPr>
          <w:u w:val="single"/>
        </w:rPr>
      </w:pPr>
    </w:p>
    <w:p w14:paraId="71A6DBF8" w14:textId="6F9210CD" w:rsidR="009F7A84" w:rsidRPr="00307C3E" w:rsidRDefault="009F7A84" w:rsidP="00A61993">
      <w:pPr>
        <w:ind w:firstLine="709"/>
      </w:pPr>
      <w:r w:rsidRPr="00307C3E">
        <w:t>3) Антиагрегантная терапия</w:t>
      </w:r>
      <w:r>
        <w:t xml:space="preserve"> </w:t>
      </w:r>
      <w:r>
        <w:fldChar w:fldCharType="begin" w:fldLock="1"/>
      </w:r>
      <w:r w:rsidR="009F4636">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[133,134]","plainTextFormattedCitation":"[133,134]","previouslyFormattedCitation":"[133,134]"},"properties":{"noteIndex":0},"schema":"https://github.com/citation-style-language/schema/raw/master/csl-citation.json"}</w:instrText>
      </w:r>
      <w:r>
        <w:fldChar w:fldCharType="separate"/>
      </w:r>
      <w:r w:rsidR="00A61993" w:rsidRPr="00A61993">
        <w:rPr>
          <w:noProof/>
        </w:rPr>
        <w:t>[133,134]</w:t>
      </w:r>
      <w:r>
        <w:fldChar w:fldCharType="end"/>
      </w:r>
      <w:r w:rsidRPr="00307C3E">
        <w:t>.</w:t>
      </w:r>
    </w:p>
    <w:p w14:paraId="29519F13" w14:textId="77777777" w:rsidR="009F7A84" w:rsidRDefault="009F7A84" w:rsidP="00A61993">
      <w:pPr>
        <w:ind w:firstLine="709"/>
      </w:pPr>
      <w:r w:rsidRPr="00A4634E">
        <w:t>Антиагрегантная терапия</w:t>
      </w:r>
      <w:r>
        <w:t xml:space="preserve"> применяется при артериальных тромбозах, венозных тромбозах, гипертромбоцитозах.  Используются следующие препараты:</w:t>
      </w:r>
    </w:p>
    <w:p w14:paraId="3B50579F" w14:textId="77777777" w:rsidR="009F7A84" w:rsidRDefault="009F7A84" w:rsidP="009F7A84">
      <w:pPr>
        <w:numPr>
          <w:ilvl w:val="0"/>
          <w:numId w:val="64"/>
        </w:numPr>
        <w:ind w:left="1134"/>
      </w:pPr>
      <w:r>
        <w:t xml:space="preserve">Ацетилсалициловая кислота 75-150 мг в сутки. Подбор осуществляют с учетом показателей адреналин-индуцированной агрегации тромбоцитов. Агрегация должна составлять менее 50%. </w:t>
      </w:r>
    </w:p>
    <w:p w14:paraId="143E3FB0" w14:textId="77777777" w:rsidR="009F7A84" w:rsidRDefault="009F7A84" w:rsidP="009F7A84">
      <w:pPr>
        <w:pStyle w:val="afe"/>
        <w:numPr>
          <w:ilvl w:val="0"/>
          <w:numId w:val="64"/>
        </w:numPr>
        <w:ind w:left="1134"/>
        <w:rPr>
          <w:rFonts w:eastAsia="Times New Roman"/>
          <w:szCs w:val="24"/>
          <w:lang w:eastAsia="ru-RU"/>
        </w:rPr>
      </w:pPr>
      <w:r w:rsidRPr="00A4634E">
        <w:rPr>
          <w:rFonts w:eastAsia="Times New Roman"/>
          <w:szCs w:val="24"/>
          <w:lang w:eastAsia="ru-RU"/>
        </w:rPr>
        <w:t xml:space="preserve">Клопидогрел (непрямой ингибитор АДФ-рецептора тромбоцитов </w:t>
      </w:r>
      <w:r w:rsidRPr="00A4634E">
        <w:rPr>
          <w:rFonts w:eastAsia="Times New Roman"/>
          <w:szCs w:val="24"/>
          <w:lang w:val="en-US" w:eastAsia="ru-RU"/>
        </w:rPr>
        <w:t>P</w:t>
      </w:r>
      <w:r w:rsidRPr="00A4634E">
        <w:rPr>
          <w:rFonts w:eastAsia="Times New Roman"/>
          <w:szCs w:val="24"/>
          <w:lang w:eastAsia="ru-RU"/>
        </w:rPr>
        <w:t>2</w:t>
      </w:r>
      <w:r w:rsidRPr="00A4634E">
        <w:rPr>
          <w:rFonts w:eastAsia="Times New Roman"/>
          <w:szCs w:val="24"/>
          <w:lang w:val="en-US" w:eastAsia="ru-RU"/>
        </w:rPr>
        <w:t>Y</w:t>
      </w:r>
      <w:r w:rsidRPr="00A4634E">
        <w:rPr>
          <w:rFonts w:eastAsia="Times New Roman"/>
          <w:szCs w:val="24"/>
          <w:lang w:eastAsia="ru-RU"/>
        </w:rPr>
        <w:t>12) 75 мг/сут; в острых случаях клопидогрел принимается внутрь в дозе 300–600 мг/сут. Подбор осуществляют с учетом АДФ-индуцированной агрегации тромбоцитов. Агрегация должна составлять менее 45</w:t>
      </w:r>
      <w:r w:rsidRPr="00A4634E">
        <w:rPr>
          <w:i/>
          <w:szCs w:val="24"/>
        </w:rPr>
        <w:t>—</w:t>
      </w:r>
      <w:r w:rsidRPr="00A4634E">
        <w:rPr>
          <w:rFonts w:eastAsia="Times New Roman"/>
          <w:szCs w:val="24"/>
          <w:lang w:eastAsia="ru-RU"/>
        </w:rPr>
        <w:t xml:space="preserve">50%. </w:t>
      </w:r>
    </w:p>
    <w:p w14:paraId="331DFD02" w14:textId="77777777" w:rsidR="009F7A84" w:rsidRPr="00A4634E" w:rsidRDefault="009F7A84" w:rsidP="009F7A84">
      <w:pPr>
        <w:pStyle w:val="afe"/>
        <w:numPr>
          <w:ilvl w:val="0"/>
          <w:numId w:val="64"/>
        </w:numPr>
        <w:ind w:left="1134"/>
        <w:rPr>
          <w:rFonts w:eastAsia="Times New Roman"/>
          <w:szCs w:val="24"/>
          <w:lang w:eastAsia="ru-RU"/>
        </w:rPr>
      </w:pPr>
      <w:r w:rsidRPr="00A4634E">
        <w:rPr>
          <w:rFonts w:eastAsia="Times New Roman"/>
          <w:szCs w:val="24"/>
          <w:lang w:eastAsia="ru-RU"/>
        </w:rPr>
        <w:t>Дипиридамол 25-75 мг/сут.</w:t>
      </w:r>
    </w:p>
    <w:p w14:paraId="208006CD" w14:textId="77777777" w:rsidR="009F7A84" w:rsidRDefault="009F7A84" w:rsidP="009F7A84">
      <w:pPr>
        <w:numPr>
          <w:ilvl w:val="0"/>
          <w:numId w:val="64"/>
        </w:numPr>
        <w:ind w:left="1134"/>
      </w:pPr>
      <w:r>
        <w:t>Пентоксифиллин 0,1 х 3 раза в день; или 400 мг 2-3раза в день.</w:t>
      </w:r>
    </w:p>
    <w:p w14:paraId="6A91AE7A" w14:textId="77777777" w:rsidR="009F7A84" w:rsidRPr="003A104D" w:rsidRDefault="009F7A84" w:rsidP="009F7A84">
      <w:pPr>
        <w:pStyle w:val="afe"/>
        <w:numPr>
          <w:ilvl w:val="0"/>
          <w:numId w:val="64"/>
        </w:numPr>
        <w:spacing w:after="200"/>
        <w:ind w:left="1134"/>
      </w:pPr>
      <w:r>
        <w:rPr>
          <w:rFonts w:eastAsia="Times New Roman"/>
          <w:szCs w:val="24"/>
          <w:lang w:eastAsia="ru-RU"/>
        </w:rPr>
        <w:t>Тикагрелор (прямой ингибитор АДФ-рецептора тромбоцитов Р2</w:t>
      </w:r>
      <w:r>
        <w:rPr>
          <w:rFonts w:eastAsia="Times New Roman"/>
          <w:szCs w:val="24"/>
          <w:lang w:val="en-US" w:eastAsia="ru-RU"/>
        </w:rPr>
        <w:t>Y</w:t>
      </w:r>
      <w:r>
        <w:rPr>
          <w:rFonts w:eastAsia="Times New Roman"/>
          <w:szCs w:val="24"/>
          <w:lang w:eastAsia="ru-RU"/>
        </w:rPr>
        <w:t xml:space="preserve">12) 90 мг х 2 раза в день совместно с ацетилсалициловой кислотой. Применяется при проведении химиотерапии у больных ишемической болезнью сердца. Подбор </w:t>
      </w:r>
      <w:r>
        <w:rPr>
          <w:rFonts w:eastAsia="Times New Roman"/>
          <w:szCs w:val="24"/>
          <w:lang w:eastAsia="ru-RU"/>
        </w:rPr>
        <w:lastRenderedPageBreak/>
        <w:t>осуществляют с учетом АДФ-индуцированной агрегации тромбоцитов. Агрегация должна составлять менее 30</w:t>
      </w:r>
      <w:r>
        <w:rPr>
          <w:szCs w:val="24"/>
        </w:rPr>
        <w:t>—4</w:t>
      </w:r>
      <w:r>
        <w:rPr>
          <w:rFonts w:eastAsia="Times New Roman"/>
          <w:szCs w:val="24"/>
          <w:lang w:eastAsia="ru-RU"/>
        </w:rPr>
        <w:t>0%.</w:t>
      </w:r>
    </w:p>
    <w:p w14:paraId="71DF6D83" w14:textId="77777777" w:rsidR="009F7A84" w:rsidRPr="00A4634E" w:rsidRDefault="009F7A84" w:rsidP="009F7A84">
      <w:pPr>
        <w:pStyle w:val="afe"/>
        <w:numPr>
          <w:ilvl w:val="0"/>
          <w:numId w:val="64"/>
        </w:numPr>
        <w:spacing w:after="200"/>
        <w:ind w:left="1134"/>
      </w:pPr>
      <w:r w:rsidRPr="00A4634E">
        <w:rPr>
          <w:rFonts w:eastAsia="Times New Roman"/>
          <w:szCs w:val="24"/>
          <w:lang w:eastAsia="ru-RU"/>
        </w:rPr>
        <w:t>Прасугрел (прямой ингибитор АДФ-рецептора тромбоцитов P2Y12) 10мг: 1 день 6 таб., затем 1 таб. в день с ацетилсалициловой кислотой. Применяется при проведении химиотерапии у больных с ишемической болезнью сердца. Подбор осуществляется с учетом АДФ-индуцир</w:t>
      </w:r>
      <w:r>
        <w:rPr>
          <w:rFonts w:eastAsia="Times New Roman"/>
          <w:szCs w:val="24"/>
          <w:lang w:eastAsia="ru-RU"/>
        </w:rPr>
        <w:t>ованной агрегации тромбоцитов (а</w:t>
      </w:r>
      <w:r w:rsidRPr="00A4634E">
        <w:rPr>
          <w:rFonts w:eastAsia="Times New Roman"/>
          <w:szCs w:val="24"/>
          <w:lang w:eastAsia="ru-RU"/>
        </w:rPr>
        <w:t>грегация должна составлять менее 30-40%</w:t>
      </w:r>
      <w:r>
        <w:rPr>
          <w:rFonts w:eastAsia="Times New Roman"/>
          <w:szCs w:val="24"/>
          <w:lang w:eastAsia="ru-RU"/>
        </w:rPr>
        <w:t>)</w:t>
      </w:r>
      <w:r w:rsidRPr="00A4634E">
        <w:rPr>
          <w:rFonts w:eastAsia="Times New Roman"/>
          <w:szCs w:val="24"/>
          <w:lang w:eastAsia="ru-RU"/>
        </w:rPr>
        <w:t>.</w:t>
      </w:r>
    </w:p>
    <w:p w14:paraId="237929B6" w14:textId="77777777" w:rsidR="009F7A84" w:rsidRPr="003A104D" w:rsidRDefault="00A679EB" w:rsidP="009F7A84">
      <w:pPr>
        <w:pStyle w:val="afe"/>
        <w:numPr>
          <w:ilvl w:val="0"/>
          <w:numId w:val="64"/>
        </w:numPr>
        <w:spacing w:after="200"/>
        <w:ind w:left="1134"/>
      </w:pPr>
      <w:hyperlink r:id="rId10" w:history="1">
        <w:r w:rsidR="009F7A84" w:rsidRPr="00111FC7">
          <w:rPr>
            <w:rStyle w:val="affd"/>
            <w:szCs w:val="24"/>
          </w:rPr>
          <w:t>Изосорбида мононитрат</w:t>
        </w:r>
      </w:hyperlink>
      <w:r w:rsidR="009F7A84" w:rsidRPr="003A104D">
        <w:rPr>
          <w:rFonts w:eastAsia="Times New Roman"/>
          <w:szCs w:val="24"/>
          <w:lang w:eastAsia="ru-RU"/>
        </w:rPr>
        <w:t xml:space="preserve"> 40 мг х 1-2 раза в день. Обладает наряду с дезагрегационными свойствами выраженным сосудорасширяющим эффектом.</w:t>
      </w:r>
    </w:p>
    <w:p w14:paraId="7A41ECFA" w14:textId="77777777" w:rsidR="009F7A84" w:rsidRDefault="009F7A84" w:rsidP="009F7A84">
      <w:pPr>
        <w:pStyle w:val="afe"/>
        <w:numPr>
          <w:ilvl w:val="0"/>
          <w:numId w:val="64"/>
        </w:numPr>
        <w:spacing w:after="200"/>
        <w:ind w:left="1134"/>
      </w:pPr>
      <w:r w:rsidRPr="003A104D">
        <w:rPr>
          <w:rFonts w:eastAsia="Times New Roman"/>
          <w:szCs w:val="24"/>
          <w:lang w:eastAsia="ru-RU"/>
        </w:rPr>
        <w:t>Возможно использование никотиновой кислоты в инъекционной или таблетированной формах. Доза никотиновой кислоты подбирается по эритематозному эффекту, который проявляется легким покраснением лица и верхней половины туловища, тахикардией, небольшим чувством жара.</w:t>
      </w:r>
    </w:p>
    <w:p w14:paraId="4E2D260F" w14:textId="1E1B0027" w:rsidR="009F7A84" w:rsidRDefault="009F7A84" w:rsidP="00A61993">
      <w:pPr>
        <w:ind w:firstLine="709"/>
      </w:pPr>
      <w:r w:rsidRPr="006F5CEC">
        <w:t>4)  Вазопротекторная терапия</w:t>
      </w:r>
      <w:r>
        <w:t xml:space="preserve"> </w:t>
      </w:r>
      <w:r>
        <w:fldChar w:fldCharType="begin" w:fldLock="1"/>
      </w:r>
      <w:r w:rsidR="009F4636">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[133]","plainTextFormattedCitation":"[133]","previouslyFormattedCitation":"[133]"},"properties":{"noteIndex":0},"schema":"https://github.com/citation-style-language/schema/raw/master/csl-citation.json"}</w:instrText>
      </w:r>
      <w:r>
        <w:fldChar w:fldCharType="separate"/>
      </w:r>
      <w:r w:rsidR="00A61993" w:rsidRPr="00A61993">
        <w:rPr>
          <w:noProof/>
        </w:rPr>
        <w:t>[133]</w:t>
      </w:r>
      <w:r>
        <w:fldChar w:fldCharType="end"/>
      </w:r>
      <w:r w:rsidRPr="006F5CEC">
        <w:t>:</w:t>
      </w:r>
    </w:p>
    <w:p w14:paraId="3519F560" w14:textId="77777777" w:rsidR="009F7A84" w:rsidRDefault="009F7A84" w:rsidP="009F7A84">
      <w:pPr>
        <w:pStyle w:val="afe"/>
        <w:numPr>
          <w:ilvl w:val="0"/>
          <w:numId w:val="70"/>
        </w:numPr>
        <w:contextualSpacing w:val="0"/>
        <w:rPr>
          <w:rFonts w:eastAsia="Times New Roman"/>
          <w:szCs w:val="24"/>
          <w:lang w:eastAsia="ru-RU"/>
        </w:rPr>
      </w:pPr>
      <w:r w:rsidRPr="00440427">
        <w:rPr>
          <w:color w:val="333333"/>
          <w:szCs w:val="24"/>
        </w:rPr>
        <w:t>сухой экстракт красных листьев винограда</w:t>
      </w:r>
      <w:r w:rsidRPr="00440427">
        <w:rPr>
          <w:rFonts w:eastAsia="Times New Roman"/>
          <w:szCs w:val="24"/>
          <w:lang w:eastAsia="ru-RU"/>
        </w:rPr>
        <w:t xml:space="preserve"> 2 капс. утром натощак;</w:t>
      </w:r>
    </w:p>
    <w:p w14:paraId="3FE73B3E" w14:textId="77777777" w:rsidR="009F7A84" w:rsidRDefault="009F7A84" w:rsidP="009F7A84">
      <w:pPr>
        <w:pStyle w:val="afe"/>
        <w:numPr>
          <w:ilvl w:val="0"/>
          <w:numId w:val="70"/>
        </w:numPr>
        <w:contextualSpacing w:val="0"/>
        <w:rPr>
          <w:rFonts w:eastAsia="Times New Roman"/>
          <w:szCs w:val="24"/>
          <w:lang w:eastAsia="ru-RU"/>
        </w:rPr>
      </w:pPr>
      <w:r w:rsidRPr="00440427">
        <w:rPr>
          <w:rFonts w:eastAsia="Times New Roman"/>
          <w:szCs w:val="24"/>
          <w:lang w:eastAsia="ru-RU"/>
        </w:rPr>
        <w:t>диосмин-содержащие препараты;</w:t>
      </w:r>
    </w:p>
    <w:p w14:paraId="24D88B6C" w14:textId="77777777" w:rsidR="009F7A84" w:rsidRPr="00440427" w:rsidRDefault="009F7A84" w:rsidP="009F7A84">
      <w:pPr>
        <w:pStyle w:val="afe"/>
        <w:numPr>
          <w:ilvl w:val="0"/>
          <w:numId w:val="70"/>
        </w:numPr>
        <w:contextualSpacing w:val="0"/>
        <w:rPr>
          <w:rFonts w:eastAsia="Times New Roman"/>
          <w:szCs w:val="24"/>
          <w:lang w:eastAsia="ru-RU"/>
        </w:rPr>
      </w:pPr>
      <w:r w:rsidRPr="00440427">
        <w:rPr>
          <w:rFonts w:eastAsia="Times New Roman"/>
          <w:szCs w:val="24"/>
          <w:lang w:eastAsia="ru-RU"/>
        </w:rPr>
        <w:t>алпростадил 20 мкг в/в капельно 1 раз в  сутки 10-14 дней.</w:t>
      </w:r>
    </w:p>
    <w:p w14:paraId="2269762B" w14:textId="77777777" w:rsidR="009F7A84" w:rsidRDefault="009F7A84" w:rsidP="009F7A84">
      <w:pPr>
        <w:rPr>
          <w:u w:val="single"/>
        </w:rPr>
      </w:pPr>
    </w:p>
    <w:p w14:paraId="42E7117C" w14:textId="698BD153" w:rsidR="009F7A84" w:rsidRDefault="009F7A84" w:rsidP="00A61993">
      <w:pPr>
        <w:ind w:firstLine="709"/>
      </w:pPr>
      <w:r w:rsidRPr="00440427">
        <w:t>5) Коррекция тромбофилических состояний</w:t>
      </w:r>
      <w:r>
        <w:t xml:space="preserve"> </w:t>
      </w:r>
      <w:r>
        <w:fldChar w:fldCharType="begin" w:fldLock="1"/>
      </w:r>
      <w:r w:rsidR="009F4636">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[133]","plainTextFormattedCitation":"[133]","previouslyFormattedCitation":"[133]"},"properties":{"noteIndex":0},"schema":"https://github.com/citation-style-language/schema/raw/master/csl-citation.json"}</w:instrText>
      </w:r>
      <w:r>
        <w:fldChar w:fldCharType="separate"/>
      </w:r>
      <w:r w:rsidR="00A61993" w:rsidRPr="00A61993">
        <w:rPr>
          <w:noProof/>
        </w:rPr>
        <w:t>[133]</w:t>
      </w:r>
      <w:r>
        <w:fldChar w:fldCharType="end"/>
      </w:r>
      <w:r w:rsidRPr="00440427">
        <w:t>:</w:t>
      </w:r>
    </w:p>
    <w:p w14:paraId="35968EED" w14:textId="77777777" w:rsidR="009F7A84" w:rsidRDefault="009F7A84" w:rsidP="009F7A84">
      <w:pPr>
        <w:pStyle w:val="afe"/>
        <w:numPr>
          <w:ilvl w:val="0"/>
          <w:numId w:val="72"/>
        </w:numPr>
        <w:contextualSpacing w:val="0"/>
        <w:rPr>
          <w:rFonts w:eastAsia="Times New Roman"/>
          <w:szCs w:val="24"/>
          <w:lang w:eastAsia="ru-RU"/>
        </w:rPr>
      </w:pPr>
      <w:r w:rsidRPr="00B54A88">
        <w:rPr>
          <w:rFonts w:eastAsia="Times New Roman"/>
          <w:szCs w:val="24"/>
          <w:lang w:eastAsia="ru-RU"/>
        </w:rPr>
        <w:t>При гипергомоцистеинемии используются витамины В6, В12, фолиевая кислота.</w:t>
      </w:r>
    </w:p>
    <w:p w14:paraId="6BF5DB82" w14:textId="77777777" w:rsidR="009F7A84" w:rsidRPr="00B54A88" w:rsidRDefault="009F7A84" w:rsidP="009F7A84">
      <w:pPr>
        <w:pStyle w:val="afe"/>
        <w:numPr>
          <w:ilvl w:val="0"/>
          <w:numId w:val="72"/>
        </w:numPr>
        <w:contextualSpacing w:val="0"/>
        <w:rPr>
          <w:rFonts w:eastAsia="Times New Roman"/>
          <w:szCs w:val="24"/>
          <w:lang w:eastAsia="ru-RU"/>
        </w:rPr>
      </w:pPr>
      <w:r w:rsidRPr="00B54A88">
        <w:rPr>
          <w:rFonts w:eastAsia="Times New Roman"/>
          <w:szCs w:val="24"/>
          <w:lang w:eastAsia="ru-RU"/>
        </w:rPr>
        <w:t xml:space="preserve">При применении гепаринов может развиться резистентность к ним, наиболее часто обусловленная дефицитом АТ III вследствие его увеличенного потребления, длительной гепаринотерапией, патологией печени и действием лекарственных препаратов. Препарат Антитромбин </w:t>
      </w:r>
      <w:r w:rsidRPr="00B54A88">
        <w:rPr>
          <w:rFonts w:eastAsia="Times New Roman"/>
          <w:szCs w:val="24"/>
          <w:lang w:val="en-US" w:eastAsia="ru-RU"/>
        </w:rPr>
        <w:t>III</w:t>
      </w:r>
      <w:r w:rsidRPr="00B54A88">
        <w:rPr>
          <w:rFonts w:eastAsia="Times New Roman"/>
          <w:szCs w:val="24"/>
          <w:lang w:eastAsia="ru-RU"/>
        </w:rPr>
        <w:t xml:space="preserve"> показан также при наследственном и приобретенном дефиците АТ </w:t>
      </w:r>
      <w:r w:rsidRPr="00B54A88">
        <w:rPr>
          <w:rFonts w:eastAsia="Times New Roman"/>
          <w:szCs w:val="24"/>
          <w:lang w:val="en-US" w:eastAsia="ru-RU"/>
        </w:rPr>
        <w:t>III</w:t>
      </w:r>
      <w:r w:rsidRPr="00B54A88">
        <w:rPr>
          <w:rFonts w:eastAsia="Times New Roman"/>
          <w:szCs w:val="24"/>
          <w:lang w:eastAsia="ru-RU"/>
        </w:rPr>
        <w:t>.</w:t>
      </w:r>
    </w:p>
    <w:p w14:paraId="51F2FA05" w14:textId="77777777" w:rsidR="009F7A84" w:rsidRPr="00B54A88" w:rsidRDefault="009F7A84" w:rsidP="009F7A84">
      <w:pPr>
        <w:pStyle w:val="afe"/>
        <w:numPr>
          <w:ilvl w:val="0"/>
          <w:numId w:val="71"/>
        </w:numPr>
        <w:contextualSpacing w:val="0"/>
        <w:rPr>
          <w:rFonts w:eastAsia="Times New Roman"/>
          <w:szCs w:val="24"/>
          <w:lang w:eastAsia="ru-RU"/>
        </w:rPr>
      </w:pPr>
      <w:r w:rsidRPr="00B54A88">
        <w:rPr>
          <w:rFonts w:eastAsia="Times New Roman"/>
          <w:szCs w:val="24"/>
          <w:lang w:eastAsia="ru-RU"/>
        </w:rPr>
        <w:t xml:space="preserve">Для коррекции дефицита АТ </w:t>
      </w:r>
      <w:r w:rsidRPr="00B54A88">
        <w:rPr>
          <w:rFonts w:eastAsia="Times New Roman"/>
          <w:szCs w:val="24"/>
          <w:lang w:val="en-US" w:eastAsia="ru-RU"/>
        </w:rPr>
        <w:t>III</w:t>
      </w:r>
      <w:r w:rsidRPr="00B54A88">
        <w:rPr>
          <w:rFonts w:eastAsia="Times New Roman"/>
          <w:szCs w:val="24"/>
          <w:lang w:eastAsia="ru-RU"/>
        </w:rPr>
        <w:t xml:space="preserve"> используют СЗП или концентрат АТ III в дозе, рассчитываемой по формуле:</w:t>
      </w:r>
    </w:p>
    <w:p w14:paraId="716E6BF4" w14:textId="77777777" w:rsidR="009F7A84" w:rsidRDefault="009F7A84" w:rsidP="009F7A84">
      <w:pPr>
        <w:pStyle w:val="afe"/>
        <w:numPr>
          <w:ilvl w:val="0"/>
          <w:numId w:val="71"/>
        </w:numPr>
        <w:contextualSpacing w:val="0"/>
        <w:rPr>
          <w:rFonts w:eastAsia="Times New Roman"/>
          <w:szCs w:val="24"/>
          <w:lang w:eastAsia="ru-RU"/>
        </w:rPr>
      </w:pPr>
      <w:r w:rsidRPr="00B54A88">
        <w:rPr>
          <w:rFonts w:eastAsia="Times New Roman"/>
          <w:szCs w:val="24"/>
          <w:lang w:eastAsia="ru-RU"/>
        </w:rPr>
        <w:t xml:space="preserve">Необходимая доза АТ </w:t>
      </w:r>
      <w:r w:rsidRPr="00B54A88">
        <w:rPr>
          <w:rFonts w:eastAsia="Times New Roman"/>
          <w:szCs w:val="24"/>
          <w:lang w:val="en-US" w:eastAsia="ru-RU"/>
        </w:rPr>
        <w:t>III</w:t>
      </w:r>
      <w:r w:rsidRPr="00B54A88">
        <w:rPr>
          <w:rFonts w:eastAsia="Times New Roman"/>
          <w:szCs w:val="24"/>
          <w:lang w:eastAsia="ru-RU"/>
        </w:rPr>
        <w:t xml:space="preserve"> (ME) = масса тела (кг) × (целевое значение – исходная  активность АТ </w:t>
      </w:r>
      <w:r w:rsidRPr="00B54A88">
        <w:rPr>
          <w:rFonts w:eastAsia="Times New Roman"/>
          <w:szCs w:val="24"/>
          <w:lang w:val="en-US" w:eastAsia="ru-RU"/>
        </w:rPr>
        <w:t>III</w:t>
      </w:r>
      <w:r w:rsidRPr="00B54A88">
        <w:rPr>
          <w:rFonts w:eastAsia="Times New Roman"/>
          <w:szCs w:val="24"/>
          <w:lang w:eastAsia="ru-RU"/>
        </w:rPr>
        <w:t xml:space="preserve"> (%)) × 0.5</w:t>
      </w:r>
    </w:p>
    <w:p w14:paraId="34305D30" w14:textId="77777777" w:rsidR="009F7A84" w:rsidRDefault="009F7A84" w:rsidP="009F7A84">
      <w:pPr>
        <w:pStyle w:val="afe"/>
        <w:numPr>
          <w:ilvl w:val="0"/>
          <w:numId w:val="71"/>
        </w:numPr>
        <w:contextualSpacing w:val="0"/>
        <w:rPr>
          <w:rFonts w:eastAsia="Times New Roman"/>
          <w:szCs w:val="24"/>
          <w:lang w:eastAsia="ru-RU"/>
        </w:rPr>
      </w:pPr>
      <w:r w:rsidRPr="00B54A88">
        <w:rPr>
          <w:rFonts w:eastAsia="Times New Roman"/>
          <w:szCs w:val="24"/>
          <w:lang w:eastAsia="ru-RU"/>
        </w:rPr>
        <w:t xml:space="preserve">При дефиците плазменных антикоагулянтов, таких как АТ </w:t>
      </w:r>
      <w:r w:rsidRPr="00B54A88">
        <w:rPr>
          <w:rFonts w:eastAsia="Times New Roman"/>
          <w:szCs w:val="24"/>
          <w:lang w:val="en-US" w:eastAsia="ru-RU"/>
        </w:rPr>
        <w:t>III</w:t>
      </w:r>
      <w:r w:rsidRPr="00B54A88">
        <w:rPr>
          <w:rFonts w:eastAsia="Times New Roman"/>
          <w:szCs w:val="24"/>
          <w:lang w:eastAsia="ru-RU"/>
        </w:rPr>
        <w:t xml:space="preserve">, протеин С, протеин </w:t>
      </w:r>
      <w:r w:rsidRPr="00B54A88">
        <w:rPr>
          <w:rFonts w:eastAsia="Times New Roman"/>
          <w:szCs w:val="24"/>
          <w:lang w:val="en-US" w:eastAsia="ru-RU"/>
        </w:rPr>
        <w:t>S</w:t>
      </w:r>
      <w:r w:rsidRPr="00B54A88">
        <w:rPr>
          <w:rFonts w:eastAsia="Times New Roman"/>
          <w:szCs w:val="24"/>
          <w:lang w:eastAsia="ru-RU"/>
        </w:rPr>
        <w:t xml:space="preserve"> применяется СЗП. </w:t>
      </w:r>
    </w:p>
    <w:p w14:paraId="3E73C37E" w14:textId="77777777" w:rsidR="009F7A84" w:rsidRDefault="009F7A84" w:rsidP="009F7A84">
      <w:pPr>
        <w:pStyle w:val="afe"/>
        <w:numPr>
          <w:ilvl w:val="0"/>
          <w:numId w:val="71"/>
        </w:numPr>
        <w:contextualSpacing w:val="0"/>
        <w:rPr>
          <w:rFonts w:eastAsia="Times New Roman"/>
          <w:szCs w:val="24"/>
          <w:lang w:eastAsia="ru-RU"/>
        </w:rPr>
      </w:pPr>
      <w:r w:rsidRPr="00B54A88">
        <w:rPr>
          <w:rFonts w:eastAsia="Times New Roman"/>
          <w:szCs w:val="24"/>
          <w:lang w:eastAsia="ru-RU"/>
        </w:rPr>
        <w:t xml:space="preserve">При глубоком дефиците протеина С возможно использование препарата очищенного протеина С (Сепротин).  </w:t>
      </w:r>
    </w:p>
    <w:p w14:paraId="7A1F966E" w14:textId="77777777" w:rsidR="009F7A84" w:rsidRPr="00B54A88" w:rsidRDefault="009F7A84" w:rsidP="009F7A84">
      <w:pPr>
        <w:pStyle w:val="afe"/>
        <w:numPr>
          <w:ilvl w:val="0"/>
          <w:numId w:val="71"/>
        </w:numPr>
        <w:contextualSpacing w:val="0"/>
        <w:rPr>
          <w:rFonts w:eastAsia="Times New Roman"/>
          <w:szCs w:val="24"/>
          <w:lang w:eastAsia="ru-RU"/>
        </w:rPr>
      </w:pPr>
      <w:r w:rsidRPr="00B54A88">
        <w:rPr>
          <w:rFonts w:eastAsia="Times New Roman"/>
          <w:szCs w:val="24"/>
          <w:lang w:eastAsia="ru-RU"/>
        </w:rPr>
        <w:lastRenderedPageBreak/>
        <w:t>В комплексной терапии АФС может быть эффективна комбинация: дипиридамол, витамин Е, плаквенил.</w:t>
      </w:r>
    </w:p>
    <w:p w14:paraId="28DAFC1D" w14:textId="77777777" w:rsidR="009F7A84" w:rsidRDefault="009F7A84" w:rsidP="009F7A84"/>
    <w:p w14:paraId="7406ABA4" w14:textId="77777777" w:rsidR="009F7A84" w:rsidRDefault="009F7A84" w:rsidP="00A61993">
      <w:pPr>
        <w:ind w:firstLine="709"/>
        <w:rPr>
          <w:u w:val="single"/>
        </w:rPr>
      </w:pPr>
      <w:r>
        <w:rPr>
          <w:u w:val="single"/>
        </w:rPr>
        <w:t xml:space="preserve">Инструментальные методы лечения. </w:t>
      </w:r>
    </w:p>
    <w:p w14:paraId="3EF39AE1" w14:textId="22D1F7E8" w:rsidR="009F7A84" w:rsidRDefault="009F7A84" w:rsidP="00A61993">
      <w:pPr>
        <w:widowControl w:val="0"/>
        <w:ind w:firstLine="709"/>
      </w:pPr>
      <w:r w:rsidRPr="00482DE7">
        <w:t>1)  Кава-фильтр</w:t>
      </w:r>
      <w:r>
        <w:t xml:space="preserve"> устанавливается либо для профилактики ТЭЛА (если были эпизоды ТЭЛА ранее), либо при наличии флотирующего тромба в крупных венозных стволах </w:t>
      </w:r>
      <w:r>
        <w:fldChar w:fldCharType="begin" w:fldLock="1"/>
      </w:r>
      <w:r w:rsidR="009F4636">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[133]","plainTextFormattedCitation":"[133]","previouslyFormattedCitation":"[133]"},"properties":{"noteIndex":0},"schema":"https://github.com/citation-style-language/schema/raw/master/csl-citation.json"}</w:instrText>
      </w:r>
      <w:r>
        <w:fldChar w:fldCharType="separate"/>
      </w:r>
      <w:r w:rsidR="00A61993" w:rsidRPr="00A61993">
        <w:rPr>
          <w:noProof/>
        </w:rPr>
        <w:t>[133]</w:t>
      </w:r>
      <w:r>
        <w:fldChar w:fldCharType="end"/>
      </w:r>
      <w:r>
        <w:t>. Показаниями для постановки венозного кава-фильтра является неэффективность или невозможность проведения антикоагулянтной терапии у больных с тромбозами глубоких вен нижних конечностей в следующих случаях:</w:t>
      </w:r>
    </w:p>
    <w:p w14:paraId="22897D96" w14:textId="77777777" w:rsidR="009F7A84" w:rsidRPr="005650C3" w:rsidRDefault="009F7A84" w:rsidP="009F7A84">
      <w:pPr>
        <w:pStyle w:val="afe"/>
        <w:numPr>
          <w:ilvl w:val="0"/>
          <w:numId w:val="71"/>
        </w:numPr>
        <w:contextualSpacing w:val="0"/>
        <w:rPr>
          <w:rFonts w:eastAsia="Times New Roman"/>
          <w:szCs w:val="24"/>
          <w:lang w:eastAsia="ru-RU"/>
        </w:rPr>
      </w:pPr>
      <w:r w:rsidRPr="005650C3">
        <w:rPr>
          <w:rFonts w:eastAsia="Times New Roman"/>
          <w:szCs w:val="24"/>
          <w:lang w:eastAsia="ru-RU"/>
        </w:rPr>
        <w:t>рецидивирующая ТЭЛА, несмотря на адекватную антикоагулянтную терапию;</w:t>
      </w:r>
    </w:p>
    <w:p w14:paraId="0FA3A0C9" w14:textId="77777777" w:rsidR="009F7A84" w:rsidRPr="005650C3" w:rsidRDefault="009F7A84" w:rsidP="009F7A84">
      <w:pPr>
        <w:pStyle w:val="afe"/>
        <w:numPr>
          <w:ilvl w:val="0"/>
          <w:numId w:val="71"/>
        </w:numPr>
        <w:contextualSpacing w:val="0"/>
        <w:rPr>
          <w:rFonts w:eastAsia="Times New Roman"/>
          <w:szCs w:val="24"/>
          <w:lang w:eastAsia="ru-RU"/>
        </w:rPr>
      </w:pPr>
      <w:r w:rsidRPr="005650C3">
        <w:rPr>
          <w:rFonts w:eastAsia="Times New Roman"/>
          <w:szCs w:val="24"/>
          <w:lang w:eastAsia="ru-RU"/>
        </w:rPr>
        <w:t>наличие противопоказаний к антикоагулянтной терапии;</w:t>
      </w:r>
    </w:p>
    <w:p w14:paraId="135C08D4" w14:textId="77777777" w:rsidR="009F7A84" w:rsidRPr="005650C3" w:rsidRDefault="009F7A84" w:rsidP="009F7A84">
      <w:pPr>
        <w:pStyle w:val="afe"/>
        <w:numPr>
          <w:ilvl w:val="0"/>
          <w:numId w:val="71"/>
        </w:numPr>
        <w:contextualSpacing w:val="0"/>
        <w:rPr>
          <w:rFonts w:eastAsia="Times New Roman"/>
          <w:szCs w:val="24"/>
          <w:lang w:eastAsia="ru-RU"/>
        </w:rPr>
      </w:pPr>
      <w:r w:rsidRPr="005650C3">
        <w:rPr>
          <w:rFonts w:eastAsia="Times New Roman"/>
          <w:szCs w:val="24"/>
          <w:lang w:eastAsia="ru-RU"/>
        </w:rPr>
        <w:t>осложнения антикоагулянтной терапии, делающие невозможным</w:t>
      </w:r>
    </w:p>
    <w:p w14:paraId="4CCB5D45" w14:textId="77777777" w:rsidR="009F7A84" w:rsidRPr="005650C3" w:rsidRDefault="009F7A84" w:rsidP="009F7A84">
      <w:pPr>
        <w:pStyle w:val="afe"/>
        <w:numPr>
          <w:ilvl w:val="0"/>
          <w:numId w:val="71"/>
        </w:numPr>
        <w:contextualSpacing w:val="0"/>
        <w:rPr>
          <w:rFonts w:eastAsia="Times New Roman"/>
          <w:szCs w:val="24"/>
          <w:lang w:eastAsia="ru-RU"/>
        </w:rPr>
      </w:pPr>
      <w:r w:rsidRPr="005650C3">
        <w:rPr>
          <w:rFonts w:eastAsia="Times New Roman"/>
          <w:szCs w:val="24"/>
          <w:lang w:eastAsia="ru-RU"/>
        </w:rPr>
        <w:t>дальнейшую гипокоагуляцию;</w:t>
      </w:r>
    </w:p>
    <w:p w14:paraId="30C5F902" w14:textId="77777777" w:rsidR="009F7A84" w:rsidRPr="005650C3" w:rsidRDefault="009F7A84" w:rsidP="009F7A84">
      <w:pPr>
        <w:pStyle w:val="afe"/>
        <w:numPr>
          <w:ilvl w:val="0"/>
          <w:numId w:val="71"/>
        </w:numPr>
        <w:contextualSpacing w:val="0"/>
        <w:rPr>
          <w:rFonts w:eastAsia="Times New Roman"/>
          <w:szCs w:val="24"/>
          <w:lang w:eastAsia="ru-RU"/>
        </w:rPr>
      </w:pPr>
      <w:r w:rsidRPr="005650C3">
        <w:rPr>
          <w:rFonts w:eastAsia="Times New Roman"/>
          <w:szCs w:val="24"/>
          <w:lang w:eastAsia="ru-RU"/>
        </w:rPr>
        <w:t>невозможность достигнуть или поддерживать лечебный антикоагулянтный эффект.</w:t>
      </w:r>
    </w:p>
    <w:p w14:paraId="35EE8C82" w14:textId="77777777" w:rsidR="009F7A84" w:rsidRPr="00A13E2A" w:rsidRDefault="009F7A84" w:rsidP="00A61993">
      <w:pPr>
        <w:ind w:firstLine="709"/>
      </w:pPr>
      <w:r w:rsidRPr="00A13E2A">
        <w:t>При исчезновении угрозы ВТЭО кава-фильтр удаляется (обычно через 1,5-2 мес).</w:t>
      </w:r>
    </w:p>
    <w:p w14:paraId="1B911558" w14:textId="77777777" w:rsidR="009F7A84" w:rsidRDefault="009F7A84" w:rsidP="00A61993">
      <w:pPr>
        <w:ind w:left="1459" w:firstLine="709"/>
      </w:pPr>
    </w:p>
    <w:p w14:paraId="27EC9AB3" w14:textId="35E4CA08" w:rsidR="009F7A84" w:rsidRDefault="009F7A84" w:rsidP="00A61993">
      <w:pPr>
        <w:ind w:firstLine="709"/>
      </w:pPr>
      <w:r w:rsidRPr="00482DE7">
        <w:t>2) Эндоваскулярная тромбоэкстракция</w:t>
      </w:r>
      <w:r>
        <w:t xml:space="preserve"> используется при острых тромбозах сосудов головного мозга, ТЭЛА, остром коронарном синдроме, а также при угрозе формирования некрозов тканей и органов </w:t>
      </w:r>
      <w:r>
        <w:fldChar w:fldCharType="begin" w:fldLock="1"/>
      </w:r>
      <w:r w:rsidR="009F4636">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[133]","plainTextFormattedCitation":"[133]","previouslyFormattedCitation":"[133]"},"properties":{"noteIndex":0},"schema":"https://github.com/citation-style-language/schema/raw/master/csl-citation.json"}</w:instrText>
      </w:r>
      <w:r>
        <w:fldChar w:fldCharType="separate"/>
      </w:r>
      <w:r w:rsidR="00A61993" w:rsidRPr="00A61993">
        <w:rPr>
          <w:noProof/>
        </w:rPr>
        <w:t>[133]</w:t>
      </w:r>
      <w:r>
        <w:fldChar w:fldCharType="end"/>
      </w:r>
      <w:r>
        <w:t xml:space="preserve">. При необходимости устанавливаются различные сосудистые стенты. </w:t>
      </w:r>
    </w:p>
    <w:p w14:paraId="3AF794AD" w14:textId="77777777" w:rsidR="009F7A84" w:rsidRDefault="009F7A84" w:rsidP="00A61993">
      <w:pPr>
        <w:ind w:left="708" w:firstLine="709"/>
      </w:pPr>
    </w:p>
    <w:p w14:paraId="470F8DE9" w14:textId="77777777" w:rsidR="009F7A84" w:rsidRDefault="009F7A84" w:rsidP="00A61993">
      <w:pPr>
        <w:ind w:firstLine="709"/>
      </w:pPr>
      <w:r w:rsidRPr="00482DE7">
        <w:t>3) Плазмаферез (ПФ)</w:t>
      </w:r>
      <w:r>
        <w:t xml:space="preserve"> эффективен в комплексной терапии АФС и катастрофического АФС, ТТП и других видах ТМА, гипергомоцистеинемии, повышении активности факторов свертывания крови, при рецидивирующих тромбозах с угрозой развития тяжелых трофических нарушений. Объем, интенсивность, способы замещения ПФ зависят от характеристики заболеваний. </w:t>
      </w:r>
    </w:p>
    <w:p w14:paraId="3AC3EE0D" w14:textId="77777777" w:rsidR="009F7A84" w:rsidRDefault="009F7A84" w:rsidP="00A61993">
      <w:pPr>
        <w:ind w:left="1429" w:firstLine="709"/>
      </w:pPr>
    </w:p>
    <w:p w14:paraId="09902A5D" w14:textId="77777777" w:rsidR="009F7A84" w:rsidRPr="00111FC7" w:rsidRDefault="009F7A84" w:rsidP="00A61993">
      <w:pPr>
        <w:ind w:firstLine="709"/>
        <w:rPr>
          <w:u w:val="single"/>
        </w:rPr>
      </w:pPr>
      <w:r w:rsidRPr="00111FC7">
        <w:rPr>
          <w:u w:val="single"/>
        </w:rPr>
        <w:t xml:space="preserve">Хирургическое лечение.   </w:t>
      </w:r>
    </w:p>
    <w:p w14:paraId="7AB5E9C1" w14:textId="77777777" w:rsidR="009F7A84" w:rsidRPr="00A13E2A" w:rsidRDefault="009F7A84" w:rsidP="00A61993">
      <w:pPr>
        <w:ind w:firstLine="709"/>
        <w:contextualSpacing/>
        <w:rPr>
          <w:b/>
        </w:rPr>
      </w:pPr>
      <w:r w:rsidRPr="00A13E2A">
        <w:t xml:space="preserve">Диагностику и лечение артериальных тромбозов необходимо строго осуществлять совместно с ангиохирургом, часто в условиях специализированного ангиологического хирургического стационара. При ТЭЛА с тяжелыми гемодинамическими расстройствами (АД в легочной артерии более 60-65 мм.рт.ст.) показано хирургическое удаление тромбов из легочной артерии.  </w:t>
      </w:r>
    </w:p>
    <w:p w14:paraId="2FD58541" w14:textId="77777777" w:rsidR="009F7A84" w:rsidRPr="00A13E2A" w:rsidRDefault="009F7A84" w:rsidP="00A61993">
      <w:pPr>
        <w:ind w:firstLine="709"/>
        <w:rPr>
          <w:b/>
        </w:rPr>
      </w:pPr>
      <w:r w:rsidRPr="00A13E2A">
        <w:lastRenderedPageBreak/>
        <w:t>При развитии некротических изменений в результате окклюзирующих тромбозов показано экстренное хирургическое пособие.</w:t>
      </w:r>
    </w:p>
    <w:p w14:paraId="2D65D712" w14:textId="77777777" w:rsidR="009F7A84" w:rsidRPr="00A13E2A" w:rsidRDefault="009F7A84" w:rsidP="00A61993">
      <w:pPr>
        <w:ind w:firstLine="709"/>
        <w:rPr>
          <w:b/>
        </w:rPr>
      </w:pPr>
      <w:r w:rsidRPr="00A13E2A">
        <w:t xml:space="preserve">При флотирующих тромбах возможны применение эндоваскулярной тромбоэкстракции, установка кава-фильтра, хирургическая перевязка сосудов, прошивание нижней полой вены и др. </w:t>
      </w:r>
    </w:p>
    <w:p w14:paraId="36F899D1" w14:textId="77777777" w:rsidR="009F7A84" w:rsidRDefault="009F7A84" w:rsidP="00A61993">
      <w:pPr>
        <w:ind w:firstLine="709"/>
      </w:pPr>
      <w:r>
        <w:t xml:space="preserve">Целью терапии тромбозов является максимально возможное лизирование тромбов и максимальная реканализация сосуда. Длительность терапии тромбоза составляет, как правило, не менее 3-х месяцев. Однако продолжительность лечения тромбозов по показаниям может составлять от 6 до 12 мес. При некоторых тромбофилиях профилактическая антитромботическая терапия может продолжаться пожизненно. </w:t>
      </w:r>
    </w:p>
    <w:p w14:paraId="7A31BD51" w14:textId="77777777" w:rsidR="009F7A84" w:rsidRDefault="009F7A84" w:rsidP="00A61993">
      <w:pPr>
        <w:ind w:firstLine="709"/>
      </w:pPr>
      <w:r>
        <w:t xml:space="preserve">При сохранении таких факторов риска, как иммобилизация, гнойная инфекция, длительная катетеризация центральных сосудов, продолжающаяся ХТ или другие виды специфической терапии, сахарный диабет, сохраняющаяся злокачественная опухоль, генетические тромбофилии (исключая дефицит АТ </w:t>
      </w:r>
      <w:r>
        <w:rPr>
          <w:lang w:val="en-US"/>
        </w:rPr>
        <w:t>III</w:t>
      </w:r>
      <w:r>
        <w:t xml:space="preserve">), целесообразно продлить антикоагулянтную профилактику. В этом случае дополнительным аргументом может служить сохранение тромбинемии (высокая концентрация </w:t>
      </w:r>
      <w:r>
        <w:rPr>
          <w:lang w:val="en-US"/>
        </w:rPr>
        <w:t>D</w:t>
      </w:r>
      <w:r>
        <w:t>-димера), а также признаки замедления кровотока в глубоких венах нижних конечностей или таза при УЗДГ. Завершение противотромботического курса проводится индивидуально с учетом динамики факторов риска и тромбинемии.</w:t>
      </w:r>
    </w:p>
    <w:p w14:paraId="6138B6D2" w14:textId="77777777" w:rsidR="009F7A84" w:rsidRDefault="009F7A84" w:rsidP="009F7A84">
      <w:pPr>
        <w:pStyle w:val="afd"/>
        <w:spacing w:beforeAutospacing="0" w:afterAutospacing="0" w:line="360" w:lineRule="auto"/>
      </w:pPr>
    </w:p>
    <w:p w14:paraId="57CA93CB" w14:textId="77777777" w:rsidR="009F7A84" w:rsidRPr="00670BE6" w:rsidRDefault="009F7A84" w:rsidP="00A61993">
      <w:pPr>
        <w:pStyle w:val="afd"/>
        <w:spacing w:beforeAutospacing="0" w:afterAutospacing="0" w:line="360" w:lineRule="auto"/>
        <w:ind w:firstLine="0"/>
        <w:rPr>
          <w:i/>
          <w:iCs/>
          <w:u w:val="single"/>
        </w:rPr>
      </w:pPr>
      <w:r w:rsidRPr="00A61993">
        <w:rPr>
          <w:i/>
          <w:iCs/>
          <w:u w:val="single"/>
        </w:rPr>
        <w:t xml:space="preserve">Особенности профилактики и лечения ВТЭО </w:t>
      </w:r>
      <w:bookmarkStart w:id="70" w:name="_Toc535849609"/>
      <w:r w:rsidRPr="00A61993">
        <w:rPr>
          <w:i/>
          <w:iCs/>
          <w:u w:val="single"/>
        </w:rPr>
        <w:t>при лимфо</w:t>
      </w:r>
      <w:bookmarkEnd w:id="70"/>
      <w:r w:rsidRPr="00A61993">
        <w:rPr>
          <w:i/>
          <w:iCs/>
          <w:u w:val="single"/>
        </w:rPr>
        <w:t>мах</w:t>
      </w:r>
    </w:p>
    <w:p w14:paraId="1194B61B" w14:textId="7618CD6A" w:rsidR="009F7A84" w:rsidRDefault="009F7A84" w:rsidP="00A61993">
      <w:pPr>
        <w:ind w:firstLine="709"/>
      </w:pPr>
      <w:r>
        <w:t>Частота возникновения ВТЭО при лимфомах колеблется от 1,5 до 59,5% и зависит от варианта лимфомы, стадии заболевания, ее локализации</w:t>
      </w:r>
      <w:r w:rsidRPr="00EF10DB">
        <w:t xml:space="preserve"> </w:t>
      </w:r>
      <w:r>
        <w:fldChar w:fldCharType="begin" w:fldLock="1"/>
      </w:r>
      <w:r w:rsidR="009F4636">
        <w:instrText>ADDIN CSL_CITATION {"citationItems":[{"id":"ITEM-1","itemData":{"DOI":"10.1016/j.thromres.2016.05.008","ISSN":"18792472","PMID":"27208462","abstract":"Introduction Patients with non-Hodgkin lymphoma (NHL) have an increased risk of venous thromboembolism (VTE). Current risk-prediction models classify NHL as a single entity. We aimed to quantify the difference in VTE risk in follicular lymphoma (FL) versus diffuse large B cell lymphoma (DLBCL). Methods Using a prospective cohort study, we identified 2730 patients (2037 DLBCL; 693 FL) within the Veteran's Administration Central Cancer Registry. A competing risk model assessed the association between VTE risk and histology in the first year after NHL diagnosis. We assessed the effect of additional risk factors for VTE in NHL. Results In univariate analysis, DLBCL was associated with increased risk of VTE compared to FL in the first year after diagnosis; this association was no longer significant in adjusted analysis (adjusted hazard ratio (aHR) 1.52; 95% CI 0.97-2.40). Major risk factors for VTE included history of VTE before NHL diagnosis (aHR 4.73, p ≤ 0.0001) and time period during chemotherapy administration (aHR 7.60, p ≤ 0.0001). Additional risk factors included: stage III/IV disease (p = 0.02), BMI ≥ 30 (p = 0.02), B-symptoms (p = 0.02), and doxorubicin (p = 0.04). The cumulative incidence of VTE was highest in the period following diagnosis and decreased over time for both histologies. Conclusion DLBCL is associated with increased risk of VTE compared to FL. This risk is markedly attenuated when adjusting for additional risk factors. The strongest predictors for development of VTE included: time period during chemotherapy administration (especially doxorubicin) and history of VTE. This knowledge can assist clinicians in identifying NHL patients at high risk for VTE.","author":[{"dropping-particle":"","family":"Sanfilippo","given":"K. M.","non-dropping-particle":"","parse-names":false,"suffix":""},{"dropping-particle":"","family":"Wang","given":"T. F.","non-dropping-particle":"","parse-names":false,"suffix":""},{"dropping-particle":"","family":"Gage","given":"B. F.","non-dropping-particle":"","parse-names":false,"suffix":""},{"dropping-particle":"","family":"Luo","given":"S.","non-dropping-particle":"","parse-names":false,"suffix":""},{"dropping-particle":"","family":"Riedell","given":"P.","non-dropping-particle":"","parse-names":false,"suffix":""},{"dropping-particle":"","family":"Carson","given":"K. R.","non-dropping-particle":"","parse-names":false,"suffix":""}],"container-title":"Thrombosis Research","id":"ITEM-1","issued":{"date-parts":[["2016","7","1"]]},"page":"86-90","publisher":"Elsevier Ltd","title":"Incidence of venous thromboembolism in patients with non-Hodgkin lymphoma","type":"article-journal","volume":"143"},"uris":["http://www.mendeley.com/documents/?uuid=7b8bbbe4-fc75-35bc-b4a6-c3fcc6ae90cc"]},{"id":"ITEM-2","itemData":{"DOI":"10.1016/j.thromres.2012.03.019","ISSN":"18792472","PMID":"22507288","abstract":"Introduction: Venous thromboembolism (VTE) may be associated with treatment failure rate and quality of life deterioration in lymphoma patients. However, the majority of data regarding VTE has come from retrospective studies done in Western countries. Materials and methods: We analyzed VTE, including pulmonary embolism and deep vein thrombosis, from Asian patients enrolled a prospective cohort study. All patients were newly diagnosed Hodgkin's lymphoma (HL) and non-Hodgkin's lymphoma (NHL). Results: A total of 686 patients were analyzed, and the median follow-up duration was 21.8 months. There were 54 cases of VTE including deep vein thrombosis alone (33/54, 61.1%) and pulmonary embolism (21/54, 38.9%). The median time to VTE was 1.97 months, and the one-year actuarial incidence was 7.9%. The global incidence of VTE was higher in patients with NHL (51/641, 8.0%) than HL (3/45, 6.7%). All cases of VTE occurred in patients receiving chemotherapy whereas no VTE in patients without chemotherapy. VTE was also independently associated with age older than 60 years and primary central nervous system (CNS) lymphoma. No VTE-related deaths were reported among all cases of VTE. Thus, overall survival was not different between patients with and without VTE. The subgroup analysis of patients with diffuse large B-cell lymphoma showed 8.9% of one-year actuarial incidence, but the occurrence of VTE did not influence its overall survival, either. Conclusions: The incidence of VTE in our study population was comparable to that of Western countries, and VTE was associated with chemotherapy, brain involvement and old age. © 2012 Elsevier Ltd.","author":[{"dropping-particle":"","family":"Park","given":"Lee Chun","non-dropping-particle":"","parse-names":false,"suffix":""},{"dropping-particle":"","family":"Woo","given":"Sook Young","non-dropping-particle":"","parse-names":false,"suffix":""},{"dropping-particle":"","family":"Kim","given":"Seonwoo","non-dropping-particle":"","parse-names":false,"suffix":""},{"dropping-particle":"","family":"Jeon","given":"Hyejin","non-dropping-particle":"","parse-names":false,"suffix":""},{"dropping-particle":"","family":"Ko","given":"Young Hyeh","non-dropping-particle":"","parse-names":false,"suffix":""},{"dropping-particle":"","family":"Kim","given":"Seok Jin","non-dropping-particle":"","parse-names":false,"suffix":""},{"dropping-particle":"","family":"Kim","given":"Won Seog","non-dropping-particle":"","parse-names":false,"suffix":""}],"container-title":"Thrombosis Research","id":"ITEM-2","issue":"3","issued":{"date-parts":[["2012"]]},"page":"e6","publisher":"Elsevier Ltd","title":"Incidence, risk factors and clinical features of venous thromboembolism in newly diagnosed lymphoma patients: Results from a prospective cohort study with Asian population","type":"article-journal","volume":"130"},"uris":["http://www.mendeley.com/documents/?uuid=3cf2b606-ef7e-3c57-a3c7-2a7b45850867"]}],"mendeley":{"formattedCitation":"[138,139]","plainTextFormattedCitation":"[138,139]","previouslyFormattedCitation":"[138,139]"},"properties":{"noteIndex":0},"schema":"https://github.com/citation-style-language/schema/raw/master/csl-citation.json"}</w:instrText>
      </w:r>
      <w:r>
        <w:fldChar w:fldCharType="separate"/>
      </w:r>
      <w:r w:rsidR="00A61993" w:rsidRPr="00A61993">
        <w:rPr>
          <w:noProof/>
        </w:rPr>
        <w:t>[138,139]</w:t>
      </w:r>
      <w:r>
        <w:fldChar w:fldCharType="end"/>
      </w:r>
      <w:r>
        <w:t xml:space="preserve">. Наибольшая частота ВТЭО отмечается у больных лимфомами ЦНС, при которых риск их возникновения увеличивается в 4,19 раз, а также при первичной медиастинальный В-крупноклеточной лимфоме. При лимфомах высокой степени злокачественности риск ВТЭО выше, чем при лимфомах низкой степени злокачественности (8.3% против 6.3%). Развитию ВТЭО способствует сдавление венозных сосудов опухолевой массой, которое встречается у 22% больных лимфомами </w:t>
      </w:r>
      <w:r>
        <w:fldChar w:fldCharType="begin" w:fldLock="1"/>
      </w:r>
      <w:r w:rsidR="009F4636">
        <w:instrText>ADDIN CSL_CITATION {"citationItems":[{"id":"ITEM-1","itemData":{"DOI":"10.1016/j.thromres.2016.05.008","ISSN":"18792472","PMID":"27208462","abstract":"Introduction Patients with non-Hodgkin lymphoma (NHL) have an increased risk of venous thromboembolism (VTE). Current risk-prediction models classify NHL as a single entity. We aimed to quantify the difference in VTE risk in follicular lymphoma (FL) versus diffuse large B cell lymphoma (DLBCL). Methods Using a prospective cohort study, we identified 2730 patients (2037 DLBCL; 693 FL) within the Veteran's Administration Central Cancer Registry. A competing risk model assessed the association between VTE risk and histology in the first year after NHL diagnosis. We assessed the effect of additional risk factors for VTE in NHL. Results In univariate analysis, DLBCL was associated with increased risk of VTE compared to FL in the first year after diagnosis; this association was no longer significant in adjusted analysis (adjusted hazard ratio (aHR) 1.52; 95% CI 0.97-2.40). Major risk factors for VTE included history of VTE before NHL diagnosis (aHR 4.73, p ≤ 0.0001) and time period during chemotherapy administration (aHR 7.60, p ≤ 0.0001). Additional risk factors included: stage III/IV disease (p = 0.02), BMI ≥ 30 (p = 0.02), B-symptoms (p = 0.02), and doxorubicin (p = 0.04). The cumulative incidence of VTE was highest in the period following diagnosis and decreased over time for both histologies. Conclusion DLBCL is associated with increased risk of VTE compared to FL. This risk is markedly attenuated when adjusting for additional risk factors. The strongest predictors for development of VTE included: time period during chemotherapy administration (especially doxorubicin) and history of VTE. This knowledge can assist clinicians in identifying NHL patients at high risk for VTE.","author":[{"dropping-particle":"","family":"Sanfilippo","given":"K. M.","non-dropping-particle":"","parse-names":false,"suffix":""},{"dropping-particle":"","family":"Wang","given":"T. F.","non-dropping-particle":"","parse-names":false,"suffix":""},{"dropping-particle":"","family":"Gage","given":"B. F.","non-dropping-particle":"","parse-names":false,"suffix":""},{"dropping-particle":"","family":"Luo","given":"S.","non-dropping-particle":"","parse-names":false,"suffix":""},{"dropping-particle":"","family":"Riedell","given":"P.","non-dropping-particle":"","parse-names":false,"suffix":""},{"dropping-particle":"","family":"Carson","given":"K. R.","non-dropping-particle":"","parse-names":false,"suffix":""}],"container-title":"Thrombosis Research","id":"ITEM-1","issued":{"date-parts":[["2016","7","1"]]},"page":"86-90","publisher":"Elsevier Ltd","title":"Incidence of venous thromboembolism in patients with non-Hodgkin lymphoma","type":"article-journal","volume":"143"},"uris":["http://www.mendeley.com/documents/?uuid=7b8bbbe4-fc75-35bc-b4a6-c3fcc6ae90cc"]},{"id":"ITEM-2","itemData":{"DOI":"10.1016/j.thromres.2012.03.019","ISSN":"18792472","PMID":"22507288","abstract":"Introduction: Venous thromboembolism (VTE) may be associated with treatment failure rate and quality of life deterioration in lymphoma patients. However, the majority of data regarding VTE has come from retrospective studies done in Western countries. Materials and methods: We analyzed VTE, including pulmonary embolism and deep vein thrombosis, from Asian patients enrolled a prospective cohort study. All patients were newly diagnosed Hodgkin's lymphoma (HL) and non-Hodgkin's lymphoma (NHL). Results: A total of 686 patients were analyzed, and the median follow-up duration was 21.8 months. There were 54 cases of VTE including deep vein thrombosis alone (33/54, 61.1%) and pulmonary embolism (21/54, 38.9%). The median time to VTE was 1.97 months, and the one-year actuarial incidence was 7.9%. The global incidence of VTE was higher in patients with NHL (51/641, 8.0%) than HL (3/45, 6.7%). All cases of VTE occurred in patients receiving chemotherapy whereas no VTE in patients without chemotherapy. VTE was also independently associated with age older than 60 years and primary central nervous system (CNS) lymphoma. No VTE-related deaths were reported among all cases of VTE. Thus, overall survival was not different between patients with and without VTE. The subgroup analysis of patients with diffuse large B-cell lymphoma showed 8.9% of one-year actuarial incidence, but the occurrence of VTE did not influence its overall survival, either. Conclusions: The incidence of VTE in our study population was comparable to that of Western countries, and VTE was associated with chemotherapy, brain involvement and old age. © 2012 Elsevier Ltd.","author":[{"dropping-particle":"","family":"Park","given":"Lee Chun","non-dropping-particle":"","parse-names":false,"suffix":""},{"dropping-particle":"","family":"Woo","given":"Sook Young","non-dropping-particle":"","parse-names":false,"suffix":""},{"dropping-particle":"","family":"Kim","given":"Seonwoo","non-dropping-particle":"","parse-names":false,"suffix":""},{"dropping-particle":"","family":"Jeon","given":"Hyejin","non-dropping-particle":"","parse-names":false,"suffix":""},{"dropping-particle":"","family":"Ko","given":"Young Hyeh","non-dropping-particle":"","parse-names":false,"suffix":""},{"dropping-particle":"","family":"Kim","given":"Seok Jin","non-dropping-particle":"","parse-names":false,"suffix":""},{"dropping-particle":"","family":"Kim","given":"Won Seog","non-dropping-particle":"","parse-names":false,"suffix":""}],"container-title":"Thrombosis Research","id":"ITEM-2","issue":"3","issued":{"date-parts":[["2012"]]},"page":"e6","publisher":"Elsevier Ltd","title":"Incidence, risk factors and clinical features of venous thromboembolism in newly diagnosed lymphoma patients: Results from a prospective cohort study with Asian population","type":"article-journal","volume":"130"},"uris":["http://www.mendeley.com/documents/?uuid=3cf2b606-ef7e-3c57-a3c7-2a7b45850867"]}],"mendeley":{"formattedCitation":"[138,139]","plainTextFormattedCitation":"[138,139]","previouslyFormattedCitation":"[138,139]"},"properties":{"noteIndex":0},"schema":"https://github.com/citation-style-language/schema/raw/master/csl-citation.json"}</w:instrText>
      </w:r>
      <w:r>
        <w:fldChar w:fldCharType="separate"/>
      </w:r>
      <w:r w:rsidR="00A61993" w:rsidRPr="00A61993">
        <w:rPr>
          <w:noProof/>
        </w:rPr>
        <w:t>[138,139]</w:t>
      </w:r>
      <w:r>
        <w:fldChar w:fldCharType="end"/>
      </w:r>
      <w:r>
        <w:t>.</w:t>
      </w:r>
    </w:p>
    <w:p w14:paraId="111AD7BE" w14:textId="77777777" w:rsidR="009F7A84" w:rsidRDefault="009F7A84" w:rsidP="00A61993">
      <w:pPr>
        <w:ind w:firstLine="709"/>
      </w:pPr>
      <w:r>
        <w:t xml:space="preserve">При лимфомах факторами риска ВТЭО являются возраст старше 60 лет, интоксикационный синдром, а также ХТ и лучевая терапия. В частности, после ХТ в течение первых 3 мес. лечения более, чем в 70% случаев, у больных регистрируются ВТЭО.  </w:t>
      </w:r>
    </w:p>
    <w:p w14:paraId="4DD354C3" w14:textId="77777777" w:rsidR="009F7A84" w:rsidRDefault="009F7A84" w:rsidP="00A61993">
      <w:pPr>
        <w:widowControl w:val="0"/>
        <w:ind w:firstLine="709"/>
      </w:pPr>
      <w:r w:rsidRPr="00C86B9A">
        <w:t>Среди больных, которым проведена ауто- или аллоТГСК, ВТЭО выявляется в 4,6%</w:t>
      </w:r>
      <w:r>
        <w:t xml:space="preserve"> случаев. Риск ВТЭО выше у больных с тромбоцитопенией потребления, с предшествующими тромбозами и при наличии реакции «трансплантат против хозяина». </w:t>
      </w:r>
    </w:p>
    <w:p w14:paraId="3F679448" w14:textId="77777777" w:rsidR="009F7A84" w:rsidRDefault="009F7A84" w:rsidP="00A61993">
      <w:pPr>
        <w:ind w:firstLine="709"/>
      </w:pPr>
      <w:r>
        <w:lastRenderedPageBreak/>
        <w:t xml:space="preserve">При решении вопроса о проведения профилактики необходимо учитывать индивидуальный риск развития ВТЭО (табл. 5). </w:t>
      </w:r>
    </w:p>
    <w:p w14:paraId="03B06706" w14:textId="77777777" w:rsidR="009F7A84" w:rsidRDefault="009F7A84" w:rsidP="009F7A84"/>
    <w:p w14:paraId="216D14FE" w14:textId="77777777" w:rsidR="009F7A84" w:rsidRPr="00947086" w:rsidRDefault="009F7A84" w:rsidP="009F7A84">
      <w:r w:rsidRPr="00947086">
        <w:t>Таблица 5. Оценка риска развития ВТЭО у пациентов с лимфомами и множественной миеломой</w:t>
      </w:r>
    </w:p>
    <w:tbl>
      <w:tblPr>
        <w:tblStyle w:val="aff9"/>
        <w:tblW w:w="8080" w:type="dxa"/>
        <w:tblInd w:w="817" w:type="dxa"/>
        <w:tblLook w:val="04A0" w:firstRow="1" w:lastRow="0" w:firstColumn="1" w:lastColumn="0" w:noHBand="0" w:noVBand="1"/>
      </w:tblPr>
      <w:tblGrid>
        <w:gridCol w:w="4536"/>
        <w:gridCol w:w="3544"/>
      </w:tblGrid>
      <w:tr w:rsidR="009F7A84" w14:paraId="2E65DF29" w14:textId="77777777" w:rsidTr="002D3EBF">
        <w:tc>
          <w:tcPr>
            <w:tcW w:w="4536" w:type="dxa"/>
            <w:shd w:val="clear" w:color="auto" w:fill="auto"/>
          </w:tcPr>
          <w:p w14:paraId="70CB1682" w14:textId="77777777" w:rsidR="009F7A84" w:rsidRPr="00947086" w:rsidRDefault="009F7A84" w:rsidP="002D3EBF">
            <w:pPr>
              <w:jc w:val="center"/>
            </w:pPr>
            <w:r w:rsidRPr="00947086">
              <w:t>Факторы риска</w:t>
            </w:r>
          </w:p>
        </w:tc>
        <w:tc>
          <w:tcPr>
            <w:tcW w:w="3544" w:type="dxa"/>
            <w:shd w:val="clear" w:color="auto" w:fill="auto"/>
          </w:tcPr>
          <w:p w14:paraId="3A2B68F2" w14:textId="77777777" w:rsidR="009F7A84" w:rsidRPr="00947086" w:rsidRDefault="009F7A84" w:rsidP="002D3EBF">
            <w:pPr>
              <w:jc w:val="center"/>
            </w:pPr>
            <w:r w:rsidRPr="00947086">
              <w:t>Рекомендуемые действия</w:t>
            </w:r>
          </w:p>
        </w:tc>
      </w:tr>
      <w:tr w:rsidR="009F7A84" w14:paraId="0CD5B1C4" w14:textId="77777777" w:rsidTr="002D3EBF">
        <w:tc>
          <w:tcPr>
            <w:tcW w:w="4536" w:type="dxa"/>
            <w:shd w:val="clear" w:color="auto" w:fill="auto"/>
          </w:tcPr>
          <w:p w14:paraId="152EFA2B" w14:textId="77777777" w:rsidR="009F7A84" w:rsidRDefault="009F7A84" w:rsidP="002D3EBF">
            <w:r>
              <w:t>Индивидуальные для пациента:</w:t>
            </w:r>
          </w:p>
          <w:p w14:paraId="46400808" w14:textId="77777777" w:rsidR="009F7A84" w:rsidRDefault="009F7A84" w:rsidP="009F7A84">
            <w:pPr>
              <w:pStyle w:val="afe"/>
              <w:numPr>
                <w:ilvl w:val="0"/>
                <w:numId w:val="65"/>
              </w:numPr>
              <w:jc w:val="left"/>
              <w:rPr>
                <w:szCs w:val="24"/>
              </w:rPr>
            </w:pPr>
            <w:r>
              <w:rPr>
                <w:szCs w:val="24"/>
              </w:rPr>
              <w:t>ожирение (ИМТ ≥ 30 кг/м</w:t>
            </w:r>
            <w:r>
              <w:rPr>
                <w:szCs w:val="24"/>
                <w:vertAlign w:val="superscript"/>
              </w:rPr>
              <w:t>2</w:t>
            </w:r>
            <w:r>
              <w:rPr>
                <w:szCs w:val="24"/>
              </w:rPr>
              <w:t>)</w:t>
            </w:r>
          </w:p>
          <w:p w14:paraId="2180EE87" w14:textId="77777777" w:rsidR="009F7A84" w:rsidRDefault="009F7A84" w:rsidP="009F7A84">
            <w:pPr>
              <w:pStyle w:val="afe"/>
              <w:numPr>
                <w:ilvl w:val="0"/>
                <w:numId w:val="65"/>
              </w:numPr>
              <w:jc w:val="left"/>
              <w:rPr>
                <w:szCs w:val="24"/>
              </w:rPr>
            </w:pPr>
            <w:r>
              <w:rPr>
                <w:szCs w:val="24"/>
              </w:rPr>
              <w:t>ВТЭО в анамнезе</w:t>
            </w:r>
          </w:p>
          <w:p w14:paraId="6A4B7FCA" w14:textId="77777777" w:rsidR="009F7A84" w:rsidRDefault="009F7A84" w:rsidP="009F7A84">
            <w:pPr>
              <w:pStyle w:val="afe"/>
              <w:numPr>
                <w:ilvl w:val="0"/>
                <w:numId w:val="65"/>
              </w:numPr>
              <w:jc w:val="left"/>
              <w:rPr>
                <w:szCs w:val="24"/>
              </w:rPr>
            </w:pPr>
            <w:r>
              <w:rPr>
                <w:szCs w:val="24"/>
              </w:rPr>
              <w:t>ЦВК или водители ритма</w:t>
            </w:r>
          </w:p>
          <w:p w14:paraId="6D7264E9" w14:textId="77777777" w:rsidR="009F7A84" w:rsidRDefault="009F7A84" w:rsidP="009F7A84">
            <w:pPr>
              <w:pStyle w:val="afe"/>
              <w:numPr>
                <w:ilvl w:val="0"/>
                <w:numId w:val="65"/>
              </w:numPr>
              <w:jc w:val="left"/>
              <w:rPr>
                <w:szCs w:val="24"/>
              </w:rPr>
            </w:pPr>
            <w:r>
              <w:rPr>
                <w:szCs w:val="24"/>
              </w:rPr>
              <w:t>сопутствующие заболевания (ИБС, ХБП, сахарный диабет, инфекции, иммобилизация)</w:t>
            </w:r>
          </w:p>
          <w:p w14:paraId="58963A80" w14:textId="77777777" w:rsidR="009F7A84" w:rsidRDefault="009F7A84" w:rsidP="009F7A84">
            <w:pPr>
              <w:pStyle w:val="afe"/>
              <w:numPr>
                <w:ilvl w:val="0"/>
                <w:numId w:val="65"/>
              </w:numPr>
              <w:jc w:val="left"/>
              <w:rPr>
                <w:szCs w:val="24"/>
              </w:rPr>
            </w:pPr>
            <w:r>
              <w:rPr>
                <w:szCs w:val="24"/>
              </w:rPr>
              <w:t>хирургия, анестезия, травмы</w:t>
            </w:r>
          </w:p>
          <w:p w14:paraId="164F2415" w14:textId="77777777" w:rsidR="009F7A84" w:rsidRDefault="009F7A84" w:rsidP="009F7A84">
            <w:pPr>
              <w:pStyle w:val="afe"/>
              <w:numPr>
                <w:ilvl w:val="0"/>
                <w:numId w:val="65"/>
              </w:numPr>
              <w:jc w:val="left"/>
              <w:rPr>
                <w:szCs w:val="24"/>
              </w:rPr>
            </w:pPr>
            <w:r>
              <w:rPr>
                <w:szCs w:val="24"/>
              </w:rPr>
              <w:t>применение эритропоэтина</w:t>
            </w:r>
          </w:p>
          <w:p w14:paraId="7527FC76" w14:textId="77777777" w:rsidR="009F7A84" w:rsidRDefault="009F7A84" w:rsidP="009F7A84">
            <w:pPr>
              <w:pStyle w:val="afe"/>
              <w:numPr>
                <w:ilvl w:val="0"/>
                <w:numId w:val="65"/>
              </w:numPr>
              <w:jc w:val="left"/>
              <w:rPr>
                <w:b/>
                <w:szCs w:val="24"/>
              </w:rPr>
            </w:pPr>
            <w:r>
              <w:rPr>
                <w:szCs w:val="24"/>
              </w:rPr>
              <w:t>тромбофилии</w:t>
            </w:r>
          </w:p>
        </w:tc>
        <w:tc>
          <w:tcPr>
            <w:tcW w:w="3544" w:type="dxa"/>
            <w:vMerge w:val="restart"/>
            <w:shd w:val="clear" w:color="auto" w:fill="auto"/>
            <w:vAlign w:val="center"/>
          </w:tcPr>
          <w:p w14:paraId="1A0D3BF9" w14:textId="77777777" w:rsidR="009F7A84" w:rsidRPr="00947086" w:rsidRDefault="009F7A84" w:rsidP="002D3EBF">
            <w:pPr>
              <w:pStyle w:val="afe"/>
              <w:ind w:firstLine="0"/>
              <w:rPr>
                <w:szCs w:val="24"/>
                <w:u w:val="single"/>
              </w:rPr>
            </w:pPr>
            <w:r w:rsidRPr="00947086">
              <w:rPr>
                <w:szCs w:val="24"/>
                <w:u w:val="single"/>
              </w:rPr>
              <w:t>0– 1 факторов риска:</w:t>
            </w:r>
          </w:p>
          <w:p w14:paraId="08C271BD" w14:textId="77777777" w:rsidR="009F7A84" w:rsidRDefault="009F7A84" w:rsidP="002D3EBF">
            <w:pPr>
              <w:jc w:val="center"/>
            </w:pPr>
            <w:r>
              <w:t>- ацетилсалициловая кислота 75-325 мг/сут</w:t>
            </w:r>
          </w:p>
          <w:p w14:paraId="26920E91" w14:textId="77777777" w:rsidR="009F7A84" w:rsidRDefault="009F7A84" w:rsidP="002D3EBF">
            <w:pPr>
              <w:pStyle w:val="afe"/>
              <w:ind w:left="375" w:firstLine="0"/>
              <w:jc w:val="center"/>
              <w:rPr>
                <w:szCs w:val="24"/>
              </w:rPr>
            </w:pPr>
          </w:p>
          <w:p w14:paraId="4C459F46" w14:textId="77777777" w:rsidR="009F7A84" w:rsidRPr="00947086" w:rsidRDefault="009F7A84" w:rsidP="002D3EBF">
            <w:pPr>
              <w:jc w:val="center"/>
              <w:rPr>
                <w:u w:val="single"/>
              </w:rPr>
            </w:pPr>
            <w:r w:rsidRPr="00947086">
              <w:rPr>
                <w:u w:val="single"/>
              </w:rPr>
              <w:t>≥ 2 фактора риска:</w:t>
            </w:r>
          </w:p>
          <w:p w14:paraId="25FC2F07" w14:textId="77777777" w:rsidR="009F7A84" w:rsidRDefault="009F7A84" w:rsidP="002D3EBF">
            <w:r>
              <w:t>- НМГ (эквивалентно 40 мг/сут эноксапарина натрия) или</w:t>
            </w:r>
          </w:p>
          <w:p w14:paraId="56A4D6EA" w14:textId="77777777" w:rsidR="009F7A84" w:rsidRDefault="009F7A84" w:rsidP="002D3EBF">
            <w:pPr>
              <w:rPr>
                <w:b/>
              </w:rPr>
            </w:pPr>
            <w:r>
              <w:rPr>
                <w:b/>
              </w:rPr>
              <w:t xml:space="preserve">- </w:t>
            </w:r>
            <w:r w:rsidRPr="00AD6DDA">
              <w:t>Прямые оральные антикоагулянты</w:t>
            </w:r>
          </w:p>
        </w:tc>
      </w:tr>
      <w:tr w:rsidR="009F7A84" w14:paraId="1480DED7" w14:textId="77777777" w:rsidTr="002D3EBF">
        <w:tc>
          <w:tcPr>
            <w:tcW w:w="4536" w:type="dxa"/>
            <w:shd w:val="clear" w:color="auto" w:fill="auto"/>
          </w:tcPr>
          <w:p w14:paraId="7D116F1C" w14:textId="77777777" w:rsidR="009F7A84" w:rsidRDefault="009F7A84" w:rsidP="002D3EBF">
            <w:r>
              <w:t>У пациентов с ММ:</w:t>
            </w:r>
          </w:p>
          <w:p w14:paraId="20E08D3E" w14:textId="77777777" w:rsidR="009F7A84" w:rsidRDefault="009F7A84" w:rsidP="009F7A84">
            <w:pPr>
              <w:pStyle w:val="afe"/>
              <w:numPr>
                <w:ilvl w:val="0"/>
                <w:numId w:val="66"/>
              </w:numPr>
              <w:jc w:val="left"/>
              <w:rPr>
                <w:szCs w:val="24"/>
              </w:rPr>
            </w:pPr>
            <w:r>
              <w:rPr>
                <w:szCs w:val="24"/>
              </w:rPr>
              <w:t>гипервискозный синдром</w:t>
            </w:r>
          </w:p>
          <w:p w14:paraId="619757F7" w14:textId="77777777" w:rsidR="009F7A84" w:rsidRDefault="009F7A84" w:rsidP="009F7A84">
            <w:pPr>
              <w:pStyle w:val="afe"/>
              <w:numPr>
                <w:ilvl w:val="0"/>
                <w:numId w:val="66"/>
              </w:numPr>
              <w:jc w:val="left"/>
              <w:rPr>
                <w:szCs w:val="24"/>
              </w:rPr>
            </w:pPr>
            <w:r>
              <w:rPr>
                <w:szCs w:val="24"/>
              </w:rPr>
              <w:t>применение ингибиторов ангиогенеза в комбинации с</w:t>
            </w:r>
          </w:p>
          <w:p w14:paraId="061693C6" w14:textId="77777777" w:rsidR="009F7A84" w:rsidRDefault="009F7A84" w:rsidP="002D3EBF">
            <w:r>
              <w:t>- высокими дозами дексаметазона (≥ 480 мг/мес);</w:t>
            </w:r>
          </w:p>
          <w:p w14:paraId="2B2FBBC4" w14:textId="77777777" w:rsidR="009F7A84" w:rsidRDefault="009F7A84" w:rsidP="002D3EBF">
            <w:r>
              <w:t>- доксорубицином;</w:t>
            </w:r>
          </w:p>
          <w:p w14:paraId="614327D1" w14:textId="77777777" w:rsidR="009F7A84" w:rsidRDefault="009F7A84" w:rsidP="002D3EBF">
            <w:pPr>
              <w:rPr>
                <w:b/>
              </w:rPr>
            </w:pPr>
            <w:r>
              <w:t>- в схемах ПХТ</w:t>
            </w:r>
          </w:p>
        </w:tc>
        <w:tc>
          <w:tcPr>
            <w:tcW w:w="3544" w:type="dxa"/>
            <w:vMerge/>
            <w:shd w:val="clear" w:color="auto" w:fill="auto"/>
          </w:tcPr>
          <w:p w14:paraId="685B600E" w14:textId="77777777" w:rsidR="009F7A84" w:rsidRDefault="009F7A84" w:rsidP="002D3EBF">
            <w:pPr>
              <w:jc w:val="center"/>
              <w:rPr>
                <w:b/>
              </w:rPr>
            </w:pPr>
          </w:p>
        </w:tc>
      </w:tr>
    </w:tbl>
    <w:p w14:paraId="2EF1AB35" w14:textId="77777777" w:rsidR="009F7A84" w:rsidRDefault="009F7A84" w:rsidP="009F7A84"/>
    <w:p w14:paraId="0841E693" w14:textId="77777777" w:rsidR="009F7A84" w:rsidRDefault="009F7A84" w:rsidP="009F7A84">
      <w:pPr>
        <w:ind w:firstLine="708"/>
      </w:pPr>
      <w:r>
        <w:t xml:space="preserve">Определение продолжительности антитромботической профилактики должно проводиться на основании оценки сохранения/прекращения действия факторов риска развития тромбоза. К таким факторам, в первую очередь, относятся активность основного заболевания, химио- и лучевая терапия, ограничение подвижности пациента, наличие у него воспалительной активности инфекционного или неинфекционного генеза, дыхательной или сердечной недостаточности. В случае неполного устранения провоцирующих тромбоз факторов и сохранения высокого риска развития ВТЭО необходимо продолжение антитромботической профилактики. На начальной стадии антитромботической профилактики у пациентов с 0-1 фактором риска ВТЭО может применяться ацетилсалициловая кислота; у пациентов с ≥ 2 факторами риска препаратами </w:t>
      </w:r>
      <w:r>
        <w:lastRenderedPageBreak/>
        <w:t xml:space="preserve">выбора являются НМГ или ПОАК. Нет однозначных преимуществ тех или иных НМГ или ПОАК. </w:t>
      </w:r>
    </w:p>
    <w:p w14:paraId="63375278" w14:textId="4C8276D2" w:rsidR="009F7A84" w:rsidRDefault="009F7A84" w:rsidP="009F7A84">
      <w:pPr>
        <w:spacing w:line="240" w:lineRule="auto"/>
        <w:jc w:val="left"/>
        <w:rPr>
          <w:color w:val="FF0000"/>
          <w:lang w:bidi="ru-RU"/>
        </w:rPr>
      </w:pPr>
    </w:p>
    <w:p w14:paraId="081DB840" w14:textId="4FD62F9A" w:rsidR="00C7174F" w:rsidRPr="00C731E3" w:rsidRDefault="00A61993" w:rsidP="004307E2">
      <w:pPr>
        <w:pStyle w:val="2"/>
        <w:spacing w:before="0"/>
      </w:pPr>
      <w:bookmarkStart w:id="71" w:name="_Toc66096844"/>
      <w:r w:rsidRPr="000322E4">
        <w:t>7.</w:t>
      </w:r>
      <w:r>
        <w:t xml:space="preserve">10 </w:t>
      </w:r>
      <w:bookmarkStart w:id="72" w:name="_Toc64295958"/>
      <w:bookmarkStart w:id="73" w:name="_Toc64477688"/>
      <w:r w:rsidR="00C7174F" w:rsidRPr="00C731E3">
        <w:t>Профилактика, диагностика и лечение геморрагических осложнений</w:t>
      </w:r>
      <w:bookmarkEnd w:id="71"/>
      <w:bookmarkEnd w:id="72"/>
      <w:bookmarkEnd w:id="73"/>
    </w:p>
    <w:p w14:paraId="773232AF" w14:textId="22D4E619" w:rsidR="00C7174F" w:rsidRDefault="00C7174F" w:rsidP="004307E2">
      <w:pPr>
        <w:ind w:firstLine="709"/>
      </w:pPr>
      <w:r w:rsidRPr="00C731E3">
        <w:t xml:space="preserve">Геморрагические </w:t>
      </w:r>
      <w:r>
        <w:t>проявления</w:t>
      </w:r>
      <w:r w:rsidRPr="00C731E3">
        <w:t xml:space="preserve"> </w:t>
      </w:r>
      <w:r>
        <w:t xml:space="preserve">у гематологических пациентов отличаются многообразием и могут быть </w:t>
      </w:r>
      <w:r w:rsidRPr="00B81EE6">
        <w:t xml:space="preserve">обусловлены как самим заболеванием, так и его осложнениями, </w:t>
      </w:r>
      <w:r>
        <w:t>в том числе вследствие</w:t>
      </w:r>
      <w:r w:rsidRPr="00B81EE6">
        <w:t xml:space="preserve"> проведения </w:t>
      </w:r>
      <w:r>
        <w:t xml:space="preserve">специфической терапии, а также появиться в результате проводимой антитромботической терапии. </w:t>
      </w:r>
      <w:r w:rsidRPr="00C731E3">
        <w:t xml:space="preserve">Геморрагические </w:t>
      </w:r>
      <w:r>
        <w:t xml:space="preserve">проявления могут встречаться на любом этапе диагностики и лечения гематологического заболевания. </w:t>
      </w:r>
      <w:r w:rsidRPr="0096696C">
        <w:t xml:space="preserve">Для предотвращения </w:t>
      </w:r>
      <w:r>
        <w:t>геморрагических нарушений</w:t>
      </w:r>
      <w:r w:rsidRPr="0096696C">
        <w:t xml:space="preserve"> требуется </w:t>
      </w:r>
      <w:r>
        <w:t xml:space="preserve">динамический лабораторный контроль </w:t>
      </w:r>
      <w:r w:rsidRPr="0096696C">
        <w:t xml:space="preserve">за показателями </w:t>
      </w:r>
      <w:r>
        <w:t xml:space="preserve">периферической </w:t>
      </w:r>
      <w:r w:rsidRPr="0096696C">
        <w:t>крови и коагулограммы</w:t>
      </w:r>
      <w:r>
        <w:t xml:space="preserve"> </w:t>
      </w:r>
      <w:r>
        <w:fldChar w:fldCharType="begin" w:fldLock="1"/>
      </w:r>
      <w:r w:rsidR="009D5799">
        <w:instrText>ADDIN CSL_CITATION {"citationItems":[{"id":"ITEM-1","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-1","issued":{"date-parts":[["2010"]]},"number-of-pages":"192","title":"Практическая коагулология","type":"book"},"uris":["http://www.mendeley.com/documents/?uuid=36d7b04e-d654-47d2-a073-3cc2bb6e80ce"]}],"mendeley":{"formattedCitation":"[134]","plainTextFormattedCitation":"[134]","previouslyFormattedCitation":"[134]"},"properties":{"noteIndex":0},"schema":"https://github.com/citation-style-language/schema/raw/master/csl-citation.json"}</w:instrText>
      </w:r>
      <w:r>
        <w:fldChar w:fldCharType="separate"/>
      </w:r>
      <w:r w:rsidR="009F4636" w:rsidRPr="009F4636">
        <w:rPr>
          <w:noProof/>
        </w:rPr>
        <w:t>[134]</w:t>
      </w:r>
      <w:r>
        <w:fldChar w:fldCharType="end"/>
      </w:r>
      <w:r w:rsidRPr="0096696C">
        <w:t>.</w:t>
      </w:r>
      <w:r w:rsidRPr="00D61164">
        <w:t xml:space="preserve"> </w:t>
      </w:r>
      <w:r w:rsidRPr="00C731E3">
        <w:t xml:space="preserve">Если появляются ранние признаки геморрагического синдрома или лабораторные </w:t>
      </w:r>
      <w:r>
        <w:t>параметры</w:t>
      </w:r>
      <w:r w:rsidRPr="00C731E3">
        <w:t xml:space="preserve"> указывают на выраженную гипокоагуляцию, </w:t>
      </w:r>
      <w:r>
        <w:t>необходимо решить вопрос о прекращении антикоагулянтной терапии в случае ее проведения или снижении доз препаратов.</w:t>
      </w:r>
    </w:p>
    <w:p w14:paraId="5BCF4FB2" w14:textId="77777777" w:rsidR="00C7174F" w:rsidRDefault="00C7174F" w:rsidP="00C7174F"/>
    <w:p w14:paraId="3B313DB3" w14:textId="77777777" w:rsidR="00C7174F" w:rsidRPr="00777FF8" w:rsidRDefault="00C7174F" w:rsidP="00587F4A">
      <w:pPr>
        <w:pStyle w:val="afd"/>
        <w:spacing w:beforeAutospacing="0" w:afterAutospacing="0" w:line="360" w:lineRule="auto"/>
        <w:ind w:firstLine="0"/>
        <w:rPr>
          <w:i/>
          <w:iCs/>
          <w:u w:val="single"/>
        </w:rPr>
      </w:pPr>
      <w:r w:rsidRPr="00777FF8">
        <w:rPr>
          <w:i/>
          <w:iCs/>
          <w:u w:val="single"/>
        </w:rPr>
        <w:t>Клинические проявления.</w:t>
      </w:r>
    </w:p>
    <w:p w14:paraId="6B18D44A" w14:textId="77777777" w:rsidR="00C7174F" w:rsidRDefault="00C7174F" w:rsidP="00C7174F">
      <w:pPr>
        <w:pStyle w:val="afe"/>
        <w:ind w:left="0"/>
        <w:rPr>
          <w:rFonts w:eastAsia="Times New Roman"/>
          <w:szCs w:val="24"/>
          <w:lang w:eastAsia="ru-RU"/>
        </w:rPr>
      </w:pPr>
      <w:r>
        <w:rPr>
          <w:rFonts w:eastAsia="Times New Roman"/>
          <w:szCs w:val="24"/>
          <w:lang w:eastAsia="ru-RU"/>
        </w:rPr>
        <w:t>Геморрагический синдром</w:t>
      </w:r>
      <w:r w:rsidRPr="0096696C">
        <w:rPr>
          <w:rFonts w:eastAsia="Times New Roman"/>
          <w:szCs w:val="24"/>
          <w:lang w:eastAsia="ru-RU"/>
        </w:rPr>
        <w:t xml:space="preserve"> </w:t>
      </w:r>
      <w:r>
        <w:rPr>
          <w:rFonts w:eastAsia="Times New Roman"/>
          <w:szCs w:val="24"/>
          <w:lang w:eastAsia="ru-RU"/>
        </w:rPr>
        <w:t xml:space="preserve">может </w:t>
      </w:r>
      <w:r w:rsidRPr="0096696C">
        <w:rPr>
          <w:rFonts w:eastAsia="Times New Roman"/>
          <w:szCs w:val="24"/>
          <w:lang w:eastAsia="ru-RU"/>
        </w:rPr>
        <w:t>проявля</w:t>
      </w:r>
      <w:r>
        <w:rPr>
          <w:rFonts w:eastAsia="Times New Roman"/>
          <w:szCs w:val="24"/>
          <w:lang w:eastAsia="ru-RU"/>
        </w:rPr>
        <w:t>ть</w:t>
      </w:r>
      <w:r w:rsidRPr="0096696C">
        <w:rPr>
          <w:rFonts w:eastAsia="Times New Roman"/>
          <w:szCs w:val="24"/>
          <w:lang w:eastAsia="ru-RU"/>
        </w:rPr>
        <w:t>ся в виде экхимозов и петехиальных высыпаний; носовых, десневых,</w:t>
      </w:r>
      <w:r>
        <w:rPr>
          <w:rFonts w:eastAsia="Times New Roman"/>
          <w:szCs w:val="24"/>
          <w:lang w:eastAsia="ru-RU"/>
        </w:rPr>
        <w:t xml:space="preserve"> луночковых,</w:t>
      </w:r>
      <w:r w:rsidRPr="0096696C">
        <w:rPr>
          <w:rFonts w:eastAsia="Times New Roman"/>
          <w:szCs w:val="24"/>
          <w:lang w:eastAsia="ru-RU"/>
        </w:rPr>
        <w:t xml:space="preserve"> геморроидальных, маточных и желудочно-кишечных кровотечений</w:t>
      </w:r>
      <w:r>
        <w:rPr>
          <w:rFonts w:eastAsia="Times New Roman"/>
          <w:szCs w:val="24"/>
          <w:lang w:eastAsia="ru-RU"/>
        </w:rPr>
        <w:t xml:space="preserve"> (ЖКК)</w:t>
      </w:r>
      <w:r w:rsidRPr="0096696C">
        <w:rPr>
          <w:rFonts w:eastAsia="Times New Roman"/>
          <w:szCs w:val="24"/>
          <w:lang w:eastAsia="ru-RU"/>
        </w:rPr>
        <w:t xml:space="preserve">; </w:t>
      </w:r>
      <w:r>
        <w:rPr>
          <w:rFonts w:eastAsia="Times New Roman"/>
          <w:szCs w:val="24"/>
          <w:lang w:eastAsia="ru-RU"/>
        </w:rPr>
        <w:t xml:space="preserve">гематурии или </w:t>
      </w:r>
      <w:r w:rsidRPr="0096696C">
        <w:rPr>
          <w:rFonts w:eastAsia="Times New Roman"/>
          <w:szCs w:val="24"/>
          <w:lang w:eastAsia="ru-RU"/>
        </w:rPr>
        <w:t xml:space="preserve">геморрагического цистита; </w:t>
      </w:r>
      <w:r>
        <w:rPr>
          <w:rFonts w:eastAsia="Times New Roman"/>
          <w:szCs w:val="24"/>
          <w:lang w:eastAsia="ru-RU"/>
        </w:rPr>
        <w:t xml:space="preserve">кровоизлияний в орбиту; </w:t>
      </w:r>
      <w:r w:rsidRPr="0096696C">
        <w:rPr>
          <w:rFonts w:eastAsia="Times New Roman"/>
          <w:szCs w:val="24"/>
          <w:lang w:eastAsia="ru-RU"/>
        </w:rPr>
        <w:t xml:space="preserve">внутримозговых гематом и </w:t>
      </w:r>
      <w:r>
        <w:rPr>
          <w:rFonts w:eastAsia="Times New Roman"/>
          <w:szCs w:val="24"/>
          <w:lang w:eastAsia="ru-RU"/>
        </w:rPr>
        <w:t>кровоизлияний в центральную нервную систему (ЦНС), забрюшинных гематом, гемартрозов, гематом мягких тканей и межмышечных гематом</w:t>
      </w:r>
      <w:r w:rsidRPr="0096696C">
        <w:rPr>
          <w:rFonts w:eastAsia="Times New Roman"/>
          <w:szCs w:val="24"/>
          <w:lang w:eastAsia="ru-RU"/>
        </w:rPr>
        <w:t xml:space="preserve">. </w:t>
      </w:r>
      <w:r>
        <w:rPr>
          <w:rFonts w:eastAsia="Times New Roman"/>
          <w:szCs w:val="24"/>
          <w:lang w:eastAsia="ru-RU"/>
        </w:rPr>
        <w:t xml:space="preserve">Геморрагический синдром может быть спонтанным или посттравматическим/провокационным (после травм, инвазивных вмешательств и др.). </w:t>
      </w:r>
      <w:r w:rsidRPr="0096696C">
        <w:rPr>
          <w:rFonts w:eastAsia="Times New Roman"/>
          <w:szCs w:val="24"/>
          <w:lang w:eastAsia="ru-RU"/>
        </w:rPr>
        <w:t xml:space="preserve">С целью ранней диагностики геморрагических осложнений необходимо ежедневно осматривать кожные покровы и слизистые больного, </w:t>
      </w:r>
      <w:r>
        <w:rPr>
          <w:rFonts w:eastAsia="Times New Roman"/>
          <w:szCs w:val="24"/>
          <w:lang w:eastAsia="ru-RU"/>
        </w:rPr>
        <w:t>активно выяснять, имею</w:t>
      </w:r>
      <w:r w:rsidRPr="0096696C">
        <w:rPr>
          <w:rFonts w:eastAsia="Times New Roman"/>
          <w:szCs w:val="24"/>
          <w:lang w:eastAsia="ru-RU"/>
        </w:rPr>
        <w:t>тся ли какие-либо проявления геморрагического синдрома.</w:t>
      </w:r>
      <w:r>
        <w:rPr>
          <w:rFonts w:eastAsia="Times New Roman"/>
          <w:szCs w:val="24"/>
          <w:lang w:eastAsia="ru-RU"/>
        </w:rPr>
        <w:t xml:space="preserve"> Также необходим тщательный сбор анамнеза с уточнением наличия геморрагических проявлений до заболевания лимфомой у самого пациента, а также у его родственников первой линии, с детства, для исключения сочетания лимфомы с наследственными коагулопатиями и тромбоцитопатиями.</w:t>
      </w:r>
    </w:p>
    <w:p w14:paraId="32951A0A" w14:textId="77777777" w:rsidR="00C7174F" w:rsidRDefault="00C7174F" w:rsidP="00C7174F">
      <w:pPr>
        <w:pStyle w:val="afe"/>
        <w:ind w:left="0"/>
        <w:rPr>
          <w:rFonts w:eastAsia="Times New Roman"/>
          <w:szCs w:val="24"/>
          <w:lang w:eastAsia="ru-RU"/>
        </w:rPr>
      </w:pPr>
    </w:p>
    <w:p w14:paraId="1D14AE8D" w14:textId="77777777" w:rsidR="00C7174F" w:rsidRPr="00777FF8" w:rsidRDefault="00C7174F" w:rsidP="00587F4A">
      <w:pPr>
        <w:pStyle w:val="afd"/>
        <w:spacing w:beforeAutospacing="0" w:afterAutospacing="0" w:line="360" w:lineRule="auto"/>
        <w:ind w:firstLine="0"/>
        <w:rPr>
          <w:i/>
          <w:iCs/>
          <w:u w:val="single"/>
        </w:rPr>
      </w:pPr>
      <w:r w:rsidRPr="00777FF8">
        <w:rPr>
          <w:i/>
          <w:iCs/>
          <w:u w:val="single"/>
        </w:rPr>
        <w:t>Лабораторная диагностика.</w:t>
      </w:r>
    </w:p>
    <w:p w14:paraId="3D79248D" w14:textId="77777777" w:rsidR="00C7174F" w:rsidRDefault="00C7174F" w:rsidP="00587F4A">
      <w:pPr>
        <w:ind w:firstLine="709"/>
      </w:pPr>
      <w:r>
        <w:t>Для определения конкретного нарушения, вследствие которого появились геморрагические проявления</w:t>
      </w:r>
      <w:r w:rsidRPr="006E084C">
        <w:t>,</w:t>
      </w:r>
      <w:r>
        <w:t xml:space="preserve"> помимо тщательного сбора анамнеза и жалоб, а также оценки </w:t>
      </w:r>
      <w:r>
        <w:lastRenderedPageBreak/>
        <w:t>проводимой специфической терапии, в том числе химиотерапии (ХТ</w:t>
      </w:r>
      <w:r w:rsidRPr="006E084C">
        <w:t>),</w:t>
      </w:r>
      <w:r>
        <w:t xml:space="preserve">  </w:t>
      </w:r>
      <w:r w:rsidRPr="004308D7">
        <w:t>обязательно проведение поэтапного лабораторного исследования.</w:t>
      </w:r>
      <w:r>
        <w:t xml:space="preserve"> </w:t>
      </w:r>
    </w:p>
    <w:p w14:paraId="6B7BFA14" w14:textId="4376C805" w:rsidR="00C7174F" w:rsidRPr="009F1473" w:rsidRDefault="00C7174F" w:rsidP="00587F4A">
      <w:pPr>
        <w:ind w:firstLine="709"/>
      </w:pPr>
      <w:r w:rsidRPr="009F1473">
        <w:t>Необходимо проведение следующих исследований</w:t>
      </w:r>
      <w:r>
        <w:t xml:space="preserve"> </w:t>
      </w:r>
      <w:r>
        <w:fldChar w:fldCharType="begin" w:fldLock="1"/>
      </w:r>
      <w:r w:rsidR="009D5799">
        <w:instrText>ADDIN CSL_CITATION {"citationItems":[{"id":"ITEM-1","itemData":{"DOI":"10.1111/ijlh.12822","ISSN":"1751553X","PMID":"29741250","abstract":"Introduction: Laboratory investigations for bleeding disorders are warranted when an individual has a personal and/or family history of bleeding, and/or laboratory findings that suggest the possibility of an inherited or acquired bleeding disorder. Methods: This review summarizes author's experience with ordering and reporting on diagnostic investigations for common and rare bleeding disorders, with consideration of recent articles on diagnosing bleeding disorders. An updated strategy is presented for investigating common and rare, congenital and acquired bleeding disorders. Results: An investigation of a suspected bleeding disorder requires a practical strategy that considers the clinical problem to be investigated, the pretest probability of true-positive and false-positive findings, the investigations can be performed locally or in a reference laboratory and limit the number of blood samples required to establish a diagnosis. It is often advantageous to simultaneously test for von Willebrand disease and platelet function disorders, and for coagulation defects, including fibrinogen disorders. An investigation for rarer bleeding disorders, including those affecting factor XIII, α2 antiplasmin, and plasminogen activator inhibitor-1, is appropriate when faced with a severe congenital or acquired bleeding problem that cannot be explained by the initial diagnostic investigations. Conclusion: An organized strategy for investigating bleeding disorders that consider important issues, confirms abnormal findings, encourages proper interpretation of the results, and provides a helpful framework for assessing both common and rare causes of bleeding.","author":[{"dropping-particle":"","family":"Hayward","given":"C. P.M.","non-dropping-particle":"","parse-names":false,"suffix":""}],"container-title":"International Journal of Laboratory Hematology","id":"ITEM-1","issued":{"date-parts":[["2018","5","1"]]},"page":"6-14","publisher":"Blackwell Publishing Ltd","title":"How I investigate for bleeding disorders","type":"article","volume":"40"},"uris":["http://www.mendeley.com/documents/?uuid=8c375aab-6218-4ed1-9ecf-6629bbffa285"]},{"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[134,140]","plainTextFormattedCitation":"[134,140]","previouslyFormattedCitation":"[134,140]"},"properties":{"noteIndex":0},"schema":"https://github.com/citation-style-language/schema/raw/master/csl-citation.json"}</w:instrText>
      </w:r>
      <w:r>
        <w:fldChar w:fldCharType="separate"/>
      </w:r>
      <w:r w:rsidR="009F4636" w:rsidRPr="009F4636">
        <w:rPr>
          <w:noProof/>
        </w:rPr>
        <w:t>[134,140]</w:t>
      </w:r>
      <w:r>
        <w:fldChar w:fldCharType="end"/>
      </w:r>
      <w:r w:rsidRPr="009F1473">
        <w:t xml:space="preserve">: </w:t>
      </w:r>
    </w:p>
    <w:p w14:paraId="0E35CEB3" w14:textId="77777777" w:rsidR="00C7174F" w:rsidRPr="00777FF8" w:rsidRDefault="00C7174F" w:rsidP="00C7174F">
      <w:pPr>
        <w:pStyle w:val="afe"/>
        <w:numPr>
          <w:ilvl w:val="1"/>
          <w:numId w:val="57"/>
        </w:numPr>
        <w:contextualSpacing w:val="0"/>
        <w:rPr>
          <w:szCs w:val="24"/>
        </w:rPr>
      </w:pPr>
      <w:r w:rsidRPr="00777FF8">
        <w:rPr>
          <w:szCs w:val="24"/>
        </w:rPr>
        <w:t>Исследование периферической крови с подсчетом количества эритроцитов, гемоглобина и гематокрита, тромбоцитов (с подсчетом в мазке по Фонио), лейкоцитов, лейкоцитарной формулы – обязательно при диагностике, далее - по показаниям с целью оценки динамики гематологических показателей и для контроля эффективности  лечения</w:t>
      </w:r>
      <w:r>
        <w:t xml:space="preserve">. </w:t>
      </w:r>
      <w:r w:rsidRPr="00777FF8">
        <w:rPr>
          <w:szCs w:val="24"/>
        </w:rPr>
        <w:t>При снижении количества тромбоцитов ≤ 20х10</w:t>
      </w:r>
      <w:r w:rsidRPr="00777FF8">
        <w:rPr>
          <w:szCs w:val="24"/>
          <w:vertAlign w:val="superscript"/>
        </w:rPr>
        <w:t>9</w:t>
      </w:r>
      <w:r w:rsidRPr="00777FF8">
        <w:rPr>
          <w:szCs w:val="24"/>
        </w:rPr>
        <w:t xml:space="preserve"> мкл геморрагические осложнения высоковероятны. Однако не всегда тяжесть геморрагических проявлений прямо коррелирует со степенью тромбоцитопении.</w:t>
      </w:r>
    </w:p>
    <w:p w14:paraId="41475F33" w14:textId="77777777" w:rsidR="00C7174F" w:rsidRDefault="00C7174F" w:rsidP="00C7174F">
      <w:pPr>
        <w:pStyle w:val="afe"/>
        <w:numPr>
          <w:ilvl w:val="1"/>
          <w:numId w:val="57"/>
        </w:numPr>
        <w:contextualSpacing w:val="0"/>
        <w:rPr>
          <w:szCs w:val="24"/>
        </w:rPr>
      </w:pPr>
      <w:r w:rsidRPr="00777FF8">
        <w:rPr>
          <w:szCs w:val="24"/>
        </w:rPr>
        <w:t>Коагулограмма с определением следующих показателей:</w:t>
      </w:r>
    </w:p>
    <w:p w14:paraId="6A1C0DE1" w14:textId="77777777" w:rsidR="00C7174F" w:rsidRDefault="00C7174F" w:rsidP="00C7174F">
      <w:pPr>
        <w:pStyle w:val="afe"/>
        <w:numPr>
          <w:ilvl w:val="2"/>
          <w:numId w:val="73"/>
        </w:numPr>
        <w:contextualSpacing w:val="0"/>
        <w:rPr>
          <w:szCs w:val="24"/>
        </w:rPr>
      </w:pPr>
      <w:r w:rsidRPr="00777FF8">
        <w:rPr>
          <w:szCs w:val="24"/>
        </w:rPr>
        <w:t>активированное частичное тромбопластиновое время (АЧТВ);</w:t>
      </w:r>
    </w:p>
    <w:p w14:paraId="514D4F39" w14:textId="77777777" w:rsidR="00C7174F" w:rsidRDefault="00C7174F" w:rsidP="00C7174F">
      <w:pPr>
        <w:pStyle w:val="afe"/>
        <w:numPr>
          <w:ilvl w:val="2"/>
          <w:numId w:val="73"/>
        </w:numPr>
        <w:contextualSpacing w:val="0"/>
        <w:rPr>
          <w:szCs w:val="24"/>
        </w:rPr>
      </w:pPr>
      <w:r w:rsidRPr="00777FF8">
        <w:rPr>
          <w:szCs w:val="24"/>
        </w:rPr>
        <w:t>тромбиновое время (ТВ);</w:t>
      </w:r>
    </w:p>
    <w:p w14:paraId="1DE5196C" w14:textId="77777777" w:rsidR="00C7174F" w:rsidRDefault="00C7174F" w:rsidP="00C7174F">
      <w:pPr>
        <w:pStyle w:val="afe"/>
        <w:numPr>
          <w:ilvl w:val="2"/>
          <w:numId w:val="73"/>
        </w:numPr>
        <w:contextualSpacing w:val="0"/>
        <w:rPr>
          <w:szCs w:val="24"/>
        </w:rPr>
      </w:pPr>
      <w:r w:rsidRPr="00777FF8">
        <w:rPr>
          <w:szCs w:val="24"/>
        </w:rPr>
        <w:t>протромбин по Квику (международное нормализованное отношение - МНО);</w:t>
      </w:r>
    </w:p>
    <w:p w14:paraId="790D044B" w14:textId="77777777" w:rsidR="00C7174F" w:rsidRDefault="00C7174F" w:rsidP="00C7174F">
      <w:pPr>
        <w:pStyle w:val="afe"/>
        <w:numPr>
          <w:ilvl w:val="2"/>
          <w:numId w:val="73"/>
        </w:numPr>
        <w:contextualSpacing w:val="0"/>
        <w:rPr>
          <w:szCs w:val="24"/>
        </w:rPr>
      </w:pPr>
      <w:r w:rsidRPr="00777FF8">
        <w:rPr>
          <w:szCs w:val="24"/>
        </w:rPr>
        <w:t>плазменная концентрация фибриногена;</w:t>
      </w:r>
    </w:p>
    <w:p w14:paraId="036ABD11" w14:textId="77777777" w:rsidR="00C7174F" w:rsidRDefault="00C7174F" w:rsidP="00C7174F">
      <w:pPr>
        <w:pStyle w:val="afe"/>
        <w:numPr>
          <w:ilvl w:val="2"/>
          <w:numId w:val="73"/>
        </w:numPr>
        <w:contextualSpacing w:val="0"/>
        <w:rPr>
          <w:szCs w:val="24"/>
        </w:rPr>
      </w:pPr>
      <w:r w:rsidRPr="00777FF8">
        <w:rPr>
          <w:szCs w:val="24"/>
        </w:rPr>
        <w:t>активность фактора Виллебранда (</w:t>
      </w:r>
      <w:r w:rsidRPr="00777FF8">
        <w:rPr>
          <w:szCs w:val="24"/>
          <w:lang w:val="en-US"/>
        </w:rPr>
        <w:t>vWF</w:t>
      </w:r>
      <w:r w:rsidRPr="00777FF8">
        <w:rPr>
          <w:szCs w:val="24"/>
        </w:rPr>
        <w:t xml:space="preserve">) и антигена  </w:t>
      </w:r>
      <w:r w:rsidRPr="00777FF8">
        <w:rPr>
          <w:szCs w:val="24"/>
          <w:lang w:val="en-US"/>
        </w:rPr>
        <w:t>vWF</w:t>
      </w:r>
      <w:r w:rsidRPr="00777FF8">
        <w:rPr>
          <w:szCs w:val="24"/>
        </w:rPr>
        <w:t xml:space="preserve"> (</w:t>
      </w:r>
      <w:r w:rsidRPr="00777FF8">
        <w:rPr>
          <w:szCs w:val="24"/>
          <w:lang w:val="en-US"/>
        </w:rPr>
        <w:t>ag</w:t>
      </w:r>
      <w:r w:rsidRPr="00777FF8">
        <w:rPr>
          <w:szCs w:val="24"/>
        </w:rPr>
        <w:t>-</w:t>
      </w:r>
      <w:r w:rsidRPr="00777FF8">
        <w:rPr>
          <w:szCs w:val="24"/>
          <w:lang w:val="en-US"/>
        </w:rPr>
        <w:t>vWF</w:t>
      </w:r>
      <w:r w:rsidRPr="00777FF8">
        <w:rPr>
          <w:szCs w:val="24"/>
        </w:rPr>
        <w:t>) – по показаниям;</w:t>
      </w:r>
    </w:p>
    <w:p w14:paraId="30E3E68E" w14:textId="77777777" w:rsidR="00C7174F" w:rsidRDefault="00C7174F" w:rsidP="00C7174F">
      <w:pPr>
        <w:pStyle w:val="afe"/>
        <w:numPr>
          <w:ilvl w:val="2"/>
          <w:numId w:val="73"/>
        </w:numPr>
        <w:contextualSpacing w:val="0"/>
        <w:rPr>
          <w:szCs w:val="24"/>
        </w:rPr>
      </w:pPr>
      <w:r w:rsidRPr="00777FF8">
        <w:rPr>
          <w:szCs w:val="24"/>
        </w:rPr>
        <w:t xml:space="preserve">плазменная концентрация антитромбина III (АТ </w:t>
      </w:r>
      <w:r w:rsidRPr="00777FF8">
        <w:rPr>
          <w:szCs w:val="24"/>
          <w:lang w:val="en-US"/>
        </w:rPr>
        <w:t>III</w:t>
      </w:r>
      <w:r w:rsidRPr="00777FF8">
        <w:rPr>
          <w:szCs w:val="24"/>
        </w:rPr>
        <w:t>) – по показаниям;</w:t>
      </w:r>
    </w:p>
    <w:p w14:paraId="3210A3F6" w14:textId="77777777" w:rsidR="00C7174F" w:rsidRDefault="00C7174F" w:rsidP="00C7174F">
      <w:pPr>
        <w:pStyle w:val="afe"/>
        <w:numPr>
          <w:ilvl w:val="2"/>
          <w:numId w:val="73"/>
        </w:numPr>
        <w:contextualSpacing w:val="0"/>
        <w:rPr>
          <w:szCs w:val="24"/>
        </w:rPr>
      </w:pPr>
      <w:r w:rsidRPr="00777FF8">
        <w:rPr>
          <w:szCs w:val="24"/>
        </w:rPr>
        <w:t>агрегация тромбоцитов, индуцированная АДФ, адреналином, ристомицином, коллагеном, арахидоновой кислотой – по показаниям;</w:t>
      </w:r>
    </w:p>
    <w:p w14:paraId="436EEE0E" w14:textId="77777777" w:rsidR="00C7174F" w:rsidRDefault="00C7174F" w:rsidP="00C7174F">
      <w:pPr>
        <w:pStyle w:val="afe"/>
        <w:numPr>
          <w:ilvl w:val="2"/>
          <w:numId w:val="73"/>
        </w:numPr>
        <w:contextualSpacing w:val="0"/>
        <w:rPr>
          <w:szCs w:val="24"/>
        </w:rPr>
      </w:pPr>
      <w:r w:rsidRPr="00777FF8">
        <w:rPr>
          <w:szCs w:val="24"/>
        </w:rPr>
        <w:t xml:space="preserve">активность факторов свертывания крови </w:t>
      </w:r>
      <w:r w:rsidRPr="00777FF8">
        <w:rPr>
          <w:szCs w:val="24"/>
          <w:lang w:val="en-US"/>
        </w:rPr>
        <w:t>II</w:t>
      </w:r>
      <w:r w:rsidRPr="00777FF8">
        <w:rPr>
          <w:szCs w:val="24"/>
        </w:rPr>
        <w:t xml:space="preserve">, </w:t>
      </w:r>
      <w:r w:rsidRPr="00777FF8">
        <w:rPr>
          <w:szCs w:val="24"/>
          <w:lang w:val="en-US"/>
        </w:rPr>
        <w:t>V</w:t>
      </w:r>
      <w:r w:rsidRPr="00777FF8">
        <w:rPr>
          <w:szCs w:val="24"/>
        </w:rPr>
        <w:t xml:space="preserve">, </w:t>
      </w:r>
      <w:r w:rsidRPr="00777FF8">
        <w:rPr>
          <w:szCs w:val="24"/>
          <w:lang w:val="en-US"/>
        </w:rPr>
        <w:t>VII</w:t>
      </w:r>
      <w:r w:rsidRPr="00777FF8">
        <w:rPr>
          <w:szCs w:val="24"/>
        </w:rPr>
        <w:t xml:space="preserve">, </w:t>
      </w:r>
      <w:r w:rsidRPr="00777FF8">
        <w:rPr>
          <w:szCs w:val="24"/>
          <w:lang w:val="en-US"/>
        </w:rPr>
        <w:t>VIII</w:t>
      </w:r>
      <w:r w:rsidRPr="00777FF8">
        <w:rPr>
          <w:szCs w:val="24"/>
        </w:rPr>
        <w:t xml:space="preserve">, </w:t>
      </w:r>
      <w:r w:rsidRPr="00777FF8">
        <w:rPr>
          <w:szCs w:val="24"/>
          <w:lang w:val="en-US"/>
        </w:rPr>
        <w:t>IX</w:t>
      </w:r>
      <w:r w:rsidRPr="00777FF8">
        <w:rPr>
          <w:szCs w:val="24"/>
        </w:rPr>
        <w:t xml:space="preserve">, </w:t>
      </w:r>
      <w:r w:rsidRPr="00777FF8">
        <w:rPr>
          <w:szCs w:val="24"/>
          <w:lang w:val="en-US"/>
        </w:rPr>
        <w:t>X</w:t>
      </w:r>
      <w:r w:rsidRPr="00777FF8">
        <w:rPr>
          <w:szCs w:val="24"/>
        </w:rPr>
        <w:t xml:space="preserve">, </w:t>
      </w:r>
      <w:r w:rsidRPr="00777FF8">
        <w:rPr>
          <w:szCs w:val="24"/>
          <w:lang w:val="en-US"/>
        </w:rPr>
        <w:t>XI</w:t>
      </w:r>
      <w:r w:rsidRPr="00777FF8">
        <w:rPr>
          <w:szCs w:val="24"/>
        </w:rPr>
        <w:t xml:space="preserve">, </w:t>
      </w:r>
      <w:r w:rsidRPr="00777FF8">
        <w:rPr>
          <w:szCs w:val="24"/>
          <w:lang w:val="en-US"/>
        </w:rPr>
        <w:t>XII</w:t>
      </w:r>
      <w:r w:rsidRPr="00777FF8">
        <w:rPr>
          <w:szCs w:val="24"/>
        </w:rPr>
        <w:t xml:space="preserve">, </w:t>
      </w:r>
      <w:r w:rsidRPr="00777FF8">
        <w:rPr>
          <w:szCs w:val="24"/>
          <w:lang w:val="en-US"/>
        </w:rPr>
        <w:t>XIII</w:t>
      </w:r>
      <w:r w:rsidRPr="00777FF8">
        <w:rPr>
          <w:szCs w:val="24"/>
        </w:rPr>
        <w:t xml:space="preserve"> – по показаниям;</w:t>
      </w:r>
    </w:p>
    <w:p w14:paraId="11AF7930" w14:textId="77777777" w:rsidR="00C7174F" w:rsidRPr="00777FF8" w:rsidRDefault="00C7174F" w:rsidP="00C7174F">
      <w:pPr>
        <w:pStyle w:val="afe"/>
        <w:numPr>
          <w:ilvl w:val="2"/>
          <w:numId w:val="73"/>
        </w:numPr>
        <w:contextualSpacing w:val="0"/>
        <w:rPr>
          <w:szCs w:val="24"/>
        </w:rPr>
      </w:pPr>
      <w:r w:rsidRPr="00777FF8">
        <w:rPr>
          <w:szCs w:val="24"/>
        </w:rPr>
        <w:t>XIIa-зависимый фибринолиз.</w:t>
      </w:r>
    </w:p>
    <w:p w14:paraId="13C8E1B5" w14:textId="77777777" w:rsidR="00C7174F" w:rsidRPr="00777FF8" w:rsidRDefault="00C7174F" w:rsidP="00C7174F">
      <w:pPr>
        <w:widowControl w:val="0"/>
        <w:autoSpaceDE w:val="0"/>
        <w:autoSpaceDN w:val="0"/>
        <w:adjustRightInd w:val="0"/>
        <w:ind w:left="1418"/>
      </w:pPr>
      <w:r w:rsidRPr="00777FF8">
        <w:t>Для исследования показателей гемостаза забор крови производят строго натощак, с помощью вакуумных пробирок. Забор крови из катетеров запрещен. Кровь набирают в пробирки, содержащие 3,2% цитрат натрия в соотношении 1:9. Исследование должно проводиться не позднее 2-х часов после забора крови.  Достоверность результатов агрегабельности тромбоцитов можно оценить только при содержании в крови тромбоцитов ≥ 100х10</w:t>
      </w:r>
      <w:r w:rsidRPr="00777FF8">
        <w:rPr>
          <w:vertAlign w:val="superscript"/>
        </w:rPr>
        <w:t>9</w:t>
      </w:r>
      <w:r w:rsidRPr="00777FF8">
        <w:t>/л.</w:t>
      </w:r>
    </w:p>
    <w:p w14:paraId="1C87AA3B" w14:textId="77777777" w:rsidR="00C7174F" w:rsidRPr="00777FF8" w:rsidRDefault="00C7174F" w:rsidP="00C7174F">
      <w:pPr>
        <w:autoSpaceDE w:val="0"/>
        <w:autoSpaceDN w:val="0"/>
        <w:adjustRightInd w:val="0"/>
        <w:ind w:left="1418"/>
      </w:pPr>
      <w:r w:rsidRPr="00777FF8">
        <w:t xml:space="preserve">У пациентов с лимфомами  уменьшение  протромбина по Квику  (повышение МНО) может быть обусловлено различными видами приобретенного </w:t>
      </w:r>
      <w:r w:rsidRPr="00777FF8">
        <w:lastRenderedPageBreak/>
        <w:t>дефицита факторов протромбинового комплекса, в первую очередь вследствие тяжелой патологии печени, механической желтухи, вторичного антифосфолипидного синдрома, токсического действия антикоагулянтов непрямого действия, эндогенного дефицита витамина </w:t>
      </w:r>
      <w:r w:rsidRPr="00777FF8">
        <w:rPr>
          <w:lang w:val="en-US"/>
        </w:rPr>
        <w:t>K</w:t>
      </w:r>
      <w:r w:rsidRPr="00777FF8">
        <w:t>, тяжелых инфекций, онкологических заболеваний системы крови, системного амилоидоза и нефротического синдрома. Кроме того, подобные изменения характерны для наследственного дефицита К-зависимых факторов свертывания крови.</w:t>
      </w:r>
    </w:p>
    <w:p w14:paraId="1B9A6C3B" w14:textId="77777777" w:rsidR="00C7174F" w:rsidRPr="00777FF8" w:rsidRDefault="00C7174F" w:rsidP="00C7174F">
      <w:pPr>
        <w:autoSpaceDE w:val="0"/>
        <w:autoSpaceDN w:val="0"/>
        <w:adjustRightInd w:val="0"/>
        <w:ind w:left="1418"/>
        <w:rPr>
          <w:b/>
        </w:rPr>
      </w:pPr>
      <w:r w:rsidRPr="00777FF8">
        <w:t>Пациентам с выявленным снижением активности FVIII или FIX рекомендуется выполнить определение специфического ингибитора к сниженному фактору.</w:t>
      </w:r>
      <w:r w:rsidRPr="00777FF8">
        <w:rPr>
          <w:b/>
        </w:rPr>
        <w:t xml:space="preserve"> </w:t>
      </w:r>
    </w:p>
    <w:p w14:paraId="0E36E243" w14:textId="77777777" w:rsidR="00C7174F" w:rsidRPr="00777FF8" w:rsidRDefault="00C7174F" w:rsidP="00C7174F">
      <w:pPr>
        <w:pStyle w:val="afe"/>
        <w:numPr>
          <w:ilvl w:val="1"/>
          <w:numId w:val="57"/>
        </w:numPr>
        <w:contextualSpacing w:val="0"/>
        <w:rPr>
          <w:szCs w:val="24"/>
        </w:rPr>
      </w:pPr>
      <w:r w:rsidRPr="00777FF8">
        <w:rPr>
          <w:szCs w:val="24"/>
        </w:rPr>
        <w:t xml:space="preserve">Биохимический анализ крови: общий белок, альбумины, общий и прямой/непрямой билирубин, АСТ, АЛТ, ЛДГ, мочевая кислота, мочевина, креатинин, щелочная фосфатаза, гамма-ГТП – при диагностике, далее по показаниям. </w:t>
      </w:r>
    </w:p>
    <w:p w14:paraId="6A92DB1C" w14:textId="77777777" w:rsidR="00C7174F" w:rsidRPr="00777FF8" w:rsidRDefault="00C7174F" w:rsidP="00C7174F">
      <w:pPr>
        <w:pStyle w:val="afe"/>
        <w:ind w:left="1418" w:firstLine="0"/>
        <w:rPr>
          <w:rStyle w:val="affc"/>
          <w:i w:val="0"/>
          <w:szCs w:val="24"/>
        </w:rPr>
      </w:pPr>
      <w:r w:rsidRPr="00587F4A">
        <w:rPr>
          <w:rStyle w:val="affb"/>
          <w:b w:val="0"/>
          <w:bCs w:val="0"/>
          <w:i/>
          <w:iCs/>
          <w:szCs w:val="24"/>
          <w:shd w:val="clear" w:color="auto" w:fill="FFFFFF"/>
        </w:rPr>
        <w:t>В</w:t>
      </w:r>
      <w:r w:rsidRPr="00587F4A">
        <w:rPr>
          <w:rStyle w:val="affc"/>
          <w:szCs w:val="24"/>
        </w:rPr>
        <w:t>ы</w:t>
      </w:r>
      <w:r w:rsidRPr="00777FF8">
        <w:rPr>
          <w:rStyle w:val="affc"/>
          <w:szCs w:val="24"/>
        </w:rPr>
        <w:t xml:space="preserve">полнение биохимического анализа крови необходимо для уточнения функциональной способности печени, почек, что важно для установления диагноза и выбора адекватной терапии. </w:t>
      </w:r>
    </w:p>
    <w:p w14:paraId="1EECB8E9" w14:textId="77777777" w:rsidR="00C7174F" w:rsidRPr="00777FF8" w:rsidRDefault="00C7174F" w:rsidP="00C7174F">
      <w:pPr>
        <w:pStyle w:val="afe"/>
        <w:numPr>
          <w:ilvl w:val="1"/>
          <w:numId w:val="57"/>
        </w:numPr>
        <w:contextualSpacing w:val="0"/>
        <w:rPr>
          <w:szCs w:val="24"/>
        </w:rPr>
      </w:pPr>
      <w:r w:rsidRPr="00777FF8">
        <w:rPr>
          <w:szCs w:val="24"/>
        </w:rPr>
        <w:t xml:space="preserve">Определение концентрации гомоцистеина – по показаниям. </w:t>
      </w:r>
    </w:p>
    <w:p w14:paraId="7A7E8028" w14:textId="77777777" w:rsidR="00C7174F" w:rsidRPr="00777FF8" w:rsidRDefault="00C7174F" w:rsidP="00C7174F">
      <w:pPr>
        <w:pStyle w:val="afe"/>
        <w:numPr>
          <w:ilvl w:val="1"/>
          <w:numId w:val="57"/>
        </w:numPr>
        <w:contextualSpacing w:val="0"/>
        <w:rPr>
          <w:szCs w:val="24"/>
        </w:rPr>
      </w:pPr>
      <w:r w:rsidRPr="00777FF8">
        <w:rPr>
          <w:szCs w:val="24"/>
        </w:rPr>
        <w:t>Для верификации диагноза антифосфолипидного синдрома (АФС) необходимо определение волчаночного антикогулянта, антител к кардиолипину IgG, IgM; антител к β2-гликопротеину-1 IgG, IgM с повторным их исследованием через 12 недель – по показаниям.</w:t>
      </w:r>
    </w:p>
    <w:p w14:paraId="6207839A" w14:textId="77777777" w:rsidR="00C7174F" w:rsidRPr="000E3106" w:rsidRDefault="00C7174F" w:rsidP="00C7174F">
      <w:pPr>
        <w:pStyle w:val="Numlist"/>
        <w:numPr>
          <w:ilvl w:val="1"/>
          <w:numId w:val="57"/>
        </w:numPr>
        <w:spacing w:line="360" w:lineRule="auto"/>
        <w:jc w:val="both"/>
      </w:pPr>
      <w:r>
        <w:t>Тромбоэластография, пространственная тромбодинамика и определение тромбинового</w:t>
      </w:r>
      <w:r w:rsidRPr="00CB6966">
        <w:t xml:space="preserve"> потенциал</w:t>
      </w:r>
      <w:r>
        <w:t>а – по показаниям</w:t>
      </w:r>
      <w:r w:rsidRPr="00CB6966">
        <w:t>.</w:t>
      </w:r>
      <w:r>
        <w:t xml:space="preserve"> </w:t>
      </w:r>
    </w:p>
    <w:p w14:paraId="55509B90" w14:textId="77777777" w:rsidR="00C7174F" w:rsidRPr="00777FF8" w:rsidRDefault="00C7174F" w:rsidP="00C7174F">
      <w:pPr>
        <w:pStyle w:val="Numlist"/>
        <w:numPr>
          <w:ilvl w:val="1"/>
          <w:numId w:val="57"/>
        </w:numPr>
        <w:spacing w:line="360" w:lineRule="auto"/>
        <w:jc w:val="both"/>
        <w:rPr>
          <w:rStyle w:val="affc"/>
          <w:i w:val="0"/>
        </w:rPr>
      </w:pPr>
      <w:r w:rsidRPr="000E3106">
        <w:t xml:space="preserve">Молекулярно-генетическая диагностика мутаций генов </w:t>
      </w:r>
      <w:r w:rsidRPr="00777FF8">
        <w:rPr>
          <w:lang w:val="en-US"/>
        </w:rPr>
        <w:t>FI</w:t>
      </w:r>
      <w:r w:rsidRPr="00777FF8">
        <w:t xml:space="preserve">, </w:t>
      </w:r>
      <w:r w:rsidRPr="00777FF8">
        <w:rPr>
          <w:lang w:val="en-US"/>
        </w:rPr>
        <w:t>F</w:t>
      </w:r>
      <w:r w:rsidRPr="00777FF8">
        <w:t xml:space="preserve">II, </w:t>
      </w:r>
      <w:r w:rsidRPr="00777FF8">
        <w:rPr>
          <w:lang w:val="en-US"/>
        </w:rPr>
        <w:t>FV</w:t>
      </w:r>
      <w:r w:rsidRPr="00777FF8">
        <w:t xml:space="preserve">, </w:t>
      </w:r>
      <w:r w:rsidRPr="00777FF8">
        <w:rPr>
          <w:lang w:val="en-US"/>
        </w:rPr>
        <w:t>FVII</w:t>
      </w:r>
      <w:r w:rsidRPr="00777FF8">
        <w:t>,</w:t>
      </w:r>
      <w:r w:rsidRPr="000E3106">
        <w:rPr>
          <w:i/>
        </w:rPr>
        <w:t xml:space="preserve"> </w:t>
      </w:r>
      <w:r w:rsidRPr="00777FF8">
        <w:t xml:space="preserve">FVIII, FIX, </w:t>
      </w:r>
      <w:r w:rsidRPr="00777FF8">
        <w:rPr>
          <w:lang w:val="en-US"/>
        </w:rPr>
        <w:t>FX</w:t>
      </w:r>
      <w:r w:rsidRPr="00777FF8">
        <w:t xml:space="preserve">, </w:t>
      </w:r>
      <w:r w:rsidRPr="00777FF8">
        <w:rPr>
          <w:lang w:val="en-US"/>
        </w:rPr>
        <w:t>FXI</w:t>
      </w:r>
      <w:r w:rsidRPr="00777FF8">
        <w:t xml:space="preserve">, </w:t>
      </w:r>
      <w:r w:rsidRPr="00777FF8">
        <w:rPr>
          <w:lang w:val="en-US"/>
        </w:rPr>
        <w:t>FXII</w:t>
      </w:r>
      <w:r w:rsidRPr="00777FF8">
        <w:t xml:space="preserve">, </w:t>
      </w:r>
      <w:r w:rsidRPr="00777FF8">
        <w:rPr>
          <w:lang w:val="en-US"/>
        </w:rPr>
        <w:t>FXIII</w:t>
      </w:r>
      <w:r w:rsidRPr="00777FF8">
        <w:t xml:space="preserve"> - рекомендуется при выявлении у пациента изолированного снижения одного из перечисленных факторов свертывания крови </w:t>
      </w:r>
      <w:r w:rsidRPr="00777FF8">
        <w:rPr>
          <w:rStyle w:val="affc"/>
        </w:rPr>
        <w:t>для исключения наследственных форм заболеваний.</w:t>
      </w:r>
    </w:p>
    <w:p w14:paraId="106CBD61" w14:textId="77777777" w:rsidR="00C7174F" w:rsidRPr="00777FF8" w:rsidRDefault="00C7174F" w:rsidP="00C7174F">
      <w:pPr>
        <w:pStyle w:val="Numlist"/>
        <w:numPr>
          <w:ilvl w:val="1"/>
          <w:numId w:val="57"/>
        </w:numPr>
        <w:spacing w:line="360" w:lineRule="auto"/>
        <w:jc w:val="both"/>
        <w:rPr>
          <w:rStyle w:val="affc"/>
          <w:i w:val="0"/>
        </w:rPr>
      </w:pPr>
      <w:r w:rsidRPr="00777FF8">
        <w:rPr>
          <w:rStyle w:val="affc"/>
        </w:rPr>
        <w:t>Определение функциональной активности тромбоцитов – по показаниям.</w:t>
      </w:r>
    </w:p>
    <w:p w14:paraId="36A9F274" w14:textId="28EC2B5B" w:rsidR="00C7174F" w:rsidRDefault="00C7174F" w:rsidP="00C7174F">
      <w:pPr>
        <w:pStyle w:val="Numlist"/>
        <w:spacing w:line="360" w:lineRule="auto"/>
        <w:ind w:firstLine="709"/>
        <w:jc w:val="both"/>
      </w:pPr>
      <w:r w:rsidRPr="00C731E3">
        <w:t xml:space="preserve">Лабораторную оценку состояния системы свертывания крови </w:t>
      </w:r>
      <w:r>
        <w:t xml:space="preserve">в объеме, определяемым лечащим врачом, </w:t>
      </w:r>
      <w:r w:rsidRPr="00C731E3">
        <w:t xml:space="preserve">осуществляют </w:t>
      </w:r>
      <w:r>
        <w:t>при первичном</w:t>
      </w:r>
      <w:r w:rsidRPr="00C731E3">
        <w:t xml:space="preserve"> обследовании больного, до начала </w:t>
      </w:r>
      <w:r>
        <w:t xml:space="preserve">проведения специфической терапии, в том числе </w:t>
      </w:r>
      <w:r w:rsidRPr="00C731E3">
        <w:t xml:space="preserve">перед каждым курсом </w:t>
      </w:r>
      <w:r>
        <w:t>ХТ (по показаниям)</w:t>
      </w:r>
      <w:r w:rsidRPr="00C731E3">
        <w:t xml:space="preserve">, </w:t>
      </w:r>
      <w:r>
        <w:t xml:space="preserve">а также </w:t>
      </w:r>
      <w:r w:rsidRPr="00C731E3">
        <w:t>в случае разв</w:t>
      </w:r>
      <w:r>
        <w:t xml:space="preserve">ития геморрагических осложнений на любом этапе наблюдения и лечения гематологического пациента </w:t>
      </w:r>
      <w:r>
        <w:fldChar w:fldCharType="begin" w:fldLock="1"/>
      </w:r>
      <w:r w:rsidR="009D5799">
        <w:instrText>ADDIN CSL_CITATION {"citationItems":[{"id":"ITEM-1","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-1","issued":{"date-parts":[["2010"]]},"number-of-pages":"192","title":"Практическая коагулология","type":"book"},"uris":["http://www.mendeley.com/documents/?uuid=36d7b04e-d654-47d2-a073-3cc2bb6e80ce"]},{"id":"ITEM-2","itemData":{"DOI":"10.1111/ijlh.12822","ISSN":"1751553X","PMID":"29741250","abstract":"Introduction: Laboratory investigations for bleeding disorders are warranted when an individual has a personal and/or family history of bleeding, and/or laboratory findings that suggest the possibility of an inherited or acquired bleeding disorder. Methods: This review summarizes author's experience with ordering and reporting on diagnostic investigations for common and rare bleeding disorders, with consideration of recent articles on diagnosing bleeding disorders. An updated strategy is presented for investigating common and rare, congenital and acquired bleeding disorders. Results: An investigation of a suspected bleeding disorder requires a practical strategy that considers the clinical problem to be investigated, the pretest probability of true-positive and false-positive findings, the investigations can be performed locally or in a reference laboratory and limit the number of blood samples required to establish a diagnosis. It is often advantageous to simultaneously test for von Willebrand disease and platelet function disorders, and for coagulation defects, including fibrinogen disorders. An investigation for rarer bleeding disorders, including those affecting factor XIII, α2 antiplasmin, and plasminogen activator inhibitor-1, is appropriate when faced with a severe congenital or acquired bleeding problem that cannot be explained by the initial diagnostic investigations. Conclusion: An organized strategy for investigating bleeding disorders that consider important issues, confirms abnormal findings, encourages proper interpretation of the results, and provides a helpful framework for assessing both common and rare causes of bleeding.","author":[{"dropping-particle":"","family":"Hayward","given":"C. P.M.","non-dropping-particle":"","parse-names":false,"suffix":""}],"container-title":"International Journal of Laboratory Hematology","id":"ITEM-2","issued":{"date-parts":[["2018","5","1"]]},"page":"6-14","publisher":"Blackwell Publishing Ltd","title":"How I investigate for bleeding disorders","type":"article","volume":"40"},"uris":["http://www.mendeley.com/documents/?uuid=8c375aab-6218-4ed1-9ecf-6629bbffa285"]}],"mendeley":{"formattedCitation":"[134,140]","plainTextFormattedCitation":"[134,140]","previouslyFormattedCitation":"[134,140]"},"properties":{"noteIndex":0},"schema":"https://github.com/citation-style-language/schema/raw/master/csl-citation.json"}</w:instrText>
      </w:r>
      <w:r>
        <w:fldChar w:fldCharType="separate"/>
      </w:r>
      <w:r w:rsidR="009F4636" w:rsidRPr="009F4636">
        <w:rPr>
          <w:noProof/>
        </w:rPr>
        <w:t>[134,140]</w:t>
      </w:r>
      <w:r>
        <w:fldChar w:fldCharType="end"/>
      </w:r>
      <w:r>
        <w:t>.</w:t>
      </w:r>
    </w:p>
    <w:p w14:paraId="30C7192B" w14:textId="77777777" w:rsidR="00C7174F" w:rsidRPr="00CB6966" w:rsidRDefault="00C7174F" w:rsidP="00C7174F">
      <w:pPr>
        <w:pStyle w:val="Numlist"/>
        <w:spacing w:line="360" w:lineRule="auto"/>
        <w:ind w:firstLine="709"/>
        <w:jc w:val="both"/>
      </w:pPr>
    </w:p>
    <w:p w14:paraId="611D55F8" w14:textId="77777777" w:rsidR="00C7174F" w:rsidRPr="00777FF8" w:rsidRDefault="00C7174F" w:rsidP="00587F4A">
      <w:pPr>
        <w:pStyle w:val="afd"/>
        <w:spacing w:beforeAutospacing="0" w:afterAutospacing="0" w:line="360" w:lineRule="auto"/>
        <w:ind w:firstLine="0"/>
        <w:rPr>
          <w:i/>
          <w:iCs/>
          <w:u w:val="single"/>
        </w:rPr>
      </w:pPr>
      <w:r w:rsidRPr="00777FF8">
        <w:rPr>
          <w:bCs/>
          <w:i/>
          <w:iCs/>
          <w:u w:val="single"/>
        </w:rPr>
        <w:lastRenderedPageBreak/>
        <w:t xml:space="preserve">Инструментальная диагностика. </w:t>
      </w:r>
    </w:p>
    <w:p w14:paraId="3D77F2A5" w14:textId="2CB5B4B2" w:rsidR="00C7174F" w:rsidRPr="000E3106" w:rsidRDefault="00C7174F" w:rsidP="00C7174F">
      <w:pPr>
        <w:pStyle w:val="aff4"/>
        <w:contextualSpacing/>
        <w:rPr>
          <w:sz w:val="24"/>
          <w:szCs w:val="24"/>
        </w:rPr>
      </w:pPr>
      <w:r w:rsidRPr="00587F4A">
        <w:rPr>
          <w:rStyle w:val="affb"/>
          <w:rFonts w:eastAsia="Times New Roman"/>
          <w:b w:val="0"/>
          <w:bCs w:val="0"/>
          <w:sz w:val="24"/>
          <w:szCs w:val="24"/>
        </w:rPr>
        <w:t>Выполнение инструментальной диагностики</w:t>
      </w:r>
      <w:r w:rsidRPr="00587F4A">
        <w:rPr>
          <w:sz w:val="24"/>
          <w:szCs w:val="24"/>
        </w:rPr>
        <w:t xml:space="preserve"> рекомендуется по возможности и по показаниям всем пациентам с геморрагическими проявлениями на любом этапе обследования и лечения, наблюдения пациента и позволяет визуализировать кровотечения/кровоизлияния различных локализаций, а также позволяет</w:t>
      </w:r>
      <w:r>
        <w:rPr>
          <w:sz w:val="24"/>
          <w:szCs w:val="24"/>
        </w:rPr>
        <w:t xml:space="preserve"> мониторировать проводимую терапию</w:t>
      </w:r>
      <w:r w:rsidRPr="000E3106">
        <w:rPr>
          <w:sz w:val="24"/>
          <w:szCs w:val="24"/>
        </w:rPr>
        <w:t xml:space="preserve"> геморрагического синдрома.</w:t>
      </w:r>
    </w:p>
    <w:p w14:paraId="3DA47ED4" w14:textId="35EC5580" w:rsidR="00C7174F" w:rsidRDefault="00C7174F" w:rsidP="00C7174F">
      <w:pPr>
        <w:pStyle w:val="aff4"/>
        <w:contextualSpacing/>
        <w:rPr>
          <w:sz w:val="24"/>
          <w:szCs w:val="24"/>
        </w:rPr>
      </w:pPr>
      <w:r w:rsidRPr="000E3106">
        <w:rPr>
          <w:sz w:val="24"/>
          <w:szCs w:val="24"/>
        </w:rPr>
        <w:t>По показаниям проводится: эзофагогастродуоденоскопия</w:t>
      </w:r>
      <w:r>
        <w:rPr>
          <w:sz w:val="24"/>
          <w:szCs w:val="24"/>
        </w:rPr>
        <w:t xml:space="preserve"> </w:t>
      </w:r>
      <w:r w:rsidRPr="006E084C">
        <w:rPr>
          <w:iCs/>
          <w:sz w:val="24"/>
          <w:szCs w:val="24"/>
        </w:rPr>
        <w:t>(ЭГДС)</w:t>
      </w:r>
      <w:r w:rsidRPr="006E084C">
        <w:rPr>
          <w:sz w:val="24"/>
          <w:szCs w:val="24"/>
        </w:rPr>
        <w:t>;</w:t>
      </w:r>
      <w:r w:rsidRPr="008922C4">
        <w:rPr>
          <w:sz w:val="24"/>
          <w:szCs w:val="24"/>
        </w:rPr>
        <w:t xml:space="preserve"> </w:t>
      </w:r>
      <w:r w:rsidRPr="000E3106">
        <w:rPr>
          <w:sz w:val="24"/>
          <w:szCs w:val="24"/>
        </w:rPr>
        <w:t xml:space="preserve"> </w:t>
      </w:r>
      <w:r>
        <w:rPr>
          <w:sz w:val="24"/>
          <w:szCs w:val="24"/>
        </w:rPr>
        <w:t>колоноскопия; бронхоскопия; видеокапсульная эндоскопия;</w:t>
      </w:r>
      <w:r w:rsidRPr="000E3106">
        <w:rPr>
          <w:sz w:val="24"/>
          <w:szCs w:val="24"/>
        </w:rPr>
        <w:t xml:space="preserve"> </w:t>
      </w:r>
      <w:r>
        <w:rPr>
          <w:sz w:val="24"/>
          <w:szCs w:val="24"/>
        </w:rPr>
        <w:t>ультразвуковое исследование (</w:t>
      </w:r>
      <w:r w:rsidRPr="000E3106">
        <w:rPr>
          <w:sz w:val="24"/>
          <w:szCs w:val="24"/>
        </w:rPr>
        <w:t>УЗИ</w:t>
      </w:r>
      <w:r>
        <w:rPr>
          <w:sz w:val="24"/>
          <w:szCs w:val="24"/>
        </w:rPr>
        <w:t>)</w:t>
      </w:r>
      <w:r w:rsidRPr="000E3106">
        <w:rPr>
          <w:sz w:val="24"/>
          <w:szCs w:val="24"/>
        </w:rPr>
        <w:t xml:space="preserve"> </w:t>
      </w:r>
      <w:r>
        <w:rPr>
          <w:sz w:val="24"/>
          <w:szCs w:val="24"/>
        </w:rPr>
        <w:t xml:space="preserve">органов брюшной полости, мочевыводящих путей, </w:t>
      </w:r>
      <w:r w:rsidRPr="000E3106">
        <w:rPr>
          <w:sz w:val="24"/>
          <w:szCs w:val="24"/>
        </w:rPr>
        <w:t xml:space="preserve">забрюшинного пространства, </w:t>
      </w:r>
      <w:r>
        <w:rPr>
          <w:sz w:val="24"/>
          <w:szCs w:val="24"/>
        </w:rPr>
        <w:t xml:space="preserve">органов </w:t>
      </w:r>
      <w:r w:rsidRPr="000E3106">
        <w:rPr>
          <w:sz w:val="24"/>
          <w:szCs w:val="24"/>
        </w:rPr>
        <w:t xml:space="preserve">малого таза, суставов </w:t>
      </w:r>
      <w:r>
        <w:rPr>
          <w:sz w:val="24"/>
          <w:szCs w:val="24"/>
        </w:rPr>
        <w:t>(</w:t>
      </w:r>
      <w:r w:rsidRPr="000E3106">
        <w:rPr>
          <w:sz w:val="24"/>
          <w:szCs w:val="24"/>
        </w:rPr>
        <w:t>при наличии гемартрозов</w:t>
      </w:r>
      <w:r>
        <w:rPr>
          <w:sz w:val="24"/>
          <w:szCs w:val="24"/>
        </w:rPr>
        <w:t>);</w:t>
      </w:r>
      <w:r w:rsidRPr="000E3106">
        <w:rPr>
          <w:sz w:val="24"/>
          <w:szCs w:val="24"/>
        </w:rPr>
        <w:t xml:space="preserve"> </w:t>
      </w:r>
      <w:r>
        <w:rPr>
          <w:sz w:val="24"/>
          <w:szCs w:val="24"/>
        </w:rPr>
        <w:t xml:space="preserve">рентгенологическое исследование органов грудной клетки, суставов; компьютерная томография (КТ) </w:t>
      </w:r>
      <w:r w:rsidRPr="000E3106">
        <w:rPr>
          <w:sz w:val="24"/>
          <w:szCs w:val="24"/>
        </w:rPr>
        <w:t>органов грудной клетки, головного мозга</w:t>
      </w:r>
      <w:r>
        <w:rPr>
          <w:sz w:val="24"/>
          <w:szCs w:val="24"/>
        </w:rPr>
        <w:t xml:space="preserve">, брюшной полости; магнитно-резонансная томография (МРТ) органов грудной клетки, головного мозга, органов брюшной полости и забрюшинного пространства, суставов, мягких тканей </w:t>
      </w:r>
      <w:r>
        <w:rPr>
          <w:sz w:val="24"/>
          <w:szCs w:val="24"/>
        </w:rPr>
        <w:fldChar w:fldCharType="begin" w:fldLock="1"/>
      </w:r>
      <w:r w:rsidR="009D5799">
        <w:rPr>
          <w:sz w:val="24"/>
          <w:szCs w:val="24"/>
        </w:rPr>
        <w:instrText>ADDIN CSL_CITATION {"citationItems":[{"id":"ITEM-1","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-1","issued":{"date-parts":[["2010"]]},"number-of-pages":"192","title":"Практическая коагулология","type":"book"},"uris":["http://www.mendeley.com/documents/?uuid=36d7b04e-d654-47d2-a073-3cc2bb6e80ce"]},{"id":"ITEM-2","itemData":{"DOI":"10.1111/ijlh.12822","ISSN":"1751553X","PMID":"29741250","abstract":"Introduction: Laboratory investigations for bleeding disorders are warranted when an individual has a personal and/or family history of bleeding, and/or laboratory findings that suggest the possibility of an inherited or acquired bleeding disorder. Methods: This review summarizes author's experience with ordering and reporting on diagnostic investigations for common and rare bleeding disorders, with consideration of recent articles on diagnosing bleeding disorders. An updated strategy is presented for investigating common and rare, congenital and acquired bleeding disorders. Results: An investigation of a suspected bleeding disorder requires a practical strategy that considers the clinical problem to be investigated, the pretest probability of true-positive and false-positive findings, the investigations can be performed locally or in a reference laboratory and limit the number of blood samples required to establish a diagnosis. It is often advantageous to simultaneously test for von Willebrand disease and platelet function disorders, and for coagulation defects, including fibrinogen disorders. An investigation for rarer bleeding disorders, including those affecting factor XIII, α2 antiplasmin, and plasminogen activator inhibitor-1, is appropriate when faced with a severe congenital or acquired bleeding problem that cannot be explained by the initial diagnostic investigations. Conclusion: An organized strategy for investigating bleeding disorders that consider important issues, confirms abnormal findings, encourages proper interpretation of the results, and provides a helpful framework for assessing both common and rare causes of bleeding.","author":[{"dropping-particle":"","family":"Hayward","given":"C. P.M.","non-dropping-particle":"","parse-names":false,"suffix":""}],"container-title":"International Journal of Laboratory Hematology","id":"ITEM-2","issued":{"date-parts":[["2018","5","1"]]},"page":"6-14","publisher":"Blackwell Publishing Ltd","title":"How I investigate for bleeding disorders","type":"article","volume":"40"},"uris":["http://www.mendeley.com/documents/?uuid=8c375aab-6218-4ed1-9ecf-6629bbffa285"]}],"mendeley":{"formattedCitation":"[134,140]","plainTextFormattedCitation":"[134,140]","previouslyFormattedCitation":"[134,140]"},"properties":{"noteIndex":0},"schema":"https://github.com/citation-style-language/schema/raw/master/csl-citation.json"}</w:instrText>
      </w:r>
      <w:r>
        <w:rPr>
          <w:sz w:val="24"/>
          <w:szCs w:val="24"/>
        </w:rPr>
        <w:fldChar w:fldCharType="separate"/>
      </w:r>
      <w:r w:rsidR="009F4636" w:rsidRPr="009F4636">
        <w:rPr>
          <w:noProof/>
          <w:sz w:val="24"/>
          <w:szCs w:val="24"/>
        </w:rPr>
        <w:t>[134,140]</w:t>
      </w:r>
      <w:r>
        <w:rPr>
          <w:sz w:val="24"/>
          <w:szCs w:val="24"/>
        </w:rPr>
        <w:fldChar w:fldCharType="end"/>
      </w:r>
      <w:r>
        <w:rPr>
          <w:sz w:val="24"/>
          <w:szCs w:val="24"/>
        </w:rPr>
        <w:t>.</w:t>
      </w:r>
    </w:p>
    <w:p w14:paraId="6AA27184" w14:textId="77777777" w:rsidR="00C7174F" w:rsidRPr="000E3106" w:rsidRDefault="00C7174F" w:rsidP="00C7174F">
      <w:pPr>
        <w:pStyle w:val="aff4"/>
        <w:contextualSpacing/>
        <w:rPr>
          <w:sz w:val="24"/>
          <w:szCs w:val="24"/>
        </w:rPr>
      </w:pPr>
    </w:p>
    <w:p w14:paraId="74E9C15F" w14:textId="77777777" w:rsidR="00C7174F" w:rsidRPr="00777FF8" w:rsidRDefault="00C7174F" w:rsidP="00ED5D26">
      <w:pPr>
        <w:pStyle w:val="afd"/>
        <w:spacing w:beforeAutospacing="0" w:afterAutospacing="0" w:line="360" w:lineRule="auto"/>
        <w:ind w:firstLine="0"/>
        <w:rPr>
          <w:i/>
          <w:iCs/>
          <w:u w:val="single"/>
        </w:rPr>
      </w:pPr>
      <w:r w:rsidRPr="00777FF8">
        <w:rPr>
          <w:i/>
          <w:iCs/>
          <w:u w:val="single"/>
        </w:rPr>
        <w:t>Медикаментозная терапия.</w:t>
      </w:r>
    </w:p>
    <w:p w14:paraId="46AC5358" w14:textId="77777777" w:rsidR="00C7174F" w:rsidRPr="005600F6" w:rsidRDefault="00C7174F" w:rsidP="00ED5D26">
      <w:pPr>
        <w:ind w:firstLine="709"/>
        <w:rPr>
          <w:u w:val="single"/>
        </w:rPr>
      </w:pPr>
      <w:r w:rsidRPr="005600F6">
        <w:rPr>
          <w:u w:val="single"/>
        </w:rPr>
        <w:t>Геморрагические осложнения при проведении антикоагулянтной терапии</w:t>
      </w:r>
    </w:p>
    <w:p w14:paraId="5C063E4B" w14:textId="68426562" w:rsidR="00C7174F" w:rsidRPr="00C731E3" w:rsidRDefault="00C7174F" w:rsidP="00ED5D26">
      <w:pPr>
        <w:ind w:firstLine="709"/>
      </w:pPr>
      <w:r w:rsidRPr="00C731E3">
        <w:t xml:space="preserve">Тяжелые </w:t>
      </w:r>
      <w:r w:rsidRPr="005600F6">
        <w:t xml:space="preserve">геморрагические осложнения при проведении антикоагулянтной терапии </w:t>
      </w:r>
      <w:r w:rsidRPr="00C731E3">
        <w:t>диктуют необходимость применения антидотов</w:t>
      </w:r>
      <w:r>
        <w:t xml:space="preserve"> </w:t>
      </w:r>
      <w:r>
        <w:fldChar w:fldCharType="begin" w:fldLock="1"/>
      </w:r>
      <w:r w:rsidR="009D5799">
        <w:instrText>ADDIN CSL_CITATION {"citationItems":[{"id":"ITEM-1","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-1","issued":{"date-parts":[["2010"]]},"number-of-pages":"192","title":"Практическая коагулология","type":"book"},"uris":["http://www.mendeley.com/documents/?uuid=36d7b04e-d654-47d2-a073-3cc2bb6e80ce"]}],"mendeley":{"formattedCitation":"[134]","plainTextFormattedCitation":"[134]","previouslyFormattedCitation":"[134]"},"properties":{"noteIndex":0},"schema":"https://github.com/citation-style-language/schema/raw/master/csl-citation.json"}</w:instrText>
      </w:r>
      <w:r>
        <w:fldChar w:fldCharType="separate"/>
      </w:r>
      <w:r w:rsidR="009F4636" w:rsidRPr="009F4636">
        <w:rPr>
          <w:noProof/>
        </w:rPr>
        <w:t>[134]</w:t>
      </w:r>
      <w:r>
        <w:fldChar w:fldCharType="end"/>
      </w:r>
      <w:r w:rsidRPr="00C731E3">
        <w:t>. При передозировке гепаринов в качестве антидота используют протамина сульфат: 1 мг его нейтрализует 80</w:t>
      </w:r>
      <w:r w:rsidRPr="00C731E3">
        <w:rPr>
          <w:i/>
        </w:rPr>
        <w:t>—</w:t>
      </w:r>
      <w:r>
        <w:t>120 Е</w:t>
      </w:r>
      <w:r w:rsidRPr="00C731E3">
        <w:t>д гепарина в крови. Действие препарата после в/в введения наступает мгновенно и продолжается в течение 2 ч. После в/в введения образуется комплекс протамин</w:t>
      </w:r>
      <w:r w:rsidRPr="00C731E3">
        <w:rPr>
          <w:i/>
        </w:rPr>
        <w:t>—</w:t>
      </w:r>
      <w:r w:rsidRPr="00C731E3">
        <w:t>гепарин, который может разрушаться с высвобождением гепарина. При передозировке может снижаться свертываемость крови, поскольку сам протамина сульфат проявляет антикоагулянтную активность. Если НФГ вводился в/в капельно, необходимо прекратить его инфузию и ввести 25</w:t>
      </w:r>
      <w:r w:rsidRPr="00C731E3">
        <w:rPr>
          <w:i/>
        </w:rPr>
        <w:t>—</w:t>
      </w:r>
      <w:r w:rsidRPr="00C731E3">
        <w:t>30 мг протамина сульфата.</w:t>
      </w:r>
    </w:p>
    <w:p w14:paraId="7690AF97" w14:textId="77777777" w:rsidR="00C7174F" w:rsidRDefault="00C7174F" w:rsidP="00ED5D26">
      <w:pPr>
        <w:ind w:firstLine="709"/>
      </w:pPr>
      <w:r w:rsidRPr="00C731E3">
        <w:t>При передозировке варфарина и значительном увеличении МНО (больше 3,5</w:t>
      </w:r>
      <w:r w:rsidRPr="00C731E3">
        <w:rPr>
          <w:i/>
        </w:rPr>
        <w:t>—</w:t>
      </w:r>
      <w:r w:rsidRPr="00C731E3">
        <w:t>4) без геморрагических проявлений корректируют дозу варфарина. Назначают препараты витамина К</w:t>
      </w:r>
      <w:r w:rsidRPr="00C731E3">
        <w:rPr>
          <w:vertAlign w:val="subscript"/>
        </w:rPr>
        <w:t>1</w:t>
      </w:r>
      <w:r w:rsidRPr="00C731E3">
        <w:t>.</w:t>
      </w:r>
      <w:r>
        <w:t xml:space="preserve"> </w:t>
      </w:r>
      <w:r w:rsidRPr="00C731E3">
        <w:t>Для купирования геморрагического синдрома при передозировке варфарина используют концентрат</w:t>
      </w:r>
      <w:r>
        <w:t>ы</w:t>
      </w:r>
      <w:r w:rsidRPr="00C731E3">
        <w:t xml:space="preserve"> факторов </w:t>
      </w:r>
      <w:r>
        <w:t xml:space="preserve">протромбинового комплекса (концентрат </w:t>
      </w:r>
      <w:r>
        <w:rPr>
          <w:lang w:val="en-US"/>
        </w:rPr>
        <w:t>II</w:t>
      </w:r>
      <w:r w:rsidRPr="00084FAC">
        <w:t>+</w:t>
      </w:r>
      <w:r>
        <w:rPr>
          <w:lang w:val="en-US"/>
        </w:rPr>
        <w:t>IX</w:t>
      </w:r>
      <w:r w:rsidRPr="00084FAC">
        <w:t>+</w:t>
      </w:r>
      <w:r>
        <w:rPr>
          <w:lang w:val="en-US"/>
        </w:rPr>
        <w:t>X</w:t>
      </w:r>
      <w:r>
        <w:t xml:space="preserve"> или концентрат </w:t>
      </w:r>
      <w:r>
        <w:rPr>
          <w:lang w:val="en-US"/>
        </w:rPr>
        <w:t>II</w:t>
      </w:r>
      <w:r w:rsidRPr="00084FAC">
        <w:t>+</w:t>
      </w:r>
      <w:r>
        <w:rPr>
          <w:lang w:val="en-US"/>
        </w:rPr>
        <w:t>VIIa</w:t>
      </w:r>
      <w:r w:rsidRPr="00084FAC">
        <w:t>+</w:t>
      </w:r>
      <w:r>
        <w:rPr>
          <w:lang w:val="en-US"/>
        </w:rPr>
        <w:t>IX</w:t>
      </w:r>
      <w:r w:rsidRPr="00084FAC">
        <w:t>+</w:t>
      </w:r>
      <w:r>
        <w:rPr>
          <w:lang w:val="en-US"/>
        </w:rPr>
        <w:t>X</w:t>
      </w:r>
      <w:r w:rsidRPr="00084FAC">
        <w:t>)</w:t>
      </w:r>
      <w:r>
        <w:t>, которые</w:t>
      </w:r>
      <w:r w:rsidRPr="00C731E3">
        <w:t xml:space="preserve"> вводят в/в в дозе </w:t>
      </w:r>
      <w:r>
        <w:t>20-50 МЕ/кг массы тела пациента</w:t>
      </w:r>
      <w:r w:rsidRPr="00C731E3">
        <w:t xml:space="preserve">. Альтернативой введения </w:t>
      </w:r>
      <w:r>
        <w:t>концентратов факторов протромбинового комплекса</w:t>
      </w:r>
      <w:r w:rsidRPr="00C731E3">
        <w:t xml:space="preserve"> является </w:t>
      </w:r>
      <w:r>
        <w:t>свежезамороженная плазма (</w:t>
      </w:r>
      <w:r w:rsidRPr="00C731E3">
        <w:t>СЗП</w:t>
      </w:r>
      <w:r>
        <w:t>)</w:t>
      </w:r>
      <w:r w:rsidRPr="00C731E3">
        <w:t xml:space="preserve"> в дозе 20</w:t>
      </w:r>
      <w:r w:rsidRPr="00C731E3">
        <w:rPr>
          <w:i/>
        </w:rPr>
        <w:t>—</w:t>
      </w:r>
      <w:r w:rsidRPr="00C731E3">
        <w:t>25 мл</w:t>
      </w:r>
      <w:r>
        <w:t>/</w:t>
      </w:r>
      <w:r w:rsidRPr="00C731E3">
        <w:t>кг массы тела. При тяжелых кровотечениях СЗП можно вводить в дозе 30</w:t>
      </w:r>
      <w:r w:rsidRPr="00C731E3">
        <w:rPr>
          <w:i/>
        </w:rPr>
        <w:t>—</w:t>
      </w:r>
      <w:r w:rsidRPr="00C731E3">
        <w:t xml:space="preserve">45 мл на кг массы тела. </w:t>
      </w:r>
      <w:r>
        <w:t xml:space="preserve">Для купирования </w:t>
      </w:r>
      <w:r>
        <w:lastRenderedPageBreak/>
        <w:t>геморрагического синдрома в некоторых случаях и</w:t>
      </w:r>
      <w:r w:rsidRPr="00C731E3">
        <w:t>спользуют также и эптаког альфа (активированный).</w:t>
      </w:r>
    </w:p>
    <w:p w14:paraId="27AD26B9" w14:textId="77777777" w:rsidR="00C7174F" w:rsidRDefault="00C7174F" w:rsidP="00ED5D26">
      <w:pPr>
        <w:ind w:firstLine="709"/>
      </w:pPr>
      <w:r>
        <w:t xml:space="preserve">При передозировке прямых ингибиторов фактора свертывания крови </w:t>
      </w:r>
      <w:r>
        <w:rPr>
          <w:lang w:val="en-US"/>
        </w:rPr>
        <w:t>Xa</w:t>
      </w:r>
      <w:r>
        <w:t xml:space="preserve"> (ривароксабан, апиксабан) используется андексанет альфа: 400 мг болюсно с продолжением в/в инфузии со скоростью 4 мг/мин в течение 2-х часов.</w:t>
      </w:r>
    </w:p>
    <w:p w14:paraId="38B34C37" w14:textId="77777777" w:rsidR="00C7174F" w:rsidRDefault="00C7174F" w:rsidP="00ED5D26">
      <w:pPr>
        <w:ind w:firstLine="709"/>
      </w:pPr>
      <w:r>
        <w:t xml:space="preserve">Антидот дабигатрана этексилата – </w:t>
      </w:r>
      <w:r w:rsidRPr="009F787D">
        <w:t>идаруцизумаб</w:t>
      </w:r>
      <w:r>
        <w:t>: вводится по 2,5 мг в/в дважды с интервалом в 15 мин.</w:t>
      </w:r>
    </w:p>
    <w:p w14:paraId="517FBEFC" w14:textId="77777777" w:rsidR="00C7174F" w:rsidRPr="00C731E3" w:rsidRDefault="00C7174F" w:rsidP="00ED5D26">
      <w:pPr>
        <w:ind w:firstLine="709"/>
      </w:pPr>
      <w:r>
        <w:t xml:space="preserve">Разработан универсальный антидот для всех ПОАК и гепаринов – </w:t>
      </w:r>
      <w:r w:rsidRPr="009F787D">
        <w:t>цирапарантаг</w:t>
      </w:r>
      <w:r>
        <w:t xml:space="preserve"> – вводится однократно 100,0 мг в/в.</w:t>
      </w:r>
    </w:p>
    <w:p w14:paraId="2CCE9DB1" w14:textId="77777777" w:rsidR="00C7174F" w:rsidRDefault="00C7174F" w:rsidP="00ED5D26">
      <w:pPr>
        <w:ind w:firstLine="709"/>
      </w:pPr>
      <w:r w:rsidRPr="00C731E3">
        <w:t xml:space="preserve">Решение о возможности применения или возобновления медикаментозной профилактики тромботических нарушений при цитостатической терапии должно приниматься на основании оценки соотношения ожидаемой пользы и возможного риска </w:t>
      </w:r>
      <w:r>
        <w:t>у каждого конкретного больного.</w:t>
      </w:r>
    </w:p>
    <w:p w14:paraId="0D846878" w14:textId="77777777" w:rsidR="00C7174F" w:rsidRPr="005600F6" w:rsidRDefault="00C7174F" w:rsidP="00ED5D26">
      <w:pPr>
        <w:ind w:firstLine="709"/>
        <w:rPr>
          <w:u w:val="single"/>
        </w:rPr>
      </w:pPr>
      <w:r w:rsidRPr="005600F6">
        <w:rPr>
          <w:u w:val="single"/>
        </w:rPr>
        <w:t>Геморрагический синдром у пациентов с гематологическими заболеваниями в экстренных ситуациях</w:t>
      </w:r>
    </w:p>
    <w:p w14:paraId="2BA87CEA" w14:textId="2F549A87" w:rsidR="00C7174F" w:rsidRDefault="00C7174F" w:rsidP="00ED5D26">
      <w:pPr>
        <w:ind w:firstLine="709"/>
      </w:pPr>
      <w:r>
        <w:t xml:space="preserve">В случае развития геморрагического синдрома у пациентов с гематологическими заболеваниями в экстренных ситуациях используются по показаниям </w:t>
      </w:r>
      <w:r>
        <w:fldChar w:fldCharType="begin" w:fldLock="1"/>
      </w:r>
      <w:r w:rsidR="009D5799">
        <w:instrText>ADDIN CSL_CITATION {"citationItems":[{"id":"ITEM-1","itemData":{"DOI":"10.1182/asheducation-2007.1.165","ISSN":"15204391","PMID":"18024625","abstract":"The rate of venous thromboembolism (VTE) in patients with acute leukemia or lymphomas is comparable with that of other \"high-risk\" cancer types. Chemotherapy and anti-angiogenic drugs increase the thrombotic risk in patients with lymphomas, acute leukemias and multiple myeloma (MM). Patients with hematologic malignancies often present with a hypercoagulable state or chronic disseminated intravascular coagulation (DIC) in the absence of active thrombosis and/or bleeding. Malignant cell procoagulant properties, cytotoxic therapies, and concomitant infections are major determinants for clotting activation in hematologic malignancies. In acute leukemia, clinical manifestations range from localized venous or arterial thrombosis to a diffuse, life-threatening thrombohemorrhagic syndrome (THS). All-trans retinoic acid (ATRA) has greatly improved the management of acute promyelocytic leukemia (APL), but has not significantly changed the rate of early hemorrhagic deaths and may actually promote thrombosis. Randomized, controlled trials (RCTs) of different prophylactic regimens to prevent VTE or THS in hematologic malignancies are urgently needed, particularly in patients with lymphoma or MM during chemotherapy and in patients with APL. Anticoagulant therapy is a particular challenge in patients with hematologic malignancies, since these patients are at very high risk for hemorrhage. No guidelines are available for the prophylaxis or treatment of VTE; extrapolations can be made from existing guidelines for management of patients with other malignancies; prolonged periods of treatment-induced thrombocytopenia in patients with hematologic malignancies, however, require a more judicious application of standard anticoagulant approaches. Use of the newer anticoagulants will require careful assessment of hemorrhagic risk in this group of high-risk patients but may be justified under special circumstances.","author":[{"dropping-particle":"","family":"Falanga","given":"Anna","non-dropping-particle":"","parse-names":false,"suffix":""},{"dropping-particle":"","family":"Rickles","given":"Frederick R.","non-dropping-particle":"","parse-names":false,"suffix":""}],"container-title":"Hematology / the Education Program of the American Society of Hematology. American Society of Hematology. Education Program","id":"ITEM-1","issued":{"date-parts":[["2007"]]},"page":"165-171","publisher":"Hematology Am Soc Hematol Educ Program","title":"Management of Thrombohemorrhagic Syndromes (THS) in hematologic malignancies.","type":"article-journal"},"uris":["http://www.mendeley.com/documents/?uuid=ee7b053b-4509-46bc-9d7c-5e9f427dbfe5"]},{"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[134,141]","plainTextFormattedCitation":"[134,141]","previouslyFormattedCitation":"[134,141]"},"properties":{"noteIndex":0},"schema":"https://github.com/citation-style-language/schema/raw/master/csl-citation.json"}</w:instrText>
      </w:r>
      <w:r>
        <w:fldChar w:fldCharType="separate"/>
      </w:r>
      <w:r w:rsidR="009F4636" w:rsidRPr="009F4636">
        <w:rPr>
          <w:noProof/>
        </w:rPr>
        <w:t>[134,141]</w:t>
      </w:r>
      <w:r>
        <w:fldChar w:fldCharType="end"/>
      </w:r>
      <w:r>
        <w:t>:</w:t>
      </w:r>
    </w:p>
    <w:p w14:paraId="79CCF51F" w14:textId="77777777" w:rsidR="00C7174F" w:rsidRDefault="00C7174F" w:rsidP="00C7174F">
      <w:pPr>
        <w:pStyle w:val="afe"/>
        <w:numPr>
          <w:ilvl w:val="1"/>
          <w:numId w:val="21"/>
        </w:numPr>
        <w:ind w:left="1437" w:hanging="360"/>
        <w:contextualSpacing w:val="0"/>
        <w:rPr>
          <w:rFonts w:eastAsia="Times New Roman"/>
          <w:szCs w:val="24"/>
          <w:lang w:eastAsia="ru-RU"/>
        </w:rPr>
      </w:pPr>
      <w:r w:rsidRPr="00CD2AC0">
        <w:rPr>
          <w:rFonts w:eastAsia="Times New Roman"/>
          <w:szCs w:val="24"/>
          <w:lang w:eastAsia="ru-RU"/>
        </w:rPr>
        <w:t xml:space="preserve">Препараты шунтирующего действия: </w:t>
      </w:r>
    </w:p>
    <w:p w14:paraId="46E4977A" w14:textId="77777777" w:rsidR="00C7174F" w:rsidRDefault="00C7174F" w:rsidP="00C7174F">
      <w:pPr>
        <w:pStyle w:val="afe"/>
        <w:numPr>
          <w:ilvl w:val="2"/>
          <w:numId w:val="21"/>
        </w:numPr>
        <w:ind w:left="2340" w:hanging="360"/>
        <w:contextualSpacing w:val="0"/>
        <w:rPr>
          <w:rFonts w:eastAsia="Times New Roman"/>
          <w:szCs w:val="24"/>
          <w:lang w:eastAsia="ru-RU"/>
        </w:rPr>
      </w:pPr>
      <w:r w:rsidRPr="00CD2AC0">
        <w:rPr>
          <w:rFonts w:eastAsia="Times New Roman"/>
          <w:szCs w:val="24"/>
          <w:lang w:eastAsia="ru-RU"/>
        </w:rPr>
        <w:t>эптаког альфа (активированный) в дозе 90-120 мкг/кг массы тела пациента с интервалом в 2-3 часа;</w:t>
      </w:r>
    </w:p>
    <w:p w14:paraId="4A940ED8" w14:textId="77777777" w:rsidR="00C7174F" w:rsidRPr="00522573" w:rsidRDefault="00C7174F" w:rsidP="00C7174F">
      <w:pPr>
        <w:pStyle w:val="afe"/>
        <w:numPr>
          <w:ilvl w:val="2"/>
          <w:numId w:val="21"/>
        </w:numPr>
        <w:ind w:left="2340" w:hanging="360"/>
        <w:contextualSpacing w:val="0"/>
        <w:rPr>
          <w:rFonts w:eastAsia="Times New Roman"/>
          <w:szCs w:val="24"/>
          <w:lang w:eastAsia="ru-RU"/>
        </w:rPr>
      </w:pPr>
      <w:r w:rsidRPr="00522573">
        <w:rPr>
          <w:rFonts w:eastAsia="Times New Roman"/>
          <w:szCs w:val="24"/>
          <w:lang w:eastAsia="ru-RU"/>
        </w:rPr>
        <w:t xml:space="preserve">антиингибиторный коагулянтный комплекс (АИКК) в дозе 30-100 Ед/кг массы тела пациента с интервалом в 12-24 часа – до купирования кровотечения. </w:t>
      </w:r>
    </w:p>
    <w:p w14:paraId="2D0A410C" w14:textId="77777777" w:rsidR="00C7174F" w:rsidRPr="00CD2AC0" w:rsidRDefault="00C7174F" w:rsidP="00C7174F">
      <w:pPr>
        <w:pStyle w:val="afe"/>
        <w:ind w:left="1396" w:firstLine="0"/>
        <w:rPr>
          <w:rFonts w:eastAsia="Times New Roman"/>
          <w:szCs w:val="24"/>
          <w:lang w:eastAsia="ru-RU"/>
        </w:rPr>
      </w:pPr>
      <w:r w:rsidRPr="00CD2AC0">
        <w:rPr>
          <w:rFonts w:eastAsia="Times New Roman"/>
          <w:szCs w:val="24"/>
          <w:lang w:eastAsia="ru-RU"/>
        </w:rPr>
        <w:t>При использовании препаратов шунтирующего действия возможны тромботические осложнения.</w:t>
      </w:r>
    </w:p>
    <w:p w14:paraId="7D6E3542" w14:textId="77777777" w:rsidR="00C7174F" w:rsidRDefault="00C7174F" w:rsidP="00C7174F">
      <w:pPr>
        <w:pStyle w:val="afe"/>
        <w:numPr>
          <w:ilvl w:val="1"/>
          <w:numId w:val="21"/>
        </w:numPr>
        <w:ind w:left="1437" w:hanging="360"/>
        <w:contextualSpacing w:val="0"/>
        <w:rPr>
          <w:rFonts w:eastAsia="Times New Roman"/>
          <w:szCs w:val="24"/>
          <w:lang w:eastAsia="ru-RU"/>
        </w:rPr>
      </w:pPr>
      <w:r w:rsidRPr="00CD2AC0">
        <w:rPr>
          <w:rFonts w:eastAsia="Times New Roman"/>
          <w:szCs w:val="24"/>
          <w:lang w:eastAsia="ru-RU"/>
        </w:rPr>
        <w:t>Трансфузии компонентов крови (дозы и режимы введения зависят от ситуации):</w:t>
      </w:r>
    </w:p>
    <w:p w14:paraId="07FE2542" w14:textId="77777777" w:rsidR="00C7174F" w:rsidRPr="00522573" w:rsidRDefault="00C7174F" w:rsidP="00C7174F">
      <w:pPr>
        <w:pStyle w:val="afe"/>
        <w:numPr>
          <w:ilvl w:val="2"/>
          <w:numId w:val="21"/>
        </w:numPr>
        <w:ind w:left="2340" w:hanging="360"/>
        <w:contextualSpacing w:val="0"/>
        <w:rPr>
          <w:rFonts w:eastAsia="Times New Roman"/>
          <w:szCs w:val="24"/>
          <w:lang w:eastAsia="ru-RU"/>
        </w:rPr>
      </w:pPr>
      <w:r w:rsidRPr="00522573">
        <w:rPr>
          <w:rFonts w:eastAsia="Times New Roman"/>
          <w:szCs w:val="24"/>
          <w:lang w:eastAsia="ru-RU"/>
        </w:rPr>
        <w:t>СЗП;</w:t>
      </w:r>
    </w:p>
    <w:p w14:paraId="3BE80741" w14:textId="77777777" w:rsidR="00C7174F" w:rsidRPr="00522573" w:rsidRDefault="00C7174F" w:rsidP="00C7174F">
      <w:pPr>
        <w:pStyle w:val="afe"/>
        <w:numPr>
          <w:ilvl w:val="2"/>
          <w:numId w:val="21"/>
        </w:numPr>
        <w:ind w:left="2340" w:hanging="360"/>
        <w:contextualSpacing w:val="0"/>
        <w:rPr>
          <w:rFonts w:eastAsia="Times New Roman"/>
          <w:szCs w:val="24"/>
          <w:lang w:eastAsia="ru-RU"/>
        </w:rPr>
      </w:pPr>
      <w:r w:rsidRPr="00522573">
        <w:rPr>
          <w:rFonts w:eastAsia="Times New Roman"/>
          <w:szCs w:val="24"/>
          <w:lang w:eastAsia="ru-RU"/>
        </w:rPr>
        <w:t>криопреципитат;</w:t>
      </w:r>
    </w:p>
    <w:p w14:paraId="4F6B1DE2" w14:textId="77777777" w:rsidR="00C7174F" w:rsidRDefault="00C7174F" w:rsidP="00C7174F">
      <w:pPr>
        <w:pStyle w:val="afe"/>
        <w:numPr>
          <w:ilvl w:val="2"/>
          <w:numId w:val="21"/>
        </w:numPr>
        <w:ind w:left="2340" w:hanging="360"/>
        <w:contextualSpacing w:val="0"/>
        <w:rPr>
          <w:rFonts w:eastAsia="Times New Roman"/>
          <w:szCs w:val="24"/>
          <w:lang w:eastAsia="ru-RU"/>
        </w:rPr>
      </w:pPr>
      <w:r w:rsidRPr="00522573">
        <w:rPr>
          <w:rFonts w:eastAsia="Times New Roman"/>
          <w:szCs w:val="24"/>
          <w:lang w:eastAsia="ru-RU"/>
        </w:rPr>
        <w:t>концентрат нативной плазмы;</w:t>
      </w:r>
    </w:p>
    <w:p w14:paraId="5B6635B3" w14:textId="77777777" w:rsidR="00C7174F" w:rsidRPr="00522573" w:rsidRDefault="00C7174F" w:rsidP="00C7174F">
      <w:pPr>
        <w:pStyle w:val="afe"/>
        <w:numPr>
          <w:ilvl w:val="2"/>
          <w:numId w:val="21"/>
        </w:numPr>
        <w:ind w:left="2340" w:hanging="360"/>
        <w:contextualSpacing w:val="0"/>
        <w:rPr>
          <w:rFonts w:eastAsia="Times New Roman"/>
          <w:szCs w:val="24"/>
          <w:lang w:eastAsia="ru-RU"/>
        </w:rPr>
      </w:pPr>
      <w:r w:rsidRPr="00522573">
        <w:rPr>
          <w:rFonts w:eastAsia="Times New Roman"/>
          <w:szCs w:val="24"/>
          <w:lang w:eastAsia="ru-RU"/>
        </w:rPr>
        <w:t>тромбоконцентрат.</w:t>
      </w:r>
    </w:p>
    <w:p w14:paraId="7B27029E" w14:textId="77777777" w:rsidR="00C7174F" w:rsidRDefault="00C7174F" w:rsidP="00C7174F">
      <w:pPr>
        <w:pStyle w:val="afe"/>
        <w:numPr>
          <w:ilvl w:val="1"/>
          <w:numId w:val="21"/>
        </w:numPr>
        <w:ind w:left="1437" w:hanging="360"/>
        <w:contextualSpacing w:val="0"/>
        <w:rPr>
          <w:rFonts w:eastAsia="Times New Roman"/>
          <w:szCs w:val="24"/>
          <w:lang w:eastAsia="ru-RU"/>
        </w:rPr>
      </w:pPr>
      <w:r w:rsidRPr="00CD2AC0">
        <w:rPr>
          <w:rFonts w:eastAsia="Times New Roman"/>
          <w:szCs w:val="24"/>
          <w:lang w:eastAsia="ru-RU"/>
        </w:rPr>
        <w:t>При дефиците факторов свертывания крови проводятся инфузии препаратов:</w:t>
      </w:r>
    </w:p>
    <w:p w14:paraId="229C6B80" w14:textId="77777777" w:rsidR="00C7174F" w:rsidRDefault="00C7174F" w:rsidP="00C7174F">
      <w:pPr>
        <w:pStyle w:val="afe"/>
        <w:numPr>
          <w:ilvl w:val="2"/>
          <w:numId w:val="21"/>
        </w:numPr>
        <w:ind w:left="2340" w:hanging="360"/>
        <w:contextualSpacing w:val="0"/>
        <w:rPr>
          <w:rFonts w:eastAsia="Times New Roman"/>
          <w:szCs w:val="24"/>
          <w:lang w:eastAsia="ru-RU"/>
        </w:rPr>
      </w:pPr>
      <w:r w:rsidRPr="00522573">
        <w:rPr>
          <w:rFonts w:eastAsia="Times New Roman"/>
          <w:szCs w:val="24"/>
          <w:lang w:eastAsia="ru-RU"/>
        </w:rPr>
        <w:t xml:space="preserve">концентрат фактора свертывания крови </w:t>
      </w:r>
      <w:r w:rsidRPr="00522573">
        <w:rPr>
          <w:rFonts w:eastAsia="Times New Roman"/>
          <w:szCs w:val="24"/>
          <w:lang w:val="en-US" w:eastAsia="ru-RU"/>
        </w:rPr>
        <w:t>VII</w:t>
      </w:r>
      <w:r w:rsidRPr="00522573">
        <w:rPr>
          <w:rFonts w:eastAsia="Times New Roman"/>
          <w:szCs w:val="24"/>
          <w:lang w:eastAsia="ru-RU"/>
        </w:rPr>
        <w:t xml:space="preserve"> (при наследственной гипопроконвертинемии, некоторых видах наследственных тромбоцитопатий);</w:t>
      </w:r>
    </w:p>
    <w:p w14:paraId="65D4C9F7" w14:textId="77777777" w:rsidR="00C7174F" w:rsidRDefault="00C7174F" w:rsidP="00C7174F">
      <w:pPr>
        <w:pStyle w:val="afe"/>
        <w:numPr>
          <w:ilvl w:val="2"/>
          <w:numId w:val="21"/>
        </w:numPr>
        <w:ind w:left="2340" w:hanging="360"/>
        <w:contextualSpacing w:val="0"/>
        <w:rPr>
          <w:rFonts w:eastAsia="Times New Roman"/>
          <w:szCs w:val="24"/>
          <w:lang w:eastAsia="ru-RU"/>
        </w:rPr>
      </w:pPr>
      <w:r w:rsidRPr="00522573">
        <w:rPr>
          <w:rFonts w:eastAsia="Times New Roman"/>
          <w:szCs w:val="24"/>
          <w:lang w:eastAsia="ru-RU"/>
        </w:rPr>
        <w:lastRenderedPageBreak/>
        <w:t xml:space="preserve">концентраты фактора свертывания крови </w:t>
      </w:r>
      <w:r w:rsidRPr="00522573">
        <w:rPr>
          <w:rFonts w:eastAsia="Times New Roman"/>
          <w:szCs w:val="24"/>
          <w:lang w:val="en-US" w:eastAsia="ru-RU"/>
        </w:rPr>
        <w:t>VIII</w:t>
      </w:r>
      <w:r w:rsidRPr="00522573">
        <w:rPr>
          <w:rFonts w:eastAsia="Times New Roman"/>
          <w:szCs w:val="24"/>
          <w:lang w:eastAsia="ru-RU"/>
        </w:rPr>
        <w:t xml:space="preserve"> (</w:t>
      </w:r>
      <w:r w:rsidRPr="00522573">
        <w:rPr>
          <w:rFonts w:eastAsia="Times New Roman"/>
          <w:szCs w:val="24"/>
          <w:lang w:val="en-US" w:eastAsia="ru-RU"/>
        </w:rPr>
        <w:t>FVIII</w:t>
      </w:r>
      <w:r w:rsidRPr="00522573">
        <w:rPr>
          <w:rFonts w:eastAsia="Times New Roman"/>
          <w:szCs w:val="24"/>
          <w:lang w:eastAsia="ru-RU"/>
        </w:rPr>
        <w:t>), октоког альфа, мороктоког альфа, симоктоког альфа, туроктоког, эптаког альфа (активированный), АИКК (при гемофилии А);</w:t>
      </w:r>
    </w:p>
    <w:p w14:paraId="2F54F8F9" w14:textId="77777777" w:rsidR="00C7174F" w:rsidRDefault="00C7174F" w:rsidP="00C7174F">
      <w:pPr>
        <w:pStyle w:val="afe"/>
        <w:numPr>
          <w:ilvl w:val="2"/>
          <w:numId w:val="21"/>
        </w:numPr>
        <w:ind w:left="2340" w:hanging="360"/>
        <w:contextualSpacing w:val="0"/>
        <w:rPr>
          <w:rFonts w:eastAsia="Times New Roman"/>
          <w:szCs w:val="24"/>
          <w:lang w:eastAsia="ru-RU"/>
        </w:rPr>
      </w:pPr>
      <w:r w:rsidRPr="00522573">
        <w:rPr>
          <w:rFonts w:eastAsia="Times New Roman"/>
          <w:szCs w:val="24"/>
          <w:lang w:eastAsia="ru-RU"/>
        </w:rPr>
        <w:t xml:space="preserve">концентрат фактора свертывания крови </w:t>
      </w:r>
      <w:r w:rsidRPr="00522573">
        <w:rPr>
          <w:rFonts w:eastAsia="Times New Roman"/>
          <w:szCs w:val="24"/>
          <w:lang w:val="en-US" w:eastAsia="ru-RU"/>
        </w:rPr>
        <w:t>IX</w:t>
      </w:r>
      <w:r w:rsidRPr="00522573">
        <w:rPr>
          <w:rFonts w:eastAsia="Times New Roman"/>
          <w:szCs w:val="24"/>
          <w:lang w:eastAsia="ru-RU"/>
        </w:rPr>
        <w:t>, нонаког альфа, эптаког альфа (активированный), АИКК (при гемофилии В);</w:t>
      </w:r>
    </w:p>
    <w:p w14:paraId="69E0460A" w14:textId="77777777" w:rsidR="00C7174F" w:rsidRPr="00522573" w:rsidRDefault="00C7174F" w:rsidP="00C7174F">
      <w:pPr>
        <w:pStyle w:val="afe"/>
        <w:numPr>
          <w:ilvl w:val="2"/>
          <w:numId w:val="21"/>
        </w:numPr>
        <w:ind w:left="2340" w:hanging="360"/>
        <w:contextualSpacing w:val="0"/>
        <w:rPr>
          <w:rFonts w:eastAsia="Times New Roman"/>
          <w:szCs w:val="24"/>
          <w:lang w:eastAsia="ru-RU"/>
        </w:rPr>
      </w:pPr>
      <w:r w:rsidRPr="00522573">
        <w:rPr>
          <w:rFonts w:eastAsia="Times New Roman"/>
          <w:szCs w:val="24"/>
          <w:lang w:eastAsia="ru-RU"/>
        </w:rPr>
        <w:t>эмицизумаб (для профилактики возникновения кровотечений у пациентов с тяжелой формой гемофилии А).</w:t>
      </w:r>
    </w:p>
    <w:p w14:paraId="5BEBE8D0" w14:textId="77777777" w:rsidR="00C7174F" w:rsidRPr="00CD2AC0" w:rsidRDefault="00C7174F" w:rsidP="00C7174F">
      <w:pPr>
        <w:pStyle w:val="afe"/>
        <w:numPr>
          <w:ilvl w:val="1"/>
          <w:numId w:val="21"/>
        </w:numPr>
        <w:ind w:left="1437" w:hanging="360"/>
        <w:contextualSpacing w:val="0"/>
        <w:rPr>
          <w:rFonts w:eastAsia="Times New Roman"/>
          <w:szCs w:val="24"/>
          <w:lang w:eastAsia="ru-RU"/>
        </w:rPr>
      </w:pPr>
      <w:r w:rsidRPr="00CD2AC0">
        <w:rPr>
          <w:rFonts w:eastAsia="Times New Roman"/>
          <w:szCs w:val="24"/>
          <w:lang w:eastAsia="ru-RU"/>
        </w:rPr>
        <w:t>Десмопрессин (при болезни Виллебранда).</w:t>
      </w:r>
    </w:p>
    <w:p w14:paraId="044F6515" w14:textId="77777777" w:rsidR="00C7174F" w:rsidRPr="00CD2AC0" w:rsidRDefault="00C7174F" w:rsidP="00C7174F">
      <w:pPr>
        <w:pStyle w:val="afe"/>
        <w:ind w:left="1396" w:firstLine="0"/>
        <w:rPr>
          <w:rFonts w:eastAsia="Times New Roman"/>
          <w:szCs w:val="24"/>
          <w:lang w:eastAsia="ru-RU"/>
        </w:rPr>
      </w:pPr>
      <w:r w:rsidRPr="00CD2AC0">
        <w:rPr>
          <w:rFonts w:eastAsia="Times New Roman"/>
          <w:szCs w:val="24"/>
          <w:lang w:eastAsia="ru-RU"/>
        </w:rPr>
        <w:t>Дозы и режимы введения концентратов факторов свертывания крови, эмицизумаба и десмопрессина – в соответствии с национальными рекомендациями по лечению гемофилии и болезни Виллебранда.</w:t>
      </w:r>
    </w:p>
    <w:p w14:paraId="74E59138" w14:textId="77777777" w:rsidR="00C7174F" w:rsidRDefault="00C7174F" w:rsidP="00C7174F">
      <w:pPr>
        <w:pStyle w:val="afe"/>
        <w:numPr>
          <w:ilvl w:val="1"/>
          <w:numId w:val="21"/>
        </w:numPr>
        <w:ind w:left="1437" w:hanging="360"/>
        <w:contextualSpacing w:val="0"/>
        <w:rPr>
          <w:rFonts w:eastAsia="Times New Roman"/>
          <w:szCs w:val="24"/>
          <w:lang w:eastAsia="ru-RU"/>
        </w:rPr>
      </w:pPr>
      <w:r w:rsidRPr="00CD2AC0">
        <w:rPr>
          <w:rFonts w:eastAsia="Times New Roman"/>
          <w:szCs w:val="24"/>
          <w:lang w:eastAsia="ru-RU"/>
        </w:rPr>
        <w:t xml:space="preserve">Антифибринолитические препараты: транексамовая кислота по 750 мг х 2-3 раза в сут </w:t>
      </w:r>
      <w:r w:rsidRPr="00CD2AC0">
        <w:rPr>
          <w:rFonts w:eastAsia="Times New Roman"/>
          <w:szCs w:val="24"/>
          <w:lang w:val="en-US" w:eastAsia="ru-RU"/>
        </w:rPr>
        <w:t>per</w:t>
      </w:r>
      <w:r w:rsidRPr="00CD2AC0">
        <w:rPr>
          <w:rFonts w:eastAsia="Times New Roman"/>
          <w:szCs w:val="24"/>
          <w:lang w:eastAsia="ru-RU"/>
        </w:rPr>
        <w:t xml:space="preserve"> </w:t>
      </w:r>
      <w:r w:rsidRPr="00CD2AC0">
        <w:rPr>
          <w:rFonts w:eastAsia="Times New Roman"/>
          <w:szCs w:val="24"/>
          <w:lang w:val="en-US" w:eastAsia="ru-RU"/>
        </w:rPr>
        <w:t>os</w:t>
      </w:r>
      <w:r w:rsidRPr="00CD2AC0">
        <w:rPr>
          <w:rFonts w:eastAsia="Times New Roman"/>
          <w:szCs w:val="24"/>
          <w:lang w:eastAsia="ru-RU"/>
        </w:rPr>
        <w:t xml:space="preserve"> или 10-15 мг/кг массы тела пациента в/в каждые 8 часов до купирования кровотечения.</w:t>
      </w:r>
    </w:p>
    <w:p w14:paraId="26011332" w14:textId="77777777" w:rsidR="00C7174F" w:rsidRDefault="00C7174F" w:rsidP="00C7174F">
      <w:pPr>
        <w:pStyle w:val="afd"/>
        <w:spacing w:beforeAutospacing="0" w:afterAutospacing="0" w:line="360" w:lineRule="auto"/>
        <w:rPr>
          <w:i/>
          <w:iCs/>
          <w:u w:val="single"/>
        </w:rPr>
      </w:pPr>
    </w:p>
    <w:p w14:paraId="03ED6168" w14:textId="66F8FC30" w:rsidR="009B18E5" w:rsidRPr="009B18E5" w:rsidRDefault="004F7E2E" w:rsidP="009B18E5">
      <w:pPr>
        <w:pStyle w:val="2"/>
        <w:spacing w:before="0"/>
      </w:pPr>
      <w:bookmarkStart w:id="74" w:name="_Toc66096845"/>
      <w:r w:rsidRPr="000322E4">
        <w:t>7.</w:t>
      </w:r>
      <w:r>
        <w:t>11</w:t>
      </w:r>
      <w:r w:rsidR="009B18E5">
        <w:t xml:space="preserve"> </w:t>
      </w:r>
      <w:r w:rsidR="009B18E5" w:rsidRPr="00611EC1">
        <w:t>Лечение меноррагий у пациенток с гематологическими заболеваниями</w:t>
      </w:r>
      <w:bookmarkEnd w:id="74"/>
    </w:p>
    <w:p w14:paraId="5C76608B" w14:textId="77777777" w:rsidR="009B18E5" w:rsidRPr="00611EC1" w:rsidRDefault="009B18E5" w:rsidP="009B18E5">
      <w:pPr>
        <w:ind w:firstLine="709"/>
        <w:rPr>
          <w:color w:val="000000"/>
        </w:rPr>
      </w:pPr>
      <w:r w:rsidRPr="00611EC1">
        <w:rPr>
          <w:color w:val="000000"/>
        </w:rPr>
        <w:t xml:space="preserve">Аномальные маточные кровотечения (АМК) — распространенная патология </w:t>
      </w:r>
      <w:r w:rsidRPr="00611EC1">
        <w:t>у женщин с гематологическими заболеваниями</w:t>
      </w:r>
      <w:r w:rsidRPr="00611EC1">
        <w:rPr>
          <w:color w:val="000000"/>
        </w:rPr>
        <w:t xml:space="preserve">, которая включает нарушения менструального цикла, связанные с частотой, регулярностью, продолжительностью и объемом теряемой крови у пациенток. Частота встречаемости АМК </w:t>
      </w:r>
      <w:r w:rsidRPr="00611EC1">
        <w:t>в общей популяции</w:t>
      </w:r>
      <w:r w:rsidRPr="00611EC1">
        <w:rPr>
          <w:color w:val="FF0000"/>
        </w:rPr>
        <w:t xml:space="preserve"> </w:t>
      </w:r>
      <w:r w:rsidRPr="00611EC1">
        <w:t>женщин</w:t>
      </w:r>
      <w:r w:rsidRPr="00611EC1">
        <w:rPr>
          <w:color w:val="FF0000"/>
        </w:rPr>
        <w:t xml:space="preserve"> </w:t>
      </w:r>
      <w:r w:rsidRPr="00611EC1">
        <w:rPr>
          <w:color w:val="000000"/>
        </w:rPr>
        <w:t>варьирует от 14 до 30%, частота у пациенток с гематологическими заболеваниями неизвестна.</w:t>
      </w:r>
    </w:p>
    <w:p w14:paraId="44629E12" w14:textId="3885F9F1" w:rsidR="009B18E5" w:rsidRPr="00611EC1" w:rsidRDefault="009B18E5" w:rsidP="009B18E5">
      <w:pPr>
        <w:ind w:firstLine="709"/>
        <w:rPr>
          <w:color w:val="000000"/>
        </w:rPr>
      </w:pPr>
      <w:r w:rsidRPr="00611EC1">
        <w:t>Основные причины АМК у пациенток с гематологическими заболеваниями</w:t>
      </w:r>
      <w:r>
        <w:t xml:space="preserve"> </w:t>
      </w:r>
      <w:r>
        <w:fldChar w:fldCharType="begin" w:fldLock="1"/>
      </w:r>
      <w:r w:rsidR="009749DB">
        <w:instrText>ADDIN CSL_CITATION {"citationItems":[{"id":"ITEM-1","itemData":{"author":[{"dropping-particle":"","family":"Чернуха","given":"Г.Е.","non-dropping-particle":"","parse-names":false,"suffix":""}],"container-title":"Гинекология: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Манухина.","id":"ITEM-1","issued":{"date-parts":[["2020"]]},"page":"170-175","publisher":"М.: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[142]","plainTextFormattedCitation":"[142]","previouslyFormattedCitation":"[142]"},"properties":{"noteIndex":0},"schema":"https://github.com/citation-style-language/schema/raw/master/csl-citation.json"}</w:instrText>
      </w:r>
      <w:r>
        <w:fldChar w:fldCharType="separate"/>
      </w:r>
      <w:r w:rsidR="009D5799" w:rsidRPr="009D5799">
        <w:rPr>
          <w:noProof/>
        </w:rPr>
        <w:t>[142]</w:t>
      </w:r>
      <w:r>
        <w:fldChar w:fldCharType="end"/>
      </w:r>
      <w:r w:rsidRPr="00611EC1">
        <w:t>:</w:t>
      </w:r>
    </w:p>
    <w:p w14:paraId="1656EFC2" w14:textId="77777777" w:rsidR="009B18E5" w:rsidRPr="00611EC1" w:rsidRDefault="009B18E5" w:rsidP="009B18E5">
      <w:pPr>
        <w:pStyle w:val="afe"/>
        <w:numPr>
          <w:ilvl w:val="0"/>
          <w:numId w:val="82"/>
        </w:numPr>
        <w:rPr>
          <w:rFonts w:cs="Times New Roman"/>
          <w:szCs w:val="24"/>
        </w:rPr>
      </w:pPr>
      <w:r w:rsidRPr="00611EC1">
        <w:rPr>
          <w:rFonts w:cs="Times New Roman"/>
          <w:szCs w:val="24"/>
        </w:rPr>
        <w:t>Экстрагенитальная патология: врожденные или приобретенные нарушения гемостаза, тромбоцитопении.</w:t>
      </w:r>
    </w:p>
    <w:p w14:paraId="2038A970" w14:textId="4F704A74" w:rsidR="009B18E5" w:rsidRPr="00611EC1" w:rsidRDefault="009B18E5" w:rsidP="009B18E5">
      <w:pPr>
        <w:pStyle w:val="afe"/>
        <w:numPr>
          <w:ilvl w:val="0"/>
          <w:numId w:val="82"/>
        </w:numPr>
        <w:rPr>
          <w:rFonts w:cs="Times New Roman"/>
          <w:szCs w:val="24"/>
          <w:shd w:val="clear" w:color="auto" w:fill="FFFFFF"/>
        </w:rPr>
      </w:pPr>
      <w:r w:rsidRPr="00611EC1">
        <w:rPr>
          <w:rFonts w:cs="Times New Roman"/>
          <w:szCs w:val="24"/>
        </w:rPr>
        <w:t>АМК в период диагностики и лечения основного гематологического заболевания (в том числе, при лейкозах и лимфомах, обусловленные тромбоцитопенией и коакулологическими нарушениями), а так же после самопроизвольных родов или оперативного родоразрешения на фоне гематологического заболевания (в том числе, при лейкозах и лимфомах).</w:t>
      </w:r>
      <w:r w:rsidRPr="00611EC1">
        <w:rPr>
          <w:rFonts w:cs="Times New Roman"/>
          <w:szCs w:val="24"/>
          <w:shd w:val="clear" w:color="auto" w:fill="FFFFFF"/>
        </w:rPr>
        <w:t xml:space="preserve"> </w:t>
      </w:r>
    </w:p>
    <w:p w14:paraId="38C8FDDD" w14:textId="77777777" w:rsidR="009B18E5" w:rsidRPr="00611EC1" w:rsidRDefault="009B18E5" w:rsidP="009B18E5">
      <w:pPr>
        <w:pStyle w:val="afe"/>
        <w:numPr>
          <w:ilvl w:val="0"/>
          <w:numId w:val="82"/>
        </w:numPr>
        <w:rPr>
          <w:rFonts w:cs="Times New Roman"/>
          <w:color w:val="000000"/>
          <w:szCs w:val="24"/>
          <w:shd w:val="clear" w:color="auto" w:fill="FFFFFF"/>
        </w:rPr>
      </w:pPr>
      <w:r w:rsidRPr="00611EC1">
        <w:rPr>
          <w:rFonts w:cs="Times New Roman"/>
          <w:color w:val="000000"/>
          <w:szCs w:val="24"/>
          <w:shd w:val="clear" w:color="auto" w:fill="FFFFFF"/>
        </w:rPr>
        <w:t>Органическая гинекологическая патология: полип, лейомиома, гиперплазия эндометрия, злокачественные образования, патология яичников, шейки матки (на фоне основного гематологического заболевания).</w:t>
      </w:r>
    </w:p>
    <w:p w14:paraId="11BFC867" w14:textId="77777777" w:rsidR="009B18E5" w:rsidRDefault="009B18E5" w:rsidP="009B18E5">
      <w:pPr>
        <w:rPr>
          <w:b/>
        </w:rPr>
      </w:pPr>
    </w:p>
    <w:p w14:paraId="0577C4FA" w14:textId="77777777" w:rsidR="009B18E5" w:rsidRPr="00611EC1" w:rsidRDefault="009B18E5" w:rsidP="009B18E5">
      <w:pPr>
        <w:rPr>
          <w:color w:val="000000"/>
          <w:shd w:val="clear" w:color="auto" w:fill="FFFFFF"/>
        </w:rPr>
      </w:pPr>
      <w:r w:rsidRPr="00611EC1">
        <w:rPr>
          <w:b/>
        </w:rPr>
        <w:t xml:space="preserve">Диагностика </w:t>
      </w:r>
      <w:r w:rsidRPr="00611EC1">
        <w:rPr>
          <w:b/>
          <w:color w:val="000000"/>
          <w:shd w:val="clear" w:color="auto" w:fill="FFFFFF"/>
        </w:rPr>
        <w:t>маточных кровотечений</w:t>
      </w:r>
      <w:r w:rsidRPr="00611EC1">
        <w:rPr>
          <w:b/>
        </w:rPr>
        <w:t>.</w:t>
      </w:r>
    </w:p>
    <w:p w14:paraId="5ECC6F14" w14:textId="48FD6086" w:rsidR="009B18E5" w:rsidRPr="00611EC1" w:rsidRDefault="009B18E5" w:rsidP="009B18E5">
      <w:pPr>
        <w:ind w:firstLine="709"/>
        <w:rPr>
          <w:color w:val="000000"/>
          <w:shd w:val="clear" w:color="auto" w:fill="FFFFFF"/>
        </w:rPr>
      </w:pPr>
      <w:r w:rsidRPr="00611EC1">
        <w:rPr>
          <w:color w:val="1E1E1E"/>
          <w:spacing w:val="2"/>
        </w:rPr>
        <w:lastRenderedPageBreak/>
        <w:t xml:space="preserve">АМК проявляются обильными, длительными (более 7 дней), иногда болезненными </w:t>
      </w:r>
      <w:r w:rsidRPr="00611EC1">
        <w:rPr>
          <w:spacing w:val="2"/>
        </w:rPr>
        <w:t>кровянистыми</w:t>
      </w:r>
      <w:r w:rsidRPr="00611EC1">
        <w:rPr>
          <w:color w:val="FF0000"/>
          <w:spacing w:val="2"/>
        </w:rPr>
        <w:t xml:space="preserve"> </w:t>
      </w:r>
      <w:r w:rsidRPr="00611EC1">
        <w:rPr>
          <w:color w:val="1E1E1E"/>
          <w:spacing w:val="2"/>
        </w:rPr>
        <w:t>выделениями из половых путей</w:t>
      </w:r>
      <w:r w:rsidRPr="00320220">
        <w:rPr>
          <w:color w:val="1E1E1E"/>
          <w:spacing w:val="2"/>
        </w:rPr>
        <w:t xml:space="preserve"> </w:t>
      </w:r>
      <w:r>
        <w:rPr>
          <w:color w:val="1E1E1E"/>
          <w:spacing w:val="2"/>
        </w:rPr>
        <w:fldChar w:fldCharType="begin" w:fldLock="1"/>
      </w:r>
      <w:r w:rsidR="009749DB">
        <w:rPr>
          <w:color w:val="1E1E1E"/>
          <w:spacing w:val="2"/>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[142,143]","plainTextFormattedCitation":"[142,143]","previouslyFormattedCitation":"[142,143]"},"properties":{"noteIndex":0},"schema":"https://github.com/citation-style-language/schema/raw/master/csl-citation.json"}</w:instrText>
      </w:r>
      <w:r>
        <w:rPr>
          <w:color w:val="1E1E1E"/>
          <w:spacing w:val="2"/>
        </w:rPr>
        <w:fldChar w:fldCharType="separate"/>
      </w:r>
      <w:r w:rsidR="009D5799" w:rsidRPr="009D5799">
        <w:rPr>
          <w:noProof/>
          <w:color w:val="1E1E1E"/>
          <w:spacing w:val="2"/>
        </w:rPr>
        <w:t>[142,143]</w:t>
      </w:r>
      <w:r>
        <w:rPr>
          <w:color w:val="1E1E1E"/>
          <w:spacing w:val="2"/>
        </w:rPr>
        <w:fldChar w:fldCharType="end"/>
      </w:r>
      <w:r w:rsidRPr="00611EC1">
        <w:rPr>
          <w:color w:val="1E1E1E"/>
          <w:spacing w:val="2"/>
        </w:rPr>
        <w:t>.</w:t>
      </w:r>
      <w:r w:rsidRPr="00611EC1">
        <w:t xml:space="preserve"> </w:t>
      </w:r>
    </w:p>
    <w:p w14:paraId="63CE3E4F" w14:textId="77777777" w:rsidR="009B18E5" w:rsidRDefault="009B18E5" w:rsidP="009B18E5">
      <w:pPr>
        <w:shd w:val="clear" w:color="auto" w:fill="FFFFFF"/>
        <w:rPr>
          <w:b/>
          <w:bCs/>
          <w:color w:val="333333"/>
        </w:rPr>
      </w:pPr>
    </w:p>
    <w:p w14:paraId="7A395A0D" w14:textId="77777777" w:rsidR="009B18E5" w:rsidRPr="00611EC1" w:rsidRDefault="009B18E5" w:rsidP="009B18E5">
      <w:pPr>
        <w:shd w:val="clear" w:color="auto" w:fill="FFFFFF"/>
        <w:rPr>
          <w:i/>
          <w:color w:val="333333"/>
          <w:u w:val="single"/>
        </w:rPr>
      </w:pPr>
      <w:r w:rsidRPr="00611EC1">
        <w:rPr>
          <w:bCs/>
          <w:i/>
          <w:color w:val="333333"/>
          <w:u w:val="single"/>
        </w:rPr>
        <w:t xml:space="preserve">Обязательные методы </w:t>
      </w:r>
      <w:r w:rsidRPr="00611EC1">
        <w:rPr>
          <w:bCs/>
          <w:i/>
          <w:u w:val="single"/>
        </w:rPr>
        <w:t>первичного</w:t>
      </w:r>
      <w:r w:rsidRPr="00611EC1">
        <w:rPr>
          <w:bCs/>
          <w:i/>
          <w:color w:val="FF0000"/>
          <w:u w:val="single"/>
        </w:rPr>
        <w:t xml:space="preserve"> </w:t>
      </w:r>
      <w:r w:rsidRPr="00611EC1">
        <w:rPr>
          <w:bCs/>
          <w:i/>
          <w:color w:val="333333"/>
          <w:u w:val="single"/>
        </w:rPr>
        <w:t>обследования при АМК:</w:t>
      </w:r>
    </w:p>
    <w:p w14:paraId="0540A082" w14:textId="77777777" w:rsidR="009B18E5" w:rsidRPr="00611EC1" w:rsidRDefault="009B18E5" w:rsidP="009B18E5">
      <w:pPr>
        <w:pStyle w:val="afe"/>
        <w:numPr>
          <w:ilvl w:val="0"/>
          <w:numId w:val="75"/>
        </w:numPr>
        <w:ind w:firstLine="709"/>
        <w:rPr>
          <w:rFonts w:cs="Times New Roman"/>
          <w:spacing w:val="2"/>
          <w:szCs w:val="24"/>
        </w:rPr>
      </w:pPr>
      <w:r w:rsidRPr="00611EC1">
        <w:rPr>
          <w:rFonts w:cs="Times New Roman"/>
          <w:color w:val="1E1E1E"/>
          <w:spacing w:val="2"/>
          <w:szCs w:val="24"/>
        </w:rPr>
        <w:t xml:space="preserve">Клинико-анамнестическое обследование (жалобы, анамнез, </w:t>
      </w:r>
      <w:r w:rsidRPr="00611EC1">
        <w:rPr>
          <w:rFonts w:cs="Times New Roman"/>
          <w:szCs w:val="24"/>
        </w:rPr>
        <w:t>прием (осмотр, консультация) врача-акушера-гинеколога первичный, повторный).</w:t>
      </w:r>
      <w:r w:rsidRPr="00611EC1">
        <w:rPr>
          <w:rFonts w:cs="Times New Roman"/>
          <w:spacing w:val="2"/>
          <w:szCs w:val="24"/>
        </w:rPr>
        <w:t xml:space="preserve"> </w:t>
      </w:r>
    </w:p>
    <w:p w14:paraId="1B5A5167" w14:textId="77777777" w:rsidR="009B18E5" w:rsidRPr="00611EC1" w:rsidRDefault="009B18E5" w:rsidP="009B18E5">
      <w:pPr>
        <w:pStyle w:val="afe"/>
        <w:numPr>
          <w:ilvl w:val="0"/>
          <w:numId w:val="75"/>
        </w:numPr>
        <w:ind w:firstLine="709"/>
        <w:rPr>
          <w:rFonts w:cs="Times New Roman"/>
          <w:color w:val="000000"/>
          <w:szCs w:val="24"/>
          <w:shd w:val="clear" w:color="auto" w:fill="FFFFFF"/>
        </w:rPr>
      </w:pPr>
      <w:r w:rsidRPr="00611EC1">
        <w:rPr>
          <w:rFonts w:cs="Times New Roman"/>
          <w:color w:val="1E1E1E"/>
          <w:spacing w:val="2"/>
          <w:szCs w:val="24"/>
        </w:rPr>
        <w:t xml:space="preserve">Лабораторная диагностика: </w:t>
      </w:r>
    </w:p>
    <w:p w14:paraId="72F19C67" w14:textId="7E1C19E2" w:rsidR="009B18E5" w:rsidRPr="00611EC1" w:rsidRDefault="009B18E5" w:rsidP="009B18E5">
      <w:pPr>
        <w:pStyle w:val="afe"/>
        <w:numPr>
          <w:ilvl w:val="0"/>
          <w:numId w:val="78"/>
        </w:numPr>
        <w:ind w:firstLine="709"/>
        <w:rPr>
          <w:rFonts w:cs="Times New Roman"/>
          <w:color w:val="000000"/>
          <w:szCs w:val="24"/>
          <w:shd w:val="clear" w:color="auto" w:fill="FFFFFF"/>
        </w:rPr>
      </w:pPr>
      <w:r w:rsidRPr="00611EC1">
        <w:rPr>
          <w:rFonts w:cs="Times New Roman"/>
          <w:color w:val="1E1E1E"/>
          <w:spacing w:val="2"/>
          <w:szCs w:val="24"/>
        </w:rPr>
        <w:t xml:space="preserve">клинический анализ крови (гемоглобин, </w:t>
      </w:r>
      <w:r w:rsidRPr="009D5799">
        <w:rPr>
          <w:rFonts w:cs="Times New Roman"/>
          <w:color w:val="000000" w:themeColor="text1"/>
          <w:spacing w:val="2"/>
          <w:szCs w:val="24"/>
        </w:rPr>
        <w:t xml:space="preserve">тромбоциты, </w:t>
      </w:r>
      <w:r w:rsidRPr="00611EC1">
        <w:rPr>
          <w:rFonts w:cs="Times New Roman"/>
          <w:spacing w:val="2"/>
          <w:szCs w:val="24"/>
        </w:rPr>
        <w:t xml:space="preserve">в том числе и с подсчетом в мазке крови по Фонио, </w:t>
      </w:r>
      <w:r w:rsidRPr="00611EC1">
        <w:rPr>
          <w:rFonts w:cs="Times New Roman"/>
          <w:color w:val="1E1E1E"/>
          <w:spacing w:val="2"/>
          <w:szCs w:val="24"/>
        </w:rPr>
        <w:t xml:space="preserve">лейкоциты с лейкоцитарной формулой, СОЭ) </w:t>
      </w:r>
    </w:p>
    <w:p w14:paraId="3A0A2044" w14:textId="77777777" w:rsidR="009B18E5" w:rsidRPr="00611EC1" w:rsidRDefault="009B18E5" w:rsidP="009B18E5">
      <w:pPr>
        <w:pStyle w:val="afe"/>
        <w:numPr>
          <w:ilvl w:val="0"/>
          <w:numId w:val="78"/>
        </w:numPr>
        <w:ind w:firstLine="709"/>
        <w:rPr>
          <w:rFonts w:cs="Times New Roman"/>
          <w:szCs w:val="24"/>
          <w:shd w:val="clear" w:color="auto" w:fill="FFFFFF"/>
        </w:rPr>
      </w:pPr>
      <w:r w:rsidRPr="00611EC1">
        <w:rPr>
          <w:rFonts w:cs="Times New Roman"/>
          <w:spacing w:val="2"/>
          <w:szCs w:val="24"/>
        </w:rPr>
        <w:t>биохимический анализ крови (общий белок, мочевая кислота, билирубин общий, мочевина, креатинин, калий, натрий, кальций, АСТ, АЛТ, ЛДГ, железо сыворотки, глюкоза крови)</w:t>
      </w:r>
    </w:p>
    <w:p w14:paraId="3184AC7E" w14:textId="77777777" w:rsidR="009B18E5" w:rsidRPr="00611EC1" w:rsidRDefault="009B18E5" w:rsidP="009B18E5">
      <w:pPr>
        <w:pStyle w:val="afe"/>
        <w:numPr>
          <w:ilvl w:val="0"/>
          <w:numId w:val="78"/>
        </w:numPr>
        <w:ind w:firstLine="709"/>
        <w:rPr>
          <w:rFonts w:cs="Times New Roman"/>
          <w:szCs w:val="24"/>
          <w:shd w:val="clear" w:color="auto" w:fill="FFFFFF"/>
        </w:rPr>
      </w:pPr>
      <w:r w:rsidRPr="00611EC1">
        <w:rPr>
          <w:rFonts w:cs="Times New Roman"/>
          <w:spacing w:val="2"/>
          <w:szCs w:val="24"/>
        </w:rPr>
        <w:t>развернутая коагулограмма (АЧТВ, протромбиновый индекс, концентрация фибриногена, X</w:t>
      </w:r>
      <w:r w:rsidRPr="00611EC1">
        <w:rPr>
          <w:rFonts w:cs="Times New Roman"/>
          <w:spacing w:val="2"/>
          <w:szCs w:val="24"/>
          <w:lang w:val="en-US"/>
        </w:rPr>
        <w:t>IIa</w:t>
      </w:r>
      <w:r w:rsidRPr="00611EC1">
        <w:rPr>
          <w:rFonts w:cs="Times New Roman"/>
          <w:spacing w:val="2"/>
          <w:szCs w:val="24"/>
        </w:rPr>
        <w:t xml:space="preserve"> зависимый фибринолиз, Фактор </w:t>
      </w:r>
      <w:r w:rsidRPr="00611EC1">
        <w:rPr>
          <w:rFonts w:cs="Times New Roman"/>
          <w:spacing w:val="2"/>
          <w:szCs w:val="24"/>
          <w:lang w:val="en-US"/>
        </w:rPr>
        <w:t>VIII</w:t>
      </w:r>
      <w:r w:rsidRPr="00611EC1">
        <w:rPr>
          <w:rFonts w:cs="Times New Roman"/>
          <w:spacing w:val="2"/>
          <w:szCs w:val="24"/>
        </w:rPr>
        <w:t>, Фактор Виллебранда, агрегация тромбоцитов с ристомицином).</w:t>
      </w:r>
    </w:p>
    <w:p w14:paraId="49DA24CE" w14:textId="77777777" w:rsidR="009B18E5" w:rsidRPr="00611EC1" w:rsidRDefault="009B18E5" w:rsidP="009B18E5">
      <w:pPr>
        <w:pStyle w:val="afe"/>
        <w:numPr>
          <w:ilvl w:val="0"/>
          <w:numId w:val="78"/>
        </w:numPr>
        <w:ind w:firstLine="709"/>
        <w:rPr>
          <w:rFonts w:cs="Times New Roman"/>
          <w:color w:val="000000"/>
          <w:szCs w:val="24"/>
          <w:shd w:val="clear" w:color="auto" w:fill="FFFFFF"/>
        </w:rPr>
      </w:pPr>
      <w:r w:rsidRPr="00611EC1">
        <w:rPr>
          <w:rFonts w:cs="Times New Roman"/>
          <w:color w:val="1E1E1E"/>
          <w:spacing w:val="2"/>
          <w:szCs w:val="24"/>
        </w:rPr>
        <w:t>тромбоэластограмма (при наличии возможности);</w:t>
      </w:r>
    </w:p>
    <w:p w14:paraId="50C2D42B" w14:textId="77777777" w:rsidR="009B18E5" w:rsidRPr="00611EC1" w:rsidRDefault="009B18E5" w:rsidP="009B18E5">
      <w:pPr>
        <w:pStyle w:val="afe"/>
        <w:numPr>
          <w:ilvl w:val="0"/>
          <w:numId w:val="75"/>
        </w:numPr>
        <w:ind w:firstLine="709"/>
        <w:rPr>
          <w:rFonts w:cs="Times New Roman"/>
          <w:szCs w:val="24"/>
        </w:rPr>
      </w:pPr>
      <w:r w:rsidRPr="00611EC1">
        <w:rPr>
          <w:rFonts w:cs="Times New Roman"/>
          <w:color w:val="1E1E1E"/>
          <w:spacing w:val="2"/>
          <w:szCs w:val="24"/>
        </w:rPr>
        <w:t>Инструменальная диагностика:</w:t>
      </w:r>
    </w:p>
    <w:p w14:paraId="5D524D96" w14:textId="77777777" w:rsidR="009B18E5" w:rsidRPr="00611EC1" w:rsidRDefault="009B18E5" w:rsidP="009B18E5">
      <w:pPr>
        <w:pStyle w:val="afe"/>
        <w:numPr>
          <w:ilvl w:val="0"/>
          <w:numId w:val="79"/>
        </w:numPr>
        <w:ind w:firstLine="709"/>
        <w:rPr>
          <w:rFonts w:cs="Times New Roman"/>
          <w:szCs w:val="24"/>
        </w:rPr>
      </w:pPr>
      <w:r w:rsidRPr="00611EC1">
        <w:rPr>
          <w:rFonts w:cs="Times New Roman"/>
          <w:color w:val="1E1E1E"/>
          <w:spacing w:val="2"/>
          <w:szCs w:val="24"/>
        </w:rPr>
        <w:t xml:space="preserve">Трансвагинальное </w:t>
      </w:r>
      <w:r w:rsidRPr="00611EC1">
        <w:rPr>
          <w:rFonts w:cs="Times New Roman"/>
          <w:szCs w:val="24"/>
          <w:shd w:val="clear" w:color="auto" w:fill="FFFFFF"/>
        </w:rPr>
        <w:t>ультразвуковое исследование (ТВ</w:t>
      </w:r>
      <w:r w:rsidRPr="00611EC1">
        <w:rPr>
          <w:rFonts w:cs="Times New Roman"/>
          <w:spacing w:val="2"/>
          <w:szCs w:val="24"/>
        </w:rPr>
        <w:t>УЗИ</w:t>
      </w:r>
      <w:r w:rsidRPr="00611EC1">
        <w:rPr>
          <w:rFonts w:cs="Times New Roman"/>
          <w:color w:val="1E1E1E"/>
          <w:spacing w:val="2"/>
          <w:szCs w:val="24"/>
        </w:rPr>
        <w:t xml:space="preserve">) </w:t>
      </w:r>
    </w:p>
    <w:p w14:paraId="397756C6" w14:textId="77777777" w:rsidR="009B18E5" w:rsidRDefault="009B18E5" w:rsidP="009B18E5">
      <w:pPr>
        <w:ind w:firstLine="709"/>
        <w:rPr>
          <w:b/>
          <w:color w:val="1E1E1E"/>
          <w:spacing w:val="2"/>
        </w:rPr>
      </w:pPr>
    </w:p>
    <w:p w14:paraId="3248B742" w14:textId="629ADB29" w:rsidR="009B18E5" w:rsidRPr="00611EC1" w:rsidRDefault="009B18E5" w:rsidP="009D5799">
      <w:pPr>
        <w:rPr>
          <w:color w:val="FF0000"/>
          <w:spacing w:val="2"/>
        </w:rPr>
      </w:pPr>
      <w:r w:rsidRPr="00611EC1">
        <w:rPr>
          <w:i/>
          <w:color w:val="1E1E1E"/>
          <w:spacing w:val="2"/>
          <w:u w:val="single"/>
        </w:rPr>
        <w:t>Дополнительные методы обследования</w:t>
      </w:r>
      <w:r w:rsidRPr="00611EC1">
        <w:rPr>
          <w:b/>
          <w:color w:val="1E1E1E"/>
          <w:spacing w:val="2"/>
        </w:rPr>
        <w:t xml:space="preserve"> </w:t>
      </w:r>
      <w:r w:rsidRPr="00611EC1">
        <w:rPr>
          <w:color w:val="1E1E1E"/>
          <w:spacing w:val="2"/>
        </w:rPr>
        <w:t>проводятся при необходимости (по клиническим показаниям)</w:t>
      </w:r>
      <w:r>
        <w:rPr>
          <w:color w:val="1E1E1E"/>
          <w:spacing w:val="2"/>
        </w:rPr>
        <w:t xml:space="preserve"> </w:t>
      </w:r>
      <w:r>
        <w:rPr>
          <w:color w:val="1E1E1E"/>
          <w:spacing w:val="2"/>
        </w:rPr>
        <w:fldChar w:fldCharType="begin" w:fldLock="1"/>
      </w:r>
      <w:r w:rsidR="009749DB">
        <w:rPr>
          <w:color w:val="1E1E1E"/>
          <w:spacing w:val="2"/>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[142,143]","plainTextFormattedCitation":"[142,143]","previouslyFormattedCitation":"[142,143]"},"properties":{"noteIndex":0},"schema":"https://github.com/citation-style-language/schema/raw/master/csl-citation.json"}</w:instrText>
      </w:r>
      <w:r>
        <w:rPr>
          <w:color w:val="1E1E1E"/>
          <w:spacing w:val="2"/>
        </w:rPr>
        <w:fldChar w:fldCharType="separate"/>
      </w:r>
      <w:r w:rsidR="009D5799" w:rsidRPr="009D5799">
        <w:rPr>
          <w:noProof/>
          <w:color w:val="1E1E1E"/>
          <w:spacing w:val="2"/>
        </w:rPr>
        <w:t>[142,143]</w:t>
      </w:r>
      <w:r>
        <w:rPr>
          <w:color w:val="1E1E1E"/>
          <w:spacing w:val="2"/>
        </w:rPr>
        <w:fldChar w:fldCharType="end"/>
      </w:r>
      <w:r w:rsidRPr="00611EC1">
        <w:rPr>
          <w:color w:val="1E1E1E"/>
          <w:spacing w:val="2"/>
        </w:rPr>
        <w:t xml:space="preserve">: </w:t>
      </w:r>
    </w:p>
    <w:p w14:paraId="2AAB23D6" w14:textId="77777777" w:rsidR="009B18E5" w:rsidRPr="00611EC1" w:rsidRDefault="009B18E5" w:rsidP="009B18E5">
      <w:pPr>
        <w:pStyle w:val="afe"/>
        <w:numPr>
          <w:ilvl w:val="0"/>
          <w:numId w:val="81"/>
        </w:numPr>
        <w:ind w:firstLine="709"/>
        <w:rPr>
          <w:rFonts w:cs="Times New Roman"/>
          <w:color w:val="1E1E1E"/>
          <w:spacing w:val="2"/>
          <w:szCs w:val="24"/>
        </w:rPr>
      </w:pPr>
      <w:r w:rsidRPr="00611EC1">
        <w:rPr>
          <w:rFonts w:cs="Times New Roman"/>
          <w:color w:val="1E1E1E"/>
          <w:spacing w:val="2"/>
          <w:szCs w:val="24"/>
        </w:rPr>
        <w:t>МРТ органов малого таза.</w:t>
      </w:r>
    </w:p>
    <w:p w14:paraId="028A9FD0" w14:textId="77777777" w:rsidR="009B18E5" w:rsidRPr="00611EC1" w:rsidRDefault="009B18E5" w:rsidP="009B18E5">
      <w:pPr>
        <w:pStyle w:val="afe"/>
        <w:numPr>
          <w:ilvl w:val="0"/>
          <w:numId w:val="81"/>
        </w:numPr>
        <w:ind w:firstLine="709"/>
        <w:rPr>
          <w:rFonts w:cs="Times New Roman"/>
          <w:color w:val="1E1E1E"/>
          <w:spacing w:val="2"/>
          <w:szCs w:val="24"/>
        </w:rPr>
      </w:pPr>
      <w:r w:rsidRPr="00611EC1">
        <w:rPr>
          <w:rFonts w:cs="Times New Roman"/>
          <w:color w:val="1E1E1E"/>
          <w:spacing w:val="2"/>
          <w:szCs w:val="24"/>
        </w:rPr>
        <w:t xml:space="preserve">Определение онкомаркеров в сыворотке крови (при подозрении на </w:t>
      </w:r>
      <w:r w:rsidRPr="00611EC1">
        <w:rPr>
          <w:rFonts w:cs="Times New Roman"/>
          <w:color w:val="000000"/>
          <w:szCs w:val="24"/>
          <w:shd w:val="clear" w:color="auto" w:fill="FFFFFF"/>
        </w:rPr>
        <w:t>злокачественные образования матки, яичников):</w:t>
      </w:r>
    </w:p>
    <w:p w14:paraId="1B21A497" w14:textId="77777777" w:rsidR="009B18E5" w:rsidRPr="00611EC1" w:rsidRDefault="009B18E5" w:rsidP="009B18E5">
      <w:pPr>
        <w:pStyle w:val="afe"/>
        <w:numPr>
          <w:ilvl w:val="0"/>
          <w:numId w:val="79"/>
        </w:numPr>
        <w:ind w:firstLine="709"/>
        <w:rPr>
          <w:rFonts w:cs="Times New Roman"/>
          <w:spacing w:val="2"/>
          <w:szCs w:val="24"/>
        </w:rPr>
      </w:pPr>
      <w:r w:rsidRPr="00611EC1">
        <w:rPr>
          <w:rFonts w:cs="Times New Roman"/>
          <w:spacing w:val="2"/>
          <w:szCs w:val="24"/>
        </w:rPr>
        <w:t>РЭА раково-эмбриональный антиген-рак матки, рак яичников.</w:t>
      </w:r>
    </w:p>
    <w:p w14:paraId="74B3E6E8" w14:textId="77777777" w:rsidR="009B18E5" w:rsidRPr="00611EC1" w:rsidRDefault="009B18E5" w:rsidP="009B18E5">
      <w:pPr>
        <w:pStyle w:val="afe"/>
        <w:numPr>
          <w:ilvl w:val="0"/>
          <w:numId w:val="79"/>
        </w:numPr>
        <w:ind w:firstLine="709"/>
        <w:rPr>
          <w:rFonts w:cs="Times New Roman"/>
          <w:spacing w:val="2"/>
          <w:szCs w:val="24"/>
        </w:rPr>
      </w:pPr>
      <w:r w:rsidRPr="00611EC1">
        <w:rPr>
          <w:rFonts w:cs="Times New Roman"/>
          <w:spacing w:val="2"/>
          <w:szCs w:val="24"/>
        </w:rPr>
        <w:t>СА-125-рак яичников, рак матки,молочной железы.</w:t>
      </w:r>
    </w:p>
    <w:p w14:paraId="34AE5003" w14:textId="77777777" w:rsidR="009B18E5" w:rsidRPr="00611EC1" w:rsidRDefault="009B18E5" w:rsidP="009B18E5">
      <w:pPr>
        <w:pStyle w:val="afe"/>
        <w:numPr>
          <w:ilvl w:val="0"/>
          <w:numId w:val="79"/>
        </w:numPr>
        <w:ind w:firstLine="709"/>
        <w:rPr>
          <w:rFonts w:cs="Times New Roman"/>
          <w:spacing w:val="2"/>
          <w:szCs w:val="24"/>
        </w:rPr>
      </w:pPr>
      <w:r w:rsidRPr="00611EC1">
        <w:rPr>
          <w:rFonts w:cs="Times New Roman"/>
          <w:spacing w:val="2"/>
          <w:szCs w:val="24"/>
        </w:rPr>
        <w:t>СА15-3- рак молочной железы.</w:t>
      </w:r>
    </w:p>
    <w:p w14:paraId="1E405524" w14:textId="77777777" w:rsidR="009B18E5" w:rsidRPr="00611EC1" w:rsidRDefault="009B18E5" w:rsidP="009B18E5">
      <w:pPr>
        <w:pStyle w:val="afe"/>
        <w:numPr>
          <w:ilvl w:val="0"/>
          <w:numId w:val="79"/>
        </w:numPr>
        <w:ind w:firstLine="709"/>
        <w:rPr>
          <w:rFonts w:cs="Times New Roman"/>
          <w:spacing w:val="2"/>
          <w:szCs w:val="24"/>
        </w:rPr>
      </w:pPr>
      <w:r w:rsidRPr="00611EC1">
        <w:rPr>
          <w:rFonts w:cs="Times New Roman"/>
          <w:spacing w:val="2"/>
          <w:szCs w:val="24"/>
        </w:rPr>
        <w:t>ХГЧ-хорионкарцинома яичника.</w:t>
      </w:r>
    </w:p>
    <w:p w14:paraId="250EF596" w14:textId="77777777" w:rsidR="009B18E5" w:rsidRPr="00611EC1" w:rsidRDefault="009B18E5" w:rsidP="009B18E5">
      <w:pPr>
        <w:pStyle w:val="afe"/>
        <w:numPr>
          <w:ilvl w:val="0"/>
          <w:numId w:val="79"/>
        </w:numPr>
        <w:ind w:firstLine="709"/>
        <w:rPr>
          <w:rFonts w:cs="Times New Roman"/>
          <w:spacing w:val="2"/>
          <w:szCs w:val="24"/>
        </w:rPr>
      </w:pPr>
      <w:r w:rsidRPr="00611EC1">
        <w:rPr>
          <w:rFonts w:cs="Times New Roman"/>
          <w:spacing w:val="2"/>
          <w:szCs w:val="24"/>
        </w:rPr>
        <w:t>СА72-4-рак яичников.</w:t>
      </w:r>
    </w:p>
    <w:p w14:paraId="49F0351D" w14:textId="77777777" w:rsidR="009B18E5" w:rsidRPr="00611EC1" w:rsidRDefault="009B18E5" w:rsidP="009B18E5">
      <w:pPr>
        <w:pStyle w:val="afe"/>
        <w:numPr>
          <w:ilvl w:val="0"/>
          <w:numId w:val="79"/>
        </w:numPr>
        <w:ind w:firstLine="709"/>
        <w:rPr>
          <w:rFonts w:cs="Times New Roman"/>
          <w:spacing w:val="2"/>
          <w:szCs w:val="24"/>
        </w:rPr>
      </w:pPr>
      <w:r w:rsidRPr="00611EC1">
        <w:rPr>
          <w:rFonts w:cs="Times New Roman"/>
          <w:spacing w:val="2"/>
          <w:szCs w:val="24"/>
        </w:rPr>
        <w:t>НЕ4-рак яичников.</w:t>
      </w:r>
    </w:p>
    <w:p w14:paraId="1F32672A" w14:textId="77777777" w:rsidR="009B18E5" w:rsidRPr="00611EC1" w:rsidRDefault="009B18E5" w:rsidP="009B18E5">
      <w:pPr>
        <w:pStyle w:val="afe"/>
        <w:numPr>
          <w:ilvl w:val="0"/>
          <w:numId w:val="81"/>
        </w:numPr>
        <w:ind w:firstLine="709"/>
        <w:rPr>
          <w:rFonts w:cs="Times New Roman"/>
          <w:szCs w:val="24"/>
        </w:rPr>
      </w:pPr>
      <w:r w:rsidRPr="00611EC1">
        <w:rPr>
          <w:rFonts w:cs="Times New Roman"/>
          <w:color w:val="1E1E1E"/>
          <w:spacing w:val="2"/>
          <w:szCs w:val="24"/>
        </w:rPr>
        <w:t xml:space="preserve">Гистероскопия и раздельное диагностическое выскабливание эндометрия и эндоцервикса (при внутриматочной патологии) с последующим </w:t>
      </w:r>
      <w:r w:rsidRPr="00611EC1">
        <w:rPr>
          <w:rFonts w:cs="Times New Roman"/>
          <w:spacing w:val="2"/>
          <w:szCs w:val="24"/>
        </w:rPr>
        <w:t>гистологическим, и при необходимости микробиологическим исследованием биоптатов, отделяемого.</w:t>
      </w:r>
    </w:p>
    <w:p w14:paraId="6BAC70A0" w14:textId="77777777" w:rsidR="009B18E5" w:rsidRPr="00611EC1" w:rsidRDefault="009B18E5" w:rsidP="009B18E5">
      <w:pPr>
        <w:ind w:firstLine="709"/>
        <w:rPr>
          <w:spacing w:val="2"/>
        </w:rPr>
      </w:pPr>
      <w:r w:rsidRPr="00611EC1">
        <w:rPr>
          <w:color w:val="1E1E1E"/>
          <w:spacing w:val="2"/>
        </w:rPr>
        <w:lastRenderedPageBreak/>
        <w:t xml:space="preserve">Повторные лабораторные и инструментальные исследования проводятся по </w:t>
      </w:r>
      <w:r w:rsidRPr="00611EC1">
        <w:rPr>
          <w:spacing w:val="2"/>
        </w:rPr>
        <w:t>клиническим показаниям на любом этапе диагностики, лечения и наблюдения пациентки с гематологическим заболеванием.</w:t>
      </w:r>
    </w:p>
    <w:p w14:paraId="51699712" w14:textId="77777777" w:rsidR="009B18E5" w:rsidRDefault="009B18E5" w:rsidP="009B18E5">
      <w:pPr>
        <w:rPr>
          <w:b/>
        </w:rPr>
      </w:pPr>
    </w:p>
    <w:p w14:paraId="5AD56B93" w14:textId="77777777" w:rsidR="009B18E5" w:rsidRPr="00611EC1" w:rsidRDefault="009B18E5" w:rsidP="009B18E5">
      <w:pPr>
        <w:rPr>
          <w:b/>
        </w:rPr>
      </w:pPr>
      <w:r w:rsidRPr="00611EC1">
        <w:rPr>
          <w:b/>
        </w:rPr>
        <w:t xml:space="preserve">Лечебная тактика при маточных кровотечениях: </w:t>
      </w:r>
    </w:p>
    <w:p w14:paraId="488CBEAB" w14:textId="77777777" w:rsidR="009B18E5" w:rsidRPr="00611EC1" w:rsidRDefault="009B18E5" w:rsidP="009B18E5">
      <w:pPr>
        <w:ind w:left="142" w:firstLine="709"/>
        <w:rPr>
          <w:shd w:val="clear" w:color="auto" w:fill="FFFFFF"/>
        </w:rPr>
      </w:pPr>
      <w:r w:rsidRPr="00611EC1">
        <w:rPr>
          <w:shd w:val="clear" w:color="auto" w:fill="FFFFFF"/>
        </w:rPr>
        <w:t xml:space="preserve">Диагностика, тактика ведения и выбор метода терапии </w:t>
      </w:r>
      <w:r w:rsidRPr="00611EC1">
        <w:t>АМК у пациенток с гематологической патологией</w:t>
      </w:r>
      <w:r w:rsidRPr="00611EC1">
        <w:rPr>
          <w:shd w:val="clear" w:color="auto" w:fill="FFFFFF"/>
        </w:rPr>
        <w:t xml:space="preserve"> осуществляется совместно с врачом-гематологом. Лечение АМК проводится дифференцированно, в соответствии с выявленной патологией. </w:t>
      </w:r>
    </w:p>
    <w:p w14:paraId="5A7B7EE9" w14:textId="77777777" w:rsidR="009B18E5" w:rsidRDefault="009B18E5" w:rsidP="009B18E5">
      <w:pPr>
        <w:shd w:val="clear" w:color="auto" w:fill="FFFFFF"/>
        <w:rPr>
          <w:bCs/>
          <w:i/>
          <w:color w:val="333333"/>
          <w:u w:val="single"/>
        </w:rPr>
      </w:pPr>
    </w:p>
    <w:p w14:paraId="4EC093D9" w14:textId="5C686EAC" w:rsidR="009B18E5" w:rsidRPr="00611EC1" w:rsidRDefault="009B18E5" w:rsidP="009B18E5">
      <w:pPr>
        <w:shd w:val="clear" w:color="auto" w:fill="FFFFFF"/>
        <w:rPr>
          <w:bCs/>
          <w:i/>
          <w:color w:val="333333"/>
          <w:u w:val="single"/>
        </w:rPr>
      </w:pPr>
      <w:r w:rsidRPr="00611EC1">
        <w:rPr>
          <w:bCs/>
          <w:i/>
          <w:color w:val="333333"/>
          <w:u w:val="single"/>
        </w:rPr>
        <w:t>Основные цели терапии АМК</w:t>
      </w:r>
      <w:r>
        <w:rPr>
          <w:bCs/>
          <w:i/>
          <w:color w:val="333333"/>
          <w:u w:val="single"/>
        </w:rPr>
        <w:t xml:space="preserve"> </w:t>
      </w:r>
      <w:r>
        <w:rPr>
          <w:color w:val="1E1E1E"/>
          <w:spacing w:val="2"/>
        </w:rPr>
        <w:fldChar w:fldCharType="begin" w:fldLock="1"/>
      </w:r>
      <w:r w:rsidR="009749DB">
        <w:rPr>
          <w:color w:val="1E1E1E"/>
          <w:spacing w:val="2"/>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[142,143]","plainTextFormattedCitation":"[142,143]","previouslyFormattedCitation":"[142,143]"},"properties":{"noteIndex":0},"schema":"https://github.com/citation-style-language/schema/raw/master/csl-citation.json"}</w:instrText>
      </w:r>
      <w:r>
        <w:rPr>
          <w:color w:val="1E1E1E"/>
          <w:spacing w:val="2"/>
        </w:rPr>
        <w:fldChar w:fldCharType="separate"/>
      </w:r>
      <w:r w:rsidR="009D5799" w:rsidRPr="009D5799">
        <w:rPr>
          <w:noProof/>
          <w:color w:val="1E1E1E"/>
          <w:spacing w:val="2"/>
        </w:rPr>
        <w:t>[142,143]</w:t>
      </w:r>
      <w:r>
        <w:rPr>
          <w:color w:val="1E1E1E"/>
          <w:spacing w:val="2"/>
        </w:rPr>
        <w:fldChar w:fldCharType="end"/>
      </w:r>
      <w:r w:rsidRPr="00611EC1">
        <w:rPr>
          <w:bCs/>
          <w:i/>
          <w:color w:val="333333"/>
          <w:u w:val="single"/>
        </w:rPr>
        <w:t xml:space="preserve">: </w:t>
      </w:r>
    </w:p>
    <w:p w14:paraId="4CF4D88D" w14:textId="77777777" w:rsidR="009B18E5" w:rsidRPr="00611EC1" w:rsidRDefault="009B18E5" w:rsidP="009B18E5">
      <w:pPr>
        <w:pStyle w:val="afe"/>
        <w:numPr>
          <w:ilvl w:val="0"/>
          <w:numId w:val="74"/>
        </w:numPr>
        <w:ind w:left="142" w:firstLine="709"/>
        <w:rPr>
          <w:rFonts w:cs="Times New Roman"/>
          <w:szCs w:val="24"/>
          <w:shd w:val="clear" w:color="auto" w:fill="FFFFFF"/>
        </w:rPr>
      </w:pPr>
      <w:r w:rsidRPr="00611EC1">
        <w:rPr>
          <w:rFonts w:cs="Times New Roman"/>
          <w:szCs w:val="24"/>
          <w:shd w:val="clear" w:color="auto" w:fill="FFFFFF"/>
        </w:rPr>
        <w:t xml:space="preserve">Остановка кровотечения; </w:t>
      </w:r>
    </w:p>
    <w:p w14:paraId="68248890" w14:textId="77777777" w:rsidR="009B18E5" w:rsidRPr="00611EC1" w:rsidRDefault="009B18E5" w:rsidP="009B18E5">
      <w:pPr>
        <w:pStyle w:val="afe"/>
        <w:numPr>
          <w:ilvl w:val="0"/>
          <w:numId w:val="74"/>
        </w:numPr>
        <w:ind w:left="142" w:firstLine="709"/>
        <w:rPr>
          <w:rFonts w:cs="Times New Roman"/>
          <w:szCs w:val="24"/>
          <w:shd w:val="clear" w:color="auto" w:fill="FFFFFF"/>
        </w:rPr>
      </w:pPr>
      <w:r w:rsidRPr="00611EC1">
        <w:rPr>
          <w:rFonts w:cs="Times New Roman"/>
          <w:szCs w:val="24"/>
          <w:shd w:val="clear" w:color="auto" w:fill="FFFFFF"/>
        </w:rPr>
        <w:t xml:space="preserve">Профилактика рецидивов АМК. </w:t>
      </w:r>
    </w:p>
    <w:p w14:paraId="5C97F95E" w14:textId="77777777" w:rsidR="009B18E5" w:rsidRPr="00611EC1" w:rsidRDefault="009B18E5" w:rsidP="009B18E5">
      <w:pPr>
        <w:ind w:left="142" w:firstLine="709"/>
        <w:rPr>
          <w:shd w:val="clear" w:color="auto" w:fill="FFFFFF"/>
        </w:rPr>
      </w:pPr>
      <w:r w:rsidRPr="00611EC1">
        <w:rPr>
          <w:shd w:val="clear" w:color="auto" w:fill="FFFFFF"/>
        </w:rPr>
        <w:t xml:space="preserve">Осуществление гемостаза возможно как посредством консервативных мероприятий, так и, в ряде случаев, оперативным путем. </w:t>
      </w:r>
    </w:p>
    <w:p w14:paraId="4D466B0E" w14:textId="77777777" w:rsidR="009B18E5" w:rsidRDefault="009B18E5" w:rsidP="009B18E5">
      <w:pPr>
        <w:shd w:val="clear" w:color="auto" w:fill="FFFFFF"/>
        <w:rPr>
          <w:bCs/>
          <w:i/>
          <w:color w:val="333333"/>
          <w:u w:val="single"/>
        </w:rPr>
      </w:pPr>
    </w:p>
    <w:p w14:paraId="2185E51C" w14:textId="5B7AACF2" w:rsidR="009B18E5" w:rsidRPr="00611EC1" w:rsidRDefault="009B18E5" w:rsidP="009B18E5">
      <w:pPr>
        <w:shd w:val="clear" w:color="auto" w:fill="FFFFFF"/>
        <w:rPr>
          <w:bCs/>
          <w:i/>
          <w:color w:val="333333"/>
          <w:u w:val="single"/>
        </w:rPr>
      </w:pPr>
      <w:r w:rsidRPr="00611EC1">
        <w:rPr>
          <w:bCs/>
          <w:i/>
          <w:color w:val="333333"/>
          <w:u w:val="single"/>
        </w:rPr>
        <w:t>Консервативные методы гемостаза</w:t>
      </w:r>
      <w:r>
        <w:rPr>
          <w:bCs/>
          <w:i/>
          <w:color w:val="333333"/>
          <w:u w:val="single"/>
        </w:rPr>
        <w:t xml:space="preserve"> </w:t>
      </w:r>
      <w:r>
        <w:rPr>
          <w:color w:val="1E1E1E"/>
          <w:spacing w:val="2"/>
        </w:rPr>
        <w:fldChar w:fldCharType="begin" w:fldLock="1"/>
      </w:r>
      <w:r w:rsidR="009749DB">
        <w:rPr>
          <w:color w:val="1E1E1E"/>
          <w:spacing w:val="2"/>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[142,143]","plainTextFormattedCitation":"[142,143]","previouslyFormattedCitation":"[142,143]"},"properties":{"noteIndex":0},"schema":"https://github.com/citation-style-language/schema/raw/master/csl-citation.json"}</w:instrText>
      </w:r>
      <w:r>
        <w:rPr>
          <w:color w:val="1E1E1E"/>
          <w:spacing w:val="2"/>
        </w:rPr>
        <w:fldChar w:fldCharType="separate"/>
      </w:r>
      <w:r w:rsidR="009D5799" w:rsidRPr="009D5799">
        <w:rPr>
          <w:noProof/>
          <w:color w:val="1E1E1E"/>
          <w:spacing w:val="2"/>
        </w:rPr>
        <w:t>[142,143]</w:t>
      </w:r>
      <w:r>
        <w:rPr>
          <w:color w:val="1E1E1E"/>
          <w:spacing w:val="2"/>
        </w:rPr>
        <w:fldChar w:fldCharType="end"/>
      </w:r>
      <w:r w:rsidRPr="00611EC1">
        <w:rPr>
          <w:bCs/>
          <w:i/>
          <w:color w:val="333333"/>
          <w:u w:val="single"/>
        </w:rPr>
        <w:t>.</w:t>
      </w:r>
    </w:p>
    <w:p w14:paraId="28B321AA" w14:textId="77777777" w:rsidR="009B18E5" w:rsidRPr="00611EC1" w:rsidRDefault="009B18E5" w:rsidP="009B18E5">
      <w:pPr>
        <w:pStyle w:val="afe"/>
        <w:numPr>
          <w:ilvl w:val="0"/>
          <w:numId w:val="77"/>
        </w:numPr>
        <w:ind w:firstLine="709"/>
        <w:rPr>
          <w:rFonts w:cs="Times New Roman"/>
          <w:szCs w:val="24"/>
          <w:shd w:val="clear" w:color="auto" w:fill="FFFFFF"/>
        </w:rPr>
      </w:pPr>
      <w:r w:rsidRPr="00611EC1">
        <w:rPr>
          <w:rFonts w:cs="Times New Roman"/>
          <w:szCs w:val="24"/>
          <w:shd w:val="clear" w:color="auto" w:fill="FFFFFF"/>
        </w:rPr>
        <w:t>Заместительная гемотрансфузионная терапия компонентами крови:</w:t>
      </w:r>
    </w:p>
    <w:p w14:paraId="7B1F3CF6" w14:textId="77777777" w:rsidR="009B18E5" w:rsidRPr="00611EC1" w:rsidRDefault="009B18E5" w:rsidP="009B18E5">
      <w:pPr>
        <w:pStyle w:val="afe"/>
        <w:ind w:left="502"/>
        <w:rPr>
          <w:rFonts w:cs="Times New Roman"/>
          <w:strike/>
          <w:szCs w:val="24"/>
          <w:shd w:val="clear" w:color="auto" w:fill="FFFFFF"/>
        </w:rPr>
      </w:pPr>
      <w:r w:rsidRPr="00611EC1">
        <w:rPr>
          <w:rFonts w:cs="Times New Roman"/>
          <w:szCs w:val="24"/>
          <w:shd w:val="clear" w:color="auto" w:fill="FFFFFF"/>
        </w:rPr>
        <w:t xml:space="preserve">- концентрат тромбоцитов; </w:t>
      </w:r>
    </w:p>
    <w:p w14:paraId="7872B122" w14:textId="77777777" w:rsidR="009B18E5" w:rsidRPr="00611EC1" w:rsidRDefault="009B18E5" w:rsidP="009B18E5">
      <w:pPr>
        <w:pStyle w:val="afe"/>
        <w:ind w:left="502"/>
        <w:rPr>
          <w:rFonts w:cs="Times New Roman"/>
          <w:szCs w:val="24"/>
          <w:shd w:val="clear" w:color="auto" w:fill="FFFFFF"/>
        </w:rPr>
      </w:pPr>
      <w:r w:rsidRPr="00611EC1">
        <w:rPr>
          <w:rFonts w:cs="Times New Roman"/>
          <w:szCs w:val="24"/>
          <w:shd w:val="clear" w:color="auto" w:fill="FFFFFF"/>
        </w:rPr>
        <w:t>- свежезамороженная плазма;</w:t>
      </w:r>
    </w:p>
    <w:p w14:paraId="63026AA6" w14:textId="77777777" w:rsidR="009B18E5" w:rsidRPr="00611EC1" w:rsidRDefault="009B18E5" w:rsidP="009B18E5">
      <w:pPr>
        <w:pStyle w:val="afe"/>
        <w:ind w:left="502"/>
        <w:rPr>
          <w:rFonts w:cs="Times New Roman"/>
          <w:szCs w:val="24"/>
          <w:shd w:val="clear" w:color="auto" w:fill="FFFFFF"/>
        </w:rPr>
      </w:pPr>
      <w:r w:rsidRPr="00611EC1">
        <w:rPr>
          <w:rFonts w:cs="Times New Roman"/>
          <w:szCs w:val="24"/>
          <w:shd w:val="clear" w:color="auto" w:fill="FFFFFF"/>
        </w:rPr>
        <w:t>- криопреципитат;</w:t>
      </w:r>
    </w:p>
    <w:p w14:paraId="6EC24189" w14:textId="77777777" w:rsidR="009B18E5" w:rsidRPr="00611EC1" w:rsidRDefault="009B18E5" w:rsidP="009B18E5">
      <w:pPr>
        <w:pStyle w:val="afe"/>
        <w:ind w:left="502"/>
        <w:rPr>
          <w:rFonts w:cs="Times New Roman"/>
          <w:szCs w:val="24"/>
          <w:shd w:val="clear" w:color="auto" w:fill="FFFFFF"/>
        </w:rPr>
      </w:pPr>
      <w:r w:rsidRPr="00611EC1">
        <w:rPr>
          <w:rFonts w:cs="Times New Roman"/>
          <w:szCs w:val="24"/>
          <w:shd w:val="clear" w:color="auto" w:fill="FFFFFF"/>
        </w:rPr>
        <w:t>- эритроцитсодержащие компоненты крови</w:t>
      </w:r>
    </w:p>
    <w:p w14:paraId="2D591FCE" w14:textId="77777777" w:rsidR="009B18E5" w:rsidRPr="00611EC1" w:rsidRDefault="009B18E5" w:rsidP="009B18E5">
      <w:pPr>
        <w:pStyle w:val="afe"/>
        <w:numPr>
          <w:ilvl w:val="0"/>
          <w:numId w:val="77"/>
        </w:numPr>
        <w:ind w:firstLine="709"/>
        <w:rPr>
          <w:rFonts w:cs="Times New Roman"/>
          <w:szCs w:val="24"/>
          <w:shd w:val="clear" w:color="auto" w:fill="FFFFFF"/>
        </w:rPr>
      </w:pPr>
      <w:r w:rsidRPr="00611EC1">
        <w:rPr>
          <w:rFonts w:cs="Times New Roman"/>
          <w:szCs w:val="24"/>
          <w:shd w:val="clear" w:color="auto" w:fill="FFFFFF"/>
        </w:rPr>
        <w:t xml:space="preserve">Ингибиторы фибринолиза: </w:t>
      </w:r>
    </w:p>
    <w:p w14:paraId="4F25DF34" w14:textId="59194EC6" w:rsidR="009B18E5" w:rsidRPr="00611EC1" w:rsidRDefault="009B18E5" w:rsidP="009B18E5">
      <w:pPr>
        <w:pStyle w:val="afe"/>
        <w:ind w:left="502"/>
        <w:rPr>
          <w:rFonts w:cs="Times New Roman"/>
          <w:szCs w:val="24"/>
          <w:shd w:val="clear" w:color="auto" w:fill="FFFFFF"/>
        </w:rPr>
      </w:pPr>
      <w:r w:rsidRPr="00611EC1">
        <w:rPr>
          <w:rFonts w:cs="Times New Roman"/>
          <w:szCs w:val="24"/>
          <w:shd w:val="clear" w:color="auto" w:fill="FFFFFF"/>
        </w:rPr>
        <w:t>транексамовая кислота- 250 - 500 мг внутрь х 3-4 р/день; или внутривенно 1000 мг х 3–4 раза в сутки, курс лечения 5-7 дней; апротинин и др.</w:t>
      </w:r>
    </w:p>
    <w:p w14:paraId="7AF09EA9" w14:textId="77777777" w:rsidR="009B18E5" w:rsidRPr="00611EC1" w:rsidRDefault="009B18E5" w:rsidP="009B18E5">
      <w:pPr>
        <w:pStyle w:val="afe"/>
        <w:numPr>
          <w:ilvl w:val="0"/>
          <w:numId w:val="77"/>
        </w:numPr>
        <w:ind w:firstLine="709"/>
        <w:rPr>
          <w:rFonts w:cs="Times New Roman"/>
          <w:szCs w:val="24"/>
          <w:shd w:val="clear" w:color="auto" w:fill="FFFFFF"/>
        </w:rPr>
      </w:pPr>
      <w:r w:rsidRPr="00611EC1">
        <w:rPr>
          <w:rFonts w:cs="Times New Roman"/>
          <w:szCs w:val="24"/>
          <w:shd w:val="clear" w:color="auto" w:fill="FFFFFF"/>
        </w:rPr>
        <w:t>Гормональный гемостаз</w:t>
      </w:r>
      <w:r w:rsidRPr="00611EC1">
        <w:rPr>
          <w:rFonts w:cs="Times New Roman"/>
          <w:color w:val="333333"/>
          <w:szCs w:val="24"/>
          <w:shd w:val="clear" w:color="auto" w:fill="FFFFFF"/>
        </w:rPr>
        <w:t>:</w:t>
      </w:r>
    </w:p>
    <w:p w14:paraId="7C03B240" w14:textId="1719F003" w:rsidR="009B18E5" w:rsidRPr="00611EC1" w:rsidRDefault="009B18E5" w:rsidP="009B18E5">
      <w:pPr>
        <w:ind w:firstLine="709"/>
        <w:rPr>
          <w:color w:val="333333"/>
          <w:shd w:val="clear" w:color="auto" w:fill="FFFFFF"/>
        </w:rPr>
      </w:pPr>
      <w:r w:rsidRPr="00611EC1">
        <w:rPr>
          <w:shd w:val="clear" w:color="auto" w:fill="FFFFFF"/>
        </w:rPr>
        <w:t xml:space="preserve">        гормональный гемостаз может проводит</w:t>
      </w:r>
      <w:r w:rsidR="009D5799">
        <w:rPr>
          <w:shd w:val="clear" w:color="auto" w:fill="FFFFFF"/>
        </w:rPr>
        <w:t>ь</w:t>
      </w:r>
      <w:r w:rsidRPr="00611EC1">
        <w:rPr>
          <w:shd w:val="clear" w:color="auto" w:fill="FFFFFF"/>
        </w:rPr>
        <w:t xml:space="preserve">ся </w:t>
      </w:r>
      <w:r w:rsidRPr="00611EC1">
        <w:rPr>
          <w:color w:val="333333"/>
          <w:shd w:val="clear" w:color="auto" w:fill="FFFFFF"/>
        </w:rPr>
        <w:t>комбинированными оральными контрацептивами (КОК) или п</w:t>
      </w:r>
      <w:r w:rsidRPr="00611EC1">
        <w:rPr>
          <w:color w:val="1E1E1E"/>
          <w:spacing w:val="2"/>
        </w:rPr>
        <w:t xml:space="preserve">репаратами группы прогестагенов.  </w:t>
      </w:r>
    </w:p>
    <w:p w14:paraId="34DA4101" w14:textId="77777777" w:rsidR="009B18E5" w:rsidRPr="00611EC1" w:rsidRDefault="009B18E5" w:rsidP="009B18E5">
      <w:pPr>
        <w:ind w:left="142" w:firstLine="709"/>
        <w:rPr>
          <w:color w:val="000000"/>
          <w:shd w:val="clear" w:color="auto" w:fill="FFFFFF"/>
        </w:rPr>
      </w:pPr>
      <w:r w:rsidRPr="00611EC1">
        <w:rPr>
          <w:color w:val="000000"/>
          <w:shd w:val="clear" w:color="auto" w:fill="FFFFFF"/>
        </w:rPr>
        <w:t>Гормональный гемостаз КОК целесообразно проводить:</w:t>
      </w:r>
    </w:p>
    <w:p w14:paraId="33FC91AA" w14:textId="77777777" w:rsidR="009B18E5" w:rsidRPr="00611EC1" w:rsidRDefault="009B18E5" w:rsidP="009B18E5">
      <w:pPr>
        <w:ind w:left="142" w:firstLine="709"/>
        <w:rPr>
          <w:color w:val="000000"/>
          <w:shd w:val="clear" w:color="auto" w:fill="FFFFFF"/>
        </w:rPr>
      </w:pPr>
      <w:r w:rsidRPr="00611EC1">
        <w:rPr>
          <w:color w:val="000000"/>
          <w:shd w:val="clear" w:color="auto" w:fill="FFFFFF"/>
        </w:rPr>
        <w:t>- женщинам раннего и активного репродуктивного возраста, которые не относятся к группе риска относительно развития пролиферативных процессов эндометрия;</w:t>
      </w:r>
    </w:p>
    <w:p w14:paraId="7B6CF97A" w14:textId="77777777" w:rsidR="009B18E5" w:rsidRPr="00611EC1" w:rsidRDefault="009B18E5" w:rsidP="009B18E5">
      <w:pPr>
        <w:ind w:left="142" w:firstLine="709"/>
        <w:rPr>
          <w:color w:val="000000"/>
          <w:shd w:val="clear" w:color="auto" w:fill="FFFFFF"/>
        </w:rPr>
      </w:pPr>
      <w:r w:rsidRPr="00611EC1">
        <w:rPr>
          <w:color w:val="000000"/>
          <w:shd w:val="clear" w:color="auto" w:fill="FFFFFF"/>
        </w:rPr>
        <w:t xml:space="preserve">- пациенткам, у которых диагностическое выскабливание проводилось не более 3 мес. назад и при этом не было выявлено патологических изменений эндометрия. </w:t>
      </w:r>
    </w:p>
    <w:p w14:paraId="1EABAB8B" w14:textId="77777777" w:rsidR="009B18E5" w:rsidRPr="00611EC1" w:rsidRDefault="009B18E5" w:rsidP="009B18E5">
      <w:pPr>
        <w:ind w:firstLine="709"/>
        <w:rPr>
          <w:shd w:val="clear" w:color="auto" w:fill="FFFFFF"/>
        </w:rPr>
      </w:pPr>
      <w:r w:rsidRPr="00611EC1">
        <w:rPr>
          <w:shd w:val="clear" w:color="auto" w:fill="FFFFFF"/>
        </w:rPr>
        <w:t>Различают монофазные, двухфазные и трехфазные КОК:</w:t>
      </w:r>
    </w:p>
    <w:p w14:paraId="3AE0AE77" w14:textId="1E368D18" w:rsidR="009B18E5" w:rsidRPr="00611EC1" w:rsidRDefault="009B18E5" w:rsidP="009B18E5">
      <w:pPr>
        <w:pStyle w:val="afe"/>
        <w:numPr>
          <w:ilvl w:val="0"/>
          <w:numId w:val="80"/>
        </w:numPr>
        <w:ind w:firstLine="709"/>
        <w:rPr>
          <w:rFonts w:cs="Times New Roman"/>
          <w:szCs w:val="24"/>
        </w:rPr>
      </w:pPr>
      <w:r w:rsidRPr="00611EC1">
        <w:rPr>
          <w:rFonts w:cs="Times New Roman"/>
          <w:szCs w:val="24"/>
        </w:rPr>
        <w:t xml:space="preserve">Монофазные пероральные контрацептивы содержат в каждой таблетке одну и ту же доза обоих компонентов. Отличаются соотношением эстрогенной и </w:t>
      </w:r>
      <w:r w:rsidRPr="00611EC1">
        <w:rPr>
          <w:rFonts w:cs="Times New Roman"/>
          <w:szCs w:val="24"/>
        </w:rPr>
        <w:lastRenderedPageBreak/>
        <w:t>гестагенной составляющих, а также видом гестагена. В качестве эстрогена, как правило, используют </w:t>
      </w:r>
      <w:r w:rsidRPr="009D5799">
        <w:rPr>
          <w:rFonts w:cs="Times New Roman"/>
          <w:bCs/>
          <w:szCs w:val="24"/>
        </w:rPr>
        <w:t>этинилэстрадиол</w:t>
      </w:r>
      <w:r w:rsidRPr="00611EC1">
        <w:rPr>
          <w:rFonts w:cs="Times New Roman"/>
          <w:szCs w:val="24"/>
        </w:rPr>
        <w:t> (по строению наиболее близкий к эндогенному эстрадиолу). Содержание этинилэстрадиола в монофазных комбинированных контрацептивах колеблется от 0,02 до 0,05 мг, содержание гестагена, как правило – от 0,075 до 0,25 мг.</w:t>
      </w:r>
    </w:p>
    <w:p w14:paraId="5891E332" w14:textId="77777777" w:rsidR="009B18E5" w:rsidRPr="00611EC1" w:rsidRDefault="009B18E5" w:rsidP="009B18E5">
      <w:pPr>
        <w:pStyle w:val="afe"/>
        <w:numPr>
          <w:ilvl w:val="0"/>
          <w:numId w:val="80"/>
        </w:numPr>
        <w:ind w:firstLine="709"/>
        <w:rPr>
          <w:rFonts w:cs="Times New Roman"/>
          <w:szCs w:val="24"/>
        </w:rPr>
      </w:pPr>
      <w:r w:rsidRPr="00611EC1">
        <w:rPr>
          <w:rFonts w:cs="Times New Roman"/>
          <w:szCs w:val="24"/>
        </w:rPr>
        <w:t xml:space="preserve">Двухфазные пероральные контрацептивы </w:t>
      </w:r>
      <w:r w:rsidRPr="00611EC1">
        <w:rPr>
          <w:rFonts w:cs="Times New Roman"/>
          <w:szCs w:val="24"/>
          <w:shd w:val="clear" w:color="auto" w:fill="FFFFFF"/>
        </w:rPr>
        <w:t>состоят из таблеток двух типов, предназначенных для приема соответственно в первую и вторую фазы менструального цикла. При этом содержание эстрогена во всех таблетках одинаково, а гестагена больше в таблетках, принимаемых во второй фазе.</w:t>
      </w:r>
    </w:p>
    <w:p w14:paraId="6FC5D871" w14:textId="77777777" w:rsidR="009B18E5" w:rsidRPr="00611EC1" w:rsidRDefault="009B18E5" w:rsidP="009B18E5">
      <w:pPr>
        <w:pStyle w:val="afe"/>
        <w:numPr>
          <w:ilvl w:val="0"/>
          <w:numId w:val="80"/>
        </w:numPr>
        <w:ind w:firstLine="709"/>
        <w:rPr>
          <w:rFonts w:cs="Times New Roman"/>
          <w:szCs w:val="24"/>
        </w:rPr>
      </w:pPr>
      <w:r w:rsidRPr="00611EC1">
        <w:rPr>
          <w:rFonts w:cs="Times New Roman"/>
          <w:szCs w:val="24"/>
          <w:shd w:val="clear" w:color="auto" w:fill="FFFFFF"/>
        </w:rPr>
        <w:t xml:space="preserve">Трехфазные </w:t>
      </w:r>
      <w:r w:rsidRPr="00611EC1">
        <w:rPr>
          <w:rFonts w:cs="Times New Roman"/>
          <w:szCs w:val="24"/>
        </w:rPr>
        <w:t xml:space="preserve">пероральные контрацептивы </w:t>
      </w:r>
      <w:r w:rsidRPr="00611EC1">
        <w:rPr>
          <w:rFonts w:cs="Times New Roman"/>
          <w:szCs w:val="24"/>
          <w:shd w:val="clear" w:color="auto" w:fill="FFFFFF"/>
        </w:rPr>
        <w:t>включают таблетки трех видов, каждый из которых содержит разные количества и эстрогена, и гестагена.</w:t>
      </w:r>
    </w:p>
    <w:p w14:paraId="140D5ABE" w14:textId="77777777" w:rsidR="009B18E5" w:rsidRPr="00611EC1" w:rsidRDefault="009B18E5" w:rsidP="009B18E5">
      <w:pPr>
        <w:ind w:left="142" w:firstLine="709"/>
        <w:rPr>
          <w:shd w:val="clear" w:color="auto" w:fill="FFFFFF"/>
        </w:rPr>
      </w:pPr>
      <w:r w:rsidRPr="00611EC1">
        <w:t xml:space="preserve">Гемостатическая терапия </w:t>
      </w:r>
      <w:r w:rsidRPr="00611EC1">
        <w:rPr>
          <w:shd w:val="clear" w:color="auto" w:fill="FFFFFF"/>
        </w:rPr>
        <w:t xml:space="preserve">КОК проводится монофазными препаратами, содержащими этинилэстрадиола и гестагены группы норстероидов по схеме:  </w:t>
      </w:r>
      <w:r w:rsidRPr="00611EC1">
        <w:rPr>
          <w:color w:val="000000"/>
          <w:shd w:val="clear" w:color="auto" w:fill="FFFFFF"/>
        </w:rPr>
        <w:t xml:space="preserve">по 1 таб/час до 5 таб. в день в первые сутки </w:t>
      </w:r>
      <w:r w:rsidRPr="00611EC1">
        <w:rPr>
          <w:shd w:val="clear" w:color="auto" w:fill="FFFFFF"/>
        </w:rPr>
        <w:t>до достижения гемостаза, с постепенным ежедневным снижением дозы по 1 таб. в ден</w:t>
      </w:r>
      <w:r w:rsidRPr="00611EC1">
        <w:rPr>
          <w:color w:val="000000"/>
          <w:shd w:val="clear" w:color="auto" w:fill="FFFFFF"/>
        </w:rPr>
        <w:t xml:space="preserve">ь, общей продолжительностью терапии 21 день </w:t>
      </w:r>
      <w:r w:rsidRPr="00611EC1">
        <w:rPr>
          <w:spacing w:val="2"/>
        </w:rPr>
        <w:t>с первого дня гемостатической терапии</w:t>
      </w:r>
      <w:r w:rsidRPr="00611EC1">
        <w:rPr>
          <w:color w:val="000000"/>
          <w:shd w:val="clear" w:color="auto" w:fill="FFFFFF"/>
        </w:rPr>
        <w:t xml:space="preserve">, далее </w:t>
      </w:r>
      <w:r w:rsidRPr="00611EC1">
        <w:rPr>
          <w:spacing w:val="2"/>
        </w:rPr>
        <w:t xml:space="preserve">7-дн. перерыв, и прием в режиме контрацепции, или продолжение приема в непрерывном режиме (в зависимости от клинической ситуации). </w:t>
      </w:r>
    </w:p>
    <w:p w14:paraId="5F5EEFE2" w14:textId="77777777" w:rsidR="009B18E5" w:rsidRPr="00611EC1" w:rsidRDefault="009B18E5" w:rsidP="009B18E5">
      <w:pPr>
        <w:ind w:left="142" w:firstLine="709"/>
        <w:rPr>
          <w:shd w:val="clear" w:color="auto" w:fill="FFFFFF"/>
        </w:rPr>
      </w:pPr>
      <w:r w:rsidRPr="00611EC1">
        <w:t>В эту группу всходят препараты:</w:t>
      </w:r>
    </w:p>
    <w:p w14:paraId="5825882B" w14:textId="3491062B" w:rsidR="009B18E5" w:rsidRPr="00611EC1" w:rsidRDefault="009B18E5" w:rsidP="009B18E5">
      <w:pPr>
        <w:ind w:left="142" w:firstLine="709"/>
        <w:rPr>
          <w:i/>
        </w:rPr>
      </w:pPr>
      <w:r w:rsidRPr="00611EC1">
        <w:t>1) этинилэстрадиол</w:t>
      </w:r>
      <w:r w:rsidR="00DA1752">
        <w:t xml:space="preserve"> </w:t>
      </w:r>
      <w:r w:rsidRPr="00611EC1">
        <w:t>0,03</w:t>
      </w:r>
      <w:r w:rsidR="009D5799">
        <w:t> </w:t>
      </w:r>
      <w:r w:rsidRPr="00611EC1">
        <w:t>мг</w:t>
      </w:r>
      <w:r w:rsidR="00DA1752">
        <w:t xml:space="preserve"> –</w:t>
      </w:r>
      <w:r w:rsidRPr="00611EC1">
        <w:t xml:space="preserve"> левоноргестрел</w:t>
      </w:r>
      <w:r w:rsidR="00DA1752">
        <w:t xml:space="preserve"> </w:t>
      </w:r>
      <w:r w:rsidRPr="00611EC1">
        <w:t>0,15</w:t>
      </w:r>
      <w:r w:rsidR="00DA1752">
        <w:t> </w:t>
      </w:r>
      <w:r w:rsidR="00DA1752" w:rsidRPr="00611EC1">
        <w:t>мг</w:t>
      </w:r>
    </w:p>
    <w:p w14:paraId="32E5B602" w14:textId="05D47578" w:rsidR="009B18E5" w:rsidRPr="00611EC1" w:rsidRDefault="009B18E5" w:rsidP="009B18E5">
      <w:pPr>
        <w:ind w:left="142" w:firstLine="709"/>
      </w:pPr>
      <w:r w:rsidRPr="00611EC1">
        <w:t>2) этинилэстрадиол</w:t>
      </w:r>
      <w:r w:rsidR="00DA1752">
        <w:t xml:space="preserve"> </w:t>
      </w:r>
      <w:r w:rsidRPr="00611EC1">
        <w:t>20</w:t>
      </w:r>
      <w:r w:rsidR="009D5799">
        <w:t> </w:t>
      </w:r>
      <w:r w:rsidRPr="00611EC1">
        <w:t>мкг</w:t>
      </w:r>
      <w:r w:rsidR="00DA1752">
        <w:t xml:space="preserve"> – </w:t>
      </w:r>
      <w:r w:rsidRPr="00611EC1">
        <w:t>дезогестрел</w:t>
      </w:r>
      <w:r w:rsidR="00DA1752">
        <w:t xml:space="preserve"> </w:t>
      </w:r>
      <w:r w:rsidRPr="00611EC1">
        <w:t>150</w:t>
      </w:r>
      <w:r w:rsidR="009D5799">
        <w:t> </w:t>
      </w:r>
      <w:r w:rsidRPr="00611EC1">
        <w:t xml:space="preserve">мкг </w:t>
      </w:r>
    </w:p>
    <w:p w14:paraId="31844325" w14:textId="10D0ACE3" w:rsidR="009B18E5" w:rsidRPr="00611EC1" w:rsidRDefault="009B18E5" w:rsidP="009B18E5">
      <w:pPr>
        <w:ind w:left="142" w:firstLine="709"/>
      </w:pPr>
      <w:r w:rsidRPr="00611EC1">
        <w:t>3) этинилэстрадиол</w:t>
      </w:r>
      <w:r w:rsidR="00DA1752">
        <w:t xml:space="preserve"> </w:t>
      </w:r>
      <w:r w:rsidRPr="00611EC1">
        <w:t>30</w:t>
      </w:r>
      <w:r w:rsidR="009D5799">
        <w:t> </w:t>
      </w:r>
      <w:r w:rsidRPr="00611EC1">
        <w:t>мкг</w:t>
      </w:r>
      <w:r w:rsidR="00DA1752">
        <w:t xml:space="preserve"> – </w:t>
      </w:r>
      <w:r w:rsidRPr="00611EC1">
        <w:t>дезогестрел</w:t>
      </w:r>
      <w:r w:rsidR="00DA1752">
        <w:t xml:space="preserve"> </w:t>
      </w:r>
      <w:r w:rsidRPr="00611EC1">
        <w:t>150</w:t>
      </w:r>
      <w:r w:rsidR="009D5799">
        <w:t> </w:t>
      </w:r>
      <w:r w:rsidRPr="00611EC1">
        <w:t xml:space="preserve">мкг </w:t>
      </w:r>
    </w:p>
    <w:p w14:paraId="3A10A2CE" w14:textId="0762074C" w:rsidR="009B18E5" w:rsidRPr="00611EC1" w:rsidRDefault="009B18E5" w:rsidP="009B18E5">
      <w:pPr>
        <w:ind w:left="142" w:firstLine="709"/>
      </w:pPr>
      <w:r w:rsidRPr="00611EC1">
        <w:t>4) этинилэстрадиол</w:t>
      </w:r>
      <w:r w:rsidR="00DA1752">
        <w:t xml:space="preserve"> </w:t>
      </w:r>
      <w:r w:rsidRPr="00611EC1">
        <w:t>0,03</w:t>
      </w:r>
      <w:r w:rsidR="009D5799">
        <w:t> </w:t>
      </w:r>
      <w:r w:rsidRPr="00611EC1">
        <w:t>мг</w:t>
      </w:r>
      <w:r w:rsidR="00DA1752">
        <w:t xml:space="preserve"> – </w:t>
      </w:r>
      <w:r w:rsidRPr="00611EC1">
        <w:t>диеногест</w:t>
      </w:r>
      <w:r w:rsidR="00DA1752">
        <w:t xml:space="preserve"> </w:t>
      </w:r>
      <w:r w:rsidRPr="00611EC1">
        <w:t>2</w:t>
      </w:r>
      <w:r w:rsidR="009D5799">
        <w:t> </w:t>
      </w:r>
      <w:r w:rsidRPr="00611EC1">
        <w:t xml:space="preserve">мг </w:t>
      </w:r>
    </w:p>
    <w:p w14:paraId="2B4293CD" w14:textId="40A512F8" w:rsidR="009B18E5" w:rsidRPr="00611EC1" w:rsidRDefault="009B18E5" w:rsidP="009B18E5">
      <w:pPr>
        <w:ind w:left="142" w:firstLine="709"/>
      </w:pPr>
      <w:r w:rsidRPr="00611EC1">
        <w:t>5) этинилэстрадиол</w:t>
      </w:r>
      <w:r w:rsidR="00DA1752">
        <w:t xml:space="preserve"> </w:t>
      </w:r>
      <w:r w:rsidRPr="00611EC1">
        <w:t>20</w:t>
      </w:r>
      <w:r w:rsidR="009D5799">
        <w:t> </w:t>
      </w:r>
      <w:r w:rsidRPr="00611EC1">
        <w:t>мкг –</w:t>
      </w:r>
      <w:r w:rsidR="00DA1752">
        <w:t xml:space="preserve"> </w:t>
      </w:r>
      <w:r w:rsidRPr="00611EC1">
        <w:t>гестоден</w:t>
      </w:r>
      <w:r w:rsidR="00DA1752">
        <w:t xml:space="preserve"> </w:t>
      </w:r>
      <w:r w:rsidRPr="00611EC1">
        <w:t>75</w:t>
      </w:r>
      <w:r w:rsidR="009D5799">
        <w:t> </w:t>
      </w:r>
      <w:r w:rsidRPr="00611EC1">
        <w:t xml:space="preserve">мкг </w:t>
      </w:r>
    </w:p>
    <w:p w14:paraId="342CE695" w14:textId="3CC077EB" w:rsidR="009B18E5" w:rsidRPr="00611EC1" w:rsidRDefault="009B18E5" w:rsidP="009B18E5">
      <w:pPr>
        <w:ind w:left="142" w:firstLine="709"/>
      </w:pPr>
      <w:r w:rsidRPr="00611EC1">
        <w:t>6) этинилэстрадиол</w:t>
      </w:r>
      <w:r w:rsidR="00DA1752">
        <w:t xml:space="preserve"> </w:t>
      </w:r>
      <w:r w:rsidRPr="00611EC1">
        <w:t>20</w:t>
      </w:r>
      <w:r w:rsidR="009D5799">
        <w:t> </w:t>
      </w:r>
      <w:r w:rsidRPr="00611EC1">
        <w:t>мкг</w:t>
      </w:r>
      <w:r w:rsidR="00DA1752">
        <w:t xml:space="preserve"> –</w:t>
      </w:r>
      <w:r w:rsidRPr="00611EC1">
        <w:rPr>
          <w:shd w:val="clear" w:color="auto" w:fill="FFFFFF"/>
        </w:rPr>
        <w:t xml:space="preserve"> дроспиренон</w:t>
      </w:r>
      <w:r w:rsidR="00DA1752">
        <w:rPr>
          <w:shd w:val="clear" w:color="auto" w:fill="FFFFFF"/>
        </w:rPr>
        <w:t xml:space="preserve"> </w:t>
      </w:r>
      <w:r w:rsidRPr="00611EC1">
        <w:rPr>
          <w:shd w:val="clear" w:color="auto" w:fill="FFFFFF"/>
        </w:rPr>
        <w:t>3</w:t>
      </w:r>
      <w:r w:rsidR="009D5799">
        <w:rPr>
          <w:shd w:val="clear" w:color="auto" w:fill="FFFFFF"/>
        </w:rPr>
        <w:t> </w:t>
      </w:r>
      <w:r w:rsidRPr="00611EC1">
        <w:rPr>
          <w:shd w:val="clear" w:color="auto" w:fill="FFFFFF"/>
        </w:rPr>
        <w:t>мг</w:t>
      </w:r>
      <w:r w:rsidRPr="00611EC1">
        <w:t xml:space="preserve"> </w:t>
      </w:r>
    </w:p>
    <w:p w14:paraId="3996A411" w14:textId="2E24FA7B" w:rsidR="009B18E5" w:rsidRPr="00611EC1" w:rsidRDefault="009B18E5" w:rsidP="00DA1752">
      <w:pPr>
        <w:ind w:left="142" w:firstLine="709"/>
      </w:pPr>
      <w:r w:rsidRPr="00611EC1">
        <w:t>7) этинилэстрадиол</w:t>
      </w:r>
      <w:r w:rsidR="00DA1752">
        <w:t xml:space="preserve"> </w:t>
      </w:r>
      <w:r w:rsidRPr="00611EC1">
        <w:t>30</w:t>
      </w:r>
      <w:r w:rsidR="009D5799">
        <w:t> </w:t>
      </w:r>
      <w:r w:rsidRPr="00611EC1">
        <w:t>мкг</w:t>
      </w:r>
      <w:r w:rsidR="00DA1752">
        <w:t xml:space="preserve"> –</w:t>
      </w:r>
      <w:r w:rsidRPr="00611EC1">
        <w:t xml:space="preserve"> дроспиренон 3</w:t>
      </w:r>
      <w:r w:rsidR="009D5799">
        <w:t> </w:t>
      </w:r>
      <w:r w:rsidRPr="00611EC1">
        <w:t xml:space="preserve">мг </w:t>
      </w:r>
    </w:p>
    <w:p w14:paraId="6320F405" w14:textId="35D70767" w:rsidR="009B18E5" w:rsidRPr="00611EC1" w:rsidRDefault="009B18E5" w:rsidP="009B18E5">
      <w:pPr>
        <w:ind w:left="142" w:firstLine="709"/>
      </w:pPr>
      <w:r w:rsidRPr="00611EC1">
        <w:t>8) этинилэстрадиол</w:t>
      </w:r>
      <w:r w:rsidR="00DA1752">
        <w:t xml:space="preserve"> </w:t>
      </w:r>
      <w:r w:rsidRPr="00611EC1">
        <w:t>30</w:t>
      </w:r>
      <w:r w:rsidR="009D5799">
        <w:t> </w:t>
      </w:r>
      <w:r w:rsidRPr="00611EC1">
        <w:t>мкг</w:t>
      </w:r>
      <w:r w:rsidR="00DA1752">
        <w:t xml:space="preserve"> –</w:t>
      </w:r>
      <w:r w:rsidRPr="00611EC1">
        <w:t xml:space="preserve"> диеногест</w:t>
      </w:r>
      <w:r w:rsidR="00DA1752">
        <w:t xml:space="preserve"> </w:t>
      </w:r>
      <w:r w:rsidRPr="00611EC1">
        <w:t>2</w:t>
      </w:r>
      <w:r w:rsidR="009D5799">
        <w:t> </w:t>
      </w:r>
      <w:r w:rsidRPr="00611EC1">
        <w:t xml:space="preserve">мг  </w:t>
      </w:r>
    </w:p>
    <w:p w14:paraId="023E477A" w14:textId="41EEC9BE" w:rsidR="009B18E5" w:rsidRPr="00611EC1" w:rsidRDefault="009B18E5" w:rsidP="009B18E5">
      <w:pPr>
        <w:ind w:left="142" w:firstLine="709"/>
      </w:pPr>
      <w:r w:rsidRPr="00611EC1">
        <w:t>9) этинилэстрадиол</w:t>
      </w:r>
      <w:r w:rsidR="00DA1752">
        <w:t xml:space="preserve"> </w:t>
      </w:r>
      <w:r w:rsidRPr="00611EC1">
        <w:t>35</w:t>
      </w:r>
      <w:r w:rsidR="00DA1752">
        <w:t> </w:t>
      </w:r>
      <w:r w:rsidRPr="00611EC1">
        <w:t>мкг</w:t>
      </w:r>
      <w:r w:rsidR="00DA1752">
        <w:t xml:space="preserve"> – </w:t>
      </w:r>
      <w:r w:rsidRPr="00611EC1">
        <w:t>ципротерон ацетат</w:t>
      </w:r>
      <w:r w:rsidR="00DA1752">
        <w:t xml:space="preserve"> </w:t>
      </w:r>
      <w:r w:rsidRPr="00611EC1">
        <w:t>2</w:t>
      </w:r>
      <w:r w:rsidR="00DA1752">
        <w:t> </w:t>
      </w:r>
      <w:r w:rsidRPr="00611EC1">
        <w:t xml:space="preserve">мг </w:t>
      </w:r>
    </w:p>
    <w:p w14:paraId="2A48B6C3" w14:textId="5EC4E79F" w:rsidR="009B18E5" w:rsidRPr="00611EC1" w:rsidRDefault="009B18E5" w:rsidP="009B18E5">
      <w:pPr>
        <w:ind w:left="142" w:firstLine="709"/>
      </w:pPr>
      <w:r w:rsidRPr="00611EC1">
        <w:t>10) этинилэстрадиол</w:t>
      </w:r>
      <w:r w:rsidR="00DA1752">
        <w:t xml:space="preserve"> </w:t>
      </w:r>
      <w:r w:rsidRPr="00611EC1">
        <w:t>35</w:t>
      </w:r>
      <w:r w:rsidR="00DA1752">
        <w:t> </w:t>
      </w:r>
      <w:r w:rsidRPr="00611EC1">
        <w:t>мкг</w:t>
      </w:r>
      <w:r w:rsidR="00DA1752">
        <w:t xml:space="preserve"> – </w:t>
      </w:r>
      <w:r w:rsidRPr="00611EC1">
        <w:t>ципротерон ацетат</w:t>
      </w:r>
      <w:r w:rsidR="00DA1752">
        <w:t xml:space="preserve"> </w:t>
      </w:r>
      <w:r w:rsidRPr="00611EC1">
        <w:t>2</w:t>
      </w:r>
      <w:r w:rsidR="00DA1752">
        <w:t> </w:t>
      </w:r>
      <w:r w:rsidRPr="00611EC1">
        <w:t xml:space="preserve">мг </w:t>
      </w:r>
    </w:p>
    <w:p w14:paraId="42982D76" w14:textId="710376D5" w:rsidR="009B18E5" w:rsidRPr="00611EC1" w:rsidRDefault="009B18E5" w:rsidP="009B18E5">
      <w:pPr>
        <w:ind w:left="142" w:firstLine="709"/>
      </w:pPr>
      <w:r w:rsidRPr="00611EC1">
        <w:t>11) этинилэстрадиол</w:t>
      </w:r>
      <w:r w:rsidR="00DA1752">
        <w:t xml:space="preserve"> </w:t>
      </w:r>
      <w:r w:rsidRPr="00611EC1">
        <w:t>35</w:t>
      </w:r>
      <w:r w:rsidR="00DA1752">
        <w:t> </w:t>
      </w:r>
      <w:r w:rsidRPr="00611EC1">
        <w:t>мкг</w:t>
      </w:r>
      <w:r w:rsidR="00DA1752">
        <w:t xml:space="preserve"> – </w:t>
      </w:r>
      <w:r w:rsidRPr="00611EC1">
        <w:t>ципротерон ацетат</w:t>
      </w:r>
      <w:r w:rsidR="00DA1752">
        <w:t xml:space="preserve"> </w:t>
      </w:r>
      <w:r w:rsidRPr="00611EC1">
        <w:t>2</w:t>
      </w:r>
      <w:r w:rsidR="00DA1752">
        <w:t> </w:t>
      </w:r>
      <w:r w:rsidRPr="00611EC1">
        <w:t xml:space="preserve">мг </w:t>
      </w:r>
    </w:p>
    <w:p w14:paraId="6314D172" w14:textId="2F3ADBCB" w:rsidR="009B18E5" w:rsidRPr="00611EC1" w:rsidRDefault="009B18E5" w:rsidP="009B18E5">
      <w:pPr>
        <w:ind w:left="142" w:firstLine="709"/>
        <w:rPr>
          <w:spacing w:val="2"/>
        </w:rPr>
      </w:pPr>
      <w:r w:rsidRPr="00611EC1">
        <w:rPr>
          <w:color w:val="1E1E1E"/>
          <w:spacing w:val="2"/>
        </w:rPr>
        <w:t>Гемостатическая терапия препаратами группы прогестагенов:  Дидрогестерон 10 мг,  Норэтистерон 5</w:t>
      </w:r>
      <w:r w:rsidR="002B5243">
        <w:rPr>
          <w:color w:val="1E1E1E"/>
          <w:spacing w:val="2"/>
        </w:rPr>
        <w:t> </w:t>
      </w:r>
      <w:r w:rsidRPr="00611EC1">
        <w:rPr>
          <w:color w:val="1E1E1E"/>
          <w:spacing w:val="2"/>
        </w:rPr>
        <w:t xml:space="preserve">мг проводится по схеме: по 1 </w:t>
      </w:r>
      <w:r w:rsidRPr="00611EC1">
        <w:rPr>
          <w:color w:val="000000"/>
          <w:shd w:val="clear" w:color="auto" w:fill="FFFFFF"/>
        </w:rPr>
        <w:t xml:space="preserve">таб/час до 5 таб. в день в первые сутки </w:t>
      </w:r>
      <w:r w:rsidRPr="00611EC1">
        <w:rPr>
          <w:shd w:val="clear" w:color="auto" w:fill="FFFFFF"/>
        </w:rPr>
        <w:t>до достижения гемостаза</w:t>
      </w:r>
      <w:r w:rsidRPr="00611EC1">
        <w:rPr>
          <w:color w:val="1E1E1E"/>
          <w:spacing w:val="2"/>
        </w:rPr>
        <w:t xml:space="preserve">, затем снижение дозы по 1/2 – 1 табл. в день до приема </w:t>
      </w:r>
      <w:r w:rsidRPr="00611EC1">
        <w:rPr>
          <w:spacing w:val="2"/>
        </w:rPr>
        <w:t>1таблетки х 1</w:t>
      </w:r>
      <w:r w:rsidR="002B5243">
        <w:rPr>
          <w:color w:val="FF0000"/>
          <w:spacing w:val="2"/>
        </w:rPr>
        <w:t xml:space="preserve"> </w:t>
      </w:r>
      <w:r w:rsidRPr="00611EC1">
        <w:rPr>
          <w:color w:val="1E1E1E"/>
          <w:spacing w:val="2"/>
        </w:rPr>
        <w:t xml:space="preserve">раз в день, с последующей отменой или продолжением приема в непрерывном режиме, </w:t>
      </w:r>
      <w:r w:rsidRPr="00611EC1">
        <w:rPr>
          <w:spacing w:val="2"/>
        </w:rPr>
        <w:t>в зависимости от клинической ситуации.</w:t>
      </w:r>
    </w:p>
    <w:p w14:paraId="30B3EA7E" w14:textId="77777777" w:rsidR="009B18E5" w:rsidRPr="00611EC1" w:rsidRDefault="009B18E5" w:rsidP="009B18E5">
      <w:pPr>
        <w:ind w:left="142" w:firstLine="709"/>
        <w:rPr>
          <w:color w:val="000000"/>
          <w:shd w:val="clear" w:color="auto" w:fill="FFFFFF"/>
        </w:rPr>
      </w:pPr>
      <w:r w:rsidRPr="00611EC1">
        <w:rPr>
          <w:color w:val="1E1E1E"/>
          <w:spacing w:val="2"/>
        </w:rPr>
        <w:lastRenderedPageBreak/>
        <w:t xml:space="preserve">При тяжелых меноррагиях целесообразно «выключение» менструации </w:t>
      </w:r>
      <w:r w:rsidRPr="00611EC1">
        <w:rPr>
          <w:shd w:val="clear" w:color="auto" w:fill="FFFFFF"/>
        </w:rPr>
        <w:t>агонистами</w:t>
      </w:r>
      <w:r w:rsidRPr="00611EC1">
        <w:rPr>
          <w:color w:val="FF0000"/>
          <w:shd w:val="clear" w:color="auto" w:fill="FFFFFF"/>
        </w:rPr>
        <w:t xml:space="preserve"> </w:t>
      </w:r>
      <w:r w:rsidRPr="00611EC1">
        <w:rPr>
          <w:shd w:val="clear" w:color="auto" w:fill="FFFFFF"/>
        </w:rPr>
        <w:t xml:space="preserve">гонадотропин-рилизинг-гормона (ГнРГ) – гозерелин </w:t>
      </w:r>
      <w:r w:rsidRPr="00611EC1">
        <w:rPr>
          <w:color w:val="000000"/>
          <w:shd w:val="clear" w:color="auto" w:fill="FFFFFF"/>
        </w:rPr>
        <w:t>3,6 мг п/к 1 раз в 28 дней, курс терапии до 6 месяцев.</w:t>
      </w:r>
    </w:p>
    <w:p w14:paraId="0137A2B8" w14:textId="000ECED2" w:rsidR="009B18E5" w:rsidRPr="00611EC1" w:rsidRDefault="009B18E5" w:rsidP="009B18E5">
      <w:pPr>
        <w:ind w:left="142" w:firstLine="709"/>
        <w:rPr>
          <w:color w:val="000000"/>
          <w:shd w:val="clear" w:color="auto" w:fill="FFFFFF"/>
        </w:rPr>
      </w:pPr>
      <w:r w:rsidRPr="00611EC1">
        <w:rPr>
          <w:color w:val="000000"/>
          <w:shd w:val="clear" w:color="auto" w:fill="FFFFFF"/>
        </w:rPr>
        <w:t xml:space="preserve">При длительном течении АМК также проводится утеротоническая терапия препаратом окситоцин в/в капельно по 10 МЕ на 100 мл 0,9% физиологического раствора до прекращения кровотечения, данная терапия применяется при исключении органической патологии матки. </w:t>
      </w:r>
    </w:p>
    <w:p w14:paraId="4E6A1022" w14:textId="77777777" w:rsidR="009B18E5" w:rsidRPr="00611EC1" w:rsidRDefault="009B18E5" w:rsidP="009B18E5">
      <w:pPr>
        <w:ind w:left="142" w:firstLine="709"/>
        <w:rPr>
          <w:color w:val="000000"/>
        </w:rPr>
      </w:pPr>
      <w:r w:rsidRPr="00611EC1">
        <w:rPr>
          <w:shd w:val="clear" w:color="auto" w:fill="FFFFFF"/>
        </w:rPr>
        <w:t>При терапии АМК у гематологической пациентки с показаниями к лечению в раннем или позднем послеродовом периоде проводится терапия, направленная на подавление лактации – каберголин 0,5</w:t>
      </w:r>
      <w:r>
        <w:rPr>
          <w:shd w:val="clear" w:color="auto" w:fill="FFFFFF"/>
        </w:rPr>
        <w:t xml:space="preserve"> </w:t>
      </w:r>
      <w:r w:rsidRPr="00611EC1">
        <w:rPr>
          <w:shd w:val="clear" w:color="auto" w:fill="FFFFFF"/>
        </w:rPr>
        <w:t xml:space="preserve">мг </w:t>
      </w:r>
      <w:r w:rsidRPr="00611EC1">
        <w:rPr>
          <w:color w:val="000000"/>
        </w:rPr>
        <w:t>1 мг (2 таб.) однократно в первый день после родов, или  для подавления установившейся лактации по 0,25 мг (1/2 таб.) 2 р/сут через каждые 12 ч в течение 2 дней (общая доза 1 мг). </w:t>
      </w:r>
    </w:p>
    <w:p w14:paraId="55F9D765" w14:textId="5320FA1F" w:rsidR="009B18E5" w:rsidRPr="00611EC1" w:rsidRDefault="009B18E5" w:rsidP="009B18E5">
      <w:pPr>
        <w:ind w:left="142" w:firstLine="709"/>
        <w:rPr>
          <w:shd w:val="clear" w:color="auto" w:fill="FFFFFF"/>
        </w:rPr>
      </w:pPr>
      <w:r w:rsidRPr="00611EC1">
        <w:rPr>
          <w:shd w:val="clear" w:color="auto" w:fill="FFFFFF"/>
        </w:rPr>
        <w:t>При достижении гемостаза (купировании АМК) в последующем проводится противорецидивная терапия пероральными контрацептивами в контрацептивном режиме или в непрерывном режиме (постоянно).</w:t>
      </w:r>
    </w:p>
    <w:p w14:paraId="6CC92A56" w14:textId="77777777" w:rsidR="009B18E5" w:rsidRPr="00611EC1" w:rsidRDefault="009B18E5" w:rsidP="009B18E5">
      <w:pPr>
        <w:ind w:left="142" w:firstLine="709"/>
        <w:rPr>
          <w:shd w:val="clear" w:color="auto" w:fill="FFFFFF"/>
        </w:rPr>
      </w:pPr>
      <w:r w:rsidRPr="00611EC1">
        <w:rPr>
          <w:shd w:val="clear" w:color="auto" w:fill="FFFFFF"/>
        </w:rPr>
        <w:t>При подозрении / подтверждении воспалительного процесса (эндомиометрит) и/или с профилактической целью целесообразно назначение антибактериальной терапии, после получения результатов посева флоры из влагалища и чувствительности к антибиотикам.</w:t>
      </w:r>
    </w:p>
    <w:p w14:paraId="7C6A0D9D" w14:textId="77777777" w:rsidR="009B18E5" w:rsidRDefault="009B18E5" w:rsidP="009B18E5">
      <w:pPr>
        <w:shd w:val="clear" w:color="auto" w:fill="FFFFFF"/>
        <w:rPr>
          <w:bCs/>
          <w:i/>
          <w:color w:val="333333"/>
          <w:u w:val="single"/>
        </w:rPr>
      </w:pPr>
    </w:p>
    <w:p w14:paraId="0B99414A" w14:textId="3F018678" w:rsidR="009B18E5" w:rsidRPr="00611EC1" w:rsidRDefault="009B18E5" w:rsidP="009B18E5">
      <w:pPr>
        <w:shd w:val="clear" w:color="auto" w:fill="FFFFFF"/>
        <w:rPr>
          <w:bCs/>
          <w:i/>
          <w:color w:val="333333"/>
          <w:u w:val="single"/>
        </w:rPr>
      </w:pPr>
      <w:r w:rsidRPr="00611EC1">
        <w:rPr>
          <w:bCs/>
          <w:i/>
          <w:color w:val="333333"/>
          <w:u w:val="single"/>
        </w:rPr>
        <w:t>Хирургические методы гемостаза</w:t>
      </w:r>
      <w:r>
        <w:rPr>
          <w:bCs/>
          <w:i/>
          <w:color w:val="333333"/>
          <w:u w:val="single"/>
        </w:rPr>
        <w:t xml:space="preserve"> </w:t>
      </w:r>
      <w:r>
        <w:rPr>
          <w:color w:val="1E1E1E"/>
          <w:spacing w:val="2"/>
        </w:rPr>
        <w:fldChar w:fldCharType="begin" w:fldLock="1"/>
      </w:r>
      <w:r w:rsidR="009749DB">
        <w:rPr>
          <w:color w:val="1E1E1E"/>
          <w:spacing w:val="2"/>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[142,143]","plainTextFormattedCitation":"[142,143]","previouslyFormattedCitation":"[142,143]"},"properties":{"noteIndex":0},"schema":"https://github.com/citation-style-language/schema/raw/master/csl-citation.json"}</w:instrText>
      </w:r>
      <w:r>
        <w:rPr>
          <w:color w:val="1E1E1E"/>
          <w:spacing w:val="2"/>
        </w:rPr>
        <w:fldChar w:fldCharType="separate"/>
      </w:r>
      <w:r w:rsidR="009D5799" w:rsidRPr="009D5799">
        <w:rPr>
          <w:noProof/>
          <w:color w:val="1E1E1E"/>
          <w:spacing w:val="2"/>
        </w:rPr>
        <w:t>[142,143]</w:t>
      </w:r>
      <w:r>
        <w:rPr>
          <w:color w:val="1E1E1E"/>
          <w:spacing w:val="2"/>
        </w:rPr>
        <w:fldChar w:fldCharType="end"/>
      </w:r>
      <w:r w:rsidRPr="00611EC1">
        <w:rPr>
          <w:bCs/>
          <w:i/>
          <w:color w:val="333333"/>
          <w:u w:val="single"/>
        </w:rPr>
        <w:t>.</w:t>
      </w:r>
    </w:p>
    <w:p w14:paraId="116A7419" w14:textId="77777777" w:rsidR="009B18E5" w:rsidRPr="00611EC1" w:rsidRDefault="009B18E5" w:rsidP="009B18E5">
      <w:pPr>
        <w:ind w:left="142" w:firstLine="709"/>
        <w:rPr>
          <w:b/>
          <w:color w:val="000000"/>
          <w:shd w:val="clear" w:color="auto" w:fill="FFFFFF"/>
        </w:rPr>
      </w:pPr>
      <w:r w:rsidRPr="00611EC1">
        <w:rPr>
          <w:shd w:val="clear" w:color="auto" w:fill="FFFFFF"/>
        </w:rPr>
        <w:t>При неэффективности или неприменимости в определенной клинической ситуации консервативных методов гемостаза могут применяться хирургические методы остановки АМК.</w:t>
      </w:r>
    </w:p>
    <w:p w14:paraId="3BF4B01C" w14:textId="77777777" w:rsidR="009B18E5" w:rsidRPr="00611EC1" w:rsidRDefault="009B18E5" w:rsidP="009B18E5">
      <w:pPr>
        <w:pStyle w:val="afe"/>
        <w:numPr>
          <w:ilvl w:val="0"/>
          <w:numId w:val="76"/>
        </w:numPr>
        <w:ind w:firstLine="709"/>
        <w:rPr>
          <w:rFonts w:cs="Times New Roman"/>
          <w:szCs w:val="24"/>
          <w:shd w:val="clear" w:color="auto" w:fill="FFFFFF"/>
        </w:rPr>
      </w:pPr>
      <w:r w:rsidRPr="00611EC1">
        <w:rPr>
          <w:rFonts w:cs="Times New Roman"/>
          <w:szCs w:val="24"/>
          <w:shd w:val="clear" w:color="auto" w:fill="FFFFFF"/>
        </w:rPr>
        <w:t>Гистероскопия и раздельное диагностическое выскабливание стенок полости матки, резектоскопия при наличии внутриматочной патологии. Данная операция преследует как диагностическую (для исключения органической патологии полости матки), так и лечебную цель остановки АМК.</w:t>
      </w:r>
    </w:p>
    <w:p w14:paraId="3514F186" w14:textId="77777777" w:rsidR="009B18E5" w:rsidRPr="00611EC1" w:rsidRDefault="009B18E5" w:rsidP="009B18E5">
      <w:pPr>
        <w:pStyle w:val="afe"/>
        <w:numPr>
          <w:ilvl w:val="0"/>
          <w:numId w:val="76"/>
        </w:numPr>
        <w:ind w:firstLine="709"/>
        <w:rPr>
          <w:rFonts w:cs="Times New Roman"/>
          <w:szCs w:val="24"/>
          <w:shd w:val="clear" w:color="auto" w:fill="FFFFFF"/>
        </w:rPr>
      </w:pPr>
      <w:r w:rsidRPr="00611EC1">
        <w:rPr>
          <w:rFonts w:cs="Times New Roman"/>
          <w:szCs w:val="24"/>
          <w:shd w:val="clear" w:color="auto" w:fill="FFFFFF"/>
        </w:rPr>
        <w:t>Гистерэктомия.</w:t>
      </w:r>
    </w:p>
    <w:p w14:paraId="7F8262DD" w14:textId="77777777" w:rsidR="009B18E5" w:rsidRPr="00611EC1" w:rsidRDefault="009B18E5" w:rsidP="009B18E5">
      <w:pPr>
        <w:pStyle w:val="afe"/>
        <w:numPr>
          <w:ilvl w:val="0"/>
          <w:numId w:val="76"/>
        </w:numPr>
        <w:ind w:firstLine="709"/>
        <w:rPr>
          <w:rFonts w:cs="Times New Roman"/>
          <w:szCs w:val="24"/>
          <w:shd w:val="clear" w:color="auto" w:fill="FFFFFF"/>
        </w:rPr>
      </w:pPr>
      <w:r w:rsidRPr="00611EC1">
        <w:rPr>
          <w:rFonts w:cs="Times New Roman"/>
          <w:szCs w:val="24"/>
          <w:shd w:val="clear" w:color="auto" w:fill="FFFFFF"/>
        </w:rPr>
        <w:t>Эмболизация или склерозирование маточных сосудов — при их аномалиях.</w:t>
      </w:r>
    </w:p>
    <w:p w14:paraId="4817B989" w14:textId="77777777" w:rsidR="009B18E5" w:rsidRPr="00611EC1" w:rsidRDefault="009B18E5" w:rsidP="009B18E5">
      <w:pPr>
        <w:pStyle w:val="afe"/>
        <w:numPr>
          <w:ilvl w:val="0"/>
          <w:numId w:val="76"/>
        </w:numPr>
        <w:ind w:firstLine="709"/>
        <w:rPr>
          <w:rFonts w:cs="Times New Roman"/>
          <w:szCs w:val="24"/>
          <w:shd w:val="clear" w:color="auto" w:fill="FFFFFF"/>
        </w:rPr>
      </w:pPr>
      <w:r w:rsidRPr="00611EC1">
        <w:rPr>
          <w:rFonts w:cs="Times New Roman"/>
          <w:szCs w:val="24"/>
          <w:shd w:val="clear" w:color="auto" w:fill="FFFFFF"/>
        </w:rPr>
        <w:t>Аблация эндометрия.</w:t>
      </w:r>
    </w:p>
    <w:p w14:paraId="5135A358" w14:textId="77777777" w:rsidR="009B18E5" w:rsidRPr="00611EC1" w:rsidRDefault="009B18E5" w:rsidP="009B18E5">
      <w:pPr>
        <w:pStyle w:val="afe"/>
        <w:rPr>
          <w:rFonts w:cs="Times New Roman"/>
          <w:b/>
          <w:szCs w:val="24"/>
          <w:shd w:val="clear" w:color="auto" w:fill="FFFFFF"/>
        </w:rPr>
      </w:pPr>
    </w:p>
    <w:p w14:paraId="11C85A5D" w14:textId="77777777" w:rsidR="009B18E5" w:rsidRPr="00611EC1" w:rsidRDefault="009B18E5" w:rsidP="009B18E5">
      <w:pPr>
        <w:rPr>
          <w:b/>
        </w:rPr>
      </w:pPr>
      <w:r w:rsidRPr="00611EC1">
        <w:rPr>
          <w:b/>
        </w:rPr>
        <w:t>Методы профилактики АМК</w:t>
      </w:r>
      <w:r>
        <w:rPr>
          <w:b/>
        </w:rPr>
        <w:t>.</w:t>
      </w:r>
    </w:p>
    <w:p w14:paraId="4E3F4AC5" w14:textId="004DC9F3" w:rsidR="009B18E5" w:rsidRPr="00611EC1" w:rsidRDefault="009B18E5" w:rsidP="009B18E5">
      <w:pPr>
        <w:shd w:val="clear" w:color="auto" w:fill="FFFFFF"/>
        <w:ind w:left="142" w:firstLine="709"/>
        <w:rPr>
          <w:shd w:val="clear" w:color="auto" w:fill="FFFFFF"/>
        </w:rPr>
      </w:pPr>
      <w:r w:rsidRPr="00611EC1">
        <w:t xml:space="preserve">В репродуктивном периоде для профилактики АМК у пациенток с гематологической патологией в период проведения химиотерапии или другого лечения с </w:t>
      </w:r>
      <w:r w:rsidRPr="00611EC1">
        <w:lastRenderedPageBreak/>
        <w:t>риском развития АМК проводится циклическая или непрерывная терапия КОК, или гестагенами во 2-й фазе менструального цикла до 6 месяцев,</w:t>
      </w:r>
      <w:r w:rsidRPr="00611EC1">
        <w:rPr>
          <w:shd w:val="clear" w:color="auto" w:fill="FFFFFF"/>
        </w:rPr>
        <w:t xml:space="preserve"> или агонистами ГнРГ (гозерелин 3,6 мг п/к 1 раз в 28 дней, курс терапии до 6 месяцев)</w:t>
      </w:r>
      <w:r>
        <w:rPr>
          <w:shd w:val="clear" w:color="auto" w:fill="FFFFFF"/>
        </w:rPr>
        <w:t xml:space="preserve"> </w:t>
      </w:r>
      <w:r>
        <w:rPr>
          <w:color w:val="1E1E1E"/>
          <w:spacing w:val="2"/>
        </w:rPr>
        <w:fldChar w:fldCharType="begin" w:fldLock="1"/>
      </w:r>
      <w:r w:rsidR="009749DB">
        <w:rPr>
          <w:color w:val="1E1E1E"/>
          <w:spacing w:val="2"/>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[142,143]","plainTextFormattedCitation":"[142,143]","previouslyFormattedCitation":"[142,143]"},"properties":{"noteIndex":0},"schema":"https://github.com/citation-style-language/schema/raw/master/csl-citation.json"}</w:instrText>
      </w:r>
      <w:r>
        <w:rPr>
          <w:color w:val="1E1E1E"/>
          <w:spacing w:val="2"/>
        </w:rPr>
        <w:fldChar w:fldCharType="separate"/>
      </w:r>
      <w:r w:rsidR="009D5799" w:rsidRPr="009D5799">
        <w:rPr>
          <w:noProof/>
          <w:color w:val="1E1E1E"/>
          <w:spacing w:val="2"/>
        </w:rPr>
        <w:t>[142,143]</w:t>
      </w:r>
      <w:r>
        <w:rPr>
          <w:color w:val="1E1E1E"/>
          <w:spacing w:val="2"/>
        </w:rPr>
        <w:fldChar w:fldCharType="end"/>
      </w:r>
      <w:r w:rsidRPr="00611EC1">
        <w:rPr>
          <w:shd w:val="clear" w:color="auto" w:fill="FFFFFF"/>
        </w:rPr>
        <w:t>.</w:t>
      </w:r>
    </w:p>
    <w:p w14:paraId="6D244F1D" w14:textId="77777777" w:rsidR="009B18E5" w:rsidRPr="00611EC1" w:rsidRDefault="009B18E5" w:rsidP="009B18E5">
      <w:pPr>
        <w:shd w:val="clear" w:color="auto" w:fill="FFFFFF"/>
        <w:ind w:left="142" w:firstLine="709"/>
        <w:rPr>
          <w:shd w:val="clear" w:color="auto" w:fill="FFFFFF"/>
        </w:rPr>
      </w:pPr>
      <w:r w:rsidRPr="00611EC1">
        <w:t xml:space="preserve">У пациенток с гематологической патологией в пре- и постменопаузальном периоде при необходимости выключения функции яичников для профилактики АМК (медикаментозная менопауза) применяются гестагены в непрерывном режиме – до 6 месяцев и </w:t>
      </w:r>
      <w:r w:rsidRPr="00611EC1">
        <w:rPr>
          <w:shd w:val="clear" w:color="auto" w:fill="FFFFFF"/>
        </w:rPr>
        <w:t xml:space="preserve"> агонисты ГнРГ (гозерелин 3,6 мг п/к 1 раз в 28 дней, курс терапии до 6</w:t>
      </w:r>
      <w:r>
        <w:rPr>
          <w:shd w:val="clear" w:color="auto" w:fill="FFFFFF"/>
        </w:rPr>
        <w:t xml:space="preserve"> </w:t>
      </w:r>
      <w:r w:rsidRPr="00611EC1">
        <w:rPr>
          <w:shd w:val="clear" w:color="auto" w:fill="FFFFFF"/>
        </w:rPr>
        <w:t>мес.).</w:t>
      </w:r>
    </w:p>
    <w:p w14:paraId="20903553" w14:textId="77777777" w:rsidR="002B5243" w:rsidRPr="00611EC1" w:rsidRDefault="002B5243" w:rsidP="002B5243">
      <w:pPr>
        <w:shd w:val="clear" w:color="auto" w:fill="FFFFFF"/>
        <w:rPr>
          <w:color w:val="000000"/>
          <w:shd w:val="clear" w:color="auto" w:fill="FFFFFF"/>
        </w:rPr>
      </w:pPr>
    </w:p>
    <w:p w14:paraId="2AD13570" w14:textId="61E4F607" w:rsidR="007F7B87" w:rsidRPr="007F7B87" w:rsidRDefault="002B5243" w:rsidP="007F7B87">
      <w:pPr>
        <w:pStyle w:val="2"/>
        <w:spacing w:before="0"/>
      </w:pPr>
      <w:bookmarkStart w:id="75" w:name="_Toc66096846"/>
      <w:r w:rsidRPr="000322E4">
        <w:t>7.</w:t>
      </w:r>
      <w:r>
        <w:t xml:space="preserve">12 </w:t>
      </w:r>
      <w:r w:rsidR="007F7B87" w:rsidRPr="00C23943">
        <w:rPr>
          <w:kern w:val="32"/>
        </w:rPr>
        <w:t>Диагностика гемотрансмиссивных инфекций</w:t>
      </w:r>
      <w:bookmarkEnd w:id="75"/>
    </w:p>
    <w:p w14:paraId="770712B7" w14:textId="77777777" w:rsidR="007F7B87" w:rsidRDefault="007F7B87" w:rsidP="007F7B87">
      <w:pPr>
        <w:ind w:firstLine="708"/>
        <w:rPr>
          <w:rFonts w:eastAsia="Arial Unicode MS"/>
        </w:rPr>
      </w:pPr>
      <w:r>
        <w:t>Пациенты гематологического профиля</w:t>
      </w:r>
      <w:r w:rsidRPr="008532D2">
        <w:t xml:space="preserve"> являются группой высокого риска вероятного инфицирования гемотрансмиссивными вирусными инфекциями, поскольку </w:t>
      </w:r>
      <w:r>
        <w:t>при многих гематологических заболеваниях пациентам</w:t>
      </w:r>
      <w:r w:rsidRPr="008532D2">
        <w:t xml:space="preserve"> проводятся множественные трансфузии от большого числа доноров, многочисленные медицинские манипуляции и инвазивные исследования. </w:t>
      </w:r>
      <w:r>
        <w:t xml:space="preserve">В </w:t>
      </w:r>
      <w:r w:rsidRPr="008532D2">
        <w:t xml:space="preserve">ряде случаев </w:t>
      </w:r>
      <w:r>
        <w:t>гематологические з</w:t>
      </w:r>
      <w:r w:rsidRPr="008532D2">
        <w:t xml:space="preserve">аболевания </w:t>
      </w:r>
      <w:r>
        <w:t>т</w:t>
      </w:r>
      <w:r w:rsidRPr="00626D84">
        <w:t>ребуют дифференциального диагноза с ВИЧ-инфекцией</w:t>
      </w:r>
      <w:r>
        <w:t>. Кроме того, а</w:t>
      </w:r>
      <w:r w:rsidRPr="008532D2">
        <w:rPr>
          <w:rFonts w:eastAsia="Arial Unicode MS"/>
        </w:rPr>
        <w:t xml:space="preserve">ктуальность проблемы </w:t>
      </w:r>
      <w:r w:rsidRPr="008532D2">
        <w:rPr>
          <w:kern w:val="32"/>
        </w:rPr>
        <w:t xml:space="preserve">гемотрансмиссивных инфекций </w:t>
      </w:r>
      <w:r w:rsidRPr="008532D2">
        <w:rPr>
          <w:rFonts w:eastAsia="Arial Unicode MS"/>
        </w:rPr>
        <w:t>у пациентов заболеваниями системы крови определяется вероятностью реактивации ранее латентного инфекционного процесса</w:t>
      </w:r>
      <w:r w:rsidRPr="008532D2">
        <w:t>.</w:t>
      </w:r>
      <w:r w:rsidRPr="008532D2">
        <w:rPr>
          <w:rFonts w:eastAsia="Arial Unicode MS"/>
        </w:rPr>
        <w:t xml:space="preserve"> </w:t>
      </w:r>
    </w:p>
    <w:p w14:paraId="6565E18D" w14:textId="77777777" w:rsidR="007F7B87" w:rsidRDefault="007F7B87" w:rsidP="007F7B87">
      <w:pPr>
        <w:ind w:firstLine="708"/>
      </w:pPr>
    </w:p>
    <w:p w14:paraId="108ACDCB" w14:textId="77777777" w:rsidR="007F7B87" w:rsidRPr="00B71129" w:rsidRDefault="007F7B87" w:rsidP="007F7B87">
      <w:pPr>
        <w:pStyle w:val="Normal11"/>
        <w:spacing w:line="360" w:lineRule="auto"/>
        <w:jc w:val="both"/>
        <w:rPr>
          <w:bCs/>
          <w:i/>
          <w:iCs/>
          <w:sz w:val="22"/>
          <w:u w:val="single"/>
        </w:rPr>
      </w:pPr>
      <w:r w:rsidRPr="00B71129">
        <w:rPr>
          <w:bCs/>
          <w:i/>
          <w:iCs/>
          <w:szCs w:val="28"/>
          <w:u w:val="single"/>
        </w:rPr>
        <w:t>Лабораторная диагностика</w:t>
      </w:r>
    </w:p>
    <w:p w14:paraId="3805A9FB" w14:textId="77777777" w:rsidR="007F7B87" w:rsidRDefault="007F7B87" w:rsidP="007F7B87">
      <w:pPr>
        <w:ind w:firstLine="708"/>
      </w:pPr>
      <w:r>
        <w:t>С</w:t>
      </w:r>
      <w:r w:rsidRPr="000A150B">
        <w:t>огласно санитарно-эпидемиологическим правилам СП 3.1.3112-13 «П</w:t>
      </w:r>
      <w:r>
        <w:t>рофилактика вирусного гепатита С</w:t>
      </w:r>
      <w:r w:rsidRPr="000A150B">
        <w:t>» обязательному обследованию на наличие анти-ВГС и РНК ВГС подлежат пациенты отделений гемодиализа, гематологии и трансплантации, пребывающие в медицинской организации более 1 месяца через 30 дней после поступления и далее – ежемесячно. Кроме того, реципиенты крови и ее компонентов, органов и тканей подлежат обязательному обследованию на наличие анти-ВГС при подозрении на заболевание гепатитом C и в течение 6 месяцев после переливания крови и ее компонентов, пересадки органов и тканей</w:t>
      </w:r>
      <w:r>
        <w:t>.</w:t>
      </w:r>
    </w:p>
    <w:p w14:paraId="4C56D5BA" w14:textId="77777777" w:rsidR="007F7B87" w:rsidRDefault="007F7B87" w:rsidP="007F7B87">
      <w:pPr>
        <w:ind w:firstLine="708"/>
      </w:pPr>
      <w:r w:rsidRPr="007E59BC">
        <w:t>Согласно санитарно-эпидемиологическим правилам СП3.1.1.2341-08 «</w:t>
      </w:r>
      <w:r w:rsidRPr="000A150B">
        <w:t>П</w:t>
      </w:r>
      <w:r>
        <w:t xml:space="preserve">рофилактика вирусного гепатита </w:t>
      </w:r>
      <w:r w:rsidRPr="007E59BC">
        <w:t xml:space="preserve">B» обязательному обследованию на наличие </w:t>
      </w:r>
      <w:r w:rsidRPr="007E59BC">
        <w:rPr>
          <w:lang w:val="en-US"/>
        </w:rPr>
        <w:t>HBsAg</w:t>
      </w:r>
      <w:r w:rsidRPr="007E59BC">
        <w:t xml:space="preserve"> подлежат реципиенты крови и ее компонентов </w:t>
      </w:r>
      <w:r>
        <w:t xml:space="preserve">в </w:t>
      </w:r>
      <w:r w:rsidRPr="007E59BC">
        <w:t>течение 6 месяцев с момента последней трансфузии.</w:t>
      </w:r>
      <w:r>
        <w:t xml:space="preserve"> </w:t>
      </w:r>
    </w:p>
    <w:p w14:paraId="3A522EB7" w14:textId="20CB88B9" w:rsidR="007F7B87" w:rsidRDefault="007F7B87" w:rsidP="007F7B87">
      <w:pPr>
        <w:ind w:firstLine="708"/>
      </w:pPr>
      <w:r>
        <w:t xml:space="preserve">В клинических рекомендациях международных ассоциаций приведены различные стратегии скрининга маркеров ВГВ </w:t>
      </w:r>
      <w:r>
        <w:fldChar w:fldCharType="begin" w:fldLock="1"/>
      </w:r>
      <w:r w:rsidR="007466F7">
        <w:instrText>ADDIN CSL_CITATION {"citationItems":[{"id":"ITEM-1","itemData":{"author":[{"dropping-particle":"","family":"Титова","given":"В.Б.","non-dropping-particle":"","parse-names":false,"suffix":""},{"dropping-particle":"","family":"Беляева","given":"Н.М.","non-dropping-particle":"","parse-names":false,"suffix":""}],"container-title":"Инфекционные болезни","id":"ITEM-1","issue":"3","issued":{"date-parts":[["2014"]]},"page":"51-60","title":"Вирусный гепатит В у иммуносупрессивных пациентов с онкологическими заболеваниями: патогенез, ведение и профилактика","type":"article-journal","volume":"12"},"uris":["http://www.mendeley.com/documents/?uuid=3941bbfb-358d-41ff-ba67-2c90cf30bdc3"]}],"mendeley":{"formattedCitation":"[144]","plainTextFormattedCitation":"[144]","previouslyFormattedCitation":"[144]"},"properties":{"noteIndex":0},"schema":"https://github.com/citation-style-language/schema/raw/master/csl-citation.json"}</w:instrText>
      </w:r>
      <w:r>
        <w:fldChar w:fldCharType="separate"/>
      </w:r>
      <w:r w:rsidR="009749DB" w:rsidRPr="009749DB">
        <w:rPr>
          <w:noProof/>
        </w:rPr>
        <w:t>[144]</w:t>
      </w:r>
      <w:r>
        <w:fldChar w:fldCharType="end"/>
      </w:r>
      <w:r>
        <w:t xml:space="preserve">. </w:t>
      </w:r>
      <w:r w:rsidRPr="00E71F5D">
        <w:t xml:space="preserve">Европейской ассоциацией по изучению печени рекомендовано мониторирование у пациентов при отсутствии HBsAg и возможном наличии анти-НВс активности АЛТ, концентрации ДНК ВГВ и проведение терапии </w:t>
      </w:r>
      <w:r w:rsidRPr="00E71F5D">
        <w:lastRenderedPageBreak/>
        <w:t>аналогами нуклеозидов в случае подтверждения реактивации гепатита до повышения активности АЛТ</w:t>
      </w:r>
      <w:r w:rsidRPr="00EB2B8F">
        <w:t xml:space="preserve"> </w:t>
      </w:r>
      <w:r>
        <w:fldChar w:fldCharType="begin" w:fldLock="1"/>
      </w:r>
      <w:r w:rsidR="007466F7">
        <w:instrText>ADDIN CSL_CITATION {"citationItems":[{"id":"ITEM-1","itemData":{"DOI":"10.1016/j.jhep.2012.02.010","ISSN":"01688278","PMID":"22436845","author":[{"dropping-particle":"","family":"Papatheodoridis","given":"George","non-dropping-particle":"","parse-names":false,"suffix":""},{"dropping-particle":"","family":"Buti","given":"Maria","non-dropping-particle":"","parse-names":false,"suffix":""},{"dropping-particle":"","family":"Cornberg","given":"Markus","non-dropping-particle":"","parse-names":false,"suffix":""},{"dropping-particle":"","family":"Janssen","given":"Harry","non-dropping-particle":"","parse-names":false,"suffix":""},{"dropping-particle":"","family":"Mutimer","given":"David","non-dropping-particle":"","parse-names":false,"suffix":""},{"dropping-particle":"","family":"Pol","given":"Stanislas","non-dropping-particle":"","parse-names":false,"suffix":""},{"dropping-particle":"","family":"Raimondo","given":"Giovanni","non-dropping-particle":"","parse-names":false,"suffix":""},{"dropping-particle":"","family":"Dusheiko","given":"Geoffrey","non-dropping-particle":"","parse-names":false,"suffix":""},{"dropping-particle":"","family":"Lok","given":"Anna","non-dropping-particle":"","parse-names":false,"suffix":""},{"dropping-particle":"","family":"Marcellin","given":"Patrick","non-dropping-particle":"","parse-names":false,"suffix":""}],"container-title":"Journal of Hepatology","id":"ITEM-1","issue":"1","issued":{"date-parts":[["2012","7","1"]]},"page":"167-185","publisher":"Elsevier B.V.","title":"EASL clinical practice guidelines: Management of chronic hepatitis B virus infection","type":"article","volume":"57"},"uris":["http://www.mendeley.com/documents/?uuid=d031160c-7302-3cad-80c7-cb9ded7fc99f"]}],"mendeley":{"formattedCitation":"[145]","plainTextFormattedCitation":"[145]","previouslyFormattedCitation":"[145]"},"properties":{"noteIndex":0},"schema":"https://github.com/citation-style-language/schema/raw/master/csl-citation.json"}</w:instrText>
      </w:r>
      <w:r>
        <w:fldChar w:fldCharType="separate"/>
      </w:r>
      <w:r w:rsidR="009749DB" w:rsidRPr="009749DB">
        <w:rPr>
          <w:noProof/>
        </w:rPr>
        <w:t>[145]</w:t>
      </w:r>
      <w:r>
        <w:fldChar w:fldCharType="end"/>
      </w:r>
      <w:r w:rsidRPr="00E71F5D">
        <w:t>.</w:t>
      </w:r>
      <w:r>
        <w:t xml:space="preserve"> </w:t>
      </w:r>
    </w:p>
    <w:p w14:paraId="7DD6FCC4" w14:textId="77777777" w:rsidR="007F7B87" w:rsidRDefault="007F7B87" w:rsidP="007F7B87">
      <w:pPr>
        <w:ind w:left="644"/>
        <w:rPr>
          <w:b/>
          <w:szCs w:val="28"/>
        </w:rPr>
      </w:pPr>
    </w:p>
    <w:p w14:paraId="3BABE6AF" w14:textId="77777777" w:rsidR="007F7B87" w:rsidRPr="00506902" w:rsidRDefault="007F7B87" w:rsidP="009749DB">
      <w:pPr>
        <w:rPr>
          <w:bCs/>
          <w:i/>
          <w:iCs/>
          <w:szCs w:val="28"/>
          <w:u w:val="single"/>
        </w:rPr>
      </w:pPr>
      <w:r w:rsidRPr="00506902">
        <w:rPr>
          <w:bCs/>
          <w:i/>
          <w:iCs/>
          <w:szCs w:val="28"/>
          <w:u w:val="single"/>
        </w:rPr>
        <w:t>Протокол обследования образцов крови пациентов на инфекционные маркеры (ВИЧ, ВГВ, ВГС, возбудителя сифилиса)</w:t>
      </w:r>
    </w:p>
    <w:p w14:paraId="4CBDAE9A" w14:textId="77777777" w:rsidR="007F7B87" w:rsidRDefault="007F7B87" w:rsidP="007F7B87">
      <w:pPr>
        <w:pStyle w:val="Number1"/>
        <w:numPr>
          <w:ilvl w:val="0"/>
          <w:numId w:val="83"/>
        </w:numPr>
        <w:spacing w:line="360" w:lineRule="auto"/>
      </w:pPr>
      <w:r w:rsidRPr="00350A4F">
        <w:t xml:space="preserve">Обследование всех </w:t>
      </w:r>
      <w:r>
        <w:t xml:space="preserve">первичных </w:t>
      </w:r>
      <w:r w:rsidRPr="00350A4F">
        <w:t>пациентов</w:t>
      </w:r>
      <w:r>
        <w:t xml:space="preserve"> на регламентированые исследования: </w:t>
      </w:r>
    </w:p>
    <w:p w14:paraId="23E01A6C" w14:textId="77777777" w:rsidR="007F7B87" w:rsidRDefault="007F7B87" w:rsidP="007F7B87">
      <w:pPr>
        <w:pStyle w:val="Number1"/>
        <w:numPr>
          <w:ilvl w:val="0"/>
          <w:numId w:val="86"/>
        </w:numPr>
        <w:spacing w:line="360" w:lineRule="auto"/>
      </w:pPr>
      <w:r>
        <w:t xml:space="preserve">Определение анти-ВИЧ (антитела </w:t>
      </w:r>
      <w:r w:rsidRPr="0009562B">
        <w:t>IgM, IgG к вирусу иммунодефицита человека ВИЧ-1</w:t>
      </w:r>
      <w:r>
        <w:t xml:space="preserve"> и </w:t>
      </w:r>
      <w:r w:rsidRPr="0009562B">
        <w:t xml:space="preserve">ВИЧ-2, </w:t>
      </w:r>
      <w:r>
        <w:t>антиген</w:t>
      </w:r>
      <w:r w:rsidRPr="0009562B">
        <w:t xml:space="preserve"> p24 ВИЧ-1)</w:t>
      </w:r>
      <w:r>
        <w:t>;</w:t>
      </w:r>
    </w:p>
    <w:p w14:paraId="676257DB" w14:textId="77777777" w:rsidR="007F7B87" w:rsidRDefault="007F7B87" w:rsidP="007F7B87">
      <w:pPr>
        <w:pStyle w:val="Number1"/>
        <w:numPr>
          <w:ilvl w:val="0"/>
          <w:numId w:val="86"/>
        </w:numPr>
        <w:spacing w:line="360" w:lineRule="auto"/>
      </w:pPr>
      <w:r>
        <w:t>Определение HBsAg;</w:t>
      </w:r>
    </w:p>
    <w:p w14:paraId="42D1565C" w14:textId="77777777" w:rsidR="007F7B87" w:rsidRDefault="007F7B87" w:rsidP="007F7B87">
      <w:pPr>
        <w:pStyle w:val="Number1"/>
        <w:numPr>
          <w:ilvl w:val="0"/>
          <w:numId w:val="86"/>
        </w:numPr>
        <w:spacing w:line="360" w:lineRule="auto"/>
      </w:pPr>
      <w:r>
        <w:t>Определение</w:t>
      </w:r>
      <w:r w:rsidRPr="00350A4F">
        <w:t xml:space="preserve"> </w:t>
      </w:r>
      <w:r>
        <w:t>антител к ВГС;</w:t>
      </w:r>
      <w:r w:rsidRPr="00350A4F">
        <w:t xml:space="preserve"> </w:t>
      </w:r>
    </w:p>
    <w:p w14:paraId="73EACD2D" w14:textId="77777777" w:rsidR="007F7B87" w:rsidRDefault="007F7B87" w:rsidP="007F7B87">
      <w:pPr>
        <w:pStyle w:val="Number1"/>
        <w:numPr>
          <w:ilvl w:val="0"/>
          <w:numId w:val="86"/>
        </w:numPr>
        <w:spacing w:line="360" w:lineRule="auto"/>
      </w:pPr>
      <w:r>
        <w:t>Определение</w:t>
      </w:r>
      <w:r w:rsidRPr="00350A4F">
        <w:t xml:space="preserve"> РНК ВГС</w:t>
      </w:r>
      <w:r>
        <w:t xml:space="preserve"> (ПЦР, качественное);</w:t>
      </w:r>
    </w:p>
    <w:p w14:paraId="11CE3BAD" w14:textId="77777777" w:rsidR="007F7B87" w:rsidRDefault="007F7B87" w:rsidP="007F7B87">
      <w:pPr>
        <w:pStyle w:val="Number1"/>
        <w:numPr>
          <w:ilvl w:val="0"/>
          <w:numId w:val="86"/>
        </w:numPr>
        <w:spacing w:line="360" w:lineRule="auto"/>
      </w:pPr>
      <w:r>
        <w:t>С</w:t>
      </w:r>
      <w:r w:rsidRPr="00350A4F">
        <w:t xml:space="preserve">ерологические реакции на </w:t>
      </w:r>
      <w:r w:rsidRPr="00B47058">
        <w:rPr>
          <w:iCs/>
        </w:rPr>
        <w:t>сифилис (о</w:t>
      </w:r>
      <w:r w:rsidRPr="00B47058">
        <w:t>пределение антител к бледной трепонеме качественное и полуколичественное в сыворотке крови</w:t>
      </w:r>
      <w:r>
        <w:t xml:space="preserve">; </w:t>
      </w:r>
      <w:r w:rsidRPr="00B47058">
        <w:t>определение антител к бледной трепонеме иммуноферментным методом в крови)</w:t>
      </w:r>
      <w:r>
        <w:t>.</w:t>
      </w:r>
    </w:p>
    <w:p w14:paraId="2FD406EF" w14:textId="77777777" w:rsidR="007F7B87" w:rsidRDefault="007F7B87" w:rsidP="007F7B87">
      <w:pPr>
        <w:pStyle w:val="Number1"/>
        <w:numPr>
          <w:ilvl w:val="0"/>
          <w:numId w:val="83"/>
        </w:numPr>
        <w:spacing w:line="360" w:lineRule="auto"/>
      </w:pPr>
      <w:r>
        <w:t>Дополнительное о</w:t>
      </w:r>
      <w:r w:rsidRPr="00350A4F">
        <w:t xml:space="preserve">бследование всех </w:t>
      </w:r>
      <w:r>
        <w:t xml:space="preserve">первичных </w:t>
      </w:r>
      <w:r w:rsidRPr="00350A4F">
        <w:t xml:space="preserve">пациентов </w:t>
      </w:r>
      <w:r>
        <w:t xml:space="preserve">– кандидатов на трансфузии </w:t>
      </w:r>
      <w:r w:rsidRPr="00350A4F">
        <w:t>на наличие</w:t>
      </w:r>
      <w:r>
        <w:t>:</w:t>
      </w:r>
    </w:p>
    <w:p w14:paraId="741AC34E" w14:textId="77777777" w:rsidR="007F7B87" w:rsidRPr="00757238" w:rsidRDefault="007F7B87" w:rsidP="007F7B87">
      <w:pPr>
        <w:pStyle w:val="Number1"/>
        <w:numPr>
          <w:ilvl w:val="0"/>
          <w:numId w:val="87"/>
        </w:numPr>
        <w:spacing w:line="360" w:lineRule="auto"/>
      </w:pPr>
      <w:r>
        <w:t xml:space="preserve">Определение </w:t>
      </w:r>
      <w:r w:rsidRPr="00757238">
        <w:t>антител к ядерному ант</w:t>
      </w:r>
      <w:r>
        <w:t>игену (HBcAg) вируса гепатита B;</w:t>
      </w:r>
    </w:p>
    <w:p w14:paraId="41C3884A" w14:textId="77777777" w:rsidR="007F7B87" w:rsidRDefault="007F7B87" w:rsidP="007F7B87">
      <w:pPr>
        <w:pStyle w:val="Number1"/>
        <w:numPr>
          <w:ilvl w:val="0"/>
          <w:numId w:val="87"/>
        </w:numPr>
        <w:spacing w:line="360" w:lineRule="auto"/>
      </w:pPr>
      <w:r w:rsidRPr="007C6DC7">
        <w:t>Определение антител к поверхностному антигену (anti-HBs) вируса гепатита B</w:t>
      </w:r>
      <w:r>
        <w:t>;</w:t>
      </w:r>
      <w:r w:rsidRPr="00350A4F">
        <w:t xml:space="preserve"> </w:t>
      </w:r>
    </w:p>
    <w:p w14:paraId="05504997" w14:textId="77777777" w:rsidR="007F7B87" w:rsidRDefault="007F7B87" w:rsidP="007F7B87">
      <w:pPr>
        <w:pStyle w:val="Number1"/>
        <w:numPr>
          <w:ilvl w:val="0"/>
          <w:numId w:val="87"/>
        </w:numPr>
        <w:spacing w:line="360" w:lineRule="auto"/>
      </w:pPr>
      <w:r w:rsidRPr="007C6DC7">
        <w:t xml:space="preserve">Определение ДНК </w:t>
      </w:r>
      <w:r>
        <w:t>ВГ</w:t>
      </w:r>
      <w:r w:rsidRPr="007C6DC7">
        <w:t>B методом ПЦР, качественное исследование</w:t>
      </w:r>
      <w:r>
        <w:t>.</w:t>
      </w:r>
      <w:r w:rsidRPr="00350A4F">
        <w:t xml:space="preserve"> </w:t>
      </w:r>
    </w:p>
    <w:p w14:paraId="7423DD00" w14:textId="77777777" w:rsidR="007F7B87" w:rsidRDefault="007F7B87" w:rsidP="007F7B87">
      <w:pPr>
        <w:pStyle w:val="Number1"/>
        <w:numPr>
          <w:ilvl w:val="0"/>
          <w:numId w:val="83"/>
        </w:numPr>
        <w:spacing w:line="360" w:lineRule="auto"/>
      </w:pPr>
      <w:r>
        <w:t>Дополнительное о</w:t>
      </w:r>
      <w:r w:rsidRPr="00350A4F">
        <w:t>бследование</w:t>
      </w:r>
      <w:r>
        <w:t xml:space="preserve"> по показаниям:</w:t>
      </w:r>
    </w:p>
    <w:p w14:paraId="1EE23D37" w14:textId="77777777" w:rsidR="007F7B87" w:rsidRPr="00350A4F" w:rsidRDefault="007F7B87" w:rsidP="007F7B87">
      <w:pPr>
        <w:pStyle w:val="Number1"/>
        <w:numPr>
          <w:ilvl w:val="0"/>
          <w:numId w:val="85"/>
        </w:numPr>
        <w:spacing w:line="360" w:lineRule="auto"/>
      </w:pPr>
      <w:r w:rsidRPr="00350A4F">
        <w:t>В случае обнаружения HBsAg — дополнительное исследование HВеAg.</w:t>
      </w:r>
    </w:p>
    <w:p w14:paraId="68533654" w14:textId="77777777" w:rsidR="007F7B87" w:rsidRPr="00350A4F" w:rsidRDefault="007F7B87" w:rsidP="007F7B87">
      <w:pPr>
        <w:pStyle w:val="Number1"/>
        <w:numPr>
          <w:ilvl w:val="0"/>
          <w:numId w:val="85"/>
        </w:numPr>
        <w:spacing w:line="360" w:lineRule="auto"/>
      </w:pPr>
      <w:r w:rsidRPr="00350A4F">
        <w:t>В случае обнаружения анти-HBс — дополнительное исследование анти-НВс IgM.</w:t>
      </w:r>
    </w:p>
    <w:p w14:paraId="5B581C11" w14:textId="77777777" w:rsidR="007F7B87" w:rsidRPr="00350A4F" w:rsidRDefault="007F7B87" w:rsidP="007F7B87">
      <w:pPr>
        <w:pStyle w:val="Number1"/>
        <w:numPr>
          <w:ilvl w:val="0"/>
          <w:numId w:val="85"/>
        </w:numPr>
        <w:spacing w:line="360" w:lineRule="auto"/>
      </w:pPr>
      <w:r w:rsidRPr="00350A4F">
        <w:t xml:space="preserve">При наличии </w:t>
      </w:r>
      <w:r w:rsidRPr="007C6DC7">
        <w:t>только анти-HBs</w:t>
      </w:r>
      <w:r w:rsidRPr="00350A4F">
        <w:t xml:space="preserve"> (с учетом анамнестических данных больного о проведении вакцинации или отсутствии) — исследование анти-НВе для подтверждения инфицированности ВГВ.</w:t>
      </w:r>
    </w:p>
    <w:p w14:paraId="5E399310" w14:textId="77777777" w:rsidR="007F7B87" w:rsidRPr="00350A4F" w:rsidRDefault="007F7B87" w:rsidP="007F7B87">
      <w:pPr>
        <w:pStyle w:val="Number1"/>
        <w:numPr>
          <w:ilvl w:val="0"/>
          <w:numId w:val="85"/>
        </w:numPr>
        <w:spacing w:line="360" w:lineRule="auto"/>
      </w:pPr>
      <w:r w:rsidRPr="00350A4F">
        <w:t xml:space="preserve">При отсутствии </w:t>
      </w:r>
      <w:r w:rsidRPr="007C6DC7">
        <w:t>анти-HBс, анти-HBs</w:t>
      </w:r>
      <w:r w:rsidRPr="00350A4F">
        <w:t xml:space="preserve"> у больных с нарушенным иммунитетом — мониторинг этих маркеров не реже 1 раза в 3—6 месяцев в зависимости от динамики клинико-лабораторных показателей.</w:t>
      </w:r>
    </w:p>
    <w:p w14:paraId="61CBB350" w14:textId="77777777" w:rsidR="007F7B87" w:rsidRPr="00350A4F" w:rsidRDefault="007F7B87" w:rsidP="007F7B87">
      <w:pPr>
        <w:pStyle w:val="Number1"/>
        <w:numPr>
          <w:ilvl w:val="0"/>
          <w:numId w:val="83"/>
        </w:numPr>
        <w:spacing w:line="360" w:lineRule="auto"/>
      </w:pPr>
      <w:r>
        <w:t>Повторное ежемесячное о</w:t>
      </w:r>
      <w:r w:rsidRPr="00350A4F">
        <w:t xml:space="preserve">бследование на </w:t>
      </w:r>
      <w:r>
        <w:t>маркеры</w:t>
      </w:r>
      <w:r w:rsidRPr="00350A4F">
        <w:t xml:space="preserve"> HBsAg, анти-ВГС, ДНК ВГВ, РНК ВГС </w:t>
      </w:r>
      <w:r>
        <w:t xml:space="preserve">– </w:t>
      </w:r>
      <w:r w:rsidRPr="00350A4F">
        <w:t>для реципиентов</w:t>
      </w:r>
      <w:r>
        <w:t xml:space="preserve"> трансфузий</w:t>
      </w:r>
      <w:r w:rsidRPr="00350A4F">
        <w:t xml:space="preserve"> компонентов</w:t>
      </w:r>
      <w:r>
        <w:t xml:space="preserve"> </w:t>
      </w:r>
      <w:r w:rsidRPr="00350A4F">
        <w:t>крови, органов и тканей, пациентов гематологических и других смежных подразделений, пребывающих в стационаре свыше 1 месяца.</w:t>
      </w:r>
    </w:p>
    <w:p w14:paraId="5EAAF07B" w14:textId="77777777" w:rsidR="007F7B87" w:rsidRDefault="007F7B87" w:rsidP="007F7B87">
      <w:pPr>
        <w:numPr>
          <w:ilvl w:val="0"/>
          <w:numId w:val="83"/>
        </w:numPr>
        <w:autoSpaceDE w:val="0"/>
        <w:autoSpaceDN w:val="0"/>
        <w:adjustRightInd w:val="0"/>
        <w:jc w:val="left"/>
      </w:pPr>
      <w:r w:rsidRPr="00350A4F">
        <w:lastRenderedPageBreak/>
        <w:t>Остальные контингенты пациентов вне зависимости от результатов тестирования при поступлении обследуются на инфекционные маркеры ВГВ и ВГС по клиническим и эпидемиологическим показаниям.</w:t>
      </w:r>
    </w:p>
    <w:p w14:paraId="5ED89884" w14:textId="77777777" w:rsidR="007F7B87" w:rsidRPr="00350A4F" w:rsidRDefault="007F7B87" w:rsidP="007F7B87">
      <w:pPr>
        <w:ind w:left="720"/>
      </w:pPr>
    </w:p>
    <w:p w14:paraId="365FE721" w14:textId="77777777" w:rsidR="007F7B87" w:rsidRPr="00D20B00" w:rsidRDefault="007F7B87" w:rsidP="007F7B87">
      <w:pPr>
        <w:pStyle w:val="Normal11"/>
        <w:spacing w:line="360" w:lineRule="auto"/>
        <w:rPr>
          <w:bCs/>
          <w:i/>
          <w:iCs/>
          <w:u w:val="single"/>
        </w:rPr>
      </w:pPr>
      <w:r w:rsidRPr="00D20B00">
        <w:rPr>
          <w:bCs/>
          <w:i/>
          <w:iCs/>
          <w:u w:val="single"/>
        </w:rPr>
        <w:t>Инструментальная диагностика</w:t>
      </w:r>
    </w:p>
    <w:p w14:paraId="1832BB67" w14:textId="4C52985E" w:rsidR="007F7B87" w:rsidRDefault="007F7B87" w:rsidP="009749DB">
      <w:pPr>
        <w:pStyle w:val="Normal11"/>
        <w:spacing w:line="360" w:lineRule="auto"/>
        <w:ind w:firstLine="699"/>
        <w:jc w:val="both"/>
      </w:pPr>
      <w:r>
        <w:t>Инструментальная диагностика проводится по рекомендации врача-инфекциониста. При показаниях д</w:t>
      </w:r>
      <w:r w:rsidRPr="006A482D">
        <w:t xml:space="preserve">ля получения информации о стадии фиброза и прогнозе заболевания </w:t>
      </w:r>
      <w:r>
        <w:t>проводится:</w:t>
      </w:r>
    </w:p>
    <w:p w14:paraId="6D4C0CCC" w14:textId="77777777" w:rsidR="007F7B87" w:rsidRDefault="007F7B87" w:rsidP="007F7B87">
      <w:pPr>
        <w:pStyle w:val="Normal11"/>
        <w:numPr>
          <w:ilvl w:val="0"/>
          <w:numId w:val="88"/>
        </w:numPr>
        <w:spacing w:line="360" w:lineRule="auto"/>
        <w:jc w:val="both"/>
      </w:pPr>
      <w:r>
        <w:t xml:space="preserve">УЗИ печени. </w:t>
      </w:r>
    </w:p>
    <w:p w14:paraId="1993D8A9" w14:textId="77777777" w:rsidR="007F7B87" w:rsidRDefault="007F7B87" w:rsidP="007F7B87">
      <w:pPr>
        <w:pStyle w:val="Normal11"/>
        <w:numPr>
          <w:ilvl w:val="0"/>
          <w:numId w:val="88"/>
        </w:numPr>
        <w:spacing w:line="360" w:lineRule="auto"/>
        <w:jc w:val="both"/>
      </w:pPr>
      <w:r>
        <w:t>Эластометрия печени</w:t>
      </w:r>
    </w:p>
    <w:p w14:paraId="57EB8A42" w14:textId="77777777" w:rsidR="007F7B87" w:rsidRDefault="007F7B87" w:rsidP="007F7B87">
      <w:pPr>
        <w:pStyle w:val="Normal11"/>
        <w:numPr>
          <w:ilvl w:val="0"/>
          <w:numId w:val="88"/>
        </w:numPr>
        <w:spacing w:line="360" w:lineRule="auto"/>
        <w:jc w:val="both"/>
      </w:pPr>
      <w:r>
        <w:t>Б</w:t>
      </w:r>
      <w:r w:rsidRPr="006A482D">
        <w:t>иопси</w:t>
      </w:r>
      <w:r>
        <w:t>я</w:t>
      </w:r>
      <w:r w:rsidRPr="006A482D">
        <w:t xml:space="preserve"> печени</w:t>
      </w:r>
      <w:r>
        <w:t>.</w:t>
      </w:r>
      <w:r w:rsidRPr="006A482D">
        <w:t xml:space="preserve"> </w:t>
      </w:r>
    </w:p>
    <w:p w14:paraId="0223EF08" w14:textId="77777777" w:rsidR="007F7B87" w:rsidRDefault="007F7B87" w:rsidP="007F7B87">
      <w:pPr>
        <w:pStyle w:val="Normal11"/>
        <w:spacing w:line="360" w:lineRule="auto"/>
        <w:ind w:left="1068" w:firstLine="0"/>
        <w:jc w:val="both"/>
      </w:pPr>
    </w:p>
    <w:p w14:paraId="3795AC58" w14:textId="77777777" w:rsidR="007F7B87" w:rsidRPr="00D20B00" w:rsidRDefault="007F7B87" w:rsidP="007F7B87">
      <w:pPr>
        <w:pStyle w:val="Normal11"/>
        <w:spacing w:line="360" w:lineRule="auto"/>
        <w:rPr>
          <w:bCs/>
          <w:i/>
          <w:iCs/>
          <w:u w:val="single"/>
        </w:rPr>
      </w:pPr>
      <w:r w:rsidRPr="00D20B00">
        <w:rPr>
          <w:bCs/>
          <w:i/>
          <w:iCs/>
          <w:u w:val="single"/>
        </w:rPr>
        <w:t xml:space="preserve">Лечение и профилактика вирусных гепатитов В и С </w:t>
      </w:r>
    </w:p>
    <w:p w14:paraId="04018CC8" w14:textId="7AA327C9" w:rsidR="007F7B87" w:rsidRPr="00E71F5D" w:rsidRDefault="007F7B87" w:rsidP="009749DB">
      <w:pPr>
        <w:pStyle w:val="Normal11"/>
        <w:spacing w:line="360" w:lineRule="auto"/>
        <w:ind w:firstLine="699"/>
        <w:jc w:val="both"/>
      </w:pPr>
      <w:r w:rsidRPr="00E71F5D">
        <w:t xml:space="preserve">Современные противовирусные препараты позволяют эффективно лечить острые и тяжелые формы </w:t>
      </w:r>
      <w:r>
        <w:t>вирусных гепатитов В и С</w:t>
      </w:r>
      <w:r w:rsidRPr="00E71F5D">
        <w:t>, однако эффективность такой терапии зависит от сроков начала лечения</w:t>
      </w:r>
      <w:r w:rsidRPr="00C46A96">
        <w:t xml:space="preserve"> </w:t>
      </w:r>
      <w:r>
        <w:fldChar w:fldCharType="begin" w:fldLock="1"/>
      </w:r>
      <w:r w:rsidR="007466F7">
        <w:instrText>ADDIN CSL_CITATION {"citationItems":[{"id":"ITEM-1","itemData":{"DOI":"10.1002/jmv.22199","ISSN":"01466615","PMID":"21915865","abstract":"The aim of the study was to evaluate clinical and virological differences in HBV reactivation between patients with overt and occult HBV infection. Twenty-three consecutive patients with symptomatic HBV reactivation occurring during or after immunosuppressive therapy were enrolled in a retrospective study: 10 with reactivation of overt HBV infection (overt group) and 13 of occult HBV infection (occult group). Twenty-one patients were treated with nucleot(s)ide analogues after HBV reactivation. Regimens including rituximab or fludarabine were administered more frequently in the occult group (61% vs. 31%, respectively). HBV reactivation was severe frequently in the overt (40%) and occult groups (38.4%). Patients in the overt group showed higher HBV-DNA titers (1.1×10 8±1.4×10 8 vs. 5.1×10 5±6.8×10 5IU; P&lt;0.005). Seven patients died during HBV reactivation, two in the overt and five in the occult group. Of these seven patients, two remained untreated and five had been treated with Lamivudine; of the 16 patients showing remission of HBV reactivation, four had been treated with Lamivudine, four with Entecavir, two with Telbivudine, and six with Lamivudine plus Adefovir. It is concluded that HBV reactivation is life-threatening in patients with diseases inhibiting the immune response and/or receiving immunosuppressive drugs. Supportive therapy without antiviral drugs or Lamivudine monotherapy may not be effective for treating patients with HBV reactivation. © 2011 Wiley-Liss, Inc.","author":[{"dropping-particle":"","family":"Coppola","given":"Nicola","non-dropping-particle":"","parse-names":false,"suffix":""},{"dropping-particle":"","family":"Tonziello","given":"Gilda","non-dropping-particle":"","parse-names":false,"suffix":""},{"dropping-particle":"","family":"Pisaturo","given":"Mariantonietta","non-dropping-particle":"","parse-names":false,"suffix":""},{"dropping-particle":"","family":"Messina","given":"Vincenzo","non-dropping-particle":"","parse-names":false,"suffix":""},{"dropping-particle":"","family":"Guastafierro","given":"Salvatore","non-dropping-particle":"","parse-names":false,"suffix":""},{"dropping-particle":"","family":"Fiore","given":"Marco","non-dropping-particle":"","parse-names":false,"suffix":""},{"dropping-particle":"","family":"Iodice","given":"Valentina","non-dropping-particle":"","parse-names":false,"suffix":""},{"dropping-particle":"","family":"Sagnelli","given":"Caterina","non-dropping-particle":"","parse-names":false,"suffix":""},{"dropping-particle":"","family":"Stanzione","given":"Maria","non-dropping-particle":"","parse-names":false,"suffix":""},{"dropping-particle":"","family":"Capoluongo","given":"Nicolina","non-dropping-particle":"","parse-names":false,"suffix":""},{"dropping-particle":"","family":"Pasquale","given":"Giuseppe","non-dropping-particle":"","parse-names":false,"suffix":""},{"dropping-particle":"","family":"Sagnelli","given":"Evangelista","non-dropping-particle":"","parse-names":false,"suffix":""}],"container-title":"Journal of Medical Virology","id":"ITEM-1","issue":"11","issued":{"date-parts":[["2011","11"]]},"page":"1909-1916","publisher":"J Med Virol","title":"Reactivation of overt and occult hepatitis B infection in various immunosuppressive settings","type":"article-journal","volume":"83"},"uris":["http://www.mendeley.com/documents/?uuid=7dc438fe-ccda-3a54-a4c3-5a2d13cb41a2"]},{"id":"ITEM-2","itemData":{"DOI":"10.1016/j.jhep.2009.07.012","abstract":"Backgrounds/Aims: Hepatitis B virus (HBV) reactivation following treatment with rituximab has been reported in patients with either HBsAg-positive, or HBsAg-negative and anti-HBc positive infection. Patients with severe reactivation often have a fatal outcome despite treatment with lamivudine. The use of entecavir has not been reported in patients with severe HBV reactivation. Methods: We present a case of a HBsAg-negative patient diagnosed with chronic lymphocytic leukemia who received a chemotherapeutic regimen that included rituximab, who subsequently presented with severe HBV reactivation with ascites, jaundice and coagulopathy and was treated with entecavir. A review of the literature and underlying HBV associated mutations are discussed. Results: Entecavir produced a rapid and sustained suppression of HBV that was associated with rapid clinical improvement without any side effects. Conclusion: Entecavir is an efficacious and safe treatment for severe HBV reactivation.","author":[{"dropping-particle":"","family":"Sanchez","given":"Mayra J","non-dropping-particle":"","parse-names":false,"suffix":""},{"dropping-particle":"","family":"Buti","given":"Maria","non-dropping-particle":"","parse-names":false,"suffix":""},{"dropping-particle":"","family":"Homs","given":"Maria","non-dropping-particle":"","parse-names":false,"suffix":""},{"dropping-particle":"","family":"Palacios","given":"Andres","non-dropping-particle":"","parse-names":false,"suffix":""},{"dropping-particle":"","family":"Rodriguez-Frias","given":"Francisco","non-dropping-particle":"","parse-names":false,"suffix":""},{"dropping-particle":"","family":"Esteban","given":"Rafael","non-dropping-particle":"","parse-names":false,"suffix":""}],"container-title":"Journal of Hepatology","id":"ITEM-2","issued":{"date-parts":[["0"]]},"page":"1091-1096","title":"Successful use of entecavir for a severe case of reactivation of hepatitis B virus following polychemotherapy containing rituximab q","type":"article-journal","volume":"51"},"uris":["http://www.mendeley.com/documents/?uuid=7c5b9301-1084-3fdb-b8fc-ae5d3423651c"]}],"mendeley":{"formattedCitation":"[146,147]","plainTextFormattedCitation":"[146,147]","previouslyFormattedCitation":"[146,147]"},"properties":{"noteIndex":0},"schema":"https://github.com/citation-style-language/schema/raw/master/csl-citation.json"}</w:instrText>
      </w:r>
      <w:r>
        <w:fldChar w:fldCharType="separate"/>
      </w:r>
      <w:r w:rsidR="009749DB" w:rsidRPr="009749DB">
        <w:rPr>
          <w:noProof/>
        </w:rPr>
        <w:t>[146,147]</w:t>
      </w:r>
      <w:r>
        <w:fldChar w:fldCharType="end"/>
      </w:r>
      <w:r w:rsidRPr="00E71F5D">
        <w:t>. Несколько зарубежных рандомизированных контролируемых исследований с метаанализом данных показали, что для профилактики реактивации ВГВ целесообразно использовать ламивудин</w:t>
      </w:r>
      <w:r w:rsidRPr="009510CC">
        <w:t xml:space="preserve"> </w:t>
      </w:r>
      <w:r>
        <w:fldChar w:fldCharType="begin" w:fldLock="1"/>
      </w:r>
      <w:r w:rsidR="007466F7">
        <w:instrText>ADDIN CSL_CITATION {"citationItems":[{"id":"ITEM-1","itemData":{"DOI":"10.1182/blood-2008-10-163493","ISSN":"00064971","PMID":"19144986","abstract":"Hepatitis B virus (HBV) reactivation is a serious but preventable complication of immunosuppression. Full HBV serologic profile must be obtained from all patients receiving intensive immunosuppressive therapy. In general, preemptive anti-HBV therapy is more effective than giving treatment after development of reactivation. Prompt lamivu-dine therapy should be given to at-risk patients who are hepatitis B surface antigen (HBsAg)-positive. It is recommended that lamivudine be continued until at least 6 months after the cessation of immunosuppression. Some patients requiring a longer duration of lamivudine therapy are at risk of developing drug resistance. The newer anti HBV agents are effective in overcoming lamivudine resistance. Early use of these agents may be considered. HBV reactivation was observed in HBsAg-negative patients with occult HBV infection (HBV DNA-positive) who are on heavy immunosuppression. The optimal management of this group of patients is unclear. For patients receiving allogeneic HSC transplants, the HBV status of the donors requires special attention. To minimize the risk of transmission of infection to recipients, HBsAg positive donors should receive adequate anti-HBV therapy before HSC donation. As the result of adoptive immune transfer, clearance of HBsAg is observed in HBsAg-positive patients receiving HSC transplants from donors who are positive for hepatitis B surface and core antibodies. © 2009 by The American Society of Hematology.","author":[{"dropping-particle":"","family":"Liang","given":"Raymond","non-dropping-particle":"","parse-names":false,"suffix":""}],"container-title":"Blood","id":"ITEM-1","issue":"14","issued":{"date-parts":[["2009","4","2"]]},"page":"3147-3153","publisher":"American Society of Hematology","title":"How I treat and monitor viral hepatitis B infection in patients receiving intensive immunosuppressive therapies or undergoing hematopoietic stem cell transplantation","type":"article-journal","volume":"113"},"uris":["http://www.mendeley.com/documents/?uuid=c6aa979e-82bd-3a05-b09a-b65bc02bee20"]},{"id":"ITEM-2","itemData":{"DOI":"10.1016/j.blre.2008.02.001","ISSN":"0268960X","abstract":"Viral hepatitis is the third major cause of liver dysfunction in allogeneic transplant recipients and has become a significant concern in patients with hematological malignancies receiving chemotherapy. Thus, identification of patients at risk for viral hepatitis is very important when evaluating and treating hematological malignancies. Serologic screening for all patients should include anti-HCV, hepatitis B surface antigen (HBsAg), hepatitis B surface antibody (anti-HBs), and hepatitis B core antibody (anti-HBc) testing. Current therapies for hepatitis B (HBV) virus infection are aimed at viral suppression, while treatment for hepatitis C (HCV) virus can eradicate infection in many treated patients. To prevent HBV viral reactivation, prophylaxis with nucleoside analogues should be initiated for all HBsAg-positive patients. HCV infection appears to have little impact on short-term survival after bone marrow transplantation (BMT), but eventually can impact long-term survival due to progression of liver disease. In this review we will highlight the mechanisms of virus reactivation, clinical manifestations, and management strategies to minimize acute and chronic morbidity in this population. © 2008 Elsevier Ltd. All rights reserved.","author":[{"dropping-particle":"","family":"Firpi","given":"Roberto J.","non-dropping-particle":"","parse-names":false,"suffix":""},{"dropping-particle":"","family":"Nelson","given":"David R.","non-dropping-particle":"","parse-names":false,"suffix":""}],"container-title":"Blood Reviews","id":"ITEM-2","issue":"3","issued":{"date-parts":[["2008","5","14"]]},"page":"117-126","title":"Management of viral hepatitis in hematologic malignancies","type":"article-journal","volume":"22"},"uris":["http://www.mendeley.com/documents/?uuid=bede40bd-819b-33b5-83bb-9b5be4df0b88"]},{"id":"ITEM-3","itemData":{"DOI":"10.1002/ajh.21022","ISSN":"03618609","abstract":"Several studies have shown that the frequency of hepatitis C virus (HCV) infection is high in patients with B-cell non-Hodgkin's lymphoma (NHL). In these studies, liver dysfunction during chemotherapy has been demonstrated, but changes in HCV ribonucleic acid (RNA) levels during chemotherapy have not been well documented. In this study, we monitored serum HCV RNA levels and liver function In five HCV-infected patients with B-cell NHL undergoing treatment with rituximab-combination chemotherapy. Increased HCV RNA levels during or after the chemotherapy were observed in all five patients, and a significant increase in transaminases was seen in one case. In this case, serum HCV RNA level dramatically decreased at the time of the increase of transaminases, and this suggested that the cause of liver damage was an immune reaction against hepatocytes with HCV and not any anticancer drug induced liver toxicity. Monitoring of serum HCV RNA levels and transaminases may be helpful to understand the cause of liver dysfunction in patients receiving chemotherapy. However, increases of HCV viral load were not associated with the occurrence of liver dysfunction in this study. Further studies will be necessary to investigate more fully the relationship between changes in HCV viral load and liver function during chemotherapy for HCV-infected patients. © 2007 Wiley-Liss, Inc.","author":[{"dropping-particle":"","family":"Ennishi","given":"Daisuke","non-dropping-particle":"","parse-names":false,"suffix":""},{"dropping-particle":"","family":"Terui","given":"Yasuhito","non-dropping-particle":"","parse-names":false,"suffix":""},{"dropping-particle":"","family":"Yokoyama","given":"Masahiro","non-dropping-particle":"","parse-names":false,"suffix":""},{"dropping-particle":"","family":"Mishima","given":"Yuko","non-dropping-particle":"","parse-names":false,"suffix":""},{"dropping-particle":"","family":"Takahashi","given":"Shunji","non-dropping-particle":"","parse-names":false,"suffix":""},{"dropping-particle":"","family":"Takeuchi","given":"Kengo","non-dropping-particle":"","parse-names":false,"suffix":""},{"dropping-particle":"","family":"Okamoto","given":"Hiroaki","non-dropping-particle":"","parse-names":false,"suffix":""},{"dropping-particle":"","family":"Tanimoto","given":"Mitsune","non-dropping-particle":"","parse-names":false,"suffix":""},{"dropping-particle":"","family":"Hatake","given":"Kiyohiko","non-dropping-particle":"","parse-names":false,"suffix":""}],"container-title":"American Journal of Hematology","id":"ITEM-3","issue":"1","issued":{"date-parts":[["2008","1","1"]]},"page":"59-62","publisher":"John Wiley &amp; Sons, Ltd","title":"Monitoring serum hepatitis C virus (HCV) RNA in patients with HCV-infected CD20-positive B-cell lymphoma undergoing rituximab combination chemotherapy","type":"article-journal","volume":"83"},"uris":["http://www.mendeley.com/documents/?uuid=1e8624bf-39e2-37ad-955a-10105c759886"]},{"id":"ITEM-4","itemData":{"DOI":"10.1111/j.1478-3231.2010.02396.x","ISSN":"14783223","PMID":"21205146","abstract":"Reactivation of hepatitis B is characterized by a sudden increase in hepatitis B virus (HBV) replication in a patient with prior evidence of resolved or inactive HBV infection. Although HBV reactivation can occur spontaneously, it usually occurs after chemotherapy, immunosuppression (organ transplantation) or an alteration in immune function (therapy for autoimmune disease, human immunodeficiency virus infection). The clinical presentation cases can vary, ranging from a subclinical, asymptomatic course to severe acute hepatitis and even death. Although reactivation of HBV is mainly found in HBsAg-positive patients, it can be observed in serologically recovered anti-hepatitis B core antibody (HBc)-positive, HBsAg-negative patients. Serum HBV DNA typically increases during immune suppression, followed by a disease flare and HBV DNA clearance following immune restoration after immune suppression is stopped. In organ transplant recipients, without immune reconstitution, high HBV DNA levels can lead to fibrosing cholestatic hepatitis related to the direct cytopathic effect of HBV. Several randomized, controlled trials and meta-analyses have shown that reactivation can be prevented by lamivudine prophylaxis. Screening for HBsAg and anti-HBc should be performed before beginning immunosuppressive treatment and routine prophylaxis is recommended in HBsAg-positive patients. The optimal duration of prophylaxis remains to be determined. In anti-HBc-positive patients with or without anti-hepatitis B surface antigen, alanine transaminase and HBV DNA levels should be closely monitored and antiviral therapy should be started when HBV reactivation is confirmed. The use of new more potent nucleos(t)ides analogues with lower resistance rates would seem to be logical; however, experience with these drugs in the prophylaxis and treatment of severe HBV reactivation is limited. © 2011 John Wiley &amp; Sons A/S.","author":[{"dropping-particle":"","family":"Roche","given":"Bruno","non-dropping-particle":"","parse-names":false,"suffix":""},{"dropping-particle":"","family":"Samuel","given":"Didier","non-dropping-particle":"","parse-names":false,"suffix":""}],"container-title":"Liver International","id":"ITEM-4","issue":"SUPPL. 1","issued":{"date-parts":[["2011","1"]]},"page":"104-110","publisher":"Liver Int","title":"The difficulties of managing severe hepatitis B virus reactivation","type":"article-journal","volume":"31"},"uris":["http://www.mendeley.com/documents/?uuid=7322b501-0227-3082-a6d1-2bf3f9e30c4f"]}],"mendeley":{"formattedCitation":"[148–151]","plainTextFormattedCitation":"[148–151]","previouslyFormattedCitation":"[148–151]"},"properties":{"noteIndex":0},"schema":"https://github.com/citation-style-language/schema/raw/master/csl-citation.json"}</w:instrText>
      </w:r>
      <w:r>
        <w:fldChar w:fldCharType="separate"/>
      </w:r>
      <w:r w:rsidR="009749DB" w:rsidRPr="009749DB">
        <w:rPr>
          <w:noProof/>
        </w:rPr>
        <w:t>[148–151]</w:t>
      </w:r>
      <w:r>
        <w:fldChar w:fldCharType="end"/>
      </w:r>
      <w:r w:rsidRPr="00E71F5D">
        <w:t>, а также другие более новые и эффективные нуклеозидные аналоги с меньшей скоростью развития к ним резистентности — адефовир, дипивоксил, энтекавир, телбивудин</w:t>
      </w:r>
      <w:r w:rsidRPr="00786DB5">
        <w:t xml:space="preserve"> </w:t>
      </w:r>
      <w:r>
        <w:rPr>
          <w:lang w:val="en-US"/>
        </w:rPr>
        <w:fldChar w:fldCharType="begin" w:fldLock="1"/>
      </w:r>
      <w:r w:rsidR="007466F7">
        <w:rPr>
          <w:lang w:val="en-US"/>
        </w:rPr>
        <w:instrText>ADDIN</w:instrText>
      </w:r>
      <w:r w:rsidR="007466F7" w:rsidRPr="00C3406E">
        <w:instrText xml:space="preserve"> </w:instrText>
      </w:r>
      <w:r w:rsidR="007466F7">
        <w:rPr>
          <w:lang w:val="en-US"/>
        </w:rPr>
        <w:instrText>CSL</w:instrText>
      </w:r>
      <w:r w:rsidR="007466F7" w:rsidRPr="00C3406E">
        <w:instrText>_</w:instrText>
      </w:r>
      <w:r w:rsidR="007466F7">
        <w:rPr>
          <w:lang w:val="en-US"/>
        </w:rPr>
        <w:instrText>CITATION</w:instrText>
      </w:r>
      <w:r w:rsidR="007466F7" w:rsidRPr="00C3406E">
        <w:instrText xml:space="preserve"> {"</w:instrText>
      </w:r>
      <w:r w:rsidR="007466F7">
        <w:rPr>
          <w:lang w:val="en-US"/>
        </w:rPr>
        <w:instrText>citationItems</w:instrText>
      </w:r>
      <w:r w:rsidR="007466F7" w:rsidRPr="00C3406E">
        <w:instrText>":[{"</w:instrText>
      </w:r>
      <w:r w:rsidR="007466F7">
        <w:rPr>
          <w:lang w:val="en-US"/>
        </w:rPr>
        <w:instrText>id</w:instrText>
      </w:r>
      <w:r w:rsidR="007466F7" w:rsidRPr="00C3406E">
        <w:instrText>":"</w:instrText>
      </w:r>
      <w:r w:rsidR="007466F7">
        <w:rPr>
          <w:lang w:val="en-US"/>
        </w:rPr>
        <w:instrText>ITEM</w:instrText>
      </w:r>
      <w:r w:rsidR="007466F7" w:rsidRPr="00C3406E">
        <w:instrText>-1","</w:instrText>
      </w:r>
      <w:r w:rsidR="007466F7">
        <w:rPr>
          <w:lang w:val="en-US"/>
        </w:rPr>
        <w:instrText>itemData</w:instrText>
      </w:r>
      <w:r w:rsidR="007466F7" w:rsidRPr="00C3406E">
        <w:instrText>":{"</w:instrText>
      </w:r>
      <w:r w:rsidR="007466F7">
        <w:rPr>
          <w:lang w:val="en-US"/>
        </w:rPr>
        <w:instrText>DOI</w:instrText>
      </w:r>
      <w:r w:rsidR="007466F7" w:rsidRPr="00C3406E">
        <w:instrText>":"10.1002/(</w:instrText>
      </w:r>
      <w:r w:rsidR="007466F7">
        <w:rPr>
          <w:lang w:val="en-US"/>
        </w:rPr>
        <w:instrText>SICI</w:instrText>
      </w:r>
      <w:r w:rsidR="007466F7" w:rsidRPr="00C3406E">
        <w:instrText>)1096-9071(200003)60:3&lt;256::</w:instrText>
      </w:r>
      <w:r w:rsidR="007466F7">
        <w:rPr>
          <w:lang w:val="en-US"/>
        </w:rPr>
        <w:instrText>AID</w:instrText>
      </w:r>
      <w:r w:rsidR="007466F7" w:rsidRPr="00C3406E">
        <w:instrText>-</w:instrText>
      </w:r>
      <w:r w:rsidR="007466F7">
        <w:rPr>
          <w:lang w:val="en-US"/>
        </w:rPr>
        <w:instrText>JMV</w:instrText>
      </w:r>
      <w:r w:rsidR="007466F7" w:rsidRPr="00C3406E">
        <w:instrText>2&gt;3.0.</w:instrText>
      </w:r>
      <w:r w:rsidR="007466F7">
        <w:rPr>
          <w:lang w:val="en-US"/>
        </w:rPr>
        <w:instrText>CO</w:instrText>
      </w:r>
      <w:r w:rsidR="007466F7" w:rsidRPr="00C3406E">
        <w:instrText>;2-</w:instrText>
      </w:r>
      <w:r w:rsidR="007466F7">
        <w:rPr>
          <w:lang w:val="en-US"/>
        </w:rPr>
        <w:instrText>H</w:instrText>
      </w:r>
      <w:r w:rsidR="007466F7" w:rsidRPr="00C3406E">
        <w:instrText>","</w:instrText>
      </w:r>
      <w:r w:rsidR="007466F7">
        <w:rPr>
          <w:lang w:val="en-US"/>
        </w:rPr>
        <w:instrText>ISSN</w:instrText>
      </w:r>
      <w:r w:rsidR="007466F7" w:rsidRPr="00C3406E">
        <w:instrText>":"0146-6615","</w:instrText>
      </w:r>
      <w:r w:rsidR="007466F7">
        <w:rPr>
          <w:lang w:val="en-US"/>
        </w:rPr>
        <w:instrText>abstract</w:instrText>
      </w:r>
      <w:r w:rsidR="007466F7" w:rsidRPr="00C3406E">
        <w:instrText>":"</w:instrText>
      </w:r>
      <w:r w:rsidR="007466F7">
        <w:rPr>
          <w:lang w:val="en-US"/>
        </w:rPr>
        <w:instrText>Current</w:instrText>
      </w:r>
      <w:r w:rsidR="007466F7" w:rsidRPr="00C3406E">
        <w:instrText xml:space="preserve"> </w:instrText>
      </w:r>
      <w:r w:rsidR="007466F7">
        <w:rPr>
          <w:lang w:val="en-US"/>
        </w:rPr>
        <w:instrText>commercial</w:instrText>
      </w:r>
      <w:r w:rsidR="007466F7" w:rsidRPr="00C3406E">
        <w:instrText xml:space="preserve"> </w:instrText>
      </w:r>
      <w:r w:rsidR="007466F7">
        <w:rPr>
          <w:lang w:val="en-US"/>
        </w:rPr>
        <w:instrText>hepatitis</w:instrText>
      </w:r>
      <w:r w:rsidR="007466F7" w:rsidRPr="00C3406E">
        <w:instrText xml:space="preserve"> </w:instrText>
      </w:r>
      <w:r w:rsidR="007466F7">
        <w:rPr>
          <w:lang w:val="en-US"/>
        </w:rPr>
        <w:instrText>B</w:instrText>
      </w:r>
      <w:r w:rsidR="007466F7" w:rsidRPr="00C3406E">
        <w:instrText xml:space="preserve"> </w:instrText>
      </w:r>
      <w:r w:rsidR="007466F7">
        <w:rPr>
          <w:lang w:val="en-US"/>
        </w:rPr>
        <w:instrText>virus</w:instrText>
      </w:r>
      <w:r w:rsidR="007466F7" w:rsidRPr="00C3406E">
        <w:instrText xml:space="preserve"> (</w:instrText>
      </w:r>
      <w:r w:rsidR="007466F7">
        <w:rPr>
          <w:lang w:val="en-US"/>
        </w:rPr>
        <w:instrText>HBV</w:instrText>
      </w:r>
      <w:r w:rsidR="007466F7" w:rsidRPr="00C3406E">
        <w:instrText xml:space="preserve">) </w:instrText>
      </w:r>
      <w:r w:rsidR="007466F7">
        <w:rPr>
          <w:lang w:val="en-US"/>
        </w:rPr>
        <w:instrText>anti</w:instrText>
      </w:r>
      <w:r w:rsidR="007466F7" w:rsidRPr="00C3406E">
        <w:instrText>-</w:instrText>
      </w:r>
      <w:r w:rsidR="007466F7">
        <w:rPr>
          <w:lang w:val="en-US"/>
        </w:rPr>
        <w:instrText>HBe</w:instrText>
      </w:r>
      <w:r w:rsidR="007466F7" w:rsidRPr="00C3406E">
        <w:instrText xml:space="preserve"> </w:instrText>
      </w:r>
      <w:r w:rsidR="007466F7">
        <w:rPr>
          <w:lang w:val="en-US"/>
        </w:rPr>
        <w:instrText>immunoassays</w:instrText>
      </w:r>
      <w:r w:rsidR="007466F7" w:rsidRPr="00C3406E">
        <w:instrText xml:space="preserve"> </w:instrText>
      </w:r>
      <w:r w:rsidR="007466F7">
        <w:rPr>
          <w:lang w:val="en-US"/>
        </w:rPr>
        <w:instrText>are</w:instrText>
      </w:r>
      <w:r w:rsidR="007466F7" w:rsidRPr="00C3406E">
        <w:instrText xml:space="preserve"> </w:instrText>
      </w:r>
      <w:r w:rsidR="007466F7">
        <w:rPr>
          <w:lang w:val="en-US"/>
        </w:rPr>
        <w:instrText>designed</w:instrText>
      </w:r>
      <w:r w:rsidR="007466F7" w:rsidRPr="00C3406E">
        <w:instrText xml:space="preserve"> </w:instrText>
      </w:r>
      <w:r w:rsidR="007466F7">
        <w:rPr>
          <w:lang w:val="en-US"/>
        </w:rPr>
        <w:instrText>so</w:instrText>
      </w:r>
      <w:r w:rsidR="007466F7" w:rsidRPr="00C3406E">
        <w:instrText xml:space="preserve"> </w:instrText>
      </w:r>
      <w:r w:rsidR="007466F7">
        <w:rPr>
          <w:lang w:val="en-US"/>
        </w:rPr>
        <w:instrText>that</w:instrText>
      </w:r>
      <w:r w:rsidR="007466F7" w:rsidRPr="00C3406E">
        <w:instrText xml:space="preserve"> </w:instrText>
      </w:r>
      <w:r w:rsidR="007466F7">
        <w:rPr>
          <w:lang w:val="en-US"/>
        </w:rPr>
        <w:instrText>anti</w:instrText>
      </w:r>
      <w:r w:rsidR="007466F7" w:rsidRPr="00C3406E">
        <w:instrText>-</w:instrText>
      </w:r>
      <w:r w:rsidR="007466F7">
        <w:rPr>
          <w:lang w:val="en-US"/>
        </w:rPr>
        <w:instrText>HBe</w:instrText>
      </w:r>
      <w:r w:rsidR="007466F7" w:rsidRPr="00C3406E">
        <w:instrText xml:space="preserve"> </w:instrText>
      </w:r>
      <w:r w:rsidR="007466F7">
        <w:rPr>
          <w:lang w:val="en-US"/>
        </w:rPr>
        <w:instrText>is</w:instrText>
      </w:r>
      <w:r w:rsidR="007466F7" w:rsidRPr="00C3406E">
        <w:instrText xml:space="preserve"> </w:instrText>
      </w:r>
      <w:r w:rsidR="007466F7">
        <w:rPr>
          <w:lang w:val="en-US"/>
        </w:rPr>
        <w:instrText>detectable</w:instrText>
      </w:r>
      <w:r w:rsidR="007466F7" w:rsidRPr="00C3406E">
        <w:instrText xml:space="preserve"> </w:instrText>
      </w:r>
      <w:r w:rsidR="007466F7">
        <w:rPr>
          <w:lang w:val="en-US"/>
        </w:rPr>
        <w:instrText>only</w:instrText>
      </w:r>
      <w:r w:rsidR="007466F7" w:rsidRPr="00C3406E">
        <w:instrText xml:space="preserve"> </w:instrText>
      </w:r>
      <w:r w:rsidR="007466F7">
        <w:rPr>
          <w:lang w:val="en-US"/>
        </w:rPr>
        <w:instrText>in</w:instrText>
      </w:r>
      <w:r w:rsidR="007466F7" w:rsidRPr="00C3406E">
        <w:instrText xml:space="preserve"> </w:instrText>
      </w:r>
      <w:r w:rsidR="007466F7">
        <w:rPr>
          <w:lang w:val="en-US"/>
        </w:rPr>
        <w:instrText>the</w:instrText>
      </w:r>
      <w:r w:rsidR="007466F7" w:rsidRPr="00C3406E">
        <w:instrText xml:space="preserve"> </w:instrText>
      </w:r>
      <w:r w:rsidR="007466F7">
        <w:rPr>
          <w:lang w:val="en-US"/>
        </w:rPr>
        <w:instrText>absence</w:instrText>
      </w:r>
      <w:r w:rsidR="007466F7" w:rsidRPr="00C3406E">
        <w:instrText xml:space="preserve"> </w:instrText>
      </w:r>
      <w:r w:rsidR="007466F7">
        <w:rPr>
          <w:lang w:val="en-US"/>
        </w:rPr>
        <w:instrText>of</w:instrText>
      </w:r>
      <w:r w:rsidR="007466F7" w:rsidRPr="00C3406E">
        <w:instrText xml:space="preserve"> </w:instrText>
      </w:r>
      <w:r w:rsidR="007466F7">
        <w:rPr>
          <w:lang w:val="en-US"/>
        </w:rPr>
        <w:instrText>excess</w:instrText>
      </w:r>
      <w:r w:rsidR="007466F7" w:rsidRPr="00C3406E">
        <w:instrText xml:space="preserve"> </w:instrText>
      </w:r>
      <w:r w:rsidR="007466F7">
        <w:rPr>
          <w:lang w:val="en-US"/>
        </w:rPr>
        <w:instrText>HBeAg</w:instrText>
      </w:r>
      <w:r w:rsidR="007466F7" w:rsidRPr="00C3406E">
        <w:instrText xml:space="preserve">. </w:instrText>
      </w:r>
      <w:r w:rsidR="007466F7">
        <w:rPr>
          <w:lang w:val="en-US"/>
        </w:rPr>
        <w:instrText>Recently</w:instrText>
      </w:r>
      <w:r w:rsidR="007466F7" w:rsidRPr="00C3406E">
        <w:instrText xml:space="preserve">, </w:instrText>
      </w:r>
      <w:r w:rsidR="007466F7">
        <w:rPr>
          <w:lang w:val="en-US"/>
        </w:rPr>
        <w:instrText>with</w:instrText>
      </w:r>
      <w:r w:rsidR="007466F7" w:rsidRPr="00C3406E">
        <w:instrText xml:space="preserve"> </w:instrText>
      </w:r>
      <w:r w:rsidR="007466F7">
        <w:rPr>
          <w:lang w:val="en-US"/>
        </w:rPr>
        <w:instrText>the</w:instrText>
      </w:r>
      <w:r w:rsidR="007466F7" w:rsidRPr="00C3406E">
        <w:instrText xml:space="preserve"> </w:instrText>
      </w:r>
      <w:r w:rsidR="007466F7">
        <w:rPr>
          <w:lang w:val="en-US"/>
        </w:rPr>
        <w:instrText>use</w:instrText>
      </w:r>
      <w:r w:rsidR="007466F7" w:rsidRPr="00C3406E">
        <w:instrText xml:space="preserve"> </w:instrText>
      </w:r>
      <w:r w:rsidR="007466F7">
        <w:rPr>
          <w:lang w:val="en-US"/>
        </w:rPr>
        <w:instrText>of</w:instrText>
      </w:r>
      <w:r w:rsidR="007466F7" w:rsidRPr="00C3406E">
        <w:instrText xml:space="preserve"> </w:instrText>
      </w:r>
      <w:r w:rsidR="007466F7">
        <w:rPr>
          <w:lang w:val="en-US"/>
        </w:rPr>
        <w:instrText>direct</w:instrText>
      </w:r>
      <w:r w:rsidR="007466F7" w:rsidRPr="00C3406E">
        <w:instrText xml:space="preserve"> </w:instrText>
      </w:r>
      <w:r w:rsidR="007466F7">
        <w:rPr>
          <w:lang w:val="en-US"/>
        </w:rPr>
        <w:instrText>anti</w:instrText>
      </w:r>
      <w:r w:rsidR="007466F7" w:rsidRPr="00C3406E">
        <w:instrText>-</w:instrText>
      </w:r>
      <w:r w:rsidR="007466F7">
        <w:rPr>
          <w:lang w:val="en-US"/>
        </w:rPr>
        <w:instrText>HBe</w:instrText>
      </w:r>
      <w:r w:rsidR="007466F7" w:rsidRPr="00C3406E">
        <w:instrText xml:space="preserve"> </w:instrText>
      </w:r>
      <w:r w:rsidR="007466F7">
        <w:rPr>
          <w:lang w:val="en-US"/>
        </w:rPr>
        <w:instrText>assays</w:instrText>
      </w:r>
      <w:r w:rsidR="007466F7" w:rsidRPr="00C3406E">
        <w:instrText xml:space="preserve">, </w:instrText>
      </w:r>
      <w:r w:rsidR="007466F7">
        <w:rPr>
          <w:lang w:val="en-US"/>
        </w:rPr>
        <w:instrText>anti</w:instrText>
      </w:r>
      <w:r w:rsidR="007466F7" w:rsidRPr="00C3406E">
        <w:instrText>-</w:instrText>
      </w:r>
      <w:r w:rsidR="007466F7">
        <w:rPr>
          <w:lang w:val="en-US"/>
        </w:rPr>
        <w:instrText>HBe</w:instrText>
      </w:r>
      <w:r w:rsidR="007466F7" w:rsidRPr="00C3406E">
        <w:instrText xml:space="preserve"> </w:instrText>
      </w:r>
      <w:r w:rsidR="007466F7">
        <w:rPr>
          <w:lang w:val="en-US"/>
        </w:rPr>
        <w:instrText>was</w:instrText>
      </w:r>
      <w:r w:rsidR="007466F7" w:rsidRPr="00C3406E">
        <w:instrText xml:space="preserve"> </w:instrText>
      </w:r>
      <w:r w:rsidR="007466F7">
        <w:rPr>
          <w:lang w:val="en-US"/>
        </w:rPr>
        <w:instrText>detected</w:instrText>
      </w:r>
      <w:r w:rsidR="007466F7" w:rsidRPr="00C3406E">
        <w:instrText xml:space="preserve"> </w:instrText>
      </w:r>
      <w:r w:rsidR="007466F7">
        <w:rPr>
          <w:lang w:val="en-US"/>
        </w:rPr>
        <w:instrText>in</w:instrText>
      </w:r>
      <w:r w:rsidR="007466F7" w:rsidRPr="00C3406E">
        <w:instrText xml:space="preserve"> </w:instrText>
      </w:r>
      <w:r w:rsidR="007466F7">
        <w:rPr>
          <w:lang w:val="en-US"/>
        </w:rPr>
        <w:instrText>individuals</w:instrText>
      </w:r>
      <w:r w:rsidR="007466F7" w:rsidRPr="00C3406E">
        <w:instrText xml:space="preserve"> </w:instrText>
      </w:r>
      <w:r w:rsidR="007466F7">
        <w:rPr>
          <w:lang w:val="en-US"/>
        </w:rPr>
        <w:instrText>who</w:instrText>
      </w:r>
      <w:r w:rsidR="007466F7" w:rsidRPr="00C3406E">
        <w:instrText xml:space="preserve"> </w:instrText>
      </w:r>
      <w:r w:rsidR="007466F7">
        <w:rPr>
          <w:lang w:val="en-US"/>
        </w:rPr>
        <w:instrText>had</w:instrText>
      </w:r>
      <w:r w:rsidR="007466F7" w:rsidRPr="00C3406E">
        <w:instrText xml:space="preserve"> </w:instrText>
      </w:r>
      <w:r w:rsidR="007466F7">
        <w:rPr>
          <w:lang w:val="en-US"/>
        </w:rPr>
        <w:instrText>been</w:instrText>
      </w:r>
      <w:r w:rsidR="007466F7" w:rsidRPr="00C3406E">
        <w:instrText xml:space="preserve"> </w:instrText>
      </w:r>
      <w:r w:rsidR="007466F7">
        <w:rPr>
          <w:lang w:val="en-US"/>
        </w:rPr>
        <w:instrText>seropositive</w:instrText>
      </w:r>
      <w:r w:rsidR="007466F7" w:rsidRPr="00C3406E">
        <w:instrText xml:space="preserve"> </w:instrText>
      </w:r>
      <w:r w:rsidR="007466F7">
        <w:rPr>
          <w:lang w:val="en-US"/>
        </w:rPr>
        <w:instrText>for</w:instrText>
      </w:r>
      <w:r w:rsidR="007466F7" w:rsidRPr="00C3406E">
        <w:instrText xml:space="preserve"> </w:instrText>
      </w:r>
      <w:r w:rsidR="007466F7">
        <w:rPr>
          <w:lang w:val="en-US"/>
        </w:rPr>
        <w:instrText>several</w:instrText>
      </w:r>
      <w:r w:rsidR="007466F7" w:rsidRPr="00C3406E">
        <w:instrText xml:space="preserve"> </w:instrText>
      </w:r>
      <w:r w:rsidR="007466F7">
        <w:rPr>
          <w:lang w:val="en-US"/>
        </w:rPr>
        <w:instrText>years</w:instrText>
      </w:r>
      <w:r w:rsidR="007466F7" w:rsidRPr="00C3406E">
        <w:instrText xml:space="preserve"> </w:instrText>
      </w:r>
      <w:r w:rsidR="007466F7">
        <w:rPr>
          <w:lang w:val="en-US"/>
        </w:rPr>
        <w:instrText>for</w:instrText>
      </w:r>
      <w:r w:rsidR="007466F7" w:rsidRPr="00C3406E">
        <w:instrText xml:space="preserve"> </w:instrText>
      </w:r>
      <w:r w:rsidR="007466F7">
        <w:rPr>
          <w:lang w:val="en-US"/>
        </w:rPr>
        <w:instrText>HBeAg</w:instrText>
      </w:r>
      <w:r w:rsidR="007466F7" w:rsidRPr="00C3406E">
        <w:instrText xml:space="preserve"> [</w:instrText>
      </w:r>
      <w:r w:rsidR="007466F7">
        <w:rPr>
          <w:lang w:val="en-US"/>
        </w:rPr>
        <w:instrText>Maruyama</w:instrText>
      </w:r>
      <w:r w:rsidR="007466F7" w:rsidRPr="00C3406E">
        <w:instrText xml:space="preserve"> </w:instrText>
      </w:r>
      <w:r w:rsidR="007466F7">
        <w:rPr>
          <w:lang w:val="en-US"/>
        </w:rPr>
        <w:instrText>et</w:instrText>
      </w:r>
      <w:r w:rsidR="007466F7" w:rsidRPr="00C3406E">
        <w:instrText xml:space="preserve"> </w:instrText>
      </w:r>
      <w:r w:rsidR="007466F7">
        <w:rPr>
          <w:lang w:val="en-US"/>
        </w:rPr>
        <w:instrText>al</w:instrText>
      </w:r>
      <w:r w:rsidR="007466F7" w:rsidRPr="00C3406E">
        <w:instrText xml:space="preserve">. (1993) </w:instrText>
      </w:r>
      <w:r w:rsidR="007466F7">
        <w:rPr>
          <w:lang w:val="en-US"/>
        </w:rPr>
        <w:instrText>J</w:instrText>
      </w:r>
      <w:r w:rsidR="007466F7" w:rsidRPr="00C3406E">
        <w:instrText xml:space="preserve">. </w:instrText>
      </w:r>
      <w:r w:rsidR="007466F7">
        <w:rPr>
          <w:lang w:val="en-US"/>
        </w:rPr>
        <w:instrText>Clin</w:instrText>
      </w:r>
      <w:r w:rsidR="007466F7" w:rsidRPr="00C3406E">
        <w:instrText xml:space="preserve">. </w:instrText>
      </w:r>
      <w:r w:rsidR="007466F7">
        <w:rPr>
          <w:lang w:val="en-US"/>
        </w:rPr>
        <w:instrText>Invest</w:instrText>
      </w:r>
      <w:r w:rsidR="007466F7" w:rsidRPr="00C3406E">
        <w:instrText xml:space="preserve">. 91:2586-2595]. </w:instrText>
      </w:r>
      <w:r w:rsidR="007466F7">
        <w:rPr>
          <w:lang w:val="en-US"/>
        </w:rPr>
        <w:instrText>Although</w:instrText>
      </w:r>
      <w:r w:rsidR="007466F7" w:rsidRPr="00C3406E">
        <w:instrText xml:space="preserve"> </w:instrText>
      </w:r>
      <w:r w:rsidR="007466F7">
        <w:rPr>
          <w:lang w:val="en-US"/>
        </w:rPr>
        <w:instrText>anti</w:instrText>
      </w:r>
      <w:r w:rsidR="007466F7" w:rsidRPr="00C3406E">
        <w:instrText>-</w:instrText>
      </w:r>
      <w:r w:rsidR="007466F7">
        <w:rPr>
          <w:lang w:val="en-US"/>
        </w:rPr>
        <w:instrText>HBe</w:instrText>
      </w:r>
      <w:r w:rsidR="007466F7" w:rsidRPr="00C3406E">
        <w:instrText xml:space="preserve"> </w:instrText>
      </w:r>
      <w:r w:rsidR="007466F7">
        <w:rPr>
          <w:lang w:val="en-US"/>
        </w:rPr>
        <w:instrText>seroconversion</w:instrText>
      </w:r>
      <w:r w:rsidR="007466F7" w:rsidRPr="00C3406E">
        <w:instrText xml:space="preserve"> </w:instrText>
      </w:r>
      <w:r w:rsidR="007466F7">
        <w:rPr>
          <w:lang w:val="en-US"/>
        </w:rPr>
        <w:instrText>does</w:instrText>
      </w:r>
      <w:r w:rsidR="007466F7" w:rsidRPr="00C3406E">
        <w:instrText xml:space="preserve"> </w:instrText>
      </w:r>
      <w:r w:rsidR="007466F7">
        <w:rPr>
          <w:lang w:val="en-US"/>
        </w:rPr>
        <w:instrText>not</w:instrText>
      </w:r>
      <w:r w:rsidR="007466F7" w:rsidRPr="00C3406E">
        <w:instrText xml:space="preserve"> </w:instrText>
      </w:r>
      <w:r w:rsidR="007466F7">
        <w:rPr>
          <w:lang w:val="en-US"/>
        </w:rPr>
        <w:instrText>necessarily</w:instrText>
      </w:r>
      <w:r w:rsidR="007466F7" w:rsidRPr="00C3406E">
        <w:instrText xml:space="preserve"> </w:instrText>
      </w:r>
      <w:r w:rsidR="007466F7">
        <w:rPr>
          <w:lang w:val="en-US"/>
        </w:rPr>
        <w:instrText>indicate</w:instrText>
      </w:r>
      <w:r w:rsidR="007466F7" w:rsidRPr="00C3406E">
        <w:instrText xml:space="preserve"> </w:instrText>
      </w:r>
      <w:r w:rsidR="007466F7">
        <w:rPr>
          <w:lang w:val="en-US"/>
        </w:rPr>
        <w:instrText>subsequent</w:instrText>
      </w:r>
      <w:r w:rsidR="007466F7" w:rsidRPr="00C3406E">
        <w:instrText xml:space="preserve"> </w:instrText>
      </w:r>
      <w:r w:rsidR="007466F7">
        <w:rPr>
          <w:lang w:val="en-US"/>
        </w:rPr>
        <w:instrText>HBeAg</w:instrText>
      </w:r>
      <w:r w:rsidR="007466F7" w:rsidRPr="00C3406E">
        <w:instrText xml:space="preserve"> </w:instrText>
      </w:r>
      <w:r w:rsidR="007466F7">
        <w:rPr>
          <w:lang w:val="en-US"/>
        </w:rPr>
        <w:instrText>clearance</w:instrText>
      </w:r>
      <w:r w:rsidR="007466F7" w:rsidRPr="00C3406E">
        <w:instrText xml:space="preserve">, </w:instrText>
      </w:r>
      <w:r w:rsidR="007466F7">
        <w:rPr>
          <w:lang w:val="en-US"/>
        </w:rPr>
        <w:instrText>the</w:instrText>
      </w:r>
      <w:r w:rsidR="007466F7" w:rsidRPr="00C3406E">
        <w:instrText xml:space="preserve"> </w:instrText>
      </w:r>
      <w:r w:rsidR="007466F7">
        <w:rPr>
          <w:lang w:val="en-US"/>
        </w:rPr>
        <w:instrText>ability</w:instrText>
      </w:r>
      <w:r w:rsidR="007466F7" w:rsidRPr="00C3406E">
        <w:instrText xml:space="preserve"> </w:instrText>
      </w:r>
      <w:r w:rsidR="007466F7">
        <w:rPr>
          <w:lang w:val="en-US"/>
        </w:rPr>
        <w:instrText>to</w:instrText>
      </w:r>
      <w:r w:rsidR="007466F7" w:rsidRPr="00C3406E">
        <w:instrText xml:space="preserve"> </w:instrText>
      </w:r>
      <w:r w:rsidR="007466F7">
        <w:rPr>
          <w:lang w:val="en-US"/>
        </w:rPr>
        <w:instrText>detect</w:instrText>
      </w:r>
      <w:r w:rsidR="007466F7" w:rsidRPr="00C3406E">
        <w:instrText xml:space="preserve"> </w:instrText>
      </w:r>
      <w:r w:rsidR="007466F7">
        <w:rPr>
          <w:lang w:val="en-US"/>
        </w:rPr>
        <w:instrText>earlier</w:instrText>
      </w:r>
      <w:r w:rsidR="007466F7" w:rsidRPr="00C3406E">
        <w:instrText xml:space="preserve"> </w:instrText>
      </w:r>
      <w:r w:rsidR="007466F7">
        <w:rPr>
          <w:lang w:val="en-US"/>
        </w:rPr>
        <w:instrText>anti</w:instrText>
      </w:r>
      <w:r w:rsidR="007466F7" w:rsidRPr="00C3406E">
        <w:instrText>-</w:instrText>
      </w:r>
      <w:r w:rsidR="007466F7">
        <w:rPr>
          <w:lang w:val="en-US"/>
        </w:rPr>
        <w:instrText>HBe</w:instrText>
      </w:r>
      <w:r w:rsidR="007466F7" w:rsidRPr="00C3406E">
        <w:instrText xml:space="preserve"> </w:instrText>
      </w:r>
      <w:r w:rsidR="007466F7">
        <w:rPr>
          <w:lang w:val="en-US"/>
        </w:rPr>
        <w:instrText>seroconversion</w:instrText>
      </w:r>
      <w:r w:rsidR="007466F7" w:rsidRPr="00C3406E">
        <w:instrText xml:space="preserve"> </w:instrText>
      </w:r>
      <w:r w:rsidR="007466F7">
        <w:rPr>
          <w:lang w:val="en-US"/>
        </w:rPr>
        <w:instrText>could</w:instrText>
      </w:r>
      <w:r w:rsidR="007466F7" w:rsidRPr="00C3406E">
        <w:instrText xml:space="preserve"> </w:instrText>
      </w:r>
      <w:r w:rsidR="007466F7">
        <w:rPr>
          <w:lang w:val="en-US"/>
        </w:rPr>
        <w:instrText>have</w:instrText>
      </w:r>
      <w:r w:rsidR="007466F7" w:rsidRPr="00C3406E">
        <w:instrText xml:space="preserve"> </w:instrText>
      </w:r>
      <w:r w:rsidR="007466F7">
        <w:rPr>
          <w:lang w:val="en-US"/>
        </w:rPr>
        <w:instrText>clinical</w:instrText>
      </w:r>
      <w:r w:rsidR="007466F7" w:rsidRPr="00C3406E">
        <w:instrText xml:space="preserve"> </w:instrText>
      </w:r>
      <w:r w:rsidR="007466F7">
        <w:rPr>
          <w:lang w:val="en-US"/>
        </w:rPr>
        <w:instrText>significance</w:instrText>
      </w:r>
      <w:r w:rsidR="007466F7" w:rsidRPr="00C3406E">
        <w:instrText xml:space="preserve"> </w:instrText>
      </w:r>
      <w:r w:rsidR="007466F7">
        <w:rPr>
          <w:lang w:val="en-US"/>
        </w:rPr>
        <w:instrText>for</w:instrText>
      </w:r>
      <w:r w:rsidR="007466F7" w:rsidRPr="00C3406E">
        <w:instrText xml:space="preserve"> </w:instrText>
      </w:r>
      <w:r w:rsidR="007466F7">
        <w:rPr>
          <w:lang w:val="en-US"/>
        </w:rPr>
        <w:instrText>monitoring</w:instrText>
      </w:r>
      <w:r w:rsidR="007466F7" w:rsidRPr="00C3406E">
        <w:instrText xml:space="preserve"> </w:instrText>
      </w:r>
      <w:r w:rsidR="007466F7">
        <w:rPr>
          <w:lang w:val="en-US"/>
        </w:rPr>
        <w:instrText>patients</w:instrText>
      </w:r>
      <w:r w:rsidR="007466F7" w:rsidRPr="00C3406E">
        <w:instrText xml:space="preserve"> </w:instrText>
      </w:r>
      <w:r w:rsidR="007466F7">
        <w:rPr>
          <w:lang w:val="en-US"/>
        </w:rPr>
        <w:instrText>undergoing</w:instrText>
      </w:r>
      <w:r w:rsidR="007466F7" w:rsidRPr="00C3406E">
        <w:instrText xml:space="preserve"> </w:instrText>
      </w:r>
      <w:r w:rsidR="007466F7">
        <w:rPr>
          <w:lang w:val="en-US"/>
        </w:rPr>
        <w:instrText>HBV</w:instrText>
      </w:r>
      <w:r w:rsidR="007466F7" w:rsidRPr="00C3406E">
        <w:instrText xml:space="preserve"> </w:instrText>
      </w:r>
      <w:r w:rsidR="007466F7">
        <w:rPr>
          <w:lang w:val="en-US"/>
        </w:rPr>
        <w:instrText>immunotherapy</w:instrText>
      </w:r>
      <w:r w:rsidR="007466F7" w:rsidRPr="00C3406E">
        <w:instrText xml:space="preserve"> (</w:instrText>
      </w:r>
      <w:r w:rsidR="007466F7">
        <w:rPr>
          <w:lang w:val="en-US"/>
        </w:rPr>
        <w:instrText>e</w:instrText>
      </w:r>
      <w:r w:rsidR="007466F7" w:rsidRPr="00C3406E">
        <w:instrText>.</w:instrText>
      </w:r>
      <w:r w:rsidR="007466F7">
        <w:rPr>
          <w:lang w:val="en-US"/>
        </w:rPr>
        <w:instrText>g</w:instrText>
      </w:r>
      <w:r w:rsidR="007466F7" w:rsidRPr="00C3406E">
        <w:instrText xml:space="preserve">., </w:instrText>
      </w:r>
      <w:r w:rsidR="007466F7">
        <w:rPr>
          <w:lang w:val="en-US"/>
        </w:rPr>
        <w:instrText>α</w:instrText>
      </w:r>
      <w:r w:rsidR="007466F7" w:rsidRPr="00C3406E">
        <w:instrText xml:space="preserve"> </w:instrText>
      </w:r>
      <w:r w:rsidR="007466F7">
        <w:rPr>
          <w:lang w:val="en-US"/>
        </w:rPr>
        <w:instrText>interferon</w:instrText>
      </w:r>
      <w:r w:rsidR="007466F7" w:rsidRPr="00C3406E">
        <w:instrText xml:space="preserve"> </w:instrText>
      </w:r>
      <w:r w:rsidR="007466F7">
        <w:rPr>
          <w:lang w:val="en-US"/>
        </w:rPr>
        <w:instrText>therapy</w:instrText>
      </w:r>
      <w:r w:rsidR="007466F7" w:rsidRPr="00C3406E">
        <w:instrText xml:space="preserve">). </w:instrText>
      </w:r>
      <w:r w:rsidR="007466F7">
        <w:rPr>
          <w:lang w:val="en-US"/>
        </w:rPr>
        <w:instrText>Because</w:instrText>
      </w:r>
      <w:r w:rsidR="007466F7" w:rsidRPr="00C3406E">
        <w:instrText xml:space="preserve"> </w:instrText>
      </w:r>
      <w:r w:rsidR="007466F7">
        <w:rPr>
          <w:lang w:val="en-US"/>
        </w:rPr>
        <w:instrText>the</w:instrText>
      </w:r>
      <w:r w:rsidR="007466F7" w:rsidRPr="00C3406E">
        <w:instrText xml:space="preserve"> </w:instrText>
      </w:r>
      <w:r w:rsidR="007466F7">
        <w:rPr>
          <w:lang w:val="en-US"/>
        </w:rPr>
        <w:instrText>HBeAg</w:instrText>
      </w:r>
      <w:r w:rsidR="007466F7" w:rsidRPr="00C3406E">
        <w:instrText xml:space="preserve"> </w:instrText>
      </w:r>
      <w:r w:rsidR="007466F7">
        <w:rPr>
          <w:lang w:val="en-US"/>
        </w:rPr>
        <w:instrText>and</w:instrText>
      </w:r>
      <w:r w:rsidR="007466F7" w:rsidRPr="00C3406E">
        <w:instrText xml:space="preserve"> </w:instrText>
      </w:r>
      <w:r w:rsidR="007466F7">
        <w:rPr>
          <w:lang w:val="en-US"/>
        </w:rPr>
        <w:instrText>the</w:instrText>
      </w:r>
      <w:r w:rsidR="007466F7" w:rsidRPr="00C3406E">
        <w:instrText xml:space="preserve"> </w:instrText>
      </w:r>
      <w:r w:rsidR="007466F7">
        <w:rPr>
          <w:lang w:val="en-US"/>
        </w:rPr>
        <w:instrText>HBcAg</w:instrText>
      </w:r>
      <w:r w:rsidR="007466F7" w:rsidRPr="00C3406E">
        <w:instrText xml:space="preserve"> </w:instrText>
      </w:r>
      <w:r w:rsidR="007466F7">
        <w:rPr>
          <w:lang w:val="en-US"/>
        </w:rPr>
        <w:instrText>share</w:instrText>
      </w:r>
      <w:r w:rsidR="007466F7" w:rsidRPr="00C3406E">
        <w:instrText xml:space="preserve"> 149 </w:instrText>
      </w:r>
      <w:r w:rsidR="007466F7">
        <w:rPr>
          <w:lang w:val="en-US"/>
        </w:rPr>
        <w:instrText>amino</w:instrText>
      </w:r>
      <w:r w:rsidR="007466F7" w:rsidRPr="00C3406E">
        <w:instrText xml:space="preserve"> </w:instrText>
      </w:r>
      <w:r w:rsidR="007466F7">
        <w:rPr>
          <w:lang w:val="en-US"/>
        </w:rPr>
        <w:instrText>acids</w:instrText>
      </w:r>
      <w:r w:rsidR="007466F7" w:rsidRPr="00C3406E">
        <w:instrText xml:space="preserve">, </w:instrText>
      </w:r>
      <w:r w:rsidR="007466F7">
        <w:rPr>
          <w:lang w:val="en-US"/>
        </w:rPr>
        <w:instrText>an</w:instrText>
      </w:r>
      <w:r w:rsidR="007466F7" w:rsidRPr="00C3406E">
        <w:instrText xml:space="preserve"> </w:instrText>
      </w:r>
      <w:r w:rsidR="007466F7">
        <w:rPr>
          <w:lang w:val="en-US"/>
        </w:rPr>
        <w:instrText>anti</w:instrText>
      </w:r>
      <w:r w:rsidR="007466F7" w:rsidRPr="00C3406E">
        <w:instrText>-</w:instrText>
      </w:r>
      <w:r w:rsidR="007466F7">
        <w:rPr>
          <w:lang w:val="en-US"/>
        </w:rPr>
        <w:instrText>HBe</w:instrText>
      </w:r>
      <w:r w:rsidR="007466F7" w:rsidRPr="00C3406E">
        <w:instrText xml:space="preserve"> </w:instrText>
      </w:r>
      <w:r w:rsidR="007466F7">
        <w:rPr>
          <w:lang w:val="en-US"/>
        </w:rPr>
        <w:instrText>assay</w:instrText>
      </w:r>
      <w:r w:rsidR="007466F7" w:rsidRPr="00C3406E">
        <w:instrText xml:space="preserve"> </w:instrText>
      </w:r>
      <w:r w:rsidR="007466F7">
        <w:rPr>
          <w:lang w:val="en-US"/>
        </w:rPr>
        <w:instrText>must</w:instrText>
      </w:r>
      <w:r w:rsidR="007466F7" w:rsidRPr="00C3406E">
        <w:instrText xml:space="preserve"> </w:instrText>
      </w:r>
      <w:r w:rsidR="007466F7">
        <w:rPr>
          <w:lang w:val="en-US"/>
        </w:rPr>
        <w:instrText>distinguish</w:instrText>
      </w:r>
      <w:r w:rsidR="007466F7" w:rsidRPr="00C3406E">
        <w:instrText xml:space="preserve"> </w:instrText>
      </w:r>
      <w:r w:rsidR="007466F7">
        <w:rPr>
          <w:lang w:val="en-US"/>
        </w:rPr>
        <w:instrText>anti</w:instrText>
      </w:r>
      <w:r w:rsidR="007466F7" w:rsidRPr="00C3406E">
        <w:instrText>-</w:instrText>
      </w:r>
      <w:r w:rsidR="007466F7">
        <w:rPr>
          <w:lang w:val="en-US"/>
        </w:rPr>
        <w:instrText>HBe</w:instrText>
      </w:r>
      <w:r w:rsidR="007466F7" w:rsidRPr="00C3406E">
        <w:instrText xml:space="preserve"> </w:instrText>
      </w:r>
      <w:r w:rsidR="007466F7">
        <w:rPr>
          <w:lang w:val="en-US"/>
        </w:rPr>
        <w:instrText>from</w:instrText>
      </w:r>
      <w:r w:rsidR="007466F7" w:rsidRPr="00C3406E">
        <w:instrText xml:space="preserve"> </w:instrText>
      </w:r>
      <w:r w:rsidR="007466F7">
        <w:rPr>
          <w:lang w:val="en-US"/>
        </w:rPr>
        <w:instrText>anti</w:instrText>
      </w:r>
      <w:r w:rsidR="007466F7" w:rsidRPr="00C3406E">
        <w:instrText>-</w:instrText>
      </w:r>
      <w:r w:rsidR="007466F7">
        <w:rPr>
          <w:lang w:val="en-US"/>
        </w:rPr>
        <w:instrText>HBc</w:instrText>
      </w:r>
      <w:r w:rsidR="007466F7" w:rsidRPr="00C3406E">
        <w:instrText xml:space="preserve"> </w:instrText>
      </w:r>
      <w:r w:rsidR="007466F7">
        <w:rPr>
          <w:lang w:val="en-US"/>
        </w:rPr>
        <w:instrText>antibodies</w:instrText>
      </w:r>
      <w:r w:rsidR="007466F7" w:rsidRPr="00C3406E">
        <w:instrText xml:space="preserve">. </w:instrText>
      </w:r>
      <w:r w:rsidR="007466F7">
        <w:rPr>
          <w:lang w:val="en-US"/>
        </w:rPr>
        <w:instrText>Although</w:instrText>
      </w:r>
      <w:r w:rsidR="007466F7" w:rsidRPr="00C3406E">
        <w:instrText xml:space="preserve"> </w:instrText>
      </w:r>
      <w:r w:rsidR="007466F7">
        <w:rPr>
          <w:lang w:val="en-US"/>
        </w:rPr>
        <w:instrText>the</w:instrText>
      </w:r>
      <w:r w:rsidR="007466F7" w:rsidRPr="00C3406E">
        <w:instrText xml:space="preserve"> </w:instrText>
      </w:r>
      <w:r w:rsidR="007466F7">
        <w:rPr>
          <w:lang w:val="en-US"/>
        </w:rPr>
        <w:instrText>HBV</w:instrText>
      </w:r>
      <w:r w:rsidR="007466F7" w:rsidRPr="00C3406E">
        <w:instrText xml:space="preserve"> </w:instrText>
      </w:r>
      <w:r w:rsidR="007466F7">
        <w:rPr>
          <w:lang w:val="en-US"/>
        </w:rPr>
        <w:instrText>HBeAg</w:instrText>
      </w:r>
      <w:r w:rsidR="007466F7" w:rsidRPr="00C3406E">
        <w:instrText xml:space="preserve"> </w:instrText>
      </w:r>
      <w:r w:rsidR="007466F7">
        <w:rPr>
          <w:lang w:val="en-US"/>
        </w:rPr>
        <w:instrText>and</w:instrText>
      </w:r>
      <w:r w:rsidR="007466F7" w:rsidRPr="00C3406E">
        <w:instrText xml:space="preserve"> </w:instrText>
      </w:r>
      <w:r w:rsidR="007466F7">
        <w:rPr>
          <w:lang w:val="en-US"/>
        </w:rPr>
        <w:instrText>HBcAg</w:instrText>
      </w:r>
      <w:r w:rsidR="007466F7" w:rsidRPr="00C3406E">
        <w:instrText xml:space="preserve"> </w:instrText>
      </w:r>
      <w:r w:rsidR="007466F7">
        <w:rPr>
          <w:lang w:val="en-US"/>
        </w:rPr>
        <w:instrText>display</w:instrText>
      </w:r>
      <w:r w:rsidR="007466F7" w:rsidRPr="00C3406E">
        <w:instrText xml:space="preserve"> </w:instrText>
      </w:r>
      <w:r w:rsidR="007466F7">
        <w:rPr>
          <w:lang w:val="en-US"/>
        </w:rPr>
        <w:instrText>distinct</w:instrText>
      </w:r>
      <w:r w:rsidR="007466F7" w:rsidRPr="00C3406E">
        <w:instrText xml:space="preserve"> </w:instrText>
      </w:r>
      <w:r w:rsidR="007466F7">
        <w:rPr>
          <w:lang w:val="en-US"/>
        </w:rPr>
        <w:instrText>immunogenic</w:instrText>
      </w:r>
      <w:r w:rsidR="007466F7" w:rsidRPr="00C3406E">
        <w:instrText xml:space="preserve"> </w:instrText>
      </w:r>
      <w:r w:rsidR="007466F7">
        <w:rPr>
          <w:lang w:val="en-US"/>
        </w:rPr>
        <w:instrText>determinants</w:instrText>
      </w:r>
      <w:r w:rsidR="007466F7" w:rsidRPr="00C3406E">
        <w:instrText xml:space="preserve">, </w:instrText>
      </w:r>
      <w:r w:rsidR="007466F7">
        <w:rPr>
          <w:lang w:val="en-US"/>
        </w:rPr>
        <w:instrText>much</w:instrText>
      </w:r>
      <w:r w:rsidR="007466F7" w:rsidRPr="00C3406E">
        <w:instrText xml:space="preserve"> </w:instrText>
      </w:r>
      <w:r w:rsidR="007466F7">
        <w:rPr>
          <w:lang w:val="en-US"/>
        </w:rPr>
        <w:instrText>remains</w:instrText>
      </w:r>
      <w:r w:rsidR="007466F7" w:rsidRPr="00C3406E">
        <w:instrText xml:space="preserve"> </w:instrText>
      </w:r>
      <w:r w:rsidR="007466F7">
        <w:rPr>
          <w:lang w:val="en-US"/>
        </w:rPr>
        <w:instrText>unknown</w:instrText>
      </w:r>
      <w:r w:rsidR="007466F7" w:rsidRPr="00C3406E">
        <w:instrText xml:space="preserve"> </w:instrText>
      </w:r>
      <w:r w:rsidR="007466F7">
        <w:rPr>
          <w:lang w:val="en-US"/>
        </w:rPr>
        <w:instrText>regarding</w:instrText>
      </w:r>
      <w:r w:rsidR="007466F7" w:rsidRPr="00C3406E">
        <w:instrText xml:space="preserve"> </w:instrText>
      </w:r>
      <w:r w:rsidR="007466F7">
        <w:rPr>
          <w:lang w:val="en-US"/>
        </w:rPr>
        <w:instrText>the</w:instrText>
      </w:r>
      <w:r w:rsidR="007466F7" w:rsidRPr="00C3406E">
        <w:instrText xml:space="preserve"> </w:instrText>
      </w:r>
      <w:r w:rsidR="007466F7">
        <w:rPr>
          <w:lang w:val="en-US"/>
        </w:rPr>
        <w:instrText>complete</w:instrText>
      </w:r>
      <w:r w:rsidR="007466F7" w:rsidRPr="00C3406E">
        <w:instrText xml:space="preserve"> </w:instrText>
      </w:r>
      <w:r w:rsidR="007466F7">
        <w:rPr>
          <w:lang w:val="en-US"/>
        </w:rPr>
        <w:instrText>epitope</w:instrText>
      </w:r>
      <w:r w:rsidR="007466F7" w:rsidRPr="00C3406E">
        <w:instrText xml:space="preserve"> </w:instrText>
      </w:r>
      <w:r w:rsidR="007466F7">
        <w:rPr>
          <w:lang w:val="en-US"/>
        </w:rPr>
        <w:instrText>spectrum</w:instrText>
      </w:r>
      <w:r w:rsidR="007466F7" w:rsidRPr="00C3406E">
        <w:instrText xml:space="preserve"> </w:instrText>
      </w:r>
      <w:r w:rsidR="007466F7">
        <w:rPr>
          <w:lang w:val="en-US"/>
        </w:rPr>
        <w:instrText>specific</w:instrText>
      </w:r>
      <w:r w:rsidR="007466F7" w:rsidRPr="00C3406E">
        <w:instrText xml:space="preserve"> </w:instrText>
      </w:r>
      <w:r w:rsidR="007466F7">
        <w:rPr>
          <w:lang w:val="en-US"/>
        </w:rPr>
        <w:instrText>to</w:instrText>
      </w:r>
      <w:r w:rsidR="007466F7" w:rsidRPr="00C3406E">
        <w:instrText xml:space="preserve"> </w:instrText>
      </w:r>
      <w:r w:rsidR="007466F7">
        <w:rPr>
          <w:lang w:val="en-US"/>
        </w:rPr>
        <w:instrText>each</w:instrText>
      </w:r>
      <w:r w:rsidR="007466F7" w:rsidRPr="00C3406E">
        <w:instrText xml:space="preserve"> </w:instrText>
      </w:r>
      <w:r w:rsidR="007466F7">
        <w:rPr>
          <w:lang w:val="en-US"/>
        </w:rPr>
        <w:instrText>antigen</w:instrText>
      </w:r>
      <w:r w:rsidR="007466F7" w:rsidRPr="00C3406E">
        <w:instrText xml:space="preserve">. </w:instrText>
      </w:r>
      <w:r w:rsidR="007466F7">
        <w:rPr>
          <w:lang w:val="en-US"/>
        </w:rPr>
        <w:instrText>The</w:instrText>
      </w:r>
      <w:r w:rsidR="007466F7" w:rsidRPr="00C3406E">
        <w:instrText xml:space="preserve"> </w:instrText>
      </w:r>
      <w:r w:rsidR="007466F7">
        <w:rPr>
          <w:lang w:val="en-US"/>
        </w:rPr>
        <w:instrText>goal</w:instrText>
      </w:r>
      <w:r w:rsidR="007466F7" w:rsidRPr="00C3406E">
        <w:instrText xml:space="preserve"> </w:instrText>
      </w:r>
      <w:r w:rsidR="007466F7">
        <w:rPr>
          <w:lang w:val="en-US"/>
        </w:rPr>
        <w:instrText>of</w:instrText>
      </w:r>
      <w:r w:rsidR="007466F7" w:rsidRPr="00C3406E">
        <w:instrText xml:space="preserve"> </w:instrText>
      </w:r>
      <w:r w:rsidR="007466F7">
        <w:rPr>
          <w:lang w:val="en-US"/>
        </w:rPr>
        <w:instrText>this</w:instrText>
      </w:r>
      <w:r w:rsidR="007466F7" w:rsidRPr="00C3406E">
        <w:instrText xml:space="preserve"> </w:instrText>
      </w:r>
      <w:r w:rsidR="007466F7">
        <w:rPr>
          <w:lang w:val="en-US"/>
        </w:rPr>
        <w:instrText>study</w:instrText>
      </w:r>
      <w:r w:rsidR="007466F7" w:rsidRPr="00C3406E">
        <w:instrText xml:space="preserve"> </w:instrText>
      </w:r>
      <w:r w:rsidR="007466F7">
        <w:rPr>
          <w:lang w:val="en-US"/>
        </w:rPr>
        <w:instrText>was</w:instrText>
      </w:r>
      <w:r w:rsidR="007466F7" w:rsidRPr="00C3406E">
        <w:instrText xml:space="preserve"> 3-</w:instrText>
      </w:r>
      <w:r w:rsidR="007466F7">
        <w:rPr>
          <w:lang w:val="en-US"/>
        </w:rPr>
        <w:instrText>fold</w:instrText>
      </w:r>
      <w:r w:rsidR="007466F7" w:rsidRPr="00C3406E">
        <w:instrText xml:space="preserve">. </w:instrText>
      </w:r>
      <w:r w:rsidR="007466F7">
        <w:rPr>
          <w:lang w:val="en-US"/>
        </w:rPr>
        <w:instrText>The</w:instrText>
      </w:r>
      <w:r w:rsidR="007466F7" w:rsidRPr="00C3406E">
        <w:instrText xml:space="preserve"> </w:instrText>
      </w:r>
      <w:r w:rsidR="007466F7">
        <w:rPr>
          <w:lang w:val="en-US"/>
        </w:rPr>
        <w:instrText>first</w:instrText>
      </w:r>
      <w:r w:rsidR="007466F7" w:rsidRPr="00C3406E">
        <w:instrText xml:space="preserve"> </w:instrText>
      </w:r>
      <w:r w:rsidR="007466F7">
        <w:rPr>
          <w:lang w:val="en-US"/>
        </w:rPr>
        <w:instrText>objective</w:instrText>
      </w:r>
      <w:r w:rsidR="007466F7" w:rsidRPr="00C3406E">
        <w:instrText xml:space="preserve"> </w:instrText>
      </w:r>
      <w:r w:rsidR="007466F7">
        <w:rPr>
          <w:lang w:val="en-US"/>
        </w:rPr>
        <w:instrText>was</w:instrText>
      </w:r>
      <w:r w:rsidR="007466F7" w:rsidRPr="00C3406E">
        <w:instrText xml:space="preserve"> </w:instrText>
      </w:r>
      <w:r w:rsidR="007466F7">
        <w:rPr>
          <w:lang w:val="en-US"/>
        </w:rPr>
        <w:instrText>to</w:instrText>
      </w:r>
      <w:r w:rsidR="007466F7" w:rsidRPr="00C3406E">
        <w:instrText xml:space="preserve"> </w:instrText>
      </w:r>
      <w:r w:rsidR="007466F7">
        <w:rPr>
          <w:lang w:val="en-US"/>
        </w:rPr>
        <w:instrText>identify</w:instrText>
      </w:r>
      <w:r w:rsidR="007466F7" w:rsidRPr="00C3406E">
        <w:instrText xml:space="preserve"> </w:instrText>
      </w:r>
      <w:r w:rsidR="007466F7">
        <w:rPr>
          <w:lang w:val="en-US"/>
        </w:rPr>
        <w:instrText>HBeAg</w:instrText>
      </w:r>
      <w:r w:rsidR="007466F7" w:rsidRPr="00C3406E">
        <w:instrText xml:space="preserve"> </w:instrText>
      </w:r>
      <w:r w:rsidR="007466F7">
        <w:rPr>
          <w:lang w:val="en-US"/>
        </w:rPr>
        <w:instrText>specific</w:instrText>
      </w:r>
      <w:r w:rsidR="007466F7" w:rsidRPr="00C3406E">
        <w:instrText xml:space="preserve"> </w:instrText>
      </w:r>
      <w:r w:rsidR="007466F7">
        <w:rPr>
          <w:lang w:val="en-US"/>
        </w:rPr>
        <w:instrText>linear</w:instrText>
      </w:r>
      <w:r w:rsidR="007466F7" w:rsidRPr="00C3406E">
        <w:instrText xml:space="preserve"> </w:instrText>
      </w:r>
      <w:r w:rsidR="007466F7">
        <w:rPr>
          <w:lang w:val="en-US"/>
        </w:rPr>
        <w:instrText>epitopes</w:instrText>
      </w:r>
      <w:r w:rsidR="007466F7" w:rsidRPr="00C3406E">
        <w:instrText xml:space="preserve">. </w:instrText>
      </w:r>
      <w:r w:rsidR="007466F7">
        <w:rPr>
          <w:lang w:val="en-US"/>
        </w:rPr>
        <w:instrText>The</w:instrText>
      </w:r>
      <w:r w:rsidR="007466F7" w:rsidRPr="00C3406E">
        <w:instrText xml:space="preserve"> </w:instrText>
      </w:r>
      <w:r w:rsidR="007466F7">
        <w:rPr>
          <w:lang w:val="en-US"/>
        </w:rPr>
        <w:instrText>second</w:instrText>
      </w:r>
      <w:r w:rsidR="007466F7" w:rsidRPr="00C3406E">
        <w:instrText xml:space="preserve"> </w:instrText>
      </w:r>
      <w:r w:rsidR="007466F7">
        <w:rPr>
          <w:lang w:val="en-US"/>
        </w:rPr>
        <w:instrText>objective</w:instrText>
      </w:r>
      <w:r w:rsidR="007466F7" w:rsidRPr="00C3406E">
        <w:instrText xml:space="preserve"> </w:instrText>
      </w:r>
      <w:r w:rsidR="007466F7">
        <w:rPr>
          <w:lang w:val="en-US"/>
        </w:rPr>
        <w:instrText>was</w:instrText>
      </w:r>
      <w:r w:rsidR="007466F7" w:rsidRPr="00C3406E">
        <w:instrText xml:space="preserve"> </w:instrText>
      </w:r>
      <w:r w:rsidR="007466F7">
        <w:rPr>
          <w:lang w:val="en-US"/>
        </w:rPr>
        <w:instrText>to</w:instrText>
      </w:r>
      <w:r w:rsidR="007466F7" w:rsidRPr="00C3406E">
        <w:instrText xml:space="preserve"> </w:instrText>
      </w:r>
      <w:r w:rsidR="007466F7">
        <w:rPr>
          <w:lang w:val="en-US"/>
        </w:rPr>
        <w:instrText>design</w:instrText>
      </w:r>
      <w:r w:rsidR="007466F7" w:rsidRPr="00C3406E">
        <w:instrText xml:space="preserve"> </w:instrText>
      </w:r>
      <w:r w:rsidR="007466F7">
        <w:rPr>
          <w:lang w:val="en-US"/>
        </w:rPr>
        <w:instrText>an</w:instrText>
      </w:r>
      <w:r w:rsidR="007466F7" w:rsidRPr="00C3406E">
        <w:instrText xml:space="preserve"> </w:instrText>
      </w:r>
      <w:r w:rsidR="007466F7">
        <w:rPr>
          <w:lang w:val="en-US"/>
        </w:rPr>
        <w:instrText>anti</w:instrText>
      </w:r>
      <w:r w:rsidR="007466F7" w:rsidRPr="00C3406E">
        <w:instrText>-</w:instrText>
      </w:r>
      <w:r w:rsidR="007466F7">
        <w:rPr>
          <w:lang w:val="en-US"/>
        </w:rPr>
        <w:instrText>HBe</w:instrText>
      </w:r>
      <w:r w:rsidR="007466F7" w:rsidRPr="00C3406E">
        <w:instrText xml:space="preserve"> </w:instrText>
      </w:r>
      <w:r w:rsidR="007466F7">
        <w:rPr>
          <w:lang w:val="en-US"/>
        </w:rPr>
        <w:instrText>immunoassay</w:instrText>
      </w:r>
      <w:r w:rsidR="007466F7" w:rsidRPr="00C3406E">
        <w:instrText xml:space="preserve"> </w:instrText>
      </w:r>
      <w:r w:rsidR="007466F7">
        <w:rPr>
          <w:lang w:val="en-US"/>
        </w:rPr>
        <w:instrText>capable</w:instrText>
      </w:r>
      <w:r w:rsidR="007466F7" w:rsidRPr="00C3406E">
        <w:instrText xml:space="preserve"> </w:instrText>
      </w:r>
      <w:r w:rsidR="007466F7">
        <w:rPr>
          <w:lang w:val="en-US"/>
        </w:rPr>
        <w:instrText>of</w:instrText>
      </w:r>
      <w:r w:rsidR="007466F7" w:rsidRPr="00C3406E">
        <w:instrText xml:space="preserve"> </w:instrText>
      </w:r>
      <w:r w:rsidR="007466F7">
        <w:rPr>
          <w:lang w:val="en-US"/>
        </w:rPr>
        <w:instrText>detecting</w:instrText>
      </w:r>
      <w:r w:rsidR="007466F7" w:rsidRPr="00C3406E">
        <w:instrText xml:space="preserve"> </w:instrText>
      </w:r>
      <w:r w:rsidR="007466F7">
        <w:rPr>
          <w:lang w:val="en-US"/>
        </w:rPr>
        <w:instrText>anti</w:instrText>
      </w:r>
      <w:r w:rsidR="007466F7" w:rsidRPr="00C3406E">
        <w:instrText>-</w:instrText>
      </w:r>
      <w:r w:rsidR="007466F7">
        <w:rPr>
          <w:lang w:val="en-US"/>
        </w:rPr>
        <w:instrText>HBe</w:instrText>
      </w:r>
      <w:r w:rsidR="007466F7" w:rsidRPr="00C3406E">
        <w:instrText xml:space="preserve"> </w:instrText>
      </w:r>
      <w:r w:rsidR="007466F7">
        <w:rPr>
          <w:lang w:val="en-US"/>
        </w:rPr>
        <w:instrText>specific</w:instrText>
      </w:r>
      <w:r w:rsidR="007466F7" w:rsidRPr="00C3406E">
        <w:instrText xml:space="preserve"> </w:instrText>
      </w:r>
      <w:r w:rsidR="007466F7">
        <w:rPr>
          <w:lang w:val="en-US"/>
        </w:rPr>
        <w:instrText>antibody</w:instrText>
      </w:r>
      <w:r w:rsidR="007466F7" w:rsidRPr="00C3406E">
        <w:instrText xml:space="preserve"> </w:instrText>
      </w:r>
      <w:r w:rsidR="007466F7">
        <w:rPr>
          <w:lang w:val="en-US"/>
        </w:rPr>
        <w:instrText>in</w:instrText>
      </w:r>
      <w:r w:rsidR="007466F7" w:rsidRPr="00C3406E">
        <w:instrText xml:space="preserve"> </w:instrText>
      </w:r>
      <w:r w:rsidR="007466F7">
        <w:rPr>
          <w:lang w:val="en-US"/>
        </w:rPr>
        <w:instrText>the</w:instrText>
      </w:r>
      <w:r w:rsidR="007466F7" w:rsidRPr="00C3406E">
        <w:instrText xml:space="preserve"> </w:instrText>
      </w:r>
      <w:r w:rsidR="007466F7">
        <w:rPr>
          <w:lang w:val="en-US"/>
        </w:rPr>
        <w:instrText>presence</w:instrText>
      </w:r>
      <w:r w:rsidR="007466F7" w:rsidRPr="00C3406E">
        <w:instrText xml:space="preserve"> </w:instrText>
      </w:r>
      <w:r w:rsidR="007466F7">
        <w:rPr>
          <w:lang w:val="en-US"/>
        </w:rPr>
        <w:instrText>of</w:instrText>
      </w:r>
      <w:r w:rsidR="007466F7" w:rsidRPr="00C3406E">
        <w:instrText xml:space="preserve"> </w:instrText>
      </w:r>
      <w:r w:rsidR="007466F7">
        <w:rPr>
          <w:lang w:val="en-US"/>
        </w:rPr>
        <w:instrText>excess</w:instrText>
      </w:r>
      <w:r w:rsidR="007466F7" w:rsidRPr="00C3406E">
        <w:instrText xml:space="preserve"> </w:instrText>
      </w:r>
      <w:r w:rsidR="007466F7">
        <w:rPr>
          <w:lang w:val="en-US"/>
        </w:rPr>
        <w:instrText>HBeAg</w:instrText>
      </w:r>
      <w:r w:rsidR="007466F7" w:rsidRPr="00C3406E">
        <w:instrText xml:space="preserve">. </w:instrText>
      </w:r>
      <w:r w:rsidR="007466F7">
        <w:rPr>
          <w:lang w:val="en-US"/>
        </w:rPr>
        <w:instrText>The</w:instrText>
      </w:r>
      <w:r w:rsidR="007466F7" w:rsidRPr="00C3406E">
        <w:instrText xml:space="preserve"> </w:instrText>
      </w:r>
      <w:r w:rsidR="007466F7">
        <w:rPr>
          <w:lang w:val="en-US"/>
        </w:rPr>
        <w:instrText>third</w:instrText>
      </w:r>
      <w:r w:rsidR="007466F7" w:rsidRPr="00C3406E">
        <w:instrText xml:space="preserve"> </w:instrText>
      </w:r>
      <w:r w:rsidR="007466F7">
        <w:rPr>
          <w:lang w:val="en-US"/>
        </w:rPr>
        <w:instrText>objective</w:instrText>
      </w:r>
      <w:r w:rsidR="007466F7" w:rsidRPr="00C3406E">
        <w:instrText xml:space="preserve"> </w:instrText>
      </w:r>
      <w:r w:rsidR="007466F7">
        <w:rPr>
          <w:lang w:val="en-US"/>
        </w:rPr>
        <w:instrText>was</w:instrText>
      </w:r>
      <w:r w:rsidR="007466F7" w:rsidRPr="00C3406E">
        <w:instrText xml:space="preserve"> </w:instrText>
      </w:r>
      <w:r w:rsidR="007466F7">
        <w:rPr>
          <w:lang w:val="en-US"/>
        </w:rPr>
        <w:instrText>to</w:instrText>
      </w:r>
      <w:r w:rsidR="007466F7" w:rsidRPr="00C3406E">
        <w:instrText xml:space="preserve"> </w:instrText>
      </w:r>
      <w:r w:rsidR="007466F7">
        <w:rPr>
          <w:lang w:val="en-US"/>
        </w:rPr>
        <w:instrText>characterize early anti-HBe seroconversion antibodies. The major linear epitope residing in the HBeAg amino acid sequence was mapped and 2 novel minor epitopes (δ, γ) which appear to be HBeAg specific have been identified. An anti-HBe immunoassay capable of detecting anti-HBe specific antibody in the presence of excess HBeAg was designed. Finally, it was found that early anti-HBe seroconversion antibodies appear to be conformational, whereas later seroconversion, more typically associated with the clearance of HBeAg, is characterized by the presence of antibodies to the linear HBeAg epitopes.","author":[{"dropping-particle":"","family":"Baumeister","given":"Mark A.","non-dropping-particle":"","parse-names":false,"suffix":""},{"dropping-particle":"","family":"Medina-Selby","given":"Angelica","non-dropping-particle":"","parse-names":false,"suffix</w:instrText>
      </w:r>
      <w:r w:rsidR="007466F7" w:rsidRPr="00C3406E">
        <w:instrText>":""},{"</w:instrText>
      </w:r>
      <w:r w:rsidR="007466F7">
        <w:rPr>
          <w:lang w:val="en-US"/>
        </w:rPr>
        <w:instrText>dropping</w:instrText>
      </w:r>
      <w:r w:rsidR="007466F7" w:rsidRPr="00C3406E">
        <w:instrText>-</w:instrText>
      </w:r>
      <w:r w:rsidR="007466F7">
        <w:rPr>
          <w:lang w:val="en-US"/>
        </w:rPr>
        <w:instrText>particle</w:instrText>
      </w:r>
      <w:r w:rsidR="007466F7" w:rsidRPr="00C3406E">
        <w:instrText>":"","</w:instrText>
      </w:r>
      <w:r w:rsidR="007466F7">
        <w:rPr>
          <w:lang w:val="en-US"/>
        </w:rPr>
        <w:instrText>family</w:instrText>
      </w:r>
      <w:r w:rsidR="007466F7" w:rsidRPr="00C3406E">
        <w:instrText>":"</w:instrText>
      </w:r>
      <w:r w:rsidR="007466F7">
        <w:rPr>
          <w:lang w:val="en-US"/>
        </w:rPr>
        <w:instrText>Coit</w:instrText>
      </w:r>
      <w:r w:rsidR="007466F7" w:rsidRPr="00C3406E">
        <w:instrText>","</w:instrText>
      </w:r>
      <w:r w:rsidR="007466F7">
        <w:rPr>
          <w:lang w:val="en-US"/>
        </w:rPr>
        <w:instrText>given</w:instrText>
      </w:r>
      <w:r w:rsidR="007466F7" w:rsidRPr="00C3406E">
        <w:instrText>":"</w:instrText>
      </w:r>
      <w:r w:rsidR="007466F7">
        <w:rPr>
          <w:lang w:val="en-US"/>
        </w:rPr>
        <w:instrText>Doris</w:instrText>
      </w:r>
      <w:r w:rsidR="007466F7" w:rsidRPr="00C3406E">
        <w:instrText>","</w:instrText>
      </w:r>
      <w:r w:rsidR="007466F7">
        <w:rPr>
          <w:lang w:val="en-US"/>
        </w:rPr>
        <w:instrText>non</w:instrText>
      </w:r>
      <w:r w:rsidR="007466F7" w:rsidRPr="00C3406E">
        <w:instrText>-</w:instrText>
      </w:r>
      <w:r w:rsidR="007466F7">
        <w:rPr>
          <w:lang w:val="en-US"/>
        </w:rPr>
        <w:instrText>dropping</w:instrText>
      </w:r>
      <w:r w:rsidR="007466F7" w:rsidRPr="00C3406E">
        <w:instrText>-</w:instrText>
      </w:r>
      <w:r w:rsidR="007466F7">
        <w:rPr>
          <w:lang w:val="en-US"/>
        </w:rPr>
        <w:instrText>particle</w:instrText>
      </w:r>
      <w:r w:rsidR="007466F7" w:rsidRPr="00C3406E">
        <w:instrText>":"","</w:instrText>
      </w:r>
      <w:r w:rsidR="007466F7">
        <w:rPr>
          <w:lang w:val="en-US"/>
        </w:rPr>
        <w:instrText>parse</w:instrText>
      </w:r>
      <w:r w:rsidR="007466F7" w:rsidRPr="00C3406E">
        <w:instrText>-</w:instrText>
      </w:r>
      <w:r w:rsidR="007466F7">
        <w:rPr>
          <w:lang w:val="en-US"/>
        </w:rPr>
        <w:instrText>names</w:instrText>
      </w:r>
      <w:r w:rsidR="007466F7" w:rsidRPr="00C3406E">
        <w:instrText>":</w:instrText>
      </w:r>
      <w:r w:rsidR="007466F7">
        <w:rPr>
          <w:lang w:val="en-US"/>
        </w:rPr>
        <w:instrText>false</w:instrText>
      </w:r>
      <w:r w:rsidR="007466F7" w:rsidRPr="00C3406E">
        <w:instrText>,"</w:instrText>
      </w:r>
      <w:r w:rsidR="007466F7">
        <w:rPr>
          <w:lang w:val="en-US"/>
        </w:rPr>
        <w:instrText>suffix</w:instrText>
      </w:r>
      <w:r w:rsidR="007466F7" w:rsidRPr="00C3406E">
        <w:instrText>":""},{"</w:instrText>
      </w:r>
      <w:r w:rsidR="007466F7">
        <w:rPr>
          <w:lang w:val="en-US"/>
        </w:rPr>
        <w:instrText>dropping</w:instrText>
      </w:r>
      <w:r w:rsidR="007466F7" w:rsidRPr="00C3406E">
        <w:instrText>-</w:instrText>
      </w:r>
      <w:r w:rsidR="007466F7">
        <w:rPr>
          <w:lang w:val="en-US"/>
        </w:rPr>
        <w:instrText>particle</w:instrText>
      </w:r>
      <w:r w:rsidR="007466F7" w:rsidRPr="00C3406E">
        <w:instrText>":"","</w:instrText>
      </w:r>
      <w:r w:rsidR="007466F7">
        <w:rPr>
          <w:lang w:val="en-US"/>
        </w:rPr>
        <w:instrText>family</w:instrText>
      </w:r>
      <w:r w:rsidR="007466F7" w:rsidRPr="00C3406E">
        <w:instrText>":"</w:instrText>
      </w:r>
      <w:r w:rsidR="007466F7">
        <w:rPr>
          <w:lang w:val="en-US"/>
        </w:rPr>
        <w:instrText>Nguyen</w:instrText>
      </w:r>
      <w:r w:rsidR="007466F7" w:rsidRPr="00C3406E">
        <w:instrText>","</w:instrText>
      </w:r>
      <w:r w:rsidR="007466F7">
        <w:rPr>
          <w:lang w:val="en-US"/>
        </w:rPr>
        <w:instrText>given</w:instrText>
      </w:r>
      <w:r w:rsidR="007466F7" w:rsidRPr="00C3406E">
        <w:instrText>":"</w:instrText>
      </w:r>
      <w:r w:rsidR="007466F7">
        <w:rPr>
          <w:lang w:val="en-US"/>
        </w:rPr>
        <w:instrText>Steve</w:instrText>
      </w:r>
      <w:r w:rsidR="007466F7" w:rsidRPr="00C3406E">
        <w:instrText>","</w:instrText>
      </w:r>
      <w:r w:rsidR="007466F7">
        <w:rPr>
          <w:lang w:val="en-US"/>
        </w:rPr>
        <w:instrText>non</w:instrText>
      </w:r>
      <w:r w:rsidR="007466F7" w:rsidRPr="00C3406E">
        <w:instrText>-</w:instrText>
      </w:r>
      <w:r w:rsidR="007466F7">
        <w:rPr>
          <w:lang w:val="en-US"/>
        </w:rPr>
        <w:instrText>dropping</w:instrText>
      </w:r>
      <w:r w:rsidR="007466F7" w:rsidRPr="00C3406E">
        <w:instrText>-</w:instrText>
      </w:r>
      <w:r w:rsidR="007466F7">
        <w:rPr>
          <w:lang w:val="en-US"/>
        </w:rPr>
        <w:instrText>particle</w:instrText>
      </w:r>
      <w:r w:rsidR="007466F7" w:rsidRPr="00C3406E">
        <w:instrText>":"","</w:instrText>
      </w:r>
      <w:r w:rsidR="007466F7">
        <w:rPr>
          <w:lang w:val="en-US"/>
        </w:rPr>
        <w:instrText>parse</w:instrText>
      </w:r>
      <w:r w:rsidR="007466F7" w:rsidRPr="00C3406E">
        <w:instrText>-</w:instrText>
      </w:r>
      <w:r w:rsidR="007466F7">
        <w:rPr>
          <w:lang w:val="en-US"/>
        </w:rPr>
        <w:instrText>names</w:instrText>
      </w:r>
      <w:r w:rsidR="007466F7" w:rsidRPr="00C3406E">
        <w:instrText>":</w:instrText>
      </w:r>
      <w:r w:rsidR="007466F7">
        <w:rPr>
          <w:lang w:val="en-US"/>
        </w:rPr>
        <w:instrText>false</w:instrText>
      </w:r>
      <w:r w:rsidR="007466F7" w:rsidRPr="00C3406E">
        <w:instrText>,"</w:instrText>
      </w:r>
      <w:r w:rsidR="007466F7">
        <w:rPr>
          <w:lang w:val="en-US"/>
        </w:rPr>
        <w:instrText>suffix</w:instrText>
      </w:r>
      <w:r w:rsidR="007466F7" w:rsidRPr="00C3406E">
        <w:instrText>":""},{"</w:instrText>
      </w:r>
      <w:r w:rsidR="007466F7">
        <w:rPr>
          <w:lang w:val="en-US"/>
        </w:rPr>
        <w:instrText>dropping</w:instrText>
      </w:r>
      <w:r w:rsidR="007466F7" w:rsidRPr="00C3406E">
        <w:instrText>-</w:instrText>
      </w:r>
      <w:r w:rsidR="007466F7">
        <w:rPr>
          <w:lang w:val="en-US"/>
        </w:rPr>
        <w:instrText>particle</w:instrText>
      </w:r>
      <w:r w:rsidR="007466F7" w:rsidRPr="00C3406E">
        <w:instrText>":"","</w:instrText>
      </w:r>
      <w:r w:rsidR="007466F7">
        <w:rPr>
          <w:lang w:val="en-US"/>
        </w:rPr>
        <w:instrText>family</w:instrText>
      </w:r>
      <w:r w:rsidR="007466F7" w:rsidRPr="00C3406E">
        <w:instrText>":"</w:instrText>
      </w:r>
      <w:r w:rsidR="007466F7">
        <w:rPr>
          <w:lang w:val="en-US"/>
        </w:rPr>
        <w:instrText>George</w:instrText>
      </w:r>
      <w:r w:rsidR="007466F7" w:rsidRPr="00C3406E">
        <w:instrText>-</w:instrText>
      </w:r>
      <w:r w:rsidR="007466F7">
        <w:rPr>
          <w:lang w:val="en-US"/>
        </w:rPr>
        <w:instrText>Nascimento</w:instrText>
      </w:r>
      <w:r w:rsidR="007466F7" w:rsidRPr="00C3406E">
        <w:instrText>","</w:instrText>
      </w:r>
      <w:r w:rsidR="007466F7">
        <w:rPr>
          <w:lang w:val="en-US"/>
        </w:rPr>
        <w:instrText>given</w:instrText>
      </w:r>
      <w:r w:rsidR="007466F7" w:rsidRPr="00C3406E">
        <w:instrText>":"</w:instrText>
      </w:r>
      <w:r w:rsidR="007466F7">
        <w:rPr>
          <w:lang w:val="en-US"/>
        </w:rPr>
        <w:instrText>Carlos</w:instrText>
      </w:r>
      <w:r w:rsidR="007466F7" w:rsidRPr="00C3406E">
        <w:instrText>","</w:instrText>
      </w:r>
      <w:r w:rsidR="007466F7">
        <w:rPr>
          <w:lang w:val="en-US"/>
        </w:rPr>
        <w:instrText>non</w:instrText>
      </w:r>
      <w:r w:rsidR="007466F7" w:rsidRPr="00C3406E">
        <w:instrText>-</w:instrText>
      </w:r>
      <w:r w:rsidR="007466F7">
        <w:rPr>
          <w:lang w:val="en-US"/>
        </w:rPr>
        <w:instrText>dropping</w:instrText>
      </w:r>
      <w:r w:rsidR="007466F7" w:rsidRPr="00C3406E">
        <w:instrText>-</w:instrText>
      </w:r>
      <w:r w:rsidR="007466F7">
        <w:rPr>
          <w:lang w:val="en-US"/>
        </w:rPr>
        <w:instrText>particle</w:instrText>
      </w:r>
      <w:r w:rsidR="007466F7" w:rsidRPr="00C3406E">
        <w:instrText>":"","</w:instrText>
      </w:r>
      <w:r w:rsidR="007466F7">
        <w:rPr>
          <w:lang w:val="en-US"/>
        </w:rPr>
        <w:instrText>parse</w:instrText>
      </w:r>
      <w:r w:rsidR="007466F7" w:rsidRPr="00C3406E">
        <w:instrText>-</w:instrText>
      </w:r>
      <w:r w:rsidR="007466F7">
        <w:rPr>
          <w:lang w:val="en-US"/>
        </w:rPr>
        <w:instrText>names</w:instrText>
      </w:r>
      <w:r w:rsidR="007466F7" w:rsidRPr="00C3406E">
        <w:instrText>":</w:instrText>
      </w:r>
      <w:r w:rsidR="007466F7">
        <w:rPr>
          <w:lang w:val="en-US"/>
        </w:rPr>
        <w:instrText>false</w:instrText>
      </w:r>
      <w:r w:rsidR="007466F7" w:rsidRPr="00C3406E">
        <w:instrText>,"</w:instrText>
      </w:r>
      <w:r w:rsidR="007466F7">
        <w:rPr>
          <w:lang w:val="en-US"/>
        </w:rPr>
        <w:instrText>suffix</w:instrText>
      </w:r>
      <w:r w:rsidR="007466F7" w:rsidRPr="00C3406E">
        <w:instrText>":""},{"</w:instrText>
      </w:r>
      <w:r w:rsidR="007466F7">
        <w:rPr>
          <w:lang w:val="en-US"/>
        </w:rPr>
        <w:instrText>dropping</w:instrText>
      </w:r>
      <w:r w:rsidR="007466F7" w:rsidRPr="00C3406E">
        <w:instrText>-</w:instrText>
      </w:r>
      <w:r w:rsidR="007466F7">
        <w:rPr>
          <w:lang w:val="en-US"/>
        </w:rPr>
        <w:instrText>particle</w:instrText>
      </w:r>
      <w:r w:rsidR="007466F7" w:rsidRPr="00C3406E">
        <w:instrText>":"","</w:instrText>
      </w:r>
      <w:r w:rsidR="007466F7">
        <w:rPr>
          <w:lang w:val="en-US"/>
        </w:rPr>
        <w:instrText>family</w:instrText>
      </w:r>
      <w:r w:rsidR="007466F7" w:rsidRPr="00C3406E">
        <w:instrText>":"</w:instrText>
      </w:r>
      <w:r w:rsidR="007466F7">
        <w:rPr>
          <w:lang w:val="en-US"/>
        </w:rPr>
        <w:instrText>Gyenes</w:instrText>
      </w:r>
      <w:r w:rsidR="007466F7" w:rsidRPr="00C3406E">
        <w:instrText>","</w:instrText>
      </w:r>
      <w:r w:rsidR="007466F7">
        <w:rPr>
          <w:lang w:val="en-US"/>
        </w:rPr>
        <w:instrText>given</w:instrText>
      </w:r>
      <w:r w:rsidR="007466F7" w:rsidRPr="00C3406E">
        <w:instrText>":"</w:instrText>
      </w:r>
      <w:r w:rsidR="007466F7">
        <w:rPr>
          <w:lang w:val="en-US"/>
        </w:rPr>
        <w:instrText>Alexander</w:instrText>
      </w:r>
      <w:r w:rsidR="007466F7" w:rsidRPr="00C3406E">
        <w:instrText>","</w:instrText>
      </w:r>
      <w:r w:rsidR="007466F7">
        <w:rPr>
          <w:lang w:val="en-US"/>
        </w:rPr>
        <w:instrText>non</w:instrText>
      </w:r>
      <w:r w:rsidR="007466F7" w:rsidRPr="00C3406E">
        <w:instrText>-</w:instrText>
      </w:r>
      <w:r w:rsidR="007466F7">
        <w:rPr>
          <w:lang w:val="en-US"/>
        </w:rPr>
        <w:instrText>dropping</w:instrText>
      </w:r>
      <w:r w:rsidR="007466F7" w:rsidRPr="00C3406E">
        <w:instrText>-</w:instrText>
      </w:r>
      <w:r w:rsidR="007466F7">
        <w:rPr>
          <w:lang w:val="en-US"/>
        </w:rPr>
        <w:instrText>particle</w:instrText>
      </w:r>
      <w:r w:rsidR="007466F7" w:rsidRPr="00C3406E">
        <w:instrText>":"","</w:instrText>
      </w:r>
      <w:r w:rsidR="007466F7">
        <w:rPr>
          <w:lang w:val="en-US"/>
        </w:rPr>
        <w:instrText>parse</w:instrText>
      </w:r>
      <w:r w:rsidR="007466F7" w:rsidRPr="00C3406E">
        <w:instrText>-</w:instrText>
      </w:r>
      <w:r w:rsidR="007466F7">
        <w:rPr>
          <w:lang w:val="en-US"/>
        </w:rPr>
        <w:instrText>names</w:instrText>
      </w:r>
      <w:r w:rsidR="007466F7" w:rsidRPr="00C3406E">
        <w:instrText>":</w:instrText>
      </w:r>
      <w:r w:rsidR="007466F7">
        <w:rPr>
          <w:lang w:val="en-US"/>
        </w:rPr>
        <w:instrText>false</w:instrText>
      </w:r>
      <w:r w:rsidR="007466F7" w:rsidRPr="00C3406E">
        <w:instrText>,"</w:instrText>
      </w:r>
      <w:r w:rsidR="007466F7">
        <w:rPr>
          <w:lang w:val="en-US"/>
        </w:rPr>
        <w:instrText>suffix</w:instrText>
      </w:r>
      <w:r w:rsidR="007466F7" w:rsidRPr="00C3406E">
        <w:instrText>":""},{"</w:instrText>
      </w:r>
      <w:r w:rsidR="007466F7">
        <w:rPr>
          <w:lang w:val="en-US"/>
        </w:rPr>
        <w:instrText>dropping</w:instrText>
      </w:r>
      <w:r w:rsidR="007466F7" w:rsidRPr="00C3406E">
        <w:instrText>-</w:instrText>
      </w:r>
      <w:r w:rsidR="007466F7">
        <w:rPr>
          <w:lang w:val="en-US"/>
        </w:rPr>
        <w:instrText>particle</w:instrText>
      </w:r>
      <w:r w:rsidR="007466F7" w:rsidRPr="00C3406E">
        <w:instrText>":"","</w:instrText>
      </w:r>
      <w:r w:rsidR="007466F7">
        <w:rPr>
          <w:lang w:val="en-US"/>
        </w:rPr>
        <w:instrText>family</w:instrText>
      </w:r>
      <w:r w:rsidR="007466F7" w:rsidRPr="00C3406E">
        <w:instrText>":"</w:instrText>
      </w:r>
      <w:r w:rsidR="007466F7">
        <w:rPr>
          <w:lang w:val="en-US"/>
        </w:rPr>
        <w:instrText>Valenzuela</w:instrText>
      </w:r>
      <w:r w:rsidR="007466F7" w:rsidRPr="00C3406E">
        <w:instrText>","</w:instrText>
      </w:r>
      <w:r w:rsidR="007466F7">
        <w:rPr>
          <w:lang w:val="en-US"/>
        </w:rPr>
        <w:instrText>given</w:instrText>
      </w:r>
      <w:r w:rsidR="007466F7" w:rsidRPr="00C3406E">
        <w:instrText>":"</w:instrText>
      </w:r>
      <w:r w:rsidR="007466F7">
        <w:rPr>
          <w:lang w:val="en-US"/>
        </w:rPr>
        <w:instrText>Pablo</w:instrText>
      </w:r>
      <w:r w:rsidR="007466F7" w:rsidRPr="00C3406E">
        <w:instrText>","</w:instrText>
      </w:r>
      <w:r w:rsidR="007466F7">
        <w:rPr>
          <w:lang w:val="en-US"/>
        </w:rPr>
        <w:instrText>non</w:instrText>
      </w:r>
      <w:r w:rsidR="007466F7" w:rsidRPr="00C3406E">
        <w:instrText>-</w:instrText>
      </w:r>
      <w:r w:rsidR="007466F7">
        <w:rPr>
          <w:lang w:val="en-US"/>
        </w:rPr>
        <w:instrText>dropping</w:instrText>
      </w:r>
      <w:r w:rsidR="007466F7" w:rsidRPr="00C3406E">
        <w:instrText>-</w:instrText>
      </w:r>
      <w:r w:rsidR="007466F7">
        <w:rPr>
          <w:lang w:val="en-US"/>
        </w:rPr>
        <w:instrText>particle</w:instrText>
      </w:r>
      <w:r w:rsidR="007466F7" w:rsidRPr="00C3406E">
        <w:instrText>":"","</w:instrText>
      </w:r>
      <w:r w:rsidR="007466F7">
        <w:rPr>
          <w:lang w:val="en-US"/>
        </w:rPr>
        <w:instrText>parse</w:instrText>
      </w:r>
      <w:r w:rsidR="007466F7" w:rsidRPr="00C3406E">
        <w:instrText>-</w:instrText>
      </w:r>
      <w:r w:rsidR="007466F7">
        <w:rPr>
          <w:lang w:val="en-US"/>
        </w:rPr>
        <w:instrText>names</w:instrText>
      </w:r>
      <w:r w:rsidR="007466F7" w:rsidRPr="00C3406E">
        <w:instrText>":</w:instrText>
      </w:r>
      <w:r w:rsidR="007466F7">
        <w:rPr>
          <w:lang w:val="en-US"/>
        </w:rPr>
        <w:instrText>false</w:instrText>
      </w:r>
      <w:r w:rsidR="007466F7" w:rsidRPr="00C3406E">
        <w:instrText>,"</w:instrText>
      </w:r>
      <w:r w:rsidR="007466F7">
        <w:rPr>
          <w:lang w:val="en-US"/>
        </w:rPr>
        <w:instrText>suffix</w:instrText>
      </w:r>
      <w:r w:rsidR="007466F7" w:rsidRPr="00C3406E">
        <w:instrText>":""},{"</w:instrText>
      </w:r>
      <w:r w:rsidR="007466F7">
        <w:rPr>
          <w:lang w:val="en-US"/>
        </w:rPr>
        <w:instrText>dropping</w:instrText>
      </w:r>
      <w:r w:rsidR="007466F7" w:rsidRPr="00C3406E">
        <w:instrText>-</w:instrText>
      </w:r>
      <w:r w:rsidR="007466F7">
        <w:rPr>
          <w:lang w:val="en-US"/>
        </w:rPr>
        <w:instrText>particle</w:instrText>
      </w:r>
      <w:r w:rsidR="007466F7" w:rsidRPr="00C3406E">
        <w:instrText>":"","</w:instrText>
      </w:r>
      <w:r w:rsidR="007466F7">
        <w:rPr>
          <w:lang w:val="en-US"/>
        </w:rPr>
        <w:instrText>family</w:instrText>
      </w:r>
      <w:r w:rsidR="007466F7" w:rsidRPr="00C3406E">
        <w:instrText>":"</w:instrText>
      </w:r>
      <w:r w:rsidR="007466F7">
        <w:rPr>
          <w:lang w:val="en-US"/>
        </w:rPr>
        <w:instrText>Kuo</w:instrText>
      </w:r>
      <w:r w:rsidR="007466F7" w:rsidRPr="00C3406E">
        <w:instrText>","</w:instrText>
      </w:r>
      <w:r w:rsidR="007466F7">
        <w:rPr>
          <w:lang w:val="en-US"/>
        </w:rPr>
        <w:instrText>given</w:instrText>
      </w:r>
      <w:r w:rsidR="007466F7" w:rsidRPr="00C3406E">
        <w:instrText>":"</w:instrText>
      </w:r>
      <w:r w:rsidR="007466F7">
        <w:rPr>
          <w:lang w:val="en-US"/>
        </w:rPr>
        <w:instrText>George</w:instrText>
      </w:r>
      <w:r w:rsidR="007466F7" w:rsidRPr="00C3406E">
        <w:instrText>","</w:instrText>
      </w:r>
      <w:r w:rsidR="007466F7">
        <w:rPr>
          <w:lang w:val="en-US"/>
        </w:rPr>
        <w:instrText>non</w:instrText>
      </w:r>
      <w:r w:rsidR="007466F7" w:rsidRPr="00C3406E">
        <w:instrText>-</w:instrText>
      </w:r>
      <w:r w:rsidR="007466F7">
        <w:rPr>
          <w:lang w:val="en-US"/>
        </w:rPr>
        <w:instrText>dropping</w:instrText>
      </w:r>
      <w:r w:rsidR="007466F7" w:rsidRPr="00C3406E">
        <w:instrText>-</w:instrText>
      </w:r>
      <w:r w:rsidR="007466F7">
        <w:rPr>
          <w:lang w:val="en-US"/>
        </w:rPr>
        <w:instrText>particle</w:instrText>
      </w:r>
      <w:r w:rsidR="007466F7" w:rsidRPr="00C3406E">
        <w:instrText>":"","</w:instrText>
      </w:r>
      <w:r w:rsidR="007466F7">
        <w:rPr>
          <w:lang w:val="en-US"/>
        </w:rPr>
        <w:instrText>parse</w:instrText>
      </w:r>
      <w:r w:rsidR="007466F7" w:rsidRPr="00C3406E">
        <w:instrText>-</w:instrText>
      </w:r>
      <w:r w:rsidR="007466F7">
        <w:rPr>
          <w:lang w:val="en-US"/>
        </w:rPr>
        <w:instrText>names</w:instrText>
      </w:r>
      <w:r w:rsidR="007466F7" w:rsidRPr="00C3406E">
        <w:instrText>":</w:instrText>
      </w:r>
      <w:r w:rsidR="007466F7">
        <w:rPr>
          <w:lang w:val="en-US"/>
        </w:rPr>
        <w:instrText>false</w:instrText>
      </w:r>
      <w:r w:rsidR="007466F7" w:rsidRPr="00C3406E">
        <w:instrText>,"</w:instrText>
      </w:r>
      <w:r w:rsidR="007466F7">
        <w:rPr>
          <w:lang w:val="en-US"/>
        </w:rPr>
        <w:instrText>suffix</w:instrText>
      </w:r>
      <w:r w:rsidR="007466F7" w:rsidRPr="00C3406E">
        <w:instrText>":""},{"</w:instrText>
      </w:r>
      <w:r w:rsidR="007466F7">
        <w:rPr>
          <w:lang w:val="en-US"/>
        </w:rPr>
        <w:instrText>dropping</w:instrText>
      </w:r>
      <w:r w:rsidR="007466F7" w:rsidRPr="00C3406E">
        <w:instrText>-</w:instrText>
      </w:r>
      <w:r w:rsidR="007466F7">
        <w:rPr>
          <w:lang w:val="en-US"/>
        </w:rPr>
        <w:instrText>particle</w:instrText>
      </w:r>
      <w:r w:rsidR="007466F7" w:rsidRPr="00C3406E">
        <w:instrText>":"","</w:instrText>
      </w:r>
      <w:r w:rsidR="007466F7">
        <w:rPr>
          <w:lang w:val="en-US"/>
        </w:rPr>
        <w:instrText>family</w:instrText>
      </w:r>
      <w:r w:rsidR="007466F7" w:rsidRPr="00C3406E">
        <w:instrText>":"</w:instrText>
      </w:r>
      <w:r w:rsidR="007466F7">
        <w:rPr>
          <w:lang w:val="en-US"/>
        </w:rPr>
        <w:instrText>Chien</w:instrText>
      </w:r>
      <w:r w:rsidR="007466F7" w:rsidRPr="00C3406E">
        <w:instrText>","</w:instrText>
      </w:r>
      <w:r w:rsidR="007466F7">
        <w:rPr>
          <w:lang w:val="en-US"/>
        </w:rPr>
        <w:instrText>given</w:instrText>
      </w:r>
      <w:r w:rsidR="007466F7" w:rsidRPr="00C3406E">
        <w:instrText>":"</w:instrText>
      </w:r>
      <w:r w:rsidR="007466F7">
        <w:rPr>
          <w:lang w:val="en-US"/>
        </w:rPr>
        <w:instrText>David</w:instrText>
      </w:r>
      <w:r w:rsidR="007466F7" w:rsidRPr="00C3406E">
        <w:instrText xml:space="preserve"> </w:instrText>
      </w:r>
      <w:r w:rsidR="007466F7">
        <w:rPr>
          <w:lang w:val="en-US"/>
        </w:rPr>
        <w:instrText>Y</w:instrText>
      </w:r>
      <w:r w:rsidR="007466F7" w:rsidRPr="00C3406E">
        <w:instrText>.","</w:instrText>
      </w:r>
      <w:r w:rsidR="007466F7">
        <w:rPr>
          <w:lang w:val="en-US"/>
        </w:rPr>
        <w:instrText>non</w:instrText>
      </w:r>
      <w:r w:rsidR="007466F7" w:rsidRPr="00C3406E">
        <w:instrText>-</w:instrText>
      </w:r>
      <w:r w:rsidR="007466F7">
        <w:rPr>
          <w:lang w:val="en-US"/>
        </w:rPr>
        <w:instrText>dropping</w:instrText>
      </w:r>
      <w:r w:rsidR="007466F7" w:rsidRPr="00C3406E">
        <w:instrText>-</w:instrText>
      </w:r>
      <w:r w:rsidR="007466F7">
        <w:rPr>
          <w:lang w:val="en-US"/>
        </w:rPr>
        <w:instrText>particle</w:instrText>
      </w:r>
      <w:r w:rsidR="007466F7" w:rsidRPr="00C3406E">
        <w:instrText>":"","</w:instrText>
      </w:r>
      <w:r w:rsidR="007466F7">
        <w:rPr>
          <w:lang w:val="en-US"/>
        </w:rPr>
        <w:instrText>parse</w:instrText>
      </w:r>
      <w:r w:rsidR="007466F7" w:rsidRPr="00C3406E">
        <w:instrText>-</w:instrText>
      </w:r>
      <w:r w:rsidR="007466F7">
        <w:rPr>
          <w:lang w:val="en-US"/>
        </w:rPr>
        <w:instrText>names</w:instrText>
      </w:r>
      <w:r w:rsidR="007466F7" w:rsidRPr="00C3406E">
        <w:instrText>":</w:instrText>
      </w:r>
      <w:r w:rsidR="007466F7">
        <w:rPr>
          <w:lang w:val="en-US"/>
        </w:rPr>
        <w:instrText>false</w:instrText>
      </w:r>
      <w:r w:rsidR="007466F7" w:rsidRPr="00C3406E">
        <w:instrText>,"</w:instrText>
      </w:r>
      <w:r w:rsidR="007466F7">
        <w:rPr>
          <w:lang w:val="en-US"/>
        </w:rPr>
        <w:instrText>suffix</w:instrText>
      </w:r>
      <w:r w:rsidR="007466F7" w:rsidRPr="00C3406E">
        <w:instrText>":""}],"</w:instrText>
      </w:r>
      <w:r w:rsidR="007466F7">
        <w:rPr>
          <w:lang w:val="en-US"/>
        </w:rPr>
        <w:instrText>container</w:instrText>
      </w:r>
      <w:r w:rsidR="007466F7" w:rsidRPr="00C3406E">
        <w:instrText>-</w:instrText>
      </w:r>
      <w:r w:rsidR="007466F7">
        <w:rPr>
          <w:lang w:val="en-US"/>
        </w:rPr>
        <w:instrText>title</w:instrText>
      </w:r>
      <w:r w:rsidR="007466F7" w:rsidRPr="00C3406E">
        <w:instrText>":"</w:instrText>
      </w:r>
      <w:r w:rsidR="007466F7">
        <w:rPr>
          <w:lang w:val="en-US"/>
        </w:rPr>
        <w:instrText>Journal</w:instrText>
      </w:r>
      <w:r w:rsidR="007466F7" w:rsidRPr="00C3406E">
        <w:instrText xml:space="preserve"> </w:instrText>
      </w:r>
      <w:r w:rsidR="007466F7">
        <w:rPr>
          <w:lang w:val="en-US"/>
        </w:rPr>
        <w:instrText>of</w:instrText>
      </w:r>
      <w:r w:rsidR="007466F7" w:rsidRPr="00C3406E">
        <w:instrText xml:space="preserve"> </w:instrText>
      </w:r>
      <w:r w:rsidR="007466F7">
        <w:rPr>
          <w:lang w:val="en-US"/>
        </w:rPr>
        <w:instrText>Medical</w:instrText>
      </w:r>
      <w:r w:rsidR="007466F7" w:rsidRPr="00C3406E">
        <w:instrText xml:space="preserve"> </w:instrText>
      </w:r>
      <w:r w:rsidR="007466F7">
        <w:rPr>
          <w:lang w:val="en-US"/>
        </w:rPr>
        <w:instrText>Virology</w:instrText>
      </w:r>
      <w:r w:rsidR="007466F7" w:rsidRPr="00C3406E">
        <w:instrText>","</w:instrText>
      </w:r>
      <w:r w:rsidR="007466F7">
        <w:rPr>
          <w:lang w:val="en-US"/>
        </w:rPr>
        <w:instrText>id</w:instrText>
      </w:r>
      <w:r w:rsidR="007466F7" w:rsidRPr="00C3406E">
        <w:instrText>":"</w:instrText>
      </w:r>
      <w:r w:rsidR="007466F7">
        <w:rPr>
          <w:lang w:val="en-US"/>
        </w:rPr>
        <w:instrText>ITEM</w:instrText>
      </w:r>
      <w:r w:rsidR="007466F7" w:rsidRPr="00C3406E">
        <w:instrText>-1","</w:instrText>
      </w:r>
      <w:r w:rsidR="007466F7">
        <w:rPr>
          <w:lang w:val="en-US"/>
        </w:rPr>
        <w:instrText>issue</w:instrText>
      </w:r>
      <w:r w:rsidR="007466F7" w:rsidRPr="00C3406E">
        <w:instrText>":"3","</w:instrText>
      </w:r>
      <w:r w:rsidR="007466F7">
        <w:rPr>
          <w:lang w:val="en-US"/>
        </w:rPr>
        <w:instrText>issued</w:instrText>
      </w:r>
      <w:r w:rsidR="007466F7" w:rsidRPr="00C3406E">
        <w:instrText>":{"</w:instrText>
      </w:r>
      <w:r w:rsidR="007466F7">
        <w:rPr>
          <w:lang w:val="en-US"/>
        </w:rPr>
        <w:instrText>date</w:instrText>
      </w:r>
      <w:r w:rsidR="007466F7" w:rsidRPr="00C3406E">
        <w:instrText>-</w:instrText>
      </w:r>
      <w:r w:rsidR="007466F7">
        <w:rPr>
          <w:lang w:val="en-US"/>
        </w:rPr>
        <w:instrText>parts</w:instrText>
      </w:r>
      <w:r w:rsidR="007466F7" w:rsidRPr="00C3406E">
        <w:instrText>":[["2000","3","1"]]},"</w:instrText>
      </w:r>
      <w:r w:rsidR="007466F7">
        <w:rPr>
          <w:lang w:val="en-US"/>
        </w:rPr>
        <w:instrText>page</w:instrText>
      </w:r>
      <w:r w:rsidR="007466F7" w:rsidRPr="00C3406E">
        <w:instrText>":"256-263","</w:instrText>
      </w:r>
      <w:r w:rsidR="007466F7">
        <w:rPr>
          <w:lang w:val="en-US"/>
        </w:rPr>
        <w:instrText>publisher</w:instrText>
      </w:r>
      <w:r w:rsidR="007466F7" w:rsidRPr="00C3406E">
        <w:instrText>":"</w:instrText>
      </w:r>
      <w:r w:rsidR="007466F7">
        <w:rPr>
          <w:lang w:val="en-US"/>
        </w:rPr>
        <w:instrText>John</w:instrText>
      </w:r>
      <w:r w:rsidR="007466F7" w:rsidRPr="00C3406E">
        <w:instrText xml:space="preserve"> </w:instrText>
      </w:r>
      <w:r w:rsidR="007466F7">
        <w:rPr>
          <w:lang w:val="en-US"/>
        </w:rPr>
        <w:instrText>Wiley</w:instrText>
      </w:r>
      <w:r w:rsidR="007466F7" w:rsidRPr="00C3406E">
        <w:instrText xml:space="preserve"> &amp; </w:instrText>
      </w:r>
      <w:r w:rsidR="007466F7">
        <w:rPr>
          <w:lang w:val="en-US"/>
        </w:rPr>
        <w:instrText>Sons</w:instrText>
      </w:r>
      <w:r w:rsidR="007466F7" w:rsidRPr="00C3406E">
        <w:instrText xml:space="preserve">, </w:instrText>
      </w:r>
      <w:r w:rsidR="007466F7">
        <w:rPr>
          <w:lang w:val="en-US"/>
        </w:rPr>
        <w:instrText>Ltd</w:instrText>
      </w:r>
      <w:r w:rsidR="007466F7" w:rsidRPr="00C3406E">
        <w:instrText>","</w:instrText>
      </w:r>
      <w:r w:rsidR="007466F7">
        <w:rPr>
          <w:lang w:val="en-US"/>
        </w:rPr>
        <w:instrText>title</w:instrText>
      </w:r>
      <w:r w:rsidR="007466F7" w:rsidRPr="00C3406E">
        <w:instrText>":"</w:instrText>
      </w:r>
      <w:r w:rsidR="007466F7">
        <w:rPr>
          <w:lang w:val="en-US"/>
        </w:rPr>
        <w:instrText>Hepatitis</w:instrText>
      </w:r>
      <w:r w:rsidR="007466F7" w:rsidRPr="00C3406E">
        <w:instrText xml:space="preserve"> </w:instrText>
      </w:r>
      <w:r w:rsidR="007466F7">
        <w:rPr>
          <w:lang w:val="en-US"/>
        </w:rPr>
        <w:instrText>B</w:instrText>
      </w:r>
      <w:r w:rsidR="007466F7" w:rsidRPr="00C3406E">
        <w:instrText xml:space="preserve"> </w:instrText>
      </w:r>
      <w:r w:rsidR="007466F7">
        <w:rPr>
          <w:lang w:val="en-US"/>
        </w:rPr>
        <w:instrText>virus</w:instrText>
      </w:r>
      <w:r w:rsidR="007466F7" w:rsidRPr="00C3406E">
        <w:instrText xml:space="preserve"> </w:instrText>
      </w:r>
      <w:r w:rsidR="007466F7">
        <w:rPr>
          <w:lang w:val="en-US"/>
        </w:rPr>
        <w:instrText>e</w:instrText>
      </w:r>
      <w:r w:rsidR="007466F7" w:rsidRPr="00C3406E">
        <w:instrText xml:space="preserve"> </w:instrText>
      </w:r>
      <w:r w:rsidR="007466F7">
        <w:rPr>
          <w:lang w:val="en-US"/>
        </w:rPr>
        <w:instrText>antigen</w:instrText>
      </w:r>
      <w:r w:rsidR="007466F7" w:rsidRPr="00C3406E">
        <w:instrText xml:space="preserve"> </w:instrText>
      </w:r>
      <w:r w:rsidR="007466F7">
        <w:rPr>
          <w:lang w:val="en-US"/>
        </w:rPr>
        <w:instrText>specific</w:instrText>
      </w:r>
      <w:r w:rsidR="007466F7" w:rsidRPr="00C3406E">
        <w:instrText xml:space="preserve"> </w:instrText>
      </w:r>
      <w:r w:rsidR="007466F7">
        <w:rPr>
          <w:lang w:val="en-US"/>
        </w:rPr>
        <w:instrText>epitopes</w:instrText>
      </w:r>
      <w:r w:rsidR="007466F7" w:rsidRPr="00C3406E">
        <w:instrText xml:space="preserve"> </w:instrText>
      </w:r>
      <w:r w:rsidR="007466F7">
        <w:rPr>
          <w:lang w:val="en-US"/>
        </w:rPr>
        <w:instrText>and</w:instrText>
      </w:r>
      <w:r w:rsidR="007466F7" w:rsidRPr="00C3406E">
        <w:instrText xml:space="preserve"> </w:instrText>
      </w:r>
      <w:r w:rsidR="007466F7">
        <w:rPr>
          <w:lang w:val="en-US"/>
        </w:rPr>
        <w:instrText>limitations</w:instrText>
      </w:r>
      <w:r w:rsidR="007466F7" w:rsidRPr="00C3406E">
        <w:instrText xml:space="preserve"> </w:instrText>
      </w:r>
      <w:r w:rsidR="007466F7">
        <w:rPr>
          <w:lang w:val="en-US"/>
        </w:rPr>
        <w:instrText>of</w:instrText>
      </w:r>
      <w:r w:rsidR="007466F7" w:rsidRPr="00C3406E">
        <w:instrText xml:space="preserve"> </w:instrText>
      </w:r>
      <w:r w:rsidR="007466F7">
        <w:rPr>
          <w:lang w:val="en-US"/>
        </w:rPr>
        <w:instrText>commercial</w:instrText>
      </w:r>
      <w:r w:rsidR="007466F7" w:rsidRPr="00C3406E">
        <w:instrText xml:space="preserve"> </w:instrText>
      </w:r>
      <w:r w:rsidR="007466F7">
        <w:rPr>
          <w:lang w:val="en-US"/>
        </w:rPr>
        <w:instrText>anti</w:instrText>
      </w:r>
      <w:r w:rsidR="007466F7" w:rsidRPr="00C3406E">
        <w:instrText>-</w:instrText>
      </w:r>
      <w:r w:rsidR="007466F7">
        <w:rPr>
          <w:lang w:val="en-US"/>
        </w:rPr>
        <w:instrText>HBe</w:instrText>
      </w:r>
      <w:r w:rsidR="007466F7" w:rsidRPr="00C3406E">
        <w:instrText xml:space="preserve"> </w:instrText>
      </w:r>
      <w:r w:rsidR="007466F7">
        <w:rPr>
          <w:lang w:val="en-US"/>
        </w:rPr>
        <w:instrText>immunoassays</w:instrText>
      </w:r>
      <w:r w:rsidR="007466F7" w:rsidRPr="00C3406E">
        <w:instrText>","</w:instrText>
      </w:r>
      <w:r w:rsidR="007466F7">
        <w:rPr>
          <w:lang w:val="en-US"/>
        </w:rPr>
        <w:instrText>type</w:instrText>
      </w:r>
      <w:r w:rsidR="007466F7" w:rsidRPr="00C3406E">
        <w:instrText>":"</w:instrText>
      </w:r>
      <w:r w:rsidR="007466F7">
        <w:rPr>
          <w:lang w:val="en-US"/>
        </w:rPr>
        <w:instrText>article</w:instrText>
      </w:r>
      <w:r w:rsidR="007466F7" w:rsidRPr="00C3406E">
        <w:instrText>-</w:instrText>
      </w:r>
      <w:r w:rsidR="007466F7">
        <w:rPr>
          <w:lang w:val="en-US"/>
        </w:rPr>
        <w:instrText>journal</w:instrText>
      </w:r>
      <w:r w:rsidR="007466F7" w:rsidRPr="00C3406E">
        <w:instrText>","</w:instrText>
      </w:r>
      <w:r w:rsidR="007466F7">
        <w:rPr>
          <w:lang w:val="en-US"/>
        </w:rPr>
        <w:instrText>volume</w:instrText>
      </w:r>
      <w:r w:rsidR="007466F7" w:rsidRPr="00C3406E">
        <w:instrText>":"60"},"</w:instrText>
      </w:r>
      <w:r w:rsidR="007466F7">
        <w:rPr>
          <w:lang w:val="en-US"/>
        </w:rPr>
        <w:instrText>uris</w:instrText>
      </w:r>
      <w:r w:rsidR="007466F7" w:rsidRPr="00C3406E">
        <w:instrText>":["</w:instrText>
      </w:r>
      <w:r w:rsidR="007466F7">
        <w:rPr>
          <w:lang w:val="en-US"/>
        </w:rPr>
        <w:instrText>http</w:instrText>
      </w:r>
      <w:r w:rsidR="007466F7" w:rsidRPr="00C3406E">
        <w:instrText>://</w:instrText>
      </w:r>
      <w:r w:rsidR="007466F7">
        <w:rPr>
          <w:lang w:val="en-US"/>
        </w:rPr>
        <w:instrText>www</w:instrText>
      </w:r>
      <w:r w:rsidR="007466F7" w:rsidRPr="00C3406E">
        <w:instrText>.</w:instrText>
      </w:r>
      <w:r w:rsidR="007466F7">
        <w:rPr>
          <w:lang w:val="en-US"/>
        </w:rPr>
        <w:instrText>mendeley</w:instrText>
      </w:r>
      <w:r w:rsidR="007466F7" w:rsidRPr="00C3406E">
        <w:instrText>.</w:instrText>
      </w:r>
      <w:r w:rsidR="007466F7">
        <w:rPr>
          <w:lang w:val="en-US"/>
        </w:rPr>
        <w:instrText>com</w:instrText>
      </w:r>
      <w:r w:rsidR="007466F7" w:rsidRPr="00C3406E">
        <w:instrText>/</w:instrText>
      </w:r>
      <w:r w:rsidR="007466F7">
        <w:rPr>
          <w:lang w:val="en-US"/>
        </w:rPr>
        <w:instrText>documents</w:instrText>
      </w:r>
      <w:r w:rsidR="007466F7" w:rsidRPr="00C3406E">
        <w:instrText>/?</w:instrText>
      </w:r>
      <w:r w:rsidR="007466F7">
        <w:rPr>
          <w:lang w:val="en-US"/>
        </w:rPr>
        <w:instrText>uuid</w:instrText>
      </w:r>
      <w:r w:rsidR="007466F7" w:rsidRPr="00C3406E">
        <w:instrText>=157697</w:instrText>
      </w:r>
      <w:r w:rsidR="007466F7">
        <w:rPr>
          <w:lang w:val="en-US"/>
        </w:rPr>
        <w:instrText>dc</w:instrText>
      </w:r>
      <w:r w:rsidR="007466F7" w:rsidRPr="00C3406E">
        <w:instrText>-810</w:instrText>
      </w:r>
      <w:r w:rsidR="007466F7">
        <w:rPr>
          <w:lang w:val="en-US"/>
        </w:rPr>
        <w:instrText>b</w:instrText>
      </w:r>
      <w:r w:rsidR="007466F7" w:rsidRPr="00C3406E">
        <w:instrText>-3491-8616-538</w:instrText>
      </w:r>
      <w:r w:rsidR="007466F7">
        <w:rPr>
          <w:lang w:val="en-US"/>
        </w:rPr>
        <w:instrText>c</w:instrText>
      </w:r>
      <w:r w:rsidR="007466F7" w:rsidRPr="00C3406E">
        <w:instrText>082</w:instrText>
      </w:r>
      <w:r w:rsidR="007466F7">
        <w:rPr>
          <w:lang w:val="en-US"/>
        </w:rPr>
        <w:instrText>b</w:instrText>
      </w:r>
      <w:r w:rsidR="007466F7" w:rsidRPr="00C3406E">
        <w:instrText>1</w:instrText>
      </w:r>
      <w:r w:rsidR="007466F7">
        <w:rPr>
          <w:lang w:val="en-US"/>
        </w:rPr>
        <w:instrText>b</w:instrText>
      </w:r>
      <w:r w:rsidR="007466F7" w:rsidRPr="00C3406E">
        <w:instrText>1</w:instrText>
      </w:r>
      <w:r w:rsidR="007466F7">
        <w:rPr>
          <w:lang w:val="en-US"/>
        </w:rPr>
        <w:instrText>a</w:instrText>
      </w:r>
      <w:r w:rsidR="007466F7" w:rsidRPr="00C3406E">
        <w:instrText>"]}],"</w:instrText>
      </w:r>
      <w:r w:rsidR="007466F7">
        <w:rPr>
          <w:lang w:val="en-US"/>
        </w:rPr>
        <w:instrText>mendeley</w:instrText>
      </w:r>
      <w:r w:rsidR="007466F7" w:rsidRPr="00C3406E">
        <w:instrText>":{"</w:instrText>
      </w:r>
      <w:r w:rsidR="007466F7">
        <w:rPr>
          <w:lang w:val="en-US"/>
        </w:rPr>
        <w:instrText>formattedCitation</w:instrText>
      </w:r>
      <w:r w:rsidR="007466F7" w:rsidRPr="00C3406E">
        <w:instrText>":"[152]","</w:instrText>
      </w:r>
      <w:r w:rsidR="007466F7">
        <w:rPr>
          <w:lang w:val="en-US"/>
        </w:rPr>
        <w:instrText>plainTextFormattedCitation</w:instrText>
      </w:r>
      <w:r w:rsidR="007466F7" w:rsidRPr="00C3406E">
        <w:instrText>":"[152]","</w:instrText>
      </w:r>
      <w:r w:rsidR="007466F7">
        <w:rPr>
          <w:lang w:val="en-US"/>
        </w:rPr>
        <w:instrText>previouslyFormattedCitation</w:instrText>
      </w:r>
      <w:r w:rsidR="007466F7" w:rsidRPr="00C3406E">
        <w:instrText>":"[152]"},"</w:instrText>
      </w:r>
      <w:r w:rsidR="007466F7">
        <w:rPr>
          <w:lang w:val="en-US"/>
        </w:rPr>
        <w:instrText>properties</w:instrText>
      </w:r>
      <w:r w:rsidR="007466F7" w:rsidRPr="00C3406E">
        <w:instrText>":{"</w:instrText>
      </w:r>
      <w:r w:rsidR="007466F7">
        <w:rPr>
          <w:lang w:val="en-US"/>
        </w:rPr>
        <w:instrText>noteIndex</w:instrText>
      </w:r>
      <w:r w:rsidR="007466F7" w:rsidRPr="00C3406E">
        <w:instrText>":0},"</w:instrText>
      </w:r>
      <w:r w:rsidR="007466F7">
        <w:rPr>
          <w:lang w:val="en-US"/>
        </w:rPr>
        <w:instrText>schema</w:instrText>
      </w:r>
      <w:r w:rsidR="007466F7" w:rsidRPr="00C3406E">
        <w:instrText>":"</w:instrText>
      </w:r>
      <w:r w:rsidR="007466F7">
        <w:rPr>
          <w:lang w:val="en-US"/>
        </w:rPr>
        <w:instrText>https</w:instrText>
      </w:r>
      <w:r w:rsidR="007466F7" w:rsidRPr="00C3406E">
        <w:instrText>://</w:instrText>
      </w:r>
      <w:r w:rsidR="007466F7">
        <w:rPr>
          <w:lang w:val="en-US"/>
        </w:rPr>
        <w:instrText>github</w:instrText>
      </w:r>
      <w:r w:rsidR="007466F7" w:rsidRPr="00C3406E">
        <w:instrText>.</w:instrText>
      </w:r>
      <w:r w:rsidR="007466F7">
        <w:rPr>
          <w:lang w:val="en-US"/>
        </w:rPr>
        <w:instrText>com</w:instrText>
      </w:r>
      <w:r w:rsidR="007466F7" w:rsidRPr="00C3406E">
        <w:instrText>/</w:instrText>
      </w:r>
      <w:r w:rsidR="007466F7">
        <w:rPr>
          <w:lang w:val="en-US"/>
        </w:rPr>
        <w:instrText>citation</w:instrText>
      </w:r>
      <w:r w:rsidR="007466F7" w:rsidRPr="00C3406E">
        <w:instrText>-</w:instrText>
      </w:r>
      <w:r w:rsidR="007466F7">
        <w:rPr>
          <w:lang w:val="en-US"/>
        </w:rPr>
        <w:instrText>style</w:instrText>
      </w:r>
      <w:r w:rsidR="007466F7" w:rsidRPr="00C3406E">
        <w:instrText>-</w:instrText>
      </w:r>
      <w:r w:rsidR="007466F7">
        <w:rPr>
          <w:lang w:val="en-US"/>
        </w:rPr>
        <w:instrText>language</w:instrText>
      </w:r>
      <w:r w:rsidR="007466F7" w:rsidRPr="00C3406E">
        <w:instrText>/</w:instrText>
      </w:r>
      <w:r w:rsidR="007466F7">
        <w:rPr>
          <w:lang w:val="en-US"/>
        </w:rPr>
        <w:instrText>schema</w:instrText>
      </w:r>
      <w:r w:rsidR="007466F7" w:rsidRPr="00C3406E">
        <w:instrText>/</w:instrText>
      </w:r>
      <w:r w:rsidR="007466F7">
        <w:rPr>
          <w:lang w:val="en-US"/>
        </w:rPr>
        <w:instrText>raw</w:instrText>
      </w:r>
      <w:r w:rsidR="007466F7" w:rsidRPr="00C3406E">
        <w:instrText>/</w:instrText>
      </w:r>
      <w:r w:rsidR="007466F7">
        <w:rPr>
          <w:lang w:val="en-US"/>
        </w:rPr>
        <w:instrText>master</w:instrText>
      </w:r>
      <w:r w:rsidR="007466F7" w:rsidRPr="00C3406E">
        <w:instrText>/</w:instrText>
      </w:r>
      <w:r w:rsidR="007466F7">
        <w:rPr>
          <w:lang w:val="en-US"/>
        </w:rPr>
        <w:instrText>csl</w:instrText>
      </w:r>
      <w:r w:rsidR="007466F7" w:rsidRPr="00C3406E">
        <w:instrText>-</w:instrText>
      </w:r>
      <w:r w:rsidR="007466F7">
        <w:rPr>
          <w:lang w:val="en-US"/>
        </w:rPr>
        <w:instrText>citation</w:instrText>
      </w:r>
      <w:r w:rsidR="007466F7" w:rsidRPr="00C3406E">
        <w:instrText>.</w:instrText>
      </w:r>
      <w:r w:rsidR="007466F7">
        <w:rPr>
          <w:lang w:val="en-US"/>
        </w:rPr>
        <w:instrText>json</w:instrText>
      </w:r>
      <w:r w:rsidR="007466F7" w:rsidRPr="00C3406E">
        <w:instrText>"}</w:instrText>
      </w:r>
      <w:r>
        <w:rPr>
          <w:lang w:val="en-US"/>
        </w:rPr>
        <w:fldChar w:fldCharType="separate"/>
      </w:r>
      <w:r w:rsidR="009749DB" w:rsidRPr="009749DB">
        <w:rPr>
          <w:noProof/>
        </w:rPr>
        <w:t>[152]</w:t>
      </w:r>
      <w:r>
        <w:rPr>
          <w:lang w:val="en-US"/>
        </w:rPr>
        <w:fldChar w:fldCharType="end"/>
      </w:r>
      <w:r w:rsidRPr="00E71F5D">
        <w:t xml:space="preserve">. Рекомендовано проведение профилактики </w:t>
      </w:r>
      <w:r>
        <w:t xml:space="preserve">гепатита </w:t>
      </w:r>
      <w:r w:rsidRPr="00E71F5D">
        <w:t>В у HBsAg-отрицательных пациентов, которым планируется пересадка костного мозга от анти-НВс-позитивных доноров: в первую очередь</w:t>
      </w:r>
      <w:r>
        <w:t xml:space="preserve"> </w:t>
      </w:r>
      <w:r w:rsidRPr="00E71F5D">
        <w:t>–</w:t>
      </w:r>
      <w:r>
        <w:t xml:space="preserve"> вакцинация;</w:t>
      </w:r>
      <w:r w:rsidRPr="00E71F5D">
        <w:t xml:space="preserve"> при </w:t>
      </w:r>
      <w:r>
        <w:t>дефиците</w:t>
      </w:r>
      <w:r w:rsidRPr="00E71F5D">
        <w:t xml:space="preserve"> времени</w:t>
      </w:r>
      <w:r>
        <w:t xml:space="preserve"> для вакцинации вследствие экстренных</w:t>
      </w:r>
      <w:r w:rsidRPr="00E71F5D">
        <w:t xml:space="preserve"> </w:t>
      </w:r>
      <w:r>
        <w:t xml:space="preserve">показаний к лечению гематологического заболевания </w:t>
      </w:r>
      <w:r w:rsidRPr="00E71F5D">
        <w:t xml:space="preserve">профилактику проводят с помощью специфического иммуноглобулина, ламивудина или их сочетания. </w:t>
      </w:r>
      <w:r>
        <w:t>При необходимости назначения терапии моноклональным антителом анти-CD20 у гематологических пациентов с положительными маркерами анти-НВс и/или анти-НВ</w:t>
      </w:r>
      <w:r>
        <w:rPr>
          <w:lang w:val="en-US"/>
        </w:rPr>
        <w:t>s</w:t>
      </w:r>
      <w:r>
        <w:t xml:space="preserve"> показан постоянный прием энтекавира 0,5 мг/сут на весь период лечения/поддерживающей терапии и не менее 1 года после завершения иммуносупрессивной терапии при неоднократных отрицательных результатах тестирования на ДНК ВГВ в крови; при развитии устойчивости к энтекавиру показан переход </w:t>
      </w:r>
      <w:r w:rsidRPr="001B6EC8">
        <w:t>на тенофовир</w:t>
      </w:r>
      <w:r>
        <w:t>.</w:t>
      </w:r>
    </w:p>
    <w:p w14:paraId="4A8292D9" w14:textId="35752D1C" w:rsidR="007F7B87" w:rsidRPr="00A2796B" w:rsidRDefault="007F7B87" w:rsidP="009749DB">
      <w:pPr>
        <w:ind w:firstLine="699"/>
      </w:pPr>
      <w:r w:rsidRPr="00E71F5D">
        <w:t xml:space="preserve">Профилактика реактивации ВГС и терапия </w:t>
      </w:r>
      <w:r>
        <w:t>В</w:t>
      </w:r>
      <w:r w:rsidRPr="00E71F5D">
        <w:t>ГС у гематологических больных с нарушениями иммунитета на этапах программной терапии представляется более затруднительной, чем у</w:t>
      </w:r>
      <w:r>
        <w:t xml:space="preserve"> лиц с нормальным иммунитетом</w:t>
      </w:r>
      <w:r w:rsidRPr="008262F3">
        <w:t xml:space="preserve"> </w:t>
      </w:r>
      <w:r>
        <w:fldChar w:fldCharType="begin" w:fldLock="1"/>
      </w:r>
      <w:r w:rsidR="007466F7">
        <w:instrText>ADDIN CSL_CITATION {"citationItems":[{"id":"ITEM-1","itemData":{"DOI":"10.1038/nrclinonc.2012.1","ISSN":"17594774","PMID":"22271089","abstract":"Infections with hepatitis B virus (HBV) or hepatitis C virus (HCV) are associated with significant morbidity and mortality among patients with cancer, especially in patients with hematologic malignancies and those who undergo hematopoietic stem-cell transplantation. Reported rates of HBV reactivation in HBV carriers who undergo chemotherapy range from 14-72%. In these patients, mortality rates range from 5-52%. HCV reactivation seems to be less common than HBV reactivation and is usually associated with a good outcome and low mortality. However, once severe hepatitis develops, as a result of viral reactivation, mortality rates seem to be similar among patients infected with HBV or HCV. Liver damage owing to viral reactivation frequently leads to modifications or interruptions of chemotherapy, which can negatively affect patients' clinical outcome. Risk factors for the development of severe HBV or HCV reactivation need to be better defined to permit identification of patients who may benefit from preventive measures, early diagnosis, and therapy. In this article, we review the epidemiology, pathogenesis, risk factors, and clinical and laboratory manifestations associated with reactivation of HBV and HCV during immunosuppressive therapy. We also discuss strategies for the prevention and treatment of viral reactivation, including the management of reactivation with new antiviral agents. © 2012 Macmillan Publishers Limited. All rights reserved.","author":[{"dropping-particle":"","family":"Torres","given":"Harrys A.","non-dropping-particle":"","parse-names":false,"suffix":""},{"dropping-particle":"","family":"Davila","given":"Marta","non-dropping-particle":"","parse-names":false,"suffix":""}],"container-title":"Nature Reviews Clinical Oncology","id":"ITEM-1","issue":"3","issued":{"date-parts":[["2012","3"]]},"page":"156-166","publisher":"Nat Rev Clin Oncol","title":"Reactivation of hepatitis B virus and hepatitis C virus in patients with cancer","type":"article","volume":"9"},"uris":["http://www.mendeley.com/documents/?uuid=4b3e52b7-1df5-3438-ac0e-dece4683d1b8"]}],"mendeley":{"formattedCitation":"[153]","plainTextFormattedCitation":"[153]","previouslyFormattedCitation":"[153]"},"properties":{"noteIndex":0},"schema":"https://github.com/citation-style-language/schema/raw/master/csl-citation.json"}</w:instrText>
      </w:r>
      <w:r>
        <w:fldChar w:fldCharType="separate"/>
      </w:r>
      <w:r w:rsidR="009749DB" w:rsidRPr="009749DB">
        <w:rPr>
          <w:noProof/>
        </w:rPr>
        <w:t>[153]</w:t>
      </w:r>
      <w:r>
        <w:fldChar w:fldCharType="end"/>
      </w:r>
      <w:r w:rsidRPr="00E71F5D">
        <w:t xml:space="preserve">. Терапия </w:t>
      </w:r>
      <w:r>
        <w:t xml:space="preserve">ВГС </w:t>
      </w:r>
      <w:r w:rsidRPr="00E71F5D">
        <w:t xml:space="preserve">с применением </w:t>
      </w:r>
      <w:r w:rsidRPr="00E71F5D">
        <w:lastRenderedPageBreak/>
        <w:t>новых препаратов прямого противовирусного действия на основе ингибиторов ферментов ВГС — NS3 и NS5B, а также блокаторов белка NS5A, позволяет достигнуть хороших результатов лечения у большинства пациентов</w:t>
      </w:r>
      <w:r w:rsidRPr="00B25E91">
        <w:t xml:space="preserve"> </w:t>
      </w:r>
      <w:r>
        <w:fldChar w:fldCharType="begin" w:fldLock="1"/>
      </w:r>
      <w:r w:rsidR="007466F7">
        <w:instrText>ADDIN CSL_CITATION {"citationItems":[{"id":"ITEM-1","itemData":{"DOI":"10.1055/s-0034-1371006","ISSN":"10988971","PMID":"24782254","abstract":"Presently, interferon- (IFN-) containing treatment regimens are the standard of care for patients with hepatitis C virus (HCV) infections. Although this therapy eliminates the virus in a substantial proportion of patients, it has numerous side effects and contraindications. Recent approval of telaprevir and boceprevir, targeting the protease residing in nonstructural protein 3 (NS3) of the HCV genome, increased therapy success when given in combination with pegylated IFN and ribavirin, but side effects are more frequent and the management of treatment is complex. This situation will change soon with the introduction of new highly potent direct-acting antivirals. They target, in addition to the NS3 protease, NS5A, which is required for RNA replication and virion assembly and the NS5B RNA-dependent RNA polymerase. Moreover, host-cell factors such as cyclophilin A or microRNA-122, essential for HCV replication, have been pursued as therapeutic targets. In this review, the authors briefly summarize the main features of viral and cellular factors involved in HCV replication that are utilized as therapy targets for chronic hepatitis C. © 2014 by Thieme Medical Publishers, Inc.","author":[{"dropping-particle":"","family":"Rupp","given":"Daniel","non-dropping-particle":"","parse-names":false,"suffix":""},{"dropping-particle":"","family":"Bartenschlager","given":"Ralf","non-dropping-particle":"","parse-names":false,"suffix":""}],"container-title":"Seminars in Liver Disease","id":"ITEM-1","issue":"1","issued":{"date-parts":[["2014"]]},"page":"9-21","publisher":"Thieme Medical Publishers, Inc.","title":"Targets for antiviral therapy of hepatitis C","type":"article-journal","volume":"34"},"uris":["http://www.mendeley.com/documents/?uuid=545bae31-4382-32cf-83f6-b0514fa0fa7d"]}],"mendeley":{"formattedCitation":"[154]","plainTextFormattedCitation":"[154]","previouslyFormattedCitation":"[154]"},"properties":{"noteIndex":0},"schema":"https://github.com/citation-style-language/schema/raw/master/csl-citation.json"}</w:instrText>
      </w:r>
      <w:r>
        <w:fldChar w:fldCharType="separate"/>
      </w:r>
      <w:r w:rsidR="009749DB" w:rsidRPr="009749DB">
        <w:rPr>
          <w:noProof/>
        </w:rPr>
        <w:t>[154]</w:t>
      </w:r>
      <w:r>
        <w:fldChar w:fldCharType="end"/>
      </w:r>
      <w:r w:rsidRPr="00E71F5D">
        <w:t xml:space="preserve">. </w:t>
      </w:r>
      <w:r w:rsidRPr="00A2796B">
        <w:t xml:space="preserve">ВОЗ рекомендует использовать </w:t>
      </w:r>
      <w:r w:rsidRPr="00A2796B">
        <w:rPr>
          <w:bCs/>
        </w:rPr>
        <w:t>пангенотипные</w:t>
      </w:r>
      <w:r w:rsidRPr="00A2796B">
        <w:t xml:space="preserve"> комбинации </w:t>
      </w:r>
      <w:r>
        <w:t>противовирусных препаратов прямого действия</w:t>
      </w:r>
      <w:r w:rsidRPr="00A2796B">
        <w:rPr>
          <w:bCs/>
        </w:rPr>
        <w:t xml:space="preserve">: </w:t>
      </w:r>
    </w:p>
    <w:p w14:paraId="0E485F88" w14:textId="77777777" w:rsidR="007F7B87" w:rsidRPr="00A2796B" w:rsidRDefault="007F7B87" w:rsidP="007F7B87">
      <w:pPr>
        <w:numPr>
          <w:ilvl w:val="0"/>
          <w:numId w:val="84"/>
        </w:numPr>
        <w:autoSpaceDE w:val="0"/>
        <w:autoSpaceDN w:val="0"/>
        <w:adjustRightInd w:val="0"/>
      </w:pPr>
      <w:r w:rsidRPr="00A2796B">
        <w:t xml:space="preserve">софосбувир/велпатасвир, 12 недель, </w:t>
      </w:r>
    </w:p>
    <w:p w14:paraId="0985AFF0" w14:textId="77777777" w:rsidR="007F7B87" w:rsidRPr="00A2796B" w:rsidRDefault="007F7B87" w:rsidP="007F7B87">
      <w:pPr>
        <w:numPr>
          <w:ilvl w:val="0"/>
          <w:numId w:val="84"/>
        </w:numPr>
        <w:autoSpaceDE w:val="0"/>
        <w:autoSpaceDN w:val="0"/>
        <w:adjustRightInd w:val="0"/>
      </w:pPr>
      <w:r w:rsidRPr="00A2796B">
        <w:rPr>
          <w:lang w:val="en-US"/>
        </w:rPr>
        <w:t>c</w:t>
      </w:r>
      <w:r w:rsidRPr="00A2796B">
        <w:t xml:space="preserve">офосбувир/даклатасвир, 12 недель, </w:t>
      </w:r>
    </w:p>
    <w:p w14:paraId="68BB4142" w14:textId="77777777" w:rsidR="007F7B87" w:rsidRPr="00A2796B" w:rsidRDefault="007F7B87" w:rsidP="007F7B87">
      <w:pPr>
        <w:numPr>
          <w:ilvl w:val="0"/>
          <w:numId w:val="84"/>
        </w:numPr>
        <w:autoSpaceDE w:val="0"/>
        <w:autoSpaceDN w:val="0"/>
        <w:adjustRightInd w:val="0"/>
      </w:pPr>
      <w:r w:rsidRPr="00A2796B">
        <w:t xml:space="preserve">глекапревир/пибрентасвир, 8 – 16 недель. </w:t>
      </w:r>
    </w:p>
    <w:p w14:paraId="72C36E38" w14:textId="77777777" w:rsidR="007F7B87" w:rsidRDefault="007F7B87" w:rsidP="007F7B87">
      <w:pPr>
        <w:rPr>
          <w:b/>
          <w:szCs w:val="28"/>
        </w:rPr>
      </w:pPr>
    </w:p>
    <w:p w14:paraId="4E68541A" w14:textId="77777777" w:rsidR="007F7B87" w:rsidRPr="00D20B00" w:rsidRDefault="007F7B87" w:rsidP="007F7B87">
      <w:pPr>
        <w:rPr>
          <w:bCs/>
          <w:i/>
          <w:iCs/>
          <w:sz w:val="22"/>
          <w:u w:val="single"/>
        </w:rPr>
      </w:pPr>
      <w:r w:rsidRPr="00D20B00">
        <w:rPr>
          <w:bCs/>
          <w:i/>
          <w:iCs/>
          <w:szCs w:val="28"/>
          <w:u w:val="single"/>
        </w:rPr>
        <w:t>Алгоритм действий врача</w:t>
      </w:r>
    </w:p>
    <w:p w14:paraId="136F49BB" w14:textId="77777777" w:rsidR="007F7B87" w:rsidRDefault="007F7B87" w:rsidP="009749DB">
      <w:pPr>
        <w:ind w:firstLine="709"/>
        <w:rPr>
          <w:szCs w:val="28"/>
        </w:rPr>
      </w:pPr>
      <w:r>
        <w:rPr>
          <w:noProof/>
        </w:rPr>
        <w:t xml:space="preserve">Врач-гематолог назначает лабораторное обследование на наличие маркеров гемотрансмиссивных инфекций согласно выше приведенному </w:t>
      </w:r>
      <w:r w:rsidRPr="00700883">
        <w:rPr>
          <w:noProof/>
        </w:rPr>
        <w:t>«</w:t>
      </w:r>
      <w:r w:rsidRPr="00700883">
        <w:rPr>
          <w:szCs w:val="28"/>
        </w:rPr>
        <w:t>Протоколу обследования образцов крови пациентов на инфекционные маркеры».</w:t>
      </w:r>
    </w:p>
    <w:p w14:paraId="2F6C4E12" w14:textId="77777777" w:rsidR="007F7B87" w:rsidRPr="00E71F5D" w:rsidRDefault="007F7B87" w:rsidP="009749DB">
      <w:pPr>
        <w:ind w:firstLine="709"/>
        <w:rPr>
          <w:noProof/>
        </w:rPr>
      </w:pPr>
      <w:r>
        <w:rPr>
          <w:szCs w:val="28"/>
        </w:rPr>
        <w:t xml:space="preserve">В случае выявления </w:t>
      </w:r>
      <w:r>
        <w:rPr>
          <w:noProof/>
        </w:rPr>
        <w:t>маркеров гемотрансмиссивных инфекций пациента напрвляют на консультацию к врачу-инфекцианисту.</w:t>
      </w:r>
    </w:p>
    <w:p w14:paraId="72D808CB" w14:textId="77777777" w:rsidR="002B5243" w:rsidRPr="009B18E5" w:rsidRDefault="002B5243" w:rsidP="002B5243">
      <w:pPr>
        <w:pStyle w:val="2"/>
        <w:spacing w:before="0"/>
      </w:pPr>
    </w:p>
    <w:p w14:paraId="4693BB28" w14:textId="51863C6E" w:rsidR="004957E5" w:rsidRDefault="009749DB" w:rsidP="004957E5">
      <w:pPr>
        <w:pStyle w:val="2"/>
        <w:spacing w:before="0"/>
      </w:pPr>
      <w:bookmarkStart w:id="76" w:name="_Toc66096847"/>
      <w:r w:rsidRPr="000322E4">
        <w:t>7.</w:t>
      </w:r>
      <w:r>
        <w:t xml:space="preserve">13 </w:t>
      </w:r>
      <w:bookmarkStart w:id="77" w:name="_Toc57985408"/>
      <w:bookmarkStart w:id="78" w:name="_Toc64295959"/>
      <w:r w:rsidR="004957E5" w:rsidRPr="00761653">
        <w:t xml:space="preserve">Диагностика и лечение </w:t>
      </w:r>
      <w:r w:rsidR="004957E5">
        <w:t xml:space="preserve">бактериальных </w:t>
      </w:r>
      <w:r w:rsidR="004957E5" w:rsidRPr="00761653">
        <w:t>инфекционных осложнений</w:t>
      </w:r>
      <w:bookmarkEnd w:id="76"/>
      <w:bookmarkEnd w:id="77"/>
      <w:bookmarkEnd w:id="78"/>
    </w:p>
    <w:p w14:paraId="2C7FD802" w14:textId="07BE0ECC" w:rsidR="004957E5" w:rsidRDefault="004957E5" w:rsidP="004957E5">
      <w:pPr>
        <w:ind w:firstLine="709"/>
        <w:contextualSpacing/>
      </w:pPr>
      <w:r w:rsidRPr="00761653">
        <w:t xml:space="preserve">Инфекции являются ведущими осложнениями при лечении заболеваний системы крови. Наиболее высокая частота определяется у </w:t>
      </w:r>
      <w:r>
        <w:t>пациентов с</w:t>
      </w:r>
      <w:r w:rsidRPr="00761653">
        <w:t xml:space="preserve"> острыми лейкозами и у реципиентов аллогенного трансплантата стволовых гемопоэтических клеток (ТГСК), варьирует от 30 до 90%. </w:t>
      </w:r>
      <w:r>
        <w:t>Так, у</w:t>
      </w:r>
      <w:r w:rsidRPr="00761653">
        <w:t xml:space="preserve"> </w:t>
      </w:r>
      <w:r>
        <w:t>пациентов с</w:t>
      </w:r>
      <w:r w:rsidRPr="00761653">
        <w:t xml:space="preserve"> острыми миелоидными лейкозами инфекционные осложнения составляют 80-90% на этап</w:t>
      </w:r>
      <w:r>
        <w:t>ах</w:t>
      </w:r>
      <w:r w:rsidRPr="00761653">
        <w:t xml:space="preserve"> индукции</w:t>
      </w:r>
      <w:r>
        <w:t xml:space="preserve"> и</w:t>
      </w:r>
      <w:r w:rsidRPr="00761653">
        <w:t xml:space="preserve"> консолидации</w:t>
      </w:r>
      <w:r>
        <w:t xml:space="preserve"> ремиссии</w:t>
      </w:r>
      <w:r w:rsidRPr="00761653">
        <w:t xml:space="preserve">; у </w:t>
      </w:r>
      <w:r>
        <w:t>пациентов</w:t>
      </w:r>
      <w:r w:rsidRPr="00761653">
        <w:t xml:space="preserve">острыми лимфоидными лейкозами </w:t>
      </w:r>
      <w:r>
        <w:t xml:space="preserve">инфекции развиваются </w:t>
      </w:r>
      <w:r w:rsidRPr="00761653">
        <w:t xml:space="preserve">преимущественно </w:t>
      </w:r>
      <w:r>
        <w:t>на этапе</w:t>
      </w:r>
      <w:r w:rsidRPr="00761653">
        <w:t xml:space="preserve"> индукции </w:t>
      </w:r>
      <w:r>
        <w:t xml:space="preserve">ремиссии </w:t>
      </w:r>
      <w:r w:rsidRPr="00761653">
        <w:t xml:space="preserve">(55%), реже – в </w:t>
      </w:r>
      <w:r>
        <w:t xml:space="preserve">период </w:t>
      </w:r>
      <w:r w:rsidRPr="00761653">
        <w:t xml:space="preserve">консолидации </w:t>
      </w:r>
      <w:r>
        <w:t xml:space="preserve">ремиссии </w:t>
      </w:r>
      <w:r w:rsidRPr="00761653">
        <w:t xml:space="preserve">(10%), у реципиентов аллогенных ТГСК </w:t>
      </w:r>
      <w:r>
        <w:t xml:space="preserve">– </w:t>
      </w:r>
      <w:r w:rsidRPr="00761653">
        <w:t>в период гранулоцитопении на этапе приживления гемопоэтических клеток (40-70%) и при развитии реакции “трансплантат против хозяина” (10-70%)</w:t>
      </w:r>
      <w:r>
        <w:t xml:space="preserve"> </w:t>
      </w:r>
      <w:r>
        <w:fldChar w:fldCharType="begin" w:fldLock="1"/>
      </w:r>
      <w:r w:rsidR="00D25525">
        <w:instrText>ADDIN CSL_CITATION {"citationItems":[{"id":"ITEM-1","itemData":{"author":[{"dropping-particle":"","family":"Охмат","given":"В.А.","non-dropping-particle":"","parse-names":false,"suffix":""},{"dropping-particle":"","family":"Клясова","given":"Г.А.","non-dropping-particle":"","parse-names":false,"suffix":""},{"dropping-particle":"","family":"Паровичникова","given":"Е.Н.","non-dropping-particle":"","parse-names":false,"suffix":""},{"dropping-particle":"","family":"Троицкая","given":"В.В.","non-dropping-particle":"","parse-names":false,"suffix":""},{"dropping-particle":"","family":"Грибанова","given":"Е.О.","non-dropping-particle":"","parse-names":false,"suffix":""},{"dropping-particle":"","family":"Мальчикова","given":"А.О.","non-dropping-particle":"","parse-names":false,"suffix":""}],"container-title":"Гематология и трансфузиология","id":"ITEM-1","issue":"1","issued":{"date-parts":[["2017"]]},"page":"9-15","title":"Спектр и этиология инфекционных осложнений у больных острыми миелоидными лейкозами на этапах индукции и консолидации ремиссии","type":"article-journal","volume":"62"},"uris":["http://www.mendeley.com/documents/?uuid=670c7c5c-e2e4-48d9-8249-1d0418a53840"]},{"id":"ITEM-2","itemData":{"author":[{"dropping-particle":"","family":"Охмат","given":"В.А.","non-dropping-particle":"","parse-names":false,"suffix":""},{"dropping-particle":"","family":"Клясова","given":"Г.А.","non-dropping-particle":"","parse-names":false,"suffix":""},{"dropping-particle":"","family":"Паровичникова","given":"Е.Н.","non-dropping-particle":"","parse-names":false,"suffix":""},{"dropping-particle":"","family":"Троицкая","given":"В.В.","non-dropping-particle":"","parse-names":false,"suffix":""},{"dropping-particle":"","family":"Грибанова","given":"Е.О.","non-dropping-particle":"","parse-names":false,"suffix":""},{"dropping-particle":"","family":"Мальчикова","given":"А.О.","non-dropping-particle":"","parse-names":false,"suffix":""},{"dropping-particle":"","family":"Коробова","given":"А.Г.","non-dropping-particle":"","parse-names":false,"suffix":""},{"dropping-particle":"","family":"Фролова","given":"И.Н.","non-dropping-particle":"","parse-names":false,"suffix":""},{"dropping-particle":"","family":"Савченко","given":"В.Г.","non-dropping-particle":"","parse-names":false,"suffix":""}],"container-title":"Онкогематология","id":"ITEM-2","issue":"3","issued":{"date-parts":[["2017"]]},"page":"31-40","title":"Инфекционные осложнения у взрослых больных острыми лимфобластными лейкозами на разных этапах химиотерапии по протоколу ОЛЛ-2009.","type":"article-journal","volume":"12"},"uris":["http://www.mendeley.com/documents/?uuid=810418fa-d337-48c2-843d-da3d3f2ec2c8"]}],"mendeley":{"formattedCitation":"[155,156]","plainTextFormattedCitation":"[155,156]","previouslyFormattedCitation":"[155,156]"},"properties":{"noteIndex":0},"schema":"https://github.com/citation-style-language/schema/raw/master/csl-citation.json"}</w:instrText>
      </w:r>
      <w:r>
        <w:fldChar w:fldCharType="separate"/>
      </w:r>
      <w:r w:rsidR="007466F7" w:rsidRPr="007466F7">
        <w:rPr>
          <w:noProof/>
        </w:rPr>
        <w:t>[155,156]</w:t>
      </w:r>
      <w:r>
        <w:fldChar w:fldCharType="end"/>
      </w:r>
      <w:r w:rsidRPr="00761653">
        <w:t xml:space="preserve">. У других категорий </w:t>
      </w:r>
      <w:r>
        <w:t>пациентов</w:t>
      </w:r>
      <w:r w:rsidRPr="00761653">
        <w:t xml:space="preserve"> </w:t>
      </w:r>
      <w:r>
        <w:t xml:space="preserve">с лейкозами и лимфомами </w:t>
      </w:r>
      <w:r w:rsidRPr="00761653">
        <w:t xml:space="preserve">частота инфекционных осложнений варьирует от 10 до 30%, </w:t>
      </w:r>
      <w:r>
        <w:t xml:space="preserve">она </w:t>
      </w:r>
      <w:r w:rsidRPr="00761653">
        <w:t xml:space="preserve">выше в </w:t>
      </w:r>
      <w:r>
        <w:t xml:space="preserve">период </w:t>
      </w:r>
      <w:r w:rsidRPr="00761653">
        <w:t>индукции</w:t>
      </w:r>
      <w:r>
        <w:t xml:space="preserve"> ремиссии</w:t>
      </w:r>
      <w:r w:rsidRPr="00761653">
        <w:t>, при резистентном варианте опухоли, при высокодозной химиотерапии</w:t>
      </w:r>
      <w:r>
        <w:t xml:space="preserve">, </w:t>
      </w:r>
      <w:r w:rsidRPr="0076198F">
        <w:t>при сопуствующей гипогаммаглобулинемии, в период вынужденной гиподинамии и постоянного постельного режима</w:t>
      </w:r>
      <w:r w:rsidRPr="00761653">
        <w:t xml:space="preserve">.  </w:t>
      </w:r>
    </w:p>
    <w:p w14:paraId="3F8E7C79" w14:textId="77777777" w:rsidR="004957E5" w:rsidRPr="00761653" w:rsidRDefault="004957E5" w:rsidP="004957E5">
      <w:pPr>
        <w:ind w:firstLine="709"/>
      </w:pPr>
      <w:r w:rsidRPr="00761653">
        <w:t xml:space="preserve">Инфекционные осложнения у </w:t>
      </w:r>
      <w:r>
        <w:t>пациентов</w:t>
      </w:r>
      <w:r w:rsidRPr="00761653">
        <w:t xml:space="preserve"> с </w:t>
      </w:r>
      <w:r>
        <w:t>лимфомами</w:t>
      </w:r>
      <w:r w:rsidRPr="00761653">
        <w:t xml:space="preserve"> характеризуются разнообразием как по этиологии, так и по локализации инфекционного процесса. </w:t>
      </w:r>
      <w:r>
        <w:t xml:space="preserve">Ниже </w:t>
      </w:r>
      <w:r w:rsidRPr="00761653">
        <w:t xml:space="preserve">представлен комплекс лабораторных исследований для диагностики инфекционных осложнений, а также подходы к их терапии, которые отличаются </w:t>
      </w:r>
      <w:r>
        <w:t>в зависимости от наличия/отсутствия</w:t>
      </w:r>
      <w:r w:rsidRPr="00761653">
        <w:t xml:space="preserve"> нейтропении.</w:t>
      </w:r>
    </w:p>
    <w:p w14:paraId="584A0D31" w14:textId="77777777" w:rsidR="004957E5" w:rsidRDefault="004957E5" w:rsidP="004957E5">
      <w:pPr>
        <w:widowControl w:val="0"/>
        <w:autoSpaceDE w:val="0"/>
        <w:autoSpaceDN w:val="0"/>
        <w:adjustRightInd w:val="0"/>
        <w:ind w:right="49" w:firstLine="709"/>
        <w:contextualSpacing/>
      </w:pPr>
      <w:r w:rsidRPr="00761653">
        <w:lastRenderedPageBreak/>
        <w:t xml:space="preserve">Основным фактором, определяющим развитие инфекционных осложнений у </w:t>
      </w:r>
      <w:r>
        <w:t xml:space="preserve">гематологических пациентов, </w:t>
      </w:r>
      <w:r w:rsidRPr="00761653">
        <w:t>является нейтропения (нейтрофил</w:t>
      </w:r>
      <w:r>
        <w:t>ы</w:t>
      </w:r>
      <w:r w:rsidRPr="00761653">
        <w:t xml:space="preserve"> &lt;</w:t>
      </w:r>
      <w:r>
        <w:t xml:space="preserve"> </w:t>
      </w:r>
      <w:r w:rsidRPr="00761653">
        <w:t>0,5</w:t>
      </w:r>
      <w:r>
        <w:t> </w:t>
      </w:r>
      <w:r w:rsidRPr="00761653">
        <w:t>х</w:t>
      </w:r>
      <w:r>
        <w:t> </w:t>
      </w:r>
      <w:r w:rsidRPr="00761653">
        <w:t>10</w:t>
      </w:r>
      <w:r w:rsidRPr="00761653">
        <w:rPr>
          <w:vertAlign w:val="superscript"/>
        </w:rPr>
        <w:t>9</w:t>
      </w:r>
      <w:r w:rsidRPr="00761653">
        <w:t>/л) или лейкопения (лейкоцит</w:t>
      </w:r>
      <w:r>
        <w:t>ы</w:t>
      </w:r>
      <w:r w:rsidRPr="00761653">
        <w:t xml:space="preserve"> ≤ 1</w:t>
      </w:r>
      <w:r>
        <w:t> </w:t>
      </w:r>
      <w:r w:rsidRPr="00761653">
        <w:t>000</w:t>
      </w:r>
      <w:r>
        <w:t> </w:t>
      </w:r>
      <w:r w:rsidRPr="00761653">
        <w:t>х</w:t>
      </w:r>
      <w:r>
        <w:t> </w:t>
      </w:r>
      <w:r w:rsidRPr="00761653">
        <w:t>10</w:t>
      </w:r>
      <w:r w:rsidRPr="00761653">
        <w:rPr>
          <w:vertAlign w:val="superscript"/>
        </w:rPr>
        <w:t>9</w:t>
      </w:r>
      <w:r w:rsidRPr="00761653">
        <w:t>/л)</w:t>
      </w:r>
      <w:r>
        <w:t xml:space="preserve">, а также </w:t>
      </w:r>
      <w:r w:rsidRPr="00761653">
        <w:t>длительность</w:t>
      </w:r>
      <w:r>
        <w:t xml:space="preserve"> нейтропении –</w:t>
      </w:r>
      <w:r w:rsidRPr="00761653">
        <w:t xml:space="preserve"> </w:t>
      </w:r>
      <w:r>
        <w:t>ч</w:t>
      </w:r>
      <w:r w:rsidRPr="00761653">
        <w:t xml:space="preserve">астота инфекций существенно возрастает при длительности нейтропении </w:t>
      </w:r>
      <w:r>
        <w:t>более</w:t>
      </w:r>
      <w:r w:rsidRPr="00761653">
        <w:t xml:space="preserve"> 10 дней. Риск развития инфекций возрастает при нарушении фагоцитарной функции</w:t>
      </w:r>
      <w:r>
        <w:t xml:space="preserve"> нейтрофилов</w:t>
      </w:r>
      <w:r w:rsidRPr="00761653">
        <w:t>, при дефектах клеточного и гуморального иммунитета, повреждении слизистых оболочек желудочно-кишечного тракта</w:t>
      </w:r>
      <w:r>
        <w:t xml:space="preserve"> (</w:t>
      </w:r>
      <w:r w:rsidRPr="00761653">
        <w:t>особенно мукозитах III-IV степени</w:t>
      </w:r>
      <w:r>
        <w:t>)</w:t>
      </w:r>
      <w:r w:rsidRPr="00761653">
        <w:t>, наличии центрального венозного катетера (ЦВК). Источником развити</w:t>
      </w:r>
      <w:r>
        <w:t>я</w:t>
      </w:r>
      <w:r w:rsidRPr="00761653">
        <w:t xml:space="preserve"> инфекции, как правило, является желудочно-кишечный тракт, когда активно происходит транслокация микрооргани</w:t>
      </w:r>
      <w:r>
        <w:t>з</w:t>
      </w:r>
      <w:r w:rsidRPr="00761653">
        <w:t xml:space="preserve">мов со слизистой оболочки, поврежденной в результате химиотерапии. Другие </w:t>
      </w:r>
      <w:r>
        <w:t xml:space="preserve">основные </w:t>
      </w:r>
      <w:r w:rsidRPr="00761653">
        <w:t xml:space="preserve">входные ворота инфекции при нейтропении – ЦВК. </w:t>
      </w:r>
    </w:p>
    <w:p w14:paraId="2BE8E579" w14:textId="77777777" w:rsidR="004957E5" w:rsidRDefault="004957E5" w:rsidP="004957E5">
      <w:pPr>
        <w:widowControl w:val="0"/>
        <w:autoSpaceDE w:val="0"/>
        <w:autoSpaceDN w:val="0"/>
        <w:adjustRightInd w:val="0"/>
        <w:ind w:right="49"/>
        <w:contextualSpacing/>
        <w:rPr>
          <w:b/>
        </w:rPr>
      </w:pPr>
    </w:p>
    <w:p w14:paraId="20B8102D" w14:textId="77777777" w:rsidR="004957E5" w:rsidRPr="005A451C" w:rsidRDefault="004957E5" w:rsidP="004957E5">
      <w:pPr>
        <w:widowControl w:val="0"/>
        <w:autoSpaceDE w:val="0"/>
        <w:autoSpaceDN w:val="0"/>
        <w:adjustRightInd w:val="0"/>
        <w:ind w:right="49"/>
        <w:contextualSpacing/>
        <w:rPr>
          <w:bCs/>
          <w:i/>
          <w:iCs/>
          <w:u w:val="single"/>
        </w:rPr>
      </w:pPr>
      <w:r w:rsidRPr="005A451C">
        <w:rPr>
          <w:bCs/>
          <w:i/>
          <w:iCs/>
          <w:u w:val="single"/>
        </w:rPr>
        <w:t>Этиология инфекционных осложнений</w:t>
      </w:r>
    </w:p>
    <w:p w14:paraId="5051512F" w14:textId="1C62F5EF" w:rsidR="004957E5" w:rsidRPr="00761653" w:rsidRDefault="004957E5" w:rsidP="004957E5">
      <w:pPr>
        <w:widowControl w:val="0"/>
        <w:autoSpaceDE w:val="0"/>
        <w:autoSpaceDN w:val="0"/>
        <w:adjustRightInd w:val="0"/>
        <w:ind w:right="49" w:firstLine="709"/>
        <w:contextualSpacing/>
      </w:pPr>
      <w:r w:rsidRPr="00761653">
        <w:t xml:space="preserve">Этиологическая структура возбудителей у </w:t>
      </w:r>
      <w:r>
        <w:t>гематологических пациентов, в том числе, пациентов с лимфомами, разнообразна</w:t>
      </w:r>
      <w:r w:rsidRPr="00761653">
        <w:t xml:space="preserve"> и включает бактерии, грибы (дрожжевые и плесневые), герпесвирусы. В первые 7-10 дней инфекционный процесс, как правило, бывает обусловлен бактериями, а по мере удлинения нейтропении возрастает риск возникновения инвазивного аспергиллеза</w:t>
      </w:r>
      <w:r>
        <w:t xml:space="preserve"> </w:t>
      </w:r>
      <w:r>
        <w:fldChar w:fldCharType="begin" w:fldLock="1"/>
      </w:r>
      <w:r w:rsidR="00D25525">
        <w:instrText>ADDIN CSL_CITATION {"citationItems":[{"id":"ITEM-1","itemData":{"author":[{"dropping-particle":"","family":"Охмат","given":"В.А.","non-dropping-particle":"","parse-names":false,"suffix":""},{"dropping-particle":"","family":"Клясова","given":"Г.А.","non-dropping-particle":"","parse-names":false,"suffix":""},{"dropping-particle":"","family":"Паровичникова","given":"Е.Н.","non-dropping-particle":"","parse-names":false,"suffix":""},{"dropping-particle":"","family":"Троицкая","given":"В.В.","non-dropping-particle":"","parse-names":false,"suffix":""},{"dropping-particle":"","family":"Грибанова","given":"Е.О.","non-dropping-particle":"","parse-names":false,"suffix":""},{"dropping-particle":"","family":"Мальчикова","given":"А.О.","non-dropping-particle":"","parse-names":false,"suffix":""}],"container-title":"Гематология и трансфузиология","id":"ITEM-1","issue":"1","issued":{"date-parts":[["2017"]]},"page":"9-15","title":"Спектр и этиология инфекционных осложнений у больных острыми миелоидными лейкозами на этапах индукции и консолидации ремиссии","type":"article-journal","volume":"62"},"uris":["http://www.mendeley.com/documents/?uuid=670c7c5c-e2e4-48d9-8249-1d0418a53840"]}],"mendeley":{"formattedCitation":"[155]","plainTextFormattedCitation":"[155]","previouslyFormattedCitation":"[155]"},"properties":{"noteIndex":0},"schema":"https://github.com/citation-style-language/schema/raw/master/csl-citation.json"}</w:instrText>
      </w:r>
      <w:r>
        <w:fldChar w:fldCharType="separate"/>
      </w:r>
      <w:r w:rsidR="007466F7" w:rsidRPr="007466F7">
        <w:rPr>
          <w:noProof/>
        </w:rPr>
        <w:t>[155]</w:t>
      </w:r>
      <w:r>
        <w:fldChar w:fldCharType="end"/>
      </w:r>
      <w:r w:rsidRPr="00761653">
        <w:t>. В этиологии инфекций кровотока на долю грамотрицательных бактерий приходится 49,7%, грамположительных бактерий - 42,7%, дрожжеподобных грибов – 7,4%</w:t>
      </w:r>
      <w:r>
        <w:t xml:space="preserve"> </w:t>
      </w:r>
      <w:r>
        <w:fldChar w:fldCharType="begin" w:fldLock="1"/>
      </w:r>
      <w:r w:rsidR="00D25525">
        <w:instrText>ADDIN CSL_CITATION {"citationItems":[{"id":"ITEM-1","itemData":{"author":[{"dropping-particle":"","family":"Клясова","given":"Г.А.","non-dropping-particle":"","parse-names":false,"suffix":""},{"dropping-particle":"","family":"Сперанская","given":"Л.Л.","non-dropping-particle":"","parse-names":false,"suffix":""},{"dropping-particle":"","family":"Миронова","given":"А.В.","non-dropping-particle":"","parse-names":false,"suffix":""},{"dropping-particle":"","family":"Масчан","given":"М.А.","non-dropping-particle":"","parse-names":false,"suffix":""},{"dropping-particle":"","family":"Байдильдина","given":"Д.Д.","non-dropping-particle":"","parse-names":false,"suffix":""},{"dropping-particle":"","family":"Верещагина","given":"С.А.","non-dropping-particle":"","parse-names":false,"suffix":""}],"container-title":"Гематология и трансфузиология","id":"ITEM-1","issue":"1","issued":{"date-parts":[["2007"]]},"page":"11-18","title":"Возбудители сепсиса у иммунокомпрометированных больных: структура и проблемы антибиотикорезистентности (результаты многоцентрового исследования)","type":"article-journal","volume":"52"},"uris":["http://www.mendeley.com/documents/?uuid=a67a3b5b-694b-4305-ae30-c4295284ead1"]}],"mendeley":{"formattedCitation":"[157]","plainTextFormattedCitation":"[157]","previouslyFormattedCitation":"[157]"},"properties":{"noteIndex":0},"schema":"https://github.com/citation-style-language/schema/raw/master/csl-citation.json"}</w:instrText>
      </w:r>
      <w:r>
        <w:fldChar w:fldCharType="separate"/>
      </w:r>
      <w:r w:rsidR="007466F7" w:rsidRPr="007466F7">
        <w:rPr>
          <w:noProof/>
        </w:rPr>
        <w:t>[157]</w:t>
      </w:r>
      <w:r>
        <w:fldChar w:fldCharType="end"/>
      </w:r>
      <w:r w:rsidRPr="00761653">
        <w:t xml:space="preserve">. Основными возбудителями сепсиса являются </w:t>
      </w:r>
      <w:r w:rsidRPr="00761653">
        <w:rPr>
          <w:i/>
          <w:iCs/>
        </w:rPr>
        <w:t>Escherichia coli</w:t>
      </w:r>
      <w:r w:rsidRPr="00761653">
        <w:t xml:space="preserve"> (17,8%), коагулазонегативные стафилококки (17,4%), </w:t>
      </w:r>
      <w:r w:rsidRPr="00761653">
        <w:rPr>
          <w:i/>
          <w:iCs/>
        </w:rPr>
        <w:t>Enterococcus</w:t>
      </w:r>
      <w:r w:rsidRPr="00761653">
        <w:t xml:space="preserve"> spp. (10,3%), </w:t>
      </w:r>
      <w:r w:rsidRPr="00761653">
        <w:rPr>
          <w:i/>
          <w:iCs/>
        </w:rPr>
        <w:t>Pseudomonas aeruginosa</w:t>
      </w:r>
      <w:r w:rsidRPr="00761653">
        <w:t xml:space="preserve"> (7,6%), </w:t>
      </w:r>
      <w:r w:rsidRPr="00761653">
        <w:rPr>
          <w:i/>
          <w:iCs/>
        </w:rPr>
        <w:t>Klebsiella pneumoniae</w:t>
      </w:r>
      <w:r w:rsidRPr="00761653">
        <w:t xml:space="preserve"> (8,2%). В последние годы увеличилась детекция </w:t>
      </w:r>
      <w:r w:rsidRPr="00761653">
        <w:rPr>
          <w:i/>
          <w:iCs/>
        </w:rPr>
        <w:t>Acinetobacte</w:t>
      </w:r>
      <w:r w:rsidRPr="00761653">
        <w:rPr>
          <w:i/>
        </w:rPr>
        <w:t>r</w:t>
      </w:r>
      <w:r w:rsidRPr="00761653">
        <w:t xml:space="preserve"> spp. и </w:t>
      </w:r>
      <w:r w:rsidRPr="00761653">
        <w:rPr>
          <w:i/>
          <w:iCs/>
        </w:rPr>
        <w:t>Stenotrophomonas maltophilia</w:t>
      </w:r>
      <w:r w:rsidRPr="00761653">
        <w:t xml:space="preserve">, и они входят в число пяти ведущих грамотрицательных бактерий при инфекциях кровотока после </w:t>
      </w:r>
      <w:r w:rsidRPr="00761653">
        <w:rPr>
          <w:i/>
          <w:iCs/>
        </w:rPr>
        <w:t>E.coli</w:t>
      </w:r>
      <w:r w:rsidRPr="00761653">
        <w:t xml:space="preserve">, </w:t>
      </w:r>
      <w:r w:rsidRPr="00761653">
        <w:rPr>
          <w:i/>
          <w:iCs/>
        </w:rPr>
        <w:t>K. pneumoniae, P.aeruginosa</w:t>
      </w:r>
      <w:r w:rsidRPr="00761653">
        <w:t>.</w:t>
      </w:r>
    </w:p>
    <w:p w14:paraId="5AA452D0" w14:textId="10051D89" w:rsidR="004957E5" w:rsidRPr="00761653" w:rsidRDefault="004957E5" w:rsidP="004957E5">
      <w:pPr>
        <w:widowControl w:val="0"/>
        <w:autoSpaceDE w:val="0"/>
        <w:autoSpaceDN w:val="0"/>
        <w:adjustRightInd w:val="0"/>
        <w:ind w:right="49" w:firstLine="709"/>
        <w:contextualSpacing/>
      </w:pPr>
      <w:r w:rsidRPr="00761653">
        <w:t>Основными механизмами устойчивости у энтеробактерий являются продукция бета-лактамаз расширенного спектра (БЛРС</w:t>
      </w:r>
      <w:r>
        <w:t>) –</w:t>
      </w:r>
      <w:r w:rsidRPr="00761653">
        <w:t xml:space="preserve"> </w:t>
      </w:r>
      <w:r>
        <w:t xml:space="preserve">в </w:t>
      </w:r>
      <w:r w:rsidRPr="00761653">
        <w:t xml:space="preserve">40-50% </w:t>
      </w:r>
      <w:r>
        <w:t xml:space="preserve">случаев, </w:t>
      </w:r>
      <w:r w:rsidRPr="00761653">
        <w:t xml:space="preserve">и детекция карбапенемаз, преимущественно у </w:t>
      </w:r>
      <w:r w:rsidRPr="00761653">
        <w:rPr>
          <w:i/>
        </w:rPr>
        <w:t xml:space="preserve">K. pneumoniae </w:t>
      </w:r>
      <w:r w:rsidRPr="00761653">
        <w:t xml:space="preserve">(10-30%). Устойчивость </w:t>
      </w:r>
      <w:r w:rsidRPr="00761653">
        <w:rPr>
          <w:i/>
        </w:rPr>
        <w:t>P. aerugino</w:t>
      </w:r>
      <w:r w:rsidRPr="00761653">
        <w:t xml:space="preserve">sa составляет к карбапенемам и колистину 40-50% и 29%, соответственно, шатммов </w:t>
      </w:r>
      <w:r w:rsidRPr="00761653">
        <w:rPr>
          <w:i/>
        </w:rPr>
        <w:t>Acinetobacter baumannii</w:t>
      </w:r>
      <w:r w:rsidRPr="00761653">
        <w:t xml:space="preserve"> к карбапенемам - 65-70%</w:t>
      </w:r>
      <w:r>
        <w:t xml:space="preserve"> </w:t>
      </w:r>
      <w:r>
        <w:fldChar w:fldCharType="begin" w:fldLock="1"/>
      </w:r>
      <w:r w:rsidR="00D25525">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mendeley":{"formattedCitation":"[158]","plainTextFormattedCitation":"[158]","previouslyFormattedCitation":"[158]"},"properties":{"noteIndex":0},"schema":"https://github.com/citation-style-language/schema/raw/master/csl-citation.json"}</w:instrText>
      </w:r>
      <w:r>
        <w:fldChar w:fldCharType="separate"/>
      </w:r>
      <w:r w:rsidR="007466F7" w:rsidRPr="007466F7">
        <w:rPr>
          <w:noProof/>
        </w:rPr>
        <w:t>[158]</w:t>
      </w:r>
      <w:r>
        <w:fldChar w:fldCharType="end"/>
      </w:r>
      <w:r w:rsidRPr="00761653">
        <w:t xml:space="preserve">. Среди грамположительных бактерий отмечена устойчивость </w:t>
      </w:r>
      <w:r w:rsidRPr="00761653">
        <w:rPr>
          <w:i/>
          <w:iCs/>
        </w:rPr>
        <w:t xml:space="preserve">Enterococcus faecium </w:t>
      </w:r>
      <w:r w:rsidRPr="00761653">
        <w:t xml:space="preserve">к ванкомицину (15%). Для грибов рода </w:t>
      </w:r>
      <w:r w:rsidRPr="00761653">
        <w:rPr>
          <w:i/>
        </w:rPr>
        <w:t>Candida</w:t>
      </w:r>
      <w:r w:rsidRPr="00761653">
        <w:t xml:space="preserve"> характерно снижение доли </w:t>
      </w:r>
      <w:r w:rsidRPr="00761653">
        <w:rPr>
          <w:i/>
        </w:rPr>
        <w:t>С. albicans</w:t>
      </w:r>
      <w:r w:rsidRPr="00761653">
        <w:t xml:space="preserve"> до 30% и широкое видовое разнообразие </w:t>
      </w:r>
      <w:r w:rsidRPr="00761653">
        <w:rPr>
          <w:i/>
          <w:iCs/>
        </w:rPr>
        <w:t>Candida</w:t>
      </w:r>
      <w:r w:rsidRPr="00761653">
        <w:t xml:space="preserve"> non-</w:t>
      </w:r>
      <w:r w:rsidRPr="00761653">
        <w:rPr>
          <w:i/>
          <w:iCs/>
        </w:rPr>
        <w:t>albicans</w:t>
      </w:r>
      <w:r>
        <w:rPr>
          <w:i/>
          <w:iCs/>
        </w:rPr>
        <w:t xml:space="preserve"> </w:t>
      </w:r>
      <w:r>
        <w:rPr>
          <w:i/>
          <w:iCs/>
        </w:rPr>
        <w:fldChar w:fldCharType="begin" w:fldLock="1"/>
      </w:r>
      <w:r w:rsidR="00D25525">
        <w:rPr>
          <w:i/>
          <w:iCs/>
        </w:rPr>
        <w:instrText>ADDIN CSL_CITATION {"citationItems":[{"id":"ITEM-1","itemData":{"author":[{"dropping-particle":"","family":"Клясова","given":"Г.А.","non-dropping-particle":"","parse-names":false,"suffix":""},{"dropping-particle":"","family":"Сперанская","given":"Л.Л.","non-dropping-particle":"","parse-names":false,"suffix":""},{"dropping-particle":"","family":"Миронова","given":"А.В.","non-dropping-particle":"","parse-names":false,"suffix":""},{"dropping-particle":"","family":"Масчан","given":"М.А.","non-dropping-particle":"","parse-names":false,"suffix":""},{"dropping-particle":"","family":"Байдильдина","given":"Д.Д.","non-dropping-particle":"","parse-names":false,"suffix":""},{"dropping-particle":"","family":"Верещагина","given":"С.А.","non-dropping-particle":"","parse-names":false,"suffix":""}],"container-title":"Гематология и трансфузиология","id":"ITEM-1","issue":"1","issued":{"date-parts":[["2007"]]},"page":"11-18","title":"Возбудители сепсиса у иммунокомпрометированных больных: структура и проблемы антибиотикорезистентности (результаты многоцентрового исследования)","type":"article-journal","volume":"52"},"uris":["http://www.mendeley.com/documents/?uuid=a67a3b5b-694b-4305-ae30-c4295284ead1"]}],"mendeley":{"formattedCitation":"[157]","plainTextFormattedCitation":"[157]","previouslyFormattedCitation":"[157]"},"properties":{"noteIndex":0},"schema":"https://github.com/citation-style-language/schema/raw/master/csl-citation.json"}</w:instrText>
      </w:r>
      <w:r>
        <w:rPr>
          <w:i/>
          <w:iCs/>
        </w:rPr>
        <w:fldChar w:fldCharType="separate"/>
      </w:r>
      <w:r w:rsidR="007466F7" w:rsidRPr="007466F7">
        <w:rPr>
          <w:iCs/>
          <w:noProof/>
        </w:rPr>
        <w:t>[157]</w:t>
      </w:r>
      <w:r>
        <w:rPr>
          <w:i/>
          <w:iCs/>
        </w:rPr>
        <w:fldChar w:fldCharType="end"/>
      </w:r>
      <w:r w:rsidRPr="00761653">
        <w:t>.</w:t>
      </w:r>
    </w:p>
    <w:p w14:paraId="6D09CE20" w14:textId="77777777" w:rsidR="004957E5" w:rsidRDefault="004957E5" w:rsidP="004957E5">
      <w:pPr>
        <w:widowControl w:val="0"/>
        <w:autoSpaceDE w:val="0"/>
        <w:autoSpaceDN w:val="0"/>
        <w:adjustRightInd w:val="0"/>
        <w:ind w:right="49"/>
        <w:contextualSpacing/>
        <w:rPr>
          <w:b/>
        </w:rPr>
      </w:pPr>
    </w:p>
    <w:p w14:paraId="2C35964A" w14:textId="77777777" w:rsidR="004957E5" w:rsidRPr="00CD4DE7" w:rsidRDefault="004957E5" w:rsidP="004957E5">
      <w:pPr>
        <w:widowControl w:val="0"/>
        <w:autoSpaceDE w:val="0"/>
        <w:autoSpaceDN w:val="0"/>
        <w:adjustRightInd w:val="0"/>
        <w:ind w:right="49"/>
        <w:contextualSpacing/>
        <w:rPr>
          <w:bCs/>
          <w:i/>
          <w:iCs/>
          <w:u w:val="single"/>
        </w:rPr>
      </w:pPr>
      <w:r w:rsidRPr="00CD4DE7">
        <w:rPr>
          <w:bCs/>
          <w:i/>
          <w:iCs/>
          <w:u w:val="single"/>
        </w:rPr>
        <w:t>Клинические проявления инфекций</w:t>
      </w:r>
    </w:p>
    <w:p w14:paraId="1ED367AE" w14:textId="77777777" w:rsidR="004957E5" w:rsidRDefault="004957E5" w:rsidP="0007729C">
      <w:pPr>
        <w:widowControl w:val="0"/>
        <w:autoSpaceDE w:val="0"/>
        <w:autoSpaceDN w:val="0"/>
        <w:adjustRightInd w:val="0"/>
        <w:ind w:right="49" w:firstLine="709"/>
        <w:contextualSpacing/>
      </w:pPr>
      <w:r w:rsidRPr="00761653">
        <w:lastRenderedPageBreak/>
        <w:t xml:space="preserve">Для инфекций периода нейтропении/лейкопении характерными признаками являются </w:t>
      </w:r>
    </w:p>
    <w:p w14:paraId="2F3D4D09" w14:textId="77777777" w:rsidR="004957E5" w:rsidRDefault="004957E5" w:rsidP="004957E5">
      <w:pPr>
        <w:pStyle w:val="afe"/>
        <w:widowControl w:val="0"/>
        <w:numPr>
          <w:ilvl w:val="0"/>
          <w:numId w:val="89"/>
        </w:numPr>
        <w:autoSpaceDE w:val="0"/>
        <w:autoSpaceDN w:val="0"/>
        <w:adjustRightInd w:val="0"/>
        <w:ind w:right="49"/>
      </w:pPr>
      <w:r w:rsidRPr="00940E71">
        <w:t xml:space="preserve">скудность </w:t>
      </w:r>
      <w:r>
        <w:t xml:space="preserve">клинических проявлений; </w:t>
      </w:r>
    </w:p>
    <w:p w14:paraId="5DC12F67" w14:textId="77777777" w:rsidR="004957E5" w:rsidRDefault="004957E5" w:rsidP="004957E5">
      <w:pPr>
        <w:pStyle w:val="afe"/>
        <w:widowControl w:val="0"/>
        <w:numPr>
          <w:ilvl w:val="0"/>
          <w:numId w:val="89"/>
        </w:numPr>
        <w:autoSpaceDE w:val="0"/>
        <w:autoSpaceDN w:val="0"/>
        <w:adjustRightInd w:val="0"/>
        <w:ind w:right="49"/>
      </w:pPr>
      <w:r w:rsidRPr="00940E71">
        <w:t>вероятность наличия одновременно разных возбудителей и разной локал</w:t>
      </w:r>
      <w:r>
        <w:t xml:space="preserve">изации инфекционного процесса; </w:t>
      </w:r>
    </w:p>
    <w:p w14:paraId="57447A27" w14:textId="77777777" w:rsidR="004957E5" w:rsidRPr="00940E71" w:rsidRDefault="004957E5" w:rsidP="004957E5">
      <w:pPr>
        <w:pStyle w:val="afe"/>
        <w:widowControl w:val="0"/>
        <w:numPr>
          <w:ilvl w:val="0"/>
          <w:numId w:val="89"/>
        </w:numPr>
        <w:autoSpaceDE w:val="0"/>
        <w:autoSpaceDN w:val="0"/>
        <w:adjustRightInd w:val="0"/>
        <w:ind w:right="49"/>
      </w:pPr>
      <w:r w:rsidRPr="00940E71">
        <w:t xml:space="preserve">возможность появления других возбудителей и другого по локализации инфекционного процесса по мере удлинения </w:t>
      </w:r>
      <w:r>
        <w:t xml:space="preserve">периода </w:t>
      </w:r>
      <w:r w:rsidRPr="00940E71">
        <w:t xml:space="preserve">нейтропении. </w:t>
      </w:r>
    </w:p>
    <w:p w14:paraId="790F0E0B" w14:textId="77777777" w:rsidR="004957E5" w:rsidRPr="00761653" w:rsidRDefault="004957E5" w:rsidP="0007729C">
      <w:pPr>
        <w:widowControl w:val="0"/>
        <w:autoSpaceDE w:val="0"/>
        <w:autoSpaceDN w:val="0"/>
        <w:adjustRightInd w:val="0"/>
        <w:ind w:right="49" w:firstLine="709"/>
        <w:contextualSpacing/>
      </w:pPr>
      <w:r w:rsidRPr="00761653">
        <w:t>Под лихорадкой подразумевают однократно зарегистрированное повышение температуры тела ≥38,0°С, не связанное с другими причинами</w:t>
      </w:r>
      <w:r>
        <w:t xml:space="preserve"> (</w:t>
      </w:r>
      <w:r w:rsidRPr="00761653">
        <w:t>реакции на трансфузии компонентов крови</w:t>
      </w:r>
      <w:r>
        <w:t xml:space="preserve">, на </w:t>
      </w:r>
      <w:r w:rsidRPr="00761653">
        <w:t>вводимы</w:t>
      </w:r>
      <w:r>
        <w:t>е</w:t>
      </w:r>
      <w:r w:rsidRPr="00761653">
        <w:t xml:space="preserve"> медикамент</w:t>
      </w:r>
      <w:r>
        <w:t>ы</w:t>
      </w:r>
      <w:r w:rsidRPr="00761653">
        <w:t>, опухолевая лихоракдка</w:t>
      </w:r>
      <w:r>
        <w:t>)</w:t>
      </w:r>
      <w:r w:rsidRPr="00761653">
        <w:t>.</w:t>
      </w:r>
    </w:p>
    <w:p w14:paraId="519AC111" w14:textId="77777777" w:rsidR="004957E5" w:rsidRPr="00761653" w:rsidRDefault="004957E5" w:rsidP="0007729C">
      <w:pPr>
        <w:widowControl w:val="0"/>
        <w:autoSpaceDE w:val="0"/>
        <w:autoSpaceDN w:val="0"/>
        <w:adjustRightInd w:val="0"/>
        <w:ind w:right="49" w:firstLine="709"/>
        <w:contextualSpacing/>
      </w:pPr>
      <w:r w:rsidRPr="00761653">
        <w:t xml:space="preserve">Существует обобщающий термин “фебрильная нейтропения”, включающий все случаи фебрильной температуры у </w:t>
      </w:r>
      <w:r>
        <w:t>пациентов</w:t>
      </w:r>
      <w:r w:rsidRPr="00761653">
        <w:t xml:space="preserve"> с нейтропенией/лейкопенией. К клинически доказанным относят случаи инфекции, которые удается верифицировать с помощью физикальных или инструментальных методов диагностики при отсутствии микробиологического подтверждения. Наиболее частыми проявлениями клинически дока</w:t>
      </w:r>
      <w:r>
        <w:t>занных инфекций</w:t>
      </w:r>
      <w:r w:rsidRPr="00761653">
        <w:t xml:space="preserve"> являются пневмония, инфекция мягких тканей, инфекция промежности</w:t>
      </w:r>
      <w:r>
        <w:t xml:space="preserve"> (в т. ч. парапроктит)</w:t>
      </w:r>
      <w:r w:rsidRPr="00761653">
        <w:t xml:space="preserve">. Микробиологическим подтверждением инфекции в период гранулоцитопении в большинстве случаев является выделение микроорганизмов из гемокультуры. </w:t>
      </w:r>
    </w:p>
    <w:p w14:paraId="38ED99CB" w14:textId="77777777" w:rsidR="004957E5" w:rsidRDefault="004957E5" w:rsidP="004957E5">
      <w:pPr>
        <w:widowControl w:val="0"/>
        <w:autoSpaceDE w:val="0"/>
        <w:autoSpaceDN w:val="0"/>
        <w:adjustRightInd w:val="0"/>
        <w:ind w:right="49"/>
        <w:contextualSpacing/>
        <w:rPr>
          <w:b/>
        </w:rPr>
      </w:pPr>
    </w:p>
    <w:p w14:paraId="0E31DAD0" w14:textId="77777777" w:rsidR="004957E5" w:rsidRPr="00CD4DE7" w:rsidRDefault="004957E5" w:rsidP="004957E5">
      <w:pPr>
        <w:widowControl w:val="0"/>
        <w:autoSpaceDE w:val="0"/>
        <w:autoSpaceDN w:val="0"/>
        <w:adjustRightInd w:val="0"/>
        <w:ind w:right="49"/>
        <w:contextualSpacing/>
        <w:rPr>
          <w:bCs/>
          <w:i/>
          <w:iCs/>
          <w:u w:val="single"/>
        </w:rPr>
      </w:pPr>
      <w:r w:rsidRPr="00CD4DE7">
        <w:rPr>
          <w:bCs/>
          <w:i/>
          <w:iCs/>
          <w:u w:val="single"/>
        </w:rPr>
        <w:t>Диагностика инфекционных осложнений.</w:t>
      </w:r>
    </w:p>
    <w:p w14:paraId="29A41DC7" w14:textId="77777777" w:rsidR="004957E5" w:rsidRPr="0076198F" w:rsidRDefault="004957E5" w:rsidP="0007729C">
      <w:pPr>
        <w:ind w:firstLine="709"/>
      </w:pPr>
      <w:r w:rsidRPr="0076198F">
        <w:t xml:space="preserve">Во всех случаях </w:t>
      </w:r>
      <w:r>
        <w:t xml:space="preserve">вероятного или установленного </w:t>
      </w:r>
      <w:r w:rsidRPr="0076198F">
        <w:t>инфекционного процесса следует активно проводить диагностику, направленную на выявление, как очагов инфекции, так и этиологических агентов.</w:t>
      </w:r>
    </w:p>
    <w:p w14:paraId="18172852" w14:textId="77777777" w:rsidR="004957E5" w:rsidRPr="0076198F" w:rsidRDefault="004957E5" w:rsidP="0007729C">
      <w:pPr>
        <w:ind w:firstLine="709"/>
      </w:pPr>
      <w:r w:rsidRPr="0076198F">
        <w:t xml:space="preserve">При подозрении на инфекцию образцы клинического материала от </w:t>
      </w:r>
      <w:r>
        <w:t>пациента</w:t>
      </w:r>
      <w:r w:rsidRPr="0076198F">
        <w:t xml:space="preserve"> должны быть взяты незамедлительно. </w:t>
      </w:r>
      <w:r>
        <w:t>Необходимо</w:t>
      </w:r>
      <w:r w:rsidRPr="0076198F">
        <w:t xml:space="preserve"> пристально</w:t>
      </w:r>
      <w:r>
        <w:t>е</w:t>
      </w:r>
      <w:r w:rsidRPr="0076198F">
        <w:t xml:space="preserve"> внимания и проведени</w:t>
      </w:r>
      <w:r>
        <w:t>е</w:t>
      </w:r>
      <w:r w:rsidRPr="0076198F">
        <w:t xml:space="preserve"> тщательных микробиологических исследований у </w:t>
      </w:r>
      <w:r>
        <w:t>пациентов</w:t>
      </w:r>
      <w:r w:rsidRPr="0076198F">
        <w:t>, принимающих глюкокортико</w:t>
      </w:r>
      <w:r>
        <w:t>стероиды, и у лиц пожилого возраста, так как у</w:t>
      </w:r>
      <w:r w:rsidRPr="0076198F">
        <w:t xml:space="preserve"> этой группы пациентов у 70% тяжелобольных в возрасте </w:t>
      </w:r>
      <w:r>
        <w:t>старше</w:t>
      </w:r>
      <w:r w:rsidRPr="0076198F">
        <w:t xml:space="preserve"> 66 лет септицемия может протекать </w:t>
      </w:r>
      <w:r>
        <w:t xml:space="preserve">с нормотермией или умеренным </w:t>
      </w:r>
      <w:r w:rsidRPr="0076198F">
        <w:t>субфебрил</w:t>
      </w:r>
      <w:r>
        <w:t>итетом</w:t>
      </w:r>
      <w:r w:rsidRPr="0076198F">
        <w:t xml:space="preserve">. </w:t>
      </w:r>
    </w:p>
    <w:p w14:paraId="4B72A123" w14:textId="77777777" w:rsidR="004957E5" w:rsidRPr="0076198F" w:rsidRDefault="004957E5" w:rsidP="0007729C">
      <w:pPr>
        <w:ind w:firstLine="709"/>
      </w:pPr>
      <w:r w:rsidRPr="0076198F">
        <w:t xml:space="preserve">При нейтропении ежедневно проводят тщательный осмотр пациента, который наряду с обычными терапевтическими стандартами обследования </w:t>
      </w:r>
      <w:r>
        <w:t>включает следующие подходы:</w:t>
      </w:r>
      <w:r w:rsidRPr="0076198F">
        <w:t xml:space="preserve"> </w:t>
      </w:r>
    </w:p>
    <w:p w14:paraId="079CA345" w14:textId="77777777" w:rsidR="004957E5" w:rsidRPr="0076198F" w:rsidRDefault="004957E5" w:rsidP="004957E5">
      <w:pPr>
        <w:pStyle w:val="afe"/>
        <w:numPr>
          <w:ilvl w:val="0"/>
          <w:numId w:val="100"/>
        </w:numPr>
        <w:tabs>
          <w:tab w:val="left" w:pos="0"/>
          <w:tab w:val="left" w:pos="567"/>
        </w:tabs>
        <w:ind w:left="993" w:hanging="426"/>
        <w:contextualSpacing w:val="0"/>
      </w:pPr>
      <w:r w:rsidRPr="0076198F">
        <w:t>активный опрос больного относительно возможных симптомов инфекции, включая наличие болей по ходу пищевода, в промежности</w:t>
      </w:r>
      <w:r>
        <w:t>;</w:t>
      </w:r>
    </w:p>
    <w:p w14:paraId="1F304298" w14:textId="77777777" w:rsidR="004957E5" w:rsidRPr="0076198F" w:rsidRDefault="004957E5" w:rsidP="004957E5">
      <w:pPr>
        <w:pStyle w:val="afe"/>
        <w:numPr>
          <w:ilvl w:val="0"/>
          <w:numId w:val="100"/>
        </w:numPr>
        <w:tabs>
          <w:tab w:val="left" w:pos="0"/>
          <w:tab w:val="left" w:pos="567"/>
        </w:tabs>
        <w:ind w:left="993" w:hanging="426"/>
        <w:contextualSpacing w:val="0"/>
      </w:pPr>
      <w:r w:rsidRPr="0076198F">
        <w:lastRenderedPageBreak/>
        <w:t>ежедневный осмотр слизистой оболочки полости рта при нейтропении, особенно периодонта. Обращают внимание на рыхлость, отек слизистой оболочки (мукозит), наличие налетов, язв</w:t>
      </w:r>
      <w:r>
        <w:t>;</w:t>
      </w:r>
    </w:p>
    <w:p w14:paraId="1977815C" w14:textId="77777777" w:rsidR="004957E5" w:rsidRPr="0076198F" w:rsidRDefault="004957E5" w:rsidP="004957E5">
      <w:pPr>
        <w:pStyle w:val="afe"/>
        <w:numPr>
          <w:ilvl w:val="0"/>
          <w:numId w:val="100"/>
        </w:numPr>
        <w:tabs>
          <w:tab w:val="left" w:pos="0"/>
          <w:tab w:val="left" w:pos="567"/>
        </w:tabs>
        <w:ind w:left="993" w:hanging="426"/>
        <w:contextualSpacing w:val="0"/>
      </w:pPr>
      <w:r w:rsidRPr="0076198F">
        <w:t>осмотр кожи в отношении возможного появления септикопиемических очагов при лихорадке, даже в отсутствие жалоб</w:t>
      </w:r>
      <w:r>
        <w:t xml:space="preserve"> (п</w:t>
      </w:r>
      <w:r w:rsidRPr="0076198F">
        <w:t>ри лечении глюкокортико</w:t>
      </w:r>
      <w:r>
        <w:t>стеро</w:t>
      </w:r>
      <w:r w:rsidRPr="0076198F">
        <w:t>идами септикопиемические очаги могут быть при нормальной температуре</w:t>
      </w:r>
      <w:r>
        <w:t xml:space="preserve"> тела);</w:t>
      </w:r>
    </w:p>
    <w:p w14:paraId="18AA6C7C" w14:textId="77777777" w:rsidR="004957E5" w:rsidRPr="0076198F" w:rsidRDefault="004957E5" w:rsidP="004957E5">
      <w:pPr>
        <w:pStyle w:val="afe"/>
        <w:numPr>
          <w:ilvl w:val="0"/>
          <w:numId w:val="100"/>
        </w:numPr>
        <w:tabs>
          <w:tab w:val="left" w:pos="0"/>
          <w:tab w:val="left" w:pos="567"/>
        </w:tabs>
        <w:ind w:left="993" w:hanging="426"/>
        <w:contextualSpacing w:val="0"/>
      </w:pPr>
      <w:r w:rsidRPr="0076198F">
        <w:t>осмотр места установки венозного катетера</w:t>
      </w:r>
      <w:r>
        <w:t>;</w:t>
      </w:r>
      <w:r w:rsidRPr="0076198F">
        <w:t xml:space="preserve"> </w:t>
      </w:r>
    </w:p>
    <w:p w14:paraId="5D107E27" w14:textId="77777777" w:rsidR="004957E5" w:rsidRPr="0076198F" w:rsidRDefault="004957E5" w:rsidP="004957E5">
      <w:pPr>
        <w:pStyle w:val="afe"/>
        <w:numPr>
          <w:ilvl w:val="0"/>
          <w:numId w:val="100"/>
        </w:numPr>
        <w:tabs>
          <w:tab w:val="left" w:pos="0"/>
          <w:tab w:val="left" w:pos="567"/>
        </w:tabs>
        <w:ind w:left="993" w:hanging="426"/>
        <w:contextualSpacing w:val="0"/>
      </w:pPr>
      <w:r w:rsidRPr="0076198F">
        <w:t>внимательная аускультация грудной клетки</w:t>
      </w:r>
      <w:r>
        <w:t xml:space="preserve"> (ж</w:t>
      </w:r>
      <w:r w:rsidRPr="0076198F">
        <w:t>есткое дыхание в отсутствие хрипов, минимальное количество влажных хрипов на ограниченном участке могут быть начальным проявлением пневмонии</w:t>
      </w:r>
      <w:r>
        <w:t>);</w:t>
      </w:r>
      <w:r w:rsidRPr="0076198F">
        <w:t xml:space="preserve"> </w:t>
      </w:r>
    </w:p>
    <w:p w14:paraId="5CC48558" w14:textId="77777777" w:rsidR="004957E5" w:rsidRPr="0076198F" w:rsidRDefault="004957E5" w:rsidP="004957E5">
      <w:pPr>
        <w:pStyle w:val="afe"/>
        <w:numPr>
          <w:ilvl w:val="0"/>
          <w:numId w:val="100"/>
        </w:numPr>
        <w:tabs>
          <w:tab w:val="left" w:pos="0"/>
          <w:tab w:val="left" w:pos="567"/>
        </w:tabs>
        <w:ind w:left="993" w:hanging="426"/>
        <w:contextualSpacing w:val="0"/>
      </w:pPr>
      <w:r w:rsidRPr="0076198F">
        <w:t>тщательная пальпация живота</w:t>
      </w:r>
      <w:r>
        <w:t xml:space="preserve"> (п</w:t>
      </w:r>
      <w:r w:rsidRPr="0076198F">
        <w:t>ервые симптомы псевдомембранозного колита —</w:t>
      </w:r>
      <w:r>
        <w:t xml:space="preserve"> </w:t>
      </w:r>
      <w:r w:rsidRPr="0076198F">
        <w:t>появление боли или «урчание» при пальпации в правой подвздошной области (область слепой кишки).</w:t>
      </w:r>
    </w:p>
    <w:p w14:paraId="7A3C5F60" w14:textId="77777777" w:rsidR="004957E5" w:rsidRDefault="004957E5" w:rsidP="0007729C">
      <w:pPr>
        <w:widowControl w:val="0"/>
        <w:autoSpaceDE w:val="0"/>
        <w:autoSpaceDN w:val="0"/>
        <w:adjustRightInd w:val="0"/>
        <w:ind w:right="49" w:firstLine="709"/>
        <w:contextualSpacing/>
      </w:pPr>
      <w:r w:rsidRPr="00761653">
        <w:t xml:space="preserve">Для </w:t>
      </w:r>
      <w:r w:rsidRPr="00284D51">
        <w:rPr>
          <w:i/>
          <w:iCs/>
        </w:rPr>
        <w:t>микробиологического исследования крови</w:t>
      </w:r>
      <w:r w:rsidRPr="00761653">
        <w:t xml:space="preserve"> используют автоматический анализатор для гемокультур. Проводят исследование у </w:t>
      </w:r>
      <w:r>
        <w:t>пациентов</w:t>
      </w:r>
      <w:r w:rsidRPr="00761653">
        <w:t xml:space="preserve"> с температурой ≥38°С или наличии септикопиемических очагов на коже. Кровь берут одновременно из вены и из ЦВК или из двух разных вен в 2-4 флакона (аэробы/анаэробы), предназначенных для инкубирования в автоматическом анализаторе для гемокультур. На основании разницы во времени регистрации положительной гемокультуры, взятой одновременно из ЦВК и из вены может быть заподозрено инфицирование ЦВК. В этом случае положительная гемокультура, взятая из ЦВК, опережает на 2 часа и более положительную гемокультуру из вены. Кровь для микробиологического исследования проводят с максимальным соблюдением правил асептики, в каждый флакон вводят 10 мл крови </w:t>
      </w:r>
      <w:r>
        <w:t>пациента</w:t>
      </w:r>
      <w:r w:rsidRPr="00761653">
        <w:t xml:space="preserve">. Введение меньшего объема крови снижает вероятность получения положительной гемокультуры. При инфекции кровотока выделение коагулазонегативных стафилококков и </w:t>
      </w:r>
      <w:r w:rsidRPr="00761653">
        <w:rPr>
          <w:i/>
          <w:iCs/>
        </w:rPr>
        <w:t xml:space="preserve">Corynebacterium </w:t>
      </w:r>
      <w:r w:rsidRPr="00761653">
        <w:t xml:space="preserve">spp. должно быть подтверждено двумя положительными гемокультурами, поскольку эти микроорганизмы принадлежат к облигатной микрофлоре, и детекция их только в одном из двух флаконов расценивается как контаминация исследуемых образцов крови (облигатная микрофлора). </w:t>
      </w:r>
    </w:p>
    <w:p w14:paraId="7923E0FB" w14:textId="77777777" w:rsidR="004957E5" w:rsidRPr="00761653" w:rsidRDefault="004957E5" w:rsidP="0007729C">
      <w:pPr>
        <w:widowControl w:val="0"/>
        <w:autoSpaceDE w:val="0"/>
        <w:autoSpaceDN w:val="0"/>
        <w:adjustRightInd w:val="0"/>
        <w:ind w:right="49" w:firstLine="709"/>
        <w:contextualSpacing/>
      </w:pPr>
      <w:r w:rsidRPr="00284D51">
        <w:rPr>
          <w:i/>
          <w:iCs/>
        </w:rPr>
        <w:t>Центральный венозный катетер (ЦВК) удаляют и направляют на микробиологическое исследование при подозрении на катетер-ассоциированную инфекцию</w:t>
      </w:r>
      <w:r w:rsidRPr="00761653">
        <w:t xml:space="preserve"> (разница во времени детекции положительной гемокультуры, взятой одновременно из вены и из ЦВК), при выделении из гемокультуры дрожжевых или плесневых грибов, при переводе </w:t>
      </w:r>
      <w:r>
        <w:t>пациента</w:t>
      </w:r>
      <w:r w:rsidRPr="00761653">
        <w:t xml:space="preserve"> из другого стационара с ЦВК (высокая вероятность инфицирования ЦВК). Для бактериологического исследования в лабораторию направляют асептически </w:t>
      </w:r>
      <w:r w:rsidRPr="00761653">
        <w:lastRenderedPageBreak/>
        <w:t>удаленный дистальный отрезок катетера длиной 5-6 см в стерильной емкости. Исследование ЦВК проводят полуколичественным (метод Маки) или количественным методом. Диагностически значимым подтверждением инфицирования ЦВК является выделение микроорганизмов в количестве ≥15 колониеобразующих единиц (КОЕ) при полуколичественном исследовании, или ≥10</w:t>
      </w:r>
      <w:r w:rsidRPr="00761653">
        <w:rPr>
          <w:vertAlign w:val="superscript"/>
        </w:rPr>
        <w:t>3</w:t>
      </w:r>
      <w:r w:rsidRPr="00761653">
        <w:t xml:space="preserve"> КОЕ/мл - при количественном исследовании. </w:t>
      </w:r>
    </w:p>
    <w:p w14:paraId="707AE7CE" w14:textId="77777777" w:rsidR="004957E5" w:rsidRPr="00761653" w:rsidRDefault="004957E5" w:rsidP="0007729C">
      <w:pPr>
        <w:widowControl w:val="0"/>
        <w:autoSpaceDE w:val="0"/>
        <w:autoSpaceDN w:val="0"/>
        <w:adjustRightInd w:val="0"/>
        <w:ind w:right="49" w:firstLine="709"/>
        <w:contextualSpacing/>
      </w:pPr>
      <w:r w:rsidRPr="00761653">
        <w:t>При наличии признаков воспаления и отделяемого в месте установки ЦВК проводят микробиологическое исследование мазков из этой области. Исследуют мазки на наличие нетуберкулезных микобактерий, если изменения на коже в области ЦВК приобретают хронический характер. Не проводят рутинное исследование всех удаленных катетеров.</w:t>
      </w:r>
    </w:p>
    <w:p w14:paraId="361BB5F5" w14:textId="77777777" w:rsidR="004957E5" w:rsidRPr="00761653" w:rsidRDefault="004957E5" w:rsidP="0007729C">
      <w:pPr>
        <w:widowControl w:val="0"/>
        <w:tabs>
          <w:tab w:val="left" w:pos="0"/>
        </w:tabs>
        <w:autoSpaceDE w:val="0"/>
        <w:autoSpaceDN w:val="0"/>
        <w:adjustRightInd w:val="0"/>
        <w:ind w:right="49" w:firstLine="709"/>
        <w:contextualSpacing/>
      </w:pPr>
      <w:r w:rsidRPr="00761653">
        <w:t>Показаниями для</w:t>
      </w:r>
      <w:r>
        <w:t xml:space="preserve"> </w:t>
      </w:r>
      <w:r w:rsidRPr="00284D51">
        <w:rPr>
          <w:i/>
          <w:iCs/>
        </w:rPr>
        <w:t>микробиологического исследования мочи</w:t>
      </w:r>
      <w:r w:rsidRPr="00761653">
        <w:t xml:space="preserve"> являются клинические симптомы инфекции мочевыводящих путей, лейкоцитурия, температура более 5 дней в период нейтропении. Для </w:t>
      </w:r>
      <w:r>
        <w:t xml:space="preserve">микробиологического </w:t>
      </w:r>
      <w:r w:rsidRPr="00761653">
        <w:t>исследования направляют утреннюю среднюю порцию мочи</w:t>
      </w:r>
      <w:r>
        <w:t xml:space="preserve">, </w:t>
      </w:r>
      <w:r w:rsidRPr="00D40538">
        <w:t>проводят исследования на наличие различных бактериальных патогенов</w:t>
      </w:r>
      <w:r>
        <w:t>, начиная с наиболее частых в гематологической практике (см. ниже)</w:t>
      </w:r>
      <w:r w:rsidRPr="00D40538">
        <w:t xml:space="preserve">. Бактериурия </w:t>
      </w:r>
      <w:r w:rsidRPr="00761653">
        <w:t xml:space="preserve">является диагностически значимой, если выделен </w:t>
      </w:r>
      <w:r w:rsidRPr="00761653">
        <w:rPr>
          <w:bCs/>
        </w:rPr>
        <w:t>один микроорганизм</w:t>
      </w:r>
      <w:r w:rsidRPr="00761653">
        <w:t xml:space="preserve"> в количестве ≥10</w:t>
      </w:r>
      <w:r w:rsidRPr="00761653">
        <w:rPr>
          <w:vertAlign w:val="superscript"/>
        </w:rPr>
        <w:t>3</w:t>
      </w:r>
      <w:r w:rsidRPr="00761653">
        <w:t> КОЕ/мл. Микробиологическое исследование мочи повторяют на следующий день, если выделены два микрорганизма в количестве ≥10</w:t>
      </w:r>
      <w:r w:rsidRPr="00761653">
        <w:rPr>
          <w:vertAlign w:val="superscript"/>
        </w:rPr>
        <w:t>3</w:t>
      </w:r>
      <w:r w:rsidRPr="00761653">
        <w:t xml:space="preserve"> КОЕ/мл. Повторное выделение тех же микроорганизмов, как в первом исследовании, подтверждает наличие инфекции мочевыводящих путей. В гематологии наиболее частыми возбудителями инфекции мочевыводящих путей в стационаре являются энтеробактерии, среди них </w:t>
      </w:r>
      <w:r w:rsidRPr="00761653">
        <w:rPr>
          <w:i/>
          <w:iCs/>
        </w:rPr>
        <w:t>E. coli,</w:t>
      </w:r>
      <w:r w:rsidRPr="00761653">
        <w:t xml:space="preserve"> далее следуют </w:t>
      </w:r>
      <w:r w:rsidRPr="00761653">
        <w:rPr>
          <w:i/>
          <w:iCs/>
        </w:rPr>
        <w:t>Enterococcus</w:t>
      </w:r>
      <w:r w:rsidRPr="00761653">
        <w:t xml:space="preserve"> spp., </w:t>
      </w:r>
      <w:r w:rsidRPr="00761653">
        <w:rPr>
          <w:i/>
          <w:iCs/>
        </w:rPr>
        <w:t>P. aeruginosa.</w:t>
      </w:r>
      <w:r w:rsidRPr="00761653">
        <w:t xml:space="preserve"> Неоднократное выделение из мочи </w:t>
      </w:r>
      <w:r w:rsidRPr="00761653">
        <w:rPr>
          <w:i/>
          <w:iCs/>
        </w:rPr>
        <w:t>Сandida</w:t>
      </w:r>
      <w:r w:rsidRPr="00761653">
        <w:t xml:space="preserve"> spp. у </w:t>
      </w:r>
      <w:r>
        <w:t>пациентов</w:t>
      </w:r>
      <w:r w:rsidRPr="00761653">
        <w:t xml:space="preserve"> с фебрильной нейтропенией может свидетельствовать о высокой вероятности наличия диссеминированного инвазивного кандидоза. Определяют чувствительность к антибиотикам всех микроорганизмов, выделенных в диагностически значимых количествах.</w:t>
      </w:r>
    </w:p>
    <w:p w14:paraId="6020560A" w14:textId="77777777" w:rsidR="004957E5" w:rsidRPr="00761653" w:rsidRDefault="004957E5" w:rsidP="0007729C">
      <w:pPr>
        <w:widowControl w:val="0"/>
        <w:autoSpaceDE w:val="0"/>
        <w:autoSpaceDN w:val="0"/>
        <w:adjustRightInd w:val="0"/>
        <w:ind w:right="49" w:firstLine="709"/>
        <w:contextualSpacing/>
      </w:pPr>
      <w:r w:rsidRPr="00761653">
        <w:t>Показания к</w:t>
      </w:r>
      <w:r>
        <w:t xml:space="preserve"> </w:t>
      </w:r>
      <w:r w:rsidRPr="00284D51">
        <w:rPr>
          <w:i/>
          <w:iCs/>
        </w:rPr>
        <w:t>микроскопическому, микробиологическому и молекулярно-биологическому исследованию спинномозговой жидкости</w:t>
      </w:r>
      <w:r>
        <w:t xml:space="preserve"> </w:t>
      </w:r>
      <w:r w:rsidRPr="00761653">
        <w:t>– наличие симптомов менингита, «мозговая» симптоматика на фоне фебрильной нейтропении, обнаружение очага (очагов) в головном мозге при компьютерной томографии</w:t>
      </w:r>
      <w:r>
        <w:t>/спиральной компьютерной томографии</w:t>
      </w:r>
      <w:r w:rsidRPr="00761653">
        <w:t xml:space="preserve"> (КТ</w:t>
      </w:r>
      <w:r>
        <w:t>/СКТ)</w:t>
      </w:r>
      <w:r w:rsidRPr="00761653">
        <w:t xml:space="preserve"> или магнитно-резонансной томографии (МРТ). Исследование спинномозговой жидкости (СМЖ) включает микроскопию, посев на бактерии и грибы, определение антигена </w:t>
      </w:r>
      <w:r w:rsidRPr="00761653">
        <w:rPr>
          <w:i/>
          <w:iCs/>
        </w:rPr>
        <w:t xml:space="preserve">Cryptococcus </w:t>
      </w:r>
      <w:r w:rsidRPr="00761653">
        <w:t xml:space="preserve">spp. (глюкороксиломаннан), определение антигена </w:t>
      </w:r>
      <w:r w:rsidRPr="00761653">
        <w:rPr>
          <w:i/>
          <w:iCs/>
        </w:rPr>
        <w:t>Aspergillus</w:t>
      </w:r>
      <w:r w:rsidRPr="00761653">
        <w:t xml:space="preserve"> spp. (галактоманнан) у </w:t>
      </w:r>
      <w:r>
        <w:t>пациентов</w:t>
      </w:r>
      <w:r w:rsidRPr="00761653">
        <w:t xml:space="preserve"> с инвазивным аспергиллезом легких или околоносовых пазух, определение дезоксирибонуклеиновой кислоты (ДНК) герпесвирусов методом полимеразной цепной реакции (ПЦР), при наличии нейтрофильного цитоза – определение </w:t>
      </w:r>
      <w:r w:rsidRPr="00761653">
        <w:lastRenderedPageBreak/>
        <w:t>антигенов бактерий (</w:t>
      </w:r>
      <w:r w:rsidRPr="00761653">
        <w:rPr>
          <w:i/>
          <w:iCs/>
        </w:rPr>
        <w:t>Streptococcus pneumoniae, Haemophilus</w:t>
      </w:r>
      <w:r w:rsidRPr="00761653">
        <w:t xml:space="preserve"> </w:t>
      </w:r>
      <w:r w:rsidRPr="00761653">
        <w:rPr>
          <w:i/>
          <w:iCs/>
        </w:rPr>
        <w:t>influenzae, Neisseria meningitidis,</w:t>
      </w:r>
      <w:r w:rsidRPr="00761653">
        <w:t xml:space="preserve"> стрептококки группы В), при наличии очагов в головном мозге – определение ДНК </w:t>
      </w:r>
      <w:r w:rsidRPr="00761653">
        <w:rPr>
          <w:i/>
          <w:iCs/>
        </w:rPr>
        <w:t>Toxoplasma gondii</w:t>
      </w:r>
      <w:r w:rsidRPr="00761653">
        <w:t xml:space="preserve"> методом ПЦР (группу риска представляют реципиенты аллогенной ТГСК).</w:t>
      </w:r>
    </w:p>
    <w:p w14:paraId="539195E6" w14:textId="77777777" w:rsidR="004957E5" w:rsidRPr="00C73751" w:rsidRDefault="004957E5" w:rsidP="0007729C">
      <w:pPr>
        <w:widowControl w:val="0"/>
        <w:autoSpaceDE w:val="0"/>
        <w:autoSpaceDN w:val="0"/>
        <w:adjustRightInd w:val="0"/>
        <w:ind w:right="49" w:firstLine="709"/>
        <w:contextualSpacing/>
      </w:pPr>
      <w:r w:rsidRPr="00284D51">
        <w:rPr>
          <w:i/>
          <w:iCs/>
        </w:rPr>
        <w:t>Микробиологическое исследование кала</w:t>
      </w:r>
      <w:r>
        <w:t xml:space="preserve"> проводят </w:t>
      </w:r>
      <w:r w:rsidRPr="00761653">
        <w:t xml:space="preserve">у </w:t>
      </w:r>
      <w:r>
        <w:t>пациентов с диареей для о</w:t>
      </w:r>
      <w:r w:rsidRPr="00C73751">
        <w:t>пределени</w:t>
      </w:r>
      <w:r>
        <w:t>я</w:t>
      </w:r>
      <w:r w:rsidRPr="00C73751">
        <w:t xml:space="preserve"> токсинов </w:t>
      </w:r>
      <w:r w:rsidRPr="00C73751">
        <w:rPr>
          <w:i/>
        </w:rPr>
        <w:t>Clostridioides difficile</w:t>
      </w:r>
      <w:r w:rsidRPr="00C73751">
        <w:t xml:space="preserve"> в кале</w:t>
      </w:r>
      <w:r>
        <w:t xml:space="preserve">. </w:t>
      </w:r>
      <w:r w:rsidRPr="00C73751">
        <w:t xml:space="preserve">Если результат этого теста оказывается отрицательным, проводят количественное исследование на условно-патогенные микроорганизмы, а также на </w:t>
      </w:r>
      <w:r w:rsidRPr="00C73751">
        <w:rPr>
          <w:i/>
        </w:rPr>
        <w:t>С</w:t>
      </w:r>
      <w:r w:rsidRPr="00DB1FCB">
        <w:rPr>
          <w:i/>
        </w:rPr>
        <w:t>ryptosporidium</w:t>
      </w:r>
      <w:r w:rsidRPr="00C73751">
        <w:rPr>
          <w:i/>
        </w:rPr>
        <w:t xml:space="preserve"> </w:t>
      </w:r>
      <w:r w:rsidRPr="00DB1FCB">
        <w:rPr>
          <w:i/>
        </w:rPr>
        <w:t>parvum</w:t>
      </w:r>
      <w:r w:rsidRPr="00C73751">
        <w:rPr>
          <w:i/>
        </w:rPr>
        <w:t xml:space="preserve">, </w:t>
      </w:r>
      <w:r w:rsidRPr="00DB1FCB">
        <w:rPr>
          <w:i/>
        </w:rPr>
        <w:t>Salmonella</w:t>
      </w:r>
      <w:r w:rsidRPr="00C73751">
        <w:rPr>
          <w:i/>
        </w:rPr>
        <w:t xml:space="preserve"> </w:t>
      </w:r>
      <w:r w:rsidRPr="00DB1FCB">
        <w:rPr>
          <w:i/>
        </w:rPr>
        <w:t>spp</w:t>
      </w:r>
      <w:r w:rsidRPr="00C73751">
        <w:rPr>
          <w:i/>
        </w:rPr>
        <w:t xml:space="preserve">., </w:t>
      </w:r>
      <w:r w:rsidRPr="00DB1FCB">
        <w:rPr>
          <w:i/>
        </w:rPr>
        <w:t>Shigella</w:t>
      </w:r>
      <w:r w:rsidRPr="00C73751">
        <w:rPr>
          <w:i/>
        </w:rPr>
        <w:t xml:space="preserve"> </w:t>
      </w:r>
      <w:r w:rsidRPr="00DB1FCB">
        <w:rPr>
          <w:i/>
        </w:rPr>
        <w:t>spp</w:t>
      </w:r>
      <w:r w:rsidRPr="00C73751">
        <w:rPr>
          <w:i/>
        </w:rPr>
        <w:t xml:space="preserve">., </w:t>
      </w:r>
      <w:r w:rsidRPr="00DB1FCB">
        <w:rPr>
          <w:i/>
        </w:rPr>
        <w:t>Listeria</w:t>
      </w:r>
      <w:r w:rsidRPr="00C73751">
        <w:rPr>
          <w:i/>
        </w:rPr>
        <w:t xml:space="preserve"> </w:t>
      </w:r>
      <w:r w:rsidRPr="00DB1FCB">
        <w:rPr>
          <w:i/>
        </w:rPr>
        <w:t>spp</w:t>
      </w:r>
      <w:r w:rsidRPr="00C73751">
        <w:rPr>
          <w:i/>
        </w:rPr>
        <w:t xml:space="preserve">., </w:t>
      </w:r>
      <w:r w:rsidRPr="00DB1FCB">
        <w:rPr>
          <w:i/>
        </w:rPr>
        <w:t>Yersenia</w:t>
      </w:r>
      <w:r w:rsidRPr="00C73751">
        <w:rPr>
          <w:i/>
        </w:rPr>
        <w:t xml:space="preserve"> </w:t>
      </w:r>
      <w:r w:rsidRPr="00DB1FCB">
        <w:rPr>
          <w:i/>
        </w:rPr>
        <w:t>spp</w:t>
      </w:r>
      <w:r w:rsidRPr="00C73751">
        <w:rPr>
          <w:i/>
        </w:rPr>
        <w:t>.</w:t>
      </w:r>
      <w:r w:rsidRPr="00C73751">
        <w:t xml:space="preserve">, вирусы (ротавирусы, аденовирусы). Энтероколиты могут быть обусловлены </w:t>
      </w:r>
      <w:r w:rsidRPr="00DB1FCB">
        <w:rPr>
          <w:i/>
        </w:rPr>
        <w:t>Candida</w:t>
      </w:r>
      <w:r w:rsidRPr="00C73751">
        <w:rPr>
          <w:i/>
        </w:rPr>
        <w:t xml:space="preserve"> </w:t>
      </w:r>
      <w:r w:rsidRPr="00DB1FCB">
        <w:rPr>
          <w:i/>
        </w:rPr>
        <w:t>spp</w:t>
      </w:r>
      <w:r w:rsidRPr="00C73751">
        <w:t xml:space="preserve">. При количественном исследовании кала следует обращать внимание на выделение штаммов </w:t>
      </w:r>
      <w:r w:rsidRPr="00DB1FCB">
        <w:rPr>
          <w:i/>
        </w:rPr>
        <w:t>Pseudomonas</w:t>
      </w:r>
      <w:r w:rsidRPr="00C73751">
        <w:rPr>
          <w:i/>
        </w:rPr>
        <w:t xml:space="preserve"> </w:t>
      </w:r>
      <w:r w:rsidRPr="00DB1FCB">
        <w:rPr>
          <w:i/>
        </w:rPr>
        <w:t>aeruginosa</w:t>
      </w:r>
      <w:r w:rsidRPr="00C73751">
        <w:t>, энтеробактерий (</w:t>
      </w:r>
      <w:r w:rsidRPr="00DB1FCB">
        <w:rPr>
          <w:i/>
        </w:rPr>
        <w:t>Escherichia</w:t>
      </w:r>
      <w:r w:rsidRPr="00C73751">
        <w:rPr>
          <w:i/>
        </w:rPr>
        <w:t xml:space="preserve"> </w:t>
      </w:r>
      <w:r w:rsidRPr="00DB1FCB">
        <w:rPr>
          <w:i/>
        </w:rPr>
        <w:t>coli</w:t>
      </w:r>
      <w:r w:rsidRPr="00C73751">
        <w:rPr>
          <w:i/>
        </w:rPr>
        <w:t xml:space="preserve">, </w:t>
      </w:r>
      <w:r w:rsidRPr="00DB1FCB">
        <w:rPr>
          <w:i/>
        </w:rPr>
        <w:t>Klebsiella</w:t>
      </w:r>
      <w:r w:rsidRPr="00C73751">
        <w:rPr>
          <w:i/>
        </w:rPr>
        <w:t xml:space="preserve"> </w:t>
      </w:r>
      <w:r w:rsidRPr="00DB1FCB">
        <w:rPr>
          <w:i/>
        </w:rPr>
        <w:t>spp</w:t>
      </w:r>
      <w:r w:rsidRPr="00C73751">
        <w:rPr>
          <w:i/>
        </w:rPr>
        <w:t>.),</w:t>
      </w:r>
      <w:r w:rsidRPr="00C73751">
        <w:t xml:space="preserve"> продуцирующих БЛРС или карбапенемазы. У больных с персистирующей фебрильной нейтропенией и отсутствием положительной гемокультуры эти микроорганизмы могут быть причиной инфекции. </w:t>
      </w:r>
    </w:p>
    <w:p w14:paraId="13307159" w14:textId="77777777" w:rsidR="004957E5" w:rsidRPr="00761653" w:rsidRDefault="004957E5" w:rsidP="0007729C">
      <w:pPr>
        <w:widowControl w:val="0"/>
        <w:autoSpaceDE w:val="0"/>
        <w:autoSpaceDN w:val="0"/>
        <w:adjustRightInd w:val="0"/>
        <w:ind w:right="49" w:firstLine="709"/>
        <w:contextualSpacing/>
      </w:pPr>
      <w:r w:rsidRPr="00284D51">
        <w:rPr>
          <w:i/>
          <w:iCs/>
        </w:rPr>
        <w:t>Микробиологическое исследование мазка со слизистой оболочки носоглотки</w:t>
      </w:r>
      <w:r>
        <w:t xml:space="preserve"> проводят при наличии</w:t>
      </w:r>
      <w:r w:rsidRPr="00761653">
        <w:t xml:space="preserve"> признаков </w:t>
      </w:r>
      <w:r>
        <w:t>стоматита (</w:t>
      </w:r>
      <w:r w:rsidRPr="00761653">
        <w:t>мукозита</w:t>
      </w:r>
      <w:r>
        <w:t>)</w:t>
      </w:r>
      <w:r w:rsidRPr="00761653">
        <w:t xml:space="preserve">. Проводят культуральное исследование на грамотрицательные бактерии и дрожжевые грибы. При выделении грамотрицательных бактерий осуществляют идентификацию до вида, определение чувствительности к антибиотикам, детекцию продукции β-лактамаз расишернного спектра (БЛРС) у энтеробактерий, постановку теста modified carbapenem inactivation method (mCIM) или carbapenem inactivation method (CIM) для определения продукции карбапенемаз среди карбапенемоустойчивых энтеробактерий и </w:t>
      </w:r>
      <w:r w:rsidRPr="00761653">
        <w:rPr>
          <w:i/>
          <w:iCs/>
        </w:rPr>
        <w:t>P. aeruginosa</w:t>
      </w:r>
      <w:r w:rsidRPr="00761653">
        <w:rPr>
          <w:iCs/>
        </w:rPr>
        <w:t xml:space="preserve">, определение групп карбапенемаз методом ПЦР при положительном тесте mCIM (или CIM). </w:t>
      </w:r>
      <w:r w:rsidRPr="00761653">
        <w:t xml:space="preserve">При выделении дрожжевых грибов со слизистой оболочки ротоглотки проводят только идентификацию до вида. </w:t>
      </w:r>
    </w:p>
    <w:p w14:paraId="4479202D" w14:textId="77777777" w:rsidR="004957E5" w:rsidRPr="00761653" w:rsidRDefault="004957E5" w:rsidP="0007729C">
      <w:pPr>
        <w:widowControl w:val="0"/>
        <w:autoSpaceDE w:val="0"/>
        <w:autoSpaceDN w:val="0"/>
        <w:adjustRightInd w:val="0"/>
        <w:ind w:right="49" w:firstLine="709"/>
        <w:contextualSpacing/>
      </w:pPr>
      <w:r w:rsidRPr="00284D51">
        <w:rPr>
          <w:i/>
          <w:iCs/>
        </w:rPr>
        <w:t>Микробиологическое исследование соскоба или биоптата со слизистой оболочки пищевода</w:t>
      </w:r>
      <w:r w:rsidRPr="00284D51">
        <w:rPr>
          <w:b/>
          <w:bCs/>
        </w:rPr>
        <w:t xml:space="preserve"> </w:t>
      </w:r>
      <w:r w:rsidRPr="00284D51">
        <w:t>проводят при клиническоой картине эзофагита, боли по ходу пищевода. Во</w:t>
      </w:r>
      <w:r w:rsidRPr="00761653">
        <w:t xml:space="preserve"> время эзофагоскопии проводят соскоб со слизистой оболочки пищевода (браш-метод при нейтропении) или биопсию (вне нейтропении и тромбоцитопении). Проводят культуральное исследование на бактерии и дрожжевые грибы, определение ДНК герпесвирусов </w:t>
      </w:r>
      <w:r>
        <w:t>(</w:t>
      </w:r>
      <w:r w:rsidRPr="00C73751">
        <w:t xml:space="preserve">ДНК вируса простого герпеса, </w:t>
      </w:r>
      <w:r>
        <w:t>цитомегаловируса)</w:t>
      </w:r>
      <w:r w:rsidRPr="00761653">
        <w:t xml:space="preserve"> методом ПЦР, идентификацию и определение чувствительности всех выделенных микроорганизмов</w:t>
      </w:r>
      <w:r>
        <w:t>, гистологическое исследование (с иммуногистохимическим исследованием при необходимости)</w:t>
      </w:r>
      <w:r w:rsidRPr="00761653">
        <w:t>.</w:t>
      </w:r>
    </w:p>
    <w:p w14:paraId="75D424B4" w14:textId="77777777" w:rsidR="004957E5" w:rsidRPr="00761653" w:rsidRDefault="004957E5" w:rsidP="0007729C">
      <w:pPr>
        <w:widowControl w:val="0"/>
        <w:autoSpaceDE w:val="0"/>
        <w:autoSpaceDN w:val="0"/>
        <w:adjustRightInd w:val="0"/>
        <w:ind w:right="49" w:firstLine="709"/>
        <w:contextualSpacing/>
      </w:pPr>
      <w:r w:rsidRPr="00284D51">
        <w:rPr>
          <w:i/>
          <w:iCs/>
        </w:rPr>
        <w:t>Микробиологическое исследование ректальных мазков</w:t>
      </w:r>
      <w:r w:rsidRPr="00284D51">
        <w:rPr>
          <w:b/>
          <w:bCs/>
        </w:rPr>
        <w:t xml:space="preserve"> </w:t>
      </w:r>
      <w:r w:rsidRPr="00284D51">
        <w:t>проводят с целью детекции</w:t>
      </w:r>
      <w:r w:rsidRPr="00761653">
        <w:t xml:space="preserve"> </w:t>
      </w:r>
      <w:r w:rsidRPr="00761653">
        <w:lastRenderedPageBreak/>
        <w:t xml:space="preserve">колонизации слизистой оболочки кишечника полирезистентными грамотрицательными бактериями и грибами рода </w:t>
      </w:r>
      <w:r w:rsidRPr="00761653">
        <w:rPr>
          <w:i/>
        </w:rPr>
        <w:t>Candida</w:t>
      </w:r>
      <w:r w:rsidRPr="00761653">
        <w:t>.</w:t>
      </w:r>
    </w:p>
    <w:p w14:paraId="6690FCBB" w14:textId="77777777" w:rsidR="004957E5" w:rsidRDefault="004957E5" w:rsidP="0007729C">
      <w:pPr>
        <w:widowControl w:val="0"/>
        <w:autoSpaceDE w:val="0"/>
        <w:autoSpaceDN w:val="0"/>
        <w:adjustRightInd w:val="0"/>
        <w:ind w:right="49" w:firstLine="709"/>
        <w:contextualSpacing/>
      </w:pPr>
      <w:r w:rsidRPr="00761653">
        <w:t xml:space="preserve">Исследование </w:t>
      </w:r>
      <w:r>
        <w:t>показано:</w:t>
      </w:r>
      <w:r w:rsidRPr="00761653">
        <w:t xml:space="preserve"> </w:t>
      </w:r>
    </w:p>
    <w:p w14:paraId="633C8F23" w14:textId="77777777" w:rsidR="004957E5" w:rsidRPr="00C73751" w:rsidRDefault="004957E5" w:rsidP="004957E5">
      <w:pPr>
        <w:pStyle w:val="afe"/>
        <w:widowControl w:val="0"/>
        <w:numPr>
          <w:ilvl w:val="0"/>
          <w:numId w:val="90"/>
        </w:numPr>
        <w:tabs>
          <w:tab w:val="left" w:pos="0"/>
        </w:tabs>
        <w:autoSpaceDE w:val="0"/>
        <w:autoSpaceDN w:val="0"/>
        <w:adjustRightInd w:val="0"/>
        <w:ind w:right="49"/>
      </w:pPr>
      <w:r w:rsidRPr="00CB604C">
        <w:t>при инфекции промежности</w:t>
      </w:r>
      <w:r>
        <w:t>, в</w:t>
      </w:r>
      <w:r w:rsidRPr="00C73751">
        <w:t>оспалени</w:t>
      </w:r>
      <w:r>
        <w:t>и</w:t>
      </w:r>
      <w:r w:rsidRPr="00C73751">
        <w:t xml:space="preserve"> или повреждени</w:t>
      </w:r>
      <w:r>
        <w:t>и</w:t>
      </w:r>
      <w:r w:rsidRPr="00C73751">
        <w:t xml:space="preserve"> слизистой прямой кишки (трещина, парапроктит и др.);</w:t>
      </w:r>
    </w:p>
    <w:p w14:paraId="254C1F90" w14:textId="77777777" w:rsidR="004957E5" w:rsidRDefault="004957E5" w:rsidP="004957E5">
      <w:pPr>
        <w:pStyle w:val="afe"/>
        <w:widowControl w:val="0"/>
        <w:numPr>
          <w:ilvl w:val="0"/>
          <w:numId w:val="90"/>
        </w:numPr>
        <w:tabs>
          <w:tab w:val="left" w:pos="0"/>
        </w:tabs>
        <w:autoSpaceDE w:val="0"/>
        <w:autoSpaceDN w:val="0"/>
        <w:adjustRightInd w:val="0"/>
        <w:ind w:right="49"/>
      </w:pPr>
      <w:r w:rsidRPr="00CB604C">
        <w:t xml:space="preserve">у </w:t>
      </w:r>
      <w:r>
        <w:t>пациентов</w:t>
      </w:r>
      <w:r w:rsidRPr="00CB604C">
        <w:t xml:space="preserve"> с персистирующей фебрильной нейтропенией длительностью от 4-5 дней и отсутствием диагностически значимых результатов исследований; </w:t>
      </w:r>
    </w:p>
    <w:p w14:paraId="746395BA" w14:textId="77777777" w:rsidR="004957E5" w:rsidRDefault="004957E5" w:rsidP="004957E5">
      <w:pPr>
        <w:pStyle w:val="afe"/>
        <w:widowControl w:val="0"/>
        <w:numPr>
          <w:ilvl w:val="0"/>
          <w:numId w:val="90"/>
        </w:numPr>
        <w:tabs>
          <w:tab w:val="left" w:pos="0"/>
        </w:tabs>
        <w:autoSpaceDE w:val="0"/>
        <w:autoSpaceDN w:val="0"/>
        <w:adjustRightInd w:val="0"/>
        <w:ind w:right="49"/>
      </w:pPr>
      <w:r w:rsidRPr="00CB604C">
        <w:t xml:space="preserve">в качестве скрининга в группе высокого риска развития инфекций у </w:t>
      </w:r>
      <w:r>
        <w:t>пациентов</w:t>
      </w:r>
      <w:r w:rsidRPr="00CB604C">
        <w:t xml:space="preserve"> острыми лейкозами и у реципиентов аллогенного костного мозга при поступлении в стационар, затем каждые 7 дней до восстановления гранулоцитов в крови или лейкоцитов &gt;1,0</w:t>
      </w:r>
      <w:r>
        <w:t> </w:t>
      </w:r>
      <w:r w:rsidRPr="00CB604C">
        <w:t>×</w:t>
      </w:r>
      <w:r>
        <w:t> </w:t>
      </w:r>
      <w:r w:rsidRPr="00CB604C">
        <w:t>10</w:t>
      </w:r>
      <w:r w:rsidRPr="00CB604C">
        <w:rPr>
          <w:vertAlign w:val="superscript"/>
        </w:rPr>
        <w:t>9</w:t>
      </w:r>
      <w:r w:rsidRPr="00CB604C">
        <w:t xml:space="preserve">/л; </w:t>
      </w:r>
    </w:p>
    <w:p w14:paraId="2B73E62D" w14:textId="77777777" w:rsidR="004957E5" w:rsidRPr="00CB604C" w:rsidRDefault="004957E5" w:rsidP="004957E5">
      <w:pPr>
        <w:widowControl w:val="0"/>
        <w:tabs>
          <w:tab w:val="left" w:pos="0"/>
        </w:tabs>
        <w:autoSpaceDE w:val="0"/>
        <w:autoSpaceDN w:val="0"/>
        <w:adjustRightInd w:val="0"/>
        <w:ind w:right="49"/>
      </w:pPr>
      <w:r>
        <w:tab/>
      </w:r>
      <w:r w:rsidRPr="00CB604C">
        <w:t xml:space="preserve">С учетом выделенных микроорганизмов может быть проведена коррекция антимикробной терапии при отсутствии диагностически значимых результатов исследований из клинически значимых образцов у </w:t>
      </w:r>
      <w:r>
        <w:t>пациентов</w:t>
      </w:r>
      <w:r w:rsidRPr="00CB604C">
        <w:t xml:space="preserve"> с персистирующей фебрильной нейтропенией. Обращают внимание на выделение полирезистентных грамотрицательных бактерий – </w:t>
      </w:r>
      <w:r w:rsidRPr="00CB604C">
        <w:rPr>
          <w:i/>
          <w:iCs/>
        </w:rPr>
        <w:t>P. aeruginosa,</w:t>
      </w:r>
      <w:r w:rsidRPr="00CB604C">
        <w:rPr>
          <w:i/>
        </w:rPr>
        <w:t xml:space="preserve"> A. baumannii, S. maltophilia</w:t>
      </w:r>
      <w:r w:rsidRPr="00CB604C">
        <w:t xml:space="preserve">, энтеробактерий с продукцией БЛРС или карбапенемаз, </w:t>
      </w:r>
    </w:p>
    <w:p w14:paraId="18520B84" w14:textId="77777777" w:rsidR="004957E5" w:rsidRDefault="004957E5" w:rsidP="004957E5">
      <w:pPr>
        <w:widowControl w:val="0"/>
        <w:tabs>
          <w:tab w:val="left" w:pos="0"/>
        </w:tabs>
        <w:autoSpaceDE w:val="0"/>
        <w:autoSpaceDN w:val="0"/>
        <w:adjustRightInd w:val="0"/>
        <w:ind w:right="49"/>
        <w:contextualSpacing/>
      </w:pPr>
      <w:r w:rsidRPr="00284D51">
        <w:rPr>
          <w:i/>
          <w:iCs/>
        </w:rPr>
        <w:t>Микробиологическое исследование мазка со слизистой оболочки носовых ходов</w:t>
      </w:r>
      <w:r w:rsidRPr="00225D7F">
        <w:rPr>
          <w:i/>
          <w:iCs/>
          <w:u w:val="single"/>
        </w:rPr>
        <w:t xml:space="preserve"> </w:t>
      </w:r>
      <w:r>
        <w:t>проводят по следующим показаниям:</w:t>
      </w:r>
    </w:p>
    <w:p w14:paraId="1E907F27" w14:textId="77777777" w:rsidR="004957E5" w:rsidRDefault="004957E5" w:rsidP="004957E5">
      <w:pPr>
        <w:pStyle w:val="afe"/>
        <w:widowControl w:val="0"/>
        <w:numPr>
          <w:ilvl w:val="0"/>
          <w:numId w:val="91"/>
        </w:numPr>
        <w:tabs>
          <w:tab w:val="left" w:pos="0"/>
        </w:tabs>
        <w:autoSpaceDE w:val="0"/>
        <w:autoSpaceDN w:val="0"/>
        <w:adjustRightInd w:val="0"/>
        <w:ind w:right="49"/>
      </w:pPr>
      <w:r w:rsidRPr="00CB604C">
        <w:t>наличие некроза слизистой оболочки носового хода</w:t>
      </w:r>
      <w:r>
        <w:t xml:space="preserve"> (</w:t>
      </w:r>
      <w:r w:rsidRPr="00CB604C">
        <w:t>посев только на плесневые (мицелиальные) грибы</w:t>
      </w:r>
      <w:r>
        <w:t>)</w:t>
      </w:r>
      <w:r w:rsidRPr="00CB604C">
        <w:t xml:space="preserve">; </w:t>
      </w:r>
    </w:p>
    <w:p w14:paraId="286AB77D" w14:textId="77777777" w:rsidR="004957E5" w:rsidRPr="00CB604C" w:rsidRDefault="004957E5" w:rsidP="004957E5">
      <w:pPr>
        <w:pStyle w:val="afe"/>
        <w:widowControl w:val="0"/>
        <w:numPr>
          <w:ilvl w:val="0"/>
          <w:numId w:val="91"/>
        </w:numPr>
        <w:tabs>
          <w:tab w:val="left" w:pos="0"/>
        </w:tabs>
        <w:autoSpaceDE w:val="0"/>
        <w:autoSpaceDN w:val="0"/>
        <w:adjustRightInd w:val="0"/>
        <w:ind w:right="49"/>
      </w:pPr>
      <w:r w:rsidRPr="00CB604C">
        <w:t xml:space="preserve">исследование колонизации </w:t>
      </w:r>
      <w:r w:rsidRPr="00CB604C">
        <w:rPr>
          <w:i/>
        </w:rPr>
        <w:t>Staphylococcus aureus</w:t>
      </w:r>
      <w:r w:rsidRPr="00CB604C">
        <w:t xml:space="preserve"> у больных с пиодермией.  </w:t>
      </w:r>
    </w:p>
    <w:p w14:paraId="210DF25B" w14:textId="77777777" w:rsidR="004957E5" w:rsidRPr="00761653" w:rsidRDefault="004957E5" w:rsidP="0007729C">
      <w:pPr>
        <w:widowControl w:val="0"/>
        <w:autoSpaceDE w:val="0"/>
        <w:autoSpaceDN w:val="0"/>
        <w:adjustRightInd w:val="0"/>
        <w:ind w:right="-93" w:firstLine="709"/>
        <w:contextualSpacing/>
        <w:rPr>
          <w:b/>
          <w:bCs/>
        </w:rPr>
      </w:pPr>
      <w:r w:rsidRPr="00284D51">
        <w:rPr>
          <w:i/>
          <w:iCs/>
        </w:rPr>
        <w:t>Микробиологическое исследование биоптатов / соскобов / отделяемого пораженных участков кожи</w:t>
      </w:r>
      <w:r w:rsidRPr="00284D51">
        <w:rPr>
          <w:b/>
          <w:bCs/>
        </w:rPr>
        <w:t xml:space="preserve"> </w:t>
      </w:r>
      <w:r w:rsidRPr="00284D51">
        <w:t>проводят при наличии септикопиемических очагов кожи (инфильтраты в</w:t>
      </w:r>
      <w:r w:rsidRPr="00761653">
        <w:t xml:space="preserve"> дерме любых размеров, возникшие при </w:t>
      </w:r>
      <w:r>
        <w:t>гипертермии</w:t>
      </w:r>
      <w:r w:rsidRPr="00761653">
        <w:t>) или других образований на коже.</w:t>
      </w:r>
      <w:r w:rsidRPr="00761653">
        <w:rPr>
          <w:b/>
          <w:bCs/>
        </w:rPr>
        <w:t xml:space="preserve"> </w:t>
      </w:r>
      <w:r w:rsidRPr="00761653">
        <w:t xml:space="preserve">Проводят гистологическое и микробиологическое </w:t>
      </w:r>
      <w:r>
        <w:t xml:space="preserve">(культуральное) </w:t>
      </w:r>
      <w:r w:rsidRPr="00761653">
        <w:t xml:space="preserve">исследование на наличие </w:t>
      </w:r>
      <w:r>
        <w:t xml:space="preserve">бактерий, </w:t>
      </w:r>
      <w:r w:rsidRPr="00761653">
        <w:t>грибов</w:t>
      </w:r>
      <w:r>
        <w:t>, туберкуляза</w:t>
      </w:r>
      <w:r w:rsidRPr="00761653">
        <w:t xml:space="preserve">; </w:t>
      </w:r>
      <w:r>
        <w:t xml:space="preserve">микроскопическое исследование </w:t>
      </w:r>
      <w:r w:rsidRPr="00761653">
        <w:t>с окраской по Граму, Цилю-Нильсену, калькофлюором белым.</w:t>
      </w:r>
    </w:p>
    <w:p w14:paraId="2F174C86" w14:textId="77777777" w:rsidR="004957E5" w:rsidRPr="009F2603" w:rsidRDefault="004957E5" w:rsidP="0007729C">
      <w:pPr>
        <w:widowControl w:val="0"/>
        <w:autoSpaceDE w:val="0"/>
        <w:autoSpaceDN w:val="0"/>
        <w:adjustRightInd w:val="0"/>
        <w:ind w:firstLine="709"/>
        <w:contextualSpacing/>
        <w:rPr>
          <w:b/>
          <w:bCs/>
        </w:rPr>
      </w:pPr>
      <w:r w:rsidRPr="00284D51">
        <w:rPr>
          <w:i/>
          <w:iCs/>
        </w:rPr>
        <w:t>Исследование жидкости бронхоальвеолярного лаважа</w:t>
      </w:r>
      <w:r w:rsidRPr="00284D51">
        <w:t xml:space="preserve"> (БАЛ) проводят при наличии</w:t>
      </w:r>
      <w:r w:rsidRPr="00761653">
        <w:t xml:space="preserve"> изменений в легких. Исследование </w:t>
      </w:r>
      <w:r>
        <w:t xml:space="preserve">лаважной </w:t>
      </w:r>
      <w:r w:rsidRPr="00761653">
        <w:t xml:space="preserve">жидкости включает цитологию мазков, микроскопию мазков световую (окраска по Граму, Цилю-Нильсену) и флуоресцентную (окраска калькофлуором белым для детекции мицелия грибов), микробиологическое </w:t>
      </w:r>
      <w:r>
        <w:t xml:space="preserve">(культуральное) </w:t>
      </w:r>
      <w:r w:rsidRPr="00761653">
        <w:t xml:space="preserve">исследование на бактерии, включая </w:t>
      </w:r>
      <w:r w:rsidRPr="00761653">
        <w:rPr>
          <w:i/>
          <w:iCs/>
        </w:rPr>
        <w:t>Legionella</w:t>
      </w:r>
      <w:r w:rsidRPr="00761653">
        <w:t xml:space="preserve"> spp., и грибы, флюоресцентную микроскопию </w:t>
      </w:r>
      <w:r w:rsidRPr="00761653">
        <w:rPr>
          <w:i/>
          <w:iCs/>
        </w:rPr>
        <w:t xml:space="preserve">Pneumocystis jirovecii, </w:t>
      </w:r>
      <w:r>
        <w:rPr>
          <w:iCs/>
        </w:rPr>
        <w:t xml:space="preserve">молекулярно-биологическое исследование для </w:t>
      </w:r>
      <w:r w:rsidRPr="00761653">
        <w:t>определени</w:t>
      </w:r>
      <w:r>
        <w:t>я</w:t>
      </w:r>
      <w:r w:rsidRPr="00761653">
        <w:t xml:space="preserve"> ДНК </w:t>
      </w:r>
      <w:r w:rsidRPr="00761653">
        <w:rPr>
          <w:i/>
          <w:iCs/>
        </w:rPr>
        <w:t xml:space="preserve">P. jirovecii </w:t>
      </w:r>
      <w:r w:rsidRPr="00761653">
        <w:t>методом ПЦР, определени</w:t>
      </w:r>
      <w:r>
        <w:t>я</w:t>
      </w:r>
      <w:r w:rsidRPr="00761653">
        <w:t xml:space="preserve"> антигена </w:t>
      </w:r>
      <w:r w:rsidRPr="00761653">
        <w:rPr>
          <w:i/>
          <w:iCs/>
        </w:rPr>
        <w:lastRenderedPageBreak/>
        <w:t>Aspergillus</w:t>
      </w:r>
      <w:r w:rsidRPr="00761653">
        <w:t xml:space="preserve"> (галактоманнан) в жидкости БАЛ, </w:t>
      </w:r>
      <w:r>
        <w:t xml:space="preserve">молекулярно-биологичесие </w:t>
      </w:r>
      <w:r w:rsidRPr="00761653">
        <w:t>исследовани</w:t>
      </w:r>
      <w:r>
        <w:t>я</w:t>
      </w:r>
      <w:r w:rsidRPr="00761653">
        <w:t xml:space="preserve"> на микобактерии методом ПЦР, </w:t>
      </w:r>
      <w:r>
        <w:t xml:space="preserve">для </w:t>
      </w:r>
      <w:r w:rsidRPr="00761653">
        <w:t>определени</w:t>
      </w:r>
      <w:r>
        <w:t>я</w:t>
      </w:r>
      <w:r w:rsidRPr="00761653">
        <w:t xml:space="preserve"> ДНК </w:t>
      </w:r>
      <w:r w:rsidRPr="00761653">
        <w:rPr>
          <w:i/>
          <w:iCs/>
        </w:rPr>
        <w:t xml:space="preserve">Mycoplasma pneumoniae </w:t>
      </w:r>
      <w:r w:rsidRPr="00761653">
        <w:rPr>
          <w:iCs/>
        </w:rPr>
        <w:t>и</w:t>
      </w:r>
      <w:r w:rsidRPr="00761653">
        <w:rPr>
          <w:i/>
          <w:iCs/>
        </w:rPr>
        <w:t xml:space="preserve"> Chlamydophila pneumoniae</w:t>
      </w:r>
      <w:r w:rsidRPr="00761653">
        <w:t xml:space="preserve"> методом ПЦР, определени</w:t>
      </w:r>
      <w:r>
        <w:t>я</w:t>
      </w:r>
      <w:r w:rsidRPr="00761653">
        <w:t xml:space="preserve"> ДНК герпес вирусов и респираторных вирусов (Influenza, Parainfluenza, RSV, Coronavirus, Human metapneumovirus, H1N1) методом ПЦР.</w:t>
      </w:r>
    </w:p>
    <w:p w14:paraId="2BDF84C0" w14:textId="77777777" w:rsidR="004957E5" w:rsidRPr="00284D51" w:rsidRDefault="004957E5" w:rsidP="0007729C">
      <w:pPr>
        <w:widowControl w:val="0"/>
        <w:tabs>
          <w:tab w:val="left" w:pos="1134"/>
        </w:tabs>
        <w:autoSpaceDE w:val="0"/>
        <w:autoSpaceDN w:val="0"/>
        <w:adjustRightInd w:val="0"/>
        <w:ind w:firstLine="709"/>
        <w:contextualSpacing/>
        <w:rPr>
          <w:b/>
        </w:rPr>
      </w:pPr>
      <w:r w:rsidRPr="00284D51">
        <w:rPr>
          <w:i/>
          <w:iCs/>
        </w:rPr>
        <w:t>Определение антигена Legionella pneumophila в моче</w:t>
      </w:r>
      <w:r w:rsidRPr="00284D51">
        <w:rPr>
          <w:b/>
        </w:rPr>
        <w:t xml:space="preserve"> </w:t>
      </w:r>
      <w:r w:rsidRPr="00284D51">
        <w:t>проводится при наличии</w:t>
      </w:r>
      <w:r w:rsidRPr="00761653">
        <w:t xml:space="preserve"> </w:t>
      </w:r>
      <w:r w:rsidRPr="00284D51">
        <w:t>пневмонии с очагами консолидации.</w:t>
      </w:r>
    </w:p>
    <w:p w14:paraId="38F48BF2" w14:textId="77777777" w:rsidR="004957E5" w:rsidRPr="00284D51" w:rsidRDefault="004957E5" w:rsidP="0007729C">
      <w:pPr>
        <w:widowControl w:val="0"/>
        <w:autoSpaceDE w:val="0"/>
        <w:autoSpaceDN w:val="0"/>
        <w:adjustRightInd w:val="0"/>
        <w:ind w:firstLine="709"/>
        <w:contextualSpacing/>
        <w:rPr>
          <w:bCs/>
        </w:rPr>
      </w:pPr>
      <w:r w:rsidRPr="00284D51">
        <w:rPr>
          <w:i/>
          <w:iCs/>
        </w:rPr>
        <w:t>Исследование антигена Aspergillus (галактоманнан) в сыворотке крови, в жидкости БАЛ, в СМЖ</w:t>
      </w:r>
      <w:r w:rsidRPr="00284D51">
        <w:rPr>
          <w:bCs/>
          <w:iCs/>
        </w:rPr>
        <w:t xml:space="preserve"> показано в следующих клинических ситуациях:</w:t>
      </w:r>
      <w:r w:rsidRPr="00284D51">
        <w:rPr>
          <w:bCs/>
        </w:rPr>
        <w:t xml:space="preserve"> </w:t>
      </w:r>
    </w:p>
    <w:p w14:paraId="18A9A6B9" w14:textId="77777777" w:rsidR="004957E5" w:rsidRPr="00833774" w:rsidRDefault="004957E5" w:rsidP="004957E5">
      <w:pPr>
        <w:pStyle w:val="afe"/>
        <w:widowControl w:val="0"/>
        <w:numPr>
          <w:ilvl w:val="0"/>
          <w:numId w:val="92"/>
        </w:numPr>
        <w:tabs>
          <w:tab w:val="left" w:pos="0"/>
        </w:tabs>
        <w:autoSpaceDE w:val="0"/>
        <w:autoSpaceDN w:val="0"/>
        <w:adjustRightInd w:val="0"/>
      </w:pPr>
      <w:r w:rsidRPr="00833774">
        <w:rPr>
          <w:bCs/>
        </w:rPr>
        <w:t xml:space="preserve">мониторинг в период нейтропении у </w:t>
      </w:r>
      <w:r>
        <w:rPr>
          <w:bCs/>
        </w:rPr>
        <w:t>пациентов</w:t>
      </w:r>
      <w:r w:rsidRPr="00833774">
        <w:rPr>
          <w:bCs/>
        </w:rPr>
        <w:t xml:space="preserve"> острыми миело</w:t>
      </w:r>
      <w:r>
        <w:rPr>
          <w:bCs/>
        </w:rPr>
        <w:t>идными лейкозами и у реципиентов</w:t>
      </w:r>
      <w:r w:rsidRPr="00833774">
        <w:rPr>
          <w:bCs/>
        </w:rPr>
        <w:t xml:space="preserve"> аллогеннных гемопоэтических клеток, если не проводится профилактики противогрибковыми препаратами, активными</w:t>
      </w:r>
      <w:r>
        <w:rPr>
          <w:bCs/>
        </w:rPr>
        <w:t xml:space="preserve"> в отношении плесневых грибов; </w:t>
      </w:r>
    </w:p>
    <w:p w14:paraId="3F6DB896" w14:textId="77777777" w:rsidR="004957E5" w:rsidRDefault="004957E5" w:rsidP="004957E5">
      <w:pPr>
        <w:pStyle w:val="afe"/>
        <w:widowControl w:val="0"/>
        <w:numPr>
          <w:ilvl w:val="0"/>
          <w:numId w:val="92"/>
        </w:numPr>
        <w:tabs>
          <w:tab w:val="left" w:pos="0"/>
        </w:tabs>
        <w:autoSpaceDE w:val="0"/>
        <w:autoSpaceDN w:val="0"/>
        <w:adjustRightInd w:val="0"/>
      </w:pPr>
      <w:r w:rsidRPr="00680401">
        <w:t>у пациентов с факторами риска (длительность нейтропении от 10 дней и более, применени</w:t>
      </w:r>
      <w:r>
        <w:t>е глюкокортикоидов, флударабина</w:t>
      </w:r>
      <w:r w:rsidRPr="00680401">
        <w:t>) и р</w:t>
      </w:r>
      <w:r>
        <w:t>ади</w:t>
      </w:r>
      <w:r w:rsidRPr="00680401">
        <w:t xml:space="preserve">ологическими признаками, характерными для инвазивного аспергиллеза, в период нейтропении. </w:t>
      </w:r>
    </w:p>
    <w:p w14:paraId="6F4F20DD" w14:textId="77777777" w:rsidR="004957E5" w:rsidRDefault="004957E5" w:rsidP="004957E5">
      <w:pPr>
        <w:pStyle w:val="afe"/>
        <w:widowControl w:val="0"/>
        <w:numPr>
          <w:ilvl w:val="0"/>
          <w:numId w:val="92"/>
        </w:numPr>
        <w:tabs>
          <w:tab w:val="left" w:pos="0"/>
        </w:tabs>
        <w:autoSpaceDE w:val="0"/>
        <w:autoSpaceDN w:val="0"/>
        <w:adjustRightInd w:val="0"/>
      </w:pPr>
      <w:r>
        <w:t xml:space="preserve">при клинико-радиологических признаках, подозрительных в отношении инвазивного аспергилеза, независимо от </w:t>
      </w:r>
      <w:r w:rsidRPr="00680401">
        <w:t>нейтропении.</w:t>
      </w:r>
    </w:p>
    <w:p w14:paraId="49ACBE56" w14:textId="1B1C8EB1" w:rsidR="004957E5" w:rsidRPr="00761653" w:rsidRDefault="004957E5" w:rsidP="004957E5">
      <w:pPr>
        <w:widowControl w:val="0"/>
        <w:tabs>
          <w:tab w:val="left" w:pos="0"/>
        </w:tabs>
        <w:autoSpaceDE w:val="0"/>
        <w:autoSpaceDN w:val="0"/>
        <w:adjustRightInd w:val="0"/>
      </w:pPr>
      <w:r>
        <w:rPr>
          <w:bCs/>
        </w:rPr>
        <w:tab/>
      </w:r>
      <w:r w:rsidRPr="00680401">
        <w:rPr>
          <w:bCs/>
        </w:rPr>
        <w:t>И</w:t>
      </w:r>
      <w:r w:rsidRPr="00680401">
        <w:t xml:space="preserve">сследование проводят не менее двух раз в течение 5 дней. Антиген </w:t>
      </w:r>
      <w:r w:rsidRPr="00680401">
        <w:rPr>
          <w:i/>
          <w:iCs/>
        </w:rPr>
        <w:t>Aspergillus</w:t>
      </w:r>
      <w:r w:rsidRPr="00680401">
        <w:t xml:space="preserve"> исследуют до назначения противогрибковых препаратов, активных в отношении мицелиальных грибов. Тест включен в критерии диагностики инвазивного аспергиллеза.</w:t>
      </w:r>
      <w:r>
        <w:t xml:space="preserve"> </w:t>
      </w:r>
      <w:r w:rsidRPr="00761653">
        <w:t xml:space="preserve">Положительные значения индекса оптической плотности определения антигена </w:t>
      </w:r>
      <w:r w:rsidRPr="00761653">
        <w:rPr>
          <w:i/>
          <w:iCs/>
        </w:rPr>
        <w:t>Aspergillus</w:t>
      </w:r>
      <w:r w:rsidRPr="00761653">
        <w:t xml:space="preserve"> в сыворотке крови</w:t>
      </w:r>
      <w:r>
        <w:t xml:space="preserve">: </w:t>
      </w:r>
      <w:r w:rsidRPr="00761653">
        <w:t xml:space="preserve"> ≥0,5, в жидкости БАЛ</w:t>
      </w:r>
      <w:r>
        <w:t>:</w:t>
      </w:r>
      <w:r w:rsidRPr="00761653">
        <w:t xml:space="preserve"> ≥1,0, в СМЖ</w:t>
      </w:r>
      <w:r>
        <w:t>:</w:t>
      </w:r>
      <w:r w:rsidRPr="00761653">
        <w:t xml:space="preserve"> ≥1,0</w:t>
      </w:r>
      <w:r>
        <w:t xml:space="preserve"> </w:t>
      </w:r>
      <w:r>
        <w:fldChar w:fldCharType="begin" w:fldLock="1"/>
      </w:r>
      <w:r w:rsidR="00D25525">
        <w:instrText>ADDIN CSL_CITATION {"citationItems":[{"id":"ITEM-1","itemData":{"DOI":"10.1038/bmt.2010.175","ISSN":"14765365","abstract":"In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Transplantation","id":"ITEM-1","issue":"5","issued":{"date-parts":[["2011"]]},"page":"709-718","publisher":"Nature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mendeley":{"formattedCitation":"[159]","plainTextFormattedCitation":"[159]","previouslyFormattedCitation":"[159]"},"properties":{"noteIndex":0},"schema":"https://github.com/citation-style-language/schema/raw/master/csl-citation.json"}</w:instrText>
      </w:r>
      <w:r>
        <w:fldChar w:fldCharType="separate"/>
      </w:r>
      <w:r w:rsidR="007466F7" w:rsidRPr="007466F7">
        <w:rPr>
          <w:noProof/>
        </w:rPr>
        <w:t>[159]</w:t>
      </w:r>
      <w:r>
        <w:fldChar w:fldCharType="end"/>
      </w:r>
      <w:r w:rsidRPr="00761653">
        <w:t xml:space="preserve">. </w:t>
      </w:r>
    </w:p>
    <w:p w14:paraId="030ED36B" w14:textId="77777777" w:rsidR="004957E5" w:rsidRPr="00284D51" w:rsidRDefault="004957E5" w:rsidP="0007729C">
      <w:pPr>
        <w:widowControl w:val="0"/>
        <w:autoSpaceDE w:val="0"/>
        <w:autoSpaceDN w:val="0"/>
        <w:adjustRightInd w:val="0"/>
        <w:ind w:firstLine="709"/>
        <w:contextualSpacing/>
      </w:pPr>
      <w:r w:rsidRPr="00284D51">
        <w:rPr>
          <w:i/>
          <w:iCs/>
        </w:rPr>
        <w:t>Исследование антигена Candida (маннан) и антител Candida (антиманнан) в сыворотке крови</w:t>
      </w:r>
      <w:r w:rsidRPr="00284D51">
        <w:t xml:space="preserve"> проводят по следующим показаниям:</w:t>
      </w:r>
    </w:p>
    <w:p w14:paraId="6AD1721B" w14:textId="77777777" w:rsidR="004957E5" w:rsidRDefault="004957E5" w:rsidP="004957E5">
      <w:pPr>
        <w:pStyle w:val="afe"/>
        <w:widowControl w:val="0"/>
        <w:numPr>
          <w:ilvl w:val="0"/>
          <w:numId w:val="93"/>
        </w:numPr>
        <w:tabs>
          <w:tab w:val="left" w:pos="0"/>
        </w:tabs>
        <w:autoSpaceDE w:val="0"/>
        <w:autoSpaceDN w:val="0"/>
        <w:adjustRightInd w:val="0"/>
      </w:pPr>
      <w:r w:rsidRPr="00315F82">
        <w:t xml:space="preserve">множественные очаги в печени и/или селезенке (подозрение на гепатолиенальный кандидоз); </w:t>
      </w:r>
    </w:p>
    <w:p w14:paraId="00136589" w14:textId="77777777" w:rsidR="004957E5" w:rsidRDefault="004957E5" w:rsidP="004957E5">
      <w:pPr>
        <w:pStyle w:val="afe"/>
        <w:widowControl w:val="0"/>
        <w:numPr>
          <w:ilvl w:val="0"/>
          <w:numId w:val="93"/>
        </w:numPr>
        <w:tabs>
          <w:tab w:val="left" w:pos="0"/>
        </w:tabs>
        <w:autoSpaceDE w:val="0"/>
        <w:autoSpaceDN w:val="0"/>
        <w:adjustRightInd w:val="0"/>
      </w:pPr>
      <w:r w:rsidRPr="00315F82">
        <w:t xml:space="preserve">предполагаемый инвазивный кандидоз у больных с длительной (более 7-10 дней) персистирующей температурой. </w:t>
      </w:r>
    </w:p>
    <w:p w14:paraId="032AD638" w14:textId="77777777" w:rsidR="004957E5" w:rsidRPr="00315F82" w:rsidRDefault="004957E5" w:rsidP="004957E5">
      <w:pPr>
        <w:widowControl w:val="0"/>
        <w:tabs>
          <w:tab w:val="left" w:pos="0"/>
        </w:tabs>
        <w:autoSpaceDE w:val="0"/>
        <w:autoSpaceDN w:val="0"/>
        <w:adjustRightInd w:val="0"/>
      </w:pPr>
      <w:r>
        <w:tab/>
      </w:r>
      <w:r w:rsidRPr="00315F82">
        <w:t xml:space="preserve">Образец для исследования </w:t>
      </w:r>
      <w:r>
        <w:t>–</w:t>
      </w:r>
      <w:r w:rsidRPr="00315F82">
        <w:t xml:space="preserve"> кровь. Результат исследования считается положи</w:t>
      </w:r>
      <w:r>
        <w:t xml:space="preserve">тельным при следующих значениях: </w:t>
      </w:r>
      <w:r w:rsidRPr="00315F82">
        <w:t xml:space="preserve">антиген </w:t>
      </w:r>
      <w:r w:rsidRPr="00315F82">
        <w:rPr>
          <w:i/>
          <w:iCs/>
        </w:rPr>
        <w:t>Candida</w:t>
      </w:r>
      <w:r w:rsidRPr="00315F82">
        <w:t xml:space="preserve"> (маннан) ≥125 пг/мл; антитела </w:t>
      </w:r>
      <w:r w:rsidRPr="00315F82">
        <w:rPr>
          <w:i/>
          <w:iCs/>
        </w:rPr>
        <w:t>Candida</w:t>
      </w:r>
      <w:r w:rsidRPr="00315F82">
        <w:t xml:space="preserve"> (антиманнан) ≥10 МЕ/мл. Тест не включен в критерии диагностики инвазивного кандидоза. Тест имеет высокое отрицательное прогностическое значение. При положительных значениях нельзя исключить наличие инвазивного кандидоза. </w:t>
      </w:r>
      <w:r w:rsidRPr="00315F82">
        <w:lastRenderedPageBreak/>
        <w:t xml:space="preserve">Чувствительность и специфичность составляют около 50—60%. У </w:t>
      </w:r>
      <w:r>
        <w:t xml:space="preserve">пациентов </w:t>
      </w:r>
      <w:r w:rsidRPr="00315F82">
        <w:t xml:space="preserve">с колонизацией слизистых оболочек </w:t>
      </w:r>
      <w:r w:rsidRPr="00315F82">
        <w:rPr>
          <w:i/>
        </w:rPr>
        <w:t>Candida</w:t>
      </w:r>
      <w:r w:rsidRPr="00315F82">
        <w:t xml:space="preserve"> spp могут быть положительные значения антиманнана.</w:t>
      </w:r>
    </w:p>
    <w:p w14:paraId="1D68E496" w14:textId="77777777" w:rsidR="004957E5" w:rsidRPr="00284D51" w:rsidRDefault="004957E5" w:rsidP="0007729C">
      <w:pPr>
        <w:widowControl w:val="0"/>
        <w:autoSpaceDE w:val="0"/>
        <w:autoSpaceDN w:val="0"/>
        <w:adjustRightInd w:val="0"/>
        <w:ind w:firstLine="709"/>
        <w:contextualSpacing/>
      </w:pPr>
      <w:r w:rsidRPr="00284D51">
        <w:rPr>
          <w:i/>
          <w:iCs/>
        </w:rPr>
        <w:t>Определение антигена Cryptocococcus (глюкуроноксиломаннан)</w:t>
      </w:r>
      <w:r w:rsidRPr="00284D51">
        <w:t xml:space="preserve"> выполняется при</w:t>
      </w:r>
      <w:r>
        <w:t xml:space="preserve"> </w:t>
      </w:r>
      <w:r w:rsidRPr="00761653">
        <w:t>подозрени</w:t>
      </w:r>
      <w:r>
        <w:t>и</w:t>
      </w:r>
      <w:r w:rsidRPr="00761653">
        <w:t xml:space="preserve"> на инфекцию, вызванную криптококком, у </w:t>
      </w:r>
      <w:r>
        <w:t>пациентов с факторами риска (Т-клеточный</w:t>
      </w:r>
      <w:r w:rsidRPr="00761653">
        <w:t xml:space="preserve"> иммунодефицит) возникновения этой инфекции. Группу риска </w:t>
      </w:r>
      <w:r>
        <w:t xml:space="preserve">в том числе </w:t>
      </w:r>
      <w:r w:rsidRPr="00761653">
        <w:t xml:space="preserve">составляют </w:t>
      </w:r>
      <w:r>
        <w:t>пациенты, получающие</w:t>
      </w:r>
      <w:r w:rsidRPr="00761653">
        <w:t xml:space="preserve"> лечение глюкокортикоидами, флударабином, </w:t>
      </w:r>
      <w:r>
        <w:t>и др</w:t>
      </w:r>
      <w:r w:rsidRPr="00761653">
        <w:t xml:space="preserve">. Определяют антиген в СМЖ, в крови, жидкости БАЛ, моче. Тест включен в критерии диагностики инвазивного криптоккоза. Исследование проводят с помощью латекс-теста </w:t>
      </w:r>
      <w:r w:rsidRPr="00284D51">
        <w:t>(качественный анализ).</w:t>
      </w:r>
    </w:p>
    <w:p w14:paraId="5C15FF23" w14:textId="77777777" w:rsidR="004957E5" w:rsidRPr="00284D51" w:rsidRDefault="004957E5" w:rsidP="0007729C">
      <w:pPr>
        <w:widowControl w:val="0"/>
        <w:autoSpaceDE w:val="0"/>
        <w:autoSpaceDN w:val="0"/>
        <w:adjustRightInd w:val="0"/>
        <w:ind w:firstLine="709"/>
        <w:contextualSpacing/>
      </w:pPr>
      <w:r w:rsidRPr="00284D51">
        <w:rPr>
          <w:i/>
          <w:iCs/>
        </w:rPr>
        <w:t>Исследование антитела Мycoplasma pneumoniae (IgM, IgG), Chlamydophila pneumoniae (IgM, IgG) в крови выполняется</w:t>
      </w:r>
      <w:r w:rsidRPr="00284D51">
        <w:t xml:space="preserve"> при пневмонии, возникшей амбулаторно.</w:t>
      </w:r>
    </w:p>
    <w:p w14:paraId="52E9D5A1" w14:textId="77777777" w:rsidR="004957E5" w:rsidRPr="00284D51" w:rsidRDefault="004957E5" w:rsidP="0007729C">
      <w:pPr>
        <w:widowControl w:val="0"/>
        <w:tabs>
          <w:tab w:val="left" w:pos="0"/>
        </w:tabs>
        <w:autoSpaceDE w:val="0"/>
        <w:autoSpaceDN w:val="0"/>
        <w:adjustRightInd w:val="0"/>
        <w:ind w:firstLine="709"/>
        <w:contextualSpacing/>
      </w:pPr>
      <w:r w:rsidRPr="00284D51">
        <w:t xml:space="preserve">Показаниями к проведению </w:t>
      </w:r>
      <w:r w:rsidRPr="00284D51">
        <w:rPr>
          <w:i/>
          <w:iCs/>
        </w:rPr>
        <w:t>КТ/СКТ органов грудной полости являются:</w:t>
      </w:r>
    </w:p>
    <w:p w14:paraId="6FB55B40" w14:textId="77777777" w:rsidR="004957E5" w:rsidRDefault="004957E5" w:rsidP="004957E5">
      <w:pPr>
        <w:pStyle w:val="afe"/>
        <w:widowControl w:val="0"/>
        <w:numPr>
          <w:ilvl w:val="0"/>
          <w:numId w:val="94"/>
        </w:numPr>
        <w:tabs>
          <w:tab w:val="left" w:pos="0"/>
        </w:tabs>
        <w:autoSpaceDE w:val="0"/>
        <w:autoSpaceDN w:val="0"/>
        <w:adjustRightInd w:val="0"/>
      </w:pPr>
      <w:r w:rsidRPr="00016F8E">
        <w:t xml:space="preserve">пневмония (аускультативные признаки); </w:t>
      </w:r>
    </w:p>
    <w:p w14:paraId="1B7A9752" w14:textId="77777777" w:rsidR="004957E5" w:rsidRDefault="004957E5" w:rsidP="004957E5">
      <w:pPr>
        <w:pStyle w:val="afe"/>
        <w:widowControl w:val="0"/>
        <w:numPr>
          <w:ilvl w:val="0"/>
          <w:numId w:val="94"/>
        </w:numPr>
        <w:tabs>
          <w:tab w:val="left" w:pos="0"/>
        </w:tabs>
        <w:autoSpaceDE w:val="0"/>
        <w:autoSpaceDN w:val="0"/>
        <w:adjustRightInd w:val="0"/>
      </w:pPr>
      <w:r w:rsidRPr="00016F8E">
        <w:t xml:space="preserve">персистирующая фебрильная нейтропения от 3 дней и более, независимо от физикальной картины в легких; </w:t>
      </w:r>
    </w:p>
    <w:p w14:paraId="490BDC03" w14:textId="77777777" w:rsidR="004957E5" w:rsidRDefault="004957E5" w:rsidP="004957E5">
      <w:pPr>
        <w:pStyle w:val="afe"/>
        <w:widowControl w:val="0"/>
        <w:numPr>
          <w:ilvl w:val="0"/>
          <w:numId w:val="94"/>
        </w:numPr>
        <w:tabs>
          <w:tab w:val="left" w:pos="0"/>
        </w:tabs>
        <w:autoSpaceDE w:val="0"/>
        <w:autoSpaceDN w:val="0"/>
        <w:adjustRightInd w:val="0"/>
      </w:pPr>
      <w:r w:rsidRPr="00016F8E">
        <w:t xml:space="preserve">контроль выявленных изменений в легких через 7-14 дней в зависимости от состояния больного и диагностированной инфекции. </w:t>
      </w:r>
    </w:p>
    <w:p w14:paraId="670433E8" w14:textId="77777777" w:rsidR="004957E5" w:rsidRPr="00761653" w:rsidRDefault="004957E5" w:rsidP="004957E5">
      <w:pPr>
        <w:widowControl w:val="0"/>
        <w:tabs>
          <w:tab w:val="left" w:pos="0"/>
        </w:tabs>
        <w:autoSpaceDE w:val="0"/>
        <w:autoSpaceDN w:val="0"/>
        <w:adjustRightInd w:val="0"/>
      </w:pPr>
      <w:r>
        <w:tab/>
      </w:r>
      <w:r w:rsidRPr="00016F8E">
        <w:t>КТ/СКТ во всех случаях без проводят без предварительной рентгенографии грудной клетки.</w:t>
      </w:r>
      <w:r>
        <w:t xml:space="preserve"> </w:t>
      </w:r>
      <w:r w:rsidRPr="00761653">
        <w:t xml:space="preserve">Рентгенография органов грудной клетки относится к малоинформативным методам исследования у </w:t>
      </w:r>
      <w:r>
        <w:t xml:space="preserve">гематологических пациентов, предпочтительно </w:t>
      </w:r>
      <w:r w:rsidRPr="00761653">
        <w:t>для диагностики инфекционных осложнений</w:t>
      </w:r>
      <w:r>
        <w:t xml:space="preserve"> применять КТ/СКТ</w:t>
      </w:r>
      <w:r w:rsidRPr="00761653">
        <w:t>.</w:t>
      </w:r>
    </w:p>
    <w:p w14:paraId="27483CCD" w14:textId="77777777" w:rsidR="004957E5" w:rsidRPr="008572A7" w:rsidRDefault="004957E5" w:rsidP="0007729C">
      <w:pPr>
        <w:widowControl w:val="0"/>
        <w:autoSpaceDE w:val="0"/>
        <w:autoSpaceDN w:val="0"/>
        <w:adjustRightInd w:val="0"/>
        <w:ind w:firstLine="709"/>
        <w:contextualSpacing/>
        <w:rPr>
          <w:b/>
          <w:bCs/>
          <w:u w:val="single"/>
        </w:rPr>
      </w:pPr>
      <w:r w:rsidRPr="00284D51">
        <w:rPr>
          <w:i/>
          <w:iCs/>
        </w:rPr>
        <w:t>Ультразвуковое исследование (УЗИ), КТ/СКТ, МРТ органов брюшной полости</w:t>
      </w:r>
      <w:r w:rsidRPr="00284D51">
        <w:rPr>
          <w:b/>
          <w:bCs/>
        </w:rPr>
        <w:t xml:space="preserve"> </w:t>
      </w:r>
      <w:r w:rsidRPr="00284D51">
        <w:t>для</w:t>
      </w:r>
      <w:r>
        <w:t xml:space="preserve"> уточнения инфекционного процесса проводят по клиническим показаниям, в том числе:</w:t>
      </w:r>
    </w:p>
    <w:p w14:paraId="19513F12" w14:textId="77777777" w:rsidR="004957E5" w:rsidRDefault="004957E5" w:rsidP="004957E5">
      <w:pPr>
        <w:pStyle w:val="afe"/>
        <w:widowControl w:val="0"/>
        <w:numPr>
          <w:ilvl w:val="0"/>
          <w:numId w:val="95"/>
        </w:numPr>
        <w:tabs>
          <w:tab w:val="left" w:pos="0"/>
        </w:tabs>
        <w:autoSpaceDE w:val="0"/>
        <w:autoSpaceDN w:val="0"/>
        <w:adjustRightInd w:val="0"/>
      </w:pPr>
      <w:r w:rsidRPr="00016F8E">
        <w:t>сохраняющаяся лихорадка (колебания температуры в течение суток от 37 до 39°С), особенно у больных вне лейкопении (</w:t>
      </w:r>
      <w:r>
        <w:t xml:space="preserve">для </w:t>
      </w:r>
      <w:r w:rsidRPr="00016F8E">
        <w:t>диагности</w:t>
      </w:r>
      <w:r>
        <w:t>ки</w:t>
      </w:r>
      <w:r w:rsidRPr="00016F8E">
        <w:t xml:space="preserve"> гепатолиенального кандидоза); </w:t>
      </w:r>
    </w:p>
    <w:p w14:paraId="5CED4AA9" w14:textId="77777777" w:rsidR="004957E5" w:rsidRDefault="004957E5" w:rsidP="004957E5">
      <w:pPr>
        <w:pStyle w:val="afe"/>
        <w:widowControl w:val="0"/>
        <w:numPr>
          <w:ilvl w:val="0"/>
          <w:numId w:val="95"/>
        </w:numPr>
        <w:tabs>
          <w:tab w:val="left" w:pos="0"/>
        </w:tabs>
        <w:autoSpaceDE w:val="0"/>
        <w:autoSpaceDN w:val="0"/>
        <w:adjustRightInd w:val="0"/>
      </w:pPr>
      <w:r>
        <w:t>при диагностированнмм аспергиллезе</w:t>
      </w:r>
      <w:r w:rsidRPr="00016F8E">
        <w:t xml:space="preserve"> легких или мукормикоз</w:t>
      </w:r>
      <w:r>
        <w:t>е</w:t>
      </w:r>
      <w:r w:rsidRPr="00016F8E">
        <w:t xml:space="preserve"> (</w:t>
      </w:r>
      <w:r>
        <w:t xml:space="preserve">для </w:t>
      </w:r>
      <w:r w:rsidRPr="00016F8E">
        <w:t>исключ</w:t>
      </w:r>
      <w:r>
        <w:t>ения</w:t>
      </w:r>
      <w:r w:rsidRPr="00016F8E">
        <w:t xml:space="preserve"> диссеминаци</w:t>
      </w:r>
      <w:r>
        <w:t>и</w:t>
      </w:r>
      <w:r w:rsidRPr="00016F8E">
        <w:t xml:space="preserve">); </w:t>
      </w:r>
    </w:p>
    <w:p w14:paraId="16562D48" w14:textId="77777777" w:rsidR="004957E5" w:rsidRDefault="004957E5" w:rsidP="004957E5">
      <w:pPr>
        <w:pStyle w:val="afe"/>
        <w:widowControl w:val="0"/>
        <w:numPr>
          <w:ilvl w:val="0"/>
          <w:numId w:val="95"/>
        </w:numPr>
        <w:tabs>
          <w:tab w:val="left" w:pos="0"/>
        </w:tabs>
        <w:autoSpaceDE w:val="0"/>
        <w:autoSpaceDN w:val="0"/>
        <w:adjustRightInd w:val="0"/>
      </w:pPr>
      <w:r>
        <w:t xml:space="preserve">для </w:t>
      </w:r>
      <w:r w:rsidRPr="00016F8E">
        <w:t>контрол</w:t>
      </w:r>
      <w:r>
        <w:t>я</w:t>
      </w:r>
      <w:r w:rsidRPr="00016F8E">
        <w:t xml:space="preserve"> выявленных</w:t>
      </w:r>
      <w:r>
        <w:t xml:space="preserve"> ранее</w:t>
      </w:r>
      <w:r w:rsidRPr="00016F8E">
        <w:t xml:space="preserve"> изменений. </w:t>
      </w:r>
    </w:p>
    <w:p w14:paraId="0313EE9D" w14:textId="77777777" w:rsidR="004957E5" w:rsidRPr="00016F8E" w:rsidRDefault="004957E5" w:rsidP="004957E5">
      <w:pPr>
        <w:widowControl w:val="0"/>
        <w:tabs>
          <w:tab w:val="left" w:pos="0"/>
        </w:tabs>
        <w:autoSpaceDE w:val="0"/>
        <w:autoSpaceDN w:val="0"/>
        <w:adjustRightInd w:val="0"/>
      </w:pPr>
      <w:r>
        <w:tab/>
      </w:r>
      <w:r w:rsidRPr="00016F8E">
        <w:t>При диагностике гепатолиенального кандидоза контрольное исследование проводят не ранее чем через 1 мес терапии системными противогрибковыми препаратами</w:t>
      </w:r>
      <w:r>
        <w:t>,</w:t>
      </w:r>
      <w:r w:rsidRPr="00016F8E">
        <w:t xml:space="preserve"> вне лейкопении.</w:t>
      </w:r>
    </w:p>
    <w:p w14:paraId="2EB5AD24" w14:textId="77777777" w:rsidR="004957E5" w:rsidRPr="008572A7" w:rsidRDefault="004957E5" w:rsidP="0007729C">
      <w:pPr>
        <w:widowControl w:val="0"/>
        <w:autoSpaceDE w:val="0"/>
        <w:autoSpaceDN w:val="0"/>
        <w:adjustRightInd w:val="0"/>
        <w:ind w:firstLine="709"/>
        <w:contextualSpacing/>
        <w:rPr>
          <w:b/>
          <w:u w:val="single"/>
        </w:rPr>
      </w:pPr>
      <w:r w:rsidRPr="00284D51">
        <w:rPr>
          <w:i/>
          <w:iCs/>
        </w:rPr>
        <w:t>КТ или МРТ головного мозга</w:t>
      </w:r>
      <w:r w:rsidRPr="00284D51">
        <w:rPr>
          <w:bCs/>
        </w:rPr>
        <w:t xml:space="preserve"> </w:t>
      </w:r>
      <w:r w:rsidRPr="00284D51">
        <w:t>проводят для исключения инфекционного поражения</w:t>
      </w:r>
      <w:r>
        <w:t xml:space="preserve"> головного мозга:</w:t>
      </w:r>
    </w:p>
    <w:p w14:paraId="0AC00916" w14:textId="77777777" w:rsidR="004957E5" w:rsidRDefault="004957E5" w:rsidP="004957E5">
      <w:pPr>
        <w:pStyle w:val="afe"/>
        <w:widowControl w:val="0"/>
        <w:numPr>
          <w:ilvl w:val="0"/>
          <w:numId w:val="96"/>
        </w:numPr>
        <w:tabs>
          <w:tab w:val="left" w:pos="0"/>
        </w:tabs>
        <w:autoSpaceDE w:val="0"/>
        <w:autoSpaceDN w:val="0"/>
        <w:adjustRightInd w:val="0"/>
      </w:pPr>
      <w:r>
        <w:lastRenderedPageBreak/>
        <w:t>при наличии</w:t>
      </w:r>
      <w:r w:rsidRPr="00016F8E">
        <w:t xml:space="preserve"> симптомов </w:t>
      </w:r>
      <w:r>
        <w:t>поражения</w:t>
      </w:r>
      <w:r w:rsidRPr="00016F8E">
        <w:t xml:space="preserve"> центральной нервной системы (ЦНС)</w:t>
      </w:r>
      <w:r>
        <w:t>;</w:t>
      </w:r>
    </w:p>
    <w:p w14:paraId="042954A8" w14:textId="77777777" w:rsidR="004957E5" w:rsidRPr="00016F8E" w:rsidRDefault="004957E5" w:rsidP="004957E5">
      <w:pPr>
        <w:pStyle w:val="afe"/>
        <w:widowControl w:val="0"/>
        <w:numPr>
          <w:ilvl w:val="0"/>
          <w:numId w:val="96"/>
        </w:numPr>
        <w:tabs>
          <w:tab w:val="left" w:pos="0"/>
        </w:tabs>
        <w:autoSpaceDE w:val="0"/>
        <w:autoSpaceDN w:val="0"/>
        <w:adjustRightInd w:val="0"/>
      </w:pPr>
      <w:r w:rsidRPr="00016F8E">
        <w:t>при диагностике инвазивного аспергиллеза легких/околоносовых пазух или мукормикоза (</w:t>
      </w:r>
      <w:r>
        <w:t xml:space="preserve">для </w:t>
      </w:r>
      <w:r w:rsidRPr="00016F8E">
        <w:t>исключ</w:t>
      </w:r>
      <w:r>
        <w:t>ения</w:t>
      </w:r>
      <w:r w:rsidRPr="00016F8E">
        <w:t xml:space="preserve"> диссеминаци</w:t>
      </w:r>
      <w:r>
        <w:t>и</w:t>
      </w:r>
      <w:r w:rsidRPr="00016F8E">
        <w:t>).</w:t>
      </w:r>
    </w:p>
    <w:p w14:paraId="40A16555" w14:textId="77777777" w:rsidR="004957E5" w:rsidRPr="00284D51" w:rsidRDefault="004957E5" w:rsidP="0007729C">
      <w:pPr>
        <w:widowControl w:val="0"/>
        <w:autoSpaceDE w:val="0"/>
        <w:autoSpaceDN w:val="0"/>
        <w:adjustRightInd w:val="0"/>
        <w:ind w:firstLine="709"/>
        <w:contextualSpacing/>
        <w:rPr>
          <w:i/>
          <w:iCs/>
        </w:rPr>
      </w:pPr>
      <w:r w:rsidRPr="00284D51">
        <w:rPr>
          <w:i/>
          <w:iCs/>
        </w:rPr>
        <w:t>Эхокардиография (ЭхоКГ), включая чрезпищеводную ЭхоКГ</w:t>
      </w:r>
    </w:p>
    <w:p w14:paraId="0AB93F7B" w14:textId="77777777" w:rsidR="004957E5" w:rsidRDefault="004957E5" w:rsidP="0007729C">
      <w:pPr>
        <w:widowControl w:val="0"/>
        <w:autoSpaceDE w:val="0"/>
        <w:autoSpaceDN w:val="0"/>
        <w:adjustRightInd w:val="0"/>
        <w:ind w:firstLine="709"/>
        <w:contextualSpacing/>
      </w:pPr>
      <w:r>
        <w:t>Проводится для исключения бактериального эндокардита, особенно в случае:</w:t>
      </w:r>
    </w:p>
    <w:p w14:paraId="7FC4FDBD" w14:textId="77777777" w:rsidR="004957E5" w:rsidRDefault="004957E5" w:rsidP="004957E5">
      <w:pPr>
        <w:pStyle w:val="afe"/>
        <w:widowControl w:val="0"/>
        <w:numPr>
          <w:ilvl w:val="0"/>
          <w:numId w:val="97"/>
        </w:numPr>
        <w:tabs>
          <w:tab w:val="left" w:pos="0"/>
        </w:tabs>
        <w:autoSpaceDE w:val="0"/>
        <w:autoSpaceDN w:val="0"/>
        <w:adjustRightInd w:val="0"/>
      </w:pPr>
      <w:r w:rsidRPr="00016F8E">
        <w:t>микробиологически подтвержденн</w:t>
      </w:r>
      <w:r>
        <w:t>ой</w:t>
      </w:r>
      <w:r w:rsidRPr="00016F8E">
        <w:t xml:space="preserve"> инфекци</w:t>
      </w:r>
      <w:r>
        <w:t>и</w:t>
      </w:r>
      <w:r w:rsidRPr="00016F8E">
        <w:t xml:space="preserve">, вызванная </w:t>
      </w:r>
      <w:r w:rsidRPr="00016F8E">
        <w:rPr>
          <w:i/>
        </w:rPr>
        <w:t>S. aureus</w:t>
      </w:r>
      <w:r w:rsidRPr="00016F8E">
        <w:t xml:space="preserve">; </w:t>
      </w:r>
    </w:p>
    <w:p w14:paraId="4347345F" w14:textId="77777777" w:rsidR="004957E5" w:rsidRDefault="004957E5" w:rsidP="004957E5">
      <w:pPr>
        <w:pStyle w:val="afe"/>
        <w:widowControl w:val="0"/>
        <w:numPr>
          <w:ilvl w:val="0"/>
          <w:numId w:val="97"/>
        </w:numPr>
        <w:tabs>
          <w:tab w:val="left" w:pos="0"/>
        </w:tabs>
        <w:autoSpaceDE w:val="0"/>
        <w:autoSpaceDN w:val="0"/>
        <w:adjustRightInd w:val="0"/>
      </w:pPr>
      <w:r>
        <w:t>длительной</w:t>
      </w:r>
      <w:r w:rsidRPr="00016F8E">
        <w:t xml:space="preserve"> (</w:t>
      </w:r>
      <w:r>
        <w:t>более</w:t>
      </w:r>
      <w:r w:rsidRPr="00016F8E">
        <w:t xml:space="preserve"> 10-14 дней) персистирующ</w:t>
      </w:r>
      <w:r>
        <w:t>ей</w:t>
      </w:r>
      <w:r w:rsidRPr="00016F8E">
        <w:t xml:space="preserve"> </w:t>
      </w:r>
      <w:r>
        <w:t>гипертермии</w:t>
      </w:r>
      <w:r w:rsidRPr="00016F8E">
        <w:t xml:space="preserve">, особенно у больных вне лейкопении. </w:t>
      </w:r>
    </w:p>
    <w:p w14:paraId="1DB0EBF8" w14:textId="77777777" w:rsidR="004957E5" w:rsidRPr="00016F8E" w:rsidRDefault="004957E5" w:rsidP="0007729C">
      <w:pPr>
        <w:widowControl w:val="0"/>
        <w:autoSpaceDE w:val="0"/>
        <w:autoSpaceDN w:val="0"/>
        <w:adjustRightInd w:val="0"/>
        <w:ind w:firstLine="709"/>
      </w:pPr>
      <w:r w:rsidRPr="00016F8E">
        <w:t xml:space="preserve">Чрезпищеводную ЭхоКГ назначают при сохраняющейся </w:t>
      </w:r>
      <w:r>
        <w:t>гипертермии</w:t>
      </w:r>
      <w:r w:rsidRPr="00016F8E">
        <w:t xml:space="preserve"> и отрицательн</w:t>
      </w:r>
      <w:r>
        <w:t>ых результатах</w:t>
      </w:r>
      <w:r w:rsidRPr="00016F8E">
        <w:t xml:space="preserve"> ЭхоКГ. </w:t>
      </w:r>
    </w:p>
    <w:p w14:paraId="27593933" w14:textId="77777777" w:rsidR="004957E5" w:rsidRPr="00761653" w:rsidRDefault="004957E5" w:rsidP="0007729C">
      <w:pPr>
        <w:widowControl w:val="0"/>
        <w:autoSpaceDE w:val="0"/>
        <w:autoSpaceDN w:val="0"/>
        <w:adjustRightInd w:val="0"/>
        <w:ind w:firstLine="709"/>
        <w:contextualSpacing/>
      </w:pPr>
      <w:r w:rsidRPr="00761653">
        <w:t>В табл. 1 суммированы диагностические исследования у больных с гематологическими заболеваниями и инфекциями.</w:t>
      </w:r>
    </w:p>
    <w:p w14:paraId="24F42488" w14:textId="77777777" w:rsidR="004957E5" w:rsidRDefault="004957E5" w:rsidP="004957E5">
      <w:pPr>
        <w:widowControl w:val="0"/>
        <w:autoSpaceDE w:val="0"/>
        <w:autoSpaceDN w:val="0"/>
        <w:adjustRightInd w:val="0"/>
        <w:contextualSpacing/>
      </w:pPr>
    </w:p>
    <w:p w14:paraId="452A486D" w14:textId="77777777" w:rsidR="004957E5" w:rsidRPr="00761653" w:rsidRDefault="004957E5" w:rsidP="004957E5">
      <w:pPr>
        <w:widowControl w:val="0"/>
        <w:autoSpaceDE w:val="0"/>
        <w:autoSpaceDN w:val="0"/>
        <w:adjustRightInd w:val="0"/>
        <w:contextualSpacing/>
      </w:pPr>
      <w:r w:rsidRPr="00761653">
        <w:t>Таблица 1. Показания к проведению диагностических исследований у больных с гематологическими заболеваниями и инфекциями.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6096"/>
      </w:tblGrid>
      <w:tr w:rsidR="004957E5" w:rsidRPr="00761653" w14:paraId="56B67D61" w14:textId="77777777" w:rsidTr="002D3EBF">
        <w:trPr>
          <w:trHeight w:val="93"/>
        </w:trPr>
        <w:tc>
          <w:tcPr>
            <w:tcW w:w="3510" w:type="dxa"/>
            <w:tcMar>
              <w:top w:w="100" w:type="nil"/>
              <w:right w:w="100" w:type="nil"/>
            </w:tcMar>
            <w:vAlign w:val="center"/>
          </w:tcPr>
          <w:p w14:paraId="02296155" w14:textId="77777777" w:rsidR="004957E5" w:rsidRPr="00761653" w:rsidRDefault="004957E5" w:rsidP="002D3EBF">
            <w:pPr>
              <w:widowControl w:val="0"/>
              <w:autoSpaceDE w:val="0"/>
              <w:autoSpaceDN w:val="0"/>
              <w:adjustRightInd w:val="0"/>
              <w:spacing w:line="240" w:lineRule="auto"/>
              <w:ind w:left="57" w:right="57"/>
              <w:jc w:val="center"/>
              <w:rPr>
                <w:b/>
                <w:bCs/>
              </w:rPr>
            </w:pPr>
            <w:r w:rsidRPr="00761653">
              <w:rPr>
                <w:b/>
                <w:bCs/>
              </w:rPr>
              <w:t>Показания</w:t>
            </w:r>
          </w:p>
        </w:tc>
        <w:tc>
          <w:tcPr>
            <w:tcW w:w="6096" w:type="dxa"/>
            <w:tcMar>
              <w:top w:w="100" w:type="nil"/>
              <w:right w:w="100" w:type="nil"/>
            </w:tcMar>
            <w:vAlign w:val="center"/>
          </w:tcPr>
          <w:p w14:paraId="0887A44B" w14:textId="77777777" w:rsidR="004957E5" w:rsidRPr="00761653" w:rsidRDefault="004957E5" w:rsidP="002D3EBF">
            <w:pPr>
              <w:widowControl w:val="0"/>
              <w:autoSpaceDE w:val="0"/>
              <w:autoSpaceDN w:val="0"/>
              <w:adjustRightInd w:val="0"/>
              <w:spacing w:line="240" w:lineRule="auto"/>
              <w:ind w:left="57" w:right="57"/>
              <w:jc w:val="center"/>
              <w:rPr>
                <w:b/>
                <w:bCs/>
              </w:rPr>
            </w:pPr>
            <w:r w:rsidRPr="00761653">
              <w:rPr>
                <w:b/>
                <w:bCs/>
              </w:rPr>
              <w:t>Исследование</w:t>
            </w:r>
          </w:p>
        </w:tc>
      </w:tr>
      <w:tr w:rsidR="004957E5" w:rsidRPr="00265B67" w14:paraId="4636A0BA" w14:textId="77777777" w:rsidTr="002D3EBF">
        <w:trPr>
          <w:trHeight w:val="702"/>
        </w:trPr>
        <w:tc>
          <w:tcPr>
            <w:tcW w:w="3510" w:type="dxa"/>
            <w:tcMar>
              <w:top w:w="100" w:type="nil"/>
              <w:right w:w="100" w:type="nil"/>
            </w:tcMar>
            <w:vAlign w:val="center"/>
          </w:tcPr>
          <w:p w14:paraId="31F4E28C" w14:textId="77777777" w:rsidR="004957E5" w:rsidRPr="00761653" w:rsidRDefault="004957E5" w:rsidP="002D3EBF">
            <w:pPr>
              <w:widowControl w:val="0"/>
              <w:autoSpaceDE w:val="0"/>
              <w:autoSpaceDN w:val="0"/>
              <w:adjustRightInd w:val="0"/>
              <w:spacing w:line="240" w:lineRule="auto"/>
              <w:ind w:left="57" w:right="57"/>
            </w:pPr>
            <w:r w:rsidRPr="00761653">
              <w:t xml:space="preserve">Температура ≥38°С, </w:t>
            </w:r>
          </w:p>
          <w:p w14:paraId="1AA3EA21" w14:textId="77777777" w:rsidR="004957E5" w:rsidRPr="00761653" w:rsidRDefault="004957E5" w:rsidP="002D3EBF">
            <w:pPr>
              <w:widowControl w:val="0"/>
              <w:autoSpaceDE w:val="0"/>
              <w:autoSpaceDN w:val="0"/>
              <w:adjustRightInd w:val="0"/>
              <w:spacing w:line="240" w:lineRule="auto"/>
              <w:ind w:left="57" w:right="57"/>
            </w:pPr>
            <w:r w:rsidRPr="00761653">
              <w:t>впервые возникшая</w:t>
            </w:r>
          </w:p>
        </w:tc>
        <w:tc>
          <w:tcPr>
            <w:tcW w:w="6096" w:type="dxa"/>
            <w:tcMar>
              <w:top w:w="100" w:type="nil"/>
              <w:right w:w="100" w:type="nil"/>
            </w:tcMar>
            <w:vAlign w:val="center"/>
          </w:tcPr>
          <w:p w14:paraId="1D59C297" w14:textId="77777777" w:rsidR="004957E5" w:rsidRPr="00761653" w:rsidRDefault="004957E5" w:rsidP="002D3EBF">
            <w:pPr>
              <w:widowControl w:val="0"/>
              <w:autoSpaceDE w:val="0"/>
              <w:autoSpaceDN w:val="0"/>
              <w:adjustRightInd w:val="0"/>
              <w:spacing w:line="240" w:lineRule="auto"/>
              <w:ind w:left="57" w:right="57"/>
            </w:pPr>
            <w:r w:rsidRPr="00761653">
              <w:t xml:space="preserve">Взятие крови в 2 флакона для гемокультуры </w:t>
            </w:r>
          </w:p>
          <w:p w14:paraId="178AE317" w14:textId="77777777" w:rsidR="004957E5" w:rsidRPr="00761653" w:rsidRDefault="004957E5" w:rsidP="002D3EBF">
            <w:pPr>
              <w:widowControl w:val="0"/>
              <w:autoSpaceDE w:val="0"/>
              <w:autoSpaceDN w:val="0"/>
              <w:adjustRightInd w:val="0"/>
              <w:spacing w:line="240" w:lineRule="auto"/>
              <w:ind w:left="57" w:right="57"/>
            </w:pPr>
            <w:r w:rsidRPr="00761653">
              <w:t>(вена-катетер или вена-вена)</w:t>
            </w:r>
          </w:p>
        </w:tc>
      </w:tr>
      <w:tr w:rsidR="004957E5" w:rsidRPr="00265B67" w14:paraId="3D7FE5E1" w14:textId="77777777" w:rsidTr="002D3EBF">
        <w:trPr>
          <w:trHeight w:val="841"/>
        </w:trPr>
        <w:tc>
          <w:tcPr>
            <w:tcW w:w="3510" w:type="dxa"/>
            <w:tcMar>
              <w:top w:w="100" w:type="nil"/>
              <w:right w:w="100" w:type="nil"/>
            </w:tcMar>
            <w:vAlign w:val="center"/>
          </w:tcPr>
          <w:p w14:paraId="38C0E254" w14:textId="77777777" w:rsidR="004957E5" w:rsidRPr="00761653" w:rsidRDefault="004957E5" w:rsidP="002D3EBF">
            <w:pPr>
              <w:widowControl w:val="0"/>
              <w:autoSpaceDE w:val="0"/>
              <w:autoSpaceDN w:val="0"/>
              <w:adjustRightInd w:val="0"/>
              <w:spacing w:line="240" w:lineRule="auto"/>
              <w:ind w:left="57" w:right="57"/>
            </w:pPr>
            <w:r w:rsidRPr="00761653">
              <w:t>Температура ≥38°С в течение</w:t>
            </w:r>
          </w:p>
          <w:p w14:paraId="5AB7736D" w14:textId="77777777" w:rsidR="004957E5" w:rsidRPr="00761653" w:rsidRDefault="004957E5" w:rsidP="002D3EBF">
            <w:pPr>
              <w:widowControl w:val="0"/>
              <w:autoSpaceDE w:val="0"/>
              <w:autoSpaceDN w:val="0"/>
              <w:adjustRightInd w:val="0"/>
              <w:spacing w:line="240" w:lineRule="auto"/>
              <w:ind w:left="57" w:right="57"/>
            </w:pPr>
            <w:r w:rsidRPr="00761653">
              <w:t xml:space="preserve"> ≥ 5 дней и лейкопения </w:t>
            </w:r>
          </w:p>
        </w:tc>
        <w:tc>
          <w:tcPr>
            <w:tcW w:w="6096" w:type="dxa"/>
            <w:tcMar>
              <w:top w:w="100" w:type="nil"/>
              <w:right w:w="100" w:type="nil"/>
            </w:tcMar>
            <w:vAlign w:val="center"/>
          </w:tcPr>
          <w:p w14:paraId="4AD3FE4E" w14:textId="77777777" w:rsidR="004957E5" w:rsidRPr="00761653" w:rsidRDefault="004957E5" w:rsidP="002D3EBF">
            <w:pPr>
              <w:spacing w:line="240" w:lineRule="auto"/>
              <w:ind w:left="57" w:right="57"/>
              <w:contextualSpacing/>
              <w:rPr>
                <w:rFonts w:eastAsia="MS Mincho"/>
              </w:rPr>
            </w:pPr>
            <w:r w:rsidRPr="00761653">
              <w:t>Повторное взятие крови для гемокультуры 1 раз в неделю</w:t>
            </w:r>
          </w:p>
          <w:p w14:paraId="41CFCAC8" w14:textId="77777777" w:rsidR="004957E5" w:rsidRPr="00761653" w:rsidRDefault="004957E5" w:rsidP="002D3EBF">
            <w:pPr>
              <w:spacing w:line="240" w:lineRule="auto"/>
              <w:ind w:left="57" w:right="57"/>
              <w:contextualSpacing/>
            </w:pPr>
            <w:r w:rsidRPr="00761653">
              <w:t>Микробиологическое исследование мочи</w:t>
            </w:r>
          </w:p>
          <w:p w14:paraId="5BA32954" w14:textId="77777777" w:rsidR="004957E5" w:rsidRPr="00761653" w:rsidRDefault="004957E5" w:rsidP="002D3EBF">
            <w:pPr>
              <w:spacing w:line="240" w:lineRule="auto"/>
              <w:ind w:left="57" w:right="57"/>
              <w:contextualSpacing/>
            </w:pPr>
            <w:r w:rsidRPr="00761653">
              <w:t>Ректальный мазок</w:t>
            </w:r>
          </w:p>
          <w:p w14:paraId="1D757115" w14:textId="77777777" w:rsidR="004957E5" w:rsidRPr="00761653" w:rsidRDefault="004957E5" w:rsidP="002D3EBF">
            <w:pPr>
              <w:spacing w:line="240" w:lineRule="auto"/>
              <w:ind w:left="57" w:right="57"/>
              <w:contextualSpacing/>
            </w:pPr>
            <w:r w:rsidRPr="00761653">
              <w:t>КТВР легких</w:t>
            </w:r>
          </w:p>
        </w:tc>
      </w:tr>
      <w:tr w:rsidR="004957E5" w:rsidRPr="00975FC1" w14:paraId="7E76BAEE" w14:textId="77777777" w:rsidTr="002D3EBF">
        <w:trPr>
          <w:trHeight w:val="1491"/>
        </w:trPr>
        <w:tc>
          <w:tcPr>
            <w:tcW w:w="3510" w:type="dxa"/>
            <w:tcMar>
              <w:top w:w="100" w:type="nil"/>
              <w:right w:w="100" w:type="nil"/>
            </w:tcMar>
            <w:vAlign w:val="center"/>
          </w:tcPr>
          <w:p w14:paraId="6EA2CBDE" w14:textId="77777777" w:rsidR="004957E5" w:rsidRPr="00761653" w:rsidRDefault="004957E5" w:rsidP="002D3EBF">
            <w:pPr>
              <w:widowControl w:val="0"/>
              <w:autoSpaceDE w:val="0"/>
              <w:autoSpaceDN w:val="0"/>
              <w:adjustRightInd w:val="0"/>
              <w:spacing w:line="240" w:lineRule="auto"/>
              <w:ind w:left="57" w:right="57"/>
            </w:pPr>
            <w:r w:rsidRPr="00761653">
              <w:t>Температура ≥38°С, длительная, сохраняется после «выхода» из нейтропении</w:t>
            </w:r>
          </w:p>
        </w:tc>
        <w:tc>
          <w:tcPr>
            <w:tcW w:w="6096" w:type="dxa"/>
            <w:tcMar>
              <w:top w:w="100" w:type="nil"/>
              <w:right w:w="100" w:type="nil"/>
            </w:tcMar>
            <w:vAlign w:val="center"/>
          </w:tcPr>
          <w:p w14:paraId="7673E966" w14:textId="77777777" w:rsidR="004957E5" w:rsidRPr="00761653" w:rsidRDefault="004957E5" w:rsidP="002D3EBF">
            <w:pPr>
              <w:spacing w:line="240" w:lineRule="auto"/>
              <w:ind w:left="57" w:right="57"/>
              <w:contextualSpacing/>
              <w:rPr>
                <w:rFonts w:eastAsia="MS Mincho"/>
              </w:rPr>
            </w:pPr>
            <w:r w:rsidRPr="00761653">
              <w:t>УЗИ брюшной полости</w:t>
            </w:r>
          </w:p>
          <w:p w14:paraId="57CDE1AB" w14:textId="77777777" w:rsidR="004957E5" w:rsidRPr="00761653" w:rsidRDefault="004957E5" w:rsidP="002D3EBF">
            <w:pPr>
              <w:spacing w:line="240" w:lineRule="auto"/>
              <w:ind w:left="57" w:right="57"/>
              <w:contextualSpacing/>
            </w:pPr>
            <w:r w:rsidRPr="00761653">
              <w:t xml:space="preserve">Определение антигена </w:t>
            </w:r>
            <w:r w:rsidRPr="00761653">
              <w:rPr>
                <w:i/>
              </w:rPr>
              <w:t>Candida</w:t>
            </w:r>
            <w:r w:rsidRPr="00761653">
              <w:t xml:space="preserve"> (маннан) и антител </w:t>
            </w:r>
            <w:r w:rsidRPr="00761653">
              <w:rPr>
                <w:i/>
              </w:rPr>
              <w:t>Candida</w:t>
            </w:r>
            <w:r w:rsidRPr="00761653">
              <w:t xml:space="preserve"> (антиманнан) в крови</w:t>
            </w:r>
          </w:p>
          <w:p w14:paraId="10574174" w14:textId="77777777" w:rsidR="004957E5" w:rsidRPr="00761653" w:rsidRDefault="004957E5" w:rsidP="002D3EBF">
            <w:pPr>
              <w:spacing w:line="240" w:lineRule="auto"/>
              <w:ind w:left="57" w:right="57"/>
              <w:contextualSpacing/>
            </w:pPr>
            <w:r w:rsidRPr="00761653">
              <w:t>КТВР или МРТ органов брюшной полости при неинформативном УЗИ</w:t>
            </w:r>
          </w:p>
        </w:tc>
      </w:tr>
      <w:tr w:rsidR="004957E5" w:rsidRPr="00975FC1" w14:paraId="61DD7F8A" w14:textId="77777777" w:rsidTr="002D3EBF">
        <w:trPr>
          <w:trHeight w:val="1731"/>
        </w:trPr>
        <w:tc>
          <w:tcPr>
            <w:tcW w:w="3510" w:type="dxa"/>
            <w:tcMar>
              <w:top w:w="100" w:type="nil"/>
              <w:right w:w="100" w:type="nil"/>
            </w:tcMar>
            <w:vAlign w:val="center"/>
          </w:tcPr>
          <w:p w14:paraId="2BEE3AB7" w14:textId="77777777" w:rsidR="004957E5" w:rsidRPr="00761653" w:rsidRDefault="004957E5" w:rsidP="002D3EBF">
            <w:pPr>
              <w:widowControl w:val="0"/>
              <w:autoSpaceDE w:val="0"/>
              <w:autoSpaceDN w:val="0"/>
              <w:adjustRightInd w:val="0"/>
              <w:spacing w:line="240" w:lineRule="auto"/>
              <w:ind w:left="57" w:right="57"/>
            </w:pPr>
            <w:r w:rsidRPr="00761653">
              <w:t>Катетер-ассоциированная инфекция</w:t>
            </w:r>
          </w:p>
        </w:tc>
        <w:tc>
          <w:tcPr>
            <w:tcW w:w="6096" w:type="dxa"/>
            <w:tcMar>
              <w:top w:w="100" w:type="nil"/>
              <w:right w:w="100" w:type="nil"/>
            </w:tcMar>
            <w:vAlign w:val="center"/>
          </w:tcPr>
          <w:p w14:paraId="6D4F5ADD" w14:textId="77777777" w:rsidR="004957E5" w:rsidRPr="00761653" w:rsidRDefault="004957E5" w:rsidP="002D3EBF">
            <w:pPr>
              <w:widowControl w:val="0"/>
              <w:autoSpaceDE w:val="0"/>
              <w:autoSpaceDN w:val="0"/>
              <w:adjustRightInd w:val="0"/>
              <w:spacing w:line="240" w:lineRule="auto"/>
              <w:ind w:left="57" w:right="57"/>
              <w:contextualSpacing/>
              <w:rPr>
                <w:rFonts w:eastAsia="MS Mincho"/>
              </w:rPr>
            </w:pPr>
            <w:r w:rsidRPr="00761653">
              <w:t>Взятие одновременно крови из вены и из ЦВК для микробиологического исследования</w:t>
            </w:r>
          </w:p>
          <w:p w14:paraId="185DCF11" w14:textId="77777777" w:rsidR="004957E5" w:rsidRPr="00761653" w:rsidRDefault="004957E5" w:rsidP="002D3EBF">
            <w:pPr>
              <w:widowControl w:val="0"/>
              <w:autoSpaceDE w:val="0"/>
              <w:autoSpaceDN w:val="0"/>
              <w:adjustRightInd w:val="0"/>
              <w:spacing w:line="240" w:lineRule="auto"/>
              <w:ind w:left="57" w:right="57"/>
              <w:contextualSpacing/>
            </w:pPr>
            <w:r w:rsidRPr="00761653">
              <w:t>Положительная гемокультура из ЦВК получена раньше на 2 часа и более чем из вены – удаление ЦВК ввиду высокой вероятности его инфицирования</w:t>
            </w:r>
          </w:p>
        </w:tc>
      </w:tr>
      <w:tr w:rsidR="004957E5" w:rsidRPr="00265B67" w14:paraId="4BFDD3BD" w14:textId="77777777" w:rsidTr="002D3EBF">
        <w:trPr>
          <w:trHeight w:val="698"/>
        </w:trPr>
        <w:tc>
          <w:tcPr>
            <w:tcW w:w="3510" w:type="dxa"/>
            <w:tcMar>
              <w:top w:w="100" w:type="nil"/>
              <w:right w:w="100" w:type="nil"/>
            </w:tcMar>
            <w:vAlign w:val="center"/>
          </w:tcPr>
          <w:p w14:paraId="0972AC19" w14:textId="77777777" w:rsidR="004957E5" w:rsidRPr="00761653" w:rsidRDefault="004957E5" w:rsidP="002D3EBF">
            <w:pPr>
              <w:widowControl w:val="0"/>
              <w:autoSpaceDE w:val="0"/>
              <w:autoSpaceDN w:val="0"/>
              <w:adjustRightInd w:val="0"/>
              <w:spacing w:line="240" w:lineRule="auto"/>
              <w:ind w:left="57" w:right="57"/>
            </w:pPr>
            <w:r w:rsidRPr="00761653">
              <w:t xml:space="preserve">Ожидаемая нейтропения (лейкопения) &gt;10 дней </w:t>
            </w:r>
          </w:p>
        </w:tc>
        <w:tc>
          <w:tcPr>
            <w:tcW w:w="6096" w:type="dxa"/>
            <w:tcMar>
              <w:top w:w="100" w:type="nil"/>
              <w:right w:w="100" w:type="nil"/>
            </w:tcMar>
            <w:vAlign w:val="center"/>
          </w:tcPr>
          <w:p w14:paraId="0F410231" w14:textId="77777777" w:rsidR="004957E5" w:rsidRPr="00761653" w:rsidRDefault="004957E5" w:rsidP="002D3EBF">
            <w:pPr>
              <w:widowControl w:val="0"/>
              <w:autoSpaceDE w:val="0"/>
              <w:autoSpaceDN w:val="0"/>
              <w:adjustRightInd w:val="0"/>
              <w:spacing w:line="240" w:lineRule="auto"/>
              <w:ind w:left="57" w:right="57"/>
            </w:pPr>
            <w:r w:rsidRPr="00761653">
              <w:t xml:space="preserve">Исследование крови на антиген </w:t>
            </w:r>
            <w:r w:rsidRPr="00761653">
              <w:rPr>
                <w:i/>
                <w:iCs/>
              </w:rPr>
              <w:t>Aspergillus</w:t>
            </w:r>
            <w:r w:rsidRPr="00761653">
              <w:t xml:space="preserve"> 2 раза в неделю</w:t>
            </w:r>
          </w:p>
        </w:tc>
      </w:tr>
      <w:tr w:rsidR="004957E5" w:rsidRPr="00761653" w14:paraId="7E4F051E" w14:textId="77777777" w:rsidTr="002D3EBF">
        <w:trPr>
          <w:trHeight w:val="556"/>
        </w:trPr>
        <w:tc>
          <w:tcPr>
            <w:tcW w:w="3510" w:type="dxa"/>
            <w:tcMar>
              <w:top w:w="100" w:type="nil"/>
              <w:right w:w="100" w:type="nil"/>
            </w:tcMar>
            <w:vAlign w:val="center"/>
          </w:tcPr>
          <w:p w14:paraId="63B0CD81" w14:textId="77777777" w:rsidR="004957E5" w:rsidRPr="00761653" w:rsidRDefault="004957E5" w:rsidP="002D3EBF">
            <w:pPr>
              <w:widowControl w:val="0"/>
              <w:autoSpaceDE w:val="0"/>
              <w:autoSpaceDN w:val="0"/>
              <w:adjustRightInd w:val="0"/>
              <w:spacing w:line="240" w:lineRule="auto"/>
              <w:ind w:left="57" w:right="57"/>
            </w:pPr>
            <w:r w:rsidRPr="00761653">
              <w:t>Стоматит</w:t>
            </w:r>
          </w:p>
        </w:tc>
        <w:tc>
          <w:tcPr>
            <w:tcW w:w="6096" w:type="dxa"/>
            <w:tcMar>
              <w:top w:w="100" w:type="nil"/>
              <w:right w:w="100" w:type="nil"/>
            </w:tcMar>
            <w:vAlign w:val="center"/>
          </w:tcPr>
          <w:p w14:paraId="10C8B185" w14:textId="77777777" w:rsidR="004957E5" w:rsidRPr="00761653" w:rsidRDefault="004957E5" w:rsidP="002D3EBF">
            <w:pPr>
              <w:widowControl w:val="0"/>
              <w:autoSpaceDE w:val="0"/>
              <w:autoSpaceDN w:val="0"/>
              <w:adjustRightInd w:val="0"/>
              <w:spacing w:line="240" w:lineRule="auto"/>
              <w:ind w:left="57" w:right="57"/>
            </w:pPr>
            <w:r w:rsidRPr="00761653">
              <w:t>Мазок со слизистой ротоглотки</w:t>
            </w:r>
          </w:p>
        </w:tc>
      </w:tr>
      <w:tr w:rsidR="004957E5" w:rsidRPr="00265B67" w14:paraId="7EF3A363" w14:textId="77777777" w:rsidTr="002D3EBF">
        <w:trPr>
          <w:trHeight w:val="976"/>
        </w:trPr>
        <w:tc>
          <w:tcPr>
            <w:tcW w:w="3510" w:type="dxa"/>
            <w:tcMar>
              <w:top w:w="100" w:type="nil"/>
              <w:right w:w="100" w:type="nil"/>
            </w:tcMar>
            <w:vAlign w:val="center"/>
          </w:tcPr>
          <w:p w14:paraId="38844CE1" w14:textId="77777777" w:rsidR="004957E5" w:rsidRPr="00761653" w:rsidRDefault="004957E5" w:rsidP="002D3EBF">
            <w:pPr>
              <w:widowControl w:val="0"/>
              <w:autoSpaceDE w:val="0"/>
              <w:autoSpaceDN w:val="0"/>
              <w:adjustRightInd w:val="0"/>
              <w:spacing w:line="240" w:lineRule="auto"/>
              <w:ind w:left="57" w:right="57"/>
            </w:pPr>
            <w:r w:rsidRPr="00761653">
              <w:t>Эзофагит</w:t>
            </w:r>
          </w:p>
        </w:tc>
        <w:tc>
          <w:tcPr>
            <w:tcW w:w="6096" w:type="dxa"/>
            <w:tcMar>
              <w:top w:w="100" w:type="nil"/>
              <w:right w:w="100" w:type="nil"/>
            </w:tcMar>
            <w:vAlign w:val="center"/>
          </w:tcPr>
          <w:p w14:paraId="46862CAE" w14:textId="77777777" w:rsidR="004957E5" w:rsidRPr="00761653" w:rsidRDefault="004957E5" w:rsidP="002D3EBF">
            <w:pPr>
              <w:widowControl w:val="0"/>
              <w:autoSpaceDE w:val="0"/>
              <w:autoSpaceDN w:val="0"/>
              <w:adjustRightInd w:val="0"/>
              <w:spacing w:line="240" w:lineRule="auto"/>
              <w:ind w:left="57" w:right="57"/>
            </w:pPr>
            <w:r w:rsidRPr="00761653">
              <w:t>Эзофагоскопия (тромбоцитов не менее 50x10</w:t>
            </w:r>
            <w:r w:rsidRPr="00761653">
              <w:rPr>
                <w:vertAlign w:val="superscript"/>
              </w:rPr>
              <w:t>9</w:t>
            </w:r>
            <w:r w:rsidRPr="00761653">
              <w:t>/л)</w:t>
            </w:r>
          </w:p>
          <w:p w14:paraId="246CD9FE" w14:textId="77777777" w:rsidR="004957E5" w:rsidRPr="00761653" w:rsidRDefault="004957E5" w:rsidP="002D3EBF">
            <w:pPr>
              <w:widowControl w:val="0"/>
              <w:autoSpaceDE w:val="0"/>
              <w:autoSpaceDN w:val="0"/>
              <w:adjustRightInd w:val="0"/>
              <w:spacing w:line="240" w:lineRule="auto"/>
              <w:ind w:left="57" w:right="57"/>
            </w:pPr>
            <w:r w:rsidRPr="00761653">
              <w:t>Исследование - соскоб (браш-метод) со слизистой оболочки или биопсия</w:t>
            </w:r>
          </w:p>
        </w:tc>
      </w:tr>
      <w:tr w:rsidR="004957E5" w:rsidRPr="00265B67" w14:paraId="5AD9B424" w14:textId="77777777" w:rsidTr="002D3EBF">
        <w:trPr>
          <w:trHeight w:val="704"/>
        </w:trPr>
        <w:tc>
          <w:tcPr>
            <w:tcW w:w="3510" w:type="dxa"/>
            <w:tcMar>
              <w:top w:w="100" w:type="nil"/>
              <w:right w:w="100" w:type="nil"/>
            </w:tcMar>
            <w:vAlign w:val="center"/>
          </w:tcPr>
          <w:p w14:paraId="63CFFD0E" w14:textId="77777777" w:rsidR="004957E5" w:rsidRPr="00761653" w:rsidRDefault="004957E5" w:rsidP="002D3EBF">
            <w:pPr>
              <w:widowControl w:val="0"/>
              <w:autoSpaceDE w:val="0"/>
              <w:autoSpaceDN w:val="0"/>
              <w:adjustRightInd w:val="0"/>
              <w:spacing w:line="240" w:lineRule="auto"/>
              <w:ind w:left="57" w:right="57"/>
            </w:pPr>
            <w:r w:rsidRPr="00761653">
              <w:lastRenderedPageBreak/>
              <w:t>Некроз слизистой оболочки носового хода</w:t>
            </w:r>
          </w:p>
        </w:tc>
        <w:tc>
          <w:tcPr>
            <w:tcW w:w="6096" w:type="dxa"/>
            <w:tcMar>
              <w:top w:w="100" w:type="nil"/>
              <w:right w:w="100" w:type="nil"/>
            </w:tcMar>
            <w:vAlign w:val="center"/>
          </w:tcPr>
          <w:p w14:paraId="3D2BF819" w14:textId="77777777" w:rsidR="004957E5" w:rsidRPr="00761653" w:rsidRDefault="004957E5" w:rsidP="002D3EBF">
            <w:pPr>
              <w:widowControl w:val="0"/>
              <w:autoSpaceDE w:val="0"/>
              <w:autoSpaceDN w:val="0"/>
              <w:adjustRightInd w:val="0"/>
              <w:spacing w:line="240" w:lineRule="auto"/>
              <w:ind w:left="57" w:right="57"/>
            </w:pPr>
            <w:r w:rsidRPr="00761653">
              <w:t>Мазок со слизистой оболочки носа</w:t>
            </w:r>
          </w:p>
        </w:tc>
      </w:tr>
      <w:tr w:rsidR="004957E5" w:rsidRPr="00265B67" w14:paraId="1EFB88EE" w14:textId="77777777" w:rsidTr="002D3EBF">
        <w:trPr>
          <w:trHeight w:val="701"/>
        </w:trPr>
        <w:tc>
          <w:tcPr>
            <w:tcW w:w="3510" w:type="dxa"/>
            <w:tcMar>
              <w:top w:w="100" w:type="nil"/>
              <w:right w:w="100" w:type="nil"/>
            </w:tcMar>
            <w:vAlign w:val="center"/>
          </w:tcPr>
          <w:p w14:paraId="6CE0B9D8" w14:textId="77777777" w:rsidR="004957E5" w:rsidRPr="00761653" w:rsidRDefault="004957E5" w:rsidP="002D3EBF">
            <w:pPr>
              <w:widowControl w:val="0"/>
              <w:autoSpaceDE w:val="0"/>
              <w:autoSpaceDN w:val="0"/>
              <w:adjustRightInd w:val="0"/>
              <w:spacing w:line="240" w:lineRule="auto"/>
              <w:ind w:left="57" w:right="57"/>
            </w:pPr>
            <w:r w:rsidRPr="00761653">
              <w:t>Гайморит</w:t>
            </w:r>
          </w:p>
        </w:tc>
        <w:tc>
          <w:tcPr>
            <w:tcW w:w="6096" w:type="dxa"/>
            <w:tcMar>
              <w:top w:w="100" w:type="nil"/>
              <w:right w:w="100" w:type="nil"/>
            </w:tcMar>
            <w:vAlign w:val="center"/>
          </w:tcPr>
          <w:p w14:paraId="04467B79" w14:textId="77777777" w:rsidR="004957E5" w:rsidRPr="00761653" w:rsidRDefault="004957E5" w:rsidP="002D3EBF">
            <w:pPr>
              <w:widowControl w:val="0"/>
              <w:autoSpaceDE w:val="0"/>
              <w:autoSpaceDN w:val="0"/>
              <w:adjustRightInd w:val="0"/>
              <w:spacing w:line="240" w:lineRule="auto"/>
              <w:ind w:left="57" w:right="57"/>
            </w:pPr>
            <w:r w:rsidRPr="00761653">
              <w:t>Исследование содержимого околоносовой пазухи, полученной при пункции</w:t>
            </w:r>
          </w:p>
        </w:tc>
      </w:tr>
      <w:tr w:rsidR="004957E5" w:rsidRPr="00761653" w14:paraId="59069075" w14:textId="77777777" w:rsidTr="002D3EBF">
        <w:trPr>
          <w:trHeight w:val="825"/>
        </w:trPr>
        <w:tc>
          <w:tcPr>
            <w:tcW w:w="3510" w:type="dxa"/>
            <w:tcMar>
              <w:top w:w="100" w:type="nil"/>
              <w:right w:w="100" w:type="nil"/>
            </w:tcMar>
            <w:vAlign w:val="center"/>
          </w:tcPr>
          <w:p w14:paraId="32C0E03D" w14:textId="77777777" w:rsidR="004957E5" w:rsidRPr="00761653" w:rsidRDefault="004957E5" w:rsidP="002D3EBF">
            <w:pPr>
              <w:widowControl w:val="0"/>
              <w:autoSpaceDE w:val="0"/>
              <w:autoSpaceDN w:val="0"/>
              <w:adjustRightInd w:val="0"/>
              <w:spacing w:line="240" w:lineRule="auto"/>
              <w:ind w:left="57" w:right="57"/>
            </w:pPr>
            <w:r w:rsidRPr="00761653">
              <w:t>Симптомы инфекции мочевыводящих путей</w:t>
            </w:r>
          </w:p>
          <w:p w14:paraId="2C674C78" w14:textId="77777777" w:rsidR="004957E5" w:rsidRPr="00761653" w:rsidRDefault="004957E5" w:rsidP="002D3EBF">
            <w:pPr>
              <w:widowControl w:val="0"/>
              <w:autoSpaceDE w:val="0"/>
              <w:autoSpaceDN w:val="0"/>
              <w:adjustRightInd w:val="0"/>
              <w:spacing w:line="240" w:lineRule="auto"/>
              <w:ind w:left="57" w:right="57"/>
            </w:pPr>
            <w:r w:rsidRPr="00761653">
              <w:t>Лейкоцитурия</w:t>
            </w:r>
          </w:p>
        </w:tc>
        <w:tc>
          <w:tcPr>
            <w:tcW w:w="6096" w:type="dxa"/>
            <w:tcMar>
              <w:top w:w="100" w:type="nil"/>
              <w:right w:w="100" w:type="nil"/>
            </w:tcMar>
            <w:vAlign w:val="center"/>
          </w:tcPr>
          <w:p w14:paraId="11ED55F0" w14:textId="77777777" w:rsidR="004957E5" w:rsidRPr="00761653" w:rsidRDefault="004957E5" w:rsidP="002D3EBF">
            <w:pPr>
              <w:widowControl w:val="0"/>
              <w:autoSpaceDE w:val="0"/>
              <w:autoSpaceDN w:val="0"/>
              <w:adjustRightInd w:val="0"/>
              <w:spacing w:line="240" w:lineRule="auto"/>
              <w:ind w:left="57" w:right="57"/>
            </w:pPr>
            <w:r w:rsidRPr="00761653">
              <w:t>Микробиологическое исследование мочи</w:t>
            </w:r>
          </w:p>
        </w:tc>
      </w:tr>
      <w:tr w:rsidR="004957E5" w:rsidRPr="00265B67" w14:paraId="7EBF25EF" w14:textId="77777777" w:rsidTr="002D3EBF">
        <w:trPr>
          <w:trHeight w:val="1016"/>
        </w:trPr>
        <w:tc>
          <w:tcPr>
            <w:tcW w:w="3510" w:type="dxa"/>
            <w:tcMar>
              <w:top w:w="100" w:type="nil"/>
              <w:right w:w="100" w:type="nil"/>
            </w:tcMar>
            <w:vAlign w:val="center"/>
          </w:tcPr>
          <w:p w14:paraId="6BE0C227" w14:textId="77777777" w:rsidR="004957E5" w:rsidRPr="00761653" w:rsidRDefault="004957E5" w:rsidP="002D3EBF">
            <w:pPr>
              <w:widowControl w:val="0"/>
              <w:autoSpaceDE w:val="0"/>
              <w:autoSpaceDN w:val="0"/>
              <w:adjustRightInd w:val="0"/>
              <w:spacing w:line="240" w:lineRule="auto"/>
              <w:ind w:left="57" w:right="57"/>
            </w:pPr>
            <w:r w:rsidRPr="00761653">
              <w:t>Пневмония</w:t>
            </w:r>
          </w:p>
        </w:tc>
        <w:tc>
          <w:tcPr>
            <w:tcW w:w="6096" w:type="dxa"/>
            <w:tcMar>
              <w:top w:w="100" w:type="nil"/>
              <w:right w:w="100" w:type="nil"/>
            </w:tcMar>
          </w:tcPr>
          <w:p w14:paraId="2885305B" w14:textId="77777777" w:rsidR="004957E5" w:rsidRPr="00761653" w:rsidRDefault="004957E5" w:rsidP="002D3EBF">
            <w:pPr>
              <w:widowControl w:val="0"/>
              <w:autoSpaceDE w:val="0"/>
              <w:autoSpaceDN w:val="0"/>
              <w:adjustRightInd w:val="0"/>
              <w:spacing w:line="240" w:lineRule="auto"/>
              <w:ind w:left="57" w:right="57"/>
              <w:contextualSpacing/>
            </w:pPr>
            <w:r w:rsidRPr="00761653">
              <w:t>КТВР легких</w:t>
            </w:r>
          </w:p>
          <w:p w14:paraId="189CD2FA" w14:textId="77777777" w:rsidR="004957E5" w:rsidRPr="00761653" w:rsidRDefault="004957E5" w:rsidP="002D3EBF">
            <w:pPr>
              <w:widowControl w:val="0"/>
              <w:autoSpaceDE w:val="0"/>
              <w:autoSpaceDN w:val="0"/>
              <w:adjustRightInd w:val="0"/>
              <w:spacing w:line="240" w:lineRule="auto"/>
              <w:ind w:left="57" w:right="57"/>
              <w:contextualSpacing/>
            </w:pPr>
            <w:r w:rsidRPr="00761653">
              <w:t>Бронхоальвеолярный лаваж после КТВР легких</w:t>
            </w:r>
          </w:p>
          <w:p w14:paraId="535671F9" w14:textId="77777777" w:rsidR="004957E5" w:rsidRPr="00761653" w:rsidRDefault="004957E5" w:rsidP="002D3EBF">
            <w:pPr>
              <w:widowControl w:val="0"/>
              <w:autoSpaceDE w:val="0"/>
              <w:autoSpaceDN w:val="0"/>
              <w:adjustRightInd w:val="0"/>
              <w:spacing w:line="240" w:lineRule="auto"/>
              <w:ind w:left="57" w:right="57"/>
              <w:contextualSpacing/>
              <w:rPr>
                <w:rFonts w:eastAsia="MS Mincho"/>
              </w:rPr>
            </w:pPr>
            <w:r w:rsidRPr="00761653">
              <w:t xml:space="preserve">Полное исследование жидкости БАЛ (микроскопия, микробиологическое исследование на бактерии и грибы, определение галактоманнана, флюоресцентная микроскопия на </w:t>
            </w:r>
            <w:r w:rsidRPr="00761653">
              <w:rPr>
                <w:i/>
                <w:iCs/>
              </w:rPr>
              <w:t xml:space="preserve">P. jirovecii, </w:t>
            </w:r>
            <w:r w:rsidRPr="00761653">
              <w:t xml:space="preserve">определение ДНК вирусов, </w:t>
            </w:r>
            <w:r w:rsidRPr="00761653">
              <w:rPr>
                <w:i/>
                <w:iCs/>
              </w:rPr>
              <w:t>P</w:t>
            </w:r>
            <w:r w:rsidRPr="00761653">
              <w:rPr>
                <w:i/>
                <w:iCs/>
                <w:strike/>
              </w:rPr>
              <w:t>.</w:t>
            </w:r>
            <w:r w:rsidRPr="00761653">
              <w:rPr>
                <w:i/>
                <w:iCs/>
              </w:rPr>
              <w:t xml:space="preserve"> jirovecii</w:t>
            </w:r>
            <w:r w:rsidRPr="00761653">
              <w:t>,</w:t>
            </w:r>
            <w:r w:rsidRPr="00761653">
              <w:rPr>
                <w:i/>
                <w:iCs/>
              </w:rPr>
              <w:t xml:space="preserve"> M. pneumoniae, C. pneumoniae</w:t>
            </w:r>
            <w:r w:rsidRPr="00761653">
              <w:t>)</w:t>
            </w:r>
          </w:p>
          <w:p w14:paraId="365F3D4B" w14:textId="77777777" w:rsidR="004957E5" w:rsidRPr="00761653" w:rsidRDefault="004957E5" w:rsidP="002D3EBF">
            <w:pPr>
              <w:widowControl w:val="0"/>
              <w:autoSpaceDE w:val="0"/>
              <w:autoSpaceDN w:val="0"/>
              <w:adjustRightInd w:val="0"/>
              <w:spacing w:line="240" w:lineRule="auto"/>
              <w:ind w:left="57" w:right="57"/>
              <w:contextualSpacing/>
            </w:pPr>
            <w:r w:rsidRPr="00761653">
              <w:t xml:space="preserve">Исследование крови на антиген </w:t>
            </w:r>
            <w:r w:rsidRPr="00761653">
              <w:rPr>
                <w:i/>
                <w:iCs/>
              </w:rPr>
              <w:t>Aspergillus</w:t>
            </w:r>
          </w:p>
        </w:tc>
      </w:tr>
      <w:tr w:rsidR="004957E5" w:rsidRPr="00265B67" w14:paraId="7F570BDB" w14:textId="77777777" w:rsidTr="002D3EBF">
        <w:trPr>
          <w:trHeight w:val="360"/>
        </w:trPr>
        <w:tc>
          <w:tcPr>
            <w:tcW w:w="3510" w:type="dxa"/>
            <w:tcMar>
              <w:top w:w="100" w:type="nil"/>
              <w:right w:w="100" w:type="nil"/>
            </w:tcMar>
          </w:tcPr>
          <w:p w14:paraId="061F2ACD" w14:textId="77777777" w:rsidR="004957E5" w:rsidRPr="00761653" w:rsidRDefault="004957E5" w:rsidP="002D3EBF">
            <w:pPr>
              <w:widowControl w:val="0"/>
              <w:autoSpaceDE w:val="0"/>
              <w:autoSpaceDN w:val="0"/>
              <w:adjustRightInd w:val="0"/>
              <w:spacing w:line="240" w:lineRule="auto"/>
              <w:ind w:left="57" w:right="57"/>
            </w:pPr>
            <w:r w:rsidRPr="00761653">
              <w:t>Cимптомы менингита</w:t>
            </w:r>
          </w:p>
          <w:p w14:paraId="74B9C061" w14:textId="77777777" w:rsidR="004957E5" w:rsidRPr="00761653" w:rsidRDefault="004957E5" w:rsidP="002D3EBF">
            <w:pPr>
              <w:widowControl w:val="0"/>
              <w:autoSpaceDE w:val="0"/>
              <w:autoSpaceDN w:val="0"/>
              <w:adjustRightInd w:val="0"/>
              <w:spacing w:line="240" w:lineRule="auto"/>
              <w:ind w:left="57" w:right="57"/>
              <w:rPr>
                <w:rFonts w:eastAsia="MS Mincho"/>
              </w:rPr>
            </w:pPr>
            <w:r w:rsidRPr="00761653">
              <w:t>«Мозговая» симптоматика на фоне лихорадки и нейтропении</w:t>
            </w:r>
          </w:p>
          <w:p w14:paraId="15163523" w14:textId="77777777" w:rsidR="004957E5" w:rsidRPr="00761653" w:rsidRDefault="004957E5" w:rsidP="002D3EBF">
            <w:pPr>
              <w:widowControl w:val="0"/>
              <w:autoSpaceDE w:val="0"/>
              <w:autoSpaceDN w:val="0"/>
              <w:adjustRightInd w:val="0"/>
              <w:spacing w:line="240" w:lineRule="auto"/>
              <w:ind w:left="57" w:right="57"/>
            </w:pPr>
            <w:r w:rsidRPr="00761653">
              <w:t>Обнаружение очага (очагов) в головном мозге</w:t>
            </w:r>
          </w:p>
        </w:tc>
        <w:tc>
          <w:tcPr>
            <w:tcW w:w="6096" w:type="dxa"/>
            <w:tcMar>
              <w:top w:w="100" w:type="nil"/>
              <w:right w:w="100" w:type="nil"/>
            </w:tcMar>
            <w:vAlign w:val="center"/>
          </w:tcPr>
          <w:p w14:paraId="100148C6" w14:textId="77777777" w:rsidR="004957E5" w:rsidRPr="00761653" w:rsidRDefault="004957E5" w:rsidP="002D3EBF">
            <w:pPr>
              <w:widowControl w:val="0"/>
              <w:autoSpaceDE w:val="0"/>
              <w:autoSpaceDN w:val="0"/>
              <w:adjustRightInd w:val="0"/>
              <w:spacing w:line="240" w:lineRule="auto"/>
              <w:ind w:left="57" w:right="57"/>
              <w:contextualSpacing/>
              <w:rPr>
                <w:rFonts w:eastAsia="MS Mincho"/>
              </w:rPr>
            </w:pPr>
            <w:r w:rsidRPr="00761653">
              <w:t>Люмбальная пункция</w:t>
            </w:r>
          </w:p>
          <w:p w14:paraId="1C518B3B" w14:textId="77777777" w:rsidR="004957E5" w:rsidRPr="00761653" w:rsidRDefault="004957E5" w:rsidP="002D3EBF">
            <w:pPr>
              <w:widowControl w:val="0"/>
              <w:autoSpaceDE w:val="0"/>
              <w:autoSpaceDN w:val="0"/>
              <w:adjustRightInd w:val="0"/>
              <w:spacing w:line="240" w:lineRule="auto"/>
              <w:ind w:left="57" w:right="57"/>
              <w:contextualSpacing/>
            </w:pPr>
            <w:r w:rsidRPr="00761653">
              <w:t xml:space="preserve">Полное исследование СМЖ (см. текст), включая исследование на антиген </w:t>
            </w:r>
            <w:r w:rsidRPr="00761653">
              <w:rPr>
                <w:i/>
                <w:iCs/>
              </w:rPr>
              <w:t>Cryptococcus</w:t>
            </w:r>
            <w:r w:rsidRPr="00761653">
              <w:t xml:space="preserve"> (глюкуроноксиломаннан)</w:t>
            </w:r>
          </w:p>
        </w:tc>
      </w:tr>
      <w:tr w:rsidR="004957E5" w:rsidRPr="00265B67" w14:paraId="3F699A6C" w14:textId="77777777" w:rsidTr="002D3EBF">
        <w:trPr>
          <w:trHeight w:val="93"/>
        </w:trPr>
        <w:tc>
          <w:tcPr>
            <w:tcW w:w="3510" w:type="dxa"/>
            <w:tcMar>
              <w:top w:w="100" w:type="nil"/>
              <w:right w:w="100" w:type="nil"/>
            </w:tcMar>
            <w:vAlign w:val="center"/>
          </w:tcPr>
          <w:p w14:paraId="496EBDF4" w14:textId="77777777" w:rsidR="004957E5" w:rsidRPr="00761653" w:rsidRDefault="004957E5" w:rsidP="002D3EBF">
            <w:pPr>
              <w:widowControl w:val="0"/>
              <w:autoSpaceDE w:val="0"/>
              <w:autoSpaceDN w:val="0"/>
              <w:adjustRightInd w:val="0"/>
              <w:spacing w:line="240" w:lineRule="auto"/>
              <w:ind w:left="57" w:right="57"/>
            </w:pPr>
            <w:r w:rsidRPr="00761653">
              <w:t>Диарея</w:t>
            </w:r>
          </w:p>
        </w:tc>
        <w:tc>
          <w:tcPr>
            <w:tcW w:w="6096" w:type="dxa"/>
            <w:tcMar>
              <w:top w:w="100" w:type="nil"/>
              <w:right w:w="100" w:type="nil"/>
            </w:tcMar>
          </w:tcPr>
          <w:p w14:paraId="387A1AF9" w14:textId="77777777" w:rsidR="004957E5" w:rsidRPr="00761653" w:rsidRDefault="004957E5" w:rsidP="002D3EBF">
            <w:pPr>
              <w:widowControl w:val="0"/>
              <w:autoSpaceDE w:val="0"/>
              <w:autoSpaceDN w:val="0"/>
              <w:adjustRightInd w:val="0"/>
              <w:spacing w:line="240" w:lineRule="auto"/>
              <w:ind w:left="57" w:right="57"/>
            </w:pPr>
            <w:r w:rsidRPr="00761653">
              <w:t xml:space="preserve">Исследование кала на токсин </w:t>
            </w:r>
            <w:r w:rsidRPr="00761653">
              <w:rPr>
                <w:i/>
                <w:iCs/>
              </w:rPr>
              <w:t>C. difficile</w:t>
            </w:r>
          </w:p>
        </w:tc>
      </w:tr>
      <w:tr w:rsidR="004957E5" w:rsidRPr="00265B67" w14:paraId="0D3A7499" w14:textId="77777777" w:rsidTr="002D3EBF">
        <w:trPr>
          <w:trHeight w:val="187"/>
        </w:trPr>
        <w:tc>
          <w:tcPr>
            <w:tcW w:w="3510" w:type="dxa"/>
            <w:tcMar>
              <w:top w:w="100" w:type="nil"/>
              <w:right w:w="100" w:type="nil"/>
            </w:tcMar>
            <w:vAlign w:val="center"/>
          </w:tcPr>
          <w:p w14:paraId="51560483" w14:textId="77777777" w:rsidR="004957E5" w:rsidRPr="00761653" w:rsidRDefault="004957E5" w:rsidP="002D3EBF">
            <w:pPr>
              <w:widowControl w:val="0"/>
              <w:autoSpaceDE w:val="0"/>
              <w:autoSpaceDN w:val="0"/>
              <w:adjustRightInd w:val="0"/>
              <w:spacing w:line="240" w:lineRule="auto"/>
              <w:ind w:left="57" w:right="57"/>
              <w:contextualSpacing/>
              <w:rPr>
                <w:rFonts w:eastAsia="MS Mincho"/>
              </w:rPr>
            </w:pPr>
            <w:r w:rsidRPr="00761653">
              <w:t>Парапроктит</w:t>
            </w:r>
          </w:p>
          <w:p w14:paraId="6BF80947" w14:textId="77777777" w:rsidR="004957E5" w:rsidRPr="00761653" w:rsidRDefault="004957E5" w:rsidP="002D3EBF">
            <w:pPr>
              <w:widowControl w:val="0"/>
              <w:autoSpaceDE w:val="0"/>
              <w:autoSpaceDN w:val="0"/>
              <w:adjustRightInd w:val="0"/>
              <w:spacing w:line="240" w:lineRule="auto"/>
              <w:ind w:left="57" w:right="57"/>
              <w:contextualSpacing/>
            </w:pPr>
            <w:r w:rsidRPr="00761653">
              <w:t>Трещина в области прямой кишки</w:t>
            </w:r>
          </w:p>
        </w:tc>
        <w:tc>
          <w:tcPr>
            <w:tcW w:w="6096" w:type="dxa"/>
            <w:tcMar>
              <w:top w:w="100" w:type="nil"/>
              <w:right w:w="100" w:type="nil"/>
            </w:tcMar>
            <w:vAlign w:val="center"/>
          </w:tcPr>
          <w:p w14:paraId="2588D404" w14:textId="77777777" w:rsidR="004957E5" w:rsidRPr="00761653" w:rsidRDefault="004957E5" w:rsidP="002D3EBF">
            <w:pPr>
              <w:widowControl w:val="0"/>
              <w:autoSpaceDE w:val="0"/>
              <w:autoSpaceDN w:val="0"/>
              <w:adjustRightInd w:val="0"/>
              <w:spacing w:line="240" w:lineRule="auto"/>
              <w:ind w:left="57" w:right="57"/>
            </w:pPr>
            <w:r w:rsidRPr="00761653">
              <w:t>Мазок со слизистой оболочки прямой кишки</w:t>
            </w:r>
          </w:p>
        </w:tc>
      </w:tr>
      <w:tr w:rsidR="004957E5" w:rsidRPr="00265B67" w14:paraId="1B5096A6" w14:textId="77777777" w:rsidTr="002D3EBF">
        <w:trPr>
          <w:trHeight w:val="200"/>
        </w:trPr>
        <w:tc>
          <w:tcPr>
            <w:tcW w:w="3510" w:type="dxa"/>
            <w:tcMar>
              <w:top w:w="100" w:type="nil"/>
              <w:right w:w="100" w:type="nil"/>
            </w:tcMar>
            <w:vAlign w:val="center"/>
          </w:tcPr>
          <w:p w14:paraId="1697CE94" w14:textId="77777777" w:rsidR="004957E5" w:rsidRPr="00761653" w:rsidRDefault="004957E5" w:rsidP="002D3EBF">
            <w:pPr>
              <w:widowControl w:val="0"/>
              <w:autoSpaceDE w:val="0"/>
              <w:autoSpaceDN w:val="0"/>
              <w:adjustRightInd w:val="0"/>
              <w:spacing w:line="240" w:lineRule="auto"/>
              <w:ind w:left="57" w:right="57"/>
              <w:contextualSpacing/>
            </w:pPr>
            <w:r w:rsidRPr="00761653">
              <w:t>Образования (инфильтраты) на коже</w:t>
            </w:r>
          </w:p>
        </w:tc>
        <w:tc>
          <w:tcPr>
            <w:tcW w:w="6096" w:type="dxa"/>
            <w:tcMar>
              <w:top w:w="100" w:type="nil"/>
              <w:right w:w="100" w:type="nil"/>
            </w:tcMar>
            <w:vAlign w:val="center"/>
          </w:tcPr>
          <w:p w14:paraId="58DCB1B2" w14:textId="77777777" w:rsidR="004957E5" w:rsidRPr="00761653" w:rsidRDefault="004957E5" w:rsidP="002D3EBF">
            <w:pPr>
              <w:widowControl w:val="0"/>
              <w:autoSpaceDE w:val="0"/>
              <w:autoSpaceDN w:val="0"/>
              <w:adjustRightInd w:val="0"/>
              <w:spacing w:line="240" w:lineRule="auto"/>
              <w:ind w:left="57" w:right="57"/>
              <w:contextualSpacing/>
            </w:pPr>
            <w:r w:rsidRPr="00761653">
              <w:t>Биопсия</w:t>
            </w:r>
          </w:p>
          <w:p w14:paraId="2599E0C4" w14:textId="77777777" w:rsidR="004957E5" w:rsidRPr="00761653" w:rsidRDefault="004957E5" w:rsidP="002D3EBF">
            <w:pPr>
              <w:widowControl w:val="0"/>
              <w:autoSpaceDE w:val="0"/>
              <w:autoSpaceDN w:val="0"/>
              <w:adjustRightInd w:val="0"/>
              <w:spacing w:line="240" w:lineRule="auto"/>
              <w:ind w:left="57" w:right="57"/>
              <w:contextualSpacing/>
            </w:pPr>
            <w:r w:rsidRPr="00761653">
              <w:t>Микробиологическое и гистологическое исследование биоптата</w:t>
            </w:r>
          </w:p>
        </w:tc>
      </w:tr>
    </w:tbl>
    <w:p w14:paraId="7DB010CE" w14:textId="77777777" w:rsidR="004957E5" w:rsidRDefault="004957E5" w:rsidP="004957E5">
      <w:pPr>
        <w:widowControl w:val="0"/>
        <w:tabs>
          <w:tab w:val="left" w:pos="1134"/>
        </w:tabs>
        <w:autoSpaceDE w:val="0"/>
        <w:autoSpaceDN w:val="0"/>
        <w:adjustRightInd w:val="0"/>
        <w:ind w:right="-130"/>
        <w:contextualSpacing/>
        <w:rPr>
          <w:b/>
          <w:bCs/>
        </w:rPr>
      </w:pPr>
    </w:p>
    <w:p w14:paraId="66819902" w14:textId="77777777" w:rsidR="004957E5" w:rsidRPr="00284D51" w:rsidRDefault="004957E5" w:rsidP="004957E5">
      <w:pPr>
        <w:widowControl w:val="0"/>
        <w:autoSpaceDE w:val="0"/>
        <w:autoSpaceDN w:val="0"/>
        <w:adjustRightInd w:val="0"/>
        <w:ind w:right="49"/>
        <w:contextualSpacing/>
        <w:rPr>
          <w:bCs/>
          <w:i/>
          <w:iCs/>
          <w:u w:val="single"/>
        </w:rPr>
      </w:pPr>
      <w:r w:rsidRPr="00284D51">
        <w:rPr>
          <w:bCs/>
          <w:i/>
          <w:iCs/>
          <w:u w:val="single"/>
        </w:rPr>
        <w:t>Показания к назначению антибактериальной терапии первого этапа</w:t>
      </w:r>
    </w:p>
    <w:p w14:paraId="14D7CA68" w14:textId="77777777" w:rsidR="004957E5" w:rsidRPr="0076198F" w:rsidRDefault="004957E5" w:rsidP="0007729C">
      <w:pPr>
        <w:ind w:firstLine="709"/>
      </w:pPr>
      <w:r w:rsidRPr="005971E1">
        <w:t>В первые сутки, как правило, единственным симптомом ифнекционного осложнения</w:t>
      </w:r>
      <w:r>
        <w:t xml:space="preserve"> </w:t>
      </w:r>
      <w:r w:rsidRPr="0076198F">
        <w:t>бывает лишь повышение температуры</w:t>
      </w:r>
      <w:r>
        <w:t xml:space="preserve"> тела</w:t>
      </w:r>
      <w:r w:rsidRPr="0076198F">
        <w:t xml:space="preserve">, а информацию о бактериемии или пневмонии у больных с нейтропенией удается получить не раньше, чем на второй день инфекционного эпизода. В связи с этим основным принципом терапии инфекционных осложнений у </w:t>
      </w:r>
      <w:r>
        <w:t xml:space="preserve">гематологических пациентов </w:t>
      </w:r>
      <w:r w:rsidRPr="0076198F">
        <w:t>с фебрильной нейтропенией</w:t>
      </w:r>
      <w:r>
        <w:t xml:space="preserve">, особенно из группы риска, куда относятся пациенты с лимфомами (онкогематология, иммунодефицитные состояния) </w:t>
      </w:r>
      <w:r w:rsidRPr="0076198F">
        <w:t xml:space="preserve">является эмпирический подход к назначению антибактериальных препаратов, когда их применяют при первых признаках инфекции, при лихорадке до идентификации возбудителей инфекции. В то же время эмпирический подход к назначению антибиотиков является относительным, поскольку выбор антимикробных препаратов определяется ретроспективным анализом верифицированных возбудителей и их антибиотикочувствительностью. </w:t>
      </w:r>
    </w:p>
    <w:p w14:paraId="357CA1BE" w14:textId="77777777" w:rsidR="004957E5" w:rsidRDefault="004957E5" w:rsidP="0007729C">
      <w:pPr>
        <w:widowControl w:val="0"/>
        <w:tabs>
          <w:tab w:val="left" w:pos="1134"/>
        </w:tabs>
        <w:autoSpaceDE w:val="0"/>
        <w:autoSpaceDN w:val="0"/>
        <w:adjustRightInd w:val="0"/>
        <w:ind w:right="-130" w:firstLine="709"/>
        <w:contextualSpacing/>
      </w:pPr>
      <w:r>
        <w:rPr>
          <w:bCs/>
        </w:rPr>
        <w:t>Показанием к назначению антибактериальных препаратов является п</w:t>
      </w:r>
      <w:r w:rsidRPr="00761653">
        <w:t xml:space="preserve">овышение </w:t>
      </w:r>
      <w:r w:rsidRPr="00761653">
        <w:lastRenderedPageBreak/>
        <w:t xml:space="preserve">температуры ≥38,0°С, сохраняющееся в течение 2 часов и не связанное с введением пирогенных препаратов (например, компонентов крови, факторов роста и др.) </w:t>
      </w:r>
      <w:r w:rsidRPr="008B181D">
        <w:rPr>
          <w:b/>
          <w:i/>
          <w:iCs/>
        </w:rPr>
        <w:t>или</w:t>
      </w:r>
      <w:r w:rsidRPr="00761653">
        <w:rPr>
          <w:b/>
          <w:bCs/>
        </w:rPr>
        <w:t xml:space="preserve"> </w:t>
      </w:r>
      <w:r w:rsidRPr="00761653">
        <w:t xml:space="preserve">наличие очага инфекции (например, пневмония, парапроктит и др.) вне зависимости от показателей температуры. </w:t>
      </w:r>
    </w:p>
    <w:p w14:paraId="0955C514" w14:textId="77777777" w:rsidR="004957E5" w:rsidRPr="00761653" w:rsidRDefault="004957E5" w:rsidP="0007729C">
      <w:pPr>
        <w:widowControl w:val="0"/>
        <w:autoSpaceDE w:val="0"/>
        <w:autoSpaceDN w:val="0"/>
        <w:adjustRightInd w:val="0"/>
        <w:ind w:right="-130" w:firstLine="709"/>
        <w:contextualSpacing/>
      </w:pPr>
      <w:r w:rsidRPr="00761653">
        <w:t>При фебрильной нейтропении в 1-й линии назначают внутривенно антибиотик с активностью против грамотрицательных бактерий, включая синегнойную палочку - пиперациллин/тазобактам (4,5 г х 3 раза) или цефоперазон/сульбактам</w:t>
      </w:r>
      <w:r w:rsidRPr="00761653">
        <w:rPr>
          <w:b/>
          <w:bCs/>
        </w:rPr>
        <w:t xml:space="preserve"> (</w:t>
      </w:r>
      <w:r w:rsidRPr="00761653">
        <w:t>4 г х 2 раза). В клиниках с низкой частотой детекции энтеробактерий с продукцией БЛРС допустимо назначение цефепима</w:t>
      </w:r>
      <w:r w:rsidRPr="00761653">
        <w:rPr>
          <w:b/>
          <w:bCs/>
        </w:rPr>
        <w:t xml:space="preserve"> (</w:t>
      </w:r>
      <w:r w:rsidRPr="00761653">
        <w:t>2 г х 2 раза) или цефтазидима</w:t>
      </w:r>
      <w:r w:rsidRPr="00761653">
        <w:rPr>
          <w:b/>
          <w:bCs/>
        </w:rPr>
        <w:t xml:space="preserve"> (</w:t>
      </w:r>
      <w:r w:rsidRPr="00761653">
        <w:t xml:space="preserve">2 г х 3 раза). Препарат выбора для беременных с заболеваниями системы крови – цефепим. При неэффективности и отсутствии информативных микробиологических исследований проводят замену антибиотиков 1й линии на антипсевдомонадный карбапенем (имипенем, меропенем или дорипенем). В 1й линии </w:t>
      </w:r>
      <w:r>
        <w:t xml:space="preserve">терапии </w:t>
      </w:r>
      <w:r w:rsidRPr="00761653">
        <w:t xml:space="preserve">фебрильной нейтропении не назначают цефтриаксон, цефоперазон, фторхинолоны. </w:t>
      </w:r>
    </w:p>
    <w:p w14:paraId="3A763595" w14:textId="77777777" w:rsidR="004957E5" w:rsidRPr="00761653" w:rsidRDefault="004957E5" w:rsidP="0007729C">
      <w:pPr>
        <w:widowControl w:val="0"/>
        <w:autoSpaceDE w:val="0"/>
        <w:autoSpaceDN w:val="0"/>
        <w:adjustRightInd w:val="0"/>
        <w:ind w:right="-220" w:firstLine="709"/>
        <w:contextualSpacing/>
      </w:pPr>
      <w:r w:rsidRPr="00761653">
        <w:t>Показаниями к назначению антипсевдомонадных карбапенемов (имипенема/циластатина, меропенема, дорипенема) в 1-й линии фебрильной нейтропениии являются септический шок; пневмония с дыхательной недостаточностью.</w:t>
      </w:r>
    </w:p>
    <w:p w14:paraId="63F25A23" w14:textId="77777777" w:rsidR="004957E5" w:rsidRPr="00761653" w:rsidRDefault="004957E5" w:rsidP="0007729C">
      <w:pPr>
        <w:widowControl w:val="0"/>
        <w:autoSpaceDE w:val="0"/>
        <w:autoSpaceDN w:val="0"/>
        <w:adjustRightInd w:val="0"/>
        <w:ind w:right="-220" w:firstLine="709"/>
        <w:contextualSpacing/>
      </w:pPr>
      <w:r w:rsidRPr="00761653">
        <w:t xml:space="preserve">Модификацию противомикробной терапии проводят на основании клинических симптомов, инструментальных и микробиологических исследований. У больных с персистирующей фебрильной нейтропенией и отрицательной гемокультурой при модификации учитывают чувствительность грамотрицательных бактерий, колонизирующих слизистые оболочки желудочно-кишечного тракта. При неэффективности карбапенемов и сохранении нейтропении добавляют противогрибковые препараты – эхинокандин (каспофунгин, микафунгин или анидулафунгин), вориконазол, амфотерицин В; орофарингеальном кандидозе и эзофагите - флуконазол. </w:t>
      </w:r>
    </w:p>
    <w:p w14:paraId="6378D5B7" w14:textId="77777777" w:rsidR="004957E5" w:rsidRDefault="004957E5" w:rsidP="004957E5">
      <w:pPr>
        <w:widowControl w:val="0"/>
        <w:autoSpaceDE w:val="0"/>
        <w:autoSpaceDN w:val="0"/>
        <w:adjustRightInd w:val="0"/>
        <w:ind w:right="49"/>
        <w:contextualSpacing/>
        <w:rPr>
          <w:bCs/>
          <w:u w:val="single"/>
        </w:rPr>
      </w:pPr>
    </w:p>
    <w:p w14:paraId="2DABC7FD" w14:textId="77777777" w:rsidR="004957E5" w:rsidRPr="00284D51" w:rsidRDefault="004957E5" w:rsidP="004957E5">
      <w:pPr>
        <w:widowControl w:val="0"/>
        <w:autoSpaceDE w:val="0"/>
        <w:autoSpaceDN w:val="0"/>
        <w:adjustRightInd w:val="0"/>
        <w:ind w:right="49"/>
        <w:contextualSpacing/>
        <w:rPr>
          <w:bCs/>
          <w:i/>
          <w:iCs/>
          <w:u w:val="single"/>
        </w:rPr>
      </w:pPr>
      <w:r w:rsidRPr="00284D51">
        <w:rPr>
          <w:bCs/>
          <w:i/>
          <w:iCs/>
          <w:u w:val="single"/>
        </w:rPr>
        <w:t>Эмпирическое назначение противогрибковых препаратов</w:t>
      </w:r>
    </w:p>
    <w:p w14:paraId="32240E13" w14:textId="77777777" w:rsidR="004957E5" w:rsidRPr="00761653" w:rsidRDefault="004957E5" w:rsidP="0007729C">
      <w:pPr>
        <w:widowControl w:val="0"/>
        <w:autoSpaceDE w:val="0"/>
        <w:autoSpaceDN w:val="0"/>
        <w:adjustRightInd w:val="0"/>
        <w:ind w:right="-211" w:firstLine="709"/>
        <w:contextualSpacing/>
      </w:pPr>
      <w:r w:rsidRPr="00761653">
        <w:t>Эмпирическое назначение противогрибковых препаратов проводят на 4-7-й дни персистирующей фебрильной нейтропении в группе высокого риска возникновения инвазивных микозов (</w:t>
      </w:r>
      <w:r>
        <w:t>пациенты с</w:t>
      </w:r>
      <w:r w:rsidRPr="00761653">
        <w:t xml:space="preserve"> острым лейкозом, миелодиспластическим синдромом, реципиенты аллогенных ТГСК</w:t>
      </w:r>
      <w:r>
        <w:t>, агрессивными лимфомами, при длительной терапии глюкортикостероидами и др.</w:t>
      </w:r>
      <w:r w:rsidRPr="00761653">
        <w:t>), при условии отсутствия у них других клинических симптомов, а также р</w:t>
      </w:r>
      <w:r>
        <w:t>адиоло</w:t>
      </w:r>
      <w:r w:rsidRPr="00761653">
        <w:t xml:space="preserve">гических и лабораторных данных за иную инфекцию или другой инвазивный микоз. Препарат выбора – каспофунгин (в 1-й день 70 мг, далее по 50 мг внутривенно 1 раз в сутки), микафунгин (100 мг один раз в сутки внутривенно), анидулафунгин (в 1-й день 200 </w:t>
      </w:r>
      <w:r w:rsidRPr="00761653">
        <w:lastRenderedPageBreak/>
        <w:t xml:space="preserve">мг, далее по 100 мг 1 раз в сутки, внутривенно); альтернативные – вориконазол (в 1-й день по 6мг/кг внутривенно 2 раза в сутки, в последующие дни по 4 мг/кг внутривенно 2 раза в сутки, с переходом на пероральный прием по 200 мг 2 раза в сутки), амфотерицин В (0,8—1,0 мг/кг внутривенно 1 раз в сутки), липидные формы амфотерицина В (3 мг/кг внутривенно 1 раз в сутки). Как правило, тепература нормализуется в течение первых трех дней применения антимикотиков, и общая </w:t>
      </w:r>
      <w:r w:rsidRPr="00761653">
        <w:rPr>
          <w:bCs/>
        </w:rPr>
        <w:t>длительность применения противогрибковых препаратов</w:t>
      </w:r>
      <w:r w:rsidRPr="00761653">
        <w:t xml:space="preserve"> составляет 10-14 дней.</w:t>
      </w:r>
    </w:p>
    <w:p w14:paraId="2C3CCE96" w14:textId="77777777" w:rsidR="004957E5" w:rsidRDefault="004957E5" w:rsidP="004957E5">
      <w:pPr>
        <w:widowControl w:val="0"/>
        <w:autoSpaceDE w:val="0"/>
        <w:autoSpaceDN w:val="0"/>
        <w:adjustRightInd w:val="0"/>
        <w:ind w:right="49"/>
        <w:contextualSpacing/>
        <w:rPr>
          <w:bCs/>
          <w:u w:val="single"/>
        </w:rPr>
      </w:pPr>
    </w:p>
    <w:p w14:paraId="33CE289C" w14:textId="77777777" w:rsidR="004957E5" w:rsidRPr="00284D51" w:rsidRDefault="004957E5" w:rsidP="004957E5">
      <w:pPr>
        <w:widowControl w:val="0"/>
        <w:autoSpaceDE w:val="0"/>
        <w:autoSpaceDN w:val="0"/>
        <w:adjustRightInd w:val="0"/>
        <w:ind w:right="49"/>
        <w:contextualSpacing/>
        <w:rPr>
          <w:bCs/>
          <w:i/>
          <w:iCs/>
          <w:u w:val="single"/>
        </w:rPr>
      </w:pPr>
      <w:r w:rsidRPr="00284D51">
        <w:rPr>
          <w:bCs/>
          <w:i/>
          <w:iCs/>
          <w:u w:val="single"/>
        </w:rPr>
        <w:t>Превентивная терапия инвазивного микоза</w:t>
      </w:r>
    </w:p>
    <w:p w14:paraId="06F8B387" w14:textId="77777777" w:rsidR="004957E5" w:rsidRPr="00761653" w:rsidRDefault="004957E5" w:rsidP="0007729C">
      <w:pPr>
        <w:widowControl w:val="0"/>
        <w:autoSpaceDE w:val="0"/>
        <w:autoSpaceDN w:val="0"/>
        <w:adjustRightInd w:val="0"/>
        <w:ind w:right="-211" w:firstLine="709"/>
        <w:contextualSpacing/>
      </w:pPr>
      <w:r w:rsidRPr="00761653">
        <w:rPr>
          <w:bCs/>
        </w:rPr>
        <w:t xml:space="preserve">Показаниями </w:t>
      </w:r>
      <w:r w:rsidRPr="00761653">
        <w:t>к превентивному назначению противогрибковых препаратов являются пневмония с р</w:t>
      </w:r>
      <w:r>
        <w:t>адио</w:t>
      </w:r>
      <w:r w:rsidRPr="00761653">
        <w:t>логическими признаками</w:t>
      </w:r>
      <w:r>
        <w:t>,</w:t>
      </w:r>
      <w:r w:rsidRPr="00761653">
        <w:t xml:space="preserve"> нехарактерными для инвазивного аспергиллеза, которая сохраняется или прогрессирует на фоне применения антибиотиков у </w:t>
      </w:r>
      <w:r>
        <w:t>пациентов</w:t>
      </w:r>
      <w:r w:rsidRPr="00761653">
        <w:t xml:space="preserve"> с факторами риска возникновения инвазивного аспергиллеза (нейтропения от 10 дней и более) или </w:t>
      </w:r>
      <w:r>
        <w:t xml:space="preserve">при </w:t>
      </w:r>
      <w:r w:rsidRPr="00761653">
        <w:t>положительн</w:t>
      </w:r>
      <w:r>
        <w:t>ом</w:t>
      </w:r>
      <w:r w:rsidRPr="00761653">
        <w:t xml:space="preserve"> результат</w:t>
      </w:r>
      <w:r>
        <w:t>е</w:t>
      </w:r>
      <w:r w:rsidRPr="00761653">
        <w:t xml:space="preserve"> определения антигена </w:t>
      </w:r>
      <w:r w:rsidRPr="00761653">
        <w:rPr>
          <w:i/>
          <w:iCs/>
        </w:rPr>
        <w:t xml:space="preserve">Aspergillus </w:t>
      </w:r>
      <w:r w:rsidRPr="00761653">
        <w:t xml:space="preserve">spp. (галактоманнан) в крови в отсутствие пневмонии. Превентивное назначение противогрибковых препаратов проводят </w:t>
      </w:r>
      <w:r>
        <w:t>пациентам</w:t>
      </w:r>
      <w:r w:rsidRPr="00761653">
        <w:t>, входящим в группу высокого риска возникновения инвазивного аспергиллеза (острый лейкоз, миелодиспластический синдром, апластическая анемия, реципиенты аллогенных СГК).</w:t>
      </w:r>
    </w:p>
    <w:p w14:paraId="0E0C0721" w14:textId="77777777" w:rsidR="004957E5" w:rsidRPr="00761653" w:rsidRDefault="004957E5" w:rsidP="0007729C">
      <w:pPr>
        <w:widowControl w:val="0"/>
        <w:autoSpaceDE w:val="0"/>
        <w:autoSpaceDN w:val="0"/>
        <w:adjustRightInd w:val="0"/>
        <w:ind w:right="-211" w:firstLine="709"/>
        <w:contextualSpacing/>
      </w:pPr>
      <w:r w:rsidRPr="00761653">
        <w:rPr>
          <w:bCs/>
        </w:rPr>
        <w:t>Лечение включает назначение в</w:t>
      </w:r>
      <w:r w:rsidRPr="00761653">
        <w:t>ориконазола, в первый день по 6 мг/кг внутривенно 2 раза в сутки, в последующие дни по 4 мг/кг внутривенно 2 раза в сутки, с переходом на пероральный прием по 200 мг 2 раза в сутки.</w:t>
      </w:r>
    </w:p>
    <w:p w14:paraId="7E7A4298" w14:textId="77777777" w:rsidR="004957E5" w:rsidRDefault="004957E5" w:rsidP="004957E5">
      <w:pPr>
        <w:widowControl w:val="0"/>
        <w:tabs>
          <w:tab w:val="left" w:pos="1134"/>
        </w:tabs>
        <w:autoSpaceDE w:val="0"/>
        <w:autoSpaceDN w:val="0"/>
        <w:adjustRightInd w:val="0"/>
        <w:ind w:right="49"/>
        <w:contextualSpacing/>
        <w:rPr>
          <w:b/>
        </w:rPr>
      </w:pPr>
    </w:p>
    <w:p w14:paraId="3359B79B" w14:textId="77777777" w:rsidR="004957E5" w:rsidRPr="00284D51" w:rsidRDefault="004957E5" w:rsidP="004957E5">
      <w:pPr>
        <w:widowControl w:val="0"/>
        <w:autoSpaceDE w:val="0"/>
        <w:autoSpaceDN w:val="0"/>
        <w:adjustRightInd w:val="0"/>
        <w:ind w:right="49"/>
        <w:contextualSpacing/>
        <w:rPr>
          <w:bCs/>
          <w:i/>
          <w:iCs/>
          <w:u w:val="single"/>
        </w:rPr>
      </w:pPr>
      <w:r w:rsidRPr="00284D51">
        <w:rPr>
          <w:bCs/>
          <w:i/>
          <w:iCs/>
          <w:u w:val="single"/>
        </w:rPr>
        <w:t>Лечение микробиологически подтвержденных инфекций</w:t>
      </w:r>
    </w:p>
    <w:p w14:paraId="13E58EDA" w14:textId="77777777" w:rsidR="004957E5" w:rsidRPr="00761653" w:rsidRDefault="004957E5" w:rsidP="004957E5">
      <w:pPr>
        <w:widowControl w:val="0"/>
        <w:tabs>
          <w:tab w:val="left" w:pos="1134"/>
        </w:tabs>
        <w:autoSpaceDE w:val="0"/>
        <w:autoSpaceDN w:val="0"/>
        <w:adjustRightInd w:val="0"/>
        <w:ind w:right="49"/>
        <w:contextualSpacing/>
        <w:rPr>
          <w:b/>
        </w:rPr>
      </w:pPr>
      <w:r w:rsidRPr="00761653">
        <w:rPr>
          <w:b/>
        </w:rPr>
        <w:t>Грамотрицательные возбудители</w:t>
      </w:r>
    </w:p>
    <w:p w14:paraId="68A5F6FE" w14:textId="77777777" w:rsidR="004957E5" w:rsidRPr="00284D51" w:rsidRDefault="004957E5" w:rsidP="0007729C">
      <w:pPr>
        <w:widowControl w:val="0"/>
        <w:autoSpaceDE w:val="0"/>
        <w:autoSpaceDN w:val="0"/>
        <w:adjustRightInd w:val="0"/>
        <w:ind w:right="49" w:firstLine="709"/>
        <w:contextualSpacing/>
        <w:rPr>
          <w:bCs/>
          <w:i/>
          <w:iCs/>
        </w:rPr>
      </w:pPr>
      <w:r w:rsidRPr="00284D51">
        <w:rPr>
          <w:bCs/>
          <w:i/>
          <w:iCs/>
        </w:rPr>
        <w:t>Энтеробактерии с продукцией БЛРС, Enterobacter spp</w:t>
      </w:r>
    </w:p>
    <w:p w14:paraId="42015826" w14:textId="77777777" w:rsidR="004957E5" w:rsidRPr="00761653" w:rsidRDefault="004957E5" w:rsidP="0007729C">
      <w:pPr>
        <w:widowControl w:val="0"/>
        <w:autoSpaceDE w:val="0"/>
        <w:autoSpaceDN w:val="0"/>
        <w:adjustRightInd w:val="0"/>
        <w:ind w:right="49" w:firstLine="709"/>
        <w:contextualSpacing/>
      </w:pPr>
      <w:r w:rsidRPr="00761653">
        <w:t xml:space="preserve">Препарат выбора – антипсевдомонадный карбапенем (имипенем, меропенем или дорипенем). вне нейтропениии, особенно при инфекции мочевыводящих путей, может быть использован эртапенем. Назначение карбапенемов в стандартных дозах. </w:t>
      </w:r>
    </w:p>
    <w:p w14:paraId="489F7688" w14:textId="77777777" w:rsidR="004957E5" w:rsidRPr="00284D51" w:rsidRDefault="004957E5" w:rsidP="0007729C">
      <w:pPr>
        <w:widowControl w:val="0"/>
        <w:autoSpaceDE w:val="0"/>
        <w:autoSpaceDN w:val="0"/>
        <w:adjustRightInd w:val="0"/>
        <w:ind w:right="49" w:firstLine="709"/>
        <w:contextualSpacing/>
        <w:rPr>
          <w:bCs/>
          <w:i/>
          <w:iCs/>
        </w:rPr>
      </w:pPr>
      <w:r w:rsidRPr="00284D51">
        <w:rPr>
          <w:bCs/>
          <w:i/>
          <w:iCs/>
        </w:rPr>
        <w:t xml:space="preserve">Энтеробактерии с продукцией карбапенемаз </w:t>
      </w:r>
    </w:p>
    <w:p w14:paraId="2893193F" w14:textId="77777777" w:rsidR="004957E5" w:rsidRPr="00761653" w:rsidRDefault="004957E5" w:rsidP="0007729C">
      <w:pPr>
        <w:widowControl w:val="0"/>
        <w:autoSpaceDE w:val="0"/>
        <w:autoSpaceDN w:val="0"/>
        <w:adjustRightInd w:val="0"/>
        <w:ind w:right="49" w:firstLine="709"/>
        <w:contextualSpacing/>
      </w:pPr>
      <w:r w:rsidRPr="00761653">
        <w:t>Лечение проводят сочетанием антибиотиков согласно чувствителньости. Препарат выбора при детекции карбапенемаз групп KPC, OXA-48 - цефтазидим-авибактам (2,5 г каждые 8 часов, введение в течение 2 часов), при детекции металлоферментов (NDM) – сочетание цефтазидима-авибактама с азтреонамом (по 2 г 3 раза в сутки). Препараты, используемые в лечении инфекций, вызванных карбапенемазопродуцирующими бактериями представлены в табл</w:t>
      </w:r>
      <w:r>
        <w:t>ице 2.</w:t>
      </w:r>
      <w:r w:rsidRPr="00761653">
        <w:t xml:space="preserve"> Тигециклин имеет низкие концентрации в крови и </w:t>
      </w:r>
      <w:r w:rsidRPr="00761653">
        <w:lastRenderedPageBreak/>
        <w:t>в моче, проявляет бактериостатическое действие, не относится к препаратам выбора при инфекциях кровотока. При инфекциях кровотока назначают тигециклин только при отсутствии других опций в лечении.</w:t>
      </w:r>
    </w:p>
    <w:p w14:paraId="2E3C578F" w14:textId="77777777" w:rsidR="004957E5" w:rsidRDefault="004957E5" w:rsidP="004957E5"/>
    <w:p w14:paraId="5BF7E256" w14:textId="77777777" w:rsidR="004957E5" w:rsidRPr="00761653" w:rsidRDefault="004957E5" w:rsidP="004957E5">
      <w:r w:rsidRPr="00761653">
        <w:t>Таблица 2. Дозы антибиотиков</w:t>
      </w:r>
      <w:r>
        <w:t>,</w:t>
      </w:r>
      <w:r w:rsidRPr="00761653">
        <w:t xml:space="preserve"> рекомендуемые для лечения инфекций, вызванных энтеробактериями с продукцией карбапенемаз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6520"/>
      </w:tblGrid>
      <w:tr w:rsidR="004957E5" w:rsidRPr="00761653" w14:paraId="1BE69855" w14:textId="77777777" w:rsidTr="002D3EBF">
        <w:trPr>
          <w:trHeight w:val="555"/>
        </w:trPr>
        <w:tc>
          <w:tcPr>
            <w:tcW w:w="3227" w:type="dxa"/>
            <w:vAlign w:val="center"/>
          </w:tcPr>
          <w:p w14:paraId="4FB2F1D4" w14:textId="77777777" w:rsidR="004957E5" w:rsidRPr="00761653" w:rsidRDefault="004957E5" w:rsidP="002D3EBF">
            <w:pPr>
              <w:ind w:left="57" w:right="57"/>
              <w:jc w:val="center"/>
              <w:rPr>
                <w:lang w:val="en-US"/>
              </w:rPr>
            </w:pPr>
            <w:r w:rsidRPr="00761653">
              <w:t>Препарат</w:t>
            </w:r>
          </w:p>
        </w:tc>
        <w:tc>
          <w:tcPr>
            <w:tcW w:w="6520" w:type="dxa"/>
            <w:vAlign w:val="center"/>
          </w:tcPr>
          <w:p w14:paraId="1EF44422" w14:textId="77777777" w:rsidR="004957E5" w:rsidRPr="00761653" w:rsidRDefault="004957E5" w:rsidP="002D3EBF">
            <w:pPr>
              <w:ind w:left="57" w:right="57"/>
              <w:jc w:val="center"/>
              <w:rPr>
                <w:lang w:val="en-US"/>
              </w:rPr>
            </w:pPr>
            <w:r w:rsidRPr="00761653">
              <w:t>Доза</w:t>
            </w:r>
          </w:p>
        </w:tc>
      </w:tr>
      <w:tr w:rsidR="004957E5" w:rsidRPr="00265B67" w14:paraId="77C1CD0B" w14:textId="77777777" w:rsidTr="002D3EBF">
        <w:trPr>
          <w:trHeight w:val="421"/>
        </w:trPr>
        <w:tc>
          <w:tcPr>
            <w:tcW w:w="3227" w:type="dxa"/>
          </w:tcPr>
          <w:p w14:paraId="786EAF65" w14:textId="77777777" w:rsidR="004957E5" w:rsidRPr="00761653" w:rsidRDefault="004957E5" w:rsidP="002D3EBF">
            <w:pPr>
              <w:ind w:left="57" w:right="57"/>
            </w:pPr>
            <w:r w:rsidRPr="00761653">
              <w:t>Цефтазидим-авибактам</w:t>
            </w:r>
          </w:p>
        </w:tc>
        <w:tc>
          <w:tcPr>
            <w:tcW w:w="6520" w:type="dxa"/>
          </w:tcPr>
          <w:p w14:paraId="494BB093" w14:textId="77777777" w:rsidR="004957E5" w:rsidRPr="00761653" w:rsidRDefault="004957E5" w:rsidP="002D3EBF">
            <w:pPr>
              <w:ind w:left="57" w:right="57"/>
            </w:pPr>
            <w:r w:rsidRPr="00761653">
              <w:t>2,5 г каждые 8 часов, длительность инфузии 2 часа</w:t>
            </w:r>
          </w:p>
        </w:tc>
      </w:tr>
      <w:tr w:rsidR="004957E5" w:rsidRPr="00975FC1" w14:paraId="60DDCB6E" w14:textId="77777777" w:rsidTr="002D3EBF">
        <w:trPr>
          <w:trHeight w:val="825"/>
        </w:trPr>
        <w:tc>
          <w:tcPr>
            <w:tcW w:w="3227" w:type="dxa"/>
          </w:tcPr>
          <w:p w14:paraId="60E41070" w14:textId="77777777" w:rsidR="004957E5" w:rsidRPr="00761653" w:rsidRDefault="004957E5" w:rsidP="002D3EBF">
            <w:pPr>
              <w:ind w:left="57" w:right="57"/>
              <w:rPr>
                <w:lang w:val="en-US"/>
              </w:rPr>
            </w:pPr>
            <w:r w:rsidRPr="00761653">
              <w:t>Меропенем</w:t>
            </w:r>
          </w:p>
        </w:tc>
        <w:tc>
          <w:tcPr>
            <w:tcW w:w="6520" w:type="dxa"/>
          </w:tcPr>
          <w:p w14:paraId="285772D4" w14:textId="77777777" w:rsidR="004957E5" w:rsidRPr="00761653" w:rsidRDefault="004957E5" w:rsidP="002D3EBF">
            <w:pPr>
              <w:ind w:left="57" w:right="57"/>
            </w:pPr>
            <w:r w:rsidRPr="00761653">
              <w:t xml:space="preserve">2 г каждые 8 часов </w:t>
            </w:r>
          </w:p>
          <w:p w14:paraId="3DDCF633" w14:textId="77777777" w:rsidR="004957E5" w:rsidRPr="00761653" w:rsidRDefault="004957E5" w:rsidP="002D3EBF">
            <w:pPr>
              <w:ind w:left="57" w:right="57"/>
            </w:pPr>
            <w:r w:rsidRPr="00761653">
              <w:t>пролонгированная инфузия в течение 3х часов</w:t>
            </w:r>
          </w:p>
        </w:tc>
      </w:tr>
      <w:tr w:rsidR="004957E5" w:rsidRPr="00761653" w14:paraId="2EC72B9D" w14:textId="77777777" w:rsidTr="002D3EBF">
        <w:trPr>
          <w:trHeight w:val="270"/>
        </w:trPr>
        <w:tc>
          <w:tcPr>
            <w:tcW w:w="3227" w:type="dxa"/>
          </w:tcPr>
          <w:p w14:paraId="37D2310C" w14:textId="77777777" w:rsidR="004957E5" w:rsidRPr="00761653" w:rsidRDefault="004957E5" w:rsidP="002D3EBF">
            <w:pPr>
              <w:ind w:left="57" w:right="57"/>
              <w:rPr>
                <w:lang w:val="en-US"/>
              </w:rPr>
            </w:pPr>
            <w:r w:rsidRPr="00761653">
              <w:t>Имипенем</w:t>
            </w:r>
          </w:p>
        </w:tc>
        <w:tc>
          <w:tcPr>
            <w:tcW w:w="6520" w:type="dxa"/>
          </w:tcPr>
          <w:p w14:paraId="15B07D64" w14:textId="77777777" w:rsidR="004957E5" w:rsidRPr="00761653" w:rsidRDefault="004957E5" w:rsidP="002D3EBF">
            <w:pPr>
              <w:ind w:left="57" w:right="57"/>
            </w:pPr>
            <w:r w:rsidRPr="00761653">
              <w:t>1 г каждые 8 часов</w:t>
            </w:r>
          </w:p>
        </w:tc>
      </w:tr>
      <w:tr w:rsidR="004957E5" w:rsidRPr="00975FC1" w14:paraId="210E4A85" w14:textId="77777777" w:rsidTr="002D3EBF">
        <w:tc>
          <w:tcPr>
            <w:tcW w:w="3227" w:type="dxa"/>
          </w:tcPr>
          <w:p w14:paraId="29E0E80C" w14:textId="77777777" w:rsidR="004957E5" w:rsidRPr="00761653" w:rsidRDefault="004957E5" w:rsidP="002D3EBF">
            <w:pPr>
              <w:ind w:left="57" w:right="57"/>
              <w:rPr>
                <w:lang w:val="en-US"/>
              </w:rPr>
            </w:pPr>
            <w:r w:rsidRPr="00761653">
              <w:t>Дорипенем</w:t>
            </w:r>
          </w:p>
        </w:tc>
        <w:tc>
          <w:tcPr>
            <w:tcW w:w="6520" w:type="dxa"/>
          </w:tcPr>
          <w:p w14:paraId="3432EF2C" w14:textId="77777777" w:rsidR="004957E5" w:rsidRPr="00761653" w:rsidRDefault="004957E5" w:rsidP="002D3EBF">
            <w:pPr>
              <w:ind w:left="57" w:right="57"/>
            </w:pPr>
            <w:r w:rsidRPr="00761653">
              <w:t>1 г каждые 8 часов, продленная инфузия (4 часа)</w:t>
            </w:r>
          </w:p>
        </w:tc>
      </w:tr>
      <w:tr w:rsidR="004957E5" w:rsidRPr="00265B67" w14:paraId="1E4B5401" w14:textId="77777777" w:rsidTr="002D3EBF">
        <w:tc>
          <w:tcPr>
            <w:tcW w:w="3227" w:type="dxa"/>
          </w:tcPr>
          <w:p w14:paraId="3C4D9A7F" w14:textId="77777777" w:rsidR="004957E5" w:rsidRPr="00761653" w:rsidRDefault="004957E5" w:rsidP="002D3EBF">
            <w:pPr>
              <w:ind w:left="57" w:right="57"/>
              <w:rPr>
                <w:lang w:val="en-US"/>
              </w:rPr>
            </w:pPr>
            <w:r w:rsidRPr="00761653">
              <w:t>Эртапенем</w:t>
            </w:r>
          </w:p>
        </w:tc>
        <w:tc>
          <w:tcPr>
            <w:tcW w:w="6520" w:type="dxa"/>
          </w:tcPr>
          <w:p w14:paraId="082CCD3C" w14:textId="77777777" w:rsidR="004957E5" w:rsidRPr="00761653" w:rsidRDefault="004957E5" w:rsidP="002D3EBF">
            <w:pPr>
              <w:ind w:left="57" w:right="57"/>
            </w:pPr>
            <w:r w:rsidRPr="00761653">
              <w:t>1 г каждые 24 часа или 1г каждые 12 час</w:t>
            </w:r>
          </w:p>
          <w:p w14:paraId="39CA3B22" w14:textId="77777777" w:rsidR="004957E5" w:rsidRPr="00761653" w:rsidRDefault="004957E5" w:rsidP="002D3EBF">
            <w:pPr>
              <w:ind w:left="57" w:right="57"/>
            </w:pPr>
            <w:r w:rsidRPr="00761653">
              <w:t>Используют в режиме “два карбапенема” при отсутствии других опций</w:t>
            </w:r>
          </w:p>
        </w:tc>
      </w:tr>
      <w:tr w:rsidR="004957E5" w:rsidRPr="00975FC1" w14:paraId="78054DC1" w14:textId="77777777" w:rsidTr="002D3EBF">
        <w:tc>
          <w:tcPr>
            <w:tcW w:w="3227" w:type="dxa"/>
          </w:tcPr>
          <w:p w14:paraId="4AE27D3C" w14:textId="77777777" w:rsidR="004957E5" w:rsidRPr="00761653" w:rsidRDefault="004957E5" w:rsidP="002D3EBF">
            <w:pPr>
              <w:ind w:left="57" w:right="57"/>
            </w:pPr>
            <w:r w:rsidRPr="00761653">
              <w:t>Колистин</w:t>
            </w:r>
          </w:p>
        </w:tc>
        <w:tc>
          <w:tcPr>
            <w:tcW w:w="6520" w:type="dxa"/>
          </w:tcPr>
          <w:p w14:paraId="6DEB3C96" w14:textId="77777777" w:rsidR="004957E5" w:rsidRPr="00761653" w:rsidRDefault="004957E5" w:rsidP="002D3EBF">
            <w:pPr>
              <w:ind w:left="57" w:right="57"/>
            </w:pPr>
            <w:r w:rsidRPr="00761653">
              <w:t>Нагрузочная доза 9 млн МЕ, в первый день, однократно, далее по 4,5 млн МЕ</w:t>
            </w:r>
            <w:r w:rsidRPr="00761653">
              <w:rPr>
                <w:color w:val="4D5156"/>
                <w:shd w:val="clear" w:color="auto" w:fill="FFFFFF"/>
              </w:rPr>
              <w:t xml:space="preserve"> </w:t>
            </w:r>
            <w:r w:rsidRPr="00761653">
              <w:t xml:space="preserve">каждые 12 час </w:t>
            </w:r>
          </w:p>
          <w:p w14:paraId="748045DE" w14:textId="77777777" w:rsidR="004957E5" w:rsidRPr="00761653" w:rsidRDefault="004957E5" w:rsidP="002D3EBF">
            <w:pPr>
              <w:ind w:left="57" w:right="57"/>
            </w:pPr>
            <w:r w:rsidRPr="00761653">
              <w:t>Ингаляции 1-3 млн МЕ каждые 8 часов</w:t>
            </w:r>
          </w:p>
        </w:tc>
      </w:tr>
      <w:tr w:rsidR="004957E5" w:rsidRPr="00265B67" w14:paraId="5E1FACCB" w14:textId="77777777" w:rsidTr="002D3EBF">
        <w:tc>
          <w:tcPr>
            <w:tcW w:w="3227" w:type="dxa"/>
          </w:tcPr>
          <w:p w14:paraId="7E84EBE8" w14:textId="77777777" w:rsidR="004957E5" w:rsidRPr="00761653" w:rsidRDefault="004957E5" w:rsidP="002D3EBF">
            <w:pPr>
              <w:ind w:left="57" w:right="57"/>
            </w:pPr>
            <w:r w:rsidRPr="00761653">
              <w:t>Полимиксин В</w:t>
            </w:r>
          </w:p>
        </w:tc>
        <w:tc>
          <w:tcPr>
            <w:tcW w:w="6520" w:type="dxa"/>
          </w:tcPr>
          <w:p w14:paraId="4C5B1ACB" w14:textId="77777777" w:rsidR="004957E5" w:rsidRPr="00761653" w:rsidRDefault="004957E5" w:rsidP="002D3EBF">
            <w:pPr>
              <w:ind w:left="57" w:right="57"/>
            </w:pPr>
            <w:r w:rsidRPr="00761653">
              <w:t xml:space="preserve">Нагрузочная доза 2-2,5 мг/кг, далее 1,25-1,5 мг/кг каждые 12 час </w:t>
            </w:r>
          </w:p>
        </w:tc>
      </w:tr>
      <w:tr w:rsidR="004957E5" w:rsidRPr="00265B67" w14:paraId="71EDE455" w14:textId="77777777" w:rsidTr="002D3EBF">
        <w:tc>
          <w:tcPr>
            <w:tcW w:w="3227" w:type="dxa"/>
          </w:tcPr>
          <w:p w14:paraId="0034D9CB" w14:textId="77777777" w:rsidR="004957E5" w:rsidRPr="00761653" w:rsidRDefault="004957E5" w:rsidP="002D3EBF">
            <w:pPr>
              <w:ind w:left="57" w:right="57"/>
            </w:pPr>
            <w:r w:rsidRPr="00761653">
              <w:t>Тигециклин</w:t>
            </w:r>
          </w:p>
        </w:tc>
        <w:tc>
          <w:tcPr>
            <w:tcW w:w="6520" w:type="dxa"/>
          </w:tcPr>
          <w:p w14:paraId="0693DF65" w14:textId="77777777" w:rsidR="004957E5" w:rsidRPr="00761653" w:rsidRDefault="004957E5" w:rsidP="002D3EBF">
            <w:pPr>
              <w:ind w:left="57" w:right="57"/>
            </w:pPr>
            <w:r w:rsidRPr="00761653">
              <w:t>Первая доза 100 мг, далее каждые 12 часов по 50 мг</w:t>
            </w:r>
          </w:p>
        </w:tc>
      </w:tr>
      <w:tr w:rsidR="004957E5" w:rsidRPr="00265B67" w14:paraId="653CE801" w14:textId="77777777" w:rsidTr="002D3EBF">
        <w:tc>
          <w:tcPr>
            <w:tcW w:w="3227" w:type="dxa"/>
          </w:tcPr>
          <w:p w14:paraId="4E5D7365" w14:textId="77777777" w:rsidR="004957E5" w:rsidRPr="00761653" w:rsidRDefault="004957E5" w:rsidP="002D3EBF">
            <w:pPr>
              <w:ind w:left="57" w:right="57"/>
              <w:rPr>
                <w:lang w:val="en-US"/>
              </w:rPr>
            </w:pPr>
            <w:r w:rsidRPr="00761653">
              <w:t>Гентамицин</w:t>
            </w:r>
            <w:r w:rsidRPr="00761653">
              <w:rPr>
                <w:lang w:val="en-US"/>
              </w:rPr>
              <w:t xml:space="preserve">, </w:t>
            </w:r>
          </w:p>
          <w:p w14:paraId="7220CD91" w14:textId="77777777" w:rsidR="004957E5" w:rsidRPr="00761653" w:rsidRDefault="004957E5" w:rsidP="002D3EBF">
            <w:pPr>
              <w:ind w:left="57" w:right="57"/>
              <w:rPr>
                <w:lang w:val="en-US"/>
              </w:rPr>
            </w:pPr>
            <w:r w:rsidRPr="00761653">
              <w:t>тобрамицин</w:t>
            </w:r>
          </w:p>
        </w:tc>
        <w:tc>
          <w:tcPr>
            <w:tcW w:w="6520" w:type="dxa"/>
          </w:tcPr>
          <w:p w14:paraId="6F7B38BF" w14:textId="77777777" w:rsidR="004957E5" w:rsidRPr="00761653" w:rsidRDefault="004957E5" w:rsidP="002D3EBF">
            <w:pPr>
              <w:ind w:left="57" w:right="57"/>
            </w:pPr>
            <w:r w:rsidRPr="00761653">
              <w:t>5-7 мг/кг/сутки, введение в течение 1 часа</w:t>
            </w:r>
          </w:p>
        </w:tc>
      </w:tr>
      <w:tr w:rsidR="004957E5" w:rsidRPr="00265B67" w14:paraId="5786496A" w14:textId="77777777" w:rsidTr="002D3EBF">
        <w:tc>
          <w:tcPr>
            <w:tcW w:w="3227" w:type="dxa"/>
          </w:tcPr>
          <w:p w14:paraId="6C9D4880" w14:textId="77777777" w:rsidR="004957E5" w:rsidRPr="00761653" w:rsidRDefault="004957E5" w:rsidP="002D3EBF">
            <w:pPr>
              <w:ind w:left="57" w:right="57"/>
              <w:rPr>
                <w:lang w:val="en-US"/>
              </w:rPr>
            </w:pPr>
            <w:r w:rsidRPr="00761653">
              <w:t>Амикацин</w:t>
            </w:r>
          </w:p>
        </w:tc>
        <w:tc>
          <w:tcPr>
            <w:tcW w:w="6520" w:type="dxa"/>
          </w:tcPr>
          <w:p w14:paraId="68F3440B" w14:textId="77777777" w:rsidR="004957E5" w:rsidRPr="00761653" w:rsidRDefault="004957E5" w:rsidP="002D3EBF">
            <w:pPr>
              <w:ind w:left="57" w:right="57"/>
            </w:pPr>
            <w:r w:rsidRPr="00761653">
              <w:t>15-20 мг/кг/сутки, введение в течение 1 часа</w:t>
            </w:r>
          </w:p>
        </w:tc>
      </w:tr>
      <w:tr w:rsidR="004957E5" w:rsidRPr="00265B67" w14:paraId="5B87A92D" w14:textId="77777777" w:rsidTr="002D3EBF">
        <w:tc>
          <w:tcPr>
            <w:tcW w:w="3227" w:type="dxa"/>
          </w:tcPr>
          <w:p w14:paraId="55BB452B" w14:textId="77777777" w:rsidR="004957E5" w:rsidRPr="00761653" w:rsidRDefault="004957E5" w:rsidP="002D3EBF">
            <w:pPr>
              <w:ind w:left="57" w:right="57"/>
            </w:pPr>
            <w:r w:rsidRPr="00761653">
              <w:t>Фосфомицин</w:t>
            </w:r>
          </w:p>
        </w:tc>
        <w:tc>
          <w:tcPr>
            <w:tcW w:w="6520" w:type="dxa"/>
          </w:tcPr>
          <w:p w14:paraId="0C595E69" w14:textId="77777777" w:rsidR="004957E5" w:rsidRPr="00761653" w:rsidRDefault="004957E5" w:rsidP="002D3EBF">
            <w:pPr>
              <w:ind w:left="57" w:right="57"/>
            </w:pPr>
            <w:r w:rsidRPr="00761653">
              <w:t>По 4 г каждые 6 час или по 8 г каждые 8 час (суммарно 16-24 г)</w:t>
            </w:r>
          </w:p>
        </w:tc>
      </w:tr>
      <w:tr w:rsidR="004957E5" w:rsidRPr="00761653" w14:paraId="2F9224C7" w14:textId="77777777" w:rsidTr="002D3EBF">
        <w:tc>
          <w:tcPr>
            <w:tcW w:w="3227" w:type="dxa"/>
          </w:tcPr>
          <w:p w14:paraId="7E7204AD" w14:textId="77777777" w:rsidR="004957E5" w:rsidRPr="00761653" w:rsidRDefault="004957E5" w:rsidP="002D3EBF">
            <w:pPr>
              <w:ind w:left="57" w:right="57"/>
            </w:pPr>
            <w:r w:rsidRPr="00761653">
              <w:t>Азтреонам</w:t>
            </w:r>
          </w:p>
        </w:tc>
        <w:tc>
          <w:tcPr>
            <w:tcW w:w="6520" w:type="dxa"/>
          </w:tcPr>
          <w:p w14:paraId="772A5F2C" w14:textId="77777777" w:rsidR="004957E5" w:rsidRPr="00761653" w:rsidRDefault="004957E5" w:rsidP="002D3EBF">
            <w:pPr>
              <w:ind w:left="57" w:right="57"/>
            </w:pPr>
            <w:r w:rsidRPr="00761653">
              <w:t>2 г каждые 8 часов</w:t>
            </w:r>
          </w:p>
        </w:tc>
      </w:tr>
    </w:tbl>
    <w:p w14:paraId="1499C1A2" w14:textId="77777777" w:rsidR="004957E5" w:rsidRDefault="004957E5" w:rsidP="004957E5">
      <w:pPr>
        <w:widowControl w:val="0"/>
        <w:tabs>
          <w:tab w:val="left" w:pos="1134"/>
        </w:tabs>
        <w:autoSpaceDE w:val="0"/>
        <w:autoSpaceDN w:val="0"/>
        <w:adjustRightInd w:val="0"/>
        <w:ind w:right="49"/>
        <w:contextualSpacing/>
        <w:rPr>
          <w:bCs/>
          <w:i/>
          <w:u w:val="single"/>
        </w:rPr>
      </w:pPr>
    </w:p>
    <w:p w14:paraId="69A6276F" w14:textId="77777777" w:rsidR="004957E5" w:rsidRPr="00284D51" w:rsidRDefault="004957E5" w:rsidP="0007729C">
      <w:pPr>
        <w:widowControl w:val="0"/>
        <w:autoSpaceDE w:val="0"/>
        <w:autoSpaceDN w:val="0"/>
        <w:adjustRightInd w:val="0"/>
        <w:ind w:right="49" w:firstLine="709"/>
        <w:contextualSpacing/>
        <w:rPr>
          <w:bCs/>
        </w:rPr>
      </w:pPr>
      <w:r w:rsidRPr="00284D51">
        <w:rPr>
          <w:bCs/>
          <w:i/>
        </w:rPr>
        <w:t>Pseudomonas aeruginosa</w:t>
      </w:r>
    </w:p>
    <w:p w14:paraId="2643C762" w14:textId="7EF9D483" w:rsidR="004957E5" w:rsidRPr="00761653" w:rsidRDefault="004957E5" w:rsidP="0007729C">
      <w:pPr>
        <w:widowControl w:val="0"/>
        <w:autoSpaceDE w:val="0"/>
        <w:autoSpaceDN w:val="0"/>
        <w:adjustRightInd w:val="0"/>
        <w:ind w:right="49" w:firstLine="709"/>
        <w:contextualSpacing/>
      </w:pPr>
      <w:r w:rsidRPr="00761653">
        <w:t xml:space="preserve">Выбор антибиотиков проводится согласно чувствительности выделенных штаммов. Лечение проводят сочетанием антибиотиков. При инфекциях кровотока, вызванных </w:t>
      </w:r>
      <w:r w:rsidRPr="00761653">
        <w:rPr>
          <w:i/>
        </w:rPr>
        <w:t>P. aeruginosa,</w:t>
      </w:r>
      <w:r w:rsidRPr="00761653">
        <w:t xml:space="preserve"> часто наблюдается диссеминация в легких, и в этих случаях необходимо использовать антибиотики, для которых характерна высокая концентрация в легких. Такими параметрами обладает цефтолозан-тазобактам, который активен против </w:t>
      </w:r>
      <w:r w:rsidRPr="00761653">
        <w:lastRenderedPageBreak/>
        <w:t xml:space="preserve">карбапенем-резистентных </w:t>
      </w:r>
      <w:r w:rsidRPr="00761653">
        <w:rPr>
          <w:i/>
        </w:rPr>
        <w:t>P. aeruginosa</w:t>
      </w:r>
      <w:r w:rsidRPr="00761653">
        <w:t xml:space="preserve"> без продукции карбапенемаз</w:t>
      </w:r>
      <w:r>
        <w:t xml:space="preserve"> </w:t>
      </w:r>
      <w:r>
        <w:fldChar w:fldCharType="begin" w:fldLock="1"/>
      </w:r>
      <w:r w:rsidR="00D25525">
        <w:instrText>ADDIN CSL_CITATION {"citationItems":[{"id":"ITEM-1","itemData":{"DOI":"10.1016/S1473-3099(19)30403-7","ISSN":"14744457","PMID":"31563344","abstract":"Background: Nosocomial pneumonia due to antimicrobial-resistant pathogens is associated with high mortality. We assessed the efficacy and safety of the combination antibacterial drug ceftolozane–tazobactam versus meropenem for treatment of Gram-negative nosocomial pneumonia. Methods: We conducted a randomised, controlled, double-blind, non-inferiority trial at 263 hospitals in 34 countries. Eligible patients were aged 18 years or older, were undergoing mechanical ventilation, and had nosocomial pneumonia (either ventilator-associated pneumonia or ventilated hospital-acquired pneumonia). Patients were randomly assigned (1:1) with block randomisation (block size four), stratified by type of nosocomial pneumonia and age (&lt;65 years vs ≥65 years), to receive either 3 g ceftolozane–tazobactam or 1 g meropenem intravenously every 8 h for 8–14 days. The primary endpoint was 28-day all-cause mortality (at a 10% non-inferiority margin). The key secondary endpoint was clinical response at the test-of-cure visit (7–14 days after the end of therapy; 12·5% non-inferiority margin). Both endpoints were assessed in the intention-to-treat population. Investigators, study staff, patients, and patients' representatives were masked to treatment assignment. Safety was assessed in all randomly assigned patients who received study treatment. This trial was registered with ClinicalTrials.gov, NCT02070757. Findings: Between Jan 16, 2015, and April 27, 2018, 726 patients were enrolled and randomly assigned, 362 to the ceftolozane–tazobactam group and 364 to the meropenem group. Overall, 519 (71%) patients had ventilator-associated pneumonia, 239 (33%) had Acute Physiology and Chronic Health Evaluation II scores of at least 20, and 668 (92%) were in the intensive care unit. At 28 days, 87 (24·0%) patients in the ceftolozane–tazobactam group and 92 (25·3%) in the meropenem group had died (weighted treatment difference 1·1% [95% CI −5·1 to 7·4]). At the test-of-cure visit 197 (54%) patients in the ceftolozane–tazobactam group and 194 (53%) in the meropenem group were clinically cured (weighted treatment difference 1·1% [95% CI −6·2 to 8·3]). Ceftolozane–tazobactam was thus non-inferior to meropenem in terms of both 28-day all-cause mortality and clinical cure at test of cure. Treatment-related adverse events occurred in 38 (11%) of 361 patients in the ceftolozane–tazobactam group and 27 (8%) of 359 in the meropenem group. Eight (2%) patients in the ceftolozane–tazobactam group and t…","author":[{"dropping-particle":"","family":"Kollef","given":"Marin H.","non-dropping-particle":"","parse-names":false,"suffix":""},{"dropping-particle":"","family":"Nováček","given":"Martin","non-dropping-particle":"","parse-names":false,"suffix":""},{"dropping-particle":"","family":"Kivistik","given":"Ülo","non-dropping-particle":"","parse-names":false,"suffix":""},{"dropping-particle":"","family":"Réa-Neto","given":"Álvaro","non-dropping-particle":"","parse-names":false,"suffix":""},{"dropping-particle":"","family":"Shime","given":"Nobuaki","non-dropping-particle":"","parse-names":false,"suffix":""},{"dropping-particle":"","family":"Martin-Loeches","given":"Ignacio","non-dropping-particle":"","parse-names":false,"suffix":""},{"dropping-particle":"","family":"Timsit","given":"Jean François","non-dropping-particle":"","parse-names":false,"suffix":""},{"dropping-particle":"","family":"Wunderink","given":"Richard G.","non-dropping-particle":"","parse-names":false,"suffix":""},{"dropping-particle":"","family":"Bruno","given":"Christopher J.","non-dropping-particle":"","parse-names":false,"suffix":""},{"dropping-particle":"","family":"Huntington","given":"Jennifer A.","non-dropping-particle":"","parse-names":false,"suffix":""},{"dropping-particle":"","family":"Lin","given":"Gina","non-dropping-particle":"","parse-names":false,"suffix":""},{"dropping-particle":"","family":"Yu","given":"Brian","non-dropping-particle":"","parse-names":false,"suffix":""},{"dropping-particle":"","family":"Butterton","given":"Joan R.","non-dropping-particle":"","parse-names":false,"suffix":""},{"dropping-particle":"","family":"Rhee","given":"Elizabeth G.","non-dropping-particle":"","parse-names":false,"suffix":""}],"container-title":"The Lancet Infectious Diseases","id":"ITEM-1","issue":"12","issued":{"date-parts":[["2019","12","1"]]},"page":"1299-1311","publisher":"Lancet Publishing Group","title":"Ceftolozane–tazobactam versus meropenem for treatment of nosocomial pneumonia (ASPECT-NP): a randomised, controlled, double-blind, phase 3, non-inferiority trial","type":"article-journal","volume":"19"},"uris":["http://www.mendeley.com/documents/?uuid=779e70f2-916f-3769-b6db-f94034eaa2bf"]}],"mendeley":{"formattedCitation":"[160]","plainTextFormattedCitation":"[160]","previouslyFormattedCitation":"[160]"},"properties":{"noteIndex":0},"schema":"https://github.com/citation-style-language/schema/raw/master/csl-citation.json"}</w:instrText>
      </w:r>
      <w:r>
        <w:fldChar w:fldCharType="separate"/>
      </w:r>
      <w:r w:rsidR="007466F7" w:rsidRPr="007466F7">
        <w:rPr>
          <w:noProof/>
        </w:rPr>
        <w:t>[160]</w:t>
      </w:r>
      <w:r>
        <w:fldChar w:fldCharType="end"/>
      </w:r>
      <w:r w:rsidRPr="00761653">
        <w:t>. Препараты для лечения представлены в табл</w:t>
      </w:r>
      <w:r>
        <w:t>ице 3.</w:t>
      </w:r>
      <w:r w:rsidRPr="00761653">
        <w:t xml:space="preserve"> </w:t>
      </w:r>
    </w:p>
    <w:p w14:paraId="1144D053" w14:textId="77777777" w:rsidR="004957E5" w:rsidRDefault="004957E5" w:rsidP="004957E5">
      <w:pPr>
        <w:ind w:hanging="142"/>
      </w:pPr>
    </w:p>
    <w:p w14:paraId="17F8ABD7" w14:textId="77777777" w:rsidR="004957E5" w:rsidRPr="00761653" w:rsidRDefault="004957E5" w:rsidP="004957E5">
      <w:pPr>
        <w:ind w:hanging="142"/>
      </w:pPr>
      <w:r w:rsidRPr="00761653">
        <w:t xml:space="preserve">Таблица 3. Лечение инфекций, вызванных </w:t>
      </w:r>
      <w:r w:rsidRPr="00761653">
        <w:rPr>
          <w:i/>
        </w:rPr>
        <w:t>Pseudomonas aeruginosa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6237"/>
      </w:tblGrid>
      <w:tr w:rsidR="004957E5" w:rsidRPr="00761653" w14:paraId="5D10F0A8" w14:textId="77777777" w:rsidTr="002D3EBF">
        <w:tc>
          <w:tcPr>
            <w:tcW w:w="3510" w:type="dxa"/>
            <w:vAlign w:val="center"/>
          </w:tcPr>
          <w:p w14:paraId="39E5069C" w14:textId="77777777" w:rsidR="004957E5" w:rsidRPr="00761653" w:rsidRDefault="004957E5" w:rsidP="002D3EBF">
            <w:pPr>
              <w:ind w:left="57" w:right="57"/>
              <w:jc w:val="center"/>
            </w:pPr>
            <w:r w:rsidRPr="00761653">
              <w:t>Препарат</w:t>
            </w:r>
          </w:p>
        </w:tc>
        <w:tc>
          <w:tcPr>
            <w:tcW w:w="6237" w:type="dxa"/>
            <w:vAlign w:val="center"/>
          </w:tcPr>
          <w:p w14:paraId="223B6EA8" w14:textId="77777777" w:rsidR="004957E5" w:rsidRPr="00761653" w:rsidRDefault="004957E5" w:rsidP="002D3EBF">
            <w:pPr>
              <w:ind w:left="57" w:right="57"/>
              <w:jc w:val="center"/>
            </w:pPr>
            <w:r w:rsidRPr="00761653">
              <w:t>Доза</w:t>
            </w:r>
          </w:p>
        </w:tc>
      </w:tr>
      <w:tr w:rsidR="004957E5" w:rsidRPr="00265B67" w14:paraId="3346530E" w14:textId="77777777" w:rsidTr="002D3EBF">
        <w:tc>
          <w:tcPr>
            <w:tcW w:w="3510" w:type="dxa"/>
          </w:tcPr>
          <w:p w14:paraId="6DED3DC3" w14:textId="77777777" w:rsidR="004957E5" w:rsidRPr="00761653" w:rsidRDefault="004957E5" w:rsidP="002D3EBF">
            <w:pPr>
              <w:ind w:left="57" w:right="57"/>
            </w:pPr>
            <w:r w:rsidRPr="00761653">
              <w:t>Цефтолозан/тазобактам</w:t>
            </w:r>
          </w:p>
        </w:tc>
        <w:tc>
          <w:tcPr>
            <w:tcW w:w="6237" w:type="dxa"/>
          </w:tcPr>
          <w:p w14:paraId="41674EC9" w14:textId="77777777" w:rsidR="004957E5" w:rsidRPr="00761653" w:rsidRDefault="004957E5" w:rsidP="002D3EBF">
            <w:pPr>
              <w:ind w:left="57" w:right="57"/>
            </w:pPr>
            <w:r w:rsidRPr="00761653">
              <w:t>1,5 или 3 г каждые 8 часов, инфузия в течение 1 часа (при пневмонии по 3 г х 3 раза)</w:t>
            </w:r>
          </w:p>
        </w:tc>
      </w:tr>
      <w:tr w:rsidR="004957E5" w:rsidRPr="00265B67" w14:paraId="4C2E3140" w14:textId="77777777" w:rsidTr="002D3EBF">
        <w:tc>
          <w:tcPr>
            <w:tcW w:w="3510" w:type="dxa"/>
          </w:tcPr>
          <w:p w14:paraId="2BED185A" w14:textId="77777777" w:rsidR="004957E5" w:rsidRPr="00761653" w:rsidRDefault="004957E5" w:rsidP="002D3EBF">
            <w:pPr>
              <w:ind w:left="57" w:right="57"/>
            </w:pPr>
            <w:r w:rsidRPr="00761653">
              <w:t>Цефтазидим</w:t>
            </w:r>
          </w:p>
        </w:tc>
        <w:tc>
          <w:tcPr>
            <w:tcW w:w="6237" w:type="dxa"/>
          </w:tcPr>
          <w:p w14:paraId="41CC0D7C" w14:textId="77777777" w:rsidR="004957E5" w:rsidRPr="00761653" w:rsidRDefault="004957E5" w:rsidP="002D3EBF">
            <w:pPr>
              <w:ind w:left="57" w:right="57"/>
            </w:pPr>
            <w:r w:rsidRPr="00761653">
              <w:t>Нагрузочная доза 1-2 г, затем 6 г/сут, непрерывная инфузии в течение 24 ч</w:t>
            </w:r>
          </w:p>
        </w:tc>
      </w:tr>
      <w:tr w:rsidR="004957E5" w:rsidRPr="00975FC1" w14:paraId="02998462" w14:textId="77777777" w:rsidTr="002D3EBF">
        <w:tc>
          <w:tcPr>
            <w:tcW w:w="3510" w:type="dxa"/>
          </w:tcPr>
          <w:p w14:paraId="232450F9" w14:textId="77777777" w:rsidR="004957E5" w:rsidRPr="00761653" w:rsidRDefault="004957E5" w:rsidP="002D3EBF">
            <w:pPr>
              <w:ind w:left="57" w:right="57"/>
            </w:pPr>
            <w:r w:rsidRPr="00761653">
              <w:t>Цефепим</w:t>
            </w:r>
          </w:p>
        </w:tc>
        <w:tc>
          <w:tcPr>
            <w:tcW w:w="6237" w:type="dxa"/>
          </w:tcPr>
          <w:p w14:paraId="43432970" w14:textId="77777777" w:rsidR="004957E5" w:rsidRPr="00761653" w:rsidRDefault="004957E5" w:rsidP="002D3EBF">
            <w:pPr>
              <w:ind w:left="57" w:right="57"/>
            </w:pPr>
            <w:r w:rsidRPr="00761653">
              <w:t>Нагрузочная доза 15 мг/кг в течение 30 мин, затем 6 г/сут посредством непрерывной инфузии в течение 24 часов</w:t>
            </w:r>
          </w:p>
        </w:tc>
      </w:tr>
      <w:tr w:rsidR="004957E5" w:rsidRPr="00975FC1" w14:paraId="52CE47B9" w14:textId="77777777" w:rsidTr="002D3EBF">
        <w:tc>
          <w:tcPr>
            <w:tcW w:w="3510" w:type="dxa"/>
          </w:tcPr>
          <w:p w14:paraId="56785D25" w14:textId="77777777" w:rsidR="004957E5" w:rsidRPr="00761653" w:rsidRDefault="004957E5" w:rsidP="002D3EBF">
            <w:pPr>
              <w:ind w:left="57" w:right="57"/>
            </w:pPr>
            <w:r w:rsidRPr="00761653">
              <w:t>Пиперациллин/тазобактам</w:t>
            </w:r>
          </w:p>
        </w:tc>
        <w:tc>
          <w:tcPr>
            <w:tcW w:w="6237" w:type="dxa"/>
          </w:tcPr>
          <w:p w14:paraId="629A4176" w14:textId="77777777" w:rsidR="004957E5" w:rsidRPr="00761653" w:rsidRDefault="004957E5" w:rsidP="002D3EBF">
            <w:pPr>
              <w:ind w:left="57" w:right="57"/>
            </w:pPr>
            <w:r w:rsidRPr="00761653">
              <w:t>Нагрузочная доза 2,25 г затем 16,2 г/сут посредством непрерывной инфузии в течение 24 часов</w:t>
            </w:r>
          </w:p>
        </w:tc>
      </w:tr>
      <w:tr w:rsidR="004957E5" w:rsidRPr="00975FC1" w14:paraId="6B2E9C30" w14:textId="77777777" w:rsidTr="002D3EBF">
        <w:tc>
          <w:tcPr>
            <w:tcW w:w="3510" w:type="dxa"/>
          </w:tcPr>
          <w:p w14:paraId="4EA267B6" w14:textId="77777777" w:rsidR="004957E5" w:rsidRPr="00761653" w:rsidRDefault="004957E5" w:rsidP="002D3EBF">
            <w:pPr>
              <w:ind w:left="57" w:right="57"/>
            </w:pPr>
            <w:r w:rsidRPr="00761653">
              <w:t>Цефтазидим/авибактам</w:t>
            </w:r>
          </w:p>
        </w:tc>
        <w:tc>
          <w:tcPr>
            <w:tcW w:w="6237" w:type="dxa"/>
          </w:tcPr>
          <w:p w14:paraId="47719359" w14:textId="77777777" w:rsidR="004957E5" w:rsidRPr="00761653" w:rsidRDefault="004957E5" w:rsidP="002D3EBF">
            <w:pPr>
              <w:ind w:left="57" w:right="57"/>
            </w:pPr>
            <w:r w:rsidRPr="00761653">
              <w:t>2,5 г каждые 8 часов, продленная инфузия в течение 2 часов</w:t>
            </w:r>
          </w:p>
        </w:tc>
      </w:tr>
      <w:tr w:rsidR="004957E5" w:rsidRPr="00975FC1" w14:paraId="5A706CFD" w14:textId="77777777" w:rsidTr="002D3EBF">
        <w:tc>
          <w:tcPr>
            <w:tcW w:w="3510" w:type="dxa"/>
          </w:tcPr>
          <w:p w14:paraId="762ADBFD" w14:textId="77777777" w:rsidR="004957E5" w:rsidRPr="00761653" w:rsidRDefault="004957E5" w:rsidP="002D3EBF">
            <w:pPr>
              <w:ind w:left="57" w:right="57"/>
            </w:pPr>
            <w:r w:rsidRPr="00761653">
              <w:t>Азтреонам</w:t>
            </w:r>
          </w:p>
        </w:tc>
        <w:tc>
          <w:tcPr>
            <w:tcW w:w="6237" w:type="dxa"/>
          </w:tcPr>
          <w:p w14:paraId="6546712B" w14:textId="77777777" w:rsidR="004957E5" w:rsidRPr="00761653" w:rsidRDefault="004957E5" w:rsidP="002D3EBF">
            <w:pPr>
              <w:ind w:left="57" w:right="57"/>
            </w:pPr>
            <w:r w:rsidRPr="00761653">
              <w:t>Нагрузочная доза 1-2 г, затем 6 г/сут посредством непрерывной инфузии в течение 24 часов</w:t>
            </w:r>
          </w:p>
        </w:tc>
      </w:tr>
      <w:tr w:rsidR="004957E5" w:rsidRPr="00265B67" w14:paraId="586AFD76" w14:textId="77777777" w:rsidTr="002D3EBF">
        <w:tc>
          <w:tcPr>
            <w:tcW w:w="3510" w:type="dxa"/>
          </w:tcPr>
          <w:p w14:paraId="2612151B" w14:textId="77777777" w:rsidR="004957E5" w:rsidRPr="00761653" w:rsidRDefault="004957E5" w:rsidP="002D3EBF">
            <w:pPr>
              <w:ind w:left="57" w:right="57"/>
            </w:pPr>
            <w:r w:rsidRPr="00761653">
              <w:t>Дорипенем</w:t>
            </w:r>
          </w:p>
        </w:tc>
        <w:tc>
          <w:tcPr>
            <w:tcW w:w="6237" w:type="dxa"/>
          </w:tcPr>
          <w:p w14:paraId="1EC07591" w14:textId="77777777" w:rsidR="004957E5" w:rsidRPr="00761653" w:rsidRDefault="004957E5" w:rsidP="002D3EBF">
            <w:pPr>
              <w:ind w:left="57" w:right="57"/>
            </w:pPr>
            <w:r w:rsidRPr="00761653">
              <w:t>1 г каждые 8 часов, инфузия в течение 4 часов</w:t>
            </w:r>
          </w:p>
        </w:tc>
      </w:tr>
      <w:tr w:rsidR="004957E5" w:rsidRPr="00265B67" w14:paraId="022F3618" w14:textId="77777777" w:rsidTr="002D3EBF">
        <w:tc>
          <w:tcPr>
            <w:tcW w:w="3510" w:type="dxa"/>
          </w:tcPr>
          <w:p w14:paraId="1B8A8424" w14:textId="77777777" w:rsidR="004957E5" w:rsidRPr="00761653" w:rsidRDefault="004957E5" w:rsidP="002D3EBF">
            <w:pPr>
              <w:ind w:left="57" w:right="57"/>
            </w:pPr>
            <w:r w:rsidRPr="00761653">
              <w:t>Меропенем</w:t>
            </w:r>
          </w:p>
        </w:tc>
        <w:tc>
          <w:tcPr>
            <w:tcW w:w="6237" w:type="dxa"/>
          </w:tcPr>
          <w:p w14:paraId="2BFC1E9D" w14:textId="77777777" w:rsidR="004957E5" w:rsidRPr="00761653" w:rsidRDefault="004957E5" w:rsidP="002D3EBF">
            <w:pPr>
              <w:ind w:left="57" w:right="57"/>
            </w:pPr>
            <w:r w:rsidRPr="00761653">
              <w:t>Нагрузочная доза 1-2 г, затем по 2 г каждые 8 часов, продленная инфузия в течение 3 часов</w:t>
            </w:r>
          </w:p>
        </w:tc>
      </w:tr>
      <w:tr w:rsidR="004957E5" w:rsidRPr="00975FC1" w14:paraId="5852878F" w14:textId="77777777" w:rsidTr="002D3EBF">
        <w:tc>
          <w:tcPr>
            <w:tcW w:w="3510" w:type="dxa"/>
          </w:tcPr>
          <w:p w14:paraId="683AEE04" w14:textId="77777777" w:rsidR="004957E5" w:rsidRPr="00761653" w:rsidRDefault="004957E5" w:rsidP="002D3EBF">
            <w:pPr>
              <w:ind w:left="57" w:right="57"/>
            </w:pPr>
            <w:r w:rsidRPr="00761653">
              <w:t>Имипенем</w:t>
            </w:r>
          </w:p>
        </w:tc>
        <w:tc>
          <w:tcPr>
            <w:tcW w:w="6237" w:type="dxa"/>
          </w:tcPr>
          <w:p w14:paraId="37C9EB3E" w14:textId="77777777" w:rsidR="004957E5" w:rsidRPr="00761653" w:rsidRDefault="004957E5" w:rsidP="002D3EBF">
            <w:pPr>
              <w:ind w:left="57" w:right="57"/>
            </w:pPr>
            <w:r w:rsidRPr="00761653">
              <w:t>1 г каждые 6-8 часов, в/в</w:t>
            </w:r>
          </w:p>
        </w:tc>
      </w:tr>
      <w:tr w:rsidR="004957E5" w:rsidRPr="00975FC1" w14:paraId="60C2FFD8" w14:textId="77777777" w:rsidTr="002D3EBF">
        <w:tc>
          <w:tcPr>
            <w:tcW w:w="3510" w:type="dxa"/>
          </w:tcPr>
          <w:p w14:paraId="71275136" w14:textId="77777777" w:rsidR="004957E5" w:rsidRPr="00761653" w:rsidRDefault="004957E5" w:rsidP="002D3EBF">
            <w:pPr>
              <w:ind w:left="57" w:right="57"/>
            </w:pPr>
            <w:r w:rsidRPr="00761653">
              <w:t>Фосфомицин</w:t>
            </w:r>
          </w:p>
        </w:tc>
        <w:tc>
          <w:tcPr>
            <w:tcW w:w="6237" w:type="dxa"/>
          </w:tcPr>
          <w:p w14:paraId="0C6383C6" w14:textId="77777777" w:rsidR="004957E5" w:rsidRPr="00761653" w:rsidRDefault="004957E5" w:rsidP="002D3EBF">
            <w:pPr>
              <w:ind w:left="57" w:right="57"/>
            </w:pPr>
            <w:r w:rsidRPr="00761653">
              <w:t xml:space="preserve">Нагрузочная доза 2-4 г, затем по 16-24 г посредством непрерывной инфузии в течение 24 часов </w:t>
            </w:r>
          </w:p>
        </w:tc>
      </w:tr>
      <w:tr w:rsidR="004957E5" w:rsidRPr="00975FC1" w14:paraId="21C4C52F" w14:textId="77777777" w:rsidTr="002D3EBF">
        <w:tc>
          <w:tcPr>
            <w:tcW w:w="3510" w:type="dxa"/>
          </w:tcPr>
          <w:p w14:paraId="33DDF529" w14:textId="77777777" w:rsidR="004957E5" w:rsidRPr="00761653" w:rsidRDefault="004957E5" w:rsidP="002D3EBF">
            <w:pPr>
              <w:ind w:left="57" w:right="57"/>
            </w:pPr>
            <w:r w:rsidRPr="00761653">
              <w:t>Колистин</w:t>
            </w:r>
          </w:p>
        </w:tc>
        <w:tc>
          <w:tcPr>
            <w:tcW w:w="6237" w:type="dxa"/>
          </w:tcPr>
          <w:p w14:paraId="6512EAC0" w14:textId="77777777" w:rsidR="004957E5" w:rsidRPr="00761653" w:rsidRDefault="004957E5" w:rsidP="002D3EBF">
            <w:pPr>
              <w:ind w:left="57" w:right="57"/>
            </w:pPr>
            <w:r w:rsidRPr="00761653">
              <w:t>Нагрузочная доза 6-9 млн МЕ, затем по 4,5 млн МЕ каждые 12 часов</w:t>
            </w:r>
          </w:p>
        </w:tc>
      </w:tr>
      <w:tr w:rsidR="004957E5" w:rsidRPr="00265B67" w14:paraId="41AF9840" w14:textId="77777777" w:rsidTr="002D3EBF">
        <w:tc>
          <w:tcPr>
            <w:tcW w:w="3510" w:type="dxa"/>
          </w:tcPr>
          <w:p w14:paraId="14CD521A" w14:textId="77777777" w:rsidR="004957E5" w:rsidRPr="00761653" w:rsidRDefault="004957E5" w:rsidP="002D3EBF">
            <w:pPr>
              <w:ind w:left="57" w:right="57"/>
            </w:pPr>
            <w:r w:rsidRPr="00761653">
              <w:t>Полимиксин В</w:t>
            </w:r>
          </w:p>
        </w:tc>
        <w:tc>
          <w:tcPr>
            <w:tcW w:w="6237" w:type="dxa"/>
          </w:tcPr>
          <w:p w14:paraId="23D36180" w14:textId="77777777" w:rsidR="004957E5" w:rsidRPr="00761653" w:rsidRDefault="004957E5" w:rsidP="002D3EBF">
            <w:pPr>
              <w:ind w:left="57" w:right="57"/>
            </w:pPr>
            <w:r w:rsidRPr="00761653">
              <w:t xml:space="preserve">Нагрузочная доза 2-2,5 мг/кг, инфузия в течение 2 часов, далее по </w:t>
            </w:r>
          </w:p>
          <w:p w14:paraId="7F502BDC" w14:textId="77777777" w:rsidR="004957E5" w:rsidRPr="00761653" w:rsidRDefault="004957E5" w:rsidP="002D3EBF">
            <w:pPr>
              <w:ind w:left="57" w:right="57"/>
            </w:pPr>
            <w:r w:rsidRPr="00761653">
              <w:t>1,25-1,5 мг/кг каждые 12 часов, инфузия в течение 1 часа</w:t>
            </w:r>
          </w:p>
        </w:tc>
      </w:tr>
      <w:tr w:rsidR="004957E5" w:rsidRPr="00265B67" w14:paraId="6A11B60C" w14:textId="77777777" w:rsidTr="002D3EBF">
        <w:tc>
          <w:tcPr>
            <w:tcW w:w="3510" w:type="dxa"/>
          </w:tcPr>
          <w:p w14:paraId="08709683" w14:textId="77777777" w:rsidR="004957E5" w:rsidRPr="00761653" w:rsidRDefault="004957E5" w:rsidP="002D3EBF">
            <w:pPr>
              <w:ind w:left="57" w:right="57"/>
            </w:pPr>
            <w:r w:rsidRPr="00761653">
              <w:t>Ципрофлоксацин</w:t>
            </w:r>
          </w:p>
        </w:tc>
        <w:tc>
          <w:tcPr>
            <w:tcW w:w="6237" w:type="dxa"/>
          </w:tcPr>
          <w:p w14:paraId="624AC919" w14:textId="77777777" w:rsidR="004957E5" w:rsidRPr="00761653" w:rsidRDefault="004957E5" w:rsidP="002D3EBF">
            <w:pPr>
              <w:ind w:left="57" w:right="57"/>
            </w:pPr>
            <w:r w:rsidRPr="00761653">
              <w:t>400 мг каждые 8 часов, инфузия в течение 30-60 минут</w:t>
            </w:r>
          </w:p>
        </w:tc>
      </w:tr>
      <w:tr w:rsidR="004957E5" w:rsidRPr="00265B67" w14:paraId="0B669281" w14:textId="77777777" w:rsidTr="002D3EBF">
        <w:tc>
          <w:tcPr>
            <w:tcW w:w="3510" w:type="dxa"/>
          </w:tcPr>
          <w:p w14:paraId="4481CEC3" w14:textId="77777777" w:rsidR="004957E5" w:rsidRPr="00761653" w:rsidRDefault="004957E5" w:rsidP="002D3EBF">
            <w:pPr>
              <w:ind w:left="57" w:right="57"/>
            </w:pPr>
            <w:r w:rsidRPr="00761653">
              <w:t>Левофлоксацин</w:t>
            </w:r>
          </w:p>
        </w:tc>
        <w:tc>
          <w:tcPr>
            <w:tcW w:w="6237" w:type="dxa"/>
          </w:tcPr>
          <w:p w14:paraId="42E5F7F7" w14:textId="77777777" w:rsidR="004957E5" w:rsidRPr="00761653" w:rsidRDefault="004957E5" w:rsidP="002D3EBF">
            <w:pPr>
              <w:ind w:left="57" w:right="57"/>
            </w:pPr>
            <w:r w:rsidRPr="00761653">
              <w:t>500 мг каждые 12 часов, инфузия в течение 50-60 минут</w:t>
            </w:r>
          </w:p>
        </w:tc>
      </w:tr>
      <w:tr w:rsidR="004957E5" w:rsidRPr="00265B67" w14:paraId="4390E607" w14:textId="77777777" w:rsidTr="002D3EBF">
        <w:tc>
          <w:tcPr>
            <w:tcW w:w="3510" w:type="dxa"/>
          </w:tcPr>
          <w:p w14:paraId="790F152F" w14:textId="77777777" w:rsidR="004957E5" w:rsidRPr="00761653" w:rsidRDefault="004957E5" w:rsidP="002D3EBF">
            <w:pPr>
              <w:ind w:left="57" w:right="57"/>
            </w:pPr>
            <w:r w:rsidRPr="00761653">
              <w:t>Тобрамицин</w:t>
            </w:r>
          </w:p>
        </w:tc>
        <w:tc>
          <w:tcPr>
            <w:tcW w:w="6237" w:type="dxa"/>
          </w:tcPr>
          <w:p w14:paraId="52ACA05D" w14:textId="77777777" w:rsidR="004957E5" w:rsidRPr="00761653" w:rsidRDefault="004957E5" w:rsidP="002D3EBF">
            <w:pPr>
              <w:ind w:left="57" w:right="57"/>
            </w:pPr>
            <w:r w:rsidRPr="00761653">
              <w:t>8 мг/кг 1 раз/сут, инфузия в течение 60 мин</w:t>
            </w:r>
          </w:p>
        </w:tc>
      </w:tr>
      <w:tr w:rsidR="004957E5" w:rsidRPr="00265B67" w14:paraId="4F17C1FE" w14:textId="77777777" w:rsidTr="002D3EBF">
        <w:tc>
          <w:tcPr>
            <w:tcW w:w="3510" w:type="dxa"/>
          </w:tcPr>
          <w:p w14:paraId="28D57702" w14:textId="77777777" w:rsidR="004957E5" w:rsidRPr="00761653" w:rsidRDefault="004957E5" w:rsidP="002D3EBF">
            <w:pPr>
              <w:ind w:left="57" w:right="57"/>
            </w:pPr>
            <w:r w:rsidRPr="00761653">
              <w:t>Амикацин</w:t>
            </w:r>
          </w:p>
        </w:tc>
        <w:tc>
          <w:tcPr>
            <w:tcW w:w="6237" w:type="dxa"/>
          </w:tcPr>
          <w:p w14:paraId="204340C0" w14:textId="77777777" w:rsidR="004957E5" w:rsidRPr="00761653" w:rsidRDefault="004957E5" w:rsidP="002D3EBF">
            <w:pPr>
              <w:ind w:left="57" w:right="57"/>
            </w:pPr>
            <w:r w:rsidRPr="00761653">
              <w:t xml:space="preserve">25 мг/кг 1 раз/сут, инфузия в течение 60 минут </w:t>
            </w:r>
          </w:p>
        </w:tc>
      </w:tr>
    </w:tbl>
    <w:p w14:paraId="5D7A089C" w14:textId="77777777" w:rsidR="004957E5" w:rsidRDefault="004957E5" w:rsidP="004957E5">
      <w:pPr>
        <w:widowControl w:val="0"/>
        <w:tabs>
          <w:tab w:val="left" w:pos="1134"/>
        </w:tabs>
        <w:autoSpaceDE w:val="0"/>
        <w:autoSpaceDN w:val="0"/>
        <w:adjustRightInd w:val="0"/>
        <w:ind w:right="49"/>
        <w:contextualSpacing/>
        <w:rPr>
          <w:bCs/>
          <w:i/>
          <w:u w:val="single"/>
        </w:rPr>
      </w:pPr>
    </w:p>
    <w:p w14:paraId="2DA9329F" w14:textId="77777777" w:rsidR="004957E5" w:rsidRPr="00284D51" w:rsidRDefault="004957E5" w:rsidP="0007729C">
      <w:pPr>
        <w:widowControl w:val="0"/>
        <w:autoSpaceDE w:val="0"/>
        <w:autoSpaceDN w:val="0"/>
        <w:adjustRightInd w:val="0"/>
        <w:ind w:right="49" w:firstLine="709"/>
        <w:contextualSpacing/>
        <w:rPr>
          <w:bCs/>
          <w:i/>
        </w:rPr>
      </w:pPr>
      <w:r w:rsidRPr="00284D51">
        <w:rPr>
          <w:bCs/>
          <w:i/>
        </w:rPr>
        <w:t>Acinetobacter baumannii</w:t>
      </w:r>
    </w:p>
    <w:p w14:paraId="4F07D175" w14:textId="77777777" w:rsidR="004957E5" w:rsidRPr="00761653" w:rsidRDefault="004957E5" w:rsidP="0007729C">
      <w:pPr>
        <w:widowControl w:val="0"/>
        <w:autoSpaceDE w:val="0"/>
        <w:autoSpaceDN w:val="0"/>
        <w:adjustRightInd w:val="0"/>
        <w:ind w:right="49" w:firstLine="709"/>
        <w:contextualSpacing/>
      </w:pPr>
      <w:r w:rsidRPr="00761653">
        <w:t xml:space="preserve">Характерным является ограничение потенциально активных </w:t>
      </w:r>
      <w:r w:rsidRPr="00761653">
        <w:rPr>
          <w:i/>
        </w:rPr>
        <w:t xml:space="preserve">in vitro </w:t>
      </w:r>
      <w:r w:rsidRPr="00761653">
        <w:t xml:space="preserve">препаратов, </w:t>
      </w:r>
      <w:r w:rsidRPr="00761653">
        <w:lastRenderedPageBreak/>
        <w:t xml:space="preserve">наличие высокой резистентности. Для лечения используют цефоперазон/сульбактам, карбапенем антипсевдомонадный, полимиксин или колистин, тигециклин (дозирование как при инфекции, вызванной </w:t>
      </w:r>
      <w:r w:rsidRPr="00761653">
        <w:rPr>
          <w:i/>
        </w:rPr>
        <w:t>P. aeruginosa</w:t>
      </w:r>
      <w:r w:rsidRPr="00761653">
        <w:t>).</w:t>
      </w:r>
    </w:p>
    <w:p w14:paraId="79FB4B38" w14:textId="77777777" w:rsidR="004957E5" w:rsidRPr="00284D51" w:rsidRDefault="004957E5" w:rsidP="0007729C">
      <w:pPr>
        <w:widowControl w:val="0"/>
        <w:autoSpaceDE w:val="0"/>
        <w:autoSpaceDN w:val="0"/>
        <w:adjustRightInd w:val="0"/>
        <w:ind w:right="49" w:firstLine="709"/>
        <w:contextualSpacing/>
        <w:rPr>
          <w:bCs/>
        </w:rPr>
      </w:pPr>
      <w:r w:rsidRPr="00284D51">
        <w:rPr>
          <w:bCs/>
          <w:i/>
        </w:rPr>
        <w:t>Stenotrophomonas maltophilia</w:t>
      </w:r>
    </w:p>
    <w:p w14:paraId="38819BC1" w14:textId="77777777" w:rsidR="004957E5" w:rsidRPr="00761653" w:rsidRDefault="004957E5" w:rsidP="0007729C">
      <w:pPr>
        <w:widowControl w:val="0"/>
        <w:autoSpaceDE w:val="0"/>
        <w:autoSpaceDN w:val="0"/>
        <w:adjustRightInd w:val="0"/>
        <w:ind w:right="49" w:firstLine="709"/>
        <w:contextualSpacing/>
      </w:pPr>
      <w:r w:rsidRPr="00761653">
        <w:t>Препарат выбора – триметоприм/сульфаметоксазол, расчет дозы проводят по триметоприму 15 мг/кг/сутки.</w:t>
      </w:r>
    </w:p>
    <w:p w14:paraId="5F41110E" w14:textId="77777777" w:rsidR="004957E5" w:rsidRDefault="004957E5" w:rsidP="004957E5">
      <w:pPr>
        <w:widowControl w:val="0"/>
        <w:tabs>
          <w:tab w:val="left" w:pos="317"/>
          <w:tab w:val="left" w:pos="8715"/>
        </w:tabs>
        <w:autoSpaceDE w:val="0"/>
        <w:autoSpaceDN w:val="0"/>
        <w:adjustRightInd w:val="0"/>
        <w:ind w:right="49"/>
        <w:contextualSpacing/>
        <w:rPr>
          <w:b/>
        </w:rPr>
      </w:pPr>
    </w:p>
    <w:p w14:paraId="5E382D09" w14:textId="77777777" w:rsidR="004957E5" w:rsidRPr="00761653" w:rsidRDefault="004957E5" w:rsidP="004957E5">
      <w:pPr>
        <w:widowControl w:val="0"/>
        <w:tabs>
          <w:tab w:val="left" w:pos="317"/>
          <w:tab w:val="left" w:pos="8715"/>
        </w:tabs>
        <w:autoSpaceDE w:val="0"/>
        <w:autoSpaceDN w:val="0"/>
        <w:adjustRightInd w:val="0"/>
        <w:ind w:right="49"/>
        <w:contextualSpacing/>
        <w:rPr>
          <w:b/>
          <w:iCs/>
        </w:rPr>
      </w:pPr>
      <w:r w:rsidRPr="00761653">
        <w:rPr>
          <w:b/>
        </w:rPr>
        <w:t>Грамположительные возбудители</w:t>
      </w:r>
    </w:p>
    <w:p w14:paraId="2C24A224" w14:textId="77777777" w:rsidR="004957E5" w:rsidRPr="00284D51" w:rsidRDefault="004957E5" w:rsidP="0007729C">
      <w:pPr>
        <w:widowControl w:val="0"/>
        <w:tabs>
          <w:tab w:val="left" w:pos="8715"/>
        </w:tabs>
        <w:autoSpaceDE w:val="0"/>
        <w:autoSpaceDN w:val="0"/>
        <w:adjustRightInd w:val="0"/>
        <w:ind w:right="49" w:firstLine="709"/>
        <w:contextualSpacing/>
        <w:rPr>
          <w:i/>
          <w:iCs/>
        </w:rPr>
      </w:pPr>
      <w:r w:rsidRPr="00284D51">
        <w:rPr>
          <w:i/>
          <w:iCs/>
        </w:rPr>
        <w:t>Коагулазонегативные стафилококки</w:t>
      </w:r>
    </w:p>
    <w:p w14:paraId="146CF9D3" w14:textId="77777777" w:rsidR="004957E5" w:rsidRPr="00761653" w:rsidRDefault="004957E5" w:rsidP="0007729C">
      <w:pPr>
        <w:widowControl w:val="0"/>
        <w:tabs>
          <w:tab w:val="left" w:pos="8715"/>
        </w:tabs>
        <w:autoSpaceDE w:val="0"/>
        <w:autoSpaceDN w:val="0"/>
        <w:adjustRightInd w:val="0"/>
        <w:ind w:right="49" w:firstLine="709"/>
        <w:contextualSpacing/>
        <w:rPr>
          <w:bCs/>
        </w:rPr>
      </w:pPr>
      <w:r w:rsidRPr="00761653">
        <w:rPr>
          <w:bCs/>
        </w:rPr>
        <w:t>Явялются причиной бактериемий (2</w:t>
      </w:r>
      <w:r>
        <w:rPr>
          <w:bCs/>
        </w:rPr>
        <w:t>-</w:t>
      </w:r>
      <w:r w:rsidRPr="00761653">
        <w:rPr>
          <w:bCs/>
        </w:rPr>
        <w:t xml:space="preserve">е место) и катетер-ассоциированных инфекций. Подтверждают инфекцию двумя положительными гемокультурами. Около 80% штаммов устойчивые к оксациллину. Препарат выбора для лечения – ванкомицин. </w:t>
      </w:r>
    </w:p>
    <w:p w14:paraId="33B8D6B7" w14:textId="77777777" w:rsidR="004957E5" w:rsidRPr="00284D51" w:rsidRDefault="004957E5" w:rsidP="0007729C">
      <w:pPr>
        <w:widowControl w:val="0"/>
        <w:tabs>
          <w:tab w:val="left" w:pos="8715"/>
        </w:tabs>
        <w:autoSpaceDE w:val="0"/>
        <w:autoSpaceDN w:val="0"/>
        <w:adjustRightInd w:val="0"/>
        <w:ind w:right="49" w:firstLine="709"/>
        <w:contextualSpacing/>
      </w:pPr>
      <w:r w:rsidRPr="00284D51">
        <w:rPr>
          <w:i/>
        </w:rPr>
        <w:t>Enterococcus</w:t>
      </w:r>
      <w:r w:rsidRPr="00284D51">
        <w:t xml:space="preserve"> spp. </w:t>
      </w:r>
    </w:p>
    <w:p w14:paraId="5511F3C2" w14:textId="77777777" w:rsidR="004957E5" w:rsidRPr="00761653" w:rsidRDefault="004957E5" w:rsidP="0007729C">
      <w:pPr>
        <w:widowControl w:val="0"/>
        <w:tabs>
          <w:tab w:val="left" w:pos="8715"/>
        </w:tabs>
        <w:autoSpaceDE w:val="0"/>
        <w:autoSpaceDN w:val="0"/>
        <w:adjustRightInd w:val="0"/>
        <w:ind w:right="49" w:firstLine="709"/>
        <w:contextualSpacing/>
        <w:rPr>
          <w:bCs/>
        </w:rPr>
      </w:pPr>
      <w:r>
        <w:rPr>
          <w:bCs/>
        </w:rPr>
        <w:t xml:space="preserve">У гематологических пациентов в основном вызывают </w:t>
      </w:r>
      <w:r w:rsidRPr="00761653">
        <w:rPr>
          <w:bCs/>
        </w:rPr>
        <w:t xml:space="preserve">инфекции кровотока, далее следуют инфекции мочевыводящих путей, редко – эндокардиты. Штаммы </w:t>
      </w:r>
      <w:r w:rsidRPr="00761653">
        <w:rPr>
          <w:bCs/>
          <w:i/>
        </w:rPr>
        <w:t>E. faecium</w:t>
      </w:r>
      <w:r w:rsidRPr="00761653">
        <w:rPr>
          <w:bCs/>
        </w:rPr>
        <w:t xml:space="preserve"> (70%) преобладают над E</w:t>
      </w:r>
      <w:r w:rsidRPr="00761653">
        <w:rPr>
          <w:bCs/>
          <w:i/>
        </w:rPr>
        <w:t>. faecalis</w:t>
      </w:r>
      <w:r w:rsidRPr="00761653">
        <w:rPr>
          <w:bCs/>
        </w:rPr>
        <w:t xml:space="preserve"> (30%). Препарат выбора в лечении инфекций, вызванных E. faecalis - ампициллин (97% чувствительные). Антибиотикорезистентность более высокая среди </w:t>
      </w:r>
      <w:r w:rsidRPr="00761653">
        <w:rPr>
          <w:bCs/>
          <w:i/>
        </w:rPr>
        <w:t xml:space="preserve">E. faecium </w:t>
      </w:r>
      <w:r w:rsidRPr="00761653">
        <w:rPr>
          <w:bCs/>
        </w:rPr>
        <w:t xml:space="preserve">- около 15% устойчивые к ванкомицину. При выделении ванкомицин-резистентных </w:t>
      </w:r>
      <w:r w:rsidRPr="00761653">
        <w:rPr>
          <w:bCs/>
          <w:i/>
        </w:rPr>
        <w:t>E. faecium</w:t>
      </w:r>
      <w:r w:rsidRPr="00761653">
        <w:rPr>
          <w:bCs/>
        </w:rPr>
        <w:t xml:space="preserve"> из гемокультуры препаратами выбора являются даптомицин (доза 10-12 мг/кг/сутки), линезолид.</w:t>
      </w:r>
    </w:p>
    <w:p w14:paraId="2CC14C0B" w14:textId="77777777" w:rsidR="004957E5" w:rsidRPr="00284D51" w:rsidRDefault="004957E5" w:rsidP="0007729C">
      <w:pPr>
        <w:widowControl w:val="0"/>
        <w:tabs>
          <w:tab w:val="left" w:pos="8715"/>
        </w:tabs>
        <w:autoSpaceDE w:val="0"/>
        <w:autoSpaceDN w:val="0"/>
        <w:adjustRightInd w:val="0"/>
        <w:ind w:right="49" w:firstLine="709"/>
        <w:contextualSpacing/>
        <w:rPr>
          <w:i/>
        </w:rPr>
      </w:pPr>
      <w:r w:rsidRPr="00284D51">
        <w:rPr>
          <w:i/>
        </w:rPr>
        <w:t>Staphylococcus aureus</w:t>
      </w:r>
    </w:p>
    <w:p w14:paraId="0E8F116C" w14:textId="77777777" w:rsidR="004957E5" w:rsidRPr="00761653" w:rsidRDefault="004957E5" w:rsidP="0007729C">
      <w:pPr>
        <w:widowControl w:val="0"/>
        <w:tabs>
          <w:tab w:val="left" w:pos="8715"/>
        </w:tabs>
        <w:autoSpaceDE w:val="0"/>
        <w:autoSpaceDN w:val="0"/>
        <w:adjustRightInd w:val="0"/>
        <w:ind w:right="49" w:firstLine="709"/>
        <w:contextualSpacing/>
        <w:rPr>
          <w:bCs/>
        </w:rPr>
      </w:pPr>
      <w:r>
        <w:rPr>
          <w:bCs/>
        </w:rPr>
        <w:t xml:space="preserve">У гематологических пациентов могут быть причиной </w:t>
      </w:r>
      <w:r w:rsidRPr="00761653">
        <w:rPr>
          <w:bCs/>
        </w:rPr>
        <w:t>инфекции кровотока, пневмонии, инфекции к</w:t>
      </w:r>
      <w:r>
        <w:rPr>
          <w:bCs/>
        </w:rPr>
        <w:t>ожи и мягких тканей, эндокардита</w:t>
      </w:r>
      <w:r w:rsidRPr="00761653">
        <w:rPr>
          <w:bCs/>
        </w:rPr>
        <w:t>. Около 20%-30% штаммов являются устойчивыми к оксациллину. Антибиотики, используемые для лечения указаны в таблице 4. При тяжелом течении инфекции в отдельных случаях сочетают даптомицин с линезолидом. Длительность лечения не менее 2-х недель.</w:t>
      </w:r>
    </w:p>
    <w:p w14:paraId="219C2464" w14:textId="77777777" w:rsidR="004957E5" w:rsidRPr="00761653" w:rsidRDefault="004957E5" w:rsidP="0007729C">
      <w:pPr>
        <w:widowControl w:val="0"/>
        <w:tabs>
          <w:tab w:val="left" w:pos="8715"/>
        </w:tabs>
        <w:autoSpaceDE w:val="0"/>
        <w:autoSpaceDN w:val="0"/>
        <w:adjustRightInd w:val="0"/>
        <w:ind w:right="49" w:firstLine="709"/>
        <w:contextualSpacing/>
        <w:rPr>
          <w:bCs/>
        </w:rPr>
      </w:pPr>
      <w:r w:rsidRPr="00761653">
        <w:rPr>
          <w:bCs/>
        </w:rPr>
        <w:t xml:space="preserve">Другие грамположительные бактерии редко вызывают инфекции, лечение их </w:t>
      </w:r>
      <w:r>
        <w:rPr>
          <w:bCs/>
        </w:rPr>
        <w:t xml:space="preserve">такое же, </w:t>
      </w:r>
      <w:r w:rsidRPr="00761653">
        <w:rPr>
          <w:bCs/>
        </w:rPr>
        <w:t xml:space="preserve">как у других категорий </w:t>
      </w:r>
      <w:r>
        <w:rPr>
          <w:bCs/>
        </w:rPr>
        <w:t>пациентов.</w:t>
      </w:r>
    </w:p>
    <w:p w14:paraId="7E2CE717" w14:textId="77777777" w:rsidR="004957E5" w:rsidRDefault="004957E5" w:rsidP="004957E5">
      <w:pPr>
        <w:ind w:hanging="142"/>
      </w:pPr>
    </w:p>
    <w:p w14:paraId="1BAA6A99" w14:textId="77777777" w:rsidR="004957E5" w:rsidRPr="00761653" w:rsidRDefault="004957E5" w:rsidP="0007729C">
      <w:pPr>
        <w:rPr>
          <w:i/>
        </w:rPr>
      </w:pPr>
      <w:r w:rsidRPr="00761653">
        <w:t xml:space="preserve">Таблица 4. Лечение инфекций, вызванных </w:t>
      </w:r>
      <w:r w:rsidRPr="00761653">
        <w:rPr>
          <w:i/>
        </w:rPr>
        <w:t xml:space="preserve">Staphylococcus aureus </w:t>
      </w:r>
      <w:r w:rsidRPr="00761653">
        <w:t>и</w:t>
      </w:r>
      <w:r w:rsidRPr="00761653">
        <w:rPr>
          <w:i/>
        </w:rPr>
        <w:t xml:space="preserve"> Enterococcus faecium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835"/>
        <w:gridCol w:w="4395"/>
      </w:tblGrid>
      <w:tr w:rsidR="004957E5" w:rsidRPr="00761653" w14:paraId="280DEBDB" w14:textId="77777777" w:rsidTr="002D3EBF">
        <w:tc>
          <w:tcPr>
            <w:tcW w:w="2376" w:type="dxa"/>
            <w:vAlign w:val="center"/>
          </w:tcPr>
          <w:p w14:paraId="73C83231" w14:textId="77777777" w:rsidR="004957E5" w:rsidRPr="00761653" w:rsidRDefault="004957E5" w:rsidP="002D3EBF">
            <w:pPr>
              <w:spacing w:line="240" w:lineRule="auto"/>
              <w:ind w:left="57" w:right="57"/>
              <w:jc w:val="center"/>
            </w:pPr>
            <w:r w:rsidRPr="00761653">
              <w:t>Микроорганизм</w:t>
            </w:r>
          </w:p>
        </w:tc>
        <w:tc>
          <w:tcPr>
            <w:tcW w:w="2835" w:type="dxa"/>
            <w:vAlign w:val="center"/>
          </w:tcPr>
          <w:p w14:paraId="623A6DFF" w14:textId="77777777" w:rsidR="004957E5" w:rsidRPr="00761653" w:rsidRDefault="004957E5" w:rsidP="002D3EBF">
            <w:pPr>
              <w:spacing w:line="240" w:lineRule="auto"/>
              <w:ind w:left="57" w:right="57"/>
              <w:jc w:val="center"/>
            </w:pPr>
            <w:r w:rsidRPr="00761653">
              <w:t>Препарат</w:t>
            </w:r>
          </w:p>
        </w:tc>
        <w:tc>
          <w:tcPr>
            <w:tcW w:w="4395" w:type="dxa"/>
            <w:vAlign w:val="center"/>
          </w:tcPr>
          <w:p w14:paraId="769AB490" w14:textId="77777777" w:rsidR="004957E5" w:rsidRPr="00761653" w:rsidRDefault="004957E5" w:rsidP="002D3EBF">
            <w:pPr>
              <w:spacing w:line="240" w:lineRule="auto"/>
              <w:ind w:left="57" w:right="57"/>
              <w:jc w:val="center"/>
            </w:pPr>
            <w:r w:rsidRPr="00761653">
              <w:t>Доза</w:t>
            </w:r>
          </w:p>
        </w:tc>
      </w:tr>
      <w:tr w:rsidR="004957E5" w:rsidRPr="00975FC1" w14:paraId="4BA3C182" w14:textId="77777777" w:rsidTr="002D3EBF">
        <w:tc>
          <w:tcPr>
            <w:tcW w:w="2376" w:type="dxa"/>
            <w:vMerge w:val="restart"/>
          </w:tcPr>
          <w:p w14:paraId="391DE7A2" w14:textId="77777777" w:rsidR="004957E5" w:rsidRPr="00761653" w:rsidRDefault="004957E5" w:rsidP="002D3EBF">
            <w:pPr>
              <w:spacing w:line="240" w:lineRule="auto"/>
              <w:ind w:left="57" w:right="57"/>
              <w:rPr>
                <w:highlight w:val="green"/>
              </w:rPr>
            </w:pPr>
            <w:r w:rsidRPr="00761653">
              <w:rPr>
                <w:i/>
              </w:rPr>
              <w:t>S. aureus</w:t>
            </w:r>
            <w:r w:rsidRPr="00761653">
              <w:t>, чувствительные к оксациллину</w:t>
            </w:r>
          </w:p>
        </w:tc>
        <w:tc>
          <w:tcPr>
            <w:tcW w:w="2835" w:type="dxa"/>
          </w:tcPr>
          <w:p w14:paraId="4B4BF8BC" w14:textId="77777777" w:rsidR="004957E5" w:rsidRPr="00761653" w:rsidRDefault="004957E5" w:rsidP="002D3EBF">
            <w:pPr>
              <w:spacing w:line="240" w:lineRule="auto"/>
              <w:ind w:left="57" w:right="57"/>
            </w:pPr>
            <w:r w:rsidRPr="00761653">
              <w:t>Оксациллин</w:t>
            </w:r>
          </w:p>
        </w:tc>
        <w:tc>
          <w:tcPr>
            <w:tcW w:w="4395" w:type="dxa"/>
          </w:tcPr>
          <w:p w14:paraId="3C9217B1" w14:textId="77777777" w:rsidR="004957E5" w:rsidRPr="00761653" w:rsidRDefault="004957E5" w:rsidP="002D3EBF">
            <w:pPr>
              <w:spacing w:line="240" w:lineRule="auto"/>
              <w:ind w:left="57" w:right="57"/>
            </w:pPr>
            <w:r w:rsidRPr="00761653">
              <w:t>1-2 г каждые 4 часа, в/в</w:t>
            </w:r>
          </w:p>
        </w:tc>
      </w:tr>
      <w:tr w:rsidR="004957E5" w:rsidRPr="00975FC1" w14:paraId="4B331574" w14:textId="77777777" w:rsidTr="002D3EBF">
        <w:tc>
          <w:tcPr>
            <w:tcW w:w="2376" w:type="dxa"/>
            <w:vMerge/>
          </w:tcPr>
          <w:p w14:paraId="64437AC1" w14:textId="77777777" w:rsidR="004957E5" w:rsidRPr="00761653" w:rsidRDefault="004957E5" w:rsidP="002D3EBF">
            <w:pPr>
              <w:spacing w:line="240" w:lineRule="auto"/>
              <w:ind w:left="57" w:right="57"/>
            </w:pPr>
          </w:p>
        </w:tc>
        <w:tc>
          <w:tcPr>
            <w:tcW w:w="2835" w:type="dxa"/>
          </w:tcPr>
          <w:p w14:paraId="0BC938D9" w14:textId="77777777" w:rsidR="004957E5" w:rsidRPr="00761653" w:rsidRDefault="004957E5" w:rsidP="002D3EBF">
            <w:pPr>
              <w:spacing w:line="240" w:lineRule="auto"/>
              <w:ind w:left="57" w:right="57"/>
            </w:pPr>
            <w:r w:rsidRPr="00761653">
              <w:t>Цефазолин</w:t>
            </w:r>
          </w:p>
        </w:tc>
        <w:tc>
          <w:tcPr>
            <w:tcW w:w="4395" w:type="dxa"/>
          </w:tcPr>
          <w:p w14:paraId="4196A48A" w14:textId="77777777" w:rsidR="004957E5" w:rsidRPr="00761653" w:rsidRDefault="004957E5" w:rsidP="002D3EBF">
            <w:pPr>
              <w:spacing w:line="240" w:lineRule="auto"/>
              <w:ind w:left="57" w:right="57"/>
            </w:pPr>
            <w:r w:rsidRPr="00761653">
              <w:t>1-2 г каждые 8 часов (максимальная доза 12 г/сут), в/в</w:t>
            </w:r>
          </w:p>
        </w:tc>
      </w:tr>
      <w:tr w:rsidR="004957E5" w:rsidRPr="00265B67" w14:paraId="284639E3" w14:textId="77777777" w:rsidTr="002D3EBF">
        <w:tc>
          <w:tcPr>
            <w:tcW w:w="2376" w:type="dxa"/>
            <w:vMerge/>
          </w:tcPr>
          <w:p w14:paraId="01CADC62" w14:textId="77777777" w:rsidR="004957E5" w:rsidRPr="00761653" w:rsidRDefault="004957E5" w:rsidP="002D3EBF">
            <w:pPr>
              <w:spacing w:line="240" w:lineRule="auto"/>
              <w:ind w:left="57" w:right="57"/>
            </w:pPr>
          </w:p>
        </w:tc>
        <w:tc>
          <w:tcPr>
            <w:tcW w:w="2835" w:type="dxa"/>
          </w:tcPr>
          <w:p w14:paraId="5E755BE3" w14:textId="77777777" w:rsidR="004957E5" w:rsidRPr="00761653" w:rsidRDefault="004957E5" w:rsidP="002D3EBF">
            <w:pPr>
              <w:spacing w:line="240" w:lineRule="auto"/>
              <w:ind w:left="57" w:right="57"/>
            </w:pPr>
            <w:r w:rsidRPr="00761653">
              <w:t>Цефтаролин</w:t>
            </w:r>
          </w:p>
        </w:tc>
        <w:tc>
          <w:tcPr>
            <w:tcW w:w="4395" w:type="dxa"/>
          </w:tcPr>
          <w:p w14:paraId="57530DD3" w14:textId="77777777" w:rsidR="004957E5" w:rsidRPr="00761653" w:rsidRDefault="004957E5" w:rsidP="002D3EBF">
            <w:pPr>
              <w:spacing w:line="240" w:lineRule="auto"/>
              <w:ind w:left="57" w:right="57"/>
            </w:pPr>
            <w:r w:rsidRPr="00761653">
              <w:t>600 мг каждые 12 часов, инфузия в течение 5-60 минут</w:t>
            </w:r>
          </w:p>
        </w:tc>
      </w:tr>
      <w:tr w:rsidR="004957E5" w:rsidRPr="00265B67" w14:paraId="64AAA1E4" w14:textId="77777777" w:rsidTr="002D3EBF">
        <w:tc>
          <w:tcPr>
            <w:tcW w:w="2376" w:type="dxa"/>
            <w:vMerge/>
          </w:tcPr>
          <w:p w14:paraId="292771F6" w14:textId="77777777" w:rsidR="004957E5" w:rsidRPr="00761653" w:rsidRDefault="004957E5" w:rsidP="002D3EBF">
            <w:pPr>
              <w:spacing w:line="240" w:lineRule="auto"/>
              <w:ind w:left="57" w:right="57"/>
              <w:rPr>
                <w:highlight w:val="yellow"/>
              </w:rPr>
            </w:pPr>
          </w:p>
        </w:tc>
        <w:tc>
          <w:tcPr>
            <w:tcW w:w="2835" w:type="dxa"/>
          </w:tcPr>
          <w:p w14:paraId="694BC28E" w14:textId="77777777" w:rsidR="004957E5" w:rsidRPr="00761653" w:rsidRDefault="004957E5" w:rsidP="002D3EBF">
            <w:pPr>
              <w:spacing w:line="240" w:lineRule="auto"/>
              <w:ind w:left="57" w:right="57"/>
            </w:pPr>
            <w:r w:rsidRPr="00761653">
              <w:t>Ванкомицин</w:t>
            </w:r>
          </w:p>
        </w:tc>
        <w:tc>
          <w:tcPr>
            <w:tcW w:w="4395" w:type="dxa"/>
          </w:tcPr>
          <w:p w14:paraId="1A73B9C6" w14:textId="77777777" w:rsidR="004957E5" w:rsidRPr="00761653" w:rsidRDefault="004957E5" w:rsidP="002D3EBF">
            <w:pPr>
              <w:spacing w:line="240" w:lineRule="auto"/>
              <w:ind w:left="57" w:right="57"/>
            </w:pPr>
            <w:r w:rsidRPr="00761653">
              <w:t xml:space="preserve">Нагрузочная доза 25-30 мг/кг, затем 15-20 мг/кг каждые 8-12 часов (разовая доза не должна превышать 2 г), инфузия в течение 1,5-2 часов </w:t>
            </w:r>
          </w:p>
        </w:tc>
      </w:tr>
      <w:tr w:rsidR="004957E5" w:rsidRPr="00265B67" w14:paraId="1B64C987" w14:textId="77777777" w:rsidTr="002D3EBF">
        <w:tc>
          <w:tcPr>
            <w:tcW w:w="2376" w:type="dxa"/>
            <w:vMerge w:val="restart"/>
          </w:tcPr>
          <w:p w14:paraId="0111942E" w14:textId="77777777" w:rsidR="004957E5" w:rsidRPr="00761653" w:rsidRDefault="004957E5" w:rsidP="002D3EBF">
            <w:pPr>
              <w:spacing w:line="240" w:lineRule="auto"/>
              <w:ind w:left="57" w:right="57"/>
            </w:pPr>
            <w:r w:rsidRPr="00761653">
              <w:rPr>
                <w:i/>
              </w:rPr>
              <w:t>S. aureus,</w:t>
            </w:r>
            <w:r w:rsidRPr="00761653">
              <w:t xml:space="preserve"> устойчивые к оксациллину</w:t>
            </w:r>
          </w:p>
        </w:tc>
        <w:tc>
          <w:tcPr>
            <w:tcW w:w="2835" w:type="dxa"/>
          </w:tcPr>
          <w:p w14:paraId="1A6E4EDA" w14:textId="77777777" w:rsidR="004957E5" w:rsidRPr="00761653" w:rsidRDefault="004957E5" w:rsidP="002D3EBF">
            <w:pPr>
              <w:spacing w:line="240" w:lineRule="auto"/>
              <w:ind w:left="57" w:right="57"/>
            </w:pPr>
            <w:r w:rsidRPr="00761653">
              <w:t>Ванкомицин</w:t>
            </w:r>
          </w:p>
        </w:tc>
        <w:tc>
          <w:tcPr>
            <w:tcW w:w="4395" w:type="dxa"/>
          </w:tcPr>
          <w:p w14:paraId="14D3C622" w14:textId="77777777" w:rsidR="004957E5" w:rsidRPr="00761653" w:rsidRDefault="004957E5" w:rsidP="002D3EBF">
            <w:pPr>
              <w:spacing w:line="240" w:lineRule="auto"/>
              <w:ind w:left="57" w:right="57"/>
            </w:pPr>
            <w:r w:rsidRPr="00761653">
              <w:t xml:space="preserve">Нагрузочная доза 25-30 мг/кг, затем 15-20 мг/кг каждые 8-12 часов (разовая доза не должна превышать 2 г), инфузия в течение 1,5-2 часов (не рекомендован к назначению при инфекциях, вызванных </w:t>
            </w:r>
            <w:r w:rsidRPr="00761653">
              <w:rPr>
                <w:i/>
              </w:rPr>
              <w:t>S. aureus</w:t>
            </w:r>
            <w:r w:rsidRPr="00761653">
              <w:t xml:space="preserve"> с МПК ванкомицина &gt; 1 мкг/мл ввиду низкой клинической эффективности)</w:t>
            </w:r>
          </w:p>
        </w:tc>
      </w:tr>
      <w:tr w:rsidR="004957E5" w:rsidRPr="00975FC1" w14:paraId="7574908A" w14:textId="77777777" w:rsidTr="002D3EBF">
        <w:tc>
          <w:tcPr>
            <w:tcW w:w="2376" w:type="dxa"/>
            <w:vMerge/>
          </w:tcPr>
          <w:p w14:paraId="04940099" w14:textId="77777777" w:rsidR="004957E5" w:rsidRPr="00761653" w:rsidRDefault="004957E5" w:rsidP="002D3EBF">
            <w:pPr>
              <w:spacing w:line="240" w:lineRule="auto"/>
              <w:ind w:left="57" w:right="57"/>
            </w:pPr>
          </w:p>
        </w:tc>
        <w:tc>
          <w:tcPr>
            <w:tcW w:w="2835" w:type="dxa"/>
          </w:tcPr>
          <w:p w14:paraId="3CE7A06C" w14:textId="77777777" w:rsidR="004957E5" w:rsidRPr="00761653" w:rsidRDefault="004957E5" w:rsidP="002D3EBF">
            <w:pPr>
              <w:spacing w:line="240" w:lineRule="auto"/>
              <w:ind w:left="57" w:right="57"/>
            </w:pPr>
            <w:r w:rsidRPr="00761653">
              <w:t>Линезолид</w:t>
            </w:r>
          </w:p>
        </w:tc>
        <w:tc>
          <w:tcPr>
            <w:tcW w:w="4395" w:type="dxa"/>
          </w:tcPr>
          <w:p w14:paraId="1D021F39" w14:textId="77777777" w:rsidR="004957E5" w:rsidRPr="00761653" w:rsidRDefault="004957E5" w:rsidP="002D3EBF">
            <w:pPr>
              <w:spacing w:line="240" w:lineRule="auto"/>
              <w:ind w:left="57" w:right="57"/>
            </w:pPr>
            <w:r w:rsidRPr="00761653">
              <w:t>600 мг каждые 12 часов, в/в или внутрь</w:t>
            </w:r>
          </w:p>
        </w:tc>
      </w:tr>
      <w:tr w:rsidR="004957E5" w:rsidRPr="00975FC1" w14:paraId="46DE8F9B" w14:textId="77777777" w:rsidTr="002D3EBF">
        <w:tc>
          <w:tcPr>
            <w:tcW w:w="2376" w:type="dxa"/>
            <w:vMerge/>
          </w:tcPr>
          <w:p w14:paraId="13D9FF3D" w14:textId="77777777" w:rsidR="004957E5" w:rsidRPr="00761653" w:rsidRDefault="004957E5" w:rsidP="002D3EBF">
            <w:pPr>
              <w:spacing w:line="240" w:lineRule="auto"/>
              <w:ind w:left="57" w:right="57"/>
            </w:pPr>
          </w:p>
        </w:tc>
        <w:tc>
          <w:tcPr>
            <w:tcW w:w="2835" w:type="dxa"/>
          </w:tcPr>
          <w:p w14:paraId="2D217970" w14:textId="77777777" w:rsidR="004957E5" w:rsidRPr="00761653" w:rsidRDefault="004957E5" w:rsidP="002D3EBF">
            <w:pPr>
              <w:spacing w:line="240" w:lineRule="auto"/>
              <w:ind w:left="57" w:right="57"/>
            </w:pPr>
            <w:r w:rsidRPr="00761653">
              <w:t>Тедизолид</w:t>
            </w:r>
          </w:p>
        </w:tc>
        <w:tc>
          <w:tcPr>
            <w:tcW w:w="4395" w:type="dxa"/>
          </w:tcPr>
          <w:p w14:paraId="783C92F4" w14:textId="77777777" w:rsidR="004957E5" w:rsidRPr="00761653" w:rsidRDefault="004957E5" w:rsidP="002D3EBF">
            <w:pPr>
              <w:spacing w:line="240" w:lineRule="auto"/>
              <w:ind w:left="57" w:right="57"/>
            </w:pPr>
            <w:r w:rsidRPr="00761653">
              <w:t>200 мг каждые 24 часа, внутрь или в/в инфузия в течение 1 часа (не применяют для лечения инфекций кровотока и пневмонии)</w:t>
            </w:r>
          </w:p>
        </w:tc>
      </w:tr>
      <w:tr w:rsidR="004957E5" w:rsidRPr="00265B67" w14:paraId="346BBFF9" w14:textId="77777777" w:rsidTr="002D3EBF">
        <w:tc>
          <w:tcPr>
            <w:tcW w:w="2376" w:type="dxa"/>
            <w:vMerge/>
          </w:tcPr>
          <w:p w14:paraId="6337F59D" w14:textId="77777777" w:rsidR="004957E5" w:rsidRPr="00761653" w:rsidRDefault="004957E5" w:rsidP="002D3EBF">
            <w:pPr>
              <w:spacing w:line="240" w:lineRule="auto"/>
              <w:ind w:left="57" w:right="57"/>
            </w:pPr>
          </w:p>
        </w:tc>
        <w:tc>
          <w:tcPr>
            <w:tcW w:w="2835" w:type="dxa"/>
          </w:tcPr>
          <w:p w14:paraId="74D66CBC" w14:textId="77777777" w:rsidR="004957E5" w:rsidRPr="00761653" w:rsidRDefault="004957E5" w:rsidP="002D3EBF">
            <w:pPr>
              <w:spacing w:line="240" w:lineRule="auto"/>
              <w:ind w:left="57" w:right="57"/>
            </w:pPr>
            <w:r w:rsidRPr="00761653">
              <w:t>Даптомицин</w:t>
            </w:r>
          </w:p>
        </w:tc>
        <w:tc>
          <w:tcPr>
            <w:tcW w:w="4395" w:type="dxa"/>
          </w:tcPr>
          <w:p w14:paraId="61166D4B" w14:textId="77777777" w:rsidR="004957E5" w:rsidRPr="00761653" w:rsidRDefault="004957E5" w:rsidP="002D3EBF">
            <w:pPr>
              <w:spacing w:line="240" w:lineRule="auto"/>
              <w:ind w:left="57" w:right="57"/>
            </w:pPr>
            <w:r w:rsidRPr="00761653">
              <w:t>10-12 мг/кг каждые 24 часа, инфузия в течение 30 минут (препарат не применяют для лечения пневмонии)</w:t>
            </w:r>
          </w:p>
        </w:tc>
      </w:tr>
      <w:tr w:rsidR="004957E5" w:rsidRPr="00265B67" w14:paraId="5B0A44E2" w14:textId="77777777" w:rsidTr="002D3EBF">
        <w:tc>
          <w:tcPr>
            <w:tcW w:w="2376" w:type="dxa"/>
            <w:vMerge/>
          </w:tcPr>
          <w:p w14:paraId="24B07240" w14:textId="77777777" w:rsidR="004957E5" w:rsidRPr="00761653" w:rsidRDefault="004957E5" w:rsidP="002D3EBF">
            <w:pPr>
              <w:spacing w:line="240" w:lineRule="auto"/>
              <w:ind w:left="57" w:right="57"/>
            </w:pPr>
          </w:p>
        </w:tc>
        <w:tc>
          <w:tcPr>
            <w:tcW w:w="2835" w:type="dxa"/>
          </w:tcPr>
          <w:p w14:paraId="201BBCF8" w14:textId="77777777" w:rsidR="004957E5" w:rsidRPr="00761653" w:rsidRDefault="004957E5" w:rsidP="002D3EBF">
            <w:pPr>
              <w:spacing w:line="240" w:lineRule="auto"/>
              <w:ind w:left="57" w:right="57"/>
            </w:pPr>
            <w:r w:rsidRPr="00761653">
              <w:t>Телаванцин</w:t>
            </w:r>
          </w:p>
        </w:tc>
        <w:tc>
          <w:tcPr>
            <w:tcW w:w="4395" w:type="dxa"/>
          </w:tcPr>
          <w:p w14:paraId="632D4704" w14:textId="77777777" w:rsidR="004957E5" w:rsidRPr="00761653" w:rsidRDefault="004957E5" w:rsidP="002D3EBF">
            <w:pPr>
              <w:spacing w:line="240" w:lineRule="auto"/>
              <w:ind w:left="57" w:right="57"/>
            </w:pPr>
            <w:r w:rsidRPr="00761653">
              <w:t>10 мг/кг каждые 24 часа, инфузия в течение 1 часа</w:t>
            </w:r>
          </w:p>
        </w:tc>
      </w:tr>
      <w:tr w:rsidR="004957E5" w:rsidRPr="00265B67" w14:paraId="50EB5F66" w14:textId="77777777" w:rsidTr="002D3EBF">
        <w:tc>
          <w:tcPr>
            <w:tcW w:w="2376" w:type="dxa"/>
            <w:vMerge/>
          </w:tcPr>
          <w:p w14:paraId="3401898A" w14:textId="77777777" w:rsidR="004957E5" w:rsidRPr="00761653" w:rsidRDefault="004957E5" w:rsidP="002D3EBF">
            <w:pPr>
              <w:spacing w:line="240" w:lineRule="auto"/>
              <w:ind w:left="57" w:right="57"/>
            </w:pPr>
          </w:p>
        </w:tc>
        <w:tc>
          <w:tcPr>
            <w:tcW w:w="2835" w:type="dxa"/>
          </w:tcPr>
          <w:p w14:paraId="3A063B24" w14:textId="77777777" w:rsidR="004957E5" w:rsidRPr="00761653" w:rsidRDefault="004957E5" w:rsidP="002D3EBF">
            <w:pPr>
              <w:spacing w:line="240" w:lineRule="auto"/>
              <w:ind w:left="57" w:right="57"/>
            </w:pPr>
            <w:r w:rsidRPr="00761653">
              <w:t>Далбаванцин</w:t>
            </w:r>
          </w:p>
        </w:tc>
        <w:tc>
          <w:tcPr>
            <w:tcW w:w="4395" w:type="dxa"/>
          </w:tcPr>
          <w:p w14:paraId="1C179CE9" w14:textId="77777777" w:rsidR="004957E5" w:rsidRPr="00761653" w:rsidRDefault="004957E5" w:rsidP="002D3EBF">
            <w:pPr>
              <w:spacing w:line="240" w:lineRule="auto"/>
              <w:ind w:left="57" w:right="57"/>
            </w:pPr>
            <w:r w:rsidRPr="00761653">
              <w:t>1000 мг, инфузия в течение 30 мин, затем через неделю 500мг , инфузия в течение 30 мин</w:t>
            </w:r>
          </w:p>
        </w:tc>
      </w:tr>
      <w:tr w:rsidR="004957E5" w:rsidRPr="00975FC1" w14:paraId="711017AB" w14:textId="77777777" w:rsidTr="002D3EBF">
        <w:tc>
          <w:tcPr>
            <w:tcW w:w="2376" w:type="dxa"/>
            <w:vMerge/>
          </w:tcPr>
          <w:p w14:paraId="70B7B434" w14:textId="77777777" w:rsidR="004957E5" w:rsidRPr="00761653" w:rsidRDefault="004957E5" w:rsidP="002D3EBF">
            <w:pPr>
              <w:spacing w:line="240" w:lineRule="auto"/>
              <w:ind w:left="57" w:right="57"/>
            </w:pPr>
          </w:p>
        </w:tc>
        <w:tc>
          <w:tcPr>
            <w:tcW w:w="2835" w:type="dxa"/>
          </w:tcPr>
          <w:p w14:paraId="52891B29" w14:textId="77777777" w:rsidR="004957E5" w:rsidRPr="00761653" w:rsidRDefault="004957E5" w:rsidP="002D3EBF">
            <w:pPr>
              <w:spacing w:line="240" w:lineRule="auto"/>
              <w:ind w:left="57" w:right="57"/>
            </w:pPr>
            <w:r w:rsidRPr="00761653">
              <w:t>Тигециклин</w:t>
            </w:r>
          </w:p>
        </w:tc>
        <w:tc>
          <w:tcPr>
            <w:tcW w:w="4395" w:type="dxa"/>
          </w:tcPr>
          <w:p w14:paraId="70E3DFDD" w14:textId="77777777" w:rsidR="004957E5" w:rsidRPr="00761653" w:rsidRDefault="004957E5" w:rsidP="002D3EBF">
            <w:pPr>
              <w:spacing w:line="240" w:lineRule="auto"/>
              <w:ind w:left="57" w:right="57"/>
            </w:pPr>
            <w:r w:rsidRPr="00761653">
              <w:t>Нагрузочная доза 100 мг, затем по 50 мг каждые 12 часов (не показан для лечения инфекций кровотока), в/в (применяют при интрабдоминальной инфекции, при инфекции кожи и мягких тканей)</w:t>
            </w:r>
          </w:p>
        </w:tc>
      </w:tr>
      <w:tr w:rsidR="004957E5" w:rsidRPr="00265B67" w14:paraId="1C11254E" w14:textId="77777777" w:rsidTr="002D3EBF">
        <w:tc>
          <w:tcPr>
            <w:tcW w:w="2376" w:type="dxa"/>
            <w:vMerge/>
          </w:tcPr>
          <w:p w14:paraId="1168FB07" w14:textId="77777777" w:rsidR="004957E5" w:rsidRPr="00761653" w:rsidRDefault="004957E5" w:rsidP="002D3EBF">
            <w:pPr>
              <w:spacing w:line="240" w:lineRule="auto"/>
              <w:ind w:left="57" w:right="57"/>
            </w:pPr>
          </w:p>
        </w:tc>
        <w:tc>
          <w:tcPr>
            <w:tcW w:w="2835" w:type="dxa"/>
          </w:tcPr>
          <w:p w14:paraId="0372F16C" w14:textId="77777777" w:rsidR="004957E5" w:rsidRPr="00761653" w:rsidRDefault="004957E5" w:rsidP="002D3EBF">
            <w:pPr>
              <w:spacing w:line="240" w:lineRule="auto"/>
              <w:ind w:left="57" w:right="57"/>
            </w:pPr>
            <w:r w:rsidRPr="00761653">
              <w:t>Цефтаролин</w:t>
            </w:r>
          </w:p>
        </w:tc>
        <w:tc>
          <w:tcPr>
            <w:tcW w:w="4395" w:type="dxa"/>
          </w:tcPr>
          <w:p w14:paraId="6BA46059" w14:textId="77777777" w:rsidR="004957E5" w:rsidRPr="00761653" w:rsidRDefault="004957E5" w:rsidP="002D3EBF">
            <w:pPr>
              <w:spacing w:line="240" w:lineRule="auto"/>
              <w:ind w:left="57" w:right="57"/>
            </w:pPr>
            <w:r w:rsidRPr="00761653">
              <w:t>600 мг каждые 12 часов, инфузия в течение 5-60 минут</w:t>
            </w:r>
          </w:p>
        </w:tc>
      </w:tr>
      <w:tr w:rsidR="004957E5" w:rsidRPr="00265B67" w14:paraId="73BDC4E0" w14:textId="77777777" w:rsidTr="002D3EBF">
        <w:tc>
          <w:tcPr>
            <w:tcW w:w="2376" w:type="dxa"/>
          </w:tcPr>
          <w:p w14:paraId="58D0D543" w14:textId="77777777" w:rsidR="004957E5" w:rsidRPr="00761653" w:rsidRDefault="004957E5" w:rsidP="002D3EBF">
            <w:pPr>
              <w:spacing w:line="240" w:lineRule="auto"/>
              <w:ind w:left="57" w:right="57"/>
            </w:pPr>
            <w:r w:rsidRPr="00761653">
              <w:rPr>
                <w:i/>
              </w:rPr>
              <w:t xml:space="preserve">E. faecium, </w:t>
            </w:r>
            <w:r w:rsidRPr="00761653">
              <w:t>чувствительные к ванкомицину</w:t>
            </w:r>
          </w:p>
        </w:tc>
        <w:tc>
          <w:tcPr>
            <w:tcW w:w="2835" w:type="dxa"/>
          </w:tcPr>
          <w:p w14:paraId="5E924075" w14:textId="77777777" w:rsidR="004957E5" w:rsidRPr="00761653" w:rsidRDefault="004957E5" w:rsidP="002D3EBF">
            <w:pPr>
              <w:spacing w:line="240" w:lineRule="auto"/>
              <w:ind w:left="57" w:right="57"/>
            </w:pPr>
            <w:r w:rsidRPr="00761653">
              <w:t>Ванкомицин</w:t>
            </w:r>
          </w:p>
        </w:tc>
        <w:tc>
          <w:tcPr>
            <w:tcW w:w="4395" w:type="dxa"/>
          </w:tcPr>
          <w:p w14:paraId="2BBFAF88" w14:textId="77777777" w:rsidR="004957E5" w:rsidRPr="00761653" w:rsidRDefault="004957E5" w:rsidP="002D3EBF">
            <w:pPr>
              <w:spacing w:line="240" w:lineRule="auto"/>
              <w:ind w:left="57" w:right="57"/>
            </w:pPr>
            <w:r w:rsidRPr="00761653">
              <w:t>Нагрузочная доза 25-30 мг/кг, затем 15-20 мг/кг каждые 8-12 часов, (разовая доза не должна превышать 2 г), инфузия в течение 1,5-2 часов</w:t>
            </w:r>
          </w:p>
        </w:tc>
      </w:tr>
      <w:tr w:rsidR="004957E5" w:rsidRPr="00265B67" w14:paraId="7D6249E5" w14:textId="77777777" w:rsidTr="002D3EBF">
        <w:tc>
          <w:tcPr>
            <w:tcW w:w="2376" w:type="dxa"/>
            <w:vMerge w:val="restart"/>
          </w:tcPr>
          <w:p w14:paraId="5236C8B9" w14:textId="77777777" w:rsidR="004957E5" w:rsidRPr="00761653" w:rsidRDefault="004957E5" w:rsidP="002D3EBF">
            <w:pPr>
              <w:spacing w:line="240" w:lineRule="auto"/>
              <w:ind w:left="57" w:right="57"/>
            </w:pPr>
            <w:r w:rsidRPr="00761653">
              <w:rPr>
                <w:i/>
              </w:rPr>
              <w:t>E.faecium,</w:t>
            </w:r>
            <w:r w:rsidRPr="00761653">
              <w:t xml:space="preserve"> устойчивые к ванкомицину</w:t>
            </w:r>
          </w:p>
        </w:tc>
        <w:tc>
          <w:tcPr>
            <w:tcW w:w="2835" w:type="dxa"/>
          </w:tcPr>
          <w:p w14:paraId="1ABF4B15" w14:textId="77777777" w:rsidR="004957E5" w:rsidRPr="00761653" w:rsidRDefault="004957E5" w:rsidP="002D3EBF">
            <w:pPr>
              <w:spacing w:line="240" w:lineRule="auto"/>
              <w:ind w:left="57" w:right="57"/>
            </w:pPr>
            <w:r w:rsidRPr="00761653">
              <w:t>Даптомицин</w:t>
            </w:r>
          </w:p>
        </w:tc>
        <w:tc>
          <w:tcPr>
            <w:tcW w:w="4395" w:type="dxa"/>
          </w:tcPr>
          <w:p w14:paraId="37B0315B" w14:textId="77777777" w:rsidR="004957E5" w:rsidRPr="00761653" w:rsidRDefault="004957E5" w:rsidP="002D3EBF">
            <w:pPr>
              <w:spacing w:line="240" w:lineRule="auto"/>
              <w:ind w:left="57" w:right="57"/>
            </w:pPr>
            <w:r w:rsidRPr="00761653">
              <w:t>10-12 мг/кг каждые 24 часа, инфузия в течение 30 мин</w:t>
            </w:r>
          </w:p>
        </w:tc>
      </w:tr>
      <w:tr w:rsidR="004957E5" w:rsidRPr="00975FC1" w14:paraId="259B0168" w14:textId="77777777" w:rsidTr="002D3EBF">
        <w:tc>
          <w:tcPr>
            <w:tcW w:w="2376" w:type="dxa"/>
            <w:vMerge/>
          </w:tcPr>
          <w:p w14:paraId="3EB9CE3A" w14:textId="77777777" w:rsidR="004957E5" w:rsidRPr="00761653" w:rsidRDefault="004957E5" w:rsidP="002D3EBF">
            <w:pPr>
              <w:spacing w:line="240" w:lineRule="auto"/>
              <w:ind w:left="57" w:right="57"/>
            </w:pPr>
          </w:p>
        </w:tc>
        <w:tc>
          <w:tcPr>
            <w:tcW w:w="2835" w:type="dxa"/>
          </w:tcPr>
          <w:p w14:paraId="7929609B" w14:textId="77777777" w:rsidR="004957E5" w:rsidRPr="00761653" w:rsidRDefault="004957E5" w:rsidP="002D3EBF">
            <w:pPr>
              <w:spacing w:line="240" w:lineRule="auto"/>
              <w:ind w:left="57" w:right="57"/>
            </w:pPr>
            <w:r w:rsidRPr="00761653">
              <w:t>Линезолид</w:t>
            </w:r>
          </w:p>
        </w:tc>
        <w:tc>
          <w:tcPr>
            <w:tcW w:w="4395" w:type="dxa"/>
          </w:tcPr>
          <w:p w14:paraId="436C1CD5" w14:textId="77777777" w:rsidR="004957E5" w:rsidRPr="00761653" w:rsidRDefault="004957E5" w:rsidP="002D3EBF">
            <w:pPr>
              <w:spacing w:line="240" w:lineRule="auto"/>
              <w:ind w:left="57" w:right="57"/>
            </w:pPr>
            <w:r w:rsidRPr="00761653">
              <w:t>600 мг каждые 12 часов, в/в или внутрь (следует применять при инфекциях, вызванных штаммами с МПК даптомицина &gt; 4 мкг/мл)</w:t>
            </w:r>
          </w:p>
        </w:tc>
      </w:tr>
      <w:tr w:rsidR="004957E5" w:rsidRPr="00975FC1" w14:paraId="45967D1F" w14:textId="77777777" w:rsidTr="002D3EBF">
        <w:tc>
          <w:tcPr>
            <w:tcW w:w="2376" w:type="dxa"/>
            <w:vMerge/>
          </w:tcPr>
          <w:p w14:paraId="4691A715" w14:textId="77777777" w:rsidR="004957E5" w:rsidRPr="00761653" w:rsidRDefault="004957E5" w:rsidP="002D3EBF">
            <w:pPr>
              <w:spacing w:line="240" w:lineRule="auto"/>
              <w:ind w:left="57" w:right="57"/>
            </w:pPr>
          </w:p>
        </w:tc>
        <w:tc>
          <w:tcPr>
            <w:tcW w:w="2835" w:type="dxa"/>
          </w:tcPr>
          <w:p w14:paraId="5CC3A239" w14:textId="77777777" w:rsidR="004957E5" w:rsidRPr="00761653" w:rsidRDefault="004957E5" w:rsidP="002D3EBF">
            <w:pPr>
              <w:spacing w:line="240" w:lineRule="auto"/>
              <w:ind w:left="57" w:right="57"/>
            </w:pPr>
            <w:r w:rsidRPr="00761653">
              <w:t>Тедизолид</w:t>
            </w:r>
          </w:p>
        </w:tc>
        <w:tc>
          <w:tcPr>
            <w:tcW w:w="4395" w:type="dxa"/>
          </w:tcPr>
          <w:p w14:paraId="58335D7E" w14:textId="77777777" w:rsidR="004957E5" w:rsidRPr="00761653" w:rsidRDefault="004957E5" w:rsidP="002D3EBF">
            <w:pPr>
              <w:spacing w:line="240" w:lineRule="auto"/>
              <w:ind w:left="57" w:right="57"/>
            </w:pPr>
            <w:r w:rsidRPr="00761653">
              <w:t>200 мг каждые 24 часа, внутрь или в/в инфузия в течение 1 часа (не применяют в лечении инфекций кровотока и пневмонии)</w:t>
            </w:r>
          </w:p>
        </w:tc>
      </w:tr>
      <w:tr w:rsidR="004957E5" w:rsidRPr="00265B67" w14:paraId="02DD9CFA" w14:textId="77777777" w:rsidTr="002D3EBF">
        <w:tc>
          <w:tcPr>
            <w:tcW w:w="2376" w:type="dxa"/>
            <w:vMerge/>
          </w:tcPr>
          <w:p w14:paraId="394AD9A4" w14:textId="77777777" w:rsidR="004957E5" w:rsidRPr="00761653" w:rsidRDefault="004957E5" w:rsidP="002D3EBF">
            <w:pPr>
              <w:spacing w:line="240" w:lineRule="auto"/>
              <w:ind w:left="57" w:right="57"/>
            </w:pPr>
          </w:p>
        </w:tc>
        <w:tc>
          <w:tcPr>
            <w:tcW w:w="2835" w:type="dxa"/>
          </w:tcPr>
          <w:p w14:paraId="078C3815" w14:textId="77777777" w:rsidR="004957E5" w:rsidRPr="00761653" w:rsidRDefault="004957E5" w:rsidP="002D3EBF">
            <w:pPr>
              <w:spacing w:line="240" w:lineRule="auto"/>
              <w:ind w:left="57" w:right="57"/>
            </w:pPr>
            <w:r w:rsidRPr="00761653">
              <w:t>Тигециклин</w:t>
            </w:r>
          </w:p>
        </w:tc>
        <w:tc>
          <w:tcPr>
            <w:tcW w:w="4395" w:type="dxa"/>
          </w:tcPr>
          <w:p w14:paraId="29502664" w14:textId="77777777" w:rsidR="004957E5" w:rsidRPr="00761653" w:rsidRDefault="004957E5" w:rsidP="002D3EBF">
            <w:pPr>
              <w:spacing w:line="240" w:lineRule="auto"/>
              <w:ind w:left="57" w:right="57"/>
            </w:pPr>
            <w:r w:rsidRPr="00761653">
              <w:t>Нагрузочная доза 100 мг, затем по 50 мг каждые 12 часов (не показан для лечения инфекций кровотока, инфекций мочевыводящих путей)</w:t>
            </w:r>
          </w:p>
        </w:tc>
      </w:tr>
    </w:tbl>
    <w:p w14:paraId="0ADBE3B6" w14:textId="77777777" w:rsidR="004957E5" w:rsidRDefault="004957E5" w:rsidP="004957E5">
      <w:pPr>
        <w:widowControl w:val="0"/>
        <w:autoSpaceDE w:val="0"/>
        <w:autoSpaceDN w:val="0"/>
        <w:adjustRightInd w:val="0"/>
        <w:ind w:right="49"/>
        <w:contextualSpacing/>
        <w:rPr>
          <w:b/>
          <w:bCs/>
          <w:iCs/>
        </w:rPr>
      </w:pPr>
    </w:p>
    <w:p w14:paraId="30BB7C23" w14:textId="77777777" w:rsidR="004957E5" w:rsidRPr="00761653" w:rsidRDefault="004957E5" w:rsidP="0007729C">
      <w:pPr>
        <w:widowControl w:val="0"/>
        <w:autoSpaceDE w:val="0"/>
        <w:autoSpaceDN w:val="0"/>
        <w:adjustRightInd w:val="0"/>
        <w:ind w:right="49"/>
        <w:contextualSpacing/>
        <w:rPr>
          <w:bCs/>
          <w:iCs/>
        </w:rPr>
      </w:pPr>
      <w:r w:rsidRPr="00761653">
        <w:rPr>
          <w:b/>
          <w:bCs/>
          <w:iCs/>
        </w:rPr>
        <w:lastRenderedPageBreak/>
        <w:t>Отдельные инфекции, требующие особого лечения, у иммунокомпрометированных больных</w:t>
      </w:r>
      <w:r w:rsidRPr="00761653">
        <w:rPr>
          <w:bCs/>
          <w:iCs/>
        </w:rPr>
        <w:t xml:space="preserve">. </w:t>
      </w:r>
    </w:p>
    <w:p w14:paraId="23960BF8" w14:textId="77777777" w:rsidR="004957E5" w:rsidRPr="00284D51" w:rsidRDefault="004957E5" w:rsidP="0007729C">
      <w:pPr>
        <w:widowControl w:val="0"/>
        <w:autoSpaceDE w:val="0"/>
        <w:autoSpaceDN w:val="0"/>
        <w:adjustRightInd w:val="0"/>
        <w:ind w:right="49" w:firstLine="709"/>
        <w:contextualSpacing/>
        <w:rPr>
          <w:i/>
          <w:iCs/>
        </w:rPr>
      </w:pPr>
      <w:r w:rsidRPr="00284D51">
        <w:rPr>
          <w:i/>
          <w:iCs/>
        </w:rPr>
        <w:t xml:space="preserve">Listeria monocytogenes </w:t>
      </w:r>
    </w:p>
    <w:p w14:paraId="4E55FBB4" w14:textId="463A72D3" w:rsidR="004957E5" w:rsidRPr="00761653" w:rsidRDefault="004957E5" w:rsidP="0007729C">
      <w:pPr>
        <w:widowControl w:val="0"/>
        <w:autoSpaceDE w:val="0"/>
        <w:autoSpaceDN w:val="0"/>
        <w:adjustRightInd w:val="0"/>
        <w:ind w:right="49" w:firstLine="709"/>
        <w:contextualSpacing/>
      </w:pPr>
      <w:r w:rsidRPr="00D27DBA">
        <w:rPr>
          <w:bCs/>
          <w:i/>
          <w:iCs/>
        </w:rPr>
        <w:t>Listeria monocytogenes (</w:t>
      </w:r>
      <w:r w:rsidRPr="00D27DBA">
        <w:rPr>
          <w:i/>
        </w:rPr>
        <w:t xml:space="preserve">L. monocytogenes) </w:t>
      </w:r>
      <w:r>
        <w:rPr>
          <w:bCs/>
          <w:iCs/>
        </w:rPr>
        <w:t>в</w:t>
      </w:r>
      <w:r w:rsidRPr="00761653">
        <w:rPr>
          <w:iCs/>
        </w:rPr>
        <w:t xml:space="preserve">ызывают </w:t>
      </w:r>
      <w:r w:rsidRPr="00761653">
        <w:t>инфекции кровотока и менингоэнцефалит. Инфекция возникает преимущественно у больных с нарушениями Т-клеточного звена иммунитета</w:t>
      </w:r>
      <w:r w:rsidRPr="00F674EC">
        <w:t xml:space="preserve"> </w:t>
      </w:r>
      <w:r>
        <w:fldChar w:fldCharType="begin" w:fldLock="1"/>
      </w:r>
      <w:r w:rsidR="00D25525">
        <w:instrText>ADDIN CSL_CITATION {"citationItems":[{"id":"ITEM-1","itemData":{"DOI":"10.3324/haematol.2013.091330","ISSN":"15928721","PMID":"24323984","abstract":"The detection of multi-resistant bacterial pathogens, particularly those to carbapenemases, in leukemic and stem cell transplant patients forces the use of old or non-conventional agents as the only remaining treatment options. These include colistin/polymyxin B, tigecycline, fosfomycin and various anti-gram-positive agents. Data on the use of these agents in leukemic patients are scanty, with only linezolid subjected to formal trials. The Expert Group of the 4th European Conference on Infections in Leukemia has developed guidelines for their use in these patient populations. Targeted therapy should be based on (i) in vitro susceptibility data, (ii) knowledge of the best treatment option against the particular species or phenotype of bacteria, (iii) pharmacokinetic/pharmacodynamic data, and (iv) careful assessment of the risk-benefit balance. For infections due to resistant Gram-negative bacteria, these agents should be preferably used in combination with other agents that remain active in vitro, because of suboptimal efficacy (e.g., tigecy-cline) and the risk of emergent resistance (e.g., fosfomycin). The paucity of new antibacterial drugs in the near future should lead us to limit the use of these drugs to situations where no alternative exists. © 2013 Ferrata Storti Foundation.","author":[{"dropping-particle":"","family":"Averbuch","given":"Diana","non-dropping-particle":"","parse-names":false,"suffix":""},{"dropping-particle":"","family":"Cordonnier","given":"Catherine","non-dropping-particle":"","parse-names":false,"suffix":""},{"dropping-particle":"","family":"Livermore","given":"David M.","non-dropping-particle":"","parse-names":false,"suffix":""},{"dropping-particle":"","family":"Mikulska","given":"Małgorzata","non-dropping-particle":"","parse-names":false,"suffix":""},{"dropping-particle":"","family":"Orasch","given":"Christina","non-dropping-particle":"","parse-names":false,"suffix":""},{"dropping-particle":"","family":"Viscoli","given":"Claudio","non-dropping-particle":"","parse-names":false,"suffix":""},{"dropping-particle":"","family":"Gyssens","given":"Inge C.","non-dropping-particle":"","parse-names":false,"suffix":""},{"dropping-particle":"V.","family":"Kern","given":"Winfried","non-dropping-particle":"","parse-names":false,"suffix":""},{"dropping-particle":"","family":"Klyasova","given":"Galina","non-dropping-particle":"","parse-names":false,"suffix":""},{"dropping-particle":"","family":"Marchetti","given":"Oscar","non-dropping-particle":"","parse-names":false,"suffix":""},{"dropping-particle":"","family":"Engelhard","given":"Dan","non-dropping-particle":"","parse-names":false,"suffix":""},{"dropping-particle":"","family":"Akova","given":"Murat","non-dropping-particle":"","parse-names":false,"suffix":""}],"container-title":"Haematologica","id":"ITEM-1","issue":"12","issued":{"date-parts":[["2013","12","1"]]},"page":"1836-1847","publisher":"Ferrata Storti Foundation","title":"Targeted therapy against multi-resistant bacteria in leukemic and hematopoietic stem cell transplant recipients: Guidelines of the 4th European conference on Infections in Leukemia (ECIL-4, 2011)","type":"article-journal","volume":"98"},"uris":["http://www.mendeley.com/documents/?uuid=49d65b4a-286f-48de-9fa8-11535bbffaa2"]}],"mendeley":{"formattedCitation":"[161]","plainTextFormattedCitation":"[161]","previouslyFormattedCitation":"[161]"},"properties":{"noteIndex":0},"schema":"https://github.com/citation-style-language/schema/raw/master/csl-citation.json"}</w:instrText>
      </w:r>
      <w:r>
        <w:fldChar w:fldCharType="separate"/>
      </w:r>
      <w:r w:rsidR="007466F7" w:rsidRPr="007466F7">
        <w:rPr>
          <w:noProof/>
        </w:rPr>
        <w:t>[161]</w:t>
      </w:r>
      <w:r>
        <w:fldChar w:fldCharType="end"/>
      </w:r>
      <w:r w:rsidRPr="00761653">
        <w:t xml:space="preserve">. Характерным является стремительное развитие инфекции – в течение 2-3 часов изменяется клиническая картина: возникает нарушение сознания вплоть до комы, определяются ригидность затылочных мышц и положительный симптом Кернига. Препарат выбора для лечения </w:t>
      </w:r>
      <w:r w:rsidRPr="00761653">
        <w:rPr>
          <w:bCs/>
        </w:rPr>
        <w:t xml:space="preserve">инфекции, вызванной </w:t>
      </w:r>
      <w:r w:rsidRPr="00761653">
        <w:rPr>
          <w:bCs/>
          <w:i/>
          <w:iCs/>
        </w:rPr>
        <w:t>L. monocytogenes</w:t>
      </w:r>
      <w:r w:rsidRPr="00761653">
        <w:rPr>
          <w:b/>
          <w:bCs/>
        </w:rPr>
        <w:t xml:space="preserve">, </w:t>
      </w:r>
      <w:r w:rsidRPr="00761653">
        <w:t xml:space="preserve">ампициллин по 2 г внутривенно 6 раз в сутки, при менингоэнцефалите – в сочетание с гентамицином 5мг/кг/сутки, внутривенно. </w:t>
      </w:r>
      <w:r w:rsidRPr="00761653">
        <w:rPr>
          <w:bCs/>
        </w:rPr>
        <w:t xml:space="preserve">Больным с нейтропенией и инфекцией ЦНС дополнительно назначают меропенем по 2 г х 3 раза. Меропенем отменяют при восстановлении гранулоцитов и продолжают лечение сочетанием ампициллина с гентамицином. </w:t>
      </w:r>
      <w:r w:rsidRPr="00761653">
        <w:rPr>
          <w:iCs/>
        </w:rPr>
        <w:t xml:space="preserve">Альтернативный препарат - </w:t>
      </w:r>
      <w:r w:rsidRPr="00761653">
        <w:t>триметоприм/сульфаметоксазол (расчет дозы по триметоприму 15 мг/кг в сутки, дозу разделяют на 3 приема). Такая доза используется у больных с вовлечением и без вовлечения ЦНС в инфекционный процесс.</w:t>
      </w:r>
      <w:r w:rsidRPr="00761653">
        <w:rPr>
          <w:bCs/>
        </w:rPr>
        <w:t xml:space="preserve"> Длительность лечения инфекции без вовлечения ЦНС составляет 14 дней, менингита - </w:t>
      </w:r>
      <w:r w:rsidRPr="00761653">
        <w:t>21 день, энцефалита или абсцессов в головном мозге - от 6 недель и более, эндокардита - 4-6 недель.</w:t>
      </w:r>
      <w:r w:rsidRPr="00761653">
        <w:rPr>
          <w:bCs/>
        </w:rPr>
        <w:t xml:space="preserve"> </w:t>
      </w:r>
      <w:r w:rsidRPr="00761653">
        <w:t>При инфекции ЦНС отмену антибиотиков выполняют только при полной регрессии изменений в головном мозге.</w:t>
      </w:r>
    </w:p>
    <w:p w14:paraId="53A5F8FA" w14:textId="77777777" w:rsidR="004957E5" w:rsidRPr="00284D51" w:rsidRDefault="004957E5" w:rsidP="0007729C">
      <w:pPr>
        <w:widowControl w:val="0"/>
        <w:autoSpaceDE w:val="0"/>
        <w:autoSpaceDN w:val="0"/>
        <w:adjustRightInd w:val="0"/>
        <w:ind w:right="49" w:firstLine="709"/>
        <w:contextualSpacing/>
        <w:rPr>
          <w:bCs/>
          <w:i/>
        </w:rPr>
      </w:pPr>
      <w:r w:rsidRPr="00284D51">
        <w:rPr>
          <w:bCs/>
          <w:i/>
        </w:rPr>
        <w:t xml:space="preserve">Legionella pneumophila </w:t>
      </w:r>
    </w:p>
    <w:p w14:paraId="214D630B" w14:textId="77777777" w:rsidR="004957E5" w:rsidRPr="00761653" w:rsidRDefault="004957E5" w:rsidP="0007729C">
      <w:pPr>
        <w:ind w:firstLine="709"/>
      </w:pPr>
      <w:r w:rsidRPr="00761653">
        <w:rPr>
          <w:i/>
        </w:rPr>
        <w:t>Legionella</w:t>
      </w:r>
      <w:r w:rsidRPr="000D7B76">
        <w:rPr>
          <w:i/>
        </w:rPr>
        <w:t xml:space="preserve"> </w:t>
      </w:r>
      <w:r w:rsidRPr="00761653">
        <w:rPr>
          <w:i/>
        </w:rPr>
        <w:t>pneumophila</w:t>
      </w:r>
      <w:r w:rsidRPr="000D7B76">
        <w:rPr>
          <w:i/>
        </w:rPr>
        <w:t xml:space="preserve"> (</w:t>
      </w:r>
      <w:r w:rsidRPr="00761653">
        <w:rPr>
          <w:i/>
        </w:rPr>
        <w:t>L</w:t>
      </w:r>
      <w:r w:rsidRPr="000D7B76">
        <w:rPr>
          <w:i/>
        </w:rPr>
        <w:t xml:space="preserve">. </w:t>
      </w:r>
      <w:r w:rsidRPr="00761653">
        <w:rPr>
          <w:i/>
        </w:rPr>
        <w:t>pneumophila</w:t>
      </w:r>
      <w:r w:rsidRPr="000D7B76">
        <w:rPr>
          <w:i/>
        </w:rPr>
        <w:t>)</w:t>
      </w:r>
      <w:r w:rsidRPr="000D7B76">
        <w:t xml:space="preserve"> </w:t>
      </w:r>
      <w:r>
        <w:rPr>
          <w:i/>
        </w:rPr>
        <w:t>я</w:t>
      </w:r>
      <w:r w:rsidRPr="00761653">
        <w:t>вля</w:t>
      </w:r>
      <w:r>
        <w:t>ю</w:t>
      </w:r>
      <w:r w:rsidRPr="00761653">
        <w:t>тся</w:t>
      </w:r>
      <w:r w:rsidRPr="000D7B76">
        <w:t xml:space="preserve"> </w:t>
      </w:r>
      <w:r w:rsidRPr="00761653">
        <w:t>грамотрицательным</w:t>
      </w:r>
      <w:r w:rsidRPr="000D7B76">
        <w:t xml:space="preserve"> </w:t>
      </w:r>
      <w:r w:rsidRPr="00761653">
        <w:t>бактериями</w:t>
      </w:r>
      <w:r w:rsidRPr="000D7B76">
        <w:t xml:space="preserve">, </w:t>
      </w:r>
      <w:r>
        <w:t>в</w:t>
      </w:r>
      <w:r w:rsidRPr="00761653">
        <w:t>ызывают</w:t>
      </w:r>
      <w:r w:rsidRPr="000D7B76">
        <w:t xml:space="preserve"> </w:t>
      </w:r>
      <w:r w:rsidRPr="00761653">
        <w:t>пневмонии</w:t>
      </w:r>
      <w:r w:rsidRPr="000D7B76">
        <w:t xml:space="preserve">. </w:t>
      </w:r>
      <w:r w:rsidRPr="00761653">
        <w:t>Препараты выбора для лечения</w:t>
      </w:r>
      <w:r>
        <w:t xml:space="preserve"> </w:t>
      </w:r>
      <w:r w:rsidRPr="00761653">
        <w:rPr>
          <w:i/>
        </w:rPr>
        <w:t>L</w:t>
      </w:r>
      <w:r w:rsidRPr="00D27DBA">
        <w:rPr>
          <w:i/>
        </w:rPr>
        <w:t xml:space="preserve">. </w:t>
      </w:r>
      <w:r w:rsidRPr="00761653">
        <w:rPr>
          <w:i/>
        </w:rPr>
        <w:t>pneumophila</w:t>
      </w:r>
      <w:r w:rsidRPr="00D27DBA">
        <w:t xml:space="preserve"> – </w:t>
      </w:r>
      <w:r w:rsidRPr="00761653">
        <w:t xml:space="preserve"> - моксифлоксацин (400 мг 1 раз в сутки) или левофлоксацин (500 мг - 750 мг 1 раз в сутки) или азитромицин (500 мг 1 раз в сутки), альтернативный препарат - ципрофлоксацин (400 мг внутривенно 3 раза в сутки или 750 мг внутрь 2 раза в сутки), при тяжелом течении - сочетание фторхинолона с тигециклином (1-е введение 100 мг, далее по 50 мг каждые 12 часов). Длительность лечения составляет от 8 до 21 дня, при тяжелом течении и у реципиентов аллогенных ТГСК – более продолжительный период.</w:t>
      </w:r>
    </w:p>
    <w:p w14:paraId="30DD56C4" w14:textId="77777777" w:rsidR="004957E5" w:rsidRPr="00284D51" w:rsidRDefault="004957E5" w:rsidP="0007729C">
      <w:pPr>
        <w:widowControl w:val="0"/>
        <w:autoSpaceDE w:val="0"/>
        <w:autoSpaceDN w:val="0"/>
        <w:adjustRightInd w:val="0"/>
        <w:ind w:right="49" w:firstLine="709"/>
        <w:contextualSpacing/>
        <w:rPr>
          <w:i/>
          <w:iCs/>
        </w:rPr>
      </w:pPr>
      <w:r w:rsidRPr="00284D51">
        <w:rPr>
          <w:i/>
          <w:iCs/>
        </w:rPr>
        <w:t xml:space="preserve">Clostridioides difficile </w:t>
      </w:r>
    </w:p>
    <w:p w14:paraId="365678C4" w14:textId="54D7B546" w:rsidR="004957E5" w:rsidRPr="00761653" w:rsidRDefault="004957E5" w:rsidP="0007729C">
      <w:pPr>
        <w:widowControl w:val="0"/>
        <w:autoSpaceDE w:val="0"/>
        <w:autoSpaceDN w:val="0"/>
        <w:adjustRightInd w:val="0"/>
        <w:ind w:right="49" w:firstLine="709"/>
        <w:contextualSpacing/>
        <w:rPr>
          <w:strike/>
        </w:rPr>
      </w:pPr>
      <w:r w:rsidRPr="00761653">
        <w:t xml:space="preserve">Факторами патогенности </w:t>
      </w:r>
      <w:r w:rsidRPr="00D27DBA">
        <w:rPr>
          <w:bCs/>
          <w:i/>
          <w:iCs/>
        </w:rPr>
        <w:t>Clostridioides difficile</w:t>
      </w:r>
      <w:r>
        <w:rPr>
          <w:bCs/>
          <w:i/>
          <w:iCs/>
        </w:rPr>
        <w:t xml:space="preserve"> (</w:t>
      </w:r>
      <w:r w:rsidRPr="00761653">
        <w:rPr>
          <w:i/>
          <w:iCs/>
        </w:rPr>
        <w:t xml:space="preserve">C. </w:t>
      </w:r>
      <w:r>
        <w:rPr>
          <w:i/>
          <w:iCs/>
        </w:rPr>
        <w:t>d</w:t>
      </w:r>
      <w:r w:rsidRPr="00761653">
        <w:rPr>
          <w:i/>
          <w:iCs/>
        </w:rPr>
        <w:t>ifficile</w:t>
      </w:r>
      <w:r>
        <w:rPr>
          <w:i/>
          <w:iCs/>
        </w:rPr>
        <w:t>)</w:t>
      </w:r>
      <w:r w:rsidRPr="00761653">
        <w:t xml:space="preserve"> являются токсины A и В</w:t>
      </w:r>
      <w:r w:rsidRPr="00F674EC">
        <w:t xml:space="preserve"> </w:t>
      </w:r>
      <w:r>
        <w:fldChar w:fldCharType="begin" w:fldLock="1"/>
      </w:r>
      <w:r w:rsidR="00D25525">
        <w:instrText>ADDIN CSL_CITATION {"citationItems":[{"id":"ITEM-1","itemData":{"DOI":"10.1111/1469-0691.12418","ISSN":"14690691","PMID":"24118601","abstract":"In 2009 the first European Society of Clinical Microbiology and Infection (ESCMID) treatment guidance document for Clostridium difficile infection (CDI) was published. The guideline has been applied widely in clinical practice. In this document an update and review on the comparative effectiveness of the currently available treatment modalities of CDI is given, thereby providing evidence-based recommendations on this issue. A computerized literature search was carried out to investigate randomized and non-randomized trials investigating the effect of an intervention on the clinical outcome of CDI. The Grades of Recommendation Assessment, Development and Evaluation (GRADE) system was used to grade the strength of our recommendations and the quality of the evidence. The ESCMID and an international team of experts from 11 European countries supported the process. To improve clinical guidance in the treatment of CDI, recommendations are specified for various patient groups, e.g. initial non-severe disease, severe CDI, first recurrence or risk for recurrent disease, multiple recurrences and treatment of CDI when oral administration is not possible. Treatment options that are reviewed include: antibiotics, toxin-binding resins and polymers, immunotherapy, probiotics, and faecal or bacterial intestinal transplantation. Except for very mild CDI that is clearly induced by antibiotic usage antibiotic treatment is advised. The main antibiotics that are recommended are metronidazole, vancomycin and fidaxomicin. Faecal transplantation is strongly recommended for multiple recurrent CDI. In case of perforation of the colon and/or systemic inflammation and deteriorating clinical condition despite antibiotic therapy, total abdominal colectomy or diverting loop ileostomy combined with colonic lavage is recommended. © 2013 The Authors Clinical Microbiology and Infection © 2013 European Society of Clinical Microbiology and Infectious Diseases.","author":[{"dropping-particle":"","family":"Debast","given":"S. B.","non-dropping-particle":"","parse-names":false,"suffix":""},{"dropping-particle":"","family":"Bauer","given":"M. P.","non-dropping-particle":"","parse-names":false,"suffix":""},{"dropping-particle":"","family":"Kuijper","given":"E. J.","non-dropping-particle":"","parse-names":false,"suffix":""},{"dropping-particle":"","family":"Allerberger","given":"F.","non-dropping-particle":"","parse-names":false,"suffix":""},{"dropping-particle":"","family":"Bouza","given":"E.","non-dropping-particle":"","parse-names":false,"suffix":""},{"dropping-particle":"","family":"Coia","given":"J. E.","non-dropping-particle":"","parse-names":false,"suffix":""},{"dropping-particle":"","family":"Cornely","given":"O. A.","non-dropping-particle":"","parse-names":false,"suffix":""},{"dropping-particle":"","family":"Fitzpatrick","given":"F.","non-dropping-particle":"","parse-names":false,"suffix":""},{"dropping-particle":"","family":"Guery","given":"B.","non-dropping-particle":"","parse-names":false,"suffix":""},{"dropping-particle":"","family":"Wilcox","given":"M.","non-dropping-particle":"","parse-names":false,"suffix":""},{"dropping-particle":"","family":"Nathwani","given":"D.","non-dropping-particle":"","parse-names":false,"suffix":""},{"dropping-particle":"","family":"Norén","given":"T.","non-dropping-particle":"","parse-names":false,"suffix":""},{"dropping-particle":"","family":"Olesen","given":"B.","non-dropping-particle":"","parse-names":false,"suffix":""},{"dropping-particle":"","family":"Rakoczi","given":"E.","non-dropping-particle":"","parse-names":false,"suffix":""},{"dropping-particle":"","family":"Welte","given":"T.","non-dropping-particle":"","parse-names":false,"suffix":""},{"dropping-particle":"","family":"Widmer","given":"A. F.","non-dropping-particle":"","parse-names":false,"suffix":""}],"container-title":"Clinical Microbiology and Infection","id":"ITEM-1","issue":"S2","issued":{"date-parts":[["2014"]]},"page":"1-26","publisher":"Blackwell Publishing Ltd","title":"European society of clinical microbiology and infectious diseases: Update of the treatment guidance document for Clostridium difficile infection","type":"article-journal","volume":"20"},"uris":["http://www.mendeley.com/documents/?uuid=e95ffe26-9199-3b8c-aa7a-4bac71d0214d"]}],"mendeley":{"formattedCitation":"[162]","plainTextFormattedCitation":"[162]","previouslyFormattedCitation":"[162]"},"properties":{"noteIndex":0},"schema":"https://github.com/citation-style-language/schema/raw/master/csl-citation.json"}</w:instrText>
      </w:r>
      <w:r>
        <w:fldChar w:fldCharType="separate"/>
      </w:r>
      <w:r w:rsidR="007466F7" w:rsidRPr="007466F7">
        <w:rPr>
          <w:noProof/>
        </w:rPr>
        <w:t>[162]</w:t>
      </w:r>
      <w:r>
        <w:fldChar w:fldCharType="end"/>
      </w:r>
      <w:r w:rsidRPr="00761653">
        <w:t>. Токсин А —</w:t>
      </w:r>
      <w:r>
        <w:t xml:space="preserve"> </w:t>
      </w:r>
      <w:r w:rsidRPr="00761653">
        <w:t xml:space="preserve">энтеротоксин, нарушает барьерную функцию слизистой оболочки кишечника. Токсин В — цитотоксин, оказывает цитопатический эффект, сильнее токсина А в 1000 раз, наличие его является обязательным для развития инфекции. Около 10% штаммов </w:t>
      </w:r>
      <w:r w:rsidRPr="00761653">
        <w:rPr>
          <w:i/>
          <w:iCs/>
        </w:rPr>
        <w:t>C. difficile</w:t>
      </w:r>
      <w:r w:rsidRPr="00761653">
        <w:t xml:space="preserve"> продуцируют бинарный токсин. Штаммы </w:t>
      </w:r>
      <w:r w:rsidRPr="00761653">
        <w:rPr>
          <w:i/>
          <w:iCs/>
        </w:rPr>
        <w:t>C. difficile</w:t>
      </w:r>
      <w:r w:rsidRPr="00761653">
        <w:t xml:space="preserve">, не </w:t>
      </w:r>
      <w:r w:rsidRPr="00761653">
        <w:lastRenderedPageBreak/>
        <w:t xml:space="preserve">продуцирующие токсины, не являются патогенными. Клиническими проявления инфекции, вызванной </w:t>
      </w:r>
      <w:r w:rsidRPr="00761653">
        <w:rPr>
          <w:i/>
          <w:iCs/>
        </w:rPr>
        <w:t>C. difficile</w:t>
      </w:r>
      <w:r w:rsidRPr="00761653">
        <w:rPr>
          <w:iCs/>
        </w:rPr>
        <w:t>,</w:t>
      </w:r>
      <w:r w:rsidRPr="00761653">
        <w:t xml:space="preserve"> являются диарея, ассоциированная с </w:t>
      </w:r>
      <w:r w:rsidRPr="00761653">
        <w:rPr>
          <w:i/>
          <w:iCs/>
        </w:rPr>
        <w:t>C. difficile</w:t>
      </w:r>
      <w:r w:rsidRPr="00761653">
        <w:t xml:space="preserve"> (наличие диареи + положительный токсин </w:t>
      </w:r>
      <w:r w:rsidRPr="00761653">
        <w:rPr>
          <w:i/>
          <w:iCs/>
        </w:rPr>
        <w:t>C.difficile</w:t>
      </w:r>
      <w:r w:rsidRPr="00761653">
        <w:t xml:space="preserve"> в кале), псевдомембранозный колит (эндоскопическая диагностика). Лечение диареи, обусловленной </w:t>
      </w:r>
      <w:r w:rsidRPr="00761653">
        <w:rPr>
          <w:i/>
          <w:iCs/>
        </w:rPr>
        <w:t>C. difficile</w:t>
      </w:r>
      <w:r w:rsidRPr="00761653">
        <w:t xml:space="preserve"> включает, помимо назначения антибиотиков, отмену, по-возможности, или/и сокращение числа используемых антибиотиков широкого спектра действия, ингибиторов протонной помпы</w:t>
      </w:r>
      <w:r w:rsidRPr="00F674EC">
        <w:t xml:space="preserve"> </w:t>
      </w:r>
      <w:r>
        <w:fldChar w:fldCharType="begin" w:fldLock="1"/>
      </w:r>
      <w:r w:rsidR="00D25525">
        <w:instrText>ADDIN CSL_CITATION {"citationItems":[{"id":"ITEM-1","itemData":{"DOI":"10.1016/S1473-3099(19)30403-7","ISSN":"14744457","PMID":"31563344","abstract":"Background: Nosocomial pneumonia due to antimicrobial-resistant pathogens is associated with high mortality. We assessed the efficacy and safety of the combination antibacterial drug ceftolozane–tazobactam versus meropenem for treatment of Gram-negative nosocomial pneumonia. Methods: We conducted a randomised, controlled, double-blind, non-inferiority trial at 263 hospitals in 34 countries. Eligible patients were aged 18 years or older, were undergoing mechanical ventilation, and had nosocomial pneumonia (either ventilator-associated pneumonia or ventilated hospital-acquired pneumonia). Patients were randomly assigned (1:1) with block randomisation (block size four), stratified by type of nosocomial pneumonia and age (&lt;65 years vs ≥65 years), to receive either 3 g ceftolozane–tazobactam or 1 g meropenem intravenously every 8 h for 8–14 days. The primary endpoint was 28-day all-cause mortality (at a 10% non-inferiority margin). The key secondary endpoint was clinical response at the test-of-cure visit (7–14 days after the end of therapy; 12·5% non-inferiority margin). Both endpoints were assessed in the intention-to-treat population. Investigators, study staff, patients, and patients' representatives were masked to treatment assignment. Safety was assessed in all randomly assigned patients who received study treatment. This trial was registered with ClinicalTrials.gov, NCT02070757. Findings: Between Jan 16, 2015, and April 27, 2018, 726 patients were enrolled and randomly assigned, 362 to the ceftolozane–tazobactam group and 364 to the meropenem group. Overall, 519 (71%) patients had ventilator-associated pneumonia, 239 (33%) had Acute Physiology and Chronic Health Evaluation II scores of at least 20, and 668 (92%) were in the intensive care unit. At 28 days, 87 (24·0%) patients in the ceftolozane–tazobactam group and 92 (25·3%) in the meropenem group had died (weighted treatment difference 1·1% [95% CI −5·1 to 7·4]). At the test-of-cure visit 197 (54%) patients in the ceftolozane–tazobactam group and 194 (53%) in the meropenem group were clinically cured (weighted treatment difference 1·1% [95% CI −6·2 to 8·3]). Ceftolozane–tazobactam was thus non-inferior to meropenem in terms of both 28-day all-cause mortality and clinical cure at test of cure. Treatment-related adverse events occurred in 38 (11%) of 361 patients in the ceftolozane–tazobactam group and 27 (8%) of 359 in the meropenem group. Eight (2%) patients in the ceftolozane–tazobactam group and t…","author":[{"dropping-particle":"","family":"Kollef","given":"Marin H.","non-dropping-particle":"","parse-names":false,"suffix":""},{"dropping-particle":"","family":"Nováček","given":"Martin","non-dropping-particle":"","parse-names":false,"suffix":""},{"dropping-particle":"","family":"Kivistik","given":"Ülo","non-dropping-particle":"","parse-names":false,"suffix":""},{"dropping-particle":"","family":"Réa-Neto","given":"Álvaro","non-dropping-particle":"","parse-names":false,"suffix":""},{"dropping-particle":"","family":"Shime","given":"Nobuaki","non-dropping-particle":"","parse-names":false,"suffix":""},{"dropping-particle":"","family":"Martin-Loeches","given":"Ignacio","non-dropping-particle":"","parse-names":false,"suffix":""},{"dropping-particle":"","family":"Timsit","given":"Jean François","non-dropping-particle":"","parse-names":false,"suffix":""},{"dropping-particle":"","family":"Wunderink","given":"Richard G.","non-dropping-particle":"","parse-names":false,"suffix":""},{"dropping-particle":"","family":"Bruno","given":"Christopher J.","non-dropping-particle":"","parse-names":false,"suffix":""},{"dropping-particle":"","family":"Huntington","given":"Jennifer A.","non-dropping-particle":"","parse-names":false,"suffix":""},{"dropping-particle":"","family":"Lin","given":"Gina","non-dropping-particle":"","parse-names":false,"suffix":""},{"dropping-particle":"","family":"Yu","given":"Brian","non-dropping-particle":"","parse-names":false,"suffix":""},{"dropping-particle":"","family":"Butterton","given":"Joan R.","non-dropping-particle":"","parse-names":false,"suffix":""},{"dropping-particle":"","family":"Rhee","given":"Elizabeth G.","non-dropping-particle":"","parse-names":false,"suffix":""}],"container-title":"The Lancet Infectious Diseases","id":"ITEM-1","issue":"12","issued":{"date-parts":[["2019","12","1"]]},"page":"1299-1311","publisher":"Lancet Publishing Group","title":"Ceftolozane–tazobactam versus meropenem for treatment of nosocomial pneumonia (ASPECT-NP): a randomised, controlled, double-blind, phase 3, non-inferiority trial","type":"article-journal","volume":"19"},"uris":["http://www.mendeley.com/documents/?uuid=779e70f2-916f-3769-b6db-f94034eaa2bf"]}],"mendeley":{"formattedCitation":"[160]","plainTextFormattedCitation":"[160]","previouslyFormattedCitation":"[160]"},"properties":{"noteIndex":0},"schema":"https://github.com/citation-style-language/schema/raw/master/csl-citation.json"}</w:instrText>
      </w:r>
      <w:r>
        <w:fldChar w:fldCharType="separate"/>
      </w:r>
      <w:r w:rsidR="007466F7" w:rsidRPr="007466F7">
        <w:rPr>
          <w:noProof/>
        </w:rPr>
        <w:t>[160]</w:t>
      </w:r>
      <w:r>
        <w:fldChar w:fldCharType="end"/>
      </w:r>
      <w:r w:rsidRPr="00761653">
        <w:t xml:space="preserve">. </w:t>
      </w:r>
      <w:r w:rsidRPr="00761653">
        <w:rPr>
          <w:bCs/>
        </w:rPr>
        <w:t>При нетяжелом течении инфекции</w:t>
      </w:r>
      <w:r w:rsidRPr="00761653">
        <w:t xml:space="preserve"> (диарея, температура, боль в животе) - метронидазол по 500 мг 3 раза в сутки перорально или внутривенно, </w:t>
      </w:r>
      <w:r w:rsidRPr="00761653">
        <w:rPr>
          <w:bCs/>
        </w:rPr>
        <w:t>при тяжелом течении</w:t>
      </w:r>
      <w:r w:rsidRPr="00761653">
        <w:t xml:space="preserve"> (повышение уровня креатинина на 50% и более от исходного значения, снижение уровня альбумина) </w:t>
      </w:r>
      <w:r>
        <w:t>–</w:t>
      </w:r>
      <w:r w:rsidRPr="00761653">
        <w:t xml:space="preserve"> в</w:t>
      </w:r>
      <w:r>
        <w:t>а</w:t>
      </w:r>
      <w:r w:rsidRPr="00761653">
        <w:t xml:space="preserve">нкомицин по 125 мг 4 раза в день перорально или введение в зонд, оро – или назогастральный, при рефрактерном течении - используют сочетание метронидазола с ванкомицином (метронидазол по 500 мг 3 раза в сутки внутривенно, ванкомицин по 500 мг 4 раза в день через оро- или назогастральный зонд). </w:t>
      </w:r>
      <w:r w:rsidRPr="00761653">
        <w:rPr>
          <w:bCs/>
        </w:rPr>
        <w:t>Длительность лечения</w:t>
      </w:r>
      <w:r w:rsidRPr="00761653">
        <w:t xml:space="preserve"> составляет 10-14 дней.</w:t>
      </w:r>
    </w:p>
    <w:p w14:paraId="2E63CFB2" w14:textId="77777777" w:rsidR="004957E5" w:rsidRDefault="004957E5" w:rsidP="004957E5">
      <w:pPr>
        <w:widowControl w:val="0"/>
        <w:tabs>
          <w:tab w:val="left" w:pos="317"/>
          <w:tab w:val="left" w:pos="8715"/>
        </w:tabs>
        <w:autoSpaceDE w:val="0"/>
        <w:autoSpaceDN w:val="0"/>
        <w:adjustRightInd w:val="0"/>
        <w:ind w:right="49"/>
        <w:contextualSpacing/>
        <w:rPr>
          <w:b/>
          <w:iCs/>
        </w:rPr>
      </w:pPr>
    </w:p>
    <w:p w14:paraId="4623A6FF" w14:textId="77777777" w:rsidR="004957E5" w:rsidRPr="00284D51" w:rsidRDefault="004957E5" w:rsidP="004957E5">
      <w:pPr>
        <w:widowControl w:val="0"/>
        <w:autoSpaceDE w:val="0"/>
        <w:autoSpaceDN w:val="0"/>
        <w:adjustRightInd w:val="0"/>
        <w:ind w:right="49"/>
        <w:contextualSpacing/>
        <w:rPr>
          <w:bCs/>
          <w:i/>
          <w:iCs/>
          <w:u w:val="single"/>
        </w:rPr>
      </w:pPr>
      <w:r w:rsidRPr="00284D51">
        <w:rPr>
          <w:bCs/>
          <w:i/>
          <w:iCs/>
          <w:u w:val="single"/>
        </w:rPr>
        <w:t>Назначение антибиотиков в зависимости от локализации инфекции</w:t>
      </w:r>
    </w:p>
    <w:p w14:paraId="60CA5B7A" w14:textId="77777777" w:rsidR="004957E5" w:rsidRPr="00284D51" w:rsidRDefault="004957E5" w:rsidP="0007729C">
      <w:pPr>
        <w:widowControl w:val="0"/>
        <w:autoSpaceDE w:val="0"/>
        <w:autoSpaceDN w:val="0"/>
        <w:adjustRightInd w:val="0"/>
        <w:ind w:right="49" w:firstLine="709"/>
        <w:contextualSpacing/>
        <w:rPr>
          <w:bCs/>
          <w:i/>
          <w:iCs/>
        </w:rPr>
      </w:pPr>
      <w:r w:rsidRPr="00284D51">
        <w:rPr>
          <w:bCs/>
          <w:i/>
          <w:iCs/>
        </w:rPr>
        <w:t>Мукозит. Гингивит</w:t>
      </w:r>
    </w:p>
    <w:p w14:paraId="4E24452A" w14:textId="77777777" w:rsidR="004957E5" w:rsidRPr="00761653" w:rsidRDefault="004957E5" w:rsidP="0007729C">
      <w:pPr>
        <w:widowControl w:val="0"/>
        <w:autoSpaceDE w:val="0"/>
        <w:autoSpaceDN w:val="0"/>
        <w:adjustRightInd w:val="0"/>
        <w:ind w:right="49" w:firstLine="709"/>
        <w:contextualSpacing/>
      </w:pPr>
      <w:r w:rsidRPr="00761653">
        <w:t xml:space="preserve">Чаще обусловлен грибами рода </w:t>
      </w:r>
      <w:r w:rsidRPr="00761653">
        <w:rPr>
          <w:i/>
        </w:rPr>
        <w:t>Candida</w:t>
      </w:r>
      <w:r w:rsidRPr="00761653">
        <w:t xml:space="preserve"> и герпес-вирусами, реже грамотрицательными бактериями (</w:t>
      </w:r>
      <w:r w:rsidRPr="00761653">
        <w:rPr>
          <w:i/>
        </w:rPr>
        <w:t>P. aeruginosa</w:t>
      </w:r>
      <w:r w:rsidRPr="00761653">
        <w:t xml:space="preserve">, </w:t>
      </w:r>
      <w:r w:rsidRPr="00761653">
        <w:rPr>
          <w:i/>
        </w:rPr>
        <w:t>S. malthopilia</w:t>
      </w:r>
      <w:r w:rsidRPr="00761653">
        <w:t>, бактериями порядка Enterobacterales). Лечение согласно выделенным микроорганизмам. При мукозите III-IV степени - ванкомицин, или даптомицин, или линезолид ввиду высокой вероятности развития сепсиса, обусловленного стрептококками</w:t>
      </w:r>
      <w:r w:rsidRPr="00761653">
        <w:rPr>
          <w:b/>
          <w:bCs/>
        </w:rPr>
        <w:t xml:space="preserve"> </w:t>
      </w:r>
      <w:r w:rsidRPr="00761653">
        <w:t xml:space="preserve">группы </w:t>
      </w:r>
      <w:r w:rsidRPr="00761653">
        <w:rPr>
          <w:i/>
          <w:iCs/>
        </w:rPr>
        <w:t>viridans</w:t>
      </w:r>
      <w:r w:rsidRPr="00761653">
        <w:t xml:space="preserve">. </w:t>
      </w:r>
    </w:p>
    <w:p w14:paraId="607E4109" w14:textId="77777777" w:rsidR="004957E5" w:rsidRPr="00284D51" w:rsidRDefault="004957E5" w:rsidP="0007729C">
      <w:pPr>
        <w:widowControl w:val="0"/>
        <w:autoSpaceDE w:val="0"/>
        <w:autoSpaceDN w:val="0"/>
        <w:adjustRightInd w:val="0"/>
        <w:ind w:right="49" w:firstLine="709"/>
        <w:contextualSpacing/>
        <w:rPr>
          <w:bCs/>
          <w:i/>
          <w:iCs/>
        </w:rPr>
      </w:pPr>
      <w:r w:rsidRPr="00284D51">
        <w:rPr>
          <w:bCs/>
          <w:i/>
          <w:iCs/>
        </w:rPr>
        <w:t>Пневмония</w:t>
      </w:r>
    </w:p>
    <w:p w14:paraId="6691DBDF" w14:textId="77777777" w:rsidR="004957E5" w:rsidRPr="00761653" w:rsidRDefault="004957E5" w:rsidP="0007729C">
      <w:pPr>
        <w:widowControl w:val="0"/>
        <w:autoSpaceDE w:val="0"/>
        <w:autoSpaceDN w:val="0"/>
        <w:adjustRightInd w:val="0"/>
        <w:ind w:right="49" w:firstLine="709"/>
        <w:contextualSpacing/>
      </w:pPr>
      <w:r w:rsidRPr="00761653">
        <w:t xml:space="preserve">При стабильной ситуации выполняют БАЛ и дальнейшую модификацию антимикробной терапии осуществляют по результатам микробиологического исследования. При нестабильном соматическом состоянии или невозможности выполнения БАЛ назначают карбапенем (меропенем или имипенем/циластатин или дорипенем) и отменяют антибиотики первого этапа у больных с фебрильной нейтропенией. Вориконазол добавляют к лечению при пневмонии, резистентной к лечению антибиотиками, больным с нейтропенией от 10 дней и более или при лечении глюкокортикоидами, при условии, что не выявлены другие потенциальные возбудители пневмонии. Вориконазол назначают внутривенно, в 1-й день по 6 мг/кг 2 раза в сутки, в последующие дни по 4 мг/кг 2 раза в сутки, с переходом в дальнейшем на пероральную форму по 200 мг 2 раза в сутки, прием таблеток натощак или через 1 час после еды. </w:t>
      </w:r>
    </w:p>
    <w:p w14:paraId="04ACDF8B" w14:textId="77777777" w:rsidR="004957E5" w:rsidRPr="00284D51" w:rsidRDefault="004957E5" w:rsidP="0007729C">
      <w:pPr>
        <w:widowControl w:val="0"/>
        <w:autoSpaceDE w:val="0"/>
        <w:autoSpaceDN w:val="0"/>
        <w:adjustRightInd w:val="0"/>
        <w:ind w:right="49" w:firstLine="709"/>
        <w:contextualSpacing/>
        <w:rPr>
          <w:bCs/>
          <w:i/>
        </w:rPr>
      </w:pPr>
      <w:r w:rsidRPr="00284D51">
        <w:rPr>
          <w:bCs/>
          <w:i/>
        </w:rPr>
        <w:t>Инфекция перианальной области (парапроктит, обострение геморроя и другие)</w:t>
      </w:r>
    </w:p>
    <w:p w14:paraId="77088FB0" w14:textId="77777777" w:rsidR="004957E5" w:rsidRPr="00761653" w:rsidRDefault="004957E5" w:rsidP="0007729C">
      <w:pPr>
        <w:widowControl w:val="0"/>
        <w:autoSpaceDE w:val="0"/>
        <w:autoSpaceDN w:val="0"/>
        <w:adjustRightInd w:val="0"/>
        <w:ind w:right="49" w:firstLine="709"/>
        <w:contextualSpacing/>
      </w:pPr>
      <w:r>
        <w:lastRenderedPageBreak/>
        <w:t xml:space="preserve">Диагностику и тактику лечения перианальной области – см. ниже в настоящей главе. </w:t>
      </w:r>
      <w:r w:rsidRPr="00761653">
        <w:t xml:space="preserve">Схемы антимикробной терапии включаяют препараты с активностью против грамотрицательных и анаэробных бактерий (цефоперазон/сульбактам + амикацин, или цефепим + амикацин + метронидазол или антипсевдомонадный карбапенем). При неэффективности добавляют антибиотики, активные против грамположительных бактерий (ванкомицин или телаванцин или линезолид или тедизолид или даптомицин), при выделении </w:t>
      </w:r>
      <w:r w:rsidRPr="00761653">
        <w:rPr>
          <w:i/>
        </w:rPr>
        <w:t>Candida</w:t>
      </w:r>
      <w:r w:rsidRPr="00761653">
        <w:t xml:space="preserve"> spp. из ректального мазка – флуконазол (400 мг в/в 1 раз в сутки). </w:t>
      </w:r>
    </w:p>
    <w:p w14:paraId="1E7D5BFC" w14:textId="77777777" w:rsidR="004957E5" w:rsidRDefault="004957E5" w:rsidP="004957E5">
      <w:pPr>
        <w:widowControl w:val="0"/>
        <w:autoSpaceDE w:val="0"/>
        <w:autoSpaceDN w:val="0"/>
        <w:adjustRightInd w:val="0"/>
        <w:ind w:right="49"/>
        <w:contextualSpacing/>
        <w:rPr>
          <w:b/>
          <w:bCs/>
        </w:rPr>
      </w:pPr>
    </w:p>
    <w:p w14:paraId="4A3E8E90" w14:textId="77777777" w:rsidR="004957E5" w:rsidRPr="00284D51" w:rsidRDefault="004957E5" w:rsidP="004957E5">
      <w:pPr>
        <w:widowControl w:val="0"/>
        <w:autoSpaceDE w:val="0"/>
        <w:autoSpaceDN w:val="0"/>
        <w:adjustRightInd w:val="0"/>
        <w:ind w:right="49"/>
        <w:contextualSpacing/>
        <w:rPr>
          <w:bCs/>
          <w:i/>
          <w:iCs/>
          <w:u w:val="single"/>
        </w:rPr>
      </w:pPr>
      <w:r w:rsidRPr="00284D51">
        <w:rPr>
          <w:bCs/>
          <w:i/>
          <w:iCs/>
          <w:u w:val="single"/>
        </w:rPr>
        <w:t>Критерии прекращения противомикробной терапии</w:t>
      </w:r>
    </w:p>
    <w:p w14:paraId="5CF0171B" w14:textId="77777777" w:rsidR="004957E5" w:rsidRPr="00761653" w:rsidRDefault="004957E5" w:rsidP="0007729C">
      <w:pPr>
        <w:widowControl w:val="0"/>
        <w:autoSpaceDE w:val="0"/>
        <w:autoSpaceDN w:val="0"/>
        <w:adjustRightInd w:val="0"/>
        <w:ind w:right="49" w:firstLine="709"/>
        <w:contextualSpacing/>
      </w:pPr>
      <w:r w:rsidRPr="00284D51">
        <w:rPr>
          <w:i/>
          <w:iCs/>
        </w:rPr>
        <w:t>При лихорадке неясной этиологии</w:t>
      </w:r>
      <w:r w:rsidRPr="00284D51">
        <w:rPr>
          <w:b/>
          <w:bCs/>
        </w:rPr>
        <w:t xml:space="preserve"> </w:t>
      </w:r>
      <w:r w:rsidRPr="00284D51">
        <w:t>в период нейтропении/лейкопении антибиотики</w:t>
      </w:r>
      <w:r w:rsidRPr="00761653">
        <w:t xml:space="preserve"> отменяют через 72 часа, если у </w:t>
      </w:r>
      <w:r>
        <w:t>пациента</w:t>
      </w:r>
      <w:r w:rsidRPr="00761653">
        <w:t xml:space="preserve"> не было эпизода нестабильной гемодинамики в данный эпизод инфекции и нормальная температура отмечается в течение 48 ч. </w:t>
      </w:r>
    </w:p>
    <w:p w14:paraId="01B35D20" w14:textId="77777777" w:rsidR="004957E5" w:rsidRPr="00761653" w:rsidRDefault="004957E5" w:rsidP="0007729C">
      <w:pPr>
        <w:widowControl w:val="0"/>
        <w:autoSpaceDE w:val="0"/>
        <w:autoSpaceDN w:val="0"/>
        <w:adjustRightInd w:val="0"/>
        <w:ind w:right="49" w:firstLine="709"/>
        <w:contextualSpacing/>
      </w:pPr>
      <w:r w:rsidRPr="00284D51">
        <w:rPr>
          <w:i/>
          <w:iCs/>
        </w:rPr>
        <w:t>При клинически и микробиологически доказанной инфекции</w:t>
      </w:r>
      <w:r w:rsidRPr="00284D51">
        <w:t xml:space="preserve"> длительность</w:t>
      </w:r>
      <w:r w:rsidRPr="00761653">
        <w:t xml:space="preserve"> применения антибиотиков составляет не менее 7 дней, при соблюдении условий, что нормальная температура наблюдается не менее 4-х дней, очаги инфекции полностью регрессировали, достигнута (или предполагается) микробиологическая эрадикация возбудителя подтвержденной инфекции. После отмены антибиотиков продолжиют наблюдение </w:t>
      </w:r>
      <w:r>
        <w:t>пациента</w:t>
      </w:r>
      <w:r w:rsidRPr="00761653">
        <w:t xml:space="preserve"> с нейтропенией/лейкопенией в течение последующих 24-48 ч, и в случае появления температуры вновь назначают антибиотики. </w:t>
      </w:r>
    </w:p>
    <w:p w14:paraId="590840D5" w14:textId="77777777" w:rsidR="004957E5" w:rsidRDefault="004957E5" w:rsidP="004957E5">
      <w:pPr>
        <w:widowControl w:val="0"/>
        <w:autoSpaceDE w:val="0"/>
        <w:autoSpaceDN w:val="0"/>
        <w:adjustRightInd w:val="0"/>
        <w:ind w:right="49"/>
        <w:contextualSpacing/>
        <w:rPr>
          <w:b/>
          <w:bCs/>
        </w:rPr>
      </w:pPr>
    </w:p>
    <w:p w14:paraId="2CAC0BAA" w14:textId="77777777" w:rsidR="004957E5" w:rsidRPr="00284D51" w:rsidRDefault="004957E5" w:rsidP="004957E5">
      <w:pPr>
        <w:widowControl w:val="0"/>
        <w:autoSpaceDE w:val="0"/>
        <w:autoSpaceDN w:val="0"/>
        <w:adjustRightInd w:val="0"/>
        <w:ind w:right="49"/>
        <w:contextualSpacing/>
        <w:rPr>
          <w:bCs/>
          <w:i/>
          <w:iCs/>
          <w:u w:val="single"/>
        </w:rPr>
      </w:pPr>
      <w:r w:rsidRPr="00284D51">
        <w:rPr>
          <w:bCs/>
          <w:i/>
          <w:iCs/>
          <w:u w:val="single"/>
        </w:rPr>
        <w:t>Лечение пациентов в амбулаторных условиях</w:t>
      </w:r>
    </w:p>
    <w:p w14:paraId="5F4852E5" w14:textId="77777777" w:rsidR="004957E5" w:rsidRDefault="004957E5" w:rsidP="0007729C">
      <w:pPr>
        <w:widowControl w:val="0"/>
        <w:autoSpaceDE w:val="0"/>
        <w:autoSpaceDN w:val="0"/>
        <w:adjustRightInd w:val="0"/>
        <w:ind w:right="49" w:firstLine="709"/>
        <w:contextualSpacing/>
      </w:pPr>
      <w:r w:rsidRPr="00761653">
        <w:t xml:space="preserve">Амбулаторное лечение инфекционных осложнений в период нейтропении/лейкопении </w:t>
      </w:r>
      <w:r w:rsidRPr="00D40538">
        <w:t xml:space="preserve">проводят в большинстве случаев при условии, что ожидаемая длительность ее не будет превышать 5-10 дней и единственный симптом инфекции – температура менее 39,0°С; при этом нет значимых изменений в легких по данным радиологических исследований; отсутствует артериальная гипотензия и дыхательная недостаточность; нет клиники декомпенсации </w:t>
      </w:r>
      <w:r w:rsidRPr="00761653">
        <w:t xml:space="preserve">хронических заболеваний легких и сахарного диабета; нет нарушения сознания; отсутствует кровотечение; на предыдущих курсах химиотерапии не было инвазивного аспергиллеза. При ухудшении состояния больной должен быть </w:t>
      </w:r>
      <w:r w:rsidRPr="00D40538">
        <w:t xml:space="preserve">экстренно </w:t>
      </w:r>
      <w:r w:rsidRPr="00761653">
        <w:t xml:space="preserve">госпитализирован в стационар в любое время суток. </w:t>
      </w:r>
    </w:p>
    <w:p w14:paraId="74A108BC" w14:textId="77777777" w:rsidR="004957E5" w:rsidRDefault="004957E5" w:rsidP="0007729C">
      <w:pPr>
        <w:widowControl w:val="0"/>
        <w:autoSpaceDE w:val="0"/>
        <w:autoSpaceDN w:val="0"/>
        <w:adjustRightInd w:val="0"/>
        <w:ind w:right="49" w:firstLine="709"/>
        <w:contextualSpacing/>
      </w:pPr>
      <w:r w:rsidRPr="00761653">
        <w:t xml:space="preserve">Амбулаторно назначают сочетание амоксициллина/клавуланата (625 мг внутрь 3 раза в сутки) с ципрофлоксацином (0,5 г внутрь 2 раза в сутки) </w:t>
      </w:r>
      <w:r w:rsidRPr="00761653">
        <w:rPr>
          <w:i/>
          <w:iCs/>
        </w:rPr>
        <w:t xml:space="preserve">или </w:t>
      </w:r>
      <w:r w:rsidRPr="00761653">
        <w:t xml:space="preserve">левофлоксацин (по 0,5 г внутрь 1 раз в сутки) </w:t>
      </w:r>
      <w:r w:rsidRPr="00761653">
        <w:rPr>
          <w:i/>
          <w:iCs/>
        </w:rPr>
        <w:t>или</w:t>
      </w:r>
      <w:r w:rsidRPr="00761653">
        <w:t xml:space="preserve"> моксифлоксацин (0,4 г внутрь1 раз в сутки).</w:t>
      </w:r>
    </w:p>
    <w:p w14:paraId="60D90390" w14:textId="77777777" w:rsidR="004957E5" w:rsidRDefault="004957E5" w:rsidP="004957E5">
      <w:pPr>
        <w:widowControl w:val="0"/>
        <w:autoSpaceDE w:val="0"/>
        <w:autoSpaceDN w:val="0"/>
        <w:adjustRightInd w:val="0"/>
        <w:ind w:right="49"/>
        <w:contextualSpacing/>
        <w:jc w:val="left"/>
        <w:rPr>
          <w:b/>
        </w:rPr>
      </w:pPr>
    </w:p>
    <w:p w14:paraId="006AA17B" w14:textId="77777777" w:rsidR="004957E5" w:rsidRPr="00284D51" w:rsidRDefault="004957E5" w:rsidP="004957E5">
      <w:pPr>
        <w:widowControl w:val="0"/>
        <w:autoSpaceDE w:val="0"/>
        <w:autoSpaceDN w:val="0"/>
        <w:adjustRightInd w:val="0"/>
        <w:ind w:right="49"/>
        <w:contextualSpacing/>
        <w:rPr>
          <w:bCs/>
          <w:i/>
          <w:iCs/>
          <w:u w:val="single"/>
        </w:rPr>
      </w:pPr>
      <w:r w:rsidRPr="00284D51">
        <w:rPr>
          <w:bCs/>
          <w:i/>
          <w:iCs/>
          <w:u w:val="single"/>
        </w:rPr>
        <w:t xml:space="preserve">Перианальная инфекция </w:t>
      </w:r>
    </w:p>
    <w:p w14:paraId="15C189F5" w14:textId="77777777" w:rsidR="004957E5" w:rsidRPr="009A4DCC" w:rsidRDefault="004957E5" w:rsidP="0007729C">
      <w:pPr>
        <w:widowControl w:val="0"/>
        <w:autoSpaceDE w:val="0"/>
        <w:autoSpaceDN w:val="0"/>
        <w:adjustRightInd w:val="0"/>
        <w:ind w:right="49" w:firstLine="709"/>
        <w:contextualSpacing/>
      </w:pPr>
      <w:r>
        <w:lastRenderedPageBreak/>
        <w:t>Перианальная инфекция чаще встречается при нейтропении, которая</w:t>
      </w:r>
      <w:r w:rsidRPr="009A4DCC">
        <w:t xml:space="preserve"> существенным образом меняет клинику и течение инфекционных процессов, формирование воспалительных изменений в тканях может быть отсроченным и иметь атипичные формы; так, формирование абсцессов в условиях нейтропении происходит редко, изменения в тканях могут представлять собой воспалител</w:t>
      </w:r>
      <w:r>
        <w:t>ьные инфильтраты и некрозы</w:t>
      </w:r>
      <w:r w:rsidRPr="009A4DCC">
        <w:t>. Кроме того, нейтропения определяет возможность для появления дополнительных механизмов инфицирования – распространения микроорганизмов в ткани и кровоток со слизистой кишечника, через повреждения кожи анального канала и перианальной области. Поэтому в условиях нейтропении частыми источниками инфицирования параректальной клетчатки становятся анальные трещины, язвы, эрозивные проктиты, дерматиты и другие процессы, нарушающие барьерну</w:t>
      </w:r>
      <w:r>
        <w:t>ю функцию кожи и слизистой</w:t>
      </w:r>
      <w:r w:rsidRPr="009A4DCC">
        <w:t>.</w:t>
      </w:r>
      <w:r>
        <w:t xml:space="preserve"> </w:t>
      </w:r>
      <w:r w:rsidRPr="009A4DCC">
        <w:t xml:space="preserve">Опасность перианальной инфекции на фоне нейтропении обусловлена высокой </w:t>
      </w:r>
      <w:r>
        <w:t>(до 30%) вероятностью сепсиса</w:t>
      </w:r>
      <w:r w:rsidRPr="009A4DCC">
        <w:t xml:space="preserve">. </w:t>
      </w:r>
    </w:p>
    <w:p w14:paraId="3CD63E2B" w14:textId="77777777" w:rsidR="004957E5" w:rsidRPr="00284D51" w:rsidRDefault="004957E5" w:rsidP="004957E5">
      <w:pPr>
        <w:ind w:firstLine="708"/>
        <w:rPr>
          <w:bCs/>
          <w:i/>
          <w:iCs/>
        </w:rPr>
      </w:pPr>
      <w:r w:rsidRPr="00284D51">
        <w:rPr>
          <w:bCs/>
          <w:i/>
          <w:iCs/>
        </w:rPr>
        <w:t>Клиническая картина.</w:t>
      </w:r>
    </w:p>
    <w:p w14:paraId="021BC583" w14:textId="77777777" w:rsidR="004957E5" w:rsidRPr="009A4DCC" w:rsidRDefault="004957E5" w:rsidP="004957E5">
      <w:pPr>
        <w:ind w:firstLine="708"/>
      </w:pPr>
      <w:r w:rsidRPr="009A4DCC">
        <w:t>Признаками перианальной инфекции обычно являются ан</w:t>
      </w:r>
      <w:r>
        <w:t>оректальная боль и лихорадка</w:t>
      </w:r>
      <w:r w:rsidRPr="009A4DCC">
        <w:t>. Оценка характера изменений в тканях является основой для выбора тактики лечения.</w:t>
      </w:r>
    </w:p>
    <w:p w14:paraId="7E74F220" w14:textId="77777777" w:rsidR="004957E5" w:rsidRPr="00284D51" w:rsidRDefault="004957E5" w:rsidP="004957E5">
      <w:pPr>
        <w:ind w:firstLine="708"/>
        <w:rPr>
          <w:bCs/>
          <w:i/>
          <w:iCs/>
        </w:rPr>
      </w:pPr>
      <w:r w:rsidRPr="00284D51">
        <w:rPr>
          <w:bCs/>
          <w:i/>
          <w:iCs/>
        </w:rPr>
        <w:t>Диагностика.</w:t>
      </w:r>
    </w:p>
    <w:p w14:paraId="6779B707" w14:textId="77777777" w:rsidR="004957E5" w:rsidRPr="009A4DCC" w:rsidRDefault="004957E5" w:rsidP="004957E5">
      <w:pPr>
        <w:pStyle w:val="afe"/>
        <w:numPr>
          <w:ilvl w:val="0"/>
          <w:numId w:val="98"/>
        </w:numPr>
      </w:pPr>
      <w:r w:rsidRPr="009A4DCC">
        <w:t>Осмотр колопроктолога (первичный и повторно в динамике)</w:t>
      </w:r>
    </w:p>
    <w:p w14:paraId="436F6C9F" w14:textId="77777777" w:rsidR="004957E5" w:rsidRPr="009A4DCC" w:rsidRDefault="004957E5" w:rsidP="004957E5">
      <w:pPr>
        <w:pStyle w:val="afe"/>
        <w:numPr>
          <w:ilvl w:val="0"/>
          <w:numId w:val="98"/>
        </w:numPr>
      </w:pPr>
      <w:r w:rsidRPr="009A4DCC">
        <w:t>МРТ органов малого таза.</w:t>
      </w:r>
    </w:p>
    <w:p w14:paraId="24A6EAE0" w14:textId="77777777" w:rsidR="004957E5" w:rsidRPr="009A4DCC" w:rsidRDefault="004957E5" w:rsidP="004957E5">
      <w:pPr>
        <w:pStyle w:val="afe"/>
        <w:numPr>
          <w:ilvl w:val="0"/>
          <w:numId w:val="98"/>
        </w:numPr>
      </w:pPr>
      <w:r>
        <w:t>КТ/СКТ</w:t>
      </w:r>
      <w:r w:rsidRPr="009A4DCC">
        <w:t xml:space="preserve"> органов малого таза</w:t>
      </w:r>
    </w:p>
    <w:p w14:paraId="328D686B" w14:textId="77777777" w:rsidR="004957E5" w:rsidRPr="00AE580F" w:rsidRDefault="004957E5" w:rsidP="004957E5">
      <w:pPr>
        <w:pStyle w:val="afe"/>
        <w:numPr>
          <w:ilvl w:val="0"/>
          <w:numId w:val="98"/>
        </w:numPr>
      </w:pPr>
      <w:r>
        <w:t>Бактериологическое исследование</w:t>
      </w:r>
    </w:p>
    <w:p w14:paraId="75EBB0ED" w14:textId="77777777" w:rsidR="004957E5" w:rsidRPr="009A4DCC" w:rsidRDefault="004957E5" w:rsidP="004957E5">
      <w:pPr>
        <w:ind w:firstLine="708"/>
      </w:pPr>
      <w:r w:rsidRPr="009A4DCC">
        <w:t>Диагноз перианальной инфекции устанавливается клинически на основании симптомов</w:t>
      </w:r>
      <w:r>
        <w:t>,</w:t>
      </w:r>
      <w:r w:rsidRPr="009A4DCC">
        <w:t xml:space="preserve"> характеризующих воспаление: перианальная боль, эритема, скопление жидк</w:t>
      </w:r>
      <w:r>
        <w:t>ости или образование свища</w:t>
      </w:r>
      <w:r w:rsidRPr="009A4DCC">
        <w:t>. При обследовании пациентов с нейтропенией важно учитывать, что инвазивные диагностические процедуры (ректальное исследование и ректоскопии) у этой категории больных связаны с опасностью диссеминации</w:t>
      </w:r>
      <w:r>
        <w:t xml:space="preserve"> инфекции в ткани и кровоток</w:t>
      </w:r>
      <w:r w:rsidRPr="009A4DCC">
        <w:t>. Если диагноз перианальной инфекции сомнителен у пациента с перианальной болью и недостаточностью клинических признаков, проводится визуализация с помощью МРТ или КТ</w:t>
      </w:r>
      <w:r>
        <w:t>/СКТ органов малого таза</w:t>
      </w:r>
      <w:r w:rsidRPr="009A4DCC">
        <w:t>. МРТ признаками перианальной инфекции является наличие полостей в параректальной клетчатке, скоплений жидкости, дефектов стенки прямой кишки и свищевых ходов. У больных с нейтропенией при наличии клинических данных достаточным МРТ-признаком перианальной инфекции является наличие отека па</w:t>
      </w:r>
      <w:r>
        <w:t>раректальной клетчатки</w:t>
      </w:r>
      <w:r w:rsidRPr="009A4DCC">
        <w:t xml:space="preserve">. Для выявления характера микрофлоры, назначения и модификации антибактериальной терапии проводят микробиологическое, </w:t>
      </w:r>
      <w:r w:rsidRPr="009A4DCC">
        <w:lastRenderedPageBreak/>
        <w:t>молекулярное и др. исследования мазков со слизистой прямой кишки, отделяемого свища, поверхности раны</w:t>
      </w:r>
      <w:r>
        <w:t>, соскоба кожи перианальной области</w:t>
      </w:r>
      <w:r w:rsidRPr="009A4DCC">
        <w:t xml:space="preserve">. </w:t>
      </w:r>
    </w:p>
    <w:p w14:paraId="6DEF6F0D" w14:textId="77777777" w:rsidR="004957E5" w:rsidRPr="00284D51" w:rsidRDefault="004957E5" w:rsidP="004957E5">
      <w:pPr>
        <w:ind w:firstLine="708"/>
        <w:rPr>
          <w:bCs/>
          <w:i/>
          <w:iCs/>
        </w:rPr>
      </w:pPr>
      <w:r w:rsidRPr="00284D51">
        <w:rPr>
          <w:bCs/>
          <w:i/>
          <w:iCs/>
        </w:rPr>
        <w:t>Лечение</w:t>
      </w:r>
    </w:p>
    <w:p w14:paraId="158448C6" w14:textId="77777777" w:rsidR="004957E5" w:rsidRPr="00F36465" w:rsidRDefault="004957E5" w:rsidP="004957E5">
      <w:pPr>
        <w:pStyle w:val="afe"/>
        <w:numPr>
          <w:ilvl w:val="0"/>
          <w:numId w:val="99"/>
        </w:numPr>
      </w:pPr>
      <w:r w:rsidRPr="00F36465">
        <w:t>Антибактериальная терапия</w:t>
      </w:r>
      <w:r>
        <w:t xml:space="preserve"> (см. выше)</w:t>
      </w:r>
    </w:p>
    <w:p w14:paraId="0EE8A1EF" w14:textId="77777777" w:rsidR="004957E5" w:rsidRPr="00F22A59" w:rsidRDefault="004957E5" w:rsidP="004957E5">
      <w:pPr>
        <w:pStyle w:val="afe"/>
        <w:numPr>
          <w:ilvl w:val="0"/>
          <w:numId w:val="99"/>
        </w:numPr>
      </w:pPr>
      <w:r>
        <w:t>Хирургическое пособие</w:t>
      </w:r>
    </w:p>
    <w:p w14:paraId="0D9904AD" w14:textId="77777777" w:rsidR="004957E5" w:rsidRPr="009A4DCC" w:rsidRDefault="004957E5" w:rsidP="004957E5">
      <w:pPr>
        <w:ind w:firstLine="708"/>
      </w:pPr>
      <w:r w:rsidRPr="009A4DCC">
        <w:t>Для пациентов страдающих нейтропенией или иной формой иммуносупресии, аноректальные инфекции рассматриваются как состояние, требующее неотложного лечения с помощью антибиотиков, что позволяется остановить развитие аноректал</w:t>
      </w:r>
      <w:r>
        <w:t>ьной инфекции и сепсиса</w:t>
      </w:r>
      <w:r w:rsidRPr="009A4DCC">
        <w:t>. Показано применение на первом этапе антимикробных препаратов, проявляющих активность в отношении грамотрицательных бактерий, включа</w:t>
      </w:r>
      <w:r>
        <w:t>я синегнойную палочку</w:t>
      </w:r>
      <w:r w:rsidRPr="009A4DCC">
        <w:t xml:space="preserve">, введение антимикробных препаратов проводится только </w:t>
      </w:r>
      <w:r>
        <w:t xml:space="preserve">внутрь и </w:t>
      </w:r>
      <w:r w:rsidRPr="009A4DCC">
        <w:t xml:space="preserve">внутривенно. </w:t>
      </w:r>
    </w:p>
    <w:p w14:paraId="425512D3" w14:textId="77777777" w:rsidR="004957E5" w:rsidRPr="009A4DCC" w:rsidRDefault="004957E5" w:rsidP="004957E5">
      <w:pPr>
        <w:ind w:firstLine="708"/>
      </w:pPr>
      <w:r w:rsidRPr="009A4DCC">
        <w:t>Показанием к операции является формировани</w:t>
      </w:r>
      <w:r>
        <w:t>е абсцесса или некроза</w:t>
      </w:r>
      <w:r w:rsidRPr="009A4DCC">
        <w:t>. Выполняют дрениро</w:t>
      </w:r>
      <w:r>
        <w:t>вание полостей, некрэктомию</w:t>
      </w:r>
      <w:r w:rsidRPr="009A4DCC">
        <w:t>. В ряде случаев (флегмона таза, свищи 3-4 степени сложности) оперативное дренирование сочетают с наложением отводящей колостомы. Хирургическое вмешательство должно быть проведено на фоне антибактериальной терапии под общим обезболиванием. Антибактериальная терапия должна быть продолжена в послеоперационном периоде до исче</w:t>
      </w:r>
      <w:r>
        <w:t>зновения признаков инфекции</w:t>
      </w:r>
      <w:r w:rsidRPr="009A4DCC">
        <w:t xml:space="preserve">. </w:t>
      </w:r>
    </w:p>
    <w:p w14:paraId="54C00869" w14:textId="77777777" w:rsidR="004957E5" w:rsidRPr="009A4DCC" w:rsidRDefault="004957E5" w:rsidP="004957E5">
      <w:pPr>
        <w:ind w:firstLine="708"/>
      </w:pPr>
      <w:r w:rsidRPr="009A4DCC">
        <w:t>Пациенты с абсолютным количеством нейтрофилов более 1000х10</w:t>
      </w:r>
      <w:r w:rsidRPr="009A4DCC">
        <w:rPr>
          <w:vertAlign w:val="superscript"/>
        </w:rPr>
        <w:t>9</w:t>
      </w:r>
      <w:r w:rsidRPr="009A4DCC">
        <w:t xml:space="preserve">/л имеют более высокие показатели излечения при хирургическом дренировании, пациенты с более низким количеством нейтрофилов и / или отсутствием флюктуации более успешно лечатся </w:t>
      </w:r>
      <w:r>
        <w:t xml:space="preserve">применением </w:t>
      </w:r>
      <w:r w:rsidRPr="009A4DCC">
        <w:t>только антибиотик</w:t>
      </w:r>
      <w:r>
        <w:t>ов</w:t>
      </w:r>
      <w:r w:rsidRPr="009A4DCC">
        <w:t xml:space="preserve">. </w:t>
      </w:r>
    </w:p>
    <w:p w14:paraId="660F833A" w14:textId="77777777" w:rsidR="004957E5" w:rsidRPr="00284D51" w:rsidRDefault="004957E5" w:rsidP="004957E5">
      <w:pPr>
        <w:ind w:firstLine="708"/>
      </w:pPr>
      <w:r w:rsidRPr="009A4DCC">
        <w:t xml:space="preserve">Прогноз при перианальной инфекции зависит от клинической ситуации. Показатель летальности непосредственно связанный с перианальными инфекционными осложнениями среди онкогематологических пациентов </w:t>
      </w:r>
      <w:r>
        <w:t>при адекватных подходах составляет менее 5%</w:t>
      </w:r>
      <w:r w:rsidRPr="009A4DCC">
        <w:t>.</w:t>
      </w:r>
    </w:p>
    <w:p w14:paraId="1EF29327" w14:textId="75547221" w:rsidR="004957E5" w:rsidRDefault="004957E5" w:rsidP="009749DB">
      <w:pPr>
        <w:pStyle w:val="2"/>
        <w:spacing w:before="0"/>
      </w:pPr>
    </w:p>
    <w:p w14:paraId="6A388565" w14:textId="0E586AF7" w:rsidR="005802BC" w:rsidRPr="005802BC" w:rsidRDefault="0007729C" w:rsidP="005802BC">
      <w:pPr>
        <w:pStyle w:val="2"/>
        <w:spacing w:before="0"/>
      </w:pPr>
      <w:bookmarkStart w:id="79" w:name="_Toc66096848"/>
      <w:r w:rsidRPr="000322E4">
        <w:t>7.</w:t>
      </w:r>
      <w:r>
        <w:t xml:space="preserve">14 </w:t>
      </w:r>
      <w:r w:rsidR="005802BC" w:rsidRPr="00262806">
        <w:t>Вирусные инфекции у пациентов с гематологическими заболеваниями</w:t>
      </w:r>
      <w:bookmarkEnd w:id="79"/>
    </w:p>
    <w:p w14:paraId="793395D5" w14:textId="77777777" w:rsidR="005802BC" w:rsidRDefault="005802BC" w:rsidP="005802BC">
      <w:pPr>
        <w:ind w:firstLine="708"/>
      </w:pPr>
      <w:r w:rsidRPr="0028579C">
        <w:t xml:space="preserve">Герпесвирусные инфекции диагностируют </w:t>
      </w:r>
      <w:r>
        <w:t>чаще</w:t>
      </w:r>
      <w:r w:rsidRPr="0028579C">
        <w:t xml:space="preserve"> всего у </w:t>
      </w:r>
      <w:r>
        <w:t>гематологических пациентов с</w:t>
      </w:r>
      <w:r w:rsidRPr="0028579C">
        <w:t xml:space="preserve"> лимфопролиферативными заболеваниями и у реципиентов аллогенных </w:t>
      </w:r>
      <w:r w:rsidRPr="00053026">
        <w:t>гемопоэтических стволовых клеток</w:t>
      </w:r>
      <w:r w:rsidRPr="0028579C">
        <w:t xml:space="preserve"> </w:t>
      </w:r>
      <w:r>
        <w:t>(</w:t>
      </w:r>
      <w:r w:rsidRPr="0028579C">
        <w:t>ТГСК</w:t>
      </w:r>
      <w:r>
        <w:t>)</w:t>
      </w:r>
      <w:r w:rsidRPr="0028579C">
        <w:t xml:space="preserve">. </w:t>
      </w:r>
      <w:r>
        <w:t xml:space="preserve">Для диагностики герпесвирусных инфекций проводят комплекс необходимых инструментальных исследований для получения материала – исследование полости рта, промежности, влагалища, прямой кишки, эзофагогастродуоденоскопия, бронхоальвеалярный лаваж, люмбальная пункция, пункция/биопсия ткани/очага поражения любой локализации, выявленных при УЗИ, </w:t>
      </w:r>
      <w:r>
        <w:lastRenderedPageBreak/>
        <w:t>КТ/СКТ, МРТ органов и полостей, или физикально (</w:t>
      </w:r>
      <w:r w:rsidRPr="0028579C">
        <w:t>везикул</w:t>
      </w:r>
      <w:r>
        <w:t>ы</w:t>
      </w:r>
      <w:r w:rsidRPr="0028579C">
        <w:t>, “корочки” с везикул</w:t>
      </w:r>
      <w:r>
        <w:t xml:space="preserve">), </w:t>
      </w:r>
      <w:r w:rsidRPr="0028579C">
        <w:t>сыворотк</w:t>
      </w:r>
      <w:r>
        <w:t>а</w:t>
      </w:r>
      <w:r w:rsidRPr="0028579C">
        <w:t xml:space="preserve"> крови</w:t>
      </w:r>
      <w:r>
        <w:t>, и др</w:t>
      </w:r>
      <w:r w:rsidRPr="0028579C">
        <w:t>.</w:t>
      </w:r>
    </w:p>
    <w:p w14:paraId="4B07F9D9" w14:textId="77777777" w:rsidR="005802BC" w:rsidRDefault="005802BC" w:rsidP="005802BC">
      <w:pPr>
        <w:ind w:firstLine="708"/>
      </w:pPr>
    </w:p>
    <w:p w14:paraId="0C08E236" w14:textId="77777777" w:rsidR="005802BC" w:rsidRPr="00A14D1D" w:rsidRDefault="005802BC" w:rsidP="005802BC">
      <w:pPr>
        <w:rPr>
          <w:bCs/>
          <w:i/>
          <w:iCs/>
          <w:u w:val="single"/>
        </w:rPr>
      </w:pPr>
      <w:r w:rsidRPr="00A14D1D">
        <w:rPr>
          <w:bCs/>
          <w:i/>
          <w:iCs/>
          <w:u w:val="single"/>
        </w:rPr>
        <w:t>Вирусы простого герпеса 1 и 2 типа (Herpes simplex virus, HSV)</w:t>
      </w:r>
    </w:p>
    <w:p w14:paraId="4BDAE611" w14:textId="43EB3B00" w:rsidR="005802BC" w:rsidRPr="00867D9A" w:rsidRDefault="005802BC" w:rsidP="005802BC">
      <w:pPr>
        <w:ind w:firstLine="708"/>
      </w:pPr>
      <w:r>
        <w:t>HSV</w:t>
      </w:r>
      <w:r w:rsidRPr="006B215F">
        <w:t xml:space="preserve"> вызывают у </w:t>
      </w:r>
      <w:r>
        <w:t>пациентов</w:t>
      </w:r>
      <w:r w:rsidRPr="006B215F">
        <w:t xml:space="preserve"> гематологическими заболеваниями прежде всего </w:t>
      </w:r>
      <w:r w:rsidRPr="0028579C">
        <w:t xml:space="preserve">повреждение слизистых оболочек (мукозиты), чаще HSV 1 тип. До 80% взрослых </w:t>
      </w:r>
      <w:r>
        <w:t xml:space="preserve">пациентов с </w:t>
      </w:r>
      <w:r w:rsidRPr="0028579C">
        <w:t>острыми миелоидными лейкозами (ОМЛ) являются серопозитивными</w:t>
      </w:r>
      <w:r>
        <w:t xml:space="preserve"> по HSV</w:t>
      </w:r>
      <w:r w:rsidRPr="0028579C">
        <w:t>. Мукозиты, вызванные HSV, являются</w:t>
      </w:r>
      <w:r>
        <w:t>,</w:t>
      </w:r>
      <w:r w:rsidRPr="0028579C">
        <w:t xml:space="preserve"> как правило</w:t>
      </w:r>
      <w:r>
        <w:t>,</w:t>
      </w:r>
      <w:r w:rsidRPr="0028579C">
        <w:t xml:space="preserve"> проявлением реактивации латентной вирусной инфекции во время курсов полихимиотерапии (ПХТ) и у реципиентов ТГСК. Частота мукозитов, вызванных HSV, среди серопозитивных</w:t>
      </w:r>
      <w:r>
        <w:t xml:space="preserve"> пациентов ОМЛ во время ПХТ составляет 61%- 66%</w:t>
      </w:r>
      <w:r w:rsidRPr="006B215F">
        <w:t xml:space="preserve">, среди реципиентов аллогенных ТГСК достигает 80%, из них основная доля в первые 4 недели после ТГСК. При реактивации </w:t>
      </w:r>
      <w:r>
        <w:t>HSV</w:t>
      </w:r>
      <w:r w:rsidRPr="006B215F">
        <w:t xml:space="preserve"> орофарингеальные дефекты на слизистой оболочке возникают у 85-90%, в области промежности (генитальный гесрпес) – у 10-15% больных. Другая манифестация реактивации </w:t>
      </w:r>
      <w:r>
        <w:t>HSV</w:t>
      </w:r>
      <w:r w:rsidRPr="006B215F">
        <w:t xml:space="preserve"> – это эзофагит (10%). К редким проявлениям </w:t>
      </w:r>
      <w:r w:rsidRPr="00867D9A">
        <w:t xml:space="preserve">относят пневмонию (2-3% при отсутствии профилактики), гепатиты, менингит, энцефалит </w:t>
      </w:r>
      <w:r w:rsidRPr="00867D9A">
        <w:fldChar w:fldCharType="begin" w:fldLock="1"/>
      </w:r>
      <w:r w:rsidR="00434A06">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[163]","plainTextFormattedCitation":"[163]","previouslyFormattedCitation":"[163]"},"properties":{"noteIndex":0},"schema":"https://github.com/citation-style-language/schema/raw/master/csl-citation.json"}</w:instrText>
      </w:r>
      <w:r w:rsidRPr="00867D9A">
        <w:fldChar w:fldCharType="separate"/>
      </w:r>
      <w:r w:rsidR="00D25525" w:rsidRPr="00D25525">
        <w:rPr>
          <w:noProof/>
        </w:rPr>
        <w:t>[163]</w:t>
      </w:r>
      <w:r w:rsidRPr="00867D9A">
        <w:fldChar w:fldCharType="end"/>
      </w:r>
      <w:r w:rsidRPr="00867D9A">
        <w:t>.</w:t>
      </w:r>
    </w:p>
    <w:p w14:paraId="27B8F9B6" w14:textId="77777777" w:rsidR="005802BC" w:rsidRPr="00867D9A" w:rsidRDefault="005802BC" w:rsidP="005802BC">
      <w:pPr>
        <w:ind w:firstLine="708"/>
        <w:rPr>
          <w:bCs/>
          <w:i/>
          <w:iCs/>
        </w:rPr>
      </w:pPr>
      <w:r w:rsidRPr="00867D9A">
        <w:rPr>
          <w:bCs/>
          <w:i/>
          <w:iCs/>
        </w:rPr>
        <w:t>Диагностика</w:t>
      </w:r>
    </w:p>
    <w:p w14:paraId="7E50854B" w14:textId="06FB9F76" w:rsidR="005802BC" w:rsidRPr="006B215F" w:rsidRDefault="005802BC" w:rsidP="005802BC">
      <w:pPr>
        <w:ind w:firstLine="708"/>
      </w:pPr>
      <w:r w:rsidRPr="006B215F">
        <w:t>Серологические тесты (выявление антител</w:t>
      </w:r>
      <w:r>
        <w:t xml:space="preserve"> в крови, биологических жидкостях</w:t>
      </w:r>
      <w:r w:rsidRPr="006B215F">
        <w:t>) проводят до индукционного курса П</w:t>
      </w:r>
      <w:r>
        <w:t>ХТ и</w:t>
      </w:r>
      <w:r w:rsidRPr="006B215F">
        <w:t xml:space="preserve"> перед ТГСК с целью выявдения серопозитивных пациентов</w:t>
      </w:r>
      <w:r>
        <w:t xml:space="preserve"> </w:t>
      </w:r>
      <w:r w:rsidRPr="00867D9A">
        <w:fldChar w:fldCharType="begin" w:fldLock="1"/>
      </w:r>
      <w:r w:rsidR="00434A06">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[163]","plainTextFormattedCitation":"[163]","previouslyFormattedCitation":"[163]"},"properties":{"noteIndex":0},"schema":"https://github.com/citation-style-language/schema/raw/master/csl-citation.json"}</w:instrText>
      </w:r>
      <w:r w:rsidRPr="00867D9A">
        <w:fldChar w:fldCharType="separate"/>
      </w:r>
      <w:r w:rsidR="00D25525" w:rsidRPr="00D25525">
        <w:rPr>
          <w:noProof/>
        </w:rPr>
        <w:t>[163]</w:t>
      </w:r>
      <w:r w:rsidRPr="00867D9A">
        <w:fldChar w:fldCharType="end"/>
      </w:r>
      <w:r w:rsidRPr="006B215F">
        <w:t>.</w:t>
      </w:r>
    </w:p>
    <w:p w14:paraId="721687B4" w14:textId="52D01261" w:rsidR="005802BC" w:rsidRPr="006B215F" w:rsidRDefault="005802BC" w:rsidP="005802BC">
      <w:pPr>
        <w:ind w:firstLine="708"/>
      </w:pPr>
      <w:r w:rsidRPr="006B215F">
        <w:t xml:space="preserve">Для диагностики инфекции необходимо выявление вирусного генома </w:t>
      </w:r>
      <w:r>
        <w:t xml:space="preserve">при молекулярно-биологическом исследовании </w:t>
      </w:r>
      <w:r w:rsidRPr="006B215F">
        <w:t xml:space="preserve">методом </w:t>
      </w:r>
      <w:r w:rsidRPr="0028579C">
        <w:t>полимеразной цепной реакции (ПЦР). Исследуемые</w:t>
      </w:r>
      <w:r w:rsidRPr="006B215F">
        <w:t xml:space="preserve"> образцы – сыворотка крови, отделяемой со слизистой ротогл</w:t>
      </w:r>
      <w:r>
        <w:t>отки (</w:t>
      </w:r>
      <w:r w:rsidRPr="006B215F">
        <w:t xml:space="preserve">при наличии признаков мукозита) или со слизистой пищевода, </w:t>
      </w:r>
      <w:r>
        <w:t xml:space="preserve">аспираты и </w:t>
      </w:r>
      <w:r w:rsidRPr="006B215F">
        <w:t>биоптаты слизистых и органов</w:t>
      </w:r>
      <w:r>
        <w:t xml:space="preserve"> </w:t>
      </w:r>
      <w:r w:rsidRPr="00867D9A">
        <w:fldChar w:fldCharType="begin" w:fldLock="1"/>
      </w:r>
      <w:r w:rsidR="00434A06">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[163]","plainTextFormattedCitation":"[163]","previouslyFormattedCitation":"[163]"},"properties":{"noteIndex":0},"schema":"https://github.com/citation-style-language/schema/raw/master/csl-citation.json"}</w:instrText>
      </w:r>
      <w:r w:rsidRPr="00867D9A">
        <w:fldChar w:fldCharType="separate"/>
      </w:r>
      <w:r w:rsidR="00D25525" w:rsidRPr="00D25525">
        <w:rPr>
          <w:noProof/>
        </w:rPr>
        <w:t>[163]</w:t>
      </w:r>
      <w:r w:rsidRPr="00867D9A">
        <w:fldChar w:fldCharType="end"/>
      </w:r>
      <w:r w:rsidRPr="006B215F">
        <w:t>.</w:t>
      </w:r>
    </w:p>
    <w:p w14:paraId="6560EF29" w14:textId="77777777" w:rsidR="005802BC" w:rsidRPr="00CA38D1" w:rsidRDefault="005802BC" w:rsidP="005802BC">
      <w:pPr>
        <w:ind w:firstLine="708"/>
        <w:rPr>
          <w:bCs/>
          <w:i/>
          <w:iCs/>
        </w:rPr>
      </w:pPr>
      <w:r w:rsidRPr="00CA38D1">
        <w:rPr>
          <w:bCs/>
          <w:i/>
          <w:iCs/>
        </w:rPr>
        <w:t>Лечение</w:t>
      </w:r>
    </w:p>
    <w:p w14:paraId="52C3F1F4" w14:textId="387FFB1D" w:rsidR="005802BC" w:rsidRPr="006B215F" w:rsidRDefault="005802BC" w:rsidP="005802BC">
      <w:pPr>
        <w:ind w:firstLine="708"/>
      </w:pPr>
      <w:r w:rsidRPr="006B215F">
        <w:t>Назначают ацикловир в дозе 250 мг/м</w:t>
      </w:r>
      <w:r w:rsidRPr="00CA38D1">
        <w:rPr>
          <w:vertAlign w:val="superscript"/>
        </w:rPr>
        <w:t>2</w:t>
      </w:r>
      <w:r w:rsidRPr="006B215F">
        <w:t xml:space="preserve"> или 5 мг/кг каждые 8 часов в течение 7-10 дней. При нетяжелых мукозитах проводят лечение пероральной формой препаратов- ацикловир по 200 и 5 раз или по 400 мг 5 раз в сутки, валацикловир – по 500 мг х 2 раза, фамцикловир по 500 мг 2 раза в течение 10 дней. При пневмонии или менингите используют высокие дозы ацикловира внутривенно 500 мг/м</w:t>
      </w:r>
      <w:r w:rsidRPr="006B215F">
        <w:rPr>
          <w:vertAlign w:val="superscript"/>
        </w:rPr>
        <w:t xml:space="preserve">2 </w:t>
      </w:r>
      <w:r w:rsidRPr="006B215F">
        <w:t>или 10 мг/кг каждые 8 часов в течение 14-21 дня</w:t>
      </w:r>
      <w:r>
        <w:t xml:space="preserve"> </w:t>
      </w:r>
      <w:r w:rsidRPr="00867D9A">
        <w:fldChar w:fldCharType="begin" w:fldLock="1"/>
      </w:r>
      <w:r w:rsidR="00434A06">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[163]","plainTextFormattedCitation":"[163]","previouslyFormattedCitation":"[163]"},"properties":{"noteIndex":0},"schema":"https://github.com/citation-style-language/schema/raw/master/csl-citation.json"}</w:instrText>
      </w:r>
      <w:r w:rsidRPr="00867D9A">
        <w:fldChar w:fldCharType="separate"/>
      </w:r>
      <w:r w:rsidR="00D25525" w:rsidRPr="00D25525">
        <w:rPr>
          <w:noProof/>
        </w:rPr>
        <w:t>[163]</w:t>
      </w:r>
      <w:r w:rsidRPr="00867D9A">
        <w:fldChar w:fldCharType="end"/>
      </w:r>
      <w:r w:rsidRPr="006B215F">
        <w:t>.</w:t>
      </w:r>
    </w:p>
    <w:p w14:paraId="4225F35C" w14:textId="08512763" w:rsidR="005802BC" w:rsidRDefault="005802BC" w:rsidP="005802BC">
      <w:pPr>
        <w:ind w:firstLine="708"/>
      </w:pPr>
      <w:r w:rsidRPr="006B215F">
        <w:t xml:space="preserve">Длительный прием ацикловира редко приводит к развитию резистентности. Резистентность к ацикловиру является следствием длительной реактивации </w:t>
      </w:r>
      <w:r>
        <w:t>HSV.</w:t>
      </w:r>
      <w:r w:rsidRPr="006B215F">
        <w:t xml:space="preserve"> В этих </w:t>
      </w:r>
      <w:r w:rsidRPr="006B215F">
        <w:lastRenderedPageBreak/>
        <w:t>случаях назначают фоскарнет внутривенно 60 м</w:t>
      </w:r>
      <w:r>
        <w:t>г/кг каждые 12 час или 40 мг/кг</w:t>
      </w:r>
      <w:r w:rsidRPr="006B215F">
        <w:t xml:space="preserve"> каждые 8 час в течение 7-21 дня или до ликвидации симптомов инфекции</w:t>
      </w:r>
      <w:r>
        <w:t xml:space="preserve"> </w:t>
      </w:r>
      <w:r w:rsidRPr="00867D9A">
        <w:fldChar w:fldCharType="begin" w:fldLock="1"/>
      </w:r>
      <w:r w:rsidR="00434A06">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[163]","plainTextFormattedCitation":"[163]","previouslyFormattedCitation":"[163]"},"properties":{"noteIndex":0},"schema":"https://github.com/citation-style-language/schema/raw/master/csl-citation.json"}</w:instrText>
      </w:r>
      <w:r w:rsidRPr="00867D9A">
        <w:fldChar w:fldCharType="separate"/>
      </w:r>
      <w:r w:rsidR="00D25525" w:rsidRPr="00D25525">
        <w:rPr>
          <w:noProof/>
        </w:rPr>
        <w:t>[163]</w:t>
      </w:r>
      <w:r w:rsidRPr="00867D9A">
        <w:fldChar w:fldCharType="end"/>
      </w:r>
      <w:r w:rsidRPr="006B215F">
        <w:t>.</w:t>
      </w:r>
    </w:p>
    <w:p w14:paraId="44F5E278" w14:textId="77777777" w:rsidR="005802BC" w:rsidRPr="006B215F" w:rsidRDefault="005802BC" w:rsidP="005802BC">
      <w:pPr>
        <w:ind w:firstLine="708"/>
      </w:pPr>
    </w:p>
    <w:p w14:paraId="27FDEB77" w14:textId="77777777" w:rsidR="005802BC" w:rsidRPr="00861C01" w:rsidRDefault="005802BC" w:rsidP="005802BC">
      <w:pPr>
        <w:rPr>
          <w:bCs/>
          <w:i/>
          <w:iCs/>
          <w:u w:val="single"/>
        </w:rPr>
      </w:pPr>
      <w:r w:rsidRPr="00861C01">
        <w:rPr>
          <w:bCs/>
          <w:i/>
          <w:iCs/>
          <w:u w:val="single"/>
        </w:rPr>
        <w:t xml:space="preserve">Герпес зостер вирус (Herpes zoster virus, HZV) </w:t>
      </w:r>
    </w:p>
    <w:p w14:paraId="533EEDD9" w14:textId="77777777" w:rsidR="005802BC" w:rsidRPr="00EE012F" w:rsidRDefault="005802BC" w:rsidP="005802BC">
      <w:pPr>
        <w:ind w:firstLine="708"/>
      </w:pPr>
      <w:r w:rsidRPr="006B215F">
        <w:t xml:space="preserve">У реципиентов ТГСК инфекция </w:t>
      </w:r>
      <w:r w:rsidRPr="0028579C">
        <w:t>чаще возникает в течение первых 24 месяцев. Группу риска составляют больные с хронической реакцией «трансплантат против хозяина» (РТПХ). Другие факторы включают наличие острого лейкоза или лимфопролиферативного</w:t>
      </w:r>
      <w:r w:rsidRPr="006B215F">
        <w:t xml:space="preserve"> заболевания в качестве диагноза до ТГСК, во</w:t>
      </w:r>
      <w:r>
        <w:t>зраст старше 50 лет, проведение</w:t>
      </w:r>
      <w:r w:rsidRPr="006B215F">
        <w:t xml:space="preserve"> миелоаблативного режима, </w:t>
      </w:r>
      <w:r>
        <w:t>CD</w:t>
      </w:r>
      <w:r w:rsidRPr="006B215F">
        <w:t>34+</w:t>
      </w:r>
      <w:r>
        <w:t xml:space="preserve"> селектированная аллогенная или аутологичная ТГСК, наличие дефицита одновременно CD</w:t>
      </w:r>
      <w:r w:rsidRPr="006B215F">
        <w:t xml:space="preserve">4(+) и </w:t>
      </w:r>
      <w:r>
        <w:t>CD</w:t>
      </w:r>
      <w:r w:rsidRPr="006B215F">
        <w:t>8(+) лимфоцитов на 30</w:t>
      </w:r>
      <w:r>
        <w:t>-</w:t>
      </w:r>
      <w:r w:rsidRPr="006B215F">
        <w:t xml:space="preserve">й день после ТГСК. </w:t>
      </w:r>
      <w:r>
        <w:t>Гематологические пациенты с лимфопролиферативными заболеваниями составляют группу повышенного риска, независимо от этапа лечения / наблюдения.</w:t>
      </w:r>
    </w:p>
    <w:p w14:paraId="303791D3" w14:textId="77777777" w:rsidR="005802BC" w:rsidRPr="006B215F" w:rsidRDefault="005802BC" w:rsidP="005802BC">
      <w:pPr>
        <w:ind w:firstLine="708"/>
      </w:pPr>
      <w:r w:rsidRPr="006B215F">
        <w:t xml:space="preserve">Инфекция, вызванная </w:t>
      </w:r>
      <w:r>
        <w:t>HZV</w:t>
      </w:r>
      <w:r w:rsidRPr="006B215F">
        <w:t xml:space="preserve">, характеризуется поражением межпозвоночных ганглиев, множественными высыпаниями на коже по ходу вовлеченных в процесс нервов, часто сопровождающимися сильными болями, возможно развитие энцефалита, гепатита, пневмонии. Описаны случаи локализации </w:t>
      </w:r>
      <w:r>
        <w:t>боли в эпигастральной области,</w:t>
      </w:r>
      <w:r w:rsidRPr="006B215F">
        <w:t xml:space="preserve"> абдоминальные с развитием паралитической кишечной непроходимости.</w:t>
      </w:r>
    </w:p>
    <w:p w14:paraId="5EE20605" w14:textId="77777777" w:rsidR="005802BC" w:rsidRPr="006B215F" w:rsidRDefault="005802BC" w:rsidP="005802BC">
      <w:pPr>
        <w:ind w:firstLine="708"/>
      </w:pPr>
      <w:r w:rsidRPr="006B215F">
        <w:t xml:space="preserve">Диагностику проводят на основании </w:t>
      </w:r>
      <w:r>
        <w:t xml:space="preserve">выявления </w:t>
      </w:r>
      <w:r w:rsidRPr="0028579C">
        <w:t xml:space="preserve">дезоксирибонуклеиновой кислоты (ДНК) вируса </w:t>
      </w:r>
      <w:r>
        <w:t xml:space="preserve">при молекулярно-биологическом исследовании </w:t>
      </w:r>
      <w:r w:rsidRPr="0028579C">
        <w:t>методом ПЦР. Исследуют содержимое везикул, “корочки” с везикул, биоптаты тканей, мазки со слизистой зева, спинномозговую жидкость (СМЖ), сыворотку крови</w:t>
      </w:r>
      <w:r>
        <w:t>, и др</w:t>
      </w:r>
      <w:r w:rsidRPr="0028579C">
        <w:t>.</w:t>
      </w:r>
    </w:p>
    <w:p w14:paraId="200DDAC4" w14:textId="77777777" w:rsidR="005802BC" w:rsidRDefault="005802BC" w:rsidP="005802BC">
      <w:pPr>
        <w:ind w:firstLine="708"/>
      </w:pPr>
      <w:r w:rsidRPr="006B215F">
        <w:t>Лечение проводят ацикловиром внутривенно в дозе 500 мг/м</w:t>
      </w:r>
      <w:r w:rsidRPr="006B215F">
        <w:rPr>
          <w:vertAlign w:val="superscript"/>
        </w:rPr>
        <w:t>2</w:t>
      </w:r>
      <w:r w:rsidRPr="006B215F">
        <w:t xml:space="preserve">, введение каждые 8 часов. При стабилизации состояния возможен переход на пероральный прием препаратов – валацикловир (по 100 мг 3 раза), фамцикловир (по 500 мг 3 раза), ацикловир (800 мг 5 раз). Общая длительность лечения составляет не менее 7 дней. В случае ацикловир-резистентных </w:t>
      </w:r>
      <w:r>
        <w:t xml:space="preserve">HZV используют фоскарнет (60 мг/кг каждые 12 час внутривенно) в течение 2 недель. </w:t>
      </w:r>
    </w:p>
    <w:p w14:paraId="4E8E48B9" w14:textId="77777777" w:rsidR="005802BC" w:rsidRDefault="005802BC" w:rsidP="005802BC">
      <w:pPr>
        <w:ind w:firstLine="708"/>
      </w:pPr>
    </w:p>
    <w:p w14:paraId="4388D1E6" w14:textId="77777777" w:rsidR="005802BC" w:rsidRPr="007F7F8C" w:rsidRDefault="005802BC" w:rsidP="005802BC">
      <w:pPr>
        <w:rPr>
          <w:bCs/>
          <w:i/>
          <w:iCs/>
          <w:u w:val="single"/>
        </w:rPr>
      </w:pPr>
      <w:r w:rsidRPr="007F7F8C">
        <w:rPr>
          <w:bCs/>
          <w:i/>
          <w:iCs/>
          <w:u w:val="single"/>
        </w:rPr>
        <w:t>Цитомегаловирус (Cytomegalovirus, CMV)</w:t>
      </w:r>
    </w:p>
    <w:p w14:paraId="72E94596" w14:textId="0076FECE" w:rsidR="005802BC" w:rsidRPr="00E42938" w:rsidRDefault="005802BC" w:rsidP="005802BC">
      <w:pPr>
        <w:ind w:firstLine="708"/>
      </w:pPr>
      <w:r w:rsidRPr="0028579C">
        <w:t xml:space="preserve">CMV остается частым осложнением </w:t>
      </w:r>
      <w:r>
        <w:t xml:space="preserve">у гематологических пациентов, в частности, </w:t>
      </w:r>
      <w:r w:rsidRPr="0028579C">
        <w:t>у реципиентов аллогенных ТГСК, может быть причиной заболевания как на раннем, так и позднем этапе после ТГСК, приводит к угнетению костно-мозгового кровообращения. Виремия при лимфоидных гематологических заболеваниях (ХЛЛ, лимфомы, острый лимфобластный лейкоз) и множественной миеломе достигает 13,6% в то время при миелоидны</w:t>
      </w:r>
      <w:r>
        <w:t>х гемобластозах составляет 3,9%.</w:t>
      </w:r>
      <w:r w:rsidRPr="0028579C">
        <w:t xml:space="preserve"> Выделяют CMV</w:t>
      </w:r>
      <w:r>
        <w:t>-</w:t>
      </w:r>
      <w:r w:rsidRPr="0028579C">
        <w:t>инфекцию и CMV</w:t>
      </w:r>
      <w:r>
        <w:t>-</w:t>
      </w:r>
      <w:r w:rsidRPr="0028579C">
        <w:lastRenderedPageBreak/>
        <w:t>заболевание. При CMV</w:t>
      </w:r>
      <w:r>
        <w:t>-</w:t>
      </w:r>
      <w:r w:rsidRPr="0028579C">
        <w:t>инфекции определяется виремия и температура в сочетании или без подавления костно-мозгового кроветворения. В случае CMV</w:t>
      </w:r>
      <w:r>
        <w:t>-</w:t>
      </w:r>
      <w:r w:rsidRPr="0028579C">
        <w:t xml:space="preserve">заболевания вирус определяется в биоптате или из образцов, полученных в ходе инвазивных вмешательств (жидкость бронхоальвеолярного лаважа, СМЖ), </w:t>
      </w:r>
      <w:r>
        <w:t>с</w:t>
      </w:r>
      <w:r w:rsidRPr="0028579C">
        <w:t xml:space="preserve"> наличием</w:t>
      </w:r>
      <w:r w:rsidRPr="006B215F">
        <w:t xml:space="preserve"> симптомов, ассоциированных с </w:t>
      </w:r>
      <w:r>
        <w:t xml:space="preserve">локализацией мест получения </w:t>
      </w:r>
      <w:r w:rsidRPr="006B215F">
        <w:t>образц</w:t>
      </w:r>
      <w:r>
        <w:t>ов</w:t>
      </w:r>
      <w:r w:rsidRPr="006B215F">
        <w:t xml:space="preserve"> исследования. Наряду с пневмонией, энцефалитом, ретинитом может развиться </w:t>
      </w:r>
      <w:r>
        <w:t>CMV-</w:t>
      </w:r>
      <w:r w:rsidRPr="006B215F">
        <w:t xml:space="preserve">гастроинтестинальное заболевание, диагностика которого </w:t>
      </w:r>
      <w:r w:rsidRPr="00E42938">
        <w:t xml:space="preserve">является наиболее трудной, особенно у пациентов с РТПХ </w:t>
      </w:r>
      <w:r w:rsidRPr="00E42938">
        <w:fldChar w:fldCharType="begin" w:fldLock="1"/>
      </w:r>
      <w:r w:rsidR="00434A06">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[164]","plainTextFormattedCitation":"[164]","previouslyFormattedCitation":"[164]"},"properties":{"noteIndex":0},"schema":"https://github.com/citation-style-language/schema/raw/master/csl-citation.json"}</w:instrText>
      </w:r>
      <w:r w:rsidRPr="00E42938">
        <w:fldChar w:fldCharType="separate"/>
      </w:r>
      <w:r w:rsidR="00D25525" w:rsidRPr="00D25525">
        <w:rPr>
          <w:noProof/>
        </w:rPr>
        <w:t>[164]</w:t>
      </w:r>
      <w:r w:rsidRPr="00E42938">
        <w:fldChar w:fldCharType="end"/>
      </w:r>
      <w:r w:rsidRPr="00E42938">
        <w:t xml:space="preserve">. </w:t>
      </w:r>
    </w:p>
    <w:p w14:paraId="7A1F6DF2" w14:textId="77777777" w:rsidR="005802BC" w:rsidRPr="007F7F8C" w:rsidRDefault="005802BC" w:rsidP="005802BC">
      <w:pPr>
        <w:ind w:firstLine="708"/>
        <w:rPr>
          <w:bCs/>
          <w:i/>
          <w:iCs/>
        </w:rPr>
      </w:pPr>
      <w:r w:rsidRPr="007F7F8C">
        <w:rPr>
          <w:bCs/>
          <w:i/>
          <w:iCs/>
        </w:rPr>
        <w:t>Диагностика</w:t>
      </w:r>
    </w:p>
    <w:p w14:paraId="22C9D0D5" w14:textId="77777777" w:rsidR="005802BC" w:rsidRPr="006B215F" w:rsidRDefault="005802BC" w:rsidP="005802BC">
      <w:pPr>
        <w:ind w:firstLine="708"/>
      </w:pPr>
      <w:r w:rsidRPr="006B215F">
        <w:t xml:space="preserve">У реципиентов </w:t>
      </w:r>
      <w:r>
        <w:t xml:space="preserve">до </w:t>
      </w:r>
      <w:r w:rsidRPr="006B215F">
        <w:t xml:space="preserve">ТГСК исследуют наличие антител </w:t>
      </w:r>
      <w:r>
        <w:t>CMV.</w:t>
      </w:r>
    </w:p>
    <w:p w14:paraId="335D2EDB" w14:textId="2A391ED0" w:rsidR="005802BC" w:rsidRPr="006B215F" w:rsidRDefault="005802BC" w:rsidP="005802BC">
      <w:pPr>
        <w:ind w:firstLine="708"/>
      </w:pPr>
      <w:r w:rsidRPr="006B215F">
        <w:t xml:space="preserve">Для диагностики инфекции или заболевания используют </w:t>
      </w:r>
      <w:r w:rsidRPr="00B67A55">
        <w:t>молекулярно-биологическое исследование на цитомегаловирус, включая количественное исследование</w:t>
      </w:r>
      <w:r>
        <w:t xml:space="preserve"> </w:t>
      </w:r>
      <w:r w:rsidRPr="006B215F">
        <w:t xml:space="preserve"> мето</w:t>
      </w:r>
      <w:r>
        <w:t>дом</w:t>
      </w:r>
      <w:r w:rsidRPr="006B215F">
        <w:t xml:space="preserve"> ПЦР</w:t>
      </w:r>
      <w:r>
        <w:t xml:space="preserve"> </w:t>
      </w:r>
      <w:r w:rsidRPr="00E42938">
        <w:fldChar w:fldCharType="begin" w:fldLock="1"/>
      </w:r>
      <w:r w:rsidR="00434A06">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[164]","plainTextFormattedCitation":"[164]","previouslyFormattedCitation":"[164]"},"properties":{"noteIndex":0},"schema":"https://github.com/citation-style-language/schema/raw/master/csl-citation.json"}</w:instrText>
      </w:r>
      <w:r w:rsidRPr="00E42938">
        <w:fldChar w:fldCharType="separate"/>
      </w:r>
      <w:r w:rsidR="00D25525" w:rsidRPr="00D25525">
        <w:rPr>
          <w:noProof/>
        </w:rPr>
        <w:t>[164]</w:t>
      </w:r>
      <w:r w:rsidRPr="00E42938">
        <w:fldChar w:fldCharType="end"/>
      </w:r>
      <w:r w:rsidRPr="006B215F">
        <w:t>. Всем реципиентам аллогенной ТГ</w:t>
      </w:r>
      <w:r>
        <w:t>СК следует проводить мониторинг</w:t>
      </w:r>
      <w:r w:rsidRPr="006B215F">
        <w:t xml:space="preserve"> определения ДНК </w:t>
      </w:r>
      <w:r>
        <w:t>CMV</w:t>
      </w:r>
      <w:r w:rsidRPr="006B215F">
        <w:t xml:space="preserve"> не реже чем 1 раз в неделю. Длительность мониторинга составляет не менее 100 дней. Удлинение мониторинга рекомендовано у реципиентов с острой или хронической РТПХ, имевших </w:t>
      </w:r>
      <w:r>
        <w:t>CMV</w:t>
      </w:r>
      <w:r w:rsidRPr="006B215F">
        <w:t xml:space="preserve"> инфекцию в раннем периоде ТГСК, а также у реципиентов после несовместимой или неродственной ТГСК.</w:t>
      </w:r>
    </w:p>
    <w:p w14:paraId="18DB593C" w14:textId="77777777" w:rsidR="005802BC" w:rsidRPr="007F7F8C" w:rsidRDefault="005802BC" w:rsidP="005802BC">
      <w:pPr>
        <w:ind w:firstLine="708"/>
        <w:rPr>
          <w:bCs/>
          <w:i/>
          <w:iCs/>
        </w:rPr>
      </w:pPr>
      <w:r w:rsidRPr="007F7F8C">
        <w:rPr>
          <w:bCs/>
          <w:i/>
          <w:iCs/>
        </w:rPr>
        <w:t>Лечение</w:t>
      </w:r>
    </w:p>
    <w:p w14:paraId="31FB05D3" w14:textId="70CD58C3" w:rsidR="005802BC" w:rsidRPr="006B215F" w:rsidRDefault="005802BC" w:rsidP="005802BC">
      <w:pPr>
        <w:ind w:firstLine="708"/>
      </w:pPr>
      <w:r w:rsidRPr="006B215F">
        <w:t>Препаратом 1 линии является ганцикловир (внутривенно, 10 мг/кг/сутки, дозу разделяют на два приема)</w:t>
      </w:r>
      <w:r>
        <w:t xml:space="preserve"> </w:t>
      </w:r>
      <w:r w:rsidRPr="00E42938">
        <w:fldChar w:fldCharType="begin" w:fldLock="1"/>
      </w:r>
      <w:r w:rsidR="00434A06">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[164]","plainTextFormattedCitation":"[164]","previouslyFormattedCitation":"[164]"},"properties":{"noteIndex":0},"schema":"https://github.com/citation-style-language/schema/raw/master/csl-citation.json"}</w:instrText>
      </w:r>
      <w:r w:rsidRPr="00E42938">
        <w:fldChar w:fldCharType="separate"/>
      </w:r>
      <w:r w:rsidR="00D25525" w:rsidRPr="00D25525">
        <w:rPr>
          <w:noProof/>
        </w:rPr>
        <w:t>[164]</w:t>
      </w:r>
      <w:r w:rsidRPr="00E42938">
        <w:fldChar w:fldCharType="end"/>
      </w:r>
      <w:r w:rsidRPr="006B215F">
        <w:t>. При резистентности назначают фоскарнет. Длительность лечения составляет не мене 2 недель. Назначают поддерживающую терапию ганцикловиром, если виремия продолжает определяться через 2 недели</w:t>
      </w:r>
      <w:r>
        <w:t xml:space="preserve"> </w:t>
      </w:r>
      <w:r w:rsidRPr="00E42938">
        <w:fldChar w:fldCharType="begin" w:fldLock="1"/>
      </w:r>
      <w:r w:rsidR="00434A06">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[164]","plainTextFormattedCitation":"[164]","previouslyFormattedCitation":"[164]"},"properties":{"noteIndex":0},"schema":"https://github.com/citation-style-language/schema/raw/master/csl-citation.json"}</w:instrText>
      </w:r>
      <w:r w:rsidRPr="00E42938">
        <w:fldChar w:fldCharType="separate"/>
      </w:r>
      <w:r w:rsidR="00D25525" w:rsidRPr="00D25525">
        <w:rPr>
          <w:noProof/>
        </w:rPr>
        <w:t>[164]</w:t>
      </w:r>
      <w:r w:rsidRPr="00E42938">
        <w:fldChar w:fldCharType="end"/>
      </w:r>
      <w:r w:rsidRPr="006B215F">
        <w:t>.</w:t>
      </w:r>
    </w:p>
    <w:p w14:paraId="061B3DE2" w14:textId="77777777" w:rsidR="005802BC" w:rsidRDefault="005802BC" w:rsidP="005802BC">
      <w:pPr>
        <w:rPr>
          <w:bCs/>
          <w:i/>
          <w:iCs/>
          <w:u w:val="single"/>
        </w:rPr>
      </w:pPr>
    </w:p>
    <w:p w14:paraId="5E21AC7D" w14:textId="77777777" w:rsidR="005802BC" w:rsidRPr="00E42938" w:rsidRDefault="005802BC" w:rsidP="005802BC">
      <w:pPr>
        <w:rPr>
          <w:bCs/>
          <w:i/>
          <w:iCs/>
          <w:u w:val="single"/>
        </w:rPr>
      </w:pPr>
      <w:r w:rsidRPr="00E42938">
        <w:rPr>
          <w:bCs/>
          <w:i/>
          <w:iCs/>
          <w:u w:val="single"/>
        </w:rPr>
        <w:t>Вирус Эпштейна-Барр (Epstein-Barr virus – EBV)</w:t>
      </w:r>
    </w:p>
    <w:p w14:paraId="4CE329C0" w14:textId="3B4A020A" w:rsidR="005802BC" w:rsidRDefault="005802BC" w:rsidP="005802BC">
      <w:pPr>
        <w:ind w:firstLine="708"/>
      </w:pPr>
      <w:r w:rsidRPr="003605AD">
        <w:t xml:space="preserve">Проявления </w:t>
      </w:r>
      <w:r>
        <w:t>EBV</w:t>
      </w:r>
      <w:r w:rsidRPr="00275E66">
        <w:t>-</w:t>
      </w:r>
      <w:r w:rsidRPr="003605AD">
        <w:t xml:space="preserve">инфекции могут быть в виде </w:t>
      </w:r>
      <w:r>
        <w:t>инфекционного мононуклеоза, хронической EBV</w:t>
      </w:r>
      <w:r w:rsidRPr="00275E66">
        <w:t>-</w:t>
      </w:r>
      <w:r>
        <w:t>инфекции, EBV-ассоциированной опухоли. В некоторых случаях проявлением реактивации бывает энцефалит, пневмония и гепатит. Частота EBV-ассоциированного лимфопролиферативного заболевания составляет у реципиентов аутологичных ТГСК около 0, 07%, аллогенных ТГСК – 0,45-4%</w:t>
      </w:r>
      <w:r w:rsidRPr="006B215F">
        <w:t>;</w:t>
      </w:r>
      <w:r>
        <w:t xml:space="preserve"> наиболее высокий показатель после гаплоидентичной ТГСК (до 25%) и после деплеции Т-клеток (12-29%). Реципиенты после неродственной или частично совместимой ТГСК или после деплеции Т-клеток составляют группу риска в отношении развития EBV</w:t>
      </w:r>
      <w:r w:rsidRPr="006B215F">
        <w:t xml:space="preserve"> </w:t>
      </w:r>
      <w:r>
        <w:t xml:space="preserve">ассоциированной опухоли </w:t>
      </w:r>
      <w:r w:rsidRPr="00867D9A">
        <w:fldChar w:fldCharType="begin" w:fldLock="1"/>
      </w:r>
      <w:r w:rsidR="00434A06">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[163]","plainTextFormattedCitation":"[163]","previouslyFormattedCitation":"[163]"},"properties":{"noteIndex":0},"schema":"https://github.com/citation-style-language/schema/raw/master/csl-citation.json"}</w:instrText>
      </w:r>
      <w:r w:rsidRPr="00867D9A">
        <w:fldChar w:fldCharType="separate"/>
      </w:r>
      <w:r w:rsidR="00D25525" w:rsidRPr="00D25525">
        <w:rPr>
          <w:noProof/>
        </w:rPr>
        <w:t>[163]</w:t>
      </w:r>
      <w:r w:rsidRPr="00867D9A">
        <w:fldChar w:fldCharType="end"/>
      </w:r>
      <w:r>
        <w:t>.</w:t>
      </w:r>
    </w:p>
    <w:p w14:paraId="41C58BA2" w14:textId="77777777" w:rsidR="005802BC" w:rsidRPr="006B215F" w:rsidRDefault="005802BC" w:rsidP="005802BC">
      <w:pPr>
        <w:ind w:firstLine="708"/>
      </w:pPr>
      <w:r>
        <w:t>Диагностика – детекция ДНК EBV</w:t>
      </w:r>
      <w:r w:rsidRPr="006B215F">
        <w:t xml:space="preserve"> методом ПЦР (количественный метод). Мониторинг </w:t>
      </w:r>
      <w:r>
        <w:t>ДНК EBV</w:t>
      </w:r>
      <w:r w:rsidRPr="006B215F">
        <w:t xml:space="preserve"> в группе высо</w:t>
      </w:r>
      <w:r>
        <w:t>ко</w:t>
      </w:r>
      <w:r w:rsidRPr="006B215F">
        <w:t xml:space="preserve">го риска (аллогенная ТГСК) необходимо проводить еженедельно в течение 3х месяцев после ТГСК, более продолжительный период – при </w:t>
      </w:r>
      <w:r w:rsidRPr="006B215F">
        <w:lastRenderedPageBreak/>
        <w:t xml:space="preserve">хронической РТПХ, после </w:t>
      </w:r>
      <w:r>
        <w:t>гаплоидентичной ТГСК, а также среди пациентов с ранней реактивацией EBV</w:t>
      </w:r>
      <w:r w:rsidRPr="006B215F">
        <w:t>.</w:t>
      </w:r>
    </w:p>
    <w:p w14:paraId="528A9A5F" w14:textId="70FE0360" w:rsidR="005802BC" w:rsidRPr="003605AD" w:rsidRDefault="005802BC" w:rsidP="005802BC">
      <w:pPr>
        <w:ind w:firstLine="708"/>
      </w:pPr>
      <w:r w:rsidRPr="006B215F">
        <w:t xml:space="preserve">Лечение </w:t>
      </w:r>
      <w:r>
        <w:t xml:space="preserve">EBV-ассоциированного лимфопролиферативного заболевания проводят ритуксимабом </w:t>
      </w:r>
      <w:r w:rsidRPr="00867D9A">
        <w:fldChar w:fldCharType="begin" w:fldLock="1"/>
      </w:r>
      <w:r w:rsidR="00434A06">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[163]","plainTextFormattedCitation":"[163]","previouslyFormattedCitation":"[163]"},"properties":{"noteIndex":0},"schema":"https://github.com/citation-style-language/schema/raw/master/csl-citation.json"}</w:instrText>
      </w:r>
      <w:r w:rsidRPr="00867D9A">
        <w:fldChar w:fldCharType="separate"/>
      </w:r>
      <w:r w:rsidR="00D25525" w:rsidRPr="00D25525">
        <w:rPr>
          <w:noProof/>
        </w:rPr>
        <w:t>[163]</w:t>
      </w:r>
      <w:r w:rsidRPr="00867D9A">
        <w:fldChar w:fldCharType="end"/>
      </w:r>
      <w:r>
        <w:t>. Антивирусные препараты и иммуноглобулин не рекомендованы для лечения.</w:t>
      </w:r>
    </w:p>
    <w:p w14:paraId="2A510428" w14:textId="77777777" w:rsidR="005802BC" w:rsidRDefault="005802BC" w:rsidP="005802BC">
      <w:pPr>
        <w:rPr>
          <w:bCs/>
          <w:i/>
          <w:iCs/>
          <w:u w:val="single"/>
        </w:rPr>
      </w:pPr>
    </w:p>
    <w:p w14:paraId="01193D9D" w14:textId="77777777" w:rsidR="005802BC" w:rsidRPr="00023E68" w:rsidRDefault="005802BC" w:rsidP="005802BC">
      <w:pPr>
        <w:rPr>
          <w:bCs/>
          <w:i/>
          <w:iCs/>
          <w:u w:val="single"/>
        </w:rPr>
      </w:pPr>
      <w:r w:rsidRPr="00023E68">
        <w:rPr>
          <w:bCs/>
          <w:i/>
          <w:iCs/>
          <w:u w:val="single"/>
        </w:rPr>
        <w:t>Вирус герпеса человека 6 типа (Human herpes virus 6 – HHV-6)</w:t>
      </w:r>
    </w:p>
    <w:p w14:paraId="405D63A9" w14:textId="52CF84DD" w:rsidR="005802BC" w:rsidRPr="006B215F" w:rsidRDefault="005802BC" w:rsidP="005802BC">
      <w:pPr>
        <w:ind w:firstLine="708"/>
      </w:pPr>
      <w:r>
        <w:t>Среди</w:t>
      </w:r>
      <w:r w:rsidRPr="006B215F">
        <w:rPr>
          <w:b/>
        </w:rPr>
        <w:t xml:space="preserve"> </w:t>
      </w:r>
      <w:r w:rsidRPr="00620C7D">
        <w:t>HHV</w:t>
      </w:r>
      <w:r w:rsidRPr="006B215F">
        <w:t xml:space="preserve">6 выделяют тип А и тип В. </w:t>
      </w:r>
      <w:r>
        <w:t xml:space="preserve">Реактивация вируса может приводить к развитию энцефалита, угнетению костно-мозгового кроветворения, пневмонии, быть причиной диареи. Энцефалит, вызванный </w:t>
      </w:r>
      <w:r w:rsidRPr="005B1B4B">
        <w:t>HHV</w:t>
      </w:r>
      <w:r w:rsidRPr="006B215F">
        <w:t xml:space="preserve">6, является редким проявлением инфекции, описаны случаи при неродственной ТГСК. В СМЖ </w:t>
      </w:r>
      <w:r>
        <w:t>пациентов с</w:t>
      </w:r>
      <w:r w:rsidRPr="006B215F">
        <w:t xml:space="preserve"> энцефалитом </w:t>
      </w:r>
      <w:r w:rsidRPr="005B1B4B">
        <w:t>HHV</w:t>
      </w:r>
      <w:r>
        <w:t>-</w:t>
      </w:r>
      <w:r w:rsidRPr="006B215F">
        <w:t xml:space="preserve">6 определяется повышенный уровень белка, в половине случаев бывает плеоцитоз. </w:t>
      </w:r>
      <w:r w:rsidRPr="0028579C">
        <w:t>Компьютерная томография головного мозга</w:t>
      </w:r>
      <w:r w:rsidRPr="006B215F">
        <w:t xml:space="preserve"> может быть нормальной, изменения </w:t>
      </w:r>
      <w:r w:rsidRPr="0028579C">
        <w:t>определяются при магнитно-резонансной томографии</w:t>
      </w:r>
      <w:r>
        <w:t xml:space="preserve"> </w:t>
      </w:r>
      <w:r w:rsidRPr="00E42938">
        <w:fldChar w:fldCharType="begin" w:fldLock="1"/>
      </w:r>
      <w:r w:rsidR="00434A06">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[164]","plainTextFormattedCitation":"[164]","previouslyFormattedCitation":"[164]"},"properties":{"noteIndex":0},"schema":"https://github.com/citation-style-language/schema/raw/master/csl-citation.json"}</w:instrText>
      </w:r>
      <w:r w:rsidRPr="00E42938">
        <w:fldChar w:fldCharType="separate"/>
      </w:r>
      <w:r w:rsidR="00D25525" w:rsidRPr="00D25525">
        <w:rPr>
          <w:noProof/>
        </w:rPr>
        <w:t>[164]</w:t>
      </w:r>
      <w:r w:rsidRPr="00E42938">
        <w:fldChar w:fldCharType="end"/>
      </w:r>
      <w:r w:rsidRPr="006B215F">
        <w:t xml:space="preserve">. </w:t>
      </w:r>
    </w:p>
    <w:p w14:paraId="59C52A01" w14:textId="6C8635C1" w:rsidR="005802BC" w:rsidRDefault="005802BC" w:rsidP="005802BC">
      <w:pPr>
        <w:ind w:firstLine="708"/>
      </w:pPr>
      <w:r>
        <w:t xml:space="preserve">Диагностика проводится на основании молекулярно-биологического исследования на </w:t>
      </w:r>
      <w:r w:rsidRPr="00620C7D">
        <w:t>HHV</w:t>
      </w:r>
      <w:r w:rsidRPr="006B215F">
        <w:t>6</w:t>
      </w:r>
      <w:r>
        <w:t xml:space="preserve">, выявляющая ДНК вируса методом ПЦР в крови, в СМЖ, других биологических субстратах, в том числе, количественным методом. </w:t>
      </w:r>
    </w:p>
    <w:p w14:paraId="7BE944F9" w14:textId="5AA1BC9D" w:rsidR="005802BC" w:rsidRPr="00C1743E" w:rsidRDefault="005802BC" w:rsidP="005802BC">
      <w:pPr>
        <w:ind w:firstLine="708"/>
      </w:pPr>
      <w:r>
        <w:t xml:space="preserve">Лечение включает назначение ганцикловира или фоскарнета, возможно сочетанное применение препаратов </w:t>
      </w:r>
      <w:r w:rsidRPr="00E42938">
        <w:fldChar w:fldCharType="begin" w:fldLock="1"/>
      </w:r>
      <w:r w:rsidR="00434A06">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[164]","plainTextFormattedCitation":"[164]","previouslyFormattedCitation":"[164]"},"properties":{"noteIndex":0},"schema":"https://github.com/citation-style-language/schema/raw/master/csl-citation.json"}</w:instrText>
      </w:r>
      <w:r w:rsidRPr="00E42938">
        <w:fldChar w:fldCharType="separate"/>
      </w:r>
      <w:r w:rsidR="00D25525" w:rsidRPr="00D25525">
        <w:rPr>
          <w:noProof/>
        </w:rPr>
        <w:t>[164]</w:t>
      </w:r>
      <w:r w:rsidRPr="00E42938">
        <w:fldChar w:fldCharType="end"/>
      </w:r>
      <w:r w:rsidRPr="006B215F">
        <w:t>.</w:t>
      </w:r>
      <w:r>
        <w:t xml:space="preserve"> Профилактика в отношении HHV</w:t>
      </w:r>
      <w:r w:rsidRPr="006B215F">
        <w:t>-6</w:t>
      </w:r>
      <w:r>
        <w:t xml:space="preserve"> не проводится.</w:t>
      </w:r>
    </w:p>
    <w:p w14:paraId="62B7B010" w14:textId="4BA62ECF" w:rsidR="0007729C" w:rsidRDefault="0007729C" w:rsidP="0007729C">
      <w:pPr>
        <w:pStyle w:val="2"/>
        <w:spacing w:before="0"/>
      </w:pPr>
    </w:p>
    <w:p w14:paraId="5D42CAFE" w14:textId="43839A5E" w:rsidR="00434A06" w:rsidRPr="007531B6" w:rsidRDefault="00D25525" w:rsidP="00434A06">
      <w:pPr>
        <w:pStyle w:val="2"/>
        <w:spacing w:before="0"/>
      </w:pPr>
      <w:bookmarkStart w:id="80" w:name="_Toc66096849"/>
      <w:r w:rsidRPr="000322E4">
        <w:t>7.</w:t>
      </w:r>
      <w:r>
        <w:t xml:space="preserve">15 </w:t>
      </w:r>
      <w:bookmarkStart w:id="81" w:name="_Toc57985410"/>
      <w:bookmarkStart w:id="82" w:name="_Toc64478031"/>
      <w:bookmarkStart w:id="83" w:name="_Toc520213128"/>
      <w:r w:rsidR="00434A06">
        <w:t>Д</w:t>
      </w:r>
      <w:r w:rsidR="00434A06" w:rsidRPr="007531B6">
        <w:t>иагностика и лечение инфекций</w:t>
      </w:r>
      <w:r w:rsidR="00434A06">
        <w:t xml:space="preserve">, </w:t>
      </w:r>
      <w:r w:rsidR="00434A06" w:rsidRPr="007531B6">
        <w:t>вызванных грибами</w:t>
      </w:r>
      <w:bookmarkEnd w:id="80"/>
      <w:bookmarkEnd w:id="81"/>
      <w:bookmarkEnd w:id="82"/>
    </w:p>
    <w:p w14:paraId="66724810" w14:textId="77777777" w:rsidR="00434A06" w:rsidRPr="0002711B" w:rsidRDefault="00434A06" w:rsidP="00434A06">
      <w:pPr>
        <w:ind w:firstLine="708"/>
      </w:pPr>
      <w:r>
        <w:t>Высокотехнологичные методы лечения и особенности иммунодефицита у пациентов с гематологическими заболеваниями ассоциированы с увеличением частоты оппортунистических инфекций и прежде всего инфекционных осложнений, вызванных грибами. В структуре инвазивных микозов ведущую позицию занимает инвазивный аспергиллез, далее следует инвазивный кандидоз, возрастает частота микозов, вызванных другими плесневыми грибами. В приложении представлены характеристика инфекционного процесса, вызванного грибами, особенности диагностики и лечения в зависимости от выделенного возбудителя.</w:t>
      </w:r>
    </w:p>
    <w:p w14:paraId="49438D31" w14:textId="77777777" w:rsidR="00434A06" w:rsidRDefault="00434A06" w:rsidP="00434A06">
      <w:pPr>
        <w:widowControl w:val="0"/>
        <w:autoSpaceDE w:val="0"/>
        <w:autoSpaceDN w:val="0"/>
        <w:adjustRightInd w:val="0"/>
        <w:ind w:right="51"/>
        <w:contextualSpacing/>
        <w:rPr>
          <w:b/>
          <w:bCs/>
        </w:rPr>
      </w:pPr>
    </w:p>
    <w:p w14:paraId="3F8C628C" w14:textId="4A04FCFD" w:rsidR="00434A06" w:rsidRPr="00084B8B" w:rsidRDefault="00434A06" w:rsidP="00434A06">
      <w:pPr>
        <w:widowControl w:val="0"/>
        <w:autoSpaceDE w:val="0"/>
        <w:autoSpaceDN w:val="0"/>
        <w:adjustRightInd w:val="0"/>
        <w:ind w:right="49"/>
        <w:contextualSpacing/>
        <w:rPr>
          <w:bCs/>
          <w:u w:val="single"/>
        </w:rPr>
      </w:pPr>
      <w:r w:rsidRPr="00F87280">
        <w:rPr>
          <w:bCs/>
          <w:u w:val="single"/>
        </w:rPr>
        <w:t>Диагностика и лечение кандидоза</w:t>
      </w:r>
      <w:r>
        <w:rPr>
          <w:bCs/>
          <w:u w:val="single"/>
          <w:lang w:val="en-US"/>
        </w:rPr>
        <w:t xml:space="preserve"> </w:t>
      </w:r>
      <w:r>
        <w:rPr>
          <w:b/>
        </w:rPr>
        <w:fldChar w:fldCharType="begin" w:fldLock="1"/>
      </w:r>
      <w:r w:rsidR="00EC13BC">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-4","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mendeley":{"formattedCitation":"[158,159,165,166]","plainTextFormattedCitation":"[158,159,165,166]","previouslyFormattedCitation":"[158,159,165,166]"},"properties":{"noteIndex":0},"schema":"https://github.com/citation-style-language/schema/raw/master/csl-citation.json"}</w:instrText>
      </w:r>
      <w:r>
        <w:rPr>
          <w:b/>
        </w:rPr>
        <w:fldChar w:fldCharType="separate"/>
      </w:r>
      <w:r w:rsidRPr="00434A06">
        <w:rPr>
          <w:noProof/>
        </w:rPr>
        <w:t>[158,159,165,166]</w:t>
      </w:r>
      <w:r>
        <w:rPr>
          <w:b/>
        </w:rPr>
        <w:fldChar w:fldCharType="end"/>
      </w:r>
    </w:p>
    <w:p w14:paraId="07AD7539" w14:textId="77777777" w:rsidR="00434A06" w:rsidRPr="0014445B" w:rsidRDefault="00434A06" w:rsidP="00434A06">
      <w:pPr>
        <w:widowControl w:val="0"/>
        <w:autoSpaceDE w:val="0"/>
        <w:autoSpaceDN w:val="0"/>
        <w:adjustRightInd w:val="0"/>
        <w:ind w:right="51" w:firstLine="709"/>
        <w:contextualSpacing/>
        <w:rPr>
          <w:b/>
          <w:bCs/>
        </w:rPr>
      </w:pPr>
      <w:r w:rsidRPr="0014445B">
        <w:rPr>
          <w:b/>
          <w:bCs/>
        </w:rPr>
        <w:t>Кандидоз полости рта и глотки (орофарингеальный кандидоз)</w:t>
      </w:r>
    </w:p>
    <w:p w14:paraId="2476AF73" w14:textId="77777777" w:rsidR="00434A06" w:rsidRPr="00F87280" w:rsidRDefault="00434A06" w:rsidP="00434A06">
      <w:pPr>
        <w:widowControl w:val="0"/>
        <w:autoSpaceDE w:val="0"/>
        <w:autoSpaceDN w:val="0"/>
        <w:adjustRightInd w:val="0"/>
        <w:ind w:right="51" w:firstLine="709"/>
        <w:contextualSpacing/>
        <w:rPr>
          <w:i/>
          <w:iCs/>
        </w:rPr>
      </w:pPr>
      <w:r w:rsidRPr="00F87280">
        <w:rPr>
          <w:i/>
          <w:iCs/>
          <w:u w:val="single"/>
        </w:rPr>
        <w:t>Возбудители</w:t>
      </w:r>
    </w:p>
    <w:p w14:paraId="78359AE7" w14:textId="77777777" w:rsidR="00434A06" w:rsidRPr="00DA2BC8" w:rsidRDefault="00434A06" w:rsidP="00434A06">
      <w:pPr>
        <w:widowControl w:val="0"/>
        <w:autoSpaceDE w:val="0"/>
        <w:autoSpaceDN w:val="0"/>
        <w:adjustRightInd w:val="0"/>
        <w:ind w:right="51" w:firstLine="709"/>
        <w:contextualSpacing/>
      </w:pPr>
      <w:r w:rsidRPr="00DA2BC8">
        <w:t xml:space="preserve">Среди возбудителей преобладают </w:t>
      </w:r>
      <w:r w:rsidRPr="00DA2BC8">
        <w:rPr>
          <w:i/>
          <w:iCs/>
        </w:rPr>
        <w:t>Candida albicans,</w:t>
      </w:r>
      <w:r w:rsidRPr="00DA2BC8">
        <w:t xml:space="preserve"> часто в сочетании с бактериями. Другие виды выделяют реже </w:t>
      </w:r>
      <w:r>
        <w:t>(в основном, у пациентов,</w:t>
      </w:r>
      <w:r w:rsidRPr="00DA2BC8">
        <w:t xml:space="preserve"> длительно принимающих </w:t>
      </w:r>
      <w:r w:rsidRPr="00DA2BC8">
        <w:lastRenderedPageBreak/>
        <w:t>противогрибковые препараты</w:t>
      </w:r>
      <w:r>
        <w:t>)</w:t>
      </w:r>
      <w:r w:rsidRPr="00DA2BC8">
        <w:t>.</w:t>
      </w:r>
    </w:p>
    <w:p w14:paraId="3B847EBD" w14:textId="77777777" w:rsidR="00434A06" w:rsidRPr="00F87280" w:rsidRDefault="00434A06" w:rsidP="00434A06">
      <w:pPr>
        <w:widowControl w:val="0"/>
        <w:autoSpaceDE w:val="0"/>
        <w:autoSpaceDN w:val="0"/>
        <w:adjustRightInd w:val="0"/>
        <w:ind w:right="51" w:firstLine="709"/>
        <w:contextualSpacing/>
        <w:rPr>
          <w:i/>
          <w:iCs/>
          <w:u w:val="single"/>
        </w:rPr>
      </w:pPr>
      <w:r w:rsidRPr="00F87280">
        <w:rPr>
          <w:i/>
          <w:iCs/>
          <w:u w:val="single"/>
        </w:rPr>
        <w:t>Факторы риска</w:t>
      </w:r>
    </w:p>
    <w:p w14:paraId="64FEE503" w14:textId="77777777" w:rsidR="00434A06" w:rsidRPr="00DA2BC8" w:rsidRDefault="00434A06" w:rsidP="00434A06">
      <w:pPr>
        <w:widowControl w:val="0"/>
        <w:autoSpaceDE w:val="0"/>
        <w:autoSpaceDN w:val="0"/>
        <w:adjustRightInd w:val="0"/>
        <w:ind w:right="51" w:firstLine="709"/>
        <w:contextualSpacing/>
      </w:pPr>
      <w:r w:rsidRPr="00DA2BC8">
        <w:t>Основными факторами риска являются нейтропения, применение антибиотиков, глюкокортикоидов, цитостатиков и иммунодепрессантов, проведение лучевой терапии.</w:t>
      </w:r>
    </w:p>
    <w:p w14:paraId="21A48174" w14:textId="77777777" w:rsidR="00434A06" w:rsidRPr="00F87280" w:rsidRDefault="00434A06" w:rsidP="00434A06">
      <w:pPr>
        <w:widowControl w:val="0"/>
        <w:autoSpaceDE w:val="0"/>
        <w:autoSpaceDN w:val="0"/>
        <w:adjustRightInd w:val="0"/>
        <w:ind w:right="51" w:firstLine="709"/>
        <w:contextualSpacing/>
        <w:rPr>
          <w:i/>
          <w:iCs/>
          <w:u w:val="single"/>
        </w:rPr>
      </w:pPr>
      <w:r w:rsidRPr="00F87280">
        <w:rPr>
          <w:i/>
          <w:iCs/>
          <w:u w:val="single"/>
        </w:rPr>
        <w:t>Симптомы инфекции</w:t>
      </w:r>
    </w:p>
    <w:p w14:paraId="3F06FF0E" w14:textId="77777777" w:rsidR="00434A06" w:rsidRPr="00DA2BC8" w:rsidRDefault="00434A06" w:rsidP="00434A06">
      <w:pPr>
        <w:widowControl w:val="0"/>
        <w:autoSpaceDE w:val="0"/>
        <w:autoSpaceDN w:val="0"/>
        <w:adjustRightInd w:val="0"/>
        <w:ind w:right="51" w:firstLine="709"/>
        <w:contextualSpacing/>
      </w:pPr>
      <w:r w:rsidRPr="00DA2BC8">
        <w:t>Клинические проявления орофарингеального кандидоза - налеты белого цвета или гиперемия слизистой оболочки ротоглотки, боль в полости рта.</w:t>
      </w:r>
    </w:p>
    <w:p w14:paraId="0A73939B" w14:textId="77777777" w:rsidR="00434A06" w:rsidRPr="00F87280" w:rsidRDefault="00434A06" w:rsidP="00434A06">
      <w:pPr>
        <w:widowControl w:val="0"/>
        <w:autoSpaceDE w:val="0"/>
        <w:autoSpaceDN w:val="0"/>
        <w:adjustRightInd w:val="0"/>
        <w:ind w:right="51" w:firstLine="709"/>
        <w:contextualSpacing/>
        <w:rPr>
          <w:i/>
          <w:iCs/>
          <w:u w:val="single"/>
        </w:rPr>
      </w:pPr>
      <w:r w:rsidRPr="00F87280">
        <w:rPr>
          <w:i/>
          <w:iCs/>
          <w:u w:val="single"/>
        </w:rPr>
        <w:t>Диагностика</w:t>
      </w:r>
    </w:p>
    <w:p w14:paraId="0EF25AC8" w14:textId="77777777" w:rsidR="00434A06" w:rsidRPr="00DA2BC8" w:rsidRDefault="00434A06" w:rsidP="00434A06">
      <w:pPr>
        <w:widowControl w:val="0"/>
        <w:autoSpaceDE w:val="0"/>
        <w:autoSpaceDN w:val="0"/>
        <w:adjustRightInd w:val="0"/>
        <w:ind w:right="51" w:firstLine="709"/>
        <w:contextualSpacing/>
      </w:pPr>
      <w:r w:rsidRPr="00DA2BC8">
        <w:t>При наличии симптомов берут мазок с измененной слизистой оболочки для микробиологического исследования (</w:t>
      </w:r>
      <w:r>
        <w:t xml:space="preserve">культуральное исследование, </w:t>
      </w:r>
      <w:r w:rsidRPr="00DA2BC8">
        <w:t xml:space="preserve">посев). При выделении </w:t>
      </w:r>
      <w:r w:rsidRPr="00DA2BC8">
        <w:rPr>
          <w:i/>
          <w:iCs/>
        </w:rPr>
        <w:t>Candida</w:t>
      </w:r>
      <w:r w:rsidRPr="00DA2BC8">
        <w:t xml:space="preserve"> spp. проводят идентификацию до вида. Чувствительность к противогрибковым препаратам определяют при длительном, рецидивирующем орофарингеальном кандидозе </w:t>
      </w:r>
    </w:p>
    <w:p w14:paraId="02916A59" w14:textId="77777777" w:rsidR="00434A06" w:rsidRPr="00F87280" w:rsidRDefault="00434A06" w:rsidP="00434A06">
      <w:pPr>
        <w:widowControl w:val="0"/>
        <w:autoSpaceDE w:val="0"/>
        <w:autoSpaceDN w:val="0"/>
        <w:adjustRightInd w:val="0"/>
        <w:ind w:right="51" w:firstLine="709"/>
        <w:contextualSpacing/>
        <w:rPr>
          <w:i/>
          <w:iCs/>
        </w:rPr>
      </w:pPr>
      <w:r w:rsidRPr="00F87280">
        <w:rPr>
          <w:i/>
          <w:iCs/>
          <w:u w:val="single"/>
        </w:rPr>
        <w:t>Показания к назначению противогрибковых препаратов</w:t>
      </w:r>
    </w:p>
    <w:p w14:paraId="1FA99AF2" w14:textId="77777777" w:rsidR="00434A06" w:rsidRPr="00DA2BC8" w:rsidRDefault="00434A06" w:rsidP="00434A06">
      <w:pPr>
        <w:widowControl w:val="0"/>
        <w:autoSpaceDE w:val="0"/>
        <w:autoSpaceDN w:val="0"/>
        <w:adjustRightInd w:val="0"/>
        <w:ind w:right="51" w:firstLine="709"/>
        <w:contextualSpacing/>
      </w:pPr>
      <w:r w:rsidRPr="00DA2BC8">
        <w:t xml:space="preserve">Наличие симптомов и выделение </w:t>
      </w:r>
      <w:r w:rsidRPr="00DA2BC8">
        <w:rPr>
          <w:i/>
          <w:iCs/>
        </w:rPr>
        <w:t xml:space="preserve">Candida </w:t>
      </w:r>
      <w:r w:rsidRPr="00DA2BC8">
        <w:t xml:space="preserve">spp. в мазках со слизистой ротоглотки. </w:t>
      </w:r>
    </w:p>
    <w:p w14:paraId="48A9FBC0" w14:textId="77777777" w:rsidR="00434A06" w:rsidRPr="00F87280" w:rsidRDefault="00434A06" w:rsidP="00434A06">
      <w:pPr>
        <w:widowControl w:val="0"/>
        <w:autoSpaceDE w:val="0"/>
        <w:autoSpaceDN w:val="0"/>
        <w:adjustRightInd w:val="0"/>
        <w:ind w:right="51" w:firstLine="709"/>
        <w:contextualSpacing/>
        <w:rPr>
          <w:i/>
          <w:iCs/>
          <w:u w:val="single"/>
        </w:rPr>
      </w:pPr>
      <w:r w:rsidRPr="00F87280">
        <w:rPr>
          <w:i/>
          <w:iCs/>
          <w:u w:val="single"/>
        </w:rPr>
        <w:t xml:space="preserve">Лечение </w:t>
      </w:r>
    </w:p>
    <w:p w14:paraId="3C2BCA52" w14:textId="77777777" w:rsidR="00434A06" w:rsidRPr="00DA2BC8" w:rsidRDefault="00434A06" w:rsidP="00434A06">
      <w:pPr>
        <w:widowControl w:val="0"/>
        <w:autoSpaceDE w:val="0"/>
        <w:autoSpaceDN w:val="0"/>
        <w:adjustRightInd w:val="0"/>
        <w:ind w:right="51" w:firstLine="709"/>
        <w:contextualSpacing/>
        <w:rPr>
          <w:b/>
          <w:bCs/>
        </w:rPr>
      </w:pPr>
      <w:r w:rsidRPr="00DA2BC8">
        <w:rPr>
          <w:bCs/>
        </w:rPr>
        <w:t>Препарат выбора</w:t>
      </w:r>
      <w:r w:rsidRPr="00DA2BC8">
        <w:t xml:space="preserve"> — флуконазол, по 400 мг 1 раз в сутки внутрь или внутривенно.</w:t>
      </w:r>
      <w:r w:rsidRPr="00DA2BC8">
        <w:rPr>
          <w:b/>
          <w:bCs/>
        </w:rPr>
        <w:t xml:space="preserve"> </w:t>
      </w:r>
      <w:r w:rsidRPr="00DA2BC8">
        <w:t xml:space="preserve">Флуконазол не назначают при выделении </w:t>
      </w:r>
      <w:r w:rsidRPr="00DA2BC8">
        <w:rPr>
          <w:i/>
          <w:iCs/>
        </w:rPr>
        <w:t>C. krusei</w:t>
      </w:r>
      <w:r w:rsidRPr="00DA2BC8">
        <w:t xml:space="preserve"> или </w:t>
      </w:r>
      <w:r w:rsidRPr="00DA2BC8">
        <w:rPr>
          <w:i/>
          <w:iCs/>
        </w:rPr>
        <w:t xml:space="preserve">C. glabrata. </w:t>
      </w:r>
      <w:r w:rsidRPr="00DA2BC8">
        <w:rPr>
          <w:iCs/>
        </w:rPr>
        <w:t>При</w:t>
      </w:r>
      <w:r w:rsidRPr="00DA2BC8">
        <w:rPr>
          <w:i/>
          <w:iCs/>
        </w:rPr>
        <w:t xml:space="preserve"> </w:t>
      </w:r>
      <w:r w:rsidRPr="00DA2BC8">
        <w:t xml:space="preserve">детекции </w:t>
      </w:r>
      <w:r w:rsidRPr="00DA2BC8">
        <w:rPr>
          <w:i/>
          <w:iCs/>
        </w:rPr>
        <w:t xml:space="preserve">С. krusei </w:t>
      </w:r>
      <w:r w:rsidRPr="00DA2BC8">
        <w:t>или</w:t>
      </w:r>
      <w:r w:rsidRPr="00DA2BC8">
        <w:rPr>
          <w:i/>
          <w:iCs/>
        </w:rPr>
        <w:t xml:space="preserve"> C. glabrata</w:t>
      </w:r>
      <w:r w:rsidRPr="00DA2BC8">
        <w:rPr>
          <w:iCs/>
        </w:rPr>
        <w:t xml:space="preserve"> применяют</w:t>
      </w:r>
      <w:r w:rsidRPr="00DA2BC8">
        <w:rPr>
          <w:i/>
          <w:iCs/>
        </w:rPr>
        <w:t xml:space="preserve"> </w:t>
      </w:r>
      <w:r w:rsidRPr="00DA2BC8">
        <w:t xml:space="preserve">нистатин (5-8 гр в сутки), при выраженном мукозите у больных с фебрильной лейкопенией – эхиноканадин (микафунгин или каспофунгин, или анидулафунгин). </w:t>
      </w:r>
      <w:r w:rsidRPr="00DA2BC8">
        <w:rPr>
          <w:bCs/>
        </w:rPr>
        <w:t xml:space="preserve">При неэффективном применении флуконазола проводят замену на </w:t>
      </w:r>
      <w:r w:rsidRPr="00DA2BC8">
        <w:t xml:space="preserve">эхиноканадин (микафунгин по 100 мг 1 раза в сутки или каспофунгин в 1-й день 70 мг, а затем 50 мг в сутки, анидулафунгин в 1-й день 200 мг, а затем по 100 мг в сутки), позаконазол (суспензия, внутрь после еды), по 400 мг 2 раза в сутки в течение 3 дней, затем по 400 мг 1 раз в день; или вориконазол (таблетки), по 200 мг 2 раза в сутки внутрь; или амфотерицин В, 0,3-0,5 мг/кг/сут внутривенно. </w:t>
      </w:r>
      <w:r w:rsidRPr="00DA2BC8">
        <w:rPr>
          <w:bCs/>
        </w:rPr>
        <w:t>Длительность лечения</w:t>
      </w:r>
      <w:r w:rsidRPr="00DA2BC8">
        <w:t xml:space="preserve"> составляет 7-10 дней. Более длительное применение системных противогрибковых препаратов приводит к появлению флуконазолрезистентных штаммов грибов.</w:t>
      </w:r>
    </w:p>
    <w:p w14:paraId="76FD6FE5" w14:textId="77777777" w:rsidR="00434A06" w:rsidRPr="0014445B" w:rsidRDefault="00434A06" w:rsidP="00434A06">
      <w:pPr>
        <w:widowControl w:val="0"/>
        <w:autoSpaceDE w:val="0"/>
        <w:autoSpaceDN w:val="0"/>
        <w:adjustRightInd w:val="0"/>
        <w:ind w:right="50" w:firstLine="709"/>
        <w:contextualSpacing/>
        <w:rPr>
          <w:b/>
          <w:bCs/>
        </w:rPr>
      </w:pPr>
      <w:r w:rsidRPr="0014445B">
        <w:rPr>
          <w:b/>
          <w:bCs/>
        </w:rPr>
        <w:t>Кандидоз пищевода</w:t>
      </w:r>
    </w:p>
    <w:p w14:paraId="73BAA8A9" w14:textId="77777777" w:rsidR="00434A06" w:rsidRPr="00F87280" w:rsidRDefault="00434A06" w:rsidP="00434A06">
      <w:pPr>
        <w:widowControl w:val="0"/>
        <w:autoSpaceDE w:val="0"/>
        <w:autoSpaceDN w:val="0"/>
        <w:adjustRightInd w:val="0"/>
        <w:ind w:right="50" w:firstLine="709"/>
        <w:contextualSpacing/>
        <w:rPr>
          <w:i/>
          <w:iCs/>
          <w:u w:val="single"/>
        </w:rPr>
      </w:pPr>
      <w:r w:rsidRPr="00F87280">
        <w:rPr>
          <w:i/>
          <w:iCs/>
          <w:u w:val="single"/>
        </w:rPr>
        <w:t>Возбудители</w:t>
      </w:r>
    </w:p>
    <w:p w14:paraId="5AE560FE" w14:textId="77777777" w:rsidR="00434A06" w:rsidRPr="00DA2BC8" w:rsidRDefault="00434A06" w:rsidP="00434A06">
      <w:pPr>
        <w:widowControl w:val="0"/>
        <w:autoSpaceDE w:val="0"/>
        <w:autoSpaceDN w:val="0"/>
        <w:adjustRightInd w:val="0"/>
        <w:ind w:right="50" w:firstLine="709"/>
        <w:contextualSpacing/>
      </w:pPr>
      <w:r w:rsidRPr="00DA2BC8">
        <w:t xml:space="preserve">Среди возбудителей преобладают </w:t>
      </w:r>
      <w:r w:rsidRPr="00DA2BC8">
        <w:rPr>
          <w:i/>
          <w:iCs/>
        </w:rPr>
        <w:t>C. albicans.</w:t>
      </w:r>
    </w:p>
    <w:p w14:paraId="2CC6C505" w14:textId="77777777" w:rsidR="00434A06" w:rsidRPr="00DA2BC8" w:rsidRDefault="00434A06" w:rsidP="00434A06">
      <w:pPr>
        <w:widowControl w:val="0"/>
        <w:autoSpaceDE w:val="0"/>
        <w:autoSpaceDN w:val="0"/>
        <w:adjustRightInd w:val="0"/>
        <w:ind w:right="50" w:firstLine="709"/>
        <w:contextualSpacing/>
      </w:pPr>
      <w:r w:rsidRPr="00F87280">
        <w:rPr>
          <w:i/>
          <w:iCs/>
          <w:u w:val="single"/>
        </w:rPr>
        <w:t>Факторы риска</w:t>
      </w:r>
      <w:r w:rsidRPr="00DA2BC8">
        <w:t xml:space="preserve"> те же, что при орофарингеальном кандидозе.</w:t>
      </w:r>
    </w:p>
    <w:p w14:paraId="60811500" w14:textId="77777777" w:rsidR="00434A06" w:rsidRPr="00F87280" w:rsidRDefault="00434A06" w:rsidP="00434A06">
      <w:pPr>
        <w:widowControl w:val="0"/>
        <w:autoSpaceDE w:val="0"/>
        <w:autoSpaceDN w:val="0"/>
        <w:adjustRightInd w:val="0"/>
        <w:ind w:right="50" w:firstLine="709"/>
        <w:contextualSpacing/>
        <w:rPr>
          <w:i/>
          <w:iCs/>
          <w:u w:val="single"/>
        </w:rPr>
      </w:pPr>
      <w:r w:rsidRPr="00F87280">
        <w:rPr>
          <w:i/>
          <w:iCs/>
          <w:u w:val="single"/>
        </w:rPr>
        <w:t>Симптомы инфекции</w:t>
      </w:r>
    </w:p>
    <w:p w14:paraId="530F8614" w14:textId="77777777" w:rsidR="00434A06" w:rsidRPr="00DA2BC8" w:rsidRDefault="00434A06" w:rsidP="00434A06">
      <w:pPr>
        <w:widowControl w:val="0"/>
        <w:autoSpaceDE w:val="0"/>
        <w:autoSpaceDN w:val="0"/>
        <w:adjustRightInd w:val="0"/>
        <w:ind w:right="50" w:firstLine="709"/>
        <w:contextualSpacing/>
      </w:pPr>
      <w:r w:rsidRPr="00DA2BC8">
        <w:t>Клинические проявления кандидозного эзофагита — боль по ходу пищевода при глотании, боль или дискомфорт за грудиной в покое. Преобладает поражение дистального отдела пищевода.</w:t>
      </w:r>
    </w:p>
    <w:p w14:paraId="15978862" w14:textId="77777777" w:rsidR="00434A06" w:rsidRPr="00F87280" w:rsidRDefault="00434A06" w:rsidP="00434A06">
      <w:pPr>
        <w:widowControl w:val="0"/>
        <w:autoSpaceDE w:val="0"/>
        <w:autoSpaceDN w:val="0"/>
        <w:adjustRightInd w:val="0"/>
        <w:ind w:right="50" w:firstLine="709"/>
        <w:contextualSpacing/>
        <w:rPr>
          <w:i/>
          <w:iCs/>
        </w:rPr>
      </w:pPr>
      <w:r w:rsidRPr="00F87280">
        <w:rPr>
          <w:i/>
          <w:iCs/>
          <w:u w:val="single"/>
        </w:rPr>
        <w:lastRenderedPageBreak/>
        <w:t>Диагностика</w:t>
      </w:r>
    </w:p>
    <w:p w14:paraId="7157C647" w14:textId="77777777" w:rsidR="00434A06" w:rsidRPr="00DA2BC8" w:rsidRDefault="00434A06" w:rsidP="00434A06">
      <w:pPr>
        <w:widowControl w:val="0"/>
        <w:autoSpaceDE w:val="0"/>
        <w:autoSpaceDN w:val="0"/>
        <w:adjustRightInd w:val="0"/>
        <w:ind w:right="50" w:firstLine="709"/>
        <w:contextualSpacing/>
      </w:pPr>
      <w:r w:rsidRPr="00DA2BC8">
        <w:t>Проводят эзофагоскопию, при которой выявляют гиперемию или фибриновые налеты на слизистой оболочке пищевода. С измененной слизистой оболочки пищевода берут соскоб браш-методом (при гранулоцитопении и тромбоцитопении) или биоптат (если тромбоцитов в гемограмме более 50,0×10</w:t>
      </w:r>
      <w:r w:rsidRPr="00DA2BC8">
        <w:rPr>
          <w:vertAlign w:val="superscript"/>
        </w:rPr>
        <w:t>9</w:t>
      </w:r>
      <w:r w:rsidRPr="00DA2BC8">
        <w:t xml:space="preserve">/л) для микробиологического исследования. При выделении </w:t>
      </w:r>
      <w:r w:rsidRPr="00DA2BC8">
        <w:rPr>
          <w:i/>
          <w:iCs/>
        </w:rPr>
        <w:t>Candida</w:t>
      </w:r>
      <w:r w:rsidRPr="00DA2BC8">
        <w:t xml:space="preserve"> spp. проводят идентификацию до вида и определение чувствительности. Биоптат пищевода исследуют в лаборатории микробиологии (микроскопия и </w:t>
      </w:r>
      <w:r>
        <w:t>культуральное исследование/</w:t>
      </w:r>
      <w:r w:rsidRPr="00DA2BC8">
        <w:t>посев), вирусологии (</w:t>
      </w:r>
      <w:r>
        <w:t>молекулярно-биологическое определение</w:t>
      </w:r>
      <w:r w:rsidRPr="00DA2BC8">
        <w:t xml:space="preserve"> ДНК герпес-вирусов методом ПЦР) и гистологии</w:t>
      </w:r>
      <w:r>
        <w:t xml:space="preserve"> (гистологическое исследование биоптата)</w:t>
      </w:r>
      <w:r w:rsidRPr="00DA2BC8">
        <w:t>.</w:t>
      </w:r>
    </w:p>
    <w:p w14:paraId="4F5E9837" w14:textId="77777777" w:rsidR="00434A06" w:rsidRPr="00F87280" w:rsidRDefault="00434A06" w:rsidP="00434A06">
      <w:pPr>
        <w:widowControl w:val="0"/>
        <w:autoSpaceDE w:val="0"/>
        <w:autoSpaceDN w:val="0"/>
        <w:adjustRightInd w:val="0"/>
        <w:ind w:right="50" w:firstLine="709"/>
        <w:contextualSpacing/>
        <w:rPr>
          <w:i/>
          <w:iCs/>
          <w:u w:val="single"/>
        </w:rPr>
      </w:pPr>
      <w:r w:rsidRPr="00F87280">
        <w:rPr>
          <w:i/>
          <w:iCs/>
          <w:u w:val="single"/>
        </w:rPr>
        <w:t>Показания к назначению противогрибковых препаратов</w:t>
      </w:r>
    </w:p>
    <w:p w14:paraId="7B024AB9" w14:textId="77777777" w:rsidR="00434A06" w:rsidRPr="00DA2BC8" w:rsidRDefault="00434A06" w:rsidP="00434A06">
      <w:pPr>
        <w:widowControl w:val="0"/>
        <w:autoSpaceDE w:val="0"/>
        <w:autoSpaceDN w:val="0"/>
        <w:adjustRightInd w:val="0"/>
        <w:ind w:right="50" w:firstLine="709"/>
        <w:contextualSpacing/>
      </w:pPr>
      <w:r w:rsidRPr="00DA2BC8">
        <w:t xml:space="preserve">Наличие симптомов эзофагита и выделение дрожжевых грибов со слизистой оболочки пищевода при эзофагоскопии. Если невозможно провести эзофагоскопию, то противогрибковые препараты назначают на основании клинических проявлений эзофагита. </w:t>
      </w:r>
    </w:p>
    <w:p w14:paraId="21F985C2" w14:textId="77777777" w:rsidR="00434A06" w:rsidRPr="00F87280" w:rsidRDefault="00434A06" w:rsidP="00434A06">
      <w:pPr>
        <w:widowControl w:val="0"/>
        <w:autoSpaceDE w:val="0"/>
        <w:autoSpaceDN w:val="0"/>
        <w:adjustRightInd w:val="0"/>
        <w:ind w:right="50" w:firstLine="709"/>
        <w:contextualSpacing/>
        <w:rPr>
          <w:i/>
          <w:iCs/>
          <w:u w:val="single"/>
        </w:rPr>
      </w:pPr>
      <w:r w:rsidRPr="00F87280">
        <w:rPr>
          <w:i/>
          <w:iCs/>
          <w:u w:val="single"/>
        </w:rPr>
        <w:t>Лечение</w:t>
      </w:r>
    </w:p>
    <w:p w14:paraId="7C8D2257" w14:textId="77777777" w:rsidR="00434A06" w:rsidRPr="00DA2BC8" w:rsidRDefault="00434A06" w:rsidP="00434A06">
      <w:pPr>
        <w:widowControl w:val="0"/>
        <w:autoSpaceDE w:val="0"/>
        <w:autoSpaceDN w:val="0"/>
        <w:adjustRightInd w:val="0"/>
        <w:ind w:right="50" w:firstLine="709"/>
        <w:contextualSpacing/>
      </w:pPr>
      <w:r w:rsidRPr="00DA2BC8">
        <w:t>Во всех случаях назначают системные противогрибковые препараты. Препараты, обладающие местным действием, для лечения не используют. По возможности сокращают число используемых антибиотиков или отменяют их.</w:t>
      </w:r>
    </w:p>
    <w:p w14:paraId="4D6B4CA8" w14:textId="77777777" w:rsidR="00434A06" w:rsidRPr="00DA2BC8" w:rsidRDefault="00434A06" w:rsidP="00434A06">
      <w:pPr>
        <w:widowControl w:val="0"/>
        <w:autoSpaceDE w:val="0"/>
        <w:autoSpaceDN w:val="0"/>
        <w:adjustRightInd w:val="0"/>
        <w:ind w:right="50" w:firstLine="709"/>
        <w:contextualSpacing/>
      </w:pPr>
      <w:r w:rsidRPr="00DA2BC8">
        <w:rPr>
          <w:bCs/>
        </w:rPr>
        <w:t xml:space="preserve">Препарат выбора (исключение </w:t>
      </w:r>
      <w:r w:rsidRPr="00DA2BC8">
        <w:rPr>
          <w:bCs/>
          <w:i/>
          <w:iCs/>
        </w:rPr>
        <w:t>C. krusei</w:t>
      </w:r>
      <w:r w:rsidRPr="00DA2BC8">
        <w:rPr>
          <w:bCs/>
        </w:rPr>
        <w:t xml:space="preserve"> или </w:t>
      </w:r>
      <w:r w:rsidRPr="00DA2BC8">
        <w:rPr>
          <w:bCs/>
          <w:i/>
          <w:iCs/>
        </w:rPr>
        <w:t>C. glabrata</w:t>
      </w:r>
      <w:r w:rsidRPr="00DA2BC8">
        <w:rPr>
          <w:bCs/>
        </w:rPr>
        <w:t>)</w:t>
      </w:r>
      <w:r w:rsidRPr="00DA2BC8">
        <w:t xml:space="preserve"> — флуконазол, по 400 мг 1 раз в сутки внутрь или внутривенно. </w:t>
      </w:r>
      <w:r w:rsidRPr="00DA2BC8">
        <w:rPr>
          <w:bCs/>
        </w:rPr>
        <w:t>Альтернативные препараты</w:t>
      </w:r>
      <w:r w:rsidRPr="00DA2BC8">
        <w:t xml:space="preserve"> - каспофунгин по 50 мг внутривенно 1 раз в сутки, в 1-й день 70 мг; микафунгин по 100 мг внутривенно 1 раз в сутки; анидулафунгин по 100 мг внутривенно 1 раз в сутки, в 1-й день 200 мг; вориконазол по 3 мг/кг внутривенно 2 раза в сутки, в 1-й день по 6 мг/кг 2 раза в сутки или по 200 мг внутрь 2 раза в сутки; итраконазол (суспензия) по 200 мг 2 раза в сутки внутрь (натощак); позаконазол (суспензия) по 400 мг 2 раза в сутки (после приема пищи); амфотерицин В по 0,5-0,7 мг/кг внутривенно 1 раз в сутки. </w:t>
      </w:r>
      <w:r w:rsidRPr="00DA2BC8">
        <w:rPr>
          <w:bCs/>
        </w:rPr>
        <w:t>При неэффективности флуконазола</w:t>
      </w:r>
      <w:r w:rsidRPr="00DA2BC8">
        <w:t xml:space="preserve"> выбор препарата проводят на основании видовой идентификации </w:t>
      </w:r>
      <w:r w:rsidRPr="00DA2BC8">
        <w:rPr>
          <w:i/>
          <w:iCs/>
        </w:rPr>
        <w:t>Candida</w:t>
      </w:r>
      <w:r w:rsidRPr="00DA2BC8">
        <w:t xml:space="preserve"> spp. и определения чувствительности. Препарат выбора при эзофагите, вызванном </w:t>
      </w:r>
      <w:r w:rsidRPr="00DA2BC8">
        <w:rPr>
          <w:i/>
        </w:rPr>
        <w:t>C. krusei</w:t>
      </w:r>
      <w:r w:rsidRPr="00DA2BC8">
        <w:t xml:space="preserve"> или </w:t>
      </w:r>
      <w:r w:rsidRPr="00DA2BC8">
        <w:rPr>
          <w:i/>
        </w:rPr>
        <w:t>C. glabrata</w:t>
      </w:r>
      <w:r w:rsidRPr="00DA2BC8">
        <w:t xml:space="preserve"> – эхинокандин (каспофунгин или микафунгин или анидулафунгин). Не проводят замену флуконазола на азолы (итраконазол или вориконазол, или позаконазол) ввиду перекрестной резистентности. Допустима замена флуконазола на вориконазол при выделении </w:t>
      </w:r>
      <w:r w:rsidRPr="00DA2BC8">
        <w:rPr>
          <w:i/>
          <w:iCs/>
        </w:rPr>
        <w:t>C. krusei.</w:t>
      </w:r>
      <w:r w:rsidRPr="00DA2BC8">
        <w:t xml:space="preserve"> </w:t>
      </w:r>
      <w:r w:rsidRPr="00DA2BC8">
        <w:rPr>
          <w:bCs/>
        </w:rPr>
        <w:t xml:space="preserve">Длительность лечения </w:t>
      </w:r>
      <w:r w:rsidRPr="00DA2BC8">
        <w:t>составляет 14-21 день.</w:t>
      </w:r>
    </w:p>
    <w:p w14:paraId="286895FC" w14:textId="77777777" w:rsidR="00434A06" w:rsidRPr="0014445B" w:rsidRDefault="00434A06" w:rsidP="00434A06">
      <w:pPr>
        <w:widowControl w:val="0"/>
        <w:autoSpaceDE w:val="0"/>
        <w:autoSpaceDN w:val="0"/>
        <w:adjustRightInd w:val="0"/>
        <w:ind w:right="50" w:firstLine="709"/>
        <w:contextualSpacing/>
        <w:rPr>
          <w:b/>
          <w:bCs/>
        </w:rPr>
      </w:pPr>
      <w:r w:rsidRPr="0014445B">
        <w:rPr>
          <w:b/>
          <w:bCs/>
        </w:rPr>
        <w:t>Инвазивный кандидоз</w:t>
      </w:r>
    </w:p>
    <w:p w14:paraId="4F4EACED" w14:textId="77777777" w:rsidR="00434A06" w:rsidRPr="00DA2BC8" w:rsidRDefault="00434A06" w:rsidP="00434A06">
      <w:pPr>
        <w:widowControl w:val="0"/>
        <w:autoSpaceDE w:val="0"/>
        <w:autoSpaceDN w:val="0"/>
        <w:adjustRightInd w:val="0"/>
        <w:ind w:right="50" w:firstLine="709"/>
        <w:contextualSpacing/>
      </w:pPr>
      <w:r w:rsidRPr="00DA2BC8">
        <w:rPr>
          <w:bCs/>
        </w:rPr>
        <w:t xml:space="preserve">Наличие симптомов инфекции и выделение  </w:t>
      </w:r>
      <w:r w:rsidRPr="00DA2BC8">
        <w:rPr>
          <w:bCs/>
          <w:i/>
        </w:rPr>
        <w:t>Candida</w:t>
      </w:r>
      <w:r w:rsidRPr="00DA2BC8">
        <w:rPr>
          <w:bCs/>
        </w:rPr>
        <w:t xml:space="preserve"> spp из стерильных в норме </w:t>
      </w:r>
      <w:r w:rsidRPr="00DA2BC8">
        <w:rPr>
          <w:bCs/>
        </w:rPr>
        <w:lastRenderedPageBreak/>
        <w:t>образцов (</w:t>
      </w:r>
      <w:r w:rsidRPr="00DA2BC8">
        <w:t xml:space="preserve">кровь, биоптаты органов и тканей, аспираты). Наиболее частым проявлениям является кандидемия. При кандидемии у больных с нейтропенией может развиться острый диссеминированный кандидоз в результате диссеминации кандид, септический шок, полиорганная недостаточность, смерть. Выделение </w:t>
      </w:r>
      <w:r w:rsidRPr="00DA2BC8">
        <w:rPr>
          <w:i/>
          <w:iCs/>
        </w:rPr>
        <w:t>Candida</w:t>
      </w:r>
      <w:r w:rsidRPr="00DA2BC8">
        <w:t xml:space="preserve"> spp. со слизистых оболочек, включая биоптаты слизистых, из мокроты, из жидкости БАЛ, из мочи не относят к инвазивному кандидозу. Диагноз кандидозной пневмонии не устанавливают на основании выделения </w:t>
      </w:r>
      <w:r w:rsidRPr="00DA2BC8">
        <w:rPr>
          <w:i/>
          <w:iCs/>
        </w:rPr>
        <w:t>Candida</w:t>
      </w:r>
      <w:r w:rsidRPr="00DA2BC8">
        <w:t xml:space="preserve"> spp. из мокроты или жидкости БАЛ, независимо от их количественного содержания в этих образцах. Выделение </w:t>
      </w:r>
      <w:r w:rsidRPr="00DA2BC8">
        <w:rPr>
          <w:i/>
          <w:iCs/>
        </w:rPr>
        <w:t>Candida</w:t>
      </w:r>
      <w:r w:rsidRPr="00DA2BC8">
        <w:t xml:space="preserve"> spp. из мокроты, жидкости БАЛ свидетельствует о колонизации дрожжевыми грибами слизистой оболочки дыхательных путей. Кандидозная пневмония может быть заподозрена только у больных с кандидемией.</w:t>
      </w:r>
    </w:p>
    <w:p w14:paraId="184CEBC6" w14:textId="77777777" w:rsidR="00434A06" w:rsidRPr="00F87280" w:rsidRDefault="00434A06" w:rsidP="00434A06">
      <w:pPr>
        <w:widowControl w:val="0"/>
        <w:autoSpaceDE w:val="0"/>
        <w:autoSpaceDN w:val="0"/>
        <w:adjustRightInd w:val="0"/>
        <w:ind w:right="50" w:firstLine="709"/>
        <w:contextualSpacing/>
        <w:rPr>
          <w:i/>
          <w:iCs/>
          <w:u w:val="single"/>
        </w:rPr>
      </w:pPr>
      <w:r w:rsidRPr="00F87280">
        <w:rPr>
          <w:i/>
          <w:iCs/>
          <w:u w:val="single"/>
        </w:rPr>
        <w:t>Возбудители</w:t>
      </w:r>
    </w:p>
    <w:p w14:paraId="59FDBF14" w14:textId="77777777" w:rsidR="00434A06" w:rsidRPr="005D3BBD" w:rsidRDefault="00434A06" w:rsidP="00434A06">
      <w:pPr>
        <w:widowControl w:val="0"/>
        <w:autoSpaceDE w:val="0"/>
        <w:autoSpaceDN w:val="0"/>
        <w:adjustRightInd w:val="0"/>
        <w:ind w:right="50" w:firstLine="709"/>
        <w:contextualSpacing/>
        <w:rPr>
          <w:lang w:val="en-US"/>
        </w:rPr>
      </w:pPr>
      <w:r w:rsidRPr="00DA2BC8">
        <w:t xml:space="preserve">Основными возбудителями являются </w:t>
      </w:r>
      <w:r w:rsidRPr="00DA2BC8">
        <w:rPr>
          <w:i/>
          <w:iCs/>
        </w:rPr>
        <w:t>C. albicans,</w:t>
      </w:r>
      <w:r w:rsidRPr="00DA2BC8">
        <w:t xml:space="preserve"> но частота их не превышает 30-40%. Возрастает</w:t>
      </w:r>
      <w:r w:rsidRPr="005D3BBD">
        <w:rPr>
          <w:lang w:val="en-US"/>
        </w:rPr>
        <w:t xml:space="preserve"> </w:t>
      </w:r>
      <w:r w:rsidRPr="00DA2BC8">
        <w:t>доля</w:t>
      </w:r>
      <w:r w:rsidRPr="005D3BBD">
        <w:rPr>
          <w:lang w:val="en-US"/>
        </w:rPr>
        <w:t xml:space="preserve"> </w:t>
      </w:r>
      <w:r w:rsidRPr="00DA2BC8">
        <w:t>выделения</w:t>
      </w:r>
      <w:r w:rsidRPr="005D3BBD">
        <w:rPr>
          <w:lang w:val="en-US"/>
        </w:rPr>
        <w:t xml:space="preserve"> </w:t>
      </w:r>
      <w:r w:rsidRPr="005D3BBD">
        <w:rPr>
          <w:i/>
          <w:iCs/>
          <w:lang w:val="en-US"/>
        </w:rPr>
        <w:t>Candida</w:t>
      </w:r>
      <w:r w:rsidRPr="005D3BBD">
        <w:rPr>
          <w:lang w:val="en-US"/>
        </w:rPr>
        <w:t xml:space="preserve"> non-</w:t>
      </w:r>
      <w:r w:rsidRPr="005D3BBD">
        <w:rPr>
          <w:i/>
          <w:iCs/>
          <w:lang w:val="en-US"/>
        </w:rPr>
        <w:t>albicans,</w:t>
      </w:r>
      <w:r w:rsidRPr="005D3BBD">
        <w:rPr>
          <w:lang w:val="en-US"/>
        </w:rPr>
        <w:t xml:space="preserve"> </w:t>
      </w:r>
      <w:r w:rsidRPr="00DA2BC8">
        <w:t>таких</w:t>
      </w:r>
      <w:r w:rsidRPr="005D3BBD">
        <w:rPr>
          <w:lang w:val="en-US"/>
        </w:rPr>
        <w:t xml:space="preserve"> </w:t>
      </w:r>
      <w:r w:rsidRPr="00DA2BC8">
        <w:t>как</w:t>
      </w:r>
      <w:r w:rsidRPr="005D3BBD">
        <w:rPr>
          <w:lang w:val="en-US"/>
        </w:rPr>
        <w:t xml:space="preserve"> </w:t>
      </w:r>
      <w:r w:rsidRPr="005D3BBD">
        <w:rPr>
          <w:i/>
          <w:iCs/>
          <w:lang w:val="en-US"/>
        </w:rPr>
        <w:t>Candida parapsilosis</w:t>
      </w:r>
      <w:r w:rsidRPr="005D3BBD">
        <w:rPr>
          <w:lang w:val="en-US"/>
        </w:rPr>
        <w:t xml:space="preserve"> (5-30%), </w:t>
      </w:r>
      <w:r w:rsidRPr="005D3BBD">
        <w:rPr>
          <w:i/>
          <w:iCs/>
          <w:lang w:val="en-US"/>
        </w:rPr>
        <w:t>Candida tropicalis</w:t>
      </w:r>
      <w:r w:rsidRPr="005D3BBD">
        <w:rPr>
          <w:lang w:val="en-US"/>
        </w:rPr>
        <w:t xml:space="preserve"> (5-10%), </w:t>
      </w:r>
      <w:r w:rsidRPr="005D3BBD">
        <w:rPr>
          <w:i/>
          <w:iCs/>
          <w:lang w:val="en-US"/>
        </w:rPr>
        <w:t>C. glabrata</w:t>
      </w:r>
      <w:r w:rsidRPr="005D3BBD">
        <w:rPr>
          <w:lang w:val="en-US"/>
        </w:rPr>
        <w:t xml:space="preserve"> (3-25%), </w:t>
      </w:r>
      <w:r w:rsidRPr="005D3BBD">
        <w:rPr>
          <w:i/>
          <w:iCs/>
          <w:lang w:val="en-US"/>
        </w:rPr>
        <w:t>C. krusei</w:t>
      </w:r>
      <w:r w:rsidRPr="005D3BBD">
        <w:rPr>
          <w:lang w:val="en-US"/>
        </w:rPr>
        <w:t xml:space="preserve"> (3-10%). </w:t>
      </w:r>
    </w:p>
    <w:p w14:paraId="76984C49" w14:textId="77777777" w:rsidR="00434A06" w:rsidRPr="00F87280" w:rsidRDefault="00434A06" w:rsidP="00434A06">
      <w:pPr>
        <w:widowControl w:val="0"/>
        <w:autoSpaceDE w:val="0"/>
        <w:autoSpaceDN w:val="0"/>
        <w:adjustRightInd w:val="0"/>
        <w:ind w:right="50" w:firstLine="709"/>
        <w:contextualSpacing/>
        <w:rPr>
          <w:i/>
          <w:iCs/>
          <w:u w:val="single"/>
        </w:rPr>
      </w:pPr>
      <w:r w:rsidRPr="00F87280">
        <w:rPr>
          <w:i/>
          <w:iCs/>
          <w:u w:val="single"/>
        </w:rPr>
        <w:t>Факторы риска</w:t>
      </w:r>
    </w:p>
    <w:p w14:paraId="4BB38D8C" w14:textId="77777777" w:rsidR="00434A06" w:rsidRPr="00DA2BC8" w:rsidRDefault="00434A06" w:rsidP="00434A06">
      <w:pPr>
        <w:widowControl w:val="0"/>
        <w:autoSpaceDE w:val="0"/>
        <w:autoSpaceDN w:val="0"/>
        <w:adjustRightInd w:val="0"/>
        <w:ind w:right="50" w:firstLine="709"/>
        <w:contextualSpacing/>
      </w:pPr>
      <w:r w:rsidRPr="00DA2BC8">
        <w:t>Факторами риска являются нейтропения, колонизация кандидами слизистых оболочек, применение антибиотиков широкого спектра действия, а также глюкокортикоидов, цитостатиков, иммунодепрессантов; абдоминальные операции, наличие центральных венозных катетеров, проведение полного парентерального питания, прием антацидов, Н</w:t>
      </w:r>
      <w:r w:rsidRPr="00DA2BC8">
        <w:rPr>
          <w:vertAlign w:val="subscript"/>
        </w:rPr>
        <w:t>2</w:t>
      </w:r>
      <w:r w:rsidRPr="00DA2BC8">
        <w:t>-блокаторов и иных средств, снижающих кислотность желудочного сока.</w:t>
      </w:r>
    </w:p>
    <w:p w14:paraId="424A059B" w14:textId="77777777" w:rsidR="00434A06" w:rsidRPr="00F87280" w:rsidRDefault="00434A06" w:rsidP="00434A06">
      <w:pPr>
        <w:widowControl w:val="0"/>
        <w:autoSpaceDE w:val="0"/>
        <w:autoSpaceDN w:val="0"/>
        <w:adjustRightInd w:val="0"/>
        <w:ind w:right="50" w:firstLine="709"/>
        <w:contextualSpacing/>
        <w:rPr>
          <w:i/>
          <w:iCs/>
        </w:rPr>
      </w:pPr>
      <w:r w:rsidRPr="00F87280">
        <w:rPr>
          <w:i/>
          <w:iCs/>
          <w:u w:val="single"/>
        </w:rPr>
        <w:t>Симптомы инфекции</w:t>
      </w:r>
    </w:p>
    <w:p w14:paraId="2CC5EBAB" w14:textId="77777777" w:rsidR="00434A06" w:rsidRPr="00DA2BC8" w:rsidRDefault="00434A06" w:rsidP="00434A06">
      <w:pPr>
        <w:widowControl w:val="0"/>
        <w:autoSpaceDE w:val="0"/>
        <w:autoSpaceDN w:val="0"/>
        <w:adjustRightInd w:val="0"/>
        <w:ind w:right="50" w:firstLine="709"/>
        <w:contextualSpacing/>
      </w:pPr>
      <w:r w:rsidRPr="00DA2BC8">
        <w:t>Клинические симптомы кандидемии неспецифичны. Преобладает лихорадка, которая сохраняется или повторно возникает на фоне лечения антибиотиками широкого спектра действия. В 10-15% случаев отмечается диссеминация в дерму кожи (отсевы) в виде мелких 0,3—0,6 см папулезных образований розовато-красноватого цвета или подкожных абсцессов</w:t>
      </w:r>
      <w:r>
        <w:t>, в</w:t>
      </w:r>
      <w:r w:rsidRPr="00DA2BC8">
        <w:t xml:space="preserve"> части случаев беспокоит выраженная боль в мышца</w:t>
      </w:r>
      <w:r>
        <w:t>х</w:t>
      </w:r>
      <w:r w:rsidRPr="00DA2BC8">
        <w:t>. Диссеминация кандид происходит гематогенно в любой орган</w:t>
      </w:r>
      <w:r>
        <w:t>; у взрослых гематологических</w:t>
      </w:r>
      <w:r w:rsidRPr="00DA2BC8">
        <w:t xml:space="preserve"> </w:t>
      </w:r>
      <w:r>
        <w:t>пациентов</w:t>
      </w:r>
      <w:r w:rsidRPr="00DA2BC8">
        <w:t xml:space="preserve"> преобладает инвазия в печень и/или селезенку (гепатолиенальный кандидоз), у 9-15% возникает эндофтальмит (снижение остроты зрения вплоть до слепоты). </w:t>
      </w:r>
    </w:p>
    <w:p w14:paraId="3FEEC93A" w14:textId="77777777" w:rsidR="00434A06" w:rsidRPr="00F87280" w:rsidRDefault="00434A06" w:rsidP="00434A06">
      <w:pPr>
        <w:widowControl w:val="0"/>
        <w:autoSpaceDE w:val="0"/>
        <w:autoSpaceDN w:val="0"/>
        <w:adjustRightInd w:val="0"/>
        <w:ind w:right="50" w:firstLine="709"/>
        <w:contextualSpacing/>
        <w:rPr>
          <w:i/>
          <w:iCs/>
        </w:rPr>
      </w:pPr>
      <w:r w:rsidRPr="00F87280">
        <w:rPr>
          <w:i/>
          <w:iCs/>
          <w:u w:val="single"/>
        </w:rPr>
        <w:t>Диагностика</w:t>
      </w:r>
    </w:p>
    <w:p w14:paraId="46AA8233" w14:textId="77777777" w:rsidR="00434A06" w:rsidRPr="00DA2BC8" w:rsidRDefault="00434A06" w:rsidP="00434A06">
      <w:pPr>
        <w:widowControl w:val="0"/>
        <w:autoSpaceDE w:val="0"/>
        <w:autoSpaceDN w:val="0"/>
        <w:adjustRightInd w:val="0"/>
        <w:ind w:right="50" w:firstLine="709"/>
        <w:contextualSpacing/>
      </w:pPr>
      <w:r w:rsidRPr="00DA2BC8">
        <w:t xml:space="preserve">Диагноз инвазивного кандидоза ставят на основании выделения грибов из стерильных в норме образцов при микроскопии (прямая микроскопия, цитология или гистология) или в культуре (посев). К стерильным образцам относят кровь, биоптаты </w:t>
      </w:r>
      <w:r w:rsidRPr="00DA2BC8">
        <w:lastRenderedPageBreak/>
        <w:t xml:space="preserve">органов и тканей, аспираты. При подозрении на кандидемию кровь для микробиолгического исследования берут в 4 флакона для гемокультур, при необходимости исследование повторяют. При выделении </w:t>
      </w:r>
      <w:r w:rsidRPr="00DA2BC8">
        <w:rPr>
          <w:i/>
          <w:iCs/>
        </w:rPr>
        <w:t>Candida</w:t>
      </w:r>
      <w:r w:rsidRPr="00DA2BC8">
        <w:t xml:space="preserve"> spp. из гемокультуры проводят ежедневно дополнительные посевы крови до получения двух отрицательных результатов подряд; для исключения диссеминации - офтальмоскопию с расширением зрачка (консультация офтальмолога), а также ультразвуковое исследование (УЗИ) или компьютерную томографию</w:t>
      </w:r>
      <w:r>
        <w:t>/спиральную компьютерную томографию</w:t>
      </w:r>
      <w:r w:rsidRPr="00DA2BC8">
        <w:t xml:space="preserve"> (КТ</w:t>
      </w:r>
      <w:r>
        <w:t>/СКТ</w:t>
      </w:r>
      <w:r w:rsidRPr="00DA2BC8">
        <w:t>) с контрастированием, или магнитно-резонансную томографию (МРТ) органов брюшной полости. Инструментальные исследования повторяют при восстановлении гранулоцитов (&gt;0,5×10</w:t>
      </w:r>
      <w:r w:rsidRPr="00DA2BC8">
        <w:rPr>
          <w:vertAlign w:val="superscript"/>
        </w:rPr>
        <w:t>9</w:t>
      </w:r>
      <w:r w:rsidRPr="00DA2BC8">
        <w:t xml:space="preserve">/л). Все штаммы </w:t>
      </w:r>
      <w:r w:rsidRPr="00DA2BC8">
        <w:rPr>
          <w:i/>
          <w:iCs/>
        </w:rPr>
        <w:t>Candida</w:t>
      </w:r>
      <w:r w:rsidRPr="00DA2BC8">
        <w:t xml:space="preserve"> spp., выделенные из стерильных в норме образцов, идентифицируют до вида и исследуют чувствительность к противогрибковым препаратам. На фоне лечения инвазивного кандидоза противогрибковыми препаратами может изменяться чувствительность (возможно формирование приобретенной резистентности) и вид возбудителя.</w:t>
      </w:r>
    </w:p>
    <w:p w14:paraId="1651A6FC" w14:textId="77777777" w:rsidR="00434A06" w:rsidRPr="00DA2BC8" w:rsidRDefault="00434A06" w:rsidP="00434A06">
      <w:pPr>
        <w:widowControl w:val="0"/>
        <w:autoSpaceDE w:val="0"/>
        <w:autoSpaceDN w:val="0"/>
        <w:adjustRightInd w:val="0"/>
        <w:ind w:right="50" w:firstLine="709"/>
        <w:contextualSpacing/>
      </w:pPr>
      <w:r w:rsidRPr="00DA2BC8">
        <w:t xml:space="preserve">Серологическими маркерами инвазивного кандидоза являются антиген </w:t>
      </w:r>
      <w:r w:rsidRPr="00DA2BC8">
        <w:rPr>
          <w:i/>
          <w:iCs/>
        </w:rPr>
        <w:t>Candida</w:t>
      </w:r>
      <w:r w:rsidRPr="00DA2BC8">
        <w:t xml:space="preserve"> (маннан) и антитела к </w:t>
      </w:r>
      <w:r w:rsidRPr="00DA2BC8">
        <w:rPr>
          <w:i/>
          <w:iCs/>
        </w:rPr>
        <w:t>Candida</w:t>
      </w:r>
      <w:r w:rsidRPr="00DA2BC8">
        <w:t xml:space="preserve"> (антиманнан). Чувствительность тестов выше, если определяют оба показателя одновременно и неоднократно. Для теста характерным является высокое отрицательное прогностическое значение. При гепатолиенальном кандидозе чувствительность серологических маркеров определяется выше. Тест не включен в критерии диагностики инвазивного кандидоза. </w:t>
      </w:r>
    </w:p>
    <w:p w14:paraId="557FDDD3" w14:textId="77777777" w:rsidR="00434A06" w:rsidRPr="00DA2BC8" w:rsidRDefault="00434A06" w:rsidP="00434A06">
      <w:pPr>
        <w:widowControl w:val="0"/>
        <w:autoSpaceDE w:val="0"/>
        <w:autoSpaceDN w:val="0"/>
        <w:adjustRightInd w:val="0"/>
        <w:ind w:right="50" w:firstLine="709"/>
        <w:contextualSpacing/>
      </w:pPr>
      <w:r w:rsidRPr="00DA2BC8">
        <w:t xml:space="preserve">На основании положительных результатов определения серологических маркеров у </w:t>
      </w:r>
      <w:r>
        <w:t>пациента</w:t>
      </w:r>
      <w:r w:rsidRPr="00DA2BC8">
        <w:t xml:space="preserve"> можно лишь предполагать наличие инвазивного кандидоза. В клинической практике определение антигена (маннан) и антител (антиманнан) может быть существенным подспорьем для назначения современных противогрибковых препаратов больным с фебрильной нейтропенией.</w:t>
      </w:r>
    </w:p>
    <w:p w14:paraId="256DBE0C" w14:textId="77777777" w:rsidR="00434A06" w:rsidRPr="00DA2BC8" w:rsidRDefault="00434A06" w:rsidP="00434A06">
      <w:pPr>
        <w:widowControl w:val="0"/>
        <w:autoSpaceDE w:val="0"/>
        <w:autoSpaceDN w:val="0"/>
        <w:adjustRightInd w:val="0"/>
        <w:ind w:right="50" w:firstLine="709"/>
        <w:contextualSpacing/>
      </w:pPr>
      <w:r w:rsidRPr="00DA2BC8">
        <w:t xml:space="preserve">К диссеминированному кандидозу относят те случаи, когда в течение 2 недель после выделения </w:t>
      </w:r>
      <w:r w:rsidRPr="00DA2BC8">
        <w:rPr>
          <w:i/>
          <w:iCs/>
        </w:rPr>
        <w:t xml:space="preserve">Candida </w:t>
      </w:r>
      <w:r w:rsidRPr="00DA2BC8">
        <w:t xml:space="preserve">spp. из гемокультуры выявляют очаги в печени и/или селезенке либо экссудат в сетчатке при офтальмоскопии. Различают острый и хронический диссеминированный кандидоз. При остром диссеминированном кандидозе имеется непосредственная связь обнаруженных признаков с кандидозным сепсисом, а при хроническом диссеминированном кандидозе этой связи нет. </w:t>
      </w:r>
    </w:p>
    <w:p w14:paraId="7E209664" w14:textId="77777777" w:rsidR="00434A06" w:rsidRPr="00F87280" w:rsidRDefault="00434A06" w:rsidP="00434A06">
      <w:pPr>
        <w:widowControl w:val="0"/>
        <w:autoSpaceDE w:val="0"/>
        <w:autoSpaceDN w:val="0"/>
        <w:adjustRightInd w:val="0"/>
        <w:ind w:right="50" w:firstLine="709"/>
        <w:contextualSpacing/>
        <w:rPr>
          <w:bCs/>
          <w:i/>
          <w:iCs/>
          <w:u w:val="single"/>
        </w:rPr>
      </w:pPr>
      <w:r w:rsidRPr="00F87280">
        <w:rPr>
          <w:bCs/>
          <w:i/>
          <w:iCs/>
          <w:u w:val="single"/>
        </w:rPr>
        <w:t>Лечение</w:t>
      </w:r>
    </w:p>
    <w:p w14:paraId="433677D5" w14:textId="77777777" w:rsidR="00434A06" w:rsidRDefault="00434A06" w:rsidP="00434A06">
      <w:pPr>
        <w:widowControl w:val="0"/>
        <w:autoSpaceDE w:val="0"/>
        <w:autoSpaceDN w:val="0"/>
        <w:adjustRightInd w:val="0"/>
        <w:ind w:right="50" w:firstLine="709"/>
        <w:contextualSpacing/>
        <w:rPr>
          <w:bCs/>
        </w:rPr>
      </w:pPr>
      <w:r w:rsidRPr="00DA2BC8">
        <w:rPr>
          <w:bCs/>
        </w:rPr>
        <w:t>Основными принципами лечения кандидемии (инвазивного кандидоза) являются</w:t>
      </w:r>
      <w:r>
        <w:rPr>
          <w:bCs/>
        </w:rPr>
        <w:t>:</w:t>
      </w:r>
    </w:p>
    <w:p w14:paraId="1BA009D0" w14:textId="77777777" w:rsidR="00434A06" w:rsidRDefault="00434A06" w:rsidP="00CF0CD2">
      <w:pPr>
        <w:pStyle w:val="afe"/>
        <w:widowControl w:val="0"/>
        <w:numPr>
          <w:ilvl w:val="0"/>
          <w:numId w:val="101"/>
        </w:numPr>
        <w:autoSpaceDE w:val="0"/>
        <w:autoSpaceDN w:val="0"/>
        <w:adjustRightInd w:val="0"/>
        <w:ind w:right="50"/>
        <w:rPr>
          <w:bCs/>
        </w:rPr>
      </w:pPr>
      <w:r w:rsidRPr="007531B6">
        <w:t>назначение эффективного противогрибкового препарата;</w:t>
      </w:r>
      <w:r w:rsidRPr="007531B6">
        <w:rPr>
          <w:bCs/>
        </w:rPr>
        <w:t xml:space="preserve"> </w:t>
      </w:r>
    </w:p>
    <w:p w14:paraId="65A52576" w14:textId="77777777" w:rsidR="00434A06" w:rsidRDefault="00434A06" w:rsidP="00CF0CD2">
      <w:pPr>
        <w:pStyle w:val="afe"/>
        <w:widowControl w:val="0"/>
        <w:numPr>
          <w:ilvl w:val="0"/>
          <w:numId w:val="101"/>
        </w:numPr>
        <w:autoSpaceDE w:val="0"/>
        <w:autoSpaceDN w:val="0"/>
        <w:adjustRightInd w:val="0"/>
        <w:ind w:right="50"/>
        <w:rPr>
          <w:bCs/>
        </w:rPr>
      </w:pPr>
      <w:r w:rsidRPr="007531B6">
        <w:t>удаление сосудистого катетера;</w:t>
      </w:r>
      <w:r w:rsidRPr="007531B6">
        <w:rPr>
          <w:bCs/>
        </w:rPr>
        <w:t xml:space="preserve"> </w:t>
      </w:r>
    </w:p>
    <w:p w14:paraId="0B9B02DA" w14:textId="77777777" w:rsidR="00434A06" w:rsidRPr="007531B6" w:rsidRDefault="00434A06" w:rsidP="00CF0CD2">
      <w:pPr>
        <w:pStyle w:val="afe"/>
        <w:widowControl w:val="0"/>
        <w:numPr>
          <w:ilvl w:val="0"/>
          <w:numId w:val="101"/>
        </w:numPr>
        <w:autoSpaceDE w:val="0"/>
        <w:autoSpaceDN w:val="0"/>
        <w:adjustRightInd w:val="0"/>
        <w:ind w:right="50"/>
        <w:rPr>
          <w:bCs/>
        </w:rPr>
      </w:pPr>
      <w:r w:rsidRPr="007531B6">
        <w:lastRenderedPageBreak/>
        <w:t xml:space="preserve">устранение или уменьшение факторов риска, приведших к развитию кандидемии. </w:t>
      </w:r>
    </w:p>
    <w:p w14:paraId="54C916A6" w14:textId="77777777" w:rsidR="00434A06" w:rsidRPr="00DA2BC8" w:rsidRDefault="00434A06" w:rsidP="00434A06">
      <w:pPr>
        <w:widowControl w:val="0"/>
        <w:autoSpaceDE w:val="0"/>
        <w:autoSpaceDN w:val="0"/>
        <w:adjustRightInd w:val="0"/>
        <w:ind w:right="50" w:firstLine="709"/>
        <w:contextualSpacing/>
      </w:pPr>
      <w:r w:rsidRPr="00DA2BC8">
        <w:t xml:space="preserve">Препараты выбора для лечения инвазивного кандидоза (кандидемии) – эхинокандины, которые в отличие от азолов оказывают фунгицидное действие на кандиды. Замена эхинокандинов на флуконазол возможна только при выделении флуконазолчувствительных </w:t>
      </w:r>
      <w:r w:rsidRPr="00DA2BC8">
        <w:rPr>
          <w:i/>
          <w:iCs/>
        </w:rPr>
        <w:t xml:space="preserve">Candida </w:t>
      </w:r>
      <w:r w:rsidRPr="00DA2BC8">
        <w:t xml:space="preserve">spp. и стабильном состоянии пациента. </w:t>
      </w:r>
      <w:r w:rsidRPr="00DA2BC8">
        <w:rPr>
          <w:bCs/>
        </w:rPr>
        <w:t xml:space="preserve">Из группы эхинокандинов назначают один из препаратов – </w:t>
      </w:r>
      <w:r w:rsidRPr="00DA2BC8">
        <w:t xml:space="preserve">каспофунгин (в 1-й день 70 мг, далее по 50 мг внутривенно 1 раз в сутки); микафунгин (по 100 мг внутривенно 1 раз в сутки); анидулафунгин (в 1-й день 200 мг, далее по 100 мг внутривенно 1 раз в сутки). </w:t>
      </w:r>
      <w:r w:rsidRPr="00DA2BC8">
        <w:rPr>
          <w:iCs/>
        </w:rPr>
        <w:t>Эхинокандины – это единственные препараты, применение которых при инвазивном кандидозе привело к достоверно значимому увеличению числа излечений и к снижению летальности в сравнении с другими антимикотиками (азолами, липи</w:t>
      </w:r>
      <w:r>
        <w:rPr>
          <w:iCs/>
        </w:rPr>
        <w:t>дными формами амфотерицина В)</w:t>
      </w:r>
      <w:r w:rsidRPr="00DA2BC8">
        <w:rPr>
          <w:iCs/>
        </w:rPr>
        <w:t>. Не используют сочетание противогрибковых препаратов в 1-й линии терапии кандидемии (инвазивного кандидоза)</w:t>
      </w:r>
      <w:r w:rsidRPr="00DA2BC8">
        <w:t xml:space="preserve">. Альтернативные препараты для лечения инвазивного кандидоза - вориконазол ( в 1-й день по 6 мг/кг внутривенно 2 раза в сутки, в последующие дни по 3 мг/кг внутривенно 2 раза в сутки или по 200 мг внутрь 2 раза в сутки); амфотерицин В (0,7-1,0 мг/кг внутривенно 1 раз в сутки). </w:t>
      </w:r>
      <w:r w:rsidRPr="00DA2BC8">
        <w:rPr>
          <w:iCs/>
        </w:rPr>
        <w:t>Амфотерицин В назначают только при отсутствии других опций для лечения ввиду его высокой токсичности и низкой эффективности.</w:t>
      </w:r>
      <w:r w:rsidRPr="00DA2BC8">
        <w:t xml:space="preserve"> Флуконазол в качестве препарата 1-й линии не используют у больных с гематологическими заболеваниями. </w:t>
      </w:r>
      <w:r w:rsidRPr="00DA2BC8">
        <w:rPr>
          <w:iCs/>
        </w:rPr>
        <w:t>При сочетании</w:t>
      </w:r>
      <w:r w:rsidRPr="00DA2BC8">
        <w:rPr>
          <w:i/>
          <w:iCs/>
        </w:rPr>
        <w:t xml:space="preserve"> </w:t>
      </w:r>
      <w:r w:rsidRPr="00DA2BC8">
        <w:rPr>
          <w:iCs/>
        </w:rPr>
        <w:t>кандидемии и инвазивного аспергиллеза</w:t>
      </w:r>
      <w:r w:rsidRPr="00DA2BC8">
        <w:rPr>
          <w:i/>
          <w:iCs/>
        </w:rPr>
        <w:t xml:space="preserve"> </w:t>
      </w:r>
      <w:r w:rsidRPr="00DA2BC8">
        <w:rPr>
          <w:iCs/>
        </w:rPr>
        <w:t>назначают вориконазол</w:t>
      </w:r>
      <w:r w:rsidRPr="00DA2BC8">
        <w:t xml:space="preserve"> (в 1-й день по 6 мг/кг внутривенно 2 раза в сутки, в последующие дни по 3 мг/кг внутривенно 2 раза в сутки или по 200 мг 2 раза в сутки внутрь) или липидную форму амфотерицина В (5 мг/кг, внутривенно, 1 раз в сутки). </w:t>
      </w:r>
    </w:p>
    <w:p w14:paraId="4176B3A6" w14:textId="0CC8CC2A" w:rsidR="00434A06" w:rsidRPr="00DA2BC8" w:rsidRDefault="00434A06" w:rsidP="00434A06">
      <w:pPr>
        <w:widowControl w:val="0"/>
        <w:autoSpaceDE w:val="0"/>
        <w:autoSpaceDN w:val="0"/>
        <w:adjustRightInd w:val="0"/>
        <w:ind w:right="50" w:firstLine="709"/>
        <w:contextualSpacing/>
        <w:rPr>
          <w:b/>
          <w:bCs/>
        </w:rPr>
      </w:pPr>
      <w:r w:rsidRPr="00DA2BC8">
        <w:t xml:space="preserve">Для штаммов </w:t>
      </w:r>
      <w:r w:rsidRPr="00DA2BC8">
        <w:rPr>
          <w:i/>
          <w:iCs/>
        </w:rPr>
        <w:t xml:space="preserve">Candida </w:t>
      </w:r>
      <w:r w:rsidRPr="00DA2BC8">
        <w:rPr>
          <w:iCs/>
        </w:rPr>
        <w:t xml:space="preserve">spp. характерным является высокая способность к формированию биопленок, которая составляет 50% и преобладает у </w:t>
      </w:r>
      <w:r w:rsidRPr="00DA2BC8">
        <w:rPr>
          <w:i/>
          <w:iCs/>
        </w:rPr>
        <w:t>C. tropicalis</w:t>
      </w:r>
      <w:r w:rsidRPr="00DA2BC8">
        <w:rPr>
          <w:iCs/>
        </w:rPr>
        <w:t xml:space="preserve"> и </w:t>
      </w:r>
      <w:r w:rsidRPr="00DA2BC8">
        <w:rPr>
          <w:i/>
          <w:iCs/>
        </w:rPr>
        <w:t>C. krusei</w:t>
      </w:r>
      <w:r w:rsidRPr="00DA2BC8">
        <w:rPr>
          <w:iCs/>
        </w:rPr>
        <w:t xml:space="preserve"> (80%)</w:t>
      </w:r>
      <w:r>
        <w:rPr>
          <w:iCs/>
        </w:rPr>
        <w:t xml:space="preserve"> </w:t>
      </w:r>
      <w:r>
        <w:rPr>
          <w:iCs/>
        </w:rPr>
        <w:fldChar w:fldCharType="begin" w:fldLock="1"/>
      </w:r>
      <w:r w:rsidR="00EC13BC">
        <w:rPr>
          <w:iCs/>
        </w:rPr>
        <w:instrText>ADDIN CSL_CITATION {"citationItems":[{"id":"ITEM-1","itemData":{"author":[{"dropping-particle":"","family":"Мальчикова","given":"А.О.","non-dropping-particle":"","parse-names":false,"suffix":""},{"dropping-particle":"","family":"Клясова","given":"Г.А.","non-dropping-particle":"","parse-names":false,"suffix":""}],"container-title":"Клиническая микробиология и антимикробная химиотерапия","id":"ITEM-1","issue":"2","issued":{"date-parts":[["2018"]]},"page":"126-130","title":"Формирование биопленок у изолятов Candida spp, выделенных из гемокультуры от больных с опухолями системы крови","type":"article-journal","volume":"20"},"uris":["http://www.mendeley.com/documents/?uuid=14b71eb8-c05c-48f8-844b-d37bf0031d16"]}],"mendeley":{"formattedCitation":"[167]","plainTextFormattedCitation":"[167]","previouslyFormattedCitation":"[167]"},"properties":{"noteIndex":0},"schema":"https://github.com/citation-style-language/schema/raw/master/csl-citation.json"}</w:instrText>
      </w:r>
      <w:r>
        <w:rPr>
          <w:iCs/>
        </w:rPr>
        <w:fldChar w:fldCharType="separate"/>
      </w:r>
      <w:r w:rsidRPr="00434A06">
        <w:rPr>
          <w:iCs/>
          <w:noProof/>
        </w:rPr>
        <w:t>[167]</w:t>
      </w:r>
      <w:r>
        <w:rPr>
          <w:iCs/>
        </w:rPr>
        <w:fldChar w:fldCharType="end"/>
      </w:r>
      <w:r w:rsidRPr="00DA2BC8">
        <w:rPr>
          <w:iCs/>
        </w:rPr>
        <w:t xml:space="preserve">. Удаление центрального венозного катетера (ЦВК) является обязательным у больных вне гранулоцитопении и в случаях повторного выделения </w:t>
      </w:r>
      <w:r w:rsidRPr="00DA2BC8">
        <w:rPr>
          <w:i/>
          <w:iCs/>
        </w:rPr>
        <w:t xml:space="preserve">Candida </w:t>
      </w:r>
      <w:r w:rsidRPr="00DA2BC8">
        <w:rPr>
          <w:iCs/>
        </w:rPr>
        <w:t xml:space="preserve">spp. из гемокультуры на фоне терапиии противогрибковыми </w:t>
      </w:r>
      <w:r>
        <w:rPr>
          <w:iCs/>
        </w:rPr>
        <w:t>препаратами</w:t>
      </w:r>
      <w:r w:rsidRPr="005A06BE">
        <w:rPr>
          <w:iCs/>
        </w:rPr>
        <w:t>.</w:t>
      </w:r>
      <w:r w:rsidRPr="00DA2BC8">
        <w:rPr>
          <w:iCs/>
        </w:rPr>
        <w:t xml:space="preserve"> Не проводят замену ЦВК по проводнику.</w:t>
      </w:r>
    </w:p>
    <w:p w14:paraId="01D6BCE0" w14:textId="77777777" w:rsidR="00434A06" w:rsidRPr="00DA2BC8" w:rsidRDefault="00434A06" w:rsidP="00434A06">
      <w:pPr>
        <w:widowControl w:val="0"/>
        <w:autoSpaceDE w:val="0"/>
        <w:autoSpaceDN w:val="0"/>
        <w:adjustRightInd w:val="0"/>
        <w:ind w:right="50" w:firstLine="709"/>
        <w:contextualSpacing/>
      </w:pPr>
      <w:r w:rsidRPr="00DA2BC8">
        <w:rPr>
          <w:bCs/>
        </w:rPr>
        <w:t xml:space="preserve">Устранение или уменьшение факторов риска у </w:t>
      </w:r>
      <w:r>
        <w:rPr>
          <w:bCs/>
        </w:rPr>
        <w:t>пациентов</w:t>
      </w:r>
      <w:r w:rsidRPr="00DA2BC8">
        <w:rPr>
          <w:bCs/>
        </w:rPr>
        <w:t xml:space="preserve"> с инвазивным кандидозом включает </w:t>
      </w:r>
      <w:r w:rsidRPr="00DA2BC8">
        <w:t>сокращение по возможности используемых антибиотиков и изменение тактики цитостатической терапии.</w:t>
      </w:r>
    </w:p>
    <w:p w14:paraId="2618A17D" w14:textId="77777777" w:rsidR="00434A06" w:rsidRPr="00CB7689" w:rsidRDefault="00434A06" w:rsidP="00434A06">
      <w:pPr>
        <w:widowControl w:val="0"/>
        <w:autoSpaceDE w:val="0"/>
        <w:autoSpaceDN w:val="0"/>
        <w:adjustRightInd w:val="0"/>
        <w:ind w:right="50" w:firstLine="709"/>
        <w:contextualSpacing/>
        <w:rPr>
          <w:i/>
          <w:iCs/>
          <w:u w:val="single"/>
        </w:rPr>
      </w:pPr>
      <w:r w:rsidRPr="00CB7689">
        <w:rPr>
          <w:i/>
          <w:iCs/>
          <w:u w:val="single"/>
        </w:rPr>
        <w:t>Длительность лечения</w:t>
      </w:r>
    </w:p>
    <w:p w14:paraId="19F7F029" w14:textId="77777777" w:rsidR="00434A06" w:rsidRPr="00DA2BC8" w:rsidRDefault="00434A06" w:rsidP="00434A06">
      <w:pPr>
        <w:widowControl w:val="0"/>
        <w:autoSpaceDE w:val="0"/>
        <w:autoSpaceDN w:val="0"/>
        <w:adjustRightInd w:val="0"/>
        <w:ind w:right="50" w:firstLine="709"/>
        <w:contextualSpacing/>
      </w:pPr>
      <w:r w:rsidRPr="00DA2BC8">
        <w:t xml:space="preserve">Противогрибковый препарат отменяют при наличии всех следующих критериев - регрессия клинических проявлений инфекции; число гранулоцитов в гемограмме более </w:t>
      </w:r>
      <w:r w:rsidRPr="00DA2BC8">
        <w:lastRenderedPageBreak/>
        <w:t>0,5×10</w:t>
      </w:r>
      <w:r w:rsidRPr="00DA2BC8">
        <w:rPr>
          <w:vertAlign w:val="superscript"/>
        </w:rPr>
        <w:t>9</w:t>
      </w:r>
      <w:r w:rsidRPr="00DA2BC8">
        <w:t xml:space="preserve">/л; не менее двух недель от последней положительной гемокультуры; регрессия очагов диссеминации кандидоза в случаях их развития. </w:t>
      </w:r>
    </w:p>
    <w:p w14:paraId="57C524C4" w14:textId="77777777" w:rsidR="00434A06" w:rsidRPr="00DA2BC8" w:rsidRDefault="00434A06" w:rsidP="00434A06">
      <w:pPr>
        <w:widowControl w:val="0"/>
        <w:autoSpaceDE w:val="0"/>
        <w:autoSpaceDN w:val="0"/>
        <w:adjustRightInd w:val="0"/>
        <w:ind w:right="50" w:firstLine="709"/>
        <w:contextualSpacing/>
      </w:pPr>
      <w:r w:rsidRPr="00CB7689">
        <w:rPr>
          <w:i/>
          <w:iCs/>
          <w:u w:val="single"/>
        </w:rPr>
        <w:t>Персистирующая кандидемия включает</w:t>
      </w:r>
      <w:r w:rsidRPr="00DA2BC8">
        <w:rPr>
          <w:b/>
          <w:bCs/>
        </w:rPr>
        <w:t xml:space="preserve"> </w:t>
      </w:r>
      <w:r w:rsidRPr="00DA2BC8">
        <w:t xml:space="preserve">наличие симптомов сепсиса и повторное выделение </w:t>
      </w:r>
      <w:r w:rsidRPr="00DA2BC8">
        <w:rPr>
          <w:i/>
          <w:iCs/>
        </w:rPr>
        <w:t>Candida</w:t>
      </w:r>
      <w:r w:rsidRPr="00DA2BC8">
        <w:t xml:space="preserve"> spp. из гемокультуры.</w:t>
      </w:r>
      <w:r w:rsidRPr="00DA2BC8">
        <w:rPr>
          <w:b/>
          <w:bCs/>
        </w:rPr>
        <w:t xml:space="preserve"> </w:t>
      </w:r>
      <w:r w:rsidRPr="00DA2BC8">
        <w:t>При персистирующей кандидемии крайне важно исследовать чувствительность грибов к антимикотикам ввиду формирования вторичной резистентности; повторить инструментальные исследования с целью исключения диссеминации.</w:t>
      </w:r>
      <w:r w:rsidRPr="00DA2BC8">
        <w:rPr>
          <w:bCs/>
        </w:rPr>
        <w:t xml:space="preserve"> В этих случаях </w:t>
      </w:r>
      <w:r w:rsidRPr="00DA2BC8">
        <w:t xml:space="preserve">замену на антимикотик другой группы проводят согласно видовой принадлежности </w:t>
      </w:r>
      <w:r w:rsidRPr="00DA2BC8">
        <w:rPr>
          <w:i/>
        </w:rPr>
        <w:t>Candida</w:t>
      </w:r>
      <w:r w:rsidRPr="00DA2BC8">
        <w:t xml:space="preserve"> spp. и результатам чувствительностию.</w:t>
      </w:r>
    </w:p>
    <w:p w14:paraId="4120652B" w14:textId="77777777" w:rsidR="00434A06" w:rsidRPr="0014445B" w:rsidRDefault="00434A06" w:rsidP="00434A06">
      <w:pPr>
        <w:widowControl w:val="0"/>
        <w:autoSpaceDE w:val="0"/>
        <w:autoSpaceDN w:val="0"/>
        <w:adjustRightInd w:val="0"/>
        <w:ind w:right="50" w:firstLine="709"/>
        <w:contextualSpacing/>
        <w:rPr>
          <w:b/>
          <w:bCs/>
        </w:rPr>
      </w:pPr>
      <w:r w:rsidRPr="0014445B">
        <w:rPr>
          <w:b/>
          <w:bCs/>
        </w:rPr>
        <w:t>Хронический диссеминированный (гепатолиенальный) кандидоз</w:t>
      </w:r>
    </w:p>
    <w:p w14:paraId="12D60707" w14:textId="77777777" w:rsidR="00434A06" w:rsidRPr="00CB7689" w:rsidRDefault="00434A06" w:rsidP="00434A06">
      <w:pPr>
        <w:widowControl w:val="0"/>
        <w:autoSpaceDE w:val="0"/>
        <w:autoSpaceDN w:val="0"/>
        <w:adjustRightInd w:val="0"/>
        <w:ind w:right="50" w:firstLine="709"/>
        <w:contextualSpacing/>
        <w:rPr>
          <w:i/>
          <w:iCs/>
        </w:rPr>
      </w:pPr>
      <w:r w:rsidRPr="00CB7689">
        <w:rPr>
          <w:i/>
          <w:iCs/>
          <w:u w:val="single"/>
        </w:rPr>
        <w:t>Симптомы</w:t>
      </w:r>
    </w:p>
    <w:p w14:paraId="37D85A4E" w14:textId="77777777" w:rsidR="00434A06" w:rsidRPr="00DA2BC8" w:rsidRDefault="00434A06" w:rsidP="00434A06">
      <w:pPr>
        <w:widowControl w:val="0"/>
        <w:autoSpaceDE w:val="0"/>
        <w:autoSpaceDN w:val="0"/>
        <w:adjustRightInd w:val="0"/>
        <w:ind w:right="50" w:firstLine="709"/>
        <w:contextualSpacing/>
      </w:pPr>
      <w:r w:rsidRPr="00DA2BC8">
        <w:t>Ведущий симптом — лихорадка на фоне лечения антибиотиками, которая возникает в период гранулоцитопении и сохраняется при повышении уровня лейкоцитов (гранулоцитов &gt;0,5×10</w:t>
      </w:r>
      <w:r w:rsidRPr="00DA2BC8">
        <w:rPr>
          <w:vertAlign w:val="superscript"/>
        </w:rPr>
        <w:t>9</w:t>
      </w:r>
      <w:r w:rsidRPr="00DA2BC8">
        <w:t>/л). Для этого варианта инвазивного микоза очень характерной является температурная кривая –</w:t>
      </w:r>
      <w:r>
        <w:t xml:space="preserve"> </w:t>
      </w:r>
      <w:r w:rsidRPr="00DA2BC8">
        <w:t xml:space="preserve">колебания температуры от 36,7ºС-37,5°С утром до 39ºС-40ºС в вечернее время, которые возникают в период гранулоцитопении и сохраняются после восстановления гранулоцитов. </w:t>
      </w:r>
    </w:p>
    <w:p w14:paraId="020D361C" w14:textId="77777777" w:rsidR="00434A06" w:rsidRPr="00CB7689" w:rsidRDefault="00434A06" w:rsidP="00434A06">
      <w:pPr>
        <w:widowControl w:val="0"/>
        <w:autoSpaceDE w:val="0"/>
        <w:autoSpaceDN w:val="0"/>
        <w:adjustRightInd w:val="0"/>
        <w:ind w:right="50" w:firstLine="709"/>
        <w:contextualSpacing/>
        <w:rPr>
          <w:i/>
          <w:iCs/>
        </w:rPr>
      </w:pPr>
      <w:r w:rsidRPr="00CB7689">
        <w:rPr>
          <w:i/>
          <w:iCs/>
          <w:u w:val="single"/>
        </w:rPr>
        <w:t>Диагностика</w:t>
      </w:r>
    </w:p>
    <w:p w14:paraId="4FE1867F" w14:textId="77777777" w:rsidR="00434A06" w:rsidRPr="00DA2BC8" w:rsidRDefault="00434A06" w:rsidP="00434A06">
      <w:pPr>
        <w:widowControl w:val="0"/>
        <w:autoSpaceDE w:val="0"/>
        <w:autoSpaceDN w:val="0"/>
        <w:adjustRightInd w:val="0"/>
        <w:ind w:right="50" w:firstLine="709"/>
        <w:contextualSpacing/>
      </w:pPr>
      <w:r w:rsidRPr="00DA2BC8">
        <w:t>Проводят УЗИ, КТ или МРТ (наиболее высокая чувствительность) печени и селезенки. Характерным является обнаружение множественных очагов деструкции до 2 см. Чаще вовлекаются печень и селезенка, реже почки. По возможности проводят биопсию этих образований с проведением микробиологических (прямая микроскопия, посев) и гистологических иследований. Отрицательные результаты биопсии не исключают наличие гепатолиенального кандидоза. При лечении гепатолиенального кандидоза контрольные исследования (УЗИ, КТ или МРТ) проводят не ранее чем через 3-4 недели и обязательно вне нейтропении. Обращают внимание на размеры очагов и их плотность. Исследование в период нейтропении может дать ложноположительные результаты о сокращении размеров очагов.</w:t>
      </w:r>
    </w:p>
    <w:p w14:paraId="19F18411" w14:textId="77777777" w:rsidR="00434A06" w:rsidRPr="00DA2BC8" w:rsidRDefault="00434A06" w:rsidP="00434A06">
      <w:pPr>
        <w:widowControl w:val="0"/>
        <w:autoSpaceDE w:val="0"/>
        <w:autoSpaceDN w:val="0"/>
        <w:adjustRightInd w:val="0"/>
        <w:ind w:right="50" w:firstLine="709"/>
        <w:contextualSpacing/>
      </w:pPr>
      <w:r w:rsidRPr="00DA2BC8">
        <w:t>При гепатолиенальном кандидозе проводят определение серологичесик</w:t>
      </w:r>
      <w:r>
        <w:t>и</w:t>
      </w:r>
      <w:r w:rsidRPr="00DA2BC8">
        <w:t>х маркеров (маннан и антиманнан).</w:t>
      </w:r>
    </w:p>
    <w:p w14:paraId="6164470E" w14:textId="77777777" w:rsidR="00434A06" w:rsidRPr="00DA2BC8" w:rsidRDefault="00434A06" w:rsidP="00434A06">
      <w:pPr>
        <w:widowControl w:val="0"/>
        <w:autoSpaceDE w:val="0"/>
        <w:autoSpaceDN w:val="0"/>
        <w:adjustRightInd w:val="0"/>
        <w:ind w:right="50" w:firstLine="709"/>
        <w:contextualSpacing/>
      </w:pPr>
      <w:r w:rsidRPr="00CB7689">
        <w:rPr>
          <w:i/>
          <w:iCs/>
          <w:u w:val="single"/>
        </w:rPr>
        <w:t>Показанием к назначению противогрибковых препаратов</w:t>
      </w:r>
      <w:r w:rsidRPr="00DA2BC8">
        <w:rPr>
          <w:b/>
          <w:bCs/>
        </w:rPr>
        <w:t xml:space="preserve"> </w:t>
      </w:r>
      <w:r w:rsidRPr="00DA2BC8">
        <w:rPr>
          <w:bCs/>
        </w:rPr>
        <w:t>являются</w:t>
      </w:r>
      <w:r w:rsidRPr="00DA2BC8">
        <w:rPr>
          <w:b/>
          <w:bCs/>
        </w:rPr>
        <w:t xml:space="preserve"> </w:t>
      </w:r>
      <w:r w:rsidRPr="00DA2BC8">
        <w:t>лихорадка на фоне лечения антибиотиками, которая сохраняется при повышении количества лейкоцитов (гранулоцитов более 0,5×10</w:t>
      </w:r>
      <w:r w:rsidRPr="00DA2BC8">
        <w:rPr>
          <w:vertAlign w:val="superscript"/>
        </w:rPr>
        <w:t>9</w:t>
      </w:r>
      <w:r w:rsidRPr="00DA2BC8">
        <w:t xml:space="preserve">/л) и выявление множественных очагов в печени и/или селезенке по данным УЗИ, КТ или МРТ. Препаратами выбора в лечении гепатолиенального кандидоза являются эхинокандин (каспофунгин или микафунгин) или липидная форма амфотерицина В (3 мг/кг в сутки, внутривенно); альтернативный препарат - амфотерицин В </w:t>
      </w:r>
      <w:r w:rsidRPr="00DA2BC8">
        <w:lastRenderedPageBreak/>
        <w:t>(0,7-1,0 мг/кг). Дозирование эхинокандина проводят как при кандидемии. После ликвидации температуры (через 1-2 недели) проводят замену этих препаратов на флуконазол (400 мг внутрь или внутривенно 1 раз в сутки) ввиду необходимости продолжительного периода лечения данной патологии.</w:t>
      </w:r>
    </w:p>
    <w:p w14:paraId="5F06DDD8" w14:textId="77777777" w:rsidR="00434A06" w:rsidRPr="00DA2BC8" w:rsidRDefault="00434A06" w:rsidP="00434A06">
      <w:pPr>
        <w:widowControl w:val="0"/>
        <w:autoSpaceDE w:val="0"/>
        <w:autoSpaceDN w:val="0"/>
        <w:adjustRightInd w:val="0"/>
        <w:ind w:right="50" w:firstLine="709"/>
        <w:contextualSpacing/>
      </w:pPr>
      <w:r w:rsidRPr="00CB7689">
        <w:rPr>
          <w:i/>
          <w:iCs/>
          <w:u w:val="single"/>
        </w:rPr>
        <w:t>Длительность лечения</w:t>
      </w:r>
      <w:r w:rsidRPr="00DA2BC8">
        <w:t xml:space="preserve"> составляет от 3 до 6 месяцев. При ранней отмене противогрибкового препарата наблюдается высокая частота рецидивов инфекции. Критериями отмены противогрибкового препарата являются кальцификация или регрессия очагов.</w:t>
      </w:r>
    </w:p>
    <w:p w14:paraId="257987AE" w14:textId="77777777" w:rsidR="00434A06" w:rsidRPr="0014445B" w:rsidRDefault="00434A06" w:rsidP="00434A06">
      <w:pPr>
        <w:widowControl w:val="0"/>
        <w:autoSpaceDE w:val="0"/>
        <w:autoSpaceDN w:val="0"/>
        <w:adjustRightInd w:val="0"/>
        <w:ind w:right="50" w:firstLine="709"/>
        <w:contextualSpacing/>
        <w:rPr>
          <w:b/>
          <w:bCs/>
        </w:rPr>
      </w:pPr>
      <w:r w:rsidRPr="0014445B">
        <w:rPr>
          <w:b/>
          <w:bCs/>
        </w:rPr>
        <w:t>Инвазивный кандидоз центральной нервной системы (ЦНС)</w:t>
      </w:r>
    </w:p>
    <w:p w14:paraId="4256DA61" w14:textId="77777777" w:rsidR="00434A06" w:rsidRPr="00DA2BC8" w:rsidRDefault="00434A06" w:rsidP="00434A06">
      <w:pPr>
        <w:widowControl w:val="0"/>
        <w:autoSpaceDE w:val="0"/>
        <w:autoSpaceDN w:val="0"/>
        <w:adjustRightInd w:val="0"/>
        <w:ind w:right="50" w:firstLine="709"/>
        <w:contextualSpacing/>
        <w:rPr>
          <w:b/>
          <w:bCs/>
        </w:rPr>
      </w:pPr>
      <w:r w:rsidRPr="00DA2BC8">
        <w:t xml:space="preserve">У взрослых </w:t>
      </w:r>
      <w:r>
        <w:t>гематологических пациентов</w:t>
      </w:r>
      <w:r w:rsidRPr="00DA2BC8">
        <w:t xml:space="preserve"> инвазивный кандидоз ЦНС возникает при диссеминации кандид из крови или является осложнением нейрохирургических операций (шунтирование и др.). Проявления кандидоза ЦНС - менингит (ведущее), </w:t>
      </w:r>
      <w:r>
        <w:t xml:space="preserve">также </w:t>
      </w:r>
      <w:r w:rsidRPr="00DA2BC8">
        <w:t>возможны множественные абсцессы в веществе головного мозга, большого размера солитарный абсцесс, эпидуральные абсцессы.</w:t>
      </w:r>
    </w:p>
    <w:p w14:paraId="19048F9C" w14:textId="77777777" w:rsidR="00434A06" w:rsidRPr="00DA2BC8" w:rsidRDefault="00434A06" w:rsidP="00434A06">
      <w:pPr>
        <w:widowControl w:val="0"/>
        <w:autoSpaceDE w:val="0"/>
        <w:autoSpaceDN w:val="0"/>
        <w:adjustRightInd w:val="0"/>
        <w:ind w:right="50" w:firstLine="709"/>
        <w:contextualSpacing/>
      </w:pPr>
      <w:r w:rsidRPr="00CB7689">
        <w:rPr>
          <w:i/>
          <w:iCs/>
          <w:u w:val="single"/>
        </w:rPr>
        <w:t>Симптомы</w:t>
      </w:r>
      <w:r w:rsidRPr="00DA2BC8">
        <w:rPr>
          <w:b/>
          <w:bCs/>
        </w:rPr>
        <w:t xml:space="preserve"> </w:t>
      </w:r>
      <w:r w:rsidRPr="00DA2BC8">
        <w:t>аналогичны симптомам бактериального менингита. При абсцедировании появляется очаговая симптоматика поражения ЦНС.</w:t>
      </w:r>
    </w:p>
    <w:p w14:paraId="5F061B60" w14:textId="77777777" w:rsidR="00434A06" w:rsidRPr="00CB7689" w:rsidRDefault="00434A06" w:rsidP="00434A06">
      <w:pPr>
        <w:widowControl w:val="0"/>
        <w:autoSpaceDE w:val="0"/>
        <w:autoSpaceDN w:val="0"/>
        <w:adjustRightInd w:val="0"/>
        <w:ind w:right="50" w:firstLine="709"/>
        <w:contextualSpacing/>
        <w:rPr>
          <w:i/>
          <w:iCs/>
        </w:rPr>
      </w:pPr>
      <w:r w:rsidRPr="00CB7689">
        <w:rPr>
          <w:i/>
          <w:iCs/>
          <w:u w:val="single"/>
        </w:rPr>
        <w:t>Диагностика</w:t>
      </w:r>
    </w:p>
    <w:p w14:paraId="08552B90" w14:textId="77777777" w:rsidR="00434A06" w:rsidRPr="00DA2BC8" w:rsidRDefault="00434A06" w:rsidP="00434A06">
      <w:pPr>
        <w:widowControl w:val="0"/>
        <w:autoSpaceDE w:val="0"/>
        <w:autoSpaceDN w:val="0"/>
        <w:adjustRightInd w:val="0"/>
        <w:ind w:right="50" w:firstLine="709"/>
        <w:contextualSpacing/>
      </w:pPr>
      <w:r w:rsidRPr="00DA2BC8">
        <w:t xml:space="preserve">Обнаружение </w:t>
      </w:r>
      <w:r w:rsidRPr="00DA2BC8">
        <w:rPr>
          <w:i/>
          <w:iCs/>
        </w:rPr>
        <w:t>Candida</w:t>
      </w:r>
      <w:r w:rsidRPr="00DA2BC8">
        <w:t xml:space="preserve"> spp. при микроскопии либо в культуре спинномозговой жидкости (СМЖ) или биоптатов головного мозга. При кандидозном менингите, как и при бактериальном, в СМЖ определяется нейтрофильный плеоцитоз. </w:t>
      </w:r>
      <w:r>
        <w:t xml:space="preserve">Выполняется КТ/МРТ головного мозга (по показаниям с контрастированием) для оценки локализации, размеров, динамики очага (очагов) поражения. </w:t>
      </w:r>
      <w:r w:rsidRPr="00DA2BC8">
        <w:t>Специфические р</w:t>
      </w:r>
      <w:r>
        <w:t>адио</w:t>
      </w:r>
      <w:r w:rsidRPr="00DA2BC8">
        <w:t>логические признаки абсцессов кандидозной этиологии отсутствуют.</w:t>
      </w:r>
    </w:p>
    <w:p w14:paraId="4674E630" w14:textId="77777777" w:rsidR="00434A06" w:rsidRPr="00CB7689" w:rsidRDefault="00434A06" w:rsidP="00434A06">
      <w:pPr>
        <w:widowControl w:val="0"/>
        <w:tabs>
          <w:tab w:val="left" w:pos="-90"/>
        </w:tabs>
        <w:autoSpaceDE w:val="0"/>
        <w:autoSpaceDN w:val="0"/>
        <w:adjustRightInd w:val="0"/>
        <w:ind w:right="50" w:firstLine="709"/>
        <w:contextualSpacing/>
        <w:rPr>
          <w:i/>
          <w:iCs/>
          <w:u w:val="single"/>
        </w:rPr>
      </w:pPr>
      <w:r w:rsidRPr="00CB7689">
        <w:rPr>
          <w:i/>
          <w:iCs/>
          <w:u w:val="single"/>
        </w:rPr>
        <w:t>Лечение</w:t>
      </w:r>
    </w:p>
    <w:p w14:paraId="0DAFA618" w14:textId="77777777" w:rsidR="00434A06" w:rsidRPr="00DA2BC8" w:rsidRDefault="00434A06" w:rsidP="00434A06">
      <w:pPr>
        <w:widowControl w:val="0"/>
        <w:tabs>
          <w:tab w:val="left" w:pos="-90"/>
        </w:tabs>
        <w:autoSpaceDE w:val="0"/>
        <w:autoSpaceDN w:val="0"/>
        <w:adjustRightInd w:val="0"/>
        <w:ind w:right="50" w:firstLine="709"/>
        <w:contextualSpacing/>
      </w:pPr>
      <w:r w:rsidRPr="00DA2BC8">
        <w:rPr>
          <w:bCs/>
        </w:rPr>
        <w:t xml:space="preserve">Стартовая терапия (первые недели) – монотерапия липидной формы амфотерицина В (3-5 мг/кг </w:t>
      </w:r>
      <w:r w:rsidRPr="00DA2BC8">
        <w:t xml:space="preserve">внутривенно 1 раз в сутки) или в сочетании в течение первых недель с флуцитозином (25 мг/кг внутривенно 4 раза в сутки). Альтернативный препарат – вориконазол (в 1-й день по 6 мг/кг внутривенно 2 раза в сутки, затем по 4 мг/кг 2 раза в сутки с последующим переходом на пероральную форму по 200 мг внутрь 2 раза в сутки). </w:t>
      </w:r>
      <w:r w:rsidRPr="00DA2BC8">
        <w:rPr>
          <w:bCs/>
        </w:rPr>
        <w:t>При стабилизации</w:t>
      </w:r>
      <w:r w:rsidRPr="00DA2BC8">
        <w:rPr>
          <w:b/>
          <w:bCs/>
        </w:rPr>
        <w:t xml:space="preserve"> </w:t>
      </w:r>
      <w:r w:rsidRPr="00DA2BC8">
        <w:t xml:space="preserve">состояния после лечения липидной формой амфотерицина В назначают флуконазол при выделении флуконазолчувствительных </w:t>
      </w:r>
      <w:r w:rsidRPr="00DA2BC8">
        <w:rPr>
          <w:i/>
          <w:iCs/>
        </w:rPr>
        <w:t>Candida</w:t>
      </w:r>
      <w:r w:rsidRPr="00DA2BC8">
        <w:t xml:space="preserve"> spp (400-800 мг внутривенно 1 раз в сутки). </w:t>
      </w:r>
    </w:p>
    <w:p w14:paraId="2683945A" w14:textId="77777777" w:rsidR="00434A06" w:rsidRPr="00DA2BC8" w:rsidRDefault="00434A06" w:rsidP="00434A06">
      <w:pPr>
        <w:widowControl w:val="0"/>
        <w:tabs>
          <w:tab w:val="left" w:pos="-90"/>
        </w:tabs>
        <w:autoSpaceDE w:val="0"/>
        <w:autoSpaceDN w:val="0"/>
        <w:adjustRightInd w:val="0"/>
        <w:ind w:right="50" w:firstLine="709"/>
        <w:contextualSpacing/>
      </w:pPr>
      <w:r w:rsidRPr="00DA2BC8">
        <w:t xml:space="preserve">Вориконазол и флуконазол хорошо проникают через гематоэнцефалический барьер. Итраконазол, позаконазол, амфотерицин В и его липидные формы плохо проходят через гематоэнцефалический барьер. При лечении липидными формами амфотерицина В в </w:t>
      </w:r>
      <w:r w:rsidRPr="00DA2BC8">
        <w:lastRenderedPageBreak/>
        <w:t>веществе головного мозга создаются высокие концентрации, причем у липосомального амфотерицина В они выше, чем у липидного комплекса или обычного амфотерицина В. Комбинация амфотерицина В с флуцитозином обладает синергидным действием. Лечение кандидоза ЦНС не проводят эхинокандинами.</w:t>
      </w:r>
    </w:p>
    <w:p w14:paraId="20DF0BED" w14:textId="77777777" w:rsidR="00434A06" w:rsidRPr="00CB7689" w:rsidRDefault="00434A06" w:rsidP="00434A06">
      <w:pPr>
        <w:widowControl w:val="0"/>
        <w:autoSpaceDE w:val="0"/>
        <w:autoSpaceDN w:val="0"/>
        <w:adjustRightInd w:val="0"/>
        <w:ind w:right="50" w:firstLine="709"/>
        <w:contextualSpacing/>
        <w:rPr>
          <w:i/>
          <w:iCs/>
          <w:u w:val="single"/>
        </w:rPr>
      </w:pPr>
      <w:r w:rsidRPr="00CB7689">
        <w:rPr>
          <w:i/>
          <w:iCs/>
          <w:u w:val="single"/>
        </w:rPr>
        <w:t>Длительность лечения</w:t>
      </w:r>
    </w:p>
    <w:p w14:paraId="27D944A9" w14:textId="77777777" w:rsidR="00434A06" w:rsidRPr="00DA2BC8" w:rsidRDefault="00434A06" w:rsidP="00434A06">
      <w:pPr>
        <w:widowControl w:val="0"/>
        <w:autoSpaceDE w:val="0"/>
        <w:autoSpaceDN w:val="0"/>
        <w:adjustRightInd w:val="0"/>
        <w:ind w:right="50" w:firstLine="709"/>
        <w:contextualSpacing/>
      </w:pPr>
      <w:r w:rsidRPr="00DA2BC8">
        <w:t>Лечение занимает продолжительный период — до ликвидации всех клинических и р</w:t>
      </w:r>
      <w:r>
        <w:t>адио</w:t>
      </w:r>
      <w:r w:rsidRPr="00DA2BC8">
        <w:t>логических симптомов инфекции, нормализации состава СМЖ. Нейрохирургическим больным удаляют инфицированные шунты.</w:t>
      </w:r>
    </w:p>
    <w:p w14:paraId="552BDEC3" w14:textId="77777777" w:rsidR="00434A06" w:rsidRPr="00444F93" w:rsidRDefault="00434A06" w:rsidP="00434A06">
      <w:pPr>
        <w:widowControl w:val="0"/>
        <w:autoSpaceDE w:val="0"/>
        <w:autoSpaceDN w:val="0"/>
        <w:adjustRightInd w:val="0"/>
        <w:ind w:right="50" w:firstLine="709"/>
        <w:contextualSpacing/>
        <w:rPr>
          <w:b/>
          <w:bCs/>
        </w:rPr>
      </w:pPr>
      <w:r w:rsidRPr="00444F93">
        <w:rPr>
          <w:b/>
          <w:bCs/>
        </w:rPr>
        <w:t>Кандидозный эндофтальмит</w:t>
      </w:r>
    </w:p>
    <w:p w14:paraId="0F0DB0BD" w14:textId="77777777" w:rsidR="00434A06" w:rsidRDefault="00434A06" w:rsidP="00434A06">
      <w:pPr>
        <w:widowControl w:val="0"/>
        <w:autoSpaceDE w:val="0"/>
        <w:autoSpaceDN w:val="0"/>
        <w:adjustRightInd w:val="0"/>
        <w:ind w:right="50" w:firstLine="709"/>
        <w:contextualSpacing/>
      </w:pPr>
      <w:r w:rsidRPr="00DA2BC8">
        <w:t>Кандидозный эндофтальмит - воспаление внутренних оболочек глаза с формированием абсцесса (абсцессов) в стекловидном теле</w:t>
      </w:r>
      <w:r>
        <w:t>, в</w:t>
      </w:r>
      <w:r w:rsidRPr="00DA2BC8">
        <w:t>озникает при диссеминации кандид из крови.</w:t>
      </w:r>
      <w:r>
        <w:t xml:space="preserve"> </w:t>
      </w:r>
      <w:r w:rsidRPr="00DA2BC8">
        <w:t xml:space="preserve">Основной симптом - снижение остроты зрения вплоть до развития слепоты. Во всех случаях необходима консультация офтальмолога. При офтальмоскопии на сетчатке определяют множественные белесоватые очаги. </w:t>
      </w:r>
      <w:r>
        <w:t>Выполняют КТ/МРТ головы (по показаниям с контрастированием) для оценки локализации, размеров, динамики очага (очагов) поражения.</w:t>
      </w:r>
    </w:p>
    <w:p w14:paraId="1B420A98" w14:textId="77777777" w:rsidR="00434A06" w:rsidRPr="00DA2BC8" w:rsidRDefault="00434A06" w:rsidP="00434A06">
      <w:pPr>
        <w:widowControl w:val="0"/>
        <w:autoSpaceDE w:val="0"/>
        <w:autoSpaceDN w:val="0"/>
        <w:adjustRightInd w:val="0"/>
        <w:ind w:right="50" w:firstLine="709"/>
        <w:contextualSpacing/>
      </w:pPr>
      <w:r w:rsidRPr="00DA2BC8">
        <w:rPr>
          <w:bCs/>
        </w:rPr>
        <w:t xml:space="preserve">При обширном поражении назначают </w:t>
      </w:r>
      <w:r w:rsidRPr="00DA2BC8">
        <w:t xml:space="preserve">амфотерицин В (0,7-1 мг/кг внутривенно 1 раз в сутки) в сочетании с флуцитозином (25 мг/кг внутривенно 4 раза в сутки), </w:t>
      </w:r>
      <w:r w:rsidRPr="00DA2BC8">
        <w:rPr>
          <w:bCs/>
        </w:rPr>
        <w:t xml:space="preserve">при нетяжелых проявлениях - </w:t>
      </w:r>
      <w:r w:rsidRPr="00DA2BC8">
        <w:t xml:space="preserve">флуконазол (400-800 мг внутривенно или внутрь 1 раз в сутки), при </w:t>
      </w:r>
      <w:r w:rsidRPr="00DA2BC8">
        <w:rPr>
          <w:bCs/>
        </w:rPr>
        <w:t xml:space="preserve">отсутствие эффекта </w:t>
      </w:r>
      <w:r w:rsidRPr="00DA2BC8">
        <w:t xml:space="preserve">- вориконазол, липидные формы амфотерицина В. Не используют эхинокандины. В стекловидном теле создается высокая концентрация вориконазола, низкая концентрация - эхинокандинов (каспофунгина, микафунгина, анидулафунгина). </w:t>
      </w:r>
      <w:r w:rsidRPr="00DA2BC8">
        <w:rPr>
          <w:bCs/>
        </w:rPr>
        <w:t>Длительность лечения</w:t>
      </w:r>
      <w:r w:rsidRPr="00DA2BC8">
        <w:t xml:space="preserve"> составляет 4-6 недель. Критерии отмены противогрибковых препаратов - ликвидация клинических симптомов инфекции и регрессия или стабилизация размеров очагов, выявляемых при офтальмоскопии.</w:t>
      </w:r>
    </w:p>
    <w:p w14:paraId="4F9D2B15" w14:textId="77777777" w:rsidR="00434A06" w:rsidRPr="00444F93" w:rsidRDefault="00434A06" w:rsidP="00434A06">
      <w:pPr>
        <w:widowControl w:val="0"/>
        <w:autoSpaceDE w:val="0"/>
        <w:autoSpaceDN w:val="0"/>
        <w:adjustRightInd w:val="0"/>
        <w:ind w:right="51" w:firstLine="709"/>
        <w:contextualSpacing/>
        <w:rPr>
          <w:b/>
          <w:bCs/>
        </w:rPr>
      </w:pPr>
      <w:r w:rsidRPr="00444F93">
        <w:rPr>
          <w:b/>
          <w:bCs/>
        </w:rPr>
        <w:t>Кандидозный эндокардит, перикардит, миокардит, тромбофлебит</w:t>
      </w:r>
    </w:p>
    <w:p w14:paraId="5B8A9181" w14:textId="77777777" w:rsidR="00434A06" w:rsidRPr="00DA2BC8" w:rsidRDefault="00434A06" w:rsidP="00434A06">
      <w:pPr>
        <w:widowControl w:val="0"/>
        <w:autoSpaceDE w:val="0"/>
        <w:autoSpaceDN w:val="0"/>
        <w:adjustRightInd w:val="0"/>
        <w:ind w:right="51" w:firstLine="709"/>
        <w:contextualSpacing/>
      </w:pPr>
      <w:r w:rsidRPr="00DA2BC8">
        <w:t xml:space="preserve">У иммунокомпрометированных </w:t>
      </w:r>
      <w:r>
        <w:t xml:space="preserve">пацентов  ХЛЛ/ЛМЛ </w:t>
      </w:r>
      <w:r w:rsidRPr="00DA2BC8">
        <w:t xml:space="preserve">эти осложнения возникают при гематогенной диссеминации </w:t>
      </w:r>
      <w:r w:rsidRPr="00DA2BC8">
        <w:rPr>
          <w:i/>
          <w:iCs/>
        </w:rPr>
        <w:t>Candida</w:t>
      </w:r>
      <w:r w:rsidRPr="00DA2BC8">
        <w:t xml:space="preserve"> spp.</w:t>
      </w:r>
      <w:r>
        <w:t>; с</w:t>
      </w:r>
      <w:r w:rsidRPr="00DA2BC8">
        <w:rPr>
          <w:bCs/>
        </w:rPr>
        <w:t>имптомы</w:t>
      </w:r>
      <w:r w:rsidRPr="00DA2BC8">
        <w:t xml:space="preserve"> </w:t>
      </w:r>
      <w:r>
        <w:t xml:space="preserve">соответствуют аналогичной локализации инфекции </w:t>
      </w:r>
      <w:r w:rsidRPr="00DA2BC8">
        <w:t>бактериальн</w:t>
      </w:r>
      <w:r>
        <w:t>ой</w:t>
      </w:r>
      <w:r w:rsidRPr="00DA2BC8">
        <w:t xml:space="preserve"> </w:t>
      </w:r>
      <w:r>
        <w:t>природы</w:t>
      </w:r>
      <w:r w:rsidRPr="00DA2BC8">
        <w:t xml:space="preserve">. </w:t>
      </w:r>
      <w:r>
        <w:t xml:space="preserve">Для диагностики проводят необходимые инструменитальные и лабораторные исследования – ЭКГ, ЭхоКГ, КТ/МРТ органов грудной полости, доплерографические исследования, УЗИ сосудов, консультация кардиолога, кардиохирурга, ангиохирурга, микробиологические (бактериологические) исследования крови, микробиологические (бактериологические), цитологические и гистологические исследования биоптататов. </w:t>
      </w:r>
      <w:r w:rsidRPr="00DA2BC8">
        <w:t xml:space="preserve">Диагноз устанавливают на основании обнаружения </w:t>
      </w:r>
      <w:r w:rsidRPr="00DA2BC8">
        <w:rPr>
          <w:i/>
          <w:iCs/>
        </w:rPr>
        <w:t>Candida</w:t>
      </w:r>
      <w:r w:rsidRPr="00DA2BC8">
        <w:t xml:space="preserve"> spp. в материале из пораженных клапанов сердца или присутствия </w:t>
      </w:r>
      <w:r w:rsidRPr="00DA2BC8">
        <w:lastRenderedPageBreak/>
        <w:t xml:space="preserve">непосредственной связи между выделением </w:t>
      </w:r>
      <w:r w:rsidRPr="00DA2BC8">
        <w:rPr>
          <w:i/>
          <w:iCs/>
        </w:rPr>
        <w:t xml:space="preserve">Candida </w:t>
      </w:r>
      <w:r w:rsidRPr="00DA2BC8">
        <w:t xml:space="preserve">spp. из гемокультуры и появлением симптомов диссеминации инфекционного процесса. </w:t>
      </w:r>
      <w:r w:rsidRPr="00DA2BC8">
        <w:rPr>
          <w:bCs/>
        </w:rPr>
        <w:t xml:space="preserve">Препарат выбора - </w:t>
      </w:r>
      <w:r w:rsidRPr="00DA2BC8">
        <w:t xml:space="preserve">каспофунгин, </w:t>
      </w:r>
      <w:r w:rsidRPr="00DA2BC8">
        <w:rPr>
          <w:bCs/>
        </w:rPr>
        <w:t>альтернативный препарат – липидные формы амфотерицина В.</w:t>
      </w:r>
      <w:r w:rsidRPr="00DA2BC8">
        <w:t xml:space="preserve"> Флуконазол назначают </w:t>
      </w:r>
      <w:r w:rsidRPr="00DA2BC8">
        <w:rPr>
          <w:bCs/>
        </w:rPr>
        <w:t xml:space="preserve">при стабилизации симптомов инфекции и выделении флуконазолчувствительных </w:t>
      </w:r>
      <w:r w:rsidRPr="00DA2BC8">
        <w:rPr>
          <w:bCs/>
          <w:i/>
          <w:iCs/>
        </w:rPr>
        <w:t>Candida</w:t>
      </w:r>
      <w:r w:rsidRPr="00DA2BC8">
        <w:rPr>
          <w:bCs/>
        </w:rPr>
        <w:t xml:space="preserve"> spp.</w:t>
      </w:r>
      <w:r w:rsidRPr="00DA2BC8">
        <w:t xml:space="preserve"> </w:t>
      </w:r>
      <w:r w:rsidRPr="00DA2BC8">
        <w:rPr>
          <w:bCs/>
        </w:rPr>
        <w:t xml:space="preserve">Оперативное лечение включает </w:t>
      </w:r>
      <w:r w:rsidRPr="00DA2BC8">
        <w:t xml:space="preserve">удаление инфицированных клапанов сердца, перикардэктомия при перикардите. </w:t>
      </w:r>
      <w:r w:rsidRPr="00DA2BC8">
        <w:rPr>
          <w:bCs/>
        </w:rPr>
        <w:t>Длительность лечения</w:t>
      </w:r>
      <w:r w:rsidRPr="00DA2BC8">
        <w:t xml:space="preserve"> кандидозного эндокардита после хирургического вмешательства составляет не менее 6 недель; при наличии абсцессов и других осложнений - более продолжительный период. Если операцию на клапанах не проводят, то назначают пожизненно флуконазол в дозе 400-800 мг в сутки внутрь или внутривенно 1 раз в сутки. Лечение кандидозного перикардита и миокардита продолжается несколько месяцев.</w:t>
      </w:r>
    </w:p>
    <w:p w14:paraId="6DFCE9A3" w14:textId="77777777" w:rsidR="00434A06" w:rsidRPr="00444F93" w:rsidRDefault="00434A06" w:rsidP="00434A06">
      <w:pPr>
        <w:widowControl w:val="0"/>
        <w:autoSpaceDE w:val="0"/>
        <w:autoSpaceDN w:val="0"/>
        <w:adjustRightInd w:val="0"/>
        <w:ind w:right="51" w:firstLine="709"/>
        <w:contextualSpacing/>
        <w:rPr>
          <w:b/>
          <w:bCs/>
        </w:rPr>
      </w:pPr>
      <w:r w:rsidRPr="00444F93">
        <w:rPr>
          <w:b/>
          <w:bCs/>
        </w:rPr>
        <w:t>Кандидоз мочевыводящих путей</w:t>
      </w:r>
    </w:p>
    <w:p w14:paraId="1A9C0203" w14:textId="77777777" w:rsidR="00434A06" w:rsidRPr="00DA2BC8" w:rsidRDefault="00434A06" w:rsidP="00434A06">
      <w:pPr>
        <w:widowControl w:val="0"/>
        <w:autoSpaceDE w:val="0"/>
        <w:autoSpaceDN w:val="0"/>
        <w:adjustRightInd w:val="0"/>
        <w:ind w:right="51" w:firstLine="709"/>
        <w:contextualSpacing/>
      </w:pPr>
      <w:r w:rsidRPr="00DA2BC8">
        <w:t xml:space="preserve">Клинические проявления </w:t>
      </w:r>
      <w:r>
        <w:t xml:space="preserve">кандидоза мочевых путей – </w:t>
      </w:r>
      <w:r w:rsidRPr="00DA2BC8">
        <w:t xml:space="preserve">цистит, пиелонефорит, </w:t>
      </w:r>
      <w:r w:rsidRPr="00444F93">
        <w:t>острый диссеминированный кандидоз</w:t>
      </w:r>
      <w:r w:rsidRPr="00DA2BC8">
        <w:t xml:space="preserve">. К факторам риска относят факторы, индуцирующие развитие инвазивного кандидоза, дополнительный фактор </w:t>
      </w:r>
      <w:r>
        <w:t>–</w:t>
      </w:r>
      <w:r w:rsidRPr="00DA2BC8">
        <w:t xml:space="preserve"> катетеризация мочевого пузыря. При кандидозном цистите </w:t>
      </w:r>
      <w:r>
        <w:t>характерны</w:t>
      </w:r>
      <w:r w:rsidRPr="00DA2BC8">
        <w:t xml:space="preserve"> частые болезненные мочеиспускания; при пиелонефрите </w:t>
      </w:r>
      <w:r>
        <w:t>–</w:t>
      </w:r>
      <w:r w:rsidRPr="00DA2BC8">
        <w:t xml:space="preserve"> боль в поясничной области, боль при мочеиспускании, температура; при гематогенной диссеминации кандид может быть только лихорадка. </w:t>
      </w:r>
      <w:r>
        <w:t xml:space="preserve">Для диагностики проводят необходимые иснтрументальные и лабораторные исследования – клинический, микробиологический анализы мочи, УЗИ почек и мочевыводящих путей, мочевого пузыря, КТ/МРТ почек и мочевыводящих путей, мочевого пузыря, органов малого таза у мужчин и женщин. </w:t>
      </w:r>
      <w:r w:rsidRPr="00DA2BC8">
        <w:t xml:space="preserve">Диагноз ставят на основании выделения </w:t>
      </w:r>
      <w:r w:rsidRPr="00DA2BC8">
        <w:rPr>
          <w:i/>
          <w:iCs/>
        </w:rPr>
        <w:t>Candida</w:t>
      </w:r>
      <w:r w:rsidRPr="00DA2BC8">
        <w:t xml:space="preserve"> spp. из мочи. Необходимо провести идентификацию возбудителя до вида и определить его чувствительность.</w:t>
      </w:r>
    </w:p>
    <w:p w14:paraId="6E05E0DD" w14:textId="77777777" w:rsidR="00434A06" w:rsidRDefault="00434A06" w:rsidP="00434A06">
      <w:pPr>
        <w:widowControl w:val="0"/>
        <w:autoSpaceDE w:val="0"/>
        <w:autoSpaceDN w:val="0"/>
        <w:adjustRightInd w:val="0"/>
        <w:ind w:right="51" w:firstLine="709"/>
        <w:contextualSpacing/>
      </w:pPr>
      <w:r w:rsidRPr="00DA2BC8">
        <w:rPr>
          <w:bCs/>
        </w:rPr>
        <w:t xml:space="preserve">Показанием к назначению противогрибковых препаратов являются </w:t>
      </w:r>
      <w:r w:rsidRPr="00DA2BC8">
        <w:t xml:space="preserve">наличие признаков инфекции и неоднократное (не менее двух раз) выделение </w:t>
      </w:r>
      <w:r w:rsidRPr="00DA2BC8">
        <w:rPr>
          <w:i/>
          <w:iCs/>
        </w:rPr>
        <w:t>Candida</w:t>
      </w:r>
      <w:r w:rsidRPr="00DA2BC8">
        <w:t xml:space="preserve"> spp. из мочи, а также бессимптомная кандидурия у больных с нейтропенией. Бессимптомная кандидурия у больных </w:t>
      </w:r>
      <w:r w:rsidRPr="00DA2BC8">
        <w:rPr>
          <w:bCs/>
        </w:rPr>
        <w:t>вне нейтропении</w:t>
      </w:r>
      <w:r w:rsidRPr="00DA2BC8">
        <w:t xml:space="preserve"> свидетельствует о колонизации слизистой оболочки нижних отделов мочевыводящих путей кандидами, лечение противогрибковым</w:t>
      </w:r>
      <w:r>
        <w:t>и препаратами не проводят. У этой категории</w:t>
      </w:r>
      <w:r w:rsidRPr="00DA2BC8">
        <w:t xml:space="preserve"> </w:t>
      </w:r>
      <w:r>
        <w:t>пациентов</w:t>
      </w:r>
      <w:r w:rsidRPr="00DA2BC8">
        <w:t xml:space="preserve"> устранение факторов риска, например отмена антибиотиков или глюкокортикоидов, либо удаление катетера из мочевого пузыря, приводит к прекращению выделения кандид из мочи. </w:t>
      </w:r>
    </w:p>
    <w:p w14:paraId="72906BD4" w14:textId="77777777" w:rsidR="00434A06" w:rsidRPr="00DA2BC8" w:rsidRDefault="00434A06" w:rsidP="00434A06">
      <w:pPr>
        <w:widowControl w:val="0"/>
        <w:autoSpaceDE w:val="0"/>
        <w:autoSpaceDN w:val="0"/>
        <w:adjustRightInd w:val="0"/>
        <w:ind w:right="51" w:firstLine="709"/>
        <w:contextualSpacing/>
        <w:rPr>
          <w:b/>
        </w:rPr>
      </w:pPr>
      <w:r w:rsidRPr="00DA2BC8">
        <w:rPr>
          <w:bCs/>
        </w:rPr>
        <w:t xml:space="preserve">Лечение </w:t>
      </w:r>
      <w:r w:rsidRPr="00DA2BC8">
        <w:rPr>
          <w:bCs/>
          <w:iCs/>
        </w:rPr>
        <w:t>кандидозного цистита включает назначение флуконазола (400 мг) в случаях детекции</w:t>
      </w:r>
      <w:r w:rsidRPr="00DA2BC8">
        <w:rPr>
          <w:bCs/>
        </w:rPr>
        <w:t xml:space="preserve"> флуконазолчувствительных </w:t>
      </w:r>
      <w:r w:rsidRPr="00DA2BC8">
        <w:rPr>
          <w:bCs/>
          <w:i/>
          <w:iCs/>
        </w:rPr>
        <w:t xml:space="preserve">Candida </w:t>
      </w:r>
      <w:r w:rsidRPr="00DA2BC8">
        <w:rPr>
          <w:bCs/>
        </w:rPr>
        <w:t>spp., применение</w:t>
      </w:r>
      <w:r w:rsidRPr="00DA2BC8">
        <w:t xml:space="preserve"> амфотерицин В (0,3-0,6 мг/кг внутривенно 1 раз в сутки) – при флуконазолустойчивых </w:t>
      </w:r>
      <w:r w:rsidRPr="00DA2BC8">
        <w:rPr>
          <w:bCs/>
          <w:i/>
          <w:iCs/>
        </w:rPr>
        <w:t xml:space="preserve">Candida </w:t>
      </w:r>
      <w:r w:rsidRPr="00DA2BC8">
        <w:rPr>
          <w:bCs/>
        </w:rPr>
        <w:t>spp</w:t>
      </w:r>
      <w:r w:rsidRPr="00DA2BC8">
        <w:t xml:space="preserve">. Орошение мочевого пузыря амфотерицином В допустимо лишь при выделении </w:t>
      </w:r>
      <w:r w:rsidRPr="00DA2BC8">
        <w:lastRenderedPageBreak/>
        <w:t xml:space="preserve">флуконазолрезистентных </w:t>
      </w:r>
      <w:r w:rsidRPr="00DA2BC8">
        <w:rPr>
          <w:i/>
          <w:iCs/>
        </w:rPr>
        <w:t xml:space="preserve">Candida </w:t>
      </w:r>
      <w:r w:rsidRPr="00DA2BC8">
        <w:t xml:space="preserve">spp., например </w:t>
      </w:r>
      <w:r w:rsidRPr="00DA2BC8">
        <w:rPr>
          <w:i/>
          <w:iCs/>
        </w:rPr>
        <w:t>С</w:t>
      </w:r>
      <w:r w:rsidRPr="00DA2BC8">
        <w:rPr>
          <w:iCs/>
          <w:strike/>
        </w:rPr>
        <w:t>.</w:t>
      </w:r>
      <w:r w:rsidRPr="00DA2BC8">
        <w:rPr>
          <w:i/>
          <w:iCs/>
        </w:rPr>
        <w:t xml:space="preserve"> glabrata</w:t>
      </w:r>
      <w:r w:rsidRPr="00DA2BC8">
        <w:t xml:space="preserve">. Необходимо отметить, что при таком методе лечения наблюдается высокая частота рецидивов. Лечение </w:t>
      </w:r>
      <w:r w:rsidRPr="00DA2BC8">
        <w:rPr>
          <w:bCs/>
          <w:iCs/>
        </w:rPr>
        <w:t>кандидозного пиелонефрита проводят теми же антимикотиками.</w:t>
      </w:r>
      <w:r w:rsidRPr="00DA2BC8">
        <w:t xml:space="preserve"> Липидные формы амфотерицина В не применяют для лечения кандидозного пиелонефрита по причине низкой концентрации препарата в паренхиме почек. По той же причине не назначают эхинокандиды и вориконазол.</w:t>
      </w:r>
    </w:p>
    <w:p w14:paraId="29859370" w14:textId="77777777" w:rsidR="00434A06" w:rsidRDefault="00434A06" w:rsidP="00434A06">
      <w:pPr>
        <w:widowControl w:val="0"/>
        <w:autoSpaceDE w:val="0"/>
        <w:autoSpaceDN w:val="0"/>
        <w:adjustRightInd w:val="0"/>
        <w:ind w:right="51" w:firstLine="709"/>
        <w:contextualSpacing/>
      </w:pPr>
      <w:r w:rsidRPr="00DA2BC8">
        <w:rPr>
          <w:bCs/>
        </w:rPr>
        <w:t>Длительность лечения</w:t>
      </w:r>
      <w:r w:rsidRPr="00DA2BC8">
        <w:rPr>
          <w:b/>
          <w:bCs/>
        </w:rPr>
        <w:t xml:space="preserve"> </w:t>
      </w:r>
      <w:r w:rsidRPr="00DA2BC8">
        <w:t xml:space="preserve">кандидозного цистита флуконазолом составляет 2 недели. Если цистит вызван флуконазолрезистентными </w:t>
      </w:r>
      <w:r w:rsidRPr="00DA2BC8">
        <w:rPr>
          <w:i/>
          <w:iCs/>
        </w:rPr>
        <w:t xml:space="preserve">Candida </w:t>
      </w:r>
      <w:r w:rsidRPr="00DA2BC8">
        <w:t>spp., то лечение амфотерицином В проводят в течение 7-10 дней. Продолжительность лечения кандидозного пиелонефрита составляет 2 недели.</w:t>
      </w:r>
    </w:p>
    <w:p w14:paraId="0475E710" w14:textId="77777777" w:rsidR="00434A06" w:rsidRPr="00DA2BC8" w:rsidRDefault="00434A06" w:rsidP="00434A06">
      <w:pPr>
        <w:widowControl w:val="0"/>
        <w:autoSpaceDE w:val="0"/>
        <w:autoSpaceDN w:val="0"/>
        <w:adjustRightInd w:val="0"/>
        <w:ind w:right="51" w:firstLine="709"/>
        <w:contextualSpacing/>
      </w:pPr>
    </w:p>
    <w:p w14:paraId="3A2E0D35" w14:textId="37EFA742" w:rsidR="00434A06" w:rsidRPr="00084B8B" w:rsidRDefault="00434A06" w:rsidP="00434A06">
      <w:pPr>
        <w:widowControl w:val="0"/>
        <w:autoSpaceDE w:val="0"/>
        <w:autoSpaceDN w:val="0"/>
        <w:adjustRightInd w:val="0"/>
        <w:ind w:right="49"/>
        <w:contextualSpacing/>
        <w:rPr>
          <w:bCs/>
          <w:u w:val="single"/>
        </w:rPr>
      </w:pPr>
      <w:r w:rsidRPr="00CB7689">
        <w:rPr>
          <w:bCs/>
          <w:u w:val="single"/>
        </w:rPr>
        <w:t>Диагностика и лечение криптококкоза</w:t>
      </w:r>
      <w:r w:rsidRPr="00144984">
        <w:rPr>
          <w:bCs/>
          <w:u w:val="single"/>
        </w:rPr>
        <w:t xml:space="preserve"> </w:t>
      </w:r>
      <w:r>
        <w:rPr>
          <w:b/>
        </w:rPr>
        <w:fldChar w:fldCharType="begin" w:fldLock="1"/>
      </w:r>
      <w:r w:rsidR="00EC13BC">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mendeley":{"formattedCitation":"[158,159,165]","plainTextFormattedCitation":"[158,159,165]","previouslyFormattedCitation":"[158,159,165]"},"properties":{"noteIndex":0},"schema":"https://github.com/citation-style-language/schema/raw/master/csl-citation.json"}</w:instrText>
      </w:r>
      <w:r>
        <w:rPr>
          <w:b/>
        </w:rPr>
        <w:fldChar w:fldCharType="separate"/>
      </w:r>
      <w:r w:rsidRPr="00434A06">
        <w:rPr>
          <w:noProof/>
        </w:rPr>
        <w:t>[158,159,165]</w:t>
      </w:r>
      <w:r>
        <w:rPr>
          <w:b/>
        </w:rPr>
        <w:fldChar w:fldCharType="end"/>
      </w:r>
    </w:p>
    <w:p w14:paraId="13BD6D2B" w14:textId="77777777" w:rsidR="00434A06" w:rsidRPr="00DA2BC8" w:rsidRDefault="00434A06" w:rsidP="00434A06">
      <w:pPr>
        <w:widowControl w:val="0"/>
        <w:autoSpaceDE w:val="0"/>
        <w:autoSpaceDN w:val="0"/>
        <w:adjustRightInd w:val="0"/>
        <w:ind w:right="50" w:firstLine="709"/>
        <w:contextualSpacing/>
      </w:pPr>
      <w:r w:rsidRPr="00DA2BC8">
        <w:t xml:space="preserve">Инфекция возникает преимущественно у </w:t>
      </w:r>
      <w:r>
        <w:t>пациентов</w:t>
      </w:r>
      <w:r w:rsidRPr="00DA2BC8">
        <w:t xml:space="preserve"> с Т-клеточным иммунодефицитом, </w:t>
      </w:r>
      <w:r>
        <w:t>в первую очередь,</w:t>
      </w:r>
      <w:r w:rsidRPr="00DA2BC8">
        <w:t xml:space="preserve"> у </w:t>
      </w:r>
      <w:r>
        <w:t>гематологических пациентов</w:t>
      </w:r>
      <w:r w:rsidRPr="00DA2BC8">
        <w:t xml:space="preserve"> с лимфатическими опухолями</w:t>
      </w:r>
      <w:r>
        <w:t>, в том числе, ХЛЛ/ЛМЛ,</w:t>
      </w:r>
      <w:r w:rsidRPr="00DA2BC8">
        <w:t xml:space="preserve"> и характеризуется частым поражением ЦНС в виде менингита или менингоэнцефалита. Основным возбудителем криптококкоза является </w:t>
      </w:r>
      <w:r w:rsidRPr="00DA2BC8">
        <w:rPr>
          <w:i/>
          <w:iCs/>
        </w:rPr>
        <w:t>Cryptococcus neoformans</w:t>
      </w:r>
      <w:r w:rsidRPr="00DA2BC8">
        <w:t xml:space="preserve">, реже заболевание вызывают </w:t>
      </w:r>
      <w:r w:rsidRPr="00DA2BC8">
        <w:rPr>
          <w:i/>
          <w:iCs/>
        </w:rPr>
        <w:t>C. gattii</w:t>
      </w:r>
      <w:r w:rsidRPr="00DA2BC8">
        <w:t xml:space="preserve">, крайне редко – </w:t>
      </w:r>
      <w:r w:rsidRPr="00DA2BC8">
        <w:rPr>
          <w:i/>
          <w:iCs/>
        </w:rPr>
        <w:t>C. laurentii</w:t>
      </w:r>
      <w:r w:rsidRPr="00DA2BC8">
        <w:t xml:space="preserve"> и </w:t>
      </w:r>
      <w:r w:rsidRPr="00DA2BC8">
        <w:rPr>
          <w:i/>
          <w:iCs/>
        </w:rPr>
        <w:t>С. albidus</w:t>
      </w:r>
      <w:r w:rsidRPr="00DA2BC8">
        <w:t>. К факторам риска относят применение глюкокортикоидных и иммуносупрессивных препаратов, таких как флударабин</w:t>
      </w:r>
      <w:r>
        <w:t xml:space="preserve"> и др</w:t>
      </w:r>
      <w:r w:rsidRPr="00DA2BC8">
        <w:t>.</w:t>
      </w:r>
    </w:p>
    <w:p w14:paraId="6511C5F6" w14:textId="77777777" w:rsidR="00434A06" w:rsidRPr="00CB7689" w:rsidRDefault="00434A06" w:rsidP="00434A06">
      <w:pPr>
        <w:widowControl w:val="0"/>
        <w:autoSpaceDE w:val="0"/>
        <w:autoSpaceDN w:val="0"/>
        <w:adjustRightInd w:val="0"/>
        <w:ind w:right="50" w:firstLine="709"/>
        <w:contextualSpacing/>
        <w:rPr>
          <w:i/>
          <w:iCs/>
          <w:u w:val="single"/>
        </w:rPr>
      </w:pPr>
      <w:r w:rsidRPr="00CB7689">
        <w:rPr>
          <w:i/>
          <w:iCs/>
          <w:u w:val="single"/>
        </w:rPr>
        <w:t>Симптомы</w:t>
      </w:r>
    </w:p>
    <w:p w14:paraId="75E4692C" w14:textId="77777777" w:rsidR="00434A06" w:rsidRPr="00DA2BC8" w:rsidRDefault="00434A06" w:rsidP="00434A06">
      <w:pPr>
        <w:widowControl w:val="0"/>
        <w:autoSpaceDE w:val="0"/>
        <w:autoSpaceDN w:val="0"/>
        <w:adjustRightInd w:val="0"/>
        <w:ind w:right="50" w:firstLine="709"/>
        <w:contextualSpacing/>
      </w:pPr>
      <w:r w:rsidRPr="00DA2BC8">
        <w:t xml:space="preserve">Основное проявление – менингоэнцефалит. У </w:t>
      </w:r>
      <w:r>
        <w:t>гематологических пациентов</w:t>
      </w:r>
      <w:r w:rsidRPr="00DA2BC8">
        <w:t xml:space="preserve">, в отличие от ВИЧ-инфицированных пациентов, симптомы криптококкового менингита и менигоэнцефалита не столь выражены, чаще всего беспокоят повышение температуры, головная боль, нарушение сознания, а при запоздалом лечении развивается сопор. У 30-50% </w:t>
      </w:r>
      <w:r>
        <w:t>пациентов</w:t>
      </w:r>
      <w:r w:rsidRPr="00DA2BC8">
        <w:t xml:space="preserve"> с криптококкозом удается выделить </w:t>
      </w:r>
      <w:r w:rsidRPr="00DA2BC8">
        <w:rPr>
          <w:i/>
          <w:iCs/>
        </w:rPr>
        <w:t>Cryptococcus</w:t>
      </w:r>
      <w:r w:rsidRPr="00DA2BC8">
        <w:t xml:space="preserve"> spp</w:t>
      </w:r>
      <w:r>
        <w:t>. из гемокультуры. У 25-50% пациентов с</w:t>
      </w:r>
      <w:r w:rsidRPr="00DA2BC8">
        <w:t xml:space="preserve"> криптококкозом возникает диссеминация в других органов, такие как простата, кожа, печень, почки, селезенка и кости. Инфицирование простаты может являться источником реактивации криптококкоза после прекращения лечения. Клинические проявления криптококкоза неспецифичны и зависят от локализации процесса. </w:t>
      </w:r>
    </w:p>
    <w:p w14:paraId="56A3B205" w14:textId="77777777" w:rsidR="00434A06" w:rsidRPr="00CB7689" w:rsidRDefault="00434A06" w:rsidP="00434A06">
      <w:pPr>
        <w:widowControl w:val="0"/>
        <w:autoSpaceDE w:val="0"/>
        <w:autoSpaceDN w:val="0"/>
        <w:adjustRightInd w:val="0"/>
        <w:ind w:right="50" w:firstLine="709"/>
        <w:contextualSpacing/>
        <w:rPr>
          <w:i/>
          <w:iCs/>
          <w:u w:val="single"/>
        </w:rPr>
      </w:pPr>
      <w:r w:rsidRPr="00CB7689">
        <w:rPr>
          <w:i/>
          <w:iCs/>
          <w:u w:val="single"/>
        </w:rPr>
        <w:t>Диагностика</w:t>
      </w:r>
    </w:p>
    <w:p w14:paraId="60F15F87" w14:textId="77777777" w:rsidR="00434A06" w:rsidRPr="00C17F87" w:rsidRDefault="00434A06" w:rsidP="00434A06">
      <w:pPr>
        <w:widowControl w:val="0"/>
        <w:autoSpaceDE w:val="0"/>
        <w:autoSpaceDN w:val="0"/>
        <w:adjustRightInd w:val="0"/>
        <w:ind w:right="50" w:firstLine="709"/>
        <w:contextualSpacing/>
      </w:pPr>
      <w:r>
        <w:t xml:space="preserve">Для диагностики проводят необходимые иснтрументальные и лабораторные исследования, манипуляции – КТ/МРТ грудной, брюшной полостей, малого таза, костей, головного и спинного мозга (по показаниям с контрастированием), люмбальные пункции с исследованием физико-химических свойств ликвора, а также цитологическим, </w:t>
      </w:r>
      <w:r>
        <w:lastRenderedPageBreak/>
        <w:t xml:space="preserve">молекулярно-биологическим исследованием, посевы (микробиологические / бактериологические исследования) крови и ликвора, другие исследования и консультации специалистов (невролога, окулиста, нейрохирурга, уролога, хирурга  и др. по показаниям). </w:t>
      </w:r>
    </w:p>
    <w:p w14:paraId="26EAA599" w14:textId="77777777" w:rsidR="00434A06" w:rsidRDefault="00434A06" w:rsidP="00434A06">
      <w:pPr>
        <w:widowControl w:val="0"/>
        <w:autoSpaceDE w:val="0"/>
        <w:autoSpaceDN w:val="0"/>
        <w:adjustRightInd w:val="0"/>
        <w:ind w:right="50" w:firstLine="709"/>
        <w:contextualSpacing/>
      </w:pPr>
      <w:r w:rsidRPr="00DA2BC8">
        <w:t>Диагноз устанавливают на основании</w:t>
      </w:r>
      <w:r>
        <w:t>:</w:t>
      </w:r>
    </w:p>
    <w:p w14:paraId="12DF931C" w14:textId="77777777" w:rsidR="00434A06" w:rsidRDefault="00434A06" w:rsidP="00CF0CD2">
      <w:pPr>
        <w:pStyle w:val="afe"/>
        <w:widowControl w:val="0"/>
        <w:numPr>
          <w:ilvl w:val="0"/>
          <w:numId w:val="102"/>
        </w:numPr>
        <w:autoSpaceDE w:val="0"/>
        <w:autoSpaceDN w:val="0"/>
        <w:adjustRightInd w:val="0"/>
        <w:ind w:right="50"/>
      </w:pPr>
      <w:r w:rsidRPr="00444F93">
        <w:t xml:space="preserve">выделения </w:t>
      </w:r>
      <w:r w:rsidRPr="00444F93">
        <w:rPr>
          <w:i/>
          <w:iCs/>
        </w:rPr>
        <w:t xml:space="preserve">Cryptococcus </w:t>
      </w:r>
      <w:r w:rsidRPr="00444F93">
        <w:t xml:space="preserve">spp. из гемокультуры или СМЖ, или обнаружения дрожжеподобных грибов в СМЖ при микроскопии; </w:t>
      </w:r>
    </w:p>
    <w:p w14:paraId="261B5950" w14:textId="77777777" w:rsidR="00434A06" w:rsidRDefault="00434A06" w:rsidP="00CF0CD2">
      <w:pPr>
        <w:pStyle w:val="afe"/>
        <w:widowControl w:val="0"/>
        <w:numPr>
          <w:ilvl w:val="0"/>
          <w:numId w:val="102"/>
        </w:numPr>
        <w:autoSpaceDE w:val="0"/>
        <w:autoSpaceDN w:val="0"/>
        <w:adjustRightInd w:val="0"/>
        <w:ind w:right="50"/>
      </w:pPr>
      <w:r w:rsidRPr="00444F93">
        <w:t xml:space="preserve">определения положительного антигена </w:t>
      </w:r>
      <w:r w:rsidRPr="00444F93">
        <w:rPr>
          <w:i/>
          <w:iCs/>
        </w:rPr>
        <w:t xml:space="preserve">Cryptococcus </w:t>
      </w:r>
      <w:r w:rsidRPr="00444F93">
        <w:t xml:space="preserve">(глюкуроноксиломаннан) в СМЖ. </w:t>
      </w:r>
    </w:p>
    <w:p w14:paraId="023E1820" w14:textId="77777777" w:rsidR="00434A06" w:rsidRPr="00444F93" w:rsidRDefault="00434A06" w:rsidP="00434A06">
      <w:pPr>
        <w:widowControl w:val="0"/>
        <w:autoSpaceDE w:val="0"/>
        <w:autoSpaceDN w:val="0"/>
        <w:adjustRightInd w:val="0"/>
        <w:ind w:right="50" w:firstLine="708"/>
      </w:pPr>
      <w:r w:rsidRPr="00444F93">
        <w:t xml:space="preserve">Ложноположительные результаты антигена </w:t>
      </w:r>
      <w:r w:rsidRPr="00444F93">
        <w:rPr>
          <w:i/>
          <w:iCs/>
        </w:rPr>
        <w:t xml:space="preserve">Cryptococcus </w:t>
      </w:r>
      <w:r w:rsidRPr="00444F93">
        <w:t xml:space="preserve">могут быть при инфекциях, вызванными </w:t>
      </w:r>
      <w:r w:rsidRPr="00444F93">
        <w:rPr>
          <w:i/>
          <w:iCs/>
        </w:rPr>
        <w:t>Trichosporon</w:t>
      </w:r>
      <w:r w:rsidRPr="00444F93">
        <w:t xml:space="preserve"> или </w:t>
      </w:r>
      <w:r w:rsidRPr="00444F93">
        <w:rPr>
          <w:i/>
          <w:iCs/>
        </w:rPr>
        <w:t>Capnocytophaga canimorsus</w:t>
      </w:r>
      <w:r w:rsidRPr="00444F93">
        <w:t xml:space="preserve">, или </w:t>
      </w:r>
      <w:r w:rsidRPr="00444F93">
        <w:rPr>
          <w:i/>
          <w:iCs/>
        </w:rPr>
        <w:t>Stomatococcus mucilaginosis,</w:t>
      </w:r>
      <w:r w:rsidRPr="00444F93">
        <w:t xml:space="preserve"> или при обнаружении ревматоидного фактора. </w:t>
      </w:r>
    </w:p>
    <w:p w14:paraId="233030BC" w14:textId="77777777" w:rsidR="00434A06" w:rsidRPr="00CB7689" w:rsidRDefault="00434A06" w:rsidP="00434A06">
      <w:pPr>
        <w:widowControl w:val="0"/>
        <w:autoSpaceDE w:val="0"/>
        <w:autoSpaceDN w:val="0"/>
        <w:adjustRightInd w:val="0"/>
        <w:ind w:right="50" w:firstLine="709"/>
        <w:contextualSpacing/>
        <w:rPr>
          <w:i/>
          <w:iCs/>
          <w:u w:val="single"/>
        </w:rPr>
      </w:pPr>
      <w:r w:rsidRPr="00CB7689">
        <w:rPr>
          <w:i/>
          <w:iCs/>
          <w:u w:val="single"/>
        </w:rPr>
        <w:t>Лечение</w:t>
      </w:r>
    </w:p>
    <w:p w14:paraId="0ACA5D1E" w14:textId="77777777" w:rsidR="00434A06" w:rsidRPr="00DA2BC8" w:rsidRDefault="00434A06" w:rsidP="00434A06">
      <w:pPr>
        <w:widowControl w:val="0"/>
        <w:autoSpaceDE w:val="0"/>
        <w:autoSpaceDN w:val="0"/>
        <w:adjustRightInd w:val="0"/>
        <w:ind w:right="50" w:firstLine="709"/>
        <w:contextualSpacing/>
      </w:pPr>
      <w:r w:rsidRPr="00DA2BC8">
        <w:t xml:space="preserve">Лечение криптококкоза длительное и включает этапы индукции, консолидации и поддерживания. </w:t>
      </w:r>
      <w:r w:rsidRPr="00DA2BC8">
        <w:rPr>
          <w:bCs/>
        </w:rPr>
        <w:t>Этап индукции составляет</w:t>
      </w:r>
      <w:r w:rsidRPr="00DA2BC8">
        <w:t xml:space="preserve"> от 2 до 6 недель и включает назначение амфотерицина В (0,7-1,0 мг/кг внутривенно в сутки) или сочетание амфотерицина В (0,7-1,0 мг/кг) с флуцитозином (100 мг/кг в сутки, эту дозу разделяют на 4 приема). Флуцитозин вводят не более 2 недель. При криптококкозе ЦНС длительность этого этапа лечения составляет 6 недель. Липидную форму амфотерицина В (липосомальный амфотерицин В 3-4 мг/кг или липидный комплекс амфотерицина В 5 мг/кг) назначают при непереносимости или токсичности, возникшей при использовании обычного амфотерцина В. </w:t>
      </w:r>
      <w:r w:rsidRPr="00DA2BC8">
        <w:rPr>
          <w:bCs/>
        </w:rPr>
        <w:t>Этап консолидации</w:t>
      </w:r>
      <w:r w:rsidRPr="00DA2BC8">
        <w:t xml:space="preserve"> длится 8 недель</w:t>
      </w:r>
      <w:r>
        <w:t xml:space="preserve">, </w:t>
      </w:r>
      <w:r w:rsidRPr="00DA2BC8">
        <w:t xml:space="preserve">для лечнения используют флуконазол (400 мг 1 раз в сутки внутривенно или перорально), далее на </w:t>
      </w:r>
      <w:r w:rsidRPr="00DA2BC8">
        <w:rPr>
          <w:bCs/>
        </w:rPr>
        <w:t>этапе поддерживания доза флуконазола составляет</w:t>
      </w:r>
      <w:r w:rsidRPr="00DA2BC8">
        <w:t xml:space="preserve"> 200 мг 1 раз в сутки внутривенно или перорально. Альтернативный препарат для лечения криптококкоза – вориконазол (дозирование как при инвазивном аспергиллезе).</w:t>
      </w:r>
    </w:p>
    <w:p w14:paraId="1062F096" w14:textId="77777777" w:rsidR="00434A06" w:rsidRDefault="00434A06" w:rsidP="00434A06">
      <w:pPr>
        <w:pStyle w:val="afe"/>
        <w:widowControl w:val="0"/>
        <w:autoSpaceDE w:val="0"/>
        <w:autoSpaceDN w:val="0"/>
        <w:adjustRightInd w:val="0"/>
        <w:ind w:left="1069" w:right="50" w:firstLine="0"/>
        <w:rPr>
          <w:b/>
          <w:bCs/>
        </w:rPr>
      </w:pPr>
    </w:p>
    <w:p w14:paraId="3EB4762C" w14:textId="771CD7D5" w:rsidR="00434A06" w:rsidRPr="00084B8B" w:rsidRDefault="00434A06" w:rsidP="00434A06">
      <w:pPr>
        <w:widowControl w:val="0"/>
        <w:autoSpaceDE w:val="0"/>
        <w:autoSpaceDN w:val="0"/>
        <w:adjustRightInd w:val="0"/>
        <w:ind w:right="49"/>
        <w:contextualSpacing/>
        <w:rPr>
          <w:bCs/>
          <w:u w:val="single"/>
        </w:rPr>
      </w:pPr>
      <w:r w:rsidRPr="00CB7689">
        <w:rPr>
          <w:bCs/>
          <w:u w:val="single"/>
        </w:rPr>
        <w:t>Микозы, вызванные редкими дрожжеподобными грибами</w:t>
      </w:r>
      <w:r w:rsidRPr="00084B8B">
        <w:rPr>
          <w:bCs/>
          <w:u w:val="single"/>
        </w:rPr>
        <w:t xml:space="preserve"> </w:t>
      </w:r>
      <w:r>
        <w:rPr>
          <w:b/>
        </w:rPr>
        <w:fldChar w:fldCharType="begin" w:fldLock="1"/>
      </w:r>
      <w:r w:rsidR="00EC13BC">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mendeley":{"formattedCitation":"[158,159,165]","plainTextFormattedCitation":"[158,159,165]","previouslyFormattedCitation":"[158,159,165]"},"properties":{"noteIndex":0},"schema":"https://github.com/citation-style-language/schema/raw/master/csl-citation.json"}</w:instrText>
      </w:r>
      <w:r>
        <w:rPr>
          <w:b/>
        </w:rPr>
        <w:fldChar w:fldCharType="separate"/>
      </w:r>
      <w:r w:rsidRPr="00434A06">
        <w:rPr>
          <w:noProof/>
        </w:rPr>
        <w:t>[158,159,165]</w:t>
      </w:r>
      <w:r>
        <w:rPr>
          <w:b/>
        </w:rPr>
        <w:fldChar w:fldCharType="end"/>
      </w:r>
    </w:p>
    <w:p w14:paraId="2C263AFF" w14:textId="77777777" w:rsidR="00434A06" w:rsidRPr="00DA2BC8" w:rsidRDefault="00434A06" w:rsidP="00434A06">
      <w:pPr>
        <w:widowControl w:val="0"/>
        <w:autoSpaceDE w:val="0"/>
        <w:autoSpaceDN w:val="0"/>
        <w:adjustRightInd w:val="0"/>
        <w:ind w:right="50" w:firstLine="709"/>
        <w:contextualSpacing/>
      </w:pPr>
      <w:r w:rsidRPr="00DA2BC8">
        <w:t>Общая характеристика для грибов этой группы –</w:t>
      </w:r>
      <w:r>
        <w:t xml:space="preserve"> </w:t>
      </w:r>
      <w:r w:rsidRPr="00DA2BC8">
        <w:t xml:space="preserve">низкая вирулентность, широкое распространение в природе, частая колонизация кожи и слизистых оболочек человека, природная устойчивость к эхинокандинам, за исключением </w:t>
      </w:r>
      <w:r w:rsidRPr="00DA2BC8">
        <w:rPr>
          <w:i/>
          <w:iCs/>
        </w:rPr>
        <w:t>Saccharomyces</w:t>
      </w:r>
      <w:r w:rsidRPr="00DA2BC8">
        <w:t xml:space="preserve"> spp., вызывают поверхностные инфекции в общей популяции </w:t>
      </w:r>
      <w:r>
        <w:t>пациентов</w:t>
      </w:r>
      <w:r w:rsidRPr="00DA2BC8">
        <w:t xml:space="preserve">. Грибы этой категории редко вызывают инвазивные микозы у имммунокомпрометированных </w:t>
      </w:r>
      <w:r>
        <w:t>пациентов</w:t>
      </w:r>
      <w:r w:rsidRPr="00DA2BC8">
        <w:t xml:space="preserve">х. В общей структуре фунгемий редкие дрожжеподобные грибы занимают от 1% до 5%. Как правило, микробиологическим подтверждением является выделение грибов из гемокультуры. Заболевание возникает у тяжелой категории </w:t>
      </w:r>
      <w:r>
        <w:t>гематологических пациентов</w:t>
      </w:r>
      <w:r w:rsidRPr="00DA2BC8">
        <w:t xml:space="preserve">, включая </w:t>
      </w:r>
      <w:r>
        <w:t>пациентов с</w:t>
      </w:r>
      <w:r w:rsidRPr="00DA2BC8">
        <w:t xml:space="preserve"> острыми л</w:t>
      </w:r>
      <w:r>
        <w:t>ейкозами, реципиентов аллогенных</w:t>
      </w:r>
      <w:r w:rsidRPr="00DA2BC8">
        <w:t xml:space="preserve"> СГК</w:t>
      </w:r>
      <w:r>
        <w:t xml:space="preserve"> и др.</w:t>
      </w:r>
      <w:r w:rsidRPr="00DA2BC8">
        <w:t xml:space="preserve"> Крайне важно </w:t>
      </w:r>
      <w:r w:rsidRPr="00DA2BC8">
        <w:lastRenderedPageBreak/>
        <w:t xml:space="preserve">провести идентификацию до вида всех дрожжеподобных грибов, выделенных из стерильных локусов, с помощью современных тест-систем или масс-спектрометрии. К редким дрожжеподобным грибам относят </w:t>
      </w:r>
      <w:r w:rsidRPr="00DA2BC8">
        <w:rPr>
          <w:i/>
          <w:iCs/>
        </w:rPr>
        <w:t xml:space="preserve">Geotrichum </w:t>
      </w:r>
      <w:r w:rsidRPr="00DA2BC8">
        <w:t xml:space="preserve">spp., </w:t>
      </w:r>
      <w:r w:rsidRPr="00DA2BC8">
        <w:rPr>
          <w:i/>
          <w:iCs/>
        </w:rPr>
        <w:t>Rhodotorula</w:t>
      </w:r>
      <w:r w:rsidRPr="00DA2BC8">
        <w:t xml:space="preserve"> spp., </w:t>
      </w:r>
      <w:r w:rsidRPr="00DA2BC8">
        <w:rPr>
          <w:i/>
          <w:iCs/>
        </w:rPr>
        <w:t>Saccharomyces</w:t>
      </w:r>
      <w:r w:rsidRPr="00DA2BC8">
        <w:t xml:space="preserve"> spp., </w:t>
      </w:r>
      <w:r w:rsidRPr="00DA2BC8">
        <w:rPr>
          <w:i/>
          <w:iCs/>
        </w:rPr>
        <w:t>Trichosporon</w:t>
      </w:r>
      <w:r w:rsidRPr="00DA2BC8">
        <w:t xml:space="preserve"> spp., </w:t>
      </w:r>
      <w:r w:rsidRPr="00DA2BC8">
        <w:rPr>
          <w:i/>
          <w:iCs/>
        </w:rPr>
        <w:t>Malassezia</w:t>
      </w:r>
      <w:r w:rsidRPr="00DA2BC8">
        <w:t xml:space="preserve"> spp., </w:t>
      </w:r>
      <w:r w:rsidRPr="00DA2BC8">
        <w:rPr>
          <w:i/>
          <w:iCs/>
        </w:rPr>
        <w:t>Pichia anomala, Saprochaete capitata</w:t>
      </w:r>
    </w:p>
    <w:p w14:paraId="51B20747" w14:textId="77777777" w:rsidR="00434A06" w:rsidRPr="0094088A" w:rsidRDefault="00434A06" w:rsidP="00434A06">
      <w:pPr>
        <w:widowControl w:val="0"/>
        <w:autoSpaceDE w:val="0"/>
        <w:autoSpaceDN w:val="0"/>
        <w:adjustRightInd w:val="0"/>
        <w:ind w:right="50" w:firstLine="709"/>
        <w:contextualSpacing/>
        <w:rPr>
          <w:i/>
          <w:iCs/>
          <w:lang w:val="en-US"/>
        </w:rPr>
      </w:pPr>
      <w:r w:rsidRPr="00C553B6">
        <w:rPr>
          <w:i/>
          <w:iCs/>
          <w:u w:val="single"/>
        </w:rPr>
        <w:t>Микозы</w:t>
      </w:r>
      <w:r w:rsidRPr="0094088A">
        <w:rPr>
          <w:i/>
          <w:iCs/>
          <w:u w:val="single"/>
          <w:lang w:val="en-US"/>
        </w:rPr>
        <w:t xml:space="preserve">, </w:t>
      </w:r>
      <w:r w:rsidRPr="00C553B6">
        <w:rPr>
          <w:i/>
          <w:iCs/>
          <w:u w:val="single"/>
        </w:rPr>
        <w:t>вызванные</w:t>
      </w:r>
      <w:r w:rsidRPr="0094088A">
        <w:rPr>
          <w:i/>
          <w:iCs/>
          <w:u w:val="single"/>
          <w:lang w:val="en-US"/>
        </w:rPr>
        <w:t xml:space="preserve"> </w:t>
      </w:r>
      <w:r w:rsidRPr="00C553B6">
        <w:rPr>
          <w:i/>
          <w:iCs/>
          <w:u w:val="single"/>
          <w:lang w:val="en-US"/>
        </w:rPr>
        <w:t>Saprochaete</w:t>
      </w:r>
      <w:r w:rsidRPr="0094088A">
        <w:rPr>
          <w:i/>
          <w:iCs/>
          <w:u w:val="single"/>
          <w:lang w:val="en-US"/>
        </w:rPr>
        <w:t xml:space="preserve"> </w:t>
      </w:r>
      <w:r w:rsidRPr="00C553B6">
        <w:rPr>
          <w:i/>
          <w:iCs/>
          <w:u w:val="single"/>
          <w:lang w:val="en-US"/>
        </w:rPr>
        <w:t>capitat</w:t>
      </w:r>
      <w:r w:rsidRPr="00C553B6">
        <w:rPr>
          <w:i/>
          <w:iCs/>
          <w:lang w:val="en-US"/>
        </w:rPr>
        <w:t>a</w:t>
      </w:r>
      <w:r w:rsidRPr="0094088A">
        <w:rPr>
          <w:i/>
          <w:iCs/>
          <w:u w:val="single"/>
          <w:lang w:val="en-US"/>
        </w:rPr>
        <w:t xml:space="preserve"> (</w:t>
      </w:r>
      <w:r w:rsidRPr="00C553B6">
        <w:rPr>
          <w:i/>
          <w:iCs/>
          <w:u w:val="single"/>
        </w:rPr>
        <w:t>синонимы</w:t>
      </w:r>
      <w:r w:rsidRPr="0094088A">
        <w:rPr>
          <w:i/>
          <w:iCs/>
          <w:u w:val="single"/>
          <w:lang w:val="en-US"/>
        </w:rPr>
        <w:t xml:space="preserve"> </w:t>
      </w:r>
      <w:r w:rsidRPr="00C553B6">
        <w:rPr>
          <w:i/>
          <w:iCs/>
          <w:u w:val="single"/>
          <w:lang w:val="en-US"/>
        </w:rPr>
        <w:t>Trichosporon</w:t>
      </w:r>
      <w:r w:rsidRPr="0094088A">
        <w:rPr>
          <w:i/>
          <w:iCs/>
          <w:u w:val="single"/>
          <w:lang w:val="en-US"/>
        </w:rPr>
        <w:t xml:space="preserve"> </w:t>
      </w:r>
      <w:r w:rsidRPr="00C553B6">
        <w:rPr>
          <w:i/>
          <w:iCs/>
          <w:u w:val="single"/>
          <w:lang w:val="en-US"/>
        </w:rPr>
        <w:t>capitatum</w:t>
      </w:r>
      <w:r w:rsidRPr="0094088A">
        <w:rPr>
          <w:i/>
          <w:iCs/>
          <w:u w:val="single"/>
          <w:lang w:val="en-US"/>
        </w:rPr>
        <w:t xml:space="preserve">, </w:t>
      </w:r>
      <w:r w:rsidRPr="00C553B6">
        <w:rPr>
          <w:i/>
          <w:iCs/>
          <w:u w:val="single"/>
          <w:lang w:val="en-US"/>
        </w:rPr>
        <w:t>Geotrichum</w:t>
      </w:r>
      <w:r w:rsidRPr="0094088A">
        <w:rPr>
          <w:i/>
          <w:iCs/>
          <w:u w:val="single"/>
          <w:lang w:val="en-US"/>
        </w:rPr>
        <w:t xml:space="preserve"> </w:t>
      </w:r>
      <w:r w:rsidRPr="00C553B6">
        <w:rPr>
          <w:i/>
          <w:iCs/>
          <w:u w:val="single"/>
          <w:lang w:val="en-US"/>
        </w:rPr>
        <w:t>capitatum</w:t>
      </w:r>
      <w:r w:rsidRPr="0094088A">
        <w:rPr>
          <w:i/>
          <w:iCs/>
          <w:u w:val="single"/>
          <w:lang w:val="en-US"/>
        </w:rPr>
        <w:t xml:space="preserve">, </w:t>
      </w:r>
      <w:r w:rsidRPr="00C553B6">
        <w:rPr>
          <w:i/>
          <w:iCs/>
          <w:u w:val="single"/>
          <w:lang w:val="en-US"/>
        </w:rPr>
        <w:t>Ascotrichosporon</w:t>
      </w:r>
      <w:r w:rsidRPr="0094088A">
        <w:rPr>
          <w:i/>
          <w:iCs/>
          <w:u w:val="single"/>
          <w:lang w:val="en-US"/>
        </w:rPr>
        <w:t xml:space="preserve"> </w:t>
      </w:r>
      <w:r w:rsidRPr="00C553B6">
        <w:rPr>
          <w:i/>
          <w:iCs/>
          <w:u w:val="single"/>
          <w:lang w:val="en-US"/>
        </w:rPr>
        <w:t>capitatum</w:t>
      </w:r>
      <w:r w:rsidRPr="0094088A">
        <w:rPr>
          <w:i/>
          <w:iCs/>
          <w:u w:val="single"/>
          <w:lang w:val="en-US"/>
        </w:rPr>
        <w:t xml:space="preserve">, </w:t>
      </w:r>
      <w:r w:rsidRPr="00C553B6">
        <w:rPr>
          <w:i/>
          <w:iCs/>
          <w:u w:val="single"/>
          <w:lang w:val="en-US"/>
        </w:rPr>
        <w:t>Blastoschizomyces</w:t>
      </w:r>
      <w:r w:rsidRPr="0094088A">
        <w:rPr>
          <w:i/>
          <w:iCs/>
          <w:u w:val="single"/>
          <w:lang w:val="en-US"/>
        </w:rPr>
        <w:t xml:space="preserve"> </w:t>
      </w:r>
      <w:r w:rsidRPr="00C553B6">
        <w:rPr>
          <w:i/>
          <w:iCs/>
          <w:u w:val="single"/>
          <w:lang w:val="en-US"/>
        </w:rPr>
        <w:t>capitatus</w:t>
      </w:r>
      <w:r w:rsidRPr="0094088A">
        <w:rPr>
          <w:i/>
          <w:iCs/>
          <w:u w:val="single"/>
          <w:lang w:val="en-US"/>
        </w:rPr>
        <w:t>)</w:t>
      </w:r>
    </w:p>
    <w:p w14:paraId="35CE02F0" w14:textId="77777777" w:rsidR="00434A06" w:rsidRPr="00DA2BC8" w:rsidRDefault="00434A06" w:rsidP="00434A06">
      <w:pPr>
        <w:widowControl w:val="0"/>
        <w:autoSpaceDE w:val="0"/>
        <w:autoSpaceDN w:val="0"/>
        <w:adjustRightInd w:val="0"/>
        <w:ind w:right="50" w:firstLine="709"/>
        <w:contextualSpacing/>
        <w:rPr>
          <w:b/>
          <w:bCs/>
          <w:i/>
          <w:iCs/>
        </w:rPr>
      </w:pPr>
      <w:r w:rsidRPr="00DA2BC8">
        <w:t xml:space="preserve">В структуре фунгемий не превышают 0,5%. Фунгемии, вызванные </w:t>
      </w:r>
      <w:r w:rsidRPr="00DA2BC8">
        <w:rPr>
          <w:i/>
          <w:iCs/>
        </w:rPr>
        <w:t>S. capitat</w:t>
      </w:r>
      <w:r w:rsidRPr="00DA2BC8">
        <w:rPr>
          <w:i/>
        </w:rPr>
        <w:t>a</w:t>
      </w:r>
      <w:r w:rsidRPr="00DA2BC8">
        <w:t xml:space="preserve"> в сравнении с </w:t>
      </w:r>
      <w:r w:rsidRPr="00DA2BC8">
        <w:rPr>
          <w:i/>
          <w:iCs/>
        </w:rPr>
        <w:t>Candida</w:t>
      </w:r>
      <w:r w:rsidRPr="00DA2BC8">
        <w:t xml:space="preserve"> spp, характеризуются высокой частотой диссеминации в паренхиматозные органы (60-80%) и высокой летальностью (50-60%). К факторам риска относят нейтропению, наличие ЦВК.</w:t>
      </w:r>
      <w:r w:rsidRPr="00DA2BC8">
        <w:rPr>
          <w:b/>
          <w:bCs/>
          <w:i/>
          <w:iCs/>
        </w:rPr>
        <w:t xml:space="preserve"> </w:t>
      </w:r>
      <w:r w:rsidRPr="00DA2BC8">
        <w:rPr>
          <w:bCs/>
        </w:rPr>
        <w:t>Диагноз ставят на основании выделения</w:t>
      </w:r>
      <w:r w:rsidRPr="00DA2BC8">
        <w:rPr>
          <w:b/>
          <w:bCs/>
        </w:rPr>
        <w:t xml:space="preserve"> </w:t>
      </w:r>
      <w:r w:rsidRPr="00DA2BC8">
        <w:rPr>
          <w:i/>
          <w:iCs/>
        </w:rPr>
        <w:t>S. capitat</w:t>
      </w:r>
      <w:r w:rsidRPr="00DA2BC8">
        <w:rPr>
          <w:i/>
        </w:rPr>
        <w:t>a</w:t>
      </w:r>
      <w:r w:rsidRPr="00DA2BC8">
        <w:t xml:space="preserve"> из гемокультуры, хотя бы однократном, или из биоптатов органов и тканей. Идентификацию до вида проводят с помощью современных тест-систем или масс-спектрометрии, а не на основании микроскопии или культуральных свойств. </w:t>
      </w:r>
      <w:r w:rsidRPr="00DA2BC8">
        <w:rPr>
          <w:bCs/>
          <w:iCs/>
        </w:rPr>
        <w:t xml:space="preserve">Во всех случаях </w:t>
      </w:r>
      <w:r w:rsidRPr="00DA2BC8">
        <w:t xml:space="preserve">выделении </w:t>
      </w:r>
      <w:r w:rsidRPr="00DA2BC8">
        <w:rPr>
          <w:i/>
          <w:iCs/>
        </w:rPr>
        <w:t>S. capitat</w:t>
      </w:r>
      <w:r w:rsidRPr="00DA2BC8">
        <w:rPr>
          <w:i/>
        </w:rPr>
        <w:t>a</w:t>
      </w:r>
      <w:r w:rsidRPr="00DA2BC8">
        <w:t xml:space="preserve"> из гемокультуры выполняют КТ (с контрастированием) или МРТ органов брюшной полости ввиду высокой вероятности диссеминации. Симптомы инфекции, вызванной </w:t>
      </w:r>
      <w:r w:rsidRPr="00DA2BC8">
        <w:rPr>
          <w:i/>
          <w:iCs/>
        </w:rPr>
        <w:t>S. capitat</w:t>
      </w:r>
      <w:r w:rsidRPr="00DA2BC8">
        <w:rPr>
          <w:i/>
        </w:rPr>
        <w:t>a</w:t>
      </w:r>
      <w:r w:rsidRPr="00DA2BC8">
        <w:t xml:space="preserve">, аналогичны симптомам при кандидемии – высокая температура, озноб, гипотензия. </w:t>
      </w:r>
      <w:r w:rsidRPr="00DA2BC8">
        <w:rPr>
          <w:bCs/>
        </w:rPr>
        <w:t>Лечение включает</w:t>
      </w:r>
      <w:r w:rsidRPr="00DA2BC8">
        <w:rPr>
          <w:b/>
          <w:bCs/>
        </w:rPr>
        <w:t xml:space="preserve"> </w:t>
      </w:r>
      <w:r w:rsidRPr="00DA2BC8">
        <w:t>удаление ЦВК во всех случаях, назначение вориконазола (1-й день 12 мг/кг/сутки, внутривенно, доза разделяется на два приема, далее – 8 мг/кг/сутки, при стабилизации состояния – перевод на пероральную форму вориконазола по 200 мг х 2 раза в сутки) или амфотерицина В (1 мг/кг/сутки (+/- флуцитозин)). При отсутствиии эффекта от монотерапии можно использовать сочетание вориконазола с амфотерицином В. Амфотерицина В заменяют на липидные формы амфотерицина В (доза 3-5 мг/кг/сутки) в случаях повышения креатинина, непереносимости амофотерицина В, неэффективности.</w:t>
      </w:r>
      <w:r w:rsidRPr="00DA2BC8">
        <w:rPr>
          <w:b/>
          <w:bCs/>
          <w:i/>
          <w:iCs/>
        </w:rPr>
        <w:t xml:space="preserve"> </w:t>
      </w:r>
      <w:r w:rsidRPr="00DA2BC8">
        <w:t xml:space="preserve">Против </w:t>
      </w:r>
      <w:r w:rsidRPr="00DA2BC8">
        <w:rPr>
          <w:i/>
          <w:iCs/>
        </w:rPr>
        <w:t>S. capitata</w:t>
      </w:r>
      <w:r w:rsidRPr="00DA2BC8">
        <w:t xml:space="preserve"> проявляют активность </w:t>
      </w:r>
      <w:r w:rsidRPr="00DA2BC8">
        <w:rPr>
          <w:i/>
          <w:iCs/>
        </w:rPr>
        <w:t>in vitro</w:t>
      </w:r>
      <w:r w:rsidRPr="00DA2BC8">
        <w:t xml:space="preserve"> также итраконазол и позаконазол, не активен -- флуконазол.</w:t>
      </w:r>
      <w:r w:rsidRPr="00DA2BC8">
        <w:rPr>
          <w:b/>
          <w:bCs/>
          <w:i/>
          <w:iCs/>
        </w:rPr>
        <w:t xml:space="preserve"> </w:t>
      </w:r>
      <w:r w:rsidRPr="00DA2BC8">
        <w:t xml:space="preserve">Не рекомендовано применение эхинокандины по причине природной резистентности </w:t>
      </w:r>
      <w:r w:rsidRPr="00DA2BC8">
        <w:rPr>
          <w:i/>
          <w:iCs/>
        </w:rPr>
        <w:t>S. capitata.</w:t>
      </w:r>
    </w:p>
    <w:p w14:paraId="3B538A5A" w14:textId="77777777" w:rsidR="00434A06" w:rsidRPr="00C553B6" w:rsidRDefault="00434A06" w:rsidP="00434A06">
      <w:pPr>
        <w:widowControl w:val="0"/>
        <w:autoSpaceDE w:val="0"/>
        <w:autoSpaceDN w:val="0"/>
        <w:adjustRightInd w:val="0"/>
        <w:ind w:right="50" w:firstLine="709"/>
        <w:contextualSpacing/>
        <w:rPr>
          <w:i/>
          <w:iCs/>
          <w:u w:val="single"/>
        </w:rPr>
      </w:pPr>
      <w:r w:rsidRPr="00C553B6">
        <w:rPr>
          <w:i/>
          <w:iCs/>
          <w:u w:val="single"/>
        </w:rPr>
        <w:t>Микозы, вызванные Malassezia spp.</w:t>
      </w:r>
    </w:p>
    <w:p w14:paraId="0EEF7E62" w14:textId="77777777" w:rsidR="00434A06" w:rsidRPr="00DA2BC8" w:rsidRDefault="00434A06" w:rsidP="00434A06">
      <w:pPr>
        <w:widowControl w:val="0"/>
        <w:autoSpaceDE w:val="0"/>
        <w:autoSpaceDN w:val="0"/>
        <w:adjustRightInd w:val="0"/>
        <w:ind w:right="50" w:firstLine="709"/>
        <w:contextualSpacing/>
      </w:pPr>
      <w:r w:rsidRPr="00DA2BC8">
        <w:t xml:space="preserve">Ведущие возбудителями инвазивных микозов у человека - </w:t>
      </w:r>
      <w:r w:rsidRPr="00DA2BC8">
        <w:rPr>
          <w:i/>
          <w:iCs/>
        </w:rPr>
        <w:t xml:space="preserve">M. furfur </w:t>
      </w:r>
      <w:r w:rsidRPr="00DA2BC8">
        <w:t xml:space="preserve">и </w:t>
      </w:r>
      <w:r w:rsidRPr="00DA2BC8">
        <w:rPr>
          <w:i/>
          <w:iCs/>
        </w:rPr>
        <w:t>M.</w:t>
      </w:r>
      <w:r w:rsidRPr="00DA2BC8">
        <w:t xml:space="preserve"> </w:t>
      </w:r>
      <w:r w:rsidRPr="00DA2BC8">
        <w:rPr>
          <w:i/>
          <w:iCs/>
        </w:rPr>
        <w:t>pachydermatis</w:t>
      </w:r>
      <w:r w:rsidRPr="00DA2BC8">
        <w:t xml:space="preserve">, являются липофильными грибами. Основным проявлением инфекции служит фунгемия, также могут возникать перитонит, эндокардит, пневмония, остеомиелит, менингит. Инфекции, вызванные </w:t>
      </w:r>
      <w:r w:rsidRPr="00DA2BC8">
        <w:rPr>
          <w:i/>
          <w:iCs/>
        </w:rPr>
        <w:t>Malassezia</w:t>
      </w:r>
      <w:r w:rsidRPr="00DA2BC8">
        <w:t xml:space="preserve"> spp. характеризуются нетяжелым течением и низкой летальностью. Ввиду липофильной природы большинства </w:t>
      </w:r>
      <w:r w:rsidRPr="00DA2BC8">
        <w:rPr>
          <w:i/>
          <w:iCs/>
        </w:rPr>
        <w:t xml:space="preserve">Malassezia </w:t>
      </w:r>
      <w:r w:rsidRPr="00DA2BC8">
        <w:t xml:space="preserve">spp., инфекция развивается у больных, получающих парентеральное питание, содержащее жирные кислоты. К другим факторам риска относят наличие ЦВК, перитонеального диализа, иммуносупрессии, тяжелой сопутствующей патологии. Возможны эпидемические </w:t>
      </w:r>
      <w:r w:rsidRPr="00DA2BC8">
        <w:lastRenderedPageBreak/>
        <w:t xml:space="preserve">вспышки в стационаре. </w:t>
      </w:r>
      <w:r w:rsidRPr="00DA2BC8">
        <w:rPr>
          <w:bCs/>
        </w:rPr>
        <w:t>Диагностика включает</w:t>
      </w:r>
      <w:r w:rsidRPr="00DA2BC8">
        <w:t xml:space="preserve"> выделение </w:t>
      </w:r>
      <w:r w:rsidRPr="00DA2BC8">
        <w:rPr>
          <w:i/>
          <w:iCs/>
        </w:rPr>
        <w:t>Malassezia</w:t>
      </w:r>
      <w:r w:rsidRPr="00DA2BC8">
        <w:t xml:space="preserve"> spp. из гемокультуры или других стерильных образцов (асцитическая жидкость, ликвор, биоптаты органов). Для детекции </w:t>
      </w:r>
      <w:r w:rsidRPr="00DA2BC8">
        <w:rPr>
          <w:i/>
          <w:iCs/>
        </w:rPr>
        <w:t>Malassezia</w:t>
      </w:r>
      <w:r w:rsidRPr="00DA2BC8">
        <w:t xml:space="preserve"> spp. необходимо в питательную среду добавлять жиры (например, стерильное оливковое масло) ввиду их липофильной природы. </w:t>
      </w:r>
      <w:r w:rsidRPr="00DA2BC8">
        <w:rPr>
          <w:bCs/>
        </w:rPr>
        <w:t>Лечение</w:t>
      </w:r>
      <w:r w:rsidRPr="00DA2BC8">
        <w:rPr>
          <w:b/>
          <w:bCs/>
        </w:rPr>
        <w:t xml:space="preserve"> </w:t>
      </w:r>
      <w:r w:rsidRPr="00DA2BC8">
        <w:rPr>
          <w:bCs/>
        </w:rPr>
        <w:t>включает у</w:t>
      </w:r>
      <w:r w:rsidRPr="00DA2BC8">
        <w:t xml:space="preserve">даление ЦВК, прекращение парентерального питания, </w:t>
      </w:r>
      <w:r w:rsidRPr="00DA2BC8">
        <w:rPr>
          <w:bCs/>
        </w:rPr>
        <w:t xml:space="preserve">назначение </w:t>
      </w:r>
      <w:r w:rsidRPr="00DA2BC8">
        <w:t xml:space="preserve">флуконазола  (400 мг), или амфотерицин В (1 мг/кг), или вориконазола (1-й день 12 мг/кг, далее 8 мг/кг). Не рекомендовано назначать эхинокандины ввиду природной резистентности </w:t>
      </w:r>
      <w:r w:rsidRPr="00DA2BC8">
        <w:rPr>
          <w:i/>
          <w:iCs/>
        </w:rPr>
        <w:t>Malassezia</w:t>
      </w:r>
      <w:r w:rsidRPr="00DA2BC8">
        <w:t xml:space="preserve"> spp.</w:t>
      </w:r>
    </w:p>
    <w:p w14:paraId="14D0275B" w14:textId="77777777" w:rsidR="00434A06" w:rsidRPr="00C553B6" w:rsidRDefault="00434A06" w:rsidP="00434A06">
      <w:pPr>
        <w:widowControl w:val="0"/>
        <w:autoSpaceDE w:val="0"/>
        <w:autoSpaceDN w:val="0"/>
        <w:adjustRightInd w:val="0"/>
        <w:ind w:right="50" w:firstLine="709"/>
        <w:contextualSpacing/>
        <w:rPr>
          <w:i/>
          <w:iCs/>
          <w:u w:val="single"/>
        </w:rPr>
      </w:pPr>
      <w:r w:rsidRPr="00C553B6">
        <w:rPr>
          <w:i/>
          <w:iCs/>
          <w:u w:val="single"/>
        </w:rPr>
        <w:t>Микозы, вызванные Trichosporon spp.</w:t>
      </w:r>
    </w:p>
    <w:p w14:paraId="108298EA" w14:textId="77777777" w:rsidR="00434A06" w:rsidRPr="00DA2BC8" w:rsidRDefault="00434A06" w:rsidP="00434A06">
      <w:pPr>
        <w:widowControl w:val="0"/>
        <w:autoSpaceDE w:val="0"/>
        <w:autoSpaceDN w:val="0"/>
        <w:adjustRightInd w:val="0"/>
        <w:ind w:right="50" w:firstLine="709"/>
        <w:contextualSpacing/>
      </w:pPr>
      <w:r w:rsidRPr="00DA2BC8">
        <w:t xml:space="preserve">Эти грибы очень широко распространены в окружающей среде, часто колонизируют кожу, особенно перианальную область, иногда слизистые оболочки верхних дыхательных путей и желудочно-кишечного тракта. Основным проявлением инвазивных микозов, вызванных </w:t>
      </w:r>
      <w:r w:rsidRPr="00DA2BC8">
        <w:rPr>
          <w:i/>
          <w:iCs/>
        </w:rPr>
        <w:t>Trichosporon</w:t>
      </w:r>
      <w:r w:rsidRPr="00DA2BC8">
        <w:t xml:space="preserve"> spp. у </w:t>
      </w:r>
      <w:r>
        <w:t>гематологических пациентов</w:t>
      </w:r>
      <w:r w:rsidRPr="00DA2BC8">
        <w:t xml:space="preserve"> является фунгемия (75%) с последующей диссеминацией в различные органы и ткани организма. Наиболее часто инфекция сопровождается появлением септико-пиемических очагов на коже (50%). Возможны и другие проявления, такие как эндокардит, перитонит, менингит, пиелонефрит и т.д. Для инвазивных микозов, вызванных </w:t>
      </w:r>
      <w:r w:rsidRPr="00DA2BC8">
        <w:rPr>
          <w:i/>
          <w:iCs/>
        </w:rPr>
        <w:t>Trichosporon</w:t>
      </w:r>
      <w:r w:rsidRPr="00DA2BC8">
        <w:t xml:space="preserve"> spp. у больных гемобластозами, характерна высокая летальность (55-80%). Основные возбудители - </w:t>
      </w:r>
      <w:r w:rsidRPr="00DA2BC8">
        <w:rPr>
          <w:i/>
          <w:iCs/>
        </w:rPr>
        <w:t>Trichosporon asahii</w:t>
      </w:r>
      <w:r w:rsidRPr="00DA2BC8">
        <w:t xml:space="preserve"> и </w:t>
      </w:r>
      <w:r w:rsidRPr="00DA2BC8">
        <w:rPr>
          <w:i/>
          <w:iCs/>
        </w:rPr>
        <w:t>Trichosporon dermatis</w:t>
      </w:r>
      <w:r w:rsidRPr="00DA2BC8">
        <w:t xml:space="preserve">. Основными факторами риска развития инфекции являются наличие ЦВК, пребывание в ОРИТ, перитонеальный диализ, лечение глюкокортикостероидами, химиотерапия, внутривенные инъекции наркотических веществ. </w:t>
      </w:r>
      <w:r w:rsidRPr="00DA2BC8">
        <w:rPr>
          <w:bCs/>
        </w:rPr>
        <w:t>Диагностика включает</w:t>
      </w:r>
      <w:r w:rsidRPr="00DA2BC8">
        <w:rPr>
          <w:b/>
          <w:bCs/>
        </w:rPr>
        <w:t xml:space="preserve"> </w:t>
      </w:r>
      <w:r w:rsidRPr="00DA2BC8">
        <w:t xml:space="preserve">выделение </w:t>
      </w:r>
      <w:r w:rsidRPr="00DA2BC8">
        <w:rPr>
          <w:i/>
          <w:iCs/>
        </w:rPr>
        <w:t>Trichosporon</w:t>
      </w:r>
      <w:r w:rsidRPr="00DA2BC8">
        <w:t xml:space="preserve"> spp. из гемокультуры </w:t>
      </w:r>
      <w:r>
        <w:t xml:space="preserve">(кровь) </w:t>
      </w:r>
      <w:r w:rsidRPr="00DA2BC8">
        <w:t>или других стерильных образцов (асцитическая жидкость, ликвор, биоптаты органов</w:t>
      </w:r>
      <w:r>
        <w:t>, и др.</w:t>
      </w:r>
      <w:r w:rsidRPr="00DA2BC8">
        <w:t xml:space="preserve">). Выделение </w:t>
      </w:r>
      <w:r w:rsidRPr="00DA2BC8">
        <w:rPr>
          <w:i/>
          <w:iCs/>
        </w:rPr>
        <w:t>Trichosporon</w:t>
      </w:r>
      <w:r w:rsidRPr="00DA2BC8">
        <w:t xml:space="preserve"> spp. из мочи при наличии гематурии может свидетельствовать о наличии пиелонефрита. Дрожжеподобные грибы </w:t>
      </w:r>
      <w:r w:rsidRPr="00DA2BC8">
        <w:rPr>
          <w:i/>
          <w:iCs/>
        </w:rPr>
        <w:t>Trichosporon</w:t>
      </w:r>
      <w:r w:rsidRPr="00DA2BC8">
        <w:t xml:space="preserve"> spp. продуцируют антигены </w:t>
      </w:r>
      <w:r w:rsidRPr="00DA2BC8">
        <w:rPr>
          <w:i/>
          <w:iCs/>
        </w:rPr>
        <w:t>Cryptococcus</w:t>
      </w:r>
      <w:r w:rsidRPr="00DA2BC8">
        <w:t xml:space="preserve"> spp. (глюкуроноксоломаннан) и </w:t>
      </w:r>
      <w:r w:rsidRPr="00DA2BC8">
        <w:rPr>
          <w:i/>
          <w:iCs/>
        </w:rPr>
        <w:t xml:space="preserve">Aspergillus </w:t>
      </w:r>
      <w:r w:rsidRPr="00DA2BC8">
        <w:t xml:space="preserve">(галактоманнан), поэтому может быть перекрестная реакция для этих антигенов при инфекции, вызванной </w:t>
      </w:r>
      <w:r w:rsidRPr="00DA2BC8">
        <w:rPr>
          <w:i/>
          <w:iCs/>
        </w:rPr>
        <w:t xml:space="preserve">Trichosporon </w:t>
      </w:r>
      <w:r w:rsidRPr="00DA2BC8">
        <w:t xml:space="preserve">spp. На основании обнаружения одновременно положительных антигенов глюкуроноксоломаннана и галактоманнана можно заподозрить инфекцию, вызванную </w:t>
      </w:r>
      <w:r w:rsidRPr="00DA2BC8">
        <w:rPr>
          <w:i/>
          <w:iCs/>
        </w:rPr>
        <w:t>Trichosporon</w:t>
      </w:r>
      <w:r w:rsidRPr="00DA2BC8">
        <w:t xml:space="preserve"> spp., и провести дополнительные исследования гемокультуры. </w:t>
      </w:r>
    </w:p>
    <w:p w14:paraId="7D310E17" w14:textId="77777777" w:rsidR="00434A06" w:rsidRPr="00DA2BC8" w:rsidRDefault="00434A06" w:rsidP="00434A06">
      <w:pPr>
        <w:widowControl w:val="0"/>
        <w:autoSpaceDE w:val="0"/>
        <w:autoSpaceDN w:val="0"/>
        <w:adjustRightInd w:val="0"/>
        <w:ind w:right="50" w:firstLine="709"/>
        <w:contextualSpacing/>
        <w:rPr>
          <w:b/>
          <w:bCs/>
        </w:rPr>
      </w:pPr>
      <w:r w:rsidRPr="00DA2BC8">
        <w:rPr>
          <w:bCs/>
        </w:rPr>
        <w:t xml:space="preserve">Лечение включает </w:t>
      </w:r>
      <w:r w:rsidRPr="00DA2BC8">
        <w:t xml:space="preserve">удаление ЦВК, </w:t>
      </w:r>
      <w:r w:rsidRPr="00DA2BC8">
        <w:rPr>
          <w:bCs/>
        </w:rPr>
        <w:t xml:space="preserve">назначение </w:t>
      </w:r>
      <w:r w:rsidRPr="00DA2BC8">
        <w:t xml:space="preserve">вориконазола в стандартных дозах, альтернативный препарат – флуконазол. Активность флуконазола в отношении </w:t>
      </w:r>
      <w:r w:rsidRPr="00DA2BC8">
        <w:rPr>
          <w:i/>
          <w:iCs/>
        </w:rPr>
        <w:t>Trichosporon</w:t>
      </w:r>
      <w:r w:rsidRPr="00DA2BC8">
        <w:t xml:space="preserve"> spp. вариабельная. Назначение амфотерицина В не рекомендовано ввиду низкой активности в лечении этих инфекций (16-24%).</w:t>
      </w:r>
      <w:r w:rsidRPr="00DA2BC8">
        <w:rPr>
          <w:b/>
          <w:bCs/>
        </w:rPr>
        <w:t xml:space="preserve"> </w:t>
      </w:r>
      <w:r w:rsidRPr="00DA2BC8">
        <w:t xml:space="preserve">Изоляты </w:t>
      </w:r>
      <w:r w:rsidRPr="00DA2BC8">
        <w:rPr>
          <w:i/>
          <w:iCs/>
        </w:rPr>
        <w:t xml:space="preserve">Trichosporon </w:t>
      </w:r>
      <w:r w:rsidRPr="00DA2BC8">
        <w:t>spp. проявляют природную устойчивость к эхинокандинам.</w:t>
      </w:r>
    </w:p>
    <w:p w14:paraId="5DF67453" w14:textId="77777777" w:rsidR="00434A06" w:rsidRPr="00C553B6" w:rsidRDefault="00434A06" w:rsidP="00434A06">
      <w:pPr>
        <w:widowControl w:val="0"/>
        <w:autoSpaceDE w:val="0"/>
        <w:autoSpaceDN w:val="0"/>
        <w:adjustRightInd w:val="0"/>
        <w:ind w:right="50" w:firstLine="709"/>
        <w:contextualSpacing/>
        <w:rPr>
          <w:i/>
          <w:iCs/>
          <w:u w:val="single"/>
        </w:rPr>
      </w:pPr>
      <w:r w:rsidRPr="00C553B6">
        <w:rPr>
          <w:i/>
          <w:iCs/>
          <w:u w:val="single"/>
        </w:rPr>
        <w:t>Микозы, вызванные Rhodotorula spp.</w:t>
      </w:r>
    </w:p>
    <w:p w14:paraId="52D98A9D" w14:textId="77777777" w:rsidR="00434A06" w:rsidRPr="00DA2BC8" w:rsidRDefault="00434A06" w:rsidP="00434A06">
      <w:pPr>
        <w:widowControl w:val="0"/>
        <w:autoSpaceDE w:val="0"/>
        <w:autoSpaceDN w:val="0"/>
        <w:adjustRightInd w:val="0"/>
        <w:ind w:right="50" w:firstLine="709"/>
        <w:contextualSpacing/>
      </w:pPr>
      <w:r>
        <w:lastRenderedPageBreak/>
        <w:t>Эта разновидность грибов ч</w:t>
      </w:r>
      <w:r w:rsidRPr="00DA2BC8">
        <w:t>асто образу</w:t>
      </w:r>
      <w:r>
        <w:t>е</w:t>
      </w:r>
      <w:r w:rsidRPr="00DA2BC8">
        <w:t>т биопленки и способн</w:t>
      </w:r>
      <w:r>
        <w:t>а</w:t>
      </w:r>
      <w:r w:rsidRPr="00DA2BC8">
        <w:t xml:space="preserve"> колонизировать продукты питания, предметы личной гигиены (зубные щетки, душевые принадлежности), различное медицинское оборудование. Основным проявлением инфекции является инфекция кровотока (79%) и в большинстве случаев она ассоциирована с инфицированием ЦВК. Также описаны случаи перитонита, эндокардита, менингита и др. Летальность при инвазивных микозах, вызванных </w:t>
      </w:r>
      <w:r w:rsidRPr="00DA2BC8">
        <w:rPr>
          <w:i/>
          <w:iCs/>
        </w:rPr>
        <w:t>Rhodotorula</w:t>
      </w:r>
      <w:r w:rsidRPr="00DA2BC8">
        <w:t xml:space="preserve"> spp., составляет 12%-14%. Основной возбудитель – </w:t>
      </w:r>
      <w:r w:rsidRPr="00DA2BC8">
        <w:rPr>
          <w:i/>
          <w:iCs/>
        </w:rPr>
        <w:t>R. mucilaginosa (R. rubra)</w:t>
      </w:r>
      <w:r w:rsidRPr="00DA2BC8">
        <w:t xml:space="preserve">, реже </w:t>
      </w:r>
      <w:r w:rsidRPr="00DA2BC8">
        <w:rPr>
          <w:i/>
          <w:iCs/>
        </w:rPr>
        <w:t>R. glutinis</w:t>
      </w:r>
      <w:r w:rsidRPr="00DA2BC8">
        <w:t xml:space="preserve"> и </w:t>
      </w:r>
      <w:r w:rsidRPr="00DA2BC8">
        <w:rPr>
          <w:i/>
          <w:iCs/>
        </w:rPr>
        <w:t>R. minuta.</w:t>
      </w:r>
      <w:r w:rsidRPr="00DA2BC8">
        <w:t xml:space="preserve"> </w:t>
      </w:r>
      <w:r w:rsidRPr="00DA2BC8">
        <w:rPr>
          <w:bCs/>
        </w:rPr>
        <w:t>Факторами риска являются н</w:t>
      </w:r>
      <w:r w:rsidRPr="00DA2BC8">
        <w:t xml:space="preserve">аличие ЦВК, иммуносупрессия, обширные ожоги, перитонеальный диализ, цирроз печени, абдоминальные операции, введение наркотических препаратов. </w:t>
      </w:r>
      <w:r w:rsidRPr="00DA2BC8">
        <w:rPr>
          <w:bCs/>
        </w:rPr>
        <w:t xml:space="preserve">Диагностика основана на </w:t>
      </w:r>
      <w:r w:rsidRPr="00DA2BC8">
        <w:t xml:space="preserve">выделении </w:t>
      </w:r>
      <w:r w:rsidRPr="00DA2BC8">
        <w:rPr>
          <w:i/>
          <w:iCs/>
        </w:rPr>
        <w:t>Rhodotorula</w:t>
      </w:r>
      <w:r w:rsidRPr="00DA2BC8">
        <w:t xml:space="preserve"> spp. из гемокультуры или других стерильных образцов (асцитическая жидкость, ликвор, биоптаты органов).</w:t>
      </w:r>
    </w:p>
    <w:p w14:paraId="7EA7898A" w14:textId="77777777" w:rsidR="00434A06" w:rsidRPr="00DA2BC8" w:rsidRDefault="00434A06" w:rsidP="00434A06">
      <w:pPr>
        <w:widowControl w:val="0"/>
        <w:autoSpaceDE w:val="0"/>
        <w:autoSpaceDN w:val="0"/>
        <w:adjustRightInd w:val="0"/>
        <w:ind w:right="50" w:firstLine="709"/>
        <w:contextualSpacing/>
      </w:pPr>
      <w:r w:rsidRPr="00DA2BC8">
        <w:rPr>
          <w:bCs/>
        </w:rPr>
        <w:t>Лечение включает</w:t>
      </w:r>
      <w:r w:rsidRPr="00DA2BC8">
        <w:rPr>
          <w:b/>
          <w:bCs/>
        </w:rPr>
        <w:t xml:space="preserve"> </w:t>
      </w:r>
      <w:r w:rsidRPr="00DA2BC8">
        <w:t xml:space="preserve">удаление ЦВК, назначение </w:t>
      </w:r>
      <w:r w:rsidRPr="00DA2BC8">
        <w:rPr>
          <w:bCs/>
        </w:rPr>
        <w:t>а</w:t>
      </w:r>
      <w:r w:rsidRPr="00DA2BC8">
        <w:t>мфотерицина В (1 мг/кг/сутки) в монотерапии или в сочетании с флуцитозином,</w:t>
      </w:r>
      <w:r w:rsidRPr="00DA2BC8">
        <w:rPr>
          <w:bCs/>
        </w:rPr>
        <w:t xml:space="preserve"> альтернативный препарат – липидная форма</w:t>
      </w:r>
      <w:r w:rsidRPr="00DA2BC8">
        <w:rPr>
          <w:b/>
          <w:bCs/>
        </w:rPr>
        <w:t xml:space="preserve"> </w:t>
      </w:r>
      <w:r w:rsidRPr="00DA2BC8">
        <w:t>амфотерицина В (3 мг/кг/сутки).</w:t>
      </w:r>
    </w:p>
    <w:p w14:paraId="7C547189" w14:textId="77777777" w:rsidR="00434A06" w:rsidRPr="00C553B6" w:rsidRDefault="00434A06" w:rsidP="00434A06">
      <w:pPr>
        <w:widowControl w:val="0"/>
        <w:autoSpaceDE w:val="0"/>
        <w:autoSpaceDN w:val="0"/>
        <w:adjustRightInd w:val="0"/>
        <w:ind w:right="50" w:firstLine="709"/>
        <w:contextualSpacing/>
        <w:rPr>
          <w:i/>
          <w:iCs/>
          <w:u w:val="single"/>
        </w:rPr>
      </w:pPr>
      <w:r w:rsidRPr="00C553B6">
        <w:rPr>
          <w:i/>
          <w:iCs/>
          <w:u w:val="single"/>
        </w:rPr>
        <w:t>Микозы, вызванные Saccharomyces spp.</w:t>
      </w:r>
    </w:p>
    <w:p w14:paraId="4E947F18" w14:textId="77777777" w:rsidR="00434A06" w:rsidRPr="00DA2BC8" w:rsidRDefault="00434A06" w:rsidP="00434A06">
      <w:pPr>
        <w:widowControl w:val="0"/>
        <w:autoSpaceDE w:val="0"/>
        <w:autoSpaceDN w:val="0"/>
        <w:adjustRightInd w:val="0"/>
        <w:ind w:right="50" w:firstLine="709"/>
        <w:contextualSpacing/>
      </w:pPr>
      <w:r w:rsidRPr="00DA2BC8">
        <w:t xml:space="preserve">Основные представители - </w:t>
      </w:r>
      <w:r w:rsidRPr="00DA2BC8">
        <w:rPr>
          <w:i/>
          <w:iCs/>
        </w:rPr>
        <w:t>Saccharomyces cerevisiae</w:t>
      </w:r>
      <w:r w:rsidRPr="00DA2BC8">
        <w:t xml:space="preserve"> (пекарские дрожжи) и </w:t>
      </w:r>
      <w:r w:rsidRPr="00DA2BC8">
        <w:rPr>
          <w:i/>
          <w:iCs/>
        </w:rPr>
        <w:t>Saccharomyces boulardii</w:t>
      </w:r>
      <w:r w:rsidRPr="00DA2BC8">
        <w:t xml:space="preserve"> (используют в качестве пробиотика при лечении диареи). Оба этих вида филогенетически родственны </w:t>
      </w:r>
      <w:r w:rsidRPr="00DA2BC8">
        <w:rPr>
          <w:i/>
          <w:iCs/>
        </w:rPr>
        <w:t>C. glabrata</w:t>
      </w:r>
      <w:r w:rsidRPr="00DA2BC8">
        <w:t xml:space="preserve">. В этой связи, клинические проявления, диагностика и лечение инфекции схожи с таковыми при кандидемии. Ведущими факторами риска инфекции являются прием пробиотиков, содержащих возбудитель, или пребывание в одной палате с </w:t>
      </w:r>
      <w:r>
        <w:t>пациентом</w:t>
      </w:r>
      <w:r w:rsidRPr="00DA2BC8">
        <w:t xml:space="preserve">, получающим пробиотики. Другими факторами являются нейтропения, кахексия, наличие ЦВК. </w:t>
      </w:r>
      <w:r w:rsidRPr="00DA2BC8">
        <w:rPr>
          <w:bCs/>
        </w:rPr>
        <w:t xml:space="preserve">Диагностика основана на </w:t>
      </w:r>
      <w:r w:rsidRPr="00DA2BC8">
        <w:t xml:space="preserve">выделении </w:t>
      </w:r>
      <w:r w:rsidRPr="00DA2BC8">
        <w:rPr>
          <w:i/>
          <w:iCs/>
        </w:rPr>
        <w:t>Saccharomyces</w:t>
      </w:r>
      <w:r w:rsidRPr="00DA2BC8">
        <w:t xml:space="preserve"> spp., из гемокультуры или других стерильных образцов (асцитическая жидкость, ликвор, биоптаты органов). </w:t>
      </w:r>
      <w:r w:rsidRPr="00DA2BC8">
        <w:rPr>
          <w:bCs/>
        </w:rPr>
        <w:t>Лечение включает отмену</w:t>
      </w:r>
      <w:r w:rsidRPr="00DA2BC8">
        <w:rPr>
          <w:b/>
          <w:bCs/>
        </w:rPr>
        <w:t xml:space="preserve"> </w:t>
      </w:r>
      <w:r w:rsidRPr="00DA2BC8">
        <w:t xml:space="preserve">пробиотика, содержащего </w:t>
      </w:r>
      <w:r w:rsidRPr="00DA2BC8">
        <w:rPr>
          <w:i/>
          <w:iCs/>
        </w:rPr>
        <w:t>S. boulardii</w:t>
      </w:r>
      <w:r w:rsidRPr="00DA2BC8">
        <w:t xml:space="preserve"> (если назначали), назначение препарата выбора - амфотерицина В (1 мг/кг/сутки) или </w:t>
      </w:r>
      <w:r w:rsidRPr="00DA2BC8">
        <w:rPr>
          <w:bCs/>
        </w:rPr>
        <w:t>альтернативного препарата</w:t>
      </w:r>
      <w:r w:rsidRPr="00DA2BC8">
        <w:rPr>
          <w:b/>
          <w:bCs/>
        </w:rPr>
        <w:t xml:space="preserve"> </w:t>
      </w:r>
      <w:r w:rsidRPr="00DA2BC8">
        <w:t>-</w:t>
      </w:r>
      <w:r w:rsidRPr="00DA2BC8">
        <w:rPr>
          <w:bCs/>
        </w:rPr>
        <w:t xml:space="preserve"> липидной формы </w:t>
      </w:r>
      <w:r w:rsidRPr="00DA2BC8">
        <w:t xml:space="preserve">амфотерицина В (3 мг/кг/сутки) или эхинокандина (каспофунгин или микафунгин, или анидулафунгин, в стандартных дозах). </w:t>
      </w:r>
    </w:p>
    <w:p w14:paraId="31DC8BF8" w14:textId="77777777" w:rsidR="00434A06" w:rsidRPr="00C553B6" w:rsidRDefault="00434A06" w:rsidP="00434A06">
      <w:pPr>
        <w:widowControl w:val="0"/>
        <w:autoSpaceDE w:val="0"/>
        <w:autoSpaceDN w:val="0"/>
        <w:adjustRightInd w:val="0"/>
        <w:ind w:right="50" w:firstLine="709"/>
        <w:contextualSpacing/>
        <w:rPr>
          <w:i/>
          <w:iCs/>
          <w:u w:val="single"/>
          <w:lang w:val="en-US"/>
        </w:rPr>
      </w:pPr>
      <w:r w:rsidRPr="00C553B6">
        <w:rPr>
          <w:i/>
          <w:iCs/>
          <w:u w:val="single"/>
        </w:rPr>
        <w:t>Микозы</w:t>
      </w:r>
      <w:r w:rsidRPr="00C553B6">
        <w:rPr>
          <w:i/>
          <w:iCs/>
          <w:u w:val="single"/>
          <w:lang w:val="en-US"/>
        </w:rPr>
        <w:t xml:space="preserve">, </w:t>
      </w:r>
      <w:r w:rsidRPr="00C553B6">
        <w:rPr>
          <w:i/>
          <w:iCs/>
          <w:u w:val="single"/>
        </w:rPr>
        <w:t>вызванные</w:t>
      </w:r>
      <w:r w:rsidRPr="00C553B6">
        <w:rPr>
          <w:i/>
          <w:iCs/>
          <w:u w:val="single"/>
          <w:lang w:val="en-US"/>
        </w:rPr>
        <w:t xml:space="preserve"> Geotrichum candidum (Galactomyces candidus)</w:t>
      </w:r>
    </w:p>
    <w:p w14:paraId="74F2712C" w14:textId="77777777" w:rsidR="00434A06" w:rsidRPr="00453773" w:rsidRDefault="00434A06" w:rsidP="00434A06">
      <w:pPr>
        <w:widowControl w:val="0"/>
        <w:autoSpaceDE w:val="0"/>
        <w:autoSpaceDN w:val="0"/>
        <w:adjustRightInd w:val="0"/>
        <w:ind w:right="50" w:firstLine="709"/>
        <w:contextualSpacing/>
        <w:rPr>
          <w:bCs/>
        </w:rPr>
      </w:pPr>
      <w:r w:rsidRPr="00DA2BC8">
        <w:t xml:space="preserve">Генетически родственны </w:t>
      </w:r>
      <w:r w:rsidRPr="00DA2BC8">
        <w:rPr>
          <w:i/>
          <w:iCs/>
        </w:rPr>
        <w:t>S. Capitata</w:t>
      </w:r>
      <w:r>
        <w:rPr>
          <w:i/>
          <w:iCs/>
        </w:rPr>
        <w:t xml:space="preserve">; </w:t>
      </w:r>
      <w:r w:rsidRPr="00453773">
        <w:rPr>
          <w:iCs/>
        </w:rPr>
        <w:t>о</w:t>
      </w:r>
      <w:r w:rsidRPr="00DA2BC8">
        <w:t xml:space="preserve">писаны единичные случаи инвазивной инфекции у </w:t>
      </w:r>
      <w:r>
        <w:t>гематологических пациентов, с</w:t>
      </w:r>
      <w:r w:rsidRPr="00DA2BC8">
        <w:t xml:space="preserve">пособны вызывать эпидемические вспышки в стационарах. </w:t>
      </w:r>
      <w:r w:rsidRPr="00DA2BC8">
        <w:rPr>
          <w:bCs/>
        </w:rPr>
        <w:t xml:space="preserve">В основе диагностики </w:t>
      </w:r>
      <w:r w:rsidRPr="00DA2BC8">
        <w:t xml:space="preserve">выделение грибов из гемокультуры </w:t>
      </w:r>
      <w:r>
        <w:t xml:space="preserve">(кровь) </w:t>
      </w:r>
      <w:r w:rsidRPr="00DA2BC8">
        <w:t>или других стерильных образцов (асцитическая жидкость, ликвор, биоптаты органов</w:t>
      </w:r>
      <w:r>
        <w:t xml:space="preserve"> и др.</w:t>
      </w:r>
      <w:r w:rsidRPr="00DA2BC8">
        <w:t xml:space="preserve">). </w:t>
      </w:r>
      <w:r w:rsidRPr="00DA2BC8">
        <w:rPr>
          <w:bCs/>
        </w:rPr>
        <w:t>Препаратом выбора является а</w:t>
      </w:r>
      <w:r w:rsidRPr="00DA2BC8">
        <w:t xml:space="preserve">мфотерицин В (1 мг/кг/сутки), </w:t>
      </w:r>
      <w:r w:rsidRPr="00DA2BC8">
        <w:rPr>
          <w:bCs/>
        </w:rPr>
        <w:t>альтернатив</w:t>
      </w:r>
      <w:r>
        <w:rPr>
          <w:bCs/>
        </w:rPr>
        <w:t>а</w:t>
      </w:r>
      <w:r w:rsidRPr="00DA2BC8">
        <w:rPr>
          <w:bCs/>
        </w:rPr>
        <w:t xml:space="preserve"> </w:t>
      </w:r>
      <w:r>
        <w:rPr>
          <w:bCs/>
        </w:rPr>
        <w:t>–</w:t>
      </w:r>
      <w:r w:rsidRPr="00DA2BC8">
        <w:rPr>
          <w:bCs/>
        </w:rPr>
        <w:t xml:space="preserve"> липидные формы </w:t>
      </w:r>
      <w:r w:rsidRPr="00DA2BC8">
        <w:t xml:space="preserve">амфотерицина В (3 мг/кг/сутки). Применение флуконазола, вориконазола и </w:t>
      </w:r>
      <w:r w:rsidRPr="00DA2BC8">
        <w:lastRenderedPageBreak/>
        <w:t>эхинокандинов не рекомендовано.</w:t>
      </w:r>
    </w:p>
    <w:p w14:paraId="13EC9B26" w14:textId="77777777" w:rsidR="00434A06" w:rsidRDefault="00434A06" w:rsidP="00434A06">
      <w:pPr>
        <w:widowControl w:val="0"/>
        <w:autoSpaceDE w:val="0"/>
        <w:autoSpaceDN w:val="0"/>
        <w:adjustRightInd w:val="0"/>
        <w:ind w:right="50"/>
        <w:contextualSpacing/>
        <w:rPr>
          <w:b/>
          <w:bCs/>
        </w:rPr>
      </w:pPr>
    </w:p>
    <w:p w14:paraId="7708C583" w14:textId="1F885F4C" w:rsidR="00434A06" w:rsidRPr="00084B8B" w:rsidRDefault="00434A06" w:rsidP="00434A06">
      <w:pPr>
        <w:widowControl w:val="0"/>
        <w:autoSpaceDE w:val="0"/>
        <w:autoSpaceDN w:val="0"/>
        <w:adjustRightInd w:val="0"/>
        <w:ind w:right="49"/>
        <w:contextualSpacing/>
        <w:rPr>
          <w:bCs/>
          <w:u w:val="single"/>
        </w:rPr>
      </w:pPr>
      <w:r w:rsidRPr="009B5EC6">
        <w:rPr>
          <w:bCs/>
          <w:u w:val="single"/>
        </w:rPr>
        <w:t>Инвазивный аспергиллез</w:t>
      </w:r>
      <w:r>
        <w:rPr>
          <w:bCs/>
          <w:u w:val="single"/>
          <w:lang w:val="en-US"/>
        </w:rPr>
        <w:t xml:space="preserve"> </w:t>
      </w:r>
      <w:r>
        <w:rPr>
          <w:b/>
        </w:rPr>
        <w:fldChar w:fldCharType="begin" w:fldLock="1"/>
      </w:r>
      <w:r w:rsidR="00EC13BC">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-4","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patients","type":"article-journal","volume":"102"},"uris":["http://www.mendeley.com/documents/?uuid=56063fed-25f6-3324-a2f1-f316166613f0"]},{"id":"ITEM-5","itemData":{"DOI":"10.1016/j.cmi.2018.01.002","ISSN":"14690691","PMID":"29544767","abstract":"The European Society for Clinical Microbiology and Infectious Diseases, the European Confederation of Medical Mycology and the European Respiratory Society Joint Clinical Guidelines focus on diagnosis and management of aspergillosis. Of the numerous recommendations, a few are summarized here. Chest computed tomography as well as bronchoscopy with bronchoalveolar lavage (BAL) in patients with suspicion of pulmonary invasive aspergillosis (IA) are strongly recommended. For diagnosis, direct microscopy, preferably using optical brighteners, histopathology and culture are strongly recommended. Serum and BAL galactomannan measures are recommended as markers for the diagnosis of IA. PCR should be considered in conjunction with other diagnostic tests. Pathogen identification to species complex level is strongly recommended for all clinically relevant Aspergillus isolates; antifungal susceptibility testing should be performed in patients with invasive disease in regions with resistance found in contemporary surveillance programmes. Isavuconazole and voriconazole are the preferred agents for first-line treatment of pulmonary IA, whereas liposomal amphotericin B is moderately supported. Combinations of antifungals as primary treatment options are not recommended. Therapeutic drug monitoring is strongly recommended for patients receiving posaconazole suspension or any form of voriconazole for IA treatment, and in refractory disease, where a personalized approach considering reversal of predisposing factors, switching drug class and surgical intervention is also strongly recommended. Primary prophylaxis with posaconazole is strongly recommended in patients with acute myelogenous leukaemia or myelodysplastic syndrome receiving induction chemotherapy. Secondary prophylaxis is strongly recommended in high-risk patients. We strongly recommend treatment duration based on clinical improvement, degree of immunosuppression and response on imaging.","author":[{"dropping-particle":"","family":"Ullmann","given":"A. J.","non-dropping-particle":"","parse-names":false,"suffix":""},{"dropping-particle":"","family":"Aguado","given":"J. M.","non-dropping-particle":"","parse-names":false,"suffix":""},{"dropping-particle":"","family":"Arikan-Akdagli","given":"S.","non-dropping-particle":"","parse-names":false,"suffix":""},{"dropping-particle":"","family":"Denning","given":"D. W.","non-dropping-particle":"","parse-names":false,"suffix":""},{"dropping-particle":"","family":"Groll","given":"A. H.","non-dropping-particle":"","parse-names":false,"suffix":""},{"dropping-particle":"","family":"Lagrou","given":"K.","non-dropping-particle":"","parse-names":false,"suffix":""},{"dropping-particle":"","family":"Lass-Flörl","given":"C.","non-dropping-particle":"","parse-names":false,"suffix":""},{"dropping-particle":"","family":"Lewis","given":"R. E.","non-dropping-particle":"","parse-names":false,"suffix":""},{"dropping-particle":"","family":"Munoz","given":"P.","non-dropping-particle":"","parse-names":false,"suffix":""},{"dropping-particle":"","family":"Verweij","given":"P. E.","non-dropping-particle":"","parse-names":false,"suffix":""},{"dropping-particle":"","family":"Warris","given":"A.","non-dropping-particle":"","parse-names":false,"suffix":""},{"dropping-particle":"","family":"Ader","given":"F.","non-dropping-particle":"","parse-names":false,"suffix":""},{"dropping-particle":"","family":"Akova","given":"M.","non-dropping-particle":"","parse-names":false,"suffix":""},{"dropping-particle":"","family":"Arendrup","given":"M. C.","non-dropping-particle":"","parse-names":false,"suffix":""},{"dropping-particle":"","family":"Barnes","given":"R. A.","non-dropping-particle":"","parse-names":false,"suffix":""},{"dropping-particle":"","family":"Beigelman-Aubry","given":"C.","non-dropping-particle":"","parse-names":false,"suffix":""},{"dropping-particle":"","family":"Blot","given":"S.","non-dropping-particle":"","parse-names":false,"suffix":""},{"dropping-particle":"","family":"Bouza","given":"E.","non-dropping-particle":"","parse-names":false,"suffix":""},{"dropping-particle":"","family":"Brüggemann","given":"R. J.M.","non-dropping-particle":"","parse-names":false,"suffix":""},{"dropping-particle":"","family":"Buchheidt","given":"D.","non-dropping-particle":"","parse-names":false,"suffix":""},{"dropping-particle":"","family":"Cadranel","given":"J.","non-dropping-particle":"","parse-names":false,"suffix":""},{"dropping-particle":"","family":"Castagnola","given":"E.","non-dropping-particle":"","parse-names":false,"suffix":""},{"dropping-particle":"","family":"Chakrabarti","given":"A.","non-dropping-particle":"","parse-names":false,"suffix":""},{"dropping-particle":"","family":"Cuenca-Estrella","given":"M.","non-dropping-particle":"","parse-names":false,"suffix":""},{"dropping-particle":"","family":"Dimopoulos","given":"G.","non-dropping-particle":"","parse-names":false,"suffix":""},{"dropping-particle":"","family":"Fortun","given":"J.","non-dropping-particle":"","parse-names":false,"suffix":""},{"dropping-particle":"","family":"Gangneux","given":"J. P.","non-dropping-particle":"","parse-names":false,"suffix":""},{"dropping-particle":"","family":"Garbino","given":"J.","non-dropping-particle":"","parse-names":false,"suffix":""},{"dropping-particle":"","family":"Heinz","given":"W. J.","non-dropping-particle":"","parse-names":false,"suffix":""},{"dropping-particle":"","family":"Herbrecht","given":"R.","non-dropping-particle":"","parse-names":false,"suffix":""},{"dropping-particle":"","family":"Heussel","given":"C. P.","non-dropping-particle":"","parse-names":false,"suffix":""},{"dropping-particle":"","family":"Kibbler","given":"C. C.","non-dropping-particle":"","parse-names":false,"suffix":""},{"dropping-particle":"","family":"Klimko","given":"N.","non-dropping-particle":"","parse-names":false,"suffix":""},{"dropping-particle":"","family":"Kullberg","given":"B. J.","non-dropping-particle":"","parse-names":false,"suffix":""},{"dropping-particle":"","family":"Lange","given":"C.","non-dropping-particle":"","parse-names":false,"suffix":""},{"dropping-particle":"","family":"Lehrnbecher","given":"T.","non-dropping-particle":"","parse-names":false,"suffix":""},{"dropping-particle":"","family":"Löffler","given":"J.","non-dropping-particle":"","parse-names":false,"suffix":""},{"dropping-particle":"","family":"Lortholary","given":"O.","non-dropping-particle":"","parse-names":false,"suffix":""},{"dropping-particle":"","family":"Maertens","given":"J.","non-dropping-particle":"","parse-names":false,"suffix":""},{"dropping-particle":"","family":"Marchetti","given":"O.","non-dropping-particle":"","parse-names":false,"suffix":""},{"dropping-particle":"","family":"Meis","given":"J. F.","non-dropping-particle":"","parse-names":false,"suffix":""},{"dropping-particle":"","family":"Pagano","given":"L.","non-dropping-particle":"","parse-names":false,"suffix":""},{"dropping-particle":"","family":"Ribaud","given":"P.","non-dropping-particle":"","parse-names":false,"suffix":""},{"dropping-particle":"","family":"Richardson","given":"M.","non-dropping-particle":"","parse-names":false,"suffix":""},{"dropping-particle":"","family":"Roilides","given":"E.","non-dropping-particle":"","parse-names":false,"suffix":""},{"dropping-particle":"","family":"Ruhnke","given":"M.","non-dropping-particle":"","parse-names":false,"suffix":""},{"dropping-particle":"","family":"Sanguinetti","given":"M.","non-dropping-particle":"","parse-names":false,"suffix":""},{"dropping-particle":"","family":"Sheppard","given":"D. C.","non-dropping-particle":"","parse-names":false,"suffix":""},{"dropping-particle":"","family":"Sinkó","given":"J.","non-dropping-particle":"","parse-names":false,"suffix":""},{"dropping-particle":"","family":"Skiada","given":"A.","non-dropping-particle":"","parse-names":false,"suffix":""},{"dropping-particle":"","family":"Vehreschild","given":"M. J.G.T.","non-dropping-particle":"","parse-names":false,"suffix":""},{"dropping-particle":"","family":"Viscoli","given":"C.","non-dropping-particle":"","parse-names":false,"suffix":""},{"dropping-particle":"","family":"Cornely","given":"O. A.","non-dropping-particle":"","parse-names":false,"suffix":""}],"container-title":"Clinical Microbiology and Infection","id":"ITEM-5","issued":{"date-parts":[["2018","5","1"]]},"page":"e1-e38","publisher":"Elsevier B.V.","title":"Diagnosis and management of Aspergillus diseases: executive summary of the 2017 ESCMID-ECMM-ERS guideline","type":"article-journal","volume":"24"},"uris":["http://www.mendeley.com/documents/?uuid=5eaef361-0e16-3d87-bd2e-021d8493d891"]}],"mendeley":{"formattedCitation":"[158,159,165,166,168]","plainTextFormattedCitation":"[158,159,165,166,168]","previouslyFormattedCitation":"[158,159,165,166,168]"},"properties":{"noteIndex":0},"schema":"https://github.com/citation-style-language/schema/raw/master/csl-citation.json"}</w:instrText>
      </w:r>
      <w:r>
        <w:rPr>
          <w:b/>
        </w:rPr>
        <w:fldChar w:fldCharType="separate"/>
      </w:r>
      <w:r w:rsidRPr="00434A06">
        <w:rPr>
          <w:noProof/>
        </w:rPr>
        <w:t>[158,159,165,166,168]</w:t>
      </w:r>
      <w:r>
        <w:rPr>
          <w:b/>
        </w:rPr>
        <w:fldChar w:fldCharType="end"/>
      </w:r>
    </w:p>
    <w:p w14:paraId="268E2216" w14:textId="77777777" w:rsidR="00434A06" w:rsidRPr="00DA2BC8" w:rsidRDefault="00434A06" w:rsidP="00434A06">
      <w:pPr>
        <w:widowControl w:val="0"/>
        <w:autoSpaceDE w:val="0"/>
        <w:autoSpaceDN w:val="0"/>
        <w:adjustRightInd w:val="0"/>
        <w:ind w:right="50" w:firstLine="709"/>
        <w:contextualSpacing/>
      </w:pPr>
      <w:r w:rsidRPr="00DA2BC8">
        <w:t xml:space="preserve">Инвазивный аспергиллез является ведущей грибковой инфекцией в современной гематологии. В структуре инвазивных микозов у </w:t>
      </w:r>
      <w:r>
        <w:t xml:space="preserve">гематологических пациентов </w:t>
      </w:r>
      <w:r w:rsidRPr="00DA2BC8">
        <w:t xml:space="preserve">доля инвазивного аспергиллеза достигает 80%. Первичный очаг локализуется в легких (90-95%) и в придаточных пазухах носа (5-10%). Инвазивный аспергиллез преобладает у реципиентов аллогенных ТСГК, особенно неродственных, у </w:t>
      </w:r>
      <w:r>
        <w:t>пациентов с</w:t>
      </w:r>
      <w:r w:rsidRPr="00DA2BC8">
        <w:t xml:space="preserve"> острыми миелоидными лейкозами и миелодиспластическом синдром</w:t>
      </w:r>
      <w:r>
        <w:t>ом</w:t>
      </w:r>
      <w:r w:rsidRPr="00DA2BC8">
        <w:t xml:space="preserve">. </w:t>
      </w:r>
      <w:r w:rsidRPr="00DA2BC8">
        <w:rPr>
          <w:bCs/>
        </w:rPr>
        <w:t xml:space="preserve">Основные возбудители </w:t>
      </w:r>
      <w:r w:rsidRPr="00DA2BC8">
        <w:rPr>
          <w:i/>
          <w:iCs/>
        </w:rPr>
        <w:t>Aspergillus fumigatus</w:t>
      </w:r>
      <w:r w:rsidRPr="00DA2BC8">
        <w:t xml:space="preserve"> и </w:t>
      </w:r>
      <w:r w:rsidRPr="00DA2BC8">
        <w:rPr>
          <w:i/>
          <w:iCs/>
        </w:rPr>
        <w:t>Aspergillus flavus</w:t>
      </w:r>
      <w:r w:rsidRPr="00DA2BC8">
        <w:t xml:space="preserve">, реже - </w:t>
      </w:r>
      <w:r w:rsidRPr="00DA2BC8">
        <w:rPr>
          <w:i/>
          <w:iCs/>
        </w:rPr>
        <w:t>Aspergillus niger</w:t>
      </w:r>
      <w:r w:rsidRPr="00DA2BC8">
        <w:t xml:space="preserve"> и другие виды.</w:t>
      </w:r>
    </w:p>
    <w:p w14:paraId="35BE6442" w14:textId="77777777" w:rsidR="00434A06" w:rsidRPr="009B5EC6" w:rsidRDefault="00434A06" w:rsidP="00434A06">
      <w:pPr>
        <w:widowControl w:val="0"/>
        <w:autoSpaceDE w:val="0"/>
        <w:autoSpaceDN w:val="0"/>
        <w:adjustRightInd w:val="0"/>
        <w:ind w:right="50" w:firstLine="709"/>
        <w:contextualSpacing/>
        <w:rPr>
          <w:i/>
          <w:iCs/>
          <w:u w:val="single"/>
        </w:rPr>
      </w:pPr>
      <w:r w:rsidRPr="009B5EC6">
        <w:rPr>
          <w:i/>
          <w:iCs/>
          <w:u w:val="single"/>
        </w:rPr>
        <w:t>Факторы риска</w:t>
      </w:r>
    </w:p>
    <w:p w14:paraId="64190FA4" w14:textId="77777777" w:rsidR="00434A06" w:rsidRPr="00DA2BC8" w:rsidRDefault="00434A06" w:rsidP="00434A06">
      <w:pPr>
        <w:widowControl w:val="0"/>
        <w:autoSpaceDE w:val="0"/>
        <w:autoSpaceDN w:val="0"/>
        <w:adjustRightInd w:val="0"/>
        <w:ind w:right="50" w:firstLine="709"/>
        <w:contextualSpacing/>
      </w:pPr>
      <w:r w:rsidRPr="00DA2BC8">
        <w:t>Основными факторами, индуцирующими развитие инвазивного аспергиллеза, являются гранулоцитопения (нейтрофилов менее 0,5×10</w:t>
      </w:r>
      <w:r w:rsidRPr="00DA2BC8">
        <w:rPr>
          <w:vertAlign w:val="superscript"/>
        </w:rPr>
        <w:t>9</w:t>
      </w:r>
      <w:r w:rsidRPr="00DA2BC8">
        <w:t>/л) длительностью от 10 дней и более на момент диагностики или в течение 60 дней до развития инвазивного аспергиллеза; трансплантация аллогенных ТГСК, лечение глюкокортикоидами и другими препаратами, приводящими к подавлению функции T-лимфоцитов. Частота инвазивного аспергиллеза возрастает в период эпидемии вирусных инфекций.</w:t>
      </w:r>
    </w:p>
    <w:p w14:paraId="3079F459" w14:textId="77777777" w:rsidR="00434A06" w:rsidRPr="00453773" w:rsidRDefault="00434A06" w:rsidP="00434A06">
      <w:pPr>
        <w:widowControl w:val="0"/>
        <w:autoSpaceDE w:val="0"/>
        <w:autoSpaceDN w:val="0"/>
        <w:adjustRightInd w:val="0"/>
        <w:ind w:right="50" w:firstLine="709"/>
        <w:contextualSpacing/>
        <w:rPr>
          <w:b/>
          <w:bCs/>
        </w:rPr>
      </w:pPr>
      <w:r w:rsidRPr="00453773">
        <w:rPr>
          <w:b/>
          <w:bCs/>
        </w:rPr>
        <w:t>Инвазивный аспергиллез легких</w:t>
      </w:r>
    </w:p>
    <w:p w14:paraId="519FD824" w14:textId="77777777" w:rsidR="00434A06" w:rsidRPr="009B5EC6" w:rsidRDefault="00434A06" w:rsidP="00434A06">
      <w:pPr>
        <w:widowControl w:val="0"/>
        <w:autoSpaceDE w:val="0"/>
        <w:autoSpaceDN w:val="0"/>
        <w:adjustRightInd w:val="0"/>
        <w:ind w:right="50" w:firstLine="709"/>
        <w:contextualSpacing/>
        <w:rPr>
          <w:i/>
          <w:iCs/>
        </w:rPr>
      </w:pPr>
      <w:r w:rsidRPr="009B5EC6">
        <w:rPr>
          <w:i/>
          <w:iCs/>
          <w:u w:val="single"/>
        </w:rPr>
        <w:t>Симптомы</w:t>
      </w:r>
      <w:r w:rsidRPr="009B5EC6">
        <w:rPr>
          <w:i/>
          <w:iCs/>
        </w:rPr>
        <w:t xml:space="preserve"> </w:t>
      </w:r>
    </w:p>
    <w:p w14:paraId="7C33C6CC" w14:textId="77777777" w:rsidR="00434A06" w:rsidRPr="00DA2BC8" w:rsidRDefault="00434A06" w:rsidP="00434A06">
      <w:pPr>
        <w:widowControl w:val="0"/>
        <w:autoSpaceDE w:val="0"/>
        <w:autoSpaceDN w:val="0"/>
        <w:adjustRightInd w:val="0"/>
        <w:ind w:right="50" w:firstLine="709"/>
        <w:contextualSpacing/>
      </w:pPr>
      <w:r w:rsidRPr="00DA2BC8">
        <w:t xml:space="preserve">Начальные признаки скудные, в большинстве случаев бывает только лихорадка. У 15-20% </w:t>
      </w:r>
      <w:r>
        <w:t>пациентов</w:t>
      </w:r>
      <w:r w:rsidRPr="00DA2BC8">
        <w:t xml:space="preserve"> инвазивным аспергиллезом температура быва</w:t>
      </w:r>
      <w:r>
        <w:t>ет нормальной или субфебрильной</w:t>
      </w:r>
      <w:r w:rsidRPr="00DA2BC8">
        <w:t xml:space="preserve">. Другими симптомами являются кашель, сухой или с мокротой, кровохарканье, боль в грудной клетке, одышка. При прогрессировании инфекции может возникнуть легочное кровотечение, дыхательная недостаточность, спонтанный пневмоторакс. У 30-40% больных происходит диссеминация инвазивного аспергиллеза, чаще в головной мозг или печень. </w:t>
      </w:r>
    </w:p>
    <w:p w14:paraId="695E8BA0" w14:textId="77777777" w:rsidR="00434A06" w:rsidRPr="009B5EC6" w:rsidRDefault="00434A06" w:rsidP="00434A06">
      <w:pPr>
        <w:widowControl w:val="0"/>
        <w:autoSpaceDE w:val="0"/>
        <w:autoSpaceDN w:val="0"/>
        <w:adjustRightInd w:val="0"/>
        <w:ind w:right="50" w:firstLine="709"/>
        <w:contextualSpacing/>
        <w:rPr>
          <w:i/>
          <w:iCs/>
          <w:u w:val="single"/>
        </w:rPr>
      </w:pPr>
      <w:r w:rsidRPr="009B5EC6">
        <w:rPr>
          <w:i/>
          <w:iCs/>
          <w:u w:val="single"/>
        </w:rPr>
        <w:t>Диагностика инвазивного аспергиллеза легких</w:t>
      </w:r>
    </w:p>
    <w:p w14:paraId="6B1F5B5B" w14:textId="77777777" w:rsidR="00434A06" w:rsidRPr="00DA2BC8" w:rsidRDefault="00434A06" w:rsidP="00434A06">
      <w:pPr>
        <w:widowControl w:val="0"/>
        <w:autoSpaceDE w:val="0"/>
        <w:autoSpaceDN w:val="0"/>
        <w:adjustRightInd w:val="0"/>
        <w:ind w:right="50" w:firstLine="709"/>
        <w:contextualSpacing/>
      </w:pPr>
      <w:r w:rsidRPr="00DA2BC8">
        <w:rPr>
          <w:bCs/>
        </w:rPr>
        <w:t>Диагноз инвазивного аспергиллеза устанавливают</w:t>
      </w:r>
      <w:r w:rsidRPr="00DA2BC8">
        <w:t xml:space="preserve"> на основании наличия факторов риска, характерных изменений</w:t>
      </w:r>
      <w:r>
        <w:t xml:space="preserve"> при радиологическом исследовании (КТ/СКТ легких)</w:t>
      </w:r>
      <w:r w:rsidRPr="00DA2BC8">
        <w:t>, микологического подтвержден</w:t>
      </w:r>
      <w:r>
        <w:t>и</w:t>
      </w:r>
      <w:r w:rsidRPr="00DA2BC8">
        <w:t xml:space="preserve">я, включающего культуральное и/или серологические исследования. </w:t>
      </w:r>
    </w:p>
    <w:p w14:paraId="2D0090EB" w14:textId="77777777" w:rsidR="00434A06" w:rsidRPr="009B5EC6" w:rsidRDefault="00434A06" w:rsidP="00434A06">
      <w:pPr>
        <w:widowControl w:val="0"/>
        <w:autoSpaceDE w:val="0"/>
        <w:autoSpaceDN w:val="0"/>
        <w:adjustRightInd w:val="0"/>
        <w:ind w:right="50" w:firstLine="709"/>
        <w:contextualSpacing/>
        <w:rPr>
          <w:i/>
          <w:iCs/>
          <w:u w:val="single"/>
        </w:rPr>
      </w:pPr>
      <w:r w:rsidRPr="009B5EC6">
        <w:rPr>
          <w:i/>
          <w:iCs/>
          <w:u w:val="single"/>
        </w:rPr>
        <w:t>Радиологические особенности инвазивного аспергиллеза легких</w:t>
      </w:r>
    </w:p>
    <w:p w14:paraId="09C45FB7" w14:textId="77777777" w:rsidR="00434A06" w:rsidRPr="00DA2BC8" w:rsidRDefault="00434A06" w:rsidP="00434A06">
      <w:pPr>
        <w:widowControl w:val="0"/>
        <w:tabs>
          <w:tab w:val="left" w:pos="317"/>
        </w:tabs>
        <w:autoSpaceDE w:val="0"/>
        <w:autoSpaceDN w:val="0"/>
        <w:adjustRightInd w:val="0"/>
        <w:ind w:right="50" w:firstLine="709"/>
        <w:contextualSpacing/>
      </w:pPr>
      <w:r w:rsidRPr="00DA2BC8">
        <w:t xml:space="preserve">Ранняя диагностика инвазивного аспергиллеза легких возможна только по данным </w:t>
      </w:r>
      <w:r>
        <w:t>КТ</w:t>
      </w:r>
      <w:r w:rsidRPr="00DA2BC8">
        <w:t xml:space="preserve">. Рентгенографию </w:t>
      </w:r>
      <w:r>
        <w:t xml:space="preserve">рутинно </w:t>
      </w:r>
      <w:r w:rsidRPr="00DA2BC8">
        <w:t xml:space="preserve">не используют в диагностике инвазивного аспергиллеза по причине позднего выявления изменений в легких. Радиологические проявления </w:t>
      </w:r>
      <w:r w:rsidRPr="00DA2BC8">
        <w:lastRenderedPageBreak/>
        <w:t>инвазивного аспергиллеза легких не являются строго специфичными. На раннем этапе инфекции определяется симптом «ореола» (область разрежения, которая представляет собой геморрагический инфильтрат, окружающий некротизированную ткань легкого), в более отдаленные сроки - симптом «серпа» (формирование воздушной полости в виде полумесяца) или образование полости. Характерными также являются очаги с ровными контурами или инфильтраты треугольной формы, обращенные основанием к плевре, преобладает субплевральное расположение очагов. У реципиентов аллогенных ГСК вне нейтропении, получающих лечение преднизолоном по поводу РТПХ доминируют изменения в легких, неспецифичные для инвазивного аспергиллеза, – это центролобулярные очаги небольших размеров или изменения по типу бронхиолита. При диагностике инвазивного аспергиллеза следует провести КТ или МРТ головного мозга с целью исключения диссеминации. У больных, излеченных от инвазивного аспергиллеза, могут определяться в легких остаточные изменения в виде паренхиматозных тяжей или небольших полостей.</w:t>
      </w:r>
    </w:p>
    <w:p w14:paraId="4D98A8E0" w14:textId="77777777" w:rsidR="00434A06" w:rsidRPr="00DA2BC8" w:rsidRDefault="00434A06" w:rsidP="00434A06">
      <w:pPr>
        <w:widowControl w:val="0"/>
        <w:autoSpaceDE w:val="0"/>
        <w:autoSpaceDN w:val="0"/>
        <w:adjustRightInd w:val="0"/>
        <w:ind w:right="50" w:firstLine="709"/>
        <w:contextualSpacing/>
      </w:pPr>
      <w:r w:rsidRPr="00EB3571">
        <w:rPr>
          <w:bCs/>
          <w:i/>
          <w:iCs/>
          <w:u w:val="single"/>
        </w:rPr>
        <w:t>Микологические исследования</w:t>
      </w:r>
      <w:r w:rsidRPr="00DA2BC8">
        <w:t xml:space="preserve"> включают выделение культуры </w:t>
      </w:r>
      <w:r w:rsidRPr="00DA2BC8">
        <w:rPr>
          <w:i/>
          <w:iCs/>
        </w:rPr>
        <w:t>Aspergillus</w:t>
      </w:r>
      <w:r w:rsidRPr="00DA2BC8">
        <w:t xml:space="preserve"> из мокроты, жидкости БАЛ или биоптата легкого либо обнаружение истинного септированного мицелия из биоптата (аспирата) при гистологическом или цитологическом исследовании; определение положительного антигена </w:t>
      </w:r>
      <w:r w:rsidRPr="00DA2BC8">
        <w:rPr>
          <w:i/>
          <w:iCs/>
        </w:rPr>
        <w:t>Aspergillus</w:t>
      </w:r>
      <w:r w:rsidRPr="00DA2BC8">
        <w:t xml:space="preserve"> (галактоманнан) в сыворотке (индекс оптической плотности ≥0,5) и/или в жидкости БАЛ (индекс оптической плотности от 1,0 и более).</w:t>
      </w:r>
    </w:p>
    <w:p w14:paraId="74937875" w14:textId="77777777" w:rsidR="00434A06" w:rsidRPr="00EB3571" w:rsidRDefault="00434A06" w:rsidP="00434A06">
      <w:pPr>
        <w:widowControl w:val="0"/>
        <w:autoSpaceDE w:val="0"/>
        <w:autoSpaceDN w:val="0"/>
        <w:adjustRightInd w:val="0"/>
        <w:ind w:right="50" w:firstLine="709"/>
        <w:contextualSpacing/>
        <w:rPr>
          <w:i/>
          <w:iCs/>
          <w:u w:val="single"/>
        </w:rPr>
      </w:pPr>
      <w:r w:rsidRPr="00EB3571">
        <w:rPr>
          <w:i/>
          <w:iCs/>
          <w:u w:val="single"/>
        </w:rPr>
        <w:t>Мониторинг исследований</w:t>
      </w:r>
    </w:p>
    <w:p w14:paraId="58810D99" w14:textId="77777777" w:rsidR="00434A06" w:rsidRPr="00DA2BC8" w:rsidRDefault="00434A06" w:rsidP="00434A06">
      <w:pPr>
        <w:widowControl w:val="0"/>
        <w:tabs>
          <w:tab w:val="left" w:pos="317"/>
        </w:tabs>
        <w:autoSpaceDE w:val="0"/>
        <w:autoSpaceDN w:val="0"/>
        <w:adjustRightInd w:val="0"/>
        <w:ind w:right="50" w:firstLine="709"/>
        <w:contextualSpacing/>
      </w:pPr>
      <w:r w:rsidRPr="00DA2BC8">
        <w:t>В процессе лечения инвазивного аспергиллеза повторяют КТ</w:t>
      </w:r>
      <w:r>
        <w:t xml:space="preserve">/СКТ легких </w:t>
      </w:r>
      <w:r w:rsidRPr="00DA2BC8">
        <w:t xml:space="preserve"> каждые 2-3 недели, при клинической неэффективности лечения - через 1 неделю от начала терапии, при стабилизации клинических проявлений инфекции – реже; определение антигена </w:t>
      </w:r>
      <w:r w:rsidRPr="00DA2BC8">
        <w:rPr>
          <w:i/>
          <w:iCs/>
        </w:rPr>
        <w:t>Aspergillus</w:t>
      </w:r>
      <w:r w:rsidRPr="00DA2BC8">
        <w:t xml:space="preserve"> (галактоманнан) в крови - 1 раз в неделю, если тест был положительным. Повторные положительные результаты определения галактоманнана (индекс оптической плотности &gt;0,5) в период лечения инвазивного аспергиллеза относятся к неблагоприятным факторам прогноза и свидетельсвуют об отсутствии контроля над инфекцией. </w:t>
      </w:r>
    </w:p>
    <w:p w14:paraId="69F39267" w14:textId="77777777" w:rsidR="00434A06" w:rsidRPr="00DA2BC8" w:rsidRDefault="00434A06" w:rsidP="00434A06">
      <w:pPr>
        <w:widowControl w:val="0"/>
        <w:autoSpaceDE w:val="0"/>
        <w:autoSpaceDN w:val="0"/>
        <w:adjustRightInd w:val="0"/>
        <w:ind w:right="50" w:firstLine="709"/>
        <w:contextualSpacing/>
      </w:pPr>
      <w:r w:rsidRPr="00DA2BC8">
        <w:t>При повышении нейтрофилов (более 0,5×10</w:t>
      </w:r>
      <w:r w:rsidRPr="00DA2BC8">
        <w:rPr>
          <w:vertAlign w:val="superscript"/>
        </w:rPr>
        <w:t>9</w:t>
      </w:r>
      <w:r w:rsidRPr="00DA2BC8">
        <w:t xml:space="preserve">/л) объем поражения в легких может увеличиваться на фоне улучшения клинического состояния </w:t>
      </w:r>
      <w:r>
        <w:t>пациента</w:t>
      </w:r>
      <w:r w:rsidRPr="00DA2BC8">
        <w:t>. Модификацию противогрибковой терапии не проводят.</w:t>
      </w:r>
    </w:p>
    <w:p w14:paraId="404461DE" w14:textId="77777777" w:rsidR="00434A06" w:rsidRPr="00DA2BC8" w:rsidRDefault="00434A06" w:rsidP="00434A06">
      <w:pPr>
        <w:widowControl w:val="0"/>
        <w:autoSpaceDE w:val="0"/>
        <w:autoSpaceDN w:val="0"/>
        <w:adjustRightInd w:val="0"/>
        <w:ind w:right="50" w:firstLine="709"/>
        <w:contextualSpacing/>
      </w:pPr>
      <w:r w:rsidRPr="00DA2BC8">
        <w:t xml:space="preserve">Радиологические проявления, характерные для инвазивного аспергиллеза, могут быть при инфекции, вызванной другими микроорганизмами, или при иных патологических состояниях. Это следует учитывать, особенно когда диагноз инвазивного аспергиллеза установлен только на основании данных радиологического исследования без </w:t>
      </w:r>
      <w:r w:rsidRPr="00DA2BC8">
        <w:lastRenderedPageBreak/>
        <w:t xml:space="preserve">микологического подтверждения. </w:t>
      </w:r>
    </w:p>
    <w:p w14:paraId="1A6B636F" w14:textId="77777777" w:rsidR="00434A06" w:rsidRPr="00EB3571" w:rsidRDefault="00434A06" w:rsidP="00434A06">
      <w:pPr>
        <w:widowControl w:val="0"/>
        <w:autoSpaceDE w:val="0"/>
        <w:autoSpaceDN w:val="0"/>
        <w:adjustRightInd w:val="0"/>
        <w:ind w:right="50" w:firstLine="709"/>
        <w:contextualSpacing/>
        <w:rPr>
          <w:i/>
        </w:rPr>
      </w:pPr>
      <w:r w:rsidRPr="00EB3571">
        <w:rPr>
          <w:i/>
          <w:u w:val="single"/>
        </w:rPr>
        <w:t xml:space="preserve">Лечение инвазивного аспергиллеза </w:t>
      </w:r>
    </w:p>
    <w:p w14:paraId="24D24E60" w14:textId="77777777" w:rsidR="00434A06" w:rsidRPr="00DA2BC8" w:rsidRDefault="00434A06" w:rsidP="00434A06">
      <w:pPr>
        <w:widowControl w:val="0"/>
        <w:autoSpaceDE w:val="0"/>
        <w:autoSpaceDN w:val="0"/>
        <w:adjustRightInd w:val="0"/>
        <w:ind w:right="50" w:firstLine="709"/>
        <w:contextualSpacing/>
      </w:pPr>
      <w:r w:rsidRPr="00DA2BC8">
        <w:t>Основными принципами эффективной терапии инвазивного аспергиллеза являются своевременная диагностика; незамедлительное назначение антимикотиков при подозрении на инвазивный аспергиллез; назначение эффективных препаратов на первом этапе лечения.</w:t>
      </w:r>
    </w:p>
    <w:p w14:paraId="3315836E" w14:textId="77777777" w:rsidR="00434A06" w:rsidRPr="00DA2BC8" w:rsidRDefault="00434A06" w:rsidP="00434A06">
      <w:pPr>
        <w:widowControl w:val="0"/>
        <w:tabs>
          <w:tab w:val="left" w:pos="317"/>
        </w:tabs>
        <w:autoSpaceDE w:val="0"/>
        <w:autoSpaceDN w:val="0"/>
        <w:adjustRightInd w:val="0"/>
        <w:ind w:right="50" w:firstLine="709"/>
        <w:contextualSpacing/>
      </w:pPr>
      <w:r w:rsidRPr="00DA2BC8">
        <w:rPr>
          <w:bCs/>
        </w:rPr>
        <w:t>Препаратами выбора являются</w:t>
      </w:r>
      <w:r w:rsidRPr="00DA2BC8">
        <w:rPr>
          <w:b/>
          <w:bCs/>
        </w:rPr>
        <w:t xml:space="preserve"> </w:t>
      </w:r>
      <w:r w:rsidRPr="00DA2BC8">
        <w:t xml:space="preserve">вориконазол (в 1-й первый день по 6 мг/кг внутривенно 2 раза в сутки, в последующие дни по 4 мг/кг внутривенно 2 раза в сутки, с переходом в дальнейшем на пероральную форму по 200 мг 2 раза в сутки, у больных с высокой массой тела пероральная доза составляет 8 мг/кг, максимально - по 300 мг х 2 раза, прием натощак или через 1 час после еды), изавуконазол по 200 мг каждые 8 час в течение </w:t>
      </w:r>
      <w:r>
        <w:t xml:space="preserve">2 дней, далее по </w:t>
      </w:r>
      <w:r w:rsidRPr="00DA2BC8">
        <w:t>200 мг 1 раз в сутки внутривенно или перорально [</w:t>
      </w:r>
      <w:r w:rsidRPr="00EC3182">
        <w:t>6</w:t>
      </w:r>
      <w:r w:rsidRPr="00DA2BC8">
        <w:t xml:space="preserve">]. Изавуконазол в сравнении с вориконазолом имеет достоверно ниже токсичность, разрешен больным с отклонениями в функции печени, проявляет активность не только против </w:t>
      </w:r>
      <w:r w:rsidRPr="00DA2BC8">
        <w:rPr>
          <w:i/>
        </w:rPr>
        <w:t>Aspergillus</w:t>
      </w:r>
      <w:r w:rsidRPr="00DA2BC8">
        <w:t xml:space="preserve">, но и грибов рода </w:t>
      </w:r>
      <w:r w:rsidRPr="00DA2BC8">
        <w:rPr>
          <w:i/>
        </w:rPr>
        <w:t>Mucorales</w:t>
      </w:r>
      <w:r w:rsidRPr="00DA2BC8">
        <w:t xml:space="preserve">. Больным печеночными порфириями не назначают азолы, для лечения используют эхинокандин. </w:t>
      </w:r>
      <w:r w:rsidRPr="00DA2BC8">
        <w:rPr>
          <w:bCs/>
        </w:rPr>
        <w:t xml:space="preserve">Альтернативные антимикотики для лечения инвазивного аспергиллеза легких - </w:t>
      </w:r>
      <w:r w:rsidRPr="00DA2BC8">
        <w:t>липидный комплекс амфотерицина В (5 мг/кг/сутки внутривенно), липосомальный амфотерициин В (3 мг/кг/сутки), каспофунгин (в 1-й день 70 мг, затем 50 мг внутривенно 1 раз в сутки), микафунгин (100 мг 1 раз в сутки внутривенно). Лечение амфотерицином В инвазивного аспергиллеза легких не показано.</w:t>
      </w:r>
    </w:p>
    <w:p w14:paraId="5B5FE289" w14:textId="77777777" w:rsidR="00434A06" w:rsidRPr="00DA2BC8" w:rsidRDefault="00434A06" w:rsidP="00434A06">
      <w:pPr>
        <w:widowControl w:val="0"/>
        <w:tabs>
          <w:tab w:val="left" w:pos="317"/>
        </w:tabs>
        <w:autoSpaceDE w:val="0"/>
        <w:autoSpaceDN w:val="0"/>
        <w:adjustRightInd w:val="0"/>
        <w:ind w:right="50" w:firstLine="709"/>
        <w:contextualSpacing/>
      </w:pPr>
      <w:r w:rsidRPr="00DA2BC8">
        <w:rPr>
          <w:iCs/>
        </w:rPr>
        <w:t>Не используют сочетание противогрибковых препаратов в качестве терапии первой линии инвазивного аспергиллеза.</w:t>
      </w:r>
    </w:p>
    <w:p w14:paraId="088277DE" w14:textId="77777777" w:rsidR="00434A06" w:rsidRPr="00DA2BC8" w:rsidRDefault="00434A06" w:rsidP="00434A06">
      <w:pPr>
        <w:widowControl w:val="0"/>
        <w:autoSpaceDE w:val="0"/>
        <w:autoSpaceDN w:val="0"/>
        <w:adjustRightInd w:val="0"/>
        <w:ind w:right="50" w:firstLine="709"/>
        <w:contextualSpacing/>
        <w:rPr>
          <w:bCs/>
        </w:rPr>
      </w:pPr>
      <w:r w:rsidRPr="00DA2BC8">
        <w:rPr>
          <w:bCs/>
        </w:rPr>
        <w:t xml:space="preserve">Хирургическое лечение инвазивного аспергиллеза легких включает удаление очага, который </w:t>
      </w:r>
      <w:r w:rsidRPr="00DA2BC8">
        <w:t>расположен около крупных сосудов или перикарда, или в наличии активное кровохарканье из отдельного очага, или инвазия в плевральную полость/ребра.</w:t>
      </w:r>
    </w:p>
    <w:p w14:paraId="103D27D0" w14:textId="77777777" w:rsidR="00434A06" w:rsidRPr="00DA2BC8" w:rsidRDefault="00434A06" w:rsidP="00434A06">
      <w:pPr>
        <w:widowControl w:val="0"/>
        <w:autoSpaceDE w:val="0"/>
        <w:autoSpaceDN w:val="0"/>
        <w:adjustRightInd w:val="0"/>
        <w:ind w:right="50" w:firstLine="709"/>
        <w:contextualSpacing/>
      </w:pPr>
      <w:r w:rsidRPr="00DA2BC8">
        <w:rPr>
          <w:bCs/>
        </w:rPr>
        <w:t xml:space="preserve">Применение противогрибковых препаратов длительное и </w:t>
      </w:r>
      <w:r w:rsidRPr="00DA2BC8">
        <w:t>составляет не менее 6-12 недель. Критерием для отмены антимиоктиков является регрессия очагов в легких. Отрицательные результаты определения галактоманнана в сыворотке крови или в жидкости БАЛ в процессе лечения не являются основанием для прекращения противогрибковой терапии.</w:t>
      </w:r>
    </w:p>
    <w:p w14:paraId="152D17D4" w14:textId="77777777" w:rsidR="00434A06" w:rsidRPr="008F73A5" w:rsidRDefault="00434A06" w:rsidP="00434A06">
      <w:pPr>
        <w:widowControl w:val="0"/>
        <w:autoSpaceDE w:val="0"/>
        <w:autoSpaceDN w:val="0"/>
        <w:adjustRightInd w:val="0"/>
        <w:ind w:right="50" w:firstLine="709"/>
        <w:contextualSpacing/>
        <w:rPr>
          <w:b/>
          <w:bCs/>
        </w:rPr>
      </w:pPr>
      <w:r w:rsidRPr="008F73A5">
        <w:rPr>
          <w:b/>
          <w:bCs/>
        </w:rPr>
        <w:t>Инвазивный аспергиллезный риносинусит</w:t>
      </w:r>
    </w:p>
    <w:p w14:paraId="7DF7DB81" w14:textId="77777777" w:rsidR="00434A06" w:rsidRPr="00DA2BC8" w:rsidRDefault="00434A06" w:rsidP="00434A06">
      <w:pPr>
        <w:widowControl w:val="0"/>
        <w:autoSpaceDE w:val="0"/>
        <w:autoSpaceDN w:val="0"/>
        <w:adjustRightInd w:val="0"/>
        <w:ind w:right="50" w:firstLine="709"/>
        <w:contextualSpacing/>
      </w:pPr>
      <w:r w:rsidRPr="00EB3571">
        <w:rPr>
          <w:i/>
          <w:iCs/>
          <w:u w:val="single"/>
        </w:rPr>
        <w:t>Симптомы</w:t>
      </w:r>
      <w:r w:rsidRPr="00DA2BC8">
        <w:rPr>
          <w:bCs/>
        </w:rPr>
        <w:t xml:space="preserve"> включают </w:t>
      </w:r>
      <w:r w:rsidRPr="00DA2BC8">
        <w:t xml:space="preserve">затруднение носового дыхания, выраженную локальную боль в области пораженной околоносовой пазухи, периорбитальный отек на стороне поражения, асимметрию лица. </w:t>
      </w:r>
      <w:r>
        <w:t>При осмотре оториноларинголом н</w:t>
      </w:r>
      <w:r w:rsidRPr="00DA2BC8">
        <w:t>а слизистой оболочке нижней стенки и/или перегородки носового хода определяют некроз или изъязвления. В дальнейшем возникает деструкция мягкого и твердого неба, деструкция костей лицевой части черепа.</w:t>
      </w:r>
    </w:p>
    <w:p w14:paraId="28ACEC9C" w14:textId="77777777" w:rsidR="00434A06" w:rsidRDefault="00434A06" w:rsidP="00434A06">
      <w:pPr>
        <w:widowControl w:val="0"/>
        <w:autoSpaceDE w:val="0"/>
        <w:autoSpaceDN w:val="0"/>
        <w:adjustRightInd w:val="0"/>
        <w:ind w:right="50" w:firstLine="709"/>
        <w:contextualSpacing/>
      </w:pPr>
      <w:r w:rsidRPr="00EB3571">
        <w:rPr>
          <w:i/>
          <w:iCs/>
          <w:u w:val="single"/>
        </w:rPr>
        <w:lastRenderedPageBreak/>
        <w:t>Диагноз аспергиллезного риносинусита</w:t>
      </w:r>
      <w:r w:rsidRPr="00DA2BC8">
        <w:rPr>
          <w:b/>
          <w:bCs/>
        </w:rPr>
        <w:t xml:space="preserve"> </w:t>
      </w:r>
      <w:r w:rsidRPr="00DA2BC8">
        <w:rPr>
          <w:bCs/>
        </w:rPr>
        <w:t>устанавливают на основании</w:t>
      </w:r>
      <w:r w:rsidRPr="00DA2BC8">
        <w:rPr>
          <w:b/>
          <w:bCs/>
        </w:rPr>
        <w:t xml:space="preserve"> </w:t>
      </w:r>
      <w:r w:rsidRPr="00DA2BC8">
        <w:t>радиологических призна</w:t>
      </w:r>
      <w:r>
        <w:t>ков (МРТ носоротоглотки)</w:t>
      </w:r>
      <w:r w:rsidRPr="00DA2BC8">
        <w:t xml:space="preserve"> и выделения культуры </w:t>
      </w:r>
      <w:r w:rsidRPr="00DA2BC8">
        <w:rPr>
          <w:i/>
          <w:iCs/>
        </w:rPr>
        <w:t xml:space="preserve">Aspergillus </w:t>
      </w:r>
      <w:r w:rsidRPr="00DA2BC8">
        <w:t>spp. из биоптата некротизированной слизистой оболочки носа или аспирата придаточных пазух носа либо обнаружение мицелия грибов при гистологическом или цитологическом исследовании биоптата (аспирата).</w:t>
      </w:r>
    </w:p>
    <w:p w14:paraId="0CFDE32F" w14:textId="77777777" w:rsidR="00434A06" w:rsidRPr="00DA2BC8" w:rsidRDefault="00434A06" w:rsidP="00434A06">
      <w:pPr>
        <w:widowControl w:val="0"/>
        <w:autoSpaceDE w:val="0"/>
        <w:autoSpaceDN w:val="0"/>
        <w:adjustRightInd w:val="0"/>
        <w:ind w:right="50" w:firstLine="709"/>
        <w:contextualSpacing/>
      </w:pPr>
      <w:r w:rsidRPr="00EB3571">
        <w:rPr>
          <w:i/>
          <w:iCs/>
          <w:u w:val="single"/>
        </w:rPr>
        <w:t>Для лечения</w:t>
      </w:r>
      <w:r w:rsidRPr="00DA2BC8">
        <w:rPr>
          <w:b/>
          <w:bCs/>
        </w:rPr>
        <w:t xml:space="preserve"> </w:t>
      </w:r>
      <w:r w:rsidRPr="00DA2BC8">
        <w:t>используют те же препараты, что при инвазивном аспергиллезе легких.</w:t>
      </w:r>
    </w:p>
    <w:p w14:paraId="030132A2" w14:textId="77777777" w:rsidR="00434A06" w:rsidRPr="001828E6" w:rsidRDefault="00434A06" w:rsidP="00434A06">
      <w:pPr>
        <w:widowControl w:val="0"/>
        <w:autoSpaceDE w:val="0"/>
        <w:autoSpaceDN w:val="0"/>
        <w:adjustRightInd w:val="0"/>
        <w:ind w:right="50" w:firstLine="709"/>
        <w:contextualSpacing/>
        <w:rPr>
          <w:b/>
          <w:bCs/>
        </w:rPr>
      </w:pPr>
      <w:r w:rsidRPr="001828E6">
        <w:rPr>
          <w:b/>
          <w:bCs/>
        </w:rPr>
        <w:t xml:space="preserve">Резистентный инвазивный аспергиллез </w:t>
      </w:r>
    </w:p>
    <w:p w14:paraId="600018F0" w14:textId="77777777" w:rsidR="00434A06" w:rsidRPr="00DA2BC8" w:rsidRDefault="00434A06" w:rsidP="00434A06">
      <w:pPr>
        <w:widowControl w:val="0"/>
        <w:autoSpaceDE w:val="0"/>
        <w:autoSpaceDN w:val="0"/>
        <w:adjustRightInd w:val="0"/>
        <w:ind w:right="50" w:firstLine="709"/>
        <w:contextualSpacing/>
      </w:pPr>
      <w:r w:rsidRPr="00DA2BC8">
        <w:rPr>
          <w:bCs/>
        </w:rPr>
        <w:t>В критерии резистентного течения входят</w:t>
      </w:r>
      <w:r w:rsidRPr="00DA2BC8">
        <w:rPr>
          <w:b/>
          <w:bCs/>
        </w:rPr>
        <w:t xml:space="preserve"> </w:t>
      </w:r>
      <w:r w:rsidRPr="00DA2BC8">
        <w:t>сохранение клинических признаков инфекции и отрицательная динамика в легких по данным КТВР не ранее чем через 7-14 дней от начала лечения.</w:t>
      </w:r>
    </w:p>
    <w:p w14:paraId="7EC98FD8" w14:textId="77777777" w:rsidR="00434A06" w:rsidRPr="00DA2BC8" w:rsidRDefault="00434A06" w:rsidP="00434A06">
      <w:pPr>
        <w:widowControl w:val="0"/>
        <w:autoSpaceDE w:val="0"/>
        <w:autoSpaceDN w:val="0"/>
        <w:adjustRightInd w:val="0"/>
        <w:ind w:right="50" w:firstLine="709"/>
        <w:contextualSpacing/>
        <w:rPr>
          <w:b/>
          <w:bCs/>
          <w:i/>
          <w:iCs/>
        </w:rPr>
      </w:pPr>
      <w:r w:rsidRPr="00DA2BC8">
        <w:rPr>
          <w:bCs/>
          <w:iCs/>
        </w:rPr>
        <w:t>Проводят модификацию противогрибковой терапии, которая включает</w:t>
      </w:r>
      <w:r w:rsidRPr="00DA2BC8">
        <w:rPr>
          <w:b/>
          <w:bCs/>
          <w:i/>
          <w:iCs/>
        </w:rPr>
        <w:t xml:space="preserve"> </w:t>
      </w:r>
      <w:r w:rsidRPr="00DA2BC8">
        <w:t>добавление второго антимикотика к ранее назначенному (например, к вориконазолу добавляют эхинокандин), или назначают противогрибковый препарат другой группы, отменяя препарат первой линии (назначение липидного комплекса амфотерицина В 5 мг/кг/сутки или липосомального амфотерицина В 5 мг/кг/сутки).</w:t>
      </w:r>
    </w:p>
    <w:p w14:paraId="15A04E74" w14:textId="77777777" w:rsidR="00434A06" w:rsidRPr="00047807" w:rsidRDefault="00434A06" w:rsidP="00434A06">
      <w:pPr>
        <w:widowControl w:val="0"/>
        <w:autoSpaceDE w:val="0"/>
        <w:autoSpaceDN w:val="0"/>
        <w:adjustRightInd w:val="0"/>
        <w:ind w:right="50" w:firstLine="709"/>
        <w:contextualSpacing/>
        <w:rPr>
          <w:b/>
          <w:bCs/>
        </w:rPr>
      </w:pPr>
      <w:r w:rsidRPr="00047807">
        <w:rPr>
          <w:b/>
          <w:bCs/>
        </w:rPr>
        <w:t>Инвазивный аспергиллез ЦНС</w:t>
      </w:r>
    </w:p>
    <w:p w14:paraId="41EE6AB8" w14:textId="77777777" w:rsidR="00434A06" w:rsidRPr="00DA2BC8" w:rsidRDefault="00434A06" w:rsidP="00434A06">
      <w:pPr>
        <w:widowControl w:val="0"/>
        <w:autoSpaceDE w:val="0"/>
        <w:autoSpaceDN w:val="0"/>
        <w:adjustRightInd w:val="0"/>
        <w:ind w:right="50" w:firstLine="709"/>
        <w:contextualSpacing/>
        <w:rPr>
          <w:bCs/>
        </w:rPr>
      </w:pPr>
      <w:r w:rsidRPr="00DA2BC8">
        <w:t xml:space="preserve">Поражение аспергиллами ЦНС происходит в результате диссеминации - гематогенной или из соседнего органа (инвазия грибов из околоносовых пазух). </w:t>
      </w:r>
      <w:r w:rsidRPr="00DA2BC8">
        <w:rPr>
          <w:bCs/>
        </w:rPr>
        <w:t xml:space="preserve">В критерии диагностики входят </w:t>
      </w:r>
      <w:r w:rsidRPr="00DA2BC8">
        <w:t xml:space="preserve">неврологические симптомы, выявление очагов в головном мозге при </w:t>
      </w:r>
      <w:r>
        <w:t>КТ/СКТ</w:t>
      </w:r>
      <w:r w:rsidRPr="00DA2BC8">
        <w:t xml:space="preserve"> или МРТ</w:t>
      </w:r>
      <w:r>
        <w:t xml:space="preserve"> (по показаниям с контрастированием)</w:t>
      </w:r>
      <w:r w:rsidRPr="00DA2BC8">
        <w:t>;</w:t>
      </w:r>
      <w:r w:rsidRPr="00DA2BC8">
        <w:rPr>
          <w:bCs/>
        </w:rPr>
        <w:t xml:space="preserve"> </w:t>
      </w:r>
      <w:r w:rsidRPr="00DA2BC8">
        <w:t xml:space="preserve">наличие первичного очага инвазии аспергиллами в легких или околоносовых пазухах. В части случаев может быть определен положительный антиген </w:t>
      </w:r>
      <w:r w:rsidRPr="00DA2BC8">
        <w:rPr>
          <w:i/>
          <w:iCs/>
        </w:rPr>
        <w:t>Aspergillus</w:t>
      </w:r>
      <w:r w:rsidRPr="00DA2BC8">
        <w:t xml:space="preserve"> (галактоманнана) в СМЖ (индекс оптической плотности ≥1</w:t>
      </w:r>
      <w:r>
        <w:t>)</w:t>
      </w:r>
      <w:r w:rsidRPr="00EC3182">
        <w:t>.</w:t>
      </w:r>
      <w:r w:rsidRPr="00DA2BC8">
        <w:rPr>
          <w:b/>
          <w:bCs/>
          <w:i/>
          <w:iCs/>
        </w:rPr>
        <w:t xml:space="preserve"> </w:t>
      </w:r>
      <w:r w:rsidRPr="00DA2BC8">
        <w:t>Препарат выбора для лечения инвазивного аспергиллеза ЦНС – липосомальный амфотерицин В (5-10 мг/кг/сутки) или липидный комплекс амфотерицина В (5 мг/кг /сутки); альтернативный – вориконазол (дозы как при лечении инвазивного аспергиллеза легких) или изавуконазол.</w:t>
      </w:r>
      <w:r w:rsidRPr="00DA2BC8">
        <w:rPr>
          <w:b/>
          <w:bCs/>
        </w:rPr>
        <w:t xml:space="preserve"> </w:t>
      </w:r>
      <w:r w:rsidRPr="00DA2BC8">
        <w:rPr>
          <w:bCs/>
        </w:rPr>
        <w:t xml:space="preserve">Если лечение проводили липидной формой амфотерицина В, то после стабилизации состояния, но не ранее чем через 2 недели, можно перейти на пероральный прием азолов (вориконазол, изавуконазол, позаконазол). </w:t>
      </w:r>
      <w:r w:rsidRPr="00DA2BC8">
        <w:t>Противогрибковые препараты, включая амфотерицин В, интратекально или в очаг поражения не вводят.</w:t>
      </w:r>
      <w:r w:rsidRPr="00DA2BC8">
        <w:rPr>
          <w:bCs/>
        </w:rPr>
        <w:t xml:space="preserve"> Хирургическое лечение</w:t>
      </w:r>
      <w:r w:rsidRPr="00DA2BC8">
        <w:t xml:space="preserve"> заключается в резекции очага в головном мозге, которую проводят при условии, что не будет усугубления неврологических нарушений. Лечение длительное, составляет несколько месяцев.</w:t>
      </w:r>
    </w:p>
    <w:p w14:paraId="7280DF9F" w14:textId="77777777" w:rsidR="00434A06" w:rsidRDefault="00434A06" w:rsidP="00434A06">
      <w:pPr>
        <w:widowControl w:val="0"/>
        <w:autoSpaceDE w:val="0"/>
        <w:autoSpaceDN w:val="0"/>
        <w:adjustRightInd w:val="0"/>
        <w:ind w:right="50"/>
        <w:contextualSpacing/>
        <w:rPr>
          <w:b/>
          <w:bCs/>
        </w:rPr>
      </w:pPr>
    </w:p>
    <w:p w14:paraId="550FBB3D" w14:textId="2DF5E366" w:rsidR="00434A06" w:rsidRPr="00084B8B" w:rsidRDefault="00434A06" w:rsidP="00434A06">
      <w:pPr>
        <w:widowControl w:val="0"/>
        <w:autoSpaceDE w:val="0"/>
        <w:autoSpaceDN w:val="0"/>
        <w:adjustRightInd w:val="0"/>
        <w:ind w:right="49"/>
        <w:contextualSpacing/>
        <w:rPr>
          <w:bCs/>
          <w:u w:val="single"/>
        </w:rPr>
      </w:pPr>
      <w:r w:rsidRPr="00EB3571">
        <w:rPr>
          <w:bCs/>
          <w:u w:val="single"/>
        </w:rPr>
        <w:t>Диагностика и лечение мукормикоза</w:t>
      </w:r>
      <w:r>
        <w:rPr>
          <w:bCs/>
          <w:u w:val="single"/>
          <w:lang w:val="en-US"/>
        </w:rPr>
        <w:t xml:space="preserve"> </w:t>
      </w:r>
      <w:r>
        <w:rPr>
          <w:b/>
        </w:rPr>
        <w:fldChar w:fldCharType="begin" w:fldLock="1"/>
      </w:r>
      <w:r w:rsidR="00EC13BC">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-4","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patients","type":"article-journal","volume":"102"},"uris":["http://www.mendeley.com/documents/?uuid=56063fed-25f6-3324-a2f1-f316166613f0"]},{"id":"ITEM-5","itemData":{"DOI":"10.1016/S1473-3099(19)30312-3","ISSN":"14744457","PMID":"31699664","abstract":"Mucormycosis is a difficult to diagnose rare disease with high morbidity and mortality. Diagnosis is often delayed, and disease tends to progress rapidly. Urgent surgical and medical intervention is lifesaving. Guidance on the complex multidisciplinary management has potential to improve prognosis, but approaches differ between health-care settings. From January, 2018, authors from 33 countries in all United Nations regions analysed the published evidence on mucormycosis management and provided consensus recommendations addressing differences between the regions of the world as part of the “One World One Guideline” initiative of the European Confederation of Medical Mycology (ECMM). Diagnostic management does not differ greatly between world regions. Upon suspicion of mucormycosis appropriate imaging is strongly recommended to document extent of disease and is followed by strongly recommended surgical intervention. First-line treatment with high-dose liposomal amphotericin B is strongly recommended, while intravenous isavuconazole and intravenous or delayed release tablet posaconazole are recommended with moderate strength. Both triazoles are strongly recommended salvage treatments. Amphotericin B deoxycholate is recommended against, because of substantial toxicity, but may be the only option in resource limited settings. Management of mucormycosis depends on recognising disease patterns and on early diagnosis. Limited availability of contemporary treatments burdens patients in low and middle income settings. Areas of uncertainty were identified and future research directions specified.","author":[{"dropping-particle":"","family":"Cornely","given":"Oliver A.","non-dropping-particle":"","parse-names":false,"suffix":""},{"dropping-particle":"","family":"Alastruey-Izquierdo","given":"Ana","non-dropping-particle":"","parse-names":false,"suffix":""},{"dropping-particle":"","family":"Arenz","given":"Dorothee","non-dropping-particle":"","parse-names":false,"suffix":""},{"dropping-particle":"","family":"Chen","given":"Sharon C.A.","non-dropping-particle":"","parse-names":false,"suffix":""},{"dropping-particle":"","family":"Dannaoui","given":"Eric","non-dropping-particle":"","parse-names":false,"suffix":""},{"dropping-particle":"","family":"Hochhegger","given":"Bruno","non-dropping-particle":"","parse-names":false,"suffix":""},{"dropping-particle":"","family":"Hoenigl","given":"Martin","non-dropping-particle":"","parse-names":false,"suffix":""},{"dropping-particle":"","family":"Jensen","given":"Henrik E.","non-dropping-particle":"","parse-names":false,"suffix":""},{"dropping-particle":"","family":"Lagrou","given":"Katrien","non-dropping-particle":"","parse-names":false,"suffix":""},{"dropping-particle":"","family":"Lewis","given":"Russell E.","non-dropping-particle":"","parse-names":false,"suffix":""},{"dropping-particle":"","family":"Mellinghoff","given":"Sibylle C.","non-dropping-particle":"","parse-names":false,"suffix":""},{"dropping-particle":"","family":"Mer","given":"Mervyn","non-dropping-particle":"","parse-names":false,"suffix":""},{"dropping-particle":"","family":"Pana","given":"Zoi D.","non-dropping-particle":"","parse-names":false,"suffix":""},{"dropping-particle":"","family":"Seidel","given":"Danila","non-dropping-particle":"","parse-names":false,"suffix":""},{"dropping-particle":"","family":"Sheppard","given":"Donald C.","non-dropping-particle":"","parse-names":false,"suffix":""},{"dropping-particle":"","family":"Wahba","given":"Roger","non-dropping-particle":"","parse-names":false,"suffix":""},{"dropping-particle":"","family":"Akova","given":"Murat","non-dropping-particle":"","parse-names":false,"suffix":""},{"dropping-particle":"","family":"Alanio","given":"Alexandre","non-dropping-particle":"","parse-names":false,"suffix":""},{"dropping-particle":"","family":"Al-Hatmi","given":"Abdullah M.S.","non-dropping-particle":"","parse-names":false,"suffix":""},{"dropping-particle":"","family":"Arikan-Akdagli","given":"Sevtap","non-dropping-particle":"","parse-names":false,"suffix":""},{"dropping-particle":"","family":"Badali","given":"Hamid","non-dropping-particle":"","parse-names":false,"suffix":""},{"dropping-particle":"","family":"Ben-Ami","given":"Ronen","non-dropping-particle":"","parse-names":false,"suffix":""},{"dropping-particle":"","family":"Bonifaz","given":"Alexandro","non-dropping-particle":"","parse-names":false,"suffix":""},{"dropping-particle":"","family":"Bretagne","given":"Stéphane","non-dropping-particle":"","parse-names":false,"suffix":""},{"dropping-particle":"","family":"Castagnola","given":"Elio","non-dropping-particle":"","parse-names":false,"suffix":""},{"dropping-particle":"","family":"Chayakulkeeree","given":"Methee","non-dropping-particle":"","parse-names":false,"suffix":""},{"dropping-particle":"","family":"Colombo","given":"Arnaldo L.","non-dropping-particle":"","parse-names":false,"suffix":""},{"dropping-particle":"","family":"Corzo-León","given":"Dora E.","non-dropping-particle":"","parse-names":false,"suffix":""},{"dropping-particle":"","family":"Drgona","given":"Lubos","non-dropping-particle":"","parse-names":false,"suffix":""},{"dropping-particle":"","family":"Groll","given":"Andreas H.","non-dropping-particle":"","parse-names":false,"suffix":""},{"dropping-particle":"","family":"Guinea","given":"Jesus","non-dropping-particle":"","parse-names":false,"suffix":""},{"dropping-particle":"","family":"Heussel","given":"Claus Peter","non-dropping-particle":"","parse-names":false,"suffix":""},{"dropping-particle":"","family":"Ibrahim","given":"Ashraf S.","non-dropping-particle":"","parse-names":false,"suffix":""},{"dropping-particle":"","family":"Kanj","given":"Souha S.","non-dropping-particle":"","parse-names":false,"suffix":""},{"dropping-particle":"","family":"Klimko","given":"Nikolay","non-dropping-particle":"","parse-names":false,"suffix":""},{"dropping-particle":"","family":"Lackner","given":"Michaela","non-dropping-particle":"","parse-names":false,"suffix":""},{"dropping-particle":"","family":"Lamoth","given":"Frederic","non-dropping-particle":"","parse-names":false,"suffix":""},{"dropping-particle":"","family":"Lanternier","given":"Fanny","non-dropping-particle":"","parse-names":false,"suffix":""},{"dropping-particle":"","family":"Lass-Floerl","given":"Cornelia","non-dropping-particle":"","parse-names":false,"suffix":""},{"dropping-particle":"","family":"Lee","given":"Dong Gun","non-dropping-particle":"","parse-names":false,"suffix":""},{"dropping-particle":"","family":"Lehrnbecher","given":"Thomas","non-dropping-particle":"","parse-names":false,"suffix":""},{"dropping-particle":"","family":"Lmimouni","given":"Badre E.","non-dropping-particle":"","parse-names":false,"suffix":""},{"dropping-particle":"","family":"Mares","given":"Mihai","non-dropping-particle":"","parse-names":false,"suffix":""},{"dropping-particle":"","family":"Maschmeyer","given":"Georg","non-dropping-particle":"","parse-names":false,"suffix":""},{"dropping-particle":"","family":"Meis","given":"Jacques F.","non-dropping-particle":"","parse-names":false,"suffix":""},{"dropping-particle":"","family":"Meletiadis","given":"Joseph","non-dropping-particle":"","parse-names":false,"suffix":""},{"dropping-particle":"","family":"Morrissey","given":"C. Orla","non-dropping-particle":"","parse-names":false,"suffix":""},{"dropping-particle":"","family":"Nucci","given":"Marcio","non-dropping-particle":"","parse-names":false,"suffix":""},{"dropping-particle":"","family":"Oladele","given":"Rita","non-dropping-particle":"","parse-names":false,"suffix":""},{"dropping-particle":"","family":"Pagano","given":"Livio","non-dropping-particle":"","parse-names":false,"suffix":""},{"dropping-particle":"","family":"Pasqualotto","given":"Alessandro","non-dropping-particle":"","parse-names":false,"suffix":""},{"dropping-particle":"","family":"Patel","given":"Atul","non-dropping-particle":"","parse-names":false,"suffix":""},{"dropping-particle":"","family":"Racil","given":"Zdenek","non-dropping-particle":"","parse-names":false,"suffix":""},{"dropping-particle":"","family":"Richardson","given":"Malcolm","non-dropping-particle":"","parse-names":false,"suffix":""},{"dropping-particle":"","family":"Roilides","given":"Emmanuel","non-dropping-particle":"","parse-names":false,"suffix":""},{"dropping-particle":"","family":"Ruhnke","given":"Markus","non-dropping-particle":"","parse-names":false,"suffix":""},{"dropping-particle":"","family":"Seyedmousavi","given":"Seyedmojtaba","non-dropping-particle":"","parse-names":false,"suffix":""},{"dropping-particle":"","family":"Sidharthan","given":"Neeraj","non-dropping-particle":"","parse-names":false,"suffix":""},{"dropping-particle":"","family":"Singh","given":"Nina","non-dropping-particle":"","parse-names":false,"suffix":""},{"dropping-particle":"","family":"Sinko","given":"János","non-dropping-particle":"","parse-names":false,"suffix":""},{"dropping-particle":"","family":"Skiada","given":"Anna","non-dropping-particle":"","parse-names":false,"suffix":""},{"dropping-particle":"","family":"Slavin","given":"Monica","non-dropping-particle":"","parse-names":false,"suffix":""},{"dropping-particle":"","family":"Soman","given":"Rajeev","non-dropping-particle":"","parse-names":false,"suffix":""},{"dropping-particle":"","family":"Spellberg","given":"Brad","non-dropping-particle":"","parse-names":false,"suffix":""},{"dropping-particle":"","family":"Steinbach","given":"William","non-dropping-particle":"","parse-names":false,"suffix":""},{"dropping-particle":"","family":"Tan","given":"Ban Hock","non-dropping-particle":"","parse-names":false,"suffix":""},{"dropping-particle":"","family":"Ullmann","given":"Andrew J.","non-dropping-particle":"","parse-names":false,"suffix":""},{"dropping-particle":"","family":"Vehreschild","given":"Jörg J.","non-dropping-particle":"","parse-names":false,"suffix":""},{"dropping-particle":"","family":"Vehreschild","given":"Maria J.G.T.","non-dropping-particle":"","parse-names":false,"suffix":""},{"dropping-particle":"","family":"Walsh","given":"Thomas J.","non-dropping-particle":"","parse-names":false,"suffix":""},{"dropping-particle":"","family":"White","given":"P. Lewis","non-dropping-particle":"","parse-names":false,"suffix":""},{"dropping-particle":"","family":"Wiederhold","given":"Nathan P.","non-dropping-particle":"","parse-names":false,"suffix":""},{"dropping-particle":"","family":"Zaoutis","given":"Theoklis","non-dropping-particle":"","parse-names":false,"suffix":""},{"dropping-particle":"","family":"Chakrabarti","given":"Arunaloke","non-dropping-particle":"","parse-names":false,"suffix":""}],"container-title":"The Lancet Infectious Diseases","id":"ITEM-5","issue":"12","issued":{"date-parts":[["2019","12","1"]]},"page":"e405-e421","publisher":"Lancet Publishing Group","title":"Global guideline for the diagnosis and management of mucormycosis: an initiative of the European Confederation of Medical Mycology in cooperation with the Mycoses Study Group Education and Research Consortium","type":"article","volume":"19"},"uris":["http://www.mendeley.com/documents/?uuid=fc978cfc-9076-3684-a701-eca666f38a46"]}],"mendeley":{"formattedCitation":"[158,159,165,166,169]","plainTextFormattedCitation":"[158,159,165,166,169]","previouslyFormattedCitation":"[158,159,165,166,169]"},"properties":{"noteIndex":0},"schema":"https://github.com/citation-style-language/schema/raw/master/csl-citation.json"}</w:instrText>
      </w:r>
      <w:r>
        <w:rPr>
          <w:b/>
        </w:rPr>
        <w:fldChar w:fldCharType="separate"/>
      </w:r>
      <w:r w:rsidRPr="00434A06">
        <w:rPr>
          <w:noProof/>
        </w:rPr>
        <w:t>[158,159,165,166,169]</w:t>
      </w:r>
      <w:r>
        <w:rPr>
          <w:b/>
        </w:rPr>
        <w:fldChar w:fldCharType="end"/>
      </w:r>
    </w:p>
    <w:p w14:paraId="578F0354" w14:textId="77777777" w:rsidR="00434A06" w:rsidRPr="00DA2BC8" w:rsidRDefault="00434A06" w:rsidP="00434A06">
      <w:pPr>
        <w:widowControl w:val="0"/>
        <w:autoSpaceDE w:val="0"/>
        <w:autoSpaceDN w:val="0"/>
        <w:adjustRightInd w:val="0"/>
        <w:ind w:right="50" w:firstLine="709"/>
        <w:contextualSpacing/>
      </w:pPr>
      <w:r w:rsidRPr="00DA2BC8">
        <w:t xml:space="preserve">Мукормикоз занимает вторую позицию после инвазивного аспергиллеза в спектре </w:t>
      </w:r>
      <w:r w:rsidRPr="00DA2BC8">
        <w:lastRenderedPageBreak/>
        <w:t>инвазивных микозо</w:t>
      </w:r>
      <w:r>
        <w:t>в, вызванных плесневыми грибами</w:t>
      </w:r>
      <w:r w:rsidRPr="00DA2BC8">
        <w:t xml:space="preserve"> у </w:t>
      </w:r>
      <w:r>
        <w:t>гематологических пациентов</w:t>
      </w:r>
      <w:r w:rsidRPr="00DA2BC8">
        <w:t xml:space="preserve">. Частота мукормикоза у </w:t>
      </w:r>
      <w:r>
        <w:t>гематологических пациентов</w:t>
      </w:r>
      <w:r w:rsidRPr="00DA2BC8">
        <w:t xml:space="preserve"> не превышает 0,5%, в структуре инвазивных микозов составляет </w:t>
      </w:r>
      <w:r>
        <w:t>3-5</w:t>
      </w:r>
      <w:r w:rsidRPr="00DA2BC8">
        <w:t xml:space="preserve">. Мукормикоз преобладает у больных острыми лейкозами и реципиентов аллогенных СГК, характеризуется агрессивным течением с преимущественным поражением легких, частой диссеминацией (25-40%), высокой летальностью (50—60%). </w:t>
      </w:r>
      <w:r w:rsidRPr="00DA2BC8">
        <w:rPr>
          <w:bCs/>
        </w:rPr>
        <w:t xml:space="preserve">Возбудители </w:t>
      </w:r>
      <w:r w:rsidRPr="00DA2BC8">
        <w:t xml:space="preserve">– мицелиальные грибы </w:t>
      </w:r>
      <w:r w:rsidRPr="00DA2BC8">
        <w:rPr>
          <w:i/>
          <w:iCs/>
        </w:rPr>
        <w:t>Mucorales</w:t>
      </w:r>
      <w:r w:rsidRPr="00DA2BC8">
        <w:t xml:space="preserve">, среди них наиболее часто инфекцию у человека вызывают </w:t>
      </w:r>
      <w:r w:rsidRPr="00DA2BC8">
        <w:rPr>
          <w:i/>
          <w:iCs/>
        </w:rPr>
        <w:t>Rhizopus</w:t>
      </w:r>
      <w:r w:rsidRPr="00DA2BC8">
        <w:t xml:space="preserve"> spp., </w:t>
      </w:r>
      <w:r w:rsidRPr="00DA2BC8">
        <w:rPr>
          <w:i/>
          <w:iCs/>
        </w:rPr>
        <w:t>Mucor</w:t>
      </w:r>
      <w:r w:rsidRPr="00DA2BC8">
        <w:t xml:space="preserve"> spp., </w:t>
      </w:r>
      <w:r w:rsidRPr="00DA2BC8">
        <w:rPr>
          <w:i/>
          <w:iCs/>
        </w:rPr>
        <w:t>Lichtheimia</w:t>
      </w:r>
      <w:r w:rsidRPr="00DA2BC8">
        <w:t xml:space="preserve"> (</w:t>
      </w:r>
      <w:r w:rsidRPr="00DA2BC8">
        <w:rPr>
          <w:i/>
          <w:iCs/>
        </w:rPr>
        <w:t>Absidia</w:t>
      </w:r>
      <w:r w:rsidRPr="00DA2BC8">
        <w:t xml:space="preserve">) spp., </w:t>
      </w:r>
      <w:r w:rsidRPr="00DA2BC8">
        <w:rPr>
          <w:i/>
          <w:iCs/>
        </w:rPr>
        <w:t>Cunninghamella</w:t>
      </w:r>
      <w:r w:rsidRPr="00DA2BC8">
        <w:t xml:space="preserve"> spp., </w:t>
      </w:r>
      <w:r w:rsidRPr="00DA2BC8">
        <w:rPr>
          <w:i/>
          <w:iCs/>
        </w:rPr>
        <w:t>Rhizomucor</w:t>
      </w:r>
      <w:r w:rsidRPr="00DA2BC8">
        <w:t xml:space="preserve"> spp., </w:t>
      </w:r>
      <w:r w:rsidRPr="00DA2BC8">
        <w:rPr>
          <w:i/>
          <w:iCs/>
        </w:rPr>
        <w:t>Apophysomyces</w:t>
      </w:r>
      <w:r w:rsidRPr="00DA2BC8">
        <w:t xml:space="preserve"> spp., </w:t>
      </w:r>
      <w:r w:rsidRPr="00DA2BC8">
        <w:rPr>
          <w:i/>
          <w:iCs/>
        </w:rPr>
        <w:t>Saksenaea</w:t>
      </w:r>
      <w:r w:rsidRPr="00DA2BC8">
        <w:t xml:space="preserve"> spp.</w:t>
      </w:r>
    </w:p>
    <w:p w14:paraId="247F8422" w14:textId="77777777" w:rsidR="00434A06" w:rsidRPr="00DA2BC8" w:rsidRDefault="00434A06" w:rsidP="00434A06">
      <w:pPr>
        <w:widowControl w:val="0"/>
        <w:autoSpaceDE w:val="0"/>
        <w:autoSpaceDN w:val="0"/>
        <w:adjustRightInd w:val="0"/>
        <w:ind w:right="50" w:firstLine="709"/>
        <w:contextualSpacing/>
      </w:pPr>
      <w:r w:rsidRPr="00686506">
        <w:rPr>
          <w:i/>
          <w:iCs/>
          <w:u w:val="single"/>
        </w:rPr>
        <w:t>Факторы риска</w:t>
      </w:r>
      <w:r w:rsidRPr="00DA2BC8">
        <w:t xml:space="preserve"> возникновения мукормикоза во многом схожи с таковыми для инвазивного аспергиллеза и включают длительную гранулоцитопению (нейтрофилов менее 0,5 × 10</w:t>
      </w:r>
      <w:r w:rsidRPr="00DA2BC8">
        <w:rPr>
          <w:vertAlign w:val="superscript"/>
        </w:rPr>
        <w:t>9</w:t>
      </w:r>
      <w:r w:rsidRPr="00DA2BC8">
        <w:t xml:space="preserve">/л), трансплантацию аллогенных СГК, отсутствие ремиссии гемобластоза, лечение глюкокортикостероидами и другими иммуносупрессивными препаратами. К дополнительным факторам риска, ассоциированным с развитием мукормикоза, относят сахарный диабет, тяжелые травмы и обширные ожоги. Следует отметить, что вориконазол не активен в отношении </w:t>
      </w:r>
      <w:r w:rsidRPr="00DA2BC8">
        <w:rPr>
          <w:i/>
          <w:iCs/>
        </w:rPr>
        <w:t>Mucorale</w:t>
      </w:r>
      <w:r w:rsidRPr="00DA2BC8">
        <w:t xml:space="preserve">s, и в период его применения может возникать мукормикоз. Важным компонентом метаболизма </w:t>
      </w:r>
      <w:r w:rsidRPr="00DA2BC8">
        <w:rPr>
          <w:i/>
          <w:iCs/>
        </w:rPr>
        <w:t xml:space="preserve">Mucorales </w:t>
      </w:r>
      <w:r w:rsidRPr="00DA2BC8">
        <w:t xml:space="preserve">является железо, поэтому </w:t>
      </w:r>
      <w:r>
        <w:t>пациентов</w:t>
      </w:r>
      <w:r w:rsidRPr="00DA2BC8">
        <w:t xml:space="preserve"> с гемосидерозом относят к группе высокого риска по возникновению мукормикоза, как и пациентов, получающих лечение дефероксамином. </w:t>
      </w:r>
    </w:p>
    <w:p w14:paraId="4AFCE54B" w14:textId="77777777" w:rsidR="00434A06" w:rsidRPr="00047807" w:rsidRDefault="00434A06" w:rsidP="00434A06">
      <w:pPr>
        <w:widowControl w:val="0"/>
        <w:autoSpaceDE w:val="0"/>
        <w:autoSpaceDN w:val="0"/>
        <w:adjustRightInd w:val="0"/>
        <w:ind w:right="50" w:firstLine="709"/>
        <w:contextualSpacing/>
        <w:rPr>
          <w:b/>
          <w:bCs/>
        </w:rPr>
      </w:pPr>
      <w:r w:rsidRPr="00047807">
        <w:rPr>
          <w:b/>
          <w:bCs/>
        </w:rPr>
        <w:t>Мукормикоз легких</w:t>
      </w:r>
    </w:p>
    <w:p w14:paraId="62F53906" w14:textId="77777777" w:rsidR="00434A06" w:rsidRPr="00686506" w:rsidRDefault="00434A06" w:rsidP="00434A06">
      <w:pPr>
        <w:widowControl w:val="0"/>
        <w:autoSpaceDE w:val="0"/>
        <w:autoSpaceDN w:val="0"/>
        <w:adjustRightInd w:val="0"/>
        <w:ind w:right="50" w:firstLine="709"/>
        <w:contextualSpacing/>
        <w:rPr>
          <w:i/>
          <w:iCs/>
          <w:u w:val="single"/>
        </w:rPr>
      </w:pPr>
      <w:r w:rsidRPr="00686506">
        <w:rPr>
          <w:i/>
          <w:iCs/>
          <w:u w:val="single"/>
        </w:rPr>
        <w:t>Симптомы</w:t>
      </w:r>
    </w:p>
    <w:p w14:paraId="74997FA8" w14:textId="77777777" w:rsidR="00434A06" w:rsidRPr="00DA2BC8" w:rsidRDefault="00434A06" w:rsidP="00434A06">
      <w:pPr>
        <w:widowControl w:val="0"/>
        <w:autoSpaceDE w:val="0"/>
        <w:autoSpaceDN w:val="0"/>
        <w:adjustRightInd w:val="0"/>
        <w:ind w:right="50" w:firstLine="709"/>
        <w:contextualSpacing/>
      </w:pPr>
      <w:r w:rsidRPr="00DA2BC8">
        <w:t xml:space="preserve">Клинические проявления скудные, неспецифичные, схожи с таковыми при инвазивном аспергиллезе легких. Нередко присутствует непродуктивный кашель, прогрессирующая дыхательная недостаточность, плевральная боль. При наличии плеврита может выслушиваться шум трения плевры. Инвазия мицелия грибов в сосуды вызывает некроз окружающих тканей и приводит к образованию полостей и фатальным легочным кровотечениям. У </w:t>
      </w:r>
      <w:r>
        <w:t>гематологических пациентов</w:t>
      </w:r>
      <w:r w:rsidRPr="00DA2BC8">
        <w:t xml:space="preserve"> часто бывает диссеминация инфекции вследствие инвазии грибов в окружающие ткани и органы (бронхи, плевру, грудную стенку, диафрагму, печень и др.), или гематогенно (в головной мозг, селезенку, почки, сердце, мягкие ткани и т. д.). Для диссеминированной формы инфекции характерны симптомы, соответствующие локализации очагов поражения. </w:t>
      </w:r>
    </w:p>
    <w:p w14:paraId="3FC34020" w14:textId="77777777" w:rsidR="00434A06" w:rsidRPr="00DA2BC8" w:rsidRDefault="00434A06" w:rsidP="00434A06">
      <w:pPr>
        <w:widowControl w:val="0"/>
        <w:autoSpaceDE w:val="0"/>
        <w:autoSpaceDN w:val="0"/>
        <w:adjustRightInd w:val="0"/>
        <w:ind w:right="50" w:firstLine="709"/>
        <w:contextualSpacing/>
        <w:rPr>
          <w:b/>
          <w:bCs/>
        </w:rPr>
      </w:pPr>
      <w:r w:rsidRPr="00686506">
        <w:rPr>
          <w:i/>
          <w:iCs/>
          <w:u w:val="single"/>
        </w:rPr>
        <w:t>Диагностика мукормикоза легких</w:t>
      </w:r>
      <w:r w:rsidRPr="00DA2BC8">
        <w:rPr>
          <w:b/>
          <w:bCs/>
        </w:rPr>
        <w:t xml:space="preserve"> </w:t>
      </w:r>
      <w:r w:rsidRPr="00DA2BC8">
        <w:rPr>
          <w:bCs/>
        </w:rPr>
        <w:t xml:space="preserve">включает присутствие факторов риска, радиологические изменения в легких и наличие микологического подтверждения инфекции. </w:t>
      </w:r>
    </w:p>
    <w:p w14:paraId="407FDB46" w14:textId="77777777" w:rsidR="00434A06" w:rsidRPr="00686506" w:rsidRDefault="00434A06" w:rsidP="00434A06">
      <w:pPr>
        <w:widowControl w:val="0"/>
        <w:autoSpaceDE w:val="0"/>
        <w:autoSpaceDN w:val="0"/>
        <w:adjustRightInd w:val="0"/>
        <w:ind w:right="50" w:firstLine="709"/>
        <w:contextualSpacing/>
        <w:rPr>
          <w:i/>
          <w:iCs/>
          <w:u w:val="single"/>
        </w:rPr>
      </w:pPr>
      <w:r w:rsidRPr="00686506">
        <w:rPr>
          <w:i/>
          <w:iCs/>
          <w:u w:val="single"/>
        </w:rPr>
        <w:t>Радиологические особенности мукормикоза легких</w:t>
      </w:r>
    </w:p>
    <w:p w14:paraId="040BE97F" w14:textId="77777777" w:rsidR="00434A06" w:rsidRPr="00DA2BC8" w:rsidRDefault="00434A06" w:rsidP="00434A06">
      <w:pPr>
        <w:widowControl w:val="0"/>
        <w:autoSpaceDE w:val="0"/>
        <w:autoSpaceDN w:val="0"/>
        <w:adjustRightInd w:val="0"/>
        <w:ind w:right="50" w:firstLine="709"/>
        <w:contextualSpacing/>
      </w:pPr>
      <w:r w:rsidRPr="00DA2BC8">
        <w:t>Основа радиологической диагностики – это КТ</w:t>
      </w:r>
      <w:r>
        <w:t>/СКТ</w:t>
      </w:r>
      <w:r w:rsidRPr="00DA2BC8">
        <w:t xml:space="preserve">. Радиологические проявления </w:t>
      </w:r>
      <w:r w:rsidRPr="00DA2BC8">
        <w:lastRenderedPageBreak/>
        <w:t>мукормикоза неспецифичны и часто схожи с инвазивным аспергиллезом. Выделяют ряд радиологических признаков, которые в большей степени характерны для мукормикоза, чем для инвазивного аспергиллеза, и включают симптом «обратного ореола» (просветление в центре очага или зоны консолидации), плевральный выпот, наличие от 10 и более очагов в легких.</w:t>
      </w:r>
    </w:p>
    <w:p w14:paraId="5809512D" w14:textId="77777777" w:rsidR="00434A06" w:rsidRPr="00686506" w:rsidRDefault="00434A06" w:rsidP="00434A06">
      <w:pPr>
        <w:widowControl w:val="0"/>
        <w:autoSpaceDE w:val="0"/>
        <w:autoSpaceDN w:val="0"/>
        <w:adjustRightInd w:val="0"/>
        <w:ind w:right="50" w:firstLine="709"/>
        <w:contextualSpacing/>
        <w:rPr>
          <w:bCs/>
          <w:i/>
          <w:iCs/>
        </w:rPr>
      </w:pPr>
      <w:r w:rsidRPr="00686506">
        <w:rPr>
          <w:bCs/>
          <w:i/>
          <w:iCs/>
          <w:u w:val="single"/>
        </w:rPr>
        <w:t>Микологическая диагностика мукормикоза</w:t>
      </w:r>
    </w:p>
    <w:p w14:paraId="787C1358" w14:textId="77777777" w:rsidR="00434A06" w:rsidRPr="00DA2BC8" w:rsidRDefault="00434A06" w:rsidP="00434A06">
      <w:pPr>
        <w:widowControl w:val="0"/>
        <w:autoSpaceDE w:val="0"/>
        <w:autoSpaceDN w:val="0"/>
        <w:adjustRightInd w:val="0"/>
        <w:ind w:right="50" w:firstLine="709"/>
        <w:contextualSpacing/>
      </w:pPr>
      <w:r w:rsidRPr="00DA2BC8">
        <w:t xml:space="preserve">Нет серологических маркеров диагностики. Исследуют жидкость БАЛ или биоптаты органов. Диагноз устанавливают на основании обнаружения несептированного мицелия при флуоресцентной микроскопии либо при гистологическом исследовании биоптата, или детекции культуры грибов </w:t>
      </w:r>
      <w:r w:rsidRPr="00DA2BC8">
        <w:rPr>
          <w:i/>
          <w:iCs/>
        </w:rPr>
        <w:t>Mucorales</w:t>
      </w:r>
      <w:r w:rsidRPr="00DA2BC8">
        <w:t xml:space="preserve"> из исследуемых образцов. Вероятность получения культуры </w:t>
      </w:r>
      <w:r w:rsidRPr="00DA2BC8">
        <w:rPr>
          <w:i/>
          <w:iCs/>
        </w:rPr>
        <w:t xml:space="preserve">Mucorales </w:t>
      </w:r>
      <w:r w:rsidRPr="00DA2BC8">
        <w:rPr>
          <w:iCs/>
        </w:rPr>
        <w:t xml:space="preserve">выше из биоптатов, чем из жидкости БАЛ. </w:t>
      </w:r>
    </w:p>
    <w:p w14:paraId="4AFF1BAB" w14:textId="77777777" w:rsidR="00434A06" w:rsidRPr="00686506" w:rsidRDefault="00434A06" w:rsidP="00434A06">
      <w:pPr>
        <w:widowControl w:val="0"/>
        <w:autoSpaceDE w:val="0"/>
        <w:autoSpaceDN w:val="0"/>
        <w:adjustRightInd w:val="0"/>
        <w:ind w:right="50" w:firstLine="709"/>
        <w:contextualSpacing/>
        <w:rPr>
          <w:i/>
          <w:iCs/>
          <w:u w:val="single"/>
        </w:rPr>
      </w:pPr>
      <w:r w:rsidRPr="00686506">
        <w:rPr>
          <w:i/>
          <w:iCs/>
          <w:u w:val="single"/>
        </w:rPr>
        <w:t>Лечение мукормикоза легких</w:t>
      </w:r>
    </w:p>
    <w:p w14:paraId="37D53CF9" w14:textId="77777777" w:rsidR="00434A06" w:rsidRPr="00DA2BC8" w:rsidRDefault="00434A06" w:rsidP="00434A06">
      <w:pPr>
        <w:widowControl w:val="0"/>
        <w:autoSpaceDE w:val="0"/>
        <w:autoSpaceDN w:val="0"/>
        <w:adjustRightInd w:val="0"/>
        <w:ind w:right="50" w:firstLine="709"/>
        <w:contextualSpacing/>
      </w:pPr>
      <w:r w:rsidRPr="00DA2BC8">
        <w:t xml:space="preserve">Мукормикоз характеризуется крайне агрессивным течением. Лечение необходимо начинать при первых признаках инфекции, поскольку промедление в назначении антимикотиков приводит к увеличению частоты летальных исходов. </w:t>
      </w:r>
      <w:r w:rsidRPr="00DA2BC8">
        <w:rPr>
          <w:bCs/>
        </w:rPr>
        <w:t>Препаратами выбора для лечения являются липидные формы амфотерицина В (</w:t>
      </w:r>
      <w:r w:rsidRPr="00DA2BC8">
        <w:t>липосомальный амфотерицин или липидный комплекс амфотерицина В 5 мг/кг/сутки), альтернативный - изавуконазол (изавуконазол по 200 мг каждые 8 час в течение 2 дней (6 доз), далее по 200 мг 1 раз в сутки внутривенно или перорально). Замену липидной формы амфотерицина В на позаконазол проводят при одновременном наличии следующих условий: положительная динамика в легких по данным КТВР, стабильном состоянии больного, отсутствии мукозита и диареи, полноценном питании, отсутствии нарушения функции печени.</w:t>
      </w:r>
    </w:p>
    <w:p w14:paraId="0A90EBBC" w14:textId="77777777" w:rsidR="00434A06" w:rsidRPr="00DA2BC8" w:rsidRDefault="00434A06" w:rsidP="00434A06">
      <w:pPr>
        <w:widowControl w:val="0"/>
        <w:autoSpaceDE w:val="0"/>
        <w:autoSpaceDN w:val="0"/>
        <w:adjustRightInd w:val="0"/>
        <w:ind w:right="50" w:firstLine="709"/>
        <w:contextualSpacing/>
      </w:pPr>
      <w:r w:rsidRPr="00DA2BC8">
        <w:t>При диссеминации Mucorales в головной мозг препаратом выбора является липосомальный амфотерицин, дозирование может быть увеличено до 10 мг/кг в сутки. При неэффективности к липидным формам амфотерицина В добавляют эхинокандин или позаконазол.</w:t>
      </w:r>
    </w:p>
    <w:p w14:paraId="74B04583" w14:textId="77777777" w:rsidR="00434A06" w:rsidRPr="00686506" w:rsidRDefault="00434A06" w:rsidP="00434A06">
      <w:pPr>
        <w:widowControl w:val="0"/>
        <w:autoSpaceDE w:val="0"/>
        <w:autoSpaceDN w:val="0"/>
        <w:adjustRightInd w:val="0"/>
        <w:ind w:right="50" w:firstLine="709"/>
        <w:contextualSpacing/>
        <w:rPr>
          <w:i/>
          <w:iCs/>
          <w:u w:val="single"/>
        </w:rPr>
      </w:pPr>
      <w:r w:rsidRPr="00686506">
        <w:rPr>
          <w:i/>
          <w:iCs/>
          <w:u w:val="single"/>
        </w:rPr>
        <w:t>Хирургическое лечение мукормикоза легких</w:t>
      </w:r>
    </w:p>
    <w:p w14:paraId="2967B7F7" w14:textId="77777777" w:rsidR="00434A06" w:rsidRPr="00DA2BC8" w:rsidRDefault="00434A06" w:rsidP="00434A06">
      <w:pPr>
        <w:widowControl w:val="0"/>
        <w:autoSpaceDE w:val="0"/>
        <w:autoSpaceDN w:val="0"/>
        <w:adjustRightInd w:val="0"/>
        <w:ind w:right="50" w:firstLine="709"/>
        <w:contextualSpacing/>
      </w:pPr>
      <w:r w:rsidRPr="00DA2BC8">
        <w:rPr>
          <w:i/>
          <w:iCs/>
        </w:rPr>
        <w:t>При локализованной форме</w:t>
      </w:r>
      <w:r w:rsidRPr="00DA2BC8">
        <w:t xml:space="preserve"> мукормикоза легких показано хирургическое лечение во всех случаях, если позволяет состояние </w:t>
      </w:r>
      <w:r>
        <w:t>пациента</w:t>
      </w:r>
      <w:r w:rsidRPr="00DA2BC8">
        <w:t xml:space="preserve">. Операцию выполняют при стабилизации состояния больного. </w:t>
      </w:r>
      <w:r w:rsidRPr="00DA2BC8">
        <w:rPr>
          <w:i/>
          <w:iCs/>
        </w:rPr>
        <w:t>При диссеминации</w:t>
      </w:r>
      <w:r w:rsidRPr="00DA2BC8">
        <w:t xml:space="preserve"> необходимость хирургического лечения определяется индивидуально.</w:t>
      </w:r>
    </w:p>
    <w:p w14:paraId="0B093E7F" w14:textId="77777777" w:rsidR="00434A06" w:rsidRPr="00DA2BC8" w:rsidRDefault="00434A06" w:rsidP="00434A06">
      <w:pPr>
        <w:widowControl w:val="0"/>
        <w:autoSpaceDE w:val="0"/>
        <w:autoSpaceDN w:val="0"/>
        <w:adjustRightInd w:val="0"/>
        <w:ind w:right="50" w:firstLine="709"/>
        <w:contextualSpacing/>
      </w:pPr>
      <w:r w:rsidRPr="00686506">
        <w:t>Лечение</w:t>
      </w:r>
      <w:r w:rsidRPr="00DA2BC8">
        <w:rPr>
          <w:b/>
          <w:bCs/>
        </w:rPr>
        <w:t xml:space="preserve"> </w:t>
      </w:r>
      <w:r w:rsidRPr="00DA2BC8">
        <w:t xml:space="preserve">мукормикоза антимикотиками длительное, несколько месяцев. Критерием для отмены противогрибковых препаратов является регрессия очагов в легких. Всем больных, имевших мукормикоз в анамнезе, во время очередных курсов ПХТ проводят профилактику позаконазолом по 200 мг 3 раза в сутки в суспензии или изавуконазолом (см. </w:t>
      </w:r>
      <w:r w:rsidRPr="00DA2BC8">
        <w:lastRenderedPageBreak/>
        <w:t xml:space="preserve">вторичная профилактика). </w:t>
      </w:r>
    </w:p>
    <w:p w14:paraId="7CAF57B7" w14:textId="77777777" w:rsidR="00434A06" w:rsidRPr="00047807" w:rsidRDefault="00434A06" w:rsidP="00434A06">
      <w:pPr>
        <w:widowControl w:val="0"/>
        <w:autoSpaceDE w:val="0"/>
        <w:autoSpaceDN w:val="0"/>
        <w:adjustRightInd w:val="0"/>
        <w:ind w:right="51" w:firstLine="709"/>
        <w:contextualSpacing/>
        <w:rPr>
          <w:b/>
          <w:bCs/>
        </w:rPr>
      </w:pPr>
      <w:r w:rsidRPr="00047807">
        <w:rPr>
          <w:b/>
          <w:bCs/>
        </w:rPr>
        <w:t>Мукормикоз придаточных пазух носа</w:t>
      </w:r>
    </w:p>
    <w:p w14:paraId="6DC4EF8E" w14:textId="77777777" w:rsidR="00434A06" w:rsidRPr="00DA2BC8" w:rsidRDefault="00434A06" w:rsidP="00434A06">
      <w:pPr>
        <w:widowControl w:val="0"/>
        <w:autoSpaceDE w:val="0"/>
        <w:autoSpaceDN w:val="0"/>
        <w:adjustRightInd w:val="0"/>
        <w:ind w:right="51" w:firstLine="709"/>
        <w:contextualSpacing/>
      </w:pPr>
      <w:r w:rsidRPr="00DA2BC8">
        <w:t xml:space="preserve">Эта локализация инфекции наиболее характерна для </w:t>
      </w:r>
      <w:r>
        <w:t xml:space="preserve">гематологических пациентов с </w:t>
      </w:r>
      <w:r w:rsidRPr="00DA2BC8">
        <w:t xml:space="preserve">сахарным диабетом. Клиническая картина аналогична инвазивному аспергиллезному риносинуситу, но мукормикоз протекает более агрессивно, и в течение нескольких дней происходит вовлечение в инфекционный процесс окружающих мягких тканей (некроз) с деструкцией костей черепа и инвазией грибов в орбиту и головной мозг. Как правило, наблюдается одностороннее поражение грибами </w:t>
      </w:r>
      <w:r w:rsidRPr="00DA2BC8">
        <w:rPr>
          <w:i/>
        </w:rPr>
        <w:t>Mucorale</w:t>
      </w:r>
      <w:r w:rsidRPr="00DA2BC8">
        <w:rPr>
          <w:i/>
          <w:iCs/>
        </w:rPr>
        <w:t>s</w:t>
      </w:r>
      <w:r w:rsidRPr="00DA2BC8">
        <w:t xml:space="preserve"> придаточных пазух носа. </w:t>
      </w:r>
    </w:p>
    <w:p w14:paraId="3726FFF7" w14:textId="77777777" w:rsidR="00434A06" w:rsidRPr="00DA2BC8" w:rsidRDefault="00434A06" w:rsidP="00434A06">
      <w:pPr>
        <w:widowControl w:val="0"/>
        <w:autoSpaceDE w:val="0"/>
        <w:autoSpaceDN w:val="0"/>
        <w:adjustRightInd w:val="0"/>
        <w:ind w:right="51" w:firstLine="709"/>
        <w:contextualSpacing/>
      </w:pPr>
      <w:r w:rsidRPr="00DA2BC8">
        <w:t xml:space="preserve">Начальные симптомы заболевания включают боль, отек и покраснение на стороне поражения. В дальнейшем возникает некроз или изъязвления на слизистой оболочке носовых ходов, коже. Часто бывает гематогенненная диссеминация. Клиническая картина соответствует локализации очага поражения. </w:t>
      </w:r>
    </w:p>
    <w:p w14:paraId="6E36776D" w14:textId="77777777" w:rsidR="00434A06" w:rsidRPr="00DA2BC8" w:rsidRDefault="00434A06" w:rsidP="00434A06">
      <w:pPr>
        <w:widowControl w:val="0"/>
        <w:autoSpaceDE w:val="0"/>
        <w:autoSpaceDN w:val="0"/>
        <w:adjustRightInd w:val="0"/>
        <w:ind w:right="51" w:firstLine="709"/>
        <w:contextualSpacing/>
      </w:pPr>
      <w:r w:rsidRPr="00686506">
        <w:rPr>
          <w:i/>
          <w:iCs/>
          <w:u w:val="single"/>
        </w:rPr>
        <w:t>Диагностика мукормикозного риносинусита</w:t>
      </w:r>
      <w:r w:rsidRPr="00DA2BC8">
        <w:rPr>
          <w:b/>
          <w:bCs/>
        </w:rPr>
        <w:t xml:space="preserve"> </w:t>
      </w:r>
      <w:r w:rsidRPr="00DA2BC8">
        <w:rPr>
          <w:bCs/>
        </w:rPr>
        <w:t>включает наличие</w:t>
      </w:r>
      <w:r w:rsidRPr="00DA2BC8">
        <w:rPr>
          <w:b/>
          <w:bCs/>
        </w:rPr>
        <w:t xml:space="preserve"> </w:t>
      </w:r>
      <w:r w:rsidRPr="00DA2BC8">
        <w:t>радиологических признаков риносинусита, деструкции костей черепа</w:t>
      </w:r>
      <w:r>
        <w:t xml:space="preserve"> при КТ/СКТ/МРТ</w:t>
      </w:r>
      <w:r w:rsidRPr="00DA2BC8">
        <w:t>;</w:t>
      </w:r>
      <w:r w:rsidRPr="00DA2BC8">
        <w:rPr>
          <w:b/>
          <w:bCs/>
        </w:rPr>
        <w:t xml:space="preserve"> </w:t>
      </w:r>
      <w:r w:rsidRPr="00DA2BC8">
        <w:t xml:space="preserve">выделение культуры </w:t>
      </w:r>
      <w:r w:rsidRPr="00DA2BC8">
        <w:rPr>
          <w:i/>
        </w:rPr>
        <w:t>Mucorales</w:t>
      </w:r>
      <w:r w:rsidRPr="00DA2BC8">
        <w:t xml:space="preserve"> из биоптата некротизированной слизистой оболочки носа или аспирата придаточных пазух носа или обнаружение несептированного мицелия грибов при гистологическом или цитологическом исследовании биоптата (аспирата). </w:t>
      </w:r>
    </w:p>
    <w:p w14:paraId="3A90827D" w14:textId="77777777" w:rsidR="00434A06" w:rsidRPr="00DA2BC8" w:rsidRDefault="00434A06" w:rsidP="00434A06">
      <w:pPr>
        <w:widowControl w:val="0"/>
        <w:autoSpaceDE w:val="0"/>
        <w:autoSpaceDN w:val="0"/>
        <w:adjustRightInd w:val="0"/>
        <w:ind w:right="51" w:firstLine="709"/>
        <w:contextualSpacing/>
        <w:rPr>
          <w:b/>
          <w:bCs/>
        </w:rPr>
      </w:pPr>
      <w:r w:rsidRPr="00686506">
        <w:rPr>
          <w:i/>
          <w:iCs/>
          <w:u w:val="single"/>
        </w:rPr>
        <w:t>Лечение мукормикоза придаточных пазух носа</w:t>
      </w:r>
      <w:r w:rsidRPr="00DA2BC8">
        <w:t xml:space="preserve"> является комбинированным и включает назначение противогрибковых препаратов в сочетании с оперативным лечением. Применяют те же антимикотики, что при мукормикозе легких.</w:t>
      </w:r>
      <w:r w:rsidRPr="00DA2BC8">
        <w:rPr>
          <w:bCs/>
        </w:rPr>
        <w:t xml:space="preserve"> </w:t>
      </w:r>
      <w:r w:rsidRPr="00DA2BC8">
        <w:t xml:space="preserve">Хирургическую резекцию очага поражения обязательно выполняют в пределах здоровых тканей. </w:t>
      </w:r>
    </w:p>
    <w:p w14:paraId="54EAD2D8" w14:textId="77777777" w:rsidR="00434A06" w:rsidRPr="00047807" w:rsidRDefault="00434A06" w:rsidP="00434A06">
      <w:pPr>
        <w:widowControl w:val="0"/>
        <w:autoSpaceDE w:val="0"/>
        <w:autoSpaceDN w:val="0"/>
        <w:adjustRightInd w:val="0"/>
        <w:ind w:right="51" w:firstLine="709"/>
        <w:contextualSpacing/>
        <w:rPr>
          <w:b/>
          <w:bCs/>
        </w:rPr>
      </w:pPr>
      <w:r w:rsidRPr="00047807">
        <w:rPr>
          <w:b/>
          <w:bCs/>
        </w:rPr>
        <w:t>Мукормикоз кожи и мягких тканей</w:t>
      </w:r>
    </w:p>
    <w:p w14:paraId="4FA795B7" w14:textId="77777777" w:rsidR="00434A06" w:rsidRPr="00DA2BC8" w:rsidRDefault="00434A06" w:rsidP="00434A06">
      <w:pPr>
        <w:widowControl w:val="0"/>
        <w:autoSpaceDE w:val="0"/>
        <w:autoSpaceDN w:val="0"/>
        <w:adjustRightInd w:val="0"/>
        <w:ind w:right="51" w:firstLine="709"/>
        <w:contextualSpacing/>
      </w:pPr>
      <w:r w:rsidRPr="00DA2BC8">
        <w:t xml:space="preserve">Такая локализация инфекции преобладает у </w:t>
      </w:r>
      <w:r>
        <w:t>пациентов</w:t>
      </w:r>
      <w:r w:rsidRPr="00DA2BC8">
        <w:t xml:space="preserve"> с обширными травмами и ожогами. В некоторых случаях может быть следствием инвазивных медицинских процедур при использовании медицинского оборудования, контаминированного грибами </w:t>
      </w:r>
      <w:r w:rsidRPr="00DA2BC8">
        <w:rPr>
          <w:i/>
        </w:rPr>
        <w:t>Mucorales</w:t>
      </w:r>
      <w:r w:rsidRPr="00DA2BC8">
        <w:t xml:space="preserve">. </w:t>
      </w:r>
    </w:p>
    <w:p w14:paraId="6B2760E0" w14:textId="77777777" w:rsidR="00434A06" w:rsidRPr="00DA2BC8" w:rsidRDefault="00434A06" w:rsidP="00434A06">
      <w:pPr>
        <w:widowControl w:val="0"/>
        <w:autoSpaceDE w:val="0"/>
        <w:autoSpaceDN w:val="0"/>
        <w:adjustRightInd w:val="0"/>
        <w:ind w:right="51" w:firstLine="709"/>
        <w:contextualSpacing/>
      </w:pPr>
      <w:r w:rsidRPr="00DA2BC8">
        <w:t xml:space="preserve">Симптомы мукормикоза кожи и мягких тканей включают наличие признаков воспаления (гиперемии, болезненности, уплотнения) в области очага инфекции с некрозом в центре, который появляется в течение короткого временного промежутка (1-4 суток). Инвазия грибов происходит в окружающие ткани, включая подкожно-жировую клетчатку и мышцы. При прорастании сосудов происходит гематогенная диссеминация мукормикоза в другие органы и ткани. Для диагностики мукормикоза мягких тканей необходимо провести краевую биопсию области поражения. </w:t>
      </w:r>
      <w:r w:rsidRPr="00DA2BC8">
        <w:rPr>
          <w:bCs/>
        </w:rPr>
        <w:t xml:space="preserve">Диагноз устанавливают на основании </w:t>
      </w:r>
      <w:r w:rsidRPr="00DA2BC8">
        <w:t xml:space="preserve">выделения культуры </w:t>
      </w:r>
      <w:r w:rsidRPr="00DA2BC8">
        <w:rPr>
          <w:i/>
        </w:rPr>
        <w:t>Mucorales</w:t>
      </w:r>
      <w:r w:rsidRPr="00DA2BC8">
        <w:t xml:space="preserve"> из биоптата некротизированной ткани либо обнаружения несептированного мицелия грибов при флуоресцентной микроскопии или гистологическом исследовании. </w:t>
      </w:r>
      <w:r w:rsidRPr="00DA2BC8">
        <w:rPr>
          <w:bCs/>
        </w:rPr>
        <w:t xml:space="preserve">Лечение мукормикоза мягких тканей во всех случяах </w:t>
      </w:r>
      <w:r w:rsidRPr="00DA2BC8">
        <w:rPr>
          <w:bCs/>
        </w:rPr>
        <w:lastRenderedPageBreak/>
        <w:t xml:space="preserve">комбринированное, включающее обязательную резекцию некроза до здоровых фрагментов и назначение антимикотиков, как </w:t>
      </w:r>
      <w:r w:rsidRPr="00DA2BC8">
        <w:t>при мукормикозе легких.</w:t>
      </w:r>
    </w:p>
    <w:p w14:paraId="60BC5195" w14:textId="77777777" w:rsidR="00434A06" w:rsidRDefault="00434A06" w:rsidP="00434A06">
      <w:pPr>
        <w:widowControl w:val="0"/>
        <w:autoSpaceDE w:val="0"/>
        <w:autoSpaceDN w:val="0"/>
        <w:adjustRightInd w:val="0"/>
        <w:ind w:right="50"/>
        <w:contextualSpacing/>
        <w:rPr>
          <w:b/>
          <w:bCs/>
        </w:rPr>
      </w:pPr>
    </w:p>
    <w:p w14:paraId="3392A3A9" w14:textId="71A3FB11" w:rsidR="00434A06" w:rsidRPr="00144984" w:rsidRDefault="00434A06" w:rsidP="00434A06">
      <w:pPr>
        <w:widowControl w:val="0"/>
        <w:autoSpaceDE w:val="0"/>
        <w:autoSpaceDN w:val="0"/>
        <w:adjustRightInd w:val="0"/>
        <w:ind w:right="49"/>
        <w:contextualSpacing/>
        <w:rPr>
          <w:bCs/>
          <w:u w:val="single"/>
        </w:rPr>
      </w:pPr>
      <w:r w:rsidRPr="00686506">
        <w:rPr>
          <w:bCs/>
          <w:u w:val="single"/>
        </w:rPr>
        <w:t xml:space="preserve">Диагностика и лечение инвазивных микозов, вызванных редкими плесневыми грибами </w:t>
      </w:r>
      <w:r>
        <w:rPr>
          <w:b/>
        </w:rPr>
        <w:fldChar w:fldCharType="begin" w:fldLock="1"/>
      </w:r>
      <w:r w:rsidR="00EC13BC">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infections","type":"article-journal","volume":"20"},"uris":["http://www.mendeley.com/documents/?uuid=5a6b3e24-e337-3cd9-bb20-08cd60455554"]},{"id":"ITEM-4","itemData":{"DOI":"10.1111/1469-0691.12465","ISSN":"14690691","PMID":"24548001","abstract":"Mycoses summarized in the hyalohyphomycosis group are heterogeneous, defined by the presence of hyaline (non-dematiaceous) hyphae. The number of organisms implicated in hyalohyphomycosis is increasing and the most clinically important species belong to the genera Fusarium, Scedosporium, Acremonium, Scopulariopsis, Purpureocillium and Paecilomyces. Severely immunocompromised patients are particularly vulnerable to infection, and clinical manifestations range from colonization to chronic localized lesions to acute invasive and/or disseminated diseases. Diagnosis usually requires isolation and identification of the infecting pathogen. A poor prognosis is associated with fusariosis and early therapy of localized disease is important to prevent progression to a more aggressive or disseminated infection. Therapy should include voriconazole and surgical debridement where possible or posaconazole as salvage treatment. Voriconazole represents the first-line treatment of infections due to members of the genus Scedosporium. For Acremonium spp., Scopulariopsis spp., Purpureocillium spp. and Paecilomyces spp. the optimal antifungal treatment has not been established. Management usually consists of surgery and antifungal treatment, depending on the clinical presentation. © 2014 European Society of Clinical Microbiology and Infectious Diseases.","author":[{"dropping-particle":"","family":"Tortorano","given":"A. M.","non-dropping-particle":"","parse-names":false,"suffix":""},{"dropping-particle":"","family":"Richardson","given":"M.","non-dropping-particle":"","parse-names":false,"suffix":""},{"dropping-particle":"","family":"Roilides","given":"E.","non-dropping-particle":"","parse-names":false,"suffix":""},{"dropping-particle":"","family":"Diepeningen","given":"A.","non-dropping-particle":"van","parse-names":false,"suffix":""},{"dropping-particle":"","family":"Caira","given":"M.","non-dropping-particle":"","parse-names":false,"suffix":""},{"dropping-particle":"","family":"Munoz","given":"P.","non-dropping-particle":"","parse-names":false,"suffix":""},{"dropping-particle":"","family":"Johnson","given":"E.","non-dropping-particle":"","parse-names":false,"suffix":""},{"dropping-particle":"","family":"Meletiadis","given":"J.","non-dropping-particle":"","parse-names":false,"suffix":""},{"dropping-particle":"","family":"Pana","given":"Z. D.","non-dropping-particle":"","parse-names":false,"suffix":""},{"dropping-particle":"","family":"Lackner","given":"M.","non-dropping-particle":"","parse-names":false,"suffix":""},{"dropping-particle":"","family":"Verweij","given":"P.","non-dropping-particle":"","parse-names":false,"suffix":""},{"dropping-particle":"","family":"Freiberger","given":"T.","non-dropping-particle":"","parse-names":false,"suffix":""},{"dropping-particle":"","family":"Cornely","given":"O. A.","non-dropping-particle":"","parse-names":false,"suffix":""},{"dropping-particle":"","family":"Arikan-Akdagli","given":"S.","non-dropping-particle":"","parse-names":false,"suffix":""},{"dropping-particle":"","family":"Dannaoui","given":"E.","non-dropping-particle":"","parse-names":false,"suffix":""},{"dropping-particle":"","family":"Groll","given":"A. H.","non-dropping-particle":"","parse-names":false,"suffix":""},{"dropping-particle":"","family":"Lagrou","given":"K.","non-dropping-particle":"","parse-names":false,"suffix":""},{"dropping-particle":"","family":"Chakrabarti","given":"A.","non-dropping-particle":"","parse-names":false,"suffix":""},{"dropping-particle":"","family":"Lanternier","given":"F.","non-dropping-particle":"","parse-names":false,"suffix":""},{"dropping-particle":"","family":"Pagano","given":"L.","non-dropping-particle":"","parse-names":false,"suffix":""},{"dropping-particle":"","family":"Skiada","given":"A.","non-dropping-particle":"","parse-names":false,"suffix":""},{"dropping-particle":"","family":"Akova","given":"M.","non-dropping-particle":"","parse-names":false,"suffix":""},{"dropping-particle":"","family":"Arendrup","given":"M. C.","non-dropping-particle":"","parse-names":false,"suffix":""},{"dropping-particle":"","family":"Boekhout","given":"T.","non-dropping-particle":"","parse-names":false,"suffix":""},{"dropping-particle":"","family":"Chowdhary","given":"A.","non-dropping-particle":"","parse-names":false,"suffix":""},{"dropping-particle":"","family":"Cuenca-Estrella","given":"M.","non-dropping-particle":"","parse-names":false,"suffix":""},{"dropping-particle":"","family":"Guinea","given":"J.","non-dropping-particle":"","parse-names":false,"suffix":""},{"dropping-particle":"","family":"Guarro","given":"J.","non-dropping-particle":"","parse-names":false,"suffix":""},{"dropping-particle":"","family":"Hoog","given":"S.","non-dropping-particle":"de","parse-names":false,"suffix":""},{"dropping-particle":"","family":"Hope","given":"W.","non-dropping-particle":"","parse-names":false,"suffix":""},{"dropping-particle":"","family":"Kathuria","given":"S.","non-dropping-particle":"","parse-names":false,"suffix":""},{"dropping-particle":"","family":"Lortholary","given":"O.","non-dropping-particle":"","parse-names":false,"suffix":""},{"dropping-particle":"","family":"Meis","given":"J. F.","non-dropping-particle":"","parse-names":false,"suffix":""},{"dropping-particle":"","family":"Ullmann","given":"A. J.","non-dropping-particle":"","parse-names":false,"suffix":""},{"dropping-particle":"","family":"Petrikkos","given":"G.","non-dropping-particle":"","parse-names":false,"suffix":""},{"dropping-particle":"","family":"Lass-Flörl","given":"C.","non-dropping-particle":"","parse-names":false,"suffix":""}],"container-title":"Clinical Microbiology and Infection","id":"ITEM-4","issue":"S3","issued":{"date-parts":[["2014"]]},"page":"27-46","publisher":"Blackwell Publishing Ltd","title":"ESCMID and ECMM joint guidelines on diagnosis and management of hyalohyphomycosis: Fusarium spp., Scedosporium spp. and others","type":"article-journal","volume":"20"},"uris":["http://www.mendeley.com/documents/?uuid=a2a77bc6-7c62-3766-9352-c711579a66f5"]}],"mendeley":{"formattedCitation":"[158,159,165,170]","plainTextFormattedCitation":"[158,159,165,170]","previouslyFormattedCitation":"[158,159,165,170]"},"properties":{"noteIndex":0},"schema":"https://github.com/citation-style-language/schema/raw/master/csl-citation.json"}</w:instrText>
      </w:r>
      <w:r>
        <w:rPr>
          <w:b/>
        </w:rPr>
        <w:fldChar w:fldCharType="separate"/>
      </w:r>
      <w:r w:rsidRPr="00434A06">
        <w:rPr>
          <w:noProof/>
        </w:rPr>
        <w:t>[158,159,165,170]</w:t>
      </w:r>
      <w:r>
        <w:rPr>
          <w:b/>
        </w:rPr>
        <w:fldChar w:fldCharType="end"/>
      </w:r>
    </w:p>
    <w:p w14:paraId="1B9D5EC4" w14:textId="77777777" w:rsidR="00434A06" w:rsidRPr="00144984" w:rsidRDefault="00434A06" w:rsidP="00434A06">
      <w:pPr>
        <w:widowControl w:val="0"/>
        <w:autoSpaceDE w:val="0"/>
        <w:autoSpaceDN w:val="0"/>
        <w:adjustRightInd w:val="0"/>
        <w:ind w:right="50" w:firstLine="708"/>
        <w:rPr>
          <w:b/>
          <w:bCs/>
        </w:rPr>
      </w:pPr>
      <w:r>
        <w:rPr>
          <w:bCs/>
        </w:rPr>
        <w:t>У</w:t>
      </w:r>
      <w:r w:rsidRPr="00144984">
        <w:rPr>
          <w:bCs/>
        </w:rPr>
        <w:t xml:space="preserve"> </w:t>
      </w:r>
      <w:r>
        <w:rPr>
          <w:bCs/>
        </w:rPr>
        <w:t>гематологических</w:t>
      </w:r>
      <w:r w:rsidRPr="00144984">
        <w:rPr>
          <w:bCs/>
        </w:rPr>
        <w:t xml:space="preserve"> </w:t>
      </w:r>
      <w:r>
        <w:rPr>
          <w:bCs/>
        </w:rPr>
        <w:t>пациентов</w:t>
      </w:r>
      <w:r w:rsidRPr="00144984">
        <w:rPr>
          <w:bCs/>
        </w:rPr>
        <w:t xml:space="preserve"> </w:t>
      </w:r>
      <w:r>
        <w:rPr>
          <w:bCs/>
        </w:rPr>
        <w:t>ввиду</w:t>
      </w:r>
      <w:r w:rsidRPr="00144984">
        <w:rPr>
          <w:bCs/>
        </w:rPr>
        <w:t xml:space="preserve"> </w:t>
      </w:r>
      <w:r>
        <w:rPr>
          <w:bCs/>
        </w:rPr>
        <w:t>иммуносупрессии</w:t>
      </w:r>
      <w:r w:rsidRPr="00144984">
        <w:rPr>
          <w:bCs/>
        </w:rPr>
        <w:t xml:space="preserve">, </w:t>
      </w:r>
      <w:r>
        <w:rPr>
          <w:bCs/>
        </w:rPr>
        <w:t>вызванной</w:t>
      </w:r>
      <w:r w:rsidRPr="00144984">
        <w:rPr>
          <w:bCs/>
        </w:rPr>
        <w:t xml:space="preserve"> </w:t>
      </w:r>
      <w:r>
        <w:rPr>
          <w:bCs/>
        </w:rPr>
        <w:t>как</w:t>
      </w:r>
      <w:r w:rsidRPr="00144984">
        <w:rPr>
          <w:bCs/>
        </w:rPr>
        <w:t xml:space="preserve"> </w:t>
      </w:r>
      <w:r>
        <w:rPr>
          <w:bCs/>
        </w:rPr>
        <w:t>самим</w:t>
      </w:r>
      <w:r w:rsidRPr="00144984">
        <w:rPr>
          <w:bCs/>
        </w:rPr>
        <w:t xml:space="preserve"> </w:t>
      </w:r>
      <w:r>
        <w:rPr>
          <w:bCs/>
        </w:rPr>
        <w:t>заболеванием</w:t>
      </w:r>
      <w:r w:rsidRPr="00144984">
        <w:rPr>
          <w:bCs/>
        </w:rPr>
        <w:t xml:space="preserve">, </w:t>
      </w:r>
      <w:r>
        <w:rPr>
          <w:bCs/>
        </w:rPr>
        <w:t>так</w:t>
      </w:r>
      <w:r w:rsidRPr="00144984">
        <w:rPr>
          <w:bCs/>
        </w:rPr>
        <w:t xml:space="preserve"> </w:t>
      </w:r>
      <w:r>
        <w:rPr>
          <w:bCs/>
        </w:rPr>
        <w:t>и</w:t>
      </w:r>
      <w:r w:rsidRPr="00144984">
        <w:rPr>
          <w:bCs/>
        </w:rPr>
        <w:t xml:space="preserve"> </w:t>
      </w:r>
      <w:r>
        <w:rPr>
          <w:bCs/>
        </w:rPr>
        <w:t>специфической</w:t>
      </w:r>
      <w:r w:rsidRPr="00144984">
        <w:rPr>
          <w:bCs/>
        </w:rPr>
        <w:t xml:space="preserve"> </w:t>
      </w:r>
      <w:r>
        <w:rPr>
          <w:bCs/>
        </w:rPr>
        <w:t>терапией</w:t>
      </w:r>
      <w:r w:rsidRPr="00144984">
        <w:rPr>
          <w:bCs/>
        </w:rPr>
        <w:t xml:space="preserve"> </w:t>
      </w:r>
      <w:r>
        <w:rPr>
          <w:bCs/>
        </w:rPr>
        <w:t>гематологического</w:t>
      </w:r>
      <w:r w:rsidRPr="00144984">
        <w:rPr>
          <w:bCs/>
        </w:rPr>
        <w:t xml:space="preserve"> </w:t>
      </w:r>
      <w:r>
        <w:rPr>
          <w:bCs/>
        </w:rPr>
        <w:t>заболевания</w:t>
      </w:r>
      <w:r w:rsidRPr="00144984">
        <w:rPr>
          <w:bCs/>
        </w:rPr>
        <w:t xml:space="preserve">, </w:t>
      </w:r>
      <w:r>
        <w:rPr>
          <w:bCs/>
        </w:rPr>
        <w:t>могут</w:t>
      </w:r>
      <w:r w:rsidRPr="00144984">
        <w:rPr>
          <w:bCs/>
        </w:rPr>
        <w:t xml:space="preserve"> </w:t>
      </w:r>
      <w:r>
        <w:rPr>
          <w:bCs/>
        </w:rPr>
        <w:t>встречаться</w:t>
      </w:r>
      <w:r w:rsidRPr="00144984">
        <w:rPr>
          <w:bCs/>
        </w:rPr>
        <w:t xml:space="preserve"> </w:t>
      </w:r>
      <w:r w:rsidRPr="00E41F19">
        <w:rPr>
          <w:bCs/>
        </w:rPr>
        <w:t>инвазивные</w:t>
      </w:r>
      <w:r w:rsidRPr="00144984">
        <w:rPr>
          <w:bCs/>
        </w:rPr>
        <w:t xml:space="preserve"> </w:t>
      </w:r>
      <w:r w:rsidRPr="00E41F19">
        <w:rPr>
          <w:bCs/>
        </w:rPr>
        <w:t>микозы</w:t>
      </w:r>
      <w:r w:rsidRPr="00144984">
        <w:rPr>
          <w:bCs/>
        </w:rPr>
        <w:t xml:space="preserve">, </w:t>
      </w:r>
      <w:r w:rsidRPr="00E41F19">
        <w:rPr>
          <w:bCs/>
        </w:rPr>
        <w:t>вызванные</w:t>
      </w:r>
      <w:r w:rsidRPr="00144984">
        <w:rPr>
          <w:bCs/>
        </w:rPr>
        <w:t xml:space="preserve"> </w:t>
      </w:r>
      <w:r w:rsidRPr="00E41F19">
        <w:rPr>
          <w:bCs/>
        </w:rPr>
        <w:t>редкими</w:t>
      </w:r>
      <w:r w:rsidRPr="00144984">
        <w:rPr>
          <w:bCs/>
        </w:rPr>
        <w:t xml:space="preserve"> </w:t>
      </w:r>
      <w:r w:rsidRPr="00E41F19">
        <w:rPr>
          <w:bCs/>
        </w:rPr>
        <w:t>плесневыми</w:t>
      </w:r>
      <w:r w:rsidRPr="00144984">
        <w:rPr>
          <w:bCs/>
        </w:rPr>
        <w:t xml:space="preserve"> </w:t>
      </w:r>
      <w:r w:rsidRPr="00E41F19">
        <w:rPr>
          <w:bCs/>
        </w:rPr>
        <w:t>грибами</w:t>
      </w:r>
      <w:r w:rsidRPr="00144984">
        <w:rPr>
          <w:bCs/>
        </w:rPr>
        <w:t>.</w:t>
      </w:r>
    </w:p>
    <w:p w14:paraId="7F494CE8" w14:textId="77777777" w:rsidR="00434A06" w:rsidRPr="00144984" w:rsidRDefault="00434A06" w:rsidP="00434A06">
      <w:pPr>
        <w:widowControl w:val="0"/>
        <w:autoSpaceDE w:val="0"/>
        <w:autoSpaceDN w:val="0"/>
        <w:adjustRightInd w:val="0"/>
        <w:ind w:right="50" w:firstLine="709"/>
        <w:contextualSpacing/>
        <w:rPr>
          <w:i/>
          <w:iCs/>
          <w:u w:val="single"/>
        </w:rPr>
      </w:pPr>
      <w:r w:rsidRPr="00686506">
        <w:rPr>
          <w:i/>
          <w:iCs/>
          <w:u w:val="single"/>
        </w:rPr>
        <w:t>Фузариоз</w:t>
      </w:r>
      <w:r w:rsidRPr="00144984">
        <w:rPr>
          <w:i/>
          <w:iCs/>
          <w:u w:val="single"/>
        </w:rPr>
        <w:t xml:space="preserve"> </w:t>
      </w:r>
    </w:p>
    <w:p w14:paraId="3A1859F7" w14:textId="77777777" w:rsidR="00434A06" w:rsidRPr="00DA2BC8" w:rsidRDefault="00434A06" w:rsidP="00434A06">
      <w:pPr>
        <w:widowControl w:val="0"/>
        <w:autoSpaceDE w:val="0"/>
        <w:autoSpaceDN w:val="0"/>
        <w:adjustRightInd w:val="0"/>
        <w:ind w:right="50" w:firstLine="709"/>
        <w:contextualSpacing/>
      </w:pPr>
      <w:r w:rsidRPr="00DA2BC8">
        <w:t>Основными</w:t>
      </w:r>
      <w:r w:rsidRPr="00144984">
        <w:t xml:space="preserve"> </w:t>
      </w:r>
      <w:r w:rsidRPr="00DA2BC8">
        <w:t>возбудителями</w:t>
      </w:r>
      <w:r w:rsidRPr="00144984">
        <w:t xml:space="preserve"> </w:t>
      </w:r>
      <w:r w:rsidRPr="00DA2BC8">
        <w:t>являются</w:t>
      </w:r>
      <w:r w:rsidRPr="00144984">
        <w:t xml:space="preserve"> </w:t>
      </w:r>
      <w:r w:rsidRPr="00FB256D">
        <w:rPr>
          <w:i/>
          <w:iCs/>
          <w:lang w:val="en-US"/>
        </w:rPr>
        <w:t>Fusarium</w:t>
      </w:r>
      <w:r w:rsidRPr="00144984">
        <w:rPr>
          <w:i/>
          <w:iCs/>
        </w:rPr>
        <w:t xml:space="preserve"> </w:t>
      </w:r>
      <w:r w:rsidRPr="00FB256D">
        <w:rPr>
          <w:i/>
          <w:iCs/>
          <w:lang w:val="en-US"/>
        </w:rPr>
        <w:t>solani</w:t>
      </w:r>
      <w:r w:rsidRPr="00144984">
        <w:t xml:space="preserve"> </w:t>
      </w:r>
      <w:r w:rsidRPr="00DA2BC8">
        <w:t>и</w:t>
      </w:r>
      <w:r w:rsidRPr="00144984">
        <w:t xml:space="preserve"> </w:t>
      </w:r>
      <w:r w:rsidRPr="00FB256D">
        <w:rPr>
          <w:i/>
          <w:iCs/>
          <w:lang w:val="en-US"/>
        </w:rPr>
        <w:t>Fusarium</w:t>
      </w:r>
      <w:r w:rsidRPr="00144984">
        <w:rPr>
          <w:i/>
          <w:iCs/>
        </w:rPr>
        <w:t xml:space="preserve"> </w:t>
      </w:r>
      <w:r w:rsidRPr="00FB256D">
        <w:rPr>
          <w:i/>
          <w:iCs/>
          <w:lang w:val="en-US"/>
        </w:rPr>
        <w:t>oxysporum</w:t>
      </w:r>
      <w:r w:rsidRPr="00144984">
        <w:t xml:space="preserve">. </w:t>
      </w:r>
      <w:r w:rsidRPr="00DA2BC8">
        <w:t>Фузариоз</w:t>
      </w:r>
      <w:r w:rsidRPr="00144984">
        <w:t xml:space="preserve"> </w:t>
      </w:r>
      <w:r w:rsidRPr="00DA2BC8">
        <w:t>развивается</w:t>
      </w:r>
      <w:r w:rsidRPr="00144984">
        <w:t xml:space="preserve"> </w:t>
      </w:r>
      <w:r w:rsidRPr="00DA2BC8">
        <w:t>преимущественно</w:t>
      </w:r>
      <w:r w:rsidRPr="00144984">
        <w:t xml:space="preserve"> </w:t>
      </w:r>
      <w:r w:rsidRPr="00DA2BC8">
        <w:t>у</w:t>
      </w:r>
      <w:r w:rsidRPr="00144984">
        <w:t xml:space="preserve"> </w:t>
      </w:r>
      <w:r>
        <w:t>онкогематологических</w:t>
      </w:r>
      <w:r w:rsidRPr="00144984">
        <w:t xml:space="preserve"> </w:t>
      </w:r>
      <w:r>
        <w:t>пациентов</w:t>
      </w:r>
      <w:r w:rsidRPr="00DA2BC8">
        <w:t xml:space="preserve">, в основном у </w:t>
      </w:r>
      <w:r>
        <w:t>пациентов с острыми миелоидными лейкозами</w:t>
      </w:r>
      <w:r w:rsidRPr="00DA2BC8">
        <w:t xml:space="preserve"> и у реципиентов аллогенных СГК. Ведущим фактором риска возникновения фузариоза является наличие гранулоцитопении. В отличие от других видов мицелиальных грибов, основным проявлением инфекции, вызванной </w:t>
      </w:r>
      <w:r w:rsidRPr="00DA2BC8">
        <w:rPr>
          <w:i/>
          <w:iCs/>
        </w:rPr>
        <w:t xml:space="preserve">Fusarium </w:t>
      </w:r>
      <w:r w:rsidRPr="00DA2BC8">
        <w:t xml:space="preserve">spp., является фунгемия (40-60%) с образованием септико-пиемических очагов на коже (60-80%), а также вовлечение в инфекционный процесс легких и придаточных пазух носа. Для фузариоза характерно наличие на коже множества септико-пиемических очагов в виде уплотненных эритематозных макул или папул, болезненных, с некрозом в центре. Летальность при фузариозе высокая и достигает 50-70% у иммунокомпрометированных больных. </w:t>
      </w:r>
      <w:r w:rsidRPr="00DA2BC8">
        <w:rPr>
          <w:bCs/>
        </w:rPr>
        <w:t xml:space="preserve">Для диагностики фузариоза должна быть получена культура </w:t>
      </w:r>
      <w:r w:rsidRPr="00DA2BC8">
        <w:rPr>
          <w:i/>
          <w:iCs/>
        </w:rPr>
        <w:t>Fusarium</w:t>
      </w:r>
      <w:r w:rsidRPr="00DA2BC8">
        <w:t xml:space="preserve"> spp. из крови или других стерильных образцов (биоптаты кожи и органов, аспират придаточных пазух носа), жидкости БАЛ или мокроты. При фузариозе может быть определен ложно-положительный антиген </w:t>
      </w:r>
      <w:r w:rsidRPr="00DA2BC8">
        <w:rPr>
          <w:i/>
          <w:iCs/>
        </w:rPr>
        <w:t>Aspergillus</w:t>
      </w:r>
      <w:r w:rsidRPr="00DA2BC8">
        <w:t xml:space="preserve"> (галактоманнан). Радиологические изменения в легких и придаточных пазухах носа при фузариозе неспецифичны и схожи с инвазивным аспергиллезом. </w:t>
      </w:r>
      <w:r w:rsidRPr="00DA2BC8">
        <w:rPr>
          <w:iCs/>
        </w:rPr>
        <w:t>Грибы</w:t>
      </w:r>
      <w:r w:rsidRPr="00DA2BC8">
        <w:rPr>
          <w:i/>
          <w:iCs/>
        </w:rPr>
        <w:t xml:space="preserve"> Fusaruim </w:t>
      </w:r>
      <w:r w:rsidRPr="00DA2BC8">
        <w:t xml:space="preserve">spp. характеризуются низкими параметрами чувствительности и могут быть устойчивыми ко всем препаратам из группы азолов. </w:t>
      </w:r>
    </w:p>
    <w:p w14:paraId="534031F8" w14:textId="77777777" w:rsidR="00434A06" w:rsidRPr="00DA2BC8" w:rsidRDefault="00434A06" w:rsidP="00434A06">
      <w:pPr>
        <w:widowControl w:val="0"/>
        <w:autoSpaceDE w:val="0"/>
        <w:autoSpaceDN w:val="0"/>
        <w:adjustRightInd w:val="0"/>
        <w:ind w:right="50" w:firstLine="709"/>
        <w:contextualSpacing/>
        <w:rPr>
          <w:b/>
          <w:bCs/>
        </w:rPr>
      </w:pPr>
      <w:r w:rsidRPr="00DA2BC8">
        <w:rPr>
          <w:bCs/>
        </w:rPr>
        <w:t xml:space="preserve">Препаратом выбора для лечения является </w:t>
      </w:r>
      <w:r w:rsidRPr="00DA2BC8">
        <w:t xml:space="preserve">вориконазол (в 1-й день по 6 мг/кг внутривенно 2 раза в сутки, затем по 4 мг/кг внутривенно 2 раза в сутки, с переходом на пероральную форму по 200 мг 2 раза в сутки, прием натощак или через 1 час после еды), </w:t>
      </w:r>
      <w:r w:rsidRPr="00DA2BC8">
        <w:rPr>
          <w:bCs/>
        </w:rPr>
        <w:t xml:space="preserve">альтернативные препараты - </w:t>
      </w:r>
      <w:r w:rsidRPr="00DA2BC8">
        <w:t>липосомальный амфотерицин В (5 мг/кг)</w:t>
      </w:r>
      <w:r w:rsidRPr="00DA2BC8">
        <w:rPr>
          <w:bCs/>
        </w:rPr>
        <w:t>, л</w:t>
      </w:r>
      <w:r w:rsidRPr="00DA2BC8">
        <w:t>ипидный комплекс амфотерицина В (5 мг/кг), позаконазол (суспензия, по 400 мг 2 раза в сутки, после еды).</w:t>
      </w:r>
      <w:r w:rsidRPr="00DA2BC8">
        <w:rPr>
          <w:bCs/>
        </w:rPr>
        <w:t xml:space="preserve"> </w:t>
      </w:r>
      <w:r w:rsidRPr="00DA2BC8">
        <w:t xml:space="preserve">Не показано сочетание противогрибковых препаратов в качестве стартовой терапии. Не назначают эхинокандин ввиду природной устойчивости. </w:t>
      </w:r>
    </w:p>
    <w:p w14:paraId="60C9DDBE" w14:textId="77777777" w:rsidR="00434A06" w:rsidRPr="00686506" w:rsidRDefault="00434A06" w:rsidP="00434A06">
      <w:pPr>
        <w:widowControl w:val="0"/>
        <w:autoSpaceDE w:val="0"/>
        <w:autoSpaceDN w:val="0"/>
        <w:adjustRightInd w:val="0"/>
        <w:ind w:right="51" w:firstLine="709"/>
        <w:contextualSpacing/>
        <w:rPr>
          <w:i/>
          <w:iCs/>
          <w:u w:val="single"/>
        </w:rPr>
      </w:pPr>
      <w:r w:rsidRPr="00686506">
        <w:rPr>
          <w:i/>
          <w:iCs/>
          <w:u w:val="single"/>
        </w:rPr>
        <w:t xml:space="preserve">Сцедоспориоз </w:t>
      </w:r>
    </w:p>
    <w:p w14:paraId="3B4CBC62" w14:textId="77777777" w:rsidR="00434A06" w:rsidRPr="00DA2BC8" w:rsidRDefault="00434A06" w:rsidP="00434A06">
      <w:pPr>
        <w:widowControl w:val="0"/>
        <w:autoSpaceDE w:val="0"/>
        <w:autoSpaceDN w:val="0"/>
        <w:adjustRightInd w:val="0"/>
        <w:ind w:right="51" w:firstLine="709"/>
        <w:contextualSpacing/>
      </w:pPr>
      <w:r w:rsidRPr="00DA2BC8">
        <w:t xml:space="preserve">Основными возбудителя сцедоспориоза являются </w:t>
      </w:r>
      <w:r w:rsidRPr="00DA2BC8">
        <w:rPr>
          <w:i/>
          <w:iCs/>
        </w:rPr>
        <w:t>Scedosporium apiospermium</w:t>
      </w:r>
      <w:r w:rsidRPr="00DA2BC8">
        <w:t xml:space="preserve"> и </w:t>
      </w:r>
      <w:r w:rsidRPr="00DA2BC8">
        <w:rPr>
          <w:i/>
          <w:iCs/>
        </w:rPr>
        <w:lastRenderedPageBreak/>
        <w:t>Scedosporium prolificans</w:t>
      </w:r>
      <w:r w:rsidRPr="00DA2BC8">
        <w:t xml:space="preserve">. У иммунокомпрометированных больных преобладает диссеминированная форма инфекции с преимущественным поражением кожи, придаточных пазух носа, легких и центральной нервной системы. При сцедоспориозе головного мозга, в отличие от инвазивного аспергиллеза, может не быть изменений в легких или придаточных пазухах носа. </w:t>
      </w:r>
      <w:r w:rsidRPr="00DA2BC8">
        <w:rPr>
          <w:i/>
          <w:iCs/>
        </w:rPr>
        <w:t>S. prolificans</w:t>
      </w:r>
      <w:r w:rsidRPr="00DA2BC8">
        <w:t xml:space="preserve">, как и </w:t>
      </w:r>
      <w:r w:rsidRPr="00DA2BC8">
        <w:rPr>
          <w:i/>
          <w:iCs/>
        </w:rPr>
        <w:t>Fusarium</w:t>
      </w:r>
      <w:r w:rsidRPr="00DA2BC8">
        <w:t xml:space="preserve"> spp., с высокой частотой (&gt;50%) выделяют из гемокультуры. Для инфекций, вызванных </w:t>
      </w:r>
      <w:r w:rsidRPr="00DA2BC8">
        <w:rPr>
          <w:i/>
          <w:iCs/>
        </w:rPr>
        <w:t>S. prolificans</w:t>
      </w:r>
      <w:r w:rsidRPr="00DA2BC8">
        <w:t xml:space="preserve">, характерна очень высокая летальность (до 95%) среди больных опухолями системы крови ввиду наличия устойчивости этого микроорганизма ко многим противогрибковым препаратам, а в ряде случаев ко всем антимикотикам. </w:t>
      </w:r>
      <w:r w:rsidRPr="00DA2BC8">
        <w:rPr>
          <w:bCs/>
        </w:rPr>
        <w:t xml:space="preserve">Критерии диагностики сцедоспориоза включают </w:t>
      </w:r>
      <w:r w:rsidRPr="00DA2BC8">
        <w:t xml:space="preserve">выделение </w:t>
      </w:r>
      <w:r w:rsidRPr="00DA2BC8">
        <w:rPr>
          <w:i/>
          <w:iCs/>
        </w:rPr>
        <w:t xml:space="preserve">Scedosporium </w:t>
      </w:r>
      <w:r w:rsidRPr="00DA2BC8">
        <w:t xml:space="preserve">spp. из гемокультуры или других стерильных образцов (аспират из придаточных пазух носа, биоптаты тканей и органов), жидкости БАЛ, мокроты. </w:t>
      </w:r>
      <w:r w:rsidRPr="00DA2BC8">
        <w:rPr>
          <w:bCs/>
        </w:rPr>
        <w:t>Препарат выбора –</w:t>
      </w:r>
      <w:r w:rsidRPr="00DA2BC8">
        <w:t xml:space="preserve"> вориконазол (дозирование как при аспергиллезе), </w:t>
      </w:r>
      <w:r w:rsidRPr="00DA2BC8">
        <w:rPr>
          <w:bCs/>
        </w:rPr>
        <w:t>альтернативные - л</w:t>
      </w:r>
      <w:r w:rsidRPr="00DA2BC8">
        <w:t>ипосомальный или липидный комплекс амфотерцина В (5 мг/кг) или позаконазол (по 400 мг х 2 раза в сутки). Возможно применение сочетания антимикотиков.</w:t>
      </w:r>
    </w:p>
    <w:p w14:paraId="09E3C6D5" w14:textId="77777777" w:rsidR="00434A06" w:rsidRPr="00686506" w:rsidRDefault="00434A06" w:rsidP="00434A06">
      <w:pPr>
        <w:widowControl w:val="0"/>
        <w:autoSpaceDE w:val="0"/>
        <w:autoSpaceDN w:val="0"/>
        <w:adjustRightInd w:val="0"/>
        <w:ind w:right="51" w:firstLine="709"/>
        <w:contextualSpacing/>
        <w:rPr>
          <w:i/>
          <w:iCs/>
          <w:u w:val="single"/>
        </w:rPr>
      </w:pPr>
      <w:r w:rsidRPr="00686506">
        <w:rPr>
          <w:i/>
          <w:iCs/>
          <w:u w:val="single"/>
        </w:rPr>
        <w:t>Инфекции, вызванные Acremonium spp.</w:t>
      </w:r>
    </w:p>
    <w:p w14:paraId="024F9AF2" w14:textId="77777777" w:rsidR="00434A06" w:rsidRPr="00DA2BC8" w:rsidRDefault="00434A06" w:rsidP="00434A06">
      <w:pPr>
        <w:widowControl w:val="0"/>
        <w:autoSpaceDE w:val="0"/>
        <w:autoSpaceDN w:val="0"/>
        <w:adjustRightInd w:val="0"/>
        <w:ind w:right="51" w:firstLine="709"/>
        <w:contextualSpacing/>
      </w:pPr>
      <w:r>
        <w:t>Эти г</w:t>
      </w:r>
      <w:r w:rsidRPr="00DA2BC8">
        <w:t xml:space="preserve">рибы широко распространены в окружающей среде. Описаны случаи перитонита, инфицирования диализной фистулы, остеомиелита, менингита после спинномозговой анестезии, эндокардита после операции на клапанах, пневмонии, вызванные </w:t>
      </w:r>
      <w:r w:rsidRPr="00DA2BC8">
        <w:rPr>
          <w:i/>
          <w:iCs/>
        </w:rPr>
        <w:t xml:space="preserve">Acremonium </w:t>
      </w:r>
      <w:r w:rsidRPr="00DA2BC8">
        <w:t xml:space="preserve">spp., инфекции кровотока. Диагностика инфекций, вызванных </w:t>
      </w:r>
      <w:r w:rsidRPr="00DA2BC8">
        <w:rPr>
          <w:i/>
          <w:iCs/>
        </w:rPr>
        <w:t>Acremonium</w:t>
      </w:r>
      <w:r w:rsidRPr="00DA2BC8">
        <w:t xml:space="preserve"> spp</w:t>
      </w:r>
      <w:r>
        <w:t>. включает выделение культуры этих</w:t>
      </w:r>
      <w:r w:rsidRPr="00DA2BC8">
        <w:t xml:space="preserve"> грибов из локуса поражения</w:t>
      </w:r>
      <w:r>
        <w:t>, выявленного при соответствующей инструментальной диагностике (УЗИ, ЭхоКГ, КТ/СКТ, МРТ пораженных областей) и манипуляциях – люмбальная пункция, плевральная пункция, пункция брюшной полости, пункция/биопсия очага поражения</w:t>
      </w:r>
      <w:r w:rsidRPr="00DA2BC8">
        <w:t>. Лечение проводится вориконазолом или амфотерицином В или позаконазолом (стандартные дозы).</w:t>
      </w:r>
    </w:p>
    <w:p w14:paraId="42F7E6EB" w14:textId="77777777" w:rsidR="00434A06" w:rsidRDefault="00434A06" w:rsidP="00434A06">
      <w:pPr>
        <w:widowControl w:val="0"/>
        <w:autoSpaceDE w:val="0"/>
        <w:autoSpaceDN w:val="0"/>
        <w:adjustRightInd w:val="0"/>
        <w:ind w:right="50"/>
        <w:contextualSpacing/>
        <w:rPr>
          <w:b/>
          <w:bCs/>
        </w:rPr>
      </w:pPr>
    </w:p>
    <w:p w14:paraId="3B629745" w14:textId="3C628B31" w:rsidR="00434A06" w:rsidRPr="00084B8B" w:rsidRDefault="00434A06" w:rsidP="00434A06">
      <w:pPr>
        <w:widowControl w:val="0"/>
        <w:autoSpaceDE w:val="0"/>
        <w:autoSpaceDN w:val="0"/>
        <w:adjustRightInd w:val="0"/>
        <w:ind w:right="50"/>
        <w:contextualSpacing/>
        <w:rPr>
          <w:b/>
        </w:rPr>
      </w:pPr>
      <w:r w:rsidRPr="00686506">
        <w:rPr>
          <w:bCs/>
          <w:u w:val="single"/>
        </w:rPr>
        <w:t>Диагностика и лечение пневмоцистной пневмонии</w:t>
      </w:r>
      <w:r w:rsidRPr="00084B8B">
        <w:rPr>
          <w:bCs/>
          <w:u w:val="single"/>
        </w:rPr>
        <w:t xml:space="preserve"> </w:t>
      </w:r>
      <w:r>
        <w:rPr>
          <w:b/>
        </w:rPr>
        <w:fldChar w:fldCharType="begin" w:fldLock="1"/>
      </w:r>
      <w:r w:rsidR="00EC13BC">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infections","type":"article-journal","volume":"20"},"uris":["http://www.mendeley.com/documents/?uuid=5a6b3e24-e337-3cd9-bb20-08cd60455554"]},{"id":"ITEM-4","itemData":{"DOI":"10.1093/jac/dkw158","ISSN":"14602091","PMID":"27550993","abstract":"The initiation of systemic antimicrobial treatment of Pneumocystis jirovecii pneumonia (PCP) is triggered by clinical signs and symptoms, typical radiological and occasionally laboratory findings in patients at risk of this infection. Diagnostic proof by bronchoalveolar lavage should not delay the start of treatment. Most patients with haematological malignancies present with a severe PCP; therefore, antimicrobial therapy should be started intravenously. High-dose trimethoprim/sulfamethoxazole is the treatment of choice. In patients with documented intolerance to this regimen, the preferred alternative is the combination of primaquine plus clindamycin. Treatment success should be first evaluated after 1 week, and in case of clinical non-response, pulmonary CT scan and bronchoalveolar lavage should be repeated to look for secondary or co-infections. Treatment duration typically is 3 weeks and secondary anti-PCP prophylaxis is indicated in all patients thereafter. In patients with critical respiratory failure, non-invasive ventilation is not significantly superior to intubation and mechanical ventilation. The administration of glucocorticoids must be decided on a case-by-case basis.","author":[{"dropping-particle":"","family":"Maschmeyer","given":"Georg","non-dropping-particle":"","parse-names":false,"suffix":""},{"dropping-particle":"","family":"Helweg-Larsen","given":"Jannik","non-dropping-particle":"","parse-names":false,"suffix":""},{"dropping-particle":"","family":"Pagano","given":"Livio","non-dropping-particle":"","parse-names":false,"suffix":""},{"dropping-particle":"","family":"Robin","given":"Christine","non-dropping-particle":"","parse-names":false,"suffix":""},{"dropping-particle":"","family":"Cordonnier","given":"Catherine","non-dropping-particle":"","parse-names":false,"suffix":""},{"dropping-particle":"","family":"Schellongowski","given":"Peter","non-dropping-particle":"","parse-names":false,"suffix":""}],"container-title":"The Journal of antimicrobial chemotherapy","id":"ITEM-4","issue":"9","issued":{"date-parts":[["2016","9","1"]]},"page":"2405-2413","publisher":"J Antimicrob Chemother","title":"ECIL guidelines for treatment of Pneumocystis jirovecii pneumonia in non-HIV-infected haematology patients","type":"article-journal","volume":"71"},"uris":["http://www.mendeley.com/documents/?uuid=2f829fda-f017-3f84-8bbc-ec72967bb7a9"]}],"mendeley":{"formattedCitation":"[158,159,165,171]","plainTextFormattedCitation":"[158,159,165,171]","previouslyFormattedCitation":"[158,159,165,171]"},"properties":{"noteIndex":0},"schema":"https://github.com/citation-style-language/schema/raw/master/csl-citation.json"}</w:instrText>
      </w:r>
      <w:r>
        <w:rPr>
          <w:b/>
        </w:rPr>
        <w:fldChar w:fldCharType="separate"/>
      </w:r>
      <w:r w:rsidRPr="00434A06">
        <w:rPr>
          <w:noProof/>
        </w:rPr>
        <w:t>[158,159,165,171]</w:t>
      </w:r>
      <w:r>
        <w:rPr>
          <w:b/>
        </w:rPr>
        <w:fldChar w:fldCharType="end"/>
      </w:r>
    </w:p>
    <w:p w14:paraId="50521100" w14:textId="77777777" w:rsidR="00434A06" w:rsidRPr="00DA2BC8" w:rsidRDefault="00434A06" w:rsidP="00434A06">
      <w:pPr>
        <w:widowControl w:val="0"/>
        <w:autoSpaceDE w:val="0"/>
        <w:autoSpaceDN w:val="0"/>
        <w:adjustRightInd w:val="0"/>
        <w:ind w:right="50" w:firstLine="709"/>
        <w:contextualSpacing/>
      </w:pPr>
      <w:r w:rsidRPr="00DA2BC8">
        <w:t>До</w:t>
      </w:r>
      <w:r w:rsidRPr="00FB256D">
        <w:t xml:space="preserve"> </w:t>
      </w:r>
      <w:r w:rsidRPr="00DA2BC8">
        <w:t>недавнего</w:t>
      </w:r>
      <w:r w:rsidRPr="00FB256D">
        <w:t xml:space="preserve"> </w:t>
      </w:r>
      <w:r w:rsidRPr="00DA2BC8">
        <w:t>времени</w:t>
      </w:r>
      <w:r w:rsidRPr="00FB256D">
        <w:t xml:space="preserve"> </w:t>
      </w:r>
      <w:r w:rsidRPr="00DA2BC8">
        <w:t>большинство</w:t>
      </w:r>
      <w:r w:rsidRPr="00FB256D">
        <w:t xml:space="preserve"> </w:t>
      </w:r>
      <w:r w:rsidRPr="00DA2BC8">
        <w:t>специалистов</w:t>
      </w:r>
      <w:r w:rsidRPr="00FB256D">
        <w:t xml:space="preserve"> </w:t>
      </w:r>
      <w:r w:rsidRPr="00DA2BC8">
        <w:t>относили</w:t>
      </w:r>
      <w:r w:rsidRPr="00FB256D">
        <w:t xml:space="preserve"> </w:t>
      </w:r>
      <w:r w:rsidRPr="00FB256D">
        <w:rPr>
          <w:i/>
          <w:iCs/>
          <w:lang w:val="en-US"/>
        </w:rPr>
        <w:t>Pneumocystis</w:t>
      </w:r>
      <w:r w:rsidRPr="00FB256D">
        <w:rPr>
          <w:i/>
          <w:iCs/>
        </w:rPr>
        <w:t xml:space="preserve"> </w:t>
      </w:r>
      <w:r w:rsidRPr="00FB256D">
        <w:rPr>
          <w:i/>
          <w:iCs/>
          <w:lang w:val="en-US"/>
        </w:rPr>
        <w:t>jirovecii</w:t>
      </w:r>
      <w:r w:rsidRPr="00FB256D">
        <w:t xml:space="preserve"> (</w:t>
      </w:r>
      <w:r w:rsidRPr="00DA2BC8">
        <w:t>ранее</w:t>
      </w:r>
      <w:r w:rsidRPr="00FB256D">
        <w:t xml:space="preserve"> </w:t>
      </w:r>
      <w:r w:rsidRPr="00FB256D">
        <w:rPr>
          <w:i/>
          <w:iCs/>
          <w:lang w:val="en-US"/>
        </w:rPr>
        <w:t>Pneumocystis</w:t>
      </w:r>
      <w:r w:rsidRPr="00FB256D">
        <w:rPr>
          <w:i/>
          <w:iCs/>
        </w:rPr>
        <w:t xml:space="preserve"> </w:t>
      </w:r>
      <w:r w:rsidRPr="00FB256D">
        <w:rPr>
          <w:i/>
          <w:iCs/>
          <w:lang w:val="en-US"/>
        </w:rPr>
        <w:t>carinii</w:t>
      </w:r>
      <w:r w:rsidRPr="00FB256D">
        <w:t xml:space="preserve">) </w:t>
      </w:r>
      <w:r w:rsidRPr="00DA2BC8">
        <w:t>к</w:t>
      </w:r>
      <w:r w:rsidRPr="00FB256D">
        <w:t xml:space="preserve"> </w:t>
      </w:r>
      <w:r w:rsidRPr="00DA2BC8">
        <w:t>простейшим</w:t>
      </w:r>
      <w:r w:rsidRPr="00FB256D">
        <w:t xml:space="preserve">. </w:t>
      </w:r>
      <w:r w:rsidRPr="00DA2BC8">
        <w:t xml:space="preserve">Это подтверждалось эффективным лечением пневмоцистной инфекции препаратами с антипротозойной активностью и безуспешной терапией противогрибковыми препаратами, а также отсутствием некоторых веществ в клеточной стенке пневмоцист, характерных для грибов, например, эргостерола. В настоящее время </w:t>
      </w:r>
      <w:r w:rsidRPr="00DA2BC8">
        <w:rPr>
          <w:i/>
          <w:iCs/>
        </w:rPr>
        <w:t>P. jirovecii</w:t>
      </w:r>
      <w:r w:rsidRPr="00DA2BC8">
        <w:t xml:space="preserve"> отнесены к дрожжеподобным грибам, сходным с патогенами растений, на основании идентичности строения ряда клеточных структур, гомологичности ферментных систем, фрагментов рибонуклеиновых кислот (16S pРНК, 5S pРНК).</w:t>
      </w:r>
    </w:p>
    <w:p w14:paraId="77630C28" w14:textId="77777777" w:rsidR="00434A06" w:rsidRPr="00DA2BC8" w:rsidRDefault="00434A06" w:rsidP="00434A06">
      <w:pPr>
        <w:widowControl w:val="0"/>
        <w:autoSpaceDE w:val="0"/>
        <w:autoSpaceDN w:val="0"/>
        <w:adjustRightInd w:val="0"/>
        <w:ind w:right="50" w:firstLine="709"/>
        <w:contextualSpacing/>
      </w:pPr>
      <w:r w:rsidRPr="00DA2BC8">
        <w:lastRenderedPageBreak/>
        <w:t xml:space="preserve">В общей популяции передача возбудителя происходит при непосредственном контакте с носителем </w:t>
      </w:r>
      <w:r w:rsidRPr="00DA2BC8">
        <w:rPr>
          <w:i/>
          <w:iCs/>
        </w:rPr>
        <w:t>P. jirovecii</w:t>
      </w:r>
      <w:r w:rsidRPr="00DA2BC8">
        <w:t xml:space="preserve">. У иммунокомпрометированных </w:t>
      </w:r>
      <w:r>
        <w:t>пациентов</w:t>
      </w:r>
      <w:r w:rsidRPr="00DA2BC8">
        <w:t xml:space="preserve"> </w:t>
      </w:r>
      <w:r w:rsidRPr="00DA2BC8">
        <w:rPr>
          <w:i/>
          <w:iCs/>
        </w:rPr>
        <w:t>P. jirovecii</w:t>
      </w:r>
      <w:r w:rsidRPr="00DA2BC8">
        <w:t xml:space="preserve"> вызывают тяжелую пневмонию, в большинстве случаев сопровождающейся острой дыхательной недостаточностью. Пневмоцистная пневмония возникает, прежде всего, у реципиентов аллогенных СГК, </w:t>
      </w:r>
      <w:r>
        <w:t xml:space="preserve">пациентов с </w:t>
      </w:r>
      <w:r w:rsidRPr="00DA2BC8">
        <w:t>острыми лимфобластными лейкозами</w:t>
      </w:r>
      <w:r>
        <w:t xml:space="preserve">, </w:t>
      </w:r>
      <w:r w:rsidRPr="00DA2BC8">
        <w:t xml:space="preserve">лимфопролиферативными заболеваниями, включая </w:t>
      </w:r>
      <w:r>
        <w:t>пациентов</w:t>
      </w:r>
      <w:r w:rsidRPr="00DA2BC8">
        <w:t xml:space="preserve"> хроническим лимфолейкозом, лимфомами, множественной миеломой. Сопутствующие заболевания, такие как хроническая обструктивная болезнь легких и бронхиальная астма также ассоциированы с развитием этой инфекции. Активная профилактика пневмоцистных пневмоний привели к существенному снижению частоты подобных осложнений. Развитие пневмоцистной пневмонии на фоне профилактического приема ко-тримоксазола бывает обусловлено чаще всего нарушениями в режиме приема препарата, а не резистентнотсью. Летальность от пневмоцистной пневмонии у </w:t>
      </w:r>
      <w:r>
        <w:t>гематологических пациентов</w:t>
      </w:r>
      <w:r w:rsidRPr="00DA2BC8">
        <w:t xml:space="preserve"> может достигать 30-50%, особенно у реципиентов аллогенных СГК. </w:t>
      </w:r>
    </w:p>
    <w:p w14:paraId="2DD64E99" w14:textId="77777777" w:rsidR="00434A06" w:rsidRPr="00686506" w:rsidRDefault="00434A06" w:rsidP="00434A06">
      <w:pPr>
        <w:widowControl w:val="0"/>
        <w:autoSpaceDE w:val="0"/>
        <w:autoSpaceDN w:val="0"/>
        <w:adjustRightInd w:val="0"/>
        <w:ind w:right="50" w:firstLine="709"/>
        <w:contextualSpacing/>
        <w:rPr>
          <w:i/>
          <w:iCs/>
        </w:rPr>
      </w:pPr>
      <w:r w:rsidRPr="00686506">
        <w:rPr>
          <w:i/>
          <w:iCs/>
          <w:u w:val="single"/>
        </w:rPr>
        <w:t>Факторы риска</w:t>
      </w:r>
    </w:p>
    <w:p w14:paraId="119204FF" w14:textId="77777777" w:rsidR="00434A06" w:rsidRPr="00DA2BC8" w:rsidRDefault="00434A06" w:rsidP="00434A06">
      <w:pPr>
        <w:widowControl w:val="0"/>
        <w:autoSpaceDE w:val="0"/>
        <w:autoSpaceDN w:val="0"/>
        <w:adjustRightInd w:val="0"/>
        <w:ind w:right="50" w:firstLine="709"/>
        <w:contextualSpacing/>
      </w:pPr>
      <w:r w:rsidRPr="00DA2BC8">
        <w:t xml:space="preserve">Пневмоцистная пневмония возникает прежде всего у </w:t>
      </w:r>
      <w:r>
        <w:t>пациентов</w:t>
      </w:r>
      <w:r w:rsidRPr="00DA2BC8">
        <w:t xml:space="preserve"> с дефицитом Т-клеточного звена иммунитета, лимфоцитопенией, низким уровнем CD4+ клеток. Основной предрасполагающий фактор в развитии пневмоцистной пневмонии – это прием глюкокортикоидов. К другим факторам относят использование цитостатических препаратов (флюдарабин</w:t>
      </w:r>
      <w:r>
        <w:t>а, винкристина, циклофосфамида</w:t>
      </w:r>
      <w:r w:rsidRPr="00DA2BC8">
        <w:t xml:space="preserve">), моноклональных антител (ритуксимаба, </w:t>
      </w:r>
      <w:r>
        <w:t>обину</w:t>
      </w:r>
      <w:r w:rsidRPr="00DA2BC8">
        <w:t xml:space="preserve">тузумаба), трансплантация СГК, РТПХ. </w:t>
      </w:r>
    </w:p>
    <w:p w14:paraId="29D67411" w14:textId="77777777" w:rsidR="00434A06" w:rsidRPr="00686506" w:rsidRDefault="00434A06" w:rsidP="00434A06">
      <w:pPr>
        <w:widowControl w:val="0"/>
        <w:autoSpaceDE w:val="0"/>
        <w:autoSpaceDN w:val="0"/>
        <w:adjustRightInd w:val="0"/>
        <w:ind w:right="50" w:firstLine="709"/>
        <w:contextualSpacing/>
        <w:rPr>
          <w:i/>
          <w:iCs/>
          <w:u w:val="single"/>
        </w:rPr>
      </w:pPr>
      <w:r w:rsidRPr="00686506">
        <w:rPr>
          <w:i/>
          <w:iCs/>
          <w:u w:val="single"/>
        </w:rPr>
        <w:t>Симптомы</w:t>
      </w:r>
    </w:p>
    <w:p w14:paraId="232F8A51" w14:textId="77777777" w:rsidR="00434A06" w:rsidRPr="00DA2BC8" w:rsidRDefault="00434A06" w:rsidP="00434A06">
      <w:pPr>
        <w:widowControl w:val="0"/>
        <w:autoSpaceDE w:val="0"/>
        <w:autoSpaceDN w:val="0"/>
        <w:adjustRightInd w:val="0"/>
        <w:ind w:right="50" w:firstLine="709"/>
        <w:contextualSpacing/>
      </w:pPr>
      <w:r w:rsidRPr="00DA2BC8">
        <w:t xml:space="preserve">Начальные признаки инфекции включают лихорадку (90%), сухой кашель, одышку, затем быстро возникает острая дыхательная недостаточность. У части </w:t>
      </w:r>
      <w:r>
        <w:t>пациентов</w:t>
      </w:r>
      <w:r w:rsidRPr="00DA2BC8">
        <w:t xml:space="preserve">, получающих кортикостероиды, клиническая картина может быть стертой и ухудшение происходит только после снижения дозы или отмены этих препаратов. При осмотре </w:t>
      </w:r>
      <w:r>
        <w:t>пациента</w:t>
      </w:r>
      <w:r w:rsidRPr="00DA2BC8">
        <w:t xml:space="preserve"> с пневмоцистной пневмонией выявляется, прежде всего, несоответствие между физикальными данными и тяжестью </w:t>
      </w:r>
      <w:r>
        <w:t>состояния</w:t>
      </w:r>
      <w:r w:rsidRPr="00DA2BC8">
        <w:t xml:space="preserve">, когда крайне скудная аускультативная симптоматика сочетается с выраженной дыхательной недостаточностью (одышка, артериальная гипоксемия, респираторный алкалоз). </w:t>
      </w:r>
    </w:p>
    <w:p w14:paraId="71DA0C9B" w14:textId="77777777" w:rsidR="00434A06" w:rsidRPr="00DA2BC8" w:rsidRDefault="00434A06" w:rsidP="00434A06">
      <w:pPr>
        <w:widowControl w:val="0"/>
        <w:autoSpaceDE w:val="0"/>
        <w:autoSpaceDN w:val="0"/>
        <w:adjustRightInd w:val="0"/>
        <w:ind w:right="50" w:firstLine="709"/>
        <w:contextualSpacing/>
      </w:pPr>
      <w:r w:rsidRPr="00DA2BC8">
        <w:rPr>
          <w:bCs/>
        </w:rPr>
        <w:t>Диагностика включает о</w:t>
      </w:r>
      <w:r w:rsidRPr="00DA2BC8">
        <w:t xml:space="preserve">бнаружение цист, трофозоидов при флуоресцентной микроскопии (метод непрямой иммунофлюоресценции) или ДНК </w:t>
      </w:r>
      <w:r w:rsidRPr="00DA2BC8">
        <w:rPr>
          <w:i/>
          <w:iCs/>
        </w:rPr>
        <w:t>P. jirovecii</w:t>
      </w:r>
      <w:r w:rsidRPr="00DA2BC8">
        <w:t xml:space="preserve"> методом ПЦР в образцах жидкости БАЛ.</w:t>
      </w:r>
      <w:r w:rsidRPr="00DA2BC8">
        <w:rPr>
          <w:bCs/>
        </w:rPr>
        <w:t xml:space="preserve"> </w:t>
      </w:r>
      <w:r w:rsidRPr="00DA2BC8">
        <w:t xml:space="preserve">Образцы индуцированной мокроты или смывыв со слизистой оболочки бронхов и верхних дыхательных путей не используют для диагностики пневмоцистной инфекции у </w:t>
      </w:r>
      <w:r>
        <w:t>гематологических пациентов</w:t>
      </w:r>
      <w:r w:rsidRPr="00DA2BC8">
        <w:t xml:space="preserve"> ввиду их низкой </w:t>
      </w:r>
      <w:r w:rsidRPr="00DA2BC8">
        <w:lastRenderedPageBreak/>
        <w:t xml:space="preserve">чувствительности. </w:t>
      </w:r>
    </w:p>
    <w:p w14:paraId="55228593" w14:textId="77777777" w:rsidR="00434A06" w:rsidRPr="00DA2BC8" w:rsidRDefault="00434A06" w:rsidP="00434A06">
      <w:pPr>
        <w:widowControl w:val="0"/>
        <w:autoSpaceDE w:val="0"/>
        <w:autoSpaceDN w:val="0"/>
        <w:adjustRightInd w:val="0"/>
        <w:ind w:right="50" w:firstLine="709"/>
        <w:contextualSpacing/>
      </w:pPr>
      <w:r w:rsidRPr="00DA2BC8">
        <w:t xml:space="preserve">Неоднократное обнаружение ДНК пневмоцист при повторных исследованиях жидкости БАЛ не является критерием неэффективного лечения при наличии положительной клинической динамики. </w:t>
      </w:r>
      <w:r w:rsidRPr="00DA2BC8">
        <w:rPr>
          <w:i/>
          <w:iCs/>
        </w:rPr>
        <w:t>P. jirovecii</w:t>
      </w:r>
      <w:r w:rsidRPr="00DA2BC8">
        <w:t xml:space="preserve"> могут определяться в жидкости БАЛ в течение нескольких дней и даже недель при успешном лечении пневмоцистной пневмонии. </w:t>
      </w:r>
    </w:p>
    <w:p w14:paraId="286B4E91" w14:textId="77777777" w:rsidR="00434A06" w:rsidRPr="00DA2BC8" w:rsidRDefault="00434A06" w:rsidP="00434A06">
      <w:pPr>
        <w:widowControl w:val="0"/>
        <w:autoSpaceDE w:val="0"/>
        <w:autoSpaceDN w:val="0"/>
        <w:adjustRightInd w:val="0"/>
        <w:ind w:right="50" w:firstLine="709"/>
        <w:contextualSpacing/>
      </w:pPr>
      <w:r w:rsidRPr="00DA2BC8">
        <w:t>У реципиентов аллогенных СГК пневмоцистная пневмония примерно в половине случаев сочетается с цитамегаловирусной инфекцией.</w:t>
      </w:r>
    </w:p>
    <w:p w14:paraId="37B1D550" w14:textId="77777777" w:rsidR="00434A06" w:rsidRPr="00DA2BC8" w:rsidRDefault="00434A06" w:rsidP="00434A06">
      <w:pPr>
        <w:widowControl w:val="0"/>
        <w:autoSpaceDE w:val="0"/>
        <w:autoSpaceDN w:val="0"/>
        <w:adjustRightInd w:val="0"/>
        <w:ind w:right="50" w:firstLine="709"/>
        <w:contextualSpacing/>
      </w:pPr>
      <w:r w:rsidRPr="00DA2BC8">
        <w:t xml:space="preserve">Повышение уровня лактатдегидрогеназы в сыворотке крови при пневмоцистной пневмонии более характерно для ВИЧ-инфицированных больных, а не для больных опухолями системы крови. </w:t>
      </w:r>
    </w:p>
    <w:p w14:paraId="3C51203A" w14:textId="77777777" w:rsidR="00434A06" w:rsidRPr="00686506" w:rsidRDefault="00434A06" w:rsidP="00434A06">
      <w:pPr>
        <w:widowControl w:val="0"/>
        <w:autoSpaceDE w:val="0"/>
        <w:autoSpaceDN w:val="0"/>
        <w:adjustRightInd w:val="0"/>
        <w:ind w:right="50" w:firstLine="709"/>
        <w:contextualSpacing/>
        <w:rPr>
          <w:bCs/>
          <w:i/>
          <w:iCs/>
          <w:u w:val="single"/>
        </w:rPr>
      </w:pPr>
      <w:r w:rsidRPr="00686506">
        <w:rPr>
          <w:bCs/>
          <w:i/>
          <w:iCs/>
          <w:u w:val="single"/>
        </w:rPr>
        <w:t>Радиологические особенности пневмоцистной пневмонии</w:t>
      </w:r>
    </w:p>
    <w:p w14:paraId="0F4E1376" w14:textId="77777777" w:rsidR="00434A06" w:rsidRPr="00DA2BC8" w:rsidRDefault="00434A06" w:rsidP="00434A06">
      <w:pPr>
        <w:widowControl w:val="0"/>
        <w:autoSpaceDE w:val="0"/>
        <w:autoSpaceDN w:val="0"/>
        <w:adjustRightInd w:val="0"/>
        <w:ind w:right="50" w:firstLine="709"/>
        <w:contextualSpacing/>
      </w:pPr>
      <w:r w:rsidRPr="00DA2BC8">
        <w:t>Заподозрить пневмоцистную пневмонию можно только по данным КТ</w:t>
      </w:r>
      <w:r>
        <w:t>/СКТ</w:t>
      </w:r>
      <w:r w:rsidRPr="00DA2BC8">
        <w:t>.</w:t>
      </w:r>
      <w:r w:rsidRPr="00DA2BC8">
        <w:rPr>
          <w:b/>
        </w:rPr>
        <w:t xml:space="preserve"> </w:t>
      </w:r>
    </w:p>
    <w:p w14:paraId="414D46CC" w14:textId="77777777" w:rsidR="00434A06" w:rsidRPr="00DA2BC8" w:rsidRDefault="00434A06" w:rsidP="00434A06">
      <w:pPr>
        <w:widowControl w:val="0"/>
        <w:autoSpaceDE w:val="0"/>
        <w:autoSpaceDN w:val="0"/>
        <w:adjustRightInd w:val="0"/>
        <w:ind w:right="50" w:firstLine="709"/>
        <w:contextualSpacing/>
      </w:pPr>
      <w:r w:rsidRPr="00DA2BC8">
        <w:t>При радиологическом исследовании легких обнаруживают облаковидную, туманную, по типу снежной бури или матового стекла, билатеральную инфильтрацию, чаще в прикорневых отделах легких. В то же время могут быть выявлены участки консолидации, буллы (10%), особенно в верхних долях легких, которые могут приводить к образованию пневмоторакса. Признаки плеврита бывают редко, за исключением реципиентов аллогенных СГК. В некоторых случаях определяют одиночные или множественные очаги в легких, описаны случаи симптома «обратного ореола» и каверн по данным КТ</w:t>
      </w:r>
      <w:r>
        <w:t>/СКТ</w:t>
      </w:r>
      <w:r w:rsidRPr="00DA2BC8">
        <w:t xml:space="preserve"> легких. </w:t>
      </w:r>
    </w:p>
    <w:p w14:paraId="4CA1CB0A" w14:textId="77777777" w:rsidR="00434A06" w:rsidRPr="00DA2BC8" w:rsidRDefault="00434A06" w:rsidP="00434A06">
      <w:pPr>
        <w:widowControl w:val="0"/>
        <w:autoSpaceDE w:val="0"/>
        <w:autoSpaceDN w:val="0"/>
        <w:adjustRightInd w:val="0"/>
        <w:ind w:right="50" w:firstLine="709"/>
        <w:contextualSpacing/>
        <w:rPr>
          <w:b/>
          <w:bCs/>
        </w:rPr>
      </w:pPr>
      <w:r w:rsidRPr="00DA2BC8">
        <w:rPr>
          <w:bCs/>
        </w:rPr>
        <w:t>Препаратом выбора является т</w:t>
      </w:r>
      <w:r w:rsidRPr="00DA2BC8">
        <w:t>риметоприм/сульфаметоксазол, который назначают из расчета по триметоприму 15-20 мг/кг в сутки, внутривенно, дозу разделяют на 3 приема.</w:t>
      </w:r>
    </w:p>
    <w:p w14:paraId="75F70AAF" w14:textId="77777777" w:rsidR="00434A06" w:rsidRPr="00DA2BC8" w:rsidRDefault="00434A06" w:rsidP="00434A06">
      <w:pPr>
        <w:widowControl w:val="0"/>
        <w:autoSpaceDE w:val="0"/>
        <w:autoSpaceDN w:val="0"/>
        <w:adjustRightInd w:val="0"/>
        <w:ind w:right="50" w:firstLine="709"/>
        <w:contextualSpacing/>
      </w:pPr>
      <w:r w:rsidRPr="00DA2BC8">
        <w:rPr>
          <w:bCs/>
        </w:rPr>
        <w:t xml:space="preserve">У </w:t>
      </w:r>
      <w:r w:rsidRPr="00DA2BC8">
        <w:t xml:space="preserve">нетяжелых </w:t>
      </w:r>
      <w:r>
        <w:t>пациентов</w:t>
      </w:r>
      <w:r w:rsidRPr="00DA2BC8">
        <w:t xml:space="preserve"> пневмоцистной пневмонией без дыхательной недостаточности, при условии отсутствия мукозита и нормальной функции желудочно-кишечного тракта (нет диареи), может быть использован триметоприм/сульфаметоксазол перорально в тех же дозах, как и для внутривенного назначения. Концентрация триметоприма/сульфаметоксазола в сыворотке крови является эквивалентной при использовании его внутривенно или перорально (в случае нормальной функции желудочно-кишечного тракта). Внутривенная форма триметоприма/сульфаметоксазола может быть заменена на пероральную без изменения дозирования препарата, как продолжение лечения, при клиническом улучшении состояния и нормальной абсорбции в желудочно-кишечном тракте. </w:t>
      </w:r>
    </w:p>
    <w:p w14:paraId="2161C36D" w14:textId="4B39490C" w:rsidR="00434A06" w:rsidRDefault="00434A06" w:rsidP="00434A06">
      <w:pPr>
        <w:widowControl w:val="0"/>
        <w:autoSpaceDE w:val="0"/>
        <w:autoSpaceDN w:val="0"/>
        <w:adjustRightInd w:val="0"/>
        <w:ind w:right="50" w:firstLine="709"/>
        <w:contextualSpacing/>
      </w:pPr>
      <w:r w:rsidRPr="00DA2BC8">
        <w:t xml:space="preserve">Не рекомендовано назначать метотрексат в период терапии триметопримом/сульфаметоксазолом из-за развития побочных эффектов. </w:t>
      </w:r>
      <w:r w:rsidRPr="00DA2BC8">
        <w:rPr>
          <w:bCs/>
        </w:rPr>
        <w:t xml:space="preserve">Препаратами 2-го ряда являются </w:t>
      </w:r>
      <w:r w:rsidRPr="00DA2BC8">
        <w:t xml:space="preserve">пентамидин (4 мг/кг 1 раз в сутки, внутривенно, максимальная суточная </w:t>
      </w:r>
      <w:r w:rsidRPr="00DA2BC8">
        <w:lastRenderedPageBreak/>
        <w:t xml:space="preserve">доза 300 мг), сочетание примахина (30 мг внутрь 1 раз в сутки) и клиндамицина (600 мг внутривенно 3 раза в сутки). При неэффективности к триметоприму/сульфаметоксазолу добавляют каспофунгин (в 1-й день 70 мг, затем и по 50 мг внутривенно 1 раз в сутки). </w:t>
      </w:r>
      <w:r w:rsidRPr="00DA2BC8">
        <w:rPr>
          <w:iCs/>
        </w:rPr>
        <w:t>Не проводят одним эхинокандином</w:t>
      </w:r>
      <w:r w:rsidRPr="00DA2BC8">
        <w:t xml:space="preserve"> </w:t>
      </w:r>
      <w:r w:rsidRPr="00DA2BC8">
        <w:rPr>
          <w:iCs/>
        </w:rPr>
        <w:t>лечение пневмоцистной пневмонии (нет исследований).</w:t>
      </w:r>
      <w:r w:rsidRPr="00DA2BC8">
        <w:t xml:space="preserve"> Не рекомендовано назначение кортикостероидов всем больным с пневмоцистной пневмонией и дыхательной недостаточностью. Решение о добавлении кортикостероидов </w:t>
      </w:r>
      <w:r>
        <w:t>пациентам</w:t>
      </w:r>
      <w:r w:rsidRPr="00DA2BC8">
        <w:t xml:space="preserve"> с пневмоцистной пневмонией и дыхательной недостаточностью следует рассматривать индивидуально в каждом случае. </w:t>
      </w:r>
      <w:r w:rsidRPr="00DA2BC8">
        <w:rPr>
          <w:bCs/>
        </w:rPr>
        <w:t>Длительность лечения</w:t>
      </w:r>
      <w:r w:rsidRPr="00DA2BC8">
        <w:t xml:space="preserve"> пневмоцистной пневмонии составляет от 2 до 3-х недель.</w:t>
      </w:r>
    </w:p>
    <w:p w14:paraId="6FB42DD1" w14:textId="6DF3D402" w:rsidR="008A7E1B" w:rsidRDefault="008A7E1B" w:rsidP="00434A06">
      <w:pPr>
        <w:widowControl w:val="0"/>
        <w:autoSpaceDE w:val="0"/>
        <w:autoSpaceDN w:val="0"/>
        <w:adjustRightInd w:val="0"/>
        <w:ind w:right="50" w:firstLine="709"/>
        <w:contextualSpacing/>
      </w:pPr>
    </w:p>
    <w:p w14:paraId="66AE1714" w14:textId="0E862CEA" w:rsidR="00FC2402" w:rsidRPr="00FC2402" w:rsidRDefault="008A7E1B" w:rsidP="00FC2402">
      <w:pPr>
        <w:pStyle w:val="2"/>
        <w:spacing w:before="0"/>
      </w:pPr>
      <w:bookmarkStart w:id="84" w:name="_Toc66096850"/>
      <w:r w:rsidRPr="000322E4">
        <w:t>7.</w:t>
      </w:r>
      <w:r>
        <w:t>16</w:t>
      </w:r>
      <w:r w:rsidR="00FC2402">
        <w:t xml:space="preserve"> </w:t>
      </w:r>
      <w:r w:rsidR="00FC2402" w:rsidRPr="00C15639">
        <w:t>Диагностика и лечение септического шока и острой дыхательной недостаточности у гематологических пациентов</w:t>
      </w:r>
      <w:bookmarkEnd w:id="84"/>
    </w:p>
    <w:p w14:paraId="1CC172CC" w14:textId="77777777" w:rsidR="00FC2402" w:rsidRPr="009565AD" w:rsidRDefault="00FC2402" w:rsidP="00FC2402">
      <w:pPr>
        <w:pStyle w:val="Normal11"/>
        <w:spacing w:before="0" w:line="360" w:lineRule="auto"/>
        <w:jc w:val="both"/>
        <w:rPr>
          <w:i/>
          <w:szCs w:val="24"/>
          <w:u w:val="single"/>
        </w:rPr>
      </w:pPr>
      <w:r w:rsidRPr="009565AD">
        <w:rPr>
          <w:i/>
          <w:szCs w:val="24"/>
          <w:u w:val="single"/>
        </w:rPr>
        <w:t>Сепсис и септический шок</w:t>
      </w:r>
    </w:p>
    <w:p w14:paraId="445DB79A" w14:textId="77777777" w:rsidR="00FC2402" w:rsidRPr="009565AD" w:rsidRDefault="00FC2402" w:rsidP="00FC2402">
      <w:pPr>
        <w:pStyle w:val="Normal11"/>
        <w:spacing w:before="0" w:line="360" w:lineRule="auto"/>
        <w:ind w:firstLine="699"/>
        <w:jc w:val="both"/>
        <w:rPr>
          <w:szCs w:val="24"/>
        </w:rPr>
      </w:pPr>
      <w:r w:rsidRPr="009565AD">
        <w:rPr>
          <w:szCs w:val="24"/>
        </w:rPr>
        <w:t>Сепсис — это угрожающая жизни органная дисфункция, вызванная нарушенным ответом организма больного на инфекцию. Сепсис регистрируется у 30% онкогематологических больных после проведения курсов химиотерапии и является одной из наиболее частых причин перевода их в отделение реанимации и интенсивной терапии (ОРИТ).</w:t>
      </w:r>
    </w:p>
    <w:p w14:paraId="5A597153" w14:textId="77777777" w:rsidR="00FC2402" w:rsidRPr="009565AD" w:rsidRDefault="00FC2402" w:rsidP="00FC2402">
      <w:pPr>
        <w:ind w:firstLine="699"/>
      </w:pPr>
      <w:r w:rsidRPr="009565AD">
        <w:t>Сепсис является одним из факторов риска смертности у онкогематологических пациентов. Одним из наиболее тяжелых проявлений сепсиса является септический шок, который у этой категории больных является независимым предиктором летального исхода. Септический шок является одной из наиболее частых причин госпитализации в ОРИТ – 42%, а также является самой частой причиной смерти. Выживаемость при септическом шоке у больных в состоянии агранулоцитоза, по некоторым данным, составляет всего 27%. Хотя за последнее время выживаемость у онкогематологических пациентов с септическим шоком увеличилась, однако смертность все еще остается высокой и во многом зависит от оснащенности палаты интенсивной терапии, действий персонала при лечении больных с септическим шоком.</w:t>
      </w:r>
    </w:p>
    <w:p w14:paraId="345D69F3" w14:textId="77777777" w:rsidR="00FC2402" w:rsidRPr="009565AD" w:rsidRDefault="00FC2402" w:rsidP="00FC2402">
      <w:pPr>
        <w:ind w:firstLine="699"/>
      </w:pPr>
      <w:r w:rsidRPr="009565AD">
        <w:t>Изучение клинических проявлений сепсиса у онкогематологических больных показало, что в 35% случаев его первые симптомы возникают в течение недели до выделения бактерий из крови, причем значимо чаще при сепсисе, обусловленном неферментирующими бактериями (56%) в сравнении с энтеробактериями (26%). У 33% больных гемобластозами лихорадка возникала лишь за сутки до развития септического шока. У онкогематологических больных обычно имеет место снижение уровня Ig</w:t>
      </w:r>
      <w:r w:rsidRPr="009565AD">
        <w:rPr>
          <w:lang w:val="en-US"/>
        </w:rPr>
        <w:t>G</w:t>
      </w:r>
      <w:r w:rsidRPr="009565AD">
        <w:t xml:space="preserve"> и </w:t>
      </w:r>
      <w:r w:rsidRPr="009565AD">
        <w:rPr>
          <w:lang w:val="en-US"/>
        </w:rPr>
        <w:t>IgM</w:t>
      </w:r>
      <w:r w:rsidRPr="009565AD">
        <w:t xml:space="preserve">, персистирует нейтропения, что также способствует развитию инфекционных осложнений. </w:t>
      </w:r>
      <w:r w:rsidRPr="009565AD">
        <w:lastRenderedPageBreak/>
        <w:t>Таким образом, можно говорить о расширении понятия сепсис в онкогематологии. Необходимо подозревать сепсис у каждого больного онкогематологическим заболеванием или депрессией кроветоворения с фебрильной лихорадкой и даже нормальными уровнями маркеров воспаления, начинать или видоизменять таким пациентам антибиотическую терапию как можно раньше. Необходимо активное проведение комплекса диагностических исследований, повторение их, изменение тактики антимикробной терапии при отрицательных результатах у этих больных.</w:t>
      </w:r>
    </w:p>
    <w:p w14:paraId="7EB65F39" w14:textId="77777777" w:rsidR="00FC2402" w:rsidRPr="009565AD" w:rsidRDefault="00FC2402" w:rsidP="00FC2402">
      <w:pPr>
        <w:ind w:firstLine="699"/>
      </w:pPr>
      <w:r w:rsidRPr="009565AD">
        <w:t xml:space="preserve">Определение понятия «сепсис» за последние годы претерпело ряд существенных изменений. </w:t>
      </w:r>
    </w:p>
    <w:p w14:paraId="357006A4" w14:textId="77777777" w:rsidR="00FC2402" w:rsidRPr="009565AD" w:rsidRDefault="00FC2402" w:rsidP="00FC2402">
      <w:pPr>
        <w:ind w:firstLine="699"/>
      </w:pPr>
      <w:r w:rsidRPr="009565AD">
        <w:t xml:space="preserve">В 1991 г. на согласительной конференции Американского колледжа пульмонологов и Общества специалистов критической медицины — ACCP/SCCM, состоявшейся в Чикаго, было дано определение сепсиса как системной реакции организма на инфекционный очаг («Сепсис-1»). Согласно этой концепции, выделяли синдром системного воспалительной реакции, сепсис, тяжелый сепсис, синдром полиорганной дисфункции, септической шок. </w:t>
      </w:r>
    </w:p>
    <w:p w14:paraId="25BBA203" w14:textId="77777777" w:rsidR="00FC2402" w:rsidRPr="009565AD" w:rsidRDefault="00FC2402" w:rsidP="00FC2402">
      <w:pPr>
        <w:ind w:firstLine="699"/>
      </w:pPr>
      <w:r w:rsidRPr="009565AD">
        <w:t>В 2001 г. в этом определении был расширен список диагностических критериев, однако определение сепсиса, септического шока и органной дисфункции осталось в основном без изменений («Сепсис-2»).</w:t>
      </w:r>
    </w:p>
    <w:p w14:paraId="2A431E2A" w14:textId="499C0E0D" w:rsidR="00FC2402" w:rsidRPr="009565AD" w:rsidRDefault="00FC2402" w:rsidP="00FC2402">
      <w:pPr>
        <w:ind w:firstLine="709"/>
      </w:pPr>
      <w:r w:rsidRPr="009565AD">
        <w:t xml:space="preserve">В январе 2014 г. Европейское общество специалистов интенсивной терапии (European Society of Intensive Care Medicine) и Общество специалистов критической медицины (Society of Critical Care Medicine) создали рабочую группу по разработке нового определения сепсиса. Это новое определение сепсиса и его осложнений получило название «Сепсис-3» </w:t>
      </w:r>
      <w:r w:rsidRPr="009565AD">
        <w:fldChar w:fldCharType="begin" w:fldLock="1"/>
      </w:r>
      <w:r w:rsidR="004617E2">
        <w:instrText>ADDIN CSL_CITATION {"citationItems":[{"id":"ITEM-1","itemData":{"DOI":"10.1001/jama.2016.0287","ISSN":"15383598","PMID":"26903338","abstract":"IMPORTANCE: Definitions of sepsis and septic shock were last revised in 2001. Considerable advances have since been made into the pathobiology (changes in organ function, morphology, cell biology, biochemistry, immunology, and circulation), management, and epidemiology of sepsis, suggesting the need for reexamination. OBJECTIVE: To evaluate and, as needed, update definitions for sepsis and septic shock. PROCESS A task force (n = 19) with expertise in sepsis pathobiology, clinical trials, and epidemiology was convened by the Society of Critical Care Medicine and the European Society of Intensive Care Medicine. Definitions and clinical criteria were generated through meetings, Delphi processes, analysis of electronic health record databases, and voting, followed by circulation to international professional societies, requesting peer review and endorsement (by 31 societies listed in the Acknowledgment). KEY FINDINGS FROMEVIDENCE SYNTHESIS: Limitations of previous definitions included an excessive focus on inflammation, the misleading model that sepsis follows a continuum through severe sepsis to shock, and inadequate specificity and sensitivity of the systemic inflammatory response syndrome (SIRS) criteria. Multiple definitions and terminologies are currently in use for sepsis, septic shock, and organ dysfunction, leading to discrepancies in reported incidence and observed mortality. The task force concluded the term severe sepsis was redundant. RECOMMENDATIONS: Sepsis should be defined as life-threatening organ dysfunction caused by a dysregulated host response to infection. For clinical operationalization, organ dysfunction can be represented by an increase in the Sequential [Sepsis-related] Organ Failure Assessment (SOFA) score of 2 points or more, which is associated with an in-hospital mortality greater than 10%. Septic shock should be defined as a subset of sepsis in which particularly profound circulatory, cellular, and metabolic abnormalities are associated with a greater risk of mortality than with sepsis alone. Patients with septic shock can be clinically identified by a vasopressor requirement to maintain a mean arterial pressure of 65mmHg or greater and serum lactate level greater than 2 mmol/L (&gt;18mg/dL) in the absence of hypovolemia. This combination is associated with hospital mortality rates greater than 40%. In out-of-hospital, emergency department, or general hospital ward settings, adult patients with suspected infection can be rapidly i…","author":[{"dropping-particle":"","family":"Singer","given":"Mervyn","non-dropping-particle":"","parse-names":false,"suffix":""},{"dropping-particle":"","family":"Deutschman","given":"Clifford S.","non-dropping-particle":"","parse-names":false,"suffix":""},{"dropping-particle":"","family":"Seymour","given":"Christopherwarren","non-dropping-particle":"","parse-names":false,"suffix":""},{"dropping-particle":"","family":"Shankar-Hari","given":"Manu","non-dropping-particle":"","parse-names":false,"suffix":""},{"dropping-particle":"","family":"Annane","given":"Djillali","non-dropping-particle":"","parse-names":false,"suffix":""},{"dropping-particle":"","family":"Bauer","given":"Michael","non-dropping-particle":"","parse-names":false,"suffix":""},{"dropping-particle":"","family":"Bellomo","given":"Rinaldo","non-dropping-particle":"","parse-names":false,"suffix":""},{"dropping-particle":"","family":"Bernard","given":"Gordon R.","non-dropping-particle":"","parse-names":false,"suffix":""},{"dropping-particle":"","family":"Chiche","given":"Jean Daniel","non-dropping-particle":"","parse-names":false,"suffix":""},{"dropping-particle":"","family":"Coopersmith","given":"Craig M.","non-dropping-particle":"","parse-names":false,"suffix":""},{"dropping-particle":"","family":"Hotchkiss","given":"Richard S.","non-dropping-particle":"","parse-names":false,"suffix":""},{"dropping-particle":"","family":"Levy","given":"Mitchell M.","non-dropping-particle":"","parse-names":false,"suffix":""},{"dropping-particle":"","family":"Marshall","given":"John C.","non-dropping-particle":"","parse-names":false,"suffix":""},{"dropping-particle":"","family":"Martin","given":"Greg S.","non-dropping-particle":"","parse-names":false,"suffix":""},{"dropping-particle":"","family":"Opal","given":"Steven M.","non-dropping-particle":"","parse-names":false,"suffix":""},{"dropping-particle":"","family":"Rubenfeld","given":"Gordon D.","non-dropping-particle":"","parse-names":false,"suffix":""},{"dropping-particle":"Der","family":"Poll","given":"Tomvan","non-dropping-particle":"","parse-names":false,"suffix":""},{"dropping-particle":"","family":"Vincent","given":"Jean Louis","non-dropping-particle":"","parse-names":false,"suffix":""},{"dropping-particle":"","family":"Angus","given":"Derek C.","non-dropping-particle":"","parse-names":false,"suffix":""}],"container-title":"JAMA - Journal of the American Medical Association","id":"ITEM-1","issue":"8","issued":{"date-parts":[["2016","2","23"]]},"page":"801-810","publisher":"American Medical Association","title":"The third international consensus definitions for sepsis and septic shock (sepsis-3)","type":"article","volume":"315"},"uris":["http://www.mendeley.com/documents/?uuid=7a82ce29-56d4-3507-a1c5-e9dc199012e8"]}],"mendeley":{"formattedCitation":"[172]","plainTextFormattedCitation":"[172]","previouslyFormattedCitation":"[172]"},"properties":{"noteIndex":0},"schema":"https://github.com/citation-style-language/schema/raw/master/csl-citation.json"}</w:instrText>
      </w:r>
      <w:r w:rsidRPr="009565AD">
        <w:fldChar w:fldCharType="separate"/>
      </w:r>
      <w:r w:rsidR="00EC13BC" w:rsidRPr="00EC13BC">
        <w:rPr>
          <w:noProof/>
        </w:rPr>
        <w:t>[172]</w:t>
      </w:r>
      <w:r w:rsidRPr="009565AD">
        <w:fldChar w:fldCharType="end"/>
      </w:r>
      <w:r w:rsidRPr="009565AD">
        <w:t>.</w:t>
      </w:r>
    </w:p>
    <w:p w14:paraId="6BE8F943" w14:textId="77777777" w:rsidR="00FC2402" w:rsidRPr="009565AD" w:rsidRDefault="00FC2402" w:rsidP="00FC2402">
      <w:pPr>
        <w:ind w:firstLine="708"/>
        <w:rPr>
          <w:b/>
          <w:bCs/>
        </w:rPr>
      </w:pPr>
    </w:p>
    <w:p w14:paraId="63AF6E88" w14:textId="77777777" w:rsidR="00FC2402" w:rsidRPr="009565AD" w:rsidRDefault="00FC2402" w:rsidP="00FC2402">
      <w:pPr>
        <w:ind w:firstLine="708"/>
        <w:rPr>
          <w:b/>
          <w:bCs/>
        </w:rPr>
      </w:pPr>
      <w:r w:rsidRPr="009565AD">
        <w:rPr>
          <w:b/>
          <w:bCs/>
        </w:rPr>
        <w:t>«Сепсис-3»: отличительные особенности</w:t>
      </w:r>
    </w:p>
    <w:p w14:paraId="5C304686" w14:textId="77777777" w:rsidR="00FC2402" w:rsidRPr="009565AD" w:rsidRDefault="00FC2402" w:rsidP="00FC2402">
      <w:pPr>
        <w:ind w:firstLine="709"/>
        <w:rPr>
          <w:b/>
        </w:rPr>
      </w:pPr>
      <w:r w:rsidRPr="009565AD">
        <w:rPr>
          <w:b/>
        </w:rPr>
        <w:t>1. Системная воспалительная реакция в настоящее время не рассматривается как критерий сепсиса.</w:t>
      </w:r>
    </w:p>
    <w:p w14:paraId="430E6AD5" w14:textId="77777777" w:rsidR="00FC2402" w:rsidRPr="009565AD" w:rsidRDefault="00FC2402" w:rsidP="00FC2402">
      <w:pPr>
        <w:ind w:firstLine="709"/>
        <w:rPr>
          <w:b/>
          <w:bCs/>
        </w:rPr>
      </w:pPr>
      <w:r w:rsidRPr="009565AD">
        <w:t>Сепсис — это угрожающая жизни органная дисфункция, вызванная нарушенным ответом организма больного на инфекцию.</w:t>
      </w:r>
    </w:p>
    <w:p w14:paraId="1B25334A" w14:textId="77777777" w:rsidR="00FC2402" w:rsidRPr="009565AD" w:rsidRDefault="00FC2402" w:rsidP="00FC2402">
      <w:pPr>
        <w:ind w:firstLine="709"/>
        <w:rPr>
          <w:b/>
        </w:rPr>
      </w:pPr>
      <w:r w:rsidRPr="009565AD">
        <w:rPr>
          <w:b/>
        </w:rPr>
        <w:t xml:space="preserve">2. Системная воспалительная реакция заменена шкалой органной недостаточности </w:t>
      </w:r>
      <w:r w:rsidRPr="009565AD">
        <w:rPr>
          <w:b/>
          <w:lang w:val="en-US"/>
        </w:rPr>
        <w:t>qSOFA</w:t>
      </w:r>
      <w:r w:rsidRPr="009565AD">
        <w:rPr>
          <w:b/>
        </w:rPr>
        <w:t xml:space="preserve"> (</w:t>
      </w:r>
      <w:r w:rsidRPr="009565AD">
        <w:rPr>
          <w:b/>
          <w:lang w:val="en-US"/>
        </w:rPr>
        <w:t>quick</w:t>
      </w:r>
      <w:r w:rsidRPr="009565AD">
        <w:rPr>
          <w:b/>
        </w:rPr>
        <w:t xml:space="preserve"> </w:t>
      </w:r>
      <w:r w:rsidRPr="009565AD">
        <w:rPr>
          <w:b/>
          <w:lang w:val="en-US"/>
        </w:rPr>
        <w:t>Sequential</w:t>
      </w:r>
      <w:r w:rsidRPr="009565AD">
        <w:rPr>
          <w:b/>
        </w:rPr>
        <w:t xml:space="preserve"> </w:t>
      </w:r>
      <w:r w:rsidRPr="009565AD">
        <w:rPr>
          <w:b/>
          <w:lang w:val="en-US"/>
        </w:rPr>
        <w:t>Organ</w:t>
      </w:r>
      <w:r w:rsidRPr="009565AD">
        <w:rPr>
          <w:b/>
        </w:rPr>
        <w:t xml:space="preserve"> </w:t>
      </w:r>
      <w:r w:rsidRPr="009565AD">
        <w:rPr>
          <w:b/>
          <w:lang w:val="en-US"/>
        </w:rPr>
        <w:t>Failure</w:t>
      </w:r>
      <w:r w:rsidRPr="009565AD">
        <w:rPr>
          <w:b/>
        </w:rPr>
        <w:t xml:space="preserve"> </w:t>
      </w:r>
      <w:r w:rsidRPr="009565AD">
        <w:rPr>
          <w:b/>
          <w:lang w:val="en-US"/>
        </w:rPr>
        <w:t>Assessment</w:t>
      </w:r>
      <w:r w:rsidRPr="009565AD">
        <w:rPr>
          <w:b/>
        </w:rPr>
        <w:t>).</w:t>
      </w:r>
    </w:p>
    <w:p w14:paraId="7D2D636A" w14:textId="77777777" w:rsidR="00FC2402" w:rsidRPr="009565AD" w:rsidRDefault="00FC2402" w:rsidP="00FC2402">
      <w:pPr>
        <w:ind w:firstLine="709"/>
      </w:pPr>
      <w:r w:rsidRPr="009565AD">
        <w:t>Новые критерии qSOFA разработаны в качестве быстрого и простого инструмента, позволяющего идентифицировать сепсис в любых условиях. В отличие от SOFA, для шкалы qSOFA не требуются лабораторные тесты.</w:t>
      </w:r>
    </w:p>
    <w:p w14:paraId="514BC8ED" w14:textId="77777777" w:rsidR="00FC2402" w:rsidRPr="009565AD" w:rsidRDefault="00FC2402" w:rsidP="00FC2402">
      <w:pPr>
        <w:ind w:firstLine="709"/>
      </w:pPr>
      <w:r w:rsidRPr="009565AD">
        <w:t>Положительная шкала qSOFA помогает клиницисту увидеть органную дисфункцию, начать или эскалировать терапию, согласно принятым в интенсивной терапии правилам.</w:t>
      </w:r>
    </w:p>
    <w:p w14:paraId="636809D5" w14:textId="77777777" w:rsidR="00FC2402" w:rsidRPr="009565AD" w:rsidRDefault="00FC2402" w:rsidP="00FC2402">
      <w:pPr>
        <w:ind w:firstLine="709"/>
      </w:pPr>
      <w:r w:rsidRPr="009565AD">
        <w:lastRenderedPageBreak/>
        <w:t>Диагноз сепсиса устанавливается при подозрении на инфекцию и положительной qSOFA, то есть ≥ 2 критериев из следующих:</w:t>
      </w:r>
    </w:p>
    <w:p w14:paraId="294E1323" w14:textId="77777777" w:rsidR="00FC2402" w:rsidRPr="009565AD" w:rsidRDefault="00FC2402" w:rsidP="00FC2402">
      <w:pPr>
        <w:pStyle w:val="Number1"/>
        <w:spacing w:before="0" w:line="360" w:lineRule="auto"/>
        <w:ind w:firstLine="709"/>
        <w:jc w:val="both"/>
        <w:rPr>
          <w:szCs w:val="24"/>
        </w:rPr>
      </w:pPr>
      <w:r w:rsidRPr="009565AD">
        <w:rPr>
          <w:szCs w:val="24"/>
        </w:rPr>
        <w:t>1.</w:t>
      </w:r>
      <w:r w:rsidRPr="009565AD">
        <w:rPr>
          <w:szCs w:val="24"/>
        </w:rPr>
        <w:tab/>
        <w:t>Нарушенный ментальный статус (шкала комы Глазго &lt; 15).</w:t>
      </w:r>
    </w:p>
    <w:p w14:paraId="3340E8A0" w14:textId="77777777" w:rsidR="00FC2402" w:rsidRPr="009565AD" w:rsidRDefault="00FC2402" w:rsidP="00FC2402">
      <w:pPr>
        <w:pStyle w:val="Number1"/>
        <w:spacing w:before="0" w:line="360" w:lineRule="auto"/>
        <w:ind w:firstLine="709"/>
        <w:jc w:val="both"/>
        <w:rPr>
          <w:szCs w:val="24"/>
        </w:rPr>
      </w:pPr>
      <w:r w:rsidRPr="009565AD">
        <w:rPr>
          <w:szCs w:val="24"/>
        </w:rPr>
        <w:t>2.</w:t>
      </w:r>
      <w:r w:rsidRPr="009565AD">
        <w:rPr>
          <w:szCs w:val="24"/>
        </w:rPr>
        <w:tab/>
        <w:t>Систолическое АД ≤ 100 мм рт. ст.</w:t>
      </w:r>
    </w:p>
    <w:p w14:paraId="5C2923D5" w14:textId="77777777" w:rsidR="00FC2402" w:rsidRPr="009565AD" w:rsidRDefault="00FC2402" w:rsidP="00FC2402">
      <w:pPr>
        <w:pStyle w:val="Number1"/>
        <w:spacing w:before="0" w:line="360" w:lineRule="auto"/>
        <w:ind w:firstLine="709"/>
        <w:jc w:val="both"/>
        <w:rPr>
          <w:szCs w:val="24"/>
        </w:rPr>
      </w:pPr>
      <w:r w:rsidRPr="009565AD">
        <w:rPr>
          <w:szCs w:val="24"/>
        </w:rPr>
        <w:t>3.</w:t>
      </w:r>
      <w:r w:rsidRPr="009565AD">
        <w:rPr>
          <w:szCs w:val="24"/>
        </w:rPr>
        <w:tab/>
        <w:t>Число дыханий ≥ 22/мин.</w:t>
      </w:r>
    </w:p>
    <w:p w14:paraId="315076D3" w14:textId="77777777" w:rsidR="00FC2402" w:rsidRPr="009565AD" w:rsidRDefault="00FC2402" w:rsidP="00FC2402">
      <w:pPr>
        <w:ind w:firstLine="709"/>
        <w:rPr>
          <w:b/>
          <w:bCs/>
        </w:rPr>
      </w:pPr>
      <w:r w:rsidRPr="009565AD">
        <w:rPr>
          <w:b/>
          <w:bCs/>
        </w:rPr>
        <w:t xml:space="preserve">3. Шкала органной недостаточности </w:t>
      </w:r>
      <w:r w:rsidRPr="009565AD">
        <w:rPr>
          <w:b/>
          <w:bCs/>
          <w:lang w:val="en-US"/>
        </w:rPr>
        <w:t>SOFA</w:t>
      </w:r>
      <w:r w:rsidRPr="009565AD">
        <w:rPr>
          <w:b/>
          <w:bCs/>
        </w:rPr>
        <w:t xml:space="preserve"> (</w:t>
      </w:r>
      <w:r w:rsidRPr="009565AD">
        <w:rPr>
          <w:b/>
        </w:rPr>
        <w:t xml:space="preserve">Sepsis-related Organ Failure Assessment) </w:t>
      </w:r>
      <w:r w:rsidRPr="009565AD">
        <w:rPr>
          <w:b/>
          <w:bCs/>
        </w:rPr>
        <w:t>используется в настоящее время для клинической характеристики септических больных.</w:t>
      </w:r>
    </w:p>
    <w:p w14:paraId="76EB4B53" w14:textId="77777777" w:rsidR="00FC2402" w:rsidRPr="009565AD" w:rsidRDefault="00FC2402" w:rsidP="00FC2402">
      <w:pPr>
        <w:ind w:firstLine="709"/>
      </w:pPr>
      <w:r w:rsidRPr="009565AD">
        <w:t>Шкалы SOFA и qSOFA — «родные братья». Шкала SOFA — «золотой стандарт» для идентификации органной дисфункции у септических больных (таб.1). SOFA является лучшим предиктором госпитальной летальности, чем системная воспалительная реакция, ≥ 2 баллов по шкале SOFA означает увеличение от 2 до 25 раз риска смертельного исхода. SOFA учитывает 6 различных систем органов, придавая от 1 до 4 баллов для каждой системы. Повышение на 2 балла означает увеличение риска госпитальной летальности.</w:t>
      </w:r>
    </w:p>
    <w:p w14:paraId="3BB5A4B7" w14:textId="77777777" w:rsidR="00FC2402" w:rsidRPr="009565AD" w:rsidRDefault="00FC2402" w:rsidP="00FC2402">
      <w:pPr>
        <w:pStyle w:val="table-name"/>
        <w:spacing w:before="0" w:line="360" w:lineRule="auto"/>
        <w:ind w:firstLine="0"/>
        <w:jc w:val="both"/>
        <w:rPr>
          <w:sz w:val="24"/>
          <w:szCs w:val="24"/>
          <w:lang w:val="ru-RU"/>
        </w:rPr>
      </w:pPr>
    </w:p>
    <w:p w14:paraId="427CDA2B" w14:textId="77777777" w:rsidR="00FC2402" w:rsidRPr="009565AD" w:rsidRDefault="00FC2402" w:rsidP="00FC2402">
      <w:pPr>
        <w:pStyle w:val="table-name"/>
        <w:spacing w:before="0" w:line="360" w:lineRule="auto"/>
        <w:ind w:firstLine="0"/>
        <w:jc w:val="both"/>
        <w:rPr>
          <w:sz w:val="24"/>
          <w:szCs w:val="24"/>
          <w:lang w:val="ru-RU"/>
        </w:rPr>
      </w:pPr>
      <w:r w:rsidRPr="009565AD">
        <w:rPr>
          <w:sz w:val="24"/>
          <w:szCs w:val="24"/>
          <w:lang w:val="ru-RU"/>
        </w:rPr>
        <w:t xml:space="preserve">Таблица 1. Шкала </w:t>
      </w:r>
      <w:r w:rsidRPr="009565AD">
        <w:rPr>
          <w:sz w:val="24"/>
          <w:szCs w:val="24"/>
        </w:rPr>
        <w:t>Sepsis</w:t>
      </w:r>
      <w:r w:rsidRPr="009565AD">
        <w:rPr>
          <w:sz w:val="24"/>
          <w:szCs w:val="24"/>
          <w:lang w:val="ru-RU"/>
        </w:rPr>
        <w:t>-</w:t>
      </w:r>
      <w:r w:rsidRPr="009565AD">
        <w:rPr>
          <w:sz w:val="24"/>
          <w:szCs w:val="24"/>
        </w:rPr>
        <w:t>related</w:t>
      </w:r>
      <w:r w:rsidRPr="009565AD">
        <w:rPr>
          <w:sz w:val="24"/>
          <w:szCs w:val="24"/>
          <w:lang w:val="ru-RU"/>
        </w:rPr>
        <w:t xml:space="preserve"> </w:t>
      </w:r>
      <w:r w:rsidRPr="009565AD">
        <w:rPr>
          <w:sz w:val="24"/>
          <w:szCs w:val="24"/>
        </w:rPr>
        <w:t>Organ</w:t>
      </w:r>
      <w:r w:rsidRPr="009565AD">
        <w:rPr>
          <w:sz w:val="24"/>
          <w:szCs w:val="24"/>
          <w:lang w:val="ru-RU"/>
        </w:rPr>
        <w:t xml:space="preserve"> </w:t>
      </w:r>
      <w:r w:rsidRPr="009565AD">
        <w:rPr>
          <w:sz w:val="24"/>
          <w:szCs w:val="24"/>
        </w:rPr>
        <w:t>Failure</w:t>
      </w:r>
      <w:r w:rsidRPr="009565AD">
        <w:rPr>
          <w:sz w:val="24"/>
          <w:szCs w:val="24"/>
          <w:lang w:val="ru-RU"/>
        </w:rPr>
        <w:t xml:space="preserve"> </w:t>
      </w:r>
      <w:r w:rsidRPr="009565AD">
        <w:rPr>
          <w:sz w:val="24"/>
          <w:szCs w:val="24"/>
        </w:rPr>
        <w:t>Assessment</w:t>
      </w:r>
      <w:r w:rsidRPr="009565AD">
        <w:rPr>
          <w:sz w:val="24"/>
          <w:szCs w:val="24"/>
          <w:lang w:val="ru-RU"/>
        </w:rPr>
        <w:t xml:space="preserve"> (</w:t>
      </w:r>
      <w:r w:rsidRPr="009565AD">
        <w:rPr>
          <w:sz w:val="24"/>
          <w:szCs w:val="24"/>
        </w:rPr>
        <w:t>SOFA</w:t>
      </w:r>
      <w:r w:rsidRPr="009565AD">
        <w:rPr>
          <w:sz w:val="24"/>
          <w:szCs w:val="24"/>
          <w:lang w:val="ru-RU"/>
        </w:rP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128"/>
        <w:gridCol w:w="1417"/>
        <w:gridCol w:w="1843"/>
        <w:gridCol w:w="1984"/>
      </w:tblGrid>
      <w:tr w:rsidR="00FC2402" w:rsidRPr="009565AD" w14:paraId="702AEECB" w14:textId="77777777" w:rsidTr="002D3EBF">
        <w:trPr>
          <w:cantSplit/>
          <w:trHeight w:val="20"/>
        </w:trPr>
        <w:tc>
          <w:tcPr>
            <w:tcW w:w="2808" w:type="dxa"/>
            <w:vMerge w:val="restart"/>
            <w:vAlign w:val="center"/>
          </w:tcPr>
          <w:p w14:paraId="4ACA8DB8" w14:textId="77777777" w:rsidR="00FC2402" w:rsidRPr="009565AD" w:rsidRDefault="00FC2402" w:rsidP="00FC2402">
            <w:pPr>
              <w:pStyle w:val="table-head-bold"/>
              <w:numPr>
                <w:ilvl w:val="12"/>
                <w:numId w:val="0"/>
              </w:numPr>
              <w:spacing w:before="0"/>
              <w:ind w:firstLine="425"/>
              <w:rPr>
                <w:sz w:val="24"/>
                <w:szCs w:val="24"/>
              </w:rPr>
            </w:pPr>
            <w:r w:rsidRPr="009565AD">
              <w:rPr>
                <w:sz w:val="24"/>
                <w:szCs w:val="24"/>
              </w:rPr>
              <w:t>Системы органов</w:t>
            </w:r>
          </w:p>
        </w:tc>
        <w:tc>
          <w:tcPr>
            <w:tcW w:w="6372" w:type="dxa"/>
            <w:gridSpan w:val="4"/>
          </w:tcPr>
          <w:p w14:paraId="57ABAD79" w14:textId="77777777" w:rsidR="00FC2402" w:rsidRPr="009565AD" w:rsidRDefault="00FC2402" w:rsidP="00FC2402">
            <w:pPr>
              <w:pStyle w:val="table-head-bold"/>
              <w:numPr>
                <w:ilvl w:val="12"/>
                <w:numId w:val="0"/>
              </w:numPr>
              <w:spacing w:before="0"/>
              <w:ind w:firstLine="425"/>
              <w:rPr>
                <w:sz w:val="24"/>
                <w:szCs w:val="24"/>
              </w:rPr>
            </w:pPr>
            <w:r w:rsidRPr="009565AD">
              <w:rPr>
                <w:sz w:val="24"/>
                <w:szCs w:val="24"/>
              </w:rPr>
              <w:t>Баллы</w:t>
            </w:r>
          </w:p>
        </w:tc>
      </w:tr>
      <w:tr w:rsidR="00FC2402" w:rsidRPr="009565AD" w14:paraId="66A4DD48" w14:textId="77777777" w:rsidTr="002D3EBF">
        <w:trPr>
          <w:cantSplit/>
          <w:trHeight w:val="20"/>
        </w:trPr>
        <w:tc>
          <w:tcPr>
            <w:tcW w:w="2808" w:type="dxa"/>
            <w:vMerge/>
          </w:tcPr>
          <w:p w14:paraId="3A17DAE8" w14:textId="77777777" w:rsidR="00FC2402" w:rsidRPr="009565AD" w:rsidRDefault="00FC2402" w:rsidP="00FC2402">
            <w:pPr>
              <w:pStyle w:val="table-head-bold"/>
              <w:numPr>
                <w:ilvl w:val="12"/>
                <w:numId w:val="0"/>
              </w:numPr>
              <w:spacing w:before="0"/>
              <w:ind w:firstLine="425"/>
              <w:rPr>
                <w:sz w:val="24"/>
                <w:szCs w:val="24"/>
              </w:rPr>
            </w:pPr>
          </w:p>
        </w:tc>
        <w:tc>
          <w:tcPr>
            <w:tcW w:w="1128" w:type="dxa"/>
          </w:tcPr>
          <w:p w14:paraId="4035C52E" w14:textId="77777777" w:rsidR="00FC2402" w:rsidRPr="009565AD" w:rsidRDefault="00FC2402" w:rsidP="00FC2402">
            <w:pPr>
              <w:pStyle w:val="table-head-bold"/>
              <w:numPr>
                <w:ilvl w:val="12"/>
                <w:numId w:val="0"/>
              </w:numPr>
              <w:spacing w:before="0"/>
              <w:ind w:firstLine="425"/>
              <w:rPr>
                <w:sz w:val="24"/>
                <w:szCs w:val="24"/>
              </w:rPr>
            </w:pPr>
            <w:r w:rsidRPr="009565AD">
              <w:rPr>
                <w:sz w:val="24"/>
                <w:szCs w:val="24"/>
              </w:rPr>
              <w:t>1</w:t>
            </w:r>
          </w:p>
        </w:tc>
        <w:tc>
          <w:tcPr>
            <w:tcW w:w="1417" w:type="dxa"/>
          </w:tcPr>
          <w:p w14:paraId="69DA59D0" w14:textId="77777777" w:rsidR="00FC2402" w:rsidRPr="009565AD" w:rsidRDefault="00FC2402" w:rsidP="00FC2402">
            <w:pPr>
              <w:pStyle w:val="table-head-bold"/>
              <w:numPr>
                <w:ilvl w:val="12"/>
                <w:numId w:val="0"/>
              </w:numPr>
              <w:spacing w:before="0"/>
              <w:ind w:firstLine="425"/>
              <w:rPr>
                <w:sz w:val="24"/>
                <w:szCs w:val="24"/>
              </w:rPr>
            </w:pPr>
            <w:r w:rsidRPr="009565AD">
              <w:rPr>
                <w:sz w:val="24"/>
                <w:szCs w:val="24"/>
              </w:rPr>
              <w:t>2</w:t>
            </w:r>
          </w:p>
        </w:tc>
        <w:tc>
          <w:tcPr>
            <w:tcW w:w="1843" w:type="dxa"/>
          </w:tcPr>
          <w:p w14:paraId="78B4742C" w14:textId="77777777" w:rsidR="00FC2402" w:rsidRPr="009565AD" w:rsidRDefault="00FC2402" w:rsidP="00FC2402">
            <w:pPr>
              <w:pStyle w:val="table-head-bold"/>
              <w:numPr>
                <w:ilvl w:val="12"/>
                <w:numId w:val="0"/>
              </w:numPr>
              <w:spacing w:before="0"/>
              <w:ind w:firstLine="425"/>
              <w:rPr>
                <w:sz w:val="24"/>
                <w:szCs w:val="24"/>
              </w:rPr>
            </w:pPr>
            <w:r w:rsidRPr="009565AD">
              <w:rPr>
                <w:sz w:val="24"/>
                <w:szCs w:val="24"/>
              </w:rPr>
              <w:t>3</w:t>
            </w:r>
          </w:p>
        </w:tc>
        <w:tc>
          <w:tcPr>
            <w:tcW w:w="1984" w:type="dxa"/>
          </w:tcPr>
          <w:p w14:paraId="3DD9C69A" w14:textId="77777777" w:rsidR="00FC2402" w:rsidRPr="009565AD" w:rsidRDefault="00FC2402" w:rsidP="00FC2402">
            <w:pPr>
              <w:pStyle w:val="table-head-bold"/>
              <w:numPr>
                <w:ilvl w:val="12"/>
                <w:numId w:val="0"/>
              </w:numPr>
              <w:spacing w:before="0"/>
              <w:ind w:firstLine="425"/>
              <w:rPr>
                <w:sz w:val="24"/>
                <w:szCs w:val="24"/>
              </w:rPr>
            </w:pPr>
            <w:r w:rsidRPr="009565AD">
              <w:rPr>
                <w:sz w:val="24"/>
                <w:szCs w:val="24"/>
              </w:rPr>
              <w:t>4</w:t>
            </w:r>
          </w:p>
        </w:tc>
      </w:tr>
      <w:tr w:rsidR="00FC2402" w:rsidRPr="009565AD" w14:paraId="064C081F" w14:textId="77777777" w:rsidTr="002D3EBF">
        <w:trPr>
          <w:cantSplit/>
          <w:trHeight w:val="20"/>
        </w:trPr>
        <w:tc>
          <w:tcPr>
            <w:tcW w:w="2808" w:type="dxa"/>
          </w:tcPr>
          <w:p w14:paraId="5DC9FD1A" w14:textId="77777777" w:rsidR="00FC2402" w:rsidRPr="009565AD" w:rsidRDefault="00FC2402" w:rsidP="00FC2402">
            <w:pPr>
              <w:pStyle w:val="table-text-0"/>
              <w:numPr>
                <w:ilvl w:val="12"/>
                <w:numId w:val="0"/>
              </w:numPr>
              <w:spacing w:before="0" w:line="360" w:lineRule="auto"/>
              <w:jc w:val="both"/>
              <w:rPr>
                <w:b/>
                <w:sz w:val="24"/>
                <w:szCs w:val="24"/>
                <w:lang w:val="ru-RU"/>
              </w:rPr>
            </w:pPr>
            <w:r w:rsidRPr="009565AD">
              <w:rPr>
                <w:b/>
                <w:sz w:val="24"/>
                <w:szCs w:val="24"/>
                <w:lang w:val="ru-RU"/>
              </w:rPr>
              <w:t>Дыхание</w:t>
            </w:r>
          </w:p>
          <w:p w14:paraId="28FFC881" w14:textId="77777777" w:rsidR="00FC2402" w:rsidRPr="009565AD" w:rsidRDefault="00FC2402" w:rsidP="00FC2402">
            <w:pPr>
              <w:pStyle w:val="table-text-0"/>
              <w:numPr>
                <w:ilvl w:val="12"/>
                <w:numId w:val="0"/>
              </w:numPr>
              <w:spacing w:before="0" w:line="360" w:lineRule="auto"/>
              <w:jc w:val="both"/>
              <w:rPr>
                <w:sz w:val="24"/>
                <w:szCs w:val="24"/>
                <w:lang w:val="ru-RU"/>
              </w:rPr>
            </w:pPr>
            <w:r w:rsidRPr="009565AD">
              <w:rPr>
                <w:sz w:val="24"/>
                <w:szCs w:val="24"/>
              </w:rPr>
              <w:t>P</w:t>
            </w:r>
            <w:r w:rsidRPr="009565AD">
              <w:rPr>
                <w:sz w:val="24"/>
                <w:szCs w:val="24"/>
                <w:vertAlign w:val="subscript"/>
              </w:rPr>
              <w:t>a</w:t>
            </w:r>
            <w:r w:rsidRPr="009565AD">
              <w:rPr>
                <w:sz w:val="24"/>
                <w:szCs w:val="24"/>
              </w:rPr>
              <w:t>O</w:t>
            </w:r>
            <w:r w:rsidRPr="009565AD">
              <w:rPr>
                <w:sz w:val="24"/>
                <w:szCs w:val="24"/>
                <w:vertAlign w:val="subscript"/>
                <w:lang w:val="ru-RU"/>
              </w:rPr>
              <w:t>2</w:t>
            </w:r>
            <w:r w:rsidRPr="009565AD">
              <w:rPr>
                <w:sz w:val="24"/>
                <w:szCs w:val="24"/>
                <w:lang w:val="ru-RU"/>
              </w:rPr>
              <w:t>/</w:t>
            </w:r>
            <w:r w:rsidRPr="009565AD">
              <w:rPr>
                <w:sz w:val="24"/>
                <w:szCs w:val="24"/>
              </w:rPr>
              <w:t>F</w:t>
            </w:r>
            <w:r w:rsidRPr="009565AD">
              <w:rPr>
                <w:sz w:val="24"/>
                <w:szCs w:val="24"/>
                <w:vertAlign w:val="subscript"/>
              </w:rPr>
              <w:t>I</w:t>
            </w:r>
            <w:r w:rsidRPr="009565AD">
              <w:rPr>
                <w:sz w:val="24"/>
                <w:szCs w:val="24"/>
              </w:rPr>
              <w:t>O</w:t>
            </w:r>
            <w:r w:rsidRPr="009565AD">
              <w:rPr>
                <w:sz w:val="24"/>
                <w:szCs w:val="24"/>
                <w:vertAlign w:val="subscript"/>
                <w:lang w:val="ru-RU"/>
              </w:rPr>
              <w:t>2</w:t>
            </w:r>
            <w:r w:rsidRPr="009565AD">
              <w:rPr>
                <w:sz w:val="24"/>
                <w:szCs w:val="24"/>
                <w:lang w:val="ru-RU"/>
              </w:rPr>
              <w:t>, мм рт. ст.</w:t>
            </w:r>
          </w:p>
        </w:tc>
        <w:tc>
          <w:tcPr>
            <w:tcW w:w="1128" w:type="dxa"/>
            <w:vAlign w:val="center"/>
          </w:tcPr>
          <w:p w14:paraId="77BBD294" w14:textId="77777777" w:rsidR="00FC2402" w:rsidRPr="009565AD" w:rsidRDefault="00FC2402" w:rsidP="00FC2402">
            <w:pPr>
              <w:pStyle w:val="table-text-0"/>
              <w:numPr>
                <w:ilvl w:val="12"/>
                <w:numId w:val="0"/>
              </w:numPr>
              <w:spacing w:before="0" w:line="360" w:lineRule="auto"/>
              <w:jc w:val="both"/>
              <w:rPr>
                <w:sz w:val="24"/>
                <w:szCs w:val="24"/>
              </w:rPr>
            </w:pPr>
            <w:r w:rsidRPr="009565AD">
              <w:rPr>
                <w:sz w:val="24"/>
                <w:szCs w:val="24"/>
              </w:rPr>
              <w:t>399—300</w:t>
            </w:r>
          </w:p>
        </w:tc>
        <w:tc>
          <w:tcPr>
            <w:tcW w:w="1417" w:type="dxa"/>
            <w:vAlign w:val="center"/>
          </w:tcPr>
          <w:p w14:paraId="7B8A702C" w14:textId="77777777" w:rsidR="00FC2402" w:rsidRPr="009565AD" w:rsidRDefault="00FC2402" w:rsidP="00FC2402">
            <w:pPr>
              <w:pStyle w:val="table-text-0"/>
              <w:numPr>
                <w:ilvl w:val="12"/>
                <w:numId w:val="0"/>
              </w:numPr>
              <w:spacing w:before="0" w:line="360" w:lineRule="auto"/>
              <w:jc w:val="both"/>
              <w:rPr>
                <w:sz w:val="24"/>
                <w:szCs w:val="24"/>
              </w:rPr>
            </w:pPr>
            <w:r w:rsidRPr="009565AD">
              <w:rPr>
                <w:sz w:val="24"/>
                <w:szCs w:val="24"/>
              </w:rPr>
              <w:t>299—200</w:t>
            </w:r>
          </w:p>
        </w:tc>
        <w:tc>
          <w:tcPr>
            <w:tcW w:w="1843" w:type="dxa"/>
            <w:vAlign w:val="center"/>
          </w:tcPr>
          <w:p w14:paraId="08FE444B" w14:textId="77777777" w:rsidR="00FC2402" w:rsidRPr="009565AD" w:rsidRDefault="00FC2402" w:rsidP="00FC2402">
            <w:pPr>
              <w:pStyle w:val="table-text-0"/>
              <w:numPr>
                <w:ilvl w:val="12"/>
                <w:numId w:val="0"/>
              </w:numPr>
              <w:spacing w:before="0" w:line="360" w:lineRule="auto"/>
              <w:jc w:val="both"/>
              <w:rPr>
                <w:sz w:val="24"/>
                <w:szCs w:val="24"/>
              </w:rPr>
            </w:pPr>
            <w:r w:rsidRPr="009565AD">
              <w:rPr>
                <w:sz w:val="24"/>
                <w:szCs w:val="24"/>
              </w:rPr>
              <w:t>199—100</w:t>
            </w:r>
          </w:p>
        </w:tc>
        <w:tc>
          <w:tcPr>
            <w:tcW w:w="1984" w:type="dxa"/>
            <w:vAlign w:val="center"/>
          </w:tcPr>
          <w:p w14:paraId="1D8EB1E9" w14:textId="77777777" w:rsidR="00FC2402" w:rsidRPr="009565AD" w:rsidRDefault="00FC2402" w:rsidP="00FC2402">
            <w:pPr>
              <w:pStyle w:val="table-text-0"/>
              <w:numPr>
                <w:ilvl w:val="12"/>
                <w:numId w:val="0"/>
              </w:numPr>
              <w:spacing w:before="0" w:line="360" w:lineRule="auto"/>
              <w:jc w:val="both"/>
              <w:rPr>
                <w:sz w:val="24"/>
                <w:szCs w:val="24"/>
              </w:rPr>
            </w:pPr>
            <w:r w:rsidRPr="009565AD">
              <w:rPr>
                <w:sz w:val="24"/>
                <w:szCs w:val="24"/>
              </w:rPr>
              <w:t>&lt; 100</w:t>
            </w:r>
          </w:p>
        </w:tc>
      </w:tr>
      <w:tr w:rsidR="00FC2402" w:rsidRPr="009565AD" w14:paraId="4D13585C" w14:textId="77777777" w:rsidTr="002D3EBF">
        <w:trPr>
          <w:cantSplit/>
          <w:trHeight w:val="20"/>
        </w:trPr>
        <w:tc>
          <w:tcPr>
            <w:tcW w:w="2808" w:type="dxa"/>
          </w:tcPr>
          <w:p w14:paraId="2DE043E3" w14:textId="77777777" w:rsidR="00FC2402" w:rsidRPr="009565AD" w:rsidRDefault="00FC2402" w:rsidP="00FC2402">
            <w:pPr>
              <w:pStyle w:val="table-text-0"/>
              <w:numPr>
                <w:ilvl w:val="12"/>
                <w:numId w:val="0"/>
              </w:numPr>
              <w:spacing w:before="0" w:line="360" w:lineRule="auto"/>
              <w:jc w:val="both"/>
              <w:rPr>
                <w:b/>
                <w:sz w:val="24"/>
                <w:szCs w:val="24"/>
              </w:rPr>
            </w:pPr>
            <w:r w:rsidRPr="009565AD">
              <w:rPr>
                <w:b/>
                <w:sz w:val="24"/>
                <w:szCs w:val="24"/>
              </w:rPr>
              <w:t>Коагуляция</w:t>
            </w:r>
          </w:p>
          <w:p w14:paraId="0F991EE7" w14:textId="0BD5D336" w:rsidR="00FC2402" w:rsidRPr="009565AD" w:rsidRDefault="00FC2402" w:rsidP="00FC2402">
            <w:pPr>
              <w:pStyle w:val="table-text-0"/>
              <w:numPr>
                <w:ilvl w:val="12"/>
                <w:numId w:val="0"/>
              </w:numPr>
              <w:spacing w:before="0" w:line="360" w:lineRule="auto"/>
              <w:jc w:val="both"/>
              <w:rPr>
                <w:sz w:val="24"/>
                <w:szCs w:val="24"/>
              </w:rPr>
            </w:pPr>
            <w:r w:rsidRPr="009565AD">
              <w:rPr>
                <w:sz w:val="24"/>
                <w:szCs w:val="24"/>
              </w:rPr>
              <w:t xml:space="preserve">Тромбоциты, </w:t>
            </w:r>
            <w:r w:rsidR="009565AD">
              <w:rPr>
                <w:sz w:val="24"/>
                <w:szCs w:val="24"/>
                <w:lang w:val="ru-RU"/>
              </w:rPr>
              <w:t>х</w:t>
            </w:r>
            <w:r w:rsidRPr="009565AD">
              <w:rPr>
                <w:sz w:val="24"/>
                <w:szCs w:val="24"/>
              </w:rPr>
              <w:t xml:space="preserve"> 10</w:t>
            </w:r>
            <w:r w:rsidRPr="009565AD">
              <w:rPr>
                <w:sz w:val="24"/>
                <w:szCs w:val="24"/>
                <w:vertAlign w:val="superscript"/>
              </w:rPr>
              <w:t>3</w:t>
            </w:r>
            <w:r w:rsidRPr="009565AD">
              <w:rPr>
                <w:sz w:val="24"/>
                <w:szCs w:val="24"/>
              </w:rPr>
              <w:t>/мм</w:t>
            </w:r>
            <w:r w:rsidRPr="009565AD">
              <w:rPr>
                <w:sz w:val="24"/>
                <w:szCs w:val="24"/>
                <w:vertAlign w:val="superscript"/>
              </w:rPr>
              <w:t>3</w:t>
            </w:r>
          </w:p>
        </w:tc>
        <w:tc>
          <w:tcPr>
            <w:tcW w:w="1128" w:type="dxa"/>
            <w:vAlign w:val="center"/>
          </w:tcPr>
          <w:p w14:paraId="004349AE" w14:textId="77777777" w:rsidR="00FC2402" w:rsidRPr="009565AD" w:rsidRDefault="00FC2402" w:rsidP="00FC2402">
            <w:pPr>
              <w:pStyle w:val="table-text-0"/>
              <w:numPr>
                <w:ilvl w:val="12"/>
                <w:numId w:val="0"/>
              </w:numPr>
              <w:spacing w:before="0" w:line="360" w:lineRule="auto"/>
              <w:jc w:val="both"/>
              <w:rPr>
                <w:sz w:val="24"/>
                <w:szCs w:val="24"/>
              </w:rPr>
            </w:pPr>
            <w:r w:rsidRPr="009565AD">
              <w:rPr>
                <w:sz w:val="24"/>
                <w:szCs w:val="24"/>
              </w:rPr>
              <w:t>&lt;</w:t>
            </w:r>
            <w:r w:rsidRPr="009565AD">
              <w:rPr>
                <w:sz w:val="24"/>
                <w:szCs w:val="24"/>
                <w:lang w:val="ru-RU"/>
              </w:rPr>
              <w:t> </w:t>
            </w:r>
            <w:r w:rsidRPr="009565AD">
              <w:rPr>
                <w:sz w:val="24"/>
                <w:szCs w:val="24"/>
              </w:rPr>
              <w:t>150</w:t>
            </w:r>
          </w:p>
        </w:tc>
        <w:tc>
          <w:tcPr>
            <w:tcW w:w="1417" w:type="dxa"/>
            <w:vAlign w:val="center"/>
          </w:tcPr>
          <w:p w14:paraId="306E4FCF" w14:textId="77777777" w:rsidR="00FC2402" w:rsidRPr="009565AD" w:rsidRDefault="00FC2402" w:rsidP="00FC2402">
            <w:pPr>
              <w:pStyle w:val="table-text-0"/>
              <w:numPr>
                <w:ilvl w:val="12"/>
                <w:numId w:val="0"/>
              </w:numPr>
              <w:spacing w:before="0" w:line="360" w:lineRule="auto"/>
              <w:jc w:val="both"/>
              <w:rPr>
                <w:sz w:val="24"/>
                <w:szCs w:val="24"/>
              </w:rPr>
            </w:pPr>
            <w:r w:rsidRPr="009565AD">
              <w:rPr>
                <w:sz w:val="24"/>
                <w:szCs w:val="24"/>
              </w:rPr>
              <w:t>&lt;</w:t>
            </w:r>
            <w:r w:rsidRPr="009565AD">
              <w:rPr>
                <w:sz w:val="24"/>
                <w:szCs w:val="24"/>
                <w:lang w:val="ru-RU"/>
              </w:rPr>
              <w:t> </w:t>
            </w:r>
            <w:r w:rsidRPr="009565AD">
              <w:rPr>
                <w:sz w:val="24"/>
                <w:szCs w:val="24"/>
              </w:rPr>
              <w:t>100</w:t>
            </w:r>
          </w:p>
        </w:tc>
        <w:tc>
          <w:tcPr>
            <w:tcW w:w="1843" w:type="dxa"/>
            <w:vAlign w:val="center"/>
          </w:tcPr>
          <w:p w14:paraId="12F88980" w14:textId="77777777" w:rsidR="00FC2402" w:rsidRPr="009565AD" w:rsidRDefault="00FC2402" w:rsidP="00FC2402">
            <w:pPr>
              <w:pStyle w:val="table-text-0"/>
              <w:numPr>
                <w:ilvl w:val="12"/>
                <w:numId w:val="0"/>
              </w:numPr>
              <w:spacing w:before="0" w:line="360" w:lineRule="auto"/>
              <w:jc w:val="both"/>
              <w:rPr>
                <w:sz w:val="24"/>
                <w:szCs w:val="24"/>
              </w:rPr>
            </w:pPr>
            <w:r w:rsidRPr="009565AD">
              <w:rPr>
                <w:sz w:val="24"/>
                <w:szCs w:val="24"/>
              </w:rPr>
              <w:t>&lt;</w:t>
            </w:r>
            <w:r w:rsidRPr="009565AD">
              <w:rPr>
                <w:sz w:val="24"/>
                <w:szCs w:val="24"/>
                <w:lang w:val="ru-RU"/>
              </w:rPr>
              <w:t> </w:t>
            </w:r>
            <w:r w:rsidRPr="009565AD">
              <w:rPr>
                <w:sz w:val="24"/>
                <w:szCs w:val="24"/>
              </w:rPr>
              <w:t>50</w:t>
            </w:r>
          </w:p>
        </w:tc>
        <w:tc>
          <w:tcPr>
            <w:tcW w:w="1984" w:type="dxa"/>
            <w:vAlign w:val="center"/>
          </w:tcPr>
          <w:p w14:paraId="63BFB86F" w14:textId="77777777" w:rsidR="00FC2402" w:rsidRPr="009565AD" w:rsidRDefault="00FC2402" w:rsidP="00FC2402">
            <w:pPr>
              <w:pStyle w:val="table-text-0"/>
              <w:numPr>
                <w:ilvl w:val="12"/>
                <w:numId w:val="0"/>
              </w:numPr>
              <w:spacing w:before="0" w:line="360" w:lineRule="auto"/>
              <w:jc w:val="both"/>
              <w:rPr>
                <w:sz w:val="24"/>
                <w:szCs w:val="24"/>
              </w:rPr>
            </w:pPr>
            <w:r w:rsidRPr="009565AD">
              <w:rPr>
                <w:sz w:val="24"/>
                <w:szCs w:val="24"/>
              </w:rPr>
              <w:t>&lt;</w:t>
            </w:r>
            <w:r w:rsidRPr="009565AD">
              <w:rPr>
                <w:sz w:val="24"/>
                <w:szCs w:val="24"/>
                <w:lang w:val="ru-RU"/>
              </w:rPr>
              <w:t> </w:t>
            </w:r>
            <w:r w:rsidRPr="009565AD">
              <w:rPr>
                <w:sz w:val="24"/>
                <w:szCs w:val="24"/>
              </w:rPr>
              <w:t>20</w:t>
            </w:r>
          </w:p>
        </w:tc>
      </w:tr>
      <w:tr w:rsidR="00FC2402" w:rsidRPr="009565AD" w14:paraId="66458220" w14:textId="77777777" w:rsidTr="002D3EBF">
        <w:trPr>
          <w:cantSplit/>
          <w:trHeight w:val="20"/>
        </w:trPr>
        <w:tc>
          <w:tcPr>
            <w:tcW w:w="2808" w:type="dxa"/>
          </w:tcPr>
          <w:p w14:paraId="7A3199AF" w14:textId="77777777" w:rsidR="00FC2402" w:rsidRPr="009565AD" w:rsidRDefault="00FC2402" w:rsidP="00FC2402">
            <w:pPr>
              <w:pStyle w:val="table-text-0"/>
              <w:numPr>
                <w:ilvl w:val="12"/>
                <w:numId w:val="0"/>
              </w:numPr>
              <w:spacing w:before="0" w:line="360" w:lineRule="auto"/>
              <w:jc w:val="both"/>
              <w:rPr>
                <w:b/>
                <w:sz w:val="24"/>
                <w:szCs w:val="24"/>
                <w:lang w:val="ru-RU"/>
              </w:rPr>
            </w:pPr>
            <w:r w:rsidRPr="009565AD">
              <w:rPr>
                <w:b/>
                <w:sz w:val="24"/>
                <w:szCs w:val="24"/>
                <w:lang w:val="ru-RU"/>
              </w:rPr>
              <w:t>Печень</w:t>
            </w:r>
          </w:p>
          <w:p w14:paraId="5BE1CDBA" w14:textId="77777777" w:rsidR="00FC2402" w:rsidRPr="009565AD" w:rsidRDefault="00FC2402" w:rsidP="00FC2402">
            <w:pPr>
              <w:pStyle w:val="table-text-0"/>
              <w:numPr>
                <w:ilvl w:val="12"/>
                <w:numId w:val="0"/>
              </w:numPr>
              <w:spacing w:before="0" w:line="360" w:lineRule="auto"/>
              <w:jc w:val="both"/>
              <w:rPr>
                <w:sz w:val="24"/>
                <w:szCs w:val="24"/>
                <w:lang w:val="ru-RU"/>
              </w:rPr>
            </w:pPr>
            <w:r w:rsidRPr="009565AD">
              <w:rPr>
                <w:sz w:val="24"/>
                <w:szCs w:val="24"/>
                <w:lang w:val="ru-RU"/>
              </w:rPr>
              <w:t>Билирубин, мкмоль/л</w:t>
            </w:r>
          </w:p>
        </w:tc>
        <w:tc>
          <w:tcPr>
            <w:tcW w:w="1128" w:type="dxa"/>
            <w:vAlign w:val="center"/>
          </w:tcPr>
          <w:p w14:paraId="009E3BDB" w14:textId="77777777" w:rsidR="00FC2402" w:rsidRPr="009565AD" w:rsidRDefault="00FC2402" w:rsidP="00FC2402">
            <w:pPr>
              <w:pStyle w:val="table-text-0"/>
              <w:numPr>
                <w:ilvl w:val="12"/>
                <w:numId w:val="0"/>
              </w:numPr>
              <w:spacing w:before="0" w:line="360" w:lineRule="auto"/>
              <w:jc w:val="both"/>
              <w:rPr>
                <w:sz w:val="24"/>
                <w:szCs w:val="24"/>
                <w:lang w:val="ru-RU"/>
              </w:rPr>
            </w:pPr>
            <w:r w:rsidRPr="009565AD">
              <w:rPr>
                <w:sz w:val="24"/>
                <w:szCs w:val="24"/>
                <w:lang w:val="ru-RU"/>
              </w:rPr>
              <w:t>20—30</w:t>
            </w:r>
          </w:p>
        </w:tc>
        <w:tc>
          <w:tcPr>
            <w:tcW w:w="1417" w:type="dxa"/>
            <w:vAlign w:val="center"/>
          </w:tcPr>
          <w:p w14:paraId="516AE785" w14:textId="77777777" w:rsidR="00FC2402" w:rsidRPr="009565AD" w:rsidRDefault="00FC2402" w:rsidP="00FC2402">
            <w:pPr>
              <w:pStyle w:val="table-text-0"/>
              <w:numPr>
                <w:ilvl w:val="12"/>
                <w:numId w:val="0"/>
              </w:numPr>
              <w:spacing w:before="0" w:line="360" w:lineRule="auto"/>
              <w:jc w:val="both"/>
              <w:rPr>
                <w:sz w:val="24"/>
                <w:szCs w:val="24"/>
                <w:lang w:val="ru-RU"/>
              </w:rPr>
            </w:pPr>
            <w:r w:rsidRPr="009565AD">
              <w:rPr>
                <w:sz w:val="24"/>
                <w:szCs w:val="24"/>
                <w:lang w:val="ru-RU"/>
              </w:rPr>
              <w:t>33—101</w:t>
            </w:r>
          </w:p>
        </w:tc>
        <w:tc>
          <w:tcPr>
            <w:tcW w:w="1843" w:type="dxa"/>
            <w:vAlign w:val="center"/>
          </w:tcPr>
          <w:p w14:paraId="0D40C48B" w14:textId="77777777" w:rsidR="00FC2402" w:rsidRPr="009565AD" w:rsidRDefault="00FC2402" w:rsidP="00FC2402">
            <w:pPr>
              <w:pStyle w:val="table-text-0"/>
              <w:numPr>
                <w:ilvl w:val="12"/>
                <w:numId w:val="0"/>
              </w:numPr>
              <w:spacing w:before="0" w:line="360" w:lineRule="auto"/>
              <w:jc w:val="both"/>
              <w:rPr>
                <w:sz w:val="24"/>
                <w:szCs w:val="24"/>
                <w:lang w:val="ru-RU"/>
              </w:rPr>
            </w:pPr>
            <w:r w:rsidRPr="009565AD">
              <w:rPr>
                <w:sz w:val="24"/>
                <w:szCs w:val="24"/>
                <w:lang w:val="ru-RU"/>
              </w:rPr>
              <w:t>102—204</w:t>
            </w:r>
          </w:p>
        </w:tc>
        <w:tc>
          <w:tcPr>
            <w:tcW w:w="1984" w:type="dxa"/>
            <w:vAlign w:val="center"/>
          </w:tcPr>
          <w:p w14:paraId="08C0C4AB" w14:textId="77777777" w:rsidR="00FC2402" w:rsidRPr="009565AD" w:rsidRDefault="00FC2402" w:rsidP="00FC2402">
            <w:pPr>
              <w:pStyle w:val="table-text-0"/>
              <w:numPr>
                <w:ilvl w:val="12"/>
                <w:numId w:val="0"/>
              </w:numPr>
              <w:spacing w:before="0" w:line="360" w:lineRule="auto"/>
              <w:jc w:val="both"/>
              <w:rPr>
                <w:sz w:val="24"/>
                <w:szCs w:val="24"/>
                <w:lang w:val="ru-RU"/>
              </w:rPr>
            </w:pPr>
            <w:r w:rsidRPr="009565AD">
              <w:rPr>
                <w:sz w:val="24"/>
                <w:szCs w:val="24"/>
                <w:lang w:val="ru-RU"/>
              </w:rPr>
              <w:t>&gt; 204</w:t>
            </w:r>
          </w:p>
        </w:tc>
      </w:tr>
      <w:tr w:rsidR="00FC2402" w:rsidRPr="009565AD" w14:paraId="18843493" w14:textId="77777777" w:rsidTr="002D3EBF">
        <w:trPr>
          <w:cantSplit/>
          <w:trHeight w:val="20"/>
        </w:trPr>
        <w:tc>
          <w:tcPr>
            <w:tcW w:w="2808" w:type="dxa"/>
          </w:tcPr>
          <w:p w14:paraId="139DF3B3" w14:textId="77777777" w:rsidR="00FC2402" w:rsidRPr="009565AD" w:rsidRDefault="00FC2402" w:rsidP="00FC2402">
            <w:pPr>
              <w:pStyle w:val="table-text-0"/>
              <w:numPr>
                <w:ilvl w:val="12"/>
                <w:numId w:val="0"/>
              </w:numPr>
              <w:spacing w:before="0" w:line="360" w:lineRule="auto"/>
              <w:jc w:val="both"/>
              <w:rPr>
                <w:b/>
                <w:sz w:val="24"/>
                <w:szCs w:val="24"/>
                <w:lang w:val="ru-RU"/>
              </w:rPr>
            </w:pPr>
            <w:r w:rsidRPr="009565AD">
              <w:rPr>
                <w:b/>
                <w:sz w:val="24"/>
                <w:szCs w:val="24"/>
                <w:lang w:val="ru-RU"/>
              </w:rPr>
              <w:t>Сердечно-сосудистая система</w:t>
            </w:r>
          </w:p>
          <w:p w14:paraId="2D9AC6FC" w14:textId="77777777" w:rsidR="00FC2402" w:rsidRPr="009565AD" w:rsidRDefault="00FC2402" w:rsidP="00FC2402">
            <w:pPr>
              <w:pStyle w:val="table-text-0"/>
              <w:numPr>
                <w:ilvl w:val="12"/>
                <w:numId w:val="0"/>
              </w:numPr>
              <w:spacing w:before="0" w:line="360" w:lineRule="auto"/>
              <w:jc w:val="both"/>
              <w:rPr>
                <w:sz w:val="24"/>
                <w:szCs w:val="24"/>
                <w:lang w:val="ru-RU"/>
              </w:rPr>
            </w:pPr>
            <w:r w:rsidRPr="009565AD">
              <w:rPr>
                <w:sz w:val="24"/>
                <w:szCs w:val="24"/>
                <w:lang w:val="ru-RU"/>
              </w:rPr>
              <w:t>Артериальная гипотензия</w:t>
            </w:r>
          </w:p>
        </w:tc>
        <w:tc>
          <w:tcPr>
            <w:tcW w:w="1128" w:type="dxa"/>
            <w:vAlign w:val="center"/>
          </w:tcPr>
          <w:p w14:paraId="25D08ACA" w14:textId="77777777" w:rsidR="00FC2402" w:rsidRPr="009565AD" w:rsidRDefault="00FC2402" w:rsidP="00FC2402">
            <w:pPr>
              <w:pStyle w:val="table-text-0"/>
              <w:numPr>
                <w:ilvl w:val="12"/>
                <w:numId w:val="0"/>
              </w:numPr>
              <w:spacing w:before="0" w:line="360" w:lineRule="auto"/>
              <w:jc w:val="both"/>
              <w:rPr>
                <w:sz w:val="24"/>
                <w:szCs w:val="24"/>
                <w:lang w:val="ru-RU"/>
              </w:rPr>
            </w:pPr>
            <w:r w:rsidRPr="009565AD">
              <w:rPr>
                <w:sz w:val="24"/>
                <w:szCs w:val="24"/>
                <w:lang w:val="ru-RU"/>
              </w:rPr>
              <w:t>АД ср &lt; 65 мм рт. ст.</w:t>
            </w:r>
          </w:p>
        </w:tc>
        <w:tc>
          <w:tcPr>
            <w:tcW w:w="1417" w:type="dxa"/>
            <w:vAlign w:val="center"/>
          </w:tcPr>
          <w:p w14:paraId="4C6927AC" w14:textId="77777777" w:rsidR="00FC2402" w:rsidRPr="009565AD" w:rsidRDefault="00FC2402" w:rsidP="00FC2402">
            <w:pPr>
              <w:pStyle w:val="table-text-0"/>
              <w:numPr>
                <w:ilvl w:val="12"/>
                <w:numId w:val="0"/>
              </w:numPr>
              <w:spacing w:before="0" w:line="360" w:lineRule="auto"/>
              <w:jc w:val="both"/>
              <w:rPr>
                <w:sz w:val="24"/>
                <w:szCs w:val="24"/>
                <w:lang w:val="ru-RU"/>
              </w:rPr>
            </w:pPr>
            <w:r w:rsidRPr="009565AD">
              <w:rPr>
                <w:sz w:val="24"/>
                <w:szCs w:val="24"/>
                <w:lang w:val="ru-RU"/>
              </w:rPr>
              <w:t>Допамин  &lt; 5 мкг/кг/мин или добутамин (любая доза)*</w:t>
            </w:r>
          </w:p>
        </w:tc>
        <w:tc>
          <w:tcPr>
            <w:tcW w:w="1843" w:type="dxa"/>
            <w:vAlign w:val="center"/>
          </w:tcPr>
          <w:p w14:paraId="7923C57A" w14:textId="77777777" w:rsidR="00FC2402" w:rsidRPr="009565AD" w:rsidRDefault="00FC2402" w:rsidP="00FC2402">
            <w:pPr>
              <w:pStyle w:val="table-text-0"/>
              <w:numPr>
                <w:ilvl w:val="12"/>
                <w:numId w:val="0"/>
              </w:numPr>
              <w:spacing w:before="0" w:line="360" w:lineRule="auto"/>
              <w:jc w:val="both"/>
              <w:rPr>
                <w:sz w:val="24"/>
                <w:szCs w:val="24"/>
                <w:lang w:val="ru-RU"/>
              </w:rPr>
            </w:pPr>
            <w:r w:rsidRPr="009565AD">
              <w:rPr>
                <w:sz w:val="24"/>
                <w:szCs w:val="24"/>
                <w:lang w:val="ru-RU"/>
              </w:rPr>
              <w:t>Допамин &gt; 5 мкг/кг/мин, или адреналин ≤ 0,1 мкг/кг/мин или норадреналин ≤ 0,1 мкг/кг/мин</w:t>
            </w:r>
          </w:p>
        </w:tc>
        <w:tc>
          <w:tcPr>
            <w:tcW w:w="1984" w:type="dxa"/>
            <w:vAlign w:val="center"/>
          </w:tcPr>
          <w:p w14:paraId="6C5BCAE9" w14:textId="77777777" w:rsidR="00FC2402" w:rsidRPr="009565AD" w:rsidRDefault="00FC2402" w:rsidP="00FC2402">
            <w:pPr>
              <w:pStyle w:val="table-text-0"/>
              <w:numPr>
                <w:ilvl w:val="12"/>
                <w:numId w:val="0"/>
              </w:numPr>
              <w:spacing w:before="0" w:line="360" w:lineRule="auto"/>
              <w:jc w:val="both"/>
              <w:rPr>
                <w:sz w:val="24"/>
                <w:szCs w:val="24"/>
                <w:lang w:val="ru-RU"/>
              </w:rPr>
            </w:pPr>
            <w:r w:rsidRPr="009565AD">
              <w:rPr>
                <w:sz w:val="24"/>
                <w:szCs w:val="24"/>
                <w:lang w:val="ru-RU"/>
              </w:rPr>
              <w:t>Допамин &gt; 15 мкг/кг/мин, или адреналин &gt; 0,1 мкг/кг/мин, или норадреналин &gt; 0,1 мкг/кг/мин</w:t>
            </w:r>
          </w:p>
        </w:tc>
      </w:tr>
      <w:tr w:rsidR="00FC2402" w:rsidRPr="009565AD" w14:paraId="593F576D" w14:textId="77777777" w:rsidTr="002D3EBF">
        <w:trPr>
          <w:cantSplit/>
          <w:trHeight w:val="20"/>
        </w:trPr>
        <w:tc>
          <w:tcPr>
            <w:tcW w:w="2808" w:type="dxa"/>
          </w:tcPr>
          <w:p w14:paraId="22E19C7C" w14:textId="77777777" w:rsidR="00FC2402" w:rsidRPr="009565AD" w:rsidRDefault="00FC2402" w:rsidP="00FC2402">
            <w:pPr>
              <w:pStyle w:val="table-text-0"/>
              <w:numPr>
                <w:ilvl w:val="12"/>
                <w:numId w:val="0"/>
              </w:numPr>
              <w:spacing w:before="0" w:line="360" w:lineRule="auto"/>
              <w:jc w:val="both"/>
              <w:rPr>
                <w:sz w:val="24"/>
                <w:szCs w:val="24"/>
                <w:lang w:val="ru-RU"/>
              </w:rPr>
            </w:pPr>
            <w:r w:rsidRPr="009565AD">
              <w:rPr>
                <w:sz w:val="24"/>
                <w:szCs w:val="24"/>
                <w:lang w:val="ru-RU"/>
              </w:rPr>
              <w:t>ЦНС</w:t>
            </w:r>
          </w:p>
          <w:p w14:paraId="443CF38C" w14:textId="77777777" w:rsidR="00FC2402" w:rsidRPr="009565AD" w:rsidRDefault="00FC2402" w:rsidP="00FC2402">
            <w:pPr>
              <w:pStyle w:val="table-text-0"/>
              <w:numPr>
                <w:ilvl w:val="12"/>
                <w:numId w:val="0"/>
              </w:numPr>
              <w:spacing w:before="0" w:line="360" w:lineRule="auto"/>
              <w:jc w:val="both"/>
              <w:rPr>
                <w:sz w:val="24"/>
                <w:szCs w:val="24"/>
                <w:lang w:val="ru-RU"/>
              </w:rPr>
            </w:pPr>
            <w:r w:rsidRPr="009565AD">
              <w:rPr>
                <w:sz w:val="24"/>
                <w:szCs w:val="24"/>
                <w:lang w:val="ru-RU"/>
              </w:rPr>
              <w:t>Шкала комы Глазго, баллы</w:t>
            </w:r>
          </w:p>
        </w:tc>
        <w:tc>
          <w:tcPr>
            <w:tcW w:w="1128" w:type="dxa"/>
            <w:vAlign w:val="center"/>
          </w:tcPr>
          <w:p w14:paraId="71582C08" w14:textId="77777777" w:rsidR="00FC2402" w:rsidRPr="009565AD" w:rsidRDefault="00FC2402" w:rsidP="00FC2402">
            <w:pPr>
              <w:pStyle w:val="table-text-0"/>
              <w:numPr>
                <w:ilvl w:val="12"/>
                <w:numId w:val="0"/>
              </w:numPr>
              <w:spacing w:before="0" w:line="360" w:lineRule="auto"/>
              <w:jc w:val="both"/>
              <w:rPr>
                <w:sz w:val="24"/>
                <w:szCs w:val="24"/>
                <w:lang w:val="ru-RU"/>
              </w:rPr>
            </w:pPr>
            <w:r w:rsidRPr="009565AD">
              <w:rPr>
                <w:sz w:val="24"/>
                <w:szCs w:val="24"/>
                <w:lang w:val="ru-RU"/>
              </w:rPr>
              <w:t>3—14</w:t>
            </w:r>
          </w:p>
        </w:tc>
        <w:tc>
          <w:tcPr>
            <w:tcW w:w="1417" w:type="dxa"/>
            <w:vAlign w:val="center"/>
          </w:tcPr>
          <w:p w14:paraId="5E9E1781" w14:textId="77777777" w:rsidR="00FC2402" w:rsidRPr="009565AD" w:rsidRDefault="00FC2402" w:rsidP="00FC2402">
            <w:pPr>
              <w:pStyle w:val="table-text-0"/>
              <w:numPr>
                <w:ilvl w:val="12"/>
                <w:numId w:val="0"/>
              </w:numPr>
              <w:spacing w:before="0" w:line="360" w:lineRule="auto"/>
              <w:jc w:val="both"/>
              <w:rPr>
                <w:sz w:val="24"/>
                <w:szCs w:val="24"/>
                <w:lang w:val="ru-RU"/>
              </w:rPr>
            </w:pPr>
            <w:r w:rsidRPr="009565AD">
              <w:rPr>
                <w:sz w:val="24"/>
                <w:szCs w:val="24"/>
                <w:lang w:val="ru-RU"/>
              </w:rPr>
              <w:t>10—12</w:t>
            </w:r>
          </w:p>
        </w:tc>
        <w:tc>
          <w:tcPr>
            <w:tcW w:w="1843" w:type="dxa"/>
            <w:vAlign w:val="center"/>
          </w:tcPr>
          <w:p w14:paraId="71F89F94" w14:textId="77777777" w:rsidR="00FC2402" w:rsidRPr="009565AD" w:rsidRDefault="00FC2402" w:rsidP="00FC2402">
            <w:pPr>
              <w:pStyle w:val="table-text-0"/>
              <w:numPr>
                <w:ilvl w:val="12"/>
                <w:numId w:val="0"/>
              </w:numPr>
              <w:spacing w:before="0" w:line="360" w:lineRule="auto"/>
              <w:jc w:val="both"/>
              <w:rPr>
                <w:sz w:val="24"/>
                <w:szCs w:val="24"/>
                <w:lang w:val="ru-RU"/>
              </w:rPr>
            </w:pPr>
            <w:r w:rsidRPr="009565AD">
              <w:rPr>
                <w:sz w:val="24"/>
                <w:szCs w:val="24"/>
                <w:lang w:val="ru-RU"/>
              </w:rPr>
              <w:t>6—9</w:t>
            </w:r>
          </w:p>
        </w:tc>
        <w:tc>
          <w:tcPr>
            <w:tcW w:w="1984" w:type="dxa"/>
            <w:vAlign w:val="center"/>
          </w:tcPr>
          <w:p w14:paraId="6A0EEA4C" w14:textId="77777777" w:rsidR="00FC2402" w:rsidRPr="009565AD" w:rsidRDefault="00FC2402" w:rsidP="00FC2402">
            <w:pPr>
              <w:pStyle w:val="table-text-0"/>
              <w:numPr>
                <w:ilvl w:val="12"/>
                <w:numId w:val="0"/>
              </w:numPr>
              <w:spacing w:before="0" w:line="360" w:lineRule="auto"/>
              <w:jc w:val="both"/>
              <w:rPr>
                <w:sz w:val="24"/>
                <w:szCs w:val="24"/>
                <w:lang w:val="ru-RU"/>
              </w:rPr>
            </w:pPr>
            <w:r w:rsidRPr="009565AD">
              <w:rPr>
                <w:sz w:val="24"/>
                <w:szCs w:val="24"/>
                <w:lang w:val="ru-RU"/>
              </w:rPr>
              <w:t>&lt; 6</w:t>
            </w:r>
          </w:p>
        </w:tc>
      </w:tr>
      <w:tr w:rsidR="00FC2402" w:rsidRPr="009565AD" w14:paraId="3E892C1B" w14:textId="77777777" w:rsidTr="002D3EBF">
        <w:trPr>
          <w:cantSplit/>
          <w:trHeight w:val="20"/>
        </w:trPr>
        <w:tc>
          <w:tcPr>
            <w:tcW w:w="2808" w:type="dxa"/>
            <w:tcBorders>
              <w:bottom w:val="nil"/>
            </w:tcBorders>
          </w:tcPr>
          <w:p w14:paraId="6E09C710" w14:textId="77777777" w:rsidR="00FC2402" w:rsidRPr="009565AD" w:rsidRDefault="00FC2402" w:rsidP="00FC2402">
            <w:pPr>
              <w:pStyle w:val="table-text-0"/>
              <w:numPr>
                <w:ilvl w:val="12"/>
                <w:numId w:val="0"/>
              </w:numPr>
              <w:spacing w:before="0" w:line="360" w:lineRule="auto"/>
              <w:jc w:val="both"/>
              <w:rPr>
                <w:b/>
                <w:sz w:val="24"/>
                <w:szCs w:val="24"/>
                <w:lang w:val="ru-RU"/>
              </w:rPr>
            </w:pPr>
            <w:r w:rsidRPr="009565AD">
              <w:rPr>
                <w:b/>
                <w:sz w:val="24"/>
                <w:szCs w:val="24"/>
                <w:lang w:val="ru-RU"/>
              </w:rPr>
              <w:t>Почки</w:t>
            </w:r>
          </w:p>
        </w:tc>
        <w:tc>
          <w:tcPr>
            <w:tcW w:w="1128" w:type="dxa"/>
            <w:tcBorders>
              <w:bottom w:val="nil"/>
            </w:tcBorders>
            <w:vAlign w:val="center"/>
          </w:tcPr>
          <w:p w14:paraId="0826A22F" w14:textId="77777777" w:rsidR="00FC2402" w:rsidRPr="009565AD" w:rsidRDefault="00FC2402" w:rsidP="00FC2402">
            <w:pPr>
              <w:pStyle w:val="table-text-0"/>
              <w:numPr>
                <w:ilvl w:val="12"/>
                <w:numId w:val="0"/>
              </w:numPr>
              <w:spacing w:before="0" w:line="360" w:lineRule="auto"/>
              <w:jc w:val="both"/>
              <w:rPr>
                <w:sz w:val="24"/>
                <w:szCs w:val="24"/>
                <w:lang w:val="ru-RU"/>
              </w:rPr>
            </w:pPr>
          </w:p>
        </w:tc>
        <w:tc>
          <w:tcPr>
            <w:tcW w:w="1417" w:type="dxa"/>
            <w:tcBorders>
              <w:bottom w:val="nil"/>
            </w:tcBorders>
            <w:vAlign w:val="center"/>
          </w:tcPr>
          <w:p w14:paraId="4D2891CE" w14:textId="77777777" w:rsidR="00FC2402" w:rsidRPr="009565AD" w:rsidRDefault="00FC2402" w:rsidP="00FC2402">
            <w:pPr>
              <w:pStyle w:val="table-text-0"/>
              <w:numPr>
                <w:ilvl w:val="12"/>
                <w:numId w:val="0"/>
              </w:numPr>
              <w:spacing w:before="0" w:line="360" w:lineRule="auto"/>
              <w:jc w:val="both"/>
              <w:rPr>
                <w:sz w:val="24"/>
                <w:szCs w:val="24"/>
                <w:lang w:val="ru-RU"/>
              </w:rPr>
            </w:pPr>
          </w:p>
        </w:tc>
        <w:tc>
          <w:tcPr>
            <w:tcW w:w="1843" w:type="dxa"/>
            <w:tcBorders>
              <w:bottom w:val="nil"/>
            </w:tcBorders>
            <w:vAlign w:val="center"/>
          </w:tcPr>
          <w:p w14:paraId="286E7689" w14:textId="77777777" w:rsidR="00FC2402" w:rsidRPr="009565AD" w:rsidRDefault="00FC2402" w:rsidP="00FC2402">
            <w:pPr>
              <w:pStyle w:val="table-text-0"/>
              <w:numPr>
                <w:ilvl w:val="12"/>
                <w:numId w:val="0"/>
              </w:numPr>
              <w:spacing w:before="0" w:line="360" w:lineRule="auto"/>
              <w:jc w:val="both"/>
              <w:rPr>
                <w:sz w:val="24"/>
                <w:szCs w:val="24"/>
                <w:lang w:val="ru-RU"/>
              </w:rPr>
            </w:pPr>
          </w:p>
        </w:tc>
        <w:tc>
          <w:tcPr>
            <w:tcW w:w="1984" w:type="dxa"/>
            <w:tcBorders>
              <w:bottom w:val="nil"/>
            </w:tcBorders>
            <w:vAlign w:val="center"/>
          </w:tcPr>
          <w:p w14:paraId="30C6326C" w14:textId="77777777" w:rsidR="00FC2402" w:rsidRPr="009565AD" w:rsidRDefault="00FC2402" w:rsidP="00FC2402">
            <w:pPr>
              <w:pStyle w:val="table-text-0"/>
              <w:numPr>
                <w:ilvl w:val="12"/>
                <w:numId w:val="0"/>
              </w:numPr>
              <w:spacing w:before="0" w:line="360" w:lineRule="auto"/>
              <w:jc w:val="both"/>
              <w:rPr>
                <w:sz w:val="24"/>
                <w:szCs w:val="24"/>
                <w:lang w:val="ru-RU"/>
              </w:rPr>
            </w:pPr>
          </w:p>
        </w:tc>
      </w:tr>
      <w:tr w:rsidR="00FC2402" w:rsidRPr="009565AD" w14:paraId="370DA6BD" w14:textId="77777777" w:rsidTr="002D3EBF">
        <w:trPr>
          <w:cantSplit/>
          <w:trHeight w:val="20"/>
        </w:trPr>
        <w:tc>
          <w:tcPr>
            <w:tcW w:w="2808" w:type="dxa"/>
            <w:tcBorders>
              <w:top w:val="nil"/>
              <w:bottom w:val="nil"/>
            </w:tcBorders>
          </w:tcPr>
          <w:p w14:paraId="2F6DDD9A" w14:textId="77777777" w:rsidR="00FC2402" w:rsidRPr="009565AD" w:rsidRDefault="00FC2402" w:rsidP="00FC2402">
            <w:pPr>
              <w:pStyle w:val="table-text-0"/>
              <w:numPr>
                <w:ilvl w:val="12"/>
                <w:numId w:val="0"/>
              </w:numPr>
              <w:spacing w:before="0" w:line="360" w:lineRule="auto"/>
              <w:jc w:val="both"/>
              <w:rPr>
                <w:sz w:val="24"/>
                <w:szCs w:val="24"/>
                <w:lang w:val="ru-RU"/>
              </w:rPr>
            </w:pPr>
            <w:r w:rsidRPr="009565AD">
              <w:rPr>
                <w:sz w:val="24"/>
                <w:szCs w:val="24"/>
                <w:lang w:val="ru-RU"/>
              </w:rPr>
              <w:lastRenderedPageBreak/>
              <w:t>Креатинин, ммоль/л</w:t>
            </w:r>
          </w:p>
        </w:tc>
        <w:tc>
          <w:tcPr>
            <w:tcW w:w="1128" w:type="dxa"/>
            <w:tcBorders>
              <w:top w:val="nil"/>
            </w:tcBorders>
            <w:vAlign w:val="center"/>
          </w:tcPr>
          <w:p w14:paraId="24DB35F6" w14:textId="77777777" w:rsidR="00FC2402" w:rsidRPr="009565AD" w:rsidRDefault="00FC2402" w:rsidP="00FC2402">
            <w:pPr>
              <w:pStyle w:val="table-text-0"/>
              <w:numPr>
                <w:ilvl w:val="12"/>
                <w:numId w:val="0"/>
              </w:numPr>
              <w:spacing w:before="0" w:line="360" w:lineRule="auto"/>
              <w:jc w:val="both"/>
              <w:rPr>
                <w:sz w:val="24"/>
                <w:szCs w:val="24"/>
                <w:lang w:val="ru-RU"/>
              </w:rPr>
            </w:pPr>
            <w:r w:rsidRPr="009565AD">
              <w:rPr>
                <w:sz w:val="24"/>
                <w:szCs w:val="24"/>
                <w:lang w:val="ru-RU"/>
              </w:rPr>
              <w:t>0,11—0,17</w:t>
            </w:r>
          </w:p>
        </w:tc>
        <w:tc>
          <w:tcPr>
            <w:tcW w:w="1417" w:type="dxa"/>
            <w:tcBorders>
              <w:top w:val="nil"/>
            </w:tcBorders>
            <w:vAlign w:val="center"/>
          </w:tcPr>
          <w:p w14:paraId="08B1F01E" w14:textId="77777777" w:rsidR="00FC2402" w:rsidRPr="009565AD" w:rsidRDefault="00FC2402" w:rsidP="00FC2402">
            <w:pPr>
              <w:pStyle w:val="table-text-0"/>
              <w:numPr>
                <w:ilvl w:val="12"/>
                <w:numId w:val="0"/>
              </w:numPr>
              <w:spacing w:before="0" w:line="360" w:lineRule="auto"/>
              <w:jc w:val="both"/>
              <w:rPr>
                <w:sz w:val="24"/>
                <w:szCs w:val="24"/>
                <w:lang w:val="ru-RU"/>
              </w:rPr>
            </w:pPr>
            <w:r w:rsidRPr="009565AD">
              <w:rPr>
                <w:sz w:val="24"/>
                <w:szCs w:val="24"/>
                <w:lang w:val="ru-RU"/>
              </w:rPr>
              <w:t>0,171—0,299</w:t>
            </w:r>
          </w:p>
        </w:tc>
        <w:tc>
          <w:tcPr>
            <w:tcW w:w="1843" w:type="dxa"/>
            <w:tcBorders>
              <w:top w:val="nil"/>
            </w:tcBorders>
            <w:vAlign w:val="center"/>
          </w:tcPr>
          <w:p w14:paraId="2D5568E5" w14:textId="77777777" w:rsidR="00FC2402" w:rsidRPr="009565AD" w:rsidRDefault="00FC2402" w:rsidP="00FC2402">
            <w:pPr>
              <w:pStyle w:val="table-text-0"/>
              <w:numPr>
                <w:ilvl w:val="12"/>
                <w:numId w:val="0"/>
              </w:numPr>
              <w:spacing w:before="0" w:line="360" w:lineRule="auto"/>
              <w:jc w:val="both"/>
              <w:rPr>
                <w:sz w:val="24"/>
                <w:szCs w:val="24"/>
                <w:lang w:val="ru-RU"/>
              </w:rPr>
            </w:pPr>
            <w:r w:rsidRPr="009565AD">
              <w:rPr>
                <w:sz w:val="24"/>
                <w:szCs w:val="24"/>
                <w:lang w:val="ru-RU"/>
              </w:rPr>
              <w:t>0,3—0,44 или</w:t>
            </w:r>
          </w:p>
        </w:tc>
        <w:tc>
          <w:tcPr>
            <w:tcW w:w="1984" w:type="dxa"/>
            <w:tcBorders>
              <w:top w:val="nil"/>
            </w:tcBorders>
            <w:vAlign w:val="center"/>
          </w:tcPr>
          <w:p w14:paraId="40A5E34C" w14:textId="77777777" w:rsidR="00FC2402" w:rsidRPr="009565AD" w:rsidRDefault="00FC2402" w:rsidP="00FC2402">
            <w:pPr>
              <w:pStyle w:val="table-text-0"/>
              <w:numPr>
                <w:ilvl w:val="12"/>
                <w:numId w:val="0"/>
              </w:numPr>
              <w:spacing w:before="0" w:line="360" w:lineRule="auto"/>
              <w:jc w:val="both"/>
              <w:rPr>
                <w:sz w:val="24"/>
                <w:szCs w:val="24"/>
                <w:lang w:val="ru-RU"/>
              </w:rPr>
            </w:pPr>
            <w:r w:rsidRPr="009565AD">
              <w:rPr>
                <w:sz w:val="24"/>
                <w:szCs w:val="24"/>
                <w:lang w:val="ru-RU"/>
              </w:rPr>
              <w:t>&gt; 0,44 или</w:t>
            </w:r>
          </w:p>
        </w:tc>
      </w:tr>
      <w:tr w:rsidR="00FC2402" w:rsidRPr="009565AD" w14:paraId="16B0BB37" w14:textId="77777777" w:rsidTr="002D3EBF">
        <w:trPr>
          <w:cantSplit/>
          <w:trHeight w:val="20"/>
        </w:trPr>
        <w:tc>
          <w:tcPr>
            <w:tcW w:w="2808" w:type="dxa"/>
            <w:tcBorders>
              <w:top w:val="nil"/>
            </w:tcBorders>
          </w:tcPr>
          <w:p w14:paraId="21C2691E" w14:textId="77777777" w:rsidR="00FC2402" w:rsidRPr="009565AD" w:rsidRDefault="00FC2402" w:rsidP="00FC2402">
            <w:pPr>
              <w:pStyle w:val="table-text-0"/>
              <w:numPr>
                <w:ilvl w:val="12"/>
                <w:numId w:val="0"/>
              </w:numPr>
              <w:spacing w:before="0" w:line="360" w:lineRule="auto"/>
              <w:jc w:val="both"/>
              <w:rPr>
                <w:sz w:val="24"/>
                <w:szCs w:val="24"/>
                <w:lang w:val="ru-RU"/>
              </w:rPr>
            </w:pPr>
            <w:r w:rsidRPr="009565AD">
              <w:rPr>
                <w:sz w:val="24"/>
                <w:szCs w:val="24"/>
                <w:lang w:val="ru-RU"/>
              </w:rPr>
              <w:t>Диурез, мл/сут</w:t>
            </w:r>
          </w:p>
        </w:tc>
        <w:tc>
          <w:tcPr>
            <w:tcW w:w="1128" w:type="dxa"/>
            <w:vAlign w:val="center"/>
          </w:tcPr>
          <w:p w14:paraId="3A47702D" w14:textId="77777777" w:rsidR="00FC2402" w:rsidRPr="009565AD" w:rsidRDefault="00FC2402" w:rsidP="00FC2402">
            <w:pPr>
              <w:pStyle w:val="table-text-0"/>
              <w:numPr>
                <w:ilvl w:val="12"/>
                <w:numId w:val="0"/>
              </w:numPr>
              <w:spacing w:before="0" w:line="360" w:lineRule="auto"/>
              <w:jc w:val="both"/>
              <w:rPr>
                <w:sz w:val="24"/>
                <w:szCs w:val="24"/>
                <w:lang w:val="ru-RU"/>
              </w:rPr>
            </w:pPr>
          </w:p>
        </w:tc>
        <w:tc>
          <w:tcPr>
            <w:tcW w:w="1417" w:type="dxa"/>
            <w:vAlign w:val="center"/>
          </w:tcPr>
          <w:p w14:paraId="61A744BD" w14:textId="77777777" w:rsidR="00FC2402" w:rsidRPr="009565AD" w:rsidRDefault="00FC2402" w:rsidP="00FC2402">
            <w:pPr>
              <w:pStyle w:val="table-text-0"/>
              <w:numPr>
                <w:ilvl w:val="12"/>
                <w:numId w:val="0"/>
              </w:numPr>
              <w:spacing w:before="0" w:line="360" w:lineRule="auto"/>
              <w:jc w:val="both"/>
              <w:rPr>
                <w:sz w:val="24"/>
                <w:szCs w:val="24"/>
                <w:lang w:val="ru-RU"/>
              </w:rPr>
            </w:pPr>
          </w:p>
        </w:tc>
        <w:tc>
          <w:tcPr>
            <w:tcW w:w="1843" w:type="dxa"/>
            <w:vAlign w:val="center"/>
          </w:tcPr>
          <w:p w14:paraId="6904F10E" w14:textId="77777777" w:rsidR="00FC2402" w:rsidRPr="009565AD" w:rsidRDefault="00FC2402" w:rsidP="00FC2402">
            <w:pPr>
              <w:pStyle w:val="table-text-0"/>
              <w:numPr>
                <w:ilvl w:val="12"/>
                <w:numId w:val="0"/>
              </w:numPr>
              <w:spacing w:before="0" w:line="360" w:lineRule="auto"/>
              <w:jc w:val="both"/>
              <w:rPr>
                <w:sz w:val="24"/>
                <w:szCs w:val="24"/>
                <w:lang w:val="ru-RU"/>
              </w:rPr>
            </w:pPr>
            <w:r w:rsidRPr="009565AD">
              <w:rPr>
                <w:sz w:val="24"/>
                <w:szCs w:val="24"/>
                <w:lang w:val="ru-RU"/>
              </w:rPr>
              <w:t>&lt; 500 мл/сут</w:t>
            </w:r>
          </w:p>
        </w:tc>
        <w:tc>
          <w:tcPr>
            <w:tcW w:w="1984" w:type="dxa"/>
            <w:vAlign w:val="center"/>
          </w:tcPr>
          <w:p w14:paraId="7DA0A396" w14:textId="77777777" w:rsidR="00FC2402" w:rsidRPr="009565AD" w:rsidRDefault="00FC2402" w:rsidP="00FC2402">
            <w:pPr>
              <w:pStyle w:val="table-text-0"/>
              <w:numPr>
                <w:ilvl w:val="12"/>
                <w:numId w:val="0"/>
              </w:numPr>
              <w:spacing w:before="0" w:line="360" w:lineRule="auto"/>
              <w:jc w:val="both"/>
              <w:rPr>
                <w:sz w:val="24"/>
                <w:szCs w:val="24"/>
                <w:lang w:val="ru-RU"/>
              </w:rPr>
            </w:pPr>
            <w:r w:rsidRPr="009565AD">
              <w:rPr>
                <w:sz w:val="24"/>
                <w:szCs w:val="24"/>
                <w:lang w:val="ru-RU"/>
              </w:rPr>
              <w:t>&lt; 200 мл/сут</w:t>
            </w:r>
          </w:p>
        </w:tc>
      </w:tr>
      <w:tr w:rsidR="00FC2402" w:rsidRPr="009565AD" w14:paraId="5C82C37C" w14:textId="77777777" w:rsidTr="002D3EBF">
        <w:trPr>
          <w:cantSplit/>
          <w:trHeight w:val="20"/>
        </w:trPr>
        <w:tc>
          <w:tcPr>
            <w:tcW w:w="9180" w:type="dxa"/>
            <w:gridSpan w:val="5"/>
          </w:tcPr>
          <w:p w14:paraId="150ADB10" w14:textId="77777777" w:rsidR="00FC2402" w:rsidRPr="009565AD" w:rsidRDefault="00FC2402" w:rsidP="00FC2402">
            <w:pPr>
              <w:pStyle w:val="table-ref"/>
              <w:spacing w:before="0" w:after="0"/>
              <w:rPr>
                <w:sz w:val="24"/>
                <w:szCs w:val="24"/>
              </w:rPr>
            </w:pPr>
            <w:r w:rsidRPr="009565AD">
              <w:rPr>
                <w:sz w:val="24"/>
                <w:szCs w:val="24"/>
              </w:rPr>
              <w:t>* Применение ≥ 1 ч; дозы в мкг/кг/мин.</w:t>
            </w:r>
          </w:p>
        </w:tc>
      </w:tr>
    </w:tbl>
    <w:p w14:paraId="1F92619D" w14:textId="77777777" w:rsidR="00FC2402" w:rsidRPr="009565AD" w:rsidRDefault="00FC2402" w:rsidP="00FC2402"/>
    <w:p w14:paraId="4DB77749" w14:textId="77777777" w:rsidR="00FC2402" w:rsidRPr="009565AD" w:rsidRDefault="00FC2402" w:rsidP="00FC2402">
      <w:pPr>
        <w:ind w:firstLine="709"/>
      </w:pPr>
      <w:r w:rsidRPr="009565AD">
        <w:t>Шкала qSOFA была создана из шкалы SOFA с помощью мультивариантного логистического регрессионного анализа. Положительная шкала SOFA — подозрение на инфекцию плюс наличие ≥ 2 баллов вследствие изменений вышеуказанных параметров.</w:t>
      </w:r>
    </w:p>
    <w:p w14:paraId="12680EA7" w14:textId="77777777" w:rsidR="00FC2402" w:rsidRPr="009565AD" w:rsidRDefault="00FC2402" w:rsidP="00FC2402">
      <w:pPr>
        <w:ind w:firstLine="709"/>
      </w:pPr>
      <w:r w:rsidRPr="009565AD">
        <w:rPr>
          <w:b/>
          <w:bCs/>
        </w:rPr>
        <w:t>4. Исключено понятие «тяжелый сепсис».</w:t>
      </w:r>
      <w:r w:rsidRPr="009565AD">
        <w:t xml:space="preserve"> «Сепсис» и «септический шок» — это две оставшиеся категории, поскольку, согласно новому определению, сепсис — это системный ответ на инфекцию, сопровождающихся развитием органной дисфункции. По сути то, что раньше называлось тяжелым сепсисом стало называться сепсисом, а то, что раньше называли просто «сепсис», отнесено к категории инфекции. Таким образом, сепсис, согласно определению «Сепсис-3», это инфекция, протекающая с органной дисфункцией. </w:t>
      </w:r>
    </w:p>
    <w:p w14:paraId="3D06DC0F" w14:textId="77777777" w:rsidR="00FC2402" w:rsidRPr="009565AD" w:rsidRDefault="00FC2402" w:rsidP="00FC2402">
      <w:pPr>
        <w:ind w:firstLine="709"/>
      </w:pPr>
      <w:r w:rsidRPr="009565AD">
        <w:rPr>
          <w:b/>
          <w:bCs/>
        </w:rPr>
        <w:t>5. Лактат — обязательный критерий септического шока наряду с артериальной гипотензией.</w:t>
      </w:r>
      <w:r w:rsidRPr="009565AD">
        <w:rPr>
          <w:bCs/>
        </w:rPr>
        <w:t xml:space="preserve"> </w:t>
      </w:r>
      <w:r w:rsidRPr="009565AD">
        <w:t>Раньше лактат рассматривался как маркер органной дисфункции. В «Сепсис-3» уровень лактата &gt; 2 ммоль/л является обязательным для диагноза септического шока. Для диагноза септического шока у больных должна быть артериальная гипотензия (среднее АД &lt; 65 мм рт. ст.) и уровень лактата &gt; 2 ммоль/л, несмотря на адекватную волемическую нагрузку.</w:t>
      </w:r>
    </w:p>
    <w:p w14:paraId="4B34F88D" w14:textId="77777777" w:rsidR="00FC2402" w:rsidRPr="009565AD" w:rsidRDefault="00FC2402" w:rsidP="00FC2402">
      <w:pPr>
        <w:ind w:firstLine="709"/>
        <w:rPr>
          <w:b/>
          <w:bCs/>
        </w:rPr>
      </w:pPr>
    </w:p>
    <w:p w14:paraId="4A300F8A" w14:textId="77777777" w:rsidR="00FC2402" w:rsidRPr="009565AD" w:rsidRDefault="00FC2402" w:rsidP="00FC2402">
      <w:pPr>
        <w:ind w:firstLine="709"/>
        <w:rPr>
          <w:b/>
          <w:bCs/>
        </w:rPr>
      </w:pPr>
      <w:r w:rsidRPr="009565AD">
        <w:rPr>
          <w:b/>
          <w:bCs/>
        </w:rPr>
        <w:t>Эпидемиология сепсиса в гематологической клинике</w:t>
      </w:r>
    </w:p>
    <w:p w14:paraId="30D10490" w14:textId="77777777" w:rsidR="00FC2402" w:rsidRPr="009565AD" w:rsidRDefault="00FC2402" w:rsidP="00FC2402">
      <w:pPr>
        <w:pStyle w:val="Normal11"/>
        <w:spacing w:before="0" w:line="360" w:lineRule="auto"/>
        <w:ind w:firstLine="709"/>
        <w:jc w:val="both"/>
        <w:rPr>
          <w:color w:val="auto"/>
          <w:szCs w:val="24"/>
        </w:rPr>
      </w:pPr>
      <w:r w:rsidRPr="009565AD">
        <w:rPr>
          <w:color w:val="auto"/>
          <w:szCs w:val="24"/>
        </w:rPr>
        <w:t>Наиболее часто выделяемыми из крови микроорганизмами при развитии септического шока у гематологических пацентов являются грамотрицательные палочки — у 47% больных; грамположительные бактерии выявляются лишь у 3,3% больных; у 6,7% больных из крови одновременно высеваются как грамположительные, так грамотрицательные микроорганизмы. Фунгемия является причиной септического шока у 10% больных. У 33% больных с септическим шоком патогены в крови не обнаруживаются.</w:t>
      </w:r>
    </w:p>
    <w:p w14:paraId="5DA8E393" w14:textId="77777777" w:rsidR="00FC2402" w:rsidRPr="009565AD" w:rsidRDefault="00FC2402" w:rsidP="00FC2402">
      <w:pPr>
        <w:ind w:firstLine="709"/>
        <w:rPr>
          <w:i/>
        </w:rPr>
      </w:pPr>
      <w:r w:rsidRPr="009565AD">
        <w:t xml:space="preserve">Среди грамотрицательных микроорганизмов септический шок чаще всего вызывают </w:t>
      </w:r>
      <w:r w:rsidRPr="009565AD">
        <w:rPr>
          <w:i/>
        </w:rPr>
        <w:t>Klebsiella pneumoniae, Pseudomonas aeruginosa, Escherichia coli, Acinetobacter baumannii</w:t>
      </w:r>
      <w:r w:rsidRPr="009565AD">
        <w:t xml:space="preserve">, среди грамположительных — </w:t>
      </w:r>
      <w:r w:rsidRPr="009565AD">
        <w:rPr>
          <w:i/>
        </w:rPr>
        <w:t>Enterococcus faecalis</w:t>
      </w:r>
      <w:r w:rsidRPr="009565AD">
        <w:t xml:space="preserve">, среди грибов — </w:t>
      </w:r>
      <w:r w:rsidRPr="009565AD">
        <w:rPr>
          <w:i/>
        </w:rPr>
        <w:t>Candida cruzei, Candida tropicalis, Acremonium spp.</w:t>
      </w:r>
    </w:p>
    <w:p w14:paraId="332F6162" w14:textId="77777777" w:rsidR="00FC2402" w:rsidRPr="009565AD" w:rsidRDefault="00FC2402" w:rsidP="00FC2402">
      <w:pPr>
        <w:ind w:firstLine="709"/>
      </w:pPr>
      <w:r w:rsidRPr="009565AD">
        <w:t xml:space="preserve">Наиболее частым первичным очагом инфекции при септическом шоке являются легкие (51%), на втором месте — инфекция кровотока (11%), кишечник (некротическая </w:t>
      </w:r>
      <w:r w:rsidRPr="009565AD">
        <w:lastRenderedPageBreak/>
        <w:t xml:space="preserve">энтеропатия) (8%). У четверти больных, несмотря на тщательное обследование, первичный очаг инфекции не удается верифицировать. </w:t>
      </w:r>
    </w:p>
    <w:p w14:paraId="3BB7C46B" w14:textId="77777777" w:rsidR="00FC2402" w:rsidRPr="009565AD" w:rsidRDefault="00FC2402" w:rsidP="00FC2402">
      <w:pPr>
        <w:ind w:firstLine="709"/>
        <w:rPr>
          <w:b/>
          <w:bCs/>
        </w:rPr>
      </w:pPr>
      <w:r w:rsidRPr="009565AD">
        <w:rPr>
          <w:b/>
          <w:bCs/>
        </w:rPr>
        <w:t>Диагностические критерии сепсиса</w:t>
      </w:r>
    </w:p>
    <w:p w14:paraId="13F71238" w14:textId="77777777" w:rsidR="00FC2402" w:rsidRPr="009565AD" w:rsidRDefault="00FC2402" w:rsidP="00FC2402">
      <w:pPr>
        <w:pStyle w:val="Normal11"/>
        <w:spacing w:before="0" w:line="360" w:lineRule="auto"/>
        <w:ind w:firstLine="709"/>
        <w:jc w:val="both"/>
        <w:rPr>
          <w:color w:val="auto"/>
          <w:szCs w:val="24"/>
        </w:rPr>
      </w:pPr>
      <w:r w:rsidRPr="009565AD">
        <w:rPr>
          <w:color w:val="auto"/>
          <w:szCs w:val="24"/>
        </w:rPr>
        <w:t>Диагностические критерии сепсиса, согласно «Сепсис-3» = подозрение на инфекцию + положительная qSOFA, то есть ≥ 2 критериев из следующих:</w:t>
      </w:r>
    </w:p>
    <w:p w14:paraId="08829D8D" w14:textId="77777777" w:rsidR="00FC2402" w:rsidRPr="009565AD" w:rsidRDefault="00FC2402" w:rsidP="00FC2402">
      <w:pPr>
        <w:pStyle w:val="Number1"/>
        <w:spacing w:before="0" w:line="360" w:lineRule="auto"/>
        <w:ind w:firstLine="709"/>
        <w:jc w:val="both"/>
        <w:rPr>
          <w:color w:val="auto"/>
          <w:szCs w:val="24"/>
        </w:rPr>
      </w:pPr>
      <w:r w:rsidRPr="009565AD">
        <w:rPr>
          <w:color w:val="auto"/>
          <w:szCs w:val="24"/>
        </w:rPr>
        <w:t>1. Нарушенный ментальный статус (шкала комы Глазго &lt; 15).</w:t>
      </w:r>
    </w:p>
    <w:p w14:paraId="15E2EE56" w14:textId="77777777" w:rsidR="00FC2402" w:rsidRPr="009565AD" w:rsidRDefault="00FC2402" w:rsidP="00FC2402">
      <w:pPr>
        <w:pStyle w:val="Number1"/>
        <w:spacing w:before="0" w:line="360" w:lineRule="auto"/>
        <w:ind w:firstLine="709"/>
        <w:jc w:val="both"/>
        <w:rPr>
          <w:color w:val="auto"/>
          <w:szCs w:val="24"/>
        </w:rPr>
      </w:pPr>
      <w:r w:rsidRPr="009565AD">
        <w:rPr>
          <w:color w:val="auto"/>
          <w:szCs w:val="24"/>
        </w:rPr>
        <w:t xml:space="preserve">2. Систолическое АД ≤ 100 мм рт. ст. </w:t>
      </w:r>
    </w:p>
    <w:p w14:paraId="3DDE10FD" w14:textId="77777777" w:rsidR="00FC2402" w:rsidRPr="009565AD" w:rsidRDefault="00FC2402" w:rsidP="00FC2402">
      <w:pPr>
        <w:pStyle w:val="Number1"/>
        <w:spacing w:before="0" w:line="360" w:lineRule="auto"/>
        <w:ind w:firstLine="709"/>
        <w:jc w:val="both"/>
        <w:rPr>
          <w:color w:val="auto"/>
          <w:szCs w:val="24"/>
        </w:rPr>
      </w:pPr>
      <w:r w:rsidRPr="009565AD">
        <w:rPr>
          <w:color w:val="auto"/>
          <w:szCs w:val="24"/>
        </w:rPr>
        <w:t>3. Число дыханий ≥ 22/мин.</w:t>
      </w:r>
    </w:p>
    <w:p w14:paraId="0B3E9926" w14:textId="77777777" w:rsidR="00FC2402" w:rsidRPr="009565AD" w:rsidRDefault="00FC2402" w:rsidP="00FC2402">
      <w:pPr>
        <w:ind w:firstLine="709"/>
      </w:pPr>
      <w:r w:rsidRPr="009565AD">
        <w:rPr>
          <w:b/>
          <w:bCs/>
          <w:lang w:eastAsia="en-GB"/>
        </w:rPr>
        <w:t>Септический шок</w:t>
      </w:r>
      <w:r w:rsidRPr="009565AD">
        <w:rPr>
          <w:lang w:eastAsia="en-GB"/>
        </w:rPr>
        <w:t> — это сепсис, протекающий с персистирующей артериальной гипотензией, требующей для поддержания среднего АД выше 65 мм рт. ст. применения вазопресоров, несмотря на адекватную волемическую нагрузку, и с уровнем сывороточного лактата &gt; 2 ммоль/л (18 мг/дл). При наличии этих критериев смертность превышает 40%.</w:t>
      </w:r>
    </w:p>
    <w:p w14:paraId="7B85F51B" w14:textId="77777777" w:rsidR="00FC2402" w:rsidRPr="009565AD" w:rsidRDefault="00FC2402" w:rsidP="00FC2402">
      <w:pPr>
        <w:ind w:firstLine="709"/>
        <w:rPr>
          <w:lang w:eastAsia="en-GB"/>
        </w:rPr>
      </w:pPr>
      <w:r w:rsidRPr="009565AD">
        <w:rPr>
          <w:lang w:eastAsia="en-GB"/>
        </w:rPr>
        <w:t xml:space="preserve">Под артериальной гипотензией понимается снижение систолического АД &lt; 100 мм рт. ст. либо среднего АД &lt; 65 мм рт. ст. в течение более 1 часа, сохраняющееся, несмотря на адекватную инфузионную терапию. Критерием адекватности проводимой инфузионной терапии считается повышение ЦВД до 12 мм рт. ст., нормализация индекса </w:t>
      </w:r>
      <w:r w:rsidRPr="009565AD">
        <w:t>глобального конечно-диастолического объема (</w:t>
      </w:r>
      <w:r w:rsidRPr="009565AD">
        <w:rPr>
          <w:lang w:eastAsia="en-GB"/>
        </w:rPr>
        <w:t>ГКДО) по данным транспульмональной термодилюции, то есть &gt; 680 мл/м</w:t>
      </w:r>
      <w:r w:rsidRPr="009565AD">
        <w:rPr>
          <w:vertAlign w:val="superscript"/>
          <w:lang w:eastAsia="en-GB"/>
        </w:rPr>
        <w:t>2</w:t>
      </w:r>
      <w:r w:rsidRPr="009565AD">
        <w:rPr>
          <w:lang w:eastAsia="en-GB"/>
        </w:rPr>
        <w:t xml:space="preserve">. </w:t>
      </w:r>
    </w:p>
    <w:p w14:paraId="5D1916C0" w14:textId="77777777" w:rsidR="00FC2402" w:rsidRPr="009565AD" w:rsidRDefault="00FC2402" w:rsidP="00FC2402">
      <w:pPr>
        <w:ind w:firstLine="709"/>
        <w:rPr>
          <w:lang w:eastAsia="en-GB"/>
        </w:rPr>
      </w:pPr>
      <w:r w:rsidRPr="009565AD">
        <w:rPr>
          <w:lang w:eastAsia="en-GB"/>
        </w:rPr>
        <w:t xml:space="preserve">Наличие бактериемии не является обязательным условием для диагностики септического шока. Считают, что больной выведен из состояния септического шока, если в течение суток без введения инотропных или вазопрессорных препаратов и волемической нагрузки систолическое АД стабилизируется на цифрах </w:t>
      </w:r>
      <w:r w:rsidRPr="009565AD">
        <w:t>≥</w:t>
      </w:r>
      <w:r w:rsidRPr="009565AD">
        <w:rPr>
          <w:lang w:eastAsia="en-GB"/>
        </w:rPr>
        <w:t> 90 мм рт. ст. и исчезают признаки нарушения тканевой перфузии.</w:t>
      </w:r>
    </w:p>
    <w:p w14:paraId="268AAD07" w14:textId="77777777" w:rsidR="00FC2402" w:rsidRPr="009565AD" w:rsidRDefault="00FC2402" w:rsidP="00FC2402">
      <w:pPr>
        <w:ind w:firstLine="709"/>
        <w:rPr>
          <w:lang w:eastAsia="en-GB"/>
        </w:rPr>
      </w:pPr>
      <w:r w:rsidRPr="009565AD">
        <w:rPr>
          <w:lang w:eastAsia="en-GB"/>
        </w:rPr>
        <w:t>Под острой почечной недостаточностью понимают олигурию (диурез &lt; 0,5 мл/кг/ч) и/или повышение концентрации креатинина сыворотки &gt; 0,2 ммоль/л).</w:t>
      </w:r>
    </w:p>
    <w:p w14:paraId="311CA0E3" w14:textId="77777777" w:rsidR="00FC2402" w:rsidRPr="009565AD" w:rsidRDefault="00FC2402" w:rsidP="00FC2402">
      <w:pPr>
        <w:ind w:firstLine="709"/>
        <w:rPr>
          <w:lang w:eastAsia="en-GB"/>
        </w:rPr>
      </w:pPr>
      <w:r w:rsidRPr="009565AD">
        <w:rPr>
          <w:lang w:eastAsia="en-GB"/>
        </w:rPr>
        <w:t xml:space="preserve">Печеночная дисфункция диагностируется при выявлении гипербилирубинемии &gt; 70 мкмоль/л и/или повышения активности трансаминаз в два раза и более от нормы. </w:t>
      </w:r>
    </w:p>
    <w:p w14:paraId="3254F8E9" w14:textId="77777777" w:rsidR="00FC2402" w:rsidRPr="009565AD" w:rsidRDefault="00FC2402" w:rsidP="00FC2402">
      <w:pPr>
        <w:ind w:firstLine="709"/>
        <w:rPr>
          <w:lang w:eastAsia="en-GB"/>
        </w:rPr>
      </w:pPr>
      <w:r w:rsidRPr="009565AD">
        <w:rPr>
          <w:lang w:eastAsia="en-GB"/>
        </w:rPr>
        <w:t>Критерии острой дыхательной недостаточности — тахипноэ (число дыханий в покое &gt; 30/мин), артериальная гипоксемия (Р</w:t>
      </w:r>
      <w:r w:rsidRPr="009565AD">
        <w:rPr>
          <w:vertAlign w:val="subscript"/>
          <w:lang w:eastAsia="en-GB"/>
        </w:rPr>
        <w:t>a</w:t>
      </w:r>
      <w:r w:rsidRPr="009565AD">
        <w:rPr>
          <w:lang w:eastAsia="en-GB"/>
        </w:rPr>
        <w:t>О</w:t>
      </w:r>
      <w:r w:rsidRPr="009565AD">
        <w:rPr>
          <w:vertAlign w:val="subscript"/>
          <w:lang w:eastAsia="en-GB"/>
        </w:rPr>
        <w:t>2</w:t>
      </w:r>
      <w:r w:rsidRPr="009565AD">
        <w:rPr>
          <w:lang w:eastAsia="en-GB"/>
        </w:rPr>
        <w:t xml:space="preserve"> &lt; 60 мм рт. ст.) или гиперкапния (Р</w:t>
      </w:r>
      <w:r w:rsidRPr="009565AD">
        <w:rPr>
          <w:vertAlign w:val="subscript"/>
          <w:lang w:eastAsia="en-GB"/>
        </w:rPr>
        <w:t>а</w:t>
      </w:r>
      <w:r w:rsidRPr="009565AD">
        <w:rPr>
          <w:lang w:eastAsia="en-GB"/>
        </w:rPr>
        <w:t>СО</w:t>
      </w:r>
      <w:r w:rsidRPr="009565AD">
        <w:rPr>
          <w:vertAlign w:val="subscript"/>
          <w:lang w:eastAsia="en-GB"/>
        </w:rPr>
        <w:t>2</w:t>
      </w:r>
      <w:r w:rsidRPr="009565AD">
        <w:rPr>
          <w:lang w:eastAsia="en-GB"/>
        </w:rPr>
        <w:t xml:space="preserve"> &gt; 50 мм рт. ст.) при дыхании воздухом, появление обширного двустороннего поражения легких по рентгенологическим данным при отсутствии клинических признаков первичной сердечной недостаточности и хронического заболевания легких. </w:t>
      </w:r>
    </w:p>
    <w:p w14:paraId="00DDD153" w14:textId="77777777" w:rsidR="00FC2402" w:rsidRPr="009565AD" w:rsidRDefault="00FC2402" w:rsidP="00FC2402">
      <w:pPr>
        <w:ind w:firstLine="709"/>
        <w:rPr>
          <w:lang w:eastAsia="en-GB"/>
        </w:rPr>
      </w:pPr>
      <w:r w:rsidRPr="009565AD">
        <w:rPr>
          <w:lang w:eastAsia="en-GB"/>
        </w:rPr>
        <w:t>Выраженность дыхательной недостаточности оценивается у больных по респираторному индексу, вычисляемому по формуле P</w:t>
      </w:r>
      <w:r w:rsidRPr="009565AD">
        <w:rPr>
          <w:vertAlign w:val="subscript"/>
          <w:lang w:eastAsia="en-GB"/>
        </w:rPr>
        <w:t>a</w:t>
      </w:r>
      <w:r w:rsidRPr="009565AD">
        <w:rPr>
          <w:lang w:eastAsia="en-GB"/>
        </w:rPr>
        <w:t>O</w:t>
      </w:r>
      <w:r w:rsidRPr="009565AD">
        <w:rPr>
          <w:vertAlign w:val="subscript"/>
          <w:lang w:eastAsia="en-GB"/>
        </w:rPr>
        <w:t>2</w:t>
      </w:r>
      <w:r w:rsidRPr="009565AD">
        <w:rPr>
          <w:lang w:eastAsia="en-GB"/>
        </w:rPr>
        <w:t>/F</w:t>
      </w:r>
      <w:r w:rsidRPr="009565AD">
        <w:rPr>
          <w:vertAlign w:val="subscript"/>
          <w:lang w:eastAsia="en-GB"/>
        </w:rPr>
        <w:t>I</w:t>
      </w:r>
      <w:r w:rsidRPr="009565AD">
        <w:rPr>
          <w:lang w:eastAsia="en-GB"/>
        </w:rPr>
        <w:t>O</w:t>
      </w:r>
      <w:r w:rsidRPr="009565AD">
        <w:rPr>
          <w:vertAlign w:val="subscript"/>
          <w:lang w:eastAsia="en-GB"/>
        </w:rPr>
        <w:t>2</w:t>
      </w:r>
      <w:r w:rsidRPr="009565AD">
        <w:rPr>
          <w:lang w:eastAsia="en-GB"/>
        </w:rPr>
        <w:t>, где P</w:t>
      </w:r>
      <w:r w:rsidRPr="009565AD">
        <w:rPr>
          <w:vertAlign w:val="subscript"/>
          <w:lang w:eastAsia="en-GB"/>
        </w:rPr>
        <w:t>a</w:t>
      </w:r>
      <w:r w:rsidRPr="009565AD">
        <w:rPr>
          <w:lang w:eastAsia="en-GB"/>
        </w:rPr>
        <w:t>O</w:t>
      </w:r>
      <w:r w:rsidRPr="009565AD">
        <w:rPr>
          <w:vertAlign w:val="subscript"/>
          <w:lang w:eastAsia="en-GB"/>
        </w:rPr>
        <w:t>2</w:t>
      </w:r>
      <w:r w:rsidRPr="009565AD">
        <w:rPr>
          <w:lang w:eastAsia="en-GB"/>
        </w:rPr>
        <w:t> — это напряжения кислорода в артериальной крови, а F</w:t>
      </w:r>
      <w:r w:rsidRPr="009565AD">
        <w:rPr>
          <w:vertAlign w:val="subscript"/>
          <w:lang w:eastAsia="en-GB"/>
        </w:rPr>
        <w:t>I</w:t>
      </w:r>
      <w:r w:rsidRPr="009565AD">
        <w:rPr>
          <w:lang w:eastAsia="en-GB"/>
        </w:rPr>
        <w:t>O</w:t>
      </w:r>
      <w:r w:rsidRPr="009565AD">
        <w:rPr>
          <w:vertAlign w:val="subscript"/>
          <w:lang w:eastAsia="en-GB"/>
        </w:rPr>
        <w:t>2</w:t>
      </w:r>
      <w:r w:rsidRPr="009565AD">
        <w:rPr>
          <w:lang w:eastAsia="en-GB"/>
        </w:rPr>
        <w:t xml:space="preserve"> — процентное содержание кислорода во вдыхаемой </w:t>
      </w:r>
      <w:r w:rsidRPr="009565AD">
        <w:rPr>
          <w:lang w:eastAsia="en-GB"/>
        </w:rPr>
        <w:lastRenderedPageBreak/>
        <w:t>смеси, выраженное в долях единицы. В норме этот показатель превышает 350—400 мм рт. ст.</w:t>
      </w:r>
    </w:p>
    <w:p w14:paraId="58B405FD" w14:textId="77777777" w:rsidR="00FC2402" w:rsidRPr="009565AD" w:rsidRDefault="00FC2402" w:rsidP="00FC2402">
      <w:pPr>
        <w:ind w:firstLine="709"/>
        <w:rPr>
          <w:lang w:eastAsia="en-GB"/>
        </w:rPr>
      </w:pPr>
      <w:r w:rsidRPr="009565AD">
        <w:rPr>
          <w:lang w:eastAsia="en-GB"/>
        </w:rPr>
        <w:t>Некротическую энтеропатию диагностируют при появлении метеоризма, болей в животе, диареи при отсутствии признаков острого панкреатита.</w:t>
      </w:r>
    </w:p>
    <w:p w14:paraId="0D569487" w14:textId="77777777" w:rsidR="00FC2402" w:rsidRPr="009565AD" w:rsidRDefault="00FC2402" w:rsidP="00FC2402">
      <w:pPr>
        <w:ind w:firstLine="708"/>
        <w:rPr>
          <w:b/>
          <w:bCs/>
          <w:lang w:eastAsia="en-GB"/>
        </w:rPr>
      </w:pPr>
      <w:r w:rsidRPr="009565AD">
        <w:rPr>
          <w:b/>
          <w:bCs/>
          <w:lang w:eastAsia="en-GB"/>
        </w:rPr>
        <w:t>Алгоритм действий при поступлении больного в стационар с подозрением на септический шок</w:t>
      </w:r>
    </w:p>
    <w:p w14:paraId="4D8CC746" w14:textId="77777777" w:rsidR="00FC2402" w:rsidRPr="009565AD" w:rsidRDefault="00FC2402" w:rsidP="00FC2402">
      <w:pPr>
        <w:pStyle w:val="Number1"/>
        <w:spacing w:before="0" w:line="360" w:lineRule="auto"/>
        <w:jc w:val="both"/>
        <w:rPr>
          <w:color w:val="auto"/>
          <w:szCs w:val="24"/>
        </w:rPr>
      </w:pPr>
      <w:r w:rsidRPr="009565AD">
        <w:rPr>
          <w:color w:val="auto"/>
          <w:szCs w:val="24"/>
        </w:rPr>
        <w:tab/>
        <w:t>1.</w:t>
      </w:r>
      <w:r w:rsidRPr="009565AD">
        <w:rPr>
          <w:color w:val="auto"/>
          <w:szCs w:val="24"/>
        </w:rPr>
        <w:tab/>
        <w:t>Взятие кровь для микробиологического исследования из периферической вены и/или из центрального катетера в объеме 8—10 мл во флаконы, предназначенные для культивирования аэробных бактерий (BACTEC PLUS Aerobic/F). При наличии у больного установленного центрального венозного катетера в связи с возможным его инфицированием необходимо удалить катетер с последующим посевом его кончика. В обязательном порядке пациенту устанавливается новый центральный венозный катетер под ультразвуковой навигацией.</w:t>
      </w:r>
    </w:p>
    <w:p w14:paraId="2CC5A62B" w14:textId="77777777" w:rsidR="00FC2402" w:rsidRPr="009565AD" w:rsidRDefault="00FC2402" w:rsidP="00FC2402">
      <w:pPr>
        <w:pStyle w:val="Number1"/>
        <w:spacing w:before="0" w:line="360" w:lineRule="auto"/>
        <w:jc w:val="both"/>
        <w:rPr>
          <w:color w:val="auto"/>
          <w:szCs w:val="24"/>
        </w:rPr>
      </w:pPr>
      <w:r w:rsidRPr="009565AD">
        <w:rPr>
          <w:color w:val="auto"/>
          <w:szCs w:val="24"/>
        </w:rPr>
        <w:tab/>
        <w:t>2.</w:t>
      </w:r>
      <w:r w:rsidRPr="009565AD">
        <w:rPr>
          <w:color w:val="auto"/>
          <w:szCs w:val="24"/>
        </w:rPr>
        <w:tab/>
        <w:t xml:space="preserve">Выполнение посевов (микробиологических/бактериологических исследований) со слизистых прямой кишки, зева и мочи. </w:t>
      </w:r>
    </w:p>
    <w:p w14:paraId="35847C04" w14:textId="77777777" w:rsidR="00FC2402" w:rsidRPr="009565AD" w:rsidRDefault="00FC2402" w:rsidP="00FC2402">
      <w:pPr>
        <w:pStyle w:val="Number1"/>
        <w:spacing w:before="0" w:line="360" w:lineRule="auto"/>
        <w:jc w:val="both"/>
        <w:rPr>
          <w:color w:val="auto"/>
          <w:szCs w:val="24"/>
        </w:rPr>
      </w:pPr>
      <w:r w:rsidRPr="009565AD">
        <w:rPr>
          <w:color w:val="auto"/>
          <w:szCs w:val="24"/>
        </w:rPr>
        <w:tab/>
        <w:t>3.</w:t>
      </w:r>
      <w:r w:rsidRPr="009565AD">
        <w:rPr>
          <w:color w:val="auto"/>
          <w:szCs w:val="24"/>
        </w:rPr>
        <w:tab/>
        <w:t xml:space="preserve">Определение концентрации маркеров воспаления — сывороточная концентрация прокальцитонина и С-реактивного белка, плазменная концентрация пресепсина. При развитии септического шока концентрация прокальцитонина может оставаться в пределах нормальных значений (запаздывать), так как уровень прокальцитонина обычно повышается только через 10—12 часов после развития сепсиса. Поэтому рекомендуется повторно определять концентрацию прокальцитонина через 10—12 часов от развития септического шока. Уровни маркеров воспаления должны определяться в динамике. </w:t>
      </w:r>
    </w:p>
    <w:p w14:paraId="3696685D" w14:textId="77777777" w:rsidR="00FC2402" w:rsidRPr="009565AD" w:rsidRDefault="00FC2402" w:rsidP="00FC2402">
      <w:pPr>
        <w:pStyle w:val="Normal11"/>
        <w:spacing w:before="0" w:line="360" w:lineRule="auto"/>
        <w:ind w:left="284" w:hanging="284"/>
        <w:jc w:val="both"/>
        <w:rPr>
          <w:color w:val="auto"/>
          <w:szCs w:val="24"/>
        </w:rPr>
      </w:pPr>
      <w:r w:rsidRPr="009565AD">
        <w:rPr>
          <w:color w:val="auto"/>
          <w:szCs w:val="24"/>
        </w:rPr>
        <w:tab/>
        <w:t>4.</w:t>
      </w:r>
      <w:r w:rsidRPr="009565AD">
        <w:rPr>
          <w:color w:val="auto"/>
          <w:szCs w:val="24"/>
        </w:rPr>
        <w:tab/>
        <w:t xml:space="preserve">Выполнение спиральной </w:t>
      </w:r>
      <w:r w:rsidRPr="009565AD">
        <w:rPr>
          <w:bCs/>
          <w:color w:val="auto"/>
          <w:szCs w:val="24"/>
        </w:rPr>
        <w:t xml:space="preserve">компьютерной томографии (СКТ) </w:t>
      </w:r>
      <w:r w:rsidRPr="009565AD">
        <w:rPr>
          <w:color w:val="auto"/>
          <w:szCs w:val="24"/>
        </w:rPr>
        <w:t>грудной клетки всем пациентам с подозрением на пневмонию, по результатам которой выявляется область наибольшего поражения, выполняется фибробронхоскопия с бронхоальвеолярным лаважом. (См. ниже раздел «</w:t>
      </w:r>
      <w:r w:rsidRPr="009565AD">
        <w:rPr>
          <w:kern w:val="36"/>
          <w:szCs w:val="24"/>
        </w:rPr>
        <w:t>Острая дыхательная недостаточность у гематологических пациентов» и Протокол</w:t>
      </w:r>
      <w:r w:rsidRPr="009565AD">
        <w:rPr>
          <w:color w:val="auto"/>
          <w:szCs w:val="24"/>
        </w:rPr>
        <w:t xml:space="preserve"> обследования пациентов с поражением легких (рис.1). </w:t>
      </w:r>
    </w:p>
    <w:p w14:paraId="432E997E" w14:textId="77777777" w:rsidR="00FC2402" w:rsidRPr="009565AD" w:rsidRDefault="00FC2402" w:rsidP="00FC2402">
      <w:pPr>
        <w:pStyle w:val="Number1"/>
        <w:spacing w:before="0" w:line="360" w:lineRule="auto"/>
        <w:jc w:val="both"/>
        <w:rPr>
          <w:color w:val="auto"/>
          <w:szCs w:val="24"/>
        </w:rPr>
      </w:pPr>
      <w:r w:rsidRPr="009565AD">
        <w:rPr>
          <w:color w:val="auto"/>
          <w:szCs w:val="24"/>
        </w:rPr>
        <w:tab/>
        <w:t>5.</w:t>
      </w:r>
      <w:r w:rsidRPr="009565AD">
        <w:rPr>
          <w:color w:val="auto"/>
          <w:szCs w:val="24"/>
        </w:rPr>
        <w:tab/>
        <w:t xml:space="preserve">Выполнение электрокардиографии и трансторакальной эхокардиографии всем пациментам, а также определение концентрации кардиомаркеров (тропонин I, КФК КФК-МБ) для исключения развития септической миокардиальной дисфункции или септического миокардита. </w:t>
      </w:r>
    </w:p>
    <w:p w14:paraId="6DC34B37" w14:textId="77777777" w:rsidR="00FC2402" w:rsidRPr="009565AD" w:rsidRDefault="00FC2402" w:rsidP="00FC2402">
      <w:pPr>
        <w:pStyle w:val="Number1"/>
        <w:spacing w:before="0" w:line="360" w:lineRule="auto"/>
        <w:jc w:val="both"/>
        <w:rPr>
          <w:color w:val="auto"/>
          <w:szCs w:val="24"/>
        </w:rPr>
      </w:pPr>
      <w:r w:rsidRPr="009565AD">
        <w:rPr>
          <w:color w:val="auto"/>
          <w:szCs w:val="24"/>
        </w:rPr>
        <w:tab/>
        <w:t>6.</w:t>
      </w:r>
      <w:r w:rsidRPr="009565AD">
        <w:rPr>
          <w:color w:val="auto"/>
          <w:szCs w:val="24"/>
        </w:rPr>
        <w:tab/>
        <w:t xml:space="preserve">Установление артериальной линии для инвазивного мониторинга АД и взятия проб крови для анализа кислотно-щелочного состояния, газов крови у всех пациентов. Устанавливается катетер в a. radialis или a. femoralis либо катетер </w:t>
      </w:r>
      <w:r w:rsidRPr="009565AD">
        <w:rPr>
          <w:color w:val="auto"/>
          <w:szCs w:val="24"/>
          <w:lang w:val="en-US"/>
        </w:rPr>
        <w:t>P</w:t>
      </w:r>
      <w:r w:rsidRPr="009565AD">
        <w:rPr>
          <w:color w:val="auto"/>
          <w:szCs w:val="24"/>
        </w:rPr>
        <w:t>i</w:t>
      </w:r>
      <w:r w:rsidRPr="009565AD">
        <w:rPr>
          <w:color w:val="auto"/>
          <w:szCs w:val="24"/>
          <w:lang w:val="en-US"/>
        </w:rPr>
        <w:t>CCO</w:t>
      </w:r>
      <w:r w:rsidRPr="009565AD">
        <w:rPr>
          <w:color w:val="auto"/>
          <w:szCs w:val="24"/>
        </w:rPr>
        <w:t xml:space="preserve">. Цель терапии — </w:t>
      </w:r>
      <w:r w:rsidRPr="009565AD">
        <w:rPr>
          <w:color w:val="auto"/>
          <w:szCs w:val="24"/>
        </w:rPr>
        <w:lastRenderedPageBreak/>
        <w:t>достижение среднего АД ≥ 65 мм рт. ст., ЦВД 8—12 мм рт. ст., диуреза &gt; 0,5 мл/кг/ч, S</w:t>
      </w:r>
      <w:r w:rsidRPr="009565AD">
        <w:rPr>
          <w:color w:val="auto"/>
          <w:szCs w:val="24"/>
          <w:vertAlign w:val="subscript"/>
        </w:rPr>
        <w:t>cv</w:t>
      </w:r>
      <w:r w:rsidRPr="009565AD">
        <w:rPr>
          <w:color w:val="auto"/>
          <w:szCs w:val="24"/>
        </w:rPr>
        <w:t>O</w:t>
      </w:r>
      <w:r w:rsidRPr="009565AD">
        <w:rPr>
          <w:color w:val="auto"/>
          <w:szCs w:val="24"/>
          <w:vertAlign w:val="subscript"/>
        </w:rPr>
        <w:t>2</w:t>
      </w:r>
      <w:r w:rsidRPr="009565AD">
        <w:rPr>
          <w:color w:val="auto"/>
          <w:szCs w:val="24"/>
        </w:rPr>
        <w:t xml:space="preserve"> ≥ 70%, индекса ГКДО ≥ 680 мл/м</w:t>
      </w:r>
      <w:r w:rsidRPr="009565AD">
        <w:rPr>
          <w:color w:val="auto"/>
          <w:szCs w:val="24"/>
          <w:vertAlign w:val="superscript"/>
        </w:rPr>
        <w:t>2</w:t>
      </w:r>
      <w:r w:rsidRPr="009565AD">
        <w:rPr>
          <w:color w:val="auto"/>
          <w:szCs w:val="24"/>
        </w:rPr>
        <w:t xml:space="preserve">. Индекс ГКДО необходимо оценивать в динамике. Но не надо стремиться к достижению условных норм индекса ГКДО при появлении признаков перегрузки объемом, так как это условные нормы не всегда отражают волемический статус пациента. </w:t>
      </w:r>
    </w:p>
    <w:p w14:paraId="78297204" w14:textId="77777777" w:rsidR="00FC2402" w:rsidRPr="009565AD" w:rsidRDefault="00FC2402" w:rsidP="00FC2402">
      <w:pPr>
        <w:pStyle w:val="Number1"/>
        <w:spacing w:before="0" w:line="360" w:lineRule="auto"/>
        <w:jc w:val="both"/>
        <w:rPr>
          <w:color w:val="auto"/>
          <w:szCs w:val="24"/>
        </w:rPr>
      </w:pPr>
      <w:r w:rsidRPr="009565AD">
        <w:rPr>
          <w:color w:val="auto"/>
          <w:szCs w:val="24"/>
        </w:rPr>
        <w:tab/>
        <w:t>7.</w:t>
      </w:r>
      <w:r w:rsidRPr="009565AD">
        <w:rPr>
          <w:color w:val="auto"/>
          <w:szCs w:val="24"/>
        </w:rPr>
        <w:tab/>
        <w:t>При катетеризации сосудов уровень тромбоцитов &lt; 20х10</w:t>
      </w:r>
      <w:r w:rsidRPr="009565AD">
        <w:rPr>
          <w:color w:val="auto"/>
          <w:szCs w:val="24"/>
          <w:vertAlign w:val="superscript"/>
        </w:rPr>
        <w:t>9</w:t>
      </w:r>
      <w:r w:rsidRPr="009565AD">
        <w:rPr>
          <w:color w:val="auto"/>
          <w:szCs w:val="24"/>
        </w:rPr>
        <w:t xml:space="preserve">/л является показанием для трансфузии концентрата тромбоцитов. Процедуры катетеризации сосудов следует выполнять под ультразвуковым контролем. В неотложных ситуациях катетеризация выполняется при любом уровне тромбоцитов. </w:t>
      </w:r>
    </w:p>
    <w:p w14:paraId="6907F92A" w14:textId="77777777" w:rsidR="00FC2402" w:rsidRPr="009565AD" w:rsidRDefault="00FC2402" w:rsidP="00FC2402">
      <w:pPr>
        <w:pStyle w:val="Number1"/>
        <w:spacing w:before="0" w:line="360" w:lineRule="auto"/>
        <w:jc w:val="both"/>
        <w:rPr>
          <w:color w:val="auto"/>
          <w:szCs w:val="24"/>
        </w:rPr>
      </w:pPr>
      <w:r w:rsidRPr="009565AD">
        <w:rPr>
          <w:color w:val="auto"/>
          <w:szCs w:val="24"/>
        </w:rPr>
        <w:tab/>
      </w:r>
      <w:r w:rsidRPr="009565AD">
        <w:rPr>
          <w:color w:val="auto"/>
          <w:szCs w:val="24"/>
        </w:rPr>
        <w:tab/>
        <w:t>8.</w:t>
      </w:r>
      <w:r w:rsidRPr="009565AD">
        <w:rPr>
          <w:color w:val="auto"/>
          <w:szCs w:val="24"/>
        </w:rPr>
        <w:tab/>
        <w:t>При возникновении подозрения на сепсис должна быть начата эмпирическая антибактериальная терапия с использованием одного или более препаратов, имеющих активность против всех потенциальных патогенов (бактерии и/или грибы) и создающих адекватную концентрацию в предполагаемых источниках сепсиса. Антибактериальная терапия должна быть видоизменена с учетом профиля чувствительности микроорганизма к антибиотикам в наиболее ранние сроки. Модификацию антибактериальной терапии проводят согласно результатам микробиологических исследований.</w:t>
      </w:r>
    </w:p>
    <w:p w14:paraId="71EEA7E2" w14:textId="77777777" w:rsidR="00FC2402" w:rsidRPr="009565AD" w:rsidRDefault="00FC2402" w:rsidP="00FC2402">
      <w:pPr>
        <w:pStyle w:val="Number1"/>
        <w:spacing w:before="0" w:line="360" w:lineRule="auto"/>
        <w:jc w:val="both"/>
        <w:rPr>
          <w:color w:val="auto"/>
          <w:szCs w:val="24"/>
        </w:rPr>
      </w:pPr>
      <w:r w:rsidRPr="009565AD">
        <w:rPr>
          <w:color w:val="auto"/>
          <w:szCs w:val="24"/>
        </w:rPr>
        <w:tab/>
        <w:t>9.</w:t>
      </w:r>
      <w:r w:rsidRPr="009565AD">
        <w:rPr>
          <w:color w:val="auto"/>
          <w:szCs w:val="24"/>
        </w:rPr>
        <w:tab/>
        <w:t>Волемическая нагрузка кристаллоидами — препаратами выбора в инфузионной терапии тяжелого сепсиса и септического шока. В инфузионной терапии сепсиса и септического шока не рекомендованы препараты гидроксиэтилкрахмала. Альбумин человека используется в инфузионной терапии тяжелого сепсиса и септического шока у пациентов, нуждающихся в значительных дозах кристаллоидов. Начальная водная нагрузка должна составлять не менее 30 мл/кг кристаллоидов (часть этой дозы можно заменить на альбумин человека). Для некоторых пациентов требуются большая доза и скорость введения. Начальной целью инфузии является ЦВД 8 мм рт. ст. (12 мм рт. ст. при проведении инвазивной вентиляции легких (ИВЛ). Часто инфузия необходима и в дальнейшем. Рекомендуется продолжать инфузию до тех пор, пока продолжается гемодинамическое улучшение (АД, ЧСС, темп диуреза, нормализация повышенного уровня лактата). Рекомендуется значительно уменьшить скорость инфузии, когда увеличение преднагрузки сердца (ЦВД) не приводит к гемодинамическому улучшению (возрастанию сердечного выброса). Таким образом, целевые значения жизненно важных параметров: ЦВД 8—12 мм рт. ст., индекс ГКДО 680 мл/м</w:t>
      </w:r>
      <w:r w:rsidRPr="009565AD">
        <w:rPr>
          <w:color w:val="auto"/>
          <w:szCs w:val="24"/>
          <w:vertAlign w:val="superscript"/>
        </w:rPr>
        <w:t>2</w:t>
      </w:r>
      <w:r w:rsidRPr="009565AD">
        <w:rPr>
          <w:color w:val="auto"/>
          <w:szCs w:val="24"/>
        </w:rPr>
        <w:t xml:space="preserve">, среднее АД 65 мм рт. ст., диурез 0,5 мл/кг в час, оксигенация в смешанной венозной крови 70% или в венозной крови из верхней полой вены 65%. </w:t>
      </w:r>
    </w:p>
    <w:p w14:paraId="6BAB6AF5" w14:textId="77777777" w:rsidR="00FC2402" w:rsidRPr="009565AD" w:rsidRDefault="00FC2402" w:rsidP="00FC2402">
      <w:pPr>
        <w:pStyle w:val="Number1"/>
        <w:spacing w:before="0" w:line="360" w:lineRule="auto"/>
        <w:jc w:val="both"/>
        <w:rPr>
          <w:color w:val="auto"/>
          <w:szCs w:val="24"/>
        </w:rPr>
      </w:pPr>
      <w:r w:rsidRPr="009565AD">
        <w:rPr>
          <w:color w:val="auto"/>
          <w:szCs w:val="24"/>
        </w:rPr>
        <w:tab/>
        <w:t>10.</w:t>
      </w:r>
      <w:r w:rsidRPr="009565AD">
        <w:rPr>
          <w:color w:val="auto"/>
          <w:szCs w:val="24"/>
        </w:rPr>
        <w:tab/>
        <w:t xml:space="preserve">Вазопрессорная терапия должна начинаться при сохраняющемся в течение &gt; 1 часа, несмотря на инфузию адекватных объемов жидкости, систолическом АД &lt; 90 мм рт. ст. </w:t>
      </w:r>
      <w:r w:rsidRPr="009565AD">
        <w:rPr>
          <w:color w:val="auto"/>
          <w:szCs w:val="24"/>
        </w:rPr>
        <w:lastRenderedPageBreak/>
        <w:t>или среднем АД &lt; 65 мм рт. ст. Увеличение дозы препарата продолжается до достижения целевого уровня среднего АД ≥ 65 мм рт. ст. Норэпинефрин — препарат выбора среди вазопрессоров, его начальная доза 0,5—1 мкг/кг/мин. Эпинефрин может использоваться и в качестве второго вазопрессора и в качестве потенциальной замены норэпинефрина в случае, когда необходим дополнительный вазопрессор для поддержания адекватного артериального давления. Терлипрессин (Реместип) в дозе 1,3 мк/кг/ч может использоваться совместно с норэпинефрином как для поддержания среднего АД, так и для снижения дозы норэпинефрина. Допамин в качестве альтернативного вазопрессора должен использоваться только у строго определенных групп пациентов (например, у пациентов с низким риском тахиаритмии, у пациентов с брадикардией). Не следует использовать низкие дозы допамина для защиты почек. Инфузия добутамина в дозе до 20 мкг/кг в минуту может быть назначена или добавлена к вазопрессорам в следующих случаях: дисфункция миокарда, выражающаяся в виде роста давления наполнения и низкого сердечного выброса; сохраняющиеся симптомы гипоперфузии несмотря на достигнутый адекватный внутрисосудистый объем и нормальное среднее АД.</w:t>
      </w:r>
    </w:p>
    <w:p w14:paraId="2A331B89" w14:textId="77777777" w:rsidR="00FC2402" w:rsidRPr="009565AD" w:rsidRDefault="00FC2402" w:rsidP="00FC2402">
      <w:pPr>
        <w:pStyle w:val="Number1"/>
        <w:spacing w:before="0" w:line="360" w:lineRule="auto"/>
        <w:jc w:val="both"/>
        <w:rPr>
          <w:color w:val="auto"/>
          <w:szCs w:val="24"/>
        </w:rPr>
      </w:pPr>
      <w:r w:rsidRPr="009565AD">
        <w:rPr>
          <w:color w:val="auto"/>
          <w:szCs w:val="24"/>
        </w:rPr>
        <w:tab/>
        <w:t>11.</w:t>
      </w:r>
      <w:r w:rsidRPr="009565AD">
        <w:rPr>
          <w:color w:val="auto"/>
          <w:szCs w:val="24"/>
        </w:rPr>
        <w:tab/>
        <w:t xml:space="preserve">При развитии септического шока проводится терапия глюкокортикоидами: в первые сутки внутривенно вводится нагрузочная доза 100 мг гидрокортизона в виде болюсной короткой инфузии, а затем начинается круглосуточная инфузия препарата 200 мг/сут в виде внутривенной постоянной суточной инфузии. Гидрокортизон отменятся после прекращения использования вазопрессоров. Не используют гидрокортизон, если волемическая нагрузка и вазопрессорная терапия способны стабилизировать гемодинамику. </w:t>
      </w:r>
    </w:p>
    <w:p w14:paraId="05B42B38" w14:textId="77777777" w:rsidR="00FC2402" w:rsidRPr="009565AD" w:rsidRDefault="00FC2402" w:rsidP="00FC2402">
      <w:pPr>
        <w:pStyle w:val="Number1"/>
        <w:spacing w:before="0" w:line="360" w:lineRule="auto"/>
        <w:jc w:val="both"/>
        <w:rPr>
          <w:color w:val="auto"/>
          <w:szCs w:val="24"/>
        </w:rPr>
      </w:pPr>
      <w:r w:rsidRPr="009565AD">
        <w:rPr>
          <w:color w:val="auto"/>
          <w:szCs w:val="24"/>
        </w:rPr>
        <w:tab/>
        <w:t>12.</w:t>
      </w:r>
      <w:r w:rsidRPr="009565AD">
        <w:rPr>
          <w:color w:val="auto"/>
          <w:szCs w:val="24"/>
        </w:rPr>
        <w:tab/>
        <w:t>Препараты крови: показанием для трансфузии эритроцитов является снижение уровня Hb &lt; 70 г/л (целевой уровень Hb — 70—90 г/л) у взрослых. Не следует использовать эритропоэтин в качестве специфической терапии анемии, связанной с тяжелым сепсисом. Трансфузию тромбоцитов рекомендовано проводить при снижении уровня тромбоцитов менее 20х10</w:t>
      </w:r>
      <w:r w:rsidRPr="009565AD">
        <w:rPr>
          <w:color w:val="auto"/>
          <w:szCs w:val="24"/>
          <w:vertAlign w:val="superscript"/>
        </w:rPr>
        <w:t>9</w:t>
      </w:r>
      <w:r w:rsidRPr="009565AD">
        <w:rPr>
          <w:color w:val="auto"/>
          <w:szCs w:val="24"/>
        </w:rPr>
        <w:t>/л либо при наличии геморрагического синдрома. Свежезамороженная плазма (СЗП) не должна применяться для коррекции лабораторных показателей при отсутствии кровотечения или планируемого инвазивного вмешательства. Трансфузия СЗП осуществляется только при развитии геморрагического синдрома.</w:t>
      </w:r>
    </w:p>
    <w:p w14:paraId="6BEAABA7" w14:textId="77777777" w:rsidR="00FC2402" w:rsidRPr="009565AD" w:rsidRDefault="00FC2402" w:rsidP="00FC2402">
      <w:pPr>
        <w:pStyle w:val="Number1"/>
        <w:spacing w:before="0" w:line="360" w:lineRule="auto"/>
        <w:jc w:val="both"/>
        <w:rPr>
          <w:color w:val="auto"/>
          <w:szCs w:val="24"/>
        </w:rPr>
      </w:pPr>
      <w:r w:rsidRPr="009565AD">
        <w:rPr>
          <w:color w:val="auto"/>
          <w:szCs w:val="24"/>
        </w:rPr>
        <w:tab/>
        <w:t>13.</w:t>
      </w:r>
      <w:r w:rsidRPr="009565AD">
        <w:rPr>
          <w:color w:val="auto"/>
          <w:szCs w:val="24"/>
        </w:rPr>
        <w:tab/>
        <w:t xml:space="preserve">Нет общих данных по проведению заместительной терапии донорскими иммуноглобулинами. Однако у 67% онкогематологических больных с сепсисом выявляется гуморальный иммунодефицит (снижение уровня одного из классов иммуноглобулинов). У пациентов с сепсисом при выявлении гуморального </w:t>
      </w:r>
      <w:r w:rsidRPr="009565AD">
        <w:rPr>
          <w:color w:val="auto"/>
          <w:szCs w:val="24"/>
        </w:rPr>
        <w:lastRenderedPageBreak/>
        <w:t xml:space="preserve">иммунодефицита необходимо проведение заместительной терапии препаратами IgG в зависимости в дозе 0,5 г/кг дней внутривенно. При дефиците иммуноглобулина М используется пентаглобин, обогащенный IgМ. Пентаглобин может использоваться также и без выявленного дефицита IgМ для лечения септического шока в дозе 5 мг/кг/сут в течение 3 дней в/в в виде непрерывной инфузии. </w:t>
      </w:r>
    </w:p>
    <w:p w14:paraId="24C81B3C" w14:textId="77777777" w:rsidR="00FC2402" w:rsidRPr="009565AD" w:rsidRDefault="00FC2402" w:rsidP="00FC2402">
      <w:pPr>
        <w:pStyle w:val="Number1"/>
        <w:spacing w:before="0" w:line="360" w:lineRule="auto"/>
        <w:jc w:val="both"/>
        <w:rPr>
          <w:color w:val="auto"/>
          <w:szCs w:val="24"/>
        </w:rPr>
      </w:pPr>
      <w:r w:rsidRPr="009565AD">
        <w:rPr>
          <w:color w:val="auto"/>
          <w:szCs w:val="24"/>
        </w:rPr>
        <w:tab/>
        <w:t>14.</w:t>
      </w:r>
      <w:r w:rsidRPr="009565AD">
        <w:rPr>
          <w:color w:val="auto"/>
          <w:szCs w:val="24"/>
        </w:rPr>
        <w:tab/>
        <w:t xml:space="preserve">Заместительная почечная терапия. Возможно использование как процедуры гемодиализа, так и гемодиафильтрации. При развитии острой почечной недостаточности может проводиться гемодиализ, хотя предпочтительнее использовать гемодиафильтрацию. При развитии выраженных метаболических нарушений (лактат-ацидоз, электролитные нарушения) методом выбора является круглосуточная гемодиафильтрация. </w:t>
      </w:r>
    </w:p>
    <w:p w14:paraId="2BC98020" w14:textId="77777777" w:rsidR="00FC2402" w:rsidRPr="009565AD" w:rsidRDefault="00FC2402" w:rsidP="00FC2402">
      <w:pPr>
        <w:pStyle w:val="Number1"/>
        <w:spacing w:before="0" w:line="360" w:lineRule="auto"/>
        <w:jc w:val="both"/>
        <w:rPr>
          <w:color w:val="auto"/>
          <w:szCs w:val="24"/>
        </w:rPr>
      </w:pPr>
      <w:r w:rsidRPr="009565AD">
        <w:rPr>
          <w:color w:val="auto"/>
          <w:szCs w:val="24"/>
        </w:rPr>
        <w:tab/>
        <w:t>15.</w:t>
      </w:r>
      <w:r w:rsidRPr="009565AD">
        <w:rPr>
          <w:color w:val="auto"/>
          <w:szCs w:val="24"/>
        </w:rPr>
        <w:tab/>
        <w:t>При развитии острой дыхательной недостаточности, некоррегируемой с помощью неинвазивных методов респираторной поддержки, больным интубируется трахея, и они переводятся на ИВЛ.</w:t>
      </w:r>
    </w:p>
    <w:p w14:paraId="6C450F5C" w14:textId="77777777" w:rsidR="00FC2402" w:rsidRPr="009565AD" w:rsidRDefault="00FC2402" w:rsidP="00FC2402">
      <w:pPr>
        <w:pStyle w:val="Number1"/>
        <w:spacing w:before="0" w:line="360" w:lineRule="auto"/>
        <w:jc w:val="both"/>
        <w:rPr>
          <w:color w:val="auto"/>
          <w:szCs w:val="24"/>
        </w:rPr>
      </w:pPr>
    </w:p>
    <w:p w14:paraId="306B1E0E" w14:textId="77777777" w:rsidR="00FC2402" w:rsidRPr="009565AD" w:rsidRDefault="00FC2402" w:rsidP="00FC2402">
      <w:pPr>
        <w:pStyle w:val="Number1"/>
        <w:spacing w:before="0" w:line="360" w:lineRule="auto"/>
        <w:jc w:val="both"/>
        <w:rPr>
          <w:i/>
          <w:kern w:val="36"/>
          <w:szCs w:val="24"/>
          <w:u w:val="single"/>
        </w:rPr>
      </w:pPr>
      <w:r w:rsidRPr="009565AD">
        <w:rPr>
          <w:i/>
          <w:kern w:val="36"/>
          <w:szCs w:val="24"/>
          <w:u w:val="single"/>
        </w:rPr>
        <w:t>Острая дыхательная недостаточность у гематологических пациентов</w:t>
      </w:r>
    </w:p>
    <w:p w14:paraId="186CCCA4" w14:textId="77777777" w:rsidR="00FC2402" w:rsidRPr="009565AD" w:rsidRDefault="00FC2402" w:rsidP="00FC2402">
      <w:pPr>
        <w:ind w:firstLine="709"/>
      </w:pPr>
      <w:r w:rsidRPr="009565AD">
        <w:t>Легочная патология и возникающая вследствие нее острая дыхательная недостаточность (ОДН) являются частыми осложнениями у гематологических пациентов. ОДН может возникнуть на любых этапах гематологического заболевания: в дебюте, при проведении индукционной химиотерапии, на стадии миелотоксического агранулоцитоза и восстановления костномозгового кроветворения, во время ремиссии или поддерживающего лечения, при возникновении рецидива и т. д. ОДН является причиной перевода в реанимационное отделение каждого четвертого пациента онкогематологическим заболеванием.</w:t>
      </w:r>
    </w:p>
    <w:p w14:paraId="20F362FB" w14:textId="77777777" w:rsidR="00FC2402" w:rsidRPr="009565AD" w:rsidRDefault="00FC2402" w:rsidP="00FC2402">
      <w:pPr>
        <w:ind w:firstLine="709"/>
        <w:rPr>
          <w:b/>
          <w:bCs/>
        </w:rPr>
      </w:pPr>
      <w:r w:rsidRPr="009565AD">
        <w:rPr>
          <w:b/>
          <w:bCs/>
        </w:rPr>
        <w:t>Обструктивная ОДН</w:t>
      </w:r>
    </w:p>
    <w:p w14:paraId="342901E3" w14:textId="77777777" w:rsidR="00FC2402" w:rsidRPr="009565AD" w:rsidRDefault="00FC2402" w:rsidP="00FC2402">
      <w:pPr>
        <w:ind w:firstLine="709"/>
      </w:pPr>
      <w:r w:rsidRPr="009565AD">
        <w:t xml:space="preserve">Обструктивная ОДН выявляется у 5—7% больных гемобластозами, и может быть вызвана окклюзией просвета трахеи увеличенными подслизистыми лимфатическими узлами, обструкцией бронхов опухолевыми массами, сдавлением бронхов перибронхиальными лимфатическими узлами или сужением просвета бронхов за счет эндобронхиальной инфильтрации опухолевыми клетками лимфоме или лейкозе. Так, при лимфоме Ходжкина до начала лечения в отсутствие ОДН функциональные легочные тесты почти в половине случаев обнаруживают нарушение проходимости дыхательных путей, которое проявляется во время вдоха; при этом при КТ умеренная или тяжелая деформация трахеи выявляется лишь у трети больных. Даже при отсутствии сужения просвета дыхательных путей опухолевыми массами окружающие трахею лимфатические узлы </w:t>
      </w:r>
      <w:r w:rsidRPr="009565AD">
        <w:lastRenderedPageBreak/>
        <w:t>делают ее стенки более ригидными, что не позволяет ей расширяться при отрицательном внутригрудном давлении во время вдоха и замедляет тем самым скорость потока воздуха. Другими причинами обструктивной ОДН у больных с гемобластозами являются воспалительный процесс мягких тканей лица и шеи (нома), обструкция трахеи и главных бронхов аспергиллезной мицетомой, закупорка гортани при кандидозном поражении надгортанника, гематома в полости ротоглотки или гортани.</w:t>
      </w:r>
    </w:p>
    <w:p w14:paraId="243A3EFA" w14:textId="77777777" w:rsidR="00FC2402" w:rsidRPr="009565AD" w:rsidRDefault="00FC2402" w:rsidP="00FC2402">
      <w:pPr>
        <w:ind w:firstLine="709"/>
        <w:rPr>
          <w:b/>
          <w:bCs/>
        </w:rPr>
      </w:pPr>
      <w:r w:rsidRPr="009565AD">
        <w:rPr>
          <w:b/>
          <w:bCs/>
        </w:rPr>
        <w:t>Паренхиматозная ОДН</w:t>
      </w:r>
    </w:p>
    <w:p w14:paraId="698ECAAB" w14:textId="77777777" w:rsidR="00FC2402" w:rsidRPr="009565AD" w:rsidRDefault="00FC2402" w:rsidP="00FC2402">
      <w:pPr>
        <w:ind w:firstLine="709"/>
      </w:pPr>
      <w:r w:rsidRPr="009565AD">
        <w:t>Паренхиматозные поражения легких являются основной причиной ОДН. Эта форма дыхательной недостаточности выявляется у 93—95% больных с гемобластозами. Поражение легких при гематологических заболеваниях может носить как инфекционный, так и неинфекционный характер.</w:t>
      </w:r>
    </w:p>
    <w:p w14:paraId="2601F7C3" w14:textId="77777777" w:rsidR="00FC2402" w:rsidRPr="009565AD" w:rsidRDefault="00FC2402" w:rsidP="00FC2402">
      <w:pPr>
        <w:pStyle w:val="4"/>
        <w:numPr>
          <w:ilvl w:val="12"/>
          <w:numId w:val="0"/>
        </w:numPr>
        <w:spacing w:line="360" w:lineRule="auto"/>
        <w:ind w:firstLine="709"/>
        <w:rPr>
          <w:i/>
          <w:sz w:val="24"/>
          <w:szCs w:val="24"/>
          <w:lang w:val="ru-RU"/>
        </w:rPr>
      </w:pPr>
      <w:r w:rsidRPr="009565AD">
        <w:rPr>
          <w:sz w:val="24"/>
          <w:szCs w:val="24"/>
          <w:lang w:val="ru-RU"/>
        </w:rPr>
        <w:t>Инфекционные поражения легких</w:t>
      </w:r>
    </w:p>
    <w:p w14:paraId="348AAE0F" w14:textId="77777777" w:rsidR="00FC2402" w:rsidRPr="009565AD" w:rsidRDefault="00FC2402" w:rsidP="00FC2402">
      <w:pPr>
        <w:pStyle w:val="Number1"/>
        <w:spacing w:before="0" w:line="360" w:lineRule="auto"/>
        <w:ind w:left="0" w:firstLine="709"/>
        <w:jc w:val="both"/>
        <w:rPr>
          <w:color w:val="auto"/>
          <w:szCs w:val="24"/>
        </w:rPr>
      </w:pPr>
      <w:r w:rsidRPr="009565AD">
        <w:rPr>
          <w:color w:val="auto"/>
          <w:szCs w:val="24"/>
        </w:rPr>
        <w:t xml:space="preserve">Пневмонии различной этиологии — наиболее частые причины ОДН. В половине случаев они вызываются </w:t>
      </w:r>
      <w:r w:rsidRPr="009565AD">
        <w:rPr>
          <w:bCs/>
          <w:color w:val="auto"/>
          <w:szCs w:val="24"/>
        </w:rPr>
        <w:t>бактериями</w:t>
      </w:r>
      <w:r w:rsidRPr="009565AD">
        <w:rPr>
          <w:color w:val="auto"/>
          <w:szCs w:val="24"/>
        </w:rPr>
        <w:t>, при этом чаще всего возбудителями являются грамотрицательные микроорганизмы</w:t>
      </w:r>
    </w:p>
    <w:p w14:paraId="47445475" w14:textId="77777777" w:rsidR="00FC2402" w:rsidRPr="009565AD" w:rsidRDefault="00FC2402" w:rsidP="00FC2402">
      <w:pPr>
        <w:ind w:firstLine="709"/>
      </w:pPr>
      <w:r w:rsidRPr="009565AD">
        <w:t xml:space="preserve">Основными грамотрицательными возбудителями </w:t>
      </w:r>
      <w:r w:rsidRPr="009565AD">
        <w:rPr>
          <w:b/>
        </w:rPr>
        <w:t>бактериальных пневмоний</w:t>
      </w:r>
      <w:r w:rsidRPr="009565AD">
        <w:t xml:space="preserve"> являются </w:t>
      </w:r>
      <w:r w:rsidRPr="009565AD">
        <w:rPr>
          <w:i/>
          <w:lang w:val="en-US"/>
        </w:rPr>
        <w:t>Pseudomonas</w:t>
      </w:r>
      <w:r w:rsidRPr="009565AD">
        <w:rPr>
          <w:i/>
        </w:rPr>
        <w:t xml:space="preserve"> </w:t>
      </w:r>
      <w:r w:rsidRPr="009565AD">
        <w:rPr>
          <w:i/>
          <w:lang w:val="en-US"/>
        </w:rPr>
        <w:t>aeruginosa</w:t>
      </w:r>
      <w:r w:rsidRPr="009565AD">
        <w:t xml:space="preserve">, </w:t>
      </w:r>
      <w:r w:rsidRPr="009565AD">
        <w:rPr>
          <w:i/>
          <w:lang w:val="en-US"/>
        </w:rPr>
        <w:t>Stenotrophomonas</w:t>
      </w:r>
      <w:r w:rsidRPr="009565AD">
        <w:rPr>
          <w:i/>
        </w:rPr>
        <w:t xml:space="preserve"> </w:t>
      </w:r>
      <w:r w:rsidRPr="009565AD">
        <w:rPr>
          <w:i/>
          <w:lang w:val="en-US"/>
        </w:rPr>
        <w:t>maltophilia</w:t>
      </w:r>
      <w:r w:rsidRPr="009565AD">
        <w:rPr>
          <w:i/>
        </w:rPr>
        <w:t xml:space="preserve">, </w:t>
      </w:r>
      <w:r w:rsidRPr="009565AD">
        <w:rPr>
          <w:i/>
          <w:lang w:val="en-US"/>
        </w:rPr>
        <w:t>Klebsiella</w:t>
      </w:r>
      <w:r w:rsidRPr="009565AD">
        <w:rPr>
          <w:i/>
        </w:rPr>
        <w:t xml:space="preserve"> </w:t>
      </w:r>
      <w:r w:rsidRPr="009565AD">
        <w:rPr>
          <w:i/>
          <w:lang w:val="en-US"/>
        </w:rPr>
        <w:t>pneumoniae</w:t>
      </w:r>
      <w:r w:rsidRPr="009565AD">
        <w:rPr>
          <w:i/>
        </w:rPr>
        <w:t xml:space="preserve">, </w:t>
      </w:r>
      <w:r w:rsidRPr="009565AD">
        <w:rPr>
          <w:i/>
          <w:lang w:val="en-US"/>
        </w:rPr>
        <w:t>Acinetobacter</w:t>
      </w:r>
      <w:r w:rsidRPr="009565AD">
        <w:rPr>
          <w:i/>
        </w:rPr>
        <w:t xml:space="preserve"> </w:t>
      </w:r>
      <w:r w:rsidRPr="009565AD">
        <w:rPr>
          <w:i/>
          <w:lang w:val="en-US"/>
        </w:rPr>
        <w:t>baumannii</w:t>
      </w:r>
      <w:r w:rsidRPr="009565AD">
        <w:rPr>
          <w:i/>
        </w:rPr>
        <w:t xml:space="preserve"> и </w:t>
      </w:r>
      <w:r w:rsidRPr="009565AD">
        <w:rPr>
          <w:i/>
          <w:lang w:val="en-US"/>
        </w:rPr>
        <w:t>Escherichia</w:t>
      </w:r>
      <w:r w:rsidRPr="009565AD">
        <w:rPr>
          <w:i/>
        </w:rPr>
        <w:t xml:space="preserve"> </w:t>
      </w:r>
      <w:r w:rsidRPr="009565AD">
        <w:rPr>
          <w:i/>
          <w:lang w:val="en-US"/>
        </w:rPr>
        <w:t>coli</w:t>
      </w:r>
      <w:r w:rsidRPr="009565AD">
        <w:t xml:space="preserve">, а также </w:t>
      </w:r>
      <w:r w:rsidRPr="009565AD">
        <w:rPr>
          <w:i/>
          <w:lang w:val="en-US"/>
        </w:rPr>
        <w:t>Legionella</w:t>
      </w:r>
      <w:r w:rsidRPr="009565AD">
        <w:rPr>
          <w:i/>
        </w:rPr>
        <w:t xml:space="preserve"> </w:t>
      </w:r>
      <w:r w:rsidRPr="009565AD">
        <w:rPr>
          <w:i/>
          <w:lang w:val="en-US"/>
        </w:rPr>
        <w:t>pneumophila</w:t>
      </w:r>
      <w:r w:rsidRPr="009565AD">
        <w:t xml:space="preserve">. Среди грамположительных бактерий чаще встречается </w:t>
      </w:r>
      <w:r w:rsidRPr="009565AD">
        <w:rPr>
          <w:i/>
        </w:rPr>
        <w:t>Staphylococcus aureus.</w:t>
      </w:r>
    </w:p>
    <w:p w14:paraId="2368F2A2" w14:textId="77777777" w:rsidR="00FC2402" w:rsidRPr="009565AD" w:rsidRDefault="00FC2402" w:rsidP="00FC2402">
      <w:pPr>
        <w:tabs>
          <w:tab w:val="left" w:pos="142"/>
        </w:tabs>
        <w:ind w:firstLine="709"/>
      </w:pPr>
      <w:r w:rsidRPr="009565AD">
        <w:t>Результативность исследования жидкости бронхоальвеолярного лаважа (БАЛ) зависит от продолжительности пребывания больных в ОРИТ. У пациентов, которые провели в ОРИТ 14 дней и более, чаще, чем при поступлении, диагностируется пневмония бактериальной этиологии (73% случаев против 39%). При этом увеличивается частота выявления грамотрицательных микроорганизмов при бактериальных пневмониях (с 21% при поступлении до 47% к 14 суткам). С увеличением длительности пребывания в ОРИТ чаще диагностируется также пневмония смешанной этиологии.</w:t>
      </w:r>
    </w:p>
    <w:p w14:paraId="0C30FA6F" w14:textId="77777777" w:rsidR="00FC2402" w:rsidRPr="009565AD" w:rsidRDefault="00FC2402" w:rsidP="00FC2402">
      <w:pPr>
        <w:tabs>
          <w:tab w:val="left" w:pos="142"/>
        </w:tabs>
        <w:ind w:firstLine="709"/>
      </w:pPr>
      <w:r w:rsidRPr="009565AD">
        <w:t>Грамположительные микроорганизмы в жидкости БАЛ (</w:t>
      </w:r>
      <w:r w:rsidRPr="009565AD">
        <w:rPr>
          <w:i/>
        </w:rPr>
        <w:t xml:space="preserve">S. </w:t>
      </w:r>
      <w:r w:rsidRPr="009565AD">
        <w:rPr>
          <w:i/>
          <w:lang w:val="en-US"/>
        </w:rPr>
        <w:t>a</w:t>
      </w:r>
      <w:r w:rsidRPr="009565AD">
        <w:rPr>
          <w:i/>
        </w:rPr>
        <w:t>ureus</w:t>
      </w:r>
      <w:r w:rsidRPr="009565AD">
        <w:t>)</w:t>
      </w:r>
      <w:r w:rsidRPr="009565AD">
        <w:rPr>
          <w:i/>
        </w:rPr>
        <w:t xml:space="preserve"> </w:t>
      </w:r>
      <w:r w:rsidRPr="009565AD">
        <w:t>выявляются в 21,4% случаев.</w:t>
      </w:r>
    </w:p>
    <w:p w14:paraId="4E043609" w14:textId="77777777" w:rsidR="00FC2402" w:rsidRPr="009565AD" w:rsidRDefault="00FC2402" w:rsidP="00FC2402">
      <w:pPr>
        <w:ind w:firstLine="709"/>
      </w:pPr>
      <w:r w:rsidRPr="009565AD">
        <w:t xml:space="preserve">Инвазивный аспергиллез легких выявляется у 28% гематологических пациентов в ОРИТ. В двух третях случаев он диагностируется на основании положительного индекса оптической плотности в жидкости БАЛ в оставшейся трети случаев — при выявлении в ней мицелия грибов при микроскопии. Наличие одновременно антигена </w:t>
      </w:r>
      <w:r w:rsidRPr="009565AD">
        <w:rPr>
          <w:i/>
        </w:rPr>
        <w:t>Aspergillus</w:t>
      </w:r>
      <w:r w:rsidRPr="009565AD">
        <w:t xml:space="preserve"> и мицелия грибов наблюдается у 25% пациентов. При этом следует отметить, что лишь у 25% гематологических пациентов грибы рода </w:t>
      </w:r>
      <w:r w:rsidRPr="009565AD">
        <w:rPr>
          <w:i/>
        </w:rPr>
        <w:t>Aspergillus</w:t>
      </w:r>
      <w:r w:rsidRPr="009565AD">
        <w:t xml:space="preserve"> являются единственными </w:t>
      </w:r>
      <w:r w:rsidRPr="009565AD">
        <w:lastRenderedPageBreak/>
        <w:t>возбудителями пневмонии; в остальных случаях в образцах жидкости БАЛ выявляются и другие патогены.</w:t>
      </w:r>
    </w:p>
    <w:p w14:paraId="1299DC93" w14:textId="77777777" w:rsidR="00FC2402" w:rsidRPr="009565AD" w:rsidRDefault="00FC2402" w:rsidP="00FC2402">
      <w:pPr>
        <w:ind w:firstLine="709"/>
      </w:pPr>
      <w:r w:rsidRPr="009565AD">
        <w:t xml:space="preserve">Диагноз </w:t>
      </w:r>
      <w:r w:rsidRPr="009565AD">
        <w:rPr>
          <w:b/>
        </w:rPr>
        <w:t>вирусной пневмонии</w:t>
      </w:r>
      <w:r w:rsidRPr="009565AD">
        <w:t xml:space="preserve"> устанавливается по совокупности клиническо-радиологической картины и выявлению методом ПЦР вирусной ДНК в жидкости БАЛ и в крови. </w:t>
      </w:r>
      <w:r w:rsidRPr="009565AD">
        <w:rPr>
          <w:bCs/>
        </w:rPr>
        <w:t>Вирусы</w:t>
      </w:r>
      <w:r w:rsidRPr="009565AD">
        <w:rPr>
          <w:b/>
          <w:bCs/>
        </w:rPr>
        <w:t xml:space="preserve"> </w:t>
      </w:r>
      <w:r w:rsidRPr="009565AD">
        <w:t>являются вторыми по частоте после бактерий возбудителями, вызывающими ОДН при гематологических заболеваниях. Наряду с цитомегаловирусом (ЦМВ) причиной поражения легких и развития ОДН у больных с гемобластозами может быть вирус Эпштейна—Барр. Последний, инфицируя человеческие фибробласты, стимулирует в них продукцию цитокинов, в частности основного фактора роста фибробластов и ИЛ-1, что приводит к пролиферации фибробластов и развитию интерстициальной пневмонии. Цитомегаловирусные пневмонии у больных с гемобластозами после высокодозной химиотерапии встречаются в 4—52% случаев. Среди пациентов, перенесших трансплантацию гемопоэтических стволовых клеток (ТГСК), цитомегаловирусная пневмония развивается в 2—36% случаев. К факторам риска цитомегаловирусной пневмонии после трансплантации относят аллогенную трансплантацию, развитие реакции «трансплантат против хозяина» и наличие антител к вирусу в сыворотке перед трансплантацией. При ОДН у больных гемобластозами цитомегаловирусная пневмония диагностируется в 29% случаев.</w:t>
      </w:r>
    </w:p>
    <w:p w14:paraId="33AFBD0F" w14:textId="77777777" w:rsidR="00FC2402" w:rsidRPr="009565AD" w:rsidRDefault="00FC2402" w:rsidP="00FC2402">
      <w:pPr>
        <w:ind w:firstLine="709"/>
      </w:pPr>
      <w:r w:rsidRPr="009565AD">
        <w:rPr>
          <w:b/>
          <w:bCs/>
        </w:rPr>
        <w:t xml:space="preserve">Пневмоцистная пневмония </w:t>
      </w:r>
      <w:r w:rsidRPr="009565AD">
        <w:t>является причиной ОДН у гематологических пациентов в 10% случаев. Вариант основного заболевания рассматривается как фактор риска, поскольку определяет глубину и характер иммуносупрессии. Основной иммунный дефект, способствующий пневмоцистной инфекции, — это уменьшение числа СD4-клеток (</w:t>
      </w:r>
      <w:r w:rsidRPr="009565AD">
        <w:rPr>
          <w:lang w:val="en-US"/>
        </w:rPr>
        <w:t>T</w:t>
      </w:r>
      <w:r w:rsidRPr="009565AD">
        <w:t xml:space="preserve">-хелперов). Поражение </w:t>
      </w:r>
      <w:r w:rsidRPr="009565AD">
        <w:rPr>
          <w:lang w:val="en-US"/>
        </w:rPr>
        <w:t>T</w:t>
      </w:r>
      <w:r w:rsidRPr="009565AD">
        <w:t>-клеточного звена иммунитета свойственно лимфопролиферативным заболеваниям, и при них пневмоцистная пневмония встречается наиболее часто, но она возможна при любых других гематологичесикх заболеваниях, сопровождающихся иммуносупрессией – острых лейкозах, хроническом лимфолейкозе, лимфомах, множественной миеломе и других. До начала иммуносупрессивной терапии пневмоцистная инфекция у онкогематологических пациентов встречается редко, обычно она возникает через месяц после начала специфической терапии. Риск развития пневмоцистоза особенно высок в течение первых 5—6 мес после трансплантации костного мозга, а также у пациентов с реакцией «трансплантат против хозяина».</w:t>
      </w:r>
    </w:p>
    <w:p w14:paraId="77F4B120" w14:textId="77777777" w:rsidR="00FC2402" w:rsidRPr="00EC13BC" w:rsidRDefault="00FC2402" w:rsidP="00FC2402">
      <w:pPr>
        <w:pStyle w:val="4"/>
        <w:numPr>
          <w:ilvl w:val="12"/>
          <w:numId w:val="0"/>
        </w:numPr>
        <w:spacing w:line="360" w:lineRule="auto"/>
        <w:ind w:firstLine="709"/>
        <w:rPr>
          <w:i/>
          <w:sz w:val="24"/>
          <w:szCs w:val="24"/>
          <w:lang w:val="ru-RU"/>
        </w:rPr>
      </w:pPr>
      <w:r w:rsidRPr="00EC13BC">
        <w:rPr>
          <w:sz w:val="24"/>
          <w:szCs w:val="24"/>
          <w:lang w:val="ru-RU"/>
        </w:rPr>
        <w:t>Неинфекционные поражения легких</w:t>
      </w:r>
    </w:p>
    <w:p w14:paraId="013C202D" w14:textId="77777777" w:rsidR="00FC2402" w:rsidRPr="009565AD" w:rsidRDefault="00FC2402" w:rsidP="00FC2402">
      <w:pPr>
        <w:ind w:firstLine="709"/>
      </w:pPr>
      <w:r w:rsidRPr="009565AD">
        <w:rPr>
          <w:b/>
          <w:bCs/>
        </w:rPr>
        <w:t xml:space="preserve">Опухолевые поражения легких </w:t>
      </w:r>
      <w:r w:rsidRPr="009565AD">
        <w:t xml:space="preserve">встречаются значительно чаще, чем диагностируются прижизненно. По данным гистологических исследований, частота лейкемических поражений легких колеблется от 8 до 77%. Выделяют паренхиматозные </w:t>
      </w:r>
      <w:r w:rsidRPr="009565AD">
        <w:lastRenderedPageBreak/>
        <w:t>поражения, к которым относят лейкозную инфильтрацию интерстиция, и непаренхиматозные поражения, то есть инфильтрацию бронхов, сосудов и плевры, внутрисосудистые скопления лейкозных клеток (лейкостазы). Развитие ОДН до начала химиотерапии, а также наличие большого количества бластных клеток в крови косвенно свидетельствует о диффузной лейкозной инфильтрации легких. Так, на аутопсии при остром миелобластном лейкозе, когда число лейкоцитов больше 100х10</w:t>
      </w:r>
      <w:r w:rsidRPr="009565AD">
        <w:rPr>
          <w:vertAlign w:val="superscript"/>
        </w:rPr>
        <w:t>9</w:t>
      </w:r>
      <w:r w:rsidRPr="009565AD">
        <w:t xml:space="preserve">/л, лейкостазы в легких выявляются в 35% случаев. При миеломной болезни в легких нередко обнаруживаются плазмоклеточная и лимфоидная инфильтрация интерстициальной ткани, скопление парапротеина, отложение амилоида в альвеолах и межальвеолярных перегородках, кальцификация легких, выпот в плевральных полостях. При поражении легких лимфомой в легочной ткани может быть найдена клональная </w:t>
      </w:r>
      <w:r w:rsidRPr="009565AD">
        <w:rPr>
          <w:lang w:val="en-US"/>
        </w:rPr>
        <w:t>B</w:t>
      </w:r>
      <w:r w:rsidRPr="009565AD">
        <w:t>-клеточная пролиферация.</w:t>
      </w:r>
    </w:p>
    <w:p w14:paraId="7AAB0216" w14:textId="3EE03474" w:rsidR="00FC2402" w:rsidRPr="009565AD" w:rsidRDefault="00FC2402" w:rsidP="00FC2402">
      <w:pPr>
        <w:ind w:firstLine="709"/>
      </w:pPr>
      <w:r w:rsidRPr="009565AD">
        <w:rPr>
          <w:b/>
          <w:bCs/>
        </w:rPr>
        <w:t xml:space="preserve">Массивный клеточный цитолиз </w:t>
      </w:r>
      <w:r w:rsidRPr="009565AD">
        <w:t>является причиной ОДН у больных с гемобластозами в 4,4% случаев. Цитолитический синдром развивается вследствие быстрого массивного распада опухолевых клеток под действием химиотерапии. При описании этого синдрома основное внимание уделяется острой почечной недостаточности, гиперкалиемии и гиперурикемии, меньше известно о поражении легких, в то время как при распаде опухолевых клеток выделяется большое количество биологически активных веществ, повышающих проницаемость мембран капилляров в легочной ткани.</w:t>
      </w:r>
    </w:p>
    <w:p w14:paraId="0D7BF87D" w14:textId="77777777" w:rsidR="00FC2402" w:rsidRPr="009565AD" w:rsidRDefault="00FC2402" w:rsidP="00FC2402">
      <w:pPr>
        <w:ind w:firstLine="709"/>
      </w:pPr>
      <w:r w:rsidRPr="009565AD">
        <w:rPr>
          <w:b/>
          <w:bCs/>
        </w:rPr>
        <w:t xml:space="preserve">Ретиноидный синдром </w:t>
      </w:r>
      <w:r w:rsidRPr="009565AD">
        <w:t>возникает при лечении полностью трансретиноевой кислотой (третиноин) острого промиелоцитарного лейкоза. Ретиноидный синдром регистрируется у 6% больных с гемобластозами и ОДН. Частота этого синдрома среди больных, получающих третиноин, колеблется от 13 до 68%. Он возникает спустя 2—47 дней после начала терапии. При гистологическом исследовании легких у больных, умерших от ретиноидного синдрома, выявляют внутриальвеолярные миелоидные инфильтраты, отек, экcсудацию фибрина, легочный капиллярит, диффузные альвеолярные кровоизлияния.</w:t>
      </w:r>
    </w:p>
    <w:p w14:paraId="67F8810A" w14:textId="77777777" w:rsidR="00FC2402" w:rsidRPr="009565AD" w:rsidRDefault="00FC2402" w:rsidP="00FC2402">
      <w:pPr>
        <w:ind w:firstLine="709"/>
      </w:pPr>
      <w:r w:rsidRPr="009565AD">
        <w:rPr>
          <w:bCs/>
        </w:rPr>
        <w:t>На</w:t>
      </w:r>
      <w:r w:rsidRPr="009565AD">
        <w:rPr>
          <w:b/>
          <w:bCs/>
        </w:rPr>
        <w:t xml:space="preserve"> неинфекционные поражения легких после трансплантации гемопоэтических стволовых клеток </w:t>
      </w:r>
      <w:r w:rsidRPr="009565AD">
        <w:rPr>
          <w:bCs/>
        </w:rPr>
        <w:t xml:space="preserve">в структуре ОДН приходится </w:t>
      </w:r>
      <w:r w:rsidRPr="009565AD">
        <w:t xml:space="preserve">2%. К ним относят интерстициальный легочный фиброз, облитерирующий бронхиолит, легочную форму веноокклюзионной болезни, альвеолярные кровоизлияния, синдром повышенной проницаемости капилляров. У гематологических пациентов, перенесших ТГСК, факторами риска поражений легких являются: 1) аллогенная трансплантация, при которой легочные осложнения возникают в 24% случаев; 2) реакция «трансплантат против хозяина»; 3) назначение циклоспорина и метотрексата для профилактики «вторичной болезни», при </w:t>
      </w:r>
      <w:r w:rsidRPr="009565AD">
        <w:lastRenderedPageBreak/>
        <w:t xml:space="preserve">которой ОДН возникает чаще, чем у больных, у которых с этой целью удаляли из трансплантата </w:t>
      </w:r>
      <w:r w:rsidRPr="009565AD">
        <w:rPr>
          <w:lang w:val="en-US"/>
        </w:rPr>
        <w:t>T</w:t>
      </w:r>
      <w:r w:rsidRPr="009565AD">
        <w:t>-лимфоциты; 4) сниженный до трансплантации более чем на 80% объем форсированного выдоха за 1-ю секунду.</w:t>
      </w:r>
    </w:p>
    <w:p w14:paraId="437B4E39" w14:textId="77777777" w:rsidR="00FC2402" w:rsidRPr="009565AD" w:rsidRDefault="00FC2402" w:rsidP="00FC2402">
      <w:pPr>
        <w:ind w:firstLine="709"/>
      </w:pPr>
      <w:r w:rsidRPr="009565AD">
        <w:t>Выделяется ряд отличительных черт паренхиматозной ОДН при гематологических заболеваниях:</w:t>
      </w:r>
    </w:p>
    <w:p w14:paraId="6C74C8A1" w14:textId="77777777" w:rsidR="00FC2402" w:rsidRPr="009565AD" w:rsidRDefault="00FC2402" w:rsidP="00CF0CD2">
      <w:pPr>
        <w:pStyle w:val="Numlist"/>
        <w:numPr>
          <w:ilvl w:val="0"/>
          <w:numId w:val="103"/>
        </w:numPr>
        <w:autoSpaceDE w:val="0"/>
        <w:autoSpaceDN w:val="0"/>
        <w:adjustRightInd w:val="0"/>
        <w:spacing w:line="360" w:lineRule="auto"/>
        <w:jc w:val="both"/>
      </w:pPr>
      <w:r w:rsidRPr="009565AD">
        <w:rPr>
          <w:u w:val="single"/>
        </w:rPr>
        <w:t>Полиэтиологичность.</w:t>
      </w:r>
      <w:r w:rsidRPr="009565AD">
        <w:t xml:space="preserve"> </w:t>
      </w:r>
    </w:p>
    <w:p w14:paraId="5741C638" w14:textId="77777777" w:rsidR="00FC2402" w:rsidRPr="009565AD" w:rsidRDefault="00FC2402" w:rsidP="00FC2402">
      <w:pPr>
        <w:pStyle w:val="Numlist"/>
        <w:spacing w:line="360" w:lineRule="auto"/>
        <w:jc w:val="both"/>
      </w:pPr>
      <w:r w:rsidRPr="009565AD">
        <w:t>Причинами ОДН могут быть поражения легких как инфекционного, так и неинфекционного генеза. Более чем у 50% гематологических пациентов поражения легких, приводящие к ОДН, обусловлены сразу несколькими причинами. Выделение той или иной этиологии поражения легких нередко носит условный характер.</w:t>
      </w:r>
    </w:p>
    <w:p w14:paraId="115E2465" w14:textId="77777777" w:rsidR="00FC2402" w:rsidRPr="009565AD" w:rsidRDefault="00FC2402" w:rsidP="00CF0CD2">
      <w:pPr>
        <w:pStyle w:val="Numlist"/>
        <w:numPr>
          <w:ilvl w:val="0"/>
          <w:numId w:val="103"/>
        </w:numPr>
        <w:autoSpaceDE w:val="0"/>
        <w:autoSpaceDN w:val="0"/>
        <w:adjustRightInd w:val="0"/>
        <w:spacing w:line="360" w:lineRule="auto"/>
        <w:jc w:val="both"/>
      </w:pPr>
      <w:r w:rsidRPr="009565AD">
        <w:rPr>
          <w:u w:val="single"/>
        </w:rPr>
        <w:t>Однообразие и гетерогенность клинических проявлений.</w:t>
      </w:r>
      <w:r w:rsidRPr="009565AD">
        <w:t xml:space="preserve"> </w:t>
      </w:r>
    </w:p>
    <w:p w14:paraId="63A6E632" w14:textId="77777777" w:rsidR="00FC2402" w:rsidRPr="009565AD" w:rsidRDefault="00FC2402" w:rsidP="00FC2402">
      <w:pPr>
        <w:pStyle w:val="Numlist"/>
        <w:spacing w:line="360" w:lineRule="auto"/>
        <w:jc w:val="both"/>
      </w:pPr>
      <w:r w:rsidRPr="009565AD">
        <w:t>В основе поражений легких лежат различные патологические процессы, зачастую при этом имеющие внешне схожие проявления. С другой стороны, поражения легких, вызванные одной и той же причиной, у гематологических пациентов с различной степенью и формой иммуносупрессии могут протекать по-разному.</w:t>
      </w:r>
    </w:p>
    <w:p w14:paraId="14D9EC26" w14:textId="77777777" w:rsidR="00FC2402" w:rsidRPr="009565AD" w:rsidRDefault="00FC2402" w:rsidP="00CF0CD2">
      <w:pPr>
        <w:pStyle w:val="Numlist"/>
        <w:numPr>
          <w:ilvl w:val="0"/>
          <w:numId w:val="103"/>
        </w:numPr>
        <w:autoSpaceDE w:val="0"/>
        <w:autoSpaceDN w:val="0"/>
        <w:adjustRightInd w:val="0"/>
        <w:spacing w:line="360" w:lineRule="auto"/>
        <w:jc w:val="both"/>
      </w:pPr>
      <w:r w:rsidRPr="009565AD">
        <w:rPr>
          <w:u w:val="single"/>
        </w:rPr>
        <w:t>Тяжесть состояния</w:t>
      </w:r>
      <w:r w:rsidRPr="009565AD">
        <w:t xml:space="preserve">. </w:t>
      </w:r>
    </w:p>
    <w:p w14:paraId="07453B6F" w14:textId="77777777" w:rsidR="00FC2402" w:rsidRPr="009565AD" w:rsidRDefault="00FC2402" w:rsidP="00FC2402">
      <w:pPr>
        <w:pStyle w:val="Numlist"/>
        <w:spacing w:line="360" w:lineRule="auto"/>
        <w:jc w:val="both"/>
      </w:pPr>
      <w:r w:rsidRPr="009565AD">
        <w:t>Легочная патология при гематологических заболеваниях протекает тяжело – средняя сумма баллов по шкале АРАСНЕ II у этой категории пациентов при ОДН равна 23, а на основании отношения парциального давления кислорода в артериальной крови к фракции вдыхаемого кислорода (</w:t>
      </w:r>
      <w:r w:rsidRPr="009565AD">
        <w:rPr>
          <w:lang w:val="en-US"/>
        </w:rPr>
        <w:t>P</w:t>
      </w:r>
      <w:r w:rsidRPr="009565AD">
        <w:rPr>
          <w:vertAlign w:val="subscript"/>
          <w:lang w:val="en-US"/>
        </w:rPr>
        <w:t>a</w:t>
      </w:r>
      <w:r w:rsidRPr="009565AD">
        <w:rPr>
          <w:lang w:val="en-US"/>
        </w:rPr>
        <w:t>O</w:t>
      </w:r>
      <w:r w:rsidRPr="009565AD">
        <w:rPr>
          <w:vertAlign w:val="subscript"/>
        </w:rPr>
        <w:t>2</w:t>
      </w:r>
      <w:r w:rsidRPr="009565AD">
        <w:t>/F</w:t>
      </w:r>
      <w:r w:rsidRPr="009565AD">
        <w:rPr>
          <w:vertAlign w:val="subscript"/>
        </w:rPr>
        <w:t>I</w:t>
      </w:r>
      <w:r w:rsidRPr="009565AD">
        <w:rPr>
          <w:lang w:val="en-US"/>
        </w:rPr>
        <w:t>O</w:t>
      </w:r>
      <w:r w:rsidRPr="009565AD">
        <w:rPr>
          <w:vertAlign w:val="subscript"/>
        </w:rPr>
        <w:t>2</w:t>
      </w:r>
      <w:r w:rsidRPr="009565AD">
        <w:t>) большинству из этих больных можно поставить диагноз острого респираторного дистресс-синдрома.</w:t>
      </w:r>
    </w:p>
    <w:p w14:paraId="0605CBB2" w14:textId="77777777" w:rsidR="00FC2402" w:rsidRPr="009565AD" w:rsidRDefault="00FC2402" w:rsidP="00CF0CD2">
      <w:pPr>
        <w:pStyle w:val="Numlist"/>
        <w:numPr>
          <w:ilvl w:val="0"/>
          <w:numId w:val="103"/>
        </w:numPr>
        <w:autoSpaceDE w:val="0"/>
        <w:autoSpaceDN w:val="0"/>
        <w:adjustRightInd w:val="0"/>
        <w:spacing w:line="360" w:lineRule="auto"/>
        <w:jc w:val="both"/>
      </w:pPr>
      <w:r w:rsidRPr="009565AD">
        <w:rPr>
          <w:u w:val="single"/>
        </w:rPr>
        <w:t xml:space="preserve">Частое сочетание легочной патологии с поражениями других органов и систем. </w:t>
      </w:r>
    </w:p>
    <w:p w14:paraId="27643240" w14:textId="77777777" w:rsidR="00FC2402" w:rsidRPr="009565AD" w:rsidRDefault="00FC2402" w:rsidP="00FC2402">
      <w:pPr>
        <w:pStyle w:val="Numlist"/>
        <w:spacing w:line="360" w:lineRule="auto"/>
        <w:jc w:val="both"/>
      </w:pPr>
      <w:r w:rsidRPr="009565AD">
        <w:t>Острая почечная недостаточность выявляется при ОДН у 42,5% гематологических пациентов, печеночная дисфункция — у 35%, левожелудочковая недостаточность — у 25%, нарушения сознания — у 25%.</w:t>
      </w:r>
    </w:p>
    <w:p w14:paraId="49E878C6" w14:textId="77777777" w:rsidR="00FC2402" w:rsidRPr="009565AD" w:rsidRDefault="00FC2402" w:rsidP="00CF0CD2">
      <w:pPr>
        <w:pStyle w:val="Numlist"/>
        <w:numPr>
          <w:ilvl w:val="0"/>
          <w:numId w:val="103"/>
        </w:numPr>
        <w:autoSpaceDE w:val="0"/>
        <w:autoSpaceDN w:val="0"/>
        <w:adjustRightInd w:val="0"/>
        <w:spacing w:line="360" w:lineRule="auto"/>
        <w:jc w:val="both"/>
      </w:pPr>
      <w:r w:rsidRPr="009565AD">
        <w:rPr>
          <w:u w:val="single"/>
        </w:rPr>
        <w:t>Скоротечность.</w:t>
      </w:r>
      <w:r w:rsidRPr="009565AD">
        <w:t xml:space="preserve"> </w:t>
      </w:r>
    </w:p>
    <w:p w14:paraId="766E0E41" w14:textId="77777777" w:rsidR="00FC2402" w:rsidRPr="009565AD" w:rsidRDefault="00FC2402" w:rsidP="00FC2402">
      <w:pPr>
        <w:pStyle w:val="Numlist"/>
        <w:spacing w:line="360" w:lineRule="auto"/>
        <w:ind w:firstLine="709"/>
        <w:jc w:val="both"/>
      </w:pPr>
      <w:r w:rsidRPr="009565AD">
        <w:t>От первых симптомов поражения легких до возникновения ОДН, требующей ИВЛ, проходит от нескольких часов до нескольких дней. При неблагоприятном исходе пациенты погибают в течение первой недели. Вследствие быстроты, с которое развивается легочная патология, необходимо обследовать гематологических пациентов в сжатые сроки, чтобы успеть начать эффективную этиотропную терапию.</w:t>
      </w:r>
    </w:p>
    <w:p w14:paraId="7725DB01" w14:textId="77777777" w:rsidR="00FC2402" w:rsidRPr="009565AD" w:rsidRDefault="00FC2402" w:rsidP="00FC2402">
      <w:pPr>
        <w:ind w:firstLine="709"/>
        <w:rPr>
          <w:b/>
          <w:bCs/>
        </w:rPr>
      </w:pPr>
      <w:r w:rsidRPr="009565AD">
        <w:rPr>
          <w:b/>
          <w:bCs/>
        </w:rPr>
        <w:t xml:space="preserve">Обследование гематологических пациентов с поражениями легких </w:t>
      </w:r>
    </w:p>
    <w:p w14:paraId="024FBE43" w14:textId="77777777" w:rsidR="00FC2402" w:rsidRPr="009565AD" w:rsidRDefault="00FC2402" w:rsidP="00FC2402">
      <w:pPr>
        <w:ind w:firstLine="709"/>
        <w:rPr>
          <w:b/>
          <w:bCs/>
        </w:rPr>
      </w:pPr>
      <w:r w:rsidRPr="009565AD">
        <w:rPr>
          <w:b/>
          <w:bCs/>
        </w:rPr>
        <w:t>Клиническая картина</w:t>
      </w:r>
    </w:p>
    <w:p w14:paraId="4842BE6C" w14:textId="77777777" w:rsidR="00FC2402" w:rsidRPr="009565AD" w:rsidRDefault="00FC2402" w:rsidP="00FC2402">
      <w:pPr>
        <w:ind w:firstLine="709"/>
      </w:pPr>
      <w:r w:rsidRPr="009565AD">
        <w:rPr>
          <w:bCs/>
        </w:rPr>
        <w:t xml:space="preserve">Жалобы </w:t>
      </w:r>
      <w:r w:rsidRPr="009565AD">
        <w:t xml:space="preserve">пациента, часто даже при выраженном поражении легких, скудные. Нередко первыми симптомами являются высокая лихорадка и одышка. Кашель может быть </w:t>
      </w:r>
      <w:r w:rsidRPr="009565AD">
        <w:lastRenderedPageBreak/>
        <w:t>с мокротой, но чаще он сухой. При вовлечении в процесс плевры могут беспокоить боли при дыхании.</w:t>
      </w:r>
    </w:p>
    <w:p w14:paraId="439003E9" w14:textId="77777777" w:rsidR="00FC2402" w:rsidRPr="009565AD" w:rsidRDefault="00FC2402" w:rsidP="00FC2402">
      <w:pPr>
        <w:ind w:firstLine="709"/>
        <w:rPr>
          <w:bCs/>
        </w:rPr>
      </w:pPr>
      <w:r w:rsidRPr="009565AD">
        <w:rPr>
          <w:bCs/>
        </w:rPr>
        <w:t>Данные анамнеза:</w:t>
      </w:r>
    </w:p>
    <w:p w14:paraId="06F2E7DA" w14:textId="77777777" w:rsidR="00FC2402" w:rsidRPr="009565AD" w:rsidRDefault="00FC2402" w:rsidP="00FC2402">
      <w:pPr>
        <w:ind w:firstLine="709"/>
      </w:pPr>
      <w:r w:rsidRPr="009565AD">
        <w:t xml:space="preserve">Легочная патология, возникшая в дебюте или при рецидиве гемобластоза, когда обнаруживаются гиперлейкоцитоз и большое число бластных клеток в периферической крови, может быть следствием поражения легких </w:t>
      </w:r>
      <w:r w:rsidRPr="009565AD">
        <w:rPr>
          <w:bCs/>
        </w:rPr>
        <w:t>опухолевыми клетками</w:t>
      </w:r>
      <w:r w:rsidRPr="009565AD">
        <w:t xml:space="preserve">. </w:t>
      </w:r>
    </w:p>
    <w:p w14:paraId="2FB54062" w14:textId="77777777" w:rsidR="00FC2402" w:rsidRPr="009565AD" w:rsidRDefault="00FC2402" w:rsidP="00FC2402">
      <w:pPr>
        <w:ind w:firstLine="709"/>
      </w:pPr>
      <w:r w:rsidRPr="009565AD">
        <w:t xml:space="preserve">При длительной иммуносупрессивной терапии препаратами, подавляющими </w:t>
      </w:r>
      <w:r w:rsidRPr="009565AD">
        <w:rPr>
          <w:lang w:val="en-US"/>
        </w:rPr>
        <w:t>T</w:t>
      </w:r>
      <w:r w:rsidRPr="009565AD">
        <w:t>-клеточный иммунитет (</w:t>
      </w:r>
      <w:r w:rsidRPr="009565AD">
        <w:rPr>
          <w:bCs/>
        </w:rPr>
        <w:t>циклоспорин.</w:t>
      </w:r>
      <w:r w:rsidRPr="009565AD">
        <w:t xml:space="preserve"> глюкокортикоиды, флударабин и т. д.), велик риск цитомегаловирусной и/или пневмоцистной пневмонии. </w:t>
      </w:r>
    </w:p>
    <w:p w14:paraId="5773AD31" w14:textId="77777777" w:rsidR="00FC2402" w:rsidRPr="009565AD" w:rsidRDefault="00FC2402" w:rsidP="00FC2402">
      <w:pPr>
        <w:ind w:firstLine="709"/>
      </w:pPr>
      <w:r w:rsidRPr="009565AD">
        <w:t xml:space="preserve">При поражении легких в период миелотоксического агранулоцитоза велика вероятность бактериальной и/или грибковой пневмонии. </w:t>
      </w:r>
    </w:p>
    <w:p w14:paraId="0BC8167B" w14:textId="77777777" w:rsidR="00FC2402" w:rsidRPr="009565AD" w:rsidRDefault="00FC2402" w:rsidP="00FC2402">
      <w:pPr>
        <w:ind w:firstLine="709"/>
      </w:pPr>
      <w:r w:rsidRPr="009565AD">
        <w:t>Если изменения в легких возникают или прогрессируют, несмотря на лечение антибиотиками, то следует исключить инвазию легочной ткани грибами.</w:t>
      </w:r>
    </w:p>
    <w:p w14:paraId="161332D2" w14:textId="77777777" w:rsidR="00FC2402" w:rsidRPr="009565AD" w:rsidRDefault="00FC2402" w:rsidP="00FC2402">
      <w:pPr>
        <w:ind w:firstLine="709"/>
      </w:pPr>
      <w:r w:rsidRPr="009565AD">
        <w:t>Вариант заболевания системы крови позволяет отнести гематологического пациента с ОДН к группе риска по тем или иным факторам. Бактериальная пневмония одинаково часто встречается у пациентов с различными гематологическими заболеваниями, однако причиной ОДН она чаще всего служит у пациентов с острыми лейкозами. При хроническом лимфолейкозе пневмоцистная пневмония встречается чаще, чем при остром лейкозе, а у пациентов с лимфомами преобладает вирусная пневмония, которая у них выявляется чаще, чем поражение легких опухолевыми клетками.</w:t>
      </w:r>
    </w:p>
    <w:p w14:paraId="7991565C" w14:textId="77777777" w:rsidR="00FC2402" w:rsidRPr="009565AD" w:rsidRDefault="00FC2402" w:rsidP="00FC2402">
      <w:pPr>
        <w:ind w:firstLine="709"/>
      </w:pPr>
      <w:r w:rsidRPr="009565AD">
        <w:t>Возникновение легочной патологии нередко связано с предшествующим лечением. Срок от окончания химиотерапии до развития ОДН при бактериальных пневмониях значительно меньше, чем при пневмоцистных и вирусных пневмониях.</w:t>
      </w:r>
    </w:p>
    <w:p w14:paraId="57AB10D7" w14:textId="77777777" w:rsidR="00FC2402" w:rsidRPr="009565AD" w:rsidRDefault="00FC2402" w:rsidP="00FC2402">
      <w:pPr>
        <w:ind w:firstLine="709"/>
      </w:pPr>
      <w:r w:rsidRPr="009565AD">
        <w:rPr>
          <w:bCs/>
        </w:rPr>
        <w:t>Наличие миелотоксического агранулоцитоза</w:t>
      </w:r>
      <w:r w:rsidRPr="009565AD">
        <w:rPr>
          <w:b/>
          <w:bCs/>
        </w:rPr>
        <w:t xml:space="preserve"> </w:t>
      </w:r>
      <w:r w:rsidRPr="009565AD">
        <w:t>является решающим фактором, влияющим на возникновение легочной патологии. У пациентов с агранулоцитозом бактериальные и грибковые пневмонии встречаются значительно чаще, чем вирусные и пневмоцистные пневмонии или опухолевое поражение легких.</w:t>
      </w:r>
    </w:p>
    <w:p w14:paraId="58B1E70A" w14:textId="77777777" w:rsidR="00FC2402" w:rsidRPr="009565AD" w:rsidRDefault="00FC2402" w:rsidP="00FC2402">
      <w:pPr>
        <w:ind w:firstLine="709"/>
        <w:rPr>
          <w:b/>
          <w:bCs/>
        </w:rPr>
      </w:pPr>
      <w:r w:rsidRPr="009565AD">
        <w:rPr>
          <w:b/>
          <w:bCs/>
        </w:rPr>
        <w:t>Лабораторные исследования</w:t>
      </w:r>
    </w:p>
    <w:p w14:paraId="3BF949CB" w14:textId="77777777" w:rsidR="00FC2402" w:rsidRPr="009565AD" w:rsidRDefault="00FC2402" w:rsidP="00CF0CD2">
      <w:pPr>
        <w:pStyle w:val="afe"/>
        <w:numPr>
          <w:ilvl w:val="0"/>
          <w:numId w:val="104"/>
        </w:numPr>
        <w:rPr>
          <w:rFonts w:cs="Times New Roman"/>
          <w:szCs w:val="24"/>
        </w:rPr>
      </w:pPr>
      <w:r w:rsidRPr="009565AD">
        <w:rPr>
          <w:rFonts w:cs="Times New Roman"/>
          <w:szCs w:val="24"/>
        </w:rPr>
        <w:t>Рутинные общетерапевтические исследования – клинический анализ крови, биохимический анализ крови (мочевина, креатинин, билирубин (в том числе по фракциям), мочевая кислота, панкреатическая аимлаза, амилаза, липаза, альбумин, АЛТ/АСТ, КФК/КФК-МВ, глюкоза, калий, натрий, кальций ионизированный, хлор, другие параметры по показаниям), коагулограмма</w:t>
      </w:r>
      <w:r w:rsidRPr="009565AD">
        <w:rPr>
          <w:rFonts w:cs="Times New Roman"/>
          <w:color w:val="FF0000"/>
          <w:szCs w:val="24"/>
        </w:rPr>
        <w:t xml:space="preserve"> </w:t>
      </w:r>
      <w:r w:rsidRPr="009565AD">
        <w:rPr>
          <w:rFonts w:cs="Times New Roman"/>
          <w:szCs w:val="24"/>
        </w:rPr>
        <w:t xml:space="preserve">(АЧТВ, протромбин по Квику, тромбиновое время, фибриноген, антитромбин </w:t>
      </w:r>
      <w:r w:rsidRPr="009565AD">
        <w:rPr>
          <w:rFonts w:cs="Times New Roman"/>
          <w:szCs w:val="24"/>
          <w:lang w:val="en-US"/>
        </w:rPr>
        <w:t>III</w:t>
      </w:r>
      <w:r w:rsidRPr="009565AD">
        <w:rPr>
          <w:rFonts w:cs="Times New Roman"/>
          <w:szCs w:val="24"/>
        </w:rPr>
        <w:t>, другие параметры по показаниям);</w:t>
      </w:r>
    </w:p>
    <w:p w14:paraId="6590BE72" w14:textId="77777777" w:rsidR="00FC2402" w:rsidRPr="009565AD" w:rsidRDefault="00FC2402" w:rsidP="00CF0CD2">
      <w:pPr>
        <w:pStyle w:val="afe"/>
        <w:numPr>
          <w:ilvl w:val="0"/>
          <w:numId w:val="104"/>
        </w:numPr>
        <w:rPr>
          <w:rFonts w:cs="Times New Roman"/>
          <w:szCs w:val="24"/>
        </w:rPr>
      </w:pPr>
      <w:r w:rsidRPr="009565AD">
        <w:rPr>
          <w:rFonts w:cs="Times New Roman"/>
          <w:szCs w:val="24"/>
        </w:rPr>
        <w:lastRenderedPageBreak/>
        <w:t xml:space="preserve">Исследование газов артериальной крови – обязательно при обследовании пациента с подозрением на ОДН. </w:t>
      </w:r>
    </w:p>
    <w:p w14:paraId="7CE7031D" w14:textId="77777777" w:rsidR="00FC2402" w:rsidRPr="009565AD" w:rsidRDefault="00FC2402" w:rsidP="00FC2402">
      <w:pPr>
        <w:ind w:firstLine="709"/>
        <w:rPr>
          <w:b/>
          <w:bCs/>
        </w:rPr>
      </w:pPr>
      <w:r w:rsidRPr="009565AD">
        <w:rPr>
          <w:b/>
          <w:bCs/>
        </w:rPr>
        <w:t>Инструментальные исследования</w:t>
      </w:r>
    </w:p>
    <w:p w14:paraId="456F585C" w14:textId="77777777" w:rsidR="00FC2402" w:rsidRPr="009565AD" w:rsidRDefault="00FC2402" w:rsidP="00CF0CD2">
      <w:pPr>
        <w:pStyle w:val="afe"/>
        <w:numPr>
          <w:ilvl w:val="0"/>
          <w:numId w:val="104"/>
        </w:numPr>
        <w:rPr>
          <w:rFonts w:cs="Times New Roman"/>
          <w:szCs w:val="24"/>
        </w:rPr>
      </w:pPr>
      <w:r w:rsidRPr="009565AD">
        <w:rPr>
          <w:rFonts w:cs="Times New Roman"/>
          <w:szCs w:val="24"/>
        </w:rPr>
        <w:t>Исследование показателей легочной вентиляции и резервов дыхания – позволяет оценить функциональную способность легких. Большое значение исследование функции внешнего дыхания имеет в диагностике облитерирующего бронхиолита, при котором на ранних стадиях выявляется уменьшение форсированного экспираторного потока, а позже — объема форсированного выдоха за 1-ю секунду и форсированной жизненной емкости легких.</w:t>
      </w:r>
    </w:p>
    <w:p w14:paraId="5B9D9FC1" w14:textId="77777777" w:rsidR="00FC2402" w:rsidRPr="009565AD" w:rsidRDefault="00FC2402" w:rsidP="00CF0CD2">
      <w:pPr>
        <w:pStyle w:val="afe"/>
        <w:numPr>
          <w:ilvl w:val="0"/>
          <w:numId w:val="104"/>
        </w:numPr>
        <w:rPr>
          <w:rFonts w:cs="Times New Roman"/>
          <w:szCs w:val="24"/>
        </w:rPr>
      </w:pPr>
      <w:r w:rsidRPr="009565AD">
        <w:rPr>
          <w:rFonts w:cs="Times New Roman"/>
          <w:szCs w:val="24"/>
        </w:rPr>
        <w:t xml:space="preserve">Радиологическое исследование легких – в первую очередь, СКТ, поскольку рентгенологическое исследование легких, выполняемое в условиях ОРИТ на портативных рентгеновских установках, малоинформативно и не имеет существенного диагностического значения у иммунокомпрометированных гематологических пациентов. Небольшая мощность излучения портативного аппарата приводит к тому, что для снимка требуется большее время экспозиции, а пациенты с ОДН не могут надолго задержать дыхание, поэтому высок риск артефактов, связанных с дыханием. Короткое фокусное расстояние может приводить к эффекту увеличения теней на снимках, в частности сердечной тени. При использовании портативной рентгеновской установки для повторных снимков обычно не удается воспроизвести условия съемки, поэтому рентгенограммы трудно сопоставлять между собой. С помощью рентгеновских снимков можно лишь исключить экстрапульмональные причины ОДН (пневмоторакс, пневмомедиастинум, гидроторакс и т. д.) и провести первичную оценку состояния легочной ткани, поскольку у пациентов с агранулоцитозом пневмония протекает без нейтрофильной инфильтрации легочной ткани, и при лейкопении в первые дни развития пневмонии не обнаруживаются рентгенологические изменения в легких. Сложности в диагностике легочного поражения возникают не только при агранулоцитозе, но и при гиперлейкоцитозе – в ряде случаев у пациентов с гемобластозами, протекающими с гиперлейкоцитозом и лейкостазами, даже при развитии ОДН на рентгенограмме легких не находят изменений. Скудные рентгенографические изменения выявляются и при грибковых, вирусных и пневмоцистных пневмониях. При сравнении рентгенологического заключения с данными аутопсии при лейкемических повреждениях легких полное совпадение диагнозов обнаружено лишь в 3% случаев, частичное — в 60%, расхождение — в 38% случаев. Поэтому основным методом диагностики легочного поражения у </w:t>
      </w:r>
      <w:r w:rsidRPr="009565AD">
        <w:rPr>
          <w:rFonts w:cs="Times New Roman"/>
          <w:szCs w:val="24"/>
        </w:rPr>
        <w:lastRenderedPageBreak/>
        <w:t>гематологических пациентов является СКТ легких, при которой значимо чаще, чем при рентгенографии, обнаруживаются усиление и деформация легочного рисунка, выпот в плевральной полости, отек легочной ткани, перивазальные и перибронхиальные инфильтраты, утолщение и инфильтрация плевры, буллезные изменения легких. Проводить СКТ рекомендуется всем гематологическим пациентам с поражениями легких, но в обязательном порядке она показана при несоответствии между клиническими проявлениями и рентгенологическими изменениями в легких, при подозрении на полостные образования, при сохраняющемся легочном поражении, несмотря на проводимую терапию.</w:t>
      </w:r>
    </w:p>
    <w:p w14:paraId="4906A340" w14:textId="77777777" w:rsidR="00FC2402" w:rsidRPr="009565AD" w:rsidRDefault="00FC2402" w:rsidP="00CF0CD2">
      <w:pPr>
        <w:pStyle w:val="afe"/>
        <w:numPr>
          <w:ilvl w:val="0"/>
          <w:numId w:val="104"/>
        </w:numPr>
        <w:rPr>
          <w:rFonts w:cs="Times New Roman"/>
          <w:szCs w:val="24"/>
        </w:rPr>
      </w:pPr>
      <w:r w:rsidRPr="009565AD">
        <w:rPr>
          <w:rFonts w:cs="Times New Roman"/>
          <w:szCs w:val="24"/>
        </w:rPr>
        <w:t xml:space="preserve">При подозрении на ТЭЛА проводят СКТ с в/в контрастным усилением, позволяющим выявить тромб в ветвях легочной артерии. </w:t>
      </w:r>
      <w:bookmarkStart w:id="85" w:name="_Toc434240802"/>
    </w:p>
    <w:p w14:paraId="1EB1BCEC" w14:textId="77777777" w:rsidR="00FC2402" w:rsidRPr="009565AD" w:rsidRDefault="00FC2402" w:rsidP="00CF0CD2">
      <w:pPr>
        <w:pStyle w:val="afe"/>
        <w:numPr>
          <w:ilvl w:val="0"/>
          <w:numId w:val="104"/>
        </w:numPr>
        <w:rPr>
          <w:rFonts w:cs="Times New Roman"/>
          <w:szCs w:val="24"/>
        </w:rPr>
      </w:pPr>
      <w:r w:rsidRPr="009565AD">
        <w:rPr>
          <w:rFonts w:cs="Times New Roman"/>
          <w:szCs w:val="24"/>
        </w:rPr>
        <w:t xml:space="preserve">Ультразвуковая диагностика поражений легких и плевры </w:t>
      </w:r>
      <w:bookmarkEnd w:id="85"/>
      <w:r w:rsidRPr="009565AD">
        <w:rPr>
          <w:rFonts w:cs="Times New Roman"/>
          <w:szCs w:val="24"/>
        </w:rPr>
        <w:t xml:space="preserve">– в последние годы в ОРИТ для выявления легочных поражений широкое применение находит ультразвуковое сканирование. Неинвазивность, быстрота выполнения, точность, доступность, мобильность, отсутствие необходимости в транспортировке больных позволяют рассматривать его как прикроватный метод диагностики. Много лет ультразвук не использовался для диагностики легочной патологии, поскольку считалось, что из-за содержащегося в них воздуха легкие не имеют акустического сопротивления. Однако при отеке легких, пневмонии, фиброзе легких содержание воздуха в легких снижается, происходит утолщение интралобулярных септ, которые находятся на поверхности висцеральной плевры, что создает акустическое сопротивление тканей легких, от них отражаются ультразвуковые волны, и на экране монитора формируется изображение. Для получения общей картины патологических изменений и визуализации глубоко расположенных объектов (например, ателектаз, долевая пневмония) применяют датчик с частотой 3—5 МГц. Для изучения поверхностных структур (плевра, мягкие ткани грудной стенки) применяют датчик с частотой 7—10 МГц. Для получения оптимального изображения объектов, находящихся в грудной полости на разной глубине, лучше иметь два разных по форме датчика с различным набором частот и, соответственно, функциональным предназначением. </w:t>
      </w:r>
      <w:bookmarkStart w:id="86" w:name="_Toc434240804"/>
    </w:p>
    <w:bookmarkEnd w:id="86"/>
    <w:p w14:paraId="23A96814" w14:textId="77777777" w:rsidR="00FC2402" w:rsidRPr="009565AD" w:rsidRDefault="00FC2402" w:rsidP="00CF0CD2">
      <w:pPr>
        <w:pStyle w:val="afe"/>
        <w:numPr>
          <w:ilvl w:val="0"/>
          <w:numId w:val="104"/>
        </w:numPr>
        <w:rPr>
          <w:rFonts w:cs="Times New Roman"/>
          <w:szCs w:val="24"/>
        </w:rPr>
      </w:pPr>
      <w:r w:rsidRPr="009565AD">
        <w:rPr>
          <w:rFonts w:cs="Times New Roman"/>
          <w:szCs w:val="24"/>
        </w:rPr>
        <w:t xml:space="preserve">Микробиологическое исследование посевов со слизистой ротоглотки и прямой кишки – бактериологическое исследование мазков со слизистых оболочек ротоглотки и прямой кишки проводится на агаризованной среде Эндо для выявления грамотрицательных бактерий и на хромогенной селективной среде CHROMagarТМESBL (CHROMagar, Франция), предназначенной для прямого </w:t>
      </w:r>
      <w:r w:rsidRPr="009565AD">
        <w:rPr>
          <w:rFonts w:cs="Times New Roman"/>
          <w:szCs w:val="24"/>
        </w:rPr>
        <w:lastRenderedPageBreak/>
        <w:t xml:space="preserve">выделения энтеробактерий, вырабатывающих бета-лактамазы расширенного спектра действия. Между колонизацией слизистой ротоглотки бактериями и больничной пневмонией имеется взаимосвязь. Колонизация слизистой ротоглотки A. baumannii на 2 недели опережает появление этих микроорганизмов в жидкости БАЛ. P. aeruginosa выделяют со слизистой ротоглотки на 7 дней раньше, чем в жидкости БАЛ. </w:t>
      </w:r>
    </w:p>
    <w:p w14:paraId="350A7F8A" w14:textId="77777777" w:rsidR="00FC2402" w:rsidRPr="009565AD" w:rsidRDefault="00FC2402" w:rsidP="00CF0CD2">
      <w:pPr>
        <w:pStyle w:val="afe"/>
        <w:numPr>
          <w:ilvl w:val="0"/>
          <w:numId w:val="104"/>
        </w:numPr>
        <w:rPr>
          <w:rFonts w:cs="Times New Roman"/>
          <w:szCs w:val="24"/>
        </w:rPr>
      </w:pPr>
      <w:r w:rsidRPr="009565AD">
        <w:rPr>
          <w:rFonts w:cs="Times New Roman"/>
          <w:szCs w:val="24"/>
        </w:rPr>
        <w:t>Исследование мокроты – исследование мокроты с целью верификации этиологии легочного поражения имеет низкую диагностическую ценность из-за возможной контаминации материала микрофлорой полости рта и вследствие особенностей воспалительного процесса в условиях нейтропении. Другой метод диагностики легочной инфекции — это исследование трахеального аспирата. Метод был предложен более 30 лет назад, однако вследствие частой бактериальной колонизации трахеобронхиального дерева получаемые с помощью трахеальной аспирации результаты часто не отражают истинной причины поражения легких. С помощью исследования трахеального аспирата нельзя выявить многие внутриклеточные микроорганизмы, такие как пневмоцисты, легионеллы.</w:t>
      </w:r>
    </w:p>
    <w:p w14:paraId="6ECB946A" w14:textId="77777777" w:rsidR="00FC2402" w:rsidRPr="009565AD" w:rsidRDefault="00FC2402" w:rsidP="00CF0CD2">
      <w:pPr>
        <w:pStyle w:val="afe"/>
        <w:numPr>
          <w:ilvl w:val="0"/>
          <w:numId w:val="104"/>
        </w:numPr>
        <w:rPr>
          <w:rFonts w:cs="Times New Roman"/>
          <w:szCs w:val="24"/>
        </w:rPr>
      </w:pPr>
      <w:r w:rsidRPr="009565AD">
        <w:rPr>
          <w:rFonts w:cs="Times New Roman"/>
          <w:szCs w:val="24"/>
        </w:rPr>
        <w:t>Фибробронхоскопия с БАЛ – является следующим этапом диагностики легочной патологии. Сроки проведения исследования зависят от клинической ситуации:</w:t>
      </w:r>
    </w:p>
    <w:p w14:paraId="1309AB0F" w14:textId="77777777" w:rsidR="00FC2402" w:rsidRPr="009565AD" w:rsidRDefault="00FC2402" w:rsidP="00CF0CD2">
      <w:pPr>
        <w:pStyle w:val="afe"/>
        <w:numPr>
          <w:ilvl w:val="1"/>
          <w:numId w:val="104"/>
        </w:numPr>
        <w:rPr>
          <w:rFonts w:cs="Times New Roman"/>
          <w:szCs w:val="24"/>
        </w:rPr>
      </w:pPr>
      <w:r w:rsidRPr="009565AD">
        <w:rPr>
          <w:rFonts w:cs="Times New Roman"/>
          <w:szCs w:val="24"/>
        </w:rPr>
        <w:t>при очаговых поражениях легких, если антибиотики не назначались и легочный процесс не имеет скоротечного характера, может быть предпринята попытка лечения антибиотиками по результатам микробиологического исследования либо попытка эмпирической антибактериальной терапии в течение 2—7 дней (при прогрессировании заболевания эти сроки можно сократить);</w:t>
      </w:r>
    </w:p>
    <w:p w14:paraId="74F41E5C" w14:textId="77777777" w:rsidR="00FC2402" w:rsidRPr="009565AD" w:rsidRDefault="00FC2402" w:rsidP="00CF0CD2">
      <w:pPr>
        <w:pStyle w:val="afe"/>
        <w:numPr>
          <w:ilvl w:val="1"/>
          <w:numId w:val="104"/>
        </w:numPr>
        <w:rPr>
          <w:rFonts w:cs="Times New Roman"/>
          <w:szCs w:val="24"/>
        </w:rPr>
      </w:pPr>
      <w:r w:rsidRPr="009565AD">
        <w:rPr>
          <w:rFonts w:cs="Times New Roman"/>
          <w:szCs w:val="24"/>
        </w:rPr>
        <w:t>при ОДН БАЛ проводят сразу же, не теряя время на эмпирическую антибактериальную терапию.</w:t>
      </w:r>
    </w:p>
    <w:p w14:paraId="543DAD4D" w14:textId="77777777" w:rsidR="00FC2402" w:rsidRPr="009565AD" w:rsidRDefault="00FC2402" w:rsidP="00FC2402">
      <w:pPr>
        <w:ind w:firstLine="709"/>
      </w:pPr>
      <w:r w:rsidRPr="009565AD">
        <w:t>Процедура БАЛ выполняется под контролем ЭКГ-мониторинга и пульс-оксиметрии. Обязательным условием во время бронхоскопии и проведения лаважа является S</w:t>
      </w:r>
      <w:r w:rsidRPr="009565AD">
        <w:rPr>
          <w:vertAlign w:val="subscript"/>
        </w:rPr>
        <w:t>a</w:t>
      </w:r>
      <w:r w:rsidRPr="009565AD">
        <w:t>O</w:t>
      </w:r>
      <w:r w:rsidRPr="009565AD">
        <w:rPr>
          <w:vertAlign w:val="subscript"/>
        </w:rPr>
        <w:t>2</w:t>
      </w:r>
      <w:r w:rsidRPr="009565AD">
        <w:t xml:space="preserve"> не ниже 90%. Бронхоскопия выполняется в условиях оксигенотерапии (ингаляция кислорода через носовые катетеры, с помощью маски Вентури либо маски с резервуаром, в которой вырезано боковое отверстие для бронхоскопа). Если не удается обеспечить достаточную оксигенацию крови, бронхоскопия выполняется в условиях неинвазивной вентиляции легких. Для анестезии верхних дыхательных путей применяют 10% раствор лидокаина в виде аэрозоля. При трансназальном введении бронхоскопа анестезию слизистой носа проводят аппликационно, установив в носовой ход турунду, смоченную растворами </w:t>
      </w:r>
      <w:r w:rsidRPr="009565AD">
        <w:lastRenderedPageBreak/>
        <w:t>лидокаина и адреналина. У больных с тромбоцитопенией (число тромбоцитов &lt; 30 </w:t>
      </w:r>
      <w:r w:rsidRPr="009565AD">
        <w:t> 10</w:t>
      </w:r>
      <w:r w:rsidRPr="009565AD">
        <w:rPr>
          <w:vertAlign w:val="superscript"/>
        </w:rPr>
        <w:t>9</w:t>
      </w:r>
      <w:r w:rsidRPr="009565AD">
        <w:t> л</w:t>
      </w:r>
      <w:r w:rsidRPr="009565AD">
        <w:rPr>
          <w:vertAlign w:val="superscript"/>
        </w:rPr>
        <w:t>–1</w:t>
      </w:r>
      <w:r w:rsidRPr="009565AD">
        <w:t>), выраженной коагулопатией и кровоточивостью бронхоскоп проводят трансорально, поскольку трансназальное введение может осложниться носовым кровотечением.</w:t>
      </w:r>
    </w:p>
    <w:p w14:paraId="5D2E42CE" w14:textId="77777777" w:rsidR="00FC2402" w:rsidRPr="009565AD" w:rsidRDefault="00FC2402" w:rsidP="00FC2402">
      <w:pPr>
        <w:ind w:firstLine="709"/>
      </w:pPr>
      <w:r w:rsidRPr="009565AD">
        <w:t>Для локальной анестезии голосовых связок используют 10% раствор лидокаина, для анестезии бифуркации трахеи и шпор бронхов — 2% раствор лидокаина. Суммарная доза лидокаина за процедуру не должна превышать 600 мг. Если состояние больного тяжелое, и у него выражена ОДН, на время проведения бронхоскопии и лаважа он может быть переведен на ИВЛ. У больных на ИВЛ процедура выполняется под общей анестезией через адаптер респиратора, снабженный клапаном для бронхоскопа.</w:t>
      </w:r>
    </w:p>
    <w:p w14:paraId="52C5BEE3" w14:textId="77777777" w:rsidR="00FC2402" w:rsidRPr="009565AD" w:rsidRDefault="00FC2402" w:rsidP="00FC2402">
      <w:pPr>
        <w:ind w:firstLine="709"/>
      </w:pPr>
      <w:r w:rsidRPr="009565AD">
        <w:t>При проведении бронхоскопа избегают отсасывания во избежание контаминации канала бронхоскопа. После осмотра трахеобронхиального дерева выполняют бронхоальвеолярный лаваж. Место проведения лаважа определяют по данным рентгенографии и КТ: либо в области наибольшего поражения, либо, при диффузном поражении легких, — в средней доле правого легкого или в язычковом сегменте левого легкого.</w:t>
      </w:r>
    </w:p>
    <w:p w14:paraId="0738F371" w14:textId="77777777" w:rsidR="00FC2402" w:rsidRPr="009565AD" w:rsidRDefault="00FC2402" w:rsidP="00FC2402">
      <w:pPr>
        <w:ind w:firstLine="709"/>
      </w:pPr>
      <w:r w:rsidRPr="009565AD">
        <w:t>К бронхоскопу через трехходовой краник присоединяется стерильный пластикатный мешок (как правило, мешки, используемые для забора крови, но без консерванта гемаконы). Лаваж выполняется путем введения подогретого до 37</w:t>
      </w:r>
      <w:r w:rsidRPr="009565AD">
        <w:rPr>
          <w:vertAlign w:val="superscript"/>
        </w:rPr>
        <w:t>о</w:t>
      </w:r>
      <w:r w:rsidRPr="009565AD">
        <w:t xml:space="preserve"> </w:t>
      </w:r>
      <w:r w:rsidRPr="009565AD">
        <w:rPr>
          <w:lang w:val="en-US"/>
        </w:rPr>
        <w:t>C</w:t>
      </w:r>
      <w:r w:rsidRPr="009565AD">
        <w:t xml:space="preserve"> физиологического раствора одноразовыми шприцами — 8 порций по 20 мл. Отсасывание должно быть мягким (под давлением меньше 50—80 мм рт. ст.), чтобы избежать коллапса альвеол и нарушения отсасывания жидкости. Первую порцию лаважной жидкости отделяют от остальных, поскольку она представляет собой преимущественно бронхиальный смыв и не отражает состав альвеолярной клеточной популяции. Остальную жидкость собирают в мешок. При процедуре возвращается 40—60% объема введенной жидкости. После окончания процедуры лаважная жидкость перемешивается и направляется на исследование.</w:t>
      </w:r>
    </w:p>
    <w:p w14:paraId="2EDFFBE3" w14:textId="77777777" w:rsidR="00FC2402" w:rsidRPr="009565AD" w:rsidRDefault="00FC2402" w:rsidP="00FC2402">
      <w:pPr>
        <w:ind w:firstLine="709"/>
      </w:pPr>
      <w:r w:rsidRPr="009565AD">
        <w:t>Хотя фибробронхоскопия и лаваж считаются безопасными процедурами, их проведение у больных с геморрагическим синдромом и артериальной гипоксемией требует специальной подготовки. При глубокой тромбоцитопении (число тромбоцитов &lt; 30 </w:t>
      </w:r>
      <w:r w:rsidRPr="009565AD">
        <w:t>10</w:t>
      </w:r>
      <w:r w:rsidRPr="009565AD">
        <w:rPr>
          <w:vertAlign w:val="superscript"/>
        </w:rPr>
        <w:t>9</w:t>
      </w:r>
      <w:r w:rsidRPr="009565AD">
        <w:t> л</w:t>
      </w:r>
      <w:r w:rsidRPr="009565AD">
        <w:rPr>
          <w:vertAlign w:val="superscript"/>
        </w:rPr>
        <w:t>–1</w:t>
      </w:r>
      <w:r w:rsidRPr="009565AD">
        <w:t>) перед процедурой производится переливание концентрата тромбоцитов (400—500 </w:t>
      </w:r>
      <w:r w:rsidRPr="009565AD">
        <w:t> 10</w:t>
      </w:r>
      <w:r w:rsidRPr="009565AD">
        <w:rPr>
          <w:vertAlign w:val="superscript"/>
        </w:rPr>
        <w:t xml:space="preserve">9 </w:t>
      </w:r>
      <w:r w:rsidRPr="009565AD">
        <w:t xml:space="preserve">клеток) </w:t>
      </w:r>
      <w:r w:rsidRPr="009565AD">
        <w:rPr>
          <w:lang w:val="en-US"/>
        </w:rPr>
        <w:t>c</w:t>
      </w:r>
      <w:r w:rsidRPr="009565AD">
        <w:t xml:space="preserve"> целью повышения числа тромбоцитов до 40—50 </w:t>
      </w:r>
      <w:r w:rsidRPr="009565AD">
        <w:t> 10</w:t>
      </w:r>
      <w:r w:rsidRPr="009565AD">
        <w:rPr>
          <w:vertAlign w:val="superscript"/>
        </w:rPr>
        <w:t>9</w:t>
      </w:r>
      <w:r w:rsidRPr="009565AD">
        <w:t> л</w:t>
      </w:r>
      <w:r w:rsidRPr="009565AD">
        <w:rPr>
          <w:vertAlign w:val="superscript"/>
        </w:rPr>
        <w:t>–1</w:t>
      </w:r>
      <w:r w:rsidRPr="009565AD">
        <w:t xml:space="preserve"> или нормализации времени кровотечения. Если геморрагический синдром обусловлен нарушениями коагуляционного гемостаза, то подготовка к бронхоскопии осуществляется переливанием свежезамороженной плазмы (500—1000 мл), криопреципитата и факторов свертывания до достижения нормального АЧТВ и повышения уровней факторов свертывания.</w:t>
      </w:r>
    </w:p>
    <w:p w14:paraId="61CEF207" w14:textId="77777777" w:rsidR="00FC2402" w:rsidRPr="009565AD" w:rsidRDefault="00FC2402" w:rsidP="00FC2402">
      <w:pPr>
        <w:ind w:firstLine="709"/>
      </w:pPr>
      <w:r w:rsidRPr="009565AD">
        <w:lastRenderedPageBreak/>
        <w:t>Цитологическое исследование лаважа может помочь в диагностике опухолевых поражений легких у пациентов с гематологическими заболеваниями, но в основном помогает выявить возбудителя легочной инфекции, в том числе, цитомегаловирусной и пневмоцистной природы (возбудители этих инфекций в ряде случаев могут быть выявлены при окраске мазка БАЛ по Романовскому—Гимзе).</w:t>
      </w:r>
    </w:p>
    <w:p w14:paraId="5B27EA15" w14:textId="77777777" w:rsidR="00FC2402" w:rsidRPr="009565AD" w:rsidRDefault="00FC2402" w:rsidP="00FC2402">
      <w:pPr>
        <w:pStyle w:val="5"/>
        <w:spacing w:before="0"/>
        <w:ind w:firstLine="709"/>
        <w:jc w:val="both"/>
        <w:rPr>
          <w:rFonts w:ascii="Times New Roman" w:hAnsi="Times New Roman" w:cs="Times New Roman"/>
          <w:b w:val="0"/>
          <w:color w:val="000000" w:themeColor="text1"/>
        </w:rPr>
      </w:pPr>
      <w:r w:rsidRPr="009565AD">
        <w:rPr>
          <w:rFonts w:ascii="Times New Roman" w:hAnsi="Times New Roman" w:cs="Times New Roman"/>
          <w:color w:val="000000" w:themeColor="text1"/>
        </w:rPr>
        <w:t>Бактериоскопия</w:t>
      </w:r>
    </w:p>
    <w:p w14:paraId="254C04EB" w14:textId="77777777" w:rsidR="00FC2402" w:rsidRPr="009565AD" w:rsidRDefault="00FC2402" w:rsidP="00FC2402">
      <w:pPr>
        <w:ind w:firstLine="709"/>
      </w:pPr>
      <w:r w:rsidRPr="009565AD">
        <w:t>При микроскопии нативного материала для выявления бактерий и грибов проводят окрашивание по Граму и Романовскому—Гимзе, для выявления грибов — окрашивание калькофлуором белым. Для выявления кислотоустойчивых микроорганизмов (микобактерий туберкулеза, нокардий) просматривают препараты, окрашенные по Цилю—Нильсену. Данные микроскопии должны быть получены в первые же сутки после выполнения лаважа.</w:t>
      </w:r>
    </w:p>
    <w:p w14:paraId="70656450" w14:textId="77777777" w:rsidR="00FC2402" w:rsidRPr="009565AD" w:rsidRDefault="00FC2402" w:rsidP="00FC2402">
      <w:pPr>
        <w:pStyle w:val="5"/>
        <w:spacing w:before="0"/>
        <w:ind w:firstLine="709"/>
        <w:jc w:val="both"/>
        <w:rPr>
          <w:rFonts w:ascii="Times New Roman" w:hAnsi="Times New Roman" w:cs="Times New Roman"/>
          <w:b w:val="0"/>
          <w:color w:val="000000" w:themeColor="text1"/>
        </w:rPr>
      </w:pPr>
      <w:r w:rsidRPr="009565AD">
        <w:rPr>
          <w:rFonts w:ascii="Times New Roman" w:hAnsi="Times New Roman" w:cs="Times New Roman"/>
          <w:color w:val="000000" w:themeColor="text1"/>
        </w:rPr>
        <w:t>Посев на количественную культуру</w:t>
      </w:r>
    </w:p>
    <w:p w14:paraId="7CC6530F" w14:textId="77777777" w:rsidR="00FC2402" w:rsidRPr="009565AD" w:rsidRDefault="00FC2402" w:rsidP="00FC2402">
      <w:pPr>
        <w:ind w:firstLine="709"/>
      </w:pPr>
      <w:r w:rsidRPr="009565AD">
        <w:t>При микробиологическом исследовании с целью отличить колонизацию от инвазии микроорганизмами проводится количественный анализ лаважной жидкости. Клинически значимая инфекция возникает при наличии 10</w:t>
      </w:r>
      <w:r w:rsidRPr="009565AD">
        <w:rPr>
          <w:vertAlign w:val="superscript"/>
        </w:rPr>
        <w:t>4</w:t>
      </w:r>
      <w:r w:rsidRPr="009565AD">
        <w:t xml:space="preserve"> КОЕ на 1 г ткани легкого или при наличии более 10</w:t>
      </w:r>
      <w:r w:rsidRPr="009565AD">
        <w:rPr>
          <w:vertAlign w:val="superscript"/>
        </w:rPr>
        <w:t>5</w:t>
      </w:r>
      <w:r w:rsidRPr="009565AD">
        <w:t xml:space="preserve"> бактерий в 1 мл экссудата. Поскольку при лаваже происходит разведение секрета приблизительно в 100 раз, то рост 10</w:t>
      </w:r>
      <w:r w:rsidRPr="009565AD">
        <w:rPr>
          <w:vertAlign w:val="superscript"/>
        </w:rPr>
        <w:t>3</w:t>
      </w:r>
      <w:r w:rsidRPr="009565AD">
        <w:t>—10</w:t>
      </w:r>
      <w:r w:rsidRPr="009565AD">
        <w:rPr>
          <w:vertAlign w:val="superscript"/>
        </w:rPr>
        <w:t>4</w:t>
      </w:r>
      <w:r w:rsidRPr="009565AD">
        <w:t> КОЕ/мл соответствует присутствию 10</w:t>
      </w:r>
      <w:r w:rsidRPr="009565AD">
        <w:rPr>
          <w:vertAlign w:val="superscript"/>
        </w:rPr>
        <w:t>5</w:t>
      </w:r>
      <w:r w:rsidRPr="009565AD">
        <w:t>—10</w:t>
      </w:r>
      <w:r w:rsidRPr="009565AD">
        <w:rPr>
          <w:vertAlign w:val="superscript"/>
        </w:rPr>
        <w:t>6</w:t>
      </w:r>
      <w:r w:rsidRPr="009565AD">
        <w:t xml:space="preserve"> бактерий в легочном секрете. Именно эта величина принята за диагностически значимую для БАЛ. Однако у иммунокомпрометированных больных, большинство из которых к моменту выполнения БАЛ уже получают массивную антибактериальную терапию, даже 10</w:t>
      </w:r>
      <w:r w:rsidRPr="009565AD">
        <w:rPr>
          <w:vertAlign w:val="superscript"/>
        </w:rPr>
        <w:t>3</w:t>
      </w:r>
      <w:r w:rsidRPr="009565AD">
        <w:t> КОЕ/мл свидетельствует об этиологической роли микроорганизмов в поражении легких.</w:t>
      </w:r>
    </w:p>
    <w:p w14:paraId="5F6D6C58" w14:textId="77777777" w:rsidR="00FC2402" w:rsidRPr="009565AD" w:rsidRDefault="00FC2402" w:rsidP="00FC2402">
      <w:pPr>
        <w:ind w:firstLine="709"/>
      </w:pPr>
      <w:r w:rsidRPr="009565AD">
        <w:t xml:space="preserve">Для выявления легионеллеза исследуются образец лаважной жидкости и мочи пациента – в моче иммунохроматографическим методом выявляется растворимый липополисахаридный антиген </w:t>
      </w:r>
      <w:r w:rsidRPr="009565AD">
        <w:rPr>
          <w:lang w:val="en-US"/>
        </w:rPr>
        <w:t>Legionella</w:t>
      </w:r>
      <w:r w:rsidRPr="009565AD">
        <w:t xml:space="preserve"> </w:t>
      </w:r>
      <w:r w:rsidRPr="009565AD">
        <w:rPr>
          <w:lang w:val="en-US"/>
        </w:rPr>
        <w:t>pneumophila</w:t>
      </w:r>
      <w:r w:rsidRPr="009565AD">
        <w:t xml:space="preserve"> серогруппы 1.</w:t>
      </w:r>
    </w:p>
    <w:p w14:paraId="03E25C97" w14:textId="77777777" w:rsidR="00FC2402" w:rsidRPr="009565AD" w:rsidRDefault="00FC2402" w:rsidP="00FC2402">
      <w:pPr>
        <w:pStyle w:val="5"/>
        <w:spacing w:before="0"/>
        <w:ind w:firstLine="709"/>
        <w:jc w:val="both"/>
        <w:rPr>
          <w:rFonts w:ascii="Times New Roman" w:hAnsi="Times New Roman" w:cs="Times New Roman"/>
          <w:b w:val="0"/>
        </w:rPr>
      </w:pPr>
      <w:r w:rsidRPr="009565AD">
        <w:rPr>
          <w:rFonts w:ascii="Times New Roman" w:hAnsi="Times New Roman" w:cs="Times New Roman"/>
          <w:color w:val="000000" w:themeColor="text1"/>
        </w:rPr>
        <w:t>Исследование на пневмоцистную инфекцию</w:t>
      </w:r>
    </w:p>
    <w:p w14:paraId="1E06C08F" w14:textId="77777777" w:rsidR="00FC2402" w:rsidRPr="009565AD" w:rsidRDefault="00FC2402" w:rsidP="00FC2402">
      <w:pPr>
        <w:ind w:firstLine="709"/>
      </w:pPr>
      <w:r w:rsidRPr="009565AD">
        <w:t xml:space="preserve">Наиболее доступным методом является выявление пневмоцист в мазках, окрашенных по Романовскому—Гимзе. Эта окраска позволяет выявить пневмоцисты на всех стадиях их жизненного цикла: на стадии цист, прецист, трофозоитов, — а также окрашивает экссудативный материал в виде «ячеистой пены». Недостатком метода является интенсивная окраска не только микроорганизмов, но и всего мазка, на фоне которого можно не заметить </w:t>
      </w:r>
      <w:r w:rsidRPr="009565AD">
        <w:rPr>
          <w:i/>
        </w:rPr>
        <w:t>Pneumocystis carinii</w:t>
      </w:r>
      <w:r w:rsidRPr="009565AD">
        <w:t xml:space="preserve">. Для выявления </w:t>
      </w:r>
      <w:r w:rsidRPr="009565AD">
        <w:rPr>
          <w:i/>
        </w:rPr>
        <w:t>P. carinii</w:t>
      </w:r>
      <w:r w:rsidRPr="009565AD">
        <w:t xml:space="preserve"> используется также импрегнация метенамин-серебряным нитратом по Гомори или серебром по Грокотту. Оба метода не выявляют трофозоиты и требуют для своей постановки длительного </w:t>
      </w:r>
      <w:r w:rsidRPr="009565AD">
        <w:lastRenderedPageBreak/>
        <w:t>времени. В настоящее время появились наборы для модифицированной быстрой окраски серебром. Однако все эти виды окраски низкоспецифичны и могут не выявить пневмоцисты при небольшом количестве микроорганизмов в материале. Иммунофлюоресцентная окраска более чувствительна, чем окраска серебром или по Романовскому—Гимзе, что важно при малой контаминации материала пневмоцистами. Иммунофлюоресцентные методы основаны на использовании мышиных антител к пневмоцистам. Антитела могут быть специфично направлены либо только против цист, либо против трофозоитов, цист и спорозоитов и т. д. Антитела могут быть моно- и поликлональными. В последние годы показано, что характерная для пневмоцист последовательность ДНК может быть выявлена в мокроте, лаважной жидкости и легочной ткани с помощью ПЦР.</w:t>
      </w:r>
    </w:p>
    <w:p w14:paraId="0415EE2B" w14:textId="77777777" w:rsidR="00FC2402" w:rsidRPr="009565AD" w:rsidRDefault="00FC2402" w:rsidP="00FC2402">
      <w:pPr>
        <w:pStyle w:val="5"/>
        <w:spacing w:before="0"/>
        <w:ind w:firstLine="709"/>
        <w:jc w:val="both"/>
        <w:rPr>
          <w:rFonts w:ascii="Times New Roman" w:hAnsi="Times New Roman" w:cs="Times New Roman"/>
          <w:b w:val="0"/>
          <w:color w:val="000000" w:themeColor="text1"/>
        </w:rPr>
      </w:pPr>
      <w:r w:rsidRPr="009565AD">
        <w:rPr>
          <w:rFonts w:ascii="Times New Roman" w:hAnsi="Times New Roman" w:cs="Times New Roman"/>
          <w:color w:val="000000" w:themeColor="text1"/>
        </w:rPr>
        <w:t>Исследование лаважной жидкости на наличие ЦМВ</w:t>
      </w:r>
    </w:p>
    <w:p w14:paraId="585E8E48" w14:textId="77777777" w:rsidR="00FC2402" w:rsidRPr="009565AD" w:rsidRDefault="00FC2402" w:rsidP="00FC2402">
      <w:pPr>
        <w:ind w:firstLine="709"/>
      </w:pPr>
      <w:r w:rsidRPr="009565AD">
        <w:t xml:space="preserve">Высокочувствительным методом выявления ЦМВ является ПЦР, позволяющая обнаружить очень малые количества ДНК вируса. Интерпретация результатов исследования на цитомегаловирусную инфекцию представляет большие сложности, поскольку выявление ЦМВ в лаважной жидкости не всегда бывает признаком инфекции, а может быть проявлением носительства вируса. Диагноз цитомегаловирусной пневмонии становится вероятным при обнаружении наряду с ДНК вируса в лаважной жидкости повышенного уровня антител к ЦМВ </w:t>
      </w:r>
      <w:r w:rsidRPr="009565AD">
        <w:rPr>
          <w:bCs/>
        </w:rPr>
        <w:t>в сыворотке (</w:t>
      </w:r>
      <w:r w:rsidRPr="009565AD">
        <w:t xml:space="preserve">в частности IgM), антигена вируса в лейкоцитах крови, а также при положительном результате теста в культуре диплоидных фибробластов человека, свидетельствующем о репликации вируса. Однако в условиях глубокой иммуносупрессии </w:t>
      </w:r>
      <w:r w:rsidRPr="009565AD">
        <w:rPr>
          <w:bCs/>
        </w:rPr>
        <w:t>серологический</w:t>
      </w:r>
      <w:r w:rsidRPr="009565AD">
        <w:t xml:space="preserve"> ответ на инфекцию может отсутствовать, цитомегаловирусная пневмония не обязательно сопровождается виремией, а для проведения теста в культуре фибробластов необходим слишком длительный срок (не менее 3 нед).</w:t>
      </w:r>
    </w:p>
    <w:p w14:paraId="3E8555DE" w14:textId="77777777" w:rsidR="00FC2402" w:rsidRPr="009565AD" w:rsidRDefault="00FC2402" w:rsidP="00FC2402">
      <w:pPr>
        <w:ind w:firstLine="709"/>
      </w:pPr>
      <w:r w:rsidRPr="009565AD">
        <w:t>В связи с этим, и со скоротечным течением поражения легких при ЦМВ-инфекции у гематологических пациентов обнаружение ЦМВ в лаважной жидкости должно рассматриваться как проявление цитомегаловирусной пневмонии и служить показанием для начала противовирусной терапии. У больных с поражением легких без ОДН (за исключением пациентов после трансплантации костного мозга, которые также относятся к группе высокого риска) может быть предпринята попытка лечения других причин легочной патологии и лишь при неэффективности последней назначают противовирусную терапию. Исследование жидкости БАЛ является важным этапом диагностики поражения легких, однако несмотря на весь комплекс исследований, в 38% случаев выявить этиологию поражения легких не удается, и в этих случаях иногда приходится прибегать к биопсии легкого.</w:t>
      </w:r>
    </w:p>
    <w:p w14:paraId="1C3C0D34" w14:textId="77777777" w:rsidR="00FC2402" w:rsidRPr="009565AD" w:rsidRDefault="00FC2402" w:rsidP="00FC2402">
      <w:pPr>
        <w:ind w:firstLine="709"/>
        <w:rPr>
          <w:b/>
          <w:bCs/>
        </w:rPr>
      </w:pPr>
      <w:r w:rsidRPr="009565AD">
        <w:rPr>
          <w:b/>
          <w:bCs/>
        </w:rPr>
        <w:lastRenderedPageBreak/>
        <w:t>Биопсия легкого</w:t>
      </w:r>
    </w:p>
    <w:p w14:paraId="46D3386A" w14:textId="77777777" w:rsidR="00FC2402" w:rsidRPr="009565AD" w:rsidRDefault="00FC2402" w:rsidP="00FC2402">
      <w:pPr>
        <w:ind w:firstLine="709"/>
      </w:pPr>
      <w:r w:rsidRPr="009565AD">
        <w:t>Если проведенное исследование не выявило причины поражения легких, диагноз может быть поставлен с помощью биопсии легкого. Результаты, полученные при биопсии, можно разделить на специфические, по которым устанавливается причина поражения легких, и неспецифические — изменения, отражающие различные стадии острого повреждения легких, по которым нельзя установить</w:t>
      </w:r>
      <w:r w:rsidRPr="009565AD">
        <w:rPr>
          <w:bCs/>
        </w:rPr>
        <w:t xml:space="preserve"> его</w:t>
      </w:r>
      <w:r w:rsidRPr="009565AD">
        <w:rPr>
          <w:b/>
          <w:bCs/>
        </w:rPr>
        <w:t xml:space="preserve"> </w:t>
      </w:r>
      <w:r w:rsidRPr="009565AD">
        <w:t>этиологию: воспалительные изменения, фиброз, гиалиноз, хроническая пневмония и т. д.</w:t>
      </w:r>
    </w:p>
    <w:p w14:paraId="30282103" w14:textId="77777777" w:rsidR="00FC2402" w:rsidRPr="009565AD" w:rsidRDefault="00FC2402" w:rsidP="00FC2402">
      <w:pPr>
        <w:ind w:firstLine="709"/>
      </w:pPr>
      <w:r w:rsidRPr="009565AD">
        <w:t>Может быть выполнена трансбронхиальная, торакоскопическая либо открытая биопсия легкого.</w:t>
      </w:r>
      <w:r w:rsidRPr="009565AD">
        <w:rPr>
          <w:b/>
          <w:bCs/>
        </w:rPr>
        <w:t xml:space="preserve"> </w:t>
      </w:r>
      <w:r w:rsidRPr="009565AD">
        <w:t>Трансбронхиальная биопсия — наименее инвазивный метод получения легочной ткани. Однако число больных в гематологической клинике, которым может быть выполнена трансбронхиальная биопсия, невелико из-за высокой частоты осложнений, возникающих при выполнении биопсии, наиболее серьезными из которых являются пневмоторакс и кровотечение. Трансбронхиальная биопсия противопоказана больным с тромбоцитопенией, ДВС-синдромом, легочной гипертензией, уремией, глубокой анемией и больным, находящимся на ИВЛ. Точность диагностики при трансбронхиальной биопсии составляет лишь 26%. Поэтому трансбронхиальная биопсия проводится лишь у ограниченного круга больных, и ее отрицательный результат не позволяет полностью исключить причину поражения легких.</w:t>
      </w:r>
    </w:p>
    <w:p w14:paraId="0E873627" w14:textId="77777777" w:rsidR="00FC2402" w:rsidRPr="009565AD" w:rsidRDefault="00FC2402" w:rsidP="00FC2402">
      <w:pPr>
        <w:ind w:firstLine="709"/>
      </w:pPr>
      <w:r w:rsidRPr="009565AD">
        <w:t>Открытую биопсию легкого называют золотым стандартом диагностики легочной патологии. В последние годы в качестве альтернативы открытой биопсии применяется торакоскопическая биопсия легкого. Эта процедура значительно менее травматична, чем открытая биопсия, и в то же время позволяет получить ткань легкого под визуальным контролем. Торакоскопическую биопсию невозможно выполнить при массивном спаечном процессе в плевральной полости, ее проведению мешает также выраженная эмфизема. Для выполнения торакоскопической биопсии биоптируемые участки должны быть доступны.</w:t>
      </w:r>
    </w:p>
    <w:p w14:paraId="74352346" w14:textId="77777777" w:rsidR="00FC2402" w:rsidRPr="009565AD" w:rsidRDefault="00FC2402" w:rsidP="00FC2402">
      <w:pPr>
        <w:ind w:firstLine="709"/>
      </w:pPr>
      <w:r w:rsidRPr="009565AD">
        <w:t>Биопсия легкого позволяет получить дополнительную информацию об этиологии поражения легких в 73% случаев. Среди видов патологии, дополнительно выявляемых при биопсии легкого, — вирусные, пневмоцистные, грибковые пневмонии, интерстициальный легочный фиброз, опухоли.</w:t>
      </w:r>
    </w:p>
    <w:p w14:paraId="35971B9B" w14:textId="77777777" w:rsidR="00FC2402" w:rsidRPr="009565AD" w:rsidRDefault="00FC2402" w:rsidP="00FC2402">
      <w:pPr>
        <w:ind w:firstLine="709"/>
      </w:pPr>
      <w:r w:rsidRPr="009565AD">
        <w:t>После биопсии легкого модификация терапии проводится у 7—77% больных с гемобластозами, однако улучшение состояния в результате этого отмечалось лишь у 18—39% больных.</w:t>
      </w:r>
    </w:p>
    <w:p w14:paraId="010AE7CC" w14:textId="77777777" w:rsidR="00FC2402" w:rsidRPr="009565AD" w:rsidRDefault="00FC2402" w:rsidP="00FC2402">
      <w:pPr>
        <w:ind w:firstLine="709"/>
      </w:pPr>
      <w:r w:rsidRPr="009565AD">
        <w:t>Таким образом, биопсия легкого может решить диагностические проблемы лишь при соблюдении ряда условий:</w:t>
      </w:r>
    </w:p>
    <w:p w14:paraId="1A6B3276" w14:textId="77777777" w:rsidR="00FC2402" w:rsidRPr="009565AD" w:rsidRDefault="00FC2402" w:rsidP="00CF0CD2">
      <w:pPr>
        <w:pStyle w:val="afe"/>
        <w:numPr>
          <w:ilvl w:val="0"/>
          <w:numId w:val="104"/>
        </w:numPr>
        <w:rPr>
          <w:rFonts w:cs="Times New Roman"/>
          <w:szCs w:val="24"/>
        </w:rPr>
      </w:pPr>
      <w:r w:rsidRPr="009565AD">
        <w:rPr>
          <w:rFonts w:cs="Times New Roman"/>
          <w:szCs w:val="24"/>
        </w:rPr>
        <w:lastRenderedPageBreak/>
        <w:t>биопсия должна проводиться после выполнения всего комплекса менее инвазивных методов обследования, включая бронхоскопию с БАЛ, и попыток эмпирической терапии предполагаемой причины поражения легких;</w:t>
      </w:r>
    </w:p>
    <w:p w14:paraId="1D7B98EF" w14:textId="77777777" w:rsidR="00FC2402" w:rsidRPr="009565AD" w:rsidRDefault="00FC2402" w:rsidP="00CF0CD2">
      <w:pPr>
        <w:pStyle w:val="afe"/>
        <w:numPr>
          <w:ilvl w:val="0"/>
          <w:numId w:val="104"/>
        </w:numPr>
        <w:rPr>
          <w:rFonts w:cs="Times New Roman"/>
          <w:szCs w:val="24"/>
        </w:rPr>
      </w:pPr>
      <w:r w:rsidRPr="009565AD">
        <w:rPr>
          <w:rFonts w:cs="Times New Roman"/>
          <w:szCs w:val="24"/>
        </w:rPr>
        <w:t xml:space="preserve">эмпирическая терапия не должна быть длительной, а биопсия легкого не должна рассматриваться как крайняя мера, выполняемая лишь при ухудшении состояния пациента, ее необходимо проводить до развития ОДН. </w:t>
      </w:r>
    </w:p>
    <w:p w14:paraId="29A6D36B" w14:textId="77777777" w:rsidR="00FC2402" w:rsidRPr="009565AD" w:rsidRDefault="00FC2402" w:rsidP="00CF0CD2">
      <w:pPr>
        <w:pStyle w:val="afe"/>
        <w:numPr>
          <w:ilvl w:val="0"/>
          <w:numId w:val="104"/>
        </w:numPr>
        <w:rPr>
          <w:rFonts w:cs="Times New Roman"/>
          <w:szCs w:val="24"/>
        </w:rPr>
      </w:pPr>
      <w:r w:rsidRPr="009565AD">
        <w:rPr>
          <w:rFonts w:cs="Times New Roman"/>
          <w:szCs w:val="24"/>
        </w:rPr>
        <w:t>исследование полученного биопсийного материала должно включать в себя кроме цитологического и гистологического (при необходимости, иммуногистохимического) исследований, также поиск всех вероятных возбудителей микробиологическими, молекулярно-биологическими и др. методами иследований.</w:t>
      </w:r>
    </w:p>
    <w:p w14:paraId="00096FC0" w14:textId="77777777" w:rsidR="00FC2402" w:rsidRPr="009565AD" w:rsidRDefault="00FC2402" w:rsidP="00FC2402">
      <w:pPr>
        <w:ind w:firstLine="709"/>
        <w:rPr>
          <w:b/>
          <w:bCs/>
        </w:rPr>
      </w:pPr>
      <w:r w:rsidRPr="009565AD">
        <w:rPr>
          <w:b/>
          <w:bCs/>
        </w:rPr>
        <w:t>Интерпретация результатов</w:t>
      </w:r>
    </w:p>
    <w:p w14:paraId="0510D99B" w14:textId="77777777" w:rsidR="00FC2402" w:rsidRPr="009565AD" w:rsidRDefault="00FC2402" w:rsidP="00FC2402">
      <w:pPr>
        <w:pStyle w:val="Numlist"/>
        <w:spacing w:line="360" w:lineRule="auto"/>
        <w:ind w:firstLine="709"/>
        <w:jc w:val="both"/>
      </w:pPr>
      <w:r w:rsidRPr="009565AD">
        <w:t>1. Бактериальная пневмония диагностируется при выявлении в количественном посеве лаважной жидкости микроорганизмов в количестве 10</w:t>
      </w:r>
      <w:r w:rsidRPr="009565AD">
        <w:rPr>
          <w:vertAlign w:val="superscript"/>
        </w:rPr>
        <w:t>3</w:t>
      </w:r>
      <w:r w:rsidRPr="009565AD">
        <w:t> КОЕ/мл или выше. Выявления 10</w:t>
      </w:r>
      <w:r w:rsidRPr="009565AD">
        <w:rPr>
          <w:vertAlign w:val="superscript"/>
        </w:rPr>
        <w:t>1</w:t>
      </w:r>
      <w:r w:rsidRPr="009565AD">
        <w:t>—10</w:t>
      </w:r>
      <w:r w:rsidRPr="009565AD">
        <w:rPr>
          <w:vertAlign w:val="superscript"/>
        </w:rPr>
        <w:t>2</w:t>
      </w:r>
      <w:r w:rsidRPr="009565AD">
        <w:t> КОЕ/мл недостаточно для подтверждения бактериального характера поражения легких, однако рост в любом количестве высокопатогенных грамположительных (</w:t>
      </w:r>
      <w:r w:rsidRPr="009565AD">
        <w:rPr>
          <w:i/>
        </w:rPr>
        <w:t>S. aureus</w:t>
      </w:r>
      <w:r w:rsidRPr="009565AD">
        <w:t>) или грамотрицательных (</w:t>
      </w:r>
      <w:r w:rsidRPr="009565AD">
        <w:rPr>
          <w:i/>
        </w:rPr>
        <w:t>P. aeruginosa, Acinetobacter spp., S. maltophilia</w:t>
      </w:r>
      <w:r w:rsidRPr="009565AD">
        <w:t xml:space="preserve"> и др.) микроорганизмов должен учитываться при назначении антибактериальных препаратов.</w:t>
      </w:r>
    </w:p>
    <w:p w14:paraId="7278B7A8" w14:textId="77777777" w:rsidR="00FC2402" w:rsidRPr="009565AD" w:rsidRDefault="00FC2402" w:rsidP="00FC2402">
      <w:pPr>
        <w:pStyle w:val="Numlist"/>
        <w:spacing w:line="360" w:lineRule="auto"/>
        <w:ind w:firstLine="709"/>
        <w:jc w:val="both"/>
      </w:pPr>
      <w:r w:rsidRPr="009565AD">
        <w:t xml:space="preserve">Исследование мочи иммунохроматографическим методом позволяет выявить растворимый антиген </w:t>
      </w:r>
      <w:r w:rsidRPr="009565AD">
        <w:rPr>
          <w:i/>
        </w:rPr>
        <w:t>Legionella pneumophila</w:t>
      </w:r>
      <w:r w:rsidRPr="009565AD">
        <w:t>, но только серогруппы 1. Ответ может быть получен уже в течение первых суток. Положительный результат является показанием к целенаправленной антибактериальной терапии легионеллеза («респираторные» фторхинолоны, макролиды). В то же время отрицательный результат исследования мочи не исключает легионеллеза, поскольку заболевание может быть вызвано другими серотипами возбудителя. Окончательно подтвердить или отвергнуть диагноз легионеллеза можно только бактериологически (выделение легионелл на селективном буферном угольно-дрожжевом агаре), для чего требуется не менее 5—7 дней.</w:t>
      </w:r>
    </w:p>
    <w:p w14:paraId="1C2A9B8E" w14:textId="77777777" w:rsidR="00FC2402" w:rsidRPr="009565AD" w:rsidRDefault="00FC2402" w:rsidP="00FC2402">
      <w:pPr>
        <w:pStyle w:val="Numlist"/>
        <w:spacing w:line="360" w:lineRule="auto"/>
        <w:ind w:firstLine="709"/>
        <w:jc w:val="both"/>
      </w:pPr>
      <w:r w:rsidRPr="009565AD">
        <w:t xml:space="preserve">До получения результатов исследования жидкости БАЛ при назначении антибиотиков могут учитываться результаты посевов со слизистой ротоглотки и прямой кишки. Выявление на слизистой ротоглотки у больных с пневмонией </w:t>
      </w:r>
      <w:r w:rsidRPr="009565AD">
        <w:rPr>
          <w:i/>
        </w:rPr>
        <w:t>A. baumannii</w:t>
      </w:r>
      <w:r w:rsidRPr="009565AD">
        <w:t xml:space="preserve"> или </w:t>
      </w:r>
      <w:r w:rsidRPr="009565AD">
        <w:rPr>
          <w:i/>
        </w:rPr>
        <w:t>P. aeruginosa</w:t>
      </w:r>
      <w:r w:rsidRPr="009565AD">
        <w:t xml:space="preserve"> с большой долей вероятности указывает на то, что именно эти патогены являются возбудителями пневмонии.</w:t>
      </w:r>
    </w:p>
    <w:p w14:paraId="299E5574" w14:textId="77777777" w:rsidR="00FC2402" w:rsidRPr="009565AD" w:rsidRDefault="00FC2402" w:rsidP="00FC2402">
      <w:pPr>
        <w:pStyle w:val="Numlist"/>
        <w:spacing w:line="360" w:lineRule="auto"/>
        <w:ind w:firstLine="709"/>
        <w:jc w:val="both"/>
      </w:pPr>
      <w:r w:rsidRPr="009565AD">
        <w:t xml:space="preserve">2. Аспергиллез подтверждается выявлением в лаважной жидкости мицелия грибов (при микроскопии) и повышенного уровня индекса оптической плотности галактоманнана (выше 1). В то же время повышение уровня индекса оптической плотности в лаважной </w:t>
      </w:r>
      <w:r w:rsidRPr="009565AD">
        <w:lastRenderedPageBreak/>
        <w:t>жидкости, даже весьма значительное (в ряде случаев до 6—7), может быть ложным. Диагноз аспергиллеза становится более достоверным при соответствующей рентгенологической картине, одновременном выявлении повышенного (выше 0,5) уровня индекса оптической плотности галактоманнана в крови, выявлении мицелия грибов при микроскопии лаважной жидкости и росте аспергиллов при бактериологическом исследовании.</w:t>
      </w:r>
    </w:p>
    <w:p w14:paraId="3A4105D4" w14:textId="77777777" w:rsidR="00FC2402" w:rsidRPr="009565AD" w:rsidRDefault="00FC2402" w:rsidP="00FC2402">
      <w:pPr>
        <w:pStyle w:val="Numlist"/>
        <w:spacing w:line="360" w:lineRule="auto"/>
        <w:ind w:firstLine="709"/>
        <w:jc w:val="both"/>
      </w:pPr>
      <w:r w:rsidRPr="009565AD">
        <w:t>3. Туберкулез легких может быть диагностирован при выявлении микобактерий в лаважной жидкости при окраске ее по Цилю—Нильсену. При выявлении ДНК микобактерий методом ПЦР диагноз туберкулеза представляется более вероятным при наличии соответствующей клинической и рентгенологической картина и неэффективности терапии антибиотиками широкого спектра действия.</w:t>
      </w:r>
    </w:p>
    <w:p w14:paraId="6B8962D1" w14:textId="77777777" w:rsidR="00FC2402" w:rsidRPr="009565AD" w:rsidRDefault="00FC2402" w:rsidP="00FC2402">
      <w:pPr>
        <w:pStyle w:val="Numlist"/>
        <w:spacing w:line="360" w:lineRule="auto"/>
        <w:ind w:firstLine="709"/>
        <w:jc w:val="both"/>
      </w:pPr>
      <w:r w:rsidRPr="009565AD">
        <w:t>4. Пневмоцистная пневмония диагностируется при выявлении в лаважной жидкости или биоптате легкого пневмоцист одним из следующих методов: реакция иммунофлюоресценции; окраска по Романовскому—Гимзе, толуидиновым синим, гематоксилин-эозином или по Папаниколау; импрегнация метенамин-серебряным нитратом по Гомори или серебром по Грокотту. Обнаружение или отсутствие антипневмоцистных антител в сыворотке не является критерием диагноза.</w:t>
      </w:r>
    </w:p>
    <w:p w14:paraId="10A0CCBD" w14:textId="77777777" w:rsidR="00FC2402" w:rsidRPr="009565AD" w:rsidRDefault="00FC2402" w:rsidP="00FC2402">
      <w:pPr>
        <w:pStyle w:val="Numlist"/>
        <w:spacing w:line="360" w:lineRule="auto"/>
        <w:ind w:firstLine="709"/>
        <w:jc w:val="both"/>
      </w:pPr>
      <w:r w:rsidRPr="009565AD">
        <w:t>5. Диагноз цитомегаловирусной пневмонии представляется достоверным в следующих случаях: а) при наличии клинической картины интерстициальной пневмонии, развившейся у пациентов, входящих в группу риска (пациенты, перенесшие трансплантацию костного мозга, длительно получавшие иммуносупрессивную терапию, пациенты лимфопролиферативными заболеваниями и т. д.); б) при выявлении высокого титра антител к ЦМВ, относящихся к иммуноглобулинам класса М; в) при выявлении в лаважной жидкости или легочном биоптате ЦМВ; г) при положительном результате теста в культуре диплоидных фибробластов человека. В сомнительных случаях, когда в биологическом материале обнаруживается только ДНК или антиген вируса, принятие решения о начале противовирусной терапии должно исходить из конкретной клинической ситуации. Выявление ЦМВ в лаважной жидкости или биоптате легкого у пациентов с ОДН и перенесших трансплантацию костного мозга или интенсивную иммуносупрессивную и химиотерапию должно рассматриваться как проявление цитомегаловирусной пневмонии и являться показанием к началу противовирусной терапии. В остальных группах пациентов может быть предпринята попытка лечения других причин поражения легких и лишь при его неэффективности может быть назначена противовирусная терапия.</w:t>
      </w:r>
    </w:p>
    <w:p w14:paraId="03DB15DA" w14:textId="77777777" w:rsidR="00FC2402" w:rsidRPr="009565AD" w:rsidRDefault="00FC2402" w:rsidP="00FC2402">
      <w:pPr>
        <w:pStyle w:val="Numlist"/>
        <w:spacing w:line="360" w:lineRule="auto"/>
        <w:ind w:firstLine="709"/>
        <w:jc w:val="both"/>
      </w:pPr>
      <w:r w:rsidRPr="009565AD">
        <w:t xml:space="preserve">6. Выявление опухолевых клеток в лаважной жидкости свидетельствует о поражении легких опухолью при условии, что эти клетки отсутствуют в периферической </w:t>
      </w:r>
      <w:r w:rsidRPr="009565AD">
        <w:lastRenderedPageBreak/>
        <w:t>крови. При одновременном выявлении опухолевых клеток в периферической крови диагноз носит вероятностный характер, поскольку возможно их попадание в лаважную жидкость из крови. Поражение легких при гематологических заболеваниях может быть подтверждено исследованием биоптата легкого.</w:t>
      </w:r>
    </w:p>
    <w:p w14:paraId="06E1FF9A" w14:textId="77777777" w:rsidR="00FC2402" w:rsidRPr="009565AD" w:rsidRDefault="00FC2402" w:rsidP="00FC2402">
      <w:pPr>
        <w:pStyle w:val="Numlist"/>
        <w:spacing w:line="360" w:lineRule="auto"/>
        <w:ind w:firstLine="709"/>
        <w:jc w:val="both"/>
      </w:pPr>
      <w:r w:rsidRPr="009565AD">
        <w:t>7. При неинфекционных поражениях легких (интерстициальном легочном фиброзе, облитерирующем бронхиолите, легочных формах реакции «трансплантат против хозяина» и т. д.) для подтверждения диагноза требуются биопсия легкого и гистологическое исследование.</w:t>
      </w:r>
    </w:p>
    <w:p w14:paraId="27175B4A" w14:textId="77777777" w:rsidR="00FC2402" w:rsidRPr="009565AD" w:rsidRDefault="00FC2402" w:rsidP="00FC2402">
      <w:pPr>
        <w:ind w:firstLine="709"/>
        <w:rPr>
          <w:b/>
          <w:bCs/>
        </w:rPr>
      </w:pPr>
      <w:r w:rsidRPr="009565AD">
        <w:rPr>
          <w:b/>
          <w:bCs/>
        </w:rPr>
        <w:t>Лечение острых паренхиматозных повреждений легких</w:t>
      </w:r>
    </w:p>
    <w:p w14:paraId="4615DD08" w14:textId="77777777" w:rsidR="00FC2402" w:rsidRPr="009565AD" w:rsidRDefault="00FC2402" w:rsidP="00FC2402">
      <w:pPr>
        <w:ind w:firstLine="709"/>
      </w:pPr>
      <w:r w:rsidRPr="009565AD">
        <w:t>Лечение ОДН заключается в решении двух тесно взаимосвязанных задач: устранение повреждающего фактора и компенсация ОДН. Первая задача решается посредством этиотропной терапии, вторая — с помощью оксигенотерапии или респираторной поддержки.</w:t>
      </w:r>
    </w:p>
    <w:p w14:paraId="4FCD49C2" w14:textId="77777777" w:rsidR="00FC2402" w:rsidRPr="009565AD" w:rsidRDefault="00FC2402" w:rsidP="00FC2402">
      <w:pPr>
        <w:ind w:firstLine="709"/>
      </w:pPr>
      <w:r w:rsidRPr="009565AD">
        <w:t xml:space="preserve">Антибактериальная терапия пневмоний основывается на выявленном возбудителе и его чувствительности к антибиотикам. При развитии </w:t>
      </w:r>
      <w:r w:rsidRPr="009565AD">
        <w:rPr>
          <w:b/>
          <w:bCs/>
        </w:rPr>
        <w:t>ретиноидного синдрома</w:t>
      </w:r>
      <w:r w:rsidRPr="009565AD">
        <w:t xml:space="preserve"> назначают дексаметазон по схеме лечения ретиноидного синдрома. </w:t>
      </w:r>
      <w:r w:rsidRPr="009565AD">
        <w:rPr>
          <w:b/>
          <w:bCs/>
        </w:rPr>
        <w:t>Специфические опухолевые поражения легких у пациентов с гемобластозами</w:t>
      </w:r>
      <w:r w:rsidRPr="009565AD">
        <w:t xml:space="preserve"> являются показанием к незамедлительному началу противоопухолевой терапии. При ОДН, вызванной </w:t>
      </w:r>
      <w:r w:rsidRPr="009565AD">
        <w:rPr>
          <w:b/>
          <w:bCs/>
        </w:rPr>
        <w:t>цитолитическим синдромом,</w:t>
      </w:r>
      <w:r w:rsidRPr="009565AD">
        <w:t xml:space="preserve"> продолжают начатую ранее химиотерапию и одновременно принимают меры для профилактики других осложнений, вызываемых цитолизом (гиперурикемии, острой почечной недостаточности и т. д.): водная нагрузка, подщелачивание, назначение аллопуринола, проведение плазмафереза, цитафереза. Разрешение патологии легких наблюдается, как правило, одновременно со снижением количества лейкоцитов крови и развитием миелотоксического агранулоцитоза. При интерстициальном легочном фиброзе и облитерирующем бронхиолите назначают глюкокортикоиды, усиливают иммуносупрессивную терапию, если данное осложнение возникло при обострении реакции «трансплантат против хозяина».</w:t>
      </w:r>
    </w:p>
    <w:p w14:paraId="119366C1" w14:textId="77777777" w:rsidR="00FC2402" w:rsidRPr="009565AD" w:rsidRDefault="00FC2402" w:rsidP="00FC2402">
      <w:pPr>
        <w:ind w:firstLine="709"/>
        <w:rPr>
          <w:b/>
          <w:bCs/>
        </w:rPr>
      </w:pPr>
      <w:r w:rsidRPr="009565AD">
        <w:rPr>
          <w:b/>
          <w:bCs/>
        </w:rPr>
        <w:t>Респираторная терапия острой дыхательной недостаточности</w:t>
      </w:r>
    </w:p>
    <w:p w14:paraId="5ED9B455" w14:textId="77777777" w:rsidR="00FC2402" w:rsidRPr="009565AD" w:rsidRDefault="00FC2402" w:rsidP="00FC2402">
      <w:pPr>
        <w:ind w:firstLine="709"/>
      </w:pPr>
      <w:r w:rsidRPr="009565AD">
        <w:t>Стратегическим принципом терапии ОДН при заболеваниях системы крови является этапность лечения: оксигенотерапия, неинвазивная вентиляция легких, ИВЛ.</w:t>
      </w:r>
    </w:p>
    <w:p w14:paraId="60E7FFE3" w14:textId="77777777" w:rsidR="00FC2402" w:rsidRPr="009565AD" w:rsidRDefault="00FC2402" w:rsidP="00FC2402">
      <w:pPr>
        <w:ind w:firstLine="709"/>
      </w:pPr>
      <w:r w:rsidRPr="009565AD">
        <w:t>Лечение ОДН целесообразно начинать с оксигенотерапии через носовой кататер либо маску. При ее неэффективности начинают респираторную поддержку с помощью респиратора для неинвазивной вентиляции легких и лишь в случае неэффективности последней переводят больного на ИВЛ.</w:t>
      </w:r>
    </w:p>
    <w:p w14:paraId="3F508D98" w14:textId="77777777" w:rsidR="00FC2402" w:rsidRPr="00FC25DA" w:rsidRDefault="00FC2402" w:rsidP="00FC2402">
      <w:pPr>
        <w:pStyle w:val="4"/>
        <w:numPr>
          <w:ilvl w:val="12"/>
          <w:numId w:val="0"/>
        </w:numPr>
        <w:spacing w:line="360" w:lineRule="auto"/>
        <w:ind w:firstLine="709"/>
        <w:rPr>
          <w:i/>
          <w:color w:val="000000" w:themeColor="text1"/>
          <w:sz w:val="24"/>
          <w:szCs w:val="24"/>
          <w:lang w:val="ru-RU"/>
        </w:rPr>
      </w:pPr>
      <w:r w:rsidRPr="00FC25DA">
        <w:rPr>
          <w:color w:val="000000" w:themeColor="text1"/>
          <w:sz w:val="24"/>
          <w:szCs w:val="24"/>
          <w:lang w:val="ru-RU"/>
        </w:rPr>
        <w:lastRenderedPageBreak/>
        <w:t>Неинвазивная вентиляция легких в лечении острой дыхательной недостаточности</w:t>
      </w:r>
    </w:p>
    <w:p w14:paraId="1054C9CD" w14:textId="77777777" w:rsidR="00FC2402" w:rsidRPr="009565AD" w:rsidRDefault="00FC2402" w:rsidP="00FC2402">
      <w:pPr>
        <w:ind w:firstLine="709"/>
      </w:pPr>
      <w:r w:rsidRPr="009565AD">
        <w:t>Неинвазивную вентиляцию легких необходимо рассматривать как первый этап респираторной поддержки при ОДН у гематологических пациентов. Показанием к неинвазивной вентиляции является гипоксемия (Р</w:t>
      </w:r>
      <w:r w:rsidRPr="009565AD">
        <w:rPr>
          <w:vertAlign w:val="subscript"/>
        </w:rPr>
        <w:t>а</w:t>
      </w:r>
      <w:r w:rsidRPr="009565AD">
        <w:t>О</w:t>
      </w:r>
      <w:r w:rsidRPr="009565AD">
        <w:rPr>
          <w:vertAlign w:val="subscript"/>
        </w:rPr>
        <w:t>2</w:t>
      </w:r>
      <w:r w:rsidRPr="009565AD">
        <w:t xml:space="preserve"> &lt; 60 мм рт. ст.), сохраняющаяся при ингаляции дыхательной смеси с </w:t>
      </w:r>
      <w:r w:rsidRPr="009565AD">
        <w:rPr>
          <w:lang w:val="en-US"/>
        </w:rPr>
        <w:t>F</w:t>
      </w:r>
      <w:r w:rsidRPr="009565AD">
        <w:rPr>
          <w:vertAlign w:val="subscript"/>
          <w:lang w:val="en-US"/>
        </w:rPr>
        <w:t>I</w:t>
      </w:r>
      <w:r w:rsidRPr="009565AD">
        <w:rPr>
          <w:lang w:val="en-US"/>
        </w:rPr>
        <w:t>O</w:t>
      </w:r>
      <w:r w:rsidRPr="009565AD">
        <w:rPr>
          <w:vertAlign w:val="subscript"/>
        </w:rPr>
        <w:t>2</w:t>
      </w:r>
      <w:r w:rsidRPr="009565AD">
        <w:t xml:space="preserve"> более 50%. По сравнению с оксигенотерапией, проводимой с помощью маски Вентури, неинвазивная вентиляция — более эффективный метод респираторной поддержки. Этот метод обеспечивает рекрутирование неаэрируемых альвеол и раздувание зон микроателектазов, в результате чего улучшаются вентиляционно-перфузионные отношения, повышается легочный комплайнс, уменьшается работа дыхательных мышц.</w:t>
      </w:r>
    </w:p>
    <w:p w14:paraId="1FCE7F30" w14:textId="77777777" w:rsidR="00FC2402" w:rsidRPr="009565AD" w:rsidRDefault="00FC2402" w:rsidP="00FC2402">
      <w:pPr>
        <w:ind w:firstLine="709"/>
      </w:pPr>
      <w:r w:rsidRPr="009565AD">
        <w:t>Неинвазивная вентиляции легких позволяет избежать интубации трахеи у гематологических пациентов и ОДН в 41% случаев. Именно с использованием неинвазивной вентиляции легких связаны успехи респираторной поддержки у онкогематологических пациентов.</w:t>
      </w:r>
    </w:p>
    <w:p w14:paraId="4FF21360" w14:textId="77777777" w:rsidR="00FC2402" w:rsidRPr="009565AD" w:rsidRDefault="00FC2402" w:rsidP="00FC2402">
      <w:pPr>
        <w:ind w:firstLine="709"/>
      </w:pPr>
      <w:r w:rsidRPr="009565AD">
        <w:t>К побочным эффектам неинвазивной вентиляции легких относятся мацерация кожи, гематомы на переносице, а при тромбоцитопении — также носовые кровотечения и геморрагический стоматит. Основными причинами неэффективности неинвазивной вентиляции у этих больных являются нарастание тяжести ОДН и нарушения сознания различного генеза (вследствие энцефалита, нейролейкемии, кровоизлияния в мозг).</w:t>
      </w:r>
    </w:p>
    <w:p w14:paraId="14DE39E5" w14:textId="77777777" w:rsidR="00FC2402" w:rsidRPr="00FC25DA" w:rsidRDefault="00FC2402" w:rsidP="00FC2402">
      <w:pPr>
        <w:pStyle w:val="4"/>
        <w:numPr>
          <w:ilvl w:val="12"/>
          <w:numId w:val="0"/>
        </w:numPr>
        <w:spacing w:line="360" w:lineRule="auto"/>
        <w:ind w:firstLine="709"/>
        <w:rPr>
          <w:i/>
          <w:color w:val="000000" w:themeColor="text1"/>
          <w:sz w:val="24"/>
          <w:szCs w:val="24"/>
          <w:lang w:val="ru-RU"/>
        </w:rPr>
      </w:pPr>
      <w:r w:rsidRPr="00FC25DA">
        <w:rPr>
          <w:color w:val="000000" w:themeColor="text1"/>
          <w:sz w:val="24"/>
          <w:szCs w:val="24"/>
          <w:lang w:val="ru-RU"/>
        </w:rPr>
        <w:t>Искусственная вентиляция легких в лечении острой дыхательной недостаточности</w:t>
      </w:r>
    </w:p>
    <w:p w14:paraId="2C5FCEE0" w14:textId="77777777" w:rsidR="00FC2402" w:rsidRPr="009565AD" w:rsidRDefault="00FC2402" w:rsidP="00FC2402">
      <w:pPr>
        <w:ind w:firstLine="709"/>
      </w:pPr>
      <w:r w:rsidRPr="009565AD">
        <w:t>ИВЛ была и остается основным методом лечения тяжелой ОДН при заболеваниях системы крови. Проведение ИВЛ позволяет не только компенсировать ОДН у большинства больных, но и выполнять ряд лечебных и диагностических процедур (химиотерапия, бронхоскопия с БАЛ, биопсия легкого и т. д.).</w:t>
      </w:r>
    </w:p>
    <w:p w14:paraId="72902231" w14:textId="77777777" w:rsidR="00FC2402" w:rsidRPr="009565AD" w:rsidRDefault="00FC2402" w:rsidP="00FC2402">
      <w:pPr>
        <w:ind w:firstLine="709"/>
      </w:pPr>
      <w:r w:rsidRPr="009565AD">
        <w:t xml:space="preserve">Первым шагом при проведении ИВЛ является присоединение респиратора к дыхательным путям пациента, то есть обеспечение эндотрахеального доступа. Основные проблемы, возникающие при этом у пациентов с заболеваниями системы крови, связаны с нарушением проходимости дыхательных путей вследствие геморрагического синдрома, воспалительных изменений и отека мягких тканей или сдавлении дыхательных путей опухолевым конгломератом. В этой связи следует подчеркнуть важность выбора рациональной тактики при заведомо сложной интубации. При показаниях к экстренному переводу этих больных на ИВЛ выполняется оротрахеальная интубация. При невозможности по каким-либо причинам выполнить прямую ларингоскопию проводится </w:t>
      </w:r>
      <w:r w:rsidRPr="009565AD">
        <w:lastRenderedPageBreak/>
        <w:t>интубация по фибробронхоскопу под местной анестезией при сохраненном сознании. При интубации этих больных в условиях общей анестезии с миорелаксацией велика опасность того, что не удастся добиться адекватной вентиляции с помощью маски и провести прямую ларингоскопию. При невозможности выполнить прямую ларингоскопию либо интубацию по фибробронхоскопу может быть произведена трахеостомия под местной анестезией.</w:t>
      </w:r>
    </w:p>
    <w:p w14:paraId="1E7CA232" w14:textId="77777777" w:rsidR="00FC2402" w:rsidRPr="009565AD" w:rsidRDefault="00FC2402" w:rsidP="00FC2402">
      <w:pPr>
        <w:ind w:firstLine="709"/>
      </w:pPr>
      <w:r w:rsidRPr="009565AD">
        <w:t>После интубации трахеи лишь у 15% гематологических пациентов не обнаруживается повреждений в дыхательных путях. Геморрагический трахеобронхит, кровоизлияния в слизистую и мягкие ткани трахеи и бронхов являются наиболее частыми клиническими и морфологическими формами поражения трахеобронхиального дерева: кровоизлияния в слизистую трахеи и бронхов встречаются у 67% пациентов. Тяжесть геморрагического трахеобронхита определяется не столько общим геморрагическим синдромом, сколько выраженностью местного воспаления в трахеобронхиальном дереве. В этих условиях оптимальным способом присоединения респиратора к дыхательным путям пациента является ранняя трахеостомия, выполняемая в течение первых трех суток после перевода больного на ИВЛ.</w:t>
      </w:r>
    </w:p>
    <w:p w14:paraId="2E671D53" w14:textId="77777777" w:rsidR="00FC2402" w:rsidRPr="009565AD" w:rsidRDefault="00FC2402" w:rsidP="00FC2402">
      <w:pPr>
        <w:ind w:firstLine="709"/>
      </w:pPr>
      <w:r w:rsidRPr="009565AD">
        <w:t xml:space="preserve">Трахеостомия — оптимальный метод обеспечения проходимости дыхательных путей при длительной ИВЛ. По сравнению с трансларингеальной интубацией она </w:t>
      </w:r>
      <w:r w:rsidRPr="009565AD">
        <w:rPr>
          <w:bCs/>
        </w:rPr>
        <w:t>лучше переносится больными</w:t>
      </w:r>
      <w:r w:rsidRPr="009565AD">
        <w:t>, позволяет уменьшить сопротивление дыхательных путей и объем мертвого пространства, облегчить туалет дыхательных путей, избежать травмы голосовых связок.</w:t>
      </w:r>
    </w:p>
    <w:p w14:paraId="44DCC5BB" w14:textId="77777777" w:rsidR="00FC2402" w:rsidRPr="009565AD" w:rsidRDefault="00FC2402" w:rsidP="00FC2402">
      <w:pPr>
        <w:ind w:firstLine="709"/>
      </w:pPr>
      <w:r w:rsidRPr="009565AD">
        <w:t>Обязательное условие респираторной терапии ОДН, особенно при наличии геморрагического синдрома — ежедневные санационные бронхоскопии.</w:t>
      </w:r>
    </w:p>
    <w:p w14:paraId="649A62D6" w14:textId="77777777" w:rsidR="00FC2402" w:rsidRPr="009565AD" w:rsidRDefault="00FC2402" w:rsidP="00FC2402">
      <w:pPr>
        <w:ind w:firstLine="709"/>
      </w:pPr>
    </w:p>
    <w:p w14:paraId="11CE85A9" w14:textId="77777777" w:rsidR="00FC2402" w:rsidRPr="009565AD" w:rsidRDefault="00FC2402" w:rsidP="00FC2402">
      <w:pPr>
        <w:ind w:firstLine="709"/>
      </w:pPr>
      <w:r w:rsidRPr="009565AD">
        <w:t>Прогноз при ОДН гематологических пациентов зависит от характера поражения легких и выраженности нарушения их функции. Общая выживаемость больных с ОДН в палате интенсивной терапии составляет 51%, но она существенно различается в зависимости от выраженности ОДН и вида респираторной поддержки. Выживаемость пациентов, которым проводилась только оксигенотерапия, составляет 82%. Относительно высокая выживаемость (41%) достигнута среди пациентов, которым проводилась эффективная респираторная поддержка с помощью неинвазивной вентиляции легких. В то же время, несмотря на применение современных респираторов, пока не удалось добиться увеличения выживаемости пациентовх, которым проводилась ИВЛ (в настоящее время этот показатель не превышает 15%).</w:t>
      </w:r>
    </w:p>
    <w:p w14:paraId="3AEA56AC" w14:textId="77777777" w:rsidR="00FC2402" w:rsidRPr="009565AD" w:rsidRDefault="00FC2402" w:rsidP="00FC2402">
      <w:pPr>
        <w:ind w:firstLine="709"/>
      </w:pPr>
      <w:r w:rsidRPr="009565AD">
        <w:t xml:space="preserve">Помимо тяжести поражения легких неблагоприятными прогностическими факторами при ОДН у больных с гемобластозами являются: а) длительно сохраняющаяся </w:t>
      </w:r>
      <w:r w:rsidRPr="009565AD">
        <w:lastRenderedPageBreak/>
        <w:t xml:space="preserve">нейтропения; б) поражение нескольких органов и систем; в) резистентность гемобластоза к химиотерапии; г) сочетание ОДН с септическим шоком, ОПН. </w:t>
      </w:r>
    </w:p>
    <w:p w14:paraId="4B0BD9C1" w14:textId="77777777" w:rsidR="00FC2402" w:rsidRPr="009565AD" w:rsidRDefault="00FC2402" w:rsidP="00FC2402">
      <w:pPr>
        <w:ind w:firstLine="709"/>
      </w:pPr>
      <w:r w:rsidRPr="009565AD">
        <w:t>Исход лечения ОДН во многом зависит от этиотропной терапии: при эмпирической терапии он будет хуже, чем при этиотропной, а выживаемость больных даже при одинаковых режимах ИВЛ будет отличаться в зависимости от поражения легких (бактериальные, вирусные и т. д.). Так, у гематологических пациентов смертность при ОДН установленной этиологии почти в два раза ниже, чем при ОДН невыясненной этиологии.</w:t>
      </w:r>
    </w:p>
    <w:p w14:paraId="20AD8FB7" w14:textId="77777777" w:rsidR="00FC2402" w:rsidRPr="009565AD" w:rsidRDefault="00FC2402" w:rsidP="00FC2402">
      <w:pPr>
        <w:ind w:firstLine="709"/>
      </w:pPr>
      <w:r w:rsidRPr="009565AD">
        <w:t>При интерстициальном легочном фиброзе и опухолевых поражениях легких прогноз чаще неблагоприятный, и значительно лучше — при пневмониях, ретиноидном и цитолитическом синдромах. Улучшить результаты интенсивной терапии при поражениях легких позволяют точная диагностика, переход от эмпирической к этиотропной терапии, перевод больного в палату интенсивной терапии, мониторинг сердечной, почечной и дыхательной функций, протезирование нарушенных функций органов и систем (ИВЛ, гемодиализ, инотропная терапия и т. д.) – рис.1.</w:t>
      </w:r>
    </w:p>
    <w:p w14:paraId="3D6F27B6" w14:textId="77777777" w:rsidR="00FC2402" w:rsidRPr="009565AD" w:rsidRDefault="00FC2402" w:rsidP="00FC2402">
      <w:pPr>
        <w:ind w:firstLine="709"/>
        <w:sectPr w:rsidR="00FC2402" w:rsidRPr="009565AD">
          <w:pgSz w:w="11906" w:h="16838"/>
          <w:pgMar w:top="1134" w:right="850" w:bottom="1134" w:left="1701" w:header="708" w:footer="708" w:gutter="0"/>
          <w:cols w:space="708"/>
          <w:docGrid w:linePitch="360"/>
        </w:sectPr>
      </w:pPr>
    </w:p>
    <w:p w14:paraId="6C534EDA" w14:textId="77777777" w:rsidR="00FC2402" w:rsidRPr="00C15639" w:rsidRDefault="00FC2402" w:rsidP="00FC2402">
      <w:pPr>
        <w:ind w:firstLine="709"/>
      </w:pPr>
    </w:p>
    <w:p w14:paraId="5304E3F3" w14:textId="77777777" w:rsidR="00FC2402" w:rsidRPr="00C15639" w:rsidRDefault="00FC2402" w:rsidP="00FC2402">
      <w:pPr>
        <w:pStyle w:val="afffff1"/>
        <w:spacing w:after="0"/>
        <w:rPr>
          <w:i w:val="0"/>
          <w:lang w:val="ru-RU"/>
        </w:rPr>
      </w:pPr>
    </w:p>
    <w:p w14:paraId="7DA9CAB3" w14:textId="77777777" w:rsidR="00FC2402" w:rsidRPr="00C15639" w:rsidRDefault="00FC2402" w:rsidP="00FC2402">
      <w:r w:rsidRPr="00C15639">
        <w:rPr>
          <w:bCs/>
        </w:rPr>
        <w:t>Рисунок 1.</w:t>
      </w:r>
      <w:r w:rsidRPr="00C15639">
        <w:t xml:space="preserve"> Протокол обследования больных с ОДН. </w:t>
      </w:r>
    </w:p>
    <w:p w14:paraId="75D224AB" w14:textId="77777777" w:rsidR="00FC2402" w:rsidRPr="00C15639" w:rsidRDefault="00FC2402" w:rsidP="00FC2402">
      <w:pPr>
        <w:pStyle w:val="afffff1"/>
        <w:spacing w:after="0"/>
        <w:rPr>
          <w:i w:val="0"/>
          <w:lang w:val="ru-RU"/>
        </w:rPr>
      </w:pPr>
    </w:p>
    <w:tbl>
      <w:tblPr>
        <w:tblW w:w="20037" w:type="dxa"/>
        <w:tblInd w:w="-1" w:type="dxa"/>
        <w:tblLayout w:type="fixed"/>
        <w:tblCellMar>
          <w:left w:w="70" w:type="dxa"/>
          <w:right w:w="70" w:type="dxa"/>
        </w:tblCellMar>
        <w:tblLook w:val="0000" w:firstRow="0" w:lastRow="0" w:firstColumn="0" w:lastColumn="0" w:noHBand="0" w:noVBand="0"/>
      </w:tblPr>
      <w:tblGrid>
        <w:gridCol w:w="8"/>
        <w:gridCol w:w="496"/>
        <w:gridCol w:w="140"/>
        <w:gridCol w:w="134"/>
        <w:gridCol w:w="286"/>
        <w:gridCol w:w="120"/>
        <w:gridCol w:w="17"/>
        <w:gridCol w:w="146"/>
        <w:gridCol w:w="146"/>
        <w:gridCol w:w="134"/>
        <w:gridCol w:w="8"/>
        <w:gridCol w:w="141"/>
        <w:gridCol w:w="276"/>
        <w:gridCol w:w="429"/>
        <w:gridCol w:w="8"/>
        <w:gridCol w:w="130"/>
        <w:gridCol w:w="146"/>
        <w:gridCol w:w="279"/>
        <w:gridCol w:w="8"/>
        <w:gridCol w:w="134"/>
        <w:gridCol w:w="4"/>
        <w:gridCol w:w="138"/>
        <w:gridCol w:w="8"/>
        <w:gridCol w:w="191"/>
        <w:gridCol w:w="374"/>
        <w:gridCol w:w="272"/>
        <w:gridCol w:w="289"/>
        <w:gridCol w:w="410"/>
        <w:gridCol w:w="2"/>
        <w:gridCol w:w="22"/>
        <w:gridCol w:w="103"/>
        <w:gridCol w:w="144"/>
        <w:gridCol w:w="31"/>
        <w:gridCol w:w="124"/>
        <w:gridCol w:w="8"/>
        <w:gridCol w:w="94"/>
        <w:gridCol w:w="851"/>
        <w:gridCol w:w="57"/>
        <w:gridCol w:w="242"/>
        <w:gridCol w:w="171"/>
        <w:gridCol w:w="296"/>
        <w:gridCol w:w="284"/>
        <w:gridCol w:w="218"/>
        <w:gridCol w:w="12"/>
        <w:gridCol w:w="9"/>
        <w:gridCol w:w="14"/>
        <w:gridCol w:w="134"/>
        <w:gridCol w:w="108"/>
        <w:gridCol w:w="137"/>
        <w:gridCol w:w="23"/>
        <w:gridCol w:w="148"/>
        <w:gridCol w:w="32"/>
        <w:gridCol w:w="146"/>
        <w:gridCol w:w="89"/>
        <w:gridCol w:w="343"/>
        <w:gridCol w:w="2"/>
        <w:gridCol w:w="8"/>
        <w:gridCol w:w="78"/>
        <w:gridCol w:w="54"/>
        <w:gridCol w:w="252"/>
        <w:gridCol w:w="177"/>
        <w:gridCol w:w="56"/>
        <w:gridCol w:w="24"/>
        <w:gridCol w:w="62"/>
        <w:gridCol w:w="90"/>
        <w:gridCol w:w="34"/>
        <w:gridCol w:w="156"/>
        <w:gridCol w:w="113"/>
        <w:gridCol w:w="50"/>
        <w:gridCol w:w="52"/>
        <w:gridCol w:w="69"/>
        <w:gridCol w:w="170"/>
        <w:gridCol w:w="333"/>
        <w:gridCol w:w="34"/>
        <w:gridCol w:w="197"/>
        <w:gridCol w:w="24"/>
        <w:gridCol w:w="9"/>
        <w:gridCol w:w="16"/>
        <w:gridCol w:w="166"/>
        <w:gridCol w:w="26"/>
        <w:gridCol w:w="86"/>
        <w:gridCol w:w="289"/>
        <w:gridCol w:w="33"/>
        <w:gridCol w:w="170"/>
        <w:gridCol w:w="29"/>
        <w:gridCol w:w="134"/>
        <w:gridCol w:w="112"/>
        <w:gridCol w:w="99"/>
        <w:gridCol w:w="30"/>
        <w:gridCol w:w="30"/>
        <w:gridCol w:w="54"/>
        <w:gridCol w:w="107"/>
        <w:gridCol w:w="36"/>
        <w:gridCol w:w="5"/>
        <w:gridCol w:w="82"/>
        <w:gridCol w:w="34"/>
        <w:gridCol w:w="67"/>
        <w:gridCol w:w="18"/>
        <w:gridCol w:w="89"/>
        <w:gridCol w:w="132"/>
        <w:gridCol w:w="158"/>
        <w:gridCol w:w="141"/>
        <w:gridCol w:w="263"/>
        <w:gridCol w:w="178"/>
        <w:gridCol w:w="26"/>
        <w:gridCol w:w="84"/>
        <w:gridCol w:w="82"/>
        <w:gridCol w:w="64"/>
        <w:gridCol w:w="2"/>
        <w:gridCol w:w="116"/>
        <w:gridCol w:w="70"/>
        <w:gridCol w:w="102"/>
        <w:gridCol w:w="139"/>
        <w:gridCol w:w="152"/>
        <w:gridCol w:w="149"/>
        <w:gridCol w:w="438"/>
        <w:gridCol w:w="22"/>
        <w:gridCol w:w="84"/>
        <w:gridCol w:w="148"/>
        <w:gridCol w:w="1"/>
        <w:gridCol w:w="115"/>
        <w:gridCol w:w="73"/>
        <w:gridCol w:w="243"/>
        <w:gridCol w:w="217"/>
        <w:gridCol w:w="86"/>
        <w:gridCol w:w="435"/>
        <w:gridCol w:w="254"/>
        <w:gridCol w:w="188"/>
        <w:gridCol w:w="192"/>
        <w:gridCol w:w="53"/>
        <w:gridCol w:w="305"/>
        <w:gridCol w:w="432"/>
        <w:gridCol w:w="1000"/>
        <w:gridCol w:w="1423"/>
        <w:gridCol w:w="8"/>
      </w:tblGrid>
      <w:tr w:rsidR="00FC2402" w:rsidRPr="00C15639" w14:paraId="65233B74" w14:textId="77777777" w:rsidTr="002D3EBF">
        <w:trPr>
          <w:gridBefore w:val="11"/>
          <w:gridAfter w:val="7"/>
          <w:wBefore w:w="1627" w:type="dxa"/>
          <w:wAfter w:w="3413" w:type="dxa"/>
        </w:trPr>
        <w:tc>
          <w:tcPr>
            <w:tcW w:w="7882" w:type="dxa"/>
            <w:gridSpan w:val="54"/>
            <w:tcBorders>
              <w:top w:val="single" w:sz="6" w:space="0" w:color="auto"/>
              <w:left w:val="single" w:sz="6" w:space="0" w:color="auto"/>
              <w:bottom w:val="single" w:sz="6" w:space="0" w:color="auto"/>
              <w:right w:val="single" w:sz="6" w:space="0" w:color="auto"/>
            </w:tcBorders>
          </w:tcPr>
          <w:p w14:paraId="19D5A6D7" w14:textId="77777777" w:rsidR="00FC2402" w:rsidRPr="00C15639" w:rsidRDefault="00FC2402" w:rsidP="002D3EBF">
            <w:pPr>
              <w:pStyle w:val="1ff2"/>
              <w:spacing w:line="360" w:lineRule="auto"/>
              <w:jc w:val="center"/>
              <w:rPr>
                <w:sz w:val="24"/>
                <w:szCs w:val="24"/>
              </w:rPr>
            </w:pPr>
            <w:r w:rsidRPr="00C15639">
              <w:rPr>
                <w:sz w:val="24"/>
                <w:szCs w:val="24"/>
              </w:rPr>
              <w:t>Кашель, одышка, лихорадка, аускультативная картина</w:t>
            </w:r>
          </w:p>
        </w:tc>
        <w:tc>
          <w:tcPr>
            <w:tcW w:w="1423" w:type="dxa"/>
            <w:gridSpan w:val="14"/>
          </w:tcPr>
          <w:p w14:paraId="346E3D2E" w14:textId="77777777" w:rsidR="00FC2402" w:rsidRPr="00C15639" w:rsidRDefault="00FC2402" w:rsidP="002D3EBF"/>
        </w:tc>
        <w:tc>
          <w:tcPr>
            <w:tcW w:w="1423" w:type="dxa"/>
            <w:gridSpan w:val="18"/>
          </w:tcPr>
          <w:p w14:paraId="042DD499" w14:textId="77777777" w:rsidR="00FC2402" w:rsidRPr="00C15639" w:rsidRDefault="00FC2402" w:rsidP="002D3EBF"/>
        </w:tc>
        <w:tc>
          <w:tcPr>
            <w:tcW w:w="1423" w:type="dxa"/>
            <w:gridSpan w:val="14"/>
          </w:tcPr>
          <w:p w14:paraId="6D419E9D" w14:textId="77777777" w:rsidR="00FC2402" w:rsidRPr="00C15639" w:rsidRDefault="00FC2402" w:rsidP="002D3EBF"/>
        </w:tc>
        <w:tc>
          <w:tcPr>
            <w:tcW w:w="1423" w:type="dxa"/>
            <w:gridSpan w:val="11"/>
          </w:tcPr>
          <w:p w14:paraId="096ECD3F" w14:textId="77777777" w:rsidR="00FC2402" w:rsidRPr="00C15639" w:rsidRDefault="00FC2402" w:rsidP="002D3EBF"/>
        </w:tc>
        <w:tc>
          <w:tcPr>
            <w:tcW w:w="1423" w:type="dxa"/>
            <w:gridSpan w:val="6"/>
          </w:tcPr>
          <w:p w14:paraId="7AC4A60D" w14:textId="77777777" w:rsidR="00FC2402" w:rsidRPr="00C15639" w:rsidRDefault="00FC2402" w:rsidP="002D3EBF"/>
        </w:tc>
      </w:tr>
      <w:tr w:rsidR="00FC2402" w:rsidRPr="00C15639" w14:paraId="010ED4C6" w14:textId="77777777" w:rsidTr="002D3EBF">
        <w:trPr>
          <w:gridBefore w:val="1"/>
          <w:gridAfter w:val="59"/>
          <w:wAfter w:w="9296" w:type="dxa"/>
        </w:trPr>
        <w:tc>
          <w:tcPr>
            <w:tcW w:w="1485" w:type="dxa"/>
            <w:gridSpan w:val="8"/>
          </w:tcPr>
          <w:p w14:paraId="13ACBF5D" w14:textId="77777777" w:rsidR="00FC2402" w:rsidRPr="00C15639" w:rsidRDefault="00FC2402" w:rsidP="002D3EBF">
            <w:pPr>
              <w:pStyle w:val="1ff2"/>
              <w:spacing w:line="360" w:lineRule="auto"/>
              <w:rPr>
                <w:sz w:val="24"/>
                <w:szCs w:val="24"/>
              </w:rPr>
            </w:pPr>
          </w:p>
        </w:tc>
        <w:tc>
          <w:tcPr>
            <w:tcW w:w="996" w:type="dxa"/>
            <w:gridSpan w:val="6"/>
          </w:tcPr>
          <w:p w14:paraId="65360DAD" w14:textId="77777777" w:rsidR="00FC2402" w:rsidRPr="00C15639" w:rsidRDefault="00FC2402" w:rsidP="002D3EBF">
            <w:pPr>
              <w:pStyle w:val="1ff2"/>
              <w:spacing w:line="360" w:lineRule="auto"/>
              <w:rPr>
                <w:sz w:val="24"/>
                <w:szCs w:val="24"/>
              </w:rPr>
            </w:pPr>
          </w:p>
        </w:tc>
        <w:tc>
          <w:tcPr>
            <w:tcW w:w="2809" w:type="dxa"/>
            <w:gridSpan w:val="19"/>
            <w:tcBorders>
              <w:right w:val="single" w:sz="6" w:space="0" w:color="auto"/>
            </w:tcBorders>
          </w:tcPr>
          <w:p w14:paraId="65B79D35" w14:textId="77777777" w:rsidR="00FC2402" w:rsidRPr="00C15639" w:rsidRDefault="00FC2402" w:rsidP="002D3EBF">
            <w:pPr>
              <w:pStyle w:val="1ff2"/>
              <w:spacing w:line="360" w:lineRule="auto"/>
              <w:jc w:val="center"/>
              <w:rPr>
                <w:sz w:val="24"/>
                <w:szCs w:val="24"/>
              </w:rPr>
            </w:pPr>
          </w:p>
        </w:tc>
        <w:tc>
          <w:tcPr>
            <w:tcW w:w="2635" w:type="dxa"/>
            <w:gridSpan w:val="15"/>
          </w:tcPr>
          <w:p w14:paraId="5016E1A7" w14:textId="77777777" w:rsidR="00FC2402" w:rsidRPr="00C15639" w:rsidRDefault="00FC2402" w:rsidP="002D3EBF">
            <w:pPr>
              <w:pStyle w:val="1ff2"/>
              <w:spacing w:line="360" w:lineRule="auto"/>
              <w:jc w:val="center"/>
              <w:rPr>
                <w:sz w:val="24"/>
                <w:szCs w:val="24"/>
              </w:rPr>
            </w:pPr>
          </w:p>
        </w:tc>
        <w:tc>
          <w:tcPr>
            <w:tcW w:w="1408" w:type="dxa"/>
            <w:gridSpan w:val="13"/>
          </w:tcPr>
          <w:p w14:paraId="18DBB6FC" w14:textId="77777777" w:rsidR="00FC2402" w:rsidRPr="00C15639" w:rsidRDefault="00FC2402" w:rsidP="002D3EBF"/>
        </w:tc>
        <w:tc>
          <w:tcPr>
            <w:tcW w:w="1408" w:type="dxa"/>
            <w:gridSpan w:val="14"/>
          </w:tcPr>
          <w:p w14:paraId="4007A9EE" w14:textId="77777777" w:rsidR="00FC2402" w:rsidRPr="00C15639" w:rsidRDefault="00FC2402" w:rsidP="002D3EBF"/>
        </w:tc>
      </w:tr>
      <w:tr w:rsidR="00FC2402" w:rsidRPr="00C15639" w14:paraId="66AED9B3" w14:textId="77777777" w:rsidTr="002D3EBF">
        <w:trPr>
          <w:gridBefore w:val="1"/>
          <w:gridAfter w:val="57"/>
          <w:wAfter w:w="9271" w:type="dxa"/>
        </w:trPr>
        <w:tc>
          <w:tcPr>
            <w:tcW w:w="1485" w:type="dxa"/>
            <w:gridSpan w:val="8"/>
          </w:tcPr>
          <w:p w14:paraId="31056415" w14:textId="77777777" w:rsidR="00FC2402" w:rsidRPr="00C15639" w:rsidRDefault="00FC2402" w:rsidP="002D3EBF">
            <w:pPr>
              <w:pStyle w:val="1ff2"/>
              <w:spacing w:line="360" w:lineRule="auto"/>
              <w:rPr>
                <w:sz w:val="24"/>
                <w:szCs w:val="24"/>
              </w:rPr>
            </w:pPr>
          </w:p>
        </w:tc>
        <w:tc>
          <w:tcPr>
            <w:tcW w:w="1559" w:type="dxa"/>
            <w:gridSpan w:val="10"/>
          </w:tcPr>
          <w:p w14:paraId="36DD3D4B" w14:textId="77777777" w:rsidR="00FC2402" w:rsidRPr="00C15639" w:rsidRDefault="00FC2402" w:rsidP="002D3EBF">
            <w:pPr>
              <w:pStyle w:val="1ff2"/>
              <w:spacing w:line="360" w:lineRule="auto"/>
              <w:rPr>
                <w:sz w:val="24"/>
                <w:szCs w:val="24"/>
              </w:rPr>
            </w:pPr>
          </w:p>
        </w:tc>
        <w:tc>
          <w:tcPr>
            <w:tcW w:w="4744" w:type="dxa"/>
            <w:gridSpan w:val="29"/>
            <w:tcBorders>
              <w:top w:val="single" w:sz="6" w:space="0" w:color="auto"/>
              <w:left w:val="single" w:sz="6" w:space="0" w:color="auto"/>
              <w:bottom w:val="single" w:sz="6" w:space="0" w:color="auto"/>
              <w:right w:val="single" w:sz="6" w:space="0" w:color="auto"/>
            </w:tcBorders>
          </w:tcPr>
          <w:p w14:paraId="6085260C" w14:textId="77777777" w:rsidR="00FC2402" w:rsidRPr="00C15639" w:rsidRDefault="00FC2402" w:rsidP="002D3EBF">
            <w:pPr>
              <w:pStyle w:val="1ff2"/>
              <w:spacing w:line="360" w:lineRule="auto"/>
              <w:jc w:val="center"/>
              <w:rPr>
                <w:sz w:val="24"/>
                <w:szCs w:val="24"/>
              </w:rPr>
            </w:pPr>
            <w:r w:rsidRPr="00C15639">
              <w:rPr>
                <w:sz w:val="24"/>
                <w:szCs w:val="24"/>
              </w:rPr>
              <w:t>Исследование газов артериальной крови</w:t>
            </w:r>
          </w:p>
        </w:tc>
        <w:tc>
          <w:tcPr>
            <w:tcW w:w="160" w:type="dxa"/>
            <w:gridSpan w:val="2"/>
          </w:tcPr>
          <w:p w14:paraId="6F117A91" w14:textId="77777777" w:rsidR="00FC2402" w:rsidRPr="00C15639" w:rsidRDefault="00FC2402" w:rsidP="002D3EBF">
            <w:pPr>
              <w:pStyle w:val="1ff2"/>
              <w:spacing w:line="360" w:lineRule="auto"/>
              <w:jc w:val="center"/>
              <w:rPr>
                <w:sz w:val="24"/>
                <w:szCs w:val="24"/>
              </w:rPr>
            </w:pPr>
          </w:p>
        </w:tc>
        <w:tc>
          <w:tcPr>
            <w:tcW w:w="1409" w:type="dxa"/>
            <w:gridSpan w:val="13"/>
          </w:tcPr>
          <w:p w14:paraId="0C97EF36" w14:textId="77777777" w:rsidR="00FC2402" w:rsidRPr="00C15639" w:rsidRDefault="00FC2402" w:rsidP="002D3EBF"/>
        </w:tc>
        <w:tc>
          <w:tcPr>
            <w:tcW w:w="1409" w:type="dxa"/>
            <w:gridSpan w:val="15"/>
          </w:tcPr>
          <w:p w14:paraId="3BC098B3" w14:textId="77777777" w:rsidR="00FC2402" w:rsidRPr="00C15639" w:rsidRDefault="00FC2402" w:rsidP="002D3EBF"/>
        </w:tc>
      </w:tr>
      <w:tr w:rsidR="00FC2402" w:rsidRPr="00C15639" w14:paraId="0F162048" w14:textId="77777777" w:rsidTr="002D3EBF">
        <w:trPr>
          <w:gridBefore w:val="1"/>
          <w:gridAfter w:val="59"/>
          <w:wAfter w:w="9296" w:type="dxa"/>
        </w:trPr>
        <w:tc>
          <w:tcPr>
            <w:tcW w:w="1485" w:type="dxa"/>
            <w:gridSpan w:val="8"/>
          </w:tcPr>
          <w:p w14:paraId="5CE29D97" w14:textId="77777777" w:rsidR="00FC2402" w:rsidRPr="00C15639" w:rsidRDefault="00FC2402" w:rsidP="002D3EBF">
            <w:pPr>
              <w:pStyle w:val="1ff2"/>
              <w:spacing w:line="360" w:lineRule="auto"/>
              <w:rPr>
                <w:sz w:val="24"/>
                <w:szCs w:val="24"/>
              </w:rPr>
            </w:pPr>
          </w:p>
        </w:tc>
        <w:tc>
          <w:tcPr>
            <w:tcW w:w="996" w:type="dxa"/>
            <w:gridSpan w:val="6"/>
          </w:tcPr>
          <w:p w14:paraId="7CC48377" w14:textId="77777777" w:rsidR="00FC2402" w:rsidRPr="00C15639" w:rsidRDefault="00FC2402" w:rsidP="002D3EBF">
            <w:pPr>
              <w:pStyle w:val="1ff2"/>
              <w:spacing w:line="360" w:lineRule="auto"/>
              <w:rPr>
                <w:sz w:val="24"/>
                <w:szCs w:val="24"/>
              </w:rPr>
            </w:pPr>
          </w:p>
        </w:tc>
        <w:tc>
          <w:tcPr>
            <w:tcW w:w="2809" w:type="dxa"/>
            <w:gridSpan w:val="19"/>
            <w:tcBorders>
              <w:right w:val="single" w:sz="6" w:space="0" w:color="auto"/>
            </w:tcBorders>
          </w:tcPr>
          <w:p w14:paraId="19F475BA" w14:textId="77777777" w:rsidR="00FC2402" w:rsidRPr="00C15639" w:rsidRDefault="00FC2402" w:rsidP="002D3EBF">
            <w:pPr>
              <w:pStyle w:val="1ff2"/>
              <w:spacing w:line="360" w:lineRule="auto"/>
              <w:jc w:val="center"/>
              <w:rPr>
                <w:sz w:val="24"/>
                <w:szCs w:val="24"/>
              </w:rPr>
            </w:pPr>
          </w:p>
        </w:tc>
        <w:tc>
          <w:tcPr>
            <w:tcW w:w="2635" w:type="dxa"/>
            <w:gridSpan w:val="15"/>
          </w:tcPr>
          <w:p w14:paraId="52552009" w14:textId="77777777" w:rsidR="00FC2402" w:rsidRPr="00C15639" w:rsidRDefault="00FC2402" w:rsidP="002D3EBF">
            <w:pPr>
              <w:pStyle w:val="1ff2"/>
              <w:spacing w:line="360" w:lineRule="auto"/>
              <w:jc w:val="center"/>
              <w:rPr>
                <w:sz w:val="24"/>
                <w:szCs w:val="24"/>
              </w:rPr>
            </w:pPr>
          </w:p>
        </w:tc>
        <w:tc>
          <w:tcPr>
            <w:tcW w:w="1408" w:type="dxa"/>
            <w:gridSpan w:val="13"/>
          </w:tcPr>
          <w:p w14:paraId="26BACD57" w14:textId="77777777" w:rsidR="00FC2402" w:rsidRPr="00C15639" w:rsidRDefault="00FC2402" w:rsidP="002D3EBF"/>
        </w:tc>
        <w:tc>
          <w:tcPr>
            <w:tcW w:w="1408" w:type="dxa"/>
            <w:gridSpan w:val="14"/>
          </w:tcPr>
          <w:p w14:paraId="676454CD" w14:textId="77777777" w:rsidR="00FC2402" w:rsidRPr="00C15639" w:rsidRDefault="00FC2402" w:rsidP="002D3EBF"/>
        </w:tc>
      </w:tr>
      <w:tr w:rsidR="00FC2402" w:rsidRPr="00C15639" w14:paraId="6213D8F1" w14:textId="77777777" w:rsidTr="002D3EBF">
        <w:trPr>
          <w:gridBefore w:val="19"/>
          <w:gridAfter w:val="18"/>
          <w:wBefore w:w="3044" w:type="dxa"/>
          <w:wAfter w:w="5257" w:type="dxa"/>
          <w:cantSplit/>
        </w:trPr>
        <w:tc>
          <w:tcPr>
            <w:tcW w:w="4636" w:type="dxa"/>
            <w:gridSpan w:val="28"/>
            <w:tcBorders>
              <w:top w:val="single" w:sz="6" w:space="0" w:color="auto"/>
              <w:left w:val="single" w:sz="6" w:space="0" w:color="auto"/>
              <w:bottom w:val="single" w:sz="6" w:space="0" w:color="auto"/>
              <w:right w:val="single" w:sz="6" w:space="0" w:color="auto"/>
            </w:tcBorders>
          </w:tcPr>
          <w:p w14:paraId="5EE11B88" w14:textId="77777777" w:rsidR="00FC2402" w:rsidRPr="00C15639" w:rsidRDefault="00FC2402" w:rsidP="002D3EBF">
            <w:pPr>
              <w:pStyle w:val="1ff2"/>
              <w:spacing w:line="360" w:lineRule="auto"/>
              <w:jc w:val="center"/>
              <w:rPr>
                <w:sz w:val="24"/>
                <w:szCs w:val="24"/>
              </w:rPr>
            </w:pPr>
            <w:r w:rsidRPr="00C15639">
              <w:rPr>
                <w:sz w:val="24"/>
                <w:szCs w:val="24"/>
              </w:rPr>
              <w:t>Ультразвуковое исследование легких</w:t>
            </w:r>
          </w:p>
        </w:tc>
        <w:tc>
          <w:tcPr>
            <w:tcW w:w="1420" w:type="dxa"/>
            <w:gridSpan w:val="13"/>
          </w:tcPr>
          <w:p w14:paraId="7CEA2524" w14:textId="77777777" w:rsidR="00FC2402" w:rsidRPr="00C15639" w:rsidRDefault="00FC2402" w:rsidP="002D3EBF"/>
        </w:tc>
        <w:tc>
          <w:tcPr>
            <w:tcW w:w="1420" w:type="dxa"/>
            <w:gridSpan w:val="14"/>
          </w:tcPr>
          <w:p w14:paraId="3D9FD622" w14:textId="77777777" w:rsidR="00FC2402" w:rsidRPr="00C15639" w:rsidRDefault="00FC2402" w:rsidP="002D3EBF"/>
        </w:tc>
        <w:tc>
          <w:tcPr>
            <w:tcW w:w="1420" w:type="dxa"/>
            <w:gridSpan w:val="15"/>
          </w:tcPr>
          <w:p w14:paraId="37E69A2A" w14:textId="77777777" w:rsidR="00FC2402" w:rsidRPr="00C15639" w:rsidRDefault="00FC2402" w:rsidP="002D3EBF"/>
        </w:tc>
        <w:tc>
          <w:tcPr>
            <w:tcW w:w="1420" w:type="dxa"/>
            <w:gridSpan w:val="16"/>
          </w:tcPr>
          <w:p w14:paraId="24B4FF7F" w14:textId="77777777" w:rsidR="00FC2402" w:rsidRPr="00C15639" w:rsidRDefault="00FC2402" w:rsidP="002D3EBF"/>
        </w:tc>
        <w:tc>
          <w:tcPr>
            <w:tcW w:w="1420" w:type="dxa"/>
            <w:gridSpan w:val="12"/>
          </w:tcPr>
          <w:p w14:paraId="4EBA747E" w14:textId="77777777" w:rsidR="00FC2402" w:rsidRPr="00C15639" w:rsidRDefault="00FC2402" w:rsidP="002D3EBF"/>
        </w:tc>
      </w:tr>
      <w:tr w:rsidR="00FC2402" w:rsidRPr="00C15639" w14:paraId="629FDA20" w14:textId="77777777" w:rsidTr="002D3EBF">
        <w:trPr>
          <w:gridBefore w:val="3"/>
          <w:gridAfter w:val="37"/>
          <w:wBefore w:w="636" w:type="dxa"/>
          <w:wAfter w:w="7664" w:type="dxa"/>
          <w:cantSplit/>
        </w:trPr>
        <w:tc>
          <w:tcPr>
            <w:tcW w:w="4662" w:type="dxa"/>
            <w:gridSpan w:val="32"/>
            <w:tcBorders>
              <w:bottom w:val="single" w:sz="6" w:space="0" w:color="auto"/>
              <w:right w:val="single" w:sz="6" w:space="0" w:color="auto"/>
            </w:tcBorders>
          </w:tcPr>
          <w:p w14:paraId="2E768738" w14:textId="77777777" w:rsidR="00FC2402" w:rsidRPr="00C15639" w:rsidRDefault="00FC2402" w:rsidP="002D3EBF">
            <w:pPr>
              <w:pStyle w:val="1ff2"/>
              <w:spacing w:line="360" w:lineRule="auto"/>
              <w:jc w:val="center"/>
              <w:rPr>
                <w:sz w:val="24"/>
                <w:szCs w:val="24"/>
              </w:rPr>
            </w:pPr>
          </w:p>
        </w:tc>
        <w:tc>
          <w:tcPr>
            <w:tcW w:w="1415" w:type="dxa"/>
            <w:gridSpan w:val="5"/>
          </w:tcPr>
          <w:p w14:paraId="142E37E1" w14:textId="77777777" w:rsidR="00FC2402" w:rsidRPr="00C15639" w:rsidRDefault="00FC2402" w:rsidP="002D3EBF"/>
        </w:tc>
        <w:tc>
          <w:tcPr>
            <w:tcW w:w="1415" w:type="dxa"/>
            <w:gridSpan w:val="12"/>
          </w:tcPr>
          <w:p w14:paraId="4C225F9F" w14:textId="77777777" w:rsidR="00FC2402" w:rsidRPr="00C15639" w:rsidRDefault="00FC2402" w:rsidP="002D3EBF"/>
        </w:tc>
        <w:tc>
          <w:tcPr>
            <w:tcW w:w="1415" w:type="dxa"/>
            <w:gridSpan w:val="14"/>
          </w:tcPr>
          <w:p w14:paraId="5DBB2908" w14:textId="77777777" w:rsidR="00FC2402" w:rsidRPr="00C15639" w:rsidRDefault="00FC2402" w:rsidP="002D3EBF"/>
        </w:tc>
        <w:tc>
          <w:tcPr>
            <w:tcW w:w="1415" w:type="dxa"/>
            <w:gridSpan w:val="14"/>
          </w:tcPr>
          <w:p w14:paraId="702202AD" w14:textId="77777777" w:rsidR="00FC2402" w:rsidRPr="00C15639" w:rsidRDefault="00FC2402" w:rsidP="002D3EBF"/>
        </w:tc>
        <w:tc>
          <w:tcPr>
            <w:tcW w:w="1415" w:type="dxa"/>
            <w:gridSpan w:val="18"/>
          </w:tcPr>
          <w:p w14:paraId="63CDA0D4" w14:textId="77777777" w:rsidR="00FC2402" w:rsidRPr="00C15639" w:rsidRDefault="00FC2402" w:rsidP="002D3EBF"/>
        </w:tc>
      </w:tr>
      <w:tr w:rsidR="00FC2402" w:rsidRPr="00C15639" w14:paraId="77BA4A61" w14:textId="77777777" w:rsidTr="002D3EBF">
        <w:trPr>
          <w:gridBefore w:val="2"/>
          <w:wBefore w:w="496" w:type="dxa"/>
          <w:cantSplit/>
        </w:trPr>
        <w:tc>
          <w:tcPr>
            <w:tcW w:w="12397" w:type="dxa"/>
            <w:gridSpan w:val="100"/>
            <w:tcBorders>
              <w:top w:val="single" w:sz="6" w:space="0" w:color="auto"/>
              <w:left w:val="single" w:sz="6" w:space="0" w:color="auto"/>
              <w:bottom w:val="single" w:sz="6" w:space="0" w:color="auto"/>
              <w:right w:val="single" w:sz="6" w:space="0" w:color="auto"/>
            </w:tcBorders>
          </w:tcPr>
          <w:p w14:paraId="297FFA28" w14:textId="77777777" w:rsidR="00FC2402" w:rsidRPr="00C15639" w:rsidRDefault="00FC2402" w:rsidP="002D3EBF">
            <w:pPr>
              <w:pStyle w:val="1ff2"/>
              <w:spacing w:line="360" w:lineRule="auto"/>
              <w:jc w:val="center"/>
              <w:rPr>
                <w:sz w:val="24"/>
                <w:szCs w:val="24"/>
              </w:rPr>
            </w:pPr>
            <w:r w:rsidRPr="00C15639">
              <w:rPr>
                <w:sz w:val="24"/>
                <w:szCs w:val="24"/>
              </w:rPr>
              <w:t>СКТ легких - желательна у всех больных. Абсолютные показания - наличие полостей, подозрение на поражение легких ЦМВ, пневмоцистами, грибами, опухолевыми клетками. При ОДН СКТ выполняется у всех больных</w:t>
            </w:r>
          </w:p>
        </w:tc>
        <w:tc>
          <w:tcPr>
            <w:tcW w:w="1427" w:type="dxa"/>
            <w:gridSpan w:val="13"/>
          </w:tcPr>
          <w:p w14:paraId="2DACA607" w14:textId="77777777" w:rsidR="00FC2402" w:rsidRPr="00C15639" w:rsidRDefault="00FC2402" w:rsidP="002D3EBF"/>
        </w:tc>
        <w:tc>
          <w:tcPr>
            <w:tcW w:w="1427" w:type="dxa"/>
            <w:gridSpan w:val="10"/>
          </w:tcPr>
          <w:p w14:paraId="536A17AF" w14:textId="77777777" w:rsidR="00FC2402" w:rsidRPr="00C15639" w:rsidRDefault="00FC2402" w:rsidP="002D3EBF"/>
        </w:tc>
        <w:tc>
          <w:tcPr>
            <w:tcW w:w="1427" w:type="dxa"/>
            <w:gridSpan w:val="6"/>
          </w:tcPr>
          <w:p w14:paraId="281B76CF" w14:textId="77777777" w:rsidR="00FC2402" w:rsidRPr="00C15639" w:rsidRDefault="00FC2402" w:rsidP="002D3EBF"/>
        </w:tc>
        <w:tc>
          <w:tcPr>
            <w:tcW w:w="1432" w:type="dxa"/>
            <w:gridSpan w:val="2"/>
          </w:tcPr>
          <w:p w14:paraId="40A99BB2" w14:textId="77777777" w:rsidR="00FC2402" w:rsidRPr="00C15639" w:rsidRDefault="00FC2402" w:rsidP="002D3EBF"/>
        </w:tc>
        <w:tc>
          <w:tcPr>
            <w:tcW w:w="1431" w:type="dxa"/>
            <w:gridSpan w:val="2"/>
          </w:tcPr>
          <w:p w14:paraId="45C6D3DB" w14:textId="77777777" w:rsidR="00FC2402" w:rsidRPr="00C15639" w:rsidRDefault="00FC2402" w:rsidP="002D3EBF"/>
        </w:tc>
      </w:tr>
      <w:tr w:rsidR="00FC2402" w:rsidRPr="00C15639" w14:paraId="1D7F65E9" w14:textId="77777777" w:rsidTr="002D3EBF">
        <w:trPr>
          <w:gridBefore w:val="2"/>
          <w:gridAfter w:val="21"/>
          <w:wBefore w:w="496" w:type="dxa"/>
          <w:wAfter w:w="5866" w:type="dxa"/>
          <w:cantSplit/>
          <w:trHeight w:val="240"/>
        </w:trPr>
        <w:tc>
          <w:tcPr>
            <w:tcW w:w="2832" w:type="dxa"/>
            <w:gridSpan w:val="21"/>
            <w:tcBorders>
              <w:right w:val="single" w:sz="6" w:space="0" w:color="auto"/>
            </w:tcBorders>
          </w:tcPr>
          <w:p w14:paraId="40C45291" w14:textId="77777777" w:rsidR="00FC2402" w:rsidRPr="00C15639" w:rsidRDefault="00FC2402" w:rsidP="002D3EBF">
            <w:pPr>
              <w:pStyle w:val="1ff2"/>
              <w:spacing w:line="360" w:lineRule="auto"/>
              <w:jc w:val="center"/>
              <w:rPr>
                <w:sz w:val="24"/>
                <w:szCs w:val="24"/>
              </w:rPr>
            </w:pPr>
          </w:p>
        </w:tc>
        <w:tc>
          <w:tcPr>
            <w:tcW w:w="5466" w:type="dxa"/>
            <w:gridSpan w:val="35"/>
            <w:tcBorders>
              <w:left w:val="nil"/>
              <w:right w:val="single" w:sz="6" w:space="0" w:color="auto"/>
            </w:tcBorders>
          </w:tcPr>
          <w:p w14:paraId="46A04ABC" w14:textId="77777777" w:rsidR="00FC2402" w:rsidRPr="00C15639" w:rsidRDefault="00FC2402" w:rsidP="002D3EBF">
            <w:pPr>
              <w:pStyle w:val="1ff2"/>
              <w:spacing w:line="360" w:lineRule="auto"/>
              <w:rPr>
                <w:sz w:val="24"/>
                <w:szCs w:val="24"/>
              </w:rPr>
            </w:pPr>
          </w:p>
        </w:tc>
        <w:tc>
          <w:tcPr>
            <w:tcW w:w="1120" w:type="dxa"/>
            <w:gridSpan w:val="12"/>
            <w:tcBorders>
              <w:top w:val="single" w:sz="6" w:space="0" w:color="auto"/>
              <w:left w:val="nil"/>
            </w:tcBorders>
          </w:tcPr>
          <w:p w14:paraId="0E5FE1C5" w14:textId="77777777" w:rsidR="00FC2402" w:rsidRPr="00C15639" w:rsidRDefault="00FC2402" w:rsidP="002D3EBF">
            <w:pPr>
              <w:pStyle w:val="1ff2"/>
              <w:spacing w:line="360" w:lineRule="auto"/>
              <w:jc w:val="center"/>
              <w:rPr>
                <w:sz w:val="24"/>
                <w:szCs w:val="24"/>
              </w:rPr>
            </w:pPr>
          </w:p>
        </w:tc>
        <w:tc>
          <w:tcPr>
            <w:tcW w:w="1419" w:type="dxa"/>
            <w:gridSpan w:val="12"/>
          </w:tcPr>
          <w:p w14:paraId="0F650362" w14:textId="77777777" w:rsidR="00FC2402" w:rsidRPr="00C15639" w:rsidRDefault="00FC2402" w:rsidP="002D3EBF"/>
        </w:tc>
        <w:tc>
          <w:tcPr>
            <w:tcW w:w="1419" w:type="dxa"/>
            <w:gridSpan w:val="19"/>
          </w:tcPr>
          <w:p w14:paraId="313F7EA6" w14:textId="77777777" w:rsidR="00FC2402" w:rsidRPr="00C15639" w:rsidRDefault="00FC2402" w:rsidP="002D3EBF"/>
        </w:tc>
        <w:tc>
          <w:tcPr>
            <w:tcW w:w="1419" w:type="dxa"/>
            <w:gridSpan w:val="13"/>
          </w:tcPr>
          <w:p w14:paraId="6BEA7B0C" w14:textId="77777777" w:rsidR="00FC2402" w:rsidRPr="00C15639" w:rsidRDefault="00FC2402" w:rsidP="002D3EBF"/>
        </w:tc>
      </w:tr>
      <w:tr w:rsidR="00FC2402" w:rsidRPr="00C15639" w14:paraId="2DFE09C0" w14:textId="77777777" w:rsidTr="002D3EBF">
        <w:trPr>
          <w:gridBefore w:val="3"/>
          <w:gridAfter w:val="8"/>
          <w:wBefore w:w="636" w:type="dxa"/>
          <w:wAfter w:w="3601" w:type="dxa"/>
          <w:cantSplit/>
        </w:trPr>
        <w:tc>
          <w:tcPr>
            <w:tcW w:w="4530" w:type="dxa"/>
            <w:gridSpan w:val="30"/>
            <w:tcBorders>
              <w:top w:val="single" w:sz="6" w:space="0" w:color="auto"/>
              <w:left w:val="single" w:sz="6" w:space="0" w:color="auto"/>
              <w:bottom w:val="single" w:sz="6" w:space="0" w:color="auto"/>
              <w:right w:val="single" w:sz="6" w:space="0" w:color="auto"/>
            </w:tcBorders>
          </w:tcPr>
          <w:p w14:paraId="3B755A83" w14:textId="77777777" w:rsidR="00FC2402" w:rsidRPr="00C15639" w:rsidRDefault="00FC2402" w:rsidP="002D3EBF">
            <w:pPr>
              <w:pStyle w:val="1ff2"/>
              <w:spacing w:line="360" w:lineRule="auto"/>
              <w:jc w:val="center"/>
              <w:rPr>
                <w:sz w:val="24"/>
                <w:szCs w:val="24"/>
              </w:rPr>
            </w:pPr>
            <w:r w:rsidRPr="00C15639">
              <w:rPr>
                <w:sz w:val="24"/>
                <w:szCs w:val="24"/>
              </w:rPr>
              <w:t>Диффузные изменения в легких</w:t>
            </w:r>
          </w:p>
        </w:tc>
        <w:tc>
          <w:tcPr>
            <w:tcW w:w="2380" w:type="dxa"/>
            <w:gridSpan w:val="13"/>
            <w:tcBorders>
              <w:left w:val="nil"/>
              <w:right w:val="single" w:sz="6" w:space="0" w:color="auto"/>
            </w:tcBorders>
          </w:tcPr>
          <w:p w14:paraId="201E1647" w14:textId="77777777" w:rsidR="00FC2402" w:rsidRPr="00C15639" w:rsidRDefault="00FC2402" w:rsidP="002D3EBF">
            <w:pPr>
              <w:pStyle w:val="1ff2"/>
              <w:spacing w:line="360" w:lineRule="auto"/>
              <w:rPr>
                <w:sz w:val="24"/>
                <w:szCs w:val="24"/>
              </w:rPr>
            </w:pPr>
          </w:p>
        </w:tc>
        <w:tc>
          <w:tcPr>
            <w:tcW w:w="4621" w:type="dxa"/>
            <w:gridSpan w:val="47"/>
            <w:tcBorders>
              <w:top w:val="single" w:sz="6" w:space="0" w:color="auto"/>
              <w:left w:val="nil"/>
              <w:bottom w:val="single" w:sz="6" w:space="0" w:color="auto"/>
              <w:right w:val="single" w:sz="6" w:space="0" w:color="auto"/>
            </w:tcBorders>
          </w:tcPr>
          <w:p w14:paraId="3D496E98" w14:textId="77777777" w:rsidR="00FC2402" w:rsidRPr="00C15639" w:rsidRDefault="00FC2402" w:rsidP="002D3EBF">
            <w:pPr>
              <w:pStyle w:val="1ff2"/>
              <w:spacing w:line="360" w:lineRule="auto"/>
              <w:jc w:val="center"/>
              <w:rPr>
                <w:sz w:val="24"/>
                <w:szCs w:val="24"/>
              </w:rPr>
            </w:pPr>
            <w:r w:rsidRPr="00C15639">
              <w:rPr>
                <w:sz w:val="24"/>
                <w:szCs w:val="24"/>
              </w:rPr>
              <w:t>Очаговые изменения в легких</w:t>
            </w:r>
          </w:p>
        </w:tc>
        <w:tc>
          <w:tcPr>
            <w:tcW w:w="1423" w:type="dxa"/>
            <w:gridSpan w:val="15"/>
          </w:tcPr>
          <w:p w14:paraId="45249E07" w14:textId="77777777" w:rsidR="00FC2402" w:rsidRPr="00C15639" w:rsidRDefault="00FC2402" w:rsidP="002D3EBF"/>
        </w:tc>
        <w:tc>
          <w:tcPr>
            <w:tcW w:w="1423" w:type="dxa"/>
            <w:gridSpan w:val="12"/>
          </w:tcPr>
          <w:p w14:paraId="28CF4018" w14:textId="77777777" w:rsidR="00FC2402" w:rsidRPr="00C15639" w:rsidRDefault="00FC2402" w:rsidP="002D3EBF"/>
        </w:tc>
        <w:tc>
          <w:tcPr>
            <w:tcW w:w="1423" w:type="dxa"/>
            <w:gridSpan w:val="7"/>
          </w:tcPr>
          <w:p w14:paraId="31DAB27C" w14:textId="77777777" w:rsidR="00FC2402" w:rsidRPr="00C15639" w:rsidRDefault="00FC2402" w:rsidP="002D3EBF"/>
        </w:tc>
      </w:tr>
      <w:tr w:rsidR="00FC2402" w:rsidRPr="00C15639" w14:paraId="1B97D2A3" w14:textId="77777777" w:rsidTr="002D3EBF">
        <w:trPr>
          <w:gridBefore w:val="19"/>
          <w:gridAfter w:val="21"/>
          <w:wBefore w:w="3044" w:type="dxa"/>
          <w:wAfter w:w="5866" w:type="dxa"/>
          <w:cantSplit/>
          <w:trHeight w:hRule="exact" w:val="240"/>
        </w:trPr>
        <w:tc>
          <w:tcPr>
            <w:tcW w:w="2348" w:type="dxa"/>
            <w:gridSpan w:val="17"/>
            <w:tcBorders>
              <w:left w:val="single" w:sz="6" w:space="0" w:color="auto"/>
            </w:tcBorders>
          </w:tcPr>
          <w:p w14:paraId="05C8E844" w14:textId="77777777" w:rsidR="00FC2402" w:rsidRPr="00C15639" w:rsidRDefault="00FC2402" w:rsidP="002D3EBF">
            <w:pPr>
              <w:pStyle w:val="1ff2"/>
              <w:spacing w:line="360" w:lineRule="auto"/>
              <w:jc w:val="center"/>
              <w:rPr>
                <w:sz w:val="24"/>
                <w:szCs w:val="24"/>
              </w:rPr>
            </w:pPr>
          </w:p>
        </w:tc>
        <w:tc>
          <w:tcPr>
            <w:tcW w:w="3324" w:type="dxa"/>
            <w:gridSpan w:val="21"/>
            <w:tcBorders>
              <w:left w:val="nil"/>
              <w:right w:val="single" w:sz="6" w:space="0" w:color="auto"/>
            </w:tcBorders>
          </w:tcPr>
          <w:p w14:paraId="07832032" w14:textId="77777777" w:rsidR="00FC2402" w:rsidRPr="00C15639" w:rsidRDefault="00FC2402" w:rsidP="002D3EBF">
            <w:pPr>
              <w:pStyle w:val="1ff2"/>
              <w:spacing w:line="360" w:lineRule="auto"/>
              <w:rPr>
                <w:sz w:val="24"/>
                <w:szCs w:val="24"/>
              </w:rPr>
            </w:pPr>
          </w:p>
        </w:tc>
        <w:tc>
          <w:tcPr>
            <w:tcW w:w="1198" w:type="dxa"/>
            <w:gridSpan w:val="13"/>
            <w:tcBorders>
              <w:left w:val="nil"/>
            </w:tcBorders>
          </w:tcPr>
          <w:p w14:paraId="4C76C713" w14:textId="77777777" w:rsidR="00FC2402" w:rsidRPr="00C15639" w:rsidRDefault="00FC2402" w:rsidP="002D3EBF">
            <w:pPr>
              <w:pStyle w:val="1ff2"/>
              <w:spacing w:line="360" w:lineRule="auto"/>
              <w:jc w:val="center"/>
              <w:rPr>
                <w:sz w:val="24"/>
                <w:szCs w:val="24"/>
              </w:rPr>
            </w:pPr>
          </w:p>
        </w:tc>
        <w:tc>
          <w:tcPr>
            <w:tcW w:w="1419" w:type="dxa"/>
            <w:gridSpan w:val="12"/>
          </w:tcPr>
          <w:p w14:paraId="03C0047D" w14:textId="77777777" w:rsidR="00FC2402" w:rsidRPr="00C15639" w:rsidRDefault="00FC2402" w:rsidP="002D3EBF"/>
        </w:tc>
        <w:tc>
          <w:tcPr>
            <w:tcW w:w="1419" w:type="dxa"/>
            <w:gridSpan w:val="19"/>
          </w:tcPr>
          <w:p w14:paraId="7878E80E" w14:textId="77777777" w:rsidR="00FC2402" w:rsidRPr="00C15639" w:rsidRDefault="00FC2402" w:rsidP="002D3EBF"/>
        </w:tc>
        <w:tc>
          <w:tcPr>
            <w:tcW w:w="1419" w:type="dxa"/>
            <w:gridSpan w:val="13"/>
          </w:tcPr>
          <w:p w14:paraId="516B4736" w14:textId="77777777" w:rsidR="00FC2402" w:rsidRPr="00C15639" w:rsidRDefault="00FC2402" w:rsidP="002D3EBF"/>
        </w:tc>
      </w:tr>
      <w:tr w:rsidR="00FC2402" w:rsidRPr="00C15639" w14:paraId="322AAF3E" w14:textId="77777777" w:rsidTr="002D3EBF">
        <w:trPr>
          <w:gridBefore w:val="3"/>
          <w:gridAfter w:val="21"/>
          <w:wBefore w:w="636" w:type="dxa"/>
          <w:wAfter w:w="5866" w:type="dxa"/>
          <w:cantSplit/>
        </w:trPr>
        <w:tc>
          <w:tcPr>
            <w:tcW w:w="7460" w:type="dxa"/>
            <w:gridSpan w:val="48"/>
            <w:tcBorders>
              <w:top w:val="single" w:sz="6" w:space="0" w:color="auto"/>
              <w:left w:val="single" w:sz="6" w:space="0" w:color="auto"/>
              <w:bottom w:val="single" w:sz="6" w:space="0" w:color="auto"/>
              <w:right w:val="single" w:sz="6" w:space="0" w:color="auto"/>
            </w:tcBorders>
          </w:tcPr>
          <w:p w14:paraId="2A787FE6" w14:textId="77777777" w:rsidR="00FC2402" w:rsidRPr="00C15639" w:rsidRDefault="00FC2402" w:rsidP="002D3EBF">
            <w:pPr>
              <w:pStyle w:val="1ff2"/>
              <w:spacing w:line="360" w:lineRule="auto"/>
              <w:jc w:val="center"/>
              <w:rPr>
                <w:sz w:val="24"/>
                <w:szCs w:val="24"/>
              </w:rPr>
            </w:pPr>
            <w:r w:rsidRPr="00C15639">
              <w:rPr>
                <w:sz w:val="24"/>
                <w:szCs w:val="24"/>
              </w:rPr>
              <w:t>Исключить сердечную недостаточность, при показаниях - диуретики</w:t>
            </w:r>
          </w:p>
        </w:tc>
        <w:tc>
          <w:tcPr>
            <w:tcW w:w="620" w:type="dxa"/>
            <w:gridSpan w:val="6"/>
            <w:tcBorders>
              <w:left w:val="nil"/>
              <w:right w:val="single" w:sz="6" w:space="0" w:color="auto"/>
            </w:tcBorders>
          </w:tcPr>
          <w:p w14:paraId="6BCF555F" w14:textId="77777777" w:rsidR="00FC2402" w:rsidRPr="00C15639" w:rsidRDefault="00FC2402" w:rsidP="002D3EBF">
            <w:pPr>
              <w:pStyle w:val="1ff2"/>
              <w:spacing w:line="360" w:lineRule="auto"/>
              <w:rPr>
                <w:sz w:val="24"/>
                <w:szCs w:val="24"/>
              </w:rPr>
            </w:pPr>
          </w:p>
        </w:tc>
        <w:tc>
          <w:tcPr>
            <w:tcW w:w="1198" w:type="dxa"/>
            <w:gridSpan w:val="13"/>
            <w:tcBorders>
              <w:left w:val="nil"/>
            </w:tcBorders>
          </w:tcPr>
          <w:p w14:paraId="0C0B0DE8" w14:textId="77777777" w:rsidR="00FC2402" w:rsidRPr="00C15639" w:rsidRDefault="00FC2402" w:rsidP="002D3EBF">
            <w:pPr>
              <w:pStyle w:val="1ff2"/>
              <w:spacing w:line="360" w:lineRule="auto"/>
              <w:jc w:val="center"/>
              <w:rPr>
                <w:sz w:val="24"/>
                <w:szCs w:val="24"/>
              </w:rPr>
            </w:pPr>
          </w:p>
        </w:tc>
        <w:tc>
          <w:tcPr>
            <w:tcW w:w="1419" w:type="dxa"/>
            <w:gridSpan w:val="12"/>
          </w:tcPr>
          <w:p w14:paraId="1F214271" w14:textId="77777777" w:rsidR="00FC2402" w:rsidRPr="00C15639" w:rsidRDefault="00FC2402" w:rsidP="002D3EBF"/>
        </w:tc>
        <w:tc>
          <w:tcPr>
            <w:tcW w:w="1419" w:type="dxa"/>
            <w:gridSpan w:val="19"/>
          </w:tcPr>
          <w:p w14:paraId="59FEB5A0" w14:textId="77777777" w:rsidR="00FC2402" w:rsidRPr="00C15639" w:rsidRDefault="00FC2402" w:rsidP="002D3EBF"/>
        </w:tc>
        <w:tc>
          <w:tcPr>
            <w:tcW w:w="1419" w:type="dxa"/>
            <w:gridSpan w:val="13"/>
          </w:tcPr>
          <w:p w14:paraId="1B8AAD65" w14:textId="77777777" w:rsidR="00FC2402" w:rsidRPr="00C15639" w:rsidRDefault="00FC2402" w:rsidP="002D3EBF"/>
        </w:tc>
      </w:tr>
      <w:tr w:rsidR="00FC2402" w:rsidRPr="00C15639" w14:paraId="670E7DDB" w14:textId="77777777" w:rsidTr="002D3EBF">
        <w:trPr>
          <w:gridBefore w:val="23"/>
          <w:gridAfter w:val="6"/>
          <w:wBefore w:w="3328" w:type="dxa"/>
          <w:wAfter w:w="3221" w:type="dxa"/>
          <w:cantSplit/>
        </w:trPr>
        <w:tc>
          <w:tcPr>
            <w:tcW w:w="565" w:type="dxa"/>
            <w:gridSpan w:val="2"/>
            <w:tcBorders>
              <w:left w:val="single" w:sz="6" w:space="0" w:color="auto"/>
              <w:bottom w:val="single" w:sz="6" w:space="0" w:color="auto"/>
            </w:tcBorders>
          </w:tcPr>
          <w:p w14:paraId="2A91B62A" w14:textId="77777777" w:rsidR="00FC2402" w:rsidRPr="00C15639" w:rsidRDefault="00FC2402" w:rsidP="002D3EBF">
            <w:pPr>
              <w:pStyle w:val="1ff2"/>
              <w:spacing w:line="360" w:lineRule="auto"/>
              <w:jc w:val="center"/>
              <w:rPr>
                <w:sz w:val="24"/>
                <w:szCs w:val="24"/>
              </w:rPr>
            </w:pPr>
          </w:p>
        </w:tc>
        <w:tc>
          <w:tcPr>
            <w:tcW w:w="4823" w:type="dxa"/>
            <w:gridSpan w:val="32"/>
            <w:tcBorders>
              <w:left w:val="nil"/>
            </w:tcBorders>
          </w:tcPr>
          <w:p w14:paraId="33063E87" w14:textId="77777777" w:rsidR="00FC2402" w:rsidRPr="00C15639" w:rsidRDefault="00FC2402" w:rsidP="002D3EBF">
            <w:pPr>
              <w:pStyle w:val="1ff2"/>
              <w:spacing w:line="360" w:lineRule="auto"/>
              <w:jc w:val="center"/>
              <w:rPr>
                <w:sz w:val="24"/>
                <w:szCs w:val="24"/>
              </w:rPr>
            </w:pPr>
          </w:p>
        </w:tc>
        <w:tc>
          <w:tcPr>
            <w:tcW w:w="983" w:type="dxa"/>
            <w:gridSpan w:val="10"/>
            <w:tcBorders>
              <w:left w:val="single" w:sz="6" w:space="0" w:color="auto"/>
            </w:tcBorders>
          </w:tcPr>
          <w:p w14:paraId="11998FA5" w14:textId="77777777" w:rsidR="00FC2402" w:rsidRPr="00C15639" w:rsidRDefault="00FC2402" w:rsidP="002D3EBF">
            <w:pPr>
              <w:pStyle w:val="1ff2"/>
              <w:spacing w:line="360" w:lineRule="auto"/>
              <w:jc w:val="center"/>
              <w:rPr>
                <w:sz w:val="24"/>
                <w:szCs w:val="24"/>
              </w:rPr>
            </w:pPr>
          </w:p>
        </w:tc>
        <w:tc>
          <w:tcPr>
            <w:tcW w:w="163" w:type="dxa"/>
            <w:gridSpan w:val="2"/>
            <w:tcBorders>
              <w:left w:val="nil"/>
            </w:tcBorders>
          </w:tcPr>
          <w:p w14:paraId="4B28752C" w14:textId="77777777" w:rsidR="00FC2402" w:rsidRPr="00C15639" w:rsidRDefault="00FC2402" w:rsidP="002D3EBF">
            <w:pPr>
              <w:pStyle w:val="1ff2"/>
              <w:spacing w:line="360" w:lineRule="auto"/>
              <w:rPr>
                <w:sz w:val="24"/>
                <w:szCs w:val="24"/>
              </w:rPr>
            </w:pPr>
          </w:p>
        </w:tc>
        <w:tc>
          <w:tcPr>
            <w:tcW w:w="1504" w:type="dxa"/>
            <w:gridSpan w:val="14"/>
          </w:tcPr>
          <w:p w14:paraId="6A23F6B8" w14:textId="77777777" w:rsidR="00FC2402" w:rsidRPr="00C15639" w:rsidRDefault="00FC2402" w:rsidP="002D3EBF">
            <w:pPr>
              <w:pStyle w:val="1ff2"/>
              <w:spacing w:line="360" w:lineRule="auto"/>
              <w:rPr>
                <w:sz w:val="24"/>
                <w:szCs w:val="24"/>
              </w:rPr>
            </w:pPr>
          </w:p>
        </w:tc>
        <w:tc>
          <w:tcPr>
            <w:tcW w:w="5450" w:type="dxa"/>
            <w:gridSpan w:val="46"/>
          </w:tcPr>
          <w:p w14:paraId="00BCD39A" w14:textId="77777777" w:rsidR="00FC2402" w:rsidRPr="00C15639" w:rsidRDefault="00FC2402" w:rsidP="002D3EBF">
            <w:pPr>
              <w:pStyle w:val="1ff2"/>
              <w:spacing w:line="360" w:lineRule="auto"/>
              <w:jc w:val="center"/>
              <w:rPr>
                <w:sz w:val="24"/>
                <w:szCs w:val="24"/>
              </w:rPr>
            </w:pPr>
          </w:p>
        </w:tc>
      </w:tr>
      <w:tr w:rsidR="00FC2402" w:rsidRPr="00C15639" w14:paraId="6FF092FA" w14:textId="77777777" w:rsidTr="002D3EBF">
        <w:trPr>
          <w:gridBefore w:val="12"/>
          <w:gridAfter w:val="2"/>
          <w:wBefore w:w="1768" w:type="dxa"/>
          <w:wAfter w:w="1431" w:type="dxa"/>
          <w:cantSplit/>
        </w:trPr>
        <w:tc>
          <w:tcPr>
            <w:tcW w:w="3120" w:type="dxa"/>
            <w:gridSpan w:val="18"/>
            <w:tcBorders>
              <w:top w:val="single" w:sz="6" w:space="0" w:color="auto"/>
              <w:left w:val="single" w:sz="6" w:space="0" w:color="auto"/>
              <w:bottom w:val="single" w:sz="6" w:space="0" w:color="auto"/>
              <w:right w:val="single" w:sz="6" w:space="0" w:color="auto"/>
            </w:tcBorders>
          </w:tcPr>
          <w:p w14:paraId="31FF1C44" w14:textId="77777777" w:rsidR="00FC2402" w:rsidRPr="00C15639" w:rsidRDefault="00FC2402" w:rsidP="002D3EBF">
            <w:pPr>
              <w:pStyle w:val="1ff2"/>
              <w:spacing w:line="360" w:lineRule="auto"/>
              <w:jc w:val="center"/>
              <w:rPr>
                <w:sz w:val="24"/>
                <w:szCs w:val="24"/>
              </w:rPr>
            </w:pPr>
            <w:r w:rsidRPr="00C15639">
              <w:rPr>
                <w:sz w:val="24"/>
                <w:szCs w:val="24"/>
              </w:rPr>
              <w:t>Сохраняются изменения</w:t>
            </w:r>
          </w:p>
        </w:tc>
        <w:tc>
          <w:tcPr>
            <w:tcW w:w="3828" w:type="dxa"/>
            <w:gridSpan w:val="27"/>
            <w:tcBorders>
              <w:left w:val="single" w:sz="6" w:space="0" w:color="auto"/>
              <w:right w:val="single" w:sz="6" w:space="0" w:color="auto"/>
            </w:tcBorders>
          </w:tcPr>
          <w:p w14:paraId="22EC3C9D" w14:textId="77777777" w:rsidR="00FC2402" w:rsidRPr="00C15639" w:rsidRDefault="00FC2402" w:rsidP="002D3EBF">
            <w:pPr>
              <w:pStyle w:val="1ff2"/>
              <w:spacing w:line="360" w:lineRule="auto"/>
              <w:jc w:val="center"/>
              <w:rPr>
                <w:sz w:val="24"/>
                <w:szCs w:val="24"/>
              </w:rPr>
            </w:pPr>
          </w:p>
        </w:tc>
        <w:tc>
          <w:tcPr>
            <w:tcW w:w="2650" w:type="dxa"/>
            <w:gridSpan w:val="26"/>
            <w:tcBorders>
              <w:left w:val="nil"/>
            </w:tcBorders>
          </w:tcPr>
          <w:p w14:paraId="5BDE19B1" w14:textId="77777777" w:rsidR="00FC2402" w:rsidRPr="00C15639" w:rsidRDefault="00FC2402" w:rsidP="002D3EBF">
            <w:pPr>
              <w:pStyle w:val="1ff2"/>
              <w:spacing w:line="360" w:lineRule="auto"/>
              <w:jc w:val="center"/>
              <w:rPr>
                <w:sz w:val="24"/>
                <w:szCs w:val="24"/>
              </w:rPr>
            </w:pPr>
          </w:p>
        </w:tc>
        <w:tc>
          <w:tcPr>
            <w:tcW w:w="170" w:type="dxa"/>
            <w:tcBorders>
              <w:left w:val="nil"/>
            </w:tcBorders>
          </w:tcPr>
          <w:p w14:paraId="728C8027" w14:textId="77777777" w:rsidR="00FC2402" w:rsidRPr="00C15639" w:rsidRDefault="00FC2402" w:rsidP="002D3EBF">
            <w:pPr>
              <w:pStyle w:val="1ff2"/>
              <w:spacing w:line="360" w:lineRule="auto"/>
              <w:rPr>
                <w:sz w:val="24"/>
                <w:szCs w:val="24"/>
              </w:rPr>
            </w:pPr>
          </w:p>
        </w:tc>
        <w:tc>
          <w:tcPr>
            <w:tcW w:w="1620" w:type="dxa"/>
            <w:gridSpan w:val="19"/>
          </w:tcPr>
          <w:p w14:paraId="131D44BE" w14:textId="77777777" w:rsidR="00FC2402" w:rsidRPr="00C15639" w:rsidRDefault="00FC2402" w:rsidP="002D3EBF">
            <w:pPr>
              <w:pStyle w:val="1ff2"/>
              <w:spacing w:line="360" w:lineRule="auto"/>
              <w:rPr>
                <w:sz w:val="24"/>
                <w:szCs w:val="24"/>
              </w:rPr>
            </w:pPr>
          </w:p>
        </w:tc>
        <w:tc>
          <w:tcPr>
            <w:tcW w:w="5450" w:type="dxa"/>
            <w:gridSpan w:val="30"/>
          </w:tcPr>
          <w:p w14:paraId="64E2E824" w14:textId="77777777" w:rsidR="00FC2402" w:rsidRPr="00C15639" w:rsidRDefault="00FC2402" w:rsidP="002D3EBF">
            <w:pPr>
              <w:pStyle w:val="1ff2"/>
              <w:spacing w:line="360" w:lineRule="auto"/>
              <w:jc w:val="center"/>
              <w:rPr>
                <w:sz w:val="24"/>
                <w:szCs w:val="24"/>
              </w:rPr>
            </w:pPr>
          </w:p>
        </w:tc>
      </w:tr>
      <w:tr w:rsidR="00FC2402" w:rsidRPr="00C15639" w14:paraId="5EB09E94" w14:textId="77777777" w:rsidTr="002D3EBF">
        <w:trPr>
          <w:gridAfter w:val="14"/>
          <w:wAfter w:w="4901" w:type="dxa"/>
          <w:cantSplit/>
        </w:trPr>
        <w:tc>
          <w:tcPr>
            <w:tcW w:w="4173" w:type="dxa"/>
            <w:gridSpan w:val="26"/>
            <w:tcBorders>
              <w:right w:val="single" w:sz="6" w:space="0" w:color="auto"/>
            </w:tcBorders>
          </w:tcPr>
          <w:p w14:paraId="7B438238" w14:textId="77777777" w:rsidR="00FC2402" w:rsidRPr="00C15639" w:rsidRDefault="00FC2402" w:rsidP="002D3EBF">
            <w:pPr>
              <w:pStyle w:val="1ff2"/>
              <w:spacing w:line="360" w:lineRule="auto"/>
              <w:jc w:val="center"/>
              <w:rPr>
                <w:sz w:val="24"/>
                <w:szCs w:val="24"/>
              </w:rPr>
            </w:pPr>
          </w:p>
        </w:tc>
        <w:tc>
          <w:tcPr>
            <w:tcW w:w="826" w:type="dxa"/>
            <w:gridSpan w:val="5"/>
            <w:tcBorders>
              <w:left w:val="nil"/>
            </w:tcBorders>
          </w:tcPr>
          <w:p w14:paraId="67E792DB" w14:textId="77777777" w:rsidR="00FC2402" w:rsidRPr="00C15639" w:rsidRDefault="00FC2402" w:rsidP="002D3EBF">
            <w:pPr>
              <w:pStyle w:val="1ff2"/>
              <w:spacing w:line="360" w:lineRule="auto"/>
              <w:rPr>
                <w:sz w:val="24"/>
                <w:szCs w:val="24"/>
              </w:rPr>
            </w:pPr>
          </w:p>
        </w:tc>
        <w:tc>
          <w:tcPr>
            <w:tcW w:w="3715" w:type="dxa"/>
            <w:gridSpan w:val="24"/>
            <w:tcBorders>
              <w:right w:val="single" w:sz="6" w:space="0" w:color="auto"/>
            </w:tcBorders>
          </w:tcPr>
          <w:p w14:paraId="39F9C6C8" w14:textId="77777777" w:rsidR="00FC2402" w:rsidRPr="00C15639" w:rsidRDefault="00FC2402" w:rsidP="002D3EBF">
            <w:pPr>
              <w:pStyle w:val="1ff2"/>
              <w:spacing w:line="360" w:lineRule="auto"/>
              <w:rPr>
                <w:sz w:val="24"/>
                <w:szCs w:val="24"/>
              </w:rPr>
            </w:pPr>
          </w:p>
        </w:tc>
        <w:tc>
          <w:tcPr>
            <w:tcW w:w="3582" w:type="dxa"/>
            <w:gridSpan w:val="41"/>
            <w:tcBorders>
              <w:left w:val="nil"/>
            </w:tcBorders>
          </w:tcPr>
          <w:p w14:paraId="3E4BBDB9" w14:textId="77777777" w:rsidR="00FC2402" w:rsidRPr="00C15639" w:rsidRDefault="00FC2402" w:rsidP="002D3EBF">
            <w:pPr>
              <w:pStyle w:val="1ff2"/>
              <w:spacing w:line="360" w:lineRule="auto"/>
              <w:jc w:val="center"/>
              <w:rPr>
                <w:sz w:val="24"/>
                <w:szCs w:val="24"/>
              </w:rPr>
            </w:pPr>
          </w:p>
        </w:tc>
        <w:tc>
          <w:tcPr>
            <w:tcW w:w="1420" w:type="dxa"/>
            <w:gridSpan w:val="14"/>
          </w:tcPr>
          <w:p w14:paraId="7ABA3E97" w14:textId="77777777" w:rsidR="00FC2402" w:rsidRPr="00C15639" w:rsidRDefault="00FC2402" w:rsidP="002D3EBF"/>
        </w:tc>
        <w:tc>
          <w:tcPr>
            <w:tcW w:w="1420" w:type="dxa"/>
            <w:gridSpan w:val="11"/>
          </w:tcPr>
          <w:p w14:paraId="560025A2" w14:textId="77777777" w:rsidR="00FC2402" w:rsidRPr="00C15639" w:rsidRDefault="00FC2402" w:rsidP="002D3EBF"/>
        </w:tc>
      </w:tr>
      <w:tr w:rsidR="00FC2402" w:rsidRPr="00C15639" w14:paraId="3B69EEB3" w14:textId="77777777" w:rsidTr="002D3EBF">
        <w:trPr>
          <w:gridAfter w:val="1"/>
        </w:trPr>
        <w:tc>
          <w:tcPr>
            <w:tcW w:w="3186" w:type="dxa"/>
            <w:gridSpan w:val="20"/>
          </w:tcPr>
          <w:p w14:paraId="38C06EBB" w14:textId="77777777" w:rsidR="00FC2402" w:rsidRPr="00C15639" w:rsidRDefault="00FC2402" w:rsidP="002D3EBF">
            <w:pPr>
              <w:pStyle w:val="1ff2"/>
              <w:spacing w:line="360" w:lineRule="auto"/>
              <w:rPr>
                <w:sz w:val="24"/>
                <w:szCs w:val="24"/>
              </w:rPr>
            </w:pPr>
          </w:p>
        </w:tc>
        <w:tc>
          <w:tcPr>
            <w:tcW w:w="9416" w:type="dxa"/>
            <w:gridSpan w:val="80"/>
            <w:tcBorders>
              <w:top w:val="single" w:sz="6" w:space="0" w:color="auto"/>
              <w:left w:val="single" w:sz="6" w:space="0" w:color="auto"/>
              <w:bottom w:val="single" w:sz="6" w:space="0" w:color="auto"/>
              <w:right w:val="single" w:sz="6" w:space="0" w:color="auto"/>
            </w:tcBorders>
          </w:tcPr>
          <w:p w14:paraId="4964C30A" w14:textId="77777777" w:rsidR="00FC2402" w:rsidRPr="00C15639" w:rsidRDefault="00FC2402" w:rsidP="002D3EBF">
            <w:pPr>
              <w:pStyle w:val="1ff2"/>
              <w:spacing w:line="360" w:lineRule="auto"/>
              <w:jc w:val="center"/>
              <w:rPr>
                <w:sz w:val="24"/>
                <w:szCs w:val="24"/>
              </w:rPr>
            </w:pPr>
            <w:r w:rsidRPr="00C15639">
              <w:rPr>
                <w:sz w:val="24"/>
                <w:szCs w:val="24"/>
              </w:rPr>
              <w:t>Фибробронхоскопия + бронхоальвеолярный лаваж</w:t>
            </w:r>
          </w:p>
        </w:tc>
        <w:tc>
          <w:tcPr>
            <w:tcW w:w="1425" w:type="dxa"/>
            <w:gridSpan w:val="13"/>
          </w:tcPr>
          <w:p w14:paraId="399B3EEF" w14:textId="77777777" w:rsidR="00FC2402" w:rsidRPr="00C15639" w:rsidRDefault="00FC2402" w:rsidP="002D3EBF"/>
        </w:tc>
        <w:tc>
          <w:tcPr>
            <w:tcW w:w="1425" w:type="dxa"/>
            <w:gridSpan w:val="10"/>
          </w:tcPr>
          <w:p w14:paraId="13CA2AAC" w14:textId="77777777" w:rsidR="00FC2402" w:rsidRPr="00C15639" w:rsidRDefault="00FC2402" w:rsidP="002D3EBF"/>
        </w:tc>
        <w:tc>
          <w:tcPr>
            <w:tcW w:w="1425" w:type="dxa"/>
            <w:gridSpan w:val="7"/>
          </w:tcPr>
          <w:p w14:paraId="4DD3C5C6" w14:textId="77777777" w:rsidR="00FC2402" w:rsidRPr="00C15639" w:rsidRDefault="00FC2402" w:rsidP="002D3EBF"/>
        </w:tc>
        <w:tc>
          <w:tcPr>
            <w:tcW w:w="3160" w:type="dxa"/>
            <w:gridSpan w:val="4"/>
          </w:tcPr>
          <w:p w14:paraId="50572D19" w14:textId="77777777" w:rsidR="00FC2402" w:rsidRPr="00C15639" w:rsidRDefault="00FC2402" w:rsidP="002D3EBF"/>
        </w:tc>
      </w:tr>
      <w:tr w:rsidR="00FC2402" w:rsidRPr="00C15639" w14:paraId="11A9ADF2" w14:textId="77777777" w:rsidTr="002D3EBF">
        <w:trPr>
          <w:gridAfter w:val="50"/>
          <w:wAfter w:w="8464" w:type="dxa"/>
          <w:cantSplit/>
        </w:trPr>
        <w:tc>
          <w:tcPr>
            <w:tcW w:w="1184" w:type="dxa"/>
            <w:gridSpan w:val="6"/>
          </w:tcPr>
          <w:p w14:paraId="69F721F7" w14:textId="77777777" w:rsidR="00FC2402" w:rsidRPr="00C15639" w:rsidRDefault="00FC2402" w:rsidP="002D3EBF">
            <w:pPr>
              <w:pStyle w:val="1ff2"/>
              <w:spacing w:line="360" w:lineRule="auto"/>
              <w:rPr>
                <w:sz w:val="24"/>
                <w:szCs w:val="24"/>
              </w:rPr>
            </w:pPr>
          </w:p>
        </w:tc>
        <w:tc>
          <w:tcPr>
            <w:tcW w:w="1297" w:type="dxa"/>
            <w:gridSpan w:val="8"/>
          </w:tcPr>
          <w:p w14:paraId="48DEF1DF" w14:textId="77777777" w:rsidR="00FC2402" w:rsidRPr="00C15639" w:rsidRDefault="00FC2402" w:rsidP="002D3EBF">
            <w:pPr>
              <w:pStyle w:val="1ff2"/>
              <w:spacing w:line="360" w:lineRule="auto"/>
              <w:rPr>
                <w:sz w:val="24"/>
                <w:szCs w:val="24"/>
              </w:rPr>
            </w:pPr>
          </w:p>
        </w:tc>
        <w:tc>
          <w:tcPr>
            <w:tcW w:w="3770" w:type="dxa"/>
            <w:gridSpan w:val="23"/>
            <w:tcBorders>
              <w:right w:val="single" w:sz="6" w:space="0" w:color="auto"/>
            </w:tcBorders>
          </w:tcPr>
          <w:p w14:paraId="2BF1DC7E" w14:textId="77777777" w:rsidR="00FC2402" w:rsidRPr="00C15639" w:rsidRDefault="00FC2402" w:rsidP="002D3EBF">
            <w:pPr>
              <w:pStyle w:val="1ff2"/>
              <w:spacing w:line="360" w:lineRule="auto"/>
              <w:rPr>
                <w:sz w:val="24"/>
                <w:szCs w:val="24"/>
              </w:rPr>
            </w:pPr>
          </w:p>
        </w:tc>
        <w:tc>
          <w:tcPr>
            <w:tcW w:w="1268" w:type="dxa"/>
            <w:gridSpan w:val="6"/>
          </w:tcPr>
          <w:p w14:paraId="78A49780" w14:textId="77777777" w:rsidR="00FC2402" w:rsidRPr="00C15639" w:rsidRDefault="00FC2402" w:rsidP="002D3EBF">
            <w:pPr>
              <w:pStyle w:val="1ff2"/>
              <w:spacing w:line="360" w:lineRule="auto"/>
              <w:rPr>
                <w:sz w:val="24"/>
                <w:szCs w:val="24"/>
              </w:rPr>
            </w:pPr>
          </w:p>
        </w:tc>
        <w:tc>
          <w:tcPr>
            <w:tcW w:w="2642" w:type="dxa"/>
            <w:gridSpan w:val="29"/>
          </w:tcPr>
          <w:p w14:paraId="5D54FF83" w14:textId="77777777" w:rsidR="00FC2402" w:rsidRPr="00C15639" w:rsidRDefault="00FC2402" w:rsidP="002D3EBF">
            <w:pPr>
              <w:pStyle w:val="1ff2"/>
              <w:spacing w:line="360" w:lineRule="auto"/>
              <w:rPr>
                <w:sz w:val="24"/>
                <w:szCs w:val="24"/>
              </w:rPr>
            </w:pPr>
          </w:p>
        </w:tc>
        <w:tc>
          <w:tcPr>
            <w:tcW w:w="1412" w:type="dxa"/>
            <w:gridSpan w:val="13"/>
          </w:tcPr>
          <w:p w14:paraId="20DB21BA" w14:textId="77777777" w:rsidR="00FC2402" w:rsidRPr="00C15639" w:rsidRDefault="00FC2402" w:rsidP="002D3EBF"/>
        </w:tc>
      </w:tr>
      <w:tr w:rsidR="00FC2402" w:rsidRPr="00C15639" w14:paraId="130786EA" w14:textId="77777777" w:rsidTr="002D3EBF">
        <w:trPr>
          <w:gridBefore w:val="13"/>
          <w:gridAfter w:val="3"/>
          <w:wBefore w:w="2052" w:type="dxa"/>
          <w:wAfter w:w="2423" w:type="dxa"/>
          <w:cantSplit/>
        </w:trPr>
        <w:tc>
          <w:tcPr>
            <w:tcW w:w="8442" w:type="dxa"/>
            <w:gridSpan w:val="60"/>
            <w:tcBorders>
              <w:top w:val="single" w:sz="6" w:space="0" w:color="auto"/>
              <w:left w:val="single" w:sz="6" w:space="0" w:color="auto"/>
              <w:bottom w:val="single" w:sz="6" w:space="0" w:color="auto"/>
              <w:right w:val="single" w:sz="6" w:space="0" w:color="auto"/>
            </w:tcBorders>
          </w:tcPr>
          <w:p w14:paraId="3582DA6E" w14:textId="77777777" w:rsidR="00FC2402" w:rsidRPr="00C15639" w:rsidRDefault="00FC2402" w:rsidP="002D3EBF">
            <w:pPr>
              <w:pStyle w:val="1ff2"/>
              <w:spacing w:line="360" w:lineRule="auto"/>
              <w:jc w:val="center"/>
              <w:rPr>
                <w:sz w:val="24"/>
                <w:szCs w:val="24"/>
              </w:rPr>
            </w:pPr>
            <w:r w:rsidRPr="00C15639">
              <w:rPr>
                <w:sz w:val="24"/>
                <w:szCs w:val="24"/>
              </w:rPr>
              <w:t>Исследование лаважной жидкости, сыворотки, мочи</w:t>
            </w:r>
          </w:p>
        </w:tc>
        <w:tc>
          <w:tcPr>
            <w:tcW w:w="1424" w:type="dxa"/>
            <w:gridSpan w:val="15"/>
          </w:tcPr>
          <w:p w14:paraId="78028CAB" w14:textId="77777777" w:rsidR="00FC2402" w:rsidRPr="00C15639" w:rsidRDefault="00FC2402" w:rsidP="002D3EBF"/>
        </w:tc>
        <w:tc>
          <w:tcPr>
            <w:tcW w:w="1424" w:type="dxa"/>
            <w:gridSpan w:val="16"/>
          </w:tcPr>
          <w:p w14:paraId="14DB6CBE" w14:textId="77777777" w:rsidR="00FC2402" w:rsidRPr="00C15639" w:rsidRDefault="00FC2402" w:rsidP="002D3EBF"/>
        </w:tc>
        <w:tc>
          <w:tcPr>
            <w:tcW w:w="1424" w:type="dxa"/>
            <w:gridSpan w:val="12"/>
          </w:tcPr>
          <w:p w14:paraId="40E768CD" w14:textId="77777777" w:rsidR="00FC2402" w:rsidRPr="00C15639" w:rsidRDefault="00FC2402" w:rsidP="002D3EBF"/>
        </w:tc>
        <w:tc>
          <w:tcPr>
            <w:tcW w:w="1424" w:type="dxa"/>
            <w:gridSpan w:val="10"/>
          </w:tcPr>
          <w:p w14:paraId="08AC47A9" w14:textId="77777777" w:rsidR="00FC2402" w:rsidRPr="00C15639" w:rsidRDefault="00FC2402" w:rsidP="002D3EBF"/>
        </w:tc>
        <w:tc>
          <w:tcPr>
            <w:tcW w:w="1424" w:type="dxa"/>
            <w:gridSpan w:val="6"/>
          </w:tcPr>
          <w:p w14:paraId="5445C0F0" w14:textId="77777777" w:rsidR="00FC2402" w:rsidRPr="00C15639" w:rsidRDefault="00FC2402" w:rsidP="002D3EBF"/>
        </w:tc>
      </w:tr>
      <w:tr w:rsidR="00FC2402" w:rsidRPr="00C15639" w14:paraId="4C8C225D" w14:textId="77777777" w:rsidTr="002D3EBF">
        <w:trPr>
          <w:gridBefore w:val="4"/>
          <w:gridAfter w:val="28"/>
          <w:wBefore w:w="778" w:type="dxa"/>
          <w:wAfter w:w="6503" w:type="dxa"/>
          <w:cantSplit/>
        </w:trPr>
        <w:tc>
          <w:tcPr>
            <w:tcW w:w="849" w:type="dxa"/>
            <w:gridSpan w:val="6"/>
            <w:tcBorders>
              <w:top w:val="single" w:sz="6" w:space="0" w:color="auto"/>
              <w:left w:val="single" w:sz="6" w:space="0" w:color="auto"/>
              <w:bottom w:val="single" w:sz="6" w:space="0" w:color="auto"/>
            </w:tcBorders>
          </w:tcPr>
          <w:p w14:paraId="22CF7CAD" w14:textId="77777777" w:rsidR="00FC2402" w:rsidRPr="00C15639" w:rsidRDefault="00FC2402" w:rsidP="002D3EBF">
            <w:pPr>
              <w:pStyle w:val="1ff2"/>
              <w:spacing w:line="360" w:lineRule="auto"/>
              <w:rPr>
                <w:sz w:val="24"/>
                <w:szCs w:val="24"/>
              </w:rPr>
            </w:pPr>
          </w:p>
        </w:tc>
        <w:tc>
          <w:tcPr>
            <w:tcW w:w="1559" w:type="dxa"/>
            <w:gridSpan w:val="10"/>
            <w:tcBorders>
              <w:top w:val="single" w:sz="6" w:space="0" w:color="auto"/>
              <w:right w:val="single" w:sz="6" w:space="0" w:color="auto"/>
            </w:tcBorders>
          </w:tcPr>
          <w:p w14:paraId="0CEEBF22" w14:textId="77777777" w:rsidR="00FC2402" w:rsidRPr="00C15639" w:rsidRDefault="00FC2402" w:rsidP="002D3EBF">
            <w:pPr>
              <w:pStyle w:val="1ff2"/>
              <w:spacing w:line="360" w:lineRule="auto"/>
              <w:rPr>
                <w:sz w:val="24"/>
                <w:szCs w:val="24"/>
              </w:rPr>
            </w:pPr>
          </w:p>
        </w:tc>
        <w:tc>
          <w:tcPr>
            <w:tcW w:w="1957" w:type="dxa"/>
            <w:gridSpan w:val="12"/>
            <w:tcBorders>
              <w:left w:val="single" w:sz="6" w:space="0" w:color="auto"/>
              <w:right w:val="single" w:sz="6" w:space="0" w:color="auto"/>
            </w:tcBorders>
          </w:tcPr>
          <w:p w14:paraId="3E273D5D" w14:textId="77777777" w:rsidR="00FC2402" w:rsidRPr="00C15639" w:rsidRDefault="00FC2402" w:rsidP="002D3EBF">
            <w:pPr>
              <w:pStyle w:val="1ff2"/>
              <w:spacing w:line="360" w:lineRule="auto"/>
              <w:rPr>
                <w:sz w:val="24"/>
                <w:szCs w:val="24"/>
              </w:rPr>
            </w:pPr>
          </w:p>
        </w:tc>
        <w:tc>
          <w:tcPr>
            <w:tcW w:w="3139" w:type="dxa"/>
            <w:gridSpan w:val="21"/>
            <w:tcBorders>
              <w:top w:val="single" w:sz="6" w:space="0" w:color="auto"/>
              <w:left w:val="single" w:sz="6" w:space="0" w:color="auto"/>
              <w:right w:val="single" w:sz="6" w:space="0" w:color="auto"/>
            </w:tcBorders>
          </w:tcPr>
          <w:p w14:paraId="0269F39A" w14:textId="77777777" w:rsidR="00FC2402" w:rsidRPr="00C15639" w:rsidRDefault="00FC2402" w:rsidP="002D3EBF">
            <w:pPr>
              <w:pStyle w:val="1ff2"/>
              <w:spacing w:line="360" w:lineRule="auto"/>
              <w:rPr>
                <w:sz w:val="24"/>
                <w:szCs w:val="24"/>
              </w:rPr>
            </w:pPr>
          </w:p>
        </w:tc>
        <w:tc>
          <w:tcPr>
            <w:tcW w:w="3425" w:type="dxa"/>
            <w:gridSpan w:val="33"/>
            <w:tcBorders>
              <w:top w:val="single" w:sz="6" w:space="0" w:color="auto"/>
              <w:left w:val="single" w:sz="6" w:space="0" w:color="auto"/>
              <w:right w:val="single" w:sz="6" w:space="0" w:color="auto"/>
            </w:tcBorders>
          </w:tcPr>
          <w:p w14:paraId="35B3141E" w14:textId="77777777" w:rsidR="00FC2402" w:rsidRPr="00C15639" w:rsidRDefault="00FC2402" w:rsidP="002D3EBF">
            <w:pPr>
              <w:pStyle w:val="1ff2"/>
              <w:spacing w:line="360" w:lineRule="auto"/>
              <w:rPr>
                <w:sz w:val="24"/>
                <w:szCs w:val="24"/>
              </w:rPr>
            </w:pPr>
          </w:p>
        </w:tc>
        <w:tc>
          <w:tcPr>
            <w:tcW w:w="1827" w:type="dxa"/>
            <w:gridSpan w:val="21"/>
            <w:tcBorders>
              <w:left w:val="single" w:sz="6" w:space="0" w:color="auto"/>
            </w:tcBorders>
          </w:tcPr>
          <w:p w14:paraId="32178D15" w14:textId="77777777" w:rsidR="00FC2402" w:rsidRPr="00C15639" w:rsidRDefault="00FC2402" w:rsidP="002D3EBF">
            <w:pPr>
              <w:pStyle w:val="1ff2"/>
              <w:spacing w:line="360" w:lineRule="auto"/>
              <w:rPr>
                <w:sz w:val="24"/>
                <w:szCs w:val="24"/>
              </w:rPr>
            </w:pPr>
          </w:p>
        </w:tc>
      </w:tr>
      <w:tr w:rsidR="00FC2402" w:rsidRPr="00C15639" w14:paraId="66D1236C" w14:textId="77777777" w:rsidTr="002D3EBF">
        <w:tblPrEx>
          <w:tblCellMar>
            <w:left w:w="71" w:type="dxa"/>
            <w:right w:w="71" w:type="dxa"/>
          </w:tblCellMar>
        </w:tblPrEx>
        <w:trPr>
          <w:gridAfter w:val="11"/>
          <w:wAfter w:w="4368" w:type="dxa"/>
          <w:cantSplit/>
        </w:trPr>
        <w:tc>
          <w:tcPr>
            <w:tcW w:w="2481" w:type="dxa"/>
            <w:gridSpan w:val="14"/>
            <w:tcBorders>
              <w:top w:val="single" w:sz="6" w:space="0" w:color="auto"/>
              <w:left w:val="single" w:sz="6" w:space="0" w:color="auto"/>
              <w:bottom w:val="single" w:sz="6" w:space="0" w:color="auto"/>
              <w:right w:val="single" w:sz="6" w:space="0" w:color="auto"/>
            </w:tcBorders>
          </w:tcPr>
          <w:p w14:paraId="370F2B6B" w14:textId="77777777" w:rsidR="00FC2402" w:rsidRPr="00C15639" w:rsidRDefault="00FC2402" w:rsidP="002D3EBF">
            <w:pPr>
              <w:pStyle w:val="1ff2"/>
              <w:spacing w:line="360" w:lineRule="auto"/>
              <w:rPr>
                <w:sz w:val="24"/>
                <w:szCs w:val="24"/>
              </w:rPr>
            </w:pPr>
            <w:r w:rsidRPr="00C15639">
              <w:rPr>
                <w:sz w:val="24"/>
                <w:szCs w:val="24"/>
              </w:rPr>
              <w:lastRenderedPageBreak/>
              <w:t>Микробиологическое исследование + исследование на легионеллез (моча, лаваж)</w:t>
            </w:r>
          </w:p>
        </w:tc>
        <w:tc>
          <w:tcPr>
            <w:tcW w:w="2391" w:type="dxa"/>
            <w:gridSpan w:val="14"/>
            <w:tcBorders>
              <w:top w:val="single" w:sz="6" w:space="0" w:color="auto"/>
              <w:left w:val="single" w:sz="6" w:space="0" w:color="auto"/>
              <w:bottom w:val="single" w:sz="6" w:space="0" w:color="auto"/>
              <w:right w:val="single" w:sz="6" w:space="0" w:color="auto"/>
            </w:tcBorders>
          </w:tcPr>
          <w:p w14:paraId="5C017558" w14:textId="77777777" w:rsidR="00FC2402" w:rsidRPr="00C15639" w:rsidRDefault="00FC2402" w:rsidP="002D3EBF">
            <w:pPr>
              <w:pStyle w:val="1ff2"/>
              <w:spacing w:line="360" w:lineRule="auto"/>
              <w:jc w:val="center"/>
              <w:rPr>
                <w:sz w:val="24"/>
                <w:szCs w:val="24"/>
              </w:rPr>
            </w:pPr>
            <w:r w:rsidRPr="00C15639">
              <w:rPr>
                <w:sz w:val="24"/>
                <w:szCs w:val="24"/>
              </w:rPr>
              <w:t>Исследование на уровень галактоманнана лаважа, сыворотки.</w:t>
            </w:r>
          </w:p>
        </w:tc>
        <w:tc>
          <w:tcPr>
            <w:tcW w:w="2659" w:type="dxa"/>
            <w:gridSpan w:val="16"/>
            <w:tcBorders>
              <w:top w:val="single" w:sz="6" w:space="0" w:color="auto"/>
              <w:left w:val="single" w:sz="6" w:space="0" w:color="auto"/>
              <w:bottom w:val="single" w:sz="6" w:space="0" w:color="auto"/>
              <w:right w:val="single" w:sz="6" w:space="0" w:color="auto"/>
            </w:tcBorders>
          </w:tcPr>
          <w:p w14:paraId="3EFFAA21" w14:textId="77777777" w:rsidR="00FC2402" w:rsidRPr="00C15639" w:rsidRDefault="00FC2402" w:rsidP="002D3EBF">
            <w:pPr>
              <w:pStyle w:val="1ff2"/>
              <w:spacing w:line="360" w:lineRule="auto"/>
              <w:jc w:val="center"/>
              <w:rPr>
                <w:sz w:val="24"/>
                <w:szCs w:val="24"/>
              </w:rPr>
            </w:pPr>
            <w:r w:rsidRPr="00C15639">
              <w:rPr>
                <w:sz w:val="24"/>
                <w:szCs w:val="24"/>
              </w:rPr>
              <w:t>Бактериоскопия: окраски по Граму, Романовскому-Гимзе, Циль-Нильсену</w:t>
            </w:r>
          </w:p>
        </w:tc>
        <w:tc>
          <w:tcPr>
            <w:tcW w:w="1896" w:type="dxa"/>
            <w:gridSpan w:val="20"/>
            <w:tcBorders>
              <w:top w:val="single" w:sz="6" w:space="0" w:color="auto"/>
              <w:left w:val="single" w:sz="6" w:space="0" w:color="auto"/>
              <w:bottom w:val="single" w:sz="6" w:space="0" w:color="auto"/>
              <w:right w:val="single" w:sz="6" w:space="0" w:color="auto"/>
            </w:tcBorders>
          </w:tcPr>
          <w:p w14:paraId="712E82CF" w14:textId="77777777" w:rsidR="00FC2402" w:rsidRPr="00C15639" w:rsidRDefault="00FC2402" w:rsidP="002D3EBF">
            <w:pPr>
              <w:pStyle w:val="1ff2"/>
              <w:spacing w:line="360" w:lineRule="auto"/>
              <w:jc w:val="center"/>
              <w:rPr>
                <w:sz w:val="24"/>
                <w:szCs w:val="24"/>
              </w:rPr>
            </w:pPr>
            <w:r w:rsidRPr="00C15639">
              <w:rPr>
                <w:sz w:val="24"/>
                <w:szCs w:val="24"/>
              </w:rPr>
              <w:t>Цитологическое исследование: окраска по Романовскому-Гимзе</w:t>
            </w:r>
          </w:p>
        </w:tc>
        <w:tc>
          <w:tcPr>
            <w:tcW w:w="2551" w:type="dxa"/>
            <w:gridSpan w:val="26"/>
            <w:tcBorders>
              <w:top w:val="single" w:sz="6" w:space="0" w:color="auto"/>
              <w:left w:val="single" w:sz="6" w:space="0" w:color="auto"/>
              <w:bottom w:val="single" w:sz="6" w:space="0" w:color="auto"/>
              <w:right w:val="single" w:sz="6" w:space="0" w:color="auto"/>
            </w:tcBorders>
          </w:tcPr>
          <w:p w14:paraId="205D42B3" w14:textId="77777777" w:rsidR="00FC2402" w:rsidRPr="00C15639" w:rsidRDefault="00FC2402" w:rsidP="002D3EBF">
            <w:pPr>
              <w:pStyle w:val="1ff2"/>
              <w:spacing w:line="360" w:lineRule="auto"/>
              <w:rPr>
                <w:sz w:val="24"/>
                <w:szCs w:val="24"/>
              </w:rPr>
            </w:pPr>
            <w:r w:rsidRPr="00C15639">
              <w:rPr>
                <w:sz w:val="24"/>
                <w:szCs w:val="24"/>
              </w:rPr>
              <w:t>Выявление пневмоцист в мазках по Романовскому-Гимза, РИФ</w:t>
            </w:r>
          </w:p>
        </w:tc>
        <w:tc>
          <w:tcPr>
            <w:tcW w:w="3691" w:type="dxa"/>
            <w:gridSpan w:val="34"/>
            <w:tcBorders>
              <w:top w:val="single" w:sz="6" w:space="0" w:color="auto"/>
              <w:bottom w:val="single" w:sz="6" w:space="0" w:color="auto"/>
              <w:right w:val="single" w:sz="6" w:space="0" w:color="auto"/>
            </w:tcBorders>
          </w:tcPr>
          <w:p w14:paraId="34D49E7A" w14:textId="77777777" w:rsidR="00FC2402" w:rsidRPr="00C15639" w:rsidRDefault="00FC2402" w:rsidP="002D3EBF">
            <w:pPr>
              <w:pStyle w:val="1ff2"/>
              <w:spacing w:line="360" w:lineRule="auto"/>
              <w:rPr>
                <w:sz w:val="24"/>
                <w:szCs w:val="24"/>
              </w:rPr>
            </w:pPr>
            <w:r w:rsidRPr="00C15639">
              <w:rPr>
                <w:sz w:val="24"/>
                <w:szCs w:val="24"/>
              </w:rPr>
              <w:t>Выявление ЦМВ методом ПЦР (кровь, лаваж), определение</w:t>
            </w:r>
          </w:p>
          <w:p w14:paraId="5BD072CE" w14:textId="77777777" w:rsidR="00FC2402" w:rsidRPr="00C15639" w:rsidRDefault="00FC2402" w:rsidP="002D3EBF">
            <w:pPr>
              <w:pStyle w:val="1ff2"/>
              <w:spacing w:line="360" w:lineRule="auto"/>
              <w:rPr>
                <w:sz w:val="24"/>
                <w:szCs w:val="24"/>
              </w:rPr>
            </w:pPr>
            <w:r w:rsidRPr="00C15639">
              <w:rPr>
                <w:sz w:val="24"/>
                <w:szCs w:val="24"/>
              </w:rPr>
              <w:t xml:space="preserve"> антител IgM и IgG в сыворотке</w:t>
            </w:r>
          </w:p>
        </w:tc>
      </w:tr>
      <w:tr w:rsidR="00FC2402" w:rsidRPr="00C15639" w14:paraId="06A30B0B" w14:textId="77777777" w:rsidTr="002D3EBF">
        <w:trPr>
          <w:gridAfter w:val="43"/>
          <w:wAfter w:w="7898" w:type="dxa"/>
          <w:trHeight w:val="240"/>
        </w:trPr>
        <w:tc>
          <w:tcPr>
            <w:tcW w:w="1184" w:type="dxa"/>
            <w:gridSpan w:val="6"/>
          </w:tcPr>
          <w:p w14:paraId="0048D73B" w14:textId="77777777" w:rsidR="00FC2402" w:rsidRPr="00C15639" w:rsidRDefault="00FC2402" w:rsidP="002D3EBF">
            <w:pPr>
              <w:pStyle w:val="1ff2"/>
              <w:spacing w:line="360" w:lineRule="auto"/>
              <w:rPr>
                <w:sz w:val="24"/>
                <w:szCs w:val="24"/>
              </w:rPr>
            </w:pPr>
          </w:p>
        </w:tc>
        <w:tc>
          <w:tcPr>
            <w:tcW w:w="443" w:type="dxa"/>
            <w:gridSpan w:val="4"/>
            <w:tcBorders>
              <w:left w:val="single" w:sz="6" w:space="0" w:color="auto"/>
            </w:tcBorders>
          </w:tcPr>
          <w:p w14:paraId="0575A29E" w14:textId="77777777" w:rsidR="00FC2402" w:rsidRPr="00C15639" w:rsidRDefault="00FC2402" w:rsidP="002D3EBF">
            <w:pPr>
              <w:pStyle w:val="1ff2"/>
              <w:spacing w:line="360" w:lineRule="auto"/>
              <w:rPr>
                <w:sz w:val="24"/>
                <w:szCs w:val="24"/>
              </w:rPr>
            </w:pPr>
          </w:p>
        </w:tc>
        <w:tc>
          <w:tcPr>
            <w:tcW w:w="425" w:type="dxa"/>
            <w:gridSpan w:val="3"/>
          </w:tcPr>
          <w:p w14:paraId="0CEC3303" w14:textId="77777777" w:rsidR="00FC2402" w:rsidRPr="00C15639" w:rsidRDefault="00FC2402" w:rsidP="002D3EBF">
            <w:pPr>
              <w:pStyle w:val="1ff2"/>
              <w:spacing w:line="360" w:lineRule="auto"/>
              <w:rPr>
                <w:sz w:val="24"/>
                <w:szCs w:val="24"/>
              </w:rPr>
            </w:pPr>
          </w:p>
        </w:tc>
        <w:tc>
          <w:tcPr>
            <w:tcW w:w="7233" w:type="dxa"/>
            <w:gridSpan w:val="48"/>
            <w:tcBorders>
              <w:right w:val="single" w:sz="6" w:space="0" w:color="auto"/>
            </w:tcBorders>
          </w:tcPr>
          <w:p w14:paraId="5C6DB0FF" w14:textId="77777777" w:rsidR="00FC2402" w:rsidRPr="00C15639" w:rsidRDefault="00FC2402" w:rsidP="002D3EBF">
            <w:pPr>
              <w:pStyle w:val="1ff2"/>
              <w:spacing w:line="360" w:lineRule="auto"/>
              <w:rPr>
                <w:sz w:val="24"/>
                <w:szCs w:val="24"/>
              </w:rPr>
            </w:pPr>
          </w:p>
        </w:tc>
        <w:tc>
          <w:tcPr>
            <w:tcW w:w="1440" w:type="dxa"/>
            <w:gridSpan w:val="14"/>
            <w:tcBorders>
              <w:left w:val="nil"/>
            </w:tcBorders>
          </w:tcPr>
          <w:p w14:paraId="772C156A" w14:textId="77777777" w:rsidR="00FC2402" w:rsidRPr="00C15639" w:rsidRDefault="00FC2402" w:rsidP="002D3EBF">
            <w:pPr>
              <w:pStyle w:val="1ff2"/>
              <w:spacing w:line="360" w:lineRule="auto"/>
              <w:rPr>
                <w:sz w:val="24"/>
                <w:szCs w:val="24"/>
              </w:rPr>
            </w:pPr>
          </w:p>
        </w:tc>
        <w:tc>
          <w:tcPr>
            <w:tcW w:w="1414" w:type="dxa"/>
            <w:gridSpan w:val="17"/>
          </w:tcPr>
          <w:p w14:paraId="713E85E1" w14:textId="77777777" w:rsidR="00FC2402" w:rsidRPr="00C15639" w:rsidRDefault="00FC2402" w:rsidP="002D3EBF"/>
        </w:tc>
      </w:tr>
      <w:tr w:rsidR="00FC2402" w:rsidRPr="00C15639" w14:paraId="775DF253" w14:textId="77777777" w:rsidTr="002D3EBF">
        <w:trPr>
          <w:gridAfter w:val="17"/>
          <w:wAfter w:w="5165" w:type="dxa"/>
        </w:trPr>
        <w:tc>
          <w:tcPr>
            <w:tcW w:w="3044" w:type="dxa"/>
            <w:gridSpan w:val="18"/>
            <w:tcBorders>
              <w:top w:val="single" w:sz="6" w:space="0" w:color="auto"/>
              <w:left w:val="single" w:sz="6" w:space="0" w:color="auto"/>
              <w:bottom w:val="single" w:sz="6" w:space="0" w:color="auto"/>
              <w:right w:val="single" w:sz="6" w:space="0" w:color="auto"/>
            </w:tcBorders>
          </w:tcPr>
          <w:p w14:paraId="37EB53AD" w14:textId="77777777" w:rsidR="00FC2402" w:rsidRPr="00C15639" w:rsidRDefault="00FC2402" w:rsidP="002D3EBF">
            <w:pPr>
              <w:pStyle w:val="1ff2"/>
              <w:spacing w:line="360" w:lineRule="auto"/>
              <w:rPr>
                <w:sz w:val="24"/>
                <w:szCs w:val="24"/>
              </w:rPr>
            </w:pPr>
            <w:r w:rsidRPr="00C15639">
              <w:rPr>
                <w:sz w:val="24"/>
                <w:szCs w:val="24"/>
              </w:rPr>
              <w:t>Диагноз установлен</w:t>
            </w:r>
          </w:p>
        </w:tc>
        <w:tc>
          <w:tcPr>
            <w:tcW w:w="4496" w:type="dxa"/>
            <w:gridSpan w:val="27"/>
            <w:tcBorders>
              <w:left w:val="nil"/>
              <w:right w:val="single" w:sz="6" w:space="0" w:color="auto"/>
            </w:tcBorders>
          </w:tcPr>
          <w:p w14:paraId="59F5F3E8" w14:textId="77777777" w:rsidR="00FC2402" w:rsidRPr="00C15639" w:rsidRDefault="00FC2402" w:rsidP="002D3EBF">
            <w:pPr>
              <w:pStyle w:val="1ff2"/>
              <w:spacing w:line="360" w:lineRule="auto"/>
              <w:jc w:val="center"/>
              <w:rPr>
                <w:sz w:val="24"/>
                <w:szCs w:val="24"/>
              </w:rPr>
            </w:pPr>
          </w:p>
        </w:tc>
        <w:tc>
          <w:tcPr>
            <w:tcW w:w="4279" w:type="dxa"/>
            <w:gridSpan w:val="42"/>
            <w:tcBorders>
              <w:top w:val="single" w:sz="6" w:space="0" w:color="auto"/>
              <w:left w:val="single" w:sz="6" w:space="0" w:color="auto"/>
              <w:bottom w:val="single" w:sz="6" w:space="0" w:color="auto"/>
              <w:right w:val="single" w:sz="6" w:space="0" w:color="auto"/>
            </w:tcBorders>
          </w:tcPr>
          <w:p w14:paraId="4B9ADFE0" w14:textId="77777777" w:rsidR="00FC2402" w:rsidRPr="00C15639" w:rsidRDefault="00FC2402" w:rsidP="002D3EBF">
            <w:pPr>
              <w:pStyle w:val="1ff2"/>
              <w:spacing w:line="360" w:lineRule="auto"/>
              <w:jc w:val="center"/>
              <w:rPr>
                <w:sz w:val="24"/>
                <w:szCs w:val="24"/>
              </w:rPr>
            </w:pPr>
            <w:r w:rsidRPr="00C15639">
              <w:rPr>
                <w:sz w:val="24"/>
                <w:szCs w:val="24"/>
              </w:rPr>
              <w:t>Диагноз не установлен</w:t>
            </w:r>
          </w:p>
        </w:tc>
        <w:tc>
          <w:tcPr>
            <w:tcW w:w="213" w:type="dxa"/>
            <w:gridSpan w:val="4"/>
          </w:tcPr>
          <w:p w14:paraId="0F8B70FD" w14:textId="77777777" w:rsidR="00FC2402" w:rsidRPr="00C15639" w:rsidRDefault="00FC2402" w:rsidP="002D3EBF">
            <w:pPr>
              <w:pStyle w:val="1ff2"/>
              <w:spacing w:line="360" w:lineRule="auto"/>
              <w:rPr>
                <w:sz w:val="24"/>
                <w:szCs w:val="24"/>
              </w:rPr>
            </w:pPr>
          </w:p>
        </w:tc>
        <w:tc>
          <w:tcPr>
            <w:tcW w:w="1420" w:type="dxa"/>
            <w:gridSpan w:val="15"/>
          </w:tcPr>
          <w:p w14:paraId="737A60DD" w14:textId="77777777" w:rsidR="00FC2402" w:rsidRPr="00C15639" w:rsidRDefault="00FC2402" w:rsidP="002D3EBF"/>
        </w:tc>
        <w:tc>
          <w:tcPr>
            <w:tcW w:w="1420" w:type="dxa"/>
            <w:gridSpan w:val="12"/>
          </w:tcPr>
          <w:p w14:paraId="38E2FF03" w14:textId="77777777" w:rsidR="00FC2402" w:rsidRPr="00C15639" w:rsidRDefault="00FC2402" w:rsidP="002D3EBF"/>
        </w:tc>
      </w:tr>
      <w:tr w:rsidR="00FC2402" w:rsidRPr="00C15639" w14:paraId="2971715C" w14:textId="77777777" w:rsidTr="002D3EBF">
        <w:trPr>
          <w:gridAfter w:val="16"/>
          <w:wAfter w:w="5017" w:type="dxa"/>
        </w:trPr>
        <w:tc>
          <w:tcPr>
            <w:tcW w:w="1201" w:type="dxa"/>
            <w:gridSpan w:val="7"/>
            <w:tcBorders>
              <w:right w:val="single" w:sz="6" w:space="0" w:color="auto"/>
            </w:tcBorders>
          </w:tcPr>
          <w:p w14:paraId="6A264AFE" w14:textId="77777777" w:rsidR="00FC2402" w:rsidRPr="00C15639" w:rsidRDefault="00FC2402" w:rsidP="002D3EBF">
            <w:pPr>
              <w:pStyle w:val="1ff2"/>
              <w:spacing w:line="360" w:lineRule="auto"/>
              <w:rPr>
                <w:sz w:val="24"/>
                <w:szCs w:val="24"/>
              </w:rPr>
            </w:pPr>
          </w:p>
        </w:tc>
        <w:tc>
          <w:tcPr>
            <w:tcW w:w="7655" w:type="dxa"/>
            <w:gridSpan w:val="52"/>
            <w:tcBorders>
              <w:left w:val="nil"/>
              <w:right w:val="single" w:sz="6" w:space="0" w:color="auto"/>
            </w:tcBorders>
          </w:tcPr>
          <w:p w14:paraId="5A17E164" w14:textId="77777777" w:rsidR="00FC2402" w:rsidRPr="00C15639" w:rsidRDefault="00FC2402" w:rsidP="002D3EBF">
            <w:pPr>
              <w:pStyle w:val="1ff2"/>
              <w:spacing w:line="360" w:lineRule="auto"/>
              <w:jc w:val="center"/>
              <w:rPr>
                <w:sz w:val="24"/>
                <w:szCs w:val="24"/>
              </w:rPr>
            </w:pPr>
          </w:p>
        </w:tc>
        <w:tc>
          <w:tcPr>
            <w:tcW w:w="1902" w:type="dxa"/>
            <w:gridSpan w:val="18"/>
            <w:tcBorders>
              <w:left w:val="nil"/>
            </w:tcBorders>
          </w:tcPr>
          <w:p w14:paraId="612EA17A" w14:textId="77777777" w:rsidR="00FC2402" w:rsidRPr="00C15639" w:rsidRDefault="00FC2402" w:rsidP="002D3EBF">
            <w:pPr>
              <w:pStyle w:val="1ff2"/>
              <w:spacing w:line="360" w:lineRule="auto"/>
              <w:rPr>
                <w:sz w:val="24"/>
                <w:szCs w:val="24"/>
              </w:rPr>
            </w:pPr>
          </w:p>
        </w:tc>
        <w:tc>
          <w:tcPr>
            <w:tcW w:w="1422" w:type="dxa"/>
            <w:gridSpan w:val="17"/>
          </w:tcPr>
          <w:p w14:paraId="54F5B197" w14:textId="77777777" w:rsidR="00FC2402" w:rsidRPr="00C15639" w:rsidRDefault="00FC2402" w:rsidP="002D3EBF"/>
        </w:tc>
        <w:tc>
          <w:tcPr>
            <w:tcW w:w="1420" w:type="dxa"/>
            <w:gridSpan w:val="15"/>
          </w:tcPr>
          <w:p w14:paraId="70AAD9C0" w14:textId="77777777" w:rsidR="00FC2402" w:rsidRPr="00C15639" w:rsidRDefault="00FC2402" w:rsidP="002D3EBF"/>
        </w:tc>
        <w:tc>
          <w:tcPr>
            <w:tcW w:w="1420" w:type="dxa"/>
            <w:gridSpan w:val="10"/>
          </w:tcPr>
          <w:p w14:paraId="65708A2B" w14:textId="77777777" w:rsidR="00FC2402" w:rsidRPr="00C15639" w:rsidRDefault="00FC2402" w:rsidP="002D3EBF"/>
        </w:tc>
      </w:tr>
      <w:tr w:rsidR="00FC2402" w:rsidRPr="00C15639" w14:paraId="00141724" w14:textId="77777777" w:rsidTr="002D3EBF">
        <w:trPr>
          <w:gridAfter w:val="16"/>
          <w:wAfter w:w="5017" w:type="dxa"/>
        </w:trPr>
        <w:tc>
          <w:tcPr>
            <w:tcW w:w="3044" w:type="dxa"/>
            <w:gridSpan w:val="18"/>
            <w:tcBorders>
              <w:top w:val="single" w:sz="6" w:space="0" w:color="auto"/>
              <w:left w:val="single" w:sz="6" w:space="0" w:color="auto"/>
              <w:bottom w:val="single" w:sz="6" w:space="0" w:color="auto"/>
              <w:right w:val="single" w:sz="6" w:space="0" w:color="auto"/>
            </w:tcBorders>
          </w:tcPr>
          <w:p w14:paraId="001692D1" w14:textId="77777777" w:rsidR="00FC2402" w:rsidRPr="00C15639" w:rsidRDefault="00FC2402" w:rsidP="002D3EBF">
            <w:pPr>
              <w:pStyle w:val="1ff2"/>
              <w:spacing w:line="360" w:lineRule="auto"/>
              <w:jc w:val="center"/>
              <w:rPr>
                <w:sz w:val="24"/>
                <w:szCs w:val="24"/>
              </w:rPr>
            </w:pPr>
            <w:r w:rsidRPr="00C15639">
              <w:rPr>
                <w:sz w:val="24"/>
                <w:szCs w:val="24"/>
              </w:rPr>
              <w:t>Лечение 3-10 дней</w:t>
            </w:r>
          </w:p>
        </w:tc>
        <w:tc>
          <w:tcPr>
            <w:tcW w:w="5812" w:type="dxa"/>
            <w:gridSpan w:val="41"/>
            <w:tcBorders>
              <w:left w:val="nil"/>
              <w:right w:val="single" w:sz="6" w:space="0" w:color="auto"/>
            </w:tcBorders>
          </w:tcPr>
          <w:p w14:paraId="7D0B1ED5" w14:textId="77777777" w:rsidR="00FC2402" w:rsidRPr="00C15639" w:rsidRDefault="00FC2402" w:rsidP="002D3EBF">
            <w:pPr>
              <w:pStyle w:val="1ff2"/>
              <w:spacing w:line="360" w:lineRule="auto"/>
              <w:jc w:val="center"/>
              <w:rPr>
                <w:sz w:val="24"/>
                <w:szCs w:val="24"/>
              </w:rPr>
            </w:pPr>
          </w:p>
        </w:tc>
        <w:tc>
          <w:tcPr>
            <w:tcW w:w="1902" w:type="dxa"/>
            <w:gridSpan w:val="18"/>
            <w:tcBorders>
              <w:left w:val="nil"/>
            </w:tcBorders>
          </w:tcPr>
          <w:p w14:paraId="2EAAD974" w14:textId="77777777" w:rsidR="00FC2402" w:rsidRPr="00C15639" w:rsidRDefault="00FC2402" w:rsidP="002D3EBF">
            <w:pPr>
              <w:pStyle w:val="1ff2"/>
              <w:spacing w:line="360" w:lineRule="auto"/>
              <w:rPr>
                <w:sz w:val="24"/>
                <w:szCs w:val="24"/>
              </w:rPr>
            </w:pPr>
          </w:p>
        </w:tc>
        <w:tc>
          <w:tcPr>
            <w:tcW w:w="1422" w:type="dxa"/>
            <w:gridSpan w:val="17"/>
          </w:tcPr>
          <w:p w14:paraId="6B64F302" w14:textId="77777777" w:rsidR="00FC2402" w:rsidRPr="00C15639" w:rsidRDefault="00FC2402" w:rsidP="002D3EBF"/>
        </w:tc>
        <w:tc>
          <w:tcPr>
            <w:tcW w:w="1420" w:type="dxa"/>
            <w:gridSpan w:val="15"/>
          </w:tcPr>
          <w:p w14:paraId="1ACB7297" w14:textId="77777777" w:rsidR="00FC2402" w:rsidRPr="00C15639" w:rsidRDefault="00FC2402" w:rsidP="002D3EBF"/>
        </w:tc>
        <w:tc>
          <w:tcPr>
            <w:tcW w:w="1420" w:type="dxa"/>
            <w:gridSpan w:val="10"/>
          </w:tcPr>
          <w:p w14:paraId="09F7BCD6" w14:textId="77777777" w:rsidR="00FC2402" w:rsidRPr="00C15639" w:rsidRDefault="00FC2402" w:rsidP="002D3EBF"/>
        </w:tc>
      </w:tr>
      <w:tr w:rsidR="00FC2402" w:rsidRPr="00C15639" w14:paraId="01155916" w14:textId="77777777" w:rsidTr="002D3EBF">
        <w:trPr>
          <w:gridAfter w:val="43"/>
          <w:wAfter w:w="7898" w:type="dxa"/>
        </w:trPr>
        <w:tc>
          <w:tcPr>
            <w:tcW w:w="1184" w:type="dxa"/>
            <w:gridSpan w:val="6"/>
          </w:tcPr>
          <w:p w14:paraId="1DC878CD" w14:textId="77777777" w:rsidR="00FC2402" w:rsidRPr="00C15639" w:rsidRDefault="00FC2402" w:rsidP="002D3EBF">
            <w:pPr>
              <w:pStyle w:val="1ff2"/>
              <w:spacing w:line="360" w:lineRule="auto"/>
              <w:rPr>
                <w:sz w:val="24"/>
                <w:szCs w:val="24"/>
              </w:rPr>
            </w:pPr>
          </w:p>
        </w:tc>
        <w:tc>
          <w:tcPr>
            <w:tcW w:w="1297" w:type="dxa"/>
            <w:gridSpan w:val="8"/>
            <w:tcBorders>
              <w:left w:val="single" w:sz="6" w:space="0" w:color="auto"/>
            </w:tcBorders>
          </w:tcPr>
          <w:p w14:paraId="2ECF1735" w14:textId="77777777" w:rsidR="00FC2402" w:rsidRPr="00C15639" w:rsidRDefault="00FC2402" w:rsidP="002D3EBF">
            <w:pPr>
              <w:pStyle w:val="1ff2"/>
              <w:spacing w:line="360" w:lineRule="auto"/>
              <w:rPr>
                <w:sz w:val="24"/>
                <w:szCs w:val="24"/>
              </w:rPr>
            </w:pPr>
          </w:p>
        </w:tc>
        <w:tc>
          <w:tcPr>
            <w:tcW w:w="1981" w:type="dxa"/>
            <w:gridSpan w:val="13"/>
            <w:tcBorders>
              <w:top w:val="single" w:sz="6" w:space="0" w:color="auto"/>
              <w:right w:val="single" w:sz="6" w:space="0" w:color="auto"/>
            </w:tcBorders>
          </w:tcPr>
          <w:p w14:paraId="59BA1F59" w14:textId="77777777" w:rsidR="00FC2402" w:rsidRPr="00C15639" w:rsidRDefault="00FC2402" w:rsidP="002D3EBF">
            <w:pPr>
              <w:pStyle w:val="1ff2"/>
              <w:spacing w:line="360" w:lineRule="auto"/>
              <w:rPr>
                <w:sz w:val="24"/>
                <w:szCs w:val="24"/>
              </w:rPr>
            </w:pPr>
          </w:p>
        </w:tc>
        <w:tc>
          <w:tcPr>
            <w:tcW w:w="4394" w:type="dxa"/>
            <w:gridSpan w:val="32"/>
            <w:tcBorders>
              <w:left w:val="nil"/>
            </w:tcBorders>
          </w:tcPr>
          <w:p w14:paraId="54518407" w14:textId="77777777" w:rsidR="00FC2402" w:rsidRPr="00C15639" w:rsidRDefault="00FC2402" w:rsidP="002D3EBF">
            <w:pPr>
              <w:pStyle w:val="1ff2"/>
              <w:spacing w:line="360" w:lineRule="auto"/>
              <w:rPr>
                <w:sz w:val="24"/>
                <w:szCs w:val="24"/>
              </w:rPr>
            </w:pPr>
          </w:p>
        </w:tc>
        <w:tc>
          <w:tcPr>
            <w:tcW w:w="1869" w:type="dxa"/>
            <w:gridSpan w:val="16"/>
            <w:tcBorders>
              <w:left w:val="single" w:sz="6" w:space="0" w:color="auto"/>
            </w:tcBorders>
          </w:tcPr>
          <w:p w14:paraId="5642F38F" w14:textId="77777777" w:rsidR="00FC2402" w:rsidRPr="00C15639" w:rsidRDefault="00FC2402" w:rsidP="002D3EBF">
            <w:pPr>
              <w:pStyle w:val="1ff2"/>
              <w:spacing w:line="360" w:lineRule="auto"/>
              <w:rPr>
                <w:sz w:val="24"/>
                <w:szCs w:val="24"/>
              </w:rPr>
            </w:pPr>
          </w:p>
        </w:tc>
        <w:tc>
          <w:tcPr>
            <w:tcW w:w="1414" w:type="dxa"/>
            <w:gridSpan w:val="17"/>
          </w:tcPr>
          <w:p w14:paraId="618687D1" w14:textId="77777777" w:rsidR="00FC2402" w:rsidRPr="00C15639" w:rsidRDefault="00FC2402" w:rsidP="002D3EBF"/>
        </w:tc>
      </w:tr>
      <w:tr w:rsidR="00FC2402" w:rsidRPr="00C15639" w14:paraId="446A814E" w14:textId="77777777" w:rsidTr="002D3EBF">
        <w:trPr>
          <w:gridAfter w:val="26"/>
          <w:wAfter w:w="6437" w:type="dxa"/>
        </w:trPr>
        <w:tc>
          <w:tcPr>
            <w:tcW w:w="2619" w:type="dxa"/>
            <w:gridSpan w:val="16"/>
            <w:tcBorders>
              <w:top w:val="single" w:sz="6" w:space="0" w:color="auto"/>
              <w:left w:val="single" w:sz="6" w:space="0" w:color="auto"/>
              <w:bottom w:val="single" w:sz="6" w:space="0" w:color="auto"/>
              <w:right w:val="single" w:sz="6" w:space="0" w:color="auto"/>
            </w:tcBorders>
          </w:tcPr>
          <w:p w14:paraId="2B0753A5" w14:textId="77777777" w:rsidR="00FC2402" w:rsidRPr="00C15639" w:rsidRDefault="00FC2402" w:rsidP="002D3EBF">
            <w:pPr>
              <w:pStyle w:val="1ff2"/>
              <w:spacing w:line="360" w:lineRule="auto"/>
              <w:rPr>
                <w:sz w:val="24"/>
                <w:szCs w:val="24"/>
              </w:rPr>
            </w:pPr>
            <w:r w:rsidRPr="00C15639">
              <w:rPr>
                <w:sz w:val="24"/>
                <w:szCs w:val="24"/>
              </w:rPr>
              <w:t>Лечение эффективно</w:t>
            </w:r>
          </w:p>
        </w:tc>
        <w:tc>
          <w:tcPr>
            <w:tcW w:w="425" w:type="dxa"/>
            <w:gridSpan w:val="2"/>
            <w:tcBorders>
              <w:left w:val="nil"/>
            </w:tcBorders>
          </w:tcPr>
          <w:p w14:paraId="5320B2B0" w14:textId="77777777" w:rsidR="00FC2402" w:rsidRPr="00C15639" w:rsidRDefault="00FC2402" w:rsidP="002D3EBF">
            <w:pPr>
              <w:pStyle w:val="1ff2"/>
              <w:spacing w:line="360" w:lineRule="auto"/>
              <w:rPr>
                <w:sz w:val="24"/>
                <w:szCs w:val="24"/>
              </w:rPr>
            </w:pPr>
          </w:p>
        </w:tc>
        <w:tc>
          <w:tcPr>
            <w:tcW w:w="5327" w:type="dxa"/>
            <w:gridSpan w:val="36"/>
            <w:tcBorders>
              <w:top w:val="single" w:sz="6" w:space="0" w:color="auto"/>
              <w:left w:val="single" w:sz="6" w:space="0" w:color="auto"/>
              <w:bottom w:val="single" w:sz="6" w:space="0" w:color="auto"/>
              <w:right w:val="single" w:sz="6" w:space="0" w:color="auto"/>
            </w:tcBorders>
          </w:tcPr>
          <w:p w14:paraId="2873F5CC" w14:textId="77777777" w:rsidR="00FC2402" w:rsidRPr="00C15639" w:rsidRDefault="00FC2402" w:rsidP="002D3EBF">
            <w:pPr>
              <w:pStyle w:val="1ff2"/>
              <w:spacing w:line="360" w:lineRule="auto"/>
              <w:jc w:val="center"/>
              <w:rPr>
                <w:sz w:val="24"/>
                <w:szCs w:val="24"/>
              </w:rPr>
            </w:pPr>
            <w:r w:rsidRPr="00C15639">
              <w:rPr>
                <w:sz w:val="24"/>
                <w:szCs w:val="24"/>
              </w:rPr>
              <w:t>Отсутствует или недостаточный эффект лечения</w:t>
            </w:r>
          </w:p>
        </w:tc>
        <w:tc>
          <w:tcPr>
            <w:tcW w:w="485" w:type="dxa"/>
            <w:gridSpan w:val="5"/>
            <w:tcBorders>
              <w:left w:val="nil"/>
            </w:tcBorders>
          </w:tcPr>
          <w:p w14:paraId="03A96BD4" w14:textId="77777777" w:rsidR="00FC2402" w:rsidRPr="00C15639" w:rsidRDefault="00FC2402" w:rsidP="002D3EBF">
            <w:pPr>
              <w:pStyle w:val="1ff2"/>
              <w:spacing w:line="360" w:lineRule="auto"/>
              <w:rPr>
                <w:sz w:val="24"/>
                <w:szCs w:val="24"/>
              </w:rPr>
            </w:pPr>
          </w:p>
        </w:tc>
        <w:tc>
          <w:tcPr>
            <w:tcW w:w="3324" w:type="dxa"/>
            <w:gridSpan w:val="35"/>
            <w:tcBorders>
              <w:left w:val="single" w:sz="6" w:space="0" w:color="auto"/>
            </w:tcBorders>
          </w:tcPr>
          <w:p w14:paraId="159A59E4" w14:textId="77777777" w:rsidR="00FC2402" w:rsidRPr="00C15639" w:rsidRDefault="00FC2402" w:rsidP="002D3EBF"/>
        </w:tc>
        <w:tc>
          <w:tcPr>
            <w:tcW w:w="1420" w:type="dxa"/>
            <w:gridSpan w:val="15"/>
          </w:tcPr>
          <w:p w14:paraId="5D774A4E" w14:textId="77777777" w:rsidR="00FC2402" w:rsidRPr="00C15639" w:rsidRDefault="00FC2402" w:rsidP="002D3EBF"/>
        </w:tc>
      </w:tr>
      <w:tr w:rsidR="00FC2402" w:rsidRPr="00C15639" w14:paraId="48D16C6A" w14:textId="77777777" w:rsidTr="002D3EBF">
        <w:trPr>
          <w:gridAfter w:val="43"/>
          <w:wAfter w:w="7898" w:type="dxa"/>
        </w:trPr>
        <w:tc>
          <w:tcPr>
            <w:tcW w:w="1184" w:type="dxa"/>
            <w:gridSpan w:val="6"/>
          </w:tcPr>
          <w:p w14:paraId="44EF678D" w14:textId="77777777" w:rsidR="00FC2402" w:rsidRPr="00C15639" w:rsidRDefault="00FC2402" w:rsidP="002D3EBF">
            <w:pPr>
              <w:pStyle w:val="1ff2"/>
              <w:spacing w:line="360" w:lineRule="auto"/>
              <w:rPr>
                <w:sz w:val="24"/>
                <w:szCs w:val="24"/>
              </w:rPr>
            </w:pPr>
          </w:p>
        </w:tc>
        <w:tc>
          <w:tcPr>
            <w:tcW w:w="1297" w:type="dxa"/>
            <w:gridSpan w:val="8"/>
          </w:tcPr>
          <w:p w14:paraId="2F645A60" w14:textId="77777777" w:rsidR="00FC2402" w:rsidRPr="00C15639" w:rsidRDefault="00FC2402" w:rsidP="002D3EBF">
            <w:pPr>
              <w:pStyle w:val="1ff2"/>
              <w:spacing w:line="360" w:lineRule="auto"/>
              <w:rPr>
                <w:sz w:val="24"/>
                <w:szCs w:val="24"/>
              </w:rPr>
            </w:pPr>
          </w:p>
        </w:tc>
        <w:tc>
          <w:tcPr>
            <w:tcW w:w="1046" w:type="dxa"/>
            <w:gridSpan w:val="10"/>
          </w:tcPr>
          <w:p w14:paraId="37EBD9A9" w14:textId="77777777" w:rsidR="00FC2402" w:rsidRPr="00C15639" w:rsidRDefault="00FC2402" w:rsidP="002D3EBF">
            <w:pPr>
              <w:pStyle w:val="1ff2"/>
              <w:spacing w:line="360" w:lineRule="auto"/>
              <w:rPr>
                <w:sz w:val="24"/>
                <w:szCs w:val="24"/>
              </w:rPr>
            </w:pPr>
          </w:p>
        </w:tc>
        <w:tc>
          <w:tcPr>
            <w:tcW w:w="3023" w:type="dxa"/>
            <w:gridSpan w:val="15"/>
            <w:tcBorders>
              <w:right w:val="single" w:sz="6" w:space="0" w:color="auto"/>
            </w:tcBorders>
          </w:tcPr>
          <w:p w14:paraId="6E09F87E" w14:textId="77777777" w:rsidR="00FC2402" w:rsidRPr="00C15639" w:rsidRDefault="00FC2402" w:rsidP="002D3EBF">
            <w:pPr>
              <w:pStyle w:val="1ff2"/>
              <w:spacing w:line="360" w:lineRule="auto"/>
              <w:rPr>
                <w:sz w:val="24"/>
                <w:szCs w:val="24"/>
              </w:rPr>
            </w:pPr>
          </w:p>
        </w:tc>
        <w:tc>
          <w:tcPr>
            <w:tcW w:w="2306" w:type="dxa"/>
            <w:gridSpan w:val="20"/>
            <w:tcBorders>
              <w:left w:val="nil"/>
              <w:right w:val="single" w:sz="6" w:space="0" w:color="auto"/>
            </w:tcBorders>
          </w:tcPr>
          <w:p w14:paraId="0F8EDA49" w14:textId="77777777" w:rsidR="00FC2402" w:rsidRPr="00C15639" w:rsidRDefault="00FC2402" w:rsidP="002D3EBF">
            <w:pPr>
              <w:pStyle w:val="1ff2"/>
              <w:spacing w:line="360" w:lineRule="auto"/>
              <w:rPr>
                <w:sz w:val="24"/>
                <w:szCs w:val="24"/>
              </w:rPr>
            </w:pPr>
          </w:p>
        </w:tc>
        <w:tc>
          <w:tcPr>
            <w:tcW w:w="3283" w:type="dxa"/>
            <w:gridSpan w:val="33"/>
            <w:tcBorders>
              <w:left w:val="nil"/>
            </w:tcBorders>
          </w:tcPr>
          <w:p w14:paraId="7658D432" w14:textId="77777777" w:rsidR="00FC2402" w:rsidRPr="00C15639" w:rsidRDefault="00FC2402" w:rsidP="002D3EBF"/>
        </w:tc>
      </w:tr>
      <w:tr w:rsidR="00FC2402" w:rsidRPr="00C15639" w14:paraId="449376F5" w14:textId="77777777" w:rsidTr="002D3EBF">
        <w:trPr>
          <w:gridAfter w:val="23"/>
          <w:wAfter w:w="6149" w:type="dxa"/>
        </w:trPr>
        <w:tc>
          <w:tcPr>
            <w:tcW w:w="3328" w:type="dxa"/>
            <w:gridSpan w:val="22"/>
          </w:tcPr>
          <w:p w14:paraId="2538E7DD" w14:textId="77777777" w:rsidR="00FC2402" w:rsidRPr="00C15639" w:rsidRDefault="00FC2402" w:rsidP="002D3EBF">
            <w:pPr>
              <w:pStyle w:val="1ff2"/>
              <w:spacing w:line="360" w:lineRule="auto"/>
              <w:rPr>
                <w:sz w:val="24"/>
                <w:szCs w:val="24"/>
              </w:rPr>
            </w:pPr>
          </w:p>
        </w:tc>
        <w:tc>
          <w:tcPr>
            <w:tcW w:w="6492" w:type="dxa"/>
            <w:gridSpan w:val="46"/>
            <w:tcBorders>
              <w:top w:val="single" w:sz="6" w:space="0" w:color="auto"/>
              <w:left w:val="single" w:sz="6" w:space="0" w:color="auto"/>
              <w:bottom w:val="single" w:sz="6" w:space="0" w:color="auto"/>
              <w:right w:val="single" w:sz="6" w:space="0" w:color="auto"/>
            </w:tcBorders>
          </w:tcPr>
          <w:p w14:paraId="1323DC75" w14:textId="77777777" w:rsidR="00FC2402" w:rsidRPr="00C15639" w:rsidRDefault="00FC2402" w:rsidP="002D3EBF">
            <w:pPr>
              <w:pStyle w:val="1ff2"/>
              <w:spacing w:line="360" w:lineRule="auto"/>
              <w:jc w:val="center"/>
              <w:rPr>
                <w:sz w:val="24"/>
                <w:szCs w:val="24"/>
              </w:rPr>
            </w:pPr>
            <w:r w:rsidRPr="00C15639">
              <w:rPr>
                <w:sz w:val="24"/>
                <w:szCs w:val="24"/>
              </w:rPr>
              <w:t xml:space="preserve">Биопсия легкого </w:t>
            </w:r>
          </w:p>
        </w:tc>
        <w:tc>
          <w:tcPr>
            <w:tcW w:w="171" w:type="dxa"/>
            <w:gridSpan w:val="3"/>
          </w:tcPr>
          <w:p w14:paraId="61CD3FCE" w14:textId="77777777" w:rsidR="00FC2402" w:rsidRPr="00C15639" w:rsidRDefault="00FC2402" w:rsidP="002D3EBF">
            <w:pPr>
              <w:pStyle w:val="1ff2"/>
              <w:spacing w:line="360" w:lineRule="auto"/>
              <w:rPr>
                <w:sz w:val="24"/>
                <w:szCs w:val="24"/>
              </w:rPr>
            </w:pPr>
          </w:p>
        </w:tc>
        <w:tc>
          <w:tcPr>
            <w:tcW w:w="1061" w:type="dxa"/>
            <w:gridSpan w:val="10"/>
          </w:tcPr>
          <w:p w14:paraId="1A15B0BC" w14:textId="77777777" w:rsidR="00FC2402" w:rsidRPr="00C15639" w:rsidRDefault="00FC2402" w:rsidP="002D3EBF">
            <w:pPr>
              <w:pStyle w:val="1ff2"/>
              <w:spacing w:line="360" w:lineRule="auto"/>
              <w:rPr>
                <w:sz w:val="24"/>
                <w:szCs w:val="24"/>
              </w:rPr>
            </w:pPr>
          </w:p>
        </w:tc>
        <w:tc>
          <w:tcPr>
            <w:tcW w:w="1418" w:type="dxa"/>
            <w:gridSpan w:val="18"/>
          </w:tcPr>
          <w:p w14:paraId="4D29C92E" w14:textId="77777777" w:rsidR="00FC2402" w:rsidRPr="00C15639" w:rsidRDefault="00FC2402" w:rsidP="002D3EBF"/>
        </w:tc>
        <w:tc>
          <w:tcPr>
            <w:tcW w:w="1418" w:type="dxa"/>
            <w:gridSpan w:val="13"/>
          </w:tcPr>
          <w:p w14:paraId="5717BBFB" w14:textId="77777777" w:rsidR="00FC2402" w:rsidRPr="00C15639" w:rsidRDefault="00FC2402" w:rsidP="002D3EBF"/>
        </w:tc>
      </w:tr>
      <w:tr w:rsidR="00FC2402" w:rsidRPr="00C15639" w14:paraId="335A0E85" w14:textId="77777777" w:rsidTr="002D3EBF">
        <w:trPr>
          <w:gridAfter w:val="40"/>
          <w:wAfter w:w="7775" w:type="dxa"/>
          <w:cantSplit/>
        </w:trPr>
        <w:tc>
          <w:tcPr>
            <w:tcW w:w="1064" w:type="dxa"/>
            <w:gridSpan w:val="5"/>
          </w:tcPr>
          <w:p w14:paraId="6847689F" w14:textId="77777777" w:rsidR="00FC2402" w:rsidRPr="00C15639" w:rsidRDefault="00FC2402" w:rsidP="002D3EBF">
            <w:pPr>
              <w:pStyle w:val="1ff2"/>
              <w:spacing w:line="360" w:lineRule="auto"/>
              <w:rPr>
                <w:sz w:val="24"/>
                <w:szCs w:val="24"/>
              </w:rPr>
            </w:pPr>
          </w:p>
        </w:tc>
        <w:tc>
          <w:tcPr>
            <w:tcW w:w="1701" w:type="dxa"/>
            <w:gridSpan w:val="12"/>
            <w:tcBorders>
              <w:top w:val="single" w:sz="6" w:space="0" w:color="auto"/>
              <w:left w:val="single" w:sz="6" w:space="0" w:color="auto"/>
            </w:tcBorders>
          </w:tcPr>
          <w:p w14:paraId="168590E1" w14:textId="77777777" w:rsidR="00FC2402" w:rsidRPr="00C15639" w:rsidRDefault="00FC2402" w:rsidP="002D3EBF">
            <w:pPr>
              <w:pStyle w:val="1ff2"/>
              <w:spacing w:line="360" w:lineRule="auto"/>
              <w:rPr>
                <w:sz w:val="24"/>
                <w:szCs w:val="24"/>
              </w:rPr>
            </w:pPr>
          </w:p>
        </w:tc>
        <w:tc>
          <w:tcPr>
            <w:tcW w:w="2109" w:type="dxa"/>
            <w:gridSpan w:val="12"/>
            <w:tcBorders>
              <w:top w:val="single" w:sz="6" w:space="0" w:color="auto"/>
              <w:left w:val="single" w:sz="6" w:space="0" w:color="auto"/>
              <w:bottom w:val="single" w:sz="6" w:space="0" w:color="auto"/>
              <w:right w:val="single" w:sz="6" w:space="0" w:color="auto"/>
            </w:tcBorders>
          </w:tcPr>
          <w:p w14:paraId="1D13B78C" w14:textId="77777777" w:rsidR="00FC2402" w:rsidRPr="00C15639" w:rsidRDefault="00FC2402" w:rsidP="002D3EBF">
            <w:pPr>
              <w:pStyle w:val="1ff2"/>
              <w:spacing w:line="360" w:lineRule="auto"/>
              <w:jc w:val="center"/>
              <w:rPr>
                <w:sz w:val="24"/>
                <w:szCs w:val="24"/>
              </w:rPr>
            </w:pPr>
          </w:p>
        </w:tc>
        <w:tc>
          <w:tcPr>
            <w:tcW w:w="2143" w:type="dxa"/>
            <w:gridSpan w:val="12"/>
            <w:tcBorders>
              <w:top w:val="single" w:sz="6" w:space="0" w:color="auto"/>
            </w:tcBorders>
          </w:tcPr>
          <w:p w14:paraId="187524FE" w14:textId="77777777" w:rsidR="00FC2402" w:rsidRPr="00C15639" w:rsidRDefault="00FC2402" w:rsidP="002D3EBF">
            <w:pPr>
              <w:pStyle w:val="1ff2"/>
              <w:spacing w:line="360" w:lineRule="auto"/>
              <w:rPr>
                <w:sz w:val="24"/>
                <w:szCs w:val="24"/>
              </w:rPr>
            </w:pPr>
          </w:p>
        </w:tc>
        <w:tc>
          <w:tcPr>
            <w:tcW w:w="1699" w:type="dxa"/>
            <w:gridSpan w:val="15"/>
            <w:tcBorders>
              <w:top w:val="single" w:sz="6" w:space="0" w:color="auto"/>
              <w:left w:val="single" w:sz="6" w:space="0" w:color="auto"/>
              <w:right w:val="single" w:sz="6" w:space="0" w:color="auto"/>
            </w:tcBorders>
          </w:tcPr>
          <w:p w14:paraId="6118E16A" w14:textId="77777777" w:rsidR="00FC2402" w:rsidRPr="00C15639" w:rsidRDefault="00FC2402" w:rsidP="002D3EBF">
            <w:pPr>
              <w:pStyle w:val="1ff2"/>
              <w:spacing w:line="360" w:lineRule="auto"/>
              <w:rPr>
                <w:sz w:val="24"/>
                <w:szCs w:val="24"/>
              </w:rPr>
            </w:pPr>
          </w:p>
        </w:tc>
        <w:tc>
          <w:tcPr>
            <w:tcW w:w="3546" w:type="dxa"/>
            <w:gridSpan w:val="39"/>
            <w:tcBorders>
              <w:top w:val="single" w:sz="6" w:space="0" w:color="auto"/>
              <w:right w:val="single" w:sz="6" w:space="0" w:color="auto"/>
            </w:tcBorders>
          </w:tcPr>
          <w:p w14:paraId="128C81BE" w14:textId="77777777" w:rsidR="00FC2402" w:rsidRPr="00C15639" w:rsidRDefault="00FC2402" w:rsidP="002D3EBF">
            <w:pPr>
              <w:pStyle w:val="1ff2"/>
              <w:spacing w:line="360" w:lineRule="auto"/>
              <w:rPr>
                <w:sz w:val="24"/>
                <w:szCs w:val="24"/>
              </w:rPr>
            </w:pPr>
          </w:p>
        </w:tc>
      </w:tr>
      <w:tr w:rsidR="00FC2402" w:rsidRPr="00C15639" w14:paraId="3E5E96B3" w14:textId="77777777" w:rsidTr="002D3EBF">
        <w:trPr>
          <w:gridAfter w:val="1"/>
          <w:cantSplit/>
        </w:trPr>
        <w:tc>
          <w:tcPr>
            <w:tcW w:w="1347" w:type="dxa"/>
            <w:gridSpan w:val="8"/>
            <w:tcBorders>
              <w:top w:val="single" w:sz="6" w:space="0" w:color="auto"/>
              <w:left w:val="single" w:sz="6" w:space="0" w:color="auto"/>
              <w:bottom w:val="single" w:sz="6" w:space="0" w:color="auto"/>
              <w:right w:val="single" w:sz="6" w:space="0" w:color="auto"/>
            </w:tcBorders>
          </w:tcPr>
          <w:p w14:paraId="20EBDC82" w14:textId="77777777" w:rsidR="00FC2402" w:rsidRPr="00C15639" w:rsidRDefault="00FC2402" w:rsidP="002D3EBF">
            <w:pPr>
              <w:pStyle w:val="1ff2"/>
              <w:spacing w:line="360" w:lineRule="auto"/>
              <w:rPr>
                <w:sz w:val="24"/>
                <w:szCs w:val="24"/>
              </w:rPr>
            </w:pPr>
            <w:r w:rsidRPr="00C15639">
              <w:rPr>
                <w:sz w:val="24"/>
                <w:szCs w:val="24"/>
              </w:rPr>
              <w:t>Цитология отпечатков</w:t>
            </w:r>
          </w:p>
        </w:tc>
        <w:tc>
          <w:tcPr>
            <w:tcW w:w="1843" w:type="dxa"/>
            <w:gridSpan w:val="13"/>
            <w:tcBorders>
              <w:top w:val="single" w:sz="6" w:space="0" w:color="auto"/>
              <w:left w:val="single" w:sz="6" w:space="0" w:color="auto"/>
              <w:bottom w:val="single" w:sz="6" w:space="0" w:color="auto"/>
              <w:right w:val="single" w:sz="6" w:space="0" w:color="auto"/>
            </w:tcBorders>
          </w:tcPr>
          <w:p w14:paraId="1377390D" w14:textId="77777777" w:rsidR="00FC2402" w:rsidRPr="00C15639" w:rsidRDefault="00FC2402" w:rsidP="002D3EBF">
            <w:pPr>
              <w:pStyle w:val="1ff2"/>
              <w:spacing w:line="360" w:lineRule="auto"/>
              <w:jc w:val="center"/>
              <w:rPr>
                <w:sz w:val="24"/>
                <w:szCs w:val="24"/>
              </w:rPr>
            </w:pPr>
            <w:r w:rsidRPr="00C15639">
              <w:rPr>
                <w:sz w:val="24"/>
                <w:szCs w:val="24"/>
              </w:rPr>
              <w:t>Гистологическое исследование</w:t>
            </w:r>
          </w:p>
        </w:tc>
        <w:tc>
          <w:tcPr>
            <w:tcW w:w="3118" w:type="dxa"/>
            <w:gridSpan w:val="17"/>
            <w:tcBorders>
              <w:top w:val="single" w:sz="6" w:space="0" w:color="auto"/>
              <w:left w:val="single" w:sz="6" w:space="0" w:color="auto"/>
              <w:bottom w:val="single" w:sz="6" w:space="0" w:color="auto"/>
              <w:right w:val="single" w:sz="6" w:space="0" w:color="auto"/>
            </w:tcBorders>
          </w:tcPr>
          <w:p w14:paraId="5FD468AF" w14:textId="77777777" w:rsidR="00FC2402" w:rsidRPr="00C15639" w:rsidRDefault="00FC2402" w:rsidP="002D3EBF">
            <w:pPr>
              <w:pStyle w:val="1ff2"/>
              <w:spacing w:line="360" w:lineRule="auto"/>
              <w:jc w:val="center"/>
              <w:rPr>
                <w:sz w:val="24"/>
                <w:szCs w:val="24"/>
              </w:rPr>
            </w:pPr>
            <w:r w:rsidRPr="00C15639">
              <w:rPr>
                <w:sz w:val="24"/>
                <w:szCs w:val="24"/>
              </w:rPr>
              <w:t>Бактериоскопия (окраски по Романовскому-Гимзе, Граму)</w:t>
            </w:r>
          </w:p>
        </w:tc>
        <w:tc>
          <w:tcPr>
            <w:tcW w:w="993" w:type="dxa"/>
            <w:gridSpan w:val="4"/>
            <w:tcBorders>
              <w:top w:val="single" w:sz="6" w:space="0" w:color="auto"/>
              <w:left w:val="single" w:sz="6" w:space="0" w:color="auto"/>
              <w:bottom w:val="single" w:sz="6" w:space="0" w:color="auto"/>
              <w:right w:val="single" w:sz="6" w:space="0" w:color="auto"/>
            </w:tcBorders>
          </w:tcPr>
          <w:p w14:paraId="72C0EDEB" w14:textId="77777777" w:rsidR="00FC2402" w:rsidRPr="00C15639" w:rsidRDefault="00FC2402" w:rsidP="002D3EBF">
            <w:pPr>
              <w:pStyle w:val="1ff2"/>
              <w:spacing w:line="360" w:lineRule="auto"/>
              <w:jc w:val="center"/>
              <w:rPr>
                <w:sz w:val="24"/>
                <w:szCs w:val="24"/>
              </w:rPr>
            </w:pPr>
            <w:r w:rsidRPr="00C15639">
              <w:rPr>
                <w:sz w:val="24"/>
                <w:szCs w:val="24"/>
              </w:rPr>
              <w:t>Посев ткани</w:t>
            </w:r>
          </w:p>
        </w:tc>
        <w:tc>
          <w:tcPr>
            <w:tcW w:w="12736" w:type="dxa"/>
            <w:gridSpan w:val="92"/>
            <w:tcBorders>
              <w:top w:val="single" w:sz="6" w:space="0" w:color="auto"/>
              <w:left w:val="single" w:sz="6" w:space="0" w:color="auto"/>
              <w:bottom w:val="single" w:sz="6" w:space="0" w:color="auto"/>
              <w:right w:val="single" w:sz="6" w:space="0" w:color="auto"/>
            </w:tcBorders>
          </w:tcPr>
          <w:p w14:paraId="6E74433C" w14:textId="77777777" w:rsidR="00FC2402" w:rsidRPr="00C15639" w:rsidRDefault="00FC2402" w:rsidP="002D3EBF">
            <w:pPr>
              <w:pStyle w:val="1ff2"/>
              <w:spacing w:line="360" w:lineRule="auto"/>
              <w:rPr>
                <w:sz w:val="24"/>
                <w:szCs w:val="24"/>
              </w:rPr>
            </w:pPr>
            <w:r w:rsidRPr="00C15639">
              <w:rPr>
                <w:sz w:val="24"/>
                <w:szCs w:val="24"/>
              </w:rPr>
              <w:t>Определение пневмоцист, ЦМВ, вируса Эпштейна-Барр</w:t>
            </w:r>
          </w:p>
          <w:p w14:paraId="7D44402A" w14:textId="77777777" w:rsidR="00FC2402" w:rsidRPr="00C15639" w:rsidRDefault="00FC2402" w:rsidP="002D3EBF">
            <w:pPr>
              <w:pStyle w:val="1ff2"/>
              <w:spacing w:line="360" w:lineRule="auto"/>
              <w:rPr>
                <w:sz w:val="24"/>
                <w:szCs w:val="24"/>
              </w:rPr>
            </w:pPr>
            <w:r w:rsidRPr="00C15639">
              <w:rPr>
                <w:sz w:val="24"/>
                <w:szCs w:val="24"/>
              </w:rPr>
              <w:t>Иммуногистохимическим методом</w:t>
            </w:r>
          </w:p>
        </w:tc>
      </w:tr>
    </w:tbl>
    <w:p w14:paraId="4DC82C37" w14:textId="77777777" w:rsidR="00FC2402" w:rsidRPr="00C15639" w:rsidRDefault="00FC2402" w:rsidP="00FC2402">
      <w:r w:rsidRPr="00C15639">
        <w:t>СКТ — компьютерная томография; ПЦР — полимеразная цепная реакция; РИФ — реакция иммунофлюоресценции; ЦМВ — цитомегаловирус.</w:t>
      </w:r>
    </w:p>
    <w:p w14:paraId="135515FF" w14:textId="77777777" w:rsidR="00FC2402" w:rsidRDefault="00FC2402" w:rsidP="00FC2402">
      <w:pPr>
        <w:pStyle w:val="Number1"/>
        <w:spacing w:before="0"/>
        <w:rPr>
          <w:color w:val="auto"/>
          <w:szCs w:val="24"/>
        </w:rPr>
        <w:sectPr w:rsidR="00FC2402" w:rsidSect="00C15639">
          <w:pgSz w:w="16838" w:h="11906" w:orient="landscape"/>
          <w:pgMar w:top="850" w:right="1134" w:bottom="1701" w:left="1134" w:header="708" w:footer="708" w:gutter="0"/>
          <w:cols w:space="708"/>
          <w:docGrid w:linePitch="360"/>
        </w:sectPr>
      </w:pPr>
    </w:p>
    <w:p w14:paraId="42398D36" w14:textId="77777777" w:rsidR="00FC2402" w:rsidRPr="00C15639" w:rsidRDefault="00FC2402" w:rsidP="00FC2402">
      <w:pPr>
        <w:pStyle w:val="Number1"/>
        <w:spacing w:before="0"/>
        <w:rPr>
          <w:color w:val="auto"/>
          <w:szCs w:val="24"/>
        </w:rPr>
      </w:pPr>
    </w:p>
    <w:p w14:paraId="5011CC0A" w14:textId="1361DF70" w:rsidR="009E28A6" w:rsidRPr="009E28A6" w:rsidRDefault="004D0FE7" w:rsidP="009E28A6">
      <w:pPr>
        <w:pStyle w:val="2"/>
        <w:spacing w:before="0"/>
      </w:pPr>
      <w:bookmarkStart w:id="87" w:name="_Toc66096851"/>
      <w:r w:rsidRPr="000322E4">
        <w:t>7.</w:t>
      </w:r>
      <w:r>
        <w:t xml:space="preserve">17 </w:t>
      </w:r>
      <w:bookmarkStart w:id="88" w:name="_Toc64478740"/>
      <w:bookmarkStart w:id="89" w:name="_Toc535849612"/>
      <w:r w:rsidR="009E28A6" w:rsidRPr="00F65F6F">
        <w:t>Диагностика и лечение почечной недостаточности в гематологии</w:t>
      </w:r>
      <w:bookmarkEnd w:id="87"/>
      <w:bookmarkEnd w:id="88"/>
    </w:p>
    <w:bookmarkEnd w:id="89"/>
    <w:p w14:paraId="485F5AC3" w14:textId="1EE72AE8" w:rsidR="009E28A6" w:rsidRPr="00F65F6F" w:rsidRDefault="009E28A6" w:rsidP="009E28A6">
      <w:pPr>
        <w:ind w:firstLine="708"/>
      </w:pPr>
      <w:r w:rsidRPr="00F65F6F">
        <w:t>Поражения почек у гематологических пациентов имеют многофакторный характер, включающий течение основного заболевания, нефротоксичность проводимой терапии, а также развитие таких осложнений, как сепсис, нарушение водно-электролитного и кислотно-щелочного гомеостаза. Проявления нефрологической патологии разнообразны, и могут манифестировать на любом этапе течения гематологического заболевания: во время диагностики, наблюдения, в период проведения противоопухолевого лечения или после его завершения. Патогенетические механизмы и формы повреждения почек при заболеваниях системы крови также разнообразны и включают поражения, вызванные инфильтрацией опухолевыми клетками паренхимы почек, паранеопластические гломерулонефриты, сдавление увеличенными лимфатическими узлами мочевыводящих структур, отложение в структурах нефрона  моноклонального иммуноглобулина, его фрагментов или  амилоида, поражение сосудов, метаболические нарушения и пр. (таб.1)</w:t>
      </w:r>
      <w:r>
        <w:t xml:space="preserve"> </w:t>
      </w:r>
      <w:r>
        <w:fldChar w:fldCharType="begin" w:fldLock="1"/>
      </w:r>
      <w:r w:rsidR="004C51FF">
        <w:instrText>ADDIN CSL_CITATION {"citationItems":[{"id":"ITEM-1","itemData":{"author":[{"dropping-particle":"","family":"Джумабаева","given":"Б.Т.","non-dropping-particle":"","parse-names":false,"suffix":""},{"dropping-particle":"","family":"Бирюкова","given":"Л.С.","non-dropping-particle":"","parse-names":false,"suffix":""},{"dropping-particle":"","family":"Варшавский","given":"В.А.","non-dropping-particle":"","parse-names":false,"suffix":""},{"dropping-particle":"","family":"Марьина","given":"С.А.","non-dropping-particle":"","parse-names":false,"suffix":""},{"dropping-particle":"","family":"Рощина","given":"Л.С.","non-dropping-particle":"","parse-names":false,"suffix":""},{"dropping-particle":"","family":"Джулакян","given":"У.Л.","non-dropping-particle":"","parse-names":false,"suffix":""},{"dropping-particle":"","family":"Столяревич","given":"Е.C.","non-dropping-particle":"","parse-names":false,"suffix":""}],"container-title":"Онкогематология","id":"ITEM-1","issue":"1","issued":{"date-parts":[["2017"]]},"page":"44-54","title":"Клинико-лабораторные и морфологические особенности поражения почек при лимфопролиферативных заболеваниях","type":"article-journal","volume":"7"},"uris":["http://www.mendeley.com/documents/?uuid=50a28e00-c058-46cf-b75a-5bfd40395f93"]},{"id":"ITEM-2","itemData":{"author":[{"dropping-particle":"","family":"Рехтина","given":"И.Г.","non-dropping-particle":"","parse-names":false,"suffix":""},{"dropping-particle":"","family":"Голицина","given":"Е.П.","non-dropping-particle":"","parse-names":false,"suffix":""},{"dropping-particle":"","family":"Варламова","given":"Е.Ю.","non-dropping-particle":"","parse-names":false,"suffix":""},{"dropping-particle":"","family":"Варшавский","given":"В.А.","non-dropping-particle":"","parse-names":false,"suffix":""},{"dropping-particle":"","family":"Киреева","given":"А.А.","non-dropping-particle":"","parse-names":false,"suffix":""},{"dropping-particle":"","family":"Бирюкова","given":"Л.С.","non-dropping-particle":"","parse-names":false,"suffix":""},{"dropping-particle":"","family":"Савченко","given":"В.Г.","non-dropping-particle":"","parse-names":false,"suffix":""}],"container-title":"Терапевтический архив","id":"ITEM-2","issue":"3","issued":{"date-parts":[["2013"]]},"page":"80-85","title":"Морфологические и иммунохимические особенности нефропатий при множественной миеломе с тяжелой почечной недостаточностью","type":"article-journal","volume":"85"},"uris":["http://www.mendeley.com/documents/?uuid=b7e4aa0d-a654-44bd-b363-35e45db6262e"]},{"id":"ITEM-3","itemData":{"author":[{"dropping-particle":"","family":"Ворожейкина","given":"Е.Г.","non-dropping-particle":"","parse-names":false,"suffix":""},{"dropping-particle":"","family":"Бирюкова","given":"Л.С.","non-dropping-particle":"","parse-names":false,"suffix":""},{"dropping-particle":"","family":"Савченко","given":"В.Г.","non-dropping-particle":"","parse-names":false,"suffix":""}],"container-title":"Гематология и трансфузиология","id":"ITEM-3","issue":"3","issued":{"date-parts":[["2011"]]},"page":"24-27","title":"Клинико-лабораторные проявления нефропатий у больных острыми лейкозами","type":"article-journal","volume":"56"},"uris":["http://www.mendeley.com/documents/?uuid=137272d3-cc35-4bfd-b2f3-d7af020af652"]}],"mendeley":{"formattedCitation":"[173–175]","plainTextFormattedCitation":"[173–175]","previouslyFormattedCitation":"[173–175]"},"properties":{"noteIndex":0},"schema":"https://github.com/citation-style-language/schema/raw/master/csl-citation.json"}</w:instrText>
      </w:r>
      <w:r>
        <w:fldChar w:fldCharType="separate"/>
      </w:r>
      <w:r w:rsidR="004617E2" w:rsidRPr="004617E2">
        <w:rPr>
          <w:noProof/>
        </w:rPr>
        <w:t>[173–175]</w:t>
      </w:r>
      <w:r>
        <w:fldChar w:fldCharType="end"/>
      </w:r>
      <w:r w:rsidRPr="00F65F6F">
        <w:t xml:space="preserve">. Кроме того, у гематологического пациента может иметься хроническая болезнь почек (ХБП) не опухолевого генеза (ХБП отмечается примерно у 15% населения). </w:t>
      </w:r>
    </w:p>
    <w:p w14:paraId="0D29D804" w14:textId="77777777" w:rsidR="009E28A6" w:rsidRPr="00F65F6F" w:rsidRDefault="009E28A6" w:rsidP="009E28A6"/>
    <w:p w14:paraId="1950B785" w14:textId="5825C064" w:rsidR="009E28A6" w:rsidRPr="00FB7761" w:rsidRDefault="009E28A6" w:rsidP="009E28A6">
      <w:r w:rsidRPr="00F65F6F">
        <w:t>Таблица 1. Этиопатогенетические механизмы поражения почек при гематологических заболеваниях и формы почечной патологии</w:t>
      </w:r>
      <w:r w:rsidRPr="00FB7761">
        <w:t xml:space="preserve"> </w:t>
      </w:r>
      <w:r>
        <w:fldChar w:fldCharType="begin" w:fldLock="1"/>
      </w:r>
      <w:r w:rsidR="004C51FF">
        <w:instrText>ADDIN CSL_CITATION {"citationItems":[{"id":"ITEM-1","itemData":{"author":[{"dropping-particle":"","family":"Джумабаева","given":"Б.Т.","non-dropping-particle":"","parse-names":false,"suffix":""},{"dropping-particle":"","family":"Бирюкова","given":"Л.С.","non-dropping-particle":"","parse-names":false,"suffix":""},{"dropping-particle":"","family":"Варшавский","given":"В.А.","non-dropping-particle":"","parse-names":false,"suffix":""},{"dropping-particle":"","family":"Марьина","given":"С.А.","non-dropping-particle":"","parse-names":false,"suffix":""},{"dropping-particle":"","family":"Рощина","given":"Л.С.","non-dropping-particle":"","parse-names":false,"suffix":""},{"dropping-particle":"","family":"Джулакян","given":"У.Л.","non-dropping-particle":"","parse-names":false,"suffix":""},{"dropping-particle":"","family":"Столяревич","given":"Е.C.","non-dropping-particle":"","parse-names":false,"suffix":""}],"container-title":"Онкогематология","id":"ITEM-1","issue":"1","issued":{"date-parts":[["2017"]]},"page":"44-54","title":"Клинико-лабораторные и морфологические особенности поражения почек при лимфопролиферативных заболеваниях","type":"article-journal","volume":"7"},"uris":["http://www.mendeley.com/documents/?uuid=50a28e00-c058-46cf-b75a-5bfd40395f93"]},{"id":"ITEM-2","itemData":{"author":[{"dropping-particle":"","family":"Рехтина","given":"И.Г.","non-dropping-particle":"","parse-names":false,"suffix":""},{"dropping-particle":"","family":"Голицина","given":"Е.П.","non-dropping-particle":"","parse-names":false,"suffix":""},{"dropping-particle":"","family":"Варламова","given":"Е.Ю.","non-dropping-particle":"","parse-names":false,"suffix":""},{"dropping-particle":"","family":"Варшавский","given":"В.А.","non-dropping-particle":"","parse-names":false,"suffix":""},{"dropping-particle":"","family":"Киреева","given":"А.А.","non-dropping-particle":"","parse-names":false,"suffix":""},{"dropping-particle":"","family":"Бирюкова","given":"Л.С.","non-dropping-particle":"","parse-names":false,"suffix":""},{"dropping-particle":"","family":"Савченко","given":"В.Г.","non-dropping-particle":"","parse-names":false,"suffix":""}],"container-title":"Терапевтический архив","id":"ITEM-2","issue":"3","issued":{"date-parts":[["2013"]]},"page":"80-85","title":"Морфологические и иммунохимические особенности нефропатий при множественной миеломе с тяжелой почечной недостаточностью","type":"article-journal","volume":"85"},"uris":["http://www.mendeley.com/documents/?uuid=b7e4aa0d-a654-44bd-b363-35e45db6262e"]},{"id":"ITEM-3","itemData":{"author":[{"dropping-particle":"","family":"Ворожейкина","given":"Е.Г.","non-dropping-particle":"","parse-names":false,"suffix":""},{"dropping-particle":"","family":"Бирюкова","given":"Л.С.","non-dropping-particle":"","parse-names":false,"suffix":""},{"dropping-particle":"","family":"Савченко","given":"В.Г.","non-dropping-particle":"","parse-names":false,"suffix":""}],"container-title":"Гематология и трансфузиология","id":"ITEM-3","issue":"3","issued":{"date-parts":[["2011"]]},"page":"24-27","title":"Клинико-лабораторные проявления нефропатий у больных острыми лейкозами","type":"article-journal","volume":"56"},"uris":["http://www.mendeley.com/documents/?uuid=137272d3-cc35-4bfd-b2f3-d7af020af652"]}],"mendeley":{"formattedCitation":"[173–175]","plainTextFormattedCitation":"[173–175]","previouslyFormattedCitation":"[173–175]"},"properties":{"noteIndex":0},"schema":"https://github.com/citation-style-language/schema/raw/master/csl-citation.json"}</w:instrText>
      </w:r>
      <w:r>
        <w:fldChar w:fldCharType="separate"/>
      </w:r>
      <w:r w:rsidR="004617E2" w:rsidRPr="004617E2">
        <w:rPr>
          <w:noProof/>
        </w:rPr>
        <w:t>[173–175]</w:t>
      </w:r>
      <w:r>
        <w:fldChar w:fldCharType="end"/>
      </w:r>
    </w:p>
    <w:tbl>
      <w:tblPr>
        <w:tblStyle w:val="aff9"/>
        <w:tblW w:w="0" w:type="auto"/>
        <w:tblInd w:w="675" w:type="dxa"/>
        <w:tblLook w:val="04A0" w:firstRow="1" w:lastRow="0" w:firstColumn="1" w:lastColumn="0" w:noHBand="0" w:noVBand="1"/>
      </w:tblPr>
      <w:tblGrid>
        <w:gridCol w:w="3969"/>
        <w:gridCol w:w="4393"/>
      </w:tblGrid>
      <w:tr w:rsidR="009E28A6" w:rsidRPr="00F65F6F" w14:paraId="1868EFF5" w14:textId="77777777" w:rsidTr="002D3EBF">
        <w:trPr>
          <w:trHeight w:val="485"/>
        </w:trPr>
        <w:tc>
          <w:tcPr>
            <w:tcW w:w="3969" w:type="dxa"/>
          </w:tcPr>
          <w:p w14:paraId="489D2748" w14:textId="77777777" w:rsidR="009E28A6" w:rsidRPr="00F65F6F" w:rsidRDefault="009E28A6" w:rsidP="002D3EBF">
            <w:r w:rsidRPr="00F65F6F">
              <w:t>Этиопатогенетические  механизмы</w:t>
            </w:r>
          </w:p>
        </w:tc>
        <w:tc>
          <w:tcPr>
            <w:tcW w:w="4393" w:type="dxa"/>
          </w:tcPr>
          <w:p w14:paraId="4FF8D750" w14:textId="77777777" w:rsidR="009E28A6" w:rsidRPr="00F65F6F" w:rsidRDefault="009E28A6" w:rsidP="002D3EBF">
            <w:pPr>
              <w:jc w:val="center"/>
            </w:pPr>
            <w:r w:rsidRPr="00F65F6F">
              <w:t>Формы почечной патологии</w:t>
            </w:r>
          </w:p>
        </w:tc>
      </w:tr>
      <w:tr w:rsidR="009E28A6" w:rsidRPr="00F65F6F" w14:paraId="2CDB47D7" w14:textId="77777777" w:rsidTr="002D3EBF">
        <w:trPr>
          <w:trHeight w:val="936"/>
        </w:trPr>
        <w:tc>
          <w:tcPr>
            <w:tcW w:w="3969" w:type="dxa"/>
          </w:tcPr>
          <w:p w14:paraId="0CCA3FF5" w14:textId="77777777" w:rsidR="009E28A6" w:rsidRPr="00F65F6F" w:rsidRDefault="009E28A6" w:rsidP="002D3EBF">
            <w:r w:rsidRPr="00F65F6F">
              <w:t xml:space="preserve">Поражения, вызванные инфильтрацией паренхимы почек </w:t>
            </w:r>
          </w:p>
        </w:tc>
        <w:tc>
          <w:tcPr>
            <w:tcW w:w="4393" w:type="dxa"/>
          </w:tcPr>
          <w:p w14:paraId="46044516" w14:textId="77777777" w:rsidR="009E28A6" w:rsidRPr="00F65F6F" w:rsidRDefault="009E28A6" w:rsidP="002D3EBF">
            <w:pPr>
              <w:contextualSpacing/>
            </w:pPr>
            <w:r w:rsidRPr="00F65F6F">
              <w:t>Диффузная и очаговая  интерстициальная опухолевая инфильтрация</w:t>
            </w:r>
          </w:p>
        </w:tc>
      </w:tr>
      <w:tr w:rsidR="009E28A6" w:rsidRPr="00F65F6F" w14:paraId="6D0577F5" w14:textId="77777777" w:rsidTr="002D3EBF">
        <w:tc>
          <w:tcPr>
            <w:tcW w:w="3969" w:type="dxa"/>
          </w:tcPr>
          <w:p w14:paraId="735FDDB1" w14:textId="77777777" w:rsidR="009E28A6" w:rsidRPr="00F65F6F" w:rsidRDefault="009E28A6" w:rsidP="002D3EBF">
            <w:r w:rsidRPr="00F65F6F">
              <w:t>Поражения, вызванные механическим  воздействием опухоли</w:t>
            </w:r>
          </w:p>
        </w:tc>
        <w:tc>
          <w:tcPr>
            <w:tcW w:w="4393" w:type="dxa"/>
          </w:tcPr>
          <w:p w14:paraId="3FC8C04B" w14:textId="77777777" w:rsidR="009E28A6" w:rsidRPr="00F65F6F" w:rsidRDefault="009E28A6" w:rsidP="002D3EBF">
            <w:pPr>
              <w:tabs>
                <w:tab w:val="left" w:pos="284"/>
                <w:tab w:val="left" w:pos="567"/>
              </w:tabs>
              <w:suppressAutoHyphens/>
              <w:contextualSpacing/>
              <w:rPr>
                <w:rFonts w:eastAsia="Arial"/>
                <w:kern w:val="1"/>
              </w:rPr>
            </w:pPr>
            <w:r w:rsidRPr="00F65F6F">
              <w:rPr>
                <w:rFonts w:eastAsia="Arial"/>
                <w:kern w:val="1"/>
              </w:rPr>
              <w:t>Сдавление увеличенными лимфатическими узлами мочевыводящих</w:t>
            </w:r>
            <w:r w:rsidRPr="00F65F6F">
              <w:rPr>
                <w:rFonts w:eastAsia="Arial"/>
                <w:color w:val="000000" w:themeColor="text1"/>
                <w:kern w:val="1"/>
              </w:rPr>
              <w:t xml:space="preserve"> структур</w:t>
            </w:r>
          </w:p>
          <w:p w14:paraId="1385D3CB" w14:textId="77777777" w:rsidR="009E28A6" w:rsidRPr="00F65F6F" w:rsidRDefault="009E28A6" w:rsidP="002D3EBF">
            <w:pPr>
              <w:tabs>
                <w:tab w:val="left" w:pos="284"/>
                <w:tab w:val="left" w:pos="567"/>
              </w:tabs>
              <w:suppressAutoHyphens/>
              <w:contextualSpacing/>
              <w:rPr>
                <w:rFonts w:eastAsia="Arial"/>
                <w:kern w:val="1"/>
              </w:rPr>
            </w:pPr>
            <w:r w:rsidRPr="00F65F6F">
              <w:rPr>
                <w:rFonts w:eastAsia="Arial"/>
                <w:kern w:val="1"/>
              </w:rPr>
              <w:t>Сдавление почечных сосудов</w:t>
            </w:r>
          </w:p>
          <w:p w14:paraId="101ABE5C" w14:textId="77777777" w:rsidR="009E28A6" w:rsidRPr="00F65F6F" w:rsidRDefault="009E28A6" w:rsidP="002D3EBF">
            <w:pPr>
              <w:tabs>
                <w:tab w:val="left" w:pos="284"/>
                <w:tab w:val="left" w:pos="567"/>
              </w:tabs>
              <w:suppressAutoHyphens/>
              <w:ind w:left="720"/>
              <w:contextualSpacing/>
              <w:rPr>
                <w:rFonts w:eastAsia="Arial"/>
                <w:kern w:val="1"/>
              </w:rPr>
            </w:pPr>
          </w:p>
        </w:tc>
      </w:tr>
      <w:tr w:rsidR="009E28A6" w:rsidRPr="00F65F6F" w14:paraId="78D84592" w14:textId="77777777" w:rsidTr="002D3EBF">
        <w:tc>
          <w:tcPr>
            <w:tcW w:w="3969" w:type="dxa"/>
          </w:tcPr>
          <w:p w14:paraId="05D7D61D" w14:textId="77777777" w:rsidR="009E28A6" w:rsidRPr="00F65F6F" w:rsidRDefault="009E28A6" w:rsidP="002D3EBF">
            <w:r w:rsidRPr="00F65F6F">
              <w:t>Опухолевая гломерулопатия</w:t>
            </w:r>
          </w:p>
        </w:tc>
        <w:tc>
          <w:tcPr>
            <w:tcW w:w="4393" w:type="dxa"/>
          </w:tcPr>
          <w:p w14:paraId="443DBD6C" w14:textId="77777777" w:rsidR="009E28A6" w:rsidRPr="00F65F6F" w:rsidRDefault="009E28A6" w:rsidP="002D3EBF">
            <w:pPr>
              <w:tabs>
                <w:tab w:val="left" w:pos="284"/>
                <w:tab w:val="left" w:pos="567"/>
              </w:tabs>
              <w:suppressAutoHyphens/>
              <w:contextualSpacing/>
              <w:rPr>
                <w:rFonts w:eastAsia="Arial"/>
                <w:kern w:val="1"/>
              </w:rPr>
            </w:pPr>
            <w:r w:rsidRPr="00F65F6F">
              <w:rPr>
                <w:rFonts w:eastAsia="Arial"/>
                <w:kern w:val="1"/>
              </w:rPr>
              <w:t xml:space="preserve">Мезангиопролиферативный ГН  </w:t>
            </w:r>
          </w:p>
          <w:p w14:paraId="0F98BC7E" w14:textId="77777777" w:rsidR="009E28A6" w:rsidRPr="00F65F6F" w:rsidRDefault="009E28A6" w:rsidP="002D3EBF">
            <w:pPr>
              <w:tabs>
                <w:tab w:val="left" w:pos="284"/>
                <w:tab w:val="left" w:pos="567"/>
              </w:tabs>
              <w:suppressAutoHyphens/>
              <w:contextualSpacing/>
              <w:rPr>
                <w:rFonts w:eastAsia="Arial"/>
                <w:kern w:val="1"/>
              </w:rPr>
            </w:pPr>
            <w:r w:rsidRPr="00F65F6F">
              <w:rPr>
                <w:rFonts w:eastAsia="Arial"/>
                <w:kern w:val="1"/>
              </w:rPr>
              <w:t>Мезангиокапиллярный ГН</w:t>
            </w:r>
          </w:p>
          <w:p w14:paraId="7183E298" w14:textId="77777777" w:rsidR="009E28A6" w:rsidRPr="00F65F6F" w:rsidRDefault="009E28A6" w:rsidP="002D3EBF">
            <w:pPr>
              <w:tabs>
                <w:tab w:val="left" w:pos="284"/>
                <w:tab w:val="left" w:pos="567"/>
              </w:tabs>
              <w:suppressAutoHyphens/>
              <w:contextualSpacing/>
              <w:rPr>
                <w:rFonts w:eastAsia="Arial"/>
                <w:kern w:val="1"/>
              </w:rPr>
            </w:pPr>
            <w:r w:rsidRPr="00F65F6F">
              <w:rPr>
                <w:rFonts w:eastAsia="Arial"/>
                <w:kern w:val="1"/>
              </w:rPr>
              <w:t>Фибриллярный ГН</w:t>
            </w:r>
          </w:p>
          <w:p w14:paraId="6B98E397" w14:textId="77777777" w:rsidR="009E28A6" w:rsidRPr="00F65F6F" w:rsidRDefault="009E28A6" w:rsidP="002D3EBF">
            <w:pPr>
              <w:tabs>
                <w:tab w:val="left" w:pos="284"/>
                <w:tab w:val="left" w:pos="567"/>
              </w:tabs>
              <w:suppressAutoHyphens/>
              <w:contextualSpacing/>
              <w:rPr>
                <w:rFonts w:eastAsia="Arial"/>
                <w:kern w:val="1"/>
              </w:rPr>
            </w:pPr>
            <w:r w:rsidRPr="00F65F6F">
              <w:rPr>
                <w:rFonts w:eastAsia="Arial"/>
                <w:kern w:val="1"/>
              </w:rPr>
              <w:t>Иммунотактоидный ГН</w:t>
            </w:r>
          </w:p>
          <w:p w14:paraId="63601A27" w14:textId="77777777" w:rsidR="009E28A6" w:rsidRPr="00F65F6F" w:rsidRDefault="009E28A6" w:rsidP="002D3EBF">
            <w:pPr>
              <w:tabs>
                <w:tab w:val="left" w:pos="284"/>
                <w:tab w:val="left" w:pos="567"/>
              </w:tabs>
              <w:suppressAutoHyphens/>
              <w:contextualSpacing/>
            </w:pPr>
            <w:r w:rsidRPr="00F65F6F">
              <w:rPr>
                <w:rFonts w:eastAsia="Arial"/>
                <w:kern w:val="1"/>
              </w:rPr>
              <w:t>Гломерулопатии с минимальными изменениями</w:t>
            </w:r>
          </w:p>
        </w:tc>
      </w:tr>
      <w:tr w:rsidR="009E28A6" w:rsidRPr="00F65F6F" w14:paraId="2CD07959" w14:textId="77777777" w:rsidTr="002D3EBF">
        <w:tc>
          <w:tcPr>
            <w:tcW w:w="3969" w:type="dxa"/>
          </w:tcPr>
          <w:p w14:paraId="1BF1F877" w14:textId="77777777" w:rsidR="009E28A6" w:rsidRPr="00F65F6F" w:rsidRDefault="009E28A6" w:rsidP="002D3EBF">
            <w:r w:rsidRPr="00F65F6F">
              <w:lastRenderedPageBreak/>
              <w:t>Отложение моноклонального иммуноглобулина или его фрагментов  в структурах нефрона</w:t>
            </w:r>
          </w:p>
        </w:tc>
        <w:tc>
          <w:tcPr>
            <w:tcW w:w="4393" w:type="dxa"/>
          </w:tcPr>
          <w:p w14:paraId="2CD59B9D" w14:textId="77777777" w:rsidR="009E28A6" w:rsidRPr="00F65F6F" w:rsidRDefault="009E28A6" w:rsidP="002D3EBF">
            <w:pPr>
              <w:contextualSpacing/>
            </w:pPr>
            <w:r w:rsidRPr="00F65F6F">
              <w:t>Сast- нефропатия</w:t>
            </w:r>
          </w:p>
          <w:p w14:paraId="19BF9A39" w14:textId="77777777" w:rsidR="009E28A6" w:rsidRPr="00F65F6F" w:rsidRDefault="009E28A6" w:rsidP="002D3EBF">
            <w:pPr>
              <w:contextualSpacing/>
            </w:pPr>
            <w:r w:rsidRPr="00F65F6F">
              <w:t>Амилоидоз</w:t>
            </w:r>
          </w:p>
          <w:p w14:paraId="668C3B6C" w14:textId="77777777" w:rsidR="009E28A6" w:rsidRPr="00F65F6F" w:rsidRDefault="009E28A6" w:rsidP="002D3EBF">
            <w:pPr>
              <w:contextualSpacing/>
            </w:pPr>
            <w:r w:rsidRPr="00F65F6F">
              <w:t>Болезнь депозитов легких и тяжелых цепей</w:t>
            </w:r>
          </w:p>
        </w:tc>
      </w:tr>
      <w:tr w:rsidR="009E28A6" w:rsidRPr="00F65F6F" w14:paraId="24F10D7E" w14:textId="77777777" w:rsidTr="002D3EBF">
        <w:tc>
          <w:tcPr>
            <w:tcW w:w="3969" w:type="dxa"/>
          </w:tcPr>
          <w:p w14:paraId="54CC2060" w14:textId="77777777" w:rsidR="009E28A6" w:rsidRPr="00F65F6F" w:rsidRDefault="009E28A6" w:rsidP="002D3EBF">
            <w:pPr>
              <w:contextualSpacing/>
            </w:pPr>
            <w:r w:rsidRPr="00F65F6F">
              <w:t>Поражение сосудов при различной гематологической патологии:</w:t>
            </w:r>
          </w:p>
          <w:p w14:paraId="3602E2EF" w14:textId="77777777" w:rsidR="009E28A6" w:rsidRPr="00F65F6F" w:rsidRDefault="009E28A6" w:rsidP="002D3EBF">
            <w:pPr>
              <w:contextualSpacing/>
            </w:pPr>
            <w:r w:rsidRPr="00F65F6F">
              <w:t>Тромботическая микроангиопатия</w:t>
            </w:r>
          </w:p>
          <w:p w14:paraId="27C8BF6C" w14:textId="77777777" w:rsidR="009E28A6" w:rsidRPr="00F65F6F" w:rsidRDefault="009E28A6" w:rsidP="002D3EBF">
            <w:pPr>
              <w:contextualSpacing/>
            </w:pPr>
            <w:r w:rsidRPr="00F65F6F">
              <w:t>Антифосфолипидный синдром</w:t>
            </w:r>
          </w:p>
          <w:p w14:paraId="5B64487B" w14:textId="77777777" w:rsidR="009E28A6" w:rsidRPr="00F65F6F" w:rsidRDefault="009E28A6" w:rsidP="002D3EBF">
            <w:pPr>
              <w:contextualSpacing/>
            </w:pPr>
            <w:r w:rsidRPr="00F65F6F">
              <w:t xml:space="preserve">Тромботическая тромбоцитопеническая пурпура </w:t>
            </w:r>
          </w:p>
          <w:p w14:paraId="313D8401" w14:textId="77777777" w:rsidR="009E28A6" w:rsidRPr="00F65F6F" w:rsidRDefault="009E28A6" w:rsidP="002D3EBF">
            <w:pPr>
              <w:contextualSpacing/>
            </w:pPr>
            <w:r w:rsidRPr="00F65F6F">
              <w:t>Пурпура  Шенлейна-Геноха</w:t>
            </w:r>
          </w:p>
          <w:p w14:paraId="1FFDF4BB" w14:textId="77777777" w:rsidR="009E28A6" w:rsidRPr="00F65F6F" w:rsidRDefault="009E28A6" w:rsidP="002D3EBF">
            <w:pPr>
              <w:contextualSpacing/>
            </w:pPr>
            <w:r w:rsidRPr="00F65F6F">
              <w:t>Тромбоз почечных сосудов</w:t>
            </w:r>
          </w:p>
          <w:p w14:paraId="6CA25FA8" w14:textId="77777777" w:rsidR="009E28A6" w:rsidRPr="00F65F6F" w:rsidRDefault="009E28A6" w:rsidP="002D3EBF">
            <w:pPr>
              <w:contextualSpacing/>
            </w:pPr>
            <w:r w:rsidRPr="00F65F6F">
              <w:t>ДВС-синдром</w:t>
            </w:r>
          </w:p>
          <w:p w14:paraId="2C3C92F0" w14:textId="77777777" w:rsidR="009E28A6" w:rsidRPr="00F65F6F" w:rsidRDefault="009E28A6" w:rsidP="002D3EBF">
            <w:pPr>
              <w:contextualSpacing/>
            </w:pPr>
            <w:r w:rsidRPr="00F65F6F">
              <w:t>Радиационная нефропатия</w:t>
            </w:r>
          </w:p>
          <w:p w14:paraId="2ADDD209" w14:textId="77777777" w:rsidR="009E28A6" w:rsidRPr="00F65F6F" w:rsidRDefault="009E28A6" w:rsidP="002D3EBF">
            <w:pPr>
              <w:contextualSpacing/>
            </w:pPr>
            <w:r w:rsidRPr="00F65F6F">
              <w:t>Болезнь Фабри</w:t>
            </w:r>
          </w:p>
        </w:tc>
        <w:tc>
          <w:tcPr>
            <w:tcW w:w="4393" w:type="dxa"/>
          </w:tcPr>
          <w:p w14:paraId="1ACF7CBD" w14:textId="77777777" w:rsidR="009E28A6" w:rsidRPr="00F65F6F" w:rsidRDefault="009E28A6" w:rsidP="002D3EBF">
            <w:pPr>
              <w:contextualSpacing/>
            </w:pPr>
            <w:r w:rsidRPr="00F65F6F">
              <w:t>Микроангиопатия, тромбоз сосудов почки</w:t>
            </w:r>
          </w:p>
        </w:tc>
      </w:tr>
      <w:tr w:rsidR="009E28A6" w:rsidRPr="00F65F6F" w14:paraId="2F6B81B7" w14:textId="77777777" w:rsidTr="002D3EBF">
        <w:tc>
          <w:tcPr>
            <w:tcW w:w="3969" w:type="dxa"/>
          </w:tcPr>
          <w:p w14:paraId="4E9F6268" w14:textId="77777777" w:rsidR="009E28A6" w:rsidRPr="00F65F6F" w:rsidRDefault="009E28A6" w:rsidP="002D3EBF">
            <w:r w:rsidRPr="00F65F6F">
              <w:t>Поражения, обусловленные метаболическими факторами при: Первичный и вторичный гемохроматоз                Нефрокальциноз, фосфорно-кальциевый литиаз                    Острый и хронический   цитолиз Гемолиз, миолиз         Гиперурикемия                  Сольтеряющая, гипокалиемическая почка</w:t>
            </w:r>
          </w:p>
        </w:tc>
        <w:tc>
          <w:tcPr>
            <w:tcW w:w="4393" w:type="dxa"/>
          </w:tcPr>
          <w:p w14:paraId="538EFC22" w14:textId="77777777" w:rsidR="009E28A6" w:rsidRPr="00642A7B" w:rsidRDefault="009E28A6" w:rsidP="002D3EBF">
            <w:pPr>
              <w:contextualSpacing/>
            </w:pPr>
            <w:r w:rsidRPr="00F65F6F">
              <w:t xml:space="preserve">Смешанные </w:t>
            </w:r>
          </w:p>
        </w:tc>
      </w:tr>
    </w:tbl>
    <w:p w14:paraId="4A5C0965" w14:textId="77777777" w:rsidR="009E28A6" w:rsidRDefault="009E28A6" w:rsidP="009E28A6">
      <w:pPr>
        <w:autoSpaceDE w:val="0"/>
        <w:contextualSpacing/>
        <w:rPr>
          <w:bCs/>
          <w:i/>
          <w:iCs/>
          <w:u w:val="single"/>
        </w:rPr>
      </w:pPr>
    </w:p>
    <w:p w14:paraId="47E13F35" w14:textId="4AD17300" w:rsidR="009E28A6" w:rsidRPr="00DB270B" w:rsidRDefault="009E28A6" w:rsidP="009E28A6">
      <w:pPr>
        <w:autoSpaceDE w:val="0"/>
        <w:ind w:firstLine="709"/>
        <w:contextualSpacing/>
        <w:rPr>
          <w:bCs/>
          <w:i/>
          <w:iCs/>
          <w:u w:val="single"/>
        </w:rPr>
      </w:pPr>
      <w:r w:rsidRPr="00DB270B">
        <w:rPr>
          <w:bCs/>
          <w:i/>
          <w:iCs/>
          <w:u w:val="single"/>
        </w:rPr>
        <w:t>Основные синдромы с поражением почек при гематологических заболеваниях</w:t>
      </w:r>
      <w:r>
        <w:rPr>
          <w:bCs/>
          <w:i/>
          <w:iCs/>
          <w:u w:val="single"/>
        </w:rPr>
        <w:t xml:space="preserve"> </w:t>
      </w:r>
      <w:r>
        <w:fldChar w:fldCharType="begin" w:fldLock="1"/>
      </w:r>
      <w:r w:rsidR="004C51FF">
        <w:instrText>ADDIN CSL_CITATION {"citationItems":[{"id":"ITEM-1","itemData":{"author":[{"dropping-particle":"","family":"Джумабаева","given":"Б.Т.","non-dropping-particle":"","parse-names":false,"suffix":""},{"dropping-particle":"","family":"Бирюкова","given":"Л.С.","non-dropping-particle":"","parse-names":false,"suffix":""},{"dropping-particle":"","family":"Варшавский","given":"В.А.","non-dropping-particle":"","parse-names":false,"suffix":""},{"dropping-particle":"","family":"Марьина","given":"С.А.","non-dropping-particle":"","parse-names":false,"suffix":""},{"dropping-particle":"","family":"Рощина","given":"Л.С.","non-dropping-particle":"","parse-names":false,"suffix":""},{"dropping-particle":"","family":"Джулакян","given":"У.Л.","non-dropping-particle":"","parse-names":false,"suffix":""},{"dropping-particle":"","family":"Столяревич","given":"Е.C.","non-dropping-particle":"","parse-names":false,"suffix":""}],"container-title":"Онкогематология","id":"ITEM-1","issue":"1","issued":{"date-parts":[["2017"]]},"page":"44-54","title":"Клинико-лабораторные и морфологические особенности поражения почек при лимфопролиферативных заболеваниях","type":"article-journal","volume":"7"},"uris":["http://www.mendeley.com/documents/?uuid=50a28e00-c058-46cf-b75a-5bfd40395f93"]},{"id":"ITEM-2","itemData":{"author":[{"dropping-particle":"","family":"Рехтина","given":"И.Г.","non-dropping-particle":"","parse-names":false,"suffix":""},{"dropping-particle":"","family":"Голицина","given":"Е.П.","non-dropping-particle":"","parse-names":false,"suffix":""},{"dropping-particle":"","family":"Варламова","given":"Е.Ю.","non-dropping-particle":"","parse-names":false,"suffix":""},{"dropping-particle":"","family":"Варшавский","given":"В.А.","non-dropping-particle":"","parse-names":false,"suffix":""},{"dropping-particle":"","family":"Киреева","given":"А.А.","non-dropping-particle":"","parse-names":false,"suffix":""},{"dropping-particle":"","family":"Бирюкова","given":"Л.С.","non-dropping-particle":"","parse-names":false,"suffix":""},{"dropping-particle":"","family":"Савченко","given":"В.Г.","non-dropping-particle":"","parse-names":false,"suffix":""}],"container-title":"Терапевтический архив","id":"ITEM-2","issue":"3","issued":{"date-parts":[["2013"]]},"page":"80-85","title":"Морфологические и иммунохимические особенности нефропатий при множественной миеломе с тяжелой почечной недостаточностью","type":"article-journal","volume":"85"},"uris":["http://www.mendeley.com/documents/?uuid=b7e4aa0d-a654-44bd-b363-35e45db6262e"]},{"id":"ITEM-3","itemData":{"author":[{"dropping-particle":"","family":"Ворожейкина","given":"Е.Г.","non-dropping-particle":"","parse-names":false,"suffix":""},{"dropping-particle":"","family":"Бирюкова","given":"Л.С.","non-dropping-particle":"","parse-names":false,"suffix":""},{"dropping-particle":"","family":"Савченко","given":"В.Г.","non-dropping-particle":"","parse-names":false,"suffix":""}],"container-title":"Гематология и трансфузиология","id":"ITEM-3","issue":"3","issued":{"date-parts":[["2011"]]},"page":"24-27","title":"Клинико-лабораторные проявления нефропатий у больных острыми лейкозами","type":"article-journal","volume":"56"},"uris":["http://www.mendeley.com/documents/?uuid=137272d3-cc35-4bfd-b2f3-d7af020af652"]}],"mendeley":{"formattedCitation":"[173–175]","plainTextFormattedCitation":"[173–175]","previouslyFormattedCitation":"[173–175]"},"properties":{"noteIndex":0},"schema":"https://github.com/citation-style-language/schema/raw/master/csl-citation.json"}</w:instrText>
      </w:r>
      <w:r>
        <w:fldChar w:fldCharType="separate"/>
      </w:r>
      <w:r w:rsidR="004617E2" w:rsidRPr="004617E2">
        <w:rPr>
          <w:noProof/>
        </w:rPr>
        <w:t>[173–175]</w:t>
      </w:r>
      <w:r>
        <w:fldChar w:fldCharType="end"/>
      </w:r>
      <w:r w:rsidRPr="00DB270B">
        <w:rPr>
          <w:bCs/>
          <w:i/>
          <w:iCs/>
          <w:u w:val="single"/>
        </w:rPr>
        <w:t xml:space="preserve">. </w:t>
      </w:r>
    </w:p>
    <w:p w14:paraId="2742B417" w14:textId="77777777" w:rsidR="009E28A6" w:rsidRPr="00F65F6F" w:rsidRDefault="009E28A6" w:rsidP="009E28A6">
      <w:pPr>
        <w:ind w:firstLine="709"/>
      </w:pPr>
      <w:r w:rsidRPr="00DB270B">
        <w:rPr>
          <w:i/>
        </w:rPr>
        <w:t>Синдром лизиса опухоли</w:t>
      </w:r>
      <w:r w:rsidRPr="00F65F6F">
        <w:t xml:space="preserve"> сопровождается гиперфосфатемией, гиперкалиемией, гиперурикемией и/или гипокальциемией, что приводит к осаждению в почечных канальцах и паренхиме метаболитов нуклеиновых кислот, кристаллов мочевой кислоты и фосфата кальция с острой обструкцией мочевыводящих путей. Синдром лизиса опухоли развивается при спонтанной гибели опухолевых клеток или при их лизисе, индуцированном химиотерапией. Частота развития синдрома при неходжкинских лимфомах превышает 40%, а общая смертность при его развитии составляет от 0,9% до 17,5%.</w:t>
      </w:r>
    </w:p>
    <w:p w14:paraId="4503960B" w14:textId="77777777" w:rsidR="009E28A6" w:rsidRPr="00F65F6F" w:rsidRDefault="009E28A6" w:rsidP="009E28A6">
      <w:pPr>
        <w:ind w:firstLine="709"/>
      </w:pPr>
      <w:r w:rsidRPr="00DB270B">
        <w:rPr>
          <w:i/>
        </w:rPr>
        <w:lastRenderedPageBreak/>
        <w:t>Синдром Фанкони</w:t>
      </w:r>
      <w:r w:rsidRPr="00DB270B">
        <w:t xml:space="preserve"> характеризуется нарушением функции проксимальных канальцев</w:t>
      </w:r>
      <w:r w:rsidRPr="00F65F6F">
        <w:t xml:space="preserve"> и развитием тубулярного ацидоза, аминоацидурии, глюкозурии, фосфатурии, канальцевой протеинурии, гипокалиемии, гипоурикемии, полиурии с развитием дегидратации и почечной недостаточности разной степени выраженности. При морфологическом исследовании выявляются кристаллические (игольчатой формы) фибриллоподобные включения в эпителии проксимальных канальцев и тубулярная атрофия.</w:t>
      </w:r>
    </w:p>
    <w:p w14:paraId="35A00CF9" w14:textId="77777777" w:rsidR="009E28A6" w:rsidRPr="00F65F6F" w:rsidRDefault="009E28A6" w:rsidP="009E28A6">
      <w:pPr>
        <w:ind w:firstLine="709"/>
      </w:pPr>
      <w:r w:rsidRPr="00DB270B">
        <w:rPr>
          <w:i/>
        </w:rPr>
        <w:t>Гиперкальциемия</w:t>
      </w:r>
      <w:r w:rsidRPr="00DB270B">
        <w:t xml:space="preserve"> развивается в результате остеолизиса и подавления функции</w:t>
      </w:r>
      <w:r w:rsidRPr="00F65F6F">
        <w:t xml:space="preserve"> остеобластов под воздействием секретируемых опухолевыми клетками паратгормоноподобного белка (РТН-fP) или активной формы витамина D — 1, 25-дигитроокси-холекальциферола, которые стимулируют резорбцию костной ткани и/или реабсорбцию кальция в собирательных трубочках нефрона с развитием гиперкальцийурии. Поступление в сосудистое русло ионов кальция в количестве, значительно превышающем экскреторные возможности почек, приводит к снижению почечного плазмотока и развитию ОПП. </w:t>
      </w:r>
    </w:p>
    <w:p w14:paraId="581E724A" w14:textId="77777777" w:rsidR="009E28A6" w:rsidRDefault="009E28A6" w:rsidP="009E28A6">
      <w:pPr>
        <w:ind w:firstLine="709"/>
      </w:pPr>
      <w:r w:rsidRPr="00DB270B">
        <w:rPr>
          <w:i/>
        </w:rPr>
        <w:t>Тромботическая микроангиопатия</w:t>
      </w:r>
      <w:r w:rsidRPr="00DB270B">
        <w:t xml:space="preserve"> (ТМА) патогенетически объединяет</w:t>
      </w:r>
      <w:r w:rsidRPr="00F65F6F">
        <w:t xml:space="preserve"> тромботическую тромбоцитопеническую пурпуру (ТТП), гемолитико-уремический синдром (ГУС), характеризуется сочетанием гемолитической анемии, тромбоцитопении и полиорганной патологией. Клинически наблюдается тяжелая артериальная гипертензия, протеинурия и гематурия различной степени выраженности, прогрессирующим ухудшением функции почек. </w:t>
      </w:r>
      <w:r w:rsidRPr="00F65F6F">
        <w:rPr>
          <w:color w:val="000000"/>
        </w:rPr>
        <w:t xml:space="preserve">В патогенезе ГУС центральную роль играет первичное поражение эндотелия, активация эндотелина – 1 и цитокинов, что вызывает фокальную ишемию коркового слоя почек, стимуляцию   адгезии клеток и тромбообразование. </w:t>
      </w:r>
      <w:r w:rsidRPr="00F65F6F">
        <w:t xml:space="preserve">В основе генеза гемолиза лежит механическое разрушение эритроцитов при прохождении их по измененной капиллярной сети, из–за их структурной неполноценности, обусловленной активацией перекисного окисления липидов клеточных мембран, приводящей к ухудшению деформируемости эритроцитов и снижению их устойчивости к механическому повреждению. Тромбоцитопения при ГУС обусловлена, как возросшим потреблением тромбоцитов, так и сокращением периода их жизни. ТТП обусловлена   дефицитом металлопротеазы </w:t>
      </w:r>
      <w:r w:rsidRPr="00F65F6F">
        <w:rPr>
          <w:lang w:val="en-US"/>
        </w:rPr>
        <w:t>ADAMTS</w:t>
      </w:r>
      <w:r w:rsidRPr="00F65F6F">
        <w:t xml:space="preserve">-13, способной расщеплять крупные мультимеры фактора Виллебранда. Нерасщепленные мультимеры способствуют диссеминированной внутрисосудистой агрегации тромбоцитов. </w:t>
      </w:r>
    </w:p>
    <w:p w14:paraId="231365D0" w14:textId="77777777" w:rsidR="009E28A6" w:rsidRPr="00F65F6F" w:rsidRDefault="009E28A6" w:rsidP="009E28A6">
      <w:pPr>
        <w:ind w:firstLine="709"/>
      </w:pPr>
    </w:p>
    <w:p w14:paraId="3A35A9BD" w14:textId="13057653" w:rsidR="009E28A6" w:rsidRPr="006B722A" w:rsidRDefault="009E28A6" w:rsidP="009E28A6">
      <w:pPr>
        <w:pStyle w:val="afe"/>
        <w:ind w:left="786" w:firstLine="0"/>
        <w:rPr>
          <w:rFonts w:cs="Times New Roman"/>
          <w:bCs/>
          <w:i/>
          <w:iCs/>
          <w:szCs w:val="24"/>
          <w:u w:val="single"/>
        </w:rPr>
      </w:pPr>
      <w:r w:rsidRPr="006B722A">
        <w:rPr>
          <w:rFonts w:cs="Times New Roman"/>
          <w:bCs/>
          <w:i/>
          <w:iCs/>
          <w:szCs w:val="24"/>
          <w:u w:val="single"/>
        </w:rPr>
        <w:t>Диагностика острого повреждения почек и хронической болезни почек</w:t>
      </w:r>
      <w:r>
        <w:rPr>
          <w:rFonts w:cs="Times New Roman"/>
          <w:bCs/>
          <w:i/>
          <w:iCs/>
          <w:szCs w:val="24"/>
          <w:u w:val="single"/>
        </w:rPr>
        <w:t xml:space="preserve"> </w:t>
      </w:r>
      <w:r>
        <w:rPr>
          <w:rFonts w:eastAsia="Times New Roman" w:cs="Times New Roman"/>
          <w:szCs w:val="24"/>
          <w:lang w:eastAsia="ru-RU"/>
        </w:rPr>
        <w:fldChar w:fldCharType="begin" w:fldLock="1"/>
      </w:r>
      <w:r w:rsidR="004C51FF">
        <w:rPr>
          <w:rFonts w:eastAsia="Times New Roman" w:cs="Times New Roman"/>
          <w:szCs w:val="24"/>
          <w:lang w:eastAsia="ru-RU"/>
        </w:rPr>
        <w:instrText>ADDIN CSL_CITATION {"citationItems":[{"id":"ITEM-1","itemData":{"author":[{"dropping-particle":"","family":"Джумабаева","given":"Б.Т.","non-dropping-particle":"","parse-names":false,"suffix":""},{"dropping-particle":"","family":"Бирюкова","given":"Л.С.","non-dropping-particle":"","parse-names":false,"suffix":""},{"dropping-particle":"","family":"Варшавский","given":"В.А.","non-dropping-particle":"","parse-names":false,"suffix":""},{"dropping-particle":"","family":"Марьина","given":"С.А.","non-dropping-particle":"","parse-names":false,"suffix":""},{"dropping-particle":"","family":"Рощина","given":"Л.С.","non-dropping-particle":"","parse-names":false,"suffix":""},{"dropping-particle":"","family":"Джулакян","given":"У.Л.","non-dropping-particle":"","parse-names":false,"suffix":""},{"dropping-particle":"","family":"Столяревич","given":"Е.C.","non-dropping-particle":"","parse-names":false,"suffix":""}],"container-title":"Онкогематология","id":"ITEM-1","issue":"1","issued":{"date-parts":[["2017"]]},"page":"44-54","title":"Клинико-лабораторные и морфологические особенности поражения почек при лимфопролиферативных заболеваниях","type":"article-journal","volume":"7"},"uris":["http://www.mendeley.com/documents/?uuid=50a28e00-c058-46cf-b75a-5bfd40395f93"]},{"id":"ITEM-2","itemData":{"author":[{"dropping-particle":"","family":"Рехтина","given":"И.Г.","non-dropping-particle":"","parse-names":false,"suffix":""},{"dropping-particle":"","family":"Голицина","given":"Е.П.","non-dropping-particle":"","parse-names":false,"suffix":""},{"dropping-particle":"","family":"Варламова","given":"Е.Ю.","non-dropping-particle":"","parse-names":false,"suffix":""},{"dropping-particle":"","family":"Варшавский","given":"В.А.","non-dropping-particle":"","parse-names":false,"suffix":""},{"dropping-particle":"","family":"Киреева","given":"А.А.","non-dropping-particle":"","parse-names":false,"suffix":""},{"dropping-particle":"","family":"Бирюкова","given":"Л.С.","non-dropping-particle":"","parse-names":false,"suffix":""},{"dropping-particle":"","family":"Савченко","given":"В.Г.","non-dropping-particle":"","parse-names":false,"suffix":""}],"container-title":"Терапевтический архив","id":"ITEM-2","issue":"3","issued":{"date-parts":[["2013"]]},"page":"80-85","title":"Морфологические и иммунохимические особенности нефропатий при множественной миеломе с тяжелой почечной недостаточностью","type":"article-journal","volume":"85"},"uris":["http://www.mendeley.com/documents/?uuid=b7e4aa0d-a654-44bd-b363-35e45db6262e"]},{"id":"ITEM-3","itemData":{"author":[{"dropping-particle":"","family":"Ворожейкина","given":"Е.Г.","non-dropping-particle":"","parse-names":false,"suffix":""},{"dropping-particle":"","family":"Бирюкова","given":"Л.С.","non-dropping-particle":"","parse-names":false,"suffix":""},{"dropping-particle":"","family":"Савченко","given":"В.Г.","non-dropping-particle":"","parse-names":false,"suffix":""}],"container-title":"Гематология и трансфузиология","id":"ITEM-3","issue":"3","issued":{"date-parts":[["2011"]]},"page":"24-27","title":"Клинико-лабораторные проявления нефропатий у больных острыми лейкозами","type":"article-journal","volume":"56"},"uris":["http://www.mendeley.com/documents/?uuid=137272d3-cc35-4bfd-b2f3-d7af020af652"]}],"mendeley":{"formattedCitation":"[173–175]","plainTextFormattedCitation":"[173–175]","previouslyFormattedCitation":"[173–175]"},"properties":{"noteIndex":0},"schema":"https://github.com/citation-style-language/schema/raw/master/csl-citation.json"}</w:instrText>
      </w:r>
      <w:r>
        <w:rPr>
          <w:rFonts w:eastAsia="Times New Roman" w:cs="Times New Roman"/>
          <w:szCs w:val="24"/>
          <w:lang w:eastAsia="ru-RU"/>
        </w:rPr>
        <w:fldChar w:fldCharType="separate"/>
      </w:r>
      <w:r w:rsidR="004617E2" w:rsidRPr="004617E2">
        <w:rPr>
          <w:rFonts w:eastAsia="Times New Roman" w:cs="Times New Roman"/>
          <w:noProof/>
          <w:szCs w:val="24"/>
          <w:lang w:eastAsia="ru-RU"/>
        </w:rPr>
        <w:t>[173–175]</w:t>
      </w:r>
      <w:r>
        <w:rPr>
          <w:rFonts w:eastAsia="Times New Roman" w:cs="Times New Roman"/>
          <w:szCs w:val="24"/>
          <w:lang w:eastAsia="ru-RU"/>
        </w:rPr>
        <w:fldChar w:fldCharType="end"/>
      </w:r>
      <w:r w:rsidRPr="006B722A">
        <w:rPr>
          <w:rFonts w:cs="Times New Roman"/>
          <w:bCs/>
          <w:i/>
          <w:iCs/>
          <w:szCs w:val="24"/>
          <w:u w:val="single"/>
        </w:rPr>
        <w:t>.</w:t>
      </w:r>
    </w:p>
    <w:p w14:paraId="37BD94F2" w14:textId="77777777" w:rsidR="009E28A6" w:rsidRPr="009332DB" w:rsidRDefault="009E28A6" w:rsidP="009E28A6">
      <w:pPr>
        <w:ind w:firstLine="709"/>
        <w:contextualSpacing/>
      </w:pPr>
      <w:r w:rsidRPr="00F65F6F">
        <w:lastRenderedPageBreak/>
        <w:t>Острое повреждение почек (ОПП)</w:t>
      </w:r>
      <w:r w:rsidRPr="00F65F6F">
        <w:rPr>
          <w:i/>
        </w:rPr>
        <w:t xml:space="preserve"> – </w:t>
      </w:r>
      <w:r w:rsidRPr="00F65F6F">
        <w:t xml:space="preserve">внезапное и устойчивое снижение гломерулярной фильтрации или объема мочи или того и другого вместе, </w:t>
      </w:r>
      <w:r w:rsidRPr="009332DB">
        <w:t>сопровождающееся изменениями гомеостаза (таб.2).</w:t>
      </w:r>
    </w:p>
    <w:p w14:paraId="7F07E738" w14:textId="77777777" w:rsidR="009E28A6" w:rsidRPr="009332DB" w:rsidRDefault="009E28A6" w:rsidP="009E28A6">
      <w:pPr>
        <w:ind w:firstLine="709"/>
        <w:contextualSpacing/>
      </w:pPr>
      <w:r w:rsidRPr="009332DB">
        <w:t>Для диагностики ОПП достаточно наличия одного из трех следующих критериев:</w:t>
      </w:r>
    </w:p>
    <w:p w14:paraId="6D3E5158" w14:textId="77777777" w:rsidR="009E28A6" w:rsidRPr="009332DB" w:rsidRDefault="009E28A6" w:rsidP="00CF0CD2">
      <w:pPr>
        <w:pStyle w:val="afe"/>
        <w:numPr>
          <w:ilvl w:val="0"/>
          <w:numId w:val="108"/>
        </w:numPr>
        <w:rPr>
          <w:rFonts w:cs="Times New Roman"/>
          <w:szCs w:val="24"/>
        </w:rPr>
      </w:pPr>
      <w:r w:rsidRPr="009332DB">
        <w:rPr>
          <w:rFonts w:cs="Times New Roman"/>
          <w:szCs w:val="24"/>
        </w:rPr>
        <w:t>повышение креатинина в сыворотке крови более чем на 26,5 мкмоль/л в течение 48 часов;</w:t>
      </w:r>
    </w:p>
    <w:p w14:paraId="0AC37C82" w14:textId="77777777" w:rsidR="009E28A6" w:rsidRPr="009332DB" w:rsidRDefault="009E28A6" w:rsidP="00CF0CD2">
      <w:pPr>
        <w:pStyle w:val="afe"/>
        <w:numPr>
          <w:ilvl w:val="0"/>
          <w:numId w:val="108"/>
        </w:numPr>
        <w:rPr>
          <w:rFonts w:cs="Times New Roman"/>
          <w:szCs w:val="24"/>
        </w:rPr>
      </w:pPr>
      <w:r w:rsidRPr="009332DB">
        <w:rPr>
          <w:rFonts w:cs="Times New Roman"/>
          <w:szCs w:val="24"/>
        </w:rPr>
        <w:t>повышение креатинина крови не менее чем в 1,5 раза в течение 7 дней;</w:t>
      </w:r>
    </w:p>
    <w:p w14:paraId="088C2B1F" w14:textId="77777777" w:rsidR="009E28A6" w:rsidRPr="009332DB" w:rsidRDefault="009E28A6" w:rsidP="00CF0CD2">
      <w:pPr>
        <w:pStyle w:val="afe"/>
        <w:numPr>
          <w:ilvl w:val="0"/>
          <w:numId w:val="108"/>
        </w:numPr>
        <w:rPr>
          <w:rFonts w:cs="Times New Roman"/>
          <w:szCs w:val="24"/>
        </w:rPr>
      </w:pPr>
      <w:r w:rsidRPr="009332DB">
        <w:rPr>
          <w:rFonts w:cs="Times New Roman"/>
          <w:szCs w:val="24"/>
        </w:rPr>
        <w:t>диурез менее 0,5 мл/кг/час за 6 часов (при условии нормоволемии).</w:t>
      </w:r>
    </w:p>
    <w:p w14:paraId="045EF7F7" w14:textId="77777777" w:rsidR="009E28A6" w:rsidRPr="009332DB" w:rsidRDefault="009E28A6" w:rsidP="009E28A6">
      <w:pPr>
        <w:ind w:left="360"/>
        <w:contextualSpacing/>
      </w:pPr>
    </w:p>
    <w:p w14:paraId="4A5B7EF2" w14:textId="77777777" w:rsidR="009E28A6" w:rsidRPr="00F65F6F" w:rsidRDefault="009E28A6" w:rsidP="009E28A6">
      <w:pPr>
        <w:ind w:firstLine="708"/>
        <w:contextualSpacing/>
      </w:pPr>
      <w:r w:rsidRPr="009332DB">
        <w:t>Таблица 2. Стадии острого повреждения почек (KDIGO, 2012)</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5288"/>
        <w:gridCol w:w="2409"/>
      </w:tblGrid>
      <w:tr w:rsidR="009E28A6" w:rsidRPr="00F65F6F" w14:paraId="343FAAE7" w14:textId="77777777" w:rsidTr="002D3EBF">
        <w:tc>
          <w:tcPr>
            <w:tcW w:w="8646" w:type="dxa"/>
            <w:gridSpan w:val="3"/>
            <w:tcBorders>
              <w:top w:val="single" w:sz="4" w:space="0" w:color="auto"/>
              <w:left w:val="single" w:sz="4" w:space="0" w:color="auto"/>
              <w:bottom w:val="single" w:sz="4" w:space="0" w:color="auto"/>
              <w:right w:val="single" w:sz="4" w:space="0" w:color="auto"/>
            </w:tcBorders>
          </w:tcPr>
          <w:p w14:paraId="3321D6F1" w14:textId="77777777" w:rsidR="009E28A6" w:rsidRPr="00F65F6F" w:rsidRDefault="009E28A6" w:rsidP="002D3EBF">
            <w:pPr>
              <w:tabs>
                <w:tab w:val="left" w:pos="284"/>
                <w:tab w:val="left" w:pos="567"/>
              </w:tabs>
              <w:rPr>
                <w:rFonts w:eastAsia="Calibri"/>
              </w:rPr>
            </w:pPr>
            <w:r w:rsidRPr="00F65F6F">
              <w:rPr>
                <w:rFonts w:eastAsia="Calibri"/>
              </w:rPr>
              <w:t xml:space="preserve">                                           Критерии диагностики и стадии ОПП</w:t>
            </w:r>
          </w:p>
        </w:tc>
      </w:tr>
      <w:tr w:rsidR="009E28A6" w:rsidRPr="00F65F6F" w14:paraId="08DCD9AF" w14:textId="77777777" w:rsidTr="002D3EBF">
        <w:tc>
          <w:tcPr>
            <w:tcW w:w="949" w:type="dxa"/>
            <w:tcBorders>
              <w:top w:val="single" w:sz="4" w:space="0" w:color="auto"/>
              <w:left w:val="single" w:sz="4" w:space="0" w:color="auto"/>
              <w:bottom w:val="single" w:sz="4" w:space="0" w:color="auto"/>
              <w:right w:val="single" w:sz="4" w:space="0" w:color="auto"/>
            </w:tcBorders>
            <w:hideMark/>
          </w:tcPr>
          <w:p w14:paraId="098C211C" w14:textId="77777777" w:rsidR="009E28A6" w:rsidRPr="00F65F6F" w:rsidRDefault="009E28A6" w:rsidP="002D3EBF">
            <w:pPr>
              <w:tabs>
                <w:tab w:val="left" w:pos="284"/>
                <w:tab w:val="left" w:pos="567"/>
              </w:tabs>
              <w:jc w:val="center"/>
              <w:rPr>
                <w:rFonts w:eastAsia="Calibri"/>
              </w:rPr>
            </w:pPr>
            <w:r w:rsidRPr="00F65F6F">
              <w:rPr>
                <w:rFonts w:eastAsia="Calibri"/>
              </w:rPr>
              <w:t>Стадия</w:t>
            </w:r>
          </w:p>
        </w:tc>
        <w:tc>
          <w:tcPr>
            <w:tcW w:w="5288" w:type="dxa"/>
            <w:tcBorders>
              <w:top w:val="single" w:sz="4" w:space="0" w:color="auto"/>
              <w:left w:val="single" w:sz="4" w:space="0" w:color="auto"/>
              <w:bottom w:val="single" w:sz="4" w:space="0" w:color="auto"/>
              <w:right w:val="single" w:sz="4" w:space="0" w:color="auto"/>
            </w:tcBorders>
            <w:hideMark/>
          </w:tcPr>
          <w:p w14:paraId="5FDEE3B2" w14:textId="77777777" w:rsidR="009E28A6" w:rsidRPr="00F65F6F" w:rsidRDefault="009E28A6" w:rsidP="002D3EBF">
            <w:pPr>
              <w:tabs>
                <w:tab w:val="left" w:pos="284"/>
                <w:tab w:val="left" w:pos="567"/>
              </w:tabs>
              <w:jc w:val="center"/>
              <w:rPr>
                <w:rFonts w:eastAsia="Calibri"/>
              </w:rPr>
            </w:pPr>
            <w:r w:rsidRPr="00F65F6F">
              <w:rPr>
                <w:rFonts w:eastAsia="Calibri"/>
              </w:rPr>
              <w:t>Повышение уровня креатинина сыворотки крови</w:t>
            </w:r>
          </w:p>
        </w:tc>
        <w:tc>
          <w:tcPr>
            <w:tcW w:w="2409" w:type="dxa"/>
            <w:tcBorders>
              <w:top w:val="single" w:sz="4" w:space="0" w:color="auto"/>
              <w:left w:val="single" w:sz="4" w:space="0" w:color="auto"/>
              <w:bottom w:val="single" w:sz="4" w:space="0" w:color="auto"/>
              <w:right w:val="single" w:sz="4" w:space="0" w:color="auto"/>
            </w:tcBorders>
            <w:hideMark/>
          </w:tcPr>
          <w:p w14:paraId="04D20A2B" w14:textId="77777777" w:rsidR="009E28A6" w:rsidRPr="00F65F6F" w:rsidRDefault="009E28A6" w:rsidP="002D3EBF">
            <w:pPr>
              <w:tabs>
                <w:tab w:val="left" w:pos="284"/>
                <w:tab w:val="left" w:pos="567"/>
              </w:tabs>
              <w:jc w:val="center"/>
              <w:rPr>
                <w:rFonts w:eastAsia="Calibri"/>
              </w:rPr>
            </w:pPr>
            <w:r w:rsidRPr="00F65F6F">
              <w:rPr>
                <w:rFonts w:eastAsia="Calibri"/>
              </w:rPr>
              <w:t>Диурез</w:t>
            </w:r>
          </w:p>
        </w:tc>
      </w:tr>
      <w:tr w:rsidR="009E28A6" w:rsidRPr="00F65F6F" w14:paraId="0340CFDE" w14:textId="77777777" w:rsidTr="002D3EBF">
        <w:tc>
          <w:tcPr>
            <w:tcW w:w="949" w:type="dxa"/>
            <w:tcBorders>
              <w:top w:val="single" w:sz="4" w:space="0" w:color="auto"/>
              <w:left w:val="single" w:sz="4" w:space="0" w:color="auto"/>
              <w:bottom w:val="single" w:sz="4" w:space="0" w:color="auto"/>
              <w:right w:val="single" w:sz="4" w:space="0" w:color="auto"/>
            </w:tcBorders>
            <w:hideMark/>
          </w:tcPr>
          <w:p w14:paraId="1B97BBAF" w14:textId="77777777" w:rsidR="009E28A6" w:rsidRPr="00F65F6F" w:rsidRDefault="009E28A6" w:rsidP="002D3EBF">
            <w:pPr>
              <w:tabs>
                <w:tab w:val="left" w:pos="284"/>
                <w:tab w:val="left" w:pos="567"/>
              </w:tabs>
              <w:rPr>
                <w:rFonts w:eastAsia="Calibri"/>
              </w:rPr>
            </w:pPr>
            <w:r w:rsidRPr="00F65F6F">
              <w:rPr>
                <w:rFonts w:eastAsia="Calibri"/>
              </w:rPr>
              <w:t>1</w:t>
            </w:r>
          </w:p>
        </w:tc>
        <w:tc>
          <w:tcPr>
            <w:tcW w:w="5288" w:type="dxa"/>
            <w:tcBorders>
              <w:top w:val="single" w:sz="4" w:space="0" w:color="auto"/>
              <w:left w:val="single" w:sz="4" w:space="0" w:color="auto"/>
              <w:bottom w:val="single" w:sz="4" w:space="0" w:color="auto"/>
              <w:right w:val="single" w:sz="4" w:space="0" w:color="auto"/>
            </w:tcBorders>
            <w:hideMark/>
          </w:tcPr>
          <w:p w14:paraId="2707E964" w14:textId="77777777" w:rsidR="009E28A6" w:rsidRPr="00F65F6F" w:rsidRDefault="009E28A6" w:rsidP="002D3EBF">
            <w:pPr>
              <w:tabs>
                <w:tab w:val="left" w:pos="284"/>
                <w:tab w:val="left" w:pos="567"/>
              </w:tabs>
              <w:rPr>
                <w:rFonts w:eastAsia="Calibri"/>
              </w:rPr>
            </w:pPr>
            <w:r w:rsidRPr="00F65F6F">
              <w:rPr>
                <w:rFonts w:eastAsia="Calibri"/>
              </w:rPr>
              <w:t>в 1,5-1,9 раза выше исходного в течение недели</w:t>
            </w:r>
          </w:p>
          <w:p w14:paraId="7591595F" w14:textId="77777777" w:rsidR="009E28A6" w:rsidRPr="00F65F6F" w:rsidRDefault="009E28A6" w:rsidP="002D3EBF">
            <w:pPr>
              <w:tabs>
                <w:tab w:val="left" w:pos="284"/>
                <w:tab w:val="left" w:pos="567"/>
              </w:tabs>
              <w:rPr>
                <w:rFonts w:eastAsia="Calibri"/>
              </w:rPr>
            </w:pPr>
            <w:r w:rsidRPr="00F65F6F">
              <w:rPr>
                <w:rFonts w:eastAsia="Calibri"/>
              </w:rPr>
              <w:t>или</w:t>
            </w:r>
          </w:p>
          <w:p w14:paraId="641E8C9E" w14:textId="77777777" w:rsidR="009E28A6" w:rsidRPr="00F65F6F" w:rsidRDefault="009E28A6" w:rsidP="002D3EBF">
            <w:pPr>
              <w:tabs>
                <w:tab w:val="left" w:pos="284"/>
                <w:tab w:val="left" w:pos="567"/>
              </w:tabs>
              <w:rPr>
                <w:rFonts w:eastAsia="Calibri"/>
              </w:rPr>
            </w:pPr>
            <w:r w:rsidRPr="00F65F6F">
              <w:rPr>
                <w:rFonts w:eastAsia="Calibri"/>
              </w:rPr>
              <w:t>более чем на 26,5 мкмоль/л в течение 2 дней (48 часов)</w:t>
            </w:r>
          </w:p>
        </w:tc>
        <w:tc>
          <w:tcPr>
            <w:tcW w:w="2409" w:type="dxa"/>
            <w:tcBorders>
              <w:top w:val="single" w:sz="4" w:space="0" w:color="auto"/>
              <w:left w:val="single" w:sz="4" w:space="0" w:color="auto"/>
              <w:bottom w:val="single" w:sz="4" w:space="0" w:color="auto"/>
              <w:right w:val="single" w:sz="4" w:space="0" w:color="auto"/>
            </w:tcBorders>
            <w:hideMark/>
          </w:tcPr>
          <w:p w14:paraId="03057407" w14:textId="77777777" w:rsidR="009E28A6" w:rsidRPr="00F65F6F" w:rsidRDefault="009E28A6" w:rsidP="002D3EBF">
            <w:pPr>
              <w:tabs>
                <w:tab w:val="left" w:pos="284"/>
                <w:tab w:val="left" w:pos="567"/>
              </w:tabs>
              <w:rPr>
                <w:rFonts w:eastAsia="Calibri"/>
              </w:rPr>
            </w:pPr>
            <w:r w:rsidRPr="00F65F6F">
              <w:rPr>
                <w:rFonts w:eastAsia="Calibri"/>
              </w:rPr>
              <w:t>Менее 0,5 мл/кг/час в течение 6-12 часов</w:t>
            </w:r>
          </w:p>
        </w:tc>
      </w:tr>
      <w:tr w:rsidR="009E28A6" w:rsidRPr="00F65F6F" w14:paraId="1FB6375D" w14:textId="77777777" w:rsidTr="002D3EBF">
        <w:trPr>
          <w:trHeight w:val="557"/>
        </w:trPr>
        <w:tc>
          <w:tcPr>
            <w:tcW w:w="949" w:type="dxa"/>
            <w:tcBorders>
              <w:top w:val="single" w:sz="4" w:space="0" w:color="auto"/>
              <w:left w:val="single" w:sz="4" w:space="0" w:color="auto"/>
              <w:bottom w:val="single" w:sz="4" w:space="0" w:color="auto"/>
              <w:right w:val="single" w:sz="4" w:space="0" w:color="auto"/>
            </w:tcBorders>
            <w:hideMark/>
          </w:tcPr>
          <w:p w14:paraId="68732847" w14:textId="77777777" w:rsidR="009E28A6" w:rsidRPr="00F65F6F" w:rsidRDefault="009E28A6" w:rsidP="002D3EBF">
            <w:pPr>
              <w:tabs>
                <w:tab w:val="left" w:pos="284"/>
                <w:tab w:val="left" w:pos="567"/>
              </w:tabs>
              <w:rPr>
                <w:rFonts w:eastAsia="Calibri"/>
              </w:rPr>
            </w:pPr>
            <w:r w:rsidRPr="00F65F6F">
              <w:rPr>
                <w:rFonts w:eastAsia="Calibri"/>
              </w:rPr>
              <w:t>2</w:t>
            </w:r>
          </w:p>
        </w:tc>
        <w:tc>
          <w:tcPr>
            <w:tcW w:w="5288" w:type="dxa"/>
            <w:tcBorders>
              <w:top w:val="single" w:sz="4" w:space="0" w:color="auto"/>
              <w:left w:val="single" w:sz="4" w:space="0" w:color="auto"/>
              <w:bottom w:val="single" w:sz="4" w:space="0" w:color="auto"/>
              <w:right w:val="single" w:sz="4" w:space="0" w:color="auto"/>
            </w:tcBorders>
            <w:hideMark/>
          </w:tcPr>
          <w:p w14:paraId="24DD1836" w14:textId="77777777" w:rsidR="009E28A6" w:rsidRPr="00F65F6F" w:rsidRDefault="009E28A6" w:rsidP="002D3EBF">
            <w:pPr>
              <w:tabs>
                <w:tab w:val="left" w:pos="284"/>
                <w:tab w:val="left" w:pos="567"/>
              </w:tabs>
              <w:rPr>
                <w:rFonts w:eastAsia="Calibri"/>
              </w:rPr>
            </w:pPr>
            <w:r w:rsidRPr="00F65F6F">
              <w:rPr>
                <w:rFonts w:eastAsia="Calibri"/>
              </w:rPr>
              <w:t>в 2,0-2,9 раза выше исходного в течение нескольких дней</w:t>
            </w:r>
          </w:p>
        </w:tc>
        <w:tc>
          <w:tcPr>
            <w:tcW w:w="2409" w:type="dxa"/>
            <w:tcBorders>
              <w:top w:val="single" w:sz="4" w:space="0" w:color="auto"/>
              <w:left w:val="single" w:sz="4" w:space="0" w:color="auto"/>
              <w:bottom w:val="single" w:sz="4" w:space="0" w:color="auto"/>
              <w:right w:val="single" w:sz="4" w:space="0" w:color="auto"/>
            </w:tcBorders>
            <w:hideMark/>
          </w:tcPr>
          <w:p w14:paraId="50F69B72" w14:textId="77777777" w:rsidR="009E28A6" w:rsidRPr="00F65F6F" w:rsidRDefault="009E28A6" w:rsidP="002D3EBF">
            <w:pPr>
              <w:tabs>
                <w:tab w:val="left" w:pos="284"/>
                <w:tab w:val="left" w:pos="567"/>
              </w:tabs>
              <w:rPr>
                <w:rFonts w:eastAsia="Calibri"/>
              </w:rPr>
            </w:pPr>
            <w:r w:rsidRPr="00F65F6F">
              <w:rPr>
                <w:rFonts w:eastAsia="Calibri"/>
              </w:rPr>
              <w:t>Менее 0,5 мл/кг/час в течение более 12 часов</w:t>
            </w:r>
          </w:p>
        </w:tc>
      </w:tr>
      <w:tr w:rsidR="009E28A6" w:rsidRPr="00F65F6F" w14:paraId="3F83E9EC" w14:textId="77777777" w:rsidTr="002D3EBF">
        <w:tc>
          <w:tcPr>
            <w:tcW w:w="949" w:type="dxa"/>
            <w:tcBorders>
              <w:top w:val="single" w:sz="4" w:space="0" w:color="auto"/>
              <w:left w:val="single" w:sz="4" w:space="0" w:color="auto"/>
              <w:bottom w:val="single" w:sz="4" w:space="0" w:color="auto"/>
              <w:right w:val="single" w:sz="4" w:space="0" w:color="auto"/>
            </w:tcBorders>
            <w:hideMark/>
          </w:tcPr>
          <w:p w14:paraId="2C76A12F" w14:textId="77777777" w:rsidR="009E28A6" w:rsidRPr="00F65F6F" w:rsidRDefault="009E28A6" w:rsidP="002D3EBF">
            <w:pPr>
              <w:tabs>
                <w:tab w:val="left" w:pos="284"/>
                <w:tab w:val="left" w:pos="567"/>
              </w:tabs>
              <w:rPr>
                <w:rFonts w:eastAsia="Calibri"/>
              </w:rPr>
            </w:pPr>
            <w:r w:rsidRPr="00F65F6F">
              <w:rPr>
                <w:rFonts w:eastAsia="Calibri"/>
              </w:rPr>
              <w:t>3</w:t>
            </w:r>
          </w:p>
        </w:tc>
        <w:tc>
          <w:tcPr>
            <w:tcW w:w="5288" w:type="dxa"/>
            <w:tcBorders>
              <w:top w:val="single" w:sz="4" w:space="0" w:color="auto"/>
              <w:left w:val="single" w:sz="4" w:space="0" w:color="auto"/>
              <w:bottom w:val="single" w:sz="4" w:space="0" w:color="auto"/>
              <w:right w:val="single" w:sz="4" w:space="0" w:color="auto"/>
            </w:tcBorders>
            <w:hideMark/>
          </w:tcPr>
          <w:p w14:paraId="5E125CF7" w14:textId="77777777" w:rsidR="009E28A6" w:rsidRPr="00F65F6F" w:rsidRDefault="009E28A6" w:rsidP="002D3EBF">
            <w:pPr>
              <w:tabs>
                <w:tab w:val="left" w:pos="284"/>
                <w:tab w:val="left" w:pos="567"/>
              </w:tabs>
              <w:rPr>
                <w:rFonts w:eastAsia="Calibri"/>
              </w:rPr>
            </w:pPr>
            <w:r w:rsidRPr="00F65F6F">
              <w:rPr>
                <w:rFonts w:eastAsia="Calibri"/>
              </w:rPr>
              <w:t>в 3,0 раза выше исходного в течение нескольких дней</w:t>
            </w:r>
          </w:p>
          <w:p w14:paraId="01856838" w14:textId="77777777" w:rsidR="009E28A6" w:rsidRPr="00F65F6F" w:rsidRDefault="009E28A6" w:rsidP="002D3EBF">
            <w:pPr>
              <w:tabs>
                <w:tab w:val="left" w:pos="284"/>
                <w:tab w:val="left" w:pos="567"/>
              </w:tabs>
              <w:rPr>
                <w:rFonts w:eastAsia="Calibri"/>
              </w:rPr>
            </w:pPr>
            <w:r w:rsidRPr="00F65F6F">
              <w:rPr>
                <w:rFonts w:eastAsia="Calibri"/>
              </w:rPr>
              <w:t>и более 354 мкмоль/л</w:t>
            </w:r>
          </w:p>
          <w:p w14:paraId="75FBE2D0" w14:textId="77777777" w:rsidR="009E28A6" w:rsidRPr="00F65F6F" w:rsidRDefault="009E28A6" w:rsidP="002D3EBF">
            <w:pPr>
              <w:tabs>
                <w:tab w:val="left" w:pos="284"/>
                <w:tab w:val="left" w:pos="567"/>
              </w:tabs>
              <w:rPr>
                <w:rFonts w:eastAsia="Calibri"/>
              </w:rPr>
            </w:pPr>
            <w:r w:rsidRPr="00F65F6F">
              <w:rPr>
                <w:rFonts w:eastAsia="Calibri"/>
              </w:rPr>
              <w:t>или</w:t>
            </w:r>
            <w:r w:rsidRPr="00F65F6F">
              <w:rPr>
                <w:rFonts w:eastAsia="Calibri"/>
                <w:vertAlign w:val="superscript"/>
              </w:rPr>
              <w:t xml:space="preserve"> </w:t>
            </w:r>
            <w:r w:rsidRPr="00F65F6F">
              <w:rPr>
                <w:rFonts w:eastAsia="Calibri"/>
              </w:rPr>
              <w:t>расчетная СКФ* стала менее 35 мл/мин//1,73 м</w:t>
            </w:r>
            <w:r w:rsidRPr="00F65F6F">
              <w:rPr>
                <w:rFonts w:eastAsia="Calibri"/>
                <w:vertAlign w:val="superscript"/>
              </w:rPr>
              <w:t>2</w:t>
            </w:r>
          </w:p>
        </w:tc>
        <w:tc>
          <w:tcPr>
            <w:tcW w:w="2409" w:type="dxa"/>
            <w:tcBorders>
              <w:top w:val="single" w:sz="4" w:space="0" w:color="auto"/>
              <w:left w:val="single" w:sz="4" w:space="0" w:color="auto"/>
              <w:bottom w:val="single" w:sz="4" w:space="0" w:color="auto"/>
              <w:right w:val="single" w:sz="4" w:space="0" w:color="auto"/>
            </w:tcBorders>
            <w:hideMark/>
          </w:tcPr>
          <w:p w14:paraId="5B3947CA" w14:textId="77777777" w:rsidR="009E28A6" w:rsidRPr="00F65F6F" w:rsidRDefault="009E28A6" w:rsidP="002D3EBF">
            <w:pPr>
              <w:tabs>
                <w:tab w:val="left" w:pos="284"/>
                <w:tab w:val="left" w:pos="567"/>
              </w:tabs>
              <w:rPr>
                <w:rFonts w:eastAsia="Calibri"/>
              </w:rPr>
            </w:pPr>
            <w:r w:rsidRPr="00F65F6F">
              <w:rPr>
                <w:rFonts w:eastAsia="Calibri"/>
              </w:rPr>
              <w:t>Менее 0,3 мл/кг/час в течение суток и дольше</w:t>
            </w:r>
          </w:p>
        </w:tc>
      </w:tr>
    </w:tbl>
    <w:p w14:paraId="42B1DEE5" w14:textId="77777777" w:rsidR="009E28A6" w:rsidRPr="00F65F6F" w:rsidRDefault="009E28A6" w:rsidP="009E28A6">
      <w:pPr>
        <w:tabs>
          <w:tab w:val="left" w:pos="284"/>
          <w:tab w:val="left" w:pos="567"/>
        </w:tabs>
        <w:contextualSpacing/>
        <w:rPr>
          <w:rFonts w:eastAsia="Calibri"/>
        </w:rPr>
      </w:pPr>
      <w:r w:rsidRPr="00F65F6F">
        <w:rPr>
          <w:rFonts w:eastAsia="Calibri"/>
        </w:rPr>
        <w:tab/>
      </w:r>
      <w:r w:rsidRPr="00F65F6F">
        <w:rPr>
          <w:rFonts w:eastAsia="Calibri"/>
        </w:rPr>
        <w:tab/>
        <w:t>* СКФ – скорость клубочковой фильтрации</w:t>
      </w:r>
    </w:p>
    <w:p w14:paraId="3CC0E111" w14:textId="77777777" w:rsidR="009E28A6" w:rsidRDefault="009E28A6" w:rsidP="009E28A6">
      <w:pPr>
        <w:tabs>
          <w:tab w:val="left" w:pos="284"/>
          <w:tab w:val="left" w:pos="567"/>
        </w:tabs>
        <w:contextualSpacing/>
        <w:rPr>
          <w:rFonts w:eastAsia="Calibri"/>
        </w:rPr>
      </w:pPr>
      <w:r w:rsidRPr="00F65F6F">
        <w:rPr>
          <w:rFonts w:eastAsia="Calibri"/>
        </w:rPr>
        <w:tab/>
      </w:r>
      <w:r w:rsidRPr="00F65F6F">
        <w:rPr>
          <w:rFonts w:eastAsia="Calibri"/>
        </w:rPr>
        <w:tab/>
      </w:r>
    </w:p>
    <w:p w14:paraId="4E8715E7" w14:textId="77777777" w:rsidR="009E28A6" w:rsidRPr="00F65F6F" w:rsidRDefault="009E28A6" w:rsidP="009E28A6">
      <w:pPr>
        <w:tabs>
          <w:tab w:val="left" w:pos="284"/>
          <w:tab w:val="left" w:pos="567"/>
        </w:tabs>
        <w:ind w:firstLine="709"/>
        <w:contextualSpacing/>
        <w:rPr>
          <w:rFonts w:eastAsia="Calibri"/>
        </w:rPr>
      </w:pPr>
      <w:r w:rsidRPr="00F65F6F">
        <w:rPr>
          <w:rFonts w:eastAsia="Calibri"/>
        </w:rPr>
        <w:t xml:space="preserve">Хроническая болезнь почек (ХБП) – синдром, характеризующийся стойким уменьшением массы действующих нефронов или их повреждением и проявляющийся изменением состава мочи, альбуминурией и/или снижением скорости клубочковой фильтрации (СКФ, в норме составляет 100-120 мл/мин), которые сохраняются в течение 3 и более месяцев. Критерием диагноза ХБП является наличие любого из следующих маркеров повреждения почек: </w:t>
      </w:r>
    </w:p>
    <w:p w14:paraId="2F6018C2" w14:textId="77777777" w:rsidR="009E28A6" w:rsidRPr="009332DB" w:rsidRDefault="009E28A6" w:rsidP="00CF0CD2">
      <w:pPr>
        <w:pStyle w:val="afe"/>
        <w:numPr>
          <w:ilvl w:val="0"/>
          <w:numId w:val="109"/>
        </w:numPr>
        <w:tabs>
          <w:tab w:val="left" w:pos="284"/>
          <w:tab w:val="left" w:pos="567"/>
        </w:tabs>
        <w:rPr>
          <w:rFonts w:eastAsia="Calibri" w:cs="Times New Roman"/>
          <w:szCs w:val="24"/>
        </w:rPr>
      </w:pPr>
      <w:r w:rsidRPr="009332DB">
        <w:rPr>
          <w:rFonts w:eastAsia="Calibri" w:cs="Times New Roman"/>
          <w:szCs w:val="24"/>
        </w:rPr>
        <w:t>необратимых структурных изменений, выявленных методами медицинской визуализации или при морфологическом исследовании почечного биоптата;</w:t>
      </w:r>
    </w:p>
    <w:p w14:paraId="14A29C27" w14:textId="77777777" w:rsidR="009E28A6" w:rsidRPr="009332DB" w:rsidRDefault="009E28A6" w:rsidP="00CF0CD2">
      <w:pPr>
        <w:pStyle w:val="afe"/>
        <w:numPr>
          <w:ilvl w:val="0"/>
          <w:numId w:val="109"/>
        </w:numPr>
        <w:tabs>
          <w:tab w:val="left" w:pos="284"/>
          <w:tab w:val="left" w:pos="567"/>
        </w:tabs>
        <w:rPr>
          <w:rFonts w:eastAsia="Calibri" w:cs="Times New Roman"/>
          <w:szCs w:val="24"/>
        </w:rPr>
      </w:pPr>
      <w:r w:rsidRPr="009332DB">
        <w:rPr>
          <w:rFonts w:eastAsia="Calibri" w:cs="Times New Roman"/>
          <w:szCs w:val="24"/>
        </w:rPr>
        <w:lastRenderedPageBreak/>
        <w:t>выраженного изменения состава мочи или альбуминурии (более 30 мг/сут.), сохраняющихся при повторных исследованиях в течение не менее 3 мес.;</w:t>
      </w:r>
    </w:p>
    <w:p w14:paraId="3D4D3732" w14:textId="77777777" w:rsidR="009E28A6" w:rsidRPr="009332DB" w:rsidRDefault="009E28A6" w:rsidP="00CF0CD2">
      <w:pPr>
        <w:pStyle w:val="afe"/>
        <w:numPr>
          <w:ilvl w:val="0"/>
          <w:numId w:val="109"/>
        </w:numPr>
        <w:tabs>
          <w:tab w:val="left" w:pos="284"/>
          <w:tab w:val="left" w:pos="567"/>
        </w:tabs>
        <w:rPr>
          <w:rFonts w:eastAsia="Calibri" w:cs="Times New Roman"/>
          <w:szCs w:val="24"/>
        </w:rPr>
      </w:pPr>
      <w:r w:rsidRPr="009332DB">
        <w:rPr>
          <w:rFonts w:eastAsia="Calibri" w:cs="Times New Roman"/>
          <w:szCs w:val="24"/>
        </w:rPr>
        <w:t>стойкого снижения СКФ до уровня менее 60 мл/мин./1,73 м</w:t>
      </w:r>
      <w:r w:rsidRPr="009332DB">
        <w:rPr>
          <w:rFonts w:eastAsia="Calibri" w:cs="Times New Roman"/>
          <w:szCs w:val="24"/>
          <w:vertAlign w:val="superscript"/>
        </w:rPr>
        <w:t>2</w:t>
      </w:r>
      <w:r w:rsidRPr="009332DB">
        <w:rPr>
          <w:rFonts w:eastAsia="Calibri" w:cs="Times New Roman"/>
          <w:szCs w:val="24"/>
        </w:rPr>
        <w:t xml:space="preserve"> (таб.3).</w:t>
      </w:r>
    </w:p>
    <w:p w14:paraId="564B4763" w14:textId="77777777" w:rsidR="009E28A6" w:rsidRPr="009332DB" w:rsidRDefault="009E28A6" w:rsidP="009E28A6">
      <w:pPr>
        <w:tabs>
          <w:tab w:val="left" w:pos="284"/>
          <w:tab w:val="left" w:pos="567"/>
        </w:tabs>
        <w:rPr>
          <w:rFonts w:eastAsia="Calibri"/>
        </w:rPr>
      </w:pPr>
    </w:p>
    <w:p w14:paraId="20FE9315" w14:textId="77777777" w:rsidR="009E28A6" w:rsidRPr="00F65F6F" w:rsidRDefault="009E28A6" w:rsidP="009E28A6">
      <w:pPr>
        <w:tabs>
          <w:tab w:val="left" w:pos="284"/>
          <w:tab w:val="left" w:pos="567"/>
        </w:tabs>
        <w:ind w:left="708"/>
        <w:rPr>
          <w:rFonts w:eastAsia="Calibri"/>
        </w:rPr>
      </w:pPr>
      <w:r w:rsidRPr="009332DB">
        <w:rPr>
          <w:rFonts w:eastAsia="Calibri"/>
        </w:rPr>
        <w:t>Таблица 3. Стадии хронической болезни почек в зависимости от величины скорости клубочковой фильтрации (СКФ).</w:t>
      </w:r>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969"/>
        <w:gridCol w:w="1701"/>
      </w:tblGrid>
      <w:tr w:rsidR="009E28A6" w:rsidRPr="00F65F6F" w14:paraId="67D0066E" w14:textId="77777777" w:rsidTr="002D3EBF">
        <w:tc>
          <w:tcPr>
            <w:tcW w:w="2552" w:type="dxa"/>
            <w:tcBorders>
              <w:top w:val="single" w:sz="4" w:space="0" w:color="auto"/>
              <w:left w:val="single" w:sz="4" w:space="0" w:color="auto"/>
              <w:bottom w:val="single" w:sz="4" w:space="0" w:color="auto"/>
              <w:right w:val="single" w:sz="4" w:space="0" w:color="auto"/>
            </w:tcBorders>
            <w:hideMark/>
          </w:tcPr>
          <w:p w14:paraId="615D589B" w14:textId="77777777" w:rsidR="009E28A6" w:rsidRPr="00F65F6F" w:rsidRDefault="009E28A6" w:rsidP="002D3EBF">
            <w:pPr>
              <w:tabs>
                <w:tab w:val="left" w:pos="284"/>
                <w:tab w:val="left" w:pos="567"/>
              </w:tabs>
              <w:rPr>
                <w:rFonts w:eastAsia="Calibri"/>
              </w:rPr>
            </w:pPr>
            <w:r w:rsidRPr="00F65F6F">
              <w:rPr>
                <w:rFonts w:eastAsia="Calibri"/>
              </w:rPr>
              <w:t>СКФ, мл/мин./1,73 м</w:t>
            </w:r>
            <w:r w:rsidRPr="00F65F6F">
              <w:rPr>
                <w:rFonts w:eastAsia="Calibri"/>
                <w:vertAlign w:val="superscript"/>
              </w:rPr>
              <w:t>2</w:t>
            </w:r>
          </w:p>
        </w:tc>
        <w:tc>
          <w:tcPr>
            <w:tcW w:w="3969" w:type="dxa"/>
            <w:tcBorders>
              <w:top w:val="single" w:sz="4" w:space="0" w:color="auto"/>
              <w:left w:val="single" w:sz="4" w:space="0" w:color="auto"/>
              <w:bottom w:val="single" w:sz="4" w:space="0" w:color="auto"/>
              <w:right w:val="single" w:sz="4" w:space="0" w:color="auto"/>
            </w:tcBorders>
            <w:hideMark/>
          </w:tcPr>
          <w:p w14:paraId="551D1331" w14:textId="77777777" w:rsidR="009E28A6" w:rsidRPr="00F65F6F" w:rsidRDefault="009E28A6" w:rsidP="002D3EBF">
            <w:pPr>
              <w:tabs>
                <w:tab w:val="left" w:pos="284"/>
                <w:tab w:val="left" w:pos="567"/>
              </w:tabs>
              <w:rPr>
                <w:rFonts w:eastAsia="Calibri"/>
              </w:rPr>
            </w:pPr>
            <w:r w:rsidRPr="00F65F6F">
              <w:rPr>
                <w:rFonts w:eastAsia="Calibri"/>
              </w:rPr>
              <w:t>Мочевой синдром или изолированная альбуминурия</w:t>
            </w:r>
          </w:p>
        </w:tc>
        <w:tc>
          <w:tcPr>
            <w:tcW w:w="1701" w:type="dxa"/>
            <w:tcBorders>
              <w:top w:val="single" w:sz="4" w:space="0" w:color="auto"/>
              <w:left w:val="single" w:sz="4" w:space="0" w:color="auto"/>
              <w:bottom w:val="single" w:sz="4" w:space="0" w:color="auto"/>
              <w:right w:val="single" w:sz="4" w:space="0" w:color="auto"/>
            </w:tcBorders>
            <w:hideMark/>
          </w:tcPr>
          <w:p w14:paraId="57761352" w14:textId="77777777" w:rsidR="009E28A6" w:rsidRPr="00F65F6F" w:rsidRDefault="009E28A6" w:rsidP="002D3EBF">
            <w:pPr>
              <w:tabs>
                <w:tab w:val="left" w:pos="284"/>
                <w:tab w:val="left" w:pos="567"/>
              </w:tabs>
              <w:rPr>
                <w:rFonts w:eastAsia="Calibri"/>
              </w:rPr>
            </w:pPr>
            <w:r w:rsidRPr="00F65F6F">
              <w:rPr>
                <w:rFonts w:eastAsia="Calibri"/>
              </w:rPr>
              <w:t>Стадия ХБП</w:t>
            </w:r>
          </w:p>
        </w:tc>
      </w:tr>
      <w:tr w:rsidR="009E28A6" w:rsidRPr="00F65F6F" w14:paraId="5EE4A679" w14:textId="77777777" w:rsidTr="002D3EBF">
        <w:tc>
          <w:tcPr>
            <w:tcW w:w="2552" w:type="dxa"/>
            <w:tcBorders>
              <w:top w:val="single" w:sz="4" w:space="0" w:color="auto"/>
              <w:left w:val="single" w:sz="4" w:space="0" w:color="auto"/>
              <w:bottom w:val="single" w:sz="4" w:space="0" w:color="auto"/>
              <w:right w:val="single" w:sz="4" w:space="0" w:color="auto"/>
            </w:tcBorders>
            <w:hideMark/>
          </w:tcPr>
          <w:p w14:paraId="32939B67" w14:textId="77777777" w:rsidR="009E28A6" w:rsidRPr="00F65F6F" w:rsidRDefault="009E28A6" w:rsidP="002D3EBF">
            <w:pPr>
              <w:tabs>
                <w:tab w:val="left" w:pos="284"/>
                <w:tab w:val="left" w:pos="567"/>
              </w:tabs>
              <w:rPr>
                <w:rFonts w:eastAsia="Calibri"/>
              </w:rPr>
            </w:pPr>
            <w:r w:rsidRPr="00F65F6F">
              <w:rPr>
                <w:rFonts w:eastAsia="Calibri"/>
              </w:rPr>
              <w:t>Выше 90</w:t>
            </w:r>
          </w:p>
        </w:tc>
        <w:tc>
          <w:tcPr>
            <w:tcW w:w="3969" w:type="dxa"/>
            <w:tcBorders>
              <w:top w:val="single" w:sz="4" w:space="0" w:color="auto"/>
              <w:left w:val="single" w:sz="4" w:space="0" w:color="auto"/>
              <w:bottom w:val="single" w:sz="4" w:space="0" w:color="auto"/>
              <w:right w:val="single" w:sz="4" w:space="0" w:color="auto"/>
            </w:tcBorders>
            <w:hideMark/>
          </w:tcPr>
          <w:p w14:paraId="63BD9868" w14:textId="77777777" w:rsidR="009E28A6" w:rsidRPr="00F65F6F" w:rsidRDefault="009E28A6" w:rsidP="002D3EBF">
            <w:pPr>
              <w:tabs>
                <w:tab w:val="left" w:pos="284"/>
                <w:tab w:val="left" w:pos="567"/>
              </w:tabs>
              <w:rPr>
                <w:rFonts w:eastAsia="Calibri"/>
              </w:rPr>
            </w:pPr>
            <w:r w:rsidRPr="00F65F6F">
              <w:rPr>
                <w:rFonts w:eastAsia="Calibri"/>
              </w:rPr>
              <w:t>Есть</w:t>
            </w:r>
          </w:p>
        </w:tc>
        <w:tc>
          <w:tcPr>
            <w:tcW w:w="1701" w:type="dxa"/>
            <w:tcBorders>
              <w:top w:val="single" w:sz="4" w:space="0" w:color="auto"/>
              <w:left w:val="single" w:sz="4" w:space="0" w:color="auto"/>
              <w:bottom w:val="single" w:sz="4" w:space="0" w:color="auto"/>
              <w:right w:val="single" w:sz="4" w:space="0" w:color="auto"/>
            </w:tcBorders>
            <w:hideMark/>
          </w:tcPr>
          <w:p w14:paraId="7B8CAD63" w14:textId="77777777" w:rsidR="009E28A6" w:rsidRPr="00F65F6F" w:rsidRDefault="009E28A6" w:rsidP="002D3EBF">
            <w:pPr>
              <w:tabs>
                <w:tab w:val="left" w:pos="284"/>
                <w:tab w:val="left" w:pos="567"/>
              </w:tabs>
              <w:rPr>
                <w:rFonts w:eastAsia="Calibri"/>
              </w:rPr>
            </w:pPr>
            <w:r w:rsidRPr="00F65F6F">
              <w:rPr>
                <w:rFonts w:eastAsia="Calibri"/>
              </w:rPr>
              <w:t>1</w:t>
            </w:r>
          </w:p>
        </w:tc>
      </w:tr>
      <w:tr w:rsidR="009E28A6" w:rsidRPr="00F65F6F" w14:paraId="20CC5734" w14:textId="77777777" w:rsidTr="002D3EBF">
        <w:tc>
          <w:tcPr>
            <w:tcW w:w="2552" w:type="dxa"/>
            <w:tcBorders>
              <w:top w:val="single" w:sz="4" w:space="0" w:color="auto"/>
              <w:left w:val="single" w:sz="4" w:space="0" w:color="auto"/>
              <w:bottom w:val="single" w:sz="4" w:space="0" w:color="auto"/>
              <w:right w:val="single" w:sz="4" w:space="0" w:color="auto"/>
            </w:tcBorders>
            <w:hideMark/>
          </w:tcPr>
          <w:p w14:paraId="04D36560" w14:textId="77777777" w:rsidR="009E28A6" w:rsidRPr="00F65F6F" w:rsidRDefault="009E28A6" w:rsidP="002D3EBF">
            <w:pPr>
              <w:tabs>
                <w:tab w:val="left" w:pos="284"/>
                <w:tab w:val="left" w:pos="567"/>
              </w:tabs>
              <w:rPr>
                <w:rFonts w:eastAsia="Calibri"/>
              </w:rPr>
            </w:pPr>
            <w:r w:rsidRPr="00F65F6F">
              <w:rPr>
                <w:rFonts w:eastAsia="Calibri"/>
              </w:rPr>
              <w:t>60-89</w:t>
            </w:r>
          </w:p>
        </w:tc>
        <w:tc>
          <w:tcPr>
            <w:tcW w:w="3969" w:type="dxa"/>
            <w:tcBorders>
              <w:top w:val="single" w:sz="4" w:space="0" w:color="auto"/>
              <w:left w:val="single" w:sz="4" w:space="0" w:color="auto"/>
              <w:bottom w:val="single" w:sz="4" w:space="0" w:color="auto"/>
              <w:right w:val="single" w:sz="4" w:space="0" w:color="auto"/>
            </w:tcBorders>
            <w:hideMark/>
          </w:tcPr>
          <w:p w14:paraId="3CE4B931" w14:textId="77777777" w:rsidR="009E28A6" w:rsidRPr="00F65F6F" w:rsidRDefault="009E28A6" w:rsidP="002D3EBF">
            <w:pPr>
              <w:tabs>
                <w:tab w:val="left" w:pos="284"/>
                <w:tab w:val="left" w:pos="567"/>
              </w:tabs>
              <w:rPr>
                <w:rFonts w:eastAsia="Calibri"/>
              </w:rPr>
            </w:pPr>
            <w:r w:rsidRPr="00F65F6F">
              <w:rPr>
                <w:rFonts w:eastAsia="Calibri"/>
              </w:rPr>
              <w:t>Есть</w:t>
            </w:r>
          </w:p>
        </w:tc>
        <w:tc>
          <w:tcPr>
            <w:tcW w:w="1701" w:type="dxa"/>
            <w:tcBorders>
              <w:top w:val="single" w:sz="4" w:space="0" w:color="auto"/>
              <w:left w:val="single" w:sz="4" w:space="0" w:color="auto"/>
              <w:bottom w:val="single" w:sz="4" w:space="0" w:color="auto"/>
              <w:right w:val="single" w:sz="4" w:space="0" w:color="auto"/>
            </w:tcBorders>
            <w:hideMark/>
          </w:tcPr>
          <w:p w14:paraId="2DA151D0" w14:textId="77777777" w:rsidR="009E28A6" w:rsidRPr="00F65F6F" w:rsidRDefault="009E28A6" w:rsidP="002D3EBF">
            <w:pPr>
              <w:tabs>
                <w:tab w:val="left" w:pos="284"/>
                <w:tab w:val="left" w:pos="567"/>
              </w:tabs>
              <w:rPr>
                <w:rFonts w:eastAsia="Calibri"/>
              </w:rPr>
            </w:pPr>
            <w:r w:rsidRPr="00F65F6F">
              <w:rPr>
                <w:rFonts w:eastAsia="Calibri"/>
              </w:rPr>
              <w:t>2</w:t>
            </w:r>
          </w:p>
        </w:tc>
      </w:tr>
      <w:tr w:rsidR="009E28A6" w:rsidRPr="00F65F6F" w14:paraId="6B93C2D7" w14:textId="77777777" w:rsidTr="002D3EBF">
        <w:tc>
          <w:tcPr>
            <w:tcW w:w="2552" w:type="dxa"/>
            <w:tcBorders>
              <w:top w:val="single" w:sz="4" w:space="0" w:color="auto"/>
              <w:left w:val="single" w:sz="4" w:space="0" w:color="auto"/>
              <w:bottom w:val="single" w:sz="4" w:space="0" w:color="auto"/>
              <w:right w:val="single" w:sz="4" w:space="0" w:color="auto"/>
            </w:tcBorders>
            <w:hideMark/>
          </w:tcPr>
          <w:p w14:paraId="5A3A3A09" w14:textId="77777777" w:rsidR="009E28A6" w:rsidRPr="00F65F6F" w:rsidRDefault="009E28A6" w:rsidP="002D3EBF">
            <w:pPr>
              <w:tabs>
                <w:tab w:val="left" w:pos="284"/>
                <w:tab w:val="left" w:pos="567"/>
              </w:tabs>
              <w:rPr>
                <w:rFonts w:eastAsia="Calibri"/>
              </w:rPr>
            </w:pPr>
            <w:r w:rsidRPr="00F65F6F">
              <w:rPr>
                <w:rFonts w:eastAsia="Calibri"/>
              </w:rPr>
              <w:t>45-59</w:t>
            </w:r>
          </w:p>
        </w:tc>
        <w:tc>
          <w:tcPr>
            <w:tcW w:w="3969" w:type="dxa"/>
            <w:tcBorders>
              <w:top w:val="single" w:sz="4" w:space="0" w:color="auto"/>
              <w:left w:val="single" w:sz="4" w:space="0" w:color="auto"/>
              <w:bottom w:val="single" w:sz="4" w:space="0" w:color="auto"/>
              <w:right w:val="single" w:sz="4" w:space="0" w:color="auto"/>
            </w:tcBorders>
            <w:hideMark/>
          </w:tcPr>
          <w:p w14:paraId="06D14470" w14:textId="77777777" w:rsidR="009E28A6" w:rsidRPr="00F65F6F" w:rsidRDefault="009E28A6" w:rsidP="002D3EBF">
            <w:pPr>
              <w:tabs>
                <w:tab w:val="left" w:pos="284"/>
                <w:tab w:val="left" w:pos="567"/>
              </w:tabs>
              <w:rPr>
                <w:rFonts w:eastAsia="Calibri"/>
              </w:rPr>
            </w:pPr>
            <w:r w:rsidRPr="00F65F6F">
              <w:rPr>
                <w:rFonts w:eastAsia="Calibri"/>
              </w:rPr>
              <w:t>Не обязательно</w:t>
            </w:r>
          </w:p>
        </w:tc>
        <w:tc>
          <w:tcPr>
            <w:tcW w:w="1701" w:type="dxa"/>
            <w:tcBorders>
              <w:top w:val="single" w:sz="4" w:space="0" w:color="auto"/>
              <w:left w:val="single" w:sz="4" w:space="0" w:color="auto"/>
              <w:bottom w:val="single" w:sz="4" w:space="0" w:color="auto"/>
              <w:right w:val="single" w:sz="4" w:space="0" w:color="auto"/>
            </w:tcBorders>
            <w:hideMark/>
          </w:tcPr>
          <w:p w14:paraId="253B3602" w14:textId="77777777" w:rsidR="009E28A6" w:rsidRPr="00F65F6F" w:rsidRDefault="009E28A6" w:rsidP="002D3EBF">
            <w:pPr>
              <w:tabs>
                <w:tab w:val="left" w:pos="284"/>
                <w:tab w:val="left" w:pos="567"/>
              </w:tabs>
              <w:rPr>
                <w:rFonts w:eastAsia="Calibri"/>
              </w:rPr>
            </w:pPr>
            <w:r w:rsidRPr="00F65F6F">
              <w:rPr>
                <w:rFonts w:eastAsia="Calibri"/>
              </w:rPr>
              <w:t>3а</w:t>
            </w:r>
          </w:p>
        </w:tc>
      </w:tr>
      <w:tr w:rsidR="009E28A6" w:rsidRPr="00F65F6F" w14:paraId="308130A2" w14:textId="77777777" w:rsidTr="002D3EBF">
        <w:tc>
          <w:tcPr>
            <w:tcW w:w="2552" w:type="dxa"/>
            <w:tcBorders>
              <w:top w:val="single" w:sz="4" w:space="0" w:color="auto"/>
              <w:left w:val="single" w:sz="4" w:space="0" w:color="auto"/>
              <w:bottom w:val="single" w:sz="4" w:space="0" w:color="auto"/>
              <w:right w:val="single" w:sz="4" w:space="0" w:color="auto"/>
            </w:tcBorders>
            <w:hideMark/>
          </w:tcPr>
          <w:p w14:paraId="1EA6A353" w14:textId="77777777" w:rsidR="009E28A6" w:rsidRPr="00F65F6F" w:rsidRDefault="009E28A6" w:rsidP="002D3EBF">
            <w:pPr>
              <w:tabs>
                <w:tab w:val="left" w:pos="284"/>
                <w:tab w:val="left" w:pos="567"/>
              </w:tabs>
              <w:rPr>
                <w:rFonts w:eastAsia="Calibri"/>
              </w:rPr>
            </w:pPr>
            <w:r w:rsidRPr="00F65F6F">
              <w:rPr>
                <w:rFonts w:eastAsia="Calibri"/>
              </w:rPr>
              <w:t>30-44</w:t>
            </w:r>
          </w:p>
        </w:tc>
        <w:tc>
          <w:tcPr>
            <w:tcW w:w="3969" w:type="dxa"/>
            <w:tcBorders>
              <w:top w:val="single" w:sz="4" w:space="0" w:color="auto"/>
              <w:left w:val="single" w:sz="4" w:space="0" w:color="auto"/>
              <w:bottom w:val="single" w:sz="4" w:space="0" w:color="auto"/>
              <w:right w:val="single" w:sz="4" w:space="0" w:color="auto"/>
            </w:tcBorders>
            <w:hideMark/>
          </w:tcPr>
          <w:p w14:paraId="79D46C4F" w14:textId="77777777" w:rsidR="009E28A6" w:rsidRPr="00F65F6F" w:rsidRDefault="009E28A6" w:rsidP="002D3EBF">
            <w:pPr>
              <w:tabs>
                <w:tab w:val="left" w:pos="284"/>
                <w:tab w:val="left" w:pos="567"/>
              </w:tabs>
              <w:rPr>
                <w:rFonts w:eastAsia="Calibri"/>
              </w:rPr>
            </w:pPr>
            <w:r w:rsidRPr="00F65F6F">
              <w:rPr>
                <w:rFonts w:eastAsia="Calibri"/>
              </w:rPr>
              <w:t>Не обязательно</w:t>
            </w:r>
          </w:p>
        </w:tc>
        <w:tc>
          <w:tcPr>
            <w:tcW w:w="1701" w:type="dxa"/>
            <w:tcBorders>
              <w:top w:val="single" w:sz="4" w:space="0" w:color="auto"/>
              <w:left w:val="single" w:sz="4" w:space="0" w:color="auto"/>
              <w:bottom w:val="single" w:sz="4" w:space="0" w:color="auto"/>
              <w:right w:val="single" w:sz="4" w:space="0" w:color="auto"/>
            </w:tcBorders>
            <w:hideMark/>
          </w:tcPr>
          <w:p w14:paraId="654C05A3" w14:textId="77777777" w:rsidR="009E28A6" w:rsidRPr="00F65F6F" w:rsidRDefault="009E28A6" w:rsidP="002D3EBF">
            <w:pPr>
              <w:tabs>
                <w:tab w:val="left" w:pos="284"/>
                <w:tab w:val="left" w:pos="567"/>
              </w:tabs>
              <w:rPr>
                <w:rFonts w:eastAsia="Calibri"/>
              </w:rPr>
            </w:pPr>
            <w:r w:rsidRPr="00F65F6F">
              <w:rPr>
                <w:rFonts w:eastAsia="Calibri"/>
              </w:rPr>
              <w:t>3б</w:t>
            </w:r>
          </w:p>
        </w:tc>
      </w:tr>
      <w:tr w:rsidR="009E28A6" w:rsidRPr="00F65F6F" w14:paraId="013A852A" w14:textId="77777777" w:rsidTr="002D3EBF">
        <w:tc>
          <w:tcPr>
            <w:tcW w:w="2552" w:type="dxa"/>
            <w:tcBorders>
              <w:top w:val="single" w:sz="4" w:space="0" w:color="auto"/>
              <w:left w:val="single" w:sz="4" w:space="0" w:color="auto"/>
              <w:bottom w:val="single" w:sz="4" w:space="0" w:color="auto"/>
              <w:right w:val="single" w:sz="4" w:space="0" w:color="auto"/>
            </w:tcBorders>
            <w:hideMark/>
          </w:tcPr>
          <w:p w14:paraId="67337856" w14:textId="77777777" w:rsidR="009E28A6" w:rsidRPr="00F65F6F" w:rsidRDefault="009E28A6" w:rsidP="002D3EBF">
            <w:pPr>
              <w:tabs>
                <w:tab w:val="left" w:pos="284"/>
                <w:tab w:val="left" w:pos="567"/>
              </w:tabs>
              <w:rPr>
                <w:rFonts w:eastAsia="Calibri"/>
              </w:rPr>
            </w:pPr>
            <w:r w:rsidRPr="00F65F6F">
              <w:rPr>
                <w:rFonts w:eastAsia="Calibri"/>
              </w:rPr>
              <w:t>15-29</w:t>
            </w:r>
          </w:p>
        </w:tc>
        <w:tc>
          <w:tcPr>
            <w:tcW w:w="3969" w:type="dxa"/>
            <w:tcBorders>
              <w:top w:val="single" w:sz="4" w:space="0" w:color="auto"/>
              <w:left w:val="single" w:sz="4" w:space="0" w:color="auto"/>
              <w:bottom w:val="single" w:sz="4" w:space="0" w:color="auto"/>
              <w:right w:val="single" w:sz="4" w:space="0" w:color="auto"/>
            </w:tcBorders>
            <w:hideMark/>
          </w:tcPr>
          <w:p w14:paraId="3C9C7201" w14:textId="77777777" w:rsidR="009E28A6" w:rsidRPr="00F65F6F" w:rsidRDefault="009E28A6" w:rsidP="002D3EBF">
            <w:pPr>
              <w:tabs>
                <w:tab w:val="left" w:pos="284"/>
                <w:tab w:val="left" w:pos="567"/>
              </w:tabs>
              <w:rPr>
                <w:rFonts w:eastAsia="Calibri"/>
              </w:rPr>
            </w:pPr>
            <w:r w:rsidRPr="00F65F6F">
              <w:rPr>
                <w:rFonts w:eastAsia="Calibri"/>
              </w:rPr>
              <w:t>Не обязательно</w:t>
            </w:r>
          </w:p>
        </w:tc>
        <w:tc>
          <w:tcPr>
            <w:tcW w:w="1701" w:type="dxa"/>
            <w:tcBorders>
              <w:top w:val="single" w:sz="4" w:space="0" w:color="auto"/>
              <w:left w:val="single" w:sz="4" w:space="0" w:color="auto"/>
              <w:bottom w:val="single" w:sz="4" w:space="0" w:color="auto"/>
              <w:right w:val="single" w:sz="4" w:space="0" w:color="auto"/>
            </w:tcBorders>
            <w:hideMark/>
          </w:tcPr>
          <w:p w14:paraId="58CE6661" w14:textId="77777777" w:rsidR="009E28A6" w:rsidRPr="00F65F6F" w:rsidRDefault="009E28A6" w:rsidP="002D3EBF">
            <w:pPr>
              <w:tabs>
                <w:tab w:val="left" w:pos="284"/>
                <w:tab w:val="left" w:pos="567"/>
              </w:tabs>
              <w:rPr>
                <w:rFonts w:eastAsia="Calibri"/>
              </w:rPr>
            </w:pPr>
            <w:r w:rsidRPr="00F65F6F">
              <w:rPr>
                <w:rFonts w:eastAsia="Calibri"/>
              </w:rPr>
              <w:t>4</w:t>
            </w:r>
          </w:p>
        </w:tc>
      </w:tr>
      <w:tr w:rsidR="009E28A6" w:rsidRPr="00F65F6F" w14:paraId="2322EF22" w14:textId="77777777" w:rsidTr="002D3EBF">
        <w:tc>
          <w:tcPr>
            <w:tcW w:w="2552" w:type="dxa"/>
            <w:tcBorders>
              <w:top w:val="single" w:sz="4" w:space="0" w:color="auto"/>
              <w:left w:val="single" w:sz="4" w:space="0" w:color="auto"/>
              <w:bottom w:val="single" w:sz="4" w:space="0" w:color="auto"/>
              <w:right w:val="single" w:sz="4" w:space="0" w:color="auto"/>
            </w:tcBorders>
            <w:hideMark/>
          </w:tcPr>
          <w:p w14:paraId="3D133B47" w14:textId="77777777" w:rsidR="009E28A6" w:rsidRPr="00F65F6F" w:rsidRDefault="009E28A6" w:rsidP="002D3EBF">
            <w:pPr>
              <w:tabs>
                <w:tab w:val="left" w:pos="284"/>
                <w:tab w:val="left" w:pos="567"/>
              </w:tabs>
              <w:rPr>
                <w:rFonts w:eastAsia="Calibri"/>
              </w:rPr>
            </w:pPr>
            <w:r w:rsidRPr="00F65F6F">
              <w:rPr>
                <w:rFonts w:eastAsia="Calibri"/>
              </w:rPr>
              <w:t>Ниже 15</w:t>
            </w:r>
          </w:p>
        </w:tc>
        <w:tc>
          <w:tcPr>
            <w:tcW w:w="3969" w:type="dxa"/>
            <w:tcBorders>
              <w:top w:val="single" w:sz="4" w:space="0" w:color="auto"/>
              <w:left w:val="single" w:sz="4" w:space="0" w:color="auto"/>
              <w:bottom w:val="single" w:sz="4" w:space="0" w:color="auto"/>
              <w:right w:val="single" w:sz="4" w:space="0" w:color="auto"/>
            </w:tcBorders>
            <w:hideMark/>
          </w:tcPr>
          <w:p w14:paraId="25D5F447" w14:textId="77777777" w:rsidR="009E28A6" w:rsidRPr="00F65F6F" w:rsidRDefault="009E28A6" w:rsidP="002D3EBF">
            <w:pPr>
              <w:tabs>
                <w:tab w:val="left" w:pos="284"/>
                <w:tab w:val="left" w:pos="567"/>
              </w:tabs>
              <w:rPr>
                <w:rFonts w:eastAsia="Calibri"/>
              </w:rPr>
            </w:pPr>
            <w:r w:rsidRPr="00F65F6F">
              <w:rPr>
                <w:rFonts w:eastAsia="Calibri"/>
              </w:rPr>
              <w:t>Не обязательно</w:t>
            </w:r>
          </w:p>
        </w:tc>
        <w:tc>
          <w:tcPr>
            <w:tcW w:w="1701" w:type="dxa"/>
            <w:tcBorders>
              <w:top w:val="single" w:sz="4" w:space="0" w:color="auto"/>
              <w:left w:val="single" w:sz="4" w:space="0" w:color="auto"/>
              <w:bottom w:val="single" w:sz="4" w:space="0" w:color="auto"/>
              <w:right w:val="single" w:sz="4" w:space="0" w:color="auto"/>
            </w:tcBorders>
            <w:hideMark/>
          </w:tcPr>
          <w:p w14:paraId="1C0912CC" w14:textId="77777777" w:rsidR="009E28A6" w:rsidRPr="00F65F6F" w:rsidRDefault="009E28A6" w:rsidP="002D3EBF">
            <w:pPr>
              <w:tabs>
                <w:tab w:val="left" w:pos="284"/>
                <w:tab w:val="left" w:pos="567"/>
              </w:tabs>
              <w:rPr>
                <w:rFonts w:eastAsia="Calibri"/>
              </w:rPr>
            </w:pPr>
            <w:r w:rsidRPr="00F65F6F">
              <w:rPr>
                <w:rFonts w:eastAsia="Calibri"/>
              </w:rPr>
              <w:t>5</w:t>
            </w:r>
          </w:p>
        </w:tc>
      </w:tr>
    </w:tbl>
    <w:p w14:paraId="0E3CA8B9" w14:textId="77777777" w:rsidR="009E28A6" w:rsidRPr="00F65F6F" w:rsidRDefault="009E28A6" w:rsidP="009E28A6">
      <w:pPr>
        <w:ind w:left="360"/>
        <w:contextualSpacing/>
      </w:pPr>
    </w:p>
    <w:p w14:paraId="48216B9E" w14:textId="4FBAC3EE" w:rsidR="009E28A6" w:rsidRPr="00FE0E8C" w:rsidRDefault="009E28A6" w:rsidP="009E28A6">
      <w:pPr>
        <w:autoSpaceDE w:val="0"/>
        <w:ind w:firstLine="709"/>
        <w:contextualSpacing/>
        <w:rPr>
          <w:bCs/>
          <w:i/>
          <w:iCs/>
          <w:u w:val="single"/>
        </w:rPr>
      </w:pPr>
      <w:r w:rsidRPr="00FE0E8C">
        <w:rPr>
          <w:bCs/>
          <w:i/>
          <w:iCs/>
          <w:u w:val="single"/>
        </w:rPr>
        <w:t>Лабораторная и инструментальная диагностика патологии функции почек</w:t>
      </w:r>
      <w:r>
        <w:rPr>
          <w:bCs/>
          <w:i/>
          <w:iCs/>
          <w:u w:val="single"/>
        </w:rPr>
        <w:t xml:space="preserve"> </w:t>
      </w:r>
      <w:r>
        <w:fldChar w:fldCharType="begin" w:fldLock="1"/>
      </w:r>
      <w:r w:rsidR="004C51FF">
        <w:instrText>ADDIN CSL_CITATION {"citationItems":[{"id":"ITEM-1","itemData":{"author":[{"dropping-particle":"","family":"Джумабаева","given":"Б.Т.","non-dropping-particle":"","parse-names":false,"suffix":""},{"dropping-particle":"","family":"Бирюкова","given":"Л.С.","non-dropping-particle":"","parse-names":false,"suffix":""},{"dropping-particle":"","family":"Варшавский","given":"В.А.","non-dropping-particle":"","parse-names":false,"suffix":""},{"dropping-particle":"","family":"Марьина","given":"С.А.","non-dropping-particle":"","parse-names":false,"suffix":""},{"dropping-particle":"","family":"Рощина","given":"Л.С.","non-dropping-particle":"","parse-names":false,"suffix":""},{"dropping-particle":"","family":"Джулакян","given":"У.Л.","non-dropping-particle":"","parse-names":false,"suffix":""},{"dropping-particle":"","family":"Столяревич","given":"Е.C.","non-dropping-particle":"","parse-names":false,"suffix":""}],"container-title":"Онкогематология","id":"ITEM-1","issue":"1","issued":{"date-parts":[["2017"]]},"page":"44-54","title":"Клинико-лабораторные и морфологические особенности поражения почек при лимфопролиферативных заболеваниях","type":"article-journal","volume":"7"},"uris":["http://www.mendeley.com/documents/?uuid=50a28e00-c058-46cf-b75a-5bfd40395f93"]},{"id":"ITEM-2","itemData":{"author":[{"dropping-particle":"","family":"Рехтина","given":"И.Г.","non-dropping-particle":"","parse-names":false,"suffix":""},{"dropping-particle":"","family":"Голицина","given":"Е.П.","non-dropping-particle":"","parse-names":false,"suffix":""},{"dropping-particle":"","family":"Варламова","given":"Е.Ю.","non-dropping-particle":"","parse-names":false,"suffix":""},{"dropping-particle":"","family":"Варшавский","given":"В.А.","non-dropping-particle":"","parse-names":false,"suffix":""},{"dropping-particle":"","family":"Киреева","given":"А.А.","non-dropping-particle":"","parse-names":false,"suffix":""},{"dropping-particle":"","family":"Бирюкова","given":"Л.С.","non-dropping-particle":"","parse-names":false,"suffix":""},{"dropping-particle":"","family":"Савченко","given":"В.Г.","non-dropping-particle":"","parse-names":false,"suffix":""}],"container-title":"Терапевтический архив","id":"ITEM-2","issue":"3","issued":{"date-parts":[["2013"]]},"page":"80-85","title":"Морфологические и иммунохимические особенности нефропатий при множественной миеломе с тяжелой почечной недостаточностью","type":"article-journal","volume":"85"},"uris":["http://www.mendeley.com/documents/?uuid=b7e4aa0d-a654-44bd-b363-35e45db6262e"]},{"id":"ITEM-3","itemData":{"author":[{"dropping-particle":"","family":"Ворожейкина","given":"Е.Г.","non-dropping-particle":"","parse-names":false,"suffix":""},{"dropping-particle":"","family":"Бирюкова","given":"Л.С.","non-dropping-particle":"","parse-names":false,"suffix":""},{"dropping-particle":"","family":"Савченко","given":"В.Г.","non-dropping-particle":"","parse-names":false,"suffix":""}],"container-title":"Гематология и трансфузиология","id":"ITEM-3","issue":"3","issued":{"date-parts":[["2011"]]},"page":"24-27","title":"Клинико-лабораторные проявления нефропатий у больных острыми лейкозами","type":"article-journal","volume":"56"},"uris":["http://www.mendeley.com/documents/?uuid=137272d3-cc35-4bfd-b2f3-d7af020af652"]}],"mendeley":{"formattedCitation":"[173–175]","plainTextFormattedCitation":"[173–175]","previouslyFormattedCitation":"[173–175]"},"properties":{"noteIndex":0},"schema":"https://github.com/citation-style-language/schema/raw/master/csl-citation.json"}</w:instrText>
      </w:r>
      <w:r>
        <w:fldChar w:fldCharType="separate"/>
      </w:r>
      <w:r w:rsidR="004617E2" w:rsidRPr="004617E2">
        <w:rPr>
          <w:noProof/>
        </w:rPr>
        <w:t>[173–175]</w:t>
      </w:r>
      <w:r>
        <w:fldChar w:fldCharType="end"/>
      </w:r>
      <w:r w:rsidRPr="00FE0E8C">
        <w:rPr>
          <w:bCs/>
          <w:i/>
          <w:iCs/>
          <w:u w:val="single"/>
        </w:rPr>
        <w:t>.</w:t>
      </w:r>
    </w:p>
    <w:p w14:paraId="452A5EE5" w14:textId="77777777" w:rsidR="009E28A6" w:rsidRPr="00F65F6F" w:rsidRDefault="009E28A6" w:rsidP="009E28A6">
      <w:pPr>
        <w:ind w:firstLine="709"/>
        <w:contextualSpacing/>
        <w:rPr>
          <w:b/>
        </w:rPr>
      </w:pPr>
      <w:r w:rsidRPr="00F65F6F">
        <w:t>Полноценное нефрологическое обследование пациента до начала специфического лечения является принципиально важным как для ранней диагностики уже имеющихся изменений функционального состояния почек, оценки вероятности и предупреждения нефротоксичности планируемого лечения так и для своевременного начала заместительной почечной терапии. Обследование до начала лечения должно проводиться независимо от наличия или отсутствия нефрологических жалоб и/или отягощенного нефрологического анамнеза, в т.</w:t>
      </w:r>
      <w:r w:rsidRPr="006B10E6">
        <w:t xml:space="preserve"> </w:t>
      </w:r>
      <w:r w:rsidRPr="00F65F6F">
        <w:t>ч.  наличие артериальной гипертензии и ее длительность, никтурии.</w:t>
      </w:r>
    </w:p>
    <w:p w14:paraId="05875083" w14:textId="77777777" w:rsidR="009E28A6" w:rsidRPr="00F65F6F" w:rsidRDefault="009E28A6" w:rsidP="009E28A6">
      <w:pPr>
        <w:ind w:firstLine="709"/>
        <w:contextualSpacing/>
      </w:pPr>
      <w:r w:rsidRPr="00F65F6F">
        <w:t>Базовое обследование включает:</w:t>
      </w:r>
    </w:p>
    <w:p w14:paraId="3328527C" w14:textId="77777777" w:rsidR="009E28A6" w:rsidRPr="00F65F6F" w:rsidRDefault="009E28A6" w:rsidP="00CF0CD2">
      <w:pPr>
        <w:pStyle w:val="afe"/>
        <w:numPr>
          <w:ilvl w:val="0"/>
          <w:numId w:val="105"/>
        </w:numPr>
        <w:rPr>
          <w:rFonts w:cs="Times New Roman"/>
          <w:szCs w:val="24"/>
        </w:rPr>
      </w:pPr>
      <w:r w:rsidRPr="00F65F6F">
        <w:rPr>
          <w:rFonts w:cs="Times New Roman"/>
          <w:szCs w:val="24"/>
        </w:rPr>
        <w:t>Общий анализ мочи с микроскопией мочевого осадка</w:t>
      </w:r>
    </w:p>
    <w:p w14:paraId="2CF12EEC" w14:textId="77777777" w:rsidR="009E28A6" w:rsidRPr="00F65F6F" w:rsidRDefault="009E28A6" w:rsidP="00CF0CD2">
      <w:pPr>
        <w:pStyle w:val="afe"/>
        <w:numPr>
          <w:ilvl w:val="0"/>
          <w:numId w:val="105"/>
        </w:numPr>
        <w:rPr>
          <w:rFonts w:cs="Times New Roman"/>
          <w:szCs w:val="24"/>
        </w:rPr>
      </w:pPr>
      <w:r w:rsidRPr="00F65F6F">
        <w:rPr>
          <w:rFonts w:cs="Times New Roman"/>
          <w:szCs w:val="24"/>
        </w:rPr>
        <w:t>Определение уровня суточной альбуминурии</w:t>
      </w:r>
    </w:p>
    <w:p w14:paraId="3BA1DF56" w14:textId="77777777" w:rsidR="009E28A6" w:rsidRPr="00F65F6F" w:rsidRDefault="009E28A6" w:rsidP="00CF0CD2">
      <w:pPr>
        <w:pStyle w:val="afe"/>
        <w:numPr>
          <w:ilvl w:val="0"/>
          <w:numId w:val="105"/>
        </w:numPr>
        <w:rPr>
          <w:rFonts w:cs="Times New Roman"/>
          <w:szCs w:val="24"/>
        </w:rPr>
      </w:pPr>
      <w:r w:rsidRPr="00F65F6F">
        <w:rPr>
          <w:rFonts w:cs="Times New Roman"/>
          <w:szCs w:val="24"/>
        </w:rPr>
        <w:t>Бактериологическое исследование мочи</w:t>
      </w:r>
    </w:p>
    <w:p w14:paraId="4C01CAA5" w14:textId="77777777" w:rsidR="009E28A6" w:rsidRPr="00F65F6F" w:rsidRDefault="009E28A6" w:rsidP="00CF0CD2">
      <w:pPr>
        <w:pStyle w:val="afe"/>
        <w:numPr>
          <w:ilvl w:val="0"/>
          <w:numId w:val="105"/>
        </w:numPr>
        <w:rPr>
          <w:rFonts w:cs="Times New Roman"/>
          <w:szCs w:val="24"/>
        </w:rPr>
      </w:pPr>
      <w:r w:rsidRPr="00F65F6F">
        <w:rPr>
          <w:rFonts w:cs="Times New Roman"/>
          <w:szCs w:val="24"/>
        </w:rPr>
        <w:t>Определение концентрации креатинина и мочевины в сыворотке крови.</w:t>
      </w:r>
    </w:p>
    <w:p w14:paraId="7BC80510" w14:textId="77777777" w:rsidR="009E28A6" w:rsidRPr="00FD6133" w:rsidRDefault="009E28A6" w:rsidP="00CF0CD2">
      <w:pPr>
        <w:pStyle w:val="afe"/>
        <w:numPr>
          <w:ilvl w:val="0"/>
          <w:numId w:val="105"/>
        </w:numPr>
        <w:rPr>
          <w:rFonts w:cs="Times New Roman"/>
          <w:szCs w:val="24"/>
        </w:rPr>
      </w:pPr>
      <w:r w:rsidRPr="00F65F6F">
        <w:rPr>
          <w:rFonts w:cs="Times New Roman"/>
          <w:szCs w:val="24"/>
        </w:rPr>
        <w:t>Определение расчетной скорости клубочковой фильтрации</w:t>
      </w:r>
      <w:r w:rsidRPr="00F65F6F">
        <w:rPr>
          <w:rFonts w:cs="Times New Roman"/>
          <w:color w:val="000000" w:themeColor="text1"/>
          <w:szCs w:val="24"/>
        </w:rPr>
        <w:t xml:space="preserve"> (рСКФ)</w:t>
      </w:r>
      <w:r w:rsidRPr="00F65F6F">
        <w:rPr>
          <w:rFonts w:cs="Times New Roman"/>
          <w:szCs w:val="24"/>
        </w:rPr>
        <w:t xml:space="preserve"> на основе </w:t>
      </w:r>
      <w:r w:rsidRPr="00FD6133">
        <w:rPr>
          <w:rFonts w:cs="Times New Roman"/>
          <w:szCs w:val="24"/>
        </w:rPr>
        <w:t xml:space="preserve">концентрации креатинина в сыворотке крови (таб.4). </w:t>
      </w:r>
    </w:p>
    <w:p w14:paraId="437730F2" w14:textId="77777777" w:rsidR="009E28A6" w:rsidRPr="00FD6133" w:rsidRDefault="009E28A6" w:rsidP="009E28A6">
      <w:pPr>
        <w:pStyle w:val="afe"/>
        <w:ind w:firstLine="0"/>
        <w:rPr>
          <w:rFonts w:cs="Times New Roman"/>
          <w:szCs w:val="24"/>
        </w:rPr>
      </w:pPr>
      <w:r w:rsidRPr="00FD6133">
        <w:rPr>
          <w:rFonts w:cs="Times New Roman"/>
          <w:szCs w:val="24"/>
        </w:rPr>
        <w:t xml:space="preserve">Желательно пользоваться формулой CKD-EPI, обеспечивающей лучшую, чем традиционно применяемая формула Cockcroft–Gault, точность в широком диапазоне значений СКФ и отклонения массы тела пациента от нормальной. В отличие от формулы Cockcroft–Gault, формулы CKD-EPI определяют значение СКФ в </w:t>
      </w:r>
      <w:r w:rsidRPr="00FD6133">
        <w:rPr>
          <w:rFonts w:cs="Times New Roman"/>
          <w:szCs w:val="24"/>
        </w:rPr>
        <w:lastRenderedPageBreak/>
        <w:t>размерности [мл/мин/1,73 м</w:t>
      </w:r>
      <w:r w:rsidRPr="00FD6133">
        <w:rPr>
          <w:rFonts w:cs="Times New Roman"/>
          <w:szCs w:val="24"/>
          <w:vertAlign w:val="superscript"/>
        </w:rPr>
        <w:t>2</w:t>
      </w:r>
      <w:r w:rsidRPr="00FD6133">
        <w:rPr>
          <w:rFonts w:cs="Times New Roman"/>
          <w:szCs w:val="24"/>
        </w:rPr>
        <w:t>], то есть уже приведенное к «нормальной» площади поверхности тела.</w:t>
      </w:r>
    </w:p>
    <w:p w14:paraId="4E9D90C0" w14:textId="77777777" w:rsidR="009E28A6" w:rsidRPr="00FD6133" w:rsidRDefault="009E28A6" w:rsidP="00CF0CD2">
      <w:pPr>
        <w:pStyle w:val="afe"/>
        <w:numPr>
          <w:ilvl w:val="0"/>
          <w:numId w:val="105"/>
        </w:numPr>
        <w:rPr>
          <w:rFonts w:cs="Times New Roman"/>
          <w:szCs w:val="24"/>
        </w:rPr>
      </w:pPr>
      <w:r w:rsidRPr="00FD6133">
        <w:rPr>
          <w:rFonts w:cs="Times New Roman"/>
          <w:szCs w:val="24"/>
        </w:rPr>
        <w:t>Ультразвуковое исследование (УЗИ) почек.</w:t>
      </w:r>
    </w:p>
    <w:p w14:paraId="0DC6F19E" w14:textId="77777777" w:rsidR="009E28A6" w:rsidRPr="00FD6133" w:rsidRDefault="009E28A6" w:rsidP="00CF0CD2">
      <w:pPr>
        <w:pStyle w:val="afe"/>
        <w:numPr>
          <w:ilvl w:val="0"/>
          <w:numId w:val="105"/>
        </w:numPr>
        <w:rPr>
          <w:rFonts w:cs="Times New Roman"/>
          <w:szCs w:val="24"/>
        </w:rPr>
      </w:pPr>
      <w:r w:rsidRPr="00FD6133">
        <w:rPr>
          <w:rFonts w:cs="Times New Roman"/>
          <w:szCs w:val="24"/>
        </w:rPr>
        <w:t>Иммунохимическое исследование сыворотки крови и мочи (для  выявления секреции моноклонального парапротеина  и криоглобулина, свободных легких цепей, определения уровня бета -2 микроглобулина).</w:t>
      </w:r>
    </w:p>
    <w:p w14:paraId="242FE20A" w14:textId="77777777" w:rsidR="009E28A6" w:rsidRPr="00FD6133" w:rsidRDefault="009E28A6" w:rsidP="009E28A6">
      <w:pPr>
        <w:pStyle w:val="afe"/>
        <w:ind w:left="1776" w:firstLine="0"/>
        <w:rPr>
          <w:rFonts w:cs="Times New Roman"/>
          <w:szCs w:val="24"/>
        </w:rPr>
      </w:pPr>
    </w:p>
    <w:p w14:paraId="5BFF507B" w14:textId="77777777" w:rsidR="009E28A6" w:rsidRPr="00F65F6F" w:rsidRDefault="009E28A6" w:rsidP="009E28A6">
      <w:r w:rsidRPr="00FD6133">
        <w:t>Таблица 4. Рекомендуемая формула расчета скорости клубочковой фильтрации CKD-EPI.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2213"/>
        <w:gridCol w:w="6039"/>
      </w:tblGrid>
      <w:tr w:rsidR="009E28A6" w:rsidRPr="00F65F6F" w14:paraId="6F9421E7" w14:textId="77777777" w:rsidTr="002D3EBF">
        <w:tc>
          <w:tcPr>
            <w:tcW w:w="1387" w:type="dxa"/>
            <w:tcBorders>
              <w:top w:val="single" w:sz="4" w:space="0" w:color="auto"/>
              <w:left w:val="single" w:sz="4" w:space="0" w:color="auto"/>
              <w:bottom w:val="single" w:sz="4" w:space="0" w:color="auto"/>
              <w:right w:val="single" w:sz="4" w:space="0" w:color="auto"/>
            </w:tcBorders>
            <w:hideMark/>
          </w:tcPr>
          <w:p w14:paraId="6CBF5706" w14:textId="77777777" w:rsidR="009E28A6" w:rsidRPr="00F65F6F" w:rsidRDefault="009E28A6" w:rsidP="002D3EBF">
            <w:pPr>
              <w:tabs>
                <w:tab w:val="left" w:pos="284"/>
                <w:tab w:val="left" w:pos="567"/>
              </w:tabs>
              <w:rPr>
                <w:rFonts w:eastAsia="Calibri"/>
              </w:rPr>
            </w:pPr>
            <w:r w:rsidRPr="00F65F6F">
              <w:rPr>
                <w:rFonts w:eastAsia="Calibri"/>
              </w:rPr>
              <w:t>Пол</w:t>
            </w:r>
          </w:p>
        </w:tc>
        <w:tc>
          <w:tcPr>
            <w:tcW w:w="2213" w:type="dxa"/>
            <w:tcBorders>
              <w:top w:val="single" w:sz="4" w:space="0" w:color="auto"/>
              <w:left w:val="single" w:sz="4" w:space="0" w:color="auto"/>
              <w:bottom w:val="single" w:sz="4" w:space="0" w:color="auto"/>
              <w:right w:val="single" w:sz="4" w:space="0" w:color="auto"/>
            </w:tcBorders>
            <w:hideMark/>
          </w:tcPr>
          <w:p w14:paraId="037A60F1" w14:textId="77777777" w:rsidR="009E28A6" w:rsidRPr="00F65F6F" w:rsidRDefault="009E28A6" w:rsidP="002D3EBF">
            <w:pPr>
              <w:tabs>
                <w:tab w:val="left" w:pos="284"/>
                <w:tab w:val="left" w:pos="567"/>
              </w:tabs>
              <w:rPr>
                <w:rFonts w:eastAsia="Calibri"/>
              </w:rPr>
            </w:pPr>
            <w:r w:rsidRPr="00F65F6F">
              <w:rPr>
                <w:rFonts w:eastAsia="Calibri"/>
              </w:rPr>
              <w:t>Креатинин крови</w:t>
            </w:r>
          </w:p>
        </w:tc>
        <w:tc>
          <w:tcPr>
            <w:tcW w:w="6039" w:type="dxa"/>
            <w:tcBorders>
              <w:top w:val="single" w:sz="4" w:space="0" w:color="auto"/>
              <w:left w:val="single" w:sz="4" w:space="0" w:color="auto"/>
              <w:bottom w:val="single" w:sz="4" w:space="0" w:color="auto"/>
              <w:right w:val="single" w:sz="4" w:space="0" w:color="auto"/>
            </w:tcBorders>
            <w:hideMark/>
          </w:tcPr>
          <w:p w14:paraId="08E5B66D" w14:textId="77777777" w:rsidR="009E28A6" w:rsidRPr="00F65F6F" w:rsidRDefault="009E28A6" w:rsidP="002D3EBF">
            <w:pPr>
              <w:tabs>
                <w:tab w:val="left" w:pos="284"/>
                <w:tab w:val="left" w:pos="567"/>
              </w:tabs>
              <w:rPr>
                <w:rFonts w:eastAsia="Calibri"/>
              </w:rPr>
            </w:pPr>
            <w:r w:rsidRPr="00F65F6F">
              <w:rPr>
                <w:rFonts w:eastAsia="Calibri"/>
              </w:rPr>
              <w:t>Расчетная СКФ (CKD-EPI, 2009-11) [мл/мин./1,73 м</w:t>
            </w:r>
            <w:r w:rsidRPr="00F65F6F">
              <w:rPr>
                <w:rFonts w:eastAsia="Calibri"/>
                <w:vertAlign w:val="superscript"/>
              </w:rPr>
              <w:t>2</w:t>
            </w:r>
            <w:r w:rsidRPr="00F65F6F">
              <w:rPr>
                <w:rFonts w:eastAsia="Calibri"/>
              </w:rPr>
              <w:t>]</w:t>
            </w:r>
          </w:p>
        </w:tc>
      </w:tr>
      <w:tr w:rsidR="009E28A6" w:rsidRPr="00F65F6F" w14:paraId="1F32B76A" w14:textId="77777777" w:rsidTr="002D3EBF">
        <w:tc>
          <w:tcPr>
            <w:tcW w:w="9639" w:type="dxa"/>
            <w:gridSpan w:val="3"/>
            <w:tcBorders>
              <w:top w:val="single" w:sz="4" w:space="0" w:color="auto"/>
              <w:left w:val="single" w:sz="4" w:space="0" w:color="auto"/>
              <w:bottom w:val="single" w:sz="4" w:space="0" w:color="auto"/>
              <w:right w:val="single" w:sz="4" w:space="0" w:color="auto"/>
            </w:tcBorders>
            <w:hideMark/>
          </w:tcPr>
          <w:p w14:paraId="20E57E80" w14:textId="77777777" w:rsidR="009E28A6" w:rsidRPr="00F65F6F" w:rsidRDefault="009E28A6" w:rsidP="002D3EBF">
            <w:pPr>
              <w:tabs>
                <w:tab w:val="left" w:pos="284"/>
                <w:tab w:val="left" w:pos="567"/>
              </w:tabs>
              <w:rPr>
                <w:rFonts w:eastAsia="Calibri"/>
              </w:rPr>
            </w:pPr>
            <w:r w:rsidRPr="00F65F6F">
              <w:rPr>
                <w:rFonts w:eastAsia="Calibri"/>
              </w:rPr>
              <w:t>Европейцы</w:t>
            </w:r>
          </w:p>
        </w:tc>
      </w:tr>
      <w:tr w:rsidR="009E28A6" w:rsidRPr="00F65F6F" w14:paraId="3BF535AF" w14:textId="77777777" w:rsidTr="002D3EBF">
        <w:tc>
          <w:tcPr>
            <w:tcW w:w="1387" w:type="dxa"/>
            <w:vMerge w:val="restart"/>
            <w:tcBorders>
              <w:top w:val="single" w:sz="4" w:space="0" w:color="auto"/>
              <w:left w:val="single" w:sz="4" w:space="0" w:color="auto"/>
              <w:bottom w:val="single" w:sz="4" w:space="0" w:color="auto"/>
              <w:right w:val="single" w:sz="4" w:space="0" w:color="auto"/>
            </w:tcBorders>
            <w:hideMark/>
          </w:tcPr>
          <w:p w14:paraId="77B318D9" w14:textId="77777777" w:rsidR="009E28A6" w:rsidRPr="00F65F6F" w:rsidRDefault="009E28A6" w:rsidP="002D3EBF">
            <w:pPr>
              <w:tabs>
                <w:tab w:val="left" w:pos="284"/>
                <w:tab w:val="left" w:pos="567"/>
              </w:tabs>
              <w:rPr>
                <w:rFonts w:eastAsia="Calibri"/>
              </w:rPr>
            </w:pPr>
            <w:r w:rsidRPr="00F65F6F">
              <w:rPr>
                <w:rFonts w:eastAsia="Calibri"/>
              </w:rPr>
              <w:t>Женщины</w:t>
            </w:r>
          </w:p>
        </w:tc>
        <w:tc>
          <w:tcPr>
            <w:tcW w:w="2213" w:type="dxa"/>
            <w:tcBorders>
              <w:top w:val="single" w:sz="4" w:space="0" w:color="auto"/>
              <w:left w:val="single" w:sz="4" w:space="0" w:color="auto"/>
              <w:bottom w:val="single" w:sz="4" w:space="0" w:color="auto"/>
              <w:right w:val="single" w:sz="4" w:space="0" w:color="auto"/>
            </w:tcBorders>
            <w:hideMark/>
          </w:tcPr>
          <w:p w14:paraId="2CCD37A4" w14:textId="77777777" w:rsidR="009E28A6" w:rsidRPr="00F65F6F" w:rsidRDefault="009E28A6" w:rsidP="002D3EBF">
            <w:pPr>
              <w:tabs>
                <w:tab w:val="left" w:pos="284"/>
                <w:tab w:val="left" w:pos="567"/>
              </w:tabs>
              <w:rPr>
                <w:rFonts w:eastAsia="Calibri"/>
              </w:rPr>
            </w:pPr>
            <w:r w:rsidRPr="00F65F6F">
              <w:rPr>
                <w:rFonts w:eastAsia="Calibri"/>
                <w:lang w:val="en-US"/>
              </w:rPr>
              <w:t>&lt;</w:t>
            </w:r>
            <w:r w:rsidRPr="00F65F6F">
              <w:rPr>
                <w:rFonts w:eastAsia="Calibri"/>
              </w:rPr>
              <w:t>62 мкмоль/л</w:t>
            </w:r>
          </w:p>
        </w:tc>
        <w:tc>
          <w:tcPr>
            <w:tcW w:w="6039" w:type="dxa"/>
            <w:tcBorders>
              <w:top w:val="single" w:sz="4" w:space="0" w:color="auto"/>
              <w:left w:val="single" w:sz="4" w:space="0" w:color="auto"/>
              <w:bottom w:val="single" w:sz="4" w:space="0" w:color="auto"/>
              <w:right w:val="single" w:sz="4" w:space="0" w:color="auto"/>
            </w:tcBorders>
            <w:hideMark/>
          </w:tcPr>
          <w:p w14:paraId="57DC5D54" w14:textId="77777777" w:rsidR="009E28A6" w:rsidRPr="00F65F6F" w:rsidRDefault="009E28A6" w:rsidP="002D3EBF">
            <w:pPr>
              <w:tabs>
                <w:tab w:val="left" w:pos="284"/>
                <w:tab w:val="left" w:pos="567"/>
              </w:tabs>
              <w:rPr>
                <w:rFonts w:eastAsia="Calibri"/>
              </w:rPr>
            </w:pPr>
            <w:r w:rsidRPr="00F65F6F">
              <w:rPr>
                <w:rFonts w:eastAsia="Calibri"/>
              </w:rPr>
              <w:t>144 × (0,993)</w:t>
            </w:r>
            <w:r w:rsidRPr="00F65F6F">
              <w:rPr>
                <w:rFonts w:eastAsia="Calibri"/>
                <w:vertAlign w:val="superscript"/>
              </w:rPr>
              <w:t xml:space="preserve"> Возраст</w:t>
            </w:r>
            <w:r w:rsidRPr="00F65F6F">
              <w:rPr>
                <w:rFonts w:eastAsia="Calibri"/>
              </w:rPr>
              <w:t xml:space="preserve"> × (креатинин крови/62)</w:t>
            </w:r>
            <w:r w:rsidRPr="00F65F6F">
              <w:rPr>
                <w:rFonts w:eastAsia="Calibri"/>
                <w:vertAlign w:val="superscript"/>
              </w:rPr>
              <w:t>−0,328</w:t>
            </w:r>
          </w:p>
        </w:tc>
      </w:tr>
      <w:tr w:rsidR="009E28A6" w:rsidRPr="00F65F6F" w14:paraId="59B285FC" w14:textId="77777777" w:rsidTr="002D3EBF">
        <w:tc>
          <w:tcPr>
            <w:tcW w:w="0" w:type="auto"/>
            <w:vMerge/>
            <w:tcBorders>
              <w:top w:val="single" w:sz="4" w:space="0" w:color="auto"/>
              <w:left w:val="single" w:sz="4" w:space="0" w:color="auto"/>
              <w:bottom w:val="single" w:sz="4" w:space="0" w:color="auto"/>
              <w:right w:val="single" w:sz="4" w:space="0" w:color="auto"/>
            </w:tcBorders>
            <w:vAlign w:val="center"/>
            <w:hideMark/>
          </w:tcPr>
          <w:p w14:paraId="49195011" w14:textId="77777777" w:rsidR="009E28A6" w:rsidRPr="00F65F6F" w:rsidRDefault="009E28A6" w:rsidP="002D3EBF">
            <w:pPr>
              <w:rPr>
                <w:rFonts w:eastAsia="Calibri"/>
              </w:rPr>
            </w:pPr>
          </w:p>
        </w:tc>
        <w:tc>
          <w:tcPr>
            <w:tcW w:w="2213" w:type="dxa"/>
            <w:tcBorders>
              <w:top w:val="single" w:sz="4" w:space="0" w:color="auto"/>
              <w:left w:val="single" w:sz="4" w:space="0" w:color="auto"/>
              <w:bottom w:val="single" w:sz="4" w:space="0" w:color="auto"/>
              <w:right w:val="single" w:sz="4" w:space="0" w:color="auto"/>
            </w:tcBorders>
            <w:hideMark/>
          </w:tcPr>
          <w:p w14:paraId="6B217FAE" w14:textId="77777777" w:rsidR="009E28A6" w:rsidRPr="00F65F6F" w:rsidRDefault="009E28A6" w:rsidP="002D3EBF">
            <w:pPr>
              <w:tabs>
                <w:tab w:val="left" w:pos="284"/>
                <w:tab w:val="left" w:pos="567"/>
              </w:tabs>
              <w:rPr>
                <w:rFonts w:eastAsia="Calibri"/>
              </w:rPr>
            </w:pPr>
            <w:r w:rsidRPr="00F65F6F">
              <w:rPr>
                <w:rFonts w:eastAsia="Calibri"/>
              </w:rPr>
              <w:t>≥62 мкмоль/л</w:t>
            </w:r>
          </w:p>
        </w:tc>
        <w:tc>
          <w:tcPr>
            <w:tcW w:w="6039" w:type="dxa"/>
            <w:tcBorders>
              <w:top w:val="single" w:sz="4" w:space="0" w:color="auto"/>
              <w:left w:val="single" w:sz="4" w:space="0" w:color="auto"/>
              <w:bottom w:val="single" w:sz="4" w:space="0" w:color="auto"/>
              <w:right w:val="single" w:sz="4" w:space="0" w:color="auto"/>
            </w:tcBorders>
            <w:hideMark/>
          </w:tcPr>
          <w:p w14:paraId="7F2C1870" w14:textId="77777777" w:rsidR="009E28A6" w:rsidRPr="00F65F6F" w:rsidRDefault="009E28A6" w:rsidP="002D3EBF">
            <w:pPr>
              <w:tabs>
                <w:tab w:val="left" w:pos="284"/>
                <w:tab w:val="left" w:pos="567"/>
              </w:tabs>
              <w:rPr>
                <w:rFonts w:eastAsia="Calibri"/>
              </w:rPr>
            </w:pPr>
            <w:r w:rsidRPr="00F65F6F">
              <w:rPr>
                <w:rFonts w:eastAsia="Calibri"/>
              </w:rPr>
              <w:t>144 × (0,993)</w:t>
            </w:r>
            <w:r w:rsidRPr="00F65F6F">
              <w:rPr>
                <w:rFonts w:eastAsia="Calibri"/>
                <w:vertAlign w:val="superscript"/>
              </w:rPr>
              <w:t xml:space="preserve"> Возраст</w:t>
            </w:r>
            <w:r w:rsidRPr="00F65F6F">
              <w:rPr>
                <w:rFonts w:eastAsia="Calibri"/>
              </w:rPr>
              <w:t xml:space="preserve"> × (креатинин крови/62)</w:t>
            </w:r>
            <w:r w:rsidRPr="00F65F6F">
              <w:rPr>
                <w:rFonts w:eastAsia="Calibri"/>
                <w:vertAlign w:val="superscript"/>
              </w:rPr>
              <w:t>−1,210</w:t>
            </w:r>
          </w:p>
        </w:tc>
      </w:tr>
      <w:tr w:rsidR="009E28A6" w:rsidRPr="00F65F6F" w14:paraId="6170CA35" w14:textId="77777777" w:rsidTr="002D3EBF">
        <w:tc>
          <w:tcPr>
            <w:tcW w:w="1387" w:type="dxa"/>
            <w:vMerge w:val="restart"/>
            <w:tcBorders>
              <w:top w:val="single" w:sz="4" w:space="0" w:color="auto"/>
              <w:left w:val="single" w:sz="4" w:space="0" w:color="auto"/>
              <w:bottom w:val="single" w:sz="4" w:space="0" w:color="auto"/>
              <w:right w:val="single" w:sz="4" w:space="0" w:color="auto"/>
            </w:tcBorders>
            <w:hideMark/>
          </w:tcPr>
          <w:p w14:paraId="30CAF3C8" w14:textId="77777777" w:rsidR="009E28A6" w:rsidRPr="00F65F6F" w:rsidRDefault="009E28A6" w:rsidP="002D3EBF">
            <w:pPr>
              <w:tabs>
                <w:tab w:val="left" w:pos="284"/>
                <w:tab w:val="left" w:pos="567"/>
              </w:tabs>
              <w:rPr>
                <w:rFonts w:eastAsia="Calibri"/>
              </w:rPr>
            </w:pPr>
            <w:r w:rsidRPr="00F65F6F">
              <w:rPr>
                <w:rFonts w:eastAsia="Calibri"/>
              </w:rPr>
              <w:t>Мужчины</w:t>
            </w:r>
          </w:p>
        </w:tc>
        <w:tc>
          <w:tcPr>
            <w:tcW w:w="2213" w:type="dxa"/>
            <w:tcBorders>
              <w:top w:val="single" w:sz="4" w:space="0" w:color="auto"/>
              <w:left w:val="single" w:sz="4" w:space="0" w:color="auto"/>
              <w:bottom w:val="single" w:sz="4" w:space="0" w:color="auto"/>
              <w:right w:val="single" w:sz="4" w:space="0" w:color="auto"/>
            </w:tcBorders>
            <w:hideMark/>
          </w:tcPr>
          <w:p w14:paraId="74F71453" w14:textId="77777777" w:rsidR="009E28A6" w:rsidRPr="00F65F6F" w:rsidRDefault="009E28A6" w:rsidP="002D3EBF">
            <w:pPr>
              <w:tabs>
                <w:tab w:val="left" w:pos="284"/>
                <w:tab w:val="left" w:pos="567"/>
              </w:tabs>
              <w:rPr>
                <w:rFonts w:eastAsia="Calibri"/>
              </w:rPr>
            </w:pPr>
            <w:r w:rsidRPr="00F65F6F">
              <w:rPr>
                <w:rFonts w:eastAsia="Calibri"/>
                <w:lang w:val="en-US"/>
              </w:rPr>
              <w:t>&lt;</w:t>
            </w:r>
            <w:r w:rsidRPr="00F65F6F">
              <w:rPr>
                <w:rFonts w:eastAsia="Calibri"/>
              </w:rPr>
              <w:t>80 мкмоль/л</w:t>
            </w:r>
          </w:p>
        </w:tc>
        <w:tc>
          <w:tcPr>
            <w:tcW w:w="6039" w:type="dxa"/>
            <w:tcBorders>
              <w:top w:val="single" w:sz="4" w:space="0" w:color="auto"/>
              <w:left w:val="single" w:sz="4" w:space="0" w:color="auto"/>
              <w:bottom w:val="single" w:sz="4" w:space="0" w:color="auto"/>
              <w:right w:val="single" w:sz="4" w:space="0" w:color="auto"/>
            </w:tcBorders>
            <w:hideMark/>
          </w:tcPr>
          <w:p w14:paraId="45D397BB" w14:textId="77777777" w:rsidR="009E28A6" w:rsidRPr="00F65F6F" w:rsidRDefault="009E28A6" w:rsidP="002D3EBF">
            <w:pPr>
              <w:tabs>
                <w:tab w:val="left" w:pos="284"/>
                <w:tab w:val="left" w:pos="567"/>
              </w:tabs>
              <w:rPr>
                <w:rFonts w:eastAsia="Calibri"/>
              </w:rPr>
            </w:pPr>
            <w:r w:rsidRPr="00F65F6F">
              <w:rPr>
                <w:rFonts w:eastAsia="Calibri"/>
              </w:rPr>
              <w:t>141 × (0,993)</w:t>
            </w:r>
            <w:r w:rsidRPr="00F65F6F">
              <w:rPr>
                <w:rFonts w:eastAsia="Calibri"/>
                <w:vertAlign w:val="superscript"/>
              </w:rPr>
              <w:t xml:space="preserve"> Возраст</w:t>
            </w:r>
            <w:r w:rsidRPr="00F65F6F">
              <w:rPr>
                <w:rFonts w:eastAsia="Calibri"/>
              </w:rPr>
              <w:t xml:space="preserve"> × (креатинин крови/80)</w:t>
            </w:r>
            <w:r w:rsidRPr="00F65F6F">
              <w:rPr>
                <w:rFonts w:eastAsia="Calibri"/>
                <w:vertAlign w:val="superscript"/>
              </w:rPr>
              <w:t>−0,412</w:t>
            </w:r>
          </w:p>
        </w:tc>
      </w:tr>
      <w:tr w:rsidR="009E28A6" w:rsidRPr="00F65F6F" w14:paraId="29AFC25C" w14:textId="77777777" w:rsidTr="002D3EBF">
        <w:tc>
          <w:tcPr>
            <w:tcW w:w="0" w:type="auto"/>
            <w:vMerge/>
            <w:tcBorders>
              <w:top w:val="single" w:sz="4" w:space="0" w:color="auto"/>
              <w:left w:val="single" w:sz="4" w:space="0" w:color="auto"/>
              <w:bottom w:val="single" w:sz="4" w:space="0" w:color="auto"/>
              <w:right w:val="single" w:sz="4" w:space="0" w:color="auto"/>
            </w:tcBorders>
            <w:vAlign w:val="center"/>
            <w:hideMark/>
          </w:tcPr>
          <w:p w14:paraId="3F0A34F6" w14:textId="77777777" w:rsidR="009E28A6" w:rsidRPr="00F65F6F" w:rsidRDefault="009E28A6" w:rsidP="002D3EBF">
            <w:pPr>
              <w:rPr>
                <w:rFonts w:eastAsia="Calibri"/>
              </w:rPr>
            </w:pPr>
          </w:p>
        </w:tc>
        <w:tc>
          <w:tcPr>
            <w:tcW w:w="2213" w:type="dxa"/>
            <w:tcBorders>
              <w:top w:val="single" w:sz="4" w:space="0" w:color="auto"/>
              <w:left w:val="single" w:sz="4" w:space="0" w:color="auto"/>
              <w:bottom w:val="single" w:sz="4" w:space="0" w:color="auto"/>
              <w:right w:val="single" w:sz="4" w:space="0" w:color="auto"/>
            </w:tcBorders>
            <w:hideMark/>
          </w:tcPr>
          <w:p w14:paraId="059E95D1" w14:textId="77777777" w:rsidR="009E28A6" w:rsidRPr="00F65F6F" w:rsidRDefault="009E28A6" w:rsidP="002D3EBF">
            <w:pPr>
              <w:tabs>
                <w:tab w:val="left" w:pos="284"/>
                <w:tab w:val="left" w:pos="567"/>
              </w:tabs>
              <w:rPr>
                <w:rFonts w:eastAsia="Calibri"/>
              </w:rPr>
            </w:pPr>
            <w:r w:rsidRPr="00F65F6F">
              <w:rPr>
                <w:rFonts w:eastAsia="Calibri"/>
              </w:rPr>
              <w:t>≥80 мкмоль/л</w:t>
            </w:r>
          </w:p>
        </w:tc>
        <w:tc>
          <w:tcPr>
            <w:tcW w:w="6039" w:type="dxa"/>
            <w:tcBorders>
              <w:top w:val="single" w:sz="4" w:space="0" w:color="auto"/>
              <w:left w:val="single" w:sz="4" w:space="0" w:color="auto"/>
              <w:bottom w:val="single" w:sz="4" w:space="0" w:color="auto"/>
              <w:right w:val="single" w:sz="4" w:space="0" w:color="auto"/>
            </w:tcBorders>
            <w:hideMark/>
          </w:tcPr>
          <w:p w14:paraId="2FE61B3D" w14:textId="77777777" w:rsidR="009E28A6" w:rsidRPr="00F65F6F" w:rsidRDefault="009E28A6" w:rsidP="002D3EBF">
            <w:pPr>
              <w:tabs>
                <w:tab w:val="left" w:pos="284"/>
                <w:tab w:val="left" w:pos="567"/>
              </w:tabs>
              <w:rPr>
                <w:rFonts w:eastAsia="Calibri"/>
              </w:rPr>
            </w:pPr>
            <w:r w:rsidRPr="00F65F6F">
              <w:rPr>
                <w:rFonts w:eastAsia="Calibri"/>
              </w:rPr>
              <w:t>141 × (0,993)</w:t>
            </w:r>
            <w:r w:rsidRPr="00F65F6F">
              <w:rPr>
                <w:rFonts w:eastAsia="Calibri"/>
                <w:vertAlign w:val="superscript"/>
              </w:rPr>
              <w:t xml:space="preserve"> Возраст</w:t>
            </w:r>
            <w:r w:rsidRPr="00F65F6F">
              <w:rPr>
                <w:rFonts w:eastAsia="Calibri"/>
              </w:rPr>
              <w:t xml:space="preserve"> × (креатинин крови/80)</w:t>
            </w:r>
            <w:r w:rsidRPr="00F65F6F">
              <w:rPr>
                <w:rFonts w:eastAsia="Calibri"/>
                <w:vertAlign w:val="superscript"/>
              </w:rPr>
              <w:t>−1,210</w:t>
            </w:r>
          </w:p>
        </w:tc>
      </w:tr>
      <w:tr w:rsidR="009E28A6" w:rsidRPr="00F65F6F" w14:paraId="2326C567" w14:textId="77777777" w:rsidTr="002D3EBF">
        <w:tc>
          <w:tcPr>
            <w:tcW w:w="9639" w:type="dxa"/>
            <w:gridSpan w:val="3"/>
            <w:tcBorders>
              <w:top w:val="single" w:sz="4" w:space="0" w:color="auto"/>
              <w:left w:val="single" w:sz="4" w:space="0" w:color="auto"/>
              <w:bottom w:val="single" w:sz="4" w:space="0" w:color="auto"/>
              <w:right w:val="single" w:sz="4" w:space="0" w:color="auto"/>
            </w:tcBorders>
            <w:hideMark/>
          </w:tcPr>
          <w:p w14:paraId="56C01D09" w14:textId="77777777" w:rsidR="009E28A6" w:rsidRPr="00F65F6F" w:rsidRDefault="009E28A6" w:rsidP="002D3EBF">
            <w:pPr>
              <w:tabs>
                <w:tab w:val="left" w:pos="284"/>
                <w:tab w:val="left" w:pos="567"/>
              </w:tabs>
              <w:rPr>
                <w:rFonts w:eastAsia="Calibri"/>
              </w:rPr>
            </w:pPr>
            <w:r w:rsidRPr="00F65F6F">
              <w:rPr>
                <w:rFonts w:eastAsia="Calibri"/>
              </w:rPr>
              <w:t>Азиаты</w:t>
            </w:r>
          </w:p>
        </w:tc>
      </w:tr>
      <w:tr w:rsidR="009E28A6" w:rsidRPr="00F65F6F" w14:paraId="500B7750" w14:textId="77777777" w:rsidTr="002D3EBF">
        <w:tc>
          <w:tcPr>
            <w:tcW w:w="1387" w:type="dxa"/>
            <w:vMerge w:val="restart"/>
            <w:tcBorders>
              <w:top w:val="single" w:sz="4" w:space="0" w:color="auto"/>
              <w:left w:val="single" w:sz="4" w:space="0" w:color="auto"/>
              <w:bottom w:val="single" w:sz="4" w:space="0" w:color="auto"/>
              <w:right w:val="single" w:sz="4" w:space="0" w:color="auto"/>
            </w:tcBorders>
            <w:hideMark/>
          </w:tcPr>
          <w:p w14:paraId="216FBFCF" w14:textId="77777777" w:rsidR="009E28A6" w:rsidRPr="00F65F6F" w:rsidRDefault="009E28A6" w:rsidP="002D3EBF">
            <w:pPr>
              <w:tabs>
                <w:tab w:val="left" w:pos="284"/>
                <w:tab w:val="left" w:pos="567"/>
              </w:tabs>
              <w:rPr>
                <w:rFonts w:eastAsia="Calibri"/>
              </w:rPr>
            </w:pPr>
            <w:r w:rsidRPr="00F65F6F">
              <w:rPr>
                <w:rFonts w:eastAsia="Calibri"/>
              </w:rPr>
              <w:t>Женщины</w:t>
            </w:r>
          </w:p>
        </w:tc>
        <w:tc>
          <w:tcPr>
            <w:tcW w:w="2213" w:type="dxa"/>
            <w:tcBorders>
              <w:top w:val="single" w:sz="4" w:space="0" w:color="auto"/>
              <w:left w:val="single" w:sz="4" w:space="0" w:color="auto"/>
              <w:bottom w:val="single" w:sz="4" w:space="0" w:color="auto"/>
              <w:right w:val="single" w:sz="4" w:space="0" w:color="auto"/>
            </w:tcBorders>
            <w:hideMark/>
          </w:tcPr>
          <w:p w14:paraId="571E354D" w14:textId="77777777" w:rsidR="009E28A6" w:rsidRPr="00F65F6F" w:rsidRDefault="009E28A6" w:rsidP="002D3EBF">
            <w:pPr>
              <w:tabs>
                <w:tab w:val="left" w:pos="284"/>
                <w:tab w:val="left" w:pos="567"/>
              </w:tabs>
              <w:rPr>
                <w:rFonts w:eastAsia="Calibri"/>
              </w:rPr>
            </w:pPr>
            <w:r w:rsidRPr="00F65F6F">
              <w:rPr>
                <w:rFonts w:eastAsia="Calibri"/>
                <w:lang w:val="en-US"/>
              </w:rPr>
              <w:t>&lt;</w:t>
            </w:r>
            <w:r w:rsidRPr="00F65F6F">
              <w:rPr>
                <w:rFonts w:eastAsia="Calibri"/>
              </w:rPr>
              <w:t>62 мкмоль/л</w:t>
            </w:r>
          </w:p>
        </w:tc>
        <w:tc>
          <w:tcPr>
            <w:tcW w:w="6039" w:type="dxa"/>
            <w:tcBorders>
              <w:top w:val="single" w:sz="4" w:space="0" w:color="auto"/>
              <w:left w:val="single" w:sz="4" w:space="0" w:color="auto"/>
              <w:bottom w:val="single" w:sz="4" w:space="0" w:color="auto"/>
              <w:right w:val="single" w:sz="4" w:space="0" w:color="auto"/>
            </w:tcBorders>
            <w:hideMark/>
          </w:tcPr>
          <w:p w14:paraId="3CEFA14A" w14:textId="77777777" w:rsidR="009E28A6" w:rsidRPr="00F65F6F" w:rsidRDefault="009E28A6" w:rsidP="002D3EBF">
            <w:pPr>
              <w:tabs>
                <w:tab w:val="left" w:pos="284"/>
                <w:tab w:val="left" w:pos="567"/>
              </w:tabs>
              <w:rPr>
                <w:rFonts w:eastAsia="Calibri"/>
              </w:rPr>
            </w:pPr>
            <w:r w:rsidRPr="00F65F6F">
              <w:rPr>
                <w:rFonts w:eastAsia="Calibri"/>
              </w:rPr>
              <w:t>151 × (0,993)</w:t>
            </w:r>
            <w:r w:rsidRPr="00F65F6F">
              <w:rPr>
                <w:rFonts w:eastAsia="Calibri"/>
                <w:vertAlign w:val="superscript"/>
              </w:rPr>
              <w:t xml:space="preserve"> Возраст</w:t>
            </w:r>
            <w:r w:rsidRPr="00F65F6F">
              <w:rPr>
                <w:rFonts w:eastAsia="Calibri"/>
              </w:rPr>
              <w:t xml:space="preserve"> × (креатинин крови/62)</w:t>
            </w:r>
            <w:r w:rsidRPr="00F65F6F">
              <w:rPr>
                <w:rFonts w:eastAsia="Calibri"/>
                <w:vertAlign w:val="superscript"/>
              </w:rPr>
              <w:t>−0,328</w:t>
            </w:r>
          </w:p>
        </w:tc>
      </w:tr>
      <w:tr w:rsidR="009E28A6" w:rsidRPr="00F65F6F" w14:paraId="4EDA00F7" w14:textId="77777777" w:rsidTr="002D3EBF">
        <w:tc>
          <w:tcPr>
            <w:tcW w:w="0" w:type="auto"/>
            <w:vMerge/>
            <w:tcBorders>
              <w:top w:val="single" w:sz="4" w:space="0" w:color="auto"/>
              <w:left w:val="single" w:sz="4" w:space="0" w:color="auto"/>
              <w:bottom w:val="single" w:sz="4" w:space="0" w:color="auto"/>
              <w:right w:val="single" w:sz="4" w:space="0" w:color="auto"/>
            </w:tcBorders>
            <w:vAlign w:val="center"/>
            <w:hideMark/>
          </w:tcPr>
          <w:p w14:paraId="62ED1353" w14:textId="77777777" w:rsidR="009E28A6" w:rsidRPr="00F65F6F" w:rsidRDefault="009E28A6" w:rsidP="002D3EBF">
            <w:pPr>
              <w:rPr>
                <w:rFonts w:eastAsia="Calibri"/>
              </w:rPr>
            </w:pPr>
          </w:p>
        </w:tc>
        <w:tc>
          <w:tcPr>
            <w:tcW w:w="2213" w:type="dxa"/>
            <w:tcBorders>
              <w:top w:val="single" w:sz="4" w:space="0" w:color="auto"/>
              <w:left w:val="single" w:sz="4" w:space="0" w:color="auto"/>
              <w:bottom w:val="single" w:sz="4" w:space="0" w:color="auto"/>
              <w:right w:val="single" w:sz="4" w:space="0" w:color="auto"/>
            </w:tcBorders>
            <w:hideMark/>
          </w:tcPr>
          <w:p w14:paraId="3C0B3A22" w14:textId="77777777" w:rsidR="009E28A6" w:rsidRPr="00F65F6F" w:rsidRDefault="009E28A6" w:rsidP="002D3EBF">
            <w:pPr>
              <w:tabs>
                <w:tab w:val="left" w:pos="284"/>
                <w:tab w:val="left" w:pos="567"/>
              </w:tabs>
              <w:rPr>
                <w:rFonts w:eastAsia="Calibri"/>
              </w:rPr>
            </w:pPr>
            <w:r w:rsidRPr="00F65F6F">
              <w:rPr>
                <w:rFonts w:eastAsia="Calibri"/>
              </w:rPr>
              <w:t>≥62 мкмоль/л</w:t>
            </w:r>
          </w:p>
        </w:tc>
        <w:tc>
          <w:tcPr>
            <w:tcW w:w="6039" w:type="dxa"/>
            <w:tcBorders>
              <w:top w:val="single" w:sz="4" w:space="0" w:color="auto"/>
              <w:left w:val="single" w:sz="4" w:space="0" w:color="auto"/>
              <w:bottom w:val="single" w:sz="4" w:space="0" w:color="auto"/>
              <w:right w:val="single" w:sz="4" w:space="0" w:color="auto"/>
            </w:tcBorders>
            <w:hideMark/>
          </w:tcPr>
          <w:p w14:paraId="15C2022C" w14:textId="77777777" w:rsidR="009E28A6" w:rsidRPr="00F65F6F" w:rsidRDefault="009E28A6" w:rsidP="002D3EBF">
            <w:pPr>
              <w:tabs>
                <w:tab w:val="left" w:pos="284"/>
                <w:tab w:val="left" w:pos="567"/>
              </w:tabs>
              <w:rPr>
                <w:rFonts w:eastAsia="Calibri"/>
              </w:rPr>
            </w:pPr>
            <w:r w:rsidRPr="00F65F6F">
              <w:rPr>
                <w:rFonts w:eastAsia="Calibri"/>
              </w:rPr>
              <w:t>151 × (0,993)</w:t>
            </w:r>
            <w:r w:rsidRPr="00F65F6F">
              <w:rPr>
                <w:rFonts w:eastAsia="Calibri"/>
                <w:vertAlign w:val="superscript"/>
              </w:rPr>
              <w:t xml:space="preserve"> Возраст</w:t>
            </w:r>
            <w:r w:rsidRPr="00F65F6F">
              <w:rPr>
                <w:rFonts w:eastAsia="Calibri"/>
              </w:rPr>
              <w:t xml:space="preserve"> × (креатинин крови/62)</w:t>
            </w:r>
            <w:r w:rsidRPr="00F65F6F">
              <w:rPr>
                <w:rFonts w:eastAsia="Calibri"/>
                <w:vertAlign w:val="superscript"/>
              </w:rPr>
              <w:t>−1,210</w:t>
            </w:r>
          </w:p>
        </w:tc>
      </w:tr>
      <w:tr w:rsidR="009E28A6" w:rsidRPr="00F65F6F" w14:paraId="2492C3E5" w14:textId="77777777" w:rsidTr="002D3EBF">
        <w:tc>
          <w:tcPr>
            <w:tcW w:w="1387" w:type="dxa"/>
            <w:vMerge w:val="restart"/>
            <w:tcBorders>
              <w:top w:val="single" w:sz="4" w:space="0" w:color="auto"/>
              <w:left w:val="single" w:sz="4" w:space="0" w:color="auto"/>
              <w:bottom w:val="single" w:sz="4" w:space="0" w:color="auto"/>
              <w:right w:val="single" w:sz="4" w:space="0" w:color="auto"/>
            </w:tcBorders>
            <w:hideMark/>
          </w:tcPr>
          <w:p w14:paraId="1C63D94D" w14:textId="77777777" w:rsidR="009E28A6" w:rsidRPr="00F65F6F" w:rsidRDefault="009E28A6" w:rsidP="002D3EBF">
            <w:pPr>
              <w:tabs>
                <w:tab w:val="left" w:pos="284"/>
                <w:tab w:val="left" w:pos="567"/>
              </w:tabs>
              <w:rPr>
                <w:rFonts w:eastAsia="Calibri"/>
              </w:rPr>
            </w:pPr>
            <w:r w:rsidRPr="00F65F6F">
              <w:rPr>
                <w:rFonts w:eastAsia="Calibri"/>
              </w:rPr>
              <w:t>Мужчины</w:t>
            </w:r>
          </w:p>
        </w:tc>
        <w:tc>
          <w:tcPr>
            <w:tcW w:w="2213" w:type="dxa"/>
            <w:tcBorders>
              <w:top w:val="single" w:sz="4" w:space="0" w:color="auto"/>
              <w:left w:val="single" w:sz="4" w:space="0" w:color="auto"/>
              <w:bottom w:val="single" w:sz="4" w:space="0" w:color="auto"/>
              <w:right w:val="single" w:sz="4" w:space="0" w:color="auto"/>
            </w:tcBorders>
            <w:hideMark/>
          </w:tcPr>
          <w:p w14:paraId="3D942315" w14:textId="77777777" w:rsidR="009E28A6" w:rsidRPr="00F65F6F" w:rsidRDefault="009E28A6" w:rsidP="002D3EBF">
            <w:pPr>
              <w:tabs>
                <w:tab w:val="left" w:pos="284"/>
                <w:tab w:val="left" w:pos="567"/>
              </w:tabs>
              <w:rPr>
                <w:rFonts w:eastAsia="Calibri"/>
              </w:rPr>
            </w:pPr>
            <w:r w:rsidRPr="00F65F6F">
              <w:rPr>
                <w:rFonts w:eastAsia="Calibri"/>
                <w:lang w:val="en-US"/>
              </w:rPr>
              <w:t>&lt;</w:t>
            </w:r>
            <w:r w:rsidRPr="00F65F6F">
              <w:rPr>
                <w:rFonts w:eastAsia="Calibri"/>
              </w:rPr>
              <w:t>80 мкмоль/л</w:t>
            </w:r>
          </w:p>
        </w:tc>
        <w:tc>
          <w:tcPr>
            <w:tcW w:w="6039" w:type="dxa"/>
            <w:tcBorders>
              <w:top w:val="single" w:sz="4" w:space="0" w:color="auto"/>
              <w:left w:val="single" w:sz="4" w:space="0" w:color="auto"/>
              <w:bottom w:val="single" w:sz="4" w:space="0" w:color="auto"/>
              <w:right w:val="single" w:sz="4" w:space="0" w:color="auto"/>
            </w:tcBorders>
            <w:hideMark/>
          </w:tcPr>
          <w:p w14:paraId="7712BABC" w14:textId="77777777" w:rsidR="009E28A6" w:rsidRPr="00F65F6F" w:rsidRDefault="009E28A6" w:rsidP="002D3EBF">
            <w:pPr>
              <w:tabs>
                <w:tab w:val="left" w:pos="284"/>
                <w:tab w:val="left" w:pos="567"/>
              </w:tabs>
              <w:rPr>
                <w:rFonts w:eastAsia="Calibri"/>
              </w:rPr>
            </w:pPr>
            <w:r w:rsidRPr="00F65F6F">
              <w:rPr>
                <w:rFonts w:eastAsia="Calibri"/>
              </w:rPr>
              <w:t>149 × (0,993)</w:t>
            </w:r>
            <w:r w:rsidRPr="00F65F6F">
              <w:rPr>
                <w:rFonts w:eastAsia="Calibri"/>
                <w:vertAlign w:val="superscript"/>
              </w:rPr>
              <w:t xml:space="preserve"> Возраст</w:t>
            </w:r>
            <w:r w:rsidRPr="00F65F6F">
              <w:rPr>
                <w:rFonts w:eastAsia="Calibri"/>
              </w:rPr>
              <w:t xml:space="preserve"> × (креатинин крови/80)</w:t>
            </w:r>
            <w:r w:rsidRPr="00F65F6F">
              <w:rPr>
                <w:rFonts w:eastAsia="Calibri"/>
                <w:vertAlign w:val="superscript"/>
              </w:rPr>
              <w:t>−0,412</w:t>
            </w:r>
          </w:p>
        </w:tc>
      </w:tr>
      <w:tr w:rsidR="009E28A6" w:rsidRPr="00F65F6F" w14:paraId="775037F7" w14:textId="77777777" w:rsidTr="002D3EBF">
        <w:tc>
          <w:tcPr>
            <w:tcW w:w="0" w:type="auto"/>
            <w:vMerge/>
            <w:tcBorders>
              <w:top w:val="single" w:sz="4" w:space="0" w:color="auto"/>
              <w:left w:val="single" w:sz="4" w:space="0" w:color="auto"/>
              <w:bottom w:val="single" w:sz="4" w:space="0" w:color="auto"/>
              <w:right w:val="single" w:sz="4" w:space="0" w:color="auto"/>
            </w:tcBorders>
            <w:vAlign w:val="center"/>
            <w:hideMark/>
          </w:tcPr>
          <w:p w14:paraId="2D71FCF0" w14:textId="77777777" w:rsidR="009E28A6" w:rsidRPr="00F65F6F" w:rsidRDefault="009E28A6" w:rsidP="002D3EBF">
            <w:pPr>
              <w:rPr>
                <w:rFonts w:eastAsia="Calibri"/>
              </w:rPr>
            </w:pPr>
          </w:p>
        </w:tc>
        <w:tc>
          <w:tcPr>
            <w:tcW w:w="2213" w:type="dxa"/>
            <w:tcBorders>
              <w:top w:val="single" w:sz="4" w:space="0" w:color="auto"/>
              <w:left w:val="single" w:sz="4" w:space="0" w:color="auto"/>
              <w:bottom w:val="single" w:sz="4" w:space="0" w:color="auto"/>
              <w:right w:val="single" w:sz="4" w:space="0" w:color="auto"/>
            </w:tcBorders>
            <w:hideMark/>
          </w:tcPr>
          <w:p w14:paraId="09014760" w14:textId="77777777" w:rsidR="009E28A6" w:rsidRPr="00F65F6F" w:rsidRDefault="009E28A6" w:rsidP="002D3EBF">
            <w:pPr>
              <w:tabs>
                <w:tab w:val="left" w:pos="284"/>
                <w:tab w:val="left" w:pos="567"/>
              </w:tabs>
              <w:rPr>
                <w:rFonts w:eastAsia="Calibri"/>
              </w:rPr>
            </w:pPr>
            <w:r w:rsidRPr="00F65F6F">
              <w:rPr>
                <w:rFonts w:eastAsia="Calibri"/>
              </w:rPr>
              <w:t>≥80 мкмоль/л</w:t>
            </w:r>
          </w:p>
        </w:tc>
        <w:tc>
          <w:tcPr>
            <w:tcW w:w="6039" w:type="dxa"/>
            <w:tcBorders>
              <w:top w:val="single" w:sz="4" w:space="0" w:color="auto"/>
              <w:left w:val="single" w:sz="4" w:space="0" w:color="auto"/>
              <w:bottom w:val="single" w:sz="4" w:space="0" w:color="auto"/>
              <w:right w:val="single" w:sz="4" w:space="0" w:color="auto"/>
            </w:tcBorders>
            <w:hideMark/>
          </w:tcPr>
          <w:p w14:paraId="111BEC98" w14:textId="77777777" w:rsidR="009E28A6" w:rsidRPr="00F65F6F" w:rsidRDefault="009E28A6" w:rsidP="002D3EBF">
            <w:pPr>
              <w:tabs>
                <w:tab w:val="left" w:pos="284"/>
                <w:tab w:val="left" w:pos="567"/>
              </w:tabs>
              <w:rPr>
                <w:rFonts w:eastAsia="Calibri"/>
              </w:rPr>
            </w:pPr>
            <w:r w:rsidRPr="00F65F6F">
              <w:rPr>
                <w:rFonts w:eastAsia="Calibri"/>
              </w:rPr>
              <w:t>149 × (0,993)</w:t>
            </w:r>
            <w:r w:rsidRPr="00F65F6F">
              <w:rPr>
                <w:rFonts w:eastAsia="Calibri"/>
                <w:vertAlign w:val="superscript"/>
              </w:rPr>
              <w:t xml:space="preserve"> Возраст</w:t>
            </w:r>
            <w:r w:rsidRPr="00F65F6F">
              <w:rPr>
                <w:rFonts w:eastAsia="Calibri"/>
              </w:rPr>
              <w:t xml:space="preserve"> × (креатинин крови/80)</w:t>
            </w:r>
            <w:r w:rsidRPr="00F65F6F">
              <w:rPr>
                <w:rFonts w:eastAsia="Calibri"/>
                <w:vertAlign w:val="superscript"/>
              </w:rPr>
              <w:t>−1,210</w:t>
            </w:r>
          </w:p>
        </w:tc>
      </w:tr>
    </w:tbl>
    <w:p w14:paraId="5B7FFA23" w14:textId="77777777" w:rsidR="009E28A6" w:rsidRPr="00F65F6F" w:rsidRDefault="009E28A6" w:rsidP="009E28A6">
      <w:pPr>
        <w:tabs>
          <w:tab w:val="left" w:pos="284"/>
          <w:tab w:val="left" w:pos="567"/>
        </w:tabs>
      </w:pPr>
    </w:p>
    <w:p w14:paraId="57ABF0D9" w14:textId="77777777" w:rsidR="009E28A6" w:rsidRPr="00F65F6F" w:rsidRDefault="009E28A6" w:rsidP="009E28A6">
      <w:pPr>
        <w:tabs>
          <w:tab w:val="left" w:pos="284"/>
          <w:tab w:val="left" w:pos="567"/>
        </w:tabs>
        <w:ind w:firstLine="709"/>
      </w:pPr>
      <w:r w:rsidRPr="00F65F6F">
        <w:t xml:space="preserve">Расчетные методы оценки СКФ не применимы в период развития и разрешения  ОПП, но могут оказаться полезными для оценки функции почек после ее стабилизации. Формулу </w:t>
      </w:r>
      <w:r w:rsidRPr="00F65F6F">
        <w:rPr>
          <w:lang w:val="en-US"/>
        </w:rPr>
        <w:t>CRD</w:t>
      </w:r>
      <w:r w:rsidRPr="00F65F6F">
        <w:t>-</w:t>
      </w:r>
      <w:r w:rsidRPr="00F65F6F">
        <w:rPr>
          <w:lang w:val="en-US"/>
        </w:rPr>
        <w:t>EPI</w:t>
      </w:r>
      <w:r w:rsidRPr="00F65F6F">
        <w:t xml:space="preserve">  не используют у детей до 18 лет, пациентов с нестандартными размерами тела (например, ампутация конечностей), выраженным истощением или ожирением (ИМТ&lt;15 и &gt; 40 кг/ м</w:t>
      </w:r>
      <w:r w:rsidRPr="00F65F6F">
        <w:rPr>
          <w:vertAlign w:val="superscript"/>
        </w:rPr>
        <w:t>2</w:t>
      </w:r>
      <w:r w:rsidRPr="00F65F6F">
        <w:t xml:space="preserve">), заболеваниями скелетной мускулатуры, параплегиями и квадраплегиями, вегетарианцев. Для оценки функционального состояния почек перед назначением нефротоксичных лекарственных средств и при решении вопроса о начале ЗПТ определение расчетной СКФ  необходимо дополнить данными о клиренсе эндогенного креатинина. Клиренс эндогенного креатинина определяется по формуле: </w:t>
      </w:r>
    </w:p>
    <w:p w14:paraId="7A439064" w14:textId="77777777" w:rsidR="009E28A6" w:rsidRPr="00F65F6F" w:rsidRDefault="009E28A6" w:rsidP="009E28A6">
      <w:pPr>
        <w:tabs>
          <w:tab w:val="left" w:pos="284"/>
          <w:tab w:val="left" w:pos="567"/>
        </w:tabs>
        <w:rPr>
          <w:color w:val="202122"/>
          <w:shd w:val="clear" w:color="auto" w:fill="FFFFFF"/>
        </w:rPr>
      </w:pPr>
      <w:r w:rsidRPr="00F65F6F">
        <w:rPr>
          <w:bCs/>
          <w:color w:val="202122"/>
          <w:shd w:val="clear" w:color="auto" w:fill="FFFFFF"/>
        </w:rPr>
        <w:t xml:space="preserve">СКФ = </w:t>
      </w:r>
      <w:r w:rsidRPr="00F65F6F">
        <w:rPr>
          <w:bCs/>
          <w:color w:val="202122"/>
          <w:shd w:val="clear" w:color="auto" w:fill="FFFFFF"/>
          <w:lang w:val="en-US"/>
        </w:rPr>
        <w:t>Ucr</w:t>
      </w:r>
      <w:r w:rsidRPr="00F65F6F">
        <w:rPr>
          <w:bCs/>
          <w:color w:val="202122"/>
          <w:shd w:val="clear" w:color="auto" w:fill="FFFFFF"/>
        </w:rPr>
        <w:t xml:space="preserve"> х V/ </w:t>
      </w:r>
      <w:r w:rsidRPr="00F65F6F">
        <w:rPr>
          <w:bCs/>
          <w:color w:val="202122"/>
          <w:shd w:val="clear" w:color="auto" w:fill="FFFFFF"/>
          <w:lang w:val="en-US"/>
        </w:rPr>
        <w:t>Scr</w:t>
      </w:r>
    </w:p>
    <w:p w14:paraId="0D074B2F" w14:textId="77777777" w:rsidR="009E28A6" w:rsidRPr="00F65F6F" w:rsidRDefault="009E28A6" w:rsidP="009E28A6">
      <w:pPr>
        <w:tabs>
          <w:tab w:val="left" w:pos="284"/>
          <w:tab w:val="left" w:pos="567"/>
        </w:tabs>
        <w:rPr>
          <w:color w:val="202122"/>
          <w:shd w:val="clear" w:color="auto" w:fill="FFFFFF"/>
        </w:rPr>
      </w:pPr>
      <w:r w:rsidRPr="00F65F6F">
        <w:rPr>
          <w:color w:val="202122"/>
          <w:shd w:val="clear" w:color="auto" w:fill="FFFFFF"/>
        </w:rPr>
        <w:t xml:space="preserve">где V — объём мочи за данное время, мл/мин;  Scr — концентрация креатинина в сыворотке; </w:t>
      </w:r>
      <w:r w:rsidRPr="00F65F6F">
        <w:rPr>
          <w:bCs/>
          <w:color w:val="202122"/>
          <w:shd w:val="clear" w:color="auto" w:fill="FFFFFF"/>
          <w:lang w:val="en-US"/>
        </w:rPr>
        <w:t>Ucr</w:t>
      </w:r>
      <w:r w:rsidRPr="00F65F6F">
        <w:rPr>
          <w:color w:val="202122"/>
          <w:shd w:val="clear" w:color="auto" w:fill="FFFFFF"/>
        </w:rPr>
        <w:t xml:space="preserve"> — концентрация креатинина в моче. </w:t>
      </w:r>
    </w:p>
    <w:p w14:paraId="6BDC117B" w14:textId="77777777" w:rsidR="009E28A6" w:rsidRPr="00F65F6F" w:rsidRDefault="009E28A6" w:rsidP="009E28A6">
      <w:pPr>
        <w:tabs>
          <w:tab w:val="left" w:pos="284"/>
          <w:tab w:val="left" w:pos="567"/>
        </w:tabs>
        <w:ind w:firstLine="851"/>
      </w:pPr>
      <w:r w:rsidRPr="00F65F6F">
        <w:rPr>
          <w:color w:val="202122"/>
          <w:shd w:val="clear" w:color="auto" w:fill="FFFFFF"/>
        </w:rPr>
        <w:t>Помимо  классического интервала сбора мочи 24 часа, используют 4 или даже 2 часа.</w:t>
      </w:r>
    </w:p>
    <w:p w14:paraId="7497797E" w14:textId="77777777" w:rsidR="009E28A6" w:rsidRPr="00F65F6F" w:rsidRDefault="009E28A6" w:rsidP="009E28A6">
      <w:pPr>
        <w:tabs>
          <w:tab w:val="left" w:pos="284"/>
          <w:tab w:val="left" w:pos="567"/>
        </w:tabs>
        <w:ind w:firstLine="709"/>
      </w:pPr>
      <w:r w:rsidRPr="00F65F6F">
        <w:lastRenderedPageBreak/>
        <w:t xml:space="preserve">Если базовое обследование выявило патологию мочевыводящей системы, проводят дополнительные исследования. Сроки и объем их выполнения во время поведения лечения зависят от степени тяжести выявленных до лечения или появившихся за время лечения изменений функционального состояния почек, связанных с прогрессированием ХБП, развитием ОПП, проявлением нефротоксичности. </w:t>
      </w:r>
    </w:p>
    <w:p w14:paraId="721CC07F" w14:textId="77777777" w:rsidR="009E28A6" w:rsidRPr="00F65F6F" w:rsidRDefault="009E28A6" w:rsidP="009E28A6">
      <w:pPr>
        <w:tabs>
          <w:tab w:val="left" w:pos="284"/>
          <w:tab w:val="left" w:pos="567"/>
        </w:tabs>
        <w:ind w:firstLine="709"/>
      </w:pPr>
      <w:r w:rsidRPr="00F65F6F">
        <w:t>Дополнительное обследование:</w:t>
      </w:r>
    </w:p>
    <w:p w14:paraId="5411AD5D" w14:textId="77777777" w:rsidR="009E28A6" w:rsidRPr="002974AC" w:rsidRDefault="009E28A6" w:rsidP="00CF0CD2">
      <w:pPr>
        <w:pStyle w:val="afe"/>
        <w:numPr>
          <w:ilvl w:val="0"/>
          <w:numId w:val="110"/>
        </w:numPr>
        <w:ind w:left="709" w:hanging="425"/>
        <w:rPr>
          <w:rFonts w:cs="Times New Roman"/>
          <w:szCs w:val="24"/>
        </w:rPr>
      </w:pPr>
      <w:r w:rsidRPr="002974AC">
        <w:rPr>
          <w:rFonts w:cs="Times New Roman"/>
          <w:szCs w:val="24"/>
        </w:rPr>
        <w:t>Определение показателей  КЩС  (для выявления метаболического ацидоза)</w:t>
      </w:r>
    </w:p>
    <w:p w14:paraId="4534B1E9" w14:textId="77777777" w:rsidR="009E28A6" w:rsidRPr="002974AC" w:rsidRDefault="009E28A6" w:rsidP="00CF0CD2">
      <w:pPr>
        <w:pStyle w:val="afe"/>
        <w:numPr>
          <w:ilvl w:val="0"/>
          <w:numId w:val="110"/>
        </w:numPr>
        <w:ind w:left="709" w:hanging="425"/>
        <w:rPr>
          <w:rFonts w:cs="Times New Roman"/>
          <w:szCs w:val="24"/>
        </w:rPr>
      </w:pPr>
      <w:r w:rsidRPr="002974AC">
        <w:rPr>
          <w:rFonts w:cs="Times New Roman"/>
          <w:szCs w:val="24"/>
        </w:rPr>
        <w:t>Определение концентрации ионов калия, натрия и кальция в плазме (для решения вопроса об экстренности начала проведения ЗПТ)</w:t>
      </w:r>
    </w:p>
    <w:p w14:paraId="119A0B6B" w14:textId="77777777" w:rsidR="009E28A6" w:rsidRPr="002974AC" w:rsidRDefault="009E28A6" w:rsidP="00CF0CD2">
      <w:pPr>
        <w:pStyle w:val="afe"/>
        <w:numPr>
          <w:ilvl w:val="0"/>
          <w:numId w:val="110"/>
        </w:numPr>
        <w:ind w:left="709" w:hanging="425"/>
        <w:rPr>
          <w:rFonts w:cs="Times New Roman"/>
          <w:szCs w:val="24"/>
        </w:rPr>
      </w:pPr>
      <w:r w:rsidRPr="002974AC">
        <w:rPr>
          <w:rFonts w:cs="Times New Roman"/>
          <w:color w:val="000000" w:themeColor="text1"/>
          <w:szCs w:val="24"/>
        </w:rPr>
        <w:t xml:space="preserve">Магнитно-резонансная томография почек и мочевыводящих путей (позволяет определить </w:t>
      </w:r>
      <w:r w:rsidRPr="002974AC">
        <w:rPr>
          <w:rFonts w:cs="Times New Roman"/>
          <w:szCs w:val="24"/>
        </w:rPr>
        <w:t xml:space="preserve">структуру почечной ткани, наличия опухолевых образований и воспалительных процессов). </w:t>
      </w:r>
    </w:p>
    <w:p w14:paraId="5DB4BE31" w14:textId="77777777" w:rsidR="009E28A6" w:rsidRPr="002974AC" w:rsidRDefault="009E28A6" w:rsidP="009E28A6">
      <w:pPr>
        <w:pStyle w:val="afe"/>
        <w:ind w:left="709" w:hanging="1"/>
        <w:rPr>
          <w:rFonts w:cs="Times New Roman"/>
          <w:szCs w:val="24"/>
        </w:rPr>
      </w:pPr>
      <w:r w:rsidRPr="002974AC">
        <w:rPr>
          <w:rFonts w:cs="Times New Roman"/>
          <w:szCs w:val="24"/>
        </w:rPr>
        <w:t xml:space="preserve">Решение вопроса о контрастировании при крайней необходимости внутривенного введения рентгеноконтрастного препарата определяется консилиумом с участием гематолога, нефролога и рентгенолога. </w:t>
      </w:r>
    </w:p>
    <w:p w14:paraId="79F15216" w14:textId="77777777" w:rsidR="009E28A6" w:rsidRPr="002974AC" w:rsidRDefault="009E28A6" w:rsidP="00CF0CD2">
      <w:pPr>
        <w:pStyle w:val="afe"/>
        <w:numPr>
          <w:ilvl w:val="0"/>
          <w:numId w:val="110"/>
        </w:numPr>
        <w:ind w:left="709" w:hanging="425"/>
        <w:rPr>
          <w:rFonts w:cs="Times New Roman"/>
          <w:szCs w:val="24"/>
        </w:rPr>
      </w:pPr>
      <w:r w:rsidRPr="002974AC">
        <w:rPr>
          <w:rFonts w:cs="Times New Roman"/>
          <w:szCs w:val="24"/>
        </w:rPr>
        <w:t>Радиоизотопная ренография (позволяет количественно определить скорость канальцевой секреции, время прохождения изотопа через почки и скорость его экскреции, что предоставит возможность оценить клиренсовую способность почек и состояние уродинамики верхних отделов мочевых путей).</w:t>
      </w:r>
    </w:p>
    <w:p w14:paraId="39E71299" w14:textId="77777777" w:rsidR="009E28A6" w:rsidRPr="002974AC" w:rsidRDefault="009E28A6" w:rsidP="00CF0CD2">
      <w:pPr>
        <w:pStyle w:val="afe"/>
        <w:numPr>
          <w:ilvl w:val="0"/>
          <w:numId w:val="110"/>
        </w:numPr>
        <w:ind w:left="709" w:hanging="425"/>
        <w:rPr>
          <w:rFonts w:cs="Times New Roman"/>
          <w:szCs w:val="24"/>
        </w:rPr>
      </w:pPr>
      <w:r w:rsidRPr="002974AC">
        <w:rPr>
          <w:rFonts w:cs="Times New Roman"/>
          <w:szCs w:val="24"/>
        </w:rPr>
        <w:t xml:space="preserve">Биопсия почки (позволит выявить причину, характер почечных повреждений и их обратимость, что необходимо для решения вопроса о дальнейшем продолжении полихимиотерапии и ее интенсификации). </w:t>
      </w:r>
    </w:p>
    <w:p w14:paraId="70C1541E" w14:textId="77777777" w:rsidR="009E28A6" w:rsidRPr="002974AC" w:rsidRDefault="009E28A6" w:rsidP="009E28A6">
      <w:pPr>
        <w:pStyle w:val="afe"/>
        <w:ind w:left="709" w:hanging="1"/>
        <w:rPr>
          <w:rFonts w:cs="Times New Roman"/>
          <w:szCs w:val="24"/>
        </w:rPr>
      </w:pPr>
      <w:r w:rsidRPr="002974AC">
        <w:rPr>
          <w:rFonts w:cs="Times New Roman"/>
          <w:szCs w:val="24"/>
        </w:rPr>
        <w:t xml:space="preserve">Решение о выполнении биопсии почки принимается консилиумом с участием гематолога и нефролога. В каждом случае определяется целесообразность выполнения биопсии почки, чтобы диагностические цели не превышали риск возможных осложнений. </w:t>
      </w:r>
    </w:p>
    <w:p w14:paraId="43C4E940" w14:textId="77777777" w:rsidR="009E28A6" w:rsidRPr="00F65F6F" w:rsidRDefault="009E28A6" w:rsidP="009E28A6">
      <w:pPr>
        <w:shd w:val="clear" w:color="auto" w:fill="FFFFFF" w:themeFill="background1"/>
        <w:ind w:firstLine="709"/>
        <w:contextualSpacing/>
      </w:pPr>
      <w:r w:rsidRPr="00F65F6F">
        <w:t>Биопсия почки показана при:</w:t>
      </w:r>
    </w:p>
    <w:p w14:paraId="74351AE2" w14:textId="77777777" w:rsidR="009E28A6" w:rsidRPr="00F65F6F" w:rsidRDefault="009E28A6" w:rsidP="00CF0CD2">
      <w:pPr>
        <w:pStyle w:val="afe"/>
        <w:numPr>
          <w:ilvl w:val="0"/>
          <w:numId w:val="106"/>
        </w:numPr>
        <w:shd w:val="clear" w:color="auto" w:fill="FFFFFF" w:themeFill="background1"/>
        <w:rPr>
          <w:rFonts w:cs="Times New Roman"/>
          <w:szCs w:val="24"/>
        </w:rPr>
      </w:pPr>
      <w:r w:rsidRPr="00F65F6F">
        <w:rPr>
          <w:rFonts w:cs="Times New Roman"/>
          <w:szCs w:val="24"/>
        </w:rPr>
        <w:t>подозрении на опухолевое поражение почки;</w:t>
      </w:r>
    </w:p>
    <w:p w14:paraId="345539C0" w14:textId="77777777" w:rsidR="009E28A6" w:rsidRPr="00F65F6F" w:rsidRDefault="009E28A6" w:rsidP="00CF0CD2">
      <w:pPr>
        <w:pStyle w:val="afe"/>
        <w:numPr>
          <w:ilvl w:val="0"/>
          <w:numId w:val="106"/>
        </w:numPr>
        <w:shd w:val="clear" w:color="auto" w:fill="FFFFFF" w:themeFill="background1"/>
        <w:rPr>
          <w:rFonts w:cs="Times New Roman"/>
          <w:szCs w:val="24"/>
        </w:rPr>
      </w:pPr>
      <w:r w:rsidRPr="00F65F6F">
        <w:rPr>
          <w:rFonts w:cs="Times New Roman"/>
          <w:szCs w:val="24"/>
        </w:rPr>
        <w:t>патологии почки неясной этиологии;</w:t>
      </w:r>
    </w:p>
    <w:p w14:paraId="44955916" w14:textId="77777777" w:rsidR="009E28A6" w:rsidRPr="00F65F6F" w:rsidRDefault="009E28A6" w:rsidP="00CF0CD2">
      <w:pPr>
        <w:pStyle w:val="afe"/>
        <w:numPr>
          <w:ilvl w:val="0"/>
          <w:numId w:val="106"/>
        </w:numPr>
        <w:shd w:val="clear" w:color="auto" w:fill="FFFFFF" w:themeFill="background1"/>
        <w:rPr>
          <w:rFonts w:cs="Times New Roman"/>
          <w:szCs w:val="24"/>
        </w:rPr>
      </w:pPr>
      <w:r w:rsidRPr="00F65F6F">
        <w:rPr>
          <w:rFonts w:cs="Times New Roman"/>
          <w:szCs w:val="24"/>
        </w:rPr>
        <w:t>нефротическом синдроме;</w:t>
      </w:r>
    </w:p>
    <w:p w14:paraId="30876EC5" w14:textId="77777777" w:rsidR="009E28A6" w:rsidRPr="00F65F6F" w:rsidRDefault="009E28A6" w:rsidP="00CF0CD2">
      <w:pPr>
        <w:pStyle w:val="afe"/>
        <w:numPr>
          <w:ilvl w:val="0"/>
          <w:numId w:val="106"/>
        </w:numPr>
        <w:shd w:val="clear" w:color="auto" w:fill="FFFFFF" w:themeFill="background1"/>
        <w:rPr>
          <w:rFonts w:cs="Times New Roman"/>
          <w:szCs w:val="24"/>
        </w:rPr>
      </w:pPr>
      <w:r w:rsidRPr="00F65F6F">
        <w:rPr>
          <w:rFonts w:cs="Times New Roman"/>
          <w:szCs w:val="24"/>
        </w:rPr>
        <w:t>длительной, неуточненной микрогематурии</w:t>
      </w:r>
    </w:p>
    <w:p w14:paraId="56B143DF" w14:textId="77777777" w:rsidR="009E28A6" w:rsidRPr="00F65F6F" w:rsidRDefault="009E28A6" w:rsidP="00CF0CD2">
      <w:pPr>
        <w:pStyle w:val="afe"/>
        <w:numPr>
          <w:ilvl w:val="0"/>
          <w:numId w:val="106"/>
        </w:numPr>
        <w:shd w:val="clear" w:color="auto" w:fill="FFFFFF" w:themeFill="background1"/>
        <w:rPr>
          <w:rFonts w:cs="Times New Roman"/>
          <w:szCs w:val="24"/>
        </w:rPr>
      </w:pPr>
      <w:r w:rsidRPr="00F65F6F">
        <w:rPr>
          <w:rFonts w:cs="Times New Roman"/>
          <w:szCs w:val="24"/>
        </w:rPr>
        <w:t>быстром снижении функции почек и развитии острого повреждения почек.</w:t>
      </w:r>
    </w:p>
    <w:p w14:paraId="6985A6B7" w14:textId="77777777" w:rsidR="009E28A6" w:rsidRPr="00F65F6F" w:rsidRDefault="009E28A6" w:rsidP="009E28A6">
      <w:pPr>
        <w:shd w:val="clear" w:color="auto" w:fill="FFFFFF" w:themeFill="background1"/>
        <w:ind w:firstLine="709"/>
        <w:contextualSpacing/>
      </w:pPr>
      <w:r w:rsidRPr="00F65F6F">
        <w:t>Необходимые условия для выполнения биопсии:</w:t>
      </w:r>
    </w:p>
    <w:p w14:paraId="4759991D" w14:textId="77777777" w:rsidR="009E28A6" w:rsidRPr="00F65F6F" w:rsidRDefault="009E28A6" w:rsidP="00CF0CD2">
      <w:pPr>
        <w:pStyle w:val="afe"/>
        <w:numPr>
          <w:ilvl w:val="0"/>
          <w:numId w:val="107"/>
        </w:numPr>
        <w:shd w:val="clear" w:color="auto" w:fill="FFFFFF" w:themeFill="background1"/>
        <w:rPr>
          <w:rFonts w:cs="Times New Roman"/>
          <w:szCs w:val="24"/>
        </w:rPr>
      </w:pPr>
      <w:r w:rsidRPr="00F65F6F">
        <w:rPr>
          <w:rFonts w:cs="Times New Roman"/>
          <w:szCs w:val="24"/>
        </w:rPr>
        <w:t>отсутствие аномалии развития почек (нефроптоз, неполное/полное удвоение почки и др.);</w:t>
      </w:r>
    </w:p>
    <w:p w14:paraId="5353D72F" w14:textId="77777777" w:rsidR="009E28A6" w:rsidRPr="00F65F6F" w:rsidRDefault="009E28A6" w:rsidP="00CF0CD2">
      <w:pPr>
        <w:pStyle w:val="afe"/>
        <w:numPr>
          <w:ilvl w:val="0"/>
          <w:numId w:val="107"/>
        </w:numPr>
        <w:shd w:val="clear" w:color="auto" w:fill="FFFFFF" w:themeFill="background1"/>
        <w:rPr>
          <w:rFonts w:cs="Times New Roman"/>
          <w:szCs w:val="24"/>
        </w:rPr>
      </w:pPr>
      <w:r w:rsidRPr="00F65F6F">
        <w:rPr>
          <w:rFonts w:cs="Times New Roman"/>
          <w:szCs w:val="24"/>
        </w:rPr>
        <w:lastRenderedPageBreak/>
        <w:t>отсутствие лейкоцитурии, бактериурии;</w:t>
      </w:r>
    </w:p>
    <w:p w14:paraId="52730442" w14:textId="77777777" w:rsidR="009E28A6" w:rsidRPr="00F65F6F" w:rsidRDefault="009E28A6" w:rsidP="00CF0CD2">
      <w:pPr>
        <w:pStyle w:val="afe"/>
        <w:numPr>
          <w:ilvl w:val="0"/>
          <w:numId w:val="107"/>
        </w:numPr>
        <w:shd w:val="clear" w:color="auto" w:fill="FFFFFF" w:themeFill="background1"/>
        <w:rPr>
          <w:rFonts w:cs="Times New Roman"/>
          <w:szCs w:val="24"/>
        </w:rPr>
      </w:pPr>
      <w:r w:rsidRPr="00F65F6F">
        <w:rPr>
          <w:rFonts w:cs="Times New Roman"/>
          <w:szCs w:val="24"/>
        </w:rPr>
        <w:t>количество тромбоцитов в периферической крови  ≥  70х10</w:t>
      </w:r>
      <w:r w:rsidRPr="00F65F6F">
        <w:rPr>
          <w:rFonts w:cs="Times New Roman"/>
          <w:szCs w:val="24"/>
          <w:vertAlign w:val="superscript"/>
        </w:rPr>
        <w:t>9</w:t>
      </w:r>
      <w:r w:rsidRPr="00F65F6F">
        <w:rPr>
          <w:rFonts w:cs="Times New Roman"/>
          <w:szCs w:val="24"/>
        </w:rPr>
        <w:t>/л;</w:t>
      </w:r>
    </w:p>
    <w:p w14:paraId="21773E2E" w14:textId="77777777" w:rsidR="009E28A6" w:rsidRPr="00F65F6F" w:rsidRDefault="009E28A6" w:rsidP="00CF0CD2">
      <w:pPr>
        <w:pStyle w:val="afe"/>
        <w:numPr>
          <w:ilvl w:val="0"/>
          <w:numId w:val="107"/>
        </w:numPr>
        <w:shd w:val="clear" w:color="auto" w:fill="FFFFFF" w:themeFill="background1"/>
        <w:rPr>
          <w:rFonts w:cs="Times New Roman"/>
          <w:szCs w:val="24"/>
        </w:rPr>
      </w:pPr>
      <w:r w:rsidRPr="00F65F6F">
        <w:rPr>
          <w:rFonts w:cs="Times New Roman"/>
          <w:szCs w:val="24"/>
        </w:rPr>
        <w:t>контроль показателей тромбоэластограммы;</w:t>
      </w:r>
    </w:p>
    <w:p w14:paraId="76993B41" w14:textId="77777777" w:rsidR="009E28A6" w:rsidRPr="00F65F6F" w:rsidRDefault="009E28A6" w:rsidP="00CF0CD2">
      <w:pPr>
        <w:pStyle w:val="afe"/>
        <w:numPr>
          <w:ilvl w:val="0"/>
          <w:numId w:val="107"/>
        </w:numPr>
        <w:shd w:val="clear" w:color="auto" w:fill="FFFFFF" w:themeFill="background1"/>
        <w:rPr>
          <w:rFonts w:cs="Times New Roman"/>
          <w:szCs w:val="24"/>
        </w:rPr>
      </w:pPr>
      <w:r w:rsidRPr="00F65F6F">
        <w:rPr>
          <w:rFonts w:cs="Times New Roman"/>
          <w:szCs w:val="24"/>
        </w:rPr>
        <w:t>предварительная коррекция выявленных  нарушений гемостаза.</w:t>
      </w:r>
    </w:p>
    <w:p w14:paraId="6F8336EE" w14:textId="77777777" w:rsidR="009E28A6" w:rsidRDefault="009E28A6" w:rsidP="009E28A6">
      <w:pPr>
        <w:shd w:val="clear" w:color="auto" w:fill="FFFFFF" w:themeFill="background1"/>
        <w:ind w:firstLine="709"/>
      </w:pPr>
      <w:r w:rsidRPr="00F65F6F">
        <w:t xml:space="preserve">Гистологическое исследование нефробиоптата позволяет выявить  наличие опухолевой  инфильтрации в паренхиме почки, оценить обратимость повреждения нефрона. Необходимо выполнить иммуногистохимическое, иммунофлюоресцентное и электронно-микроскопическое исследование нефробиоптата.  </w:t>
      </w:r>
    </w:p>
    <w:p w14:paraId="17DF2E4B" w14:textId="77777777" w:rsidR="009E28A6" w:rsidRPr="00F65F6F" w:rsidRDefault="009E28A6" w:rsidP="009E28A6">
      <w:pPr>
        <w:shd w:val="clear" w:color="auto" w:fill="FFFFFF" w:themeFill="background1"/>
        <w:ind w:firstLine="709"/>
      </w:pPr>
    </w:p>
    <w:p w14:paraId="67FFA106" w14:textId="4249F8FD" w:rsidR="009E28A6" w:rsidRPr="00FE0E8C" w:rsidRDefault="009E28A6" w:rsidP="009E28A6">
      <w:pPr>
        <w:autoSpaceDE w:val="0"/>
        <w:ind w:firstLine="709"/>
        <w:contextualSpacing/>
        <w:rPr>
          <w:bCs/>
          <w:i/>
          <w:iCs/>
          <w:u w:val="single"/>
        </w:rPr>
      </w:pPr>
      <w:r w:rsidRPr="00FE0E8C">
        <w:rPr>
          <w:bCs/>
          <w:i/>
          <w:iCs/>
          <w:u w:val="single"/>
        </w:rPr>
        <w:t>Рекомендации по лечению гематологических заболеваний, сопровождающихся поражением почек</w:t>
      </w:r>
      <w:r w:rsidRPr="00B90334">
        <w:rPr>
          <w:bCs/>
          <w:i/>
          <w:iCs/>
          <w:u w:val="single"/>
        </w:rPr>
        <w:t xml:space="preserve"> </w:t>
      </w:r>
      <w:r>
        <w:fldChar w:fldCharType="begin" w:fldLock="1"/>
      </w:r>
      <w:r w:rsidR="004C51FF">
        <w:instrText>ADDIN CSL_CITATION {"citationItems":[{"id":"ITEM-1","itemData":{"author":[{"dropping-particle":"","family":"Джумабаева","given":"Б.Т.","non-dropping-particle":"","parse-names":false,"suffix":""},{"dropping-particle":"","family":"Бирюкова","given":"Л.С.","non-dropping-particle":"","parse-names":false,"suffix":""},{"dropping-particle":"","family":"Варшавский","given":"В.А.","non-dropping-particle":"","parse-names":false,"suffix":""},{"dropping-particle":"","family":"Марьина","given":"С.А.","non-dropping-particle":"","parse-names":false,"suffix":""},{"dropping-particle":"","family":"Рощина","given":"Л.С.","non-dropping-particle":"","parse-names":false,"suffix":""},{"dropping-particle":"","family":"Джулакян","given":"У.Л.","non-dropping-particle":"","parse-names":false,"suffix":""},{"dropping-particle":"","family":"Столяревич","given":"Е.C.","non-dropping-particle":"","parse-names":false,"suffix":""}],"container-title":"Онкогематология","id":"ITEM-1","issue":"1","issued":{"date-parts":[["2017"]]},"page":"44-54","title":"Клинико-лабораторные и морфологические особенности поражения почек при лимфопролиферативных заболеваниях","type":"article-journal","volume":"7"},"uris":["http://www.mendeley.com/documents/?uuid=50a28e00-c058-46cf-b75a-5bfd40395f93"]},{"id":"ITEM-2","itemData":{"author":[{"dropping-particle":"","family":"Рехтина","given":"И.Г.","non-dropping-particle":"","parse-names":false,"suffix":""},{"dropping-particle":"","family":"Голицина","given":"Е.П.","non-dropping-particle":"","parse-names":false,"suffix":""},{"dropping-particle":"","family":"Варламова","given":"Е.Ю.","non-dropping-particle":"","parse-names":false,"suffix":""},{"dropping-particle":"","family":"Варшавский","given":"В.А.","non-dropping-particle":"","parse-names":false,"suffix":""},{"dropping-particle":"","family":"Киреева","given":"А.А.","non-dropping-particle":"","parse-names":false,"suffix":""},{"dropping-particle":"","family":"Бирюкова","given":"Л.С.","non-dropping-particle":"","parse-names":false,"suffix":""},{"dropping-particle":"","family":"Савченко","given":"В.Г.","non-dropping-particle":"","parse-names":false,"suffix":""}],"container-title":"Терапевтический архив","id":"ITEM-2","issue":"3","issued":{"date-parts":[["2013"]]},"page":"80-85","title":"Морфологические и иммунохимические особенности нефропатий при множественной миеломе с тяжелой почечной недостаточностью","type":"article-journal","volume":"85"},"uris":["http://www.mendeley.com/documents/?uuid=b7e4aa0d-a654-44bd-b363-35e45db6262e"]},{"id":"ITEM-3","itemData":{"author":[{"dropping-particle":"","family":"Ворожейкина","given":"Е.Г.","non-dropping-particle":"","parse-names":false,"suffix":""},{"dropping-particle":"","family":"Бирюкова","given":"Л.С.","non-dropping-particle":"","parse-names":false,"suffix":""},{"dropping-particle":"","family":"Савченко","given":"В.Г.","non-dropping-particle":"","parse-names":false,"suffix":""}],"container-title":"Гематология и трансфузиология","id":"ITEM-3","issue":"3","issued":{"date-parts":[["2011"]]},"page":"24-27","title":"Клинико-лабораторные проявления нефропатий у больных острыми лейкозами","type":"article-journal","volume":"56"},"uris":["http://www.mendeley.com/documents/?uuid=137272d3-cc35-4bfd-b2f3-d7af020af652"]}],"mendeley":{"formattedCitation":"[173–175]","plainTextFormattedCitation":"[173–175]","previouslyFormattedCitation":"[173–175]"},"properties":{"noteIndex":0},"schema":"https://github.com/citation-style-language/schema/raw/master/csl-citation.json"}</w:instrText>
      </w:r>
      <w:r>
        <w:fldChar w:fldCharType="separate"/>
      </w:r>
      <w:r w:rsidR="004617E2" w:rsidRPr="004617E2">
        <w:rPr>
          <w:noProof/>
        </w:rPr>
        <w:t>[173–175]</w:t>
      </w:r>
      <w:r>
        <w:fldChar w:fldCharType="end"/>
      </w:r>
      <w:r w:rsidRPr="00FE0E8C">
        <w:rPr>
          <w:bCs/>
          <w:i/>
          <w:iCs/>
          <w:u w:val="single"/>
        </w:rPr>
        <w:t>.</w:t>
      </w:r>
    </w:p>
    <w:p w14:paraId="54D162B5" w14:textId="77777777" w:rsidR="009E28A6" w:rsidRPr="00CC1841" w:rsidRDefault="009E28A6" w:rsidP="009E28A6">
      <w:pPr>
        <w:widowControl w:val="0"/>
        <w:suppressAutoHyphens/>
        <w:ind w:firstLine="709"/>
        <w:rPr>
          <w:rFonts w:eastAsia="Calibri"/>
          <w:lang w:eastAsia="ar-SA"/>
        </w:rPr>
      </w:pPr>
      <w:r w:rsidRPr="00F65F6F">
        <w:rPr>
          <w:rFonts w:eastAsia="Arial"/>
          <w:kern w:val="1"/>
        </w:rPr>
        <w:t xml:space="preserve">В последние десятилетия достигнуты значительные успехи в лечении гематологических </w:t>
      </w:r>
      <w:r w:rsidRPr="00F65F6F">
        <w:rPr>
          <w:lang w:eastAsia="ar-SA"/>
        </w:rPr>
        <w:t>заболеваний, в особенности лейкозов и лимфом</w:t>
      </w:r>
      <w:r w:rsidRPr="00F65F6F">
        <w:rPr>
          <w:rFonts w:eastAsia="Arial"/>
          <w:kern w:val="1"/>
        </w:rPr>
        <w:t xml:space="preserve">, что связано с интенсификацией режимов терапии, включением таргетных препаратов, проведением высокодозной химиотерапии с трансплантацией гемопоэтических стволовых клеток. </w:t>
      </w:r>
      <w:r w:rsidRPr="00F65F6F">
        <w:rPr>
          <w:lang w:eastAsia="ar-SA"/>
        </w:rPr>
        <w:t>От в</w:t>
      </w:r>
      <w:r w:rsidRPr="00F65F6F">
        <w:t xml:space="preserve">ыбора препаратов и определения интенсивности лечения </w:t>
      </w:r>
      <w:r w:rsidRPr="00F65F6F">
        <w:rPr>
          <w:lang w:eastAsia="ar-SA"/>
        </w:rPr>
        <w:t>зависит не только прогноз заболевания в целом, но и тяжесть возможных осложнений.</w:t>
      </w:r>
      <w:r w:rsidRPr="00F65F6F">
        <w:rPr>
          <w:rFonts w:eastAsia="Calibri"/>
          <w:lang w:eastAsia="ar-SA"/>
        </w:rPr>
        <w:t xml:space="preserve"> В связи с этим возникает необходимость поиска баланса между токсичностью и эффективностью лекарственных препаратов, поскольку ряд химиопрепаратов вызывают токсическое поражение почек, проявляющееся развитием почечной недостаточности, ТМА, ГУС, ТТП, ДВС, синдрома Фанкони, почечного несахарного диабета, электролитных нарушений и синдрома лизиса опухоли. Исходно вовлеченные в паранеопластический процесс почки наиболее уязвимы для токсического воздействия лекарственных препаратов. При химиотерапии пациентов с </w:t>
      </w:r>
      <w:r w:rsidRPr="00F65F6F">
        <w:rPr>
          <w:rFonts w:eastAsia="Calibri"/>
          <w:color w:val="000000"/>
          <w:lang w:eastAsia="ar-SA"/>
        </w:rPr>
        <w:t xml:space="preserve">гематологическими </w:t>
      </w:r>
      <w:r w:rsidRPr="00F65F6F">
        <w:rPr>
          <w:rFonts w:eastAsia="Calibri"/>
          <w:lang w:eastAsia="ar-SA"/>
        </w:rPr>
        <w:t>заболеваниями, ассоциированными с почечной недостаточностью, необходима коррекция дозы препарата в зависимости от</w:t>
      </w:r>
      <w:r w:rsidRPr="00F65F6F">
        <w:rPr>
          <w:rFonts w:eastAsia="Calibri"/>
          <w:color w:val="FF0000"/>
          <w:lang w:eastAsia="ar-SA"/>
        </w:rPr>
        <w:t xml:space="preserve"> </w:t>
      </w:r>
      <w:r w:rsidRPr="00F65F6F">
        <w:rPr>
          <w:rFonts w:eastAsia="Calibri"/>
          <w:color w:val="000000"/>
          <w:lang w:eastAsia="ar-SA"/>
        </w:rPr>
        <w:t xml:space="preserve">концентрации </w:t>
      </w:r>
      <w:r w:rsidRPr="00F65F6F">
        <w:rPr>
          <w:rFonts w:eastAsia="Calibri"/>
          <w:lang w:eastAsia="ar-SA"/>
        </w:rPr>
        <w:t xml:space="preserve">креатинина </w:t>
      </w:r>
      <w:r w:rsidRPr="00F65F6F">
        <w:rPr>
          <w:rFonts w:eastAsia="Calibri"/>
          <w:color w:val="000000"/>
          <w:lang w:eastAsia="ar-SA"/>
        </w:rPr>
        <w:t xml:space="preserve">в </w:t>
      </w:r>
      <w:r w:rsidRPr="00CC1841">
        <w:rPr>
          <w:rFonts w:eastAsia="Calibri"/>
          <w:color w:val="000000"/>
          <w:lang w:eastAsia="ar-SA"/>
        </w:rPr>
        <w:t xml:space="preserve">сыворотке </w:t>
      </w:r>
      <w:r w:rsidRPr="00CC1841">
        <w:rPr>
          <w:rFonts w:eastAsia="Calibri"/>
          <w:lang w:eastAsia="ar-SA"/>
        </w:rPr>
        <w:t xml:space="preserve">крови (таб. 5). </w:t>
      </w:r>
    </w:p>
    <w:p w14:paraId="7FC4996F" w14:textId="77777777" w:rsidR="009E28A6" w:rsidRPr="00CC1841" w:rsidRDefault="009E28A6" w:rsidP="009E28A6">
      <w:pPr>
        <w:tabs>
          <w:tab w:val="left" w:pos="284"/>
          <w:tab w:val="left" w:pos="567"/>
        </w:tabs>
        <w:suppressAutoHyphens/>
        <w:rPr>
          <w:rFonts w:eastAsia="Calibri"/>
          <w:lang w:eastAsia="ar-SA"/>
        </w:rPr>
      </w:pPr>
    </w:p>
    <w:p w14:paraId="343F35CE" w14:textId="5B7DF030" w:rsidR="009E28A6" w:rsidRPr="00EE2ABD" w:rsidRDefault="009E28A6" w:rsidP="009E28A6">
      <w:pPr>
        <w:tabs>
          <w:tab w:val="left" w:pos="284"/>
          <w:tab w:val="left" w:pos="567"/>
        </w:tabs>
        <w:suppressAutoHyphens/>
        <w:rPr>
          <w:rFonts w:eastAsia="Calibri"/>
          <w:bCs/>
          <w:lang w:eastAsia="ar-SA"/>
        </w:rPr>
      </w:pPr>
      <w:r w:rsidRPr="00CC1841">
        <w:rPr>
          <w:rFonts w:eastAsia="Calibri"/>
          <w:bCs/>
          <w:lang w:eastAsia="ar-SA"/>
        </w:rPr>
        <w:t>Таблица 5. Коррекция дозы препаратов в зависимости от скорости клубочковой фильтрации</w:t>
      </w:r>
      <w:r w:rsidRPr="00EE2ABD">
        <w:rPr>
          <w:rFonts w:eastAsia="Calibri"/>
          <w:bCs/>
          <w:lang w:eastAsia="ar-SA"/>
        </w:rPr>
        <w:t xml:space="preserve"> </w:t>
      </w:r>
      <w:r>
        <w:fldChar w:fldCharType="begin" w:fldLock="1"/>
      </w:r>
      <w:r w:rsidR="004C51FF">
        <w:instrText>ADDIN CSL_CITATION {"citationItems":[{"id":"ITEM-1","itemData":{"author":[{"dropping-particle":"","family":"Джумабаева","given":"Б.Т.","non-dropping-particle":"","parse-names":false,"suffix":""},{"dropping-particle":"","family":"Бирюкова","given":"Л.С.","non-dropping-particle":"","parse-names":false,"suffix":""},{"dropping-particle":"","family":"Варшавский","given":"В.А.","non-dropping-particle":"","parse-names":false,"suffix":""},{"dropping-particle":"","family":"Марьина","given":"С.А.","non-dropping-particle":"","parse-names":false,"suffix":""},{"dropping-particle":"","family":"Рощина","given":"Л.С.","non-dropping-particle":"","parse-names":false,"suffix":""},{"dropping-particle":"","family":"Джулакян","given":"У.Л.","non-dropping-particle":"","parse-names":false,"suffix":""},{"dropping-particle":"","family":"Столяревич","given":"Е.C.","non-dropping-particle":"","parse-names":false,"suffix":""}],"container-title":"Онкогематология","id":"ITEM-1","issue":"1","issued":{"date-parts":[["2017"]]},"page":"44-54","title":"Клинико-лабораторные и морфологические особенности поражения почек при лимфопролиферативных заболеваниях","type":"article-journal","volume":"7"},"uris":["http://www.mendeley.com/documents/?uuid=50a28e00-c058-46cf-b75a-5bfd40395f93"]},{"id":"ITEM-2","itemData":{"author":[{"dropping-particle":"","family":"Рехтина","given":"И.Г.","non-dropping-particle":"","parse-names":false,"suffix":""},{"dropping-particle":"","family":"Голицина","given":"Е.П.","non-dropping-particle":"","parse-names":false,"suffix":""},{"dropping-particle":"","family":"Варламова","given":"Е.Ю.","non-dropping-particle":"","parse-names":false,"suffix":""},{"dropping-particle":"","family":"Варшавский","given":"В.А.","non-dropping-particle":"","parse-names":false,"suffix":""},{"dropping-particle":"","family":"Киреева","given":"А.А.","non-dropping-particle":"","parse-names":false,"suffix":""},{"dropping-particle":"","family":"Бирюкова","given":"Л.С.","non-dropping-particle":"","parse-names":false,"suffix":""},{"dropping-particle":"","family":"Савченко","given":"В.Г.","non-dropping-particle":"","parse-names":false,"suffix":""}],"container-title":"Терапевтический архив","id":"ITEM-2","issue":"3","issued":{"date-parts":[["2013"]]},"page":"80-85","title":"Морфологические и иммунохимические особенности нефропатий при множественной миеломе с тяжелой почечной недостаточностью","type":"article-journal","volume":"85"},"uris":["http://www.mendeley.com/documents/?uuid=b7e4aa0d-a654-44bd-b363-35e45db6262e"]},{"id":"ITEM-3","itemData":{"author":[{"dropping-particle":"","family":"Ворожейкина","given":"Е.Г.","non-dropping-particle":"","parse-names":false,"suffix":""},{"dropping-particle":"","family":"Бирюкова","given":"Л.С.","non-dropping-particle":"","parse-names":false,"suffix":""},{"dropping-particle":"","family":"Савченко","given":"В.Г.","non-dropping-particle":"","parse-names":false,"suffix":""}],"container-title":"Гематология и трансфузиология","id":"ITEM-3","issue":"3","issued":{"date-parts":[["2011"]]},"page":"24-27","title":"Клинико-лабораторные проявления нефропатий у больных острыми лейкозами","type":"article-journal","volume":"56"},"uris":["http://www.mendeley.com/documents/?uuid=137272d3-cc35-4bfd-b2f3-d7af020af652"]}],"mendeley":{"formattedCitation":"[173–175]","plainTextFormattedCitation":"[173–175]","previouslyFormattedCitation":"[173–175]"},"properties":{"noteIndex":0},"schema":"https://github.com/citation-style-language/schema/raw/master/csl-citation.json"}</w:instrText>
      </w:r>
      <w:r>
        <w:fldChar w:fldCharType="separate"/>
      </w:r>
      <w:r w:rsidR="004617E2" w:rsidRPr="004617E2">
        <w:rPr>
          <w:noProof/>
        </w:rPr>
        <w:t>[173–175]</w:t>
      </w:r>
      <w:r>
        <w:fldChar w:fldCharType="end"/>
      </w:r>
    </w:p>
    <w:tbl>
      <w:tblPr>
        <w:tblStyle w:val="51"/>
        <w:tblW w:w="0" w:type="auto"/>
        <w:tblLook w:val="04A0" w:firstRow="1" w:lastRow="0" w:firstColumn="1" w:lastColumn="0" w:noHBand="0" w:noVBand="1"/>
      </w:tblPr>
      <w:tblGrid>
        <w:gridCol w:w="2899"/>
        <w:gridCol w:w="2261"/>
        <w:gridCol w:w="1851"/>
        <w:gridCol w:w="276"/>
        <w:gridCol w:w="2059"/>
      </w:tblGrid>
      <w:tr w:rsidR="009E28A6" w:rsidRPr="00F65F6F" w14:paraId="0B3494BA" w14:textId="77777777" w:rsidTr="002D3EBF">
        <w:tc>
          <w:tcPr>
            <w:tcW w:w="2943" w:type="dxa"/>
            <w:vMerge w:val="restart"/>
            <w:hideMark/>
          </w:tcPr>
          <w:p w14:paraId="77FFEAB0" w14:textId="77777777" w:rsidR="009E28A6" w:rsidRPr="00F65F6F" w:rsidRDefault="009E28A6" w:rsidP="002D3EBF">
            <w:pPr>
              <w:tabs>
                <w:tab w:val="left" w:pos="284"/>
                <w:tab w:val="left" w:pos="567"/>
              </w:tabs>
              <w:suppressAutoHyphens/>
              <w:snapToGrid w:val="0"/>
              <w:rPr>
                <w:lang w:eastAsia="ar-SA"/>
              </w:rPr>
            </w:pPr>
            <w:r w:rsidRPr="00F65F6F">
              <w:rPr>
                <w:lang w:eastAsia="ar-SA"/>
              </w:rPr>
              <w:t>Лекарственный препарат</w:t>
            </w:r>
          </w:p>
        </w:tc>
        <w:tc>
          <w:tcPr>
            <w:tcW w:w="6633" w:type="dxa"/>
            <w:gridSpan w:val="4"/>
            <w:hideMark/>
          </w:tcPr>
          <w:p w14:paraId="2FDB4D63" w14:textId="77777777" w:rsidR="009E28A6" w:rsidRPr="00F65F6F" w:rsidRDefault="009E28A6" w:rsidP="002D3EBF">
            <w:pPr>
              <w:tabs>
                <w:tab w:val="left" w:pos="284"/>
                <w:tab w:val="left" w:pos="567"/>
              </w:tabs>
              <w:suppressAutoHyphens/>
              <w:snapToGrid w:val="0"/>
              <w:rPr>
                <w:lang w:eastAsia="ar-SA"/>
              </w:rPr>
            </w:pPr>
            <w:r w:rsidRPr="00F65F6F">
              <w:rPr>
                <w:color w:val="000000"/>
                <w:lang w:eastAsia="ar-SA"/>
              </w:rPr>
              <w:t>Уменьшение дозы лекарственных препаратов на указанный % от расчетной дозы, при скорости клубочковой фильтрации,</w:t>
            </w:r>
            <w:r w:rsidRPr="00F65F6F">
              <w:rPr>
                <w:lang w:eastAsia="ar-SA"/>
              </w:rPr>
              <w:t xml:space="preserve"> мл/мин</w:t>
            </w:r>
          </w:p>
        </w:tc>
      </w:tr>
      <w:tr w:rsidR="009E28A6" w:rsidRPr="00F65F6F" w14:paraId="164FE2AF" w14:textId="77777777" w:rsidTr="002D3EBF">
        <w:tc>
          <w:tcPr>
            <w:tcW w:w="0" w:type="auto"/>
            <w:vMerge/>
            <w:hideMark/>
          </w:tcPr>
          <w:p w14:paraId="7B3A5B2A" w14:textId="77777777" w:rsidR="009E28A6" w:rsidRPr="00F65F6F" w:rsidRDefault="009E28A6" w:rsidP="002D3EBF">
            <w:pPr>
              <w:rPr>
                <w:lang w:eastAsia="ar-SA"/>
              </w:rPr>
            </w:pPr>
          </w:p>
        </w:tc>
        <w:tc>
          <w:tcPr>
            <w:tcW w:w="2315" w:type="dxa"/>
            <w:hideMark/>
          </w:tcPr>
          <w:p w14:paraId="08C851EC" w14:textId="77777777" w:rsidR="009E28A6" w:rsidRPr="00F65F6F" w:rsidRDefault="009E28A6" w:rsidP="002D3EBF">
            <w:pPr>
              <w:tabs>
                <w:tab w:val="left" w:pos="284"/>
                <w:tab w:val="left" w:pos="567"/>
              </w:tabs>
              <w:suppressAutoHyphens/>
              <w:snapToGrid w:val="0"/>
              <w:rPr>
                <w:lang w:eastAsia="ar-SA"/>
              </w:rPr>
            </w:pPr>
            <w:r w:rsidRPr="00F65F6F">
              <w:rPr>
                <w:lang w:eastAsia="ar-SA"/>
              </w:rPr>
              <w:t>СКФ 60-30 мл/мин</w:t>
            </w:r>
          </w:p>
        </w:tc>
        <w:tc>
          <w:tcPr>
            <w:tcW w:w="2195" w:type="dxa"/>
            <w:gridSpan w:val="2"/>
            <w:hideMark/>
          </w:tcPr>
          <w:p w14:paraId="07FB815C" w14:textId="77777777" w:rsidR="009E28A6" w:rsidRPr="00F65F6F" w:rsidRDefault="009E28A6" w:rsidP="002D3EBF">
            <w:pPr>
              <w:tabs>
                <w:tab w:val="left" w:pos="284"/>
                <w:tab w:val="left" w:pos="567"/>
              </w:tabs>
              <w:suppressAutoHyphens/>
              <w:snapToGrid w:val="0"/>
              <w:rPr>
                <w:lang w:eastAsia="ar-SA"/>
              </w:rPr>
            </w:pPr>
            <w:r w:rsidRPr="00F65F6F">
              <w:rPr>
                <w:lang w:eastAsia="ar-SA"/>
              </w:rPr>
              <w:t xml:space="preserve">СКФ 29-10 мл/мин </w:t>
            </w:r>
          </w:p>
        </w:tc>
        <w:tc>
          <w:tcPr>
            <w:tcW w:w="2123" w:type="dxa"/>
            <w:hideMark/>
          </w:tcPr>
          <w:p w14:paraId="569E69DB" w14:textId="77777777" w:rsidR="009E28A6" w:rsidRPr="00F65F6F" w:rsidRDefault="009E28A6" w:rsidP="002D3EBF">
            <w:pPr>
              <w:tabs>
                <w:tab w:val="left" w:pos="284"/>
                <w:tab w:val="left" w:pos="567"/>
              </w:tabs>
              <w:suppressAutoHyphens/>
              <w:snapToGrid w:val="0"/>
              <w:rPr>
                <w:lang w:eastAsia="ar-SA"/>
              </w:rPr>
            </w:pPr>
            <w:r w:rsidRPr="00F65F6F">
              <w:rPr>
                <w:lang w:eastAsia="ar-SA"/>
              </w:rPr>
              <w:t>СКФ &lt;10 мл/мин</w:t>
            </w:r>
          </w:p>
        </w:tc>
      </w:tr>
      <w:tr w:rsidR="009E28A6" w:rsidRPr="00F65F6F" w14:paraId="2F16909B" w14:textId="77777777" w:rsidTr="002D3EBF">
        <w:tc>
          <w:tcPr>
            <w:tcW w:w="2943" w:type="dxa"/>
            <w:hideMark/>
          </w:tcPr>
          <w:p w14:paraId="11B80B2D" w14:textId="77777777" w:rsidR="009E28A6" w:rsidRPr="00F65F6F" w:rsidRDefault="009E28A6" w:rsidP="002D3EBF">
            <w:pPr>
              <w:tabs>
                <w:tab w:val="left" w:pos="284"/>
                <w:tab w:val="left" w:pos="567"/>
              </w:tabs>
              <w:suppressAutoHyphens/>
              <w:snapToGrid w:val="0"/>
              <w:rPr>
                <w:lang w:eastAsia="ar-SA"/>
              </w:rPr>
            </w:pPr>
            <w:r w:rsidRPr="00F65F6F">
              <w:rPr>
                <w:lang w:eastAsia="ar-SA"/>
              </w:rPr>
              <w:t>Блеомицин</w:t>
            </w:r>
          </w:p>
        </w:tc>
        <w:tc>
          <w:tcPr>
            <w:tcW w:w="2315" w:type="dxa"/>
            <w:hideMark/>
          </w:tcPr>
          <w:p w14:paraId="5C916848" w14:textId="77777777" w:rsidR="009E28A6" w:rsidRPr="00F65F6F" w:rsidRDefault="009E28A6" w:rsidP="002D3EBF">
            <w:pPr>
              <w:tabs>
                <w:tab w:val="left" w:pos="284"/>
                <w:tab w:val="left" w:pos="567"/>
              </w:tabs>
              <w:suppressAutoHyphens/>
              <w:snapToGrid w:val="0"/>
              <w:rPr>
                <w:b/>
                <w:bCs/>
                <w:color w:val="FF0000"/>
                <w:lang w:eastAsia="ar-SA"/>
              </w:rPr>
            </w:pPr>
            <w:r w:rsidRPr="00F65F6F">
              <w:rPr>
                <w:lang w:eastAsia="ar-SA"/>
              </w:rPr>
              <w:t>50%</w:t>
            </w:r>
          </w:p>
        </w:tc>
        <w:tc>
          <w:tcPr>
            <w:tcW w:w="2195" w:type="dxa"/>
            <w:gridSpan w:val="2"/>
            <w:hideMark/>
          </w:tcPr>
          <w:p w14:paraId="515A6F11" w14:textId="77777777" w:rsidR="009E28A6" w:rsidRPr="00F65F6F" w:rsidRDefault="009E28A6" w:rsidP="002D3EBF">
            <w:pPr>
              <w:tabs>
                <w:tab w:val="left" w:pos="284"/>
                <w:tab w:val="left" w:pos="567"/>
              </w:tabs>
              <w:suppressAutoHyphens/>
              <w:snapToGrid w:val="0"/>
              <w:rPr>
                <w:lang w:eastAsia="ar-SA"/>
              </w:rPr>
            </w:pPr>
            <w:r w:rsidRPr="00F65F6F">
              <w:rPr>
                <w:lang w:eastAsia="ar-SA"/>
              </w:rPr>
              <w:t>Отмена</w:t>
            </w:r>
          </w:p>
        </w:tc>
        <w:tc>
          <w:tcPr>
            <w:tcW w:w="2123" w:type="dxa"/>
            <w:hideMark/>
          </w:tcPr>
          <w:p w14:paraId="1563C202" w14:textId="77777777" w:rsidR="009E28A6" w:rsidRPr="00F65F6F" w:rsidRDefault="009E28A6" w:rsidP="002D3EBF">
            <w:pPr>
              <w:tabs>
                <w:tab w:val="left" w:pos="284"/>
                <w:tab w:val="left" w:pos="567"/>
              </w:tabs>
              <w:suppressAutoHyphens/>
              <w:snapToGrid w:val="0"/>
              <w:rPr>
                <w:lang w:eastAsia="ar-SA"/>
              </w:rPr>
            </w:pPr>
            <w:r w:rsidRPr="00F65F6F">
              <w:rPr>
                <w:lang w:eastAsia="ar-SA"/>
              </w:rPr>
              <w:t>Отмена</w:t>
            </w:r>
          </w:p>
        </w:tc>
      </w:tr>
      <w:tr w:rsidR="009E28A6" w:rsidRPr="00F65F6F" w14:paraId="5413EB3E" w14:textId="77777777" w:rsidTr="002D3EBF">
        <w:tc>
          <w:tcPr>
            <w:tcW w:w="2943" w:type="dxa"/>
            <w:hideMark/>
          </w:tcPr>
          <w:p w14:paraId="0FB667E6" w14:textId="77777777" w:rsidR="009E28A6" w:rsidRPr="00F65F6F" w:rsidRDefault="009E28A6" w:rsidP="002D3EBF">
            <w:pPr>
              <w:tabs>
                <w:tab w:val="left" w:pos="284"/>
                <w:tab w:val="left" w:pos="567"/>
              </w:tabs>
              <w:suppressAutoHyphens/>
              <w:snapToGrid w:val="0"/>
              <w:rPr>
                <w:lang w:eastAsia="ar-SA"/>
              </w:rPr>
            </w:pPr>
            <w:r w:rsidRPr="00F65F6F">
              <w:rPr>
                <w:lang w:eastAsia="ar-SA"/>
              </w:rPr>
              <w:lastRenderedPageBreak/>
              <w:t>Карбоплатин</w:t>
            </w:r>
          </w:p>
        </w:tc>
        <w:tc>
          <w:tcPr>
            <w:tcW w:w="6633" w:type="dxa"/>
            <w:gridSpan w:val="4"/>
            <w:hideMark/>
          </w:tcPr>
          <w:p w14:paraId="63BC9102" w14:textId="77777777" w:rsidR="009E28A6" w:rsidRPr="00F65F6F" w:rsidRDefault="009E28A6" w:rsidP="002D3EBF">
            <w:pPr>
              <w:tabs>
                <w:tab w:val="left" w:pos="284"/>
                <w:tab w:val="left" w:pos="567"/>
              </w:tabs>
              <w:suppressAutoHyphens/>
              <w:snapToGrid w:val="0"/>
              <w:jc w:val="center"/>
              <w:rPr>
                <w:lang w:eastAsia="ar-SA"/>
              </w:rPr>
            </w:pPr>
            <w:r w:rsidRPr="00F65F6F">
              <w:rPr>
                <w:lang w:eastAsia="ar-SA"/>
              </w:rPr>
              <w:t>Расчет дозы препарата по формуле Калверта*</w:t>
            </w:r>
          </w:p>
        </w:tc>
      </w:tr>
      <w:tr w:rsidR="009E28A6" w:rsidRPr="00F65F6F" w14:paraId="3EDDE4AE" w14:textId="77777777" w:rsidTr="002D3EBF">
        <w:tc>
          <w:tcPr>
            <w:tcW w:w="2943" w:type="dxa"/>
            <w:hideMark/>
          </w:tcPr>
          <w:p w14:paraId="1B348A7C" w14:textId="77777777" w:rsidR="009E28A6" w:rsidRPr="00F65F6F" w:rsidRDefault="009E28A6" w:rsidP="002D3EBF">
            <w:pPr>
              <w:tabs>
                <w:tab w:val="left" w:pos="284"/>
                <w:tab w:val="left" w:pos="567"/>
              </w:tabs>
              <w:suppressAutoHyphens/>
              <w:snapToGrid w:val="0"/>
              <w:rPr>
                <w:lang w:eastAsia="ar-SA"/>
              </w:rPr>
            </w:pPr>
            <w:r w:rsidRPr="00F65F6F">
              <w:rPr>
                <w:lang w:eastAsia="ar-SA"/>
              </w:rPr>
              <w:t>Цисплатин</w:t>
            </w:r>
          </w:p>
        </w:tc>
        <w:tc>
          <w:tcPr>
            <w:tcW w:w="2315" w:type="dxa"/>
            <w:hideMark/>
          </w:tcPr>
          <w:p w14:paraId="49B16C2C" w14:textId="77777777" w:rsidR="009E28A6" w:rsidRPr="00F65F6F" w:rsidRDefault="009E28A6" w:rsidP="002D3EBF">
            <w:pPr>
              <w:tabs>
                <w:tab w:val="left" w:pos="284"/>
                <w:tab w:val="left" w:pos="567"/>
              </w:tabs>
              <w:suppressAutoHyphens/>
              <w:snapToGrid w:val="0"/>
              <w:rPr>
                <w:lang w:eastAsia="ar-SA"/>
              </w:rPr>
            </w:pPr>
            <w:r w:rsidRPr="00F65F6F">
              <w:rPr>
                <w:lang w:eastAsia="ar-SA"/>
              </w:rPr>
              <w:t>50%</w:t>
            </w:r>
          </w:p>
        </w:tc>
        <w:tc>
          <w:tcPr>
            <w:tcW w:w="1903" w:type="dxa"/>
            <w:hideMark/>
          </w:tcPr>
          <w:p w14:paraId="368FA582" w14:textId="77777777" w:rsidR="009E28A6" w:rsidRPr="00F65F6F" w:rsidRDefault="009E28A6" w:rsidP="002D3EBF">
            <w:pPr>
              <w:tabs>
                <w:tab w:val="left" w:pos="284"/>
                <w:tab w:val="left" w:pos="567"/>
              </w:tabs>
              <w:suppressAutoHyphens/>
              <w:snapToGrid w:val="0"/>
              <w:rPr>
                <w:lang w:eastAsia="ar-SA"/>
              </w:rPr>
            </w:pPr>
            <w:r w:rsidRPr="00F65F6F">
              <w:rPr>
                <w:lang w:eastAsia="ar-SA"/>
              </w:rPr>
              <w:t>Отмена</w:t>
            </w:r>
          </w:p>
        </w:tc>
        <w:tc>
          <w:tcPr>
            <w:tcW w:w="2415" w:type="dxa"/>
            <w:gridSpan w:val="2"/>
            <w:hideMark/>
          </w:tcPr>
          <w:p w14:paraId="3FCD37AE" w14:textId="77777777" w:rsidR="009E28A6" w:rsidRPr="00F65F6F" w:rsidRDefault="009E28A6" w:rsidP="002D3EBF">
            <w:pPr>
              <w:tabs>
                <w:tab w:val="left" w:pos="284"/>
                <w:tab w:val="left" w:pos="567"/>
              </w:tabs>
              <w:suppressAutoHyphens/>
              <w:snapToGrid w:val="0"/>
              <w:rPr>
                <w:lang w:eastAsia="ar-SA"/>
              </w:rPr>
            </w:pPr>
            <w:r w:rsidRPr="00F65F6F">
              <w:rPr>
                <w:lang w:eastAsia="ar-SA"/>
              </w:rPr>
              <w:t>Отмена</w:t>
            </w:r>
          </w:p>
        </w:tc>
      </w:tr>
      <w:tr w:rsidR="009E28A6" w:rsidRPr="00F65F6F" w14:paraId="53119240" w14:textId="77777777" w:rsidTr="002D3EBF">
        <w:tc>
          <w:tcPr>
            <w:tcW w:w="2943" w:type="dxa"/>
            <w:hideMark/>
          </w:tcPr>
          <w:p w14:paraId="619AB236" w14:textId="77777777" w:rsidR="009E28A6" w:rsidRPr="00F65F6F" w:rsidRDefault="009E28A6" w:rsidP="002D3EBF">
            <w:pPr>
              <w:tabs>
                <w:tab w:val="left" w:pos="284"/>
                <w:tab w:val="left" w:pos="567"/>
              </w:tabs>
              <w:suppressAutoHyphens/>
              <w:snapToGrid w:val="0"/>
              <w:rPr>
                <w:lang w:eastAsia="ar-SA"/>
              </w:rPr>
            </w:pPr>
            <w:r w:rsidRPr="00F65F6F">
              <w:rPr>
                <w:lang w:eastAsia="ar-SA"/>
              </w:rPr>
              <w:t>Циклофосфамид</w:t>
            </w:r>
          </w:p>
        </w:tc>
        <w:tc>
          <w:tcPr>
            <w:tcW w:w="4218" w:type="dxa"/>
            <w:gridSpan w:val="2"/>
          </w:tcPr>
          <w:p w14:paraId="06B3BB01" w14:textId="77777777" w:rsidR="009E28A6" w:rsidRPr="00F65F6F" w:rsidRDefault="009E28A6" w:rsidP="002D3EBF">
            <w:pPr>
              <w:tabs>
                <w:tab w:val="left" w:pos="284"/>
                <w:tab w:val="left" w:pos="567"/>
              </w:tabs>
              <w:suppressAutoHyphens/>
              <w:snapToGrid w:val="0"/>
              <w:jc w:val="center"/>
              <w:rPr>
                <w:lang w:eastAsia="ar-SA"/>
              </w:rPr>
            </w:pPr>
            <w:r w:rsidRPr="00F65F6F">
              <w:rPr>
                <w:lang w:eastAsia="ar-SA"/>
              </w:rPr>
              <w:t>не требуется</w:t>
            </w:r>
          </w:p>
          <w:p w14:paraId="3819D2BB" w14:textId="77777777" w:rsidR="009E28A6" w:rsidRPr="00F65F6F" w:rsidRDefault="009E28A6" w:rsidP="002D3EBF">
            <w:pPr>
              <w:tabs>
                <w:tab w:val="left" w:pos="284"/>
                <w:tab w:val="left" w:pos="567"/>
              </w:tabs>
              <w:suppressAutoHyphens/>
              <w:snapToGrid w:val="0"/>
              <w:rPr>
                <w:lang w:eastAsia="ar-SA"/>
              </w:rPr>
            </w:pPr>
          </w:p>
        </w:tc>
        <w:tc>
          <w:tcPr>
            <w:tcW w:w="2415" w:type="dxa"/>
            <w:gridSpan w:val="2"/>
            <w:hideMark/>
          </w:tcPr>
          <w:p w14:paraId="51B620B5" w14:textId="77777777" w:rsidR="009E28A6" w:rsidRPr="00F65F6F" w:rsidRDefault="009E28A6" w:rsidP="002D3EBF">
            <w:pPr>
              <w:tabs>
                <w:tab w:val="left" w:pos="284"/>
                <w:tab w:val="left" w:pos="567"/>
              </w:tabs>
              <w:suppressAutoHyphens/>
              <w:snapToGrid w:val="0"/>
              <w:rPr>
                <w:lang w:eastAsia="ar-SA"/>
              </w:rPr>
            </w:pPr>
            <w:r w:rsidRPr="00F65F6F">
              <w:rPr>
                <w:lang w:eastAsia="ar-SA"/>
              </w:rPr>
              <w:t>50%</w:t>
            </w:r>
          </w:p>
        </w:tc>
      </w:tr>
      <w:tr w:rsidR="009E28A6" w:rsidRPr="00F65F6F" w14:paraId="779D29E4" w14:textId="77777777" w:rsidTr="002D3EBF">
        <w:tc>
          <w:tcPr>
            <w:tcW w:w="2943" w:type="dxa"/>
            <w:hideMark/>
          </w:tcPr>
          <w:p w14:paraId="64247A90" w14:textId="77777777" w:rsidR="009E28A6" w:rsidRPr="00F65F6F" w:rsidRDefault="009E28A6" w:rsidP="002D3EBF">
            <w:pPr>
              <w:tabs>
                <w:tab w:val="left" w:pos="284"/>
                <w:tab w:val="left" w:pos="567"/>
              </w:tabs>
              <w:suppressAutoHyphens/>
              <w:snapToGrid w:val="0"/>
              <w:rPr>
                <w:lang w:eastAsia="ar-SA"/>
              </w:rPr>
            </w:pPr>
            <w:r w:rsidRPr="00F65F6F">
              <w:rPr>
                <w:lang w:eastAsia="ar-SA"/>
              </w:rPr>
              <w:t>Цитозин-арабинозид</w:t>
            </w:r>
          </w:p>
        </w:tc>
        <w:tc>
          <w:tcPr>
            <w:tcW w:w="2315" w:type="dxa"/>
            <w:hideMark/>
          </w:tcPr>
          <w:p w14:paraId="667ED3EE" w14:textId="77777777" w:rsidR="009E28A6" w:rsidRPr="00F65F6F" w:rsidRDefault="009E28A6" w:rsidP="002D3EBF">
            <w:pPr>
              <w:tabs>
                <w:tab w:val="left" w:pos="284"/>
                <w:tab w:val="left" w:pos="567"/>
              </w:tabs>
              <w:suppressAutoHyphens/>
              <w:snapToGrid w:val="0"/>
              <w:rPr>
                <w:lang w:eastAsia="ar-SA"/>
              </w:rPr>
            </w:pPr>
            <w:r w:rsidRPr="00F65F6F">
              <w:rPr>
                <w:lang w:eastAsia="ar-SA"/>
              </w:rPr>
              <w:t>50%</w:t>
            </w:r>
          </w:p>
        </w:tc>
        <w:tc>
          <w:tcPr>
            <w:tcW w:w="1903" w:type="dxa"/>
            <w:hideMark/>
          </w:tcPr>
          <w:p w14:paraId="2A9547B3" w14:textId="77777777" w:rsidR="009E28A6" w:rsidRPr="00EE2ABD" w:rsidRDefault="009E28A6" w:rsidP="002D3EBF">
            <w:pPr>
              <w:tabs>
                <w:tab w:val="left" w:pos="284"/>
                <w:tab w:val="left" w:pos="567"/>
              </w:tabs>
              <w:suppressAutoHyphens/>
              <w:snapToGrid w:val="0"/>
              <w:rPr>
                <w:bCs/>
                <w:color w:val="FF0000"/>
                <w:lang w:eastAsia="ar-SA"/>
              </w:rPr>
            </w:pPr>
            <w:r w:rsidRPr="00F65F6F">
              <w:rPr>
                <w:bCs/>
                <w:lang w:eastAsia="ar-SA"/>
              </w:rPr>
              <w:t xml:space="preserve">Отмена </w:t>
            </w:r>
          </w:p>
        </w:tc>
        <w:tc>
          <w:tcPr>
            <w:tcW w:w="2415" w:type="dxa"/>
            <w:gridSpan w:val="2"/>
            <w:hideMark/>
          </w:tcPr>
          <w:p w14:paraId="3BEC69A1" w14:textId="77777777" w:rsidR="009E28A6" w:rsidRPr="00F65F6F" w:rsidRDefault="009E28A6" w:rsidP="002D3EBF">
            <w:pPr>
              <w:tabs>
                <w:tab w:val="left" w:pos="284"/>
                <w:tab w:val="left" w:pos="567"/>
              </w:tabs>
              <w:suppressAutoHyphens/>
              <w:snapToGrid w:val="0"/>
              <w:rPr>
                <w:lang w:eastAsia="ar-SA"/>
              </w:rPr>
            </w:pPr>
            <w:r w:rsidRPr="00F65F6F">
              <w:rPr>
                <w:lang w:eastAsia="ar-SA"/>
              </w:rPr>
              <w:t>Отмена</w:t>
            </w:r>
          </w:p>
        </w:tc>
      </w:tr>
      <w:tr w:rsidR="009E28A6" w:rsidRPr="00F65F6F" w14:paraId="7F8ADB64" w14:textId="77777777" w:rsidTr="002D3EBF">
        <w:tc>
          <w:tcPr>
            <w:tcW w:w="2943" w:type="dxa"/>
            <w:hideMark/>
          </w:tcPr>
          <w:p w14:paraId="635CF8F3" w14:textId="77777777" w:rsidR="009E28A6" w:rsidRPr="00F65F6F" w:rsidRDefault="009E28A6" w:rsidP="002D3EBF">
            <w:pPr>
              <w:tabs>
                <w:tab w:val="left" w:pos="284"/>
                <w:tab w:val="left" w:pos="567"/>
              </w:tabs>
              <w:suppressAutoHyphens/>
              <w:snapToGrid w:val="0"/>
              <w:rPr>
                <w:lang w:eastAsia="ar-SA"/>
              </w:rPr>
            </w:pPr>
            <w:r w:rsidRPr="00F65F6F">
              <w:rPr>
                <w:lang w:eastAsia="ar-SA"/>
              </w:rPr>
              <w:t>Дакарбазин</w:t>
            </w:r>
          </w:p>
        </w:tc>
        <w:tc>
          <w:tcPr>
            <w:tcW w:w="2315" w:type="dxa"/>
            <w:hideMark/>
          </w:tcPr>
          <w:p w14:paraId="00C77C7D" w14:textId="77777777" w:rsidR="009E28A6" w:rsidRPr="00F65F6F" w:rsidRDefault="009E28A6" w:rsidP="002D3EBF">
            <w:pPr>
              <w:tabs>
                <w:tab w:val="left" w:pos="284"/>
                <w:tab w:val="left" w:pos="567"/>
              </w:tabs>
              <w:suppressAutoHyphens/>
              <w:snapToGrid w:val="0"/>
              <w:rPr>
                <w:lang w:eastAsia="ar-SA"/>
              </w:rPr>
            </w:pPr>
            <w:r w:rsidRPr="00F65F6F">
              <w:rPr>
                <w:lang w:eastAsia="ar-SA"/>
              </w:rPr>
              <w:t>25%</w:t>
            </w:r>
          </w:p>
        </w:tc>
        <w:tc>
          <w:tcPr>
            <w:tcW w:w="1903" w:type="dxa"/>
            <w:hideMark/>
          </w:tcPr>
          <w:p w14:paraId="7FFF84B3" w14:textId="77777777" w:rsidR="009E28A6" w:rsidRPr="00F65F6F" w:rsidRDefault="009E28A6" w:rsidP="002D3EBF">
            <w:pPr>
              <w:tabs>
                <w:tab w:val="left" w:pos="284"/>
                <w:tab w:val="left" w:pos="567"/>
              </w:tabs>
              <w:suppressAutoHyphens/>
              <w:snapToGrid w:val="0"/>
              <w:rPr>
                <w:lang w:eastAsia="ar-SA"/>
              </w:rPr>
            </w:pPr>
            <w:r w:rsidRPr="00F65F6F">
              <w:rPr>
                <w:lang w:eastAsia="ar-SA"/>
              </w:rPr>
              <w:t>50%</w:t>
            </w:r>
          </w:p>
        </w:tc>
        <w:tc>
          <w:tcPr>
            <w:tcW w:w="2415" w:type="dxa"/>
            <w:gridSpan w:val="2"/>
            <w:hideMark/>
          </w:tcPr>
          <w:p w14:paraId="0892B733" w14:textId="77777777" w:rsidR="009E28A6" w:rsidRPr="00F65F6F" w:rsidRDefault="009E28A6" w:rsidP="002D3EBF">
            <w:pPr>
              <w:tabs>
                <w:tab w:val="left" w:pos="284"/>
                <w:tab w:val="left" w:pos="567"/>
              </w:tabs>
              <w:suppressAutoHyphens/>
              <w:snapToGrid w:val="0"/>
              <w:rPr>
                <w:lang w:eastAsia="ar-SA"/>
              </w:rPr>
            </w:pPr>
            <w:r w:rsidRPr="00F65F6F">
              <w:rPr>
                <w:lang w:eastAsia="ar-SA"/>
              </w:rPr>
              <w:t>Отмена</w:t>
            </w:r>
          </w:p>
        </w:tc>
      </w:tr>
      <w:tr w:rsidR="009E28A6" w:rsidRPr="00F65F6F" w14:paraId="42D9EEDC" w14:textId="77777777" w:rsidTr="002D3EBF">
        <w:tc>
          <w:tcPr>
            <w:tcW w:w="2943" w:type="dxa"/>
            <w:hideMark/>
          </w:tcPr>
          <w:p w14:paraId="0D0F908E" w14:textId="77777777" w:rsidR="009E28A6" w:rsidRPr="00F65F6F" w:rsidRDefault="009E28A6" w:rsidP="002D3EBF">
            <w:pPr>
              <w:tabs>
                <w:tab w:val="left" w:pos="284"/>
                <w:tab w:val="left" w:pos="567"/>
              </w:tabs>
              <w:suppressAutoHyphens/>
              <w:snapToGrid w:val="0"/>
              <w:rPr>
                <w:lang w:eastAsia="ar-SA"/>
              </w:rPr>
            </w:pPr>
            <w:r w:rsidRPr="00F65F6F">
              <w:rPr>
                <w:lang w:eastAsia="ar-SA"/>
              </w:rPr>
              <w:t>Этопозид</w:t>
            </w:r>
          </w:p>
        </w:tc>
        <w:tc>
          <w:tcPr>
            <w:tcW w:w="4218" w:type="dxa"/>
            <w:gridSpan w:val="2"/>
          </w:tcPr>
          <w:p w14:paraId="29294991" w14:textId="77777777" w:rsidR="009E28A6" w:rsidRPr="00F65F6F" w:rsidRDefault="009E28A6" w:rsidP="002D3EBF">
            <w:pPr>
              <w:tabs>
                <w:tab w:val="left" w:pos="284"/>
                <w:tab w:val="left" w:pos="567"/>
              </w:tabs>
              <w:suppressAutoHyphens/>
              <w:snapToGrid w:val="0"/>
              <w:jc w:val="center"/>
              <w:rPr>
                <w:lang w:eastAsia="ar-SA"/>
              </w:rPr>
            </w:pPr>
            <w:r w:rsidRPr="00F65F6F">
              <w:rPr>
                <w:lang w:eastAsia="ar-SA"/>
              </w:rPr>
              <w:t>не требуется</w:t>
            </w:r>
          </w:p>
          <w:p w14:paraId="2FF7F912" w14:textId="77777777" w:rsidR="009E28A6" w:rsidRPr="00F65F6F" w:rsidRDefault="009E28A6" w:rsidP="002D3EBF">
            <w:pPr>
              <w:tabs>
                <w:tab w:val="left" w:pos="284"/>
                <w:tab w:val="left" w:pos="567"/>
              </w:tabs>
              <w:suppressAutoHyphens/>
              <w:snapToGrid w:val="0"/>
              <w:rPr>
                <w:lang w:eastAsia="ar-SA"/>
              </w:rPr>
            </w:pPr>
          </w:p>
        </w:tc>
        <w:tc>
          <w:tcPr>
            <w:tcW w:w="2415" w:type="dxa"/>
            <w:gridSpan w:val="2"/>
            <w:hideMark/>
          </w:tcPr>
          <w:p w14:paraId="571B069F" w14:textId="77777777" w:rsidR="009E28A6" w:rsidRPr="00F65F6F" w:rsidRDefault="009E28A6" w:rsidP="002D3EBF">
            <w:pPr>
              <w:tabs>
                <w:tab w:val="left" w:pos="284"/>
                <w:tab w:val="left" w:pos="567"/>
              </w:tabs>
              <w:suppressAutoHyphens/>
              <w:snapToGrid w:val="0"/>
              <w:rPr>
                <w:lang w:eastAsia="ar-SA"/>
              </w:rPr>
            </w:pPr>
            <w:r w:rsidRPr="00F65F6F">
              <w:rPr>
                <w:lang w:eastAsia="ar-SA"/>
              </w:rPr>
              <w:t>50%</w:t>
            </w:r>
          </w:p>
        </w:tc>
      </w:tr>
      <w:tr w:rsidR="009E28A6" w:rsidRPr="00F65F6F" w14:paraId="3343C342" w14:textId="77777777" w:rsidTr="002D3EBF">
        <w:tc>
          <w:tcPr>
            <w:tcW w:w="2943" w:type="dxa"/>
            <w:hideMark/>
          </w:tcPr>
          <w:p w14:paraId="3DAD3362" w14:textId="77777777" w:rsidR="009E28A6" w:rsidRPr="00F65F6F" w:rsidRDefault="009E28A6" w:rsidP="002D3EBF">
            <w:pPr>
              <w:tabs>
                <w:tab w:val="left" w:pos="284"/>
                <w:tab w:val="left" w:pos="567"/>
              </w:tabs>
              <w:suppressAutoHyphens/>
              <w:snapToGrid w:val="0"/>
              <w:rPr>
                <w:lang w:eastAsia="ar-SA"/>
              </w:rPr>
            </w:pPr>
            <w:r w:rsidRPr="00F65F6F">
              <w:rPr>
                <w:lang w:eastAsia="ar-SA"/>
              </w:rPr>
              <w:t>Гемцитабин</w:t>
            </w:r>
          </w:p>
        </w:tc>
        <w:tc>
          <w:tcPr>
            <w:tcW w:w="4218" w:type="dxa"/>
            <w:gridSpan w:val="2"/>
            <w:hideMark/>
          </w:tcPr>
          <w:p w14:paraId="3898F8B0" w14:textId="77777777" w:rsidR="009E28A6" w:rsidRPr="00F65F6F" w:rsidRDefault="009E28A6" w:rsidP="002D3EBF">
            <w:pPr>
              <w:tabs>
                <w:tab w:val="left" w:pos="284"/>
                <w:tab w:val="left" w:pos="567"/>
              </w:tabs>
              <w:suppressAutoHyphens/>
              <w:snapToGrid w:val="0"/>
              <w:jc w:val="center"/>
              <w:rPr>
                <w:lang w:eastAsia="ar-SA"/>
              </w:rPr>
            </w:pPr>
            <w:r w:rsidRPr="00F65F6F">
              <w:rPr>
                <w:lang w:eastAsia="ar-SA"/>
              </w:rPr>
              <w:t>неизвестно</w:t>
            </w:r>
          </w:p>
        </w:tc>
        <w:tc>
          <w:tcPr>
            <w:tcW w:w="2415" w:type="dxa"/>
            <w:gridSpan w:val="2"/>
            <w:hideMark/>
          </w:tcPr>
          <w:p w14:paraId="5F8959B8" w14:textId="77777777" w:rsidR="009E28A6" w:rsidRPr="00F65F6F" w:rsidRDefault="009E28A6" w:rsidP="002D3EBF">
            <w:pPr>
              <w:tabs>
                <w:tab w:val="left" w:pos="284"/>
                <w:tab w:val="left" w:pos="567"/>
              </w:tabs>
              <w:suppressAutoHyphens/>
              <w:snapToGrid w:val="0"/>
              <w:rPr>
                <w:lang w:eastAsia="ar-SA"/>
              </w:rPr>
            </w:pPr>
            <w:r w:rsidRPr="00F65F6F">
              <w:rPr>
                <w:lang w:eastAsia="ar-SA"/>
              </w:rPr>
              <w:t>отмена</w:t>
            </w:r>
          </w:p>
        </w:tc>
      </w:tr>
      <w:tr w:rsidR="009E28A6" w:rsidRPr="00F65F6F" w14:paraId="3E248251" w14:textId="77777777" w:rsidTr="002D3EBF">
        <w:tc>
          <w:tcPr>
            <w:tcW w:w="2943" w:type="dxa"/>
            <w:hideMark/>
          </w:tcPr>
          <w:p w14:paraId="49A68588" w14:textId="77777777" w:rsidR="009E28A6" w:rsidRPr="00F65F6F" w:rsidRDefault="009E28A6" w:rsidP="002D3EBF">
            <w:pPr>
              <w:tabs>
                <w:tab w:val="left" w:pos="284"/>
                <w:tab w:val="left" w:pos="567"/>
              </w:tabs>
              <w:suppressAutoHyphens/>
              <w:snapToGrid w:val="0"/>
              <w:rPr>
                <w:lang w:eastAsia="ar-SA"/>
              </w:rPr>
            </w:pPr>
            <w:r w:rsidRPr="00F65F6F">
              <w:rPr>
                <w:lang w:eastAsia="ar-SA"/>
              </w:rPr>
              <w:t>Доксорубицин</w:t>
            </w:r>
          </w:p>
        </w:tc>
        <w:tc>
          <w:tcPr>
            <w:tcW w:w="2315" w:type="dxa"/>
            <w:hideMark/>
          </w:tcPr>
          <w:p w14:paraId="145D81FC" w14:textId="77777777" w:rsidR="009E28A6" w:rsidRPr="00F65F6F" w:rsidRDefault="009E28A6" w:rsidP="002D3EBF">
            <w:pPr>
              <w:tabs>
                <w:tab w:val="left" w:pos="284"/>
                <w:tab w:val="left" w:pos="567"/>
              </w:tabs>
              <w:suppressAutoHyphens/>
              <w:snapToGrid w:val="0"/>
              <w:rPr>
                <w:lang w:eastAsia="ar-SA"/>
              </w:rPr>
            </w:pPr>
            <w:r w:rsidRPr="00F65F6F">
              <w:rPr>
                <w:lang w:eastAsia="ar-SA"/>
              </w:rPr>
              <w:t>неизвестно</w:t>
            </w:r>
          </w:p>
        </w:tc>
        <w:tc>
          <w:tcPr>
            <w:tcW w:w="4318" w:type="dxa"/>
            <w:gridSpan w:val="3"/>
            <w:hideMark/>
          </w:tcPr>
          <w:p w14:paraId="62505046" w14:textId="77777777" w:rsidR="009E28A6" w:rsidRPr="00F65F6F" w:rsidRDefault="009E28A6" w:rsidP="002D3EBF">
            <w:pPr>
              <w:tabs>
                <w:tab w:val="left" w:pos="284"/>
                <w:tab w:val="left" w:pos="567"/>
              </w:tabs>
              <w:suppressAutoHyphens/>
              <w:snapToGrid w:val="0"/>
              <w:jc w:val="center"/>
              <w:rPr>
                <w:lang w:eastAsia="ar-SA"/>
              </w:rPr>
            </w:pPr>
            <w:r w:rsidRPr="00F65F6F">
              <w:rPr>
                <w:lang w:eastAsia="ar-SA"/>
              </w:rPr>
              <w:t>отмена</w:t>
            </w:r>
          </w:p>
        </w:tc>
      </w:tr>
      <w:tr w:rsidR="009E28A6" w:rsidRPr="00F65F6F" w14:paraId="6F00951B" w14:textId="77777777" w:rsidTr="002D3EBF">
        <w:tc>
          <w:tcPr>
            <w:tcW w:w="2943" w:type="dxa"/>
            <w:hideMark/>
          </w:tcPr>
          <w:p w14:paraId="19A8450E" w14:textId="77777777" w:rsidR="009E28A6" w:rsidRPr="00F65F6F" w:rsidRDefault="009E28A6" w:rsidP="002D3EBF">
            <w:pPr>
              <w:tabs>
                <w:tab w:val="left" w:pos="284"/>
                <w:tab w:val="left" w:pos="567"/>
              </w:tabs>
              <w:suppressAutoHyphens/>
              <w:snapToGrid w:val="0"/>
              <w:rPr>
                <w:lang w:eastAsia="ar-SA"/>
              </w:rPr>
            </w:pPr>
            <w:r w:rsidRPr="00F65F6F">
              <w:rPr>
                <w:lang w:eastAsia="ar-SA"/>
              </w:rPr>
              <w:t>Митомицин C</w:t>
            </w:r>
          </w:p>
        </w:tc>
        <w:tc>
          <w:tcPr>
            <w:tcW w:w="2315" w:type="dxa"/>
            <w:hideMark/>
          </w:tcPr>
          <w:p w14:paraId="676DE594" w14:textId="77777777" w:rsidR="009E28A6" w:rsidRPr="00F65F6F" w:rsidRDefault="009E28A6" w:rsidP="002D3EBF">
            <w:pPr>
              <w:tabs>
                <w:tab w:val="left" w:pos="284"/>
                <w:tab w:val="left" w:pos="567"/>
              </w:tabs>
              <w:suppressAutoHyphens/>
              <w:snapToGrid w:val="0"/>
              <w:rPr>
                <w:lang w:eastAsia="ar-SA"/>
              </w:rPr>
            </w:pPr>
            <w:r w:rsidRPr="00F65F6F">
              <w:rPr>
                <w:lang w:eastAsia="ar-SA"/>
              </w:rPr>
              <w:t>25%</w:t>
            </w:r>
          </w:p>
        </w:tc>
        <w:tc>
          <w:tcPr>
            <w:tcW w:w="1903" w:type="dxa"/>
            <w:hideMark/>
          </w:tcPr>
          <w:p w14:paraId="7E0D4125" w14:textId="77777777" w:rsidR="009E28A6" w:rsidRPr="00F65F6F" w:rsidRDefault="009E28A6" w:rsidP="002D3EBF">
            <w:pPr>
              <w:tabs>
                <w:tab w:val="left" w:pos="284"/>
                <w:tab w:val="left" w:pos="567"/>
              </w:tabs>
              <w:suppressAutoHyphens/>
              <w:snapToGrid w:val="0"/>
              <w:rPr>
                <w:lang w:eastAsia="ar-SA"/>
              </w:rPr>
            </w:pPr>
            <w:r w:rsidRPr="00F65F6F">
              <w:rPr>
                <w:lang w:eastAsia="ar-SA"/>
              </w:rPr>
              <w:t>50%</w:t>
            </w:r>
          </w:p>
        </w:tc>
        <w:tc>
          <w:tcPr>
            <w:tcW w:w="2415" w:type="dxa"/>
            <w:gridSpan w:val="2"/>
            <w:hideMark/>
          </w:tcPr>
          <w:p w14:paraId="5D89153C" w14:textId="77777777" w:rsidR="009E28A6" w:rsidRPr="00F65F6F" w:rsidRDefault="009E28A6" w:rsidP="002D3EBF">
            <w:pPr>
              <w:tabs>
                <w:tab w:val="left" w:pos="284"/>
                <w:tab w:val="left" w:pos="567"/>
              </w:tabs>
              <w:suppressAutoHyphens/>
              <w:snapToGrid w:val="0"/>
              <w:rPr>
                <w:lang w:eastAsia="ar-SA"/>
              </w:rPr>
            </w:pPr>
            <w:r w:rsidRPr="00F65F6F">
              <w:rPr>
                <w:lang w:eastAsia="ar-SA"/>
              </w:rPr>
              <w:t>Отмена</w:t>
            </w:r>
          </w:p>
        </w:tc>
      </w:tr>
      <w:tr w:rsidR="009E28A6" w:rsidRPr="00F65F6F" w14:paraId="599148C2" w14:textId="77777777" w:rsidTr="002D3EBF">
        <w:tc>
          <w:tcPr>
            <w:tcW w:w="2943" w:type="dxa"/>
            <w:hideMark/>
          </w:tcPr>
          <w:p w14:paraId="046525BF" w14:textId="77777777" w:rsidR="009E28A6" w:rsidRPr="00F65F6F" w:rsidRDefault="009E28A6" w:rsidP="002D3EBF">
            <w:pPr>
              <w:tabs>
                <w:tab w:val="left" w:pos="284"/>
                <w:tab w:val="left" w:pos="567"/>
              </w:tabs>
              <w:suppressAutoHyphens/>
              <w:snapToGrid w:val="0"/>
              <w:rPr>
                <w:lang w:eastAsia="ar-SA"/>
              </w:rPr>
            </w:pPr>
            <w:r w:rsidRPr="00F65F6F">
              <w:rPr>
                <w:lang w:eastAsia="ar-SA"/>
              </w:rPr>
              <w:t>Флударабин</w:t>
            </w:r>
          </w:p>
        </w:tc>
        <w:tc>
          <w:tcPr>
            <w:tcW w:w="2315" w:type="dxa"/>
            <w:hideMark/>
          </w:tcPr>
          <w:p w14:paraId="3765CA75" w14:textId="77777777" w:rsidR="009E28A6" w:rsidRPr="00F65F6F" w:rsidRDefault="009E28A6" w:rsidP="002D3EBF">
            <w:pPr>
              <w:tabs>
                <w:tab w:val="left" w:pos="284"/>
                <w:tab w:val="left" w:pos="567"/>
              </w:tabs>
              <w:suppressAutoHyphens/>
              <w:snapToGrid w:val="0"/>
              <w:rPr>
                <w:lang w:eastAsia="ar-SA"/>
              </w:rPr>
            </w:pPr>
            <w:r w:rsidRPr="00F65F6F">
              <w:rPr>
                <w:lang w:eastAsia="ar-SA"/>
              </w:rPr>
              <w:t>25%</w:t>
            </w:r>
          </w:p>
        </w:tc>
        <w:tc>
          <w:tcPr>
            <w:tcW w:w="1903" w:type="dxa"/>
            <w:hideMark/>
          </w:tcPr>
          <w:p w14:paraId="5714BB93" w14:textId="77777777" w:rsidR="009E28A6" w:rsidRPr="00F65F6F" w:rsidRDefault="009E28A6" w:rsidP="002D3EBF">
            <w:pPr>
              <w:tabs>
                <w:tab w:val="left" w:pos="284"/>
                <w:tab w:val="left" w:pos="567"/>
              </w:tabs>
              <w:suppressAutoHyphens/>
              <w:snapToGrid w:val="0"/>
              <w:rPr>
                <w:lang w:eastAsia="ar-SA"/>
              </w:rPr>
            </w:pPr>
            <w:r w:rsidRPr="00F65F6F">
              <w:rPr>
                <w:lang w:eastAsia="ar-SA"/>
              </w:rPr>
              <w:t>50%</w:t>
            </w:r>
          </w:p>
        </w:tc>
        <w:tc>
          <w:tcPr>
            <w:tcW w:w="2415" w:type="dxa"/>
            <w:gridSpan w:val="2"/>
            <w:hideMark/>
          </w:tcPr>
          <w:p w14:paraId="516CE4C5" w14:textId="77777777" w:rsidR="009E28A6" w:rsidRPr="00F65F6F" w:rsidRDefault="009E28A6" w:rsidP="002D3EBF">
            <w:pPr>
              <w:tabs>
                <w:tab w:val="left" w:pos="284"/>
                <w:tab w:val="left" w:pos="567"/>
              </w:tabs>
              <w:suppressAutoHyphens/>
              <w:snapToGrid w:val="0"/>
              <w:rPr>
                <w:lang w:eastAsia="ar-SA"/>
              </w:rPr>
            </w:pPr>
            <w:r w:rsidRPr="00F65F6F">
              <w:rPr>
                <w:lang w:eastAsia="ar-SA"/>
              </w:rPr>
              <w:t>Отмена</w:t>
            </w:r>
          </w:p>
        </w:tc>
      </w:tr>
      <w:tr w:rsidR="009E28A6" w:rsidRPr="00F65F6F" w14:paraId="5D117FB3" w14:textId="77777777" w:rsidTr="002D3EBF">
        <w:tc>
          <w:tcPr>
            <w:tcW w:w="2943" w:type="dxa"/>
            <w:hideMark/>
          </w:tcPr>
          <w:p w14:paraId="35A12999" w14:textId="77777777" w:rsidR="009E28A6" w:rsidRPr="00F65F6F" w:rsidRDefault="009E28A6" w:rsidP="002D3EBF">
            <w:pPr>
              <w:tabs>
                <w:tab w:val="left" w:pos="284"/>
                <w:tab w:val="left" w:pos="567"/>
              </w:tabs>
              <w:suppressAutoHyphens/>
              <w:snapToGrid w:val="0"/>
              <w:rPr>
                <w:lang w:eastAsia="ar-SA"/>
              </w:rPr>
            </w:pPr>
            <w:r w:rsidRPr="00F65F6F">
              <w:rPr>
                <w:lang w:eastAsia="ar-SA"/>
              </w:rPr>
              <w:t>Гидроксимочевина</w:t>
            </w:r>
          </w:p>
        </w:tc>
        <w:tc>
          <w:tcPr>
            <w:tcW w:w="2315" w:type="dxa"/>
            <w:hideMark/>
          </w:tcPr>
          <w:p w14:paraId="02C59460" w14:textId="77777777" w:rsidR="009E28A6" w:rsidRPr="00F65F6F" w:rsidRDefault="009E28A6" w:rsidP="002D3EBF">
            <w:pPr>
              <w:tabs>
                <w:tab w:val="left" w:pos="284"/>
                <w:tab w:val="left" w:pos="567"/>
              </w:tabs>
              <w:suppressAutoHyphens/>
              <w:snapToGrid w:val="0"/>
              <w:rPr>
                <w:lang w:eastAsia="ar-SA"/>
              </w:rPr>
            </w:pPr>
            <w:r w:rsidRPr="00F65F6F">
              <w:rPr>
                <w:lang w:eastAsia="ar-SA"/>
              </w:rPr>
              <w:t>25%</w:t>
            </w:r>
          </w:p>
        </w:tc>
        <w:tc>
          <w:tcPr>
            <w:tcW w:w="1903" w:type="dxa"/>
            <w:hideMark/>
          </w:tcPr>
          <w:p w14:paraId="70D9C66B" w14:textId="77777777" w:rsidR="009E28A6" w:rsidRPr="00F65F6F" w:rsidRDefault="009E28A6" w:rsidP="002D3EBF">
            <w:pPr>
              <w:tabs>
                <w:tab w:val="left" w:pos="284"/>
                <w:tab w:val="left" w:pos="567"/>
              </w:tabs>
              <w:suppressAutoHyphens/>
              <w:snapToGrid w:val="0"/>
              <w:rPr>
                <w:lang w:eastAsia="ar-SA"/>
              </w:rPr>
            </w:pPr>
            <w:r w:rsidRPr="00F65F6F">
              <w:rPr>
                <w:lang w:eastAsia="ar-SA"/>
              </w:rPr>
              <w:t>75%</w:t>
            </w:r>
          </w:p>
        </w:tc>
        <w:tc>
          <w:tcPr>
            <w:tcW w:w="2415" w:type="dxa"/>
            <w:gridSpan w:val="2"/>
            <w:hideMark/>
          </w:tcPr>
          <w:p w14:paraId="6D9DE2C5" w14:textId="77777777" w:rsidR="009E28A6" w:rsidRPr="00F65F6F" w:rsidRDefault="009E28A6" w:rsidP="002D3EBF">
            <w:pPr>
              <w:tabs>
                <w:tab w:val="left" w:pos="284"/>
                <w:tab w:val="left" w:pos="567"/>
              </w:tabs>
              <w:suppressAutoHyphens/>
              <w:snapToGrid w:val="0"/>
              <w:rPr>
                <w:lang w:eastAsia="ar-SA"/>
              </w:rPr>
            </w:pPr>
            <w:r w:rsidRPr="00F65F6F">
              <w:rPr>
                <w:lang w:eastAsia="ar-SA"/>
              </w:rPr>
              <w:t>50%</w:t>
            </w:r>
          </w:p>
        </w:tc>
      </w:tr>
      <w:tr w:rsidR="009E28A6" w:rsidRPr="00F65F6F" w14:paraId="109085CD" w14:textId="77777777" w:rsidTr="002D3EBF">
        <w:tc>
          <w:tcPr>
            <w:tcW w:w="2943" w:type="dxa"/>
            <w:hideMark/>
          </w:tcPr>
          <w:p w14:paraId="035CD1AB" w14:textId="77777777" w:rsidR="009E28A6" w:rsidRPr="00F65F6F" w:rsidRDefault="009E28A6" w:rsidP="002D3EBF">
            <w:pPr>
              <w:tabs>
                <w:tab w:val="left" w:pos="284"/>
                <w:tab w:val="left" w:pos="567"/>
              </w:tabs>
              <w:suppressAutoHyphens/>
              <w:snapToGrid w:val="0"/>
              <w:rPr>
                <w:lang w:eastAsia="ar-SA"/>
              </w:rPr>
            </w:pPr>
            <w:r w:rsidRPr="00F65F6F">
              <w:rPr>
                <w:lang w:eastAsia="ar-SA"/>
              </w:rPr>
              <w:t>Ифосфамид</w:t>
            </w:r>
          </w:p>
        </w:tc>
        <w:tc>
          <w:tcPr>
            <w:tcW w:w="2315" w:type="dxa"/>
            <w:hideMark/>
          </w:tcPr>
          <w:p w14:paraId="1AE44638" w14:textId="77777777" w:rsidR="009E28A6" w:rsidRPr="00F65F6F" w:rsidRDefault="009E28A6" w:rsidP="002D3EBF">
            <w:pPr>
              <w:tabs>
                <w:tab w:val="left" w:pos="284"/>
                <w:tab w:val="left" w:pos="567"/>
              </w:tabs>
              <w:suppressAutoHyphens/>
              <w:snapToGrid w:val="0"/>
              <w:rPr>
                <w:lang w:eastAsia="ar-SA"/>
              </w:rPr>
            </w:pPr>
            <w:r w:rsidRPr="00F65F6F">
              <w:rPr>
                <w:lang w:eastAsia="ar-SA"/>
              </w:rPr>
              <w:t>25%</w:t>
            </w:r>
          </w:p>
        </w:tc>
        <w:tc>
          <w:tcPr>
            <w:tcW w:w="1903" w:type="dxa"/>
            <w:hideMark/>
          </w:tcPr>
          <w:p w14:paraId="4266958E" w14:textId="77777777" w:rsidR="009E28A6" w:rsidRPr="00F65F6F" w:rsidRDefault="009E28A6" w:rsidP="002D3EBF">
            <w:pPr>
              <w:tabs>
                <w:tab w:val="left" w:pos="284"/>
                <w:tab w:val="left" w:pos="567"/>
              </w:tabs>
              <w:suppressAutoHyphens/>
              <w:snapToGrid w:val="0"/>
              <w:rPr>
                <w:lang w:eastAsia="ar-SA"/>
              </w:rPr>
            </w:pPr>
            <w:r w:rsidRPr="00F65F6F">
              <w:rPr>
                <w:lang w:eastAsia="ar-SA"/>
              </w:rPr>
              <w:t>50%</w:t>
            </w:r>
          </w:p>
        </w:tc>
        <w:tc>
          <w:tcPr>
            <w:tcW w:w="2415" w:type="dxa"/>
            <w:gridSpan w:val="2"/>
            <w:hideMark/>
          </w:tcPr>
          <w:p w14:paraId="74843FCD" w14:textId="77777777" w:rsidR="009E28A6" w:rsidRPr="00F65F6F" w:rsidRDefault="009E28A6" w:rsidP="002D3EBF">
            <w:pPr>
              <w:tabs>
                <w:tab w:val="left" w:pos="284"/>
                <w:tab w:val="left" w:pos="567"/>
              </w:tabs>
              <w:suppressAutoHyphens/>
              <w:snapToGrid w:val="0"/>
              <w:rPr>
                <w:lang w:eastAsia="ar-SA"/>
              </w:rPr>
            </w:pPr>
            <w:r w:rsidRPr="00F65F6F">
              <w:rPr>
                <w:lang w:eastAsia="ar-SA"/>
              </w:rPr>
              <w:t>Отмена</w:t>
            </w:r>
          </w:p>
        </w:tc>
      </w:tr>
      <w:tr w:rsidR="009E28A6" w:rsidRPr="00F65F6F" w14:paraId="1421A6DB" w14:textId="77777777" w:rsidTr="002D3EBF">
        <w:tc>
          <w:tcPr>
            <w:tcW w:w="2943" w:type="dxa"/>
            <w:hideMark/>
          </w:tcPr>
          <w:p w14:paraId="1369B35C" w14:textId="77777777" w:rsidR="009E28A6" w:rsidRPr="00F65F6F" w:rsidRDefault="009E28A6" w:rsidP="002D3EBF">
            <w:pPr>
              <w:tabs>
                <w:tab w:val="left" w:pos="284"/>
                <w:tab w:val="left" w:pos="567"/>
              </w:tabs>
              <w:suppressAutoHyphens/>
              <w:snapToGrid w:val="0"/>
              <w:rPr>
                <w:lang w:eastAsia="ar-SA"/>
              </w:rPr>
            </w:pPr>
            <w:r w:rsidRPr="00F65F6F">
              <w:rPr>
                <w:lang w:eastAsia="ar-SA"/>
              </w:rPr>
              <w:t>Мелфалан</w:t>
            </w:r>
          </w:p>
        </w:tc>
        <w:tc>
          <w:tcPr>
            <w:tcW w:w="2315" w:type="dxa"/>
            <w:hideMark/>
          </w:tcPr>
          <w:p w14:paraId="59129880" w14:textId="77777777" w:rsidR="009E28A6" w:rsidRPr="00F65F6F" w:rsidRDefault="009E28A6" w:rsidP="002D3EBF">
            <w:pPr>
              <w:tabs>
                <w:tab w:val="left" w:pos="284"/>
                <w:tab w:val="left" w:pos="567"/>
              </w:tabs>
              <w:suppressAutoHyphens/>
              <w:snapToGrid w:val="0"/>
              <w:rPr>
                <w:lang w:eastAsia="ar-SA"/>
              </w:rPr>
            </w:pPr>
            <w:r w:rsidRPr="00F65F6F">
              <w:rPr>
                <w:lang w:eastAsia="ar-SA"/>
              </w:rPr>
              <w:t>25%</w:t>
            </w:r>
          </w:p>
        </w:tc>
        <w:tc>
          <w:tcPr>
            <w:tcW w:w="1903" w:type="dxa"/>
            <w:hideMark/>
          </w:tcPr>
          <w:p w14:paraId="39715CAA" w14:textId="77777777" w:rsidR="009E28A6" w:rsidRPr="00F65F6F" w:rsidRDefault="009E28A6" w:rsidP="002D3EBF">
            <w:pPr>
              <w:tabs>
                <w:tab w:val="left" w:pos="284"/>
                <w:tab w:val="left" w:pos="567"/>
              </w:tabs>
              <w:suppressAutoHyphens/>
              <w:snapToGrid w:val="0"/>
              <w:rPr>
                <w:lang w:eastAsia="ar-SA"/>
              </w:rPr>
            </w:pPr>
            <w:r w:rsidRPr="00F65F6F">
              <w:rPr>
                <w:lang w:eastAsia="ar-SA"/>
              </w:rPr>
              <w:t>75%</w:t>
            </w:r>
          </w:p>
        </w:tc>
        <w:tc>
          <w:tcPr>
            <w:tcW w:w="2415" w:type="dxa"/>
            <w:gridSpan w:val="2"/>
            <w:hideMark/>
          </w:tcPr>
          <w:p w14:paraId="4CFCAA64" w14:textId="77777777" w:rsidR="009E28A6" w:rsidRPr="00F65F6F" w:rsidRDefault="009E28A6" w:rsidP="002D3EBF">
            <w:pPr>
              <w:tabs>
                <w:tab w:val="left" w:pos="284"/>
                <w:tab w:val="left" w:pos="567"/>
              </w:tabs>
              <w:suppressAutoHyphens/>
              <w:snapToGrid w:val="0"/>
              <w:rPr>
                <w:lang w:eastAsia="ar-SA"/>
              </w:rPr>
            </w:pPr>
            <w:r w:rsidRPr="00F65F6F">
              <w:rPr>
                <w:lang w:eastAsia="ar-SA"/>
              </w:rPr>
              <w:t>50%</w:t>
            </w:r>
          </w:p>
        </w:tc>
      </w:tr>
      <w:tr w:rsidR="009E28A6" w:rsidRPr="00F65F6F" w14:paraId="72BAA28C" w14:textId="77777777" w:rsidTr="002D3EBF">
        <w:tc>
          <w:tcPr>
            <w:tcW w:w="2943" w:type="dxa"/>
            <w:hideMark/>
          </w:tcPr>
          <w:p w14:paraId="6A0AE1F1" w14:textId="77777777" w:rsidR="009E28A6" w:rsidRPr="00F65F6F" w:rsidRDefault="009E28A6" w:rsidP="002D3EBF">
            <w:pPr>
              <w:tabs>
                <w:tab w:val="left" w:pos="284"/>
                <w:tab w:val="left" w:pos="567"/>
              </w:tabs>
              <w:suppressAutoHyphens/>
              <w:snapToGrid w:val="0"/>
              <w:rPr>
                <w:lang w:eastAsia="ar-SA"/>
              </w:rPr>
            </w:pPr>
            <w:r w:rsidRPr="00F65F6F">
              <w:rPr>
                <w:lang w:eastAsia="ar-SA"/>
              </w:rPr>
              <w:t>Метотрексат</w:t>
            </w:r>
          </w:p>
        </w:tc>
        <w:tc>
          <w:tcPr>
            <w:tcW w:w="2315" w:type="dxa"/>
            <w:hideMark/>
          </w:tcPr>
          <w:p w14:paraId="3E8AD835" w14:textId="77777777" w:rsidR="009E28A6" w:rsidRPr="00F65F6F" w:rsidRDefault="009E28A6" w:rsidP="002D3EBF">
            <w:pPr>
              <w:tabs>
                <w:tab w:val="left" w:pos="284"/>
                <w:tab w:val="left" w:pos="567"/>
              </w:tabs>
              <w:suppressAutoHyphens/>
              <w:snapToGrid w:val="0"/>
              <w:rPr>
                <w:lang w:eastAsia="ar-SA"/>
              </w:rPr>
            </w:pPr>
            <w:r w:rsidRPr="00F65F6F">
              <w:rPr>
                <w:lang w:eastAsia="ar-SA"/>
              </w:rPr>
              <w:t>50%</w:t>
            </w:r>
          </w:p>
        </w:tc>
        <w:tc>
          <w:tcPr>
            <w:tcW w:w="1903" w:type="dxa"/>
            <w:hideMark/>
          </w:tcPr>
          <w:p w14:paraId="6F95342E" w14:textId="77777777" w:rsidR="009E28A6" w:rsidRPr="00F65F6F" w:rsidRDefault="009E28A6" w:rsidP="002D3EBF">
            <w:pPr>
              <w:tabs>
                <w:tab w:val="left" w:pos="284"/>
                <w:tab w:val="left" w:pos="567"/>
              </w:tabs>
              <w:suppressAutoHyphens/>
              <w:snapToGrid w:val="0"/>
              <w:rPr>
                <w:lang w:eastAsia="ar-SA"/>
              </w:rPr>
            </w:pPr>
            <w:r w:rsidRPr="00F65F6F">
              <w:rPr>
                <w:lang w:eastAsia="ar-SA"/>
              </w:rPr>
              <w:t>Отмена</w:t>
            </w:r>
          </w:p>
        </w:tc>
        <w:tc>
          <w:tcPr>
            <w:tcW w:w="2415" w:type="dxa"/>
            <w:gridSpan w:val="2"/>
            <w:hideMark/>
          </w:tcPr>
          <w:p w14:paraId="49FFBB20" w14:textId="77777777" w:rsidR="009E28A6" w:rsidRPr="00F65F6F" w:rsidRDefault="009E28A6" w:rsidP="002D3EBF">
            <w:pPr>
              <w:tabs>
                <w:tab w:val="left" w:pos="284"/>
                <w:tab w:val="left" w:pos="567"/>
              </w:tabs>
              <w:suppressAutoHyphens/>
              <w:snapToGrid w:val="0"/>
              <w:rPr>
                <w:lang w:eastAsia="ar-SA"/>
              </w:rPr>
            </w:pPr>
            <w:r w:rsidRPr="00F65F6F">
              <w:rPr>
                <w:lang w:eastAsia="ar-SA"/>
              </w:rPr>
              <w:t>Отмена</w:t>
            </w:r>
          </w:p>
        </w:tc>
      </w:tr>
    </w:tbl>
    <w:p w14:paraId="7CFAD296" w14:textId="77777777" w:rsidR="009E28A6" w:rsidRPr="00F65F6F" w:rsidRDefault="009E28A6" w:rsidP="009E28A6">
      <w:pPr>
        <w:suppressAutoHyphens/>
        <w:rPr>
          <w:rFonts w:eastAsia="Calibri"/>
          <w:lang w:eastAsia="ar-SA"/>
        </w:rPr>
      </w:pPr>
      <w:r w:rsidRPr="00F65F6F">
        <w:rPr>
          <w:rFonts w:eastAsia="Calibri"/>
          <w:lang w:eastAsia="ar-SA"/>
        </w:rPr>
        <w:t xml:space="preserve">Формула Калверта*: </w:t>
      </w:r>
      <w:r w:rsidRPr="00F65F6F">
        <w:rPr>
          <w:rFonts w:eastAsia="Calibri"/>
          <w:bCs/>
          <w:lang w:eastAsia="ar-SA"/>
        </w:rPr>
        <w:t>Доза препарата</w:t>
      </w:r>
      <w:r w:rsidRPr="00F65F6F">
        <w:rPr>
          <w:rFonts w:eastAsia="Calibri"/>
          <w:b/>
          <w:bCs/>
          <w:lang w:eastAsia="ar-SA"/>
        </w:rPr>
        <w:t xml:space="preserve"> </w:t>
      </w:r>
      <w:r w:rsidRPr="00F65F6F">
        <w:rPr>
          <w:rFonts w:eastAsia="Calibri"/>
          <w:lang w:eastAsia="ar-SA"/>
        </w:rPr>
        <w:t>(мг)</w:t>
      </w:r>
      <w:r w:rsidRPr="00F65F6F">
        <w:rPr>
          <w:rFonts w:eastAsia="Calibri"/>
          <w:b/>
          <w:bCs/>
          <w:lang w:eastAsia="ar-SA"/>
        </w:rPr>
        <w:t xml:space="preserve"> = </w:t>
      </w:r>
      <w:r w:rsidRPr="00F65F6F">
        <w:rPr>
          <w:rFonts w:eastAsia="Calibri"/>
          <w:lang w:eastAsia="ar-SA"/>
        </w:rPr>
        <w:t>[</w:t>
      </w:r>
      <w:r w:rsidRPr="00F65F6F">
        <w:rPr>
          <w:rFonts w:eastAsia="Calibri"/>
          <w:lang w:val="en-US" w:eastAsia="ar-SA"/>
        </w:rPr>
        <w:t>AUC</w:t>
      </w:r>
      <w:r w:rsidRPr="00F65F6F">
        <w:rPr>
          <w:rFonts w:eastAsia="Calibri"/>
          <w:lang w:eastAsia="ar-SA"/>
        </w:rPr>
        <w:t xml:space="preserve">(мг/мл </w:t>
      </w:r>
      <w:r w:rsidRPr="00F65F6F">
        <w:rPr>
          <w:rFonts w:eastAsia="Calibri"/>
          <w:lang w:val="en-US" w:eastAsia="ar-SA"/>
        </w:rPr>
        <w:t>x</w:t>
      </w:r>
      <w:r w:rsidRPr="00F65F6F">
        <w:rPr>
          <w:rFonts w:eastAsia="Calibri"/>
          <w:lang w:eastAsia="ar-SA"/>
        </w:rPr>
        <w:t xml:space="preserve"> мин)] </w:t>
      </w:r>
      <w:r w:rsidRPr="00F65F6F">
        <w:rPr>
          <w:rFonts w:eastAsia="Calibri"/>
          <w:lang w:val="en-US" w:eastAsia="ar-SA"/>
        </w:rPr>
        <w:t>x</w:t>
      </w:r>
      <w:r w:rsidRPr="00F65F6F">
        <w:rPr>
          <w:rFonts w:eastAsia="Calibri"/>
          <w:lang w:eastAsia="ar-SA"/>
        </w:rPr>
        <w:t xml:space="preserve"> [СКФ (мл/мин) +25], </w:t>
      </w:r>
    </w:p>
    <w:p w14:paraId="3D6DBCE7" w14:textId="77777777" w:rsidR="009E28A6" w:rsidRPr="00F65F6F" w:rsidRDefault="009E28A6" w:rsidP="009E28A6">
      <w:pPr>
        <w:suppressAutoHyphens/>
        <w:rPr>
          <w:rFonts w:eastAsia="Calibri"/>
          <w:lang w:eastAsia="ar-SA"/>
        </w:rPr>
      </w:pPr>
      <w:r w:rsidRPr="00F65F6F">
        <w:rPr>
          <w:rFonts w:eastAsia="Calibri"/>
          <w:lang w:eastAsia="ar-SA"/>
        </w:rPr>
        <w:t>где AUC – эта концентрация препарата в крови в течение конкретного отрезка времени; СКФ – скорость клубочковой фильтрации.</w:t>
      </w:r>
    </w:p>
    <w:p w14:paraId="35F4BFDD" w14:textId="77777777" w:rsidR="009E28A6" w:rsidRPr="00F65F6F" w:rsidRDefault="009E28A6" w:rsidP="009E28A6">
      <w:pPr>
        <w:suppressAutoHyphens/>
        <w:rPr>
          <w:rFonts w:eastAsia="Calibri"/>
          <w:lang w:eastAsia="ar-SA"/>
        </w:rPr>
      </w:pPr>
    </w:p>
    <w:p w14:paraId="097141E1" w14:textId="77777777" w:rsidR="009E28A6" w:rsidRPr="00ED50D9" w:rsidRDefault="009E28A6" w:rsidP="009E28A6">
      <w:pPr>
        <w:widowControl w:val="0"/>
        <w:suppressAutoHyphens/>
        <w:ind w:firstLine="709"/>
        <w:rPr>
          <w:rFonts w:eastAsia="Calibri"/>
          <w:lang w:eastAsia="ar-SA"/>
        </w:rPr>
      </w:pPr>
      <w:r w:rsidRPr="00ED50D9">
        <w:rPr>
          <w:rFonts w:eastAsia="Calibri"/>
          <w:lang w:eastAsia="ar-SA"/>
        </w:rPr>
        <w:t xml:space="preserve">Если больному проводится гемодиализ, то коррекцию дозы химиопрепаратов проводят в зависимости от фармакокинетики и от процента выведения препарата через мембрану диализатора (таб. 6). </w:t>
      </w:r>
    </w:p>
    <w:p w14:paraId="58F8F7E1" w14:textId="77777777" w:rsidR="009E28A6" w:rsidRPr="00ED50D9" w:rsidRDefault="009E28A6" w:rsidP="009E28A6">
      <w:pPr>
        <w:suppressAutoHyphens/>
        <w:ind w:left="708"/>
        <w:rPr>
          <w:rFonts w:eastAsia="Calibri"/>
          <w:bCs/>
          <w:lang w:eastAsia="ar-SA"/>
        </w:rPr>
      </w:pPr>
    </w:p>
    <w:p w14:paraId="624A53D8" w14:textId="04C4B20B" w:rsidR="009E28A6" w:rsidRPr="00EE2ABD" w:rsidRDefault="009E28A6" w:rsidP="009E28A6">
      <w:pPr>
        <w:suppressAutoHyphens/>
        <w:rPr>
          <w:rFonts w:eastAsia="Calibri"/>
          <w:bCs/>
          <w:lang w:eastAsia="ar-SA"/>
        </w:rPr>
      </w:pPr>
      <w:r w:rsidRPr="00ED50D9">
        <w:rPr>
          <w:rFonts w:eastAsia="Calibri"/>
          <w:bCs/>
          <w:lang w:eastAsia="ar-SA"/>
        </w:rPr>
        <w:t>Таблица 6. Рекомендации по коррекции дозы противоопухолевых препаратов у пациентов с почечной недостаточностью, находящихся на гемодиализе</w:t>
      </w:r>
      <w:r w:rsidRPr="00EE2ABD">
        <w:rPr>
          <w:rFonts w:eastAsia="Calibri"/>
          <w:bCs/>
          <w:lang w:eastAsia="ar-SA"/>
        </w:rPr>
        <w:t xml:space="preserve"> </w:t>
      </w:r>
      <w:r>
        <w:fldChar w:fldCharType="begin" w:fldLock="1"/>
      </w:r>
      <w:r w:rsidR="004C51FF">
        <w:instrText>ADDIN CSL_CITATION {"citationItems":[{"id":"ITEM-1","itemData":{"author":[{"dropping-particle":"","family":"Джумабаева","given":"Б.Т.","non-dropping-particle":"","parse-names":false,"suffix":""},{"dropping-particle":"","family":"Бирюкова","given":"Л.С.","non-dropping-particle":"","parse-names":false,"suffix":""},{"dropping-particle":"","family":"Варшавский","given":"В.А.","non-dropping-particle":"","parse-names":false,"suffix":""},{"dropping-particle":"","family":"Марьина","given":"С.А.","non-dropping-particle":"","parse-names":false,"suffix":""},{"dropping-particle":"","family":"Рощина","given":"Л.С.","non-dropping-particle":"","parse-names":false,"suffix":""},{"dropping-particle":"","family":"Джулакян","given":"У.Л.","non-dropping-particle":"","parse-names":false,"suffix":""},{"dropping-particle":"","family":"Столяревич","given":"Е.C.","non-dropping-particle":"","parse-names":false,"suffix":""}],"container-title":"Онкогематология","id":"ITEM-1","issue":"1","issued":{"date-parts":[["2017"]]},"page":"44-54","title":"Клинико-лабораторные и морфологические особенности поражения почек при лимфопролиферативных заболеваниях","type":"article-journal","volume":"7"},"uris":["http://www.mendeley.com/documents/?uuid=50a28e00-c058-46cf-b75a-5bfd40395f93"]},{"id":"ITEM-2","itemData":{"author":[{"dropping-particle":"","family":"Рехтина","given":"И.Г.","non-dropping-particle":"","parse-names":false,"suffix":""},{"dropping-particle":"","family":"Голицина","given":"Е.П.","non-dropping-particle":"","parse-names":false,"suffix":""},{"dropping-particle":"","family":"Варламова","given":"Е.Ю.","non-dropping-particle":"","parse-names":false,"suffix":""},{"dropping-particle":"","family":"Варшавский","given":"В.А.","non-dropping-particle":"","parse-names":false,"suffix":""},{"dropping-particle":"","family":"Киреева","given":"А.А.","non-dropping-particle":"","parse-names":false,"suffix":""},{"dropping-particle":"","family":"Бирюкова","given":"Л.С.","non-dropping-particle":"","parse-names":false,"suffix":""},{"dropping-particle":"","family":"Савченко","given":"В.Г.","non-dropping-particle":"","parse-names":false,"suffix":""}],"container-title":"Терапевтический архив","id":"ITEM-2","issue":"3","issued":{"date-parts":[["2013"]]},"page":"80-85","title":"Морфологические и иммунохимические особенности нефропатий при множественной миеломе с тяжелой почечной недостаточностью","type":"article-journal","volume":"85"},"uris":["http://www.mendeley.com/documents/?uuid=b7e4aa0d-a654-44bd-b363-35e45db6262e"]},{"id":"ITEM-3","itemData":{"author":[{"dropping-particle":"","family":"Ворожейкина","given":"Е.Г.","non-dropping-particle":"","parse-names":false,"suffix":""},{"dropping-particle":"","family":"Бирюкова","given":"Л.С.","non-dropping-particle":"","parse-names":false,"suffix":""},{"dropping-particle":"","family":"Савченко","given":"В.Г.","non-dropping-particle":"","parse-names":false,"suffix":""}],"container-title":"Гематология и трансфузиология","id":"ITEM-3","issue":"3","issued":{"date-parts":[["2011"]]},"page":"24-27","title":"Клинико-лабораторные проявления нефропатий у больных острыми лейкозами","type":"article-journal","volume":"56"},"uris":["http://www.mendeley.com/documents/?uuid=137272d3-cc35-4bfd-b2f3-d7af020af652"]}],"mendeley":{"formattedCitation":"[173–175]","plainTextFormattedCitation":"[173–175]","previouslyFormattedCitation":"[173–175]"},"properties":{"noteIndex":0},"schema":"https://github.com/citation-style-language/schema/raw/master/csl-citation.json"}</w:instrText>
      </w:r>
      <w:r>
        <w:fldChar w:fldCharType="separate"/>
      </w:r>
      <w:r w:rsidR="004617E2" w:rsidRPr="004617E2">
        <w:rPr>
          <w:noProof/>
        </w:rPr>
        <w:t>[173–175]</w:t>
      </w:r>
      <w:r>
        <w:fldChar w:fldCharType="end"/>
      </w:r>
    </w:p>
    <w:tbl>
      <w:tblPr>
        <w:tblStyle w:val="51"/>
        <w:tblW w:w="0" w:type="auto"/>
        <w:tblLook w:val="04A0" w:firstRow="1" w:lastRow="0" w:firstColumn="1" w:lastColumn="0" w:noHBand="0" w:noVBand="1"/>
      </w:tblPr>
      <w:tblGrid>
        <w:gridCol w:w="2977"/>
        <w:gridCol w:w="6369"/>
      </w:tblGrid>
      <w:tr w:rsidR="009E28A6" w:rsidRPr="00F65F6F" w14:paraId="1B5ABE29" w14:textId="77777777" w:rsidTr="002D3EBF">
        <w:tc>
          <w:tcPr>
            <w:tcW w:w="3061" w:type="dxa"/>
            <w:hideMark/>
          </w:tcPr>
          <w:p w14:paraId="587F6EE4" w14:textId="77777777" w:rsidR="009E28A6" w:rsidRPr="00F65F6F" w:rsidRDefault="009E28A6" w:rsidP="002D3EBF">
            <w:pPr>
              <w:tabs>
                <w:tab w:val="left" w:pos="284"/>
                <w:tab w:val="left" w:pos="567"/>
              </w:tabs>
              <w:suppressAutoHyphens/>
              <w:snapToGrid w:val="0"/>
              <w:jc w:val="center"/>
              <w:rPr>
                <w:lang w:eastAsia="ar-SA"/>
              </w:rPr>
            </w:pPr>
            <w:r w:rsidRPr="00F65F6F">
              <w:rPr>
                <w:lang w:eastAsia="ar-SA"/>
              </w:rPr>
              <w:t>Лекарственный препарат</w:t>
            </w:r>
          </w:p>
        </w:tc>
        <w:tc>
          <w:tcPr>
            <w:tcW w:w="6941" w:type="dxa"/>
            <w:hideMark/>
          </w:tcPr>
          <w:p w14:paraId="2BCE1079" w14:textId="77777777" w:rsidR="009E28A6" w:rsidRPr="00F65F6F" w:rsidRDefault="009E28A6" w:rsidP="002D3EBF">
            <w:pPr>
              <w:tabs>
                <w:tab w:val="left" w:pos="284"/>
                <w:tab w:val="left" w:pos="567"/>
              </w:tabs>
              <w:suppressAutoHyphens/>
              <w:snapToGrid w:val="0"/>
              <w:jc w:val="center"/>
              <w:rPr>
                <w:lang w:eastAsia="ar-SA"/>
              </w:rPr>
            </w:pPr>
            <w:r w:rsidRPr="00F65F6F">
              <w:rPr>
                <w:lang w:eastAsia="ar-SA"/>
              </w:rPr>
              <w:t>Рекомендации и комментарии</w:t>
            </w:r>
          </w:p>
        </w:tc>
      </w:tr>
      <w:tr w:rsidR="009E28A6" w:rsidRPr="00F65F6F" w14:paraId="7F0D91AE" w14:textId="77777777" w:rsidTr="002D3EBF">
        <w:tc>
          <w:tcPr>
            <w:tcW w:w="3061" w:type="dxa"/>
            <w:hideMark/>
          </w:tcPr>
          <w:p w14:paraId="033DFA53" w14:textId="77777777" w:rsidR="009E28A6" w:rsidRPr="00F65F6F" w:rsidRDefault="009E28A6" w:rsidP="002D3EBF">
            <w:pPr>
              <w:tabs>
                <w:tab w:val="left" w:pos="284"/>
                <w:tab w:val="left" w:pos="567"/>
              </w:tabs>
              <w:suppressAutoHyphens/>
              <w:snapToGrid w:val="0"/>
              <w:rPr>
                <w:lang w:eastAsia="ar-SA"/>
              </w:rPr>
            </w:pPr>
            <w:r w:rsidRPr="00F65F6F">
              <w:rPr>
                <w:lang w:eastAsia="ar-SA"/>
              </w:rPr>
              <w:t>Цисплатин</w:t>
            </w:r>
          </w:p>
        </w:tc>
        <w:tc>
          <w:tcPr>
            <w:tcW w:w="6941" w:type="dxa"/>
            <w:hideMark/>
          </w:tcPr>
          <w:p w14:paraId="7BB8E3F1" w14:textId="77777777" w:rsidR="009E28A6" w:rsidRPr="00F65F6F" w:rsidRDefault="009E28A6" w:rsidP="002D3EBF">
            <w:pPr>
              <w:tabs>
                <w:tab w:val="left" w:pos="284"/>
                <w:tab w:val="left" w:pos="567"/>
              </w:tabs>
              <w:suppressAutoHyphens/>
              <w:snapToGrid w:val="0"/>
              <w:rPr>
                <w:lang w:eastAsia="ar-SA"/>
              </w:rPr>
            </w:pPr>
            <w:r w:rsidRPr="00F65F6F">
              <w:rPr>
                <w:lang w:eastAsia="ar-SA"/>
              </w:rPr>
              <w:t>Дозу снижать на 50%. Выводится при гемодиализе</w:t>
            </w:r>
          </w:p>
        </w:tc>
      </w:tr>
      <w:tr w:rsidR="009E28A6" w:rsidRPr="00F65F6F" w14:paraId="3A3C5940" w14:textId="77777777" w:rsidTr="002D3EBF">
        <w:tc>
          <w:tcPr>
            <w:tcW w:w="3061" w:type="dxa"/>
            <w:hideMark/>
          </w:tcPr>
          <w:p w14:paraId="469ABE2A" w14:textId="77777777" w:rsidR="009E28A6" w:rsidRPr="00F65F6F" w:rsidRDefault="009E28A6" w:rsidP="002D3EBF">
            <w:pPr>
              <w:tabs>
                <w:tab w:val="left" w:pos="284"/>
                <w:tab w:val="left" w:pos="567"/>
              </w:tabs>
              <w:suppressAutoHyphens/>
              <w:snapToGrid w:val="0"/>
              <w:rPr>
                <w:lang w:eastAsia="ar-SA"/>
              </w:rPr>
            </w:pPr>
            <w:r w:rsidRPr="00F65F6F">
              <w:rPr>
                <w:lang w:eastAsia="ar-SA"/>
              </w:rPr>
              <w:t>Карбоплатин</w:t>
            </w:r>
          </w:p>
        </w:tc>
        <w:tc>
          <w:tcPr>
            <w:tcW w:w="6941" w:type="dxa"/>
            <w:hideMark/>
          </w:tcPr>
          <w:p w14:paraId="397E3823" w14:textId="77777777" w:rsidR="009E28A6" w:rsidRPr="00F65F6F" w:rsidRDefault="009E28A6" w:rsidP="002D3EBF">
            <w:pPr>
              <w:tabs>
                <w:tab w:val="left" w:pos="284"/>
                <w:tab w:val="left" w:pos="567"/>
              </w:tabs>
              <w:suppressAutoHyphens/>
              <w:snapToGrid w:val="0"/>
              <w:rPr>
                <w:lang w:eastAsia="ar-SA"/>
              </w:rPr>
            </w:pPr>
            <w:r w:rsidRPr="00F65F6F">
              <w:rPr>
                <w:lang w:eastAsia="ar-SA"/>
              </w:rPr>
              <w:t>Период между введением препарата и гемодиализом не должен превышать 16 ч. Дозу рассчитывают по формуле Калверта с учетом СКФ</w:t>
            </w:r>
          </w:p>
        </w:tc>
      </w:tr>
      <w:tr w:rsidR="009E28A6" w:rsidRPr="00F65F6F" w14:paraId="1C9EEF51" w14:textId="77777777" w:rsidTr="002D3EBF">
        <w:tc>
          <w:tcPr>
            <w:tcW w:w="3061" w:type="dxa"/>
            <w:hideMark/>
          </w:tcPr>
          <w:p w14:paraId="3838D17B" w14:textId="77777777" w:rsidR="009E28A6" w:rsidRPr="00F65F6F" w:rsidRDefault="009E28A6" w:rsidP="002D3EBF">
            <w:pPr>
              <w:tabs>
                <w:tab w:val="left" w:pos="284"/>
                <w:tab w:val="left" w:pos="567"/>
              </w:tabs>
              <w:suppressAutoHyphens/>
              <w:snapToGrid w:val="0"/>
              <w:rPr>
                <w:lang w:eastAsia="ar-SA"/>
              </w:rPr>
            </w:pPr>
            <w:r w:rsidRPr="00F65F6F">
              <w:rPr>
                <w:lang w:eastAsia="ar-SA"/>
              </w:rPr>
              <w:t>Этопозид</w:t>
            </w:r>
          </w:p>
        </w:tc>
        <w:tc>
          <w:tcPr>
            <w:tcW w:w="6941" w:type="dxa"/>
            <w:hideMark/>
          </w:tcPr>
          <w:p w14:paraId="76C91E5E" w14:textId="77777777" w:rsidR="009E28A6" w:rsidRPr="00F65F6F" w:rsidRDefault="009E28A6" w:rsidP="002D3EBF">
            <w:pPr>
              <w:tabs>
                <w:tab w:val="left" w:pos="284"/>
                <w:tab w:val="left" w:pos="567"/>
              </w:tabs>
              <w:suppressAutoHyphens/>
              <w:rPr>
                <w:lang w:eastAsia="ar-SA"/>
              </w:rPr>
            </w:pPr>
            <w:r w:rsidRPr="00F65F6F">
              <w:rPr>
                <w:lang w:eastAsia="ar-SA"/>
              </w:rPr>
              <w:t>Около 40% препарата выводится почками. Дозу назначаемого препарата снижают на 60%. Плохо выводится при гемодиализе</w:t>
            </w:r>
          </w:p>
        </w:tc>
      </w:tr>
      <w:tr w:rsidR="009E28A6" w:rsidRPr="00F65F6F" w14:paraId="01045FF9" w14:textId="77777777" w:rsidTr="002D3EBF">
        <w:tc>
          <w:tcPr>
            <w:tcW w:w="3061" w:type="dxa"/>
            <w:hideMark/>
          </w:tcPr>
          <w:p w14:paraId="184FB0F3" w14:textId="77777777" w:rsidR="009E28A6" w:rsidRPr="00F65F6F" w:rsidRDefault="009E28A6" w:rsidP="002D3EBF">
            <w:pPr>
              <w:tabs>
                <w:tab w:val="left" w:pos="284"/>
                <w:tab w:val="left" w:pos="567"/>
              </w:tabs>
              <w:suppressAutoHyphens/>
              <w:snapToGrid w:val="0"/>
              <w:rPr>
                <w:lang w:eastAsia="ar-SA"/>
              </w:rPr>
            </w:pPr>
            <w:r w:rsidRPr="00F65F6F">
              <w:rPr>
                <w:lang w:eastAsia="ar-SA"/>
              </w:rPr>
              <w:lastRenderedPageBreak/>
              <w:t>Метотрексат</w:t>
            </w:r>
          </w:p>
        </w:tc>
        <w:tc>
          <w:tcPr>
            <w:tcW w:w="6941" w:type="dxa"/>
            <w:hideMark/>
          </w:tcPr>
          <w:p w14:paraId="4444086F" w14:textId="77777777" w:rsidR="009E28A6" w:rsidRPr="00F65F6F" w:rsidRDefault="009E28A6" w:rsidP="002D3EBF">
            <w:pPr>
              <w:tabs>
                <w:tab w:val="left" w:pos="284"/>
                <w:tab w:val="left" w:pos="567"/>
              </w:tabs>
              <w:suppressAutoHyphens/>
              <w:snapToGrid w:val="0"/>
              <w:rPr>
                <w:lang w:eastAsia="ar-SA"/>
              </w:rPr>
            </w:pPr>
            <w:r w:rsidRPr="00F65F6F">
              <w:rPr>
                <w:lang w:eastAsia="ar-SA"/>
              </w:rPr>
              <w:t>Степень элиминации препарата увеличивается при удлинении диализа, но высокие дозы препарата сохраняются несколько дней. Назначается  лейковорин (фолиновая кислота) по 15 мг (10мг/м</w:t>
            </w:r>
            <w:r w:rsidRPr="00F65F6F">
              <w:rPr>
                <w:vertAlign w:val="superscript"/>
                <w:lang w:eastAsia="ar-SA"/>
              </w:rPr>
              <w:t>2</w:t>
            </w:r>
            <w:r w:rsidRPr="00F65F6F">
              <w:rPr>
                <w:lang w:eastAsia="ar-SA"/>
              </w:rPr>
              <w:t xml:space="preserve">) внутрь через каждые 6 часов пока концентрация метотрексата в плазме  не станет ниже 0,05 мкмоль. </w:t>
            </w:r>
          </w:p>
        </w:tc>
      </w:tr>
      <w:tr w:rsidR="009E28A6" w:rsidRPr="00F65F6F" w14:paraId="17708092" w14:textId="77777777" w:rsidTr="002D3EBF">
        <w:tc>
          <w:tcPr>
            <w:tcW w:w="3061" w:type="dxa"/>
            <w:hideMark/>
          </w:tcPr>
          <w:p w14:paraId="1FE2782D" w14:textId="77777777" w:rsidR="009E28A6" w:rsidRPr="00F65F6F" w:rsidRDefault="009E28A6" w:rsidP="002D3EBF">
            <w:pPr>
              <w:tabs>
                <w:tab w:val="left" w:pos="284"/>
                <w:tab w:val="left" w:pos="567"/>
              </w:tabs>
              <w:suppressAutoHyphens/>
              <w:snapToGrid w:val="0"/>
              <w:rPr>
                <w:lang w:eastAsia="ar-SA"/>
              </w:rPr>
            </w:pPr>
            <w:r w:rsidRPr="00F65F6F">
              <w:rPr>
                <w:lang w:eastAsia="ar-SA"/>
              </w:rPr>
              <w:t>Ифосфамид Циклофосфамид,</w:t>
            </w:r>
          </w:p>
        </w:tc>
        <w:tc>
          <w:tcPr>
            <w:tcW w:w="6941" w:type="dxa"/>
            <w:hideMark/>
          </w:tcPr>
          <w:p w14:paraId="4E2909F9" w14:textId="77777777" w:rsidR="009E28A6" w:rsidRPr="00F65F6F" w:rsidRDefault="009E28A6" w:rsidP="002D3EBF">
            <w:pPr>
              <w:tabs>
                <w:tab w:val="left" w:pos="284"/>
                <w:tab w:val="left" w:pos="567"/>
              </w:tabs>
              <w:suppressAutoHyphens/>
              <w:snapToGrid w:val="0"/>
              <w:rPr>
                <w:b/>
                <w:bCs/>
                <w:color w:val="FF0000"/>
                <w:lang w:eastAsia="ar-SA"/>
              </w:rPr>
            </w:pPr>
            <w:r w:rsidRPr="00F65F6F">
              <w:rPr>
                <w:lang w:eastAsia="ar-SA"/>
              </w:rPr>
              <w:t xml:space="preserve">Гемодиализ следует проводить через 12 ч после введения препарата с целью предотвратить его выведение в ранней фазе распределения </w:t>
            </w:r>
          </w:p>
        </w:tc>
      </w:tr>
      <w:tr w:rsidR="009E28A6" w:rsidRPr="00F65F6F" w14:paraId="6F09C9E0" w14:textId="77777777" w:rsidTr="002D3EBF">
        <w:tc>
          <w:tcPr>
            <w:tcW w:w="3061" w:type="dxa"/>
            <w:hideMark/>
          </w:tcPr>
          <w:p w14:paraId="52011A6F" w14:textId="77777777" w:rsidR="009E28A6" w:rsidRPr="00F65F6F" w:rsidRDefault="009E28A6" w:rsidP="002D3EBF">
            <w:pPr>
              <w:widowControl w:val="0"/>
              <w:tabs>
                <w:tab w:val="left" w:pos="284"/>
                <w:tab w:val="left" w:pos="567"/>
              </w:tabs>
              <w:suppressAutoHyphens/>
              <w:rPr>
                <w:lang w:eastAsia="ar-SA"/>
              </w:rPr>
            </w:pPr>
            <w:r w:rsidRPr="00F65F6F">
              <w:rPr>
                <w:lang w:eastAsia="ar-SA"/>
              </w:rPr>
              <w:t>Противоопухолевые антибиотики (митомицин С, дактиномицин)</w:t>
            </w:r>
          </w:p>
        </w:tc>
        <w:tc>
          <w:tcPr>
            <w:tcW w:w="6941" w:type="dxa"/>
            <w:hideMark/>
          </w:tcPr>
          <w:p w14:paraId="0F5FF369" w14:textId="77777777" w:rsidR="009E28A6" w:rsidRPr="00F65F6F" w:rsidRDefault="009E28A6" w:rsidP="002D3EBF">
            <w:pPr>
              <w:tabs>
                <w:tab w:val="left" w:pos="284"/>
                <w:tab w:val="left" w:pos="567"/>
              </w:tabs>
              <w:suppressAutoHyphens/>
              <w:snapToGrid w:val="0"/>
              <w:rPr>
                <w:lang w:eastAsia="ar-SA"/>
              </w:rPr>
            </w:pPr>
            <w:r w:rsidRPr="00F65F6F">
              <w:rPr>
                <w:lang w:eastAsia="ar-SA"/>
              </w:rPr>
              <w:t>Препараты распределяются в тканях и очень медленно выводятся с мочой; период полувыведения длительный. Не рекомендуется назначать в высоких дозах</w:t>
            </w:r>
          </w:p>
        </w:tc>
      </w:tr>
      <w:tr w:rsidR="009E28A6" w:rsidRPr="00F65F6F" w14:paraId="60B668B0" w14:textId="77777777" w:rsidTr="002D3EBF">
        <w:tc>
          <w:tcPr>
            <w:tcW w:w="3061" w:type="dxa"/>
            <w:hideMark/>
          </w:tcPr>
          <w:p w14:paraId="65928232" w14:textId="77777777" w:rsidR="009E28A6" w:rsidRPr="00F65F6F" w:rsidRDefault="009E28A6" w:rsidP="002D3EBF">
            <w:pPr>
              <w:tabs>
                <w:tab w:val="left" w:pos="284"/>
                <w:tab w:val="left" w:pos="567"/>
              </w:tabs>
              <w:suppressAutoHyphens/>
              <w:snapToGrid w:val="0"/>
              <w:rPr>
                <w:lang w:eastAsia="ar-SA"/>
              </w:rPr>
            </w:pPr>
            <w:r w:rsidRPr="00F65F6F">
              <w:rPr>
                <w:lang w:eastAsia="ar-SA"/>
              </w:rPr>
              <w:t>Антрациклины (доксорубицин, эпирубицин, даунорубицин)</w:t>
            </w:r>
          </w:p>
        </w:tc>
        <w:tc>
          <w:tcPr>
            <w:tcW w:w="6941" w:type="dxa"/>
            <w:hideMark/>
          </w:tcPr>
          <w:p w14:paraId="4099A0B0" w14:textId="77777777" w:rsidR="009E28A6" w:rsidRPr="00F65F6F" w:rsidRDefault="009E28A6" w:rsidP="002D3EBF">
            <w:pPr>
              <w:tabs>
                <w:tab w:val="left" w:pos="284"/>
                <w:tab w:val="left" w:pos="567"/>
              </w:tabs>
              <w:suppressAutoHyphens/>
              <w:snapToGrid w:val="0"/>
              <w:rPr>
                <w:b/>
                <w:bCs/>
                <w:color w:val="FF0000"/>
                <w:lang w:eastAsia="ar-SA"/>
              </w:rPr>
            </w:pPr>
            <w:r w:rsidRPr="00F65F6F">
              <w:rPr>
                <w:lang w:eastAsia="ar-SA"/>
              </w:rPr>
              <w:t xml:space="preserve">Не выводятся при гемодиализе. После введения препарата распределяется в тканях. Период полувыведения препарата длительный. Нет данных по редукции дозы препаратов. </w:t>
            </w:r>
            <w:r w:rsidRPr="00EE2ABD">
              <w:rPr>
                <w:lang w:eastAsia="ar-SA"/>
              </w:rPr>
              <w:t xml:space="preserve">Можно назначать липосомальные формы препаратов. </w:t>
            </w:r>
          </w:p>
        </w:tc>
      </w:tr>
      <w:tr w:rsidR="009E28A6" w:rsidRPr="00F65F6F" w14:paraId="1337CCD7" w14:textId="77777777" w:rsidTr="002D3EBF">
        <w:tc>
          <w:tcPr>
            <w:tcW w:w="3061" w:type="dxa"/>
            <w:hideMark/>
          </w:tcPr>
          <w:p w14:paraId="50DAFF3A" w14:textId="77777777" w:rsidR="009E28A6" w:rsidRPr="00F65F6F" w:rsidRDefault="009E28A6" w:rsidP="002D3EBF">
            <w:pPr>
              <w:tabs>
                <w:tab w:val="left" w:pos="284"/>
                <w:tab w:val="left" w:pos="567"/>
              </w:tabs>
              <w:suppressAutoHyphens/>
              <w:snapToGrid w:val="0"/>
              <w:rPr>
                <w:lang w:eastAsia="ar-SA"/>
              </w:rPr>
            </w:pPr>
            <w:r w:rsidRPr="00F65F6F">
              <w:rPr>
                <w:lang w:eastAsia="ar-SA"/>
              </w:rPr>
              <w:t>Винкаалкалоиды (винкристин, винбластин, виндезин)</w:t>
            </w:r>
          </w:p>
        </w:tc>
        <w:tc>
          <w:tcPr>
            <w:tcW w:w="6941" w:type="dxa"/>
            <w:hideMark/>
          </w:tcPr>
          <w:p w14:paraId="7C7E455C" w14:textId="77777777" w:rsidR="009E28A6" w:rsidRPr="00F65F6F" w:rsidRDefault="009E28A6" w:rsidP="002D3EBF">
            <w:pPr>
              <w:tabs>
                <w:tab w:val="left" w:pos="284"/>
                <w:tab w:val="left" w:pos="567"/>
              </w:tabs>
              <w:suppressAutoHyphens/>
              <w:snapToGrid w:val="0"/>
              <w:rPr>
                <w:b/>
                <w:bCs/>
                <w:color w:val="FF0000"/>
                <w:lang w:eastAsia="ar-SA"/>
              </w:rPr>
            </w:pPr>
            <w:r w:rsidRPr="00F65F6F">
              <w:rPr>
                <w:lang w:eastAsia="ar-SA"/>
              </w:rPr>
              <w:t xml:space="preserve">Не диализируются из-за большого объема распределения в тканях и длительного периода полувыведения.  Необходимо следить за содержанием мочевой кислоты в плазме и обеспечить адекватный диурез для профилактики развития уратной нефропатиии. Нет данных по редукции дозы препарата. </w:t>
            </w:r>
          </w:p>
        </w:tc>
      </w:tr>
      <w:tr w:rsidR="009E28A6" w:rsidRPr="00F65F6F" w14:paraId="1A5E454F" w14:textId="77777777" w:rsidTr="002D3EBF">
        <w:tc>
          <w:tcPr>
            <w:tcW w:w="3061" w:type="dxa"/>
            <w:hideMark/>
          </w:tcPr>
          <w:p w14:paraId="5EBA15AB" w14:textId="77777777" w:rsidR="009E28A6" w:rsidRPr="00F65F6F" w:rsidRDefault="009E28A6" w:rsidP="002D3EBF">
            <w:pPr>
              <w:tabs>
                <w:tab w:val="left" w:pos="284"/>
                <w:tab w:val="left" w:pos="567"/>
              </w:tabs>
              <w:suppressAutoHyphens/>
              <w:snapToGrid w:val="0"/>
              <w:rPr>
                <w:lang w:eastAsia="ar-SA"/>
              </w:rPr>
            </w:pPr>
            <w:r w:rsidRPr="00F65F6F">
              <w:rPr>
                <w:lang w:eastAsia="ar-SA"/>
              </w:rPr>
              <w:t>Бифосфонаты</w:t>
            </w:r>
          </w:p>
        </w:tc>
        <w:tc>
          <w:tcPr>
            <w:tcW w:w="6941" w:type="dxa"/>
            <w:hideMark/>
          </w:tcPr>
          <w:p w14:paraId="23DE187D" w14:textId="77777777" w:rsidR="009E28A6" w:rsidRPr="00F65F6F" w:rsidRDefault="009E28A6" w:rsidP="002D3EBF">
            <w:pPr>
              <w:tabs>
                <w:tab w:val="left" w:pos="284"/>
                <w:tab w:val="left" w:pos="567"/>
              </w:tabs>
              <w:suppressAutoHyphens/>
              <w:snapToGrid w:val="0"/>
              <w:rPr>
                <w:lang w:eastAsia="ar-SA"/>
              </w:rPr>
            </w:pPr>
            <w:r w:rsidRPr="00F65F6F">
              <w:rPr>
                <w:lang w:eastAsia="ar-SA"/>
              </w:rPr>
              <w:t>С осторожностью применять у пациентов со СКФ менее 30 мл/мин</w:t>
            </w:r>
          </w:p>
        </w:tc>
      </w:tr>
    </w:tbl>
    <w:p w14:paraId="2D95AFA2" w14:textId="77777777" w:rsidR="009E28A6" w:rsidRPr="00F65F6F" w:rsidRDefault="009E28A6" w:rsidP="009E28A6">
      <w:pPr>
        <w:rPr>
          <w:rFonts w:eastAsia="Calibri"/>
          <w:b/>
        </w:rPr>
      </w:pPr>
    </w:p>
    <w:p w14:paraId="07A2B6BD" w14:textId="2341DB0D" w:rsidR="00B03B24" w:rsidRPr="00B03B24" w:rsidRDefault="00597026" w:rsidP="00B03B24">
      <w:pPr>
        <w:pStyle w:val="2"/>
        <w:spacing w:before="0"/>
      </w:pPr>
      <w:bookmarkStart w:id="90" w:name="_Toc66096852"/>
      <w:r w:rsidRPr="000322E4">
        <w:t>7.</w:t>
      </w:r>
      <w:r>
        <w:t xml:space="preserve">18 </w:t>
      </w:r>
      <w:r w:rsidR="00B03B24" w:rsidRPr="00FB583E">
        <w:t>Диагностика и лечение неврологических проявлений при гематологических заболеваниях</w:t>
      </w:r>
      <w:bookmarkEnd w:id="90"/>
    </w:p>
    <w:p w14:paraId="7C044177" w14:textId="77777777" w:rsidR="00B03B24" w:rsidRDefault="00B03B24" w:rsidP="00B03B24">
      <w:pPr>
        <w:ind w:firstLine="709"/>
      </w:pPr>
      <w:r w:rsidRPr="00FB583E">
        <w:t xml:space="preserve">Вовлечение центральной нервной системы (ЦНС) и периферической нервной системы может выявляться при различных гематологических заболеваниях. Неврологические проявления могут быть как проявлением специфического поражения нервной системы (опухолевое поражение ЦНС), так и проявлением осложнений гематологического заболевания и его лечения (геморрагические, тромботические, токсические поражения нервной системы). Для диагностики и лечения неврологических проявлений и осложнений гематологических заболеваний применяется комплекс </w:t>
      </w:r>
      <w:r w:rsidRPr="00FB583E">
        <w:lastRenderedPageBreak/>
        <w:t xml:space="preserve">неврологических исследований и терапия сообразно виду нарушения, с учетом характера основного гематологического заболевания. </w:t>
      </w:r>
    </w:p>
    <w:p w14:paraId="4A5071D5" w14:textId="77777777" w:rsidR="00B03B24" w:rsidRPr="00FB583E" w:rsidRDefault="00B03B24" w:rsidP="00B03B24">
      <w:pPr>
        <w:ind w:firstLine="709"/>
      </w:pPr>
    </w:p>
    <w:p w14:paraId="0B2BDF1C" w14:textId="77777777" w:rsidR="00B03B24" w:rsidRPr="00FB583E" w:rsidRDefault="00B03B24" w:rsidP="00B03B24">
      <w:pPr>
        <w:rPr>
          <w:i/>
          <w:u w:val="single"/>
        </w:rPr>
      </w:pPr>
      <w:r w:rsidRPr="00FB583E">
        <w:rPr>
          <w:i/>
          <w:u w:val="single"/>
        </w:rPr>
        <w:t xml:space="preserve">Специфическое поражение ЦНС при гематологических заболеваниях. </w:t>
      </w:r>
    </w:p>
    <w:p w14:paraId="2D1AE9C6" w14:textId="77777777" w:rsidR="00B03B24" w:rsidRPr="00FB583E" w:rsidRDefault="00B03B24" w:rsidP="00B03B24">
      <w:pPr>
        <w:ind w:firstLine="708"/>
      </w:pPr>
      <w:r w:rsidRPr="00FB583E">
        <w:t>Специфическое опухолевое поражение ЦНС с вовлечением головного мозга, спинного мозга и оболочек может быть проявлением гематологического заболевания (лейкозы, лимфомы, парапротеинемические гемобластозы и др.). Так, на первичную лимфому ЦНС приходится около 5 - 7% от всех первичных опухолей головного мозга, 2 - 3% от всех неходжкинских лимфом, 4 - 6% от всех экстранодальных лимфом и 1% от опухолевых поражений спинного мозга.  Чаще всего опухолевое поражение ЦНС при гематологических заболеваниях локализуется в лобной доле – 50%, реже отмечается в мозолистом теле и глубинных структурах мозга (40%) мультифокальное поражение (35%), лептоменингеальное поражение (16%), изолированное поражение спинного мозга (1%). Кроме того, специфическое поражение ЦНС может развиваться по типу лейкемической инфильтрации оболочек мозга и поражения спиномозговой жидкости (нейролейкемия).</w:t>
      </w:r>
    </w:p>
    <w:p w14:paraId="7C871809" w14:textId="77777777" w:rsidR="00B03B24" w:rsidRPr="00FB583E" w:rsidRDefault="00B03B24" w:rsidP="00B03B24">
      <w:pPr>
        <w:ind w:firstLine="708"/>
        <w:rPr>
          <w:b/>
        </w:rPr>
      </w:pPr>
      <w:r w:rsidRPr="00FB583E">
        <w:rPr>
          <w:b/>
        </w:rPr>
        <w:t>Диагностика поражения ЦНС при гематологических заболеваниях.</w:t>
      </w:r>
    </w:p>
    <w:p w14:paraId="65B1F991" w14:textId="0AFF10EC" w:rsidR="00B03B24" w:rsidRPr="00FB583E" w:rsidRDefault="00B03B24" w:rsidP="00B03B24">
      <w:pPr>
        <w:ind w:firstLine="708"/>
      </w:pPr>
      <w:r w:rsidRPr="00FB583E">
        <w:t>Клиническая картина</w:t>
      </w:r>
      <w:r w:rsidRPr="00FB583E">
        <w:rPr>
          <w:b/>
        </w:rPr>
        <w:t xml:space="preserve"> </w:t>
      </w:r>
      <w:r w:rsidRPr="00FB583E">
        <w:t xml:space="preserve">зависит от локализации и объема поражения, степени выраженности гипертензионно-гидроцефального синдрома. В 70% опухолевое поражение при гематологических заболеваниях манифестирует с очаговой неврологической симптоматики, в 43% – с изменения психики, в 33% – с признаков повышения внутричерепного давления, в 14% – с эпилептических приступов. </w:t>
      </w:r>
    </w:p>
    <w:p w14:paraId="77C029E1" w14:textId="77777777" w:rsidR="00B03B24" w:rsidRPr="00FB583E" w:rsidRDefault="00B03B24" w:rsidP="00B03B24">
      <w:pPr>
        <w:ind w:firstLine="708"/>
      </w:pPr>
      <w:r w:rsidRPr="00FB583E">
        <w:t>Для первичной диагностики неврологического поражения ЦНС оценивается:</w:t>
      </w:r>
    </w:p>
    <w:p w14:paraId="2213A6C2"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жалобы; </w:t>
      </w:r>
    </w:p>
    <w:p w14:paraId="66F12A6E"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анамнез; </w:t>
      </w:r>
    </w:p>
    <w:p w14:paraId="4CF5A284"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оценка функционального статуса по шкале Карновского; </w:t>
      </w:r>
    </w:p>
    <w:p w14:paraId="066872A8"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неврологический статус с оценкой общемозговой и очаговой симптоматики и интеллектуально-мнестических нарушений; </w:t>
      </w:r>
    </w:p>
    <w:p w14:paraId="70033C31" w14:textId="2A9AAD82" w:rsidR="00B03B24" w:rsidRPr="00FB583E" w:rsidRDefault="00B03B24" w:rsidP="00B03B24">
      <w:pPr>
        <w:pStyle w:val="afe"/>
        <w:numPr>
          <w:ilvl w:val="0"/>
          <w:numId w:val="111"/>
        </w:numPr>
        <w:rPr>
          <w:rFonts w:cs="Times New Roman"/>
          <w:szCs w:val="24"/>
        </w:rPr>
      </w:pPr>
      <w:r w:rsidRPr="00FB583E">
        <w:rPr>
          <w:rFonts w:cs="Times New Roman"/>
          <w:szCs w:val="24"/>
        </w:rPr>
        <w:t xml:space="preserve">оценка психического состояния; </w:t>
      </w:r>
    </w:p>
    <w:p w14:paraId="47292799" w14:textId="77777777" w:rsidR="00B03B24" w:rsidRPr="00FB583E" w:rsidRDefault="00B03B24" w:rsidP="00B03B24">
      <w:pPr>
        <w:ind w:left="12" w:firstLine="708"/>
        <w:rPr>
          <w:b/>
        </w:rPr>
      </w:pPr>
      <w:r w:rsidRPr="00FB583E">
        <w:rPr>
          <w:b/>
        </w:rPr>
        <w:t>Лабораторная диагностика:</w:t>
      </w:r>
      <w:r w:rsidRPr="00FB583E">
        <w:rPr>
          <w:b/>
        </w:rPr>
        <w:tab/>
        <w:t xml:space="preserve"> </w:t>
      </w:r>
    </w:p>
    <w:p w14:paraId="10E105E8" w14:textId="77777777" w:rsidR="00B03B24" w:rsidRPr="00FB583E" w:rsidRDefault="00B03B24" w:rsidP="00B03B24">
      <w:pPr>
        <w:pStyle w:val="afe"/>
        <w:numPr>
          <w:ilvl w:val="0"/>
          <w:numId w:val="111"/>
        </w:numPr>
        <w:rPr>
          <w:rFonts w:cs="Times New Roman"/>
          <w:szCs w:val="24"/>
        </w:rPr>
      </w:pPr>
      <w:r w:rsidRPr="00FB583E">
        <w:rPr>
          <w:rFonts w:cs="Times New Roman"/>
          <w:szCs w:val="24"/>
        </w:rPr>
        <w:t>Клинический анализ крови, морфологическое исследование мазка крови</w:t>
      </w:r>
    </w:p>
    <w:p w14:paraId="23AC4949" w14:textId="77777777" w:rsidR="00B03B24" w:rsidRPr="00FB583E" w:rsidRDefault="00B03B24" w:rsidP="00B03B24">
      <w:pPr>
        <w:pStyle w:val="afe"/>
        <w:numPr>
          <w:ilvl w:val="0"/>
          <w:numId w:val="111"/>
        </w:numPr>
        <w:rPr>
          <w:rFonts w:cs="Times New Roman"/>
          <w:szCs w:val="24"/>
        </w:rPr>
      </w:pPr>
      <w:r w:rsidRPr="00FB583E">
        <w:rPr>
          <w:rFonts w:cs="Times New Roman"/>
          <w:szCs w:val="24"/>
        </w:rPr>
        <w:t>Общий анализ мочи</w:t>
      </w:r>
    </w:p>
    <w:p w14:paraId="23842B3F" w14:textId="77777777" w:rsidR="00B03B24" w:rsidRPr="00FB583E" w:rsidRDefault="00B03B24" w:rsidP="00B03B24">
      <w:pPr>
        <w:pStyle w:val="afe"/>
        <w:numPr>
          <w:ilvl w:val="0"/>
          <w:numId w:val="111"/>
        </w:numPr>
        <w:rPr>
          <w:rFonts w:cs="Times New Roman"/>
          <w:szCs w:val="24"/>
        </w:rPr>
      </w:pPr>
      <w:r w:rsidRPr="00FB583E">
        <w:rPr>
          <w:rFonts w:cs="Times New Roman"/>
          <w:szCs w:val="24"/>
        </w:rPr>
        <w:t>Биохимический анализ крови – общий белок, фракции белка, креатинин, мочевина, мочевая кислота, билирубин, фракции билирубина, глюкоза, электролиты, аланиаминотрансфераза, аспартатаминотрансфераза, лактатдегидрогеназа, щелочная фосфатаза, амилаза</w:t>
      </w:r>
    </w:p>
    <w:p w14:paraId="207BCC6E" w14:textId="77777777" w:rsidR="00B03B24" w:rsidRPr="00FB583E" w:rsidRDefault="00B03B24" w:rsidP="00B03B24">
      <w:pPr>
        <w:pStyle w:val="afe"/>
        <w:numPr>
          <w:ilvl w:val="0"/>
          <w:numId w:val="111"/>
        </w:numPr>
        <w:rPr>
          <w:rFonts w:cs="Times New Roman"/>
          <w:szCs w:val="24"/>
        </w:rPr>
      </w:pPr>
      <w:r w:rsidRPr="00FB583E">
        <w:rPr>
          <w:rFonts w:cs="Times New Roman"/>
          <w:szCs w:val="24"/>
        </w:rPr>
        <w:lastRenderedPageBreak/>
        <w:t>Оценка кислотно-щелочного равновесия (по показаниям)</w:t>
      </w:r>
    </w:p>
    <w:p w14:paraId="485E68CF" w14:textId="77777777" w:rsidR="00B03B24" w:rsidRPr="00FB583E" w:rsidRDefault="00B03B24" w:rsidP="00B03B24">
      <w:pPr>
        <w:pStyle w:val="afe"/>
        <w:numPr>
          <w:ilvl w:val="0"/>
          <w:numId w:val="111"/>
        </w:numPr>
        <w:rPr>
          <w:rFonts w:cs="Times New Roman"/>
          <w:szCs w:val="24"/>
        </w:rPr>
      </w:pPr>
      <w:r w:rsidRPr="00FB583E">
        <w:rPr>
          <w:rFonts w:cs="Times New Roman"/>
          <w:szCs w:val="24"/>
        </w:rPr>
        <w:t>Коагулограмма – активированное частичное тромбопластиновое время (АЧТВ), тромбиновое время (ТВ), протромбин по Квику (международное нормализованное отношение - МНО), плазменная концентрация фибриногена, а также по показаниям: плазменная концентрация антитромбина III (АТ III), XIIa-зависимый фибринолиз, агрегация тромбоцитов, индуцированная АДФ, адреналином, ристомицином, коллагеном, арахидоновой кислотой, D-димер, протеин С, протеин S.</w:t>
      </w:r>
    </w:p>
    <w:p w14:paraId="68E7A6A9" w14:textId="77777777" w:rsidR="00B03B24" w:rsidRPr="00FB583E" w:rsidRDefault="00B03B24" w:rsidP="00B03B24">
      <w:pPr>
        <w:pStyle w:val="afe"/>
        <w:numPr>
          <w:ilvl w:val="0"/>
          <w:numId w:val="111"/>
        </w:numPr>
        <w:rPr>
          <w:rFonts w:cs="Times New Roman"/>
          <w:szCs w:val="24"/>
        </w:rPr>
      </w:pPr>
      <w:r w:rsidRPr="00FB583E">
        <w:rPr>
          <w:rFonts w:cs="Times New Roman"/>
          <w:szCs w:val="24"/>
        </w:rPr>
        <w:t>Определение маркеров тромбофилии (по показаниям)</w:t>
      </w:r>
    </w:p>
    <w:p w14:paraId="19F19CF4" w14:textId="77777777" w:rsidR="00B03B24" w:rsidRPr="00FB583E" w:rsidRDefault="00B03B24" w:rsidP="00B03B24">
      <w:pPr>
        <w:pStyle w:val="afe"/>
        <w:numPr>
          <w:ilvl w:val="0"/>
          <w:numId w:val="111"/>
        </w:numPr>
        <w:rPr>
          <w:rFonts w:cs="Times New Roman"/>
          <w:szCs w:val="24"/>
        </w:rPr>
      </w:pPr>
      <w:r w:rsidRPr="00FB583E">
        <w:rPr>
          <w:rFonts w:cs="Times New Roman"/>
          <w:szCs w:val="24"/>
        </w:rPr>
        <w:t>Иммунохимическое исследование крови и мочи, включая количество нормальных иммуноглобулинов, наличие моноклональной секреции, С-реактивный белок, бета-2-микроглобулин</w:t>
      </w:r>
    </w:p>
    <w:p w14:paraId="651F0445" w14:textId="77777777" w:rsidR="00B03B24" w:rsidRPr="00FB583E" w:rsidRDefault="00B03B24" w:rsidP="00B03B24">
      <w:pPr>
        <w:pStyle w:val="afe"/>
        <w:numPr>
          <w:ilvl w:val="0"/>
          <w:numId w:val="111"/>
        </w:numPr>
        <w:rPr>
          <w:rFonts w:cs="Times New Roman"/>
          <w:szCs w:val="24"/>
        </w:rPr>
      </w:pPr>
      <w:r w:rsidRPr="00FB583E">
        <w:rPr>
          <w:rFonts w:cs="Times New Roman"/>
          <w:szCs w:val="24"/>
        </w:rPr>
        <w:t>Определение группы крови и резус - фактора</w:t>
      </w:r>
    </w:p>
    <w:p w14:paraId="71F3BDC7" w14:textId="77777777" w:rsidR="00B03B24" w:rsidRPr="00FB583E" w:rsidRDefault="00B03B24" w:rsidP="00B03B24">
      <w:pPr>
        <w:pStyle w:val="afe"/>
        <w:numPr>
          <w:ilvl w:val="0"/>
          <w:numId w:val="111"/>
        </w:numPr>
        <w:rPr>
          <w:rFonts w:cs="Times New Roman"/>
          <w:szCs w:val="24"/>
        </w:rPr>
      </w:pPr>
      <w:r w:rsidRPr="00FB583E">
        <w:rPr>
          <w:rFonts w:cs="Times New Roman"/>
          <w:szCs w:val="24"/>
        </w:rPr>
        <w:t>Исследование крови на вирусы гепатитов B и C, ВИЧ, сифилис</w:t>
      </w:r>
    </w:p>
    <w:p w14:paraId="2EC47F05" w14:textId="77777777" w:rsidR="00B03B24" w:rsidRPr="00FB583E" w:rsidRDefault="00B03B24" w:rsidP="00B03B24">
      <w:pPr>
        <w:pStyle w:val="afe"/>
        <w:numPr>
          <w:ilvl w:val="0"/>
          <w:numId w:val="111"/>
        </w:numPr>
        <w:rPr>
          <w:rFonts w:cs="Times New Roman"/>
          <w:szCs w:val="24"/>
        </w:rPr>
      </w:pPr>
      <w:r w:rsidRPr="00FB583E">
        <w:rPr>
          <w:rFonts w:cs="Times New Roman"/>
          <w:szCs w:val="24"/>
        </w:rPr>
        <w:t>Определение В-клеточной клональности в крови (по  показаниям)</w:t>
      </w:r>
    </w:p>
    <w:p w14:paraId="4349A2E1" w14:textId="77777777" w:rsidR="00B03B24" w:rsidRPr="00FB583E" w:rsidRDefault="00B03B24" w:rsidP="00B03B24">
      <w:pPr>
        <w:pStyle w:val="afe"/>
        <w:numPr>
          <w:ilvl w:val="0"/>
          <w:numId w:val="111"/>
        </w:numPr>
        <w:rPr>
          <w:rFonts w:cs="Times New Roman"/>
          <w:szCs w:val="24"/>
        </w:rPr>
      </w:pPr>
      <w:r w:rsidRPr="00FB583E">
        <w:rPr>
          <w:rFonts w:cs="Times New Roman"/>
          <w:szCs w:val="24"/>
        </w:rPr>
        <w:t>Определение клиренса креатинина по формуле Кокрофта- Голта</w:t>
      </w:r>
    </w:p>
    <w:p w14:paraId="7AFA7730" w14:textId="77777777" w:rsidR="00B03B24" w:rsidRPr="00FB583E" w:rsidRDefault="00B03B24" w:rsidP="00B03B24">
      <w:pPr>
        <w:pStyle w:val="afe"/>
        <w:numPr>
          <w:ilvl w:val="0"/>
          <w:numId w:val="111"/>
        </w:numPr>
        <w:rPr>
          <w:rFonts w:cs="Times New Roman"/>
          <w:szCs w:val="24"/>
        </w:rPr>
      </w:pPr>
      <w:r w:rsidRPr="00FB583E">
        <w:rPr>
          <w:rFonts w:cs="Times New Roman"/>
          <w:szCs w:val="24"/>
        </w:rPr>
        <w:t>Исследование ликвора – цитологическое, белок, глюкоза, вирусологическое, микробиологическое, иммуноцитохимическое, иммунофенотипическое. Исследование ликвора проводится по показаниям на различных этапах диагностики, лечения и наблюдения (до, в период и после курсов полихимиотерапии) в соответствии с соответствующим протоколом диагностики и лечения.</w:t>
      </w:r>
    </w:p>
    <w:p w14:paraId="75BB6A64" w14:textId="77777777" w:rsidR="00B03B24" w:rsidRPr="00FB583E" w:rsidRDefault="00B03B24" w:rsidP="00B03B24">
      <w:pPr>
        <w:pStyle w:val="afe"/>
        <w:numPr>
          <w:ilvl w:val="0"/>
          <w:numId w:val="111"/>
        </w:numPr>
        <w:rPr>
          <w:rFonts w:cs="Times New Roman"/>
          <w:szCs w:val="24"/>
        </w:rPr>
      </w:pPr>
      <w:r w:rsidRPr="00FB583E">
        <w:rPr>
          <w:rFonts w:cs="Times New Roman"/>
          <w:szCs w:val="24"/>
        </w:rPr>
        <w:t>Исследование материала биоптата опухоли ЦНС – цитологическое, гистологическое, иммуногистохимическое с необходимым набором иммуногистохимических маркеров (в том числе, CD20, CD45, CD79, MuM1, BCL2, BCL6, CD10, Ki-67), цитогенетическое исследование (стандартное и FISH, в том числе с маркерами BCL2, BCL6, c-MYC, TP53); молекулярно-биологическое исследование, в том числе, на мутации генов TP53, MYD88</w:t>
      </w:r>
    </w:p>
    <w:p w14:paraId="31ED6535"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Исследования костного мозга цитологическое, гистологическое и молекулярно-биологическое (В-клеточная клональность, другие маркеры по показаниям) </w:t>
      </w:r>
    </w:p>
    <w:p w14:paraId="7B5064DD" w14:textId="77777777" w:rsidR="00B03B24" w:rsidRPr="00FB583E" w:rsidRDefault="00B03B24" w:rsidP="00B03B24">
      <w:pPr>
        <w:ind w:firstLine="708"/>
        <w:rPr>
          <w:b/>
        </w:rPr>
      </w:pPr>
      <w:r w:rsidRPr="00FB583E">
        <w:rPr>
          <w:b/>
        </w:rPr>
        <w:t>Инструментальная диагностика:</w:t>
      </w:r>
    </w:p>
    <w:p w14:paraId="563A5E7B" w14:textId="77777777" w:rsidR="00B03B24" w:rsidRPr="00FB583E" w:rsidRDefault="00B03B24" w:rsidP="00B03B24">
      <w:pPr>
        <w:pStyle w:val="afe"/>
        <w:numPr>
          <w:ilvl w:val="0"/>
          <w:numId w:val="111"/>
        </w:numPr>
        <w:rPr>
          <w:rFonts w:cs="Times New Roman"/>
          <w:szCs w:val="24"/>
        </w:rPr>
      </w:pPr>
      <w:r w:rsidRPr="00FB583E">
        <w:rPr>
          <w:rFonts w:cs="Times New Roman"/>
          <w:szCs w:val="24"/>
        </w:rPr>
        <w:t>КТ с внутривенным контрастированием или МРТ головного мозга с внутривенным контрастированием</w:t>
      </w:r>
    </w:p>
    <w:p w14:paraId="1847799D" w14:textId="77777777" w:rsidR="00B03B24" w:rsidRPr="00FB583E" w:rsidRDefault="00B03B24" w:rsidP="00B03B24">
      <w:pPr>
        <w:pStyle w:val="afe"/>
        <w:numPr>
          <w:ilvl w:val="0"/>
          <w:numId w:val="111"/>
        </w:numPr>
        <w:rPr>
          <w:rFonts w:cs="Times New Roman"/>
          <w:szCs w:val="24"/>
        </w:rPr>
      </w:pPr>
      <w:r w:rsidRPr="00FB583E">
        <w:rPr>
          <w:rFonts w:cs="Times New Roman"/>
          <w:szCs w:val="24"/>
        </w:rPr>
        <w:lastRenderedPageBreak/>
        <w:t>КТ/МРТ – ангиография (по показаниям)</w:t>
      </w:r>
    </w:p>
    <w:p w14:paraId="09114937" w14:textId="77777777" w:rsidR="00B03B24" w:rsidRPr="00FB583E" w:rsidRDefault="00B03B24" w:rsidP="00B03B24">
      <w:pPr>
        <w:pStyle w:val="afe"/>
        <w:numPr>
          <w:ilvl w:val="0"/>
          <w:numId w:val="111"/>
        </w:numPr>
        <w:rPr>
          <w:rFonts w:cs="Times New Roman"/>
          <w:szCs w:val="24"/>
        </w:rPr>
      </w:pPr>
      <w:r w:rsidRPr="00FB583E">
        <w:rPr>
          <w:rFonts w:cs="Times New Roman"/>
          <w:szCs w:val="24"/>
        </w:rPr>
        <w:t>КТ брюшной полости, грудной клетки, малого таза</w:t>
      </w:r>
    </w:p>
    <w:p w14:paraId="773279E6" w14:textId="77777777" w:rsidR="00B03B24" w:rsidRPr="00FB583E" w:rsidRDefault="00B03B24" w:rsidP="00B03B24">
      <w:pPr>
        <w:pStyle w:val="afe"/>
        <w:numPr>
          <w:ilvl w:val="0"/>
          <w:numId w:val="111"/>
        </w:numPr>
        <w:rPr>
          <w:rFonts w:cs="Times New Roman"/>
          <w:szCs w:val="24"/>
        </w:rPr>
      </w:pPr>
      <w:r w:rsidRPr="00FB583E">
        <w:rPr>
          <w:rFonts w:cs="Times New Roman"/>
          <w:szCs w:val="24"/>
        </w:rPr>
        <w:t>УЗИ брюшной полости (по показаниям)</w:t>
      </w:r>
    </w:p>
    <w:p w14:paraId="667B723A" w14:textId="77777777" w:rsidR="00B03B24" w:rsidRPr="00FB583E" w:rsidRDefault="00B03B24" w:rsidP="00B03B24">
      <w:pPr>
        <w:pStyle w:val="afe"/>
        <w:numPr>
          <w:ilvl w:val="0"/>
          <w:numId w:val="111"/>
        </w:numPr>
        <w:rPr>
          <w:rFonts w:cs="Times New Roman"/>
          <w:szCs w:val="24"/>
        </w:rPr>
      </w:pPr>
      <w:r w:rsidRPr="00FB583E">
        <w:rPr>
          <w:rFonts w:cs="Times New Roman"/>
          <w:szCs w:val="24"/>
        </w:rPr>
        <w:t>Электроэнцефалография (ЭЭГ) с функциональными пробами для определения функционального состояния головного мозга и исключения эпиактивности</w:t>
      </w:r>
    </w:p>
    <w:p w14:paraId="28D9F6B6"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ВП – вызванные потенциалы различной модальности (по показаниям): </w:t>
      </w:r>
    </w:p>
    <w:p w14:paraId="4CDA5D36" w14:textId="77777777" w:rsidR="00B03B24" w:rsidRPr="00FB583E" w:rsidRDefault="00B03B24" w:rsidP="00B03B24">
      <w:pPr>
        <w:pStyle w:val="afe"/>
        <w:numPr>
          <w:ilvl w:val="1"/>
          <w:numId w:val="111"/>
        </w:numPr>
        <w:rPr>
          <w:rFonts w:cs="Times New Roman"/>
          <w:szCs w:val="24"/>
        </w:rPr>
      </w:pPr>
      <w:r w:rsidRPr="00FB583E">
        <w:rPr>
          <w:rFonts w:cs="Times New Roman"/>
          <w:szCs w:val="24"/>
        </w:rPr>
        <w:t>ЗВП – зрительные вызванные потенциалы,</w:t>
      </w:r>
    </w:p>
    <w:p w14:paraId="7036CA30" w14:textId="77777777" w:rsidR="00B03B24" w:rsidRPr="00FB583E" w:rsidRDefault="00B03B24" w:rsidP="00B03B24">
      <w:pPr>
        <w:pStyle w:val="afe"/>
        <w:numPr>
          <w:ilvl w:val="1"/>
          <w:numId w:val="111"/>
        </w:numPr>
        <w:rPr>
          <w:rFonts w:cs="Times New Roman"/>
          <w:szCs w:val="24"/>
        </w:rPr>
      </w:pPr>
      <w:r w:rsidRPr="00FB583E">
        <w:rPr>
          <w:rFonts w:cs="Times New Roman"/>
          <w:szCs w:val="24"/>
        </w:rPr>
        <w:t>КВП – когнитивные вызванные потенциалы,</w:t>
      </w:r>
    </w:p>
    <w:p w14:paraId="00F79106" w14:textId="77777777" w:rsidR="00B03B24" w:rsidRPr="00FB583E" w:rsidRDefault="00B03B24" w:rsidP="00B03B24">
      <w:pPr>
        <w:pStyle w:val="afe"/>
        <w:numPr>
          <w:ilvl w:val="1"/>
          <w:numId w:val="111"/>
        </w:numPr>
        <w:rPr>
          <w:rFonts w:cs="Times New Roman"/>
          <w:szCs w:val="24"/>
        </w:rPr>
      </w:pPr>
      <w:r w:rsidRPr="00FB583E">
        <w:rPr>
          <w:rFonts w:cs="Times New Roman"/>
          <w:szCs w:val="24"/>
        </w:rPr>
        <w:t>КАСВП – коротколатентные акустические стволовые вызванные потенциалы</w:t>
      </w:r>
    </w:p>
    <w:p w14:paraId="348330C7" w14:textId="77777777" w:rsidR="00B03B24" w:rsidRPr="00FB583E" w:rsidRDefault="00B03B24" w:rsidP="00B03B24">
      <w:pPr>
        <w:pStyle w:val="afe"/>
        <w:numPr>
          <w:ilvl w:val="1"/>
          <w:numId w:val="111"/>
        </w:numPr>
        <w:rPr>
          <w:rFonts w:cs="Times New Roman"/>
          <w:szCs w:val="24"/>
        </w:rPr>
      </w:pPr>
      <w:r w:rsidRPr="00FB583E">
        <w:rPr>
          <w:rFonts w:cs="Times New Roman"/>
          <w:szCs w:val="24"/>
        </w:rPr>
        <w:t>ССВП – соматосенсорные вызванные потенциалы</w:t>
      </w:r>
    </w:p>
    <w:p w14:paraId="27F31278" w14:textId="77777777" w:rsidR="00B03B24" w:rsidRPr="00FB583E" w:rsidRDefault="00B03B24" w:rsidP="00B03B24">
      <w:pPr>
        <w:pStyle w:val="afe"/>
        <w:numPr>
          <w:ilvl w:val="0"/>
          <w:numId w:val="111"/>
        </w:numPr>
        <w:rPr>
          <w:rFonts w:cs="Times New Roman"/>
          <w:szCs w:val="24"/>
        </w:rPr>
      </w:pPr>
      <w:r w:rsidRPr="00FB583E">
        <w:rPr>
          <w:rFonts w:cs="Times New Roman"/>
          <w:szCs w:val="24"/>
        </w:rPr>
        <w:t>Транскраниальная магнитная стимуляция (ТКМС) (по показаниям)</w:t>
      </w:r>
    </w:p>
    <w:p w14:paraId="33185236" w14:textId="77777777" w:rsidR="00B03B24" w:rsidRPr="00FB583E" w:rsidRDefault="00B03B24" w:rsidP="00B03B24">
      <w:pPr>
        <w:pStyle w:val="afe"/>
        <w:numPr>
          <w:ilvl w:val="0"/>
          <w:numId w:val="111"/>
        </w:numPr>
        <w:rPr>
          <w:rFonts w:cs="Times New Roman"/>
          <w:szCs w:val="24"/>
        </w:rPr>
      </w:pPr>
      <w:r w:rsidRPr="00FB583E">
        <w:rPr>
          <w:rFonts w:cs="Times New Roman"/>
          <w:szCs w:val="24"/>
        </w:rPr>
        <w:t>ПЭТ-КТ (по показаниям)</w:t>
      </w:r>
    </w:p>
    <w:p w14:paraId="47169DD2" w14:textId="77777777" w:rsidR="00B03B24" w:rsidRPr="00FB583E" w:rsidRDefault="00B03B24" w:rsidP="00B03B24">
      <w:pPr>
        <w:pStyle w:val="afe"/>
        <w:numPr>
          <w:ilvl w:val="0"/>
          <w:numId w:val="111"/>
        </w:numPr>
        <w:rPr>
          <w:rFonts w:cs="Times New Roman"/>
          <w:szCs w:val="24"/>
        </w:rPr>
      </w:pPr>
      <w:r w:rsidRPr="00FB583E">
        <w:rPr>
          <w:rFonts w:cs="Times New Roman"/>
          <w:szCs w:val="24"/>
        </w:rPr>
        <w:t>Ультразвуковая допплерография (УЗДГ) - брахиоцефальных артерий и вен (по показаниям)</w:t>
      </w:r>
    </w:p>
    <w:p w14:paraId="49B16C53" w14:textId="77777777" w:rsidR="00B03B24" w:rsidRPr="00FB583E" w:rsidRDefault="00B03B24" w:rsidP="00B03B24">
      <w:pPr>
        <w:pStyle w:val="afe"/>
        <w:numPr>
          <w:ilvl w:val="0"/>
          <w:numId w:val="111"/>
        </w:numPr>
        <w:rPr>
          <w:rFonts w:cs="Times New Roman"/>
          <w:szCs w:val="24"/>
        </w:rPr>
      </w:pPr>
      <w:r w:rsidRPr="00FB583E">
        <w:rPr>
          <w:rFonts w:cs="Times New Roman"/>
          <w:szCs w:val="24"/>
        </w:rPr>
        <w:t>ФГДС, ФКС (биопсия по показаниям)</w:t>
      </w:r>
    </w:p>
    <w:p w14:paraId="36958505" w14:textId="77777777" w:rsidR="00B03B24" w:rsidRPr="00FB583E" w:rsidRDefault="00B03B24" w:rsidP="00B03B24">
      <w:pPr>
        <w:pStyle w:val="afe"/>
        <w:numPr>
          <w:ilvl w:val="0"/>
          <w:numId w:val="111"/>
        </w:numPr>
        <w:rPr>
          <w:rFonts w:cs="Times New Roman"/>
          <w:szCs w:val="24"/>
        </w:rPr>
      </w:pPr>
      <w:r w:rsidRPr="00FB583E">
        <w:rPr>
          <w:rFonts w:cs="Times New Roman"/>
          <w:szCs w:val="24"/>
        </w:rPr>
        <w:t>ЭКГ</w:t>
      </w:r>
    </w:p>
    <w:p w14:paraId="211CD4A1" w14:textId="77777777" w:rsidR="00B03B24" w:rsidRPr="00FB583E" w:rsidRDefault="00B03B24" w:rsidP="00B03B24">
      <w:pPr>
        <w:pStyle w:val="afe"/>
        <w:numPr>
          <w:ilvl w:val="0"/>
          <w:numId w:val="111"/>
        </w:numPr>
        <w:rPr>
          <w:rFonts w:cs="Times New Roman"/>
          <w:szCs w:val="24"/>
        </w:rPr>
      </w:pPr>
      <w:r w:rsidRPr="00FB583E">
        <w:rPr>
          <w:rFonts w:cs="Times New Roman"/>
          <w:szCs w:val="24"/>
        </w:rPr>
        <w:t>Эхо-КГ</w:t>
      </w:r>
    </w:p>
    <w:p w14:paraId="6A15E6B9" w14:textId="77777777" w:rsidR="00B03B24" w:rsidRPr="00FB583E" w:rsidRDefault="00B03B24" w:rsidP="00B03B24">
      <w:pPr>
        <w:ind w:firstLine="708"/>
        <w:rPr>
          <w:b/>
        </w:rPr>
      </w:pPr>
      <w:r w:rsidRPr="00FB583E">
        <w:rPr>
          <w:b/>
        </w:rPr>
        <w:t>Консультация специалистов:</w:t>
      </w:r>
    </w:p>
    <w:p w14:paraId="654136EC" w14:textId="77777777" w:rsidR="00B03B24" w:rsidRPr="00FB583E" w:rsidRDefault="00B03B24" w:rsidP="00B03B24">
      <w:pPr>
        <w:pStyle w:val="afe"/>
        <w:numPr>
          <w:ilvl w:val="0"/>
          <w:numId w:val="111"/>
        </w:numPr>
        <w:rPr>
          <w:rFonts w:cs="Times New Roman"/>
          <w:szCs w:val="24"/>
        </w:rPr>
      </w:pPr>
      <w:r w:rsidRPr="00FB583E">
        <w:rPr>
          <w:rFonts w:cs="Times New Roman"/>
          <w:szCs w:val="24"/>
        </w:rPr>
        <w:t>Невролог – для оценки неврологического статуса</w:t>
      </w:r>
    </w:p>
    <w:p w14:paraId="11E4F545" w14:textId="77777777" w:rsidR="00B03B24" w:rsidRPr="00FB583E" w:rsidRDefault="00B03B24" w:rsidP="00B03B24">
      <w:pPr>
        <w:pStyle w:val="afe"/>
        <w:numPr>
          <w:ilvl w:val="0"/>
          <w:numId w:val="111"/>
        </w:numPr>
        <w:rPr>
          <w:rFonts w:cs="Times New Roman"/>
          <w:szCs w:val="24"/>
        </w:rPr>
      </w:pPr>
      <w:r w:rsidRPr="00FB583E">
        <w:rPr>
          <w:rFonts w:cs="Times New Roman"/>
          <w:szCs w:val="24"/>
        </w:rPr>
        <w:t>Нейрохирург – для стереотаксической биопсии (СТБ) опухоли головного мозга или биопсия образования спинного мозга для верификации диагноза.</w:t>
      </w:r>
    </w:p>
    <w:p w14:paraId="17A2235F" w14:textId="77777777" w:rsidR="00B03B24" w:rsidRPr="00FB583E" w:rsidRDefault="00B03B24" w:rsidP="00B03B24">
      <w:pPr>
        <w:pStyle w:val="afe"/>
        <w:numPr>
          <w:ilvl w:val="0"/>
          <w:numId w:val="111"/>
        </w:numPr>
        <w:rPr>
          <w:rFonts w:cs="Times New Roman"/>
          <w:szCs w:val="24"/>
        </w:rPr>
      </w:pPr>
      <w:r w:rsidRPr="00FB583E">
        <w:rPr>
          <w:rFonts w:cs="Times New Roman"/>
          <w:szCs w:val="24"/>
        </w:rPr>
        <w:t>Офтальмолог – для оценки состояния глазного дна, определения степени внутричерепной гипертензии</w:t>
      </w:r>
    </w:p>
    <w:p w14:paraId="4233BC0B" w14:textId="77777777" w:rsidR="00B03B24" w:rsidRPr="00FB583E" w:rsidRDefault="00B03B24" w:rsidP="00B03B24">
      <w:pPr>
        <w:pStyle w:val="afe"/>
        <w:numPr>
          <w:ilvl w:val="0"/>
          <w:numId w:val="111"/>
        </w:numPr>
        <w:rPr>
          <w:rFonts w:cs="Times New Roman"/>
          <w:szCs w:val="24"/>
        </w:rPr>
      </w:pPr>
      <w:r w:rsidRPr="00FB583E">
        <w:rPr>
          <w:rFonts w:cs="Times New Roman"/>
          <w:szCs w:val="24"/>
        </w:rPr>
        <w:t>По показаниям привлекаются другие специалисты:</w:t>
      </w:r>
    </w:p>
    <w:p w14:paraId="55C1C53E" w14:textId="77777777" w:rsidR="00B03B24" w:rsidRPr="00FB583E" w:rsidRDefault="00B03B24" w:rsidP="00B03B24">
      <w:pPr>
        <w:pStyle w:val="afe"/>
        <w:numPr>
          <w:ilvl w:val="0"/>
          <w:numId w:val="111"/>
        </w:numPr>
        <w:rPr>
          <w:rFonts w:cs="Times New Roman"/>
          <w:szCs w:val="24"/>
        </w:rPr>
      </w:pPr>
      <w:r w:rsidRPr="00FB583E">
        <w:rPr>
          <w:rFonts w:cs="Times New Roman"/>
          <w:szCs w:val="24"/>
        </w:rPr>
        <w:t>радиолог</w:t>
      </w:r>
    </w:p>
    <w:p w14:paraId="05B8ADCC" w14:textId="77777777" w:rsidR="00B03B24" w:rsidRPr="00FB583E" w:rsidRDefault="00B03B24" w:rsidP="00B03B24">
      <w:pPr>
        <w:pStyle w:val="afe"/>
        <w:numPr>
          <w:ilvl w:val="0"/>
          <w:numId w:val="111"/>
        </w:numPr>
        <w:rPr>
          <w:rFonts w:cs="Times New Roman"/>
          <w:szCs w:val="24"/>
        </w:rPr>
      </w:pPr>
      <w:r w:rsidRPr="00FB583E">
        <w:rPr>
          <w:rFonts w:cs="Times New Roman"/>
          <w:szCs w:val="24"/>
        </w:rPr>
        <w:t>психиатр</w:t>
      </w:r>
    </w:p>
    <w:p w14:paraId="18F02F86" w14:textId="77777777" w:rsidR="00B03B24" w:rsidRPr="00FB583E" w:rsidRDefault="00B03B24" w:rsidP="00B03B24">
      <w:pPr>
        <w:pStyle w:val="afe"/>
        <w:numPr>
          <w:ilvl w:val="0"/>
          <w:numId w:val="111"/>
        </w:numPr>
        <w:rPr>
          <w:rFonts w:cs="Times New Roman"/>
          <w:szCs w:val="24"/>
        </w:rPr>
      </w:pPr>
      <w:r w:rsidRPr="00FB583E">
        <w:rPr>
          <w:rFonts w:cs="Times New Roman"/>
          <w:szCs w:val="24"/>
        </w:rPr>
        <w:t>психолог</w:t>
      </w:r>
    </w:p>
    <w:p w14:paraId="515BD4F0" w14:textId="77777777" w:rsidR="00B03B24" w:rsidRPr="00FB583E" w:rsidRDefault="00B03B24" w:rsidP="00B03B24">
      <w:pPr>
        <w:pStyle w:val="afe"/>
        <w:numPr>
          <w:ilvl w:val="0"/>
          <w:numId w:val="111"/>
        </w:numPr>
        <w:rPr>
          <w:rFonts w:cs="Times New Roman"/>
          <w:szCs w:val="24"/>
        </w:rPr>
      </w:pPr>
      <w:r w:rsidRPr="00FB583E">
        <w:rPr>
          <w:rFonts w:cs="Times New Roman"/>
          <w:szCs w:val="24"/>
        </w:rPr>
        <w:t>кинезиотерапевт</w:t>
      </w:r>
    </w:p>
    <w:p w14:paraId="4B04C9F0" w14:textId="77777777" w:rsidR="00B03B24" w:rsidRPr="00FB583E" w:rsidRDefault="00B03B24" w:rsidP="00B03B24">
      <w:pPr>
        <w:ind w:firstLine="708"/>
        <w:rPr>
          <w:b/>
        </w:rPr>
      </w:pPr>
      <w:r w:rsidRPr="00FB583E">
        <w:rPr>
          <w:b/>
        </w:rPr>
        <w:t>Лекарственная терапия неврологических осложнений специфического поражения ЦНС при гематологических заболеваниях.</w:t>
      </w:r>
    </w:p>
    <w:p w14:paraId="11C3D25C" w14:textId="77777777" w:rsidR="00B03B24" w:rsidRPr="00FB583E" w:rsidRDefault="00B03B24" w:rsidP="00B03B24">
      <w:pPr>
        <w:ind w:firstLine="708"/>
      </w:pPr>
      <w:r w:rsidRPr="00FB583E">
        <w:lastRenderedPageBreak/>
        <w:t>Основным методом лечения вовлечения ЦНС при онкогематологических заболеваниях (лейкозы, лимфомы) является химиотерапия. Дополнительно могут применяться хирургические и радиологические (лучевая терапия) методы лечения.</w:t>
      </w:r>
    </w:p>
    <w:p w14:paraId="2069C28E" w14:textId="77777777" w:rsidR="00B03B24" w:rsidRPr="00FB583E" w:rsidRDefault="00B03B24" w:rsidP="00B03B24">
      <w:pPr>
        <w:ind w:firstLine="708"/>
      </w:pPr>
      <w:r w:rsidRPr="00FB583E">
        <w:t>Очаговое специфическое поражение головного мозга при онкогематологических заболеваниях сопровождается перифокальным отеком или повышением внутричерепного давления и часто вызывает эпилептические приступы.  В связи с этим могут применяться следующие основные группы лекарственных препаратов:</w:t>
      </w:r>
    </w:p>
    <w:p w14:paraId="14597EBB"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Противоотечные препараты – маннитол в/в, лазикс в/в, ацетазоламид (диакарб) в таб. </w:t>
      </w:r>
    </w:p>
    <w:p w14:paraId="485F87CD" w14:textId="77777777" w:rsidR="00B03B24" w:rsidRPr="00FB583E" w:rsidRDefault="00B03B24" w:rsidP="00B03B24">
      <w:pPr>
        <w:pStyle w:val="afe"/>
        <w:numPr>
          <w:ilvl w:val="0"/>
          <w:numId w:val="111"/>
        </w:numPr>
        <w:rPr>
          <w:rFonts w:cs="Times New Roman"/>
          <w:szCs w:val="24"/>
        </w:rPr>
      </w:pPr>
      <w:r w:rsidRPr="00FB583E">
        <w:rPr>
          <w:rFonts w:cs="Times New Roman"/>
          <w:szCs w:val="24"/>
        </w:rPr>
        <w:t>Противорвотная терапия – ондансетрон в/в</w:t>
      </w:r>
    </w:p>
    <w:p w14:paraId="13E9A256" w14:textId="77777777" w:rsidR="00B03B24" w:rsidRPr="00FB583E" w:rsidRDefault="00B03B24" w:rsidP="00B03B24">
      <w:pPr>
        <w:pStyle w:val="afe"/>
        <w:numPr>
          <w:ilvl w:val="0"/>
          <w:numId w:val="111"/>
        </w:numPr>
        <w:rPr>
          <w:rFonts w:cs="Times New Roman"/>
          <w:szCs w:val="24"/>
        </w:rPr>
      </w:pPr>
      <w:r w:rsidRPr="00FB583E">
        <w:rPr>
          <w:rFonts w:cs="Times New Roman"/>
          <w:szCs w:val="24"/>
        </w:rPr>
        <w:t>Противоэпилептические, противосудорожные препараты – леветирацетамв/в, табл; бензобарбитал табл; конвулекс в/в, таб; прегабалин капс; габапентин таб, клоназепам таб; фенобарбитал таб, окскарбазепин таб, ламотриджил таб, диазепам в/в, таб; карбамазепин таб; фенитоин таб;</w:t>
      </w:r>
    </w:p>
    <w:p w14:paraId="05056F13" w14:textId="77777777" w:rsidR="00B03B24" w:rsidRPr="00FB583E" w:rsidRDefault="00B03B24" w:rsidP="00B03B24">
      <w:pPr>
        <w:pStyle w:val="afe"/>
        <w:numPr>
          <w:ilvl w:val="0"/>
          <w:numId w:val="111"/>
        </w:numPr>
        <w:rPr>
          <w:rFonts w:cs="Times New Roman"/>
          <w:szCs w:val="24"/>
        </w:rPr>
      </w:pPr>
      <w:r w:rsidRPr="00FB583E">
        <w:rPr>
          <w:rFonts w:cs="Times New Roman"/>
          <w:szCs w:val="24"/>
        </w:rPr>
        <w:t>Нейропротекторная терапия аминофенилмаслянная кислота – фенибут таб</w:t>
      </w:r>
    </w:p>
    <w:p w14:paraId="3C82D75C" w14:textId="77777777" w:rsidR="00B03B24" w:rsidRPr="00FB583E" w:rsidRDefault="00B03B24" w:rsidP="00B03B24">
      <w:pPr>
        <w:pStyle w:val="afe"/>
        <w:numPr>
          <w:ilvl w:val="0"/>
          <w:numId w:val="111"/>
        </w:numPr>
        <w:rPr>
          <w:rFonts w:cs="Times New Roman"/>
          <w:szCs w:val="24"/>
        </w:rPr>
      </w:pPr>
      <w:r w:rsidRPr="00FB583E">
        <w:rPr>
          <w:rFonts w:cs="Times New Roman"/>
          <w:szCs w:val="24"/>
        </w:rPr>
        <w:t>Дофаминэргические препараты: ПК-мерц в/в, таб; наком таб; мирапекс таб; акинетон таб.</w:t>
      </w:r>
    </w:p>
    <w:p w14:paraId="028CCBC1" w14:textId="77777777" w:rsidR="00B03B24" w:rsidRPr="00FB583E" w:rsidRDefault="00B03B24" w:rsidP="00B03B24">
      <w:pPr>
        <w:pStyle w:val="afe"/>
        <w:numPr>
          <w:ilvl w:val="0"/>
          <w:numId w:val="111"/>
        </w:numPr>
        <w:rPr>
          <w:rFonts w:cs="Times New Roman"/>
          <w:szCs w:val="24"/>
        </w:rPr>
      </w:pPr>
      <w:r w:rsidRPr="00FB583E">
        <w:rPr>
          <w:rFonts w:cs="Times New Roman"/>
          <w:szCs w:val="24"/>
        </w:rPr>
        <w:t>Витаминотерапия</w:t>
      </w:r>
      <w:r>
        <w:rPr>
          <w:rFonts w:cs="Times New Roman"/>
          <w:szCs w:val="24"/>
        </w:rPr>
        <w:t xml:space="preserve"> –</w:t>
      </w:r>
      <w:r w:rsidRPr="00FB583E">
        <w:rPr>
          <w:rFonts w:cs="Times New Roman"/>
          <w:szCs w:val="24"/>
        </w:rPr>
        <w:t xml:space="preserve"> церневит в/в, витамины группы В таб.</w:t>
      </w:r>
    </w:p>
    <w:p w14:paraId="6E714ABB" w14:textId="77777777" w:rsidR="00B03B24" w:rsidRPr="00FB583E" w:rsidRDefault="00B03B24" w:rsidP="00B03B24">
      <w:pPr>
        <w:pStyle w:val="afe"/>
        <w:numPr>
          <w:ilvl w:val="0"/>
          <w:numId w:val="111"/>
        </w:numPr>
        <w:rPr>
          <w:rFonts w:cs="Times New Roman"/>
          <w:szCs w:val="24"/>
        </w:rPr>
      </w:pPr>
      <w:r w:rsidRPr="00FB583E">
        <w:rPr>
          <w:rFonts w:cs="Times New Roman"/>
          <w:szCs w:val="24"/>
        </w:rPr>
        <w:t>Антиоксиданты –</w:t>
      </w:r>
      <w:r>
        <w:rPr>
          <w:rFonts w:cs="Times New Roman"/>
          <w:szCs w:val="24"/>
        </w:rPr>
        <w:t xml:space="preserve"> </w:t>
      </w:r>
      <w:r w:rsidRPr="00FB583E">
        <w:rPr>
          <w:rFonts w:cs="Times New Roman"/>
          <w:szCs w:val="24"/>
        </w:rPr>
        <w:t xml:space="preserve">альфа-липоевая кислота в/в, капс. </w:t>
      </w:r>
    </w:p>
    <w:p w14:paraId="0B4CDACE"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Антидепрессанты </w:t>
      </w:r>
      <w:r>
        <w:rPr>
          <w:rFonts w:cs="Times New Roman"/>
          <w:szCs w:val="24"/>
        </w:rPr>
        <w:t>–</w:t>
      </w:r>
      <w:r w:rsidRPr="00FB583E">
        <w:rPr>
          <w:rFonts w:cs="Times New Roman"/>
          <w:szCs w:val="24"/>
        </w:rPr>
        <w:t xml:space="preserve"> по назначению психиатра</w:t>
      </w:r>
    </w:p>
    <w:p w14:paraId="1E72C669" w14:textId="77777777" w:rsidR="00B03B24" w:rsidRPr="00FB583E" w:rsidRDefault="00B03B24" w:rsidP="00B03B24">
      <w:pPr>
        <w:ind w:firstLine="360"/>
      </w:pPr>
    </w:p>
    <w:p w14:paraId="34327F1D" w14:textId="77777777" w:rsidR="00B03B24" w:rsidRPr="00FB583E" w:rsidRDefault="00B03B24" w:rsidP="00B03B24">
      <w:pPr>
        <w:pStyle w:val="afd"/>
        <w:spacing w:beforeAutospacing="0" w:afterAutospacing="0" w:line="360" w:lineRule="auto"/>
        <w:rPr>
          <w:i/>
          <w:u w:val="single"/>
        </w:rPr>
      </w:pPr>
      <w:r w:rsidRPr="00FB583E">
        <w:rPr>
          <w:i/>
          <w:u w:val="single"/>
        </w:rPr>
        <w:t>Острые нарушения мозгового кровообращения по ишемическому типу при гематологических заболеваниях.</w:t>
      </w:r>
    </w:p>
    <w:p w14:paraId="104354A1" w14:textId="77777777" w:rsidR="00B03B24" w:rsidRPr="00FB583E" w:rsidRDefault="00B03B24" w:rsidP="00B03B24">
      <w:pPr>
        <w:pStyle w:val="afd"/>
        <w:spacing w:beforeAutospacing="0" w:afterAutospacing="0" w:line="360" w:lineRule="auto"/>
        <w:rPr>
          <w:color w:val="000000"/>
        </w:rPr>
      </w:pPr>
      <w:r w:rsidRPr="00FB583E">
        <w:rPr>
          <w:color w:val="000000"/>
        </w:rPr>
        <w:t>Примерно в 10% случаев при гематологических заболеваниях отмечается нарушение мозгового кровообращения (ОНМК) по ишемическому типу. К заболеваниям, при которых наиболее часто возникают тромбозы, относятся миелопролиферативные заболевания, миеломная болезнь, лимфопролиферативные заболевания, тромботическая микроангиопатия, в том числе атипичный гемолитико-уремический синдром, тромботическая тромбоцитопеническая пурпура. Причинами тромбозов мозговых сосудов у пациентов с гематологическими заболеваниями могут быть:</w:t>
      </w:r>
    </w:p>
    <w:p w14:paraId="021256D8" w14:textId="77777777" w:rsidR="00B03B24" w:rsidRPr="00FB583E" w:rsidRDefault="00B03B24" w:rsidP="00B03B24">
      <w:pPr>
        <w:pStyle w:val="afe"/>
        <w:numPr>
          <w:ilvl w:val="0"/>
          <w:numId w:val="111"/>
        </w:numPr>
        <w:rPr>
          <w:rFonts w:cs="Times New Roman"/>
          <w:szCs w:val="24"/>
        </w:rPr>
      </w:pPr>
      <w:r w:rsidRPr="00FB583E">
        <w:rPr>
          <w:rFonts w:cs="Times New Roman"/>
          <w:szCs w:val="24"/>
        </w:rPr>
        <w:t>механические факторы (сдавление опухолью кровеносного сосуда, наличие центрального или периферического венозных катетеров, нарушение целостности эндотелия некоторыми химиопрепаратами и др.)</w:t>
      </w:r>
    </w:p>
    <w:p w14:paraId="149A5258" w14:textId="77777777" w:rsidR="00B03B24" w:rsidRPr="00FB583E" w:rsidRDefault="00B03B24" w:rsidP="00B03B24">
      <w:pPr>
        <w:pStyle w:val="afe"/>
        <w:numPr>
          <w:ilvl w:val="0"/>
          <w:numId w:val="111"/>
        </w:numPr>
        <w:rPr>
          <w:rFonts w:cs="Times New Roman"/>
          <w:szCs w:val="24"/>
        </w:rPr>
      </w:pPr>
      <w:r w:rsidRPr="00FB583E">
        <w:rPr>
          <w:rFonts w:cs="Times New Roman"/>
          <w:szCs w:val="24"/>
        </w:rPr>
        <w:lastRenderedPageBreak/>
        <w:t>коагулогические (повышение или снижение активности факторов свертывания крови, повышение агрегационных свойств тромбоцитов и гипертромбоцитоз) вследствие опухолевого процесса и/или его лечения</w:t>
      </w:r>
    </w:p>
    <w:p w14:paraId="7F55C472" w14:textId="77777777" w:rsidR="00B03B24" w:rsidRPr="00FB583E" w:rsidRDefault="00B03B24" w:rsidP="00B03B24">
      <w:pPr>
        <w:pStyle w:val="afe"/>
        <w:numPr>
          <w:ilvl w:val="0"/>
          <w:numId w:val="111"/>
        </w:numPr>
        <w:rPr>
          <w:rFonts w:cs="Times New Roman"/>
          <w:szCs w:val="24"/>
        </w:rPr>
      </w:pPr>
      <w:r w:rsidRPr="00FB583E">
        <w:rPr>
          <w:rFonts w:cs="Times New Roman"/>
          <w:szCs w:val="24"/>
        </w:rPr>
        <w:t>реологические (в том числе за счет гиперлейкоцитоза, эритроцитоза гипертромбоцитоза)</w:t>
      </w:r>
    </w:p>
    <w:p w14:paraId="185E4F63" w14:textId="77777777" w:rsidR="00B03B24" w:rsidRPr="00FB583E" w:rsidRDefault="00B03B24" w:rsidP="00B03B24">
      <w:pPr>
        <w:pStyle w:val="afe"/>
        <w:numPr>
          <w:ilvl w:val="0"/>
          <w:numId w:val="111"/>
        </w:numPr>
        <w:rPr>
          <w:rFonts w:cs="Times New Roman"/>
          <w:szCs w:val="24"/>
        </w:rPr>
      </w:pPr>
      <w:r w:rsidRPr="00FB583E">
        <w:rPr>
          <w:rFonts w:cs="Times New Roman"/>
          <w:szCs w:val="24"/>
        </w:rPr>
        <w:t>полихимиотерапия</w:t>
      </w:r>
    </w:p>
    <w:p w14:paraId="75185A1C"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лучевая терапия </w:t>
      </w:r>
    </w:p>
    <w:p w14:paraId="4245D983" w14:textId="77777777" w:rsidR="00B03B24" w:rsidRPr="00FB583E" w:rsidRDefault="00B03B24" w:rsidP="00B03B24">
      <w:pPr>
        <w:pStyle w:val="afe"/>
        <w:numPr>
          <w:ilvl w:val="0"/>
          <w:numId w:val="111"/>
        </w:numPr>
        <w:rPr>
          <w:rFonts w:cs="Times New Roman"/>
          <w:szCs w:val="24"/>
        </w:rPr>
      </w:pPr>
      <w:r w:rsidRPr="00FB583E">
        <w:rPr>
          <w:rFonts w:cs="Times New Roman"/>
          <w:szCs w:val="24"/>
        </w:rPr>
        <w:t>наличие сопутствующих заболеваний – кардиологических (фибрилляция предсердий, эндокардит), эндокринологических (сахарный диабет), гипертоническая болезнь, атеросклероз</w:t>
      </w:r>
    </w:p>
    <w:p w14:paraId="0CB63B74" w14:textId="77777777" w:rsidR="00B03B24" w:rsidRPr="00FB583E" w:rsidRDefault="00B03B24" w:rsidP="00B03B24">
      <w:pPr>
        <w:pStyle w:val="afe"/>
        <w:numPr>
          <w:ilvl w:val="0"/>
          <w:numId w:val="111"/>
        </w:numPr>
        <w:rPr>
          <w:rFonts w:cs="Times New Roman"/>
          <w:szCs w:val="24"/>
        </w:rPr>
      </w:pPr>
      <w:r w:rsidRPr="00FB583E">
        <w:rPr>
          <w:rFonts w:cs="Times New Roman"/>
          <w:szCs w:val="24"/>
        </w:rPr>
        <w:t>сочетание вышеперечисленных факторов</w:t>
      </w:r>
    </w:p>
    <w:p w14:paraId="461381D8" w14:textId="77777777" w:rsidR="00B03B24" w:rsidRPr="00FB583E" w:rsidRDefault="00B03B24" w:rsidP="00B03B24">
      <w:pPr>
        <w:pStyle w:val="afd"/>
        <w:spacing w:beforeAutospacing="0" w:afterAutospacing="0" w:line="360" w:lineRule="auto"/>
        <w:rPr>
          <w:b/>
          <w:color w:val="000000"/>
        </w:rPr>
      </w:pPr>
      <w:r w:rsidRPr="00FB583E">
        <w:rPr>
          <w:b/>
          <w:color w:val="000000"/>
        </w:rPr>
        <w:t>Клинические проявления ОНМК по ишемическому типу:</w:t>
      </w:r>
    </w:p>
    <w:p w14:paraId="756917DA" w14:textId="77777777" w:rsidR="00B03B24" w:rsidRPr="00FB583E" w:rsidRDefault="00B03B24" w:rsidP="00B03B24">
      <w:pPr>
        <w:pStyle w:val="afd"/>
        <w:spacing w:beforeAutospacing="0" w:afterAutospacing="0" w:line="360" w:lineRule="auto"/>
        <w:rPr>
          <w:color w:val="000000"/>
        </w:rPr>
      </w:pPr>
      <w:r w:rsidRPr="00FB583E">
        <w:rPr>
          <w:color w:val="000000"/>
        </w:rPr>
        <w:t xml:space="preserve">Клиническая картина при ОНМК по ишемическому типу проявляется в виде общемозговой симптоматики с нарушением сознания и осознанности, нарушением речи; очаговой симптоматикой, двигательными и чувствительными нарушениями и зависит от бассейна кровоснабжения артерии, размеров зоны ишемии и перифокального отека. </w:t>
      </w:r>
    </w:p>
    <w:p w14:paraId="5BC504F9" w14:textId="77777777" w:rsidR="00B03B24" w:rsidRPr="00FB583E" w:rsidRDefault="00B03B24" w:rsidP="00B03B24">
      <w:pPr>
        <w:pStyle w:val="afd"/>
        <w:spacing w:beforeAutospacing="0" w:afterAutospacing="0" w:line="360" w:lineRule="auto"/>
        <w:rPr>
          <w:color w:val="000000"/>
        </w:rPr>
      </w:pPr>
      <w:r w:rsidRPr="00FB583E">
        <w:rPr>
          <w:color w:val="000000"/>
        </w:rPr>
        <w:t xml:space="preserve">Отмечаются тромбозы венозных синусов, которые характеризуются преимущественно общемозговой симптоматикой в выраженной головной болью и эпилептическими приступами. </w:t>
      </w:r>
    </w:p>
    <w:p w14:paraId="305CAB2F" w14:textId="77777777" w:rsidR="00B03B24" w:rsidRPr="00FB583E" w:rsidRDefault="00B03B24" w:rsidP="00B03B24">
      <w:pPr>
        <w:ind w:firstLine="709"/>
      </w:pPr>
      <w:r w:rsidRPr="00FB583E">
        <w:t>Первичная диагностика включает в себя оценку жалоб, анамнеза; оценку функционального статуса по шкале Карновского, оценку неврологического статуса с характеристикой общемозговой и очаговой симптоматики, интеллектуально-мнестических нарушений, оценку психического состояния.</w:t>
      </w:r>
    </w:p>
    <w:p w14:paraId="6E200509" w14:textId="77777777" w:rsidR="00B03B24" w:rsidRPr="00FB583E" w:rsidRDefault="00B03B24" w:rsidP="00B03B24">
      <w:pPr>
        <w:pStyle w:val="afd"/>
        <w:spacing w:beforeAutospacing="0" w:afterAutospacing="0" w:line="360" w:lineRule="auto"/>
        <w:ind w:firstLine="708"/>
        <w:rPr>
          <w:color w:val="000000"/>
        </w:rPr>
      </w:pPr>
      <w:r w:rsidRPr="00FB583E">
        <w:rPr>
          <w:b/>
        </w:rPr>
        <w:t>Лабораторная диагностика</w:t>
      </w:r>
      <w:r w:rsidRPr="00FB583E">
        <w:t>: см</w:t>
      </w:r>
      <w:r w:rsidRPr="00FB583E">
        <w:rPr>
          <w:color w:val="000000"/>
        </w:rPr>
        <w:t>. главу «Профилактика, диагностика и лечение тромботических осложнений при гематологических заболеваниях» в настоящем методическом руководстве.</w:t>
      </w:r>
    </w:p>
    <w:p w14:paraId="5D6E17BD" w14:textId="77777777" w:rsidR="00B03B24" w:rsidRPr="00FB583E" w:rsidRDefault="00B03B24" w:rsidP="00B03B24">
      <w:pPr>
        <w:ind w:firstLine="708"/>
        <w:rPr>
          <w:b/>
        </w:rPr>
      </w:pPr>
      <w:r w:rsidRPr="00FB583E">
        <w:rPr>
          <w:b/>
        </w:rPr>
        <w:t>Инструментальная диагностика:</w:t>
      </w:r>
    </w:p>
    <w:p w14:paraId="63919609" w14:textId="77777777" w:rsidR="00B03B24" w:rsidRPr="00FB583E" w:rsidRDefault="00B03B24" w:rsidP="00B03B24">
      <w:pPr>
        <w:pStyle w:val="afe"/>
        <w:numPr>
          <w:ilvl w:val="0"/>
          <w:numId w:val="111"/>
        </w:numPr>
        <w:rPr>
          <w:rFonts w:cs="Times New Roman"/>
          <w:szCs w:val="24"/>
        </w:rPr>
      </w:pPr>
      <w:r w:rsidRPr="00FB583E">
        <w:rPr>
          <w:rFonts w:cs="Times New Roman"/>
          <w:szCs w:val="24"/>
        </w:rPr>
        <w:t>КТ/МРТ -  головного/спинного мозга с контрастным усилением</w:t>
      </w:r>
    </w:p>
    <w:p w14:paraId="6335B215" w14:textId="77777777" w:rsidR="00B03B24" w:rsidRPr="00FB583E" w:rsidRDefault="00B03B24" w:rsidP="00B03B24">
      <w:pPr>
        <w:pStyle w:val="afe"/>
        <w:numPr>
          <w:ilvl w:val="0"/>
          <w:numId w:val="111"/>
        </w:numPr>
        <w:rPr>
          <w:rFonts w:cs="Times New Roman"/>
          <w:szCs w:val="24"/>
        </w:rPr>
      </w:pPr>
      <w:r w:rsidRPr="00FB583E">
        <w:rPr>
          <w:rFonts w:cs="Times New Roman"/>
          <w:szCs w:val="24"/>
        </w:rPr>
        <w:t>КТ/МРТ-ангиография (с проведением тромболизиса по показаниям)</w:t>
      </w:r>
    </w:p>
    <w:p w14:paraId="1DFDAF2A" w14:textId="77777777" w:rsidR="00B03B24" w:rsidRPr="00FB583E" w:rsidRDefault="00B03B24" w:rsidP="00B03B24">
      <w:pPr>
        <w:pStyle w:val="afe"/>
        <w:numPr>
          <w:ilvl w:val="0"/>
          <w:numId w:val="111"/>
        </w:numPr>
        <w:rPr>
          <w:rFonts w:cs="Times New Roman"/>
          <w:szCs w:val="24"/>
        </w:rPr>
      </w:pPr>
      <w:r w:rsidRPr="00FB583E">
        <w:rPr>
          <w:rFonts w:cs="Times New Roman"/>
          <w:szCs w:val="24"/>
        </w:rPr>
        <w:t>ЭКГ</w:t>
      </w:r>
    </w:p>
    <w:p w14:paraId="2835A870" w14:textId="77777777" w:rsidR="00B03B24" w:rsidRPr="00FB583E" w:rsidRDefault="00B03B24" w:rsidP="00B03B24">
      <w:pPr>
        <w:pStyle w:val="afe"/>
        <w:numPr>
          <w:ilvl w:val="0"/>
          <w:numId w:val="111"/>
        </w:numPr>
        <w:rPr>
          <w:rFonts w:cs="Times New Roman"/>
          <w:szCs w:val="24"/>
        </w:rPr>
      </w:pPr>
      <w:r w:rsidRPr="00FB583E">
        <w:rPr>
          <w:rFonts w:cs="Times New Roman"/>
          <w:szCs w:val="24"/>
        </w:rPr>
        <w:t>Эхо-КГ</w:t>
      </w:r>
    </w:p>
    <w:p w14:paraId="2D8BA3C9"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 УЗДГ брахиоцефальных артерий и вен </w:t>
      </w:r>
    </w:p>
    <w:p w14:paraId="61171A5A" w14:textId="77777777" w:rsidR="00B03B24" w:rsidRPr="00FB583E" w:rsidRDefault="00B03B24" w:rsidP="00B03B24">
      <w:pPr>
        <w:pStyle w:val="afe"/>
        <w:numPr>
          <w:ilvl w:val="0"/>
          <w:numId w:val="111"/>
        </w:numPr>
        <w:rPr>
          <w:rFonts w:cs="Times New Roman"/>
          <w:szCs w:val="24"/>
        </w:rPr>
      </w:pPr>
      <w:r w:rsidRPr="00FB583E">
        <w:rPr>
          <w:rFonts w:cs="Times New Roman"/>
          <w:szCs w:val="24"/>
        </w:rPr>
        <w:t>КТ грудной клетки</w:t>
      </w:r>
    </w:p>
    <w:p w14:paraId="4E5AE1B6" w14:textId="77777777" w:rsidR="00B03B24" w:rsidRPr="00FB583E" w:rsidRDefault="00B03B24" w:rsidP="00B03B24">
      <w:pPr>
        <w:pStyle w:val="afe"/>
        <w:numPr>
          <w:ilvl w:val="0"/>
          <w:numId w:val="111"/>
        </w:numPr>
        <w:rPr>
          <w:rFonts w:cs="Times New Roman"/>
          <w:szCs w:val="24"/>
        </w:rPr>
      </w:pPr>
      <w:r w:rsidRPr="00FB583E">
        <w:rPr>
          <w:rFonts w:cs="Times New Roman"/>
          <w:szCs w:val="24"/>
        </w:rPr>
        <w:lastRenderedPageBreak/>
        <w:t>ЭЭГ с функциональными пробами для определения функционального состояния головного мозга и исключения эпиактивности</w:t>
      </w:r>
    </w:p>
    <w:p w14:paraId="0F91D5FE" w14:textId="77777777" w:rsidR="00B03B24" w:rsidRPr="00FB583E" w:rsidRDefault="00B03B24" w:rsidP="00B03B24">
      <w:pPr>
        <w:pStyle w:val="afe"/>
        <w:numPr>
          <w:ilvl w:val="0"/>
          <w:numId w:val="111"/>
        </w:numPr>
        <w:rPr>
          <w:rFonts w:cs="Times New Roman"/>
          <w:szCs w:val="24"/>
        </w:rPr>
      </w:pPr>
      <w:r w:rsidRPr="00FB583E">
        <w:rPr>
          <w:rFonts w:cs="Times New Roman"/>
          <w:szCs w:val="24"/>
        </w:rPr>
        <w:t>ВП различной модальности: ЗВП, КВП, КАСВП, ССВП (по показаниям)</w:t>
      </w:r>
    </w:p>
    <w:p w14:paraId="68CB20B3" w14:textId="77777777" w:rsidR="00B03B24" w:rsidRPr="00FB583E" w:rsidRDefault="00B03B24" w:rsidP="00B03B24">
      <w:pPr>
        <w:pStyle w:val="afe"/>
        <w:numPr>
          <w:ilvl w:val="0"/>
          <w:numId w:val="111"/>
        </w:numPr>
        <w:rPr>
          <w:rFonts w:cs="Times New Roman"/>
          <w:szCs w:val="24"/>
        </w:rPr>
      </w:pPr>
      <w:r w:rsidRPr="00FB583E">
        <w:rPr>
          <w:rFonts w:cs="Times New Roman"/>
          <w:szCs w:val="24"/>
        </w:rPr>
        <w:t>ТКМС (по показаниям)</w:t>
      </w:r>
    </w:p>
    <w:p w14:paraId="53B27268" w14:textId="77777777" w:rsidR="00B03B24" w:rsidRPr="00FB583E" w:rsidRDefault="00B03B24" w:rsidP="00B03B24">
      <w:pPr>
        <w:ind w:firstLine="708"/>
        <w:rPr>
          <w:b/>
        </w:rPr>
      </w:pPr>
      <w:r w:rsidRPr="00FB583E">
        <w:rPr>
          <w:b/>
          <w:color w:val="000000"/>
        </w:rPr>
        <w:t>Консультации с</w:t>
      </w:r>
      <w:r w:rsidRPr="00FB583E">
        <w:rPr>
          <w:b/>
        </w:rPr>
        <w:t>пециалистов:</w:t>
      </w:r>
    </w:p>
    <w:p w14:paraId="7FDBD186" w14:textId="77777777" w:rsidR="00B03B24" w:rsidRPr="00FB583E" w:rsidRDefault="00B03B24" w:rsidP="00B03B24">
      <w:pPr>
        <w:pStyle w:val="afe"/>
        <w:numPr>
          <w:ilvl w:val="0"/>
          <w:numId w:val="111"/>
        </w:numPr>
        <w:rPr>
          <w:rFonts w:cs="Times New Roman"/>
          <w:szCs w:val="24"/>
        </w:rPr>
      </w:pPr>
      <w:r w:rsidRPr="00FB583E">
        <w:rPr>
          <w:rFonts w:cs="Times New Roman"/>
          <w:szCs w:val="24"/>
        </w:rPr>
        <w:t>невролог</w:t>
      </w:r>
    </w:p>
    <w:p w14:paraId="2F020867" w14:textId="77777777" w:rsidR="00B03B24" w:rsidRPr="00FB583E" w:rsidRDefault="00B03B24" w:rsidP="00B03B24">
      <w:pPr>
        <w:pStyle w:val="afe"/>
        <w:numPr>
          <w:ilvl w:val="0"/>
          <w:numId w:val="111"/>
        </w:numPr>
        <w:rPr>
          <w:rFonts w:cs="Times New Roman"/>
          <w:szCs w:val="24"/>
        </w:rPr>
      </w:pPr>
      <w:r w:rsidRPr="00FB583E">
        <w:rPr>
          <w:rFonts w:cs="Times New Roman"/>
          <w:szCs w:val="24"/>
        </w:rPr>
        <w:t>ангиохирург</w:t>
      </w:r>
    </w:p>
    <w:p w14:paraId="7C0921AB" w14:textId="77777777" w:rsidR="00B03B24" w:rsidRPr="00FB583E" w:rsidRDefault="00B03B24" w:rsidP="00B03B24">
      <w:pPr>
        <w:pStyle w:val="afe"/>
        <w:numPr>
          <w:ilvl w:val="0"/>
          <w:numId w:val="111"/>
        </w:numPr>
        <w:rPr>
          <w:rFonts w:cs="Times New Roman"/>
          <w:szCs w:val="24"/>
        </w:rPr>
      </w:pPr>
      <w:r w:rsidRPr="00FB583E">
        <w:rPr>
          <w:rFonts w:cs="Times New Roman"/>
          <w:szCs w:val="24"/>
        </w:rPr>
        <w:t>офтальмолог</w:t>
      </w:r>
    </w:p>
    <w:p w14:paraId="055D9D8D" w14:textId="77777777" w:rsidR="00B03B24" w:rsidRPr="00FB583E" w:rsidRDefault="00B03B24" w:rsidP="00B03B24">
      <w:pPr>
        <w:pStyle w:val="afe"/>
        <w:numPr>
          <w:ilvl w:val="0"/>
          <w:numId w:val="111"/>
        </w:numPr>
        <w:rPr>
          <w:rFonts w:cs="Times New Roman"/>
          <w:szCs w:val="24"/>
        </w:rPr>
      </w:pPr>
      <w:r w:rsidRPr="00FB583E">
        <w:rPr>
          <w:rFonts w:cs="Times New Roman"/>
          <w:szCs w:val="24"/>
        </w:rPr>
        <w:t>кардиолог по показаниям</w:t>
      </w:r>
    </w:p>
    <w:p w14:paraId="7371EA95" w14:textId="77777777" w:rsidR="00B03B24" w:rsidRPr="00FB583E" w:rsidRDefault="00B03B24" w:rsidP="00B03B24">
      <w:pPr>
        <w:pStyle w:val="afe"/>
        <w:numPr>
          <w:ilvl w:val="0"/>
          <w:numId w:val="111"/>
        </w:numPr>
        <w:rPr>
          <w:rFonts w:cs="Times New Roman"/>
          <w:szCs w:val="24"/>
        </w:rPr>
      </w:pPr>
      <w:r w:rsidRPr="00FB583E">
        <w:rPr>
          <w:rFonts w:cs="Times New Roman"/>
          <w:szCs w:val="24"/>
        </w:rPr>
        <w:t>психиатр по показаниям</w:t>
      </w:r>
    </w:p>
    <w:p w14:paraId="74415774" w14:textId="77777777" w:rsidR="00B03B24" w:rsidRPr="00FB583E" w:rsidRDefault="00B03B24" w:rsidP="00B03B24">
      <w:pPr>
        <w:pStyle w:val="afe"/>
        <w:numPr>
          <w:ilvl w:val="0"/>
          <w:numId w:val="111"/>
        </w:numPr>
        <w:rPr>
          <w:rFonts w:cs="Times New Roman"/>
          <w:szCs w:val="24"/>
        </w:rPr>
      </w:pPr>
      <w:r w:rsidRPr="00FB583E">
        <w:rPr>
          <w:rFonts w:cs="Times New Roman"/>
          <w:szCs w:val="24"/>
        </w:rPr>
        <w:t>психолог по показаниям</w:t>
      </w:r>
    </w:p>
    <w:p w14:paraId="09C4EAC4" w14:textId="77777777" w:rsidR="00B03B24" w:rsidRPr="00FB583E" w:rsidRDefault="00B03B24" w:rsidP="00B03B24">
      <w:pPr>
        <w:pStyle w:val="afe"/>
        <w:numPr>
          <w:ilvl w:val="0"/>
          <w:numId w:val="111"/>
        </w:numPr>
        <w:rPr>
          <w:rFonts w:cs="Times New Roman"/>
          <w:szCs w:val="24"/>
        </w:rPr>
      </w:pPr>
      <w:r w:rsidRPr="00FB583E">
        <w:rPr>
          <w:rFonts w:cs="Times New Roman"/>
          <w:szCs w:val="24"/>
        </w:rPr>
        <w:t>кинезиотерапевт</w:t>
      </w:r>
    </w:p>
    <w:p w14:paraId="626F0AC9" w14:textId="77777777" w:rsidR="00B03B24" w:rsidRPr="00FB583E" w:rsidRDefault="00B03B24" w:rsidP="00B03B24">
      <w:pPr>
        <w:ind w:firstLine="708"/>
        <w:rPr>
          <w:b/>
        </w:rPr>
      </w:pPr>
      <w:r w:rsidRPr="00FB583E">
        <w:rPr>
          <w:b/>
        </w:rPr>
        <w:t xml:space="preserve">Основные группы лекарственных препаратов, применяемых в лечении ОНМК </w:t>
      </w:r>
      <w:r w:rsidRPr="00FB583E">
        <w:rPr>
          <w:b/>
          <w:color w:val="000000"/>
        </w:rPr>
        <w:t>по ишемическому типу</w:t>
      </w:r>
      <w:r w:rsidRPr="00FB583E">
        <w:rPr>
          <w:b/>
        </w:rPr>
        <w:t>:</w:t>
      </w:r>
    </w:p>
    <w:p w14:paraId="58FDB9F4"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Противоотечные препараты – маннитол в/в, лазикс в/в, ацетазоламид (диакарб) в таб. </w:t>
      </w:r>
    </w:p>
    <w:p w14:paraId="18D3A5ED" w14:textId="77777777" w:rsidR="00B03B24" w:rsidRPr="00FB583E" w:rsidRDefault="00B03B24" w:rsidP="00B03B24">
      <w:pPr>
        <w:pStyle w:val="afe"/>
        <w:numPr>
          <w:ilvl w:val="0"/>
          <w:numId w:val="111"/>
        </w:numPr>
        <w:rPr>
          <w:rFonts w:cs="Times New Roman"/>
          <w:szCs w:val="24"/>
        </w:rPr>
      </w:pPr>
      <w:r w:rsidRPr="00FB583E">
        <w:rPr>
          <w:rFonts w:cs="Times New Roman"/>
          <w:szCs w:val="24"/>
        </w:rPr>
        <w:t>Противорвотная терапия – ондансетрон в/в</w:t>
      </w:r>
    </w:p>
    <w:p w14:paraId="0A91383D" w14:textId="77777777" w:rsidR="00B03B24" w:rsidRPr="00FB583E" w:rsidRDefault="00B03B24" w:rsidP="00B03B24">
      <w:pPr>
        <w:pStyle w:val="afe"/>
        <w:numPr>
          <w:ilvl w:val="0"/>
          <w:numId w:val="111"/>
        </w:numPr>
        <w:rPr>
          <w:rFonts w:cs="Times New Roman"/>
          <w:szCs w:val="24"/>
        </w:rPr>
      </w:pPr>
      <w:r w:rsidRPr="00FB583E">
        <w:rPr>
          <w:rFonts w:cs="Times New Roman"/>
          <w:szCs w:val="24"/>
        </w:rPr>
        <w:t>Противоэпилептические – леветирацетамв/в, табл; конвулекс в/в, таб; прегабалин капс; габапентин таб, клоназепам таб; фенобарбитал таб, окскарбазепин таб, ламотриджил таб, диазепам в/в, таб.</w:t>
      </w:r>
    </w:p>
    <w:p w14:paraId="0027260D" w14:textId="77777777" w:rsidR="00B03B24" w:rsidRPr="00FB583E" w:rsidRDefault="00B03B24" w:rsidP="00B03B24">
      <w:pPr>
        <w:pStyle w:val="afe"/>
        <w:numPr>
          <w:ilvl w:val="0"/>
          <w:numId w:val="111"/>
        </w:numPr>
        <w:rPr>
          <w:rFonts w:cs="Times New Roman"/>
          <w:szCs w:val="24"/>
        </w:rPr>
      </w:pPr>
      <w:r w:rsidRPr="00FB583E">
        <w:rPr>
          <w:rFonts w:cs="Times New Roman"/>
          <w:szCs w:val="24"/>
        </w:rPr>
        <w:t>Нейропротекторная терапия аминофенилмаслянная кислота – фенибут таб</w:t>
      </w:r>
    </w:p>
    <w:p w14:paraId="78EB6270" w14:textId="77777777" w:rsidR="00B03B24" w:rsidRPr="00FB583E" w:rsidRDefault="00B03B24" w:rsidP="00B03B24">
      <w:pPr>
        <w:pStyle w:val="afe"/>
        <w:numPr>
          <w:ilvl w:val="0"/>
          <w:numId w:val="111"/>
        </w:numPr>
        <w:rPr>
          <w:rFonts w:cs="Times New Roman"/>
          <w:szCs w:val="24"/>
        </w:rPr>
      </w:pPr>
      <w:r w:rsidRPr="00FB583E">
        <w:rPr>
          <w:rFonts w:cs="Times New Roman"/>
          <w:szCs w:val="24"/>
        </w:rPr>
        <w:t>Дофаминэргические препараты: ПК-мерц в/в, таб; наком таб; мирапекс таб; акинетон таб.</w:t>
      </w:r>
    </w:p>
    <w:p w14:paraId="792C58D9" w14:textId="77777777" w:rsidR="00B03B24" w:rsidRPr="00FB583E" w:rsidRDefault="00B03B24" w:rsidP="00B03B24">
      <w:pPr>
        <w:pStyle w:val="afe"/>
        <w:numPr>
          <w:ilvl w:val="0"/>
          <w:numId w:val="111"/>
        </w:numPr>
        <w:rPr>
          <w:rFonts w:cs="Times New Roman"/>
          <w:szCs w:val="24"/>
        </w:rPr>
      </w:pPr>
      <w:r w:rsidRPr="00FB583E">
        <w:rPr>
          <w:rFonts w:cs="Times New Roman"/>
          <w:szCs w:val="24"/>
        </w:rPr>
        <w:t>Витаминотерапия – церневит в/в, витамины группы В таб.</w:t>
      </w:r>
    </w:p>
    <w:p w14:paraId="3559764B"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Антиоксиданты – альфа-липоевая кислота в/в, капс. </w:t>
      </w:r>
    </w:p>
    <w:p w14:paraId="441BDFA8" w14:textId="77777777" w:rsidR="00B03B24" w:rsidRPr="00FB583E" w:rsidRDefault="00B03B24" w:rsidP="00B03B24">
      <w:pPr>
        <w:pStyle w:val="afe"/>
        <w:numPr>
          <w:ilvl w:val="0"/>
          <w:numId w:val="111"/>
        </w:numPr>
        <w:rPr>
          <w:rFonts w:cs="Times New Roman"/>
          <w:szCs w:val="24"/>
        </w:rPr>
      </w:pPr>
      <w:r w:rsidRPr="00FB583E">
        <w:rPr>
          <w:rFonts w:cs="Times New Roman"/>
          <w:szCs w:val="24"/>
        </w:rPr>
        <w:t>Антидепрессанты – по назначению психиатра</w:t>
      </w:r>
    </w:p>
    <w:p w14:paraId="7C6003A6" w14:textId="77777777" w:rsidR="00B03B24" w:rsidRPr="00FB583E" w:rsidRDefault="00B03B24" w:rsidP="00B03B24">
      <w:pPr>
        <w:ind w:firstLine="709"/>
        <w:rPr>
          <w:color w:val="000000"/>
        </w:rPr>
      </w:pPr>
      <w:r w:rsidRPr="00FB583E">
        <w:rPr>
          <w:b/>
          <w:color w:val="000000"/>
        </w:rPr>
        <w:t xml:space="preserve">Общие принципы профилактики ОНМК по ишемическому типу у гематологических больных - </w:t>
      </w:r>
      <w:r w:rsidRPr="00FB583E">
        <w:t>см</w:t>
      </w:r>
      <w:r w:rsidRPr="00FB583E">
        <w:rPr>
          <w:color w:val="000000"/>
        </w:rPr>
        <w:t>. главу «Профилактика, диагностика и лечение тромботических осложнений при гематологических заболеваниях» в настоящем методическом руководстве.</w:t>
      </w:r>
    </w:p>
    <w:p w14:paraId="0A78EC6C" w14:textId="77777777" w:rsidR="00B03B24" w:rsidRPr="00FB583E" w:rsidRDefault="00B03B24" w:rsidP="00B03B24">
      <w:pPr>
        <w:ind w:left="360" w:firstLine="348"/>
      </w:pPr>
    </w:p>
    <w:p w14:paraId="5C129B1D" w14:textId="77777777" w:rsidR="00B03B24" w:rsidRPr="00FB583E" w:rsidRDefault="00B03B24" w:rsidP="00B03B24">
      <w:pPr>
        <w:rPr>
          <w:i/>
          <w:u w:val="single"/>
        </w:rPr>
      </w:pPr>
      <w:r w:rsidRPr="00FB583E">
        <w:rPr>
          <w:i/>
          <w:u w:val="single"/>
        </w:rPr>
        <w:t xml:space="preserve">Острое нарушение мозгового кровообращения по геморрагическому типу при гематологических заболеваниях. </w:t>
      </w:r>
    </w:p>
    <w:p w14:paraId="50D583FF" w14:textId="77777777" w:rsidR="00B03B24" w:rsidRPr="00FB583E" w:rsidRDefault="00B03B24" w:rsidP="00B03B24">
      <w:pPr>
        <w:pStyle w:val="afd"/>
        <w:spacing w:beforeAutospacing="0" w:afterAutospacing="0" w:line="360" w:lineRule="auto"/>
        <w:ind w:firstLine="708"/>
        <w:rPr>
          <w:color w:val="000000"/>
        </w:rPr>
      </w:pPr>
      <w:r w:rsidRPr="00FB583E">
        <w:rPr>
          <w:color w:val="000000"/>
        </w:rPr>
        <w:lastRenderedPageBreak/>
        <w:t xml:space="preserve">ОНМК по геморрагическому типу могут возникнуть у пациентов с любым гематологическим заболеванием, особенно у пациентов с тромбоцитопенией в процессе химиотерапии любых типов лейкозов, лимфом, а также при наличии коагулопатии.   </w:t>
      </w:r>
    </w:p>
    <w:p w14:paraId="2A35AD06" w14:textId="77777777" w:rsidR="00B03B24" w:rsidRPr="00FB583E" w:rsidRDefault="00B03B24" w:rsidP="00B03B24">
      <w:pPr>
        <w:pStyle w:val="afd"/>
        <w:spacing w:beforeAutospacing="0" w:afterAutospacing="0" w:line="360" w:lineRule="auto"/>
        <w:ind w:firstLine="708"/>
        <w:rPr>
          <w:color w:val="000000"/>
        </w:rPr>
      </w:pPr>
      <w:r w:rsidRPr="00FB583E">
        <w:rPr>
          <w:color w:val="000000"/>
        </w:rPr>
        <w:t xml:space="preserve">Клиническая картина при ОНМК по геморрагическому типу проявляется в виде общемозговой с нарушением сознания и/или осознанности, выраженной головной боли, с менингеальной и очаговой симптоматикой, двигательными и чувствительными нарушениями, эпилептическими припадками. </w:t>
      </w:r>
    </w:p>
    <w:p w14:paraId="683B7B6B" w14:textId="77777777" w:rsidR="00B03B24" w:rsidRPr="00FB583E" w:rsidRDefault="00B03B24" w:rsidP="00B03B24">
      <w:pPr>
        <w:ind w:firstLine="708"/>
        <w:rPr>
          <w:color w:val="000000"/>
        </w:rPr>
      </w:pPr>
      <w:r w:rsidRPr="00FB583E">
        <w:t xml:space="preserve">Первичная диагностика включает в себя оценку жалоб, анамнеза; оценку функционального статуса по шкале Карновского, оценку неврологического статуса с характеристикой общемозговой и очаговой симптоматики, интеллектуально-мнестических нарушений.  </w:t>
      </w:r>
    </w:p>
    <w:p w14:paraId="4CFAB992" w14:textId="77777777" w:rsidR="00B03B24" w:rsidRPr="00FB583E" w:rsidRDefault="00B03B24" w:rsidP="00B03B24">
      <w:pPr>
        <w:ind w:firstLine="708"/>
        <w:rPr>
          <w:b/>
        </w:rPr>
      </w:pPr>
      <w:r w:rsidRPr="00FB583E">
        <w:rPr>
          <w:b/>
        </w:rPr>
        <w:t>Инструментальная диагностика:</w:t>
      </w:r>
    </w:p>
    <w:p w14:paraId="49ADFFFD" w14:textId="77777777" w:rsidR="00B03B24" w:rsidRPr="00FB583E" w:rsidRDefault="00B03B24" w:rsidP="00B03B24">
      <w:pPr>
        <w:pStyle w:val="afe"/>
        <w:numPr>
          <w:ilvl w:val="0"/>
          <w:numId w:val="111"/>
        </w:numPr>
        <w:rPr>
          <w:rFonts w:cs="Times New Roman"/>
          <w:szCs w:val="24"/>
        </w:rPr>
      </w:pPr>
      <w:r w:rsidRPr="00FB583E">
        <w:rPr>
          <w:rFonts w:cs="Times New Roman"/>
          <w:szCs w:val="24"/>
        </w:rPr>
        <w:t>КТ или МРТ головного мозга (с в/в  контрастированием по показаниям)</w:t>
      </w:r>
    </w:p>
    <w:p w14:paraId="3342609B"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КТ-ангиография для исключения мальформации и аневризмы </w:t>
      </w:r>
    </w:p>
    <w:p w14:paraId="1480F008" w14:textId="77777777" w:rsidR="00B03B24" w:rsidRPr="00FB583E" w:rsidRDefault="00B03B24" w:rsidP="00B03B24">
      <w:pPr>
        <w:pStyle w:val="afe"/>
        <w:numPr>
          <w:ilvl w:val="0"/>
          <w:numId w:val="111"/>
        </w:numPr>
        <w:rPr>
          <w:rFonts w:cs="Times New Roman"/>
          <w:szCs w:val="24"/>
        </w:rPr>
      </w:pPr>
      <w:r w:rsidRPr="00FB583E">
        <w:rPr>
          <w:rFonts w:cs="Times New Roman"/>
          <w:szCs w:val="24"/>
        </w:rPr>
        <w:t>ЭКГ</w:t>
      </w:r>
    </w:p>
    <w:p w14:paraId="31850E97" w14:textId="77777777" w:rsidR="00B03B24" w:rsidRPr="00FB583E" w:rsidRDefault="00B03B24" w:rsidP="00B03B24">
      <w:pPr>
        <w:pStyle w:val="afe"/>
        <w:numPr>
          <w:ilvl w:val="0"/>
          <w:numId w:val="111"/>
        </w:numPr>
        <w:rPr>
          <w:rFonts w:cs="Times New Roman"/>
          <w:szCs w:val="24"/>
        </w:rPr>
      </w:pPr>
      <w:r w:rsidRPr="00FB583E">
        <w:rPr>
          <w:rFonts w:cs="Times New Roman"/>
          <w:szCs w:val="24"/>
        </w:rPr>
        <w:t>Эхо-КГ</w:t>
      </w:r>
    </w:p>
    <w:p w14:paraId="588D8CB9"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УЗДГ брахиоцефальных артерий и вен </w:t>
      </w:r>
    </w:p>
    <w:p w14:paraId="495C7531" w14:textId="77777777" w:rsidR="00B03B24" w:rsidRPr="00FB583E" w:rsidRDefault="00B03B24" w:rsidP="00B03B24">
      <w:pPr>
        <w:pStyle w:val="afe"/>
        <w:numPr>
          <w:ilvl w:val="0"/>
          <w:numId w:val="111"/>
        </w:numPr>
        <w:rPr>
          <w:rFonts w:cs="Times New Roman"/>
          <w:szCs w:val="24"/>
        </w:rPr>
      </w:pPr>
      <w:r w:rsidRPr="00FB583E">
        <w:rPr>
          <w:rFonts w:cs="Times New Roman"/>
          <w:szCs w:val="24"/>
        </w:rPr>
        <w:t>КТ грудной клетки</w:t>
      </w:r>
    </w:p>
    <w:p w14:paraId="7B08A66C" w14:textId="77777777" w:rsidR="00B03B24" w:rsidRPr="00FB583E" w:rsidRDefault="00B03B24" w:rsidP="00B03B24">
      <w:pPr>
        <w:pStyle w:val="afe"/>
        <w:numPr>
          <w:ilvl w:val="0"/>
          <w:numId w:val="111"/>
        </w:numPr>
        <w:rPr>
          <w:rFonts w:cs="Times New Roman"/>
          <w:szCs w:val="24"/>
        </w:rPr>
      </w:pPr>
      <w:r w:rsidRPr="00FB583E">
        <w:rPr>
          <w:rFonts w:cs="Times New Roman"/>
          <w:szCs w:val="24"/>
        </w:rPr>
        <w:t>ЭЭГ с функциональными пробами для определения функционального состояния головного мозга и исключения эпиактивности</w:t>
      </w:r>
    </w:p>
    <w:p w14:paraId="15E58455" w14:textId="77777777" w:rsidR="00B03B24" w:rsidRPr="00FB583E" w:rsidRDefault="00B03B24" w:rsidP="00B03B24">
      <w:pPr>
        <w:pStyle w:val="afe"/>
        <w:numPr>
          <w:ilvl w:val="0"/>
          <w:numId w:val="111"/>
        </w:numPr>
        <w:rPr>
          <w:rFonts w:cs="Times New Roman"/>
          <w:szCs w:val="24"/>
        </w:rPr>
      </w:pPr>
      <w:r w:rsidRPr="00FB583E">
        <w:rPr>
          <w:rFonts w:cs="Times New Roman"/>
          <w:szCs w:val="24"/>
        </w:rPr>
        <w:t>ВП различной модальности: ЗВП, КВП, КАСВП, ССВП (по показаниям)</w:t>
      </w:r>
    </w:p>
    <w:p w14:paraId="2112778A" w14:textId="77777777" w:rsidR="00B03B24" w:rsidRPr="00FB583E" w:rsidRDefault="00B03B24" w:rsidP="00B03B24">
      <w:pPr>
        <w:pStyle w:val="afe"/>
        <w:numPr>
          <w:ilvl w:val="0"/>
          <w:numId w:val="111"/>
        </w:numPr>
        <w:rPr>
          <w:rFonts w:cs="Times New Roman"/>
          <w:szCs w:val="24"/>
        </w:rPr>
      </w:pPr>
      <w:r w:rsidRPr="00FB583E">
        <w:rPr>
          <w:rFonts w:cs="Times New Roman"/>
          <w:szCs w:val="24"/>
        </w:rPr>
        <w:t>ТКМС (по показаниям)</w:t>
      </w:r>
    </w:p>
    <w:p w14:paraId="5C80A79F" w14:textId="77777777" w:rsidR="00B03B24" w:rsidRPr="00FB583E" w:rsidRDefault="00B03B24" w:rsidP="00B03B24">
      <w:pPr>
        <w:ind w:firstLine="708"/>
        <w:rPr>
          <w:b/>
        </w:rPr>
      </w:pPr>
      <w:r w:rsidRPr="00FB583E">
        <w:rPr>
          <w:b/>
        </w:rPr>
        <w:t>Консультации специалистов:</w:t>
      </w:r>
    </w:p>
    <w:p w14:paraId="4EAB6B55" w14:textId="77777777" w:rsidR="00B03B24" w:rsidRPr="00FB583E" w:rsidRDefault="00B03B24" w:rsidP="00B03B24">
      <w:pPr>
        <w:pStyle w:val="afe"/>
        <w:numPr>
          <w:ilvl w:val="0"/>
          <w:numId w:val="111"/>
        </w:numPr>
        <w:rPr>
          <w:rFonts w:cs="Times New Roman"/>
          <w:szCs w:val="24"/>
        </w:rPr>
      </w:pPr>
      <w:r w:rsidRPr="00FB583E">
        <w:rPr>
          <w:rFonts w:cs="Times New Roman"/>
          <w:szCs w:val="24"/>
        </w:rPr>
        <w:t>нейрохирург</w:t>
      </w:r>
    </w:p>
    <w:p w14:paraId="21417D4A" w14:textId="77777777" w:rsidR="00B03B24" w:rsidRPr="00FB583E" w:rsidRDefault="00B03B24" w:rsidP="00B03B24">
      <w:pPr>
        <w:pStyle w:val="afe"/>
        <w:numPr>
          <w:ilvl w:val="0"/>
          <w:numId w:val="111"/>
        </w:numPr>
        <w:rPr>
          <w:rFonts w:cs="Times New Roman"/>
          <w:szCs w:val="24"/>
        </w:rPr>
      </w:pPr>
      <w:r w:rsidRPr="00FB583E">
        <w:rPr>
          <w:rFonts w:cs="Times New Roman"/>
          <w:szCs w:val="24"/>
        </w:rPr>
        <w:t>невролог</w:t>
      </w:r>
    </w:p>
    <w:p w14:paraId="68703874" w14:textId="77777777" w:rsidR="00B03B24" w:rsidRPr="00FB583E" w:rsidRDefault="00B03B24" w:rsidP="00B03B24">
      <w:pPr>
        <w:pStyle w:val="afe"/>
        <w:numPr>
          <w:ilvl w:val="0"/>
          <w:numId w:val="111"/>
        </w:numPr>
        <w:rPr>
          <w:rFonts w:cs="Times New Roman"/>
          <w:szCs w:val="24"/>
        </w:rPr>
      </w:pPr>
      <w:r w:rsidRPr="00FB583E">
        <w:rPr>
          <w:rFonts w:cs="Times New Roman"/>
          <w:szCs w:val="24"/>
        </w:rPr>
        <w:t>ангиохирург</w:t>
      </w:r>
    </w:p>
    <w:p w14:paraId="3432994D" w14:textId="77777777" w:rsidR="00B03B24" w:rsidRPr="00FB583E" w:rsidRDefault="00B03B24" w:rsidP="00B03B24">
      <w:pPr>
        <w:pStyle w:val="afe"/>
        <w:numPr>
          <w:ilvl w:val="0"/>
          <w:numId w:val="111"/>
        </w:numPr>
        <w:rPr>
          <w:rFonts w:cs="Times New Roman"/>
          <w:szCs w:val="24"/>
        </w:rPr>
      </w:pPr>
      <w:r w:rsidRPr="00FB583E">
        <w:rPr>
          <w:rFonts w:cs="Times New Roman"/>
          <w:szCs w:val="24"/>
        </w:rPr>
        <w:t>офтальмолог</w:t>
      </w:r>
    </w:p>
    <w:p w14:paraId="142FECAD" w14:textId="77777777" w:rsidR="00B03B24" w:rsidRPr="00FB583E" w:rsidRDefault="00B03B24" w:rsidP="00B03B24">
      <w:pPr>
        <w:pStyle w:val="afe"/>
        <w:numPr>
          <w:ilvl w:val="0"/>
          <w:numId w:val="111"/>
        </w:numPr>
        <w:rPr>
          <w:rFonts w:cs="Times New Roman"/>
          <w:szCs w:val="24"/>
        </w:rPr>
      </w:pPr>
      <w:r w:rsidRPr="00FB583E">
        <w:rPr>
          <w:rFonts w:cs="Times New Roman"/>
          <w:szCs w:val="24"/>
        </w:rPr>
        <w:t>кардиолог по показаниям</w:t>
      </w:r>
    </w:p>
    <w:p w14:paraId="0D976A30" w14:textId="77777777" w:rsidR="00B03B24" w:rsidRPr="00FB583E" w:rsidRDefault="00B03B24" w:rsidP="00B03B24">
      <w:pPr>
        <w:pStyle w:val="afe"/>
        <w:numPr>
          <w:ilvl w:val="0"/>
          <w:numId w:val="111"/>
        </w:numPr>
        <w:rPr>
          <w:rFonts w:cs="Times New Roman"/>
          <w:szCs w:val="24"/>
        </w:rPr>
      </w:pPr>
      <w:r w:rsidRPr="00FB583E">
        <w:rPr>
          <w:rFonts w:cs="Times New Roman"/>
          <w:szCs w:val="24"/>
        </w:rPr>
        <w:t>психиатр по показаниям</w:t>
      </w:r>
    </w:p>
    <w:p w14:paraId="04D175E7"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 психолог по показаниям</w:t>
      </w:r>
    </w:p>
    <w:p w14:paraId="72A4D6D0" w14:textId="77777777" w:rsidR="00B03B24" w:rsidRPr="00FB583E" w:rsidRDefault="00B03B24" w:rsidP="00B03B24">
      <w:pPr>
        <w:pStyle w:val="afe"/>
        <w:numPr>
          <w:ilvl w:val="0"/>
          <w:numId w:val="111"/>
        </w:numPr>
        <w:rPr>
          <w:rFonts w:cs="Times New Roman"/>
          <w:szCs w:val="24"/>
        </w:rPr>
      </w:pPr>
      <w:r w:rsidRPr="00FB583E">
        <w:rPr>
          <w:rFonts w:cs="Times New Roman"/>
          <w:szCs w:val="24"/>
        </w:rPr>
        <w:t>кинезиотерапевт по показаниям</w:t>
      </w:r>
    </w:p>
    <w:p w14:paraId="38D1D6BC" w14:textId="77777777" w:rsidR="00B03B24" w:rsidRPr="00FB583E" w:rsidRDefault="00B03B24" w:rsidP="00B03B24">
      <w:pPr>
        <w:ind w:firstLine="708"/>
        <w:rPr>
          <w:b/>
        </w:rPr>
      </w:pPr>
      <w:r w:rsidRPr="00FB583E">
        <w:rPr>
          <w:b/>
        </w:rPr>
        <w:t xml:space="preserve">Лечение ОНМК по геморрагическому типу </w:t>
      </w:r>
    </w:p>
    <w:p w14:paraId="6527B6CC" w14:textId="7FE25DC0" w:rsidR="00B03B24" w:rsidRPr="00FB583E" w:rsidRDefault="00B03B24" w:rsidP="00B03B24">
      <w:pPr>
        <w:pStyle w:val="afe"/>
        <w:numPr>
          <w:ilvl w:val="0"/>
          <w:numId w:val="111"/>
        </w:numPr>
        <w:rPr>
          <w:rFonts w:cs="Times New Roman"/>
          <w:szCs w:val="24"/>
        </w:rPr>
      </w:pPr>
      <w:r w:rsidRPr="00FB583E">
        <w:rPr>
          <w:rFonts w:cs="Times New Roman"/>
          <w:szCs w:val="24"/>
        </w:rPr>
        <w:t>Оперативное лечение по показаниям</w:t>
      </w:r>
    </w:p>
    <w:p w14:paraId="3F9C9B68" w14:textId="77777777" w:rsidR="00B03B24" w:rsidRPr="00FB583E" w:rsidRDefault="00B03B24" w:rsidP="00B03B24">
      <w:pPr>
        <w:pStyle w:val="afe"/>
        <w:numPr>
          <w:ilvl w:val="0"/>
          <w:numId w:val="111"/>
        </w:numPr>
        <w:rPr>
          <w:rFonts w:cs="Times New Roman"/>
          <w:szCs w:val="24"/>
        </w:rPr>
      </w:pPr>
      <w:r w:rsidRPr="00FB583E">
        <w:rPr>
          <w:rFonts w:cs="Times New Roman"/>
          <w:szCs w:val="24"/>
        </w:rPr>
        <w:t>Наблюдение в условиях реанимационного отделения по показаниям</w:t>
      </w:r>
    </w:p>
    <w:p w14:paraId="7602C2D0" w14:textId="77777777" w:rsidR="00B03B24" w:rsidRPr="00FB583E" w:rsidRDefault="00B03B24" w:rsidP="00B03B24">
      <w:pPr>
        <w:pStyle w:val="afe"/>
        <w:numPr>
          <w:ilvl w:val="0"/>
          <w:numId w:val="111"/>
        </w:numPr>
        <w:rPr>
          <w:rFonts w:cs="Times New Roman"/>
          <w:szCs w:val="24"/>
        </w:rPr>
      </w:pPr>
      <w:r w:rsidRPr="00FB583E">
        <w:rPr>
          <w:rFonts w:cs="Times New Roman"/>
          <w:szCs w:val="24"/>
        </w:rPr>
        <w:lastRenderedPageBreak/>
        <w:t xml:space="preserve">Противоотечная терапия – маннитол в/в, фуросемид в/в </w:t>
      </w:r>
    </w:p>
    <w:p w14:paraId="62F8A431" w14:textId="77777777" w:rsidR="00B03B24" w:rsidRPr="00FB583E" w:rsidRDefault="00B03B24" w:rsidP="00B03B24">
      <w:pPr>
        <w:pStyle w:val="afe"/>
        <w:numPr>
          <w:ilvl w:val="0"/>
          <w:numId w:val="111"/>
        </w:numPr>
        <w:rPr>
          <w:rFonts w:cs="Times New Roman"/>
          <w:szCs w:val="24"/>
        </w:rPr>
      </w:pPr>
      <w:r w:rsidRPr="00FB583E">
        <w:rPr>
          <w:rFonts w:cs="Times New Roman"/>
          <w:szCs w:val="24"/>
        </w:rPr>
        <w:t>Гемотрансфузионная терапия по показаниям - трансфузии тромбоконцентрата, свежезамороженной плазмы, криопреципитата, эритроцитсодержащих компонентов крови.</w:t>
      </w:r>
    </w:p>
    <w:p w14:paraId="77BFC4BD" w14:textId="77777777" w:rsidR="00B03B24" w:rsidRPr="00FB583E" w:rsidRDefault="00B03B24" w:rsidP="00B03B24">
      <w:pPr>
        <w:pStyle w:val="afe"/>
        <w:numPr>
          <w:ilvl w:val="0"/>
          <w:numId w:val="111"/>
        </w:numPr>
        <w:rPr>
          <w:rFonts w:cs="Times New Roman"/>
          <w:szCs w:val="24"/>
        </w:rPr>
      </w:pPr>
      <w:r w:rsidRPr="00FB583E">
        <w:rPr>
          <w:rFonts w:cs="Times New Roman"/>
          <w:szCs w:val="24"/>
        </w:rPr>
        <w:t>Противоэпилептические по показаниям – леветирацетамв/в, табл; конвулекс в/в, таб; прегабалин капс; габапентин таб, клоназепам таб; фенобарбитал таб, окскарбазепин таб, ламотриджил таб, диазепам в/в, таб.</w:t>
      </w:r>
    </w:p>
    <w:p w14:paraId="12EB77CE" w14:textId="77777777" w:rsidR="00B03B24" w:rsidRPr="00FB583E" w:rsidRDefault="00B03B24" w:rsidP="00B03B24">
      <w:pPr>
        <w:pStyle w:val="afe"/>
        <w:numPr>
          <w:ilvl w:val="0"/>
          <w:numId w:val="111"/>
        </w:numPr>
        <w:rPr>
          <w:rFonts w:cs="Times New Roman"/>
          <w:szCs w:val="24"/>
        </w:rPr>
      </w:pPr>
      <w:r w:rsidRPr="00FB583E">
        <w:rPr>
          <w:rFonts w:cs="Times New Roman"/>
          <w:szCs w:val="24"/>
        </w:rPr>
        <w:t>Антидепрессанты – по назначению психиатра по показаниям</w:t>
      </w:r>
    </w:p>
    <w:p w14:paraId="6E5FD819" w14:textId="77777777" w:rsidR="00B03B24" w:rsidRPr="00FB583E" w:rsidRDefault="00B03B24" w:rsidP="00B03B24">
      <w:pPr>
        <w:pStyle w:val="afe"/>
        <w:rPr>
          <w:rFonts w:cs="Times New Roman"/>
          <w:b/>
          <w:szCs w:val="24"/>
        </w:rPr>
      </w:pPr>
    </w:p>
    <w:p w14:paraId="6DF2351C" w14:textId="77777777" w:rsidR="00B03B24" w:rsidRPr="00FB583E" w:rsidRDefault="00B03B24" w:rsidP="00B03B24">
      <w:pPr>
        <w:rPr>
          <w:i/>
          <w:u w:val="single"/>
        </w:rPr>
      </w:pPr>
      <w:r w:rsidRPr="00FB583E">
        <w:rPr>
          <w:i/>
          <w:u w:val="single"/>
        </w:rPr>
        <w:t>Полиневропатии при гематологических заболеваниях.</w:t>
      </w:r>
    </w:p>
    <w:p w14:paraId="7FEC6117" w14:textId="77777777" w:rsidR="00B03B24" w:rsidRPr="00FB583E" w:rsidRDefault="00B03B24" w:rsidP="00B03B24">
      <w:pPr>
        <w:pStyle w:val="Default"/>
        <w:spacing w:line="360" w:lineRule="auto"/>
        <w:ind w:firstLine="709"/>
        <w:jc w:val="both"/>
      </w:pPr>
      <w:r w:rsidRPr="00FB583E">
        <w:t xml:space="preserve">Полиневропатии выявляются в 50-70% случаев у гематологических пациентов и характеризуются системным поражением моторных, сенсорных и вегетативных периферических нервов. По патогенетическому признаку полиневропатии разделяют на демиелинизирующие, аксональные и сочетанные. У гематологических пациентов по этиологическому фактору преобладают аутоиммунные, метаболические, инфекционные, токсические и сочетанные: </w:t>
      </w:r>
    </w:p>
    <w:p w14:paraId="2A559B2E" w14:textId="77777777" w:rsidR="00B03B24" w:rsidRPr="00FB583E" w:rsidRDefault="00B03B24" w:rsidP="00B03B24">
      <w:pPr>
        <w:pStyle w:val="afe"/>
        <w:numPr>
          <w:ilvl w:val="0"/>
          <w:numId w:val="111"/>
        </w:numPr>
        <w:rPr>
          <w:rFonts w:cs="Times New Roman"/>
          <w:szCs w:val="24"/>
        </w:rPr>
      </w:pPr>
      <w:r w:rsidRPr="00FB583E">
        <w:rPr>
          <w:rFonts w:cs="Times New Roman"/>
          <w:szCs w:val="24"/>
        </w:rPr>
        <w:t>парапротеинемические полиневропатии</w:t>
      </w:r>
    </w:p>
    <w:p w14:paraId="312EF5E0"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полиневропатии при нейролейкемии </w:t>
      </w:r>
    </w:p>
    <w:p w14:paraId="719B54C2" w14:textId="77777777" w:rsidR="00B03B24" w:rsidRPr="00FB583E" w:rsidRDefault="00B03B24" w:rsidP="00B03B24">
      <w:pPr>
        <w:pStyle w:val="afe"/>
        <w:numPr>
          <w:ilvl w:val="0"/>
          <w:numId w:val="111"/>
        </w:numPr>
        <w:rPr>
          <w:rFonts w:cs="Times New Roman"/>
          <w:szCs w:val="24"/>
        </w:rPr>
      </w:pPr>
      <w:r w:rsidRPr="00FB583E">
        <w:rPr>
          <w:rFonts w:cs="Times New Roman"/>
          <w:szCs w:val="24"/>
        </w:rPr>
        <w:t>паранеопластические полиневропатии</w:t>
      </w:r>
    </w:p>
    <w:p w14:paraId="6F0F9421"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 метаболические полиневропатии</w:t>
      </w:r>
    </w:p>
    <w:p w14:paraId="43B2A75B"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диабетическая полиневропатия на фоне гормональной терапии </w:t>
      </w:r>
    </w:p>
    <w:p w14:paraId="37CB2128" w14:textId="77777777" w:rsidR="00B03B24" w:rsidRPr="00FB583E" w:rsidRDefault="00B03B24" w:rsidP="00B03B24">
      <w:pPr>
        <w:pStyle w:val="afe"/>
        <w:numPr>
          <w:ilvl w:val="0"/>
          <w:numId w:val="111"/>
        </w:numPr>
        <w:rPr>
          <w:rFonts w:cs="Times New Roman"/>
          <w:szCs w:val="24"/>
        </w:rPr>
      </w:pPr>
      <w:r w:rsidRPr="00FB583E">
        <w:rPr>
          <w:rFonts w:cs="Times New Roman"/>
          <w:szCs w:val="24"/>
        </w:rPr>
        <w:t>полиневропатия при других эндокринных заболеваниях</w:t>
      </w:r>
    </w:p>
    <w:p w14:paraId="06C3BFDF" w14:textId="77777777" w:rsidR="00B03B24" w:rsidRPr="00FB583E" w:rsidRDefault="00B03B24" w:rsidP="00B03B24">
      <w:pPr>
        <w:pStyle w:val="afe"/>
        <w:numPr>
          <w:ilvl w:val="0"/>
          <w:numId w:val="111"/>
        </w:numPr>
        <w:rPr>
          <w:rFonts w:cs="Times New Roman"/>
          <w:szCs w:val="24"/>
        </w:rPr>
      </w:pPr>
      <w:r w:rsidRPr="00FB583E">
        <w:rPr>
          <w:rFonts w:cs="Times New Roman"/>
          <w:szCs w:val="24"/>
        </w:rPr>
        <w:t>уремическая полиневропатия</w:t>
      </w:r>
    </w:p>
    <w:p w14:paraId="1EA4744D" w14:textId="77777777" w:rsidR="00B03B24" w:rsidRPr="00FB583E" w:rsidRDefault="00B03B24" w:rsidP="00B03B24">
      <w:pPr>
        <w:pStyle w:val="afe"/>
        <w:numPr>
          <w:ilvl w:val="0"/>
          <w:numId w:val="111"/>
        </w:numPr>
        <w:rPr>
          <w:rFonts w:cs="Times New Roman"/>
          <w:szCs w:val="24"/>
        </w:rPr>
      </w:pPr>
      <w:r w:rsidRPr="00FB583E">
        <w:rPr>
          <w:rFonts w:cs="Times New Roman"/>
          <w:szCs w:val="24"/>
        </w:rPr>
        <w:t>печеночная полиневропатия</w:t>
      </w:r>
    </w:p>
    <w:p w14:paraId="260E80D8" w14:textId="77777777" w:rsidR="00B03B24" w:rsidRPr="00FB583E" w:rsidRDefault="00B03B24" w:rsidP="00B03B24">
      <w:pPr>
        <w:pStyle w:val="afe"/>
        <w:numPr>
          <w:ilvl w:val="0"/>
          <w:numId w:val="111"/>
        </w:numPr>
        <w:rPr>
          <w:rFonts w:cs="Times New Roman"/>
          <w:szCs w:val="24"/>
        </w:rPr>
      </w:pPr>
      <w:r w:rsidRPr="00FB583E">
        <w:rPr>
          <w:rFonts w:cs="Times New Roman"/>
          <w:szCs w:val="24"/>
        </w:rPr>
        <w:t>полиневропатия при первичном системном амилоидозе</w:t>
      </w:r>
    </w:p>
    <w:p w14:paraId="1571B444" w14:textId="77777777" w:rsidR="00B03B24" w:rsidRPr="00FB583E" w:rsidRDefault="00B03B24" w:rsidP="00B03B24">
      <w:pPr>
        <w:pStyle w:val="afe"/>
        <w:numPr>
          <w:ilvl w:val="0"/>
          <w:numId w:val="111"/>
        </w:numPr>
        <w:rPr>
          <w:rFonts w:cs="Times New Roman"/>
          <w:szCs w:val="24"/>
        </w:rPr>
      </w:pPr>
      <w:r w:rsidRPr="00FB583E">
        <w:rPr>
          <w:rFonts w:cs="Times New Roman"/>
          <w:szCs w:val="24"/>
        </w:rPr>
        <w:t>полиневропатии, связанные с дефицитом витаминов группы В</w:t>
      </w:r>
    </w:p>
    <w:p w14:paraId="461D475B" w14:textId="77777777" w:rsidR="00B03B24" w:rsidRPr="00FB583E" w:rsidRDefault="00B03B24" w:rsidP="00B03B24">
      <w:pPr>
        <w:pStyle w:val="afe"/>
        <w:numPr>
          <w:ilvl w:val="0"/>
          <w:numId w:val="111"/>
        </w:numPr>
        <w:rPr>
          <w:rFonts w:cs="Times New Roman"/>
          <w:szCs w:val="24"/>
        </w:rPr>
      </w:pPr>
      <w:r w:rsidRPr="00FB583E">
        <w:rPr>
          <w:rFonts w:cs="Times New Roman"/>
          <w:szCs w:val="24"/>
        </w:rPr>
        <w:t>токсические полиневропатии</w:t>
      </w:r>
    </w:p>
    <w:p w14:paraId="6C473FCE" w14:textId="77777777" w:rsidR="00B03B24" w:rsidRPr="00FB583E" w:rsidRDefault="00B03B24" w:rsidP="00B03B24">
      <w:pPr>
        <w:pStyle w:val="afe"/>
        <w:numPr>
          <w:ilvl w:val="0"/>
          <w:numId w:val="111"/>
        </w:numPr>
        <w:rPr>
          <w:rFonts w:cs="Times New Roman"/>
          <w:szCs w:val="24"/>
        </w:rPr>
      </w:pPr>
      <w:r w:rsidRPr="00FB583E">
        <w:rPr>
          <w:rFonts w:cs="Times New Roman"/>
          <w:szCs w:val="24"/>
        </w:rPr>
        <w:t>лекарственные полиневропатии</w:t>
      </w:r>
    </w:p>
    <w:p w14:paraId="0467A233"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полиневропатии критических состояний </w:t>
      </w:r>
    </w:p>
    <w:p w14:paraId="16C6226C"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полиневропатии при системных заболеваниях </w:t>
      </w:r>
    </w:p>
    <w:p w14:paraId="4A233CEF" w14:textId="77777777" w:rsidR="00B03B24" w:rsidRPr="00FB583E" w:rsidRDefault="00B03B24" w:rsidP="00B03B24">
      <w:pPr>
        <w:pStyle w:val="afe"/>
        <w:numPr>
          <w:ilvl w:val="0"/>
          <w:numId w:val="111"/>
        </w:numPr>
        <w:rPr>
          <w:rFonts w:cs="Times New Roman"/>
          <w:szCs w:val="24"/>
        </w:rPr>
      </w:pPr>
      <w:r w:rsidRPr="00FB583E">
        <w:rPr>
          <w:rFonts w:cs="Times New Roman"/>
          <w:szCs w:val="24"/>
        </w:rPr>
        <w:t>инфекционно-токсические полиневропатии</w:t>
      </w:r>
    </w:p>
    <w:p w14:paraId="44E58367" w14:textId="77777777" w:rsidR="00B03B24" w:rsidRPr="00FB583E" w:rsidRDefault="00B03B24" w:rsidP="00B03B24">
      <w:pPr>
        <w:ind w:firstLine="708"/>
      </w:pPr>
      <w:r w:rsidRPr="00FB583E">
        <w:rPr>
          <w:b/>
        </w:rPr>
        <w:t>Клиническая картина полиневропатии</w:t>
      </w:r>
      <w:r w:rsidRPr="00FB583E">
        <w:t xml:space="preserve"> зависит от этиологического фактора, патогенеза и степени поражения различных волокон. В неврологическом статусе могут выявляться моторные, сенсорные и вегетативные симптомы и их сочетания. </w:t>
      </w:r>
      <w:r w:rsidRPr="00FB583E">
        <w:rPr>
          <w:color w:val="000000"/>
        </w:rPr>
        <w:t xml:space="preserve">Поражение </w:t>
      </w:r>
      <w:r w:rsidRPr="00FB583E">
        <w:rPr>
          <w:color w:val="000000"/>
        </w:rPr>
        <w:lastRenderedPageBreak/>
        <w:t>моторных волокон приводит к развитию вялых парезов с последующим развитием мышечной атрофии.</w:t>
      </w:r>
      <w:r w:rsidRPr="00FB583E">
        <w:t xml:space="preserve"> Сенсорные поражения характеризуются нарушением всех видов чувствительности и болевой симптоматикой. Нарушение вегетативных функций проявляется сухостью кожных покровов или гипергидрозом, нарушением регуляции сосудистого тонуса; поражением висцеральных вегетативных волокон. Отмечается также поражение черепных нервов. </w:t>
      </w:r>
    </w:p>
    <w:p w14:paraId="33EED372" w14:textId="77777777" w:rsidR="00B03B24" w:rsidRPr="00FB583E" w:rsidRDefault="00B03B24" w:rsidP="00B03B24">
      <w:pPr>
        <w:ind w:firstLine="708"/>
      </w:pPr>
      <w:r w:rsidRPr="00FB583E">
        <w:rPr>
          <w:b/>
        </w:rPr>
        <w:t>Первичная диагностика</w:t>
      </w:r>
      <w:r w:rsidRPr="00FB583E">
        <w:t xml:space="preserve"> включает в себя оценку жалоб, анамнеза, оценку функционального статуса по шкале Карновского, оценку неврологического статуса с характеристикой общемозговой и очаговой симптоматики, оценку степени тяжести моторных, сенсорных и вегетативных нарушений. </w:t>
      </w:r>
    </w:p>
    <w:p w14:paraId="6C328BC3" w14:textId="77777777" w:rsidR="00B03B24" w:rsidRPr="00FB583E" w:rsidRDefault="00B03B24" w:rsidP="00B03B24">
      <w:pPr>
        <w:pStyle w:val="afe"/>
        <w:ind w:left="0"/>
        <w:rPr>
          <w:rFonts w:cs="Times New Roman"/>
          <w:szCs w:val="24"/>
        </w:rPr>
      </w:pPr>
      <w:r w:rsidRPr="00FB583E">
        <w:rPr>
          <w:rFonts w:cs="Times New Roman"/>
          <w:b/>
          <w:szCs w:val="24"/>
        </w:rPr>
        <w:t>Лабораторные исследования:</w:t>
      </w:r>
      <w:r w:rsidRPr="00FB583E">
        <w:rPr>
          <w:rFonts w:cs="Times New Roman"/>
          <w:szCs w:val="24"/>
        </w:rPr>
        <w:t xml:space="preserve"> </w:t>
      </w:r>
    </w:p>
    <w:p w14:paraId="6A289F63" w14:textId="77777777" w:rsidR="00B03B24" w:rsidRPr="00FB583E" w:rsidRDefault="00B03B24" w:rsidP="00B03B24">
      <w:pPr>
        <w:pStyle w:val="afe"/>
        <w:numPr>
          <w:ilvl w:val="0"/>
          <w:numId w:val="111"/>
        </w:numPr>
        <w:rPr>
          <w:rFonts w:cs="Times New Roman"/>
          <w:szCs w:val="24"/>
        </w:rPr>
      </w:pPr>
      <w:r w:rsidRPr="00FB583E">
        <w:rPr>
          <w:rFonts w:cs="Times New Roman"/>
          <w:szCs w:val="24"/>
        </w:rPr>
        <w:t>Клинический анализ крови, морфологическое исследование мазка крови</w:t>
      </w:r>
    </w:p>
    <w:p w14:paraId="33779A5E" w14:textId="77777777" w:rsidR="00B03B24" w:rsidRPr="00FB583E" w:rsidRDefault="00B03B24" w:rsidP="00B03B24">
      <w:pPr>
        <w:pStyle w:val="afe"/>
        <w:numPr>
          <w:ilvl w:val="0"/>
          <w:numId w:val="111"/>
        </w:numPr>
        <w:rPr>
          <w:rFonts w:cs="Times New Roman"/>
          <w:szCs w:val="24"/>
        </w:rPr>
      </w:pPr>
      <w:r w:rsidRPr="00FB583E">
        <w:rPr>
          <w:rFonts w:cs="Times New Roman"/>
          <w:szCs w:val="24"/>
        </w:rPr>
        <w:t>Общий анализ мочи</w:t>
      </w:r>
    </w:p>
    <w:p w14:paraId="0E69D63A" w14:textId="77777777" w:rsidR="00B03B24" w:rsidRPr="00FB583E" w:rsidRDefault="00B03B24" w:rsidP="00B03B24">
      <w:pPr>
        <w:pStyle w:val="afe"/>
        <w:numPr>
          <w:ilvl w:val="0"/>
          <w:numId w:val="111"/>
        </w:numPr>
        <w:rPr>
          <w:rFonts w:cs="Times New Roman"/>
          <w:szCs w:val="24"/>
        </w:rPr>
      </w:pPr>
      <w:r w:rsidRPr="00FB583E">
        <w:rPr>
          <w:rFonts w:cs="Times New Roman"/>
          <w:szCs w:val="24"/>
        </w:rPr>
        <w:t>Биохимический анализ крови – общий белок, фракции белка, креатинин, мочевина, мочевая кислота, билирубин, фракции билирубина, глюкоза, электролиты, АЛТ, АСТ, ЛДГ, ЩФ, амилаза, В12</w:t>
      </w:r>
    </w:p>
    <w:p w14:paraId="0D4C2CE4" w14:textId="77777777" w:rsidR="00B03B24" w:rsidRPr="00FB583E" w:rsidRDefault="00B03B24" w:rsidP="00B03B24">
      <w:pPr>
        <w:pStyle w:val="afe"/>
        <w:numPr>
          <w:ilvl w:val="0"/>
          <w:numId w:val="111"/>
        </w:numPr>
        <w:rPr>
          <w:rFonts w:cs="Times New Roman"/>
          <w:szCs w:val="24"/>
        </w:rPr>
      </w:pPr>
      <w:r w:rsidRPr="00FB583E">
        <w:rPr>
          <w:rFonts w:cs="Times New Roman"/>
          <w:szCs w:val="24"/>
        </w:rPr>
        <w:t>Оценка кислотно-щелочного равновесия (по показаниям)</w:t>
      </w:r>
    </w:p>
    <w:p w14:paraId="3E62D4AF" w14:textId="77777777" w:rsidR="00B03B24" w:rsidRPr="00FB583E" w:rsidRDefault="00B03B24" w:rsidP="00B03B24">
      <w:pPr>
        <w:pStyle w:val="afe"/>
        <w:numPr>
          <w:ilvl w:val="0"/>
          <w:numId w:val="111"/>
        </w:numPr>
        <w:rPr>
          <w:rFonts w:cs="Times New Roman"/>
          <w:szCs w:val="24"/>
        </w:rPr>
      </w:pPr>
      <w:r w:rsidRPr="00FB583E">
        <w:rPr>
          <w:rFonts w:cs="Times New Roman"/>
          <w:szCs w:val="24"/>
        </w:rPr>
        <w:t>Определение группы крови и резус - фактора</w:t>
      </w:r>
    </w:p>
    <w:p w14:paraId="70861DB4" w14:textId="77777777" w:rsidR="00B03B24" w:rsidRPr="00FB583E" w:rsidRDefault="00B03B24" w:rsidP="00B03B24">
      <w:pPr>
        <w:pStyle w:val="afe"/>
        <w:numPr>
          <w:ilvl w:val="0"/>
          <w:numId w:val="111"/>
        </w:numPr>
        <w:rPr>
          <w:rFonts w:cs="Times New Roman"/>
          <w:szCs w:val="24"/>
        </w:rPr>
      </w:pPr>
      <w:r w:rsidRPr="00FB583E">
        <w:rPr>
          <w:rFonts w:cs="Times New Roman"/>
          <w:szCs w:val="24"/>
        </w:rPr>
        <w:t>Исследование крови на вирусы гепатитов B и C, ВИЧ, сифилис</w:t>
      </w:r>
    </w:p>
    <w:p w14:paraId="642E8450"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Иммунохимическое исследование сыворотки крови и мочи (выявление белка Бен-Джонса) </w:t>
      </w:r>
    </w:p>
    <w:p w14:paraId="6796F010" w14:textId="77777777" w:rsidR="00B03B24" w:rsidRPr="00FB583E" w:rsidRDefault="00B03B24" w:rsidP="00B03B24">
      <w:pPr>
        <w:pStyle w:val="afe"/>
        <w:numPr>
          <w:ilvl w:val="0"/>
          <w:numId w:val="111"/>
        </w:numPr>
        <w:rPr>
          <w:rFonts w:cs="Times New Roman"/>
          <w:szCs w:val="24"/>
        </w:rPr>
      </w:pPr>
      <w:r w:rsidRPr="00FB583E">
        <w:rPr>
          <w:rFonts w:cs="Times New Roman"/>
          <w:szCs w:val="24"/>
        </w:rPr>
        <w:t>Исследование ликвора (белок, цитоз, цитология и т.д.)</w:t>
      </w:r>
    </w:p>
    <w:p w14:paraId="24849172" w14:textId="77777777" w:rsidR="00B03B24" w:rsidRPr="00FB583E" w:rsidRDefault="00B03B24" w:rsidP="00B03B24">
      <w:pPr>
        <w:pStyle w:val="afe"/>
        <w:numPr>
          <w:ilvl w:val="0"/>
          <w:numId w:val="111"/>
        </w:numPr>
        <w:rPr>
          <w:rFonts w:cs="Times New Roman"/>
          <w:szCs w:val="24"/>
        </w:rPr>
      </w:pPr>
      <w:r w:rsidRPr="00FB583E">
        <w:rPr>
          <w:rFonts w:cs="Times New Roman"/>
          <w:szCs w:val="24"/>
        </w:rPr>
        <w:t>Исследование крови и ликвора для исключения вирусного поражения (в том числе с применением полимеразной цепной реакции)</w:t>
      </w:r>
    </w:p>
    <w:p w14:paraId="0CCC9104" w14:textId="77777777" w:rsidR="00B03B24" w:rsidRPr="00FB583E" w:rsidRDefault="00B03B24" w:rsidP="00B03B24">
      <w:pPr>
        <w:pStyle w:val="afe"/>
        <w:numPr>
          <w:ilvl w:val="0"/>
          <w:numId w:val="111"/>
        </w:numPr>
        <w:rPr>
          <w:rFonts w:cs="Times New Roman"/>
          <w:szCs w:val="24"/>
        </w:rPr>
      </w:pPr>
      <w:r w:rsidRPr="00FB583E">
        <w:rPr>
          <w:rFonts w:cs="Times New Roman"/>
          <w:szCs w:val="24"/>
        </w:rPr>
        <w:t>Иммунохимическое исследование ликвора (концентрация белка и обнаружение моноклонального IgM) по показаниям</w:t>
      </w:r>
    </w:p>
    <w:p w14:paraId="1EE40EB0" w14:textId="77777777" w:rsidR="00B03B24" w:rsidRPr="00FB583E" w:rsidRDefault="00B03B24" w:rsidP="00B03B24">
      <w:pPr>
        <w:pStyle w:val="afe"/>
        <w:numPr>
          <w:ilvl w:val="0"/>
          <w:numId w:val="111"/>
        </w:numPr>
        <w:rPr>
          <w:rFonts w:cs="Times New Roman"/>
          <w:szCs w:val="24"/>
        </w:rPr>
      </w:pPr>
      <w:r w:rsidRPr="00FB583E">
        <w:rPr>
          <w:rFonts w:cs="Times New Roman"/>
          <w:szCs w:val="24"/>
        </w:rPr>
        <w:t>Исследование ликвора на антитела к ганглиозидам GV1, GV2 по показаниям</w:t>
      </w:r>
    </w:p>
    <w:p w14:paraId="2E142D50" w14:textId="77777777" w:rsidR="00B03B24" w:rsidRPr="00FB583E" w:rsidRDefault="00B03B24" w:rsidP="00B03B24">
      <w:pPr>
        <w:pStyle w:val="afe"/>
        <w:numPr>
          <w:ilvl w:val="0"/>
          <w:numId w:val="111"/>
        </w:numPr>
        <w:rPr>
          <w:rFonts w:cs="Times New Roman"/>
          <w:szCs w:val="24"/>
        </w:rPr>
      </w:pPr>
      <w:r w:rsidRPr="00FB583E">
        <w:rPr>
          <w:rFonts w:cs="Times New Roman"/>
          <w:szCs w:val="24"/>
        </w:rPr>
        <w:t>Цитологическое и гистологическое исследования костного мозга (миелограмма и трепанобиопсия)</w:t>
      </w:r>
    </w:p>
    <w:p w14:paraId="571B1274" w14:textId="77777777" w:rsidR="00B03B24" w:rsidRPr="00FB583E" w:rsidRDefault="00B03B24" w:rsidP="00B03B24">
      <w:pPr>
        <w:pStyle w:val="afe"/>
        <w:numPr>
          <w:ilvl w:val="0"/>
          <w:numId w:val="111"/>
        </w:numPr>
        <w:rPr>
          <w:rFonts w:cs="Times New Roman"/>
          <w:szCs w:val="24"/>
        </w:rPr>
      </w:pPr>
      <w:r w:rsidRPr="00FB583E">
        <w:rPr>
          <w:rFonts w:cs="Times New Roman"/>
          <w:szCs w:val="24"/>
        </w:rPr>
        <w:t>Анализ крови на исследование антител к GM1-ганглиозидам (по показаниям)</w:t>
      </w:r>
    </w:p>
    <w:p w14:paraId="449FD56A" w14:textId="77777777" w:rsidR="00B03B24" w:rsidRPr="00FB583E" w:rsidRDefault="00B03B24" w:rsidP="00B03B24">
      <w:pPr>
        <w:pStyle w:val="afe"/>
        <w:numPr>
          <w:ilvl w:val="0"/>
          <w:numId w:val="111"/>
        </w:numPr>
        <w:rPr>
          <w:rFonts w:cs="Times New Roman"/>
          <w:szCs w:val="24"/>
        </w:rPr>
      </w:pPr>
      <w:r w:rsidRPr="00FB583E">
        <w:rPr>
          <w:rFonts w:cs="Times New Roman"/>
          <w:szCs w:val="24"/>
        </w:rPr>
        <w:t>Анализ крови на антитела к ассоциированному с миелином гликопротеину (анти-MAG антитела) по показаниям</w:t>
      </w:r>
    </w:p>
    <w:p w14:paraId="42CB2537" w14:textId="77777777" w:rsidR="00B03B24" w:rsidRPr="00FB583E" w:rsidRDefault="00B03B24" w:rsidP="00B03B24">
      <w:pPr>
        <w:pStyle w:val="afe"/>
        <w:numPr>
          <w:ilvl w:val="0"/>
          <w:numId w:val="111"/>
        </w:numPr>
        <w:rPr>
          <w:rFonts w:cs="Times New Roman"/>
          <w:szCs w:val="24"/>
        </w:rPr>
      </w:pPr>
      <w:r w:rsidRPr="00FB583E">
        <w:rPr>
          <w:rFonts w:cs="Times New Roman"/>
          <w:szCs w:val="24"/>
        </w:rPr>
        <w:lastRenderedPageBreak/>
        <w:t>Анализ крови на исследование уровня фактора роста эндотелия сосудов, интерлeйкина-6, фактора некроза опухоли α и интерлeйкина-1β (по показаниям)</w:t>
      </w:r>
    </w:p>
    <w:p w14:paraId="065F836E" w14:textId="77777777" w:rsidR="00B03B24" w:rsidRPr="00FB583E" w:rsidRDefault="00B03B24" w:rsidP="00B03B24">
      <w:pPr>
        <w:ind w:firstLine="708"/>
        <w:rPr>
          <w:b/>
        </w:rPr>
      </w:pPr>
      <w:r w:rsidRPr="00FB583E">
        <w:rPr>
          <w:b/>
        </w:rPr>
        <w:t>Манипуляции:</w:t>
      </w:r>
    </w:p>
    <w:p w14:paraId="1941BB46" w14:textId="77777777" w:rsidR="00B03B24" w:rsidRPr="00FB583E" w:rsidRDefault="00B03B24" w:rsidP="00B03B24">
      <w:pPr>
        <w:pStyle w:val="afe"/>
        <w:numPr>
          <w:ilvl w:val="0"/>
          <w:numId w:val="111"/>
        </w:numPr>
        <w:rPr>
          <w:rFonts w:cs="Times New Roman"/>
          <w:szCs w:val="24"/>
        </w:rPr>
      </w:pPr>
      <w:r w:rsidRPr="00FB583E">
        <w:rPr>
          <w:rFonts w:cs="Times New Roman"/>
          <w:szCs w:val="24"/>
        </w:rPr>
        <w:t>Люмбальная пункция (ЛП)</w:t>
      </w:r>
    </w:p>
    <w:p w14:paraId="09BA3BA2" w14:textId="77777777" w:rsidR="00B03B24" w:rsidRPr="00FB583E" w:rsidRDefault="00B03B24" w:rsidP="00B03B24">
      <w:pPr>
        <w:pStyle w:val="afe"/>
        <w:numPr>
          <w:ilvl w:val="0"/>
          <w:numId w:val="111"/>
        </w:numPr>
        <w:rPr>
          <w:rFonts w:cs="Times New Roman"/>
          <w:szCs w:val="24"/>
        </w:rPr>
      </w:pPr>
      <w:r w:rsidRPr="00FB583E">
        <w:rPr>
          <w:rFonts w:cs="Times New Roman"/>
          <w:szCs w:val="24"/>
        </w:rPr>
        <w:t>Стереотаксическия биопсия (СТБ)</w:t>
      </w:r>
    </w:p>
    <w:p w14:paraId="488E691A" w14:textId="77777777" w:rsidR="00B03B24" w:rsidRPr="00FB583E" w:rsidRDefault="00B03B24" w:rsidP="00B03B24">
      <w:pPr>
        <w:pStyle w:val="afe"/>
        <w:numPr>
          <w:ilvl w:val="0"/>
          <w:numId w:val="111"/>
        </w:numPr>
        <w:rPr>
          <w:rFonts w:cs="Times New Roman"/>
          <w:szCs w:val="24"/>
        </w:rPr>
      </w:pPr>
      <w:r w:rsidRPr="00FB583E">
        <w:rPr>
          <w:rFonts w:cs="Times New Roman"/>
          <w:szCs w:val="24"/>
        </w:rPr>
        <w:t>Трепанобиопсия (ТБ)</w:t>
      </w:r>
    </w:p>
    <w:p w14:paraId="1A62ED94" w14:textId="77777777" w:rsidR="00B03B24" w:rsidRPr="00FB583E" w:rsidRDefault="00B03B24" w:rsidP="00B03B24">
      <w:pPr>
        <w:pStyle w:val="afe"/>
        <w:shd w:val="clear" w:color="auto" w:fill="FFFFFF"/>
        <w:rPr>
          <w:rFonts w:cs="Times New Roman"/>
          <w:b/>
          <w:szCs w:val="24"/>
        </w:rPr>
      </w:pPr>
      <w:r w:rsidRPr="00FB583E">
        <w:rPr>
          <w:rFonts w:cs="Times New Roman"/>
          <w:b/>
          <w:szCs w:val="24"/>
        </w:rPr>
        <w:t>Инструментальные исследования:</w:t>
      </w:r>
    </w:p>
    <w:p w14:paraId="60410627" w14:textId="77777777" w:rsidR="00B03B24" w:rsidRPr="00FB583E" w:rsidRDefault="00B03B24" w:rsidP="00B03B24">
      <w:pPr>
        <w:pStyle w:val="afe"/>
        <w:numPr>
          <w:ilvl w:val="0"/>
          <w:numId w:val="111"/>
        </w:numPr>
        <w:rPr>
          <w:rFonts w:cs="Times New Roman"/>
          <w:szCs w:val="24"/>
        </w:rPr>
      </w:pPr>
      <w:r w:rsidRPr="00FB583E">
        <w:rPr>
          <w:rFonts w:cs="Times New Roman"/>
          <w:szCs w:val="24"/>
        </w:rPr>
        <w:t>ЭКГ</w:t>
      </w:r>
    </w:p>
    <w:p w14:paraId="3995F9A2" w14:textId="77777777" w:rsidR="00B03B24" w:rsidRPr="00FB583E" w:rsidRDefault="00B03B24" w:rsidP="00B03B24">
      <w:pPr>
        <w:pStyle w:val="afe"/>
        <w:numPr>
          <w:ilvl w:val="0"/>
          <w:numId w:val="111"/>
        </w:numPr>
        <w:rPr>
          <w:rFonts w:cs="Times New Roman"/>
          <w:szCs w:val="24"/>
        </w:rPr>
      </w:pPr>
      <w:r w:rsidRPr="00FB583E">
        <w:rPr>
          <w:rFonts w:cs="Times New Roman"/>
          <w:szCs w:val="24"/>
        </w:rPr>
        <w:t>Холтеровское мониторирование  (по показаниям)</w:t>
      </w:r>
    </w:p>
    <w:p w14:paraId="4996922B" w14:textId="77777777" w:rsidR="00B03B24" w:rsidRPr="00FB583E" w:rsidRDefault="00B03B24" w:rsidP="00B03B24">
      <w:pPr>
        <w:pStyle w:val="afe"/>
        <w:numPr>
          <w:ilvl w:val="0"/>
          <w:numId w:val="111"/>
        </w:numPr>
        <w:rPr>
          <w:rFonts w:cs="Times New Roman"/>
          <w:szCs w:val="24"/>
        </w:rPr>
      </w:pPr>
      <w:r w:rsidRPr="00FB583E">
        <w:rPr>
          <w:rFonts w:cs="Times New Roman"/>
          <w:szCs w:val="24"/>
        </w:rPr>
        <w:t>Функция внешнего дыхания</w:t>
      </w:r>
    </w:p>
    <w:p w14:paraId="30725F0D" w14:textId="77777777" w:rsidR="00B03B24" w:rsidRPr="00FB583E" w:rsidRDefault="00B03B24" w:rsidP="00B03B24">
      <w:pPr>
        <w:pStyle w:val="afe"/>
        <w:numPr>
          <w:ilvl w:val="0"/>
          <w:numId w:val="111"/>
        </w:numPr>
        <w:rPr>
          <w:rFonts w:cs="Times New Roman"/>
          <w:szCs w:val="24"/>
        </w:rPr>
      </w:pPr>
      <w:r w:rsidRPr="00FB583E">
        <w:rPr>
          <w:rFonts w:cs="Times New Roman"/>
          <w:szCs w:val="24"/>
        </w:rPr>
        <w:t>ЭНМГ с исследованием двигательных и чувствительных нервов (по показаниям)</w:t>
      </w:r>
    </w:p>
    <w:p w14:paraId="2EB550FD" w14:textId="77777777" w:rsidR="00B03B24" w:rsidRPr="00FB583E" w:rsidRDefault="00B03B24" w:rsidP="00B03B24">
      <w:pPr>
        <w:pStyle w:val="afe"/>
        <w:numPr>
          <w:ilvl w:val="0"/>
          <w:numId w:val="111"/>
        </w:numPr>
        <w:rPr>
          <w:rFonts w:cs="Times New Roman"/>
          <w:szCs w:val="24"/>
        </w:rPr>
      </w:pPr>
      <w:r w:rsidRPr="00FB583E">
        <w:rPr>
          <w:rFonts w:cs="Times New Roman"/>
          <w:szCs w:val="24"/>
        </w:rPr>
        <w:t>Игольчатая электромиография (по показаниям)</w:t>
      </w:r>
    </w:p>
    <w:p w14:paraId="7CF0B686" w14:textId="77777777" w:rsidR="00B03B24" w:rsidRPr="00FB583E" w:rsidRDefault="00B03B24" w:rsidP="00B03B24">
      <w:pPr>
        <w:pStyle w:val="afe"/>
        <w:numPr>
          <w:ilvl w:val="0"/>
          <w:numId w:val="111"/>
        </w:numPr>
        <w:rPr>
          <w:rFonts w:cs="Times New Roman"/>
          <w:szCs w:val="24"/>
        </w:rPr>
      </w:pPr>
      <w:r w:rsidRPr="00FB583E">
        <w:rPr>
          <w:rFonts w:cs="Times New Roman"/>
          <w:szCs w:val="24"/>
        </w:rPr>
        <w:t>ВП различной модальности ЗВП, КВП, КАСВП, ССВП (по показаниям)</w:t>
      </w:r>
    </w:p>
    <w:p w14:paraId="399730DC" w14:textId="77777777" w:rsidR="00B03B24" w:rsidRPr="00FB583E" w:rsidRDefault="00B03B24" w:rsidP="00B03B24">
      <w:pPr>
        <w:pStyle w:val="afe"/>
        <w:numPr>
          <w:ilvl w:val="0"/>
          <w:numId w:val="111"/>
        </w:numPr>
        <w:rPr>
          <w:rFonts w:cs="Times New Roman"/>
          <w:szCs w:val="24"/>
        </w:rPr>
      </w:pPr>
      <w:r w:rsidRPr="00FB583E">
        <w:rPr>
          <w:rFonts w:cs="Times New Roman"/>
          <w:szCs w:val="24"/>
        </w:rPr>
        <w:t>УЗИ нервов (по показаниям)</w:t>
      </w:r>
    </w:p>
    <w:p w14:paraId="783A3D43" w14:textId="77777777" w:rsidR="00B03B24" w:rsidRPr="00FB583E" w:rsidRDefault="00B03B24" w:rsidP="00B03B24">
      <w:pPr>
        <w:ind w:firstLine="708"/>
        <w:rPr>
          <w:b/>
        </w:rPr>
      </w:pPr>
      <w:r w:rsidRPr="00FB583E">
        <w:rPr>
          <w:b/>
        </w:rPr>
        <w:t>Консультации специалистов:</w:t>
      </w:r>
    </w:p>
    <w:p w14:paraId="6D4D2F45"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невролог </w:t>
      </w:r>
    </w:p>
    <w:p w14:paraId="451B54B0" w14:textId="77777777" w:rsidR="00B03B24" w:rsidRPr="00FB583E" w:rsidRDefault="00B03B24" w:rsidP="00B03B24">
      <w:pPr>
        <w:pStyle w:val="afe"/>
        <w:numPr>
          <w:ilvl w:val="0"/>
          <w:numId w:val="111"/>
        </w:numPr>
        <w:rPr>
          <w:rFonts w:cs="Times New Roman"/>
          <w:szCs w:val="24"/>
        </w:rPr>
      </w:pPr>
      <w:r w:rsidRPr="00FB583E">
        <w:rPr>
          <w:rFonts w:cs="Times New Roman"/>
          <w:szCs w:val="24"/>
        </w:rPr>
        <w:t>ортопед</w:t>
      </w:r>
    </w:p>
    <w:p w14:paraId="448CD00F" w14:textId="77777777" w:rsidR="00B03B24" w:rsidRPr="00FB583E" w:rsidRDefault="00B03B24" w:rsidP="00B03B24">
      <w:pPr>
        <w:pStyle w:val="afe"/>
        <w:numPr>
          <w:ilvl w:val="0"/>
          <w:numId w:val="111"/>
        </w:numPr>
        <w:rPr>
          <w:rFonts w:cs="Times New Roman"/>
          <w:szCs w:val="24"/>
        </w:rPr>
      </w:pPr>
      <w:r w:rsidRPr="00FB583E">
        <w:rPr>
          <w:rFonts w:cs="Times New Roman"/>
          <w:szCs w:val="24"/>
        </w:rPr>
        <w:t>офтальмолог (оценка функции зрительных нервов)</w:t>
      </w:r>
    </w:p>
    <w:p w14:paraId="6916AD68" w14:textId="77777777" w:rsidR="00B03B24" w:rsidRPr="00FB583E" w:rsidRDefault="00B03B24" w:rsidP="00B03B24">
      <w:pPr>
        <w:pStyle w:val="afe"/>
        <w:numPr>
          <w:ilvl w:val="0"/>
          <w:numId w:val="111"/>
        </w:numPr>
        <w:rPr>
          <w:rFonts w:cs="Times New Roman"/>
          <w:szCs w:val="24"/>
        </w:rPr>
      </w:pPr>
      <w:r w:rsidRPr="00FB583E">
        <w:rPr>
          <w:rFonts w:cs="Times New Roman"/>
          <w:szCs w:val="24"/>
        </w:rPr>
        <w:t>оториноларинголог (выявление бульбарных нарушений, пареза голосовых связок)</w:t>
      </w:r>
    </w:p>
    <w:p w14:paraId="26076672" w14:textId="77777777" w:rsidR="00B03B24" w:rsidRPr="00FB583E" w:rsidRDefault="00B03B24" w:rsidP="00B03B24">
      <w:pPr>
        <w:pStyle w:val="afe"/>
        <w:numPr>
          <w:ilvl w:val="0"/>
          <w:numId w:val="111"/>
        </w:numPr>
        <w:rPr>
          <w:rFonts w:cs="Times New Roman"/>
          <w:szCs w:val="24"/>
        </w:rPr>
      </w:pPr>
      <w:r w:rsidRPr="00FB583E">
        <w:rPr>
          <w:rFonts w:cs="Times New Roman"/>
          <w:szCs w:val="24"/>
        </w:rPr>
        <w:t>кинезиотерапевт по показаниям</w:t>
      </w:r>
    </w:p>
    <w:p w14:paraId="04F1D9F7" w14:textId="77777777" w:rsidR="00B03B24" w:rsidRPr="00FB583E" w:rsidRDefault="00B03B24" w:rsidP="00B03B24">
      <w:pPr>
        <w:ind w:firstLine="708"/>
        <w:rPr>
          <w:b/>
        </w:rPr>
      </w:pPr>
      <w:r w:rsidRPr="00FB583E">
        <w:rPr>
          <w:b/>
        </w:rPr>
        <w:t xml:space="preserve">Лечение: </w:t>
      </w:r>
    </w:p>
    <w:p w14:paraId="4D439532" w14:textId="77777777" w:rsidR="00B03B24" w:rsidRPr="00FB583E" w:rsidRDefault="00B03B24" w:rsidP="00B03B24">
      <w:pPr>
        <w:pStyle w:val="afe"/>
        <w:numPr>
          <w:ilvl w:val="0"/>
          <w:numId w:val="111"/>
        </w:numPr>
        <w:rPr>
          <w:rFonts w:cs="Times New Roman"/>
          <w:szCs w:val="24"/>
        </w:rPr>
      </w:pPr>
      <w:r w:rsidRPr="00FB583E">
        <w:rPr>
          <w:rFonts w:cs="Times New Roman"/>
          <w:szCs w:val="24"/>
        </w:rPr>
        <w:t>Плазмаферез (по показаниям)</w:t>
      </w:r>
    </w:p>
    <w:p w14:paraId="34BF8F68" w14:textId="77777777" w:rsidR="00B03B24" w:rsidRPr="00FB583E" w:rsidRDefault="00B03B24" w:rsidP="00B03B24">
      <w:pPr>
        <w:pStyle w:val="afe"/>
        <w:numPr>
          <w:ilvl w:val="0"/>
          <w:numId w:val="111"/>
        </w:numPr>
        <w:rPr>
          <w:rFonts w:cs="Times New Roman"/>
          <w:szCs w:val="24"/>
        </w:rPr>
      </w:pPr>
      <w:r w:rsidRPr="00FB583E">
        <w:rPr>
          <w:rFonts w:cs="Times New Roman"/>
          <w:szCs w:val="24"/>
        </w:rPr>
        <w:t>Лечение невропатической боли – антидепрессанты, антиконсульсанты, опиодные анальгетики (см. Приложение «Диагностика и лечение болевого синдрома в гематологии")</w:t>
      </w:r>
    </w:p>
    <w:p w14:paraId="33ED665E" w14:textId="77777777" w:rsidR="00B03B24" w:rsidRPr="00FB583E" w:rsidRDefault="00B03B24" w:rsidP="00B03B24">
      <w:pPr>
        <w:pStyle w:val="afe"/>
        <w:numPr>
          <w:ilvl w:val="0"/>
          <w:numId w:val="111"/>
        </w:numPr>
        <w:rPr>
          <w:rFonts w:cs="Times New Roman"/>
          <w:szCs w:val="24"/>
        </w:rPr>
      </w:pPr>
      <w:r w:rsidRPr="00FB583E">
        <w:rPr>
          <w:rFonts w:cs="Times New Roman"/>
          <w:szCs w:val="24"/>
        </w:rPr>
        <w:t>Магнитная стимуляция (низкочастотная магнитотерапия) периферических нервов (по показаниям)</w:t>
      </w:r>
    </w:p>
    <w:p w14:paraId="357CF8F8" w14:textId="77777777" w:rsidR="00B03B24" w:rsidRPr="00FB583E" w:rsidRDefault="00B03B24" w:rsidP="00B03B24">
      <w:pPr>
        <w:pStyle w:val="afe"/>
        <w:numPr>
          <w:ilvl w:val="0"/>
          <w:numId w:val="111"/>
        </w:numPr>
        <w:rPr>
          <w:rFonts w:cs="Times New Roman"/>
          <w:szCs w:val="24"/>
        </w:rPr>
      </w:pPr>
      <w:r w:rsidRPr="00FB583E">
        <w:rPr>
          <w:rFonts w:cs="Times New Roman"/>
          <w:szCs w:val="24"/>
        </w:rPr>
        <w:t>Низкоинтенсивная лазеротерапия (по показаниям)</w:t>
      </w:r>
    </w:p>
    <w:p w14:paraId="16680D40" w14:textId="77777777" w:rsidR="00B03B24" w:rsidRPr="00FB583E" w:rsidRDefault="00B03B24" w:rsidP="00B03B24">
      <w:pPr>
        <w:pStyle w:val="afe"/>
        <w:numPr>
          <w:ilvl w:val="0"/>
          <w:numId w:val="111"/>
        </w:numPr>
        <w:rPr>
          <w:rFonts w:cs="Times New Roman"/>
          <w:szCs w:val="24"/>
        </w:rPr>
      </w:pPr>
      <w:r w:rsidRPr="00FB583E">
        <w:rPr>
          <w:rFonts w:cs="Times New Roman"/>
          <w:szCs w:val="24"/>
        </w:rPr>
        <w:t>Чрезкожная элктростимуляция (по показаниям)</w:t>
      </w:r>
    </w:p>
    <w:p w14:paraId="30D10AD8"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Улучшение метаболизма нервной ткани – берлитион, витамины группы В </w:t>
      </w:r>
    </w:p>
    <w:p w14:paraId="5E99DBF4" w14:textId="77777777" w:rsidR="00B03B24" w:rsidRPr="00FB583E" w:rsidRDefault="00B03B24" w:rsidP="00B03B24">
      <w:pPr>
        <w:pStyle w:val="afe"/>
        <w:numPr>
          <w:ilvl w:val="0"/>
          <w:numId w:val="111"/>
        </w:numPr>
        <w:rPr>
          <w:rFonts w:cs="Times New Roman"/>
          <w:szCs w:val="24"/>
        </w:rPr>
      </w:pPr>
      <w:r w:rsidRPr="00FB583E">
        <w:rPr>
          <w:rFonts w:cs="Times New Roman"/>
          <w:szCs w:val="24"/>
        </w:rPr>
        <w:t>Улучшение нейромышечной передачи – ингибитор холинэстеразы ипидакрин</w:t>
      </w:r>
    </w:p>
    <w:p w14:paraId="4F981786" w14:textId="77777777" w:rsidR="00B03B24" w:rsidRPr="00FB583E" w:rsidRDefault="00B03B24" w:rsidP="00B03B24">
      <w:pPr>
        <w:pStyle w:val="afe"/>
        <w:numPr>
          <w:ilvl w:val="0"/>
          <w:numId w:val="111"/>
        </w:numPr>
        <w:rPr>
          <w:rFonts w:cs="Times New Roman"/>
          <w:szCs w:val="24"/>
        </w:rPr>
      </w:pPr>
      <w:r w:rsidRPr="00FB583E">
        <w:rPr>
          <w:rFonts w:cs="Times New Roman"/>
          <w:szCs w:val="24"/>
        </w:rPr>
        <w:lastRenderedPageBreak/>
        <w:t xml:space="preserve">Нейропротекторы –  холина альфосцерат–глиатилин, цитиколин  цераксон </w:t>
      </w:r>
    </w:p>
    <w:p w14:paraId="18CB6180" w14:textId="77777777" w:rsidR="00B03B24" w:rsidRPr="00FB583E" w:rsidRDefault="00B03B24" w:rsidP="00B03B24">
      <w:pPr>
        <w:pStyle w:val="afe"/>
        <w:rPr>
          <w:rFonts w:cs="Times New Roman"/>
          <w:b/>
          <w:i/>
          <w:color w:val="FF0000"/>
          <w:szCs w:val="24"/>
        </w:rPr>
      </w:pPr>
    </w:p>
    <w:p w14:paraId="4D681B9A" w14:textId="77777777" w:rsidR="00B03B24" w:rsidRPr="00FB583E" w:rsidRDefault="00B03B24" w:rsidP="00B03B24">
      <w:pPr>
        <w:rPr>
          <w:i/>
          <w:u w:val="single"/>
        </w:rPr>
      </w:pPr>
      <w:r w:rsidRPr="00FB583E">
        <w:rPr>
          <w:i/>
          <w:u w:val="single"/>
        </w:rPr>
        <w:t>Нейроинфекции при гематологических заболеваниях</w:t>
      </w:r>
    </w:p>
    <w:p w14:paraId="2DF7D450" w14:textId="77777777" w:rsidR="00B03B24" w:rsidRPr="00FB583E" w:rsidRDefault="00B03B24" w:rsidP="00B03B24">
      <w:pPr>
        <w:pStyle w:val="Default"/>
        <w:spacing w:line="360" w:lineRule="auto"/>
        <w:ind w:firstLine="709"/>
        <w:jc w:val="both"/>
      </w:pPr>
      <w:r w:rsidRPr="00FB583E">
        <w:t xml:space="preserve">Нейроинфекционные осложнения – менингиты, энцефалиты, менингоэнцефалиты, миелиты – наблюдаются примерно у 10% гематологических больных на фоне иммуносупрессии, нейтропении, сепсиса, пневмонии и других инфекционных осложнениях при цитостатической терапии. В структуре нейроинфекционных поражений у гематологических пациентов менингиты составляют 40%, энцефалиты – 40%, грибковое поражение ЦНС (инвазивный аспергиллез, инвазивный кандидоз) –15%, токсоплазмоз –5%. </w:t>
      </w:r>
    </w:p>
    <w:p w14:paraId="1798D416" w14:textId="77777777" w:rsidR="00B03B24" w:rsidRPr="00FB583E" w:rsidRDefault="00B03B24" w:rsidP="00B03B24">
      <w:pPr>
        <w:pStyle w:val="Default"/>
        <w:spacing w:line="360" w:lineRule="auto"/>
        <w:ind w:firstLine="709"/>
        <w:jc w:val="both"/>
        <w:rPr>
          <w:b/>
        </w:rPr>
      </w:pPr>
      <w:r w:rsidRPr="00FB583E">
        <w:rPr>
          <w:b/>
        </w:rPr>
        <w:t>Клиническая картина:</w:t>
      </w:r>
    </w:p>
    <w:p w14:paraId="5D0D0D5B" w14:textId="77777777" w:rsidR="00B03B24" w:rsidRPr="00FB583E" w:rsidRDefault="00B03B24" w:rsidP="00B03B24">
      <w:pPr>
        <w:pStyle w:val="Default"/>
        <w:spacing w:line="360" w:lineRule="auto"/>
        <w:ind w:firstLine="709"/>
        <w:jc w:val="both"/>
      </w:pPr>
      <w:r w:rsidRPr="00FB583E">
        <w:t>Менингеальная симптоматика доминирует при бактериальных, серозных менингитах и инвазивном кандидозе ЦНС, в то время, как общемозговая симптоматика – при вирусных энцефалитах. Клиническая картина при грибковом поражении и токсоплазмозе соответствует клинической картине объемного образования. При нейроинфекции клинические симптомы варьируют в широких пределах – от головной боли до развития тяжелых общемозговых симптомов с угнетением сознания, эпилептических припадков, выраженных очаговых и менингеальных симптомов.</w:t>
      </w:r>
    </w:p>
    <w:p w14:paraId="58C65332" w14:textId="77777777" w:rsidR="00B03B24" w:rsidRPr="00FB583E" w:rsidRDefault="00B03B24" w:rsidP="00B03B24">
      <w:pPr>
        <w:ind w:firstLine="709"/>
        <w:rPr>
          <w:b/>
        </w:rPr>
      </w:pPr>
      <w:r w:rsidRPr="00FB583E">
        <w:rPr>
          <w:b/>
        </w:rPr>
        <w:t>Для первичной диагностики оценивается:</w:t>
      </w:r>
    </w:p>
    <w:p w14:paraId="4B7277A9"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жалобы; </w:t>
      </w:r>
    </w:p>
    <w:p w14:paraId="016567B7"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анамнез; </w:t>
      </w:r>
    </w:p>
    <w:p w14:paraId="2A487860"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оценка функционального статуса по шкале Карновского; </w:t>
      </w:r>
    </w:p>
    <w:p w14:paraId="393ECAC0" w14:textId="77777777" w:rsidR="00B03B24" w:rsidRPr="00FB583E" w:rsidRDefault="00B03B24" w:rsidP="00B03B24">
      <w:pPr>
        <w:pStyle w:val="afe"/>
        <w:numPr>
          <w:ilvl w:val="0"/>
          <w:numId w:val="111"/>
        </w:numPr>
        <w:rPr>
          <w:rFonts w:cs="Times New Roman"/>
          <w:szCs w:val="24"/>
        </w:rPr>
      </w:pPr>
      <w:r w:rsidRPr="00FB583E">
        <w:rPr>
          <w:rFonts w:cs="Times New Roman"/>
          <w:szCs w:val="24"/>
        </w:rPr>
        <w:t>оценка по шкале SOFA;</w:t>
      </w:r>
    </w:p>
    <w:p w14:paraId="38F4FEDB"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неврологический статус с оценкой общемозговой, очаговой, менингеальной симптоматики и интеллектуально-мнестических нарушений; </w:t>
      </w:r>
    </w:p>
    <w:p w14:paraId="29E1E449"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оценка психического состояния; </w:t>
      </w:r>
    </w:p>
    <w:p w14:paraId="59FF9E5B" w14:textId="77777777" w:rsidR="00B03B24" w:rsidRPr="00FB583E" w:rsidRDefault="00B03B24" w:rsidP="00B03B24">
      <w:pPr>
        <w:ind w:left="12" w:firstLine="708"/>
        <w:rPr>
          <w:b/>
        </w:rPr>
      </w:pPr>
      <w:r w:rsidRPr="00FB583E">
        <w:rPr>
          <w:b/>
        </w:rPr>
        <w:t>Лабораторная диагностика:</w:t>
      </w:r>
      <w:r w:rsidRPr="00FB583E">
        <w:rPr>
          <w:b/>
        </w:rPr>
        <w:tab/>
        <w:t xml:space="preserve"> </w:t>
      </w:r>
    </w:p>
    <w:p w14:paraId="3E6B0118" w14:textId="77777777" w:rsidR="00B03B24" w:rsidRPr="00FB583E" w:rsidRDefault="00B03B24" w:rsidP="00B03B24">
      <w:pPr>
        <w:pStyle w:val="afe"/>
        <w:numPr>
          <w:ilvl w:val="0"/>
          <w:numId w:val="111"/>
        </w:numPr>
        <w:rPr>
          <w:rFonts w:cs="Times New Roman"/>
          <w:szCs w:val="24"/>
        </w:rPr>
      </w:pPr>
      <w:r w:rsidRPr="00FB583E">
        <w:rPr>
          <w:rFonts w:cs="Times New Roman"/>
          <w:szCs w:val="24"/>
        </w:rPr>
        <w:t>Клинический анализ крови, морфологическое исследование мазка крови</w:t>
      </w:r>
    </w:p>
    <w:p w14:paraId="2A15CF1C" w14:textId="77777777" w:rsidR="00B03B24" w:rsidRPr="00FB583E" w:rsidRDefault="00B03B24" w:rsidP="00B03B24">
      <w:pPr>
        <w:pStyle w:val="afe"/>
        <w:numPr>
          <w:ilvl w:val="0"/>
          <w:numId w:val="111"/>
        </w:numPr>
        <w:rPr>
          <w:rFonts w:cs="Times New Roman"/>
          <w:szCs w:val="24"/>
        </w:rPr>
      </w:pPr>
      <w:r w:rsidRPr="00FB583E">
        <w:rPr>
          <w:rFonts w:cs="Times New Roman"/>
          <w:szCs w:val="24"/>
        </w:rPr>
        <w:t>Общий анализ мочи</w:t>
      </w:r>
    </w:p>
    <w:p w14:paraId="21B73366" w14:textId="77777777" w:rsidR="00B03B24" w:rsidRPr="00FB583E" w:rsidRDefault="00B03B24" w:rsidP="00B03B24">
      <w:pPr>
        <w:pStyle w:val="afe"/>
        <w:numPr>
          <w:ilvl w:val="0"/>
          <w:numId w:val="111"/>
        </w:numPr>
        <w:rPr>
          <w:rFonts w:cs="Times New Roman"/>
          <w:szCs w:val="24"/>
        </w:rPr>
      </w:pPr>
      <w:r w:rsidRPr="00FB583E">
        <w:rPr>
          <w:rFonts w:cs="Times New Roman"/>
          <w:szCs w:val="24"/>
        </w:rPr>
        <w:t>Биохимический анализ крови – общий белок, фракции белка, креатинин, мочевина, мочевая кислота, билирубин, фракции билирубина, глюкоза, электролиты, аланиаминотрансфераза, аспартатаминотрансфераза, лактатдегидрогеназа, щелочная фосфатаза, амилаза</w:t>
      </w:r>
    </w:p>
    <w:p w14:paraId="0C3B9BD0" w14:textId="77777777" w:rsidR="00B03B24" w:rsidRPr="00FB583E" w:rsidRDefault="00B03B24" w:rsidP="00B03B24">
      <w:pPr>
        <w:pStyle w:val="afe"/>
        <w:numPr>
          <w:ilvl w:val="0"/>
          <w:numId w:val="111"/>
        </w:numPr>
        <w:rPr>
          <w:rFonts w:cs="Times New Roman"/>
          <w:szCs w:val="24"/>
        </w:rPr>
      </w:pPr>
      <w:r w:rsidRPr="00FB583E">
        <w:rPr>
          <w:rFonts w:cs="Times New Roman"/>
          <w:szCs w:val="24"/>
        </w:rPr>
        <w:t>Оценка кислотно-щелочного равновесия (по показаниям)</w:t>
      </w:r>
    </w:p>
    <w:p w14:paraId="65D5202D"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Исследование ликвора в динамике – цитологическое, белок, глюкоза. На бактерии – микроскопия, посев, определение антигенов. Микобактерии – </w:t>
      </w:r>
      <w:r w:rsidRPr="00FB583E">
        <w:rPr>
          <w:rFonts w:cs="Times New Roman"/>
          <w:szCs w:val="24"/>
        </w:rPr>
        <w:lastRenderedPageBreak/>
        <w:t xml:space="preserve">микроскопия, определение ДНК. Вирусы – определение ДНК. Грибы- микроскопия, посев, антигены. Токсоплазмоз- определение ДНК. </w:t>
      </w:r>
    </w:p>
    <w:p w14:paraId="3C403F3B"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(См. рекомендации бактериологической лаборатории). </w:t>
      </w:r>
    </w:p>
    <w:p w14:paraId="07C68EF5" w14:textId="77777777" w:rsidR="00B03B24" w:rsidRPr="00FB583E" w:rsidRDefault="00B03B24" w:rsidP="00B03B24">
      <w:pPr>
        <w:pStyle w:val="afe"/>
        <w:numPr>
          <w:ilvl w:val="0"/>
          <w:numId w:val="111"/>
        </w:numPr>
        <w:rPr>
          <w:rFonts w:cs="Times New Roman"/>
          <w:szCs w:val="24"/>
        </w:rPr>
      </w:pPr>
      <w:r w:rsidRPr="00FB583E">
        <w:rPr>
          <w:rFonts w:cs="Times New Roman"/>
          <w:szCs w:val="24"/>
        </w:rPr>
        <w:t>Иммунохимическое исследование крови и мочи, включая количество нормальных иммуноглобулинов, наличие моноклональной секреции, С-реактивный белок, бета-2-микроглобулин</w:t>
      </w:r>
    </w:p>
    <w:p w14:paraId="6766FC48" w14:textId="77777777" w:rsidR="00B03B24" w:rsidRPr="00FB583E" w:rsidRDefault="00B03B24" w:rsidP="00B03B24">
      <w:pPr>
        <w:pStyle w:val="afe"/>
        <w:numPr>
          <w:ilvl w:val="0"/>
          <w:numId w:val="111"/>
        </w:numPr>
        <w:rPr>
          <w:rFonts w:cs="Times New Roman"/>
          <w:szCs w:val="24"/>
        </w:rPr>
      </w:pPr>
      <w:r w:rsidRPr="00FB583E">
        <w:rPr>
          <w:rFonts w:cs="Times New Roman"/>
          <w:szCs w:val="24"/>
        </w:rPr>
        <w:t>Определение группы крови и резус - фактора</w:t>
      </w:r>
    </w:p>
    <w:p w14:paraId="74E94798" w14:textId="77777777" w:rsidR="00B03B24" w:rsidRPr="00FB583E" w:rsidRDefault="00B03B24" w:rsidP="00B03B24">
      <w:pPr>
        <w:pStyle w:val="afe"/>
        <w:numPr>
          <w:ilvl w:val="0"/>
          <w:numId w:val="111"/>
        </w:numPr>
        <w:rPr>
          <w:rFonts w:cs="Times New Roman"/>
          <w:szCs w:val="24"/>
        </w:rPr>
      </w:pPr>
      <w:r w:rsidRPr="00FB583E">
        <w:rPr>
          <w:rFonts w:cs="Times New Roman"/>
          <w:szCs w:val="24"/>
        </w:rPr>
        <w:t>Исследование крови на вирусы гепатитов B и C, ВИЧ, сифилис</w:t>
      </w:r>
    </w:p>
    <w:p w14:paraId="346C9292" w14:textId="77777777" w:rsidR="00B03B24" w:rsidRPr="00FB583E" w:rsidRDefault="00B03B24" w:rsidP="00B03B24">
      <w:pPr>
        <w:pStyle w:val="afe"/>
        <w:numPr>
          <w:ilvl w:val="0"/>
          <w:numId w:val="111"/>
        </w:numPr>
        <w:rPr>
          <w:rFonts w:cs="Times New Roman"/>
          <w:szCs w:val="24"/>
        </w:rPr>
      </w:pPr>
      <w:r w:rsidRPr="00FB583E">
        <w:rPr>
          <w:rFonts w:cs="Times New Roman"/>
          <w:szCs w:val="24"/>
        </w:rPr>
        <w:t>Стереотаксическая биопсия при наличии очагов в головном мозге по данным КТ/МРТ.</w:t>
      </w:r>
    </w:p>
    <w:p w14:paraId="443FCAB9" w14:textId="77777777" w:rsidR="00B03B24" w:rsidRPr="00FB583E" w:rsidRDefault="00B03B24" w:rsidP="00B03B24">
      <w:pPr>
        <w:ind w:firstLine="708"/>
        <w:rPr>
          <w:b/>
        </w:rPr>
      </w:pPr>
      <w:r w:rsidRPr="00FB583E">
        <w:rPr>
          <w:b/>
        </w:rPr>
        <w:t>Инструментальная диагностика:</w:t>
      </w:r>
    </w:p>
    <w:p w14:paraId="5E50F352" w14:textId="77777777" w:rsidR="00B03B24" w:rsidRPr="00FB583E" w:rsidRDefault="00B03B24" w:rsidP="00B03B24">
      <w:pPr>
        <w:pStyle w:val="afe"/>
        <w:numPr>
          <w:ilvl w:val="0"/>
          <w:numId w:val="111"/>
        </w:numPr>
        <w:rPr>
          <w:rFonts w:cs="Times New Roman"/>
          <w:szCs w:val="24"/>
        </w:rPr>
      </w:pPr>
      <w:r w:rsidRPr="00FB583E">
        <w:rPr>
          <w:rFonts w:cs="Times New Roman"/>
          <w:szCs w:val="24"/>
        </w:rPr>
        <w:t>КТ или МРТ головного мозга (с внутривенным контрастированием – по показаниям)</w:t>
      </w:r>
    </w:p>
    <w:p w14:paraId="62938201" w14:textId="77777777" w:rsidR="00B03B24" w:rsidRPr="00FB583E" w:rsidRDefault="00B03B24" w:rsidP="00B03B24">
      <w:pPr>
        <w:pStyle w:val="afe"/>
        <w:numPr>
          <w:ilvl w:val="0"/>
          <w:numId w:val="111"/>
        </w:numPr>
        <w:rPr>
          <w:rFonts w:cs="Times New Roman"/>
          <w:szCs w:val="24"/>
        </w:rPr>
      </w:pPr>
      <w:r w:rsidRPr="00FB583E">
        <w:rPr>
          <w:rFonts w:cs="Times New Roman"/>
          <w:szCs w:val="24"/>
        </w:rPr>
        <w:t>КТ брюшной полости, грудной клетки, малого таза</w:t>
      </w:r>
    </w:p>
    <w:p w14:paraId="4FEF4BCF" w14:textId="77777777" w:rsidR="00B03B24" w:rsidRPr="00FB583E" w:rsidRDefault="00B03B24" w:rsidP="00B03B24">
      <w:pPr>
        <w:pStyle w:val="afe"/>
        <w:numPr>
          <w:ilvl w:val="0"/>
          <w:numId w:val="111"/>
        </w:numPr>
        <w:rPr>
          <w:rFonts w:cs="Times New Roman"/>
          <w:szCs w:val="24"/>
        </w:rPr>
      </w:pPr>
      <w:r w:rsidRPr="00FB583E">
        <w:rPr>
          <w:rFonts w:cs="Times New Roman"/>
          <w:szCs w:val="24"/>
        </w:rPr>
        <w:t>Электроэнцефалография (ЭЭГ) с функциональными пробами для определения функционального состояния головного мозга и исключения эпиактивности</w:t>
      </w:r>
    </w:p>
    <w:p w14:paraId="2A3C302C"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ВП – вызванные потенциалы различной модальности (по показаниям): ЗВП, КВП, КАСВП, ССВП. </w:t>
      </w:r>
    </w:p>
    <w:p w14:paraId="6210D802" w14:textId="77777777" w:rsidR="00B03B24" w:rsidRPr="00FB583E" w:rsidRDefault="00B03B24" w:rsidP="00B03B24">
      <w:pPr>
        <w:pStyle w:val="afe"/>
        <w:numPr>
          <w:ilvl w:val="0"/>
          <w:numId w:val="111"/>
        </w:numPr>
        <w:rPr>
          <w:rFonts w:cs="Times New Roman"/>
          <w:szCs w:val="24"/>
        </w:rPr>
      </w:pPr>
      <w:r w:rsidRPr="00FB583E">
        <w:rPr>
          <w:rFonts w:cs="Times New Roman"/>
          <w:szCs w:val="24"/>
        </w:rPr>
        <w:t>ТКМС (по показаниям)</w:t>
      </w:r>
    </w:p>
    <w:p w14:paraId="3B3B9E44" w14:textId="77777777" w:rsidR="00B03B24" w:rsidRPr="00FB583E" w:rsidRDefault="00B03B24" w:rsidP="00B03B24">
      <w:pPr>
        <w:pStyle w:val="afe"/>
        <w:numPr>
          <w:ilvl w:val="0"/>
          <w:numId w:val="111"/>
        </w:numPr>
        <w:rPr>
          <w:rFonts w:cs="Times New Roman"/>
          <w:szCs w:val="24"/>
        </w:rPr>
      </w:pPr>
      <w:r w:rsidRPr="00FB583E">
        <w:rPr>
          <w:rFonts w:cs="Times New Roman"/>
          <w:szCs w:val="24"/>
        </w:rPr>
        <w:t>ПЭТ-КТ (по показаниям)</w:t>
      </w:r>
    </w:p>
    <w:p w14:paraId="793372DD" w14:textId="77777777" w:rsidR="00B03B24" w:rsidRPr="00FB583E" w:rsidRDefault="00B03B24" w:rsidP="00B03B24">
      <w:pPr>
        <w:pStyle w:val="afe"/>
        <w:numPr>
          <w:ilvl w:val="0"/>
          <w:numId w:val="111"/>
        </w:numPr>
        <w:rPr>
          <w:rFonts w:cs="Times New Roman"/>
          <w:szCs w:val="24"/>
        </w:rPr>
      </w:pPr>
      <w:r w:rsidRPr="00FB583E">
        <w:rPr>
          <w:rFonts w:cs="Times New Roman"/>
          <w:szCs w:val="24"/>
        </w:rPr>
        <w:t>УЗДГ брахиоцефальных артерий и вен (по показаниям)</w:t>
      </w:r>
    </w:p>
    <w:p w14:paraId="45CA7229" w14:textId="77777777" w:rsidR="00B03B24" w:rsidRPr="00FB583E" w:rsidRDefault="00B03B24" w:rsidP="00B03B24">
      <w:pPr>
        <w:pStyle w:val="afe"/>
        <w:numPr>
          <w:ilvl w:val="0"/>
          <w:numId w:val="111"/>
        </w:numPr>
        <w:rPr>
          <w:rFonts w:cs="Times New Roman"/>
          <w:szCs w:val="24"/>
        </w:rPr>
      </w:pPr>
      <w:r w:rsidRPr="00FB583E">
        <w:rPr>
          <w:rFonts w:cs="Times New Roman"/>
          <w:szCs w:val="24"/>
        </w:rPr>
        <w:t>ФГДС  (биопсия по показаниям)</w:t>
      </w:r>
    </w:p>
    <w:p w14:paraId="028A5BB3" w14:textId="77777777" w:rsidR="00B03B24" w:rsidRPr="00FB583E" w:rsidRDefault="00B03B24" w:rsidP="00B03B24">
      <w:pPr>
        <w:pStyle w:val="afe"/>
        <w:numPr>
          <w:ilvl w:val="0"/>
          <w:numId w:val="111"/>
        </w:numPr>
        <w:rPr>
          <w:rFonts w:cs="Times New Roman"/>
          <w:szCs w:val="24"/>
        </w:rPr>
      </w:pPr>
      <w:r w:rsidRPr="00FB583E">
        <w:rPr>
          <w:rFonts w:cs="Times New Roman"/>
          <w:szCs w:val="24"/>
        </w:rPr>
        <w:t>ЭКГ</w:t>
      </w:r>
    </w:p>
    <w:p w14:paraId="10EC9C7A" w14:textId="77777777" w:rsidR="00B03B24" w:rsidRPr="00FB583E" w:rsidRDefault="00B03B24" w:rsidP="00B03B24">
      <w:pPr>
        <w:pStyle w:val="afe"/>
        <w:numPr>
          <w:ilvl w:val="0"/>
          <w:numId w:val="111"/>
        </w:numPr>
        <w:rPr>
          <w:rFonts w:cs="Times New Roman"/>
          <w:szCs w:val="24"/>
        </w:rPr>
      </w:pPr>
      <w:r w:rsidRPr="00FB583E">
        <w:rPr>
          <w:rFonts w:cs="Times New Roman"/>
          <w:szCs w:val="24"/>
        </w:rPr>
        <w:t>Эхо-КГ</w:t>
      </w:r>
    </w:p>
    <w:p w14:paraId="603B9B82" w14:textId="77777777" w:rsidR="00B03B24" w:rsidRPr="00FB583E" w:rsidRDefault="00B03B24" w:rsidP="00B03B24">
      <w:pPr>
        <w:ind w:firstLine="708"/>
        <w:rPr>
          <w:b/>
        </w:rPr>
      </w:pPr>
      <w:r w:rsidRPr="00FB583E">
        <w:rPr>
          <w:b/>
        </w:rPr>
        <w:t>Консультация специалистов:</w:t>
      </w:r>
    </w:p>
    <w:p w14:paraId="69C9BAFE" w14:textId="77777777" w:rsidR="00B03B24" w:rsidRPr="00FB583E" w:rsidRDefault="00B03B24" w:rsidP="00B03B24">
      <w:pPr>
        <w:pStyle w:val="afe"/>
        <w:numPr>
          <w:ilvl w:val="0"/>
          <w:numId w:val="111"/>
        </w:numPr>
        <w:rPr>
          <w:rFonts w:cs="Times New Roman"/>
          <w:szCs w:val="24"/>
        </w:rPr>
      </w:pPr>
      <w:r w:rsidRPr="00FB583E">
        <w:rPr>
          <w:rFonts w:cs="Times New Roman"/>
          <w:szCs w:val="24"/>
        </w:rPr>
        <w:t>Невролог – для оценки неврологического статуса</w:t>
      </w:r>
    </w:p>
    <w:p w14:paraId="7B178A45" w14:textId="77777777" w:rsidR="00B03B24" w:rsidRPr="00FB583E" w:rsidRDefault="00B03B24" w:rsidP="00B03B24">
      <w:pPr>
        <w:pStyle w:val="afe"/>
        <w:numPr>
          <w:ilvl w:val="0"/>
          <w:numId w:val="111"/>
        </w:numPr>
        <w:rPr>
          <w:rFonts w:cs="Times New Roman"/>
          <w:szCs w:val="24"/>
        </w:rPr>
      </w:pPr>
      <w:r w:rsidRPr="00FB583E">
        <w:rPr>
          <w:rFonts w:cs="Times New Roman"/>
          <w:szCs w:val="24"/>
        </w:rPr>
        <w:t>Нейрохирург – для  СТБ при очаговом поражении головного мозга для верификации диагноза.</w:t>
      </w:r>
    </w:p>
    <w:p w14:paraId="51207DC4" w14:textId="77777777" w:rsidR="00B03B24" w:rsidRPr="00FB583E" w:rsidRDefault="00B03B24" w:rsidP="00B03B24">
      <w:pPr>
        <w:pStyle w:val="afe"/>
        <w:numPr>
          <w:ilvl w:val="0"/>
          <w:numId w:val="111"/>
        </w:numPr>
        <w:rPr>
          <w:rFonts w:cs="Times New Roman"/>
          <w:szCs w:val="24"/>
        </w:rPr>
      </w:pPr>
      <w:r w:rsidRPr="00FB583E">
        <w:rPr>
          <w:rFonts w:cs="Times New Roman"/>
          <w:szCs w:val="24"/>
        </w:rPr>
        <w:t>Офтальмолог – для оценки состояния глазного дна.</w:t>
      </w:r>
    </w:p>
    <w:p w14:paraId="6685960D" w14:textId="77777777" w:rsidR="00B03B24" w:rsidRPr="00FB583E" w:rsidRDefault="00B03B24" w:rsidP="00B03B24">
      <w:pPr>
        <w:pStyle w:val="afe"/>
        <w:numPr>
          <w:ilvl w:val="0"/>
          <w:numId w:val="111"/>
        </w:numPr>
        <w:rPr>
          <w:rFonts w:cs="Times New Roman"/>
          <w:szCs w:val="24"/>
        </w:rPr>
      </w:pPr>
      <w:r w:rsidRPr="00FB583E">
        <w:rPr>
          <w:rFonts w:cs="Times New Roman"/>
          <w:szCs w:val="24"/>
        </w:rPr>
        <w:t>По показаниям привлекаются другие специалисты:</w:t>
      </w:r>
    </w:p>
    <w:p w14:paraId="2DDA665D" w14:textId="77777777" w:rsidR="00B03B24" w:rsidRPr="00FB583E" w:rsidRDefault="00B03B24" w:rsidP="00B03B24">
      <w:pPr>
        <w:pStyle w:val="afe"/>
        <w:numPr>
          <w:ilvl w:val="1"/>
          <w:numId w:val="111"/>
        </w:numPr>
        <w:rPr>
          <w:rFonts w:cs="Times New Roman"/>
          <w:szCs w:val="24"/>
        </w:rPr>
      </w:pPr>
      <w:r w:rsidRPr="00FB583E">
        <w:rPr>
          <w:rFonts w:cs="Times New Roman"/>
          <w:szCs w:val="24"/>
        </w:rPr>
        <w:t>рентгенолог</w:t>
      </w:r>
    </w:p>
    <w:p w14:paraId="2E95B801" w14:textId="77777777" w:rsidR="00B03B24" w:rsidRPr="00FB583E" w:rsidRDefault="00B03B24" w:rsidP="00B03B24">
      <w:pPr>
        <w:pStyle w:val="afe"/>
        <w:numPr>
          <w:ilvl w:val="1"/>
          <w:numId w:val="111"/>
        </w:numPr>
        <w:rPr>
          <w:rFonts w:cs="Times New Roman"/>
          <w:szCs w:val="24"/>
        </w:rPr>
      </w:pPr>
      <w:r w:rsidRPr="00FB583E">
        <w:rPr>
          <w:rFonts w:cs="Times New Roman"/>
          <w:szCs w:val="24"/>
        </w:rPr>
        <w:t>психиатр</w:t>
      </w:r>
    </w:p>
    <w:p w14:paraId="40C0DD5F" w14:textId="77777777" w:rsidR="00B03B24" w:rsidRPr="00FB583E" w:rsidRDefault="00B03B24" w:rsidP="00B03B24">
      <w:pPr>
        <w:pStyle w:val="afe"/>
        <w:numPr>
          <w:ilvl w:val="1"/>
          <w:numId w:val="111"/>
        </w:numPr>
        <w:rPr>
          <w:rFonts w:cs="Times New Roman"/>
          <w:szCs w:val="24"/>
        </w:rPr>
      </w:pPr>
      <w:r w:rsidRPr="00FB583E">
        <w:rPr>
          <w:rFonts w:cs="Times New Roman"/>
          <w:szCs w:val="24"/>
        </w:rPr>
        <w:t>психолог</w:t>
      </w:r>
    </w:p>
    <w:p w14:paraId="41F96BA4" w14:textId="77777777" w:rsidR="00B03B24" w:rsidRPr="00FB583E" w:rsidRDefault="00B03B24" w:rsidP="00B03B24">
      <w:pPr>
        <w:pStyle w:val="afe"/>
        <w:numPr>
          <w:ilvl w:val="1"/>
          <w:numId w:val="111"/>
        </w:numPr>
        <w:rPr>
          <w:rFonts w:cs="Times New Roman"/>
          <w:szCs w:val="24"/>
        </w:rPr>
      </w:pPr>
      <w:r w:rsidRPr="00FB583E">
        <w:rPr>
          <w:rFonts w:cs="Times New Roman"/>
          <w:szCs w:val="24"/>
        </w:rPr>
        <w:lastRenderedPageBreak/>
        <w:t>кинезиотерапевт</w:t>
      </w:r>
    </w:p>
    <w:p w14:paraId="18A33C29" w14:textId="77777777" w:rsidR="00B03B24" w:rsidRPr="00FB583E" w:rsidRDefault="00B03B24" w:rsidP="00B03B24">
      <w:pPr>
        <w:ind w:firstLine="708"/>
        <w:rPr>
          <w:b/>
        </w:rPr>
      </w:pPr>
      <w:r w:rsidRPr="00FB583E">
        <w:rPr>
          <w:b/>
        </w:rPr>
        <w:t xml:space="preserve">Лекарственная терапия </w:t>
      </w:r>
    </w:p>
    <w:p w14:paraId="4947B29B" w14:textId="77777777" w:rsidR="00B03B24" w:rsidRPr="00FB583E" w:rsidRDefault="00B03B24" w:rsidP="00B03B24">
      <w:pPr>
        <w:pStyle w:val="afe"/>
        <w:numPr>
          <w:ilvl w:val="0"/>
          <w:numId w:val="111"/>
        </w:numPr>
        <w:rPr>
          <w:rFonts w:cs="Times New Roman"/>
          <w:szCs w:val="24"/>
        </w:rPr>
      </w:pPr>
      <w:r w:rsidRPr="00FB583E">
        <w:rPr>
          <w:rFonts w:cs="Times New Roman"/>
          <w:szCs w:val="24"/>
        </w:rPr>
        <w:t>Антибактериальная, противовирусная, противогрибковая терапия согласно выявленной инфекции</w:t>
      </w:r>
    </w:p>
    <w:p w14:paraId="5E9BC99C" w14:textId="77777777" w:rsidR="00B03B24" w:rsidRPr="00FB583E" w:rsidRDefault="00B03B24" w:rsidP="00B03B24">
      <w:pPr>
        <w:pStyle w:val="afe"/>
        <w:numPr>
          <w:ilvl w:val="0"/>
          <w:numId w:val="111"/>
        </w:numPr>
        <w:rPr>
          <w:rFonts w:cs="Times New Roman"/>
          <w:szCs w:val="24"/>
        </w:rPr>
      </w:pPr>
      <w:r w:rsidRPr="00FB583E">
        <w:rPr>
          <w:rFonts w:cs="Times New Roman"/>
          <w:szCs w:val="24"/>
        </w:rPr>
        <w:t>Противоэпилептическая терапия, в том числе: леветирацетам в/в, табл; конвулекс в/в, таб; прегабалин капс; габапентин таб, клоназепам таб; фенобарбитал таб, окскарбазепин таб, ламотриджил таб, диазепам в/в, таб.</w:t>
      </w:r>
    </w:p>
    <w:p w14:paraId="199255B1"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Противоотечные препараты – маннитол в/в, лазикс в/в, ацетазоламид (диакарб) в таб. </w:t>
      </w:r>
    </w:p>
    <w:p w14:paraId="1DEE2FFC" w14:textId="77777777" w:rsidR="00B03B24" w:rsidRPr="00FB583E" w:rsidRDefault="00B03B24" w:rsidP="00B03B24">
      <w:pPr>
        <w:pStyle w:val="afe"/>
        <w:numPr>
          <w:ilvl w:val="0"/>
          <w:numId w:val="111"/>
        </w:numPr>
        <w:rPr>
          <w:rFonts w:cs="Times New Roman"/>
          <w:szCs w:val="24"/>
        </w:rPr>
      </w:pPr>
      <w:r w:rsidRPr="00FB583E">
        <w:rPr>
          <w:rFonts w:cs="Times New Roman"/>
          <w:szCs w:val="24"/>
        </w:rPr>
        <w:t>Противорвотная терапия – ондансетрон в/в</w:t>
      </w:r>
    </w:p>
    <w:p w14:paraId="55B3915D" w14:textId="77777777" w:rsidR="00B03B24" w:rsidRPr="00FB583E" w:rsidRDefault="00B03B24" w:rsidP="00B03B24">
      <w:pPr>
        <w:pStyle w:val="afe"/>
        <w:numPr>
          <w:ilvl w:val="0"/>
          <w:numId w:val="111"/>
        </w:numPr>
        <w:rPr>
          <w:rFonts w:cs="Times New Roman"/>
          <w:szCs w:val="24"/>
        </w:rPr>
      </w:pPr>
      <w:r w:rsidRPr="00FB583E">
        <w:rPr>
          <w:rFonts w:cs="Times New Roman"/>
          <w:szCs w:val="24"/>
        </w:rPr>
        <w:t>Нейропротекторная терапия – аминофенилмаслянная кислота таб.</w:t>
      </w:r>
    </w:p>
    <w:p w14:paraId="64DC8D2D" w14:textId="77777777" w:rsidR="00B03B24" w:rsidRPr="00FB583E" w:rsidRDefault="00B03B24" w:rsidP="00B03B24">
      <w:pPr>
        <w:pStyle w:val="afe"/>
        <w:numPr>
          <w:ilvl w:val="0"/>
          <w:numId w:val="111"/>
        </w:numPr>
        <w:rPr>
          <w:rFonts w:cs="Times New Roman"/>
          <w:szCs w:val="24"/>
        </w:rPr>
      </w:pPr>
      <w:r w:rsidRPr="00FB583E">
        <w:rPr>
          <w:rFonts w:cs="Times New Roman"/>
          <w:szCs w:val="24"/>
        </w:rPr>
        <w:t>Антидепрессанты –  по назначению психиатра</w:t>
      </w:r>
    </w:p>
    <w:p w14:paraId="7C20E2DE"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Витаминотерапия </w:t>
      </w:r>
    </w:p>
    <w:p w14:paraId="14AC5197" w14:textId="77777777" w:rsidR="00B03B24" w:rsidRPr="00FB583E" w:rsidRDefault="00B03B24" w:rsidP="00B03B24"/>
    <w:p w14:paraId="31C2D9E9" w14:textId="77777777" w:rsidR="00B03B24" w:rsidRPr="00FB583E" w:rsidRDefault="00B03B24" w:rsidP="00B03B24">
      <w:pPr>
        <w:rPr>
          <w:i/>
          <w:u w:val="single"/>
        </w:rPr>
      </w:pPr>
      <w:r w:rsidRPr="00FB583E">
        <w:rPr>
          <w:i/>
          <w:u w:val="single"/>
        </w:rPr>
        <w:t>Когнитивные нарушения у гематологических пациентов.</w:t>
      </w:r>
    </w:p>
    <w:p w14:paraId="1B2E8122" w14:textId="77777777" w:rsidR="00B03B24" w:rsidRPr="00FB583E" w:rsidRDefault="00B03B24" w:rsidP="00B03B24">
      <w:pPr>
        <w:ind w:firstLine="708"/>
      </w:pPr>
      <w:r w:rsidRPr="00FB583E">
        <w:t>Гематологические заболевания и их терапия</w:t>
      </w:r>
      <w:r w:rsidRPr="00FB583E">
        <w:rPr>
          <w:rFonts w:eastAsia="+mj-ea"/>
          <w:bCs/>
          <w:color w:val="000000"/>
          <w:kern w:val="24"/>
        </w:rPr>
        <w:t xml:space="preserve"> иммунодепрессантами и цитотоксическими препаратами, а также высокоинтенсивная специфическая терапия, в том числе, трансплантация гемопоэтических стволовых клеток</w:t>
      </w:r>
      <w:r w:rsidRPr="00FB583E">
        <w:t xml:space="preserve"> могут приводить к формированию у пациентов когнитивных расстройств различной степени тяжести, которые сопровождаются изменениями нейрофизиологических показателей (ЭЭГ, ВП) и данных нейровизуализации (КТ, МРТ). Нарушение когнитивных функций усугубляет у пациента симптомы депрессии и тревоги.</w:t>
      </w:r>
    </w:p>
    <w:p w14:paraId="621CC5BF" w14:textId="77777777" w:rsidR="00B03B24" w:rsidRPr="00FB583E" w:rsidRDefault="00B03B24" w:rsidP="00B03B24">
      <w:pPr>
        <w:ind w:firstLine="708"/>
        <w:rPr>
          <w:color w:val="333333"/>
          <w:shd w:val="clear" w:color="auto" w:fill="FFFFFF"/>
        </w:rPr>
      </w:pPr>
      <w:r w:rsidRPr="00FB583E">
        <w:rPr>
          <w:b/>
        </w:rPr>
        <w:t>Клинические проявления:</w:t>
      </w:r>
      <w:r>
        <w:rPr>
          <w:b/>
        </w:rPr>
        <w:t xml:space="preserve"> </w:t>
      </w:r>
      <w:r w:rsidRPr="00FB583E">
        <w:t>в</w:t>
      </w:r>
      <w:r w:rsidRPr="00FB583E">
        <w:rPr>
          <w:color w:val="333333"/>
          <w:shd w:val="clear" w:color="auto" w:fill="FFFFFF"/>
        </w:rPr>
        <w:t xml:space="preserve"> соответствии с критериями </w:t>
      </w:r>
      <w:r w:rsidRPr="00FB583E">
        <w:rPr>
          <w:color w:val="333333"/>
        </w:rPr>
        <w:t>Clinical Dementia Rating,</w:t>
      </w:r>
      <w:r w:rsidRPr="00FB583E">
        <w:rPr>
          <w:color w:val="333333"/>
          <w:shd w:val="clear" w:color="auto" w:fill="FFFFFF"/>
        </w:rPr>
        <w:t xml:space="preserve"> для распознавания синдрома мягкой деменции необходимо выявление следующих признаков: постоянное умеренное снижение памяти, частичная дезориентировка во времени; нарушение абстрактного мышления; нарушение повседневной деятельности и проч. </w:t>
      </w:r>
    </w:p>
    <w:p w14:paraId="04DB2CC6" w14:textId="77777777" w:rsidR="00B03B24" w:rsidRPr="00FB583E" w:rsidRDefault="00B03B24" w:rsidP="00B03B24">
      <w:pPr>
        <w:ind w:firstLine="708"/>
        <w:rPr>
          <w:b/>
        </w:rPr>
      </w:pPr>
      <w:r w:rsidRPr="00FB583E">
        <w:rPr>
          <w:b/>
        </w:rPr>
        <w:t>Для первичной диагностики оценивается:</w:t>
      </w:r>
    </w:p>
    <w:p w14:paraId="6751491F"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жалобы; </w:t>
      </w:r>
    </w:p>
    <w:p w14:paraId="346F1602"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анамнез; </w:t>
      </w:r>
    </w:p>
    <w:p w14:paraId="24AC2C36"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оценка функционального статуса по шкале Карновского; </w:t>
      </w:r>
    </w:p>
    <w:p w14:paraId="7C28D327"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неврологический статус с оценкой общемозговой, очаговой и менингеальной симптоматики; </w:t>
      </w:r>
    </w:p>
    <w:p w14:paraId="45398092"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оценка психологического статуса с использованием психометрических и нейропсихологических инструментов: Монреальская шкала оценки </w:t>
      </w:r>
      <w:r w:rsidRPr="00FB583E">
        <w:rPr>
          <w:rFonts w:cs="Times New Roman"/>
          <w:szCs w:val="24"/>
        </w:rPr>
        <w:lastRenderedPageBreak/>
        <w:t>когнитивных функций MoCA, Госпитальная шкала тревоги и депрессии HADS, «запоминание 10 слов», «запоминание 2 пары по 3 слова» , проба «кулак-ребро-ладонь», проба на реципрокную координацию, праксис позы пальцев, пробы Хеда, графомоторная проба, вербальная беглость (фонетическая и семантическая), таблицы Шульте, решение математических задач, счет по Крепелину, методика «от 100 по 7», пересказ рассказа;</w:t>
      </w:r>
    </w:p>
    <w:p w14:paraId="4A062F30"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оценка психического состояния; </w:t>
      </w:r>
    </w:p>
    <w:p w14:paraId="6A4D2F95" w14:textId="77777777" w:rsidR="00B03B24" w:rsidRPr="00FB583E" w:rsidRDefault="00B03B24" w:rsidP="00B03B24">
      <w:pPr>
        <w:pStyle w:val="afe"/>
        <w:numPr>
          <w:ilvl w:val="0"/>
          <w:numId w:val="111"/>
        </w:numPr>
        <w:rPr>
          <w:rFonts w:cs="Times New Roman"/>
          <w:szCs w:val="24"/>
        </w:rPr>
      </w:pPr>
      <w:r w:rsidRPr="00FB583E">
        <w:rPr>
          <w:rFonts w:cs="Times New Roman"/>
          <w:szCs w:val="24"/>
        </w:rPr>
        <w:t>нейрофизиологические исследования - ЭЭГ, КВП;</w:t>
      </w:r>
    </w:p>
    <w:p w14:paraId="2E275D98" w14:textId="77777777" w:rsidR="00B03B24" w:rsidRPr="00FB583E" w:rsidRDefault="00B03B24" w:rsidP="00B03B24">
      <w:pPr>
        <w:pStyle w:val="afe"/>
        <w:numPr>
          <w:ilvl w:val="0"/>
          <w:numId w:val="111"/>
        </w:numPr>
        <w:rPr>
          <w:rFonts w:cs="Times New Roman"/>
          <w:szCs w:val="24"/>
        </w:rPr>
      </w:pPr>
      <w:r w:rsidRPr="00FB583E">
        <w:rPr>
          <w:rFonts w:cs="Times New Roman"/>
          <w:szCs w:val="24"/>
        </w:rPr>
        <w:t>нейровизуализационные исследования -  МРТ / КТ головного мозга.</w:t>
      </w:r>
    </w:p>
    <w:p w14:paraId="373E4A5D" w14:textId="77777777" w:rsidR="00B03B24" w:rsidRPr="00FB583E" w:rsidRDefault="00B03B24" w:rsidP="00B03B24">
      <w:pPr>
        <w:ind w:left="12" w:firstLine="708"/>
        <w:rPr>
          <w:b/>
        </w:rPr>
      </w:pPr>
      <w:r w:rsidRPr="00FB583E">
        <w:rPr>
          <w:b/>
        </w:rPr>
        <w:t>Лабораторная диагностика:</w:t>
      </w:r>
      <w:r>
        <w:rPr>
          <w:b/>
        </w:rPr>
        <w:t xml:space="preserve"> </w:t>
      </w:r>
      <w:r w:rsidRPr="00FB583E">
        <w:t xml:space="preserve">по назначению гематолога. </w:t>
      </w:r>
      <w:r w:rsidRPr="00FB583E">
        <w:rPr>
          <w:b/>
        </w:rPr>
        <w:t xml:space="preserve"> </w:t>
      </w:r>
    </w:p>
    <w:p w14:paraId="6BB7A9D3" w14:textId="77777777" w:rsidR="00B03B24" w:rsidRPr="00FB583E" w:rsidRDefault="00B03B24" w:rsidP="00B03B24">
      <w:pPr>
        <w:ind w:firstLine="708"/>
        <w:rPr>
          <w:b/>
        </w:rPr>
      </w:pPr>
      <w:r w:rsidRPr="00FB583E">
        <w:rPr>
          <w:b/>
        </w:rPr>
        <w:t>Инструментальная диагностика:</w:t>
      </w:r>
    </w:p>
    <w:p w14:paraId="7FFAEDE6"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КТ с внутривенным контрастированием или МРТ головного мозга </w:t>
      </w:r>
    </w:p>
    <w:p w14:paraId="58858046" w14:textId="77777777" w:rsidR="00B03B24" w:rsidRPr="00FB583E" w:rsidRDefault="00B03B24" w:rsidP="00B03B24">
      <w:pPr>
        <w:pStyle w:val="afe"/>
        <w:numPr>
          <w:ilvl w:val="0"/>
          <w:numId w:val="111"/>
        </w:numPr>
        <w:rPr>
          <w:rFonts w:cs="Times New Roman"/>
          <w:szCs w:val="24"/>
        </w:rPr>
      </w:pPr>
      <w:r w:rsidRPr="00FB583E">
        <w:rPr>
          <w:rFonts w:cs="Times New Roman"/>
          <w:szCs w:val="24"/>
        </w:rPr>
        <w:t>ЭЭГ с функциональными пробами для определения функционального состояния головного мозга и исключения эпиактивности</w:t>
      </w:r>
    </w:p>
    <w:p w14:paraId="1496D0AE" w14:textId="77777777" w:rsidR="00B03B24" w:rsidRPr="00FB583E" w:rsidRDefault="00B03B24" w:rsidP="00B03B24">
      <w:pPr>
        <w:pStyle w:val="afe"/>
        <w:numPr>
          <w:ilvl w:val="0"/>
          <w:numId w:val="111"/>
        </w:numPr>
        <w:rPr>
          <w:rFonts w:cs="Times New Roman"/>
          <w:szCs w:val="24"/>
        </w:rPr>
      </w:pPr>
      <w:r w:rsidRPr="00FB583E">
        <w:rPr>
          <w:rFonts w:cs="Times New Roman"/>
          <w:szCs w:val="24"/>
        </w:rPr>
        <w:t>КВП</w:t>
      </w:r>
    </w:p>
    <w:p w14:paraId="78D04F1E" w14:textId="77777777" w:rsidR="00B03B24" w:rsidRPr="00FB583E" w:rsidRDefault="00B03B24" w:rsidP="00B03B24">
      <w:pPr>
        <w:pStyle w:val="afe"/>
        <w:numPr>
          <w:ilvl w:val="0"/>
          <w:numId w:val="111"/>
        </w:numPr>
        <w:rPr>
          <w:rFonts w:cs="Times New Roman"/>
          <w:szCs w:val="24"/>
        </w:rPr>
      </w:pPr>
      <w:r w:rsidRPr="00FB583E">
        <w:rPr>
          <w:rFonts w:cs="Times New Roman"/>
          <w:szCs w:val="24"/>
        </w:rPr>
        <w:t xml:space="preserve">ВП различной модальности (по показаниям): ЗВП, КАСВП, ССВП </w:t>
      </w:r>
    </w:p>
    <w:p w14:paraId="6A781CAB" w14:textId="77777777" w:rsidR="00B03B24" w:rsidRPr="00FB583E" w:rsidRDefault="00B03B24" w:rsidP="00B03B24">
      <w:pPr>
        <w:pStyle w:val="afe"/>
        <w:numPr>
          <w:ilvl w:val="0"/>
          <w:numId w:val="111"/>
        </w:numPr>
        <w:rPr>
          <w:rFonts w:cs="Times New Roman"/>
          <w:szCs w:val="24"/>
        </w:rPr>
      </w:pPr>
      <w:r w:rsidRPr="00FB583E">
        <w:rPr>
          <w:rFonts w:cs="Times New Roman"/>
          <w:szCs w:val="24"/>
        </w:rPr>
        <w:t>ТКМС (по показаниям)</w:t>
      </w:r>
    </w:p>
    <w:p w14:paraId="1CF0C62F" w14:textId="77777777" w:rsidR="00B03B24" w:rsidRPr="00FB583E" w:rsidRDefault="00B03B24" w:rsidP="00B03B24">
      <w:pPr>
        <w:pStyle w:val="afe"/>
        <w:numPr>
          <w:ilvl w:val="0"/>
          <w:numId w:val="111"/>
        </w:numPr>
        <w:rPr>
          <w:rFonts w:cs="Times New Roman"/>
          <w:szCs w:val="24"/>
        </w:rPr>
      </w:pPr>
      <w:r w:rsidRPr="00FB583E">
        <w:rPr>
          <w:rFonts w:cs="Times New Roman"/>
          <w:szCs w:val="24"/>
        </w:rPr>
        <w:t>УЗДГ брахиоцефальных артерий и вен (по показаниям)</w:t>
      </w:r>
    </w:p>
    <w:p w14:paraId="5BEFA86D" w14:textId="77777777" w:rsidR="00B03B24" w:rsidRPr="00FB583E" w:rsidRDefault="00B03B24" w:rsidP="00B03B24">
      <w:pPr>
        <w:pStyle w:val="afe"/>
        <w:numPr>
          <w:ilvl w:val="0"/>
          <w:numId w:val="111"/>
        </w:numPr>
        <w:rPr>
          <w:rFonts w:cs="Times New Roman"/>
          <w:szCs w:val="24"/>
        </w:rPr>
      </w:pPr>
      <w:r w:rsidRPr="00FB583E">
        <w:rPr>
          <w:rFonts w:cs="Times New Roman"/>
          <w:szCs w:val="24"/>
        </w:rPr>
        <w:t>Консультация специалистов:</w:t>
      </w:r>
    </w:p>
    <w:p w14:paraId="141D5603" w14:textId="77777777" w:rsidR="00B03B24" w:rsidRPr="00FB583E" w:rsidRDefault="00B03B24" w:rsidP="00B03B24">
      <w:pPr>
        <w:pStyle w:val="afe"/>
        <w:numPr>
          <w:ilvl w:val="0"/>
          <w:numId w:val="111"/>
        </w:numPr>
        <w:rPr>
          <w:rFonts w:cs="Times New Roman"/>
          <w:szCs w:val="24"/>
        </w:rPr>
      </w:pPr>
      <w:r w:rsidRPr="00FB583E">
        <w:rPr>
          <w:rFonts w:cs="Times New Roman"/>
          <w:szCs w:val="24"/>
        </w:rPr>
        <w:t>Невролог – для оценки неврологического статуса</w:t>
      </w:r>
    </w:p>
    <w:p w14:paraId="44796098" w14:textId="77777777" w:rsidR="00B03B24" w:rsidRPr="00FB583E" w:rsidRDefault="00B03B24" w:rsidP="00B03B24">
      <w:pPr>
        <w:pStyle w:val="afe"/>
        <w:numPr>
          <w:ilvl w:val="0"/>
          <w:numId w:val="111"/>
        </w:numPr>
        <w:rPr>
          <w:rFonts w:cs="Times New Roman"/>
          <w:szCs w:val="24"/>
        </w:rPr>
      </w:pPr>
      <w:r w:rsidRPr="00FB583E">
        <w:rPr>
          <w:rFonts w:cs="Times New Roman"/>
          <w:szCs w:val="24"/>
        </w:rPr>
        <w:t>Офтальмолог – для оценки состояния глазного дна</w:t>
      </w:r>
    </w:p>
    <w:p w14:paraId="7F7B8733" w14:textId="77777777" w:rsidR="00B03B24" w:rsidRPr="00FB583E" w:rsidRDefault="00B03B24" w:rsidP="00B03B24">
      <w:pPr>
        <w:pStyle w:val="afe"/>
        <w:numPr>
          <w:ilvl w:val="0"/>
          <w:numId w:val="111"/>
        </w:numPr>
        <w:rPr>
          <w:rFonts w:cs="Times New Roman"/>
          <w:szCs w:val="24"/>
        </w:rPr>
      </w:pPr>
      <w:r w:rsidRPr="00FB583E">
        <w:rPr>
          <w:rFonts w:cs="Times New Roman"/>
          <w:szCs w:val="24"/>
        </w:rPr>
        <w:t>Психиатр</w:t>
      </w:r>
    </w:p>
    <w:p w14:paraId="40FEA384" w14:textId="77777777" w:rsidR="00B03B24" w:rsidRPr="00FB583E" w:rsidRDefault="00B03B24" w:rsidP="00B03B24">
      <w:pPr>
        <w:pStyle w:val="afe"/>
        <w:numPr>
          <w:ilvl w:val="0"/>
          <w:numId w:val="111"/>
        </w:numPr>
        <w:rPr>
          <w:rFonts w:cs="Times New Roman"/>
          <w:szCs w:val="24"/>
        </w:rPr>
      </w:pPr>
      <w:r w:rsidRPr="00FB583E">
        <w:rPr>
          <w:rFonts w:cs="Times New Roman"/>
          <w:szCs w:val="24"/>
        </w:rPr>
        <w:t>Психолог</w:t>
      </w:r>
    </w:p>
    <w:p w14:paraId="03D3DFB1" w14:textId="77777777" w:rsidR="00B03B24" w:rsidRPr="00FB583E" w:rsidRDefault="00B03B24" w:rsidP="00B03B24">
      <w:pPr>
        <w:pStyle w:val="afe"/>
        <w:numPr>
          <w:ilvl w:val="0"/>
          <w:numId w:val="111"/>
        </w:numPr>
        <w:rPr>
          <w:rFonts w:cs="Times New Roman"/>
          <w:szCs w:val="24"/>
        </w:rPr>
      </w:pPr>
      <w:r w:rsidRPr="00FB583E">
        <w:rPr>
          <w:rFonts w:cs="Times New Roman"/>
          <w:szCs w:val="24"/>
        </w:rPr>
        <w:t>радиолог (по показаниям)</w:t>
      </w:r>
    </w:p>
    <w:p w14:paraId="72392984" w14:textId="77777777" w:rsidR="00B03B24" w:rsidRPr="00FB583E" w:rsidRDefault="00B03B24" w:rsidP="00B03B24">
      <w:pPr>
        <w:ind w:firstLine="708"/>
        <w:rPr>
          <w:b/>
        </w:rPr>
      </w:pPr>
      <w:r w:rsidRPr="00FB583E">
        <w:rPr>
          <w:b/>
        </w:rPr>
        <w:t xml:space="preserve">Лекарственная терапия: </w:t>
      </w:r>
      <w:r w:rsidRPr="00FB583E">
        <w:rPr>
          <w:bCs/>
          <w:color w:val="000000"/>
          <w:lang w:eastAsia="ar-SA"/>
        </w:rPr>
        <w:t xml:space="preserve">нейропротективные препараты </w:t>
      </w:r>
      <w:r w:rsidRPr="00FB583E">
        <w:t>назначаются пациентам, у которых выявляются когнитивные нарушения при отсутствии явных психопатологических расстройств (кроме астенических нарушений):</w:t>
      </w:r>
    </w:p>
    <w:p w14:paraId="15FAB134" w14:textId="77777777" w:rsidR="00B03B24" w:rsidRPr="00FB583E" w:rsidRDefault="00B03B24" w:rsidP="00B03B24">
      <w:pPr>
        <w:pStyle w:val="afe"/>
        <w:numPr>
          <w:ilvl w:val="0"/>
          <w:numId w:val="111"/>
        </w:numPr>
        <w:rPr>
          <w:rFonts w:cs="Times New Roman"/>
          <w:szCs w:val="24"/>
        </w:rPr>
      </w:pPr>
      <w:r w:rsidRPr="00FB583E">
        <w:rPr>
          <w:rFonts w:cs="Times New Roman"/>
          <w:szCs w:val="24"/>
        </w:rPr>
        <w:t>Цитиколин в/в -  4 недели.</w:t>
      </w:r>
    </w:p>
    <w:p w14:paraId="4D6CE24B" w14:textId="77777777" w:rsidR="00B03B24" w:rsidRPr="00FB583E" w:rsidRDefault="00B03B24" w:rsidP="00B03B24">
      <w:pPr>
        <w:pStyle w:val="afe"/>
        <w:numPr>
          <w:ilvl w:val="0"/>
          <w:numId w:val="111"/>
        </w:numPr>
        <w:rPr>
          <w:rFonts w:cs="Times New Roman"/>
          <w:szCs w:val="24"/>
        </w:rPr>
      </w:pPr>
      <w:r w:rsidRPr="00FB583E">
        <w:rPr>
          <w:rFonts w:cs="Times New Roman"/>
          <w:szCs w:val="24"/>
        </w:rPr>
        <w:t>Холина альфоцерат в/в - 4 недели.</w:t>
      </w:r>
    </w:p>
    <w:p w14:paraId="65323F3F" w14:textId="77777777" w:rsidR="00B03B24" w:rsidRDefault="00B03B24" w:rsidP="00B03B24">
      <w:pPr>
        <w:pStyle w:val="afe"/>
        <w:numPr>
          <w:ilvl w:val="0"/>
          <w:numId w:val="111"/>
        </w:numPr>
        <w:rPr>
          <w:rFonts w:cs="Times New Roman"/>
          <w:szCs w:val="24"/>
        </w:rPr>
      </w:pPr>
      <w:r w:rsidRPr="00FB583E">
        <w:rPr>
          <w:rFonts w:cs="Times New Roman"/>
          <w:szCs w:val="24"/>
        </w:rPr>
        <w:t>Ипидакрин (не применятся у больных с эпилепсией) в таблетках - 4 недели (дозы препаратов в соответствии с рекомендуемым для пациентов общесоматической сети и не зависящие от тяжести соматического состояния)</w:t>
      </w:r>
    </w:p>
    <w:p w14:paraId="53B13238" w14:textId="77777777" w:rsidR="00B03B24" w:rsidRDefault="00B03B24" w:rsidP="00B03B24">
      <w:pPr>
        <w:pStyle w:val="afe"/>
        <w:numPr>
          <w:ilvl w:val="0"/>
          <w:numId w:val="111"/>
        </w:numPr>
        <w:rPr>
          <w:rFonts w:cs="Times New Roman"/>
          <w:szCs w:val="24"/>
        </w:rPr>
      </w:pPr>
      <w:r w:rsidRPr="00FB583E">
        <w:rPr>
          <w:rFonts w:cs="Times New Roman"/>
          <w:szCs w:val="24"/>
        </w:rPr>
        <w:lastRenderedPageBreak/>
        <w:t>При психических нарушениях по рекомендации психиатра назначаются транквилизаторы, антидепрессанты, нейролептики (см. рекомендации психиатра)</w:t>
      </w:r>
    </w:p>
    <w:p w14:paraId="4FE0827B" w14:textId="77777777" w:rsidR="00B03B24" w:rsidRPr="00FB583E" w:rsidRDefault="00B03B24" w:rsidP="00B03B24">
      <w:pPr>
        <w:pStyle w:val="afe"/>
        <w:numPr>
          <w:ilvl w:val="0"/>
          <w:numId w:val="111"/>
        </w:numPr>
        <w:rPr>
          <w:rFonts w:cs="Times New Roman"/>
          <w:szCs w:val="24"/>
        </w:rPr>
      </w:pPr>
      <w:r w:rsidRPr="00FB583E">
        <w:rPr>
          <w:rFonts w:eastAsia="Times New Roman" w:cs="Times New Roman"/>
          <w:bCs/>
          <w:color w:val="000000"/>
          <w:szCs w:val="24"/>
          <w:lang w:eastAsia="ar-SA"/>
        </w:rPr>
        <w:t>Когнитивно-поведенческая психотерапия с элементами психообразования по рекомендации психолога</w:t>
      </w:r>
    </w:p>
    <w:p w14:paraId="72FA975A" w14:textId="77777777" w:rsidR="00B03B24" w:rsidRPr="00FB583E" w:rsidRDefault="00B03B24" w:rsidP="00B03B24">
      <w:pPr>
        <w:pStyle w:val="afe"/>
        <w:autoSpaceDE w:val="0"/>
        <w:autoSpaceDN w:val="0"/>
        <w:adjustRightInd w:val="0"/>
        <w:rPr>
          <w:rFonts w:cs="Times New Roman"/>
          <w:szCs w:val="24"/>
        </w:rPr>
      </w:pPr>
    </w:p>
    <w:p w14:paraId="389CFECC" w14:textId="26383AF6" w:rsidR="004C51FF" w:rsidRPr="004C51FF" w:rsidRDefault="00B03B24" w:rsidP="004C51FF">
      <w:pPr>
        <w:pStyle w:val="2"/>
        <w:spacing w:before="0"/>
      </w:pPr>
      <w:bookmarkStart w:id="91" w:name="_Toc66096853"/>
      <w:r w:rsidRPr="000322E4">
        <w:t>7.</w:t>
      </w:r>
      <w:r>
        <w:t xml:space="preserve">19 </w:t>
      </w:r>
      <w:r w:rsidR="004C51FF" w:rsidRPr="00DC46B0">
        <w:t>Кардиологическое обследование и лечение пациентов с гематологическими заболеваниями</w:t>
      </w:r>
      <w:bookmarkEnd w:id="91"/>
    </w:p>
    <w:p w14:paraId="44CE550D" w14:textId="77777777" w:rsidR="004C51FF" w:rsidRPr="00DC46B0" w:rsidRDefault="004C51FF" w:rsidP="004C51FF">
      <w:pPr>
        <w:ind w:firstLine="709"/>
      </w:pPr>
      <w:r w:rsidRPr="00DC46B0">
        <w:t xml:space="preserve">Накопленный опыт длительного наблюдения и лечения пациентов с онкогематологическими заболеваниями показывает, что кардиологические проблемы не только влияют на выбор гематологической терапии и возможность ее продолжения, но и существенно влияют на качество и продолжительность жизни, поэтому вопросы сопроводительного кардиологического ведения в гематологической практике крайне актуальны и важны. </w:t>
      </w:r>
    </w:p>
    <w:p w14:paraId="3AA19F07" w14:textId="103DFB04" w:rsidR="004C51FF" w:rsidRPr="00DC46B0" w:rsidRDefault="004C51FF" w:rsidP="004C51FF">
      <w:pPr>
        <w:ind w:firstLine="709"/>
      </w:pPr>
      <w:r w:rsidRPr="00DC46B0">
        <w:t>Поражения сердечно-сосудистой системы, выявляемые у гематологических больных, можно разделить на несколько категорий</w:t>
      </w:r>
      <w:r>
        <w:t xml:space="preserve"> </w:t>
      </w:r>
      <w:r>
        <w:fldChar w:fldCharType="begin" w:fldLock="1"/>
      </w:r>
      <w:r w:rsidR="00E974B2">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[176]","plainTextFormattedCitation":"[176]","previouslyFormattedCitation":"[176]"},"properties":{"noteIndex":0},"schema":"https://github.com/citation-style-language/schema/raw/master/csl-citation.json"}</w:instrText>
      </w:r>
      <w:r>
        <w:fldChar w:fldCharType="separate"/>
      </w:r>
      <w:r w:rsidRPr="004C51FF">
        <w:rPr>
          <w:noProof/>
        </w:rPr>
        <w:t>[176]</w:t>
      </w:r>
      <w:r>
        <w:fldChar w:fldCharType="end"/>
      </w:r>
      <w:r w:rsidRPr="00DC46B0">
        <w:t>:</w:t>
      </w:r>
    </w:p>
    <w:p w14:paraId="655E9812" w14:textId="77777777" w:rsidR="004C51FF" w:rsidRPr="00DC46B0" w:rsidRDefault="004C51FF" w:rsidP="004C51FF">
      <w:pPr>
        <w:pStyle w:val="afe"/>
        <w:numPr>
          <w:ilvl w:val="0"/>
          <w:numId w:val="113"/>
        </w:numPr>
        <w:rPr>
          <w:szCs w:val="24"/>
        </w:rPr>
      </w:pPr>
      <w:r w:rsidRPr="00DC46B0">
        <w:rPr>
          <w:szCs w:val="24"/>
        </w:rPr>
        <w:t>Возникающие вследствие гематологической патологии, например:</w:t>
      </w:r>
    </w:p>
    <w:p w14:paraId="78FCE425" w14:textId="77777777" w:rsidR="004C51FF" w:rsidRPr="00DC46B0" w:rsidRDefault="004C51FF" w:rsidP="004C51FF">
      <w:pPr>
        <w:pStyle w:val="afe"/>
        <w:numPr>
          <w:ilvl w:val="1"/>
          <w:numId w:val="113"/>
        </w:numPr>
        <w:rPr>
          <w:szCs w:val="24"/>
        </w:rPr>
      </w:pPr>
      <w:r w:rsidRPr="00DC46B0">
        <w:rPr>
          <w:szCs w:val="24"/>
        </w:rPr>
        <w:t xml:space="preserve">гипертрофия миокарда (чаще при длительно существующей анемии); </w:t>
      </w:r>
    </w:p>
    <w:p w14:paraId="18C95814" w14:textId="77777777" w:rsidR="004C51FF" w:rsidRPr="00DC46B0" w:rsidRDefault="004C51FF" w:rsidP="004C51FF">
      <w:pPr>
        <w:pStyle w:val="afe"/>
        <w:numPr>
          <w:ilvl w:val="1"/>
          <w:numId w:val="113"/>
        </w:numPr>
        <w:rPr>
          <w:szCs w:val="24"/>
        </w:rPr>
      </w:pPr>
      <w:r w:rsidRPr="00DC46B0">
        <w:rPr>
          <w:szCs w:val="24"/>
        </w:rPr>
        <w:t xml:space="preserve">кардиопатический AL-амилоидоз (чаще при множественной миеломе, реже при других лимфопролиферативных заболеваниях); </w:t>
      </w:r>
    </w:p>
    <w:p w14:paraId="7F44BBD2" w14:textId="77777777" w:rsidR="004C51FF" w:rsidRPr="00DC46B0" w:rsidRDefault="004C51FF" w:rsidP="004C51FF">
      <w:pPr>
        <w:pStyle w:val="afe"/>
        <w:numPr>
          <w:ilvl w:val="1"/>
          <w:numId w:val="113"/>
        </w:numPr>
        <w:rPr>
          <w:szCs w:val="24"/>
        </w:rPr>
      </w:pPr>
      <w:r w:rsidRPr="00DC46B0">
        <w:rPr>
          <w:szCs w:val="24"/>
        </w:rPr>
        <w:t>сдавление сердца опухолевым образованием средостения, часто с образованием выпота в перикард;</w:t>
      </w:r>
    </w:p>
    <w:p w14:paraId="0AE66F36" w14:textId="77777777" w:rsidR="004C51FF" w:rsidRPr="00DC46B0" w:rsidRDefault="004C51FF" w:rsidP="004C51FF">
      <w:pPr>
        <w:pStyle w:val="afe"/>
        <w:numPr>
          <w:ilvl w:val="1"/>
          <w:numId w:val="113"/>
        </w:numPr>
        <w:rPr>
          <w:szCs w:val="24"/>
        </w:rPr>
      </w:pPr>
      <w:r w:rsidRPr="00DC46B0">
        <w:rPr>
          <w:szCs w:val="24"/>
        </w:rPr>
        <w:t>непосредственное опухолевое поражение миокарда и оболочек сердца (например, при лимфоме, множественной миеломе и др.).</w:t>
      </w:r>
    </w:p>
    <w:p w14:paraId="45453146" w14:textId="77777777" w:rsidR="004C51FF" w:rsidRPr="00DC46B0" w:rsidRDefault="004C51FF" w:rsidP="004C51FF">
      <w:pPr>
        <w:pStyle w:val="afe"/>
        <w:numPr>
          <w:ilvl w:val="0"/>
          <w:numId w:val="113"/>
        </w:numPr>
        <w:rPr>
          <w:szCs w:val="24"/>
        </w:rPr>
      </w:pPr>
      <w:r w:rsidRPr="00DC46B0">
        <w:rPr>
          <w:szCs w:val="24"/>
        </w:rPr>
        <w:t xml:space="preserve">Кардиотоксическое поражение сердца и сосудов в результате воздействия лекарственных препаратов (развивающиеся как в период гематологического лечения, так и после его завершения). </w:t>
      </w:r>
    </w:p>
    <w:p w14:paraId="0A802F49" w14:textId="77777777" w:rsidR="004C51FF" w:rsidRPr="00DC46B0" w:rsidRDefault="004C51FF" w:rsidP="004C51FF">
      <w:pPr>
        <w:pStyle w:val="afe"/>
        <w:numPr>
          <w:ilvl w:val="0"/>
          <w:numId w:val="113"/>
        </w:numPr>
        <w:rPr>
          <w:szCs w:val="24"/>
        </w:rPr>
      </w:pPr>
      <w:r w:rsidRPr="00DC46B0">
        <w:rPr>
          <w:szCs w:val="24"/>
        </w:rPr>
        <w:t>Кардиотоксическое поражение сердца и сосудов в период или после проведения лучевой терапии (выпотной перикардит, острый коронарный синдром, поражения клапанов сердца, аорты, коронарных сосудов).</w:t>
      </w:r>
    </w:p>
    <w:p w14:paraId="72A2C9B9" w14:textId="77777777" w:rsidR="004C51FF" w:rsidRPr="00DC46B0" w:rsidRDefault="004C51FF" w:rsidP="004C51FF">
      <w:pPr>
        <w:pStyle w:val="afe"/>
        <w:numPr>
          <w:ilvl w:val="0"/>
          <w:numId w:val="113"/>
        </w:numPr>
        <w:rPr>
          <w:szCs w:val="24"/>
        </w:rPr>
      </w:pPr>
      <w:r w:rsidRPr="00DC46B0">
        <w:rPr>
          <w:szCs w:val="24"/>
        </w:rPr>
        <w:t>Сопутствующая самостоятельная кардиологическая патология, не связанная с гематологическим заболеванием (артериальная гипертония, ишемическая болезнь сердца, аритмии, и др.)</w:t>
      </w:r>
    </w:p>
    <w:p w14:paraId="6A21C5FA" w14:textId="77777777" w:rsidR="004C51FF" w:rsidRDefault="004C51FF" w:rsidP="004C51FF">
      <w:pPr>
        <w:rPr>
          <w:b/>
        </w:rPr>
      </w:pPr>
    </w:p>
    <w:p w14:paraId="2CB4E6C2" w14:textId="77777777" w:rsidR="004C51FF" w:rsidRPr="00DC46B0" w:rsidRDefault="004C51FF" w:rsidP="004C51FF">
      <w:pPr>
        <w:rPr>
          <w:i/>
          <w:u w:val="single"/>
        </w:rPr>
      </w:pPr>
      <w:r w:rsidRPr="00DC46B0">
        <w:rPr>
          <w:i/>
          <w:u w:val="single"/>
        </w:rPr>
        <w:t>Диагностика кардиальной патологии у гематологических пациентов</w:t>
      </w:r>
    </w:p>
    <w:p w14:paraId="33055946" w14:textId="0B5A890B" w:rsidR="004C51FF" w:rsidRPr="00DC46B0" w:rsidRDefault="004C51FF" w:rsidP="004C51FF">
      <w:pPr>
        <w:ind w:firstLine="708"/>
      </w:pPr>
      <w:r w:rsidRPr="00DC46B0">
        <w:lastRenderedPageBreak/>
        <w:t>На этапе диагностики гематологического заболевания одновременно рекомендовано обследование для уточнения/исключения возможной кардиологической патологии</w:t>
      </w:r>
      <w:r w:rsidRPr="00F11B54">
        <w:t xml:space="preserve"> </w:t>
      </w:r>
      <w:r>
        <w:fldChar w:fldCharType="begin" w:fldLock="1"/>
      </w:r>
      <w:r w:rsidR="00E974B2">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[176]","plainTextFormattedCitation":"[176]","previouslyFormattedCitation":"[176]"},"properties":{"noteIndex":0},"schema":"https://github.com/citation-style-language/schema/raw/master/csl-citation.json"}</w:instrText>
      </w:r>
      <w:r>
        <w:fldChar w:fldCharType="separate"/>
      </w:r>
      <w:r w:rsidRPr="004C51FF">
        <w:rPr>
          <w:noProof/>
        </w:rPr>
        <w:t>[176]</w:t>
      </w:r>
      <w:r>
        <w:fldChar w:fldCharType="end"/>
      </w:r>
      <w:r w:rsidRPr="00DC46B0">
        <w:t>.</w:t>
      </w:r>
    </w:p>
    <w:p w14:paraId="6F3EA021" w14:textId="77777777" w:rsidR="004C51FF" w:rsidRPr="00DC46B0" w:rsidRDefault="004C51FF" w:rsidP="004C51FF">
      <w:pPr>
        <w:pStyle w:val="afe"/>
        <w:numPr>
          <w:ilvl w:val="0"/>
          <w:numId w:val="114"/>
        </w:numPr>
        <w:rPr>
          <w:szCs w:val="24"/>
        </w:rPr>
      </w:pPr>
      <w:r w:rsidRPr="00DC46B0">
        <w:rPr>
          <w:szCs w:val="24"/>
        </w:rPr>
        <w:t xml:space="preserve">Осмотр (консультация) врача-гематолога с выявлением симптомов, которые могут быть обусловлены кардиальной патологией (одышка, утомляемость, плохая переносимость нагрузки, отеки нижних конечностей, и т.д.); оценкой анамнеза: наличие ишемической болезни сердца (ИБС), артериальной гипертензии (АГ), аритмии, факторов риска, семейного анамнеза;  физикальное обследование с измерением артериального давления (АД). </w:t>
      </w:r>
    </w:p>
    <w:p w14:paraId="5091F9B0" w14:textId="77777777" w:rsidR="004C51FF" w:rsidRPr="00DC46B0" w:rsidRDefault="004C51FF" w:rsidP="004C51FF">
      <w:pPr>
        <w:pStyle w:val="afe"/>
        <w:numPr>
          <w:ilvl w:val="0"/>
          <w:numId w:val="114"/>
        </w:numPr>
        <w:rPr>
          <w:szCs w:val="24"/>
        </w:rPr>
      </w:pPr>
      <w:r w:rsidRPr="00DC46B0">
        <w:rPr>
          <w:szCs w:val="24"/>
        </w:rPr>
        <w:t>Осмотр (консультация) врача-кардиолога (по показаниям)</w:t>
      </w:r>
    </w:p>
    <w:p w14:paraId="0B24BDC4" w14:textId="77777777" w:rsidR="004C51FF" w:rsidRDefault="004C51FF" w:rsidP="004C51FF">
      <w:pPr>
        <w:pStyle w:val="afe"/>
        <w:numPr>
          <w:ilvl w:val="0"/>
          <w:numId w:val="114"/>
        </w:numPr>
        <w:rPr>
          <w:szCs w:val="24"/>
        </w:rPr>
      </w:pPr>
      <w:r w:rsidRPr="00DC46B0">
        <w:rPr>
          <w:szCs w:val="24"/>
        </w:rPr>
        <w:t xml:space="preserve">Инструментальные исследования: </w:t>
      </w:r>
    </w:p>
    <w:p w14:paraId="1B90C01A" w14:textId="77777777" w:rsidR="004C51FF" w:rsidRDefault="004C51FF" w:rsidP="004C51FF">
      <w:pPr>
        <w:pStyle w:val="afe"/>
        <w:numPr>
          <w:ilvl w:val="1"/>
          <w:numId w:val="114"/>
        </w:numPr>
        <w:rPr>
          <w:szCs w:val="24"/>
        </w:rPr>
      </w:pPr>
      <w:r w:rsidRPr="00DC46B0">
        <w:rPr>
          <w:szCs w:val="24"/>
        </w:rPr>
        <w:t>Электрокардиография (ЭКГ) в 12 отведениях. На всех этапах диагностики первичного гематологического заболевания и рецидива, перед проведением гематологического лечения, в процессе проведения лечения, при оценке эффективности лечения и в процессе динамического наблюдения, при рефрактерном течении, п</w:t>
      </w:r>
      <w:r w:rsidRPr="00DC46B0">
        <w:rPr>
          <w:rFonts w:eastAsia="Times New Roman"/>
          <w:szCs w:val="24"/>
          <w:lang w:eastAsia="ru-RU"/>
        </w:rPr>
        <w:t>ри развитии осложнений –  т.е. на любом этапе диагностики, лечения и наблюдения</w:t>
      </w:r>
      <w:r w:rsidRPr="00DC46B0">
        <w:rPr>
          <w:szCs w:val="24"/>
        </w:rPr>
        <w:t xml:space="preserve"> всем пациентам необходимо проведение ЭКГ.</w:t>
      </w:r>
    </w:p>
    <w:p w14:paraId="1B266C41" w14:textId="53445166" w:rsidR="004C51FF" w:rsidRDefault="004C51FF" w:rsidP="004C51FF">
      <w:pPr>
        <w:pStyle w:val="afe"/>
        <w:numPr>
          <w:ilvl w:val="1"/>
          <w:numId w:val="114"/>
        </w:numPr>
        <w:rPr>
          <w:szCs w:val="24"/>
        </w:rPr>
      </w:pPr>
      <w:r w:rsidRPr="00DC46B0">
        <w:rPr>
          <w:szCs w:val="24"/>
        </w:rPr>
        <w:t>Эхокардиография (ЭХО-КГ)</w:t>
      </w:r>
      <w:r>
        <w:rPr>
          <w:szCs w:val="24"/>
        </w:rPr>
        <w:t xml:space="preserve"> </w:t>
      </w:r>
      <w:r>
        <w:rPr>
          <w:szCs w:val="24"/>
        </w:rPr>
        <w:fldChar w:fldCharType="begin" w:fldLock="1"/>
      </w:r>
      <w:r w:rsidR="00E974B2">
        <w:rPr>
          <w:szCs w:val="24"/>
        </w:rPr>
        <w:instrText>ADDIN CSL_CITATION {"citationItems":[{"id":"ITEM-1","itemData":{"author":[{"dropping-particle":"","family":"Васюк","given":"Ю.А.","non-dropping-particle":"","parse-names":false,"suffix":""},{"dropping-particle":"","family":"Несветов","given":"В.В.","non-dropping-particle":"","parse-names":false,"suffix":""},{"dropping-particle":"","family":"Школьник","given":"Е.Л.","non-dropping-particle":"","parse-names":false,"suffix":""},{"dropping-particle":"","family":"Фурсов","given":"С.А.","non-dropping-particle":"","parse-names":false,"suffix":""},{"dropping-particle":"","family":"Школьник","given":"Л.Д.","non-dropping-particle":"","parse-names":false,"suffix":""},{"dropping-particle":"","family":"Гендлин","given":"Г.Е.","non-dropping-particle":"","parse-names":false,"suffix":""},{"dropping-particle":"","family":"Емелина","given":"Е.И.","non-dropping-particle":"","parse-names":false,"suffix":""}],"container-title":"Кардиология","id":"ITEM-1","issue":"S4","issued":{"date-parts":[["2017"]]},"page":"31-17","title":"Возможности современных эхокардиографических технологий в ранней диагностике кардиотоксического действия химиотерапевтических препаратов антрациклинового ряда у онкологических больных.","type":"article-journal","volume":"57"},"uris":["http://www.mendeley.com/documents/?uuid=3fa599d7-1e0f-4994-84cd-b2b3148e9aa3"]}],"mendeley":{"formattedCitation":"[177]","plainTextFormattedCitation":"[177]","previouslyFormattedCitation":"[177]"},"properties":{"noteIndex":0},"schema":"https://github.com/citation-style-language/schema/raw/master/csl-citation.json"}</w:instrText>
      </w:r>
      <w:r>
        <w:rPr>
          <w:szCs w:val="24"/>
        </w:rPr>
        <w:fldChar w:fldCharType="separate"/>
      </w:r>
      <w:r w:rsidRPr="004C51FF">
        <w:rPr>
          <w:noProof/>
          <w:szCs w:val="24"/>
        </w:rPr>
        <w:t>[177]</w:t>
      </w:r>
      <w:r>
        <w:rPr>
          <w:szCs w:val="24"/>
        </w:rPr>
        <w:fldChar w:fldCharType="end"/>
      </w:r>
      <w:r w:rsidRPr="00DC46B0">
        <w:rPr>
          <w:szCs w:val="24"/>
        </w:rPr>
        <w:t xml:space="preserve">. При наличии клинических показаний или при проведении лечения с возможными кардиотоксическими проявлениями, на любом вышеуказанном этапе рекомендуется дополнительно проведение ЭХО-КГ.  </w:t>
      </w:r>
    </w:p>
    <w:p w14:paraId="2C13C60B" w14:textId="77777777" w:rsidR="004C51FF" w:rsidRDefault="004C51FF" w:rsidP="004C51FF">
      <w:pPr>
        <w:pStyle w:val="afe"/>
        <w:numPr>
          <w:ilvl w:val="0"/>
          <w:numId w:val="114"/>
        </w:numPr>
        <w:rPr>
          <w:szCs w:val="24"/>
        </w:rPr>
      </w:pPr>
      <w:r w:rsidRPr="00DC46B0">
        <w:rPr>
          <w:szCs w:val="24"/>
        </w:rPr>
        <w:t>Лабораторные исследования:</w:t>
      </w:r>
    </w:p>
    <w:p w14:paraId="0DA151F7" w14:textId="77777777" w:rsidR="004C51FF" w:rsidRDefault="004C51FF" w:rsidP="004C51FF">
      <w:pPr>
        <w:pStyle w:val="afe"/>
        <w:numPr>
          <w:ilvl w:val="1"/>
          <w:numId w:val="114"/>
        </w:numPr>
        <w:rPr>
          <w:szCs w:val="24"/>
        </w:rPr>
      </w:pPr>
      <w:r w:rsidRPr="00DC46B0">
        <w:rPr>
          <w:szCs w:val="24"/>
        </w:rPr>
        <w:t>Клинический анализ крови с определением гемоглобина, тромбоцитов, лейкоцитов, лейкоцитарной формулы, СОЭ;</w:t>
      </w:r>
    </w:p>
    <w:p w14:paraId="00D22C87" w14:textId="77777777" w:rsidR="004C51FF" w:rsidRPr="00DC46B0" w:rsidRDefault="004C51FF" w:rsidP="004C51FF">
      <w:pPr>
        <w:pStyle w:val="afe"/>
        <w:numPr>
          <w:ilvl w:val="1"/>
          <w:numId w:val="114"/>
        </w:numPr>
        <w:rPr>
          <w:szCs w:val="24"/>
        </w:rPr>
      </w:pPr>
      <w:r w:rsidRPr="00DC46B0">
        <w:rPr>
          <w:szCs w:val="24"/>
        </w:rPr>
        <w:t>Биохимический анализ крови с определением липидного спектра, глюкозы, креатинина, мочевины, мочевой кислоты, калия, натрия, аспартатаминотрансферазы (АСТ), аланинаминотрансферазы (АЛТ).</w:t>
      </w:r>
    </w:p>
    <w:p w14:paraId="1A02E893" w14:textId="77777777" w:rsidR="004C51FF" w:rsidRPr="00DC46B0" w:rsidRDefault="004C51FF" w:rsidP="004C51FF">
      <w:pPr>
        <w:ind w:firstLine="709"/>
      </w:pPr>
      <w:r w:rsidRPr="00DC46B0">
        <w:t>При выявлении (и/или для исключения) признаков кардиальной патологии, выявлении отклонений при первичном кардиологическом обследовании рекомендуется консультация кардиолога и проведение дополнительных исследований.</w:t>
      </w:r>
    </w:p>
    <w:p w14:paraId="7CA10559" w14:textId="77777777" w:rsidR="004C51FF" w:rsidRDefault="004C51FF" w:rsidP="004C51FF">
      <w:pPr>
        <w:rPr>
          <w:b/>
        </w:rPr>
      </w:pPr>
    </w:p>
    <w:p w14:paraId="48572AA5" w14:textId="1985649C" w:rsidR="004C51FF" w:rsidRPr="00DC46B0" w:rsidRDefault="004C51FF" w:rsidP="004C51FF">
      <w:pPr>
        <w:rPr>
          <w:i/>
          <w:u w:val="single"/>
        </w:rPr>
      </w:pPr>
      <w:r w:rsidRPr="00DC46B0">
        <w:rPr>
          <w:i/>
          <w:u w:val="single"/>
        </w:rPr>
        <w:t>Дополнительное кардиологическое обследование</w:t>
      </w:r>
      <w:r>
        <w:rPr>
          <w:i/>
          <w:u w:val="single"/>
        </w:rPr>
        <w:t xml:space="preserve"> </w:t>
      </w:r>
      <w:r>
        <w:fldChar w:fldCharType="begin" w:fldLock="1"/>
      </w:r>
      <w:r w:rsidR="00E974B2">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[176]","plainTextFormattedCitation":"[176]","previouslyFormattedCitation":"[176]"},"properties":{"noteIndex":0},"schema":"https://github.com/citation-style-language/schema/raw/master/csl-citation.json"}</w:instrText>
      </w:r>
      <w:r>
        <w:fldChar w:fldCharType="separate"/>
      </w:r>
      <w:r w:rsidRPr="004C51FF">
        <w:rPr>
          <w:noProof/>
        </w:rPr>
        <w:t>[176]</w:t>
      </w:r>
      <w:r>
        <w:fldChar w:fldCharType="end"/>
      </w:r>
    </w:p>
    <w:p w14:paraId="530BCF30" w14:textId="77777777" w:rsidR="004C51FF" w:rsidRPr="00DC46B0" w:rsidRDefault="004C51FF" w:rsidP="004C51FF">
      <w:pPr>
        <w:rPr>
          <w:u w:val="single"/>
        </w:rPr>
      </w:pPr>
      <w:r w:rsidRPr="00DC46B0">
        <w:rPr>
          <w:u w:val="single"/>
        </w:rPr>
        <w:t>Манипуляции:</w:t>
      </w:r>
    </w:p>
    <w:p w14:paraId="071836B6" w14:textId="77777777" w:rsidR="004C51FF" w:rsidRPr="00DC46B0" w:rsidRDefault="004C51FF" w:rsidP="004C51FF">
      <w:pPr>
        <w:pStyle w:val="afe"/>
        <w:numPr>
          <w:ilvl w:val="0"/>
          <w:numId w:val="115"/>
        </w:numPr>
        <w:rPr>
          <w:b/>
          <w:szCs w:val="24"/>
        </w:rPr>
      </w:pPr>
      <w:r w:rsidRPr="00DC46B0">
        <w:rPr>
          <w:i/>
          <w:szCs w:val="24"/>
        </w:rPr>
        <w:t>Суточное мониторирование ЭКГ по Холтеру</w:t>
      </w:r>
      <w:r w:rsidRPr="00DC46B0">
        <w:rPr>
          <w:szCs w:val="24"/>
        </w:rPr>
        <w:t xml:space="preserve"> –</w:t>
      </w:r>
      <w:r w:rsidRPr="00DC46B0">
        <w:rPr>
          <w:b/>
          <w:szCs w:val="24"/>
        </w:rPr>
        <w:t xml:space="preserve"> </w:t>
      </w:r>
      <w:r w:rsidRPr="00DC46B0">
        <w:rPr>
          <w:szCs w:val="24"/>
        </w:rPr>
        <w:t xml:space="preserve">рекомендуется пациентам при выявлении удлинения интервала </w:t>
      </w:r>
      <w:r w:rsidRPr="00DC46B0">
        <w:rPr>
          <w:szCs w:val="24"/>
          <w:lang w:val="en-US"/>
        </w:rPr>
        <w:t>QT</w:t>
      </w:r>
      <w:r w:rsidRPr="00DC46B0">
        <w:rPr>
          <w:szCs w:val="24"/>
        </w:rPr>
        <w:t xml:space="preserve">, ишемии миокарда, нарушений ритма и </w:t>
      </w:r>
      <w:r w:rsidRPr="00DC46B0">
        <w:rPr>
          <w:szCs w:val="24"/>
        </w:rPr>
        <w:lastRenderedPageBreak/>
        <w:t xml:space="preserve">проводимости; диспозицией сегмента </w:t>
      </w:r>
      <w:r w:rsidRPr="00DC46B0">
        <w:rPr>
          <w:szCs w:val="24"/>
          <w:lang w:val="en-US"/>
        </w:rPr>
        <w:t>ST</w:t>
      </w:r>
      <w:r w:rsidRPr="00DC46B0">
        <w:rPr>
          <w:szCs w:val="24"/>
        </w:rPr>
        <w:t xml:space="preserve"> на ЭКГ; синусовой бради/тахикардией, при наличии жалоб на аритмию, эпизоды внезапной слабости, головокружений. Также проведение исследования рекомендуется при проведении лечения препаратами, способными вызывать кардиотоксические эффекты. Исследование проводится на любых этапах – в период диагностики гематологического заболевания, перед проведением гематологического лечения, в процессе проведения лечения, при оценке эффективности лечения и в процессе динамического наблюдения, при рефрактерном течении, п</w:t>
      </w:r>
      <w:r w:rsidRPr="00DC46B0">
        <w:rPr>
          <w:rFonts w:eastAsia="Times New Roman"/>
          <w:szCs w:val="24"/>
          <w:lang w:eastAsia="ru-RU"/>
        </w:rPr>
        <w:t>ри развитии осложнений (по показаниям</w:t>
      </w:r>
      <w:r w:rsidRPr="00DC46B0">
        <w:rPr>
          <w:szCs w:val="24"/>
        </w:rPr>
        <w:t>).</w:t>
      </w:r>
    </w:p>
    <w:p w14:paraId="46F7A887" w14:textId="77777777" w:rsidR="004C51FF" w:rsidRPr="00DC46B0" w:rsidRDefault="004C51FF" w:rsidP="004C51FF">
      <w:pPr>
        <w:pStyle w:val="afe"/>
        <w:numPr>
          <w:ilvl w:val="0"/>
          <w:numId w:val="115"/>
        </w:numPr>
        <w:rPr>
          <w:szCs w:val="24"/>
        </w:rPr>
      </w:pPr>
      <w:r w:rsidRPr="00DC46B0">
        <w:rPr>
          <w:i/>
          <w:szCs w:val="24"/>
        </w:rPr>
        <w:t>Суточное мониторирование АД</w:t>
      </w:r>
      <w:r w:rsidRPr="00DC46B0">
        <w:rPr>
          <w:b/>
          <w:szCs w:val="24"/>
        </w:rPr>
        <w:t xml:space="preserve"> </w:t>
      </w:r>
      <w:r w:rsidRPr="00DC46B0">
        <w:rPr>
          <w:szCs w:val="24"/>
        </w:rPr>
        <w:t xml:space="preserve">– рекомендуется пациентам с артериальной гипертензией (АГ), и при назначении лекарственных препаратов, способных вызывать АГ.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260916AA" w14:textId="77777777" w:rsidR="004C51FF" w:rsidRPr="00DC46B0" w:rsidRDefault="004C51FF" w:rsidP="004C51FF">
      <w:pPr>
        <w:pStyle w:val="afe"/>
        <w:numPr>
          <w:ilvl w:val="0"/>
          <w:numId w:val="115"/>
        </w:numPr>
        <w:rPr>
          <w:szCs w:val="24"/>
        </w:rPr>
      </w:pPr>
      <w:r w:rsidRPr="00DC46B0">
        <w:rPr>
          <w:i/>
          <w:szCs w:val="24"/>
        </w:rPr>
        <w:t>Тредмил-тест</w:t>
      </w:r>
      <w:r w:rsidRPr="00DC46B0">
        <w:rPr>
          <w:szCs w:val="24"/>
        </w:rPr>
        <w:t xml:space="preserve"> – рекомендуется для диагностики ишемической болезни сердца (ИБС) при атипичном болевом синдроме, а также при назначении препаратов, способных вызвать ишемию миокарда.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45B74682" w14:textId="77777777" w:rsidR="004C51FF" w:rsidRPr="00DC46B0" w:rsidRDefault="004C51FF" w:rsidP="004C51FF">
      <w:pPr>
        <w:pStyle w:val="afe"/>
        <w:numPr>
          <w:ilvl w:val="0"/>
          <w:numId w:val="115"/>
        </w:numPr>
        <w:rPr>
          <w:szCs w:val="24"/>
        </w:rPr>
      </w:pPr>
      <w:r w:rsidRPr="00DC46B0">
        <w:rPr>
          <w:i/>
          <w:szCs w:val="24"/>
        </w:rPr>
        <w:t>МРТ сердца и сосудов (с контрастированием по показаниям)</w:t>
      </w:r>
      <w:r w:rsidRPr="00DC46B0">
        <w:rPr>
          <w:b/>
          <w:szCs w:val="24"/>
        </w:rPr>
        <w:t xml:space="preserve"> – </w:t>
      </w:r>
      <w:r w:rsidRPr="00DC46B0">
        <w:rPr>
          <w:szCs w:val="24"/>
        </w:rPr>
        <w:t xml:space="preserve">рекомендуется для диагностики патологии аорты, миокарда и оболочек сердца, выявления образований в полостях и на клапанах сердца, атеросклеротического поражения коронарных артерий.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2318BF65" w14:textId="77777777" w:rsidR="004C51FF" w:rsidRPr="00DC46B0" w:rsidRDefault="004C51FF" w:rsidP="004C51FF">
      <w:pPr>
        <w:pStyle w:val="afe"/>
        <w:numPr>
          <w:ilvl w:val="0"/>
          <w:numId w:val="115"/>
        </w:numPr>
        <w:rPr>
          <w:szCs w:val="24"/>
        </w:rPr>
      </w:pPr>
      <w:r w:rsidRPr="00DC46B0">
        <w:rPr>
          <w:szCs w:val="24"/>
        </w:rPr>
        <w:t xml:space="preserve">КТ сердца и сосудов </w:t>
      </w:r>
      <w:r w:rsidRPr="00DC46B0">
        <w:rPr>
          <w:b/>
          <w:szCs w:val="24"/>
        </w:rPr>
        <w:t xml:space="preserve">– </w:t>
      </w:r>
      <w:r w:rsidRPr="00DC46B0">
        <w:rPr>
          <w:szCs w:val="24"/>
        </w:rPr>
        <w:t xml:space="preserve">рекомендуется пациентам с притивопоказаниями к проведению МРТ (наличие водителя ритма, механических протезов, при подозрении на сдавливающий перикардит, и др).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07735B30" w14:textId="77777777" w:rsidR="004C51FF" w:rsidRPr="00DC46B0" w:rsidRDefault="004C51FF" w:rsidP="004C51FF">
      <w:pPr>
        <w:pStyle w:val="afe"/>
        <w:numPr>
          <w:ilvl w:val="0"/>
          <w:numId w:val="115"/>
        </w:numPr>
        <w:rPr>
          <w:szCs w:val="24"/>
        </w:rPr>
      </w:pPr>
      <w:r w:rsidRPr="00DC46B0">
        <w:rPr>
          <w:i/>
          <w:szCs w:val="24"/>
        </w:rPr>
        <w:t>Чреспищеводная эхокардиография (ЧПЭХО-КГ)</w:t>
      </w:r>
      <w:r w:rsidRPr="00DC46B0">
        <w:rPr>
          <w:b/>
          <w:szCs w:val="24"/>
        </w:rPr>
        <w:t xml:space="preserve"> – </w:t>
      </w:r>
      <w:r w:rsidRPr="00DC46B0">
        <w:rPr>
          <w:szCs w:val="24"/>
        </w:rPr>
        <w:t xml:space="preserve">рекомендуется для исключения тромбоза ушка левого предсердия; при врожденных пороках сердца; при выявлении образований на клапанах и в полостях сердца, при протезированных клапанах.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6F7DFD94" w14:textId="77777777" w:rsidR="004C51FF" w:rsidRPr="00DC46B0" w:rsidRDefault="004C51FF" w:rsidP="004C51FF">
      <w:pPr>
        <w:pStyle w:val="afe"/>
        <w:numPr>
          <w:ilvl w:val="0"/>
          <w:numId w:val="115"/>
        </w:numPr>
        <w:rPr>
          <w:szCs w:val="24"/>
        </w:rPr>
      </w:pPr>
      <w:r w:rsidRPr="00DC46B0">
        <w:rPr>
          <w:i/>
          <w:szCs w:val="24"/>
        </w:rPr>
        <w:t>Коронароангиография (КАГ)</w:t>
      </w:r>
      <w:r w:rsidRPr="00DC46B0">
        <w:rPr>
          <w:b/>
          <w:szCs w:val="24"/>
        </w:rPr>
        <w:t xml:space="preserve"> – </w:t>
      </w:r>
      <w:r w:rsidRPr="00DC46B0">
        <w:rPr>
          <w:szCs w:val="24"/>
        </w:rPr>
        <w:t xml:space="preserve">рекомендуется при назначении гематологического лечения препаратами, способными вызвать ишемию, при наличии факторов риска ИБС; при стенокардии, не поддающейся лекарственной коррекции, или с эпизодами безболевой ишемии на фоне антиангинальной терапии.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4F75F8FF" w14:textId="77777777" w:rsidR="004C51FF" w:rsidRDefault="004C51FF" w:rsidP="004C51FF">
      <w:pPr>
        <w:rPr>
          <w:b/>
        </w:rPr>
      </w:pPr>
    </w:p>
    <w:p w14:paraId="7BDE2D91" w14:textId="77777777" w:rsidR="004C51FF" w:rsidRPr="00DC46B0" w:rsidRDefault="004C51FF" w:rsidP="004C51FF">
      <w:pPr>
        <w:rPr>
          <w:u w:val="single"/>
        </w:rPr>
      </w:pPr>
      <w:r w:rsidRPr="00DC46B0">
        <w:rPr>
          <w:u w:val="single"/>
        </w:rPr>
        <w:t xml:space="preserve">Лабораторные исследования: </w:t>
      </w:r>
    </w:p>
    <w:p w14:paraId="15871933" w14:textId="77777777" w:rsidR="004C51FF" w:rsidRPr="00DC46B0" w:rsidRDefault="004C51FF" w:rsidP="004C51FF">
      <w:pPr>
        <w:numPr>
          <w:ilvl w:val="0"/>
          <w:numId w:val="116"/>
        </w:numPr>
      </w:pPr>
      <w:r w:rsidRPr="00DC46B0">
        <w:t xml:space="preserve">Кардиологические маркеры: тропонин </w:t>
      </w:r>
      <w:r w:rsidRPr="00DC46B0">
        <w:rPr>
          <w:lang w:val="en-US"/>
        </w:rPr>
        <w:t>I</w:t>
      </w:r>
      <w:r w:rsidRPr="00DC46B0">
        <w:t xml:space="preserve">, высокочувствительный тропонин, </w:t>
      </w:r>
      <w:r w:rsidRPr="00DC46B0">
        <w:rPr>
          <w:lang w:val="en-US"/>
        </w:rPr>
        <w:t>NTproBNP</w:t>
      </w:r>
      <w:r w:rsidRPr="00DC46B0">
        <w:t>.</w:t>
      </w:r>
    </w:p>
    <w:p w14:paraId="7ADE8760" w14:textId="77777777" w:rsidR="004C51FF" w:rsidRPr="00DC46B0" w:rsidRDefault="004C51FF" w:rsidP="004C51FF">
      <w:pPr>
        <w:numPr>
          <w:ilvl w:val="0"/>
          <w:numId w:val="116"/>
        </w:numPr>
      </w:pPr>
      <w:r w:rsidRPr="00DC46B0">
        <w:t>Коагулограмма: активированное частичное тромбопластиновое время (АЧТВ), протромбин, фибриноген, тромбиновое время, XII-а зависимый фибринолиз, протеины С и S, гомоцистеин, агрегация тромбоцитов, Д-димер, волчаночный антикоагулянт, антитела к бета2 гликопротеину 1, антитела к кардиолипину, мутации генов V фактор Лейден, метилентетрагидрофолат редуктазы, протромбина (по показаниям).</w:t>
      </w:r>
    </w:p>
    <w:p w14:paraId="45FC6383" w14:textId="77777777" w:rsidR="004C51FF" w:rsidRPr="00DC46B0" w:rsidRDefault="004C51FF" w:rsidP="004C51FF">
      <w:pPr>
        <w:numPr>
          <w:ilvl w:val="0"/>
          <w:numId w:val="116"/>
        </w:numPr>
      </w:pPr>
      <w:r w:rsidRPr="00DC46B0">
        <w:t>Определение уровня калия и магния.</w:t>
      </w:r>
    </w:p>
    <w:p w14:paraId="7E827952" w14:textId="77777777" w:rsidR="004C51FF" w:rsidRPr="00DC46B0" w:rsidRDefault="004C51FF" w:rsidP="004C51FF">
      <w:pPr>
        <w:numPr>
          <w:ilvl w:val="0"/>
          <w:numId w:val="116"/>
        </w:numPr>
      </w:pPr>
      <w:r w:rsidRPr="00DC46B0">
        <w:t>Показатели липидного обмена: общий холестерин и фракции (липиды высокой, низкой, очень низкой плотности), триглицериды, индекс атерогенности).</w:t>
      </w:r>
    </w:p>
    <w:p w14:paraId="6E752BBB" w14:textId="77777777" w:rsidR="004C51FF" w:rsidRPr="00DC46B0" w:rsidRDefault="004C51FF" w:rsidP="004C51FF">
      <w:pPr>
        <w:ind w:firstLine="709"/>
      </w:pPr>
      <w:r w:rsidRPr="00DC46B0">
        <w:t>При амбулаторном лечении пациенту необходимо самостоятельно вести дневник мониторирования АД, ЧСС, ряда симптомов, которые могут быть признаками в том числе кардиологической патологии (одышка, отеки, и др.) для своевременного дополнительного кардиологического обследования.</w:t>
      </w:r>
    </w:p>
    <w:p w14:paraId="201BA956" w14:textId="245DE89F" w:rsidR="004C51FF" w:rsidRDefault="004C51FF" w:rsidP="004C51FF">
      <w:pPr>
        <w:ind w:firstLine="709"/>
      </w:pPr>
      <w:r w:rsidRPr="00DC46B0">
        <w:t>Сроки и объем планового кардиологического обследования</w:t>
      </w:r>
      <w:r w:rsidRPr="00DC46B0">
        <w:rPr>
          <w:b/>
        </w:rPr>
        <w:t xml:space="preserve"> </w:t>
      </w:r>
      <w:r w:rsidRPr="00DC46B0">
        <w:t>зависят от наличия исходной кардиальной патологии и от типа проводимого лечения. При отсутствии исходно кардиальной патологии на фоне потенциально кардиотоксического лечения кардиологическое обследование рекомендовано проводить каждые 12 недель. Если имеется / выявлена кардиальная патология до / во время проведения потенциально кардиотоксического гематологического лечения кардиологическое обследование рекомендуется перед каждым курсом лечения или не реже, чем раз в 4 недели. После завершения кардиотоксичного лечения проведение кардиологического обследования рекомендуется не реже чем раз в 6 мес при наличии кардиальной патологии, и не реже, чем раз в 12 мес</w:t>
      </w:r>
      <w:r w:rsidR="00F4712A">
        <w:t>.</w:t>
      </w:r>
      <w:r w:rsidRPr="00DC46B0">
        <w:t xml:space="preserve"> при ее отсутствии. Кардиомониторинг стандартно включает ЭКГ, ЭХО-КГ, консультацию кардиолога.</w:t>
      </w:r>
    </w:p>
    <w:p w14:paraId="603BFA38" w14:textId="77777777" w:rsidR="004C51FF" w:rsidRPr="00DC46B0" w:rsidRDefault="004C51FF" w:rsidP="004C51FF">
      <w:pPr>
        <w:ind w:firstLine="709"/>
      </w:pPr>
    </w:p>
    <w:p w14:paraId="77FB1619" w14:textId="77777777" w:rsidR="004C51FF" w:rsidRPr="00DC46B0" w:rsidRDefault="004C51FF" w:rsidP="004C51FF">
      <w:pPr>
        <w:rPr>
          <w:i/>
          <w:u w:val="single"/>
        </w:rPr>
      </w:pPr>
      <w:r w:rsidRPr="00DC46B0">
        <w:rPr>
          <w:i/>
          <w:u w:val="single"/>
        </w:rPr>
        <w:t>Кардиомониторинг гематологического пациента при проведении (потенциально) кардиотоксичного лечения.</w:t>
      </w:r>
    </w:p>
    <w:p w14:paraId="768BC287" w14:textId="785ACF41" w:rsidR="004C51FF" w:rsidRPr="00DC46B0" w:rsidRDefault="004C51FF" w:rsidP="004C51FF">
      <w:pPr>
        <w:ind w:firstLine="709"/>
      </w:pPr>
      <w:r w:rsidRPr="00DC46B0">
        <w:t xml:space="preserve">Необходима настороженность в отношении возможных проявлений кардиотоксичности как в дебюте лечения, так и при его продолжении, поскольку некоторые проявления кардиотоксичности развиваются отсроченно и протекают малосимптомно, а </w:t>
      </w:r>
      <w:r w:rsidRPr="00DC46B0">
        <w:lastRenderedPageBreak/>
        <w:t>некоторые проявления кардиотоксичности, напротив, развиваются молниеносно и требуют неотложных кардиологических мероприятий</w:t>
      </w:r>
      <w:r>
        <w:t xml:space="preserve"> </w:t>
      </w:r>
      <w:r>
        <w:fldChar w:fldCharType="begin" w:fldLock="1"/>
      </w:r>
      <w:r w:rsidR="00E974B2">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[176]","plainTextFormattedCitation":"[176]","previouslyFormattedCitation":"[176]"},"properties":{"noteIndex":0},"schema":"https://github.com/citation-style-language/schema/raw/master/csl-citation.json"}</w:instrText>
      </w:r>
      <w:r>
        <w:fldChar w:fldCharType="separate"/>
      </w:r>
      <w:r w:rsidRPr="004C51FF">
        <w:rPr>
          <w:noProof/>
        </w:rPr>
        <w:t>[176]</w:t>
      </w:r>
      <w:r>
        <w:fldChar w:fldCharType="end"/>
      </w:r>
      <w:r w:rsidRPr="00DC46B0">
        <w:t xml:space="preserve">.  </w:t>
      </w:r>
    </w:p>
    <w:p w14:paraId="6AB2A236" w14:textId="77777777" w:rsidR="004C51FF" w:rsidRPr="00DC46B0" w:rsidRDefault="004C51FF" w:rsidP="004C51FF">
      <w:pPr>
        <w:ind w:firstLine="709"/>
        <w:rPr>
          <w:b/>
        </w:rPr>
      </w:pPr>
      <w:r w:rsidRPr="00DC46B0">
        <w:t>Необходимо учитывать потенцирование кардиотоксических эффектов при совместном применении препаратов, а также индивидуальные реакции с развитием ранее не описанных проявлений кардиотоксичности, особенно у пациентов, имеющих заболевания сердечно-сосудистой системы в анамнезе.</w:t>
      </w:r>
      <w:r w:rsidRPr="00DC46B0">
        <w:rPr>
          <w:b/>
        </w:rPr>
        <w:t xml:space="preserve"> </w:t>
      </w:r>
      <w:r w:rsidRPr="00DC46B0">
        <w:t xml:space="preserve">При наличии или появлении кардиальных изменений и/или заболеваний сердечно-сосудистой системы, необходимо обсуждение с кардиологом возможности дальнейшего проведения гематологической терапии, необходимости ее коррекции, применение кардиологического лечения. </w:t>
      </w:r>
    </w:p>
    <w:p w14:paraId="6205E47B" w14:textId="0FB5FF81" w:rsidR="004C51FF" w:rsidRPr="00DC46B0" w:rsidRDefault="004C51FF" w:rsidP="004C51FF">
      <w:pPr>
        <w:ind w:firstLine="709"/>
      </w:pPr>
      <w:r w:rsidRPr="00DC46B0">
        <w:t>При применении препаратов, обладающих кардиотоксичностью (антрациклины, алкилирующие агенты, ингибиторы протеасом, моноклональные антитела), необходимо учитывать исходную систолическую функцию левого желудочка сердца</w:t>
      </w:r>
      <w:r>
        <w:t xml:space="preserve"> </w:t>
      </w:r>
      <w:r>
        <w:fldChar w:fldCharType="begin" w:fldLock="1"/>
      </w:r>
      <w:r w:rsidR="00E974B2">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[176]","plainTextFormattedCitation":"[176]","previouslyFormattedCitation":"[176]"},"properties":{"noteIndex":0},"schema":"https://github.com/citation-style-language/schema/raw/master/csl-citation.json"}</w:instrText>
      </w:r>
      <w:r>
        <w:fldChar w:fldCharType="separate"/>
      </w:r>
      <w:r w:rsidRPr="004C51FF">
        <w:rPr>
          <w:noProof/>
        </w:rPr>
        <w:t>[176]</w:t>
      </w:r>
      <w:r>
        <w:fldChar w:fldCharType="end"/>
      </w:r>
      <w:r w:rsidRPr="00DC46B0">
        <w:t>:</w:t>
      </w:r>
    </w:p>
    <w:p w14:paraId="171B2DFC" w14:textId="022B5189" w:rsidR="004C51FF" w:rsidRPr="00DC46B0" w:rsidRDefault="004C51FF" w:rsidP="004C51FF">
      <w:pPr>
        <w:pStyle w:val="afe"/>
        <w:numPr>
          <w:ilvl w:val="0"/>
          <w:numId w:val="117"/>
        </w:numPr>
        <w:rPr>
          <w:szCs w:val="24"/>
        </w:rPr>
      </w:pPr>
      <w:r w:rsidRPr="00DC46B0">
        <w:rPr>
          <w:szCs w:val="24"/>
        </w:rPr>
        <w:t xml:space="preserve">Кардиотоксические химиопрепараты не должны рутинно применяться у </w:t>
      </w:r>
      <w:r w:rsidR="001F4833">
        <w:rPr>
          <w:szCs w:val="24"/>
        </w:rPr>
        <w:t>пациентов</w:t>
      </w:r>
      <w:r w:rsidRPr="00DC46B0">
        <w:rPr>
          <w:szCs w:val="24"/>
        </w:rPr>
        <w:t xml:space="preserve"> с фракцией выброса левого желудочка (ФВЛЖ) &lt; 30%. Вопрос о назначении потенциально кардиотоксической противоопухолевой терапии в этом случае рекомендуется решать на консилиуме с участием кардиолога. </w:t>
      </w:r>
    </w:p>
    <w:p w14:paraId="08BFD439" w14:textId="52E3ABC4" w:rsidR="004C51FF" w:rsidRPr="00DC46B0" w:rsidRDefault="004C51FF" w:rsidP="004C51FF">
      <w:pPr>
        <w:pStyle w:val="afe"/>
        <w:numPr>
          <w:ilvl w:val="0"/>
          <w:numId w:val="117"/>
        </w:numPr>
        <w:rPr>
          <w:szCs w:val="24"/>
        </w:rPr>
      </w:pPr>
      <w:r w:rsidRPr="00DC46B0">
        <w:rPr>
          <w:szCs w:val="24"/>
        </w:rPr>
        <w:t xml:space="preserve">При ФВЛЖ 30 – 50% необходимо оценивать функцию левого желудочка по ЭхоКГ перед каждой новой дозой антрациклинов. </w:t>
      </w:r>
    </w:p>
    <w:p w14:paraId="423D409C" w14:textId="03416FFC" w:rsidR="004C51FF" w:rsidRPr="00DC46B0" w:rsidRDefault="004C51FF" w:rsidP="004C51FF">
      <w:pPr>
        <w:pStyle w:val="afe"/>
        <w:numPr>
          <w:ilvl w:val="0"/>
          <w:numId w:val="117"/>
        </w:numPr>
        <w:rPr>
          <w:szCs w:val="24"/>
        </w:rPr>
      </w:pPr>
      <w:r w:rsidRPr="00DC46B0">
        <w:rPr>
          <w:szCs w:val="24"/>
        </w:rPr>
        <w:t>При ФВЛЖ ≥ 50%, необходимо оценивать функцию левого желудочка по ЭхоКГ повторно при достижении суммарной дозы кардиотоксичных химиопрепаратов 300 – 350 мг/м</w:t>
      </w:r>
      <w:r w:rsidRPr="00DC46B0">
        <w:rPr>
          <w:szCs w:val="24"/>
          <w:vertAlign w:val="superscript"/>
        </w:rPr>
        <w:t>2</w:t>
      </w:r>
      <w:r w:rsidRPr="00DC46B0">
        <w:rPr>
          <w:szCs w:val="24"/>
        </w:rPr>
        <w:t>.</w:t>
      </w:r>
    </w:p>
    <w:p w14:paraId="42E47976" w14:textId="77777777" w:rsidR="004C51FF" w:rsidRDefault="004C51FF" w:rsidP="004C51FF">
      <w:pPr>
        <w:rPr>
          <w:u w:val="single"/>
        </w:rPr>
      </w:pPr>
    </w:p>
    <w:p w14:paraId="52148712" w14:textId="56710723" w:rsidR="004C51FF" w:rsidRPr="00DC46B0" w:rsidRDefault="004C51FF" w:rsidP="004C51FF">
      <w:r w:rsidRPr="00DC46B0">
        <w:rPr>
          <w:u w:val="single"/>
        </w:rPr>
        <w:t>Оценка безопасности продолжения лечения при использовании (потенциально) кардиотоксичных препаратов</w:t>
      </w:r>
      <w:r>
        <w:rPr>
          <w:u w:val="single"/>
        </w:rPr>
        <w:t xml:space="preserve"> </w:t>
      </w:r>
      <w:r>
        <w:fldChar w:fldCharType="begin" w:fldLock="1"/>
      </w:r>
      <w:r w:rsidR="00E974B2">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[176]","plainTextFormattedCitation":"[176]","previouslyFormattedCitation":"[176]"},"properties":{"noteIndex":0},"schema":"https://github.com/citation-style-language/schema/raw/master/csl-citation.json"}</w:instrText>
      </w:r>
      <w:r>
        <w:fldChar w:fldCharType="separate"/>
      </w:r>
      <w:r w:rsidRPr="004C51FF">
        <w:rPr>
          <w:noProof/>
        </w:rPr>
        <w:t>[176]</w:t>
      </w:r>
      <w:r>
        <w:fldChar w:fldCharType="end"/>
      </w:r>
      <w:r w:rsidRPr="00DC46B0">
        <w:t>:</w:t>
      </w:r>
    </w:p>
    <w:p w14:paraId="788EAA42" w14:textId="0071BF63" w:rsidR="004C51FF" w:rsidRPr="00DC46B0" w:rsidRDefault="004C51FF" w:rsidP="004C51FF">
      <w:pPr>
        <w:numPr>
          <w:ilvl w:val="0"/>
          <w:numId w:val="116"/>
        </w:numPr>
      </w:pPr>
      <w:r w:rsidRPr="00DC46B0">
        <w:t xml:space="preserve">Продолжение лечения – при отсутствии снижения ФВЛЖ, или снижение, но при уровне ФВЛЖ  ≥ 50%. </w:t>
      </w:r>
    </w:p>
    <w:p w14:paraId="14269553" w14:textId="77777777" w:rsidR="004C51FF" w:rsidRPr="00DC46B0" w:rsidRDefault="004C51FF" w:rsidP="004C51FF">
      <w:pPr>
        <w:numPr>
          <w:ilvl w:val="0"/>
          <w:numId w:val="116"/>
        </w:numPr>
      </w:pPr>
      <w:r w:rsidRPr="00DC46B0">
        <w:t>Контроль через 3 недели – при снижение ФВЛЖ &lt; 50%. При сохраняющемся снижении ФВЛЖ &lt; 50% – обсудить возможность перерыва в лечении / альтернативного лечения.</w:t>
      </w:r>
    </w:p>
    <w:p w14:paraId="273B41A2" w14:textId="77777777" w:rsidR="004C51FF" w:rsidRPr="00DC46B0" w:rsidRDefault="004C51FF" w:rsidP="004C51FF">
      <w:pPr>
        <w:numPr>
          <w:ilvl w:val="0"/>
          <w:numId w:val="116"/>
        </w:numPr>
      </w:pPr>
      <w:r w:rsidRPr="00DC46B0">
        <w:t>Прекращение лечения, обсуждение альтернативного лечения – при снижении ФВЛЖ &lt; 40%.</w:t>
      </w:r>
    </w:p>
    <w:p w14:paraId="2751AB56" w14:textId="77777777" w:rsidR="004C51FF" w:rsidRPr="00DC46B0" w:rsidRDefault="004C51FF" w:rsidP="004C51FF"/>
    <w:p w14:paraId="0326C0A9" w14:textId="0FAFF589" w:rsidR="004C51FF" w:rsidRPr="00DC46B0" w:rsidRDefault="004C51FF" w:rsidP="004C51FF">
      <w:pPr>
        <w:rPr>
          <w:u w:val="single"/>
        </w:rPr>
      </w:pPr>
      <w:r w:rsidRPr="00DC46B0">
        <w:rPr>
          <w:u w:val="single"/>
        </w:rPr>
        <w:t>Степени кардиальных осложнений (нежелательных явлений)</w:t>
      </w:r>
      <w:r>
        <w:rPr>
          <w:u w:val="single"/>
        </w:rPr>
        <w:t xml:space="preserve"> </w:t>
      </w:r>
      <w:r>
        <w:fldChar w:fldCharType="begin" w:fldLock="1"/>
      </w:r>
      <w:r w:rsidR="00E974B2">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[176]","plainTextFormattedCitation":"[176]","previouslyFormattedCitation":"[176]"},"properties":{"noteIndex":0},"schema":"https://github.com/citation-style-language/schema/raw/master/csl-citation.json"}</w:instrText>
      </w:r>
      <w:r>
        <w:fldChar w:fldCharType="separate"/>
      </w:r>
      <w:r w:rsidRPr="004C51FF">
        <w:rPr>
          <w:noProof/>
        </w:rPr>
        <w:t>[176]</w:t>
      </w:r>
      <w:r>
        <w:fldChar w:fldCharType="end"/>
      </w:r>
      <w:r w:rsidRPr="00DC46B0">
        <w:rPr>
          <w:u w:val="single"/>
        </w:rPr>
        <w:t xml:space="preserve">: </w:t>
      </w:r>
    </w:p>
    <w:p w14:paraId="00B9D2A3" w14:textId="26C7EC38" w:rsidR="004C51FF" w:rsidRPr="00DC46B0" w:rsidRDefault="004C51FF" w:rsidP="004C51FF">
      <w:pPr>
        <w:numPr>
          <w:ilvl w:val="0"/>
          <w:numId w:val="116"/>
        </w:numPr>
      </w:pPr>
      <w:r w:rsidRPr="00DC46B0">
        <w:t xml:space="preserve">Первая степень: изменения сердечно-сосудистой системы, не оказывающие влияние на ее нормальное функционирование и не влияющими на прогноз (желудочковая и </w:t>
      </w:r>
      <w:r w:rsidRPr="00DC46B0">
        <w:lastRenderedPageBreak/>
        <w:t xml:space="preserve">наджелудочковая экстрасистолия без гемодинамических нарушений, АВ-блокада 1 степени, полная и неполная блокада правой ножки пучка Гиса, полная блокада левой ножки пучка Гиса, блокады ветвей левой ножки пучка Гиса). Лекарственная коррекция выявленных изменений не требуется; отмена гематологического лечения не требуется; динамическое наблюдение гематолога и кардиолога. </w:t>
      </w:r>
    </w:p>
    <w:p w14:paraId="73D27661" w14:textId="77777777" w:rsidR="004C51FF" w:rsidRPr="00DC46B0" w:rsidRDefault="004C51FF" w:rsidP="004C51FF">
      <w:pPr>
        <w:numPr>
          <w:ilvl w:val="0"/>
          <w:numId w:val="116"/>
        </w:numPr>
      </w:pPr>
      <w:r w:rsidRPr="00DC46B0">
        <w:t xml:space="preserve">Вторая степень: умеренные изменения сердечно-сосудистой системы (развитие или усугубление АГ, развитие фибрилляции предсердий (ФП)). Проведение лекарственной коррекции; отмена гематологического лечения не требуется. </w:t>
      </w:r>
    </w:p>
    <w:p w14:paraId="6C145CCB" w14:textId="77777777" w:rsidR="004C51FF" w:rsidRPr="00DC46B0" w:rsidRDefault="004C51FF" w:rsidP="004C51FF">
      <w:pPr>
        <w:numPr>
          <w:ilvl w:val="0"/>
          <w:numId w:val="116"/>
        </w:numPr>
      </w:pPr>
      <w:r w:rsidRPr="00DC46B0">
        <w:t>Третья степень: значимые, но не жизнеурожающее изменения сердечно-сосудистой системы (инфаркт миокарда, кардиомиопатия, снижение систолической функции левого желудочка с ФВЛЖ &lt; 50 %).  Проведение лекарственной коррекции, подбор постоянной кардиальной терапии (возможно стационарно). Обсуждение вопроса об изменении/отмене гематологического лечения.</w:t>
      </w:r>
    </w:p>
    <w:p w14:paraId="6438C49D" w14:textId="77777777" w:rsidR="004C51FF" w:rsidRPr="00DC46B0" w:rsidRDefault="004C51FF" w:rsidP="004C51FF">
      <w:pPr>
        <w:numPr>
          <w:ilvl w:val="0"/>
          <w:numId w:val="116"/>
        </w:numPr>
      </w:pPr>
      <w:r w:rsidRPr="00DC46B0">
        <w:t>Четвертая степень: жизнеугрожающие изменения сердечно-сосудистой системы (кардиогенный шок,  тромбоэмболия легочной артерии, жизнеугрожающие аритмии). Показано срочная госпитализация, отмена/коррекция гематологического лечения.</w:t>
      </w:r>
    </w:p>
    <w:p w14:paraId="70DBB863" w14:textId="77777777" w:rsidR="004C51FF" w:rsidRPr="00DC46B0" w:rsidRDefault="004C51FF" w:rsidP="004C51FF">
      <w:pPr>
        <w:numPr>
          <w:ilvl w:val="0"/>
          <w:numId w:val="116"/>
        </w:numPr>
      </w:pPr>
      <w:r w:rsidRPr="00DC46B0">
        <w:t>Пятая степень: летальный исход, связанный с кардиальным нежелательным явлением.</w:t>
      </w:r>
    </w:p>
    <w:p w14:paraId="383DA9BF" w14:textId="77777777" w:rsidR="004C51FF" w:rsidRDefault="004C51FF" w:rsidP="004C51FF">
      <w:pPr>
        <w:rPr>
          <w:b/>
        </w:rPr>
      </w:pPr>
    </w:p>
    <w:p w14:paraId="30A5E0ED" w14:textId="77777777" w:rsidR="004C51FF" w:rsidRPr="00DC46B0" w:rsidRDefault="004C51FF" w:rsidP="004C51FF">
      <w:pPr>
        <w:rPr>
          <w:i/>
          <w:u w:val="single"/>
        </w:rPr>
      </w:pPr>
      <w:r w:rsidRPr="00DC46B0">
        <w:rPr>
          <w:i/>
          <w:u w:val="single"/>
        </w:rPr>
        <w:t xml:space="preserve">Профилактика нежелательных кардиальных явлений при лечении в онкогематологии.  </w:t>
      </w:r>
    </w:p>
    <w:p w14:paraId="66B2A416" w14:textId="0E642F95" w:rsidR="004C51FF" w:rsidRPr="00DC46B0" w:rsidRDefault="004C51FF" w:rsidP="004C51FF">
      <w:pPr>
        <w:ind w:firstLine="709"/>
      </w:pPr>
      <w:r w:rsidRPr="00DC46B0">
        <w:t>Возникновение побочных кардиологических явлений может стать причиной прекращения гематологического лечения, ухудшения состояния пациента, сокращения продолжительность жизни при излеченном гематологическом заболевании</w:t>
      </w:r>
      <w:r>
        <w:t xml:space="preserve"> </w:t>
      </w:r>
      <w:r>
        <w:fldChar w:fldCharType="begin" w:fldLock="1"/>
      </w:r>
      <w:r w:rsidR="00E974B2">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[176]","plainTextFormattedCitation":"[176]","previouslyFormattedCitation":"[176]"},"properties":{"noteIndex":0},"schema":"https://github.com/citation-style-language/schema/raw/master/csl-citation.json"}</w:instrText>
      </w:r>
      <w:r>
        <w:fldChar w:fldCharType="separate"/>
      </w:r>
      <w:r w:rsidRPr="004C51FF">
        <w:rPr>
          <w:noProof/>
        </w:rPr>
        <w:t>[176]</w:t>
      </w:r>
      <w:r>
        <w:fldChar w:fldCharType="end"/>
      </w:r>
      <w:r w:rsidRPr="00DC46B0">
        <w:t xml:space="preserve">. </w:t>
      </w:r>
    </w:p>
    <w:p w14:paraId="6E4DBE79" w14:textId="77777777" w:rsidR="004C51FF" w:rsidRPr="00DC46B0" w:rsidRDefault="004C51FF" w:rsidP="004C51FF">
      <w:pPr>
        <w:ind w:firstLine="709"/>
      </w:pPr>
      <w:r w:rsidRPr="00DC46B0">
        <w:t>Нежелательные кардиальные явления 4</w:t>
      </w:r>
      <w:r>
        <w:t>-</w:t>
      </w:r>
      <w:r w:rsidRPr="00DC46B0">
        <w:t>5 степеней возникают достаточно редко. Возможно увеличение частоты нежелательных кардиологических явлений 1</w:t>
      </w:r>
      <w:r>
        <w:t>-</w:t>
      </w:r>
      <w:r w:rsidRPr="00DC46B0">
        <w:t>3 степени по мере увеличения количества пациентов, выздоровевших от тяжелых онкогематологических заболеваний. Стратегия Европейского кардиологического сообщества по профилактике и лечению побочных кардиологических явлений при химиотерапевтическом лечении представлена в таб.1.</w:t>
      </w:r>
    </w:p>
    <w:p w14:paraId="37912A09" w14:textId="77777777" w:rsidR="004C51FF" w:rsidRDefault="004C51FF" w:rsidP="004C51FF">
      <w:pPr>
        <w:rPr>
          <w:b/>
        </w:rPr>
      </w:pPr>
    </w:p>
    <w:p w14:paraId="57065B55" w14:textId="6E3050BA" w:rsidR="004C51FF" w:rsidRPr="00DC46B0" w:rsidRDefault="004C51FF" w:rsidP="004C51FF">
      <w:r w:rsidRPr="00DC46B0">
        <w:t>Таблица 1. Стратегии, применяемые для снижения кардиотоксичности химиотерапии</w:t>
      </w:r>
      <w:r w:rsidRPr="00673F99">
        <w:t xml:space="preserve"> </w:t>
      </w:r>
      <w:r>
        <w:fldChar w:fldCharType="begin" w:fldLock="1"/>
      </w:r>
      <w:r w:rsidR="00E974B2">
        <w:instrText>ADDIN CSL_CITATION {"citationItems":[{"id":"ITEM-1","itemData":{"DOI":"10.1093/eurheartj/ehw211","ISSN":"15229645","PMID":"27567406","author":[{"dropping-particle":"","family":"Zamorano","given":"Jose Luis","non-dropping-particle":"","parse-names":false,"suffix":""},{"dropping-particle":"","family":"Lancellotti","given":"Patrizio","non-dropping-particle":"","parse-names":false,"suffix":""},{"dropping-particle":"","family":"Rodriguez Muñoz","given":"Daniel","non-dropping-particle":"","parse-names":false,"suffix":""},{"dropping-particle":"","family":"Aboyans","given":"Victor","non-dropping-particle":"","parse-names":false,"suffix":""},{"dropping-particle":"","family":"Asteggiano","given":"Riccardo","non-dropping-particle":"","parse-names":false,"suffix":""},{"dropping-particle":"","family":"Galderisi","given":"Maurizio","non-dropping-particle":"","parse-names":false,"suffix":""},{"dropping-particle":"","family":"Habib","given":"Gilbert","non-dropping-particle":"","parse-names":false,"suffix":""},{"dropping-particle":"","family":"Lenihan","given":"Daniel J.","non-dropping-particle":"","parse-names":false,"suffix":""},{"dropping-particle":"","family":"Lip","given":"Gregory Y.H.","non-dropping-particle":"","parse-names":false,"suffix":""},{"dropping-particle":"","family":"Lyon","given":"Alexander R.","non-dropping-particle":"","parse-names":false,"suffix":""},{"dropping-particle":"","family":"Lopez Fernandez","given":"Teresa","non-dropping-particle":"","parse-names":false,"suffix":""},{"dropping-particle":"","family":"Mohty","given":"Dania","non-dropping-particle":"","parse-names":false,"suffix":""},{"dropping-particle":"","family":"Piepoli","given":"Massimo F.","non-dropping-particle":"","parse-names":false,"suffix":""},{"dropping-particle":"","family":"Tamargo","given":"Juan","non-dropping-particle":"","parse-names":false,"suffix":""},{"dropping-particle":"","family":"Torbicki","given":"Adam","non-dropping-particle":"","parse-names":false,"suffix":""},{"dropping-particle":"","family":"Suter","given":"Thomas M.","non-dropping-particle":"","parse-names":false,"suffix":""},{"dropping-particle":"","family":"Achenbach","given":"Stephan","non-dropping-particle":"","parse-names":false,"suffix":""},{"dropping-particle":"","family":"Agewall","given":"Stefan","non-dropping-particle":"","parse-names":false,"suffix":""},{"dropping-particle":"","family":"Badimon","given":"Lina","non-dropping-particle":"","parse-names":false,"suffix":""},{"dropping-particle":"","family":"Barón-Esquivias","given":"Gonzalo","non-dropping-particle":"","parse-names":false,"suffix":""},{"dropping-particle":"","family":"Baumgartner","given":"Helmut","non-dropping-particle":"","parse-names":false,"suffix":""},{"dropping-particle":"","family":"Bax","given":"Jeroen J.","non-dropping-particle":"","parse-names":false,"suffix":""},{"dropping-particle":"","family":"Bueno","given":"Héctor","non-dropping-particle":"","parse-names":false,"suffix":""},{"dropping-particle":"","family":"Carerj","given":"Scipione","non-dropping-particle":"","parse-names":false,"suffix":""},{"dropping-particle":"","family":"Dean","given":"Veronica","non-dropping-particle":"","parse-names":false,"suffix":""},{"dropping-particle":"","family":"Erol","given":"Çetin","non-dropping-particle":"","parse-names":false,"suffix":""},{"dropping-particle":"","family":"Fitzsimons","given":"Donna","non-dropping-particle":"","parse-names":false,"suffix":""},{"dropping-particle":"","family":"Gaemperli","given":"Oliver","non-dropping-particle":"","parse-names":false,"suffix":""},{"dropping-particle":"","family":"Kirchhof","given":"Paulus","non-dropping-particle":"","parse-names":false,"suffix":""},{"dropping-particle":"","family":"Kolh","given":"Philippe","non-dropping-particle":"","parse-names":false,"suffix":""},{"dropping-particle":"","family":"Nihoyannopoulos","given":"Petros","non-dropping-particle":"","parse-names":false,"suffix":""},{"dropping-particle":"","family":"Ponikowski","given":"Piotr","non-dropping-particle":"","parse-names":false,"suffix":""},{"dropping-particle":"","family":"Roffi","given":"Marco","non-dropping-particle":"","parse-names":false,"suffix":""},{"dropping-particle":"","family":"Vaz Carneiro","given":"António","non-dropping-particle":"","parse-names":false,"suffix":""},{"dropping-particle":"","family":"Windecker","given":"Stephan","non-dropping-particle":"","parse-names":false,"suffix":""},{"dropping-particle":"","family":"Minotti","given":"Giorgio","non-dropping-particle":"","parse-names":false,"suffix":""},{"dropping-particle":"","family":"Cardinale","given":"Daniela","non-dropping-particle":"","parse-names":false,"suffix":""},{"dropping-particle":"","family":"Curigliano","given":"Giuseppe","non-dropping-particle":"","parse-names":false,"suffix":""},{"dropping-particle":"","family":"Azambuja","given":"Evandro","non-dropping-particle":"De","parse-names":false,"suffix":""},{"dropping-particle":"","family":"Dent","given":"Susan","non-dropping-particle":"","parse-names":false,"suffix":""},{"dropping-particle":"","family":"Ero","given":"Cetin","non-dropping-particle":"","parse-names":false,"suffix":""},{"dropping-particle":"","family":"Ewer","given":"Michael S.","non-dropping-particle":"","parse-names":false,"suffix":""},{"dropping-particle":"","family":"Farmakis","given":"Dimitrios","non-dropping-particle":"","parse-names":false,"suffix":""},{"dropping-particle":"","family":"Fietkau","given":"Rainer","non-dropping-particle":"","parse-names":false,"suffix":""},{"dropping-particle":"","family":"Kohl","given":"Philippe","non-dropping-particle":"","parse-names":false,"suffix":""},{"dropping-particle":"","family":"McGale","given":"Paul","non-dropping-particle":"","parse-names":false,"suffix":""},{"dropping-particle":"","family":"Ringwald","given":"Juergen","non-dropping-particle":"","parse-names":false,"suffix":""},{"dropping-particle":"","family":"Schulz-Menger","given":"Jeanette","non-dropping-particle":"","parse-names":false,"suffix":""},{"dropping-particle":"","family":"Stebbing","given":"Justin","non-dropping-particle":"","parse-names":false,"suffix":""},{"dropping-particle":"","family":"Steiner","given":"Rudolf K.","non-dropping-particle":"","parse-names":false,"suffix":""},{"dropping-particle":"","family":"Szmit","given":"Sebastian","non-dropping-particle":"","parse-names":false,"suffix":""}],"container-title":"European Heart Journal","id":"ITEM-1","issue":"36","issued":{"date-parts":[["2016","9","21"]]},"page":"2768-2801","publisher":"Oxford University Press","title":"2016 ESC Position Paper on cancer treatments and cardiovascular toxicity developed under the auspices of the ESC Committee for Practice Guidelines","type":"article","volume":"37"},"uris":["http://www.mendeley.com/documents/?uuid=b14e6a9e-39a8-33b0-ba1a-2593548d6d16"]}],"mendeley":{"formattedCitation":"[178]","plainTextFormattedCitation":"[178]","previouslyFormattedCitation":"[178]"},"properties":{"noteIndex":0},"schema":"https://github.com/citation-style-language/schema/raw/master/csl-citation.json"}</w:instrText>
      </w:r>
      <w:r>
        <w:fldChar w:fldCharType="separate"/>
      </w:r>
      <w:r w:rsidRPr="004C51FF">
        <w:rPr>
          <w:noProof/>
        </w:rPr>
        <w:t>[178]</w:t>
      </w:r>
      <w:r>
        <w:fldChar w:fldCharType="end"/>
      </w:r>
      <w:r w:rsidRPr="00DC46B0">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0"/>
        <w:gridCol w:w="5070"/>
      </w:tblGrid>
      <w:tr w:rsidR="004C51FF" w:rsidRPr="00DC46B0" w14:paraId="7C539F64" w14:textId="77777777" w:rsidTr="002D3EBF">
        <w:tc>
          <w:tcPr>
            <w:tcW w:w="4395" w:type="dxa"/>
            <w:shd w:val="clear" w:color="auto" w:fill="auto"/>
          </w:tcPr>
          <w:p w14:paraId="29EAB155" w14:textId="77777777" w:rsidR="004C51FF" w:rsidRPr="00DC46B0" w:rsidRDefault="004C51FF" w:rsidP="002D3EBF">
            <w:r w:rsidRPr="00DC46B0">
              <w:t>Химиотерапевтические препараты</w:t>
            </w:r>
          </w:p>
        </w:tc>
        <w:tc>
          <w:tcPr>
            <w:tcW w:w="5209" w:type="dxa"/>
            <w:shd w:val="clear" w:color="auto" w:fill="auto"/>
          </w:tcPr>
          <w:p w14:paraId="2BA1E179" w14:textId="77777777" w:rsidR="004C51FF" w:rsidRPr="00DC46B0" w:rsidRDefault="004C51FF" w:rsidP="002D3EBF">
            <w:r w:rsidRPr="00DC46B0">
              <w:t>Возможные кардиопротективные мероприятия</w:t>
            </w:r>
          </w:p>
        </w:tc>
      </w:tr>
      <w:tr w:rsidR="004C51FF" w:rsidRPr="00DC46B0" w14:paraId="2E47E2B8" w14:textId="77777777" w:rsidTr="002D3EBF">
        <w:tc>
          <w:tcPr>
            <w:tcW w:w="4395" w:type="dxa"/>
            <w:vMerge w:val="restart"/>
            <w:shd w:val="clear" w:color="auto" w:fill="auto"/>
          </w:tcPr>
          <w:p w14:paraId="2F16C7A0" w14:textId="77777777" w:rsidR="004C51FF" w:rsidRPr="00DC46B0" w:rsidRDefault="004C51FF" w:rsidP="002D3EBF">
            <w:r w:rsidRPr="00DC46B0">
              <w:lastRenderedPageBreak/>
              <w:t>Любой вариант химиотерапевтического лечения</w:t>
            </w:r>
          </w:p>
        </w:tc>
        <w:tc>
          <w:tcPr>
            <w:tcW w:w="5209" w:type="dxa"/>
            <w:shd w:val="clear" w:color="auto" w:fill="auto"/>
          </w:tcPr>
          <w:p w14:paraId="17F50830" w14:textId="77777777" w:rsidR="004C51FF" w:rsidRPr="00DC46B0" w:rsidRDefault="004C51FF" w:rsidP="002D3EBF">
            <w:r w:rsidRPr="00DC46B0">
              <w:t xml:space="preserve">Перед лечением выявить факторы риска сердечно-сосудистого заболевания и провести соответствующее лечение. </w:t>
            </w:r>
          </w:p>
        </w:tc>
      </w:tr>
      <w:tr w:rsidR="004C51FF" w:rsidRPr="00DC46B0" w14:paraId="7248372C" w14:textId="77777777" w:rsidTr="002D3EBF">
        <w:tc>
          <w:tcPr>
            <w:tcW w:w="4395" w:type="dxa"/>
            <w:vMerge/>
            <w:shd w:val="clear" w:color="auto" w:fill="auto"/>
          </w:tcPr>
          <w:p w14:paraId="16D1790C" w14:textId="77777777" w:rsidR="004C51FF" w:rsidRPr="00DC46B0" w:rsidRDefault="004C51FF" w:rsidP="002D3EBF"/>
        </w:tc>
        <w:tc>
          <w:tcPr>
            <w:tcW w:w="5209" w:type="dxa"/>
            <w:shd w:val="clear" w:color="auto" w:fill="auto"/>
          </w:tcPr>
          <w:p w14:paraId="7D1D90C8" w14:textId="77777777" w:rsidR="004C51FF" w:rsidRPr="00DC46B0" w:rsidRDefault="004C51FF" w:rsidP="002D3EBF">
            <w:r w:rsidRPr="00DC46B0">
              <w:t>Лечить коморбидные состояния (ИБС, ХСН, АГ, БПА).</w:t>
            </w:r>
          </w:p>
        </w:tc>
      </w:tr>
      <w:tr w:rsidR="004C51FF" w:rsidRPr="00DC46B0" w14:paraId="4BC5E1CE" w14:textId="77777777" w:rsidTr="002D3EBF">
        <w:tc>
          <w:tcPr>
            <w:tcW w:w="4395" w:type="dxa"/>
            <w:vMerge/>
            <w:shd w:val="clear" w:color="auto" w:fill="auto"/>
          </w:tcPr>
          <w:p w14:paraId="57799030" w14:textId="77777777" w:rsidR="004C51FF" w:rsidRPr="00DC46B0" w:rsidRDefault="004C51FF" w:rsidP="002D3EBF"/>
        </w:tc>
        <w:tc>
          <w:tcPr>
            <w:tcW w:w="5209" w:type="dxa"/>
            <w:shd w:val="clear" w:color="auto" w:fill="auto"/>
          </w:tcPr>
          <w:p w14:paraId="6D9D6F5B" w14:textId="77777777" w:rsidR="004C51FF" w:rsidRPr="00DC46B0" w:rsidRDefault="004C51FF" w:rsidP="002D3EBF">
            <w:r w:rsidRPr="00DC46B0">
              <w:t xml:space="preserve">Удлинение </w:t>
            </w:r>
            <w:r w:rsidRPr="00DC46B0">
              <w:rPr>
                <w:lang w:val="en-US"/>
              </w:rPr>
              <w:t>QTc</w:t>
            </w:r>
            <w:r w:rsidRPr="00DC46B0">
              <w:t xml:space="preserve"> и тахикардия типа «пируэт»: избегать препаратов, удлиняющих интервал </w:t>
            </w:r>
            <w:r w:rsidRPr="00DC46B0">
              <w:rPr>
                <w:lang w:val="en-US"/>
              </w:rPr>
              <w:t>QT</w:t>
            </w:r>
            <w:r w:rsidRPr="00DC46B0">
              <w:t>, коррекция электролитного дисбаланса.</w:t>
            </w:r>
          </w:p>
        </w:tc>
      </w:tr>
      <w:tr w:rsidR="004C51FF" w:rsidRPr="00DC46B0" w14:paraId="6ED3AF55" w14:textId="77777777" w:rsidTr="002D3EBF">
        <w:tc>
          <w:tcPr>
            <w:tcW w:w="4395" w:type="dxa"/>
            <w:vMerge/>
            <w:shd w:val="clear" w:color="auto" w:fill="auto"/>
          </w:tcPr>
          <w:p w14:paraId="01747D79" w14:textId="77777777" w:rsidR="004C51FF" w:rsidRPr="00DC46B0" w:rsidRDefault="004C51FF" w:rsidP="002D3EBF"/>
        </w:tc>
        <w:tc>
          <w:tcPr>
            <w:tcW w:w="5209" w:type="dxa"/>
            <w:shd w:val="clear" w:color="auto" w:fill="auto"/>
          </w:tcPr>
          <w:p w14:paraId="6CFE3211" w14:textId="77777777" w:rsidR="004C51FF" w:rsidRPr="00DC46B0" w:rsidRDefault="004C51FF" w:rsidP="002D3EBF">
            <w:r w:rsidRPr="00DC46B0">
              <w:t>Минимизировать лучевую нагрузку на сердце.</w:t>
            </w:r>
          </w:p>
        </w:tc>
      </w:tr>
      <w:tr w:rsidR="004C51FF" w:rsidRPr="00DC46B0" w14:paraId="65444189" w14:textId="77777777" w:rsidTr="002D3EBF">
        <w:tc>
          <w:tcPr>
            <w:tcW w:w="4395" w:type="dxa"/>
            <w:vMerge w:val="restart"/>
            <w:shd w:val="clear" w:color="auto" w:fill="auto"/>
          </w:tcPr>
          <w:p w14:paraId="49FA50AE" w14:textId="77777777" w:rsidR="004C51FF" w:rsidRPr="00DC46B0" w:rsidRDefault="004C51FF" w:rsidP="002D3EBF">
            <w:r w:rsidRPr="00DC46B0">
              <w:t>Антрациклины и их аналоги</w:t>
            </w:r>
          </w:p>
        </w:tc>
        <w:tc>
          <w:tcPr>
            <w:tcW w:w="5209" w:type="dxa"/>
            <w:shd w:val="clear" w:color="auto" w:fill="auto"/>
          </w:tcPr>
          <w:p w14:paraId="22F60658" w14:textId="77777777" w:rsidR="004C51FF" w:rsidRPr="00DC46B0" w:rsidRDefault="004C51FF" w:rsidP="002D3EBF">
            <w:r w:rsidRPr="00DC46B0">
              <w:t>Ограничивать суммарную дозу (мг/м</w:t>
            </w:r>
            <w:r w:rsidRPr="00DC46B0">
              <w:rPr>
                <w:vertAlign w:val="superscript"/>
              </w:rPr>
              <w:t>2</w:t>
            </w:r>
            <w:r w:rsidRPr="00DC46B0">
              <w:t>):</w:t>
            </w:r>
          </w:p>
          <w:p w14:paraId="535E1D5B" w14:textId="77777777" w:rsidR="004C51FF" w:rsidRPr="00DC46B0" w:rsidRDefault="004C51FF" w:rsidP="002D3EBF">
            <w:r w:rsidRPr="00DC46B0">
              <w:t>Даунорубицин &lt; 800</w:t>
            </w:r>
          </w:p>
          <w:p w14:paraId="5C991F86" w14:textId="77777777" w:rsidR="004C51FF" w:rsidRPr="00DC46B0" w:rsidRDefault="004C51FF" w:rsidP="002D3EBF">
            <w:r w:rsidRPr="00DC46B0">
              <w:t>Доксорубицин &lt; 360</w:t>
            </w:r>
          </w:p>
          <w:p w14:paraId="795B2DFE" w14:textId="77777777" w:rsidR="004C51FF" w:rsidRPr="00DC46B0" w:rsidRDefault="004C51FF" w:rsidP="002D3EBF">
            <w:r w:rsidRPr="00DC46B0">
              <w:t>Эпирубицин &lt; 720</w:t>
            </w:r>
          </w:p>
          <w:p w14:paraId="3A007311" w14:textId="77777777" w:rsidR="004C51FF" w:rsidRPr="00DC46B0" w:rsidRDefault="004C51FF" w:rsidP="002D3EBF">
            <w:r w:rsidRPr="00DC46B0">
              <w:t>Митоксантрон &lt; 160</w:t>
            </w:r>
          </w:p>
          <w:p w14:paraId="3E4B2E84" w14:textId="77777777" w:rsidR="004C51FF" w:rsidRPr="00DC46B0" w:rsidRDefault="004C51FF" w:rsidP="002D3EBF">
            <w:r w:rsidRPr="00DC46B0">
              <w:t>Идарубицин &lt;150</w:t>
            </w:r>
          </w:p>
        </w:tc>
      </w:tr>
      <w:tr w:rsidR="004C51FF" w:rsidRPr="00DC46B0" w14:paraId="41E17E58" w14:textId="77777777" w:rsidTr="002D3EBF">
        <w:tc>
          <w:tcPr>
            <w:tcW w:w="4395" w:type="dxa"/>
            <w:vMerge/>
            <w:shd w:val="clear" w:color="auto" w:fill="auto"/>
          </w:tcPr>
          <w:p w14:paraId="06931ED5" w14:textId="77777777" w:rsidR="004C51FF" w:rsidRPr="00DC46B0" w:rsidRDefault="004C51FF" w:rsidP="002D3EBF"/>
        </w:tc>
        <w:tc>
          <w:tcPr>
            <w:tcW w:w="5209" w:type="dxa"/>
            <w:shd w:val="clear" w:color="auto" w:fill="auto"/>
          </w:tcPr>
          <w:p w14:paraId="551280BC" w14:textId="77777777" w:rsidR="004C51FF" w:rsidRPr="00DC46B0" w:rsidRDefault="004C51FF" w:rsidP="002D3EBF">
            <w:r w:rsidRPr="00DC46B0">
              <w:t>Применить липосомальный доксорубцин или длительную инфузию.</w:t>
            </w:r>
          </w:p>
        </w:tc>
      </w:tr>
      <w:tr w:rsidR="004C51FF" w:rsidRPr="00DC46B0" w14:paraId="2C389D33" w14:textId="77777777" w:rsidTr="002D3EBF">
        <w:tc>
          <w:tcPr>
            <w:tcW w:w="4395" w:type="dxa"/>
            <w:vMerge/>
            <w:shd w:val="clear" w:color="auto" w:fill="auto"/>
          </w:tcPr>
          <w:p w14:paraId="02B8CBD7" w14:textId="77777777" w:rsidR="004C51FF" w:rsidRPr="00DC46B0" w:rsidRDefault="004C51FF" w:rsidP="002D3EBF"/>
        </w:tc>
        <w:tc>
          <w:tcPr>
            <w:tcW w:w="5209" w:type="dxa"/>
            <w:shd w:val="clear" w:color="auto" w:fill="auto"/>
          </w:tcPr>
          <w:p w14:paraId="0670B0BB" w14:textId="77777777" w:rsidR="004C51FF" w:rsidRPr="00DC46B0" w:rsidRDefault="004C51FF" w:rsidP="002D3EBF">
            <w:r w:rsidRPr="00DC46B0">
              <w:t xml:space="preserve">Назначить ингибитор АПФ или АРА </w:t>
            </w:r>
          </w:p>
        </w:tc>
      </w:tr>
      <w:tr w:rsidR="004C51FF" w:rsidRPr="00DC46B0" w14:paraId="1C3F0CC9" w14:textId="77777777" w:rsidTr="002D3EBF">
        <w:tc>
          <w:tcPr>
            <w:tcW w:w="4395" w:type="dxa"/>
            <w:vMerge/>
            <w:shd w:val="clear" w:color="auto" w:fill="auto"/>
          </w:tcPr>
          <w:p w14:paraId="12F37EE5" w14:textId="77777777" w:rsidR="004C51FF" w:rsidRPr="00DC46B0" w:rsidRDefault="004C51FF" w:rsidP="002D3EBF"/>
        </w:tc>
        <w:tc>
          <w:tcPr>
            <w:tcW w:w="5209" w:type="dxa"/>
            <w:shd w:val="clear" w:color="auto" w:fill="auto"/>
          </w:tcPr>
          <w:p w14:paraId="2257C576" w14:textId="77777777" w:rsidR="004C51FF" w:rsidRPr="00DC46B0" w:rsidRDefault="004C51FF" w:rsidP="002D3EBF">
            <w:r w:rsidRPr="00DC46B0">
              <w:t xml:space="preserve">Назначить блокатор бета-адренергических рецепторов </w:t>
            </w:r>
          </w:p>
        </w:tc>
      </w:tr>
      <w:tr w:rsidR="004C51FF" w:rsidRPr="00DC46B0" w14:paraId="62C11932" w14:textId="77777777" w:rsidTr="002D3EBF">
        <w:tc>
          <w:tcPr>
            <w:tcW w:w="4395" w:type="dxa"/>
            <w:vMerge/>
            <w:shd w:val="clear" w:color="auto" w:fill="auto"/>
          </w:tcPr>
          <w:p w14:paraId="39DA2CBC" w14:textId="77777777" w:rsidR="004C51FF" w:rsidRPr="00DC46B0" w:rsidRDefault="004C51FF" w:rsidP="002D3EBF"/>
        </w:tc>
        <w:tc>
          <w:tcPr>
            <w:tcW w:w="5209" w:type="dxa"/>
            <w:shd w:val="clear" w:color="auto" w:fill="auto"/>
          </w:tcPr>
          <w:p w14:paraId="01F302DA" w14:textId="77777777" w:rsidR="004C51FF" w:rsidRPr="00DC46B0" w:rsidRDefault="004C51FF" w:rsidP="002D3EBF">
            <w:r w:rsidRPr="00DC46B0">
              <w:t>Назначить статины</w:t>
            </w:r>
          </w:p>
        </w:tc>
      </w:tr>
      <w:tr w:rsidR="004C51FF" w:rsidRPr="00DC46B0" w14:paraId="1F85C0AE" w14:textId="77777777" w:rsidTr="002D3EBF">
        <w:tc>
          <w:tcPr>
            <w:tcW w:w="4395" w:type="dxa"/>
            <w:vMerge/>
            <w:shd w:val="clear" w:color="auto" w:fill="auto"/>
          </w:tcPr>
          <w:p w14:paraId="24F06F41" w14:textId="77777777" w:rsidR="004C51FF" w:rsidRPr="00DC46B0" w:rsidRDefault="004C51FF" w:rsidP="002D3EBF"/>
        </w:tc>
        <w:tc>
          <w:tcPr>
            <w:tcW w:w="5209" w:type="dxa"/>
            <w:shd w:val="clear" w:color="auto" w:fill="auto"/>
          </w:tcPr>
          <w:p w14:paraId="36E8E429" w14:textId="77777777" w:rsidR="004C51FF" w:rsidRPr="00DC46B0" w:rsidRDefault="004C51FF" w:rsidP="002D3EBF">
            <w:r w:rsidRPr="00DC46B0">
              <w:t>Осторожно ввести аэробные упражнения.</w:t>
            </w:r>
          </w:p>
        </w:tc>
      </w:tr>
    </w:tbl>
    <w:p w14:paraId="693D8722" w14:textId="77777777" w:rsidR="004C51FF" w:rsidRPr="00DC46B0" w:rsidRDefault="004C51FF" w:rsidP="004C51FF"/>
    <w:p w14:paraId="78761ED5" w14:textId="2F7ABA6C" w:rsidR="004C51FF" w:rsidRPr="00DC46B0" w:rsidRDefault="004C51FF" w:rsidP="004C51FF">
      <w:pPr>
        <w:ind w:firstLine="709"/>
      </w:pPr>
      <w:r w:rsidRPr="00DC46B0">
        <w:t>Вероятность развития кардиотоксичности особенно высока у пациентов, получающие лечение анрациклин-содержащими режимами. Для оценки возможности снижения кардиотоксических эффектов необходимо учитывать факторы риска развития антрациклиновой кардиотоксичности</w:t>
      </w:r>
      <w:r>
        <w:t xml:space="preserve"> </w:t>
      </w:r>
      <w:r>
        <w:fldChar w:fldCharType="begin" w:fldLock="1"/>
      </w:r>
      <w:r w:rsidR="00E974B2">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[176]","plainTextFormattedCitation":"[176]","previouslyFormattedCitation":"[176]"},"properties":{"noteIndex":0},"schema":"https://github.com/citation-style-language/schema/raw/master/csl-citation.json"}</w:instrText>
      </w:r>
      <w:r>
        <w:fldChar w:fldCharType="separate"/>
      </w:r>
      <w:r w:rsidRPr="004C51FF">
        <w:rPr>
          <w:noProof/>
        </w:rPr>
        <w:t>[176]</w:t>
      </w:r>
      <w:r>
        <w:fldChar w:fldCharType="end"/>
      </w:r>
      <w:r w:rsidRPr="00DC46B0">
        <w:t xml:space="preserve">: </w:t>
      </w:r>
    </w:p>
    <w:p w14:paraId="6689B867" w14:textId="77777777" w:rsidR="004C51FF" w:rsidRPr="004F07FC" w:rsidRDefault="004C51FF" w:rsidP="004C51FF">
      <w:pPr>
        <w:pStyle w:val="afe"/>
        <w:numPr>
          <w:ilvl w:val="0"/>
          <w:numId w:val="118"/>
        </w:numPr>
        <w:rPr>
          <w:szCs w:val="24"/>
        </w:rPr>
      </w:pPr>
      <w:r w:rsidRPr="004F07FC">
        <w:rPr>
          <w:szCs w:val="24"/>
        </w:rPr>
        <w:t>суммарная доза (для доксорубицина доза, превышающая 500 - 550 мг/м</w:t>
      </w:r>
      <w:r w:rsidRPr="004F07FC">
        <w:rPr>
          <w:szCs w:val="24"/>
          <w:vertAlign w:val="superscript"/>
        </w:rPr>
        <w:t>2</w:t>
      </w:r>
      <w:r w:rsidRPr="004F07FC">
        <w:rPr>
          <w:szCs w:val="24"/>
        </w:rPr>
        <w:t>)</w:t>
      </w:r>
    </w:p>
    <w:p w14:paraId="4C743E54" w14:textId="77777777" w:rsidR="004C51FF" w:rsidRPr="004F07FC" w:rsidRDefault="004C51FF" w:rsidP="004C51FF">
      <w:pPr>
        <w:pStyle w:val="afe"/>
        <w:numPr>
          <w:ilvl w:val="0"/>
          <w:numId w:val="118"/>
        </w:numPr>
        <w:rPr>
          <w:szCs w:val="24"/>
        </w:rPr>
      </w:pPr>
      <w:r w:rsidRPr="004F07FC">
        <w:rPr>
          <w:szCs w:val="24"/>
        </w:rPr>
        <w:t>общая доза, введенная за день или курс химиотерапии</w:t>
      </w:r>
    </w:p>
    <w:p w14:paraId="22880079" w14:textId="77777777" w:rsidR="004C51FF" w:rsidRPr="004F07FC" w:rsidRDefault="004C51FF" w:rsidP="004C51FF">
      <w:pPr>
        <w:pStyle w:val="afe"/>
        <w:numPr>
          <w:ilvl w:val="0"/>
          <w:numId w:val="118"/>
        </w:numPr>
        <w:rPr>
          <w:szCs w:val="24"/>
        </w:rPr>
      </w:pPr>
      <w:r w:rsidRPr="004F07FC">
        <w:rPr>
          <w:szCs w:val="24"/>
        </w:rPr>
        <w:t xml:space="preserve">скорость и порядок введения препаратов </w:t>
      </w:r>
    </w:p>
    <w:p w14:paraId="5686E145" w14:textId="77777777" w:rsidR="004C51FF" w:rsidRPr="004F07FC" w:rsidRDefault="004C51FF" w:rsidP="004C51FF">
      <w:pPr>
        <w:pStyle w:val="afe"/>
        <w:numPr>
          <w:ilvl w:val="0"/>
          <w:numId w:val="118"/>
        </w:numPr>
        <w:rPr>
          <w:szCs w:val="24"/>
        </w:rPr>
      </w:pPr>
      <w:r w:rsidRPr="004F07FC">
        <w:rPr>
          <w:szCs w:val="24"/>
        </w:rPr>
        <w:t>облучение средостения в анамнезе</w:t>
      </w:r>
    </w:p>
    <w:p w14:paraId="0F7D0091" w14:textId="77777777" w:rsidR="004C51FF" w:rsidRPr="004F07FC" w:rsidRDefault="004C51FF" w:rsidP="004C51FF">
      <w:pPr>
        <w:pStyle w:val="afe"/>
        <w:numPr>
          <w:ilvl w:val="0"/>
          <w:numId w:val="118"/>
        </w:numPr>
        <w:rPr>
          <w:szCs w:val="24"/>
        </w:rPr>
      </w:pPr>
      <w:r w:rsidRPr="004F07FC">
        <w:rPr>
          <w:szCs w:val="24"/>
        </w:rPr>
        <w:t>возраст (младше 15 и старше 65 лет)</w:t>
      </w:r>
    </w:p>
    <w:p w14:paraId="498B6EC0" w14:textId="77777777" w:rsidR="004C51FF" w:rsidRPr="004F07FC" w:rsidRDefault="004C51FF" w:rsidP="004C51FF">
      <w:pPr>
        <w:pStyle w:val="afe"/>
        <w:numPr>
          <w:ilvl w:val="0"/>
          <w:numId w:val="118"/>
        </w:numPr>
        <w:rPr>
          <w:szCs w:val="24"/>
        </w:rPr>
      </w:pPr>
      <w:r w:rsidRPr="004F07FC">
        <w:rPr>
          <w:szCs w:val="24"/>
        </w:rPr>
        <w:t>женский пол</w:t>
      </w:r>
    </w:p>
    <w:p w14:paraId="05249ECF" w14:textId="77777777" w:rsidR="004C51FF" w:rsidRPr="004F07FC" w:rsidRDefault="004C51FF" w:rsidP="004C51FF">
      <w:pPr>
        <w:pStyle w:val="afe"/>
        <w:numPr>
          <w:ilvl w:val="0"/>
          <w:numId w:val="118"/>
        </w:numPr>
        <w:rPr>
          <w:szCs w:val="24"/>
        </w:rPr>
      </w:pPr>
      <w:r w:rsidRPr="004F07FC">
        <w:rPr>
          <w:szCs w:val="24"/>
        </w:rPr>
        <w:lastRenderedPageBreak/>
        <w:t>одновременное введение нескольких противоопухолевых средств (антрациклино-вые антибиотики, циклофосфан, блеомицин, этопозид, цисплатин, винкристин, актиномицин, метотрексат)</w:t>
      </w:r>
    </w:p>
    <w:p w14:paraId="68ED239E" w14:textId="77777777" w:rsidR="004C51FF" w:rsidRPr="004F07FC" w:rsidRDefault="004C51FF" w:rsidP="004C51FF">
      <w:pPr>
        <w:pStyle w:val="afe"/>
        <w:numPr>
          <w:ilvl w:val="0"/>
          <w:numId w:val="118"/>
        </w:numPr>
        <w:rPr>
          <w:szCs w:val="24"/>
        </w:rPr>
      </w:pPr>
      <w:r w:rsidRPr="004F07FC">
        <w:rPr>
          <w:szCs w:val="24"/>
        </w:rPr>
        <w:t>предшествующая терапия антрациклинами</w:t>
      </w:r>
    </w:p>
    <w:p w14:paraId="6C7C5BFB" w14:textId="77777777" w:rsidR="004C51FF" w:rsidRPr="004F07FC" w:rsidRDefault="004C51FF" w:rsidP="004C51FF">
      <w:pPr>
        <w:pStyle w:val="afe"/>
        <w:numPr>
          <w:ilvl w:val="0"/>
          <w:numId w:val="118"/>
        </w:numPr>
        <w:rPr>
          <w:szCs w:val="24"/>
        </w:rPr>
      </w:pPr>
      <w:r w:rsidRPr="004F07FC">
        <w:rPr>
          <w:szCs w:val="24"/>
        </w:rPr>
        <w:t xml:space="preserve">сопутствующие заболевания сердечно-сосудистой системы </w:t>
      </w:r>
    </w:p>
    <w:p w14:paraId="79E1A87D" w14:textId="77777777" w:rsidR="004C51FF" w:rsidRPr="004F07FC" w:rsidRDefault="004C51FF" w:rsidP="004C51FF">
      <w:pPr>
        <w:pStyle w:val="afe"/>
        <w:numPr>
          <w:ilvl w:val="0"/>
          <w:numId w:val="118"/>
        </w:numPr>
        <w:rPr>
          <w:szCs w:val="24"/>
        </w:rPr>
      </w:pPr>
      <w:r w:rsidRPr="004F07FC">
        <w:rPr>
          <w:szCs w:val="24"/>
        </w:rPr>
        <w:t>дисбаланс электролитов (гипокалиемия, гипомагниемия).</w:t>
      </w:r>
    </w:p>
    <w:p w14:paraId="6109AA6F" w14:textId="77777777" w:rsidR="004C51FF" w:rsidRPr="00DC46B0" w:rsidRDefault="004C51FF" w:rsidP="004C51FF"/>
    <w:p w14:paraId="4ADC5B3C" w14:textId="3E5F2175" w:rsidR="004C51FF" w:rsidRPr="00DC46B0" w:rsidRDefault="004C51FF" w:rsidP="004C51FF">
      <w:pPr>
        <w:ind w:firstLine="709"/>
      </w:pPr>
      <w:r w:rsidRPr="00DC46B0">
        <w:t>Основные лекарственные средства профилактики кардиотоксичности – назначаемые совместно эналаприл, карведилол и низкие дозы статинов</w:t>
      </w:r>
      <w:r>
        <w:t xml:space="preserve"> </w:t>
      </w:r>
      <w:r>
        <w:fldChar w:fldCharType="begin" w:fldLock="1"/>
      </w:r>
      <w:r w:rsidR="00E974B2">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[176]","plainTextFormattedCitation":"[176]","previouslyFormattedCitation":"[176]"},"properties":{"noteIndex":0},"schema":"https://github.com/citation-style-language/schema/raw/master/csl-citation.json"}</w:instrText>
      </w:r>
      <w:r>
        <w:fldChar w:fldCharType="separate"/>
      </w:r>
      <w:r w:rsidRPr="004C51FF">
        <w:rPr>
          <w:noProof/>
        </w:rPr>
        <w:t>[176]</w:t>
      </w:r>
      <w:r>
        <w:fldChar w:fldCharType="end"/>
      </w:r>
      <w:r w:rsidRPr="00DC46B0">
        <w:t>. Карведилол, вероятно, обладает наибольшими защитными свойствами из-за его антиоксидантной активности, способности блокировать апоптозные сигнальные пути, предполагаемой способности восстанавливать работу Ca2+-АТФ-азы и блокировать приток кальция в кардиомиоциты.</w:t>
      </w:r>
    </w:p>
    <w:p w14:paraId="02A4F0C1" w14:textId="77777777" w:rsidR="004C51FF" w:rsidRPr="00DC46B0" w:rsidRDefault="004C51FF" w:rsidP="004C51FF">
      <w:pPr>
        <w:ind w:firstLine="709"/>
      </w:pPr>
      <w:r w:rsidRPr="00DC46B0">
        <w:t>Подход к профилактике кардиотоксичности пациентов, получающих лечение по поводу онкогематологического заболевания, представлен в таб.</w:t>
      </w:r>
      <w:r>
        <w:t xml:space="preserve"> </w:t>
      </w:r>
      <w:r w:rsidRPr="00DC46B0">
        <w:t xml:space="preserve">2.    </w:t>
      </w:r>
    </w:p>
    <w:p w14:paraId="0CB4DB6E" w14:textId="77777777" w:rsidR="004C51FF" w:rsidRDefault="004C51FF" w:rsidP="004C51FF">
      <w:pPr>
        <w:rPr>
          <w:b/>
        </w:rPr>
      </w:pPr>
    </w:p>
    <w:p w14:paraId="1152D119" w14:textId="21523B4A" w:rsidR="004C51FF" w:rsidRPr="004F07FC" w:rsidRDefault="004C51FF" w:rsidP="004C51FF">
      <w:pPr>
        <w:rPr>
          <w:lang w:val="en-US"/>
        </w:rPr>
      </w:pPr>
      <w:r w:rsidRPr="004F07FC">
        <w:t xml:space="preserve">Таблица 2. </w:t>
      </w:r>
      <w:r w:rsidRPr="004F07FC">
        <w:rPr>
          <w:bCs/>
        </w:rPr>
        <w:t xml:space="preserve">Оценка риска кардиотоксичности при лечении опухолей </w:t>
      </w:r>
      <w:r>
        <w:rPr>
          <w:bCs/>
        </w:rPr>
        <w:fldChar w:fldCharType="begin" w:fldLock="1"/>
      </w:r>
      <w:r w:rsidR="00E974B2">
        <w:rPr>
          <w:bCs/>
        </w:rPr>
        <w:instrText>ADDIN CSL_CITATION {"citationItems":[{"id":"ITEM-1","itemData":{"DOI":"10.1093/eurheartj/ehw211","ISSN":"15229645","PMID":"27567406","author":[{"dropping-particle":"","family":"Zamorano","given":"Jose Luis","non-dropping-particle":"","parse-names":false,"suffix":""},{"dropping-particle":"","family":"Lancellotti","given":"Patrizio","non-dropping-particle":"","parse-names":false,"suffix":""},{"dropping-particle":"","family":"Rodriguez Muñoz","given":"Daniel","non-dropping-particle":"","parse-names":false,"suffix":""},{"dropping-particle":"","family":"Aboyans","given":"Victor","non-dropping-particle":"","parse-names":false,"suffix":""},{"dropping-particle":"","family":"Asteggiano","given":"Riccardo","non-dropping-particle":"","parse-names":false,"suffix":""},{"dropping-particle":"","family":"Galderisi","given":"Maurizio","non-dropping-particle":"","parse-names":false,"suffix":""},{"dropping-particle":"","family":"Habib","given":"Gilbert","non-dropping-particle":"","parse-names":false,"suffix":""},{"dropping-particle":"","family":"Lenihan","given":"Daniel J.","non-dropping-particle":"","parse-names":false,"suffix":""},{"dropping-particle":"","family":"Lip","given":"Gregory Y.H.","non-dropping-particle":"","parse-names":false,"suffix":""},{"dropping-particle":"","family":"Lyon","given":"Alexander R.","non-dropping-particle":"","parse-names":false,"suffix":""},{"dropping-particle":"","family":"Lopez Fernandez","given":"Teresa","non-dropping-particle":"","parse-names":false,"suffix":""},{"dropping-particle":"","family":"Mohty","given":"Dania","non-dropping-particle":"","parse-names":false,"suffix":""},{"dropping-particle":"","family":"Piepoli","given":"Massimo F.","non-dropping-particle":"","parse-names":false,"suffix":""},{"dropping-particle":"","family":"Tamargo","given":"Juan","non-dropping-particle":"","parse-names":false,"suffix":""},{"dropping-particle":"","family":"Torbicki","given":"Adam","non-dropping-particle":"","parse-names":false,"suffix":""},{"dropping-particle":"","family":"Suter","given":"Thomas M.","non-dropping-particle":"","parse-names":false,"suffix":""},{"dropping-particle":"","family":"Achenbach","given":"Stephan","non-dropping-particle":"","parse-names":false,"suffix":""},{"dropping-particle":"","family":"Agewall","given":"Stefan","non-dropping-particle":"","parse-names":false,"suffix":""},{"dropping-particle":"","family":"Badimon","given":"Lina","non-dropping-particle":"","parse-names":false,"suffix":""},{"dropping-particle":"","family":"Barón-Esquivias","given":"Gonzalo","non-dropping-particle":"","parse-names":false,"suffix":""},{"dropping-particle":"","family":"Baumgartner","given":"Helmut","non-dropping-particle":"","parse-names":false,"suffix":""},{"dropping-particle":"","family":"Bax","given":"Jeroen J.","non-dropping-particle":"","parse-names":false,"suffix":""},{"dropping-particle":"","family":"Bueno","given":"Héctor","non-dropping-particle":"","parse-names":false,"suffix":""},{"dropping-particle":"","family":"Carerj","given":"Scipione","non-dropping-particle":"","parse-names":false,"suffix":""},{"dropping-particle":"","family":"Dean","given":"Veronica","non-dropping-particle":"","parse-names":false,"suffix":""},{"dropping-particle":"","family":"Erol","given":"Çetin","non-dropping-particle":"","parse-names":false,"suffix":""},{"dropping-particle":"","family":"Fitzsimons","given":"Donna","non-dropping-particle":"","parse-names":false,"suffix":""},{"dropping-particle":"","family":"Gaemperli","given":"Oliver","non-dropping-particle":"","parse-names":false,"suffix":""},{"dropping-particle":"","family":"Kirchhof","given":"Paulus","non-dropping-particle":"","parse-names":false,"suffix":""},{"dropping-particle":"","family":"Kolh","given":"Philippe","non-dropping-particle":"","parse-names":false,"suffix":""},{"dropping-particle":"","family":"Nihoyannopoulos","given":"Petros","non-dropping-particle":"","parse-names":false,"suffix":""},{"dropping-particle":"","family":"Ponikowski","given":"Piotr","non-dropping-particle":"","parse-names":false,"suffix":""},{"dropping-particle":"","family":"Roffi","given":"Marco","non-dropping-particle":"","parse-names":false,"suffix":""},{"dropping-particle":"","family":"Vaz Carneiro","given":"António","non-dropping-particle":"","parse-names":false,"suffix":""},{"dropping-particle":"","family":"Windecker","given":"Stephan","non-dropping-particle":"","parse-names":false,"suffix":""},{"dropping-particle":"","family":"Minotti","given":"Giorgio","non-dropping-particle":"","parse-names":false,"suffix":""},{"dropping-particle":"","family":"Cardinale","given":"Daniela","non-dropping-particle":"","parse-names":false,"suffix":""},{"dropping-particle":"","family":"Curigliano","given":"Giuseppe","non-dropping-particle":"","parse-names":false,"suffix":""},{"dropping-particle":"","family":"Azambuja","given":"Evandro","non-dropping-particle":"De","parse-names":false,"suffix":""},{"dropping-particle":"","family":"Dent","given":"Susan","non-dropping-particle":"","parse-names":false,"suffix":""},{"dropping-particle":"","family":"Ero","given":"Cetin","non-dropping-particle":"","parse-names":false,"suffix":""},{"dropping-particle":"","family":"Ewer","given":"Michael S.","non-dropping-particle":"","parse-names":false,"suffix":""},{"dropping-particle":"","family":"Farmakis","given":"Dimitrios","non-dropping-particle":"","parse-names":false,"suffix":""},{"dropping-particle":"","family":"Fietkau","given":"Rainer","non-dropping-particle":"","parse-names":false,"suffix":""},{"dropping-particle":"","family":"Kohl","given":"Philippe","non-dropping-particle":"","parse-names":false,"suffix":""},{"dropping-particle":"","family":"McGale","given":"Paul","non-dropping-particle":"","parse-names":false,"suffix":""},{"dropping-particle":"","family":"Ringwald","given":"Juergen","non-dropping-particle":"","parse-names":false,"suffix":""},{"dropping-particle":"","family":"Schulz-Menger","given":"Jeanette","non-dropping-particle":"","parse-names":false,"suffix":""},{"dropping-particle":"","family":"Stebbing","given":"Justin","non-dropping-particle":"","parse-names":false,"suffix":""},{"dropping-particle":"","family":"Steiner","given":"Rudolf K.","non-dropping-particle":"","parse-names":false,"suffix":""},{"dropping-particle":"","family":"Szmit","given":"Sebastian","non-dropping-particle":"","parse-names":false,"suffix":""}],"container-title":"European Heart Journal","id":"ITEM-1","issue":"36","issued":{"date-parts":[["2016","9","21"]]},"page":"2768-2801","publisher":"Oxford University Press","title":"2016 ESC Position Paper on cancer treatments and cardiovascular toxicity developed under the auspices of the ESC Committee for Practice Guidelines","type":"article","volume":"37"},"uris":["http://www.mendeley.com/documents/?uuid=b14e6a9e-39a8-33b0-ba1a-2593548d6d16"]},{"id":"ITEM-2","itemData":{"DOI":"10.1530/ERP-17-0013","ISSN":"20550464","abstract":"Cardio-oncology is a rapidly growing feld aimed at minimizing the effects of cardiovascular morbidity and mortality in cancer survivors. To meet this aim, patients are assessed at baseline to define their risk of cardiotoxicity and then followed closely during and after chemotherapy to assess for early signs or symptoms of cardiovascular disease. Cardiac imaging, and in particular, transthoracic echocardiography, plays an essential role in the baseline assessment and serial follow-up of cardio-oncology patients. The objectives of this paper are to review the mechanisms of cardiotoxicity of several common chemotherapeutic agents associated with an increased risk for left ventricular systolic dysfunction and to outline recommendations regarding the baseline assessment and serial follow-up of cardio-oncology patients with a focus on the role of echocardiography.","author":[{"dropping-particle":"","family":"Larsen","given":"Carolyn M.","non-dropping-particle":"","parse-names":false,"suffix":""},{"dropping-particle":"","family":"Mulvagh","given":"Sharon L.","non-dropping-particle":"","parse-names":false,"suffix":""}],"container-title":"Echo Research and Practice","id":"ITEM-2","issue":"1","issued":{"date-parts":[["2017","3","1"]]},"page":"R33-R41","publisher":"BioScientifica Ltd.","title":"Cardio-oncology: What you need to know now for clinical practice and echocardiography","type":"article","volume":"4"},"uris":["http://www.mendeley.com/documents/?uuid=8c6f1c03-ad49-3f5e-8b63-59b182a86311"]}],"mendeley":{"formattedCitation":"[178,179]","plainTextFormattedCitation":"[178,179]","previouslyFormattedCitation":"[178,179]"},"properties":{"noteIndex":0},"schema":"https://github.com/citation-style-language/schema/raw/master/csl-citation.json"}</w:instrText>
      </w:r>
      <w:r>
        <w:rPr>
          <w:bCs/>
        </w:rPr>
        <w:fldChar w:fldCharType="separate"/>
      </w:r>
      <w:r w:rsidRPr="004C51FF">
        <w:rPr>
          <w:bCs/>
          <w:noProof/>
          <w:lang w:val="en-US"/>
        </w:rPr>
        <w:t>[178,179]</w:t>
      </w:r>
      <w:r>
        <w:rPr>
          <w:bCs/>
        </w:rPr>
        <w:fldChar w:fldCharType="end"/>
      </w:r>
      <w:r w:rsidRPr="004F07FC">
        <w:rPr>
          <w:bCs/>
          <w:lang w:val="en-US"/>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2906"/>
        <w:gridCol w:w="4694"/>
      </w:tblGrid>
      <w:tr w:rsidR="004C51FF" w:rsidRPr="00DC46B0" w14:paraId="39D5C47A" w14:textId="77777777" w:rsidTr="002D3EBF">
        <w:trPr>
          <w:trHeight w:val="570"/>
        </w:trPr>
        <w:tc>
          <w:tcPr>
            <w:tcW w:w="5053" w:type="dxa"/>
            <w:gridSpan w:val="2"/>
            <w:shd w:val="clear" w:color="auto" w:fill="auto"/>
            <w:hideMark/>
          </w:tcPr>
          <w:p w14:paraId="312C7727" w14:textId="77777777" w:rsidR="004C51FF" w:rsidRPr="00DC46B0" w:rsidRDefault="004C51FF" w:rsidP="002D3EBF">
            <w:r w:rsidRPr="00DC46B0">
              <w:rPr>
                <w:bCs/>
              </w:rPr>
              <w:t xml:space="preserve">Риск, связанный с применяемым препаратом (% кардиальных осложнений препаратов) </w:t>
            </w:r>
          </w:p>
        </w:tc>
        <w:tc>
          <w:tcPr>
            <w:tcW w:w="4694" w:type="dxa"/>
            <w:shd w:val="clear" w:color="auto" w:fill="auto"/>
            <w:hideMark/>
          </w:tcPr>
          <w:p w14:paraId="11E3DDE9" w14:textId="77777777" w:rsidR="004C51FF" w:rsidRPr="00DC46B0" w:rsidRDefault="004C51FF" w:rsidP="002D3EBF">
            <w:pPr>
              <w:rPr>
                <w:bCs/>
              </w:rPr>
            </w:pPr>
            <w:r w:rsidRPr="00DC46B0">
              <w:rPr>
                <w:bCs/>
              </w:rPr>
              <w:t xml:space="preserve">Риск, связанный с пациентом </w:t>
            </w:r>
          </w:p>
          <w:p w14:paraId="6DC50175" w14:textId="77777777" w:rsidR="004C51FF" w:rsidRPr="00DC46B0" w:rsidRDefault="004C51FF" w:rsidP="002D3EBF">
            <w:r w:rsidRPr="00DC46B0">
              <w:rPr>
                <w:bCs/>
              </w:rPr>
              <w:t>(каждый из факторов – 1 балл)</w:t>
            </w:r>
          </w:p>
        </w:tc>
      </w:tr>
      <w:tr w:rsidR="004C51FF" w:rsidRPr="00DC46B0" w14:paraId="510D03C0" w14:textId="77777777" w:rsidTr="002D3EBF">
        <w:trPr>
          <w:trHeight w:val="1095"/>
        </w:trPr>
        <w:tc>
          <w:tcPr>
            <w:tcW w:w="2147" w:type="dxa"/>
            <w:shd w:val="clear" w:color="auto" w:fill="auto"/>
            <w:hideMark/>
          </w:tcPr>
          <w:p w14:paraId="58DF4BD1" w14:textId="77777777" w:rsidR="004C51FF" w:rsidRPr="00DC46B0" w:rsidRDefault="004C51FF" w:rsidP="002D3EBF">
            <w:r w:rsidRPr="00DC46B0">
              <w:rPr>
                <w:bCs/>
              </w:rPr>
              <w:t xml:space="preserve">Высокий риск – </w:t>
            </w:r>
            <w:r w:rsidRPr="00DC46B0">
              <w:t xml:space="preserve"> </w:t>
            </w:r>
            <w:r w:rsidRPr="00DC46B0">
              <w:rPr>
                <w:bCs/>
              </w:rPr>
              <w:t xml:space="preserve">4 балла </w:t>
            </w:r>
          </w:p>
        </w:tc>
        <w:tc>
          <w:tcPr>
            <w:tcW w:w="2906" w:type="dxa"/>
            <w:shd w:val="clear" w:color="auto" w:fill="auto"/>
            <w:hideMark/>
          </w:tcPr>
          <w:p w14:paraId="096C866B" w14:textId="77777777" w:rsidR="004C51FF" w:rsidRPr="00DC46B0" w:rsidRDefault="004C51FF" w:rsidP="002D3EBF">
            <w:pPr>
              <w:rPr>
                <w:bCs/>
              </w:rPr>
            </w:pPr>
            <w:r w:rsidRPr="00DC46B0">
              <w:rPr>
                <w:bCs/>
              </w:rPr>
              <w:t>Антрациклины (3 – 48%, в зависимости от суммарной дозы)</w:t>
            </w:r>
          </w:p>
          <w:p w14:paraId="236D6328" w14:textId="77777777" w:rsidR="004C51FF" w:rsidRPr="00DC46B0" w:rsidRDefault="004C51FF" w:rsidP="002D3EBF">
            <w:pPr>
              <w:rPr>
                <w:bCs/>
              </w:rPr>
            </w:pPr>
            <w:r w:rsidRPr="00DC46B0">
              <w:rPr>
                <w:bCs/>
              </w:rPr>
              <w:t>Циклофосфан (7 – 28%) Ифосфамид (до 17% в зависимости от дозы) Клофарабин (27%)</w:t>
            </w:r>
          </w:p>
          <w:p w14:paraId="3681B66C" w14:textId="77777777" w:rsidR="004C51FF" w:rsidRPr="00DC46B0" w:rsidRDefault="004C51FF" w:rsidP="002D3EBF">
            <w:r w:rsidRPr="00DC46B0">
              <w:rPr>
                <w:bCs/>
              </w:rPr>
              <w:t>Карфилзомиб (11 – 25%)</w:t>
            </w:r>
          </w:p>
        </w:tc>
        <w:tc>
          <w:tcPr>
            <w:tcW w:w="4694" w:type="dxa"/>
            <w:vMerge w:val="restart"/>
            <w:shd w:val="clear" w:color="auto" w:fill="auto"/>
            <w:hideMark/>
          </w:tcPr>
          <w:p w14:paraId="29400C40" w14:textId="77777777" w:rsidR="004C51FF" w:rsidRPr="00DC46B0" w:rsidRDefault="004C51FF" w:rsidP="004C51FF">
            <w:pPr>
              <w:numPr>
                <w:ilvl w:val="0"/>
                <w:numId w:val="112"/>
              </w:numPr>
              <w:tabs>
                <w:tab w:val="clear" w:pos="720"/>
              </w:tabs>
              <w:ind w:left="0" w:firstLine="0"/>
            </w:pPr>
            <w:r w:rsidRPr="00DC46B0">
              <w:rPr>
                <w:bCs/>
              </w:rPr>
              <w:t>Заболевание сердца или ХСН</w:t>
            </w:r>
          </w:p>
          <w:p w14:paraId="1922C3E0" w14:textId="77777777" w:rsidR="004C51FF" w:rsidRPr="00DC46B0" w:rsidRDefault="004C51FF" w:rsidP="004C51FF">
            <w:pPr>
              <w:numPr>
                <w:ilvl w:val="0"/>
                <w:numId w:val="112"/>
              </w:numPr>
              <w:tabs>
                <w:tab w:val="clear" w:pos="720"/>
              </w:tabs>
              <w:ind w:left="0" w:firstLine="0"/>
            </w:pPr>
            <w:r w:rsidRPr="00DC46B0">
              <w:rPr>
                <w:bCs/>
              </w:rPr>
              <w:t>ИБС или ее эквивалент (БПА)</w:t>
            </w:r>
          </w:p>
          <w:p w14:paraId="65C12CEF" w14:textId="77777777" w:rsidR="004C51FF" w:rsidRPr="00DC46B0" w:rsidRDefault="004C51FF" w:rsidP="004C51FF">
            <w:pPr>
              <w:numPr>
                <w:ilvl w:val="0"/>
                <w:numId w:val="112"/>
              </w:numPr>
              <w:tabs>
                <w:tab w:val="clear" w:pos="720"/>
              </w:tabs>
              <w:ind w:left="0" w:firstLine="0"/>
            </w:pPr>
            <w:r w:rsidRPr="00DC46B0">
              <w:rPr>
                <w:bCs/>
              </w:rPr>
              <w:t>АГ</w:t>
            </w:r>
          </w:p>
          <w:p w14:paraId="3EE5AE62" w14:textId="77777777" w:rsidR="004C51FF" w:rsidRPr="00DC46B0" w:rsidRDefault="004C51FF" w:rsidP="004C51FF">
            <w:pPr>
              <w:numPr>
                <w:ilvl w:val="0"/>
                <w:numId w:val="112"/>
              </w:numPr>
              <w:tabs>
                <w:tab w:val="clear" w:pos="720"/>
              </w:tabs>
              <w:ind w:left="0" w:firstLine="0"/>
            </w:pPr>
            <w:r w:rsidRPr="00DC46B0">
              <w:rPr>
                <w:bCs/>
              </w:rPr>
              <w:t>Сахарный диабет</w:t>
            </w:r>
          </w:p>
          <w:p w14:paraId="0C5FAC1D" w14:textId="77777777" w:rsidR="004C51FF" w:rsidRPr="00DC46B0" w:rsidRDefault="004C51FF" w:rsidP="004C51FF">
            <w:pPr>
              <w:numPr>
                <w:ilvl w:val="0"/>
                <w:numId w:val="112"/>
              </w:numPr>
              <w:tabs>
                <w:tab w:val="clear" w:pos="720"/>
              </w:tabs>
              <w:ind w:left="0" w:firstLine="0"/>
            </w:pPr>
            <w:r w:rsidRPr="00DC46B0">
              <w:rPr>
                <w:bCs/>
              </w:rPr>
              <w:t>Предшествующее лечение антрациклинами</w:t>
            </w:r>
          </w:p>
          <w:p w14:paraId="4D5A8517" w14:textId="77777777" w:rsidR="004C51FF" w:rsidRPr="00DC46B0" w:rsidRDefault="004C51FF" w:rsidP="004C51FF">
            <w:pPr>
              <w:numPr>
                <w:ilvl w:val="0"/>
                <w:numId w:val="112"/>
              </w:numPr>
              <w:tabs>
                <w:tab w:val="clear" w:pos="720"/>
              </w:tabs>
              <w:ind w:left="0" w:firstLine="0"/>
            </w:pPr>
            <w:r w:rsidRPr="00DC46B0">
              <w:rPr>
                <w:bCs/>
              </w:rPr>
              <w:t xml:space="preserve">Предшествующая или совместная лучевая терапия </w:t>
            </w:r>
          </w:p>
          <w:p w14:paraId="24B091CF" w14:textId="77777777" w:rsidR="004C51FF" w:rsidRPr="00DC46B0" w:rsidRDefault="004C51FF" w:rsidP="004C51FF">
            <w:pPr>
              <w:numPr>
                <w:ilvl w:val="0"/>
                <w:numId w:val="112"/>
              </w:numPr>
              <w:tabs>
                <w:tab w:val="clear" w:pos="720"/>
              </w:tabs>
              <w:ind w:left="0" w:firstLine="0"/>
            </w:pPr>
            <w:r w:rsidRPr="00DC46B0">
              <w:rPr>
                <w:bCs/>
              </w:rPr>
              <w:t xml:space="preserve">Возраст </w:t>
            </w:r>
            <w:r w:rsidRPr="00DC46B0">
              <w:rPr>
                <w:bCs/>
                <w:lang w:val="en-US"/>
              </w:rPr>
              <w:t xml:space="preserve">&lt; </w:t>
            </w:r>
            <w:r w:rsidRPr="00DC46B0">
              <w:rPr>
                <w:bCs/>
              </w:rPr>
              <w:t xml:space="preserve">15 или </w:t>
            </w:r>
            <w:r w:rsidRPr="00DC46B0">
              <w:rPr>
                <w:bCs/>
                <w:lang w:val="en-US"/>
              </w:rPr>
              <w:t>&gt;</w:t>
            </w:r>
            <w:r w:rsidRPr="00DC46B0">
              <w:rPr>
                <w:bCs/>
              </w:rPr>
              <w:t xml:space="preserve"> 65 лет</w:t>
            </w:r>
          </w:p>
          <w:p w14:paraId="24D66C7F" w14:textId="77777777" w:rsidR="004C51FF" w:rsidRPr="00DC46B0" w:rsidRDefault="004C51FF" w:rsidP="004C51FF">
            <w:pPr>
              <w:numPr>
                <w:ilvl w:val="0"/>
                <w:numId w:val="112"/>
              </w:numPr>
              <w:tabs>
                <w:tab w:val="clear" w:pos="720"/>
              </w:tabs>
              <w:ind w:left="0" w:firstLine="0"/>
            </w:pPr>
            <w:r w:rsidRPr="00DC46B0">
              <w:rPr>
                <w:bCs/>
              </w:rPr>
              <w:t xml:space="preserve">Женский пол </w:t>
            </w:r>
          </w:p>
        </w:tc>
      </w:tr>
      <w:tr w:rsidR="004C51FF" w:rsidRPr="00DC46B0" w14:paraId="4645AFCD" w14:textId="77777777" w:rsidTr="002D3EBF">
        <w:trPr>
          <w:trHeight w:val="762"/>
        </w:trPr>
        <w:tc>
          <w:tcPr>
            <w:tcW w:w="2147" w:type="dxa"/>
            <w:shd w:val="clear" w:color="auto" w:fill="auto"/>
            <w:hideMark/>
          </w:tcPr>
          <w:p w14:paraId="7B55BEC1" w14:textId="77777777" w:rsidR="004C51FF" w:rsidRPr="00DC46B0" w:rsidRDefault="004C51FF" w:rsidP="002D3EBF">
            <w:r w:rsidRPr="00DC46B0">
              <w:rPr>
                <w:bCs/>
              </w:rPr>
              <w:t xml:space="preserve">Промежуточный риск – 2 балла </w:t>
            </w:r>
          </w:p>
        </w:tc>
        <w:tc>
          <w:tcPr>
            <w:tcW w:w="2906" w:type="dxa"/>
            <w:shd w:val="clear" w:color="auto" w:fill="auto"/>
            <w:hideMark/>
          </w:tcPr>
          <w:p w14:paraId="2383E26F" w14:textId="77777777" w:rsidR="004C51FF" w:rsidRPr="00DC46B0" w:rsidRDefault="004C51FF" w:rsidP="002D3EBF">
            <w:pPr>
              <w:rPr>
                <w:lang w:val="en-US"/>
              </w:rPr>
            </w:pPr>
            <w:r w:rsidRPr="00DC46B0">
              <w:t>Бортезомиб (2 – 5%)</w:t>
            </w:r>
          </w:p>
          <w:p w14:paraId="15927A98" w14:textId="77777777" w:rsidR="004C51FF" w:rsidRPr="00DC46B0" w:rsidRDefault="004C51FF" w:rsidP="002D3EBF">
            <w:pPr>
              <w:rPr>
                <w:lang w:val="en-US"/>
              </w:rPr>
            </w:pPr>
            <w:r w:rsidRPr="00DC46B0">
              <w:rPr>
                <w:bCs/>
              </w:rPr>
              <w:t xml:space="preserve">Дазатиниб (2 – 4%), </w:t>
            </w:r>
          </w:p>
          <w:p w14:paraId="2F75CA86" w14:textId="77777777" w:rsidR="004C51FF" w:rsidRPr="00DC46B0" w:rsidRDefault="004C51FF" w:rsidP="002D3EBF">
            <w:pPr>
              <w:rPr>
                <w:lang w:val="en-US"/>
              </w:rPr>
            </w:pPr>
            <w:r w:rsidRPr="00DC46B0">
              <w:rPr>
                <w:bCs/>
              </w:rPr>
              <w:t>Сорафениб (4 - %)</w:t>
            </w:r>
          </w:p>
        </w:tc>
        <w:tc>
          <w:tcPr>
            <w:tcW w:w="4694" w:type="dxa"/>
            <w:vMerge/>
            <w:shd w:val="clear" w:color="auto" w:fill="auto"/>
            <w:hideMark/>
          </w:tcPr>
          <w:p w14:paraId="54E73E16" w14:textId="77777777" w:rsidR="004C51FF" w:rsidRPr="00DC46B0" w:rsidRDefault="004C51FF" w:rsidP="002D3EBF"/>
        </w:tc>
      </w:tr>
      <w:tr w:rsidR="004C51FF" w:rsidRPr="00DC46B0" w14:paraId="43CAA0E4" w14:textId="77777777" w:rsidTr="002D3EBF">
        <w:trPr>
          <w:trHeight w:val="570"/>
        </w:trPr>
        <w:tc>
          <w:tcPr>
            <w:tcW w:w="2147" w:type="dxa"/>
            <w:shd w:val="clear" w:color="auto" w:fill="auto"/>
            <w:hideMark/>
          </w:tcPr>
          <w:p w14:paraId="7A763531" w14:textId="77777777" w:rsidR="004C51FF" w:rsidRPr="00DC46B0" w:rsidRDefault="004C51FF" w:rsidP="002D3EBF">
            <w:r w:rsidRPr="00DC46B0">
              <w:rPr>
                <w:bCs/>
              </w:rPr>
              <w:t xml:space="preserve">Низкий риск – 1 балл </w:t>
            </w:r>
          </w:p>
        </w:tc>
        <w:tc>
          <w:tcPr>
            <w:tcW w:w="2906" w:type="dxa"/>
            <w:shd w:val="clear" w:color="auto" w:fill="auto"/>
            <w:hideMark/>
          </w:tcPr>
          <w:p w14:paraId="23E3A452" w14:textId="77777777" w:rsidR="004C51FF" w:rsidRPr="00DC46B0" w:rsidRDefault="004C51FF" w:rsidP="002D3EBF">
            <w:r w:rsidRPr="00DC46B0">
              <w:rPr>
                <w:bCs/>
              </w:rPr>
              <w:t>Иматиниб (0,2 – 2,7%),</w:t>
            </w:r>
            <w:r w:rsidRPr="00DC46B0">
              <w:rPr>
                <w:bCs/>
                <w:lang w:val="en-US"/>
              </w:rPr>
              <w:t xml:space="preserve"> </w:t>
            </w:r>
            <w:r w:rsidRPr="00DC46B0">
              <w:rPr>
                <w:bCs/>
              </w:rPr>
              <w:t>Нилотиниб (1%).</w:t>
            </w:r>
          </w:p>
        </w:tc>
        <w:tc>
          <w:tcPr>
            <w:tcW w:w="4694" w:type="dxa"/>
            <w:vMerge/>
            <w:shd w:val="clear" w:color="auto" w:fill="auto"/>
            <w:hideMark/>
          </w:tcPr>
          <w:p w14:paraId="6F2399A7" w14:textId="77777777" w:rsidR="004C51FF" w:rsidRPr="00DC46B0" w:rsidRDefault="004C51FF" w:rsidP="002D3EBF"/>
        </w:tc>
      </w:tr>
      <w:tr w:rsidR="004C51FF" w:rsidRPr="00DC46B0" w14:paraId="5F57412F" w14:textId="77777777" w:rsidTr="002D3EBF">
        <w:trPr>
          <w:trHeight w:val="570"/>
        </w:trPr>
        <w:tc>
          <w:tcPr>
            <w:tcW w:w="2147" w:type="dxa"/>
            <w:shd w:val="clear" w:color="auto" w:fill="auto"/>
            <w:hideMark/>
          </w:tcPr>
          <w:p w14:paraId="4F8B232B" w14:textId="77777777" w:rsidR="004C51FF" w:rsidRPr="00DC46B0" w:rsidRDefault="004C51FF" w:rsidP="002D3EBF">
            <w:r w:rsidRPr="00DC46B0">
              <w:rPr>
                <w:bCs/>
              </w:rPr>
              <w:t xml:space="preserve">Отсутствие риска (очень низкий риск)  – 0 баллов </w:t>
            </w:r>
          </w:p>
        </w:tc>
        <w:tc>
          <w:tcPr>
            <w:tcW w:w="2906" w:type="dxa"/>
            <w:shd w:val="clear" w:color="auto" w:fill="auto"/>
            <w:hideMark/>
          </w:tcPr>
          <w:p w14:paraId="27D10862" w14:textId="77777777" w:rsidR="004C51FF" w:rsidRPr="00DC46B0" w:rsidRDefault="004C51FF" w:rsidP="002D3EBF">
            <w:pPr>
              <w:rPr>
                <w:bCs/>
              </w:rPr>
            </w:pPr>
            <w:r w:rsidRPr="00DC46B0">
              <w:rPr>
                <w:bCs/>
              </w:rPr>
              <w:t xml:space="preserve">Этопозид, </w:t>
            </w:r>
          </w:p>
          <w:p w14:paraId="193B5053" w14:textId="77777777" w:rsidR="004C51FF" w:rsidRPr="00DC46B0" w:rsidRDefault="004C51FF" w:rsidP="002D3EBF">
            <w:r w:rsidRPr="00DC46B0">
              <w:rPr>
                <w:bCs/>
              </w:rPr>
              <w:t>Ритуксимаб,</w:t>
            </w:r>
            <w:r w:rsidRPr="00DC46B0">
              <w:t xml:space="preserve"> </w:t>
            </w:r>
          </w:p>
          <w:p w14:paraId="138546E3" w14:textId="77777777" w:rsidR="004C51FF" w:rsidRPr="00DC46B0" w:rsidRDefault="004C51FF" w:rsidP="002D3EBF"/>
        </w:tc>
        <w:tc>
          <w:tcPr>
            <w:tcW w:w="4694" w:type="dxa"/>
            <w:vMerge/>
            <w:shd w:val="clear" w:color="auto" w:fill="auto"/>
            <w:hideMark/>
          </w:tcPr>
          <w:p w14:paraId="7AFD37EC" w14:textId="77777777" w:rsidR="004C51FF" w:rsidRPr="00DC46B0" w:rsidRDefault="004C51FF" w:rsidP="002D3EBF"/>
        </w:tc>
      </w:tr>
      <w:tr w:rsidR="004C51FF" w:rsidRPr="00DC46B0" w14:paraId="2BF731B7" w14:textId="77777777" w:rsidTr="002D3EBF">
        <w:trPr>
          <w:trHeight w:val="570"/>
        </w:trPr>
        <w:tc>
          <w:tcPr>
            <w:tcW w:w="9747" w:type="dxa"/>
            <w:gridSpan w:val="3"/>
            <w:shd w:val="clear" w:color="auto" w:fill="auto"/>
            <w:hideMark/>
          </w:tcPr>
          <w:p w14:paraId="316C8A02" w14:textId="77777777" w:rsidR="004C51FF" w:rsidRPr="00DC46B0" w:rsidRDefault="004C51FF" w:rsidP="002D3EBF">
            <w:r w:rsidRPr="00DC46B0">
              <w:rPr>
                <w:bCs/>
              </w:rPr>
              <w:lastRenderedPageBreak/>
              <w:t xml:space="preserve">Уровень риска – сумма баллов лекарственных и коморбидных  рисков: &gt; 6 – очень высокий, 5 – 6 – высокий, 3 – 4 – промежуточный, 1 – 2 – низкий, 0 – очень низкий </w:t>
            </w:r>
          </w:p>
        </w:tc>
      </w:tr>
    </w:tbl>
    <w:p w14:paraId="453AFBCB" w14:textId="77777777" w:rsidR="004C51FF" w:rsidRPr="00DC46B0" w:rsidRDefault="004C51FF" w:rsidP="004C51FF">
      <w:r w:rsidRPr="00DC46B0">
        <w:t xml:space="preserve">   </w:t>
      </w:r>
    </w:p>
    <w:p w14:paraId="02DA6B13" w14:textId="69C0DE75" w:rsidR="004C51FF" w:rsidRPr="00DC46B0" w:rsidRDefault="004C51FF" w:rsidP="004C51FF">
      <w:pPr>
        <w:ind w:firstLine="709"/>
      </w:pPr>
      <w:r w:rsidRPr="00DC46B0">
        <w:t>Немодифицируемые факторы риска ИБС:</w:t>
      </w:r>
      <w:r w:rsidRPr="004F07FC">
        <w:t xml:space="preserve"> </w:t>
      </w:r>
      <w:r w:rsidRPr="00DC46B0">
        <w:t>возраст более 45 лет у мужчин и более 55 лет у женщин, мужской пол, наследственность (ранний атеросклероз у родственников, ранняя смерть родственников от ИБС)</w:t>
      </w:r>
      <w:r>
        <w:t xml:space="preserve"> </w:t>
      </w:r>
      <w:r>
        <w:fldChar w:fldCharType="begin" w:fldLock="1"/>
      </w:r>
      <w:r w:rsidR="00E974B2">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[176]","plainTextFormattedCitation":"[176]","previouslyFormattedCitation":"[176]"},"properties":{"noteIndex":0},"schema":"https://github.com/citation-style-language/schema/raw/master/csl-citation.json"}</w:instrText>
      </w:r>
      <w:r>
        <w:fldChar w:fldCharType="separate"/>
      </w:r>
      <w:r w:rsidRPr="004C51FF">
        <w:rPr>
          <w:noProof/>
        </w:rPr>
        <w:t>[176]</w:t>
      </w:r>
      <w:r>
        <w:fldChar w:fldCharType="end"/>
      </w:r>
      <w:r w:rsidRPr="00DC46B0">
        <w:t>.</w:t>
      </w:r>
    </w:p>
    <w:p w14:paraId="104A6097" w14:textId="3B5A136A" w:rsidR="004C51FF" w:rsidRPr="00DC46B0" w:rsidRDefault="004C51FF" w:rsidP="004C51FF">
      <w:pPr>
        <w:ind w:firstLine="709"/>
      </w:pPr>
      <w:r w:rsidRPr="00DC46B0">
        <w:t>Модифицируемые факторы риска ИБС:</w:t>
      </w:r>
      <w:r w:rsidRPr="004F07FC">
        <w:t xml:space="preserve"> </w:t>
      </w:r>
      <w:r w:rsidRPr="00DC46B0">
        <w:t>АГ, курение, ожирение, недостаточная физическая активность; потенциально или частично модифицируемые – дислипидемия, сахарный диабет, психоэмоциональное перенапряжение</w:t>
      </w:r>
      <w:r>
        <w:t xml:space="preserve"> </w:t>
      </w:r>
      <w:r>
        <w:fldChar w:fldCharType="begin" w:fldLock="1"/>
      </w:r>
      <w:r w:rsidR="00E974B2">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[176]","plainTextFormattedCitation":"[176]","previouslyFormattedCitation":"[176]"},"properties":{"noteIndex":0},"schema":"https://github.com/citation-style-language/schema/raw/master/csl-citation.json"}</w:instrText>
      </w:r>
      <w:r>
        <w:fldChar w:fldCharType="separate"/>
      </w:r>
      <w:r w:rsidRPr="004C51FF">
        <w:rPr>
          <w:noProof/>
        </w:rPr>
        <w:t>[176]</w:t>
      </w:r>
      <w:r>
        <w:fldChar w:fldCharType="end"/>
      </w:r>
      <w:r w:rsidRPr="00DC46B0">
        <w:t xml:space="preserve">. </w:t>
      </w:r>
    </w:p>
    <w:p w14:paraId="10684C8A" w14:textId="77777777" w:rsidR="004C51FF" w:rsidRPr="00DC46B0" w:rsidRDefault="004C51FF" w:rsidP="004C51FF">
      <w:r w:rsidRPr="00DC46B0">
        <w:t xml:space="preserve"> </w:t>
      </w:r>
      <w:r w:rsidRPr="00DC46B0">
        <w:tab/>
        <w:t xml:space="preserve">При выявлении дислипидемии, сахарного диабета необходимо оценить показания к проведению и назначить при необходимости гиполипидемическую и гипогликемическую терапию </w:t>
      </w:r>
    </w:p>
    <w:p w14:paraId="0C4CFFC9" w14:textId="77777777" w:rsidR="004C51FF" w:rsidRPr="00DC46B0" w:rsidRDefault="004C51FF" w:rsidP="004C51FF">
      <w:pPr>
        <w:ind w:firstLine="709"/>
      </w:pPr>
      <w:r w:rsidRPr="00DC46B0">
        <w:t xml:space="preserve">В соответствии с риском развития поражения миокарда предлагается профилактическое лечение ингибитором ангиотензинпревращающего фермента (иАПФ) или антагонистами рецепторов ангиотензина </w:t>
      </w:r>
      <w:r w:rsidRPr="00DC46B0">
        <w:rPr>
          <w:lang w:val="en-US"/>
        </w:rPr>
        <w:t>II</w:t>
      </w:r>
      <w:r w:rsidRPr="00DC46B0">
        <w:t xml:space="preserve"> (АРА), карведилолом и статинами в низких дозах (таб. 3).  </w:t>
      </w:r>
    </w:p>
    <w:p w14:paraId="00FD7799" w14:textId="77777777" w:rsidR="004C51FF" w:rsidRDefault="004C51FF" w:rsidP="004C51FF">
      <w:pPr>
        <w:rPr>
          <w:b/>
        </w:rPr>
      </w:pPr>
    </w:p>
    <w:p w14:paraId="16E1D731" w14:textId="4B2494FA" w:rsidR="004C51FF" w:rsidRPr="004F07FC" w:rsidRDefault="004C51FF" w:rsidP="004C51FF">
      <w:r w:rsidRPr="004F07FC">
        <w:t xml:space="preserve">Таблица 3. Профилактика кардиотоксичности в соответствии с риском поражения миокарда </w:t>
      </w:r>
      <w:r>
        <w:rPr>
          <w:lang w:val="en-US"/>
        </w:rPr>
        <w:fldChar w:fldCharType="begin" w:fldLock="1"/>
      </w:r>
      <w:r w:rsidR="00E974B2">
        <w:rPr>
          <w:lang w:val="en-US"/>
        </w:rPr>
        <w:instrText>ADDIN</w:instrText>
      </w:r>
      <w:r w:rsidR="00E974B2" w:rsidRPr="006C476A">
        <w:instrText xml:space="preserve"> </w:instrText>
      </w:r>
      <w:r w:rsidR="00E974B2">
        <w:rPr>
          <w:lang w:val="en-US"/>
        </w:rPr>
        <w:instrText>CSL</w:instrText>
      </w:r>
      <w:r w:rsidR="00E974B2" w:rsidRPr="006C476A">
        <w:instrText>_</w:instrText>
      </w:r>
      <w:r w:rsidR="00E974B2">
        <w:rPr>
          <w:lang w:val="en-US"/>
        </w:rPr>
        <w:instrText>CITATION</w:instrText>
      </w:r>
      <w:r w:rsidR="00E974B2" w:rsidRPr="006C476A">
        <w:instrText xml:space="preserve"> {"</w:instrText>
      </w:r>
      <w:r w:rsidR="00E974B2">
        <w:rPr>
          <w:lang w:val="en-US"/>
        </w:rPr>
        <w:instrText>citationItems</w:instrText>
      </w:r>
      <w:r w:rsidR="00E974B2" w:rsidRPr="006C476A">
        <w:instrText>":[{"</w:instrText>
      </w:r>
      <w:r w:rsidR="00E974B2">
        <w:rPr>
          <w:lang w:val="en-US"/>
        </w:rPr>
        <w:instrText>id</w:instrText>
      </w:r>
      <w:r w:rsidR="00E974B2" w:rsidRPr="006C476A">
        <w:instrText>":"</w:instrText>
      </w:r>
      <w:r w:rsidR="00E974B2">
        <w:rPr>
          <w:lang w:val="en-US"/>
        </w:rPr>
        <w:instrText>ITEM</w:instrText>
      </w:r>
      <w:r w:rsidR="00E974B2" w:rsidRPr="006C476A">
        <w:instrText>-1","</w:instrText>
      </w:r>
      <w:r w:rsidR="00E974B2">
        <w:rPr>
          <w:lang w:val="en-US"/>
        </w:rPr>
        <w:instrText>itemData</w:instrText>
      </w:r>
      <w:r w:rsidR="00E974B2" w:rsidRPr="006C476A">
        <w:instrText>":{"</w:instrText>
      </w:r>
      <w:r w:rsidR="00E974B2">
        <w:rPr>
          <w:lang w:val="en-US"/>
        </w:rPr>
        <w:instrText>DOI</w:instrText>
      </w:r>
      <w:r w:rsidR="00E974B2" w:rsidRPr="006C476A">
        <w:instrText>":"10.1530/</w:instrText>
      </w:r>
      <w:r w:rsidR="00E974B2">
        <w:rPr>
          <w:lang w:val="en-US"/>
        </w:rPr>
        <w:instrText>ERP</w:instrText>
      </w:r>
      <w:r w:rsidR="00E974B2" w:rsidRPr="006C476A">
        <w:instrText>-17-0013","</w:instrText>
      </w:r>
      <w:r w:rsidR="00E974B2">
        <w:rPr>
          <w:lang w:val="en-US"/>
        </w:rPr>
        <w:instrText>ISSN</w:instrText>
      </w:r>
      <w:r w:rsidR="00E974B2" w:rsidRPr="006C476A">
        <w:instrText>":"20550464","</w:instrText>
      </w:r>
      <w:r w:rsidR="00E974B2">
        <w:rPr>
          <w:lang w:val="en-US"/>
        </w:rPr>
        <w:instrText>abstract</w:instrText>
      </w:r>
      <w:r w:rsidR="00E974B2" w:rsidRPr="006C476A">
        <w:instrText>":"</w:instrText>
      </w:r>
      <w:r w:rsidR="00E974B2">
        <w:rPr>
          <w:lang w:val="en-US"/>
        </w:rPr>
        <w:instrText>Cardio</w:instrText>
      </w:r>
      <w:r w:rsidR="00E974B2" w:rsidRPr="006C476A">
        <w:instrText>-</w:instrText>
      </w:r>
      <w:r w:rsidR="00E974B2">
        <w:rPr>
          <w:lang w:val="en-US"/>
        </w:rPr>
        <w:instrText>oncology</w:instrText>
      </w:r>
      <w:r w:rsidR="00E974B2" w:rsidRPr="006C476A">
        <w:instrText xml:space="preserve"> </w:instrText>
      </w:r>
      <w:r w:rsidR="00E974B2">
        <w:rPr>
          <w:lang w:val="en-US"/>
        </w:rPr>
        <w:instrText>is</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rapidly</w:instrText>
      </w:r>
      <w:r w:rsidR="00E974B2" w:rsidRPr="006C476A">
        <w:instrText xml:space="preserve"> </w:instrText>
      </w:r>
      <w:r w:rsidR="00E974B2">
        <w:rPr>
          <w:lang w:val="en-US"/>
        </w:rPr>
        <w:instrText>growing</w:instrText>
      </w:r>
      <w:r w:rsidR="00E974B2" w:rsidRPr="006C476A">
        <w:instrText xml:space="preserve"> </w:instrText>
      </w:r>
      <w:r w:rsidR="00E974B2">
        <w:rPr>
          <w:lang w:val="en-US"/>
        </w:rPr>
        <w:instrText>feld</w:instrText>
      </w:r>
      <w:r w:rsidR="00E974B2" w:rsidRPr="006C476A">
        <w:instrText xml:space="preserve"> </w:instrText>
      </w:r>
      <w:r w:rsidR="00E974B2">
        <w:rPr>
          <w:lang w:val="en-US"/>
        </w:rPr>
        <w:instrText>aimed</w:instrText>
      </w:r>
      <w:r w:rsidR="00E974B2" w:rsidRPr="006C476A">
        <w:instrText xml:space="preserve"> </w:instrText>
      </w:r>
      <w:r w:rsidR="00E974B2">
        <w:rPr>
          <w:lang w:val="en-US"/>
        </w:rPr>
        <w:instrText>at</w:instrText>
      </w:r>
      <w:r w:rsidR="00E974B2" w:rsidRPr="006C476A">
        <w:instrText xml:space="preserve"> </w:instrText>
      </w:r>
      <w:r w:rsidR="00E974B2">
        <w:rPr>
          <w:lang w:val="en-US"/>
        </w:rPr>
        <w:instrText>minimizing</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effects</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cardiovascular</w:instrText>
      </w:r>
      <w:r w:rsidR="00E974B2" w:rsidRPr="006C476A">
        <w:instrText xml:space="preserve"> </w:instrText>
      </w:r>
      <w:r w:rsidR="00E974B2">
        <w:rPr>
          <w:lang w:val="en-US"/>
        </w:rPr>
        <w:instrText>morbidity</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mortality</w:instrText>
      </w:r>
      <w:r w:rsidR="00E974B2" w:rsidRPr="006C476A">
        <w:instrText xml:space="preserve"> </w:instrText>
      </w:r>
      <w:r w:rsidR="00E974B2">
        <w:rPr>
          <w:lang w:val="en-US"/>
        </w:rPr>
        <w:instrText>in</w:instrText>
      </w:r>
      <w:r w:rsidR="00E974B2" w:rsidRPr="006C476A">
        <w:instrText xml:space="preserve"> </w:instrText>
      </w:r>
      <w:r w:rsidR="00E974B2">
        <w:rPr>
          <w:lang w:val="en-US"/>
        </w:rPr>
        <w:instrText>cancer</w:instrText>
      </w:r>
      <w:r w:rsidR="00E974B2" w:rsidRPr="006C476A">
        <w:instrText xml:space="preserve"> </w:instrText>
      </w:r>
      <w:r w:rsidR="00E974B2">
        <w:rPr>
          <w:lang w:val="en-US"/>
        </w:rPr>
        <w:instrText>survivors</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meet</w:instrText>
      </w:r>
      <w:r w:rsidR="00E974B2" w:rsidRPr="006C476A">
        <w:instrText xml:space="preserve"> </w:instrText>
      </w:r>
      <w:r w:rsidR="00E974B2">
        <w:rPr>
          <w:lang w:val="en-US"/>
        </w:rPr>
        <w:instrText>this</w:instrText>
      </w:r>
      <w:r w:rsidR="00E974B2" w:rsidRPr="006C476A">
        <w:instrText xml:space="preserve"> </w:instrText>
      </w:r>
      <w:r w:rsidR="00E974B2">
        <w:rPr>
          <w:lang w:val="en-US"/>
        </w:rPr>
        <w:instrText>aim</w:instrText>
      </w:r>
      <w:r w:rsidR="00E974B2" w:rsidRPr="006C476A">
        <w:instrText xml:space="preserve">, </w:instrText>
      </w:r>
      <w:r w:rsidR="00E974B2">
        <w:rPr>
          <w:lang w:val="en-US"/>
        </w:rPr>
        <w:instrText>patients</w:instrText>
      </w:r>
      <w:r w:rsidR="00E974B2" w:rsidRPr="006C476A">
        <w:instrText xml:space="preserve"> </w:instrText>
      </w:r>
      <w:r w:rsidR="00E974B2">
        <w:rPr>
          <w:lang w:val="en-US"/>
        </w:rPr>
        <w:instrText>are</w:instrText>
      </w:r>
      <w:r w:rsidR="00E974B2" w:rsidRPr="006C476A">
        <w:instrText xml:space="preserve"> </w:instrText>
      </w:r>
      <w:r w:rsidR="00E974B2">
        <w:rPr>
          <w:lang w:val="en-US"/>
        </w:rPr>
        <w:instrText>assessed</w:instrText>
      </w:r>
      <w:r w:rsidR="00E974B2" w:rsidRPr="006C476A">
        <w:instrText xml:space="preserve"> </w:instrText>
      </w:r>
      <w:r w:rsidR="00E974B2">
        <w:rPr>
          <w:lang w:val="en-US"/>
        </w:rPr>
        <w:instrText>at</w:instrText>
      </w:r>
      <w:r w:rsidR="00E974B2" w:rsidRPr="006C476A">
        <w:instrText xml:space="preserve"> </w:instrText>
      </w:r>
      <w:r w:rsidR="00E974B2">
        <w:rPr>
          <w:lang w:val="en-US"/>
        </w:rPr>
        <w:instrText>baseline</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define</w:instrText>
      </w:r>
      <w:r w:rsidR="00E974B2" w:rsidRPr="006C476A">
        <w:instrText xml:space="preserve"> </w:instrText>
      </w:r>
      <w:r w:rsidR="00E974B2">
        <w:rPr>
          <w:lang w:val="en-US"/>
        </w:rPr>
        <w:instrText>their</w:instrText>
      </w:r>
      <w:r w:rsidR="00E974B2" w:rsidRPr="006C476A">
        <w:instrText xml:space="preserve"> </w:instrText>
      </w:r>
      <w:r w:rsidR="00E974B2">
        <w:rPr>
          <w:lang w:val="en-US"/>
        </w:rPr>
        <w:instrText>risk</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cardiotoxicity</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then</w:instrText>
      </w:r>
      <w:r w:rsidR="00E974B2" w:rsidRPr="006C476A">
        <w:instrText xml:space="preserve"> </w:instrText>
      </w:r>
      <w:r w:rsidR="00E974B2">
        <w:rPr>
          <w:lang w:val="en-US"/>
        </w:rPr>
        <w:instrText>followed</w:instrText>
      </w:r>
      <w:r w:rsidR="00E974B2" w:rsidRPr="006C476A">
        <w:instrText xml:space="preserve"> </w:instrText>
      </w:r>
      <w:r w:rsidR="00E974B2">
        <w:rPr>
          <w:lang w:val="en-US"/>
        </w:rPr>
        <w:instrText>closely</w:instrText>
      </w:r>
      <w:r w:rsidR="00E974B2" w:rsidRPr="006C476A">
        <w:instrText xml:space="preserve"> </w:instrText>
      </w:r>
      <w:r w:rsidR="00E974B2">
        <w:rPr>
          <w:lang w:val="en-US"/>
        </w:rPr>
        <w:instrText>during</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after</w:instrText>
      </w:r>
      <w:r w:rsidR="00E974B2" w:rsidRPr="006C476A">
        <w:instrText xml:space="preserve"> </w:instrText>
      </w:r>
      <w:r w:rsidR="00E974B2">
        <w:rPr>
          <w:lang w:val="en-US"/>
        </w:rPr>
        <w:instrText>chemotherapy</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assess</w:instrText>
      </w:r>
      <w:r w:rsidR="00E974B2" w:rsidRPr="006C476A">
        <w:instrText xml:space="preserve"> </w:instrText>
      </w:r>
      <w:r w:rsidR="00E974B2">
        <w:rPr>
          <w:lang w:val="en-US"/>
        </w:rPr>
        <w:instrText>for</w:instrText>
      </w:r>
      <w:r w:rsidR="00E974B2" w:rsidRPr="006C476A">
        <w:instrText xml:space="preserve"> </w:instrText>
      </w:r>
      <w:r w:rsidR="00E974B2">
        <w:rPr>
          <w:lang w:val="en-US"/>
        </w:rPr>
        <w:instrText>early</w:instrText>
      </w:r>
      <w:r w:rsidR="00E974B2" w:rsidRPr="006C476A">
        <w:instrText xml:space="preserve"> </w:instrText>
      </w:r>
      <w:r w:rsidR="00E974B2">
        <w:rPr>
          <w:lang w:val="en-US"/>
        </w:rPr>
        <w:instrText>signs</w:instrText>
      </w:r>
      <w:r w:rsidR="00E974B2" w:rsidRPr="006C476A">
        <w:instrText xml:space="preserve"> </w:instrText>
      </w:r>
      <w:r w:rsidR="00E974B2">
        <w:rPr>
          <w:lang w:val="en-US"/>
        </w:rPr>
        <w:instrText>or</w:instrText>
      </w:r>
      <w:r w:rsidR="00E974B2" w:rsidRPr="006C476A">
        <w:instrText xml:space="preserve"> </w:instrText>
      </w:r>
      <w:r w:rsidR="00E974B2">
        <w:rPr>
          <w:lang w:val="en-US"/>
        </w:rPr>
        <w:instrText>symptoms</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cardiovascular</w:instrText>
      </w:r>
      <w:r w:rsidR="00E974B2" w:rsidRPr="006C476A">
        <w:instrText xml:space="preserve"> </w:instrText>
      </w:r>
      <w:r w:rsidR="00E974B2">
        <w:rPr>
          <w:lang w:val="en-US"/>
        </w:rPr>
        <w:instrText>disease</w:instrText>
      </w:r>
      <w:r w:rsidR="00E974B2" w:rsidRPr="006C476A">
        <w:instrText xml:space="preserve">. </w:instrText>
      </w:r>
      <w:r w:rsidR="00E974B2">
        <w:rPr>
          <w:lang w:val="en-US"/>
        </w:rPr>
        <w:instrText>Cardiac</w:instrText>
      </w:r>
      <w:r w:rsidR="00E974B2" w:rsidRPr="006C476A">
        <w:instrText xml:space="preserve"> </w:instrText>
      </w:r>
      <w:r w:rsidR="00E974B2">
        <w:rPr>
          <w:lang w:val="en-US"/>
        </w:rPr>
        <w:instrText>imaging</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in</w:instrText>
      </w:r>
      <w:r w:rsidR="00E974B2" w:rsidRPr="006C476A">
        <w:instrText xml:space="preserve"> </w:instrText>
      </w:r>
      <w:r w:rsidR="00E974B2">
        <w:rPr>
          <w:lang w:val="en-US"/>
        </w:rPr>
        <w:instrText>particular</w:instrText>
      </w:r>
      <w:r w:rsidR="00E974B2" w:rsidRPr="006C476A">
        <w:instrText xml:space="preserve">, </w:instrText>
      </w:r>
      <w:r w:rsidR="00E974B2">
        <w:rPr>
          <w:lang w:val="en-US"/>
        </w:rPr>
        <w:instrText>transthoracic</w:instrText>
      </w:r>
      <w:r w:rsidR="00E974B2" w:rsidRPr="006C476A">
        <w:instrText xml:space="preserve"> </w:instrText>
      </w:r>
      <w:r w:rsidR="00E974B2">
        <w:rPr>
          <w:lang w:val="en-US"/>
        </w:rPr>
        <w:instrText>echocardiography</w:instrText>
      </w:r>
      <w:r w:rsidR="00E974B2" w:rsidRPr="006C476A">
        <w:instrText xml:space="preserve">, </w:instrText>
      </w:r>
      <w:r w:rsidR="00E974B2">
        <w:rPr>
          <w:lang w:val="en-US"/>
        </w:rPr>
        <w:instrText>plays</w:instrText>
      </w:r>
      <w:r w:rsidR="00E974B2" w:rsidRPr="006C476A">
        <w:instrText xml:space="preserve"> </w:instrText>
      </w:r>
      <w:r w:rsidR="00E974B2">
        <w:rPr>
          <w:lang w:val="en-US"/>
        </w:rPr>
        <w:instrText>an</w:instrText>
      </w:r>
      <w:r w:rsidR="00E974B2" w:rsidRPr="006C476A">
        <w:instrText xml:space="preserve"> </w:instrText>
      </w:r>
      <w:r w:rsidR="00E974B2">
        <w:rPr>
          <w:lang w:val="en-US"/>
        </w:rPr>
        <w:instrText>essential</w:instrText>
      </w:r>
      <w:r w:rsidR="00E974B2" w:rsidRPr="006C476A">
        <w:instrText xml:space="preserve"> </w:instrText>
      </w:r>
      <w:r w:rsidR="00E974B2">
        <w:rPr>
          <w:lang w:val="en-US"/>
        </w:rPr>
        <w:instrText>role</w:instrText>
      </w:r>
      <w:r w:rsidR="00E974B2" w:rsidRPr="006C476A">
        <w:instrText xml:space="preserve"> </w:instrText>
      </w:r>
      <w:r w:rsidR="00E974B2">
        <w:rPr>
          <w:lang w:val="en-US"/>
        </w:rPr>
        <w:instrText>in</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baseline</w:instrText>
      </w:r>
      <w:r w:rsidR="00E974B2" w:rsidRPr="006C476A">
        <w:instrText xml:space="preserve"> </w:instrText>
      </w:r>
      <w:r w:rsidR="00E974B2">
        <w:rPr>
          <w:lang w:val="en-US"/>
        </w:rPr>
        <w:instrText>assessment</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serial</w:instrText>
      </w:r>
      <w:r w:rsidR="00E974B2" w:rsidRPr="006C476A">
        <w:instrText xml:space="preserve"> </w:instrText>
      </w:r>
      <w:r w:rsidR="00E974B2">
        <w:rPr>
          <w:lang w:val="en-US"/>
        </w:rPr>
        <w:instrText>follow</w:instrText>
      </w:r>
      <w:r w:rsidR="00E974B2" w:rsidRPr="006C476A">
        <w:instrText>-</w:instrText>
      </w:r>
      <w:r w:rsidR="00E974B2">
        <w:rPr>
          <w:lang w:val="en-US"/>
        </w:rPr>
        <w:instrText>up</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cardio</w:instrText>
      </w:r>
      <w:r w:rsidR="00E974B2" w:rsidRPr="006C476A">
        <w:instrText>-</w:instrText>
      </w:r>
      <w:r w:rsidR="00E974B2">
        <w:rPr>
          <w:lang w:val="en-US"/>
        </w:rPr>
        <w:instrText>oncology</w:instrText>
      </w:r>
      <w:r w:rsidR="00E974B2" w:rsidRPr="006C476A">
        <w:instrText xml:space="preserve"> </w:instrText>
      </w:r>
      <w:r w:rsidR="00E974B2">
        <w:rPr>
          <w:lang w:val="en-US"/>
        </w:rPr>
        <w:instrText>patients</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objectives</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this</w:instrText>
      </w:r>
      <w:r w:rsidR="00E974B2" w:rsidRPr="006C476A">
        <w:instrText xml:space="preserve"> </w:instrText>
      </w:r>
      <w:r w:rsidR="00E974B2">
        <w:rPr>
          <w:lang w:val="en-US"/>
        </w:rPr>
        <w:instrText>paper</w:instrText>
      </w:r>
      <w:r w:rsidR="00E974B2" w:rsidRPr="006C476A">
        <w:instrText xml:space="preserve"> </w:instrText>
      </w:r>
      <w:r w:rsidR="00E974B2">
        <w:rPr>
          <w:lang w:val="en-US"/>
        </w:rPr>
        <w:instrText>are</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review</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mechanisms</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cardiotoxicity</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several</w:instrText>
      </w:r>
      <w:r w:rsidR="00E974B2" w:rsidRPr="006C476A">
        <w:instrText xml:space="preserve"> </w:instrText>
      </w:r>
      <w:r w:rsidR="00E974B2">
        <w:rPr>
          <w:lang w:val="en-US"/>
        </w:rPr>
        <w:instrText>common</w:instrText>
      </w:r>
      <w:r w:rsidR="00E974B2" w:rsidRPr="006C476A">
        <w:instrText xml:space="preserve"> </w:instrText>
      </w:r>
      <w:r w:rsidR="00E974B2">
        <w:rPr>
          <w:lang w:val="en-US"/>
        </w:rPr>
        <w:instrText>chemotherapeutic</w:instrText>
      </w:r>
      <w:r w:rsidR="00E974B2" w:rsidRPr="006C476A">
        <w:instrText xml:space="preserve"> </w:instrText>
      </w:r>
      <w:r w:rsidR="00E974B2">
        <w:rPr>
          <w:lang w:val="en-US"/>
        </w:rPr>
        <w:instrText>agents</w:instrText>
      </w:r>
      <w:r w:rsidR="00E974B2" w:rsidRPr="006C476A">
        <w:instrText xml:space="preserve"> </w:instrText>
      </w:r>
      <w:r w:rsidR="00E974B2">
        <w:rPr>
          <w:lang w:val="en-US"/>
        </w:rPr>
        <w:instrText>associated</w:instrText>
      </w:r>
      <w:r w:rsidR="00E974B2" w:rsidRPr="006C476A">
        <w:instrText xml:space="preserve"> </w:instrText>
      </w:r>
      <w:r w:rsidR="00E974B2">
        <w:rPr>
          <w:lang w:val="en-US"/>
        </w:rPr>
        <w:instrText>with</w:instrText>
      </w:r>
      <w:r w:rsidR="00E974B2" w:rsidRPr="006C476A">
        <w:instrText xml:space="preserve"> </w:instrText>
      </w:r>
      <w:r w:rsidR="00E974B2">
        <w:rPr>
          <w:lang w:val="en-US"/>
        </w:rPr>
        <w:instrText>an</w:instrText>
      </w:r>
      <w:r w:rsidR="00E974B2" w:rsidRPr="006C476A">
        <w:instrText xml:space="preserve"> </w:instrText>
      </w:r>
      <w:r w:rsidR="00E974B2">
        <w:rPr>
          <w:lang w:val="en-US"/>
        </w:rPr>
        <w:instrText>increased</w:instrText>
      </w:r>
      <w:r w:rsidR="00E974B2" w:rsidRPr="006C476A">
        <w:instrText xml:space="preserve"> </w:instrText>
      </w:r>
      <w:r w:rsidR="00E974B2">
        <w:rPr>
          <w:lang w:val="en-US"/>
        </w:rPr>
        <w:instrText>risk</w:instrText>
      </w:r>
      <w:r w:rsidR="00E974B2" w:rsidRPr="006C476A">
        <w:instrText xml:space="preserve"> </w:instrText>
      </w:r>
      <w:r w:rsidR="00E974B2">
        <w:rPr>
          <w:lang w:val="en-US"/>
        </w:rPr>
        <w:instrText>for</w:instrText>
      </w:r>
      <w:r w:rsidR="00E974B2" w:rsidRPr="006C476A">
        <w:instrText xml:space="preserve"> </w:instrText>
      </w:r>
      <w:r w:rsidR="00E974B2">
        <w:rPr>
          <w:lang w:val="en-US"/>
        </w:rPr>
        <w:instrText>left</w:instrText>
      </w:r>
      <w:r w:rsidR="00E974B2" w:rsidRPr="006C476A">
        <w:instrText xml:space="preserve"> </w:instrText>
      </w:r>
      <w:r w:rsidR="00E974B2">
        <w:rPr>
          <w:lang w:val="en-US"/>
        </w:rPr>
        <w:instrText>ventricular</w:instrText>
      </w:r>
      <w:r w:rsidR="00E974B2" w:rsidRPr="006C476A">
        <w:instrText xml:space="preserve"> </w:instrText>
      </w:r>
      <w:r w:rsidR="00E974B2">
        <w:rPr>
          <w:lang w:val="en-US"/>
        </w:rPr>
        <w:instrText>systolic</w:instrText>
      </w:r>
      <w:r w:rsidR="00E974B2" w:rsidRPr="006C476A">
        <w:instrText xml:space="preserve"> </w:instrText>
      </w:r>
      <w:r w:rsidR="00E974B2">
        <w:rPr>
          <w:lang w:val="en-US"/>
        </w:rPr>
        <w:instrText>dysfunction</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outline</w:instrText>
      </w:r>
      <w:r w:rsidR="00E974B2" w:rsidRPr="006C476A">
        <w:instrText xml:space="preserve"> </w:instrText>
      </w:r>
      <w:r w:rsidR="00E974B2">
        <w:rPr>
          <w:lang w:val="en-US"/>
        </w:rPr>
        <w:instrText>recommendations</w:instrText>
      </w:r>
      <w:r w:rsidR="00E974B2" w:rsidRPr="006C476A">
        <w:instrText xml:space="preserve"> </w:instrText>
      </w:r>
      <w:r w:rsidR="00E974B2">
        <w:rPr>
          <w:lang w:val="en-US"/>
        </w:rPr>
        <w:instrText>regarding</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baseline</w:instrText>
      </w:r>
      <w:r w:rsidR="00E974B2" w:rsidRPr="006C476A">
        <w:instrText xml:space="preserve"> </w:instrText>
      </w:r>
      <w:r w:rsidR="00E974B2">
        <w:rPr>
          <w:lang w:val="en-US"/>
        </w:rPr>
        <w:instrText>assessment</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serial</w:instrText>
      </w:r>
      <w:r w:rsidR="00E974B2" w:rsidRPr="006C476A">
        <w:instrText xml:space="preserve"> </w:instrText>
      </w:r>
      <w:r w:rsidR="00E974B2">
        <w:rPr>
          <w:lang w:val="en-US"/>
        </w:rPr>
        <w:instrText>follow</w:instrText>
      </w:r>
      <w:r w:rsidR="00E974B2" w:rsidRPr="006C476A">
        <w:instrText>-</w:instrText>
      </w:r>
      <w:r w:rsidR="00E974B2">
        <w:rPr>
          <w:lang w:val="en-US"/>
        </w:rPr>
        <w:instrText>up</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cardio</w:instrText>
      </w:r>
      <w:r w:rsidR="00E974B2" w:rsidRPr="006C476A">
        <w:instrText>-</w:instrText>
      </w:r>
      <w:r w:rsidR="00E974B2">
        <w:rPr>
          <w:lang w:val="en-US"/>
        </w:rPr>
        <w:instrText>oncology</w:instrText>
      </w:r>
      <w:r w:rsidR="00E974B2" w:rsidRPr="006C476A">
        <w:instrText xml:space="preserve"> </w:instrText>
      </w:r>
      <w:r w:rsidR="00E974B2">
        <w:rPr>
          <w:lang w:val="en-US"/>
        </w:rPr>
        <w:instrText>patients</w:instrText>
      </w:r>
      <w:r w:rsidR="00E974B2" w:rsidRPr="006C476A">
        <w:instrText xml:space="preserve"> </w:instrText>
      </w:r>
      <w:r w:rsidR="00E974B2">
        <w:rPr>
          <w:lang w:val="en-US"/>
        </w:rPr>
        <w:instrText>with</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focus</w:instrText>
      </w:r>
      <w:r w:rsidR="00E974B2" w:rsidRPr="006C476A">
        <w:instrText xml:space="preserve"> </w:instrText>
      </w:r>
      <w:r w:rsidR="00E974B2">
        <w:rPr>
          <w:lang w:val="en-US"/>
        </w:rPr>
        <w:instrText>on</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role</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echocardiography</w:instrText>
      </w:r>
      <w:r w:rsidR="00E974B2" w:rsidRPr="006C476A">
        <w:instrText>.","</w:instrText>
      </w:r>
      <w:r w:rsidR="00E974B2">
        <w:rPr>
          <w:lang w:val="en-US"/>
        </w:rPr>
        <w:instrText>author</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Larsen</w:instrText>
      </w:r>
      <w:r w:rsidR="00E974B2" w:rsidRPr="006C476A">
        <w:instrText>","</w:instrText>
      </w:r>
      <w:r w:rsidR="00E974B2">
        <w:rPr>
          <w:lang w:val="en-US"/>
        </w:rPr>
        <w:instrText>given</w:instrText>
      </w:r>
      <w:r w:rsidR="00E974B2" w:rsidRPr="006C476A">
        <w:instrText>":"</w:instrText>
      </w:r>
      <w:r w:rsidR="00E974B2">
        <w:rPr>
          <w:lang w:val="en-US"/>
        </w:rPr>
        <w:instrText>Carolyn</w:instrText>
      </w:r>
      <w:r w:rsidR="00E974B2" w:rsidRPr="006C476A">
        <w:instrText xml:space="preserve"> </w:instrText>
      </w:r>
      <w:r w:rsidR="00E974B2">
        <w:rPr>
          <w:lang w:val="en-US"/>
        </w:rPr>
        <w:instrText>M</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Mulvagh</w:instrText>
      </w:r>
      <w:r w:rsidR="00E974B2" w:rsidRPr="006C476A">
        <w:instrText>","</w:instrText>
      </w:r>
      <w:r w:rsidR="00E974B2">
        <w:rPr>
          <w:lang w:val="en-US"/>
        </w:rPr>
        <w:instrText>given</w:instrText>
      </w:r>
      <w:r w:rsidR="00E974B2" w:rsidRPr="006C476A">
        <w:instrText>":"</w:instrText>
      </w:r>
      <w:r w:rsidR="00E974B2">
        <w:rPr>
          <w:lang w:val="en-US"/>
        </w:rPr>
        <w:instrText>Sharon</w:instrText>
      </w:r>
      <w:r w:rsidR="00E974B2" w:rsidRPr="006C476A">
        <w:instrText xml:space="preserve"> </w:instrText>
      </w:r>
      <w:r w:rsidR="00E974B2">
        <w:rPr>
          <w:lang w:val="en-US"/>
        </w:rPr>
        <w:instrText>L</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container</w:instrText>
      </w:r>
      <w:r w:rsidR="00E974B2" w:rsidRPr="006C476A">
        <w:instrText>-</w:instrText>
      </w:r>
      <w:r w:rsidR="00E974B2">
        <w:rPr>
          <w:lang w:val="en-US"/>
        </w:rPr>
        <w:instrText>title</w:instrText>
      </w:r>
      <w:r w:rsidR="00E974B2" w:rsidRPr="006C476A">
        <w:instrText>":"</w:instrText>
      </w:r>
      <w:r w:rsidR="00E974B2">
        <w:rPr>
          <w:lang w:val="en-US"/>
        </w:rPr>
        <w:instrText>Echo</w:instrText>
      </w:r>
      <w:r w:rsidR="00E974B2" w:rsidRPr="006C476A">
        <w:instrText xml:space="preserve"> </w:instrText>
      </w:r>
      <w:r w:rsidR="00E974B2">
        <w:rPr>
          <w:lang w:val="en-US"/>
        </w:rPr>
        <w:instrText>Research</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Practice</w:instrText>
      </w:r>
      <w:r w:rsidR="00E974B2" w:rsidRPr="006C476A">
        <w:instrText>","</w:instrText>
      </w:r>
      <w:r w:rsidR="00E974B2">
        <w:rPr>
          <w:lang w:val="en-US"/>
        </w:rPr>
        <w:instrText>id</w:instrText>
      </w:r>
      <w:r w:rsidR="00E974B2" w:rsidRPr="006C476A">
        <w:instrText>":"</w:instrText>
      </w:r>
      <w:r w:rsidR="00E974B2">
        <w:rPr>
          <w:lang w:val="en-US"/>
        </w:rPr>
        <w:instrText>ITEM</w:instrText>
      </w:r>
      <w:r w:rsidR="00E974B2" w:rsidRPr="006C476A">
        <w:instrText>-1","</w:instrText>
      </w:r>
      <w:r w:rsidR="00E974B2">
        <w:rPr>
          <w:lang w:val="en-US"/>
        </w:rPr>
        <w:instrText>issue</w:instrText>
      </w:r>
      <w:r w:rsidR="00E974B2" w:rsidRPr="006C476A">
        <w:instrText>":"1","</w:instrText>
      </w:r>
      <w:r w:rsidR="00E974B2">
        <w:rPr>
          <w:lang w:val="en-US"/>
        </w:rPr>
        <w:instrText>issued</w:instrText>
      </w:r>
      <w:r w:rsidR="00E974B2" w:rsidRPr="006C476A">
        <w:instrText>":{"</w:instrText>
      </w:r>
      <w:r w:rsidR="00E974B2">
        <w:rPr>
          <w:lang w:val="en-US"/>
        </w:rPr>
        <w:instrText>date</w:instrText>
      </w:r>
      <w:r w:rsidR="00E974B2" w:rsidRPr="006C476A">
        <w:instrText>-</w:instrText>
      </w:r>
      <w:r w:rsidR="00E974B2">
        <w:rPr>
          <w:lang w:val="en-US"/>
        </w:rPr>
        <w:instrText>parts</w:instrText>
      </w:r>
      <w:r w:rsidR="00E974B2" w:rsidRPr="006C476A">
        <w:instrText>":[["2017","3","1"]]},"</w:instrText>
      </w:r>
      <w:r w:rsidR="00E974B2">
        <w:rPr>
          <w:lang w:val="en-US"/>
        </w:rPr>
        <w:instrText>page</w:instrText>
      </w:r>
      <w:r w:rsidR="00E974B2" w:rsidRPr="006C476A">
        <w:instrText>":"</w:instrText>
      </w:r>
      <w:r w:rsidR="00E974B2">
        <w:rPr>
          <w:lang w:val="en-US"/>
        </w:rPr>
        <w:instrText>R</w:instrText>
      </w:r>
      <w:r w:rsidR="00E974B2" w:rsidRPr="006C476A">
        <w:instrText>33-</w:instrText>
      </w:r>
      <w:r w:rsidR="00E974B2">
        <w:rPr>
          <w:lang w:val="en-US"/>
        </w:rPr>
        <w:instrText>R</w:instrText>
      </w:r>
      <w:r w:rsidR="00E974B2" w:rsidRPr="006C476A">
        <w:instrText>41","</w:instrText>
      </w:r>
      <w:r w:rsidR="00E974B2">
        <w:rPr>
          <w:lang w:val="en-US"/>
        </w:rPr>
        <w:instrText>publisher</w:instrText>
      </w:r>
      <w:r w:rsidR="00E974B2" w:rsidRPr="006C476A">
        <w:instrText>":"</w:instrText>
      </w:r>
      <w:r w:rsidR="00E974B2">
        <w:rPr>
          <w:lang w:val="en-US"/>
        </w:rPr>
        <w:instrText>BioScientifica</w:instrText>
      </w:r>
      <w:r w:rsidR="00E974B2" w:rsidRPr="006C476A">
        <w:instrText xml:space="preserve"> </w:instrText>
      </w:r>
      <w:r w:rsidR="00E974B2">
        <w:rPr>
          <w:lang w:val="en-US"/>
        </w:rPr>
        <w:instrText>Ltd</w:instrText>
      </w:r>
      <w:r w:rsidR="00E974B2" w:rsidRPr="006C476A">
        <w:instrText>.","</w:instrText>
      </w:r>
      <w:r w:rsidR="00E974B2">
        <w:rPr>
          <w:lang w:val="en-US"/>
        </w:rPr>
        <w:instrText>title</w:instrText>
      </w:r>
      <w:r w:rsidR="00E974B2" w:rsidRPr="006C476A">
        <w:instrText>":"</w:instrText>
      </w:r>
      <w:r w:rsidR="00E974B2">
        <w:rPr>
          <w:lang w:val="en-US"/>
        </w:rPr>
        <w:instrText>Cardio</w:instrText>
      </w:r>
      <w:r w:rsidR="00E974B2" w:rsidRPr="006C476A">
        <w:instrText>-</w:instrText>
      </w:r>
      <w:r w:rsidR="00E974B2">
        <w:rPr>
          <w:lang w:val="en-US"/>
        </w:rPr>
        <w:instrText>oncology</w:instrText>
      </w:r>
      <w:r w:rsidR="00E974B2" w:rsidRPr="006C476A">
        <w:instrText xml:space="preserve">: </w:instrText>
      </w:r>
      <w:r w:rsidR="00E974B2">
        <w:rPr>
          <w:lang w:val="en-US"/>
        </w:rPr>
        <w:instrText>What</w:instrText>
      </w:r>
      <w:r w:rsidR="00E974B2" w:rsidRPr="006C476A">
        <w:instrText xml:space="preserve"> </w:instrText>
      </w:r>
      <w:r w:rsidR="00E974B2">
        <w:rPr>
          <w:lang w:val="en-US"/>
        </w:rPr>
        <w:instrText>you</w:instrText>
      </w:r>
      <w:r w:rsidR="00E974B2" w:rsidRPr="006C476A">
        <w:instrText xml:space="preserve"> </w:instrText>
      </w:r>
      <w:r w:rsidR="00E974B2">
        <w:rPr>
          <w:lang w:val="en-US"/>
        </w:rPr>
        <w:instrText>need</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know</w:instrText>
      </w:r>
      <w:r w:rsidR="00E974B2" w:rsidRPr="006C476A">
        <w:instrText xml:space="preserve"> </w:instrText>
      </w:r>
      <w:r w:rsidR="00E974B2">
        <w:rPr>
          <w:lang w:val="en-US"/>
        </w:rPr>
        <w:instrText>now</w:instrText>
      </w:r>
      <w:r w:rsidR="00E974B2" w:rsidRPr="006C476A">
        <w:instrText xml:space="preserve"> </w:instrText>
      </w:r>
      <w:r w:rsidR="00E974B2">
        <w:rPr>
          <w:lang w:val="en-US"/>
        </w:rPr>
        <w:instrText>for</w:instrText>
      </w:r>
      <w:r w:rsidR="00E974B2" w:rsidRPr="006C476A">
        <w:instrText xml:space="preserve"> </w:instrText>
      </w:r>
      <w:r w:rsidR="00E974B2">
        <w:rPr>
          <w:lang w:val="en-US"/>
        </w:rPr>
        <w:instrText>clinical</w:instrText>
      </w:r>
      <w:r w:rsidR="00E974B2" w:rsidRPr="006C476A">
        <w:instrText xml:space="preserve"> </w:instrText>
      </w:r>
      <w:r w:rsidR="00E974B2">
        <w:rPr>
          <w:lang w:val="en-US"/>
        </w:rPr>
        <w:instrText>practice</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echocardiography</w:instrText>
      </w:r>
      <w:r w:rsidR="00E974B2" w:rsidRPr="006C476A">
        <w:instrText>","</w:instrText>
      </w:r>
      <w:r w:rsidR="00E974B2">
        <w:rPr>
          <w:lang w:val="en-US"/>
        </w:rPr>
        <w:instrText>type</w:instrText>
      </w:r>
      <w:r w:rsidR="00E974B2" w:rsidRPr="006C476A">
        <w:instrText>":"</w:instrText>
      </w:r>
      <w:r w:rsidR="00E974B2">
        <w:rPr>
          <w:lang w:val="en-US"/>
        </w:rPr>
        <w:instrText>article</w:instrText>
      </w:r>
      <w:r w:rsidR="00E974B2" w:rsidRPr="006C476A">
        <w:instrText>","</w:instrText>
      </w:r>
      <w:r w:rsidR="00E974B2">
        <w:rPr>
          <w:lang w:val="en-US"/>
        </w:rPr>
        <w:instrText>volume</w:instrText>
      </w:r>
      <w:r w:rsidR="00E974B2" w:rsidRPr="006C476A">
        <w:instrText>":"4"},"</w:instrText>
      </w:r>
      <w:r w:rsidR="00E974B2">
        <w:rPr>
          <w:lang w:val="en-US"/>
        </w:rPr>
        <w:instrText>uris</w:instrText>
      </w:r>
      <w:r w:rsidR="00E974B2" w:rsidRPr="006C476A">
        <w:instrText>":["</w:instrText>
      </w:r>
      <w:r w:rsidR="00E974B2">
        <w:rPr>
          <w:lang w:val="en-US"/>
        </w:rPr>
        <w:instrText>http</w:instrText>
      </w:r>
      <w:r w:rsidR="00E974B2" w:rsidRPr="006C476A">
        <w:instrText>://</w:instrText>
      </w:r>
      <w:r w:rsidR="00E974B2">
        <w:rPr>
          <w:lang w:val="en-US"/>
        </w:rPr>
        <w:instrText>www</w:instrText>
      </w:r>
      <w:r w:rsidR="00E974B2" w:rsidRPr="006C476A">
        <w:instrText>.</w:instrText>
      </w:r>
      <w:r w:rsidR="00E974B2">
        <w:rPr>
          <w:lang w:val="en-US"/>
        </w:rPr>
        <w:instrText>mendeley</w:instrText>
      </w:r>
      <w:r w:rsidR="00E974B2" w:rsidRPr="006C476A">
        <w:instrText>.</w:instrText>
      </w:r>
      <w:r w:rsidR="00E974B2">
        <w:rPr>
          <w:lang w:val="en-US"/>
        </w:rPr>
        <w:instrText>com</w:instrText>
      </w:r>
      <w:r w:rsidR="00E974B2" w:rsidRPr="006C476A">
        <w:instrText>/</w:instrText>
      </w:r>
      <w:r w:rsidR="00E974B2">
        <w:rPr>
          <w:lang w:val="en-US"/>
        </w:rPr>
        <w:instrText>documents</w:instrText>
      </w:r>
      <w:r w:rsidR="00E974B2" w:rsidRPr="006C476A">
        <w:instrText>/?</w:instrText>
      </w:r>
      <w:r w:rsidR="00E974B2">
        <w:rPr>
          <w:lang w:val="en-US"/>
        </w:rPr>
        <w:instrText>uuid</w:instrText>
      </w:r>
      <w:r w:rsidR="00E974B2" w:rsidRPr="006C476A">
        <w:instrText>=8</w:instrText>
      </w:r>
      <w:r w:rsidR="00E974B2">
        <w:rPr>
          <w:lang w:val="en-US"/>
        </w:rPr>
        <w:instrText>c</w:instrText>
      </w:r>
      <w:r w:rsidR="00E974B2" w:rsidRPr="006C476A">
        <w:instrText>6</w:instrText>
      </w:r>
      <w:r w:rsidR="00E974B2">
        <w:rPr>
          <w:lang w:val="en-US"/>
        </w:rPr>
        <w:instrText>f</w:instrText>
      </w:r>
      <w:r w:rsidR="00E974B2" w:rsidRPr="006C476A">
        <w:instrText>1</w:instrText>
      </w:r>
      <w:r w:rsidR="00E974B2">
        <w:rPr>
          <w:lang w:val="en-US"/>
        </w:rPr>
        <w:instrText>c</w:instrText>
      </w:r>
      <w:r w:rsidR="00E974B2" w:rsidRPr="006C476A">
        <w:instrText>03-</w:instrText>
      </w:r>
      <w:r w:rsidR="00E974B2">
        <w:rPr>
          <w:lang w:val="en-US"/>
        </w:rPr>
        <w:instrText>ad</w:instrText>
      </w:r>
      <w:r w:rsidR="00E974B2" w:rsidRPr="006C476A">
        <w:instrText>49-3</w:instrText>
      </w:r>
      <w:r w:rsidR="00E974B2">
        <w:rPr>
          <w:lang w:val="en-US"/>
        </w:rPr>
        <w:instrText>f</w:instrText>
      </w:r>
      <w:r w:rsidR="00E974B2" w:rsidRPr="006C476A">
        <w:instrText>5</w:instrText>
      </w:r>
      <w:r w:rsidR="00E974B2">
        <w:rPr>
          <w:lang w:val="en-US"/>
        </w:rPr>
        <w:instrText>e</w:instrText>
      </w:r>
      <w:r w:rsidR="00E974B2" w:rsidRPr="006C476A">
        <w:instrText>-8</w:instrText>
      </w:r>
      <w:r w:rsidR="00E974B2">
        <w:rPr>
          <w:lang w:val="en-US"/>
        </w:rPr>
        <w:instrText>b</w:instrText>
      </w:r>
      <w:r w:rsidR="00E974B2" w:rsidRPr="006C476A">
        <w:instrText>63-59</w:instrText>
      </w:r>
      <w:r w:rsidR="00E974B2">
        <w:rPr>
          <w:lang w:val="en-US"/>
        </w:rPr>
        <w:instrText>b</w:instrText>
      </w:r>
      <w:r w:rsidR="00E974B2" w:rsidRPr="006C476A">
        <w:instrText>182</w:instrText>
      </w:r>
      <w:r w:rsidR="00E974B2">
        <w:rPr>
          <w:lang w:val="en-US"/>
        </w:rPr>
        <w:instrText>a</w:instrText>
      </w:r>
      <w:r w:rsidR="00E974B2" w:rsidRPr="006C476A">
        <w:instrText>86311"]}],"</w:instrText>
      </w:r>
      <w:r w:rsidR="00E974B2">
        <w:rPr>
          <w:lang w:val="en-US"/>
        </w:rPr>
        <w:instrText>mendeley</w:instrText>
      </w:r>
      <w:r w:rsidR="00E974B2" w:rsidRPr="006C476A">
        <w:instrText>":{"</w:instrText>
      </w:r>
      <w:r w:rsidR="00E974B2">
        <w:rPr>
          <w:lang w:val="en-US"/>
        </w:rPr>
        <w:instrText>formattedCitation</w:instrText>
      </w:r>
      <w:r w:rsidR="00E974B2" w:rsidRPr="006C476A">
        <w:instrText>":"[179]","</w:instrText>
      </w:r>
      <w:r w:rsidR="00E974B2">
        <w:rPr>
          <w:lang w:val="en-US"/>
        </w:rPr>
        <w:instrText>plainTextFormattedCitation</w:instrText>
      </w:r>
      <w:r w:rsidR="00E974B2" w:rsidRPr="006C476A">
        <w:instrText>":"[179]","</w:instrText>
      </w:r>
      <w:r w:rsidR="00E974B2">
        <w:rPr>
          <w:lang w:val="en-US"/>
        </w:rPr>
        <w:instrText>previouslyFormattedCitation</w:instrText>
      </w:r>
      <w:r w:rsidR="00E974B2" w:rsidRPr="006C476A">
        <w:instrText>":"[179]"},"</w:instrText>
      </w:r>
      <w:r w:rsidR="00E974B2">
        <w:rPr>
          <w:lang w:val="en-US"/>
        </w:rPr>
        <w:instrText>properties</w:instrText>
      </w:r>
      <w:r w:rsidR="00E974B2" w:rsidRPr="006C476A">
        <w:instrText>":{"</w:instrText>
      </w:r>
      <w:r w:rsidR="00E974B2">
        <w:rPr>
          <w:lang w:val="en-US"/>
        </w:rPr>
        <w:instrText>noteIndex</w:instrText>
      </w:r>
      <w:r w:rsidR="00E974B2" w:rsidRPr="006C476A">
        <w:instrText>":0},"</w:instrText>
      </w:r>
      <w:r w:rsidR="00E974B2">
        <w:rPr>
          <w:lang w:val="en-US"/>
        </w:rPr>
        <w:instrText>schema</w:instrText>
      </w:r>
      <w:r w:rsidR="00E974B2" w:rsidRPr="006C476A">
        <w:instrText>":"</w:instrText>
      </w:r>
      <w:r w:rsidR="00E974B2">
        <w:rPr>
          <w:lang w:val="en-US"/>
        </w:rPr>
        <w:instrText>https</w:instrText>
      </w:r>
      <w:r w:rsidR="00E974B2" w:rsidRPr="006C476A">
        <w:instrText>://</w:instrText>
      </w:r>
      <w:r w:rsidR="00E974B2">
        <w:rPr>
          <w:lang w:val="en-US"/>
        </w:rPr>
        <w:instrText>github</w:instrText>
      </w:r>
      <w:r w:rsidR="00E974B2" w:rsidRPr="006C476A">
        <w:instrText>.</w:instrText>
      </w:r>
      <w:r w:rsidR="00E974B2">
        <w:rPr>
          <w:lang w:val="en-US"/>
        </w:rPr>
        <w:instrText>com</w:instrText>
      </w:r>
      <w:r w:rsidR="00E974B2" w:rsidRPr="006C476A">
        <w:instrText>/</w:instrText>
      </w:r>
      <w:r w:rsidR="00E974B2">
        <w:rPr>
          <w:lang w:val="en-US"/>
        </w:rPr>
        <w:instrText>citation</w:instrText>
      </w:r>
      <w:r w:rsidR="00E974B2" w:rsidRPr="006C476A">
        <w:instrText>-</w:instrText>
      </w:r>
      <w:r w:rsidR="00E974B2">
        <w:rPr>
          <w:lang w:val="en-US"/>
        </w:rPr>
        <w:instrText>style</w:instrText>
      </w:r>
      <w:r w:rsidR="00E974B2" w:rsidRPr="006C476A">
        <w:instrText>-</w:instrText>
      </w:r>
      <w:r w:rsidR="00E974B2">
        <w:rPr>
          <w:lang w:val="en-US"/>
        </w:rPr>
        <w:instrText>language</w:instrText>
      </w:r>
      <w:r w:rsidR="00E974B2" w:rsidRPr="006C476A">
        <w:instrText>/</w:instrText>
      </w:r>
      <w:r w:rsidR="00E974B2">
        <w:rPr>
          <w:lang w:val="en-US"/>
        </w:rPr>
        <w:instrText>schema</w:instrText>
      </w:r>
      <w:r w:rsidR="00E974B2" w:rsidRPr="006C476A">
        <w:instrText>/</w:instrText>
      </w:r>
      <w:r w:rsidR="00E974B2">
        <w:rPr>
          <w:lang w:val="en-US"/>
        </w:rPr>
        <w:instrText>raw</w:instrText>
      </w:r>
      <w:r w:rsidR="00E974B2" w:rsidRPr="006C476A">
        <w:instrText>/</w:instrText>
      </w:r>
      <w:r w:rsidR="00E974B2">
        <w:rPr>
          <w:lang w:val="en-US"/>
        </w:rPr>
        <w:instrText>master</w:instrText>
      </w:r>
      <w:r w:rsidR="00E974B2" w:rsidRPr="006C476A">
        <w:instrText>/</w:instrText>
      </w:r>
      <w:r w:rsidR="00E974B2">
        <w:rPr>
          <w:lang w:val="en-US"/>
        </w:rPr>
        <w:instrText>csl</w:instrText>
      </w:r>
      <w:r w:rsidR="00E974B2" w:rsidRPr="006C476A">
        <w:instrText>-</w:instrText>
      </w:r>
      <w:r w:rsidR="00E974B2">
        <w:rPr>
          <w:lang w:val="en-US"/>
        </w:rPr>
        <w:instrText>citation</w:instrText>
      </w:r>
      <w:r w:rsidR="00E974B2" w:rsidRPr="006C476A">
        <w:instrText>.</w:instrText>
      </w:r>
      <w:r w:rsidR="00E974B2">
        <w:rPr>
          <w:lang w:val="en-US"/>
        </w:rPr>
        <w:instrText>json</w:instrText>
      </w:r>
      <w:r w:rsidR="00E974B2" w:rsidRPr="006C476A">
        <w:instrText>"}</w:instrText>
      </w:r>
      <w:r>
        <w:rPr>
          <w:lang w:val="en-US"/>
        </w:rPr>
        <w:fldChar w:fldCharType="separate"/>
      </w:r>
      <w:r w:rsidRPr="004C51FF">
        <w:rPr>
          <w:noProof/>
        </w:rPr>
        <w:t>[179]</w:t>
      </w:r>
      <w:r>
        <w:rPr>
          <w:lang w:val="en-US"/>
        </w:rPr>
        <w:fldChar w:fldCharType="end"/>
      </w:r>
      <w:r w:rsidRPr="004F07FC">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513"/>
      </w:tblGrid>
      <w:tr w:rsidR="004C51FF" w:rsidRPr="00DC46B0" w14:paraId="7C381EE5" w14:textId="77777777" w:rsidTr="002D3EBF">
        <w:trPr>
          <w:trHeight w:val="584"/>
        </w:trPr>
        <w:tc>
          <w:tcPr>
            <w:tcW w:w="1951" w:type="dxa"/>
            <w:shd w:val="clear" w:color="auto" w:fill="auto"/>
            <w:hideMark/>
          </w:tcPr>
          <w:p w14:paraId="71092587" w14:textId="77777777" w:rsidR="004C51FF" w:rsidRPr="00DC46B0" w:rsidRDefault="004C51FF" w:rsidP="002D3EBF">
            <w:pPr>
              <w:rPr>
                <w:b/>
                <w:bCs/>
              </w:rPr>
            </w:pPr>
            <w:r w:rsidRPr="00DC46B0">
              <w:rPr>
                <w:b/>
                <w:bCs/>
              </w:rPr>
              <w:t>Риск</w:t>
            </w:r>
          </w:p>
        </w:tc>
        <w:tc>
          <w:tcPr>
            <w:tcW w:w="7513" w:type="dxa"/>
            <w:shd w:val="clear" w:color="auto" w:fill="auto"/>
            <w:hideMark/>
          </w:tcPr>
          <w:p w14:paraId="06F19043" w14:textId="77777777" w:rsidR="004C51FF" w:rsidRPr="00DC46B0" w:rsidRDefault="004C51FF" w:rsidP="002D3EBF">
            <w:pPr>
              <w:rPr>
                <w:b/>
                <w:bCs/>
              </w:rPr>
            </w:pPr>
            <w:r w:rsidRPr="00DC46B0">
              <w:rPr>
                <w:b/>
                <w:bCs/>
              </w:rPr>
              <w:t xml:space="preserve">                                     Рекомендации</w:t>
            </w:r>
          </w:p>
        </w:tc>
      </w:tr>
      <w:tr w:rsidR="004C51FF" w:rsidRPr="00DC46B0" w14:paraId="2D50F6A8" w14:textId="77777777" w:rsidTr="002D3EBF">
        <w:trPr>
          <w:trHeight w:val="584"/>
        </w:trPr>
        <w:tc>
          <w:tcPr>
            <w:tcW w:w="1951" w:type="dxa"/>
            <w:shd w:val="clear" w:color="auto" w:fill="auto"/>
            <w:hideMark/>
          </w:tcPr>
          <w:p w14:paraId="10063F1D" w14:textId="77777777" w:rsidR="004C51FF" w:rsidRPr="00DC46B0" w:rsidRDefault="004C51FF" w:rsidP="002D3EBF">
            <w:pPr>
              <w:rPr>
                <w:bCs/>
              </w:rPr>
            </w:pPr>
            <w:r w:rsidRPr="00DC46B0">
              <w:rPr>
                <w:bCs/>
              </w:rPr>
              <w:t xml:space="preserve">Очень высокий риск </w:t>
            </w:r>
          </w:p>
        </w:tc>
        <w:tc>
          <w:tcPr>
            <w:tcW w:w="7513" w:type="dxa"/>
            <w:shd w:val="clear" w:color="auto" w:fill="auto"/>
            <w:hideMark/>
          </w:tcPr>
          <w:p w14:paraId="5AB00231" w14:textId="77777777" w:rsidR="004C51FF" w:rsidRPr="00DC46B0" w:rsidRDefault="004C51FF" w:rsidP="002D3EBF">
            <w:pPr>
              <w:rPr>
                <w:bCs/>
              </w:rPr>
            </w:pPr>
            <w:r w:rsidRPr="00DC46B0">
              <w:rPr>
                <w:bCs/>
              </w:rPr>
              <w:t>За 1 неделю до ХТ начать иАПФ/АРА, карведилол, статины в низких дозах</w:t>
            </w:r>
            <w:r w:rsidRPr="00DC46B0">
              <w:rPr>
                <w:b/>
                <w:bCs/>
              </w:rPr>
              <w:t>.</w:t>
            </w:r>
            <w:r w:rsidRPr="00DC46B0">
              <w:rPr>
                <w:bCs/>
              </w:rPr>
              <w:t xml:space="preserve">  Далее, на фоне ХТ при стабильном состоянии  титровать по переносимости. </w:t>
            </w:r>
          </w:p>
        </w:tc>
      </w:tr>
      <w:tr w:rsidR="004C51FF" w:rsidRPr="00DC46B0" w14:paraId="3DD8039C" w14:textId="77777777" w:rsidTr="002D3EBF">
        <w:trPr>
          <w:trHeight w:val="357"/>
        </w:trPr>
        <w:tc>
          <w:tcPr>
            <w:tcW w:w="1951" w:type="dxa"/>
            <w:shd w:val="clear" w:color="auto" w:fill="auto"/>
            <w:hideMark/>
          </w:tcPr>
          <w:p w14:paraId="1613513E" w14:textId="77777777" w:rsidR="004C51FF" w:rsidRPr="00DC46B0" w:rsidRDefault="004C51FF" w:rsidP="002D3EBF">
            <w:pPr>
              <w:rPr>
                <w:bCs/>
              </w:rPr>
            </w:pPr>
            <w:r w:rsidRPr="00DC46B0">
              <w:rPr>
                <w:bCs/>
              </w:rPr>
              <w:t xml:space="preserve">Высокий риск </w:t>
            </w:r>
          </w:p>
        </w:tc>
        <w:tc>
          <w:tcPr>
            <w:tcW w:w="7513" w:type="dxa"/>
            <w:shd w:val="clear" w:color="auto" w:fill="auto"/>
            <w:hideMark/>
          </w:tcPr>
          <w:p w14:paraId="7E207290" w14:textId="77777777" w:rsidR="004C51FF" w:rsidRPr="00DC46B0" w:rsidRDefault="004C51FF" w:rsidP="002D3EBF">
            <w:pPr>
              <w:rPr>
                <w:bCs/>
              </w:rPr>
            </w:pPr>
            <w:r w:rsidRPr="00DC46B0">
              <w:rPr>
                <w:bCs/>
              </w:rPr>
              <w:t xml:space="preserve">Начать иАПФ/АРА, карведилол и/или статины.  </w:t>
            </w:r>
          </w:p>
        </w:tc>
      </w:tr>
      <w:tr w:rsidR="004C51FF" w:rsidRPr="00DC46B0" w14:paraId="0F940BDC" w14:textId="77777777" w:rsidTr="002D3EBF">
        <w:trPr>
          <w:trHeight w:val="584"/>
        </w:trPr>
        <w:tc>
          <w:tcPr>
            <w:tcW w:w="1951" w:type="dxa"/>
            <w:shd w:val="clear" w:color="auto" w:fill="auto"/>
            <w:hideMark/>
          </w:tcPr>
          <w:p w14:paraId="230F56E8" w14:textId="77777777" w:rsidR="004C51FF" w:rsidRPr="00DC46B0" w:rsidRDefault="004C51FF" w:rsidP="002D3EBF">
            <w:pPr>
              <w:rPr>
                <w:bCs/>
              </w:rPr>
            </w:pPr>
            <w:r w:rsidRPr="00DC46B0">
              <w:rPr>
                <w:bCs/>
              </w:rPr>
              <w:t xml:space="preserve">Промежуточный риск </w:t>
            </w:r>
          </w:p>
        </w:tc>
        <w:tc>
          <w:tcPr>
            <w:tcW w:w="7513" w:type="dxa"/>
            <w:shd w:val="clear" w:color="auto" w:fill="auto"/>
            <w:hideMark/>
          </w:tcPr>
          <w:p w14:paraId="1E85D6F4" w14:textId="77777777" w:rsidR="004C51FF" w:rsidRPr="00DC46B0" w:rsidRDefault="004C51FF" w:rsidP="002D3EBF">
            <w:pPr>
              <w:rPr>
                <w:bCs/>
              </w:rPr>
            </w:pPr>
            <w:r w:rsidRPr="00DC46B0">
              <w:rPr>
                <w:bCs/>
              </w:rPr>
              <w:t>Обсудить</w:t>
            </w:r>
            <w:r w:rsidRPr="00DC46B0">
              <w:rPr>
                <w:b/>
                <w:bCs/>
                <w:i/>
              </w:rPr>
              <w:t xml:space="preserve"> </w:t>
            </w:r>
            <w:r w:rsidRPr="00DC46B0">
              <w:rPr>
                <w:bCs/>
              </w:rPr>
              <w:t xml:space="preserve">необходимость медикаментозной профилактики. </w:t>
            </w:r>
          </w:p>
        </w:tc>
      </w:tr>
      <w:tr w:rsidR="004C51FF" w:rsidRPr="00DC46B0" w14:paraId="1933708C" w14:textId="77777777" w:rsidTr="002D3EBF">
        <w:trPr>
          <w:trHeight w:val="356"/>
        </w:trPr>
        <w:tc>
          <w:tcPr>
            <w:tcW w:w="1951" w:type="dxa"/>
            <w:shd w:val="clear" w:color="auto" w:fill="auto"/>
            <w:hideMark/>
          </w:tcPr>
          <w:p w14:paraId="3D97B9C2" w14:textId="77777777" w:rsidR="004C51FF" w:rsidRPr="00DC46B0" w:rsidRDefault="004C51FF" w:rsidP="002D3EBF">
            <w:pPr>
              <w:rPr>
                <w:bCs/>
              </w:rPr>
            </w:pPr>
            <w:r w:rsidRPr="00DC46B0">
              <w:rPr>
                <w:bCs/>
              </w:rPr>
              <w:t xml:space="preserve">Низкий риск </w:t>
            </w:r>
          </w:p>
        </w:tc>
        <w:tc>
          <w:tcPr>
            <w:tcW w:w="7513" w:type="dxa"/>
            <w:shd w:val="clear" w:color="auto" w:fill="auto"/>
            <w:hideMark/>
          </w:tcPr>
          <w:p w14:paraId="00BE2238" w14:textId="77777777" w:rsidR="004C51FF" w:rsidRPr="00DC46B0" w:rsidRDefault="004C51FF" w:rsidP="002D3EBF">
            <w:pPr>
              <w:rPr>
                <w:bCs/>
              </w:rPr>
            </w:pPr>
            <w:r w:rsidRPr="00DC46B0">
              <w:rPr>
                <w:bCs/>
              </w:rPr>
              <w:t xml:space="preserve">Только мониторинг состояния. </w:t>
            </w:r>
          </w:p>
        </w:tc>
      </w:tr>
      <w:tr w:rsidR="004C51FF" w:rsidRPr="00DC46B0" w14:paraId="76D86D5D" w14:textId="77777777" w:rsidTr="002D3EBF">
        <w:trPr>
          <w:trHeight w:val="417"/>
        </w:trPr>
        <w:tc>
          <w:tcPr>
            <w:tcW w:w="1951" w:type="dxa"/>
            <w:shd w:val="clear" w:color="auto" w:fill="auto"/>
            <w:hideMark/>
          </w:tcPr>
          <w:p w14:paraId="65717929" w14:textId="77777777" w:rsidR="004C51FF" w:rsidRPr="00DC46B0" w:rsidRDefault="004C51FF" w:rsidP="002D3EBF">
            <w:pPr>
              <w:rPr>
                <w:bCs/>
              </w:rPr>
            </w:pPr>
            <w:r w:rsidRPr="00DC46B0">
              <w:rPr>
                <w:bCs/>
              </w:rPr>
              <w:t xml:space="preserve">Очень низкий риск </w:t>
            </w:r>
          </w:p>
        </w:tc>
        <w:tc>
          <w:tcPr>
            <w:tcW w:w="7513" w:type="dxa"/>
            <w:shd w:val="clear" w:color="auto" w:fill="auto"/>
            <w:hideMark/>
          </w:tcPr>
          <w:p w14:paraId="4D41F81E" w14:textId="77777777" w:rsidR="004C51FF" w:rsidRPr="00DC46B0" w:rsidRDefault="004C51FF" w:rsidP="002D3EBF">
            <w:pPr>
              <w:rPr>
                <w:bCs/>
              </w:rPr>
            </w:pPr>
            <w:r w:rsidRPr="00DC46B0">
              <w:rPr>
                <w:bCs/>
              </w:rPr>
              <w:t xml:space="preserve">Только мониторинг состояния. </w:t>
            </w:r>
          </w:p>
        </w:tc>
      </w:tr>
    </w:tbl>
    <w:p w14:paraId="67E87A26" w14:textId="77777777" w:rsidR="004C51FF" w:rsidRPr="00DC46B0" w:rsidRDefault="004C51FF" w:rsidP="004C51FF"/>
    <w:p w14:paraId="5CA2FD43" w14:textId="77777777" w:rsidR="004C51FF" w:rsidRDefault="004C51FF" w:rsidP="004C51FF">
      <w:pPr>
        <w:ind w:firstLine="709"/>
      </w:pPr>
      <w:r w:rsidRPr="00DC46B0">
        <w:t xml:space="preserve">Рекомендуется тщательный мониторинг состояния больных, получающих гематологическое противоопухолевое лечение, в том числе даже с низким и очень низким рисками развития осложнений (таб. 4). </w:t>
      </w:r>
    </w:p>
    <w:p w14:paraId="73DADE09" w14:textId="77777777" w:rsidR="004C51FF" w:rsidRPr="00DC46B0" w:rsidRDefault="004C51FF" w:rsidP="004C51FF">
      <w:pPr>
        <w:ind w:firstLine="709"/>
      </w:pPr>
    </w:p>
    <w:p w14:paraId="2E84F249" w14:textId="00542C55" w:rsidR="004C51FF" w:rsidRPr="004F07FC" w:rsidRDefault="004C51FF" w:rsidP="004C51FF">
      <w:r w:rsidRPr="004F07FC">
        <w:rPr>
          <w:bCs/>
        </w:rPr>
        <w:lastRenderedPageBreak/>
        <w:t xml:space="preserve">Таблица 4. Мониторинг  пациентов в  зависимости  от  риска  кардиотоксичности </w:t>
      </w:r>
      <w:r>
        <w:rPr>
          <w:bCs/>
        </w:rPr>
        <w:fldChar w:fldCharType="begin" w:fldLock="1"/>
      </w:r>
      <w:r w:rsidR="00E974B2">
        <w:rPr>
          <w:bCs/>
        </w:rPr>
        <w:instrText>ADDIN CSL_CITATION {"citationItems":[{"id":"ITEM-1","itemData":{"DOI":"10.1530/ERP-17-0013","ISSN":"20550464","abstract":"Cardio-oncology is a rapidly growing feld aimed at minimizing the effects of cardiovascular morbidity and mortality in cancer survivors. To meet this aim, patients are assessed at baseline to define their risk of cardiotoxicity and then followed closely during and after chemotherapy to assess for early signs or symptoms of cardiovascular disease. Cardiac imaging, and in particular, transthoracic echocardiography, plays an essential role in the baseline assessment and serial follow-up of cardio-oncology patients. The objectives of this paper are to review the mechanisms of cardiotoxicity of several common chemotherapeutic agents associated with an increased risk for left ventricular systolic dysfunction and to outline recommendations regarding the baseline assessment and serial follow-up of cardio-oncology patients with a focus on the role of echocardiography.","author":[{"dropping-particle":"","family":"Larsen","given":"Carolyn M.","non-dropping-particle":"","parse-names":false,"suffix":""},{"dropping-particle":"","family":"Mulvagh","given":"Sharon L.","non-dropping-particle":"","parse-names":false,"suffix":""}],"container-title":"Echo Research and Practice","id":"ITEM-1","issue":"1","issued":{"date-parts":[["2017","3","1"]]},"page":"R33-R41","publisher":"BioScientifica Ltd.","title":"Cardio-oncology: What you need to know now for clinical practice and echocardiography","type":"article","volume":"4"},"uris":["http://www.mendeley.com/documents/?uuid=8c6f1c03-ad49-3f5e-8b63-59b182a86311"]}],"mendeley":{"formattedCitation":"[179]","plainTextFormattedCitation":"[179]","previouslyFormattedCitation":"[179]"},"properties":{"noteIndex":0},"schema":"https://github.com/citation-style-language/schema/raw/master/csl-citation.json"}</w:instrText>
      </w:r>
      <w:r>
        <w:rPr>
          <w:bCs/>
        </w:rPr>
        <w:fldChar w:fldCharType="separate"/>
      </w:r>
      <w:r w:rsidRPr="004C51FF">
        <w:rPr>
          <w:bCs/>
          <w:noProof/>
        </w:rPr>
        <w:t>[179]</w:t>
      </w:r>
      <w:r>
        <w:rPr>
          <w:bCs/>
        </w:rPr>
        <w:fldChar w:fldCharType="end"/>
      </w:r>
      <w:r w:rsidRPr="004F07FC">
        <w:rPr>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95"/>
      </w:tblGrid>
      <w:tr w:rsidR="004C51FF" w:rsidRPr="00DC46B0" w14:paraId="160ACEBF" w14:textId="77777777" w:rsidTr="002D3EBF">
        <w:tc>
          <w:tcPr>
            <w:tcW w:w="1951" w:type="dxa"/>
            <w:shd w:val="clear" w:color="auto" w:fill="auto"/>
          </w:tcPr>
          <w:p w14:paraId="3D4FAD77" w14:textId="77777777" w:rsidR="004C51FF" w:rsidRPr="00DC46B0" w:rsidRDefault="004C51FF" w:rsidP="002D3EBF">
            <w:pPr>
              <w:rPr>
                <w:b/>
                <w:bCs/>
              </w:rPr>
            </w:pPr>
            <w:r w:rsidRPr="00DC46B0">
              <w:rPr>
                <w:b/>
                <w:bCs/>
              </w:rPr>
              <w:t xml:space="preserve">      Оценка</w:t>
            </w:r>
          </w:p>
          <w:p w14:paraId="34BE8AFE" w14:textId="77777777" w:rsidR="004C51FF" w:rsidRPr="00DC46B0" w:rsidRDefault="004C51FF" w:rsidP="002D3EBF">
            <w:pPr>
              <w:rPr>
                <w:b/>
              </w:rPr>
            </w:pPr>
            <w:r w:rsidRPr="00DC46B0">
              <w:rPr>
                <w:b/>
                <w:bCs/>
              </w:rPr>
              <w:t xml:space="preserve">       риска</w:t>
            </w:r>
          </w:p>
        </w:tc>
        <w:tc>
          <w:tcPr>
            <w:tcW w:w="7620" w:type="dxa"/>
            <w:shd w:val="clear" w:color="auto" w:fill="auto"/>
          </w:tcPr>
          <w:p w14:paraId="0CE7072C" w14:textId="77777777" w:rsidR="004C51FF" w:rsidRPr="00DC46B0" w:rsidRDefault="004C51FF" w:rsidP="002D3EBF">
            <w:pPr>
              <w:jc w:val="center"/>
              <w:rPr>
                <w:b/>
              </w:rPr>
            </w:pPr>
            <w:r w:rsidRPr="00DC46B0">
              <w:rPr>
                <w:b/>
                <w:bCs/>
              </w:rPr>
              <w:t>Обследование</w:t>
            </w:r>
          </w:p>
        </w:tc>
      </w:tr>
      <w:tr w:rsidR="004C51FF" w:rsidRPr="00DC46B0" w14:paraId="337D5705" w14:textId="77777777" w:rsidTr="002D3EBF">
        <w:tc>
          <w:tcPr>
            <w:tcW w:w="1951" w:type="dxa"/>
            <w:shd w:val="clear" w:color="auto" w:fill="auto"/>
          </w:tcPr>
          <w:p w14:paraId="37AA2BDC" w14:textId="77777777" w:rsidR="004C51FF" w:rsidRPr="00DC46B0" w:rsidRDefault="004C51FF" w:rsidP="002D3EBF">
            <w:r w:rsidRPr="00DC46B0">
              <w:rPr>
                <w:bCs/>
              </w:rPr>
              <w:t>Очень высокий риск</w:t>
            </w:r>
          </w:p>
        </w:tc>
        <w:tc>
          <w:tcPr>
            <w:tcW w:w="7620" w:type="dxa"/>
            <w:shd w:val="clear" w:color="auto" w:fill="auto"/>
          </w:tcPr>
          <w:p w14:paraId="166172C9" w14:textId="77777777" w:rsidR="004C51FF" w:rsidRPr="00DC46B0" w:rsidRDefault="004C51FF" w:rsidP="002D3EBF">
            <w:r w:rsidRPr="00DC46B0">
              <w:rPr>
                <w:bCs/>
              </w:rPr>
              <w:t xml:space="preserve">ЭхоКГ с оценкой </w:t>
            </w:r>
            <w:r w:rsidRPr="00DC46B0">
              <w:t xml:space="preserve">глобальной продольной деформации </w:t>
            </w:r>
            <w:r w:rsidRPr="00DC46B0">
              <w:rPr>
                <w:bCs/>
              </w:rPr>
              <w:t>миокарда</w:t>
            </w:r>
            <w:r w:rsidRPr="00DC46B0">
              <w:t xml:space="preserve"> левого желудочка сердца</w:t>
            </w:r>
            <w:r w:rsidRPr="00DC46B0">
              <w:rPr>
                <w:bCs/>
              </w:rPr>
              <w:t xml:space="preserve"> перед началом химиотерапии, перед каждым последующим курсом, в конце лечения, на 3, 6 и 12-й месяцы после лечения. Желательно: ЭКГ, </w:t>
            </w:r>
            <w:r w:rsidRPr="00DC46B0">
              <w:rPr>
                <w:bCs/>
                <w:lang w:val="en-US"/>
              </w:rPr>
              <w:t>cTn</w:t>
            </w:r>
            <w:r w:rsidRPr="00DC46B0">
              <w:rPr>
                <w:bCs/>
              </w:rPr>
              <w:t>, ЭхоКГ во время химиотерапии.</w:t>
            </w:r>
          </w:p>
        </w:tc>
      </w:tr>
      <w:tr w:rsidR="004C51FF" w:rsidRPr="00DC46B0" w14:paraId="0F1689DD" w14:textId="77777777" w:rsidTr="002D3EBF">
        <w:tc>
          <w:tcPr>
            <w:tcW w:w="1951" w:type="dxa"/>
            <w:shd w:val="clear" w:color="auto" w:fill="auto"/>
          </w:tcPr>
          <w:p w14:paraId="6A803806" w14:textId="77777777" w:rsidR="004C51FF" w:rsidRPr="00DC46B0" w:rsidRDefault="004C51FF" w:rsidP="002D3EBF">
            <w:r w:rsidRPr="00DC46B0">
              <w:rPr>
                <w:bCs/>
              </w:rPr>
              <w:t>Высокий риск</w:t>
            </w:r>
          </w:p>
        </w:tc>
        <w:tc>
          <w:tcPr>
            <w:tcW w:w="7620" w:type="dxa"/>
            <w:shd w:val="clear" w:color="auto" w:fill="auto"/>
          </w:tcPr>
          <w:p w14:paraId="53F23CE2" w14:textId="77777777" w:rsidR="004C51FF" w:rsidRPr="00DC46B0" w:rsidRDefault="004C51FF" w:rsidP="002D3EBF">
            <w:r w:rsidRPr="00DC46B0">
              <w:rPr>
                <w:bCs/>
              </w:rPr>
              <w:t xml:space="preserve">ЭхоКГ с оценкой </w:t>
            </w:r>
            <w:r w:rsidRPr="00DC46B0">
              <w:t xml:space="preserve">глобальной продольной деформации </w:t>
            </w:r>
            <w:r w:rsidRPr="00DC46B0">
              <w:rPr>
                <w:bCs/>
              </w:rPr>
              <w:t>миокарда</w:t>
            </w:r>
            <w:r w:rsidRPr="00DC46B0">
              <w:t xml:space="preserve"> левого желудочка сердца</w:t>
            </w:r>
            <w:r w:rsidRPr="00DC46B0">
              <w:rPr>
                <w:bCs/>
              </w:rPr>
              <w:t xml:space="preserve"> после каждого третьего курса, в конце лечения, через 3, 6 и 12 месяцев после лечения. Желательно: ЭКГ, </w:t>
            </w:r>
            <w:r w:rsidRPr="00DC46B0">
              <w:rPr>
                <w:bCs/>
                <w:lang w:val="en-US"/>
              </w:rPr>
              <w:t>cTn</w:t>
            </w:r>
            <w:r w:rsidRPr="00DC46B0">
              <w:rPr>
                <w:bCs/>
              </w:rPr>
              <w:t>, ЭхоКГ во время химиотерапии.</w:t>
            </w:r>
          </w:p>
        </w:tc>
      </w:tr>
      <w:tr w:rsidR="004C51FF" w:rsidRPr="00DC46B0" w14:paraId="48E1D753" w14:textId="77777777" w:rsidTr="002D3EBF">
        <w:tc>
          <w:tcPr>
            <w:tcW w:w="1951" w:type="dxa"/>
            <w:shd w:val="clear" w:color="auto" w:fill="auto"/>
          </w:tcPr>
          <w:p w14:paraId="6EB39C01" w14:textId="77777777" w:rsidR="004C51FF" w:rsidRPr="00DC46B0" w:rsidRDefault="004C51FF" w:rsidP="002D3EBF">
            <w:r w:rsidRPr="00DC46B0">
              <w:rPr>
                <w:bCs/>
              </w:rPr>
              <w:t>Промежуточный риск</w:t>
            </w:r>
          </w:p>
        </w:tc>
        <w:tc>
          <w:tcPr>
            <w:tcW w:w="7620" w:type="dxa"/>
            <w:shd w:val="clear" w:color="auto" w:fill="auto"/>
          </w:tcPr>
          <w:p w14:paraId="7B74BF75" w14:textId="77777777" w:rsidR="004C51FF" w:rsidRPr="00DC46B0" w:rsidRDefault="004C51FF" w:rsidP="002D3EBF">
            <w:r w:rsidRPr="00DC46B0">
              <w:rPr>
                <w:bCs/>
              </w:rPr>
              <w:t xml:space="preserve">ЭхоКГ с оценкой </w:t>
            </w:r>
            <w:r w:rsidRPr="00DC46B0">
              <w:t xml:space="preserve">глобальной продольной деформации </w:t>
            </w:r>
            <w:r w:rsidRPr="00DC46B0">
              <w:rPr>
                <w:bCs/>
              </w:rPr>
              <w:t>миокарда</w:t>
            </w:r>
            <w:r w:rsidRPr="00DC46B0">
              <w:t xml:space="preserve"> левого желудочка сердца</w:t>
            </w:r>
            <w:r w:rsidRPr="00DC46B0">
              <w:rPr>
                <w:bCs/>
              </w:rPr>
              <w:t xml:space="preserve"> в середине и в конце лечения, через 3 и 6 месяцев после лечения. Желательно: ЭКГ, </w:t>
            </w:r>
            <w:r w:rsidRPr="00DC46B0">
              <w:rPr>
                <w:bCs/>
                <w:lang w:val="en-US"/>
              </w:rPr>
              <w:t>cTn</w:t>
            </w:r>
            <w:r w:rsidRPr="00DC46B0">
              <w:rPr>
                <w:bCs/>
              </w:rPr>
              <w:t>, ЭхоКГ во время химиотерапии.</w:t>
            </w:r>
          </w:p>
        </w:tc>
      </w:tr>
      <w:tr w:rsidR="004C51FF" w:rsidRPr="00DC46B0" w14:paraId="721C70DF" w14:textId="77777777" w:rsidTr="002D3EBF">
        <w:tc>
          <w:tcPr>
            <w:tcW w:w="1951" w:type="dxa"/>
            <w:shd w:val="clear" w:color="auto" w:fill="auto"/>
          </w:tcPr>
          <w:p w14:paraId="1B0E73AE" w14:textId="77777777" w:rsidR="004C51FF" w:rsidRPr="00DC46B0" w:rsidRDefault="004C51FF" w:rsidP="002D3EBF">
            <w:r w:rsidRPr="00DC46B0">
              <w:rPr>
                <w:bCs/>
              </w:rPr>
              <w:t>Низкий риск</w:t>
            </w:r>
          </w:p>
        </w:tc>
        <w:tc>
          <w:tcPr>
            <w:tcW w:w="7620" w:type="dxa"/>
            <w:shd w:val="clear" w:color="auto" w:fill="auto"/>
          </w:tcPr>
          <w:p w14:paraId="14789C9A" w14:textId="77777777" w:rsidR="004C51FF" w:rsidRPr="00DC46B0" w:rsidRDefault="004C51FF" w:rsidP="002D3EBF">
            <w:r w:rsidRPr="00DC46B0">
              <w:rPr>
                <w:bCs/>
              </w:rPr>
              <w:t xml:space="preserve">По возможности ЭхоКГ с оценкой </w:t>
            </w:r>
            <w:r w:rsidRPr="00DC46B0">
              <w:t xml:space="preserve">глобальной продольной деформации </w:t>
            </w:r>
            <w:r w:rsidRPr="00DC46B0">
              <w:rPr>
                <w:bCs/>
              </w:rPr>
              <w:t>миокарда</w:t>
            </w:r>
            <w:r w:rsidRPr="00DC46B0">
              <w:t xml:space="preserve"> левого желудочка сердца</w:t>
            </w:r>
            <w:r w:rsidRPr="00DC46B0">
              <w:rPr>
                <w:bCs/>
              </w:rPr>
              <w:t xml:space="preserve"> и/или ЭКГ, </w:t>
            </w:r>
            <w:r w:rsidRPr="00DC46B0">
              <w:rPr>
                <w:bCs/>
                <w:lang w:val="en-US"/>
              </w:rPr>
              <w:t>cTn</w:t>
            </w:r>
            <w:r w:rsidRPr="00DC46B0">
              <w:rPr>
                <w:bCs/>
              </w:rPr>
              <w:t>, в конце химиотерапии.</w:t>
            </w:r>
          </w:p>
        </w:tc>
      </w:tr>
      <w:tr w:rsidR="004C51FF" w:rsidRPr="00DC46B0" w14:paraId="0CC935D2" w14:textId="77777777" w:rsidTr="002D3EBF">
        <w:tc>
          <w:tcPr>
            <w:tcW w:w="1951" w:type="dxa"/>
            <w:shd w:val="clear" w:color="auto" w:fill="auto"/>
          </w:tcPr>
          <w:p w14:paraId="48230C4E" w14:textId="77777777" w:rsidR="004C51FF" w:rsidRPr="00DC46B0" w:rsidRDefault="004C51FF" w:rsidP="002D3EBF">
            <w:r w:rsidRPr="00DC46B0">
              <w:rPr>
                <w:bCs/>
              </w:rPr>
              <w:t>Очень низкий риск</w:t>
            </w:r>
          </w:p>
        </w:tc>
        <w:tc>
          <w:tcPr>
            <w:tcW w:w="7620" w:type="dxa"/>
            <w:shd w:val="clear" w:color="auto" w:fill="auto"/>
          </w:tcPr>
          <w:p w14:paraId="039BD864" w14:textId="77777777" w:rsidR="004C51FF" w:rsidRPr="00DC46B0" w:rsidRDefault="004C51FF" w:rsidP="002D3EBF">
            <w:r w:rsidRPr="00DC46B0">
              <w:rPr>
                <w:bCs/>
              </w:rPr>
              <w:t xml:space="preserve">По возможности ЭхоКГ с оценкой </w:t>
            </w:r>
            <w:r w:rsidRPr="00DC46B0">
              <w:t xml:space="preserve">глобальной продольной деформации </w:t>
            </w:r>
            <w:r w:rsidRPr="00DC46B0">
              <w:rPr>
                <w:bCs/>
              </w:rPr>
              <w:t>миокарда</w:t>
            </w:r>
            <w:r w:rsidRPr="00DC46B0">
              <w:t xml:space="preserve"> левого желудочка сердца</w:t>
            </w:r>
            <w:r w:rsidRPr="00DC46B0">
              <w:rPr>
                <w:bCs/>
              </w:rPr>
              <w:t xml:space="preserve"> и/или ЭКГ, </w:t>
            </w:r>
            <w:r w:rsidRPr="00DC46B0">
              <w:rPr>
                <w:bCs/>
                <w:lang w:val="en-US"/>
              </w:rPr>
              <w:t>cTn</w:t>
            </w:r>
            <w:r w:rsidRPr="00DC46B0">
              <w:rPr>
                <w:bCs/>
              </w:rPr>
              <w:t>, в конце химиотерапии.</w:t>
            </w:r>
          </w:p>
        </w:tc>
      </w:tr>
    </w:tbl>
    <w:p w14:paraId="1E226354" w14:textId="77777777" w:rsidR="004C51FF" w:rsidRPr="00DC46B0" w:rsidRDefault="004C51FF" w:rsidP="004C51FF"/>
    <w:p w14:paraId="28493D2C" w14:textId="5EBDF41B" w:rsidR="004C51FF" w:rsidRPr="00DC46B0" w:rsidRDefault="004C51FF" w:rsidP="004C51FF">
      <w:pPr>
        <w:ind w:firstLine="709"/>
      </w:pPr>
      <w:r w:rsidRPr="00DC46B0">
        <w:t xml:space="preserve">Такой подход необходим для профилактики кардиотоксичности, проявляющейся тяжелой сердечной недостаточностью. Другие тяжелые осложнения – желудочковая тахикардия/фибрилляция желудочков сердца/внезапная смерть – могут развиться при введении (даже при первом) препарата антрациклинового ряда или бортезомиба, карфилзомиба, ритуксимаба, ромидепсина. Поэтому первые введения этих препаратов желательно проводить при тщательном мониторинге, в помещении, в котором возможна электрическая дефибрилляция.  </w:t>
      </w:r>
    </w:p>
    <w:p w14:paraId="1CBC888B" w14:textId="384A9FB7" w:rsidR="004C51FF" w:rsidRPr="00DC46B0" w:rsidRDefault="004C51FF" w:rsidP="004C51FF">
      <w:pPr>
        <w:ind w:firstLine="709"/>
      </w:pPr>
      <w:r w:rsidRPr="00DC46B0">
        <w:t xml:space="preserve">       Довольно многие противоопухолевые препараты удлиняют интервал QT на ЭКГ (что способствует возникновению фибрилляции желудочков и внезапной смерти) –доксорубицин, бозутиниб, дазатиниб, нилотиниб, понатиниб, препараты триоксида мышьяка, вемурафениб и другие. Возможность удлинения интервала QT значительно увеличивается у пациентов с сердечно-сосудистыми заболеваниями или принимающих лекарства, индуцирующие удлинение электрокардиографического желудочкового </w:t>
      </w:r>
      <w:r w:rsidRPr="00DC46B0">
        <w:lastRenderedPageBreak/>
        <w:t>комплекса. Пациенты, получающие лечение этими препаратами, должны пройти, кроме других видов обследования, суточное мониторирование ЭКГ.</w:t>
      </w:r>
    </w:p>
    <w:p w14:paraId="07CF01E2" w14:textId="77777777" w:rsidR="004C51FF" w:rsidRPr="00DC46B0" w:rsidRDefault="004C51FF" w:rsidP="004C51FF">
      <w:pPr>
        <w:ind w:firstLine="709"/>
      </w:pPr>
      <w:r w:rsidRPr="00DC46B0">
        <w:t>Несколько менее тяжелые осложнения – брадикардия и атриовентрикулярная блокада 2 и 3 степеней, однако нередко требует имплантации кардиостимулятора. Препараты, которые могут вызывать брадиаритмию – антрациклины, бортезомиб, циклофосфан, ритуксимаб, ибрутиниб, талидомид. Факторы риска брадикардии, синоатриальной, атриовентрикулярной блокад – перенесенный инфаркт миокарда (особенно нижней локализации), синдромы и Ленегра, гиперкалиемия (в т.</w:t>
      </w:r>
      <w:r w:rsidRPr="004F07FC">
        <w:t xml:space="preserve"> </w:t>
      </w:r>
      <w:r w:rsidRPr="00DC46B0">
        <w:t xml:space="preserve">ч., вследствие синдрома лизиса опухоли), старческий возраст. </w:t>
      </w:r>
    </w:p>
    <w:p w14:paraId="2B87F639" w14:textId="5F124FFE" w:rsidR="004C51FF" w:rsidRPr="00DC46B0" w:rsidRDefault="004C51FF" w:rsidP="004C51FF">
      <w:pPr>
        <w:ind w:firstLine="709"/>
      </w:pPr>
      <w:r w:rsidRPr="00DC46B0">
        <w:t>Кардиологическими нежелательными явлениями 1</w:t>
      </w:r>
      <w:r w:rsidRPr="00EB1E6B">
        <w:t>-</w:t>
      </w:r>
      <w:r w:rsidRPr="00DC46B0">
        <w:t>2 степени нередко являются АГ и ФП. ФП может возникать на фоне лечения ибрутинибом, циклофосфаном, изофосамидом, мельфаланом, антрациклинами, интерферонами, ритуксимабом, понатинибом. ФП нужно лечить совместно с кардиологом, чаще всего противоопухолевое лечение можно не прерывать. Сложность заключается в профилактике кардиоэмболического синдрома (прежде всего инсульта), возникающего при этом нарушении ритма. Профилактика состоит из назначения антикоагулянтов в соответствии со шкалой CHA</w:t>
      </w:r>
      <w:r w:rsidRPr="00DC46B0">
        <w:rPr>
          <w:vertAlign w:val="subscript"/>
        </w:rPr>
        <w:t>2</w:t>
      </w:r>
      <w:r w:rsidRPr="00DC46B0">
        <w:t>DS</w:t>
      </w:r>
      <w:r w:rsidRPr="00DC46B0">
        <w:rPr>
          <w:vertAlign w:val="subscript"/>
        </w:rPr>
        <w:t>2</w:t>
      </w:r>
      <w:r w:rsidRPr="00DC46B0">
        <w:t xml:space="preserve">Vasc. В то же время, при онкогематологических заболеваниях нередко имеется склонность к кровоточивости, а также некоторые препараты, применяемые для лечения этих </w:t>
      </w:r>
      <w:r w:rsidR="001F4833">
        <w:t>пациентов</w:t>
      </w:r>
      <w:r w:rsidRPr="00DC46B0">
        <w:t xml:space="preserve"> (ибрутиниб) также индуцируют гипокоагуляцию. В таких случаях применяют новые антикоагулянты - ривароксабан, апиксабан, (некоторые авторы предпочитают их дабигатрану). АГ лечится по общим правилам гипотензивной терапии с учетом возможного взаимодействия гипотензивных средств с противоопухолевыми препаратами.</w:t>
      </w:r>
    </w:p>
    <w:p w14:paraId="19FDA840" w14:textId="77777777" w:rsidR="004C51FF" w:rsidRDefault="004C51FF" w:rsidP="004C51FF">
      <w:pPr>
        <w:rPr>
          <w:b/>
        </w:rPr>
      </w:pPr>
    </w:p>
    <w:p w14:paraId="332C53ED" w14:textId="77777777" w:rsidR="004C51FF" w:rsidRPr="004F07FC" w:rsidRDefault="004C51FF" w:rsidP="004C51FF">
      <w:pPr>
        <w:rPr>
          <w:i/>
          <w:u w:val="single"/>
        </w:rPr>
      </w:pPr>
      <w:r w:rsidRPr="004F07FC">
        <w:rPr>
          <w:i/>
          <w:u w:val="single"/>
        </w:rPr>
        <w:t xml:space="preserve">Кардиологическое лечение гематологического пациента. </w:t>
      </w:r>
    </w:p>
    <w:p w14:paraId="469C792C" w14:textId="77777777" w:rsidR="004C51FF" w:rsidRPr="00DC46B0" w:rsidRDefault="004C51FF" w:rsidP="004C51FF">
      <w:pPr>
        <w:ind w:firstLine="709"/>
      </w:pPr>
      <w:r w:rsidRPr="00DC46B0">
        <w:t xml:space="preserve">Лекарственные препараты для лечения сердечно-сосудистых заболеваний у гематологических пациентов, их комбинации и дозовые режимы подбираются индивидуально в зависимости от показаний, с учетом диагностированного гематологического заболевания и планируемого гематологического лечения. </w:t>
      </w:r>
    </w:p>
    <w:p w14:paraId="7BE17129" w14:textId="77777777" w:rsidR="004C51FF" w:rsidRPr="00DC46B0" w:rsidRDefault="004C51FF" w:rsidP="004C51FF">
      <w:pPr>
        <w:ind w:firstLine="709"/>
      </w:pPr>
      <w:r w:rsidRPr="00DC46B0">
        <w:t xml:space="preserve">Спектр основных применяемых сердечно-сосудистых препаратов:  </w:t>
      </w:r>
    </w:p>
    <w:p w14:paraId="12BF2C7B" w14:textId="77777777" w:rsidR="004C51FF" w:rsidRPr="004F07FC" w:rsidRDefault="004C51FF" w:rsidP="004C51FF">
      <w:pPr>
        <w:pStyle w:val="afe"/>
        <w:numPr>
          <w:ilvl w:val="0"/>
          <w:numId w:val="119"/>
        </w:numPr>
        <w:rPr>
          <w:szCs w:val="24"/>
        </w:rPr>
      </w:pPr>
      <w:r w:rsidRPr="004F07FC">
        <w:rPr>
          <w:szCs w:val="24"/>
        </w:rPr>
        <w:t xml:space="preserve">Ингибиторы ангиотензинпревращающего фермента – Эналаприл, Периндоприл, Рамиприл,  Лизиноприл, Фозиноприл, Моэксиприл и др. </w:t>
      </w:r>
    </w:p>
    <w:p w14:paraId="4B1A2474" w14:textId="77777777" w:rsidR="004C51FF" w:rsidRPr="004F07FC" w:rsidRDefault="004C51FF" w:rsidP="004C51FF">
      <w:pPr>
        <w:pStyle w:val="afe"/>
        <w:numPr>
          <w:ilvl w:val="0"/>
          <w:numId w:val="119"/>
        </w:numPr>
        <w:rPr>
          <w:szCs w:val="24"/>
        </w:rPr>
      </w:pPr>
      <w:r w:rsidRPr="004F07FC">
        <w:rPr>
          <w:szCs w:val="24"/>
        </w:rPr>
        <w:t>Антагонисты рецепторов ангиотензина II – Лозартан, Валсартан, Кандесартан, Телмисартан и др.</w:t>
      </w:r>
    </w:p>
    <w:p w14:paraId="44F551B4" w14:textId="77777777" w:rsidR="004C51FF" w:rsidRPr="004F07FC" w:rsidRDefault="004C51FF" w:rsidP="004C51FF">
      <w:pPr>
        <w:pStyle w:val="afe"/>
        <w:numPr>
          <w:ilvl w:val="0"/>
          <w:numId w:val="119"/>
        </w:numPr>
        <w:rPr>
          <w:szCs w:val="24"/>
        </w:rPr>
      </w:pPr>
      <w:r w:rsidRPr="004F07FC">
        <w:rPr>
          <w:szCs w:val="24"/>
        </w:rPr>
        <w:t xml:space="preserve">Ингибиторы ангиотензиновых рецепторов и неприлизина – комбинированное </w:t>
      </w:r>
      <w:r w:rsidRPr="004F07FC">
        <w:rPr>
          <w:rStyle w:val="1f7"/>
          <w:szCs w:val="24"/>
        </w:rPr>
        <w:t xml:space="preserve">гипотензивное средство </w:t>
      </w:r>
      <w:r w:rsidRPr="004F07FC">
        <w:rPr>
          <w:szCs w:val="24"/>
        </w:rPr>
        <w:t>Валсартан /сакубитрил, и др.</w:t>
      </w:r>
    </w:p>
    <w:p w14:paraId="124C3EE2" w14:textId="77777777" w:rsidR="004C51FF" w:rsidRPr="004F07FC" w:rsidRDefault="004C51FF" w:rsidP="004C51FF">
      <w:pPr>
        <w:pStyle w:val="afe"/>
        <w:numPr>
          <w:ilvl w:val="0"/>
          <w:numId w:val="119"/>
        </w:numPr>
        <w:rPr>
          <w:szCs w:val="24"/>
        </w:rPr>
      </w:pPr>
      <w:r w:rsidRPr="004F07FC">
        <w:rPr>
          <w:szCs w:val="24"/>
        </w:rPr>
        <w:lastRenderedPageBreak/>
        <w:t>Бета-адреноблокаторы – Бисопролол, Метопролол, Карведилол, Небиволол и др.</w:t>
      </w:r>
    </w:p>
    <w:p w14:paraId="12152B70" w14:textId="77777777" w:rsidR="004C51FF" w:rsidRPr="004F07FC" w:rsidRDefault="004C51FF" w:rsidP="004C51FF">
      <w:pPr>
        <w:pStyle w:val="afe"/>
        <w:numPr>
          <w:ilvl w:val="0"/>
          <w:numId w:val="119"/>
        </w:numPr>
        <w:rPr>
          <w:szCs w:val="24"/>
        </w:rPr>
      </w:pPr>
      <w:r w:rsidRPr="004F07FC">
        <w:rPr>
          <w:szCs w:val="24"/>
        </w:rPr>
        <w:t>Антагонисты кальция (дигидропиридины) – Амлодипин, Лерканидипин, Фелодипин и др.</w:t>
      </w:r>
    </w:p>
    <w:p w14:paraId="5130182A" w14:textId="77777777" w:rsidR="004C51FF" w:rsidRPr="004F07FC" w:rsidRDefault="004C51FF" w:rsidP="004C51FF">
      <w:pPr>
        <w:pStyle w:val="afe"/>
        <w:numPr>
          <w:ilvl w:val="0"/>
          <w:numId w:val="119"/>
        </w:numPr>
        <w:rPr>
          <w:szCs w:val="24"/>
        </w:rPr>
      </w:pPr>
      <w:r w:rsidRPr="004F07FC">
        <w:rPr>
          <w:szCs w:val="24"/>
        </w:rPr>
        <w:t>Агонисты имидазолиновых рецепторов – Моксонидин, Рилменидин и др.</w:t>
      </w:r>
    </w:p>
    <w:p w14:paraId="3D1BF11A" w14:textId="77777777" w:rsidR="004C51FF" w:rsidRPr="004F07FC" w:rsidRDefault="004C51FF" w:rsidP="004C51FF">
      <w:pPr>
        <w:pStyle w:val="afe"/>
        <w:numPr>
          <w:ilvl w:val="0"/>
          <w:numId w:val="119"/>
        </w:numPr>
        <w:rPr>
          <w:szCs w:val="24"/>
        </w:rPr>
      </w:pPr>
      <w:r w:rsidRPr="004F07FC">
        <w:rPr>
          <w:szCs w:val="24"/>
        </w:rPr>
        <w:t>Антикоагулянты – Нефракционированный гепарин, Низкомолекулярные гепарины, витамин К-зависимые антикоагулянты (Варфарин), витамин К-независимые антикоагулянты (Апиксксабан, Ривароксабан, Дабигатран) и др.</w:t>
      </w:r>
    </w:p>
    <w:p w14:paraId="73FD5739" w14:textId="77777777" w:rsidR="004C51FF" w:rsidRPr="004F07FC" w:rsidRDefault="004C51FF" w:rsidP="004C51FF">
      <w:pPr>
        <w:pStyle w:val="afe"/>
        <w:numPr>
          <w:ilvl w:val="0"/>
          <w:numId w:val="119"/>
        </w:numPr>
        <w:rPr>
          <w:szCs w:val="24"/>
        </w:rPr>
      </w:pPr>
      <w:r w:rsidRPr="004F07FC">
        <w:rPr>
          <w:szCs w:val="24"/>
        </w:rPr>
        <w:t>Антиагреганты – Аспирин, Клопидогрел и др.</w:t>
      </w:r>
    </w:p>
    <w:p w14:paraId="59080B4F" w14:textId="77777777" w:rsidR="004C51FF" w:rsidRPr="004F07FC" w:rsidRDefault="004C51FF" w:rsidP="004C51FF">
      <w:pPr>
        <w:pStyle w:val="afe"/>
        <w:numPr>
          <w:ilvl w:val="0"/>
          <w:numId w:val="119"/>
        </w:numPr>
        <w:rPr>
          <w:szCs w:val="24"/>
        </w:rPr>
      </w:pPr>
      <w:r w:rsidRPr="004F07FC">
        <w:rPr>
          <w:szCs w:val="24"/>
        </w:rPr>
        <w:t>Диуретики – калийсберегающие (Спиронолоктон, Эплеренон и др.), тиазидоподобные (Гидрохлортиазид, Хлорталидон, Клопамид, Индапамид), петлевые (Фуросемид, Торасемид, Этакриновая кислота и др.).</w:t>
      </w:r>
    </w:p>
    <w:p w14:paraId="24A6BB3B" w14:textId="77777777" w:rsidR="004C51FF" w:rsidRPr="004F07FC" w:rsidRDefault="004C51FF" w:rsidP="004C51FF">
      <w:pPr>
        <w:pStyle w:val="afe"/>
        <w:numPr>
          <w:ilvl w:val="0"/>
          <w:numId w:val="119"/>
        </w:numPr>
        <w:rPr>
          <w:szCs w:val="24"/>
        </w:rPr>
      </w:pPr>
      <w:r w:rsidRPr="004F07FC">
        <w:rPr>
          <w:szCs w:val="24"/>
        </w:rPr>
        <w:t>Статины – Розувастатин, Симвастатин, Аторвастатин и др.</w:t>
      </w:r>
    </w:p>
    <w:p w14:paraId="2B697EA2" w14:textId="77777777" w:rsidR="004C51FF" w:rsidRPr="004F07FC" w:rsidRDefault="004C51FF" w:rsidP="004C51FF">
      <w:pPr>
        <w:pStyle w:val="afe"/>
        <w:numPr>
          <w:ilvl w:val="0"/>
          <w:numId w:val="119"/>
        </w:numPr>
        <w:rPr>
          <w:szCs w:val="24"/>
        </w:rPr>
      </w:pPr>
      <w:r w:rsidRPr="004F07FC">
        <w:rPr>
          <w:szCs w:val="24"/>
        </w:rPr>
        <w:t>Антиаритмические средства – Соталол, Амиодарон, Этацизин, Новокаинамид, и др.</w:t>
      </w:r>
    </w:p>
    <w:p w14:paraId="092BC92C" w14:textId="77777777" w:rsidR="004C51FF" w:rsidRPr="004F07FC" w:rsidRDefault="004C51FF" w:rsidP="004C51FF">
      <w:pPr>
        <w:pStyle w:val="afe"/>
        <w:numPr>
          <w:ilvl w:val="0"/>
          <w:numId w:val="119"/>
        </w:numPr>
        <w:rPr>
          <w:szCs w:val="24"/>
        </w:rPr>
      </w:pPr>
      <w:r w:rsidRPr="004F07FC">
        <w:rPr>
          <w:szCs w:val="24"/>
        </w:rPr>
        <w:t>Нитровазодилататоры – Изосорбида динитрат, Изосорбида-5-мононитрат, Глицерила тринитрат, и др.</w:t>
      </w:r>
    </w:p>
    <w:p w14:paraId="6FD158ED" w14:textId="77777777" w:rsidR="004C51FF" w:rsidRPr="004F07FC" w:rsidRDefault="004C51FF" w:rsidP="004C51FF">
      <w:pPr>
        <w:pStyle w:val="afe"/>
        <w:numPr>
          <w:ilvl w:val="0"/>
          <w:numId w:val="119"/>
        </w:numPr>
        <w:rPr>
          <w:szCs w:val="24"/>
        </w:rPr>
      </w:pPr>
      <w:r w:rsidRPr="004F07FC">
        <w:rPr>
          <w:szCs w:val="24"/>
        </w:rPr>
        <w:t>Сердечные гликозиды –Дигоксин  и др.</w:t>
      </w:r>
    </w:p>
    <w:p w14:paraId="4D4D61ED" w14:textId="77777777" w:rsidR="004C51FF" w:rsidRPr="00DC46B0" w:rsidRDefault="004C51FF" w:rsidP="004C51FF"/>
    <w:p w14:paraId="2CB2953E" w14:textId="77777777" w:rsidR="004C51FF" w:rsidRPr="00DC46B0" w:rsidRDefault="004C51FF" w:rsidP="004C51FF">
      <w:pPr>
        <w:ind w:firstLine="709"/>
      </w:pPr>
      <w:r w:rsidRPr="00DC46B0">
        <w:t>Выбор терапии требует анализа межлекарственных взаимодействий и возможного потенцирования эффектов различных препаратов (кардиологических и гематологических). Для профилактики, диагностики и лечения кардиальной патологии у гематологического пациента необходимо своевременно и адекватно мониторировать функцию сердечно-сосудистой системы и вести пациента во взаимодействии гематолога и кардиолога.</w:t>
      </w:r>
    </w:p>
    <w:p w14:paraId="5C44A243" w14:textId="77777777" w:rsidR="009E28A6" w:rsidRPr="00FC2402" w:rsidRDefault="009E28A6" w:rsidP="004D0FE7">
      <w:pPr>
        <w:pStyle w:val="2"/>
        <w:spacing w:before="0"/>
      </w:pPr>
    </w:p>
    <w:p w14:paraId="2FACB97C" w14:textId="77777777" w:rsidR="000414F6" w:rsidRPr="000322E4" w:rsidRDefault="00CB71DA" w:rsidP="00F414BF">
      <w:pPr>
        <w:pStyle w:val="afff2"/>
      </w:pPr>
      <w:bookmarkStart w:id="92" w:name="_Toc66096854"/>
      <w:bookmarkEnd w:id="65"/>
      <w:bookmarkEnd w:id="66"/>
      <w:bookmarkEnd w:id="83"/>
      <w:r w:rsidRPr="000322E4">
        <w:t>Критерии оценки качества медицинской помощи</w:t>
      </w:r>
      <w:bookmarkEnd w:id="53"/>
      <w:bookmarkEnd w:id="92"/>
    </w:p>
    <w:p w14:paraId="105498BA" w14:textId="77777777" w:rsidR="0025228A" w:rsidRPr="000322E4" w:rsidRDefault="0025228A" w:rsidP="00CA442F">
      <w:pPr>
        <w:pStyle w:val="afffb"/>
      </w:pPr>
    </w:p>
    <w:tbl>
      <w:tblPr>
        <w:tblW w:w="5004"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8"/>
        <w:gridCol w:w="5211"/>
        <w:gridCol w:w="24"/>
        <w:gridCol w:w="1822"/>
        <w:gridCol w:w="7"/>
        <w:gridCol w:w="1865"/>
      </w:tblGrid>
      <w:tr w:rsidR="00A4325F" w:rsidRPr="000322E4" w14:paraId="6F1AA266" w14:textId="77777777" w:rsidTr="00210FA0">
        <w:trPr>
          <w:tblHeader/>
        </w:trPr>
        <w:tc>
          <w:tcPr>
            <w:tcW w:w="224" w:type="pct"/>
            <w:tcBorders>
              <w:top w:val="single" w:sz="6" w:space="0" w:color="000000"/>
              <w:left w:val="single" w:sz="6" w:space="0" w:color="000000"/>
              <w:bottom w:val="single" w:sz="6" w:space="0" w:color="000000"/>
              <w:right w:val="single" w:sz="6" w:space="0" w:color="000000"/>
            </w:tcBorders>
            <w:vAlign w:val="center"/>
            <w:hideMark/>
          </w:tcPr>
          <w:p w14:paraId="1873C069" w14:textId="77777777" w:rsidR="00A4325F" w:rsidRPr="000322E4" w:rsidRDefault="00A4325F" w:rsidP="00F414BF">
            <w:pPr>
              <w:pStyle w:val="afd"/>
              <w:spacing w:beforeAutospacing="0" w:afterAutospacing="0" w:line="360" w:lineRule="auto"/>
              <w:ind w:firstLine="0"/>
            </w:pPr>
            <w:bookmarkStart w:id="93" w:name="__RefHeading___doc_bible"/>
            <w:r w:rsidRPr="000322E4">
              <w:rPr>
                <w:rStyle w:val="affb"/>
              </w:rPr>
              <w:t>№</w:t>
            </w:r>
          </w:p>
          <w:p w14:paraId="2BA92F66" w14:textId="77777777" w:rsidR="00A4325F" w:rsidRPr="000322E4" w:rsidRDefault="00A4325F" w:rsidP="00F414BF">
            <w:pPr>
              <w:pStyle w:val="afd"/>
              <w:spacing w:beforeAutospacing="0" w:afterAutospacing="0" w:line="360" w:lineRule="auto"/>
              <w:ind w:firstLine="0"/>
            </w:pPr>
          </w:p>
        </w:tc>
        <w:tc>
          <w:tcPr>
            <w:tcW w:w="2788" w:type="pct"/>
            <w:tcBorders>
              <w:top w:val="single" w:sz="6" w:space="0" w:color="000000"/>
              <w:left w:val="single" w:sz="6" w:space="0" w:color="000000"/>
              <w:bottom w:val="single" w:sz="6" w:space="0" w:color="000000"/>
              <w:right w:val="single" w:sz="6" w:space="0" w:color="000000"/>
            </w:tcBorders>
            <w:vAlign w:val="center"/>
            <w:hideMark/>
          </w:tcPr>
          <w:p w14:paraId="148C18D3" w14:textId="77777777" w:rsidR="00A4325F" w:rsidRPr="000322E4" w:rsidRDefault="00A4325F" w:rsidP="009554D6">
            <w:pPr>
              <w:pStyle w:val="afd"/>
              <w:spacing w:beforeAutospacing="0" w:afterAutospacing="0" w:line="360" w:lineRule="auto"/>
              <w:ind w:left="57" w:right="57" w:firstLine="0"/>
            </w:pPr>
            <w:r w:rsidRPr="000322E4">
              <w:rPr>
                <w:rStyle w:val="affb"/>
              </w:rPr>
              <w:t>Критерии качества</w:t>
            </w:r>
          </w:p>
        </w:tc>
        <w:tc>
          <w:tcPr>
            <w:tcW w:w="986" w:type="pct"/>
            <w:gridSpan w:val="2"/>
            <w:tcBorders>
              <w:top w:val="single" w:sz="6" w:space="0" w:color="000000"/>
              <w:left w:val="single" w:sz="6" w:space="0" w:color="000000"/>
              <w:bottom w:val="single" w:sz="6" w:space="0" w:color="000000"/>
              <w:right w:val="single" w:sz="6" w:space="0" w:color="000000"/>
            </w:tcBorders>
            <w:vAlign w:val="center"/>
            <w:hideMark/>
          </w:tcPr>
          <w:p w14:paraId="5DA1160A" w14:textId="77777777" w:rsidR="00A4325F" w:rsidRPr="000322E4" w:rsidRDefault="00A4325F" w:rsidP="009554D6">
            <w:pPr>
              <w:pStyle w:val="afd"/>
              <w:spacing w:beforeAutospacing="0" w:afterAutospacing="0" w:line="360" w:lineRule="auto"/>
              <w:ind w:left="57" w:right="57" w:firstLine="0"/>
            </w:pPr>
            <w:r w:rsidRPr="000322E4">
              <w:rPr>
                <w:rStyle w:val="affb"/>
              </w:rPr>
              <w:t xml:space="preserve">Уровень убедительности рекомендаций </w:t>
            </w:r>
          </w:p>
        </w:tc>
        <w:tc>
          <w:tcPr>
            <w:tcW w:w="1002" w:type="pct"/>
            <w:gridSpan w:val="2"/>
            <w:tcBorders>
              <w:top w:val="single" w:sz="6" w:space="0" w:color="000000"/>
              <w:left w:val="single" w:sz="6" w:space="0" w:color="000000"/>
              <w:bottom w:val="single" w:sz="6" w:space="0" w:color="000000"/>
              <w:right w:val="single" w:sz="6" w:space="0" w:color="000000"/>
            </w:tcBorders>
            <w:vAlign w:val="center"/>
            <w:hideMark/>
          </w:tcPr>
          <w:p w14:paraId="07D7711A" w14:textId="77777777" w:rsidR="00A4325F" w:rsidRPr="000322E4" w:rsidRDefault="00A4325F" w:rsidP="009554D6">
            <w:pPr>
              <w:pStyle w:val="afd"/>
              <w:spacing w:beforeAutospacing="0" w:afterAutospacing="0" w:line="360" w:lineRule="auto"/>
              <w:ind w:left="57" w:right="57" w:firstLine="0"/>
            </w:pPr>
            <w:r w:rsidRPr="000322E4">
              <w:rPr>
                <w:rStyle w:val="affb"/>
              </w:rPr>
              <w:t>Уровень достоверности доказательств</w:t>
            </w:r>
          </w:p>
        </w:tc>
      </w:tr>
      <w:tr w:rsidR="00A4325F" w:rsidRPr="000322E4" w14:paraId="241551FB" w14:textId="77777777" w:rsidTr="00210FA0">
        <w:tc>
          <w:tcPr>
            <w:tcW w:w="224" w:type="pct"/>
            <w:tcBorders>
              <w:top w:val="single" w:sz="6" w:space="0" w:color="000000"/>
              <w:left w:val="single" w:sz="6" w:space="0" w:color="000000"/>
              <w:bottom w:val="single" w:sz="6" w:space="0" w:color="000000"/>
              <w:right w:val="single" w:sz="6" w:space="0" w:color="000000"/>
            </w:tcBorders>
            <w:hideMark/>
          </w:tcPr>
          <w:p w14:paraId="6BD5067B" w14:textId="77777777" w:rsidR="00A4325F" w:rsidRPr="000322E4" w:rsidRDefault="00A4325F" w:rsidP="00F414BF">
            <w:pPr>
              <w:pStyle w:val="afd"/>
              <w:numPr>
                <w:ilvl w:val="0"/>
                <w:numId w:val="4"/>
              </w:numPr>
              <w:spacing w:beforeAutospacing="0" w:afterAutospacing="0" w:line="360" w:lineRule="auto"/>
            </w:pPr>
          </w:p>
        </w:tc>
        <w:tc>
          <w:tcPr>
            <w:tcW w:w="2799" w:type="pct"/>
            <w:gridSpan w:val="2"/>
            <w:tcBorders>
              <w:top w:val="single" w:sz="6" w:space="0" w:color="000000"/>
              <w:left w:val="single" w:sz="6" w:space="0" w:color="000000"/>
              <w:bottom w:val="single" w:sz="6" w:space="0" w:color="000000"/>
              <w:right w:val="single" w:sz="6" w:space="0" w:color="000000"/>
            </w:tcBorders>
            <w:vAlign w:val="center"/>
          </w:tcPr>
          <w:p w14:paraId="66669E62" w14:textId="77777777" w:rsidR="00A4325F" w:rsidRPr="000322E4" w:rsidRDefault="00A4325F" w:rsidP="009554D6">
            <w:pPr>
              <w:pStyle w:val="afd"/>
              <w:spacing w:beforeAutospacing="0" w:afterAutospacing="0" w:line="360" w:lineRule="auto"/>
              <w:ind w:left="57" w:right="57" w:firstLine="0"/>
            </w:pPr>
            <w:r w:rsidRPr="000322E4">
              <w:t xml:space="preserve">Пациенту с подозрением на </w:t>
            </w:r>
            <w:r w:rsidR="00210FA0" w:rsidRPr="000322E4">
              <w:t>ДВКЛ</w:t>
            </w:r>
            <w:r w:rsidR="009B70C4" w:rsidRPr="000322E4">
              <w:t>, ПМВКЛ или ЛБ</w:t>
            </w:r>
            <w:r w:rsidRPr="000322E4">
              <w:t xml:space="preserve"> или с выявленной </w:t>
            </w:r>
            <w:r w:rsidR="00210FA0" w:rsidRPr="000322E4">
              <w:t>ДВКЛ</w:t>
            </w:r>
            <w:r w:rsidR="009B70C4" w:rsidRPr="000322E4">
              <w:t>, ПМВКЛ или ЛБ</w:t>
            </w:r>
            <w:r w:rsidRPr="000322E4">
              <w:t xml:space="preserve"> при первичном или повторном приеме, после завершения каждого цикла терапии и перед началом каждого нового цикла терапии, при оценке ремиссии после завершения терапии, при </w:t>
            </w:r>
            <w:r w:rsidRPr="000322E4">
              <w:lastRenderedPageBreak/>
              <w:t>контрольных обследованиях, или при подозрении на рецидив заболевания выполнен развернутый клинический анализ крови с определением гемоглобина, эритроцитов, тромбоцитов, лейкоцитов, подсчетом лейкоцитарной формулы с оценкой абсолютного содержания лейкоцитов и количества ретикулоцитов, оценкой скорости оседания эритроцитов</w:t>
            </w:r>
          </w:p>
        </w:tc>
        <w:tc>
          <w:tcPr>
            <w:tcW w:w="979" w:type="pct"/>
            <w:gridSpan w:val="2"/>
            <w:tcBorders>
              <w:top w:val="single" w:sz="6" w:space="0" w:color="000000"/>
              <w:left w:val="single" w:sz="6" w:space="0" w:color="000000"/>
              <w:bottom w:val="single" w:sz="6" w:space="0" w:color="000000"/>
              <w:right w:val="single" w:sz="6" w:space="0" w:color="000000"/>
            </w:tcBorders>
          </w:tcPr>
          <w:p w14:paraId="09D6FFA1" w14:textId="77777777" w:rsidR="00A4325F" w:rsidRPr="000322E4" w:rsidRDefault="00A4325F" w:rsidP="009554D6">
            <w:pPr>
              <w:pStyle w:val="afd"/>
              <w:spacing w:beforeAutospacing="0" w:afterAutospacing="0" w:line="360" w:lineRule="auto"/>
              <w:ind w:left="57" w:right="57" w:firstLine="0"/>
            </w:pPr>
            <w:r w:rsidRPr="000322E4">
              <w:lastRenderedPageBreak/>
              <w:t>С</w:t>
            </w:r>
          </w:p>
        </w:tc>
        <w:tc>
          <w:tcPr>
            <w:tcW w:w="997" w:type="pct"/>
            <w:tcBorders>
              <w:top w:val="single" w:sz="6" w:space="0" w:color="000000"/>
              <w:left w:val="single" w:sz="6" w:space="0" w:color="000000"/>
              <w:bottom w:val="single" w:sz="6" w:space="0" w:color="000000"/>
              <w:right w:val="single" w:sz="6" w:space="0" w:color="000000"/>
            </w:tcBorders>
          </w:tcPr>
          <w:p w14:paraId="181977CA" w14:textId="77777777" w:rsidR="00A4325F" w:rsidRPr="000322E4" w:rsidRDefault="00A4325F" w:rsidP="009554D6">
            <w:pPr>
              <w:pStyle w:val="afd"/>
              <w:spacing w:beforeAutospacing="0" w:afterAutospacing="0" w:line="360" w:lineRule="auto"/>
              <w:ind w:left="57" w:right="57" w:firstLine="0"/>
            </w:pPr>
            <w:r w:rsidRPr="000322E4">
              <w:t>5</w:t>
            </w:r>
          </w:p>
        </w:tc>
      </w:tr>
      <w:tr w:rsidR="00A4325F" w:rsidRPr="000322E4" w14:paraId="233557CF" w14:textId="77777777" w:rsidTr="00210FA0">
        <w:tc>
          <w:tcPr>
            <w:tcW w:w="224" w:type="pct"/>
            <w:tcBorders>
              <w:top w:val="single" w:sz="6" w:space="0" w:color="000000"/>
              <w:left w:val="single" w:sz="6" w:space="0" w:color="000000"/>
              <w:bottom w:val="single" w:sz="6" w:space="0" w:color="000000"/>
              <w:right w:val="single" w:sz="6" w:space="0" w:color="000000"/>
            </w:tcBorders>
            <w:hideMark/>
          </w:tcPr>
          <w:p w14:paraId="60F6DC9A" w14:textId="77777777" w:rsidR="00A4325F" w:rsidRPr="000322E4" w:rsidRDefault="00A4325F" w:rsidP="00F414BF">
            <w:pPr>
              <w:pStyle w:val="afd"/>
              <w:numPr>
                <w:ilvl w:val="0"/>
                <w:numId w:val="4"/>
              </w:numPr>
              <w:spacing w:beforeAutospacing="0" w:afterAutospacing="0" w:line="360" w:lineRule="auto"/>
            </w:pPr>
          </w:p>
        </w:tc>
        <w:tc>
          <w:tcPr>
            <w:tcW w:w="2799" w:type="pct"/>
            <w:gridSpan w:val="2"/>
            <w:tcBorders>
              <w:top w:val="single" w:sz="6" w:space="0" w:color="000000"/>
              <w:left w:val="single" w:sz="6" w:space="0" w:color="000000"/>
              <w:bottom w:val="single" w:sz="6" w:space="0" w:color="000000"/>
              <w:right w:val="single" w:sz="6" w:space="0" w:color="000000"/>
            </w:tcBorders>
            <w:vAlign w:val="center"/>
          </w:tcPr>
          <w:p w14:paraId="7979F8A7" w14:textId="77777777" w:rsidR="00A4325F" w:rsidRPr="000322E4" w:rsidRDefault="00A4325F" w:rsidP="009554D6">
            <w:pPr>
              <w:pStyle w:val="afd"/>
              <w:spacing w:beforeAutospacing="0" w:afterAutospacing="0" w:line="360" w:lineRule="auto"/>
              <w:ind w:left="57" w:right="57" w:firstLine="0"/>
            </w:pPr>
            <w:r w:rsidRPr="000322E4">
              <w:t xml:space="preserve">Пациенту с подозрением на </w:t>
            </w:r>
            <w:r w:rsidR="00210FA0" w:rsidRPr="000322E4">
              <w:t>ДВКЛ</w:t>
            </w:r>
            <w:r w:rsidR="009B70C4" w:rsidRPr="000322E4">
              <w:t>, ПМВКЛ или ЛБ</w:t>
            </w:r>
            <w:r w:rsidRPr="000322E4">
              <w:t xml:space="preserve"> или с выявленной </w:t>
            </w:r>
            <w:r w:rsidR="00210FA0" w:rsidRPr="000322E4">
              <w:t>ДВКЛ</w:t>
            </w:r>
            <w:r w:rsidR="009B70C4" w:rsidRPr="000322E4">
              <w:t>, ПМВКЛ или ЛБ</w:t>
            </w:r>
            <w:r w:rsidRPr="000322E4">
              <w:t xml:space="preserve"> при первичном или повторном приеме, после завершения каждого цикла терапии и перед началом каждого нового цикла терапии, при оценке ремиссии после завершения терапии, при контрольных обследованиях, или при подозрении на рецидив заболевания выполнен анализ крови биохимический общетерапевтический с </w:t>
            </w:r>
            <w:r w:rsidRPr="000322E4">
              <w:rPr>
                <w:iCs/>
              </w:rPr>
              <w:t>включением следующих параметров: ЛДГ, мочевина, креатинин, общий белок, альбумин, билирубин, АСТ, АЛТ, щелочная фосфатаза, калий, натрий, хлор, кальций</w:t>
            </w:r>
          </w:p>
        </w:tc>
        <w:tc>
          <w:tcPr>
            <w:tcW w:w="979" w:type="pct"/>
            <w:gridSpan w:val="2"/>
            <w:tcBorders>
              <w:top w:val="single" w:sz="6" w:space="0" w:color="000000"/>
              <w:left w:val="single" w:sz="6" w:space="0" w:color="000000"/>
              <w:bottom w:val="single" w:sz="6" w:space="0" w:color="000000"/>
              <w:right w:val="single" w:sz="6" w:space="0" w:color="000000"/>
            </w:tcBorders>
          </w:tcPr>
          <w:p w14:paraId="57451068" w14:textId="77777777" w:rsidR="00A4325F" w:rsidRPr="000322E4" w:rsidRDefault="00A4325F" w:rsidP="009554D6">
            <w:pPr>
              <w:pStyle w:val="afd"/>
              <w:spacing w:beforeAutospacing="0" w:afterAutospacing="0" w:line="360" w:lineRule="auto"/>
              <w:ind w:left="57" w:right="57" w:firstLine="0"/>
            </w:pPr>
            <w:r w:rsidRPr="000322E4">
              <w:t>С</w:t>
            </w:r>
          </w:p>
        </w:tc>
        <w:tc>
          <w:tcPr>
            <w:tcW w:w="997" w:type="pct"/>
            <w:tcBorders>
              <w:top w:val="single" w:sz="6" w:space="0" w:color="000000"/>
              <w:left w:val="single" w:sz="6" w:space="0" w:color="000000"/>
              <w:bottom w:val="single" w:sz="6" w:space="0" w:color="000000"/>
              <w:right w:val="single" w:sz="6" w:space="0" w:color="000000"/>
            </w:tcBorders>
          </w:tcPr>
          <w:p w14:paraId="0F935BCC" w14:textId="77777777" w:rsidR="00A4325F" w:rsidRPr="000322E4" w:rsidRDefault="00A4325F" w:rsidP="009554D6">
            <w:pPr>
              <w:pStyle w:val="afd"/>
              <w:spacing w:beforeAutospacing="0" w:afterAutospacing="0" w:line="360" w:lineRule="auto"/>
              <w:ind w:left="57" w:right="57" w:firstLine="0"/>
            </w:pPr>
            <w:r w:rsidRPr="000322E4">
              <w:t>5</w:t>
            </w:r>
          </w:p>
        </w:tc>
      </w:tr>
      <w:tr w:rsidR="00A4325F" w:rsidRPr="000322E4" w14:paraId="5CFAA8FF" w14:textId="77777777" w:rsidTr="00210FA0">
        <w:tc>
          <w:tcPr>
            <w:tcW w:w="224" w:type="pct"/>
            <w:tcBorders>
              <w:top w:val="single" w:sz="6" w:space="0" w:color="000000"/>
              <w:left w:val="single" w:sz="6" w:space="0" w:color="000000"/>
              <w:bottom w:val="single" w:sz="6" w:space="0" w:color="000000"/>
              <w:right w:val="single" w:sz="6" w:space="0" w:color="000000"/>
            </w:tcBorders>
            <w:hideMark/>
          </w:tcPr>
          <w:p w14:paraId="50766A9A" w14:textId="77777777" w:rsidR="00A4325F" w:rsidRPr="000322E4" w:rsidRDefault="00A4325F" w:rsidP="00F414BF">
            <w:pPr>
              <w:pStyle w:val="afd"/>
              <w:numPr>
                <w:ilvl w:val="0"/>
                <w:numId w:val="4"/>
              </w:numPr>
              <w:spacing w:beforeAutospacing="0" w:afterAutospacing="0" w:line="360" w:lineRule="auto"/>
            </w:pPr>
          </w:p>
        </w:tc>
        <w:tc>
          <w:tcPr>
            <w:tcW w:w="2799" w:type="pct"/>
            <w:gridSpan w:val="2"/>
            <w:tcBorders>
              <w:top w:val="single" w:sz="6" w:space="0" w:color="000000"/>
              <w:left w:val="single" w:sz="6" w:space="0" w:color="000000"/>
              <w:bottom w:val="single" w:sz="6" w:space="0" w:color="000000"/>
              <w:right w:val="single" w:sz="6" w:space="0" w:color="000000"/>
            </w:tcBorders>
            <w:vAlign w:val="center"/>
          </w:tcPr>
          <w:p w14:paraId="69E47DF2" w14:textId="77777777" w:rsidR="00A4325F" w:rsidRPr="000322E4" w:rsidRDefault="00A4325F" w:rsidP="009554D6">
            <w:pPr>
              <w:pStyle w:val="afd"/>
              <w:spacing w:beforeAutospacing="0" w:afterAutospacing="0" w:line="360" w:lineRule="auto"/>
              <w:ind w:left="57" w:right="57" w:firstLine="0"/>
            </w:pPr>
            <w:r w:rsidRPr="000322E4">
              <w:t xml:space="preserve">Пациенту с подозрением на </w:t>
            </w:r>
            <w:r w:rsidR="00210FA0" w:rsidRPr="000322E4">
              <w:t>ДВКЛ</w:t>
            </w:r>
            <w:r w:rsidR="009B70C4" w:rsidRPr="000322E4">
              <w:t>, ПМВКЛ или ЛБ</w:t>
            </w:r>
            <w:r w:rsidRPr="000322E4">
              <w:t xml:space="preserve"> или с выявленной </w:t>
            </w:r>
            <w:r w:rsidR="00210FA0" w:rsidRPr="000322E4">
              <w:t>ДВКЛ</w:t>
            </w:r>
            <w:r w:rsidR="009B70C4" w:rsidRPr="000322E4">
              <w:t>, ПМВКЛ или ЛБ</w:t>
            </w:r>
            <w:r w:rsidRPr="000322E4">
              <w:t xml:space="preserve"> при первичном или повторном приеме, после завершения каждого цикла терапии и перед началом каждого нового цикла терапии, при оценке ремиссии после завершения терапии, при контрольных обследованиях, или при подозрении на рецидив заболевания выполнено исследование свертывающей системы крови (коагулограмма) с </w:t>
            </w:r>
            <w:r w:rsidRPr="000322E4">
              <w:rPr>
                <w:iCs/>
              </w:rPr>
              <w:t xml:space="preserve">включением следующих параметров: протромбин, МНО, АЧТВ, фибриноген, </w:t>
            </w:r>
            <w:r w:rsidRPr="000322E4">
              <w:rPr>
                <w:iCs/>
              </w:rPr>
              <w:lastRenderedPageBreak/>
              <w:t xml:space="preserve">тромбиновое время, антитромбин </w:t>
            </w:r>
            <w:r w:rsidRPr="000322E4">
              <w:rPr>
                <w:iCs/>
                <w:lang w:val="en-US"/>
              </w:rPr>
              <w:t>III</w:t>
            </w:r>
            <w:r w:rsidRPr="000322E4">
              <w:rPr>
                <w:iCs/>
              </w:rPr>
              <w:t xml:space="preserve">, плазминоген, </w:t>
            </w:r>
            <w:r w:rsidRPr="000322E4">
              <w:rPr>
                <w:iCs/>
                <w:lang w:val="en-US"/>
              </w:rPr>
              <w:t>D</w:t>
            </w:r>
            <w:r w:rsidRPr="000322E4">
              <w:rPr>
                <w:iCs/>
              </w:rPr>
              <w:t>-димер</w:t>
            </w:r>
          </w:p>
        </w:tc>
        <w:tc>
          <w:tcPr>
            <w:tcW w:w="979" w:type="pct"/>
            <w:gridSpan w:val="2"/>
            <w:tcBorders>
              <w:top w:val="single" w:sz="6" w:space="0" w:color="000000"/>
              <w:left w:val="single" w:sz="6" w:space="0" w:color="000000"/>
              <w:bottom w:val="single" w:sz="6" w:space="0" w:color="000000"/>
              <w:right w:val="single" w:sz="6" w:space="0" w:color="000000"/>
            </w:tcBorders>
          </w:tcPr>
          <w:p w14:paraId="7DC08B3F" w14:textId="77777777" w:rsidR="00A4325F" w:rsidRPr="000322E4" w:rsidRDefault="00A4325F" w:rsidP="009554D6">
            <w:pPr>
              <w:pStyle w:val="afd"/>
              <w:spacing w:beforeAutospacing="0" w:afterAutospacing="0" w:line="360" w:lineRule="auto"/>
              <w:ind w:left="57" w:right="57" w:firstLine="0"/>
            </w:pPr>
            <w:r w:rsidRPr="000322E4">
              <w:lastRenderedPageBreak/>
              <w:t>С</w:t>
            </w:r>
          </w:p>
        </w:tc>
        <w:tc>
          <w:tcPr>
            <w:tcW w:w="997" w:type="pct"/>
            <w:tcBorders>
              <w:top w:val="single" w:sz="6" w:space="0" w:color="000000"/>
              <w:left w:val="single" w:sz="6" w:space="0" w:color="000000"/>
              <w:bottom w:val="single" w:sz="6" w:space="0" w:color="000000"/>
              <w:right w:val="single" w:sz="6" w:space="0" w:color="000000"/>
            </w:tcBorders>
          </w:tcPr>
          <w:p w14:paraId="5EAAE406" w14:textId="77777777" w:rsidR="00A4325F" w:rsidRPr="000322E4" w:rsidRDefault="00A4325F" w:rsidP="009554D6">
            <w:pPr>
              <w:pStyle w:val="afd"/>
              <w:spacing w:beforeAutospacing="0" w:afterAutospacing="0" w:line="360" w:lineRule="auto"/>
              <w:ind w:left="57" w:right="57" w:firstLine="0"/>
            </w:pPr>
            <w:r w:rsidRPr="000322E4">
              <w:t>5</w:t>
            </w:r>
          </w:p>
        </w:tc>
      </w:tr>
      <w:tr w:rsidR="00A4325F" w:rsidRPr="000322E4" w14:paraId="0649D771" w14:textId="77777777" w:rsidTr="00210FA0">
        <w:tc>
          <w:tcPr>
            <w:tcW w:w="224" w:type="pct"/>
            <w:tcBorders>
              <w:top w:val="single" w:sz="6" w:space="0" w:color="000000"/>
              <w:left w:val="single" w:sz="6" w:space="0" w:color="000000"/>
              <w:bottom w:val="single" w:sz="6" w:space="0" w:color="000000"/>
              <w:right w:val="single" w:sz="6" w:space="0" w:color="000000"/>
            </w:tcBorders>
            <w:hideMark/>
          </w:tcPr>
          <w:p w14:paraId="17323148" w14:textId="77777777" w:rsidR="00A4325F" w:rsidRPr="000322E4" w:rsidRDefault="00A4325F" w:rsidP="00F414BF">
            <w:pPr>
              <w:pStyle w:val="afd"/>
              <w:numPr>
                <w:ilvl w:val="0"/>
                <w:numId w:val="4"/>
              </w:numPr>
              <w:spacing w:beforeAutospacing="0" w:afterAutospacing="0" w:line="360" w:lineRule="auto"/>
            </w:pPr>
          </w:p>
        </w:tc>
        <w:tc>
          <w:tcPr>
            <w:tcW w:w="2799" w:type="pct"/>
            <w:gridSpan w:val="2"/>
            <w:tcBorders>
              <w:top w:val="single" w:sz="6" w:space="0" w:color="000000"/>
              <w:left w:val="single" w:sz="6" w:space="0" w:color="000000"/>
              <w:bottom w:val="single" w:sz="6" w:space="0" w:color="000000"/>
              <w:right w:val="single" w:sz="6" w:space="0" w:color="000000"/>
            </w:tcBorders>
            <w:vAlign w:val="center"/>
          </w:tcPr>
          <w:p w14:paraId="7B99472F" w14:textId="77777777" w:rsidR="00A4325F" w:rsidRPr="000322E4" w:rsidRDefault="00A4325F" w:rsidP="009554D6">
            <w:pPr>
              <w:pStyle w:val="afd"/>
              <w:spacing w:beforeAutospacing="0" w:afterAutospacing="0" w:line="360" w:lineRule="auto"/>
              <w:ind w:left="57" w:right="57" w:firstLine="0"/>
            </w:pPr>
            <w:r w:rsidRPr="000322E4">
              <w:t xml:space="preserve">Пациенту при установлении диагноза </w:t>
            </w:r>
            <w:r w:rsidR="00210FA0" w:rsidRPr="000322E4">
              <w:t>ДВКЛ</w:t>
            </w:r>
            <w:r w:rsidR="009B70C4" w:rsidRPr="000322E4">
              <w:t>, ПМВКЛ или ЛБ</w:t>
            </w:r>
            <w:r w:rsidRPr="000322E4">
              <w:t xml:space="preserve">, при оценке ответа на лечение, а </w:t>
            </w:r>
            <w:r w:rsidRPr="000322E4">
              <w:rPr>
                <w:color w:val="000000" w:themeColor="text1"/>
              </w:rPr>
              <w:t>также при подозрении на рецидив заболевания выполнено</w:t>
            </w:r>
            <w:r w:rsidR="009B70C4" w:rsidRPr="000322E4">
              <w:rPr>
                <w:color w:val="000000" w:themeColor="text1"/>
              </w:rPr>
              <w:t xml:space="preserve"> ПЭТ/КТ или ПЭТ всего тела, либо, при невозможности выполнить эти исследования,</w:t>
            </w:r>
            <w:r w:rsidRPr="000322E4">
              <w:rPr>
                <w:color w:val="000000" w:themeColor="text1"/>
              </w:rPr>
              <w:t xml:space="preserve"> КТ шеи, </w:t>
            </w:r>
            <w:r w:rsidRPr="000322E4">
              <w:t>грудной клетки, органов брюшной полости и малого таза (с контрастированием)</w:t>
            </w:r>
            <w:r w:rsidR="009B70C4" w:rsidRPr="000322E4">
              <w:t>,</w:t>
            </w:r>
            <w:r w:rsidRPr="000322E4">
              <w:t xml:space="preserve"> либо (при противопоказаниях против КТ или невозможности его выполнения) выполнены рентгенография органов грудной клетки в двух проекциях и ультразвуковое исследование лимфатческих узлов и внутренних органов.</w:t>
            </w:r>
          </w:p>
        </w:tc>
        <w:tc>
          <w:tcPr>
            <w:tcW w:w="979" w:type="pct"/>
            <w:gridSpan w:val="2"/>
            <w:tcBorders>
              <w:top w:val="single" w:sz="6" w:space="0" w:color="000000"/>
              <w:left w:val="single" w:sz="6" w:space="0" w:color="000000"/>
              <w:bottom w:val="single" w:sz="6" w:space="0" w:color="000000"/>
              <w:right w:val="single" w:sz="6" w:space="0" w:color="000000"/>
            </w:tcBorders>
          </w:tcPr>
          <w:p w14:paraId="424CC079" w14:textId="77777777" w:rsidR="00A4325F" w:rsidRPr="000322E4" w:rsidRDefault="00A4325F" w:rsidP="009554D6">
            <w:pPr>
              <w:pStyle w:val="afd"/>
              <w:spacing w:beforeAutospacing="0" w:afterAutospacing="0" w:line="360" w:lineRule="auto"/>
              <w:ind w:left="57" w:right="57" w:firstLine="0"/>
            </w:pPr>
            <w:r w:rsidRPr="000322E4">
              <w:t>С</w:t>
            </w:r>
          </w:p>
        </w:tc>
        <w:tc>
          <w:tcPr>
            <w:tcW w:w="997" w:type="pct"/>
            <w:tcBorders>
              <w:top w:val="single" w:sz="6" w:space="0" w:color="000000"/>
              <w:left w:val="single" w:sz="6" w:space="0" w:color="000000"/>
              <w:bottom w:val="single" w:sz="6" w:space="0" w:color="000000"/>
              <w:right w:val="single" w:sz="6" w:space="0" w:color="000000"/>
            </w:tcBorders>
          </w:tcPr>
          <w:p w14:paraId="1580B91A" w14:textId="77777777" w:rsidR="00A4325F" w:rsidRPr="000322E4" w:rsidRDefault="00A4325F" w:rsidP="009554D6">
            <w:pPr>
              <w:pStyle w:val="afd"/>
              <w:spacing w:beforeAutospacing="0" w:afterAutospacing="0" w:line="360" w:lineRule="auto"/>
              <w:ind w:left="57" w:right="57" w:firstLine="0"/>
            </w:pPr>
            <w:r w:rsidRPr="000322E4">
              <w:t>5</w:t>
            </w:r>
          </w:p>
        </w:tc>
      </w:tr>
      <w:tr w:rsidR="00A4325F" w:rsidRPr="000322E4" w14:paraId="300C199C" w14:textId="77777777" w:rsidTr="00210FA0">
        <w:tc>
          <w:tcPr>
            <w:tcW w:w="224" w:type="pct"/>
            <w:tcBorders>
              <w:top w:val="single" w:sz="6" w:space="0" w:color="000000"/>
              <w:left w:val="single" w:sz="6" w:space="0" w:color="000000"/>
              <w:bottom w:val="single" w:sz="6" w:space="0" w:color="000000"/>
              <w:right w:val="single" w:sz="6" w:space="0" w:color="000000"/>
            </w:tcBorders>
          </w:tcPr>
          <w:p w14:paraId="59DAB7FB" w14:textId="77777777" w:rsidR="00A4325F" w:rsidRPr="000322E4" w:rsidRDefault="00A4325F" w:rsidP="00F414BF">
            <w:pPr>
              <w:pStyle w:val="afd"/>
              <w:numPr>
                <w:ilvl w:val="0"/>
                <w:numId w:val="4"/>
              </w:numPr>
              <w:spacing w:beforeAutospacing="0" w:afterAutospacing="0" w:line="360" w:lineRule="auto"/>
            </w:pPr>
          </w:p>
        </w:tc>
        <w:tc>
          <w:tcPr>
            <w:tcW w:w="2799" w:type="pct"/>
            <w:gridSpan w:val="2"/>
            <w:tcBorders>
              <w:top w:val="single" w:sz="6" w:space="0" w:color="000000"/>
              <w:left w:val="single" w:sz="6" w:space="0" w:color="000000"/>
              <w:bottom w:val="single" w:sz="6" w:space="0" w:color="000000"/>
              <w:right w:val="single" w:sz="6" w:space="0" w:color="000000"/>
            </w:tcBorders>
            <w:vAlign w:val="center"/>
          </w:tcPr>
          <w:p w14:paraId="36D0FF49" w14:textId="77777777" w:rsidR="00A4325F" w:rsidRPr="000322E4" w:rsidRDefault="00A4325F" w:rsidP="009554D6">
            <w:pPr>
              <w:pStyle w:val="afd"/>
              <w:spacing w:beforeAutospacing="0" w:afterAutospacing="0" w:line="360" w:lineRule="auto"/>
              <w:ind w:left="57" w:right="57" w:firstLine="0"/>
            </w:pPr>
            <w:r w:rsidRPr="000322E4">
              <w:t xml:space="preserve">Пациенту с подозрением на </w:t>
            </w:r>
            <w:r w:rsidR="00210FA0" w:rsidRPr="000322E4">
              <w:t>ДВКЛ</w:t>
            </w:r>
            <w:r w:rsidR="009B70C4" w:rsidRPr="000322E4">
              <w:t>, ПМВКЛ или ЛБ</w:t>
            </w:r>
            <w:r w:rsidRPr="000322E4">
              <w:t xml:space="preserve">, с подозрением на рецидив </w:t>
            </w:r>
            <w:r w:rsidR="002215D8" w:rsidRPr="000322E4">
              <w:t>ДВКЛ</w:t>
            </w:r>
            <w:r w:rsidR="009B70C4" w:rsidRPr="000322E4">
              <w:t>, ПМВКЛ или ЛБ</w:t>
            </w:r>
            <w:r w:rsidRPr="000322E4">
              <w:t>, а также при неоднозначности трактовки противоопухолевого ответа после завершения лечения выполнена биопсия (взятие биопсийного материала) лимфатического узла либо другого очага поражения, патолого-анатомическое исследование биопсийного (операционного) материала с применением иммуногистохимических методов для верификации диагноза</w:t>
            </w:r>
          </w:p>
        </w:tc>
        <w:tc>
          <w:tcPr>
            <w:tcW w:w="979" w:type="pct"/>
            <w:gridSpan w:val="2"/>
            <w:tcBorders>
              <w:top w:val="single" w:sz="6" w:space="0" w:color="000000"/>
              <w:left w:val="single" w:sz="6" w:space="0" w:color="000000"/>
              <w:bottom w:val="single" w:sz="6" w:space="0" w:color="000000"/>
              <w:right w:val="single" w:sz="6" w:space="0" w:color="000000"/>
            </w:tcBorders>
          </w:tcPr>
          <w:p w14:paraId="0ADE6AF7" w14:textId="77777777" w:rsidR="00A4325F" w:rsidRPr="000322E4" w:rsidRDefault="00A4325F" w:rsidP="009554D6">
            <w:pPr>
              <w:pStyle w:val="afd"/>
              <w:spacing w:beforeAutospacing="0" w:afterAutospacing="0" w:line="360" w:lineRule="auto"/>
              <w:ind w:left="57" w:right="57" w:firstLine="0"/>
            </w:pPr>
            <w:r w:rsidRPr="000322E4">
              <w:t>С</w:t>
            </w:r>
          </w:p>
        </w:tc>
        <w:tc>
          <w:tcPr>
            <w:tcW w:w="997" w:type="pct"/>
            <w:tcBorders>
              <w:top w:val="single" w:sz="6" w:space="0" w:color="000000"/>
              <w:left w:val="single" w:sz="6" w:space="0" w:color="000000"/>
              <w:bottom w:val="single" w:sz="6" w:space="0" w:color="000000"/>
              <w:right w:val="single" w:sz="6" w:space="0" w:color="000000"/>
            </w:tcBorders>
          </w:tcPr>
          <w:p w14:paraId="11BA383C" w14:textId="77777777" w:rsidR="00A4325F" w:rsidRPr="000322E4" w:rsidRDefault="00A4325F" w:rsidP="009554D6">
            <w:pPr>
              <w:pStyle w:val="afd"/>
              <w:spacing w:beforeAutospacing="0" w:afterAutospacing="0" w:line="360" w:lineRule="auto"/>
              <w:ind w:left="57" w:right="57" w:firstLine="0"/>
            </w:pPr>
            <w:r w:rsidRPr="000322E4">
              <w:t>5</w:t>
            </w:r>
          </w:p>
        </w:tc>
      </w:tr>
      <w:tr w:rsidR="00A4325F" w:rsidRPr="000322E4" w14:paraId="69F8EC69" w14:textId="77777777" w:rsidTr="00210FA0">
        <w:tc>
          <w:tcPr>
            <w:tcW w:w="224" w:type="pct"/>
            <w:tcBorders>
              <w:top w:val="single" w:sz="6" w:space="0" w:color="000000"/>
              <w:left w:val="single" w:sz="6" w:space="0" w:color="000000"/>
              <w:bottom w:val="single" w:sz="6" w:space="0" w:color="000000"/>
              <w:right w:val="single" w:sz="6" w:space="0" w:color="000000"/>
            </w:tcBorders>
          </w:tcPr>
          <w:p w14:paraId="5B3F37E8" w14:textId="77777777" w:rsidR="00A4325F" w:rsidRPr="000322E4" w:rsidRDefault="00A4325F" w:rsidP="00F414BF">
            <w:pPr>
              <w:pStyle w:val="afd"/>
              <w:numPr>
                <w:ilvl w:val="0"/>
                <w:numId w:val="4"/>
              </w:numPr>
              <w:spacing w:beforeAutospacing="0" w:afterAutospacing="0" w:line="360" w:lineRule="auto"/>
            </w:pPr>
          </w:p>
        </w:tc>
        <w:tc>
          <w:tcPr>
            <w:tcW w:w="2799" w:type="pct"/>
            <w:gridSpan w:val="2"/>
            <w:tcBorders>
              <w:top w:val="single" w:sz="6" w:space="0" w:color="000000"/>
              <w:left w:val="single" w:sz="6" w:space="0" w:color="000000"/>
              <w:bottom w:val="single" w:sz="6" w:space="0" w:color="000000"/>
              <w:right w:val="single" w:sz="6" w:space="0" w:color="000000"/>
            </w:tcBorders>
            <w:vAlign w:val="center"/>
          </w:tcPr>
          <w:p w14:paraId="2350AF00" w14:textId="77777777" w:rsidR="00A4325F" w:rsidRPr="000322E4" w:rsidRDefault="00A4325F" w:rsidP="009554D6">
            <w:pPr>
              <w:ind w:left="57" w:right="57"/>
            </w:pPr>
            <w:r w:rsidRPr="000322E4">
              <w:rPr>
                <w:color w:val="000000" w:themeColor="text1"/>
              </w:rPr>
              <w:t xml:space="preserve">Пациенту при подозрении или наличии подтвержденного диагноза </w:t>
            </w:r>
            <w:r w:rsidR="00210FA0" w:rsidRPr="000322E4">
              <w:rPr>
                <w:color w:val="000000" w:themeColor="text1"/>
              </w:rPr>
              <w:t>ДВКЛ</w:t>
            </w:r>
            <w:r w:rsidR="009B70C4" w:rsidRPr="000322E4">
              <w:t>, ПМВКЛ или ЛБ</w:t>
            </w:r>
            <w:r w:rsidRPr="000322E4">
              <w:rPr>
                <w:color w:val="000000" w:themeColor="text1"/>
              </w:rPr>
              <w:t xml:space="preserve"> первично, после завершения терапии, при подозрении на рецидив заболевания выполнены </w:t>
            </w:r>
            <w:r w:rsidRPr="000322E4">
              <w:t>получение цитологического препарата костного мозга путем пункции</w:t>
            </w:r>
            <w:r w:rsidRPr="000322E4">
              <w:rPr>
                <w:color w:val="000000" w:themeColor="text1"/>
              </w:rPr>
              <w:t xml:space="preserve">, цитологическое </w:t>
            </w:r>
            <w:r w:rsidRPr="000322E4">
              <w:rPr>
                <w:color w:val="000000" w:themeColor="text1"/>
              </w:rPr>
              <w:lastRenderedPageBreak/>
              <w:t>исследование мазка костного мозга (миелограмма), а также</w:t>
            </w:r>
            <w:r w:rsidR="009B70C4" w:rsidRPr="000322E4">
              <w:rPr>
                <w:color w:val="000000" w:themeColor="text1"/>
              </w:rPr>
              <w:t xml:space="preserve"> </w:t>
            </w:r>
            <w:r w:rsidRPr="000322E4">
              <w:rPr>
                <w:color w:val="000000" w:themeColor="text1"/>
              </w:rPr>
              <w:t>получение гистологического препарата костного мозга (трепанобиопсия), патолого-анатомическое исследование биопсийного (операционного) материала костного мозга с применением иммуногистохимических методов.</w:t>
            </w:r>
          </w:p>
        </w:tc>
        <w:tc>
          <w:tcPr>
            <w:tcW w:w="979" w:type="pct"/>
            <w:gridSpan w:val="2"/>
            <w:tcBorders>
              <w:top w:val="single" w:sz="6" w:space="0" w:color="000000"/>
              <w:left w:val="single" w:sz="6" w:space="0" w:color="000000"/>
              <w:bottom w:val="single" w:sz="6" w:space="0" w:color="000000"/>
              <w:right w:val="single" w:sz="6" w:space="0" w:color="000000"/>
            </w:tcBorders>
          </w:tcPr>
          <w:p w14:paraId="6956662B" w14:textId="77777777" w:rsidR="00A4325F" w:rsidRPr="000322E4" w:rsidRDefault="00A4325F" w:rsidP="009554D6">
            <w:pPr>
              <w:pStyle w:val="afd"/>
              <w:spacing w:beforeAutospacing="0" w:afterAutospacing="0" w:line="360" w:lineRule="auto"/>
              <w:ind w:left="57" w:right="57" w:firstLine="0"/>
            </w:pPr>
            <w:r w:rsidRPr="000322E4">
              <w:lastRenderedPageBreak/>
              <w:t>В</w:t>
            </w:r>
          </w:p>
        </w:tc>
        <w:tc>
          <w:tcPr>
            <w:tcW w:w="997" w:type="pct"/>
            <w:tcBorders>
              <w:top w:val="single" w:sz="6" w:space="0" w:color="000000"/>
              <w:left w:val="single" w:sz="6" w:space="0" w:color="000000"/>
              <w:bottom w:val="single" w:sz="6" w:space="0" w:color="000000"/>
              <w:right w:val="single" w:sz="6" w:space="0" w:color="000000"/>
            </w:tcBorders>
          </w:tcPr>
          <w:p w14:paraId="329A714A" w14:textId="77777777" w:rsidR="00A4325F" w:rsidRPr="000322E4" w:rsidRDefault="00A4325F" w:rsidP="009554D6">
            <w:pPr>
              <w:pStyle w:val="afd"/>
              <w:spacing w:beforeAutospacing="0" w:afterAutospacing="0" w:line="360" w:lineRule="auto"/>
              <w:ind w:left="57" w:right="57" w:firstLine="0"/>
            </w:pPr>
            <w:r w:rsidRPr="000322E4">
              <w:t>3</w:t>
            </w:r>
          </w:p>
        </w:tc>
      </w:tr>
    </w:tbl>
    <w:p w14:paraId="0D9271C2" w14:textId="77777777" w:rsidR="00AF3168" w:rsidRPr="000322E4" w:rsidRDefault="00AF3168" w:rsidP="00F414BF">
      <w:pPr>
        <w:rPr>
          <w:b/>
          <w:sz w:val="28"/>
          <w:szCs w:val="28"/>
        </w:rPr>
      </w:pPr>
      <w:r w:rsidRPr="000322E4">
        <w:rPr>
          <w:b/>
          <w:sz w:val="28"/>
          <w:szCs w:val="28"/>
        </w:rPr>
        <w:br w:type="page"/>
      </w:r>
    </w:p>
    <w:p w14:paraId="4622CB62" w14:textId="77777777" w:rsidR="000414F6" w:rsidRPr="000322E4" w:rsidRDefault="00CB71DA" w:rsidP="00F414BF">
      <w:pPr>
        <w:pStyle w:val="afff2"/>
      </w:pPr>
      <w:bookmarkStart w:id="94" w:name="_Toc66096855"/>
      <w:bookmarkStart w:id="95" w:name="_Hlk36738282"/>
      <w:r w:rsidRPr="000322E4">
        <w:lastRenderedPageBreak/>
        <w:t>Список литературы</w:t>
      </w:r>
      <w:bookmarkEnd w:id="93"/>
      <w:bookmarkEnd w:id="94"/>
    </w:p>
    <w:p w14:paraId="689CDFF5" w14:textId="3BA3A268" w:rsidR="002736BA" w:rsidRPr="002736BA" w:rsidRDefault="008762E9" w:rsidP="002736BA">
      <w:pPr>
        <w:widowControl w:val="0"/>
        <w:autoSpaceDE w:val="0"/>
        <w:autoSpaceDN w:val="0"/>
        <w:adjustRightInd w:val="0"/>
        <w:ind w:left="640" w:hanging="640"/>
        <w:rPr>
          <w:noProof/>
        </w:rPr>
      </w:pPr>
      <w:r w:rsidRPr="000322E4">
        <w:fldChar w:fldCharType="begin" w:fldLock="1"/>
      </w:r>
      <w:r w:rsidRPr="000322E4">
        <w:rPr>
          <w:lang w:val="en-US"/>
        </w:rPr>
        <w:instrText xml:space="preserve">ADDIN Mendeley Bibliography CSL_BIBLIOGRAPHY </w:instrText>
      </w:r>
      <w:r w:rsidRPr="000322E4">
        <w:fldChar w:fldCharType="separate"/>
      </w:r>
      <w:r w:rsidR="002736BA" w:rsidRPr="002736BA">
        <w:rPr>
          <w:noProof/>
        </w:rPr>
        <w:t>1.</w:t>
      </w:r>
      <w:r w:rsidR="002736BA" w:rsidRPr="002736BA">
        <w:rPr>
          <w:noProof/>
        </w:rPr>
        <w:tab/>
        <w:t>Swerdlow S.H. et al. WHO classification of tumours of haematopoietic and lymphoid tissues. Revised 4th ed. Lyon, France: International Agency for Research in Cancer (IARC) / ed. Swerdlow SH, Campo E, Harris NL, Jaffe ES, Pileri SA, Stein H T.J. 2017. 585 p.</w:t>
      </w:r>
    </w:p>
    <w:p w14:paraId="6548B9D4" w14:textId="77777777" w:rsidR="002736BA" w:rsidRPr="002736BA" w:rsidRDefault="002736BA" w:rsidP="002736BA">
      <w:pPr>
        <w:widowControl w:val="0"/>
        <w:autoSpaceDE w:val="0"/>
        <w:autoSpaceDN w:val="0"/>
        <w:adjustRightInd w:val="0"/>
        <w:ind w:left="640" w:hanging="640"/>
        <w:rPr>
          <w:noProof/>
        </w:rPr>
      </w:pPr>
      <w:r w:rsidRPr="002736BA">
        <w:rPr>
          <w:noProof/>
        </w:rPr>
        <w:t>2.</w:t>
      </w:r>
      <w:r w:rsidRPr="002736BA">
        <w:rPr>
          <w:noProof/>
        </w:rPr>
        <w:tab/>
        <w:t>Барях Е.А. Лимфома Беркитта // Российские клинические рекомендации по диагностике и лечению злокачественных лимфопролиферативных заболеваний; под ред. И.В. Поддубной, В.Г. Савченко. 2018. P. 80–87.</w:t>
      </w:r>
    </w:p>
    <w:p w14:paraId="320DF593" w14:textId="77777777" w:rsidR="002736BA" w:rsidRPr="002736BA" w:rsidRDefault="002736BA" w:rsidP="002736BA">
      <w:pPr>
        <w:widowControl w:val="0"/>
        <w:autoSpaceDE w:val="0"/>
        <w:autoSpaceDN w:val="0"/>
        <w:adjustRightInd w:val="0"/>
        <w:ind w:left="640" w:hanging="640"/>
        <w:rPr>
          <w:noProof/>
        </w:rPr>
      </w:pPr>
      <w:r w:rsidRPr="002736BA">
        <w:rPr>
          <w:noProof/>
        </w:rPr>
        <w:t>3.</w:t>
      </w:r>
      <w:r w:rsidRPr="002736BA">
        <w:rPr>
          <w:noProof/>
        </w:rPr>
        <w:tab/>
        <w:t>Müller A.M. et al. Development of hematopoietic stem cell activity in the mouse embryo // Immunity. 1994. Vol. 1, № 4. P. 291–301.</w:t>
      </w:r>
    </w:p>
    <w:p w14:paraId="5C92D008" w14:textId="77777777" w:rsidR="002736BA" w:rsidRPr="002736BA" w:rsidRDefault="002736BA" w:rsidP="002736BA">
      <w:pPr>
        <w:widowControl w:val="0"/>
        <w:autoSpaceDE w:val="0"/>
        <w:autoSpaceDN w:val="0"/>
        <w:adjustRightInd w:val="0"/>
        <w:ind w:left="640" w:hanging="640"/>
        <w:rPr>
          <w:noProof/>
        </w:rPr>
      </w:pPr>
      <w:r w:rsidRPr="002736BA">
        <w:rPr>
          <w:noProof/>
        </w:rPr>
        <w:t>4.</w:t>
      </w:r>
      <w:r w:rsidRPr="002736BA">
        <w:rPr>
          <w:noProof/>
        </w:rPr>
        <w:tab/>
        <w:t>Melchers F. The pre-B-cell receptor: Selector of fitting immunoglobulin heavy chains for the B-cell repertoire // Nature Reviews Immunology. 2005. Vol. 5, № 7. P. 578–584.</w:t>
      </w:r>
    </w:p>
    <w:p w14:paraId="0743B5A0" w14:textId="77777777" w:rsidR="002736BA" w:rsidRPr="002736BA" w:rsidRDefault="002736BA" w:rsidP="002736BA">
      <w:pPr>
        <w:widowControl w:val="0"/>
        <w:autoSpaceDE w:val="0"/>
        <w:autoSpaceDN w:val="0"/>
        <w:adjustRightInd w:val="0"/>
        <w:ind w:left="640" w:hanging="640"/>
        <w:rPr>
          <w:noProof/>
        </w:rPr>
      </w:pPr>
      <w:r w:rsidRPr="002736BA">
        <w:rPr>
          <w:noProof/>
        </w:rPr>
        <w:t>5.</w:t>
      </w:r>
      <w:r w:rsidRPr="002736BA">
        <w:rPr>
          <w:noProof/>
        </w:rPr>
        <w:tab/>
        <w:t>Van Zelm M.C. et al. Replication history of B lymphocytes reveals homeostatic proliferation and extensive antigen-induced B cell expansion // J. Exp. Med. 2007. Vol. 204, № 3. P. 645–655.</w:t>
      </w:r>
    </w:p>
    <w:p w14:paraId="4B9B721F" w14:textId="77777777" w:rsidR="002736BA" w:rsidRPr="002736BA" w:rsidRDefault="002736BA" w:rsidP="002736BA">
      <w:pPr>
        <w:widowControl w:val="0"/>
        <w:autoSpaceDE w:val="0"/>
        <w:autoSpaceDN w:val="0"/>
        <w:adjustRightInd w:val="0"/>
        <w:ind w:left="640" w:hanging="640"/>
        <w:rPr>
          <w:noProof/>
        </w:rPr>
      </w:pPr>
      <w:r w:rsidRPr="002736BA">
        <w:rPr>
          <w:noProof/>
        </w:rPr>
        <w:t>6.</w:t>
      </w:r>
      <w:r w:rsidRPr="002736BA">
        <w:rPr>
          <w:noProof/>
        </w:rPr>
        <w:tab/>
        <w:t>Chen J. et al. Immunoglobulin gene rearrangement in B cell deficient mice generated by targeted deletion of the JH locus // Int. Immunol. 1993. Vol. 5, № 6. P. 647–656.</w:t>
      </w:r>
    </w:p>
    <w:p w14:paraId="2575F58A" w14:textId="77777777" w:rsidR="002736BA" w:rsidRPr="002736BA" w:rsidRDefault="002736BA" w:rsidP="002736BA">
      <w:pPr>
        <w:widowControl w:val="0"/>
        <w:autoSpaceDE w:val="0"/>
        <w:autoSpaceDN w:val="0"/>
        <w:adjustRightInd w:val="0"/>
        <w:ind w:left="640" w:hanging="640"/>
        <w:rPr>
          <w:noProof/>
        </w:rPr>
      </w:pPr>
      <w:r w:rsidRPr="002736BA">
        <w:rPr>
          <w:noProof/>
        </w:rPr>
        <w:t>7.</w:t>
      </w:r>
      <w:r w:rsidRPr="002736BA">
        <w:rPr>
          <w:noProof/>
        </w:rPr>
        <w:tab/>
        <w:t>Teng G., Papavasiliou F.N. Immunoglobulin Somatic Hypermutation // Annu. Rev. Genet. Annual Reviews, 2007. Vol. 41, № 1. P. 107–120.</w:t>
      </w:r>
    </w:p>
    <w:p w14:paraId="395986A6" w14:textId="77777777" w:rsidR="002736BA" w:rsidRPr="002736BA" w:rsidRDefault="002736BA" w:rsidP="002736BA">
      <w:pPr>
        <w:widowControl w:val="0"/>
        <w:autoSpaceDE w:val="0"/>
        <w:autoSpaceDN w:val="0"/>
        <w:adjustRightInd w:val="0"/>
        <w:ind w:left="640" w:hanging="640"/>
        <w:rPr>
          <w:noProof/>
        </w:rPr>
      </w:pPr>
      <w:r w:rsidRPr="002736BA">
        <w:rPr>
          <w:noProof/>
        </w:rPr>
        <w:t>8.</w:t>
      </w:r>
      <w:r w:rsidRPr="002736BA">
        <w:rPr>
          <w:noProof/>
        </w:rPr>
        <w:tab/>
        <w:t>Yuan D. Regulation of IgM and IgD synthesis in B lymphocytes. II. Translational and post-translational events. // J. Immunol. 1984. Vol. 132, № 3. P. 1566–1570.</w:t>
      </w:r>
    </w:p>
    <w:p w14:paraId="3A8F6E23" w14:textId="77777777" w:rsidR="002736BA" w:rsidRPr="002736BA" w:rsidRDefault="002736BA" w:rsidP="002736BA">
      <w:pPr>
        <w:widowControl w:val="0"/>
        <w:autoSpaceDE w:val="0"/>
        <w:autoSpaceDN w:val="0"/>
        <w:adjustRightInd w:val="0"/>
        <w:ind w:left="640" w:hanging="640"/>
        <w:rPr>
          <w:noProof/>
        </w:rPr>
      </w:pPr>
      <w:r w:rsidRPr="002736BA">
        <w:rPr>
          <w:noProof/>
        </w:rPr>
        <w:t>9.</w:t>
      </w:r>
      <w:r w:rsidRPr="002736BA">
        <w:rPr>
          <w:noProof/>
        </w:rPr>
        <w:tab/>
        <w:t>Natkunam Y. The biology of the germinal center. // Hematology / the Education Program of the American Society of Hematology. American Society of Hematology. Education Program. 2007. P. 210–215.</w:t>
      </w:r>
    </w:p>
    <w:p w14:paraId="2B811AC5" w14:textId="77777777" w:rsidR="002736BA" w:rsidRPr="002736BA" w:rsidRDefault="002736BA" w:rsidP="002736BA">
      <w:pPr>
        <w:widowControl w:val="0"/>
        <w:autoSpaceDE w:val="0"/>
        <w:autoSpaceDN w:val="0"/>
        <w:adjustRightInd w:val="0"/>
        <w:ind w:left="640" w:hanging="640"/>
        <w:rPr>
          <w:noProof/>
        </w:rPr>
      </w:pPr>
      <w:r w:rsidRPr="002736BA">
        <w:rPr>
          <w:noProof/>
        </w:rPr>
        <w:t>10.</w:t>
      </w:r>
      <w:r w:rsidRPr="002736BA">
        <w:rPr>
          <w:noProof/>
        </w:rPr>
        <w:tab/>
        <w:t>Raghavan S.C., Hsieh C.-L., Lieber M.R. Both V(D)J Coding Ends but Neither Signal End Can Recombine at the bcl-2 Major Breakpoint Region, and the Rejoining Is Ligase IV Dependent // Mol. Cell. Biol. American Society for Microbiology, 2005. Vol. 25, № 15. P. 6475–6484.</w:t>
      </w:r>
    </w:p>
    <w:p w14:paraId="12ECBA2E" w14:textId="77777777" w:rsidR="002736BA" w:rsidRPr="002736BA" w:rsidRDefault="002736BA" w:rsidP="002736BA">
      <w:pPr>
        <w:widowControl w:val="0"/>
        <w:autoSpaceDE w:val="0"/>
        <w:autoSpaceDN w:val="0"/>
        <w:adjustRightInd w:val="0"/>
        <w:ind w:left="640" w:hanging="640"/>
        <w:rPr>
          <w:noProof/>
        </w:rPr>
      </w:pPr>
      <w:r w:rsidRPr="002736BA">
        <w:rPr>
          <w:noProof/>
        </w:rPr>
        <w:t>11.</w:t>
      </w:r>
      <w:r w:rsidRPr="002736BA">
        <w:rPr>
          <w:noProof/>
        </w:rPr>
        <w:tab/>
        <w:t>Тумян Г.С. et al. Диффузная В-клеточная крупноклеточная лимфома // Российские клинические рекомендации по диагностике и лечению злокачественных лимфопролиферативных заболеваний; под ред. И.В. Поддубной, В.Г. Савченко. 2018. P. 58–68.</w:t>
      </w:r>
    </w:p>
    <w:p w14:paraId="1EAF3C8C" w14:textId="77777777" w:rsidR="002736BA" w:rsidRPr="002736BA" w:rsidRDefault="002736BA" w:rsidP="002736BA">
      <w:pPr>
        <w:widowControl w:val="0"/>
        <w:autoSpaceDE w:val="0"/>
        <w:autoSpaceDN w:val="0"/>
        <w:adjustRightInd w:val="0"/>
        <w:ind w:left="640" w:hanging="640"/>
        <w:rPr>
          <w:noProof/>
        </w:rPr>
      </w:pPr>
      <w:r w:rsidRPr="002736BA">
        <w:rPr>
          <w:noProof/>
        </w:rPr>
        <w:t>12.</w:t>
      </w:r>
      <w:r w:rsidRPr="002736BA">
        <w:rPr>
          <w:noProof/>
        </w:rPr>
        <w:tab/>
        <w:t>Программное лечение заболеваний системы крови: Сборник алгоритмов диагностики и протоколов лечения заболеваний системы крови. Под ред. В.Г. Савченко. 2012. 1056 p.</w:t>
      </w:r>
    </w:p>
    <w:p w14:paraId="43B2856D" w14:textId="77777777" w:rsidR="002736BA" w:rsidRPr="002736BA" w:rsidRDefault="002736BA" w:rsidP="002736BA">
      <w:pPr>
        <w:widowControl w:val="0"/>
        <w:autoSpaceDE w:val="0"/>
        <w:autoSpaceDN w:val="0"/>
        <w:adjustRightInd w:val="0"/>
        <w:ind w:left="640" w:hanging="640"/>
        <w:rPr>
          <w:noProof/>
        </w:rPr>
      </w:pPr>
      <w:r w:rsidRPr="002736BA">
        <w:rPr>
          <w:noProof/>
        </w:rPr>
        <w:t>13.</w:t>
      </w:r>
      <w:r w:rsidRPr="002736BA">
        <w:rPr>
          <w:noProof/>
        </w:rPr>
        <w:tab/>
        <w:t xml:space="preserve">Савченко В.Г., Паровичникова Е.Н. Острые лейкозы // Клиническая </w:t>
      </w:r>
      <w:r w:rsidRPr="002736BA">
        <w:rPr>
          <w:noProof/>
        </w:rPr>
        <w:lastRenderedPageBreak/>
        <w:t>онкогематология: руководство для врачей. Под ред. Волковой М.А.. 2-е изд., перераб. и доп. 2007. P. 409–502.</w:t>
      </w:r>
    </w:p>
    <w:p w14:paraId="32B573C6" w14:textId="77777777" w:rsidR="002736BA" w:rsidRPr="002736BA" w:rsidRDefault="002736BA" w:rsidP="002736BA">
      <w:pPr>
        <w:widowControl w:val="0"/>
        <w:autoSpaceDE w:val="0"/>
        <w:autoSpaceDN w:val="0"/>
        <w:adjustRightInd w:val="0"/>
        <w:ind w:left="640" w:hanging="640"/>
        <w:rPr>
          <w:noProof/>
        </w:rPr>
      </w:pPr>
      <w:r w:rsidRPr="002736BA">
        <w:rPr>
          <w:noProof/>
        </w:rPr>
        <w:t>14.</w:t>
      </w:r>
      <w:r w:rsidRPr="002736BA">
        <w:rPr>
          <w:noProof/>
        </w:rPr>
        <w:tab/>
        <w:t>Burkitt D.P. The discovery of Burkitt’s lymphoma. // Cancer. 1983. Vol. 51, № 10. P. 1777–1786.</w:t>
      </w:r>
    </w:p>
    <w:p w14:paraId="76275036" w14:textId="77777777" w:rsidR="002736BA" w:rsidRPr="002736BA" w:rsidRDefault="002736BA" w:rsidP="002736BA">
      <w:pPr>
        <w:widowControl w:val="0"/>
        <w:autoSpaceDE w:val="0"/>
        <w:autoSpaceDN w:val="0"/>
        <w:adjustRightInd w:val="0"/>
        <w:ind w:left="640" w:hanging="640"/>
        <w:rPr>
          <w:noProof/>
        </w:rPr>
      </w:pPr>
      <w:r w:rsidRPr="002736BA">
        <w:rPr>
          <w:noProof/>
        </w:rPr>
        <w:t>15.</w:t>
      </w:r>
      <w:r w:rsidRPr="002736BA">
        <w:rPr>
          <w:noProof/>
        </w:rPr>
        <w:tab/>
        <w:t>Zelenetz A.D. et al. B-cell lymphomas. NCCN Clinical Practice Guidelines in Oncology. Version 5.2019.</w:t>
      </w:r>
    </w:p>
    <w:p w14:paraId="5D3D2D4A" w14:textId="77777777" w:rsidR="002736BA" w:rsidRPr="002736BA" w:rsidRDefault="002736BA" w:rsidP="002736BA">
      <w:pPr>
        <w:widowControl w:val="0"/>
        <w:autoSpaceDE w:val="0"/>
        <w:autoSpaceDN w:val="0"/>
        <w:adjustRightInd w:val="0"/>
        <w:ind w:left="640" w:hanging="640"/>
        <w:rPr>
          <w:noProof/>
        </w:rPr>
      </w:pPr>
      <w:r w:rsidRPr="002736BA">
        <w:rPr>
          <w:noProof/>
        </w:rPr>
        <w:t>16.</w:t>
      </w:r>
      <w:r w:rsidRPr="002736BA">
        <w:rPr>
          <w:noProof/>
        </w:rPr>
        <w:tab/>
        <w:t>Grommes C., DeAngelis L.M. Primary CNS lymphoma // Journal of Clinical Oncology. American Society of Clinical Oncology, 2017. Vol. 35, № 21. P. 2410–2418.</w:t>
      </w:r>
    </w:p>
    <w:p w14:paraId="0EFF4B86" w14:textId="77777777" w:rsidR="002736BA" w:rsidRPr="002736BA" w:rsidRDefault="002736BA" w:rsidP="002736BA">
      <w:pPr>
        <w:widowControl w:val="0"/>
        <w:autoSpaceDE w:val="0"/>
        <w:autoSpaceDN w:val="0"/>
        <w:adjustRightInd w:val="0"/>
        <w:ind w:left="640" w:hanging="640"/>
        <w:rPr>
          <w:noProof/>
        </w:rPr>
      </w:pPr>
      <w:r w:rsidRPr="002736BA">
        <w:rPr>
          <w:noProof/>
        </w:rPr>
        <w:t>17.</w:t>
      </w:r>
      <w:r w:rsidRPr="002736BA">
        <w:rPr>
          <w:noProof/>
        </w:rPr>
        <w:tab/>
        <w:t>Демина Е.А. et al. Общие принципы диагностики лимфом // Российские клинические рекомендации по диагностике и лечению злокачественных лимфопролиферативных заболеваний; под ред. И.В. Поддубной, В.Г. Савченко. 2018. P. 9–27.</w:t>
      </w:r>
    </w:p>
    <w:p w14:paraId="73010CC6" w14:textId="77777777" w:rsidR="002736BA" w:rsidRPr="002736BA" w:rsidRDefault="002736BA" w:rsidP="002736BA">
      <w:pPr>
        <w:widowControl w:val="0"/>
        <w:autoSpaceDE w:val="0"/>
        <w:autoSpaceDN w:val="0"/>
        <w:adjustRightInd w:val="0"/>
        <w:ind w:left="640" w:hanging="640"/>
        <w:rPr>
          <w:noProof/>
        </w:rPr>
      </w:pPr>
      <w:r w:rsidRPr="002736BA">
        <w:rPr>
          <w:noProof/>
        </w:rPr>
        <w:t>18.</w:t>
      </w:r>
      <w:r w:rsidRPr="002736BA">
        <w:rPr>
          <w:noProof/>
        </w:rPr>
        <w:tab/>
        <w:t>Tilly H. et al. Diffuse large B-cell lymphoma (DLBCL): ESMO Clinical Practice Guidelines for diagnosis, treatment and follow-up. // Ann. Oncol.  Off. J. Eur. Soc. Med. Oncol. 2015. Vol. 26 Suppl 5. P. v116-25.</w:t>
      </w:r>
    </w:p>
    <w:p w14:paraId="0A53F182" w14:textId="77777777" w:rsidR="002736BA" w:rsidRPr="002736BA" w:rsidRDefault="002736BA" w:rsidP="002736BA">
      <w:pPr>
        <w:widowControl w:val="0"/>
        <w:autoSpaceDE w:val="0"/>
        <w:autoSpaceDN w:val="0"/>
        <w:adjustRightInd w:val="0"/>
        <w:ind w:left="640" w:hanging="640"/>
        <w:rPr>
          <w:noProof/>
        </w:rPr>
      </w:pPr>
      <w:r w:rsidRPr="002736BA">
        <w:rPr>
          <w:noProof/>
        </w:rPr>
        <w:t>19.</w:t>
      </w:r>
      <w:r w:rsidRPr="002736BA">
        <w:rPr>
          <w:noProof/>
        </w:rPr>
        <w:tab/>
        <w:t>Kuderer N.M. et al. A Validated Risk Score for Venous Thromboembolism Is Predictive of Cancer Progression and Mortality // Oncologist. Alphamed Press, 2016. Vol. 21, № 7. P. 861–867.</w:t>
      </w:r>
    </w:p>
    <w:p w14:paraId="5164B927" w14:textId="77777777" w:rsidR="002736BA" w:rsidRPr="002736BA" w:rsidRDefault="002736BA" w:rsidP="002736BA">
      <w:pPr>
        <w:widowControl w:val="0"/>
        <w:autoSpaceDE w:val="0"/>
        <w:autoSpaceDN w:val="0"/>
        <w:adjustRightInd w:val="0"/>
        <w:ind w:left="640" w:hanging="640"/>
        <w:rPr>
          <w:noProof/>
        </w:rPr>
      </w:pPr>
      <w:r w:rsidRPr="002736BA">
        <w:rPr>
          <w:noProof/>
        </w:rPr>
        <w:t>20.</w:t>
      </w:r>
      <w:r w:rsidRPr="002736BA">
        <w:rPr>
          <w:noProof/>
        </w:rPr>
        <w:tab/>
        <w:t>Santi R.M. et al. PO-03 - Khorana score and histotype predict the incidence of early venous thromboembolism (VTE) in Non Hodgkin Lymphoma (NHL). A pooled data analysis of twelve clinical trials of Fondazione Italiana Linfomi (FIL) // Thromb. Res. Elsevier BV, 2016. Vol. 140. P. S177.</w:t>
      </w:r>
    </w:p>
    <w:p w14:paraId="201FFE76" w14:textId="77777777" w:rsidR="002736BA" w:rsidRPr="002736BA" w:rsidRDefault="002736BA" w:rsidP="002736BA">
      <w:pPr>
        <w:widowControl w:val="0"/>
        <w:autoSpaceDE w:val="0"/>
        <w:autoSpaceDN w:val="0"/>
        <w:adjustRightInd w:val="0"/>
        <w:ind w:left="640" w:hanging="640"/>
        <w:rPr>
          <w:noProof/>
        </w:rPr>
      </w:pPr>
      <w:r w:rsidRPr="002736BA">
        <w:rPr>
          <w:noProof/>
        </w:rPr>
        <w:t>21.</w:t>
      </w:r>
      <w:r w:rsidRPr="002736BA">
        <w:rPr>
          <w:noProof/>
        </w:rPr>
        <w:tab/>
        <w:t>Zhuang Y. et al. [Autoimmune hemolytic anemia associated with B-cell chronic lymphoproliferative disorders]. // Zhongguo Shi Yan Xue Ye Xue Za Zhi. 2013. Vol. 21, № 3. P. 633–636.</w:t>
      </w:r>
    </w:p>
    <w:p w14:paraId="0671C0EC" w14:textId="77777777" w:rsidR="002736BA" w:rsidRPr="002736BA" w:rsidRDefault="002736BA" w:rsidP="002736BA">
      <w:pPr>
        <w:widowControl w:val="0"/>
        <w:autoSpaceDE w:val="0"/>
        <w:autoSpaceDN w:val="0"/>
        <w:adjustRightInd w:val="0"/>
        <w:ind w:left="640" w:hanging="640"/>
        <w:rPr>
          <w:noProof/>
        </w:rPr>
      </w:pPr>
      <w:r w:rsidRPr="002736BA">
        <w:rPr>
          <w:noProof/>
        </w:rPr>
        <w:t>22.</w:t>
      </w:r>
      <w:r w:rsidRPr="002736BA">
        <w:rPr>
          <w:noProof/>
        </w:rPr>
        <w:tab/>
        <w:t>Sumi M. et al. [Primary diffuse large B-cell lymphoma of the bone marrow complicated with autoimmune hemolytic anemia and erythroid hypoplasia]. // Rinsho. Ketsueki. 2007. Vol. 48, № 7. P. 571–575.</w:t>
      </w:r>
    </w:p>
    <w:p w14:paraId="5502DF39" w14:textId="77777777" w:rsidR="002736BA" w:rsidRPr="002736BA" w:rsidRDefault="002736BA" w:rsidP="002736BA">
      <w:pPr>
        <w:widowControl w:val="0"/>
        <w:autoSpaceDE w:val="0"/>
        <w:autoSpaceDN w:val="0"/>
        <w:adjustRightInd w:val="0"/>
        <w:ind w:left="640" w:hanging="640"/>
        <w:rPr>
          <w:noProof/>
        </w:rPr>
      </w:pPr>
      <w:r w:rsidRPr="002736BA">
        <w:rPr>
          <w:noProof/>
        </w:rPr>
        <w:t>23.</w:t>
      </w:r>
      <w:r w:rsidRPr="002736BA">
        <w:rPr>
          <w:noProof/>
        </w:rPr>
        <w:tab/>
        <w:t>Wan S.-G. et al. Incipient Coombs’ test negative autoimmune hemolytic anemia precedes non-Hodgkin’s lymphoma. // Zhongguo shi yan xue ye xue za zhi. 2012. Vol. 20, № 1. P. 97–99.</w:t>
      </w:r>
    </w:p>
    <w:p w14:paraId="6A3A5E1A" w14:textId="77777777" w:rsidR="002736BA" w:rsidRPr="002736BA" w:rsidRDefault="002736BA" w:rsidP="002736BA">
      <w:pPr>
        <w:widowControl w:val="0"/>
        <w:autoSpaceDE w:val="0"/>
        <w:autoSpaceDN w:val="0"/>
        <w:adjustRightInd w:val="0"/>
        <w:ind w:left="640" w:hanging="640"/>
        <w:rPr>
          <w:noProof/>
        </w:rPr>
      </w:pPr>
      <w:r w:rsidRPr="002736BA">
        <w:rPr>
          <w:noProof/>
        </w:rPr>
        <w:t>24.</w:t>
      </w:r>
      <w:r w:rsidRPr="002736BA">
        <w:rPr>
          <w:noProof/>
        </w:rPr>
        <w:tab/>
        <w:t>Köksal Y. et al. Autoimmune hemolytic anemia as presenting manifestation of primary splenic anaplastic large cell lymphoma. // Turk. J. Pediatr. Vol. 48, № 4. P. 354–356.</w:t>
      </w:r>
    </w:p>
    <w:p w14:paraId="5C3907D3" w14:textId="77777777" w:rsidR="002736BA" w:rsidRPr="002736BA" w:rsidRDefault="002736BA" w:rsidP="002736BA">
      <w:pPr>
        <w:widowControl w:val="0"/>
        <w:autoSpaceDE w:val="0"/>
        <w:autoSpaceDN w:val="0"/>
        <w:adjustRightInd w:val="0"/>
        <w:ind w:left="640" w:hanging="640"/>
        <w:rPr>
          <w:noProof/>
        </w:rPr>
      </w:pPr>
      <w:r w:rsidRPr="002736BA">
        <w:rPr>
          <w:noProof/>
        </w:rPr>
        <w:t>25.</w:t>
      </w:r>
      <w:r w:rsidRPr="002736BA">
        <w:rPr>
          <w:noProof/>
        </w:rPr>
        <w:tab/>
        <w:t>Srivastava S., Wood P. Secondary antibody deficiency-causes and approach to diagnosis // Clin. Med. J. R. Coll. Physicians London. 2016.</w:t>
      </w:r>
    </w:p>
    <w:p w14:paraId="12EE1793" w14:textId="77777777" w:rsidR="002736BA" w:rsidRPr="002736BA" w:rsidRDefault="002736BA" w:rsidP="002736BA">
      <w:pPr>
        <w:widowControl w:val="0"/>
        <w:autoSpaceDE w:val="0"/>
        <w:autoSpaceDN w:val="0"/>
        <w:adjustRightInd w:val="0"/>
        <w:ind w:left="640" w:hanging="640"/>
        <w:rPr>
          <w:noProof/>
        </w:rPr>
      </w:pPr>
      <w:r w:rsidRPr="002736BA">
        <w:rPr>
          <w:noProof/>
        </w:rPr>
        <w:t>26.</w:t>
      </w:r>
      <w:r w:rsidRPr="002736BA">
        <w:rPr>
          <w:noProof/>
        </w:rPr>
        <w:tab/>
        <w:t xml:space="preserve">Мухортова О.В. Использование ПЭТ/КТ при лимфопролиферативных заболеваниях </w:t>
      </w:r>
      <w:r w:rsidRPr="002736BA">
        <w:rPr>
          <w:noProof/>
        </w:rPr>
        <w:lastRenderedPageBreak/>
        <w:t>// Российские клинические рекомендации по диагностике и лечению злокачественных лимфопролиферативных заболеваний; под ред. И.В. Поддубной, В.Г. Савченко. 2018. P. 168–179.</w:t>
      </w:r>
    </w:p>
    <w:p w14:paraId="530B27C9" w14:textId="77777777" w:rsidR="002736BA" w:rsidRPr="002736BA" w:rsidRDefault="002736BA" w:rsidP="002736BA">
      <w:pPr>
        <w:widowControl w:val="0"/>
        <w:autoSpaceDE w:val="0"/>
        <w:autoSpaceDN w:val="0"/>
        <w:adjustRightInd w:val="0"/>
        <w:ind w:left="640" w:hanging="640"/>
        <w:rPr>
          <w:noProof/>
        </w:rPr>
      </w:pPr>
      <w:r w:rsidRPr="002736BA">
        <w:rPr>
          <w:noProof/>
        </w:rPr>
        <w:t>27.</w:t>
      </w:r>
      <w:r w:rsidRPr="002736BA">
        <w:rPr>
          <w:noProof/>
        </w:rPr>
        <w:tab/>
        <w:t>Pelosi E. et al. Bone marrow disease detection with FDG-PET/CT and bone marrow biopsy during the staging of malignant lymphoma: results from a large multicentre study. // Q. J. Nucl. Med. Mol. Imaging. 2011. Vol. 55, № 4. P. 469–475.</w:t>
      </w:r>
    </w:p>
    <w:p w14:paraId="6E022B80" w14:textId="77777777" w:rsidR="002736BA" w:rsidRPr="002736BA" w:rsidRDefault="002736BA" w:rsidP="002736BA">
      <w:pPr>
        <w:widowControl w:val="0"/>
        <w:autoSpaceDE w:val="0"/>
        <w:autoSpaceDN w:val="0"/>
        <w:adjustRightInd w:val="0"/>
        <w:ind w:left="640" w:hanging="640"/>
        <w:rPr>
          <w:noProof/>
        </w:rPr>
      </w:pPr>
      <w:r w:rsidRPr="002736BA">
        <w:rPr>
          <w:noProof/>
        </w:rPr>
        <w:t>28.</w:t>
      </w:r>
      <w:r w:rsidRPr="002736BA">
        <w:rPr>
          <w:noProof/>
        </w:rPr>
        <w:tab/>
        <w:t>Khan A.B. et al. PET-CT staging of DLBCL accurately identifies and provides new insight into the clinical significance of bone marrow involvement // Blood. 2013. Vol. 122, № 1. P. 61–67.</w:t>
      </w:r>
    </w:p>
    <w:p w14:paraId="644BB367" w14:textId="77777777" w:rsidR="002736BA" w:rsidRPr="002736BA" w:rsidRDefault="002736BA" w:rsidP="002736BA">
      <w:pPr>
        <w:widowControl w:val="0"/>
        <w:autoSpaceDE w:val="0"/>
        <w:autoSpaceDN w:val="0"/>
        <w:adjustRightInd w:val="0"/>
        <w:ind w:left="640" w:hanging="640"/>
        <w:rPr>
          <w:noProof/>
        </w:rPr>
      </w:pPr>
      <w:r w:rsidRPr="002736BA">
        <w:rPr>
          <w:noProof/>
        </w:rPr>
        <w:t>29.</w:t>
      </w:r>
      <w:r w:rsidRPr="002736BA">
        <w:rPr>
          <w:noProof/>
        </w:rPr>
        <w:tab/>
        <w:t>Кузьмин А.А. et al. Первичная лимфома центральной нервной системы // Российские клинические рекомендации по диагностике и лечению злокачественных лимфопролиферативных заболеваний; под ред. И.В. Поддубной, В.Г. Савченко. 2018. P. 87–93.</w:t>
      </w:r>
    </w:p>
    <w:p w14:paraId="472E5175" w14:textId="77777777" w:rsidR="002736BA" w:rsidRPr="002736BA" w:rsidRDefault="002736BA" w:rsidP="002736BA">
      <w:pPr>
        <w:widowControl w:val="0"/>
        <w:autoSpaceDE w:val="0"/>
        <w:autoSpaceDN w:val="0"/>
        <w:adjustRightInd w:val="0"/>
        <w:ind w:left="640" w:hanging="640"/>
        <w:rPr>
          <w:noProof/>
        </w:rPr>
      </w:pPr>
      <w:r w:rsidRPr="002736BA">
        <w:rPr>
          <w:noProof/>
        </w:rPr>
        <w:t>30.</w:t>
      </w:r>
      <w:r w:rsidRPr="002736BA">
        <w:rPr>
          <w:noProof/>
        </w:rPr>
        <w:tab/>
        <w:t>Fekri M.S., Zade M.K., Fatehi S. The association of deep vein thrombosis with cancer treatment modality: Chemotherapy or surgery? // Iran. Red Crescent Med. J. Kowsar Medical Publishing Company, 2014. Vol. 16, № 9.</w:t>
      </w:r>
    </w:p>
    <w:p w14:paraId="56F7C394" w14:textId="77777777" w:rsidR="002736BA" w:rsidRPr="002736BA" w:rsidRDefault="002736BA" w:rsidP="002736BA">
      <w:pPr>
        <w:widowControl w:val="0"/>
        <w:autoSpaceDE w:val="0"/>
        <w:autoSpaceDN w:val="0"/>
        <w:adjustRightInd w:val="0"/>
        <w:ind w:left="640" w:hanging="640"/>
        <w:rPr>
          <w:noProof/>
        </w:rPr>
      </w:pPr>
      <w:r w:rsidRPr="002736BA">
        <w:rPr>
          <w:noProof/>
        </w:rPr>
        <w:t>31.</w:t>
      </w:r>
      <w:r w:rsidRPr="002736BA">
        <w:rPr>
          <w:noProof/>
        </w:rPr>
        <w:tab/>
        <w:t>Криволапов Ю.А., Леенман Е.Е. Морфологическая диагностика лимфом. КОСТА, Санкт-Петербург, 2006.</w:t>
      </w:r>
    </w:p>
    <w:p w14:paraId="7A16E8F1" w14:textId="77777777" w:rsidR="002736BA" w:rsidRPr="002736BA" w:rsidRDefault="002736BA" w:rsidP="002736BA">
      <w:pPr>
        <w:widowControl w:val="0"/>
        <w:autoSpaceDE w:val="0"/>
        <w:autoSpaceDN w:val="0"/>
        <w:adjustRightInd w:val="0"/>
        <w:ind w:left="640" w:hanging="640"/>
        <w:rPr>
          <w:noProof/>
        </w:rPr>
      </w:pPr>
      <w:r w:rsidRPr="002736BA">
        <w:rPr>
          <w:noProof/>
        </w:rPr>
        <w:t>32.</w:t>
      </w:r>
      <w:r w:rsidRPr="002736BA">
        <w:rPr>
          <w:noProof/>
        </w:rPr>
        <w:tab/>
        <w:t>Бокерия Л.А., Затевахин И.И., Кириенко А.И. Российские клинические рекомендации по диагностике, лечению и профилактике венозных тромбоэмболических осложнений (ВТЭО). // Флебология. 2015. Vol. 4, № 2. P. 3–52.</w:t>
      </w:r>
    </w:p>
    <w:p w14:paraId="5BF36022" w14:textId="77777777" w:rsidR="002736BA" w:rsidRPr="002736BA" w:rsidRDefault="002736BA" w:rsidP="002736BA">
      <w:pPr>
        <w:widowControl w:val="0"/>
        <w:autoSpaceDE w:val="0"/>
        <w:autoSpaceDN w:val="0"/>
        <w:adjustRightInd w:val="0"/>
        <w:ind w:left="640" w:hanging="640"/>
        <w:rPr>
          <w:noProof/>
        </w:rPr>
      </w:pPr>
      <w:r w:rsidRPr="002736BA">
        <w:rPr>
          <w:noProof/>
        </w:rPr>
        <w:t>33.</w:t>
      </w:r>
      <w:r w:rsidRPr="002736BA">
        <w:rPr>
          <w:noProof/>
        </w:rPr>
        <w:tab/>
        <w:t>Кириенко А.И., Галстян Г.М., Савченко В.Г. Профилактика венозных тромбоэмболических осложнений при лимфопролиферативных заболеваниях // Российские клинические рекомендации по диагностике и лечению злокачественных лимфопролиферативных заболеваний; под ред. И.В. Поддубной, В.Г. Савченко. 2018. P. 268–278.</w:t>
      </w:r>
    </w:p>
    <w:p w14:paraId="22BBD87D" w14:textId="77777777" w:rsidR="002736BA" w:rsidRPr="002736BA" w:rsidRDefault="002736BA" w:rsidP="002736BA">
      <w:pPr>
        <w:widowControl w:val="0"/>
        <w:autoSpaceDE w:val="0"/>
        <w:autoSpaceDN w:val="0"/>
        <w:adjustRightInd w:val="0"/>
        <w:ind w:left="640" w:hanging="640"/>
        <w:rPr>
          <w:noProof/>
        </w:rPr>
      </w:pPr>
      <w:r w:rsidRPr="002736BA">
        <w:rPr>
          <w:noProof/>
        </w:rPr>
        <w:t>34.</w:t>
      </w:r>
      <w:r w:rsidRPr="002736BA">
        <w:rPr>
          <w:noProof/>
        </w:rPr>
        <w:tab/>
        <w:t>Santi R.M. et al. Khorana score and histotype predicts incidence of early venous thromboembolism in Non-Hodgkin lymphomas: A Pooled-Data analysis of 12 clinical trials of fondazione italiana linfomi (FIL) // Thromb. Haemost. Schattauer GmbH, 2017. Vol. 117, № 8. P. 1615–1621.</w:t>
      </w:r>
    </w:p>
    <w:p w14:paraId="1B6CE89D" w14:textId="77777777" w:rsidR="002736BA" w:rsidRPr="002736BA" w:rsidRDefault="002736BA" w:rsidP="002736BA">
      <w:pPr>
        <w:widowControl w:val="0"/>
        <w:autoSpaceDE w:val="0"/>
        <w:autoSpaceDN w:val="0"/>
        <w:adjustRightInd w:val="0"/>
        <w:ind w:left="640" w:hanging="640"/>
        <w:rPr>
          <w:noProof/>
        </w:rPr>
      </w:pPr>
      <w:r w:rsidRPr="002736BA">
        <w:rPr>
          <w:noProof/>
        </w:rPr>
        <w:t>35.</w:t>
      </w:r>
      <w:r w:rsidRPr="002736BA">
        <w:rPr>
          <w:noProof/>
        </w:rPr>
        <w:tab/>
        <w:t>Шмаков Р.Г., Демина Е.А. Лимфомы и беременность // Российские клинические рекомендации по диагностике и лечению злокачественных лимфопролиферативных заболеваний; под ред. И.В. Поддубной, В.Г. Савченко. 2018. P. 143–150.</w:t>
      </w:r>
    </w:p>
    <w:p w14:paraId="3C24812A" w14:textId="77777777" w:rsidR="002736BA" w:rsidRPr="002736BA" w:rsidRDefault="002736BA" w:rsidP="002736BA">
      <w:pPr>
        <w:widowControl w:val="0"/>
        <w:autoSpaceDE w:val="0"/>
        <w:autoSpaceDN w:val="0"/>
        <w:adjustRightInd w:val="0"/>
        <w:ind w:left="640" w:hanging="640"/>
        <w:rPr>
          <w:noProof/>
        </w:rPr>
      </w:pPr>
      <w:r w:rsidRPr="002736BA">
        <w:rPr>
          <w:noProof/>
        </w:rPr>
        <w:t>36.</w:t>
      </w:r>
      <w:r w:rsidRPr="002736BA">
        <w:rPr>
          <w:noProof/>
        </w:rPr>
        <w:tab/>
        <w:t xml:space="preserve">Coiffier B. et al. Long-term outcome of patients in the LNH-98.5 trial, the first randomized study comparing rituximab-CHOP to standard CHOP chemotherapy in DLBCL patients: A </w:t>
      </w:r>
      <w:r w:rsidRPr="002736BA">
        <w:rPr>
          <w:noProof/>
        </w:rPr>
        <w:lastRenderedPageBreak/>
        <w:t>study by the Groupe d’Etudes des Lymphomes de l’Adulte // Blood. American Society of Hematology, 2010. Vol. 116, № 12. P. 2040–2045.</w:t>
      </w:r>
    </w:p>
    <w:p w14:paraId="5F7BEF97" w14:textId="77777777" w:rsidR="002736BA" w:rsidRPr="002736BA" w:rsidRDefault="002736BA" w:rsidP="002736BA">
      <w:pPr>
        <w:widowControl w:val="0"/>
        <w:autoSpaceDE w:val="0"/>
        <w:autoSpaceDN w:val="0"/>
        <w:adjustRightInd w:val="0"/>
        <w:ind w:left="640" w:hanging="640"/>
        <w:rPr>
          <w:noProof/>
        </w:rPr>
      </w:pPr>
      <w:r w:rsidRPr="002736BA">
        <w:rPr>
          <w:noProof/>
        </w:rPr>
        <w:t>37.</w:t>
      </w:r>
      <w:r w:rsidRPr="002736BA">
        <w:rPr>
          <w:noProof/>
        </w:rPr>
        <w:tab/>
        <w:t>Feugier P. et al. Long-term results of the R-CHOP study in the treatment of elderly patients with diffuse large B-cell lymphoma: A study by the groupe d’etude des lymphomes de l’adulte // J. Clin. Oncol. 2005. Vol. 23, № 18. P. 4117–4126.</w:t>
      </w:r>
    </w:p>
    <w:p w14:paraId="30A34AB3" w14:textId="77777777" w:rsidR="002736BA" w:rsidRPr="002736BA" w:rsidRDefault="002736BA" w:rsidP="002736BA">
      <w:pPr>
        <w:widowControl w:val="0"/>
        <w:autoSpaceDE w:val="0"/>
        <w:autoSpaceDN w:val="0"/>
        <w:adjustRightInd w:val="0"/>
        <w:ind w:left="640" w:hanging="640"/>
        <w:rPr>
          <w:noProof/>
        </w:rPr>
      </w:pPr>
      <w:r w:rsidRPr="002736BA">
        <w:rPr>
          <w:noProof/>
        </w:rPr>
        <w:t>38.</w:t>
      </w:r>
      <w:r w:rsidRPr="002736BA">
        <w:rPr>
          <w:noProof/>
        </w:rPr>
        <w:tab/>
        <w:t>Pfreundschuh M. et al. CHOP-like chemotherapy plus rituximab versus CHOP-like chemotherapy alone in young patients with good-prognosis diffuse large-B-cell lymphoma: a randomised controlled trial by the MabThera International Trial (MInT) Group // Lancet Oncol. 2006. Vol. 7, № 5. P. 379–391.</w:t>
      </w:r>
    </w:p>
    <w:p w14:paraId="03757C83" w14:textId="77777777" w:rsidR="002736BA" w:rsidRPr="002736BA" w:rsidRDefault="002736BA" w:rsidP="002736BA">
      <w:pPr>
        <w:widowControl w:val="0"/>
        <w:autoSpaceDE w:val="0"/>
        <w:autoSpaceDN w:val="0"/>
        <w:adjustRightInd w:val="0"/>
        <w:ind w:left="640" w:hanging="640"/>
        <w:rPr>
          <w:noProof/>
        </w:rPr>
      </w:pPr>
      <w:r w:rsidRPr="002736BA">
        <w:rPr>
          <w:noProof/>
        </w:rPr>
        <w:t>39.</w:t>
      </w:r>
      <w:r w:rsidRPr="002736BA">
        <w:rPr>
          <w:noProof/>
        </w:rPr>
        <w:tab/>
        <w:t>Miller T.P. et al. Chemotherapy alone compared with chemotherapy plus radiotherapy for localized intermediate- and high-grade non-Hodgkin’s lymphoma // N. Engl. J. Med. 1998. Vol. 339, № 1. P. 21–26.</w:t>
      </w:r>
    </w:p>
    <w:p w14:paraId="4D366C01" w14:textId="77777777" w:rsidR="002736BA" w:rsidRPr="002736BA" w:rsidRDefault="002736BA" w:rsidP="002736BA">
      <w:pPr>
        <w:widowControl w:val="0"/>
        <w:autoSpaceDE w:val="0"/>
        <w:autoSpaceDN w:val="0"/>
        <w:adjustRightInd w:val="0"/>
        <w:ind w:left="640" w:hanging="640"/>
        <w:rPr>
          <w:noProof/>
        </w:rPr>
      </w:pPr>
      <w:r w:rsidRPr="002736BA">
        <w:rPr>
          <w:noProof/>
        </w:rPr>
        <w:t>40.</w:t>
      </w:r>
      <w:r w:rsidRPr="002736BA">
        <w:rPr>
          <w:noProof/>
        </w:rPr>
        <w:tab/>
        <w:t>Horning S.J. et al. Chemotherapy with or without radiotherapy in limited-stage diffuse aggressive non-Hodgkin’s lymphoma: Eastern Cooperative Oncology Group Study 1484 // J. Clin. Oncol. 2004. Vol. 22, № 15. P. 3032–3038.</w:t>
      </w:r>
    </w:p>
    <w:p w14:paraId="3BDA47F7" w14:textId="77777777" w:rsidR="002736BA" w:rsidRPr="002736BA" w:rsidRDefault="002736BA" w:rsidP="002736BA">
      <w:pPr>
        <w:widowControl w:val="0"/>
        <w:autoSpaceDE w:val="0"/>
        <w:autoSpaceDN w:val="0"/>
        <w:adjustRightInd w:val="0"/>
        <w:ind w:left="640" w:hanging="640"/>
        <w:rPr>
          <w:noProof/>
        </w:rPr>
      </w:pPr>
      <w:r w:rsidRPr="002736BA">
        <w:rPr>
          <w:noProof/>
        </w:rPr>
        <w:t>41.</w:t>
      </w:r>
      <w:r w:rsidRPr="002736BA">
        <w:rPr>
          <w:noProof/>
        </w:rPr>
        <w:tab/>
        <w:t>Persky D.O. et al. Phase II study of rituximab plus three cycles of CHOP and involved-field radiotherapy for patients with limited-stage aggressive B-cell lymphoma: Southwest Oncology Group Study 0014 // J. Clin. Oncol. 2008. Vol. 26, № 14. P. 2258–2263.</w:t>
      </w:r>
    </w:p>
    <w:p w14:paraId="4007B442" w14:textId="77777777" w:rsidR="002736BA" w:rsidRPr="002736BA" w:rsidRDefault="002736BA" w:rsidP="002736BA">
      <w:pPr>
        <w:widowControl w:val="0"/>
        <w:autoSpaceDE w:val="0"/>
        <w:autoSpaceDN w:val="0"/>
        <w:adjustRightInd w:val="0"/>
        <w:ind w:left="640" w:hanging="640"/>
        <w:rPr>
          <w:noProof/>
        </w:rPr>
      </w:pPr>
      <w:r w:rsidRPr="002736BA">
        <w:rPr>
          <w:noProof/>
        </w:rPr>
        <w:t>42.</w:t>
      </w:r>
      <w:r w:rsidRPr="002736BA">
        <w:rPr>
          <w:noProof/>
        </w:rPr>
        <w:tab/>
        <w:t>Wästerlid T. et al. Six cycles of R-CHOP-21 are not inferior to eight cycles for treatment of diffuse large B-cell lymphoma: a Nordic Lymphoma Group Population-based Study. // Ann. Oncol.  Off. J. Eur. Soc. Med. Oncol. 2018. Vol. 29, № 8. P. 1882–1883.</w:t>
      </w:r>
    </w:p>
    <w:p w14:paraId="029B268A" w14:textId="77777777" w:rsidR="002736BA" w:rsidRPr="002736BA" w:rsidRDefault="002736BA" w:rsidP="002736BA">
      <w:pPr>
        <w:widowControl w:val="0"/>
        <w:autoSpaceDE w:val="0"/>
        <w:autoSpaceDN w:val="0"/>
        <w:adjustRightInd w:val="0"/>
        <w:ind w:left="640" w:hanging="640"/>
        <w:rPr>
          <w:noProof/>
        </w:rPr>
      </w:pPr>
      <w:r w:rsidRPr="002736BA">
        <w:rPr>
          <w:noProof/>
        </w:rPr>
        <w:t>43.</w:t>
      </w:r>
      <w:r w:rsidRPr="002736BA">
        <w:rPr>
          <w:noProof/>
        </w:rPr>
        <w:tab/>
        <w:t>Cunningham D. et al. Rituximab plus cyclophosphamide, doxorubicin, vincristine, and prednisolone in patients with newly diagnosed diffuse large B-cell non-Hodgkin lymphoma: A phase 3 comparison of dose intensification with 14-day versus 21-day cycles // Lancet. Lancet Publishing Group, 2013. Vol. 381, № 9880. P. 1817–1826.</w:t>
      </w:r>
    </w:p>
    <w:p w14:paraId="15223874" w14:textId="77777777" w:rsidR="002736BA" w:rsidRPr="002736BA" w:rsidRDefault="002736BA" w:rsidP="002736BA">
      <w:pPr>
        <w:widowControl w:val="0"/>
        <w:autoSpaceDE w:val="0"/>
        <w:autoSpaceDN w:val="0"/>
        <w:adjustRightInd w:val="0"/>
        <w:ind w:left="640" w:hanging="640"/>
        <w:rPr>
          <w:noProof/>
        </w:rPr>
      </w:pPr>
      <w:r w:rsidRPr="002736BA">
        <w:rPr>
          <w:noProof/>
        </w:rPr>
        <w:t>44.</w:t>
      </w:r>
      <w:r w:rsidRPr="002736BA">
        <w:rPr>
          <w:noProof/>
        </w:rPr>
        <w:tab/>
        <w:t>Kwon J. et al. Additional survival benefit of involved-lesion radiation therapy after r-chop chemotherapy in limited stage diffuse large b-cell lymphoma // Int. J. Radiat. Oncol. Biol. Phys. Elsevier Inc., 2015. Vol. 92, № 1. P. 91–98.</w:t>
      </w:r>
    </w:p>
    <w:p w14:paraId="5CDC7616" w14:textId="77777777" w:rsidR="002736BA" w:rsidRPr="002736BA" w:rsidRDefault="002736BA" w:rsidP="002736BA">
      <w:pPr>
        <w:widowControl w:val="0"/>
        <w:autoSpaceDE w:val="0"/>
        <w:autoSpaceDN w:val="0"/>
        <w:adjustRightInd w:val="0"/>
        <w:ind w:left="640" w:hanging="640"/>
        <w:rPr>
          <w:noProof/>
        </w:rPr>
      </w:pPr>
      <w:r w:rsidRPr="002736BA">
        <w:rPr>
          <w:noProof/>
        </w:rPr>
        <w:t>45.</w:t>
      </w:r>
      <w:r w:rsidRPr="002736BA">
        <w:rPr>
          <w:noProof/>
        </w:rPr>
        <w:tab/>
        <w:t>Illidge T. et al. Modern radiation therapy for nodal non-hodgkin lymphoma - Target definition and dose guidelines from the international lymphoma radiation oncology group // International Journal of Radiation Oncology Biology Physics. Elsevier Inc., 2014. Vol. 89, № 1. P. 49–58.</w:t>
      </w:r>
    </w:p>
    <w:p w14:paraId="10AB0076" w14:textId="77777777" w:rsidR="002736BA" w:rsidRPr="002736BA" w:rsidRDefault="002736BA" w:rsidP="002736BA">
      <w:pPr>
        <w:widowControl w:val="0"/>
        <w:autoSpaceDE w:val="0"/>
        <w:autoSpaceDN w:val="0"/>
        <w:adjustRightInd w:val="0"/>
        <w:ind w:left="640" w:hanging="640"/>
        <w:rPr>
          <w:noProof/>
        </w:rPr>
      </w:pPr>
      <w:r w:rsidRPr="002736BA">
        <w:rPr>
          <w:noProof/>
        </w:rPr>
        <w:t>46.</w:t>
      </w:r>
      <w:r w:rsidRPr="002736BA">
        <w:rPr>
          <w:noProof/>
        </w:rPr>
        <w:tab/>
        <w:t>Held G. et al. Role of radiotherapy to bulky disease in elderly patients with aggressive b-cell lymphoma // J. Clin. Oncol. American Society of Clinical Oncology, 2014. Vol. 32, № 11. P. 1112–1118.</w:t>
      </w:r>
    </w:p>
    <w:p w14:paraId="0B3D79E0" w14:textId="77777777" w:rsidR="002736BA" w:rsidRPr="002736BA" w:rsidRDefault="002736BA" w:rsidP="002736BA">
      <w:pPr>
        <w:widowControl w:val="0"/>
        <w:autoSpaceDE w:val="0"/>
        <w:autoSpaceDN w:val="0"/>
        <w:adjustRightInd w:val="0"/>
        <w:ind w:left="640" w:hanging="640"/>
        <w:rPr>
          <w:noProof/>
        </w:rPr>
      </w:pPr>
      <w:r w:rsidRPr="002736BA">
        <w:rPr>
          <w:noProof/>
        </w:rPr>
        <w:lastRenderedPageBreak/>
        <w:t>47.</w:t>
      </w:r>
      <w:r w:rsidRPr="002736BA">
        <w:rPr>
          <w:noProof/>
        </w:rPr>
        <w:tab/>
        <w:t>Shi Z. et al. Renewed interest in the role of consolidative radiotherapy in advanced stage diffuse large B-cell lymphoma // Leukemia and Lymphoma. 2013. Vol. 54, № 10. P. 2122–2130.</w:t>
      </w:r>
    </w:p>
    <w:p w14:paraId="50793308" w14:textId="77777777" w:rsidR="002736BA" w:rsidRPr="002736BA" w:rsidRDefault="002736BA" w:rsidP="002736BA">
      <w:pPr>
        <w:widowControl w:val="0"/>
        <w:autoSpaceDE w:val="0"/>
        <w:autoSpaceDN w:val="0"/>
        <w:adjustRightInd w:val="0"/>
        <w:ind w:left="640" w:hanging="640"/>
        <w:rPr>
          <w:noProof/>
        </w:rPr>
      </w:pPr>
      <w:r w:rsidRPr="002736BA">
        <w:rPr>
          <w:noProof/>
        </w:rPr>
        <w:t>48.</w:t>
      </w:r>
      <w:r w:rsidRPr="002736BA">
        <w:rPr>
          <w:noProof/>
        </w:rPr>
        <w:tab/>
        <w:t>Boyle J. et al. Improving outcomes in advanced DLBCL: systemic approaches and radiotherapy. // Oncology (Williston Park). 2014. Vol. 28, № 12. P. 1074–1081, 1084.</w:t>
      </w:r>
    </w:p>
    <w:p w14:paraId="54A79DA3" w14:textId="77777777" w:rsidR="002736BA" w:rsidRPr="002736BA" w:rsidRDefault="002736BA" w:rsidP="002736BA">
      <w:pPr>
        <w:widowControl w:val="0"/>
        <w:autoSpaceDE w:val="0"/>
        <w:autoSpaceDN w:val="0"/>
        <w:adjustRightInd w:val="0"/>
        <w:ind w:left="640" w:hanging="640"/>
        <w:rPr>
          <w:noProof/>
        </w:rPr>
      </w:pPr>
      <w:r w:rsidRPr="002736BA">
        <w:rPr>
          <w:noProof/>
        </w:rPr>
        <w:t>49.</w:t>
      </w:r>
      <w:r w:rsidRPr="002736BA">
        <w:rPr>
          <w:noProof/>
        </w:rPr>
        <w:tab/>
        <w:t>Dabaja B.S. et al. Radiation for diffuse large B-cell lymphoma in the rituximab era: Analysis of the National Comprehensive Cancer Network lymphoma outcomes project // Cancer. John Wiley and Sons Inc., 2015. Vol. 121, № 7. P. 1032–1039.</w:t>
      </w:r>
    </w:p>
    <w:p w14:paraId="3D5746FD" w14:textId="77777777" w:rsidR="002736BA" w:rsidRPr="002736BA" w:rsidRDefault="002736BA" w:rsidP="002736BA">
      <w:pPr>
        <w:widowControl w:val="0"/>
        <w:autoSpaceDE w:val="0"/>
        <w:autoSpaceDN w:val="0"/>
        <w:adjustRightInd w:val="0"/>
        <w:ind w:left="640" w:hanging="640"/>
        <w:rPr>
          <w:noProof/>
        </w:rPr>
      </w:pPr>
      <w:r w:rsidRPr="002736BA">
        <w:rPr>
          <w:noProof/>
        </w:rPr>
        <w:t>50.</w:t>
      </w:r>
      <w:r w:rsidRPr="002736BA">
        <w:rPr>
          <w:noProof/>
        </w:rPr>
        <w:tab/>
        <w:t>Martino R. et al. Cyclophosphamide, pegylated liposomal doxorubicin (Caelyx), vincristine and prednisone (CCOP) in elderly patients with diffuse large B-cell lymphoma: results from a prospective phase II study. // Haematologica. Haematologica, 2002. Vol. 87, № 8. P. 822–827.</w:t>
      </w:r>
    </w:p>
    <w:p w14:paraId="584B2A68" w14:textId="77777777" w:rsidR="002736BA" w:rsidRPr="002736BA" w:rsidRDefault="002736BA" w:rsidP="002736BA">
      <w:pPr>
        <w:widowControl w:val="0"/>
        <w:autoSpaceDE w:val="0"/>
        <w:autoSpaceDN w:val="0"/>
        <w:adjustRightInd w:val="0"/>
        <w:ind w:left="640" w:hanging="640"/>
        <w:rPr>
          <w:noProof/>
        </w:rPr>
      </w:pPr>
      <w:r w:rsidRPr="002736BA">
        <w:rPr>
          <w:noProof/>
        </w:rPr>
        <w:t>51.</w:t>
      </w:r>
      <w:r w:rsidRPr="002736BA">
        <w:rPr>
          <w:noProof/>
        </w:rPr>
        <w:tab/>
        <w:t>Zaja F. et al. CHOP-rituximab with pegylated liposomal doxorubicin for the treatment of elderly patients with diffuse large B-cell lymphoma // Leuk. Lymphoma. 2006. Vol. 47, № 10. P. 2174–2180.</w:t>
      </w:r>
    </w:p>
    <w:p w14:paraId="56A6B118" w14:textId="77777777" w:rsidR="002736BA" w:rsidRPr="002736BA" w:rsidRDefault="002736BA" w:rsidP="002736BA">
      <w:pPr>
        <w:widowControl w:val="0"/>
        <w:autoSpaceDE w:val="0"/>
        <w:autoSpaceDN w:val="0"/>
        <w:adjustRightInd w:val="0"/>
        <w:ind w:left="640" w:hanging="640"/>
        <w:rPr>
          <w:noProof/>
        </w:rPr>
      </w:pPr>
      <w:r w:rsidRPr="002736BA">
        <w:rPr>
          <w:noProof/>
        </w:rPr>
        <w:t>52.</w:t>
      </w:r>
      <w:r w:rsidRPr="002736BA">
        <w:rPr>
          <w:noProof/>
        </w:rPr>
        <w:tab/>
        <w:t>Moccia A.A. et al. R-CHOP with Etoposide Substituted for Doxorubicin (R-CEOP): Excellent Outcome in Diffuse Large B Cell Lymphoma for Patients with a Contraindication to Anthracyclines. // Blood. American Society of Hematology, 2009. Vol. 114, № 22. P. 408–408.</w:t>
      </w:r>
    </w:p>
    <w:p w14:paraId="53E4D357" w14:textId="77777777" w:rsidR="002736BA" w:rsidRPr="002736BA" w:rsidRDefault="002736BA" w:rsidP="002736BA">
      <w:pPr>
        <w:widowControl w:val="0"/>
        <w:autoSpaceDE w:val="0"/>
        <w:autoSpaceDN w:val="0"/>
        <w:adjustRightInd w:val="0"/>
        <w:ind w:left="640" w:hanging="640"/>
        <w:rPr>
          <w:noProof/>
        </w:rPr>
      </w:pPr>
      <w:r w:rsidRPr="002736BA">
        <w:rPr>
          <w:noProof/>
        </w:rPr>
        <w:t>53.</w:t>
      </w:r>
      <w:r w:rsidRPr="002736BA">
        <w:rPr>
          <w:noProof/>
        </w:rPr>
        <w:tab/>
        <w:t>Fields P.A. et al. De novo treatment of diffuse large B-cell lymphoma with rituximab, cyclophosphamide, vincristine, gemcitabine, and prednisolone in patients with cardiac comorbidity: A United Kingdom National Cancer Research Institute trial // J. Clin. Oncol. American Society of Clinical Oncology, 2014. Vol. 32, № 4. P. 282–287.</w:t>
      </w:r>
    </w:p>
    <w:p w14:paraId="0C8C807C" w14:textId="77777777" w:rsidR="002736BA" w:rsidRPr="002736BA" w:rsidRDefault="002736BA" w:rsidP="002736BA">
      <w:pPr>
        <w:widowControl w:val="0"/>
        <w:autoSpaceDE w:val="0"/>
        <w:autoSpaceDN w:val="0"/>
        <w:adjustRightInd w:val="0"/>
        <w:ind w:left="640" w:hanging="640"/>
        <w:rPr>
          <w:noProof/>
        </w:rPr>
      </w:pPr>
      <w:r w:rsidRPr="002736BA">
        <w:rPr>
          <w:noProof/>
        </w:rPr>
        <w:t>54.</w:t>
      </w:r>
      <w:r w:rsidRPr="002736BA">
        <w:rPr>
          <w:noProof/>
        </w:rPr>
        <w:tab/>
        <w:t>Han S.M. et al. Primary splenic lymphoma associated with hemophagocytic lymphohistiocytosis complicated with splenic rupture // J. Chinese Med. Assoc. Elsevier (Singapore) Pte Ltd, 2008. Vol. 71, № 4. P. 210–213.</w:t>
      </w:r>
    </w:p>
    <w:p w14:paraId="0529BA4A" w14:textId="77777777" w:rsidR="002736BA" w:rsidRPr="002736BA" w:rsidRDefault="002736BA" w:rsidP="002736BA">
      <w:pPr>
        <w:widowControl w:val="0"/>
        <w:autoSpaceDE w:val="0"/>
        <w:autoSpaceDN w:val="0"/>
        <w:adjustRightInd w:val="0"/>
        <w:ind w:left="640" w:hanging="640"/>
        <w:rPr>
          <w:noProof/>
        </w:rPr>
      </w:pPr>
      <w:r w:rsidRPr="002736BA">
        <w:rPr>
          <w:noProof/>
        </w:rPr>
        <w:t>55.</w:t>
      </w:r>
      <w:r w:rsidRPr="002736BA">
        <w:rPr>
          <w:noProof/>
        </w:rPr>
        <w:tab/>
        <w:t>Salles G. et al. Rituximab in B-Cell Hematologic Malignancies: A Review of 20 Years of Clinical Experience // Advances in Therapy. 2017. Vol. 34, № 10. P. 2232–2273.</w:t>
      </w:r>
    </w:p>
    <w:p w14:paraId="2CDC66ED" w14:textId="77777777" w:rsidR="002736BA" w:rsidRPr="002736BA" w:rsidRDefault="002736BA" w:rsidP="002736BA">
      <w:pPr>
        <w:widowControl w:val="0"/>
        <w:autoSpaceDE w:val="0"/>
        <w:autoSpaceDN w:val="0"/>
        <w:adjustRightInd w:val="0"/>
        <w:ind w:left="640" w:hanging="640"/>
        <w:rPr>
          <w:noProof/>
        </w:rPr>
      </w:pPr>
      <w:r w:rsidRPr="002736BA">
        <w:rPr>
          <w:noProof/>
        </w:rPr>
        <w:t>56.</w:t>
      </w:r>
      <w:r w:rsidRPr="002736BA">
        <w:rPr>
          <w:noProof/>
        </w:rPr>
        <w:tab/>
        <w:t>Raefsky E.L. et al. Brief duration rituximab(R)/chemotherapy (CNOP or CVP) followed by maintenance rituximab in elderly/poor performance status patients (pts) with diffuse large B-cell lymphoma (DLBCL): A phase II trial of the Minnie Pearl Cancer Research Network // J. Clin. Oncol. American Society of Clinical Oncology, 2006. Vol. 24, № 18_suppl. P. 7577–7577.</w:t>
      </w:r>
    </w:p>
    <w:p w14:paraId="1E6554DC" w14:textId="77777777" w:rsidR="002736BA" w:rsidRPr="002736BA" w:rsidRDefault="002736BA" w:rsidP="002736BA">
      <w:pPr>
        <w:widowControl w:val="0"/>
        <w:autoSpaceDE w:val="0"/>
        <w:autoSpaceDN w:val="0"/>
        <w:adjustRightInd w:val="0"/>
        <w:ind w:left="640" w:hanging="640"/>
        <w:rPr>
          <w:noProof/>
        </w:rPr>
      </w:pPr>
      <w:r w:rsidRPr="002736BA">
        <w:rPr>
          <w:noProof/>
        </w:rPr>
        <w:t>57.</w:t>
      </w:r>
      <w:r w:rsidRPr="002736BA">
        <w:rPr>
          <w:noProof/>
        </w:rPr>
        <w:tab/>
        <w:t xml:space="preserve">Olmos-Jiménez R. et al. Practical aspects of the use of intrathecal chemotherapy Aspectos prácticos de la utilización de quimioterapia intratecal // Farm Hosp. 2017. Vol. 41, № 1. P. </w:t>
      </w:r>
      <w:r w:rsidRPr="002736BA">
        <w:rPr>
          <w:noProof/>
        </w:rPr>
        <w:lastRenderedPageBreak/>
        <w:t>105–129.</w:t>
      </w:r>
    </w:p>
    <w:p w14:paraId="30754FB1" w14:textId="77777777" w:rsidR="002736BA" w:rsidRPr="002736BA" w:rsidRDefault="002736BA" w:rsidP="002736BA">
      <w:pPr>
        <w:widowControl w:val="0"/>
        <w:autoSpaceDE w:val="0"/>
        <w:autoSpaceDN w:val="0"/>
        <w:adjustRightInd w:val="0"/>
        <w:ind w:left="640" w:hanging="640"/>
        <w:rPr>
          <w:noProof/>
        </w:rPr>
      </w:pPr>
      <w:r w:rsidRPr="002736BA">
        <w:rPr>
          <w:noProof/>
        </w:rPr>
        <w:t>58.</w:t>
      </w:r>
      <w:r w:rsidRPr="002736BA">
        <w:rPr>
          <w:noProof/>
        </w:rPr>
        <w:tab/>
        <w:t>Perry C. et al. Characteristics, management and outcome of DLBCL patients, presenting with simultaneous systemic and CNS disease at diagnosis: A retrospective multicenter study // Am. J. Hematol. Wiley-Liss Inc., 2019. Vol. 94, № 9. P. 992–1001.</w:t>
      </w:r>
    </w:p>
    <w:p w14:paraId="1F7F15FD" w14:textId="77777777" w:rsidR="002736BA" w:rsidRPr="002736BA" w:rsidRDefault="002736BA" w:rsidP="002736BA">
      <w:pPr>
        <w:widowControl w:val="0"/>
        <w:autoSpaceDE w:val="0"/>
        <w:autoSpaceDN w:val="0"/>
        <w:adjustRightInd w:val="0"/>
        <w:ind w:left="640" w:hanging="640"/>
        <w:rPr>
          <w:noProof/>
        </w:rPr>
      </w:pPr>
      <w:r w:rsidRPr="002736BA">
        <w:rPr>
          <w:noProof/>
        </w:rPr>
        <w:t>59.</w:t>
      </w:r>
      <w:r w:rsidRPr="002736BA">
        <w:rPr>
          <w:noProof/>
        </w:rPr>
        <w:tab/>
        <w:t>Peyrade F. et al. Attenuated immunochemotherapy regimen (R-miniCHOP) in elderly patients older than 80 years with diffuse large B-cell lymphoma: A multicentre, single-arm, phase 2 trial // Lancet Oncol. 2011. Vol. 12, № 5. P. 460–468.</w:t>
      </w:r>
    </w:p>
    <w:p w14:paraId="697B58D5" w14:textId="77777777" w:rsidR="002736BA" w:rsidRPr="002736BA" w:rsidRDefault="002736BA" w:rsidP="002736BA">
      <w:pPr>
        <w:widowControl w:val="0"/>
        <w:autoSpaceDE w:val="0"/>
        <w:autoSpaceDN w:val="0"/>
        <w:adjustRightInd w:val="0"/>
        <w:ind w:left="640" w:hanging="640"/>
        <w:rPr>
          <w:noProof/>
        </w:rPr>
      </w:pPr>
      <w:r w:rsidRPr="002736BA">
        <w:rPr>
          <w:noProof/>
        </w:rPr>
        <w:t>60.</w:t>
      </w:r>
      <w:r w:rsidRPr="002736BA">
        <w:rPr>
          <w:noProof/>
        </w:rPr>
        <w:tab/>
        <w:t>Peyrade F. et al. Long-term follow-up of the GELA LNH 03-7B study: A prospective phase II study of 150 patients over 80 years with diffuse large B-cell lymphoma (DLBCL) treated with RminiCHOP. // J. Clin. Oncol. American Society of Clinical Oncology, 2013. Vol. 31, № 15_suppl. P. 8536.</w:t>
      </w:r>
    </w:p>
    <w:p w14:paraId="3C0BDFFC" w14:textId="77777777" w:rsidR="002736BA" w:rsidRPr="002736BA" w:rsidRDefault="002736BA" w:rsidP="002736BA">
      <w:pPr>
        <w:widowControl w:val="0"/>
        <w:autoSpaceDE w:val="0"/>
        <w:autoSpaceDN w:val="0"/>
        <w:adjustRightInd w:val="0"/>
        <w:ind w:left="640" w:hanging="640"/>
        <w:rPr>
          <w:noProof/>
        </w:rPr>
      </w:pPr>
      <w:r w:rsidRPr="002736BA">
        <w:rPr>
          <w:noProof/>
        </w:rPr>
        <w:t>61.</w:t>
      </w:r>
      <w:r w:rsidRPr="002736BA">
        <w:rPr>
          <w:noProof/>
        </w:rPr>
        <w:tab/>
        <w:t>Laribi K. et al. R-CVP regimen is active in frail elderly patients aged 80 or over with diffuse large B cell lymphoma // Ann. Hematol. Springer Verlag, 2016. Vol. 95, № 10. P. 1705–1714.</w:t>
      </w:r>
    </w:p>
    <w:p w14:paraId="2E9CA303" w14:textId="77777777" w:rsidR="002736BA" w:rsidRPr="002736BA" w:rsidRDefault="002736BA" w:rsidP="002736BA">
      <w:pPr>
        <w:widowControl w:val="0"/>
        <w:autoSpaceDE w:val="0"/>
        <w:autoSpaceDN w:val="0"/>
        <w:adjustRightInd w:val="0"/>
        <w:ind w:left="640" w:hanging="640"/>
        <w:rPr>
          <w:noProof/>
        </w:rPr>
      </w:pPr>
      <w:r w:rsidRPr="002736BA">
        <w:rPr>
          <w:noProof/>
        </w:rPr>
        <w:t>62.</w:t>
      </w:r>
      <w:r w:rsidRPr="002736BA">
        <w:rPr>
          <w:noProof/>
        </w:rPr>
        <w:tab/>
        <w:t>Arakaki H. et al. Comparison of R-CVP with R-CHOP for very elderly patients aged 80 or over with diffuse large B cell lymphoma // Annals of Hematology. Springer Verlag, 2017. Vol. 96, № 7. P. 1225–1226.</w:t>
      </w:r>
    </w:p>
    <w:p w14:paraId="4A26631C" w14:textId="77777777" w:rsidR="002736BA" w:rsidRPr="002736BA" w:rsidRDefault="002736BA" w:rsidP="002736BA">
      <w:pPr>
        <w:widowControl w:val="0"/>
        <w:autoSpaceDE w:val="0"/>
        <w:autoSpaceDN w:val="0"/>
        <w:adjustRightInd w:val="0"/>
        <w:ind w:left="640" w:hanging="640"/>
        <w:rPr>
          <w:noProof/>
        </w:rPr>
      </w:pPr>
      <w:r w:rsidRPr="002736BA">
        <w:rPr>
          <w:noProof/>
        </w:rPr>
        <w:t>63.</w:t>
      </w:r>
      <w:r w:rsidRPr="002736BA">
        <w:rPr>
          <w:noProof/>
        </w:rPr>
        <w:tab/>
        <w:t>Zeremski V. et al. Is bendamustine-rituximab a reasonable treatment in selected older patients with diffuse large B cell lymphoma? Results from a multicentre, retrospective study // Ann. Hematol. Springer, 2019. Vol. 98, № 12. P. 2729–2737.</w:t>
      </w:r>
    </w:p>
    <w:p w14:paraId="3DB50BC7" w14:textId="77777777" w:rsidR="002736BA" w:rsidRPr="002736BA" w:rsidRDefault="002736BA" w:rsidP="002736BA">
      <w:pPr>
        <w:widowControl w:val="0"/>
        <w:autoSpaceDE w:val="0"/>
        <w:autoSpaceDN w:val="0"/>
        <w:adjustRightInd w:val="0"/>
        <w:ind w:left="640" w:hanging="640"/>
        <w:rPr>
          <w:noProof/>
        </w:rPr>
      </w:pPr>
      <w:r w:rsidRPr="002736BA">
        <w:rPr>
          <w:noProof/>
        </w:rPr>
        <w:t>64.</w:t>
      </w:r>
      <w:r w:rsidRPr="002736BA">
        <w:rPr>
          <w:noProof/>
        </w:rPr>
        <w:tab/>
        <w:t>Storti S. et al. Rituximab plus bendamustine as front-line treatment in frail elderly (&gt;70 years) patients with diffuse large b-cell non-hodgkin lymphoma: A phase ii multicenter study of the fondazione italiana linfomi // Haematologica. Ferrata Storti Foundation, 2018. Vol. 103, № 8. P. 1345–1350.</w:t>
      </w:r>
    </w:p>
    <w:p w14:paraId="6591ACA1" w14:textId="77777777" w:rsidR="002736BA" w:rsidRPr="002736BA" w:rsidRDefault="002736BA" w:rsidP="002736BA">
      <w:pPr>
        <w:widowControl w:val="0"/>
        <w:autoSpaceDE w:val="0"/>
        <w:autoSpaceDN w:val="0"/>
        <w:adjustRightInd w:val="0"/>
        <w:ind w:left="640" w:hanging="640"/>
        <w:rPr>
          <w:noProof/>
        </w:rPr>
      </w:pPr>
      <w:r w:rsidRPr="002736BA">
        <w:rPr>
          <w:noProof/>
        </w:rPr>
        <w:t>65.</w:t>
      </w:r>
      <w:r w:rsidRPr="002736BA">
        <w:rPr>
          <w:noProof/>
        </w:rPr>
        <w:tab/>
        <w:t>Zinzani P.L. et al. Rituximab combined with MACOP-B or VACOP-B and radiation therapy in primary mediastinal large B-cell lymphoma: A retrospective study // Clin. Lymphoma Myeloma. Cancer Information Group, LP, 2009. Vol. 9, № 5. P. 381–385.</w:t>
      </w:r>
    </w:p>
    <w:p w14:paraId="20988670" w14:textId="77777777" w:rsidR="002736BA" w:rsidRPr="002736BA" w:rsidRDefault="002736BA" w:rsidP="002736BA">
      <w:pPr>
        <w:widowControl w:val="0"/>
        <w:autoSpaceDE w:val="0"/>
        <w:autoSpaceDN w:val="0"/>
        <w:adjustRightInd w:val="0"/>
        <w:ind w:left="640" w:hanging="640"/>
        <w:rPr>
          <w:noProof/>
        </w:rPr>
      </w:pPr>
      <w:r w:rsidRPr="002736BA">
        <w:rPr>
          <w:noProof/>
        </w:rPr>
        <w:t>66.</w:t>
      </w:r>
      <w:r w:rsidRPr="002736BA">
        <w:rPr>
          <w:noProof/>
        </w:rPr>
        <w:tab/>
        <w:t>Вернюк М.А. et al. Опыт лечения первичной медиастинальной В-крупноклеточной лимфомы // Онкогематология. 2013. Vol. 4. P. 18–23.</w:t>
      </w:r>
    </w:p>
    <w:p w14:paraId="166A4A63" w14:textId="77777777" w:rsidR="002736BA" w:rsidRPr="002736BA" w:rsidRDefault="002736BA" w:rsidP="002736BA">
      <w:pPr>
        <w:widowControl w:val="0"/>
        <w:autoSpaceDE w:val="0"/>
        <w:autoSpaceDN w:val="0"/>
        <w:adjustRightInd w:val="0"/>
        <w:ind w:left="640" w:hanging="640"/>
        <w:rPr>
          <w:noProof/>
        </w:rPr>
      </w:pPr>
      <w:r w:rsidRPr="002736BA">
        <w:rPr>
          <w:noProof/>
        </w:rPr>
        <w:t>67.</w:t>
      </w:r>
      <w:r w:rsidRPr="002736BA">
        <w:rPr>
          <w:noProof/>
        </w:rPr>
        <w:tab/>
        <w:t>Тумян Г.С. Первичная медиастинальная В-крупноклеточная лимфома: диагностика, клиническая картина и лечение // Современная онкология. 2008. Vol. 10, № 3. P. 66–68.</w:t>
      </w:r>
    </w:p>
    <w:p w14:paraId="06B46753" w14:textId="77777777" w:rsidR="002736BA" w:rsidRPr="002736BA" w:rsidRDefault="002736BA" w:rsidP="002736BA">
      <w:pPr>
        <w:widowControl w:val="0"/>
        <w:autoSpaceDE w:val="0"/>
        <w:autoSpaceDN w:val="0"/>
        <w:adjustRightInd w:val="0"/>
        <w:ind w:left="640" w:hanging="640"/>
        <w:rPr>
          <w:noProof/>
        </w:rPr>
      </w:pPr>
      <w:r w:rsidRPr="002736BA">
        <w:rPr>
          <w:noProof/>
        </w:rPr>
        <w:t>68.</w:t>
      </w:r>
      <w:r w:rsidRPr="002736BA">
        <w:rPr>
          <w:noProof/>
        </w:rPr>
        <w:tab/>
        <w:t>Dunleavy K. et al. Dose-adjusted EPOCH-rituximab therapy in primary mediastinal B-cell lymphoma // N. Engl. J. Med. Massachussetts Medical Society, 2013. Vol. 368, № 15. P. 1408–1416.</w:t>
      </w:r>
    </w:p>
    <w:p w14:paraId="51EC86D6" w14:textId="77777777" w:rsidR="002736BA" w:rsidRPr="002736BA" w:rsidRDefault="002736BA" w:rsidP="002736BA">
      <w:pPr>
        <w:widowControl w:val="0"/>
        <w:autoSpaceDE w:val="0"/>
        <w:autoSpaceDN w:val="0"/>
        <w:adjustRightInd w:val="0"/>
        <w:ind w:left="640" w:hanging="640"/>
        <w:rPr>
          <w:noProof/>
        </w:rPr>
      </w:pPr>
      <w:r w:rsidRPr="002736BA">
        <w:rPr>
          <w:noProof/>
        </w:rPr>
        <w:lastRenderedPageBreak/>
        <w:t>69.</w:t>
      </w:r>
      <w:r w:rsidRPr="002736BA">
        <w:rPr>
          <w:noProof/>
        </w:rPr>
        <w:tab/>
        <w:t>Chan E.H.L. et al. Real world experience of R-CHOP with or without consolidative radiotherapy vs DA-EPOCH-R in the first-line treatment of primary mediastinal B-cell lymphoma // Cancer Med. Blackwell Publishing Ltd, 2019. Vol. 8, № 10. P. 4626–4632.</w:t>
      </w:r>
    </w:p>
    <w:p w14:paraId="79FD959B" w14:textId="77777777" w:rsidR="002736BA" w:rsidRPr="002736BA" w:rsidRDefault="002736BA" w:rsidP="002736BA">
      <w:pPr>
        <w:widowControl w:val="0"/>
        <w:autoSpaceDE w:val="0"/>
        <w:autoSpaceDN w:val="0"/>
        <w:adjustRightInd w:val="0"/>
        <w:ind w:left="640" w:hanging="640"/>
        <w:rPr>
          <w:noProof/>
        </w:rPr>
      </w:pPr>
      <w:r w:rsidRPr="002736BA">
        <w:rPr>
          <w:noProof/>
        </w:rPr>
        <w:t>70.</w:t>
      </w:r>
      <w:r w:rsidRPr="002736BA">
        <w:rPr>
          <w:noProof/>
        </w:rPr>
        <w:tab/>
        <w:t>Мангасарова Я.К. et al. Первичная медиастинальная (тимическая) В-крупноклеточная лимфома: диагностика отдаленных экстрамедиастинальных поражений и возможности лечения // Клиническая онкогематология. 2018. Vol. 11, № 3. P. 220–226.</w:t>
      </w:r>
    </w:p>
    <w:p w14:paraId="106161A9" w14:textId="77777777" w:rsidR="002736BA" w:rsidRPr="002736BA" w:rsidRDefault="002736BA" w:rsidP="002736BA">
      <w:pPr>
        <w:widowControl w:val="0"/>
        <w:autoSpaceDE w:val="0"/>
        <w:autoSpaceDN w:val="0"/>
        <w:adjustRightInd w:val="0"/>
        <w:ind w:left="640" w:hanging="640"/>
        <w:rPr>
          <w:noProof/>
        </w:rPr>
      </w:pPr>
      <w:r w:rsidRPr="002736BA">
        <w:rPr>
          <w:noProof/>
        </w:rPr>
        <w:t>71.</w:t>
      </w:r>
      <w:r w:rsidRPr="002736BA">
        <w:rPr>
          <w:noProof/>
        </w:rPr>
        <w:tab/>
        <w:t>Derenzini E. et al. Cyclophosphamide, doxorubicin, vincristine, methotrexate, bleomicin and prednisone plus rituximab in untreated young patients with low-risk (age-adjusted international prognostic index 01) diffuse large B-cell lymphoma // Leuk. Lymphoma. Taylor &amp; Francis, 2009. Vol. 50, № 11. P. 1824–1829.</w:t>
      </w:r>
    </w:p>
    <w:p w14:paraId="02EC37BC" w14:textId="77777777" w:rsidR="002736BA" w:rsidRPr="002736BA" w:rsidRDefault="002736BA" w:rsidP="002736BA">
      <w:pPr>
        <w:widowControl w:val="0"/>
        <w:autoSpaceDE w:val="0"/>
        <w:autoSpaceDN w:val="0"/>
        <w:adjustRightInd w:val="0"/>
        <w:ind w:left="640" w:hanging="640"/>
        <w:rPr>
          <w:noProof/>
        </w:rPr>
      </w:pPr>
      <w:r w:rsidRPr="002736BA">
        <w:rPr>
          <w:noProof/>
        </w:rPr>
        <w:t>72.</w:t>
      </w:r>
      <w:r w:rsidRPr="002736BA">
        <w:rPr>
          <w:noProof/>
        </w:rPr>
        <w:tab/>
        <w:t>Thiel E. et al. High-dose methotrexate with or without whole brain radiotherapy for primary CNS lymphoma (G-PCNSL-SG-1): a phase 3, randomised, non-inferiority trial // Lancet Oncol. 2010. Vol. 11, № 11. P. 1036–1047.</w:t>
      </w:r>
    </w:p>
    <w:p w14:paraId="3B22E8A3" w14:textId="77777777" w:rsidR="002736BA" w:rsidRPr="002736BA" w:rsidRDefault="002736BA" w:rsidP="002736BA">
      <w:pPr>
        <w:widowControl w:val="0"/>
        <w:autoSpaceDE w:val="0"/>
        <w:autoSpaceDN w:val="0"/>
        <w:adjustRightInd w:val="0"/>
        <w:ind w:left="640" w:hanging="640"/>
        <w:rPr>
          <w:noProof/>
        </w:rPr>
      </w:pPr>
      <w:r w:rsidRPr="002736BA">
        <w:rPr>
          <w:noProof/>
        </w:rPr>
        <w:t>73.</w:t>
      </w:r>
      <w:r w:rsidRPr="002736BA">
        <w:rPr>
          <w:noProof/>
        </w:rPr>
        <w:tab/>
        <w:t>Ferreri A.J. et al. High-dose cytarabine plus high-dose methotrexate versus high-dose methotrexate alone in patients with primary CNS lymphoma: a randomised phase 2 trial // Lancet. 2009. Vol. 374, № 9700. P. 1512–1520.</w:t>
      </w:r>
    </w:p>
    <w:p w14:paraId="454377AE" w14:textId="77777777" w:rsidR="002736BA" w:rsidRPr="002736BA" w:rsidRDefault="002736BA" w:rsidP="002736BA">
      <w:pPr>
        <w:widowControl w:val="0"/>
        <w:autoSpaceDE w:val="0"/>
        <w:autoSpaceDN w:val="0"/>
        <w:adjustRightInd w:val="0"/>
        <w:ind w:left="640" w:hanging="640"/>
        <w:rPr>
          <w:noProof/>
        </w:rPr>
      </w:pPr>
      <w:r w:rsidRPr="002736BA">
        <w:rPr>
          <w:noProof/>
        </w:rPr>
        <w:t>74.</w:t>
      </w:r>
      <w:r w:rsidRPr="002736BA">
        <w:rPr>
          <w:noProof/>
        </w:rPr>
        <w:tab/>
        <w:t>Rubenstein J.L. et al. Intensive chemotherapy and immunotherapy in patients with newly diagnosed primary CNS lymphoma: CALGB 50202 (Alliance 50202) // J. Clin. Oncol. 2013. Vol. 31, № 25. P. 3061–3068.</w:t>
      </w:r>
    </w:p>
    <w:p w14:paraId="48531D1C" w14:textId="77777777" w:rsidR="002736BA" w:rsidRPr="002736BA" w:rsidRDefault="002736BA" w:rsidP="002736BA">
      <w:pPr>
        <w:widowControl w:val="0"/>
        <w:autoSpaceDE w:val="0"/>
        <w:autoSpaceDN w:val="0"/>
        <w:adjustRightInd w:val="0"/>
        <w:ind w:left="640" w:hanging="640"/>
        <w:rPr>
          <w:noProof/>
        </w:rPr>
      </w:pPr>
      <w:r w:rsidRPr="002736BA">
        <w:rPr>
          <w:noProof/>
        </w:rPr>
        <w:t>75.</w:t>
      </w:r>
      <w:r w:rsidRPr="002736BA">
        <w:rPr>
          <w:noProof/>
        </w:rPr>
        <w:tab/>
        <w:t>Chamberlain M.C., Johnston S.K. High-dose methotrexate and rituximab with deferred radiotherapy for newly diagnosed primary B-cell CNS lymphoma. // Neuro. Oncol. 2010. Vol. 12, № 7. P. 736–744.</w:t>
      </w:r>
    </w:p>
    <w:p w14:paraId="37909F47" w14:textId="77777777" w:rsidR="002736BA" w:rsidRPr="002736BA" w:rsidRDefault="002736BA" w:rsidP="002736BA">
      <w:pPr>
        <w:widowControl w:val="0"/>
        <w:autoSpaceDE w:val="0"/>
        <w:autoSpaceDN w:val="0"/>
        <w:adjustRightInd w:val="0"/>
        <w:ind w:left="640" w:hanging="640"/>
        <w:rPr>
          <w:noProof/>
        </w:rPr>
      </w:pPr>
      <w:r w:rsidRPr="002736BA">
        <w:rPr>
          <w:noProof/>
        </w:rPr>
        <w:t>76.</w:t>
      </w:r>
      <w:r w:rsidRPr="002736BA">
        <w:rPr>
          <w:noProof/>
        </w:rPr>
        <w:tab/>
        <w:t>Holdhoff M. et al. High-dose methotrexate with or without rituximab in newly diagnosed primary CNS lymphoma // Neurology. Lippincott Williams and Wilkins, 2014. Vol. 83, № 3. P. 235–239.</w:t>
      </w:r>
    </w:p>
    <w:p w14:paraId="423B340B" w14:textId="77777777" w:rsidR="002736BA" w:rsidRPr="002736BA" w:rsidRDefault="002736BA" w:rsidP="002736BA">
      <w:pPr>
        <w:widowControl w:val="0"/>
        <w:autoSpaceDE w:val="0"/>
        <w:autoSpaceDN w:val="0"/>
        <w:adjustRightInd w:val="0"/>
        <w:ind w:left="640" w:hanging="640"/>
        <w:rPr>
          <w:noProof/>
        </w:rPr>
      </w:pPr>
      <w:r w:rsidRPr="002736BA">
        <w:rPr>
          <w:noProof/>
        </w:rPr>
        <w:t>77.</w:t>
      </w:r>
      <w:r w:rsidRPr="002736BA">
        <w:rPr>
          <w:noProof/>
        </w:rPr>
        <w:tab/>
        <w:t>Omuro A. et al. Methotrexate and temozolomide versus methotrexate, procarbazine, vincristine, and cytarabine for primary CNS lymphoma in an elderly population: An intergroup ANOCEF-GOELAMS randomised phase 2 trial // Lancet Haematol. Elsevier Ltd, 2015. Vol. 2, № 6. P. e251–e259.</w:t>
      </w:r>
    </w:p>
    <w:p w14:paraId="74486E3F" w14:textId="77777777" w:rsidR="002736BA" w:rsidRPr="002736BA" w:rsidRDefault="002736BA" w:rsidP="002736BA">
      <w:pPr>
        <w:widowControl w:val="0"/>
        <w:autoSpaceDE w:val="0"/>
        <w:autoSpaceDN w:val="0"/>
        <w:adjustRightInd w:val="0"/>
        <w:ind w:left="640" w:hanging="640"/>
        <w:rPr>
          <w:noProof/>
        </w:rPr>
      </w:pPr>
      <w:r w:rsidRPr="002736BA">
        <w:rPr>
          <w:noProof/>
        </w:rPr>
        <w:t>78.</w:t>
      </w:r>
      <w:r w:rsidRPr="002736BA">
        <w:rPr>
          <w:noProof/>
        </w:rPr>
        <w:tab/>
        <w:t>Morris P.G. et al. Rituximab, methotrexate, procarbazine, and vincristine followed by consolidation reduced-dose whole-brain radiotherapy and cytarabine in newly diagnosed primary CNS lymphoma: Final results and long-term outcome // J. Clin. Oncol. American Society of Clinical Oncology, 2013. Vol. 31, № 31. P. 3971–3979.</w:t>
      </w:r>
    </w:p>
    <w:p w14:paraId="19BA6871" w14:textId="77777777" w:rsidR="002736BA" w:rsidRPr="002736BA" w:rsidRDefault="002736BA" w:rsidP="002736BA">
      <w:pPr>
        <w:widowControl w:val="0"/>
        <w:autoSpaceDE w:val="0"/>
        <w:autoSpaceDN w:val="0"/>
        <w:adjustRightInd w:val="0"/>
        <w:ind w:left="640" w:hanging="640"/>
        <w:rPr>
          <w:noProof/>
        </w:rPr>
      </w:pPr>
      <w:r w:rsidRPr="002736BA">
        <w:rPr>
          <w:noProof/>
        </w:rPr>
        <w:t>79.</w:t>
      </w:r>
      <w:r w:rsidRPr="002736BA">
        <w:rPr>
          <w:noProof/>
        </w:rPr>
        <w:tab/>
        <w:t xml:space="preserve">Fritsch K. et al. Immunochemotherapy with rituximab, methotrexate, procarbazine, and </w:t>
      </w:r>
      <w:r w:rsidRPr="002736BA">
        <w:rPr>
          <w:noProof/>
        </w:rPr>
        <w:lastRenderedPageBreak/>
        <w:t>lomustine for primary CNS lymphoma (PCNSL) in the elderly. // Ann. Oncol.  Off. J. Eur. Soc. Med. Oncol. 2011. Vol. 22, № 9. P. 2080–2085.</w:t>
      </w:r>
    </w:p>
    <w:p w14:paraId="1F456CC7" w14:textId="77777777" w:rsidR="002736BA" w:rsidRPr="002736BA" w:rsidRDefault="002736BA" w:rsidP="002736BA">
      <w:pPr>
        <w:widowControl w:val="0"/>
        <w:autoSpaceDE w:val="0"/>
        <w:autoSpaceDN w:val="0"/>
        <w:adjustRightInd w:val="0"/>
        <w:ind w:left="640" w:hanging="640"/>
        <w:rPr>
          <w:noProof/>
        </w:rPr>
      </w:pPr>
      <w:r w:rsidRPr="002736BA">
        <w:rPr>
          <w:noProof/>
        </w:rPr>
        <w:t>80.</w:t>
      </w:r>
      <w:r w:rsidRPr="002736BA">
        <w:rPr>
          <w:noProof/>
        </w:rPr>
        <w:tab/>
        <w:t>Wong E.T. et al. Immunochemotherapy with rituximab and temozolomide for central nervous system lymphomas // Cancer. 2004. Vol. 101, № 1. P. 139–145.</w:t>
      </w:r>
    </w:p>
    <w:p w14:paraId="456ACAD6" w14:textId="77777777" w:rsidR="002736BA" w:rsidRPr="002736BA" w:rsidRDefault="002736BA" w:rsidP="002736BA">
      <w:pPr>
        <w:widowControl w:val="0"/>
        <w:autoSpaceDE w:val="0"/>
        <w:autoSpaceDN w:val="0"/>
        <w:adjustRightInd w:val="0"/>
        <w:ind w:left="640" w:hanging="640"/>
        <w:rPr>
          <w:noProof/>
        </w:rPr>
      </w:pPr>
      <w:r w:rsidRPr="002736BA">
        <w:rPr>
          <w:noProof/>
        </w:rPr>
        <w:t>81.</w:t>
      </w:r>
      <w:r w:rsidRPr="002736BA">
        <w:rPr>
          <w:noProof/>
        </w:rPr>
        <w:tab/>
        <w:t>Illerhaus G. et al. High-dose chemotherapy with autologous stem-cell transplantation and hyperfractionated radiotherapy as first-line treatment of primary CNS lymphoma // J. Clin. Oncol. 2006. Vol. 24, № 24. P. 3865–3870.</w:t>
      </w:r>
    </w:p>
    <w:p w14:paraId="2CF44497" w14:textId="77777777" w:rsidR="002736BA" w:rsidRPr="002736BA" w:rsidRDefault="002736BA" w:rsidP="002736BA">
      <w:pPr>
        <w:widowControl w:val="0"/>
        <w:autoSpaceDE w:val="0"/>
        <w:autoSpaceDN w:val="0"/>
        <w:adjustRightInd w:val="0"/>
        <w:ind w:left="640" w:hanging="640"/>
        <w:rPr>
          <w:noProof/>
        </w:rPr>
      </w:pPr>
      <w:r w:rsidRPr="002736BA">
        <w:rPr>
          <w:noProof/>
        </w:rPr>
        <w:t>82.</w:t>
      </w:r>
      <w:r w:rsidRPr="002736BA">
        <w:rPr>
          <w:noProof/>
        </w:rPr>
        <w:tab/>
        <w:t>Houillier C. et al. Radiotherapy or Autologous Stem-Cell Transplantation for Primary CNS Lymphoma in Patients 60 Years of Age and Younger: Results of the Intergroup ANOCEF-GOELAMS Randomized Phase II PRECIS Study. // J. Clin. Oncol. American Society of Clinical Oncology, 2019. Vol. 37, № 10. P. 823–833.</w:t>
      </w:r>
    </w:p>
    <w:p w14:paraId="31F82E52" w14:textId="77777777" w:rsidR="002736BA" w:rsidRPr="002736BA" w:rsidRDefault="002736BA" w:rsidP="002736BA">
      <w:pPr>
        <w:widowControl w:val="0"/>
        <w:autoSpaceDE w:val="0"/>
        <w:autoSpaceDN w:val="0"/>
        <w:adjustRightInd w:val="0"/>
        <w:ind w:left="640" w:hanging="640"/>
        <w:rPr>
          <w:noProof/>
        </w:rPr>
      </w:pPr>
      <w:r w:rsidRPr="002736BA">
        <w:rPr>
          <w:noProof/>
        </w:rPr>
        <w:t>83.</w:t>
      </w:r>
      <w:r w:rsidRPr="002736BA">
        <w:rPr>
          <w:noProof/>
        </w:rPr>
        <w:tab/>
        <w:t>Ferreri A.J.M. et al. Chemoimmunotherapy with methotrexate, cytarabine, thiotepa, and rituximab (MATRix regimen) in patients with primary CNS lymphoma: Results of the first randomisation of the International Extranodal Lymphoma Study Group-32 (IELSG32) phase 2 trial // Lancet Haematol. Elsevier Ltd, 2016. Vol. 3, № 5. P. e217–e227.</w:t>
      </w:r>
    </w:p>
    <w:p w14:paraId="1915D4FC" w14:textId="77777777" w:rsidR="002736BA" w:rsidRPr="002736BA" w:rsidRDefault="002736BA" w:rsidP="002736BA">
      <w:pPr>
        <w:widowControl w:val="0"/>
        <w:autoSpaceDE w:val="0"/>
        <w:autoSpaceDN w:val="0"/>
        <w:adjustRightInd w:val="0"/>
        <w:ind w:left="640" w:hanging="640"/>
        <w:rPr>
          <w:noProof/>
        </w:rPr>
      </w:pPr>
      <w:r w:rsidRPr="002736BA">
        <w:rPr>
          <w:noProof/>
        </w:rPr>
        <w:t>84.</w:t>
      </w:r>
      <w:r w:rsidRPr="002736BA">
        <w:rPr>
          <w:noProof/>
        </w:rPr>
        <w:tab/>
        <w:t>Maschan A. et al. Rituximab and reduced-intensity chemotherapy in children and adolescents with mature B-cell lymphoma: interim results for 231 patients enrolled in the second Russian-Belorussian multicentre study B-NHL-2010M // Br. J. Haematol. Blackwell Publishing Ltd, 2019. Vol. 186, № 3. P. 477–483.</w:t>
      </w:r>
    </w:p>
    <w:p w14:paraId="75988F2D" w14:textId="77777777" w:rsidR="002736BA" w:rsidRPr="002736BA" w:rsidRDefault="002736BA" w:rsidP="002736BA">
      <w:pPr>
        <w:widowControl w:val="0"/>
        <w:autoSpaceDE w:val="0"/>
        <w:autoSpaceDN w:val="0"/>
        <w:adjustRightInd w:val="0"/>
        <w:ind w:left="640" w:hanging="640"/>
        <w:rPr>
          <w:noProof/>
        </w:rPr>
      </w:pPr>
      <w:r w:rsidRPr="002736BA">
        <w:rPr>
          <w:noProof/>
        </w:rPr>
        <w:t>85.</w:t>
      </w:r>
      <w:r w:rsidRPr="002736BA">
        <w:rPr>
          <w:noProof/>
        </w:rPr>
        <w:tab/>
        <w:t>Kane E. et al. Emergency admission and survival from aggressive non-Hodgkin lymphoma: A report from the UK’s population-based Haematological Malignancy Research Network // Eur. J. Cancer. Elsevier Ltd, 2017. Vol. 78. P. 53–60.</w:t>
      </w:r>
    </w:p>
    <w:p w14:paraId="78B9A40F" w14:textId="77777777" w:rsidR="002736BA" w:rsidRPr="002736BA" w:rsidRDefault="002736BA" w:rsidP="002736BA">
      <w:pPr>
        <w:widowControl w:val="0"/>
        <w:autoSpaceDE w:val="0"/>
        <w:autoSpaceDN w:val="0"/>
        <w:adjustRightInd w:val="0"/>
        <w:ind w:left="640" w:hanging="640"/>
        <w:rPr>
          <w:noProof/>
        </w:rPr>
      </w:pPr>
      <w:r w:rsidRPr="002736BA">
        <w:rPr>
          <w:noProof/>
        </w:rPr>
        <w:t>86.</w:t>
      </w:r>
      <w:r w:rsidRPr="002736BA">
        <w:rPr>
          <w:noProof/>
        </w:rPr>
        <w:tab/>
        <w:t>Senbanjo I.O. Tumor lysis and acute renal failure in Burkitt′s lymphoma: A review on pathophysiology and management // Indian Journal of Nephrology. 2009. Vol. 19, № 3. P. 83–86.</w:t>
      </w:r>
    </w:p>
    <w:p w14:paraId="04D7D741" w14:textId="77777777" w:rsidR="002736BA" w:rsidRPr="002736BA" w:rsidRDefault="002736BA" w:rsidP="002736BA">
      <w:pPr>
        <w:widowControl w:val="0"/>
        <w:autoSpaceDE w:val="0"/>
        <w:autoSpaceDN w:val="0"/>
        <w:adjustRightInd w:val="0"/>
        <w:ind w:left="640" w:hanging="640"/>
        <w:rPr>
          <w:noProof/>
        </w:rPr>
      </w:pPr>
      <w:r w:rsidRPr="002736BA">
        <w:rPr>
          <w:noProof/>
        </w:rPr>
        <w:t>87.</w:t>
      </w:r>
      <w:r w:rsidRPr="002736BA">
        <w:rPr>
          <w:noProof/>
        </w:rPr>
        <w:tab/>
        <w:t>Oosten L.E.M. et al. Treatment of sporadic Burkitt lymphoma in adults, a retrospective comparison of four treatment regimens. // Ann. Hematol. 2018. Vol. 97, № 2. P. 255–266.</w:t>
      </w:r>
    </w:p>
    <w:p w14:paraId="67697934" w14:textId="77777777" w:rsidR="002736BA" w:rsidRPr="002736BA" w:rsidRDefault="002736BA" w:rsidP="002736BA">
      <w:pPr>
        <w:widowControl w:val="0"/>
        <w:autoSpaceDE w:val="0"/>
        <w:autoSpaceDN w:val="0"/>
        <w:adjustRightInd w:val="0"/>
        <w:ind w:left="640" w:hanging="640"/>
        <w:rPr>
          <w:noProof/>
        </w:rPr>
      </w:pPr>
      <w:r w:rsidRPr="002736BA">
        <w:rPr>
          <w:noProof/>
        </w:rPr>
        <w:t>88.</w:t>
      </w:r>
      <w:r w:rsidRPr="002736BA">
        <w:rPr>
          <w:noProof/>
        </w:rPr>
        <w:tab/>
        <w:t>Dunleavy K. Approach to the Diagnosis and Treatment of Adult Burkitt’s Lymphoma // J. Oncol. Pract. American Society of Clinical Oncology (ASCO), 2018. Vol. 14, № 11. P. 665–671.</w:t>
      </w:r>
    </w:p>
    <w:p w14:paraId="545BC09E" w14:textId="77777777" w:rsidR="002736BA" w:rsidRPr="002736BA" w:rsidRDefault="002736BA" w:rsidP="002736BA">
      <w:pPr>
        <w:widowControl w:val="0"/>
        <w:autoSpaceDE w:val="0"/>
        <w:autoSpaceDN w:val="0"/>
        <w:adjustRightInd w:val="0"/>
        <w:ind w:left="640" w:hanging="640"/>
        <w:rPr>
          <w:noProof/>
        </w:rPr>
      </w:pPr>
      <w:r w:rsidRPr="002736BA">
        <w:rPr>
          <w:noProof/>
        </w:rPr>
        <w:t>89.</w:t>
      </w:r>
      <w:r w:rsidRPr="002736BA">
        <w:rPr>
          <w:noProof/>
        </w:rPr>
        <w:tab/>
        <w:t>Барях Е.А., Мякова Н.В., Поддубная И.В. Профилактика и лечение синдрома лизиса опухоли // Российские клинические рекомендации по диагностике и лечению злокачественных лимфопролиферативных заболеваний; под ред. И.В. Поддубной, В.Г. Савченко. 2018. P. 251–253.</w:t>
      </w:r>
    </w:p>
    <w:p w14:paraId="5EF9497C" w14:textId="77777777" w:rsidR="002736BA" w:rsidRPr="002736BA" w:rsidRDefault="002736BA" w:rsidP="002736BA">
      <w:pPr>
        <w:widowControl w:val="0"/>
        <w:autoSpaceDE w:val="0"/>
        <w:autoSpaceDN w:val="0"/>
        <w:adjustRightInd w:val="0"/>
        <w:ind w:left="640" w:hanging="640"/>
        <w:rPr>
          <w:noProof/>
        </w:rPr>
      </w:pPr>
      <w:r w:rsidRPr="002736BA">
        <w:rPr>
          <w:noProof/>
        </w:rPr>
        <w:t>90.</w:t>
      </w:r>
      <w:r w:rsidRPr="002736BA">
        <w:rPr>
          <w:noProof/>
        </w:rPr>
        <w:tab/>
        <w:t xml:space="preserve">Барях Е.А. et al. Лейкоз/лимфома Беркитта: клинические особенности, </w:t>
      </w:r>
      <w:r w:rsidRPr="002736BA">
        <w:rPr>
          <w:noProof/>
        </w:rPr>
        <w:lastRenderedPageBreak/>
        <w:t>диагностические критерии, терапевтическая тактика // Клиническая онкогематология. Фундаментальные исследования и клиническая практика. 2010. Vol. 3, № 2. P. 138–143.</w:t>
      </w:r>
    </w:p>
    <w:p w14:paraId="1C84FCF4" w14:textId="77777777" w:rsidR="002736BA" w:rsidRPr="002736BA" w:rsidRDefault="002736BA" w:rsidP="002736BA">
      <w:pPr>
        <w:widowControl w:val="0"/>
        <w:autoSpaceDE w:val="0"/>
        <w:autoSpaceDN w:val="0"/>
        <w:adjustRightInd w:val="0"/>
        <w:ind w:left="640" w:hanging="640"/>
        <w:rPr>
          <w:noProof/>
        </w:rPr>
      </w:pPr>
      <w:r w:rsidRPr="002736BA">
        <w:rPr>
          <w:noProof/>
        </w:rPr>
        <w:t>91.</w:t>
      </w:r>
      <w:r w:rsidRPr="002736BA">
        <w:rPr>
          <w:noProof/>
        </w:rPr>
        <w:tab/>
        <w:t>Дудина Г.А., Пивник А.В. Неходжкинские лимфомы у больных ВИЧ-инфекцией // Российские клинические рекомендации по диагностике и лечению злокачественных лимфопролиферативных заболеваний; под ред. И.В. Поддубной, В.Г. Савченко. 2018. P. 126–137.</w:t>
      </w:r>
    </w:p>
    <w:p w14:paraId="34E8ED7D" w14:textId="77777777" w:rsidR="002736BA" w:rsidRPr="002736BA" w:rsidRDefault="002736BA" w:rsidP="002736BA">
      <w:pPr>
        <w:widowControl w:val="0"/>
        <w:autoSpaceDE w:val="0"/>
        <w:autoSpaceDN w:val="0"/>
        <w:adjustRightInd w:val="0"/>
        <w:ind w:left="640" w:hanging="640"/>
        <w:rPr>
          <w:noProof/>
        </w:rPr>
      </w:pPr>
      <w:r w:rsidRPr="002736BA">
        <w:rPr>
          <w:noProof/>
        </w:rPr>
        <w:t>92.</w:t>
      </w:r>
      <w:r w:rsidRPr="002736BA">
        <w:rPr>
          <w:noProof/>
        </w:rPr>
        <w:tab/>
        <w:t>Sweetenham J.W. et al. Adult Burkitt’s and Burkitt-like non-Hodgkin’s lymphoma - Outcome for patients treated with high-dose therapy and autologous stem-cell transplantation in first remission or at relapse: Results from the European group for blood and marrow transplantation // J. Clin. Oncol. American Society of Clinical Oncology, 1996. Vol. 14, № 9. P. 2465–2472.</w:t>
      </w:r>
    </w:p>
    <w:p w14:paraId="66EBADDF" w14:textId="77777777" w:rsidR="002736BA" w:rsidRPr="002736BA" w:rsidRDefault="002736BA" w:rsidP="002736BA">
      <w:pPr>
        <w:widowControl w:val="0"/>
        <w:autoSpaceDE w:val="0"/>
        <w:autoSpaceDN w:val="0"/>
        <w:adjustRightInd w:val="0"/>
        <w:ind w:left="640" w:hanging="640"/>
        <w:rPr>
          <w:noProof/>
        </w:rPr>
      </w:pPr>
      <w:r w:rsidRPr="002736BA">
        <w:rPr>
          <w:noProof/>
        </w:rPr>
        <w:t>93.</w:t>
      </w:r>
      <w:r w:rsidRPr="002736BA">
        <w:rPr>
          <w:noProof/>
        </w:rPr>
        <w:tab/>
        <w:t>Doocey R.T. et al. Allogeneic haematopoietic stem-cell transplantation for relapsed and refractory aggressive histology non-Hodgkin lymphoma. // Br. J. Haematol. 2005. Vol. 131, № 2. P. 223–230.</w:t>
      </w:r>
    </w:p>
    <w:p w14:paraId="7A7A3F91" w14:textId="77777777" w:rsidR="002736BA" w:rsidRPr="002736BA" w:rsidRDefault="002736BA" w:rsidP="002736BA">
      <w:pPr>
        <w:widowControl w:val="0"/>
        <w:autoSpaceDE w:val="0"/>
        <w:autoSpaceDN w:val="0"/>
        <w:adjustRightInd w:val="0"/>
        <w:ind w:left="640" w:hanging="640"/>
        <w:rPr>
          <w:noProof/>
        </w:rPr>
      </w:pPr>
      <w:r w:rsidRPr="002736BA">
        <w:rPr>
          <w:noProof/>
        </w:rPr>
        <w:t>94.</w:t>
      </w:r>
      <w:r w:rsidRPr="002736BA">
        <w:rPr>
          <w:noProof/>
        </w:rPr>
        <w:tab/>
        <w:t>Guidelines for the management of non-­-Hodgkin’s and Hodgkin’s lymphoma in adults. 2015.</w:t>
      </w:r>
    </w:p>
    <w:p w14:paraId="3EE58BAC" w14:textId="77777777" w:rsidR="002736BA" w:rsidRPr="002736BA" w:rsidRDefault="002736BA" w:rsidP="002736BA">
      <w:pPr>
        <w:widowControl w:val="0"/>
        <w:autoSpaceDE w:val="0"/>
        <w:autoSpaceDN w:val="0"/>
        <w:adjustRightInd w:val="0"/>
        <w:ind w:left="640" w:hanging="640"/>
        <w:rPr>
          <w:noProof/>
        </w:rPr>
      </w:pPr>
      <w:r w:rsidRPr="002736BA">
        <w:rPr>
          <w:noProof/>
        </w:rPr>
        <w:t>95.</w:t>
      </w:r>
      <w:r w:rsidRPr="002736BA">
        <w:rPr>
          <w:noProof/>
        </w:rPr>
        <w:tab/>
        <w:t>Velasquez W.S. et al. ESHAP - An effective chemotherapy regimen in refractory and relapsing lymphoma: A 4-year follow-up study // J. Clin. Oncol. American Society of Clinical Oncology, 1994. Vol. 12, № 6. P. 1169–1176.</w:t>
      </w:r>
    </w:p>
    <w:p w14:paraId="072C11D7" w14:textId="77777777" w:rsidR="002736BA" w:rsidRPr="002736BA" w:rsidRDefault="002736BA" w:rsidP="002736BA">
      <w:pPr>
        <w:widowControl w:val="0"/>
        <w:autoSpaceDE w:val="0"/>
        <w:autoSpaceDN w:val="0"/>
        <w:adjustRightInd w:val="0"/>
        <w:ind w:left="640" w:hanging="640"/>
        <w:rPr>
          <w:noProof/>
        </w:rPr>
      </w:pPr>
      <w:r w:rsidRPr="002736BA">
        <w:rPr>
          <w:noProof/>
        </w:rPr>
        <w:t>96.</w:t>
      </w:r>
      <w:r w:rsidRPr="002736BA">
        <w:rPr>
          <w:noProof/>
        </w:rPr>
        <w:tab/>
        <w:t>Zelenetz A.D. et al. Ifosfamide, carboplatin, etoposide (ICE)-based second-line chemotherapy for the management of relapsed and refractory aggressive non-Hodgkin’s lymphoma // Ann. Oncol. 2003. Vol. 14, № SUPPL. 1.</w:t>
      </w:r>
    </w:p>
    <w:p w14:paraId="40B51C1A" w14:textId="77777777" w:rsidR="002736BA" w:rsidRPr="002736BA" w:rsidRDefault="002736BA" w:rsidP="002736BA">
      <w:pPr>
        <w:widowControl w:val="0"/>
        <w:autoSpaceDE w:val="0"/>
        <w:autoSpaceDN w:val="0"/>
        <w:adjustRightInd w:val="0"/>
        <w:ind w:left="640" w:hanging="640"/>
        <w:rPr>
          <w:noProof/>
        </w:rPr>
      </w:pPr>
      <w:r w:rsidRPr="002736BA">
        <w:rPr>
          <w:noProof/>
        </w:rPr>
        <w:t>97.</w:t>
      </w:r>
      <w:r w:rsidRPr="002736BA">
        <w:rPr>
          <w:noProof/>
        </w:rPr>
        <w:tab/>
        <w:t>Crump M. et al. Gemcitabine, dexamethasone, and cisplatin in patients with recurrent or refractory aggressive histology B-cell non-Hodgkin lymphoma: A phase II study by the National Cancer Institute of Canada Clinical Trials Group (NCIC-CTG) // Cancer. 2004. Vol. 101, № 8. P. 1835–1842.</w:t>
      </w:r>
    </w:p>
    <w:p w14:paraId="7F03F7B8" w14:textId="77777777" w:rsidR="002736BA" w:rsidRPr="002736BA" w:rsidRDefault="002736BA" w:rsidP="002736BA">
      <w:pPr>
        <w:widowControl w:val="0"/>
        <w:autoSpaceDE w:val="0"/>
        <w:autoSpaceDN w:val="0"/>
        <w:adjustRightInd w:val="0"/>
        <w:ind w:left="640" w:hanging="640"/>
        <w:rPr>
          <w:noProof/>
        </w:rPr>
      </w:pPr>
      <w:r w:rsidRPr="002736BA">
        <w:rPr>
          <w:noProof/>
        </w:rPr>
        <w:t>98.</w:t>
      </w:r>
      <w:r w:rsidRPr="002736BA">
        <w:rPr>
          <w:noProof/>
        </w:rPr>
        <w:tab/>
        <w:t>Corazzelli G. et al. Long-term results of gemcitabine plus oxaliplatin with and without rituximab as salvage treatment for transplant-ineligible patients with refractory/relapsing B-cell lymphoma. // Cancer Chemother. Pharmacol. 2009. Vol. 64, № 5. P. 907–916.</w:t>
      </w:r>
    </w:p>
    <w:p w14:paraId="56434BB9" w14:textId="77777777" w:rsidR="002736BA" w:rsidRPr="002736BA" w:rsidRDefault="002736BA" w:rsidP="002736BA">
      <w:pPr>
        <w:widowControl w:val="0"/>
        <w:autoSpaceDE w:val="0"/>
        <w:autoSpaceDN w:val="0"/>
        <w:adjustRightInd w:val="0"/>
        <w:ind w:left="640" w:hanging="640"/>
        <w:rPr>
          <w:noProof/>
        </w:rPr>
      </w:pPr>
      <w:r w:rsidRPr="002736BA">
        <w:rPr>
          <w:noProof/>
        </w:rPr>
        <w:t>99.</w:t>
      </w:r>
      <w:r w:rsidRPr="002736BA">
        <w:rPr>
          <w:noProof/>
        </w:rPr>
        <w:tab/>
        <w:t>Chau I. et al. An oxaliplatin-based chemotherapy in patients with relapsed or refractory intermediate and high-grade non-Hodgkin’s lymphoma // Br. J. Haematol. 2001. Vol. 115, № 4. P. 786–792.</w:t>
      </w:r>
    </w:p>
    <w:p w14:paraId="6EBCD80A" w14:textId="77777777" w:rsidR="002736BA" w:rsidRPr="002736BA" w:rsidRDefault="002736BA" w:rsidP="002736BA">
      <w:pPr>
        <w:widowControl w:val="0"/>
        <w:autoSpaceDE w:val="0"/>
        <w:autoSpaceDN w:val="0"/>
        <w:adjustRightInd w:val="0"/>
        <w:ind w:left="640" w:hanging="640"/>
        <w:rPr>
          <w:noProof/>
        </w:rPr>
      </w:pPr>
      <w:r w:rsidRPr="002736BA">
        <w:rPr>
          <w:noProof/>
        </w:rPr>
        <w:t>100.</w:t>
      </w:r>
      <w:r w:rsidRPr="002736BA">
        <w:rPr>
          <w:noProof/>
        </w:rPr>
        <w:tab/>
        <w:t xml:space="preserve">Amorim S. et al. Consolidation therapy with mitoxantrone, ifosfamide and etoposide with or without rituximab before stem cell transplantation in relapsed diffuse large B-cell </w:t>
      </w:r>
      <w:r w:rsidRPr="002736BA">
        <w:rPr>
          <w:noProof/>
        </w:rPr>
        <w:lastRenderedPageBreak/>
        <w:t>lymphoma patients failing second-line treatment // Leukemia and Lymphoma. Taylor and Francis Ltd, 2016. Vol. 57, № 10. P. 2425–2428.</w:t>
      </w:r>
    </w:p>
    <w:p w14:paraId="5DB8DDAF" w14:textId="77777777" w:rsidR="002736BA" w:rsidRPr="002736BA" w:rsidRDefault="002736BA" w:rsidP="002736BA">
      <w:pPr>
        <w:widowControl w:val="0"/>
        <w:autoSpaceDE w:val="0"/>
        <w:autoSpaceDN w:val="0"/>
        <w:adjustRightInd w:val="0"/>
        <w:ind w:left="640" w:hanging="640"/>
        <w:rPr>
          <w:noProof/>
        </w:rPr>
      </w:pPr>
      <w:r w:rsidRPr="002736BA">
        <w:rPr>
          <w:noProof/>
        </w:rPr>
        <w:t>101.</w:t>
      </w:r>
      <w:r w:rsidRPr="002736BA">
        <w:rPr>
          <w:noProof/>
        </w:rPr>
        <w:tab/>
        <w:t>Philip T. et al. Autologous bone marrow transplantation as compared with salvage chemotherapy in relapses of chemotherapy-sensitive non-hodgkin’s lymphoma // N. Engl. J. Med. 1995. Vol. 333, № 23. P. 1540–1545.</w:t>
      </w:r>
    </w:p>
    <w:p w14:paraId="181D6BB4" w14:textId="77777777" w:rsidR="002736BA" w:rsidRPr="002736BA" w:rsidRDefault="002736BA" w:rsidP="002736BA">
      <w:pPr>
        <w:widowControl w:val="0"/>
        <w:autoSpaceDE w:val="0"/>
        <w:autoSpaceDN w:val="0"/>
        <w:adjustRightInd w:val="0"/>
        <w:ind w:left="640" w:hanging="640"/>
        <w:rPr>
          <w:noProof/>
        </w:rPr>
      </w:pPr>
      <w:r w:rsidRPr="002736BA">
        <w:rPr>
          <w:noProof/>
        </w:rPr>
        <w:t>102.</w:t>
      </w:r>
      <w:r w:rsidRPr="002736BA">
        <w:rPr>
          <w:noProof/>
        </w:rPr>
        <w:tab/>
        <w:t>Mounier N. et al. Rituximab plus gemcitabine and oxaliplatin in patients with refractory/relapsed diffuse large B-cell lymphoma who are not candidates for high-dose therapy. A phase II lymphoma study Association trial // Haematologica. 2013. Vol. 98, № 11. P. 1726–1731.</w:t>
      </w:r>
    </w:p>
    <w:p w14:paraId="3BB985CC" w14:textId="77777777" w:rsidR="002736BA" w:rsidRPr="002736BA" w:rsidRDefault="002736BA" w:rsidP="002736BA">
      <w:pPr>
        <w:widowControl w:val="0"/>
        <w:autoSpaceDE w:val="0"/>
        <w:autoSpaceDN w:val="0"/>
        <w:adjustRightInd w:val="0"/>
        <w:ind w:left="640" w:hanging="640"/>
        <w:rPr>
          <w:noProof/>
        </w:rPr>
      </w:pPr>
      <w:r w:rsidRPr="002736BA">
        <w:rPr>
          <w:noProof/>
        </w:rPr>
        <w:t>103.</w:t>
      </w:r>
      <w:r w:rsidRPr="002736BA">
        <w:rPr>
          <w:noProof/>
        </w:rPr>
        <w:tab/>
        <w:t>Vacirca J.L. et al. Bendamustine combined with rituximab for patients with relapsed or refractory diffuse large B cell lymphoma // Ann. Hematol. 2014. Vol. 93, № 3. P. 403–409.</w:t>
      </w:r>
    </w:p>
    <w:p w14:paraId="574EBFCB" w14:textId="77777777" w:rsidR="002736BA" w:rsidRPr="002736BA" w:rsidRDefault="002736BA" w:rsidP="002736BA">
      <w:pPr>
        <w:widowControl w:val="0"/>
        <w:autoSpaceDE w:val="0"/>
        <w:autoSpaceDN w:val="0"/>
        <w:adjustRightInd w:val="0"/>
        <w:ind w:left="640" w:hanging="640"/>
        <w:rPr>
          <w:noProof/>
        </w:rPr>
      </w:pPr>
      <w:r w:rsidRPr="002736BA">
        <w:rPr>
          <w:noProof/>
        </w:rPr>
        <w:t>104.</w:t>
      </w:r>
      <w:r w:rsidRPr="002736BA">
        <w:rPr>
          <w:noProof/>
        </w:rPr>
        <w:tab/>
        <w:t>Ohmachi K. et al. Multicenter phase II study of bendamustine plus rituximab in patients with relapsed or refractory diffuse large B-cell lymphoma // Journal of Clinical Oncology. American Society of Clinical Oncology, 2013. Vol. 31, № 17. P. 2103–2109.</w:t>
      </w:r>
    </w:p>
    <w:p w14:paraId="0320C30A" w14:textId="77777777" w:rsidR="002736BA" w:rsidRPr="002736BA" w:rsidRDefault="002736BA" w:rsidP="002736BA">
      <w:pPr>
        <w:widowControl w:val="0"/>
        <w:autoSpaceDE w:val="0"/>
        <w:autoSpaceDN w:val="0"/>
        <w:adjustRightInd w:val="0"/>
        <w:ind w:left="640" w:hanging="640"/>
        <w:rPr>
          <w:noProof/>
        </w:rPr>
      </w:pPr>
      <w:r w:rsidRPr="002736BA">
        <w:rPr>
          <w:noProof/>
        </w:rPr>
        <w:t>105.</w:t>
      </w:r>
      <w:r w:rsidRPr="002736BA">
        <w:rPr>
          <w:noProof/>
        </w:rPr>
        <w:tab/>
        <w:t>Chao N.J., Rosenberg S.A., Horning S.J. CEPP(B): An effective and well-tolerated regimen in poor-risk, aggressive non-Hodgkin’s lymphoma // Blood. 1990. Vol. 76, № 7. P. 1293–1298.</w:t>
      </w:r>
    </w:p>
    <w:p w14:paraId="1AE70684" w14:textId="77777777" w:rsidR="002736BA" w:rsidRPr="002736BA" w:rsidRDefault="002736BA" w:rsidP="002736BA">
      <w:pPr>
        <w:widowControl w:val="0"/>
        <w:autoSpaceDE w:val="0"/>
        <w:autoSpaceDN w:val="0"/>
        <w:adjustRightInd w:val="0"/>
        <w:ind w:left="640" w:hanging="640"/>
        <w:rPr>
          <w:noProof/>
        </w:rPr>
      </w:pPr>
      <w:r w:rsidRPr="002736BA">
        <w:rPr>
          <w:noProof/>
        </w:rPr>
        <w:t>106.</w:t>
      </w:r>
      <w:r w:rsidRPr="002736BA">
        <w:rPr>
          <w:noProof/>
        </w:rPr>
        <w:tab/>
        <w:t>Gopal A.K. et al. Efficacy and safety of gemcitabine, carboplatin, dexamethasone, and rituximab in patients with relapsed/refractory lymphoma: A prospective multi-center phase II study by the Puget Sound Oncology Consortium // Leuk. Lymphoma. 2010. Vol. 51, № 8. P. 1523–1529.</w:t>
      </w:r>
    </w:p>
    <w:p w14:paraId="2BF1AC0E" w14:textId="77777777" w:rsidR="002736BA" w:rsidRPr="002736BA" w:rsidRDefault="002736BA" w:rsidP="002736BA">
      <w:pPr>
        <w:widowControl w:val="0"/>
        <w:autoSpaceDE w:val="0"/>
        <w:autoSpaceDN w:val="0"/>
        <w:adjustRightInd w:val="0"/>
        <w:ind w:left="640" w:hanging="640"/>
        <w:rPr>
          <w:noProof/>
        </w:rPr>
      </w:pPr>
      <w:r w:rsidRPr="002736BA">
        <w:rPr>
          <w:noProof/>
        </w:rPr>
        <w:t>107.</w:t>
      </w:r>
      <w:r w:rsidRPr="002736BA">
        <w:rPr>
          <w:noProof/>
        </w:rPr>
        <w:tab/>
        <w:t>Papageorgiou E.S. et al. Combination chemotherapy with gemcitabine and vinorelbine in the treatment of relapsed or refractory diffuse large B-cell lymphoma: A phase-II trial by the Hellenic Cooperative Oncology Group // Eur. J. Haematol. 2005. Vol. 75, № 2. P. 124–129.</w:t>
      </w:r>
    </w:p>
    <w:p w14:paraId="7162651B" w14:textId="77777777" w:rsidR="002736BA" w:rsidRPr="002736BA" w:rsidRDefault="002736BA" w:rsidP="002736BA">
      <w:pPr>
        <w:widowControl w:val="0"/>
        <w:autoSpaceDE w:val="0"/>
        <w:autoSpaceDN w:val="0"/>
        <w:adjustRightInd w:val="0"/>
        <w:ind w:left="640" w:hanging="640"/>
        <w:rPr>
          <w:noProof/>
        </w:rPr>
      </w:pPr>
      <w:r w:rsidRPr="002736BA">
        <w:rPr>
          <w:noProof/>
        </w:rPr>
        <w:t>108.</w:t>
      </w:r>
      <w:r w:rsidRPr="002736BA">
        <w:rPr>
          <w:noProof/>
        </w:rPr>
        <w:tab/>
        <w:t>McLaughlin P. et al. Chemotherapy with dexamethasone, high-dose cytarabine, and cisplatin for parenchymal brain lymphoma. // J. Natl. Cancer Inst. 1988. Vol. 80, № 17. P. 1408–1412.</w:t>
      </w:r>
    </w:p>
    <w:p w14:paraId="66CDBCB6" w14:textId="77777777" w:rsidR="002736BA" w:rsidRPr="002736BA" w:rsidRDefault="002736BA" w:rsidP="002736BA">
      <w:pPr>
        <w:widowControl w:val="0"/>
        <w:autoSpaceDE w:val="0"/>
        <w:autoSpaceDN w:val="0"/>
        <w:adjustRightInd w:val="0"/>
        <w:ind w:left="640" w:hanging="640"/>
        <w:rPr>
          <w:noProof/>
        </w:rPr>
      </w:pPr>
      <w:r w:rsidRPr="002736BA">
        <w:rPr>
          <w:noProof/>
        </w:rPr>
        <w:t>109.</w:t>
      </w:r>
      <w:r w:rsidRPr="002736BA">
        <w:rPr>
          <w:noProof/>
        </w:rPr>
        <w:tab/>
        <w:t>Welch M.R. et al. Autologous stem cell transplant in recurrent or refractory primary or secondary central nervous system lymphoma using thiotepa, busulfan and cyclophosphamide // Leuk. Lymphoma. Informa Healthcare, 2015. Vol. 56, № 2. P. 361–367.</w:t>
      </w:r>
    </w:p>
    <w:p w14:paraId="7DCD6E5A" w14:textId="77777777" w:rsidR="002736BA" w:rsidRPr="002736BA" w:rsidRDefault="002736BA" w:rsidP="002736BA">
      <w:pPr>
        <w:widowControl w:val="0"/>
        <w:autoSpaceDE w:val="0"/>
        <w:autoSpaceDN w:val="0"/>
        <w:adjustRightInd w:val="0"/>
        <w:ind w:left="640" w:hanging="640"/>
        <w:rPr>
          <w:noProof/>
        </w:rPr>
      </w:pPr>
      <w:r w:rsidRPr="002736BA">
        <w:rPr>
          <w:noProof/>
        </w:rPr>
        <w:t>110.</w:t>
      </w:r>
      <w:r w:rsidRPr="002736BA">
        <w:rPr>
          <w:noProof/>
        </w:rPr>
        <w:tab/>
        <w:t>Nguyen P.L. et al. Results of whole-brain radiation as salvage of methotrexate failure for immunocompetent patients with primary CNS lymphoma // J. Clin. Oncol. 2005. Vol. 23, № 7. P. 1507–1513.</w:t>
      </w:r>
    </w:p>
    <w:p w14:paraId="4D0F6389" w14:textId="77777777" w:rsidR="002736BA" w:rsidRPr="002736BA" w:rsidRDefault="002736BA" w:rsidP="002736BA">
      <w:pPr>
        <w:widowControl w:val="0"/>
        <w:autoSpaceDE w:val="0"/>
        <w:autoSpaceDN w:val="0"/>
        <w:adjustRightInd w:val="0"/>
        <w:ind w:left="640" w:hanging="640"/>
        <w:rPr>
          <w:noProof/>
        </w:rPr>
      </w:pPr>
      <w:r w:rsidRPr="002736BA">
        <w:rPr>
          <w:noProof/>
        </w:rPr>
        <w:lastRenderedPageBreak/>
        <w:t>111.</w:t>
      </w:r>
      <w:r w:rsidRPr="002736BA">
        <w:rPr>
          <w:noProof/>
        </w:rPr>
        <w:tab/>
        <w:t>Cheson B.D. et al. Revised response criteria for malignant lymphoma // Journal of Clinical Oncology. 2007. Vol. 25, № 5. P. 579–586.</w:t>
      </w:r>
    </w:p>
    <w:p w14:paraId="626A6DE3" w14:textId="77777777" w:rsidR="002736BA" w:rsidRPr="002736BA" w:rsidRDefault="002736BA" w:rsidP="002736BA">
      <w:pPr>
        <w:widowControl w:val="0"/>
        <w:autoSpaceDE w:val="0"/>
        <w:autoSpaceDN w:val="0"/>
        <w:adjustRightInd w:val="0"/>
        <w:ind w:left="640" w:hanging="640"/>
        <w:rPr>
          <w:noProof/>
        </w:rPr>
      </w:pPr>
      <w:r w:rsidRPr="002736BA">
        <w:rPr>
          <w:noProof/>
        </w:rPr>
        <w:t>112.</w:t>
      </w:r>
      <w:r w:rsidRPr="002736BA">
        <w:rPr>
          <w:noProof/>
        </w:rPr>
        <w:tab/>
        <w:t>Aapro M. et al. Клинические рекомендации по лечению анемии у больных злокачественными новообразованиями. М.: Ассоциация онкологов России, 2014.</w:t>
      </w:r>
    </w:p>
    <w:p w14:paraId="2806859E" w14:textId="77777777" w:rsidR="002736BA" w:rsidRPr="002736BA" w:rsidRDefault="002736BA" w:rsidP="002736BA">
      <w:pPr>
        <w:widowControl w:val="0"/>
        <w:autoSpaceDE w:val="0"/>
        <w:autoSpaceDN w:val="0"/>
        <w:adjustRightInd w:val="0"/>
        <w:ind w:left="640" w:hanging="640"/>
        <w:rPr>
          <w:noProof/>
        </w:rPr>
      </w:pPr>
      <w:r w:rsidRPr="002736BA">
        <w:rPr>
          <w:noProof/>
        </w:rPr>
        <w:t>113.</w:t>
      </w:r>
      <w:r w:rsidRPr="002736BA">
        <w:rPr>
          <w:noProof/>
        </w:rPr>
        <w:tab/>
        <w:t>Орлова Р.В. et al. Практические рекомендации по лечению анемии при злокачественных новообразованиях // 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 2018. P. 494–501.</w:t>
      </w:r>
    </w:p>
    <w:p w14:paraId="1D40C44F" w14:textId="77777777" w:rsidR="002736BA" w:rsidRPr="002736BA" w:rsidRDefault="002736BA" w:rsidP="002736BA">
      <w:pPr>
        <w:widowControl w:val="0"/>
        <w:autoSpaceDE w:val="0"/>
        <w:autoSpaceDN w:val="0"/>
        <w:adjustRightInd w:val="0"/>
        <w:ind w:left="640" w:hanging="640"/>
        <w:rPr>
          <w:noProof/>
        </w:rPr>
      </w:pPr>
      <w:r w:rsidRPr="002736BA">
        <w:rPr>
          <w:noProof/>
        </w:rPr>
        <w:t>114.</w:t>
      </w:r>
      <w:r w:rsidRPr="002736BA">
        <w:rPr>
          <w:noProof/>
        </w:rPr>
        <w:tab/>
        <w:t>Владимирова Л.Ю. et al. Практические рекомендации по профилактике и лечению тошноты и рвоты у онкологических больных // 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 2018. P. 502–511.</w:t>
      </w:r>
    </w:p>
    <w:p w14:paraId="58B7D03B" w14:textId="77777777" w:rsidR="002736BA" w:rsidRPr="002736BA" w:rsidRDefault="002736BA" w:rsidP="002736BA">
      <w:pPr>
        <w:widowControl w:val="0"/>
        <w:autoSpaceDE w:val="0"/>
        <w:autoSpaceDN w:val="0"/>
        <w:adjustRightInd w:val="0"/>
        <w:ind w:left="640" w:hanging="640"/>
        <w:rPr>
          <w:noProof/>
        </w:rPr>
      </w:pPr>
      <w:r w:rsidRPr="002736BA">
        <w:rPr>
          <w:noProof/>
        </w:rPr>
        <w:t>115.</w:t>
      </w:r>
      <w:r w:rsidRPr="002736BA">
        <w:rPr>
          <w:noProof/>
        </w:rPr>
        <w:tab/>
        <w:t>Константинова Т.С., Клясова Г.А., Капланов К.Д. Лечение и профилактика инфекционных осложнений у пациентов с лимфопролиферативными заболеваниями. // Российские клинические рекомендации по диагностике и лечению злокачественных лимфопролиферативных заболеваний; под ред. И.В. Поддубной, В.Г. Савченко. 2018. P. 289–311.</w:t>
      </w:r>
    </w:p>
    <w:p w14:paraId="1EBC56DB" w14:textId="77777777" w:rsidR="002736BA" w:rsidRPr="002736BA" w:rsidRDefault="002736BA" w:rsidP="002736BA">
      <w:pPr>
        <w:widowControl w:val="0"/>
        <w:autoSpaceDE w:val="0"/>
        <w:autoSpaceDN w:val="0"/>
        <w:adjustRightInd w:val="0"/>
        <w:ind w:left="640" w:hanging="640"/>
        <w:rPr>
          <w:noProof/>
        </w:rPr>
      </w:pPr>
      <w:r w:rsidRPr="002736BA">
        <w:rPr>
          <w:noProof/>
        </w:rPr>
        <w:t>116.</w:t>
      </w:r>
      <w:r w:rsidRPr="002736BA">
        <w:rPr>
          <w:noProof/>
        </w:rPr>
        <w:tab/>
        <w:t>Meirow D., Nugent D. The effects of radiotherapy and chemotherapy on female reproduction // Hum. Reprod. Update. 2001. Vol. 7, № 6. P. 535–543.</w:t>
      </w:r>
    </w:p>
    <w:p w14:paraId="3A5CC6DB" w14:textId="77777777" w:rsidR="002736BA" w:rsidRPr="002736BA" w:rsidRDefault="002736BA" w:rsidP="002736BA">
      <w:pPr>
        <w:widowControl w:val="0"/>
        <w:autoSpaceDE w:val="0"/>
        <w:autoSpaceDN w:val="0"/>
        <w:adjustRightInd w:val="0"/>
        <w:ind w:left="640" w:hanging="640"/>
        <w:rPr>
          <w:noProof/>
        </w:rPr>
      </w:pPr>
      <w:r w:rsidRPr="002736BA">
        <w:rPr>
          <w:noProof/>
        </w:rPr>
        <w:t>117.</w:t>
      </w:r>
      <w:r w:rsidRPr="002736BA">
        <w:rPr>
          <w:noProof/>
        </w:rPr>
        <w:tab/>
        <w:t>Абузарова Г.Р. et al. Обезболивание взрослых и детей при оказании медицинской помощи. Методические рекомендации. ФГБОУ ВО РНИМУ им. Н.И. Пирогова Минздрава России., 2016. 94 p.</w:t>
      </w:r>
    </w:p>
    <w:p w14:paraId="14459B59" w14:textId="77777777" w:rsidR="002736BA" w:rsidRPr="002736BA" w:rsidRDefault="002736BA" w:rsidP="002736BA">
      <w:pPr>
        <w:widowControl w:val="0"/>
        <w:autoSpaceDE w:val="0"/>
        <w:autoSpaceDN w:val="0"/>
        <w:adjustRightInd w:val="0"/>
        <w:ind w:left="640" w:hanging="640"/>
        <w:rPr>
          <w:noProof/>
        </w:rPr>
      </w:pPr>
      <w:r w:rsidRPr="002736BA">
        <w:rPr>
          <w:noProof/>
        </w:rPr>
        <w:t>118.</w:t>
      </w:r>
      <w:r w:rsidRPr="002736BA">
        <w:rPr>
          <w:noProof/>
        </w:rPr>
        <w:tab/>
        <w:t>Абузарова Г.Р. Лечение болевого синдрома у онкологических больных // Российские клинические рекомендации по диагностике и лечению злокачественных лимфопролиферативных заболеваний; под ред. И.В. Поддубной, В.Г. Савченко. 2018. P. 278–288.</w:t>
      </w:r>
    </w:p>
    <w:p w14:paraId="4D656C5D" w14:textId="77777777" w:rsidR="002736BA" w:rsidRPr="002736BA" w:rsidRDefault="002736BA" w:rsidP="002736BA">
      <w:pPr>
        <w:widowControl w:val="0"/>
        <w:autoSpaceDE w:val="0"/>
        <w:autoSpaceDN w:val="0"/>
        <w:adjustRightInd w:val="0"/>
        <w:ind w:left="640" w:hanging="640"/>
        <w:rPr>
          <w:noProof/>
        </w:rPr>
      </w:pPr>
      <w:r w:rsidRPr="002736BA">
        <w:rPr>
          <w:noProof/>
        </w:rPr>
        <w:t>119.</w:t>
      </w:r>
      <w:r w:rsidRPr="002736BA">
        <w:rPr>
          <w:noProof/>
        </w:rPr>
        <w:tab/>
        <w:t>Paul K.L. Rehabilitation and exercise considerations in hematologic malignancies. // Am. J. Phys. Med. Rehabil. 2011. Vol. 90, № 5 Suppl 1. P. S88-94.</w:t>
      </w:r>
    </w:p>
    <w:p w14:paraId="46FB0D1E" w14:textId="77777777" w:rsidR="002736BA" w:rsidRPr="002736BA" w:rsidRDefault="002736BA" w:rsidP="002736BA">
      <w:pPr>
        <w:widowControl w:val="0"/>
        <w:autoSpaceDE w:val="0"/>
        <w:autoSpaceDN w:val="0"/>
        <w:adjustRightInd w:val="0"/>
        <w:ind w:left="640" w:hanging="640"/>
        <w:rPr>
          <w:noProof/>
        </w:rPr>
      </w:pPr>
      <w:r w:rsidRPr="002736BA">
        <w:rPr>
          <w:noProof/>
        </w:rPr>
        <w:t>120.</w:t>
      </w:r>
      <w:r w:rsidRPr="002736BA">
        <w:rPr>
          <w:noProof/>
        </w:rPr>
        <w:tab/>
        <w:t>Rozental A. et al. The role of maintenance therapy in patients with diffuse large B cell lymphoma: A systematic review and meta-analysis // Hematol. Oncol. John Wiley and Sons Ltd, 2019. Vol. 37, № 1. P. 27–34.</w:t>
      </w:r>
    </w:p>
    <w:p w14:paraId="28330FDE" w14:textId="77777777" w:rsidR="002736BA" w:rsidRPr="002736BA" w:rsidRDefault="002736BA" w:rsidP="002736BA">
      <w:pPr>
        <w:widowControl w:val="0"/>
        <w:autoSpaceDE w:val="0"/>
        <w:autoSpaceDN w:val="0"/>
        <w:adjustRightInd w:val="0"/>
        <w:ind w:left="640" w:hanging="640"/>
        <w:rPr>
          <w:noProof/>
        </w:rPr>
      </w:pPr>
      <w:r w:rsidRPr="002736BA">
        <w:rPr>
          <w:noProof/>
        </w:rPr>
        <w:t>121.</w:t>
      </w:r>
      <w:r w:rsidRPr="002736BA">
        <w:rPr>
          <w:noProof/>
        </w:rPr>
        <w:tab/>
        <w:t>Румянцев А.Г., Самочатова Е.В. Практическое руководство по детским болезням. Гематология/онкология детского возраста. Медпрактика-М, Москва, 2004.</w:t>
      </w:r>
    </w:p>
    <w:p w14:paraId="49F47491" w14:textId="77777777" w:rsidR="002736BA" w:rsidRPr="002736BA" w:rsidRDefault="002736BA" w:rsidP="002736BA">
      <w:pPr>
        <w:widowControl w:val="0"/>
        <w:autoSpaceDE w:val="0"/>
        <w:autoSpaceDN w:val="0"/>
        <w:adjustRightInd w:val="0"/>
        <w:ind w:left="640" w:hanging="640"/>
        <w:rPr>
          <w:noProof/>
        </w:rPr>
      </w:pPr>
      <w:r w:rsidRPr="002736BA">
        <w:rPr>
          <w:noProof/>
        </w:rPr>
        <w:t>122.</w:t>
      </w:r>
      <w:r w:rsidRPr="002736BA">
        <w:rPr>
          <w:noProof/>
        </w:rPr>
        <w:tab/>
        <w:t xml:space="preserve">Cheson B.D. et al. Recommendations for initial evaluation, staging, and response assessment of hodgkin and non-hodgkin lymphoma: The lugano classification // Journal of </w:t>
      </w:r>
      <w:r w:rsidRPr="002736BA">
        <w:rPr>
          <w:noProof/>
        </w:rPr>
        <w:lastRenderedPageBreak/>
        <w:t>Clinical Oncology. American Society of Clinical Oncology, 2014. Vol. 32, № 27. P. 3059–3067.</w:t>
      </w:r>
    </w:p>
    <w:p w14:paraId="4228AC01" w14:textId="77777777" w:rsidR="002736BA" w:rsidRPr="002736BA" w:rsidRDefault="002736BA" w:rsidP="002736BA">
      <w:pPr>
        <w:widowControl w:val="0"/>
        <w:autoSpaceDE w:val="0"/>
        <w:autoSpaceDN w:val="0"/>
        <w:adjustRightInd w:val="0"/>
        <w:ind w:left="640" w:hanging="640"/>
        <w:rPr>
          <w:noProof/>
        </w:rPr>
      </w:pPr>
      <w:r w:rsidRPr="002736BA">
        <w:rPr>
          <w:noProof/>
        </w:rPr>
        <w:t>123.</w:t>
      </w:r>
      <w:r w:rsidRPr="002736BA">
        <w:rPr>
          <w:noProof/>
        </w:rPr>
        <w:tab/>
        <w:t>A Predictive Model for Aggressive Non-Hodgkin’s Lymphoma // N. Engl. J. Med. 1993. Vol. 329, № 14. P. 987–994.</w:t>
      </w:r>
    </w:p>
    <w:p w14:paraId="2D5B6739" w14:textId="77777777" w:rsidR="002736BA" w:rsidRPr="002736BA" w:rsidRDefault="002736BA" w:rsidP="002736BA">
      <w:pPr>
        <w:widowControl w:val="0"/>
        <w:autoSpaceDE w:val="0"/>
        <w:autoSpaceDN w:val="0"/>
        <w:adjustRightInd w:val="0"/>
        <w:ind w:left="640" w:hanging="640"/>
        <w:rPr>
          <w:noProof/>
        </w:rPr>
      </w:pPr>
      <w:r w:rsidRPr="002736BA">
        <w:rPr>
          <w:noProof/>
        </w:rPr>
        <w:t>124.</w:t>
      </w:r>
      <w:r w:rsidRPr="002736BA">
        <w:rPr>
          <w:noProof/>
        </w:rPr>
        <w:tab/>
        <w:t>Abdelhamid T. et al. Clinical prognostic factors of diffuse large B cell non-Hodgkin lymphoma: A retrospective study // J. Egypt. Natl. Canc. Inst. 2011. Vol. 23, № 1. P. 17–24.</w:t>
      </w:r>
    </w:p>
    <w:p w14:paraId="2693CCC7" w14:textId="77777777" w:rsidR="002736BA" w:rsidRPr="002736BA" w:rsidRDefault="002736BA" w:rsidP="002736BA">
      <w:pPr>
        <w:widowControl w:val="0"/>
        <w:autoSpaceDE w:val="0"/>
        <w:autoSpaceDN w:val="0"/>
        <w:adjustRightInd w:val="0"/>
        <w:ind w:left="640" w:hanging="640"/>
        <w:rPr>
          <w:noProof/>
        </w:rPr>
      </w:pPr>
      <w:r w:rsidRPr="002736BA">
        <w:rPr>
          <w:noProof/>
        </w:rPr>
        <w:t>125.</w:t>
      </w:r>
      <w:r w:rsidRPr="002736BA">
        <w:rPr>
          <w:noProof/>
        </w:rPr>
        <w:tab/>
        <w:t>Abrey L.E. et al. Report of an international workshop to standardize baseline evaluation and response criteria for primary CNS lymphoma // Journal of Clinical Oncology. 2005. Vol. 23, № 22. P. 5034–5043.</w:t>
      </w:r>
    </w:p>
    <w:p w14:paraId="0F23A452" w14:textId="77777777" w:rsidR="002736BA" w:rsidRPr="002736BA" w:rsidRDefault="002736BA" w:rsidP="002736BA">
      <w:pPr>
        <w:widowControl w:val="0"/>
        <w:autoSpaceDE w:val="0"/>
        <w:autoSpaceDN w:val="0"/>
        <w:adjustRightInd w:val="0"/>
        <w:ind w:left="640" w:hanging="640"/>
        <w:rPr>
          <w:noProof/>
        </w:rPr>
      </w:pPr>
      <w:r w:rsidRPr="002736BA">
        <w:rPr>
          <w:noProof/>
        </w:rPr>
        <w:t>126.</w:t>
      </w:r>
      <w:r w:rsidRPr="002736BA">
        <w:rPr>
          <w:noProof/>
        </w:rPr>
        <w:tab/>
        <w:t>Howard S.C., Jones D.P., Pui C.-H. The Tumor Lysis Syndrome // N. Engl. J. Med. Massachusetts Medical Society, 2011. Vol. 364, № 19. P. 1844–1854.</w:t>
      </w:r>
    </w:p>
    <w:p w14:paraId="65638FD7" w14:textId="77777777" w:rsidR="002736BA" w:rsidRPr="002736BA" w:rsidRDefault="002736BA" w:rsidP="002736BA">
      <w:pPr>
        <w:widowControl w:val="0"/>
        <w:autoSpaceDE w:val="0"/>
        <w:autoSpaceDN w:val="0"/>
        <w:adjustRightInd w:val="0"/>
        <w:ind w:left="640" w:hanging="640"/>
        <w:rPr>
          <w:noProof/>
        </w:rPr>
      </w:pPr>
      <w:r w:rsidRPr="002736BA">
        <w:rPr>
          <w:noProof/>
        </w:rPr>
        <w:t>127.</w:t>
      </w:r>
      <w:r w:rsidRPr="002736BA">
        <w:rPr>
          <w:noProof/>
        </w:rPr>
        <w:tab/>
        <w:t>Wilson F.P., Berns J.S. Tumor Lysis Syndrome: New Challenges and Recent Advances // Advances in Chronic Kidney Disease. Adv Chronic Kidney Dis, 2014. Vol. 21, № 1. P. 18–26.</w:t>
      </w:r>
    </w:p>
    <w:p w14:paraId="379211D5" w14:textId="77777777" w:rsidR="002736BA" w:rsidRPr="002736BA" w:rsidRDefault="002736BA" w:rsidP="002736BA">
      <w:pPr>
        <w:widowControl w:val="0"/>
        <w:autoSpaceDE w:val="0"/>
        <w:autoSpaceDN w:val="0"/>
        <w:adjustRightInd w:val="0"/>
        <w:ind w:left="640" w:hanging="640"/>
        <w:rPr>
          <w:noProof/>
        </w:rPr>
      </w:pPr>
      <w:r w:rsidRPr="002736BA">
        <w:rPr>
          <w:noProof/>
        </w:rPr>
        <w:t>128.</w:t>
      </w:r>
      <w:r w:rsidRPr="002736BA">
        <w:rPr>
          <w:noProof/>
        </w:rPr>
        <w:tab/>
        <w:t>Cairo M.S. et al. Recommendations for the evaluation of risk and prophylaxis of tumour lysis syndrome (TLS) in adults and children with malignant diseases: An expert TLS panel consensus // Br. J. Haematol. Br J Haematol, 2010. Vol. 149, № 4. P. 578–586.</w:t>
      </w:r>
    </w:p>
    <w:p w14:paraId="79C2F357" w14:textId="77777777" w:rsidR="002736BA" w:rsidRPr="002736BA" w:rsidRDefault="002736BA" w:rsidP="002736BA">
      <w:pPr>
        <w:widowControl w:val="0"/>
        <w:autoSpaceDE w:val="0"/>
        <w:autoSpaceDN w:val="0"/>
        <w:adjustRightInd w:val="0"/>
        <w:ind w:left="640" w:hanging="640"/>
        <w:rPr>
          <w:noProof/>
        </w:rPr>
      </w:pPr>
      <w:r w:rsidRPr="002736BA">
        <w:rPr>
          <w:noProof/>
        </w:rPr>
        <w:t>129.</w:t>
      </w:r>
      <w:r w:rsidRPr="002736BA">
        <w:rPr>
          <w:noProof/>
        </w:rPr>
        <w:tab/>
        <w:t>Pession A. et al. Risk evaluation, prophylaxis, and treatment of tumor lysis syndrome: Consensus of an italian expert panel // Adv. Ther. Adv Ther, 2011. Vol. 28, № 8. P. 684–697.</w:t>
      </w:r>
    </w:p>
    <w:p w14:paraId="46FE3E13" w14:textId="77777777" w:rsidR="002736BA" w:rsidRPr="002736BA" w:rsidRDefault="002736BA" w:rsidP="002736BA">
      <w:pPr>
        <w:widowControl w:val="0"/>
        <w:autoSpaceDE w:val="0"/>
        <w:autoSpaceDN w:val="0"/>
        <w:adjustRightInd w:val="0"/>
        <w:ind w:left="640" w:hanging="640"/>
        <w:rPr>
          <w:noProof/>
        </w:rPr>
      </w:pPr>
      <w:r w:rsidRPr="002736BA">
        <w:rPr>
          <w:noProof/>
        </w:rPr>
        <w:t>130.</w:t>
      </w:r>
      <w:r w:rsidRPr="002736BA">
        <w:rPr>
          <w:noProof/>
        </w:rPr>
        <w:tab/>
        <w:t>Sarno J. Prevention and management of tumor lysis syndrome in adults with malignancy. // J. Adv. Pract. Oncol. Harborside Press, 2013. Vol. 4, № 2. P. 101–106.</w:t>
      </w:r>
    </w:p>
    <w:p w14:paraId="22A04748" w14:textId="77777777" w:rsidR="002736BA" w:rsidRPr="002736BA" w:rsidRDefault="002736BA" w:rsidP="002736BA">
      <w:pPr>
        <w:widowControl w:val="0"/>
        <w:autoSpaceDE w:val="0"/>
        <w:autoSpaceDN w:val="0"/>
        <w:adjustRightInd w:val="0"/>
        <w:ind w:left="640" w:hanging="640"/>
        <w:rPr>
          <w:noProof/>
        </w:rPr>
      </w:pPr>
      <w:r w:rsidRPr="002736BA">
        <w:rPr>
          <w:noProof/>
        </w:rPr>
        <w:t>131.</w:t>
      </w:r>
      <w:r w:rsidRPr="002736BA">
        <w:rPr>
          <w:noProof/>
        </w:rPr>
        <w:tab/>
        <w:t>Annibali O. et al. Incidence of venous thromboembolism and use of anticoagulation in hematological malignancies: Critical review of the literature // Critical Reviews in Oncology/Hematology. Elsevier Ireland Ltd, 2018. Vol. 124. P. 41–50.</w:t>
      </w:r>
    </w:p>
    <w:p w14:paraId="79DB499A" w14:textId="77777777" w:rsidR="002736BA" w:rsidRPr="002736BA" w:rsidRDefault="002736BA" w:rsidP="002736BA">
      <w:pPr>
        <w:widowControl w:val="0"/>
        <w:autoSpaceDE w:val="0"/>
        <w:autoSpaceDN w:val="0"/>
        <w:adjustRightInd w:val="0"/>
        <w:ind w:left="640" w:hanging="640"/>
        <w:rPr>
          <w:noProof/>
        </w:rPr>
      </w:pPr>
      <w:r w:rsidRPr="002736BA">
        <w:rPr>
          <w:noProof/>
        </w:rPr>
        <w:t>132.</w:t>
      </w:r>
      <w:r w:rsidRPr="002736BA">
        <w:rPr>
          <w:noProof/>
        </w:rPr>
        <w:tab/>
        <w:t>Falanga A., Marchetti M., Russo L. Venous thromboembolism in the hematologic malignancies // Current Opinion in Oncology. Curr Opin Oncol, 2012. Vol. 24, № 6. P. 702–710.</w:t>
      </w:r>
    </w:p>
    <w:p w14:paraId="6CA39ED7" w14:textId="77777777" w:rsidR="002736BA" w:rsidRPr="002736BA" w:rsidRDefault="002736BA" w:rsidP="002736BA">
      <w:pPr>
        <w:widowControl w:val="0"/>
        <w:autoSpaceDE w:val="0"/>
        <w:autoSpaceDN w:val="0"/>
        <w:adjustRightInd w:val="0"/>
        <w:ind w:left="640" w:hanging="640"/>
        <w:rPr>
          <w:noProof/>
        </w:rPr>
      </w:pPr>
      <w:r w:rsidRPr="002736BA">
        <w:rPr>
          <w:noProof/>
        </w:rPr>
        <w:t>133.</w:t>
      </w:r>
      <w:r w:rsidRPr="002736BA">
        <w:rPr>
          <w:noProof/>
        </w:rPr>
        <w:tab/>
        <w:t>Воробьев А.И. et al. Гиперкоагуляционный синдром: классификация, патогенез, диагностика, терапия // Гематология и трансфузиология. 2016. Vol. 61, № 3. P. 116–122.</w:t>
      </w:r>
    </w:p>
    <w:p w14:paraId="5C118EB9" w14:textId="77777777" w:rsidR="002736BA" w:rsidRPr="002736BA" w:rsidRDefault="002736BA" w:rsidP="002736BA">
      <w:pPr>
        <w:widowControl w:val="0"/>
        <w:autoSpaceDE w:val="0"/>
        <w:autoSpaceDN w:val="0"/>
        <w:adjustRightInd w:val="0"/>
        <w:ind w:left="640" w:hanging="640"/>
        <w:rPr>
          <w:noProof/>
        </w:rPr>
      </w:pPr>
      <w:r w:rsidRPr="002736BA">
        <w:rPr>
          <w:noProof/>
        </w:rPr>
        <w:t>134.</w:t>
      </w:r>
      <w:r w:rsidRPr="002736BA">
        <w:rPr>
          <w:noProof/>
        </w:rPr>
        <w:tab/>
        <w:t>Пантелеев М.А. et al. Практическая коагулология. 2010. 192 p.</w:t>
      </w:r>
    </w:p>
    <w:p w14:paraId="289D2959" w14:textId="77777777" w:rsidR="002736BA" w:rsidRPr="002736BA" w:rsidRDefault="002736BA" w:rsidP="002736BA">
      <w:pPr>
        <w:widowControl w:val="0"/>
        <w:autoSpaceDE w:val="0"/>
        <w:autoSpaceDN w:val="0"/>
        <w:adjustRightInd w:val="0"/>
        <w:ind w:left="640" w:hanging="640"/>
        <w:rPr>
          <w:noProof/>
        </w:rPr>
      </w:pPr>
      <w:r w:rsidRPr="002736BA">
        <w:rPr>
          <w:noProof/>
        </w:rPr>
        <w:t>135.</w:t>
      </w:r>
      <w:r w:rsidRPr="002736BA">
        <w:rPr>
          <w:noProof/>
        </w:rPr>
        <w:tab/>
        <w:t>Greenberg C.S. The role of D-dimer testing in clinical hematology and oncology // Clin. Adv. Hematol. Oncol. 2017. Vol. 15, № 8. P. 580–583.</w:t>
      </w:r>
    </w:p>
    <w:p w14:paraId="30480284" w14:textId="77777777" w:rsidR="002736BA" w:rsidRPr="002736BA" w:rsidRDefault="002736BA" w:rsidP="002736BA">
      <w:pPr>
        <w:widowControl w:val="0"/>
        <w:autoSpaceDE w:val="0"/>
        <w:autoSpaceDN w:val="0"/>
        <w:adjustRightInd w:val="0"/>
        <w:ind w:left="640" w:hanging="640"/>
        <w:rPr>
          <w:noProof/>
        </w:rPr>
      </w:pPr>
      <w:r w:rsidRPr="002736BA">
        <w:rPr>
          <w:noProof/>
        </w:rPr>
        <w:lastRenderedPageBreak/>
        <w:t>136.</w:t>
      </w:r>
      <w:r w:rsidRPr="002736BA">
        <w:rPr>
          <w:noProof/>
        </w:rPr>
        <w:tab/>
        <w:t>Weitz I.C. et al. Chemotherapy-induced activation of hemostasis: effect of a low molecular weight heparin (dalteparin sodium) on plasma markers of hemostatic activation // Thromb. Haemost. 2002. Vol. 88, № 2. P. 213–220.</w:t>
      </w:r>
    </w:p>
    <w:p w14:paraId="55954ADB" w14:textId="77777777" w:rsidR="002736BA" w:rsidRPr="002736BA" w:rsidRDefault="002736BA" w:rsidP="002736BA">
      <w:pPr>
        <w:widowControl w:val="0"/>
        <w:autoSpaceDE w:val="0"/>
        <w:autoSpaceDN w:val="0"/>
        <w:adjustRightInd w:val="0"/>
        <w:ind w:left="640" w:hanging="640"/>
        <w:rPr>
          <w:noProof/>
        </w:rPr>
      </w:pPr>
      <w:r w:rsidRPr="002736BA">
        <w:rPr>
          <w:noProof/>
        </w:rPr>
        <w:t>137.</w:t>
      </w:r>
      <w:r w:rsidRPr="002736BA">
        <w:rPr>
          <w:noProof/>
        </w:rPr>
        <w:tab/>
        <w:t>Sharifi M. et al. New oral anticoagulants in the treatment of heparin- Induced thrombocytopenia // Thromb. Res. Elsevier Ltd, 2015. Vol. 135, № 4. P. 607–609.</w:t>
      </w:r>
    </w:p>
    <w:p w14:paraId="5B65A9A5" w14:textId="77777777" w:rsidR="002736BA" w:rsidRPr="002736BA" w:rsidRDefault="002736BA" w:rsidP="002736BA">
      <w:pPr>
        <w:widowControl w:val="0"/>
        <w:autoSpaceDE w:val="0"/>
        <w:autoSpaceDN w:val="0"/>
        <w:adjustRightInd w:val="0"/>
        <w:ind w:left="640" w:hanging="640"/>
        <w:rPr>
          <w:noProof/>
        </w:rPr>
      </w:pPr>
      <w:r w:rsidRPr="002736BA">
        <w:rPr>
          <w:noProof/>
        </w:rPr>
        <w:t>138.</w:t>
      </w:r>
      <w:r w:rsidRPr="002736BA">
        <w:rPr>
          <w:noProof/>
        </w:rPr>
        <w:tab/>
        <w:t>Sanfilippo K.M. et al. Incidence of venous thromboembolism in patients with non-Hodgkin lymphoma // Thromb. Res. Elsevier Ltd, 2016. Vol. 143. P. 86–90.</w:t>
      </w:r>
    </w:p>
    <w:p w14:paraId="662A02F8" w14:textId="77777777" w:rsidR="002736BA" w:rsidRPr="002736BA" w:rsidRDefault="002736BA" w:rsidP="002736BA">
      <w:pPr>
        <w:widowControl w:val="0"/>
        <w:autoSpaceDE w:val="0"/>
        <w:autoSpaceDN w:val="0"/>
        <w:adjustRightInd w:val="0"/>
        <w:ind w:left="640" w:hanging="640"/>
        <w:rPr>
          <w:noProof/>
        </w:rPr>
      </w:pPr>
      <w:r w:rsidRPr="002736BA">
        <w:rPr>
          <w:noProof/>
        </w:rPr>
        <w:t>139.</w:t>
      </w:r>
      <w:r w:rsidRPr="002736BA">
        <w:rPr>
          <w:noProof/>
        </w:rPr>
        <w:tab/>
        <w:t>Park L.C. et al. Incidence, risk factors and clinical features of venous thromboembolism in newly diagnosed lymphoma patients: Results from a prospective cohort study with Asian population // Thromb. Res. Elsevier Ltd, 2012. Vol. 130, № 3. P. e6.</w:t>
      </w:r>
    </w:p>
    <w:p w14:paraId="74C0D0BD" w14:textId="77777777" w:rsidR="002736BA" w:rsidRPr="002736BA" w:rsidRDefault="002736BA" w:rsidP="002736BA">
      <w:pPr>
        <w:widowControl w:val="0"/>
        <w:autoSpaceDE w:val="0"/>
        <w:autoSpaceDN w:val="0"/>
        <w:adjustRightInd w:val="0"/>
        <w:ind w:left="640" w:hanging="640"/>
        <w:rPr>
          <w:noProof/>
        </w:rPr>
      </w:pPr>
      <w:r w:rsidRPr="002736BA">
        <w:rPr>
          <w:noProof/>
        </w:rPr>
        <w:t>140.</w:t>
      </w:r>
      <w:r w:rsidRPr="002736BA">
        <w:rPr>
          <w:noProof/>
        </w:rPr>
        <w:tab/>
        <w:t>Hayward C.P.M. How I investigate for bleeding disorders // International Journal of Laboratory Hematology. Blackwell Publishing Ltd, 2018. Vol. 40. P. 6–14.</w:t>
      </w:r>
    </w:p>
    <w:p w14:paraId="2414CB0A" w14:textId="77777777" w:rsidR="002736BA" w:rsidRPr="002736BA" w:rsidRDefault="002736BA" w:rsidP="002736BA">
      <w:pPr>
        <w:widowControl w:val="0"/>
        <w:autoSpaceDE w:val="0"/>
        <w:autoSpaceDN w:val="0"/>
        <w:adjustRightInd w:val="0"/>
        <w:ind w:left="640" w:hanging="640"/>
        <w:rPr>
          <w:noProof/>
        </w:rPr>
      </w:pPr>
      <w:r w:rsidRPr="002736BA">
        <w:rPr>
          <w:noProof/>
        </w:rPr>
        <w:t>141.</w:t>
      </w:r>
      <w:r w:rsidRPr="002736BA">
        <w:rPr>
          <w:noProof/>
        </w:rPr>
        <w:tab/>
        <w:t>Falanga A., Rickles F.R. Management of Thrombohemorrhagic Syndromes (THS) in hematologic malignancies. // Hematology Am. Soc. Hematol. Educ. Program. Hematology Am Soc Hematol Educ Program, 2007. P. 165–171.</w:t>
      </w:r>
    </w:p>
    <w:p w14:paraId="4CBDF328" w14:textId="77777777" w:rsidR="002736BA" w:rsidRPr="002736BA" w:rsidRDefault="002736BA" w:rsidP="002736BA">
      <w:pPr>
        <w:widowControl w:val="0"/>
        <w:autoSpaceDE w:val="0"/>
        <w:autoSpaceDN w:val="0"/>
        <w:adjustRightInd w:val="0"/>
        <w:ind w:left="640" w:hanging="640"/>
        <w:rPr>
          <w:noProof/>
        </w:rPr>
      </w:pPr>
      <w:r w:rsidRPr="002736BA">
        <w:rPr>
          <w:noProof/>
        </w:rPr>
        <w:t>142.</w:t>
      </w:r>
      <w:r w:rsidRPr="002736BA">
        <w:rPr>
          <w:noProof/>
        </w:rPr>
        <w:tab/>
        <w:t>Чернуха Г.Е. Аномальные маточные кровотечения репродуктивного периода // Гинекология: национальное руководство. Краткое издание. Под ред. Г.М. Савельевой. Г.Т. Сухих, В.Н. Серова, В.Е. Радзинского, И.Б. Манухина. М.: ГЭОТАР-Медиа, 2020. P. 170–175.</w:t>
      </w:r>
    </w:p>
    <w:p w14:paraId="2E262C09" w14:textId="77777777" w:rsidR="002736BA" w:rsidRPr="002736BA" w:rsidRDefault="002736BA" w:rsidP="002736BA">
      <w:pPr>
        <w:widowControl w:val="0"/>
        <w:autoSpaceDE w:val="0"/>
        <w:autoSpaceDN w:val="0"/>
        <w:adjustRightInd w:val="0"/>
        <w:ind w:left="640" w:hanging="640"/>
        <w:rPr>
          <w:noProof/>
        </w:rPr>
      </w:pPr>
      <w:r w:rsidRPr="002736BA">
        <w:rPr>
          <w:noProof/>
        </w:rPr>
        <w:t>143.</w:t>
      </w:r>
      <w:r w:rsidRPr="002736BA">
        <w:rPr>
          <w:noProof/>
        </w:rPr>
        <w:tab/>
        <w:t>Доброхотова Ю.Э. et al. Аномальные маточные кровотечения: алгоритмы ведения, методы терапии // РМЖ. Мать и дитя. 2020. Vol. 3, № 1. P. 55–60.</w:t>
      </w:r>
    </w:p>
    <w:p w14:paraId="09741B55" w14:textId="77777777" w:rsidR="002736BA" w:rsidRPr="002736BA" w:rsidRDefault="002736BA" w:rsidP="002736BA">
      <w:pPr>
        <w:widowControl w:val="0"/>
        <w:autoSpaceDE w:val="0"/>
        <w:autoSpaceDN w:val="0"/>
        <w:adjustRightInd w:val="0"/>
        <w:ind w:left="640" w:hanging="640"/>
        <w:rPr>
          <w:noProof/>
        </w:rPr>
      </w:pPr>
      <w:r w:rsidRPr="002736BA">
        <w:rPr>
          <w:noProof/>
        </w:rPr>
        <w:t>144.</w:t>
      </w:r>
      <w:r w:rsidRPr="002736BA">
        <w:rPr>
          <w:noProof/>
        </w:rPr>
        <w:tab/>
        <w:t>Титова В.Б., Беляева Н.М. Вирусный гепатит В у иммуносупрессивных пациентов с онкологическими заболеваниями: патогенез, ведение и профилактика // Инфекционные болезни. 2014. Vol. 12, № 3. P. 51–60.</w:t>
      </w:r>
    </w:p>
    <w:p w14:paraId="464938FC" w14:textId="77777777" w:rsidR="002736BA" w:rsidRPr="002736BA" w:rsidRDefault="002736BA" w:rsidP="002736BA">
      <w:pPr>
        <w:widowControl w:val="0"/>
        <w:autoSpaceDE w:val="0"/>
        <w:autoSpaceDN w:val="0"/>
        <w:adjustRightInd w:val="0"/>
        <w:ind w:left="640" w:hanging="640"/>
        <w:rPr>
          <w:noProof/>
        </w:rPr>
      </w:pPr>
      <w:r w:rsidRPr="002736BA">
        <w:rPr>
          <w:noProof/>
        </w:rPr>
        <w:t>145.</w:t>
      </w:r>
      <w:r w:rsidRPr="002736BA">
        <w:rPr>
          <w:noProof/>
        </w:rPr>
        <w:tab/>
        <w:t>Papatheodoridis G. et al. EASL clinical practice guidelines: Management of chronic hepatitis B virus infection // Journal of Hepatology. Elsevier B.V., 2012. Vol. 57, № 1. P. 167–185.</w:t>
      </w:r>
    </w:p>
    <w:p w14:paraId="021C02BA" w14:textId="77777777" w:rsidR="002736BA" w:rsidRPr="002736BA" w:rsidRDefault="002736BA" w:rsidP="002736BA">
      <w:pPr>
        <w:widowControl w:val="0"/>
        <w:autoSpaceDE w:val="0"/>
        <w:autoSpaceDN w:val="0"/>
        <w:adjustRightInd w:val="0"/>
        <w:ind w:left="640" w:hanging="640"/>
        <w:rPr>
          <w:noProof/>
        </w:rPr>
      </w:pPr>
      <w:r w:rsidRPr="002736BA">
        <w:rPr>
          <w:noProof/>
        </w:rPr>
        <w:t>146.</w:t>
      </w:r>
      <w:r w:rsidRPr="002736BA">
        <w:rPr>
          <w:noProof/>
        </w:rPr>
        <w:tab/>
        <w:t>Coppola N. et al. Reactivation of overt and occult hepatitis B infection in various immunosuppressive settings // J. Med. Virol. J Med Virol, 2011. Vol. 83, № 11. P. 1909–1916.</w:t>
      </w:r>
    </w:p>
    <w:p w14:paraId="07A1519F" w14:textId="77777777" w:rsidR="002736BA" w:rsidRPr="002736BA" w:rsidRDefault="002736BA" w:rsidP="002736BA">
      <w:pPr>
        <w:widowControl w:val="0"/>
        <w:autoSpaceDE w:val="0"/>
        <w:autoSpaceDN w:val="0"/>
        <w:adjustRightInd w:val="0"/>
        <w:ind w:left="640" w:hanging="640"/>
        <w:rPr>
          <w:noProof/>
        </w:rPr>
      </w:pPr>
      <w:r w:rsidRPr="002736BA">
        <w:rPr>
          <w:noProof/>
        </w:rPr>
        <w:t>147.</w:t>
      </w:r>
      <w:r w:rsidRPr="002736BA">
        <w:rPr>
          <w:noProof/>
        </w:rPr>
        <w:tab/>
        <w:t>Sanchez M.J. et al. Successful use of entecavir for a severe case of reactivation of hepatitis B virus following polychemotherapy containing rituximab q // J. Hepatol. Vol. 51. P. 1091–1096.</w:t>
      </w:r>
    </w:p>
    <w:p w14:paraId="52C4EF25" w14:textId="77777777" w:rsidR="002736BA" w:rsidRPr="002736BA" w:rsidRDefault="002736BA" w:rsidP="002736BA">
      <w:pPr>
        <w:widowControl w:val="0"/>
        <w:autoSpaceDE w:val="0"/>
        <w:autoSpaceDN w:val="0"/>
        <w:adjustRightInd w:val="0"/>
        <w:ind w:left="640" w:hanging="640"/>
        <w:rPr>
          <w:noProof/>
        </w:rPr>
      </w:pPr>
      <w:r w:rsidRPr="002736BA">
        <w:rPr>
          <w:noProof/>
        </w:rPr>
        <w:t>148.</w:t>
      </w:r>
      <w:r w:rsidRPr="002736BA">
        <w:rPr>
          <w:noProof/>
        </w:rPr>
        <w:tab/>
        <w:t xml:space="preserve">Liang R. How I treat and monitor viral hepatitis B infection in patients receiving intensive immunosuppressive therapies or undergoing hematopoietic stem cell transplantation // </w:t>
      </w:r>
      <w:r w:rsidRPr="002736BA">
        <w:rPr>
          <w:noProof/>
        </w:rPr>
        <w:lastRenderedPageBreak/>
        <w:t>Blood. American Society of Hematology, 2009. Vol. 113, № 14. P. 3147–3153.</w:t>
      </w:r>
    </w:p>
    <w:p w14:paraId="6817399E" w14:textId="77777777" w:rsidR="002736BA" w:rsidRPr="002736BA" w:rsidRDefault="002736BA" w:rsidP="002736BA">
      <w:pPr>
        <w:widowControl w:val="0"/>
        <w:autoSpaceDE w:val="0"/>
        <w:autoSpaceDN w:val="0"/>
        <w:adjustRightInd w:val="0"/>
        <w:ind w:left="640" w:hanging="640"/>
        <w:rPr>
          <w:noProof/>
        </w:rPr>
      </w:pPr>
      <w:r w:rsidRPr="002736BA">
        <w:rPr>
          <w:noProof/>
        </w:rPr>
        <w:t>149.</w:t>
      </w:r>
      <w:r w:rsidRPr="002736BA">
        <w:rPr>
          <w:noProof/>
        </w:rPr>
        <w:tab/>
        <w:t>Firpi R.J., Nelson D.R. Management of viral hepatitis in hematologic malignancies // Blood Rev. 2008. Vol. 22, № 3. P. 117–126.</w:t>
      </w:r>
    </w:p>
    <w:p w14:paraId="5E0A557D" w14:textId="77777777" w:rsidR="002736BA" w:rsidRPr="002736BA" w:rsidRDefault="002736BA" w:rsidP="002736BA">
      <w:pPr>
        <w:widowControl w:val="0"/>
        <w:autoSpaceDE w:val="0"/>
        <w:autoSpaceDN w:val="0"/>
        <w:adjustRightInd w:val="0"/>
        <w:ind w:left="640" w:hanging="640"/>
        <w:rPr>
          <w:noProof/>
        </w:rPr>
      </w:pPr>
      <w:r w:rsidRPr="002736BA">
        <w:rPr>
          <w:noProof/>
        </w:rPr>
        <w:t>150.</w:t>
      </w:r>
      <w:r w:rsidRPr="002736BA">
        <w:rPr>
          <w:noProof/>
        </w:rPr>
        <w:tab/>
        <w:t>Ennishi D. et al. Monitoring serum hepatitis C virus (HCV) RNA in patients with HCV-infected CD20-positive B-cell lymphoma undergoing rituximab combination chemotherapy // Am. J. Hematol. John Wiley &amp; Sons, Ltd, 2008. Vol. 83, № 1. P. 59–62.</w:t>
      </w:r>
    </w:p>
    <w:p w14:paraId="4D7E7640" w14:textId="77777777" w:rsidR="002736BA" w:rsidRPr="002736BA" w:rsidRDefault="002736BA" w:rsidP="002736BA">
      <w:pPr>
        <w:widowControl w:val="0"/>
        <w:autoSpaceDE w:val="0"/>
        <w:autoSpaceDN w:val="0"/>
        <w:adjustRightInd w:val="0"/>
        <w:ind w:left="640" w:hanging="640"/>
        <w:rPr>
          <w:noProof/>
        </w:rPr>
      </w:pPr>
      <w:r w:rsidRPr="002736BA">
        <w:rPr>
          <w:noProof/>
        </w:rPr>
        <w:t>151.</w:t>
      </w:r>
      <w:r w:rsidRPr="002736BA">
        <w:rPr>
          <w:noProof/>
        </w:rPr>
        <w:tab/>
        <w:t>Roche B., Samuel D. The difficulties of managing severe hepatitis B virus reactivation // Liver Int. Liver Int, 2011. Vol. 31, № SUPPL. 1. P. 104–110.</w:t>
      </w:r>
    </w:p>
    <w:p w14:paraId="078B46ED" w14:textId="77777777" w:rsidR="002736BA" w:rsidRPr="002736BA" w:rsidRDefault="002736BA" w:rsidP="002736BA">
      <w:pPr>
        <w:widowControl w:val="0"/>
        <w:autoSpaceDE w:val="0"/>
        <w:autoSpaceDN w:val="0"/>
        <w:adjustRightInd w:val="0"/>
        <w:ind w:left="640" w:hanging="640"/>
        <w:rPr>
          <w:noProof/>
        </w:rPr>
      </w:pPr>
      <w:r w:rsidRPr="002736BA">
        <w:rPr>
          <w:noProof/>
        </w:rPr>
        <w:t>152.</w:t>
      </w:r>
      <w:r w:rsidRPr="002736BA">
        <w:rPr>
          <w:noProof/>
        </w:rPr>
        <w:tab/>
        <w:t>Baumeister M.A. et al. Hepatitis B virus e antigen specific epitopes and limitations of commercial anti-HBe immunoassays // J. Med. Virol. John Wiley &amp; Sons, Ltd, 2000. Vol. 60, № 3. P. 256–263.</w:t>
      </w:r>
    </w:p>
    <w:p w14:paraId="052CA521" w14:textId="77777777" w:rsidR="002736BA" w:rsidRPr="002736BA" w:rsidRDefault="002736BA" w:rsidP="002736BA">
      <w:pPr>
        <w:widowControl w:val="0"/>
        <w:autoSpaceDE w:val="0"/>
        <w:autoSpaceDN w:val="0"/>
        <w:adjustRightInd w:val="0"/>
        <w:ind w:left="640" w:hanging="640"/>
        <w:rPr>
          <w:noProof/>
        </w:rPr>
      </w:pPr>
      <w:r w:rsidRPr="002736BA">
        <w:rPr>
          <w:noProof/>
        </w:rPr>
        <w:t>153.</w:t>
      </w:r>
      <w:r w:rsidRPr="002736BA">
        <w:rPr>
          <w:noProof/>
        </w:rPr>
        <w:tab/>
        <w:t>Torres H.A., Davila M. Reactivation of hepatitis B virus and hepatitis C virus in patients with cancer // Nature Reviews Clinical Oncology. Nat Rev Clin Oncol, 2012. Vol. 9, № 3. P. 156–166.</w:t>
      </w:r>
    </w:p>
    <w:p w14:paraId="1CC78ADA" w14:textId="77777777" w:rsidR="002736BA" w:rsidRPr="002736BA" w:rsidRDefault="002736BA" w:rsidP="002736BA">
      <w:pPr>
        <w:widowControl w:val="0"/>
        <w:autoSpaceDE w:val="0"/>
        <w:autoSpaceDN w:val="0"/>
        <w:adjustRightInd w:val="0"/>
        <w:ind w:left="640" w:hanging="640"/>
        <w:rPr>
          <w:noProof/>
        </w:rPr>
      </w:pPr>
      <w:r w:rsidRPr="002736BA">
        <w:rPr>
          <w:noProof/>
        </w:rPr>
        <w:t>154.</w:t>
      </w:r>
      <w:r w:rsidRPr="002736BA">
        <w:rPr>
          <w:noProof/>
        </w:rPr>
        <w:tab/>
        <w:t>Rupp D., Bartenschlager R. Targets for antiviral therapy of hepatitis C // Semin. Liver Dis. Thieme Medical Publishers, Inc., 2014. Vol. 34, № 1. P. 9–21.</w:t>
      </w:r>
    </w:p>
    <w:p w14:paraId="2E2698F3" w14:textId="77777777" w:rsidR="002736BA" w:rsidRPr="002736BA" w:rsidRDefault="002736BA" w:rsidP="002736BA">
      <w:pPr>
        <w:widowControl w:val="0"/>
        <w:autoSpaceDE w:val="0"/>
        <w:autoSpaceDN w:val="0"/>
        <w:adjustRightInd w:val="0"/>
        <w:ind w:left="640" w:hanging="640"/>
        <w:rPr>
          <w:noProof/>
        </w:rPr>
      </w:pPr>
      <w:r w:rsidRPr="002736BA">
        <w:rPr>
          <w:noProof/>
        </w:rPr>
        <w:t>155.</w:t>
      </w:r>
      <w:r w:rsidRPr="002736BA">
        <w:rPr>
          <w:noProof/>
        </w:rPr>
        <w:tab/>
        <w:t>Охмат В.А. et al. Спектр и этиология инфекционных осложнений у больных острыми миелоидными лейкозами на этапах индукции и консолидации ремиссии // Гематология и трансфузиология. 2017. Vol. 62, № 1. P. 9–15.</w:t>
      </w:r>
    </w:p>
    <w:p w14:paraId="19C66E42" w14:textId="77777777" w:rsidR="002736BA" w:rsidRPr="002736BA" w:rsidRDefault="002736BA" w:rsidP="002736BA">
      <w:pPr>
        <w:widowControl w:val="0"/>
        <w:autoSpaceDE w:val="0"/>
        <w:autoSpaceDN w:val="0"/>
        <w:adjustRightInd w:val="0"/>
        <w:ind w:left="640" w:hanging="640"/>
        <w:rPr>
          <w:noProof/>
        </w:rPr>
      </w:pPr>
      <w:r w:rsidRPr="002736BA">
        <w:rPr>
          <w:noProof/>
        </w:rPr>
        <w:t>156.</w:t>
      </w:r>
      <w:r w:rsidRPr="002736BA">
        <w:rPr>
          <w:noProof/>
        </w:rPr>
        <w:tab/>
        <w:t>Охмат В.А. et al. Инфекционные осложнения у взрослых больных острыми лимфобластными лейкозами на разных этапах химиотерапии по протоколу ОЛЛ-2009. // Онкогематология. 2017. Vol. 12, № 3. P. 31–40.</w:t>
      </w:r>
    </w:p>
    <w:p w14:paraId="6C80947E" w14:textId="77777777" w:rsidR="002736BA" w:rsidRPr="002736BA" w:rsidRDefault="002736BA" w:rsidP="002736BA">
      <w:pPr>
        <w:widowControl w:val="0"/>
        <w:autoSpaceDE w:val="0"/>
        <w:autoSpaceDN w:val="0"/>
        <w:adjustRightInd w:val="0"/>
        <w:ind w:left="640" w:hanging="640"/>
        <w:rPr>
          <w:noProof/>
        </w:rPr>
      </w:pPr>
      <w:r w:rsidRPr="002736BA">
        <w:rPr>
          <w:noProof/>
        </w:rPr>
        <w:t>157.</w:t>
      </w:r>
      <w:r w:rsidRPr="002736BA">
        <w:rPr>
          <w:noProof/>
        </w:rPr>
        <w:tab/>
        <w:t>Клясова Г.А. et al. Возбудители сепсиса у иммунокомпрометированных больных: структура и проблемы антибиотикорезистентности (результаты многоцентрового исследования) // Гематология и трансфузиология. 2007. Vol. 52, № 1. P. 11–18.</w:t>
      </w:r>
    </w:p>
    <w:p w14:paraId="1BCDA0A9" w14:textId="77777777" w:rsidR="002736BA" w:rsidRPr="002736BA" w:rsidRDefault="002736BA" w:rsidP="002736BA">
      <w:pPr>
        <w:widowControl w:val="0"/>
        <w:autoSpaceDE w:val="0"/>
        <w:autoSpaceDN w:val="0"/>
        <w:adjustRightInd w:val="0"/>
        <w:ind w:left="640" w:hanging="640"/>
        <w:rPr>
          <w:noProof/>
        </w:rPr>
      </w:pPr>
      <w:r w:rsidRPr="002736BA">
        <w:rPr>
          <w:noProof/>
        </w:rPr>
        <w:t>158.</w:t>
      </w:r>
      <w:r w:rsidRPr="002736BA">
        <w:rPr>
          <w:noProof/>
        </w:rPr>
        <w:tab/>
        <w:t>Клясова Г.А., Охмат В.А. Антимикробная терапия // Алгоритмы диагностики и протоколы лечения заболеваний системы крови. Под редакцией Савченко В.Г. Москва: Практика, 2018. P. 1067–1114.</w:t>
      </w:r>
    </w:p>
    <w:p w14:paraId="3A9922AD" w14:textId="77777777" w:rsidR="002736BA" w:rsidRPr="002736BA" w:rsidRDefault="002736BA" w:rsidP="002736BA">
      <w:pPr>
        <w:widowControl w:val="0"/>
        <w:autoSpaceDE w:val="0"/>
        <w:autoSpaceDN w:val="0"/>
        <w:adjustRightInd w:val="0"/>
        <w:ind w:left="640" w:hanging="640"/>
        <w:rPr>
          <w:noProof/>
        </w:rPr>
      </w:pPr>
      <w:r w:rsidRPr="002736BA">
        <w:rPr>
          <w:noProof/>
        </w:rPr>
        <w:t>159.</w:t>
      </w:r>
      <w:r w:rsidRPr="002736BA">
        <w:rPr>
          <w:noProof/>
        </w:rPr>
        <w:tab/>
        <w:t>Maertens J. et al. European guidelines for antifungal management in leukemia and hematopoietic stem cell transplant recipients: Summary of the ECIL 32009 update // Bone Marrow Transplant. Nature Publishing Group, 2011. Vol. 46, № 5. P. 709–718.</w:t>
      </w:r>
    </w:p>
    <w:p w14:paraId="1FD411EE" w14:textId="77777777" w:rsidR="002736BA" w:rsidRPr="002736BA" w:rsidRDefault="002736BA" w:rsidP="002736BA">
      <w:pPr>
        <w:widowControl w:val="0"/>
        <w:autoSpaceDE w:val="0"/>
        <w:autoSpaceDN w:val="0"/>
        <w:adjustRightInd w:val="0"/>
        <w:ind w:left="640" w:hanging="640"/>
        <w:rPr>
          <w:noProof/>
        </w:rPr>
      </w:pPr>
      <w:r w:rsidRPr="002736BA">
        <w:rPr>
          <w:noProof/>
        </w:rPr>
        <w:t>160.</w:t>
      </w:r>
      <w:r w:rsidRPr="002736BA">
        <w:rPr>
          <w:noProof/>
        </w:rPr>
        <w:tab/>
        <w:t>Kollef M.H. et al. Ceftolozane–tazobactam versus meropenem for treatment of nosocomial pneumonia (ASPECT-NP): a randomised, controlled, double-blind, phase 3, non-inferiority trial // Lancet Infect. Dis. Lancet Publishing Group, 2019. Vol. 19, № 12. P. 1299–1311.</w:t>
      </w:r>
    </w:p>
    <w:p w14:paraId="25C08B17" w14:textId="77777777" w:rsidR="002736BA" w:rsidRPr="002736BA" w:rsidRDefault="002736BA" w:rsidP="002736BA">
      <w:pPr>
        <w:widowControl w:val="0"/>
        <w:autoSpaceDE w:val="0"/>
        <w:autoSpaceDN w:val="0"/>
        <w:adjustRightInd w:val="0"/>
        <w:ind w:left="640" w:hanging="640"/>
        <w:rPr>
          <w:noProof/>
        </w:rPr>
      </w:pPr>
      <w:r w:rsidRPr="002736BA">
        <w:rPr>
          <w:noProof/>
        </w:rPr>
        <w:t>161.</w:t>
      </w:r>
      <w:r w:rsidRPr="002736BA">
        <w:rPr>
          <w:noProof/>
        </w:rPr>
        <w:tab/>
        <w:t xml:space="preserve">Averbuch D. et al. Targeted therapy against multi-resistant bacteria in leukemic and </w:t>
      </w:r>
      <w:r w:rsidRPr="002736BA">
        <w:rPr>
          <w:noProof/>
        </w:rPr>
        <w:lastRenderedPageBreak/>
        <w:t>hematopoietic stem cell transplant recipients: Guidelines of the 4th European conference on Infections in Leukemia (ECIL-4, 2011) // Haematologica. Ferrata Storti Foundation, 2013. Vol. 98, № 12. P. 1836–1847.</w:t>
      </w:r>
    </w:p>
    <w:p w14:paraId="66A4AA99" w14:textId="77777777" w:rsidR="002736BA" w:rsidRPr="002736BA" w:rsidRDefault="002736BA" w:rsidP="002736BA">
      <w:pPr>
        <w:widowControl w:val="0"/>
        <w:autoSpaceDE w:val="0"/>
        <w:autoSpaceDN w:val="0"/>
        <w:adjustRightInd w:val="0"/>
        <w:ind w:left="640" w:hanging="640"/>
        <w:rPr>
          <w:noProof/>
        </w:rPr>
      </w:pPr>
      <w:r w:rsidRPr="002736BA">
        <w:rPr>
          <w:noProof/>
        </w:rPr>
        <w:t>162.</w:t>
      </w:r>
      <w:r w:rsidRPr="002736BA">
        <w:rPr>
          <w:noProof/>
        </w:rPr>
        <w:tab/>
        <w:t>Debast S.B. et al. European society of clinical microbiology and infectious diseases: Update of the treatment guidance document for Clostridium difficile infection // Clin. Microbiol. Infect. Blackwell Publishing Ltd, 2014. Vol. 20, № S2. P. 1–26.</w:t>
      </w:r>
    </w:p>
    <w:p w14:paraId="5631A717" w14:textId="77777777" w:rsidR="002736BA" w:rsidRPr="002736BA" w:rsidRDefault="002736BA" w:rsidP="002736BA">
      <w:pPr>
        <w:widowControl w:val="0"/>
        <w:autoSpaceDE w:val="0"/>
        <w:autoSpaceDN w:val="0"/>
        <w:adjustRightInd w:val="0"/>
        <w:ind w:left="640" w:hanging="640"/>
        <w:rPr>
          <w:noProof/>
        </w:rPr>
      </w:pPr>
      <w:r w:rsidRPr="002736BA">
        <w:rPr>
          <w:noProof/>
        </w:rPr>
        <w:t>163.</w:t>
      </w:r>
      <w:r w:rsidRPr="002736BA">
        <w:rPr>
          <w:noProof/>
        </w:rPr>
        <w:tab/>
        <w:t>Styczynski J. et al. Management of HSV, VZV and EBV infections in patients with hematological malignancies and after SCT: Guidelines from the Second European Conference on Infections in Leukemia // Bone Marrow Transplant. Bone Marrow Transplant, 2009. Vol. 43, № 10. P. 757–770.</w:t>
      </w:r>
    </w:p>
    <w:p w14:paraId="49E412B1" w14:textId="77777777" w:rsidR="002736BA" w:rsidRPr="002736BA" w:rsidRDefault="002736BA" w:rsidP="002736BA">
      <w:pPr>
        <w:widowControl w:val="0"/>
        <w:autoSpaceDE w:val="0"/>
        <w:autoSpaceDN w:val="0"/>
        <w:adjustRightInd w:val="0"/>
        <w:ind w:left="640" w:hanging="640"/>
        <w:rPr>
          <w:noProof/>
        </w:rPr>
      </w:pPr>
      <w:r w:rsidRPr="002736BA">
        <w:rPr>
          <w:noProof/>
        </w:rPr>
        <w:t>164.</w:t>
      </w:r>
      <w:r w:rsidRPr="002736BA">
        <w:rPr>
          <w:noProof/>
        </w:rPr>
        <w:tab/>
        <w:t>Ljungman P. et al. Management of CMV, HHV-6, HHV-7 and Kaposi-sarcoma herpesvirus (HHV-8) infections in patients with hematological malignancies and after SCT // Bone Marrow Transplant. Bone Marrow Transplant, 2008. Vol. 42, № 4. P. 227–240.</w:t>
      </w:r>
    </w:p>
    <w:p w14:paraId="4DADFB5F" w14:textId="77777777" w:rsidR="002736BA" w:rsidRPr="002736BA" w:rsidRDefault="002736BA" w:rsidP="002736BA">
      <w:pPr>
        <w:widowControl w:val="0"/>
        <w:autoSpaceDE w:val="0"/>
        <w:autoSpaceDN w:val="0"/>
        <w:adjustRightInd w:val="0"/>
        <w:ind w:left="640" w:hanging="640"/>
        <w:rPr>
          <w:noProof/>
        </w:rPr>
      </w:pPr>
      <w:r w:rsidRPr="002736BA">
        <w:rPr>
          <w:noProof/>
        </w:rPr>
        <w:t>165.</w:t>
      </w:r>
      <w:r w:rsidRPr="002736BA">
        <w:rPr>
          <w:noProof/>
        </w:rPr>
        <w:tab/>
        <w:t>Arendrup M.C. et al. ESCMID and ECMM joint clinical guidelines for the diagnosis and management of rare invasive yeast infections // Clin. Microbiol. Infect. Blackwell Publishing Ltd, 2014. Vol. 20, № S3. P. 76–98.</w:t>
      </w:r>
    </w:p>
    <w:p w14:paraId="26915B02" w14:textId="77777777" w:rsidR="002736BA" w:rsidRPr="002736BA" w:rsidRDefault="002736BA" w:rsidP="002736BA">
      <w:pPr>
        <w:widowControl w:val="0"/>
        <w:autoSpaceDE w:val="0"/>
        <w:autoSpaceDN w:val="0"/>
        <w:adjustRightInd w:val="0"/>
        <w:ind w:left="640" w:hanging="640"/>
        <w:rPr>
          <w:noProof/>
        </w:rPr>
      </w:pPr>
      <w:r w:rsidRPr="002736BA">
        <w:rPr>
          <w:noProof/>
        </w:rPr>
        <w:t>166.</w:t>
      </w:r>
      <w:r w:rsidRPr="002736BA">
        <w:rPr>
          <w:noProof/>
        </w:rPr>
        <w:tab/>
        <w:t>Tissot F. et al. ECIL-6 guidelines for the treatment of invasive candidiasis, aspergillosis and mucormycosis in leukemia and hematopoietic stem cell transplant patients // Haematologica. Ferrata Storti Foundation, 2017. Vol. 102, № 3. P. 433–444.</w:t>
      </w:r>
    </w:p>
    <w:p w14:paraId="315D19FE" w14:textId="77777777" w:rsidR="002736BA" w:rsidRPr="002736BA" w:rsidRDefault="002736BA" w:rsidP="002736BA">
      <w:pPr>
        <w:widowControl w:val="0"/>
        <w:autoSpaceDE w:val="0"/>
        <w:autoSpaceDN w:val="0"/>
        <w:adjustRightInd w:val="0"/>
        <w:ind w:left="640" w:hanging="640"/>
        <w:rPr>
          <w:noProof/>
        </w:rPr>
      </w:pPr>
      <w:r w:rsidRPr="002736BA">
        <w:rPr>
          <w:noProof/>
        </w:rPr>
        <w:t>167.</w:t>
      </w:r>
      <w:r w:rsidRPr="002736BA">
        <w:rPr>
          <w:noProof/>
        </w:rPr>
        <w:tab/>
        <w:t>Мальчикова А.О., Клясова Г.А. Формирование биопленок у изолятов Candida spp, выделенных из гемокультуры от больных с опухолями системы крови // Клиническая микробиология и антимикробная химиотерапия. 2018. Vol. 20, № 2. P. 126–130.</w:t>
      </w:r>
    </w:p>
    <w:p w14:paraId="5BBAFCF0" w14:textId="77777777" w:rsidR="002736BA" w:rsidRPr="002736BA" w:rsidRDefault="002736BA" w:rsidP="002736BA">
      <w:pPr>
        <w:widowControl w:val="0"/>
        <w:autoSpaceDE w:val="0"/>
        <w:autoSpaceDN w:val="0"/>
        <w:adjustRightInd w:val="0"/>
        <w:ind w:left="640" w:hanging="640"/>
        <w:rPr>
          <w:noProof/>
        </w:rPr>
      </w:pPr>
      <w:r w:rsidRPr="002736BA">
        <w:rPr>
          <w:noProof/>
        </w:rPr>
        <w:t>168.</w:t>
      </w:r>
      <w:r w:rsidRPr="002736BA">
        <w:rPr>
          <w:noProof/>
        </w:rPr>
        <w:tab/>
        <w:t>Ullmann A.J. et al. Diagnosis and management of Aspergillus diseases: executive summary of the 2017 ESCMID-ECMM-ERS guideline // Clin. Microbiol. Infect. Elsevier B.V., 2018. Vol. 24. P. e1–e38.</w:t>
      </w:r>
    </w:p>
    <w:p w14:paraId="2F8670F5" w14:textId="77777777" w:rsidR="002736BA" w:rsidRPr="002736BA" w:rsidRDefault="002736BA" w:rsidP="002736BA">
      <w:pPr>
        <w:widowControl w:val="0"/>
        <w:autoSpaceDE w:val="0"/>
        <w:autoSpaceDN w:val="0"/>
        <w:adjustRightInd w:val="0"/>
        <w:ind w:left="640" w:hanging="640"/>
        <w:rPr>
          <w:noProof/>
        </w:rPr>
      </w:pPr>
      <w:r w:rsidRPr="002736BA">
        <w:rPr>
          <w:noProof/>
        </w:rPr>
        <w:t>169.</w:t>
      </w:r>
      <w:r w:rsidRPr="002736BA">
        <w:rPr>
          <w:noProof/>
        </w:rPr>
        <w:tab/>
        <w:t>Cornely O.A. et al. Global guideline for the diagnosis and management of mucormycosis: an initiative of the European Confederation of Medical Mycology in cooperation with the Mycoses Study Group Education and Research Consortium // The Lancet Infectious Diseases. Lancet Publishing Group, 2019. Vol. 19, № 12. P. e405–e421.</w:t>
      </w:r>
    </w:p>
    <w:p w14:paraId="53A844D0" w14:textId="77777777" w:rsidR="002736BA" w:rsidRPr="002736BA" w:rsidRDefault="002736BA" w:rsidP="002736BA">
      <w:pPr>
        <w:widowControl w:val="0"/>
        <w:autoSpaceDE w:val="0"/>
        <w:autoSpaceDN w:val="0"/>
        <w:adjustRightInd w:val="0"/>
        <w:ind w:left="640" w:hanging="640"/>
        <w:rPr>
          <w:noProof/>
        </w:rPr>
      </w:pPr>
      <w:r w:rsidRPr="002736BA">
        <w:rPr>
          <w:noProof/>
        </w:rPr>
        <w:t>170.</w:t>
      </w:r>
      <w:r w:rsidRPr="002736BA">
        <w:rPr>
          <w:noProof/>
        </w:rPr>
        <w:tab/>
        <w:t>Tortorano A.M. et al. ESCMID and ECMM joint guidelines on diagnosis and management of hyalohyphomycosis: Fusarium spp., Scedosporium spp. and others // Clin. Microbiol. Infect. Blackwell Publishing Ltd, 2014. Vol. 20, № S3. P. 27–46.</w:t>
      </w:r>
    </w:p>
    <w:p w14:paraId="7964C948" w14:textId="77777777" w:rsidR="002736BA" w:rsidRPr="002736BA" w:rsidRDefault="002736BA" w:rsidP="002736BA">
      <w:pPr>
        <w:widowControl w:val="0"/>
        <w:autoSpaceDE w:val="0"/>
        <w:autoSpaceDN w:val="0"/>
        <w:adjustRightInd w:val="0"/>
        <w:ind w:left="640" w:hanging="640"/>
        <w:rPr>
          <w:noProof/>
        </w:rPr>
      </w:pPr>
      <w:r w:rsidRPr="002736BA">
        <w:rPr>
          <w:noProof/>
        </w:rPr>
        <w:t>171.</w:t>
      </w:r>
      <w:r w:rsidRPr="002736BA">
        <w:rPr>
          <w:noProof/>
        </w:rPr>
        <w:tab/>
        <w:t>Maschmeyer G. et al. ECIL guidelines for treatment of Pneumocystis jirovecii pneumonia in non-HIV-infected haematology patients // J. Antimicrob. Chemother. J Antimicrob Chemother, 2016. Vol. 71, № 9. P. 2405–2413.</w:t>
      </w:r>
    </w:p>
    <w:p w14:paraId="2A8ADAAD" w14:textId="77777777" w:rsidR="002736BA" w:rsidRPr="002736BA" w:rsidRDefault="002736BA" w:rsidP="002736BA">
      <w:pPr>
        <w:widowControl w:val="0"/>
        <w:autoSpaceDE w:val="0"/>
        <w:autoSpaceDN w:val="0"/>
        <w:adjustRightInd w:val="0"/>
        <w:ind w:left="640" w:hanging="640"/>
        <w:rPr>
          <w:noProof/>
        </w:rPr>
      </w:pPr>
      <w:r w:rsidRPr="002736BA">
        <w:rPr>
          <w:noProof/>
        </w:rPr>
        <w:lastRenderedPageBreak/>
        <w:t>172.</w:t>
      </w:r>
      <w:r w:rsidRPr="002736BA">
        <w:rPr>
          <w:noProof/>
        </w:rPr>
        <w:tab/>
        <w:t>Singer M. et al. The third international consensus definitions for sepsis and septic shock (sepsis-3) // JAMA - Journal of the American Medical Association. American Medical Association, 2016. Vol. 315, № 8. P. 801–810.</w:t>
      </w:r>
    </w:p>
    <w:p w14:paraId="2BF3DAB8" w14:textId="77777777" w:rsidR="002736BA" w:rsidRPr="002736BA" w:rsidRDefault="002736BA" w:rsidP="002736BA">
      <w:pPr>
        <w:widowControl w:val="0"/>
        <w:autoSpaceDE w:val="0"/>
        <w:autoSpaceDN w:val="0"/>
        <w:adjustRightInd w:val="0"/>
        <w:ind w:left="640" w:hanging="640"/>
        <w:rPr>
          <w:noProof/>
        </w:rPr>
      </w:pPr>
      <w:r w:rsidRPr="002736BA">
        <w:rPr>
          <w:noProof/>
        </w:rPr>
        <w:t>173.</w:t>
      </w:r>
      <w:r w:rsidRPr="002736BA">
        <w:rPr>
          <w:noProof/>
        </w:rPr>
        <w:tab/>
        <w:t>Джумабаева Б.Т. et al. Клинико-лабораторные и морфологические особенности поражения почек при лимфопролиферативных заболеваниях // Онкогематология. 2017. Vol. 7, № 1. P. 44–54.</w:t>
      </w:r>
    </w:p>
    <w:p w14:paraId="451A7D57" w14:textId="77777777" w:rsidR="002736BA" w:rsidRPr="002736BA" w:rsidRDefault="002736BA" w:rsidP="002736BA">
      <w:pPr>
        <w:widowControl w:val="0"/>
        <w:autoSpaceDE w:val="0"/>
        <w:autoSpaceDN w:val="0"/>
        <w:adjustRightInd w:val="0"/>
        <w:ind w:left="640" w:hanging="640"/>
        <w:rPr>
          <w:noProof/>
        </w:rPr>
      </w:pPr>
      <w:r w:rsidRPr="002736BA">
        <w:rPr>
          <w:noProof/>
        </w:rPr>
        <w:t>174.</w:t>
      </w:r>
      <w:r w:rsidRPr="002736BA">
        <w:rPr>
          <w:noProof/>
        </w:rPr>
        <w:tab/>
        <w:t>Рехтина И.Г. et al. Морфологические и иммунохимические особенности нефропатий при множественной миеломе с тяжелой почечной недостаточностью // Терапевтический архив. 2013. Vol. 85, № 3. P. 80–85.</w:t>
      </w:r>
    </w:p>
    <w:p w14:paraId="24474ACC" w14:textId="77777777" w:rsidR="002736BA" w:rsidRPr="002736BA" w:rsidRDefault="002736BA" w:rsidP="002736BA">
      <w:pPr>
        <w:widowControl w:val="0"/>
        <w:autoSpaceDE w:val="0"/>
        <w:autoSpaceDN w:val="0"/>
        <w:adjustRightInd w:val="0"/>
        <w:ind w:left="640" w:hanging="640"/>
        <w:rPr>
          <w:noProof/>
        </w:rPr>
      </w:pPr>
      <w:r w:rsidRPr="002736BA">
        <w:rPr>
          <w:noProof/>
        </w:rPr>
        <w:t>175.</w:t>
      </w:r>
      <w:r w:rsidRPr="002736BA">
        <w:rPr>
          <w:noProof/>
        </w:rPr>
        <w:tab/>
        <w:t>Ворожейкина Е.Г., Бирюкова Л.С., Савченко В.Г. Клинико-лабораторные проявления нефропатий у больных острыми лейкозами // Гематология и трансфузиология. 2011. Vol. 56, № 3. P. 24–27.</w:t>
      </w:r>
    </w:p>
    <w:p w14:paraId="5E0D45EE" w14:textId="77777777" w:rsidR="002736BA" w:rsidRPr="002736BA" w:rsidRDefault="002736BA" w:rsidP="002736BA">
      <w:pPr>
        <w:widowControl w:val="0"/>
        <w:autoSpaceDE w:val="0"/>
        <w:autoSpaceDN w:val="0"/>
        <w:adjustRightInd w:val="0"/>
        <w:ind w:left="640" w:hanging="640"/>
        <w:rPr>
          <w:noProof/>
        </w:rPr>
      </w:pPr>
      <w:r w:rsidRPr="002736BA">
        <w:rPr>
          <w:noProof/>
        </w:rPr>
        <w:t>176.</w:t>
      </w:r>
      <w:r w:rsidRPr="002736BA">
        <w:rPr>
          <w:noProof/>
        </w:rPr>
        <w:tab/>
        <w:t>Гендлин Г.Е. et al. Современный взгляд на кардиотоксичность химиотерапии онкологических заболеваний, включающей антрациклиновые антибиотики. // Российский кардиологический журнал. 2017. Vol. 143, № 3. P. 145–154.</w:t>
      </w:r>
    </w:p>
    <w:p w14:paraId="3E40A2CA" w14:textId="77777777" w:rsidR="002736BA" w:rsidRPr="002736BA" w:rsidRDefault="002736BA" w:rsidP="002736BA">
      <w:pPr>
        <w:widowControl w:val="0"/>
        <w:autoSpaceDE w:val="0"/>
        <w:autoSpaceDN w:val="0"/>
        <w:adjustRightInd w:val="0"/>
        <w:ind w:left="640" w:hanging="640"/>
        <w:rPr>
          <w:noProof/>
        </w:rPr>
      </w:pPr>
      <w:r w:rsidRPr="002736BA">
        <w:rPr>
          <w:noProof/>
        </w:rPr>
        <w:t>177.</w:t>
      </w:r>
      <w:r w:rsidRPr="002736BA">
        <w:rPr>
          <w:noProof/>
        </w:rPr>
        <w:tab/>
        <w:t>Васюк Ю.А. et al. Возможности современных эхокардиографических технологий в ранней диагностике кардиотоксического действия химиотерапевтических препаратов антрациклинового ряда у онкологических больных. // Кардиология. 2017. Vol. 57, № S4. P. 31–17.</w:t>
      </w:r>
    </w:p>
    <w:p w14:paraId="50B1E55D" w14:textId="77777777" w:rsidR="002736BA" w:rsidRPr="002736BA" w:rsidRDefault="002736BA" w:rsidP="002736BA">
      <w:pPr>
        <w:widowControl w:val="0"/>
        <w:autoSpaceDE w:val="0"/>
        <w:autoSpaceDN w:val="0"/>
        <w:adjustRightInd w:val="0"/>
        <w:ind w:left="640" w:hanging="640"/>
        <w:rPr>
          <w:noProof/>
        </w:rPr>
      </w:pPr>
      <w:r w:rsidRPr="002736BA">
        <w:rPr>
          <w:noProof/>
        </w:rPr>
        <w:t>178.</w:t>
      </w:r>
      <w:r w:rsidRPr="002736BA">
        <w:rPr>
          <w:noProof/>
        </w:rPr>
        <w:tab/>
        <w:t>Zamorano J.L. et al. 2016 ESC Position Paper on cancer treatments and cardiovascular toxicity developed under the auspices of the ESC Committee for Practice Guidelines // European Heart Journal. Oxford University Press, 2016. Vol. 37, № 36. P. 2768–2801.</w:t>
      </w:r>
    </w:p>
    <w:p w14:paraId="53B913A6" w14:textId="77777777" w:rsidR="002736BA" w:rsidRPr="002736BA" w:rsidRDefault="002736BA" w:rsidP="002736BA">
      <w:pPr>
        <w:widowControl w:val="0"/>
        <w:autoSpaceDE w:val="0"/>
        <w:autoSpaceDN w:val="0"/>
        <w:adjustRightInd w:val="0"/>
        <w:ind w:left="640" w:hanging="640"/>
        <w:rPr>
          <w:noProof/>
        </w:rPr>
      </w:pPr>
      <w:r w:rsidRPr="002736BA">
        <w:rPr>
          <w:noProof/>
        </w:rPr>
        <w:t>179.</w:t>
      </w:r>
      <w:r w:rsidRPr="002736BA">
        <w:rPr>
          <w:noProof/>
        </w:rPr>
        <w:tab/>
        <w:t>Larsen C.M., Mulvagh S.L. Cardio-oncology: What you need to know now for clinical practice and echocardiography // Echo Research and Practice. BioScientifica Ltd., 2017. Vol. 4, № 1. P. R33–R41.</w:t>
      </w:r>
    </w:p>
    <w:p w14:paraId="7E33B299" w14:textId="77777777" w:rsidR="002736BA" w:rsidRPr="002736BA" w:rsidRDefault="002736BA" w:rsidP="002736BA">
      <w:pPr>
        <w:widowControl w:val="0"/>
        <w:autoSpaceDE w:val="0"/>
        <w:autoSpaceDN w:val="0"/>
        <w:adjustRightInd w:val="0"/>
        <w:ind w:left="640" w:hanging="640"/>
        <w:rPr>
          <w:noProof/>
        </w:rPr>
      </w:pPr>
      <w:r w:rsidRPr="002736BA">
        <w:rPr>
          <w:noProof/>
        </w:rPr>
        <w:t>180.</w:t>
      </w:r>
      <w:r w:rsidRPr="002736BA">
        <w:rPr>
          <w:noProof/>
        </w:rPr>
        <w:tab/>
        <w:t>Yelvington B.J. Subcutaneous Rituximab in Follicular Lymphoma, Chronic Lymphocytic Leukemia, and Diffuse Large B-Cell Lymphoma. // J. Adv. Pract. Oncol. Harborside Press, 2018. Vol. 9, № 5. P. 530–534.</w:t>
      </w:r>
    </w:p>
    <w:p w14:paraId="20579BFC" w14:textId="77777777" w:rsidR="002736BA" w:rsidRPr="002736BA" w:rsidRDefault="002736BA" w:rsidP="002736BA">
      <w:pPr>
        <w:widowControl w:val="0"/>
        <w:autoSpaceDE w:val="0"/>
        <w:autoSpaceDN w:val="0"/>
        <w:adjustRightInd w:val="0"/>
        <w:ind w:left="640" w:hanging="640"/>
        <w:rPr>
          <w:noProof/>
        </w:rPr>
      </w:pPr>
      <w:r w:rsidRPr="002736BA">
        <w:rPr>
          <w:noProof/>
        </w:rPr>
        <w:t>181.</w:t>
      </w:r>
      <w:r w:rsidRPr="002736BA">
        <w:rPr>
          <w:noProof/>
        </w:rPr>
        <w:tab/>
        <w:t>Davies A. et al. Subcutaneous Rituximab for the Treatment of B-Cell Hematologic Malignancies: A Review of the Scientific Rationale and Clinical Development // Advances in Therapy. Springer Healthcare, 2017. Vol. 34, № 10. P. 2210–2231.</w:t>
      </w:r>
    </w:p>
    <w:p w14:paraId="5C07C486" w14:textId="77777777" w:rsidR="002736BA" w:rsidRPr="002736BA" w:rsidRDefault="002736BA" w:rsidP="002736BA">
      <w:pPr>
        <w:widowControl w:val="0"/>
        <w:autoSpaceDE w:val="0"/>
        <w:autoSpaceDN w:val="0"/>
        <w:adjustRightInd w:val="0"/>
        <w:ind w:left="640" w:hanging="640"/>
        <w:rPr>
          <w:noProof/>
        </w:rPr>
      </w:pPr>
      <w:r w:rsidRPr="002736BA">
        <w:rPr>
          <w:noProof/>
        </w:rPr>
        <w:t>182.</w:t>
      </w:r>
      <w:r w:rsidRPr="002736BA">
        <w:rPr>
          <w:noProof/>
        </w:rPr>
        <w:tab/>
        <w:t>García‐Muñoz R. et al. Safety of switching from intravenous to subcutaneous rituximab during first‐line treatment of patients with non‐Hodgkin lymphoma: the Spanish population of the MabRella study // Br. J. Haematol. Blackwell Publishing Ltd, 2020. Vol. 188, № 5. P. 661–673.</w:t>
      </w:r>
    </w:p>
    <w:p w14:paraId="310B2870" w14:textId="77777777" w:rsidR="002736BA" w:rsidRPr="002736BA" w:rsidRDefault="002736BA" w:rsidP="002736BA">
      <w:pPr>
        <w:widowControl w:val="0"/>
        <w:autoSpaceDE w:val="0"/>
        <w:autoSpaceDN w:val="0"/>
        <w:adjustRightInd w:val="0"/>
        <w:ind w:left="640" w:hanging="640"/>
        <w:rPr>
          <w:noProof/>
        </w:rPr>
      </w:pPr>
      <w:r w:rsidRPr="002736BA">
        <w:rPr>
          <w:noProof/>
        </w:rPr>
        <w:lastRenderedPageBreak/>
        <w:t>183.</w:t>
      </w:r>
      <w:r w:rsidRPr="002736BA">
        <w:rPr>
          <w:noProof/>
        </w:rPr>
        <w:tab/>
        <w:t>Macdonald D. et al. A canadian perspective on the subcutaneous administration of rituximab in non-Hodgkin lymphoma // Current Oncology. Multimed Inc., 2017. Vol. 24, № 1. P. 33–39.</w:t>
      </w:r>
    </w:p>
    <w:p w14:paraId="141B2FC6" w14:textId="77777777" w:rsidR="002736BA" w:rsidRPr="002736BA" w:rsidRDefault="002736BA" w:rsidP="002736BA">
      <w:pPr>
        <w:widowControl w:val="0"/>
        <w:autoSpaceDE w:val="0"/>
        <w:autoSpaceDN w:val="0"/>
        <w:adjustRightInd w:val="0"/>
        <w:ind w:left="640" w:hanging="640"/>
        <w:rPr>
          <w:noProof/>
        </w:rPr>
      </w:pPr>
      <w:r w:rsidRPr="002736BA">
        <w:rPr>
          <w:noProof/>
        </w:rPr>
        <w:t>184.</w:t>
      </w:r>
      <w:r w:rsidRPr="002736BA">
        <w:rPr>
          <w:noProof/>
        </w:rPr>
        <w:tab/>
        <w:t>Gang A.O. et al. R-CHOEP-14 improves overall survival in young high-risk patients with diffuse large B-cell lymphoma compared with R-CHOP-14. A population-based investigation from the Danish Lymphoma Group. // Ann. Oncol.  Off. J. Eur. Soc. Med. Oncol. 2012. Vol. 23, № 1. P. 147–153.</w:t>
      </w:r>
    </w:p>
    <w:p w14:paraId="720485A9" w14:textId="77777777" w:rsidR="002736BA" w:rsidRPr="002736BA" w:rsidRDefault="002736BA" w:rsidP="002736BA">
      <w:pPr>
        <w:widowControl w:val="0"/>
        <w:autoSpaceDE w:val="0"/>
        <w:autoSpaceDN w:val="0"/>
        <w:adjustRightInd w:val="0"/>
        <w:ind w:left="640" w:hanging="640"/>
        <w:rPr>
          <w:noProof/>
        </w:rPr>
      </w:pPr>
      <w:r w:rsidRPr="002736BA">
        <w:rPr>
          <w:noProof/>
        </w:rPr>
        <w:t>185.</w:t>
      </w:r>
      <w:r w:rsidRPr="002736BA">
        <w:rPr>
          <w:noProof/>
        </w:rPr>
        <w:tab/>
        <w:t>Thomas D.A. et al. Chemoimmunotherapy with hyper-CVAD plus rituximab for the treatment of adult Burkitt and Burkitt-type lymphoma or acute lymphoblastic leukemia // Cancer. 2006. Vol. 106, № 7. P. 1569–1580.</w:t>
      </w:r>
    </w:p>
    <w:p w14:paraId="32889038" w14:textId="77777777" w:rsidR="002736BA" w:rsidRPr="002736BA" w:rsidRDefault="002736BA" w:rsidP="002736BA">
      <w:pPr>
        <w:widowControl w:val="0"/>
        <w:autoSpaceDE w:val="0"/>
        <w:autoSpaceDN w:val="0"/>
        <w:adjustRightInd w:val="0"/>
        <w:ind w:left="640" w:hanging="640"/>
        <w:rPr>
          <w:noProof/>
        </w:rPr>
      </w:pPr>
      <w:r w:rsidRPr="002736BA">
        <w:rPr>
          <w:noProof/>
        </w:rPr>
        <w:t>186.</w:t>
      </w:r>
      <w:r w:rsidRPr="002736BA">
        <w:rPr>
          <w:noProof/>
        </w:rPr>
        <w:tab/>
        <w:t>Batchelor T. et al. Treatment of Primary CNS Lymphoma With Methotrexate and Deferred Radiotherapy: A Report of NABTT 96–07 // J. Clin. Oncol. American Society of Clinical Oncology, 2003. Vol. 21, № 6. P. 1044–1049.</w:t>
      </w:r>
    </w:p>
    <w:p w14:paraId="3C117682" w14:textId="77777777" w:rsidR="002736BA" w:rsidRPr="002736BA" w:rsidRDefault="002736BA" w:rsidP="002736BA">
      <w:pPr>
        <w:widowControl w:val="0"/>
        <w:autoSpaceDE w:val="0"/>
        <w:autoSpaceDN w:val="0"/>
        <w:adjustRightInd w:val="0"/>
        <w:ind w:left="640" w:hanging="640"/>
        <w:rPr>
          <w:noProof/>
        </w:rPr>
      </w:pPr>
      <w:r w:rsidRPr="002736BA">
        <w:rPr>
          <w:noProof/>
        </w:rPr>
        <w:t>187.</w:t>
      </w:r>
      <w:r w:rsidRPr="002736BA">
        <w:rPr>
          <w:noProof/>
        </w:rPr>
        <w:tab/>
        <w:t>Zhu J.-J. et al. High-dose methotrexate for elderly patients with primary CNS lymphoma // Neuro. Oncol. Oxford University Press (OUP), 2009. Vol. 11, № 2. P. 211–215.</w:t>
      </w:r>
    </w:p>
    <w:p w14:paraId="04FC1B9E" w14:textId="77777777" w:rsidR="002736BA" w:rsidRPr="002736BA" w:rsidRDefault="002736BA" w:rsidP="002736BA">
      <w:pPr>
        <w:widowControl w:val="0"/>
        <w:autoSpaceDE w:val="0"/>
        <w:autoSpaceDN w:val="0"/>
        <w:adjustRightInd w:val="0"/>
        <w:ind w:left="640" w:hanging="640"/>
        <w:rPr>
          <w:noProof/>
        </w:rPr>
      </w:pPr>
      <w:r w:rsidRPr="002736BA">
        <w:rPr>
          <w:noProof/>
        </w:rPr>
        <w:t>188.</w:t>
      </w:r>
      <w:r w:rsidRPr="002736BA">
        <w:rPr>
          <w:noProof/>
        </w:rPr>
        <w:tab/>
        <w:t>Samochatova E. V. et al. Therapy of advanced-stage mature b-cell lymphoma and leukemia in children and adolescents with rituximab and reduced intensity induction chemotherapy (B-NHL 2004M protocol): The results of a multicenter study // J. Pediatr. Hematol. Oncol. Lippincott Williams and Wilkins, 2014. Vol. 36, № 5. P. 395–401.</w:t>
      </w:r>
    </w:p>
    <w:p w14:paraId="56BC2D53" w14:textId="77777777" w:rsidR="002736BA" w:rsidRPr="002736BA" w:rsidRDefault="002736BA" w:rsidP="002736BA">
      <w:pPr>
        <w:widowControl w:val="0"/>
        <w:autoSpaceDE w:val="0"/>
        <w:autoSpaceDN w:val="0"/>
        <w:adjustRightInd w:val="0"/>
        <w:ind w:left="640" w:hanging="640"/>
        <w:rPr>
          <w:noProof/>
        </w:rPr>
      </w:pPr>
      <w:r w:rsidRPr="002736BA">
        <w:rPr>
          <w:noProof/>
        </w:rPr>
        <w:t>189.</w:t>
      </w:r>
      <w:r w:rsidRPr="002736BA">
        <w:rPr>
          <w:noProof/>
        </w:rPr>
        <w:tab/>
        <w:t>Navari R.M., Aapro M. Antiemetic Prophylaxis for Chemotherapy-Induced Nausea and Vomiting // N. Engl. J. Med. New England Journal of Medicine (NEJM/MMS), 2016. Vol. 374, № 14. P. 1356–1367.</w:t>
      </w:r>
    </w:p>
    <w:p w14:paraId="0C23BA73" w14:textId="77777777" w:rsidR="002736BA" w:rsidRPr="002736BA" w:rsidRDefault="002736BA" w:rsidP="002736BA">
      <w:pPr>
        <w:widowControl w:val="0"/>
        <w:autoSpaceDE w:val="0"/>
        <w:autoSpaceDN w:val="0"/>
        <w:adjustRightInd w:val="0"/>
        <w:ind w:left="640" w:hanging="640"/>
        <w:rPr>
          <w:noProof/>
        </w:rPr>
      </w:pPr>
      <w:r w:rsidRPr="002736BA">
        <w:rPr>
          <w:noProof/>
        </w:rPr>
        <w:t>190.</w:t>
      </w:r>
      <w:r w:rsidRPr="002736BA">
        <w:rPr>
          <w:noProof/>
        </w:rPr>
        <w:tab/>
        <w:t>Ettinger D.S. et al. Antiemesis. NCCN Clinical Practice Guidelines in Oncology (NCCN Guidelines). Version 1.2021. 2020.</w:t>
      </w:r>
    </w:p>
    <w:p w14:paraId="51B47377" w14:textId="77777777" w:rsidR="002736BA" w:rsidRPr="002736BA" w:rsidRDefault="002736BA" w:rsidP="002736BA">
      <w:pPr>
        <w:widowControl w:val="0"/>
        <w:autoSpaceDE w:val="0"/>
        <w:autoSpaceDN w:val="0"/>
        <w:adjustRightInd w:val="0"/>
        <w:ind w:left="640" w:hanging="640"/>
        <w:rPr>
          <w:noProof/>
        </w:rPr>
      </w:pPr>
      <w:r w:rsidRPr="002736BA">
        <w:rPr>
          <w:noProof/>
        </w:rPr>
        <w:t>191.</w:t>
      </w:r>
      <w:r w:rsidRPr="002736BA">
        <w:rPr>
          <w:noProof/>
        </w:rPr>
        <w:tab/>
        <w:t>Roila F. et al. Prevention of chemotherapy- and radiotherapy-induced emesis: Results of the 2004 Perugia International Antiemetic Consensus Conference // Annals of Oncology. Ann Oncol, 2006. Vol. 17, № 1. P. 20–28.</w:t>
      </w:r>
    </w:p>
    <w:p w14:paraId="12BE8416" w14:textId="77777777" w:rsidR="002736BA" w:rsidRPr="002736BA" w:rsidRDefault="002736BA" w:rsidP="002736BA">
      <w:pPr>
        <w:widowControl w:val="0"/>
        <w:autoSpaceDE w:val="0"/>
        <w:autoSpaceDN w:val="0"/>
        <w:adjustRightInd w:val="0"/>
        <w:ind w:left="640" w:hanging="640"/>
        <w:rPr>
          <w:noProof/>
        </w:rPr>
      </w:pPr>
      <w:r w:rsidRPr="002736BA">
        <w:rPr>
          <w:noProof/>
        </w:rPr>
        <w:t>192.</w:t>
      </w:r>
      <w:r w:rsidRPr="002736BA">
        <w:rPr>
          <w:noProof/>
        </w:rPr>
        <w:tab/>
        <w:t>Basch E. et al. Antiemetics: American Society of Clinical Oncology clinical practice guideline update // J. Clin. Oncol. J Clin Oncol, 2011. Vol. 29, № 31. P. 4189–4198.</w:t>
      </w:r>
    </w:p>
    <w:p w14:paraId="31DDEA07" w14:textId="77777777" w:rsidR="002736BA" w:rsidRPr="002736BA" w:rsidRDefault="002736BA" w:rsidP="002736BA">
      <w:pPr>
        <w:widowControl w:val="0"/>
        <w:autoSpaceDE w:val="0"/>
        <w:autoSpaceDN w:val="0"/>
        <w:adjustRightInd w:val="0"/>
        <w:ind w:left="640" w:hanging="640"/>
        <w:rPr>
          <w:noProof/>
        </w:rPr>
      </w:pPr>
      <w:r w:rsidRPr="002736BA">
        <w:rPr>
          <w:noProof/>
        </w:rPr>
        <w:t>193.</w:t>
      </w:r>
      <w:r w:rsidRPr="002736BA">
        <w:rPr>
          <w:noProof/>
        </w:rPr>
        <w:tab/>
        <w:t>Hesketh P.J. et al. Antiemetics: American Society of Clinical Oncology clinical practice guideline update // Journal of Clinical Oncology. American Society of Clinical Oncology, 2017. Vol. 35, № 28. P. 3240–3261.</w:t>
      </w:r>
    </w:p>
    <w:p w14:paraId="2967E490" w14:textId="77777777" w:rsidR="002736BA" w:rsidRPr="002736BA" w:rsidRDefault="002736BA" w:rsidP="002736BA">
      <w:pPr>
        <w:widowControl w:val="0"/>
        <w:autoSpaceDE w:val="0"/>
        <w:autoSpaceDN w:val="0"/>
        <w:adjustRightInd w:val="0"/>
        <w:ind w:left="640" w:hanging="640"/>
        <w:rPr>
          <w:noProof/>
        </w:rPr>
      </w:pPr>
      <w:r w:rsidRPr="002736BA">
        <w:rPr>
          <w:noProof/>
        </w:rPr>
        <w:t>194.</w:t>
      </w:r>
      <w:r w:rsidRPr="002736BA">
        <w:rPr>
          <w:noProof/>
        </w:rPr>
        <w:tab/>
        <w:t>Razvi Y. et al. ASCO, NCCN, MASCC/ESMO: a comparison of antiemetic guidelines for the treatment of chemotherapy-induced nausea and vomiting in adult patients // Supportive Care in Cancer. Springer Verlag, 2019. Vol. 27, № 1. P. 87–95.</w:t>
      </w:r>
    </w:p>
    <w:p w14:paraId="11B82FDF" w14:textId="77777777" w:rsidR="002736BA" w:rsidRPr="002736BA" w:rsidRDefault="002736BA" w:rsidP="002736BA">
      <w:pPr>
        <w:widowControl w:val="0"/>
        <w:autoSpaceDE w:val="0"/>
        <w:autoSpaceDN w:val="0"/>
        <w:adjustRightInd w:val="0"/>
        <w:ind w:left="640" w:hanging="640"/>
        <w:rPr>
          <w:noProof/>
        </w:rPr>
      </w:pPr>
      <w:r w:rsidRPr="002736BA">
        <w:rPr>
          <w:noProof/>
        </w:rPr>
        <w:lastRenderedPageBreak/>
        <w:t>195.</w:t>
      </w:r>
      <w:r w:rsidRPr="002736BA">
        <w:rPr>
          <w:noProof/>
        </w:rPr>
        <w:tab/>
        <w:t>Narum S., Westergren T., Klemp M. Corticosteroids and risk of gastrointestinal bleeding: A systematic review and meta-analysis // BMJ Open. BMJ Publishing Group, 2014. Vol. 4, № 5.</w:t>
      </w:r>
    </w:p>
    <w:p w14:paraId="62114365" w14:textId="77777777" w:rsidR="002736BA" w:rsidRPr="002736BA" w:rsidRDefault="002736BA" w:rsidP="002736BA">
      <w:pPr>
        <w:widowControl w:val="0"/>
        <w:autoSpaceDE w:val="0"/>
        <w:autoSpaceDN w:val="0"/>
        <w:adjustRightInd w:val="0"/>
        <w:ind w:left="640" w:hanging="640"/>
        <w:rPr>
          <w:noProof/>
        </w:rPr>
      </w:pPr>
      <w:r w:rsidRPr="002736BA">
        <w:rPr>
          <w:noProof/>
        </w:rPr>
        <w:t>196.</w:t>
      </w:r>
      <w:r w:rsidRPr="002736BA">
        <w:rPr>
          <w:noProof/>
        </w:rPr>
        <w:tab/>
        <w:t>Conn H.O., Poynard T. Corticosteroids and peptic ulcer: meta-analysis of adverse events during steroid therapy. // J. Intern. Med. J Intern Med, 1994. Vol. 236, № 6. P. 619–632.</w:t>
      </w:r>
    </w:p>
    <w:p w14:paraId="4B535B2C" w14:textId="77777777" w:rsidR="002736BA" w:rsidRPr="002736BA" w:rsidRDefault="002736BA" w:rsidP="002736BA">
      <w:pPr>
        <w:widowControl w:val="0"/>
        <w:autoSpaceDE w:val="0"/>
        <w:autoSpaceDN w:val="0"/>
        <w:adjustRightInd w:val="0"/>
        <w:ind w:left="640" w:hanging="640"/>
        <w:rPr>
          <w:noProof/>
        </w:rPr>
      </w:pPr>
      <w:r w:rsidRPr="002736BA">
        <w:rPr>
          <w:noProof/>
        </w:rPr>
        <w:t>197.</w:t>
      </w:r>
      <w:r w:rsidRPr="002736BA">
        <w:rPr>
          <w:noProof/>
        </w:rPr>
        <w:tab/>
        <w:t>Burget D.W., Chiverton S.G., Hunt R.H. Is there an optimal degree of acid suppression for healing of duodenal ulcers? A model of the relationship between ulcer healing and acid suppression // Gastroenterology. Gastroenterology, 1990. Vol. 99, № 2. P. 345–351.</w:t>
      </w:r>
    </w:p>
    <w:p w14:paraId="57DD8CE3" w14:textId="77777777" w:rsidR="002736BA" w:rsidRPr="002736BA" w:rsidRDefault="002736BA" w:rsidP="002736BA">
      <w:pPr>
        <w:widowControl w:val="0"/>
        <w:autoSpaceDE w:val="0"/>
        <w:autoSpaceDN w:val="0"/>
        <w:adjustRightInd w:val="0"/>
        <w:ind w:left="640" w:hanging="640"/>
        <w:rPr>
          <w:noProof/>
        </w:rPr>
      </w:pPr>
      <w:r w:rsidRPr="002736BA">
        <w:rPr>
          <w:noProof/>
        </w:rPr>
        <w:t>198.</w:t>
      </w:r>
      <w:r w:rsidRPr="002736BA">
        <w:rPr>
          <w:noProof/>
        </w:rPr>
        <w:tab/>
        <w:t>Ивашкин В.Т. et al. 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 // Российский журнал гастроэнтерологии, гепатологии, колопроктологии. 2020. Vol. 30, № 1. P. 49–70.</w:t>
      </w:r>
    </w:p>
    <w:p w14:paraId="6972BB80" w14:textId="77777777" w:rsidR="002736BA" w:rsidRPr="002736BA" w:rsidRDefault="002736BA" w:rsidP="002736BA">
      <w:pPr>
        <w:widowControl w:val="0"/>
        <w:autoSpaceDE w:val="0"/>
        <w:autoSpaceDN w:val="0"/>
        <w:adjustRightInd w:val="0"/>
        <w:ind w:left="640" w:hanging="640"/>
        <w:rPr>
          <w:noProof/>
        </w:rPr>
      </w:pPr>
      <w:r w:rsidRPr="002736BA">
        <w:rPr>
          <w:noProof/>
        </w:rPr>
        <w:t>199.</w:t>
      </w:r>
      <w:r w:rsidRPr="002736BA">
        <w:rPr>
          <w:noProof/>
        </w:rPr>
        <w:tab/>
        <w:t>Scally B. et al. Effects of gastroprotectant drugs for the prevention and treatment of peptic ulcer disease and its complications: a meta-analysis of randomised trials // Lancet Gastroenterol. Hepatol. Elsevier Ltd, 2018. Vol. 3, № 4. P. 231–241.</w:t>
      </w:r>
    </w:p>
    <w:p w14:paraId="719011F0" w14:textId="77777777" w:rsidR="002736BA" w:rsidRPr="002736BA" w:rsidRDefault="002736BA" w:rsidP="002736BA">
      <w:pPr>
        <w:widowControl w:val="0"/>
        <w:autoSpaceDE w:val="0"/>
        <w:autoSpaceDN w:val="0"/>
        <w:adjustRightInd w:val="0"/>
        <w:ind w:left="640" w:hanging="640"/>
        <w:rPr>
          <w:noProof/>
        </w:rPr>
      </w:pPr>
      <w:r w:rsidRPr="002736BA">
        <w:rPr>
          <w:noProof/>
        </w:rPr>
        <w:t>200.</w:t>
      </w:r>
      <w:r w:rsidRPr="002736BA">
        <w:rPr>
          <w:noProof/>
        </w:rPr>
        <w:tab/>
        <w:t>Hu Z.-H. et al. Efficacy of proton pump inhibitors for patients with duodenal ulcers: A pairwise and network meta-analysis of randomized controlled trials // Saudi J. Gastroenterol. Medknow Publications, 2017. Vol. 23, № 1. P. 11.</w:t>
      </w:r>
    </w:p>
    <w:p w14:paraId="3F0D085E" w14:textId="77777777" w:rsidR="002736BA" w:rsidRPr="002736BA" w:rsidRDefault="002736BA" w:rsidP="002736BA">
      <w:pPr>
        <w:widowControl w:val="0"/>
        <w:autoSpaceDE w:val="0"/>
        <w:autoSpaceDN w:val="0"/>
        <w:adjustRightInd w:val="0"/>
        <w:ind w:left="640" w:hanging="640"/>
        <w:rPr>
          <w:noProof/>
        </w:rPr>
      </w:pPr>
      <w:r w:rsidRPr="002736BA">
        <w:rPr>
          <w:noProof/>
        </w:rPr>
        <w:t>201.</w:t>
      </w:r>
      <w:r w:rsidRPr="002736BA">
        <w:rPr>
          <w:noProof/>
        </w:rPr>
        <w:tab/>
        <w:t>Poynard T., Lemaire M., Agostini H. Meta-analysis of randomized clinical trials comparing lansoprazole with ranitidine or famotidine in the treatment of acute duodenal ulcer // Eur. J. Gastroenterol. Hepatol. 1995. Vol. 7, № 7. P. 661–665.</w:t>
      </w:r>
    </w:p>
    <w:p w14:paraId="7206D271" w14:textId="77777777" w:rsidR="002736BA" w:rsidRPr="002736BA" w:rsidRDefault="002736BA" w:rsidP="002736BA">
      <w:pPr>
        <w:widowControl w:val="0"/>
        <w:autoSpaceDE w:val="0"/>
        <w:autoSpaceDN w:val="0"/>
        <w:adjustRightInd w:val="0"/>
        <w:ind w:left="640" w:hanging="640"/>
        <w:rPr>
          <w:noProof/>
        </w:rPr>
      </w:pPr>
      <w:r w:rsidRPr="002736BA">
        <w:rPr>
          <w:noProof/>
        </w:rPr>
        <w:t>202.</w:t>
      </w:r>
      <w:r w:rsidRPr="002736BA">
        <w:rPr>
          <w:noProof/>
        </w:rPr>
        <w:tab/>
        <w:t>Young P. et al. Effect of a buffered crystalloid solution vs saline on acute kidney injury among patients in the intensive care unit: The SPLIT randomized clinical trial // JAMA - J. Am. Med. Assoc. American Medical Association, 2015. Vol. 314, № 16. P. 1701–1710.</w:t>
      </w:r>
    </w:p>
    <w:p w14:paraId="0AC42028" w14:textId="77777777" w:rsidR="002736BA" w:rsidRPr="002736BA" w:rsidRDefault="002736BA" w:rsidP="002736BA">
      <w:pPr>
        <w:widowControl w:val="0"/>
        <w:autoSpaceDE w:val="0"/>
        <w:autoSpaceDN w:val="0"/>
        <w:adjustRightInd w:val="0"/>
        <w:ind w:left="640" w:hanging="640"/>
        <w:rPr>
          <w:noProof/>
        </w:rPr>
      </w:pPr>
      <w:r w:rsidRPr="002736BA">
        <w:rPr>
          <w:noProof/>
        </w:rPr>
        <w:t>203.</w:t>
      </w:r>
      <w:r w:rsidRPr="002736BA">
        <w:rPr>
          <w:noProof/>
        </w:rPr>
        <w:tab/>
        <w:t>Hoorn E.J. Intravenous fluids: balancing solutions // Journal of Nephrology. Springer New York LLC, 2017. Vol. 30, № 4. P. 485–492.</w:t>
      </w:r>
    </w:p>
    <w:p w14:paraId="21124F9D" w14:textId="77777777" w:rsidR="002736BA" w:rsidRPr="002736BA" w:rsidRDefault="002736BA" w:rsidP="002736BA">
      <w:pPr>
        <w:widowControl w:val="0"/>
        <w:autoSpaceDE w:val="0"/>
        <w:autoSpaceDN w:val="0"/>
        <w:adjustRightInd w:val="0"/>
        <w:ind w:left="640" w:hanging="640"/>
        <w:rPr>
          <w:noProof/>
        </w:rPr>
      </w:pPr>
      <w:r w:rsidRPr="002736BA">
        <w:rPr>
          <w:noProof/>
        </w:rPr>
        <w:t>204.</w:t>
      </w:r>
      <w:r w:rsidRPr="002736BA">
        <w:rPr>
          <w:noProof/>
        </w:rPr>
        <w:tab/>
        <w:t>Arends J. et al. ESPEN guidelines on nutrition in cancer patients // Clin. Nutr. Churchill Livingstone, 2017. Vol. 36, № 1. P. 11–48.</w:t>
      </w:r>
    </w:p>
    <w:p w14:paraId="5684EC89" w14:textId="77777777" w:rsidR="002736BA" w:rsidRPr="002736BA" w:rsidRDefault="002736BA" w:rsidP="002736BA">
      <w:pPr>
        <w:widowControl w:val="0"/>
        <w:autoSpaceDE w:val="0"/>
        <w:autoSpaceDN w:val="0"/>
        <w:adjustRightInd w:val="0"/>
        <w:ind w:left="640" w:hanging="640"/>
        <w:rPr>
          <w:noProof/>
        </w:rPr>
      </w:pPr>
      <w:r w:rsidRPr="002736BA">
        <w:rPr>
          <w:noProof/>
        </w:rPr>
        <w:t>205.</w:t>
      </w:r>
      <w:r w:rsidRPr="002736BA">
        <w:rPr>
          <w:noProof/>
        </w:rPr>
        <w:tab/>
        <w:t>Криволапов Ю.А. Технические аспекты выполнения трепанобиопсий костного мозга. Клиническая онкогематология 2014; 7:290—295 // Клиническая онкогематология. 2014. Vol. 7. P. 290–295.</w:t>
      </w:r>
    </w:p>
    <w:p w14:paraId="44732DF1" w14:textId="77777777" w:rsidR="002736BA" w:rsidRPr="002736BA" w:rsidRDefault="002736BA" w:rsidP="002736BA">
      <w:pPr>
        <w:widowControl w:val="0"/>
        <w:autoSpaceDE w:val="0"/>
        <w:autoSpaceDN w:val="0"/>
        <w:adjustRightInd w:val="0"/>
        <w:ind w:left="640" w:hanging="640"/>
        <w:rPr>
          <w:noProof/>
        </w:rPr>
      </w:pPr>
      <w:r w:rsidRPr="002736BA">
        <w:rPr>
          <w:noProof/>
        </w:rPr>
        <w:t>206.</w:t>
      </w:r>
      <w:r w:rsidRPr="002736BA">
        <w:rPr>
          <w:noProof/>
        </w:rPr>
        <w:tab/>
        <w:t>Wang J. et al. Diagnostic utility of bilateral bone marrow examination: Significance of morphologic and ancillary technique study in malignancy // Cancer. Cancer, 2002. Vol. 94, № 5. P. 1522–1531.</w:t>
      </w:r>
    </w:p>
    <w:p w14:paraId="11B65F27" w14:textId="77777777" w:rsidR="002736BA" w:rsidRPr="002736BA" w:rsidRDefault="002736BA" w:rsidP="002736BA">
      <w:pPr>
        <w:widowControl w:val="0"/>
        <w:autoSpaceDE w:val="0"/>
        <w:autoSpaceDN w:val="0"/>
        <w:adjustRightInd w:val="0"/>
        <w:ind w:left="640" w:hanging="640"/>
        <w:rPr>
          <w:noProof/>
        </w:rPr>
      </w:pPr>
      <w:r w:rsidRPr="002736BA">
        <w:rPr>
          <w:noProof/>
        </w:rPr>
        <w:lastRenderedPageBreak/>
        <w:t>207.</w:t>
      </w:r>
      <w:r w:rsidRPr="002736BA">
        <w:rPr>
          <w:noProof/>
        </w:rPr>
        <w:tab/>
        <w:t>Fong B., Van Bendegon J.M. Lumbar puncture. Neurologic and neurosurgical procedures // Rechman, E.F., Simon, R.R., eds. Emergency Medicine Procedures. New York: McGraw-Hill, 2004. P. 859–880.</w:t>
      </w:r>
    </w:p>
    <w:p w14:paraId="1C6D2486" w14:textId="77777777" w:rsidR="002736BA" w:rsidRPr="002736BA" w:rsidRDefault="002736BA" w:rsidP="002736BA">
      <w:pPr>
        <w:widowControl w:val="0"/>
        <w:autoSpaceDE w:val="0"/>
        <w:autoSpaceDN w:val="0"/>
        <w:adjustRightInd w:val="0"/>
        <w:ind w:left="640" w:hanging="640"/>
        <w:rPr>
          <w:noProof/>
        </w:rPr>
      </w:pPr>
      <w:r w:rsidRPr="002736BA">
        <w:rPr>
          <w:noProof/>
        </w:rPr>
        <w:t>208.</w:t>
      </w:r>
      <w:r w:rsidRPr="002736BA">
        <w:rPr>
          <w:noProof/>
        </w:rPr>
        <w:tab/>
        <w:t>Карагюлян С.Р. et al. Технические сложности выполнения спленэктомии при заболеваниях системы крови // Клиническая онкогематология. 2017. Vol. 10, № 1. P. 101–107.</w:t>
      </w:r>
    </w:p>
    <w:p w14:paraId="221EFBDA" w14:textId="77777777" w:rsidR="002736BA" w:rsidRPr="002736BA" w:rsidRDefault="002736BA" w:rsidP="002736BA">
      <w:pPr>
        <w:widowControl w:val="0"/>
        <w:autoSpaceDE w:val="0"/>
        <w:autoSpaceDN w:val="0"/>
        <w:adjustRightInd w:val="0"/>
        <w:ind w:left="640" w:hanging="640"/>
        <w:rPr>
          <w:noProof/>
        </w:rPr>
      </w:pPr>
      <w:r w:rsidRPr="002736BA">
        <w:rPr>
          <w:noProof/>
        </w:rPr>
        <w:t>209.</w:t>
      </w:r>
      <w:r w:rsidRPr="002736BA">
        <w:rPr>
          <w:noProof/>
        </w:rPr>
        <w:tab/>
        <w:t>Habermalz B. et al. Laparoscopic splenectomy: The clinical practice guidelines of the European Association for Endoscopic Surgery (EAES) // Surgical Endoscopy and Other Interventional Techniques. Surg Endosc, 2008. Vol. 22, № 4. P. 821–848.</w:t>
      </w:r>
    </w:p>
    <w:p w14:paraId="19B0A580" w14:textId="77777777" w:rsidR="002736BA" w:rsidRPr="002736BA" w:rsidRDefault="002736BA" w:rsidP="002736BA">
      <w:pPr>
        <w:widowControl w:val="0"/>
        <w:autoSpaceDE w:val="0"/>
        <w:autoSpaceDN w:val="0"/>
        <w:adjustRightInd w:val="0"/>
        <w:ind w:left="640" w:hanging="640"/>
        <w:rPr>
          <w:noProof/>
        </w:rPr>
      </w:pPr>
      <w:r w:rsidRPr="002736BA">
        <w:rPr>
          <w:noProof/>
        </w:rPr>
        <w:t>210.</w:t>
      </w:r>
      <w:r w:rsidRPr="002736BA">
        <w:rPr>
          <w:noProof/>
        </w:rPr>
        <w:tab/>
        <w:t>Воробьев А.И. et al. Критические состояния при гемобластозах (типичные формы и выживаемость в условиях отделения реанимации). // Терапевтический архив. 1993. Vol. 65, № 7. P. 3–6.</w:t>
      </w:r>
    </w:p>
    <w:p w14:paraId="28C9E808" w14:textId="77777777" w:rsidR="002736BA" w:rsidRPr="002736BA" w:rsidRDefault="002736BA" w:rsidP="002736BA">
      <w:pPr>
        <w:widowControl w:val="0"/>
        <w:autoSpaceDE w:val="0"/>
        <w:autoSpaceDN w:val="0"/>
        <w:adjustRightInd w:val="0"/>
        <w:ind w:left="640" w:hanging="640"/>
        <w:rPr>
          <w:noProof/>
        </w:rPr>
      </w:pPr>
      <w:r w:rsidRPr="002736BA">
        <w:rPr>
          <w:noProof/>
        </w:rPr>
        <w:t>211.</w:t>
      </w:r>
      <w:r w:rsidRPr="002736BA">
        <w:rPr>
          <w:noProof/>
        </w:rPr>
        <w:tab/>
        <w:t>Галстян Г.М., Городецкий В.М. Опыт работы отделения реанимации и интенсивной терапии ФГБУ ГНЦ МЗиСР РФ // Клиническая онкогематология. 2011. Vol. 4, № 1. P. 75–78.</w:t>
      </w:r>
    </w:p>
    <w:p w14:paraId="64D74E26" w14:textId="77777777" w:rsidR="002736BA" w:rsidRPr="002736BA" w:rsidRDefault="002736BA" w:rsidP="002736BA">
      <w:pPr>
        <w:widowControl w:val="0"/>
        <w:autoSpaceDE w:val="0"/>
        <w:autoSpaceDN w:val="0"/>
        <w:adjustRightInd w:val="0"/>
        <w:ind w:left="640" w:hanging="640"/>
        <w:rPr>
          <w:noProof/>
        </w:rPr>
      </w:pPr>
      <w:r w:rsidRPr="002736BA">
        <w:rPr>
          <w:noProof/>
        </w:rPr>
        <w:t>212.</w:t>
      </w:r>
      <w:r w:rsidRPr="002736BA">
        <w:rPr>
          <w:noProof/>
        </w:rPr>
        <w:tab/>
        <w:t>Lamia B. et al. Changes in severity and organ failure scores as prognostic factors in onco-hematological malignancy patients admitted to the ICU // Intensive Care Med. Intensive Care Med, 2006. Vol. 32, № 10. P. 1560–1568.</w:t>
      </w:r>
    </w:p>
    <w:p w14:paraId="32DE0071" w14:textId="77777777" w:rsidR="002736BA" w:rsidRPr="002736BA" w:rsidRDefault="002736BA" w:rsidP="002736BA">
      <w:pPr>
        <w:widowControl w:val="0"/>
        <w:autoSpaceDE w:val="0"/>
        <w:autoSpaceDN w:val="0"/>
        <w:adjustRightInd w:val="0"/>
        <w:ind w:left="640" w:hanging="640"/>
        <w:rPr>
          <w:noProof/>
        </w:rPr>
      </w:pPr>
      <w:r w:rsidRPr="002736BA">
        <w:rPr>
          <w:noProof/>
        </w:rPr>
        <w:t>213.</w:t>
      </w:r>
      <w:r w:rsidRPr="002736BA">
        <w:rPr>
          <w:noProof/>
        </w:rPr>
        <w:tab/>
        <w:t>Evison J.M. et al. Intensive care unit admission in patients with haematological disease: incidence, outcome and prognostic factors. 2001.</w:t>
      </w:r>
    </w:p>
    <w:p w14:paraId="09C3B377" w14:textId="77777777" w:rsidR="002736BA" w:rsidRPr="002736BA" w:rsidRDefault="002736BA" w:rsidP="002736BA">
      <w:pPr>
        <w:widowControl w:val="0"/>
        <w:autoSpaceDE w:val="0"/>
        <w:autoSpaceDN w:val="0"/>
        <w:adjustRightInd w:val="0"/>
        <w:ind w:left="640" w:hanging="640"/>
        <w:rPr>
          <w:noProof/>
        </w:rPr>
      </w:pPr>
      <w:r w:rsidRPr="002736BA">
        <w:rPr>
          <w:noProof/>
        </w:rPr>
        <w:t>214.</w:t>
      </w:r>
      <w:r w:rsidRPr="002736BA">
        <w:rPr>
          <w:noProof/>
        </w:rPr>
        <w:tab/>
        <w:t>Silfvast T. et al. Multiple organ failure and outcome of critically ill patients with haematological malignancy // Acta Anaesthesiol. Scand. Acta Anaesthesiol Scand, 2003. Vol. 47, № 3. P. 301–306.</w:t>
      </w:r>
    </w:p>
    <w:p w14:paraId="33C8897D" w14:textId="77777777" w:rsidR="002736BA" w:rsidRPr="002736BA" w:rsidRDefault="002736BA" w:rsidP="002736BA">
      <w:pPr>
        <w:widowControl w:val="0"/>
        <w:autoSpaceDE w:val="0"/>
        <w:autoSpaceDN w:val="0"/>
        <w:adjustRightInd w:val="0"/>
        <w:ind w:left="640" w:hanging="640"/>
        <w:rPr>
          <w:noProof/>
        </w:rPr>
      </w:pPr>
      <w:r w:rsidRPr="002736BA">
        <w:rPr>
          <w:noProof/>
        </w:rPr>
        <w:t>215.</w:t>
      </w:r>
      <w:r w:rsidRPr="002736BA">
        <w:rPr>
          <w:noProof/>
        </w:rPr>
        <w:tab/>
        <w:t>Benoit D.D. et al. Outcome and early prognostic indicators in patients with a hematologic malignancy admitted to the intensive care unit for a life-threatening complication // Crit. Care Med. Crit Care Med, 2003. Vol. 31, № 1. P. 104–112.</w:t>
      </w:r>
    </w:p>
    <w:p w14:paraId="2F4F4F29" w14:textId="77777777" w:rsidR="002736BA" w:rsidRPr="002736BA" w:rsidRDefault="002736BA" w:rsidP="002736BA">
      <w:pPr>
        <w:widowControl w:val="0"/>
        <w:autoSpaceDE w:val="0"/>
        <w:autoSpaceDN w:val="0"/>
        <w:adjustRightInd w:val="0"/>
        <w:ind w:left="640" w:hanging="640"/>
        <w:rPr>
          <w:noProof/>
        </w:rPr>
      </w:pPr>
      <w:r w:rsidRPr="002736BA">
        <w:rPr>
          <w:noProof/>
        </w:rPr>
        <w:t>216.</w:t>
      </w:r>
      <w:r w:rsidRPr="002736BA">
        <w:rPr>
          <w:noProof/>
        </w:rPr>
        <w:tab/>
        <w:t>Schellongowski P. et al. Prognostic factors for intensive care unit admission, intensive care outcome, and post-intensive care survival in patients with de novo acute myeloid leukemia: a single center experience // Haematologica. 2011. Vol. 96, № 2. P. 231–237.</w:t>
      </w:r>
    </w:p>
    <w:p w14:paraId="109CAE11" w14:textId="77777777" w:rsidR="002736BA" w:rsidRPr="002736BA" w:rsidRDefault="002736BA" w:rsidP="002736BA">
      <w:pPr>
        <w:widowControl w:val="0"/>
        <w:autoSpaceDE w:val="0"/>
        <w:autoSpaceDN w:val="0"/>
        <w:adjustRightInd w:val="0"/>
        <w:ind w:left="640" w:hanging="640"/>
        <w:rPr>
          <w:noProof/>
        </w:rPr>
      </w:pPr>
      <w:r w:rsidRPr="002736BA">
        <w:rPr>
          <w:noProof/>
        </w:rPr>
        <w:t>217.</w:t>
      </w:r>
      <w:r w:rsidRPr="002736BA">
        <w:rPr>
          <w:noProof/>
        </w:rPr>
        <w:tab/>
        <w:t>Medić M.G. et al. Hematologic malignancies in the medical intensive care unit – Outcomes and prognostic factors // Hematology. Maney Publishing, 2015. Vol. 20, № 5. P. 247–253.</w:t>
      </w:r>
    </w:p>
    <w:p w14:paraId="65CE714E" w14:textId="77777777" w:rsidR="002736BA" w:rsidRPr="002736BA" w:rsidRDefault="002736BA" w:rsidP="002736BA">
      <w:pPr>
        <w:widowControl w:val="0"/>
        <w:autoSpaceDE w:val="0"/>
        <w:autoSpaceDN w:val="0"/>
        <w:adjustRightInd w:val="0"/>
        <w:ind w:left="640" w:hanging="640"/>
        <w:rPr>
          <w:noProof/>
        </w:rPr>
      </w:pPr>
      <w:r w:rsidRPr="002736BA">
        <w:rPr>
          <w:noProof/>
        </w:rPr>
        <w:t>218.</w:t>
      </w:r>
      <w:r w:rsidRPr="002736BA">
        <w:rPr>
          <w:noProof/>
        </w:rPr>
        <w:tab/>
        <w:t>Jackson K. et al. Outcomes and prognostic factors for patients with acute myeloid leukemia admitted to the intensive care unit // Leuk. Lymphoma. Leuk Lymphoma, 2013. Vol. 55, № April. P. 1–8.</w:t>
      </w:r>
    </w:p>
    <w:p w14:paraId="3BDDA0D7" w14:textId="77777777" w:rsidR="002736BA" w:rsidRPr="002736BA" w:rsidRDefault="002736BA" w:rsidP="002736BA">
      <w:pPr>
        <w:widowControl w:val="0"/>
        <w:autoSpaceDE w:val="0"/>
        <w:autoSpaceDN w:val="0"/>
        <w:adjustRightInd w:val="0"/>
        <w:ind w:left="640" w:hanging="640"/>
        <w:rPr>
          <w:noProof/>
        </w:rPr>
      </w:pPr>
      <w:r w:rsidRPr="002736BA">
        <w:rPr>
          <w:noProof/>
        </w:rPr>
        <w:t>219.</w:t>
      </w:r>
      <w:r w:rsidRPr="002736BA">
        <w:rPr>
          <w:noProof/>
        </w:rPr>
        <w:tab/>
        <w:t xml:space="preserve">Ahmed T. et al. Outcomes and changes in code status of patients with acute myeloid </w:t>
      </w:r>
      <w:r w:rsidRPr="002736BA">
        <w:rPr>
          <w:noProof/>
        </w:rPr>
        <w:lastRenderedPageBreak/>
        <w:t>leukemia undergoing induction chemotherapy who were transferred to the intensive care unit // Leuk. Res. Elsevier Ltd, 2017. Vol. 62. P. 51–55.</w:t>
      </w:r>
    </w:p>
    <w:p w14:paraId="40703A56" w14:textId="77777777" w:rsidR="002736BA" w:rsidRPr="002736BA" w:rsidRDefault="002736BA" w:rsidP="002736BA">
      <w:pPr>
        <w:widowControl w:val="0"/>
        <w:autoSpaceDE w:val="0"/>
        <w:autoSpaceDN w:val="0"/>
        <w:adjustRightInd w:val="0"/>
        <w:ind w:left="640" w:hanging="640"/>
        <w:rPr>
          <w:noProof/>
        </w:rPr>
      </w:pPr>
      <w:r w:rsidRPr="002736BA">
        <w:rPr>
          <w:noProof/>
        </w:rPr>
        <w:t>220.</w:t>
      </w:r>
      <w:r w:rsidRPr="002736BA">
        <w:rPr>
          <w:noProof/>
        </w:rPr>
        <w:tab/>
        <w:t>Roze des Ordons A.L. et al. Clinical characteristics and outcomes of patients with acute myelogenous leukemia admitted to intensive care: A case-control study // BMC Cancer. 2010. Vol. 10. P. 516.</w:t>
      </w:r>
    </w:p>
    <w:p w14:paraId="2C7AD41A" w14:textId="77777777" w:rsidR="002736BA" w:rsidRPr="002736BA" w:rsidRDefault="002736BA" w:rsidP="002736BA">
      <w:pPr>
        <w:widowControl w:val="0"/>
        <w:autoSpaceDE w:val="0"/>
        <w:autoSpaceDN w:val="0"/>
        <w:adjustRightInd w:val="0"/>
        <w:ind w:left="640" w:hanging="640"/>
        <w:rPr>
          <w:noProof/>
        </w:rPr>
      </w:pPr>
      <w:r w:rsidRPr="002736BA">
        <w:rPr>
          <w:noProof/>
        </w:rPr>
        <w:t>221.</w:t>
      </w:r>
      <w:r w:rsidRPr="002736BA">
        <w:rPr>
          <w:noProof/>
        </w:rPr>
        <w:tab/>
        <w:t>Wohlfarth P. et al. Prognostic factors, long-term survival, and outcome of cancer patients receiving chemotherapy in the intensive care unit // Ann. Hematol. Springer Verlag, 2014. Vol. 93, № 10. P. 1629–1636.</w:t>
      </w:r>
    </w:p>
    <w:p w14:paraId="7F27C1A2" w14:textId="77777777" w:rsidR="002736BA" w:rsidRPr="002736BA" w:rsidRDefault="002736BA" w:rsidP="002736BA">
      <w:pPr>
        <w:widowControl w:val="0"/>
        <w:autoSpaceDE w:val="0"/>
        <w:autoSpaceDN w:val="0"/>
        <w:adjustRightInd w:val="0"/>
        <w:ind w:left="640" w:hanging="640"/>
        <w:rPr>
          <w:noProof/>
        </w:rPr>
      </w:pPr>
      <w:r w:rsidRPr="002736BA">
        <w:rPr>
          <w:noProof/>
        </w:rPr>
        <w:t>222.</w:t>
      </w:r>
      <w:r w:rsidRPr="002736BA">
        <w:rPr>
          <w:noProof/>
        </w:rPr>
        <w:tab/>
        <w:t>Fan E., Brodie D., Slutsky A.S. Acute Respiratory Distress Syndrome // JAMA. American Medical Association, 2018. Vol. 319, № 7. P. 698.</w:t>
      </w:r>
    </w:p>
    <w:p w14:paraId="333C5C0A" w14:textId="77777777" w:rsidR="002736BA" w:rsidRPr="002736BA" w:rsidRDefault="002736BA" w:rsidP="002736BA">
      <w:pPr>
        <w:widowControl w:val="0"/>
        <w:autoSpaceDE w:val="0"/>
        <w:autoSpaceDN w:val="0"/>
        <w:adjustRightInd w:val="0"/>
        <w:ind w:left="640" w:hanging="640"/>
        <w:rPr>
          <w:noProof/>
        </w:rPr>
      </w:pPr>
      <w:r w:rsidRPr="002736BA">
        <w:rPr>
          <w:noProof/>
        </w:rPr>
        <w:t>223.</w:t>
      </w:r>
      <w:r w:rsidRPr="002736BA">
        <w:rPr>
          <w:noProof/>
        </w:rPr>
        <w:tab/>
        <w:t>Welte K. et al. Purification and biochemical characterization of human pluripotent hematopoietic colony-stimulating factor // Proc. Natl. Acad. Sci. U. S. A. Proc Natl Acad Sci U S A, 1985. Vol. 82, № 5. P. 1526–1530.</w:t>
      </w:r>
    </w:p>
    <w:p w14:paraId="2DA3AC99" w14:textId="77777777" w:rsidR="002736BA" w:rsidRPr="002736BA" w:rsidRDefault="002736BA" w:rsidP="002736BA">
      <w:pPr>
        <w:widowControl w:val="0"/>
        <w:autoSpaceDE w:val="0"/>
        <w:autoSpaceDN w:val="0"/>
        <w:adjustRightInd w:val="0"/>
        <w:ind w:left="640" w:hanging="640"/>
        <w:rPr>
          <w:noProof/>
        </w:rPr>
      </w:pPr>
      <w:r w:rsidRPr="002736BA">
        <w:rPr>
          <w:noProof/>
        </w:rPr>
        <w:t>224.</w:t>
      </w:r>
      <w:r w:rsidRPr="002736BA">
        <w:rPr>
          <w:noProof/>
        </w:rPr>
        <w:tab/>
        <w:t>Krause D.S. et al. CD34: Structure, biology, and clinical utility // Blood. American Society of Hematology, 1996. Vol. 87, № 1. P. 1–13.</w:t>
      </w:r>
    </w:p>
    <w:p w14:paraId="7B212F90" w14:textId="77777777" w:rsidR="002736BA" w:rsidRPr="002736BA" w:rsidRDefault="002736BA" w:rsidP="002736BA">
      <w:pPr>
        <w:widowControl w:val="0"/>
        <w:autoSpaceDE w:val="0"/>
        <w:autoSpaceDN w:val="0"/>
        <w:adjustRightInd w:val="0"/>
        <w:ind w:left="640" w:hanging="640"/>
        <w:rPr>
          <w:noProof/>
        </w:rPr>
      </w:pPr>
      <w:r w:rsidRPr="002736BA">
        <w:rPr>
          <w:noProof/>
        </w:rPr>
        <w:t>225.</w:t>
      </w:r>
      <w:r w:rsidRPr="002736BA">
        <w:rPr>
          <w:noProof/>
        </w:rPr>
        <w:tab/>
        <w:t>Giralt S. et al. Optimizing autologous stem cell mobilization strategies to improve patient outcomes: Consensus guidelines and recommendations // Biology of Blood and Marrow Transplantation. Elsevier, 2014. Vol. 20, № 3. P. 295–308.</w:t>
      </w:r>
    </w:p>
    <w:p w14:paraId="432A9A2D" w14:textId="77777777" w:rsidR="002736BA" w:rsidRPr="002736BA" w:rsidRDefault="002736BA" w:rsidP="002736BA">
      <w:pPr>
        <w:widowControl w:val="0"/>
        <w:autoSpaceDE w:val="0"/>
        <w:autoSpaceDN w:val="0"/>
        <w:adjustRightInd w:val="0"/>
        <w:ind w:left="640" w:hanging="640"/>
        <w:rPr>
          <w:noProof/>
        </w:rPr>
      </w:pPr>
      <w:r w:rsidRPr="002736BA">
        <w:rPr>
          <w:noProof/>
        </w:rPr>
        <w:t>226.</w:t>
      </w:r>
      <w:r w:rsidRPr="002736BA">
        <w:rPr>
          <w:noProof/>
        </w:rPr>
        <w:tab/>
        <w:t>Stiff P.J. et al. Transplanted CD34 + Cell Dose Is Associated with Long-Term Platelet Count Recovery following Autologous Peripheral Blood Stem Cell Transplant in Patients with Non-Hodgkin Lymphoma or Multiple Myeloma // Biol. Blood Marrow Transplant. Biol Blood Marrow Transplant, 2011. Vol. 17, № 8. P. 1146–1153.</w:t>
      </w:r>
    </w:p>
    <w:p w14:paraId="54699BB8" w14:textId="77777777" w:rsidR="002736BA" w:rsidRPr="002736BA" w:rsidRDefault="002736BA" w:rsidP="002736BA">
      <w:pPr>
        <w:widowControl w:val="0"/>
        <w:autoSpaceDE w:val="0"/>
        <w:autoSpaceDN w:val="0"/>
        <w:adjustRightInd w:val="0"/>
        <w:ind w:left="640" w:hanging="640"/>
        <w:rPr>
          <w:noProof/>
        </w:rPr>
      </w:pPr>
      <w:r w:rsidRPr="002736BA">
        <w:rPr>
          <w:noProof/>
        </w:rPr>
        <w:t>227.</w:t>
      </w:r>
      <w:r w:rsidRPr="002736BA">
        <w:rPr>
          <w:noProof/>
        </w:rPr>
        <w:tab/>
        <w:t>Passos-Coelho J.L. et al. Predictive factors for peripheral-blood progenitor-cell collections using a single large-volume leukapheresis after cyclophosphamide and granulocyte- macrophage colony-stimulating factor mobilization // J. Clin. Oncol. American Society of Clinical Oncology, 1995. Vol. 13, № 3. P. 705–714.</w:t>
      </w:r>
    </w:p>
    <w:p w14:paraId="7287C6D8" w14:textId="77777777" w:rsidR="002736BA" w:rsidRPr="002736BA" w:rsidRDefault="002736BA" w:rsidP="002736BA">
      <w:pPr>
        <w:widowControl w:val="0"/>
        <w:autoSpaceDE w:val="0"/>
        <w:autoSpaceDN w:val="0"/>
        <w:adjustRightInd w:val="0"/>
        <w:ind w:left="640" w:hanging="640"/>
        <w:rPr>
          <w:noProof/>
        </w:rPr>
      </w:pPr>
      <w:r w:rsidRPr="002736BA">
        <w:rPr>
          <w:noProof/>
        </w:rPr>
        <w:t>228.</w:t>
      </w:r>
      <w:r w:rsidRPr="002736BA">
        <w:rPr>
          <w:noProof/>
        </w:rPr>
        <w:tab/>
        <w:t>Hohaus S. et al. Successful autografting following myeloablative conditioning therapy with blood stem cells mobilized by chemotherapy plus rhG-CSF. // Exp. Hematol. 1993. Vol. 21, № 4. P. 508–514.</w:t>
      </w:r>
    </w:p>
    <w:p w14:paraId="5DE446FA" w14:textId="77777777" w:rsidR="002736BA" w:rsidRPr="002736BA" w:rsidRDefault="002736BA" w:rsidP="002736BA">
      <w:pPr>
        <w:widowControl w:val="0"/>
        <w:autoSpaceDE w:val="0"/>
        <w:autoSpaceDN w:val="0"/>
        <w:adjustRightInd w:val="0"/>
        <w:ind w:left="640" w:hanging="640"/>
        <w:rPr>
          <w:noProof/>
        </w:rPr>
      </w:pPr>
      <w:r w:rsidRPr="002736BA">
        <w:rPr>
          <w:noProof/>
        </w:rPr>
        <w:t>229.</w:t>
      </w:r>
      <w:r w:rsidRPr="002736BA">
        <w:rPr>
          <w:noProof/>
        </w:rPr>
        <w:tab/>
        <w:t>Покровская О.С., Менделеева Л.П., Гальцева И.В., Варламова Е.Ю., Капланская И.Б., Воробьев И.А., Грецов Е.М., Калинин Н.Н., Варламова С.В., Клясова Г.А., Тихонова Л.Ю. С.В.Г. Мобилизация гемопоэтических клеток крови у больных миеломной болезнью // Проблемы гематологии и переливания. 2003. P. 55–56.</w:t>
      </w:r>
    </w:p>
    <w:p w14:paraId="1983BE10" w14:textId="77777777" w:rsidR="002736BA" w:rsidRPr="002736BA" w:rsidRDefault="002736BA" w:rsidP="002736BA">
      <w:pPr>
        <w:widowControl w:val="0"/>
        <w:autoSpaceDE w:val="0"/>
        <w:autoSpaceDN w:val="0"/>
        <w:adjustRightInd w:val="0"/>
        <w:ind w:left="640" w:hanging="640"/>
        <w:rPr>
          <w:noProof/>
        </w:rPr>
      </w:pPr>
      <w:r w:rsidRPr="002736BA">
        <w:rPr>
          <w:noProof/>
        </w:rPr>
        <w:t>230.</w:t>
      </w:r>
      <w:r w:rsidRPr="002736BA">
        <w:rPr>
          <w:noProof/>
        </w:rPr>
        <w:tab/>
        <w:t xml:space="preserve">Olivieri A. et al. Proposed definition of “poor mobilizer” in lymphoma and multiple myeloma: An analytic hierarchy process by ad hoc working group Gruppo ItalianoTrapianto </w:t>
      </w:r>
      <w:r w:rsidRPr="002736BA">
        <w:rPr>
          <w:noProof/>
        </w:rPr>
        <w:lastRenderedPageBreak/>
        <w:t>di Midollo Osseo // Bone Marrow Transplant. Bone Marrow Transplant, 2012. Vol. 47, № 3. P. 342–351.</w:t>
      </w:r>
    </w:p>
    <w:p w14:paraId="6E1F2C19" w14:textId="77777777" w:rsidR="002736BA" w:rsidRPr="002736BA" w:rsidRDefault="002736BA" w:rsidP="002736BA">
      <w:pPr>
        <w:widowControl w:val="0"/>
        <w:autoSpaceDE w:val="0"/>
        <w:autoSpaceDN w:val="0"/>
        <w:adjustRightInd w:val="0"/>
        <w:ind w:left="640" w:hanging="640"/>
        <w:rPr>
          <w:noProof/>
        </w:rPr>
      </w:pPr>
      <w:r w:rsidRPr="002736BA">
        <w:rPr>
          <w:noProof/>
        </w:rPr>
        <w:t>231.</w:t>
      </w:r>
      <w:r w:rsidRPr="002736BA">
        <w:rPr>
          <w:noProof/>
        </w:rPr>
        <w:tab/>
        <w:t>Yang B.B., Kido A. Pharmacokinetics and pharmacodynamics of pegfilgrastim // Clinical Pharmacokinetics. Clin Pharmacokinet, 2011. Vol. 50, № 5. P. 295–306.</w:t>
      </w:r>
    </w:p>
    <w:p w14:paraId="3CEBB571" w14:textId="77777777" w:rsidR="002736BA" w:rsidRPr="002736BA" w:rsidRDefault="002736BA" w:rsidP="002736BA">
      <w:pPr>
        <w:widowControl w:val="0"/>
        <w:autoSpaceDE w:val="0"/>
        <w:autoSpaceDN w:val="0"/>
        <w:adjustRightInd w:val="0"/>
        <w:ind w:left="640" w:hanging="640"/>
        <w:rPr>
          <w:noProof/>
        </w:rPr>
      </w:pPr>
      <w:r w:rsidRPr="002736BA">
        <w:rPr>
          <w:noProof/>
        </w:rPr>
        <w:t>232.</w:t>
      </w:r>
      <w:r w:rsidRPr="002736BA">
        <w:rPr>
          <w:noProof/>
        </w:rPr>
        <w:tab/>
        <w:t>Costa L.J. et al. Pegfilgrastim-versus filgrastim-based autologous hematopoietic stem cell mobilization in the setting of preemptive use of plerixafor: Efficacy and cost analysis // Transfusion. Transfusion, 2012. Vol. 52, № 11. P. 2375–2381.</w:t>
      </w:r>
    </w:p>
    <w:p w14:paraId="399C7B5B" w14:textId="77777777" w:rsidR="002736BA" w:rsidRPr="002736BA" w:rsidRDefault="002736BA" w:rsidP="002736BA">
      <w:pPr>
        <w:widowControl w:val="0"/>
        <w:autoSpaceDE w:val="0"/>
        <w:autoSpaceDN w:val="0"/>
        <w:adjustRightInd w:val="0"/>
        <w:ind w:left="640" w:hanging="640"/>
        <w:rPr>
          <w:noProof/>
        </w:rPr>
      </w:pPr>
      <w:r w:rsidRPr="002736BA">
        <w:rPr>
          <w:noProof/>
        </w:rPr>
        <w:t>233.</w:t>
      </w:r>
      <w:r w:rsidRPr="002736BA">
        <w:rPr>
          <w:noProof/>
        </w:rPr>
        <w:tab/>
        <w:t>Dale D.C. et al. A systematic literature review of the efficacy, effectiveness, and safety of filgrastim // Supportive Care in Cancer. Springer Verlag, 2018. Vol. 26, № 1. P. 7–20.</w:t>
      </w:r>
    </w:p>
    <w:p w14:paraId="43351A97" w14:textId="77777777" w:rsidR="002736BA" w:rsidRPr="002736BA" w:rsidRDefault="002736BA" w:rsidP="002736BA">
      <w:pPr>
        <w:widowControl w:val="0"/>
        <w:autoSpaceDE w:val="0"/>
        <w:autoSpaceDN w:val="0"/>
        <w:adjustRightInd w:val="0"/>
        <w:ind w:left="640" w:hanging="640"/>
        <w:rPr>
          <w:noProof/>
        </w:rPr>
      </w:pPr>
      <w:r w:rsidRPr="002736BA">
        <w:rPr>
          <w:noProof/>
        </w:rPr>
        <w:t>234.</w:t>
      </w:r>
      <w:r w:rsidRPr="002736BA">
        <w:rPr>
          <w:noProof/>
        </w:rPr>
        <w:tab/>
        <w:t>Smith T.J. et al. Recommendations for the use of WBC growth factors: American society of clinical oncology clinical practice guideline update // J. Clin. Oncol. American Society of Clinical Oncology, 2015. Vol. 33, № 28. P. 3199–3212.</w:t>
      </w:r>
    </w:p>
    <w:p w14:paraId="6749E619" w14:textId="77777777" w:rsidR="002736BA" w:rsidRPr="002736BA" w:rsidRDefault="002736BA" w:rsidP="002736BA">
      <w:pPr>
        <w:widowControl w:val="0"/>
        <w:autoSpaceDE w:val="0"/>
        <w:autoSpaceDN w:val="0"/>
        <w:adjustRightInd w:val="0"/>
        <w:ind w:left="640" w:hanging="640"/>
        <w:rPr>
          <w:noProof/>
        </w:rPr>
      </w:pPr>
      <w:r w:rsidRPr="002736BA">
        <w:rPr>
          <w:noProof/>
        </w:rPr>
        <w:t>235.</w:t>
      </w:r>
      <w:r w:rsidRPr="002736BA">
        <w:rPr>
          <w:noProof/>
        </w:rPr>
        <w:tab/>
        <w:t>Bilgin Y.M., De Greef G.E. Plerixafor for stem cell mobilization: The current status // Current Opinion in Hematology. Lippincott Williams and Wilkins, 2016. Vol. 23, № 1. P. 67–71.</w:t>
      </w:r>
    </w:p>
    <w:p w14:paraId="190D45B8" w14:textId="77777777" w:rsidR="002736BA" w:rsidRPr="002736BA" w:rsidRDefault="002736BA" w:rsidP="002736BA">
      <w:pPr>
        <w:widowControl w:val="0"/>
        <w:autoSpaceDE w:val="0"/>
        <w:autoSpaceDN w:val="0"/>
        <w:adjustRightInd w:val="0"/>
        <w:ind w:left="640" w:hanging="640"/>
        <w:rPr>
          <w:noProof/>
        </w:rPr>
      </w:pPr>
      <w:r w:rsidRPr="002736BA">
        <w:rPr>
          <w:noProof/>
        </w:rPr>
        <w:t>236.</w:t>
      </w:r>
      <w:r w:rsidRPr="002736BA">
        <w:rPr>
          <w:noProof/>
        </w:rPr>
        <w:tab/>
        <w:t>Бабенецкая Д.В., Моторин Д.В., Петров А.В., Алексеева Ю.А. З.А.Ю. Мобилизация гемопоэтических стволовых клеток препаратами циклофосфамид и цитарабин в сочетании с колониестимулирующим фактором у больных множественной миеломой, кандидатов для проведения трансплантации аутологичных гемопоэтических стволовых клеток // Гематология и трансфузиология. 2017. № 62(4). P. 180-187.</w:t>
      </w:r>
    </w:p>
    <w:p w14:paraId="2D386841" w14:textId="77777777" w:rsidR="002736BA" w:rsidRPr="002736BA" w:rsidRDefault="002736BA" w:rsidP="002736BA">
      <w:pPr>
        <w:widowControl w:val="0"/>
        <w:autoSpaceDE w:val="0"/>
        <w:autoSpaceDN w:val="0"/>
        <w:adjustRightInd w:val="0"/>
        <w:ind w:left="640" w:hanging="640"/>
        <w:rPr>
          <w:noProof/>
        </w:rPr>
      </w:pPr>
      <w:r w:rsidRPr="002736BA">
        <w:rPr>
          <w:noProof/>
        </w:rPr>
        <w:t>237.</w:t>
      </w:r>
      <w:r w:rsidRPr="002736BA">
        <w:rPr>
          <w:noProof/>
        </w:rPr>
        <w:tab/>
        <w:t>Покровская О.С. Кроветворная ткань и стромальное микроокружение в процессе интенсивной терапии и мобилизации гемопоэтических стволовых клеток у больных множественной миеломой: Автореф. дис.канд.мед.наук. 2011. Vol. 153. 29 p.</w:t>
      </w:r>
    </w:p>
    <w:p w14:paraId="6804593B" w14:textId="77777777" w:rsidR="002736BA" w:rsidRPr="002736BA" w:rsidRDefault="002736BA" w:rsidP="002736BA">
      <w:pPr>
        <w:widowControl w:val="0"/>
        <w:autoSpaceDE w:val="0"/>
        <w:autoSpaceDN w:val="0"/>
        <w:adjustRightInd w:val="0"/>
        <w:ind w:left="640" w:hanging="640"/>
        <w:rPr>
          <w:noProof/>
        </w:rPr>
      </w:pPr>
      <w:r w:rsidRPr="002736BA">
        <w:rPr>
          <w:noProof/>
        </w:rPr>
        <w:t>238.</w:t>
      </w:r>
      <w:r w:rsidRPr="002736BA">
        <w:rPr>
          <w:noProof/>
        </w:rPr>
        <w:tab/>
        <w:t>Афанасьева О.И., Воинов В.А. Г.Ю.С. Экстракорпоральная гемокоррекция: терминология, языковые соответствия. СПб, 2016. P. 7–15.</w:t>
      </w:r>
    </w:p>
    <w:p w14:paraId="09E0218D" w14:textId="77777777" w:rsidR="002736BA" w:rsidRPr="002736BA" w:rsidRDefault="002736BA" w:rsidP="002736BA">
      <w:pPr>
        <w:widowControl w:val="0"/>
        <w:autoSpaceDE w:val="0"/>
        <w:autoSpaceDN w:val="0"/>
        <w:adjustRightInd w:val="0"/>
        <w:ind w:left="640" w:hanging="640"/>
        <w:rPr>
          <w:noProof/>
        </w:rPr>
      </w:pPr>
      <w:r w:rsidRPr="002736BA">
        <w:rPr>
          <w:noProof/>
        </w:rPr>
        <w:t>239.</w:t>
      </w:r>
      <w:r w:rsidRPr="002736BA">
        <w:rPr>
          <w:noProof/>
        </w:rPr>
        <w:tab/>
        <w:t>Ikeda K. et al. Adverse Events Associated With Infusion of Hematopoietic Stem Cell Products: A Prospective and Multicenter Surveillance Study // Transfusion Medicine Reviews. W.B. Saunders, 2018. Vol. 32, № 3. P. 186–194.</w:t>
      </w:r>
    </w:p>
    <w:p w14:paraId="7673CE06" w14:textId="77777777" w:rsidR="002736BA" w:rsidRPr="002736BA" w:rsidRDefault="002736BA" w:rsidP="002736BA">
      <w:pPr>
        <w:widowControl w:val="0"/>
        <w:autoSpaceDE w:val="0"/>
        <w:autoSpaceDN w:val="0"/>
        <w:adjustRightInd w:val="0"/>
        <w:ind w:left="640" w:hanging="640"/>
        <w:rPr>
          <w:noProof/>
        </w:rPr>
      </w:pPr>
      <w:r w:rsidRPr="002736BA">
        <w:rPr>
          <w:noProof/>
        </w:rPr>
        <w:t>240.</w:t>
      </w:r>
      <w:r w:rsidRPr="002736BA">
        <w:rPr>
          <w:noProof/>
        </w:rPr>
        <w:tab/>
        <w:t>Sutherland D.R. et al. The ISHAGE guidelines for CD34+ cell determination by flow cytometry // Journal of Hematotherapy and Stem Cell Research. J Hematother, 1996. Vol. 5, № 3. P. 213–226.</w:t>
      </w:r>
    </w:p>
    <w:p w14:paraId="53B3B809" w14:textId="77777777" w:rsidR="002736BA" w:rsidRPr="002736BA" w:rsidRDefault="002736BA" w:rsidP="002736BA">
      <w:pPr>
        <w:widowControl w:val="0"/>
        <w:autoSpaceDE w:val="0"/>
        <w:autoSpaceDN w:val="0"/>
        <w:adjustRightInd w:val="0"/>
        <w:ind w:left="640" w:hanging="640"/>
        <w:rPr>
          <w:noProof/>
        </w:rPr>
      </w:pPr>
      <w:r w:rsidRPr="002736BA">
        <w:rPr>
          <w:noProof/>
        </w:rPr>
        <w:t>241.</w:t>
      </w:r>
      <w:r w:rsidRPr="002736BA">
        <w:rPr>
          <w:noProof/>
        </w:rPr>
        <w:tab/>
        <w:t>Enric Carreras D.C., Mohty Mohamad K.N. Hematopoietic Stem Cell Transplantation and Cellular Therapies. 2019. 702 p.</w:t>
      </w:r>
    </w:p>
    <w:p w14:paraId="30A814DA" w14:textId="77777777" w:rsidR="002736BA" w:rsidRPr="002736BA" w:rsidRDefault="002736BA" w:rsidP="002736BA">
      <w:pPr>
        <w:widowControl w:val="0"/>
        <w:autoSpaceDE w:val="0"/>
        <w:autoSpaceDN w:val="0"/>
        <w:adjustRightInd w:val="0"/>
        <w:ind w:left="640" w:hanging="640"/>
        <w:rPr>
          <w:noProof/>
        </w:rPr>
      </w:pPr>
      <w:r w:rsidRPr="002736BA">
        <w:rPr>
          <w:noProof/>
        </w:rPr>
        <w:t>242.</w:t>
      </w:r>
      <w:r w:rsidRPr="002736BA">
        <w:rPr>
          <w:noProof/>
        </w:rPr>
        <w:tab/>
        <w:t xml:space="preserve">Frankiewicz A. et al. Comparable safety profile of BeEAM (bendamustine, etoposide, </w:t>
      </w:r>
      <w:r w:rsidRPr="002736BA">
        <w:rPr>
          <w:noProof/>
        </w:rPr>
        <w:lastRenderedPageBreak/>
        <w:t>cytarabine, melphalan) and BEAM (carmustine, etoposide, cytarabine, melphalan) as conditioning before autologous haematopoietic cell transplantation. // Contemp. Oncol. (Poznan, Poland). Termedia Publishing, 2018. Vol. 22, № 2. P. 113–117.</w:t>
      </w:r>
    </w:p>
    <w:p w14:paraId="3B34B208" w14:textId="77777777" w:rsidR="002736BA" w:rsidRPr="002736BA" w:rsidRDefault="002736BA" w:rsidP="002736BA">
      <w:pPr>
        <w:widowControl w:val="0"/>
        <w:autoSpaceDE w:val="0"/>
        <w:autoSpaceDN w:val="0"/>
        <w:adjustRightInd w:val="0"/>
        <w:ind w:left="640" w:hanging="640"/>
        <w:rPr>
          <w:noProof/>
        </w:rPr>
      </w:pPr>
      <w:r w:rsidRPr="002736BA">
        <w:rPr>
          <w:noProof/>
        </w:rPr>
        <w:t>243.</w:t>
      </w:r>
      <w:r w:rsidRPr="002736BA">
        <w:rPr>
          <w:noProof/>
        </w:rPr>
        <w:tab/>
        <w:t>Caballero M.D. et al. BEAM chemotherapy followed by autologous stem cell support in lymphoma patients: analysis of efficacy, toxicity and prognostic factors. // Bone Marrow Transplant. Bone Marrow Transplant, 1997. Vol. 20, № 6. P. 451–458.</w:t>
      </w:r>
    </w:p>
    <w:p w14:paraId="6F9EB7A4" w14:textId="77777777" w:rsidR="002736BA" w:rsidRPr="002736BA" w:rsidRDefault="002736BA" w:rsidP="002736BA">
      <w:pPr>
        <w:widowControl w:val="0"/>
        <w:autoSpaceDE w:val="0"/>
        <w:autoSpaceDN w:val="0"/>
        <w:adjustRightInd w:val="0"/>
        <w:ind w:left="640" w:hanging="640"/>
        <w:rPr>
          <w:noProof/>
        </w:rPr>
      </w:pPr>
      <w:r w:rsidRPr="002736BA">
        <w:rPr>
          <w:noProof/>
        </w:rPr>
        <w:t>244.</w:t>
      </w:r>
      <w:r w:rsidRPr="002736BA">
        <w:rPr>
          <w:noProof/>
        </w:rPr>
        <w:tab/>
        <w:t>Mills W. et al. BEAM chemotherapy and autologous bone marrow transplantation for patients with relapsed or refractory non-Hodgkin’s lymphoma. // J. Clin. Oncol. J Clin Oncol, 1995. Vol. 13, № 3. P. 588–595.</w:t>
      </w:r>
    </w:p>
    <w:p w14:paraId="36F80D82" w14:textId="77777777" w:rsidR="002736BA" w:rsidRPr="002736BA" w:rsidRDefault="002736BA" w:rsidP="002736BA">
      <w:pPr>
        <w:widowControl w:val="0"/>
        <w:autoSpaceDE w:val="0"/>
        <w:autoSpaceDN w:val="0"/>
        <w:adjustRightInd w:val="0"/>
        <w:ind w:left="640" w:hanging="640"/>
        <w:rPr>
          <w:noProof/>
        </w:rPr>
      </w:pPr>
      <w:r w:rsidRPr="002736BA">
        <w:rPr>
          <w:noProof/>
        </w:rPr>
        <w:t>245.</w:t>
      </w:r>
      <w:r w:rsidRPr="002736BA">
        <w:rPr>
          <w:noProof/>
        </w:rPr>
        <w:tab/>
        <w:t>Colita A. et al. LEAM vs. BEAM vs. CLV Conditioning Regimen for Autologous Stem Cell Transplantation in Malignant Lymphomas. Retrospective Comparison of Toxicity and Efficacy on 222 Patients in the First 100 Days After Transplant, On Behalf of the Romanian Society for Bon // Front. Oncol. 2019. Vol. 9. P. 892.</w:t>
      </w:r>
    </w:p>
    <w:p w14:paraId="652B02AD" w14:textId="77777777" w:rsidR="002736BA" w:rsidRPr="002736BA" w:rsidRDefault="002736BA" w:rsidP="002736BA">
      <w:pPr>
        <w:widowControl w:val="0"/>
        <w:autoSpaceDE w:val="0"/>
        <w:autoSpaceDN w:val="0"/>
        <w:adjustRightInd w:val="0"/>
        <w:ind w:left="640" w:hanging="640"/>
        <w:rPr>
          <w:noProof/>
        </w:rPr>
      </w:pPr>
      <w:r w:rsidRPr="002736BA">
        <w:rPr>
          <w:noProof/>
        </w:rPr>
        <w:t>246.</w:t>
      </w:r>
      <w:r w:rsidRPr="002736BA">
        <w:rPr>
          <w:noProof/>
        </w:rPr>
        <w:tab/>
        <w:t>Sharma A. et al. Comparison of BEAM vs. LEAM regimen in autologous transplant for lymphoma at AIIMS. // Springerplus. Springerplus, 2013. Vol. 2. P. 489.</w:t>
      </w:r>
    </w:p>
    <w:p w14:paraId="3E128781" w14:textId="77777777" w:rsidR="002736BA" w:rsidRPr="002736BA" w:rsidRDefault="002736BA" w:rsidP="002736BA">
      <w:pPr>
        <w:widowControl w:val="0"/>
        <w:autoSpaceDE w:val="0"/>
        <w:autoSpaceDN w:val="0"/>
        <w:adjustRightInd w:val="0"/>
        <w:ind w:left="640" w:hanging="640"/>
        <w:rPr>
          <w:noProof/>
        </w:rPr>
      </w:pPr>
      <w:r w:rsidRPr="002736BA">
        <w:rPr>
          <w:noProof/>
        </w:rPr>
        <w:t>247.</w:t>
      </w:r>
      <w:r w:rsidRPr="002736BA">
        <w:rPr>
          <w:noProof/>
        </w:rPr>
        <w:tab/>
        <w:t>Perz J.B. et al. LACE-conditioned autologous stem cell transplantation for relapsed or refractory Hodgkin’s lymphoma: treatment outcome and risk factor analysis in 67 patients from a single centre. // Bone Marrow Transplant. Bone Marrow Transplant, 2007. Vol. 39, № 1. P. 41–47.</w:t>
      </w:r>
    </w:p>
    <w:p w14:paraId="67E545D7" w14:textId="77777777" w:rsidR="002736BA" w:rsidRPr="002736BA" w:rsidRDefault="002736BA" w:rsidP="002736BA">
      <w:pPr>
        <w:widowControl w:val="0"/>
        <w:autoSpaceDE w:val="0"/>
        <w:autoSpaceDN w:val="0"/>
        <w:adjustRightInd w:val="0"/>
        <w:ind w:left="640" w:hanging="640"/>
        <w:rPr>
          <w:noProof/>
        </w:rPr>
      </w:pPr>
      <w:r w:rsidRPr="002736BA">
        <w:rPr>
          <w:noProof/>
        </w:rPr>
        <w:t>248.</w:t>
      </w:r>
      <w:r w:rsidRPr="002736BA">
        <w:rPr>
          <w:noProof/>
        </w:rPr>
        <w:tab/>
        <w:t>Ramzi M. et al. Autologous noncryopreserved hematopoietic stem cell transplant with CEAM as a modified conditioning regimen in patients with Hodgkin lymphoma: a single-center experience with a new protocol. // Exp. Clin. Transplant. Exp Clin Transplant, 2012. Vol. 10, № 2. P. 163–167.</w:t>
      </w:r>
    </w:p>
    <w:p w14:paraId="61B52B1C" w14:textId="77777777" w:rsidR="002736BA" w:rsidRPr="002736BA" w:rsidRDefault="002736BA" w:rsidP="002736BA">
      <w:pPr>
        <w:widowControl w:val="0"/>
        <w:autoSpaceDE w:val="0"/>
        <w:autoSpaceDN w:val="0"/>
        <w:adjustRightInd w:val="0"/>
        <w:ind w:left="640" w:hanging="640"/>
        <w:rPr>
          <w:noProof/>
        </w:rPr>
      </w:pPr>
      <w:r w:rsidRPr="002736BA">
        <w:rPr>
          <w:noProof/>
        </w:rPr>
        <w:t>249.</w:t>
      </w:r>
      <w:r w:rsidRPr="002736BA">
        <w:rPr>
          <w:noProof/>
        </w:rPr>
        <w:tab/>
        <w:t>Visani G. et al. XRCC1 399GG genotype predicts significantly longer overall survival in resistant lymphoma patients treated with Benda-EAM and ASCT // Bone Marrow Transplant. Nature Publishing Group, 2020. Vol. 55, № 4. P. 818–820.</w:t>
      </w:r>
    </w:p>
    <w:p w14:paraId="7E43C17C" w14:textId="77777777" w:rsidR="002736BA" w:rsidRPr="002736BA" w:rsidRDefault="002736BA" w:rsidP="002736BA">
      <w:pPr>
        <w:widowControl w:val="0"/>
        <w:autoSpaceDE w:val="0"/>
        <w:autoSpaceDN w:val="0"/>
        <w:adjustRightInd w:val="0"/>
        <w:ind w:left="640" w:hanging="640"/>
        <w:rPr>
          <w:noProof/>
        </w:rPr>
      </w:pPr>
      <w:r w:rsidRPr="002736BA">
        <w:rPr>
          <w:noProof/>
        </w:rPr>
        <w:t>250.</w:t>
      </w:r>
      <w:r w:rsidRPr="002736BA">
        <w:rPr>
          <w:noProof/>
        </w:rPr>
        <w:tab/>
        <w:t>Visani G. et al. BeEAM (bendamustine, etoposide, cytarabine, melphalan) before autologous stem cell transplantation is safe and effective for resistant/relapsed lymphoma patients. // Blood. 2011. Vol. 118, № 12. P. 3419–3425.</w:t>
      </w:r>
    </w:p>
    <w:p w14:paraId="0862BCF8" w14:textId="77777777" w:rsidR="002736BA" w:rsidRPr="002736BA" w:rsidRDefault="002736BA" w:rsidP="002736BA">
      <w:pPr>
        <w:widowControl w:val="0"/>
        <w:autoSpaceDE w:val="0"/>
        <w:autoSpaceDN w:val="0"/>
        <w:adjustRightInd w:val="0"/>
        <w:ind w:left="640" w:hanging="640"/>
        <w:rPr>
          <w:noProof/>
        </w:rPr>
      </w:pPr>
      <w:r w:rsidRPr="002736BA">
        <w:rPr>
          <w:noProof/>
        </w:rPr>
        <w:t>251.</w:t>
      </w:r>
      <w:r w:rsidRPr="002736BA">
        <w:rPr>
          <w:noProof/>
        </w:rPr>
        <w:tab/>
        <w:t>Omuro A. et al. R-MPV followed by high-dose chemotherapy with TBC and autologous stem-cell transplant for newly diagnosed primary CNS lymphoma. // Blood. Blood, 2015. Vol. 125, № 9. P. 1403–1410.</w:t>
      </w:r>
    </w:p>
    <w:p w14:paraId="4EF82094" w14:textId="77777777" w:rsidR="002736BA" w:rsidRPr="002736BA" w:rsidRDefault="002736BA" w:rsidP="002736BA">
      <w:pPr>
        <w:widowControl w:val="0"/>
        <w:autoSpaceDE w:val="0"/>
        <w:autoSpaceDN w:val="0"/>
        <w:adjustRightInd w:val="0"/>
        <w:ind w:left="640" w:hanging="640"/>
        <w:rPr>
          <w:noProof/>
        </w:rPr>
      </w:pPr>
      <w:r w:rsidRPr="002736BA">
        <w:rPr>
          <w:noProof/>
        </w:rPr>
        <w:t>252.</w:t>
      </w:r>
      <w:r w:rsidRPr="002736BA">
        <w:rPr>
          <w:noProof/>
        </w:rPr>
        <w:tab/>
        <w:t>DeFilipp Z. et al. High-dose chemotherapy with thiotepa, busulfan, and cyclophosphamide and autologous stem cell transplantation for patients with primary central nervous system lymphoma in first complete remission. // Cancer. Cancer, 2017. Vol. 123, № 16. P. 3073–</w:t>
      </w:r>
      <w:r w:rsidRPr="002736BA">
        <w:rPr>
          <w:noProof/>
        </w:rPr>
        <w:lastRenderedPageBreak/>
        <w:t>3079.</w:t>
      </w:r>
    </w:p>
    <w:p w14:paraId="2006A73B" w14:textId="77777777" w:rsidR="002736BA" w:rsidRPr="002736BA" w:rsidRDefault="002736BA" w:rsidP="002736BA">
      <w:pPr>
        <w:widowControl w:val="0"/>
        <w:autoSpaceDE w:val="0"/>
        <w:autoSpaceDN w:val="0"/>
        <w:adjustRightInd w:val="0"/>
        <w:ind w:left="640" w:hanging="640"/>
        <w:rPr>
          <w:noProof/>
        </w:rPr>
      </w:pPr>
      <w:r w:rsidRPr="002736BA">
        <w:rPr>
          <w:noProof/>
        </w:rPr>
        <w:t>253.</w:t>
      </w:r>
      <w:r w:rsidRPr="002736BA">
        <w:rPr>
          <w:noProof/>
        </w:rPr>
        <w:tab/>
        <w:t>Lanas A., Chan F.K.L. Peptic ulcer disease. // Lancet (London, England). Lancet, 2017. Vol. 390, № 10094. P. 613–624.</w:t>
      </w:r>
    </w:p>
    <w:p w14:paraId="3A4A57A1" w14:textId="77777777" w:rsidR="002736BA" w:rsidRPr="002736BA" w:rsidRDefault="002736BA" w:rsidP="002736BA">
      <w:pPr>
        <w:widowControl w:val="0"/>
        <w:autoSpaceDE w:val="0"/>
        <w:autoSpaceDN w:val="0"/>
        <w:adjustRightInd w:val="0"/>
        <w:ind w:left="640" w:hanging="640"/>
        <w:rPr>
          <w:noProof/>
        </w:rPr>
      </w:pPr>
      <w:r w:rsidRPr="002736BA">
        <w:rPr>
          <w:noProof/>
        </w:rPr>
        <w:t>254.</w:t>
      </w:r>
      <w:r w:rsidRPr="002736BA">
        <w:rPr>
          <w:noProof/>
        </w:rPr>
        <w:tab/>
        <w:t>Auner H.W. et al. Infectious complications after autologous hematopoietic stem cell transplantation: Comparison of patients with acute myeloid leukemia, malignant lymphoma, and multiple myeloma // Ann. Hematol. Ann Hematol, 2002. Vol. 81, № 7. P. 374–377.</w:t>
      </w:r>
    </w:p>
    <w:p w14:paraId="5110831E" w14:textId="77777777" w:rsidR="002736BA" w:rsidRPr="002736BA" w:rsidRDefault="002736BA" w:rsidP="002736BA">
      <w:pPr>
        <w:widowControl w:val="0"/>
        <w:autoSpaceDE w:val="0"/>
        <w:autoSpaceDN w:val="0"/>
        <w:adjustRightInd w:val="0"/>
        <w:ind w:left="640" w:hanging="640"/>
        <w:rPr>
          <w:noProof/>
        </w:rPr>
      </w:pPr>
      <w:r w:rsidRPr="002736BA">
        <w:rPr>
          <w:noProof/>
        </w:rPr>
        <w:t>255.</w:t>
      </w:r>
      <w:r w:rsidRPr="002736BA">
        <w:rPr>
          <w:noProof/>
        </w:rPr>
        <w:tab/>
        <w:t>Gil L., Styczynski J., Komarnicki M. Infectious complication in 314 patients after high-dose therapy and autologous hematopoietic stem cell transplantation: Risk factors analysis and outcome // Infection. Infection, 2007. Vol. 35, № 6. P. 421–427.</w:t>
      </w:r>
    </w:p>
    <w:p w14:paraId="0183089E" w14:textId="77777777" w:rsidR="002736BA" w:rsidRPr="002736BA" w:rsidRDefault="002736BA" w:rsidP="002736BA">
      <w:pPr>
        <w:widowControl w:val="0"/>
        <w:autoSpaceDE w:val="0"/>
        <w:autoSpaceDN w:val="0"/>
        <w:adjustRightInd w:val="0"/>
        <w:ind w:left="640" w:hanging="640"/>
        <w:rPr>
          <w:noProof/>
        </w:rPr>
      </w:pPr>
      <w:r w:rsidRPr="002736BA">
        <w:rPr>
          <w:noProof/>
        </w:rPr>
        <w:t>256.</w:t>
      </w:r>
      <w:r w:rsidRPr="002736BA">
        <w:rPr>
          <w:noProof/>
        </w:rPr>
        <w:tab/>
        <w:t>Eleutherakis-Papaiakovou E. et al. Prophylactic antibiotics for the prevention of neutropenic fever in patients undergoing autologous stem-cell transplantation: Results of a single institution, randomized phase 2 trial // Am. J. Hematol. Am J Hematol, 2010. Vol. 85, № 11. P. 863–867.</w:t>
      </w:r>
    </w:p>
    <w:p w14:paraId="1AEE4C66" w14:textId="77777777" w:rsidR="002736BA" w:rsidRPr="002736BA" w:rsidRDefault="002736BA" w:rsidP="002736BA">
      <w:pPr>
        <w:widowControl w:val="0"/>
        <w:autoSpaceDE w:val="0"/>
        <w:autoSpaceDN w:val="0"/>
        <w:adjustRightInd w:val="0"/>
        <w:ind w:left="640" w:hanging="640"/>
        <w:rPr>
          <w:noProof/>
        </w:rPr>
      </w:pPr>
      <w:r w:rsidRPr="002736BA">
        <w:rPr>
          <w:noProof/>
        </w:rPr>
        <w:t>257.</w:t>
      </w:r>
      <w:r w:rsidRPr="002736BA">
        <w:rPr>
          <w:noProof/>
        </w:rPr>
        <w:tab/>
        <w:t>Neumann S. et al. Primary prophylaxis of bacterial infections and Pneumocystis jirovecii pneumonia in patients with hematological malignancies and solid tumors: Guidelines of the Infectious Diseases Working Party (AGIHO) of the German Society of Hematology and Oncology (DG // Annals of Hematology. Ann Hematol, 2013. Vol. 92, № 4. P. 433–442.</w:t>
      </w:r>
    </w:p>
    <w:p w14:paraId="42F5A4F8" w14:textId="77777777" w:rsidR="002736BA" w:rsidRPr="002736BA" w:rsidRDefault="002736BA" w:rsidP="002736BA">
      <w:pPr>
        <w:widowControl w:val="0"/>
        <w:autoSpaceDE w:val="0"/>
        <w:autoSpaceDN w:val="0"/>
        <w:adjustRightInd w:val="0"/>
        <w:ind w:left="640" w:hanging="640"/>
        <w:rPr>
          <w:noProof/>
        </w:rPr>
      </w:pPr>
      <w:r w:rsidRPr="002736BA">
        <w:rPr>
          <w:noProof/>
        </w:rPr>
        <w:t>258.</w:t>
      </w:r>
      <w:r w:rsidRPr="002736BA">
        <w:rPr>
          <w:noProof/>
        </w:rPr>
        <w:tab/>
        <w:t>Moghnieh R. et al. Bacteraemia post-autologous haematopoietic stem cell transplantation in the absence of antibacterial prophylaxis: a decade’s experience from Lebanon // Infection. Urban und Vogel GmbH, 2018. Vol. 46, № 6.</w:t>
      </w:r>
    </w:p>
    <w:p w14:paraId="64C6A11C" w14:textId="77777777" w:rsidR="002736BA" w:rsidRPr="002736BA" w:rsidRDefault="002736BA" w:rsidP="002736BA">
      <w:pPr>
        <w:widowControl w:val="0"/>
        <w:autoSpaceDE w:val="0"/>
        <w:autoSpaceDN w:val="0"/>
        <w:adjustRightInd w:val="0"/>
        <w:ind w:left="640" w:hanging="640"/>
        <w:rPr>
          <w:noProof/>
        </w:rPr>
      </w:pPr>
      <w:r w:rsidRPr="002736BA">
        <w:rPr>
          <w:noProof/>
        </w:rPr>
        <w:t>259.</w:t>
      </w:r>
      <w:r w:rsidRPr="002736BA">
        <w:rPr>
          <w:noProof/>
        </w:rPr>
        <w:tab/>
        <w:t>Клясова Г.А. et al. Эмпирическая антимикробная терапия у больных острыми лейкозами: итоги многоцентрового исследования // Терапевтический архив. 1998. Vol. 70, № 7. P. 15–21.</w:t>
      </w:r>
    </w:p>
    <w:p w14:paraId="331F9D9E" w14:textId="77777777" w:rsidR="002736BA" w:rsidRPr="002736BA" w:rsidRDefault="002736BA" w:rsidP="002736BA">
      <w:pPr>
        <w:widowControl w:val="0"/>
        <w:autoSpaceDE w:val="0"/>
        <w:autoSpaceDN w:val="0"/>
        <w:adjustRightInd w:val="0"/>
        <w:ind w:left="640" w:hanging="640"/>
        <w:rPr>
          <w:noProof/>
        </w:rPr>
      </w:pPr>
      <w:r w:rsidRPr="002736BA">
        <w:rPr>
          <w:noProof/>
        </w:rPr>
        <w:t>260.</w:t>
      </w:r>
      <w:r w:rsidRPr="002736BA">
        <w:rPr>
          <w:noProof/>
        </w:rPr>
        <w:tab/>
        <w:t>Савченко В.Г. и др. Алгоритмы диагностики и протоколы лечения заболеваний системы крови. Москва: Практика, 2018. 1008 p.</w:t>
      </w:r>
    </w:p>
    <w:p w14:paraId="5EEE8632" w14:textId="77777777" w:rsidR="002736BA" w:rsidRPr="002736BA" w:rsidRDefault="002736BA" w:rsidP="002736BA">
      <w:pPr>
        <w:widowControl w:val="0"/>
        <w:autoSpaceDE w:val="0"/>
        <w:autoSpaceDN w:val="0"/>
        <w:adjustRightInd w:val="0"/>
        <w:ind w:left="640" w:hanging="640"/>
        <w:rPr>
          <w:noProof/>
        </w:rPr>
      </w:pPr>
      <w:r w:rsidRPr="002736BA">
        <w:rPr>
          <w:noProof/>
        </w:rPr>
        <w:t>261.</w:t>
      </w:r>
      <w:r w:rsidRPr="002736BA">
        <w:rPr>
          <w:noProof/>
        </w:rPr>
        <w:tab/>
        <w:t>Terpos E. et al. European myeloma network guidelines for the management of multiple myeloma-related complications // Haematologica. Ferrata Storti Foundation, 2015. Vol. 100, № 10. P. 1254–1266.</w:t>
      </w:r>
    </w:p>
    <w:p w14:paraId="7F9F1728" w14:textId="77777777" w:rsidR="002736BA" w:rsidRPr="002736BA" w:rsidRDefault="002736BA" w:rsidP="002736BA">
      <w:pPr>
        <w:widowControl w:val="0"/>
        <w:autoSpaceDE w:val="0"/>
        <w:autoSpaceDN w:val="0"/>
        <w:adjustRightInd w:val="0"/>
        <w:ind w:left="640" w:hanging="640"/>
        <w:rPr>
          <w:noProof/>
        </w:rPr>
      </w:pPr>
      <w:r w:rsidRPr="002736BA">
        <w:rPr>
          <w:noProof/>
        </w:rPr>
        <w:t>262.</w:t>
      </w:r>
      <w:r w:rsidRPr="002736BA">
        <w:rPr>
          <w:noProof/>
        </w:rPr>
        <w:tab/>
        <w:t>Maertens J. et al. ECIL guidelines for preventing Pneumocystis jirovecii pneumonia in patients with haematological malignancies and stem cell transplant recipients // Journal of Antimicrobial Chemotherapy. Oxford University Press, 2016. Vol. 71, № 9. P. 1–8.</w:t>
      </w:r>
    </w:p>
    <w:p w14:paraId="1548686C" w14:textId="77777777" w:rsidR="002736BA" w:rsidRPr="002736BA" w:rsidRDefault="002736BA" w:rsidP="002736BA">
      <w:pPr>
        <w:widowControl w:val="0"/>
        <w:autoSpaceDE w:val="0"/>
        <w:autoSpaceDN w:val="0"/>
        <w:adjustRightInd w:val="0"/>
        <w:ind w:left="640" w:hanging="640"/>
        <w:rPr>
          <w:noProof/>
        </w:rPr>
      </w:pPr>
      <w:r w:rsidRPr="002736BA">
        <w:rPr>
          <w:noProof/>
        </w:rPr>
        <w:t>263.</w:t>
      </w:r>
      <w:r w:rsidRPr="002736BA">
        <w:rPr>
          <w:noProof/>
        </w:rPr>
        <w:tab/>
        <w:t>Сытов А.В., Лейдерман И.Н., Ломидзе С.В., Нехаев И.В. Х.А.Ж.. Практические рекомендации по нутритивной поддержке онкологических больных // RUSSCO. 2017. P. 524–532.</w:t>
      </w:r>
    </w:p>
    <w:p w14:paraId="15DAB9B3" w14:textId="77777777" w:rsidR="002736BA" w:rsidRPr="002736BA" w:rsidRDefault="002736BA" w:rsidP="002736BA">
      <w:pPr>
        <w:widowControl w:val="0"/>
        <w:autoSpaceDE w:val="0"/>
        <w:autoSpaceDN w:val="0"/>
        <w:adjustRightInd w:val="0"/>
        <w:ind w:left="640" w:hanging="640"/>
        <w:rPr>
          <w:noProof/>
        </w:rPr>
      </w:pPr>
      <w:r w:rsidRPr="002736BA">
        <w:rPr>
          <w:noProof/>
        </w:rPr>
        <w:lastRenderedPageBreak/>
        <w:t>264.</w:t>
      </w:r>
      <w:r w:rsidRPr="002736BA">
        <w:rPr>
          <w:noProof/>
        </w:rPr>
        <w:tab/>
        <w:t>Virizuela J.A. et al. Nutritional support and parenteral nutrition in cancer patients: an expert consensus report // Clin. Transl. Oncol. Springer-Verlag Italia s.r.l., 2018. Vol. 20, № 5. P. 619–629.</w:t>
      </w:r>
    </w:p>
    <w:p w14:paraId="0312BFEE" w14:textId="77777777" w:rsidR="002736BA" w:rsidRPr="002736BA" w:rsidRDefault="002736BA" w:rsidP="002736BA">
      <w:pPr>
        <w:widowControl w:val="0"/>
        <w:autoSpaceDE w:val="0"/>
        <w:autoSpaceDN w:val="0"/>
        <w:adjustRightInd w:val="0"/>
        <w:ind w:left="640" w:hanging="640"/>
        <w:rPr>
          <w:noProof/>
        </w:rPr>
      </w:pPr>
      <w:r w:rsidRPr="002736BA">
        <w:rPr>
          <w:noProof/>
        </w:rPr>
        <w:t>265.</w:t>
      </w:r>
      <w:r w:rsidRPr="002736BA">
        <w:rPr>
          <w:noProof/>
        </w:rPr>
        <w:tab/>
        <w:t>Бесова Н.С., Борисова Т.Н., Ларионова В.Б., Лейдерман И.Н., Обухова О.А., Попова Т.С., Салтанов А.И., Сельчук В.Ю., Снеговой А.В., Ткачев С.И., Тюляндин С.А. Ш.А.И. Клинические рекомендации по нутритивной поддержке при химиотерапии и/или лучевой терапии. 2014.</w:t>
      </w:r>
    </w:p>
    <w:p w14:paraId="0159ADE9" w14:textId="77777777" w:rsidR="002736BA" w:rsidRPr="002736BA" w:rsidRDefault="002736BA" w:rsidP="002736BA">
      <w:pPr>
        <w:widowControl w:val="0"/>
        <w:autoSpaceDE w:val="0"/>
        <w:autoSpaceDN w:val="0"/>
        <w:adjustRightInd w:val="0"/>
        <w:ind w:left="640" w:hanging="640"/>
        <w:rPr>
          <w:noProof/>
        </w:rPr>
      </w:pPr>
      <w:r w:rsidRPr="002736BA">
        <w:rPr>
          <w:noProof/>
        </w:rPr>
        <w:t>266.</w:t>
      </w:r>
      <w:r w:rsidRPr="002736BA">
        <w:rPr>
          <w:noProof/>
        </w:rPr>
        <w:tab/>
        <w:t>Camblor-Álvarez M. et al. Soporte nutricional y nutrición parenteral en el paciente oncológico: informe de consenso de un grupo de expertos // Nutr. Hosp. ARAN Ediciones, 2018. Vol. 35, № 1.</w:t>
      </w:r>
    </w:p>
    <w:p w14:paraId="687169B5" w14:textId="77777777" w:rsidR="002736BA" w:rsidRPr="002736BA" w:rsidRDefault="002736BA" w:rsidP="002736BA">
      <w:pPr>
        <w:widowControl w:val="0"/>
        <w:autoSpaceDE w:val="0"/>
        <w:autoSpaceDN w:val="0"/>
        <w:adjustRightInd w:val="0"/>
        <w:ind w:left="640" w:hanging="640"/>
        <w:rPr>
          <w:noProof/>
        </w:rPr>
      </w:pPr>
      <w:r w:rsidRPr="002736BA">
        <w:rPr>
          <w:noProof/>
        </w:rPr>
        <w:t>267.</w:t>
      </w:r>
      <w:r w:rsidRPr="002736BA">
        <w:rPr>
          <w:noProof/>
        </w:rPr>
        <w:tab/>
        <w:t>Baiu I., Spain D.A. Parenteral Nutrition // JAMA - Journal of the American Medical Association. American Medical Association, 2019. Vol. 321, № 21. P. 2142.</w:t>
      </w:r>
    </w:p>
    <w:p w14:paraId="61F14014" w14:textId="77777777" w:rsidR="002736BA" w:rsidRPr="002736BA" w:rsidRDefault="002736BA" w:rsidP="002736BA">
      <w:pPr>
        <w:widowControl w:val="0"/>
        <w:autoSpaceDE w:val="0"/>
        <w:autoSpaceDN w:val="0"/>
        <w:adjustRightInd w:val="0"/>
        <w:ind w:left="640" w:hanging="640"/>
        <w:rPr>
          <w:noProof/>
        </w:rPr>
      </w:pPr>
      <w:r w:rsidRPr="002736BA">
        <w:rPr>
          <w:noProof/>
        </w:rPr>
        <w:t>268.</w:t>
      </w:r>
      <w:r w:rsidRPr="002736BA">
        <w:rPr>
          <w:noProof/>
        </w:rPr>
        <w:tab/>
        <w:t>Oken M.M. et al. Toxicity and response criteria of the Eastern Cooperative Oncology Group // Am. J. Clin. Oncol. 1982. Vol. 5, № 6. P. 649–655.</w:t>
      </w:r>
    </w:p>
    <w:p w14:paraId="7F342B9C" w14:textId="77777777" w:rsidR="002736BA" w:rsidRPr="002736BA" w:rsidRDefault="002736BA" w:rsidP="002736BA">
      <w:pPr>
        <w:widowControl w:val="0"/>
        <w:autoSpaceDE w:val="0"/>
        <w:autoSpaceDN w:val="0"/>
        <w:adjustRightInd w:val="0"/>
        <w:ind w:left="640" w:hanging="640"/>
        <w:rPr>
          <w:noProof/>
        </w:rPr>
      </w:pPr>
      <w:r w:rsidRPr="002736BA">
        <w:rPr>
          <w:noProof/>
        </w:rPr>
        <w:t>269.</w:t>
      </w:r>
      <w:r w:rsidRPr="002736BA">
        <w:rPr>
          <w:noProof/>
        </w:rPr>
        <w:tab/>
        <w:t>Meignan M., Gallamini A., Haioun C. Report on the First International Workshop on interim-PET scan in lymphoma // Leukemia and Lymphoma. 2009. Vol. 50, № 8. P. 1257–1260.</w:t>
      </w:r>
    </w:p>
    <w:p w14:paraId="0F79F28A" w14:textId="77777777" w:rsidR="002736BA" w:rsidRPr="002736BA" w:rsidRDefault="002736BA" w:rsidP="002736BA">
      <w:pPr>
        <w:widowControl w:val="0"/>
        <w:autoSpaceDE w:val="0"/>
        <w:autoSpaceDN w:val="0"/>
        <w:adjustRightInd w:val="0"/>
        <w:ind w:left="640" w:hanging="640"/>
        <w:rPr>
          <w:noProof/>
        </w:rPr>
      </w:pPr>
      <w:r w:rsidRPr="002736BA">
        <w:rPr>
          <w:noProof/>
        </w:rPr>
        <w:t>270.</w:t>
      </w:r>
      <w:r w:rsidRPr="002736BA">
        <w:rPr>
          <w:noProof/>
        </w:rPr>
        <w:tab/>
        <w:t>Khorana A. et al. Development and validation of a predictive model for chemotherapy- associated thrombosis // Blood. 2008. Vol. 111, № 10. P. 4902–4907.</w:t>
      </w:r>
    </w:p>
    <w:p w14:paraId="545A5D24" w14:textId="77777777" w:rsidR="002736BA" w:rsidRPr="002736BA" w:rsidRDefault="002736BA" w:rsidP="002736BA">
      <w:pPr>
        <w:widowControl w:val="0"/>
        <w:autoSpaceDE w:val="0"/>
        <w:autoSpaceDN w:val="0"/>
        <w:adjustRightInd w:val="0"/>
        <w:ind w:left="640" w:hanging="640"/>
        <w:rPr>
          <w:noProof/>
        </w:rPr>
      </w:pPr>
      <w:r w:rsidRPr="002736BA">
        <w:rPr>
          <w:noProof/>
        </w:rPr>
        <w:t>271.</w:t>
      </w:r>
      <w:r w:rsidRPr="002736BA">
        <w:rPr>
          <w:noProof/>
        </w:rPr>
        <w:tab/>
        <w:t>Gratwohl A. The EBMT risk score // Bone Marrow Transplantation. Nature Publishing Group, 2012. Vol. 47, № 6. P. 749–756.</w:t>
      </w:r>
    </w:p>
    <w:p w14:paraId="29B41315" w14:textId="77777777" w:rsidR="002736BA" w:rsidRPr="002736BA" w:rsidRDefault="002736BA" w:rsidP="002736BA">
      <w:pPr>
        <w:widowControl w:val="0"/>
        <w:autoSpaceDE w:val="0"/>
        <w:autoSpaceDN w:val="0"/>
        <w:adjustRightInd w:val="0"/>
        <w:ind w:left="640" w:hanging="640"/>
        <w:rPr>
          <w:noProof/>
        </w:rPr>
      </w:pPr>
      <w:r w:rsidRPr="002736BA">
        <w:rPr>
          <w:noProof/>
        </w:rPr>
        <w:t>272.</w:t>
      </w:r>
      <w:r w:rsidRPr="002736BA">
        <w:rPr>
          <w:noProof/>
        </w:rPr>
        <w:tab/>
        <w:t>Sorror M.L. et al. Hematopoietic cell transplantation (HCT)-specific comorbidity index: a new tool for risk assessment before allogeneic HCT. // Blood. The American Society of Hematology, 2005. Vol. 106, № 8. P. 2912–2919.</w:t>
      </w:r>
    </w:p>
    <w:p w14:paraId="7C4CE0C5" w14:textId="77777777" w:rsidR="002736BA" w:rsidRPr="002736BA" w:rsidRDefault="002736BA" w:rsidP="002736BA">
      <w:pPr>
        <w:widowControl w:val="0"/>
        <w:autoSpaceDE w:val="0"/>
        <w:autoSpaceDN w:val="0"/>
        <w:adjustRightInd w:val="0"/>
        <w:ind w:left="640" w:hanging="640"/>
        <w:rPr>
          <w:noProof/>
        </w:rPr>
      </w:pPr>
      <w:r w:rsidRPr="002736BA">
        <w:rPr>
          <w:noProof/>
        </w:rPr>
        <w:t>273.</w:t>
      </w:r>
      <w:r w:rsidRPr="002736BA">
        <w:rPr>
          <w:noProof/>
        </w:rPr>
        <w:tab/>
        <w:t>Sorror M.L. et al. Prospective Validation of the Predictive Power of the Hematopoietic Cell Transplantation Comorbidity Index: A Center for International Blood and Marrow Transplant Research Study // Biol. Blood Marrow Transplant. Elsevier Inc., 2015. Vol. 21, № 8. P. 1479–1487.</w:t>
      </w:r>
    </w:p>
    <w:p w14:paraId="3BF3D12B" w14:textId="2C57E519" w:rsidR="0025228A" w:rsidRPr="000322E4" w:rsidRDefault="008762E9" w:rsidP="002736BA">
      <w:pPr>
        <w:widowControl w:val="0"/>
        <w:autoSpaceDE w:val="0"/>
        <w:autoSpaceDN w:val="0"/>
        <w:adjustRightInd w:val="0"/>
        <w:ind w:left="640" w:hanging="640"/>
      </w:pPr>
      <w:r w:rsidRPr="000322E4">
        <w:fldChar w:fldCharType="end"/>
      </w:r>
    </w:p>
    <w:p w14:paraId="13AC232F" w14:textId="77777777" w:rsidR="00F42D54" w:rsidRPr="000322E4" w:rsidRDefault="00F42D54" w:rsidP="00F414BF">
      <w:pPr>
        <w:pStyle w:val="afff2"/>
      </w:pPr>
      <w:bookmarkStart w:id="96" w:name="_Toc66096856"/>
      <w:bookmarkStart w:id="97" w:name="__RefHeading___doc_a2"/>
      <w:bookmarkEnd w:id="95"/>
      <w:r w:rsidRPr="000322E4">
        <w:t>Приложение А1. Состав рабочей группы по разработке и пересмотру клинических рекомендаций</w:t>
      </w:r>
      <w:bookmarkEnd w:id="96"/>
    </w:p>
    <w:p w14:paraId="4DCE7D44" w14:textId="77777777" w:rsidR="00F42D54" w:rsidRPr="000322E4" w:rsidRDefault="00F42D54" w:rsidP="00F414BF">
      <w:pPr>
        <w:pStyle w:val="afe"/>
        <w:numPr>
          <w:ilvl w:val="0"/>
          <w:numId w:val="24"/>
        </w:numPr>
      </w:pPr>
      <w:r w:rsidRPr="000322E4">
        <w:rPr>
          <w:b/>
          <w:bCs/>
        </w:rPr>
        <w:t xml:space="preserve">Тумян Гаяне Сергеевна </w:t>
      </w:r>
      <w:r w:rsidRPr="000322E4">
        <w:t xml:space="preserve">– д.м.н., профессор, профессор кафедры онкологии и паллиативной медицины Российской медицинской академии непрерывного профессионального образования Минздрава России, ведущий научный сотрудник </w:t>
      </w:r>
      <w:r w:rsidRPr="000322E4">
        <w:lastRenderedPageBreak/>
        <w:t>отделения химиотерапии гемобластозов «НМИЦ онкологии им. Н.Н. Блохина» Минздрава России, член правления Российского общества онкогематологов.</w:t>
      </w:r>
    </w:p>
    <w:p w14:paraId="05A88694" w14:textId="77777777" w:rsidR="00F42D54" w:rsidRPr="000322E4" w:rsidRDefault="00F42D54" w:rsidP="00F414BF">
      <w:pPr>
        <w:pStyle w:val="afe"/>
        <w:numPr>
          <w:ilvl w:val="0"/>
          <w:numId w:val="24"/>
        </w:numPr>
      </w:pPr>
      <w:r w:rsidRPr="000322E4">
        <w:rPr>
          <w:b/>
        </w:rPr>
        <w:t xml:space="preserve">Османов Евгений Александрович </w:t>
      </w:r>
      <w:r w:rsidRPr="000322E4">
        <w:t>–</w:t>
      </w:r>
      <w:r w:rsidRPr="000322E4">
        <w:rPr>
          <w:b/>
        </w:rPr>
        <w:t xml:space="preserve"> </w:t>
      </w:r>
      <w:r w:rsidRPr="000322E4">
        <w:rPr>
          <w:bCs/>
        </w:rPr>
        <w:t xml:space="preserve">д.м.н., профессор, зав. отделом гематологии и трансплантации костного мозга ФГБУ «НМИЦ онкологии им. Н.Н. Блохина» Минздрава России, профессор кафедры онкологии ФГАОУ ВО Первый МГМУ имени И.М. Сеченова Минздрава России, </w:t>
      </w:r>
      <w:r w:rsidRPr="000322E4">
        <w:t>член правления Российского общества онкогематологов.</w:t>
      </w:r>
    </w:p>
    <w:p w14:paraId="2D3F8C52" w14:textId="77777777" w:rsidR="00F42D54" w:rsidRPr="000322E4" w:rsidRDefault="00F42D54" w:rsidP="00F414BF">
      <w:pPr>
        <w:pStyle w:val="afe"/>
        <w:numPr>
          <w:ilvl w:val="0"/>
          <w:numId w:val="24"/>
        </w:numPr>
      </w:pPr>
      <w:r w:rsidRPr="000322E4">
        <w:rPr>
          <w:b/>
          <w:bCs/>
        </w:rPr>
        <w:t>Кравченко Сергей Кириллович</w:t>
      </w:r>
      <w:r w:rsidRPr="000322E4">
        <w:t xml:space="preserve"> – к.м.н., доцент, зав. отделением интенсивной высокодозной химиотерапии с круглосуточным и дневным стационаром ФГБУ «НМИЦ гематологии» Минздрава России, член Национального гематологического общества</w:t>
      </w:r>
    </w:p>
    <w:p w14:paraId="79F6F43C" w14:textId="77777777" w:rsidR="00F42D54" w:rsidRPr="000322E4" w:rsidRDefault="00F42D54" w:rsidP="00F414BF">
      <w:pPr>
        <w:pStyle w:val="afe"/>
        <w:numPr>
          <w:ilvl w:val="0"/>
          <w:numId w:val="24"/>
        </w:numPr>
      </w:pPr>
      <w:r w:rsidRPr="000322E4">
        <w:rPr>
          <w:b/>
        </w:rPr>
        <w:t xml:space="preserve">Фалалеева Наталья Александровна </w:t>
      </w:r>
      <w:r w:rsidRPr="000322E4">
        <w:t>– д.м.н., зав. отделением противоопухолевого лекарственного лечения МРНЦ им. А.Ф. Цыба – филиал ФГБУ «НМИЦ радиологии» Минздрава России, член Ассоциации онкологов России и Российской Ассоциации терапевтических радиационных онкологов.</w:t>
      </w:r>
    </w:p>
    <w:p w14:paraId="1204A8D2" w14:textId="77777777" w:rsidR="00F42D54" w:rsidRPr="000322E4" w:rsidRDefault="00F42D54" w:rsidP="00F414BF">
      <w:pPr>
        <w:pStyle w:val="afe"/>
        <w:numPr>
          <w:ilvl w:val="0"/>
          <w:numId w:val="24"/>
        </w:numPr>
      </w:pPr>
      <w:r w:rsidRPr="000322E4">
        <w:rPr>
          <w:b/>
        </w:rPr>
        <w:t>Барях Елена Александровна</w:t>
      </w:r>
      <w:r w:rsidRPr="000322E4">
        <w:rPr>
          <w:bCs/>
        </w:rPr>
        <w:t xml:space="preserve"> – к.м.н., зав. отделением гематологии и химиотерапии ГБК №52 г. Москвы, доцент кафедры общей терапии ФДПО РНИМУ им Н.И.Пирогова, </w:t>
      </w:r>
      <w:r w:rsidRPr="000322E4">
        <w:t>член Российского общества онкогематологов, Европейской гематологической ассоциации</w:t>
      </w:r>
    </w:p>
    <w:p w14:paraId="57CD400D" w14:textId="77777777" w:rsidR="00F42D54" w:rsidRPr="000322E4" w:rsidRDefault="00F42D54" w:rsidP="00F414BF">
      <w:pPr>
        <w:pStyle w:val="afe"/>
        <w:numPr>
          <w:ilvl w:val="0"/>
          <w:numId w:val="24"/>
        </w:numPr>
      </w:pPr>
      <w:r w:rsidRPr="000322E4">
        <w:rPr>
          <w:b/>
        </w:rPr>
        <w:t xml:space="preserve">Стефанов Дмитрий Николаевич </w:t>
      </w:r>
      <w:r w:rsidRPr="000322E4">
        <w:t>– научный сотрудник, зав. научно-организационным отделом, ФГБУ «НМИЦ ДГОИ им. Дмитрия Рогачева» Минздрава России, член Российского общества онкогематологов, Европейской гематологической ассоциации</w:t>
      </w:r>
    </w:p>
    <w:p w14:paraId="781F22AA" w14:textId="77777777" w:rsidR="00F42D54" w:rsidRPr="000322E4" w:rsidRDefault="00F42D54" w:rsidP="00F414BF">
      <w:pPr>
        <w:pStyle w:val="afe"/>
        <w:numPr>
          <w:ilvl w:val="0"/>
          <w:numId w:val="24"/>
        </w:numPr>
      </w:pPr>
      <w:r w:rsidRPr="000322E4">
        <w:rPr>
          <w:b/>
        </w:rPr>
        <w:t xml:space="preserve">Поддубная Ирина Владимировна </w:t>
      </w:r>
      <w:r w:rsidRPr="000322E4">
        <w:t>– академик РАН, заслуженный деятель образования РФ, д.м.н., профессор, зав. кафедрой онкологии и паллиативной медицины, проректор по лечебной работе и международному сотрудничеству ГБОУ ДПО РМАНПО Минздрава России, председатель Российского общества онкогематологов.</w:t>
      </w:r>
    </w:p>
    <w:p w14:paraId="5D81BBD5" w14:textId="77777777" w:rsidR="00F42D54" w:rsidRPr="000322E4" w:rsidRDefault="00F42D54" w:rsidP="00F414BF">
      <w:pPr>
        <w:pStyle w:val="afe"/>
        <w:numPr>
          <w:ilvl w:val="0"/>
          <w:numId w:val="24"/>
        </w:numPr>
      </w:pPr>
      <w:r w:rsidRPr="000322E4">
        <w:rPr>
          <w:b/>
          <w:bCs/>
        </w:rPr>
        <w:t xml:space="preserve">Михайлова Наталья Борисовна </w:t>
      </w:r>
      <w:r w:rsidRPr="000322E4">
        <w:t>– д.м.н., руководитель отдела клинической онкологии (химиотерапии) НИИ детской онкологии, гематологии и трансплантологии им. Р.М. Горбачевой, член Российского общества онкогематологов.</w:t>
      </w:r>
    </w:p>
    <w:p w14:paraId="550FBFC2" w14:textId="77777777" w:rsidR="00F42D54" w:rsidRPr="000322E4" w:rsidRDefault="00F42D54" w:rsidP="00F414BF">
      <w:pPr>
        <w:pStyle w:val="afe"/>
        <w:numPr>
          <w:ilvl w:val="0"/>
          <w:numId w:val="24"/>
        </w:numPr>
      </w:pPr>
      <w:r w:rsidRPr="000322E4">
        <w:rPr>
          <w:b/>
          <w:bCs/>
        </w:rPr>
        <w:t xml:space="preserve">Мякова Наталья Валерьевна </w:t>
      </w:r>
      <w:r w:rsidRPr="000322E4">
        <w:t>– д.м.н., профессор, Заместитель главного врача по лечебной работе, зав. отделением онкогематологии ФГБУ «НМИЦ ДГОИ им. Дмитрия Рогачева» Минздрава России, член Национального общества детских гематологов и онкологов</w:t>
      </w:r>
    </w:p>
    <w:p w14:paraId="583C4619" w14:textId="77777777" w:rsidR="00F42D54" w:rsidRPr="000322E4" w:rsidRDefault="00F42D54" w:rsidP="00F414BF">
      <w:pPr>
        <w:pStyle w:val="afe"/>
        <w:numPr>
          <w:ilvl w:val="0"/>
          <w:numId w:val="24"/>
        </w:numPr>
        <w:rPr>
          <w:rFonts w:cs="Arial"/>
          <w:lang w:eastAsia="x-none"/>
        </w:rPr>
      </w:pPr>
      <w:r w:rsidRPr="000322E4">
        <w:rPr>
          <w:rFonts w:cs="Arial"/>
          <w:b/>
          <w:bCs/>
          <w:lang w:eastAsia="x-none"/>
        </w:rPr>
        <w:t>Румянцев Александр Григорьевич</w:t>
      </w:r>
      <w:r w:rsidRPr="000322E4">
        <w:rPr>
          <w:rFonts w:cs="Arial"/>
          <w:lang w:eastAsia="x-none"/>
        </w:rPr>
        <w:t xml:space="preserve"> – академин РАН, д.м.н., профессор, генеральный директор </w:t>
      </w:r>
      <w:r w:rsidRPr="000322E4">
        <w:t>ФГБУ «НМИЦ ДГОИ им. Дмитрия Рогачева» Минздрава России, президент Национального общества детских гематологов и онкологов</w:t>
      </w:r>
    </w:p>
    <w:p w14:paraId="1B5A1802" w14:textId="77777777" w:rsidR="00F42D54" w:rsidRPr="000322E4" w:rsidRDefault="00F42D54" w:rsidP="00F414BF">
      <w:pPr>
        <w:pStyle w:val="afe"/>
        <w:numPr>
          <w:ilvl w:val="0"/>
          <w:numId w:val="24"/>
        </w:numPr>
        <w:rPr>
          <w:rFonts w:cs="Arial"/>
          <w:lang w:eastAsia="x-none"/>
        </w:rPr>
      </w:pPr>
      <w:r w:rsidRPr="000322E4">
        <w:rPr>
          <w:rFonts w:cs="Arial"/>
          <w:b/>
          <w:bCs/>
          <w:lang w:eastAsia="x-none"/>
        </w:rPr>
        <w:lastRenderedPageBreak/>
        <w:t>Масчан Алексей Александрович</w:t>
      </w:r>
      <w:r w:rsidRPr="000322E4">
        <w:rPr>
          <w:rFonts w:cs="Arial"/>
          <w:lang w:eastAsia="x-none"/>
        </w:rPr>
        <w:t xml:space="preserve"> – член-корр. РАН, д.м.н., профессор, зам. генерального директора </w:t>
      </w:r>
      <w:r w:rsidRPr="000322E4">
        <w:t>ФГБУ «НМИЦ ДГОИ им. Дмитрия Рогачева» Минздрава России, член правления Национального общества детских гематологов и онкологов</w:t>
      </w:r>
    </w:p>
    <w:p w14:paraId="6A57BFEB" w14:textId="77777777" w:rsidR="00F42D54" w:rsidRPr="000322E4" w:rsidRDefault="00F42D54" w:rsidP="00F414BF">
      <w:pPr>
        <w:pStyle w:val="afe"/>
        <w:numPr>
          <w:ilvl w:val="0"/>
          <w:numId w:val="24"/>
        </w:numPr>
      </w:pPr>
      <w:r w:rsidRPr="000322E4">
        <w:rPr>
          <w:b/>
          <w:bCs/>
        </w:rPr>
        <w:t xml:space="preserve">Птушкин Вадим Вадимович </w:t>
      </w:r>
      <w:r w:rsidRPr="000322E4">
        <w:rPr>
          <w:bCs/>
        </w:rPr>
        <w:t>–</w:t>
      </w:r>
      <w:r w:rsidRPr="000322E4">
        <w:rPr>
          <w:b/>
          <w:bCs/>
        </w:rPr>
        <w:t xml:space="preserve"> </w:t>
      </w:r>
      <w:r w:rsidRPr="000322E4">
        <w:t>д.м.н., профессор, заместитель главного врача по гематологии ГБУЗ «ГКБ им. С.П. Боткина», главный внештатный специалист-гематолог Департамента здравоохранения города Москвы, член Национального гематологического общества и Российского общества онкогематологов.</w:t>
      </w:r>
    </w:p>
    <w:p w14:paraId="436A873E" w14:textId="6F325A98" w:rsidR="00F42D54" w:rsidRPr="000322E4" w:rsidRDefault="006371BE" w:rsidP="00F414BF">
      <w:pPr>
        <w:pStyle w:val="afe"/>
        <w:widowControl w:val="0"/>
        <w:numPr>
          <w:ilvl w:val="0"/>
          <w:numId w:val="24"/>
        </w:numPr>
        <w:autoSpaceDE w:val="0"/>
        <w:autoSpaceDN w:val="0"/>
        <w:adjustRightInd w:val="0"/>
        <w:rPr>
          <w:szCs w:val="24"/>
        </w:rPr>
      </w:pPr>
      <w:r w:rsidRPr="00467C29">
        <w:rPr>
          <w:rFonts w:eastAsia="SimSun"/>
          <w:b/>
          <w:bCs/>
          <w:szCs w:val="24"/>
        </w:rPr>
        <w:t>Савченко Валерий Григорьевич</w:t>
      </w:r>
      <w:r w:rsidRPr="00E474D3">
        <w:rPr>
          <w:rFonts w:eastAsia="SimSun"/>
          <w:szCs w:val="24"/>
        </w:rPr>
        <w:t xml:space="preserve"> </w:t>
      </w:r>
      <w:r>
        <w:rPr>
          <w:rFonts w:eastAsia="SimSun"/>
          <w:szCs w:val="24"/>
        </w:rPr>
        <w:t xml:space="preserve">– </w:t>
      </w:r>
      <w:r w:rsidRPr="00E474D3">
        <w:rPr>
          <w:szCs w:val="24"/>
        </w:rPr>
        <w:t>д.м.н., профессор, академик РАН</w:t>
      </w:r>
      <w:r>
        <w:rPr>
          <w:rFonts w:eastAsia="SimSun"/>
          <w:szCs w:val="24"/>
        </w:rPr>
        <w:t>,</w:t>
      </w:r>
      <w:r w:rsidRPr="00E474D3">
        <w:rPr>
          <w:rFonts w:eastAsia="SimSun"/>
          <w:szCs w:val="24"/>
        </w:rPr>
        <w:t xml:space="preserve"> </w:t>
      </w:r>
      <w:r w:rsidRPr="00E474D3">
        <w:rPr>
          <w:szCs w:val="24"/>
        </w:rPr>
        <w:t>главный внештатный специалист гематолог Министерства здравоохранения РФ, Генеральный директор ФГБУ «НМИЦ гематологии» Минздрава России</w:t>
      </w:r>
    </w:p>
    <w:p w14:paraId="68D32C70" w14:textId="34C42351" w:rsidR="00F42D54" w:rsidRPr="000322E4" w:rsidRDefault="008F7A7C" w:rsidP="00F414BF">
      <w:pPr>
        <w:pStyle w:val="afe"/>
        <w:widowControl w:val="0"/>
        <w:numPr>
          <w:ilvl w:val="0"/>
          <w:numId w:val="24"/>
        </w:numPr>
        <w:autoSpaceDE w:val="0"/>
        <w:autoSpaceDN w:val="0"/>
        <w:adjustRightInd w:val="0"/>
        <w:rPr>
          <w:szCs w:val="24"/>
        </w:rPr>
      </w:pPr>
      <w:r w:rsidRPr="007F4F53">
        <w:rPr>
          <w:rFonts w:eastAsia="SimSun"/>
          <w:b/>
          <w:bCs/>
          <w:szCs w:val="24"/>
        </w:rPr>
        <w:t>Паровичникова Елена Николаевна</w:t>
      </w:r>
      <w:r>
        <w:rPr>
          <w:rFonts w:eastAsia="SimSun"/>
          <w:szCs w:val="24"/>
        </w:rPr>
        <w:t xml:space="preserve"> – </w:t>
      </w:r>
      <w:r w:rsidRPr="00E474D3">
        <w:rPr>
          <w:rFonts w:eastAsia="SimSun"/>
          <w:szCs w:val="24"/>
        </w:rPr>
        <w:t>д.м.н.</w:t>
      </w:r>
      <w:r>
        <w:rPr>
          <w:rFonts w:eastAsia="SimSun"/>
          <w:szCs w:val="24"/>
        </w:rPr>
        <w:t>,</w:t>
      </w:r>
      <w:r w:rsidRPr="00E474D3">
        <w:rPr>
          <w:rFonts w:eastAsia="SimSun"/>
          <w:szCs w:val="24"/>
        </w:rPr>
        <w:t xml:space="preserve"> заведующая отделом химиотерапии гемобластозов, депрессий кроветворения и ТКМ ФГБУ «НМИЦ гематологии» Минздрава России</w:t>
      </w:r>
      <w:r w:rsidR="00F42D54" w:rsidRPr="000322E4">
        <w:t xml:space="preserve"> </w:t>
      </w:r>
    </w:p>
    <w:p w14:paraId="085CB981" w14:textId="0422B6AB" w:rsidR="00F42D54" w:rsidRPr="000322E4" w:rsidRDefault="00F42D54" w:rsidP="00F414BF">
      <w:pPr>
        <w:pStyle w:val="afe"/>
        <w:widowControl w:val="0"/>
        <w:numPr>
          <w:ilvl w:val="0"/>
          <w:numId w:val="24"/>
        </w:numPr>
        <w:autoSpaceDE w:val="0"/>
        <w:autoSpaceDN w:val="0"/>
        <w:adjustRightInd w:val="0"/>
        <w:rPr>
          <w:szCs w:val="24"/>
        </w:rPr>
      </w:pPr>
      <w:r w:rsidRPr="000322E4">
        <w:rPr>
          <w:b/>
          <w:szCs w:val="24"/>
        </w:rPr>
        <w:t>Троицкая В</w:t>
      </w:r>
      <w:r w:rsidR="0045789C">
        <w:rPr>
          <w:b/>
          <w:szCs w:val="24"/>
        </w:rPr>
        <w:t>ера Витальевна</w:t>
      </w:r>
      <w:r w:rsidRPr="000322E4">
        <w:rPr>
          <w:szCs w:val="24"/>
        </w:rPr>
        <w:t xml:space="preserve"> </w:t>
      </w:r>
      <w:r w:rsidR="0045789C">
        <w:rPr>
          <w:szCs w:val="24"/>
        </w:rPr>
        <w:t xml:space="preserve">– </w:t>
      </w:r>
      <w:r w:rsidRPr="000322E4">
        <w:t>к.м.н., заведующая научно-клиническим отделением химиотерапии гемобластозов и депрессий кроветворения ФГБУ «НМИЦ гематологии» Минздрава России, директор Национального гематологического общества</w:t>
      </w:r>
    </w:p>
    <w:p w14:paraId="68454428" w14:textId="1E75380B" w:rsidR="00F42D54" w:rsidRPr="000322E4" w:rsidRDefault="00F42D54" w:rsidP="00F414BF">
      <w:pPr>
        <w:pStyle w:val="afe"/>
        <w:widowControl w:val="0"/>
        <w:numPr>
          <w:ilvl w:val="0"/>
          <w:numId w:val="24"/>
        </w:numPr>
        <w:autoSpaceDE w:val="0"/>
        <w:autoSpaceDN w:val="0"/>
        <w:adjustRightInd w:val="0"/>
        <w:rPr>
          <w:szCs w:val="24"/>
        </w:rPr>
      </w:pPr>
      <w:r w:rsidRPr="000322E4">
        <w:rPr>
          <w:b/>
          <w:szCs w:val="24"/>
        </w:rPr>
        <w:t>Соколов А</w:t>
      </w:r>
      <w:r w:rsidR="00697943">
        <w:rPr>
          <w:b/>
          <w:szCs w:val="24"/>
        </w:rPr>
        <w:t xml:space="preserve">ндрей </w:t>
      </w:r>
      <w:r w:rsidRPr="000322E4">
        <w:rPr>
          <w:b/>
          <w:szCs w:val="24"/>
        </w:rPr>
        <w:t>Н</w:t>
      </w:r>
      <w:r w:rsidR="00697943">
        <w:rPr>
          <w:b/>
          <w:szCs w:val="24"/>
        </w:rPr>
        <w:t>иколаевич</w:t>
      </w:r>
      <w:r w:rsidRPr="000322E4">
        <w:rPr>
          <w:szCs w:val="24"/>
        </w:rPr>
        <w:t xml:space="preserve"> </w:t>
      </w:r>
      <w:r w:rsidR="00697943">
        <w:rPr>
          <w:szCs w:val="24"/>
        </w:rPr>
        <w:softHyphen/>
        <w:t xml:space="preserve">– </w:t>
      </w:r>
      <w:r w:rsidRPr="000322E4">
        <w:t xml:space="preserve">к.м.н., старший научный сотрудник научно-клинического отделения химиотерапии гемобластозов и депрессий кроветворения ФГБУ «НМИЦ гематологии» Минздрава России, член Национального гематологического общества </w:t>
      </w:r>
    </w:p>
    <w:p w14:paraId="44549882" w14:textId="54B70EAF" w:rsidR="00F42D54" w:rsidRPr="000322E4" w:rsidRDefault="00F42D54" w:rsidP="00F414BF">
      <w:pPr>
        <w:pStyle w:val="afe"/>
        <w:widowControl w:val="0"/>
        <w:numPr>
          <w:ilvl w:val="0"/>
          <w:numId w:val="24"/>
        </w:numPr>
        <w:autoSpaceDE w:val="0"/>
        <w:autoSpaceDN w:val="0"/>
        <w:adjustRightInd w:val="0"/>
        <w:rPr>
          <w:szCs w:val="24"/>
        </w:rPr>
      </w:pPr>
      <w:r w:rsidRPr="000322E4">
        <w:rPr>
          <w:b/>
          <w:szCs w:val="24"/>
        </w:rPr>
        <w:t>Кузьмина Л</w:t>
      </w:r>
      <w:r w:rsidR="00723D11">
        <w:rPr>
          <w:b/>
          <w:szCs w:val="24"/>
        </w:rPr>
        <w:t xml:space="preserve">ариса </w:t>
      </w:r>
      <w:r w:rsidRPr="000322E4">
        <w:rPr>
          <w:b/>
          <w:szCs w:val="24"/>
        </w:rPr>
        <w:t>А</w:t>
      </w:r>
      <w:r w:rsidR="00723D11">
        <w:rPr>
          <w:b/>
          <w:szCs w:val="24"/>
        </w:rPr>
        <w:t>натольевна –</w:t>
      </w:r>
      <w:r w:rsidRPr="000322E4">
        <w:rPr>
          <w:szCs w:val="24"/>
        </w:rPr>
        <w:t xml:space="preserve"> </w:t>
      </w:r>
      <w:r w:rsidRPr="000322E4">
        <w:t>к.м.н., заведующая научно-клиническим отделением трансплантации костного мозга ФГБУ «НМИЦ гематологии» Минздрава России, член Национального гематологического общества</w:t>
      </w:r>
    </w:p>
    <w:p w14:paraId="7C6B953B" w14:textId="54B0B929" w:rsidR="00F42D54" w:rsidRPr="000322E4" w:rsidRDefault="00F42D54" w:rsidP="00F414BF">
      <w:pPr>
        <w:pStyle w:val="afe"/>
        <w:widowControl w:val="0"/>
        <w:numPr>
          <w:ilvl w:val="0"/>
          <w:numId w:val="24"/>
        </w:numPr>
        <w:autoSpaceDE w:val="0"/>
        <w:autoSpaceDN w:val="0"/>
        <w:adjustRightInd w:val="0"/>
        <w:rPr>
          <w:szCs w:val="24"/>
        </w:rPr>
      </w:pPr>
      <w:r w:rsidRPr="000322E4">
        <w:rPr>
          <w:b/>
          <w:bCs/>
          <w:szCs w:val="24"/>
        </w:rPr>
        <w:t>Клясова Г</w:t>
      </w:r>
      <w:r w:rsidR="00087552">
        <w:rPr>
          <w:b/>
          <w:bCs/>
          <w:szCs w:val="24"/>
        </w:rPr>
        <w:t xml:space="preserve">алина </w:t>
      </w:r>
      <w:r w:rsidRPr="000322E4">
        <w:rPr>
          <w:b/>
          <w:bCs/>
          <w:szCs w:val="24"/>
        </w:rPr>
        <w:t>А</w:t>
      </w:r>
      <w:r w:rsidR="00087552">
        <w:rPr>
          <w:b/>
          <w:bCs/>
          <w:szCs w:val="24"/>
        </w:rPr>
        <w:t>лександровна</w:t>
      </w:r>
      <w:r w:rsidRPr="000322E4">
        <w:rPr>
          <w:szCs w:val="24"/>
        </w:rPr>
        <w:t xml:space="preserve"> </w:t>
      </w:r>
      <w:r w:rsidR="00087552">
        <w:rPr>
          <w:szCs w:val="24"/>
        </w:rPr>
        <w:softHyphen/>
        <w:t xml:space="preserve">– </w:t>
      </w:r>
      <w:r w:rsidRPr="000322E4">
        <w:t>д.м.н., профессор, заведующая научно-клинической лабораторией микробиологии ФГБУ «НМИЦ гематологии» Минздрава России, член Национального гематологического общества</w:t>
      </w:r>
    </w:p>
    <w:p w14:paraId="4648E8C0" w14:textId="3AFB56F1" w:rsidR="00F42D54" w:rsidRPr="000322E4" w:rsidRDefault="00F42D54" w:rsidP="00F414BF">
      <w:pPr>
        <w:pStyle w:val="afe"/>
        <w:widowControl w:val="0"/>
        <w:numPr>
          <w:ilvl w:val="0"/>
          <w:numId w:val="24"/>
        </w:numPr>
        <w:autoSpaceDE w:val="0"/>
        <w:autoSpaceDN w:val="0"/>
        <w:adjustRightInd w:val="0"/>
        <w:rPr>
          <w:szCs w:val="24"/>
        </w:rPr>
      </w:pPr>
      <w:r w:rsidRPr="000322E4">
        <w:rPr>
          <w:b/>
          <w:szCs w:val="24"/>
        </w:rPr>
        <w:t>Гаврилина О</w:t>
      </w:r>
      <w:r w:rsidR="00087552">
        <w:rPr>
          <w:b/>
          <w:szCs w:val="24"/>
        </w:rPr>
        <w:t xml:space="preserve">льга </w:t>
      </w:r>
      <w:r w:rsidRPr="000322E4">
        <w:rPr>
          <w:b/>
          <w:szCs w:val="24"/>
        </w:rPr>
        <w:t>А</w:t>
      </w:r>
      <w:r w:rsidR="00087552">
        <w:rPr>
          <w:b/>
          <w:szCs w:val="24"/>
        </w:rPr>
        <w:t>лександровна</w:t>
      </w:r>
      <w:r w:rsidRPr="000322E4">
        <w:rPr>
          <w:szCs w:val="24"/>
        </w:rPr>
        <w:t xml:space="preserve"> </w:t>
      </w:r>
      <w:r w:rsidR="00087552">
        <w:rPr>
          <w:szCs w:val="24"/>
        </w:rPr>
        <w:softHyphen/>
        <w:t xml:space="preserve">– </w:t>
      </w:r>
      <w:r w:rsidRPr="000322E4">
        <w:t>к.м.н., старший научный сотрудник отделения химиотерапии гемобластозов и депрессий кроветворения ФГБУ «НМИЦ гематологии» Минздрава России, член Национального гематологического общества</w:t>
      </w:r>
    </w:p>
    <w:p w14:paraId="7615F260" w14:textId="1BFE2934" w:rsidR="00F42D54" w:rsidRPr="000322E4" w:rsidRDefault="00F42D54" w:rsidP="00F414BF">
      <w:pPr>
        <w:pStyle w:val="afe"/>
        <w:numPr>
          <w:ilvl w:val="0"/>
          <w:numId w:val="24"/>
        </w:numPr>
        <w:rPr>
          <w:b/>
          <w:szCs w:val="24"/>
        </w:rPr>
      </w:pPr>
      <w:r w:rsidRPr="000322E4">
        <w:rPr>
          <w:b/>
          <w:szCs w:val="24"/>
        </w:rPr>
        <w:t>Бондаренко С</w:t>
      </w:r>
      <w:r w:rsidR="009C1934">
        <w:rPr>
          <w:b/>
          <w:szCs w:val="24"/>
        </w:rPr>
        <w:t xml:space="preserve">ергей </w:t>
      </w:r>
      <w:r w:rsidRPr="000322E4">
        <w:rPr>
          <w:b/>
          <w:szCs w:val="24"/>
        </w:rPr>
        <w:t>Н</w:t>
      </w:r>
      <w:r w:rsidR="009C1934">
        <w:rPr>
          <w:b/>
          <w:szCs w:val="24"/>
        </w:rPr>
        <w:t>иколаевич</w:t>
      </w:r>
      <w:r w:rsidRPr="000322E4">
        <w:rPr>
          <w:szCs w:val="24"/>
        </w:rPr>
        <w:t xml:space="preserve"> </w:t>
      </w:r>
      <w:r w:rsidR="009C1934">
        <w:rPr>
          <w:szCs w:val="24"/>
        </w:rPr>
        <w:t xml:space="preserve">– </w:t>
      </w:r>
      <w:r w:rsidRPr="000322E4">
        <w:t>к.м.н., НИИ детской гематологии и трансплантологии им. Р.М. Горбачевой, Санкт-Петербургский государственный медицинский университет</w:t>
      </w:r>
    </w:p>
    <w:p w14:paraId="43004AE8" w14:textId="2BFAE77A" w:rsidR="00F42D54" w:rsidRPr="000322E4" w:rsidRDefault="00F42D54" w:rsidP="00F414BF">
      <w:pPr>
        <w:pStyle w:val="afe"/>
        <w:numPr>
          <w:ilvl w:val="0"/>
          <w:numId w:val="24"/>
        </w:numPr>
        <w:rPr>
          <w:szCs w:val="24"/>
        </w:rPr>
      </w:pPr>
      <w:r w:rsidRPr="000322E4">
        <w:rPr>
          <w:b/>
          <w:szCs w:val="24"/>
        </w:rPr>
        <w:t>Баранова О</w:t>
      </w:r>
      <w:r w:rsidR="009C1934">
        <w:rPr>
          <w:b/>
          <w:szCs w:val="24"/>
        </w:rPr>
        <w:t xml:space="preserve">льга </w:t>
      </w:r>
      <w:r w:rsidRPr="000322E4">
        <w:rPr>
          <w:b/>
          <w:szCs w:val="24"/>
        </w:rPr>
        <w:t>Ю</w:t>
      </w:r>
      <w:r w:rsidR="009C1934">
        <w:rPr>
          <w:b/>
          <w:szCs w:val="24"/>
        </w:rPr>
        <w:t>рьевна</w:t>
      </w:r>
      <w:r w:rsidRPr="000322E4">
        <w:rPr>
          <w:szCs w:val="24"/>
        </w:rPr>
        <w:t xml:space="preserve"> </w:t>
      </w:r>
      <w:r w:rsidR="009C1934">
        <w:rPr>
          <w:szCs w:val="24"/>
        </w:rPr>
        <w:softHyphen/>
        <w:t xml:space="preserve">– </w:t>
      </w:r>
      <w:r w:rsidRPr="000322E4">
        <w:t>к.м.н., старший научный сотрудник отделения гематологии ФГБУ «НМИЦ им. Н.Н. Блохина», член Национального гематологического общества</w:t>
      </w:r>
    </w:p>
    <w:p w14:paraId="7D466DD6" w14:textId="16D32C50" w:rsidR="00F42D54" w:rsidRPr="000322E4" w:rsidRDefault="00F42D54" w:rsidP="00F414BF">
      <w:pPr>
        <w:pStyle w:val="afe"/>
        <w:numPr>
          <w:ilvl w:val="0"/>
          <w:numId w:val="24"/>
        </w:numPr>
        <w:rPr>
          <w:b/>
          <w:szCs w:val="24"/>
        </w:rPr>
      </w:pPr>
      <w:r w:rsidRPr="000322E4">
        <w:rPr>
          <w:b/>
          <w:szCs w:val="24"/>
        </w:rPr>
        <w:lastRenderedPageBreak/>
        <w:t>Константинова Т</w:t>
      </w:r>
      <w:r w:rsidR="004A588D">
        <w:rPr>
          <w:b/>
          <w:szCs w:val="24"/>
        </w:rPr>
        <w:t xml:space="preserve">атьяна </w:t>
      </w:r>
      <w:r w:rsidRPr="000322E4">
        <w:rPr>
          <w:b/>
          <w:szCs w:val="24"/>
        </w:rPr>
        <w:t>С</w:t>
      </w:r>
      <w:r w:rsidR="004A588D">
        <w:rPr>
          <w:b/>
          <w:szCs w:val="24"/>
        </w:rPr>
        <w:t>еменовна</w:t>
      </w:r>
      <w:r w:rsidRPr="000322E4">
        <w:t xml:space="preserve"> </w:t>
      </w:r>
      <w:r w:rsidR="004A588D">
        <w:softHyphen/>
        <w:t xml:space="preserve">– </w:t>
      </w:r>
      <w:r w:rsidRPr="000322E4">
        <w:t>ГБУЗ СО «Областной гематологический центр Свердловской областной клинической больницы № 1», член Национального гематологического общества и Российского общества онкогематологов</w:t>
      </w:r>
    </w:p>
    <w:p w14:paraId="11F0967E" w14:textId="4104A3E7" w:rsidR="00F42D54" w:rsidRPr="000322E4" w:rsidRDefault="00F42D54" w:rsidP="00F414BF">
      <w:pPr>
        <w:pStyle w:val="afe"/>
        <w:widowControl w:val="0"/>
        <w:numPr>
          <w:ilvl w:val="0"/>
          <w:numId w:val="24"/>
        </w:numPr>
        <w:autoSpaceDE w:val="0"/>
        <w:autoSpaceDN w:val="0"/>
        <w:adjustRightInd w:val="0"/>
        <w:rPr>
          <w:szCs w:val="24"/>
        </w:rPr>
      </w:pPr>
      <w:r w:rsidRPr="000322E4">
        <w:rPr>
          <w:b/>
          <w:szCs w:val="24"/>
        </w:rPr>
        <w:t>Самойлова О</w:t>
      </w:r>
      <w:r w:rsidR="00950846">
        <w:rPr>
          <w:b/>
          <w:szCs w:val="24"/>
        </w:rPr>
        <w:t xml:space="preserve">льга </w:t>
      </w:r>
      <w:r w:rsidRPr="000322E4">
        <w:rPr>
          <w:b/>
          <w:szCs w:val="24"/>
        </w:rPr>
        <w:t>С</w:t>
      </w:r>
      <w:r w:rsidR="00950846">
        <w:rPr>
          <w:b/>
          <w:szCs w:val="24"/>
        </w:rPr>
        <w:t>ергеевна</w:t>
      </w:r>
      <w:r w:rsidRPr="000322E4">
        <w:rPr>
          <w:szCs w:val="24"/>
        </w:rPr>
        <w:t xml:space="preserve"> </w:t>
      </w:r>
      <w:r w:rsidR="00950846">
        <w:rPr>
          <w:szCs w:val="24"/>
        </w:rPr>
        <w:t xml:space="preserve">– </w:t>
      </w:r>
      <w:r w:rsidRPr="000322E4">
        <w:t>к.м.н., заведующая отделением гематологии ГБУЗ НО «Нижегородская областная клиническая больница им. Н.А. Семашко», член Национального гематологического общества и Российского общества онкогематологов</w:t>
      </w:r>
    </w:p>
    <w:p w14:paraId="55CA1B0A" w14:textId="61B86880" w:rsidR="00F42D54" w:rsidRPr="000322E4" w:rsidRDefault="00F42D54" w:rsidP="00F414BF">
      <w:pPr>
        <w:pStyle w:val="afe"/>
        <w:numPr>
          <w:ilvl w:val="0"/>
          <w:numId w:val="24"/>
        </w:numPr>
        <w:rPr>
          <w:b/>
          <w:szCs w:val="24"/>
        </w:rPr>
      </w:pPr>
      <w:r w:rsidRPr="000322E4">
        <w:rPr>
          <w:b/>
          <w:szCs w:val="24"/>
        </w:rPr>
        <w:t>Капорская Т</w:t>
      </w:r>
      <w:r w:rsidR="00CB5766">
        <w:rPr>
          <w:b/>
          <w:szCs w:val="24"/>
        </w:rPr>
        <w:t xml:space="preserve">атьяна </w:t>
      </w:r>
      <w:r w:rsidRPr="000322E4">
        <w:rPr>
          <w:b/>
          <w:szCs w:val="24"/>
        </w:rPr>
        <w:t>С</w:t>
      </w:r>
      <w:r w:rsidR="00CB5766">
        <w:rPr>
          <w:b/>
          <w:szCs w:val="24"/>
        </w:rPr>
        <w:t>еменовна</w:t>
      </w:r>
      <w:r w:rsidRPr="000322E4">
        <w:rPr>
          <w:szCs w:val="24"/>
        </w:rPr>
        <w:t xml:space="preserve"> </w:t>
      </w:r>
      <w:r w:rsidR="009F6EC8">
        <w:rPr>
          <w:szCs w:val="24"/>
        </w:rPr>
        <w:t xml:space="preserve">– </w:t>
      </w:r>
      <w:r w:rsidRPr="000322E4">
        <w:t>к.м.н., заведующая отделением гематологии, ГБУЗ «Иркутская ордена «Знак Почета» областная клиническая больница», член Национального гематологического общества</w:t>
      </w:r>
    </w:p>
    <w:p w14:paraId="457C4279" w14:textId="0D77EA94" w:rsidR="00F42D54" w:rsidRPr="000322E4" w:rsidRDefault="00F42D54" w:rsidP="00F414BF">
      <w:pPr>
        <w:pStyle w:val="afe"/>
        <w:numPr>
          <w:ilvl w:val="0"/>
          <w:numId w:val="24"/>
        </w:numPr>
        <w:rPr>
          <w:szCs w:val="24"/>
        </w:rPr>
      </w:pPr>
      <w:r w:rsidRPr="000322E4">
        <w:rPr>
          <w:b/>
          <w:szCs w:val="24"/>
        </w:rPr>
        <w:t>Лапин В</w:t>
      </w:r>
      <w:r w:rsidR="007F6C2B">
        <w:rPr>
          <w:b/>
          <w:szCs w:val="24"/>
        </w:rPr>
        <w:t>алерий Альбернович</w:t>
      </w:r>
      <w:r w:rsidRPr="000322E4">
        <w:rPr>
          <w:szCs w:val="24"/>
        </w:rPr>
        <w:t xml:space="preserve"> </w:t>
      </w:r>
      <w:r w:rsidR="007F6C2B">
        <w:rPr>
          <w:szCs w:val="24"/>
        </w:rPr>
        <w:t xml:space="preserve">– </w:t>
      </w:r>
      <w:r w:rsidRPr="000322E4">
        <w:t>к.м.н., заведующий отделением гематологии ГБУЗ ЯО «Областная клиническая больница»</w:t>
      </w:r>
    </w:p>
    <w:p w14:paraId="4B0EEEC1" w14:textId="26BB14CE" w:rsidR="00F42D54" w:rsidRPr="000322E4" w:rsidRDefault="00F42D54" w:rsidP="00F414BF">
      <w:pPr>
        <w:pStyle w:val="afe"/>
        <w:numPr>
          <w:ilvl w:val="0"/>
          <w:numId w:val="24"/>
        </w:numPr>
      </w:pPr>
      <w:r w:rsidRPr="000322E4">
        <w:rPr>
          <w:b/>
          <w:szCs w:val="24"/>
        </w:rPr>
        <w:t>Капланов К</w:t>
      </w:r>
      <w:r w:rsidR="007F6C2B">
        <w:rPr>
          <w:b/>
          <w:szCs w:val="24"/>
        </w:rPr>
        <w:t>амиль Даниялович</w:t>
      </w:r>
      <w:r w:rsidRPr="000322E4">
        <w:rPr>
          <w:szCs w:val="24"/>
        </w:rPr>
        <w:t xml:space="preserve"> </w:t>
      </w:r>
      <w:r w:rsidR="007F6C2B">
        <w:rPr>
          <w:szCs w:val="24"/>
        </w:rPr>
        <w:t xml:space="preserve">– </w:t>
      </w:r>
      <w:r w:rsidRPr="000322E4">
        <w:t xml:space="preserve">к.м.н., заведующий </w:t>
      </w:r>
      <w:r w:rsidR="00E84AA6">
        <w:t xml:space="preserve">гематологическим отделением </w:t>
      </w:r>
      <w:r w:rsidR="00E84AA6" w:rsidRPr="000322E4">
        <w:t>ГБУЗ «ГКБ им. С.П. Боткина», главный внештатный специалист-гематолог Департамента здравоохранения города Москвы, член Национального гематологического общества и Российского общества онкогематологов</w:t>
      </w:r>
    </w:p>
    <w:p w14:paraId="16EA30F1" w14:textId="77777777" w:rsidR="00F42D54" w:rsidRPr="000322E4" w:rsidRDefault="00F42D54" w:rsidP="00F414BF">
      <w:pPr>
        <w:pStyle w:val="afe"/>
        <w:numPr>
          <w:ilvl w:val="0"/>
          <w:numId w:val="24"/>
        </w:numPr>
      </w:pPr>
      <w:r w:rsidRPr="000322E4">
        <w:rPr>
          <w:b/>
          <w:bCs/>
        </w:rPr>
        <w:t>Байков Вадим Валентинович</w:t>
      </w:r>
      <w:r w:rsidRPr="000322E4">
        <w:t xml:space="preserve"> – д.м.н., профессор кафедры патологической анатомии, заведующий лабораторией патоморфологии НИИ детской онкологии, гематологии и трансплантологии им. Р.М. Горбачевой Первого Санкт-Петербургского государственного медицинского университета им. акад. И.П. Павлова Минздрава России, член президиума Российского общества патологоанатомов, член правления Российского общества онкогематологов.</w:t>
      </w:r>
    </w:p>
    <w:p w14:paraId="31644453" w14:textId="77777777" w:rsidR="00F42D54" w:rsidRPr="000322E4" w:rsidRDefault="00F42D54" w:rsidP="00F414BF">
      <w:pPr>
        <w:pStyle w:val="afe"/>
        <w:numPr>
          <w:ilvl w:val="0"/>
          <w:numId w:val="24"/>
        </w:numPr>
      </w:pPr>
      <w:r w:rsidRPr="000322E4">
        <w:rPr>
          <w:b/>
          <w:bCs/>
        </w:rPr>
        <w:t xml:space="preserve">Ковригина Алла Михайловна </w:t>
      </w:r>
      <w:r w:rsidRPr="000322E4">
        <w:t>– д.б.н., профессор кафедры патологической анатомии, цитологии и молекулярной патологии Института повышения квалификации ФМБА РФ, заведующая патологоанатомическим отделением «НМИЦ гематологии» Минздрава России, член президиума Российского общества патологоанатомов, член правления Российского общества онкогематологов.</w:t>
      </w:r>
    </w:p>
    <w:p w14:paraId="6E9DF586" w14:textId="77777777" w:rsidR="00F42D54" w:rsidRPr="000322E4" w:rsidRDefault="00F42D54" w:rsidP="00F414BF">
      <w:pPr>
        <w:pStyle w:val="afe"/>
        <w:numPr>
          <w:ilvl w:val="0"/>
          <w:numId w:val="24"/>
        </w:numPr>
      </w:pPr>
      <w:r w:rsidRPr="000322E4">
        <w:rPr>
          <w:b/>
          <w:bCs/>
        </w:rPr>
        <w:t>Криволапов Юрий Александрович</w:t>
      </w:r>
      <w:r w:rsidRPr="000322E4">
        <w:t xml:space="preserve"> – д.м.н., профессор, зав. патологоанатомическим отделением клинической молекулярной морфологии клиники им. Э.Э. Эйхвальда ФГБОУ СЗГМУ им. И.И. Мечникова Минздрава России, член панели патологов Европейской сети исследования лимфом, член Европейской рабочей группы исследования костного мозга, член президиума Российского общества патологоанатомов</w:t>
      </w:r>
    </w:p>
    <w:p w14:paraId="3CE0F98F" w14:textId="77777777" w:rsidR="00F42D54" w:rsidRPr="000322E4" w:rsidRDefault="00F42D54" w:rsidP="00F414BF">
      <w:pPr>
        <w:pStyle w:val="afe"/>
        <w:numPr>
          <w:ilvl w:val="0"/>
          <w:numId w:val="24"/>
        </w:numPr>
      </w:pPr>
      <w:r w:rsidRPr="000322E4">
        <w:rPr>
          <w:b/>
          <w:bCs/>
        </w:rPr>
        <w:t xml:space="preserve">Коновалов Дмитрий Михайлович </w:t>
      </w:r>
      <w:r w:rsidRPr="000322E4">
        <w:t>– к.м.н., зав. патологанатомическим отделением ФГБУ «НМИЦ ДГОИ им. Дмитрия Рогачева» Минздрава России, член президиума Российского общества патологоанатомов</w:t>
      </w:r>
    </w:p>
    <w:p w14:paraId="1DD2C1BC" w14:textId="77777777" w:rsidR="00F42D54" w:rsidRPr="000322E4" w:rsidRDefault="00F42D54" w:rsidP="00F414BF">
      <w:pPr>
        <w:pStyle w:val="afe"/>
        <w:numPr>
          <w:ilvl w:val="0"/>
          <w:numId w:val="24"/>
        </w:numPr>
      </w:pPr>
      <w:r w:rsidRPr="000322E4">
        <w:rPr>
          <w:b/>
          <w:bCs/>
        </w:rPr>
        <w:lastRenderedPageBreak/>
        <w:t>Трофимова Оксана Петровна</w:t>
      </w:r>
      <w:r w:rsidRPr="000322E4">
        <w:t xml:space="preserve"> – д.м.н., ведущий научный сотрудник радиологического отделения ФГБУ «НМИЦ им. Н.Н. Блохина» Минздрава России, доцент кафедры онкологии ГБОУ ДПО РМАНПО Минздрава России, член Российской Ассоциации терапевтических радиационных онкологов.</w:t>
      </w:r>
    </w:p>
    <w:p w14:paraId="395F1A85" w14:textId="77777777" w:rsidR="00F42D54" w:rsidRPr="000322E4" w:rsidRDefault="00F42D54" w:rsidP="00F414BF">
      <w:pPr>
        <w:pStyle w:val="afe"/>
        <w:numPr>
          <w:ilvl w:val="0"/>
          <w:numId w:val="24"/>
        </w:numPr>
      </w:pPr>
      <w:r w:rsidRPr="000322E4">
        <w:rPr>
          <w:b/>
          <w:bCs/>
        </w:rPr>
        <w:t xml:space="preserve">Сотников Владимир Михайлович </w:t>
      </w:r>
      <w:r w:rsidRPr="000322E4">
        <w:t>– д.м.н., руководитель лаборатории лучевой терапии ФГБУ «РНЦРР» Минздрава России.</w:t>
      </w:r>
    </w:p>
    <w:p w14:paraId="10893643" w14:textId="77777777" w:rsidR="00F42D54" w:rsidRPr="000322E4" w:rsidRDefault="00F42D54" w:rsidP="00F414BF">
      <w:pPr>
        <w:pStyle w:val="afe"/>
        <w:numPr>
          <w:ilvl w:val="0"/>
          <w:numId w:val="24"/>
        </w:numPr>
      </w:pPr>
      <w:r w:rsidRPr="000322E4">
        <w:rPr>
          <w:b/>
          <w:bCs/>
        </w:rPr>
        <w:t xml:space="preserve">Ильин Николай Васильевич </w:t>
      </w:r>
      <w:r w:rsidRPr="000322E4">
        <w:t>– д.м.н., профессор, профессор кафедры радиологии, хирургии и онкологии, главный научный сотрудник отдела лучевых и комбинированных методов лечения ФГБУ «Российский научный центр радиологии и хирургических технологий имени академика А.М. Гранова» Минздрава России.</w:t>
      </w:r>
    </w:p>
    <w:p w14:paraId="7AF368ED" w14:textId="77777777" w:rsidR="00F42D54" w:rsidRPr="000322E4" w:rsidRDefault="00F42D54" w:rsidP="00F414BF">
      <w:pPr>
        <w:pStyle w:val="afe"/>
        <w:numPr>
          <w:ilvl w:val="0"/>
          <w:numId w:val="24"/>
        </w:numPr>
      </w:pPr>
      <w:r w:rsidRPr="000322E4">
        <w:rPr>
          <w:b/>
          <w:bCs/>
        </w:rPr>
        <w:t xml:space="preserve">Виноградова Юлия Николаевна </w:t>
      </w:r>
      <w:r w:rsidRPr="000322E4">
        <w:t>– д.м.н., руководитель отдела лучевых и комбинированных методов лечения, главный научный сотрудник отдела лучевых и комбинированных методов лечения ФГБУ «Российский научный центр радиологии и хирургических технологий имени академика А.М. Гранова» Минздрава России.</w:t>
      </w:r>
    </w:p>
    <w:p w14:paraId="670D3BF7" w14:textId="77777777" w:rsidR="00F42D54" w:rsidRPr="000322E4" w:rsidRDefault="00F42D54" w:rsidP="00F414BF">
      <w:pPr>
        <w:pStyle w:val="Default"/>
        <w:numPr>
          <w:ilvl w:val="0"/>
          <w:numId w:val="24"/>
        </w:numPr>
        <w:spacing w:line="360" w:lineRule="auto"/>
        <w:jc w:val="both"/>
      </w:pPr>
      <w:r w:rsidRPr="000322E4">
        <w:rPr>
          <w:b/>
          <w:bCs/>
        </w:rPr>
        <w:t>Невольских Алексей Алексеевич</w:t>
      </w:r>
      <w:r w:rsidRPr="000322E4">
        <w:t xml:space="preserve"> – д.м.н., заместитель директора по лечебной работе МРНЦ им. А.Ф. Цыба – филиал ФГБУ «НМИЦ радиологии» Минздрава России.</w:t>
      </w:r>
    </w:p>
    <w:p w14:paraId="01C253EB" w14:textId="77777777" w:rsidR="00F42D54" w:rsidRPr="000322E4" w:rsidRDefault="00F42D54" w:rsidP="00F414BF">
      <w:pPr>
        <w:pStyle w:val="Default"/>
        <w:numPr>
          <w:ilvl w:val="0"/>
          <w:numId w:val="24"/>
        </w:numPr>
        <w:spacing w:line="360" w:lineRule="auto"/>
        <w:jc w:val="both"/>
      </w:pPr>
      <w:r w:rsidRPr="000322E4">
        <w:rPr>
          <w:b/>
          <w:bCs/>
        </w:rPr>
        <w:t>Иванов Сергей Анатольевич</w:t>
      </w:r>
      <w:r w:rsidRPr="000322E4">
        <w:t xml:space="preserve"> – профессор РАН, д.м.н., директор МРНЦ им. А.Ф. Цыба – филиал ФГБУ «НМИЦ радиологии» Минздрава России.</w:t>
      </w:r>
    </w:p>
    <w:p w14:paraId="171A020A" w14:textId="184C6348" w:rsidR="00F42D54" w:rsidRPr="000322E4" w:rsidRDefault="00F42D54" w:rsidP="00F414BF">
      <w:pPr>
        <w:pStyle w:val="Default"/>
        <w:numPr>
          <w:ilvl w:val="0"/>
          <w:numId w:val="24"/>
        </w:numPr>
        <w:spacing w:line="360" w:lineRule="auto"/>
        <w:jc w:val="both"/>
      </w:pPr>
      <w:r w:rsidRPr="000322E4">
        <w:rPr>
          <w:b/>
          <w:bCs/>
        </w:rPr>
        <w:t>Хайлова Жанна Владимировна</w:t>
      </w:r>
      <w:r w:rsidRPr="000322E4">
        <w:t xml:space="preserve"> – к</w:t>
      </w:r>
      <w:r w:rsidR="00DE2B5B">
        <w:t>.</w:t>
      </w:r>
      <w:r w:rsidRPr="000322E4">
        <w:t>м</w:t>
      </w:r>
      <w:r w:rsidR="00DE2B5B">
        <w:t>.</w:t>
      </w:r>
      <w:r w:rsidRPr="000322E4">
        <w:t>н</w:t>
      </w:r>
      <w:r w:rsidR="00DE2B5B">
        <w:t>.</w:t>
      </w:r>
      <w:r w:rsidRPr="000322E4">
        <w:t>, заместитель директора по организационно-методической работе МРНЦ им. А.Ф. Цыба – филиал ФГБУ «НМИЦ радиологии» Минздрава России.</w:t>
      </w:r>
    </w:p>
    <w:p w14:paraId="5BCCFECB" w14:textId="70573C9D" w:rsidR="00F42D54" w:rsidRPr="00DE2B5B" w:rsidRDefault="00F42D54" w:rsidP="00F414BF">
      <w:pPr>
        <w:numPr>
          <w:ilvl w:val="0"/>
          <w:numId w:val="24"/>
        </w:numPr>
      </w:pPr>
      <w:r w:rsidRPr="000322E4">
        <w:rPr>
          <w:b/>
          <w:bCs/>
          <w:shd w:val="clear" w:color="auto" w:fill="FFFFFF"/>
        </w:rPr>
        <w:t>Геворкян Тигран Гагикович</w:t>
      </w:r>
      <w:r w:rsidRPr="000322E4">
        <w:rPr>
          <w:shd w:val="clear" w:color="auto" w:fill="FFFFFF"/>
        </w:rPr>
        <w:t xml:space="preserve"> – заместитель директора НИИ КЭР ФГБУ «НМИЦ онкологии им. Н.Н. Блохина»</w:t>
      </w:r>
    </w:p>
    <w:p w14:paraId="754C8C2C" w14:textId="715FBFA5" w:rsidR="001C476D" w:rsidRPr="00E474D3" w:rsidRDefault="001C476D" w:rsidP="001C476D">
      <w:pPr>
        <w:pStyle w:val="afe"/>
        <w:numPr>
          <w:ilvl w:val="0"/>
          <w:numId w:val="24"/>
        </w:numPr>
        <w:overflowPunct w:val="0"/>
        <w:autoSpaceDE w:val="0"/>
        <w:autoSpaceDN w:val="0"/>
        <w:adjustRightInd w:val="0"/>
        <w:jc w:val="left"/>
        <w:textAlignment w:val="baseline"/>
        <w:rPr>
          <w:rFonts w:eastAsia="SimSun"/>
          <w:szCs w:val="24"/>
        </w:rPr>
      </w:pPr>
      <w:r w:rsidRPr="00467C29">
        <w:rPr>
          <w:rFonts w:eastAsia="SimSun"/>
          <w:b/>
          <w:bCs/>
          <w:szCs w:val="24"/>
        </w:rPr>
        <w:t xml:space="preserve">Дроков Михаил Юрьевич </w:t>
      </w:r>
      <w:r w:rsidR="007C378F">
        <w:rPr>
          <w:rFonts w:eastAsia="SimSun"/>
          <w:b/>
          <w:bCs/>
          <w:szCs w:val="24"/>
        </w:rPr>
        <w:t xml:space="preserve">– </w:t>
      </w:r>
      <w:r w:rsidRPr="00E474D3">
        <w:rPr>
          <w:rFonts w:eastAsia="SimSun"/>
          <w:szCs w:val="24"/>
        </w:rPr>
        <w:t>к.м.н.</w:t>
      </w:r>
      <w:r>
        <w:rPr>
          <w:rFonts w:eastAsia="SimSun"/>
          <w:szCs w:val="24"/>
        </w:rPr>
        <w:t xml:space="preserve">, </w:t>
      </w:r>
      <w:r w:rsidRPr="00E474D3">
        <w:rPr>
          <w:rFonts w:eastAsia="SimSun"/>
          <w:szCs w:val="24"/>
        </w:rPr>
        <w:t>руководитель сектора по изучению иммунных воздействий и осложнений после ТКМ ФГБУ «НМИЦ гематологии» Минздрава России</w:t>
      </w:r>
    </w:p>
    <w:p w14:paraId="14AA6DD2" w14:textId="70596C8F" w:rsidR="001C476D" w:rsidRPr="00E474D3" w:rsidRDefault="001C476D" w:rsidP="001C476D">
      <w:pPr>
        <w:pStyle w:val="afe"/>
        <w:numPr>
          <w:ilvl w:val="0"/>
          <w:numId w:val="24"/>
        </w:numPr>
        <w:overflowPunct w:val="0"/>
        <w:autoSpaceDE w:val="0"/>
        <w:autoSpaceDN w:val="0"/>
        <w:adjustRightInd w:val="0"/>
        <w:textAlignment w:val="baseline"/>
        <w:rPr>
          <w:rFonts w:eastAsia="SimSun"/>
          <w:szCs w:val="24"/>
        </w:rPr>
      </w:pPr>
      <w:r w:rsidRPr="00467C29">
        <w:rPr>
          <w:rFonts w:eastAsia="SimSun"/>
          <w:b/>
          <w:bCs/>
          <w:szCs w:val="24"/>
        </w:rPr>
        <w:t>Васильева Вера Алексеевна</w:t>
      </w:r>
      <w:r>
        <w:rPr>
          <w:rFonts w:eastAsia="SimSun"/>
          <w:szCs w:val="24"/>
        </w:rPr>
        <w:t xml:space="preserve"> </w:t>
      </w:r>
      <w:r w:rsidR="007C378F">
        <w:rPr>
          <w:rFonts w:eastAsia="SimSun"/>
          <w:szCs w:val="24"/>
        </w:rPr>
        <w:t xml:space="preserve">– </w:t>
      </w:r>
      <w:r w:rsidRPr="00E474D3">
        <w:rPr>
          <w:rFonts w:eastAsia="SimSun"/>
          <w:szCs w:val="24"/>
        </w:rPr>
        <w:t>к.м.н.</w:t>
      </w:r>
      <w:r>
        <w:rPr>
          <w:rFonts w:eastAsia="SimSun"/>
          <w:szCs w:val="24"/>
        </w:rPr>
        <w:t xml:space="preserve">, </w:t>
      </w:r>
      <w:r w:rsidRPr="00E474D3">
        <w:rPr>
          <w:rFonts w:eastAsia="SimSun"/>
          <w:szCs w:val="24"/>
        </w:rPr>
        <w:t>заведующая отделением иммунохимиотерапии с дневным стационаром для больных после ТКМ ФГБУ «НМИЦ гематологии» Минздрава России</w:t>
      </w:r>
    </w:p>
    <w:p w14:paraId="6943D240" w14:textId="1BA4D207" w:rsidR="001C476D" w:rsidRPr="00E474D3" w:rsidRDefault="001C476D" w:rsidP="001C476D">
      <w:pPr>
        <w:pStyle w:val="afe"/>
        <w:numPr>
          <w:ilvl w:val="0"/>
          <w:numId w:val="24"/>
        </w:numPr>
        <w:overflowPunct w:val="0"/>
        <w:autoSpaceDE w:val="0"/>
        <w:autoSpaceDN w:val="0"/>
        <w:adjustRightInd w:val="0"/>
        <w:textAlignment w:val="baseline"/>
        <w:rPr>
          <w:rFonts w:eastAsia="SimSun"/>
          <w:szCs w:val="24"/>
        </w:rPr>
      </w:pPr>
      <w:r w:rsidRPr="00467C29">
        <w:rPr>
          <w:rFonts w:eastAsia="SimSun"/>
          <w:b/>
          <w:bCs/>
          <w:szCs w:val="24"/>
        </w:rPr>
        <w:t>Власова Юлия Юрьевна</w:t>
      </w:r>
      <w:r>
        <w:rPr>
          <w:rFonts w:eastAsia="SimSun"/>
          <w:szCs w:val="24"/>
        </w:rPr>
        <w:t xml:space="preserve"> </w:t>
      </w:r>
      <w:r w:rsidR="007C378F">
        <w:rPr>
          <w:rFonts w:eastAsia="SimSun"/>
          <w:szCs w:val="24"/>
        </w:rPr>
        <w:t xml:space="preserve">– </w:t>
      </w:r>
      <w:r w:rsidRPr="00E474D3">
        <w:rPr>
          <w:rFonts w:eastAsia="SimSun"/>
          <w:szCs w:val="24"/>
        </w:rPr>
        <w:t>к.м.н.</w:t>
      </w:r>
      <w:r>
        <w:rPr>
          <w:rFonts w:eastAsia="SimSun"/>
          <w:szCs w:val="24"/>
        </w:rPr>
        <w:t>,</w:t>
      </w:r>
      <w:r w:rsidRPr="00E474D3">
        <w:rPr>
          <w:rFonts w:eastAsia="SimSun"/>
          <w:szCs w:val="24"/>
        </w:rPr>
        <w:t xml:space="preserve"> зав. отделением транспантации костного мозга для взрослых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69E5CD98" w14:textId="24127FC9" w:rsidR="001C476D" w:rsidRPr="00E474D3" w:rsidRDefault="001C476D" w:rsidP="001C476D">
      <w:pPr>
        <w:pStyle w:val="afe"/>
        <w:numPr>
          <w:ilvl w:val="0"/>
          <w:numId w:val="24"/>
        </w:numPr>
        <w:overflowPunct w:val="0"/>
        <w:autoSpaceDE w:val="0"/>
        <w:autoSpaceDN w:val="0"/>
        <w:adjustRightInd w:val="0"/>
        <w:textAlignment w:val="baseline"/>
        <w:rPr>
          <w:rFonts w:eastAsia="SimSun"/>
          <w:szCs w:val="24"/>
        </w:rPr>
      </w:pPr>
      <w:r w:rsidRPr="00467C29">
        <w:rPr>
          <w:rFonts w:eastAsia="SimSun"/>
          <w:b/>
          <w:bCs/>
          <w:szCs w:val="24"/>
        </w:rPr>
        <w:t>Гапонова Татьяна Владимировна</w:t>
      </w:r>
      <w:r>
        <w:rPr>
          <w:rFonts w:eastAsia="SimSun"/>
          <w:szCs w:val="24"/>
        </w:rPr>
        <w:t xml:space="preserve"> </w:t>
      </w:r>
      <w:r w:rsidR="007C378F">
        <w:rPr>
          <w:rFonts w:eastAsia="SimSun"/>
          <w:szCs w:val="24"/>
        </w:rPr>
        <w:t xml:space="preserve">– </w:t>
      </w:r>
      <w:r w:rsidRPr="00E474D3">
        <w:rPr>
          <w:rFonts w:eastAsia="SimSun"/>
          <w:szCs w:val="24"/>
        </w:rPr>
        <w:t>к.м.н.</w:t>
      </w:r>
      <w:r>
        <w:rPr>
          <w:rFonts w:eastAsia="SimSun"/>
          <w:szCs w:val="24"/>
        </w:rPr>
        <w:t xml:space="preserve">, </w:t>
      </w:r>
      <w:r w:rsidRPr="00E474D3">
        <w:rPr>
          <w:rFonts w:eastAsia="SimSun"/>
          <w:szCs w:val="24"/>
        </w:rPr>
        <w:t xml:space="preserve">главный внештатный специалист-трансфузиолог </w:t>
      </w:r>
      <w:r w:rsidRPr="00E474D3">
        <w:rPr>
          <w:szCs w:val="24"/>
        </w:rPr>
        <w:t>Министерства здравоохранения РФ,</w:t>
      </w:r>
      <w:r w:rsidRPr="00E474D3">
        <w:rPr>
          <w:rFonts w:eastAsia="SimSun"/>
          <w:szCs w:val="24"/>
        </w:rPr>
        <w:t xml:space="preserve"> заместитель Генерального </w:t>
      </w:r>
      <w:r w:rsidRPr="00E474D3">
        <w:rPr>
          <w:rFonts w:eastAsia="SimSun"/>
          <w:szCs w:val="24"/>
        </w:rPr>
        <w:lastRenderedPageBreak/>
        <w:t>директора ФГБУ «НМИЦ гематологии» Минздрава России, зав. отделом процессинга клеток крови и криоконсервирования</w:t>
      </w:r>
    </w:p>
    <w:p w14:paraId="300D3316" w14:textId="046C8F78" w:rsidR="001C476D" w:rsidRPr="00E474D3" w:rsidRDefault="001C476D" w:rsidP="001C476D">
      <w:pPr>
        <w:pStyle w:val="afe"/>
        <w:numPr>
          <w:ilvl w:val="0"/>
          <w:numId w:val="24"/>
        </w:numPr>
        <w:overflowPunct w:val="0"/>
        <w:autoSpaceDE w:val="0"/>
        <w:autoSpaceDN w:val="0"/>
        <w:adjustRightInd w:val="0"/>
        <w:textAlignment w:val="baseline"/>
        <w:rPr>
          <w:rFonts w:eastAsia="SimSun"/>
          <w:szCs w:val="24"/>
        </w:rPr>
      </w:pPr>
      <w:r w:rsidRPr="00467C29">
        <w:rPr>
          <w:rFonts w:eastAsia="SimSun"/>
          <w:b/>
          <w:bCs/>
          <w:szCs w:val="24"/>
        </w:rPr>
        <w:t>Грицаев Сергей Васильевич</w:t>
      </w:r>
      <w:r>
        <w:rPr>
          <w:rFonts w:eastAsia="SimSun"/>
          <w:szCs w:val="24"/>
        </w:rPr>
        <w:t xml:space="preserve"> </w:t>
      </w:r>
      <w:r w:rsidR="007C378F">
        <w:rPr>
          <w:rFonts w:eastAsia="SimSun"/>
          <w:szCs w:val="24"/>
        </w:rPr>
        <w:t xml:space="preserve">– </w:t>
      </w:r>
      <w:r w:rsidRPr="00E474D3">
        <w:rPr>
          <w:rFonts w:eastAsia="SimSun"/>
          <w:szCs w:val="24"/>
        </w:rPr>
        <w:t>д.м.н.</w:t>
      </w:r>
      <w:r>
        <w:rPr>
          <w:rFonts w:eastAsia="SimSun"/>
          <w:szCs w:val="24"/>
        </w:rPr>
        <w:t>,</w:t>
      </w:r>
      <w:r w:rsidRPr="00E474D3">
        <w:rPr>
          <w:szCs w:val="24"/>
        </w:rPr>
        <w:t xml:space="preserve"> </w:t>
      </w:r>
      <w:r w:rsidRPr="00E474D3">
        <w:rPr>
          <w:rFonts w:eastAsia="SimSun"/>
          <w:szCs w:val="24"/>
        </w:rPr>
        <w:t>руководитель Республиканского центра ТКМ ФГБУ РосНИИГТ ФМБА России</w:t>
      </w:r>
    </w:p>
    <w:p w14:paraId="056D97EE" w14:textId="22B923C7" w:rsidR="001C476D" w:rsidRPr="00E474D3" w:rsidRDefault="001C476D" w:rsidP="001C476D">
      <w:pPr>
        <w:pStyle w:val="afe"/>
        <w:numPr>
          <w:ilvl w:val="0"/>
          <w:numId w:val="24"/>
        </w:numPr>
        <w:overflowPunct w:val="0"/>
        <w:autoSpaceDE w:val="0"/>
        <w:autoSpaceDN w:val="0"/>
        <w:adjustRightInd w:val="0"/>
        <w:textAlignment w:val="baseline"/>
        <w:rPr>
          <w:rFonts w:eastAsia="SimSun"/>
          <w:szCs w:val="24"/>
        </w:rPr>
      </w:pPr>
      <w:r w:rsidRPr="00467C29">
        <w:rPr>
          <w:rFonts w:eastAsia="SimSun"/>
          <w:b/>
          <w:bCs/>
          <w:szCs w:val="24"/>
        </w:rPr>
        <w:t>Зарицкий Андрей Юрьевич</w:t>
      </w:r>
      <w:r>
        <w:rPr>
          <w:rFonts w:eastAsia="SimSun"/>
          <w:szCs w:val="24"/>
        </w:rPr>
        <w:t xml:space="preserve"> </w:t>
      </w:r>
      <w:r w:rsidR="007C378F">
        <w:rPr>
          <w:rFonts w:eastAsia="SimSun"/>
          <w:szCs w:val="24"/>
        </w:rPr>
        <w:t xml:space="preserve">– </w:t>
      </w:r>
      <w:r w:rsidRPr="00E474D3">
        <w:rPr>
          <w:rFonts w:eastAsia="SimSun"/>
          <w:szCs w:val="24"/>
        </w:rPr>
        <w:t>д.м.н</w:t>
      </w:r>
      <w:r>
        <w:rPr>
          <w:rFonts w:eastAsia="SimSun"/>
          <w:szCs w:val="24"/>
        </w:rPr>
        <w:t>., д</w:t>
      </w:r>
      <w:r w:rsidRPr="00E474D3">
        <w:rPr>
          <w:rFonts w:eastAsia="SimSun"/>
          <w:szCs w:val="24"/>
        </w:rPr>
        <w:t xml:space="preserve">иректор института гематологии, ФГБУ НМИЦ им В.А. Алмазова, </w:t>
      </w:r>
    </w:p>
    <w:p w14:paraId="586A3D22" w14:textId="37B0D759" w:rsidR="001C476D" w:rsidRPr="00E474D3" w:rsidRDefault="001C476D" w:rsidP="001C476D">
      <w:pPr>
        <w:pStyle w:val="afe"/>
        <w:numPr>
          <w:ilvl w:val="0"/>
          <w:numId w:val="24"/>
        </w:numPr>
        <w:overflowPunct w:val="0"/>
        <w:autoSpaceDE w:val="0"/>
        <w:autoSpaceDN w:val="0"/>
        <w:adjustRightInd w:val="0"/>
        <w:textAlignment w:val="baseline"/>
        <w:rPr>
          <w:rFonts w:eastAsia="SimSun"/>
          <w:szCs w:val="24"/>
        </w:rPr>
      </w:pPr>
      <w:r w:rsidRPr="00467C29">
        <w:rPr>
          <w:rFonts w:eastAsia="SimSun"/>
          <w:b/>
          <w:bCs/>
          <w:szCs w:val="24"/>
        </w:rPr>
        <w:t>Зюзгин Илья Сергеевич</w:t>
      </w:r>
      <w:r>
        <w:rPr>
          <w:rFonts w:eastAsia="SimSun"/>
          <w:szCs w:val="24"/>
        </w:rPr>
        <w:t xml:space="preserve"> </w:t>
      </w:r>
      <w:r w:rsidR="007C378F">
        <w:rPr>
          <w:rFonts w:eastAsia="SimSun"/>
          <w:szCs w:val="24"/>
        </w:rPr>
        <w:t xml:space="preserve">– </w:t>
      </w:r>
      <w:r w:rsidRPr="00E474D3">
        <w:rPr>
          <w:rFonts w:eastAsia="SimSun"/>
          <w:szCs w:val="24"/>
        </w:rPr>
        <w:t>заведующий отделением гематологии и трансплантации костного мозга ФГБУ «НМИЦ онкологии им. Н.Н. Петрова» Минздрава России</w:t>
      </w:r>
    </w:p>
    <w:p w14:paraId="4D0FC005" w14:textId="72227F47" w:rsidR="000C7575" w:rsidRPr="00E474D3" w:rsidRDefault="000C7575" w:rsidP="000C7575">
      <w:pPr>
        <w:pStyle w:val="afe"/>
        <w:numPr>
          <w:ilvl w:val="0"/>
          <w:numId w:val="24"/>
        </w:numPr>
        <w:overflowPunct w:val="0"/>
        <w:autoSpaceDE w:val="0"/>
        <w:autoSpaceDN w:val="0"/>
        <w:adjustRightInd w:val="0"/>
        <w:textAlignment w:val="baseline"/>
        <w:rPr>
          <w:rFonts w:eastAsia="SimSun"/>
          <w:szCs w:val="24"/>
        </w:rPr>
      </w:pPr>
      <w:r w:rsidRPr="00467C29">
        <w:rPr>
          <w:rFonts w:eastAsia="SimSun"/>
          <w:b/>
          <w:bCs/>
          <w:szCs w:val="24"/>
        </w:rPr>
        <w:t>Климко Николай Николаевич</w:t>
      </w:r>
      <w:r>
        <w:rPr>
          <w:rFonts w:eastAsia="SimSun"/>
          <w:szCs w:val="24"/>
        </w:rPr>
        <w:t xml:space="preserve"> </w:t>
      </w:r>
      <w:r w:rsidR="007C378F">
        <w:rPr>
          <w:rFonts w:eastAsia="SimSun"/>
          <w:szCs w:val="24"/>
        </w:rPr>
        <w:t xml:space="preserve">– </w:t>
      </w:r>
      <w:r w:rsidRPr="00E474D3">
        <w:rPr>
          <w:rFonts w:eastAsia="SimSun"/>
          <w:szCs w:val="24"/>
        </w:rPr>
        <w:t>д.м.н,</w:t>
      </w:r>
      <w:r w:rsidRPr="00E474D3">
        <w:rPr>
          <w:szCs w:val="24"/>
        </w:rPr>
        <w:t xml:space="preserve"> профессор</w:t>
      </w:r>
      <w:r>
        <w:rPr>
          <w:szCs w:val="24"/>
        </w:rPr>
        <w:t>,</w:t>
      </w:r>
      <w:r>
        <w:rPr>
          <w:rFonts w:eastAsia="SimSun"/>
          <w:szCs w:val="24"/>
        </w:rPr>
        <w:t xml:space="preserve"> з</w:t>
      </w:r>
      <w:r w:rsidRPr="00E474D3">
        <w:rPr>
          <w:rFonts w:eastAsia="SimSun"/>
          <w:szCs w:val="24"/>
        </w:rPr>
        <w:t>аведующий кафедрой клинической микологии, аллергологии и иммунологии СЗГМУ им.И.И. Мечникова</w:t>
      </w:r>
    </w:p>
    <w:p w14:paraId="0C9DEFFB" w14:textId="36A10537" w:rsidR="002E0979" w:rsidRPr="00E474D3" w:rsidRDefault="002E0979" w:rsidP="002E0979">
      <w:pPr>
        <w:pStyle w:val="afe"/>
        <w:numPr>
          <w:ilvl w:val="0"/>
          <w:numId w:val="24"/>
        </w:numPr>
        <w:overflowPunct w:val="0"/>
        <w:autoSpaceDE w:val="0"/>
        <w:autoSpaceDN w:val="0"/>
        <w:adjustRightInd w:val="0"/>
        <w:textAlignment w:val="baseline"/>
        <w:rPr>
          <w:rFonts w:eastAsia="SimSun"/>
          <w:szCs w:val="24"/>
        </w:rPr>
      </w:pPr>
      <w:r w:rsidRPr="007F4F53">
        <w:rPr>
          <w:rFonts w:eastAsia="SimSun"/>
          <w:b/>
          <w:bCs/>
          <w:szCs w:val="24"/>
        </w:rPr>
        <w:t>Кулагин Александр Дмитриевич</w:t>
      </w:r>
      <w:r>
        <w:rPr>
          <w:rFonts w:eastAsia="SimSun"/>
          <w:szCs w:val="24"/>
        </w:rPr>
        <w:t xml:space="preserve"> </w:t>
      </w:r>
      <w:r w:rsidR="007C378F">
        <w:rPr>
          <w:rFonts w:eastAsia="SimSun"/>
          <w:szCs w:val="24"/>
        </w:rPr>
        <w:t xml:space="preserve">– </w:t>
      </w:r>
      <w:r w:rsidRPr="00E474D3">
        <w:rPr>
          <w:rFonts w:eastAsia="SimSun"/>
          <w:szCs w:val="24"/>
        </w:rPr>
        <w:t>д.м.н.</w:t>
      </w:r>
      <w:r>
        <w:rPr>
          <w:rFonts w:eastAsia="SimSun"/>
          <w:szCs w:val="24"/>
        </w:rPr>
        <w:t xml:space="preserve">, </w:t>
      </w:r>
      <w:r w:rsidRPr="00E474D3">
        <w:rPr>
          <w:rFonts w:eastAsia="SimSun"/>
          <w:szCs w:val="24"/>
        </w:rPr>
        <w:t>и.</w:t>
      </w:r>
      <w:r>
        <w:rPr>
          <w:rFonts w:eastAsia="SimSun"/>
          <w:szCs w:val="24"/>
        </w:rPr>
        <w:t> </w:t>
      </w:r>
      <w:r w:rsidRPr="00E474D3">
        <w:rPr>
          <w:rFonts w:eastAsia="SimSun"/>
          <w:szCs w:val="24"/>
        </w:rPr>
        <w:t>о. директора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220C2AEE" w14:textId="532432F6" w:rsidR="002E0979" w:rsidRPr="00E474D3" w:rsidRDefault="002E0979" w:rsidP="002E0979">
      <w:pPr>
        <w:pStyle w:val="afe"/>
        <w:numPr>
          <w:ilvl w:val="0"/>
          <w:numId w:val="24"/>
        </w:numPr>
        <w:overflowPunct w:val="0"/>
        <w:autoSpaceDE w:val="0"/>
        <w:autoSpaceDN w:val="0"/>
        <w:adjustRightInd w:val="0"/>
        <w:textAlignment w:val="baseline"/>
        <w:rPr>
          <w:rFonts w:eastAsia="SimSun"/>
          <w:szCs w:val="24"/>
        </w:rPr>
      </w:pPr>
      <w:r w:rsidRPr="007F4F53">
        <w:rPr>
          <w:rFonts w:eastAsia="SimSun"/>
          <w:b/>
          <w:bCs/>
          <w:szCs w:val="24"/>
        </w:rPr>
        <w:t>Минаева Наталья Викторовна</w:t>
      </w:r>
      <w:r>
        <w:rPr>
          <w:rFonts w:eastAsia="SimSun"/>
          <w:b/>
          <w:bCs/>
          <w:szCs w:val="24"/>
        </w:rPr>
        <w:t xml:space="preserve"> </w:t>
      </w:r>
      <w:r w:rsidR="007C378F">
        <w:rPr>
          <w:rFonts w:eastAsia="SimSun"/>
          <w:b/>
          <w:bCs/>
          <w:szCs w:val="24"/>
        </w:rPr>
        <w:t xml:space="preserve">– </w:t>
      </w:r>
      <w:r w:rsidRPr="00E474D3">
        <w:rPr>
          <w:rFonts w:eastAsia="SimSun"/>
          <w:szCs w:val="24"/>
        </w:rPr>
        <w:t>зам. директора по лечебной работе ФГБУН КНИИ ГПК ФМБА России</w:t>
      </w:r>
    </w:p>
    <w:p w14:paraId="47D7AF86" w14:textId="22468F8C" w:rsidR="002E0979" w:rsidRPr="00E474D3" w:rsidRDefault="002E0979" w:rsidP="002E0979">
      <w:pPr>
        <w:pStyle w:val="afe"/>
        <w:numPr>
          <w:ilvl w:val="0"/>
          <w:numId w:val="24"/>
        </w:numPr>
        <w:overflowPunct w:val="0"/>
        <w:autoSpaceDE w:val="0"/>
        <w:autoSpaceDN w:val="0"/>
        <w:adjustRightInd w:val="0"/>
        <w:textAlignment w:val="baseline"/>
        <w:rPr>
          <w:rFonts w:eastAsia="SimSun"/>
          <w:szCs w:val="24"/>
        </w:rPr>
      </w:pPr>
      <w:r w:rsidRPr="007F4F53">
        <w:rPr>
          <w:rFonts w:eastAsia="SimSun"/>
          <w:b/>
          <w:bCs/>
          <w:szCs w:val="24"/>
        </w:rPr>
        <w:t>Моисеев Иван Сергеевич</w:t>
      </w:r>
      <w:r>
        <w:rPr>
          <w:rFonts w:eastAsia="SimSun"/>
          <w:szCs w:val="24"/>
        </w:rPr>
        <w:t xml:space="preserve"> </w:t>
      </w:r>
      <w:r w:rsidR="007C378F">
        <w:rPr>
          <w:rFonts w:eastAsia="SimSun"/>
          <w:szCs w:val="24"/>
        </w:rPr>
        <w:t xml:space="preserve">– </w:t>
      </w:r>
      <w:r w:rsidRPr="00E474D3">
        <w:rPr>
          <w:rFonts w:eastAsia="SimSun"/>
          <w:szCs w:val="24"/>
        </w:rPr>
        <w:t>д.м.н.</w:t>
      </w:r>
      <w:r>
        <w:rPr>
          <w:rFonts w:eastAsia="SimSun"/>
          <w:szCs w:val="24"/>
        </w:rPr>
        <w:t>,</w:t>
      </w:r>
      <w:r w:rsidRPr="00E474D3">
        <w:rPr>
          <w:rFonts w:eastAsia="SimSun"/>
          <w:szCs w:val="24"/>
        </w:rPr>
        <w:t xml:space="preserve"> зам. директора по науке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387570F6" w14:textId="12285599" w:rsidR="002E0979" w:rsidRPr="00E474D3" w:rsidRDefault="002E0979" w:rsidP="002E0979">
      <w:pPr>
        <w:pStyle w:val="afe"/>
        <w:numPr>
          <w:ilvl w:val="0"/>
          <w:numId w:val="24"/>
        </w:numPr>
        <w:overflowPunct w:val="0"/>
        <w:autoSpaceDE w:val="0"/>
        <w:autoSpaceDN w:val="0"/>
        <w:adjustRightInd w:val="0"/>
        <w:textAlignment w:val="baseline"/>
        <w:rPr>
          <w:rFonts w:eastAsia="SimSun"/>
          <w:szCs w:val="24"/>
        </w:rPr>
      </w:pPr>
      <w:r w:rsidRPr="007F4F53">
        <w:rPr>
          <w:rFonts w:eastAsia="SimSun"/>
          <w:b/>
          <w:bCs/>
          <w:szCs w:val="24"/>
        </w:rPr>
        <w:t>Морозова Елена Владиславовна</w:t>
      </w:r>
      <w:r>
        <w:rPr>
          <w:rFonts w:eastAsia="SimSun"/>
          <w:szCs w:val="24"/>
        </w:rPr>
        <w:t xml:space="preserve"> </w:t>
      </w:r>
      <w:r w:rsidR="007C378F">
        <w:rPr>
          <w:rFonts w:eastAsia="SimSun"/>
          <w:szCs w:val="24"/>
        </w:rPr>
        <w:t xml:space="preserve">– </w:t>
      </w:r>
      <w:r w:rsidRPr="00E474D3">
        <w:rPr>
          <w:rFonts w:eastAsia="SimSun"/>
          <w:szCs w:val="24"/>
        </w:rPr>
        <w:t>к.м.н.</w:t>
      </w:r>
      <w:r>
        <w:rPr>
          <w:rFonts w:eastAsia="SimSun"/>
          <w:szCs w:val="24"/>
        </w:rPr>
        <w:t xml:space="preserve">, </w:t>
      </w:r>
      <w:r w:rsidRPr="00E474D3">
        <w:rPr>
          <w:rFonts w:eastAsia="SimSun"/>
          <w:szCs w:val="24"/>
        </w:rPr>
        <w:t>руководитель отдела гематологии, онкологии и трансплантации для взрослых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0C7B5993" w14:textId="425F278B" w:rsidR="002E0979" w:rsidRPr="00E474D3" w:rsidRDefault="002E0979" w:rsidP="002E0979">
      <w:pPr>
        <w:pStyle w:val="afe"/>
        <w:numPr>
          <w:ilvl w:val="0"/>
          <w:numId w:val="24"/>
        </w:numPr>
        <w:overflowPunct w:val="0"/>
        <w:autoSpaceDE w:val="0"/>
        <w:autoSpaceDN w:val="0"/>
        <w:adjustRightInd w:val="0"/>
        <w:textAlignment w:val="baseline"/>
        <w:rPr>
          <w:rFonts w:eastAsia="SimSun"/>
          <w:szCs w:val="24"/>
        </w:rPr>
      </w:pPr>
      <w:r w:rsidRPr="007F4F53">
        <w:rPr>
          <w:rFonts w:eastAsia="SimSun"/>
          <w:b/>
          <w:bCs/>
          <w:szCs w:val="24"/>
        </w:rPr>
        <w:t>Моторин Дмитрий Васильевич</w:t>
      </w:r>
      <w:r>
        <w:rPr>
          <w:rFonts w:eastAsia="SimSun"/>
          <w:szCs w:val="24"/>
        </w:rPr>
        <w:t xml:space="preserve"> </w:t>
      </w:r>
      <w:r w:rsidR="007C378F">
        <w:rPr>
          <w:rFonts w:eastAsia="SimSun"/>
          <w:szCs w:val="24"/>
        </w:rPr>
        <w:t xml:space="preserve">– </w:t>
      </w:r>
      <w:r w:rsidRPr="00E474D3">
        <w:rPr>
          <w:rFonts w:eastAsia="SimSun"/>
          <w:szCs w:val="24"/>
        </w:rPr>
        <w:t>к.м.н.</w:t>
      </w:r>
      <w:r>
        <w:rPr>
          <w:rFonts w:eastAsia="SimSun"/>
          <w:szCs w:val="24"/>
        </w:rPr>
        <w:t>,</w:t>
      </w:r>
      <w:r w:rsidRPr="00E474D3">
        <w:rPr>
          <w:rFonts w:eastAsia="SimSun"/>
          <w:szCs w:val="24"/>
        </w:rPr>
        <w:t xml:space="preserve"> врач-гематолог отделения онкогематологии  №2,  старший научный сотрудник ФГБУ «НМИЦ им. В.А. Алмазова» Минздрава России</w:t>
      </w:r>
    </w:p>
    <w:p w14:paraId="164137FF" w14:textId="6B37A3CC" w:rsidR="007C378F" w:rsidRPr="00E474D3" w:rsidRDefault="007C378F" w:rsidP="007C378F">
      <w:pPr>
        <w:pStyle w:val="afe"/>
        <w:numPr>
          <w:ilvl w:val="0"/>
          <w:numId w:val="24"/>
        </w:numPr>
        <w:overflowPunct w:val="0"/>
        <w:autoSpaceDE w:val="0"/>
        <w:autoSpaceDN w:val="0"/>
        <w:adjustRightInd w:val="0"/>
        <w:textAlignment w:val="baseline"/>
        <w:rPr>
          <w:rFonts w:eastAsia="SimSun"/>
          <w:szCs w:val="24"/>
        </w:rPr>
      </w:pPr>
      <w:r w:rsidRPr="00467C29">
        <w:rPr>
          <w:rFonts w:eastAsia="SimSun"/>
          <w:b/>
          <w:bCs/>
          <w:szCs w:val="24"/>
        </w:rPr>
        <w:t>Петрова Галина Дмитриевна</w:t>
      </w:r>
      <w:r>
        <w:rPr>
          <w:rFonts w:eastAsia="SimSun"/>
          <w:szCs w:val="24"/>
        </w:rPr>
        <w:t xml:space="preserve"> – </w:t>
      </w:r>
      <w:r w:rsidRPr="00E474D3">
        <w:rPr>
          <w:rFonts w:eastAsia="SimSun"/>
          <w:szCs w:val="24"/>
        </w:rPr>
        <w:t>к.м.н.</w:t>
      </w:r>
      <w:r>
        <w:rPr>
          <w:rFonts w:eastAsia="SimSun"/>
          <w:szCs w:val="24"/>
        </w:rPr>
        <w:t>,</w:t>
      </w:r>
      <w:r w:rsidRPr="00E474D3">
        <w:rPr>
          <w:rFonts w:eastAsia="SimSun"/>
          <w:szCs w:val="24"/>
        </w:rPr>
        <w:t xml:space="preserve"> заведующая отделением трансплантации костного мозга и гемопоэтических стволовых клеток отдела гематологии и трансплантации костного мозга ФГБУ "НМИЦ онкологии им Н. Н. Блохина" Минздрава России</w:t>
      </w:r>
    </w:p>
    <w:p w14:paraId="5F0DE8C8" w14:textId="2E1ADD66" w:rsidR="007C378F" w:rsidRPr="00E474D3" w:rsidRDefault="007C378F" w:rsidP="007C378F">
      <w:pPr>
        <w:pStyle w:val="afe"/>
        <w:numPr>
          <w:ilvl w:val="0"/>
          <w:numId w:val="24"/>
        </w:numPr>
        <w:overflowPunct w:val="0"/>
        <w:autoSpaceDE w:val="0"/>
        <w:autoSpaceDN w:val="0"/>
        <w:adjustRightInd w:val="0"/>
        <w:textAlignment w:val="baseline"/>
        <w:rPr>
          <w:rFonts w:eastAsia="SimSun"/>
          <w:szCs w:val="24"/>
        </w:rPr>
      </w:pPr>
      <w:r w:rsidRPr="00467C29">
        <w:rPr>
          <w:rFonts w:eastAsia="SimSun"/>
          <w:b/>
          <w:bCs/>
          <w:szCs w:val="24"/>
        </w:rPr>
        <w:t>Попова Марина Олеговна</w:t>
      </w:r>
      <w:r>
        <w:rPr>
          <w:rFonts w:eastAsia="SimSun"/>
          <w:szCs w:val="24"/>
        </w:rPr>
        <w:t xml:space="preserve"> – </w:t>
      </w:r>
      <w:r w:rsidRPr="00E474D3">
        <w:rPr>
          <w:rFonts w:eastAsia="SimSun"/>
          <w:szCs w:val="24"/>
        </w:rPr>
        <w:t>к.м.н.</w:t>
      </w:r>
      <w:r>
        <w:rPr>
          <w:rFonts w:eastAsia="SimSun"/>
          <w:szCs w:val="24"/>
        </w:rPr>
        <w:t>,</w:t>
      </w:r>
      <w:r w:rsidRPr="00E474D3">
        <w:rPr>
          <w:rFonts w:eastAsia="SimSun"/>
          <w:szCs w:val="24"/>
        </w:rPr>
        <w:t xml:space="preserve"> доцент кафедры гематологии, трансфузиологии и трансплантологии ФПО ПСПбГМУ им. И.П. Павлова</w:t>
      </w:r>
    </w:p>
    <w:p w14:paraId="33A834DF" w14:textId="0AA90C94" w:rsidR="007C378F" w:rsidRPr="00E474D3" w:rsidRDefault="007C378F" w:rsidP="007C378F">
      <w:pPr>
        <w:pStyle w:val="afe"/>
        <w:numPr>
          <w:ilvl w:val="0"/>
          <w:numId w:val="24"/>
        </w:numPr>
        <w:overflowPunct w:val="0"/>
        <w:autoSpaceDE w:val="0"/>
        <w:autoSpaceDN w:val="0"/>
        <w:adjustRightInd w:val="0"/>
        <w:textAlignment w:val="baseline"/>
        <w:rPr>
          <w:rFonts w:eastAsia="SimSun"/>
          <w:szCs w:val="24"/>
        </w:rPr>
      </w:pPr>
      <w:r w:rsidRPr="00467C29">
        <w:rPr>
          <w:rFonts w:eastAsia="SimSun"/>
          <w:b/>
          <w:bCs/>
          <w:szCs w:val="24"/>
        </w:rPr>
        <w:t>Эстрина Мария Аркадьевна</w:t>
      </w:r>
      <w:r>
        <w:rPr>
          <w:rFonts w:eastAsia="SimSun"/>
          <w:szCs w:val="24"/>
        </w:rPr>
        <w:t xml:space="preserve"> – </w:t>
      </w:r>
      <w:r w:rsidRPr="00E474D3">
        <w:rPr>
          <w:rFonts w:eastAsia="SimSun"/>
          <w:szCs w:val="24"/>
        </w:rPr>
        <w:t>к.м.н.</w:t>
      </w:r>
      <w:r>
        <w:rPr>
          <w:rFonts w:eastAsia="SimSun"/>
          <w:szCs w:val="24"/>
        </w:rPr>
        <w:t xml:space="preserve">, </w:t>
      </w:r>
      <w:r w:rsidRPr="00E474D3">
        <w:rPr>
          <w:rFonts w:eastAsia="SimSun"/>
          <w:szCs w:val="24"/>
        </w:rPr>
        <w:t>зав. отделением клинической трансфузиологии НИИ детской онкологии, гематологии и трансплантологии ФГБОУ ВО «Первый Санкт-</w:t>
      </w:r>
      <w:r w:rsidRPr="00E474D3">
        <w:rPr>
          <w:rFonts w:eastAsia="SimSun"/>
          <w:szCs w:val="24"/>
        </w:rPr>
        <w:lastRenderedPageBreak/>
        <w:t>Петербургский государственный медицинский университет имени академика И.П. Павлова» Министерства здравоохранения Российской Федерации</w:t>
      </w:r>
    </w:p>
    <w:p w14:paraId="5DBD45C0" w14:textId="77777777" w:rsidR="00DE2B5B" w:rsidRPr="000322E4" w:rsidRDefault="00DE2B5B" w:rsidP="007C378F"/>
    <w:p w14:paraId="62579553" w14:textId="77777777" w:rsidR="00F42D54" w:rsidRPr="000322E4" w:rsidRDefault="00F42D54" w:rsidP="00F414BF"/>
    <w:p w14:paraId="55087A5A" w14:textId="77777777" w:rsidR="00F42D54" w:rsidRPr="000322E4" w:rsidRDefault="00F42D54" w:rsidP="00F414BF">
      <w:pPr>
        <w:rPr>
          <w:b/>
        </w:rPr>
      </w:pPr>
      <w:r w:rsidRPr="000322E4">
        <w:rPr>
          <w:b/>
        </w:rPr>
        <w:t>Конфликт интересов отсутствует.</w:t>
      </w:r>
    </w:p>
    <w:p w14:paraId="414AA96F" w14:textId="77777777" w:rsidR="00F42D54" w:rsidRPr="000322E4" w:rsidRDefault="00F42D54" w:rsidP="00F414BF"/>
    <w:p w14:paraId="6852DFE3" w14:textId="77777777" w:rsidR="000414F6" w:rsidRPr="000322E4" w:rsidRDefault="00F42D54" w:rsidP="00F414BF">
      <w:pPr>
        <w:pStyle w:val="afff2"/>
        <w:spacing w:before="0"/>
        <w:jc w:val="both"/>
      </w:pPr>
      <w:r w:rsidRPr="000322E4">
        <w:br w:type="page"/>
      </w:r>
      <w:bookmarkStart w:id="98" w:name="_Toc66096857"/>
      <w:r w:rsidR="00CB71DA" w:rsidRPr="000322E4">
        <w:lastRenderedPageBreak/>
        <w:t>Приложение А2. Методология разработки клинических рекомендаций</w:t>
      </w:r>
      <w:bookmarkEnd w:id="97"/>
      <w:bookmarkEnd w:id="98"/>
    </w:p>
    <w:p w14:paraId="4E63FC21" w14:textId="77777777" w:rsidR="009F5D92" w:rsidRPr="000322E4" w:rsidRDefault="009F5D92" w:rsidP="00CA442F">
      <w:pPr>
        <w:pStyle w:val="aff8"/>
        <w:rPr>
          <w:rStyle w:val="affb"/>
          <w:u w:val="single"/>
        </w:rPr>
      </w:pPr>
      <w:r w:rsidRPr="000322E4">
        <w:rPr>
          <w:rStyle w:val="affb"/>
          <w:u w:val="single"/>
        </w:rPr>
        <w:t>Целевая аудитория данных клинических рекомендаций:</w:t>
      </w:r>
    </w:p>
    <w:p w14:paraId="6CCC50B5" w14:textId="77777777" w:rsidR="009F5D92" w:rsidRPr="000322E4" w:rsidRDefault="009F5D92" w:rsidP="00F414BF">
      <w:r w:rsidRPr="000322E4">
        <w:t>1. Врачи-гематологи.</w:t>
      </w:r>
    </w:p>
    <w:p w14:paraId="75411DF8" w14:textId="77777777" w:rsidR="009F5D92" w:rsidRPr="000322E4" w:rsidRDefault="009F5D92" w:rsidP="00F414BF">
      <w:r w:rsidRPr="000322E4">
        <w:t>2. Врачи-онкологи.</w:t>
      </w:r>
    </w:p>
    <w:p w14:paraId="5E27BACA" w14:textId="77777777" w:rsidR="008762E9" w:rsidRPr="000322E4" w:rsidRDefault="008762E9" w:rsidP="00F414BF">
      <w:r w:rsidRPr="000322E4">
        <w:t xml:space="preserve">3. </w:t>
      </w:r>
      <w:r w:rsidR="004957AB" w:rsidRPr="000322E4">
        <w:t xml:space="preserve">Врачи-детские </w:t>
      </w:r>
      <w:r w:rsidRPr="000322E4">
        <w:t>онкологи.</w:t>
      </w:r>
    </w:p>
    <w:p w14:paraId="3535AF6D" w14:textId="77777777" w:rsidR="008762E9" w:rsidRPr="000322E4" w:rsidRDefault="008762E9" w:rsidP="00F414BF">
      <w:r w:rsidRPr="000322E4">
        <w:t xml:space="preserve">4. </w:t>
      </w:r>
      <w:r w:rsidR="001A3F5A" w:rsidRPr="000322E4">
        <w:t>Врачи-радиологи</w:t>
      </w:r>
      <w:r w:rsidRPr="000322E4">
        <w:t>.</w:t>
      </w:r>
    </w:p>
    <w:p w14:paraId="6797AC7B" w14:textId="77777777" w:rsidR="009F5D92" w:rsidRPr="000322E4" w:rsidRDefault="008762E9" w:rsidP="00F414BF">
      <w:r w:rsidRPr="000322E4">
        <w:t>5</w:t>
      </w:r>
      <w:r w:rsidR="009F5D92" w:rsidRPr="000322E4">
        <w:t>. Студенты медицинских вузов.</w:t>
      </w:r>
    </w:p>
    <w:p w14:paraId="40C0DA41" w14:textId="77777777" w:rsidR="009F5D92" w:rsidRPr="000322E4" w:rsidRDefault="009F5D92" w:rsidP="00CA442F">
      <w:pPr>
        <w:pStyle w:val="afd"/>
        <w:spacing w:beforeAutospacing="0" w:afterAutospacing="0" w:line="360" w:lineRule="auto"/>
      </w:pPr>
      <w:r w:rsidRPr="000322E4">
        <w:rPr>
          <w:rStyle w:val="affb"/>
          <w:u w:val="single"/>
        </w:rPr>
        <w:t>Методология сбора доказательств</w:t>
      </w:r>
    </w:p>
    <w:p w14:paraId="4181B4D9" w14:textId="77777777" w:rsidR="009F5D92" w:rsidRPr="000322E4" w:rsidRDefault="009F5D92" w:rsidP="00CA442F">
      <w:pPr>
        <w:pStyle w:val="afd"/>
        <w:spacing w:beforeAutospacing="0" w:afterAutospacing="0" w:line="360" w:lineRule="auto"/>
      </w:pPr>
      <w:r w:rsidRPr="000322E4">
        <w:rPr>
          <w:rStyle w:val="affb"/>
        </w:rPr>
        <w:t>Методы, использованные для сбора / селекции доказательств:</w:t>
      </w:r>
    </w:p>
    <w:p w14:paraId="2803BC61" w14:textId="77777777" w:rsidR="009F5D92" w:rsidRPr="000322E4" w:rsidRDefault="009F5D92" w:rsidP="00F414BF">
      <w:pPr>
        <w:pStyle w:val="afd"/>
        <w:numPr>
          <w:ilvl w:val="0"/>
          <w:numId w:val="10"/>
        </w:numPr>
        <w:spacing w:beforeAutospacing="0" w:afterAutospacing="0" w:line="360" w:lineRule="auto"/>
        <w:ind w:left="0" w:firstLine="851"/>
      </w:pPr>
      <w:r w:rsidRPr="000322E4">
        <w:t>поиск в электронных базах данных.</w:t>
      </w:r>
    </w:p>
    <w:p w14:paraId="325E9D05" w14:textId="77777777" w:rsidR="009F5D92" w:rsidRPr="000322E4" w:rsidRDefault="009F5D92" w:rsidP="00CA442F">
      <w:pPr>
        <w:pStyle w:val="afd"/>
        <w:spacing w:beforeAutospacing="0" w:afterAutospacing="0" w:line="360" w:lineRule="auto"/>
        <w:rPr>
          <w:b/>
        </w:rPr>
      </w:pPr>
      <w:r w:rsidRPr="000322E4">
        <w:rPr>
          <w:rStyle w:val="affb"/>
        </w:rPr>
        <w:t xml:space="preserve">Базы данных, использованных для сбора/селекции доказательств. </w:t>
      </w:r>
      <w:r w:rsidRPr="000322E4">
        <w:t>Доказательной базой для рекомендаций являются публикации, вошедшие в Кохрайновскую библиотеку, базы данных PUBMED и MEDLINE. Глубина поиска составляла 30 лет.</w:t>
      </w:r>
    </w:p>
    <w:p w14:paraId="72BAA31A" w14:textId="77777777" w:rsidR="009F5D92" w:rsidRPr="000322E4" w:rsidRDefault="009F5D92" w:rsidP="00CA442F">
      <w:pPr>
        <w:pStyle w:val="afd"/>
        <w:spacing w:beforeAutospacing="0" w:afterAutospacing="0" w:line="360" w:lineRule="auto"/>
      </w:pPr>
      <w:r w:rsidRPr="000322E4">
        <w:rPr>
          <w:rStyle w:val="affb"/>
        </w:rPr>
        <w:t>Методы, использованные для анализа доказательств:</w:t>
      </w:r>
    </w:p>
    <w:p w14:paraId="7D1017EC" w14:textId="77777777" w:rsidR="009F5D92" w:rsidRPr="000322E4" w:rsidRDefault="009F5D92" w:rsidP="00F414BF">
      <w:pPr>
        <w:pStyle w:val="afd"/>
        <w:numPr>
          <w:ilvl w:val="0"/>
          <w:numId w:val="17"/>
        </w:numPr>
        <w:spacing w:beforeAutospacing="0" w:afterAutospacing="0" w:line="360" w:lineRule="auto"/>
        <w:ind w:left="0" w:firstLine="851"/>
      </w:pPr>
      <w:r w:rsidRPr="000322E4">
        <w:t>обзоры опубликованных мета-анализов;</w:t>
      </w:r>
    </w:p>
    <w:p w14:paraId="6D72C61F" w14:textId="77777777" w:rsidR="009F5D92" w:rsidRPr="000322E4" w:rsidRDefault="009F5D92" w:rsidP="00F414BF">
      <w:pPr>
        <w:pStyle w:val="afd"/>
        <w:numPr>
          <w:ilvl w:val="0"/>
          <w:numId w:val="17"/>
        </w:numPr>
        <w:tabs>
          <w:tab w:val="clear" w:pos="720"/>
          <w:tab w:val="num" w:pos="0"/>
        </w:tabs>
        <w:spacing w:beforeAutospacing="0" w:afterAutospacing="0" w:line="360" w:lineRule="auto"/>
        <w:ind w:left="0" w:firstLine="851"/>
      </w:pPr>
      <w:r w:rsidRPr="000322E4">
        <w:t>систематические обзоры с таблицами доказательств.</w:t>
      </w:r>
    </w:p>
    <w:p w14:paraId="67278A2C" w14:textId="77777777" w:rsidR="009F5D92" w:rsidRPr="000322E4" w:rsidRDefault="009F5D92" w:rsidP="00CA442F">
      <w:pPr>
        <w:pStyle w:val="afd"/>
        <w:spacing w:beforeAutospacing="0" w:afterAutospacing="0" w:line="360" w:lineRule="auto"/>
      </w:pPr>
      <w:r w:rsidRPr="000322E4">
        <w:rPr>
          <w:rStyle w:val="affb"/>
        </w:rPr>
        <w:t>Методы, использованные для качества и силы доказательств:</w:t>
      </w:r>
    </w:p>
    <w:p w14:paraId="72EC9E03" w14:textId="77777777" w:rsidR="009F5D92" w:rsidRPr="000322E4" w:rsidRDefault="009F5D92" w:rsidP="00F414BF">
      <w:pPr>
        <w:pStyle w:val="afd"/>
        <w:numPr>
          <w:ilvl w:val="0"/>
          <w:numId w:val="18"/>
        </w:numPr>
        <w:spacing w:beforeAutospacing="0" w:afterAutospacing="0" w:line="360" w:lineRule="auto"/>
        <w:ind w:left="0" w:firstLine="851"/>
      </w:pPr>
      <w:r w:rsidRPr="000322E4">
        <w:t>консенсус экспертов;</w:t>
      </w:r>
    </w:p>
    <w:p w14:paraId="7A76C5BC" w14:textId="77777777" w:rsidR="009F5D92" w:rsidRPr="000322E4" w:rsidRDefault="009F5D92" w:rsidP="00F414BF">
      <w:pPr>
        <w:pStyle w:val="afd"/>
        <w:numPr>
          <w:ilvl w:val="0"/>
          <w:numId w:val="18"/>
        </w:numPr>
        <w:spacing w:beforeAutospacing="0" w:afterAutospacing="0" w:line="360" w:lineRule="auto"/>
        <w:ind w:left="0" w:firstLine="851"/>
      </w:pPr>
      <w:r w:rsidRPr="000322E4">
        <w:t>оценка значимости доказательств в соответствии с рейтинговой схемой доказательств (табл. 4, 5).</w:t>
      </w:r>
    </w:p>
    <w:p w14:paraId="398CA5D3" w14:textId="77777777" w:rsidR="009F5D92" w:rsidRPr="000322E4" w:rsidRDefault="009F5D92" w:rsidP="00F414BF"/>
    <w:p w14:paraId="63C2521D" w14:textId="77777777" w:rsidR="009F5D92" w:rsidRPr="000322E4" w:rsidRDefault="009F5D92" w:rsidP="00F414BF">
      <w:r w:rsidRPr="000322E4">
        <w:rPr>
          <w:b/>
          <w:bCs/>
        </w:rPr>
        <w:t>Таблица</w:t>
      </w:r>
      <w:r w:rsidR="00C6417C" w:rsidRPr="000322E4">
        <w:rPr>
          <w:b/>
          <w:bCs/>
        </w:rPr>
        <w:t xml:space="preserve"> А2.</w:t>
      </w:r>
      <w:r w:rsidRPr="000322E4">
        <w:rPr>
          <w:b/>
          <w:bCs/>
        </w:rPr>
        <w:fldChar w:fldCharType="begin"/>
      </w:r>
      <w:r w:rsidRPr="000322E4">
        <w:rPr>
          <w:b/>
          <w:bCs/>
        </w:rPr>
        <w:instrText xml:space="preserve"> SEQ Таблица \* ARABIC </w:instrText>
      </w:r>
      <w:r w:rsidRPr="000322E4">
        <w:rPr>
          <w:b/>
          <w:bCs/>
        </w:rPr>
        <w:fldChar w:fldCharType="separate"/>
      </w:r>
      <w:r w:rsidRPr="000322E4">
        <w:rPr>
          <w:b/>
          <w:bCs/>
          <w:noProof/>
        </w:rPr>
        <w:t>1</w:t>
      </w:r>
      <w:r w:rsidRPr="000322E4">
        <w:rPr>
          <w:b/>
          <w:bCs/>
        </w:rPr>
        <w:fldChar w:fldCharType="end"/>
      </w:r>
      <w:r w:rsidRPr="000322E4">
        <w:rPr>
          <w:b/>
          <w:bCs/>
        </w:rPr>
        <w:t>.</w:t>
      </w:r>
      <w:r w:rsidRPr="000322E4">
        <w:rPr>
          <w:b/>
        </w:rPr>
        <w:t xml:space="preserve"> </w:t>
      </w:r>
      <w:r w:rsidRPr="000322E4">
        <w:t>Шкала оценки уровней достоверности доказательств (УДД) для методов диагностики (диагностических вмешательств)</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8154"/>
      </w:tblGrid>
      <w:tr w:rsidR="009F5D92" w:rsidRPr="000322E4" w14:paraId="013BFBCD" w14:textId="77777777" w:rsidTr="00665C29">
        <w:trPr>
          <w:trHeight w:val="58"/>
          <w:tblHeader/>
        </w:trPr>
        <w:tc>
          <w:tcPr>
            <w:tcW w:w="588" w:type="pct"/>
            <w:tcBorders>
              <w:top w:val="single" w:sz="4" w:space="0" w:color="auto"/>
              <w:left w:val="single" w:sz="4" w:space="0" w:color="auto"/>
              <w:bottom w:val="single" w:sz="4" w:space="0" w:color="auto"/>
              <w:right w:val="single" w:sz="4" w:space="0" w:color="auto"/>
            </w:tcBorders>
          </w:tcPr>
          <w:p w14:paraId="30D500CC" w14:textId="77777777" w:rsidR="009F5D92" w:rsidRPr="000322E4" w:rsidRDefault="009F5D92" w:rsidP="00F414BF">
            <w:pPr>
              <w:rPr>
                <w:b/>
                <w:color w:val="000000"/>
              </w:rPr>
            </w:pPr>
            <w:r w:rsidRPr="000322E4">
              <w:rPr>
                <w:b/>
                <w:color w:val="000000"/>
              </w:rPr>
              <w:t>УДД</w:t>
            </w:r>
          </w:p>
        </w:tc>
        <w:tc>
          <w:tcPr>
            <w:tcW w:w="4412" w:type="pct"/>
            <w:tcBorders>
              <w:top w:val="single" w:sz="4" w:space="0" w:color="auto"/>
              <w:left w:val="single" w:sz="4" w:space="0" w:color="auto"/>
              <w:bottom w:val="single" w:sz="4" w:space="0" w:color="auto"/>
              <w:right w:val="single" w:sz="4" w:space="0" w:color="auto"/>
            </w:tcBorders>
          </w:tcPr>
          <w:p w14:paraId="768C58EA" w14:textId="77777777" w:rsidR="009F5D92" w:rsidRPr="000322E4" w:rsidRDefault="009F5D92" w:rsidP="00F414BF">
            <w:pPr>
              <w:rPr>
                <w:b/>
                <w:color w:val="000000"/>
              </w:rPr>
            </w:pPr>
            <w:r w:rsidRPr="000322E4">
              <w:rPr>
                <w:b/>
                <w:color w:val="000000"/>
              </w:rPr>
              <w:t>Расшифровка</w:t>
            </w:r>
          </w:p>
        </w:tc>
      </w:tr>
      <w:tr w:rsidR="009F5D92" w:rsidRPr="000322E4" w14:paraId="14B190E7" w14:textId="77777777" w:rsidTr="00665C29">
        <w:tc>
          <w:tcPr>
            <w:tcW w:w="588" w:type="pct"/>
            <w:tcBorders>
              <w:top w:val="single" w:sz="4" w:space="0" w:color="auto"/>
              <w:left w:val="single" w:sz="4" w:space="0" w:color="auto"/>
              <w:bottom w:val="single" w:sz="4" w:space="0" w:color="auto"/>
              <w:right w:val="single" w:sz="4" w:space="0" w:color="auto"/>
            </w:tcBorders>
          </w:tcPr>
          <w:p w14:paraId="7537A56F" w14:textId="77777777" w:rsidR="009F5D92" w:rsidRPr="000322E4" w:rsidRDefault="009F5D92" w:rsidP="00F414BF">
            <w:pPr>
              <w:rPr>
                <w:color w:val="000000"/>
              </w:rPr>
            </w:pPr>
            <w:r w:rsidRPr="000322E4">
              <w:rPr>
                <w:color w:val="000000"/>
                <w:lang w:val="en-US"/>
              </w:rPr>
              <w:t>1</w:t>
            </w:r>
          </w:p>
        </w:tc>
        <w:tc>
          <w:tcPr>
            <w:tcW w:w="4412" w:type="pct"/>
            <w:tcBorders>
              <w:top w:val="single" w:sz="4" w:space="0" w:color="auto"/>
              <w:left w:val="single" w:sz="4" w:space="0" w:color="auto"/>
              <w:bottom w:val="single" w:sz="4" w:space="0" w:color="auto"/>
              <w:right w:val="single" w:sz="4" w:space="0" w:color="auto"/>
            </w:tcBorders>
          </w:tcPr>
          <w:p w14:paraId="72D29BD8" w14:textId="77777777" w:rsidR="009F5D92" w:rsidRPr="000322E4" w:rsidRDefault="009F5D92" w:rsidP="00F414BF">
            <w:pPr>
              <w:rPr>
                <w:color w:val="000000"/>
              </w:rPr>
            </w:pPr>
            <w:r w:rsidRPr="000322E4">
              <w:rPr>
                <w:color w:val="000000"/>
              </w:rPr>
              <w:t>Систематические обзоры исследований с контролем референсным методом</w:t>
            </w:r>
            <w:r w:rsidRPr="000322E4">
              <w:t xml:space="preserve"> или систематический обзор рандомизированных клинических исследований с применением метаанализа.</w:t>
            </w:r>
          </w:p>
        </w:tc>
      </w:tr>
      <w:tr w:rsidR="009F5D92" w:rsidRPr="000322E4" w14:paraId="3DE61C23" w14:textId="77777777" w:rsidTr="00665C29">
        <w:tc>
          <w:tcPr>
            <w:tcW w:w="588" w:type="pct"/>
            <w:tcBorders>
              <w:top w:val="single" w:sz="4" w:space="0" w:color="auto"/>
              <w:left w:val="single" w:sz="4" w:space="0" w:color="auto"/>
              <w:bottom w:val="single" w:sz="4" w:space="0" w:color="auto"/>
              <w:right w:val="single" w:sz="4" w:space="0" w:color="auto"/>
            </w:tcBorders>
          </w:tcPr>
          <w:p w14:paraId="7B10A2E4" w14:textId="77777777" w:rsidR="009F5D92" w:rsidRPr="000322E4" w:rsidRDefault="009F5D92" w:rsidP="00F414BF">
            <w:pPr>
              <w:rPr>
                <w:color w:val="000000"/>
              </w:rPr>
            </w:pPr>
            <w:r w:rsidRPr="000322E4">
              <w:rPr>
                <w:color w:val="000000"/>
                <w:lang w:val="en-US"/>
              </w:rPr>
              <w:t>2</w:t>
            </w:r>
          </w:p>
        </w:tc>
        <w:tc>
          <w:tcPr>
            <w:tcW w:w="4412" w:type="pct"/>
            <w:tcBorders>
              <w:top w:val="single" w:sz="4" w:space="0" w:color="auto"/>
              <w:left w:val="single" w:sz="4" w:space="0" w:color="auto"/>
              <w:bottom w:val="single" w:sz="4" w:space="0" w:color="auto"/>
              <w:right w:val="single" w:sz="4" w:space="0" w:color="auto"/>
            </w:tcBorders>
          </w:tcPr>
          <w:p w14:paraId="4845EEC7" w14:textId="77777777" w:rsidR="009F5D92" w:rsidRPr="000322E4" w:rsidRDefault="009F5D92" w:rsidP="00F414BF">
            <w:pPr>
              <w:rPr>
                <w:color w:val="000000"/>
              </w:rPr>
            </w:pPr>
            <w:r w:rsidRPr="000322E4">
              <w:rPr>
                <w:color w:val="000000"/>
              </w:rPr>
              <w:t>Отдельные исследования с контролем референсным методом или отдельные рандомизированные клинические исследования и систематические обзоры исследований любого дизайна, за исключением рандомизированных клинических исследований с применением метаанализа</w:t>
            </w:r>
          </w:p>
        </w:tc>
      </w:tr>
      <w:tr w:rsidR="009F5D92" w:rsidRPr="000322E4" w14:paraId="0883660C" w14:textId="77777777" w:rsidTr="00665C29">
        <w:tc>
          <w:tcPr>
            <w:tcW w:w="588" w:type="pct"/>
            <w:tcBorders>
              <w:top w:val="single" w:sz="4" w:space="0" w:color="auto"/>
              <w:left w:val="single" w:sz="4" w:space="0" w:color="auto"/>
              <w:bottom w:val="single" w:sz="4" w:space="0" w:color="auto"/>
              <w:right w:val="single" w:sz="4" w:space="0" w:color="auto"/>
            </w:tcBorders>
          </w:tcPr>
          <w:p w14:paraId="3FD24E5F" w14:textId="77777777" w:rsidR="009F5D92" w:rsidRPr="000322E4" w:rsidRDefault="009F5D92" w:rsidP="00F414BF">
            <w:pPr>
              <w:rPr>
                <w:color w:val="000000"/>
              </w:rPr>
            </w:pPr>
            <w:r w:rsidRPr="000322E4">
              <w:rPr>
                <w:color w:val="000000"/>
                <w:lang w:val="en-US"/>
              </w:rPr>
              <w:t>3</w:t>
            </w:r>
          </w:p>
        </w:tc>
        <w:tc>
          <w:tcPr>
            <w:tcW w:w="4412" w:type="pct"/>
            <w:tcBorders>
              <w:top w:val="single" w:sz="4" w:space="0" w:color="auto"/>
              <w:left w:val="single" w:sz="4" w:space="0" w:color="auto"/>
              <w:bottom w:val="single" w:sz="4" w:space="0" w:color="auto"/>
              <w:right w:val="single" w:sz="4" w:space="0" w:color="auto"/>
            </w:tcBorders>
          </w:tcPr>
          <w:p w14:paraId="02155C52" w14:textId="77777777" w:rsidR="009F5D92" w:rsidRPr="000322E4" w:rsidRDefault="009F5D92" w:rsidP="00F414BF">
            <w:pPr>
              <w:rPr>
                <w:color w:val="000000"/>
              </w:rPr>
            </w:pPr>
            <w:r w:rsidRPr="000322E4">
              <w:rPr>
                <w:color w:val="000000"/>
              </w:rPr>
              <w:t xml:space="preserve">Исследования без последовательного контроля референсным методом или исследования с референсным методом, не являющимся независимым от </w:t>
            </w:r>
            <w:r w:rsidRPr="000322E4">
              <w:rPr>
                <w:color w:val="000000"/>
              </w:rPr>
              <w:lastRenderedPageBreak/>
              <w:t>исследуемого метода или нерандомизированные сравнительные исследования, в том числе когортные исследования.</w:t>
            </w:r>
          </w:p>
        </w:tc>
      </w:tr>
      <w:tr w:rsidR="009F5D92" w:rsidRPr="000322E4" w14:paraId="13A80D89" w14:textId="77777777" w:rsidTr="00665C29">
        <w:tc>
          <w:tcPr>
            <w:tcW w:w="588" w:type="pct"/>
            <w:tcBorders>
              <w:top w:val="single" w:sz="4" w:space="0" w:color="auto"/>
              <w:left w:val="single" w:sz="4" w:space="0" w:color="auto"/>
              <w:bottom w:val="single" w:sz="4" w:space="0" w:color="auto"/>
              <w:right w:val="single" w:sz="4" w:space="0" w:color="auto"/>
            </w:tcBorders>
          </w:tcPr>
          <w:p w14:paraId="33EE8CF0" w14:textId="77777777" w:rsidR="009F5D92" w:rsidRPr="000322E4" w:rsidRDefault="009F5D92" w:rsidP="00F414BF">
            <w:pPr>
              <w:rPr>
                <w:color w:val="000000"/>
              </w:rPr>
            </w:pPr>
            <w:r w:rsidRPr="000322E4">
              <w:rPr>
                <w:color w:val="000000"/>
                <w:lang w:val="en-US"/>
              </w:rPr>
              <w:lastRenderedPageBreak/>
              <w:t>4</w:t>
            </w:r>
          </w:p>
        </w:tc>
        <w:tc>
          <w:tcPr>
            <w:tcW w:w="4412" w:type="pct"/>
            <w:tcBorders>
              <w:top w:val="single" w:sz="4" w:space="0" w:color="auto"/>
              <w:left w:val="single" w:sz="4" w:space="0" w:color="auto"/>
              <w:bottom w:val="single" w:sz="4" w:space="0" w:color="auto"/>
              <w:right w:val="single" w:sz="4" w:space="0" w:color="auto"/>
            </w:tcBorders>
          </w:tcPr>
          <w:p w14:paraId="61A1B4F5" w14:textId="77777777" w:rsidR="009F5D92" w:rsidRPr="000322E4" w:rsidRDefault="009F5D92" w:rsidP="00F414BF">
            <w:pPr>
              <w:rPr>
                <w:color w:val="000000"/>
              </w:rPr>
            </w:pPr>
            <w:r w:rsidRPr="000322E4">
              <w:rPr>
                <w:color w:val="000000"/>
              </w:rPr>
              <w:t>Несравнительные исследования, описание клинического случая.</w:t>
            </w:r>
          </w:p>
        </w:tc>
      </w:tr>
      <w:tr w:rsidR="009F5D92" w:rsidRPr="000322E4" w14:paraId="13A23394" w14:textId="77777777" w:rsidTr="00665C29">
        <w:tc>
          <w:tcPr>
            <w:tcW w:w="588" w:type="pct"/>
            <w:tcBorders>
              <w:top w:val="single" w:sz="4" w:space="0" w:color="auto"/>
              <w:left w:val="single" w:sz="4" w:space="0" w:color="auto"/>
              <w:bottom w:val="single" w:sz="4" w:space="0" w:color="auto"/>
              <w:right w:val="single" w:sz="4" w:space="0" w:color="auto"/>
            </w:tcBorders>
          </w:tcPr>
          <w:p w14:paraId="311BF991" w14:textId="77777777" w:rsidR="009F5D92" w:rsidRPr="000322E4" w:rsidRDefault="009F5D92" w:rsidP="00F414BF">
            <w:pPr>
              <w:rPr>
                <w:color w:val="000000"/>
              </w:rPr>
            </w:pPr>
            <w:r w:rsidRPr="000322E4">
              <w:rPr>
                <w:color w:val="000000"/>
                <w:lang w:val="en-US"/>
              </w:rPr>
              <w:t>5</w:t>
            </w:r>
          </w:p>
        </w:tc>
        <w:tc>
          <w:tcPr>
            <w:tcW w:w="4412" w:type="pct"/>
            <w:tcBorders>
              <w:top w:val="single" w:sz="4" w:space="0" w:color="auto"/>
              <w:left w:val="single" w:sz="4" w:space="0" w:color="auto"/>
              <w:bottom w:val="single" w:sz="4" w:space="0" w:color="auto"/>
              <w:right w:val="single" w:sz="4" w:space="0" w:color="auto"/>
            </w:tcBorders>
          </w:tcPr>
          <w:p w14:paraId="1941FD61" w14:textId="77777777" w:rsidR="009F5D92" w:rsidRPr="000322E4" w:rsidRDefault="009F5D92" w:rsidP="00F414BF">
            <w:pPr>
              <w:rPr>
                <w:color w:val="000000"/>
              </w:rPr>
            </w:pPr>
            <w:r w:rsidRPr="000322E4">
              <w:rPr>
                <w:color w:val="000000"/>
              </w:rPr>
              <w:t>Имеется лишь обоснование механизма действия или мнение экспертов.</w:t>
            </w:r>
          </w:p>
        </w:tc>
      </w:tr>
    </w:tbl>
    <w:p w14:paraId="50A1773A" w14:textId="77777777" w:rsidR="009F5D92" w:rsidRPr="000322E4" w:rsidRDefault="009F5D92" w:rsidP="00F414BF">
      <w:pPr>
        <w:rPr>
          <w:b/>
        </w:rPr>
      </w:pPr>
      <w:bookmarkStart w:id="99" w:name="_Ref515967623"/>
    </w:p>
    <w:p w14:paraId="5D67CA54" w14:textId="77777777" w:rsidR="009F5D92" w:rsidRPr="000322E4" w:rsidRDefault="009F5D92" w:rsidP="00F414BF">
      <w:r w:rsidRPr="000322E4">
        <w:rPr>
          <w:b/>
          <w:bCs/>
        </w:rPr>
        <w:t xml:space="preserve">Таблица </w:t>
      </w:r>
      <w:r w:rsidR="00C6417C" w:rsidRPr="000322E4">
        <w:rPr>
          <w:b/>
          <w:bCs/>
        </w:rPr>
        <w:t>А2.</w:t>
      </w:r>
      <w:r w:rsidRPr="000322E4">
        <w:rPr>
          <w:b/>
          <w:bCs/>
        </w:rPr>
        <w:fldChar w:fldCharType="begin"/>
      </w:r>
      <w:r w:rsidRPr="000322E4">
        <w:rPr>
          <w:b/>
          <w:bCs/>
        </w:rPr>
        <w:instrText xml:space="preserve"> SEQ Таблица \* ARABIC </w:instrText>
      </w:r>
      <w:r w:rsidRPr="000322E4">
        <w:rPr>
          <w:b/>
          <w:bCs/>
        </w:rPr>
        <w:fldChar w:fldCharType="separate"/>
      </w:r>
      <w:r w:rsidRPr="000322E4">
        <w:rPr>
          <w:b/>
          <w:bCs/>
          <w:noProof/>
        </w:rPr>
        <w:t>2</w:t>
      </w:r>
      <w:r w:rsidRPr="000322E4">
        <w:rPr>
          <w:b/>
          <w:bCs/>
        </w:rPr>
        <w:fldChar w:fldCharType="end"/>
      </w:r>
      <w:bookmarkEnd w:id="99"/>
      <w:r w:rsidRPr="000322E4">
        <w:rPr>
          <w:b/>
          <w:bCs/>
        </w:rPr>
        <w:t>.</w:t>
      </w:r>
      <w:r w:rsidRPr="000322E4">
        <w:rPr>
          <w:b/>
        </w:rPr>
        <w:t xml:space="preserve"> </w:t>
      </w:r>
      <w:r w:rsidRPr="000322E4">
        <w:t>Шкала оценки уровней достоверности доказательств для методов профилактики, лечения и реабилитации (профилактических, лечебных, реабилитационных вмешательств)</w:t>
      </w:r>
    </w:p>
    <w:tbl>
      <w:tblPr>
        <w:tblW w:w="50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7585"/>
      </w:tblGrid>
      <w:tr w:rsidR="009F5D92" w:rsidRPr="000322E4" w14:paraId="09739D1E" w14:textId="77777777" w:rsidTr="004F0134">
        <w:tc>
          <w:tcPr>
            <w:tcW w:w="320" w:type="pct"/>
            <w:tcBorders>
              <w:top w:val="single" w:sz="4" w:space="0" w:color="auto"/>
              <w:left w:val="single" w:sz="4" w:space="0" w:color="auto"/>
              <w:bottom w:val="single" w:sz="4" w:space="0" w:color="auto"/>
              <w:right w:val="single" w:sz="4" w:space="0" w:color="auto"/>
            </w:tcBorders>
          </w:tcPr>
          <w:p w14:paraId="71C9E5AF" w14:textId="77777777" w:rsidR="009F5D92" w:rsidRPr="000322E4" w:rsidRDefault="009F5D92" w:rsidP="00F414BF">
            <w:pPr>
              <w:rPr>
                <w:b/>
                <w:bCs/>
                <w:color w:val="000000"/>
              </w:rPr>
            </w:pPr>
            <w:r w:rsidRPr="000322E4">
              <w:rPr>
                <w:b/>
                <w:bCs/>
              </w:rPr>
              <w:t>Уровень достоверности доказательств</w:t>
            </w:r>
          </w:p>
        </w:tc>
        <w:tc>
          <w:tcPr>
            <w:tcW w:w="4680" w:type="pct"/>
            <w:tcBorders>
              <w:top w:val="single" w:sz="4" w:space="0" w:color="auto"/>
              <w:left w:val="single" w:sz="4" w:space="0" w:color="auto"/>
              <w:bottom w:val="single" w:sz="4" w:space="0" w:color="auto"/>
              <w:right w:val="single" w:sz="4" w:space="0" w:color="auto"/>
            </w:tcBorders>
          </w:tcPr>
          <w:p w14:paraId="697D5D5D" w14:textId="77777777" w:rsidR="009F5D92" w:rsidRPr="000322E4" w:rsidRDefault="009F5D92" w:rsidP="00F414BF">
            <w:pPr>
              <w:rPr>
                <w:b/>
                <w:color w:val="000000"/>
              </w:rPr>
            </w:pPr>
            <w:r w:rsidRPr="000322E4">
              <w:rPr>
                <w:b/>
                <w:color w:val="000000"/>
              </w:rPr>
              <w:t xml:space="preserve">Расшифровка </w:t>
            </w:r>
          </w:p>
        </w:tc>
      </w:tr>
      <w:tr w:rsidR="009F5D92" w:rsidRPr="000322E4" w14:paraId="7797F51C" w14:textId="77777777" w:rsidTr="004F0134">
        <w:tc>
          <w:tcPr>
            <w:tcW w:w="320" w:type="pct"/>
            <w:tcBorders>
              <w:top w:val="single" w:sz="4" w:space="0" w:color="auto"/>
              <w:left w:val="single" w:sz="4" w:space="0" w:color="auto"/>
              <w:bottom w:val="single" w:sz="4" w:space="0" w:color="auto"/>
              <w:right w:val="single" w:sz="4" w:space="0" w:color="auto"/>
            </w:tcBorders>
          </w:tcPr>
          <w:p w14:paraId="335F43B1" w14:textId="77777777" w:rsidR="009F5D92" w:rsidRPr="000322E4" w:rsidRDefault="009F5D92" w:rsidP="00F414BF">
            <w:pPr>
              <w:rPr>
                <w:color w:val="000000"/>
              </w:rPr>
            </w:pPr>
            <w:r w:rsidRPr="000322E4">
              <w:rPr>
                <w:color w:val="000000"/>
                <w:lang w:val="en-US"/>
              </w:rPr>
              <w:t>1</w:t>
            </w:r>
          </w:p>
        </w:tc>
        <w:tc>
          <w:tcPr>
            <w:tcW w:w="4680" w:type="pct"/>
            <w:tcBorders>
              <w:top w:val="single" w:sz="4" w:space="0" w:color="auto"/>
              <w:left w:val="single" w:sz="4" w:space="0" w:color="auto"/>
              <w:bottom w:val="single" w:sz="4" w:space="0" w:color="auto"/>
              <w:right w:val="single" w:sz="4" w:space="0" w:color="auto"/>
            </w:tcBorders>
          </w:tcPr>
          <w:p w14:paraId="68B4B531" w14:textId="77777777" w:rsidR="009F5D92" w:rsidRPr="000322E4" w:rsidRDefault="009F5D92" w:rsidP="00F414BF">
            <w:pPr>
              <w:rPr>
                <w:color w:val="000000"/>
              </w:rPr>
            </w:pPr>
            <w:r w:rsidRPr="000322E4">
              <w:rPr>
                <w:color w:val="000000"/>
              </w:rPr>
              <w:t>Систематический обзор РКИ с применением метаанализа.</w:t>
            </w:r>
          </w:p>
        </w:tc>
      </w:tr>
      <w:tr w:rsidR="009F5D92" w:rsidRPr="000322E4" w14:paraId="7BBA4F5D" w14:textId="77777777" w:rsidTr="004F0134">
        <w:tc>
          <w:tcPr>
            <w:tcW w:w="320" w:type="pct"/>
            <w:tcBorders>
              <w:top w:val="single" w:sz="4" w:space="0" w:color="auto"/>
              <w:left w:val="single" w:sz="4" w:space="0" w:color="auto"/>
              <w:bottom w:val="single" w:sz="4" w:space="0" w:color="auto"/>
              <w:right w:val="single" w:sz="4" w:space="0" w:color="auto"/>
            </w:tcBorders>
          </w:tcPr>
          <w:p w14:paraId="1BA32AFC" w14:textId="77777777" w:rsidR="009F5D92" w:rsidRPr="000322E4" w:rsidRDefault="009F5D92" w:rsidP="00F414BF">
            <w:pPr>
              <w:rPr>
                <w:color w:val="000000"/>
                <w:lang w:val="en-US"/>
              </w:rPr>
            </w:pPr>
            <w:r w:rsidRPr="000322E4">
              <w:rPr>
                <w:color w:val="000000"/>
              </w:rPr>
              <w:t>2</w:t>
            </w:r>
          </w:p>
        </w:tc>
        <w:tc>
          <w:tcPr>
            <w:tcW w:w="4680" w:type="pct"/>
            <w:tcBorders>
              <w:top w:val="single" w:sz="4" w:space="0" w:color="auto"/>
              <w:left w:val="single" w:sz="4" w:space="0" w:color="auto"/>
              <w:bottom w:val="single" w:sz="4" w:space="0" w:color="auto"/>
              <w:right w:val="single" w:sz="4" w:space="0" w:color="auto"/>
            </w:tcBorders>
          </w:tcPr>
          <w:p w14:paraId="5DB4CA1B" w14:textId="77777777" w:rsidR="009F5D92" w:rsidRPr="000322E4" w:rsidRDefault="009F5D92" w:rsidP="00F414BF">
            <w:pPr>
              <w:rPr>
                <w:color w:val="000000"/>
              </w:rPr>
            </w:pPr>
            <w:r w:rsidRPr="000322E4">
              <w:rPr>
                <w:color w:val="000000"/>
              </w:rPr>
              <w:t>Отдельные РКИ и систематические обзоры исследований любого дизайна, за исключением РКИ, с применением метаанализа.</w:t>
            </w:r>
          </w:p>
        </w:tc>
      </w:tr>
      <w:tr w:rsidR="009F5D92" w:rsidRPr="000322E4" w14:paraId="72537698" w14:textId="77777777" w:rsidTr="004F0134">
        <w:tc>
          <w:tcPr>
            <w:tcW w:w="320" w:type="pct"/>
            <w:tcBorders>
              <w:top w:val="single" w:sz="4" w:space="0" w:color="auto"/>
              <w:left w:val="single" w:sz="4" w:space="0" w:color="auto"/>
              <w:bottom w:val="single" w:sz="4" w:space="0" w:color="auto"/>
              <w:right w:val="single" w:sz="4" w:space="0" w:color="auto"/>
            </w:tcBorders>
          </w:tcPr>
          <w:p w14:paraId="35838FA8" w14:textId="77777777" w:rsidR="009F5D92" w:rsidRPr="000322E4" w:rsidRDefault="009F5D92" w:rsidP="00F414BF">
            <w:pPr>
              <w:rPr>
                <w:color w:val="000000"/>
              </w:rPr>
            </w:pPr>
            <w:r w:rsidRPr="000322E4">
              <w:rPr>
                <w:color w:val="000000"/>
                <w:lang w:val="en-US"/>
              </w:rPr>
              <w:t>3</w:t>
            </w:r>
          </w:p>
        </w:tc>
        <w:tc>
          <w:tcPr>
            <w:tcW w:w="4680" w:type="pct"/>
            <w:tcBorders>
              <w:top w:val="single" w:sz="4" w:space="0" w:color="auto"/>
              <w:left w:val="single" w:sz="4" w:space="0" w:color="auto"/>
              <w:bottom w:val="single" w:sz="4" w:space="0" w:color="auto"/>
              <w:right w:val="single" w:sz="4" w:space="0" w:color="auto"/>
            </w:tcBorders>
          </w:tcPr>
          <w:p w14:paraId="132AF707" w14:textId="77777777" w:rsidR="009F5D92" w:rsidRPr="000322E4" w:rsidRDefault="009F5D92" w:rsidP="00F414BF">
            <w:pPr>
              <w:rPr>
                <w:color w:val="000000"/>
              </w:rPr>
            </w:pPr>
            <w:r w:rsidRPr="000322E4">
              <w:rPr>
                <w:color w:val="000000"/>
              </w:rPr>
              <w:t>Нерандомизированные сравнительные исследования, в т.ч. когортные исследования.</w:t>
            </w:r>
          </w:p>
        </w:tc>
      </w:tr>
      <w:tr w:rsidR="009F5D92" w:rsidRPr="000322E4" w14:paraId="2875EE9B" w14:textId="77777777" w:rsidTr="004F0134">
        <w:tc>
          <w:tcPr>
            <w:tcW w:w="320" w:type="pct"/>
            <w:tcBorders>
              <w:top w:val="single" w:sz="4" w:space="0" w:color="auto"/>
              <w:left w:val="single" w:sz="4" w:space="0" w:color="auto"/>
              <w:bottom w:val="single" w:sz="4" w:space="0" w:color="auto"/>
              <w:right w:val="single" w:sz="4" w:space="0" w:color="auto"/>
            </w:tcBorders>
          </w:tcPr>
          <w:p w14:paraId="06F9A81F" w14:textId="77777777" w:rsidR="009F5D92" w:rsidRPr="000322E4" w:rsidRDefault="009F5D92" w:rsidP="00F414BF">
            <w:pPr>
              <w:rPr>
                <w:color w:val="000000"/>
              </w:rPr>
            </w:pPr>
            <w:r w:rsidRPr="000322E4">
              <w:rPr>
                <w:color w:val="000000"/>
                <w:lang w:val="en-US"/>
              </w:rPr>
              <w:t>4</w:t>
            </w:r>
          </w:p>
        </w:tc>
        <w:tc>
          <w:tcPr>
            <w:tcW w:w="4680" w:type="pct"/>
            <w:tcBorders>
              <w:top w:val="single" w:sz="4" w:space="0" w:color="auto"/>
              <w:left w:val="single" w:sz="4" w:space="0" w:color="auto"/>
              <w:bottom w:val="single" w:sz="4" w:space="0" w:color="auto"/>
              <w:right w:val="single" w:sz="4" w:space="0" w:color="auto"/>
            </w:tcBorders>
          </w:tcPr>
          <w:p w14:paraId="32B36D54" w14:textId="77777777" w:rsidR="009F5D92" w:rsidRPr="000322E4" w:rsidRDefault="009F5D92" w:rsidP="00F414BF">
            <w:pPr>
              <w:rPr>
                <w:color w:val="000000"/>
              </w:rPr>
            </w:pPr>
            <w:r w:rsidRPr="000322E4">
              <w:rPr>
                <w:color w:val="000000"/>
              </w:rPr>
              <w:t>Несравнительные исследования, описание клинического случая или серии случаев, исследования «случай-контроль».</w:t>
            </w:r>
          </w:p>
        </w:tc>
      </w:tr>
      <w:tr w:rsidR="009F5D92" w:rsidRPr="000322E4" w14:paraId="385FA9FE" w14:textId="77777777" w:rsidTr="004F0134">
        <w:tc>
          <w:tcPr>
            <w:tcW w:w="320" w:type="pct"/>
            <w:tcBorders>
              <w:top w:val="single" w:sz="4" w:space="0" w:color="auto"/>
              <w:left w:val="single" w:sz="4" w:space="0" w:color="auto"/>
              <w:bottom w:val="single" w:sz="4" w:space="0" w:color="auto"/>
              <w:right w:val="single" w:sz="4" w:space="0" w:color="auto"/>
            </w:tcBorders>
          </w:tcPr>
          <w:p w14:paraId="4F4F87E6" w14:textId="77777777" w:rsidR="009F5D92" w:rsidRPr="000322E4" w:rsidRDefault="009F5D92" w:rsidP="00F414BF">
            <w:pPr>
              <w:rPr>
                <w:color w:val="000000"/>
              </w:rPr>
            </w:pPr>
            <w:r w:rsidRPr="000322E4">
              <w:rPr>
                <w:color w:val="000000"/>
                <w:lang w:val="en-US"/>
              </w:rPr>
              <w:t>5</w:t>
            </w:r>
          </w:p>
        </w:tc>
        <w:tc>
          <w:tcPr>
            <w:tcW w:w="4680" w:type="pct"/>
            <w:tcBorders>
              <w:top w:val="single" w:sz="4" w:space="0" w:color="auto"/>
              <w:left w:val="single" w:sz="4" w:space="0" w:color="auto"/>
              <w:bottom w:val="single" w:sz="4" w:space="0" w:color="auto"/>
              <w:right w:val="single" w:sz="4" w:space="0" w:color="auto"/>
            </w:tcBorders>
          </w:tcPr>
          <w:p w14:paraId="391D695B" w14:textId="77777777" w:rsidR="009F5D92" w:rsidRPr="000322E4" w:rsidRDefault="009F5D92" w:rsidP="00F414BF">
            <w:pPr>
              <w:rPr>
                <w:color w:val="000000"/>
              </w:rPr>
            </w:pPr>
            <w:r w:rsidRPr="000322E4">
              <w:rPr>
                <w:color w:val="000000"/>
              </w:rPr>
              <w:t>Имеется лишь обоснование механизма действия вмешательства (доклинические исследования) или мнение экспертов.</w:t>
            </w:r>
          </w:p>
        </w:tc>
      </w:tr>
    </w:tbl>
    <w:p w14:paraId="49093842" w14:textId="77777777" w:rsidR="009F5D92" w:rsidRPr="000322E4" w:rsidRDefault="009F5D92" w:rsidP="00CA442F">
      <w:pPr>
        <w:pStyle w:val="aff8"/>
        <w:rPr>
          <w:rStyle w:val="affb"/>
        </w:rPr>
      </w:pPr>
    </w:p>
    <w:p w14:paraId="01C024A8" w14:textId="77777777" w:rsidR="009F5D92" w:rsidRPr="000322E4" w:rsidRDefault="009F5D92" w:rsidP="00F414BF">
      <w:bookmarkStart w:id="100" w:name="_Ref515967732"/>
      <w:r w:rsidRPr="000322E4">
        <w:rPr>
          <w:b/>
          <w:bCs/>
        </w:rPr>
        <w:t xml:space="preserve">Таблица </w:t>
      </w:r>
      <w:bookmarkEnd w:id="100"/>
      <w:r w:rsidR="00C6417C" w:rsidRPr="000322E4">
        <w:rPr>
          <w:b/>
          <w:bCs/>
        </w:rPr>
        <w:t>А2.</w:t>
      </w:r>
      <w:r w:rsidRPr="000322E4">
        <w:rPr>
          <w:b/>
          <w:bCs/>
        </w:rPr>
        <w:t>3.</w:t>
      </w:r>
      <w:r w:rsidRPr="000322E4">
        <w:rPr>
          <w:b/>
        </w:rPr>
        <w:t xml:space="preserve"> </w:t>
      </w:r>
      <w:r w:rsidRPr="000322E4">
        <w:t>Шкала оценки уровней убедительности рекомендаций для методов профилактики, диагностики, лечения и реабилитации (профилактических, диагностических, лечебных, реабилитационных вмешательств)</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7411"/>
      </w:tblGrid>
      <w:tr w:rsidR="009F5D92" w:rsidRPr="000322E4" w14:paraId="44420FD5" w14:textId="77777777" w:rsidTr="004F0134">
        <w:trPr>
          <w:tblHeader/>
        </w:trPr>
        <w:tc>
          <w:tcPr>
            <w:tcW w:w="1035" w:type="pct"/>
            <w:tcBorders>
              <w:top w:val="single" w:sz="4" w:space="0" w:color="auto"/>
              <w:left w:val="single" w:sz="4" w:space="0" w:color="auto"/>
              <w:bottom w:val="single" w:sz="4" w:space="0" w:color="auto"/>
              <w:right w:val="single" w:sz="4" w:space="0" w:color="auto"/>
            </w:tcBorders>
          </w:tcPr>
          <w:p w14:paraId="434AEAFE" w14:textId="77777777" w:rsidR="009F5D92" w:rsidRPr="000322E4" w:rsidRDefault="009F5D92" w:rsidP="00F414BF">
            <w:pPr>
              <w:rPr>
                <w:b/>
                <w:bCs/>
                <w:color w:val="000000"/>
              </w:rPr>
            </w:pPr>
            <w:r w:rsidRPr="000322E4">
              <w:rPr>
                <w:b/>
                <w:bCs/>
              </w:rPr>
              <w:t>Уровень убедительности рекомендаций</w:t>
            </w:r>
          </w:p>
        </w:tc>
        <w:tc>
          <w:tcPr>
            <w:tcW w:w="3965" w:type="pct"/>
            <w:tcBorders>
              <w:top w:val="single" w:sz="4" w:space="0" w:color="auto"/>
              <w:left w:val="single" w:sz="4" w:space="0" w:color="auto"/>
              <w:bottom w:val="single" w:sz="4" w:space="0" w:color="auto"/>
              <w:right w:val="single" w:sz="4" w:space="0" w:color="auto"/>
            </w:tcBorders>
          </w:tcPr>
          <w:p w14:paraId="2C25E154" w14:textId="77777777" w:rsidR="009F5D92" w:rsidRPr="000322E4" w:rsidRDefault="009F5D92" w:rsidP="00F414BF">
            <w:pPr>
              <w:rPr>
                <w:b/>
                <w:color w:val="000000"/>
              </w:rPr>
            </w:pPr>
            <w:r w:rsidRPr="000322E4">
              <w:rPr>
                <w:b/>
                <w:color w:val="000000"/>
              </w:rPr>
              <w:t>Расшифровка</w:t>
            </w:r>
          </w:p>
        </w:tc>
      </w:tr>
      <w:tr w:rsidR="009F5D92" w:rsidRPr="000322E4" w14:paraId="7174C67C" w14:textId="77777777" w:rsidTr="004F0134">
        <w:trPr>
          <w:trHeight w:val="1060"/>
        </w:trPr>
        <w:tc>
          <w:tcPr>
            <w:tcW w:w="1035" w:type="pct"/>
            <w:tcBorders>
              <w:top w:val="single" w:sz="4" w:space="0" w:color="auto"/>
              <w:left w:val="single" w:sz="4" w:space="0" w:color="auto"/>
              <w:bottom w:val="single" w:sz="4" w:space="0" w:color="auto"/>
              <w:right w:val="single" w:sz="4" w:space="0" w:color="auto"/>
            </w:tcBorders>
          </w:tcPr>
          <w:p w14:paraId="356640B0" w14:textId="77777777" w:rsidR="009F5D92" w:rsidRPr="000322E4" w:rsidRDefault="009F5D92" w:rsidP="00F414BF">
            <w:pPr>
              <w:rPr>
                <w:color w:val="000000"/>
              </w:rPr>
            </w:pPr>
            <w:r w:rsidRPr="000322E4">
              <w:rPr>
                <w:color w:val="000000"/>
                <w:lang w:val="en-US"/>
              </w:rPr>
              <w:t>A</w:t>
            </w:r>
          </w:p>
        </w:tc>
        <w:tc>
          <w:tcPr>
            <w:tcW w:w="3965" w:type="pct"/>
            <w:tcBorders>
              <w:top w:val="single" w:sz="4" w:space="0" w:color="auto"/>
              <w:left w:val="single" w:sz="4" w:space="0" w:color="auto"/>
              <w:bottom w:val="single" w:sz="4" w:space="0" w:color="auto"/>
              <w:right w:val="single" w:sz="4" w:space="0" w:color="auto"/>
            </w:tcBorders>
          </w:tcPr>
          <w:p w14:paraId="2ECC5F67" w14:textId="77777777" w:rsidR="009F5D92" w:rsidRPr="000322E4" w:rsidRDefault="009F5D92" w:rsidP="00F414BF">
            <w:pPr>
              <w:rPr>
                <w:color w:val="000000"/>
              </w:rPr>
            </w:pPr>
            <w:r w:rsidRPr="000322E4">
              <w:rPr>
                <w:color w:val="000000"/>
              </w:rPr>
              <w:t xml:space="preserve">Сильная рекомендация (все рассматриваемые критерии эффективности (исходы) являются важными, все исследования имеют высокое или удовлетворительное методологическое качество, их выводы по интересующим исходам являются согласованными). </w:t>
            </w:r>
          </w:p>
        </w:tc>
      </w:tr>
      <w:tr w:rsidR="009F5D92" w:rsidRPr="000322E4" w14:paraId="417D8926" w14:textId="77777777" w:rsidTr="004F0134">
        <w:trPr>
          <w:trHeight w:val="558"/>
        </w:trPr>
        <w:tc>
          <w:tcPr>
            <w:tcW w:w="1035" w:type="pct"/>
            <w:tcBorders>
              <w:top w:val="single" w:sz="4" w:space="0" w:color="auto"/>
              <w:left w:val="single" w:sz="4" w:space="0" w:color="auto"/>
              <w:bottom w:val="single" w:sz="4" w:space="0" w:color="auto"/>
              <w:right w:val="single" w:sz="4" w:space="0" w:color="auto"/>
            </w:tcBorders>
          </w:tcPr>
          <w:p w14:paraId="27EF7B9C" w14:textId="77777777" w:rsidR="009F5D92" w:rsidRPr="000322E4" w:rsidRDefault="009F5D92" w:rsidP="00F414BF">
            <w:pPr>
              <w:rPr>
                <w:color w:val="000000"/>
              </w:rPr>
            </w:pPr>
            <w:r w:rsidRPr="000322E4">
              <w:rPr>
                <w:color w:val="000000"/>
              </w:rPr>
              <w:t>B</w:t>
            </w:r>
          </w:p>
        </w:tc>
        <w:tc>
          <w:tcPr>
            <w:tcW w:w="3965" w:type="pct"/>
            <w:tcBorders>
              <w:top w:val="single" w:sz="4" w:space="0" w:color="auto"/>
              <w:left w:val="single" w:sz="4" w:space="0" w:color="auto"/>
              <w:bottom w:val="single" w:sz="4" w:space="0" w:color="auto"/>
              <w:right w:val="single" w:sz="4" w:space="0" w:color="auto"/>
            </w:tcBorders>
          </w:tcPr>
          <w:p w14:paraId="2965CD31" w14:textId="77777777" w:rsidR="009F5D92" w:rsidRPr="000322E4" w:rsidRDefault="009F5D92" w:rsidP="00F414BF">
            <w:pPr>
              <w:rPr>
                <w:color w:val="000000"/>
              </w:rPr>
            </w:pPr>
            <w:r w:rsidRPr="000322E4">
              <w:rPr>
                <w:color w:val="000000"/>
              </w:rPr>
              <w:t xml:space="preserve">Условная рекомендация (не все рассматриваемые критерии эффективности (исходы) являются важными, не все исследования </w:t>
            </w:r>
            <w:r w:rsidRPr="000322E4">
              <w:rPr>
                <w:color w:val="000000"/>
              </w:rPr>
              <w:lastRenderedPageBreak/>
              <w:t xml:space="preserve">имеют высокое или удовлетворительное методологическое качество и/или их выводы по интересующим исходам не являются согласованными). </w:t>
            </w:r>
          </w:p>
        </w:tc>
      </w:tr>
      <w:tr w:rsidR="009F5D92" w:rsidRPr="000322E4" w14:paraId="5DDDA62A" w14:textId="77777777" w:rsidTr="004F0134">
        <w:trPr>
          <w:trHeight w:val="798"/>
        </w:trPr>
        <w:tc>
          <w:tcPr>
            <w:tcW w:w="1035" w:type="pct"/>
            <w:tcBorders>
              <w:top w:val="single" w:sz="4" w:space="0" w:color="auto"/>
              <w:left w:val="single" w:sz="4" w:space="0" w:color="auto"/>
              <w:bottom w:val="single" w:sz="4" w:space="0" w:color="auto"/>
              <w:right w:val="single" w:sz="4" w:space="0" w:color="auto"/>
            </w:tcBorders>
          </w:tcPr>
          <w:p w14:paraId="08034110" w14:textId="77777777" w:rsidR="009F5D92" w:rsidRPr="000322E4" w:rsidRDefault="009F5D92" w:rsidP="00F414BF">
            <w:pPr>
              <w:rPr>
                <w:color w:val="000000"/>
              </w:rPr>
            </w:pPr>
            <w:r w:rsidRPr="000322E4">
              <w:rPr>
                <w:color w:val="000000"/>
              </w:rPr>
              <w:lastRenderedPageBreak/>
              <w:t>C</w:t>
            </w:r>
          </w:p>
        </w:tc>
        <w:tc>
          <w:tcPr>
            <w:tcW w:w="3965" w:type="pct"/>
            <w:tcBorders>
              <w:top w:val="single" w:sz="4" w:space="0" w:color="auto"/>
              <w:left w:val="single" w:sz="4" w:space="0" w:color="auto"/>
              <w:bottom w:val="single" w:sz="4" w:space="0" w:color="auto"/>
              <w:right w:val="single" w:sz="4" w:space="0" w:color="auto"/>
            </w:tcBorders>
          </w:tcPr>
          <w:p w14:paraId="7FE3B682" w14:textId="77777777" w:rsidR="009F5D92" w:rsidRPr="000322E4" w:rsidRDefault="009F5D92" w:rsidP="00F414BF">
            <w:pPr>
              <w:rPr>
                <w:color w:val="000000"/>
              </w:rPr>
            </w:pPr>
            <w:r w:rsidRPr="000322E4">
              <w:rPr>
                <w:color w:val="000000"/>
              </w:rPr>
              <w:t xml:space="preserve">Слабая рекомендация (отсутствие доказательств надлежащего качества, все рассматриваемые критерии эффективности (исходы) являются неважными, все исследования имеют низкое методологическое качество и их выводы по интересующим исходам не являются согласованными). </w:t>
            </w:r>
          </w:p>
        </w:tc>
      </w:tr>
    </w:tbl>
    <w:p w14:paraId="1B3C8CBA" w14:textId="77777777" w:rsidR="009F5D92" w:rsidRPr="000322E4" w:rsidRDefault="009F5D92" w:rsidP="00F414BF">
      <w:pPr>
        <w:rPr>
          <w:b/>
        </w:rPr>
      </w:pPr>
    </w:p>
    <w:p w14:paraId="7CEF6B85" w14:textId="77777777" w:rsidR="009F5D92" w:rsidRPr="000322E4" w:rsidRDefault="009F5D92" w:rsidP="00F414BF">
      <w:pPr>
        <w:ind w:firstLine="708"/>
        <w:rPr>
          <w:b/>
          <w:u w:val="single"/>
        </w:rPr>
      </w:pPr>
      <w:r w:rsidRPr="000322E4">
        <w:rPr>
          <w:b/>
          <w:u w:val="single"/>
        </w:rPr>
        <w:t>Методология валидизации рекомендаций</w:t>
      </w:r>
    </w:p>
    <w:p w14:paraId="07FCD71D" w14:textId="77777777" w:rsidR="009F5D92" w:rsidRPr="000322E4" w:rsidRDefault="009F5D92" w:rsidP="00F414BF">
      <w:pPr>
        <w:rPr>
          <w:b/>
        </w:rPr>
      </w:pPr>
      <w:r w:rsidRPr="000322E4">
        <w:rPr>
          <w:b/>
        </w:rPr>
        <w:t>Методы валидизации рекомендаций:</w:t>
      </w:r>
    </w:p>
    <w:p w14:paraId="09D52883" w14:textId="77777777" w:rsidR="009F5D92" w:rsidRPr="000322E4" w:rsidRDefault="009F5D92" w:rsidP="00F414BF">
      <w:pPr>
        <w:numPr>
          <w:ilvl w:val="0"/>
          <w:numId w:val="19"/>
        </w:numPr>
        <w:ind w:left="0" w:firstLine="851"/>
      </w:pPr>
      <w:r w:rsidRPr="000322E4">
        <w:t>внешняя экспертная оценка;</w:t>
      </w:r>
    </w:p>
    <w:p w14:paraId="517FED2D" w14:textId="77777777" w:rsidR="009F5D92" w:rsidRPr="000322E4" w:rsidRDefault="009F5D92" w:rsidP="00F414BF">
      <w:pPr>
        <w:numPr>
          <w:ilvl w:val="0"/>
          <w:numId w:val="19"/>
        </w:numPr>
        <w:ind w:left="0" w:firstLine="851"/>
      </w:pPr>
      <w:r w:rsidRPr="000322E4">
        <w:t>внутренняя экспертная оценка.</w:t>
      </w:r>
    </w:p>
    <w:p w14:paraId="33BAAB0B" w14:textId="77777777" w:rsidR="009F5D92" w:rsidRPr="000322E4" w:rsidRDefault="009F5D92" w:rsidP="00F414BF">
      <w:r w:rsidRPr="000322E4">
        <w:rPr>
          <w:b/>
        </w:rPr>
        <w:t xml:space="preserve">Описание методики валидизации рекомендаций. </w:t>
      </w:r>
      <w:r w:rsidRPr="000322E4">
        <w:t>Настоящие рекомендации в предварительной версии были рецензированы независимыми экспертами, которых попросили прокомментировать, насколько качественно интерпретированы доказательства и разработаны рекомендации. Также была проведена экспертная оценка изложения рекомендаций и их доступности для понимания.</w:t>
      </w:r>
    </w:p>
    <w:p w14:paraId="1B409AB7" w14:textId="77777777" w:rsidR="009F5D92" w:rsidRPr="000322E4" w:rsidRDefault="009F5D92" w:rsidP="00F414BF">
      <w:r w:rsidRPr="000322E4">
        <w:t xml:space="preserve">Рекомендации обсуждены и одобрены ведущими специалистами профильных федеральных центров РФ и практическими врачами. </w:t>
      </w:r>
    </w:p>
    <w:p w14:paraId="187C3088" w14:textId="77777777" w:rsidR="009F5D92" w:rsidRPr="000322E4" w:rsidRDefault="009F5D92" w:rsidP="00F414BF">
      <w:r w:rsidRPr="000322E4">
        <w:rPr>
          <w:rStyle w:val="affb"/>
        </w:rPr>
        <w:t xml:space="preserve">Окончательная редакция. </w:t>
      </w:r>
      <w:r w:rsidRPr="000322E4">
        <w:t>Для окончательной редакции и контроля качества рекомендации были повторно проанализированы членами авторского коллектива, которые пришли к заключению, что все существенные замечания и комментарии экспертов приняты во внимание, риск систематических ошибок при разработке сведен к минимуму.</w:t>
      </w:r>
    </w:p>
    <w:p w14:paraId="6F5E80E9" w14:textId="77777777" w:rsidR="004436C7" w:rsidRPr="000322E4" w:rsidRDefault="004436C7" w:rsidP="00F414BF"/>
    <w:p w14:paraId="17844AA1" w14:textId="77777777" w:rsidR="000414F6" w:rsidRPr="000322E4" w:rsidRDefault="00CB71DA" w:rsidP="00F414BF">
      <w:pPr>
        <w:pStyle w:val="afff2"/>
        <w:spacing w:before="0"/>
        <w:jc w:val="both"/>
      </w:pPr>
      <w:r w:rsidRPr="000322E4">
        <w:br w:type="page"/>
      </w:r>
      <w:bookmarkStart w:id="101" w:name="__RefHeading___doc_a3"/>
      <w:bookmarkStart w:id="102" w:name="_Toc66096858"/>
      <w:r w:rsidRPr="000322E4">
        <w:lastRenderedPageBreak/>
        <w:t xml:space="preserve">Приложение А3. </w:t>
      </w:r>
      <w:bookmarkEnd w:id="101"/>
      <w:r w:rsidR="009C0364" w:rsidRPr="000322E4">
        <w:t>Справочные материалы, включая соответствие показаний к применению и противопоказаний, способов применения и доз лекарственных препаратов</w:t>
      </w:r>
      <w:r w:rsidR="00427B0E" w:rsidRPr="000322E4">
        <w:t>,</w:t>
      </w:r>
      <w:r w:rsidR="009C0364" w:rsidRPr="000322E4">
        <w:t xml:space="preserve"> инструкции по прим</w:t>
      </w:r>
      <w:r w:rsidR="003527A8" w:rsidRPr="000322E4">
        <w:t>енению лекарственного препарата</w:t>
      </w:r>
      <w:bookmarkEnd w:id="102"/>
    </w:p>
    <w:p w14:paraId="492FD030" w14:textId="77777777" w:rsidR="00666D68" w:rsidRPr="000322E4" w:rsidRDefault="00666D68" w:rsidP="00F414BF">
      <w:pPr>
        <w:pStyle w:val="2"/>
        <w:spacing w:before="0"/>
      </w:pPr>
      <w:bookmarkStart w:id="103" w:name="_Toc66096859"/>
      <w:bookmarkStart w:id="104" w:name="_Hlk36127819"/>
      <w:bookmarkStart w:id="105" w:name="_Hlk36738223"/>
      <w:bookmarkStart w:id="106" w:name="_Toc14773438"/>
      <w:bookmarkStart w:id="107" w:name="__RefHeading___doc_b"/>
      <w:r w:rsidRPr="000322E4">
        <w:t>Приложение А3.1. Режимы лекарственного лечения ДВКЛ</w:t>
      </w:r>
      <w:bookmarkEnd w:id="103"/>
    </w:p>
    <w:p w14:paraId="4A52A923" w14:textId="77777777" w:rsidR="00666D68" w:rsidRPr="000322E4" w:rsidRDefault="00666D68" w:rsidP="00F414BF">
      <w:pPr>
        <w:pStyle w:val="afd"/>
        <w:spacing w:beforeAutospacing="0" w:afterAutospacing="0" w:line="360" w:lineRule="auto"/>
        <w:rPr>
          <w:i/>
          <w:iCs/>
        </w:rPr>
      </w:pPr>
      <w:r w:rsidRPr="000322E4">
        <w:rPr>
          <w:i/>
          <w:iCs/>
        </w:rPr>
        <w:t>При проведении химиотерапии рекомендуется контролировать вес пациента и производить пересчет доз химиопрепаратов при изменении веса.</w:t>
      </w:r>
    </w:p>
    <w:p w14:paraId="602F8C8A" w14:textId="77777777" w:rsidR="00666D68" w:rsidRPr="000322E4" w:rsidRDefault="00666D68" w:rsidP="00F414BF">
      <w:pPr>
        <w:pStyle w:val="afd"/>
        <w:spacing w:beforeAutospacing="0" w:afterAutospacing="0" w:line="360" w:lineRule="auto"/>
        <w:ind w:firstLine="0"/>
        <w:rPr>
          <w:b/>
          <w:bCs/>
          <w:u w:val="single"/>
        </w:rPr>
      </w:pPr>
      <w:r w:rsidRPr="000322E4">
        <w:rPr>
          <w:b/>
          <w:bCs/>
          <w:u w:val="single"/>
          <w:lang w:val="en-US"/>
        </w:rPr>
        <w:t>A</w:t>
      </w:r>
      <w:r w:rsidRPr="000322E4">
        <w:rPr>
          <w:b/>
          <w:bCs/>
          <w:u w:val="single"/>
        </w:rPr>
        <w:t xml:space="preserve">3.1.1 Схемы терапии ДВКЛ и ПМВКЛ </w:t>
      </w:r>
    </w:p>
    <w:p w14:paraId="1B2F6865" w14:textId="77777777" w:rsidR="00666D68" w:rsidRPr="000322E4" w:rsidRDefault="00666D68" w:rsidP="00F414BF">
      <w:r w:rsidRPr="000322E4">
        <w:rPr>
          <w:b/>
          <w:bCs/>
          <w:lang w:val="en-US"/>
        </w:rPr>
        <w:t>R</w:t>
      </w:r>
      <w:r w:rsidRPr="000322E4">
        <w:rPr>
          <w:b/>
          <w:bCs/>
        </w:rPr>
        <w:t>-</w:t>
      </w:r>
      <w:r w:rsidRPr="000322E4">
        <w:rPr>
          <w:b/>
          <w:bCs/>
          <w:lang w:val="en-US"/>
        </w:rPr>
        <w:t>CHOP</w:t>
      </w:r>
    </w:p>
    <w:p w14:paraId="04C4B181" w14:textId="77777777" w:rsidR="00666D68" w:rsidRPr="000322E4" w:rsidRDefault="00666D68" w:rsidP="00F414BF">
      <w:pPr>
        <w:numPr>
          <w:ilvl w:val="0"/>
          <w:numId w:val="39"/>
        </w:numPr>
      </w:pPr>
      <w:r w:rsidRPr="000322E4">
        <w:t>Ритуксимаб</w:t>
      </w:r>
      <w:r w:rsidRPr="000322E4">
        <w:rPr>
          <w:bCs/>
        </w:rPr>
        <w:t>**</w:t>
      </w:r>
      <w:r w:rsidRPr="000322E4">
        <w:t xml:space="preserve"> </w:t>
      </w:r>
    </w:p>
    <w:p w14:paraId="08DA47EE" w14:textId="77777777" w:rsidR="00666D68" w:rsidRPr="000322E4" w:rsidRDefault="00666D68" w:rsidP="00F414BF">
      <w:pPr>
        <w:numPr>
          <w:ilvl w:val="1"/>
          <w:numId w:val="39"/>
        </w:numPr>
      </w:pPr>
      <w:r w:rsidRPr="000322E4">
        <w:t>375 мг/м</w:t>
      </w:r>
      <w:r w:rsidRPr="000322E4">
        <w:rPr>
          <w:vertAlign w:val="superscript"/>
        </w:rPr>
        <w:t>2</w:t>
      </w:r>
      <w:r w:rsidRPr="000322E4">
        <w:t xml:space="preserve"> в/в кап., день 0 или 1 все циклы курса</w:t>
      </w:r>
    </w:p>
    <w:p w14:paraId="3906336D" w14:textId="77777777" w:rsidR="00666D68" w:rsidRPr="000322E4" w:rsidRDefault="00666D68" w:rsidP="00F414BF">
      <w:pPr>
        <w:ind w:left="1080" w:firstLine="336"/>
      </w:pPr>
      <w:r w:rsidRPr="000322E4">
        <w:t>или</w:t>
      </w:r>
    </w:p>
    <w:p w14:paraId="3DEFBEC1" w14:textId="47E56955" w:rsidR="00666D68" w:rsidRPr="000322E4" w:rsidRDefault="00666D68" w:rsidP="00F414BF">
      <w:pPr>
        <w:pStyle w:val="afe"/>
        <w:numPr>
          <w:ilvl w:val="1"/>
          <w:numId w:val="39"/>
        </w:numPr>
        <w:contextualSpacing w:val="0"/>
        <w:rPr>
          <w:lang w:eastAsia="ru-RU"/>
        </w:rPr>
      </w:pPr>
      <w:r w:rsidRPr="000322E4">
        <w:rPr>
          <w:lang w:eastAsia="ru-RU"/>
        </w:rPr>
        <w:t>375 мг/м</w:t>
      </w:r>
      <w:r w:rsidRPr="000322E4">
        <w:rPr>
          <w:vertAlign w:val="superscript"/>
          <w:lang w:eastAsia="ru-RU"/>
        </w:rPr>
        <w:t>2</w:t>
      </w:r>
      <w:r w:rsidRPr="000322E4">
        <w:rPr>
          <w:lang w:eastAsia="ru-RU"/>
        </w:rPr>
        <w:t xml:space="preserve"> в/в кап. 1 цикл,</w:t>
      </w:r>
      <w:r w:rsidRPr="000322E4">
        <w:t xml:space="preserve"> далее ритуксимаб 1400 мг п/к,</w:t>
      </w:r>
      <w:r w:rsidRPr="000322E4">
        <w:rPr>
          <w:lang w:eastAsia="ru-RU"/>
        </w:rPr>
        <w:t xml:space="preserve"> день 0 или 1 </w:t>
      </w:r>
      <w:r w:rsidRPr="000322E4">
        <w:rPr>
          <w:lang w:val="en-US" w:eastAsia="ru-RU"/>
        </w:rPr>
        <w:fldChar w:fldCharType="begin" w:fldLock="1"/>
      </w:r>
      <w:r w:rsidR="00E974B2">
        <w:rPr>
          <w:lang w:val="en-US" w:eastAsia="ru-RU"/>
        </w:rPr>
        <w:instrText>ADDIN</w:instrText>
      </w:r>
      <w:r w:rsidR="00E974B2" w:rsidRPr="006C476A">
        <w:rPr>
          <w:lang w:eastAsia="ru-RU"/>
        </w:rPr>
        <w:instrText xml:space="preserve"> </w:instrText>
      </w:r>
      <w:r w:rsidR="00E974B2">
        <w:rPr>
          <w:lang w:val="en-US" w:eastAsia="ru-RU"/>
        </w:rPr>
        <w:instrText>CSL</w:instrText>
      </w:r>
      <w:r w:rsidR="00E974B2" w:rsidRPr="006C476A">
        <w:rPr>
          <w:lang w:eastAsia="ru-RU"/>
        </w:rPr>
        <w:instrText>_</w:instrText>
      </w:r>
      <w:r w:rsidR="00E974B2">
        <w:rPr>
          <w:lang w:val="en-US" w:eastAsia="ru-RU"/>
        </w:rPr>
        <w:instrText>CITATION</w:instrText>
      </w:r>
      <w:r w:rsidR="00E974B2" w:rsidRPr="006C476A">
        <w:rPr>
          <w:lang w:eastAsia="ru-RU"/>
        </w:rPr>
        <w:instrText xml:space="preserve"> {"</w:instrText>
      </w:r>
      <w:r w:rsidR="00E974B2">
        <w:rPr>
          <w:lang w:val="en-US" w:eastAsia="ru-RU"/>
        </w:rPr>
        <w:instrText>citationItems</w:instrText>
      </w:r>
      <w:r w:rsidR="00E974B2" w:rsidRPr="006C476A">
        <w:rPr>
          <w:lang w:eastAsia="ru-RU"/>
        </w:rPr>
        <w:instrText>":[{"</w:instrText>
      </w:r>
      <w:r w:rsidR="00E974B2">
        <w:rPr>
          <w:lang w:val="en-US" w:eastAsia="ru-RU"/>
        </w:rPr>
        <w:instrText>id</w:instrText>
      </w:r>
      <w:r w:rsidR="00E974B2" w:rsidRPr="006C476A">
        <w:rPr>
          <w:lang w:eastAsia="ru-RU"/>
        </w:rPr>
        <w:instrText>":"</w:instrText>
      </w:r>
      <w:r w:rsidR="00E974B2">
        <w:rPr>
          <w:lang w:val="en-US" w:eastAsia="ru-RU"/>
        </w:rPr>
        <w:instrText>ITEM</w:instrText>
      </w:r>
      <w:r w:rsidR="00E974B2" w:rsidRPr="006C476A">
        <w:rPr>
          <w:lang w:eastAsia="ru-RU"/>
        </w:rPr>
        <w:instrText>-1","</w:instrText>
      </w:r>
      <w:r w:rsidR="00E974B2">
        <w:rPr>
          <w:lang w:val="en-US" w:eastAsia="ru-RU"/>
        </w:rPr>
        <w:instrText>itemData</w:instrText>
      </w:r>
      <w:r w:rsidR="00E974B2" w:rsidRPr="006C476A">
        <w:rPr>
          <w:lang w:eastAsia="ru-RU"/>
        </w:rPr>
        <w:instrText>":{"</w:instrText>
      </w:r>
      <w:r w:rsidR="00E974B2">
        <w:rPr>
          <w:lang w:val="en-US" w:eastAsia="ru-RU"/>
        </w:rPr>
        <w:instrText>ISSN</w:instrText>
      </w:r>
      <w:r w:rsidR="00E974B2" w:rsidRPr="006C476A">
        <w:rPr>
          <w:lang w:eastAsia="ru-RU"/>
        </w:rPr>
        <w:instrText>":"2150-0878","</w:instrText>
      </w:r>
      <w:r w:rsidR="00E974B2">
        <w:rPr>
          <w:lang w:val="en-US" w:eastAsia="ru-RU"/>
        </w:rPr>
        <w:instrText>PMID</w:instrText>
      </w:r>
      <w:r w:rsidR="00E974B2" w:rsidRPr="006C476A">
        <w:rPr>
          <w:lang w:eastAsia="ru-RU"/>
        </w:rPr>
        <w:instrText>":"31086689","</w:instrText>
      </w:r>
      <w:r w:rsidR="00E974B2">
        <w:rPr>
          <w:lang w:val="en-US" w:eastAsia="ru-RU"/>
        </w:rPr>
        <w:instrText>abstract</w:instrText>
      </w:r>
      <w:r w:rsidR="00E974B2" w:rsidRPr="006C476A">
        <w:rPr>
          <w:lang w:eastAsia="ru-RU"/>
        </w:rPr>
        <w:instrText>":"</w:instrText>
      </w:r>
      <w:r w:rsidR="00E974B2">
        <w:rPr>
          <w:lang w:val="en-US" w:eastAsia="ru-RU"/>
        </w:rPr>
        <w:instrText>Rituximab</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hyaluronidase</w:instrText>
      </w:r>
      <w:r w:rsidR="00E974B2" w:rsidRPr="006C476A">
        <w:rPr>
          <w:lang w:eastAsia="ru-RU"/>
        </w:rPr>
        <w:instrText xml:space="preserve"> </w:instrText>
      </w:r>
      <w:r w:rsidR="00E974B2">
        <w:rPr>
          <w:lang w:val="en-US" w:eastAsia="ru-RU"/>
        </w:rPr>
        <w:instrText>human</w:instrText>
      </w:r>
      <w:r w:rsidR="00E974B2" w:rsidRPr="006C476A">
        <w:rPr>
          <w:lang w:eastAsia="ru-RU"/>
        </w:rPr>
        <w:instrText xml:space="preserve"> </w:instrText>
      </w:r>
      <w:r w:rsidR="00E974B2">
        <w:rPr>
          <w:lang w:val="en-US" w:eastAsia="ru-RU"/>
        </w:rPr>
        <w:instrText>is</w:instrText>
      </w:r>
      <w:r w:rsidR="00E974B2" w:rsidRPr="006C476A">
        <w:rPr>
          <w:lang w:eastAsia="ru-RU"/>
        </w:rPr>
        <w:instrText xml:space="preserve"> </w:instrText>
      </w:r>
      <w:r w:rsidR="00E974B2">
        <w:rPr>
          <w:lang w:val="en-US" w:eastAsia="ru-RU"/>
        </w:rPr>
        <w:instrText>a</w:instrText>
      </w:r>
      <w:r w:rsidR="00E974B2" w:rsidRPr="006C476A">
        <w:rPr>
          <w:lang w:eastAsia="ru-RU"/>
        </w:rPr>
        <w:instrText xml:space="preserve"> </w:instrText>
      </w:r>
      <w:r w:rsidR="00E974B2">
        <w:rPr>
          <w:lang w:val="en-US" w:eastAsia="ru-RU"/>
        </w:rPr>
        <w:instrText>new</w:instrText>
      </w:r>
      <w:r w:rsidR="00E974B2" w:rsidRPr="006C476A">
        <w:rPr>
          <w:lang w:eastAsia="ru-RU"/>
        </w:rPr>
        <w:instrText xml:space="preserve"> </w:instrText>
      </w:r>
      <w:r w:rsidR="00E974B2">
        <w:rPr>
          <w:lang w:val="en-US" w:eastAsia="ru-RU"/>
        </w:rPr>
        <w:instrText>subcutaneous</w:instrText>
      </w:r>
      <w:r w:rsidR="00E974B2" w:rsidRPr="006C476A">
        <w:rPr>
          <w:lang w:eastAsia="ru-RU"/>
        </w:rPr>
        <w:instrText xml:space="preserve"> </w:instrText>
      </w:r>
      <w:r w:rsidR="00E974B2">
        <w:rPr>
          <w:lang w:val="en-US" w:eastAsia="ru-RU"/>
        </w:rPr>
        <w:instrText>formulation</w:instrText>
      </w:r>
      <w:r w:rsidR="00E974B2" w:rsidRPr="006C476A">
        <w:rPr>
          <w:lang w:eastAsia="ru-RU"/>
        </w:rPr>
        <w:instrText xml:space="preserve"> </w:instrText>
      </w:r>
      <w:r w:rsidR="00E974B2">
        <w:rPr>
          <w:lang w:val="en-US" w:eastAsia="ru-RU"/>
        </w:rPr>
        <w:instrText>of</w:instrText>
      </w:r>
      <w:r w:rsidR="00E974B2" w:rsidRPr="006C476A">
        <w:rPr>
          <w:lang w:eastAsia="ru-RU"/>
        </w:rPr>
        <w:instrText xml:space="preserve"> </w:instrText>
      </w:r>
      <w:r w:rsidR="00E974B2">
        <w:rPr>
          <w:lang w:val="en-US" w:eastAsia="ru-RU"/>
        </w:rPr>
        <w:instrText>rituximab</w:instrText>
      </w:r>
      <w:r w:rsidR="00E974B2" w:rsidRPr="006C476A">
        <w:rPr>
          <w:lang w:eastAsia="ru-RU"/>
        </w:rPr>
        <w:instrText xml:space="preserve"> </w:instrText>
      </w:r>
      <w:r w:rsidR="00E974B2">
        <w:rPr>
          <w:lang w:val="en-US" w:eastAsia="ru-RU"/>
        </w:rPr>
        <w:instrText>that</w:instrText>
      </w:r>
      <w:r w:rsidR="00E974B2" w:rsidRPr="006C476A">
        <w:rPr>
          <w:lang w:eastAsia="ru-RU"/>
        </w:rPr>
        <w:instrText xml:space="preserve"> </w:instrText>
      </w:r>
      <w:r w:rsidR="00E974B2">
        <w:rPr>
          <w:lang w:val="en-US" w:eastAsia="ru-RU"/>
        </w:rPr>
        <w:instrText>was</w:instrText>
      </w:r>
      <w:r w:rsidR="00E974B2" w:rsidRPr="006C476A">
        <w:rPr>
          <w:lang w:eastAsia="ru-RU"/>
        </w:rPr>
        <w:instrText xml:space="preserve"> </w:instrText>
      </w:r>
      <w:r w:rsidR="00E974B2">
        <w:rPr>
          <w:lang w:val="en-US" w:eastAsia="ru-RU"/>
        </w:rPr>
        <w:instrText>recently</w:instrText>
      </w:r>
      <w:r w:rsidR="00E974B2" w:rsidRPr="006C476A">
        <w:rPr>
          <w:lang w:eastAsia="ru-RU"/>
        </w:rPr>
        <w:instrText xml:space="preserve"> </w:instrText>
      </w:r>
      <w:r w:rsidR="00E974B2">
        <w:rPr>
          <w:lang w:val="en-US" w:eastAsia="ru-RU"/>
        </w:rPr>
        <w:instrText>approved</w:instrText>
      </w:r>
      <w:r w:rsidR="00E974B2" w:rsidRPr="006C476A">
        <w:rPr>
          <w:lang w:eastAsia="ru-RU"/>
        </w:rPr>
        <w:instrText xml:space="preserve"> </w:instrText>
      </w:r>
      <w:r w:rsidR="00E974B2">
        <w:rPr>
          <w:lang w:val="en-US" w:eastAsia="ru-RU"/>
        </w:rPr>
        <w:instrText>by</w:instrText>
      </w:r>
      <w:r w:rsidR="00E974B2" w:rsidRPr="006C476A">
        <w:rPr>
          <w:lang w:eastAsia="ru-RU"/>
        </w:rPr>
        <w:instrText xml:space="preserve"> </w:instrText>
      </w:r>
      <w:r w:rsidR="00E974B2">
        <w:rPr>
          <w:lang w:val="en-US" w:eastAsia="ru-RU"/>
        </w:rPr>
        <w:instrText>the</w:instrText>
      </w:r>
      <w:r w:rsidR="00E974B2" w:rsidRPr="006C476A">
        <w:rPr>
          <w:lang w:eastAsia="ru-RU"/>
        </w:rPr>
        <w:instrText xml:space="preserve"> </w:instrText>
      </w:r>
      <w:r w:rsidR="00E974B2">
        <w:rPr>
          <w:lang w:val="en-US" w:eastAsia="ru-RU"/>
        </w:rPr>
        <w:instrText>US</w:instrText>
      </w:r>
      <w:r w:rsidR="00E974B2" w:rsidRPr="006C476A">
        <w:rPr>
          <w:lang w:eastAsia="ru-RU"/>
        </w:rPr>
        <w:instrText xml:space="preserve"> </w:instrText>
      </w:r>
      <w:r w:rsidR="00E974B2">
        <w:rPr>
          <w:lang w:val="en-US" w:eastAsia="ru-RU"/>
        </w:rPr>
        <w:instrText>Food</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Drug</w:instrText>
      </w:r>
      <w:r w:rsidR="00E974B2" w:rsidRPr="006C476A">
        <w:rPr>
          <w:lang w:eastAsia="ru-RU"/>
        </w:rPr>
        <w:instrText xml:space="preserve"> </w:instrText>
      </w:r>
      <w:r w:rsidR="00E974B2">
        <w:rPr>
          <w:lang w:val="en-US" w:eastAsia="ru-RU"/>
        </w:rPr>
        <w:instrText>Administration</w:instrText>
      </w:r>
      <w:r w:rsidR="00E974B2" w:rsidRPr="006C476A">
        <w:rPr>
          <w:lang w:eastAsia="ru-RU"/>
        </w:rPr>
        <w:instrText xml:space="preserve"> </w:instrText>
      </w:r>
      <w:r w:rsidR="00E974B2">
        <w:rPr>
          <w:lang w:val="en-US" w:eastAsia="ru-RU"/>
        </w:rPr>
        <w:instrText>for</w:instrText>
      </w:r>
      <w:r w:rsidR="00E974B2" w:rsidRPr="006C476A">
        <w:rPr>
          <w:lang w:eastAsia="ru-RU"/>
        </w:rPr>
        <w:instrText xml:space="preserve"> </w:instrText>
      </w:r>
      <w:r w:rsidR="00E974B2">
        <w:rPr>
          <w:lang w:val="en-US" w:eastAsia="ru-RU"/>
        </w:rPr>
        <w:instrText>the</w:instrText>
      </w:r>
      <w:r w:rsidR="00E974B2" w:rsidRPr="006C476A">
        <w:rPr>
          <w:lang w:eastAsia="ru-RU"/>
        </w:rPr>
        <w:instrText xml:space="preserve"> </w:instrText>
      </w:r>
      <w:r w:rsidR="00E974B2">
        <w:rPr>
          <w:lang w:val="en-US" w:eastAsia="ru-RU"/>
        </w:rPr>
        <w:instrText>treatment</w:instrText>
      </w:r>
      <w:r w:rsidR="00E974B2" w:rsidRPr="006C476A">
        <w:rPr>
          <w:lang w:eastAsia="ru-RU"/>
        </w:rPr>
        <w:instrText xml:space="preserve"> </w:instrText>
      </w:r>
      <w:r w:rsidR="00E974B2">
        <w:rPr>
          <w:lang w:val="en-US" w:eastAsia="ru-RU"/>
        </w:rPr>
        <w:instrText>of</w:instrText>
      </w:r>
      <w:r w:rsidR="00E974B2" w:rsidRPr="006C476A">
        <w:rPr>
          <w:lang w:eastAsia="ru-RU"/>
        </w:rPr>
        <w:instrText xml:space="preserve"> </w:instrText>
      </w:r>
      <w:r w:rsidR="00E974B2">
        <w:rPr>
          <w:lang w:val="en-US" w:eastAsia="ru-RU"/>
        </w:rPr>
        <w:instrText>adults</w:instrText>
      </w:r>
      <w:r w:rsidR="00E974B2" w:rsidRPr="006C476A">
        <w:rPr>
          <w:lang w:eastAsia="ru-RU"/>
        </w:rPr>
        <w:instrText xml:space="preserve"> </w:instrText>
      </w:r>
      <w:r w:rsidR="00E974B2">
        <w:rPr>
          <w:lang w:val="en-US" w:eastAsia="ru-RU"/>
        </w:rPr>
        <w:instrText>with</w:instrText>
      </w:r>
      <w:r w:rsidR="00E974B2" w:rsidRPr="006C476A">
        <w:rPr>
          <w:lang w:eastAsia="ru-RU"/>
        </w:rPr>
        <w:instrText xml:space="preserve"> </w:instrText>
      </w:r>
      <w:r w:rsidR="00E974B2">
        <w:rPr>
          <w:lang w:val="en-US" w:eastAsia="ru-RU"/>
        </w:rPr>
        <w:instrText>follicular</w:instrText>
      </w:r>
      <w:r w:rsidR="00E974B2" w:rsidRPr="006C476A">
        <w:rPr>
          <w:lang w:eastAsia="ru-RU"/>
        </w:rPr>
        <w:instrText xml:space="preserve"> </w:instrText>
      </w:r>
      <w:r w:rsidR="00E974B2">
        <w:rPr>
          <w:lang w:val="en-US" w:eastAsia="ru-RU"/>
        </w:rPr>
        <w:instrText>lymphoma</w:instrText>
      </w:r>
      <w:r w:rsidR="00E974B2" w:rsidRPr="006C476A">
        <w:rPr>
          <w:lang w:eastAsia="ru-RU"/>
        </w:rPr>
        <w:instrText xml:space="preserve">, </w:instrText>
      </w:r>
      <w:r w:rsidR="00E974B2">
        <w:rPr>
          <w:lang w:val="en-US" w:eastAsia="ru-RU"/>
        </w:rPr>
        <w:instrText>diffuse</w:instrText>
      </w:r>
      <w:r w:rsidR="00E974B2" w:rsidRPr="006C476A">
        <w:rPr>
          <w:lang w:eastAsia="ru-RU"/>
        </w:rPr>
        <w:instrText xml:space="preserve"> </w:instrText>
      </w:r>
      <w:r w:rsidR="00E974B2">
        <w:rPr>
          <w:lang w:val="en-US" w:eastAsia="ru-RU"/>
        </w:rPr>
        <w:instrText>large</w:instrText>
      </w:r>
      <w:r w:rsidR="00E974B2" w:rsidRPr="006C476A">
        <w:rPr>
          <w:lang w:eastAsia="ru-RU"/>
        </w:rPr>
        <w:instrText xml:space="preserve"> </w:instrText>
      </w:r>
      <w:r w:rsidR="00E974B2">
        <w:rPr>
          <w:lang w:val="en-US" w:eastAsia="ru-RU"/>
        </w:rPr>
        <w:instrText>B</w:instrText>
      </w:r>
      <w:r w:rsidR="00E974B2" w:rsidRPr="006C476A">
        <w:rPr>
          <w:lang w:eastAsia="ru-RU"/>
        </w:rPr>
        <w:instrText>-</w:instrText>
      </w:r>
      <w:r w:rsidR="00E974B2">
        <w:rPr>
          <w:lang w:val="en-US" w:eastAsia="ru-RU"/>
        </w:rPr>
        <w:instrText>cell</w:instrText>
      </w:r>
      <w:r w:rsidR="00E974B2" w:rsidRPr="006C476A">
        <w:rPr>
          <w:lang w:eastAsia="ru-RU"/>
        </w:rPr>
        <w:instrText xml:space="preserve"> </w:instrText>
      </w:r>
      <w:r w:rsidR="00E974B2">
        <w:rPr>
          <w:lang w:val="en-US" w:eastAsia="ru-RU"/>
        </w:rPr>
        <w:instrText>lymphoma</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chronic</w:instrText>
      </w:r>
      <w:r w:rsidR="00E974B2" w:rsidRPr="006C476A">
        <w:rPr>
          <w:lang w:eastAsia="ru-RU"/>
        </w:rPr>
        <w:instrText xml:space="preserve"> </w:instrText>
      </w:r>
      <w:r w:rsidR="00E974B2">
        <w:rPr>
          <w:lang w:val="en-US" w:eastAsia="ru-RU"/>
        </w:rPr>
        <w:instrText>lymphocytic</w:instrText>
      </w:r>
      <w:r w:rsidR="00E974B2" w:rsidRPr="006C476A">
        <w:rPr>
          <w:lang w:eastAsia="ru-RU"/>
        </w:rPr>
        <w:instrText xml:space="preserve"> </w:instrText>
      </w:r>
      <w:r w:rsidR="00E974B2">
        <w:rPr>
          <w:lang w:val="en-US" w:eastAsia="ru-RU"/>
        </w:rPr>
        <w:instrText>leukemia</w:instrText>
      </w:r>
      <w:r w:rsidR="00E974B2" w:rsidRPr="006C476A">
        <w:rPr>
          <w:lang w:eastAsia="ru-RU"/>
        </w:rPr>
        <w:instrText xml:space="preserve">. </w:instrText>
      </w:r>
      <w:r w:rsidR="00E974B2">
        <w:rPr>
          <w:lang w:val="en-US" w:eastAsia="ru-RU"/>
        </w:rPr>
        <w:instrText>With</w:instrText>
      </w:r>
      <w:r w:rsidR="00E974B2" w:rsidRPr="006C476A">
        <w:rPr>
          <w:lang w:eastAsia="ru-RU"/>
        </w:rPr>
        <w:instrText xml:space="preserve"> </w:instrText>
      </w:r>
      <w:r w:rsidR="00E974B2">
        <w:rPr>
          <w:lang w:val="en-US" w:eastAsia="ru-RU"/>
        </w:rPr>
        <w:instrText>data</w:instrText>
      </w:r>
      <w:r w:rsidR="00E974B2" w:rsidRPr="006C476A">
        <w:rPr>
          <w:lang w:eastAsia="ru-RU"/>
        </w:rPr>
        <w:instrText xml:space="preserve"> </w:instrText>
      </w:r>
      <w:r w:rsidR="00E974B2">
        <w:rPr>
          <w:lang w:val="en-US" w:eastAsia="ru-RU"/>
        </w:rPr>
        <w:instrText>to</w:instrText>
      </w:r>
      <w:r w:rsidR="00E974B2" w:rsidRPr="006C476A">
        <w:rPr>
          <w:lang w:eastAsia="ru-RU"/>
        </w:rPr>
        <w:instrText xml:space="preserve"> </w:instrText>
      </w:r>
      <w:r w:rsidR="00E974B2">
        <w:rPr>
          <w:lang w:val="en-US" w:eastAsia="ru-RU"/>
        </w:rPr>
        <w:instrText>support</w:instrText>
      </w:r>
      <w:r w:rsidR="00E974B2" w:rsidRPr="006C476A">
        <w:rPr>
          <w:lang w:eastAsia="ru-RU"/>
        </w:rPr>
        <w:instrText xml:space="preserve"> </w:instrText>
      </w:r>
      <w:r w:rsidR="00E974B2">
        <w:rPr>
          <w:lang w:val="en-US" w:eastAsia="ru-RU"/>
        </w:rPr>
        <w:instrText>noninferior</w:instrText>
      </w:r>
      <w:r w:rsidR="00E974B2" w:rsidRPr="006C476A">
        <w:rPr>
          <w:lang w:eastAsia="ru-RU"/>
        </w:rPr>
        <w:instrText xml:space="preserve"> </w:instrText>
      </w:r>
      <w:r w:rsidR="00E974B2">
        <w:rPr>
          <w:lang w:val="en-US" w:eastAsia="ru-RU"/>
        </w:rPr>
        <w:instrText>pharmacokinetics</w:instrText>
      </w:r>
      <w:r w:rsidR="00E974B2" w:rsidRPr="006C476A">
        <w:rPr>
          <w:lang w:eastAsia="ru-RU"/>
        </w:rPr>
        <w:instrText xml:space="preserve">, </w:instrText>
      </w:r>
      <w:r w:rsidR="00E974B2">
        <w:rPr>
          <w:lang w:val="en-US" w:eastAsia="ru-RU"/>
        </w:rPr>
        <w:instrText>similar</w:instrText>
      </w:r>
      <w:r w:rsidR="00E974B2" w:rsidRPr="006C476A">
        <w:rPr>
          <w:lang w:eastAsia="ru-RU"/>
        </w:rPr>
        <w:instrText xml:space="preserve"> </w:instrText>
      </w:r>
      <w:r w:rsidR="00E974B2">
        <w:rPr>
          <w:lang w:val="en-US" w:eastAsia="ru-RU"/>
        </w:rPr>
        <w:instrText>outcomes</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comparable</w:instrText>
      </w:r>
      <w:r w:rsidR="00E974B2" w:rsidRPr="006C476A">
        <w:rPr>
          <w:lang w:eastAsia="ru-RU"/>
        </w:rPr>
        <w:instrText xml:space="preserve"> </w:instrText>
      </w:r>
      <w:r w:rsidR="00E974B2">
        <w:rPr>
          <w:lang w:val="en-US" w:eastAsia="ru-RU"/>
        </w:rPr>
        <w:instrText>adverse</w:instrText>
      </w:r>
      <w:r w:rsidR="00E974B2" w:rsidRPr="006C476A">
        <w:rPr>
          <w:lang w:eastAsia="ru-RU"/>
        </w:rPr>
        <w:instrText xml:space="preserve"> </w:instrText>
      </w:r>
      <w:r w:rsidR="00E974B2">
        <w:rPr>
          <w:lang w:val="en-US" w:eastAsia="ru-RU"/>
        </w:rPr>
        <w:instrText>events</w:instrText>
      </w:r>
      <w:r w:rsidR="00E974B2" w:rsidRPr="006C476A">
        <w:rPr>
          <w:lang w:eastAsia="ru-RU"/>
        </w:rPr>
        <w:instrText xml:space="preserve">, </w:instrText>
      </w:r>
      <w:r w:rsidR="00E974B2">
        <w:rPr>
          <w:lang w:val="en-US" w:eastAsia="ru-RU"/>
        </w:rPr>
        <w:instrText>rituximab</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hyaluronidase</w:instrText>
      </w:r>
      <w:r w:rsidR="00E974B2" w:rsidRPr="006C476A">
        <w:rPr>
          <w:lang w:eastAsia="ru-RU"/>
        </w:rPr>
        <w:instrText xml:space="preserve"> </w:instrText>
      </w:r>
      <w:r w:rsidR="00E974B2">
        <w:rPr>
          <w:lang w:val="en-US" w:eastAsia="ru-RU"/>
        </w:rPr>
        <w:instrText>human</w:instrText>
      </w:r>
      <w:r w:rsidR="00E974B2" w:rsidRPr="006C476A">
        <w:rPr>
          <w:lang w:eastAsia="ru-RU"/>
        </w:rPr>
        <w:instrText xml:space="preserve"> </w:instrText>
      </w:r>
      <w:r w:rsidR="00E974B2">
        <w:rPr>
          <w:lang w:val="en-US" w:eastAsia="ru-RU"/>
        </w:rPr>
        <w:instrText>may</w:instrText>
      </w:r>
      <w:r w:rsidR="00E974B2" w:rsidRPr="006C476A">
        <w:rPr>
          <w:lang w:eastAsia="ru-RU"/>
        </w:rPr>
        <w:instrText xml:space="preserve"> </w:instrText>
      </w:r>
      <w:r w:rsidR="00E974B2">
        <w:rPr>
          <w:lang w:val="en-US" w:eastAsia="ru-RU"/>
        </w:rPr>
        <w:instrText>offer</w:instrText>
      </w:r>
      <w:r w:rsidR="00E974B2" w:rsidRPr="006C476A">
        <w:rPr>
          <w:lang w:eastAsia="ru-RU"/>
        </w:rPr>
        <w:instrText xml:space="preserve"> </w:instrText>
      </w:r>
      <w:r w:rsidR="00E974B2">
        <w:rPr>
          <w:lang w:val="en-US" w:eastAsia="ru-RU"/>
        </w:rPr>
        <w:instrText>a</w:instrText>
      </w:r>
      <w:r w:rsidR="00E974B2" w:rsidRPr="006C476A">
        <w:rPr>
          <w:lang w:eastAsia="ru-RU"/>
        </w:rPr>
        <w:instrText xml:space="preserve"> </w:instrText>
      </w:r>
      <w:r w:rsidR="00E974B2">
        <w:rPr>
          <w:lang w:val="en-US" w:eastAsia="ru-RU"/>
        </w:rPr>
        <w:instrText>suitable</w:instrText>
      </w:r>
      <w:r w:rsidR="00E974B2" w:rsidRPr="006C476A">
        <w:rPr>
          <w:lang w:eastAsia="ru-RU"/>
        </w:rPr>
        <w:instrText xml:space="preserve"> </w:instrText>
      </w:r>
      <w:r w:rsidR="00E974B2">
        <w:rPr>
          <w:lang w:val="en-US" w:eastAsia="ru-RU"/>
        </w:rPr>
        <w:instrText>alternative</w:instrText>
      </w:r>
      <w:r w:rsidR="00E974B2" w:rsidRPr="006C476A">
        <w:rPr>
          <w:lang w:eastAsia="ru-RU"/>
        </w:rPr>
        <w:instrText xml:space="preserve"> </w:instrText>
      </w:r>
      <w:r w:rsidR="00E974B2">
        <w:rPr>
          <w:lang w:val="en-US" w:eastAsia="ru-RU"/>
        </w:rPr>
        <w:instrText>to</w:instrText>
      </w:r>
      <w:r w:rsidR="00E974B2" w:rsidRPr="006C476A">
        <w:rPr>
          <w:lang w:eastAsia="ru-RU"/>
        </w:rPr>
        <w:instrText xml:space="preserve"> </w:instrText>
      </w:r>
      <w:r w:rsidR="00E974B2">
        <w:rPr>
          <w:lang w:val="en-US" w:eastAsia="ru-RU"/>
        </w:rPr>
        <w:instrText>intravenous</w:instrText>
      </w:r>
      <w:r w:rsidR="00E974B2" w:rsidRPr="006C476A">
        <w:rPr>
          <w:lang w:eastAsia="ru-RU"/>
        </w:rPr>
        <w:instrText xml:space="preserve"> </w:instrText>
      </w:r>
      <w:r w:rsidR="00E974B2">
        <w:rPr>
          <w:lang w:val="en-US" w:eastAsia="ru-RU"/>
        </w:rPr>
        <w:instrText>rituximab</w:instrText>
      </w:r>
      <w:r w:rsidR="00E974B2" w:rsidRPr="006C476A">
        <w:rPr>
          <w:lang w:eastAsia="ru-RU"/>
        </w:rPr>
        <w:instrText xml:space="preserve"> </w:instrText>
      </w:r>
      <w:r w:rsidR="00E974B2">
        <w:rPr>
          <w:lang w:val="en-US" w:eastAsia="ru-RU"/>
        </w:rPr>
        <w:instrText>that</w:instrText>
      </w:r>
      <w:r w:rsidR="00E974B2" w:rsidRPr="006C476A">
        <w:rPr>
          <w:lang w:eastAsia="ru-RU"/>
        </w:rPr>
        <w:instrText xml:space="preserve"> </w:instrText>
      </w:r>
      <w:r w:rsidR="00E974B2">
        <w:rPr>
          <w:lang w:val="en-US" w:eastAsia="ru-RU"/>
        </w:rPr>
        <w:instrText>could</w:instrText>
      </w:r>
      <w:r w:rsidR="00E974B2" w:rsidRPr="006C476A">
        <w:rPr>
          <w:lang w:eastAsia="ru-RU"/>
        </w:rPr>
        <w:instrText xml:space="preserve"> </w:instrText>
      </w:r>
      <w:r w:rsidR="00E974B2">
        <w:rPr>
          <w:lang w:val="en-US" w:eastAsia="ru-RU"/>
        </w:rPr>
        <w:instrText>improve</w:instrText>
      </w:r>
      <w:r w:rsidR="00E974B2" w:rsidRPr="006C476A">
        <w:rPr>
          <w:lang w:eastAsia="ru-RU"/>
        </w:rPr>
        <w:instrText xml:space="preserve"> </w:instrText>
      </w:r>
      <w:r w:rsidR="00E974B2">
        <w:rPr>
          <w:lang w:val="en-US" w:eastAsia="ru-RU"/>
        </w:rPr>
        <w:instrText>convenience</w:instrText>
      </w:r>
      <w:r w:rsidR="00E974B2" w:rsidRPr="006C476A">
        <w:rPr>
          <w:lang w:eastAsia="ru-RU"/>
        </w:rPr>
        <w:instrText xml:space="preserve"> </w:instrText>
      </w:r>
      <w:r w:rsidR="00E974B2">
        <w:rPr>
          <w:lang w:val="en-US" w:eastAsia="ru-RU"/>
        </w:rPr>
        <w:instrText>for</w:instrText>
      </w:r>
      <w:r w:rsidR="00E974B2" w:rsidRPr="006C476A">
        <w:rPr>
          <w:lang w:eastAsia="ru-RU"/>
        </w:rPr>
        <w:instrText xml:space="preserve"> </w:instrText>
      </w:r>
      <w:r w:rsidR="00E974B2">
        <w:rPr>
          <w:lang w:val="en-US" w:eastAsia="ru-RU"/>
        </w:rPr>
        <w:instrText>patients</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better</w:instrText>
      </w:r>
      <w:r w:rsidR="00E974B2" w:rsidRPr="006C476A">
        <w:rPr>
          <w:lang w:eastAsia="ru-RU"/>
        </w:rPr>
        <w:instrText xml:space="preserve"> </w:instrText>
      </w:r>
      <w:r w:rsidR="00E974B2">
        <w:rPr>
          <w:lang w:val="en-US" w:eastAsia="ru-RU"/>
        </w:rPr>
        <w:instrText>utilize</w:instrText>
      </w:r>
      <w:r w:rsidR="00E974B2" w:rsidRPr="006C476A">
        <w:rPr>
          <w:lang w:eastAsia="ru-RU"/>
        </w:rPr>
        <w:instrText xml:space="preserve"> </w:instrText>
      </w:r>
      <w:r w:rsidR="00E974B2">
        <w:rPr>
          <w:lang w:val="en-US" w:eastAsia="ru-RU"/>
        </w:rPr>
        <w:instrText>health</w:instrText>
      </w:r>
      <w:r w:rsidR="00E974B2" w:rsidRPr="006C476A">
        <w:rPr>
          <w:lang w:eastAsia="ru-RU"/>
        </w:rPr>
        <w:instrText>-</w:instrText>
      </w:r>
      <w:r w:rsidR="00E974B2">
        <w:rPr>
          <w:lang w:val="en-US" w:eastAsia="ru-RU"/>
        </w:rPr>
        <w:instrText>care</w:instrText>
      </w:r>
      <w:r w:rsidR="00E974B2" w:rsidRPr="006C476A">
        <w:rPr>
          <w:lang w:eastAsia="ru-RU"/>
        </w:rPr>
        <w:instrText xml:space="preserve"> </w:instrText>
      </w:r>
      <w:r w:rsidR="00E974B2">
        <w:rPr>
          <w:lang w:val="en-US" w:eastAsia="ru-RU"/>
        </w:rPr>
        <w:instrText>resources</w:instrText>
      </w:r>
      <w:r w:rsidR="00E974B2" w:rsidRPr="006C476A">
        <w:rPr>
          <w:lang w:eastAsia="ru-RU"/>
        </w:rPr>
        <w:instrText>.","</w:instrText>
      </w:r>
      <w:r w:rsidR="00E974B2">
        <w:rPr>
          <w:lang w:val="en-US" w:eastAsia="ru-RU"/>
        </w:rPr>
        <w:instrText>author</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family</w:instrText>
      </w:r>
      <w:r w:rsidR="00E974B2" w:rsidRPr="006C476A">
        <w:rPr>
          <w:lang w:eastAsia="ru-RU"/>
        </w:rPr>
        <w:instrText>":"</w:instrText>
      </w:r>
      <w:r w:rsidR="00E974B2">
        <w:rPr>
          <w:lang w:val="en-US" w:eastAsia="ru-RU"/>
        </w:rPr>
        <w:instrText>Yelvington</w:instrText>
      </w:r>
      <w:r w:rsidR="00E974B2" w:rsidRPr="006C476A">
        <w:rPr>
          <w:lang w:eastAsia="ru-RU"/>
        </w:rPr>
        <w:instrText>","</w:instrText>
      </w:r>
      <w:r w:rsidR="00E974B2">
        <w:rPr>
          <w:lang w:val="en-US" w:eastAsia="ru-RU"/>
        </w:rPr>
        <w:instrText>given</w:instrText>
      </w:r>
      <w:r w:rsidR="00E974B2" w:rsidRPr="006C476A">
        <w:rPr>
          <w:lang w:eastAsia="ru-RU"/>
        </w:rPr>
        <w:instrText>":"</w:instrText>
      </w:r>
      <w:r w:rsidR="00E974B2">
        <w:rPr>
          <w:lang w:val="en-US" w:eastAsia="ru-RU"/>
        </w:rPr>
        <w:instrText>Bradley</w:instrText>
      </w:r>
      <w:r w:rsidR="00E974B2" w:rsidRPr="006C476A">
        <w:rPr>
          <w:lang w:eastAsia="ru-RU"/>
        </w:rPr>
        <w:instrText xml:space="preserve"> </w:instrText>
      </w:r>
      <w:r w:rsidR="00E974B2">
        <w:rPr>
          <w:lang w:val="en-US" w:eastAsia="ru-RU"/>
        </w:rPr>
        <w:instrText>J</w:instrText>
      </w:r>
      <w:r w:rsidR="00E974B2" w:rsidRPr="006C476A">
        <w:rPr>
          <w:lang w:eastAsia="ru-RU"/>
        </w:rPr>
        <w:instrText>","</w:instrText>
      </w:r>
      <w:r w:rsidR="00E974B2">
        <w:rPr>
          <w:lang w:val="en-US" w:eastAsia="ru-RU"/>
        </w:rPr>
        <w:instrText>non</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parse</w:instrText>
      </w:r>
      <w:r w:rsidR="00E974B2" w:rsidRPr="006C476A">
        <w:rPr>
          <w:lang w:eastAsia="ru-RU"/>
        </w:rPr>
        <w:instrText>-</w:instrText>
      </w:r>
      <w:r w:rsidR="00E974B2">
        <w:rPr>
          <w:lang w:val="en-US" w:eastAsia="ru-RU"/>
        </w:rPr>
        <w:instrText>names</w:instrText>
      </w:r>
      <w:r w:rsidR="00E974B2" w:rsidRPr="006C476A">
        <w:rPr>
          <w:lang w:eastAsia="ru-RU"/>
        </w:rPr>
        <w:instrText>":</w:instrText>
      </w:r>
      <w:r w:rsidR="00E974B2">
        <w:rPr>
          <w:lang w:val="en-US" w:eastAsia="ru-RU"/>
        </w:rPr>
        <w:instrText>false</w:instrText>
      </w:r>
      <w:r w:rsidR="00E974B2" w:rsidRPr="006C476A">
        <w:rPr>
          <w:lang w:eastAsia="ru-RU"/>
        </w:rPr>
        <w:instrText>,"</w:instrText>
      </w:r>
      <w:r w:rsidR="00E974B2">
        <w:rPr>
          <w:lang w:val="en-US" w:eastAsia="ru-RU"/>
        </w:rPr>
        <w:instrText>suffix</w:instrText>
      </w:r>
      <w:r w:rsidR="00E974B2" w:rsidRPr="006C476A">
        <w:rPr>
          <w:lang w:eastAsia="ru-RU"/>
        </w:rPr>
        <w:instrText>":""}],"</w:instrText>
      </w:r>
      <w:r w:rsidR="00E974B2">
        <w:rPr>
          <w:lang w:val="en-US" w:eastAsia="ru-RU"/>
        </w:rPr>
        <w:instrText>container</w:instrText>
      </w:r>
      <w:r w:rsidR="00E974B2" w:rsidRPr="006C476A">
        <w:rPr>
          <w:lang w:eastAsia="ru-RU"/>
        </w:rPr>
        <w:instrText>-</w:instrText>
      </w:r>
      <w:r w:rsidR="00E974B2">
        <w:rPr>
          <w:lang w:val="en-US" w:eastAsia="ru-RU"/>
        </w:rPr>
        <w:instrText>title</w:instrText>
      </w:r>
      <w:r w:rsidR="00E974B2" w:rsidRPr="006C476A">
        <w:rPr>
          <w:lang w:eastAsia="ru-RU"/>
        </w:rPr>
        <w:instrText>":"</w:instrText>
      </w:r>
      <w:r w:rsidR="00E974B2">
        <w:rPr>
          <w:lang w:val="en-US" w:eastAsia="ru-RU"/>
        </w:rPr>
        <w:instrText>Journal</w:instrText>
      </w:r>
      <w:r w:rsidR="00E974B2" w:rsidRPr="006C476A">
        <w:rPr>
          <w:lang w:eastAsia="ru-RU"/>
        </w:rPr>
        <w:instrText xml:space="preserve"> </w:instrText>
      </w:r>
      <w:r w:rsidR="00E974B2">
        <w:rPr>
          <w:lang w:val="en-US" w:eastAsia="ru-RU"/>
        </w:rPr>
        <w:instrText>of</w:instrText>
      </w:r>
      <w:r w:rsidR="00E974B2" w:rsidRPr="006C476A">
        <w:rPr>
          <w:lang w:eastAsia="ru-RU"/>
        </w:rPr>
        <w:instrText xml:space="preserve"> </w:instrText>
      </w:r>
      <w:r w:rsidR="00E974B2">
        <w:rPr>
          <w:lang w:val="en-US" w:eastAsia="ru-RU"/>
        </w:rPr>
        <w:instrText>the</w:instrText>
      </w:r>
      <w:r w:rsidR="00E974B2" w:rsidRPr="006C476A">
        <w:rPr>
          <w:lang w:eastAsia="ru-RU"/>
        </w:rPr>
        <w:instrText xml:space="preserve"> </w:instrText>
      </w:r>
      <w:r w:rsidR="00E974B2">
        <w:rPr>
          <w:lang w:val="en-US" w:eastAsia="ru-RU"/>
        </w:rPr>
        <w:instrText>advanced</w:instrText>
      </w:r>
      <w:r w:rsidR="00E974B2" w:rsidRPr="006C476A">
        <w:rPr>
          <w:lang w:eastAsia="ru-RU"/>
        </w:rPr>
        <w:instrText xml:space="preserve"> </w:instrText>
      </w:r>
      <w:r w:rsidR="00E974B2">
        <w:rPr>
          <w:lang w:val="en-US" w:eastAsia="ru-RU"/>
        </w:rPr>
        <w:instrText>practitioner</w:instrText>
      </w:r>
      <w:r w:rsidR="00E974B2" w:rsidRPr="006C476A">
        <w:rPr>
          <w:lang w:eastAsia="ru-RU"/>
        </w:rPr>
        <w:instrText xml:space="preserve"> </w:instrText>
      </w:r>
      <w:r w:rsidR="00E974B2">
        <w:rPr>
          <w:lang w:val="en-US" w:eastAsia="ru-RU"/>
        </w:rPr>
        <w:instrText>in</w:instrText>
      </w:r>
      <w:r w:rsidR="00E974B2" w:rsidRPr="006C476A">
        <w:rPr>
          <w:lang w:eastAsia="ru-RU"/>
        </w:rPr>
        <w:instrText xml:space="preserve"> </w:instrText>
      </w:r>
      <w:r w:rsidR="00E974B2">
        <w:rPr>
          <w:lang w:val="en-US" w:eastAsia="ru-RU"/>
        </w:rPr>
        <w:instrText>oncology</w:instrText>
      </w:r>
      <w:r w:rsidR="00E974B2" w:rsidRPr="006C476A">
        <w:rPr>
          <w:lang w:eastAsia="ru-RU"/>
        </w:rPr>
        <w:instrText>","</w:instrText>
      </w:r>
      <w:r w:rsidR="00E974B2">
        <w:rPr>
          <w:lang w:val="en-US" w:eastAsia="ru-RU"/>
        </w:rPr>
        <w:instrText>id</w:instrText>
      </w:r>
      <w:r w:rsidR="00E974B2" w:rsidRPr="006C476A">
        <w:rPr>
          <w:lang w:eastAsia="ru-RU"/>
        </w:rPr>
        <w:instrText>":"</w:instrText>
      </w:r>
      <w:r w:rsidR="00E974B2">
        <w:rPr>
          <w:lang w:val="en-US" w:eastAsia="ru-RU"/>
        </w:rPr>
        <w:instrText>ITEM</w:instrText>
      </w:r>
      <w:r w:rsidR="00E974B2" w:rsidRPr="006C476A">
        <w:rPr>
          <w:lang w:eastAsia="ru-RU"/>
        </w:rPr>
        <w:instrText>-1","</w:instrText>
      </w:r>
      <w:r w:rsidR="00E974B2">
        <w:rPr>
          <w:lang w:val="en-US" w:eastAsia="ru-RU"/>
        </w:rPr>
        <w:instrText>issue</w:instrText>
      </w:r>
      <w:r w:rsidR="00E974B2" w:rsidRPr="006C476A">
        <w:rPr>
          <w:lang w:eastAsia="ru-RU"/>
        </w:rPr>
        <w:instrText>":"5","</w:instrText>
      </w:r>
      <w:r w:rsidR="00E974B2">
        <w:rPr>
          <w:lang w:val="en-US" w:eastAsia="ru-RU"/>
        </w:rPr>
        <w:instrText>issued</w:instrText>
      </w:r>
      <w:r w:rsidR="00E974B2" w:rsidRPr="006C476A">
        <w:rPr>
          <w:lang w:eastAsia="ru-RU"/>
        </w:rPr>
        <w:instrText>":{"</w:instrText>
      </w:r>
      <w:r w:rsidR="00E974B2">
        <w:rPr>
          <w:lang w:val="en-US" w:eastAsia="ru-RU"/>
        </w:rPr>
        <w:instrText>date</w:instrText>
      </w:r>
      <w:r w:rsidR="00E974B2" w:rsidRPr="006C476A">
        <w:rPr>
          <w:lang w:eastAsia="ru-RU"/>
        </w:rPr>
        <w:instrText>-</w:instrText>
      </w:r>
      <w:r w:rsidR="00E974B2">
        <w:rPr>
          <w:lang w:val="en-US" w:eastAsia="ru-RU"/>
        </w:rPr>
        <w:instrText>parts</w:instrText>
      </w:r>
      <w:r w:rsidR="00E974B2" w:rsidRPr="006C476A">
        <w:rPr>
          <w:lang w:eastAsia="ru-RU"/>
        </w:rPr>
        <w:instrText>":[["2018"]]},"</w:instrText>
      </w:r>
      <w:r w:rsidR="00E974B2">
        <w:rPr>
          <w:lang w:val="en-US" w:eastAsia="ru-RU"/>
        </w:rPr>
        <w:instrText>page</w:instrText>
      </w:r>
      <w:r w:rsidR="00E974B2" w:rsidRPr="006C476A">
        <w:rPr>
          <w:lang w:eastAsia="ru-RU"/>
        </w:rPr>
        <w:instrText>":"530-534","</w:instrText>
      </w:r>
      <w:r w:rsidR="00E974B2">
        <w:rPr>
          <w:lang w:val="en-US" w:eastAsia="ru-RU"/>
        </w:rPr>
        <w:instrText>publisher</w:instrText>
      </w:r>
      <w:r w:rsidR="00E974B2" w:rsidRPr="006C476A">
        <w:rPr>
          <w:lang w:eastAsia="ru-RU"/>
        </w:rPr>
        <w:instrText>":"</w:instrText>
      </w:r>
      <w:r w:rsidR="00E974B2">
        <w:rPr>
          <w:lang w:val="en-US" w:eastAsia="ru-RU"/>
        </w:rPr>
        <w:instrText>Harborside</w:instrText>
      </w:r>
      <w:r w:rsidR="00E974B2" w:rsidRPr="006C476A">
        <w:rPr>
          <w:lang w:eastAsia="ru-RU"/>
        </w:rPr>
        <w:instrText xml:space="preserve"> </w:instrText>
      </w:r>
      <w:r w:rsidR="00E974B2">
        <w:rPr>
          <w:lang w:val="en-US" w:eastAsia="ru-RU"/>
        </w:rPr>
        <w:instrText>Press</w:instrText>
      </w:r>
      <w:r w:rsidR="00E974B2" w:rsidRPr="006C476A">
        <w:rPr>
          <w:lang w:eastAsia="ru-RU"/>
        </w:rPr>
        <w:instrText>","</w:instrText>
      </w:r>
      <w:r w:rsidR="00E974B2">
        <w:rPr>
          <w:lang w:val="en-US" w:eastAsia="ru-RU"/>
        </w:rPr>
        <w:instrText>title</w:instrText>
      </w:r>
      <w:r w:rsidR="00E974B2" w:rsidRPr="006C476A">
        <w:rPr>
          <w:lang w:eastAsia="ru-RU"/>
        </w:rPr>
        <w:instrText>":"</w:instrText>
      </w:r>
      <w:r w:rsidR="00E974B2">
        <w:rPr>
          <w:lang w:val="en-US" w:eastAsia="ru-RU"/>
        </w:rPr>
        <w:instrText>Subcutaneous</w:instrText>
      </w:r>
      <w:r w:rsidR="00E974B2" w:rsidRPr="006C476A">
        <w:rPr>
          <w:lang w:eastAsia="ru-RU"/>
        </w:rPr>
        <w:instrText xml:space="preserve"> </w:instrText>
      </w:r>
      <w:r w:rsidR="00E974B2">
        <w:rPr>
          <w:lang w:val="en-US" w:eastAsia="ru-RU"/>
        </w:rPr>
        <w:instrText>Rituximab</w:instrText>
      </w:r>
      <w:r w:rsidR="00E974B2" w:rsidRPr="006C476A">
        <w:rPr>
          <w:lang w:eastAsia="ru-RU"/>
        </w:rPr>
        <w:instrText xml:space="preserve"> </w:instrText>
      </w:r>
      <w:r w:rsidR="00E974B2">
        <w:rPr>
          <w:lang w:val="en-US" w:eastAsia="ru-RU"/>
        </w:rPr>
        <w:instrText>in</w:instrText>
      </w:r>
      <w:r w:rsidR="00E974B2" w:rsidRPr="006C476A">
        <w:rPr>
          <w:lang w:eastAsia="ru-RU"/>
        </w:rPr>
        <w:instrText xml:space="preserve"> </w:instrText>
      </w:r>
      <w:r w:rsidR="00E974B2">
        <w:rPr>
          <w:lang w:val="en-US" w:eastAsia="ru-RU"/>
        </w:rPr>
        <w:instrText>Follicular</w:instrText>
      </w:r>
      <w:r w:rsidR="00E974B2" w:rsidRPr="006C476A">
        <w:rPr>
          <w:lang w:eastAsia="ru-RU"/>
        </w:rPr>
        <w:instrText xml:space="preserve"> </w:instrText>
      </w:r>
      <w:r w:rsidR="00E974B2">
        <w:rPr>
          <w:lang w:val="en-US" w:eastAsia="ru-RU"/>
        </w:rPr>
        <w:instrText>Lymphoma</w:instrText>
      </w:r>
      <w:r w:rsidR="00E974B2" w:rsidRPr="006C476A">
        <w:rPr>
          <w:lang w:eastAsia="ru-RU"/>
        </w:rPr>
        <w:instrText xml:space="preserve">, </w:instrText>
      </w:r>
      <w:r w:rsidR="00E974B2">
        <w:rPr>
          <w:lang w:val="en-US" w:eastAsia="ru-RU"/>
        </w:rPr>
        <w:instrText>Chronic</w:instrText>
      </w:r>
      <w:r w:rsidR="00E974B2" w:rsidRPr="006C476A">
        <w:rPr>
          <w:lang w:eastAsia="ru-RU"/>
        </w:rPr>
        <w:instrText xml:space="preserve"> </w:instrText>
      </w:r>
      <w:r w:rsidR="00E974B2">
        <w:rPr>
          <w:lang w:val="en-US" w:eastAsia="ru-RU"/>
        </w:rPr>
        <w:instrText>Lymphocytic</w:instrText>
      </w:r>
      <w:r w:rsidR="00E974B2" w:rsidRPr="006C476A">
        <w:rPr>
          <w:lang w:eastAsia="ru-RU"/>
        </w:rPr>
        <w:instrText xml:space="preserve"> </w:instrText>
      </w:r>
      <w:r w:rsidR="00E974B2">
        <w:rPr>
          <w:lang w:val="en-US" w:eastAsia="ru-RU"/>
        </w:rPr>
        <w:instrText>Leukemia</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Diffuse</w:instrText>
      </w:r>
      <w:r w:rsidR="00E974B2" w:rsidRPr="006C476A">
        <w:rPr>
          <w:lang w:eastAsia="ru-RU"/>
        </w:rPr>
        <w:instrText xml:space="preserve"> </w:instrText>
      </w:r>
      <w:r w:rsidR="00E974B2">
        <w:rPr>
          <w:lang w:val="en-US" w:eastAsia="ru-RU"/>
        </w:rPr>
        <w:instrText>Large</w:instrText>
      </w:r>
      <w:r w:rsidR="00E974B2" w:rsidRPr="006C476A">
        <w:rPr>
          <w:lang w:eastAsia="ru-RU"/>
        </w:rPr>
        <w:instrText xml:space="preserve"> </w:instrText>
      </w:r>
      <w:r w:rsidR="00E974B2">
        <w:rPr>
          <w:lang w:val="en-US" w:eastAsia="ru-RU"/>
        </w:rPr>
        <w:instrText>B</w:instrText>
      </w:r>
      <w:r w:rsidR="00E974B2" w:rsidRPr="006C476A">
        <w:rPr>
          <w:lang w:eastAsia="ru-RU"/>
        </w:rPr>
        <w:instrText>-</w:instrText>
      </w:r>
      <w:r w:rsidR="00E974B2">
        <w:rPr>
          <w:lang w:val="en-US" w:eastAsia="ru-RU"/>
        </w:rPr>
        <w:instrText>Cell</w:instrText>
      </w:r>
      <w:r w:rsidR="00E974B2" w:rsidRPr="006C476A">
        <w:rPr>
          <w:lang w:eastAsia="ru-RU"/>
        </w:rPr>
        <w:instrText xml:space="preserve"> </w:instrText>
      </w:r>
      <w:r w:rsidR="00E974B2">
        <w:rPr>
          <w:lang w:val="en-US" w:eastAsia="ru-RU"/>
        </w:rPr>
        <w:instrText>Lymphoma</w:instrText>
      </w:r>
      <w:r w:rsidR="00E974B2" w:rsidRPr="006C476A">
        <w:rPr>
          <w:lang w:eastAsia="ru-RU"/>
        </w:rPr>
        <w:instrText>.","</w:instrText>
      </w:r>
      <w:r w:rsidR="00E974B2">
        <w:rPr>
          <w:lang w:val="en-US" w:eastAsia="ru-RU"/>
        </w:rPr>
        <w:instrText>type</w:instrText>
      </w:r>
      <w:r w:rsidR="00E974B2" w:rsidRPr="006C476A">
        <w:rPr>
          <w:lang w:eastAsia="ru-RU"/>
        </w:rPr>
        <w:instrText>":"</w:instrText>
      </w:r>
      <w:r w:rsidR="00E974B2">
        <w:rPr>
          <w:lang w:val="en-US" w:eastAsia="ru-RU"/>
        </w:rPr>
        <w:instrText>article</w:instrText>
      </w:r>
      <w:r w:rsidR="00E974B2" w:rsidRPr="006C476A">
        <w:rPr>
          <w:lang w:eastAsia="ru-RU"/>
        </w:rPr>
        <w:instrText>-</w:instrText>
      </w:r>
      <w:r w:rsidR="00E974B2">
        <w:rPr>
          <w:lang w:val="en-US" w:eastAsia="ru-RU"/>
        </w:rPr>
        <w:instrText>journal</w:instrText>
      </w:r>
      <w:r w:rsidR="00E974B2" w:rsidRPr="006C476A">
        <w:rPr>
          <w:lang w:eastAsia="ru-RU"/>
        </w:rPr>
        <w:instrText>","</w:instrText>
      </w:r>
      <w:r w:rsidR="00E974B2">
        <w:rPr>
          <w:lang w:val="en-US" w:eastAsia="ru-RU"/>
        </w:rPr>
        <w:instrText>volume</w:instrText>
      </w:r>
      <w:r w:rsidR="00E974B2" w:rsidRPr="006C476A">
        <w:rPr>
          <w:lang w:eastAsia="ru-RU"/>
        </w:rPr>
        <w:instrText>":"9"},"</w:instrText>
      </w:r>
      <w:r w:rsidR="00E974B2">
        <w:rPr>
          <w:lang w:val="en-US" w:eastAsia="ru-RU"/>
        </w:rPr>
        <w:instrText>uris</w:instrText>
      </w:r>
      <w:r w:rsidR="00E974B2" w:rsidRPr="006C476A">
        <w:rPr>
          <w:lang w:eastAsia="ru-RU"/>
        </w:rPr>
        <w:instrText>":["</w:instrText>
      </w:r>
      <w:r w:rsidR="00E974B2">
        <w:rPr>
          <w:lang w:val="en-US" w:eastAsia="ru-RU"/>
        </w:rPr>
        <w:instrText>http</w:instrText>
      </w:r>
      <w:r w:rsidR="00E974B2" w:rsidRPr="006C476A">
        <w:rPr>
          <w:lang w:eastAsia="ru-RU"/>
        </w:rPr>
        <w:instrText>://</w:instrText>
      </w:r>
      <w:r w:rsidR="00E974B2">
        <w:rPr>
          <w:lang w:val="en-US" w:eastAsia="ru-RU"/>
        </w:rPr>
        <w:instrText>www</w:instrText>
      </w:r>
      <w:r w:rsidR="00E974B2" w:rsidRPr="006C476A">
        <w:rPr>
          <w:lang w:eastAsia="ru-RU"/>
        </w:rPr>
        <w:instrText>.</w:instrText>
      </w:r>
      <w:r w:rsidR="00E974B2">
        <w:rPr>
          <w:lang w:val="en-US" w:eastAsia="ru-RU"/>
        </w:rPr>
        <w:instrText>mendeley</w:instrText>
      </w:r>
      <w:r w:rsidR="00E974B2" w:rsidRPr="006C476A">
        <w:rPr>
          <w:lang w:eastAsia="ru-RU"/>
        </w:rPr>
        <w:instrText>.</w:instrText>
      </w:r>
      <w:r w:rsidR="00E974B2">
        <w:rPr>
          <w:lang w:val="en-US" w:eastAsia="ru-RU"/>
        </w:rPr>
        <w:instrText>com</w:instrText>
      </w:r>
      <w:r w:rsidR="00E974B2" w:rsidRPr="006C476A">
        <w:rPr>
          <w:lang w:eastAsia="ru-RU"/>
        </w:rPr>
        <w:instrText>/</w:instrText>
      </w:r>
      <w:r w:rsidR="00E974B2">
        <w:rPr>
          <w:lang w:val="en-US" w:eastAsia="ru-RU"/>
        </w:rPr>
        <w:instrText>documents</w:instrText>
      </w:r>
      <w:r w:rsidR="00E974B2" w:rsidRPr="006C476A">
        <w:rPr>
          <w:lang w:eastAsia="ru-RU"/>
        </w:rPr>
        <w:instrText>/?</w:instrText>
      </w:r>
      <w:r w:rsidR="00E974B2">
        <w:rPr>
          <w:lang w:val="en-US" w:eastAsia="ru-RU"/>
        </w:rPr>
        <w:instrText>uuid</w:instrText>
      </w:r>
      <w:r w:rsidR="00E974B2" w:rsidRPr="006C476A">
        <w:rPr>
          <w:lang w:eastAsia="ru-RU"/>
        </w:rPr>
        <w:instrText>=</w:instrText>
      </w:r>
      <w:r w:rsidR="00E974B2">
        <w:rPr>
          <w:lang w:val="en-US" w:eastAsia="ru-RU"/>
        </w:rPr>
        <w:instrText>fbb</w:instrText>
      </w:r>
      <w:r w:rsidR="00E974B2" w:rsidRPr="006C476A">
        <w:rPr>
          <w:lang w:eastAsia="ru-RU"/>
        </w:rPr>
        <w:instrText>0</w:instrText>
      </w:r>
      <w:r w:rsidR="00E974B2">
        <w:rPr>
          <w:lang w:val="en-US" w:eastAsia="ru-RU"/>
        </w:rPr>
        <w:instrText>b</w:instrText>
      </w:r>
      <w:r w:rsidR="00E974B2" w:rsidRPr="006C476A">
        <w:rPr>
          <w:lang w:eastAsia="ru-RU"/>
        </w:rPr>
        <w:instrText>8</w:instrText>
      </w:r>
      <w:r w:rsidR="00E974B2">
        <w:rPr>
          <w:lang w:val="en-US" w:eastAsia="ru-RU"/>
        </w:rPr>
        <w:instrText>f</w:instrText>
      </w:r>
      <w:r w:rsidR="00E974B2" w:rsidRPr="006C476A">
        <w:rPr>
          <w:lang w:eastAsia="ru-RU"/>
        </w:rPr>
        <w:instrText>4-6</w:instrText>
      </w:r>
      <w:r w:rsidR="00E974B2">
        <w:rPr>
          <w:lang w:val="en-US" w:eastAsia="ru-RU"/>
        </w:rPr>
        <w:instrText>b</w:instrText>
      </w:r>
      <w:r w:rsidR="00E974B2" w:rsidRPr="006C476A">
        <w:rPr>
          <w:lang w:eastAsia="ru-RU"/>
        </w:rPr>
        <w:instrText>58-3</w:instrText>
      </w:r>
      <w:r w:rsidR="00E974B2">
        <w:rPr>
          <w:lang w:val="en-US" w:eastAsia="ru-RU"/>
        </w:rPr>
        <w:instrText>a</w:instrText>
      </w:r>
      <w:r w:rsidR="00E974B2" w:rsidRPr="006C476A">
        <w:rPr>
          <w:lang w:eastAsia="ru-RU"/>
        </w:rPr>
        <w:instrText>10-</w:instrText>
      </w:r>
      <w:r w:rsidR="00E974B2">
        <w:rPr>
          <w:lang w:val="en-US" w:eastAsia="ru-RU"/>
        </w:rPr>
        <w:instrText>b</w:instrText>
      </w:r>
      <w:r w:rsidR="00E974B2" w:rsidRPr="006C476A">
        <w:rPr>
          <w:lang w:eastAsia="ru-RU"/>
        </w:rPr>
        <w:instrText>7</w:instrText>
      </w:r>
      <w:r w:rsidR="00E974B2">
        <w:rPr>
          <w:lang w:val="en-US" w:eastAsia="ru-RU"/>
        </w:rPr>
        <w:instrText>d</w:instrText>
      </w:r>
      <w:r w:rsidR="00E974B2" w:rsidRPr="006C476A">
        <w:rPr>
          <w:lang w:eastAsia="ru-RU"/>
        </w:rPr>
        <w:instrText>6-</w:instrText>
      </w:r>
      <w:r w:rsidR="00E974B2">
        <w:rPr>
          <w:lang w:val="en-US" w:eastAsia="ru-RU"/>
        </w:rPr>
        <w:instrText>af</w:instrText>
      </w:r>
      <w:r w:rsidR="00E974B2" w:rsidRPr="006C476A">
        <w:rPr>
          <w:lang w:eastAsia="ru-RU"/>
        </w:rPr>
        <w:instrText>3854030</w:instrText>
      </w:r>
      <w:r w:rsidR="00E974B2">
        <w:rPr>
          <w:lang w:val="en-US" w:eastAsia="ru-RU"/>
        </w:rPr>
        <w:instrText>be</w:instrText>
      </w:r>
      <w:r w:rsidR="00E974B2" w:rsidRPr="006C476A">
        <w:rPr>
          <w:lang w:eastAsia="ru-RU"/>
        </w:rPr>
        <w:instrText>8"]},{"</w:instrText>
      </w:r>
      <w:r w:rsidR="00E974B2">
        <w:rPr>
          <w:lang w:val="en-US" w:eastAsia="ru-RU"/>
        </w:rPr>
        <w:instrText>id</w:instrText>
      </w:r>
      <w:r w:rsidR="00E974B2" w:rsidRPr="006C476A">
        <w:rPr>
          <w:lang w:eastAsia="ru-RU"/>
        </w:rPr>
        <w:instrText>":"</w:instrText>
      </w:r>
      <w:r w:rsidR="00E974B2">
        <w:rPr>
          <w:lang w:val="en-US" w:eastAsia="ru-RU"/>
        </w:rPr>
        <w:instrText>ITEM</w:instrText>
      </w:r>
      <w:r w:rsidR="00E974B2" w:rsidRPr="006C476A">
        <w:rPr>
          <w:lang w:eastAsia="ru-RU"/>
        </w:rPr>
        <w:instrText>-2","</w:instrText>
      </w:r>
      <w:r w:rsidR="00E974B2">
        <w:rPr>
          <w:lang w:val="en-US" w:eastAsia="ru-RU"/>
        </w:rPr>
        <w:instrText>itemData</w:instrText>
      </w:r>
      <w:r w:rsidR="00E974B2" w:rsidRPr="006C476A">
        <w:rPr>
          <w:lang w:eastAsia="ru-RU"/>
        </w:rPr>
        <w:instrText>":{"</w:instrText>
      </w:r>
      <w:r w:rsidR="00E974B2">
        <w:rPr>
          <w:lang w:val="en-US" w:eastAsia="ru-RU"/>
        </w:rPr>
        <w:instrText>DOI</w:instrText>
      </w:r>
      <w:r w:rsidR="00E974B2" w:rsidRPr="006C476A">
        <w:rPr>
          <w:lang w:eastAsia="ru-RU"/>
        </w:rPr>
        <w:instrText>":"10.1007/</w:instrText>
      </w:r>
      <w:r w:rsidR="00E974B2">
        <w:rPr>
          <w:lang w:val="en-US" w:eastAsia="ru-RU"/>
        </w:rPr>
        <w:instrText>s</w:instrText>
      </w:r>
      <w:r w:rsidR="00E974B2" w:rsidRPr="006C476A">
        <w:rPr>
          <w:lang w:eastAsia="ru-RU"/>
        </w:rPr>
        <w:instrText>12325-017-0610-</w:instrText>
      </w:r>
      <w:r w:rsidR="00E974B2">
        <w:rPr>
          <w:lang w:val="en-US" w:eastAsia="ru-RU"/>
        </w:rPr>
        <w:instrText>z</w:instrText>
      </w:r>
      <w:r w:rsidR="00E974B2" w:rsidRPr="006C476A">
        <w:rPr>
          <w:lang w:eastAsia="ru-RU"/>
        </w:rPr>
        <w:instrText>","</w:instrText>
      </w:r>
      <w:r w:rsidR="00E974B2">
        <w:rPr>
          <w:lang w:val="en-US" w:eastAsia="ru-RU"/>
        </w:rPr>
        <w:instrText>ISSN</w:instrText>
      </w:r>
      <w:r w:rsidR="00E974B2" w:rsidRPr="006C476A">
        <w:rPr>
          <w:lang w:eastAsia="ru-RU"/>
        </w:rPr>
        <w:instrText>":"18658652","</w:instrText>
      </w:r>
      <w:r w:rsidR="00E974B2">
        <w:rPr>
          <w:lang w:val="en-US" w:eastAsia="ru-RU"/>
        </w:rPr>
        <w:instrText>abstract</w:instrText>
      </w:r>
      <w:r w:rsidR="00E974B2" w:rsidRPr="006C476A">
        <w:rPr>
          <w:lang w:eastAsia="ru-RU"/>
        </w:rPr>
        <w:instrText>":"</w:instrText>
      </w:r>
      <w:r w:rsidR="00E974B2">
        <w:rPr>
          <w:lang w:val="en-US" w:eastAsia="ru-RU"/>
        </w:rPr>
        <w:instrText>Abstract</w:instrText>
      </w:r>
      <w:r w:rsidR="00E974B2" w:rsidRPr="006C476A">
        <w:rPr>
          <w:lang w:eastAsia="ru-RU"/>
        </w:rPr>
        <w:instrText xml:space="preserve">: </w:instrText>
      </w:r>
      <w:r w:rsidR="00E974B2">
        <w:rPr>
          <w:lang w:val="en-US" w:eastAsia="ru-RU"/>
        </w:rPr>
        <w:instrText>Rituximab</w:instrText>
      </w:r>
      <w:r w:rsidR="00E974B2" w:rsidRPr="006C476A">
        <w:rPr>
          <w:lang w:eastAsia="ru-RU"/>
        </w:rPr>
        <w:instrText xml:space="preserve"> (</w:instrText>
      </w:r>
      <w:r w:rsidR="00E974B2">
        <w:rPr>
          <w:lang w:val="en-US" w:eastAsia="ru-RU"/>
        </w:rPr>
        <w:instrText>MabThera</w:instrText>
      </w:r>
      <w:r w:rsidR="00E974B2" w:rsidRPr="006C476A">
        <w:rPr>
          <w:lang w:eastAsia="ru-RU"/>
        </w:rPr>
        <w:instrText>®/</w:instrText>
      </w:r>
      <w:r w:rsidR="00E974B2">
        <w:rPr>
          <w:lang w:val="en-US" w:eastAsia="ru-RU"/>
        </w:rPr>
        <w:instrText>Rituxan</w:instrText>
      </w:r>
      <w:r w:rsidR="00E974B2" w:rsidRPr="006C476A">
        <w:rPr>
          <w:lang w:eastAsia="ru-RU"/>
        </w:rPr>
        <w:instrText xml:space="preserve">®), </w:instrText>
      </w:r>
      <w:r w:rsidR="00E974B2">
        <w:rPr>
          <w:lang w:val="en-US" w:eastAsia="ru-RU"/>
        </w:rPr>
        <w:instrText>a</w:instrText>
      </w:r>
      <w:r w:rsidR="00E974B2" w:rsidRPr="006C476A">
        <w:rPr>
          <w:lang w:eastAsia="ru-RU"/>
        </w:rPr>
        <w:instrText xml:space="preserve"> </w:instrText>
      </w:r>
      <w:r w:rsidR="00E974B2">
        <w:rPr>
          <w:lang w:val="en-US" w:eastAsia="ru-RU"/>
        </w:rPr>
        <w:instrText>chimeric</w:instrText>
      </w:r>
      <w:r w:rsidR="00E974B2" w:rsidRPr="006C476A">
        <w:rPr>
          <w:lang w:eastAsia="ru-RU"/>
        </w:rPr>
        <w:instrText xml:space="preserve"> </w:instrText>
      </w:r>
      <w:r w:rsidR="00E974B2">
        <w:rPr>
          <w:lang w:val="en-US" w:eastAsia="ru-RU"/>
        </w:rPr>
        <w:instrText>murine</w:instrText>
      </w:r>
      <w:r w:rsidR="00E974B2" w:rsidRPr="006C476A">
        <w:rPr>
          <w:lang w:eastAsia="ru-RU"/>
        </w:rPr>
        <w:instrText>/</w:instrText>
      </w:r>
      <w:r w:rsidR="00E974B2">
        <w:rPr>
          <w:lang w:val="en-US" w:eastAsia="ru-RU"/>
        </w:rPr>
        <w:instrText>human</w:instrText>
      </w:r>
      <w:r w:rsidR="00E974B2" w:rsidRPr="006C476A">
        <w:rPr>
          <w:lang w:eastAsia="ru-RU"/>
        </w:rPr>
        <w:instrText xml:space="preserve"> </w:instrText>
      </w:r>
      <w:r w:rsidR="00E974B2">
        <w:rPr>
          <w:lang w:val="en-US" w:eastAsia="ru-RU"/>
        </w:rPr>
        <w:instrText>monoclonal</w:instrText>
      </w:r>
      <w:r w:rsidR="00E974B2" w:rsidRPr="006C476A">
        <w:rPr>
          <w:lang w:eastAsia="ru-RU"/>
        </w:rPr>
        <w:instrText xml:space="preserve"> </w:instrText>
      </w:r>
      <w:r w:rsidR="00E974B2">
        <w:rPr>
          <w:lang w:val="en-US" w:eastAsia="ru-RU"/>
        </w:rPr>
        <w:instrText>antibody</w:instrText>
      </w:r>
      <w:r w:rsidR="00E974B2" w:rsidRPr="006C476A">
        <w:rPr>
          <w:lang w:eastAsia="ru-RU"/>
        </w:rPr>
        <w:instrText xml:space="preserve"> </w:instrText>
      </w:r>
      <w:r w:rsidR="00E974B2">
        <w:rPr>
          <w:lang w:val="en-US" w:eastAsia="ru-RU"/>
        </w:rPr>
        <w:instrText>that</w:instrText>
      </w:r>
      <w:r w:rsidR="00E974B2" w:rsidRPr="006C476A">
        <w:rPr>
          <w:lang w:eastAsia="ru-RU"/>
        </w:rPr>
        <w:instrText xml:space="preserve"> </w:instrText>
      </w:r>
      <w:r w:rsidR="00E974B2">
        <w:rPr>
          <w:lang w:val="en-US" w:eastAsia="ru-RU"/>
        </w:rPr>
        <w:instrText>binds</w:instrText>
      </w:r>
      <w:r w:rsidR="00E974B2" w:rsidRPr="006C476A">
        <w:rPr>
          <w:lang w:eastAsia="ru-RU"/>
        </w:rPr>
        <w:instrText xml:space="preserve"> </w:instrText>
      </w:r>
      <w:r w:rsidR="00E974B2">
        <w:rPr>
          <w:lang w:val="en-US" w:eastAsia="ru-RU"/>
        </w:rPr>
        <w:instrText>specifically</w:instrText>
      </w:r>
      <w:r w:rsidR="00E974B2" w:rsidRPr="006C476A">
        <w:rPr>
          <w:lang w:eastAsia="ru-RU"/>
        </w:rPr>
        <w:instrText xml:space="preserve"> </w:instrText>
      </w:r>
      <w:r w:rsidR="00E974B2">
        <w:rPr>
          <w:lang w:val="en-US" w:eastAsia="ru-RU"/>
        </w:rPr>
        <w:instrText>to</w:instrText>
      </w:r>
      <w:r w:rsidR="00E974B2" w:rsidRPr="006C476A">
        <w:rPr>
          <w:lang w:eastAsia="ru-RU"/>
        </w:rPr>
        <w:instrText xml:space="preserve"> </w:instrText>
      </w:r>
      <w:r w:rsidR="00E974B2">
        <w:rPr>
          <w:lang w:val="en-US" w:eastAsia="ru-RU"/>
        </w:rPr>
        <w:instrText>the</w:instrText>
      </w:r>
      <w:r w:rsidR="00E974B2" w:rsidRPr="006C476A">
        <w:rPr>
          <w:lang w:eastAsia="ru-RU"/>
        </w:rPr>
        <w:instrText xml:space="preserve"> </w:instrText>
      </w:r>
      <w:r w:rsidR="00E974B2">
        <w:rPr>
          <w:lang w:val="en-US" w:eastAsia="ru-RU"/>
        </w:rPr>
        <w:instrText>transmembrane</w:instrText>
      </w:r>
      <w:r w:rsidR="00E974B2" w:rsidRPr="006C476A">
        <w:rPr>
          <w:lang w:eastAsia="ru-RU"/>
        </w:rPr>
        <w:instrText xml:space="preserve"> </w:instrText>
      </w:r>
      <w:r w:rsidR="00E974B2">
        <w:rPr>
          <w:lang w:val="en-US" w:eastAsia="ru-RU"/>
        </w:rPr>
        <w:instrText>antigen</w:instrText>
      </w:r>
      <w:r w:rsidR="00E974B2" w:rsidRPr="006C476A">
        <w:rPr>
          <w:lang w:eastAsia="ru-RU"/>
        </w:rPr>
        <w:instrText xml:space="preserve"> </w:instrText>
      </w:r>
      <w:r w:rsidR="00E974B2">
        <w:rPr>
          <w:lang w:val="en-US" w:eastAsia="ru-RU"/>
        </w:rPr>
        <w:instrText>CD</w:instrText>
      </w:r>
      <w:r w:rsidR="00E974B2" w:rsidRPr="006C476A">
        <w:rPr>
          <w:lang w:eastAsia="ru-RU"/>
        </w:rPr>
        <w:instrText xml:space="preserve">20, </w:instrText>
      </w:r>
      <w:r w:rsidR="00E974B2">
        <w:rPr>
          <w:lang w:val="en-US" w:eastAsia="ru-RU"/>
        </w:rPr>
        <w:instrText>was</w:instrText>
      </w:r>
      <w:r w:rsidR="00E974B2" w:rsidRPr="006C476A">
        <w:rPr>
          <w:lang w:eastAsia="ru-RU"/>
        </w:rPr>
        <w:instrText xml:space="preserve"> </w:instrText>
      </w:r>
      <w:r w:rsidR="00E974B2">
        <w:rPr>
          <w:lang w:val="en-US" w:eastAsia="ru-RU"/>
        </w:rPr>
        <w:instrText>the</w:instrText>
      </w:r>
      <w:r w:rsidR="00E974B2" w:rsidRPr="006C476A">
        <w:rPr>
          <w:lang w:eastAsia="ru-RU"/>
        </w:rPr>
        <w:instrText xml:space="preserve"> </w:instrText>
      </w:r>
      <w:r w:rsidR="00E974B2">
        <w:rPr>
          <w:lang w:val="en-US" w:eastAsia="ru-RU"/>
        </w:rPr>
        <w:instrText>first</w:instrText>
      </w:r>
      <w:r w:rsidR="00E974B2" w:rsidRPr="006C476A">
        <w:rPr>
          <w:lang w:eastAsia="ru-RU"/>
        </w:rPr>
        <w:instrText xml:space="preserve"> </w:instrText>
      </w:r>
      <w:r w:rsidR="00E974B2">
        <w:rPr>
          <w:lang w:val="en-US" w:eastAsia="ru-RU"/>
        </w:rPr>
        <w:instrText>therapeutic</w:instrText>
      </w:r>
      <w:r w:rsidR="00E974B2" w:rsidRPr="006C476A">
        <w:rPr>
          <w:lang w:eastAsia="ru-RU"/>
        </w:rPr>
        <w:instrText xml:space="preserve"> </w:instrText>
      </w:r>
      <w:r w:rsidR="00E974B2">
        <w:rPr>
          <w:lang w:val="en-US" w:eastAsia="ru-RU"/>
        </w:rPr>
        <w:instrText>antibody</w:instrText>
      </w:r>
      <w:r w:rsidR="00E974B2" w:rsidRPr="006C476A">
        <w:rPr>
          <w:lang w:eastAsia="ru-RU"/>
        </w:rPr>
        <w:instrText xml:space="preserve"> </w:instrText>
      </w:r>
      <w:r w:rsidR="00E974B2">
        <w:rPr>
          <w:lang w:val="en-US" w:eastAsia="ru-RU"/>
        </w:rPr>
        <w:instrText>to</w:instrText>
      </w:r>
      <w:r w:rsidR="00E974B2" w:rsidRPr="006C476A">
        <w:rPr>
          <w:lang w:eastAsia="ru-RU"/>
        </w:rPr>
        <w:instrText xml:space="preserve"> </w:instrText>
      </w:r>
      <w:r w:rsidR="00E974B2">
        <w:rPr>
          <w:lang w:val="en-US" w:eastAsia="ru-RU"/>
        </w:rPr>
        <w:instrText>enter</w:instrText>
      </w:r>
      <w:r w:rsidR="00E974B2" w:rsidRPr="006C476A">
        <w:rPr>
          <w:lang w:eastAsia="ru-RU"/>
        </w:rPr>
        <w:instrText xml:space="preserve"> </w:instrText>
      </w:r>
      <w:r w:rsidR="00E974B2">
        <w:rPr>
          <w:lang w:val="en-US" w:eastAsia="ru-RU"/>
        </w:rPr>
        <w:instrText>clinical</w:instrText>
      </w:r>
      <w:r w:rsidR="00E974B2" w:rsidRPr="006C476A">
        <w:rPr>
          <w:lang w:eastAsia="ru-RU"/>
        </w:rPr>
        <w:instrText xml:space="preserve"> </w:instrText>
      </w:r>
      <w:r w:rsidR="00E974B2">
        <w:rPr>
          <w:lang w:val="en-US" w:eastAsia="ru-RU"/>
        </w:rPr>
        <w:instrText>practice</w:instrText>
      </w:r>
      <w:r w:rsidR="00E974B2" w:rsidRPr="006C476A">
        <w:rPr>
          <w:lang w:eastAsia="ru-RU"/>
        </w:rPr>
        <w:instrText xml:space="preserve"> </w:instrText>
      </w:r>
      <w:r w:rsidR="00E974B2">
        <w:rPr>
          <w:lang w:val="en-US" w:eastAsia="ru-RU"/>
        </w:rPr>
        <w:instrText>for</w:instrText>
      </w:r>
      <w:r w:rsidR="00E974B2" w:rsidRPr="006C476A">
        <w:rPr>
          <w:lang w:eastAsia="ru-RU"/>
        </w:rPr>
        <w:instrText xml:space="preserve"> </w:instrText>
      </w:r>
      <w:r w:rsidR="00E974B2">
        <w:rPr>
          <w:lang w:val="en-US" w:eastAsia="ru-RU"/>
        </w:rPr>
        <w:instrText>the</w:instrText>
      </w:r>
      <w:r w:rsidR="00E974B2" w:rsidRPr="006C476A">
        <w:rPr>
          <w:lang w:eastAsia="ru-RU"/>
        </w:rPr>
        <w:instrText xml:space="preserve"> </w:instrText>
      </w:r>
      <w:r w:rsidR="00E974B2">
        <w:rPr>
          <w:lang w:val="en-US" w:eastAsia="ru-RU"/>
        </w:rPr>
        <w:instrText>treatment</w:instrText>
      </w:r>
      <w:r w:rsidR="00E974B2" w:rsidRPr="006C476A">
        <w:rPr>
          <w:lang w:eastAsia="ru-RU"/>
        </w:rPr>
        <w:instrText xml:space="preserve"> </w:instrText>
      </w:r>
      <w:r w:rsidR="00E974B2">
        <w:rPr>
          <w:lang w:val="en-US" w:eastAsia="ru-RU"/>
        </w:rPr>
        <w:instrText>of</w:instrText>
      </w:r>
      <w:r w:rsidR="00E974B2" w:rsidRPr="006C476A">
        <w:rPr>
          <w:lang w:eastAsia="ru-RU"/>
        </w:rPr>
        <w:instrText xml:space="preserve"> </w:instrText>
      </w:r>
      <w:r w:rsidR="00E974B2">
        <w:rPr>
          <w:lang w:val="en-US" w:eastAsia="ru-RU"/>
        </w:rPr>
        <w:instrText>cancer</w:instrText>
      </w:r>
      <w:r w:rsidR="00E974B2" w:rsidRPr="006C476A">
        <w:rPr>
          <w:lang w:eastAsia="ru-RU"/>
        </w:rPr>
        <w:instrText xml:space="preserve">. </w:instrText>
      </w:r>
      <w:r w:rsidR="00E974B2">
        <w:rPr>
          <w:lang w:val="en-US" w:eastAsia="ru-RU"/>
        </w:rPr>
        <w:instrText>As</w:instrText>
      </w:r>
      <w:r w:rsidR="00E974B2" w:rsidRPr="006C476A">
        <w:rPr>
          <w:lang w:eastAsia="ru-RU"/>
        </w:rPr>
        <w:instrText xml:space="preserve"> </w:instrText>
      </w:r>
      <w:r w:rsidR="00E974B2">
        <w:rPr>
          <w:lang w:val="en-US" w:eastAsia="ru-RU"/>
        </w:rPr>
        <w:instrText>monotherapy</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in</w:instrText>
      </w:r>
      <w:r w:rsidR="00E974B2" w:rsidRPr="006C476A">
        <w:rPr>
          <w:lang w:eastAsia="ru-RU"/>
        </w:rPr>
        <w:instrText xml:space="preserve"> </w:instrText>
      </w:r>
      <w:r w:rsidR="00E974B2">
        <w:rPr>
          <w:lang w:val="en-US" w:eastAsia="ru-RU"/>
        </w:rPr>
        <w:instrText>combination</w:instrText>
      </w:r>
      <w:r w:rsidR="00E974B2" w:rsidRPr="006C476A">
        <w:rPr>
          <w:lang w:eastAsia="ru-RU"/>
        </w:rPr>
        <w:instrText xml:space="preserve"> </w:instrText>
      </w:r>
      <w:r w:rsidR="00E974B2">
        <w:rPr>
          <w:lang w:val="en-US" w:eastAsia="ru-RU"/>
        </w:rPr>
        <w:instrText>with</w:instrText>
      </w:r>
      <w:r w:rsidR="00E974B2" w:rsidRPr="006C476A">
        <w:rPr>
          <w:lang w:eastAsia="ru-RU"/>
        </w:rPr>
        <w:instrText xml:space="preserve"> </w:instrText>
      </w:r>
      <w:r w:rsidR="00E974B2">
        <w:rPr>
          <w:lang w:val="en-US" w:eastAsia="ru-RU"/>
        </w:rPr>
        <w:instrText>chemotherapy</w:instrText>
      </w:r>
      <w:r w:rsidR="00E974B2" w:rsidRPr="006C476A">
        <w:rPr>
          <w:lang w:eastAsia="ru-RU"/>
        </w:rPr>
        <w:instrText xml:space="preserve">, </w:instrText>
      </w:r>
      <w:r w:rsidR="00E974B2">
        <w:rPr>
          <w:lang w:val="en-US" w:eastAsia="ru-RU"/>
        </w:rPr>
        <w:instrText>rituximab</w:instrText>
      </w:r>
      <w:r w:rsidR="00E974B2" w:rsidRPr="006C476A">
        <w:rPr>
          <w:lang w:eastAsia="ru-RU"/>
        </w:rPr>
        <w:instrText xml:space="preserve"> </w:instrText>
      </w:r>
      <w:r w:rsidR="00E974B2">
        <w:rPr>
          <w:lang w:val="en-US" w:eastAsia="ru-RU"/>
        </w:rPr>
        <w:instrText>has</w:instrText>
      </w:r>
      <w:r w:rsidR="00E974B2" w:rsidRPr="006C476A">
        <w:rPr>
          <w:lang w:eastAsia="ru-RU"/>
        </w:rPr>
        <w:instrText xml:space="preserve"> </w:instrText>
      </w:r>
      <w:r w:rsidR="00E974B2">
        <w:rPr>
          <w:lang w:val="en-US" w:eastAsia="ru-RU"/>
        </w:rPr>
        <w:instrText>been</w:instrText>
      </w:r>
      <w:r w:rsidR="00E974B2" w:rsidRPr="006C476A">
        <w:rPr>
          <w:lang w:eastAsia="ru-RU"/>
        </w:rPr>
        <w:instrText xml:space="preserve"> </w:instrText>
      </w:r>
      <w:r w:rsidR="00E974B2">
        <w:rPr>
          <w:lang w:val="en-US" w:eastAsia="ru-RU"/>
        </w:rPr>
        <w:instrText>shown</w:instrText>
      </w:r>
      <w:r w:rsidR="00E974B2" w:rsidRPr="006C476A">
        <w:rPr>
          <w:lang w:eastAsia="ru-RU"/>
        </w:rPr>
        <w:instrText xml:space="preserve"> </w:instrText>
      </w:r>
      <w:r w:rsidR="00E974B2">
        <w:rPr>
          <w:lang w:val="en-US" w:eastAsia="ru-RU"/>
        </w:rPr>
        <w:instrText>to</w:instrText>
      </w:r>
      <w:r w:rsidR="00E974B2" w:rsidRPr="006C476A">
        <w:rPr>
          <w:lang w:eastAsia="ru-RU"/>
        </w:rPr>
        <w:instrText xml:space="preserve"> </w:instrText>
      </w:r>
      <w:r w:rsidR="00E974B2">
        <w:rPr>
          <w:lang w:val="en-US" w:eastAsia="ru-RU"/>
        </w:rPr>
        <w:instrText>prolong</w:instrText>
      </w:r>
      <w:r w:rsidR="00E974B2" w:rsidRPr="006C476A">
        <w:rPr>
          <w:lang w:eastAsia="ru-RU"/>
        </w:rPr>
        <w:instrText xml:space="preserve"> </w:instrText>
      </w:r>
      <w:r w:rsidR="00E974B2">
        <w:rPr>
          <w:lang w:val="en-US" w:eastAsia="ru-RU"/>
        </w:rPr>
        <w:instrText>progression</w:instrText>
      </w:r>
      <w:r w:rsidR="00E974B2" w:rsidRPr="006C476A">
        <w:rPr>
          <w:lang w:eastAsia="ru-RU"/>
        </w:rPr>
        <w:instrText>-</w:instrText>
      </w:r>
      <w:r w:rsidR="00E974B2">
        <w:rPr>
          <w:lang w:val="en-US" w:eastAsia="ru-RU"/>
        </w:rPr>
        <w:instrText>free</w:instrText>
      </w:r>
      <w:r w:rsidR="00E974B2" w:rsidRPr="006C476A">
        <w:rPr>
          <w:lang w:eastAsia="ru-RU"/>
        </w:rPr>
        <w:instrText xml:space="preserve"> </w:instrText>
      </w:r>
      <w:r w:rsidR="00E974B2">
        <w:rPr>
          <w:lang w:val="en-US" w:eastAsia="ru-RU"/>
        </w:rPr>
        <w:instrText>survival</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in</w:instrText>
      </w:r>
      <w:r w:rsidR="00E974B2" w:rsidRPr="006C476A">
        <w:rPr>
          <w:lang w:eastAsia="ru-RU"/>
        </w:rPr>
        <w:instrText xml:space="preserve"> </w:instrText>
      </w:r>
      <w:r w:rsidR="00E974B2">
        <w:rPr>
          <w:lang w:val="en-US" w:eastAsia="ru-RU"/>
        </w:rPr>
        <w:instrText>some</w:instrText>
      </w:r>
      <w:r w:rsidR="00E974B2" w:rsidRPr="006C476A">
        <w:rPr>
          <w:lang w:eastAsia="ru-RU"/>
        </w:rPr>
        <w:instrText xml:space="preserve"> </w:instrText>
      </w:r>
      <w:r w:rsidR="00E974B2">
        <w:rPr>
          <w:lang w:val="en-US" w:eastAsia="ru-RU"/>
        </w:rPr>
        <w:instrText>indications</w:instrText>
      </w:r>
      <w:r w:rsidR="00E974B2" w:rsidRPr="006C476A">
        <w:rPr>
          <w:lang w:eastAsia="ru-RU"/>
        </w:rPr>
        <w:instrText xml:space="preserve"> </w:instrText>
      </w:r>
      <w:r w:rsidR="00E974B2">
        <w:rPr>
          <w:lang w:val="en-US" w:eastAsia="ru-RU"/>
        </w:rPr>
        <w:instrText>overall</w:instrText>
      </w:r>
      <w:r w:rsidR="00E974B2" w:rsidRPr="006C476A">
        <w:rPr>
          <w:lang w:eastAsia="ru-RU"/>
        </w:rPr>
        <w:instrText xml:space="preserve"> </w:instrText>
      </w:r>
      <w:r w:rsidR="00E974B2">
        <w:rPr>
          <w:lang w:val="en-US" w:eastAsia="ru-RU"/>
        </w:rPr>
        <w:instrText>survival</w:instrText>
      </w:r>
      <w:r w:rsidR="00E974B2" w:rsidRPr="006C476A">
        <w:rPr>
          <w:lang w:eastAsia="ru-RU"/>
        </w:rPr>
        <w:instrText xml:space="preserve">, </w:instrText>
      </w:r>
      <w:r w:rsidR="00E974B2">
        <w:rPr>
          <w:lang w:val="en-US" w:eastAsia="ru-RU"/>
        </w:rPr>
        <w:instrText>in</w:instrText>
      </w:r>
      <w:r w:rsidR="00E974B2" w:rsidRPr="006C476A">
        <w:rPr>
          <w:lang w:eastAsia="ru-RU"/>
        </w:rPr>
        <w:instrText xml:space="preserve"> </w:instrText>
      </w:r>
      <w:r w:rsidR="00E974B2">
        <w:rPr>
          <w:lang w:val="en-US" w:eastAsia="ru-RU"/>
        </w:rPr>
        <w:instrText>patients</w:instrText>
      </w:r>
      <w:r w:rsidR="00E974B2" w:rsidRPr="006C476A">
        <w:rPr>
          <w:lang w:eastAsia="ru-RU"/>
        </w:rPr>
        <w:instrText xml:space="preserve"> </w:instrText>
      </w:r>
      <w:r w:rsidR="00E974B2">
        <w:rPr>
          <w:lang w:val="en-US" w:eastAsia="ru-RU"/>
        </w:rPr>
        <w:instrText>with</w:instrText>
      </w:r>
      <w:r w:rsidR="00E974B2" w:rsidRPr="006C476A">
        <w:rPr>
          <w:lang w:eastAsia="ru-RU"/>
        </w:rPr>
        <w:instrText xml:space="preserve"> </w:instrText>
      </w:r>
      <w:r w:rsidR="00E974B2">
        <w:rPr>
          <w:lang w:val="en-US" w:eastAsia="ru-RU"/>
        </w:rPr>
        <w:instrText>various</w:instrText>
      </w:r>
      <w:r w:rsidR="00E974B2" w:rsidRPr="006C476A">
        <w:rPr>
          <w:lang w:eastAsia="ru-RU"/>
        </w:rPr>
        <w:instrText xml:space="preserve"> </w:instrText>
      </w:r>
      <w:r w:rsidR="00E974B2">
        <w:rPr>
          <w:lang w:val="en-US" w:eastAsia="ru-RU"/>
        </w:rPr>
        <w:instrText>B</w:instrText>
      </w:r>
      <w:r w:rsidR="00E974B2" w:rsidRPr="006C476A">
        <w:rPr>
          <w:lang w:eastAsia="ru-RU"/>
        </w:rPr>
        <w:instrText>-</w:instrText>
      </w:r>
      <w:r w:rsidR="00E974B2">
        <w:rPr>
          <w:lang w:val="en-US" w:eastAsia="ru-RU"/>
        </w:rPr>
        <w:instrText>cell</w:instrText>
      </w:r>
      <w:r w:rsidR="00E974B2" w:rsidRPr="006C476A">
        <w:rPr>
          <w:lang w:eastAsia="ru-RU"/>
        </w:rPr>
        <w:instrText xml:space="preserve"> </w:instrText>
      </w:r>
      <w:r w:rsidR="00E974B2">
        <w:rPr>
          <w:lang w:val="en-US" w:eastAsia="ru-RU"/>
        </w:rPr>
        <w:instrText>malignancies</w:instrText>
      </w:r>
      <w:r w:rsidR="00E974B2" w:rsidRPr="006C476A">
        <w:rPr>
          <w:lang w:eastAsia="ru-RU"/>
        </w:rPr>
        <w:instrText xml:space="preserve">, </w:instrText>
      </w:r>
      <w:r w:rsidR="00E974B2">
        <w:rPr>
          <w:lang w:val="en-US" w:eastAsia="ru-RU"/>
        </w:rPr>
        <w:instrText>while</w:instrText>
      </w:r>
      <w:r w:rsidR="00E974B2" w:rsidRPr="006C476A">
        <w:rPr>
          <w:lang w:eastAsia="ru-RU"/>
        </w:rPr>
        <w:instrText xml:space="preserve"> </w:instrText>
      </w:r>
      <w:r w:rsidR="00E974B2">
        <w:rPr>
          <w:lang w:val="en-US" w:eastAsia="ru-RU"/>
        </w:rPr>
        <w:instrText>having</w:instrText>
      </w:r>
      <w:r w:rsidR="00E974B2" w:rsidRPr="006C476A">
        <w:rPr>
          <w:lang w:eastAsia="ru-RU"/>
        </w:rPr>
        <w:instrText xml:space="preserve"> </w:instrText>
      </w:r>
      <w:r w:rsidR="00E974B2">
        <w:rPr>
          <w:lang w:val="en-US" w:eastAsia="ru-RU"/>
        </w:rPr>
        <w:instrText>a</w:instrText>
      </w:r>
      <w:r w:rsidR="00E974B2" w:rsidRPr="006C476A">
        <w:rPr>
          <w:lang w:eastAsia="ru-RU"/>
        </w:rPr>
        <w:instrText xml:space="preserve"> </w:instrText>
      </w:r>
      <w:r w:rsidR="00E974B2">
        <w:rPr>
          <w:lang w:val="en-US" w:eastAsia="ru-RU"/>
        </w:rPr>
        <w:instrText>well</w:instrText>
      </w:r>
      <w:r w:rsidR="00E974B2" w:rsidRPr="006C476A">
        <w:rPr>
          <w:lang w:eastAsia="ru-RU"/>
        </w:rPr>
        <w:instrText>-</w:instrText>
      </w:r>
      <w:r w:rsidR="00E974B2">
        <w:rPr>
          <w:lang w:val="en-US" w:eastAsia="ru-RU"/>
        </w:rPr>
        <w:instrText>established</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manageable</w:instrText>
      </w:r>
      <w:r w:rsidR="00E974B2" w:rsidRPr="006C476A">
        <w:rPr>
          <w:lang w:eastAsia="ru-RU"/>
        </w:rPr>
        <w:instrText xml:space="preserve"> </w:instrText>
      </w:r>
      <w:r w:rsidR="00E974B2">
        <w:rPr>
          <w:lang w:val="en-US" w:eastAsia="ru-RU"/>
        </w:rPr>
        <w:instrText>safety</w:instrText>
      </w:r>
      <w:r w:rsidR="00E974B2" w:rsidRPr="006C476A">
        <w:rPr>
          <w:lang w:eastAsia="ru-RU"/>
        </w:rPr>
        <w:instrText xml:space="preserve"> </w:instrText>
      </w:r>
      <w:r w:rsidR="00E974B2">
        <w:rPr>
          <w:lang w:val="en-US" w:eastAsia="ru-RU"/>
        </w:rPr>
        <w:instrText>profile</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a</w:instrText>
      </w:r>
      <w:r w:rsidR="00E974B2" w:rsidRPr="006C476A">
        <w:rPr>
          <w:lang w:eastAsia="ru-RU"/>
        </w:rPr>
        <w:instrText xml:space="preserve"> </w:instrText>
      </w:r>
      <w:r w:rsidR="00E974B2">
        <w:rPr>
          <w:lang w:val="en-US" w:eastAsia="ru-RU"/>
        </w:rPr>
        <w:instrText>wide</w:instrText>
      </w:r>
      <w:r w:rsidR="00E974B2" w:rsidRPr="006C476A">
        <w:rPr>
          <w:lang w:eastAsia="ru-RU"/>
        </w:rPr>
        <w:instrText xml:space="preserve"> </w:instrText>
      </w:r>
      <w:r w:rsidR="00E974B2">
        <w:rPr>
          <w:lang w:val="en-US" w:eastAsia="ru-RU"/>
        </w:rPr>
        <w:instrText>therapeutic</w:instrText>
      </w:r>
      <w:r w:rsidR="00E974B2" w:rsidRPr="006C476A">
        <w:rPr>
          <w:lang w:eastAsia="ru-RU"/>
        </w:rPr>
        <w:instrText xml:space="preserve"> </w:instrText>
      </w:r>
      <w:r w:rsidR="00E974B2">
        <w:rPr>
          <w:lang w:val="en-US" w:eastAsia="ru-RU"/>
        </w:rPr>
        <w:instrText>window</w:instrText>
      </w:r>
      <w:r w:rsidR="00E974B2" w:rsidRPr="006C476A">
        <w:rPr>
          <w:lang w:eastAsia="ru-RU"/>
        </w:rPr>
        <w:instrText xml:space="preserve">. </w:instrText>
      </w:r>
      <w:r w:rsidR="00E974B2">
        <w:rPr>
          <w:lang w:val="en-US" w:eastAsia="ru-RU"/>
        </w:rPr>
        <w:instrText>As</w:instrText>
      </w:r>
      <w:r w:rsidR="00E974B2" w:rsidRPr="006C476A">
        <w:rPr>
          <w:lang w:eastAsia="ru-RU"/>
        </w:rPr>
        <w:instrText xml:space="preserve"> </w:instrText>
      </w:r>
      <w:r w:rsidR="00E974B2">
        <w:rPr>
          <w:lang w:val="en-US" w:eastAsia="ru-RU"/>
        </w:rPr>
        <w:instrText>a</w:instrText>
      </w:r>
      <w:r w:rsidR="00E974B2" w:rsidRPr="006C476A">
        <w:rPr>
          <w:lang w:eastAsia="ru-RU"/>
        </w:rPr>
        <w:instrText xml:space="preserve"> </w:instrText>
      </w:r>
      <w:r w:rsidR="00E974B2">
        <w:rPr>
          <w:lang w:val="en-US" w:eastAsia="ru-RU"/>
        </w:rPr>
        <w:instrText>result</w:instrText>
      </w:r>
      <w:r w:rsidR="00E974B2" w:rsidRPr="006C476A">
        <w:rPr>
          <w:lang w:eastAsia="ru-RU"/>
        </w:rPr>
        <w:instrText xml:space="preserve">, </w:instrText>
      </w:r>
      <w:r w:rsidR="00E974B2">
        <w:rPr>
          <w:lang w:val="en-US" w:eastAsia="ru-RU"/>
        </w:rPr>
        <w:instrText>rituximab</w:instrText>
      </w:r>
      <w:r w:rsidR="00E974B2" w:rsidRPr="006C476A">
        <w:rPr>
          <w:lang w:eastAsia="ru-RU"/>
        </w:rPr>
        <w:instrText xml:space="preserve"> </w:instrText>
      </w:r>
      <w:r w:rsidR="00E974B2">
        <w:rPr>
          <w:lang w:val="en-US" w:eastAsia="ru-RU"/>
        </w:rPr>
        <w:instrText>is</w:instrText>
      </w:r>
      <w:r w:rsidR="00E974B2" w:rsidRPr="006C476A">
        <w:rPr>
          <w:lang w:eastAsia="ru-RU"/>
        </w:rPr>
        <w:instrText xml:space="preserve"> </w:instrText>
      </w:r>
      <w:r w:rsidR="00E974B2">
        <w:rPr>
          <w:lang w:val="en-US" w:eastAsia="ru-RU"/>
        </w:rPr>
        <w:instrText>considered</w:instrText>
      </w:r>
      <w:r w:rsidR="00E974B2" w:rsidRPr="006C476A">
        <w:rPr>
          <w:lang w:eastAsia="ru-RU"/>
        </w:rPr>
        <w:instrText xml:space="preserve"> </w:instrText>
      </w:r>
      <w:r w:rsidR="00E974B2">
        <w:rPr>
          <w:lang w:val="en-US" w:eastAsia="ru-RU"/>
        </w:rPr>
        <w:instrText>to</w:instrText>
      </w:r>
      <w:r w:rsidR="00E974B2" w:rsidRPr="006C476A">
        <w:rPr>
          <w:lang w:eastAsia="ru-RU"/>
        </w:rPr>
        <w:instrText xml:space="preserve"> </w:instrText>
      </w:r>
      <w:r w:rsidR="00E974B2">
        <w:rPr>
          <w:lang w:val="en-US" w:eastAsia="ru-RU"/>
        </w:rPr>
        <w:instrText>have</w:instrText>
      </w:r>
      <w:r w:rsidR="00E974B2" w:rsidRPr="006C476A">
        <w:rPr>
          <w:lang w:eastAsia="ru-RU"/>
        </w:rPr>
        <w:instrText xml:space="preserve"> </w:instrText>
      </w:r>
      <w:r w:rsidR="00E974B2">
        <w:rPr>
          <w:lang w:val="en-US" w:eastAsia="ru-RU"/>
        </w:rPr>
        <w:instrText>revolutionized</w:instrText>
      </w:r>
      <w:r w:rsidR="00E974B2" w:rsidRPr="006C476A">
        <w:rPr>
          <w:lang w:eastAsia="ru-RU"/>
        </w:rPr>
        <w:instrText xml:space="preserve"> </w:instrText>
      </w:r>
      <w:r w:rsidR="00E974B2">
        <w:rPr>
          <w:lang w:val="en-US" w:eastAsia="ru-RU"/>
        </w:rPr>
        <w:instrText>treatment</w:instrText>
      </w:r>
      <w:r w:rsidR="00E974B2" w:rsidRPr="006C476A">
        <w:rPr>
          <w:lang w:eastAsia="ru-RU"/>
        </w:rPr>
        <w:instrText xml:space="preserve"> </w:instrText>
      </w:r>
      <w:r w:rsidR="00E974B2">
        <w:rPr>
          <w:lang w:val="en-US" w:eastAsia="ru-RU"/>
        </w:rPr>
        <w:instrText>practices</w:instrText>
      </w:r>
      <w:r w:rsidR="00E974B2" w:rsidRPr="006C476A">
        <w:rPr>
          <w:lang w:eastAsia="ru-RU"/>
        </w:rPr>
        <w:instrText xml:space="preserve"> </w:instrText>
      </w:r>
      <w:r w:rsidR="00E974B2">
        <w:rPr>
          <w:lang w:val="en-US" w:eastAsia="ru-RU"/>
        </w:rPr>
        <w:instrText>for</w:instrText>
      </w:r>
      <w:r w:rsidR="00E974B2" w:rsidRPr="006C476A">
        <w:rPr>
          <w:lang w:eastAsia="ru-RU"/>
        </w:rPr>
        <w:instrText xml:space="preserve"> </w:instrText>
      </w:r>
      <w:r w:rsidR="00E974B2">
        <w:rPr>
          <w:lang w:val="en-US" w:eastAsia="ru-RU"/>
        </w:rPr>
        <w:instrText>patients</w:instrText>
      </w:r>
      <w:r w:rsidR="00E974B2" w:rsidRPr="006C476A">
        <w:rPr>
          <w:lang w:eastAsia="ru-RU"/>
        </w:rPr>
        <w:instrText xml:space="preserve"> </w:instrText>
      </w:r>
      <w:r w:rsidR="00E974B2">
        <w:rPr>
          <w:lang w:val="en-US" w:eastAsia="ru-RU"/>
        </w:rPr>
        <w:instrText>with</w:instrText>
      </w:r>
      <w:r w:rsidR="00E974B2" w:rsidRPr="006C476A">
        <w:rPr>
          <w:lang w:eastAsia="ru-RU"/>
        </w:rPr>
        <w:instrText xml:space="preserve"> </w:instrText>
      </w:r>
      <w:r w:rsidR="00E974B2">
        <w:rPr>
          <w:lang w:val="en-US" w:eastAsia="ru-RU"/>
        </w:rPr>
        <w:instrText>B</w:instrText>
      </w:r>
      <w:r w:rsidR="00E974B2" w:rsidRPr="006C476A">
        <w:rPr>
          <w:lang w:eastAsia="ru-RU"/>
        </w:rPr>
        <w:instrText>-</w:instrText>
      </w:r>
      <w:r w:rsidR="00E974B2">
        <w:rPr>
          <w:lang w:val="en-US" w:eastAsia="ru-RU"/>
        </w:rPr>
        <w:instrText>cell</w:instrText>
      </w:r>
      <w:r w:rsidR="00E974B2" w:rsidRPr="006C476A">
        <w:rPr>
          <w:lang w:eastAsia="ru-RU"/>
        </w:rPr>
        <w:instrText xml:space="preserve"> </w:instrText>
      </w:r>
      <w:r w:rsidR="00E974B2">
        <w:rPr>
          <w:lang w:val="en-US" w:eastAsia="ru-RU"/>
        </w:rPr>
        <w:instrText>malignancies</w:instrText>
      </w:r>
      <w:r w:rsidR="00E974B2" w:rsidRPr="006C476A">
        <w:rPr>
          <w:lang w:eastAsia="ru-RU"/>
        </w:rPr>
        <w:instrText xml:space="preserve">. </w:instrText>
      </w:r>
      <w:r w:rsidR="00E974B2">
        <w:rPr>
          <w:lang w:val="en-US" w:eastAsia="ru-RU"/>
        </w:rPr>
        <w:instrText>A</w:instrText>
      </w:r>
      <w:r w:rsidR="00E974B2" w:rsidRPr="006C476A">
        <w:rPr>
          <w:lang w:eastAsia="ru-RU"/>
        </w:rPr>
        <w:instrText xml:space="preserve"> </w:instrText>
      </w:r>
      <w:r w:rsidR="00E974B2">
        <w:rPr>
          <w:lang w:val="en-US" w:eastAsia="ru-RU"/>
        </w:rPr>
        <w:instrText>subcutaneous</w:instrText>
      </w:r>
      <w:r w:rsidR="00E974B2" w:rsidRPr="006C476A">
        <w:rPr>
          <w:lang w:eastAsia="ru-RU"/>
        </w:rPr>
        <w:instrText xml:space="preserve"> (</w:instrText>
      </w:r>
      <w:r w:rsidR="00E974B2">
        <w:rPr>
          <w:lang w:val="en-US" w:eastAsia="ru-RU"/>
        </w:rPr>
        <w:instrText>SC</w:instrText>
      </w:r>
      <w:r w:rsidR="00E974B2" w:rsidRPr="006C476A">
        <w:rPr>
          <w:lang w:eastAsia="ru-RU"/>
        </w:rPr>
        <w:instrText xml:space="preserve">) </w:instrText>
      </w:r>
      <w:r w:rsidR="00E974B2">
        <w:rPr>
          <w:lang w:val="en-US" w:eastAsia="ru-RU"/>
        </w:rPr>
        <w:instrText>formulation</w:instrText>
      </w:r>
      <w:r w:rsidR="00E974B2" w:rsidRPr="006C476A">
        <w:rPr>
          <w:lang w:eastAsia="ru-RU"/>
        </w:rPr>
        <w:instrText xml:space="preserve"> </w:instrText>
      </w:r>
      <w:r w:rsidR="00E974B2">
        <w:rPr>
          <w:lang w:val="en-US" w:eastAsia="ru-RU"/>
        </w:rPr>
        <w:instrText>of</w:instrText>
      </w:r>
      <w:r w:rsidR="00E974B2" w:rsidRPr="006C476A">
        <w:rPr>
          <w:lang w:eastAsia="ru-RU"/>
        </w:rPr>
        <w:instrText xml:space="preserve"> </w:instrText>
      </w:r>
      <w:r w:rsidR="00E974B2">
        <w:rPr>
          <w:lang w:val="en-US" w:eastAsia="ru-RU"/>
        </w:rPr>
        <w:instrText>rituximab</w:instrText>
      </w:r>
      <w:r w:rsidR="00E974B2" w:rsidRPr="006C476A">
        <w:rPr>
          <w:lang w:eastAsia="ru-RU"/>
        </w:rPr>
        <w:instrText xml:space="preserve"> </w:instrText>
      </w:r>
      <w:r w:rsidR="00E974B2">
        <w:rPr>
          <w:lang w:val="en-US" w:eastAsia="ru-RU"/>
        </w:rPr>
        <w:instrText>has</w:instrText>
      </w:r>
      <w:r w:rsidR="00E974B2" w:rsidRPr="006C476A">
        <w:rPr>
          <w:lang w:eastAsia="ru-RU"/>
        </w:rPr>
        <w:instrText xml:space="preserve"> </w:instrText>
      </w:r>
      <w:r w:rsidR="00E974B2">
        <w:rPr>
          <w:lang w:val="en-US" w:eastAsia="ru-RU"/>
        </w:rPr>
        <w:instrText>been</w:instrText>
      </w:r>
      <w:r w:rsidR="00E974B2" w:rsidRPr="006C476A">
        <w:rPr>
          <w:lang w:eastAsia="ru-RU"/>
        </w:rPr>
        <w:instrText xml:space="preserve"> </w:instrText>
      </w:r>
      <w:r w:rsidR="00E974B2">
        <w:rPr>
          <w:lang w:val="en-US" w:eastAsia="ru-RU"/>
        </w:rPr>
        <w:instrText>developed</w:instrText>
      </w:r>
      <w:r w:rsidR="00E974B2" w:rsidRPr="006C476A">
        <w:rPr>
          <w:lang w:eastAsia="ru-RU"/>
        </w:rPr>
        <w:instrText xml:space="preserve">, </w:instrText>
      </w:r>
      <w:r w:rsidR="00E974B2">
        <w:rPr>
          <w:lang w:val="en-US" w:eastAsia="ru-RU"/>
        </w:rPr>
        <w:instrText>comprising</w:instrText>
      </w:r>
      <w:r w:rsidR="00E974B2" w:rsidRPr="006C476A">
        <w:rPr>
          <w:lang w:eastAsia="ru-RU"/>
        </w:rPr>
        <w:instrText xml:space="preserve"> </w:instrText>
      </w:r>
      <w:r w:rsidR="00E974B2">
        <w:rPr>
          <w:lang w:val="en-US" w:eastAsia="ru-RU"/>
        </w:rPr>
        <w:instrText>the</w:instrText>
      </w:r>
      <w:r w:rsidR="00E974B2" w:rsidRPr="006C476A">
        <w:rPr>
          <w:lang w:eastAsia="ru-RU"/>
        </w:rPr>
        <w:instrText xml:space="preserve"> </w:instrText>
      </w:r>
      <w:r w:rsidR="00E974B2">
        <w:rPr>
          <w:lang w:val="en-US" w:eastAsia="ru-RU"/>
        </w:rPr>
        <w:instrText>same</w:instrText>
      </w:r>
      <w:r w:rsidR="00E974B2" w:rsidRPr="006C476A">
        <w:rPr>
          <w:lang w:eastAsia="ru-RU"/>
        </w:rPr>
        <w:instrText xml:space="preserve"> </w:instrText>
      </w:r>
      <w:r w:rsidR="00E974B2">
        <w:rPr>
          <w:lang w:val="en-US" w:eastAsia="ru-RU"/>
        </w:rPr>
        <w:instrText>monoclonal</w:instrText>
      </w:r>
      <w:r w:rsidR="00E974B2" w:rsidRPr="006C476A">
        <w:rPr>
          <w:lang w:eastAsia="ru-RU"/>
        </w:rPr>
        <w:instrText xml:space="preserve"> </w:instrText>
      </w:r>
      <w:r w:rsidR="00E974B2">
        <w:rPr>
          <w:lang w:val="en-US" w:eastAsia="ru-RU"/>
        </w:rPr>
        <w:instrText>antibody</w:instrText>
      </w:r>
      <w:r w:rsidR="00E974B2" w:rsidRPr="006C476A">
        <w:rPr>
          <w:lang w:eastAsia="ru-RU"/>
        </w:rPr>
        <w:instrText xml:space="preserve"> </w:instrText>
      </w:r>
      <w:r w:rsidR="00E974B2">
        <w:rPr>
          <w:lang w:val="en-US" w:eastAsia="ru-RU"/>
        </w:rPr>
        <w:instrText>as</w:instrText>
      </w:r>
      <w:r w:rsidR="00E974B2" w:rsidRPr="006C476A">
        <w:rPr>
          <w:lang w:eastAsia="ru-RU"/>
        </w:rPr>
        <w:instrText xml:space="preserve"> </w:instrText>
      </w:r>
      <w:r w:rsidR="00E974B2">
        <w:rPr>
          <w:lang w:val="en-US" w:eastAsia="ru-RU"/>
        </w:rPr>
        <w:instrText>the</w:instrText>
      </w:r>
      <w:r w:rsidR="00E974B2" w:rsidRPr="006C476A">
        <w:rPr>
          <w:lang w:eastAsia="ru-RU"/>
        </w:rPr>
        <w:instrText xml:space="preserve"> </w:instrText>
      </w:r>
      <w:r w:rsidR="00E974B2">
        <w:rPr>
          <w:lang w:val="en-US" w:eastAsia="ru-RU"/>
        </w:rPr>
        <w:instrText>originally</w:instrText>
      </w:r>
      <w:r w:rsidR="00E974B2" w:rsidRPr="006C476A">
        <w:rPr>
          <w:lang w:eastAsia="ru-RU"/>
        </w:rPr>
        <w:instrText xml:space="preserve"> </w:instrText>
      </w:r>
      <w:r w:rsidR="00E974B2">
        <w:rPr>
          <w:lang w:val="en-US" w:eastAsia="ru-RU"/>
        </w:rPr>
        <w:instrText>marketed</w:instrText>
      </w:r>
      <w:r w:rsidR="00E974B2" w:rsidRPr="006C476A">
        <w:rPr>
          <w:lang w:eastAsia="ru-RU"/>
        </w:rPr>
        <w:instrText xml:space="preserve"> </w:instrText>
      </w:r>
      <w:r w:rsidR="00E974B2">
        <w:rPr>
          <w:lang w:val="en-US" w:eastAsia="ru-RU"/>
        </w:rPr>
        <w:instrText>formulation</w:instrText>
      </w:r>
      <w:r w:rsidR="00E974B2" w:rsidRPr="006C476A">
        <w:rPr>
          <w:lang w:eastAsia="ru-RU"/>
        </w:rPr>
        <w:instrText xml:space="preserve"> [</w:instrText>
      </w:r>
      <w:r w:rsidR="00E974B2">
        <w:rPr>
          <w:lang w:val="en-US" w:eastAsia="ru-RU"/>
        </w:rPr>
        <w:instrText>rituximab</w:instrText>
      </w:r>
      <w:r w:rsidR="00E974B2" w:rsidRPr="006C476A">
        <w:rPr>
          <w:lang w:eastAsia="ru-RU"/>
        </w:rPr>
        <w:instrText xml:space="preserve"> </w:instrText>
      </w:r>
      <w:r w:rsidR="00E974B2">
        <w:rPr>
          <w:lang w:val="en-US" w:eastAsia="ru-RU"/>
        </w:rPr>
        <w:instrText>concentrate</w:instrText>
      </w:r>
      <w:r w:rsidR="00E974B2" w:rsidRPr="006C476A">
        <w:rPr>
          <w:lang w:eastAsia="ru-RU"/>
        </w:rPr>
        <w:instrText xml:space="preserve"> </w:instrText>
      </w:r>
      <w:r w:rsidR="00E974B2">
        <w:rPr>
          <w:lang w:val="en-US" w:eastAsia="ru-RU"/>
        </w:rPr>
        <w:instrText>for</w:instrText>
      </w:r>
      <w:r w:rsidR="00E974B2" w:rsidRPr="006C476A">
        <w:rPr>
          <w:lang w:eastAsia="ru-RU"/>
        </w:rPr>
        <w:instrText xml:space="preserve"> </w:instrText>
      </w:r>
      <w:r w:rsidR="00E974B2">
        <w:rPr>
          <w:lang w:val="en-US" w:eastAsia="ru-RU"/>
        </w:rPr>
        <w:instrText>solution</w:instrText>
      </w:r>
      <w:r w:rsidR="00E974B2" w:rsidRPr="006C476A">
        <w:rPr>
          <w:lang w:eastAsia="ru-RU"/>
        </w:rPr>
        <w:instrText xml:space="preserve"> </w:instrText>
      </w:r>
      <w:r w:rsidR="00E974B2">
        <w:rPr>
          <w:lang w:val="en-US" w:eastAsia="ru-RU"/>
        </w:rPr>
        <w:instrText>for</w:instrText>
      </w:r>
      <w:r w:rsidR="00E974B2" w:rsidRPr="006C476A">
        <w:rPr>
          <w:lang w:eastAsia="ru-RU"/>
        </w:rPr>
        <w:instrText xml:space="preserve"> </w:instrText>
      </w:r>
      <w:r w:rsidR="00E974B2">
        <w:rPr>
          <w:lang w:val="en-US" w:eastAsia="ru-RU"/>
        </w:rPr>
        <w:instrText>intravenous</w:instrText>
      </w:r>
      <w:r w:rsidR="00E974B2" w:rsidRPr="006C476A">
        <w:rPr>
          <w:lang w:eastAsia="ru-RU"/>
        </w:rPr>
        <w:instrText xml:space="preserve"> (</w:instrText>
      </w:r>
      <w:r w:rsidR="00E974B2">
        <w:rPr>
          <w:lang w:val="en-US" w:eastAsia="ru-RU"/>
        </w:rPr>
        <w:instrText>IV</w:instrText>
      </w:r>
      <w:r w:rsidR="00E974B2" w:rsidRPr="006C476A">
        <w:rPr>
          <w:lang w:eastAsia="ru-RU"/>
        </w:rPr>
        <w:instrText xml:space="preserve">) </w:instrText>
      </w:r>
      <w:r w:rsidR="00E974B2">
        <w:rPr>
          <w:lang w:val="en-US" w:eastAsia="ru-RU"/>
        </w:rPr>
        <w:instrText>infusion</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has</w:instrText>
      </w:r>
      <w:r w:rsidR="00E974B2" w:rsidRPr="006C476A">
        <w:rPr>
          <w:lang w:eastAsia="ru-RU"/>
        </w:rPr>
        <w:instrText xml:space="preserve"> </w:instrText>
      </w:r>
      <w:r w:rsidR="00E974B2">
        <w:rPr>
          <w:lang w:val="en-US" w:eastAsia="ru-RU"/>
        </w:rPr>
        <w:instrText>undergone</w:instrText>
      </w:r>
      <w:r w:rsidR="00E974B2" w:rsidRPr="006C476A">
        <w:rPr>
          <w:lang w:eastAsia="ru-RU"/>
        </w:rPr>
        <w:instrText xml:space="preserve"> </w:instrText>
      </w:r>
      <w:r w:rsidR="00E974B2">
        <w:rPr>
          <w:lang w:val="en-US" w:eastAsia="ru-RU"/>
        </w:rPr>
        <w:instrText>a</w:instrText>
      </w:r>
      <w:r w:rsidR="00E974B2" w:rsidRPr="006C476A">
        <w:rPr>
          <w:lang w:eastAsia="ru-RU"/>
        </w:rPr>
        <w:instrText xml:space="preserve"> </w:instrText>
      </w:r>
      <w:r w:rsidR="00E974B2">
        <w:rPr>
          <w:lang w:val="en-US" w:eastAsia="ru-RU"/>
        </w:rPr>
        <w:instrText>detailed</w:instrText>
      </w:r>
      <w:r w:rsidR="00E974B2" w:rsidRPr="006C476A">
        <w:rPr>
          <w:lang w:eastAsia="ru-RU"/>
        </w:rPr>
        <w:instrText xml:space="preserve">, </w:instrText>
      </w:r>
      <w:r w:rsidR="00E974B2">
        <w:rPr>
          <w:lang w:val="en-US" w:eastAsia="ru-RU"/>
        </w:rPr>
        <w:instrText>sequential</w:instrText>
      </w:r>
      <w:r w:rsidR="00E974B2" w:rsidRPr="006C476A">
        <w:rPr>
          <w:lang w:eastAsia="ru-RU"/>
        </w:rPr>
        <w:instrText xml:space="preserve"> </w:instrText>
      </w:r>
      <w:r w:rsidR="00E974B2">
        <w:rPr>
          <w:lang w:val="en-US" w:eastAsia="ru-RU"/>
        </w:rPr>
        <w:instrText>clinical</w:instrText>
      </w:r>
      <w:r w:rsidR="00E974B2" w:rsidRPr="006C476A">
        <w:rPr>
          <w:lang w:eastAsia="ru-RU"/>
        </w:rPr>
        <w:instrText xml:space="preserve"> </w:instrText>
      </w:r>
      <w:r w:rsidR="00E974B2">
        <w:rPr>
          <w:lang w:val="en-US" w:eastAsia="ru-RU"/>
        </w:rPr>
        <w:instrText>development</w:instrText>
      </w:r>
      <w:r w:rsidR="00E974B2" w:rsidRPr="006C476A">
        <w:rPr>
          <w:lang w:eastAsia="ru-RU"/>
        </w:rPr>
        <w:instrText xml:space="preserve"> </w:instrText>
      </w:r>
      <w:r w:rsidR="00E974B2">
        <w:rPr>
          <w:lang w:val="en-US" w:eastAsia="ru-RU"/>
        </w:rPr>
        <w:instrText>program</w:instrText>
      </w:r>
      <w:r w:rsidR="00E974B2" w:rsidRPr="006C476A">
        <w:rPr>
          <w:lang w:eastAsia="ru-RU"/>
        </w:rPr>
        <w:instrText xml:space="preserve">. </w:instrText>
      </w:r>
      <w:r w:rsidR="00E974B2">
        <w:rPr>
          <w:lang w:val="en-US" w:eastAsia="ru-RU"/>
        </w:rPr>
        <w:instrText>This</w:instrText>
      </w:r>
      <w:r w:rsidR="00E974B2" w:rsidRPr="006C476A">
        <w:rPr>
          <w:lang w:eastAsia="ru-RU"/>
        </w:rPr>
        <w:instrText xml:space="preserve"> </w:instrText>
      </w:r>
      <w:r w:rsidR="00E974B2">
        <w:rPr>
          <w:lang w:val="en-US" w:eastAsia="ru-RU"/>
        </w:rPr>
        <w:instrText>program</w:instrText>
      </w:r>
      <w:r w:rsidR="00E974B2" w:rsidRPr="006C476A">
        <w:rPr>
          <w:lang w:eastAsia="ru-RU"/>
        </w:rPr>
        <w:instrText xml:space="preserve"> </w:instrText>
      </w:r>
      <w:r w:rsidR="00E974B2">
        <w:rPr>
          <w:lang w:val="en-US" w:eastAsia="ru-RU"/>
        </w:rPr>
        <w:instrText>demonstrated</w:instrText>
      </w:r>
      <w:r w:rsidR="00E974B2" w:rsidRPr="006C476A">
        <w:rPr>
          <w:lang w:eastAsia="ru-RU"/>
        </w:rPr>
        <w:instrText xml:space="preserve"> </w:instrText>
      </w:r>
      <w:r w:rsidR="00E974B2">
        <w:rPr>
          <w:lang w:val="en-US" w:eastAsia="ru-RU"/>
        </w:rPr>
        <w:instrText>that</w:instrText>
      </w:r>
      <w:r w:rsidR="00E974B2" w:rsidRPr="006C476A">
        <w:rPr>
          <w:lang w:eastAsia="ru-RU"/>
        </w:rPr>
        <w:instrText xml:space="preserve">, </w:instrText>
      </w:r>
      <w:r w:rsidR="00E974B2">
        <w:rPr>
          <w:lang w:val="en-US" w:eastAsia="ru-RU"/>
        </w:rPr>
        <w:instrText>at</w:instrText>
      </w:r>
      <w:r w:rsidR="00E974B2" w:rsidRPr="006C476A">
        <w:rPr>
          <w:lang w:eastAsia="ru-RU"/>
        </w:rPr>
        <w:instrText xml:space="preserve"> </w:instrText>
      </w:r>
      <w:r w:rsidR="00E974B2">
        <w:rPr>
          <w:lang w:val="en-US" w:eastAsia="ru-RU"/>
        </w:rPr>
        <w:instrText>fixed</w:instrText>
      </w:r>
      <w:r w:rsidR="00E974B2" w:rsidRPr="006C476A">
        <w:rPr>
          <w:lang w:eastAsia="ru-RU"/>
        </w:rPr>
        <w:instrText xml:space="preserve"> </w:instrText>
      </w:r>
      <w:r w:rsidR="00E974B2">
        <w:rPr>
          <w:lang w:val="en-US" w:eastAsia="ru-RU"/>
        </w:rPr>
        <w:instrText>doses</w:instrText>
      </w:r>
      <w:r w:rsidR="00E974B2" w:rsidRPr="006C476A">
        <w:rPr>
          <w:lang w:eastAsia="ru-RU"/>
        </w:rPr>
        <w:instrText xml:space="preserve">, </w:instrText>
      </w:r>
      <w:r w:rsidR="00E974B2">
        <w:rPr>
          <w:lang w:val="en-US" w:eastAsia="ru-RU"/>
        </w:rPr>
        <w:instrText>rituximab</w:instrText>
      </w:r>
      <w:r w:rsidR="00E974B2" w:rsidRPr="006C476A">
        <w:rPr>
          <w:lang w:eastAsia="ru-RU"/>
        </w:rPr>
        <w:instrText xml:space="preserve"> </w:instrText>
      </w:r>
      <w:r w:rsidR="00E974B2">
        <w:rPr>
          <w:lang w:val="en-US" w:eastAsia="ru-RU"/>
        </w:rPr>
        <w:instrText>SC</w:instrText>
      </w:r>
      <w:r w:rsidR="00E974B2" w:rsidRPr="006C476A">
        <w:rPr>
          <w:lang w:eastAsia="ru-RU"/>
        </w:rPr>
        <w:instrText xml:space="preserve"> </w:instrText>
      </w:r>
      <w:r w:rsidR="00E974B2">
        <w:rPr>
          <w:lang w:val="en-US" w:eastAsia="ru-RU"/>
        </w:rPr>
        <w:instrText>achieves</w:instrText>
      </w:r>
      <w:r w:rsidR="00E974B2" w:rsidRPr="006C476A">
        <w:rPr>
          <w:lang w:eastAsia="ru-RU"/>
        </w:rPr>
        <w:instrText xml:space="preserve"> </w:instrText>
      </w:r>
      <w:r w:rsidR="00E974B2">
        <w:rPr>
          <w:lang w:val="en-US" w:eastAsia="ru-RU"/>
        </w:rPr>
        <w:instrText>non</w:instrText>
      </w:r>
      <w:r w:rsidR="00E974B2" w:rsidRPr="006C476A">
        <w:rPr>
          <w:lang w:eastAsia="ru-RU"/>
        </w:rPr>
        <w:instrText>-</w:instrText>
      </w:r>
      <w:r w:rsidR="00E974B2">
        <w:rPr>
          <w:lang w:val="en-US" w:eastAsia="ru-RU"/>
        </w:rPr>
        <w:instrText>inferior</w:instrText>
      </w:r>
      <w:r w:rsidR="00E974B2" w:rsidRPr="006C476A">
        <w:rPr>
          <w:lang w:eastAsia="ru-RU"/>
        </w:rPr>
        <w:instrText xml:space="preserve"> </w:instrText>
      </w:r>
      <w:r w:rsidR="00E974B2">
        <w:rPr>
          <w:lang w:val="en-US" w:eastAsia="ru-RU"/>
        </w:rPr>
        <w:instrText>serum</w:instrText>
      </w:r>
      <w:r w:rsidR="00E974B2" w:rsidRPr="006C476A">
        <w:rPr>
          <w:lang w:eastAsia="ru-RU"/>
        </w:rPr>
        <w:instrText xml:space="preserve"> </w:instrText>
      </w:r>
      <w:r w:rsidR="00E974B2">
        <w:rPr>
          <w:lang w:val="en-US" w:eastAsia="ru-RU"/>
        </w:rPr>
        <w:instrText>trough</w:instrText>
      </w:r>
      <w:r w:rsidR="00E974B2" w:rsidRPr="006C476A">
        <w:rPr>
          <w:lang w:eastAsia="ru-RU"/>
        </w:rPr>
        <w:instrText xml:space="preserve"> </w:instrText>
      </w:r>
      <w:r w:rsidR="00E974B2">
        <w:rPr>
          <w:lang w:val="en-US" w:eastAsia="ru-RU"/>
        </w:rPr>
        <w:instrText>concentrations</w:instrText>
      </w:r>
      <w:r w:rsidR="00E974B2" w:rsidRPr="006C476A">
        <w:rPr>
          <w:lang w:eastAsia="ru-RU"/>
        </w:rPr>
        <w:instrText xml:space="preserve"> </w:instrText>
      </w:r>
      <w:r w:rsidR="00E974B2">
        <w:rPr>
          <w:lang w:val="en-US" w:eastAsia="ru-RU"/>
        </w:rPr>
        <w:instrText>in</w:instrText>
      </w:r>
      <w:r w:rsidR="00E974B2" w:rsidRPr="006C476A">
        <w:rPr>
          <w:lang w:eastAsia="ru-RU"/>
        </w:rPr>
        <w:instrText xml:space="preserve"> </w:instrText>
      </w:r>
      <w:r w:rsidR="00E974B2">
        <w:rPr>
          <w:lang w:val="en-US" w:eastAsia="ru-RU"/>
        </w:rPr>
        <w:instrText>patients</w:instrText>
      </w:r>
      <w:r w:rsidR="00E974B2" w:rsidRPr="006C476A">
        <w:rPr>
          <w:lang w:eastAsia="ru-RU"/>
        </w:rPr>
        <w:instrText xml:space="preserve"> </w:instrText>
      </w:r>
      <w:r w:rsidR="00E974B2">
        <w:rPr>
          <w:lang w:val="en-US" w:eastAsia="ru-RU"/>
        </w:rPr>
        <w:instrText>with</w:instrText>
      </w:r>
      <w:r w:rsidR="00E974B2" w:rsidRPr="006C476A">
        <w:rPr>
          <w:lang w:eastAsia="ru-RU"/>
        </w:rPr>
        <w:instrText xml:space="preserve"> </w:instrText>
      </w:r>
      <w:r w:rsidR="00E974B2">
        <w:rPr>
          <w:lang w:val="en-US" w:eastAsia="ru-RU"/>
        </w:rPr>
        <w:instrText>non</w:instrText>
      </w:r>
      <w:r w:rsidR="00E974B2" w:rsidRPr="006C476A">
        <w:rPr>
          <w:lang w:eastAsia="ru-RU"/>
        </w:rPr>
        <w:instrText>-</w:instrText>
      </w:r>
      <w:r w:rsidR="00E974B2">
        <w:rPr>
          <w:lang w:val="en-US" w:eastAsia="ru-RU"/>
        </w:rPr>
        <w:instrText>Hodgkin</w:instrText>
      </w:r>
      <w:r w:rsidR="00E974B2" w:rsidRPr="006C476A">
        <w:rPr>
          <w:lang w:eastAsia="ru-RU"/>
        </w:rPr>
        <w:instrText xml:space="preserve"> </w:instrText>
      </w:r>
      <w:r w:rsidR="00E974B2">
        <w:rPr>
          <w:lang w:val="en-US" w:eastAsia="ru-RU"/>
        </w:rPr>
        <w:instrText>lymphoma</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chronic</w:instrText>
      </w:r>
      <w:r w:rsidR="00E974B2" w:rsidRPr="006C476A">
        <w:rPr>
          <w:lang w:eastAsia="ru-RU"/>
        </w:rPr>
        <w:instrText xml:space="preserve"> </w:instrText>
      </w:r>
      <w:r w:rsidR="00E974B2">
        <w:rPr>
          <w:lang w:val="en-US" w:eastAsia="ru-RU"/>
        </w:rPr>
        <w:instrText>lymphocytic</w:instrText>
      </w:r>
      <w:r w:rsidR="00E974B2" w:rsidRPr="006C476A">
        <w:rPr>
          <w:lang w:eastAsia="ru-RU"/>
        </w:rPr>
        <w:instrText xml:space="preserve"> </w:instrText>
      </w:r>
      <w:r w:rsidR="00E974B2">
        <w:rPr>
          <w:lang w:val="en-US" w:eastAsia="ru-RU"/>
        </w:rPr>
        <w:instrText>leukemia</w:instrText>
      </w:r>
      <w:r w:rsidR="00E974B2" w:rsidRPr="006C476A">
        <w:rPr>
          <w:lang w:eastAsia="ru-RU"/>
        </w:rPr>
        <w:instrText xml:space="preserve">, </w:instrText>
      </w:r>
      <w:r w:rsidR="00E974B2">
        <w:rPr>
          <w:lang w:val="en-US" w:eastAsia="ru-RU"/>
        </w:rPr>
        <w:instrText>with</w:instrText>
      </w:r>
      <w:r w:rsidR="00E974B2" w:rsidRPr="006C476A">
        <w:rPr>
          <w:lang w:eastAsia="ru-RU"/>
        </w:rPr>
        <w:instrText xml:space="preserve"> </w:instrText>
      </w:r>
      <w:r w:rsidR="00E974B2">
        <w:rPr>
          <w:lang w:val="en-US" w:eastAsia="ru-RU"/>
        </w:rPr>
        <w:instrText>comparable</w:instrText>
      </w:r>
      <w:r w:rsidR="00E974B2" w:rsidRPr="006C476A">
        <w:rPr>
          <w:lang w:eastAsia="ru-RU"/>
        </w:rPr>
        <w:instrText xml:space="preserve"> </w:instrText>
      </w:r>
      <w:r w:rsidR="00E974B2">
        <w:rPr>
          <w:lang w:val="en-US" w:eastAsia="ru-RU"/>
        </w:rPr>
        <w:instrText>efficacy</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safety</w:instrText>
      </w:r>
      <w:r w:rsidR="00E974B2" w:rsidRPr="006C476A">
        <w:rPr>
          <w:lang w:eastAsia="ru-RU"/>
        </w:rPr>
        <w:instrText xml:space="preserve"> </w:instrText>
      </w:r>
      <w:r w:rsidR="00E974B2">
        <w:rPr>
          <w:lang w:val="en-US" w:eastAsia="ru-RU"/>
        </w:rPr>
        <w:instrText>relative</w:instrText>
      </w:r>
      <w:r w:rsidR="00E974B2" w:rsidRPr="006C476A">
        <w:rPr>
          <w:lang w:eastAsia="ru-RU"/>
        </w:rPr>
        <w:instrText xml:space="preserve"> </w:instrText>
      </w:r>
      <w:r w:rsidR="00E974B2">
        <w:rPr>
          <w:lang w:val="en-US" w:eastAsia="ru-RU"/>
        </w:rPr>
        <w:instrText>to</w:instrText>
      </w:r>
      <w:r w:rsidR="00E974B2" w:rsidRPr="006C476A">
        <w:rPr>
          <w:lang w:eastAsia="ru-RU"/>
        </w:rPr>
        <w:instrText xml:space="preserve"> </w:instrText>
      </w:r>
      <w:r w:rsidR="00E974B2">
        <w:rPr>
          <w:lang w:val="en-US" w:eastAsia="ru-RU"/>
        </w:rPr>
        <w:instrText>the</w:instrText>
      </w:r>
      <w:r w:rsidR="00E974B2" w:rsidRPr="006C476A">
        <w:rPr>
          <w:lang w:eastAsia="ru-RU"/>
        </w:rPr>
        <w:instrText xml:space="preserve"> </w:instrText>
      </w:r>
      <w:r w:rsidR="00E974B2">
        <w:rPr>
          <w:lang w:val="en-US" w:eastAsia="ru-RU"/>
        </w:rPr>
        <w:instrText>IV</w:instrText>
      </w:r>
      <w:r w:rsidR="00E974B2" w:rsidRPr="006C476A">
        <w:rPr>
          <w:lang w:eastAsia="ru-RU"/>
        </w:rPr>
        <w:instrText xml:space="preserve"> </w:instrText>
      </w:r>
      <w:r w:rsidR="00E974B2">
        <w:rPr>
          <w:lang w:val="en-US" w:eastAsia="ru-RU"/>
        </w:rPr>
        <w:instrText>formulation</w:instrText>
      </w:r>
      <w:r w:rsidR="00E974B2" w:rsidRPr="006C476A">
        <w:rPr>
          <w:lang w:eastAsia="ru-RU"/>
        </w:rPr>
        <w:instrText xml:space="preserve">. </w:instrText>
      </w:r>
      <w:r w:rsidR="00E974B2">
        <w:rPr>
          <w:lang w:val="en-US" w:eastAsia="ru-RU"/>
        </w:rPr>
        <w:instrText>The</w:instrText>
      </w:r>
      <w:r w:rsidR="00E974B2" w:rsidRPr="006C476A">
        <w:rPr>
          <w:lang w:eastAsia="ru-RU"/>
        </w:rPr>
        <w:instrText xml:space="preserve"> </w:instrText>
      </w:r>
      <w:r w:rsidR="00E974B2">
        <w:rPr>
          <w:lang w:val="en-US" w:eastAsia="ru-RU"/>
        </w:rPr>
        <w:instrText>added</w:instrText>
      </w:r>
      <w:r w:rsidR="00E974B2" w:rsidRPr="006C476A">
        <w:rPr>
          <w:lang w:eastAsia="ru-RU"/>
        </w:rPr>
        <w:instrText xml:space="preserve"> </w:instrText>
      </w:r>
      <w:r w:rsidR="00E974B2">
        <w:rPr>
          <w:lang w:val="en-US" w:eastAsia="ru-RU"/>
        </w:rPr>
        <w:instrText>benefit</w:instrText>
      </w:r>
      <w:r w:rsidR="00E974B2" w:rsidRPr="006C476A">
        <w:rPr>
          <w:lang w:eastAsia="ru-RU"/>
        </w:rPr>
        <w:instrText xml:space="preserve"> </w:instrText>
      </w:r>
      <w:r w:rsidR="00E974B2">
        <w:rPr>
          <w:lang w:val="en-US" w:eastAsia="ru-RU"/>
        </w:rPr>
        <w:instrText>of</w:instrText>
      </w:r>
      <w:r w:rsidR="00E974B2" w:rsidRPr="006C476A">
        <w:rPr>
          <w:lang w:eastAsia="ru-RU"/>
        </w:rPr>
        <w:instrText xml:space="preserve"> </w:instrText>
      </w:r>
      <w:r w:rsidR="00E974B2">
        <w:rPr>
          <w:lang w:val="en-US" w:eastAsia="ru-RU"/>
        </w:rPr>
        <w:instrText>rituximab</w:instrText>
      </w:r>
      <w:r w:rsidR="00E974B2" w:rsidRPr="006C476A">
        <w:rPr>
          <w:lang w:eastAsia="ru-RU"/>
        </w:rPr>
        <w:instrText xml:space="preserve"> </w:instrText>
      </w:r>
      <w:r w:rsidR="00E974B2">
        <w:rPr>
          <w:lang w:val="en-US" w:eastAsia="ru-RU"/>
        </w:rPr>
        <w:instrText>SC</w:instrText>
      </w:r>
      <w:r w:rsidR="00E974B2" w:rsidRPr="006C476A">
        <w:rPr>
          <w:lang w:eastAsia="ru-RU"/>
        </w:rPr>
        <w:instrText xml:space="preserve"> </w:instrText>
      </w:r>
      <w:r w:rsidR="00E974B2">
        <w:rPr>
          <w:lang w:val="en-US" w:eastAsia="ru-RU"/>
        </w:rPr>
        <w:instrText>was</w:instrText>
      </w:r>
      <w:r w:rsidR="00E974B2" w:rsidRPr="006C476A">
        <w:rPr>
          <w:lang w:eastAsia="ru-RU"/>
        </w:rPr>
        <w:instrText xml:space="preserve"> </w:instrText>
      </w:r>
      <w:r w:rsidR="00E974B2">
        <w:rPr>
          <w:lang w:val="en-US" w:eastAsia="ru-RU"/>
        </w:rPr>
        <w:instrText>demonstrated</w:instrText>
      </w:r>
      <w:r w:rsidR="00E974B2" w:rsidRPr="006C476A">
        <w:rPr>
          <w:lang w:eastAsia="ru-RU"/>
        </w:rPr>
        <w:instrText xml:space="preserve"> </w:instrText>
      </w:r>
      <w:r w:rsidR="00E974B2">
        <w:rPr>
          <w:lang w:val="en-US" w:eastAsia="ru-RU"/>
        </w:rPr>
        <w:instrText>in</w:instrText>
      </w:r>
      <w:r w:rsidR="00E974B2" w:rsidRPr="006C476A">
        <w:rPr>
          <w:lang w:eastAsia="ru-RU"/>
        </w:rPr>
        <w:instrText xml:space="preserve"> </w:instrText>
      </w:r>
      <w:r w:rsidR="00E974B2">
        <w:rPr>
          <w:lang w:val="en-US" w:eastAsia="ru-RU"/>
        </w:rPr>
        <w:instrText>dedicated</w:instrText>
      </w:r>
      <w:r w:rsidR="00E974B2" w:rsidRPr="006C476A">
        <w:rPr>
          <w:lang w:eastAsia="ru-RU"/>
        </w:rPr>
        <w:instrText xml:space="preserve"> </w:instrText>
      </w:r>
      <w:r w:rsidR="00E974B2">
        <w:rPr>
          <w:lang w:val="en-US" w:eastAsia="ru-RU"/>
        </w:rPr>
        <w:instrText>studies</w:instrText>
      </w:r>
      <w:r w:rsidR="00E974B2" w:rsidRPr="006C476A">
        <w:rPr>
          <w:lang w:eastAsia="ru-RU"/>
        </w:rPr>
        <w:instrText xml:space="preserve"> </w:instrText>
      </w:r>
      <w:r w:rsidR="00E974B2">
        <w:rPr>
          <w:lang w:val="en-US" w:eastAsia="ru-RU"/>
        </w:rPr>
        <w:instrText>showing</w:instrText>
      </w:r>
      <w:r w:rsidR="00E974B2" w:rsidRPr="006C476A">
        <w:rPr>
          <w:lang w:eastAsia="ru-RU"/>
        </w:rPr>
        <w:instrText xml:space="preserve"> </w:instrText>
      </w:r>
      <w:r w:rsidR="00E974B2">
        <w:rPr>
          <w:lang w:val="en-US" w:eastAsia="ru-RU"/>
        </w:rPr>
        <w:instrText>that</w:instrText>
      </w:r>
      <w:r w:rsidR="00E974B2" w:rsidRPr="006C476A">
        <w:rPr>
          <w:lang w:eastAsia="ru-RU"/>
        </w:rPr>
        <w:instrText xml:space="preserve"> </w:instrText>
      </w:r>
      <w:r w:rsidR="00E974B2">
        <w:rPr>
          <w:lang w:val="en-US" w:eastAsia="ru-RU"/>
        </w:rPr>
        <w:instrText>rituximab</w:instrText>
      </w:r>
      <w:r w:rsidR="00E974B2" w:rsidRPr="006C476A">
        <w:rPr>
          <w:lang w:eastAsia="ru-RU"/>
        </w:rPr>
        <w:instrText xml:space="preserve"> </w:instrText>
      </w:r>
      <w:r w:rsidR="00E974B2">
        <w:rPr>
          <w:lang w:val="en-US" w:eastAsia="ru-RU"/>
        </w:rPr>
        <w:instrText>SC</w:instrText>
      </w:r>
      <w:r w:rsidR="00E974B2" w:rsidRPr="006C476A">
        <w:rPr>
          <w:lang w:eastAsia="ru-RU"/>
        </w:rPr>
        <w:instrText xml:space="preserve"> </w:instrText>
      </w:r>
      <w:r w:rsidR="00E974B2">
        <w:rPr>
          <w:lang w:val="en-US" w:eastAsia="ru-RU"/>
        </w:rPr>
        <w:instrText>allows</w:instrText>
      </w:r>
      <w:r w:rsidR="00E974B2" w:rsidRPr="006C476A">
        <w:rPr>
          <w:lang w:eastAsia="ru-RU"/>
        </w:rPr>
        <w:instrText xml:space="preserve"> </w:instrText>
      </w:r>
      <w:r w:rsidR="00E974B2">
        <w:rPr>
          <w:lang w:val="en-US" w:eastAsia="ru-RU"/>
        </w:rPr>
        <w:instrText>for</w:instrText>
      </w:r>
      <w:r w:rsidR="00E974B2" w:rsidRPr="006C476A">
        <w:rPr>
          <w:lang w:eastAsia="ru-RU"/>
        </w:rPr>
        <w:instrText xml:space="preserve"> </w:instrText>
      </w:r>
      <w:r w:rsidR="00E974B2">
        <w:rPr>
          <w:lang w:val="en-US" w:eastAsia="ru-RU"/>
        </w:rPr>
        <w:instrText>simplified</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shortened</w:instrText>
      </w:r>
      <w:r w:rsidR="00E974B2" w:rsidRPr="006C476A">
        <w:rPr>
          <w:lang w:eastAsia="ru-RU"/>
        </w:rPr>
        <w:instrText xml:space="preserve"> </w:instrText>
      </w:r>
      <w:r w:rsidR="00E974B2">
        <w:rPr>
          <w:lang w:val="en-US" w:eastAsia="ru-RU"/>
        </w:rPr>
        <w:instrText>drug</w:instrText>
      </w:r>
      <w:r w:rsidR="00E974B2" w:rsidRPr="006C476A">
        <w:rPr>
          <w:lang w:eastAsia="ru-RU"/>
        </w:rPr>
        <w:instrText xml:space="preserve"> </w:instrText>
      </w:r>
      <w:r w:rsidR="00E974B2">
        <w:rPr>
          <w:lang w:val="en-US" w:eastAsia="ru-RU"/>
        </w:rPr>
        <w:instrText>preparation</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administration</w:instrText>
      </w:r>
      <w:r w:rsidR="00E974B2" w:rsidRPr="006C476A">
        <w:rPr>
          <w:lang w:eastAsia="ru-RU"/>
        </w:rPr>
        <w:instrText xml:space="preserve"> </w:instrText>
      </w:r>
      <w:r w:rsidR="00E974B2">
        <w:rPr>
          <w:lang w:val="en-US" w:eastAsia="ru-RU"/>
        </w:rPr>
        <w:instrText>times</w:instrText>
      </w:r>
      <w:r w:rsidR="00E974B2" w:rsidRPr="006C476A">
        <w:rPr>
          <w:lang w:eastAsia="ru-RU"/>
        </w:rPr>
        <w:instrText xml:space="preserve"> </w:instrText>
      </w:r>
      <w:r w:rsidR="00E974B2">
        <w:rPr>
          <w:lang w:val="en-US" w:eastAsia="ru-RU"/>
        </w:rPr>
        <w:instrText>resulting</w:instrText>
      </w:r>
      <w:r w:rsidR="00E974B2" w:rsidRPr="006C476A">
        <w:rPr>
          <w:lang w:eastAsia="ru-RU"/>
        </w:rPr>
        <w:instrText xml:space="preserve"> </w:instrText>
      </w:r>
      <w:r w:rsidR="00E974B2">
        <w:rPr>
          <w:lang w:val="en-US" w:eastAsia="ru-RU"/>
        </w:rPr>
        <w:instrText>in</w:instrText>
      </w:r>
      <w:r w:rsidR="00E974B2" w:rsidRPr="006C476A">
        <w:rPr>
          <w:lang w:eastAsia="ru-RU"/>
        </w:rPr>
        <w:instrText xml:space="preserve"> </w:instrText>
      </w:r>
      <w:r w:rsidR="00E974B2">
        <w:rPr>
          <w:lang w:val="en-US" w:eastAsia="ru-RU"/>
        </w:rPr>
        <w:instrText>a</w:instrText>
      </w:r>
      <w:r w:rsidR="00E974B2" w:rsidRPr="006C476A">
        <w:rPr>
          <w:lang w:eastAsia="ru-RU"/>
        </w:rPr>
        <w:instrText xml:space="preserve"> </w:instrText>
      </w:r>
      <w:r w:rsidR="00E974B2">
        <w:rPr>
          <w:lang w:val="en-US" w:eastAsia="ru-RU"/>
        </w:rPr>
        <w:instrText>reduced</w:instrText>
      </w:r>
      <w:r w:rsidR="00E974B2" w:rsidRPr="006C476A">
        <w:rPr>
          <w:lang w:eastAsia="ru-RU"/>
        </w:rPr>
        <w:instrText xml:space="preserve"> </w:instrText>
      </w:r>
      <w:r w:rsidR="00E974B2">
        <w:rPr>
          <w:lang w:val="en-US" w:eastAsia="ru-RU"/>
        </w:rPr>
        <w:instrText>treatment</w:instrText>
      </w:r>
      <w:r w:rsidR="00E974B2" w:rsidRPr="006C476A">
        <w:rPr>
          <w:lang w:eastAsia="ru-RU"/>
        </w:rPr>
        <w:instrText xml:space="preserve"> </w:instrText>
      </w:r>
      <w:r w:rsidR="00E974B2">
        <w:rPr>
          <w:lang w:val="en-US" w:eastAsia="ru-RU"/>
        </w:rPr>
        <w:instrText>burden</w:instrText>
      </w:r>
      <w:r w:rsidR="00E974B2" w:rsidRPr="006C476A">
        <w:rPr>
          <w:lang w:eastAsia="ru-RU"/>
        </w:rPr>
        <w:instrText xml:space="preserve"> </w:instrText>
      </w:r>
      <w:r w:rsidR="00E974B2">
        <w:rPr>
          <w:lang w:val="en-US" w:eastAsia="ru-RU"/>
        </w:rPr>
        <w:instrText>for</w:instrText>
      </w:r>
      <w:r w:rsidR="00E974B2" w:rsidRPr="006C476A">
        <w:rPr>
          <w:lang w:eastAsia="ru-RU"/>
        </w:rPr>
        <w:instrText xml:space="preserve"> </w:instrText>
      </w:r>
      <w:r w:rsidR="00E974B2">
        <w:rPr>
          <w:lang w:val="en-US" w:eastAsia="ru-RU"/>
        </w:rPr>
        <w:instrText>patients</w:instrText>
      </w:r>
      <w:r w:rsidR="00E974B2" w:rsidRPr="006C476A">
        <w:rPr>
          <w:lang w:eastAsia="ru-RU"/>
        </w:rPr>
        <w:instrText xml:space="preserve"> </w:instrText>
      </w:r>
      <w:r w:rsidR="00E974B2">
        <w:rPr>
          <w:lang w:val="en-US" w:eastAsia="ru-RU"/>
        </w:rPr>
        <w:instrText>as</w:instrText>
      </w:r>
      <w:r w:rsidR="00E974B2" w:rsidRPr="006C476A">
        <w:rPr>
          <w:lang w:eastAsia="ru-RU"/>
        </w:rPr>
        <w:instrText xml:space="preserve"> </w:instrText>
      </w:r>
      <w:r w:rsidR="00E974B2">
        <w:rPr>
          <w:lang w:val="en-US" w:eastAsia="ru-RU"/>
        </w:rPr>
        <w:instrText>well</w:instrText>
      </w:r>
      <w:r w:rsidR="00E974B2" w:rsidRPr="006C476A">
        <w:rPr>
          <w:lang w:eastAsia="ru-RU"/>
        </w:rPr>
        <w:instrText xml:space="preserve"> </w:instrText>
      </w:r>
      <w:r w:rsidR="00E974B2">
        <w:rPr>
          <w:lang w:val="en-US" w:eastAsia="ru-RU"/>
        </w:rPr>
        <w:instrText>as</w:instrText>
      </w:r>
      <w:r w:rsidR="00E974B2" w:rsidRPr="006C476A">
        <w:rPr>
          <w:lang w:eastAsia="ru-RU"/>
        </w:rPr>
        <w:instrText xml:space="preserve"> </w:instrText>
      </w:r>
      <w:r w:rsidR="00E974B2">
        <w:rPr>
          <w:lang w:val="en-US" w:eastAsia="ru-RU"/>
        </w:rPr>
        <w:instrText>improved</w:instrText>
      </w:r>
      <w:r w:rsidR="00E974B2" w:rsidRPr="006C476A">
        <w:rPr>
          <w:lang w:eastAsia="ru-RU"/>
        </w:rPr>
        <w:instrText xml:space="preserve"> </w:instrText>
      </w:r>
      <w:r w:rsidR="00E974B2">
        <w:rPr>
          <w:lang w:val="en-US" w:eastAsia="ru-RU"/>
        </w:rPr>
        <w:instrText>resource</w:instrText>
      </w:r>
      <w:r w:rsidR="00E974B2" w:rsidRPr="006C476A">
        <w:rPr>
          <w:lang w:eastAsia="ru-RU"/>
        </w:rPr>
        <w:instrText xml:space="preserve"> </w:instrText>
      </w:r>
      <w:r w:rsidR="00E974B2">
        <w:rPr>
          <w:lang w:val="en-US" w:eastAsia="ru-RU"/>
        </w:rPr>
        <w:instrText>utilization</w:instrText>
      </w:r>
      <w:r w:rsidR="00E974B2" w:rsidRPr="006C476A">
        <w:rPr>
          <w:lang w:eastAsia="ru-RU"/>
        </w:rPr>
        <w:instrText xml:space="preserve"> (</w:instrText>
      </w:r>
      <w:r w:rsidR="00E974B2">
        <w:rPr>
          <w:lang w:val="en-US" w:eastAsia="ru-RU"/>
        </w:rPr>
        <w:instrText>efficiency</w:instrText>
      </w:r>
      <w:r w:rsidR="00E974B2" w:rsidRPr="006C476A">
        <w:rPr>
          <w:lang w:eastAsia="ru-RU"/>
        </w:rPr>
        <w:instrText xml:space="preserve">) </w:instrText>
      </w:r>
      <w:r w:rsidR="00E974B2">
        <w:rPr>
          <w:lang w:val="en-US" w:eastAsia="ru-RU"/>
        </w:rPr>
        <w:instrText>at</w:instrText>
      </w:r>
      <w:r w:rsidR="00E974B2" w:rsidRPr="006C476A">
        <w:rPr>
          <w:lang w:eastAsia="ru-RU"/>
        </w:rPr>
        <w:instrText xml:space="preserve"> </w:instrText>
      </w:r>
      <w:r w:rsidR="00E974B2">
        <w:rPr>
          <w:lang w:val="en-US" w:eastAsia="ru-RU"/>
        </w:rPr>
        <w:instrText>the</w:instrText>
      </w:r>
      <w:r w:rsidR="00E974B2" w:rsidRPr="006C476A">
        <w:rPr>
          <w:lang w:eastAsia="ru-RU"/>
        </w:rPr>
        <w:instrText xml:space="preserve"> </w:instrText>
      </w:r>
      <w:r w:rsidR="00E974B2">
        <w:rPr>
          <w:lang w:val="en-US" w:eastAsia="ru-RU"/>
        </w:rPr>
        <w:instrText>treatment</w:instrText>
      </w:r>
      <w:r w:rsidR="00E974B2" w:rsidRPr="006C476A">
        <w:rPr>
          <w:lang w:eastAsia="ru-RU"/>
        </w:rPr>
        <w:instrText xml:space="preserve"> </w:instrText>
      </w:r>
      <w:r w:rsidR="00E974B2">
        <w:rPr>
          <w:lang w:val="en-US" w:eastAsia="ru-RU"/>
        </w:rPr>
        <w:instrText>facility</w:instrText>
      </w:r>
      <w:r w:rsidR="00E974B2" w:rsidRPr="006C476A">
        <w:rPr>
          <w:lang w:eastAsia="ru-RU"/>
        </w:rPr>
        <w:instrText xml:space="preserve">. </w:instrText>
      </w:r>
      <w:r w:rsidR="00E974B2">
        <w:rPr>
          <w:lang w:val="en-US" w:eastAsia="ru-RU"/>
        </w:rPr>
        <w:instrText>The</w:instrText>
      </w:r>
      <w:r w:rsidR="00E974B2" w:rsidRPr="006C476A">
        <w:rPr>
          <w:lang w:eastAsia="ru-RU"/>
        </w:rPr>
        <w:instrText xml:space="preserve"> </w:instrText>
      </w:r>
      <w:r w:rsidR="00E974B2">
        <w:rPr>
          <w:lang w:val="en-US" w:eastAsia="ru-RU"/>
        </w:rPr>
        <w:instrText>improved</w:instrText>
      </w:r>
      <w:r w:rsidR="00E974B2" w:rsidRPr="006C476A">
        <w:rPr>
          <w:lang w:eastAsia="ru-RU"/>
        </w:rPr>
        <w:instrText xml:space="preserve"> </w:instrText>
      </w:r>
      <w:r w:rsidR="00E974B2">
        <w:rPr>
          <w:lang w:val="en-US" w:eastAsia="ru-RU"/>
        </w:rPr>
        <w:instrText>efficiency</w:instrText>
      </w:r>
      <w:r w:rsidR="00E974B2" w:rsidRPr="006C476A">
        <w:rPr>
          <w:lang w:eastAsia="ru-RU"/>
        </w:rPr>
        <w:instrText xml:space="preserve"> </w:instrText>
      </w:r>
      <w:r w:rsidR="00E974B2">
        <w:rPr>
          <w:lang w:val="en-US" w:eastAsia="ru-RU"/>
        </w:rPr>
        <w:instrText>of</w:instrText>
      </w:r>
      <w:r w:rsidR="00E974B2" w:rsidRPr="006C476A">
        <w:rPr>
          <w:lang w:eastAsia="ru-RU"/>
        </w:rPr>
        <w:instrText xml:space="preserve"> </w:instrText>
      </w:r>
      <w:r w:rsidR="00E974B2">
        <w:rPr>
          <w:lang w:val="en-US" w:eastAsia="ru-RU"/>
        </w:rPr>
        <w:instrText>delivering</w:instrText>
      </w:r>
      <w:r w:rsidR="00E974B2" w:rsidRPr="006C476A">
        <w:rPr>
          <w:lang w:eastAsia="ru-RU"/>
        </w:rPr>
        <w:instrText xml:space="preserve"> </w:instrText>
      </w:r>
      <w:r w:rsidR="00E974B2">
        <w:rPr>
          <w:lang w:val="en-US" w:eastAsia="ru-RU"/>
        </w:rPr>
        <w:instrText>rituximab</w:instrText>
      </w:r>
      <w:r w:rsidR="00E974B2" w:rsidRPr="006C476A">
        <w:rPr>
          <w:lang w:eastAsia="ru-RU"/>
        </w:rPr>
        <w:instrText>’</w:instrText>
      </w:r>
      <w:r w:rsidR="00E974B2">
        <w:rPr>
          <w:lang w:val="en-US" w:eastAsia="ru-RU"/>
        </w:rPr>
        <w:instrText>s</w:instrText>
      </w:r>
      <w:r w:rsidR="00E974B2" w:rsidRPr="006C476A">
        <w:rPr>
          <w:lang w:eastAsia="ru-RU"/>
        </w:rPr>
        <w:instrText xml:space="preserve"> </w:instrText>
      </w:r>
      <w:r w:rsidR="00E974B2">
        <w:rPr>
          <w:lang w:val="en-US" w:eastAsia="ru-RU"/>
        </w:rPr>
        <w:instrText>benefit</w:instrText>
      </w:r>
      <w:r w:rsidR="00E974B2" w:rsidRPr="006C476A">
        <w:rPr>
          <w:lang w:eastAsia="ru-RU"/>
        </w:rPr>
        <w:instrText xml:space="preserve"> </w:instrText>
      </w:r>
      <w:r w:rsidR="00E974B2">
        <w:rPr>
          <w:lang w:val="en-US" w:eastAsia="ru-RU"/>
        </w:rPr>
        <w:instrText>to</w:instrText>
      </w:r>
      <w:r w:rsidR="00E974B2" w:rsidRPr="006C476A">
        <w:rPr>
          <w:lang w:eastAsia="ru-RU"/>
        </w:rPr>
        <w:instrText xml:space="preserve"> </w:instrText>
      </w:r>
      <w:r w:rsidR="00E974B2">
        <w:rPr>
          <w:lang w:val="en-US" w:eastAsia="ru-RU"/>
        </w:rPr>
        <w:instrText>patients</w:instrText>
      </w:r>
      <w:r w:rsidR="00E974B2" w:rsidRPr="006C476A">
        <w:rPr>
          <w:lang w:eastAsia="ru-RU"/>
        </w:rPr>
        <w:instrText xml:space="preserve"> </w:instrText>
      </w:r>
      <w:r w:rsidR="00E974B2">
        <w:rPr>
          <w:lang w:val="en-US" w:eastAsia="ru-RU"/>
        </w:rPr>
        <w:instrText>may</w:instrText>
      </w:r>
      <w:r w:rsidR="00E974B2" w:rsidRPr="006C476A">
        <w:rPr>
          <w:lang w:eastAsia="ru-RU"/>
        </w:rPr>
        <w:instrText xml:space="preserve"> </w:instrText>
      </w:r>
      <w:r w:rsidR="00E974B2">
        <w:rPr>
          <w:lang w:val="en-US" w:eastAsia="ru-RU"/>
        </w:rPr>
        <w:instrText>broaden</w:instrText>
      </w:r>
      <w:r w:rsidR="00E974B2" w:rsidRPr="006C476A">
        <w:rPr>
          <w:lang w:eastAsia="ru-RU"/>
        </w:rPr>
        <w:instrText xml:space="preserve"> </w:instrText>
      </w:r>
      <w:r w:rsidR="00E974B2">
        <w:rPr>
          <w:lang w:val="en-US" w:eastAsia="ru-RU"/>
        </w:rPr>
        <w:instrText>patient</w:instrText>
      </w:r>
      <w:r w:rsidR="00E974B2" w:rsidRPr="006C476A">
        <w:rPr>
          <w:lang w:eastAsia="ru-RU"/>
        </w:rPr>
        <w:instrText xml:space="preserve"> </w:instrText>
      </w:r>
      <w:r w:rsidR="00E974B2">
        <w:rPr>
          <w:lang w:val="en-US" w:eastAsia="ru-RU"/>
        </w:rPr>
        <w:instrText>access</w:instrText>
      </w:r>
      <w:r w:rsidR="00E974B2" w:rsidRPr="006C476A">
        <w:rPr>
          <w:lang w:eastAsia="ru-RU"/>
        </w:rPr>
        <w:instrText xml:space="preserve"> </w:instrText>
      </w:r>
      <w:r w:rsidR="00E974B2">
        <w:rPr>
          <w:lang w:val="en-US" w:eastAsia="ru-RU"/>
        </w:rPr>
        <w:instrText>to</w:instrText>
      </w:r>
      <w:r w:rsidR="00E974B2" w:rsidRPr="006C476A">
        <w:rPr>
          <w:lang w:eastAsia="ru-RU"/>
        </w:rPr>
        <w:instrText xml:space="preserve"> </w:instrText>
      </w:r>
      <w:r w:rsidR="00E974B2">
        <w:rPr>
          <w:lang w:val="en-US" w:eastAsia="ru-RU"/>
        </w:rPr>
        <w:instrText>rituximab</w:instrText>
      </w:r>
      <w:r w:rsidR="00E974B2" w:rsidRPr="006C476A">
        <w:rPr>
          <w:lang w:eastAsia="ru-RU"/>
        </w:rPr>
        <w:instrText xml:space="preserve"> </w:instrText>
      </w:r>
      <w:r w:rsidR="00E974B2">
        <w:rPr>
          <w:lang w:val="en-US" w:eastAsia="ru-RU"/>
        </w:rPr>
        <w:instrText>therapy</w:instrText>
      </w:r>
      <w:r w:rsidR="00E974B2" w:rsidRPr="006C476A">
        <w:rPr>
          <w:lang w:eastAsia="ru-RU"/>
        </w:rPr>
        <w:instrText xml:space="preserve"> </w:instrText>
      </w:r>
      <w:r w:rsidR="00E974B2">
        <w:rPr>
          <w:lang w:val="en-US" w:eastAsia="ru-RU"/>
        </w:rPr>
        <w:instrText>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w:instrText>
      </w:r>
      <w:r w:rsidR="00E974B2" w:rsidRPr="006C476A">
        <w:rPr>
          <w:lang w:eastAsia="ru-RU"/>
        </w:rPr>
        <w:instrText xml:space="preserve">, </w:instrText>
      </w:r>
      <w:r w:rsidR="00E974B2">
        <w:rPr>
          <w:lang w:val="en-US" w:eastAsia="ru-RU"/>
        </w:rPr>
        <w:instrText>correct</w:instrText>
      </w:r>
      <w:r w:rsidR="00E974B2" w:rsidRPr="006C476A">
        <w:rPr>
          <w:lang w:eastAsia="ru-RU"/>
        </w:rPr>
        <w:instrText xml:space="preserve"> </w:instrText>
      </w:r>
      <w:r w:rsidR="00E974B2">
        <w:rPr>
          <w:lang w:val="en-US" w:eastAsia="ru-RU"/>
        </w:rPr>
        <w:instrText>administration</w:instrText>
      </w:r>
      <w:r w:rsidR="00E974B2" w:rsidRPr="006C476A">
        <w:rPr>
          <w:lang w:eastAsia="ru-RU"/>
        </w:rPr>
        <w:instrText xml:space="preserve"> </w:instrText>
      </w:r>
      <w:r w:rsidR="00E974B2">
        <w:rPr>
          <w:lang w:val="en-US" w:eastAsia="ru-RU"/>
        </w:rPr>
        <w:instrText>is</w:instrText>
      </w:r>
      <w:r w:rsidR="00E974B2" w:rsidRPr="006C476A">
        <w:rPr>
          <w:lang w:eastAsia="ru-RU"/>
        </w:rPr>
        <w:instrText xml:space="preserve"> </w:instrText>
      </w:r>
      <w:r w:rsidR="00E974B2">
        <w:rPr>
          <w:lang w:val="en-US" w:eastAsia="ru-RU"/>
        </w:rPr>
        <w:instrText>needed</w:instrText>
      </w:r>
      <w:r w:rsidR="00E974B2" w:rsidRPr="006C476A">
        <w:rPr>
          <w:lang w:eastAsia="ru-RU"/>
        </w:rPr>
        <w:instrText xml:space="preserve"> </w:instrText>
      </w:r>
      <w:r w:rsidR="00E974B2">
        <w:rPr>
          <w:lang w:val="en-US" w:eastAsia="ru-RU"/>
        </w:rPr>
        <w:instrText>to</w:instrText>
      </w:r>
      <w:r w:rsidR="00E974B2" w:rsidRPr="006C476A">
        <w:rPr>
          <w:lang w:eastAsia="ru-RU"/>
        </w:rPr>
        <w:instrText xml:space="preserve"> </w:instrText>
      </w:r>
      <w:r w:rsidR="00E974B2">
        <w:rPr>
          <w:lang w:val="en-US" w:eastAsia="ru-RU"/>
        </w:rPr>
        <w:instrText>reduce</w:instrText>
      </w:r>
      <w:r w:rsidR="00E974B2" w:rsidRPr="006C476A">
        <w:rPr>
          <w:lang w:eastAsia="ru-RU"/>
        </w:rPr>
        <w:instrText xml:space="preserve"> </w:instrText>
      </w:r>
      <w:r w:rsidR="00E974B2">
        <w:rPr>
          <w:lang w:val="en-US" w:eastAsia="ru-RU"/>
        </w:rPr>
        <w:instrText>administration</w:instrText>
      </w:r>
      <w:r w:rsidR="00E974B2" w:rsidRPr="006C476A">
        <w:rPr>
          <w:lang w:eastAsia="ru-RU"/>
        </w:rPr>
        <w:instrText>-</w:instrText>
      </w:r>
      <w:r w:rsidR="00E974B2">
        <w:rPr>
          <w:lang w:val="en-US" w:eastAsia="ru-RU"/>
        </w:rPr>
        <w:instrText>related</w:instrText>
      </w:r>
      <w:r w:rsidR="00E974B2" w:rsidRPr="006C476A">
        <w:rPr>
          <w:lang w:eastAsia="ru-RU"/>
        </w:rPr>
        <w:instrText xml:space="preserve"> </w:instrText>
      </w:r>
      <w:r w:rsidR="00E974B2">
        <w:rPr>
          <w:lang w:val="en-US" w:eastAsia="ru-RU"/>
        </w:rPr>
        <w:instrText>reactions</w:instrText>
      </w:r>
      <w:r w:rsidR="00E974B2" w:rsidRPr="006C476A">
        <w:rPr>
          <w:lang w:eastAsia="ru-RU"/>
        </w:rPr>
        <w:instrText xml:space="preserve">. </w:instrText>
      </w:r>
      <w:r w:rsidR="00E974B2">
        <w:rPr>
          <w:lang w:val="en-US" w:eastAsia="ru-RU"/>
        </w:rPr>
        <w:instrText>By</w:instrText>
      </w:r>
      <w:r w:rsidR="00E974B2" w:rsidRPr="006C476A">
        <w:rPr>
          <w:lang w:eastAsia="ru-RU"/>
        </w:rPr>
        <w:instrText xml:space="preserve"> </w:instrText>
      </w:r>
      <w:r w:rsidR="00E974B2">
        <w:rPr>
          <w:lang w:val="en-US" w:eastAsia="ru-RU"/>
        </w:rPr>
        <w:instrText>using</w:instrText>
      </w:r>
      <w:r w:rsidR="00E974B2" w:rsidRPr="006C476A">
        <w:rPr>
          <w:lang w:eastAsia="ru-RU"/>
        </w:rPr>
        <w:instrText xml:space="preserve"> </w:instrText>
      </w:r>
      <w:r w:rsidR="00E974B2">
        <w:rPr>
          <w:lang w:val="en-US" w:eastAsia="ru-RU"/>
        </w:rPr>
        <w:instrText>a</w:instrText>
      </w:r>
      <w:r w:rsidR="00E974B2" w:rsidRPr="006C476A">
        <w:rPr>
          <w:lang w:eastAsia="ru-RU"/>
        </w:rPr>
        <w:instrText xml:space="preserve"> </w:instrText>
      </w:r>
      <w:r w:rsidR="00E974B2">
        <w:rPr>
          <w:lang w:val="en-US" w:eastAsia="ru-RU"/>
        </w:rPr>
        <w:instrText>careful</w:instrText>
      </w:r>
      <w:r w:rsidR="00E974B2" w:rsidRPr="006C476A">
        <w:rPr>
          <w:lang w:eastAsia="ru-RU"/>
        </w:rPr>
        <w:instrText xml:space="preserve"> </w:instrText>
      </w:r>
      <w:r w:rsidR="00E974B2">
        <w:rPr>
          <w:lang w:val="en-US" w:eastAsia="ru-RU"/>
        </w:rPr>
        <w:instrText>procedure</w:instrText>
      </w:r>
      <w:r w:rsidR="00E974B2" w:rsidRPr="006C476A">
        <w:rPr>
          <w:lang w:eastAsia="ru-RU"/>
        </w:rPr>
        <w:instrText xml:space="preserve">, </w:instrText>
      </w:r>
      <w:r w:rsidR="00E974B2">
        <w:rPr>
          <w:lang w:val="en-US" w:eastAsia="ru-RU"/>
        </w:rPr>
        <w:instrText>the</w:instrText>
      </w:r>
      <w:r w:rsidR="00E974B2" w:rsidRPr="006C476A">
        <w:rPr>
          <w:lang w:eastAsia="ru-RU"/>
        </w:rPr>
        <w:instrText xml:space="preserve"> </w:instrText>
      </w:r>
      <w:r w:rsidR="00E974B2">
        <w:rPr>
          <w:lang w:val="en-US" w:eastAsia="ru-RU"/>
        </w:rPr>
        <w:instrText>sc</w:instrText>
      </w:r>
      <w:r w:rsidR="00E974B2" w:rsidRPr="006C476A">
        <w:rPr>
          <w:lang w:eastAsia="ru-RU"/>
        </w:rPr>
        <w:instrText xml:space="preserve"> </w:instrText>
      </w:r>
      <w:r w:rsidR="00E974B2">
        <w:rPr>
          <w:lang w:val="en-US" w:eastAsia="ru-RU"/>
        </w:rPr>
        <w:instrText>formulation</w:instrText>
      </w:r>
      <w:r w:rsidR="00E974B2" w:rsidRPr="006C476A">
        <w:rPr>
          <w:lang w:eastAsia="ru-RU"/>
        </w:rPr>
        <w:instrText xml:space="preserve"> </w:instrText>
      </w:r>
      <w:r w:rsidR="00E974B2">
        <w:rPr>
          <w:lang w:val="en-US" w:eastAsia="ru-RU"/>
        </w:rPr>
        <w:instrText>can</w:instrText>
      </w:r>
      <w:r w:rsidR="00E974B2" w:rsidRPr="006C476A">
        <w:rPr>
          <w:lang w:eastAsia="ru-RU"/>
        </w:rPr>
        <w:instrText xml:space="preserve"> </w:instrText>
      </w:r>
      <w:r w:rsidR="00E974B2">
        <w:rPr>
          <w:lang w:val="en-US" w:eastAsia="ru-RU"/>
        </w:rPr>
        <w:instrText>be</w:instrText>
      </w:r>
      <w:r w:rsidR="00E974B2" w:rsidRPr="006C476A">
        <w:rPr>
          <w:lang w:eastAsia="ru-RU"/>
        </w:rPr>
        <w:instrText xml:space="preserve"> </w:instrText>
      </w:r>
      <w:r w:rsidR="00E974B2">
        <w:rPr>
          <w:lang w:val="en-US" w:eastAsia="ru-RU"/>
        </w:rPr>
        <w:instrText>given</w:instrText>
      </w:r>
      <w:r w:rsidR="00E974B2" w:rsidRPr="006C476A">
        <w:rPr>
          <w:lang w:eastAsia="ru-RU"/>
        </w:rPr>
        <w:instrText xml:space="preserve"> </w:instrText>
      </w:r>
      <w:r w:rsidR="00E974B2">
        <w:rPr>
          <w:lang w:val="en-US" w:eastAsia="ru-RU"/>
        </w:rPr>
        <w:instrText>safely</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effectively</w:instrText>
      </w:r>
      <w:r w:rsidR="00E974B2" w:rsidRPr="006C476A">
        <w:rPr>
          <w:lang w:eastAsia="ru-RU"/>
        </w:rPr>
        <w:instrText xml:space="preserve">, </w:instrText>
      </w:r>
      <w:r w:rsidR="00E974B2">
        <w:rPr>
          <w:lang w:val="en-US" w:eastAsia="ru-RU"/>
        </w:rPr>
        <w:instrText>potentially</w:instrText>
      </w:r>
      <w:r w:rsidR="00E974B2" w:rsidRPr="006C476A">
        <w:rPr>
          <w:lang w:eastAsia="ru-RU"/>
        </w:rPr>
        <w:instrText xml:space="preserve"> </w:instrText>
      </w:r>
      <w:r w:rsidR="00E974B2">
        <w:rPr>
          <w:lang w:val="en-US" w:eastAsia="ru-RU"/>
        </w:rPr>
        <w:instrText>reducing</w:instrText>
      </w:r>
      <w:r w:rsidR="00E974B2" w:rsidRPr="006C476A">
        <w:rPr>
          <w:lang w:eastAsia="ru-RU"/>
        </w:rPr>
        <w:instrText xml:space="preserve"> </w:instrText>
      </w:r>
      <w:r w:rsidR="00E974B2">
        <w:rPr>
          <w:lang w:val="en-US" w:eastAsia="ru-RU"/>
        </w:rPr>
        <w:instrText>the</w:instrText>
      </w:r>
      <w:r w:rsidR="00E974B2" w:rsidRPr="006C476A">
        <w:rPr>
          <w:lang w:eastAsia="ru-RU"/>
        </w:rPr>
        <w:instrText xml:space="preserve"> </w:instrText>
      </w:r>
      <w:r w:rsidR="00E974B2">
        <w:rPr>
          <w:lang w:val="en-US" w:eastAsia="ru-RU"/>
        </w:rPr>
        <w:instrText>burden</w:instrText>
      </w:r>
      <w:r w:rsidR="00E974B2" w:rsidRPr="006C476A">
        <w:rPr>
          <w:lang w:eastAsia="ru-RU"/>
        </w:rPr>
        <w:instrText xml:space="preserve"> </w:instrText>
      </w:r>
      <w:r w:rsidR="00E974B2">
        <w:rPr>
          <w:lang w:val="en-US" w:eastAsia="ru-RU"/>
        </w:rPr>
        <w:instrText>on</w:instrText>
      </w:r>
      <w:r w:rsidR="00E974B2" w:rsidRPr="006C476A">
        <w:rPr>
          <w:lang w:eastAsia="ru-RU"/>
        </w:rPr>
        <w:instrText xml:space="preserve"> </w:instrText>
      </w:r>
      <w:r w:rsidR="00E974B2">
        <w:rPr>
          <w:lang w:val="en-US" w:eastAsia="ru-RU"/>
        </w:rPr>
        <w:instrText>health</w:instrText>
      </w:r>
      <w:r w:rsidR="00E974B2" w:rsidRPr="006C476A">
        <w:rPr>
          <w:lang w:eastAsia="ru-RU"/>
        </w:rPr>
        <w:instrText xml:space="preserve"> </w:instrText>
      </w:r>
      <w:r w:rsidR="00E974B2">
        <w:rPr>
          <w:lang w:val="en-US" w:eastAsia="ru-RU"/>
        </w:rPr>
        <w:instrText>care</w:instrText>
      </w:r>
      <w:r w:rsidR="00E974B2" w:rsidRPr="006C476A">
        <w:rPr>
          <w:lang w:eastAsia="ru-RU"/>
        </w:rPr>
        <w:instrText xml:space="preserve"> </w:instrText>
      </w:r>
      <w:r w:rsidR="00E974B2">
        <w:rPr>
          <w:lang w:val="en-US" w:eastAsia="ru-RU"/>
        </w:rPr>
        <w:instrText>resources</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improving</w:instrText>
      </w:r>
      <w:r w:rsidR="00E974B2" w:rsidRPr="006C476A">
        <w:rPr>
          <w:lang w:eastAsia="ru-RU"/>
        </w:rPr>
        <w:instrText xml:space="preserve"> </w:instrText>
      </w:r>
      <w:r w:rsidR="00E974B2">
        <w:rPr>
          <w:lang w:val="en-US" w:eastAsia="ru-RU"/>
        </w:rPr>
        <w:instrText>quality</w:instrText>
      </w:r>
      <w:r w:rsidR="00E974B2" w:rsidRPr="006C476A">
        <w:rPr>
          <w:lang w:eastAsia="ru-RU"/>
        </w:rPr>
        <w:instrText xml:space="preserve"> </w:instrText>
      </w:r>
      <w:r w:rsidR="00E974B2">
        <w:rPr>
          <w:lang w:val="en-US" w:eastAsia="ru-RU"/>
        </w:rPr>
        <w:instrText>of</w:instrText>
      </w:r>
      <w:r w:rsidR="00E974B2" w:rsidRPr="006C476A">
        <w:rPr>
          <w:lang w:eastAsia="ru-RU"/>
        </w:rPr>
        <w:instrText xml:space="preserve"> </w:instrText>
      </w:r>
      <w:r w:rsidR="00E974B2">
        <w:rPr>
          <w:lang w:val="en-US" w:eastAsia="ru-RU"/>
        </w:rPr>
        <w:instrText>life</w:instrText>
      </w:r>
      <w:r w:rsidR="00E974B2" w:rsidRPr="006C476A">
        <w:rPr>
          <w:lang w:eastAsia="ru-RU"/>
        </w:rPr>
        <w:instrText xml:space="preserve"> </w:instrText>
      </w:r>
      <w:r w:rsidR="00E974B2">
        <w:rPr>
          <w:lang w:val="en-US" w:eastAsia="ru-RU"/>
        </w:rPr>
        <w:instrText>for</w:instrText>
      </w:r>
      <w:r w:rsidR="00E974B2" w:rsidRPr="006C476A">
        <w:rPr>
          <w:lang w:eastAsia="ru-RU"/>
        </w:rPr>
        <w:instrText xml:space="preserve"> </w:instrText>
      </w:r>
      <w:r w:rsidR="00E974B2">
        <w:rPr>
          <w:lang w:val="en-US" w:eastAsia="ru-RU"/>
        </w:rPr>
        <w:instrText>patients</w:instrText>
      </w:r>
      <w:r w:rsidR="00E974B2" w:rsidRPr="006C476A">
        <w:rPr>
          <w:lang w:eastAsia="ru-RU"/>
        </w:rPr>
        <w:instrText>.","</w:instrText>
      </w:r>
      <w:r w:rsidR="00E974B2">
        <w:rPr>
          <w:lang w:val="en-US" w:eastAsia="ru-RU"/>
        </w:rPr>
        <w:instrText>author</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family</w:instrText>
      </w:r>
      <w:r w:rsidR="00E974B2" w:rsidRPr="006C476A">
        <w:rPr>
          <w:lang w:eastAsia="ru-RU"/>
        </w:rPr>
        <w:instrText>":"</w:instrText>
      </w:r>
      <w:r w:rsidR="00E974B2">
        <w:rPr>
          <w:lang w:val="en-US" w:eastAsia="ru-RU"/>
        </w:rPr>
        <w:instrText>Macdonald</w:instrText>
      </w:r>
      <w:r w:rsidR="00E974B2" w:rsidRPr="006C476A">
        <w:rPr>
          <w:lang w:eastAsia="ru-RU"/>
        </w:rPr>
        <w:instrText>","</w:instrText>
      </w:r>
      <w:r w:rsidR="00E974B2">
        <w:rPr>
          <w:lang w:val="en-US" w:eastAsia="ru-RU"/>
        </w:rPr>
        <w:instrText>given</w:instrText>
      </w:r>
      <w:r w:rsidR="00E974B2" w:rsidRPr="006C476A">
        <w:rPr>
          <w:lang w:eastAsia="ru-RU"/>
        </w:rPr>
        <w:instrText>":"</w:instrText>
      </w:r>
      <w:r w:rsidR="00E974B2">
        <w:rPr>
          <w:lang w:val="en-US" w:eastAsia="ru-RU"/>
        </w:rPr>
        <w:instrText>David</w:instrText>
      </w:r>
      <w:r w:rsidR="00E974B2" w:rsidRPr="006C476A">
        <w:rPr>
          <w:lang w:eastAsia="ru-RU"/>
        </w:rPr>
        <w:instrText>","</w:instrText>
      </w:r>
      <w:r w:rsidR="00E974B2">
        <w:rPr>
          <w:lang w:val="en-US" w:eastAsia="ru-RU"/>
        </w:rPr>
        <w:instrText>non</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parse</w:instrText>
      </w:r>
      <w:r w:rsidR="00E974B2" w:rsidRPr="006C476A">
        <w:rPr>
          <w:lang w:eastAsia="ru-RU"/>
        </w:rPr>
        <w:instrText>-</w:instrText>
      </w:r>
      <w:r w:rsidR="00E974B2">
        <w:rPr>
          <w:lang w:val="en-US" w:eastAsia="ru-RU"/>
        </w:rPr>
        <w:instrText>names</w:instrText>
      </w:r>
      <w:r w:rsidR="00E974B2" w:rsidRPr="006C476A">
        <w:rPr>
          <w:lang w:eastAsia="ru-RU"/>
        </w:rPr>
        <w:instrText>":</w:instrText>
      </w:r>
      <w:r w:rsidR="00E974B2">
        <w:rPr>
          <w:lang w:val="en-US" w:eastAsia="ru-RU"/>
        </w:rPr>
        <w:instrText>false</w:instrText>
      </w:r>
      <w:r w:rsidR="00E974B2" w:rsidRPr="006C476A">
        <w:rPr>
          <w:lang w:eastAsia="ru-RU"/>
        </w:rPr>
        <w:instrText>,"</w:instrText>
      </w:r>
      <w:r w:rsidR="00E974B2">
        <w:rPr>
          <w:lang w:val="en-US" w:eastAsia="ru-RU"/>
        </w:rPr>
        <w:instrText>suffix</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family</w:instrText>
      </w:r>
      <w:r w:rsidR="00E974B2" w:rsidRPr="006C476A">
        <w:rPr>
          <w:lang w:eastAsia="ru-RU"/>
        </w:rPr>
        <w:instrText>":"</w:instrText>
      </w:r>
      <w:r w:rsidR="00E974B2">
        <w:rPr>
          <w:lang w:val="en-US" w:eastAsia="ru-RU"/>
        </w:rPr>
        <w:instrText>Crosbie</w:instrText>
      </w:r>
      <w:r w:rsidR="00E974B2" w:rsidRPr="006C476A">
        <w:rPr>
          <w:lang w:eastAsia="ru-RU"/>
        </w:rPr>
        <w:instrText>","</w:instrText>
      </w:r>
      <w:r w:rsidR="00E974B2">
        <w:rPr>
          <w:lang w:val="en-US" w:eastAsia="ru-RU"/>
        </w:rPr>
        <w:instrText>given</w:instrText>
      </w:r>
      <w:r w:rsidR="00E974B2" w:rsidRPr="006C476A">
        <w:rPr>
          <w:lang w:eastAsia="ru-RU"/>
        </w:rPr>
        <w:instrText>":"</w:instrText>
      </w:r>
      <w:r w:rsidR="00E974B2">
        <w:rPr>
          <w:lang w:val="en-US" w:eastAsia="ru-RU"/>
        </w:rPr>
        <w:instrText>T</w:instrText>
      </w:r>
      <w:r w:rsidR="00E974B2" w:rsidRPr="006C476A">
        <w:rPr>
          <w:lang w:eastAsia="ru-RU"/>
        </w:rPr>
        <w:instrText>.","</w:instrText>
      </w:r>
      <w:r w:rsidR="00E974B2">
        <w:rPr>
          <w:lang w:val="en-US" w:eastAsia="ru-RU"/>
        </w:rPr>
        <w:instrText>non</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parse</w:instrText>
      </w:r>
      <w:r w:rsidR="00E974B2" w:rsidRPr="006C476A">
        <w:rPr>
          <w:lang w:eastAsia="ru-RU"/>
        </w:rPr>
        <w:instrText>-</w:instrText>
      </w:r>
      <w:r w:rsidR="00E974B2">
        <w:rPr>
          <w:lang w:val="en-US" w:eastAsia="ru-RU"/>
        </w:rPr>
        <w:instrText>names</w:instrText>
      </w:r>
      <w:r w:rsidR="00E974B2" w:rsidRPr="006C476A">
        <w:rPr>
          <w:lang w:eastAsia="ru-RU"/>
        </w:rPr>
        <w:instrText>":</w:instrText>
      </w:r>
      <w:r w:rsidR="00E974B2">
        <w:rPr>
          <w:lang w:val="en-US" w:eastAsia="ru-RU"/>
        </w:rPr>
        <w:instrText>false</w:instrText>
      </w:r>
      <w:r w:rsidR="00E974B2" w:rsidRPr="006C476A">
        <w:rPr>
          <w:lang w:eastAsia="ru-RU"/>
        </w:rPr>
        <w:instrText>,"</w:instrText>
      </w:r>
      <w:r w:rsidR="00E974B2">
        <w:rPr>
          <w:lang w:val="en-US" w:eastAsia="ru-RU"/>
        </w:rPr>
        <w:instrText>suffix</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family</w:instrText>
      </w:r>
      <w:r w:rsidR="00E974B2" w:rsidRPr="006C476A">
        <w:rPr>
          <w:lang w:eastAsia="ru-RU"/>
        </w:rPr>
        <w:instrText>":"</w:instrText>
      </w:r>
      <w:r w:rsidR="00E974B2">
        <w:rPr>
          <w:lang w:val="en-US" w:eastAsia="ru-RU"/>
        </w:rPr>
        <w:instrText>Christofides</w:instrText>
      </w:r>
      <w:r w:rsidR="00E974B2" w:rsidRPr="006C476A">
        <w:rPr>
          <w:lang w:eastAsia="ru-RU"/>
        </w:rPr>
        <w:instrText>","</w:instrText>
      </w:r>
      <w:r w:rsidR="00E974B2">
        <w:rPr>
          <w:lang w:val="en-US" w:eastAsia="ru-RU"/>
        </w:rPr>
        <w:instrText>given</w:instrText>
      </w:r>
      <w:r w:rsidR="00E974B2" w:rsidRPr="006C476A">
        <w:rPr>
          <w:lang w:eastAsia="ru-RU"/>
        </w:rPr>
        <w:instrText>":"</w:instrText>
      </w:r>
      <w:r w:rsidR="00E974B2">
        <w:rPr>
          <w:lang w:val="en-US" w:eastAsia="ru-RU"/>
        </w:rPr>
        <w:instrText>A</w:instrText>
      </w:r>
      <w:r w:rsidR="00E974B2" w:rsidRPr="006C476A">
        <w:rPr>
          <w:lang w:eastAsia="ru-RU"/>
        </w:rPr>
        <w:instrText>.","</w:instrText>
      </w:r>
      <w:r w:rsidR="00E974B2">
        <w:rPr>
          <w:lang w:val="en-US" w:eastAsia="ru-RU"/>
        </w:rPr>
        <w:instrText>non</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parse</w:instrText>
      </w:r>
      <w:r w:rsidR="00E974B2" w:rsidRPr="006C476A">
        <w:rPr>
          <w:lang w:eastAsia="ru-RU"/>
        </w:rPr>
        <w:instrText>-</w:instrText>
      </w:r>
      <w:r w:rsidR="00E974B2">
        <w:rPr>
          <w:lang w:val="en-US" w:eastAsia="ru-RU"/>
        </w:rPr>
        <w:instrText>names</w:instrText>
      </w:r>
      <w:r w:rsidR="00E974B2" w:rsidRPr="006C476A">
        <w:rPr>
          <w:lang w:eastAsia="ru-RU"/>
        </w:rPr>
        <w:instrText>":</w:instrText>
      </w:r>
      <w:r w:rsidR="00E974B2">
        <w:rPr>
          <w:lang w:val="en-US" w:eastAsia="ru-RU"/>
        </w:rPr>
        <w:instrText>false</w:instrText>
      </w:r>
      <w:r w:rsidR="00E974B2" w:rsidRPr="006C476A">
        <w:rPr>
          <w:lang w:eastAsia="ru-RU"/>
        </w:rPr>
        <w:instrText>,"</w:instrText>
      </w:r>
      <w:r w:rsidR="00E974B2">
        <w:rPr>
          <w:lang w:val="en-US" w:eastAsia="ru-RU"/>
        </w:rPr>
        <w:instrText>suffix</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family</w:instrText>
      </w:r>
      <w:r w:rsidR="00E974B2" w:rsidRPr="006C476A">
        <w:rPr>
          <w:lang w:eastAsia="ru-RU"/>
        </w:rPr>
        <w:instrText>":"</w:instrText>
      </w:r>
      <w:r w:rsidR="00E974B2">
        <w:rPr>
          <w:lang w:val="en-US" w:eastAsia="ru-RU"/>
        </w:rPr>
        <w:instrText>Assaily</w:instrText>
      </w:r>
      <w:r w:rsidR="00E974B2" w:rsidRPr="006C476A">
        <w:rPr>
          <w:lang w:eastAsia="ru-RU"/>
        </w:rPr>
        <w:instrText>","</w:instrText>
      </w:r>
      <w:r w:rsidR="00E974B2">
        <w:rPr>
          <w:lang w:val="en-US" w:eastAsia="ru-RU"/>
        </w:rPr>
        <w:instrText>given</w:instrText>
      </w:r>
      <w:r w:rsidR="00E974B2" w:rsidRPr="006C476A">
        <w:rPr>
          <w:lang w:eastAsia="ru-RU"/>
        </w:rPr>
        <w:instrText>":"</w:instrText>
      </w:r>
      <w:r w:rsidR="00E974B2">
        <w:rPr>
          <w:lang w:val="en-US" w:eastAsia="ru-RU"/>
        </w:rPr>
        <w:instrText>W</w:instrText>
      </w:r>
      <w:r w:rsidR="00E974B2" w:rsidRPr="006C476A">
        <w:rPr>
          <w:lang w:eastAsia="ru-RU"/>
        </w:rPr>
        <w:instrText>.","</w:instrText>
      </w:r>
      <w:r w:rsidR="00E974B2">
        <w:rPr>
          <w:lang w:val="en-US" w:eastAsia="ru-RU"/>
        </w:rPr>
        <w:instrText>non</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parse</w:instrText>
      </w:r>
      <w:r w:rsidR="00E974B2" w:rsidRPr="006C476A">
        <w:rPr>
          <w:lang w:eastAsia="ru-RU"/>
        </w:rPr>
        <w:instrText>-</w:instrText>
      </w:r>
      <w:r w:rsidR="00E974B2">
        <w:rPr>
          <w:lang w:val="en-US" w:eastAsia="ru-RU"/>
        </w:rPr>
        <w:instrText>names</w:instrText>
      </w:r>
      <w:r w:rsidR="00E974B2" w:rsidRPr="006C476A">
        <w:rPr>
          <w:lang w:eastAsia="ru-RU"/>
        </w:rPr>
        <w:instrText>":</w:instrText>
      </w:r>
      <w:r w:rsidR="00E974B2">
        <w:rPr>
          <w:lang w:val="en-US" w:eastAsia="ru-RU"/>
        </w:rPr>
        <w:instrText>false</w:instrText>
      </w:r>
      <w:r w:rsidR="00E974B2" w:rsidRPr="006C476A">
        <w:rPr>
          <w:lang w:eastAsia="ru-RU"/>
        </w:rPr>
        <w:instrText>,"</w:instrText>
      </w:r>
      <w:r w:rsidR="00E974B2">
        <w:rPr>
          <w:lang w:val="en-US" w:eastAsia="ru-RU"/>
        </w:rPr>
        <w:instrText>suffix</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family</w:instrText>
      </w:r>
      <w:r w:rsidR="00E974B2" w:rsidRPr="006C476A">
        <w:rPr>
          <w:lang w:eastAsia="ru-RU"/>
        </w:rPr>
        <w:instrText>":"</w:instrText>
      </w:r>
      <w:r w:rsidR="00E974B2">
        <w:rPr>
          <w:lang w:val="en-US" w:eastAsia="ru-RU"/>
        </w:rPr>
        <w:instrText>Wiernikowski</w:instrText>
      </w:r>
      <w:r w:rsidR="00E974B2" w:rsidRPr="006C476A">
        <w:rPr>
          <w:lang w:eastAsia="ru-RU"/>
        </w:rPr>
        <w:instrText>","</w:instrText>
      </w:r>
      <w:r w:rsidR="00E974B2">
        <w:rPr>
          <w:lang w:val="en-US" w:eastAsia="ru-RU"/>
        </w:rPr>
        <w:instrText>given</w:instrText>
      </w:r>
      <w:r w:rsidR="00E974B2" w:rsidRPr="006C476A">
        <w:rPr>
          <w:lang w:eastAsia="ru-RU"/>
        </w:rPr>
        <w:instrText>":"</w:instrText>
      </w:r>
      <w:r w:rsidR="00E974B2">
        <w:rPr>
          <w:lang w:val="en-US" w:eastAsia="ru-RU"/>
        </w:rPr>
        <w:instrText>J</w:instrText>
      </w:r>
      <w:r w:rsidR="00E974B2" w:rsidRPr="006C476A">
        <w:rPr>
          <w:lang w:eastAsia="ru-RU"/>
        </w:rPr>
        <w:instrText>.","</w:instrText>
      </w:r>
      <w:r w:rsidR="00E974B2">
        <w:rPr>
          <w:lang w:val="en-US" w:eastAsia="ru-RU"/>
        </w:rPr>
        <w:instrText>non</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parse</w:instrText>
      </w:r>
      <w:r w:rsidR="00E974B2" w:rsidRPr="006C476A">
        <w:rPr>
          <w:lang w:eastAsia="ru-RU"/>
        </w:rPr>
        <w:instrText>-</w:instrText>
      </w:r>
      <w:r w:rsidR="00E974B2">
        <w:rPr>
          <w:lang w:val="en-US" w:eastAsia="ru-RU"/>
        </w:rPr>
        <w:instrText>names</w:instrText>
      </w:r>
      <w:r w:rsidR="00E974B2" w:rsidRPr="006C476A">
        <w:rPr>
          <w:lang w:eastAsia="ru-RU"/>
        </w:rPr>
        <w:instrText>":</w:instrText>
      </w:r>
      <w:r w:rsidR="00E974B2">
        <w:rPr>
          <w:lang w:val="en-US" w:eastAsia="ru-RU"/>
        </w:rPr>
        <w:instrText>false</w:instrText>
      </w:r>
      <w:r w:rsidR="00E974B2" w:rsidRPr="006C476A">
        <w:rPr>
          <w:lang w:eastAsia="ru-RU"/>
        </w:rPr>
        <w:instrText>,"</w:instrText>
      </w:r>
      <w:r w:rsidR="00E974B2">
        <w:rPr>
          <w:lang w:val="en-US" w:eastAsia="ru-RU"/>
        </w:rPr>
        <w:instrText>suffix</w:instrText>
      </w:r>
      <w:r w:rsidR="00E974B2" w:rsidRPr="006C476A">
        <w:rPr>
          <w:lang w:eastAsia="ru-RU"/>
        </w:rPr>
        <w:instrText>":""}],"</w:instrText>
      </w:r>
      <w:r w:rsidR="00E974B2">
        <w:rPr>
          <w:lang w:val="en-US" w:eastAsia="ru-RU"/>
        </w:rPr>
        <w:instrText>container</w:instrText>
      </w:r>
      <w:r w:rsidR="00E974B2" w:rsidRPr="006C476A">
        <w:rPr>
          <w:lang w:eastAsia="ru-RU"/>
        </w:rPr>
        <w:instrText>-</w:instrText>
      </w:r>
      <w:r w:rsidR="00E974B2">
        <w:rPr>
          <w:lang w:val="en-US" w:eastAsia="ru-RU"/>
        </w:rPr>
        <w:instrText>title</w:instrText>
      </w:r>
      <w:r w:rsidR="00E974B2" w:rsidRPr="006C476A">
        <w:rPr>
          <w:lang w:eastAsia="ru-RU"/>
        </w:rPr>
        <w:instrText>":"</w:instrText>
      </w:r>
      <w:r w:rsidR="00E974B2">
        <w:rPr>
          <w:lang w:val="en-US" w:eastAsia="ru-RU"/>
        </w:rPr>
        <w:instrText>Current</w:instrText>
      </w:r>
      <w:r w:rsidR="00E974B2" w:rsidRPr="006C476A">
        <w:rPr>
          <w:lang w:eastAsia="ru-RU"/>
        </w:rPr>
        <w:instrText xml:space="preserve"> </w:instrText>
      </w:r>
      <w:r w:rsidR="00E974B2">
        <w:rPr>
          <w:lang w:val="en-US" w:eastAsia="ru-RU"/>
        </w:rPr>
        <w:instrText>Oncology</w:instrText>
      </w:r>
      <w:r w:rsidR="00E974B2" w:rsidRPr="006C476A">
        <w:rPr>
          <w:lang w:eastAsia="ru-RU"/>
        </w:rPr>
        <w:instrText>","</w:instrText>
      </w:r>
      <w:r w:rsidR="00E974B2">
        <w:rPr>
          <w:lang w:val="en-US" w:eastAsia="ru-RU"/>
        </w:rPr>
        <w:instrText>id</w:instrText>
      </w:r>
      <w:r w:rsidR="00E974B2" w:rsidRPr="006C476A">
        <w:rPr>
          <w:lang w:eastAsia="ru-RU"/>
        </w:rPr>
        <w:instrText>":"</w:instrText>
      </w:r>
      <w:r w:rsidR="00E974B2">
        <w:rPr>
          <w:lang w:val="en-US" w:eastAsia="ru-RU"/>
        </w:rPr>
        <w:instrText>ITEM</w:instrText>
      </w:r>
      <w:r w:rsidR="00E974B2" w:rsidRPr="006C476A">
        <w:rPr>
          <w:lang w:eastAsia="ru-RU"/>
        </w:rPr>
        <w:instrText>-4","</w:instrText>
      </w:r>
      <w:r w:rsidR="00E974B2">
        <w:rPr>
          <w:lang w:val="en-US" w:eastAsia="ru-RU"/>
        </w:rPr>
        <w:instrText>issue</w:instrText>
      </w:r>
      <w:r w:rsidR="00E974B2" w:rsidRPr="006C476A">
        <w:rPr>
          <w:lang w:eastAsia="ru-RU"/>
        </w:rPr>
        <w:instrText>":"1","</w:instrText>
      </w:r>
      <w:r w:rsidR="00E974B2">
        <w:rPr>
          <w:lang w:val="en-US" w:eastAsia="ru-RU"/>
        </w:rPr>
        <w:instrText>issued</w:instrText>
      </w:r>
      <w:r w:rsidR="00E974B2" w:rsidRPr="006C476A">
        <w:rPr>
          <w:lang w:eastAsia="ru-RU"/>
        </w:rPr>
        <w:instrText>":{"</w:instrText>
      </w:r>
      <w:r w:rsidR="00E974B2">
        <w:rPr>
          <w:lang w:val="en-US" w:eastAsia="ru-RU"/>
        </w:rPr>
        <w:instrText>date</w:instrText>
      </w:r>
      <w:r w:rsidR="00E974B2" w:rsidRPr="006C476A">
        <w:rPr>
          <w:lang w:eastAsia="ru-RU"/>
        </w:rPr>
        <w:instrText>-</w:instrText>
      </w:r>
      <w:r w:rsidR="00E974B2">
        <w:rPr>
          <w:lang w:val="en-US" w:eastAsia="ru-RU"/>
        </w:rPr>
        <w:instrText>parts</w:instrText>
      </w:r>
      <w:r w:rsidR="00E974B2" w:rsidRPr="006C476A">
        <w:rPr>
          <w:lang w:eastAsia="ru-RU"/>
        </w:rPr>
        <w:instrText>":[["2017"]]},"</w:instrText>
      </w:r>
      <w:r w:rsidR="00E974B2">
        <w:rPr>
          <w:lang w:val="en-US" w:eastAsia="ru-RU"/>
        </w:rPr>
        <w:instrText>page</w:instrText>
      </w:r>
      <w:r w:rsidR="00E974B2" w:rsidRPr="006C476A">
        <w:rPr>
          <w:lang w:eastAsia="ru-RU"/>
        </w:rPr>
        <w:instrText>":"33-39","</w:instrText>
      </w:r>
      <w:r w:rsidR="00E974B2">
        <w:rPr>
          <w:lang w:val="en-US" w:eastAsia="ru-RU"/>
        </w:rPr>
        <w:instrText>publisher</w:instrText>
      </w:r>
      <w:r w:rsidR="00E974B2" w:rsidRPr="006C476A">
        <w:rPr>
          <w:lang w:eastAsia="ru-RU"/>
        </w:rPr>
        <w:instrText>":"</w:instrText>
      </w:r>
      <w:r w:rsidR="00E974B2">
        <w:rPr>
          <w:lang w:val="en-US" w:eastAsia="ru-RU"/>
        </w:rPr>
        <w:instrText>Multimed</w:instrText>
      </w:r>
      <w:r w:rsidR="00E974B2" w:rsidRPr="006C476A">
        <w:rPr>
          <w:lang w:eastAsia="ru-RU"/>
        </w:rPr>
        <w:instrText xml:space="preserve"> </w:instrText>
      </w:r>
      <w:r w:rsidR="00E974B2">
        <w:rPr>
          <w:lang w:val="en-US" w:eastAsia="ru-RU"/>
        </w:rPr>
        <w:instrText>Inc</w:instrText>
      </w:r>
      <w:r w:rsidR="00E974B2" w:rsidRPr="006C476A">
        <w:rPr>
          <w:lang w:eastAsia="ru-RU"/>
        </w:rPr>
        <w:instrText>.","</w:instrText>
      </w:r>
      <w:r w:rsidR="00E974B2">
        <w:rPr>
          <w:lang w:val="en-US" w:eastAsia="ru-RU"/>
        </w:rPr>
        <w:instrText>title</w:instrText>
      </w:r>
      <w:r w:rsidR="00E974B2" w:rsidRPr="006C476A">
        <w:rPr>
          <w:lang w:eastAsia="ru-RU"/>
        </w:rPr>
        <w:instrText>":"</w:instrText>
      </w:r>
      <w:r w:rsidR="00E974B2">
        <w:rPr>
          <w:lang w:val="en-US" w:eastAsia="ru-RU"/>
        </w:rPr>
        <w:instrText>A</w:instrText>
      </w:r>
      <w:r w:rsidR="00E974B2" w:rsidRPr="006C476A">
        <w:rPr>
          <w:lang w:eastAsia="ru-RU"/>
        </w:rPr>
        <w:instrText xml:space="preserve"> </w:instrText>
      </w:r>
      <w:r w:rsidR="00E974B2">
        <w:rPr>
          <w:lang w:val="en-US" w:eastAsia="ru-RU"/>
        </w:rPr>
        <w:instrText>canadian</w:instrText>
      </w:r>
      <w:r w:rsidR="00E974B2" w:rsidRPr="006C476A">
        <w:rPr>
          <w:lang w:eastAsia="ru-RU"/>
        </w:rPr>
        <w:instrText xml:space="preserve"> </w:instrText>
      </w:r>
      <w:r w:rsidR="00E974B2">
        <w:rPr>
          <w:lang w:val="en-US" w:eastAsia="ru-RU"/>
        </w:rPr>
        <w:instrText>perspective</w:instrText>
      </w:r>
      <w:r w:rsidR="00E974B2" w:rsidRPr="006C476A">
        <w:rPr>
          <w:lang w:eastAsia="ru-RU"/>
        </w:rPr>
        <w:instrText xml:space="preserve"> </w:instrText>
      </w:r>
      <w:r w:rsidR="00E974B2">
        <w:rPr>
          <w:lang w:val="en-US" w:eastAsia="ru-RU"/>
        </w:rPr>
        <w:instrText>on</w:instrText>
      </w:r>
      <w:r w:rsidR="00E974B2" w:rsidRPr="006C476A">
        <w:rPr>
          <w:lang w:eastAsia="ru-RU"/>
        </w:rPr>
        <w:instrText xml:space="preserve"> </w:instrText>
      </w:r>
      <w:r w:rsidR="00E974B2">
        <w:rPr>
          <w:lang w:val="en-US" w:eastAsia="ru-RU"/>
        </w:rPr>
        <w:instrText>the</w:instrText>
      </w:r>
      <w:r w:rsidR="00E974B2" w:rsidRPr="006C476A">
        <w:rPr>
          <w:lang w:eastAsia="ru-RU"/>
        </w:rPr>
        <w:instrText xml:space="preserve"> </w:instrText>
      </w:r>
      <w:r w:rsidR="00E974B2">
        <w:rPr>
          <w:lang w:val="en-US" w:eastAsia="ru-RU"/>
        </w:rPr>
        <w:instrText>subcutaneous</w:instrText>
      </w:r>
      <w:r w:rsidR="00E974B2" w:rsidRPr="006C476A">
        <w:rPr>
          <w:lang w:eastAsia="ru-RU"/>
        </w:rPr>
        <w:instrText xml:space="preserve"> </w:instrText>
      </w:r>
      <w:r w:rsidR="00E974B2">
        <w:rPr>
          <w:lang w:val="en-US" w:eastAsia="ru-RU"/>
        </w:rPr>
        <w:instrText>administration</w:instrText>
      </w:r>
      <w:r w:rsidR="00E974B2" w:rsidRPr="006C476A">
        <w:rPr>
          <w:lang w:eastAsia="ru-RU"/>
        </w:rPr>
        <w:instrText xml:space="preserve"> </w:instrText>
      </w:r>
      <w:r w:rsidR="00E974B2">
        <w:rPr>
          <w:lang w:val="en-US" w:eastAsia="ru-RU"/>
        </w:rPr>
        <w:instrText>of</w:instrText>
      </w:r>
      <w:r w:rsidR="00E974B2" w:rsidRPr="006C476A">
        <w:rPr>
          <w:lang w:eastAsia="ru-RU"/>
        </w:rPr>
        <w:instrText xml:space="preserve"> </w:instrText>
      </w:r>
      <w:r w:rsidR="00E974B2">
        <w:rPr>
          <w:lang w:val="en-US" w:eastAsia="ru-RU"/>
        </w:rPr>
        <w:instrText>rituximab</w:instrText>
      </w:r>
      <w:r w:rsidR="00E974B2" w:rsidRPr="006C476A">
        <w:rPr>
          <w:lang w:eastAsia="ru-RU"/>
        </w:rPr>
        <w:instrText xml:space="preserve"> </w:instrText>
      </w:r>
      <w:r w:rsidR="00E974B2">
        <w:rPr>
          <w:lang w:val="en-US" w:eastAsia="ru-RU"/>
        </w:rPr>
        <w:instrText>in</w:instrText>
      </w:r>
      <w:r w:rsidR="00E974B2" w:rsidRPr="006C476A">
        <w:rPr>
          <w:lang w:eastAsia="ru-RU"/>
        </w:rPr>
        <w:instrText xml:space="preserve"> </w:instrText>
      </w:r>
      <w:r w:rsidR="00E974B2">
        <w:rPr>
          <w:lang w:val="en-US" w:eastAsia="ru-RU"/>
        </w:rPr>
        <w:instrText>non</w:instrText>
      </w:r>
      <w:r w:rsidR="00E974B2" w:rsidRPr="006C476A">
        <w:rPr>
          <w:lang w:eastAsia="ru-RU"/>
        </w:rPr>
        <w:instrText>-</w:instrText>
      </w:r>
      <w:r w:rsidR="00E974B2">
        <w:rPr>
          <w:lang w:val="en-US" w:eastAsia="ru-RU"/>
        </w:rPr>
        <w:instrText>Hodgkin</w:instrText>
      </w:r>
      <w:r w:rsidR="00E974B2" w:rsidRPr="006C476A">
        <w:rPr>
          <w:lang w:eastAsia="ru-RU"/>
        </w:rPr>
        <w:instrText xml:space="preserve"> </w:instrText>
      </w:r>
      <w:r w:rsidR="00E974B2">
        <w:rPr>
          <w:lang w:val="en-US" w:eastAsia="ru-RU"/>
        </w:rPr>
        <w:instrText>lymphoma</w:instrText>
      </w:r>
      <w:r w:rsidR="00E974B2" w:rsidRPr="006C476A">
        <w:rPr>
          <w:lang w:eastAsia="ru-RU"/>
        </w:rPr>
        <w:instrText>","</w:instrText>
      </w:r>
      <w:r w:rsidR="00E974B2">
        <w:rPr>
          <w:lang w:val="en-US" w:eastAsia="ru-RU"/>
        </w:rPr>
        <w:instrText>type</w:instrText>
      </w:r>
      <w:r w:rsidR="00E974B2" w:rsidRPr="006C476A">
        <w:rPr>
          <w:lang w:eastAsia="ru-RU"/>
        </w:rPr>
        <w:instrText>":"</w:instrText>
      </w:r>
      <w:r w:rsidR="00E974B2">
        <w:rPr>
          <w:lang w:val="en-US" w:eastAsia="ru-RU"/>
        </w:rPr>
        <w:instrText>article</w:instrText>
      </w:r>
      <w:r w:rsidR="00E974B2" w:rsidRPr="006C476A">
        <w:rPr>
          <w:lang w:eastAsia="ru-RU"/>
        </w:rPr>
        <w:instrText>","</w:instrText>
      </w:r>
      <w:r w:rsidR="00E974B2">
        <w:rPr>
          <w:lang w:val="en-US" w:eastAsia="ru-RU"/>
        </w:rPr>
        <w:instrText>volume</w:instrText>
      </w:r>
      <w:r w:rsidR="00E974B2" w:rsidRPr="006C476A">
        <w:rPr>
          <w:lang w:eastAsia="ru-RU"/>
        </w:rPr>
        <w:instrText>":"24"},"</w:instrText>
      </w:r>
      <w:r w:rsidR="00E974B2">
        <w:rPr>
          <w:lang w:val="en-US" w:eastAsia="ru-RU"/>
        </w:rPr>
        <w:instrText>uris</w:instrText>
      </w:r>
      <w:r w:rsidR="00E974B2" w:rsidRPr="006C476A">
        <w:rPr>
          <w:lang w:eastAsia="ru-RU"/>
        </w:rPr>
        <w:instrText>":["</w:instrText>
      </w:r>
      <w:r w:rsidR="00E974B2">
        <w:rPr>
          <w:lang w:val="en-US" w:eastAsia="ru-RU"/>
        </w:rPr>
        <w:instrText>http</w:instrText>
      </w:r>
      <w:r w:rsidR="00E974B2" w:rsidRPr="006C476A">
        <w:rPr>
          <w:lang w:eastAsia="ru-RU"/>
        </w:rPr>
        <w:instrText>://</w:instrText>
      </w:r>
      <w:r w:rsidR="00E974B2">
        <w:rPr>
          <w:lang w:val="en-US" w:eastAsia="ru-RU"/>
        </w:rPr>
        <w:instrText>www</w:instrText>
      </w:r>
      <w:r w:rsidR="00E974B2" w:rsidRPr="006C476A">
        <w:rPr>
          <w:lang w:eastAsia="ru-RU"/>
        </w:rPr>
        <w:instrText>.</w:instrText>
      </w:r>
      <w:r w:rsidR="00E974B2">
        <w:rPr>
          <w:lang w:val="en-US" w:eastAsia="ru-RU"/>
        </w:rPr>
        <w:instrText>mendeley</w:instrText>
      </w:r>
      <w:r w:rsidR="00E974B2" w:rsidRPr="006C476A">
        <w:rPr>
          <w:lang w:eastAsia="ru-RU"/>
        </w:rPr>
        <w:instrText>.</w:instrText>
      </w:r>
      <w:r w:rsidR="00E974B2">
        <w:rPr>
          <w:lang w:val="en-US" w:eastAsia="ru-RU"/>
        </w:rPr>
        <w:instrText>com</w:instrText>
      </w:r>
      <w:r w:rsidR="00E974B2" w:rsidRPr="006C476A">
        <w:rPr>
          <w:lang w:eastAsia="ru-RU"/>
        </w:rPr>
        <w:instrText>/</w:instrText>
      </w:r>
      <w:r w:rsidR="00E974B2">
        <w:rPr>
          <w:lang w:val="en-US" w:eastAsia="ru-RU"/>
        </w:rPr>
        <w:instrText>documents</w:instrText>
      </w:r>
      <w:r w:rsidR="00E974B2" w:rsidRPr="006C476A">
        <w:rPr>
          <w:lang w:eastAsia="ru-RU"/>
        </w:rPr>
        <w:instrText>/?</w:instrText>
      </w:r>
      <w:r w:rsidR="00E974B2">
        <w:rPr>
          <w:lang w:val="en-US" w:eastAsia="ru-RU"/>
        </w:rPr>
        <w:instrText>uuid</w:instrText>
      </w:r>
      <w:r w:rsidR="00E974B2" w:rsidRPr="006C476A">
        <w:rPr>
          <w:lang w:eastAsia="ru-RU"/>
        </w:rPr>
        <w:instrText>=0</w:instrText>
      </w:r>
      <w:r w:rsidR="00E974B2">
        <w:rPr>
          <w:lang w:val="en-US" w:eastAsia="ru-RU"/>
        </w:rPr>
        <w:instrText>dec</w:instrText>
      </w:r>
      <w:r w:rsidR="00E974B2" w:rsidRPr="006C476A">
        <w:rPr>
          <w:lang w:eastAsia="ru-RU"/>
        </w:rPr>
        <w:instrText>225</w:instrText>
      </w:r>
      <w:r w:rsidR="00E974B2">
        <w:rPr>
          <w:lang w:val="en-US" w:eastAsia="ru-RU"/>
        </w:rPr>
        <w:instrText>e</w:instrText>
      </w:r>
      <w:r w:rsidR="00E974B2" w:rsidRPr="006C476A">
        <w:rPr>
          <w:lang w:eastAsia="ru-RU"/>
        </w:rPr>
        <w:instrText>-8</w:instrText>
      </w:r>
      <w:r w:rsidR="00E974B2">
        <w:rPr>
          <w:lang w:val="en-US" w:eastAsia="ru-RU"/>
        </w:rPr>
        <w:instrText>a</w:instrText>
      </w:r>
      <w:r w:rsidR="00E974B2" w:rsidRPr="006C476A">
        <w:rPr>
          <w:lang w:eastAsia="ru-RU"/>
        </w:rPr>
        <w:instrText>47-3680-</w:instrText>
      </w:r>
      <w:r w:rsidR="00E974B2">
        <w:rPr>
          <w:lang w:val="en-US" w:eastAsia="ru-RU"/>
        </w:rPr>
        <w:instrText>ba</w:instrText>
      </w:r>
      <w:r w:rsidR="00E974B2" w:rsidRPr="006C476A">
        <w:rPr>
          <w:lang w:eastAsia="ru-RU"/>
        </w:rPr>
        <w:instrText>4</w:instrText>
      </w:r>
      <w:r w:rsidR="00E974B2">
        <w:rPr>
          <w:lang w:val="en-US" w:eastAsia="ru-RU"/>
        </w:rPr>
        <w:instrText>d</w:instrText>
      </w:r>
      <w:r w:rsidR="00E974B2" w:rsidRPr="006C476A">
        <w:rPr>
          <w:lang w:eastAsia="ru-RU"/>
        </w:rPr>
        <w:instrText>-891955</w:instrText>
      </w:r>
      <w:r w:rsidR="00E974B2">
        <w:rPr>
          <w:lang w:val="en-US" w:eastAsia="ru-RU"/>
        </w:rPr>
        <w:instrText>a</w:instrText>
      </w:r>
      <w:r w:rsidR="00E974B2" w:rsidRPr="006C476A">
        <w:rPr>
          <w:lang w:eastAsia="ru-RU"/>
        </w:rPr>
        <w:instrText>938</w:instrText>
      </w:r>
      <w:r w:rsidR="00E974B2">
        <w:rPr>
          <w:lang w:val="en-US" w:eastAsia="ru-RU"/>
        </w:rPr>
        <w:instrText>a</w:instrText>
      </w:r>
      <w:r w:rsidR="00E974B2" w:rsidRPr="006C476A">
        <w:rPr>
          <w:lang w:eastAsia="ru-RU"/>
        </w:rPr>
        <w:instrText>1"]}],"</w:instrText>
      </w:r>
      <w:r w:rsidR="00E974B2">
        <w:rPr>
          <w:lang w:val="en-US" w:eastAsia="ru-RU"/>
        </w:rPr>
        <w:instrText>mendeley</w:instrText>
      </w:r>
      <w:r w:rsidR="00E974B2" w:rsidRPr="006C476A">
        <w:rPr>
          <w:lang w:eastAsia="ru-RU"/>
        </w:rPr>
        <w:instrText>":{"</w:instrText>
      </w:r>
      <w:r w:rsidR="00E974B2">
        <w:rPr>
          <w:lang w:val="en-US" w:eastAsia="ru-RU"/>
        </w:rPr>
        <w:instrText>formattedCitation</w:instrText>
      </w:r>
      <w:r w:rsidR="00E974B2" w:rsidRPr="006C476A">
        <w:rPr>
          <w:lang w:eastAsia="ru-RU"/>
        </w:rPr>
        <w:instrText>":"[180–183]","</w:instrText>
      </w:r>
      <w:r w:rsidR="00E974B2">
        <w:rPr>
          <w:lang w:val="en-US" w:eastAsia="ru-RU"/>
        </w:rPr>
        <w:instrText>plainTextFormattedCitation</w:instrText>
      </w:r>
      <w:r w:rsidR="00E974B2" w:rsidRPr="006C476A">
        <w:rPr>
          <w:lang w:eastAsia="ru-RU"/>
        </w:rPr>
        <w:instrText>":"[180–183]","</w:instrText>
      </w:r>
      <w:r w:rsidR="00E974B2">
        <w:rPr>
          <w:lang w:val="en-US" w:eastAsia="ru-RU"/>
        </w:rPr>
        <w:instrText>previouslyFormattedCitation</w:instrText>
      </w:r>
      <w:r w:rsidR="00E974B2" w:rsidRPr="006C476A">
        <w:rPr>
          <w:lang w:eastAsia="ru-RU"/>
        </w:rPr>
        <w:instrText>":"[180–183]"},"</w:instrText>
      </w:r>
      <w:r w:rsidR="00E974B2">
        <w:rPr>
          <w:lang w:val="en-US" w:eastAsia="ru-RU"/>
        </w:rPr>
        <w:instrText>properties</w:instrText>
      </w:r>
      <w:r w:rsidR="00E974B2" w:rsidRPr="006C476A">
        <w:rPr>
          <w:lang w:eastAsia="ru-RU"/>
        </w:rPr>
        <w:instrText>":{"</w:instrText>
      </w:r>
      <w:r w:rsidR="00E974B2">
        <w:rPr>
          <w:lang w:val="en-US" w:eastAsia="ru-RU"/>
        </w:rPr>
        <w:instrText>noteIndex</w:instrText>
      </w:r>
      <w:r w:rsidR="00E974B2" w:rsidRPr="006C476A">
        <w:rPr>
          <w:lang w:eastAsia="ru-RU"/>
        </w:rPr>
        <w:instrText>":0},"</w:instrText>
      </w:r>
      <w:r w:rsidR="00E974B2">
        <w:rPr>
          <w:lang w:val="en-US" w:eastAsia="ru-RU"/>
        </w:rPr>
        <w:instrText>schema</w:instrText>
      </w:r>
      <w:r w:rsidR="00E974B2" w:rsidRPr="006C476A">
        <w:rPr>
          <w:lang w:eastAsia="ru-RU"/>
        </w:rPr>
        <w:instrText>":"</w:instrText>
      </w:r>
      <w:r w:rsidR="00E974B2">
        <w:rPr>
          <w:lang w:val="en-US" w:eastAsia="ru-RU"/>
        </w:rPr>
        <w:instrText>https</w:instrText>
      </w:r>
      <w:r w:rsidR="00E974B2" w:rsidRPr="006C476A">
        <w:rPr>
          <w:lang w:eastAsia="ru-RU"/>
        </w:rPr>
        <w:instrText>://</w:instrText>
      </w:r>
      <w:r w:rsidR="00E974B2">
        <w:rPr>
          <w:lang w:val="en-US" w:eastAsia="ru-RU"/>
        </w:rPr>
        <w:instrText>github</w:instrText>
      </w:r>
      <w:r w:rsidR="00E974B2" w:rsidRPr="006C476A">
        <w:rPr>
          <w:lang w:eastAsia="ru-RU"/>
        </w:rPr>
        <w:instrText>.</w:instrText>
      </w:r>
      <w:r w:rsidR="00E974B2">
        <w:rPr>
          <w:lang w:val="en-US" w:eastAsia="ru-RU"/>
        </w:rPr>
        <w:instrText>com</w:instrText>
      </w:r>
      <w:r w:rsidR="00E974B2" w:rsidRPr="006C476A">
        <w:rPr>
          <w:lang w:eastAsia="ru-RU"/>
        </w:rPr>
        <w:instrText>/</w:instrText>
      </w:r>
      <w:r w:rsidR="00E974B2">
        <w:rPr>
          <w:lang w:val="en-US" w:eastAsia="ru-RU"/>
        </w:rPr>
        <w:instrText>citation</w:instrText>
      </w:r>
      <w:r w:rsidR="00E974B2" w:rsidRPr="006C476A">
        <w:rPr>
          <w:lang w:eastAsia="ru-RU"/>
        </w:rPr>
        <w:instrText>-</w:instrText>
      </w:r>
      <w:r w:rsidR="00E974B2">
        <w:rPr>
          <w:lang w:val="en-US" w:eastAsia="ru-RU"/>
        </w:rPr>
        <w:instrText>style</w:instrText>
      </w:r>
      <w:r w:rsidR="00E974B2" w:rsidRPr="006C476A">
        <w:rPr>
          <w:lang w:eastAsia="ru-RU"/>
        </w:rPr>
        <w:instrText>-</w:instrText>
      </w:r>
      <w:r w:rsidR="00E974B2">
        <w:rPr>
          <w:lang w:val="en-US" w:eastAsia="ru-RU"/>
        </w:rPr>
        <w:instrText>language</w:instrText>
      </w:r>
      <w:r w:rsidR="00E974B2" w:rsidRPr="006C476A">
        <w:rPr>
          <w:lang w:eastAsia="ru-RU"/>
        </w:rPr>
        <w:instrText>/</w:instrText>
      </w:r>
      <w:r w:rsidR="00E974B2">
        <w:rPr>
          <w:lang w:val="en-US" w:eastAsia="ru-RU"/>
        </w:rPr>
        <w:instrText>schema</w:instrText>
      </w:r>
      <w:r w:rsidR="00E974B2" w:rsidRPr="006C476A">
        <w:rPr>
          <w:lang w:eastAsia="ru-RU"/>
        </w:rPr>
        <w:instrText>/</w:instrText>
      </w:r>
      <w:r w:rsidR="00E974B2">
        <w:rPr>
          <w:lang w:val="en-US" w:eastAsia="ru-RU"/>
        </w:rPr>
        <w:instrText>raw</w:instrText>
      </w:r>
      <w:r w:rsidR="00E974B2" w:rsidRPr="006C476A">
        <w:rPr>
          <w:lang w:eastAsia="ru-RU"/>
        </w:rPr>
        <w:instrText>/</w:instrText>
      </w:r>
      <w:r w:rsidR="00E974B2">
        <w:rPr>
          <w:lang w:val="en-US" w:eastAsia="ru-RU"/>
        </w:rPr>
        <w:instrText>master</w:instrText>
      </w:r>
      <w:r w:rsidR="00E974B2" w:rsidRPr="006C476A">
        <w:rPr>
          <w:lang w:eastAsia="ru-RU"/>
        </w:rPr>
        <w:instrText>/</w:instrText>
      </w:r>
      <w:r w:rsidR="00E974B2">
        <w:rPr>
          <w:lang w:val="en-US" w:eastAsia="ru-RU"/>
        </w:rPr>
        <w:instrText>csl</w:instrText>
      </w:r>
      <w:r w:rsidR="00E974B2" w:rsidRPr="006C476A">
        <w:rPr>
          <w:lang w:eastAsia="ru-RU"/>
        </w:rPr>
        <w:instrText>-</w:instrText>
      </w:r>
      <w:r w:rsidR="00E974B2">
        <w:rPr>
          <w:lang w:val="en-US" w:eastAsia="ru-RU"/>
        </w:rPr>
        <w:instrText>citation</w:instrText>
      </w:r>
      <w:r w:rsidR="00E974B2" w:rsidRPr="006C476A">
        <w:rPr>
          <w:lang w:eastAsia="ru-RU"/>
        </w:rPr>
        <w:instrText>.</w:instrText>
      </w:r>
      <w:r w:rsidR="00E974B2">
        <w:rPr>
          <w:lang w:val="en-US" w:eastAsia="ru-RU"/>
        </w:rPr>
        <w:instrText>json</w:instrText>
      </w:r>
      <w:r w:rsidR="00E974B2" w:rsidRPr="006C476A">
        <w:rPr>
          <w:lang w:eastAsia="ru-RU"/>
        </w:rPr>
        <w:instrText>"}</w:instrText>
      </w:r>
      <w:r w:rsidRPr="000322E4">
        <w:rPr>
          <w:lang w:val="en-US" w:eastAsia="ru-RU"/>
        </w:rPr>
        <w:fldChar w:fldCharType="separate"/>
      </w:r>
      <w:r w:rsidR="004C51FF" w:rsidRPr="004C51FF">
        <w:rPr>
          <w:noProof/>
          <w:lang w:eastAsia="ru-RU"/>
        </w:rPr>
        <w:t>[180–183]</w:t>
      </w:r>
      <w:r w:rsidRPr="000322E4">
        <w:rPr>
          <w:lang w:val="en-US" w:eastAsia="ru-RU"/>
        </w:rPr>
        <w:fldChar w:fldCharType="end"/>
      </w:r>
    </w:p>
    <w:p w14:paraId="3175CA01" w14:textId="77777777" w:rsidR="00666D68" w:rsidRPr="000322E4" w:rsidRDefault="00666D68" w:rsidP="00F414BF">
      <w:pPr>
        <w:numPr>
          <w:ilvl w:val="0"/>
          <w:numId w:val="39"/>
        </w:numPr>
      </w:pPr>
      <w:r w:rsidRPr="000322E4">
        <w:t>Доксорубицин</w:t>
      </w:r>
      <w:r w:rsidRPr="000322E4">
        <w:rPr>
          <w:bCs/>
        </w:rPr>
        <w:t>**</w:t>
      </w:r>
      <w:r w:rsidRPr="000322E4">
        <w:t xml:space="preserve"> 50 мг/м</w:t>
      </w:r>
      <w:r w:rsidRPr="000322E4">
        <w:rPr>
          <w:vertAlign w:val="superscript"/>
        </w:rPr>
        <w:t>2</w:t>
      </w:r>
      <w:r w:rsidRPr="000322E4">
        <w:t xml:space="preserve"> в/в кап., день 1</w:t>
      </w:r>
    </w:p>
    <w:p w14:paraId="0ED364AE" w14:textId="77777777" w:rsidR="00666D68" w:rsidRPr="000322E4" w:rsidRDefault="00666D68" w:rsidP="00F414BF">
      <w:pPr>
        <w:numPr>
          <w:ilvl w:val="0"/>
          <w:numId w:val="39"/>
        </w:numPr>
      </w:pPr>
      <w:r w:rsidRPr="000322E4">
        <w:t>Циклофосфамид</w:t>
      </w:r>
      <w:r w:rsidRPr="000322E4">
        <w:rPr>
          <w:bCs/>
        </w:rPr>
        <w:t>**</w:t>
      </w:r>
      <w:r w:rsidRPr="000322E4">
        <w:t xml:space="preserve"> 750 мг/м</w:t>
      </w:r>
      <w:r w:rsidRPr="000322E4">
        <w:rPr>
          <w:vertAlign w:val="superscript"/>
        </w:rPr>
        <w:t>2</w:t>
      </w:r>
      <w:r w:rsidRPr="000322E4">
        <w:t xml:space="preserve"> в/в кап., день 1</w:t>
      </w:r>
    </w:p>
    <w:p w14:paraId="5ECA124B" w14:textId="77777777" w:rsidR="00666D68" w:rsidRPr="000322E4" w:rsidRDefault="000322E4" w:rsidP="00F414BF">
      <w:pPr>
        <w:numPr>
          <w:ilvl w:val="0"/>
          <w:numId w:val="39"/>
        </w:numPr>
      </w:pPr>
      <w:r w:rsidRPr="000322E4">
        <w:t>#</w:t>
      </w:r>
      <w:r w:rsidR="00666D68" w:rsidRPr="000322E4">
        <w:t>Винкристин</w:t>
      </w:r>
      <w:r w:rsidR="00666D68" w:rsidRPr="000322E4">
        <w:rPr>
          <w:bCs/>
        </w:rPr>
        <w:t>**</w:t>
      </w:r>
      <w:r w:rsidR="00666D68" w:rsidRPr="000322E4">
        <w:t xml:space="preserve"> 1,4 мг/м</w:t>
      </w:r>
      <w:r w:rsidR="00666D68" w:rsidRPr="000322E4">
        <w:rPr>
          <w:vertAlign w:val="superscript"/>
        </w:rPr>
        <w:t>2</w:t>
      </w:r>
      <w:r w:rsidR="00666D68" w:rsidRPr="000322E4">
        <w:t xml:space="preserve"> (суммарно не более 2 мг) в/в, день 1</w:t>
      </w:r>
    </w:p>
    <w:p w14:paraId="092CB219" w14:textId="77777777" w:rsidR="00666D68" w:rsidRPr="000322E4" w:rsidRDefault="00666D68" w:rsidP="00F414BF">
      <w:pPr>
        <w:numPr>
          <w:ilvl w:val="0"/>
          <w:numId w:val="39"/>
        </w:numPr>
      </w:pPr>
      <w:r w:rsidRPr="000322E4">
        <w:t>Преднизолон</w:t>
      </w:r>
      <w:r w:rsidRPr="000322E4">
        <w:rPr>
          <w:bCs/>
        </w:rPr>
        <w:t>**</w:t>
      </w:r>
      <w:r w:rsidRPr="000322E4">
        <w:t xml:space="preserve"> 100 мг внутрь, дни 1-5</w:t>
      </w:r>
    </w:p>
    <w:p w14:paraId="12B91D4F" w14:textId="77777777" w:rsidR="00666D68" w:rsidRPr="000322E4" w:rsidRDefault="00666D68" w:rsidP="00F414BF">
      <w:pPr>
        <w:ind w:left="360"/>
      </w:pPr>
      <w:r w:rsidRPr="000322E4">
        <w:t>Лечение возобновляется на 22 день</w:t>
      </w:r>
    </w:p>
    <w:p w14:paraId="62A62A53" w14:textId="77777777" w:rsidR="00666D68" w:rsidRPr="000322E4" w:rsidRDefault="00666D68" w:rsidP="00F414BF">
      <w:pPr>
        <w:ind w:left="360"/>
        <w:rPr>
          <w:lang w:val="en-US"/>
        </w:rPr>
      </w:pPr>
      <w:r w:rsidRPr="000322E4">
        <w:t>У пациентов пожилого возраста с сердечно-сосудистой патологией возможно примение пегилированного липосомального доксорубицина</w:t>
      </w:r>
      <w:r w:rsidRPr="000322E4">
        <w:rPr>
          <w:bCs/>
        </w:rPr>
        <w:t>**</w:t>
      </w:r>
      <w:r w:rsidRPr="000322E4">
        <w:t xml:space="preserve"> 30 мг/м</w:t>
      </w:r>
      <w:r w:rsidRPr="000322E4">
        <w:rPr>
          <w:vertAlign w:val="superscript"/>
        </w:rPr>
        <w:t>2</w:t>
      </w:r>
      <w:r w:rsidRPr="000322E4">
        <w:t xml:space="preserve"> в/в кап., день 1 </w:t>
      </w:r>
      <w:r w:rsidRPr="000322E4">
        <w:fldChar w:fldCharType="begin" w:fldLock="1"/>
      </w:r>
      <w:r w:rsidRPr="000322E4">
        <w:instrText>ADDIN CSL_CITATION {"citationItems":[{"id":"ITEM-1","itemData":{"DOI":"10.1080/10428190600799946","ISSN":"10428194","abstract":"Thirty untreated patients, median age 69 years (range 60-75 years), with diffuse large B-cell lymphoma (B-DLCL) were treated with a pegylated liposomal doxorubicin (PL-doxorubicin) modified CHOP-rituximab regimen. PL-doxorubicin 30 mg/m2, was given in combination with standard dosage of prednisone, vincristine, cyclophosphamide, rituximab (according to CHOP-R regimen) every 21 days for six courses. Cardiac toxicity was evaluated by mean of echocardiography for left ventricular ejection fraction (LVEF) evaluations and serum troponin-I levels. Overall response and complete response rates were 76% and 59%. Projected two year event free survival and overall survival are 65.5% and 68.5%. No treatment-related mortality was documented. WHO grade III-IV neutropenia and thrombocytopenia were 86% and 3%. Extra-hematological III-IV toxicity was represented, respectively, by a single case of infection, mucositis, and bleeding. LVEF evaluations and the troponin levels did not show significant changes over the course of the treatment. One patient with a previous history of atrial fibrillation experienced a single episode of arrhythmia. None of the patients developed palmar-plantar erythrodysesthesia. This regimen appears an active regimen for the treatment of elderly patients with B-DLCL. The replacement of conventional doxorubicin with PL-doxorubicin seems to be associated with a negligible incidence of extra-hematological toxicity, in particular cardiac and infectious complications.","author":[{"dropping-particle":"","family":"Zaja","given":"F.","non-dropping-particle":"","parse-names":false,"suffix":""},{"dropping-particle":"","family":"Tomadini","given":"V.","non-dropping-particle":"","parse-names":false,"suffix":""},{"dropping-particle":"","family":"Zaccaria","given":"A.","non-dropping-particle":"","parse-names":false,"suffix":""},{"dropping-particle":"","family":"Lenoci","given":"M.","non-dropping-particle":"","parse-names":false,"suffix":""},{"dropping-particle":"","family":"Battista","given":"M.","non-dropping-particle":"","parse-names":false,"suffix":""},{"dropping-particle":"","family":"Molinari","given":"A. L.","non-dropping-particle":"","parse-names":false,"suffix":""},{"dropping-particle":"","family":"Fabbri","given":"A.","non-dropping-particle":"","parse-names":false,"suffix":""},{"dropping-particle":"","family":"Battista","given":"R.","non-dropping-particle":"","parse-names":false,"suffix":""},{"dropping-particle":"","family":"Cabras","given":"M. G.","non-dropping-particle":"","parse-names":false,"suffix":""},{"dropping-particle":"","family":"Gallamini","given":"A.","non-dropping-particle":"","parse-names":false,"suffix":""},{"dropping-particle":"","family":"Fanin","given":"R.","non-dropping-particle":"","parse-names":false,"suffix":""}],"container-title":"Leukemia and Lymphoma","id":"ITEM-1","issue":"10","issued":{"date-parts":[["2006","10"]]},"page":"2174-2180","title":"CHOP-rituximab with pegylated liposomal doxorubicin for the treatment of elderly patients with diffuse large B-cell lymphoma","type":"article-journal","volume":"47"},"uris":["http://www.mendeley.com/documents/?uuid=f43fc2fc-c6d0-394a-ab16-c200c65f161a"]}],"mendeley":{"formattedCitation":"[51]","plainTextFormattedCitation":"[51]","previouslyFormattedCitation":"[51]"},"properties":{"noteIndex":0},"schema":"https://github.com/citation-style-language/schema/raw/master/csl-citation.json"}</w:instrText>
      </w:r>
      <w:r w:rsidRPr="000322E4">
        <w:fldChar w:fldCharType="separate"/>
      </w:r>
      <w:r w:rsidRPr="000322E4">
        <w:rPr>
          <w:noProof/>
        </w:rPr>
        <w:t>[51]</w:t>
      </w:r>
      <w:r w:rsidRPr="000322E4">
        <w:fldChar w:fldCharType="end"/>
      </w:r>
    </w:p>
    <w:p w14:paraId="1BB2AF0F" w14:textId="77777777" w:rsidR="00666D68" w:rsidRPr="000322E4" w:rsidRDefault="00666D68" w:rsidP="00F414BF">
      <w:pPr>
        <w:ind w:left="360"/>
      </w:pPr>
    </w:p>
    <w:p w14:paraId="30F2A46C" w14:textId="77777777" w:rsidR="00666D68" w:rsidRPr="000322E4" w:rsidRDefault="00666D68" w:rsidP="00F414BF">
      <w:r w:rsidRPr="000322E4">
        <w:rPr>
          <w:b/>
          <w:bCs/>
          <w:lang w:val="en-US"/>
        </w:rPr>
        <w:t>R</w:t>
      </w:r>
      <w:r w:rsidRPr="000322E4">
        <w:rPr>
          <w:b/>
          <w:bCs/>
        </w:rPr>
        <w:t>-</w:t>
      </w:r>
      <w:r w:rsidRPr="000322E4">
        <w:rPr>
          <w:b/>
          <w:bCs/>
          <w:lang w:val="en-US"/>
        </w:rPr>
        <w:t>CVP</w:t>
      </w:r>
      <w:r w:rsidRPr="000322E4">
        <w:rPr>
          <w:b/>
          <w:bCs/>
        </w:rPr>
        <w:t xml:space="preserve"> </w:t>
      </w:r>
      <w:r w:rsidRPr="000322E4">
        <w:rPr>
          <w:b/>
          <w:bCs/>
          <w:lang w:val="en-US"/>
        </w:rPr>
        <w:fldChar w:fldCharType="begin" w:fldLock="1"/>
      </w:r>
      <w:r w:rsidR="00C37789" w:rsidRPr="000322E4">
        <w:rPr>
          <w:b/>
          <w:bCs/>
          <w:lang w:val="en-US"/>
        </w:rPr>
        <w:instrText>ADDIN CSL_CITATION {"citationItems":[{"id":"ITEM-1","itemData":{"DOI":"10.1007/s00277-016-2768-x","ISSN":"14320584","abstract":"Patients aged 80 or over with diffuse large B cell lymphoma (DLBCL) often have comorbidities that increase drug toxicity and prevent the use of otherwise optimal treatment. We performed a retrospective analysis of 43 patients aged 80 or over (median age: 83; range: 80–93) unable to receive treatment with anthracyclines, at diagnosis of DLBCL, treated with an R-CVP treatment (standard R-CHOP without doxorubicin). The patients had one or more comorbidities: 18 patients (41.9 %) had a performance status (PS) of 3; 23 patients (53.5 %) had low creatinine clearance; 12 patients (27.9 %) had low left ventricular ejection fraction; seven patients (16.3 %) had poor hepatic function; and 26 patients (60.5 %) had a Charlson index score ≥4. Thirty patients (70 %) had two or three adverse factors according to the age-adjusted International Prognostic Index. Twenty-five patients (58.1 %) received eight cycles of R-CVP, but the full eight cycles could not be given to 18 patients (41.9 %). The OR rate was 58.1 % (CR 37.2 %). There were 34 deaths (79 %) during treatment and follow-up. Ten patients (23.3 %) died early from toxicity before interim evaluation; all had PS 3. The median follow-up of surviving patients was 52.6 months. The overall 2-year survival rate was 31.9 % and the median OS was 12.6 months. The median OS for patients who completed the entire treatment was 26.4 months. The median PFS was 11.2 months. In multivariate analyses, OS was only affected by performance status ≥2 and Charlson index score ≥4. The R-CVP regimen can be active in elderly frail patients aged 80 or more with DLBCL, but systematic geriatric assessment is required so that those unsuitable for chemotherapy are excluded.","author":[{"dropping-particle":"","family":"Laribi","given":"Kamel","non-dropping-particle":"","parse-names":false,"suffix":""},{"dropping-particle":"","family":"Denizon","given":"Nathalie","non-dropping-particle":"","parse-names":false,"suffix":""},{"dropping-particle":"","family":"Bolle","given":"Delphine","non-dropping-particle":"","parse-names":false,"suffix":""},{"dropping-particle":"","family":"Truong","given":"Catherine","non-dropping-particle":"","parse-names":false,"suffix":""},{"dropping-particle":"","family":"Besançon","given":"Anne","non-dropping-particle":"","parse-names":false,"suffix":""},{"dropping-particle":"","family":"Sandrini","given":"Jeremy","non-dropping-particle":"","parse-names":false,"suffix":""},{"dropping-particle":"","family":"Anghel","given":"Andreaa","non-dropping-particle":"","parse-names":false,"suffix":""},{"dropping-particle":"","family":"Farhi","given":"Jonathan","non-dropping-particle":"","parse-names":false,"suffix":""},{"dropping-particle":"","family":"Ghnaya","given":"Habib","non-dropping-particle":"","parse-names":false,"suffix":""},{"dropping-particle":"","family":"Baugier de Materre","given":"Alix","non-dropping-particle":"","parse-names":false,"suffix":""}],"container-title":"Annals of Hematology","id":"ITEM-1","issue":"10","issued":{"date-parts":[["2016","10","1"]]},"page":"1705-1714","publisher":"Springer Verlag","title":"R-CVP regimen is active in frail elderly patients aged 80 or over with diffuse large B cell lymphoma","type":"article-journal","volume":"95"},"uris":["http://www.mendeley.com/documents</w:instrText>
      </w:r>
      <w:r w:rsidR="00C37789" w:rsidRPr="000322E4">
        <w:rPr>
          <w:b/>
          <w:bCs/>
        </w:rPr>
        <w:instrText>/?</w:instrText>
      </w:r>
      <w:r w:rsidR="00C37789" w:rsidRPr="000322E4">
        <w:rPr>
          <w:b/>
          <w:bCs/>
          <w:lang w:val="en-US"/>
        </w:rPr>
        <w:instrText>uuid</w:instrText>
      </w:r>
      <w:r w:rsidR="00C37789" w:rsidRPr="000322E4">
        <w:rPr>
          <w:b/>
          <w:bCs/>
        </w:rPr>
        <w:instrText>=4</w:instrText>
      </w:r>
      <w:r w:rsidR="00C37789" w:rsidRPr="000322E4">
        <w:rPr>
          <w:b/>
          <w:bCs/>
          <w:lang w:val="en-US"/>
        </w:rPr>
        <w:instrText>f</w:instrText>
      </w:r>
      <w:r w:rsidR="00C37789" w:rsidRPr="000322E4">
        <w:rPr>
          <w:b/>
          <w:bCs/>
        </w:rPr>
        <w:instrText>1</w:instrText>
      </w:r>
      <w:r w:rsidR="00C37789" w:rsidRPr="000322E4">
        <w:rPr>
          <w:b/>
          <w:bCs/>
          <w:lang w:val="en-US"/>
        </w:rPr>
        <w:instrText>e</w:instrText>
      </w:r>
      <w:r w:rsidR="00C37789" w:rsidRPr="000322E4">
        <w:rPr>
          <w:b/>
          <w:bCs/>
        </w:rPr>
        <w:instrText>73</w:instrText>
      </w:r>
      <w:r w:rsidR="00C37789" w:rsidRPr="000322E4">
        <w:rPr>
          <w:b/>
          <w:bCs/>
          <w:lang w:val="en-US"/>
        </w:rPr>
        <w:instrText>e</w:instrText>
      </w:r>
      <w:r w:rsidR="00C37789" w:rsidRPr="000322E4">
        <w:rPr>
          <w:b/>
          <w:bCs/>
        </w:rPr>
        <w:instrText>5-4563-30</w:instrText>
      </w:r>
      <w:r w:rsidR="00C37789" w:rsidRPr="000322E4">
        <w:rPr>
          <w:b/>
          <w:bCs/>
          <w:lang w:val="en-US"/>
        </w:rPr>
        <w:instrText>cd</w:instrText>
      </w:r>
      <w:r w:rsidR="00C37789" w:rsidRPr="000322E4">
        <w:rPr>
          <w:b/>
          <w:bCs/>
        </w:rPr>
        <w:instrText>-</w:instrText>
      </w:r>
      <w:r w:rsidR="00C37789" w:rsidRPr="000322E4">
        <w:rPr>
          <w:b/>
          <w:bCs/>
          <w:lang w:val="en-US"/>
        </w:rPr>
        <w:instrText>a</w:instrText>
      </w:r>
      <w:r w:rsidR="00C37789" w:rsidRPr="000322E4">
        <w:rPr>
          <w:b/>
          <w:bCs/>
        </w:rPr>
        <w:instrText>068-12950</w:instrText>
      </w:r>
      <w:r w:rsidR="00C37789" w:rsidRPr="000322E4">
        <w:rPr>
          <w:b/>
          <w:bCs/>
          <w:lang w:val="en-US"/>
        </w:rPr>
        <w:instrText>a</w:instrText>
      </w:r>
      <w:r w:rsidR="00C37789" w:rsidRPr="000322E4">
        <w:rPr>
          <w:b/>
          <w:bCs/>
        </w:rPr>
        <w:instrText>36</w:instrText>
      </w:r>
      <w:r w:rsidR="00C37789" w:rsidRPr="000322E4">
        <w:rPr>
          <w:b/>
          <w:bCs/>
          <w:lang w:val="en-US"/>
        </w:rPr>
        <w:instrText>fd</w:instrText>
      </w:r>
      <w:r w:rsidR="00C37789" w:rsidRPr="000322E4">
        <w:rPr>
          <w:b/>
          <w:bCs/>
        </w:rPr>
        <w:instrText>3</w:instrText>
      </w:r>
      <w:r w:rsidR="00C37789" w:rsidRPr="000322E4">
        <w:rPr>
          <w:b/>
          <w:bCs/>
          <w:lang w:val="en-US"/>
        </w:rPr>
        <w:instrText>d</w:instrText>
      </w:r>
      <w:r w:rsidR="00C37789" w:rsidRPr="000322E4">
        <w:rPr>
          <w:b/>
          <w:bCs/>
        </w:rPr>
        <w:instrText>"]},{"</w:instrText>
      </w:r>
      <w:r w:rsidR="00C37789" w:rsidRPr="000322E4">
        <w:rPr>
          <w:b/>
          <w:bCs/>
          <w:lang w:val="en-US"/>
        </w:rPr>
        <w:instrText>id</w:instrText>
      </w:r>
      <w:r w:rsidR="00C37789" w:rsidRPr="000322E4">
        <w:rPr>
          <w:b/>
          <w:bCs/>
        </w:rPr>
        <w:instrText>":"</w:instrText>
      </w:r>
      <w:r w:rsidR="00C37789" w:rsidRPr="000322E4">
        <w:rPr>
          <w:b/>
          <w:bCs/>
          <w:lang w:val="en-US"/>
        </w:rPr>
        <w:instrText>ITEM</w:instrText>
      </w:r>
      <w:r w:rsidR="00C37789" w:rsidRPr="000322E4">
        <w:rPr>
          <w:b/>
          <w:bCs/>
        </w:rPr>
        <w:instrText>-2","</w:instrText>
      </w:r>
      <w:r w:rsidR="00C37789" w:rsidRPr="000322E4">
        <w:rPr>
          <w:b/>
          <w:bCs/>
          <w:lang w:val="en-US"/>
        </w:rPr>
        <w:instrText>itemData</w:instrText>
      </w:r>
      <w:r w:rsidR="00C37789" w:rsidRPr="000322E4">
        <w:rPr>
          <w:b/>
          <w:bCs/>
        </w:rPr>
        <w:instrText>":{"</w:instrText>
      </w:r>
      <w:r w:rsidR="00C37789" w:rsidRPr="000322E4">
        <w:rPr>
          <w:b/>
          <w:bCs/>
          <w:lang w:val="en-US"/>
        </w:rPr>
        <w:instrText>DOI</w:instrText>
      </w:r>
      <w:r w:rsidR="00C37789" w:rsidRPr="000322E4">
        <w:rPr>
          <w:b/>
          <w:bCs/>
        </w:rPr>
        <w:instrText>":"10.1007/</w:instrText>
      </w:r>
      <w:r w:rsidR="00C37789" w:rsidRPr="000322E4">
        <w:rPr>
          <w:b/>
          <w:bCs/>
          <w:lang w:val="en-US"/>
        </w:rPr>
        <w:instrText>s</w:instrText>
      </w:r>
      <w:r w:rsidR="00C37789" w:rsidRPr="000322E4">
        <w:rPr>
          <w:b/>
          <w:bCs/>
        </w:rPr>
        <w:instrText>00277-017-3017-7","</w:instrText>
      </w:r>
      <w:r w:rsidR="00C37789" w:rsidRPr="000322E4">
        <w:rPr>
          <w:b/>
          <w:bCs/>
          <w:lang w:val="en-US"/>
        </w:rPr>
        <w:instrText>ISSN</w:instrText>
      </w:r>
      <w:r w:rsidR="00C37789" w:rsidRPr="000322E4">
        <w:rPr>
          <w:b/>
          <w:bCs/>
        </w:rPr>
        <w:instrText>":"14320584","</w:instrText>
      </w:r>
      <w:r w:rsidR="00C37789" w:rsidRPr="000322E4">
        <w:rPr>
          <w:b/>
          <w:bCs/>
          <w:lang w:val="en-US"/>
        </w:rPr>
        <w:instrText>author</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Arakaki</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Hideki</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Nakazato</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Tomonori</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Osada</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Yuki</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Ito</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Chisako</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Aisa</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Yoshinobu</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Mori</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Takehiko</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container</w:instrText>
      </w:r>
      <w:r w:rsidR="00C37789" w:rsidRPr="000322E4">
        <w:rPr>
          <w:b/>
          <w:bCs/>
        </w:rPr>
        <w:instrText>-</w:instrText>
      </w:r>
      <w:r w:rsidR="00C37789" w:rsidRPr="000322E4">
        <w:rPr>
          <w:b/>
          <w:bCs/>
          <w:lang w:val="en-US"/>
        </w:rPr>
        <w:instrText>title</w:instrText>
      </w:r>
      <w:r w:rsidR="00C37789" w:rsidRPr="000322E4">
        <w:rPr>
          <w:b/>
          <w:bCs/>
        </w:rPr>
        <w:instrText>":"</w:instrText>
      </w:r>
      <w:r w:rsidR="00C37789" w:rsidRPr="000322E4">
        <w:rPr>
          <w:b/>
          <w:bCs/>
          <w:lang w:val="en-US"/>
        </w:rPr>
        <w:instrText>Annals</w:instrText>
      </w:r>
      <w:r w:rsidR="00C37789" w:rsidRPr="000322E4">
        <w:rPr>
          <w:b/>
          <w:bCs/>
        </w:rPr>
        <w:instrText xml:space="preserve"> </w:instrText>
      </w:r>
      <w:r w:rsidR="00C37789" w:rsidRPr="000322E4">
        <w:rPr>
          <w:b/>
          <w:bCs/>
          <w:lang w:val="en-US"/>
        </w:rPr>
        <w:instrText>of</w:instrText>
      </w:r>
      <w:r w:rsidR="00C37789" w:rsidRPr="000322E4">
        <w:rPr>
          <w:b/>
          <w:bCs/>
        </w:rPr>
        <w:instrText xml:space="preserve"> </w:instrText>
      </w:r>
      <w:r w:rsidR="00C37789" w:rsidRPr="000322E4">
        <w:rPr>
          <w:b/>
          <w:bCs/>
          <w:lang w:val="en-US"/>
        </w:rPr>
        <w:instrText>Hematology</w:instrText>
      </w:r>
      <w:r w:rsidR="00C37789" w:rsidRPr="000322E4">
        <w:rPr>
          <w:b/>
          <w:bCs/>
        </w:rPr>
        <w:instrText>","</w:instrText>
      </w:r>
      <w:r w:rsidR="00C37789" w:rsidRPr="000322E4">
        <w:rPr>
          <w:b/>
          <w:bCs/>
          <w:lang w:val="en-US"/>
        </w:rPr>
        <w:instrText>id</w:instrText>
      </w:r>
      <w:r w:rsidR="00C37789" w:rsidRPr="000322E4">
        <w:rPr>
          <w:b/>
          <w:bCs/>
        </w:rPr>
        <w:instrText>":"</w:instrText>
      </w:r>
      <w:r w:rsidR="00C37789" w:rsidRPr="000322E4">
        <w:rPr>
          <w:b/>
          <w:bCs/>
          <w:lang w:val="en-US"/>
        </w:rPr>
        <w:instrText>ITEM</w:instrText>
      </w:r>
      <w:r w:rsidR="00C37789" w:rsidRPr="000322E4">
        <w:rPr>
          <w:b/>
          <w:bCs/>
        </w:rPr>
        <w:instrText>-2","</w:instrText>
      </w:r>
      <w:r w:rsidR="00C37789" w:rsidRPr="000322E4">
        <w:rPr>
          <w:b/>
          <w:bCs/>
          <w:lang w:val="en-US"/>
        </w:rPr>
        <w:instrText>issue</w:instrText>
      </w:r>
      <w:r w:rsidR="00C37789" w:rsidRPr="000322E4">
        <w:rPr>
          <w:b/>
          <w:bCs/>
        </w:rPr>
        <w:instrText>":"7","</w:instrText>
      </w:r>
      <w:r w:rsidR="00C37789" w:rsidRPr="000322E4">
        <w:rPr>
          <w:b/>
          <w:bCs/>
          <w:lang w:val="en-US"/>
        </w:rPr>
        <w:instrText>issued</w:instrText>
      </w:r>
      <w:r w:rsidR="00C37789" w:rsidRPr="000322E4">
        <w:rPr>
          <w:b/>
          <w:bCs/>
        </w:rPr>
        <w:instrText>":{"</w:instrText>
      </w:r>
      <w:r w:rsidR="00C37789" w:rsidRPr="000322E4">
        <w:rPr>
          <w:b/>
          <w:bCs/>
          <w:lang w:val="en-US"/>
        </w:rPr>
        <w:instrText>date</w:instrText>
      </w:r>
      <w:r w:rsidR="00C37789" w:rsidRPr="000322E4">
        <w:rPr>
          <w:b/>
          <w:bCs/>
        </w:rPr>
        <w:instrText>-</w:instrText>
      </w:r>
      <w:r w:rsidR="00C37789" w:rsidRPr="000322E4">
        <w:rPr>
          <w:b/>
          <w:bCs/>
          <w:lang w:val="en-US"/>
        </w:rPr>
        <w:instrText>parts</w:instrText>
      </w:r>
      <w:r w:rsidR="00C37789" w:rsidRPr="000322E4">
        <w:rPr>
          <w:b/>
          <w:bCs/>
        </w:rPr>
        <w:instrText>":[["2017","7","1"]]},"</w:instrText>
      </w:r>
      <w:r w:rsidR="00C37789" w:rsidRPr="000322E4">
        <w:rPr>
          <w:b/>
          <w:bCs/>
          <w:lang w:val="en-US"/>
        </w:rPr>
        <w:instrText>page</w:instrText>
      </w:r>
      <w:r w:rsidR="00C37789" w:rsidRPr="000322E4">
        <w:rPr>
          <w:b/>
          <w:bCs/>
        </w:rPr>
        <w:instrText>":"1225-1226","</w:instrText>
      </w:r>
      <w:r w:rsidR="00C37789" w:rsidRPr="000322E4">
        <w:rPr>
          <w:b/>
          <w:bCs/>
          <w:lang w:val="en-US"/>
        </w:rPr>
        <w:instrText>publisher</w:instrText>
      </w:r>
      <w:r w:rsidR="00C37789" w:rsidRPr="000322E4">
        <w:rPr>
          <w:b/>
          <w:bCs/>
        </w:rPr>
        <w:instrText>":"</w:instrText>
      </w:r>
      <w:r w:rsidR="00C37789" w:rsidRPr="000322E4">
        <w:rPr>
          <w:b/>
          <w:bCs/>
          <w:lang w:val="en-US"/>
        </w:rPr>
        <w:instrText>Springer</w:instrText>
      </w:r>
      <w:r w:rsidR="00C37789" w:rsidRPr="000322E4">
        <w:rPr>
          <w:b/>
          <w:bCs/>
        </w:rPr>
        <w:instrText xml:space="preserve"> </w:instrText>
      </w:r>
      <w:r w:rsidR="00C37789" w:rsidRPr="000322E4">
        <w:rPr>
          <w:b/>
          <w:bCs/>
          <w:lang w:val="en-US"/>
        </w:rPr>
        <w:instrText>Verlag</w:instrText>
      </w:r>
      <w:r w:rsidR="00C37789" w:rsidRPr="000322E4">
        <w:rPr>
          <w:b/>
          <w:bCs/>
        </w:rPr>
        <w:instrText>","</w:instrText>
      </w:r>
      <w:r w:rsidR="00C37789" w:rsidRPr="000322E4">
        <w:rPr>
          <w:b/>
          <w:bCs/>
          <w:lang w:val="en-US"/>
        </w:rPr>
        <w:instrText>title</w:instrText>
      </w:r>
      <w:r w:rsidR="00C37789" w:rsidRPr="000322E4">
        <w:rPr>
          <w:b/>
          <w:bCs/>
        </w:rPr>
        <w:instrText>":"</w:instrText>
      </w:r>
      <w:r w:rsidR="00C37789" w:rsidRPr="000322E4">
        <w:rPr>
          <w:b/>
          <w:bCs/>
          <w:lang w:val="en-US"/>
        </w:rPr>
        <w:instrText>Comparison</w:instrText>
      </w:r>
      <w:r w:rsidR="00C37789" w:rsidRPr="000322E4">
        <w:rPr>
          <w:b/>
          <w:bCs/>
        </w:rPr>
        <w:instrText xml:space="preserve"> </w:instrText>
      </w:r>
      <w:r w:rsidR="00C37789" w:rsidRPr="000322E4">
        <w:rPr>
          <w:b/>
          <w:bCs/>
          <w:lang w:val="en-US"/>
        </w:rPr>
        <w:instrText>of</w:instrText>
      </w:r>
      <w:r w:rsidR="00C37789" w:rsidRPr="000322E4">
        <w:rPr>
          <w:b/>
          <w:bCs/>
        </w:rPr>
        <w:instrText xml:space="preserve"> </w:instrText>
      </w:r>
      <w:r w:rsidR="00C37789" w:rsidRPr="000322E4">
        <w:rPr>
          <w:b/>
          <w:bCs/>
          <w:lang w:val="en-US"/>
        </w:rPr>
        <w:instrText>R</w:instrText>
      </w:r>
      <w:r w:rsidR="00C37789" w:rsidRPr="000322E4">
        <w:rPr>
          <w:b/>
          <w:bCs/>
        </w:rPr>
        <w:instrText>-</w:instrText>
      </w:r>
      <w:r w:rsidR="00C37789" w:rsidRPr="000322E4">
        <w:rPr>
          <w:b/>
          <w:bCs/>
          <w:lang w:val="en-US"/>
        </w:rPr>
        <w:instrText>CVP</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R</w:instrText>
      </w:r>
      <w:r w:rsidR="00C37789" w:rsidRPr="000322E4">
        <w:rPr>
          <w:b/>
          <w:bCs/>
        </w:rPr>
        <w:instrText>-</w:instrText>
      </w:r>
      <w:r w:rsidR="00C37789" w:rsidRPr="000322E4">
        <w:rPr>
          <w:b/>
          <w:bCs/>
          <w:lang w:val="en-US"/>
        </w:rPr>
        <w:instrText>CHOP</w:instrText>
      </w:r>
      <w:r w:rsidR="00C37789" w:rsidRPr="000322E4">
        <w:rPr>
          <w:b/>
          <w:bCs/>
        </w:rPr>
        <w:instrText xml:space="preserve"> </w:instrText>
      </w:r>
      <w:r w:rsidR="00C37789" w:rsidRPr="000322E4">
        <w:rPr>
          <w:b/>
          <w:bCs/>
          <w:lang w:val="en-US"/>
        </w:rPr>
        <w:instrText>for</w:instrText>
      </w:r>
      <w:r w:rsidR="00C37789" w:rsidRPr="000322E4">
        <w:rPr>
          <w:b/>
          <w:bCs/>
        </w:rPr>
        <w:instrText xml:space="preserve"> </w:instrText>
      </w:r>
      <w:r w:rsidR="00C37789" w:rsidRPr="000322E4">
        <w:rPr>
          <w:b/>
          <w:bCs/>
          <w:lang w:val="en-US"/>
        </w:rPr>
        <w:instrText>very</w:instrText>
      </w:r>
      <w:r w:rsidR="00C37789" w:rsidRPr="000322E4">
        <w:rPr>
          <w:b/>
          <w:bCs/>
        </w:rPr>
        <w:instrText xml:space="preserve"> </w:instrText>
      </w:r>
      <w:r w:rsidR="00C37789" w:rsidRPr="000322E4">
        <w:rPr>
          <w:b/>
          <w:bCs/>
          <w:lang w:val="en-US"/>
        </w:rPr>
        <w:instrText>elderly</w:instrText>
      </w:r>
      <w:r w:rsidR="00C37789" w:rsidRPr="000322E4">
        <w:rPr>
          <w:b/>
          <w:bCs/>
        </w:rPr>
        <w:instrText xml:space="preserve">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aged</w:instrText>
      </w:r>
      <w:r w:rsidR="00C37789" w:rsidRPr="000322E4">
        <w:rPr>
          <w:b/>
          <w:bCs/>
        </w:rPr>
        <w:instrText xml:space="preserve"> 80 </w:instrText>
      </w:r>
      <w:r w:rsidR="00C37789" w:rsidRPr="000322E4">
        <w:rPr>
          <w:b/>
          <w:bCs/>
          <w:lang w:val="en-US"/>
        </w:rPr>
        <w:instrText>or</w:instrText>
      </w:r>
      <w:r w:rsidR="00C37789" w:rsidRPr="000322E4">
        <w:rPr>
          <w:b/>
          <w:bCs/>
        </w:rPr>
        <w:instrText xml:space="preserve"> </w:instrText>
      </w:r>
      <w:r w:rsidR="00C37789" w:rsidRPr="000322E4">
        <w:rPr>
          <w:b/>
          <w:bCs/>
          <w:lang w:val="en-US"/>
        </w:rPr>
        <w:instrText>over</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diffuse</w:instrText>
      </w:r>
      <w:r w:rsidR="00C37789" w:rsidRPr="000322E4">
        <w:rPr>
          <w:b/>
          <w:bCs/>
        </w:rPr>
        <w:instrText xml:space="preserve"> </w:instrText>
      </w:r>
      <w:r w:rsidR="00C37789" w:rsidRPr="000322E4">
        <w:rPr>
          <w:b/>
          <w:bCs/>
          <w:lang w:val="en-US"/>
        </w:rPr>
        <w:instrText>large</w:instrText>
      </w:r>
      <w:r w:rsidR="00C37789" w:rsidRPr="000322E4">
        <w:rPr>
          <w:b/>
          <w:bCs/>
        </w:rPr>
        <w:instrText xml:space="preserve"> </w:instrText>
      </w:r>
      <w:r w:rsidR="00C37789" w:rsidRPr="000322E4">
        <w:rPr>
          <w:b/>
          <w:bCs/>
          <w:lang w:val="en-US"/>
        </w:rPr>
        <w:instrText>B</w:instrText>
      </w:r>
      <w:r w:rsidR="00C37789" w:rsidRPr="000322E4">
        <w:rPr>
          <w:b/>
          <w:bCs/>
        </w:rPr>
        <w:instrText xml:space="preserve"> </w:instrText>
      </w:r>
      <w:r w:rsidR="00C37789" w:rsidRPr="000322E4">
        <w:rPr>
          <w:b/>
          <w:bCs/>
          <w:lang w:val="en-US"/>
        </w:rPr>
        <w:instrText>cell</w:instrText>
      </w:r>
      <w:r w:rsidR="00C37789" w:rsidRPr="000322E4">
        <w:rPr>
          <w:b/>
          <w:bCs/>
        </w:rPr>
        <w:instrText xml:space="preserve"> </w:instrText>
      </w:r>
      <w:r w:rsidR="00C37789" w:rsidRPr="000322E4">
        <w:rPr>
          <w:b/>
          <w:bCs/>
          <w:lang w:val="en-US"/>
        </w:rPr>
        <w:instrText>lymphoma</w:instrText>
      </w:r>
      <w:r w:rsidR="00C37789" w:rsidRPr="000322E4">
        <w:rPr>
          <w:b/>
          <w:bCs/>
        </w:rPr>
        <w:instrText>","</w:instrText>
      </w:r>
      <w:r w:rsidR="00C37789" w:rsidRPr="000322E4">
        <w:rPr>
          <w:b/>
          <w:bCs/>
          <w:lang w:val="en-US"/>
        </w:rPr>
        <w:instrText>type</w:instrText>
      </w:r>
      <w:r w:rsidR="00C37789" w:rsidRPr="000322E4">
        <w:rPr>
          <w:b/>
          <w:bCs/>
        </w:rPr>
        <w:instrText>":"</w:instrText>
      </w:r>
      <w:r w:rsidR="00C37789" w:rsidRPr="000322E4">
        <w:rPr>
          <w:b/>
          <w:bCs/>
          <w:lang w:val="en-US"/>
        </w:rPr>
        <w:instrText>article</w:instrText>
      </w:r>
      <w:r w:rsidR="00C37789" w:rsidRPr="000322E4">
        <w:rPr>
          <w:b/>
          <w:bCs/>
        </w:rPr>
        <w:instrText>","</w:instrText>
      </w:r>
      <w:r w:rsidR="00C37789" w:rsidRPr="000322E4">
        <w:rPr>
          <w:b/>
          <w:bCs/>
          <w:lang w:val="en-US"/>
        </w:rPr>
        <w:instrText>volume</w:instrText>
      </w:r>
      <w:r w:rsidR="00C37789" w:rsidRPr="000322E4">
        <w:rPr>
          <w:b/>
          <w:bCs/>
        </w:rPr>
        <w:instrText>":"96"},"</w:instrText>
      </w:r>
      <w:r w:rsidR="00C37789" w:rsidRPr="000322E4">
        <w:rPr>
          <w:b/>
          <w:bCs/>
          <w:lang w:val="en-US"/>
        </w:rPr>
        <w:instrText>uris</w:instrText>
      </w:r>
      <w:r w:rsidR="00C37789" w:rsidRPr="000322E4">
        <w:rPr>
          <w:b/>
          <w:bCs/>
        </w:rPr>
        <w:instrText>":["</w:instrText>
      </w:r>
      <w:r w:rsidR="00C37789" w:rsidRPr="000322E4">
        <w:rPr>
          <w:b/>
          <w:bCs/>
          <w:lang w:val="en-US"/>
        </w:rPr>
        <w:instrText>http</w:instrText>
      </w:r>
      <w:r w:rsidR="00C37789" w:rsidRPr="000322E4">
        <w:rPr>
          <w:b/>
          <w:bCs/>
        </w:rPr>
        <w:instrText>://</w:instrText>
      </w:r>
      <w:r w:rsidR="00C37789" w:rsidRPr="000322E4">
        <w:rPr>
          <w:b/>
          <w:bCs/>
          <w:lang w:val="en-US"/>
        </w:rPr>
        <w:instrText>www</w:instrText>
      </w:r>
      <w:r w:rsidR="00C37789" w:rsidRPr="000322E4">
        <w:rPr>
          <w:b/>
          <w:bCs/>
        </w:rPr>
        <w:instrText>.</w:instrText>
      </w:r>
      <w:r w:rsidR="00C37789" w:rsidRPr="000322E4">
        <w:rPr>
          <w:b/>
          <w:bCs/>
          <w:lang w:val="en-US"/>
        </w:rPr>
        <w:instrText>mendeley</w:instrText>
      </w:r>
      <w:r w:rsidR="00C37789" w:rsidRPr="000322E4">
        <w:rPr>
          <w:b/>
          <w:bCs/>
        </w:rPr>
        <w:instrText>.</w:instrText>
      </w:r>
      <w:r w:rsidR="00C37789" w:rsidRPr="000322E4">
        <w:rPr>
          <w:b/>
          <w:bCs/>
          <w:lang w:val="en-US"/>
        </w:rPr>
        <w:instrText>com</w:instrText>
      </w:r>
      <w:r w:rsidR="00C37789" w:rsidRPr="000322E4">
        <w:rPr>
          <w:b/>
          <w:bCs/>
        </w:rPr>
        <w:instrText>/</w:instrText>
      </w:r>
      <w:r w:rsidR="00C37789" w:rsidRPr="000322E4">
        <w:rPr>
          <w:b/>
          <w:bCs/>
          <w:lang w:val="en-US"/>
        </w:rPr>
        <w:instrText>documents</w:instrText>
      </w:r>
      <w:r w:rsidR="00C37789" w:rsidRPr="000322E4">
        <w:rPr>
          <w:b/>
          <w:bCs/>
        </w:rPr>
        <w:instrText>/?</w:instrText>
      </w:r>
      <w:r w:rsidR="00C37789" w:rsidRPr="000322E4">
        <w:rPr>
          <w:b/>
          <w:bCs/>
          <w:lang w:val="en-US"/>
        </w:rPr>
        <w:instrText>uuid</w:instrText>
      </w:r>
      <w:r w:rsidR="00C37789" w:rsidRPr="000322E4">
        <w:rPr>
          <w:b/>
          <w:bCs/>
        </w:rPr>
        <w:instrText>=0</w:instrText>
      </w:r>
      <w:r w:rsidR="00C37789" w:rsidRPr="000322E4">
        <w:rPr>
          <w:b/>
          <w:bCs/>
          <w:lang w:val="en-US"/>
        </w:rPr>
        <w:instrText>fbde</w:instrText>
      </w:r>
      <w:r w:rsidR="00C37789" w:rsidRPr="000322E4">
        <w:rPr>
          <w:b/>
          <w:bCs/>
        </w:rPr>
        <w:instrText>1</w:instrText>
      </w:r>
      <w:r w:rsidR="00C37789" w:rsidRPr="000322E4">
        <w:rPr>
          <w:b/>
          <w:bCs/>
          <w:lang w:val="en-US"/>
        </w:rPr>
        <w:instrText>d</w:instrText>
      </w:r>
      <w:r w:rsidR="00C37789" w:rsidRPr="000322E4">
        <w:rPr>
          <w:b/>
          <w:bCs/>
        </w:rPr>
        <w:instrText>9-7549-3</w:instrText>
      </w:r>
      <w:r w:rsidR="00C37789" w:rsidRPr="000322E4">
        <w:rPr>
          <w:b/>
          <w:bCs/>
          <w:lang w:val="en-US"/>
        </w:rPr>
        <w:instrText>c</w:instrText>
      </w:r>
      <w:r w:rsidR="00C37789" w:rsidRPr="000322E4">
        <w:rPr>
          <w:b/>
          <w:bCs/>
        </w:rPr>
        <w:instrText>37-8916-2698</w:instrText>
      </w:r>
      <w:r w:rsidR="00C37789" w:rsidRPr="000322E4">
        <w:rPr>
          <w:b/>
          <w:bCs/>
          <w:lang w:val="en-US"/>
        </w:rPr>
        <w:instrText>e</w:instrText>
      </w:r>
      <w:r w:rsidR="00C37789" w:rsidRPr="000322E4">
        <w:rPr>
          <w:b/>
          <w:bCs/>
        </w:rPr>
        <w:instrText>4818096"]}],"</w:instrText>
      </w:r>
      <w:r w:rsidR="00C37789" w:rsidRPr="000322E4">
        <w:rPr>
          <w:b/>
          <w:bCs/>
          <w:lang w:val="en-US"/>
        </w:rPr>
        <w:instrText>mendeley</w:instrText>
      </w:r>
      <w:r w:rsidR="00C37789" w:rsidRPr="000322E4">
        <w:rPr>
          <w:b/>
          <w:bCs/>
        </w:rPr>
        <w:instrText>":{"</w:instrText>
      </w:r>
      <w:r w:rsidR="00C37789" w:rsidRPr="000322E4">
        <w:rPr>
          <w:b/>
          <w:bCs/>
          <w:lang w:val="en-US"/>
        </w:rPr>
        <w:instrText>formattedCitation</w:instrText>
      </w:r>
      <w:r w:rsidR="00C37789" w:rsidRPr="000322E4">
        <w:rPr>
          <w:b/>
          <w:bCs/>
        </w:rPr>
        <w:instrText>":"[61,62]","</w:instrText>
      </w:r>
      <w:r w:rsidR="00C37789" w:rsidRPr="000322E4">
        <w:rPr>
          <w:b/>
          <w:bCs/>
          <w:lang w:val="en-US"/>
        </w:rPr>
        <w:instrText>plainTextFormattedCitation</w:instrText>
      </w:r>
      <w:r w:rsidR="00C37789" w:rsidRPr="000322E4">
        <w:rPr>
          <w:b/>
          <w:bCs/>
        </w:rPr>
        <w:instrText>":"[61,62]","</w:instrText>
      </w:r>
      <w:r w:rsidR="00C37789" w:rsidRPr="000322E4">
        <w:rPr>
          <w:b/>
          <w:bCs/>
          <w:lang w:val="en-US"/>
        </w:rPr>
        <w:instrText>previouslyFormattedCitation</w:instrText>
      </w:r>
      <w:r w:rsidR="00C37789" w:rsidRPr="000322E4">
        <w:rPr>
          <w:b/>
          <w:bCs/>
        </w:rPr>
        <w:instrText>":"[61,62]"},"</w:instrText>
      </w:r>
      <w:r w:rsidR="00C37789" w:rsidRPr="000322E4">
        <w:rPr>
          <w:b/>
          <w:bCs/>
          <w:lang w:val="en-US"/>
        </w:rPr>
        <w:instrText>properties</w:instrText>
      </w:r>
      <w:r w:rsidR="00C37789" w:rsidRPr="000322E4">
        <w:rPr>
          <w:b/>
          <w:bCs/>
        </w:rPr>
        <w:instrText>":{"</w:instrText>
      </w:r>
      <w:r w:rsidR="00C37789" w:rsidRPr="000322E4">
        <w:rPr>
          <w:b/>
          <w:bCs/>
          <w:lang w:val="en-US"/>
        </w:rPr>
        <w:instrText>noteIndex</w:instrText>
      </w:r>
      <w:r w:rsidR="00C37789" w:rsidRPr="000322E4">
        <w:rPr>
          <w:b/>
          <w:bCs/>
        </w:rPr>
        <w:instrText>":0},"</w:instrText>
      </w:r>
      <w:r w:rsidR="00C37789" w:rsidRPr="000322E4">
        <w:rPr>
          <w:b/>
          <w:bCs/>
          <w:lang w:val="en-US"/>
        </w:rPr>
        <w:instrText>schema</w:instrText>
      </w:r>
      <w:r w:rsidR="00C37789" w:rsidRPr="000322E4">
        <w:rPr>
          <w:b/>
          <w:bCs/>
        </w:rPr>
        <w:instrText>":"</w:instrText>
      </w:r>
      <w:r w:rsidR="00C37789" w:rsidRPr="000322E4">
        <w:rPr>
          <w:b/>
          <w:bCs/>
          <w:lang w:val="en-US"/>
        </w:rPr>
        <w:instrText>https</w:instrText>
      </w:r>
      <w:r w:rsidR="00C37789" w:rsidRPr="000322E4">
        <w:rPr>
          <w:b/>
          <w:bCs/>
        </w:rPr>
        <w:instrText>://</w:instrText>
      </w:r>
      <w:r w:rsidR="00C37789" w:rsidRPr="000322E4">
        <w:rPr>
          <w:b/>
          <w:bCs/>
          <w:lang w:val="en-US"/>
        </w:rPr>
        <w:instrText>github</w:instrText>
      </w:r>
      <w:r w:rsidR="00C37789" w:rsidRPr="000322E4">
        <w:rPr>
          <w:b/>
          <w:bCs/>
        </w:rPr>
        <w:instrText>.</w:instrText>
      </w:r>
      <w:r w:rsidR="00C37789" w:rsidRPr="000322E4">
        <w:rPr>
          <w:b/>
          <w:bCs/>
          <w:lang w:val="en-US"/>
        </w:rPr>
        <w:instrText>com</w:instrText>
      </w:r>
      <w:r w:rsidR="00C37789" w:rsidRPr="000322E4">
        <w:rPr>
          <w:b/>
          <w:bCs/>
        </w:rPr>
        <w:instrText>/</w:instrText>
      </w:r>
      <w:r w:rsidR="00C37789" w:rsidRPr="000322E4">
        <w:rPr>
          <w:b/>
          <w:bCs/>
          <w:lang w:val="en-US"/>
        </w:rPr>
        <w:instrText>citation</w:instrText>
      </w:r>
      <w:r w:rsidR="00C37789" w:rsidRPr="000322E4">
        <w:rPr>
          <w:b/>
          <w:bCs/>
        </w:rPr>
        <w:instrText>-</w:instrText>
      </w:r>
      <w:r w:rsidR="00C37789" w:rsidRPr="000322E4">
        <w:rPr>
          <w:b/>
          <w:bCs/>
          <w:lang w:val="en-US"/>
        </w:rPr>
        <w:instrText>style</w:instrText>
      </w:r>
      <w:r w:rsidR="00C37789" w:rsidRPr="000322E4">
        <w:rPr>
          <w:b/>
          <w:bCs/>
        </w:rPr>
        <w:instrText>-</w:instrText>
      </w:r>
      <w:r w:rsidR="00C37789" w:rsidRPr="000322E4">
        <w:rPr>
          <w:b/>
          <w:bCs/>
          <w:lang w:val="en-US"/>
        </w:rPr>
        <w:instrText>language</w:instrText>
      </w:r>
      <w:r w:rsidR="00C37789" w:rsidRPr="000322E4">
        <w:rPr>
          <w:b/>
          <w:bCs/>
        </w:rPr>
        <w:instrText>/</w:instrText>
      </w:r>
      <w:r w:rsidR="00C37789" w:rsidRPr="000322E4">
        <w:rPr>
          <w:b/>
          <w:bCs/>
          <w:lang w:val="en-US"/>
        </w:rPr>
        <w:instrText>schema</w:instrText>
      </w:r>
      <w:r w:rsidR="00C37789" w:rsidRPr="000322E4">
        <w:rPr>
          <w:b/>
          <w:bCs/>
        </w:rPr>
        <w:instrText>/</w:instrText>
      </w:r>
      <w:r w:rsidR="00C37789" w:rsidRPr="000322E4">
        <w:rPr>
          <w:b/>
          <w:bCs/>
          <w:lang w:val="en-US"/>
        </w:rPr>
        <w:instrText>raw</w:instrText>
      </w:r>
      <w:r w:rsidR="00C37789" w:rsidRPr="000322E4">
        <w:rPr>
          <w:b/>
          <w:bCs/>
        </w:rPr>
        <w:instrText>/</w:instrText>
      </w:r>
      <w:r w:rsidR="00C37789" w:rsidRPr="000322E4">
        <w:rPr>
          <w:b/>
          <w:bCs/>
          <w:lang w:val="en-US"/>
        </w:rPr>
        <w:instrText>master</w:instrText>
      </w:r>
      <w:r w:rsidR="00C37789" w:rsidRPr="000322E4">
        <w:rPr>
          <w:b/>
          <w:bCs/>
        </w:rPr>
        <w:instrText>/</w:instrText>
      </w:r>
      <w:r w:rsidR="00C37789" w:rsidRPr="000322E4">
        <w:rPr>
          <w:b/>
          <w:bCs/>
          <w:lang w:val="en-US"/>
        </w:rPr>
        <w:instrText>csl</w:instrText>
      </w:r>
      <w:r w:rsidR="00C37789" w:rsidRPr="000322E4">
        <w:rPr>
          <w:b/>
          <w:bCs/>
        </w:rPr>
        <w:instrText>-</w:instrText>
      </w:r>
      <w:r w:rsidR="00C37789" w:rsidRPr="000322E4">
        <w:rPr>
          <w:b/>
          <w:bCs/>
          <w:lang w:val="en-US"/>
        </w:rPr>
        <w:instrText>citation</w:instrText>
      </w:r>
      <w:r w:rsidR="00C37789" w:rsidRPr="000322E4">
        <w:rPr>
          <w:b/>
          <w:bCs/>
        </w:rPr>
        <w:instrText>.</w:instrText>
      </w:r>
      <w:r w:rsidR="00C37789" w:rsidRPr="000322E4">
        <w:rPr>
          <w:b/>
          <w:bCs/>
          <w:lang w:val="en-US"/>
        </w:rPr>
        <w:instrText>json</w:instrText>
      </w:r>
      <w:r w:rsidR="00C37789" w:rsidRPr="000322E4">
        <w:rPr>
          <w:b/>
          <w:bCs/>
        </w:rPr>
        <w:instrText>"}</w:instrText>
      </w:r>
      <w:r w:rsidRPr="000322E4">
        <w:rPr>
          <w:b/>
          <w:bCs/>
          <w:lang w:val="en-US"/>
        </w:rPr>
        <w:fldChar w:fldCharType="separate"/>
      </w:r>
      <w:r w:rsidR="00C37789" w:rsidRPr="000322E4">
        <w:rPr>
          <w:bCs/>
          <w:noProof/>
        </w:rPr>
        <w:t>[61,62]</w:t>
      </w:r>
      <w:r w:rsidRPr="000322E4">
        <w:rPr>
          <w:b/>
          <w:bCs/>
          <w:lang w:val="en-US"/>
        </w:rPr>
        <w:fldChar w:fldCharType="end"/>
      </w:r>
    </w:p>
    <w:p w14:paraId="679A9222" w14:textId="77777777" w:rsidR="00666D68" w:rsidRPr="000322E4" w:rsidRDefault="00666D68" w:rsidP="00F414BF">
      <w:pPr>
        <w:numPr>
          <w:ilvl w:val="0"/>
          <w:numId w:val="39"/>
        </w:numPr>
      </w:pPr>
      <w:r w:rsidRPr="000322E4">
        <w:t>Ритуксимаб</w:t>
      </w:r>
      <w:r w:rsidRPr="000322E4">
        <w:rPr>
          <w:bCs/>
        </w:rPr>
        <w:t>**</w:t>
      </w:r>
      <w:r w:rsidRPr="000322E4">
        <w:t xml:space="preserve"> </w:t>
      </w:r>
    </w:p>
    <w:p w14:paraId="2FE50675" w14:textId="77777777" w:rsidR="00666D68" w:rsidRPr="000322E4" w:rsidRDefault="00666D68" w:rsidP="00F414BF">
      <w:pPr>
        <w:numPr>
          <w:ilvl w:val="1"/>
          <w:numId w:val="39"/>
        </w:numPr>
      </w:pPr>
      <w:r w:rsidRPr="000322E4">
        <w:t>375 мг/м</w:t>
      </w:r>
      <w:r w:rsidRPr="000322E4">
        <w:rPr>
          <w:vertAlign w:val="superscript"/>
        </w:rPr>
        <w:t>2</w:t>
      </w:r>
      <w:r w:rsidRPr="000322E4">
        <w:t xml:space="preserve"> в/в кап., день 0 или 1 все циклы курса</w:t>
      </w:r>
    </w:p>
    <w:p w14:paraId="003583C2" w14:textId="77777777" w:rsidR="00666D68" w:rsidRPr="000322E4" w:rsidRDefault="00666D68" w:rsidP="00F414BF">
      <w:pPr>
        <w:ind w:left="1080" w:firstLine="336"/>
      </w:pPr>
      <w:r w:rsidRPr="000322E4">
        <w:t>или</w:t>
      </w:r>
    </w:p>
    <w:p w14:paraId="200C675F" w14:textId="510D0043" w:rsidR="00666D68" w:rsidRPr="000322E4" w:rsidRDefault="00666D68" w:rsidP="00F414BF">
      <w:pPr>
        <w:pStyle w:val="afe"/>
        <w:numPr>
          <w:ilvl w:val="1"/>
          <w:numId w:val="39"/>
        </w:numPr>
        <w:contextualSpacing w:val="0"/>
        <w:rPr>
          <w:lang w:eastAsia="ru-RU"/>
        </w:rPr>
      </w:pPr>
      <w:r w:rsidRPr="000322E4">
        <w:rPr>
          <w:lang w:eastAsia="ru-RU"/>
        </w:rPr>
        <w:t>375 мг/м</w:t>
      </w:r>
      <w:r w:rsidRPr="000322E4">
        <w:rPr>
          <w:vertAlign w:val="superscript"/>
          <w:lang w:eastAsia="ru-RU"/>
        </w:rPr>
        <w:t>2</w:t>
      </w:r>
      <w:r w:rsidRPr="000322E4">
        <w:rPr>
          <w:lang w:eastAsia="ru-RU"/>
        </w:rPr>
        <w:t xml:space="preserve"> в/в кап. 1 цикл,</w:t>
      </w:r>
      <w:r w:rsidRPr="000322E4">
        <w:t xml:space="preserve"> далее ритуксимаб 1400 мг п/к,</w:t>
      </w:r>
      <w:r w:rsidRPr="000322E4">
        <w:rPr>
          <w:lang w:eastAsia="ru-RU"/>
        </w:rPr>
        <w:t xml:space="preserve"> день 0 или 1 </w:t>
      </w:r>
      <w:r w:rsidRPr="000322E4">
        <w:rPr>
          <w:lang w:val="en-US" w:eastAsia="ru-RU"/>
        </w:rPr>
        <w:fldChar w:fldCharType="begin" w:fldLock="1"/>
      </w:r>
      <w:r w:rsidR="00E974B2">
        <w:rPr>
          <w:lang w:val="en-US" w:eastAsia="ru-RU"/>
        </w:rPr>
        <w:instrText>ADDIN</w:instrText>
      </w:r>
      <w:r w:rsidR="00E974B2" w:rsidRPr="006C476A">
        <w:rPr>
          <w:lang w:eastAsia="ru-RU"/>
        </w:rPr>
        <w:instrText xml:space="preserve"> </w:instrText>
      </w:r>
      <w:r w:rsidR="00E974B2">
        <w:rPr>
          <w:lang w:val="en-US" w:eastAsia="ru-RU"/>
        </w:rPr>
        <w:instrText>CSL</w:instrText>
      </w:r>
      <w:r w:rsidR="00E974B2" w:rsidRPr="006C476A">
        <w:rPr>
          <w:lang w:eastAsia="ru-RU"/>
        </w:rPr>
        <w:instrText>_</w:instrText>
      </w:r>
      <w:r w:rsidR="00E974B2">
        <w:rPr>
          <w:lang w:val="en-US" w:eastAsia="ru-RU"/>
        </w:rPr>
        <w:instrText>CITATION</w:instrText>
      </w:r>
      <w:r w:rsidR="00E974B2" w:rsidRPr="006C476A">
        <w:rPr>
          <w:lang w:eastAsia="ru-RU"/>
        </w:rPr>
        <w:instrText xml:space="preserve"> {"</w:instrText>
      </w:r>
      <w:r w:rsidR="00E974B2">
        <w:rPr>
          <w:lang w:val="en-US" w:eastAsia="ru-RU"/>
        </w:rPr>
        <w:instrText>citationItems</w:instrText>
      </w:r>
      <w:r w:rsidR="00E974B2" w:rsidRPr="006C476A">
        <w:rPr>
          <w:lang w:eastAsia="ru-RU"/>
        </w:rPr>
        <w:instrText>":[{"</w:instrText>
      </w:r>
      <w:r w:rsidR="00E974B2">
        <w:rPr>
          <w:lang w:val="en-US" w:eastAsia="ru-RU"/>
        </w:rPr>
        <w:instrText>id</w:instrText>
      </w:r>
      <w:r w:rsidR="00E974B2" w:rsidRPr="006C476A">
        <w:rPr>
          <w:lang w:eastAsia="ru-RU"/>
        </w:rPr>
        <w:instrText>":"</w:instrText>
      </w:r>
      <w:r w:rsidR="00E974B2">
        <w:rPr>
          <w:lang w:val="en-US" w:eastAsia="ru-RU"/>
        </w:rPr>
        <w:instrText>ITEM</w:instrText>
      </w:r>
      <w:r w:rsidR="00E974B2" w:rsidRPr="006C476A">
        <w:rPr>
          <w:lang w:eastAsia="ru-RU"/>
        </w:rPr>
        <w:instrText>-1","</w:instrText>
      </w:r>
      <w:r w:rsidR="00E974B2">
        <w:rPr>
          <w:lang w:val="en-US" w:eastAsia="ru-RU"/>
        </w:rPr>
        <w:instrText>itemData</w:instrText>
      </w:r>
      <w:r w:rsidR="00E974B2" w:rsidRPr="006C476A">
        <w:rPr>
          <w:lang w:eastAsia="ru-RU"/>
        </w:rPr>
        <w:instrText>":{"</w:instrText>
      </w:r>
      <w:r w:rsidR="00E974B2">
        <w:rPr>
          <w:lang w:val="en-US" w:eastAsia="ru-RU"/>
        </w:rPr>
        <w:instrText>ISSN</w:instrText>
      </w:r>
      <w:r w:rsidR="00E974B2" w:rsidRPr="006C476A">
        <w:rPr>
          <w:lang w:eastAsia="ru-RU"/>
        </w:rPr>
        <w:instrText>":"2150-0878","</w:instrText>
      </w:r>
      <w:r w:rsidR="00E974B2">
        <w:rPr>
          <w:lang w:val="en-US" w:eastAsia="ru-RU"/>
        </w:rPr>
        <w:instrText>PMID</w:instrText>
      </w:r>
      <w:r w:rsidR="00E974B2" w:rsidRPr="006C476A">
        <w:rPr>
          <w:lang w:eastAsia="ru-RU"/>
        </w:rPr>
        <w:instrText>":"31086689","</w:instrText>
      </w:r>
      <w:r w:rsidR="00E974B2">
        <w:rPr>
          <w:lang w:val="en-US" w:eastAsia="ru-RU"/>
        </w:rPr>
        <w:instrText>abstract</w:instrText>
      </w:r>
      <w:r w:rsidR="00E974B2" w:rsidRPr="006C476A">
        <w:rPr>
          <w:lang w:eastAsia="ru-RU"/>
        </w:rPr>
        <w:instrText>":"</w:instrText>
      </w:r>
      <w:r w:rsidR="00E974B2">
        <w:rPr>
          <w:lang w:val="en-US" w:eastAsia="ru-RU"/>
        </w:rPr>
        <w:instrText>Rituximab</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hyaluronidase</w:instrText>
      </w:r>
      <w:r w:rsidR="00E974B2" w:rsidRPr="006C476A">
        <w:rPr>
          <w:lang w:eastAsia="ru-RU"/>
        </w:rPr>
        <w:instrText xml:space="preserve"> </w:instrText>
      </w:r>
      <w:r w:rsidR="00E974B2">
        <w:rPr>
          <w:lang w:val="en-US" w:eastAsia="ru-RU"/>
        </w:rPr>
        <w:instrText>human</w:instrText>
      </w:r>
      <w:r w:rsidR="00E974B2" w:rsidRPr="006C476A">
        <w:rPr>
          <w:lang w:eastAsia="ru-RU"/>
        </w:rPr>
        <w:instrText xml:space="preserve"> </w:instrText>
      </w:r>
      <w:r w:rsidR="00E974B2">
        <w:rPr>
          <w:lang w:val="en-US" w:eastAsia="ru-RU"/>
        </w:rPr>
        <w:instrText>is</w:instrText>
      </w:r>
      <w:r w:rsidR="00E974B2" w:rsidRPr="006C476A">
        <w:rPr>
          <w:lang w:eastAsia="ru-RU"/>
        </w:rPr>
        <w:instrText xml:space="preserve"> </w:instrText>
      </w:r>
      <w:r w:rsidR="00E974B2">
        <w:rPr>
          <w:lang w:val="en-US" w:eastAsia="ru-RU"/>
        </w:rPr>
        <w:instrText>a</w:instrText>
      </w:r>
      <w:r w:rsidR="00E974B2" w:rsidRPr="006C476A">
        <w:rPr>
          <w:lang w:eastAsia="ru-RU"/>
        </w:rPr>
        <w:instrText xml:space="preserve"> </w:instrText>
      </w:r>
      <w:r w:rsidR="00E974B2">
        <w:rPr>
          <w:lang w:val="en-US" w:eastAsia="ru-RU"/>
        </w:rPr>
        <w:instrText>new</w:instrText>
      </w:r>
      <w:r w:rsidR="00E974B2" w:rsidRPr="006C476A">
        <w:rPr>
          <w:lang w:eastAsia="ru-RU"/>
        </w:rPr>
        <w:instrText xml:space="preserve"> </w:instrText>
      </w:r>
      <w:r w:rsidR="00E974B2">
        <w:rPr>
          <w:lang w:val="en-US" w:eastAsia="ru-RU"/>
        </w:rPr>
        <w:instrText>subcutaneous</w:instrText>
      </w:r>
      <w:r w:rsidR="00E974B2" w:rsidRPr="006C476A">
        <w:rPr>
          <w:lang w:eastAsia="ru-RU"/>
        </w:rPr>
        <w:instrText xml:space="preserve"> </w:instrText>
      </w:r>
      <w:r w:rsidR="00E974B2">
        <w:rPr>
          <w:lang w:val="en-US" w:eastAsia="ru-RU"/>
        </w:rPr>
        <w:instrText>formulation</w:instrText>
      </w:r>
      <w:r w:rsidR="00E974B2" w:rsidRPr="006C476A">
        <w:rPr>
          <w:lang w:eastAsia="ru-RU"/>
        </w:rPr>
        <w:instrText xml:space="preserve"> </w:instrText>
      </w:r>
      <w:r w:rsidR="00E974B2">
        <w:rPr>
          <w:lang w:val="en-US" w:eastAsia="ru-RU"/>
        </w:rPr>
        <w:instrText>of</w:instrText>
      </w:r>
      <w:r w:rsidR="00E974B2" w:rsidRPr="006C476A">
        <w:rPr>
          <w:lang w:eastAsia="ru-RU"/>
        </w:rPr>
        <w:instrText xml:space="preserve"> </w:instrText>
      </w:r>
      <w:r w:rsidR="00E974B2">
        <w:rPr>
          <w:lang w:val="en-US" w:eastAsia="ru-RU"/>
        </w:rPr>
        <w:instrText>rituximab</w:instrText>
      </w:r>
      <w:r w:rsidR="00E974B2" w:rsidRPr="006C476A">
        <w:rPr>
          <w:lang w:eastAsia="ru-RU"/>
        </w:rPr>
        <w:instrText xml:space="preserve"> </w:instrText>
      </w:r>
      <w:r w:rsidR="00E974B2">
        <w:rPr>
          <w:lang w:val="en-US" w:eastAsia="ru-RU"/>
        </w:rPr>
        <w:instrText>that</w:instrText>
      </w:r>
      <w:r w:rsidR="00E974B2" w:rsidRPr="006C476A">
        <w:rPr>
          <w:lang w:eastAsia="ru-RU"/>
        </w:rPr>
        <w:instrText xml:space="preserve"> </w:instrText>
      </w:r>
      <w:r w:rsidR="00E974B2">
        <w:rPr>
          <w:lang w:val="en-US" w:eastAsia="ru-RU"/>
        </w:rPr>
        <w:instrText>was</w:instrText>
      </w:r>
      <w:r w:rsidR="00E974B2" w:rsidRPr="006C476A">
        <w:rPr>
          <w:lang w:eastAsia="ru-RU"/>
        </w:rPr>
        <w:instrText xml:space="preserve"> </w:instrText>
      </w:r>
      <w:r w:rsidR="00E974B2">
        <w:rPr>
          <w:lang w:val="en-US" w:eastAsia="ru-RU"/>
        </w:rPr>
        <w:instrText>recently</w:instrText>
      </w:r>
      <w:r w:rsidR="00E974B2" w:rsidRPr="006C476A">
        <w:rPr>
          <w:lang w:eastAsia="ru-RU"/>
        </w:rPr>
        <w:instrText xml:space="preserve"> </w:instrText>
      </w:r>
      <w:r w:rsidR="00E974B2">
        <w:rPr>
          <w:lang w:val="en-US" w:eastAsia="ru-RU"/>
        </w:rPr>
        <w:instrText>approved</w:instrText>
      </w:r>
      <w:r w:rsidR="00E974B2" w:rsidRPr="006C476A">
        <w:rPr>
          <w:lang w:eastAsia="ru-RU"/>
        </w:rPr>
        <w:instrText xml:space="preserve"> </w:instrText>
      </w:r>
      <w:r w:rsidR="00E974B2">
        <w:rPr>
          <w:lang w:val="en-US" w:eastAsia="ru-RU"/>
        </w:rPr>
        <w:instrText>by</w:instrText>
      </w:r>
      <w:r w:rsidR="00E974B2" w:rsidRPr="006C476A">
        <w:rPr>
          <w:lang w:eastAsia="ru-RU"/>
        </w:rPr>
        <w:instrText xml:space="preserve"> </w:instrText>
      </w:r>
      <w:r w:rsidR="00E974B2">
        <w:rPr>
          <w:lang w:val="en-US" w:eastAsia="ru-RU"/>
        </w:rPr>
        <w:instrText>the</w:instrText>
      </w:r>
      <w:r w:rsidR="00E974B2" w:rsidRPr="006C476A">
        <w:rPr>
          <w:lang w:eastAsia="ru-RU"/>
        </w:rPr>
        <w:instrText xml:space="preserve"> </w:instrText>
      </w:r>
      <w:r w:rsidR="00E974B2">
        <w:rPr>
          <w:lang w:val="en-US" w:eastAsia="ru-RU"/>
        </w:rPr>
        <w:instrText>US</w:instrText>
      </w:r>
      <w:r w:rsidR="00E974B2" w:rsidRPr="006C476A">
        <w:rPr>
          <w:lang w:eastAsia="ru-RU"/>
        </w:rPr>
        <w:instrText xml:space="preserve"> </w:instrText>
      </w:r>
      <w:r w:rsidR="00E974B2">
        <w:rPr>
          <w:lang w:val="en-US" w:eastAsia="ru-RU"/>
        </w:rPr>
        <w:instrText>Food</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Drug</w:instrText>
      </w:r>
      <w:r w:rsidR="00E974B2" w:rsidRPr="006C476A">
        <w:rPr>
          <w:lang w:eastAsia="ru-RU"/>
        </w:rPr>
        <w:instrText xml:space="preserve"> </w:instrText>
      </w:r>
      <w:r w:rsidR="00E974B2">
        <w:rPr>
          <w:lang w:val="en-US" w:eastAsia="ru-RU"/>
        </w:rPr>
        <w:instrText>Administration</w:instrText>
      </w:r>
      <w:r w:rsidR="00E974B2" w:rsidRPr="006C476A">
        <w:rPr>
          <w:lang w:eastAsia="ru-RU"/>
        </w:rPr>
        <w:instrText xml:space="preserve"> </w:instrText>
      </w:r>
      <w:r w:rsidR="00E974B2">
        <w:rPr>
          <w:lang w:val="en-US" w:eastAsia="ru-RU"/>
        </w:rPr>
        <w:instrText>for</w:instrText>
      </w:r>
      <w:r w:rsidR="00E974B2" w:rsidRPr="006C476A">
        <w:rPr>
          <w:lang w:eastAsia="ru-RU"/>
        </w:rPr>
        <w:instrText xml:space="preserve"> </w:instrText>
      </w:r>
      <w:r w:rsidR="00E974B2">
        <w:rPr>
          <w:lang w:val="en-US" w:eastAsia="ru-RU"/>
        </w:rPr>
        <w:instrText>the</w:instrText>
      </w:r>
      <w:r w:rsidR="00E974B2" w:rsidRPr="006C476A">
        <w:rPr>
          <w:lang w:eastAsia="ru-RU"/>
        </w:rPr>
        <w:instrText xml:space="preserve"> </w:instrText>
      </w:r>
      <w:r w:rsidR="00E974B2">
        <w:rPr>
          <w:lang w:val="en-US" w:eastAsia="ru-RU"/>
        </w:rPr>
        <w:instrText>treatment</w:instrText>
      </w:r>
      <w:r w:rsidR="00E974B2" w:rsidRPr="006C476A">
        <w:rPr>
          <w:lang w:eastAsia="ru-RU"/>
        </w:rPr>
        <w:instrText xml:space="preserve"> </w:instrText>
      </w:r>
      <w:r w:rsidR="00E974B2">
        <w:rPr>
          <w:lang w:val="en-US" w:eastAsia="ru-RU"/>
        </w:rPr>
        <w:instrText>of</w:instrText>
      </w:r>
      <w:r w:rsidR="00E974B2" w:rsidRPr="006C476A">
        <w:rPr>
          <w:lang w:eastAsia="ru-RU"/>
        </w:rPr>
        <w:instrText xml:space="preserve"> </w:instrText>
      </w:r>
      <w:r w:rsidR="00E974B2">
        <w:rPr>
          <w:lang w:val="en-US" w:eastAsia="ru-RU"/>
        </w:rPr>
        <w:instrText>adults</w:instrText>
      </w:r>
      <w:r w:rsidR="00E974B2" w:rsidRPr="006C476A">
        <w:rPr>
          <w:lang w:eastAsia="ru-RU"/>
        </w:rPr>
        <w:instrText xml:space="preserve"> </w:instrText>
      </w:r>
      <w:r w:rsidR="00E974B2">
        <w:rPr>
          <w:lang w:val="en-US" w:eastAsia="ru-RU"/>
        </w:rPr>
        <w:instrText>with</w:instrText>
      </w:r>
      <w:r w:rsidR="00E974B2" w:rsidRPr="006C476A">
        <w:rPr>
          <w:lang w:eastAsia="ru-RU"/>
        </w:rPr>
        <w:instrText xml:space="preserve"> </w:instrText>
      </w:r>
      <w:r w:rsidR="00E974B2">
        <w:rPr>
          <w:lang w:val="en-US" w:eastAsia="ru-RU"/>
        </w:rPr>
        <w:instrText>follicular</w:instrText>
      </w:r>
      <w:r w:rsidR="00E974B2" w:rsidRPr="006C476A">
        <w:rPr>
          <w:lang w:eastAsia="ru-RU"/>
        </w:rPr>
        <w:instrText xml:space="preserve"> </w:instrText>
      </w:r>
      <w:r w:rsidR="00E974B2">
        <w:rPr>
          <w:lang w:val="en-US" w:eastAsia="ru-RU"/>
        </w:rPr>
        <w:instrText>lymphoma</w:instrText>
      </w:r>
      <w:r w:rsidR="00E974B2" w:rsidRPr="006C476A">
        <w:rPr>
          <w:lang w:eastAsia="ru-RU"/>
        </w:rPr>
        <w:instrText xml:space="preserve">, </w:instrText>
      </w:r>
      <w:r w:rsidR="00E974B2">
        <w:rPr>
          <w:lang w:val="en-US" w:eastAsia="ru-RU"/>
        </w:rPr>
        <w:instrText>diffuse</w:instrText>
      </w:r>
      <w:r w:rsidR="00E974B2" w:rsidRPr="006C476A">
        <w:rPr>
          <w:lang w:eastAsia="ru-RU"/>
        </w:rPr>
        <w:instrText xml:space="preserve"> </w:instrText>
      </w:r>
      <w:r w:rsidR="00E974B2">
        <w:rPr>
          <w:lang w:val="en-US" w:eastAsia="ru-RU"/>
        </w:rPr>
        <w:instrText>large</w:instrText>
      </w:r>
      <w:r w:rsidR="00E974B2" w:rsidRPr="006C476A">
        <w:rPr>
          <w:lang w:eastAsia="ru-RU"/>
        </w:rPr>
        <w:instrText xml:space="preserve"> </w:instrText>
      </w:r>
      <w:r w:rsidR="00E974B2">
        <w:rPr>
          <w:lang w:val="en-US" w:eastAsia="ru-RU"/>
        </w:rPr>
        <w:instrText>B</w:instrText>
      </w:r>
      <w:r w:rsidR="00E974B2" w:rsidRPr="006C476A">
        <w:rPr>
          <w:lang w:eastAsia="ru-RU"/>
        </w:rPr>
        <w:instrText>-</w:instrText>
      </w:r>
      <w:r w:rsidR="00E974B2">
        <w:rPr>
          <w:lang w:val="en-US" w:eastAsia="ru-RU"/>
        </w:rPr>
        <w:instrText>cell</w:instrText>
      </w:r>
      <w:r w:rsidR="00E974B2" w:rsidRPr="006C476A">
        <w:rPr>
          <w:lang w:eastAsia="ru-RU"/>
        </w:rPr>
        <w:instrText xml:space="preserve"> </w:instrText>
      </w:r>
      <w:r w:rsidR="00E974B2">
        <w:rPr>
          <w:lang w:val="en-US" w:eastAsia="ru-RU"/>
        </w:rPr>
        <w:instrText>lymphoma</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chronic</w:instrText>
      </w:r>
      <w:r w:rsidR="00E974B2" w:rsidRPr="006C476A">
        <w:rPr>
          <w:lang w:eastAsia="ru-RU"/>
        </w:rPr>
        <w:instrText xml:space="preserve"> </w:instrText>
      </w:r>
      <w:r w:rsidR="00E974B2">
        <w:rPr>
          <w:lang w:val="en-US" w:eastAsia="ru-RU"/>
        </w:rPr>
        <w:instrText>lymphocytic</w:instrText>
      </w:r>
      <w:r w:rsidR="00E974B2" w:rsidRPr="006C476A">
        <w:rPr>
          <w:lang w:eastAsia="ru-RU"/>
        </w:rPr>
        <w:instrText xml:space="preserve"> </w:instrText>
      </w:r>
      <w:r w:rsidR="00E974B2">
        <w:rPr>
          <w:lang w:val="en-US" w:eastAsia="ru-RU"/>
        </w:rPr>
        <w:instrText>leukemia</w:instrText>
      </w:r>
      <w:r w:rsidR="00E974B2" w:rsidRPr="006C476A">
        <w:rPr>
          <w:lang w:eastAsia="ru-RU"/>
        </w:rPr>
        <w:instrText xml:space="preserve">. </w:instrText>
      </w:r>
      <w:r w:rsidR="00E974B2">
        <w:rPr>
          <w:lang w:val="en-US" w:eastAsia="ru-RU"/>
        </w:rPr>
        <w:instrText>With</w:instrText>
      </w:r>
      <w:r w:rsidR="00E974B2" w:rsidRPr="006C476A">
        <w:rPr>
          <w:lang w:eastAsia="ru-RU"/>
        </w:rPr>
        <w:instrText xml:space="preserve"> </w:instrText>
      </w:r>
      <w:r w:rsidR="00E974B2">
        <w:rPr>
          <w:lang w:val="en-US" w:eastAsia="ru-RU"/>
        </w:rPr>
        <w:instrText>data</w:instrText>
      </w:r>
      <w:r w:rsidR="00E974B2" w:rsidRPr="006C476A">
        <w:rPr>
          <w:lang w:eastAsia="ru-RU"/>
        </w:rPr>
        <w:instrText xml:space="preserve"> </w:instrText>
      </w:r>
      <w:r w:rsidR="00E974B2">
        <w:rPr>
          <w:lang w:val="en-US" w:eastAsia="ru-RU"/>
        </w:rPr>
        <w:instrText>to</w:instrText>
      </w:r>
      <w:r w:rsidR="00E974B2" w:rsidRPr="006C476A">
        <w:rPr>
          <w:lang w:eastAsia="ru-RU"/>
        </w:rPr>
        <w:instrText xml:space="preserve"> </w:instrText>
      </w:r>
      <w:r w:rsidR="00E974B2">
        <w:rPr>
          <w:lang w:val="en-US" w:eastAsia="ru-RU"/>
        </w:rPr>
        <w:instrText>support</w:instrText>
      </w:r>
      <w:r w:rsidR="00E974B2" w:rsidRPr="006C476A">
        <w:rPr>
          <w:lang w:eastAsia="ru-RU"/>
        </w:rPr>
        <w:instrText xml:space="preserve"> </w:instrText>
      </w:r>
      <w:r w:rsidR="00E974B2">
        <w:rPr>
          <w:lang w:val="en-US" w:eastAsia="ru-RU"/>
        </w:rPr>
        <w:instrText>noninferior</w:instrText>
      </w:r>
      <w:r w:rsidR="00E974B2" w:rsidRPr="006C476A">
        <w:rPr>
          <w:lang w:eastAsia="ru-RU"/>
        </w:rPr>
        <w:instrText xml:space="preserve"> </w:instrText>
      </w:r>
      <w:r w:rsidR="00E974B2">
        <w:rPr>
          <w:lang w:val="en-US" w:eastAsia="ru-RU"/>
        </w:rPr>
        <w:instrText>pharmacokinetics</w:instrText>
      </w:r>
      <w:r w:rsidR="00E974B2" w:rsidRPr="006C476A">
        <w:rPr>
          <w:lang w:eastAsia="ru-RU"/>
        </w:rPr>
        <w:instrText xml:space="preserve">, </w:instrText>
      </w:r>
      <w:r w:rsidR="00E974B2">
        <w:rPr>
          <w:lang w:val="en-US" w:eastAsia="ru-RU"/>
        </w:rPr>
        <w:instrText>similar</w:instrText>
      </w:r>
      <w:r w:rsidR="00E974B2" w:rsidRPr="006C476A">
        <w:rPr>
          <w:lang w:eastAsia="ru-RU"/>
        </w:rPr>
        <w:instrText xml:space="preserve"> </w:instrText>
      </w:r>
      <w:r w:rsidR="00E974B2">
        <w:rPr>
          <w:lang w:val="en-US" w:eastAsia="ru-RU"/>
        </w:rPr>
        <w:instrText>outcomes</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comparable</w:instrText>
      </w:r>
      <w:r w:rsidR="00E974B2" w:rsidRPr="006C476A">
        <w:rPr>
          <w:lang w:eastAsia="ru-RU"/>
        </w:rPr>
        <w:instrText xml:space="preserve"> </w:instrText>
      </w:r>
      <w:r w:rsidR="00E974B2">
        <w:rPr>
          <w:lang w:val="en-US" w:eastAsia="ru-RU"/>
        </w:rPr>
        <w:instrText>adverse</w:instrText>
      </w:r>
      <w:r w:rsidR="00E974B2" w:rsidRPr="006C476A">
        <w:rPr>
          <w:lang w:eastAsia="ru-RU"/>
        </w:rPr>
        <w:instrText xml:space="preserve"> </w:instrText>
      </w:r>
      <w:r w:rsidR="00E974B2">
        <w:rPr>
          <w:lang w:val="en-US" w:eastAsia="ru-RU"/>
        </w:rPr>
        <w:instrText>events</w:instrText>
      </w:r>
      <w:r w:rsidR="00E974B2" w:rsidRPr="006C476A">
        <w:rPr>
          <w:lang w:eastAsia="ru-RU"/>
        </w:rPr>
        <w:instrText xml:space="preserve">, </w:instrText>
      </w:r>
      <w:r w:rsidR="00E974B2">
        <w:rPr>
          <w:lang w:val="en-US" w:eastAsia="ru-RU"/>
        </w:rPr>
        <w:instrText>rituximab</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hyaluronidase</w:instrText>
      </w:r>
      <w:r w:rsidR="00E974B2" w:rsidRPr="006C476A">
        <w:rPr>
          <w:lang w:eastAsia="ru-RU"/>
        </w:rPr>
        <w:instrText xml:space="preserve"> </w:instrText>
      </w:r>
      <w:r w:rsidR="00E974B2">
        <w:rPr>
          <w:lang w:val="en-US" w:eastAsia="ru-RU"/>
        </w:rPr>
        <w:instrText>human</w:instrText>
      </w:r>
      <w:r w:rsidR="00E974B2" w:rsidRPr="006C476A">
        <w:rPr>
          <w:lang w:eastAsia="ru-RU"/>
        </w:rPr>
        <w:instrText xml:space="preserve"> </w:instrText>
      </w:r>
      <w:r w:rsidR="00E974B2">
        <w:rPr>
          <w:lang w:val="en-US" w:eastAsia="ru-RU"/>
        </w:rPr>
        <w:instrText>may</w:instrText>
      </w:r>
      <w:r w:rsidR="00E974B2" w:rsidRPr="006C476A">
        <w:rPr>
          <w:lang w:eastAsia="ru-RU"/>
        </w:rPr>
        <w:instrText xml:space="preserve"> </w:instrText>
      </w:r>
      <w:r w:rsidR="00E974B2">
        <w:rPr>
          <w:lang w:val="en-US" w:eastAsia="ru-RU"/>
        </w:rPr>
        <w:instrText>offer</w:instrText>
      </w:r>
      <w:r w:rsidR="00E974B2" w:rsidRPr="006C476A">
        <w:rPr>
          <w:lang w:eastAsia="ru-RU"/>
        </w:rPr>
        <w:instrText xml:space="preserve"> </w:instrText>
      </w:r>
      <w:r w:rsidR="00E974B2">
        <w:rPr>
          <w:lang w:val="en-US" w:eastAsia="ru-RU"/>
        </w:rPr>
        <w:instrText>a</w:instrText>
      </w:r>
      <w:r w:rsidR="00E974B2" w:rsidRPr="006C476A">
        <w:rPr>
          <w:lang w:eastAsia="ru-RU"/>
        </w:rPr>
        <w:instrText xml:space="preserve"> </w:instrText>
      </w:r>
      <w:r w:rsidR="00E974B2">
        <w:rPr>
          <w:lang w:val="en-US" w:eastAsia="ru-RU"/>
        </w:rPr>
        <w:instrText>suitable</w:instrText>
      </w:r>
      <w:r w:rsidR="00E974B2" w:rsidRPr="006C476A">
        <w:rPr>
          <w:lang w:eastAsia="ru-RU"/>
        </w:rPr>
        <w:instrText xml:space="preserve"> </w:instrText>
      </w:r>
      <w:r w:rsidR="00E974B2">
        <w:rPr>
          <w:lang w:val="en-US" w:eastAsia="ru-RU"/>
        </w:rPr>
        <w:instrText>alternative</w:instrText>
      </w:r>
      <w:r w:rsidR="00E974B2" w:rsidRPr="006C476A">
        <w:rPr>
          <w:lang w:eastAsia="ru-RU"/>
        </w:rPr>
        <w:instrText xml:space="preserve"> </w:instrText>
      </w:r>
      <w:r w:rsidR="00E974B2">
        <w:rPr>
          <w:lang w:val="en-US" w:eastAsia="ru-RU"/>
        </w:rPr>
        <w:instrText>to</w:instrText>
      </w:r>
      <w:r w:rsidR="00E974B2" w:rsidRPr="006C476A">
        <w:rPr>
          <w:lang w:eastAsia="ru-RU"/>
        </w:rPr>
        <w:instrText xml:space="preserve"> </w:instrText>
      </w:r>
      <w:r w:rsidR="00E974B2">
        <w:rPr>
          <w:lang w:val="en-US" w:eastAsia="ru-RU"/>
        </w:rPr>
        <w:instrText>intravenous</w:instrText>
      </w:r>
      <w:r w:rsidR="00E974B2" w:rsidRPr="006C476A">
        <w:rPr>
          <w:lang w:eastAsia="ru-RU"/>
        </w:rPr>
        <w:instrText xml:space="preserve"> </w:instrText>
      </w:r>
      <w:r w:rsidR="00E974B2">
        <w:rPr>
          <w:lang w:val="en-US" w:eastAsia="ru-RU"/>
        </w:rPr>
        <w:instrText>rituximab</w:instrText>
      </w:r>
      <w:r w:rsidR="00E974B2" w:rsidRPr="006C476A">
        <w:rPr>
          <w:lang w:eastAsia="ru-RU"/>
        </w:rPr>
        <w:instrText xml:space="preserve"> </w:instrText>
      </w:r>
      <w:r w:rsidR="00E974B2">
        <w:rPr>
          <w:lang w:val="en-US" w:eastAsia="ru-RU"/>
        </w:rPr>
        <w:instrText>that</w:instrText>
      </w:r>
      <w:r w:rsidR="00E974B2" w:rsidRPr="006C476A">
        <w:rPr>
          <w:lang w:eastAsia="ru-RU"/>
        </w:rPr>
        <w:instrText xml:space="preserve"> </w:instrText>
      </w:r>
      <w:r w:rsidR="00E974B2">
        <w:rPr>
          <w:lang w:val="en-US" w:eastAsia="ru-RU"/>
        </w:rPr>
        <w:instrText>could</w:instrText>
      </w:r>
      <w:r w:rsidR="00E974B2" w:rsidRPr="006C476A">
        <w:rPr>
          <w:lang w:eastAsia="ru-RU"/>
        </w:rPr>
        <w:instrText xml:space="preserve"> </w:instrText>
      </w:r>
      <w:r w:rsidR="00E974B2">
        <w:rPr>
          <w:lang w:val="en-US" w:eastAsia="ru-RU"/>
        </w:rPr>
        <w:instrText>improve</w:instrText>
      </w:r>
      <w:r w:rsidR="00E974B2" w:rsidRPr="006C476A">
        <w:rPr>
          <w:lang w:eastAsia="ru-RU"/>
        </w:rPr>
        <w:instrText xml:space="preserve"> </w:instrText>
      </w:r>
      <w:r w:rsidR="00E974B2">
        <w:rPr>
          <w:lang w:val="en-US" w:eastAsia="ru-RU"/>
        </w:rPr>
        <w:instrText>convenience</w:instrText>
      </w:r>
      <w:r w:rsidR="00E974B2" w:rsidRPr="006C476A">
        <w:rPr>
          <w:lang w:eastAsia="ru-RU"/>
        </w:rPr>
        <w:instrText xml:space="preserve"> </w:instrText>
      </w:r>
      <w:r w:rsidR="00E974B2">
        <w:rPr>
          <w:lang w:val="en-US" w:eastAsia="ru-RU"/>
        </w:rPr>
        <w:instrText>for</w:instrText>
      </w:r>
      <w:r w:rsidR="00E974B2" w:rsidRPr="006C476A">
        <w:rPr>
          <w:lang w:eastAsia="ru-RU"/>
        </w:rPr>
        <w:instrText xml:space="preserve"> </w:instrText>
      </w:r>
      <w:r w:rsidR="00E974B2">
        <w:rPr>
          <w:lang w:val="en-US" w:eastAsia="ru-RU"/>
        </w:rPr>
        <w:instrText>patients</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better</w:instrText>
      </w:r>
      <w:r w:rsidR="00E974B2" w:rsidRPr="006C476A">
        <w:rPr>
          <w:lang w:eastAsia="ru-RU"/>
        </w:rPr>
        <w:instrText xml:space="preserve"> </w:instrText>
      </w:r>
      <w:r w:rsidR="00E974B2">
        <w:rPr>
          <w:lang w:val="en-US" w:eastAsia="ru-RU"/>
        </w:rPr>
        <w:instrText>utilize</w:instrText>
      </w:r>
      <w:r w:rsidR="00E974B2" w:rsidRPr="006C476A">
        <w:rPr>
          <w:lang w:eastAsia="ru-RU"/>
        </w:rPr>
        <w:instrText xml:space="preserve"> </w:instrText>
      </w:r>
      <w:r w:rsidR="00E974B2">
        <w:rPr>
          <w:lang w:val="en-US" w:eastAsia="ru-RU"/>
        </w:rPr>
        <w:instrText>health</w:instrText>
      </w:r>
      <w:r w:rsidR="00E974B2" w:rsidRPr="006C476A">
        <w:rPr>
          <w:lang w:eastAsia="ru-RU"/>
        </w:rPr>
        <w:instrText>-</w:instrText>
      </w:r>
      <w:r w:rsidR="00E974B2">
        <w:rPr>
          <w:lang w:val="en-US" w:eastAsia="ru-RU"/>
        </w:rPr>
        <w:instrText>care</w:instrText>
      </w:r>
      <w:r w:rsidR="00E974B2" w:rsidRPr="006C476A">
        <w:rPr>
          <w:lang w:eastAsia="ru-RU"/>
        </w:rPr>
        <w:instrText xml:space="preserve"> </w:instrText>
      </w:r>
      <w:r w:rsidR="00E974B2">
        <w:rPr>
          <w:lang w:val="en-US" w:eastAsia="ru-RU"/>
        </w:rPr>
        <w:instrText>resources</w:instrText>
      </w:r>
      <w:r w:rsidR="00E974B2" w:rsidRPr="006C476A">
        <w:rPr>
          <w:lang w:eastAsia="ru-RU"/>
        </w:rPr>
        <w:instrText>.","</w:instrText>
      </w:r>
      <w:r w:rsidR="00E974B2">
        <w:rPr>
          <w:lang w:val="en-US" w:eastAsia="ru-RU"/>
        </w:rPr>
        <w:instrText>author</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family</w:instrText>
      </w:r>
      <w:r w:rsidR="00E974B2" w:rsidRPr="006C476A">
        <w:rPr>
          <w:lang w:eastAsia="ru-RU"/>
        </w:rPr>
        <w:instrText>":"</w:instrText>
      </w:r>
      <w:r w:rsidR="00E974B2">
        <w:rPr>
          <w:lang w:val="en-US" w:eastAsia="ru-RU"/>
        </w:rPr>
        <w:instrText>Yelvington</w:instrText>
      </w:r>
      <w:r w:rsidR="00E974B2" w:rsidRPr="006C476A">
        <w:rPr>
          <w:lang w:eastAsia="ru-RU"/>
        </w:rPr>
        <w:instrText>","</w:instrText>
      </w:r>
      <w:r w:rsidR="00E974B2">
        <w:rPr>
          <w:lang w:val="en-US" w:eastAsia="ru-RU"/>
        </w:rPr>
        <w:instrText>given</w:instrText>
      </w:r>
      <w:r w:rsidR="00E974B2" w:rsidRPr="006C476A">
        <w:rPr>
          <w:lang w:eastAsia="ru-RU"/>
        </w:rPr>
        <w:instrText>":"</w:instrText>
      </w:r>
      <w:r w:rsidR="00E974B2">
        <w:rPr>
          <w:lang w:val="en-US" w:eastAsia="ru-RU"/>
        </w:rPr>
        <w:instrText>Bradley</w:instrText>
      </w:r>
      <w:r w:rsidR="00E974B2" w:rsidRPr="006C476A">
        <w:rPr>
          <w:lang w:eastAsia="ru-RU"/>
        </w:rPr>
        <w:instrText xml:space="preserve"> </w:instrText>
      </w:r>
      <w:r w:rsidR="00E974B2">
        <w:rPr>
          <w:lang w:val="en-US" w:eastAsia="ru-RU"/>
        </w:rPr>
        <w:instrText>J</w:instrText>
      </w:r>
      <w:r w:rsidR="00E974B2" w:rsidRPr="006C476A">
        <w:rPr>
          <w:lang w:eastAsia="ru-RU"/>
        </w:rPr>
        <w:instrText>","</w:instrText>
      </w:r>
      <w:r w:rsidR="00E974B2">
        <w:rPr>
          <w:lang w:val="en-US" w:eastAsia="ru-RU"/>
        </w:rPr>
        <w:instrText>non</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parse</w:instrText>
      </w:r>
      <w:r w:rsidR="00E974B2" w:rsidRPr="006C476A">
        <w:rPr>
          <w:lang w:eastAsia="ru-RU"/>
        </w:rPr>
        <w:instrText>-</w:instrText>
      </w:r>
      <w:r w:rsidR="00E974B2">
        <w:rPr>
          <w:lang w:val="en-US" w:eastAsia="ru-RU"/>
        </w:rPr>
        <w:instrText>names</w:instrText>
      </w:r>
      <w:r w:rsidR="00E974B2" w:rsidRPr="006C476A">
        <w:rPr>
          <w:lang w:eastAsia="ru-RU"/>
        </w:rPr>
        <w:instrText>":</w:instrText>
      </w:r>
      <w:r w:rsidR="00E974B2">
        <w:rPr>
          <w:lang w:val="en-US" w:eastAsia="ru-RU"/>
        </w:rPr>
        <w:instrText>false</w:instrText>
      </w:r>
      <w:r w:rsidR="00E974B2" w:rsidRPr="006C476A">
        <w:rPr>
          <w:lang w:eastAsia="ru-RU"/>
        </w:rPr>
        <w:instrText>,"</w:instrText>
      </w:r>
      <w:r w:rsidR="00E974B2">
        <w:rPr>
          <w:lang w:val="en-US" w:eastAsia="ru-RU"/>
        </w:rPr>
        <w:instrText>suffix</w:instrText>
      </w:r>
      <w:r w:rsidR="00E974B2" w:rsidRPr="006C476A">
        <w:rPr>
          <w:lang w:eastAsia="ru-RU"/>
        </w:rPr>
        <w:instrText>":""}],"</w:instrText>
      </w:r>
      <w:r w:rsidR="00E974B2">
        <w:rPr>
          <w:lang w:val="en-US" w:eastAsia="ru-RU"/>
        </w:rPr>
        <w:instrText>container</w:instrText>
      </w:r>
      <w:r w:rsidR="00E974B2" w:rsidRPr="006C476A">
        <w:rPr>
          <w:lang w:eastAsia="ru-RU"/>
        </w:rPr>
        <w:instrText>-</w:instrText>
      </w:r>
      <w:r w:rsidR="00E974B2">
        <w:rPr>
          <w:lang w:val="en-US" w:eastAsia="ru-RU"/>
        </w:rPr>
        <w:instrText>title</w:instrText>
      </w:r>
      <w:r w:rsidR="00E974B2" w:rsidRPr="006C476A">
        <w:rPr>
          <w:lang w:eastAsia="ru-RU"/>
        </w:rPr>
        <w:instrText>":"</w:instrText>
      </w:r>
      <w:r w:rsidR="00E974B2">
        <w:rPr>
          <w:lang w:val="en-US" w:eastAsia="ru-RU"/>
        </w:rPr>
        <w:instrText>Journal</w:instrText>
      </w:r>
      <w:r w:rsidR="00E974B2" w:rsidRPr="006C476A">
        <w:rPr>
          <w:lang w:eastAsia="ru-RU"/>
        </w:rPr>
        <w:instrText xml:space="preserve"> </w:instrText>
      </w:r>
      <w:r w:rsidR="00E974B2">
        <w:rPr>
          <w:lang w:val="en-US" w:eastAsia="ru-RU"/>
        </w:rPr>
        <w:instrText>of</w:instrText>
      </w:r>
      <w:r w:rsidR="00E974B2" w:rsidRPr="006C476A">
        <w:rPr>
          <w:lang w:eastAsia="ru-RU"/>
        </w:rPr>
        <w:instrText xml:space="preserve"> </w:instrText>
      </w:r>
      <w:r w:rsidR="00E974B2">
        <w:rPr>
          <w:lang w:val="en-US" w:eastAsia="ru-RU"/>
        </w:rPr>
        <w:instrText>the</w:instrText>
      </w:r>
      <w:r w:rsidR="00E974B2" w:rsidRPr="006C476A">
        <w:rPr>
          <w:lang w:eastAsia="ru-RU"/>
        </w:rPr>
        <w:instrText xml:space="preserve"> </w:instrText>
      </w:r>
      <w:r w:rsidR="00E974B2">
        <w:rPr>
          <w:lang w:val="en-US" w:eastAsia="ru-RU"/>
        </w:rPr>
        <w:instrText>advanced</w:instrText>
      </w:r>
      <w:r w:rsidR="00E974B2" w:rsidRPr="006C476A">
        <w:rPr>
          <w:lang w:eastAsia="ru-RU"/>
        </w:rPr>
        <w:instrText xml:space="preserve"> </w:instrText>
      </w:r>
      <w:r w:rsidR="00E974B2">
        <w:rPr>
          <w:lang w:val="en-US" w:eastAsia="ru-RU"/>
        </w:rPr>
        <w:instrText>practitioner</w:instrText>
      </w:r>
      <w:r w:rsidR="00E974B2" w:rsidRPr="006C476A">
        <w:rPr>
          <w:lang w:eastAsia="ru-RU"/>
        </w:rPr>
        <w:instrText xml:space="preserve"> </w:instrText>
      </w:r>
      <w:r w:rsidR="00E974B2">
        <w:rPr>
          <w:lang w:val="en-US" w:eastAsia="ru-RU"/>
        </w:rPr>
        <w:instrText>in</w:instrText>
      </w:r>
      <w:r w:rsidR="00E974B2" w:rsidRPr="006C476A">
        <w:rPr>
          <w:lang w:eastAsia="ru-RU"/>
        </w:rPr>
        <w:instrText xml:space="preserve"> </w:instrText>
      </w:r>
      <w:r w:rsidR="00E974B2">
        <w:rPr>
          <w:lang w:val="en-US" w:eastAsia="ru-RU"/>
        </w:rPr>
        <w:instrText>oncology</w:instrText>
      </w:r>
      <w:r w:rsidR="00E974B2" w:rsidRPr="006C476A">
        <w:rPr>
          <w:lang w:eastAsia="ru-RU"/>
        </w:rPr>
        <w:instrText>","</w:instrText>
      </w:r>
      <w:r w:rsidR="00E974B2">
        <w:rPr>
          <w:lang w:val="en-US" w:eastAsia="ru-RU"/>
        </w:rPr>
        <w:instrText>id</w:instrText>
      </w:r>
      <w:r w:rsidR="00E974B2" w:rsidRPr="006C476A">
        <w:rPr>
          <w:lang w:eastAsia="ru-RU"/>
        </w:rPr>
        <w:instrText>":"</w:instrText>
      </w:r>
      <w:r w:rsidR="00E974B2">
        <w:rPr>
          <w:lang w:val="en-US" w:eastAsia="ru-RU"/>
        </w:rPr>
        <w:instrText>ITEM</w:instrText>
      </w:r>
      <w:r w:rsidR="00E974B2" w:rsidRPr="006C476A">
        <w:rPr>
          <w:lang w:eastAsia="ru-RU"/>
        </w:rPr>
        <w:instrText>-1","</w:instrText>
      </w:r>
      <w:r w:rsidR="00E974B2">
        <w:rPr>
          <w:lang w:val="en-US" w:eastAsia="ru-RU"/>
        </w:rPr>
        <w:instrText>issue</w:instrText>
      </w:r>
      <w:r w:rsidR="00E974B2" w:rsidRPr="006C476A">
        <w:rPr>
          <w:lang w:eastAsia="ru-RU"/>
        </w:rPr>
        <w:instrText>":"5","</w:instrText>
      </w:r>
      <w:r w:rsidR="00E974B2">
        <w:rPr>
          <w:lang w:val="en-US" w:eastAsia="ru-RU"/>
        </w:rPr>
        <w:instrText>issued</w:instrText>
      </w:r>
      <w:r w:rsidR="00E974B2" w:rsidRPr="006C476A">
        <w:rPr>
          <w:lang w:eastAsia="ru-RU"/>
        </w:rPr>
        <w:instrText>":{"</w:instrText>
      </w:r>
      <w:r w:rsidR="00E974B2">
        <w:rPr>
          <w:lang w:val="en-US" w:eastAsia="ru-RU"/>
        </w:rPr>
        <w:instrText>date</w:instrText>
      </w:r>
      <w:r w:rsidR="00E974B2" w:rsidRPr="006C476A">
        <w:rPr>
          <w:lang w:eastAsia="ru-RU"/>
        </w:rPr>
        <w:instrText>-</w:instrText>
      </w:r>
      <w:r w:rsidR="00E974B2">
        <w:rPr>
          <w:lang w:val="en-US" w:eastAsia="ru-RU"/>
        </w:rPr>
        <w:instrText>parts</w:instrText>
      </w:r>
      <w:r w:rsidR="00E974B2" w:rsidRPr="006C476A">
        <w:rPr>
          <w:lang w:eastAsia="ru-RU"/>
        </w:rPr>
        <w:instrText>":[["2018"]]},"</w:instrText>
      </w:r>
      <w:r w:rsidR="00E974B2">
        <w:rPr>
          <w:lang w:val="en-US" w:eastAsia="ru-RU"/>
        </w:rPr>
        <w:instrText>page</w:instrText>
      </w:r>
      <w:r w:rsidR="00E974B2" w:rsidRPr="006C476A">
        <w:rPr>
          <w:lang w:eastAsia="ru-RU"/>
        </w:rPr>
        <w:instrText>":"530-534","</w:instrText>
      </w:r>
      <w:r w:rsidR="00E974B2">
        <w:rPr>
          <w:lang w:val="en-US" w:eastAsia="ru-RU"/>
        </w:rPr>
        <w:instrText>publisher</w:instrText>
      </w:r>
      <w:r w:rsidR="00E974B2" w:rsidRPr="006C476A">
        <w:rPr>
          <w:lang w:eastAsia="ru-RU"/>
        </w:rPr>
        <w:instrText>":"</w:instrText>
      </w:r>
      <w:r w:rsidR="00E974B2">
        <w:rPr>
          <w:lang w:val="en-US" w:eastAsia="ru-RU"/>
        </w:rPr>
        <w:instrText>Harborside</w:instrText>
      </w:r>
      <w:r w:rsidR="00E974B2" w:rsidRPr="006C476A">
        <w:rPr>
          <w:lang w:eastAsia="ru-RU"/>
        </w:rPr>
        <w:instrText xml:space="preserve"> </w:instrText>
      </w:r>
      <w:r w:rsidR="00E974B2">
        <w:rPr>
          <w:lang w:val="en-US" w:eastAsia="ru-RU"/>
        </w:rPr>
        <w:instrText>Press</w:instrText>
      </w:r>
      <w:r w:rsidR="00E974B2" w:rsidRPr="006C476A">
        <w:rPr>
          <w:lang w:eastAsia="ru-RU"/>
        </w:rPr>
        <w:instrText>","</w:instrText>
      </w:r>
      <w:r w:rsidR="00E974B2">
        <w:rPr>
          <w:lang w:val="en-US" w:eastAsia="ru-RU"/>
        </w:rPr>
        <w:instrText>title</w:instrText>
      </w:r>
      <w:r w:rsidR="00E974B2" w:rsidRPr="006C476A">
        <w:rPr>
          <w:lang w:eastAsia="ru-RU"/>
        </w:rPr>
        <w:instrText>":"</w:instrText>
      </w:r>
      <w:r w:rsidR="00E974B2">
        <w:rPr>
          <w:lang w:val="en-US" w:eastAsia="ru-RU"/>
        </w:rPr>
        <w:instrText>Subcutaneous</w:instrText>
      </w:r>
      <w:r w:rsidR="00E974B2" w:rsidRPr="006C476A">
        <w:rPr>
          <w:lang w:eastAsia="ru-RU"/>
        </w:rPr>
        <w:instrText xml:space="preserve"> </w:instrText>
      </w:r>
      <w:r w:rsidR="00E974B2">
        <w:rPr>
          <w:lang w:val="en-US" w:eastAsia="ru-RU"/>
        </w:rPr>
        <w:instrText>Rituximab</w:instrText>
      </w:r>
      <w:r w:rsidR="00E974B2" w:rsidRPr="006C476A">
        <w:rPr>
          <w:lang w:eastAsia="ru-RU"/>
        </w:rPr>
        <w:instrText xml:space="preserve"> </w:instrText>
      </w:r>
      <w:r w:rsidR="00E974B2">
        <w:rPr>
          <w:lang w:val="en-US" w:eastAsia="ru-RU"/>
        </w:rPr>
        <w:instrText>in</w:instrText>
      </w:r>
      <w:r w:rsidR="00E974B2" w:rsidRPr="006C476A">
        <w:rPr>
          <w:lang w:eastAsia="ru-RU"/>
        </w:rPr>
        <w:instrText xml:space="preserve"> </w:instrText>
      </w:r>
      <w:r w:rsidR="00E974B2">
        <w:rPr>
          <w:lang w:val="en-US" w:eastAsia="ru-RU"/>
        </w:rPr>
        <w:instrText>Follicular</w:instrText>
      </w:r>
      <w:r w:rsidR="00E974B2" w:rsidRPr="006C476A">
        <w:rPr>
          <w:lang w:eastAsia="ru-RU"/>
        </w:rPr>
        <w:instrText xml:space="preserve"> </w:instrText>
      </w:r>
      <w:r w:rsidR="00E974B2">
        <w:rPr>
          <w:lang w:val="en-US" w:eastAsia="ru-RU"/>
        </w:rPr>
        <w:instrText>Lymphoma</w:instrText>
      </w:r>
      <w:r w:rsidR="00E974B2" w:rsidRPr="006C476A">
        <w:rPr>
          <w:lang w:eastAsia="ru-RU"/>
        </w:rPr>
        <w:instrText xml:space="preserve">, </w:instrText>
      </w:r>
      <w:r w:rsidR="00E974B2">
        <w:rPr>
          <w:lang w:val="en-US" w:eastAsia="ru-RU"/>
        </w:rPr>
        <w:instrText>Chronic</w:instrText>
      </w:r>
      <w:r w:rsidR="00E974B2" w:rsidRPr="006C476A">
        <w:rPr>
          <w:lang w:eastAsia="ru-RU"/>
        </w:rPr>
        <w:instrText xml:space="preserve"> </w:instrText>
      </w:r>
      <w:r w:rsidR="00E974B2">
        <w:rPr>
          <w:lang w:val="en-US" w:eastAsia="ru-RU"/>
        </w:rPr>
        <w:instrText>Lymphocytic</w:instrText>
      </w:r>
      <w:r w:rsidR="00E974B2" w:rsidRPr="006C476A">
        <w:rPr>
          <w:lang w:eastAsia="ru-RU"/>
        </w:rPr>
        <w:instrText xml:space="preserve"> </w:instrText>
      </w:r>
      <w:r w:rsidR="00E974B2">
        <w:rPr>
          <w:lang w:val="en-US" w:eastAsia="ru-RU"/>
        </w:rPr>
        <w:instrText>Leukemia</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Diffuse</w:instrText>
      </w:r>
      <w:r w:rsidR="00E974B2" w:rsidRPr="006C476A">
        <w:rPr>
          <w:lang w:eastAsia="ru-RU"/>
        </w:rPr>
        <w:instrText xml:space="preserve"> </w:instrText>
      </w:r>
      <w:r w:rsidR="00E974B2">
        <w:rPr>
          <w:lang w:val="en-US" w:eastAsia="ru-RU"/>
        </w:rPr>
        <w:instrText>Large</w:instrText>
      </w:r>
      <w:r w:rsidR="00E974B2" w:rsidRPr="006C476A">
        <w:rPr>
          <w:lang w:eastAsia="ru-RU"/>
        </w:rPr>
        <w:instrText xml:space="preserve"> </w:instrText>
      </w:r>
      <w:r w:rsidR="00E974B2">
        <w:rPr>
          <w:lang w:val="en-US" w:eastAsia="ru-RU"/>
        </w:rPr>
        <w:instrText>B</w:instrText>
      </w:r>
      <w:r w:rsidR="00E974B2" w:rsidRPr="006C476A">
        <w:rPr>
          <w:lang w:eastAsia="ru-RU"/>
        </w:rPr>
        <w:instrText>-</w:instrText>
      </w:r>
      <w:r w:rsidR="00E974B2">
        <w:rPr>
          <w:lang w:val="en-US" w:eastAsia="ru-RU"/>
        </w:rPr>
        <w:instrText>Cell</w:instrText>
      </w:r>
      <w:r w:rsidR="00E974B2" w:rsidRPr="006C476A">
        <w:rPr>
          <w:lang w:eastAsia="ru-RU"/>
        </w:rPr>
        <w:instrText xml:space="preserve"> </w:instrText>
      </w:r>
      <w:r w:rsidR="00E974B2">
        <w:rPr>
          <w:lang w:val="en-US" w:eastAsia="ru-RU"/>
        </w:rPr>
        <w:instrText>Lymphoma</w:instrText>
      </w:r>
      <w:r w:rsidR="00E974B2" w:rsidRPr="006C476A">
        <w:rPr>
          <w:lang w:eastAsia="ru-RU"/>
        </w:rPr>
        <w:instrText>.","</w:instrText>
      </w:r>
      <w:r w:rsidR="00E974B2">
        <w:rPr>
          <w:lang w:val="en-US" w:eastAsia="ru-RU"/>
        </w:rPr>
        <w:instrText>type</w:instrText>
      </w:r>
      <w:r w:rsidR="00E974B2" w:rsidRPr="006C476A">
        <w:rPr>
          <w:lang w:eastAsia="ru-RU"/>
        </w:rPr>
        <w:instrText>":"</w:instrText>
      </w:r>
      <w:r w:rsidR="00E974B2">
        <w:rPr>
          <w:lang w:val="en-US" w:eastAsia="ru-RU"/>
        </w:rPr>
        <w:instrText>article</w:instrText>
      </w:r>
      <w:r w:rsidR="00E974B2" w:rsidRPr="006C476A">
        <w:rPr>
          <w:lang w:eastAsia="ru-RU"/>
        </w:rPr>
        <w:instrText>-</w:instrText>
      </w:r>
      <w:r w:rsidR="00E974B2">
        <w:rPr>
          <w:lang w:val="en-US" w:eastAsia="ru-RU"/>
        </w:rPr>
        <w:instrText>journal</w:instrText>
      </w:r>
      <w:r w:rsidR="00E974B2" w:rsidRPr="006C476A">
        <w:rPr>
          <w:lang w:eastAsia="ru-RU"/>
        </w:rPr>
        <w:instrText>","</w:instrText>
      </w:r>
      <w:r w:rsidR="00E974B2">
        <w:rPr>
          <w:lang w:val="en-US" w:eastAsia="ru-RU"/>
        </w:rPr>
        <w:instrText>volume</w:instrText>
      </w:r>
      <w:r w:rsidR="00E974B2" w:rsidRPr="006C476A">
        <w:rPr>
          <w:lang w:eastAsia="ru-RU"/>
        </w:rPr>
        <w:instrText>":"9"},"</w:instrText>
      </w:r>
      <w:r w:rsidR="00E974B2">
        <w:rPr>
          <w:lang w:val="en-US" w:eastAsia="ru-RU"/>
        </w:rPr>
        <w:instrText>uris</w:instrText>
      </w:r>
      <w:r w:rsidR="00E974B2" w:rsidRPr="006C476A">
        <w:rPr>
          <w:lang w:eastAsia="ru-RU"/>
        </w:rPr>
        <w:instrText>":["</w:instrText>
      </w:r>
      <w:r w:rsidR="00E974B2">
        <w:rPr>
          <w:lang w:val="en-US" w:eastAsia="ru-RU"/>
        </w:rPr>
        <w:instrText>http</w:instrText>
      </w:r>
      <w:r w:rsidR="00E974B2" w:rsidRPr="006C476A">
        <w:rPr>
          <w:lang w:eastAsia="ru-RU"/>
        </w:rPr>
        <w:instrText>://</w:instrText>
      </w:r>
      <w:r w:rsidR="00E974B2">
        <w:rPr>
          <w:lang w:val="en-US" w:eastAsia="ru-RU"/>
        </w:rPr>
        <w:instrText>www</w:instrText>
      </w:r>
      <w:r w:rsidR="00E974B2" w:rsidRPr="006C476A">
        <w:rPr>
          <w:lang w:eastAsia="ru-RU"/>
        </w:rPr>
        <w:instrText>.</w:instrText>
      </w:r>
      <w:r w:rsidR="00E974B2">
        <w:rPr>
          <w:lang w:val="en-US" w:eastAsia="ru-RU"/>
        </w:rPr>
        <w:instrText>mendeley</w:instrText>
      </w:r>
      <w:r w:rsidR="00E974B2" w:rsidRPr="006C476A">
        <w:rPr>
          <w:lang w:eastAsia="ru-RU"/>
        </w:rPr>
        <w:instrText>.</w:instrText>
      </w:r>
      <w:r w:rsidR="00E974B2">
        <w:rPr>
          <w:lang w:val="en-US" w:eastAsia="ru-RU"/>
        </w:rPr>
        <w:instrText>com</w:instrText>
      </w:r>
      <w:r w:rsidR="00E974B2" w:rsidRPr="006C476A">
        <w:rPr>
          <w:lang w:eastAsia="ru-RU"/>
        </w:rPr>
        <w:instrText>/</w:instrText>
      </w:r>
      <w:r w:rsidR="00E974B2">
        <w:rPr>
          <w:lang w:val="en-US" w:eastAsia="ru-RU"/>
        </w:rPr>
        <w:instrText>documents</w:instrText>
      </w:r>
      <w:r w:rsidR="00E974B2" w:rsidRPr="006C476A">
        <w:rPr>
          <w:lang w:eastAsia="ru-RU"/>
        </w:rPr>
        <w:instrText>/?</w:instrText>
      </w:r>
      <w:r w:rsidR="00E974B2">
        <w:rPr>
          <w:lang w:val="en-US" w:eastAsia="ru-RU"/>
        </w:rPr>
        <w:instrText>uuid</w:instrText>
      </w:r>
      <w:r w:rsidR="00E974B2" w:rsidRPr="006C476A">
        <w:rPr>
          <w:lang w:eastAsia="ru-RU"/>
        </w:rPr>
        <w:instrText>=</w:instrText>
      </w:r>
      <w:r w:rsidR="00E974B2">
        <w:rPr>
          <w:lang w:val="en-US" w:eastAsia="ru-RU"/>
        </w:rPr>
        <w:instrText>fbb</w:instrText>
      </w:r>
      <w:r w:rsidR="00E974B2" w:rsidRPr="006C476A">
        <w:rPr>
          <w:lang w:eastAsia="ru-RU"/>
        </w:rPr>
        <w:instrText>0</w:instrText>
      </w:r>
      <w:r w:rsidR="00E974B2">
        <w:rPr>
          <w:lang w:val="en-US" w:eastAsia="ru-RU"/>
        </w:rPr>
        <w:instrText>b</w:instrText>
      </w:r>
      <w:r w:rsidR="00E974B2" w:rsidRPr="006C476A">
        <w:rPr>
          <w:lang w:eastAsia="ru-RU"/>
        </w:rPr>
        <w:instrText>8</w:instrText>
      </w:r>
      <w:r w:rsidR="00E974B2">
        <w:rPr>
          <w:lang w:val="en-US" w:eastAsia="ru-RU"/>
        </w:rPr>
        <w:instrText>f</w:instrText>
      </w:r>
      <w:r w:rsidR="00E974B2" w:rsidRPr="006C476A">
        <w:rPr>
          <w:lang w:eastAsia="ru-RU"/>
        </w:rPr>
        <w:instrText>4-6</w:instrText>
      </w:r>
      <w:r w:rsidR="00E974B2">
        <w:rPr>
          <w:lang w:val="en-US" w:eastAsia="ru-RU"/>
        </w:rPr>
        <w:instrText>b</w:instrText>
      </w:r>
      <w:r w:rsidR="00E974B2" w:rsidRPr="006C476A">
        <w:rPr>
          <w:lang w:eastAsia="ru-RU"/>
        </w:rPr>
        <w:instrText>58-3</w:instrText>
      </w:r>
      <w:r w:rsidR="00E974B2">
        <w:rPr>
          <w:lang w:val="en-US" w:eastAsia="ru-RU"/>
        </w:rPr>
        <w:instrText>a</w:instrText>
      </w:r>
      <w:r w:rsidR="00E974B2" w:rsidRPr="006C476A">
        <w:rPr>
          <w:lang w:eastAsia="ru-RU"/>
        </w:rPr>
        <w:instrText>10-</w:instrText>
      </w:r>
      <w:r w:rsidR="00E974B2">
        <w:rPr>
          <w:lang w:val="en-US" w:eastAsia="ru-RU"/>
        </w:rPr>
        <w:instrText>b</w:instrText>
      </w:r>
      <w:r w:rsidR="00E974B2" w:rsidRPr="006C476A">
        <w:rPr>
          <w:lang w:eastAsia="ru-RU"/>
        </w:rPr>
        <w:instrText>7</w:instrText>
      </w:r>
      <w:r w:rsidR="00E974B2">
        <w:rPr>
          <w:lang w:val="en-US" w:eastAsia="ru-RU"/>
        </w:rPr>
        <w:instrText>d</w:instrText>
      </w:r>
      <w:r w:rsidR="00E974B2" w:rsidRPr="006C476A">
        <w:rPr>
          <w:lang w:eastAsia="ru-RU"/>
        </w:rPr>
        <w:instrText>6-</w:instrText>
      </w:r>
      <w:r w:rsidR="00E974B2">
        <w:rPr>
          <w:lang w:val="en-US" w:eastAsia="ru-RU"/>
        </w:rPr>
        <w:instrText>af</w:instrText>
      </w:r>
      <w:r w:rsidR="00E974B2" w:rsidRPr="006C476A">
        <w:rPr>
          <w:lang w:eastAsia="ru-RU"/>
        </w:rPr>
        <w:instrText>3854030</w:instrText>
      </w:r>
      <w:r w:rsidR="00E974B2">
        <w:rPr>
          <w:lang w:val="en-US" w:eastAsia="ru-RU"/>
        </w:rPr>
        <w:instrText>be</w:instrText>
      </w:r>
      <w:r w:rsidR="00E974B2" w:rsidRPr="006C476A">
        <w:rPr>
          <w:lang w:eastAsia="ru-RU"/>
        </w:rPr>
        <w:instrText>8"]},{"</w:instrText>
      </w:r>
      <w:r w:rsidR="00E974B2">
        <w:rPr>
          <w:lang w:val="en-US" w:eastAsia="ru-RU"/>
        </w:rPr>
        <w:instrText>id</w:instrText>
      </w:r>
      <w:r w:rsidR="00E974B2" w:rsidRPr="006C476A">
        <w:rPr>
          <w:lang w:eastAsia="ru-RU"/>
        </w:rPr>
        <w:instrText>":"</w:instrText>
      </w:r>
      <w:r w:rsidR="00E974B2">
        <w:rPr>
          <w:lang w:val="en-US" w:eastAsia="ru-RU"/>
        </w:rPr>
        <w:instrText>ITEM</w:instrText>
      </w:r>
      <w:r w:rsidR="00E974B2" w:rsidRPr="006C476A">
        <w:rPr>
          <w:lang w:eastAsia="ru-RU"/>
        </w:rPr>
        <w:instrText>-2","</w:instrText>
      </w:r>
      <w:r w:rsidR="00E974B2">
        <w:rPr>
          <w:lang w:val="en-US" w:eastAsia="ru-RU"/>
        </w:rPr>
        <w:instrText>itemData</w:instrText>
      </w:r>
      <w:r w:rsidR="00E974B2" w:rsidRPr="006C476A">
        <w:rPr>
          <w:lang w:eastAsia="ru-RU"/>
        </w:rPr>
        <w:instrText>":{"</w:instrText>
      </w:r>
      <w:r w:rsidR="00E974B2">
        <w:rPr>
          <w:lang w:val="en-US" w:eastAsia="ru-RU"/>
        </w:rPr>
        <w:instrText>DOI</w:instrText>
      </w:r>
      <w:r w:rsidR="00E974B2" w:rsidRPr="006C476A">
        <w:rPr>
          <w:lang w:eastAsia="ru-RU"/>
        </w:rPr>
        <w:instrText>":"10.1007/</w:instrText>
      </w:r>
      <w:r w:rsidR="00E974B2">
        <w:rPr>
          <w:lang w:val="en-US" w:eastAsia="ru-RU"/>
        </w:rPr>
        <w:instrText>s</w:instrText>
      </w:r>
      <w:r w:rsidR="00E974B2" w:rsidRPr="006C476A">
        <w:rPr>
          <w:lang w:eastAsia="ru-RU"/>
        </w:rPr>
        <w:instrText>12325-017-0610-</w:instrText>
      </w:r>
      <w:r w:rsidR="00E974B2">
        <w:rPr>
          <w:lang w:val="en-US" w:eastAsia="ru-RU"/>
        </w:rPr>
        <w:instrText>z</w:instrText>
      </w:r>
      <w:r w:rsidR="00E974B2" w:rsidRPr="006C476A">
        <w:rPr>
          <w:lang w:eastAsia="ru-RU"/>
        </w:rPr>
        <w:instrText>","</w:instrText>
      </w:r>
      <w:r w:rsidR="00E974B2">
        <w:rPr>
          <w:lang w:val="en-US" w:eastAsia="ru-RU"/>
        </w:rPr>
        <w:instrText>ISSN</w:instrText>
      </w:r>
      <w:r w:rsidR="00E974B2" w:rsidRPr="006C476A">
        <w:rPr>
          <w:lang w:eastAsia="ru-RU"/>
        </w:rPr>
        <w:instrText>":"18658652","</w:instrText>
      </w:r>
      <w:r w:rsidR="00E974B2">
        <w:rPr>
          <w:lang w:val="en-US" w:eastAsia="ru-RU"/>
        </w:rPr>
        <w:instrText>abstract</w:instrText>
      </w:r>
      <w:r w:rsidR="00E974B2" w:rsidRPr="006C476A">
        <w:rPr>
          <w:lang w:eastAsia="ru-RU"/>
        </w:rPr>
        <w:instrText>":"</w:instrText>
      </w:r>
      <w:r w:rsidR="00E974B2">
        <w:rPr>
          <w:lang w:val="en-US" w:eastAsia="ru-RU"/>
        </w:rPr>
        <w:instrText>Abstract</w:instrText>
      </w:r>
      <w:r w:rsidR="00E974B2" w:rsidRPr="006C476A">
        <w:rPr>
          <w:lang w:eastAsia="ru-RU"/>
        </w:rPr>
        <w:instrText xml:space="preserve">: </w:instrText>
      </w:r>
      <w:r w:rsidR="00E974B2">
        <w:rPr>
          <w:lang w:val="en-US" w:eastAsia="ru-RU"/>
        </w:rPr>
        <w:instrText>Rituximab</w:instrText>
      </w:r>
      <w:r w:rsidR="00E974B2" w:rsidRPr="006C476A">
        <w:rPr>
          <w:lang w:eastAsia="ru-RU"/>
        </w:rPr>
        <w:instrText xml:space="preserve"> (</w:instrText>
      </w:r>
      <w:r w:rsidR="00E974B2">
        <w:rPr>
          <w:lang w:val="en-US" w:eastAsia="ru-RU"/>
        </w:rPr>
        <w:instrText>MabThera</w:instrText>
      </w:r>
      <w:r w:rsidR="00E974B2" w:rsidRPr="006C476A">
        <w:rPr>
          <w:lang w:eastAsia="ru-RU"/>
        </w:rPr>
        <w:instrText>®/</w:instrText>
      </w:r>
      <w:r w:rsidR="00E974B2">
        <w:rPr>
          <w:lang w:val="en-US" w:eastAsia="ru-RU"/>
        </w:rPr>
        <w:instrText>Rituxan</w:instrText>
      </w:r>
      <w:r w:rsidR="00E974B2" w:rsidRPr="006C476A">
        <w:rPr>
          <w:lang w:eastAsia="ru-RU"/>
        </w:rPr>
        <w:instrText>®</w:instrText>
      </w:r>
      <w:r w:rsidR="00E974B2" w:rsidRPr="006447F6">
        <w:rPr>
          <w:lang w:eastAsia="ru-RU"/>
        </w:rPr>
        <w:instrText xml:space="preserve">), </w:instrText>
      </w:r>
      <w:r w:rsidR="00E974B2">
        <w:rPr>
          <w:lang w:val="en-US" w:eastAsia="ru-RU"/>
        </w:rPr>
        <w:instrText>a</w:instrText>
      </w:r>
      <w:r w:rsidR="00E974B2" w:rsidRPr="006447F6">
        <w:rPr>
          <w:lang w:eastAsia="ru-RU"/>
        </w:rPr>
        <w:instrText xml:space="preserve"> </w:instrText>
      </w:r>
      <w:r w:rsidR="00E974B2">
        <w:rPr>
          <w:lang w:val="en-US" w:eastAsia="ru-RU"/>
        </w:rPr>
        <w:instrText>chimeric</w:instrText>
      </w:r>
      <w:r w:rsidR="00E974B2" w:rsidRPr="006447F6">
        <w:rPr>
          <w:lang w:eastAsia="ru-RU"/>
        </w:rPr>
        <w:instrText xml:space="preserve"> </w:instrText>
      </w:r>
      <w:r w:rsidR="00E974B2">
        <w:rPr>
          <w:lang w:val="en-US" w:eastAsia="ru-RU"/>
        </w:rPr>
        <w:instrText>murine</w:instrText>
      </w:r>
      <w:r w:rsidR="00E974B2" w:rsidRPr="006447F6">
        <w:rPr>
          <w:lang w:eastAsia="ru-RU"/>
        </w:rPr>
        <w:instrText>/</w:instrText>
      </w:r>
      <w:r w:rsidR="00E974B2">
        <w:rPr>
          <w:lang w:val="en-US" w:eastAsia="ru-RU"/>
        </w:rPr>
        <w:instrText>human</w:instrText>
      </w:r>
      <w:r w:rsidR="00E974B2" w:rsidRPr="006447F6">
        <w:rPr>
          <w:lang w:eastAsia="ru-RU"/>
        </w:rPr>
        <w:instrText xml:space="preserve"> </w:instrText>
      </w:r>
      <w:r w:rsidR="00E974B2">
        <w:rPr>
          <w:lang w:val="en-US" w:eastAsia="ru-RU"/>
        </w:rPr>
        <w:instrText>monoclonal</w:instrText>
      </w:r>
      <w:r w:rsidR="00E974B2" w:rsidRPr="006447F6">
        <w:rPr>
          <w:lang w:eastAsia="ru-RU"/>
        </w:rPr>
        <w:instrText xml:space="preserve"> </w:instrText>
      </w:r>
      <w:r w:rsidR="00E974B2">
        <w:rPr>
          <w:lang w:val="en-US" w:eastAsia="ru-RU"/>
        </w:rPr>
        <w:instrText>antibody</w:instrText>
      </w:r>
      <w:r w:rsidR="00E974B2" w:rsidRPr="006447F6">
        <w:rPr>
          <w:lang w:eastAsia="ru-RU"/>
        </w:rPr>
        <w:instrText xml:space="preserve"> </w:instrText>
      </w:r>
      <w:r w:rsidR="00E974B2">
        <w:rPr>
          <w:lang w:val="en-US" w:eastAsia="ru-RU"/>
        </w:rPr>
        <w:instrText>that</w:instrText>
      </w:r>
      <w:r w:rsidR="00E974B2" w:rsidRPr="006447F6">
        <w:rPr>
          <w:lang w:eastAsia="ru-RU"/>
        </w:rPr>
        <w:instrText xml:space="preserve"> </w:instrText>
      </w:r>
      <w:r w:rsidR="00E974B2">
        <w:rPr>
          <w:lang w:val="en-US" w:eastAsia="ru-RU"/>
        </w:rPr>
        <w:instrText>binds</w:instrText>
      </w:r>
      <w:r w:rsidR="00E974B2" w:rsidRPr="006447F6">
        <w:rPr>
          <w:lang w:eastAsia="ru-RU"/>
        </w:rPr>
        <w:instrText xml:space="preserve"> </w:instrText>
      </w:r>
      <w:r w:rsidR="00E974B2">
        <w:rPr>
          <w:lang w:val="en-US" w:eastAsia="ru-RU"/>
        </w:rPr>
        <w:instrText>specifically</w:instrText>
      </w:r>
      <w:r w:rsidR="00E974B2" w:rsidRPr="006447F6">
        <w:rPr>
          <w:lang w:eastAsia="ru-RU"/>
        </w:rPr>
        <w:instrText xml:space="preserve"> </w:instrText>
      </w:r>
      <w:r w:rsidR="00E974B2">
        <w:rPr>
          <w:lang w:val="en-US" w:eastAsia="ru-RU"/>
        </w:rPr>
        <w:instrText>to</w:instrText>
      </w:r>
      <w:r w:rsidR="00E974B2" w:rsidRPr="006447F6">
        <w:rPr>
          <w:lang w:eastAsia="ru-RU"/>
        </w:rPr>
        <w:instrText xml:space="preserve"> </w:instrText>
      </w:r>
      <w:r w:rsidR="00E974B2">
        <w:rPr>
          <w:lang w:val="en-US" w:eastAsia="ru-RU"/>
        </w:rPr>
        <w:instrText>the</w:instrText>
      </w:r>
      <w:r w:rsidR="00E974B2" w:rsidRPr="006447F6">
        <w:rPr>
          <w:lang w:eastAsia="ru-RU"/>
        </w:rPr>
        <w:instrText xml:space="preserve"> </w:instrText>
      </w:r>
      <w:r w:rsidR="00E974B2">
        <w:rPr>
          <w:lang w:val="en-US" w:eastAsia="ru-RU"/>
        </w:rPr>
        <w:instrText>transmembrane</w:instrText>
      </w:r>
      <w:r w:rsidR="00E974B2" w:rsidRPr="006447F6">
        <w:rPr>
          <w:lang w:eastAsia="ru-RU"/>
        </w:rPr>
        <w:instrText xml:space="preserve"> </w:instrText>
      </w:r>
      <w:r w:rsidR="00E974B2">
        <w:rPr>
          <w:lang w:val="en-US" w:eastAsia="ru-RU"/>
        </w:rPr>
        <w:instrText>antigen</w:instrText>
      </w:r>
      <w:r w:rsidR="00E974B2" w:rsidRPr="006447F6">
        <w:rPr>
          <w:lang w:eastAsia="ru-RU"/>
        </w:rPr>
        <w:instrText xml:space="preserve"> </w:instrText>
      </w:r>
      <w:r w:rsidR="00E974B2">
        <w:rPr>
          <w:lang w:val="en-US" w:eastAsia="ru-RU"/>
        </w:rPr>
        <w:instrText>CD</w:instrText>
      </w:r>
      <w:r w:rsidR="00E974B2" w:rsidRPr="006447F6">
        <w:rPr>
          <w:lang w:eastAsia="ru-RU"/>
        </w:rPr>
        <w:instrText xml:space="preserve">20, </w:instrText>
      </w:r>
      <w:r w:rsidR="00E974B2">
        <w:rPr>
          <w:lang w:val="en-US" w:eastAsia="ru-RU"/>
        </w:rPr>
        <w:instrText>was</w:instrText>
      </w:r>
      <w:r w:rsidR="00E974B2" w:rsidRPr="006447F6">
        <w:rPr>
          <w:lang w:eastAsia="ru-RU"/>
        </w:rPr>
        <w:instrText xml:space="preserve"> </w:instrText>
      </w:r>
      <w:r w:rsidR="00E974B2">
        <w:rPr>
          <w:lang w:val="en-US" w:eastAsia="ru-RU"/>
        </w:rPr>
        <w:instrText>the</w:instrText>
      </w:r>
      <w:r w:rsidR="00E974B2" w:rsidRPr="006447F6">
        <w:rPr>
          <w:lang w:eastAsia="ru-RU"/>
        </w:rPr>
        <w:instrText xml:space="preserve"> </w:instrText>
      </w:r>
      <w:r w:rsidR="00E974B2">
        <w:rPr>
          <w:lang w:val="en-US" w:eastAsia="ru-RU"/>
        </w:rPr>
        <w:instrText>first</w:instrText>
      </w:r>
      <w:r w:rsidR="00E974B2" w:rsidRPr="006447F6">
        <w:rPr>
          <w:lang w:eastAsia="ru-RU"/>
        </w:rPr>
        <w:instrText xml:space="preserve"> </w:instrText>
      </w:r>
      <w:r w:rsidR="00E974B2">
        <w:rPr>
          <w:lang w:val="en-US" w:eastAsia="ru-RU"/>
        </w:rPr>
        <w:instrText>therapeutic</w:instrText>
      </w:r>
      <w:r w:rsidR="00E974B2" w:rsidRPr="006447F6">
        <w:rPr>
          <w:lang w:eastAsia="ru-RU"/>
        </w:rPr>
        <w:instrText xml:space="preserve"> </w:instrText>
      </w:r>
      <w:r w:rsidR="00E974B2">
        <w:rPr>
          <w:lang w:val="en-US" w:eastAsia="ru-RU"/>
        </w:rPr>
        <w:instrText>antibody</w:instrText>
      </w:r>
      <w:r w:rsidR="00E974B2" w:rsidRPr="006447F6">
        <w:rPr>
          <w:lang w:eastAsia="ru-RU"/>
        </w:rPr>
        <w:instrText xml:space="preserve"> </w:instrText>
      </w:r>
      <w:r w:rsidR="00E974B2">
        <w:rPr>
          <w:lang w:val="en-US" w:eastAsia="ru-RU"/>
        </w:rPr>
        <w:instrText>to</w:instrText>
      </w:r>
      <w:r w:rsidR="00E974B2" w:rsidRPr="006447F6">
        <w:rPr>
          <w:lang w:eastAsia="ru-RU"/>
        </w:rPr>
        <w:instrText xml:space="preserve"> </w:instrText>
      </w:r>
      <w:r w:rsidR="00E974B2">
        <w:rPr>
          <w:lang w:val="en-US" w:eastAsia="ru-RU"/>
        </w:rPr>
        <w:instrText>enter</w:instrText>
      </w:r>
      <w:r w:rsidR="00E974B2" w:rsidRPr="006447F6">
        <w:rPr>
          <w:lang w:eastAsia="ru-RU"/>
        </w:rPr>
        <w:instrText xml:space="preserve"> </w:instrText>
      </w:r>
      <w:r w:rsidR="00E974B2">
        <w:rPr>
          <w:lang w:val="en-US" w:eastAsia="ru-RU"/>
        </w:rPr>
        <w:instrText>clinical</w:instrText>
      </w:r>
      <w:r w:rsidR="00E974B2" w:rsidRPr="006447F6">
        <w:rPr>
          <w:lang w:eastAsia="ru-RU"/>
        </w:rPr>
        <w:instrText xml:space="preserve"> </w:instrText>
      </w:r>
      <w:r w:rsidR="00E974B2">
        <w:rPr>
          <w:lang w:val="en-US" w:eastAsia="ru-RU"/>
        </w:rPr>
        <w:instrText>practice</w:instrText>
      </w:r>
      <w:r w:rsidR="00E974B2" w:rsidRPr="006447F6">
        <w:rPr>
          <w:lang w:eastAsia="ru-RU"/>
        </w:rPr>
        <w:instrText xml:space="preserve"> </w:instrText>
      </w:r>
      <w:r w:rsidR="00E974B2">
        <w:rPr>
          <w:lang w:val="en-US" w:eastAsia="ru-RU"/>
        </w:rPr>
        <w:instrText>for</w:instrText>
      </w:r>
      <w:r w:rsidR="00E974B2" w:rsidRPr="006447F6">
        <w:rPr>
          <w:lang w:eastAsia="ru-RU"/>
        </w:rPr>
        <w:instrText xml:space="preserve"> </w:instrText>
      </w:r>
      <w:r w:rsidR="00E974B2">
        <w:rPr>
          <w:lang w:val="en-US" w:eastAsia="ru-RU"/>
        </w:rPr>
        <w:instrText>the</w:instrText>
      </w:r>
      <w:r w:rsidR="00E974B2" w:rsidRPr="006447F6">
        <w:rPr>
          <w:lang w:eastAsia="ru-RU"/>
        </w:rPr>
        <w:instrText xml:space="preserve"> </w:instrText>
      </w:r>
      <w:r w:rsidR="00E974B2">
        <w:rPr>
          <w:lang w:val="en-US" w:eastAsia="ru-RU"/>
        </w:rPr>
        <w:instrText>treatment</w:instrText>
      </w:r>
      <w:r w:rsidR="00E974B2" w:rsidRPr="006447F6">
        <w:rPr>
          <w:lang w:eastAsia="ru-RU"/>
        </w:rPr>
        <w:instrText xml:space="preserve"> </w:instrText>
      </w:r>
      <w:r w:rsidR="00E974B2">
        <w:rPr>
          <w:lang w:val="en-US" w:eastAsia="ru-RU"/>
        </w:rPr>
        <w:instrText>of</w:instrText>
      </w:r>
      <w:r w:rsidR="00E974B2" w:rsidRPr="006447F6">
        <w:rPr>
          <w:lang w:eastAsia="ru-RU"/>
        </w:rPr>
        <w:instrText xml:space="preserve"> </w:instrText>
      </w:r>
      <w:r w:rsidR="00E974B2">
        <w:rPr>
          <w:lang w:val="en-US" w:eastAsia="ru-RU"/>
        </w:rPr>
        <w:instrText>cancer</w:instrText>
      </w:r>
      <w:r w:rsidR="00E974B2" w:rsidRPr="006447F6">
        <w:rPr>
          <w:lang w:eastAsia="ru-RU"/>
        </w:rPr>
        <w:instrText xml:space="preserve">. </w:instrText>
      </w:r>
      <w:r w:rsidR="00E974B2">
        <w:rPr>
          <w:lang w:val="en-US" w:eastAsia="ru-RU"/>
        </w:rPr>
        <w:instrText>As</w:instrText>
      </w:r>
      <w:r w:rsidR="00E974B2" w:rsidRPr="006447F6">
        <w:rPr>
          <w:lang w:eastAsia="ru-RU"/>
        </w:rPr>
        <w:instrText xml:space="preserve"> </w:instrText>
      </w:r>
      <w:r w:rsidR="00E974B2">
        <w:rPr>
          <w:lang w:val="en-US" w:eastAsia="ru-RU"/>
        </w:rPr>
        <w:instrText>monotherapy</w:instrText>
      </w:r>
      <w:r w:rsidR="00E974B2" w:rsidRPr="006447F6">
        <w:rPr>
          <w:lang w:eastAsia="ru-RU"/>
        </w:rPr>
        <w:instrText xml:space="preserve"> </w:instrText>
      </w:r>
      <w:r w:rsidR="00E974B2">
        <w:rPr>
          <w:lang w:val="en-US" w:eastAsia="ru-RU"/>
        </w:rPr>
        <w:instrText>and</w:instrText>
      </w:r>
      <w:r w:rsidR="00E974B2" w:rsidRPr="006447F6">
        <w:rPr>
          <w:lang w:eastAsia="ru-RU"/>
        </w:rPr>
        <w:instrText xml:space="preserve"> </w:instrText>
      </w:r>
      <w:r w:rsidR="00E974B2">
        <w:rPr>
          <w:lang w:val="en-US" w:eastAsia="ru-RU"/>
        </w:rPr>
        <w:instrText>in</w:instrText>
      </w:r>
      <w:r w:rsidR="00E974B2" w:rsidRPr="006447F6">
        <w:rPr>
          <w:lang w:eastAsia="ru-RU"/>
        </w:rPr>
        <w:instrText xml:space="preserve"> </w:instrText>
      </w:r>
      <w:r w:rsidR="00E974B2">
        <w:rPr>
          <w:lang w:val="en-US" w:eastAsia="ru-RU"/>
        </w:rPr>
        <w:instrText>combination</w:instrText>
      </w:r>
      <w:r w:rsidR="00E974B2" w:rsidRPr="006447F6">
        <w:rPr>
          <w:lang w:eastAsia="ru-RU"/>
        </w:rPr>
        <w:instrText xml:space="preserve"> </w:instrText>
      </w:r>
      <w:r w:rsidR="00E974B2">
        <w:rPr>
          <w:lang w:val="en-US" w:eastAsia="ru-RU"/>
        </w:rPr>
        <w:instrText>with</w:instrText>
      </w:r>
      <w:r w:rsidR="00E974B2" w:rsidRPr="006447F6">
        <w:rPr>
          <w:lang w:eastAsia="ru-RU"/>
        </w:rPr>
        <w:instrText xml:space="preserve"> </w:instrText>
      </w:r>
      <w:r w:rsidR="00E974B2">
        <w:rPr>
          <w:lang w:val="en-US" w:eastAsia="ru-RU"/>
        </w:rPr>
        <w:instrText>chemotherapy</w:instrText>
      </w:r>
      <w:r w:rsidR="00E974B2" w:rsidRPr="006447F6">
        <w:rPr>
          <w:lang w:eastAsia="ru-RU"/>
        </w:rPr>
        <w:instrText xml:space="preserve">, </w:instrText>
      </w:r>
      <w:r w:rsidR="00E974B2">
        <w:rPr>
          <w:lang w:val="en-US" w:eastAsia="ru-RU"/>
        </w:rPr>
        <w:instrText>rituximab</w:instrText>
      </w:r>
      <w:r w:rsidR="00E974B2" w:rsidRPr="006447F6">
        <w:rPr>
          <w:lang w:eastAsia="ru-RU"/>
        </w:rPr>
        <w:instrText xml:space="preserve"> </w:instrText>
      </w:r>
      <w:r w:rsidR="00E974B2">
        <w:rPr>
          <w:lang w:val="en-US" w:eastAsia="ru-RU"/>
        </w:rPr>
        <w:instrText>has</w:instrText>
      </w:r>
      <w:r w:rsidR="00E974B2" w:rsidRPr="006447F6">
        <w:rPr>
          <w:lang w:eastAsia="ru-RU"/>
        </w:rPr>
        <w:instrText xml:space="preserve"> </w:instrText>
      </w:r>
      <w:r w:rsidR="00E974B2">
        <w:rPr>
          <w:lang w:val="en-US" w:eastAsia="ru-RU"/>
        </w:rPr>
        <w:instrText>been</w:instrText>
      </w:r>
      <w:r w:rsidR="00E974B2" w:rsidRPr="006447F6">
        <w:rPr>
          <w:lang w:eastAsia="ru-RU"/>
        </w:rPr>
        <w:instrText xml:space="preserve"> </w:instrText>
      </w:r>
      <w:r w:rsidR="00E974B2">
        <w:rPr>
          <w:lang w:val="en-US" w:eastAsia="ru-RU"/>
        </w:rPr>
        <w:instrText>shown</w:instrText>
      </w:r>
      <w:r w:rsidR="00E974B2" w:rsidRPr="006447F6">
        <w:rPr>
          <w:lang w:eastAsia="ru-RU"/>
        </w:rPr>
        <w:instrText xml:space="preserve"> </w:instrText>
      </w:r>
      <w:r w:rsidR="00E974B2">
        <w:rPr>
          <w:lang w:val="en-US" w:eastAsia="ru-RU"/>
        </w:rPr>
        <w:instrText>to</w:instrText>
      </w:r>
      <w:r w:rsidR="00E974B2" w:rsidRPr="006447F6">
        <w:rPr>
          <w:lang w:eastAsia="ru-RU"/>
        </w:rPr>
        <w:instrText xml:space="preserve"> </w:instrText>
      </w:r>
      <w:r w:rsidR="00E974B2">
        <w:rPr>
          <w:lang w:val="en-US" w:eastAsia="ru-RU"/>
        </w:rPr>
        <w:instrText>prolong</w:instrText>
      </w:r>
      <w:r w:rsidR="00E974B2" w:rsidRPr="006447F6">
        <w:rPr>
          <w:lang w:eastAsia="ru-RU"/>
        </w:rPr>
        <w:instrText xml:space="preserve"> </w:instrText>
      </w:r>
      <w:r w:rsidR="00E974B2">
        <w:rPr>
          <w:lang w:val="en-US" w:eastAsia="ru-RU"/>
        </w:rPr>
        <w:instrText>progression</w:instrText>
      </w:r>
      <w:r w:rsidR="00E974B2" w:rsidRPr="006447F6">
        <w:rPr>
          <w:lang w:eastAsia="ru-RU"/>
        </w:rPr>
        <w:instrText>-</w:instrText>
      </w:r>
      <w:r w:rsidR="00E974B2">
        <w:rPr>
          <w:lang w:val="en-US" w:eastAsia="ru-RU"/>
        </w:rPr>
        <w:instrText>free</w:instrText>
      </w:r>
      <w:r w:rsidR="00E974B2" w:rsidRPr="006447F6">
        <w:rPr>
          <w:lang w:eastAsia="ru-RU"/>
        </w:rPr>
        <w:instrText xml:space="preserve"> </w:instrText>
      </w:r>
      <w:r w:rsidR="00E974B2">
        <w:rPr>
          <w:lang w:val="en-US" w:eastAsia="ru-RU"/>
        </w:rPr>
        <w:instrText>survival</w:instrText>
      </w:r>
      <w:r w:rsidR="00E974B2" w:rsidRPr="006447F6">
        <w:rPr>
          <w:lang w:eastAsia="ru-RU"/>
        </w:rPr>
        <w:instrText xml:space="preserve"> </w:instrText>
      </w:r>
      <w:r w:rsidR="00E974B2">
        <w:rPr>
          <w:lang w:val="en-US" w:eastAsia="ru-RU"/>
        </w:rPr>
        <w:instrText>and</w:instrText>
      </w:r>
      <w:r w:rsidR="00E974B2" w:rsidRPr="006447F6">
        <w:rPr>
          <w:lang w:eastAsia="ru-RU"/>
        </w:rPr>
        <w:instrText xml:space="preserve">, </w:instrText>
      </w:r>
      <w:r w:rsidR="00E974B2">
        <w:rPr>
          <w:lang w:val="en-US" w:eastAsia="ru-RU"/>
        </w:rPr>
        <w:instrText>in</w:instrText>
      </w:r>
      <w:r w:rsidR="00E974B2" w:rsidRPr="006447F6">
        <w:rPr>
          <w:lang w:eastAsia="ru-RU"/>
        </w:rPr>
        <w:instrText xml:space="preserve"> </w:instrText>
      </w:r>
      <w:r w:rsidR="00E974B2">
        <w:rPr>
          <w:lang w:val="en-US" w:eastAsia="ru-RU"/>
        </w:rPr>
        <w:instrText>some</w:instrText>
      </w:r>
      <w:r w:rsidR="00E974B2" w:rsidRPr="006447F6">
        <w:rPr>
          <w:lang w:eastAsia="ru-RU"/>
        </w:rPr>
        <w:instrText xml:space="preserve"> </w:instrText>
      </w:r>
      <w:r w:rsidR="00E974B2">
        <w:rPr>
          <w:lang w:val="en-US" w:eastAsia="ru-RU"/>
        </w:rPr>
        <w:instrText>indications</w:instrText>
      </w:r>
      <w:r w:rsidR="00E974B2" w:rsidRPr="006447F6">
        <w:rPr>
          <w:lang w:eastAsia="ru-RU"/>
        </w:rPr>
        <w:instrText xml:space="preserve"> </w:instrText>
      </w:r>
      <w:r w:rsidR="00E974B2">
        <w:rPr>
          <w:lang w:val="en-US" w:eastAsia="ru-RU"/>
        </w:rPr>
        <w:instrText>overall</w:instrText>
      </w:r>
      <w:r w:rsidR="00E974B2" w:rsidRPr="006447F6">
        <w:rPr>
          <w:lang w:eastAsia="ru-RU"/>
        </w:rPr>
        <w:instrText xml:space="preserve"> </w:instrText>
      </w:r>
      <w:r w:rsidR="00E974B2">
        <w:rPr>
          <w:lang w:val="en-US" w:eastAsia="ru-RU"/>
        </w:rPr>
        <w:instrText>survival</w:instrText>
      </w:r>
      <w:r w:rsidR="00E974B2" w:rsidRPr="006447F6">
        <w:rPr>
          <w:lang w:eastAsia="ru-RU"/>
        </w:rPr>
        <w:instrText xml:space="preserve">, </w:instrText>
      </w:r>
      <w:r w:rsidR="00E974B2">
        <w:rPr>
          <w:lang w:val="en-US" w:eastAsia="ru-RU"/>
        </w:rPr>
        <w:instrText>in</w:instrText>
      </w:r>
      <w:r w:rsidR="00E974B2" w:rsidRPr="006447F6">
        <w:rPr>
          <w:lang w:eastAsia="ru-RU"/>
        </w:rPr>
        <w:instrText xml:space="preserve"> </w:instrText>
      </w:r>
      <w:r w:rsidR="00E974B2">
        <w:rPr>
          <w:lang w:val="en-US" w:eastAsia="ru-RU"/>
        </w:rPr>
        <w:instrText>patients</w:instrText>
      </w:r>
      <w:r w:rsidR="00E974B2" w:rsidRPr="006447F6">
        <w:rPr>
          <w:lang w:eastAsia="ru-RU"/>
        </w:rPr>
        <w:instrText xml:space="preserve"> </w:instrText>
      </w:r>
      <w:r w:rsidR="00E974B2">
        <w:rPr>
          <w:lang w:val="en-US" w:eastAsia="ru-RU"/>
        </w:rPr>
        <w:instrText>with</w:instrText>
      </w:r>
      <w:r w:rsidR="00E974B2" w:rsidRPr="006447F6">
        <w:rPr>
          <w:lang w:eastAsia="ru-RU"/>
        </w:rPr>
        <w:instrText xml:space="preserve"> </w:instrText>
      </w:r>
      <w:r w:rsidR="00E974B2">
        <w:rPr>
          <w:lang w:val="en-US" w:eastAsia="ru-RU"/>
        </w:rPr>
        <w:instrText>various</w:instrText>
      </w:r>
      <w:r w:rsidR="00E974B2" w:rsidRPr="006447F6">
        <w:rPr>
          <w:lang w:eastAsia="ru-RU"/>
        </w:rPr>
        <w:instrText xml:space="preserve"> </w:instrText>
      </w:r>
      <w:r w:rsidR="00E974B2">
        <w:rPr>
          <w:lang w:val="en-US" w:eastAsia="ru-RU"/>
        </w:rPr>
        <w:instrText>B</w:instrText>
      </w:r>
      <w:r w:rsidR="00E974B2" w:rsidRPr="006447F6">
        <w:rPr>
          <w:lang w:eastAsia="ru-RU"/>
        </w:rPr>
        <w:instrText>-</w:instrText>
      </w:r>
      <w:r w:rsidR="00E974B2">
        <w:rPr>
          <w:lang w:val="en-US" w:eastAsia="ru-RU"/>
        </w:rPr>
        <w:instrText>cell</w:instrText>
      </w:r>
      <w:r w:rsidR="00E974B2" w:rsidRPr="006447F6">
        <w:rPr>
          <w:lang w:eastAsia="ru-RU"/>
        </w:rPr>
        <w:instrText xml:space="preserve"> </w:instrText>
      </w:r>
      <w:r w:rsidR="00E974B2">
        <w:rPr>
          <w:lang w:val="en-US" w:eastAsia="ru-RU"/>
        </w:rPr>
        <w:instrText>malignancies</w:instrText>
      </w:r>
      <w:r w:rsidR="00E974B2" w:rsidRPr="006447F6">
        <w:rPr>
          <w:lang w:eastAsia="ru-RU"/>
        </w:rPr>
        <w:instrText xml:space="preserve">, </w:instrText>
      </w:r>
      <w:r w:rsidR="00E974B2">
        <w:rPr>
          <w:lang w:val="en-US" w:eastAsia="ru-RU"/>
        </w:rPr>
        <w:instrText>while</w:instrText>
      </w:r>
      <w:r w:rsidR="00E974B2" w:rsidRPr="006447F6">
        <w:rPr>
          <w:lang w:eastAsia="ru-RU"/>
        </w:rPr>
        <w:instrText xml:space="preserve"> </w:instrText>
      </w:r>
      <w:r w:rsidR="00E974B2">
        <w:rPr>
          <w:lang w:val="en-US" w:eastAsia="ru-RU"/>
        </w:rPr>
        <w:instrText>having</w:instrText>
      </w:r>
      <w:r w:rsidR="00E974B2" w:rsidRPr="006447F6">
        <w:rPr>
          <w:lang w:eastAsia="ru-RU"/>
        </w:rPr>
        <w:instrText xml:space="preserve"> </w:instrText>
      </w:r>
      <w:r w:rsidR="00E974B2">
        <w:rPr>
          <w:lang w:val="en-US" w:eastAsia="ru-RU"/>
        </w:rPr>
        <w:instrText>a</w:instrText>
      </w:r>
      <w:r w:rsidR="00E974B2" w:rsidRPr="006447F6">
        <w:rPr>
          <w:lang w:eastAsia="ru-RU"/>
        </w:rPr>
        <w:instrText xml:space="preserve"> </w:instrText>
      </w:r>
      <w:r w:rsidR="00E974B2">
        <w:rPr>
          <w:lang w:val="en-US" w:eastAsia="ru-RU"/>
        </w:rPr>
        <w:instrText>well</w:instrText>
      </w:r>
      <w:r w:rsidR="00E974B2" w:rsidRPr="006447F6">
        <w:rPr>
          <w:lang w:eastAsia="ru-RU"/>
        </w:rPr>
        <w:instrText>-</w:instrText>
      </w:r>
      <w:r w:rsidR="00E974B2">
        <w:rPr>
          <w:lang w:val="en-US" w:eastAsia="ru-RU"/>
        </w:rPr>
        <w:instrText>established</w:instrText>
      </w:r>
      <w:r w:rsidR="00E974B2" w:rsidRPr="006447F6">
        <w:rPr>
          <w:lang w:eastAsia="ru-RU"/>
        </w:rPr>
        <w:instrText xml:space="preserve"> </w:instrText>
      </w:r>
      <w:r w:rsidR="00E974B2">
        <w:rPr>
          <w:lang w:val="en-US" w:eastAsia="ru-RU"/>
        </w:rPr>
        <w:instrText>and</w:instrText>
      </w:r>
      <w:r w:rsidR="00E974B2" w:rsidRPr="006447F6">
        <w:rPr>
          <w:lang w:eastAsia="ru-RU"/>
        </w:rPr>
        <w:instrText xml:space="preserve"> </w:instrText>
      </w:r>
      <w:r w:rsidR="00E974B2">
        <w:rPr>
          <w:lang w:val="en-US" w:eastAsia="ru-RU"/>
        </w:rPr>
        <w:instrText>manageable</w:instrText>
      </w:r>
      <w:r w:rsidR="00E974B2" w:rsidRPr="006447F6">
        <w:rPr>
          <w:lang w:eastAsia="ru-RU"/>
        </w:rPr>
        <w:instrText xml:space="preserve"> </w:instrText>
      </w:r>
      <w:r w:rsidR="00E974B2">
        <w:rPr>
          <w:lang w:val="en-US" w:eastAsia="ru-RU"/>
        </w:rPr>
        <w:instrText>safety</w:instrText>
      </w:r>
      <w:r w:rsidR="00E974B2" w:rsidRPr="006447F6">
        <w:rPr>
          <w:lang w:eastAsia="ru-RU"/>
        </w:rPr>
        <w:instrText xml:space="preserve"> </w:instrText>
      </w:r>
      <w:r w:rsidR="00E974B2">
        <w:rPr>
          <w:lang w:val="en-US" w:eastAsia="ru-RU"/>
        </w:rPr>
        <w:instrText>profile</w:instrText>
      </w:r>
      <w:r w:rsidR="00E974B2" w:rsidRPr="006447F6">
        <w:rPr>
          <w:lang w:eastAsia="ru-RU"/>
        </w:rPr>
        <w:instrText xml:space="preserve"> </w:instrText>
      </w:r>
      <w:r w:rsidR="00E974B2">
        <w:rPr>
          <w:lang w:val="en-US" w:eastAsia="ru-RU"/>
        </w:rPr>
        <w:instrText>and</w:instrText>
      </w:r>
      <w:r w:rsidR="00E974B2" w:rsidRPr="006447F6">
        <w:rPr>
          <w:lang w:eastAsia="ru-RU"/>
        </w:rPr>
        <w:instrText xml:space="preserve"> </w:instrText>
      </w:r>
      <w:r w:rsidR="00E974B2">
        <w:rPr>
          <w:lang w:val="en-US" w:eastAsia="ru-RU"/>
        </w:rPr>
        <w:instrText>a</w:instrText>
      </w:r>
      <w:r w:rsidR="00E974B2" w:rsidRPr="006447F6">
        <w:rPr>
          <w:lang w:eastAsia="ru-RU"/>
        </w:rPr>
        <w:instrText xml:space="preserve"> </w:instrText>
      </w:r>
      <w:r w:rsidR="00E974B2">
        <w:rPr>
          <w:lang w:val="en-US" w:eastAsia="ru-RU"/>
        </w:rPr>
        <w:instrText>wide</w:instrText>
      </w:r>
      <w:r w:rsidR="00E974B2" w:rsidRPr="006447F6">
        <w:rPr>
          <w:lang w:eastAsia="ru-RU"/>
        </w:rPr>
        <w:instrText xml:space="preserve"> </w:instrText>
      </w:r>
      <w:r w:rsidR="00E974B2">
        <w:rPr>
          <w:lang w:val="en-US" w:eastAsia="ru-RU"/>
        </w:rPr>
        <w:instrText>therapeutic</w:instrText>
      </w:r>
      <w:r w:rsidR="00E974B2" w:rsidRPr="006447F6">
        <w:rPr>
          <w:lang w:eastAsia="ru-RU"/>
        </w:rPr>
        <w:instrText xml:space="preserve"> </w:instrText>
      </w:r>
      <w:r w:rsidR="00E974B2">
        <w:rPr>
          <w:lang w:val="en-US" w:eastAsia="ru-RU"/>
        </w:rPr>
        <w:instrText>window</w:instrText>
      </w:r>
      <w:r w:rsidR="00E974B2" w:rsidRPr="006447F6">
        <w:rPr>
          <w:lang w:eastAsia="ru-RU"/>
        </w:rPr>
        <w:instrText xml:space="preserve">. </w:instrText>
      </w:r>
      <w:r w:rsidR="00E974B2">
        <w:rPr>
          <w:lang w:val="en-US" w:eastAsia="ru-RU"/>
        </w:rPr>
        <w:instrText>As</w:instrText>
      </w:r>
      <w:r w:rsidR="00E974B2" w:rsidRPr="006447F6">
        <w:rPr>
          <w:lang w:eastAsia="ru-RU"/>
        </w:rPr>
        <w:instrText xml:space="preserve"> </w:instrText>
      </w:r>
      <w:r w:rsidR="00E974B2">
        <w:rPr>
          <w:lang w:val="en-US" w:eastAsia="ru-RU"/>
        </w:rPr>
        <w:instrText>a</w:instrText>
      </w:r>
      <w:r w:rsidR="00E974B2" w:rsidRPr="006447F6">
        <w:rPr>
          <w:lang w:eastAsia="ru-RU"/>
        </w:rPr>
        <w:instrText xml:space="preserve"> </w:instrText>
      </w:r>
      <w:r w:rsidR="00E974B2">
        <w:rPr>
          <w:lang w:val="en-US" w:eastAsia="ru-RU"/>
        </w:rPr>
        <w:instrText>result</w:instrText>
      </w:r>
      <w:r w:rsidR="00E974B2" w:rsidRPr="006447F6">
        <w:rPr>
          <w:lang w:eastAsia="ru-RU"/>
        </w:rPr>
        <w:instrText xml:space="preserve">, </w:instrText>
      </w:r>
      <w:r w:rsidR="00E974B2">
        <w:rPr>
          <w:lang w:val="en-US" w:eastAsia="ru-RU"/>
        </w:rPr>
        <w:instrText>rituximab</w:instrText>
      </w:r>
      <w:r w:rsidR="00E974B2" w:rsidRPr="006447F6">
        <w:rPr>
          <w:lang w:eastAsia="ru-RU"/>
        </w:rPr>
        <w:instrText xml:space="preserve"> </w:instrText>
      </w:r>
      <w:r w:rsidR="00E974B2">
        <w:rPr>
          <w:lang w:val="en-US" w:eastAsia="ru-RU"/>
        </w:rPr>
        <w:instrText>is</w:instrText>
      </w:r>
      <w:r w:rsidR="00E974B2" w:rsidRPr="006447F6">
        <w:rPr>
          <w:lang w:eastAsia="ru-RU"/>
        </w:rPr>
        <w:instrText xml:space="preserve"> </w:instrText>
      </w:r>
      <w:r w:rsidR="00E974B2">
        <w:rPr>
          <w:lang w:val="en-US" w:eastAsia="ru-RU"/>
        </w:rPr>
        <w:instrText>considered</w:instrText>
      </w:r>
      <w:r w:rsidR="00E974B2" w:rsidRPr="006447F6">
        <w:rPr>
          <w:lang w:eastAsia="ru-RU"/>
        </w:rPr>
        <w:instrText xml:space="preserve"> </w:instrText>
      </w:r>
      <w:r w:rsidR="00E974B2">
        <w:rPr>
          <w:lang w:val="en-US" w:eastAsia="ru-RU"/>
        </w:rPr>
        <w:instrText>to</w:instrText>
      </w:r>
      <w:r w:rsidR="00E974B2" w:rsidRPr="006447F6">
        <w:rPr>
          <w:lang w:eastAsia="ru-RU"/>
        </w:rPr>
        <w:instrText xml:space="preserve"> </w:instrText>
      </w:r>
      <w:r w:rsidR="00E974B2">
        <w:rPr>
          <w:lang w:val="en-US" w:eastAsia="ru-RU"/>
        </w:rPr>
        <w:instrText>have</w:instrText>
      </w:r>
      <w:r w:rsidR="00E974B2" w:rsidRPr="006447F6">
        <w:rPr>
          <w:lang w:eastAsia="ru-RU"/>
        </w:rPr>
        <w:instrText xml:space="preserve"> </w:instrText>
      </w:r>
      <w:r w:rsidR="00E974B2">
        <w:rPr>
          <w:lang w:val="en-US" w:eastAsia="ru-RU"/>
        </w:rPr>
        <w:instrText>revolutionized</w:instrText>
      </w:r>
      <w:r w:rsidR="00E974B2" w:rsidRPr="006447F6">
        <w:rPr>
          <w:lang w:eastAsia="ru-RU"/>
        </w:rPr>
        <w:instrText xml:space="preserve"> </w:instrText>
      </w:r>
      <w:r w:rsidR="00E974B2">
        <w:rPr>
          <w:lang w:val="en-US" w:eastAsia="ru-RU"/>
        </w:rPr>
        <w:instrText>treatment</w:instrText>
      </w:r>
      <w:r w:rsidR="00E974B2" w:rsidRPr="006447F6">
        <w:rPr>
          <w:lang w:eastAsia="ru-RU"/>
        </w:rPr>
        <w:instrText xml:space="preserve"> </w:instrText>
      </w:r>
      <w:r w:rsidR="00E974B2">
        <w:rPr>
          <w:lang w:val="en-US" w:eastAsia="ru-RU"/>
        </w:rPr>
        <w:instrText>practices</w:instrText>
      </w:r>
      <w:r w:rsidR="00E974B2" w:rsidRPr="006447F6">
        <w:rPr>
          <w:lang w:eastAsia="ru-RU"/>
        </w:rPr>
        <w:instrText xml:space="preserve"> </w:instrText>
      </w:r>
      <w:r w:rsidR="00E974B2">
        <w:rPr>
          <w:lang w:val="en-US" w:eastAsia="ru-RU"/>
        </w:rPr>
        <w:instrText>for</w:instrText>
      </w:r>
      <w:r w:rsidR="00E974B2" w:rsidRPr="006447F6">
        <w:rPr>
          <w:lang w:eastAsia="ru-RU"/>
        </w:rPr>
        <w:instrText xml:space="preserve"> </w:instrText>
      </w:r>
      <w:r w:rsidR="00E974B2">
        <w:rPr>
          <w:lang w:val="en-US" w:eastAsia="ru-RU"/>
        </w:rPr>
        <w:instrText>patients</w:instrText>
      </w:r>
      <w:r w:rsidR="00E974B2" w:rsidRPr="006447F6">
        <w:rPr>
          <w:lang w:eastAsia="ru-RU"/>
        </w:rPr>
        <w:instrText xml:space="preserve"> </w:instrText>
      </w:r>
      <w:r w:rsidR="00E974B2">
        <w:rPr>
          <w:lang w:val="en-US" w:eastAsia="ru-RU"/>
        </w:rPr>
        <w:instrText>with</w:instrText>
      </w:r>
      <w:r w:rsidR="00E974B2" w:rsidRPr="006447F6">
        <w:rPr>
          <w:lang w:eastAsia="ru-RU"/>
        </w:rPr>
        <w:instrText xml:space="preserve"> </w:instrText>
      </w:r>
      <w:r w:rsidR="00E974B2">
        <w:rPr>
          <w:lang w:val="en-US" w:eastAsia="ru-RU"/>
        </w:rPr>
        <w:instrText>B</w:instrText>
      </w:r>
      <w:r w:rsidR="00E974B2" w:rsidRPr="006447F6">
        <w:rPr>
          <w:lang w:eastAsia="ru-RU"/>
        </w:rPr>
        <w:instrText>-</w:instrText>
      </w:r>
      <w:r w:rsidR="00E974B2">
        <w:rPr>
          <w:lang w:val="en-US" w:eastAsia="ru-RU"/>
        </w:rPr>
        <w:instrText>cell</w:instrText>
      </w:r>
      <w:r w:rsidR="00E974B2" w:rsidRPr="006447F6">
        <w:rPr>
          <w:lang w:eastAsia="ru-RU"/>
        </w:rPr>
        <w:instrText xml:space="preserve"> </w:instrText>
      </w:r>
      <w:r w:rsidR="00E974B2">
        <w:rPr>
          <w:lang w:val="en-US" w:eastAsia="ru-RU"/>
        </w:rPr>
        <w:instrText>malignancies</w:instrText>
      </w:r>
      <w:r w:rsidR="00E974B2" w:rsidRPr="006447F6">
        <w:rPr>
          <w:lang w:eastAsia="ru-RU"/>
        </w:rPr>
        <w:instrText xml:space="preserve">. </w:instrText>
      </w:r>
      <w:r w:rsidR="00E974B2">
        <w:rPr>
          <w:lang w:val="en-US" w:eastAsia="ru-RU"/>
        </w:rPr>
        <w:instrText>A</w:instrText>
      </w:r>
      <w:r w:rsidR="00E974B2" w:rsidRPr="006447F6">
        <w:rPr>
          <w:lang w:eastAsia="ru-RU"/>
        </w:rPr>
        <w:instrText xml:space="preserve"> </w:instrText>
      </w:r>
      <w:r w:rsidR="00E974B2">
        <w:rPr>
          <w:lang w:val="en-US" w:eastAsia="ru-RU"/>
        </w:rPr>
        <w:instrText>subcutaneous</w:instrText>
      </w:r>
      <w:r w:rsidR="00E974B2" w:rsidRPr="006447F6">
        <w:rPr>
          <w:lang w:eastAsia="ru-RU"/>
        </w:rPr>
        <w:instrText xml:space="preserve"> (</w:instrText>
      </w:r>
      <w:r w:rsidR="00E974B2">
        <w:rPr>
          <w:lang w:val="en-US" w:eastAsia="ru-RU"/>
        </w:rPr>
        <w:instrText>SC</w:instrText>
      </w:r>
      <w:r w:rsidR="00E974B2" w:rsidRPr="006447F6">
        <w:rPr>
          <w:lang w:eastAsia="ru-RU"/>
        </w:rPr>
        <w:instrText xml:space="preserve">) </w:instrText>
      </w:r>
      <w:r w:rsidR="00E974B2">
        <w:rPr>
          <w:lang w:val="en-US" w:eastAsia="ru-RU"/>
        </w:rPr>
        <w:instrText>formulation</w:instrText>
      </w:r>
      <w:r w:rsidR="00E974B2" w:rsidRPr="006447F6">
        <w:rPr>
          <w:lang w:eastAsia="ru-RU"/>
        </w:rPr>
        <w:instrText xml:space="preserve"> </w:instrText>
      </w:r>
      <w:r w:rsidR="00E974B2">
        <w:rPr>
          <w:lang w:val="en-US" w:eastAsia="ru-RU"/>
        </w:rPr>
        <w:instrText>of</w:instrText>
      </w:r>
      <w:r w:rsidR="00E974B2" w:rsidRPr="006447F6">
        <w:rPr>
          <w:lang w:eastAsia="ru-RU"/>
        </w:rPr>
        <w:instrText xml:space="preserve"> </w:instrText>
      </w:r>
      <w:r w:rsidR="00E974B2">
        <w:rPr>
          <w:lang w:val="en-US" w:eastAsia="ru-RU"/>
        </w:rPr>
        <w:instrText>rituximab</w:instrText>
      </w:r>
      <w:r w:rsidR="00E974B2" w:rsidRPr="006447F6">
        <w:rPr>
          <w:lang w:eastAsia="ru-RU"/>
        </w:rPr>
        <w:instrText xml:space="preserve"> </w:instrText>
      </w:r>
      <w:r w:rsidR="00E974B2">
        <w:rPr>
          <w:lang w:val="en-US" w:eastAsia="ru-RU"/>
        </w:rPr>
        <w:instrText>has</w:instrText>
      </w:r>
      <w:r w:rsidR="00E974B2" w:rsidRPr="006447F6">
        <w:rPr>
          <w:lang w:eastAsia="ru-RU"/>
        </w:rPr>
        <w:instrText xml:space="preserve"> </w:instrText>
      </w:r>
      <w:r w:rsidR="00E974B2">
        <w:rPr>
          <w:lang w:val="en-US" w:eastAsia="ru-RU"/>
        </w:rPr>
        <w:instrText>been</w:instrText>
      </w:r>
      <w:r w:rsidR="00E974B2" w:rsidRPr="006447F6">
        <w:rPr>
          <w:lang w:eastAsia="ru-RU"/>
        </w:rPr>
        <w:instrText xml:space="preserve"> </w:instrText>
      </w:r>
      <w:r w:rsidR="00E974B2">
        <w:rPr>
          <w:lang w:val="en-US" w:eastAsia="ru-RU"/>
        </w:rPr>
        <w:instrText>developed</w:instrText>
      </w:r>
      <w:r w:rsidR="00E974B2" w:rsidRPr="006447F6">
        <w:rPr>
          <w:lang w:eastAsia="ru-RU"/>
        </w:rPr>
        <w:instrText xml:space="preserve">, </w:instrText>
      </w:r>
      <w:r w:rsidR="00E974B2">
        <w:rPr>
          <w:lang w:val="en-US" w:eastAsia="ru-RU"/>
        </w:rPr>
        <w:instrText>comprising</w:instrText>
      </w:r>
      <w:r w:rsidR="00E974B2" w:rsidRPr="006447F6">
        <w:rPr>
          <w:lang w:eastAsia="ru-RU"/>
        </w:rPr>
        <w:instrText xml:space="preserve"> </w:instrText>
      </w:r>
      <w:r w:rsidR="00E974B2">
        <w:rPr>
          <w:lang w:val="en-US" w:eastAsia="ru-RU"/>
        </w:rPr>
        <w:instrText>the</w:instrText>
      </w:r>
      <w:r w:rsidR="00E974B2" w:rsidRPr="006447F6">
        <w:rPr>
          <w:lang w:eastAsia="ru-RU"/>
        </w:rPr>
        <w:instrText xml:space="preserve"> </w:instrText>
      </w:r>
      <w:r w:rsidR="00E974B2">
        <w:rPr>
          <w:lang w:val="en-US" w:eastAsia="ru-RU"/>
        </w:rPr>
        <w:instrText>same</w:instrText>
      </w:r>
      <w:r w:rsidR="00E974B2" w:rsidRPr="006447F6">
        <w:rPr>
          <w:lang w:eastAsia="ru-RU"/>
        </w:rPr>
        <w:instrText xml:space="preserve"> </w:instrText>
      </w:r>
      <w:r w:rsidR="00E974B2">
        <w:rPr>
          <w:lang w:val="en-US" w:eastAsia="ru-RU"/>
        </w:rPr>
        <w:instrText>monoclonal</w:instrText>
      </w:r>
      <w:r w:rsidR="00E974B2" w:rsidRPr="006447F6">
        <w:rPr>
          <w:lang w:eastAsia="ru-RU"/>
        </w:rPr>
        <w:instrText xml:space="preserve"> </w:instrText>
      </w:r>
      <w:r w:rsidR="00E974B2">
        <w:rPr>
          <w:lang w:val="en-US" w:eastAsia="ru-RU"/>
        </w:rPr>
        <w:instrText>antibody</w:instrText>
      </w:r>
      <w:r w:rsidR="00E974B2" w:rsidRPr="006447F6">
        <w:rPr>
          <w:lang w:eastAsia="ru-RU"/>
        </w:rPr>
        <w:instrText xml:space="preserve"> </w:instrText>
      </w:r>
      <w:r w:rsidR="00E974B2">
        <w:rPr>
          <w:lang w:val="en-US" w:eastAsia="ru-RU"/>
        </w:rPr>
        <w:instrText>as</w:instrText>
      </w:r>
      <w:r w:rsidR="00E974B2" w:rsidRPr="006447F6">
        <w:rPr>
          <w:lang w:eastAsia="ru-RU"/>
        </w:rPr>
        <w:instrText xml:space="preserve"> </w:instrText>
      </w:r>
      <w:r w:rsidR="00E974B2">
        <w:rPr>
          <w:lang w:val="en-US" w:eastAsia="ru-RU"/>
        </w:rPr>
        <w:instrText>the</w:instrText>
      </w:r>
      <w:r w:rsidR="00E974B2" w:rsidRPr="006447F6">
        <w:rPr>
          <w:lang w:eastAsia="ru-RU"/>
        </w:rPr>
        <w:instrText xml:space="preserve"> </w:instrText>
      </w:r>
      <w:r w:rsidR="00E974B2">
        <w:rPr>
          <w:lang w:val="en-US" w:eastAsia="ru-RU"/>
        </w:rPr>
        <w:instrText>originally</w:instrText>
      </w:r>
      <w:r w:rsidR="00E974B2" w:rsidRPr="006447F6">
        <w:rPr>
          <w:lang w:eastAsia="ru-RU"/>
        </w:rPr>
        <w:instrText xml:space="preserve"> </w:instrText>
      </w:r>
      <w:r w:rsidR="00E974B2">
        <w:rPr>
          <w:lang w:val="en-US" w:eastAsia="ru-RU"/>
        </w:rPr>
        <w:instrText>marketed</w:instrText>
      </w:r>
      <w:r w:rsidR="00E974B2" w:rsidRPr="006447F6">
        <w:rPr>
          <w:lang w:eastAsia="ru-RU"/>
        </w:rPr>
        <w:instrText xml:space="preserve"> </w:instrText>
      </w:r>
      <w:r w:rsidR="00E974B2">
        <w:rPr>
          <w:lang w:val="en-US" w:eastAsia="ru-RU"/>
        </w:rPr>
        <w:instrText>formulation</w:instrText>
      </w:r>
      <w:r w:rsidR="00E974B2" w:rsidRPr="006447F6">
        <w:rPr>
          <w:lang w:eastAsia="ru-RU"/>
        </w:rPr>
        <w:instrText xml:space="preserve"> [</w:instrText>
      </w:r>
      <w:r w:rsidR="00E974B2">
        <w:rPr>
          <w:lang w:val="en-US" w:eastAsia="ru-RU"/>
        </w:rPr>
        <w:instrText>rituximab</w:instrText>
      </w:r>
      <w:r w:rsidR="00E974B2" w:rsidRPr="006447F6">
        <w:rPr>
          <w:lang w:eastAsia="ru-RU"/>
        </w:rPr>
        <w:instrText xml:space="preserve"> </w:instrText>
      </w:r>
      <w:r w:rsidR="00E974B2">
        <w:rPr>
          <w:lang w:val="en-US" w:eastAsia="ru-RU"/>
        </w:rPr>
        <w:instrText>concentrate</w:instrText>
      </w:r>
      <w:r w:rsidR="00E974B2" w:rsidRPr="006447F6">
        <w:rPr>
          <w:lang w:eastAsia="ru-RU"/>
        </w:rPr>
        <w:instrText xml:space="preserve"> </w:instrText>
      </w:r>
      <w:r w:rsidR="00E974B2">
        <w:rPr>
          <w:lang w:val="en-US" w:eastAsia="ru-RU"/>
        </w:rPr>
        <w:instrText>for</w:instrText>
      </w:r>
      <w:r w:rsidR="00E974B2" w:rsidRPr="006447F6">
        <w:rPr>
          <w:lang w:eastAsia="ru-RU"/>
        </w:rPr>
        <w:instrText xml:space="preserve"> </w:instrText>
      </w:r>
      <w:r w:rsidR="00E974B2">
        <w:rPr>
          <w:lang w:val="en-US" w:eastAsia="ru-RU"/>
        </w:rPr>
        <w:instrText>solution</w:instrText>
      </w:r>
      <w:r w:rsidR="00E974B2" w:rsidRPr="006447F6">
        <w:rPr>
          <w:lang w:eastAsia="ru-RU"/>
        </w:rPr>
        <w:instrText xml:space="preserve"> </w:instrText>
      </w:r>
      <w:r w:rsidR="00E974B2">
        <w:rPr>
          <w:lang w:val="en-US" w:eastAsia="ru-RU"/>
        </w:rPr>
        <w:instrText>for</w:instrText>
      </w:r>
      <w:r w:rsidR="00E974B2" w:rsidRPr="006447F6">
        <w:rPr>
          <w:lang w:eastAsia="ru-RU"/>
        </w:rPr>
        <w:instrText xml:space="preserve"> </w:instrText>
      </w:r>
      <w:r w:rsidR="00E974B2">
        <w:rPr>
          <w:lang w:val="en-US" w:eastAsia="ru-RU"/>
        </w:rPr>
        <w:instrText>intravenous</w:instrText>
      </w:r>
      <w:r w:rsidR="00E974B2" w:rsidRPr="006447F6">
        <w:rPr>
          <w:lang w:eastAsia="ru-RU"/>
        </w:rPr>
        <w:instrText xml:space="preserve"> (</w:instrText>
      </w:r>
      <w:r w:rsidR="00E974B2">
        <w:rPr>
          <w:lang w:val="en-US" w:eastAsia="ru-RU"/>
        </w:rPr>
        <w:instrText>IV</w:instrText>
      </w:r>
      <w:r w:rsidR="00E974B2" w:rsidRPr="006447F6">
        <w:rPr>
          <w:lang w:eastAsia="ru-RU"/>
        </w:rPr>
        <w:instrText xml:space="preserve">) </w:instrText>
      </w:r>
      <w:r w:rsidR="00E974B2">
        <w:rPr>
          <w:lang w:val="en-US" w:eastAsia="ru-RU"/>
        </w:rPr>
        <w:instrText>infusion</w:instrText>
      </w:r>
      <w:r w:rsidR="00E974B2" w:rsidRPr="006447F6">
        <w:rPr>
          <w:lang w:eastAsia="ru-RU"/>
        </w:rPr>
        <w:instrText xml:space="preserve">], </w:instrText>
      </w:r>
      <w:r w:rsidR="00E974B2">
        <w:rPr>
          <w:lang w:val="en-US" w:eastAsia="ru-RU"/>
        </w:rPr>
        <w:instrText>and</w:instrText>
      </w:r>
      <w:r w:rsidR="00E974B2" w:rsidRPr="006447F6">
        <w:rPr>
          <w:lang w:eastAsia="ru-RU"/>
        </w:rPr>
        <w:instrText xml:space="preserve"> </w:instrText>
      </w:r>
      <w:r w:rsidR="00E974B2">
        <w:rPr>
          <w:lang w:val="en-US" w:eastAsia="ru-RU"/>
        </w:rPr>
        <w:instrText>has</w:instrText>
      </w:r>
      <w:r w:rsidR="00E974B2" w:rsidRPr="006447F6">
        <w:rPr>
          <w:lang w:eastAsia="ru-RU"/>
        </w:rPr>
        <w:instrText xml:space="preserve"> </w:instrText>
      </w:r>
      <w:r w:rsidR="00E974B2">
        <w:rPr>
          <w:lang w:val="en-US" w:eastAsia="ru-RU"/>
        </w:rPr>
        <w:instrText>undergone</w:instrText>
      </w:r>
      <w:r w:rsidR="00E974B2" w:rsidRPr="006447F6">
        <w:rPr>
          <w:lang w:eastAsia="ru-RU"/>
        </w:rPr>
        <w:instrText xml:space="preserve"> </w:instrText>
      </w:r>
      <w:r w:rsidR="00E974B2">
        <w:rPr>
          <w:lang w:val="en-US" w:eastAsia="ru-RU"/>
        </w:rPr>
        <w:instrText>a</w:instrText>
      </w:r>
      <w:r w:rsidR="00E974B2" w:rsidRPr="006447F6">
        <w:rPr>
          <w:lang w:eastAsia="ru-RU"/>
        </w:rPr>
        <w:instrText xml:space="preserve"> </w:instrText>
      </w:r>
      <w:r w:rsidR="00E974B2">
        <w:rPr>
          <w:lang w:val="en-US" w:eastAsia="ru-RU"/>
        </w:rPr>
        <w:instrText>detailed</w:instrText>
      </w:r>
      <w:r w:rsidR="00E974B2" w:rsidRPr="006447F6">
        <w:rPr>
          <w:lang w:eastAsia="ru-RU"/>
        </w:rPr>
        <w:instrText xml:space="preserve">, </w:instrText>
      </w:r>
      <w:r w:rsidR="00E974B2">
        <w:rPr>
          <w:lang w:val="en-US" w:eastAsia="ru-RU"/>
        </w:rPr>
        <w:instrText>sequential</w:instrText>
      </w:r>
      <w:r w:rsidR="00E974B2" w:rsidRPr="006447F6">
        <w:rPr>
          <w:lang w:eastAsia="ru-RU"/>
        </w:rPr>
        <w:instrText xml:space="preserve"> </w:instrText>
      </w:r>
      <w:r w:rsidR="00E974B2">
        <w:rPr>
          <w:lang w:val="en-US" w:eastAsia="ru-RU"/>
        </w:rPr>
        <w:instrText>clinical</w:instrText>
      </w:r>
      <w:r w:rsidR="00E974B2" w:rsidRPr="006447F6">
        <w:rPr>
          <w:lang w:eastAsia="ru-RU"/>
        </w:rPr>
        <w:instrText xml:space="preserve"> </w:instrText>
      </w:r>
      <w:r w:rsidR="00E974B2">
        <w:rPr>
          <w:lang w:val="en-US" w:eastAsia="ru-RU"/>
        </w:rPr>
        <w:instrText>development</w:instrText>
      </w:r>
      <w:r w:rsidR="00E974B2" w:rsidRPr="006447F6">
        <w:rPr>
          <w:lang w:eastAsia="ru-RU"/>
        </w:rPr>
        <w:instrText xml:space="preserve"> </w:instrText>
      </w:r>
      <w:r w:rsidR="00E974B2">
        <w:rPr>
          <w:lang w:val="en-US" w:eastAsia="ru-RU"/>
        </w:rPr>
        <w:instrText>program</w:instrText>
      </w:r>
      <w:r w:rsidR="00E974B2" w:rsidRPr="006447F6">
        <w:rPr>
          <w:lang w:eastAsia="ru-RU"/>
        </w:rPr>
        <w:instrText xml:space="preserve">. </w:instrText>
      </w:r>
      <w:r w:rsidR="00E974B2">
        <w:rPr>
          <w:lang w:val="en-US" w:eastAsia="ru-RU"/>
        </w:rPr>
        <w:instrText>This</w:instrText>
      </w:r>
      <w:r w:rsidR="00E974B2" w:rsidRPr="006447F6">
        <w:rPr>
          <w:lang w:eastAsia="ru-RU"/>
        </w:rPr>
        <w:instrText xml:space="preserve"> </w:instrText>
      </w:r>
      <w:r w:rsidR="00E974B2">
        <w:rPr>
          <w:lang w:val="en-US" w:eastAsia="ru-RU"/>
        </w:rPr>
        <w:instrText>program</w:instrText>
      </w:r>
      <w:r w:rsidR="00E974B2" w:rsidRPr="006447F6">
        <w:rPr>
          <w:lang w:eastAsia="ru-RU"/>
        </w:rPr>
        <w:instrText xml:space="preserve"> </w:instrText>
      </w:r>
      <w:r w:rsidR="00E974B2">
        <w:rPr>
          <w:lang w:val="en-US" w:eastAsia="ru-RU"/>
        </w:rPr>
        <w:instrText>demonstrated</w:instrText>
      </w:r>
      <w:r w:rsidR="00E974B2" w:rsidRPr="006447F6">
        <w:rPr>
          <w:lang w:eastAsia="ru-RU"/>
        </w:rPr>
        <w:instrText xml:space="preserve"> </w:instrText>
      </w:r>
      <w:r w:rsidR="00E974B2">
        <w:rPr>
          <w:lang w:val="en-US" w:eastAsia="ru-RU"/>
        </w:rPr>
        <w:instrText>that</w:instrText>
      </w:r>
      <w:r w:rsidR="00E974B2" w:rsidRPr="006447F6">
        <w:rPr>
          <w:lang w:eastAsia="ru-RU"/>
        </w:rPr>
        <w:instrText xml:space="preserve">, </w:instrText>
      </w:r>
      <w:r w:rsidR="00E974B2">
        <w:rPr>
          <w:lang w:val="en-US" w:eastAsia="ru-RU"/>
        </w:rPr>
        <w:instrText>at</w:instrText>
      </w:r>
      <w:r w:rsidR="00E974B2" w:rsidRPr="006447F6">
        <w:rPr>
          <w:lang w:eastAsia="ru-RU"/>
        </w:rPr>
        <w:instrText xml:space="preserve"> </w:instrText>
      </w:r>
      <w:r w:rsidR="00E974B2">
        <w:rPr>
          <w:lang w:val="en-US" w:eastAsia="ru-RU"/>
        </w:rPr>
        <w:instrText>fixed</w:instrText>
      </w:r>
      <w:r w:rsidR="00E974B2" w:rsidRPr="006447F6">
        <w:rPr>
          <w:lang w:eastAsia="ru-RU"/>
        </w:rPr>
        <w:instrText xml:space="preserve"> </w:instrText>
      </w:r>
      <w:r w:rsidR="00E974B2">
        <w:rPr>
          <w:lang w:val="en-US" w:eastAsia="ru-RU"/>
        </w:rPr>
        <w:instrText>doses</w:instrText>
      </w:r>
      <w:r w:rsidR="00E974B2" w:rsidRPr="006447F6">
        <w:rPr>
          <w:lang w:eastAsia="ru-RU"/>
        </w:rPr>
        <w:instrText xml:space="preserve">, </w:instrText>
      </w:r>
      <w:r w:rsidR="00E974B2">
        <w:rPr>
          <w:lang w:val="en-US" w:eastAsia="ru-RU"/>
        </w:rPr>
        <w:instrText>rituximab</w:instrText>
      </w:r>
      <w:r w:rsidR="00E974B2" w:rsidRPr="006447F6">
        <w:rPr>
          <w:lang w:eastAsia="ru-RU"/>
        </w:rPr>
        <w:instrText xml:space="preserve"> </w:instrText>
      </w:r>
      <w:r w:rsidR="00E974B2">
        <w:rPr>
          <w:lang w:val="en-US" w:eastAsia="ru-RU"/>
        </w:rPr>
        <w:instrText>SC</w:instrText>
      </w:r>
      <w:r w:rsidR="00E974B2" w:rsidRPr="006447F6">
        <w:rPr>
          <w:lang w:eastAsia="ru-RU"/>
        </w:rPr>
        <w:instrText xml:space="preserve"> </w:instrText>
      </w:r>
      <w:r w:rsidR="00E974B2">
        <w:rPr>
          <w:lang w:val="en-US" w:eastAsia="ru-RU"/>
        </w:rPr>
        <w:instrText>achieves</w:instrText>
      </w:r>
      <w:r w:rsidR="00E974B2" w:rsidRPr="006447F6">
        <w:rPr>
          <w:lang w:eastAsia="ru-RU"/>
        </w:rPr>
        <w:instrText xml:space="preserve"> </w:instrText>
      </w:r>
      <w:r w:rsidR="00E974B2">
        <w:rPr>
          <w:lang w:val="en-US" w:eastAsia="ru-RU"/>
        </w:rPr>
        <w:instrText>non</w:instrText>
      </w:r>
      <w:r w:rsidR="00E974B2" w:rsidRPr="006447F6">
        <w:rPr>
          <w:lang w:eastAsia="ru-RU"/>
        </w:rPr>
        <w:instrText>-</w:instrText>
      </w:r>
      <w:r w:rsidR="00E974B2">
        <w:rPr>
          <w:lang w:val="en-US" w:eastAsia="ru-RU"/>
        </w:rPr>
        <w:instrText>inferior</w:instrText>
      </w:r>
      <w:r w:rsidR="00E974B2" w:rsidRPr="006447F6">
        <w:rPr>
          <w:lang w:eastAsia="ru-RU"/>
        </w:rPr>
        <w:instrText xml:space="preserve"> </w:instrText>
      </w:r>
      <w:r w:rsidR="00E974B2">
        <w:rPr>
          <w:lang w:val="en-US" w:eastAsia="ru-RU"/>
        </w:rPr>
        <w:instrText>serum</w:instrText>
      </w:r>
      <w:r w:rsidR="00E974B2" w:rsidRPr="006447F6">
        <w:rPr>
          <w:lang w:eastAsia="ru-RU"/>
        </w:rPr>
        <w:instrText xml:space="preserve"> </w:instrText>
      </w:r>
      <w:r w:rsidR="00E974B2">
        <w:rPr>
          <w:lang w:val="en-US" w:eastAsia="ru-RU"/>
        </w:rPr>
        <w:instrText>trough</w:instrText>
      </w:r>
      <w:r w:rsidR="00E974B2" w:rsidRPr="006447F6">
        <w:rPr>
          <w:lang w:eastAsia="ru-RU"/>
        </w:rPr>
        <w:instrText xml:space="preserve"> </w:instrText>
      </w:r>
      <w:r w:rsidR="00E974B2">
        <w:rPr>
          <w:lang w:val="en-US" w:eastAsia="ru-RU"/>
        </w:rPr>
        <w:instrText>concentrations</w:instrText>
      </w:r>
      <w:r w:rsidR="00E974B2" w:rsidRPr="006447F6">
        <w:rPr>
          <w:lang w:eastAsia="ru-RU"/>
        </w:rPr>
        <w:instrText xml:space="preserve"> </w:instrText>
      </w:r>
      <w:r w:rsidR="00E974B2">
        <w:rPr>
          <w:lang w:val="en-US" w:eastAsia="ru-RU"/>
        </w:rPr>
        <w:instrText>in</w:instrText>
      </w:r>
      <w:r w:rsidR="00E974B2" w:rsidRPr="006447F6">
        <w:rPr>
          <w:lang w:eastAsia="ru-RU"/>
        </w:rPr>
        <w:instrText xml:space="preserve"> </w:instrText>
      </w:r>
      <w:r w:rsidR="00E974B2">
        <w:rPr>
          <w:lang w:val="en-US" w:eastAsia="ru-RU"/>
        </w:rPr>
        <w:instrText>patients</w:instrText>
      </w:r>
      <w:r w:rsidR="00E974B2" w:rsidRPr="006447F6">
        <w:rPr>
          <w:lang w:eastAsia="ru-RU"/>
        </w:rPr>
        <w:instrText xml:space="preserve"> </w:instrText>
      </w:r>
      <w:r w:rsidR="00E974B2">
        <w:rPr>
          <w:lang w:val="en-US" w:eastAsia="ru-RU"/>
        </w:rPr>
        <w:instrText>with</w:instrText>
      </w:r>
      <w:r w:rsidR="00E974B2" w:rsidRPr="006447F6">
        <w:rPr>
          <w:lang w:eastAsia="ru-RU"/>
        </w:rPr>
        <w:instrText xml:space="preserve"> </w:instrText>
      </w:r>
      <w:r w:rsidR="00E974B2">
        <w:rPr>
          <w:lang w:val="en-US" w:eastAsia="ru-RU"/>
        </w:rPr>
        <w:instrText>non</w:instrText>
      </w:r>
      <w:r w:rsidR="00E974B2" w:rsidRPr="006447F6">
        <w:rPr>
          <w:lang w:eastAsia="ru-RU"/>
        </w:rPr>
        <w:instrText>-</w:instrText>
      </w:r>
      <w:r w:rsidR="00E974B2">
        <w:rPr>
          <w:lang w:val="en-US" w:eastAsia="ru-RU"/>
        </w:rPr>
        <w:instrText>Hodgkin</w:instrText>
      </w:r>
      <w:r w:rsidR="00E974B2" w:rsidRPr="006447F6">
        <w:rPr>
          <w:lang w:eastAsia="ru-RU"/>
        </w:rPr>
        <w:instrText xml:space="preserve"> </w:instrText>
      </w:r>
      <w:r w:rsidR="00E974B2">
        <w:rPr>
          <w:lang w:val="en-US" w:eastAsia="ru-RU"/>
        </w:rPr>
        <w:instrText>lymphoma</w:instrText>
      </w:r>
      <w:r w:rsidR="00E974B2" w:rsidRPr="006447F6">
        <w:rPr>
          <w:lang w:eastAsia="ru-RU"/>
        </w:rPr>
        <w:instrText xml:space="preserve"> </w:instrText>
      </w:r>
      <w:r w:rsidR="00E974B2">
        <w:rPr>
          <w:lang w:val="en-US" w:eastAsia="ru-RU"/>
        </w:rPr>
        <w:instrText>and</w:instrText>
      </w:r>
      <w:r w:rsidR="00E974B2" w:rsidRPr="006447F6">
        <w:rPr>
          <w:lang w:eastAsia="ru-RU"/>
        </w:rPr>
        <w:instrText xml:space="preserve"> </w:instrText>
      </w:r>
      <w:r w:rsidR="00E974B2">
        <w:rPr>
          <w:lang w:val="en-US" w:eastAsia="ru-RU"/>
        </w:rPr>
        <w:instrText>chronic</w:instrText>
      </w:r>
      <w:r w:rsidR="00E974B2" w:rsidRPr="006447F6">
        <w:rPr>
          <w:lang w:eastAsia="ru-RU"/>
        </w:rPr>
        <w:instrText xml:space="preserve"> </w:instrText>
      </w:r>
      <w:r w:rsidR="00E974B2">
        <w:rPr>
          <w:lang w:val="en-US" w:eastAsia="ru-RU"/>
        </w:rPr>
        <w:instrText>lymphocytic</w:instrText>
      </w:r>
      <w:r w:rsidR="00E974B2" w:rsidRPr="006447F6">
        <w:rPr>
          <w:lang w:eastAsia="ru-RU"/>
        </w:rPr>
        <w:instrText xml:space="preserve"> </w:instrText>
      </w:r>
      <w:r w:rsidR="00E974B2">
        <w:rPr>
          <w:lang w:val="en-US" w:eastAsia="ru-RU"/>
        </w:rPr>
        <w:instrText>leukemia</w:instrText>
      </w:r>
      <w:r w:rsidR="00E974B2" w:rsidRPr="006447F6">
        <w:rPr>
          <w:lang w:eastAsia="ru-RU"/>
        </w:rPr>
        <w:instrText xml:space="preserve">, </w:instrText>
      </w:r>
      <w:r w:rsidR="00E974B2">
        <w:rPr>
          <w:lang w:val="en-US" w:eastAsia="ru-RU"/>
        </w:rPr>
        <w:instrText>with</w:instrText>
      </w:r>
      <w:r w:rsidR="00E974B2" w:rsidRPr="006447F6">
        <w:rPr>
          <w:lang w:eastAsia="ru-RU"/>
        </w:rPr>
        <w:instrText xml:space="preserve"> </w:instrText>
      </w:r>
      <w:r w:rsidR="00E974B2">
        <w:rPr>
          <w:lang w:val="en-US" w:eastAsia="ru-RU"/>
        </w:rPr>
        <w:instrText>comparable</w:instrText>
      </w:r>
      <w:r w:rsidR="00E974B2" w:rsidRPr="006447F6">
        <w:rPr>
          <w:lang w:eastAsia="ru-RU"/>
        </w:rPr>
        <w:instrText xml:space="preserve"> </w:instrText>
      </w:r>
      <w:r w:rsidR="00E974B2">
        <w:rPr>
          <w:lang w:val="en-US" w:eastAsia="ru-RU"/>
        </w:rPr>
        <w:instrText>efficacy</w:instrText>
      </w:r>
      <w:r w:rsidR="00E974B2" w:rsidRPr="006447F6">
        <w:rPr>
          <w:lang w:eastAsia="ru-RU"/>
        </w:rPr>
        <w:instrText xml:space="preserve"> </w:instrText>
      </w:r>
      <w:r w:rsidR="00E974B2">
        <w:rPr>
          <w:lang w:val="en-US" w:eastAsia="ru-RU"/>
        </w:rPr>
        <w:instrText>and</w:instrText>
      </w:r>
      <w:r w:rsidR="00E974B2" w:rsidRPr="006447F6">
        <w:rPr>
          <w:lang w:eastAsia="ru-RU"/>
        </w:rPr>
        <w:instrText xml:space="preserve"> </w:instrText>
      </w:r>
      <w:r w:rsidR="00E974B2">
        <w:rPr>
          <w:lang w:val="en-US" w:eastAsia="ru-RU"/>
        </w:rPr>
        <w:instrText>safety</w:instrText>
      </w:r>
      <w:r w:rsidR="00E974B2" w:rsidRPr="006447F6">
        <w:rPr>
          <w:lang w:eastAsia="ru-RU"/>
        </w:rPr>
        <w:instrText xml:space="preserve"> </w:instrText>
      </w:r>
      <w:r w:rsidR="00E974B2">
        <w:rPr>
          <w:lang w:val="en-US" w:eastAsia="ru-RU"/>
        </w:rPr>
        <w:instrText>relative</w:instrText>
      </w:r>
      <w:r w:rsidR="00E974B2" w:rsidRPr="006447F6">
        <w:rPr>
          <w:lang w:eastAsia="ru-RU"/>
        </w:rPr>
        <w:instrText xml:space="preserve"> </w:instrText>
      </w:r>
      <w:r w:rsidR="00E974B2">
        <w:rPr>
          <w:lang w:val="en-US" w:eastAsia="ru-RU"/>
        </w:rPr>
        <w:instrText>to</w:instrText>
      </w:r>
      <w:r w:rsidR="00E974B2" w:rsidRPr="006447F6">
        <w:rPr>
          <w:lang w:eastAsia="ru-RU"/>
        </w:rPr>
        <w:instrText xml:space="preserve"> </w:instrText>
      </w:r>
      <w:r w:rsidR="00E974B2">
        <w:rPr>
          <w:lang w:val="en-US" w:eastAsia="ru-RU"/>
        </w:rPr>
        <w:instrText>the</w:instrText>
      </w:r>
      <w:r w:rsidR="00E974B2" w:rsidRPr="006447F6">
        <w:rPr>
          <w:lang w:eastAsia="ru-RU"/>
        </w:rPr>
        <w:instrText xml:space="preserve"> </w:instrText>
      </w:r>
      <w:r w:rsidR="00E974B2">
        <w:rPr>
          <w:lang w:val="en-US" w:eastAsia="ru-RU"/>
        </w:rPr>
        <w:instrText>IV</w:instrText>
      </w:r>
      <w:r w:rsidR="00E974B2" w:rsidRPr="006447F6">
        <w:rPr>
          <w:lang w:eastAsia="ru-RU"/>
        </w:rPr>
        <w:instrText xml:space="preserve"> </w:instrText>
      </w:r>
      <w:r w:rsidR="00E974B2">
        <w:rPr>
          <w:lang w:val="en-US" w:eastAsia="ru-RU"/>
        </w:rPr>
        <w:instrText>formulation</w:instrText>
      </w:r>
      <w:r w:rsidR="00E974B2" w:rsidRPr="006447F6">
        <w:rPr>
          <w:lang w:eastAsia="ru-RU"/>
        </w:rPr>
        <w:instrText xml:space="preserve">. </w:instrText>
      </w:r>
      <w:r w:rsidR="00E974B2">
        <w:rPr>
          <w:lang w:val="en-US" w:eastAsia="ru-RU"/>
        </w:rPr>
        <w:instrText>The</w:instrText>
      </w:r>
      <w:r w:rsidR="00E974B2" w:rsidRPr="006447F6">
        <w:rPr>
          <w:lang w:eastAsia="ru-RU"/>
        </w:rPr>
        <w:instrText xml:space="preserve"> </w:instrText>
      </w:r>
      <w:r w:rsidR="00E974B2">
        <w:rPr>
          <w:lang w:val="en-US" w:eastAsia="ru-RU"/>
        </w:rPr>
        <w:instrText>added</w:instrText>
      </w:r>
      <w:r w:rsidR="00E974B2" w:rsidRPr="006447F6">
        <w:rPr>
          <w:lang w:eastAsia="ru-RU"/>
        </w:rPr>
        <w:instrText xml:space="preserve"> </w:instrText>
      </w:r>
      <w:r w:rsidR="00E974B2">
        <w:rPr>
          <w:lang w:val="en-US" w:eastAsia="ru-RU"/>
        </w:rPr>
        <w:instrText>benefit</w:instrText>
      </w:r>
      <w:r w:rsidR="00E974B2" w:rsidRPr="006447F6">
        <w:rPr>
          <w:lang w:eastAsia="ru-RU"/>
        </w:rPr>
        <w:instrText xml:space="preserve"> </w:instrText>
      </w:r>
      <w:r w:rsidR="00E974B2">
        <w:rPr>
          <w:lang w:val="en-US" w:eastAsia="ru-RU"/>
        </w:rPr>
        <w:instrText>of</w:instrText>
      </w:r>
      <w:r w:rsidR="00E974B2" w:rsidRPr="006447F6">
        <w:rPr>
          <w:lang w:eastAsia="ru-RU"/>
        </w:rPr>
        <w:instrText xml:space="preserve"> </w:instrText>
      </w:r>
      <w:r w:rsidR="00E974B2">
        <w:rPr>
          <w:lang w:val="en-US" w:eastAsia="ru-RU"/>
        </w:rPr>
        <w:instrText>rituximab</w:instrText>
      </w:r>
      <w:r w:rsidR="00E974B2" w:rsidRPr="006447F6">
        <w:rPr>
          <w:lang w:eastAsia="ru-RU"/>
        </w:rPr>
        <w:instrText xml:space="preserve"> </w:instrText>
      </w:r>
      <w:r w:rsidR="00E974B2">
        <w:rPr>
          <w:lang w:val="en-US" w:eastAsia="ru-RU"/>
        </w:rPr>
        <w:instrText>SC</w:instrText>
      </w:r>
      <w:r w:rsidR="00E974B2" w:rsidRPr="006447F6">
        <w:rPr>
          <w:lang w:eastAsia="ru-RU"/>
        </w:rPr>
        <w:instrText xml:space="preserve"> </w:instrText>
      </w:r>
      <w:r w:rsidR="00E974B2">
        <w:rPr>
          <w:lang w:val="en-US" w:eastAsia="ru-RU"/>
        </w:rPr>
        <w:instrText>was</w:instrText>
      </w:r>
      <w:r w:rsidR="00E974B2" w:rsidRPr="006447F6">
        <w:rPr>
          <w:lang w:eastAsia="ru-RU"/>
        </w:rPr>
        <w:instrText xml:space="preserve"> </w:instrText>
      </w:r>
      <w:r w:rsidR="00E974B2">
        <w:rPr>
          <w:lang w:val="en-US" w:eastAsia="ru-RU"/>
        </w:rPr>
        <w:instrText>demonstrated</w:instrText>
      </w:r>
      <w:r w:rsidR="00E974B2" w:rsidRPr="006447F6">
        <w:rPr>
          <w:lang w:eastAsia="ru-RU"/>
        </w:rPr>
        <w:instrText xml:space="preserve"> </w:instrText>
      </w:r>
      <w:r w:rsidR="00E974B2">
        <w:rPr>
          <w:lang w:val="en-US" w:eastAsia="ru-RU"/>
        </w:rPr>
        <w:instrText>in</w:instrText>
      </w:r>
      <w:r w:rsidR="00E974B2" w:rsidRPr="006447F6">
        <w:rPr>
          <w:lang w:eastAsia="ru-RU"/>
        </w:rPr>
        <w:instrText xml:space="preserve"> </w:instrText>
      </w:r>
      <w:r w:rsidR="00E974B2">
        <w:rPr>
          <w:lang w:val="en-US" w:eastAsia="ru-RU"/>
        </w:rPr>
        <w:instrText>dedicated</w:instrText>
      </w:r>
      <w:r w:rsidR="00E974B2" w:rsidRPr="006447F6">
        <w:rPr>
          <w:lang w:eastAsia="ru-RU"/>
        </w:rPr>
        <w:instrText xml:space="preserve"> </w:instrText>
      </w:r>
      <w:r w:rsidR="00E974B2">
        <w:rPr>
          <w:lang w:val="en-US" w:eastAsia="ru-RU"/>
        </w:rPr>
        <w:instrText>studies</w:instrText>
      </w:r>
      <w:r w:rsidR="00E974B2" w:rsidRPr="006447F6">
        <w:rPr>
          <w:lang w:eastAsia="ru-RU"/>
        </w:rPr>
        <w:instrText xml:space="preserve"> </w:instrText>
      </w:r>
      <w:r w:rsidR="00E974B2">
        <w:rPr>
          <w:lang w:val="en-US" w:eastAsia="ru-RU"/>
        </w:rPr>
        <w:instrText>showing</w:instrText>
      </w:r>
      <w:r w:rsidR="00E974B2" w:rsidRPr="006447F6">
        <w:rPr>
          <w:lang w:eastAsia="ru-RU"/>
        </w:rPr>
        <w:instrText xml:space="preserve"> </w:instrText>
      </w:r>
      <w:r w:rsidR="00E974B2">
        <w:rPr>
          <w:lang w:val="en-US" w:eastAsia="ru-RU"/>
        </w:rPr>
        <w:instrText>that</w:instrText>
      </w:r>
      <w:r w:rsidR="00E974B2" w:rsidRPr="006447F6">
        <w:rPr>
          <w:lang w:eastAsia="ru-RU"/>
        </w:rPr>
        <w:instrText xml:space="preserve"> </w:instrText>
      </w:r>
      <w:r w:rsidR="00E974B2">
        <w:rPr>
          <w:lang w:val="en-US" w:eastAsia="ru-RU"/>
        </w:rPr>
        <w:instrText>rituximab</w:instrText>
      </w:r>
      <w:r w:rsidR="00E974B2" w:rsidRPr="006447F6">
        <w:rPr>
          <w:lang w:eastAsia="ru-RU"/>
        </w:rPr>
        <w:instrText xml:space="preserve"> </w:instrText>
      </w:r>
      <w:r w:rsidR="00E974B2">
        <w:rPr>
          <w:lang w:val="en-US" w:eastAsia="ru-RU"/>
        </w:rPr>
        <w:instrText>SC</w:instrText>
      </w:r>
      <w:r w:rsidR="00E974B2" w:rsidRPr="006447F6">
        <w:rPr>
          <w:lang w:eastAsia="ru-RU"/>
        </w:rPr>
        <w:instrText xml:space="preserve"> </w:instrText>
      </w:r>
      <w:r w:rsidR="00E974B2">
        <w:rPr>
          <w:lang w:val="en-US" w:eastAsia="ru-RU"/>
        </w:rPr>
        <w:instrText>allows</w:instrText>
      </w:r>
      <w:r w:rsidR="00E974B2" w:rsidRPr="006447F6">
        <w:rPr>
          <w:lang w:eastAsia="ru-RU"/>
        </w:rPr>
        <w:instrText xml:space="preserve"> </w:instrText>
      </w:r>
      <w:r w:rsidR="00E974B2">
        <w:rPr>
          <w:lang w:val="en-US" w:eastAsia="ru-RU"/>
        </w:rPr>
        <w:instrText>for</w:instrText>
      </w:r>
      <w:r w:rsidR="00E974B2" w:rsidRPr="006447F6">
        <w:rPr>
          <w:lang w:eastAsia="ru-RU"/>
        </w:rPr>
        <w:instrText xml:space="preserve"> </w:instrText>
      </w:r>
      <w:r w:rsidR="00E974B2">
        <w:rPr>
          <w:lang w:val="en-US" w:eastAsia="ru-RU"/>
        </w:rPr>
        <w:instrText>simplified</w:instrText>
      </w:r>
      <w:r w:rsidR="00E974B2" w:rsidRPr="006447F6">
        <w:rPr>
          <w:lang w:eastAsia="ru-RU"/>
        </w:rPr>
        <w:instrText xml:space="preserve"> </w:instrText>
      </w:r>
      <w:r w:rsidR="00E974B2">
        <w:rPr>
          <w:lang w:val="en-US" w:eastAsia="ru-RU"/>
        </w:rPr>
        <w:instrText>and</w:instrText>
      </w:r>
      <w:r w:rsidR="00E974B2" w:rsidRPr="006447F6">
        <w:rPr>
          <w:lang w:eastAsia="ru-RU"/>
        </w:rPr>
        <w:instrText xml:space="preserve"> </w:instrText>
      </w:r>
      <w:r w:rsidR="00E974B2">
        <w:rPr>
          <w:lang w:val="en-US" w:eastAsia="ru-RU"/>
        </w:rPr>
        <w:instrText>shortened</w:instrText>
      </w:r>
      <w:r w:rsidR="00E974B2" w:rsidRPr="006447F6">
        <w:rPr>
          <w:lang w:eastAsia="ru-RU"/>
        </w:rPr>
        <w:instrText xml:space="preserve"> </w:instrText>
      </w:r>
      <w:r w:rsidR="00E974B2">
        <w:rPr>
          <w:lang w:val="en-US" w:eastAsia="ru-RU"/>
        </w:rPr>
        <w:instrText>drug</w:instrText>
      </w:r>
      <w:r w:rsidR="00E974B2" w:rsidRPr="006447F6">
        <w:rPr>
          <w:lang w:eastAsia="ru-RU"/>
        </w:rPr>
        <w:instrText xml:space="preserve"> </w:instrText>
      </w:r>
      <w:r w:rsidR="00E974B2">
        <w:rPr>
          <w:lang w:val="en-US" w:eastAsia="ru-RU"/>
        </w:rPr>
        <w:instrText>preparation</w:instrText>
      </w:r>
      <w:r w:rsidR="00E974B2" w:rsidRPr="006447F6">
        <w:rPr>
          <w:lang w:eastAsia="ru-RU"/>
        </w:rPr>
        <w:instrText xml:space="preserve"> </w:instrText>
      </w:r>
      <w:r w:rsidR="00E974B2">
        <w:rPr>
          <w:lang w:val="en-US" w:eastAsia="ru-RU"/>
        </w:rPr>
        <w:instrText>and</w:instrText>
      </w:r>
      <w:r w:rsidR="00E974B2" w:rsidRPr="006447F6">
        <w:rPr>
          <w:lang w:eastAsia="ru-RU"/>
        </w:rPr>
        <w:instrText xml:space="preserve"> </w:instrText>
      </w:r>
      <w:r w:rsidR="00E974B2">
        <w:rPr>
          <w:lang w:val="en-US" w:eastAsia="ru-RU"/>
        </w:rPr>
        <w:instrText>administration</w:instrText>
      </w:r>
      <w:r w:rsidR="00E974B2" w:rsidRPr="006447F6">
        <w:rPr>
          <w:lang w:eastAsia="ru-RU"/>
        </w:rPr>
        <w:instrText xml:space="preserve"> </w:instrText>
      </w:r>
      <w:r w:rsidR="00E974B2">
        <w:rPr>
          <w:lang w:val="en-US" w:eastAsia="ru-RU"/>
        </w:rPr>
        <w:instrText>times</w:instrText>
      </w:r>
      <w:r w:rsidR="00E974B2" w:rsidRPr="006447F6">
        <w:rPr>
          <w:lang w:eastAsia="ru-RU"/>
        </w:rPr>
        <w:instrText xml:space="preserve"> </w:instrText>
      </w:r>
      <w:r w:rsidR="00E974B2">
        <w:rPr>
          <w:lang w:val="en-US" w:eastAsia="ru-RU"/>
        </w:rPr>
        <w:instrText>resulting</w:instrText>
      </w:r>
      <w:r w:rsidR="00E974B2" w:rsidRPr="006447F6">
        <w:rPr>
          <w:lang w:eastAsia="ru-RU"/>
        </w:rPr>
        <w:instrText xml:space="preserve"> </w:instrText>
      </w:r>
      <w:r w:rsidR="00E974B2">
        <w:rPr>
          <w:lang w:val="en-US" w:eastAsia="ru-RU"/>
        </w:rPr>
        <w:instrText>in</w:instrText>
      </w:r>
      <w:r w:rsidR="00E974B2" w:rsidRPr="006447F6">
        <w:rPr>
          <w:lang w:eastAsia="ru-RU"/>
        </w:rPr>
        <w:instrText xml:space="preserve"> </w:instrText>
      </w:r>
      <w:r w:rsidR="00E974B2">
        <w:rPr>
          <w:lang w:val="en-US" w:eastAsia="ru-RU"/>
        </w:rPr>
        <w:instrText>a</w:instrText>
      </w:r>
      <w:r w:rsidR="00E974B2" w:rsidRPr="006447F6">
        <w:rPr>
          <w:lang w:eastAsia="ru-RU"/>
        </w:rPr>
        <w:instrText xml:space="preserve"> </w:instrText>
      </w:r>
      <w:r w:rsidR="00E974B2">
        <w:rPr>
          <w:lang w:val="en-US" w:eastAsia="ru-RU"/>
        </w:rPr>
        <w:instrText>reduced</w:instrText>
      </w:r>
      <w:r w:rsidR="00E974B2" w:rsidRPr="006447F6">
        <w:rPr>
          <w:lang w:eastAsia="ru-RU"/>
        </w:rPr>
        <w:instrText xml:space="preserve"> </w:instrText>
      </w:r>
      <w:r w:rsidR="00E974B2">
        <w:rPr>
          <w:lang w:val="en-US" w:eastAsia="ru-RU"/>
        </w:rPr>
        <w:instrText>treatment</w:instrText>
      </w:r>
      <w:r w:rsidR="00E974B2" w:rsidRPr="006447F6">
        <w:rPr>
          <w:lang w:eastAsia="ru-RU"/>
        </w:rPr>
        <w:instrText xml:space="preserve"> </w:instrText>
      </w:r>
      <w:r w:rsidR="00E974B2">
        <w:rPr>
          <w:lang w:val="en-US" w:eastAsia="ru-RU"/>
        </w:rPr>
        <w:instrText>burden</w:instrText>
      </w:r>
      <w:r w:rsidR="00E974B2" w:rsidRPr="006447F6">
        <w:rPr>
          <w:lang w:eastAsia="ru-RU"/>
        </w:rPr>
        <w:instrText xml:space="preserve"> </w:instrText>
      </w:r>
      <w:r w:rsidR="00E974B2">
        <w:rPr>
          <w:lang w:val="en-US" w:eastAsia="ru-RU"/>
        </w:rPr>
        <w:instrText>for</w:instrText>
      </w:r>
      <w:r w:rsidR="00E974B2" w:rsidRPr="006447F6">
        <w:rPr>
          <w:lang w:eastAsia="ru-RU"/>
        </w:rPr>
        <w:instrText xml:space="preserve"> </w:instrText>
      </w:r>
      <w:r w:rsidR="00E974B2">
        <w:rPr>
          <w:lang w:val="en-US" w:eastAsia="ru-RU"/>
        </w:rPr>
        <w:instrText>patients</w:instrText>
      </w:r>
      <w:r w:rsidR="00E974B2" w:rsidRPr="006447F6">
        <w:rPr>
          <w:lang w:eastAsia="ru-RU"/>
        </w:rPr>
        <w:instrText xml:space="preserve"> </w:instrText>
      </w:r>
      <w:r w:rsidR="00E974B2">
        <w:rPr>
          <w:lang w:val="en-US" w:eastAsia="ru-RU"/>
        </w:rPr>
        <w:instrText>as</w:instrText>
      </w:r>
      <w:r w:rsidR="00E974B2" w:rsidRPr="006447F6">
        <w:rPr>
          <w:lang w:eastAsia="ru-RU"/>
        </w:rPr>
        <w:instrText xml:space="preserve"> </w:instrText>
      </w:r>
      <w:r w:rsidR="00E974B2">
        <w:rPr>
          <w:lang w:val="en-US" w:eastAsia="ru-RU"/>
        </w:rPr>
        <w:instrText>well</w:instrText>
      </w:r>
      <w:r w:rsidR="00E974B2" w:rsidRPr="006447F6">
        <w:rPr>
          <w:lang w:eastAsia="ru-RU"/>
        </w:rPr>
        <w:instrText xml:space="preserve"> </w:instrText>
      </w:r>
      <w:r w:rsidR="00E974B2">
        <w:rPr>
          <w:lang w:val="en-US" w:eastAsia="ru-RU"/>
        </w:rPr>
        <w:instrText>as</w:instrText>
      </w:r>
      <w:r w:rsidR="00E974B2" w:rsidRPr="006447F6">
        <w:rPr>
          <w:lang w:eastAsia="ru-RU"/>
        </w:rPr>
        <w:instrText xml:space="preserve"> </w:instrText>
      </w:r>
      <w:r w:rsidR="00E974B2">
        <w:rPr>
          <w:lang w:val="en-US" w:eastAsia="ru-RU"/>
        </w:rPr>
        <w:instrText>improved</w:instrText>
      </w:r>
      <w:r w:rsidR="00E974B2" w:rsidRPr="006447F6">
        <w:rPr>
          <w:lang w:eastAsia="ru-RU"/>
        </w:rPr>
        <w:instrText xml:space="preserve"> </w:instrText>
      </w:r>
      <w:r w:rsidR="00E974B2">
        <w:rPr>
          <w:lang w:val="en-US" w:eastAsia="ru-RU"/>
        </w:rPr>
        <w:instrText>resource</w:instrText>
      </w:r>
      <w:r w:rsidR="00E974B2" w:rsidRPr="006447F6">
        <w:rPr>
          <w:lang w:eastAsia="ru-RU"/>
        </w:rPr>
        <w:instrText xml:space="preserve"> </w:instrText>
      </w:r>
      <w:r w:rsidR="00E974B2">
        <w:rPr>
          <w:lang w:val="en-US" w:eastAsia="ru-RU"/>
        </w:rPr>
        <w:instrText>utilization</w:instrText>
      </w:r>
      <w:r w:rsidR="00E974B2" w:rsidRPr="006447F6">
        <w:rPr>
          <w:lang w:eastAsia="ru-RU"/>
        </w:rPr>
        <w:instrText xml:space="preserve"> (</w:instrText>
      </w:r>
      <w:r w:rsidR="00E974B2">
        <w:rPr>
          <w:lang w:val="en-US" w:eastAsia="ru-RU"/>
        </w:rPr>
        <w:instrText>efficiency</w:instrText>
      </w:r>
      <w:r w:rsidR="00E974B2" w:rsidRPr="006447F6">
        <w:rPr>
          <w:lang w:eastAsia="ru-RU"/>
        </w:rPr>
        <w:instrText xml:space="preserve">) </w:instrText>
      </w:r>
      <w:r w:rsidR="00E974B2">
        <w:rPr>
          <w:lang w:val="en-US" w:eastAsia="ru-RU"/>
        </w:rPr>
        <w:instrText>at</w:instrText>
      </w:r>
      <w:r w:rsidR="00E974B2" w:rsidRPr="006447F6">
        <w:rPr>
          <w:lang w:eastAsia="ru-RU"/>
        </w:rPr>
        <w:instrText xml:space="preserve"> </w:instrText>
      </w:r>
      <w:r w:rsidR="00E974B2">
        <w:rPr>
          <w:lang w:val="en-US" w:eastAsia="ru-RU"/>
        </w:rPr>
        <w:instrText>the</w:instrText>
      </w:r>
      <w:r w:rsidR="00E974B2" w:rsidRPr="006447F6">
        <w:rPr>
          <w:lang w:eastAsia="ru-RU"/>
        </w:rPr>
        <w:instrText xml:space="preserve"> </w:instrText>
      </w:r>
      <w:r w:rsidR="00E974B2">
        <w:rPr>
          <w:lang w:val="en-US" w:eastAsia="ru-RU"/>
        </w:rPr>
        <w:instrText>treatment</w:instrText>
      </w:r>
      <w:r w:rsidR="00E974B2" w:rsidRPr="006447F6">
        <w:rPr>
          <w:lang w:eastAsia="ru-RU"/>
        </w:rPr>
        <w:instrText xml:space="preserve"> </w:instrText>
      </w:r>
      <w:r w:rsidR="00E974B2">
        <w:rPr>
          <w:lang w:val="en-US" w:eastAsia="ru-RU"/>
        </w:rPr>
        <w:instrText>facility</w:instrText>
      </w:r>
      <w:r w:rsidR="00E974B2" w:rsidRPr="006447F6">
        <w:rPr>
          <w:lang w:eastAsia="ru-RU"/>
        </w:rPr>
        <w:instrText xml:space="preserve">. </w:instrText>
      </w:r>
      <w:r w:rsidR="00E974B2">
        <w:rPr>
          <w:lang w:val="en-US" w:eastAsia="ru-RU"/>
        </w:rPr>
        <w:instrText>The</w:instrText>
      </w:r>
      <w:r w:rsidR="00E974B2" w:rsidRPr="006447F6">
        <w:rPr>
          <w:lang w:eastAsia="ru-RU"/>
        </w:rPr>
        <w:instrText xml:space="preserve"> </w:instrText>
      </w:r>
      <w:r w:rsidR="00E974B2">
        <w:rPr>
          <w:lang w:val="en-US" w:eastAsia="ru-RU"/>
        </w:rPr>
        <w:instrText>improved</w:instrText>
      </w:r>
      <w:r w:rsidR="00E974B2" w:rsidRPr="006447F6">
        <w:rPr>
          <w:lang w:eastAsia="ru-RU"/>
        </w:rPr>
        <w:instrText xml:space="preserve"> </w:instrText>
      </w:r>
      <w:r w:rsidR="00E974B2">
        <w:rPr>
          <w:lang w:val="en-US" w:eastAsia="ru-RU"/>
        </w:rPr>
        <w:instrText>efficiency</w:instrText>
      </w:r>
      <w:r w:rsidR="00E974B2" w:rsidRPr="006447F6">
        <w:rPr>
          <w:lang w:eastAsia="ru-RU"/>
        </w:rPr>
        <w:instrText xml:space="preserve"> </w:instrText>
      </w:r>
      <w:r w:rsidR="00E974B2">
        <w:rPr>
          <w:lang w:val="en-US" w:eastAsia="ru-RU"/>
        </w:rPr>
        <w:instrText>of</w:instrText>
      </w:r>
      <w:r w:rsidR="00E974B2" w:rsidRPr="006447F6">
        <w:rPr>
          <w:lang w:eastAsia="ru-RU"/>
        </w:rPr>
        <w:instrText xml:space="preserve"> </w:instrText>
      </w:r>
      <w:r w:rsidR="00E974B2">
        <w:rPr>
          <w:lang w:val="en-US" w:eastAsia="ru-RU"/>
        </w:rPr>
        <w:instrText>delivering</w:instrText>
      </w:r>
      <w:r w:rsidR="00E974B2" w:rsidRPr="006447F6">
        <w:rPr>
          <w:lang w:eastAsia="ru-RU"/>
        </w:rPr>
        <w:instrText xml:space="preserve"> </w:instrText>
      </w:r>
      <w:r w:rsidR="00E974B2">
        <w:rPr>
          <w:lang w:val="en-US" w:eastAsia="ru-RU"/>
        </w:rPr>
        <w:instrText>rituximab</w:instrText>
      </w:r>
      <w:r w:rsidR="00E974B2" w:rsidRPr="006447F6">
        <w:rPr>
          <w:lang w:eastAsia="ru-RU"/>
        </w:rPr>
        <w:instrText>’</w:instrText>
      </w:r>
      <w:r w:rsidR="00E974B2">
        <w:rPr>
          <w:lang w:val="en-US" w:eastAsia="ru-RU"/>
        </w:rPr>
        <w:instrText>s</w:instrText>
      </w:r>
      <w:r w:rsidR="00E974B2" w:rsidRPr="006447F6">
        <w:rPr>
          <w:lang w:eastAsia="ru-RU"/>
        </w:rPr>
        <w:instrText xml:space="preserve"> </w:instrText>
      </w:r>
      <w:r w:rsidR="00E974B2">
        <w:rPr>
          <w:lang w:val="en-US" w:eastAsia="ru-RU"/>
        </w:rPr>
        <w:instrText>benefit</w:instrText>
      </w:r>
      <w:r w:rsidR="00E974B2" w:rsidRPr="006447F6">
        <w:rPr>
          <w:lang w:eastAsia="ru-RU"/>
        </w:rPr>
        <w:instrText xml:space="preserve"> </w:instrText>
      </w:r>
      <w:r w:rsidR="00E974B2">
        <w:rPr>
          <w:lang w:val="en-US" w:eastAsia="ru-RU"/>
        </w:rPr>
        <w:instrText>to</w:instrText>
      </w:r>
      <w:r w:rsidR="00E974B2" w:rsidRPr="006447F6">
        <w:rPr>
          <w:lang w:eastAsia="ru-RU"/>
        </w:rPr>
        <w:instrText xml:space="preserve"> </w:instrText>
      </w:r>
      <w:r w:rsidR="00E974B2">
        <w:rPr>
          <w:lang w:val="en-US" w:eastAsia="ru-RU"/>
        </w:rPr>
        <w:instrText>patients</w:instrText>
      </w:r>
      <w:r w:rsidR="00E974B2" w:rsidRPr="006447F6">
        <w:rPr>
          <w:lang w:eastAsia="ru-RU"/>
        </w:rPr>
        <w:instrText xml:space="preserve"> </w:instrText>
      </w:r>
      <w:r w:rsidR="00E974B2">
        <w:rPr>
          <w:lang w:val="en-US" w:eastAsia="ru-RU"/>
        </w:rPr>
        <w:instrText>may</w:instrText>
      </w:r>
      <w:r w:rsidR="00E974B2" w:rsidRPr="006447F6">
        <w:rPr>
          <w:lang w:eastAsia="ru-RU"/>
        </w:rPr>
        <w:instrText xml:space="preserve"> </w:instrText>
      </w:r>
      <w:r w:rsidR="00E974B2">
        <w:rPr>
          <w:lang w:val="en-US" w:eastAsia="ru-RU"/>
        </w:rPr>
        <w:instrText>broaden</w:instrText>
      </w:r>
      <w:r w:rsidR="00E974B2" w:rsidRPr="006447F6">
        <w:rPr>
          <w:lang w:eastAsia="ru-RU"/>
        </w:rPr>
        <w:instrText xml:space="preserve"> </w:instrText>
      </w:r>
      <w:r w:rsidR="00E974B2">
        <w:rPr>
          <w:lang w:val="en-US" w:eastAsia="ru-RU"/>
        </w:rPr>
        <w:instrText>patient</w:instrText>
      </w:r>
      <w:r w:rsidR="00E974B2" w:rsidRPr="006447F6">
        <w:rPr>
          <w:lang w:eastAsia="ru-RU"/>
        </w:rPr>
        <w:instrText xml:space="preserve"> </w:instrText>
      </w:r>
      <w:r w:rsidR="00E974B2">
        <w:rPr>
          <w:lang w:val="en-US" w:eastAsia="ru-RU"/>
        </w:rPr>
        <w:instrText>access</w:instrText>
      </w:r>
      <w:r w:rsidR="00E974B2" w:rsidRPr="006447F6">
        <w:rPr>
          <w:lang w:eastAsia="ru-RU"/>
        </w:rPr>
        <w:instrText xml:space="preserve"> </w:instrText>
      </w:r>
      <w:r w:rsidR="00E974B2">
        <w:rPr>
          <w:lang w:val="en-US" w:eastAsia="ru-RU"/>
        </w:rPr>
        <w:instrText>to</w:instrText>
      </w:r>
      <w:r w:rsidR="00E974B2" w:rsidRPr="006447F6">
        <w:rPr>
          <w:lang w:eastAsia="ru-RU"/>
        </w:rPr>
        <w:instrText xml:space="preserve"> </w:instrText>
      </w:r>
      <w:r w:rsidR="00E974B2">
        <w:rPr>
          <w:lang w:val="en-US" w:eastAsia="ru-RU"/>
        </w:rPr>
        <w:instrText>rituximab</w:instrText>
      </w:r>
      <w:r w:rsidR="00E974B2" w:rsidRPr="006447F6">
        <w:rPr>
          <w:lang w:eastAsia="ru-RU"/>
        </w:rPr>
        <w:instrText xml:space="preserve"> </w:instrText>
      </w:r>
      <w:r w:rsidR="00E974B2">
        <w:rPr>
          <w:lang w:val="en-US" w:eastAsia="ru-RU"/>
        </w:rPr>
        <w:instrText>therapy</w:instrText>
      </w:r>
      <w:r w:rsidR="00E974B2" w:rsidRPr="006447F6">
        <w:rPr>
          <w:lang w:eastAsia="ru-RU"/>
        </w:rPr>
        <w:instrText xml:space="preserve"> </w:instrText>
      </w:r>
      <w:r w:rsidR="00E974B2">
        <w:rPr>
          <w:lang w:val="en-US" w:eastAsia="ru-RU"/>
        </w:rPr>
        <w:instrText>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w:instrText>
      </w:r>
      <w:r w:rsidR="00E974B2" w:rsidRPr="006C476A">
        <w:rPr>
          <w:lang w:eastAsia="ru-RU"/>
        </w:rPr>
        <w:instrText xml:space="preserve">, </w:instrText>
      </w:r>
      <w:r w:rsidR="00E974B2">
        <w:rPr>
          <w:lang w:val="en-US" w:eastAsia="ru-RU"/>
        </w:rPr>
        <w:instrText>correct</w:instrText>
      </w:r>
      <w:r w:rsidR="00E974B2" w:rsidRPr="006C476A">
        <w:rPr>
          <w:lang w:eastAsia="ru-RU"/>
        </w:rPr>
        <w:instrText xml:space="preserve"> </w:instrText>
      </w:r>
      <w:r w:rsidR="00E974B2">
        <w:rPr>
          <w:lang w:val="en-US" w:eastAsia="ru-RU"/>
        </w:rPr>
        <w:instrText>administration</w:instrText>
      </w:r>
      <w:r w:rsidR="00E974B2" w:rsidRPr="006C476A">
        <w:rPr>
          <w:lang w:eastAsia="ru-RU"/>
        </w:rPr>
        <w:instrText xml:space="preserve"> </w:instrText>
      </w:r>
      <w:r w:rsidR="00E974B2">
        <w:rPr>
          <w:lang w:val="en-US" w:eastAsia="ru-RU"/>
        </w:rPr>
        <w:instrText>is</w:instrText>
      </w:r>
      <w:r w:rsidR="00E974B2" w:rsidRPr="006C476A">
        <w:rPr>
          <w:lang w:eastAsia="ru-RU"/>
        </w:rPr>
        <w:instrText xml:space="preserve"> </w:instrText>
      </w:r>
      <w:r w:rsidR="00E974B2">
        <w:rPr>
          <w:lang w:val="en-US" w:eastAsia="ru-RU"/>
        </w:rPr>
        <w:instrText>needed</w:instrText>
      </w:r>
      <w:r w:rsidR="00E974B2" w:rsidRPr="006C476A">
        <w:rPr>
          <w:lang w:eastAsia="ru-RU"/>
        </w:rPr>
        <w:instrText xml:space="preserve"> </w:instrText>
      </w:r>
      <w:r w:rsidR="00E974B2">
        <w:rPr>
          <w:lang w:val="en-US" w:eastAsia="ru-RU"/>
        </w:rPr>
        <w:instrText>to</w:instrText>
      </w:r>
      <w:r w:rsidR="00E974B2" w:rsidRPr="006C476A">
        <w:rPr>
          <w:lang w:eastAsia="ru-RU"/>
        </w:rPr>
        <w:instrText xml:space="preserve"> </w:instrText>
      </w:r>
      <w:r w:rsidR="00E974B2">
        <w:rPr>
          <w:lang w:val="en-US" w:eastAsia="ru-RU"/>
        </w:rPr>
        <w:instrText>reduce</w:instrText>
      </w:r>
      <w:r w:rsidR="00E974B2" w:rsidRPr="006C476A">
        <w:rPr>
          <w:lang w:eastAsia="ru-RU"/>
        </w:rPr>
        <w:instrText xml:space="preserve"> </w:instrText>
      </w:r>
      <w:r w:rsidR="00E974B2">
        <w:rPr>
          <w:lang w:val="en-US" w:eastAsia="ru-RU"/>
        </w:rPr>
        <w:instrText>administration</w:instrText>
      </w:r>
      <w:r w:rsidR="00E974B2" w:rsidRPr="006C476A">
        <w:rPr>
          <w:lang w:eastAsia="ru-RU"/>
        </w:rPr>
        <w:instrText>-</w:instrText>
      </w:r>
      <w:r w:rsidR="00E974B2">
        <w:rPr>
          <w:lang w:val="en-US" w:eastAsia="ru-RU"/>
        </w:rPr>
        <w:instrText>related</w:instrText>
      </w:r>
      <w:r w:rsidR="00E974B2" w:rsidRPr="006C476A">
        <w:rPr>
          <w:lang w:eastAsia="ru-RU"/>
        </w:rPr>
        <w:instrText xml:space="preserve"> </w:instrText>
      </w:r>
      <w:r w:rsidR="00E974B2">
        <w:rPr>
          <w:lang w:val="en-US" w:eastAsia="ru-RU"/>
        </w:rPr>
        <w:instrText>reactions</w:instrText>
      </w:r>
      <w:r w:rsidR="00E974B2" w:rsidRPr="006C476A">
        <w:rPr>
          <w:lang w:eastAsia="ru-RU"/>
        </w:rPr>
        <w:instrText xml:space="preserve">. </w:instrText>
      </w:r>
      <w:r w:rsidR="00E974B2">
        <w:rPr>
          <w:lang w:val="en-US" w:eastAsia="ru-RU"/>
        </w:rPr>
        <w:instrText>By</w:instrText>
      </w:r>
      <w:r w:rsidR="00E974B2" w:rsidRPr="006C476A">
        <w:rPr>
          <w:lang w:eastAsia="ru-RU"/>
        </w:rPr>
        <w:instrText xml:space="preserve"> </w:instrText>
      </w:r>
      <w:r w:rsidR="00E974B2">
        <w:rPr>
          <w:lang w:val="en-US" w:eastAsia="ru-RU"/>
        </w:rPr>
        <w:instrText>using</w:instrText>
      </w:r>
      <w:r w:rsidR="00E974B2" w:rsidRPr="006C476A">
        <w:rPr>
          <w:lang w:eastAsia="ru-RU"/>
        </w:rPr>
        <w:instrText xml:space="preserve"> </w:instrText>
      </w:r>
      <w:r w:rsidR="00E974B2">
        <w:rPr>
          <w:lang w:val="en-US" w:eastAsia="ru-RU"/>
        </w:rPr>
        <w:instrText>a</w:instrText>
      </w:r>
      <w:r w:rsidR="00E974B2" w:rsidRPr="006C476A">
        <w:rPr>
          <w:lang w:eastAsia="ru-RU"/>
        </w:rPr>
        <w:instrText xml:space="preserve"> </w:instrText>
      </w:r>
      <w:r w:rsidR="00E974B2">
        <w:rPr>
          <w:lang w:val="en-US" w:eastAsia="ru-RU"/>
        </w:rPr>
        <w:instrText>careful</w:instrText>
      </w:r>
      <w:r w:rsidR="00E974B2" w:rsidRPr="006C476A">
        <w:rPr>
          <w:lang w:eastAsia="ru-RU"/>
        </w:rPr>
        <w:instrText xml:space="preserve"> </w:instrText>
      </w:r>
      <w:r w:rsidR="00E974B2">
        <w:rPr>
          <w:lang w:val="en-US" w:eastAsia="ru-RU"/>
        </w:rPr>
        <w:instrText>procedure</w:instrText>
      </w:r>
      <w:r w:rsidR="00E974B2" w:rsidRPr="006C476A">
        <w:rPr>
          <w:lang w:eastAsia="ru-RU"/>
        </w:rPr>
        <w:instrText xml:space="preserve">, </w:instrText>
      </w:r>
      <w:r w:rsidR="00E974B2">
        <w:rPr>
          <w:lang w:val="en-US" w:eastAsia="ru-RU"/>
        </w:rPr>
        <w:instrText>the</w:instrText>
      </w:r>
      <w:r w:rsidR="00E974B2" w:rsidRPr="006C476A">
        <w:rPr>
          <w:lang w:eastAsia="ru-RU"/>
        </w:rPr>
        <w:instrText xml:space="preserve"> </w:instrText>
      </w:r>
      <w:r w:rsidR="00E974B2">
        <w:rPr>
          <w:lang w:val="en-US" w:eastAsia="ru-RU"/>
        </w:rPr>
        <w:instrText>sc</w:instrText>
      </w:r>
      <w:r w:rsidR="00E974B2" w:rsidRPr="006C476A">
        <w:rPr>
          <w:lang w:eastAsia="ru-RU"/>
        </w:rPr>
        <w:instrText xml:space="preserve"> </w:instrText>
      </w:r>
      <w:r w:rsidR="00E974B2">
        <w:rPr>
          <w:lang w:val="en-US" w:eastAsia="ru-RU"/>
        </w:rPr>
        <w:instrText>formulation</w:instrText>
      </w:r>
      <w:r w:rsidR="00E974B2" w:rsidRPr="006C476A">
        <w:rPr>
          <w:lang w:eastAsia="ru-RU"/>
        </w:rPr>
        <w:instrText xml:space="preserve"> </w:instrText>
      </w:r>
      <w:r w:rsidR="00E974B2">
        <w:rPr>
          <w:lang w:val="en-US" w:eastAsia="ru-RU"/>
        </w:rPr>
        <w:instrText>can</w:instrText>
      </w:r>
      <w:r w:rsidR="00E974B2" w:rsidRPr="006C476A">
        <w:rPr>
          <w:lang w:eastAsia="ru-RU"/>
        </w:rPr>
        <w:instrText xml:space="preserve"> </w:instrText>
      </w:r>
      <w:r w:rsidR="00E974B2">
        <w:rPr>
          <w:lang w:val="en-US" w:eastAsia="ru-RU"/>
        </w:rPr>
        <w:instrText>be</w:instrText>
      </w:r>
      <w:r w:rsidR="00E974B2" w:rsidRPr="006C476A">
        <w:rPr>
          <w:lang w:eastAsia="ru-RU"/>
        </w:rPr>
        <w:instrText xml:space="preserve"> </w:instrText>
      </w:r>
      <w:r w:rsidR="00E974B2">
        <w:rPr>
          <w:lang w:val="en-US" w:eastAsia="ru-RU"/>
        </w:rPr>
        <w:instrText>given</w:instrText>
      </w:r>
      <w:r w:rsidR="00E974B2" w:rsidRPr="006C476A">
        <w:rPr>
          <w:lang w:eastAsia="ru-RU"/>
        </w:rPr>
        <w:instrText xml:space="preserve"> </w:instrText>
      </w:r>
      <w:r w:rsidR="00E974B2">
        <w:rPr>
          <w:lang w:val="en-US" w:eastAsia="ru-RU"/>
        </w:rPr>
        <w:instrText>safely</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effectively</w:instrText>
      </w:r>
      <w:r w:rsidR="00E974B2" w:rsidRPr="006C476A">
        <w:rPr>
          <w:lang w:eastAsia="ru-RU"/>
        </w:rPr>
        <w:instrText xml:space="preserve">, </w:instrText>
      </w:r>
      <w:r w:rsidR="00E974B2">
        <w:rPr>
          <w:lang w:val="en-US" w:eastAsia="ru-RU"/>
        </w:rPr>
        <w:instrText>potentially</w:instrText>
      </w:r>
      <w:r w:rsidR="00E974B2" w:rsidRPr="006C476A">
        <w:rPr>
          <w:lang w:eastAsia="ru-RU"/>
        </w:rPr>
        <w:instrText xml:space="preserve"> </w:instrText>
      </w:r>
      <w:r w:rsidR="00E974B2">
        <w:rPr>
          <w:lang w:val="en-US" w:eastAsia="ru-RU"/>
        </w:rPr>
        <w:instrText>reducing</w:instrText>
      </w:r>
      <w:r w:rsidR="00E974B2" w:rsidRPr="006C476A">
        <w:rPr>
          <w:lang w:eastAsia="ru-RU"/>
        </w:rPr>
        <w:instrText xml:space="preserve"> </w:instrText>
      </w:r>
      <w:r w:rsidR="00E974B2">
        <w:rPr>
          <w:lang w:val="en-US" w:eastAsia="ru-RU"/>
        </w:rPr>
        <w:instrText>the</w:instrText>
      </w:r>
      <w:r w:rsidR="00E974B2" w:rsidRPr="006C476A">
        <w:rPr>
          <w:lang w:eastAsia="ru-RU"/>
        </w:rPr>
        <w:instrText xml:space="preserve"> </w:instrText>
      </w:r>
      <w:r w:rsidR="00E974B2">
        <w:rPr>
          <w:lang w:val="en-US" w:eastAsia="ru-RU"/>
        </w:rPr>
        <w:instrText>burden</w:instrText>
      </w:r>
      <w:r w:rsidR="00E974B2" w:rsidRPr="006C476A">
        <w:rPr>
          <w:lang w:eastAsia="ru-RU"/>
        </w:rPr>
        <w:instrText xml:space="preserve"> </w:instrText>
      </w:r>
      <w:r w:rsidR="00E974B2">
        <w:rPr>
          <w:lang w:val="en-US" w:eastAsia="ru-RU"/>
        </w:rPr>
        <w:instrText>on</w:instrText>
      </w:r>
      <w:r w:rsidR="00E974B2" w:rsidRPr="006C476A">
        <w:rPr>
          <w:lang w:eastAsia="ru-RU"/>
        </w:rPr>
        <w:instrText xml:space="preserve"> </w:instrText>
      </w:r>
      <w:r w:rsidR="00E974B2">
        <w:rPr>
          <w:lang w:val="en-US" w:eastAsia="ru-RU"/>
        </w:rPr>
        <w:instrText>health</w:instrText>
      </w:r>
      <w:r w:rsidR="00E974B2" w:rsidRPr="006C476A">
        <w:rPr>
          <w:lang w:eastAsia="ru-RU"/>
        </w:rPr>
        <w:instrText xml:space="preserve"> </w:instrText>
      </w:r>
      <w:r w:rsidR="00E974B2">
        <w:rPr>
          <w:lang w:val="en-US" w:eastAsia="ru-RU"/>
        </w:rPr>
        <w:instrText>care</w:instrText>
      </w:r>
      <w:r w:rsidR="00E974B2" w:rsidRPr="006C476A">
        <w:rPr>
          <w:lang w:eastAsia="ru-RU"/>
        </w:rPr>
        <w:instrText xml:space="preserve"> </w:instrText>
      </w:r>
      <w:r w:rsidR="00E974B2">
        <w:rPr>
          <w:lang w:val="en-US" w:eastAsia="ru-RU"/>
        </w:rPr>
        <w:instrText>resources</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improving</w:instrText>
      </w:r>
      <w:r w:rsidR="00E974B2" w:rsidRPr="006C476A">
        <w:rPr>
          <w:lang w:eastAsia="ru-RU"/>
        </w:rPr>
        <w:instrText xml:space="preserve"> </w:instrText>
      </w:r>
      <w:r w:rsidR="00E974B2">
        <w:rPr>
          <w:lang w:val="en-US" w:eastAsia="ru-RU"/>
        </w:rPr>
        <w:instrText>quality</w:instrText>
      </w:r>
      <w:r w:rsidR="00E974B2" w:rsidRPr="006C476A">
        <w:rPr>
          <w:lang w:eastAsia="ru-RU"/>
        </w:rPr>
        <w:instrText xml:space="preserve"> </w:instrText>
      </w:r>
      <w:r w:rsidR="00E974B2">
        <w:rPr>
          <w:lang w:val="en-US" w:eastAsia="ru-RU"/>
        </w:rPr>
        <w:instrText>of</w:instrText>
      </w:r>
      <w:r w:rsidR="00E974B2" w:rsidRPr="006C476A">
        <w:rPr>
          <w:lang w:eastAsia="ru-RU"/>
        </w:rPr>
        <w:instrText xml:space="preserve"> </w:instrText>
      </w:r>
      <w:r w:rsidR="00E974B2">
        <w:rPr>
          <w:lang w:val="en-US" w:eastAsia="ru-RU"/>
        </w:rPr>
        <w:instrText>life</w:instrText>
      </w:r>
      <w:r w:rsidR="00E974B2" w:rsidRPr="006C476A">
        <w:rPr>
          <w:lang w:eastAsia="ru-RU"/>
        </w:rPr>
        <w:instrText xml:space="preserve"> </w:instrText>
      </w:r>
      <w:r w:rsidR="00E974B2">
        <w:rPr>
          <w:lang w:val="en-US" w:eastAsia="ru-RU"/>
        </w:rPr>
        <w:instrText>for</w:instrText>
      </w:r>
      <w:r w:rsidR="00E974B2" w:rsidRPr="006C476A">
        <w:rPr>
          <w:lang w:eastAsia="ru-RU"/>
        </w:rPr>
        <w:instrText xml:space="preserve"> </w:instrText>
      </w:r>
      <w:r w:rsidR="00E974B2">
        <w:rPr>
          <w:lang w:val="en-US" w:eastAsia="ru-RU"/>
        </w:rPr>
        <w:instrText>patients</w:instrText>
      </w:r>
      <w:r w:rsidR="00E974B2" w:rsidRPr="006C476A">
        <w:rPr>
          <w:lang w:eastAsia="ru-RU"/>
        </w:rPr>
        <w:instrText>.","</w:instrText>
      </w:r>
      <w:r w:rsidR="00E974B2">
        <w:rPr>
          <w:lang w:val="en-US" w:eastAsia="ru-RU"/>
        </w:rPr>
        <w:instrText>author</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family</w:instrText>
      </w:r>
      <w:r w:rsidR="00E974B2" w:rsidRPr="006C476A">
        <w:rPr>
          <w:lang w:eastAsia="ru-RU"/>
        </w:rPr>
        <w:instrText>":"</w:instrText>
      </w:r>
      <w:r w:rsidR="00E974B2">
        <w:rPr>
          <w:lang w:val="en-US" w:eastAsia="ru-RU"/>
        </w:rPr>
        <w:instrText>Macdonald</w:instrText>
      </w:r>
      <w:r w:rsidR="00E974B2" w:rsidRPr="006C476A">
        <w:rPr>
          <w:lang w:eastAsia="ru-RU"/>
        </w:rPr>
        <w:instrText>","</w:instrText>
      </w:r>
      <w:r w:rsidR="00E974B2">
        <w:rPr>
          <w:lang w:val="en-US" w:eastAsia="ru-RU"/>
        </w:rPr>
        <w:instrText>given</w:instrText>
      </w:r>
      <w:r w:rsidR="00E974B2" w:rsidRPr="006C476A">
        <w:rPr>
          <w:lang w:eastAsia="ru-RU"/>
        </w:rPr>
        <w:instrText>":"</w:instrText>
      </w:r>
      <w:r w:rsidR="00E974B2">
        <w:rPr>
          <w:lang w:val="en-US" w:eastAsia="ru-RU"/>
        </w:rPr>
        <w:instrText>David</w:instrText>
      </w:r>
      <w:r w:rsidR="00E974B2" w:rsidRPr="006C476A">
        <w:rPr>
          <w:lang w:eastAsia="ru-RU"/>
        </w:rPr>
        <w:instrText>","</w:instrText>
      </w:r>
      <w:r w:rsidR="00E974B2">
        <w:rPr>
          <w:lang w:val="en-US" w:eastAsia="ru-RU"/>
        </w:rPr>
        <w:instrText>non</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parse</w:instrText>
      </w:r>
      <w:r w:rsidR="00E974B2" w:rsidRPr="006C476A">
        <w:rPr>
          <w:lang w:eastAsia="ru-RU"/>
        </w:rPr>
        <w:instrText>-</w:instrText>
      </w:r>
      <w:r w:rsidR="00E974B2">
        <w:rPr>
          <w:lang w:val="en-US" w:eastAsia="ru-RU"/>
        </w:rPr>
        <w:instrText>names</w:instrText>
      </w:r>
      <w:r w:rsidR="00E974B2" w:rsidRPr="006C476A">
        <w:rPr>
          <w:lang w:eastAsia="ru-RU"/>
        </w:rPr>
        <w:instrText>":</w:instrText>
      </w:r>
      <w:r w:rsidR="00E974B2">
        <w:rPr>
          <w:lang w:val="en-US" w:eastAsia="ru-RU"/>
        </w:rPr>
        <w:instrText>false</w:instrText>
      </w:r>
      <w:r w:rsidR="00E974B2" w:rsidRPr="006C476A">
        <w:rPr>
          <w:lang w:eastAsia="ru-RU"/>
        </w:rPr>
        <w:instrText>,"</w:instrText>
      </w:r>
      <w:r w:rsidR="00E974B2">
        <w:rPr>
          <w:lang w:val="en-US" w:eastAsia="ru-RU"/>
        </w:rPr>
        <w:instrText>suffix</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family</w:instrText>
      </w:r>
      <w:r w:rsidR="00E974B2" w:rsidRPr="006C476A">
        <w:rPr>
          <w:lang w:eastAsia="ru-RU"/>
        </w:rPr>
        <w:instrText>":"</w:instrText>
      </w:r>
      <w:r w:rsidR="00E974B2">
        <w:rPr>
          <w:lang w:val="en-US" w:eastAsia="ru-RU"/>
        </w:rPr>
        <w:instrText>Crosbie</w:instrText>
      </w:r>
      <w:r w:rsidR="00E974B2" w:rsidRPr="006C476A">
        <w:rPr>
          <w:lang w:eastAsia="ru-RU"/>
        </w:rPr>
        <w:instrText>","</w:instrText>
      </w:r>
      <w:r w:rsidR="00E974B2">
        <w:rPr>
          <w:lang w:val="en-US" w:eastAsia="ru-RU"/>
        </w:rPr>
        <w:instrText>given</w:instrText>
      </w:r>
      <w:r w:rsidR="00E974B2" w:rsidRPr="006C476A">
        <w:rPr>
          <w:lang w:eastAsia="ru-RU"/>
        </w:rPr>
        <w:instrText>":"</w:instrText>
      </w:r>
      <w:r w:rsidR="00E974B2">
        <w:rPr>
          <w:lang w:val="en-US" w:eastAsia="ru-RU"/>
        </w:rPr>
        <w:instrText>T</w:instrText>
      </w:r>
      <w:r w:rsidR="00E974B2" w:rsidRPr="006C476A">
        <w:rPr>
          <w:lang w:eastAsia="ru-RU"/>
        </w:rPr>
        <w:instrText>.","</w:instrText>
      </w:r>
      <w:r w:rsidR="00E974B2">
        <w:rPr>
          <w:lang w:val="en-US" w:eastAsia="ru-RU"/>
        </w:rPr>
        <w:instrText>non</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parse</w:instrText>
      </w:r>
      <w:r w:rsidR="00E974B2" w:rsidRPr="006C476A">
        <w:rPr>
          <w:lang w:eastAsia="ru-RU"/>
        </w:rPr>
        <w:instrText>-</w:instrText>
      </w:r>
      <w:r w:rsidR="00E974B2">
        <w:rPr>
          <w:lang w:val="en-US" w:eastAsia="ru-RU"/>
        </w:rPr>
        <w:instrText>names</w:instrText>
      </w:r>
      <w:r w:rsidR="00E974B2" w:rsidRPr="006C476A">
        <w:rPr>
          <w:lang w:eastAsia="ru-RU"/>
        </w:rPr>
        <w:instrText>":</w:instrText>
      </w:r>
      <w:r w:rsidR="00E974B2">
        <w:rPr>
          <w:lang w:val="en-US" w:eastAsia="ru-RU"/>
        </w:rPr>
        <w:instrText>false</w:instrText>
      </w:r>
      <w:r w:rsidR="00E974B2" w:rsidRPr="006C476A">
        <w:rPr>
          <w:lang w:eastAsia="ru-RU"/>
        </w:rPr>
        <w:instrText>,"</w:instrText>
      </w:r>
      <w:r w:rsidR="00E974B2">
        <w:rPr>
          <w:lang w:val="en-US" w:eastAsia="ru-RU"/>
        </w:rPr>
        <w:instrText>suffix</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family</w:instrText>
      </w:r>
      <w:r w:rsidR="00E974B2" w:rsidRPr="006C476A">
        <w:rPr>
          <w:lang w:eastAsia="ru-RU"/>
        </w:rPr>
        <w:instrText>":"</w:instrText>
      </w:r>
      <w:r w:rsidR="00E974B2">
        <w:rPr>
          <w:lang w:val="en-US" w:eastAsia="ru-RU"/>
        </w:rPr>
        <w:instrText>Christofides</w:instrText>
      </w:r>
      <w:r w:rsidR="00E974B2" w:rsidRPr="006C476A">
        <w:rPr>
          <w:lang w:eastAsia="ru-RU"/>
        </w:rPr>
        <w:instrText>","</w:instrText>
      </w:r>
      <w:r w:rsidR="00E974B2">
        <w:rPr>
          <w:lang w:val="en-US" w:eastAsia="ru-RU"/>
        </w:rPr>
        <w:instrText>given</w:instrText>
      </w:r>
      <w:r w:rsidR="00E974B2" w:rsidRPr="006C476A">
        <w:rPr>
          <w:lang w:eastAsia="ru-RU"/>
        </w:rPr>
        <w:instrText>":"</w:instrText>
      </w:r>
      <w:r w:rsidR="00E974B2">
        <w:rPr>
          <w:lang w:val="en-US" w:eastAsia="ru-RU"/>
        </w:rPr>
        <w:instrText>A</w:instrText>
      </w:r>
      <w:r w:rsidR="00E974B2" w:rsidRPr="006C476A">
        <w:rPr>
          <w:lang w:eastAsia="ru-RU"/>
        </w:rPr>
        <w:instrText>.","</w:instrText>
      </w:r>
      <w:r w:rsidR="00E974B2">
        <w:rPr>
          <w:lang w:val="en-US" w:eastAsia="ru-RU"/>
        </w:rPr>
        <w:instrText>non</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parse</w:instrText>
      </w:r>
      <w:r w:rsidR="00E974B2" w:rsidRPr="006C476A">
        <w:rPr>
          <w:lang w:eastAsia="ru-RU"/>
        </w:rPr>
        <w:instrText>-</w:instrText>
      </w:r>
      <w:r w:rsidR="00E974B2">
        <w:rPr>
          <w:lang w:val="en-US" w:eastAsia="ru-RU"/>
        </w:rPr>
        <w:instrText>names</w:instrText>
      </w:r>
      <w:r w:rsidR="00E974B2" w:rsidRPr="006C476A">
        <w:rPr>
          <w:lang w:eastAsia="ru-RU"/>
        </w:rPr>
        <w:instrText>":</w:instrText>
      </w:r>
      <w:r w:rsidR="00E974B2">
        <w:rPr>
          <w:lang w:val="en-US" w:eastAsia="ru-RU"/>
        </w:rPr>
        <w:instrText>false</w:instrText>
      </w:r>
      <w:r w:rsidR="00E974B2" w:rsidRPr="006C476A">
        <w:rPr>
          <w:lang w:eastAsia="ru-RU"/>
        </w:rPr>
        <w:instrText>,"</w:instrText>
      </w:r>
      <w:r w:rsidR="00E974B2">
        <w:rPr>
          <w:lang w:val="en-US" w:eastAsia="ru-RU"/>
        </w:rPr>
        <w:instrText>suffix</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family</w:instrText>
      </w:r>
      <w:r w:rsidR="00E974B2" w:rsidRPr="006C476A">
        <w:rPr>
          <w:lang w:eastAsia="ru-RU"/>
        </w:rPr>
        <w:instrText>":"</w:instrText>
      </w:r>
      <w:r w:rsidR="00E974B2">
        <w:rPr>
          <w:lang w:val="en-US" w:eastAsia="ru-RU"/>
        </w:rPr>
        <w:instrText>Assaily</w:instrText>
      </w:r>
      <w:r w:rsidR="00E974B2" w:rsidRPr="006C476A">
        <w:rPr>
          <w:lang w:eastAsia="ru-RU"/>
        </w:rPr>
        <w:instrText>","</w:instrText>
      </w:r>
      <w:r w:rsidR="00E974B2">
        <w:rPr>
          <w:lang w:val="en-US" w:eastAsia="ru-RU"/>
        </w:rPr>
        <w:instrText>given</w:instrText>
      </w:r>
      <w:r w:rsidR="00E974B2" w:rsidRPr="006C476A">
        <w:rPr>
          <w:lang w:eastAsia="ru-RU"/>
        </w:rPr>
        <w:instrText>":"</w:instrText>
      </w:r>
      <w:r w:rsidR="00E974B2">
        <w:rPr>
          <w:lang w:val="en-US" w:eastAsia="ru-RU"/>
        </w:rPr>
        <w:instrText>W</w:instrText>
      </w:r>
      <w:r w:rsidR="00E974B2" w:rsidRPr="006C476A">
        <w:rPr>
          <w:lang w:eastAsia="ru-RU"/>
        </w:rPr>
        <w:instrText>.","</w:instrText>
      </w:r>
      <w:r w:rsidR="00E974B2">
        <w:rPr>
          <w:lang w:val="en-US" w:eastAsia="ru-RU"/>
        </w:rPr>
        <w:instrText>non</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parse</w:instrText>
      </w:r>
      <w:r w:rsidR="00E974B2" w:rsidRPr="006C476A">
        <w:rPr>
          <w:lang w:eastAsia="ru-RU"/>
        </w:rPr>
        <w:instrText>-</w:instrText>
      </w:r>
      <w:r w:rsidR="00E974B2">
        <w:rPr>
          <w:lang w:val="en-US" w:eastAsia="ru-RU"/>
        </w:rPr>
        <w:instrText>names</w:instrText>
      </w:r>
      <w:r w:rsidR="00E974B2" w:rsidRPr="006C476A">
        <w:rPr>
          <w:lang w:eastAsia="ru-RU"/>
        </w:rPr>
        <w:instrText>":</w:instrText>
      </w:r>
      <w:r w:rsidR="00E974B2">
        <w:rPr>
          <w:lang w:val="en-US" w:eastAsia="ru-RU"/>
        </w:rPr>
        <w:instrText>false</w:instrText>
      </w:r>
      <w:r w:rsidR="00E974B2" w:rsidRPr="006C476A">
        <w:rPr>
          <w:lang w:eastAsia="ru-RU"/>
        </w:rPr>
        <w:instrText>,"</w:instrText>
      </w:r>
      <w:r w:rsidR="00E974B2">
        <w:rPr>
          <w:lang w:val="en-US" w:eastAsia="ru-RU"/>
        </w:rPr>
        <w:instrText>suffix</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family</w:instrText>
      </w:r>
      <w:r w:rsidR="00E974B2" w:rsidRPr="006C476A">
        <w:rPr>
          <w:lang w:eastAsia="ru-RU"/>
        </w:rPr>
        <w:instrText>":"</w:instrText>
      </w:r>
      <w:r w:rsidR="00E974B2">
        <w:rPr>
          <w:lang w:val="en-US" w:eastAsia="ru-RU"/>
        </w:rPr>
        <w:instrText>Wiernikowski</w:instrText>
      </w:r>
      <w:r w:rsidR="00E974B2" w:rsidRPr="006C476A">
        <w:rPr>
          <w:lang w:eastAsia="ru-RU"/>
        </w:rPr>
        <w:instrText>","</w:instrText>
      </w:r>
      <w:r w:rsidR="00E974B2">
        <w:rPr>
          <w:lang w:val="en-US" w:eastAsia="ru-RU"/>
        </w:rPr>
        <w:instrText>given</w:instrText>
      </w:r>
      <w:r w:rsidR="00E974B2" w:rsidRPr="006C476A">
        <w:rPr>
          <w:lang w:eastAsia="ru-RU"/>
        </w:rPr>
        <w:instrText>":"</w:instrText>
      </w:r>
      <w:r w:rsidR="00E974B2">
        <w:rPr>
          <w:lang w:val="en-US" w:eastAsia="ru-RU"/>
        </w:rPr>
        <w:instrText>J</w:instrText>
      </w:r>
      <w:r w:rsidR="00E974B2" w:rsidRPr="006C476A">
        <w:rPr>
          <w:lang w:eastAsia="ru-RU"/>
        </w:rPr>
        <w:instrText>.","</w:instrText>
      </w:r>
      <w:r w:rsidR="00E974B2">
        <w:rPr>
          <w:lang w:val="en-US" w:eastAsia="ru-RU"/>
        </w:rPr>
        <w:instrText>non</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parse</w:instrText>
      </w:r>
      <w:r w:rsidR="00E974B2" w:rsidRPr="006C476A">
        <w:rPr>
          <w:lang w:eastAsia="ru-RU"/>
        </w:rPr>
        <w:instrText>-</w:instrText>
      </w:r>
      <w:r w:rsidR="00E974B2">
        <w:rPr>
          <w:lang w:val="en-US" w:eastAsia="ru-RU"/>
        </w:rPr>
        <w:instrText>names</w:instrText>
      </w:r>
      <w:r w:rsidR="00E974B2" w:rsidRPr="006C476A">
        <w:rPr>
          <w:lang w:eastAsia="ru-RU"/>
        </w:rPr>
        <w:instrText>":</w:instrText>
      </w:r>
      <w:r w:rsidR="00E974B2">
        <w:rPr>
          <w:lang w:val="en-US" w:eastAsia="ru-RU"/>
        </w:rPr>
        <w:instrText>false</w:instrText>
      </w:r>
      <w:r w:rsidR="00E974B2" w:rsidRPr="006C476A">
        <w:rPr>
          <w:lang w:eastAsia="ru-RU"/>
        </w:rPr>
        <w:instrText>,"</w:instrText>
      </w:r>
      <w:r w:rsidR="00E974B2">
        <w:rPr>
          <w:lang w:val="en-US" w:eastAsia="ru-RU"/>
        </w:rPr>
        <w:instrText>suffix</w:instrText>
      </w:r>
      <w:r w:rsidR="00E974B2" w:rsidRPr="006C476A">
        <w:rPr>
          <w:lang w:eastAsia="ru-RU"/>
        </w:rPr>
        <w:instrText>":""}],"</w:instrText>
      </w:r>
      <w:r w:rsidR="00E974B2">
        <w:rPr>
          <w:lang w:val="en-US" w:eastAsia="ru-RU"/>
        </w:rPr>
        <w:instrText>container</w:instrText>
      </w:r>
      <w:r w:rsidR="00E974B2" w:rsidRPr="006C476A">
        <w:rPr>
          <w:lang w:eastAsia="ru-RU"/>
        </w:rPr>
        <w:instrText>-</w:instrText>
      </w:r>
      <w:r w:rsidR="00E974B2">
        <w:rPr>
          <w:lang w:val="en-US" w:eastAsia="ru-RU"/>
        </w:rPr>
        <w:instrText>title</w:instrText>
      </w:r>
      <w:r w:rsidR="00E974B2" w:rsidRPr="006C476A">
        <w:rPr>
          <w:lang w:eastAsia="ru-RU"/>
        </w:rPr>
        <w:instrText>":"</w:instrText>
      </w:r>
      <w:r w:rsidR="00E974B2">
        <w:rPr>
          <w:lang w:val="en-US" w:eastAsia="ru-RU"/>
        </w:rPr>
        <w:instrText>Current</w:instrText>
      </w:r>
      <w:r w:rsidR="00E974B2" w:rsidRPr="006C476A">
        <w:rPr>
          <w:lang w:eastAsia="ru-RU"/>
        </w:rPr>
        <w:instrText xml:space="preserve"> </w:instrText>
      </w:r>
      <w:r w:rsidR="00E974B2">
        <w:rPr>
          <w:lang w:val="en-US" w:eastAsia="ru-RU"/>
        </w:rPr>
        <w:instrText>Oncology</w:instrText>
      </w:r>
      <w:r w:rsidR="00E974B2" w:rsidRPr="006C476A">
        <w:rPr>
          <w:lang w:eastAsia="ru-RU"/>
        </w:rPr>
        <w:instrText>","</w:instrText>
      </w:r>
      <w:r w:rsidR="00E974B2">
        <w:rPr>
          <w:lang w:val="en-US" w:eastAsia="ru-RU"/>
        </w:rPr>
        <w:instrText>id</w:instrText>
      </w:r>
      <w:r w:rsidR="00E974B2" w:rsidRPr="006C476A">
        <w:rPr>
          <w:lang w:eastAsia="ru-RU"/>
        </w:rPr>
        <w:instrText>":"</w:instrText>
      </w:r>
      <w:r w:rsidR="00E974B2">
        <w:rPr>
          <w:lang w:val="en-US" w:eastAsia="ru-RU"/>
        </w:rPr>
        <w:instrText>ITEM</w:instrText>
      </w:r>
      <w:r w:rsidR="00E974B2" w:rsidRPr="006C476A">
        <w:rPr>
          <w:lang w:eastAsia="ru-RU"/>
        </w:rPr>
        <w:instrText>-4","</w:instrText>
      </w:r>
      <w:r w:rsidR="00E974B2">
        <w:rPr>
          <w:lang w:val="en-US" w:eastAsia="ru-RU"/>
        </w:rPr>
        <w:instrText>issue</w:instrText>
      </w:r>
      <w:r w:rsidR="00E974B2" w:rsidRPr="006C476A">
        <w:rPr>
          <w:lang w:eastAsia="ru-RU"/>
        </w:rPr>
        <w:instrText>":"1","</w:instrText>
      </w:r>
      <w:r w:rsidR="00E974B2">
        <w:rPr>
          <w:lang w:val="en-US" w:eastAsia="ru-RU"/>
        </w:rPr>
        <w:instrText>issued</w:instrText>
      </w:r>
      <w:r w:rsidR="00E974B2" w:rsidRPr="006C476A">
        <w:rPr>
          <w:lang w:eastAsia="ru-RU"/>
        </w:rPr>
        <w:instrText>":{"</w:instrText>
      </w:r>
      <w:r w:rsidR="00E974B2">
        <w:rPr>
          <w:lang w:val="en-US" w:eastAsia="ru-RU"/>
        </w:rPr>
        <w:instrText>date</w:instrText>
      </w:r>
      <w:r w:rsidR="00E974B2" w:rsidRPr="006C476A">
        <w:rPr>
          <w:lang w:eastAsia="ru-RU"/>
        </w:rPr>
        <w:instrText>-</w:instrText>
      </w:r>
      <w:r w:rsidR="00E974B2">
        <w:rPr>
          <w:lang w:val="en-US" w:eastAsia="ru-RU"/>
        </w:rPr>
        <w:instrText>parts</w:instrText>
      </w:r>
      <w:r w:rsidR="00E974B2" w:rsidRPr="006C476A">
        <w:rPr>
          <w:lang w:eastAsia="ru-RU"/>
        </w:rPr>
        <w:instrText>":[["2017"]]},"</w:instrText>
      </w:r>
      <w:r w:rsidR="00E974B2">
        <w:rPr>
          <w:lang w:val="en-US" w:eastAsia="ru-RU"/>
        </w:rPr>
        <w:instrText>page</w:instrText>
      </w:r>
      <w:r w:rsidR="00E974B2" w:rsidRPr="006C476A">
        <w:rPr>
          <w:lang w:eastAsia="ru-RU"/>
        </w:rPr>
        <w:instrText>":"33-39","</w:instrText>
      </w:r>
      <w:r w:rsidR="00E974B2">
        <w:rPr>
          <w:lang w:val="en-US" w:eastAsia="ru-RU"/>
        </w:rPr>
        <w:instrText>publisher</w:instrText>
      </w:r>
      <w:r w:rsidR="00E974B2" w:rsidRPr="006C476A">
        <w:rPr>
          <w:lang w:eastAsia="ru-RU"/>
        </w:rPr>
        <w:instrText>":"</w:instrText>
      </w:r>
      <w:r w:rsidR="00E974B2">
        <w:rPr>
          <w:lang w:val="en-US" w:eastAsia="ru-RU"/>
        </w:rPr>
        <w:instrText>Multimed</w:instrText>
      </w:r>
      <w:r w:rsidR="00E974B2" w:rsidRPr="006C476A">
        <w:rPr>
          <w:lang w:eastAsia="ru-RU"/>
        </w:rPr>
        <w:instrText xml:space="preserve"> </w:instrText>
      </w:r>
      <w:r w:rsidR="00E974B2">
        <w:rPr>
          <w:lang w:val="en-US" w:eastAsia="ru-RU"/>
        </w:rPr>
        <w:instrText>Inc</w:instrText>
      </w:r>
      <w:r w:rsidR="00E974B2" w:rsidRPr="006C476A">
        <w:rPr>
          <w:lang w:eastAsia="ru-RU"/>
        </w:rPr>
        <w:instrText>.","</w:instrText>
      </w:r>
      <w:r w:rsidR="00E974B2">
        <w:rPr>
          <w:lang w:val="en-US" w:eastAsia="ru-RU"/>
        </w:rPr>
        <w:instrText>title</w:instrText>
      </w:r>
      <w:r w:rsidR="00E974B2" w:rsidRPr="006C476A">
        <w:rPr>
          <w:lang w:eastAsia="ru-RU"/>
        </w:rPr>
        <w:instrText>":"</w:instrText>
      </w:r>
      <w:r w:rsidR="00E974B2">
        <w:rPr>
          <w:lang w:val="en-US" w:eastAsia="ru-RU"/>
        </w:rPr>
        <w:instrText>A</w:instrText>
      </w:r>
      <w:r w:rsidR="00E974B2" w:rsidRPr="006C476A">
        <w:rPr>
          <w:lang w:eastAsia="ru-RU"/>
        </w:rPr>
        <w:instrText xml:space="preserve"> </w:instrText>
      </w:r>
      <w:r w:rsidR="00E974B2">
        <w:rPr>
          <w:lang w:val="en-US" w:eastAsia="ru-RU"/>
        </w:rPr>
        <w:instrText>canadian</w:instrText>
      </w:r>
      <w:r w:rsidR="00E974B2" w:rsidRPr="006C476A">
        <w:rPr>
          <w:lang w:eastAsia="ru-RU"/>
        </w:rPr>
        <w:instrText xml:space="preserve"> </w:instrText>
      </w:r>
      <w:r w:rsidR="00E974B2">
        <w:rPr>
          <w:lang w:val="en-US" w:eastAsia="ru-RU"/>
        </w:rPr>
        <w:instrText>perspective</w:instrText>
      </w:r>
      <w:r w:rsidR="00E974B2" w:rsidRPr="006C476A">
        <w:rPr>
          <w:lang w:eastAsia="ru-RU"/>
        </w:rPr>
        <w:instrText xml:space="preserve"> </w:instrText>
      </w:r>
      <w:r w:rsidR="00E974B2">
        <w:rPr>
          <w:lang w:val="en-US" w:eastAsia="ru-RU"/>
        </w:rPr>
        <w:instrText>on</w:instrText>
      </w:r>
      <w:r w:rsidR="00E974B2" w:rsidRPr="006C476A">
        <w:rPr>
          <w:lang w:eastAsia="ru-RU"/>
        </w:rPr>
        <w:instrText xml:space="preserve"> </w:instrText>
      </w:r>
      <w:r w:rsidR="00E974B2">
        <w:rPr>
          <w:lang w:val="en-US" w:eastAsia="ru-RU"/>
        </w:rPr>
        <w:instrText>the</w:instrText>
      </w:r>
      <w:r w:rsidR="00E974B2" w:rsidRPr="006C476A">
        <w:rPr>
          <w:lang w:eastAsia="ru-RU"/>
        </w:rPr>
        <w:instrText xml:space="preserve"> </w:instrText>
      </w:r>
      <w:r w:rsidR="00E974B2">
        <w:rPr>
          <w:lang w:val="en-US" w:eastAsia="ru-RU"/>
        </w:rPr>
        <w:instrText>subcutaneous</w:instrText>
      </w:r>
      <w:r w:rsidR="00E974B2" w:rsidRPr="006C476A">
        <w:rPr>
          <w:lang w:eastAsia="ru-RU"/>
        </w:rPr>
        <w:instrText xml:space="preserve"> </w:instrText>
      </w:r>
      <w:r w:rsidR="00E974B2">
        <w:rPr>
          <w:lang w:val="en-US" w:eastAsia="ru-RU"/>
        </w:rPr>
        <w:instrText>administration</w:instrText>
      </w:r>
      <w:r w:rsidR="00E974B2" w:rsidRPr="006C476A">
        <w:rPr>
          <w:lang w:eastAsia="ru-RU"/>
        </w:rPr>
        <w:instrText xml:space="preserve"> </w:instrText>
      </w:r>
      <w:r w:rsidR="00E974B2">
        <w:rPr>
          <w:lang w:val="en-US" w:eastAsia="ru-RU"/>
        </w:rPr>
        <w:instrText>of</w:instrText>
      </w:r>
      <w:r w:rsidR="00E974B2" w:rsidRPr="006C476A">
        <w:rPr>
          <w:lang w:eastAsia="ru-RU"/>
        </w:rPr>
        <w:instrText xml:space="preserve"> </w:instrText>
      </w:r>
      <w:r w:rsidR="00E974B2">
        <w:rPr>
          <w:lang w:val="en-US" w:eastAsia="ru-RU"/>
        </w:rPr>
        <w:instrText>rituximab</w:instrText>
      </w:r>
      <w:r w:rsidR="00E974B2" w:rsidRPr="006C476A">
        <w:rPr>
          <w:lang w:eastAsia="ru-RU"/>
        </w:rPr>
        <w:instrText xml:space="preserve"> </w:instrText>
      </w:r>
      <w:r w:rsidR="00E974B2">
        <w:rPr>
          <w:lang w:val="en-US" w:eastAsia="ru-RU"/>
        </w:rPr>
        <w:instrText>in</w:instrText>
      </w:r>
      <w:r w:rsidR="00E974B2" w:rsidRPr="006C476A">
        <w:rPr>
          <w:lang w:eastAsia="ru-RU"/>
        </w:rPr>
        <w:instrText xml:space="preserve"> </w:instrText>
      </w:r>
      <w:r w:rsidR="00E974B2">
        <w:rPr>
          <w:lang w:val="en-US" w:eastAsia="ru-RU"/>
        </w:rPr>
        <w:instrText>non</w:instrText>
      </w:r>
      <w:r w:rsidR="00E974B2" w:rsidRPr="006C476A">
        <w:rPr>
          <w:lang w:eastAsia="ru-RU"/>
        </w:rPr>
        <w:instrText>-</w:instrText>
      </w:r>
      <w:r w:rsidR="00E974B2">
        <w:rPr>
          <w:lang w:val="en-US" w:eastAsia="ru-RU"/>
        </w:rPr>
        <w:instrText>Hodgkin</w:instrText>
      </w:r>
      <w:r w:rsidR="00E974B2" w:rsidRPr="006C476A">
        <w:rPr>
          <w:lang w:eastAsia="ru-RU"/>
        </w:rPr>
        <w:instrText xml:space="preserve"> </w:instrText>
      </w:r>
      <w:r w:rsidR="00E974B2">
        <w:rPr>
          <w:lang w:val="en-US" w:eastAsia="ru-RU"/>
        </w:rPr>
        <w:instrText>lymphoma</w:instrText>
      </w:r>
      <w:r w:rsidR="00E974B2" w:rsidRPr="006C476A">
        <w:rPr>
          <w:lang w:eastAsia="ru-RU"/>
        </w:rPr>
        <w:instrText>","</w:instrText>
      </w:r>
      <w:r w:rsidR="00E974B2">
        <w:rPr>
          <w:lang w:val="en-US" w:eastAsia="ru-RU"/>
        </w:rPr>
        <w:instrText>type</w:instrText>
      </w:r>
      <w:r w:rsidR="00E974B2" w:rsidRPr="006C476A">
        <w:rPr>
          <w:lang w:eastAsia="ru-RU"/>
        </w:rPr>
        <w:instrText>":"</w:instrText>
      </w:r>
      <w:r w:rsidR="00E974B2">
        <w:rPr>
          <w:lang w:val="en-US" w:eastAsia="ru-RU"/>
        </w:rPr>
        <w:instrText>article</w:instrText>
      </w:r>
      <w:r w:rsidR="00E974B2" w:rsidRPr="006C476A">
        <w:rPr>
          <w:lang w:eastAsia="ru-RU"/>
        </w:rPr>
        <w:instrText>","</w:instrText>
      </w:r>
      <w:r w:rsidR="00E974B2">
        <w:rPr>
          <w:lang w:val="en-US" w:eastAsia="ru-RU"/>
        </w:rPr>
        <w:instrText>volume</w:instrText>
      </w:r>
      <w:r w:rsidR="00E974B2" w:rsidRPr="006C476A">
        <w:rPr>
          <w:lang w:eastAsia="ru-RU"/>
        </w:rPr>
        <w:instrText>":"24"},"</w:instrText>
      </w:r>
      <w:r w:rsidR="00E974B2">
        <w:rPr>
          <w:lang w:val="en-US" w:eastAsia="ru-RU"/>
        </w:rPr>
        <w:instrText>uris</w:instrText>
      </w:r>
      <w:r w:rsidR="00E974B2" w:rsidRPr="006C476A">
        <w:rPr>
          <w:lang w:eastAsia="ru-RU"/>
        </w:rPr>
        <w:instrText>":["</w:instrText>
      </w:r>
      <w:r w:rsidR="00E974B2">
        <w:rPr>
          <w:lang w:val="en-US" w:eastAsia="ru-RU"/>
        </w:rPr>
        <w:instrText>http</w:instrText>
      </w:r>
      <w:r w:rsidR="00E974B2" w:rsidRPr="006C476A">
        <w:rPr>
          <w:lang w:eastAsia="ru-RU"/>
        </w:rPr>
        <w:instrText>://</w:instrText>
      </w:r>
      <w:r w:rsidR="00E974B2">
        <w:rPr>
          <w:lang w:val="en-US" w:eastAsia="ru-RU"/>
        </w:rPr>
        <w:instrText>www</w:instrText>
      </w:r>
      <w:r w:rsidR="00E974B2" w:rsidRPr="006C476A">
        <w:rPr>
          <w:lang w:eastAsia="ru-RU"/>
        </w:rPr>
        <w:instrText>.</w:instrText>
      </w:r>
      <w:r w:rsidR="00E974B2">
        <w:rPr>
          <w:lang w:val="en-US" w:eastAsia="ru-RU"/>
        </w:rPr>
        <w:instrText>mendeley</w:instrText>
      </w:r>
      <w:r w:rsidR="00E974B2" w:rsidRPr="006C476A">
        <w:rPr>
          <w:lang w:eastAsia="ru-RU"/>
        </w:rPr>
        <w:instrText>.</w:instrText>
      </w:r>
      <w:r w:rsidR="00E974B2">
        <w:rPr>
          <w:lang w:val="en-US" w:eastAsia="ru-RU"/>
        </w:rPr>
        <w:instrText>com</w:instrText>
      </w:r>
      <w:r w:rsidR="00E974B2" w:rsidRPr="006C476A">
        <w:rPr>
          <w:lang w:eastAsia="ru-RU"/>
        </w:rPr>
        <w:instrText>/</w:instrText>
      </w:r>
      <w:r w:rsidR="00E974B2">
        <w:rPr>
          <w:lang w:val="en-US" w:eastAsia="ru-RU"/>
        </w:rPr>
        <w:instrText>documents</w:instrText>
      </w:r>
      <w:r w:rsidR="00E974B2" w:rsidRPr="006C476A">
        <w:rPr>
          <w:lang w:eastAsia="ru-RU"/>
        </w:rPr>
        <w:instrText>/?</w:instrText>
      </w:r>
      <w:r w:rsidR="00E974B2">
        <w:rPr>
          <w:lang w:val="en-US" w:eastAsia="ru-RU"/>
        </w:rPr>
        <w:instrText>uuid</w:instrText>
      </w:r>
      <w:r w:rsidR="00E974B2" w:rsidRPr="006C476A">
        <w:rPr>
          <w:lang w:eastAsia="ru-RU"/>
        </w:rPr>
        <w:instrText>=0</w:instrText>
      </w:r>
      <w:r w:rsidR="00E974B2">
        <w:rPr>
          <w:lang w:val="en-US" w:eastAsia="ru-RU"/>
        </w:rPr>
        <w:instrText>dec</w:instrText>
      </w:r>
      <w:r w:rsidR="00E974B2" w:rsidRPr="006C476A">
        <w:rPr>
          <w:lang w:eastAsia="ru-RU"/>
        </w:rPr>
        <w:instrText>225</w:instrText>
      </w:r>
      <w:r w:rsidR="00E974B2">
        <w:rPr>
          <w:lang w:val="en-US" w:eastAsia="ru-RU"/>
        </w:rPr>
        <w:instrText>e</w:instrText>
      </w:r>
      <w:r w:rsidR="00E974B2" w:rsidRPr="006C476A">
        <w:rPr>
          <w:lang w:eastAsia="ru-RU"/>
        </w:rPr>
        <w:instrText>-8</w:instrText>
      </w:r>
      <w:r w:rsidR="00E974B2">
        <w:rPr>
          <w:lang w:val="en-US" w:eastAsia="ru-RU"/>
        </w:rPr>
        <w:instrText>a</w:instrText>
      </w:r>
      <w:r w:rsidR="00E974B2" w:rsidRPr="006C476A">
        <w:rPr>
          <w:lang w:eastAsia="ru-RU"/>
        </w:rPr>
        <w:instrText>47-3680-</w:instrText>
      </w:r>
      <w:r w:rsidR="00E974B2">
        <w:rPr>
          <w:lang w:val="en-US" w:eastAsia="ru-RU"/>
        </w:rPr>
        <w:instrText>ba</w:instrText>
      </w:r>
      <w:r w:rsidR="00E974B2" w:rsidRPr="006C476A">
        <w:rPr>
          <w:lang w:eastAsia="ru-RU"/>
        </w:rPr>
        <w:instrText>4</w:instrText>
      </w:r>
      <w:r w:rsidR="00E974B2">
        <w:rPr>
          <w:lang w:val="en-US" w:eastAsia="ru-RU"/>
        </w:rPr>
        <w:instrText>d</w:instrText>
      </w:r>
      <w:r w:rsidR="00E974B2" w:rsidRPr="006C476A">
        <w:rPr>
          <w:lang w:eastAsia="ru-RU"/>
        </w:rPr>
        <w:instrText>-891955</w:instrText>
      </w:r>
      <w:r w:rsidR="00E974B2">
        <w:rPr>
          <w:lang w:val="en-US" w:eastAsia="ru-RU"/>
        </w:rPr>
        <w:instrText>a</w:instrText>
      </w:r>
      <w:r w:rsidR="00E974B2" w:rsidRPr="006C476A">
        <w:rPr>
          <w:lang w:eastAsia="ru-RU"/>
        </w:rPr>
        <w:instrText>938</w:instrText>
      </w:r>
      <w:r w:rsidR="00E974B2">
        <w:rPr>
          <w:lang w:val="en-US" w:eastAsia="ru-RU"/>
        </w:rPr>
        <w:instrText>a</w:instrText>
      </w:r>
      <w:r w:rsidR="00E974B2" w:rsidRPr="006C476A">
        <w:rPr>
          <w:lang w:eastAsia="ru-RU"/>
        </w:rPr>
        <w:instrText>1"]}],"</w:instrText>
      </w:r>
      <w:r w:rsidR="00E974B2">
        <w:rPr>
          <w:lang w:val="en-US" w:eastAsia="ru-RU"/>
        </w:rPr>
        <w:instrText>mendeley</w:instrText>
      </w:r>
      <w:r w:rsidR="00E974B2" w:rsidRPr="006C476A">
        <w:rPr>
          <w:lang w:eastAsia="ru-RU"/>
        </w:rPr>
        <w:instrText>":{"</w:instrText>
      </w:r>
      <w:r w:rsidR="00E974B2">
        <w:rPr>
          <w:lang w:val="en-US" w:eastAsia="ru-RU"/>
        </w:rPr>
        <w:instrText>formattedCitation</w:instrText>
      </w:r>
      <w:r w:rsidR="00E974B2" w:rsidRPr="006C476A">
        <w:rPr>
          <w:lang w:eastAsia="ru-RU"/>
        </w:rPr>
        <w:instrText>":"[180–183]","</w:instrText>
      </w:r>
      <w:r w:rsidR="00E974B2">
        <w:rPr>
          <w:lang w:val="en-US" w:eastAsia="ru-RU"/>
        </w:rPr>
        <w:instrText>plainTextFormattedCitation</w:instrText>
      </w:r>
      <w:r w:rsidR="00E974B2" w:rsidRPr="006C476A">
        <w:rPr>
          <w:lang w:eastAsia="ru-RU"/>
        </w:rPr>
        <w:instrText>":"[180–183]","</w:instrText>
      </w:r>
      <w:r w:rsidR="00E974B2">
        <w:rPr>
          <w:lang w:val="en-US" w:eastAsia="ru-RU"/>
        </w:rPr>
        <w:instrText>previouslyFormattedCitation</w:instrText>
      </w:r>
      <w:r w:rsidR="00E974B2" w:rsidRPr="006C476A">
        <w:rPr>
          <w:lang w:eastAsia="ru-RU"/>
        </w:rPr>
        <w:instrText>":"[180–183]"},"</w:instrText>
      </w:r>
      <w:r w:rsidR="00E974B2">
        <w:rPr>
          <w:lang w:val="en-US" w:eastAsia="ru-RU"/>
        </w:rPr>
        <w:instrText>properties</w:instrText>
      </w:r>
      <w:r w:rsidR="00E974B2" w:rsidRPr="006C476A">
        <w:rPr>
          <w:lang w:eastAsia="ru-RU"/>
        </w:rPr>
        <w:instrText>":{"</w:instrText>
      </w:r>
      <w:r w:rsidR="00E974B2">
        <w:rPr>
          <w:lang w:val="en-US" w:eastAsia="ru-RU"/>
        </w:rPr>
        <w:instrText>noteIndex</w:instrText>
      </w:r>
      <w:r w:rsidR="00E974B2" w:rsidRPr="006C476A">
        <w:rPr>
          <w:lang w:eastAsia="ru-RU"/>
        </w:rPr>
        <w:instrText>":0},"</w:instrText>
      </w:r>
      <w:r w:rsidR="00E974B2">
        <w:rPr>
          <w:lang w:val="en-US" w:eastAsia="ru-RU"/>
        </w:rPr>
        <w:instrText>schema</w:instrText>
      </w:r>
      <w:r w:rsidR="00E974B2" w:rsidRPr="006C476A">
        <w:rPr>
          <w:lang w:eastAsia="ru-RU"/>
        </w:rPr>
        <w:instrText>":"</w:instrText>
      </w:r>
      <w:r w:rsidR="00E974B2">
        <w:rPr>
          <w:lang w:val="en-US" w:eastAsia="ru-RU"/>
        </w:rPr>
        <w:instrText>https</w:instrText>
      </w:r>
      <w:r w:rsidR="00E974B2" w:rsidRPr="006C476A">
        <w:rPr>
          <w:lang w:eastAsia="ru-RU"/>
        </w:rPr>
        <w:instrText>://</w:instrText>
      </w:r>
      <w:r w:rsidR="00E974B2">
        <w:rPr>
          <w:lang w:val="en-US" w:eastAsia="ru-RU"/>
        </w:rPr>
        <w:instrText>github</w:instrText>
      </w:r>
      <w:r w:rsidR="00E974B2" w:rsidRPr="006C476A">
        <w:rPr>
          <w:lang w:eastAsia="ru-RU"/>
        </w:rPr>
        <w:instrText>.</w:instrText>
      </w:r>
      <w:r w:rsidR="00E974B2">
        <w:rPr>
          <w:lang w:val="en-US" w:eastAsia="ru-RU"/>
        </w:rPr>
        <w:instrText>com</w:instrText>
      </w:r>
      <w:r w:rsidR="00E974B2" w:rsidRPr="006C476A">
        <w:rPr>
          <w:lang w:eastAsia="ru-RU"/>
        </w:rPr>
        <w:instrText>/</w:instrText>
      </w:r>
      <w:r w:rsidR="00E974B2">
        <w:rPr>
          <w:lang w:val="en-US" w:eastAsia="ru-RU"/>
        </w:rPr>
        <w:instrText>citation</w:instrText>
      </w:r>
      <w:r w:rsidR="00E974B2" w:rsidRPr="006C476A">
        <w:rPr>
          <w:lang w:eastAsia="ru-RU"/>
        </w:rPr>
        <w:instrText>-</w:instrText>
      </w:r>
      <w:r w:rsidR="00E974B2">
        <w:rPr>
          <w:lang w:val="en-US" w:eastAsia="ru-RU"/>
        </w:rPr>
        <w:instrText>style</w:instrText>
      </w:r>
      <w:r w:rsidR="00E974B2" w:rsidRPr="006C476A">
        <w:rPr>
          <w:lang w:eastAsia="ru-RU"/>
        </w:rPr>
        <w:instrText>-</w:instrText>
      </w:r>
      <w:r w:rsidR="00E974B2">
        <w:rPr>
          <w:lang w:val="en-US" w:eastAsia="ru-RU"/>
        </w:rPr>
        <w:instrText>language</w:instrText>
      </w:r>
      <w:r w:rsidR="00E974B2" w:rsidRPr="006C476A">
        <w:rPr>
          <w:lang w:eastAsia="ru-RU"/>
        </w:rPr>
        <w:instrText>/</w:instrText>
      </w:r>
      <w:r w:rsidR="00E974B2">
        <w:rPr>
          <w:lang w:val="en-US" w:eastAsia="ru-RU"/>
        </w:rPr>
        <w:instrText>schema</w:instrText>
      </w:r>
      <w:r w:rsidR="00E974B2" w:rsidRPr="006C476A">
        <w:rPr>
          <w:lang w:eastAsia="ru-RU"/>
        </w:rPr>
        <w:instrText>/</w:instrText>
      </w:r>
      <w:r w:rsidR="00E974B2">
        <w:rPr>
          <w:lang w:val="en-US" w:eastAsia="ru-RU"/>
        </w:rPr>
        <w:instrText>raw</w:instrText>
      </w:r>
      <w:r w:rsidR="00E974B2" w:rsidRPr="006C476A">
        <w:rPr>
          <w:lang w:eastAsia="ru-RU"/>
        </w:rPr>
        <w:instrText>/</w:instrText>
      </w:r>
      <w:r w:rsidR="00E974B2">
        <w:rPr>
          <w:lang w:val="en-US" w:eastAsia="ru-RU"/>
        </w:rPr>
        <w:instrText>master</w:instrText>
      </w:r>
      <w:r w:rsidR="00E974B2" w:rsidRPr="006C476A">
        <w:rPr>
          <w:lang w:eastAsia="ru-RU"/>
        </w:rPr>
        <w:instrText>/</w:instrText>
      </w:r>
      <w:r w:rsidR="00E974B2">
        <w:rPr>
          <w:lang w:val="en-US" w:eastAsia="ru-RU"/>
        </w:rPr>
        <w:instrText>csl</w:instrText>
      </w:r>
      <w:r w:rsidR="00E974B2" w:rsidRPr="006C476A">
        <w:rPr>
          <w:lang w:eastAsia="ru-RU"/>
        </w:rPr>
        <w:instrText>-</w:instrText>
      </w:r>
      <w:r w:rsidR="00E974B2">
        <w:rPr>
          <w:lang w:val="en-US" w:eastAsia="ru-RU"/>
        </w:rPr>
        <w:instrText>citation</w:instrText>
      </w:r>
      <w:r w:rsidR="00E974B2" w:rsidRPr="006C476A">
        <w:rPr>
          <w:lang w:eastAsia="ru-RU"/>
        </w:rPr>
        <w:instrText>.</w:instrText>
      </w:r>
      <w:r w:rsidR="00E974B2">
        <w:rPr>
          <w:lang w:val="en-US" w:eastAsia="ru-RU"/>
        </w:rPr>
        <w:instrText>json</w:instrText>
      </w:r>
      <w:r w:rsidR="00E974B2" w:rsidRPr="006C476A">
        <w:rPr>
          <w:lang w:eastAsia="ru-RU"/>
        </w:rPr>
        <w:instrText>"}</w:instrText>
      </w:r>
      <w:r w:rsidRPr="000322E4">
        <w:rPr>
          <w:lang w:val="en-US" w:eastAsia="ru-RU"/>
        </w:rPr>
        <w:fldChar w:fldCharType="separate"/>
      </w:r>
      <w:r w:rsidR="004C51FF" w:rsidRPr="004C51FF">
        <w:rPr>
          <w:noProof/>
          <w:lang w:eastAsia="ru-RU"/>
        </w:rPr>
        <w:t>[180–183]</w:t>
      </w:r>
      <w:r w:rsidRPr="000322E4">
        <w:rPr>
          <w:lang w:val="en-US" w:eastAsia="ru-RU"/>
        </w:rPr>
        <w:fldChar w:fldCharType="end"/>
      </w:r>
    </w:p>
    <w:p w14:paraId="16E65C57" w14:textId="77777777" w:rsidR="00666D68" w:rsidRPr="000322E4" w:rsidRDefault="00666D68" w:rsidP="00F414BF">
      <w:pPr>
        <w:numPr>
          <w:ilvl w:val="0"/>
          <w:numId w:val="39"/>
        </w:numPr>
      </w:pPr>
      <w:r w:rsidRPr="000322E4">
        <w:t>Циклофосфамид</w:t>
      </w:r>
      <w:r w:rsidRPr="000322E4">
        <w:rPr>
          <w:bCs/>
        </w:rPr>
        <w:t>**</w:t>
      </w:r>
      <w:r w:rsidRPr="000322E4">
        <w:t xml:space="preserve"> 750 мг/м</w:t>
      </w:r>
      <w:r w:rsidRPr="000322E4">
        <w:rPr>
          <w:vertAlign w:val="superscript"/>
        </w:rPr>
        <w:t>2</w:t>
      </w:r>
      <w:r w:rsidRPr="000322E4">
        <w:t xml:space="preserve"> в/в кап., день 1</w:t>
      </w:r>
    </w:p>
    <w:p w14:paraId="1E7139A5" w14:textId="77777777" w:rsidR="00666D68" w:rsidRPr="000322E4" w:rsidRDefault="000322E4" w:rsidP="00F414BF">
      <w:pPr>
        <w:numPr>
          <w:ilvl w:val="0"/>
          <w:numId w:val="39"/>
        </w:numPr>
      </w:pPr>
      <w:r w:rsidRPr="000322E4">
        <w:t>#</w:t>
      </w:r>
      <w:r w:rsidR="00666D68" w:rsidRPr="000322E4">
        <w:t>Винкристин</w:t>
      </w:r>
      <w:r w:rsidR="00666D68" w:rsidRPr="000322E4">
        <w:rPr>
          <w:bCs/>
        </w:rPr>
        <w:t>**</w:t>
      </w:r>
      <w:r w:rsidR="00666D68" w:rsidRPr="000322E4">
        <w:t xml:space="preserve"> 1,4 мг/м</w:t>
      </w:r>
      <w:r w:rsidR="00666D68" w:rsidRPr="000322E4">
        <w:rPr>
          <w:vertAlign w:val="superscript"/>
        </w:rPr>
        <w:t>2</w:t>
      </w:r>
      <w:r w:rsidR="00666D68" w:rsidRPr="000322E4">
        <w:t xml:space="preserve"> (суммарно не более 2 мг) в/в, день 1</w:t>
      </w:r>
    </w:p>
    <w:p w14:paraId="78BD1FB7" w14:textId="77777777" w:rsidR="00666D68" w:rsidRPr="000322E4" w:rsidRDefault="00666D68" w:rsidP="00F414BF">
      <w:pPr>
        <w:numPr>
          <w:ilvl w:val="0"/>
          <w:numId w:val="39"/>
        </w:numPr>
      </w:pPr>
      <w:r w:rsidRPr="000322E4">
        <w:t>Преднизолон</w:t>
      </w:r>
      <w:r w:rsidRPr="000322E4">
        <w:rPr>
          <w:bCs/>
        </w:rPr>
        <w:t>**</w:t>
      </w:r>
      <w:r w:rsidRPr="000322E4">
        <w:t xml:space="preserve"> 40 мг/м</w:t>
      </w:r>
      <w:r w:rsidRPr="000322E4">
        <w:rPr>
          <w:vertAlign w:val="superscript"/>
        </w:rPr>
        <w:t>2</w:t>
      </w:r>
      <w:r w:rsidRPr="000322E4">
        <w:t xml:space="preserve"> внутрь, дни 1-5</w:t>
      </w:r>
    </w:p>
    <w:p w14:paraId="0A76B934" w14:textId="77777777" w:rsidR="00666D68" w:rsidRPr="000322E4" w:rsidRDefault="00666D68" w:rsidP="00F414BF">
      <w:pPr>
        <w:ind w:left="360"/>
      </w:pPr>
      <w:r w:rsidRPr="000322E4">
        <w:t>Лечение возобновляется на 22 день</w:t>
      </w:r>
    </w:p>
    <w:p w14:paraId="07ABADFA" w14:textId="77777777" w:rsidR="00666D68" w:rsidRPr="000322E4" w:rsidRDefault="00666D68" w:rsidP="00F414BF">
      <w:pPr>
        <w:ind w:left="360"/>
      </w:pPr>
    </w:p>
    <w:p w14:paraId="603DF821" w14:textId="77777777" w:rsidR="00666D68" w:rsidRPr="000322E4" w:rsidRDefault="00666D68" w:rsidP="00F414BF">
      <w:pPr>
        <w:rPr>
          <w:b/>
          <w:bCs/>
        </w:rPr>
      </w:pPr>
      <w:r w:rsidRPr="000322E4">
        <w:rPr>
          <w:b/>
          <w:bCs/>
          <w:lang w:val="en-US"/>
        </w:rPr>
        <w:t>BR</w:t>
      </w:r>
      <w:r w:rsidRPr="000322E4">
        <w:rPr>
          <w:b/>
          <w:bCs/>
        </w:rPr>
        <w:t xml:space="preserve"> </w:t>
      </w:r>
      <w:r w:rsidRPr="000322E4">
        <w:rPr>
          <w:b/>
          <w:bCs/>
          <w:lang w:val="en-US"/>
        </w:rPr>
        <w:fldChar w:fldCharType="begin" w:fldLock="1"/>
      </w:r>
      <w:r w:rsidR="00C37789" w:rsidRPr="000322E4">
        <w:rPr>
          <w:b/>
          <w:bCs/>
          <w:lang w:val="en-US"/>
        </w:rPr>
        <w:instrText>ADDIN</w:instrText>
      </w:r>
      <w:r w:rsidR="00C37789" w:rsidRPr="000322E4">
        <w:rPr>
          <w:b/>
          <w:bCs/>
        </w:rPr>
        <w:instrText xml:space="preserve"> </w:instrText>
      </w:r>
      <w:r w:rsidR="00C37789" w:rsidRPr="000322E4">
        <w:rPr>
          <w:b/>
          <w:bCs/>
          <w:lang w:val="en-US"/>
        </w:rPr>
        <w:instrText>CSL</w:instrText>
      </w:r>
      <w:r w:rsidR="00C37789" w:rsidRPr="000322E4">
        <w:rPr>
          <w:b/>
          <w:bCs/>
        </w:rPr>
        <w:instrText>_</w:instrText>
      </w:r>
      <w:r w:rsidR="00C37789" w:rsidRPr="000322E4">
        <w:rPr>
          <w:b/>
          <w:bCs/>
          <w:lang w:val="en-US"/>
        </w:rPr>
        <w:instrText>CITATION</w:instrText>
      </w:r>
      <w:r w:rsidR="00C37789" w:rsidRPr="000322E4">
        <w:rPr>
          <w:b/>
          <w:bCs/>
        </w:rPr>
        <w:instrText xml:space="preserve"> {"</w:instrText>
      </w:r>
      <w:r w:rsidR="00C37789" w:rsidRPr="000322E4">
        <w:rPr>
          <w:b/>
          <w:bCs/>
          <w:lang w:val="en-US"/>
        </w:rPr>
        <w:instrText>citationItems</w:instrText>
      </w:r>
      <w:r w:rsidR="00C37789" w:rsidRPr="000322E4">
        <w:rPr>
          <w:b/>
          <w:bCs/>
        </w:rPr>
        <w:instrText>":[{"</w:instrText>
      </w:r>
      <w:r w:rsidR="00C37789" w:rsidRPr="000322E4">
        <w:rPr>
          <w:b/>
          <w:bCs/>
          <w:lang w:val="en-US"/>
        </w:rPr>
        <w:instrText>id</w:instrText>
      </w:r>
      <w:r w:rsidR="00C37789" w:rsidRPr="000322E4">
        <w:rPr>
          <w:b/>
          <w:bCs/>
        </w:rPr>
        <w:instrText>":"</w:instrText>
      </w:r>
      <w:r w:rsidR="00C37789" w:rsidRPr="000322E4">
        <w:rPr>
          <w:b/>
          <w:bCs/>
          <w:lang w:val="en-US"/>
        </w:rPr>
        <w:instrText>ITEM</w:instrText>
      </w:r>
      <w:r w:rsidR="00C37789" w:rsidRPr="000322E4">
        <w:rPr>
          <w:b/>
          <w:bCs/>
        </w:rPr>
        <w:instrText>-1","</w:instrText>
      </w:r>
      <w:r w:rsidR="00C37789" w:rsidRPr="000322E4">
        <w:rPr>
          <w:b/>
          <w:bCs/>
          <w:lang w:val="en-US"/>
        </w:rPr>
        <w:instrText>itemData</w:instrText>
      </w:r>
      <w:r w:rsidR="00C37789" w:rsidRPr="000322E4">
        <w:rPr>
          <w:b/>
          <w:bCs/>
        </w:rPr>
        <w:instrText>":{"</w:instrText>
      </w:r>
      <w:r w:rsidR="00C37789" w:rsidRPr="000322E4">
        <w:rPr>
          <w:b/>
          <w:bCs/>
          <w:lang w:val="en-US"/>
        </w:rPr>
        <w:instrText>DOI</w:instrText>
      </w:r>
      <w:r w:rsidR="00C37789" w:rsidRPr="000322E4">
        <w:rPr>
          <w:b/>
          <w:bCs/>
        </w:rPr>
        <w:instrText>":"10.1007/</w:instrText>
      </w:r>
      <w:r w:rsidR="00C37789" w:rsidRPr="000322E4">
        <w:rPr>
          <w:b/>
          <w:bCs/>
          <w:lang w:val="en-US"/>
        </w:rPr>
        <w:instrText>s</w:instrText>
      </w:r>
      <w:r w:rsidR="00C37789" w:rsidRPr="000322E4">
        <w:rPr>
          <w:b/>
          <w:bCs/>
        </w:rPr>
        <w:instrText>00277-019-03819-3","</w:instrText>
      </w:r>
      <w:r w:rsidR="00C37789" w:rsidRPr="000322E4">
        <w:rPr>
          <w:b/>
          <w:bCs/>
          <w:lang w:val="en-US"/>
        </w:rPr>
        <w:instrText>ISSN</w:instrText>
      </w:r>
      <w:r w:rsidR="00C37789" w:rsidRPr="000322E4">
        <w:rPr>
          <w:b/>
          <w:bCs/>
        </w:rPr>
        <w:instrText>":"14320584","</w:instrText>
      </w:r>
      <w:r w:rsidR="00C37789" w:rsidRPr="000322E4">
        <w:rPr>
          <w:b/>
          <w:bCs/>
          <w:lang w:val="en-US"/>
        </w:rPr>
        <w:instrText>abstract</w:instrText>
      </w:r>
      <w:r w:rsidR="00C37789" w:rsidRPr="000322E4">
        <w:rPr>
          <w:b/>
          <w:bCs/>
        </w:rPr>
        <w:instrText>":"</w:instrText>
      </w:r>
      <w:r w:rsidR="00C37789" w:rsidRPr="000322E4">
        <w:rPr>
          <w:b/>
          <w:bCs/>
          <w:lang w:val="en-US"/>
        </w:rPr>
        <w:instrText>Despite</w:instrText>
      </w:r>
      <w:r w:rsidR="00C37789" w:rsidRPr="000322E4">
        <w:rPr>
          <w:b/>
          <w:bCs/>
        </w:rPr>
        <w:instrText xml:space="preserve"> </w:instrText>
      </w:r>
      <w:r w:rsidR="00C37789" w:rsidRPr="000322E4">
        <w:rPr>
          <w:b/>
          <w:bCs/>
          <w:lang w:val="en-US"/>
        </w:rPr>
        <w:instrText>bendamustine</w:instrText>
      </w:r>
      <w:r w:rsidR="00C37789" w:rsidRPr="000322E4">
        <w:rPr>
          <w:b/>
          <w:bCs/>
        </w:rPr>
        <w:instrText>-</w:instrText>
      </w:r>
      <w:r w:rsidR="00C37789" w:rsidRPr="000322E4">
        <w:rPr>
          <w:b/>
          <w:bCs/>
          <w:lang w:val="en-US"/>
        </w:rPr>
        <w:instrText>rituximab</w:instrText>
      </w:r>
      <w:r w:rsidR="00C37789" w:rsidRPr="000322E4">
        <w:rPr>
          <w:b/>
          <w:bCs/>
        </w:rPr>
        <w:instrText xml:space="preserve"> (</w:instrText>
      </w:r>
      <w:r w:rsidR="00C37789" w:rsidRPr="000322E4">
        <w:rPr>
          <w:b/>
          <w:bCs/>
          <w:lang w:val="en-US"/>
        </w:rPr>
        <w:instrText>BR</w:instrText>
      </w:r>
      <w:r w:rsidR="00C37789" w:rsidRPr="000322E4">
        <w:rPr>
          <w:b/>
          <w:bCs/>
        </w:rPr>
        <w:instrText xml:space="preserve">) </w:instrText>
      </w:r>
      <w:r w:rsidR="00C37789" w:rsidRPr="000322E4">
        <w:rPr>
          <w:b/>
          <w:bCs/>
          <w:lang w:val="en-US"/>
        </w:rPr>
        <w:instrText>showed</w:instrText>
      </w:r>
      <w:r w:rsidR="00C37789" w:rsidRPr="000322E4">
        <w:rPr>
          <w:b/>
          <w:bCs/>
        </w:rPr>
        <w:instrText xml:space="preserve"> </w:instrText>
      </w:r>
      <w:r w:rsidR="00C37789" w:rsidRPr="000322E4">
        <w:rPr>
          <w:b/>
          <w:bCs/>
          <w:lang w:val="en-US"/>
        </w:rPr>
        <w:instrText>disappointing</w:instrText>
      </w:r>
      <w:r w:rsidR="00C37789" w:rsidRPr="000322E4">
        <w:rPr>
          <w:b/>
          <w:bCs/>
        </w:rPr>
        <w:instrText xml:space="preserve"> </w:instrText>
      </w:r>
      <w:r w:rsidR="00C37789" w:rsidRPr="000322E4">
        <w:rPr>
          <w:b/>
          <w:bCs/>
          <w:lang w:val="en-US"/>
        </w:rPr>
        <w:instrText>efficacy</w:instrText>
      </w:r>
      <w:r w:rsidR="00C37789" w:rsidRPr="000322E4">
        <w:rPr>
          <w:b/>
          <w:bCs/>
        </w:rPr>
        <w:instrText xml:space="preserve"> </w:instrText>
      </w:r>
      <w:r w:rsidR="00C37789" w:rsidRPr="000322E4">
        <w:rPr>
          <w:b/>
          <w:bCs/>
          <w:lang w:val="en-US"/>
        </w:rPr>
        <w:instrText>in</w:instrText>
      </w:r>
      <w:r w:rsidR="00C37789" w:rsidRPr="000322E4">
        <w:rPr>
          <w:b/>
          <w:bCs/>
        </w:rPr>
        <w:instrText xml:space="preserve"> </w:instrText>
      </w:r>
      <w:r w:rsidR="00C37789" w:rsidRPr="000322E4">
        <w:rPr>
          <w:b/>
          <w:bCs/>
          <w:lang w:val="en-US"/>
        </w:rPr>
        <w:instrText>diffuse</w:instrText>
      </w:r>
      <w:r w:rsidR="00C37789" w:rsidRPr="000322E4">
        <w:rPr>
          <w:b/>
          <w:bCs/>
        </w:rPr>
        <w:instrText xml:space="preserve"> </w:instrText>
      </w:r>
      <w:r w:rsidR="00C37789" w:rsidRPr="000322E4">
        <w:rPr>
          <w:b/>
          <w:bCs/>
          <w:lang w:val="en-US"/>
        </w:rPr>
        <w:instrText>large</w:instrText>
      </w:r>
      <w:r w:rsidR="00C37789" w:rsidRPr="000322E4">
        <w:rPr>
          <w:b/>
          <w:bCs/>
        </w:rPr>
        <w:instrText xml:space="preserve"> </w:instrText>
      </w:r>
      <w:r w:rsidR="00C37789" w:rsidRPr="000322E4">
        <w:rPr>
          <w:b/>
          <w:bCs/>
          <w:lang w:val="en-US"/>
        </w:rPr>
        <w:instrText>B</w:instrText>
      </w:r>
      <w:r w:rsidR="00C37789" w:rsidRPr="000322E4">
        <w:rPr>
          <w:b/>
          <w:bCs/>
        </w:rPr>
        <w:instrText xml:space="preserve"> </w:instrText>
      </w:r>
      <w:r w:rsidR="00C37789" w:rsidRPr="000322E4">
        <w:rPr>
          <w:b/>
          <w:bCs/>
          <w:lang w:val="en-US"/>
        </w:rPr>
        <w:instrText>cell</w:instrText>
      </w:r>
      <w:r w:rsidR="00C37789" w:rsidRPr="000322E4">
        <w:rPr>
          <w:b/>
          <w:bCs/>
        </w:rPr>
        <w:instrText xml:space="preserve"> </w:instrText>
      </w:r>
      <w:r w:rsidR="00C37789" w:rsidRPr="000322E4">
        <w:rPr>
          <w:b/>
          <w:bCs/>
          <w:lang w:val="en-US"/>
        </w:rPr>
        <w:instrText>lymphoma</w:instrText>
      </w:r>
      <w:r w:rsidR="00C37789" w:rsidRPr="000322E4">
        <w:rPr>
          <w:b/>
          <w:bCs/>
        </w:rPr>
        <w:instrText xml:space="preserve"> (</w:instrText>
      </w:r>
      <w:r w:rsidR="00C37789" w:rsidRPr="000322E4">
        <w:rPr>
          <w:b/>
          <w:bCs/>
          <w:lang w:val="en-US"/>
        </w:rPr>
        <w:instrText>DLBCL</w:instrText>
      </w:r>
      <w:r w:rsidR="00C37789" w:rsidRPr="000322E4">
        <w:rPr>
          <w:b/>
          <w:bCs/>
        </w:rPr>
        <w:instrText xml:space="preserve">), </w:instrText>
      </w:r>
      <w:r w:rsidR="00C37789" w:rsidRPr="000322E4">
        <w:rPr>
          <w:b/>
          <w:bCs/>
          <w:lang w:val="en-US"/>
        </w:rPr>
        <w:instrText>it</w:instrText>
      </w:r>
      <w:r w:rsidR="00C37789" w:rsidRPr="000322E4">
        <w:rPr>
          <w:b/>
          <w:bCs/>
        </w:rPr>
        <w:instrText xml:space="preserve"> </w:instrText>
      </w:r>
      <w:r w:rsidR="00C37789" w:rsidRPr="000322E4">
        <w:rPr>
          <w:b/>
          <w:bCs/>
          <w:lang w:val="en-US"/>
        </w:rPr>
        <w:instrText>is</w:instrText>
      </w:r>
      <w:r w:rsidR="00C37789" w:rsidRPr="000322E4">
        <w:rPr>
          <w:b/>
          <w:bCs/>
        </w:rPr>
        <w:instrText xml:space="preserve"> </w:instrText>
      </w:r>
      <w:r w:rsidR="00C37789" w:rsidRPr="000322E4">
        <w:rPr>
          <w:b/>
          <w:bCs/>
          <w:lang w:val="en-US"/>
        </w:rPr>
        <w:instrText>still</w:instrText>
      </w:r>
      <w:r w:rsidR="00C37789" w:rsidRPr="000322E4">
        <w:rPr>
          <w:b/>
          <w:bCs/>
        </w:rPr>
        <w:instrText xml:space="preserve"> </w:instrText>
      </w:r>
      <w:r w:rsidR="00C37789" w:rsidRPr="000322E4">
        <w:rPr>
          <w:b/>
          <w:bCs/>
          <w:lang w:val="en-US"/>
        </w:rPr>
        <w:instrText>occasionally</w:instrText>
      </w:r>
      <w:r w:rsidR="00C37789" w:rsidRPr="000322E4">
        <w:rPr>
          <w:b/>
          <w:bCs/>
        </w:rPr>
        <w:instrText xml:space="preserve"> </w:instrText>
      </w:r>
      <w:r w:rsidR="00C37789" w:rsidRPr="000322E4">
        <w:rPr>
          <w:b/>
          <w:bCs/>
          <w:lang w:val="en-US"/>
        </w:rPr>
        <w:instrText>used</w:instrText>
      </w:r>
      <w:r w:rsidR="00C37789" w:rsidRPr="000322E4">
        <w:rPr>
          <w:b/>
          <w:bCs/>
        </w:rPr>
        <w:instrText xml:space="preserve"> </w:instrText>
      </w:r>
      <w:r w:rsidR="00C37789" w:rsidRPr="000322E4">
        <w:rPr>
          <w:b/>
          <w:bCs/>
          <w:lang w:val="en-US"/>
        </w:rPr>
        <w:instrText>as</w:instrText>
      </w:r>
      <w:r w:rsidR="00C37789" w:rsidRPr="000322E4">
        <w:rPr>
          <w:b/>
          <w:bCs/>
        </w:rPr>
        <w:instrText xml:space="preserve"> </w:instrText>
      </w:r>
      <w:r w:rsidR="00C37789" w:rsidRPr="000322E4">
        <w:rPr>
          <w:b/>
          <w:bCs/>
          <w:lang w:val="en-US"/>
        </w:rPr>
        <w:instrText>first</w:instrText>
      </w:r>
      <w:r w:rsidR="00C37789" w:rsidRPr="000322E4">
        <w:rPr>
          <w:b/>
          <w:bCs/>
        </w:rPr>
        <w:instrText>-</w:instrText>
      </w:r>
      <w:r w:rsidR="00C37789" w:rsidRPr="000322E4">
        <w:rPr>
          <w:b/>
          <w:bCs/>
          <w:lang w:val="en-US"/>
        </w:rPr>
        <w:instrText>line</w:instrText>
      </w:r>
      <w:r w:rsidR="00C37789" w:rsidRPr="000322E4">
        <w:rPr>
          <w:b/>
          <w:bCs/>
        </w:rPr>
        <w:instrText xml:space="preserve"> </w:instrText>
      </w:r>
      <w:r w:rsidR="00C37789" w:rsidRPr="000322E4">
        <w:rPr>
          <w:b/>
          <w:bCs/>
          <w:lang w:val="en-US"/>
        </w:rPr>
        <w:instrText>treatment</w:instrText>
      </w:r>
      <w:r w:rsidR="00C37789" w:rsidRPr="000322E4">
        <w:rPr>
          <w:b/>
          <w:bCs/>
        </w:rPr>
        <w:instrText xml:space="preserve"> </w:instrText>
      </w:r>
      <w:r w:rsidR="00C37789" w:rsidRPr="000322E4">
        <w:rPr>
          <w:b/>
          <w:bCs/>
          <w:lang w:val="en-US"/>
        </w:rPr>
        <w:instrText>in</w:instrText>
      </w:r>
      <w:r w:rsidR="00C37789" w:rsidRPr="000322E4">
        <w:rPr>
          <w:b/>
          <w:bCs/>
        </w:rPr>
        <w:instrText xml:space="preserve"> </w:instrText>
      </w:r>
      <w:r w:rsidR="00C37789" w:rsidRPr="000322E4">
        <w:rPr>
          <w:b/>
          <w:bCs/>
          <w:lang w:val="en-US"/>
        </w:rPr>
        <w:instrText>older</w:instrText>
      </w:r>
      <w:r w:rsidR="00C37789" w:rsidRPr="000322E4">
        <w:rPr>
          <w:b/>
          <w:bCs/>
        </w:rPr>
        <w:instrText xml:space="preserve"> </w:instrText>
      </w:r>
      <w:r w:rsidR="00C37789" w:rsidRPr="000322E4">
        <w:rPr>
          <w:b/>
          <w:bCs/>
          <w:lang w:val="en-US"/>
        </w:rPr>
        <w:instrText>DLBCL</w:instrText>
      </w:r>
      <w:r w:rsidR="00C37789" w:rsidRPr="000322E4">
        <w:rPr>
          <w:b/>
          <w:bCs/>
        </w:rPr>
        <w:instrText xml:space="preserve">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instead</w:instrText>
      </w:r>
      <w:r w:rsidR="00C37789" w:rsidRPr="000322E4">
        <w:rPr>
          <w:b/>
          <w:bCs/>
        </w:rPr>
        <w:instrText xml:space="preserve"> </w:instrText>
      </w:r>
      <w:r w:rsidR="00C37789" w:rsidRPr="000322E4">
        <w:rPr>
          <w:b/>
          <w:bCs/>
          <w:lang w:val="en-US"/>
        </w:rPr>
        <w:instrText>of</w:instrText>
      </w:r>
      <w:r w:rsidR="00C37789" w:rsidRPr="000322E4">
        <w:rPr>
          <w:b/>
          <w:bCs/>
        </w:rPr>
        <w:instrText xml:space="preserve"> </w:instrText>
      </w:r>
      <w:r w:rsidR="00C37789" w:rsidRPr="000322E4">
        <w:rPr>
          <w:b/>
          <w:bCs/>
          <w:lang w:val="en-US"/>
        </w:rPr>
        <w:instrText>recommended</w:instrText>
      </w:r>
      <w:r w:rsidR="00C37789" w:rsidRPr="000322E4">
        <w:rPr>
          <w:b/>
          <w:bCs/>
        </w:rPr>
        <w:instrText xml:space="preserve"> </w:instrText>
      </w:r>
      <w:r w:rsidR="00C37789" w:rsidRPr="000322E4">
        <w:rPr>
          <w:b/>
          <w:bCs/>
          <w:lang w:val="en-US"/>
        </w:rPr>
        <w:instrText>R</w:instrText>
      </w:r>
      <w:r w:rsidR="00C37789" w:rsidRPr="000322E4">
        <w:rPr>
          <w:b/>
          <w:bCs/>
        </w:rPr>
        <w:instrText>-</w:instrText>
      </w:r>
      <w:r w:rsidR="00C37789" w:rsidRPr="000322E4">
        <w:rPr>
          <w:b/>
          <w:bCs/>
          <w:lang w:val="en-US"/>
        </w:rPr>
        <w:instrText>CHOP</w:instrText>
      </w:r>
      <w:r w:rsidR="00C37789" w:rsidRPr="000322E4">
        <w:rPr>
          <w:b/>
          <w:bCs/>
        </w:rPr>
        <w:instrText xml:space="preserve">. </w:instrText>
      </w:r>
      <w:r w:rsidR="00C37789" w:rsidRPr="000322E4">
        <w:rPr>
          <w:b/>
          <w:bCs/>
          <w:lang w:val="en-US"/>
        </w:rPr>
        <w:instrText>This</w:instrText>
      </w:r>
      <w:r w:rsidR="00C37789" w:rsidRPr="000322E4">
        <w:rPr>
          <w:b/>
          <w:bCs/>
        </w:rPr>
        <w:instrText xml:space="preserve"> </w:instrText>
      </w:r>
      <w:r w:rsidR="00C37789" w:rsidRPr="000322E4">
        <w:rPr>
          <w:b/>
          <w:bCs/>
          <w:lang w:val="en-US"/>
        </w:rPr>
        <w:instrText>multicentre</w:instrText>
      </w:r>
      <w:r w:rsidR="00C37789" w:rsidRPr="000322E4">
        <w:rPr>
          <w:b/>
          <w:bCs/>
        </w:rPr>
        <w:instrText xml:space="preserve">, </w:instrText>
      </w:r>
      <w:r w:rsidR="00C37789" w:rsidRPr="000322E4">
        <w:rPr>
          <w:b/>
          <w:bCs/>
          <w:lang w:val="en-US"/>
        </w:rPr>
        <w:instrText>retrospective</w:instrText>
      </w:r>
      <w:r w:rsidR="00C37789" w:rsidRPr="000322E4">
        <w:rPr>
          <w:b/>
          <w:bCs/>
        </w:rPr>
        <w:instrText xml:space="preserve"> </w:instrText>
      </w:r>
      <w:r w:rsidR="00C37789" w:rsidRPr="000322E4">
        <w:rPr>
          <w:b/>
          <w:bCs/>
          <w:lang w:val="en-US"/>
        </w:rPr>
        <w:instrText>study</w:instrText>
      </w:r>
      <w:r w:rsidR="00C37789" w:rsidRPr="000322E4">
        <w:rPr>
          <w:b/>
          <w:bCs/>
        </w:rPr>
        <w:instrText xml:space="preserve"> </w:instrText>
      </w:r>
      <w:r w:rsidR="00C37789" w:rsidRPr="000322E4">
        <w:rPr>
          <w:b/>
          <w:bCs/>
          <w:lang w:val="en-US"/>
        </w:rPr>
        <w:instrText>was</w:instrText>
      </w:r>
      <w:r w:rsidR="00C37789" w:rsidRPr="000322E4">
        <w:rPr>
          <w:b/>
          <w:bCs/>
        </w:rPr>
        <w:instrText xml:space="preserve"> </w:instrText>
      </w:r>
      <w:r w:rsidR="00C37789" w:rsidRPr="000322E4">
        <w:rPr>
          <w:b/>
          <w:bCs/>
          <w:lang w:val="en-US"/>
        </w:rPr>
        <w:instrText>aimed</w:instrText>
      </w:r>
      <w:r w:rsidR="00C37789" w:rsidRPr="000322E4">
        <w:rPr>
          <w:b/>
          <w:bCs/>
        </w:rPr>
        <w:instrText xml:space="preserve"> </w:instrText>
      </w:r>
      <w:r w:rsidR="00C37789" w:rsidRPr="000322E4">
        <w:rPr>
          <w:b/>
          <w:bCs/>
          <w:lang w:val="en-US"/>
        </w:rPr>
        <w:instrText>to</w:instrText>
      </w:r>
      <w:r w:rsidR="00C37789" w:rsidRPr="000322E4">
        <w:rPr>
          <w:b/>
          <w:bCs/>
        </w:rPr>
        <w:instrText xml:space="preserve"> </w:instrText>
      </w:r>
      <w:r w:rsidR="00C37789" w:rsidRPr="000322E4">
        <w:rPr>
          <w:b/>
          <w:bCs/>
          <w:lang w:val="en-US"/>
        </w:rPr>
        <w:instrText>clarify</w:instrText>
      </w:r>
      <w:r w:rsidR="00C37789" w:rsidRPr="000322E4">
        <w:rPr>
          <w:b/>
          <w:bCs/>
        </w:rPr>
        <w:instrText xml:space="preserve"> </w:instrText>
      </w:r>
      <w:r w:rsidR="00C37789" w:rsidRPr="000322E4">
        <w:rPr>
          <w:b/>
          <w:bCs/>
          <w:lang w:val="en-US"/>
        </w:rPr>
        <w:instrText>circumstances</w:instrText>
      </w:r>
      <w:r w:rsidR="00C37789" w:rsidRPr="000322E4">
        <w:rPr>
          <w:b/>
          <w:bCs/>
        </w:rPr>
        <w:instrText xml:space="preserve"> </w:instrText>
      </w:r>
      <w:r w:rsidR="00C37789" w:rsidRPr="000322E4">
        <w:rPr>
          <w:b/>
          <w:bCs/>
          <w:lang w:val="en-US"/>
        </w:rPr>
        <w:instrText>in</w:instrText>
      </w:r>
      <w:r w:rsidR="00C37789" w:rsidRPr="000322E4">
        <w:rPr>
          <w:b/>
          <w:bCs/>
        </w:rPr>
        <w:instrText xml:space="preserve"> </w:instrText>
      </w:r>
      <w:r w:rsidR="00C37789" w:rsidRPr="000322E4">
        <w:rPr>
          <w:b/>
          <w:bCs/>
          <w:lang w:val="en-US"/>
        </w:rPr>
        <w:instrText>which</w:instrText>
      </w:r>
      <w:r w:rsidR="00C37789" w:rsidRPr="000322E4">
        <w:rPr>
          <w:b/>
          <w:bCs/>
        </w:rPr>
        <w:instrText xml:space="preserve"> </w:instrText>
      </w:r>
      <w:r w:rsidR="00C37789" w:rsidRPr="000322E4">
        <w:rPr>
          <w:b/>
          <w:bCs/>
          <w:lang w:val="en-US"/>
        </w:rPr>
        <w:instrText>BR</w:instrText>
      </w:r>
      <w:r w:rsidR="00C37789" w:rsidRPr="000322E4">
        <w:rPr>
          <w:b/>
          <w:bCs/>
        </w:rPr>
        <w:instrText xml:space="preserve"> </w:instrText>
      </w:r>
      <w:r w:rsidR="00C37789" w:rsidRPr="000322E4">
        <w:rPr>
          <w:b/>
          <w:bCs/>
          <w:lang w:val="en-US"/>
        </w:rPr>
        <w:instrText>may</w:instrText>
      </w:r>
      <w:r w:rsidR="00C37789" w:rsidRPr="000322E4">
        <w:rPr>
          <w:b/>
          <w:bCs/>
        </w:rPr>
        <w:instrText xml:space="preserve"> </w:instrText>
      </w:r>
      <w:r w:rsidR="00C37789" w:rsidRPr="000322E4">
        <w:rPr>
          <w:b/>
          <w:bCs/>
          <w:lang w:val="en-US"/>
        </w:rPr>
        <w:instrText>be</w:instrText>
      </w:r>
      <w:r w:rsidR="00C37789" w:rsidRPr="000322E4">
        <w:rPr>
          <w:b/>
          <w:bCs/>
        </w:rPr>
        <w:instrText xml:space="preserve"> </w:instrText>
      </w:r>
      <w:r w:rsidR="00C37789" w:rsidRPr="000322E4">
        <w:rPr>
          <w:b/>
          <w:bCs/>
          <w:lang w:val="en-US"/>
        </w:rPr>
        <w:instrText>justified</w:instrText>
      </w:r>
      <w:r w:rsidR="00C37789" w:rsidRPr="000322E4">
        <w:rPr>
          <w:b/>
          <w:bCs/>
        </w:rPr>
        <w:instrText xml:space="preserve"> </w:instrText>
      </w:r>
      <w:r w:rsidR="00C37789" w:rsidRPr="000322E4">
        <w:rPr>
          <w:b/>
          <w:bCs/>
          <w:lang w:val="en-US"/>
        </w:rPr>
        <w:instrText>in</w:instrText>
      </w:r>
      <w:r w:rsidR="00C37789" w:rsidRPr="000322E4">
        <w:rPr>
          <w:b/>
          <w:bCs/>
        </w:rPr>
        <w:instrText xml:space="preserve"> </w:instrText>
      </w:r>
      <w:r w:rsidR="00C37789" w:rsidRPr="000322E4">
        <w:rPr>
          <w:b/>
          <w:bCs/>
          <w:lang w:val="en-US"/>
        </w:rPr>
        <w:instrText>this</w:instrText>
      </w:r>
      <w:r w:rsidR="00C37789" w:rsidRPr="000322E4">
        <w:rPr>
          <w:b/>
          <w:bCs/>
        </w:rPr>
        <w:instrText xml:space="preserve"> </w:instrText>
      </w:r>
      <w:r w:rsidR="00C37789" w:rsidRPr="000322E4">
        <w:rPr>
          <w:b/>
          <w:bCs/>
          <w:lang w:val="en-US"/>
        </w:rPr>
        <w:instrText>setting</w:instrText>
      </w:r>
      <w:r w:rsidR="00C37789" w:rsidRPr="000322E4">
        <w:rPr>
          <w:b/>
          <w:bCs/>
        </w:rPr>
        <w:instrText xml:space="preserve">. </w:instrText>
      </w:r>
      <w:r w:rsidR="00C37789" w:rsidRPr="000322E4">
        <w:rPr>
          <w:b/>
          <w:bCs/>
          <w:lang w:val="en-US"/>
        </w:rPr>
        <w:instrText>Patients</w:instrText>
      </w:r>
      <w:r w:rsidR="00C37789" w:rsidRPr="000322E4">
        <w:rPr>
          <w:b/>
          <w:bCs/>
        </w:rPr>
        <w:instrText xml:space="preserve"> ≥ 65 </w:instrText>
      </w:r>
      <w:r w:rsidR="00C37789" w:rsidRPr="000322E4">
        <w:rPr>
          <w:b/>
          <w:bCs/>
          <w:lang w:val="en-US"/>
        </w:rPr>
        <w:instrText>years</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ECOG</w:instrText>
      </w:r>
      <w:r w:rsidR="00C37789" w:rsidRPr="000322E4">
        <w:rPr>
          <w:b/>
          <w:bCs/>
        </w:rPr>
        <w:instrText xml:space="preserve"> </w:instrText>
      </w:r>
      <w:r w:rsidR="00C37789" w:rsidRPr="000322E4">
        <w:rPr>
          <w:b/>
          <w:bCs/>
          <w:lang w:val="en-US"/>
        </w:rPr>
        <w:instrText>performance</w:instrText>
      </w:r>
      <w:r w:rsidR="00C37789" w:rsidRPr="000322E4">
        <w:rPr>
          <w:b/>
          <w:bCs/>
        </w:rPr>
        <w:instrText xml:space="preserve"> </w:instrText>
      </w:r>
      <w:r w:rsidR="00C37789" w:rsidRPr="000322E4">
        <w:rPr>
          <w:b/>
          <w:bCs/>
          <w:lang w:val="en-US"/>
        </w:rPr>
        <w:instrText>status</w:instrText>
      </w:r>
      <w:r w:rsidR="00C37789" w:rsidRPr="000322E4">
        <w:rPr>
          <w:b/>
          <w:bCs/>
        </w:rPr>
        <w:instrText xml:space="preserve"> (</w:instrText>
      </w:r>
      <w:r w:rsidR="00C37789" w:rsidRPr="000322E4">
        <w:rPr>
          <w:b/>
          <w:bCs/>
          <w:lang w:val="en-US"/>
        </w:rPr>
        <w:instrText>PS</w:instrText>
      </w:r>
      <w:r w:rsidR="00C37789" w:rsidRPr="000322E4">
        <w:rPr>
          <w:b/>
          <w:bCs/>
        </w:rPr>
        <w:instrText xml:space="preserve">) ≥ 2 </w:instrText>
      </w:r>
      <w:r w:rsidR="00C37789" w:rsidRPr="000322E4">
        <w:rPr>
          <w:b/>
          <w:bCs/>
          <w:lang w:val="en-US"/>
        </w:rPr>
        <w:instrText>or</w:instrText>
      </w:r>
      <w:r w:rsidR="00C37789" w:rsidRPr="000322E4">
        <w:rPr>
          <w:b/>
          <w:bCs/>
        </w:rPr>
        <w:instrText xml:space="preserve"> ≥ 75 </w:instrText>
      </w:r>
      <w:r w:rsidR="00C37789" w:rsidRPr="000322E4">
        <w:rPr>
          <w:b/>
          <w:bCs/>
          <w:lang w:val="en-US"/>
        </w:rPr>
        <w:instrText>years</w:instrText>
      </w:r>
      <w:r w:rsidR="00C37789" w:rsidRPr="000322E4">
        <w:rPr>
          <w:b/>
          <w:bCs/>
        </w:rPr>
        <w:instrText xml:space="preserve"> </w:instrText>
      </w:r>
      <w:r w:rsidR="00C37789" w:rsidRPr="000322E4">
        <w:rPr>
          <w:b/>
          <w:bCs/>
          <w:lang w:val="en-US"/>
        </w:rPr>
        <w:instrText>regardless</w:instrText>
      </w:r>
      <w:r w:rsidR="00C37789" w:rsidRPr="000322E4">
        <w:rPr>
          <w:b/>
          <w:bCs/>
        </w:rPr>
        <w:instrText xml:space="preserve"> </w:instrText>
      </w:r>
      <w:r w:rsidR="00C37789" w:rsidRPr="000322E4">
        <w:rPr>
          <w:b/>
          <w:bCs/>
          <w:lang w:val="en-US"/>
        </w:rPr>
        <w:instrText>of</w:instrText>
      </w:r>
      <w:r w:rsidR="00C37789" w:rsidRPr="000322E4">
        <w:rPr>
          <w:b/>
          <w:bCs/>
        </w:rPr>
        <w:instrText xml:space="preserve"> </w:instrText>
      </w:r>
      <w:r w:rsidR="00C37789" w:rsidRPr="000322E4">
        <w:rPr>
          <w:b/>
          <w:bCs/>
          <w:lang w:val="en-US"/>
        </w:rPr>
        <w:instrText>PS</w:instrText>
      </w:r>
      <w:r w:rsidR="00C37789" w:rsidRPr="000322E4">
        <w:rPr>
          <w:b/>
          <w:bCs/>
        </w:rPr>
        <w:instrText xml:space="preserve"> </w:instrText>
      </w:r>
      <w:r w:rsidR="00C37789" w:rsidRPr="000322E4">
        <w:rPr>
          <w:b/>
          <w:bCs/>
          <w:lang w:val="en-US"/>
        </w:rPr>
        <w:instrText>were</w:instrText>
      </w:r>
      <w:r w:rsidR="00C37789" w:rsidRPr="000322E4">
        <w:rPr>
          <w:b/>
          <w:bCs/>
        </w:rPr>
        <w:instrText xml:space="preserve"> </w:instrText>
      </w:r>
      <w:r w:rsidR="00C37789" w:rsidRPr="000322E4">
        <w:rPr>
          <w:b/>
          <w:bCs/>
          <w:lang w:val="en-US"/>
        </w:rPr>
        <w:instrText>included</w:instrText>
      </w:r>
      <w:r w:rsidR="00C37789" w:rsidRPr="000322E4">
        <w:rPr>
          <w:b/>
          <w:bCs/>
        </w:rPr>
        <w:instrText xml:space="preserve">. </w:instrText>
      </w:r>
      <w:r w:rsidR="00C37789" w:rsidRPr="000322E4">
        <w:rPr>
          <w:b/>
          <w:bCs/>
          <w:lang w:val="en-US"/>
        </w:rPr>
        <w:instrText>A</w:instrText>
      </w:r>
      <w:r w:rsidR="00C37789" w:rsidRPr="000322E4">
        <w:rPr>
          <w:b/>
          <w:bCs/>
        </w:rPr>
        <w:instrText xml:space="preserve"> </w:instrText>
      </w:r>
      <w:r w:rsidR="00C37789" w:rsidRPr="000322E4">
        <w:rPr>
          <w:b/>
          <w:bCs/>
          <w:lang w:val="en-US"/>
        </w:rPr>
        <w:instrText>total</w:instrText>
      </w:r>
      <w:r w:rsidR="00C37789" w:rsidRPr="000322E4">
        <w:rPr>
          <w:b/>
          <w:bCs/>
        </w:rPr>
        <w:instrText xml:space="preserve"> </w:instrText>
      </w:r>
      <w:r w:rsidR="00C37789" w:rsidRPr="000322E4">
        <w:rPr>
          <w:b/>
          <w:bCs/>
          <w:lang w:val="en-US"/>
        </w:rPr>
        <w:instrText>of</w:instrText>
      </w:r>
      <w:r w:rsidR="00C37789" w:rsidRPr="000322E4">
        <w:rPr>
          <w:b/>
          <w:bCs/>
        </w:rPr>
        <w:instrText xml:space="preserve"> 140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were</w:instrText>
      </w:r>
      <w:r w:rsidR="00C37789" w:rsidRPr="000322E4">
        <w:rPr>
          <w:b/>
          <w:bCs/>
        </w:rPr>
        <w:instrText xml:space="preserve"> </w:instrText>
      </w:r>
      <w:r w:rsidR="00C37789" w:rsidRPr="000322E4">
        <w:rPr>
          <w:b/>
          <w:bCs/>
          <w:lang w:val="en-US"/>
        </w:rPr>
        <w:instrText>analysed</w:instrText>
      </w:r>
      <w:r w:rsidR="00C37789" w:rsidRPr="000322E4">
        <w:rPr>
          <w:b/>
          <w:bCs/>
        </w:rPr>
        <w:instrText xml:space="preserve"> (</w:instrText>
      </w:r>
      <w:r w:rsidR="00C37789" w:rsidRPr="000322E4">
        <w:rPr>
          <w:b/>
          <w:bCs/>
          <w:lang w:val="en-US"/>
        </w:rPr>
        <w:instrText>BR</w:instrText>
      </w:r>
      <w:r w:rsidR="00C37789" w:rsidRPr="000322E4">
        <w:rPr>
          <w:b/>
          <w:bCs/>
        </w:rPr>
        <w:instrText xml:space="preserve">, 68; </w:instrText>
      </w:r>
      <w:r w:rsidR="00C37789" w:rsidRPr="000322E4">
        <w:rPr>
          <w:b/>
          <w:bCs/>
          <w:lang w:val="en-US"/>
        </w:rPr>
        <w:instrText>R</w:instrText>
      </w:r>
      <w:r w:rsidR="00C37789" w:rsidRPr="000322E4">
        <w:rPr>
          <w:b/>
          <w:bCs/>
        </w:rPr>
        <w:instrText>-</w:instrText>
      </w:r>
      <w:r w:rsidR="00C37789" w:rsidRPr="000322E4">
        <w:rPr>
          <w:b/>
          <w:bCs/>
          <w:lang w:val="en-US"/>
        </w:rPr>
        <w:instrText>CHOP</w:instrText>
      </w:r>
      <w:r w:rsidR="00C37789" w:rsidRPr="000322E4">
        <w:rPr>
          <w:b/>
          <w:bCs/>
        </w:rPr>
        <w:instrText xml:space="preserve">, 72). </w:instrText>
      </w:r>
      <w:r w:rsidR="00C37789" w:rsidRPr="000322E4">
        <w:rPr>
          <w:b/>
          <w:bCs/>
          <w:lang w:val="en-US"/>
        </w:rPr>
        <w:instrText>BR</w:instrText>
      </w:r>
      <w:r w:rsidR="00C37789" w:rsidRPr="000322E4">
        <w:rPr>
          <w:b/>
          <w:bCs/>
        </w:rPr>
        <w:instrText xml:space="preserve">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were</w:instrText>
      </w:r>
      <w:r w:rsidR="00C37789" w:rsidRPr="000322E4">
        <w:rPr>
          <w:b/>
          <w:bCs/>
        </w:rPr>
        <w:instrText xml:space="preserve"> </w:instrText>
      </w:r>
      <w:r w:rsidR="00C37789" w:rsidRPr="000322E4">
        <w:rPr>
          <w:b/>
          <w:bCs/>
          <w:lang w:val="en-US"/>
        </w:rPr>
        <w:instrText>older</w:instrText>
      </w:r>
      <w:r w:rsidR="00C37789" w:rsidRPr="000322E4">
        <w:rPr>
          <w:b/>
          <w:bCs/>
        </w:rPr>
        <w:instrText xml:space="preserve"> (</w:instrText>
      </w:r>
      <w:r w:rsidR="00C37789" w:rsidRPr="000322E4">
        <w:rPr>
          <w:b/>
          <w:bCs/>
          <w:lang w:val="en-US"/>
        </w:rPr>
        <w:instrText>p</w:instrText>
      </w:r>
      <w:r w:rsidR="00C37789" w:rsidRPr="000322E4">
        <w:rPr>
          <w:b/>
          <w:bCs/>
        </w:rPr>
        <w:instrText xml:space="preserve"> &lt; 0.001) </w:instrText>
      </w:r>
      <w:r w:rsidR="00C37789" w:rsidRPr="000322E4">
        <w:rPr>
          <w:b/>
          <w:bCs/>
          <w:lang w:val="en-US"/>
        </w:rPr>
        <w:instrText>and</w:instrText>
      </w:r>
      <w:r w:rsidR="00C37789" w:rsidRPr="000322E4">
        <w:rPr>
          <w:b/>
          <w:bCs/>
        </w:rPr>
        <w:instrText xml:space="preserve"> </w:instrText>
      </w:r>
      <w:r w:rsidR="00C37789" w:rsidRPr="000322E4">
        <w:rPr>
          <w:b/>
          <w:bCs/>
          <w:lang w:val="en-US"/>
        </w:rPr>
        <w:instrText>were</w:instrText>
      </w:r>
      <w:r w:rsidR="00C37789" w:rsidRPr="000322E4">
        <w:rPr>
          <w:b/>
          <w:bCs/>
        </w:rPr>
        <w:instrText xml:space="preserve"> </w:instrText>
      </w:r>
      <w:r w:rsidR="00C37789" w:rsidRPr="000322E4">
        <w:rPr>
          <w:b/>
          <w:bCs/>
          <w:lang w:val="en-US"/>
        </w:rPr>
        <w:instrText>diagnosed</w:instrText>
      </w:r>
      <w:r w:rsidR="00C37789" w:rsidRPr="000322E4">
        <w:rPr>
          <w:b/>
          <w:bCs/>
        </w:rPr>
        <w:instrText xml:space="preserve"> </w:instrText>
      </w:r>
      <w:r w:rsidR="00C37789" w:rsidRPr="000322E4">
        <w:rPr>
          <w:b/>
          <w:bCs/>
          <w:lang w:val="en-US"/>
        </w:rPr>
        <w:instrText>more</w:instrText>
      </w:r>
      <w:r w:rsidR="00C37789" w:rsidRPr="000322E4">
        <w:rPr>
          <w:b/>
          <w:bCs/>
        </w:rPr>
        <w:instrText xml:space="preserve"> </w:instrText>
      </w:r>
      <w:r w:rsidR="00C37789" w:rsidRPr="000322E4">
        <w:rPr>
          <w:b/>
          <w:bCs/>
          <w:lang w:val="en-US"/>
        </w:rPr>
        <w:instrText>often</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high</w:instrText>
      </w:r>
      <w:r w:rsidR="00C37789" w:rsidRPr="000322E4">
        <w:rPr>
          <w:b/>
          <w:bCs/>
        </w:rPr>
        <w:instrText>-</w:instrText>
      </w:r>
      <w:r w:rsidR="00C37789" w:rsidRPr="000322E4">
        <w:rPr>
          <w:b/>
          <w:bCs/>
          <w:lang w:val="en-US"/>
        </w:rPr>
        <w:instrText>risk</w:instrText>
      </w:r>
      <w:r w:rsidR="00C37789" w:rsidRPr="000322E4">
        <w:rPr>
          <w:b/>
          <w:bCs/>
        </w:rPr>
        <w:instrText xml:space="preserve"> </w:instrText>
      </w:r>
      <w:r w:rsidR="00C37789" w:rsidRPr="000322E4">
        <w:rPr>
          <w:b/>
          <w:bCs/>
          <w:lang w:val="en-US"/>
        </w:rPr>
        <w:instrText>disease</w:instrText>
      </w:r>
      <w:r w:rsidR="00C37789" w:rsidRPr="000322E4">
        <w:rPr>
          <w:b/>
          <w:bCs/>
        </w:rPr>
        <w:instrText xml:space="preserve"> (</w:instrText>
      </w:r>
      <w:r w:rsidR="00C37789" w:rsidRPr="000322E4">
        <w:rPr>
          <w:b/>
          <w:bCs/>
          <w:lang w:val="en-US"/>
        </w:rPr>
        <w:instrText>p</w:instrText>
      </w:r>
      <w:r w:rsidR="00C37789" w:rsidRPr="000322E4">
        <w:rPr>
          <w:b/>
          <w:bCs/>
        </w:rPr>
        <w:instrText xml:space="preserve"> = 0.03); </w:instrText>
      </w:r>
      <w:r w:rsidR="00C37789" w:rsidRPr="000322E4">
        <w:rPr>
          <w:b/>
          <w:bCs/>
          <w:lang w:val="en-US"/>
        </w:rPr>
        <w:instrText>no</w:instrText>
      </w:r>
      <w:r w:rsidR="00C37789" w:rsidRPr="000322E4">
        <w:rPr>
          <w:b/>
          <w:bCs/>
        </w:rPr>
        <w:instrText xml:space="preserve"> </w:instrText>
      </w:r>
      <w:r w:rsidR="00C37789" w:rsidRPr="000322E4">
        <w:rPr>
          <w:b/>
          <w:bCs/>
          <w:lang w:val="en-US"/>
        </w:rPr>
        <w:instrText>difference</w:instrText>
      </w:r>
      <w:r w:rsidR="00C37789" w:rsidRPr="000322E4">
        <w:rPr>
          <w:b/>
          <w:bCs/>
        </w:rPr>
        <w:instrText xml:space="preserve"> </w:instrText>
      </w:r>
      <w:r w:rsidR="00C37789" w:rsidRPr="000322E4">
        <w:rPr>
          <w:b/>
          <w:bCs/>
          <w:lang w:val="en-US"/>
        </w:rPr>
        <w:instrText>regarding</w:instrText>
      </w:r>
      <w:r w:rsidR="00C37789" w:rsidRPr="000322E4">
        <w:rPr>
          <w:b/>
          <w:bCs/>
        </w:rPr>
        <w:instrText xml:space="preserve"> </w:instrText>
      </w:r>
      <w:r w:rsidR="00C37789" w:rsidRPr="000322E4">
        <w:rPr>
          <w:b/>
          <w:bCs/>
          <w:lang w:val="en-US"/>
        </w:rPr>
        <w:instrText>comorbidities</w:instrText>
      </w:r>
      <w:r w:rsidR="00C37789" w:rsidRPr="000322E4">
        <w:rPr>
          <w:b/>
          <w:bCs/>
        </w:rPr>
        <w:instrText xml:space="preserve"> </w:instrText>
      </w:r>
      <w:r w:rsidR="00C37789" w:rsidRPr="000322E4">
        <w:rPr>
          <w:b/>
          <w:bCs/>
          <w:lang w:val="en-US"/>
        </w:rPr>
        <w:instrText>or</w:instrText>
      </w:r>
      <w:r w:rsidR="00C37789" w:rsidRPr="000322E4">
        <w:rPr>
          <w:b/>
          <w:bCs/>
        </w:rPr>
        <w:instrText xml:space="preserve"> </w:instrText>
      </w:r>
      <w:r w:rsidR="00C37789" w:rsidRPr="000322E4">
        <w:rPr>
          <w:b/>
          <w:bCs/>
          <w:lang w:val="en-US"/>
        </w:rPr>
        <w:instrText>PS</w:instrText>
      </w:r>
      <w:r w:rsidR="00C37789" w:rsidRPr="000322E4">
        <w:rPr>
          <w:b/>
          <w:bCs/>
        </w:rPr>
        <w:instrText xml:space="preserve"> </w:instrText>
      </w:r>
      <w:r w:rsidR="00C37789" w:rsidRPr="000322E4">
        <w:rPr>
          <w:b/>
          <w:bCs/>
          <w:lang w:val="en-US"/>
        </w:rPr>
        <w:instrText>was</w:instrText>
      </w:r>
      <w:r w:rsidR="00C37789" w:rsidRPr="000322E4">
        <w:rPr>
          <w:b/>
          <w:bCs/>
        </w:rPr>
        <w:instrText xml:space="preserve"> </w:instrText>
      </w:r>
      <w:r w:rsidR="00C37789" w:rsidRPr="000322E4">
        <w:rPr>
          <w:b/>
          <w:bCs/>
          <w:lang w:val="en-US"/>
        </w:rPr>
        <w:instrText>seen</w:instrText>
      </w:r>
      <w:r w:rsidR="00C37789" w:rsidRPr="000322E4">
        <w:rPr>
          <w:b/>
          <w:bCs/>
        </w:rPr>
        <w:instrText xml:space="preserve">. </w:instrText>
      </w:r>
      <w:r w:rsidR="00C37789" w:rsidRPr="000322E4">
        <w:rPr>
          <w:b/>
          <w:bCs/>
          <w:lang w:val="en-US"/>
        </w:rPr>
        <w:instrText>Compared</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R</w:instrText>
      </w:r>
      <w:r w:rsidR="00C37789" w:rsidRPr="000322E4">
        <w:rPr>
          <w:b/>
          <w:bCs/>
        </w:rPr>
        <w:instrText>-</w:instrText>
      </w:r>
      <w:r w:rsidR="00C37789" w:rsidRPr="000322E4">
        <w:rPr>
          <w:b/>
          <w:bCs/>
          <w:lang w:val="en-US"/>
        </w:rPr>
        <w:instrText>CHOP</w:instrText>
      </w:r>
      <w:r w:rsidR="00C37789" w:rsidRPr="000322E4">
        <w:rPr>
          <w:b/>
          <w:bCs/>
        </w:rPr>
        <w:instrText xml:space="preserve">, </w:instrText>
      </w:r>
      <w:r w:rsidR="00C37789" w:rsidRPr="000322E4">
        <w:rPr>
          <w:b/>
          <w:bCs/>
          <w:lang w:val="en-US"/>
        </w:rPr>
        <w:instrText>BR</w:instrText>
      </w:r>
      <w:r w:rsidR="00C37789" w:rsidRPr="000322E4">
        <w:rPr>
          <w:b/>
          <w:bCs/>
        </w:rPr>
        <w:instrText xml:space="preserve"> </w:instrText>
      </w:r>
      <w:r w:rsidR="00C37789" w:rsidRPr="000322E4">
        <w:rPr>
          <w:b/>
          <w:bCs/>
          <w:lang w:val="en-US"/>
        </w:rPr>
        <w:instrText>was</w:instrText>
      </w:r>
      <w:r w:rsidR="00C37789" w:rsidRPr="000322E4">
        <w:rPr>
          <w:b/>
          <w:bCs/>
        </w:rPr>
        <w:instrText xml:space="preserve"> </w:instrText>
      </w:r>
      <w:r w:rsidR="00C37789" w:rsidRPr="000322E4">
        <w:rPr>
          <w:b/>
          <w:bCs/>
          <w:lang w:val="en-US"/>
        </w:rPr>
        <w:instrText>associated</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marked</w:instrText>
      </w:r>
      <w:r w:rsidR="00C37789" w:rsidRPr="000322E4">
        <w:rPr>
          <w:b/>
          <w:bCs/>
        </w:rPr>
        <w:instrText xml:space="preserve"> </w:instrText>
      </w:r>
      <w:r w:rsidR="00C37789" w:rsidRPr="000322E4">
        <w:rPr>
          <w:b/>
          <w:bCs/>
          <w:lang w:val="en-US"/>
        </w:rPr>
        <w:instrText>inferior</w:instrText>
      </w:r>
      <w:r w:rsidR="00C37789" w:rsidRPr="000322E4">
        <w:rPr>
          <w:b/>
          <w:bCs/>
        </w:rPr>
        <w:instrText xml:space="preserve"> </w:instrText>
      </w:r>
      <w:r w:rsidR="00C37789" w:rsidRPr="000322E4">
        <w:rPr>
          <w:b/>
          <w:bCs/>
          <w:lang w:val="en-US"/>
        </w:rPr>
        <w:instrText>overall</w:instrText>
      </w:r>
      <w:r w:rsidR="00C37789" w:rsidRPr="000322E4">
        <w:rPr>
          <w:b/>
          <w:bCs/>
        </w:rPr>
        <w:instrText xml:space="preserve"> </w:instrText>
      </w:r>
      <w:r w:rsidR="00C37789" w:rsidRPr="000322E4">
        <w:rPr>
          <w:b/>
          <w:bCs/>
          <w:lang w:val="en-US"/>
        </w:rPr>
        <w:instrText>survival</w:instrText>
      </w:r>
      <w:r w:rsidR="00C37789" w:rsidRPr="000322E4">
        <w:rPr>
          <w:b/>
          <w:bCs/>
        </w:rPr>
        <w:instrText xml:space="preserve"> (</w:instrText>
      </w:r>
      <w:r w:rsidR="00C37789" w:rsidRPr="000322E4">
        <w:rPr>
          <w:b/>
          <w:bCs/>
          <w:lang w:val="en-US"/>
        </w:rPr>
        <w:instrText>OS</w:instrText>
      </w:r>
      <w:r w:rsidR="00C37789" w:rsidRPr="000322E4">
        <w:rPr>
          <w:b/>
          <w:bCs/>
        </w:rPr>
        <w:instrText xml:space="preserve">) (16.3 </w:instrText>
      </w:r>
      <w:r w:rsidR="00C37789" w:rsidRPr="000322E4">
        <w:rPr>
          <w:b/>
          <w:bCs/>
          <w:lang w:val="en-US"/>
        </w:rPr>
        <w:instrText>vs</w:instrText>
      </w:r>
      <w:r w:rsidR="00C37789" w:rsidRPr="000322E4">
        <w:rPr>
          <w:b/>
          <w:bCs/>
        </w:rPr>
        <w:instrText xml:space="preserve">. 75.4 </w:instrText>
      </w:r>
      <w:r w:rsidR="00C37789" w:rsidRPr="000322E4">
        <w:rPr>
          <w:b/>
          <w:bCs/>
          <w:lang w:val="en-US"/>
        </w:rPr>
        <w:instrText>months</w:instrText>
      </w:r>
      <w:r w:rsidR="00C37789" w:rsidRPr="000322E4">
        <w:rPr>
          <w:b/>
          <w:bCs/>
        </w:rPr>
        <w:instrText xml:space="preserve">; </w:instrText>
      </w:r>
      <w:r w:rsidR="00C37789" w:rsidRPr="000322E4">
        <w:rPr>
          <w:b/>
          <w:bCs/>
          <w:lang w:val="en-US"/>
        </w:rPr>
        <w:instrText>p</w:instrText>
      </w:r>
      <w:r w:rsidR="00C37789" w:rsidRPr="000322E4">
        <w:rPr>
          <w:b/>
          <w:bCs/>
        </w:rPr>
        <w:instrText xml:space="preserve"> = 0.006) </w:instrText>
      </w:r>
      <w:r w:rsidR="00C37789" w:rsidRPr="000322E4">
        <w:rPr>
          <w:b/>
          <w:bCs/>
          <w:lang w:val="en-US"/>
        </w:rPr>
        <w:instrText>and</w:instrText>
      </w:r>
      <w:r w:rsidR="00C37789" w:rsidRPr="000322E4">
        <w:rPr>
          <w:b/>
          <w:bCs/>
        </w:rPr>
        <w:instrText xml:space="preserve"> </w:instrText>
      </w:r>
      <w:r w:rsidR="00C37789" w:rsidRPr="000322E4">
        <w:rPr>
          <w:b/>
          <w:bCs/>
          <w:lang w:val="en-US"/>
        </w:rPr>
        <w:instrText>progression</w:instrText>
      </w:r>
      <w:r w:rsidR="00C37789" w:rsidRPr="000322E4">
        <w:rPr>
          <w:b/>
          <w:bCs/>
        </w:rPr>
        <w:instrText>-</w:instrText>
      </w:r>
      <w:r w:rsidR="00C37789" w:rsidRPr="000322E4">
        <w:rPr>
          <w:b/>
          <w:bCs/>
          <w:lang w:val="en-US"/>
        </w:rPr>
        <w:instrText>free</w:instrText>
      </w:r>
      <w:r w:rsidR="00C37789" w:rsidRPr="000322E4">
        <w:rPr>
          <w:b/>
          <w:bCs/>
        </w:rPr>
        <w:instrText xml:space="preserve"> </w:instrText>
      </w:r>
      <w:r w:rsidR="00C37789" w:rsidRPr="000322E4">
        <w:rPr>
          <w:b/>
          <w:bCs/>
          <w:lang w:val="en-US"/>
        </w:rPr>
        <w:instrText>survival</w:instrText>
      </w:r>
      <w:r w:rsidR="00C37789" w:rsidRPr="000322E4">
        <w:rPr>
          <w:b/>
          <w:bCs/>
        </w:rPr>
        <w:instrText xml:space="preserve"> (</w:instrText>
      </w:r>
      <w:r w:rsidR="00C37789" w:rsidRPr="000322E4">
        <w:rPr>
          <w:b/>
          <w:bCs/>
          <w:lang w:val="en-US"/>
        </w:rPr>
        <w:instrText>PFS</w:instrText>
      </w:r>
      <w:r w:rsidR="00C37789" w:rsidRPr="000322E4">
        <w:rPr>
          <w:b/>
          <w:bCs/>
        </w:rPr>
        <w:instrText xml:space="preserve">) (11.0 </w:instrText>
      </w:r>
      <w:r w:rsidR="00C37789" w:rsidRPr="000322E4">
        <w:rPr>
          <w:b/>
          <w:bCs/>
          <w:lang w:val="en-US"/>
        </w:rPr>
        <w:instrText>vs</w:instrText>
      </w:r>
      <w:r w:rsidR="00C37789" w:rsidRPr="000322E4">
        <w:rPr>
          <w:b/>
          <w:bCs/>
        </w:rPr>
        <w:instrText xml:space="preserve">. 62.3 </w:instrText>
      </w:r>
      <w:r w:rsidR="00C37789" w:rsidRPr="000322E4">
        <w:rPr>
          <w:b/>
          <w:bCs/>
          <w:lang w:val="en-US"/>
        </w:rPr>
        <w:instrText>months</w:instrText>
      </w:r>
      <w:r w:rsidR="00C37789" w:rsidRPr="000322E4">
        <w:rPr>
          <w:b/>
          <w:bCs/>
        </w:rPr>
        <w:instrText xml:space="preserve">; </w:instrText>
      </w:r>
      <w:r w:rsidR="00C37789" w:rsidRPr="000322E4">
        <w:rPr>
          <w:b/>
          <w:bCs/>
          <w:lang w:val="en-US"/>
        </w:rPr>
        <w:instrText>p</w:instrText>
      </w:r>
      <w:r w:rsidR="00C37789" w:rsidRPr="000322E4">
        <w:rPr>
          <w:b/>
          <w:bCs/>
        </w:rPr>
        <w:instrText xml:space="preserve"> &lt; 0.001). </w:instrText>
      </w:r>
      <w:r w:rsidR="00C37789" w:rsidRPr="000322E4">
        <w:rPr>
          <w:b/>
          <w:bCs/>
          <w:lang w:val="en-US"/>
        </w:rPr>
        <w:instrText>In</w:instrText>
      </w:r>
      <w:r w:rsidR="00C37789" w:rsidRPr="000322E4">
        <w:rPr>
          <w:b/>
          <w:bCs/>
        </w:rPr>
        <w:instrText xml:space="preserve"> </w:instrText>
      </w:r>
      <w:r w:rsidR="00C37789" w:rsidRPr="000322E4">
        <w:rPr>
          <w:b/>
          <w:bCs/>
          <w:lang w:val="en-US"/>
        </w:rPr>
        <w:instrText>multivariate</w:instrText>
      </w:r>
      <w:r w:rsidR="00C37789" w:rsidRPr="000322E4">
        <w:rPr>
          <w:b/>
          <w:bCs/>
        </w:rPr>
        <w:instrText xml:space="preserve"> </w:instrText>
      </w:r>
      <w:r w:rsidR="00C37789" w:rsidRPr="000322E4">
        <w:rPr>
          <w:b/>
          <w:bCs/>
          <w:lang w:val="en-US"/>
        </w:rPr>
        <w:instrText>analysis</w:instrText>
      </w:r>
      <w:r w:rsidR="00C37789" w:rsidRPr="000322E4">
        <w:rPr>
          <w:b/>
          <w:bCs/>
        </w:rPr>
        <w:instrText xml:space="preserve">, </w:instrText>
      </w:r>
      <w:r w:rsidR="00C37789" w:rsidRPr="000322E4">
        <w:rPr>
          <w:b/>
          <w:bCs/>
          <w:lang w:val="en-US"/>
        </w:rPr>
        <w:instrText>only</w:instrText>
      </w:r>
      <w:r w:rsidR="00C37789" w:rsidRPr="000322E4">
        <w:rPr>
          <w:b/>
          <w:bCs/>
        </w:rPr>
        <w:instrText xml:space="preserve"> </w:instrText>
      </w:r>
      <w:r w:rsidR="00C37789" w:rsidRPr="000322E4">
        <w:rPr>
          <w:b/>
          <w:bCs/>
          <w:lang w:val="en-US"/>
        </w:rPr>
        <w:instrText>high</w:instrText>
      </w:r>
      <w:r w:rsidR="00C37789" w:rsidRPr="000322E4">
        <w:rPr>
          <w:b/>
          <w:bCs/>
        </w:rPr>
        <w:instrText xml:space="preserve"> </w:instrText>
      </w:r>
      <w:r w:rsidR="00C37789" w:rsidRPr="000322E4">
        <w:rPr>
          <w:b/>
          <w:bCs/>
          <w:lang w:val="en-US"/>
        </w:rPr>
        <w:instrText>age</w:instrText>
      </w:r>
      <w:r w:rsidR="00C37789" w:rsidRPr="000322E4">
        <w:rPr>
          <w:b/>
          <w:bCs/>
        </w:rPr>
        <w:instrText>-</w:instrText>
      </w:r>
      <w:r w:rsidR="00C37789" w:rsidRPr="000322E4">
        <w:rPr>
          <w:b/>
          <w:bCs/>
          <w:lang w:val="en-US"/>
        </w:rPr>
        <w:instrText>adjusted</w:instrText>
      </w:r>
      <w:r w:rsidR="00C37789" w:rsidRPr="000322E4">
        <w:rPr>
          <w:b/>
          <w:bCs/>
        </w:rPr>
        <w:instrText xml:space="preserve"> </w:instrText>
      </w:r>
      <w:r w:rsidR="00C37789" w:rsidRPr="000322E4">
        <w:rPr>
          <w:b/>
          <w:bCs/>
          <w:lang w:val="en-US"/>
        </w:rPr>
        <w:instrText>Charlson</w:instrText>
      </w:r>
      <w:r w:rsidR="00C37789" w:rsidRPr="000322E4">
        <w:rPr>
          <w:b/>
          <w:bCs/>
        </w:rPr>
        <w:instrText xml:space="preserve"> </w:instrText>
      </w:r>
      <w:r w:rsidR="00C37789" w:rsidRPr="000322E4">
        <w:rPr>
          <w:b/>
          <w:bCs/>
          <w:lang w:val="en-US"/>
        </w:rPr>
        <w:instrText>Comorbidity</w:instrText>
      </w:r>
      <w:r w:rsidR="00C37789" w:rsidRPr="000322E4">
        <w:rPr>
          <w:b/>
          <w:bCs/>
        </w:rPr>
        <w:instrText xml:space="preserve"> </w:instrText>
      </w:r>
      <w:r w:rsidR="00C37789" w:rsidRPr="000322E4">
        <w:rPr>
          <w:b/>
          <w:bCs/>
          <w:lang w:val="en-US"/>
        </w:rPr>
        <w:instrText>Index</w:instrText>
      </w:r>
      <w:r w:rsidR="00C37789" w:rsidRPr="000322E4">
        <w:rPr>
          <w:b/>
          <w:bCs/>
        </w:rPr>
        <w:instrText xml:space="preserve"> (</w:instrText>
      </w:r>
      <w:r w:rsidR="00C37789" w:rsidRPr="000322E4">
        <w:rPr>
          <w:b/>
          <w:bCs/>
          <w:lang w:val="en-US"/>
        </w:rPr>
        <w:instrText>aaCCI</w:instrText>
      </w:r>
      <w:r w:rsidR="00C37789" w:rsidRPr="000322E4">
        <w:rPr>
          <w:b/>
          <w:bCs/>
        </w:rPr>
        <w:instrText xml:space="preserve">) </w:instrText>
      </w:r>
      <w:r w:rsidR="00C37789" w:rsidRPr="000322E4">
        <w:rPr>
          <w:b/>
          <w:bCs/>
          <w:lang w:val="en-US"/>
        </w:rPr>
        <w:instrText>was</w:instrText>
      </w:r>
      <w:r w:rsidR="00C37789" w:rsidRPr="000322E4">
        <w:rPr>
          <w:b/>
          <w:bCs/>
        </w:rPr>
        <w:instrText xml:space="preserve"> </w:instrText>
      </w:r>
      <w:r w:rsidR="00C37789" w:rsidRPr="000322E4">
        <w:rPr>
          <w:b/>
          <w:bCs/>
          <w:lang w:val="en-US"/>
        </w:rPr>
        <w:instrText>associated</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inferior</w:instrText>
      </w:r>
      <w:r w:rsidR="00C37789" w:rsidRPr="000322E4">
        <w:rPr>
          <w:b/>
          <w:bCs/>
        </w:rPr>
        <w:instrText xml:space="preserve"> </w:instrText>
      </w:r>
      <w:r w:rsidR="00C37789" w:rsidRPr="000322E4">
        <w:rPr>
          <w:b/>
          <w:bCs/>
          <w:lang w:val="en-US"/>
        </w:rPr>
        <w:instrText>PFS</w:instrText>
      </w:r>
      <w:r w:rsidR="00C37789" w:rsidRPr="000322E4">
        <w:rPr>
          <w:b/>
          <w:bCs/>
        </w:rPr>
        <w:instrText xml:space="preserve"> </w:instrText>
      </w:r>
      <w:r w:rsidR="00C37789" w:rsidRPr="000322E4">
        <w:rPr>
          <w:b/>
          <w:bCs/>
          <w:lang w:val="en-US"/>
        </w:rPr>
        <w:instrText>in</w:instrText>
      </w:r>
      <w:r w:rsidR="00C37789" w:rsidRPr="000322E4">
        <w:rPr>
          <w:b/>
          <w:bCs/>
        </w:rPr>
        <w:instrText xml:space="preserve"> </w:instrText>
      </w:r>
      <w:r w:rsidR="00C37789" w:rsidRPr="000322E4">
        <w:rPr>
          <w:b/>
          <w:bCs/>
          <w:lang w:val="en-US"/>
        </w:rPr>
        <w:instrText>R</w:instrText>
      </w:r>
      <w:r w:rsidR="00C37789" w:rsidRPr="000322E4">
        <w:rPr>
          <w:b/>
          <w:bCs/>
        </w:rPr>
        <w:instrText>-</w:instrText>
      </w:r>
      <w:r w:rsidR="00C37789" w:rsidRPr="000322E4">
        <w:rPr>
          <w:b/>
          <w:bCs/>
          <w:lang w:val="en-US"/>
        </w:rPr>
        <w:instrText>CHOP</w:instrText>
      </w:r>
      <w:r w:rsidR="00C37789" w:rsidRPr="000322E4">
        <w:rPr>
          <w:b/>
          <w:bCs/>
        </w:rPr>
        <w:instrText xml:space="preserve">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hazard</w:instrText>
      </w:r>
      <w:r w:rsidR="00C37789" w:rsidRPr="000322E4">
        <w:rPr>
          <w:b/>
          <w:bCs/>
        </w:rPr>
        <w:instrText xml:space="preserve"> </w:instrText>
      </w:r>
      <w:r w:rsidR="00C37789" w:rsidRPr="000322E4">
        <w:rPr>
          <w:b/>
          <w:bCs/>
          <w:lang w:val="en-US"/>
        </w:rPr>
        <w:instrText>ratio</w:instrText>
      </w:r>
      <w:r w:rsidR="00C37789" w:rsidRPr="000322E4">
        <w:rPr>
          <w:b/>
          <w:bCs/>
        </w:rPr>
        <w:instrText xml:space="preserve"> 2.67; </w:instrText>
      </w:r>
      <w:r w:rsidR="00C37789" w:rsidRPr="000322E4">
        <w:rPr>
          <w:b/>
          <w:bCs/>
          <w:lang w:val="en-US"/>
        </w:rPr>
        <w:instrText>p</w:instrText>
      </w:r>
      <w:r w:rsidR="00C37789" w:rsidRPr="000322E4">
        <w:rPr>
          <w:b/>
          <w:bCs/>
        </w:rPr>
        <w:instrText xml:space="preserve"> = 0.012). </w:instrText>
      </w:r>
      <w:r w:rsidR="00C37789" w:rsidRPr="000322E4">
        <w:rPr>
          <w:b/>
          <w:bCs/>
          <w:lang w:val="en-US"/>
        </w:rPr>
        <w:instrText>Comparing</w:instrText>
      </w:r>
      <w:r w:rsidR="00C37789" w:rsidRPr="000322E4">
        <w:rPr>
          <w:b/>
          <w:bCs/>
        </w:rPr>
        <w:instrText xml:space="preserve"> </w:instrText>
      </w:r>
      <w:r w:rsidR="00C37789" w:rsidRPr="000322E4">
        <w:rPr>
          <w:b/>
          <w:bCs/>
          <w:lang w:val="en-US"/>
        </w:rPr>
        <w:instrText>the</w:instrText>
      </w:r>
      <w:r w:rsidR="00C37789" w:rsidRPr="000322E4">
        <w:rPr>
          <w:b/>
          <w:bCs/>
        </w:rPr>
        <w:instrText xml:space="preserve"> </w:instrText>
      </w:r>
      <w:r w:rsidR="00C37789" w:rsidRPr="000322E4">
        <w:rPr>
          <w:b/>
          <w:bCs/>
          <w:lang w:val="en-US"/>
        </w:rPr>
        <w:instrText>subgroup</w:instrText>
      </w:r>
      <w:r w:rsidR="00C37789" w:rsidRPr="000322E4">
        <w:rPr>
          <w:b/>
          <w:bCs/>
        </w:rPr>
        <w:instrText xml:space="preserve"> </w:instrText>
      </w:r>
      <w:r w:rsidR="00C37789" w:rsidRPr="000322E4">
        <w:rPr>
          <w:b/>
          <w:bCs/>
          <w:lang w:val="en-US"/>
        </w:rPr>
        <w:instrText>of</w:instrText>
      </w:r>
      <w:r w:rsidR="00C37789" w:rsidRPr="000322E4">
        <w:rPr>
          <w:b/>
          <w:bCs/>
        </w:rPr>
        <w:instrText xml:space="preserve"> </w:instrText>
      </w:r>
      <w:r w:rsidR="00C37789" w:rsidRPr="000322E4">
        <w:rPr>
          <w:b/>
          <w:bCs/>
          <w:lang w:val="en-US"/>
        </w:rPr>
        <w:instrText>BR</w:instrText>
      </w:r>
      <w:r w:rsidR="00C37789" w:rsidRPr="000322E4">
        <w:rPr>
          <w:b/>
          <w:bCs/>
        </w:rPr>
        <w:instrText xml:space="preserve"> </w:instrText>
      </w:r>
      <w:r w:rsidR="00C37789" w:rsidRPr="000322E4">
        <w:rPr>
          <w:b/>
          <w:bCs/>
          <w:lang w:val="en-US"/>
        </w:rPr>
        <w:instrText>and</w:instrText>
      </w:r>
      <w:r w:rsidR="00C37789" w:rsidRPr="000322E4">
        <w:rPr>
          <w:b/>
          <w:bCs/>
        </w:rPr>
        <w:instrText xml:space="preserve"> </w:instrText>
      </w:r>
      <w:r w:rsidR="00C37789" w:rsidRPr="000322E4">
        <w:rPr>
          <w:b/>
          <w:bCs/>
          <w:lang w:val="en-US"/>
        </w:rPr>
        <w:instrText>R</w:instrText>
      </w:r>
      <w:r w:rsidR="00C37789" w:rsidRPr="000322E4">
        <w:rPr>
          <w:b/>
          <w:bCs/>
        </w:rPr>
        <w:instrText>-</w:instrText>
      </w:r>
      <w:r w:rsidR="00C37789" w:rsidRPr="000322E4">
        <w:rPr>
          <w:b/>
          <w:bCs/>
          <w:lang w:val="en-US"/>
        </w:rPr>
        <w:instrText>CHOP</w:instrText>
      </w:r>
      <w:r w:rsidR="00C37789" w:rsidRPr="000322E4">
        <w:rPr>
          <w:b/>
          <w:bCs/>
        </w:rPr>
        <w:instrText xml:space="preserve">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high</w:instrText>
      </w:r>
      <w:r w:rsidR="00C37789" w:rsidRPr="000322E4">
        <w:rPr>
          <w:b/>
          <w:bCs/>
        </w:rPr>
        <w:instrText xml:space="preserve"> </w:instrText>
      </w:r>
      <w:r w:rsidR="00C37789" w:rsidRPr="000322E4">
        <w:rPr>
          <w:b/>
          <w:bCs/>
          <w:lang w:val="en-US"/>
        </w:rPr>
        <w:instrText>aaCCI</w:instrText>
      </w:r>
      <w:r w:rsidR="00C37789" w:rsidRPr="000322E4">
        <w:rPr>
          <w:b/>
          <w:bCs/>
        </w:rPr>
        <w:instrText xml:space="preserve">, </w:instrText>
      </w:r>
      <w:r w:rsidR="00C37789" w:rsidRPr="000322E4">
        <w:rPr>
          <w:b/>
          <w:bCs/>
          <w:lang w:val="en-US"/>
        </w:rPr>
        <w:instrText>there</w:instrText>
      </w:r>
      <w:r w:rsidR="00C37789" w:rsidRPr="000322E4">
        <w:rPr>
          <w:b/>
          <w:bCs/>
        </w:rPr>
        <w:instrText xml:space="preserve"> </w:instrText>
      </w:r>
      <w:r w:rsidR="00C37789" w:rsidRPr="000322E4">
        <w:rPr>
          <w:b/>
          <w:bCs/>
          <w:lang w:val="en-US"/>
        </w:rPr>
        <w:instrText>was</w:instrText>
      </w:r>
      <w:r w:rsidR="00C37789" w:rsidRPr="000322E4">
        <w:rPr>
          <w:b/>
          <w:bCs/>
        </w:rPr>
        <w:instrText xml:space="preserve"> </w:instrText>
      </w:r>
      <w:r w:rsidR="00C37789" w:rsidRPr="000322E4">
        <w:rPr>
          <w:b/>
          <w:bCs/>
          <w:lang w:val="en-US"/>
        </w:rPr>
        <w:instrText>no</w:instrText>
      </w:r>
      <w:r w:rsidR="00C37789" w:rsidRPr="000322E4">
        <w:rPr>
          <w:b/>
          <w:bCs/>
        </w:rPr>
        <w:instrText xml:space="preserve"> </w:instrText>
      </w:r>
      <w:r w:rsidR="00C37789" w:rsidRPr="000322E4">
        <w:rPr>
          <w:b/>
          <w:bCs/>
          <w:lang w:val="en-US"/>
        </w:rPr>
        <w:instrText>difference</w:instrText>
      </w:r>
      <w:r w:rsidR="00C37789" w:rsidRPr="000322E4">
        <w:rPr>
          <w:b/>
          <w:bCs/>
        </w:rPr>
        <w:instrText xml:space="preserve"> </w:instrText>
      </w:r>
      <w:r w:rsidR="00C37789" w:rsidRPr="000322E4">
        <w:rPr>
          <w:b/>
          <w:bCs/>
          <w:lang w:val="en-US"/>
        </w:rPr>
        <w:instrText>in</w:instrText>
      </w:r>
      <w:r w:rsidR="00C37789" w:rsidRPr="000322E4">
        <w:rPr>
          <w:b/>
          <w:bCs/>
        </w:rPr>
        <w:instrText xml:space="preserve"> </w:instrText>
      </w:r>
      <w:r w:rsidR="00C37789" w:rsidRPr="000322E4">
        <w:rPr>
          <w:b/>
          <w:bCs/>
          <w:lang w:val="en-US"/>
        </w:rPr>
        <w:instrText>OS</w:instrText>
      </w:r>
      <w:r w:rsidR="00C37789" w:rsidRPr="000322E4">
        <w:rPr>
          <w:b/>
          <w:bCs/>
        </w:rPr>
        <w:instrText xml:space="preserve"> (</w:instrText>
      </w:r>
      <w:r w:rsidR="00C37789" w:rsidRPr="000322E4">
        <w:rPr>
          <w:b/>
          <w:bCs/>
          <w:lang w:val="en-US"/>
        </w:rPr>
        <w:instrText>p</w:instrText>
      </w:r>
      <w:r w:rsidR="00C37789" w:rsidRPr="000322E4">
        <w:rPr>
          <w:b/>
          <w:bCs/>
        </w:rPr>
        <w:instrText xml:space="preserve"> = 0.73) </w:instrText>
      </w:r>
      <w:r w:rsidR="00C37789" w:rsidRPr="000322E4">
        <w:rPr>
          <w:b/>
          <w:bCs/>
          <w:lang w:val="en-US"/>
        </w:rPr>
        <w:instrText>or</w:instrText>
      </w:r>
      <w:r w:rsidR="00C37789" w:rsidRPr="000322E4">
        <w:rPr>
          <w:b/>
          <w:bCs/>
        </w:rPr>
        <w:instrText xml:space="preserve"> </w:instrText>
      </w:r>
      <w:r w:rsidR="00C37789" w:rsidRPr="000322E4">
        <w:rPr>
          <w:b/>
          <w:bCs/>
          <w:lang w:val="en-US"/>
        </w:rPr>
        <w:instrText>PFS</w:instrText>
      </w:r>
      <w:r w:rsidR="00C37789" w:rsidRPr="000322E4">
        <w:rPr>
          <w:b/>
          <w:bCs/>
        </w:rPr>
        <w:instrText xml:space="preserve"> (</w:instrText>
      </w:r>
      <w:r w:rsidR="00C37789" w:rsidRPr="000322E4">
        <w:rPr>
          <w:b/>
          <w:bCs/>
          <w:lang w:val="en-US"/>
        </w:rPr>
        <w:instrText>p</w:instrText>
      </w:r>
      <w:r w:rsidR="00C37789" w:rsidRPr="000322E4">
        <w:rPr>
          <w:b/>
          <w:bCs/>
        </w:rPr>
        <w:instrText xml:space="preserve"> = 0.75). </w:instrText>
      </w:r>
      <w:r w:rsidR="00C37789" w:rsidRPr="000322E4">
        <w:rPr>
          <w:b/>
          <w:bCs/>
          <w:lang w:val="en-US"/>
        </w:rPr>
        <w:instrText>Due</w:instrText>
      </w:r>
      <w:r w:rsidR="00C37789" w:rsidRPr="000322E4">
        <w:rPr>
          <w:b/>
          <w:bCs/>
        </w:rPr>
        <w:instrText xml:space="preserve"> </w:instrText>
      </w:r>
      <w:r w:rsidR="00C37789" w:rsidRPr="000322E4">
        <w:rPr>
          <w:b/>
          <w:bCs/>
          <w:lang w:val="en-US"/>
        </w:rPr>
        <w:instrText>to</w:instrText>
      </w:r>
      <w:r w:rsidR="00C37789" w:rsidRPr="000322E4">
        <w:rPr>
          <w:b/>
          <w:bCs/>
        </w:rPr>
        <w:instrText xml:space="preserve"> </w:instrText>
      </w:r>
      <w:r w:rsidR="00C37789" w:rsidRPr="000322E4">
        <w:rPr>
          <w:b/>
          <w:bCs/>
          <w:lang w:val="en-US"/>
        </w:rPr>
        <w:instrText>the</w:instrText>
      </w:r>
      <w:r w:rsidR="00C37789" w:rsidRPr="000322E4">
        <w:rPr>
          <w:b/>
          <w:bCs/>
        </w:rPr>
        <w:instrText xml:space="preserve"> </w:instrText>
      </w:r>
      <w:r w:rsidR="00C37789" w:rsidRPr="000322E4">
        <w:rPr>
          <w:b/>
          <w:bCs/>
          <w:lang w:val="en-US"/>
        </w:rPr>
        <w:instrText>observed</w:instrText>
      </w:r>
      <w:r w:rsidR="00C37789" w:rsidRPr="000322E4">
        <w:rPr>
          <w:b/>
          <w:bCs/>
        </w:rPr>
        <w:instrText xml:space="preserve"> </w:instrText>
      </w:r>
      <w:r w:rsidR="00C37789" w:rsidRPr="000322E4">
        <w:rPr>
          <w:b/>
          <w:bCs/>
          <w:lang w:val="en-US"/>
        </w:rPr>
        <w:instrText>non</w:instrText>
      </w:r>
      <w:r w:rsidR="00C37789" w:rsidRPr="000322E4">
        <w:rPr>
          <w:b/>
          <w:bCs/>
        </w:rPr>
        <w:instrText>-</w:instrText>
      </w:r>
      <w:r w:rsidR="00C37789" w:rsidRPr="000322E4">
        <w:rPr>
          <w:b/>
          <w:bCs/>
          <w:lang w:val="en-US"/>
        </w:rPr>
        <w:instrText>superiority</w:instrText>
      </w:r>
      <w:r w:rsidR="00C37789" w:rsidRPr="000322E4">
        <w:rPr>
          <w:b/>
          <w:bCs/>
        </w:rPr>
        <w:instrText xml:space="preserve"> </w:instrText>
      </w:r>
      <w:r w:rsidR="00C37789" w:rsidRPr="000322E4">
        <w:rPr>
          <w:b/>
          <w:bCs/>
          <w:lang w:val="en-US"/>
        </w:rPr>
        <w:instrText>of</w:instrText>
      </w:r>
      <w:r w:rsidR="00C37789" w:rsidRPr="000322E4">
        <w:rPr>
          <w:b/>
          <w:bCs/>
        </w:rPr>
        <w:instrText xml:space="preserve"> </w:instrText>
      </w:r>
      <w:r w:rsidR="00C37789" w:rsidRPr="000322E4">
        <w:rPr>
          <w:b/>
          <w:bCs/>
          <w:lang w:val="en-US"/>
        </w:rPr>
        <w:instrText>R</w:instrText>
      </w:r>
      <w:r w:rsidR="00C37789" w:rsidRPr="000322E4">
        <w:rPr>
          <w:b/>
          <w:bCs/>
        </w:rPr>
        <w:instrText>-</w:instrText>
      </w:r>
      <w:r w:rsidR="00C37789" w:rsidRPr="000322E4">
        <w:rPr>
          <w:b/>
          <w:bCs/>
          <w:lang w:val="en-US"/>
        </w:rPr>
        <w:instrText>CHOP</w:instrText>
      </w:r>
      <w:r w:rsidR="00C37789" w:rsidRPr="000322E4">
        <w:rPr>
          <w:b/>
          <w:bCs/>
        </w:rPr>
        <w:instrText xml:space="preserve"> </w:instrText>
      </w:r>
      <w:r w:rsidR="00C37789" w:rsidRPr="000322E4">
        <w:rPr>
          <w:b/>
          <w:bCs/>
          <w:lang w:val="en-US"/>
        </w:rPr>
        <w:instrText>in</w:instrText>
      </w:r>
      <w:r w:rsidR="00C37789" w:rsidRPr="000322E4">
        <w:rPr>
          <w:b/>
          <w:bCs/>
        </w:rPr>
        <w:instrText xml:space="preserve"> </w:instrText>
      </w:r>
      <w:r w:rsidR="00C37789" w:rsidRPr="000322E4">
        <w:rPr>
          <w:b/>
          <w:bCs/>
          <w:lang w:val="en-US"/>
        </w:rPr>
        <w:instrText>older</w:instrText>
      </w:r>
      <w:r w:rsidR="00C37789" w:rsidRPr="000322E4">
        <w:rPr>
          <w:b/>
          <w:bCs/>
        </w:rPr>
        <w:instrText xml:space="preserve"> </w:instrText>
      </w:r>
      <w:r w:rsidR="00C37789" w:rsidRPr="000322E4">
        <w:rPr>
          <w:b/>
          <w:bCs/>
          <w:lang w:val="en-US"/>
        </w:rPr>
        <w:instrText>DLBCL</w:instrText>
      </w:r>
      <w:r w:rsidR="00C37789" w:rsidRPr="000322E4">
        <w:rPr>
          <w:b/>
          <w:bCs/>
        </w:rPr>
        <w:instrText xml:space="preserve">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comorbidities</w:instrText>
      </w:r>
      <w:r w:rsidR="00C37789" w:rsidRPr="000322E4">
        <w:rPr>
          <w:b/>
          <w:bCs/>
        </w:rPr>
        <w:instrText xml:space="preserve">, </w:instrText>
      </w:r>
      <w:r w:rsidR="00C37789" w:rsidRPr="000322E4">
        <w:rPr>
          <w:b/>
          <w:bCs/>
          <w:lang w:val="en-US"/>
        </w:rPr>
        <w:instrText>we</w:instrText>
      </w:r>
      <w:r w:rsidR="00C37789" w:rsidRPr="000322E4">
        <w:rPr>
          <w:b/>
          <w:bCs/>
        </w:rPr>
        <w:instrText xml:space="preserve"> </w:instrText>
      </w:r>
      <w:r w:rsidR="00C37789" w:rsidRPr="000322E4">
        <w:rPr>
          <w:b/>
          <w:bCs/>
          <w:lang w:val="en-US"/>
        </w:rPr>
        <w:instrText>propose</w:instrText>
      </w:r>
      <w:r w:rsidR="00C37789" w:rsidRPr="000322E4">
        <w:rPr>
          <w:b/>
          <w:bCs/>
        </w:rPr>
        <w:instrText xml:space="preserve"> </w:instrText>
      </w:r>
      <w:r w:rsidR="00C37789" w:rsidRPr="000322E4">
        <w:rPr>
          <w:b/>
          <w:bCs/>
          <w:lang w:val="en-US"/>
        </w:rPr>
        <w:instrText>that</w:instrText>
      </w:r>
      <w:r w:rsidR="00C37789" w:rsidRPr="000322E4">
        <w:rPr>
          <w:b/>
          <w:bCs/>
        </w:rPr>
        <w:instrText xml:space="preserve"> </w:instrText>
      </w:r>
      <w:r w:rsidR="00C37789" w:rsidRPr="000322E4">
        <w:rPr>
          <w:b/>
          <w:bCs/>
          <w:lang w:val="en-US"/>
        </w:rPr>
        <w:instrText>this</w:instrText>
      </w:r>
      <w:r w:rsidR="00C37789" w:rsidRPr="000322E4">
        <w:rPr>
          <w:b/>
          <w:bCs/>
        </w:rPr>
        <w:instrText xml:space="preserve"> </w:instrText>
      </w:r>
      <w:r w:rsidR="00C37789" w:rsidRPr="000322E4">
        <w:rPr>
          <w:b/>
          <w:bCs/>
          <w:lang w:val="en-US"/>
        </w:rPr>
        <w:instrText>subgroup</w:instrText>
      </w:r>
      <w:r w:rsidR="00C37789" w:rsidRPr="000322E4">
        <w:rPr>
          <w:b/>
          <w:bCs/>
        </w:rPr>
        <w:instrText xml:space="preserve"> </w:instrText>
      </w:r>
      <w:r w:rsidR="00C37789" w:rsidRPr="000322E4">
        <w:rPr>
          <w:b/>
          <w:bCs/>
          <w:lang w:val="en-US"/>
        </w:rPr>
        <w:instrText>may</w:instrText>
      </w:r>
      <w:r w:rsidR="00C37789" w:rsidRPr="000322E4">
        <w:rPr>
          <w:b/>
          <w:bCs/>
        </w:rPr>
        <w:instrText xml:space="preserve"> </w:instrText>
      </w:r>
      <w:r w:rsidR="00C37789" w:rsidRPr="000322E4">
        <w:rPr>
          <w:b/>
          <w:bCs/>
          <w:lang w:val="en-US"/>
        </w:rPr>
        <w:instrText>be</w:instrText>
      </w:r>
      <w:r w:rsidR="00C37789" w:rsidRPr="000322E4">
        <w:rPr>
          <w:b/>
          <w:bCs/>
        </w:rPr>
        <w:instrText xml:space="preserve"> </w:instrText>
      </w:r>
      <w:r w:rsidR="00C37789" w:rsidRPr="000322E4">
        <w:rPr>
          <w:b/>
          <w:bCs/>
          <w:lang w:val="en-US"/>
        </w:rPr>
        <w:instrText>treated</w:instrText>
      </w:r>
      <w:r w:rsidR="00C37789" w:rsidRPr="000322E4">
        <w:rPr>
          <w:b/>
          <w:bCs/>
        </w:rPr>
        <w:instrText xml:space="preserve"> </w:instrText>
      </w:r>
      <w:r w:rsidR="00C37789" w:rsidRPr="000322E4">
        <w:rPr>
          <w:b/>
          <w:bCs/>
          <w:lang w:val="en-US"/>
        </w:rPr>
        <w:instrText>alternatively</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BR</w:instrText>
      </w:r>
      <w:r w:rsidR="00C37789" w:rsidRPr="000322E4">
        <w:rPr>
          <w:b/>
          <w:bCs/>
        </w:rPr>
        <w:instrText xml:space="preserve">, </w:instrText>
      </w:r>
      <w:r w:rsidR="00C37789" w:rsidRPr="000322E4">
        <w:rPr>
          <w:b/>
          <w:bCs/>
          <w:lang w:val="en-US"/>
        </w:rPr>
        <w:instrText>whereas</w:instrText>
      </w:r>
      <w:r w:rsidR="00C37789" w:rsidRPr="000322E4">
        <w:rPr>
          <w:b/>
          <w:bCs/>
        </w:rPr>
        <w:instrText xml:space="preserve"> </w:instrText>
      </w:r>
      <w:r w:rsidR="00C37789" w:rsidRPr="000322E4">
        <w:rPr>
          <w:b/>
          <w:bCs/>
          <w:lang w:val="en-US"/>
        </w:rPr>
        <w:instrText>all</w:instrText>
      </w:r>
      <w:r w:rsidR="00C37789" w:rsidRPr="000322E4">
        <w:rPr>
          <w:b/>
          <w:bCs/>
        </w:rPr>
        <w:instrText xml:space="preserve"> </w:instrText>
      </w:r>
      <w:r w:rsidR="00C37789" w:rsidRPr="000322E4">
        <w:rPr>
          <w:b/>
          <w:bCs/>
          <w:lang w:val="en-US"/>
        </w:rPr>
        <w:instrText>other</w:instrText>
      </w:r>
      <w:r w:rsidR="00C37789" w:rsidRPr="000322E4">
        <w:rPr>
          <w:b/>
          <w:bCs/>
        </w:rPr>
        <w:instrText xml:space="preserve"> </w:instrText>
      </w:r>
      <w:r w:rsidR="00C37789" w:rsidRPr="000322E4">
        <w:rPr>
          <w:b/>
          <w:bCs/>
          <w:lang w:val="en-US"/>
        </w:rPr>
        <w:instrText>older</w:instrText>
      </w:r>
      <w:r w:rsidR="00C37789" w:rsidRPr="000322E4">
        <w:rPr>
          <w:b/>
          <w:bCs/>
        </w:rPr>
        <w:instrText xml:space="preserve">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are</w:instrText>
      </w:r>
      <w:r w:rsidR="00C37789" w:rsidRPr="000322E4">
        <w:rPr>
          <w:b/>
          <w:bCs/>
        </w:rPr>
        <w:instrText xml:space="preserve"> </w:instrText>
      </w:r>
      <w:r w:rsidR="00C37789" w:rsidRPr="000322E4">
        <w:rPr>
          <w:b/>
          <w:bCs/>
          <w:lang w:val="en-US"/>
        </w:rPr>
        <w:instrText>clearly</w:instrText>
      </w:r>
      <w:r w:rsidR="00C37789" w:rsidRPr="000322E4">
        <w:rPr>
          <w:b/>
          <w:bCs/>
        </w:rPr>
        <w:instrText xml:space="preserve"> </w:instrText>
      </w:r>
      <w:r w:rsidR="00C37789" w:rsidRPr="000322E4">
        <w:rPr>
          <w:b/>
          <w:bCs/>
          <w:lang w:val="en-US"/>
        </w:rPr>
        <w:instrText>R</w:instrText>
      </w:r>
      <w:r w:rsidR="00C37789" w:rsidRPr="000322E4">
        <w:rPr>
          <w:b/>
          <w:bCs/>
        </w:rPr>
        <w:instrText>-</w:instrText>
      </w:r>
      <w:r w:rsidR="00C37789" w:rsidRPr="000322E4">
        <w:rPr>
          <w:b/>
          <w:bCs/>
          <w:lang w:val="en-US"/>
        </w:rPr>
        <w:instrText>CHOP</w:instrText>
      </w:r>
      <w:r w:rsidR="00C37789" w:rsidRPr="000322E4">
        <w:rPr>
          <w:b/>
          <w:bCs/>
        </w:rPr>
        <w:instrText xml:space="preserve"> </w:instrText>
      </w:r>
      <w:r w:rsidR="00C37789" w:rsidRPr="000322E4">
        <w:rPr>
          <w:b/>
          <w:bCs/>
          <w:lang w:val="en-US"/>
        </w:rPr>
        <w:instrText>candidates</w:instrText>
      </w:r>
      <w:r w:rsidR="00C37789" w:rsidRPr="000322E4">
        <w:rPr>
          <w:b/>
          <w:bCs/>
        </w:rPr>
        <w:instrText>.","</w:instrText>
      </w:r>
      <w:r w:rsidR="00C37789" w:rsidRPr="000322E4">
        <w:rPr>
          <w:b/>
          <w:bCs/>
          <w:lang w:val="en-US"/>
        </w:rPr>
        <w:instrText>author</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Zeremski</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Vanja</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Jentsch</w:instrText>
      </w:r>
      <w:r w:rsidR="00C37789" w:rsidRPr="000322E4">
        <w:rPr>
          <w:b/>
          <w:bCs/>
        </w:rPr>
        <w:instrText>-</w:instrText>
      </w:r>
      <w:r w:rsidR="00C37789" w:rsidRPr="000322E4">
        <w:rPr>
          <w:b/>
          <w:bCs/>
          <w:lang w:val="en-US"/>
        </w:rPr>
        <w:instrText>Ullrich</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Kathleen</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Kahl</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Christoph</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Mohren</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Martin</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Eberhardt</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Judith</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Fischer</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Thomas</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Schalk</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Enrico</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container</w:instrText>
      </w:r>
      <w:r w:rsidR="00C37789" w:rsidRPr="000322E4">
        <w:rPr>
          <w:b/>
          <w:bCs/>
        </w:rPr>
        <w:instrText>-</w:instrText>
      </w:r>
      <w:r w:rsidR="00C37789" w:rsidRPr="000322E4">
        <w:rPr>
          <w:b/>
          <w:bCs/>
          <w:lang w:val="en-US"/>
        </w:rPr>
        <w:instrText>title</w:instrText>
      </w:r>
      <w:r w:rsidR="00C37789" w:rsidRPr="000322E4">
        <w:rPr>
          <w:b/>
          <w:bCs/>
        </w:rPr>
        <w:instrText>":"</w:instrText>
      </w:r>
      <w:r w:rsidR="00C37789" w:rsidRPr="000322E4">
        <w:rPr>
          <w:b/>
          <w:bCs/>
          <w:lang w:val="en-US"/>
        </w:rPr>
        <w:instrText>Annals</w:instrText>
      </w:r>
      <w:r w:rsidR="00C37789" w:rsidRPr="000322E4">
        <w:rPr>
          <w:b/>
          <w:bCs/>
        </w:rPr>
        <w:instrText xml:space="preserve"> </w:instrText>
      </w:r>
      <w:r w:rsidR="00C37789" w:rsidRPr="000322E4">
        <w:rPr>
          <w:b/>
          <w:bCs/>
          <w:lang w:val="en-US"/>
        </w:rPr>
        <w:instrText>of</w:instrText>
      </w:r>
      <w:r w:rsidR="00C37789" w:rsidRPr="000322E4">
        <w:rPr>
          <w:b/>
          <w:bCs/>
        </w:rPr>
        <w:instrText xml:space="preserve"> </w:instrText>
      </w:r>
      <w:r w:rsidR="00C37789" w:rsidRPr="000322E4">
        <w:rPr>
          <w:b/>
          <w:bCs/>
          <w:lang w:val="en-US"/>
        </w:rPr>
        <w:instrText>Hematology</w:instrText>
      </w:r>
      <w:r w:rsidR="00C37789" w:rsidRPr="000322E4">
        <w:rPr>
          <w:b/>
          <w:bCs/>
        </w:rPr>
        <w:instrText>","</w:instrText>
      </w:r>
      <w:r w:rsidR="00C37789" w:rsidRPr="000322E4">
        <w:rPr>
          <w:b/>
          <w:bCs/>
          <w:lang w:val="en-US"/>
        </w:rPr>
        <w:instrText>id</w:instrText>
      </w:r>
      <w:r w:rsidR="00C37789" w:rsidRPr="000322E4">
        <w:rPr>
          <w:b/>
          <w:bCs/>
        </w:rPr>
        <w:instrText>":"</w:instrText>
      </w:r>
      <w:r w:rsidR="00C37789" w:rsidRPr="000322E4">
        <w:rPr>
          <w:b/>
          <w:bCs/>
          <w:lang w:val="en-US"/>
        </w:rPr>
        <w:instrText>ITEM</w:instrText>
      </w:r>
      <w:r w:rsidR="00C37789" w:rsidRPr="000322E4">
        <w:rPr>
          <w:b/>
          <w:bCs/>
        </w:rPr>
        <w:instrText>-1","</w:instrText>
      </w:r>
      <w:r w:rsidR="00C37789" w:rsidRPr="000322E4">
        <w:rPr>
          <w:b/>
          <w:bCs/>
          <w:lang w:val="en-US"/>
        </w:rPr>
        <w:instrText>issue</w:instrText>
      </w:r>
      <w:r w:rsidR="00C37789" w:rsidRPr="000322E4">
        <w:rPr>
          <w:b/>
          <w:bCs/>
        </w:rPr>
        <w:instrText>":"12","</w:instrText>
      </w:r>
      <w:r w:rsidR="00C37789" w:rsidRPr="000322E4">
        <w:rPr>
          <w:b/>
          <w:bCs/>
          <w:lang w:val="en-US"/>
        </w:rPr>
        <w:instrText>issued</w:instrText>
      </w:r>
      <w:r w:rsidR="00C37789" w:rsidRPr="000322E4">
        <w:rPr>
          <w:b/>
          <w:bCs/>
        </w:rPr>
        <w:instrText>":{"</w:instrText>
      </w:r>
      <w:r w:rsidR="00C37789" w:rsidRPr="000322E4">
        <w:rPr>
          <w:b/>
          <w:bCs/>
          <w:lang w:val="en-US"/>
        </w:rPr>
        <w:instrText>date</w:instrText>
      </w:r>
      <w:r w:rsidR="00C37789" w:rsidRPr="000322E4">
        <w:rPr>
          <w:b/>
          <w:bCs/>
        </w:rPr>
        <w:instrText>-</w:instrText>
      </w:r>
      <w:r w:rsidR="00C37789" w:rsidRPr="000322E4">
        <w:rPr>
          <w:b/>
          <w:bCs/>
          <w:lang w:val="en-US"/>
        </w:rPr>
        <w:instrText>parts</w:instrText>
      </w:r>
      <w:r w:rsidR="00C37789" w:rsidRPr="000322E4">
        <w:rPr>
          <w:b/>
          <w:bCs/>
        </w:rPr>
        <w:instrText>":[["2019","12","1"]]},"</w:instrText>
      </w:r>
      <w:r w:rsidR="00C37789" w:rsidRPr="000322E4">
        <w:rPr>
          <w:b/>
          <w:bCs/>
          <w:lang w:val="en-US"/>
        </w:rPr>
        <w:instrText>page</w:instrText>
      </w:r>
      <w:r w:rsidR="00C37789" w:rsidRPr="000322E4">
        <w:rPr>
          <w:b/>
          <w:bCs/>
        </w:rPr>
        <w:instrText>":"2729-2737","</w:instrText>
      </w:r>
      <w:r w:rsidR="00C37789" w:rsidRPr="000322E4">
        <w:rPr>
          <w:b/>
          <w:bCs/>
          <w:lang w:val="en-US"/>
        </w:rPr>
        <w:instrText>publisher</w:instrText>
      </w:r>
      <w:r w:rsidR="00C37789" w:rsidRPr="000322E4">
        <w:rPr>
          <w:b/>
          <w:bCs/>
        </w:rPr>
        <w:instrText>":"</w:instrText>
      </w:r>
      <w:r w:rsidR="00C37789" w:rsidRPr="000322E4">
        <w:rPr>
          <w:b/>
          <w:bCs/>
          <w:lang w:val="en-US"/>
        </w:rPr>
        <w:instrText>Springer</w:instrText>
      </w:r>
      <w:r w:rsidR="00C37789" w:rsidRPr="000322E4">
        <w:rPr>
          <w:b/>
          <w:bCs/>
        </w:rPr>
        <w:instrText>","</w:instrText>
      </w:r>
      <w:r w:rsidR="00C37789" w:rsidRPr="000322E4">
        <w:rPr>
          <w:b/>
          <w:bCs/>
          <w:lang w:val="en-US"/>
        </w:rPr>
        <w:instrText>title</w:instrText>
      </w:r>
      <w:r w:rsidR="00C37789" w:rsidRPr="000322E4">
        <w:rPr>
          <w:b/>
          <w:bCs/>
        </w:rPr>
        <w:instrText>":"</w:instrText>
      </w:r>
      <w:r w:rsidR="00C37789" w:rsidRPr="000322E4">
        <w:rPr>
          <w:b/>
          <w:bCs/>
          <w:lang w:val="en-US"/>
        </w:rPr>
        <w:instrText>Is</w:instrText>
      </w:r>
      <w:r w:rsidR="00C37789" w:rsidRPr="000322E4">
        <w:rPr>
          <w:b/>
          <w:bCs/>
        </w:rPr>
        <w:instrText xml:space="preserve"> </w:instrText>
      </w:r>
      <w:r w:rsidR="00C37789" w:rsidRPr="000322E4">
        <w:rPr>
          <w:b/>
          <w:bCs/>
          <w:lang w:val="en-US"/>
        </w:rPr>
        <w:instrText>bendamustine</w:instrText>
      </w:r>
      <w:r w:rsidR="00C37789" w:rsidRPr="000322E4">
        <w:rPr>
          <w:b/>
          <w:bCs/>
        </w:rPr>
        <w:instrText>-</w:instrText>
      </w:r>
      <w:r w:rsidR="00C37789" w:rsidRPr="000322E4">
        <w:rPr>
          <w:b/>
          <w:bCs/>
          <w:lang w:val="en-US"/>
        </w:rPr>
        <w:instrText>rituximab</w:instrText>
      </w:r>
      <w:r w:rsidR="00C37789" w:rsidRPr="000322E4">
        <w:rPr>
          <w:b/>
          <w:bCs/>
        </w:rPr>
        <w:instrText xml:space="preserve"> </w:instrText>
      </w:r>
      <w:r w:rsidR="00C37789" w:rsidRPr="000322E4">
        <w:rPr>
          <w:b/>
          <w:bCs/>
          <w:lang w:val="en-US"/>
        </w:rPr>
        <w:instrText>a</w:instrText>
      </w:r>
      <w:r w:rsidR="00C37789" w:rsidRPr="000322E4">
        <w:rPr>
          <w:b/>
          <w:bCs/>
        </w:rPr>
        <w:instrText xml:space="preserve"> </w:instrText>
      </w:r>
      <w:r w:rsidR="00C37789" w:rsidRPr="000322E4">
        <w:rPr>
          <w:b/>
          <w:bCs/>
          <w:lang w:val="en-US"/>
        </w:rPr>
        <w:instrText>reasonable</w:instrText>
      </w:r>
      <w:r w:rsidR="00C37789" w:rsidRPr="000322E4">
        <w:rPr>
          <w:b/>
          <w:bCs/>
        </w:rPr>
        <w:instrText xml:space="preserve"> </w:instrText>
      </w:r>
      <w:r w:rsidR="00C37789" w:rsidRPr="000322E4">
        <w:rPr>
          <w:b/>
          <w:bCs/>
          <w:lang w:val="en-US"/>
        </w:rPr>
        <w:instrText>treatment</w:instrText>
      </w:r>
      <w:r w:rsidR="00C37789" w:rsidRPr="000322E4">
        <w:rPr>
          <w:b/>
          <w:bCs/>
        </w:rPr>
        <w:instrText xml:space="preserve"> </w:instrText>
      </w:r>
      <w:r w:rsidR="00C37789" w:rsidRPr="000322E4">
        <w:rPr>
          <w:b/>
          <w:bCs/>
          <w:lang w:val="en-US"/>
        </w:rPr>
        <w:instrText>in</w:instrText>
      </w:r>
      <w:r w:rsidR="00C37789" w:rsidRPr="000322E4">
        <w:rPr>
          <w:b/>
          <w:bCs/>
        </w:rPr>
        <w:instrText xml:space="preserve"> </w:instrText>
      </w:r>
      <w:r w:rsidR="00C37789" w:rsidRPr="000322E4">
        <w:rPr>
          <w:b/>
          <w:bCs/>
          <w:lang w:val="en-US"/>
        </w:rPr>
        <w:instrText>selected</w:instrText>
      </w:r>
      <w:r w:rsidR="00C37789" w:rsidRPr="000322E4">
        <w:rPr>
          <w:b/>
          <w:bCs/>
        </w:rPr>
        <w:instrText xml:space="preserve"> </w:instrText>
      </w:r>
      <w:r w:rsidR="00C37789" w:rsidRPr="000322E4">
        <w:rPr>
          <w:b/>
          <w:bCs/>
          <w:lang w:val="en-US"/>
        </w:rPr>
        <w:instrText>older</w:instrText>
      </w:r>
      <w:r w:rsidR="00C37789" w:rsidRPr="000322E4">
        <w:rPr>
          <w:b/>
          <w:bCs/>
        </w:rPr>
        <w:instrText xml:space="preserve">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diffuse</w:instrText>
      </w:r>
      <w:r w:rsidR="00C37789" w:rsidRPr="000322E4">
        <w:rPr>
          <w:b/>
          <w:bCs/>
        </w:rPr>
        <w:instrText xml:space="preserve"> </w:instrText>
      </w:r>
      <w:r w:rsidR="00C37789" w:rsidRPr="000322E4">
        <w:rPr>
          <w:b/>
          <w:bCs/>
          <w:lang w:val="en-US"/>
        </w:rPr>
        <w:instrText>large</w:instrText>
      </w:r>
      <w:r w:rsidR="00C37789" w:rsidRPr="000322E4">
        <w:rPr>
          <w:b/>
          <w:bCs/>
        </w:rPr>
        <w:instrText xml:space="preserve"> </w:instrText>
      </w:r>
      <w:r w:rsidR="00C37789" w:rsidRPr="000322E4">
        <w:rPr>
          <w:b/>
          <w:bCs/>
          <w:lang w:val="en-US"/>
        </w:rPr>
        <w:instrText>B</w:instrText>
      </w:r>
      <w:r w:rsidR="00C37789" w:rsidRPr="000322E4">
        <w:rPr>
          <w:b/>
          <w:bCs/>
        </w:rPr>
        <w:instrText xml:space="preserve"> </w:instrText>
      </w:r>
      <w:r w:rsidR="00C37789" w:rsidRPr="000322E4">
        <w:rPr>
          <w:b/>
          <w:bCs/>
          <w:lang w:val="en-US"/>
        </w:rPr>
        <w:instrText>cell</w:instrText>
      </w:r>
      <w:r w:rsidR="00C37789" w:rsidRPr="000322E4">
        <w:rPr>
          <w:b/>
          <w:bCs/>
        </w:rPr>
        <w:instrText xml:space="preserve"> </w:instrText>
      </w:r>
      <w:r w:rsidR="00C37789" w:rsidRPr="000322E4">
        <w:rPr>
          <w:b/>
          <w:bCs/>
          <w:lang w:val="en-US"/>
        </w:rPr>
        <w:instrText>lymphoma</w:instrText>
      </w:r>
      <w:r w:rsidR="00C37789" w:rsidRPr="000322E4">
        <w:rPr>
          <w:b/>
          <w:bCs/>
        </w:rPr>
        <w:instrText xml:space="preserve">? </w:instrText>
      </w:r>
      <w:r w:rsidR="00C37789" w:rsidRPr="000322E4">
        <w:rPr>
          <w:b/>
          <w:bCs/>
          <w:lang w:val="en-US"/>
        </w:rPr>
        <w:instrText>Results</w:instrText>
      </w:r>
      <w:r w:rsidR="00C37789" w:rsidRPr="000322E4">
        <w:rPr>
          <w:b/>
          <w:bCs/>
        </w:rPr>
        <w:instrText xml:space="preserve"> </w:instrText>
      </w:r>
      <w:r w:rsidR="00C37789" w:rsidRPr="000322E4">
        <w:rPr>
          <w:b/>
          <w:bCs/>
          <w:lang w:val="en-US"/>
        </w:rPr>
        <w:instrText>from</w:instrText>
      </w:r>
      <w:r w:rsidR="00C37789" w:rsidRPr="000322E4">
        <w:rPr>
          <w:b/>
          <w:bCs/>
        </w:rPr>
        <w:instrText xml:space="preserve"> </w:instrText>
      </w:r>
      <w:r w:rsidR="00C37789" w:rsidRPr="000322E4">
        <w:rPr>
          <w:b/>
          <w:bCs/>
          <w:lang w:val="en-US"/>
        </w:rPr>
        <w:instrText>a</w:instrText>
      </w:r>
      <w:r w:rsidR="00C37789" w:rsidRPr="000322E4">
        <w:rPr>
          <w:b/>
          <w:bCs/>
        </w:rPr>
        <w:instrText xml:space="preserve"> </w:instrText>
      </w:r>
      <w:r w:rsidR="00C37789" w:rsidRPr="000322E4">
        <w:rPr>
          <w:b/>
          <w:bCs/>
          <w:lang w:val="en-US"/>
        </w:rPr>
        <w:instrText>multicentre</w:instrText>
      </w:r>
      <w:r w:rsidR="00C37789" w:rsidRPr="000322E4">
        <w:rPr>
          <w:b/>
          <w:bCs/>
        </w:rPr>
        <w:instrText xml:space="preserve">, </w:instrText>
      </w:r>
      <w:r w:rsidR="00C37789" w:rsidRPr="000322E4">
        <w:rPr>
          <w:b/>
          <w:bCs/>
          <w:lang w:val="en-US"/>
        </w:rPr>
        <w:instrText>retrospective</w:instrText>
      </w:r>
      <w:r w:rsidR="00C37789" w:rsidRPr="000322E4">
        <w:rPr>
          <w:b/>
          <w:bCs/>
        </w:rPr>
        <w:instrText xml:space="preserve"> </w:instrText>
      </w:r>
      <w:r w:rsidR="00C37789" w:rsidRPr="000322E4">
        <w:rPr>
          <w:b/>
          <w:bCs/>
          <w:lang w:val="en-US"/>
        </w:rPr>
        <w:instrText>study</w:instrText>
      </w:r>
      <w:r w:rsidR="00C37789" w:rsidRPr="000322E4">
        <w:rPr>
          <w:b/>
          <w:bCs/>
        </w:rPr>
        <w:instrText>","</w:instrText>
      </w:r>
      <w:r w:rsidR="00C37789" w:rsidRPr="000322E4">
        <w:rPr>
          <w:b/>
          <w:bCs/>
          <w:lang w:val="en-US"/>
        </w:rPr>
        <w:instrText>type</w:instrText>
      </w:r>
      <w:r w:rsidR="00C37789" w:rsidRPr="000322E4">
        <w:rPr>
          <w:b/>
          <w:bCs/>
        </w:rPr>
        <w:instrText>":"</w:instrText>
      </w:r>
      <w:r w:rsidR="00C37789" w:rsidRPr="000322E4">
        <w:rPr>
          <w:b/>
          <w:bCs/>
          <w:lang w:val="en-US"/>
        </w:rPr>
        <w:instrText>article</w:instrText>
      </w:r>
      <w:r w:rsidR="00C37789" w:rsidRPr="000322E4">
        <w:rPr>
          <w:b/>
          <w:bCs/>
        </w:rPr>
        <w:instrText>-</w:instrText>
      </w:r>
      <w:r w:rsidR="00C37789" w:rsidRPr="000322E4">
        <w:rPr>
          <w:b/>
          <w:bCs/>
          <w:lang w:val="en-US"/>
        </w:rPr>
        <w:instrText>journal</w:instrText>
      </w:r>
      <w:r w:rsidR="00C37789" w:rsidRPr="000322E4">
        <w:rPr>
          <w:b/>
          <w:bCs/>
        </w:rPr>
        <w:instrText>","</w:instrText>
      </w:r>
      <w:r w:rsidR="00C37789" w:rsidRPr="000322E4">
        <w:rPr>
          <w:b/>
          <w:bCs/>
          <w:lang w:val="en-US"/>
        </w:rPr>
        <w:instrText>volume</w:instrText>
      </w:r>
      <w:r w:rsidR="00C37789" w:rsidRPr="000322E4">
        <w:rPr>
          <w:b/>
          <w:bCs/>
        </w:rPr>
        <w:instrText>":"98"},"</w:instrText>
      </w:r>
      <w:r w:rsidR="00C37789" w:rsidRPr="000322E4">
        <w:rPr>
          <w:b/>
          <w:bCs/>
          <w:lang w:val="en-US"/>
        </w:rPr>
        <w:instrText>uris</w:instrText>
      </w:r>
      <w:r w:rsidR="00C37789" w:rsidRPr="000322E4">
        <w:rPr>
          <w:b/>
          <w:bCs/>
        </w:rPr>
        <w:instrText>":["</w:instrText>
      </w:r>
      <w:r w:rsidR="00C37789" w:rsidRPr="000322E4">
        <w:rPr>
          <w:b/>
          <w:bCs/>
          <w:lang w:val="en-US"/>
        </w:rPr>
        <w:instrText>http</w:instrText>
      </w:r>
      <w:r w:rsidR="00C37789" w:rsidRPr="000322E4">
        <w:rPr>
          <w:b/>
          <w:bCs/>
        </w:rPr>
        <w:instrText>://</w:instrText>
      </w:r>
      <w:r w:rsidR="00C37789" w:rsidRPr="000322E4">
        <w:rPr>
          <w:b/>
          <w:bCs/>
          <w:lang w:val="en-US"/>
        </w:rPr>
        <w:instrText>www</w:instrText>
      </w:r>
      <w:r w:rsidR="00C37789" w:rsidRPr="000322E4">
        <w:rPr>
          <w:b/>
          <w:bCs/>
        </w:rPr>
        <w:instrText>.</w:instrText>
      </w:r>
      <w:r w:rsidR="00C37789" w:rsidRPr="000322E4">
        <w:rPr>
          <w:b/>
          <w:bCs/>
          <w:lang w:val="en-US"/>
        </w:rPr>
        <w:instrText>mendeley</w:instrText>
      </w:r>
      <w:r w:rsidR="00C37789" w:rsidRPr="000322E4">
        <w:rPr>
          <w:b/>
          <w:bCs/>
        </w:rPr>
        <w:instrText>.</w:instrText>
      </w:r>
      <w:r w:rsidR="00C37789" w:rsidRPr="000322E4">
        <w:rPr>
          <w:b/>
          <w:bCs/>
          <w:lang w:val="en-US"/>
        </w:rPr>
        <w:instrText>com</w:instrText>
      </w:r>
      <w:r w:rsidR="00C37789" w:rsidRPr="000322E4">
        <w:rPr>
          <w:b/>
          <w:bCs/>
        </w:rPr>
        <w:instrText>/</w:instrText>
      </w:r>
      <w:r w:rsidR="00C37789" w:rsidRPr="000322E4">
        <w:rPr>
          <w:b/>
          <w:bCs/>
          <w:lang w:val="en-US"/>
        </w:rPr>
        <w:instrText>documents</w:instrText>
      </w:r>
      <w:r w:rsidR="00C37789" w:rsidRPr="000322E4">
        <w:rPr>
          <w:b/>
          <w:bCs/>
        </w:rPr>
        <w:instrText>/?</w:instrText>
      </w:r>
      <w:r w:rsidR="00C37789" w:rsidRPr="000322E4">
        <w:rPr>
          <w:b/>
          <w:bCs/>
          <w:lang w:val="en-US"/>
        </w:rPr>
        <w:instrText>uuid</w:instrText>
      </w:r>
      <w:r w:rsidR="00C37789" w:rsidRPr="000322E4">
        <w:rPr>
          <w:b/>
          <w:bCs/>
        </w:rPr>
        <w:instrText>=920882</w:instrText>
      </w:r>
      <w:r w:rsidR="00C37789" w:rsidRPr="000322E4">
        <w:rPr>
          <w:b/>
          <w:bCs/>
          <w:lang w:val="en-US"/>
        </w:rPr>
        <w:instrText>d</w:instrText>
      </w:r>
      <w:r w:rsidR="00C37789" w:rsidRPr="000322E4">
        <w:rPr>
          <w:b/>
          <w:bCs/>
        </w:rPr>
        <w:instrText>1-175</w:instrText>
      </w:r>
      <w:r w:rsidR="00C37789" w:rsidRPr="000322E4">
        <w:rPr>
          <w:b/>
          <w:bCs/>
          <w:lang w:val="en-US"/>
        </w:rPr>
        <w:instrText>a</w:instrText>
      </w:r>
      <w:r w:rsidR="00C37789" w:rsidRPr="000322E4">
        <w:rPr>
          <w:b/>
          <w:bCs/>
        </w:rPr>
        <w:instrText>-3334-86</w:instrText>
      </w:r>
      <w:r w:rsidR="00C37789" w:rsidRPr="000322E4">
        <w:rPr>
          <w:b/>
          <w:bCs/>
          <w:lang w:val="en-US"/>
        </w:rPr>
        <w:instrText>bd</w:instrText>
      </w:r>
      <w:r w:rsidR="00C37789" w:rsidRPr="000322E4">
        <w:rPr>
          <w:b/>
          <w:bCs/>
        </w:rPr>
        <w:instrText>-</w:instrText>
      </w:r>
      <w:r w:rsidR="00C37789" w:rsidRPr="000322E4">
        <w:rPr>
          <w:b/>
          <w:bCs/>
          <w:lang w:val="en-US"/>
        </w:rPr>
        <w:instrText>c</w:instrText>
      </w:r>
      <w:r w:rsidR="00C37789" w:rsidRPr="000322E4">
        <w:rPr>
          <w:b/>
          <w:bCs/>
        </w:rPr>
        <w:instrText>7</w:instrText>
      </w:r>
      <w:r w:rsidR="00C37789" w:rsidRPr="000322E4">
        <w:rPr>
          <w:b/>
          <w:bCs/>
          <w:lang w:val="en-US"/>
        </w:rPr>
        <w:instrText>ba</w:instrText>
      </w:r>
      <w:r w:rsidR="00C37789" w:rsidRPr="000322E4">
        <w:rPr>
          <w:b/>
          <w:bCs/>
        </w:rPr>
        <w:instrText>5</w:instrText>
      </w:r>
      <w:r w:rsidR="00C37789" w:rsidRPr="000322E4">
        <w:rPr>
          <w:b/>
          <w:bCs/>
          <w:lang w:val="en-US"/>
        </w:rPr>
        <w:instrText>af</w:instrText>
      </w:r>
      <w:r w:rsidR="00C37789" w:rsidRPr="000322E4">
        <w:rPr>
          <w:b/>
          <w:bCs/>
        </w:rPr>
        <w:instrText>21976"]},{"</w:instrText>
      </w:r>
      <w:r w:rsidR="00C37789" w:rsidRPr="000322E4">
        <w:rPr>
          <w:b/>
          <w:bCs/>
          <w:lang w:val="en-US"/>
        </w:rPr>
        <w:instrText>id</w:instrText>
      </w:r>
      <w:r w:rsidR="00C37789" w:rsidRPr="000322E4">
        <w:rPr>
          <w:b/>
          <w:bCs/>
        </w:rPr>
        <w:instrText>":"</w:instrText>
      </w:r>
      <w:r w:rsidR="00C37789" w:rsidRPr="000322E4">
        <w:rPr>
          <w:b/>
          <w:bCs/>
          <w:lang w:val="en-US"/>
        </w:rPr>
        <w:instrText>ITEM</w:instrText>
      </w:r>
      <w:r w:rsidR="00C37789" w:rsidRPr="000322E4">
        <w:rPr>
          <w:b/>
          <w:bCs/>
        </w:rPr>
        <w:instrText>-2","</w:instrText>
      </w:r>
      <w:r w:rsidR="00C37789" w:rsidRPr="000322E4">
        <w:rPr>
          <w:b/>
          <w:bCs/>
          <w:lang w:val="en-US"/>
        </w:rPr>
        <w:instrText>itemData</w:instrText>
      </w:r>
      <w:r w:rsidR="00C37789" w:rsidRPr="000322E4">
        <w:rPr>
          <w:b/>
          <w:bCs/>
        </w:rPr>
        <w:instrText>":{"</w:instrText>
      </w:r>
      <w:r w:rsidR="00C37789" w:rsidRPr="000322E4">
        <w:rPr>
          <w:b/>
          <w:bCs/>
          <w:lang w:val="en-US"/>
        </w:rPr>
        <w:instrText>DOI</w:instrText>
      </w:r>
      <w:r w:rsidR="00C37789" w:rsidRPr="000322E4">
        <w:rPr>
          <w:b/>
          <w:bCs/>
        </w:rPr>
        <w:instrText>":"10.3324/</w:instrText>
      </w:r>
      <w:r w:rsidR="00C37789" w:rsidRPr="000322E4">
        <w:rPr>
          <w:b/>
          <w:bCs/>
          <w:lang w:val="en-US"/>
        </w:rPr>
        <w:instrText>haematol</w:instrText>
      </w:r>
      <w:r w:rsidR="00C37789" w:rsidRPr="000322E4">
        <w:rPr>
          <w:b/>
          <w:bCs/>
        </w:rPr>
        <w:instrText>.2017.186569","</w:instrText>
      </w:r>
      <w:r w:rsidR="00C37789" w:rsidRPr="000322E4">
        <w:rPr>
          <w:b/>
          <w:bCs/>
          <w:lang w:val="en-US"/>
        </w:rPr>
        <w:instrText>ISSN</w:instrText>
      </w:r>
      <w:r w:rsidR="00C37789" w:rsidRPr="000322E4">
        <w:rPr>
          <w:b/>
          <w:bCs/>
        </w:rPr>
        <w:instrText>":"15928721","</w:instrText>
      </w:r>
      <w:r w:rsidR="00C37789" w:rsidRPr="000322E4">
        <w:rPr>
          <w:b/>
          <w:bCs/>
          <w:lang w:val="en-US"/>
        </w:rPr>
        <w:instrText>abstract</w:instrText>
      </w:r>
      <w:r w:rsidR="00C37789" w:rsidRPr="000322E4">
        <w:rPr>
          <w:b/>
          <w:bCs/>
        </w:rPr>
        <w:instrText>":"</w:instrText>
      </w:r>
      <w:r w:rsidR="00C37789" w:rsidRPr="000322E4">
        <w:rPr>
          <w:b/>
          <w:bCs/>
          <w:lang w:val="en-US"/>
        </w:rPr>
        <w:instrText>We</w:instrText>
      </w:r>
      <w:r w:rsidR="00C37789" w:rsidRPr="000322E4">
        <w:rPr>
          <w:b/>
          <w:bCs/>
        </w:rPr>
        <w:instrText xml:space="preserve"> </w:instrText>
      </w:r>
      <w:r w:rsidR="00C37789" w:rsidRPr="000322E4">
        <w:rPr>
          <w:b/>
          <w:bCs/>
          <w:lang w:val="en-US"/>
        </w:rPr>
        <w:instrText>conducted</w:instrText>
      </w:r>
      <w:r w:rsidR="00C37789" w:rsidRPr="000322E4">
        <w:rPr>
          <w:b/>
          <w:bCs/>
        </w:rPr>
        <w:instrText xml:space="preserve"> </w:instrText>
      </w:r>
      <w:r w:rsidR="00C37789" w:rsidRPr="000322E4">
        <w:rPr>
          <w:b/>
          <w:bCs/>
          <w:lang w:val="en-US"/>
        </w:rPr>
        <w:instrText>a</w:instrText>
      </w:r>
      <w:r w:rsidR="00C37789" w:rsidRPr="000322E4">
        <w:rPr>
          <w:b/>
          <w:bCs/>
        </w:rPr>
        <w:instrText xml:space="preserve"> </w:instrText>
      </w:r>
      <w:r w:rsidR="00C37789" w:rsidRPr="000322E4">
        <w:rPr>
          <w:b/>
          <w:bCs/>
          <w:lang w:val="en-US"/>
        </w:rPr>
        <w:instrText>phase</w:instrText>
      </w:r>
      <w:r w:rsidR="00C37789" w:rsidRPr="000322E4">
        <w:rPr>
          <w:b/>
          <w:bCs/>
        </w:rPr>
        <w:instrText xml:space="preserve"> </w:instrText>
      </w:r>
      <w:r w:rsidR="00C37789" w:rsidRPr="000322E4">
        <w:rPr>
          <w:b/>
          <w:bCs/>
          <w:lang w:val="en-US"/>
        </w:rPr>
        <w:instrText>II</w:instrText>
      </w:r>
      <w:r w:rsidR="00C37789" w:rsidRPr="000322E4">
        <w:rPr>
          <w:b/>
          <w:bCs/>
        </w:rPr>
        <w:instrText xml:space="preserve"> </w:instrText>
      </w:r>
      <w:r w:rsidR="00C37789" w:rsidRPr="000322E4">
        <w:rPr>
          <w:b/>
          <w:bCs/>
          <w:lang w:val="en-US"/>
        </w:rPr>
        <w:instrText>study</w:instrText>
      </w:r>
      <w:r w:rsidR="00C37789" w:rsidRPr="000322E4">
        <w:rPr>
          <w:b/>
          <w:bCs/>
        </w:rPr>
        <w:instrText xml:space="preserve"> </w:instrText>
      </w:r>
      <w:r w:rsidR="00C37789" w:rsidRPr="000322E4">
        <w:rPr>
          <w:b/>
          <w:bCs/>
          <w:lang w:val="en-US"/>
        </w:rPr>
        <w:instrText>to</w:instrText>
      </w:r>
      <w:r w:rsidR="00C37789" w:rsidRPr="000322E4">
        <w:rPr>
          <w:b/>
          <w:bCs/>
        </w:rPr>
        <w:instrText xml:space="preserve"> </w:instrText>
      </w:r>
      <w:r w:rsidR="00C37789" w:rsidRPr="000322E4">
        <w:rPr>
          <w:b/>
          <w:bCs/>
          <w:lang w:val="en-US"/>
        </w:rPr>
        <w:instrText>assess</w:instrText>
      </w:r>
      <w:r w:rsidR="00C37789" w:rsidRPr="000322E4">
        <w:rPr>
          <w:b/>
          <w:bCs/>
        </w:rPr>
        <w:instrText xml:space="preserve"> </w:instrText>
      </w:r>
      <w:r w:rsidR="00C37789" w:rsidRPr="000322E4">
        <w:rPr>
          <w:b/>
          <w:bCs/>
          <w:lang w:val="en-US"/>
        </w:rPr>
        <w:instrText>activity</w:instrText>
      </w:r>
      <w:r w:rsidR="00C37789" w:rsidRPr="000322E4">
        <w:rPr>
          <w:b/>
          <w:bCs/>
        </w:rPr>
        <w:instrText xml:space="preserve"> </w:instrText>
      </w:r>
      <w:r w:rsidR="00C37789" w:rsidRPr="000322E4">
        <w:rPr>
          <w:b/>
          <w:bCs/>
          <w:lang w:val="en-US"/>
        </w:rPr>
        <w:instrText>and</w:instrText>
      </w:r>
      <w:r w:rsidR="00C37789" w:rsidRPr="000322E4">
        <w:rPr>
          <w:b/>
          <w:bCs/>
        </w:rPr>
        <w:instrText xml:space="preserve"> </w:instrText>
      </w:r>
      <w:r w:rsidR="00C37789" w:rsidRPr="000322E4">
        <w:rPr>
          <w:b/>
          <w:bCs/>
          <w:lang w:val="en-US"/>
        </w:rPr>
        <w:instrText>safety</w:instrText>
      </w:r>
      <w:r w:rsidR="00C37789" w:rsidRPr="000322E4">
        <w:rPr>
          <w:b/>
          <w:bCs/>
        </w:rPr>
        <w:instrText xml:space="preserve"> </w:instrText>
      </w:r>
      <w:r w:rsidR="00C37789" w:rsidRPr="000322E4">
        <w:rPr>
          <w:b/>
          <w:bCs/>
          <w:lang w:val="en-US"/>
        </w:rPr>
        <w:instrText>profile</w:instrText>
      </w:r>
      <w:r w:rsidR="00C37789" w:rsidRPr="000322E4">
        <w:rPr>
          <w:b/>
          <w:bCs/>
        </w:rPr>
        <w:instrText xml:space="preserve"> </w:instrText>
      </w:r>
      <w:r w:rsidR="00C37789" w:rsidRPr="000322E4">
        <w:rPr>
          <w:b/>
          <w:bCs/>
          <w:lang w:val="en-US"/>
        </w:rPr>
        <w:instrText>of</w:instrText>
      </w:r>
      <w:r w:rsidR="00C37789" w:rsidRPr="000322E4">
        <w:rPr>
          <w:b/>
          <w:bCs/>
        </w:rPr>
        <w:instrText xml:space="preserve"> </w:instrText>
      </w:r>
      <w:r w:rsidR="00C37789" w:rsidRPr="000322E4">
        <w:rPr>
          <w:b/>
          <w:bCs/>
          <w:lang w:val="en-US"/>
        </w:rPr>
        <w:instrText>bendamustine</w:instrText>
      </w:r>
      <w:r w:rsidR="00C37789" w:rsidRPr="000322E4">
        <w:rPr>
          <w:b/>
          <w:bCs/>
        </w:rPr>
        <w:instrText xml:space="preserve"> </w:instrText>
      </w:r>
      <w:r w:rsidR="00C37789" w:rsidRPr="000322E4">
        <w:rPr>
          <w:b/>
          <w:bCs/>
          <w:lang w:val="en-US"/>
        </w:rPr>
        <w:instrText>and</w:instrText>
      </w:r>
      <w:r w:rsidR="00C37789" w:rsidRPr="000322E4">
        <w:rPr>
          <w:b/>
          <w:bCs/>
        </w:rPr>
        <w:instrText xml:space="preserve"> </w:instrText>
      </w:r>
      <w:r w:rsidR="00C37789" w:rsidRPr="000322E4">
        <w:rPr>
          <w:b/>
          <w:bCs/>
          <w:lang w:val="en-US"/>
        </w:rPr>
        <w:instrText>rituximab</w:instrText>
      </w:r>
      <w:r w:rsidR="00C37789" w:rsidRPr="000322E4">
        <w:rPr>
          <w:b/>
          <w:bCs/>
        </w:rPr>
        <w:instrText xml:space="preserve"> </w:instrText>
      </w:r>
      <w:r w:rsidR="00C37789" w:rsidRPr="000322E4">
        <w:rPr>
          <w:b/>
          <w:bCs/>
          <w:lang w:val="en-US"/>
        </w:rPr>
        <w:instrText>in elderly patients with untreated diffuse large B-cell lymphoma (DLBCL) who were prospectively defined as frail using a simplified version of the Comprehensive Geriatric Assessment (CGA). Patients had to be over 70 years of age, with histologically confirmed DLBCL. Frail patients were those younger than 80 years with a frail profile at CGA or older than 80 years with an unfit profile. Treatment consisted of 4-6 courses of bendamustine [90 mg/m 2 days (d)1-2] and rituximab (375 mg/m 2 d1) administered every 28 days. Other main study end points were complete remission rate and the rate of extra-hematologic adverse events. Forty-nine patients were enrolled of whom 45 were confirmed eligible. Overall, 24 patients achieved a complete remission (53%; 95%CI: 38-68%) and the overall response rate was 62% (95%CI: 47-76%). The most frequent grade 3-4 adverse event was neutropenia (37.8%). Grade 3-4 extra-hematologic adverse events were observed in 7 patients (15.6%; 95%CI: 6.5-29.5%); the most frequent was grade 3 infection in 2 patients. With a median follow up of 33 months (range 1-52), the median progression-free survival was ten months (95%CI: 7-25). The study shows promising activity and manageable toxicity profile of BR combination as first-line therapy for patients with DLBCL who are prospectively defined as frail according to a simplified CGA, as adopted in this trial (clinicaltrials.gov identifier: 01990144).","author":[{"dropping-particle":"","family":"Storti","given":"Sergio","non-dropping-particle":"","parse-names":false,"suffix":""},{"dropping-particle":"","family":"Spina","given":"Michele","non-dropping-particle":"","parse-names":false,"suffix":""},{"dropping-particle":"","family":"Pesce","given":"Emanuela Anna","non-dropping-particle":"","parse-names":false,"suffix":""},{"dropping-particle":"","family":"Salvi","given":"Flavia","non-dropping-particle":"","parse-names":false,"suffix":""},{"dropping-particle":"","family":"Merli","given":"Michele","non-dropping-particle":"","parse-names":false,"suffix":""},{"dropping-particle":"","family":"Ruffini","given":"Alessia","non-dropping-particle":"","parse-names":false,"suffix":""},{"dropping-particle":"","family":"Cabras","given":"Giuseppina","non-dropping-particle":"","parse-names":false,"suffix":""},{"dropping-particle":"","family":"Chiappella","given":"Annalisa","non-dropping-particle":"","parse-names":false,"suffix":""},{"dropping-particle":"","family":"Angelucci","given":"Emanuele","non-dropping-particle":"","parse-names":false,"suffix":""},{"dropping-particle":"","family":"Fabbri","given":"Alberto","non-dropping-particle":"","parse-names":false,"suffix":""},{"dropping-particle":"","family":"Liberati","given":"Anna Marina","non-dropping-particle":"","parse-names":false,"suffix":""},{"dropping-particle":"","family":"Tani","given":"Monica","non-dropping-particle":"","parse-names":false,"suffix":""},{"dropping-particle":"","family":"Musuraca","given":"Gerardo","non-dropping-particle":"","parse-names":false,"suffix":""},{"dropping-particle":"","family":"Molinari","given":"Annalia","non-dropping-particle":"","parse-names":false,"suffix":""},{"dropping-particle":"","family":"Petrilli","given":"Maria Pia","non-dropping-particle":"","parse-names":false,"suffix":""},{"dropping-particle":"","family":"Palladino","given":"Carmela","non-dropping-particle":"","parse-names":false,"suffix":""},{"dropping-particle":"","family":"Ciancia","given":"Rosanna","non-dropping-particle":"","parse-names":false,"suffix":""},{"dropping-particle":"","family":"Ferrario","given":"Andrea","non-dropping-particle":"","parse-names":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Gasbarrino</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Cristiana</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Monaco</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Federico</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Fraticelli</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Vincenzo</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Vellis</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Annalisa</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De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Merli</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Francesco</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Luminari</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Stefano</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container</w:instrText>
      </w:r>
      <w:r w:rsidR="00C37789" w:rsidRPr="000322E4">
        <w:rPr>
          <w:b/>
          <w:bCs/>
        </w:rPr>
        <w:instrText>-</w:instrText>
      </w:r>
      <w:r w:rsidR="00C37789" w:rsidRPr="000322E4">
        <w:rPr>
          <w:b/>
          <w:bCs/>
          <w:lang w:val="en-US"/>
        </w:rPr>
        <w:instrText>title</w:instrText>
      </w:r>
      <w:r w:rsidR="00C37789" w:rsidRPr="000322E4">
        <w:rPr>
          <w:b/>
          <w:bCs/>
        </w:rPr>
        <w:instrText>":"</w:instrText>
      </w:r>
      <w:r w:rsidR="00C37789" w:rsidRPr="000322E4">
        <w:rPr>
          <w:b/>
          <w:bCs/>
          <w:lang w:val="en-US"/>
        </w:rPr>
        <w:instrText>Haematologica</w:instrText>
      </w:r>
      <w:r w:rsidR="00C37789" w:rsidRPr="000322E4">
        <w:rPr>
          <w:b/>
          <w:bCs/>
        </w:rPr>
        <w:instrText>","</w:instrText>
      </w:r>
      <w:r w:rsidR="00C37789" w:rsidRPr="000322E4">
        <w:rPr>
          <w:b/>
          <w:bCs/>
          <w:lang w:val="en-US"/>
        </w:rPr>
        <w:instrText>id</w:instrText>
      </w:r>
      <w:r w:rsidR="00C37789" w:rsidRPr="000322E4">
        <w:rPr>
          <w:b/>
          <w:bCs/>
        </w:rPr>
        <w:instrText>":"</w:instrText>
      </w:r>
      <w:r w:rsidR="00C37789" w:rsidRPr="000322E4">
        <w:rPr>
          <w:b/>
          <w:bCs/>
          <w:lang w:val="en-US"/>
        </w:rPr>
        <w:instrText>ITEM</w:instrText>
      </w:r>
      <w:r w:rsidR="00C37789" w:rsidRPr="000322E4">
        <w:rPr>
          <w:b/>
          <w:bCs/>
        </w:rPr>
        <w:instrText>-2","</w:instrText>
      </w:r>
      <w:r w:rsidR="00C37789" w:rsidRPr="000322E4">
        <w:rPr>
          <w:b/>
          <w:bCs/>
          <w:lang w:val="en-US"/>
        </w:rPr>
        <w:instrText>issue</w:instrText>
      </w:r>
      <w:r w:rsidR="00C37789" w:rsidRPr="000322E4">
        <w:rPr>
          <w:b/>
          <w:bCs/>
        </w:rPr>
        <w:instrText>":"8","</w:instrText>
      </w:r>
      <w:r w:rsidR="00C37789" w:rsidRPr="000322E4">
        <w:rPr>
          <w:b/>
          <w:bCs/>
          <w:lang w:val="en-US"/>
        </w:rPr>
        <w:instrText>issued</w:instrText>
      </w:r>
      <w:r w:rsidR="00C37789" w:rsidRPr="000322E4">
        <w:rPr>
          <w:b/>
          <w:bCs/>
        </w:rPr>
        <w:instrText>":{"</w:instrText>
      </w:r>
      <w:r w:rsidR="00C37789" w:rsidRPr="000322E4">
        <w:rPr>
          <w:b/>
          <w:bCs/>
          <w:lang w:val="en-US"/>
        </w:rPr>
        <w:instrText>date</w:instrText>
      </w:r>
      <w:r w:rsidR="00C37789" w:rsidRPr="000322E4">
        <w:rPr>
          <w:b/>
          <w:bCs/>
        </w:rPr>
        <w:instrText>-</w:instrText>
      </w:r>
      <w:r w:rsidR="00C37789" w:rsidRPr="000322E4">
        <w:rPr>
          <w:b/>
          <w:bCs/>
          <w:lang w:val="en-US"/>
        </w:rPr>
        <w:instrText>parts</w:instrText>
      </w:r>
      <w:r w:rsidR="00C37789" w:rsidRPr="000322E4">
        <w:rPr>
          <w:b/>
          <w:bCs/>
        </w:rPr>
        <w:instrText>":[["2018","7","31"]]},"</w:instrText>
      </w:r>
      <w:r w:rsidR="00C37789" w:rsidRPr="000322E4">
        <w:rPr>
          <w:b/>
          <w:bCs/>
          <w:lang w:val="en-US"/>
        </w:rPr>
        <w:instrText>page</w:instrText>
      </w:r>
      <w:r w:rsidR="00C37789" w:rsidRPr="000322E4">
        <w:rPr>
          <w:b/>
          <w:bCs/>
        </w:rPr>
        <w:instrText>":"1345-1350","</w:instrText>
      </w:r>
      <w:r w:rsidR="00C37789" w:rsidRPr="000322E4">
        <w:rPr>
          <w:b/>
          <w:bCs/>
          <w:lang w:val="en-US"/>
        </w:rPr>
        <w:instrText>publisher</w:instrText>
      </w:r>
      <w:r w:rsidR="00C37789" w:rsidRPr="000322E4">
        <w:rPr>
          <w:b/>
          <w:bCs/>
        </w:rPr>
        <w:instrText>":"</w:instrText>
      </w:r>
      <w:r w:rsidR="00C37789" w:rsidRPr="000322E4">
        <w:rPr>
          <w:b/>
          <w:bCs/>
          <w:lang w:val="en-US"/>
        </w:rPr>
        <w:instrText>Ferrata</w:instrText>
      </w:r>
      <w:r w:rsidR="00C37789" w:rsidRPr="000322E4">
        <w:rPr>
          <w:b/>
          <w:bCs/>
        </w:rPr>
        <w:instrText xml:space="preserve"> </w:instrText>
      </w:r>
      <w:r w:rsidR="00C37789" w:rsidRPr="000322E4">
        <w:rPr>
          <w:b/>
          <w:bCs/>
          <w:lang w:val="en-US"/>
        </w:rPr>
        <w:instrText>Storti</w:instrText>
      </w:r>
      <w:r w:rsidR="00C37789" w:rsidRPr="000322E4">
        <w:rPr>
          <w:b/>
          <w:bCs/>
        </w:rPr>
        <w:instrText xml:space="preserve"> </w:instrText>
      </w:r>
      <w:r w:rsidR="00C37789" w:rsidRPr="000322E4">
        <w:rPr>
          <w:b/>
          <w:bCs/>
          <w:lang w:val="en-US"/>
        </w:rPr>
        <w:instrText>Foundation</w:instrText>
      </w:r>
      <w:r w:rsidR="00C37789" w:rsidRPr="000322E4">
        <w:rPr>
          <w:b/>
          <w:bCs/>
        </w:rPr>
        <w:instrText>","</w:instrText>
      </w:r>
      <w:r w:rsidR="00C37789" w:rsidRPr="000322E4">
        <w:rPr>
          <w:b/>
          <w:bCs/>
          <w:lang w:val="en-US"/>
        </w:rPr>
        <w:instrText>title</w:instrText>
      </w:r>
      <w:r w:rsidR="00C37789" w:rsidRPr="000322E4">
        <w:rPr>
          <w:b/>
          <w:bCs/>
        </w:rPr>
        <w:instrText>":"</w:instrText>
      </w:r>
      <w:r w:rsidR="00C37789" w:rsidRPr="000322E4">
        <w:rPr>
          <w:b/>
          <w:bCs/>
          <w:lang w:val="en-US"/>
        </w:rPr>
        <w:instrText>Rituximab</w:instrText>
      </w:r>
      <w:r w:rsidR="00C37789" w:rsidRPr="000322E4">
        <w:rPr>
          <w:b/>
          <w:bCs/>
        </w:rPr>
        <w:instrText xml:space="preserve"> </w:instrText>
      </w:r>
      <w:r w:rsidR="00C37789" w:rsidRPr="000322E4">
        <w:rPr>
          <w:b/>
          <w:bCs/>
          <w:lang w:val="en-US"/>
        </w:rPr>
        <w:instrText>plus</w:instrText>
      </w:r>
      <w:r w:rsidR="00C37789" w:rsidRPr="000322E4">
        <w:rPr>
          <w:b/>
          <w:bCs/>
        </w:rPr>
        <w:instrText xml:space="preserve"> </w:instrText>
      </w:r>
      <w:r w:rsidR="00C37789" w:rsidRPr="000322E4">
        <w:rPr>
          <w:b/>
          <w:bCs/>
          <w:lang w:val="en-US"/>
        </w:rPr>
        <w:instrText>bendamustine</w:instrText>
      </w:r>
      <w:r w:rsidR="00C37789" w:rsidRPr="000322E4">
        <w:rPr>
          <w:b/>
          <w:bCs/>
        </w:rPr>
        <w:instrText xml:space="preserve"> </w:instrText>
      </w:r>
      <w:r w:rsidR="00C37789" w:rsidRPr="000322E4">
        <w:rPr>
          <w:b/>
          <w:bCs/>
          <w:lang w:val="en-US"/>
        </w:rPr>
        <w:instrText>as</w:instrText>
      </w:r>
      <w:r w:rsidR="00C37789" w:rsidRPr="000322E4">
        <w:rPr>
          <w:b/>
          <w:bCs/>
        </w:rPr>
        <w:instrText xml:space="preserve"> </w:instrText>
      </w:r>
      <w:r w:rsidR="00C37789" w:rsidRPr="000322E4">
        <w:rPr>
          <w:b/>
          <w:bCs/>
          <w:lang w:val="en-US"/>
        </w:rPr>
        <w:instrText>front</w:instrText>
      </w:r>
      <w:r w:rsidR="00C37789" w:rsidRPr="000322E4">
        <w:rPr>
          <w:b/>
          <w:bCs/>
        </w:rPr>
        <w:instrText>-</w:instrText>
      </w:r>
      <w:r w:rsidR="00C37789" w:rsidRPr="000322E4">
        <w:rPr>
          <w:b/>
          <w:bCs/>
          <w:lang w:val="en-US"/>
        </w:rPr>
        <w:instrText>line</w:instrText>
      </w:r>
      <w:r w:rsidR="00C37789" w:rsidRPr="000322E4">
        <w:rPr>
          <w:b/>
          <w:bCs/>
        </w:rPr>
        <w:instrText xml:space="preserve"> </w:instrText>
      </w:r>
      <w:r w:rsidR="00C37789" w:rsidRPr="000322E4">
        <w:rPr>
          <w:b/>
          <w:bCs/>
          <w:lang w:val="en-US"/>
        </w:rPr>
        <w:instrText>treatment</w:instrText>
      </w:r>
      <w:r w:rsidR="00C37789" w:rsidRPr="000322E4">
        <w:rPr>
          <w:b/>
          <w:bCs/>
        </w:rPr>
        <w:instrText xml:space="preserve"> </w:instrText>
      </w:r>
      <w:r w:rsidR="00C37789" w:rsidRPr="000322E4">
        <w:rPr>
          <w:b/>
          <w:bCs/>
          <w:lang w:val="en-US"/>
        </w:rPr>
        <w:instrText>in</w:instrText>
      </w:r>
      <w:r w:rsidR="00C37789" w:rsidRPr="000322E4">
        <w:rPr>
          <w:b/>
          <w:bCs/>
        </w:rPr>
        <w:instrText xml:space="preserve"> </w:instrText>
      </w:r>
      <w:r w:rsidR="00C37789" w:rsidRPr="000322E4">
        <w:rPr>
          <w:b/>
          <w:bCs/>
          <w:lang w:val="en-US"/>
        </w:rPr>
        <w:instrText>frail</w:instrText>
      </w:r>
      <w:r w:rsidR="00C37789" w:rsidRPr="000322E4">
        <w:rPr>
          <w:b/>
          <w:bCs/>
        </w:rPr>
        <w:instrText xml:space="preserve"> </w:instrText>
      </w:r>
      <w:r w:rsidR="00C37789" w:rsidRPr="000322E4">
        <w:rPr>
          <w:b/>
          <w:bCs/>
          <w:lang w:val="en-US"/>
        </w:rPr>
        <w:instrText>elderly</w:instrText>
      </w:r>
      <w:r w:rsidR="00C37789" w:rsidRPr="000322E4">
        <w:rPr>
          <w:b/>
          <w:bCs/>
        </w:rPr>
        <w:instrText xml:space="preserve"> (&gt;70 </w:instrText>
      </w:r>
      <w:r w:rsidR="00C37789" w:rsidRPr="000322E4">
        <w:rPr>
          <w:b/>
          <w:bCs/>
          <w:lang w:val="en-US"/>
        </w:rPr>
        <w:instrText>years</w:instrText>
      </w:r>
      <w:r w:rsidR="00C37789" w:rsidRPr="000322E4">
        <w:rPr>
          <w:b/>
          <w:bCs/>
        </w:rPr>
        <w:instrText xml:space="preserve">)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diffuse</w:instrText>
      </w:r>
      <w:r w:rsidR="00C37789" w:rsidRPr="000322E4">
        <w:rPr>
          <w:b/>
          <w:bCs/>
        </w:rPr>
        <w:instrText xml:space="preserve"> </w:instrText>
      </w:r>
      <w:r w:rsidR="00C37789" w:rsidRPr="000322E4">
        <w:rPr>
          <w:b/>
          <w:bCs/>
          <w:lang w:val="en-US"/>
        </w:rPr>
        <w:instrText>large</w:instrText>
      </w:r>
      <w:r w:rsidR="00C37789" w:rsidRPr="000322E4">
        <w:rPr>
          <w:b/>
          <w:bCs/>
        </w:rPr>
        <w:instrText xml:space="preserve"> </w:instrText>
      </w:r>
      <w:r w:rsidR="00C37789" w:rsidRPr="000322E4">
        <w:rPr>
          <w:b/>
          <w:bCs/>
          <w:lang w:val="en-US"/>
        </w:rPr>
        <w:instrText>b</w:instrText>
      </w:r>
      <w:r w:rsidR="00C37789" w:rsidRPr="000322E4">
        <w:rPr>
          <w:b/>
          <w:bCs/>
        </w:rPr>
        <w:instrText>-</w:instrText>
      </w:r>
      <w:r w:rsidR="00C37789" w:rsidRPr="000322E4">
        <w:rPr>
          <w:b/>
          <w:bCs/>
          <w:lang w:val="en-US"/>
        </w:rPr>
        <w:instrText>cell</w:instrText>
      </w:r>
      <w:r w:rsidR="00C37789" w:rsidRPr="000322E4">
        <w:rPr>
          <w:b/>
          <w:bCs/>
        </w:rPr>
        <w:instrText xml:space="preserve"> </w:instrText>
      </w:r>
      <w:r w:rsidR="00C37789" w:rsidRPr="000322E4">
        <w:rPr>
          <w:b/>
          <w:bCs/>
          <w:lang w:val="en-US"/>
        </w:rPr>
        <w:instrText>non</w:instrText>
      </w:r>
      <w:r w:rsidR="00C37789" w:rsidRPr="000322E4">
        <w:rPr>
          <w:b/>
          <w:bCs/>
        </w:rPr>
        <w:instrText>-</w:instrText>
      </w:r>
      <w:r w:rsidR="00C37789" w:rsidRPr="000322E4">
        <w:rPr>
          <w:b/>
          <w:bCs/>
          <w:lang w:val="en-US"/>
        </w:rPr>
        <w:instrText>hodgkin</w:instrText>
      </w:r>
      <w:r w:rsidR="00C37789" w:rsidRPr="000322E4">
        <w:rPr>
          <w:b/>
          <w:bCs/>
        </w:rPr>
        <w:instrText xml:space="preserve"> </w:instrText>
      </w:r>
      <w:r w:rsidR="00C37789" w:rsidRPr="000322E4">
        <w:rPr>
          <w:b/>
          <w:bCs/>
          <w:lang w:val="en-US"/>
        </w:rPr>
        <w:instrText>lymphoma</w:instrText>
      </w:r>
      <w:r w:rsidR="00C37789" w:rsidRPr="000322E4">
        <w:rPr>
          <w:b/>
          <w:bCs/>
        </w:rPr>
        <w:instrText xml:space="preserve">: </w:instrText>
      </w:r>
      <w:r w:rsidR="00C37789" w:rsidRPr="000322E4">
        <w:rPr>
          <w:b/>
          <w:bCs/>
          <w:lang w:val="en-US"/>
        </w:rPr>
        <w:instrText>A</w:instrText>
      </w:r>
      <w:r w:rsidR="00C37789" w:rsidRPr="000322E4">
        <w:rPr>
          <w:b/>
          <w:bCs/>
        </w:rPr>
        <w:instrText xml:space="preserve"> </w:instrText>
      </w:r>
      <w:r w:rsidR="00C37789" w:rsidRPr="000322E4">
        <w:rPr>
          <w:b/>
          <w:bCs/>
          <w:lang w:val="en-US"/>
        </w:rPr>
        <w:instrText>phase</w:instrText>
      </w:r>
      <w:r w:rsidR="00C37789" w:rsidRPr="000322E4">
        <w:rPr>
          <w:b/>
          <w:bCs/>
        </w:rPr>
        <w:instrText xml:space="preserve"> </w:instrText>
      </w:r>
      <w:r w:rsidR="00C37789" w:rsidRPr="000322E4">
        <w:rPr>
          <w:b/>
          <w:bCs/>
          <w:lang w:val="en-US"/>
        </w:rPr>
        <w:instrText>ii</w:instrText>
      </w:r>
      <w:r w:rsidR="00C37789" w:rsidRPr="000322E4">
        <w:rPr>
          <w:b/>
          <w:bCs/>
        </w:rPr>
        <w:instrText xml:space="preserve"> </w:instrText>
      </w:r>
      <w:r w:rsidR="00C37789" w:rsidRPr="000322E4">
        <w:rPr>
          <w:b/>
          <w:bCs/>
          <w:lang w:val="en-US"/>
        </w:rPr>
        <w:instrText>multicenter</w:instrText>
      </w:r>
      <w:r w:rsidR="00C37789" w:rsidRPr="000322E4">
        <w:rPr>
          <w:b/>
          <w:bCs/>
        </w:rPr>
        <w:instrText xml:space="preserve"> </w:instrText>
      </w:r>
      <w:r w:rsidR="00C37789" w:rsidRPr="000322E4">
        <w:rPr>
          <w:b/>
          <w:bCs/>
          <w:lang w:val="en-US"/>
        </w:rPr>
        <w:instrText>study</w:instrText>
      </w:r>
      <w:r w:rsidR="00C37789" w:rsidRPr="000322E4">
        <w:rPr>
          <w:b/>
          <w:bCs/>
        </w:rPr>
        <w:instrText xml:space="preserve"> </w:instrText>
      </w:r>
      <w:r w:rsidR="00C37789" w:rsidRPr="000322E4">
        <w:rPr>
          <w:b/>
          <w:bCs/>
          <w:lang w:val="en-US"/>
        </w:rPr>
        <w:instrText>of</w:instrText>
      </w:r>
      <w:r w:rsidR="00C37789" w:rsidRPr="000322E4">
        <w:rPr>
          <w:b/>
          <w:bCs/>
        </w:rPr>
        <w:instrText xml:space="preserve"> </w:instrText>
      </w:r>
      <w:r w:rsidR="00C37789" w:rsidRPr="000322E4">
        <w:rPr>
          <w:b/>
          <w:bCs/>
          <w:lang w:val="en-US"/>
        </w:rPr>
        <w:instrText>the</w:instrText>
      </w:r>
      <w:r w:rsidR="00C37789" w:rsidRPr="000322E4">
        <w:rPr>
          <w:b/>
          <w:bCs/>
        </w:rPr>
        <w:instrText xml:space="preserve"> </w:instrText>
      </w:r>
      <w:r w:rsidR="00C37789" w:rsidRPr="000322E4">
        <w:rPr>
          <w:b/>
          <w:bCs/>
          <w:lang w:val="en-US"/>
        </w:rPr>
        <w:instrText>fondazione</w:instrText>
      </w:r>
      <w:r w:rsidR="00C37789" w:rsidRPr="000322E4">
        <w:rPr>
          <w:b/>
          <w:bCs/>
        </w:rPr>
        <w:instrText xml:space="preserve"> </w:instrText>
      </w:r>
      <w:r w:rsidR="00C37789" w:rsidRPr="000322E4">
        <w:rPr>
          <w:b/>
          <w:bCs/>
          <w:lang w:val="en-US"/>
        </w:rPr>
        <w:instrText>italiana</w:instrText>
      </w:r>
      <w:r w:rsidR="00C37789" w:rsidRPr="000322E4">
        <w:rPr>
          <w:b/>
          <w:bCs/>
        </w:rPr>
        <w:instrText xml:space="preserve"> </w:instrText>
      </w:r>
      <w:r w:rsidR="00C37789" w:rsidRPr="000322E4">
        <w:rPr>
          <w:b/>
          <w:bCs/>
          <w:lang w:val="en-US"/>
        </w:rPr>
        <w:instrText>linfomi</w:instrText>
      </w:r>
      <w:r w:rsidR="00C37789" w:rsidRPr="000322E4">
        <w:rPr>
          <w:b/>
          <w:bCs/>
        </w:rPr>
        <w:instrText>","</w:instrText>
      </w:r>
      <w:r w:rsidR="00C37789" w:rsidRPr="000322E4">
        <w:rPr>
          <w:b/>
          <w:bCs/>
          <w:lang w:val="en-US"/>
        </w:rPr>
        <w:instrText>type</w:instrText>
      </w:r>
      <w:r w:rsidR="00C37789" w:rsidRPr="000322E4">
        <w:rPr>
          <w:b/>
          <w:bCs/>
        </w:rPr>
        <w:instrText>":"</w:instrText>
      </w:r>
      <w:r w:rsidR="00C37789" w:rsidRPr="000322E4">
        <w:rPr>
          <w:b/>
          <w:bCs/>
          <w:lang w:val="en-US"/>
        </w:rPr>
        <w:instrText>article</w:instrText>
      </w:r>
      <w:r w:rsidR="00C37789" w:rsidRPr="000322E4">
        <w:rPr>
          <w:b/>
          <w:bCs/>
        </w:rPr>
        <w:instrText>-</w:instrText>
      </w:r>
      <w:r w:rsidR="00C37789" w:rsidRPr="000322E4">
        <w:rPr>
          <w:b/>
          <w:bCs/>
          <w:lang w:val="en-US"/>
        </w:rPr>
        <w:instrText>journal</w:instrText>
      </w:r>
      <w:r w:rsidR="00C37789" w:rsidRPr="000322E4">
        <w:rPr>
          <w:b/>
          <w:bCs/>
        </w:rPr>
        <w:instrText>","</w:instrText>
      </w:r>
      <w:r w:rsidR="00C37789" w:rsidRPr="000322E4">
        <w:rPr>
          <w:b/>
          <w:bCs/>
          <w:lang w:val="en-US"/>
        </w:rPr>
        <w:instrText>volume</w:instrText>
      </w:r>
      <w:r w:rsidR="00C37789" w:rsidRPr="000322E4">
        <w:rPr>
          <w:b/>
          <w:bCs/>
        </w:rPr>
        <w:instrText>":"103"},"</w:instrText>
      </w:r>
      <w:r w:rsidR="00C37789" w:rsidRPr="000322E4">
        <w:rPr>
          <w:b/>
          <w:bCs/>
          <w:lang w:val="en-US"/>
        </w:rPr>
        <w:instrText>uris</w:instrText>
      </w:r>
      <w:r w:rsidR="00C37789" w:rsidRPr="000322E4">
        <w:rPr>
          <w:b/>
          <w:bCs/>
        </w:rPr>
        <w:instrText>":["</w:instrText>
      </w:r>
      <w:r w:rsidR="00C37789" w:rsidRPr="000322E4">
        <w:rPr>
          <w:b/>
          <w:bCs/>
          <w:lang w:val="en-US"/>
        </w:rPr>
        <w:instrText>http</w:instrText>
      </w:r>
      <w:r w:rsidR="00C37789" w:rsidRPr="000322E4">
        <w:rPr>
          <w:b/>
          <w:bCs/>
        </w:rPr>
        <w:instrText>://</w:instrText>
      </w:r>
      <w:r w:rsidR="00C37789" w:rsidRPr="000322E4">
        <w:rPr>
          <w:b/>
          <w:bCs/>
          <w:lang w:val="en-US"/>
        </w:rPr>
        <w:instrText>www</w:instrText>
      </w:r>
      <w:r w:rsidR="00C37789" w:rsidRPr="000322E4">
        <w:rPr>
          <w:b/>
          <w:bCs/>
        </w:rPr>
        <w:instrText>.</w:instrText>
      </w:r>
      <w:r w:rsidR="00C37789" w:rsidRPr="000322E4">
        <w:rPr>
          <w:b/>
          <w:bCs/>
          <w:lang w:val="en-US"/>
        </w:rPr>
        <w:instrText>mendeley</w:instrText>
      </w:r>
      <w:r w:rsidR="00C37789" w:rsidRPr="000322E4">
        <w:rPr>
          <w:b/>
          <w:bCs/>
        </w:rPr>
        <w:instrText>.</w:instrText>
      </w:r>
      <w:r w:rsidR="00C37789" w:rsidRPr="000322E4">
        <w:rPr>
          <w:b/>
          <w:bCs/>
          <w:lang w:val="en-US"/>
        </w:rPr>
        <w:instrText>com</w:instrText>
      </w:r>
      <w:r w:rsidR="00C37789" w:rsidRPr="000322E4">
        <w:rPr>
          <w:b/>
          <w:bCs/>
        </w:rPr>
        <w:instrText>/</w:instrText>
      </w:r>
      <w:r w:rsidR="00C37789" w:rsidRPr="000322E4">
        <w:rPr>
          <w:b/>
          <w:bCs/>
          <w:lang w:val="en-US"/>
        </w:rPr>
        <w:instrText>documents</w:instrText>
      </w:r>
      <w:r w:rsidR="00C37789" w:rsidRPr="000322E4">
        <w:rPr>
          <w:b/>
          <w:bCs/>
        </w:rPr>
        <w:instrText>/?</w:instrText>
      </w:r>
      <w:r w:rsidR="00C37789" w:rsidRPr="000322E4">
        <w:rPr>
          <w:b/>
          <w:bCs/>
          <w:lang w:val="en-US"/>
        </w:rPr>
        <w:instrText>uuid</w:instrText>
      </w:r>
      <w:r w:rsidR="00C37789" w:rsidRPr="000322E4">
        <w:rPr>
          <w:b/>
          <w:bCs/>
        </w:rPr>
        <w:instrText>=42955152-80</w:instrText>
      </w:r>
      <w:r w:rsidR="00C37789" w:rsidRPr="000322E4">
        <w:rPr>
          <w:b/>
          <w:bCs/>
          <w:lang w:val="en-US"/>
        </w:rPr>
        <w:instrText>e</w:instrText>
      </w:r>
      <w:r w:rsidR="00C37789" w:rsidRPr="000322E4">
        <w:rPr>
          <w:b/>
          <w:bCs/>
        </w:rPr>
        <w:instrText>8-3</w:instrText>
      </w:r>
      <w:r w:rsidR="00C37789" w:rsidRPr="000322E4">
        <w:rPr>
          <w:b/>
          <w:bCs/>
          <w:lang w:val="en-US"/>
        </w:rPr>
        <w:instrText>fa</w:instrText>
      </w:r>
      <w:r w:rsidR="00C37789" w:rsidRPr="000322E4">
        <w:rPr>
          <w:b/>
          <w:bCs/>
        </w:rPr>
        <w:instrText>0-</w:instrText>
      </w:r>
      <w:r w:rsidR="00C37789" w:rsidRPr="000322E4">
        <w:rPr>
          <w:b/>
          <w:bCs/>
          <w:lang w:val="en-US"/>
        </w:rPr>
        <w:instrText>bcc</w:instrText>
      </w:r>
      <w:r w:rsidR="00C37789" w:rsidRPr="000322E4">
        <w:rPr>
          <w:b/>
          <w:bCs/>
        </w:rPr>
        <w:instrText>8-9</w:instrText>
      </w:r>
      <w:r w:rsidR="00C37789" w:rsidRPr="000322E4">
        <w:rPr>
          <w:b/>
          <w:bCs/>
          <w:lang w:val="en-US"/>
        </w:rPr>
        <w:instrText>fbe</w:instrText>
      </w:r>
      <w:r w:rsidR="00C37789" w:rsidRPr="000322E4">
        <w:rPr>
          <w:b/>
          <w:bCs/>
        </w:rPr>
        <w:instrText>611003</w:instrText>
      </w:r>
      <w:r w:rsidR="00C37789" w:rsidRPr="000322E4">
        <w:rPr>
          <w:b/>
          <w:bCs/>
          <w:lang w:val="en-US"/>
        </w:rPr>
        <w:instrText>f</w:instrText>
      </w:r>
      <w:r w:rsidR="00C37789" w:rsidRPr="000322E4">
        <w:rPr>
          <w:b/>
          <w:bCs/>
        </w:rPr>
        <w:instrText>6"]}],"</w:instrText>
      </w:r>
      <w:r w:rsidR="00C37789" w:rsidRPr="000322E4">
        <w:rPr>
          <w:b/>
          <w:bCs/>
          <w:lang w:val="en-US"/>
        </w:rPr>
        <w:instrText>mendeley</w:instrText>
      </w:r>
      <w:r w:rsidR="00C37789" w:rsidRPr="000322E4">
        <w:rPr>
          <w:b/>
          <w:bCs/>
        </w:rPr>
        <w:instrText>":{"</w:instrText>
      </w:r>
      <w:r w:rsidR="00C37789" w:rsidRPr="000322E4">
        <w:rPr>
          <w:b/>
          <w:bCs/>
          <w:lang w:val="en-US"/>
        </w:rPr>
        <w:instrText>formattedCitation</w:instrText>
      </w:r>
      <w:r w:rsidR="00C37789" w:rsidRPr="000322E4">
        <w:rPr>
          <w:b/>
          <w:bCs/>
        </w:rPr>
        <w:instrText>":"[63,64]","</w:instrText>
      </w:r>
      <w:r w:rsidR="00C37789" w:rsidRPr="000322E4">
        <w:rPr>
          <w:b/>
          <w:bCs/>
          <w:lang w:val="en-US"/>
        </w:rPr>
        <w:instrText>plainTextFormattedCitation</w:instrText>
      </w:r>
      <w:r w:rsidR="00C37789" w:rsidRPr="000322E4">
        <w:rPr>
          <w:b/>
          <w:bCs/>
        </w:rPr>
        <w:instrText>":"[63,64]","</w:instrText>
      </w:r>
      <w:r w:rsidR="00C37789" w:rsidRPr="000322E4">
        <w:rPr>
          <w:b/>
          <w:bCs/>
          <w:lang w:val="en-US"/>
        </w:rPr>
        <w:instrText>previouslyFormattedCitation</w:instrText>
      </w:r>
      <w:r w:rsidR="00C37789" w:rsidRPr="000322E4">
        <w:rPr>
          <w:b/>
          <w:bCs/>
        </w:rPr>
        <w:instrText>":"[63,64]"},"</w:instrText>
      </w:r>
      <w:r w:rsidR="00C37789" w:rsidRPr="000322E4">
        <w:rPr>
          <w:b/>
          <w:bCs/>
          <w:lang w:val="en-US"/>
        </w:rPr>
        <w:instrText>properties</w:instrText>
      </w:r>
      <w:r w:rsidR="00C37789" w:rsidRPr="000322E4">
        <w:rPr>
          <w:b/>
          <w:bCs/>
        </w:rPr>
        <w:instrText>":{"</w:instrText>
      </w:r>
      <w:r w:rsidR="00C37789" w:rsidRPr="000322E4">
        <w:rPr>
          <w:b/>
          <w:bCs/>
          <w:lang w:val="en-US"/>
        </w:rPr>
        <w:instrText>noteIndex</w:instrText>
      </w:r>
      <w:r w:rsidR="00C37789" w:rsidRPr="000322E4">
        <w:rPr>
          <w:b/>
          <w:bCs/>
        </w:rPr>
        <w:instrText>":0},"</w:instrText>
      </w:r>
      <w:r w:rsidR="00C37789" w:rsidRPr="000322E4">
        <w:rPr>
          <w:b/>
          <w:bCs/>
          <w:lang w:val="en-US"/>
        </w:rPr>
        <w:instrText>schema</w:instrText>
      </w:r>
      <w:r w:rsidR="00C37789" w:rsidRPr="000322E4">
        <w:rPr>
          <w:b/>
          <w:bCs/>
        </w:rPr>
        <w:instrText>":"</w:instrText>
      </w:r>
      <w:r w:rsidR="00C37789" w:rsidRPr="000322E4">
        <w:rPr>
          <w:b/>
          <w:bCs/>
          <w:lang w:val="en-US"/>
        </w:rPr>
        <w:instrText>https</w:instrText>
      </w:r>
      <w:r w:rsidR="00C37789" w:rsidRPr="000322E4">
        <w:rPr>
          <w:b/>
          <w:bCs/>
        </w:rPr>
        <w:instrText>://</w:instrText>
      </w:r>
      <w:r w:rsidR="00C37789" w:rsidRPr="000322E4">
        <w:rPr>
          <w:b/>
          <w:bCs/>
          <w:lang w:val="en-US"/>
        </w:rPr>
        <w:instrText>github</w:instrText>
      </w:r>
      <w:r w:rsidR="00C37789" w:rsidRPr="000322E4">
        <w:rPr>
          <w:b/>
          <w:bCs/>
        </w:rPr>
        <w:instrText>.</w:instrText>
      </w:r>
      <w:r w:rsidR="00C37789" w:rsidRPr="000322E4">
        <w:rPr>
          <w:b/>
          <w:bCs/>
          <w:lang w:val="en-US"/>
        </w:rPr>
        <w:instrText>com</w:instrText>
      </w:r>
      <w:r w:rsidR="00C37789" w:rsidRPr="000322E4">
        <w:rPr>
          <w:b/>
          <w:bCs/>
        </w:rPr>
        <w:instrText>/</w:instrText>
      </w:r>
      <w:r w:rsidR="00C37789" w:rsidRPr="000322E4">
        <w:rPr>
          <w:b/>
          <w:bCs/>
          <w:lang w:val="en-US"/>
        </w:rPr>
        <w:instrText>citation</w:instrText>
      </w:r>
      <w:r w:rsidR="00C37789" w:rsidRPr="000322E4">
        <w:rPr>
          <w:b/>
          <w:bCs/>
        </w:rPr>
        <w:instrText>-</w:instrText>
      </w:r>
      <w:r w:rsidR="00C37789" w:rsidRPr="000322E4">
        <w:rPr>
          <w:b/>
          <w:bCs/>
          <w:lang w:val="en-US"/>
        </w:rPr>
        <w:instrText>style</w:instrText>
      </w:r>
      <w:r w:rsidR="00C37789" w:rsidRPr="000322E4">
        <w:rPr>
          <w:b/>
          <w:bCs/>
        </w:rPr>
        <w:instrText>-</w:instrText>
      </w:r>
      <w:r w:rsidR="00C37789" w:rsidRPr="000322E4">
        <w:rPr>
          <w:b/>
          <w:bCs/>
          <w:lang w:val="en-US"/>
        </w:rPr>
        <w:instrText>language</w:instrText>
      </w:r>
      <w:r w:rsidR="00C37789" w:rsidRPr="000322E4">
        <w:rPr>
          <w:b/>
          <w:bCs/>
        </w:rPr>
        <w:instrText>/</w:instrText>
      </w:r>
      <w:r w:rsidR="00C37789" w:rsidRPr="000322E4">
        <w:rPr>
          <w:b/>
          <w:bCs/>
          <w:lang w:val="en-US"/>
        </w:rPr>
        <w:instrText>schema</w:instrText>
      </w:r>
      <w:r w:rsidR="00C37789" w:rsidRPr="000322E4">
        <w:rPr>
          <w:b/>
          <w:bCs/>
        </w:rPr>
        <w:instrText>/</w:instrText>
      </w:r>
      <w:r w:rsidR="00C37789" w:rsidRPr="000322E4">
        <w:rPr>
          <w:b/>
          <w:bCs/>
          <w:lang w:val="en-US"/>
        </w:rPr>
        <w:instrText>raw</w:instrText>
      </w:r>
      <w:r w:rsidR="00C37789" w:rsidRPr="000322E4">
        <w:rPr>
          <w:b/>
          <w:bCs/>
        </w:rPr>
        <w:instrText>/</w:instrText>
      </w:r>
      <w:r w:rsidR="00C37789" w:rsidRPr="000322E4">
        <w:rPr>
          <w:b/>
          <w:bCs/>
          <w:lang w:val="en-US"/>
        </w:rPr>
        <w:instrText>master</w:instrText>
      </w:r>
      <w:r w:rsidR="00C37789" w:rsidRPr="000322E4">
        <w:rPr>
          <w:b/>
          <w:bCs/>
        </w:rPr>
        <w:instrText>/</w:instrText>
      </w:r>
      <w:r w:rsidR="00C37789" w:rsidRPr="000322E4">
        <w:rPr>
          <w:b/>
          <w:bCs/>
          <w:lang w:val="en-US"/>
        </w:rPr>
        <w:instrText>csl</w:instrText>
      </w:r>
      <w:r w:rsidR="00C37789" w:rsidRPr="000322E4">
        <w:rPr>
          <w:b/>
          <w:bCs/>
        </w:rPr>
        <w:instrText>-</w:instrText>
      </w:r>
      <w:r w:rsidR="00C37789" w:rsidRPr="000322E4">
        <w:rPr>
          <w:b/>
          <w:bCs/>
          <w:lang w:val="en-US"/>
        </w:rPr>
        <w:instrText>citation</w:instrText>
      </w:r>
      <w:r w:rsidR="00C37789" w:rsidRPr="000322E4">
        <w:rPr>
          <w:b/>
          <w:bCs/>
        </w:rPr>
        <w:instrText>.</w:instrText>
      </w:r>
      <w:r w:rsidR="00C37789" w:rsidRPr="000322E4">
        <w:rPr>
          <w:b/>
          <w:bCs/>
          <w:lang w:val="en-US"/>
        </w:rPr>
        <w:instrText>json</w:instrText>
      </w:r>
      <w:r w:rsidR="00C37789" w:rsidRPr="000322E4">
        <w:rPr>
          <w:b/>
          <w:bCs/>
        </w:rPr>
        <w:instrText>"}</w:instrText>
      </w:r>
      <w:r w:rsidRPr="000322E4">
        <w:rPr>
          <w:b/>
          <w:bCs/>
          <w:lang w:val="en-US"/>
        </w:rPr>
        <w:fldChar w:fldCharType="separate"/>
      </w:r>
      <w:r w:rsidR="00C37789" w:rsidRPr="000322E4">
        <w:rPr>
          <w:bCs/>
          <w:noProof/>
        </w:rPr>
        <w:t>[63,64]</w:t>
      </w:r>
      <w:r w:rsidRPr="000322E4">
        <w:rPr>
          <w:b/>
          <w:bCs/>
          <w:lang w:val="en-US"/>
        </w:rPr>
        <w:fldChar w:fldCharType="end"/>
      </w:r>
    </w:p>
    <w:p w14:paraId="4464FF8D" w14:textId="77777777" w:rsidR="00666D68" w:rsidRPr="000322E4" w:rsidRDefault="00666D68" w:rsidP="00F414BF">
      <w:pPr>
        <w:numPr>
          <w:ilvl w:val="0"/>
          <w:numId w:val="40"/>
        </w:numPr>
      </w:pPr>
      <w:r w:rsidRPr="000322E4">
        <w:lastRenderedPageBreak/>
        <w:t>Ритуксимаб</w:t>
      </w:r>
      <w:r w:rsidRPr="000322E4">
        <w:rPr>
          <w:bCs/>
        </w:rPr>
        <w:t>**</w:t>
      </w:r>
      <w:r w:rsidRPr="000322E4">
        <w:t xml:space="preserve"> </w:t>
      </w:r>
    </w:p>
    <w:p w14:paraId="71AC9DD6" w14:textId="77777777" w:rsidR="00666D68" w:rsidRPr="000322E4" w:rsidRDefault="00666D68" w:rsidP="00F414BF">
      <w:pPr>
        <w:numPr>
          <w:ilvl w:val="1"/>
          <w:numId w:val="40"/>
        </w:numPr>
      </w:pPr>
      <w:r w:rsidRPr="000322E4">
        <w:t>375 мг/м</w:t>
      </w:r>
      <w:r w:rsidRPr="000322E4">
        <w:rPr>
          <w:vertAlign w:val="superscript"/>
        </w:rPr>
        <w:t>2</w:t>
      </w:r>
      <w:r w:rsidRPr="000322E4">
        <w:t xml:space="preserve"> в/в кап., день 0 или 1 все циклы курса</w:t>
      </w:r>
    </w:p>
    <w:p w14:paraId="062FFDE0" w14:textId="77777777" w:rsidR="00666D68" w:rsidRPr="000322E4" w:rsidRDefault="00666D68" w:rsidP="00F414BF">
      <w:pPr>
        <w:ind w:left="1080" w:firstLine="336"/>
      </w:pPr>
      <w:r w:rsidRPr="000322E4">
        <w:t>или</w:t>
      </w:r>
    </w:p>
    <w:p w14:paraId="7A2B39D6" w14:textId="0E8296F0" w:rsidR="00666D68" w:rsidRPr="000322E4" w:rsidRDefault="00666D68" w:rsidP="00F414BF">
      <w:pPr>
        <w:numPr>
          <w:ilvl w:val="1"/>
          <w:numId w:val="40"/>
        </w:numPr>
      </w:pPr>
      <w:r w:rsidRPr="000322E4">
        <w:t>375 мг/м</w:t>
      </w:r>
      <w:r w:rsidRPr="000322E4">
        <w:rPr>
          <w:vertAlign w:val="superscript"/>
        </w:rPr>
        <w:t>2</w:t>
      </w:r>
      <w:r w:rsidRPr="000322E4">
        <w:t xml:space="preserve"> в/в кап. 1 цикл, далее ритуксимаб 1400 мг п/к, день 0 или 1 </w:t>
      </w:r>
      <w:r w:rsidRPr="000322E4">
        <w:rPr>
          <w:lang w:val="en-US"/>
        </w:rPr>
        <w:fldChar w:fldCharType="begin" w:fldLock="1"/>
      </w:r>
      <w:r w:rsidR="00E974B2">
        <w:rPr>
          <w:lang w:val="en-US"/>
        </w:rPr>
        <w:instrText>ADDIN</w:instrText>
      </w:r>
      <w:r w:rsidR="00E974B2" w:rsidRPr="006C476A">
        <w:instrText xml:space="preserve"> </w:instrText>
      </w:r>
      <w:r w:rsidR="00E974B2">
        <w:rPr>
          <w:lang w:val="en-US"/>
        </w:rPr>
        <w:instrText>CSL</w:instrText>
      </w:r>
      <w:r w:rsidR="00E974B2" w:rsidRPr="006C476A">
        <w:instrText>_</w:instrText>
      </w:r>
      <w:r w:rsidR="00E974B2">
        <w:rPr>
          <w:lang w:val="en-US"/>
        </w:rPr>
        <w:instrText>CITATION</w:instrText>
      </w:r>
      <w:r w:rsidR="00E974B2" w:rsidRPr="006C476A">
        <w:instrText xml:space="preserve"> {"</w:instrText>
      </w:r>
      <w:r w:rsidR="00E974B2">
        <w:rPr>
          <w:lang w:val="en-US"/>
        </w:rPr>
        <w:instrText>citationItems</w:instrText>
      </w:r>
      <w:r w:rsidR="00E974B2" w:rsidRPr="006C476A">
        <w:instrText>":[{"</w:instrText>
      </w:r>
      <w:r w:rsidR="00E974B2">
        <w:rPr>
          <w:lang w:val="en-US"/>
        </w:rPr>
        <w:instrText>id</w:instrText>
      </w:r>
      <w:r w:rsidR="00E974B2" w:rsidRPr="006C476A">
        <w:instrText>":"</w:instrText>
      </w:r>
      <w:r w:rsidR="00E974B2">
        <w:rPr>
          <w:lang w:val="en-US"/>
        </w:rPr>
        <w:instrText>ITEM</w:instrText>
      </w:r>
      <w:r w:rsidR="00E974B2" w:rsidRPr="006C476A">
        <w:instrText>-1","</w:instrText>
      </w:r>
      <w:r w:rsidR="00E974B2">
        <w:rPr>
          <w:lang w:val="en-US"/>
        </w:rPr>
        <w:instrText>itemData</w:instrText>
      </w:r>
      <w:r w:rsidR="00E974B2" w:rsidRPr="006C476A">
        <w:instrText>":{"</w:instrText>
      </w:r>
      <w:r w:rsidR="00E974B2">
        <w:rPr>
          <w:lang w:val="en-US"/>
        </w:rPr>
        <w:instrText>ISSN</w:instrText>
      </w:r>
      <w:r w:rsidR="00E974B2" w:rsidRPr="006C476A">
        <w:instrText>":"2150-0878","</w:instrText>
      </w:r>
      <w:r w:rsidR="00E974B2">
        <w:rPr>
          <w:lang w:val="en-US"/>
        </w:rPr>
        <w:instrText>PMID</w:instrText>
      </w:r>
      <w:r w:rsidR="00E974B2" w:rsidRPr="006C476A">
        <w:instrText>":"31086689","</w:instrText>
      </w:r>
      <w:r w:rsidR="00E974B2">
        <w:rPr>
          <w:lang w:val="en-US"/>
        </w:rPr>
        <w:instrText>abstract</w:instrText>
      </w:r>
      <w:r w:rsidR="00E974B2" w:rsidRPr="006C476A">
        <w:instrText>":"</w:instrText>
      </w:r>
      <w:r w:rsidR="00E974B2">
        <w:rPr>
          <w:lang w:val="en-US"/>
        </w:rPr>
        <w:instrText>Rituximab</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hyaluronidase</w:instrText>
      </w:r>
      <w:r w:rsidR="00E974B2" w:rsidRPr="006C476A">
        <w:instrText xml:space="preserve"> </w:instrText>
      </w:r>
      <w:r w:rsidR="00E974B2">
        <w:rPr>
          <w:lang w:val="en-US"/>
        </w:rPr>
        <w:instrText>human</w:instrText>
      </w:r>
      <w:r w:rsidR="00E974B2" w:rsidRPr="006C476A">
        <w:instrText xml:space="preserve"> </w:instrText>
      </w:r>
      <w:r w:rsidR="00E974B2">
        <w:rPr>
          <w:lang w:val="en-US"/>
        </w:rPr>
        <w:instrText>is</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new</w:instrText>
      </w:r>
      <w:r w:rsidR="00E974B2" w:rsidRPr="006C476A">
        <w:instrText xml:space="preserve"> </w:instrText>
      </w:r>
      <w:r w:rsidR="00E974B2">
        <w:rPr>
          <w:lang w:val="en-US"/>
        </w:rPr>
        <w:instrText>subcutaneous</w:instrText>
      </w:r>
      <w:r w:rsidR="00E974B2" w:rsidRPr="006C476A">
        <w:instrText xml:space="preserve"> </w:instrText>
      </w:r>
      <w:r w:rsidR="00E974B2">
        <w:rPr>
          <w:lang w:val="en-US"/>
        </w:rPr>
        <w:instrText>formulation</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that</w:instrText>
      </w:r>
      <w:r w:rsidR="00E974B2" w:rsidRPr="006C476A">
        <w:instrText xml:space="preserve"> </w:instrText>
      </w:r>
      <w:r w:rsidR="00E974B2">
        <w:rPr>
          <w:lang w:val="en-US"/>
        </w:rPr>
        <w:instrText>was</w:instrText>
      </w:r>
      <w:r w:rsidR="00E974B2" w:rsidRPr="006C476A">
        <w:instrText xml:space="preserve"> </w:instrText>
      </w:r>
      <w:r w:rsidR="00E974B2">
        <w:rPr>
          <w:lang w:val="en-US"/>
        </w:rPr>
        <w:instrText>recently</w:instrText>
      </w:r>
      <w:r w:rsidR="00E974B2" w:rsidRPr="006C476A">
        <w:instrText xml:space="preserve"> </w:instrText>
      </w:r>
      <w:r w:rsidR="00E974B2">
        <w:rPr>
          <w:lang w:val="en-US"/>
        </w:rPr>
        <w:instrText>approved</w:instrText>
      </w:r>
      <w:r w:rsidR="00E974B2" w:rsidRPr="006C476A">
        <w:instrText xml:space="preserve"> </w:instrText>
      </w:r>
      <w:r w:rsidR="00E974B2">
        <w:rPr>
          <w:lang w:val="en-US"/>
        </w:rPr>
        <w:instrText>by</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US</w:instrText>
      </w:r>
      <w:r w:rsidR="00E974B2" w:rsidRPr="006C476A">
        <w:instrText xml:space="preserve"> </w:instrText>
      </w:r>
      <w:r w:rsidR="00E974B2">
        <w:rPr>
          <w:lang w:val="en-US"/>
        </w:rPr>
        <w:instrText>Food</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Drug</w:instrText>
      </w:r>
      <w:r w:rsidR="00E974B2" w:rsidRPr="006C476A">
        <w:instrText xml:space="preserve"> </w:instrText>
      </w:r>
      <w:r w:rsidR="00E974B2">
        <w:rPr>
          <w:lang w:val="en-US"/>
        </w:rPr>
        <w:instrText>Administration</w:instrText>
      </w:r>
      <w:r w:rsidR="00E974B2" w:rsidRPr="006C476A">
        <w:instrText xml:space="preserve"> </w:instrText>
      </w:r>
      <w:r w:rsidR="00E974B2">
        <w:rPr>
          <w:lang w:val="en-US"/>
        </w:rPr>
        <w:instrText>for</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treatment</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adults</w:instrText>
      </w:r>
      <w:r w:rsidR="00E974B2" w:rsidRPr="006C476A">
        <w:instrText xml:space="preserve"> </w:instrText>
      </w:r>
      <w:r w:rsidR="00E974B2">
        <w:rPr>
          <w:lang w:val="en-US"/>
        </w:rPr>
        <w:instrText>with</w:instrText>
      </w:r>
      <w:r w:rsidR="00E974B2" w:rsidRPr="006C476A">
        <w:instrText xml:space="preserve"> </w:instrText>
      </w:r>
      <w:r w:rsidR="00E974B2">
        <w:rPr>
          <w:lang w:val="en-US"/>
        </w:rPr>
        <w:instrText>follicular</w:instrText>
      </w:r>
      <w:r w:rsidR="00E974B2" w:rsidRPr="006C476A">
        <w:instrText xml:space="preserve"> </w:instrText>
      </w:r>
      <w:r w:rsidR="00E974B2">
        <w:rPr>
          <w:lang w:val="en-US"/>
        </w:rPr>
        <w:instrText>lymphoma</w:instrText>
      </w:r>
      <w:r w:rsidR="00E974B2" w:rsidRPr="006C476A">
        <w:instrText xml:space="preserve">, </w:instrText>
      </w:r>
      <w:r w:rsidR="00E974B2">
        <w:rPr>
          <w:lang w:val="en-US"/>
        </w:rPr>
        <w:instrText>diffuse</w:instrText>
      </w:r>
      <w:r w:rsidR="00E974B2" w:rsidRPr="006C476A">
        <w:instrText xml:space="preserve"> </w:instrText>
      </w:r>
      <w:r w:rsidR="00E974B2">
        <w:rPr>
          <w:lang w:val="en-US"/>
        </w:rPr>
        <w:instrText>large</w:instrText>
      </w:r>
      <w:r w:rsidR="00E974B2" w:rsidRPr="006C476A">
        <w:instrText xml:space="preserve"> </w:instrText>
      </w:r>
      <w:r w:rsidR="00E974B2">
        <w:rPr>
          <w:lang w:val="en-US"/>
        </w:rPr>
        <w:instrText>B</w:instrText>
      </w:r>
      <w:r w:rsidR="00E974B2" w:rsidRPr="006C476A">
        <w:instrText>-</w:instrText>
      </w:r>
      <w:r w:rsidR="00E974B2">
        <w:rPr>
          <w:lang w:val="en-US"/>
        </w:rPr>
        <w:instrText>cell</w:instrText>
      </w:r>
      <w:r w:rsidR="00E974B2" w:rsidRPr="006C476A">
        <w:instrText xml:space="preserve"> </w:instrText>
      </w:r>
      <w:r w:rsidR="00E974B2">
        <w:rPr>
          <w:lang w:val="en-US"/>
        </w:rPr>
        <w:instrText>lymphoma</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chronic</w:instrText>
      </w:r>
      <w:r w:rsidR="00E974B2" w:rsidRPr="006C476A">
        <w:instrText xml:space="preserve"> </w:instrText>
      </w:r>
      <w:r w:rsidR="00E974B2">
        <w:rPr>
          <w:lang w:val="en-US"/>
        </w:rPr>
        <w:instrText>lymphocytic</w:instrText>
      </w:r>
      <w:r w:rsidR="00E974B2" w:rsidRPr="006C476A">
        <w:instrText xml:space="preserve"> </w:instrText>
      </w:r>
      <w:r w:rsidR="00E974B2">
        <w:rPr>
          <w:lang w:val="en-US"/>
        </w:rPr>
        <w:instrText>leukemia</w:instrText>
      </w:r>
      <w:r w:rsidR="00E974B2" w:rsidRPr="006C476A">
        <w:instrText xml:space="preserve">. </w:instrText>
      </w:r>
      <w:r w:rsidR="00E974B2">
        <w:rPr>
          <w:lang w:val="en-US"/>
        </w:rPr>
        <w:instrText>With</w:instrText>
      </w:r>
      <w:r w:rsidR="00E974B2" w:rsidRPr="006C476A">
        <w:instrText xml:space="preserve"> </w:instrText>
      </w:r>
      <w:r w:rsidR="00E974B2">
        <w:rPr>
          <w:lang w:val="en-US"/>
        </w:rPr>
        <w:instrText>data</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support</w:instrText>
      </w:r>
      <w:r w:rsidR="00E974B2" w:rsidRPr="006C476A">
        <w:instrText xml:space="preserve"> </w:instrText>
      </w:r>
      <w:r w:rsidR="00E974B2">
        <w:rPr>
          <w:lang w:val="en-US"/>
        </w:rPr>
        <w:instrText>noninferior</w:instrText>
      </w:r>
      <w:r w:rsidR="00E974B2" w:rsidRPr="006C476A">
        <w:instrText xml:space="preserve"> </w:instrText>
      </w:r>
      <w:r w:rsidR="00E974B2">
        <w:rPr>
          <w:lang w:val="en-US"/>
        </w:rPr>
        <w:instrText>pharmacokinetics</w:instrText>
      </w:r>
      <w:r w:rsidR="00E974B2" w:rsidRPr="006C476A">
        <w:instrText xml:space="preserve">, </w:instrText>
      </w:r>
      <w:r w:rsidR="00E974B2">
        <w:rPr>
          <w:lang w:val="en-US"/>
        </w:rPr>
        <w:instrText>similar</w:instrText>
      </w:r>
      <w:r w:rsidR="00E974B2" w:rsidRPr="006C476A">
        <w:instrText xml:space="preserve"> </w:instrText>
      </w:r>
      <w:r w:rsidR="00E974B2">
        <w:rPr>
          <w:lang w:val="en-US"/>
        </w:rPr>
        <w:instrText>outcomes</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comparable</w:instrText>
      </w:r>
      <w:r w:rsidR="00E974B2" w:rsidRPr="006C476A">
        <w:instrText xml:space="preserve"> </w:instrText>
      </w:r>
      <w:r w:rsidR="00E974B2">
        <w:rPr>
          <w:lang w:val="en-US"/>
        </w:rPr>
        <w:instrText>adverse</w:instrText>
      </w:r>
      <w:r w:rsidR="00E974B2" w:rsidRPr="006C476A">
        <w:instrText xml:space="preserve"> </w:instrText>
      </w:r>
      <w:r w:rsidR="00E974B2">
        <w:rPr>
          <w:lang w:val="en-US"/>
        </w:rPr>
        <w:instrText>events</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hyaluronidase</w:instrText>
      </w:r>
      <w:r w:rsidR="00E974B2" w:rsidRPr="006C476A">
        <w:instrText xml:space="preserve"> </w:instrText>
      </w:r>
      <w:r w:rsidR="00E974B2">
        <w:rPr>
          <w:lang w:val="en-US"/>
        </w:rPr>
        <w:instrText>human</w:instrText>
      </w:r>
      <w:r w:rsidR="00E974B2" w:rsidRPr="006C476A">
        <w:instrText xml:space="preserve"> </w:instrText>
      </w:r>
      <w:r w:rsidR="00E974B2">
        <w:rPr>
          <w:lang w:val="en-US"/>
        </w:rPr>
        <w:instrText>may</w:instrText>
      </w:r>
      <w:r w:rsidR="00E974B2" w:rsidRPr="006C476A">
        <w:instrText xml:space="preserve"> </w:instrText>
      </w:r>
      <w:r w:rsidR="00E974B2">
        <w:rPr>
          <w:lang w:val="en-US"/>
        </w:rPr>
        <w:instrText>offer</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suitable</w:instrText>
      </w:r>
      <w:r w:rsidR="00E974B2" w:rsidRPr="006C476A">
        <w:instrText xml:space="preserve"> </w:instrText>
      </w:r>
      <w:r w:rsidR="00E974B2">
        <w:rPr>
          <w:lang w:val="en-US"/>
        </w:rPr>
        <w:instrText>alternative</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intravenous</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that</w:instrText>
      </w:r>
      <w:r w:rsidR="00E974B2" w:rsidRPr="006C476A">
        <w:instrText xml:space="preserve"> </w:instrText>
      </w:r>
      <w:r w:rsidR="00E974B2">
        <w:rPr>
          <w:lang w:val="en-US"/>
        </w:rPr>
        <w:instrText>could</w:instrText>
      </w:r>
      <w:r w:rsidR="00E974B2" w:rsidRPr="006C476A">
        <w:instrText xml:space="preserve"> </w:instrText>
      </w:r>
      <w:r w:rsidR="00E974B2">
        <w:rPr>
          <w:lang w:val="en-US"/>
        </w:rPr>
        <w:instrText>improve</w:instrText>
      </w:r>
      <w:r w:rsidR="00E974B2" w:rsidRPr="006C476A">
        <w:instrText xml:space="preserve"> </w:instrText>
      </w:r>
      <w:r w:rsidR="00E974B2">
        <w:rPr>
          <w:lang w:val="en-US"/>
        </w:rPr>
        <w:instrText>convenience</w:instrText>
      </w:r>
      <w:r w:rsidR="00E974B2" w:rsidRPr="006C476A">
        <w:instrText xml:space="preserve"> </w:instrText>
      </w:r>
      <w:r w:rsidR="00E974B2">
        <w:rPr>
          <w:lang w:val="en-US"/>
        </w:rPr>
        <w:instrText>for</w:instrText>
      </w:r>
      <w:r w:rsidR="00E974B2" w:rsidRPr="006C476A">
        <w:instrText xml:space="preserve"> </w:instrText>
      </w:r>
      <w:r w:rsidR="00E974B2">
        <w:rPr>
          <w:lang w:val="en-US"/>
        </w:rPr>
        <w:instrText>patients</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better</w:instrText>
      </w:r>
      <w:r w:rsidR="00E974B2" w:rsidRPr="006C476A">
        <w:instrText xml:space="preserve"> </w:instrText>
      </w:r>
      <w:r w:rsidR="00E974B2">
        <w:rPr>
          <w:lang w:val="en-US"/>
        </w:rPr>
        <w:instrText>utilize</w:instrText>
      </w:r>
      <w:r w:rsidR="00E974B2" w:rsidRPr="006C476A">
        <w:instrText xml:space="preserve"> </w:instrText>
      </w:r>
      <w:r w:rsidR="00E974B2">
        <w:rPr>
          <w:lang w:val="en-US"/>
        </w:rPr>
        <w:instrText>health</w:instrText>
      </w:r>
      <w:r w:rsidR="00E974B2" w:rsidRPr="006C476A">
        <w:instrText>-</w:instrText>
      </w:r>
      <w:r w:rsidR="00E974B2">
        <w:rPr>
          <w:lang w:val="en-US"/>
        </w:rPr>
        <w:instrText>care</w:instrText>
      </w:r>
      <w:r w:rsidR="00E974B2" w:rsidRPr="006C476A">
        <w:instrText xml:space="preserve"> </w:instrText>
      </w:r>
      <w:r w:rsidR="00E974B2">
        <w:rPr>
          <w:lang w:val="en-US"/>
        </w:rPr>
        <w:instrText>resources</w:instrText>
      </w:r>
      <w:r w:rsidR="00E974B2" w:rsidRPr="006C476A">
        <w:instrText>.","</w:instrText>
      </w:r>
      <w:r w:rsidR="00E974B2">
        <w:rPr>
          <w:lang w:val="en-US"/>
        </w:rPr>
        <w:instrText>author</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Yelvington</w:instrText>
      </w:r>
      <w:r w:rsidR="00E974B2" w:rsidRPr="006C476A">
        <w:instrText>","</w:instrText>
      </w:r>
      <w:r w:rsidR="00E974B2">
        <w:rPr>
          <w:lang w:val="en-US"/>
        </w:rPr>
        <w:instrText>given</w:instrText>
      </w:r>
      <w:r w:rsidR="00E974B2" w:rsidRPr="006C476A">
        <w:instrText>":"</w:instrText>
      </w:r>
      <w:r w:rsidR="00E974B2">
        <w:rPr>
          <w:lang w:val="en-US"/>
        </w:rPr>
        <w:instrText>Bradley</w:instrText>
      </w:r>
      <w:r w:rsidR="00E974B2" w:rsidRPr="006C476A">
        <w:instrText xml:space="preserve"> </w:instrText>
      </w:r>
      <w:r w:rsidR="00E974B2">
        <w:rPr>
          <w:lang w:val="en-US"/>
        </w:rPr>
        <w:instrText>J</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container</w:instrText>
      </w:r>
      <w:r w:rsidR="00E974B2" w:rsidRPr="006C476A">
        <w:instrText>-</w:instrText>
      </w:r>
      <w:r w:rsidR="00E974B2">
        <w:rPr>
          <w:lang w:val="en-US"/>
        </w:rPr>
        <w:instrText>title</w:instrText>
      </w:r>
      <w:r w:rsidR="00E974B2" w:rsidRPr="006C476A">
        <w:instrText>":"</w:instrText>
      </w:r>
      <w:r w:rsidR="00E974B2">
        <w:rPr>
          <w:lang w:val="en-US"/>
        </w:rPr>
        <w:instrText>Journal</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advanced</w:instrText>
      </w:r>
      <w:r w:rsidR="00E974B2" w:rsidRPr="006C476A">
        <w:instrText xml:space="preserve"> </w:instrText>
      </w:r>
      <w:r w:rsidR="00E974B2">
        <w:rPr>
          <w:lang w:val="en-US"/>
        </w:rPr>
        <w:instrText>practitioner</w:instrText>
      </w:r>
      <w:r w:rsidR="00E974B2" w:rsidRPr="006C476A">
        <w:instrText xml:space="preserve"> </w:instrText>
      </w:r>
      <w:r w:rsidR="00E974B2">
        <w:rPr>
          <w:lang w:val="en-US"/>
        </w:rPr>
        <w:instrText>in</w:instrText>
      </w:r>
      <w:r w:rsidR="00E974B2" w:rsidRPr="006C476A">
        <w:instrText xml:space="preserve"> </w:instrText>
      </w:r>
      <w:r w:rsidR="00E974B2">
        <w:rPr>
          <w:lang w:val="en-US"/>
        </w:rPr>
        <w:instrText>oncology</w:instrText>
      </w:r>
      <w:r w:rsidR="00E974B2" w:rsidRPr="006C476A">
        <w:instrText>","</w:instrText>
      </w:r>
      <w:r w:rsidR="00E974B2">
        <w:rPr>
          <w:lang w:val="en-US"/>
        </w:rPr>
        <w:instrText>id</w:instrText>
      </w:r>
      <w:r w:rsidR="00E974B2" w:rsidRPr="006C476A">
        <w:instrText>":"</w:instrText>
      </w:r>
      <w:r w:rsidR="00E974B2">
        <w:rPr>
          <w:lang w:val="en-US"/>
        </w:rPr>
        <w:instrText>ITEM</w:instrText>
      </w:r>
      <w:r w:rsidR="00E974B2" w:rsidRPr="006C476A">
        <w:instrText>-1","</w:instrText>
      </w:r>
      <w:r w:rsidR="00E974B2">
        <w:rPr>
          <w:lang w:val="en-US"/>
        </w:rPr>
        <w:instrText>issue</w:instrText>
      </w:r>
      <w:r w:rsidR="00E974B2" w:rsidRPr="006C476A">
        <w:instrText>":"5","</w:instrText>
      </w:r>
      <w:r w:rsidR="00E974B2">
        <w:rPr>
          <w:lang w:val="en-US"/>
        </w:rPr>
        <w:instrText>issued</w:instrText>
      </w:r>
      <w:r w:rsidR="00E974B2" w:rsidRPr="006C476A">
        <w:instrText>":{"</w:instrText>
      </w:r>
      <w:r w:rsidR="00E974B2">
        <w:rPr>
          <w:lang w:val="en-US"/>
        </w:rPr>
        <w:instrText>date</w:instrText>
      </w:r>
      <w:r w:rsidR="00E974B2" w:rsidRPr="006C476A">
        <w:instrText>-</w:instrText>
      </w:r>
      <w:r w:rsidR="00E974B2">
        <w:rPr>
          <w:lang w:val="en-US"/>
        </w:rPr>
        <w:instrText>parts</w:instrText>
      </w:r>
      <w:r w:rsidR="00E974B2" w:rsidRPr="006C476A">
        <w:instrText>":[["2018"]]},"</w:instrText>
      </w:r>
      <w:r w:rsidR="00E974B2">
        <w:rPr>
          <w:lang w:val="en-US"/>
        </w:rPr>
        <w:instrText>page</w:instrText>
      </w:r>
      <w:r w:rsidR="00E974B2" w:rsidRPr="006C476A">
        <w:instrText>":"530-534","</w:instrText>
      </w:r>
      <w:r w:rsidR="00E974B2">
        <w:rPr>
          <w:lang w:val="en-US"/>
        </w:rPr>
        <w:instrText>publisher</w:instrText>
      </w:r>
      <w:r w:rsidR="00E974B2" w:rsidRPr="006C476A">
        <w:instrText>":"</w:instrText>
      </w:r>
      <w:r w:rsidR="00E974B2">
        <w:rPr>
          <w:lang w:val="en-US"/>
        </w:rPr>
        <w:instrText>Harborside</w:instrText>
      </w:r>
      <w:r w:rsidR="00E974B2" w:rsidRPr="006C476A">
        <w:instrText xml:space="preserve"> </w:instrText>
      </w:r>
      <w:r w:rsidR="00E974B2">
        <w:rPr>
          <w:lang w:val="en-US"/>
        </w:rPr>
        <w:instrText>Press</w:instrText>
      </w:r>
      <w:r w:rsidR="00E974B2" w:rsidRPr="006C476A">
        <w:instrText>","</w:instrText>
      </w:r>
      <w:r w:rsidR="00E974B2">
        <w:rPr>
          <w:lang w:val="en-US"/>
        </w:rPr>
        <w:instrText>title</w:instrText>
      </w:r>
      <w:r w:rsidR="00E974B2" w:rsidRPr="006C476A">
        <w:instrText>":"</w:instrText>
      </w:r>
      <w:r w:rsidR="00E974B2">
        <w:rPr>
          <w:lang w:val="en-US"/>
        </w:rPr>
        <w:instrText>Subcutaneous</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in</w:instrText>
      </w:r>
      <w:r w:rsidR="00E974B2" w:rsidRPr="006C476A">
        <w:instrText xml:space="preserve"> </w:instrText>
      </w:r>
      <w:r w:rsidR="00E974B2">
        <w:rPr>
          <w:lang w:val="en-US"/>
        </w:rPr>
        <w:instrText>Follicular</w:instrText>
      </w:r>
      <w:r w:rsidR="00E974B2" w:rsidRPr="006C476A">
        <w:instrText xml:space="preserve"> </w:instrText>
      </w:r>
      <w:r w:rsidR="00E974B2">
        <w:rPr>
          <w:lang w:val="en-US"/>
        </w:rPr>
        <w:instrText>Lymphoma</w:instrText>
      </w:r>
      <w:r w:rsidR="00E974B2" w:rsidRPr="006C476A">
        <w:instrText xml:space="preserve">, </w:instrText>
      </w:r>
      <w:r w:rsidR="00E974B2">
        <w:rPr>
          <w:lang w:val="en-US"/>
        </w:rPr>
        <w:instrText>Chronic</w:instrText>
      </w:r>
      <w:r w:rsidR="00E974B2" w:rsidRPr="006C476A">
        <w:instrText xml:space="preserve"> </w:instrText>
      </w:r>
      <w:r w:rsidR="00E974B2">
        <w:rPr>
          <w:lang w:val="en-US"/>
        </w:rPr>
        <w:instrText>Lymphocytic</w:instrText>
      </w:r>
      <w:r w:rsidR="00E974B2" w:rsidRPr="006C476A">
        <w:instrText xml:space="preserve"> </w:instrText>
      </w:r>
      <w:r w:rsidR="00E974B2">
        <w:rPr>
          <w:lang w:val="en-US"/>
        </w:rPr>
        <w:instrText>Leukemia</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Diffuse</w:instrText>
      </w:r>
      <w:r w:rsidR="00E974B2" w:rsidRPr="006C476A">
        <w:instrText xml:space="preserve"> </w:instrText>
      </w:r>
      <w:r w:rsidR="00E974B2">
        <w:rPr>
          <w:lang w:val="en-US"/>
        </w:rPr>
        <w:instrText>Large</w:instrText>
      </w:r>
      <w:r w:rsidR="00E974B2" w:rsidRPr="006C476A">
        <w:instrText xml:space="preserve"> </w:instrText>
      </w:r>
      <w:r w:rsidR="00E974B2">
        <w:rPr>
          <w:lang w:val="en-US"/>
        </w:rPr>
        <w:instrText>B</w:instrText>
      </w:r>
      <w:r w:rsidR="00E974B2" w:rsidRPr="006C476A">
        <w:instrText>-</w:instrText>
      </w:r>
      <w:r w:rsidR="00E974B2">
        <w:rPr>
          <w:lang w:val="en-US"/>
        </w:rPr>
        <w:instrText>Cell</w:instrText>
      </w:r>
      <w:r w:rsidR="00E974B2" w:rsidRPr="006C476A">
        <w:instrText xml:space="preserve"> </w:instrText>
      </w:r>
      <w:r w:rsidR="00E974B2">
        <w:rPr>
          <w:lang w:val="en-US"/>
        </w:rPr>
        <w:instrText>Lymphoma</w:instrText>
      </w:r>
      <w:r w:rsidR="00E974B2" w:rsidRPr="006C476A">
        <w:instrText>.","</w:instrText>
      </w:r>
      <w:r w:rsidR="00E974B2">
        <w:rPr>
          <w:lang w:val="en-US"/>
        </w:rPr>
        <w:instrText>type</w:instrText>
      </w:r>
      <w:r w:rsidR="00E974B2" w:rsidRPr="006C476A">
        <w:instrText>":"</w:instrText>
      </w:r>
      <w:r w:rsidR="00E974B2">
        <w:rPr>
          <w:lang w:val="en-US"/>
        </w:rPr>
        <w:instrText>article</w:instrText>
      </w:r>
      <w:r w:rsidR="00E974B2" w:rsidRPr="006C476A">
        <w:instrText>-</w:instrText>
      </w:r>
      <w:r w:rsidR="00E974B2">
        <w:rPr>
          <w:lang w:val="en-US"/>
        </w:rPr>
        <w:instrText>journal</w:instrText>
      </w:r>
      <w:r w:rsidR="00E974B2" w:rsidRPr="006C476A">
        <w:instrText>","</w:instrText>
      </w:r>
      <w:r w:rsidR="00E974B2">
        <w:rPr>
          <w:lang w:val="en-US"/>
        </w:rPr>
        <w:instrText>volume</w:instrText>
      </w:r>
      <w:r w:rsidR="00E974B2" w:rsidRPr="006C476A">
        <w:instrText>":"9"},"</w:instrText>
      </w:r>
      <w:r w:rsidR="00E974B2">
        <w:rPr>
          <w:lang w:val="en-US"/>
        </w:rPr>
        <w:instrText>uris</w:instrText>
      </w:r>
      <w:r w:rsidR="00E974B2" w:rsidRPr="006C476A">
        <w:instrText>":["</w:instrText>
      </w:r>
      <w:r w:rsidR="00E974B2">
        <w:rPr>
          <w:lang w:val="en-US"/>
        </w:rPr>
        <w:instrText>http</w:instrText>
      </w:r>
      <w:r w:rsidR="00E974B2" w:rsidRPr="006C476A">
        <w:instrText>://</w:instrText>
      </w:r>
      <w:r w:rsidR="00E974B2">
        <w:rPr>
          <w:lang w:val="en-US"/>
        </w:rPr>
        <w:instrText>www</w:instrText>
      </w:r>
      <w:r w:rsidR="00E974B2" w:rsidRPr="006C476A">
        <w:instrText>.</w:instrText>
      </w:r>
      <w:r w:rsidR="00E974B2">
        <w:rPr>
          <w:lang w:val="en-US"/>
        </w:rPr>
        <w:instrText>mendeley</w:instrText>
      </w:r>
      <w:r w:rsidR="00E974B2" w:rsidRPr="006C476A">
        <w:instrText>.</w:instrText>
      </w:r>
      <w:r w:rsidR="00E974B2">
        <w:rPr>
          <w:lang w:val="en-US"/>
        </w:rPr>
        <w:instrText>com</w:instrText>
      </w:r>
      <w:r w:rsidR="00E974B2" w:rsidRPr="006C476A">
        <w:instrText>/</w:instrText>
      </w:r>
      <w:r w:rsidR="00E974B2">
        <w:rPr>
          <w:lang w:val="en-US"/>
        </w:rPr>
        <w:instrText>documents</w:instrText>
      </w:r>
      <w:r w:rsidR="00E974B2" w:rsidRPr="006C476A">
        <w:instrText>/?</w:instrText>
      </w:r>
      <w:r w:rsidR="00E974B2">
        <w:rPr>
          <w:lang w:val="en-US"/>
        </w:rPr>
        <w:instrText>uuid</w:instrText>
      </w:r>
      <w:r w:rsidR="00E974B2" w:rsidRPr="006C476A">
        <w:instrText>=</w:instrText>
      </w:r>
      <w:r w:rsidR="00E974B2">
        <w:rPr>
          <w:lang w:val="en-US"/>
        </w:rPr>
        <w:instrText>fbb</w:instrText>
      </w:r>
      <w:r w:rsidR="00E974B2" w:rsidRPr="006C476A">
        <w:instrText>0</w:instrText>
      </w:r>
      <w:r w:rsidR="00E974B2">
        <w:rPr>
          <w:lang w:val="en-US"/>
        </w:rPr>
        <w:instrText>b</w:instrText>
      </w:r>
      <w:r w:rsidR="00E974B2" w:rsidRPr="006C476A">
        <w:instrText>8</w:instrText>
      </w:r>
      <w:r w:rsidR="00E974B2">
        <w:rPr>
          <w:lang w:val="en-US"/>
        </w:rPr>
        <w:instrText>f</w:instrText>
      </w:r>
      <w:r w:rsidR="00E974B2" w:rsidRPr="006C476A">
        <w:instrText>4-6</w:instrText>
      </w:r>
      <w:r w:rsidR="00E974B2">
        <w:rPr>
          <w:lang w:val="en-US"/>
        </w:rPr>
        <w:instrText>b</w:instrText>
      </w:r>
      <w:r w:rsidR="00E974B2" w:rsidRPr="006C476A">
        <w:instrText>58-3</w:instrText>
      </w:r>
      <w:r w:rsidR="00E974B2">
        <w:rPr>
          <w:lang w:val="en-US"/>
        </w:rPr>
        <w:instrText>a</w:instrText>
      </w:r>
      <w:r w:rsidR="00E974B2" w:rsidRPr="006C476A">
        <w:instrText>10-</w:instrText>
      </w:r>
      <w:r w:rsidR="00E974B2">
        <w:rPr>
          <w:lang w:val="en-US"/>
        </w:rPr>
        <w:instrText>b</w:instrText>
      </w:r>
      <w:r w:rsidR="00E974B2" w:rsidRPr="006C476A">
        <w:instrText>7</w:instrText>
      </w:r>
      <w:r w:rsidR="00E974B2">
        <w:rPr>
          <w:lang w:val="en-US"/>
        </w:rPr>
        <w:instrText>d</w:instrText>
      </w:r>
      <w:r w:rsidR="00E974B2" w:rsidRPr="006C476A">
        <w:instrText>6-</w:instrText>
      </w:r>
      <w:r w:rsidR="00E974B2">
        <w:rPr>
          <w:lang w:val="en-US"/>
        </w:rPr>
        <w:instrText>af</w:instrText>
      </w:r>
      <w:r w:rsidR="00E974B2" w:rsidRPr="006C476A">
        <w:instrText>3854030</w:instrText>
      </w:r>
      <w:r w:rsidR="00E974B2">
        <w:rPr>
          <w:lang w:val="en-US"/>
        </w:rPr>
        <w:instrText>be</w:instrText>
      </w:r>
      <w:r w:rsidR="00E974B2" w:rsidRPr="006C476A">
        <w:instrText>8"]},{"</w:instrText>
      </w:r>
      <w:r w:rsidR="00E974B2">
        <w:rPr>
          <w:lang w:val="en-US"/>
        </w:rPr>
        <w:instrText>id</w:instrText>
      </w:r>
      <w:r w:rsidR="00E974B2" w:rsidRPr="006C476A">
        <w:instrText>":"</w:instrText>
      </w:r>
      <w:r w:rsidR="00E974B2">
        <w:rPr>
          <w:lang w:val="en-US"/>
        </w:rPr>
        <w:instrText>ITEM</w:instrText>
      </w:r>
      <w:r w:rsidR="00E974B2" w:rsidRPr="006C476A">
        <w:instrText>-2","</w:instrText>
      </w:r>
      <w:r w:rsidR="00E974B2">
        <w:rPr>
          <w:lang w:val="en-US"/>
        </w:rPr>
        <w:instrText>itemData</w:instrText>
      </w:r>
      <w:r w:rsidR="00E974B2" w:rsidRPr="006C476A">
        <w:instrText>":{"</w:instrText>
      </w:r>
      <w:r w:rsidR="00E974B2">
        <w:rPr>
          <w:lang w:val="en-US"/>
        </w:rPr>
        <w:instrText>DOI</w:instrText>
      </w:r>
      <w:r w:rsidR="00E974B2" w:rsidRPr="006C476A">
        <w:instrText>":"10.1007/</w:instrText>
      </w:r>
      <w:r w:rsidR="00E974B2">
        <w:rPr>
          <w:lang w:val="en-US"/>
        </w:rPr>
        <w:instrText>s</w:instrText>
      </w:r>
      <w:r w:rsidR="00E974B2" w:rsidRPr="006C476A">
        <w:instrText>12325-017-0610-</w:instrText>
      </w:r>
      <w:r w:rsidR="00E974B2">
        <w:rPr>
          <w:lang w:val="en-US"/>
        </w:rPr>
        <w:instrText>z</w:instrText>
      </w:r>
      <w:r w:rsidR="00E974B2" w:rsidRPr="006C476A">
        <w:instrText>","</w:instrText>
      </w:r>
      <w:r w:rsidR="00E974B2">
        <w:rPr>
          <w:lang w:val="en-US"/>
        </w:rPr>
        <w:instrText>ISSN</w:instrText>
      </w:r>
      <w:r w:rsidR="00E974B2" w:rsidRPr="006C476A">
        <w:instrText>":"18658652","</w:instrText>
      </w:r>
      <w:r w:rsidR="00E974B2">
        <w:rPr>
          <w:lang w:val="en-US"/>
        </w:rPr>
        <w:instrText>abstract</w:instrText>
      </w:r>
      <w:r w:rsidR="00E974B2" w:rsidRPr="006C476A">
        <w:instrText>":"</w:instrText>
      </w:r>
      <w:r w:rsidR="00E974B2">
        <w:rPr>
          <w:lang w:val="en-US"/>
        </w:rPr>
        <w:instrText>Abstract</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MabThera</w:instrText>
      </w:r>
      <w:r w:rsidR="00E974B2" w:rsidRPr="006C476A">
        <w:instrText>®/</w:instrText>
      </w:r>
      <w:r w:rsidR="00E974B2">
        <w:rPr>
          <w:lang w:val="en-US"/>
        </w:rPr>
        <w:instrText>Rituxan</w:instrText>
      </w:r>
      <w:r w:rsidR="00E974B2" w:rsidRPr="006C476A">
        <w:instrText>®</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chimeric</w:instrText>
      </w:r>
      <w:r w:rsidR="00E974B2" w:rsidRPr="006447F6">
        <w:instrText xml:space="preserve"> </w:instrText>
      </w:r>
      <w:r w:rsidR="00E974B2">
        <w:rPr>
          <w:lang w:val="en-US"/>
        </w:rPr>
        <w:instrText>murine</w:instrText>
      </w:r>
      <w:r w:rsidR="00E974B2" w:rsidRPr="006447F6">
        <w:instrText>/</w:instrText>
      </w:r>
      <w:r w:rsidR="00E974B2">
        <w:rPr>
          <w:lang w:val="en-US"/>
        </w:rPr>
        <w:instrText>human</w:instrText>
      </w:r>
      <w:r w:rsidR="00E974B2" w:rsidRPr="006447F6">
        <w:instrText xml:space="preserve"> </w:instrText>
      </w:r>
      <w:r w:rsidR="00E974B2">
        <w:rPr>
          <w:lang w:val="en-US"/>
        </w:rPr>
        <w:instrText>monoclonal</w:instrText>
      </w:r>
      <w:r w:rsidR="00E974B2" w:rsidRPr="006447F6">
        <w:instrText xml:space="preserve"> </w:instrText>
      </w:r>
      <w:r w:rsidR="00E974B2">
        <w:rPr>
          <w:lang w:val="en-US"/>
        </w:rPr>
        <w:instrText>antibody</w:instrText>
      </w:r>
      <w:r w:rsidR="00E974B2" w:rsidRPr="006447F6">
        <w:instrText xml:space="preserve"> </w:instrText>
      </w:r>
      <w:r w:rsidR="00E974B2">
        <w:rPr>
          <w:lang w:val="en-US"/>
        </w:rPr>
        <w:instrText>that</w:instrText>
      </w:r>
      <w:r w:rsidR="00E974B2" w:rsidRPr="006447F6">
        <w:instrText xml:space="preserve"> </w:instrText>
      </w:r>
      <w:r w:rsidR="00E974B2">
        <w:rPr>
          <w:lang w:val="en-US"/>
        </w:rPr>
        <w:instrText>binds</w:instrText>
      </w:r>
      <w:r w:rsidR="00E974B2" w:rsidRPr="006447F6">
        <w:instrText xml:space="preserve"> </w:instrText>
      </w:r>
      <w:r w:rsidR="00E974B2">
        <w:rPr>
          <w:lang w:val="en-US"/>
        </w:rPr>
        <w:instrText>specifically</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transmembrane</w:instrText>
      </w:r>
      <w:r w:rsidR="00E974B2" w:rsidRPr="006447F6">
        <w:instrText xml:space="preserve"> </w:instrText>
      </w:r>
      <w:r w:rsidR="00E974B2">
        <w:rPr>
          <w:lang w:val="en-US"/>
        </w:rPr>
        <w:instrText>antigen</w:instrText>
      </w:r>
      <w:r w:rsidR="00E974B2" w:rsidRPr="006447F6">
        <w:instrText xml:space="preserve"> </w:instrText>
      </w:r>
      <w:r w:rsidR="00E974B2">
        <w:rPr>
          <w:lang w:val="en-US"/>
        </w:rPr>
        <w:instrText>CD</w:instrText>
      </w:r>
      <w:r w:rsidR="00E974B2" w:rsidRPr="006447F6">
        <w:instrText xml:space="preserve">20, </w:instrText>
      </w:r>
      <w:r w:rsidR="00E974B2">
        <w:rPr>
          <w:lang w:val="en-US"/>
        </w:rPr>
        <w:instrText>was</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first</w:instrText>
      </w:r>
      <w:r w:rsidR="00E974B2" w:rsidRPr="006447F6">
        <w:instrText xml:space="preserve"> </w:instrText>
      </w:r>
      <w:r w:rsidR="00E974B2">
        <w:rPr>
          <w:lang w:val="en-US"/>
        </w:rPr>
        <w:instrText>therapeutic</w:instrText>
      </w:r>
      <w:r w:rsidR="00E974B2" w:rsidRPr="006447F6">
        <w:instrText xml:space="preserve"> </w:instrText>
      </w:r>
      <w:r w:rsidR="00E974B2">
        <w:rPr>
          <w:lang w:val="en-US"/>
        </w:rPr>
        <w:instrText>antibody</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enter</w:instrText>
      </w:r>
      <w:r w:rsidR="00E974B2" w:rsidRPr="006447F6">
        <w:instrText xml:space="preserve"> </w:instrText>
      </w:r>
      <w:r w:rsidR="00E974B2">
        <w:rPr>
          <w:lang w:val="en-US"/>
        </w:rPr>
        <w:instrText>clinical</w:instrText>
      </w:r>
      <w:r w:rsidR="00E974B2" w:rsidRPr="006447F6">
        <w:instrText xml:space="preserve"> </w:instrText>
      </w:r>
      <w:r w:rsidR="00E974B2">
        <w:rPr>
          <w:lang w:val="en-US"/>
        </w:rPr>
        <w:instrText>practice</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treatment</w:instrText>
      </w:r>
      <w:r w:rsidR="00E974B2" w:rsidRPr="006447F6">
        <w:instrText xml:space="preserve"> </w:instrText>
      </w:r>
      <w:r w:rsidR="00E974B2">
        <w:rPr>
          <w:lang w:val="en-US"/>
        </w:rPr>
        <w:instrText>of</w:instrText>
      </w:r>
      <w:r w:rsidR="00E974B2" w:rsidRPr="006447F6">
        <w:instrText xml:space="preserve"> </w:instrText>
      </w:r>
      <w:r w:rsidR="00E974B2">
        <w:rPr>
          <w:lang w:val="en-US"/>
        </w:rPr>
        <w:instrText>cancer</w:instrText>
      </w:r>
      <w:r w:rsidR="00E974B2" w:rsidRPr="006447F6">
        <w:instrText xml:space="preserve">. </w:instrText>
      </w:r>
      <w:r w:rsidR="00E974B2">
        <w:rPr>
          <w:lang w:val="en-US"/>
        </w:rPr>
        <w:instrText>As</w:instrText>
      </w:r>
      <w:r w:rsidR="00E974B2" w:rsidRPr="006447F6">
        <w:instrText xml:space="preserve"> </w:instrText>
      </w:r>
      <w:r w:rsidR="00E974B2">
        <w:rPr>
          <w:lang w:val="en-US"/>
        </w:rPr>
        <w:instrText>monotherapy</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combination</w:instrText>
      </w:r>
      <w:r w:rsidR="00E974B2" w:rsidRPr="006447F6">
        <w:instrText xml:space="preserve"> </w:instrText>
      </w:r>
      <w:r w:rsidR="00E974B2">
        <w:rPr>
          <w:lang w:val="en-US"/>
        </w:rPr>
        <w:instrText>with</w:instrText>
      </w:r>
      <w:r w:rsidR="00E974B2" w:rsidRPr="006447F6">
        <w:instrText xml:space="preserve"> </w:instrText>
      </w:r>
      <w:r w:rsidR="00E974B2">
        <w:rPr>
          <w:lang w:val="en-US"/>
        </w:rPr>
        <w:instrText>chemotherapy</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has</w:instrText>
      </w:r>
      <w:r w:rsidR="00E974B2" w:rsidRPr="006447F6">
        <w:instrText xml:space="preserve"> </w:instrText>
      </w:r>
      <w:r w:rsidR="00E974B2">
        <w:rPr>
          <w:lang w:val="en-US"/>
        </w:rPr>
        <w:instrText>been</w:instrText>
      </w:r>
      <w:r w:rsidR="00E974B2" w:rsidRPr="006447F6">
        <w:instrText xml:space="preserve"> </w:instrText>
      </w:r>
      <w:r w:rsidR="00E974B2">
        <w:rPr>
          <w:lang w:val="en-US"/>
        </w:rPr>
        <w:instrText>shown</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prolong</w:instrText>
      </w:r>
      <w:r w:rsidR="00E974B2" w:rsidRPr="006447F6">
        <w:instrText xml:space="preserve"> </w:instrText>
      </w:r>
      <w:r w:rsidR="00E974B2">
        <w:rPr>
          <w:lang w:val="en-US"/>
        </w:rPr>
        <w:instrText>progression</w:instrText>
      </w:r>
      <w:r w:rsidR="00E974B2" w:rsidRPr="006447F6">
        <w:instrText>-</w:instrText>
      </w:r>
      <w:r w:rsidR="00E974B2">
        <w:rPr>
          <w:lang w:val="en-US"/>
        </w:rPr>
        <w:instrText>free</w:instrText>
      </w:r>
      <w:r w:rsidR="00E974B2" w:rsidRPr="006447F6">
        <w:instrText xml:space="preserve"> </w:instrText>
      </w:r>
      <w:r w:rsidR="00E974B2">
        <w:rPr>
          <w:lang w:val="en-US"/>
        </w:rPr>
        <w:instrText>survival</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some</w:instrText>
      </w:r>
      <w:r w:rsidR="00E974B2" w:rsidRPr="006447F6">
        <w:instrText xml:space="preserve"> </w:instrText>
      </w:r>
      <w:r w:rsidR="00E974B2">
        <w:rPr>
          <w:lang w:val="en-US"/>
        </w:rPr>
        <w:instrText>indications</w:instrText>
      </w:r>
      <w:r w:rsidR="00E974B2" w:rsidRPr="006447F6">
        <w:instrText xml:space="preserve"> </w:instrText>
      </w:r>
      <w:r w:rsidR="00E974B2">
        <w:rPr>
          <w:lang w:val="en-US"/>
        </w:rPr>
        <w:instrText>overall</w:instrText>
      </w:r>
      <w:r w:rsidR="00E974B2" w:rsidRPr="006447F6">
        <w:instrText xml:space="preserve"> </w:instrText>
      </w:r>
      <w:r w:rsidR="00E974B2">
        <w:rPr>
          <w:lang w:val="en-US"/>
        </w:rPr>
        <w:instrText>survival</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patients</w:instrText>
      </w:r>
      <w:r w:rsidR="00E974B2" w:rsidRPr="006447F6">
        <w:instrText xml:space="preserve"> </w:instrText>
      </w:r>
      <w:r w:rsidR="00E974B2">
        <w:rPr>
          <w:lang w:val="en-US"/>
        </w:rPr>
        <w:instrText>with</w:instrText>
      </w:r>
      <w:r w:rsidR="00E974B2" w:rsidRPr="006447F6">
        <w:instrText xml:space="preserve"> </w:instrText>
      </w:r>
      <w:r w:rsidR="00E974B2">
        <w:rPr>
          <w:lang w:val="en-US"/>
        </w:rPr>
        <w:instrText>various</w:instrText>
      </w:r>
      <w:r w:rsidR="00E974B2" w:rsidRPr="006447F6">
        <w:instrText xml:space="preserve"> </w:instrText>
      </w:r>
      <w:r w:rsidR="00E974B2">
        <w:rPr>
          <w:lang w:val="en-US"/>
        </w:rPr>
        <w:instrText>B</w:instrText>
      </w:r>
      <w:r w:rsidR="00E974B2" w:rsidRPr="006447F6">
        <w:instrText>-</w:instrText>
      </w:r>
      <w:r w:rsidR="00E974B2">
        <w:rPr>
          <w:lang w:val="en-US"/>
        </w:rPr>
        <w:instrText>cell</w:instrText>
      </w:r>
      <w:r w:rsidR="00E974B2" w:rsidRPr="006447F6">
        <w:instrText xml:space="preserve"> </w:instrText>
      </w:r>
      <w:r w:rsidR="00E974B2">
        <w:rPr>
          <w:lang w:val="en-US"/>
        </w:rPr>
        <w:instrText>malignancies</w:instrText>
      </w:r>
      <w:r w:rsidR="00E974B2" w:rsidRPr="006447F6">
        <w:instrText xml:space="preserve">, </w:instrText>
      </w:r>
      <w:r w:rsidR="00E974B2">
        <w:rPr>
          <w:lang w:val="en-US"/>
        </w:rPr>
        <w:instrText>while</w:instrText>
      </w:r>
      <w:r w:rsidR="00E974B2" w:rsidRPr="006447F6">
        <w:instrText xml:space="preserve"> </w:instrText>
      </w:r>
      <w:r w:rsidR="00E974B2">
        <w:rPr>
          <w:lang w:val="en-US"/>
        </w:rPr>
        <w:instrText>having</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well</w:instrText>
      </w:r>
      <w:r w:rsidR="00E974B2" w:rsidRPr="006447F6">
        <w:instrText>-</w:instrText>
      </w:r>
      <w:r w:rsidR="00E974B2">
        <w:rPr>
          <w:lang w:val="en-US"/>
        </w:rPr>
        <w:instrText>established</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manageable</w:instrText>
      </w:r>
      <w:r w:rsidR="00E974B2" w:rsidRPr="006447F6">
        <w:instrText xml:space="preserve"> </w:instrText>
      </w:r>
      <w:r w:rsidR="00E974B2">
        <w:rPr>
          <w:lang w:val="en-US"/>
        </w:rPr>
        <w:instrText>safety</w:instrText>
      </w:r>
      <w:r w:rsidR="00E974B2" w:rsidRPr="006447F6">
        <w:instrText xml:space="preserve"> </w:instrText>
      </w:r>
      <w:r w:rsidR="00E974B2">
        <w:rPr>
          <w:lang w:val="en-US"/>
        </w:rPr>
        <w:instrText>profile</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wide</w:instrText>
      </w:r>
      <w:r w:rsidR="00E974B2" w:rsidRPr="006447F6">
        <w:instrText xml:space="preserve"> </w:instrText>
      </w:r>
      <w:r w:rsidR="00E974B2">
        <w:rPr>
          <w:lang w:val="en-US"/>
        </w:rPr>
        <w:instrText>therapeutic</w:instrText>
      </w:r>
      <w:r w:rsidR="00E974B2" w:rsidRPr="006447F6">
        <w:instrText xml:space="preserve"> </w:instrText>
      </w:r>
      <w:r w:rsidR="00E974B2">
        <w:rPr>
          <w:lang w:val="en-US"/>
        </w:rPr>
        <w:instrText>window</w:instrText>
      </w:r>
      <w:r w:rsidR="00E974B2" w:rsidRPr="006447F6">
        <w:instrText xml:space="preserve">. </w:instrText>
      </w:r>
      <w:r w:rsidR="00E974B2">
        <w:rPr>
          <w:lang w:val="en-US"/>
        </w:rPr>
        <w:instrText>As</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result</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is</w:instrText>
      </w:r>
      <w:r w:rsidR="00E974B2" w:rsidRPr="006447F6">
        <w:instrText xml:space="preserve"> </w:instrText>
      </w:r>
      <w:r w:rsidR="00E974B2">
        <w:rPr>
          <w:lang w:val="en-US"/>
        </w:rPr>
        <w:instrText>considered</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have</w:instrText>
      </w:r>
      <w:r w:rsidR="00E974B2" w:rsidRPr="006447F6">
        <w:instrText xml:space="preserve"> </w:instrText>
      </w:r>
      <w:r w:rsidR="00E974B2">
        <w:rPr>
          <w:lang w:val="en-US"/>
        </w:rPr>
        <w:instrText>revolutionized</w:instrText>
      </w:r>
      <w:r w:rsidR="00E974B2" w:rsidRPr="006447F6">
        <w:instrText xml:space="preserve"> </w:instrText>
      </w:r>
      <w:r w:rsidR="00E974B2">
        <w:rPr>
          <w:lang w:val="en-US"/>
        </w:rPr>
        <w:instrText>treatment</w:instrText>
      </w:r>
      <w:r w:rsidR="00E974B2" w:rsidRPr="006447F6">
        <w:instrText xml:space="preserve"> </w:instrText>
      </w:r>
      <w:r w:rsidR="00E974B2">
        <w:rPr>
          <w:lang w:val="en-US"/>
        </w:rPr>
        <w:instrText>practices</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patients</w:instrText>
      </w:r>
      <w:r w:rsidR="00E974B2" w:rsidRPr="006447F6">
        <w:instrText xml:space="preserve"> </w:instrText>
      </w:r>
      <w:r w:rsidR="00E974B2">
        <w:rPr>
          <w:lang w:val="en-US"/>
        </w:rPr>
        <w:instrText>with</w:instrText>
      </w:r>
      <w:r w:rsidR="00E974B2" w:rsidRPr="006447F6">
        <w:instrText xml:space="preserve"> </w:instrText>
      </w:r>
      <w:r w:rsidR="00E974B2">
        <w:rPr>
          <w:lang w:val="en-US"/>
        </w:rPr>
        <w:instrText>B</w:instrText>
      </w:r>
      <w:r w:rsidR="00E974B2" w:rsidRPr="006447F6">
        <w:instrText>-</w:instrText>
      </w:r>
      <w:r w:rsidR="00E974B2">
        <w:rPr>
          <w:lang w:val="en-US"/>
        </w:rPr>
        <w:instrText>cell</w:instrText>
      </w:r>
      <w:r w:rsidR="00E974B2" w:rsidRPr="006447F6">
        <w:instrText xml:space="preserve"> </w:instrText>
      </w:r>
      <w:r w:rsidR="00E974B2">
        <w:rPr>
          <w:lang w:val="en-US"/>
        </w:rPr>
        <w:instrText>malignancies</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subcutaneous</w:instrText>
      </w:r>
      <w:r w:rsidR="00E974B2" w:rsidRPr="006447F6">
        <w:instrText xml:space="preserve"> (</w:instrText>
      </w:r>
      <w:r w:rsidR="00E974B2">
        <w:rPr>
          <w:lang w:val="en-US"/>
        </w:rPr>
        <w:instrText>SC</w:instrText>
      </w:r>
      <w:r w:rsidR="00E974B2" w:rsidRPr="006447F6">
        <w:instrText xml:space="preserve">) </w:instrText>
      </w:r>
      <w:r w:rsidR="00E974B2">
        <w:rPr>
          <w:lang w:val="en-US"/>
        </w:rPr>
        <w:instrText>formulation</w:instrText>
      </w:r>
      <w:r w:rsidR="00E974B2" w:rsidRPr="006447F6">
        <w:instrText xml:space="preserve"> </w:instrText>
      </w:r>
      <w:r w:rsidR="00E974B2">
        <w:rPr>
          <w:lang w:val="en-US"/>
        </w:rPr>
        <w:instrText>of</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has</w:instrText>
      </w:r>
      <w:r w:rsidR="00E974B2" w:rsidRPr="006447F6">
        <w:instrText xml:space="preserve"> </w:instrText>
      </w:r>
      <w:r w:rsidR="00E974B2">
        <w:rPr>
          <w:lang w:val="en-US"/>
        </w:rPr>
        <w:instrText>been</w:instrText>
      </w:r>
      <w:r w:rsidR="00E974B2" w:rsidRPr="006447F6">
        <w:instrText xml:space="preserve"> </w:instrText>
      </w:r>
      <w:r w:rsidR="00E974B2">
        <w:rPr>
          <w:lang w:val="en-US"/>
        </w:rPr>
        <w:instrText>developed</w:instrText>
      </w:r>
      <w:r w:rsidR="00E974B2" w:rsidRPr="006447F6">
        <w:instrText xml:space="preserve">, </w:instrText>
      </w:r>
      <w:r w:rsidR="00E974B2">
        <w:rPr>
          <w:lang w:val="en-US"/>
        </w:rPr>
        <w:instrText>comprising</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same</w:instrText>
      </w:r>
      <w:r w:rsidR="00E974B2" w:rsidRPr="006447F6">
        <w:instrText xml:space="preserve"> </w:instrText>
      </w:r>
      <w:r w:rsidR="00E974B2">
        <w:rPr>
          <w:lang w:val="en-US"/>
        </w:rPr>
        <w:instrText>monoclonal</w:instrText>
      </w:r>
      <w:r w:rsidR="00E974B2" w:rsidRPr="006447F6">
        <w:instrText xml:space="preserve"> </w:instrText>
      </w:r>
      <w:r w:rsidR="00E974B2">
        <w:rPr>
          <w:lang w:val="en-US"/>
        </w:rPr>
        <w:instrText>antibody</w:instrText>
      </w:r>
      <w:r w:rsidR="00E974B2" w:rsidRPr="006447F6">
        <w:instrText xml:space="preserve"> </w:instrText>
      </w:r>
      <w:r w:rsidR="00E974B2">
        <w:rPr>
          <w:lang w:val="en-US"/>
        </w:rPr>
        <w:instrText>as</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originally</w:instrText>
      </w:r>
      <w:r w:rsidR="00E974B2" w:rsidRPr="006447F6">
        <w:instrText xml:space="preserve"> </w:instrText>
      </w:r>
      <w:r w:rsidR="00E974B2">
        <w:rPr>
          <w:lang w:val="en-US"/>
        </w:rPr>
        <w:instrText>marketed</w:instrText>
      </w:r>
      <w:r w:rsidR="00E974B2" w:rsidRPr="006447F6">
        <w:instrText xml:space="preserve"> </w:instrText>
      </w:r>
      <w:r w:rsidR="00E974B2">
        <w:rPr>
          <w:lang w:val="en-US"/>
        </w:rPr>
        <w:instrText>formulation</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concentrate</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solution</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intravenous</w:instrText>
      </w:r>
      <w:r w:rsidR="00E974B2" w:rsidRPr="006447F6">
        <w:instrText xml:space="preserve"> (</w:instrText>
      </w:r>
      <w:r w:rsidR="00E974B2">
        <w:rPr>
          <w:lang w:val="en-US"/>
        </w:rPr>
        <w:instrText>IV</w:instrText>
      </w:r>
      <w:r w:rsidR="00E974B2" w:rsidRPr="006447F6">
        <w:instrText xml:space="preserve">) </w:instrText>
      </w:r>
      <w:r w:rsidR="00E974B2">
        <w:rPr>
          <w:lang w:val="en-US"/>
        </w:rPr>
        <w:instrText>infusion</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has</w:instrText>
      </w:r>
      <w:r w:rsidR="00E974B2" w:rsidRPr="006447F6">
        <w:instrText xml:space="preserve"> </w:instrText>
      </w:r>
      <w:r w:rsidR="00E974B2">
        <w:rPr>
          <w:lang w:val="en-US"/>
        </w:rPr>
        <w:instrText>undergone</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detailed</w:instrText>
      </w:r>
      <w:r w:rsidR="00E974B2" w:rsidRPr="006447F6">
        <w:instrText xml:space="preserve">, </w:instrText>
      </w:r>
      <w:r w:rsidR="00E974B2">
        <w:rPr>
          <w:lang w:val="en-US"/>
        </w:rPr>
        <w:instrText>sequential</w:instrText>
      </w:r>
      <w:r w:rsidR="00E974B2" w:rsidRPr="006447F6">
        <w:instrText xml:space="preserve"> </w:instrText>
      </w:r>
      <w:r w:rsidR="00E974B2">
        <w:rPr>
          <w:lang w:val="en-US"/>
        </w:rPr>
        <w:instrText>clinical</w:instrText>
      </w:r>
      <w:r w:rsidR="00E974B2" w:rsidRPr="006447F6">
        <w:instrText xml:space="preserve"> </w:instrText>
      </w:r>
      <w:r w:rsidR="00E974B2">
        <w:rPr>
          <w:lang w:val="en-US"/>
        </w:rPr>
        <w:instrText>development</w:instrText>
      </w:r>
      <w:r w:rsidR="00E974B2" w:rsidRPr="006447F6">
        <w:instrText xml:space="preserve"> </w:instrText>
      </w:r>
      <w:r w:rsidR="00E974B2">
        <w:rPr>
          <w:lang w:val="en-US"/>
        </w:rPr>
        <w:instrText>program</w:instrText>
      </w:r>
      <w:r w:rsidR="00E974B2" w:rsidRPr="006447F6">
        <w:instrText xml:space="preserve">. </w:instrText>
      </w:r>
      <w:r w:rsidR="00E974B2">
        <w:rPr>
          <w:lang w:val="en-US"/>
        </w:rPr>
        <w:instrText>This</w:instrText>
      </w:r>
      <w:r w:rsidR="00E974B2" w:rsidRPr="006447F6">
        <w:instrText xml:space="preserve"> </w:instrText>
      </w:r>
      <w:r w:rsidR="00E974B2">
        <w:rPr>
          <w:lang w:val="en-US"/>
        </w:rPr>
        <w:instrText>program</w:instrText>
      </w:r>
      <w:r w:rsidR="00E974B2" w:rsidRPr="006447F6">
        <w:instrText xml:space="preserve"> </w:instrText>
      </w:r>
      <w:r w:rsidR="00E974B2">
        <w:rPr>
          <w:lang w:val="en-US"/>
        </w:rPr>
        <w:instrText>demonstrated</w:instrText>
      </w:r>
      <w:r w:rsidR="00E974B2" w:rsidRPr="006447F6">
        <w:instrText xml:space="preserve"> </w:instrText>
      </w:r>
      <w:r w:rsidR="00E974B2">
        <w:rPr>
          <w:lang w:val="en-US"/>
        </w:rPr>
        <w:instrText>that</w:instrText>
      </w:r>
      <w:r w:rsidR="00E974B2" w:rsidRPr="006447F6">
        <w:instrText xml:space="preserve">, </w:instrText>
      </w:r>
      <w:r w:rsidR="00E974B2">
        <w:rPr>
          <w:lang w:val="en-US"/>
        </w:rPr>
        <w:instrText>at</w:instrText>
      </w:r>
      <w:r w:rsidR="00E974B2" w:rsidRPr="006447F6">
        <w:instrText xml:space="preserve"> </w:instrText>
      </w:r>
      <w:r w:rsidR="00E974B2">
        <w:rPr>
          <w:lang w:val="en-US"/>
        </w:rPr>
        <w:instrText>fixed</w:instrText>
      </w:r>
      <w:r w:rsidR="00E974B2" w:rsidRPr="006447F6">
        <w:instrText xml:space="preserve"> </w:instrText>
      </w:r>
      <w:r w:rsidR="00E974B2">
        <w:rPr>
          <w:lang w:val="en-US"/>
        </w:rPr>
        <w:instrText>doses</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SC</w:instrText>
      </w:r>
      <w:r w:rsidR="00E974B2" w:rsidRPr="006447F6">
        <w:instrText xml:space="preserve"> </w:instrText>
      </w:r>
      <w:r w:rsidR="00E974B2">
        <w:rPr>
          <w:lang w:val="en-US"/>
        </w:rPr>
        <w:instrText>achieves</w:instrText>
      </w:r>
      <w:r w:rsidR="00E974B2" w:rsidRPr="006447F6">
        <w:instrText xml:space="preserve"> </w:instrText>
      </w:r>
      <w:r w:rsidR="00E974B2">
        <w:rPr>
          <w:lang w:val="en-US"/>
        </w:rPr>
        <w:instrText>non</w:instrText>
      </w:r>
      <w:r w:rsidR="00E974B2" w:rsidRPr="006447F6">
        <w:instrText>-</w:instrText>
      </w:r>
      <w:r w:rsidR="00E974B2">
        <w:rPr>
          <w:lang w:val="en-US"/>
        </w:rPr>
        <w:instrText>inferior</w:instrText>
      </w:r>
      <w:r w:rsidR="00E974B2" w:rsidRPr="006447F6">
        <w:instrText xml:space="preserve"> </w:instrText>
      </w:r>
      <w:r w:rsidR="00E974B2">
        <w:rPr>
          <w:lang w:val="en-US"/>
        </w:rPr>
        <w:instrText>serum</w:instrText>
      </w:r>
      <w:r w:rsidR="00E974B2" w:rsidRPr="006447F6">
        <w:instrText xml:space="preserve"> </w:instrText>
      </w:r>
      <w:r w:rsidR="00E974B2">
        <w:rPr>
          <w:lang w:val="en-US"/>
        </w:rPr>
        <w:instrText>trough</w:instrText>
      </w:r>
      <w:r w:rsidR="00E974B2" w:rsidRPr="006447F6">
        <w:instrText xml:space="preserve"> </w:instrText>
      </w:r>
      <w:r w:rsidR="00E974B2">
        <w:rPr>
          <w:lang w:val="en-US"/>
        </w:rPr>
        <w:instrText>concentrations</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patients</w:instrText>
      </w:r>
      <w:r w:rsidR="00E974B2" w:rsidRPr="006447F6">
        <w:instrText xml:space="preserve"> </w:instrText>
      </w:r>
      <w:r w:rsidR="00E974B2">
        <w:rPr>
          <w:lang w:val="en-US"/>
        </w:rPr>
        <w:instrText>with</w:instrText>
      </w:r>
      <w:r w:rsidR="00E974B2" w:rsidRPr="006447F6">
        <w:instrText xml:space="preserve"> </w:instrText>
      </w:r>
      <w:r w:rsidR="00E974B2">
        <w:rPr>
          <w:lang w:val="en-US"/>
        </w:rPr>
        <w:instrText>non</w:instrText>
      </w:r>
      <w:r w:rsidR="00E974B2" w:rsidRPr="006447F6">
        <w:instrText>-</w:instrText>
      </w:r>
      <w:r w:rsidR="00E974B2">
        <w:rPr>
          <w:lang w:val="en-US"/>
        </w:rPr>
        <w:instrText>Hodgkin</w:instrText>
      </w:r>
      <w:r w:rsidR="00E974B2" w:rsidRPr="006447F6">
        <w:instrText xml:space="preserve"> </w:instrText>
      </w:r>
      <w:r w:rsidR="00E974B2">
        <w:rPr>
          <w:lang w:val="en-US"/>
        </w:rPr>
        <w:instrText>lymphoma</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chronic</w:instrText>
      </w:r>
      <w:r w:rsidR="00E974B2" w:rsidRPr="006447F6">
        <w:instrText xml:space="preserve"> </w:instrText>
      </w:r>
      <w:r w:rsidR="00E974B2">
        <w:rPr>
          <w:lang w:val="en-US"/>
        </w:rPr>
        <w:instrText>lymphocytic</w:instrText>
      </w:r>
      <w:r w:rsidR="00E974B2" w:rsidRPr="006447F6">
        <w:instrText xml:space="preserve"> </w:instrText>
      </w:r>
      <w:r w:rsidR="00E974B2">
        <w:rPr>
          <w:lang w:val="en-US"/>
        </w:rPr>
        <w:instrText>leukemia</w:instrText>
      </w:r>
      <w:r w:rsidR="00E974B2" w:rsidRPr="006447F6">
        <w:instrText xml:space="preserve">, </w:instrText>
      </w:r>
      <w:r w:rsidR="00E974B2">
        <w:rPr>
          <w:lang w:val="en-US"/>
        </w:rPr>
        <w:instrText>with</w:instrText>
      </w:r>
      <w:r w:rsidR="00E974B2" w:rsidRPr="006447F6">
        <w:instrText xml:space="preserve"> </w:instrText>
      </w:r>
      <w:r w:rsidR="00E974B2">
        <w:rPr>
          <w:lang w:val="en-US"/>
        </w:rPr>
        <w:instrText>comparable</w:instrText>
      </w:r>
      <w:r w:rsidR="00E974B2" w:rsidRPr="006447F6">
        <w:instrText xml:space="preserve"> </w:instrText>
      </w:r>
      <w:r w:rsidR="00E974B2">
        <w:rPr>
          <w:lang w:val="en-US"/>
        </w:rPr>
        <w:instrText>efficacy</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safety</w:instrText>
      </w:r>
      <w:r w:rsidR="00E974B2" w:rsidRPr="006447F6">
        <w:instrText xml:space="preserve"> </w:instrText>
      </w:r>
      <w:r w:rsidR="00E974B2">
        <w:rPr>
          <w:lang w:val="en-US"/>
        </w:rPr>
        <w:instrText>relative</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IV</w:instrText>
      </w:r>
      <w:r w:rsidR="00E974B2" w:rsidRPr="006447F6">
        <w:instrText xml:space="preserve"> </w:instrText>
      </w:r>
      <w:r w:rsidR="00E974B2">
        <w:rPr>
          <w:lang w:val="en-US"/>
        </w:rPr>
        <w:instrText>formulation</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added</w:instrText>
      </w:r>
      <w:r w:rsidR="00E974B2" w:rsidRPr="006447F6">
        <w:instrText xml:space="preserve"> </w:instrText>
      </w:r>
      <w:r w:rsidR="00E974B2">
        <w:rPr>
          <w:lang w:val="en-US"/>
        </w:rPr>
        <w:instrText>benefit</w:instrText>
      </w:r>
      <w:r w:rsidR="00E974B2" w:rsidRPr="006447F6">
        <w:instrText xml:space="preserve"> </w:instrText>
      </w:r>
      <w:r w:rsidR="00E974B2">
        <w:rPr>
          <w:lang w:val="en-US"/>
        </w:rPr>
        <w:instrText>of</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SC</w:instrText>
      </w:r>
      <w:r w:rsidR="00E974B2" w:rsidRPr="006447F6">
        <w:instrText xml:space="preserve"> </w:instrText>
      </w:r>
      <w:r w:rsidR="00E974B2">
        <w:rPr>
          <w:lang w:val="en-US"/>
        </w:rPr>
        <w:instrText>was</w:instrText>
      </w:r>
      <w:r w:rsidR="00E974B2" w:rsidRPr="006447F6">
        <w:instrText xml:space="preserve"> </w:instrText>
      </w:r>
      <w:r w:rsidR="00E974B2">
        <w:rPr>
          <w:lang w:val="en-US"/>
        </w:rPr>
        <w:instrText>demonstrated</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dedicated</w:instrText>
      </w:r>
      <w:r w:rsidR="00E974B2" w:rsidRPr="006447F6">
        <w:instrText xml:space="preserve"> </w:instrText>
      </w:r>
      <w:r w:rsidR="00E974B2">
        <w:rPr>
          <w:lang w:val="en-US"/>
        </w:rPr>
        <w:instrText>studies</w:instrText>
      </w:r>
      <w:r w:rsidR="00E974B2" w:rsidRPr="006447F6">
        <w:instrText xml:space="preserve"> </w:instrText>
      </w:r>
      <w:r w:rsidR="00E974B2">
        <w:rPr>
          <w:lang w:val="en-US"/>
        </w:rPr>
        <w:instrText>showing</w:instrText>
      </w:r>
      <w:r w:rsidR="00E974B2" w:rsidRPr="006447F6">
        <w:instrText xml:space="preserve"> </w:instrText>
      </w:r>
      <w:r w:rsidR="00E974B2">
        <w:rPr>
          <w:lang w:val="en-US"/>
        </w:rPr>
        <w:instrText>that</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SC</w:instrText>
      </w:r>
      <w:r w:rsidR="00E974B2" w:rsidRPr="006447F6">
        <w:instrText xml:space="preserve"> </w:instrText>
      </w:r>
      <w:r w:rsidR="00E974B2">
        <w:rPr>
          <w:lang w:val="en-US"/>
        </w:rPr>
        <w:instrText>allows</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simplified</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shortened</w:instrText>
      </w:r>
      <w:r w:rsidR="00E974B2" w:rsidRPr="006447F6">
        <w:instrText xml:space="preserve"> </w:instrText>
      </w:r>
      <w:r w:rsidR="00E974B2">
        <w:rPr>
          <w:lang w:val="en-US"/>
        </w:rPr>
        <w:instrText>drug</w:instrText>
      </w:r>
      <w:r w:rsidR="00E974B2" w:rsidRPr="006447F6">
        <w:instrText xml:space="preserve"> </w:instrText>
      </w:r>
      <w:r w:rsidR="00E974B2">
        <w:rPr>
          <w:lang w:val="en-US"/>
        </w:rPr>
        <w:instrText>preparation</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administration</w:instrText>
      </w:r>
      <w:r w:rsidR="00E974B2" w:rsidRPr="006447F6">
        <w:instrText xml:space="preserve"> </w:instrText>
      </w:r>
      <w:r w:rsidR="00E974B2">
        <w:rPr>
          <w:lang w:val="en-US"/>
        </w:rPr>
        <w:instrText>times</w:instrText>
      </w:r>
      <w:r w:rsidR="00E974B2" w:rsidRPr="006447F6">
        <w:instrText xml:space="preserve"> </w:instrText>
      </w:r>
      <w:r w:rsidR="00E974B2">
        <w:rPr>
          <w:lang w:val="en-US"/>
        </w:rPr>
        <w:instrText>resulting</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reduced</w:instrText>
      </w:r>
      <w:r w:rsidR="00E974B2" w:rsidRPr="006447F6">
        <w:instrText xml:space="preserve"> </w:instrText>
      </w:r>
      <w:r w:rsidR="00E974B2">
        <w:rPr>
          <w:lang w:val="en-US"/>
        </w:rPr>
        <w:instrText>treatment</w:instrText>
      </w:r>
      <w:r w:rsidR="00E974B2" w:rsidRPr="006447F6">
        <w:instrText xml:space="preserve"> </w:instrText>
      </w:r>
      <w:r w:rsidR="00E974B2">
        <w:rPr>
          <w:lang w:val="en-US"/>
        </w:rPr>
        <w:instrText>burden</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patients</w:instrText>
      </w:r>
      <w:r w:rsidR="00E974B2" w:rsidRPr="006447F6">
        <w:instrText xml:space="preserve"> </w:instrText>
      </w:r>
      <w:r w:rsidR="00E974B2">
        <w:rPr>
          <w:lang w:val="en-US"/>
        </w:rPr>
        <w:instrText>as</w:instrText>
      </w:r>
      <w:r w:rsidR="00E974B2" w:rsidRPr="006447F6">
        <w:instrText xml:space="preserve"> </w:instrText>
      </w:r>
      <w:r w:rsidR="00E974B2">
        <w:rPr>
          <w:lang w:val="en-US"/>
        </w:rPr>
        <w:instrText>well</w:instrText>
      </w:r>
      <w:r w:rsidR="00E974B2" w:rsidRPr="006447F6">
        <w:instrText xml:space="preserve"> </w:instrText>
      </w:r>
      <w:r w:rsidR="00E974B2">
        <w:rPr>
          <w:lang w:val="en-US"/>
        </w:rPr>
        <w:instrText>as</w:instrText>
      </w:r>
      <w:r w:rsidR="00E974B2" w:rsidRPr="006447F6">
        <w:instrText xml:space="preserve"> </w:instrText>
      </w:r>
      <w:r w:rsidR="00E974B2">
        <w:rPr>
          <w:lang w:val="en-US"/>
        </w:rPr>
        <w:instrText>improved</w:instrText>
      </w:r>
      <w:r w:rsidR="00E974B2" w:rsidRPr="006447F6">
        <w:instrText xml:space="preserve"> </w:instrText>
      </w:r>
      <w:r w:rsidR="00E974B2">
        <w:rPr>
          <w:lang w:val="en-US"/>
        </w:rPr>
        <w:instrText>resource</w:instrText>
      </w:r>
      <w:r w:rsidR="00E974B2" w:rsidRPr="006447F6">
        <w:instrText xml:space="preserve"> </w:instrText>
      </w:r>
      <w:r w:rsidR="00E974B2">
        <w:rPr>
          <w:lang w:val="en-US"/>
        </w:rPr>
        <w:instrText>utilization</w:instrText>
      </w:r>
      <w:r w:rsidR="00E974B2" w:rsidRPr="006447F6">
        <w:instrText xml:space="preserve"> (</w:instrText>
      </w:r>
      <w:r w:rsidR="00E974B2">
        <w:rPr>
          <w:lang w:val="en-US"/>
        </w:rPr>
        <w:instrText>efficiency</w:instrText>
      </w:r>
      <w:r w:rsidR="00E974B2" w:rsidRPr="006447F6">
        <w:instrText xml:space="preserve">) </w:instrText>
      </w:r>
      <w:r w:rsidR="00E974B2">
        <w:rPr>
          <w:lang w:val="en-US"/>
        </w:rPr>
        <w:instrText>at</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treatment</w:instrText>
      </w:r>
      <w:r w:rsidR="00E974B2" w:rsidRPr="006447F6">
        <w:instrText xml:space="preserve"> </w:instrText>
      </w:r>
      <w:r w:rsidR="00E974B2">
        <w:rPr>
          <w:lang w:val="en-US"/>
        </w:rPr>
        <w:instrText>facility</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improved</w:instrText>
      </w:r>
      <w:r w:rsidR="00E974B2" w:rsidRPr="006447F6">
        <w:instrText xml:space="preserve"> </w:instrText>
      </w:r>
      <w:r w:rsidR="00E974B2">
        <w:rPr>
          <w:lang w:val="en-US"/>
        </w:rPr>
        <w:instrText>efficiency</w:instrText>
      </w:r>
      <w:r w:rsidR="00E974B2" w:rsidRPr="006447F6">
        <w:instrText xml:space="preserve"> </w:instrText>
      </w:r>
      <w:r w:rsidR="00E974B2">
        <w:rPr>
          <w:lang w:val="en-US"/>
        </w:rPr>
        <w:instrText>of</w:instrText>
      </w:r>
      <w:r w:rsidR="00E974B2" w:rsidRPr="006447F6">
        <w:instrText xml:space="preserve"> </w:instrText>
      </w:r>
      <w:r w:rsidR="00E974B2">
        <w:rPr>
          <w:lang w:val="en-US"/>
        </w:rPr>
        <w:instrText>delivering</w:instrText>
      </w:r>
      <w:r w:rsidR="00E974B2" w:rsidRPr="006447F6">
        <w:instrText xml:space="preserve"> </w:instrText>
      </w:r>
      <w:r w:rsidR="00E974B2">
        <w:rPr>
          <w:lang w:val="en-US"/>
        </w:rPr>
        <w:instrText>rituximab</w:instrText>
      </w:r>
      <w:r w:rsidR="00E974B2" w:rsidRPr="006447F6">
        <w:instrText>’</w:instrText>
      </w:r>
      <w:r w:rsidR="00E974B2">
        <w:rPr>
          <w:lang w:val="en-US"/>
        </w:rPr>
        <w:instrText>s</w:instrText>
      </w:r>
      <w:r w:rsidR="00E974B2" w:rsidRPr="006447F6">
        <w:instrText xml:space="preserve"> </w:instrText>
      </w:r>
      <w:r w:rsidR="00E974B2">
        <w:rPr>
          <w:lang w:val="en-US"/>
        </w:rPr>
        <w:instrText>benefit</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patients</w:instrText>
      </w:r>
      <w:r w:rsidR="00E974B2" w:rsidRPr="006447F6">
        <w:instrText xml:space="preserve"> </w:instrText>
      </w:r>
      <w:r w:rsidR="00E974B2">
        <w:rPr>
          <w:lang w:val="en-US"/>
        </w:rPr>
        <w:instrText>may</w:instrText>
      </w:r>
      <w:r w:rsidR="00E974B2" w:rsidRPr="006447F6">
        <w:instrText xml:space="preserve"> </w:instrText>
      </w:r>
      <w:r w:rsidR="00E974B2">
        <w:rPr>
          <w:lang w:val="en-US"/>
        </w:rPr>
        <w:instrText>broaden</w:instrText>
      </w:r>
      <w:r w:rsidR="00E974B2" w:rsidRPr="006447F6">
        <w:instrText xml:space="preserve"> </w:instrText>
      </w:r>
      <w:r w:rsidR="00E974B2">
        <w:rPr>
          <w:lang w:val="en-US"/>
        </w:rPr>
        <w:instrText>patient</w:instrText>
      </w:r>
      <w:r w:rsidR="00E974B2" w:rsidRPr="006447F6">
        <w:instrText xml:space="preserve"> </w:instrText>
      </w:r>
      <w:r w:rsidR="00E974B2">
        <w:rPr>
          <w:lang w:val="en-US"/>
        </w:rPr>
        <w:instrText>access</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therapy</w:instrText>
      </w:r>
      <w:r w:rsidR="00E974B2" w:rsidRPr="006447F6">
        <w:instrText xml:space="preserve"> </w:instrText>
      </w:r>
      <w:r w:rsidR="00E974B2">
        <w:rPr>
          <w:lang w:val="en-US"/>
        </w:rPr>
        <w:instrText>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w:instrText>
      </w:r>
      <w:r w:rsidR="00E974B2" w:rsidRPr="006C476A">
        <w:instrText xml:space="preserve">, </w:instrText>
      </w:r>
      <w:r w:rsidR="00E974B2">
        <w:rPr>
          <w:lang w:val="en-US"/>
        </w:rPr>
        <w:instrText>correct</w:instrText>
      </w:r>
      <w:r w:rsidR="00E974B2" w:rsidRPr="006C476A">
        <w:instrText xml:space="preserve"> </w:instrText>
      </w:r>
      <w:r w:rsidR="00E974B2">
        <w:rPr>
          <w:lang w:val="en-US"/>
        </w:rPr>
        <w:instrText>administration</w:instrText>
      </w:r>
      <w:r w:rsidR="00E974B2" w:rsidRPr="006C476A">
        <w:instrText xml:space="preserve"> </w:instrText>
      </w:r>
      <w:r w:rsidR="00E974B2">
        <w:rPr>
          <w:lang w:val="en-US"/>
        </w:rPr>
        <w:instrText>is</w:instrText>
      </w:r>
      <w:r w:rsidR="00E974B2" w:rsidRPr="006C476A">
        <w:instrText xml:space="preserve"> </w:instrText>
      </w:r>
      <w:r w:rsidR="00E974B2">
        <w:rPr>
          <w:lang w:val="en-US"/>
        </w:rPr>
        <w:instrText>needed</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reduce</w:instrText>
      </w:r>
      <w:r w:rsidR="00E974B2" w:rsidRPr="006C476A">
        <w:instrText xml:space="preserve"> </w:instrText>
      </w:r>
      <w:r w:rsidR="00E974B2">
        <w:rPr>
          <w:lang w:val="en-US"/>
        </w:rPr>
        <w:instrText>administration</w:instrText>
      </w:r>
      <w:r w:rsidR="00E974B2" w:rsidRPr="006C476A">
        <w:instrText>-</w:instrText>
      </w:r>
      <w:r w:rsidR="00E974B2">
        <w:rPr>
          <w:lang w:val="en-US"/>
        </w:rPr>
        <w:instrText>related</w:instrText>
      </w:r>
      <w:r w:rsidR="00E974B2" w:rsidRPr="006C476A">
        <w:instrText xml:space="preserve"> </w:instrText>
      </w:r>
      <w:r w:rsidR="00E974B2">
        <w:rPr>
          <w:lang w:val="en-US"/>
        </w:rPr>
        <w:instrText>reactions</w:instrText>
      </w:r>
      <w:r w:rsidR="00E974B2" w:rsidRPr="006C476A">
        <w:instrText xml:space="preserve">. </w:instrText>
      </w:r>
      <w:r w:rsidR="00E974B2">
        <w:rPr>
          <w:lang w:val="en-US"/>
        </w:rPr>
        <w:instrText>By</w:instrText>
      </w:r>
      <w:r w:rsidR="00E974B2" w:rsidRPr="006C476A">
        <w:instrText xml:space="preserve"> </w:instrText>
      </w:r>
      <w:r w:rsidR="00E974B2">
        <w:rPr>
          <w:lang w:val="en-US"/>
        </w:rPr>
        <w:instrText>using</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careful</w:instrText>
      </w:r>
      <w:r w:rsidR="00E974B2" w:rsidRPr="006C476A">
        <w:instrText xml:space="preserve"> </w:instrText>
      </w:r>
      <w:r w:rsidR="00E974B2">
        <w:rPr>
          <w:lang w:val="en-US"/>
        </w:rPr>
        <w:instrText>procedure</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sc</w:instrText>
      </w:r>
      <w:r w:rsidR="00E974B2" w:rsidRPr="006C476A">
        <w:instrText xml:space="preserve"> </w:instrText>
      </w:r>
      <w:r w:rsidR="00E974B2">
        <w:rPr>
          <w:lang w:val="en-US"/>
        </w:rPr>
        <w:instrText>formulation</w:instrText>
      </w:r>
      <w:r w:rsidR="00E974B2" w:rsidRPr="006C476A">
        <w:instrText xml:space="preserve"> </w:instrText>
      </w:r>
      <w:r w:rsidR="00E974B2">
        <w:rPr>
          <w:lang w:val="en-US"/>
        </w:rPr>
        <w:instrText>can</w:instrText>
      </w:r>
      <w:r w:rsidR="00E974B2" w:rsidRPr="006C476A">
        <w:instrText xml:space="preserve"> </w:instrText>
      </w:r>
      <w:r w:rsidR="00E974B2">
        <w:rPr>
          <w:lang w:val="en-US"/>
        </w:rPr>
        <w:instrText>be</w:instrText>
      </w:r>
      <w:r w:rsidR="00E974B2" w:rsidRPr="006C476A">
        <w:instrText xml:space="preserve"> </w:instrText>
      </w:r>
      <w:r w:rsidR="00E974B2">
        <w:rPr>
          <w:lang w:val="en-US"/>
        </w:rPr>
        <w:instrText>given</w:instrText>
      </w:r>
      <w:r w:rsidR="00E974B2" w:rsidRPr="006C476A">
        <w:instrText xml:space="preserve"> </w:instrText>
      </w:r>
      <w:r w:rsidR="00E974B2">
        <w:rPr>
          <w:lang w:val="en-US"/>
        </w:rPr>
        <w:instrText>safely</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effectively</w:instrText>
      </w:r>
      <w:r w:rsidR="00E974B2" w:rsidRPr="006C476A">
        <w:instrText xml:space="preserve">, </w:instrText>
      </w:r>
      <w:r w:rsidR="00E974B2">
        <w:rPr>
          <w:lang w:val="en-US"/>
        </w:rPr>
        <w:instrText>potentially</w:instrText>
      </w:r>
      <w:r w:rsidR="00E974B2" w:rsidRPr="006C476A">
        <w:instrText xml:space="preserve"> </w:instrText>
      </w:r>
      <w:r w:rsidR="00E974B2">
        <w:rPr>
          <w:lang w:val="en-US"/>
        </w:rPr>
        <w:instrText>reducing</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burden</w:instrText>
      </w:r>
      <w:r w:rsidR="00E974B2" w:rsidRPr="006C476A">
        <w:instrText xml:space="preserve"> </w:instrText>
      </w:r>
      <w:r w:rsidR="00E974B2">
        <w:rPr>
          <w:lang w:val="en-US"/>
        </w:rPr>
        <w:instrText>on</w:instrText>
      </w:r>
      <w:r w:rsidR="00E974B2" w:rsidRPr="006C476A">
        <w:instrText xml:space="preserve"> </w:instrText>
      </w:r>
      <w:r w:rsidR="00E974B2">
        <w:rPr>
          <w:lang w:val="en-US"/>
        </w:rPr>
        <w:instrText>health</w:instrText>
      </w:r>
      <w:r w:rsidR="00E974B2" w:rsidRPr="006C476A">
        <w:instrText xml:space="preserve"> </w:instrText>
      </w:r>
      <w:r w:rsidR="00E974B2">
        <w:rPr>
          <w:lang w:val="en-US"/>
        </w:rPr>
        <w:instrText>care</w:instrText>
      </w:r>
      <w:r w:rsidR="00E974B2" w:rsidRPr="006C476A">
        <w:instrText xml:space="preserve"> </w:instrText>
      </w:r>
      <w:r w:rsidR="00E974B2">
        <w:rPr>
          <w:lang w:val="en-US"/>
        </w:rPr>
        <w:instrText>resources</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improving</w:instrText>
      </w:r>
      <w:r w:rsidR="00E974B2" w:rsidRPr="006C476A">
        <w:instrText xml:space="preserve"> </w:instrText>
      </w:r>
      <w:r w:rsidR="00E974B2">
        <w:rPr>
          <w:lang w:val="en-US"/>
        </w:rPr>
        <w:instrText>quality</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life</w:instrText>
      </w:r>
      <w:r w:rsidR="00E974B2" w:rsidRPr="006C476A">
        <w:instrText xml:space="preserve"> </w:instrText>
      </w:r>
      <w:r w:rsidR="00E974B2">
        <w:rPr>
          <w:lang w:val="en-US"/>
        </w:rPr>
        <w:instrText>for</w:instrText>
      </w:r>
      <w:r w:rsidR="00E974B2" w:rsidRPr="006C476A">
        <w:instrText xml:space="preserve"> </w:instrText>
      </w:r>
      <w:r w:rsidR="00E974B2">
        <w:rPr>
          <w:lang w:val="en-US"/>
        </w:rPr>
        <w:instrText>patients</w:instrText>
      </w:r>
      <w:r w:rsidR="00E974B2" w:rsidRPr="006C476A">
        <w:instrText>.","</w:instrText>
      </w:r>
      <w:r w:rsidR="00E974B2">
        <w:rPr>
          <w:lang w:val="en-US"/>
        </w:rPr>
        <w:instrText>author</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Macdonald</w:instrText>
      </w:r>
      <w:r w:rsidR="00E974B2" w:rsidRPr="006C476A">
        <w:instrText>","</w:instrText>
      </w:r>
      <w:r w:rsidR="00E974B2">
        <w:rPr>
          <w:lang w:val="en-US"/>
        </w:rPr>
        <w:instrText>given</w:instrText>
      </w:r>
      <w:r w:rsidR="00E974B2" w:rsidRPr="006C476A">
        <w:instrText>":"</w:instrText>
      </w:r>
      <w:r w:rsidR="00E974B2">
        <w:rPr>
          <w:lang w:val="en-US"/>
        </w:rPr>
        <w:instrText>David</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Crosbie</w:instrText>
      </w:r>
      <w:r w:rsidR="00E974B2" w:rsidRPr="006C476A">
        <w:instrText>","</w:instrText>
      </w:r>
      <w:r w:rsidR="00E974B2">
        <w:rPr>
          <w:lang w:val="en-US"/>
        </w:rPr>
        <w:instrText>given</w:instrText>
      </w:r>
      <w:r w:rsidR="00E974B2" w:rsidRPr="006C476A">
        <w:instrText>":"</w:instrText>
      </w:r>
      <w:r w:rsidR="00E974B2">
        <w:rPr>
          <w:lang w:val="en-US"/>
        </w:rPr>
        <w:instrText>T</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Christofides</w:instrText>
      </w:r>
      <w:r w:rsidR="00E974B2" w:rsidRPr="006C476A">
        <w:instrText>","</w:instrText>
      </w:r>
      <w:r w:rsidR="00E974B2">
        <w:rPr>
          <w:lang w:val="en-US"/>
        </w:rPr>
        <w:instrText>given</w:instrText>
      </w:r>
      <w:r w:rsidR="00E974B2" w:rsidRPr="006C476A">
        <w:instrText>":"</w:instrText>
      </w:r>
      <w:r w:rsidR="00E974B2">
        <w:rPr>
          <w:lang w:val="en-US"/>
        </w:rPr>
        <w:instrText>A</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Assaily</w:instrText>
      </w:r>
      <w:r w:rsidR="00E974B2" w:rsidRPr="006C476A">
        <w:instrText>","</w:instrText>
      </w:r>
      <w:r w:rsidR="00E974B2">
        <w:rPr>
          <w:lang w:val="en-US"/>
        </w:rPr>
        <w:instrText>given</w:instrText>
      </w:r>
      <w:r w:rsidR="00E974B2" w:rsidRPr="006C476A">
        <w:instrText>":"</w:instrText>
      </w:r>
      <w:r w:rsidR="00E974B2">
        <w:rPr>
          <w:lang w:val="en-US"/>
        </w:rPr>
        <w:instrText>W</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Wiernikowski</w:instrText>
      </w:r>
      <w:r w:rsidR="00E974B2" w:rsidRPr="006C476A">
        <w:instrText>","</w:instrText>
      </w:r>
      <w:r w:rsidR="00E974B2">
        <w:rPr>
          <w:lang w:val="en-US"/>
        </w:rPr>
        <w:instrText>given</w:instrText>
      </w:r>
      <w:r w:rsidR="00E974B2" w:rsidRPr="006C476A">
        <w:instrText>":"</w:instrText>
      </w:r>
      <w:r w:rsidR="00E974B2">
        <w:rPr>
          <w:lang w:val="en-US"/>
        </w:rPr>
        <w:instrText>J</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container</w:instrText>
      </w:r>
      <w:r w:rsidR="00E974B2" w:rsidRPr="006C476A">
        <w:instrText>-</w:instrText>
      </w:r>
      <w:r w:rsidR="00E974B2">
        <w:rPr>
          <w:lang w:val="en-US"/>
        </w:rPr>
        <w:instrText>title</w:instrText>
      </w:r>
      <w:r w:rsidR="00E974B2" w:rsidRPr="006C476A">
        <w:instrText>":"</w:instrText>
      </w:r>
      <w:r w:rsidR="00E974B2">
        <w:rPr>
          <w:lang w:val="en-US"/>
        </w:rPr>
        <w:instrText>Current</w:instrText>
      </w:r>
      <w:r w:rsidR="00E974B2" w:rsidRPr="006C476A">
        <w:instrText xml:space="preserve"> </w:instrText>
      </w:r>
      <w:r w:rsidR="00E974B2">
        <w:rPr>
          <w:lang w:val="en-US"/>
        </w:rPr>
        <w:instrText>Oncology</w:instrText>
      </w:r>
      <w:r w:rsidR="00E974B2" w:rsidRPr="006C476A">
        <w:instrText>","</w:instrText>
      </w:r>
      <w:r w:rsidR="00E974B2">
        <w:rPr>
          <w:lang w:val="en-US"/>
        </w:rPr>
        <w:instrText>id</w:instrText>
      </w:r>
      <w:r w:rsidR="00E974B2" w:rsidRPr="006C476A">
        <w:instrText>":"</w:instrText>
      </w:r>
      <w:r w:rsidR="00E974B2">
        <w:rPr>
          <w:lang w:val="en-US"/>
        </w:rPr>
        <w:instrText>ITEM</w:instrText>
      </w:r>
      <w:r w:rsidR="00E974B2" w:rsidRPr="006C476A">
        <w:instrText>-4","</w:instrText>
      </w:r>
      <w:r w:rsidR="00E974B2">
        <w:rPr>
          <w:lang w:val="en-US"/>
        </w:rPr>
        <w:instrText>issue</w:instrText>
      </w:r>
      <w:r w:rsidR="00E974B2" w:rsidRPr="006C476A">
        <w:instrText>":"1","</w:instrText>
      </w:r>
      <w:r w:rsidR="00E974B2">
        <w:rPr>
          <w:lang w:val="en-US"/>
        </w:rPr>
        <w:instrText>issued</w:instrText>
      </w:r>
      <w:r w:rsidR="00E974B2" w:rsidRPr="006C476A">
        <w:instrText>":{"</w:instrText>
      </w:r>
      <w:r w:rsidR="00E974B2">
        <w:rPr>
          <w:lang w:val="en-US"/>
        </w:rPr>
        <w:instrText>date</w:instrText>
      </w:r>
      <w:r w:rsidR="00E974B2" w:rsidRPr="006C476A">
        <w:instrText>-</w:instrText>
      </w:r>
      <w:r w:rsidR="00E974B2">
        <w:rPr>
          <w:lang w:val="en-US"/>
        </w:rPr>
        <w:instrText>parts</w:instrText>
      </w:r>
      <w:r w:rsidR="00E974B2" w:rsidRPr="006C476A">
        <w:instrText>":[["2017"]]},"</w:instrText>
      </w:r>
      <w:r w:rsidR="00E974B2">
        <w:rPr>
          <w:lang w:val="en-US"/>
        </w:rPr>
        <w:instrText>page</w:instrText>
      </w:r>
      <w:r w:rsidR="00E974B2" w:rsidRPr="006C476A">
        <w:instrText>":"33-39","</w:instrText>
      </w:r>
      <w:r w:rsidR="00E974B2">
        <w:rPr>
          <w:lang w:val="en-US"/>
        </w:rPr>
        <w:instrText>publisher</w:instrText>
      </w:r>
      <w:r w:rsidR="00E974B2" w:rsidRPr="006C476A">
        <w:instrText>":"</w:instrText>
      </w:r>
      <w:r w:rsidR="00E974B2">
        <w:rPr>
          <w:lang w:val="en-US"/>
        </w:rPr>
        <w:instrText>Multimed</w:instrText>
      </w:r>
      <w:r w:rsidR="00E974B2" w:rsidRPr="006C476A">
        <w:instrText xml:space="preserve"> </w:instrText>
      </w:r>
      <w:r w:rsidR="00E974B2">
        <w:rPr>
          <w:lang w:val="en-US"/>
        </w:rPr>
        <w:instrText>Inc</w:instrText>
      </w:r>
      <w:r w:rsidR="00E974B2" w:rsidRPr="006C476A">
        <w:instrText>.","</w:instrText>
      </w:r>
      <w:r w:rsidR="00E974B2">
        <w:rPr>
          <w:lang w:val="en-US"/>
        </w:rPr>
        <w:instrText>title</w:instrText>
      </w:r>
      <w:r w:rsidR="00E974B2" w:rsidRPr="006C476A">
        <w:instrText>":"</w:instrText>
      </w:r>
      <w:r w:rsidR="00E974B2">
        <w:rPr>
          <w:lang w:val="en-US"/>
        </w:rPr>
        <w:instrText>A</w:instrText>
      </w:r>
      <w:r w:rsidR="00E974B2" w:rsidRPr="006C476A">
        <w:instrText xml:space="preserve"> </w:instrText>
      </w:r>
      <w:r w:rsidR="00E974B2">
        <w:rPr>
          <w:lang w:val="en-US"/>
        </w:rPr>
        <w:instrText>canadian</w:instrText>
      </w:r>
      <w:r w:rsidR="00E974B2" w:rsidRPr="006C476A">
        <w:instrText xml:space="preserve"> </w:instrText>
      </w:r>
      <w:r w:rsidR="00E974B2">
        <w:rPr>
          <w:lang w:val="en-US"/>
        </w:rPr>
        <w:instrText>perspective</w:instrText>
      </w:r>
      <w:r w:rsidR="00E974B2" w:rsidRPr="006C476A">
        <w:instrText xml:space="preserve"> </w:instrText>
      </w:r>
      <w:r w:rsidR="00E974B2">
        <w:rPr>
          <w:lang w:val="en-US"/>
        </w:rPr>
        <w:instrText>on</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subcutaneous</w:instrText>
      </w:r>
      <w:r w:rsidR="00E974B2" w:rsidRPr="006C476A">
        <w:instrText xml:space="preserve"> </w:instrText>
      </w:r>
      <w:r w:rsidR="00E974B2">
        <w:rPr>
          <w:lang w:val="en-US"/>
        </w:rPr>
        <w:instrText>administration</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in</w:instrText>
      </w:r>
      <w:r w:rsidR="00E974B2" w:rsidRPr="006C476A">
        <w:instrText xml:space="preserve"> </w:instrText>
      </w:r>
      <w:r w:rsidR="00E974B2">
        <w:rPr>
          <w:lang w:val="en-US"/>
        </w:rPr>
        <w:instrText>non</w:instrText>
      </w:r>
      <w:r w:rsidR="00E974B2" w:rsidRPr="006C476A">
        <w:instrText>-</w:instrText>
      </w:r>
      <w:r w:rsidR="00E974B2">
        <w:rPr>
          <w:lang w:val="en-US"/>
        </w:rPr>
        <w:instrText>Hodgkin</w:instrText>
      </w:r>
      <w:r w:rsidR="00E974B2" w:rsidRPr="006C476A">
        <w:instrText xml:space="preserve"> </w:instrText>
      </w:r>
      <w:r w:rsidR="00E974B2">
        <w:rPr>
          <w:lang w:val="en-US"/>
        </w:rPr>
        <w:instrText>lymphoma</w:instrText>
      </w:r>
      <w:r w:rsidR="00E974B2" w:rsidRPr="006C476A">
        <w:instrText>","</w:instrText>
      </w:r>
      <w:r w:rsidR="00E974B2">
        <w:rPr>
          <w:lang w:val="en-US"/>
        </w:rPr>
        <w:instrText>type</w:instrText>
      </w:r>
      <w:r w:rsidR="00E974B2" w:rsidRPr="006C476A">
        <w:instrText>":"</w:instrText>
      </w:r>
      <w:r w:rsidR="00E974B2">
        <w:rPr>
          <w:lang w:val="en-US"/>
        </w:rPr>
        <w:instrText>article</w:instrText>
      </w:r>
      <w:r w:rsidR="00E974B2" w:rsidRPr="006C476A">
        <w:instrText>","</w:instrText>
      </w:r>
      <w:r w:rsidR="00E974B2">
        <w:rPr>
          <w:lang w:val="en-US"/>
        </w:rPr>
        <w:instrText>volume</w:instrText>
      </w:r>
      <w:r w:rsidR="00E974B2" w:rsidRPr="006C476A">
        <w:instrText>":"24"},"</w:instrText>
      </w:r>
      <w:r w:rsidR="00E974B2">
        <w:rPr>
          <w:lang w:val="en-US"/>
        </w:rPr>
        <w:instrText>uris</w:instrText>
      </w:r>
      <w:r w:rsidR="00E974B2" w:rsidRPr="006C476A">
        <w:instrText>":["</w:instrText>
      </w:r>
      <w:r w:rsidR="00E974B2">
        <w:rPr>
          <w:lang w:val="en-US"/>
        </w:rPr>
        <w:instrText>http</w:instrText>
      </w:r>
      <w:r w:rsidR="00E974B2" w:rsidRPr="006C476A">
        <w:instrText>://</w:instrText>
      </w:r>
      <w:r w:rsidR="00E974B2">
        <w:rPr>
          <w:lang w:val="en-US"/>
        </w:rPr>
        <w:instrText>www</w:instrText>
      </w:r>
      <w:r w:rsidR="00E974B2" w:rsidRPr="006C476A">
        <w:instrText>.</w:instrText>
      </w:r>
      <w:r w:rsidR="00E974B2">
        <w:rPr>
          <w:lang w:val="en-US"/>
        </w:rPr>
        <w:instrText>mendeley</w:instrText>
      </w:r>
      <w:r w:rsidR="00E974B2" w:rsidRPr="006C476A">
        <w:instrText>.</w:instrText>
      </w:r>
      <w:r w:rsidR="00E974B2">
        <w:rPr>
          <w:lang w:val="en-US"/>
        </w:rPr>
        <w:instrText>com</w:instrText>
      </w:r>
      <w:r w:rsidR="00E974B2" w:rsidRPr="006C476A">
        <w:instrText>/</w:instrText>
      </w:r>
      <w:r w:rsidR="00E974B2">
        <w:rPr>
          <w:lang w:val="en-US"/>
        </w:rPr>
        <w:instrText>documents</w:instrText>
      </w:r>
      <w:r w:rsidR="00E974B2" w:rsidRPr="006C476A">
        <w:instrText>/?</w:instrText>
      </w:r>
      <w:r w:rsidR="00E974B2">
        <w:rPr>
          <w:lang w:val="en-US"/>
        </w:rPr>
        <w:instrText>uuid</w:instrText>
      </w:r>
      <w:r w:rsidR="00E974B2" w:rsidRPr="006C476A">
        <w:instrText>=0</w:instrText>
      </w:r>
      <w:r w:rsidR="00E974B2">
        <w:rPr>
          <w:lang w:val="en-US"/>
        </w:rPr>
        <w:instrText>dec</w:instrText>
      </w:r>
      <w:r w:rsidR="00E974B2" w:rsidRPr="006C476A">
        <w:instrText>225</w:instrText>
      </w:r>
      <w:r w:rsidR="00E974B2">
        <w:rPr>
          <w:lang w:val="en-US"/>
        </w:rPr>
        <w:instrText>e</w:instrText>
      </w:r>
      <w:r w:rsidR="00E974B2" w:rsidRPr="006C476A">
        <w:instrText>-8</w:instrText>
      </w:r>
      <w:r w:rsidR="00E974B2">
        <w:rPr>
          <w:lang w:val="en-US"/>
        </w:rPr>
        <w:instrText>a</w:instrText>
      </w:r>
      <w:r w:rsidR="00E974B2" w:rsidRPr="006C476A">
        <w:instrText>47-3680-</w:instrText>
      </w:r>
      <w:r w:rsidR="00E974B2">
        <w:rPr>
          <w:lang w:val="en-US"/>
        </w:rPr>
        <w:instrText>ba</w:instrText>
      </w:r>
      <w:r w:rsidR="00E974B2" w:rsidRPr="006C476A">
        <w:instrText>4</w:instrText>
      </w:r>
      <w:r w:rsidR="00E974B2">
        <w:rPr>
          <w:lang w:val="en-US"/>
        </w:rPr>
        <w:instrText>d</w:instrText>
      </w:r>
      <w:r w:rsidR="00E974B2" w:rsidRPr="006C476A">
        <w:instrText>-891955</w:instrText>
      </w:r>
      <w:r w:rsidR="00E974B2">
        <w:rPr>
          <w:lang w:val="en-US"/>
        </w:rPr>
        <w:instrText>a</w:instrText>
      </w:r>
      <w:r w:rsidR="00E974B2" w:rsidRPr="006C476A">
        <w:instrText>938</w:instrText>
      </w:r>
      <w:r w:rsidR="00E974B2">
        <w:rPr>
          <w:lang w:val="en-US"/>
        </w:rPr>
        <w:instrText>a</w:instrText>
      </w:r>
      <w:r w:rsidR="00E974B2" w:rsidRPr="006C476A">
        <w:instrText>1"]}],"</w:instrText>
      </w:r>
      <w:r w:rsidR="00E974B2">
        <w:rPr>
          <w:lang w:val="en-US"/>
        </w:rPr>
        <w:instrText>mendeley</w:instrText>
      </w:r>
      <w:r w:rsidR="00E974B2" w:rsidRPr="006C476A">
        <w:instrText>":{"</w:instrText>
      </w:r>
      <w:r w:rsidR="00E974B2">
        <w:rPr>
          <w:lang w:val="en-US"/>
        </w:rPr>
        <w:instrText>formattedCitation</w:instrText>
      </w:r>
      <w:r w:rsidR="00E974B2" w:rsidRPr="006C476A">
        <w:instrText>":"[180–183]","</w:instrText>
      </w:r>
      <w:r w:rsidR="00E974B2">
        <w:rPr>
          <w:lang w:val="en-US"/>
        </w:rPr>
        <w:instrText>plainTextFormattedCitation</w:instrText>
      </w:r>
      <w:r w:rsidR="00E974B2" w:rsidRPr="006C476A">
        <w:instrText>":"[180–183]","</w:instrText>
      </w:r>
      <w:r w:rsidR="00E974B2">
        <w:rPr>
          <w:lang w:val="en-US"/>
        </w:rPr>
        <w:instrText>previouslyFormattedCitation</w:instrText>
      </w:r>
      <w:r w:rsidR="00E974B2" w:rsidRPr="006C476A">
        <w:instrText>":"[180–183]"},"</w:instrText>
      </w:r>
      <w:r w:rsidR="00E974B2">
        <w:rPr>
          <w:lang w:val="en-US"/>
        </w:rPr>
        <w:instrText>properties</w:instrText>
      </w:r>
      <w:r w:rsidR="00E974B2" w:rsidRPr="006C476A">
        <w:instrText>":{"</w:instrText>
      </w:r>
      <w:r w:rsidR="00E974B2">
        <w:rPr>
          <w:lang w:val="en-US"/>
        </w:rPr>
        <w:instrText>noteIndex</w:instrText>
      </w:r>
      <w:r w:rsidR="00E974B2" w:rsidRPr="006C476A">
        <w:instrText>":0},"</w:instrText>
      </w:r>
      <w:r w:rsidR="00E974B2">
        <w:rPr>
          <w:lang w:val="en-US"/>
        </w:rPr>
        <w:instrText>schema</w:instrText>
      </w:r>
      <w:r w:rsidR="00E974B2" w:rsidRPr="006C476A">
        <w:instrText>":"</w:instrText>
      </w:r>
      <w:r w:rsidR="00E974B2">
        <w:rPr>
          <w:lang w:val="en-US"/>
        </w:rPr>
        <w:instrText>https</w:instrText>
      </w:r>
      <w:r w:rsidR="00E974B2" w:rsidRPr="006C476A">
        <w:instrText>://</w:instrText>
      </w:r>
      <w:r w:rsidR="00E974B2">
        <w:rPr>
          <w:lang w:val="en-US"/>
        </w:rPr>
        <w:instrText>github</w:instrText>
      </w:r>
      <w:r w:rsidR="00E974B2" w:rsidRPr="006C476A">
        <w:instrText>.</w:instrText>
      </w:r>
      <w:r w:rsidR="00E974B2">
        <w:rPr>
          <w:lang w:val="en-US"/>
        </w:rPr>
        <w:instrText>com</w:instrText>
      </w:r>
      <w:r w:rsidR="00E974B2" w:rsidRPr="006C476A">
        <w:instrText>/</w:instrText>
      </w:r>
      <w:r w:rsidR="00E974B2">
        <w:rPr>
          <w:lang w:val="en-US"/>
        </w:rPr>
        <w:instrText>citation</w:instrText>
      </w:r>
      <w:r w:rsidR="00E974B2" w:rsidRPr="006C476A">
        <w:instrText>-</w:instrText>
      </w:r>
      <w:r w:rsidR="00E974B2">
        <w:rPr>
          <w:lang w:val="en-US"/>
        </w:rPr>
        <w:instrText>style</w:instrText>
      </w:r>
      <w:r w:rsidR="00E974B2" w:rsidRPr="006C476A">
        <w:instrText>-</w:instrText>
      </w:r>
      <w:r w:rsidR="00E974B2">
        <w:rPr>
          <w:lang w:val="en-US"/>
        </w:rPr>
        <w:instrText>language</w:instrText>
      </w:r>
      <w:r w:rsidR="00E974B2" w:rsidRPr="006C476A">
        <w:instrText>/</w:instrText>
      </w:r>
      <w:r w:rsidR="00E974B2">
        <w:rPr>
          <w:lang w:val="en-US"/>
        </w:rPr>
        <w:instrText>schema</w:instrText>
      </w:r>
      <w:r w:rsidR="00E974B2" w:rsidRPr="006C476A">
        <w:instrText>/</w:instrText>
      </w:r>
      <w:r w:rsidR="00E974B2">
        <w:rPr>
          <w:lang w:val="en-US"/>
        </w:rPr>
        <w:instrText>raw</w:instrText>
      </w:r>
      <w:r w:rsidR="00E974B2" w:rsidRPr="006C476A">
        <w:instrText>/</w:instrText>
      </w:r>
      <w:r w:rsidR="00E974B2">
        <w:rPr>
          <w:lang w:val="en-US"/>
        </w:rPr>
        <w:instrText>master</w:instrText>
      </w:r>
      <w:r w:rsidR="00E974B2" w:rsidRPr="006C476A">
        <w:instrText>/</w:instrText>
      </w:r>
      <w:r w:rsidR="00E974B2">
        <w:rPr>
          <w:lang w:val="en-US"/>
        </w:rPr>
        <w:instrText>csl</w:instrText>
      </w:r>
      <w:r w:rsidR="00E974B2" w:rsidRPr="006C476A">
        <w:instrText>-</w:instrText>
      </w:r>
      <w:r w:rsidR="00E974B2">
        <w:rPr>
          <w:lang w:val="en-US"/>
        </w:rPr>
        <w:instrText>citation</w:instrText>
      </w:r>
      <w:r w:rsidR="00E974B2" w:rsidRPr="006C476A">
        <w:instrText>.</w:instrText>
      </w:r>
      <w:r w:rsidR="00E974B2">
        <w:rPr>
          <w:lang w:val="en-US"/>
        </w:rPr>
        <w:instrText>json</w:instrText>
      </w:r>
      <w:r w:rsidR="00E974B2" w:rsidRPr="006C476A">
        <w:instrText>"}</w:instrText>
      </w:r>
      <w:r w:rsidRPr="000322E4">
        <w:rPr>
          <w:lang w:val="en-US"/>
        </w:rPr>
        <w:fldChar w:fldCharType="separate"/>
      </w:r>
      <w:r w:rsidR="004C51FF" w:rsidRPr="004C51FF">
        <w:rPr>
          <w:noProof/>
        </w:rPr>
        <w:t>[180–183]</w:t>
      </w:r>
      <w:r w:rsidRPr="000322E4">
        <w:rPr>
          <w:lang w:val="en-US"/>
        </w:rPr>
        <w:fldChar w:fldCharType="end"/>
      </w:r>
    </w:p>
    <w:p w14:paraId="6756C12C" w14:textId="77777777" w:rsidR="00666D68" w:rsidRPr="000322E4" w:rsidRDefault="00666D68" w:rsidP="00F414BF">
      <w:pPr>
        <w:numPr>
          <w:ilvl w:val="0"/>
          <w:numId w:val="40"/>
        </w:numPr>
      </w:pPr>
      <w:r w:rsidRPr="000322E4">
        <w:t>Бендамустин</w:t>
      </w:r>
      <w:r w:rsidRPr="000322E4">
        <w:rPr>
          <w:bCs/>
        </w:rPr>
        <w:t>**</w:t>
      </w:r>
      <w:r w:rsidRPr="000322E4">
        <w:t xml:space="preserve"> 90 мг/м</w:t>
      </w:r>
      <w:r w:rsidRPr="000322E4">
        <w:rPr>
          <w:vertAlign w:val="superscript"/>
        </w:rPr>
        <w:t>2</w:t>
      </w:r>
      <w:r w:rsidRPr="000322E4">
        <w:t xml:space="preserve"> в/в кап., дни 1, 2</w:t>
      </w:r>
    </w:p>
    <w:p w14:paraId="063DADB3" w14:textId="77777777" w:rsidR="00666D68" w:rsidRPr="000322E4" w:rsidRDefault="00666D68" w:rsidP="00F414BF">
      <w:pPr>
        <w:ind w:left="360"/>
      </w:pPr>
      <w:r w:rsidRPr="000322E4">
        <w:t>Лечение возобновляется на 28 день</w:t>
      </w:r>
    </w:p>
    <w:p w14:paraId="073D510C" w14:textId="77777777" w:rsidR="00666D68" w:rsidRPr="000322E4" w:rsidRDefault="00666D68" w:rsidP="00F414BF">
      <w:pPr>
        <w:ind w:left="360"/>
      </w:pPr>
    </w:p>
    <w:p w14:paraId="565AE27E" w14:textId="77777777" w:rsidR="00666D68" w:rsidRPr="000322E4" w:rsidRDefault="00666D68" w:rsidP="00F414BF">
      <w:r w:rsidRPr="000322E4">
        <w:rPr>
          <w:b/>
          <w:bCs/>
          <w:lang w:val="en-US"/>
        </w:rPr>
        <w:t>R</w:t>
      </w:r>
      <w:r w:rsidRPr="000322E4">
        <w:rPr>
          <w:b/>
          <w:bCs/>
        </w:rPr>
        <w:t>-</w:t>
      </w:r>
      <w:r w:rsidRPr="000322E4">
        <w:rPr>
          <w:b/>
          <w:bCs/>
          <w:lang w:val="en-US"/>
        </w:rPr>
        <w:t>miniCHOP</w:t>
      </w:r>
      <w:r w:rsidRPr="000322E4">
        <w:rPr>
          <w:b/>
          <w:bCs/>
        </w:rPr>
        <w:t xml:space="preserve"> </w:t>
      </w:r>
      <w:r w:rsidRPr="000322E4">
        <w:rPr>
          <w:b/>
          <w:bCs/>
          <w:lang w:val="en-US"/>
        </w:rPr>
        <w:fldChar w:fldCharType="begin" w:fldLock="1"/>
      </w:r>
      <w:r w:rsidR="00C37789" w:rsidRPr="000322E4">
        <w:rPr>
          <w:b/>
          <w:bCs/>
          <w:lang w:val="en-US"/>
        </w:rPr>
        <w:instrText>ADDIN</w:instrText>
      </w:r>
      <w:r w:rsidR="00C37789" w:rsidRPr="000322E4">
        <w:rPr>
          <w:b/>
          <w:bCs/>
        </w:rPr>
        <w:instrText xml:space="preserve"> </w:instrText>
      </w:r>
      <w:r w:rsidR="00C37789" w:rsidRPr="000322E4">
        <w:rPr>
          <w:b/>
          <w:bCs/>
          <w:lang w:val="en-US"/>
        </w:rPr>
        <w:instrText>CSL</w:instrText>
      </w:r>
      <w:r w:rsidR="00C37789" w:rsidRPr="000322E4">
        <w:rPr>
          <w:b/>
          <w:bCs/>
        </w:rPr>
        <w:instrText>_</w:instrText>
      </w:r>
      <w:r w:rsidR="00C37789" w:rsidRPr="000322E4">
        <w:rPr>
          <w:b/>
          <w:bCs/>
          <w:lang w:val="en-US"/>
        </w:rPr>
        <w:instrText>CITATION</w:instrText>
      </w:r>
      <w:r w:rsidR="00C37789" w:rsidRPr="000322E4">
        <w:rPr>
          <w:b/>
          <w:bCs/>
        </w:rPr>
        <w:instrText xml:space="preserve"> {"</w:instrText>
      </w:r>
      <w:r w:rsidR="00C37789" w:rsidRPr="000322E4">
        <w:rPr>
          <w:b/>
          <w:bCs/>
          <w:lang w:val="en-US"/>
        </w:rPr>
        <w:instrText>citationItems</w:instrText>
      </w:r>
      <w:r w:rsidR="00C37789" w:rsidRPr="000322E4">
        <w:rPr>
          <w:b/>
          <w:bCs/>
        </w:rPr>
        <w:instrText>":[{"</w:instrText>
      </w:r>
      <w:r w:rsidR="00C37789" w:rsidRPr="000322E4">
        <w:rPr>
          <w:b/>
          <w:bCs/>
          <w:lang w:val="en-US"/>
        </w:rPr>
        <w:instrText>id</w:instrText>
      </w:r>
      <w:r w:rsidR="00C37789" w:rsidRPr="000322E4">
        <w:rPr>
          <w:b/>
          <w:bCs/>
        </w:rPr>
        <w:instrText>":"</w:instrText>
      </w:r>
      <w:r w:rsidR="00C37789" w:rsidRPr="000322E4">
        <w:rPr>
          <w:b/>
          <w:bCs/>
          <w:lang w:val="en-US"/>
        </w:rPr>
        <w:instrText>ITEM</w:instrText>
      </w:r>
      <w:r w:rsidR="00C37789" w:rsidRPr="000322E4">
        <w:rPr>
          <w:b/>
          <w:bCs/>
        </w:rPr>
        <w:instrText>-1","</w:instrText>
      </w:r>
      <w:r w:rsidR="00C37789" w:rsidRPr="000322E4">
        <w:rPr>
          <w:b/>
          <w:bCs/>
          <w:lang w:val="en-US"/>
        </w:rPr>
        <w:instrText>itemData</w:instrText>
      </w:r>
      <w:r w:rsidR="00C37789" w:rsidRPr="000322E4">
        <w:rPr>
          <w:b/>
          <w:bCs/>
        </w:rPr>
        <w:instrText>":{"</w:instrText>
      </w:r>
      <w:r w:rsidR="00C37789" w:rsidRPr="000322E4">
        <w:rPr>
          <w:b/>
          <w:bCs/>
          <w:lang w:val="en-US"/>
        </w:rPr>
        <w:instrText>DOI</w:instrText>
      </w:r>
      <w:r w:rsidR="00C37789" w:rsidRPr="000322E4">
        <w:rPr>
          <w:b/>
          <w:bCs/>
        </w:rPr>
        <w:instrText>":"10.1016/</w:instrText>
      </w:r>
      <w:r w:rsidR="00C37789" w:rsidRPr="000322E4">
        <w:rPr>
          <w:b/>
          <w:bCs/>
          <w:lang w:val="en-US"/>
        </w:rPr>
        <w:instrText>S</w:instrText>
      </w:r>
      <w:r w:rsidR="00C37789" w:rsidRPr="000322E4">
        <w:rPr>
          <w:b/>
          <w:bCs/>
        </w:rPr>
        <w:instrText>1470-2045(11)70069-9","</w:instrText>
      </w:r>
      <w:r w:rsidR="00C37789" w:rsidRPr="000322E4">
        <w:rPr>
          <w:b/>
          <w:bCs/>
          <w:lang w:val="en-US"/>
        </w:rPr>
        <w:instrText>ISSN</w:instrText>
      </w:r>
      <w:r w:rsidR="00C37789" w:rsidRPr="000322E4">
        <w:rPr>
          <w:b/>
          <w:bCs/>
        </w:rPr>
        <w:instrText>":"14702045","</w:instrText>
      </w:r>
      <w:r w:rsidR="00C37789" w:rsidRPr="000322E4">
        <w:rPr>
          <w:b/>
          <w:bCs/>
          <w:lang w:val="en-US"/>
        </w:rPr>
        <w:instrText>abstract</w:instrText>
      </w:r>
      <w:r w:rsidR="00C37789" w:rsidRPr="000322E4">
        <w:rPr>
          <w:b/>
          <w:bCs/>
        </w:rPr>
        <w:instrText>":"</w:instrText>
      </w:r>
      <w:r w:rsidR="00C37789" w:rsidRPr="000322E4">
        <w:rPr>
          <w:b/>
          <w:bCs/>
          <w:lang w:val="en-US"/>
        </w:rPr>
        <w:instrText>Background</w:instrText>
      </w:r>
      <w:r w:rsidR="00C37789" w:rsidRPr="000322E4">
        <w:rPr>
          <w:b/>
          <w:bCs/>
        </w:rPr>
        <w:instrText xml:space="preserve">: </w:instrText>
      </w:r>
      <w:r w:rsidR="00C37789" w:rsidRPr="000322E4">
        <w:rPr>
          <w:b/>
          <w:bCs/>
          <w:lang w:val="en-US"/>
        </w:rPr>
        <w:instrText>Diffuse</w:instrText>
      </w:r>
      <w:r w:rsidR="00C37789" w:rsidRPr="000322E4">
        <w:rPr>
          <w:b/>
          <w:bCs/>
        </w:rPr>
        <w:instrText xml:space="preserve"> </w:instrText>
      </w:r>
      <w:r w:rsidR="00C37789" w:rsidRPr="000322E4">
        <w:rPr>
          <w:b/>
          <w:bCs/>
          <w:lang w:val="en-US"/>
        </w:rPr>
        <w:instrText>large</w:instrText>
      </w:r>
      <w:r w:rsidR="00C37789" w:rsidRPr="000322E4">
        <w:rPr>
          <w:b/>
          <w:bCs/>
        </w:rPr>
        <w:instrText xml:space="preserve"> </w:instrText>
      </w:r>
      <w:r w:rsidR="00C37789" w:rsidRPr="000322E4">
        <w:rPr>
          <w:b/>
          <w:bCs/>
          <w:lang w:val="en-US"/>
        </w:rPr>
        <w:instrText>B</w:instrText>
      </w:r>
      <w:r w:rsidR="00C37789" w:rsidRPr="000322E4">
        <w:rPr>
          <w:b/>
          <w:bCs/>
        </w:rPr>
        <w:instrText>-</w:instrText>
      </w:r>
      <w:r w:rsidR="00C37789" w:rsidRPr="000322E4">
        <w:rPr>
          <w:b/>
          <w:bCs/>
          <w:lang w:val="en-US"/>
        </w:rPr>
        <w:instrText>cell</w:instrText>
      </w:r>
      <w:r w:rsidR="00C37789" w:rsidRPr="000322E4">
        <w:rPr>
          <w:b/>
          <w:bCs/>
        </w:rPr>
        <w:instrText xml:space="preserve"> </w:instrText>
      </w:r>
      <w:r w:rsidR="00C37789" w:rsidRPr="000322E4">
        <w:rPr>
          <w:b/>
          <w:bCs/>
          <w:lang w:val="en-US"/>
        </w:rPr>
        <w:instrText>lymphoma</w:instrText>
      </w:r>
      <w:r w:rsidR="00C37789" w:rsidRPr="000322E4">
        <w:rPr>
          <w:b/>
          <w:bCs/>
        </w:rPr>
        <w:instrText xml:space="preserve"> </w:instrText>
      </w:r>
      <w:r w:rsidR="00C37789" w:rsidRPr="000322E4">
        <w:rPr>
          <w:b/>
          <w:bCs/>
          <w:lang w:val="en-US"/>
        </w:rPr>
        <w:instrText>is</w:instrText>
      </w:r>
      <w:r w:rsidR="00C37789" w:rsidRPr="000322E4">
        <w:rPr>
          <w:b/>
          <w:bCs/>
        </w:rPr>
        <w:instrText xml:space="preserve"> </w:instrText>
      </w:r>
      <w:r w:rsidR="00C37789" w:rsidRPr="000322E4">
        <w:rPr>
          <w:b/>
          <w:bCs/>
          <w:lang w:val="en-US"/>
        </w:rPr>
        <w:instrText>a</w:instrText>
      </w:r>
      <w:r w:rsidR="00C37789" w:rsidRPr="000322E4">
        <w:rPr>
          <w:b/>
          <w:bCs/>
        </w:rPr>
        <w:instrText xml:space="preserve"> </w:instrText>
      </w:r>
      <w:r w:rsidR="00C37789" w:rsidRPr="000322E4">
        <w:rPr>
          <w:b/>
          <w:bCs/>
          <w:lang w:val="en-US"/>
        </w:rPr>
        <w:instrText>common</w:instrText>
      </w:r>
      <w:r w:rsidR="00C37789" w:rsidRPr="000322E4">
        <w:rPr>
          <w:b/>
          <w:bCs/>
        </w:rPr>
        <w:instrText xml:space="preserve"> </w:instrText>
      </w:r>
      <w:r w:rsidR="00C37789" w:rsidRPr="000322E4">
        <w:rPr>
          <w:b/>
          <w:bCs/>
          <w:lang w:val="en-US"/>
        </w:rPr>
        <w:instrText>cancer</w:instrText>
      </w:r>
      <w:r w:rsidR="00C37789" w:rsidRPr="000322E4">
        <w:rPr>
          <w:b/>
          <w:bCs/>
        </w:rPr>
        <w:instrText xml:space="preserve"> </w:instrText>
      </w:r>
      <w:r w:rsidR="00C37789" w:rsidRPr="000322E4">
        <w:rPr>
          <w:b/>
          <w:bCs/>
          <w:lang w:val="en-US"/>
        </w:rPr>
        <w:instrText>in</w:instrText>
      </w:r>
      <w:r w:rsidR="00C37789" w:rsidRPr="000322E4">
        <w:rPr>
          <w:b/>
          <w:bCs/>
        </w:rPr>
        <w:instrText xml:space="preserve"> </w:instrText>
      </w:r>
      <w:r w:rsidR="00C37789" w:rsidRPr="000322E4">
        <w:rPr>
          <w:b/>
          <w:bCs/>
          <w:lang w:val="en-US"/>
        </w:rPr>
        <w:instrText>elderly</w:instrText>
      </w:r>
      <w:r w:rsidR="00C37789" w:rsidRPr="000322E4">
        <w:rPr>
          <w:b/>
          <w:bCs/>
        </w:rPr>
        <w:instrText xml:space="preserve">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Although</w:instrText>
      </w:r>
      <w:r w:rsidR="00C37789" w:rsidRPr="000322E4">
        <w:rPr>
          <w:b/>
          <w:bCs/>
        </w:rPr>
        <w:instrText xml:space="preserve"> </w:instrText>
      </w:r>
      <w:r w:rsidR="00C37789" w:rsidRPr="000322E4">
        <w:rPr>
          <w:b/>
          <w:bCs/>
          <w:lang w:val="en-US"/>
        </w:rPr>
        <w:instrText>treatment</w:instrText>
      </w:r>
      <w:r w:rsidR="00C37789" w:rsidRPr="000322E4">
        <w:rPr>
          <w:b/>
          <w:bCs/>
        </w:rPr>
        <w:instrText xml:space="preserve"> </w:instrText>
      </w:r>
      <w:r w:rsidR="00C37789" w:rsidRPr="000322E4">
        <w:rPr>
          <w:b/>
          <w:bCs/>
          <w:lang w:val="en-US"/>
        </w:rPr>
        <w:instrText>has</w:instrText>
      </w:r>
      <w:r w:rsidR="00C37789" w:rsidRPr="000322E4">
        <w:rPr>
          <w:b/>
          <w:bCs/>
        </w:rPr>
        <w:instrText xml:space="preserve"> </w:instrText>
      </w:r>
      <w:r w:rsidR="00C37789" w:rsidRPr="000322E4">
        <w:rPr>
          <w:b/>
          <w:bCs/>
          <w:lang w:val="en-US"/>
        </w:rPr>
        <w:instrText>been</w:instrText>
      </w:r>
      <w:r w:rsidR="00C37789" w:rsidRPr="000322E4">
        <w:rPr>
          <w:b/>
          <w:bCs/>
        </w:rPr>
        <w:instrText xml:space="preserve"> </w:instrText>
      </w:r>
      <w:r w:rsidR="00C37789" w:rsidRPr="000322E4">
        <w:rPr>
          <w:b/>
          <w:bCs/>
          <w:lang w:val="en-US"/>
        </w:rPr>
        <w:instrText>standardised</w:instrText>
      </w:r>
      <w:r w:rsidR="00C37789" w:rsidRPr="000322E4">
        <w:rPr>
          <w:b/>
          <w:bCs/>
        </w:rPr>
        <w:instrText xml:space="preserve"> </w:instrText>
      </w:r>
      <w:r w:rsidR="00C37789" w:rsidRPr="000322E4">
        <w:rPr>
          <w:b/>
          <w:bCs/>
          <w:lang w:val="en-US"/>
        </w:rPr>
        <w:instrText>in</w:instrText>
      </w:r>
      <w:r w:rsidR="00C37789" w:rsidRPr="000322E4">
        <w:rPr>
          <w:b/>
          <w:bCs/>
        </w:rPr>
        <w:instrText xml:space="preserve"> </w:instrText>
      </w:r>
      <w:r w:rsidR="00C37789" w:rsidRPr="000322E4">
        <w:rPr>
          <w:b/>
          <w:bCs/>
          <w:lang w:val="en-US"/>
        </w:rPr>
        <w:instrText>younger</w:instrText>
      </w:r>
      <w:r w:rsidR="00C37789" w:rsidRPr="000322E4">
        <w:rPr>
          <w:b/>
          <w:bCs/>
        </w:rPr>
        <w:instrText xml:space="preserve">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no</w:instrText>
      </w:r>
      <w:r w:rsidR="00C37789" w:rsidRPr="000322E4">
        <w:rPr>
          <w:b/>
          <w:bCs/>
        </w:rPr>
        <w:instrText xml:space="preserve"> </w:instrText>
      </w:r>
      <w:r w:rsidR="00C37789" w:rsidRPr="000322E4">
        <w:rPr>
          <w:b/>
          <w:bCs/>
          <w:lang w:val="en-US"/>
        </w:rPr>
        <w:instrText>prospective</w:instrText>
      </w:r>
      <w:r w:rsidR="00C37789" w:rsidRPr="000322E4">
        <w:rPr>
          <w:b/>
          <w:bCs/>
        </w:rPr>
        <w:instrText xml:space="preserve"> </w:instrText>
      </w:r>
      <w:r w:rsidR="00C37789" w:rsidRPr="000322E4">
        <w:rPr>
          <w:b/>
          <w:bCs/>
          <w:lang w:val="en-US"/>
        </w:rPr>
        <w:instrText>study</w:instrText>
      </w:r>
      <w:r w:rsidR="00C37789" w:rsidRPr="000322E4">
        <w:rPr>
          <w:b/>
          <w:bCs/>
        </w:rPr>
        <w:instrText xml:space="preserve"> </w:instrText>
      </w:r>
      <w:r w:rsidR="00C37789" w:rsidRPr="000322E4">
        <w:rPr>
          <w:b/>
          <w:bCs/>
          <w:lang w:val="en-US"/>
        </w:rPr>
        <w:instrText>has</w:instrText>
      </w:r>
      <w:r w:rsidR="00C37789" w:rsidRPr="000322E4">
        <w:rPr>
          <w:b/>
          <w:bCs/>
        </w:rPr>
        <w:instrText xml:space="preserve"> </w:instrText>
      </w:r>
      <w:r w:rsidR="00C37789" w:rsidRPr="000322E4">
        <w:rPr>
          <w:b/>
          <w:bCs/>
          <w:lang w:val="en-US"/>
        </w:rPr>
        <w:instrText>been</w:instrText>
      </w:r>
      <w:r w:rsidR="00C37789" w:rsidRPr="000322E4">
        <w:rPr>
          <w:b/>
          <w:bCs/>
        </w:rPr>
        <w:instrText xml:space="preserve"> </w:instrText>
      </w:r>
      <w:r w:rsidR="00C37789" w:rsidRPr="000322E4">
        <w:rPr>
          <w:b/>
          <w:bCs/>
          <w:lang w:val="en-US"/>
        </w:rPr>
        <w:instrText>done</w:instrText>
      </w:r>
      <w:r w:rsidR="00C37789" w:rsidRPr="000322E4">
        <w:rPr>
          <w:b/>
          <w:bCs/>
        </w:rPr>
        <w:instrText xml:space="preserve"> </w:instrText>
      </w:r>
      <w:r w:rsidR="00C37789" w:rsidRPr="000322E4">
        <w:rPr>
          <w:b/>
          <w:bCs/>
          <w:lang w:val="en-US"/>
        </w:rPr>
        <w:instrText>in</w:instrText>
      </w:r>
      <w:r w:rsidR="00C37789" w:rsidRPr="000322E4">
        <w:rPr>
          <w:b/>
          <w:bCs/>
        </w:rPr>
        <w:instrText xml:space="preserve">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over</w:instrText>
      </w:r>
      <w:r w:rsidR="00C37789" w:rsidRPr="000322E4">
        <w:rPr>
          <w:b/>
          <w:bCs/>
        </w:rPr>
        <w:instrText xml:space="preserve"> 80 </w:instrText>
      </w:r>
      <w:r w:rsidR="00C37789" w:rsidRPr="000322E4">
        <w:rPr>
          <w:b/>
          <w:bCs/>
          <w:lang w:val="en-US"/>
        </w:rPr>
        <w:instrText>years</w:instrText>
      </w:r>
      <w:r w:rsidR="00C37789" w:rsidRPr="000322E4">
        <w:rPr>
          <w:b/>
          <w:bCs/>
        </w:rPr>
        <w:instrText xml:space="preserve"> </w:instrText>
      </w:r>
      <w:r w:rsidR="00C37789" w:rsidRPr="000322E4">
        <w:rPr>
          <w:b/>
          <w:bCs/>
          <w:lang w:val="en-US"/>
        </w:rPr>
        <w:instrText>old</w:instrText>
      </w:r>
      <w:r w:rsidR="00C37789" w:rsidRPr="000322E4">
        <w:rPr>
          <w:b/>
          <w:bCs/>
        </w:rPr>
        <w:instrText xml:space="preserve">. </w:instrText>
      </w:r>
      <w:r w:rsidR="00C37789" w:rsidRPr="000322E4">
        <w:rPr>
          <w:b/>
          <w:bCs/>
          <w:lang w:val="en-US"/>
        </w:rPr>
        <w:instrText>We</w:instrText>
      </w:r>
      <w:r w:rsidR="00C37789" w:rsidRPr="000322E4">
        <w:rPr>
          <w:b/>
          <w:bCs/>
        </w:rPr>
        <w:instrText xml:space="preserve"> </w:instrText>
      </w:r>
      <w:r w:rsidR="00C37789" w:rsidRPr="000322E4">
        <w:rPr>
          <w:b/>
          <w:bCs/>
          <w:lang w:val="en-US"/>
        </w:rPr>
        <w:instrText>aimed</w:instrText>
      </w:r>
      <w:r w:rsidR="00C37789" w:rsidRPr="000322E4">
        <w:rPr>
          <w:b/>
          <w:bCs/>
        </w:rPr>
        <w:instrText xml:space="preserve"> </w:instrText>
      </w:r>
      <w:r w:rsidR="00C37789" w:rsidRPr="000322E4">
        <w:rPr>
          <w:b/>
          <w:bCs/>
          <w:lang w:val="en-US"/>
        </w:rPr>
        <w:instrText>to</w:instrText>
      </w:r>
      <w:r w:rsidR="00C37789" w:rsidRPr="000322E4">
        <w:rPr>
          <w:b/>
          <w:bCs/>
        </w:rPr>
        <w:instrText xml:space="preserve"> </w:instrText>
      </w:r>
      <w:r w:rsidR="00C37789" w:rsidRPr="000322E4">
        <w:rPr>
          <w:b/>
          <w:bCs/>
          <w:lang w:val="en-US"/>
        </w:rPr>
        <w:instrText>investigate</w:instrText>
      </w:r>
      <w:r w:rsidR="00C37789" w:rsidRPr="000322E4">
        <w:rPr>
          <w:b/>
          <w:bCs/>
        </w:rPr>
        <w:instrText xml:space="preserve"> </w:instrText>
      </w:r>
      <w:r w:rsidR="00C37789" w:rsidRPr="000322E4">
        <w:rPr>
          <w:b/>
          <w:bCs/>
          <w:lang w:val="en-US"/>
        </w:rPr>
        <w:instrText>the</w:instrText>
      </w:r>
      <w:r w:rsidR="00C37789" w:rsidRPr="000322E4">
        <w:rPr>
          <w:b/>
          <w:bCs/>
        </w:rPr>
        <w:instrText xml:space="preserve"> </w:instrText>
      </w:r>
      <w:r w:rsidR="00C37789" w:rsidRPr="000322E4">
        <w:rPr>
          <w:b/>
          <w:bCs/>
          <w:lang w:val="en-US"/>
        </w:rPr>
        <w:instrText>efficacy</w:instrText>
      </w:r>
      <w:r w:rsidR="00C37789" w:rsidRPr="000322E4">
        <w:rPr>
          <w:b/>
          <w:bCs/>
        </w:rPr>
        <w:instrText xml:space="preserve"> </w:instrText>
      </w:r>
      <w:r w:rsidR="00C37789" w:rsidRPr="000322E4">
        <w:rPr>
          <w:b/>
          <w:bCs/>
          <w:lang w:val="en-US"/>
        </w:rPr>
        <w:instrText>and</w:instrText>
      </w:r>
      <w:r w:rsidR="00C37789" w:rsidRPr="000322E4">
        <w:rPr>
          <w:b/>
          <w:bCs/>
        </w:rPr>
        <w:instrText xml:space="preserve"> </w:instrText>
      </w:r>
      <w:r w:rsidR="00C37789" w:rsidRPr="000322E4">
        <w:rPr>
          <w:b/>
          <w:bCs/>
          <w:lang w:val="en-US"/>
        </w:rPr>
        <w:instrText>safety</w:instrText>
      </w:r>
      <w:r w:rsidR="00C37789" w:rsidRPr="000322E4">
        <w:rPr>
          <w:b/>
          <w:bCs/>
        </w:rPr>
        <w:instrText xml:space="preserve"> </w:instrText>
      </w:r>
      <w:r w:rsidR="00C37789" w:rsidRPr="000322E4">
        <w:rPr>
          <w:b/>
          <w:bCs/>
          <w:lang w:val="en-US"/>
        </w:rPr>
        <w:instrText>of</w:instrText>
      </w:r>
      <w:r w:rsidR="00C37789" w:rsidRPr="000322E4">
        <w:rPr>
          <w:b/>
          <w:bCs/>
        </w:rPr>
        <w:instrText xml:space="preserve"> </w:instrText>
      </w:r>
      <w:r w:rsidR="00C37789" w:rsidRPr="000322E4">
        <w:rPr>
          <w:b/>
          <w:bCs/>
          <w:lang w:val="en-US"/>
        </w:rPr>
        <w:instrText>a</w:instrText>
      </w:r>
      <w:r w:rsidR="00C37789" w:rsidRPr="000322E4">
        <w:rPr>
          <w:b/>
          <w:bCs/>
        </w:rPr>
        <w:instrText xml:space="preserve"> </w:instrText>
      </w:r>
      <w:r w:rsidR="00C37789" w:rsidRPr="000322E4">
        <w:rPr>
          <w:b/>
          <w:bCs/>
          <w:lang w:val="en-US"/>
        </w:rPr>
        <w:instrText>decreased</w:instrText>
      </w:r>
      <w:r w:rsidR="00C37789" w:rsidRPr="000322E4">
        <w:rPr>
          <w:b/>
          <w:bCs/>
        </w:rPr>
        <w:instrText xml:space="preserve"> </w:instrText>
      </w:r>
      <w:r w:rsidR="00C37789" w:rsidRPr="000322E4">
        <w:rPr>
          <w:b/>
          <w:bCs/>
          <w:lang w:val="en-US"/>
        </w:rPr>
        <w:instrText>dose</w:instrText>
      </w:r>
      <w:r w:rsidR="00C37789" w:rsidRPr="000322E4">
        <w:rPr>
          <w:b/>
          <w:bCs/>
        </w:rPr>
        <w:instrText xml:space="preserve"> </w:instrText>
      </w:r>
      <w:r w:rsidR="00C37789" w:rsidRPr="000322E4">
        <w:rPr>
          <w:b/>
          <w:bCs/>
          <w:lang w:val="en-US"/>
        </w:rPr>
        <w:instrText>of</w:instrText>
      </w:r>
      <w:r w:rsidR="00C37789" w:rsidRPr="000322E4">
        <w:rPr>
          <w:b/>
          <w:bCs/>
        </w:rPr>
        <w:instrText xml:space="preserve"> </w:instrText>
      </w:r>
      <w:r w:rsidR="00C37789" w:rsidRPr="000322E4">
        <w:rPr>
          <w:b/>
          <w:bCs/>
          <w:lang w:val="en-US"/>
        </w:rPr>
        <w:instrText>CHOP</w:instrText>
      </w:r>
      <w:r w:rsidR="00C37789" w:rsidRPr="000322E4">
        <w:rPr>
          <w:b/>
          <w:bCs/>
        </w:rPr>
        <w:instrText xml:space="preserve"> (</w:instrText>
      </w:r>
      <w:r w:rsidR="00C37789" w:rsidRPr="000322E4">
        <w:rPr>
          <w:b/>
          <w:bCs/>
          <w:lang w:val="en-US"/>
        </w:rPr>
        <w:instrText>doxorubicin</w:instrText>
      </w:r>
      <w:r w:rsidR="00C37789" w:rsidRPr="000322E4">
        <w:rPr>
          <w:b/>
          <w:bCs/>
        </w:rPr>
        <w:instrText xml:space="preserve">, </w:instrText>
      </w:r>
      <w:r w:rsidR="00C37789" w:rsidRPr="000322E4">
        <w:rPr>
          <w:b/>
          <w:bCs/>
          <w:lang w:val="en-US"/>
        </w:rPr>
        <w:instrText>cyclophosphamide</w:instrText>
      </w:r>
      <w:r w:rsidR="00C37789" w:rsidRPr="000322E4">
        <w:rPr>
          <w:b/>
          <w:bCs/>
        </w:rPr>
        <w:instrText xml:space="preserve">, </w:instrText>
      </w:r>
      <w:r w:rsidR="00C37789" w:rsidRPr="000322E4">
        <w:rPr>
          <w:b/>
          <w:bCs/>
          <w:lang w:val="en-US"/>
        </w:rPr>
        <w:instrText>vincristine</w:instrText>
      </w:r>
      <w:r w:rsidR="00C37789" w:rsidRPr="000322E4">
        <w:rPr>
          <w:b/>
          <w:bCs/>
        </w:rPr>
        <w:instrText xml:space="preserve">, </w:instrText>
      </w:r>
      <w:r w:rsidR="00C37789" w:rsidRPr="000322E4">
        <w:rPr>
          <w:b/>
          <w:bCs/>
          <w:lang w:val="en-US"/>
        </w:rPr>
        <w:instrText>and</w:instrText>
      </w:r>
      <w:r w:rsidR="00C37789" w:rsidRPr="000322E4">
        <w:rPr>
          <w:b/>
          <w:bCs/>
        </w:rPr>
        <w:instrText xml:space="preserve"> </w:instrText>
      </w:r>
      <w:r w:rsidR="00C37789" w:rsidRPr="000322E4">
        <w:rPr>
          <w:b/>
          <w:bCs/>
          <w:lang w:val="en-US"/>
        </w:rPr>
        <w:instrText>prednisone</w:instrText>
      </w:r>
      <w:r w:rsidR="00C37789" w:rsidRPr="000322E4">
        <w:rPr>
          <w:b/>
          <w:bCs/>
        </w:rPr>
        <w:instrText xml:space="preserve">) </w:instrText>
      </w:r>
      <w:r w:rsidR="00C37789" w:rsidRPr="000322E4">
        <w:rPr>
          <w:b/>
          <w:bCs/>
          <w:lang w:val="en-US"/>
        </w:rPr>
        <w:instrText>chemotherapy</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a</w:instrText>
      </w:r>
      <w:r w:rsidR="00C37789" w:rsidRPr="000322E4">
        <w:rPr>
          <w:b/>
          <w:bCs/>
        </w:rPr>
        <w:instrText xml:space="preserve"> </w:instrText>
      </w:r>
      <w:r w:rsidR="00C37789" w:rsidRPr="000322E4">
        <w:rPr>
          <w:b/>
          <w:bCs/>
          <w:lang w:val="en-US"/>
        </w:rPr>
        <w:instrText>conventional</w:instrText>
      </w:r>
      <w:r w:rsidR="00C37789" w:rsidRPr="000322E4">
        <w:rPr>
          <w:b/>
          <w:bCs/>
        </w:rPr>
        <w:instrText xml:space="preserve"> </w:instrText>
      </w:r>
      <w:r w:rsidR="00C37789" w:rsidRPr="000322E4">
        <w:rPr>
          <w:b/>
          <w:bCs/>
          <w:lang w:val="en-US"/>
        </w:rPr>
        <w:instrText>dose</w:instrText>
      </w:r>
      <w:r w:rsidR="00C37789" w:rsidRPr="000322E4">
        <w:rPr>
          <w:b/>
          <w:bCs/>
        </w:rPr>
        <w:instrText xml:space="preserve"> </w:instrText>
      </w:r>
      <w:r w:rsidR="00C37789" w:rsidRPr="000322E4">
        <w:rPr>
          <w:b/>
          <w:bCs/>
          <w:lang w:val="en-US"/>
        </w:rPr>
        <w:instrText>of</w:instrText>
      </w:r>
      <w:r w:rsidR="00C37789" w:rsidRPr="000322E4">
        <w:rPr>
          <w:b/>
          <w:bCs/>
        </w:rPr>
        <w:instrText xml:space="preserve"> </w:instrText>
      </w:r>
      <w:r w:rsidR="00C37789" w:rsidRPr="000322E4">
        <w:rPr>
          <w:b/>
          <w:bCs/>
          <w:lang w:val="en-US"/>
        </w:rPr>
        <w:instrText>rituximab</w:instrText>
      </w:r>
      <w:r w:rsidR="00C37789" w:rsidRPr="000322E4">
        <w:rPr>
          <w:b/>
          <w:bCs/>
        </w:rPr>
        <w:instrText xml:space="preserve"> </w:instrText>
      </w:r>
      <w:r w:rsidR="00C37789" w:rsidRPr="000322E4">
        <w:rPr>
          <w:b/>
          <w:bCs/>
          <w:lang w:val="en-US"/>
        </w:rPr>
        <w:instrText>in</w:instrText>
      </w:r>
      <w:r w:rsidR="00C37789" w:rsidRPr="000322E4">
        <w:rPr>
          <w:b/>
          <w:bCs/>
        </w:rPr>
        <w:instrText xml:space="preserve"> </w:instrText>
      </w:r>
      <w:r w:rsidR="00C37789" w:rsidRPr="000322E4">
        <w:rPr>
          <w:b/>
          <w:bCs/>
          <w:lang w:val="en-US"/>
        </w:rPr>
        <w:instrText>elderly</w:instrText>
      </w:r>
      <w:r w:rsidR="00C37789" w:rsidRPr="000322E4">
        <w:rPr>
          <w:b/>
          <w:bCs/>
        </w:rPr>
        <w:instrText xml:space="preserve">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diffuse</w:instrText>
      </w:r>
      <w:r w:rsidR="00C37789" w:rsidRPr="000322E4">
        <w:rPr>
          <w:b/>
          <w:bCs/>
        </w:rPr>
        <w:instrText xml:space="preserve"> </w:instrText>
      </w:r>
      <w:r w:rsidR="00C37789" w:rsidRPr="000322E4">
        <w:rPr>
          <w:b/>
          <w:bCs/>
          <w:lang w:val="en-US"/>
        </w:rPr>
        <w:instrText>large</w:instrText>
      </w:r>
      <w:r w:rsidR="00C37789" w:rsidRPr="000322E4">
        <w:rPr>
          <w:b/>
          <w:bCs/>
        </w:rPr>
        <w:instrText xml:space="preserve"> </w:instrText>
      </w:r>
      <w:r w:rsidR="00C37789" w:rsidRPr="000322E4">
        <w:rPr>
          <w:b/>
          <w:bCs/>
          <w:lang w:val="en-US"/>
        </w:rPr>
        <w:instrText>B</w:instrText>
      </w:r>
      <w:r w:rsidR="00C37789" w:rsidRPr="000322E4">
        <w:rPr>
          <w:b/>
          <w:bCs/>
        </w:rPr>
        <w:instrText>-</w:instrText>
      </w:r>
      <w:r w:rsidR="00C37789" w:rsidRPr="000322E4">
        <w:rPr>
          <w:b/>
          <w:bCs/>
          <w:lang w:val="en-US"/>
        </w:rPr>
        <w:instrText>cell</w:instrText>
      </w:r>
      <w:r w:rsidR="00C37789" w:rsidRPr="000322E4">
        <w:rPr>
          <w:b/>
          <w:bCs/>
        </w:rPr>
        <w:instrText xml:space="preserve"> </w:instrText>
      </w:r>
      <w:r w:rsidR="00C37789" w:rsidRPr="000322E4">
        <w:rPr>
          <w:b/>
          <w:bCs/>
          <w:lang w:val="en-US"/>
        </w:rPr>
        <w:instrText>lymphoma</w:instrText>
      </w:r>
      <w:r w:rsidR="00C37789" w:rsidRPr="000322E4">
        <w:rPr>
          <w:b/>
          <w:bCs/>
        </w:rPr>
        <w:instrText xml:space="preserve">. </w:instrText>
      </w:r>
      <w:r w:rsidR="00C37789" w:rsidRPr="000322E4">
        <w:rPr>
          <w:b/>
          <w:bCs/>
          <w:lang w:val="en-US"/>
        </w:rPr>
        <w:instrText>Methods</w:instrText>
      </w:r>
      <w:r w:rsidR="00C37789" w:rsidRPr="000322E4">
        <w:rPr>
          <w:b/>
          <w:bCs/>
        </w:rPr>
        <w:instrText xml:space="preserve">: </w:instrText>
      </w:r>
      <w:r w:rsidR="00C37789" w:rsidRPr="000322E4">
        <w:rPr>
          <w:b/>
          <w:bCs/>
          <w:lang w:val="en-US"/>
        </w:rPr>
        <w:instrText>We</w:instrText>
      </w:r>
      <w:r w:rsidR="00C37789" w:rsidRPr="000322E4">
        <w:rPr>
          <w:b/>
          <w:bCs/>
        </w:rPr>
        <w:instrText xml:space="preserve"> </w:instrText>
      </w:r>
      <w:r w:rsidR="00C37789" w:rsidRPr="000322E4">
        <w:rPr>
          <w:b/>
          <w:bCs/>
          <w:lang w:val="en-US"/>
        </w:rPr>
        <w:instrText>did</w:instrText>
      </w:r>
      <w:r w:rsidR="00C37789" w:rsidRPr="000322E4">
        <w:rPr>
          <w:b/>
          <w:bCs/>
        </w:rPr>
        <w:instrText xml:space="preserve"> </w:instrText>
      </w:r>
      <w:r w:rsidR="00C37789" w:rsidRPr="000322E4">
        <w:rPr>
          <w:b/>
          <w:bCs/>
          <w:lang w:val="en-US"/>
        </w:rPr>
        <w:instrText>a</w:instrText>
      </w:r>
      <w:r w:rsidR="00C37789" w:rsidRPr="000322E4">
        <w:rPr>
          <w:b/>
          <w:bCs/>
        </w:rPr>
        <w:instrText xml:space="preserve"> </w:instrText>
      </w:r>
      <w:r w:rsidR="00C37789" w:rsidRPr="000322E4">
        <w:rPr>
          <w:b/>
          <w:bCs/>
          <w:lang w:val="en-US"/>
        </w:rPr>
        <w:instrText>prospective</w:instrText>
      </w:r>
      <w:r w:rsidR="00C37789" w:rsidRPr="000322E4">
        <w:rPr>
          <w:b/>
          <w:bCs/>
        </w:rPr>
        <w:instrText xml:space="preserve">, </w:instrText>
      </w:r>
      <w:r w:rsidR="00C37789" w:rsidRPr="000322E4">
        <w:rPr>
          <w:b/>
          <w:bCs/>
          <w:lang w:val="en-US"/>
        </w:rPr>
        <w:instrText>multicentre</w:instrText>
      </w:r>
      <w:r w:rsidR="00C37789" w:rsidRPr="000322E4">
        <w:rPr>
          <w:b/>
          <w:bCs/>
        </w:rPr>
        <w:instrText xml:space="preserve">, </w:instrText>
      </w:r>
      <w:r w:rsidR="00C37789" w:rsidRPr="000322E4">
        <w:rPr>
          <w:b/>
          <w:bCs/>
          <w:lang w:val="en-US"/>
        </w:rPr>
        <w:instrText>single</w:instrText>
      </w:r>
      <w:r w:rsidR="00C37789" w:rsidRPr="000322E4">
        <w:rPr>
          <w:b/>
          <w:bCs/>
        </w:rPr>
        <w:instrText>-</w:instrText>
      </w:r>
      <w:r w:rsidR="00C37789" w:rsidRPr="000322E4">
        <w:rPr>
          <w:b/>
          <w:bCs/>
          <w:lang w:val="en-US"/>
        </w:rPr>
        <w:instrText>arm</w:instrText>
      </w:r>
      <w:r w:rsidR="00C37789" w:rsidRPr="000322E4">
        <w:rPr>
          <w:b/>
          <w:bCs/>
        </w:rPr>
        <w:instrText xml:space="preserve">, </w:instrText>
      </w:r>
      <w:r w:rsidR="00C37789" w:rsidRPr="000322E4">
        <w:rPr>
          <w:b/>
          <w:bCs/>
          <w:lang w:val="en-US"/>
        </w:rPr>
        <w:instrText>phase</w:instrText>
      </w:r>
      <w:r w:rsidR="00C37789" w:rsidRPr="000322E4">
        <w:rPr>
          <w:b/>
          <w:bCs/>
        </w:rPr>
        <w:instrText xml:space="preserve"> 2 </w:instrText>
      </w:r>
      <w:r w:rsidR="00C37789" w:rsidRPr="000322E4">
        <w:rPr>
          <w:b/>
          <w:bCs/>
          <w:lang w:val="en-US"/>
        </w:rPr>
        <w:instrText>study</w:instrText>
      </w:r>
      <w:r w:rsidR="00C37789" w:rsidRPr="000322E4">
        <w:rPr>
          <w:b/>
          <w:bCs/>
        </w:rPr>
        <w:instrText xml:space="preserve"> </w:instrText>
      </w:r>
      <w:r w:rsidR="00C37789" w:rsidRPr="000322E4">
        <w:rPr>
          <w:b/>
          <w:bCs/>
          <w:lang w:val="en-US"/>
        </w:rPr>
        <w:instrText>of</w:instrText>
      </w:r>
      <w:r w:rsidR="00C37789" w:rsidRPr="000322E4">
        <w:rPr>
          <w:b/>
          <w:bCs/>
        </w:rPr>
        <w:instrText xml:space="preserve">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aged</w:instrText>
      </w:r>
      <w:r w:rsidR="00C37789" w:rsidRPr="000322E4">
        <w:rPr>
          <w:b/>
          <w:bCs/>
        </w:rPr>
        <w:instrText xml:space="preserve"> </w:instrText>
      </w:r>
      <w:r w:rsidR="00C37789" w:rsidRPr="000322E4">
        <w:rPr>
          <w:b/>
          <w:bCs/>
          <w:lang w:val="en-US"/>
        </w:rPr>
        <w:instrText>over</w:instrText>
      </w:r>
      <w:r w:rsidR="00C37789" w:rsidRPr="000322E4">
        <w:rPr>
          <w:b/>
          <w:bCs/>
        </w:rPr>
        <w:instrText xml:space="preserve"> 80 </w:instrText>
      </w:r>
      <w:r w:rsidR="00C37789" w:rsidRPr="000322E4">
        <w:rPr>
          <w:b/>
          <w:bCs/>
          <w:lang w:val="en-US"/>
        </w:rPr>
        <w:instrText>years</w:instrText>
      </w:r>
      <w:r w:rsidR="00C37789" w:rsidRPr="000322E4">
        <w:rPr>
          <w:b/>
          <w:bCs/>
        </w:rPr>
        <w:instrText xml:space="preserve"> </w:instrText>
      </w:r>
      <w:r w:rsidR="00C37789" w:rsidRPr="000322E4">
        <w:rPr>
          <w:b/>
          <w:bCs/>
          <w:lang w:val="en-US"/>
        </w:rPr>
        <w:instrText>who</w:instrText>
      </w:r>
      <w:r w:rsidR="00C37789" w:rsidRPr="000322E4">
        <w:rPr>
          <w:b/>
          <w:bCs/>
        </w:rPr>
        <w:instrText xml:space="preserve"> </w:instrText>
      </w:r>
      <w:r w:rsidR="00C37789" w:rsidRPr="000322E4">
        <w:rPr>
          <w:b/>
          <w:bCs/>
          <w:lang w:val="en-US"/>
        </w:rPr>
        <w:instrText>had</w:instrText>
      </w:r>
      <w:r w:rsidR="00C37789" w:rsidRPr="000322E4">
        <w:rPr>
          <w:b/>
          <w:bCs/>
        </w:rPr>
        <w:instrText xml:space="preserve"> </w:instrText>
      </w:r>
      <w:r w:rsidR="00C37789" w:rsidRPr="000322E4">
        <w:rPr>
          <w:b/>
          <w:bCs/>
          <w:lang w:val="en-US"/>
        </w:rPr>
        <w:instrText>diffuse</w:instrText>
      </w:r>
      <w:r w:rsidR="00C37789" w:rsidRPr="000322E4">
        <w:rPr>
          <w:b/>
          <w:bCs/>
        </w:rPr>
        <w:instrText xml:space="preserve"> </w:instrText>
      </w:r>
      <w:r w:rsidR="00C37789" w:rsidRPr="000322E4">
        <w:rPr>
          <w:b/>
          <w:bCs/>
          <w:lang w:val="en-US"/>
        </w:rPr>
        <w:instrText>large</w:instrText>
      </w:r>
      <w:r w:rsidR="00C37789" w:rsidRPr="000322E4">
        <w:rPr>
          <w:b/>
          <w:bCs/>
        </w:rPr>
        <w:instrText xml:space="preserve"> </w:instrText>
      </w:r>
      <w:r w:rsidR="00C37789" w:rsidRPr="000322E4">
        <w:rPr>
          <w:b/>
          <w:bCs/>
          <w:lang w:val="en-US"/>
        </w:rPr>
        <w:instrText>B</w:instrText>
      </w:r>
      <w:r w:rsidR="00C37789" w:rsidRPr="000322E4">
        <w:rPr>
          <w:b/>
          <w:bCs/>
        </w:rPr>
        <w:instrText>-</w:instrText>
      </w:r>
      <w:r w:rsidR="00C37789" w:rsidRPr="000322E4">
        <w:rPr>
          <w:b/>
          <w:bCs/>
          <w:lang w:val="en-US"/>
        </w:rPr>
        <w:instrText>cell</w:instrText>
      </w:r>
      <w:r w:rsidR="00C37789" w:rsidRPr="000322E4">
        <w:rPr>
          <w:b/>
          <w:bCs/>
        </w:rPr>
        <w:instrText xml:space="preserve"> </w:instrText>
      </w:r>
      <w:r w:rsidR="00C37789" w:rsidRPr="000322E4">
        <w:rPr>
          <w:b/>
          <w:bCs/>
          <w:lang w:val="en-US"/>
        </w:rPr>
        <w:instrText>lymphoma</w:instrText>
      </w:r>
      <w:r w:rsidR="00C37789" w:rsidRPr="000322E4">
        <w:rPr>
          <w:b/>
          <w:bCs/>
        </w:rPr>
        <w:instrText xml:space="preserve">.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were</w:instrText>
      </w:r>
      <w:r w:rsidR="00C37789" w:rsidRPr="000322E4">
        <w:rPr>
          <w:b/>
          <w:bCs/>
        </w:rPr>
        <w:instrText xml:space="preserve"> </w:instrText>
      </w:r>
      <w:r w:rsidR="00C37789" w:rsidRPr="000322E4">
        <w:rPr>
          <w:b/>
          <w:bCs/>
          <w:lang w:val="en-US"/>
        </w:rPr>
        <w:instrText>included</w:instrText>
      </w:r>
      <w:r w:rsidR="00C37789" w:rsidRPr="000322E4">
        <w:rPr>
          <w:b/>
          <w:bCs/>
        </w:rPr>
        <w:instrText xml:space="preserve"> </w:instrText>
      </w:r>
      <w:r w:rsidR="00C37789" w:rsidRPr="000322E4">
        <w:rPr>
          <w:b/>
          <w:bCs/>
          <w:lang w:val="en-US"/>
        </w:rPr>
        <w:instrText>from</w:instrText>
      </w:r>
      <w:r w:rsidR="00C37789" w:rsidRPr="000322E4">
        <w:rPr>
          <w:b/>
          <w:bCs/>
        </w:rPr>
        <w:instrText xml:space="preserve"> 38 </w:instrText>
      </w:r>
      <w:r w:rsidR="00C37789" w:rsidRPr="000322E4">
        <w:rPr>
          <w:b/>
          <w:bCs/>
          <w:lang w:val="en-US"/>
        </w:rPr>
        <w:instrText>centres</w:instrText>
      </w:r>
      <w:r w:rsidR="00C37789" w:rsidRPr="000322E4">
        <w:rPr>
          <w:b/>
          <w:bCs/>
        </w:rPr>
        <w:instrText xml:space="preserve"> </w:instrText>
      </w:r>
      <w:r w:rsidR="00C37789" w:rsidRPr="000322E4">
        <w:rPr>
          <w:b/>
          <w:bCs/>
          <w:lang w:val="en-US"/>
        </w:rPr>
        <w:instrText>in</w:instrText>
      </w:r>
      <w:r w:rsidR="00C37789" w:rsidRPr="000322E4">
        <w:rPr>
          <w:b/>
          <w:bCs/>
        </w:rPr>
        <w:instrText xml:space="preserve"> </w:instrText>
      </w:r>
      <w:r w:rsidR="00C37789" w:rsidRPr="000322E4">
        <w:rPr>
          <w:b/>
          <w:bCs/>
          <w:lang w:val="en-US"/>
        </w:rPr>
        <w:instrText>France</w:instrText>
      </w:r>
      <w:r w:rsidR="00C37789" w:rsidRPr="000322E4">
        <w:rPr>
          <w:b/>
          <w:bCs/>
        </w:rPr>
        <w:instrText xml:space="preserve"> </w:instrText>
      </w:r>
      <w:r w:rsidR="00C37789" w:rsidRPr="000322E4">
        <w:rPr>
          <w:b/>
          <w:bCs/>
          <w:lang w:val="en-US"/>
        </w:rPr>
        <w:instrText>and</w:instrText>
      </w:r>
      <w:r w:rsidR="00C37789" w:rsidRPr="000322E4">
        <w:rPr>
          <w:b/>
          <w:bCs/>
        </w:rPr>
        <w:instrText xml:space="preserve"> </w:instrText>
      </w:r>
      <w:r w:rsidR="00C37789" w:rsidRPr="000322E4">
        <w:rPr>
          <w:b/>
          <w:bCs/>
          <w:lang w:val="en-US"/>
        </w:rPr>
        <w:instrText>Belgium</w:instrText>
      </w:r>
      <w:r w:rsidR="00C37789" w:rsidRPr="000322E4">
        <w:rPr>
          <w:b/>
          <w:bCs/>
        </w:rPr>
        <w:instrText xml:space="preserve">. </w:instrText>
      </w:r>
      <w:r w:rsidR="00C37789" w:rsidRPr="000322E4">
        <w:rPr>
          <w:b/>
          <w:bCs/>
          <w:lang w:val="en-US"/>
        </w:rPr>
        <w:instrText>All</w:instrText>
      </w:r>
      <w:r w:rsidR="00C37789" w:rsidRPr="000322E4">
        <w:rPr>
          <w:b/>
          <w:bCs/>
        </w:rPr>
        <w:instrText xml:space="preserve">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received</w:instrText>
      </w:r>
      <w:r w:rsidR="00C37789" w:rsidRPr="000322E4">
        <w:rPr>
          <w:b/>
          <w:bCs/>
        </w:rPr>
        <w:instrText xml:space="preserve"> </w:instrText>
      </w:r>
      <w:r w:rsidR="00C37789" w:rsidRPr="000322E4">
        <w:rPr>
          <w:b/>
          <w:bCs/>
          <w:lang w:val="en-US"/>
        </w:rPr>
        <w:instrText>six</w:instrText>
      </w:r>
      <w:r w:rsidR="00C37789" w:rsidRPr="000322E4">
        <w:rPr>
          <w:b/>
          <w:bCs/>
        </w:rPr>
        <w:instrText xml:space="preserve"> </w:instrText>
      </w:r>
      <w:r w:rsidR="00C37789" w:rsidRPr="000322E4">
        <w:rPr>
          <w:b/>
          <w:bCs/>
          <w:lang w:val="en-US"/>
        </w:rPr>
        <w:instrText>cycles</w:instrText>
      </w:r>
      <w:r w:rsidR="00C37789" w:rsidRPr="000322E4">
        <w:rPr>
          <w:b/>
          <w:bCs/>
        </w:rPr>
        <w:instrText xml:space="preserve"> </w:instrText>
      </w:r>
      <w:r w:rsidR="00C37789" w:rsidRPr="000322E4">
        <w:rPr>
          <w:b/>
          <w:bCs/>
          <w:lang w:val="en-US"/>
        </w:rPr>
        <w:instrText>of</w:instrText>
      </w:r>
      <w:r w:rsidR="00C37789" w:rsidRPr="000322E4">
        <w:rPr>
          <w:b/>
          <w:bCs/>
        </w:rPr>
        <w:instrText xml:space="preserve"> </w:instrText>
      </w:r>
      <w:r w:rsidR="00C37789" w:rsidRPr="000322E4">
        <w:rPr>
          <w:b/>
          <w:bCs/>
          <w:lang w:val="en-US"/>
        </w:rPr>
        <w:instrText>rituximab</w:instrText>
      </w:r>
      <w:r w:rsidR="00C37789" w:rsidRPr="000322E4">
        <w:rPr>
          <w:b/>
          <w:bCs/>
        </w:rPr>
        <w:instrText xml:space="preserve"> </w:instrText>
      </w:r>
      <w:r w:rsidR="00C37789" w:rsidRPr="000322E4">
        <w:rPr>
          <w:b/>
          <w:bCs/>
          <w:lang w:val="en-US"/>
        </w:rPr>
        <w:instrText>combined</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low</w:instrText>
      </w:r>
      <w:r w:rsidR="00C37789" w:rsidRPr="000322E4">
        <w:rPr>
          <w:b/>
          <w:bCs/>
        </w:rPr>
        <w:instrText>-</w:instrText>
      </w:r>
      <w:r w:rsidR="00C37789" w:rsidRPr="000322E4">
        <w:rPr>
          <w:b/>
          <w:bCs/>
          <w:lang w:val="en-US"/>
        </w:rPr>
        <w:instrText>dose</w:instrText>
      </w:r>
      <w:r w:rsidR="00C37789" w:rsidRPr="000322E4">
        <w:rPr>
          <w:b/>
          <w:bCs/>
        </w:rPr>
        <w:instrText xml:space="preserve"> </w:instrText>
      </w:r>
      <w:r w:rsidR="00C37789" w:rsidRPr="000322E4">
        <w:rPr>
          <w:b/>
          <w:bCs/>
          <w:lang w:val="en-US"/>
        </w:rPr>
        <w:instrText>CHOP</w:instrText>
      </w:r>
      <w:r w:rsidR="00C37789" w:rsidRPr="000322E4">
        <w:rPr>
          <w:b/>
          <w:bCs/>
        </w:rPr>
        <w:instrText xml:space="preserve"> (</w:instrText>
      </w:r>
      <w:r w:rsidR="00C37789" w:rsidRPr="000322E4">
        <w:rPr>
          <w:b/>
          <w:bCs/>
          <w:lang w:val="en-US"/>
        </w:rPr>
        <w:instrText>R</w:instrText>
      </w:r>
      <w:r w:rsidR="00C37789" w:rsidRPr="000322E4">
        <w:rPr>
          <w:b/>
          <w:bCs/>
        </w:rPr>
        <w:instrText>-</w:instrText>
      </w:r>
      <w:r w:rsidR="00C37789" w:rsidRPr="000322E4">
        <w:rPr>
          <w:b/>
          <w:bCs/>
          <w:lang w:val="en-US"/>
        </w:rPr>
        <w:instrText>miniCHOP</w:instrText>
      </w:r>
      <w:r w:rsidR="00C37789" w:rsidRPr="000322E4">
        <w:rPr>
          <w:b/>
          <w:bCs/>
        </w:rPr>
        <w:instrText xml:space="preserve">) </w:instrText>
      </w:r>
      <w:r w:rsidR="00C37789" w:rsidRPr="000322E4">
        <w:rPr>
          <w:b/>
          <w:bCs/>
          <w:lang w:val="en-US"/>
        </w:rPr>
        <w:instrText>at</w:instrText>
      </w:r>
      <w:r w:rsidR="00C37789" w:rsidRPr="000322E4">
        <w:rPr>
          <w:b/>
          <w:bCs/>
        </w:rPr>
        <w:instrText xml:space="preserve"> 3-</w:instrText>
      </w:r>
      <w:r w:rsidR="00C37789" w:rsidRPr="000322E4">
        <w:rPr>
          <w:b/>
          <w:bCs/>
          <w:lang w:val="en-US"/>
        </w:rPr>
        <w:instrText>week</w:instrText>
      </w:r>
      <w:r w:rsidR="00C37789" w:rsidRPr="000322E4">
        <w:rPr>
          <w:b/>
          <w:bCs/>
        </w:rPr>
        <w:instrText xml:space="preserve"> </w:instrText>
      </w:r>
      <w:r w:rsidR="00C37789" w:rsidRPr="000322E4">
        <w:rPr>
          <w:b/>
          <w:bCs/>
          <w:lang w:val="en-US"/>
        </w:rPr>
        <w:instrText>intervals</w:instrText>
      </w:r>
      <w:r w:rsidR="00C37789" w:rsidRPr="000322E4">
        <w:rPr>
          <w:b/>
          <w:bCs/>
        </w:rPr>
        <w:instrText xml:space="preserve">.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received</w:instrText>
      </w:r>
      <w:r w:rsidR="00C37789" w:rsidRPr="000322E4">
        <w:rPr>
          <w:b/>
          <w:bCs/>
        </w:rPr>
        <w:instrText xml:space="preserve"> 375 </w:instrText>
      </w:r>
      <w:r w:rsidR="00C37789" w:rsidRPr="000322E4">
        <w:rPr>
          <w:b/>
          <w:bCs/>
          <w:lang w:val="en-US"/>
        </w:rPr>
        <w:instrText>mg</w:instrText>
      </w:r>
      <w:r w:rsidR="00C37789" w:rsidRPr="000322E4">
        <w:rPr>
          <w:b/>
          <w:bCs/>
        </w:rPr>
        <w:instrText>/</w:instrText>
      </w:r>
      <w:r w:rsidR="00C37789" w:rsidRPr="000322E4">
        <w:rPr>
          <w:b/>
          <w:bCs/>
          <w:lang w:val="en-US"/>
        </w:rPr>
        <w:instrText>m</w:instrText>
      </w:r>
      <w:r w:rsidR="00C37789" w:rsidRPr="000322E4">
        <w:rPr>
          <w:b/>
          <w:bCs/>
        </w:rPr>
        <w:instrText xml:space="preserve">2 </w:instrText>
      </w:r>
      <w:r w:rsidR="00C37789" w:rsidRPr="000322E4">
        <w:rPr>
          <w:b/>
          <w:bCs/>
          <w:lang w:val="en-US"/>
        </w:rPr>
        <w:instrText>rituximab</w:instrText>
      </w:r>
      <w:r w:rsidR="00C37789" w:rsidRPr="000322E4">
        <w:rPr>
          <w:b/>
          <w:bCs/>
        </w:rPr>
        <w:instrText xml:space="preserve">, 400 </w:instrText>
      </w:r>
      <w:r w:rsidR="00C37789" w:rsidRPr="000322E4">
        <w:rPr>
          <w:b/>
          <w:bCs/>
          <w:lang w:val="en-US"/>
        </w:rPr>
        <w:instrText>mg</w:instrText>
      </w:r>
      <w:r w:rsidR="00C37789" w:rsidRPr="000322E4">
        <w:rPr>
          <w:b/>
          <w:bCs/>
        </w:rPr>
        <w:instrText>/</w:instrText>
      </w:r>
      <w:r w:rsidR="00C37789" w:rsidRPr="000322E4">
        <w:rPr>
          <w:b/>
          <w:bCs/>
          <w:lang w:val="en-US"/>
        </w:rPr>
        <w:instrText>m</w:instrText>
      </w:r>
      <w:r w:rsidR="00C37789" w:rsidRPr="000322E4">
        <w:rPr>
          <w:b/>
          <w:bCs/>
        </w:rPr>
        <w:instrText xml:space="preserve">2 </w:instrText>
      </w:r>
      <w:r w:rsidR="00C37789" w:rsidRPr="000322E4">
        <w:rPr>
          <w:b/>
          <w:bCs/>
          <w:lang w:val="en-US"/>
        </w:rPr>
        <w:instrText>cyclophosphamide</w:instrText>
      </w:r>
      <w:r w:rsidR="00C37789" w:rsidRPr="000322E4">
        <w:rPr>
          <w:b/>
          <w:bCs/>
        </w:rPr>
        <w:instrText xml:space="preserve">, 25 </w:instrText>
      </w:r>
      <w:r w:rsidR="00C37789" w:rsidRPr="000322E4">
        <w:rPr>
          <w:b/>
          <w:bCs/>
          <w:lang w:val="en-US"/>
        </w:rPr>
        <w:instrText>mg</w:instrText>
      </w:r>
      <w:r w:rsidR="00C37789" w:rsidRPr="000322E4">
        <w:rPr>
          <w:b/>
          <w:bCs/>
        </w:rPr>
        <w:instrText>/</w:instrText>
      </w:r>
      <w:r w:rsidR="00C37789" w:rsidRPr="000322E4">
        <w:rPr>
          <w:b/>
          <w:bCs/>
          <w:lang w:val="en-US"/>
        </w:rPr>
        <w:instrText>m</w:instrText>
      </w:r>
      <w:r w:rsidR="00C37789" w:rsidRPr="000322E4">
        <w:rPr>
          <w:b/>
          <w:bCs/>
        </w:rPr>
        <w:instrText xml:space="preserve">2 </w:instrText>
      </w:r>
      <w:r w:rsidR="00C37789" w:rsidRPr="000322E4">
        <w:rPr>
          <w:b/>
          <w:bCs/>
          <w:lang w:val="en-US"/>
        </w:rPr>
        <w:instrText>doxorubicin</w:instrText>
      </w:r>
      <w:r w:rsidR="00C37789" w:rsidRPr="000322E4">
        <w:rPr>
          <w:b/>
          <w:bCs/>
        </w:rPr>
        <w:instrText xml:space="preserve">, </w:instrText>
      </w:r>
      <w:r w:rsidR="00C37789" w:rsidRPr="000322E4">
        <w:rPr>
          <w:b/>
          <w:bCs/>
          <w:lang w:val="en-US"/>
        </w:rPr>
        <w:instrText>and</w:instrText>
      </w:r>
      <w:r w:rsidR="00C37789" w:rsidRPr="000322E4">
        <w:rPr>
          <w:b/>
          <w:bCs/>
        </w:rPr>
        <w:instrText xml:space="preserve"> 1 </w:instrText>
      </w:r>
      <w:r w:rsidR="00C37789" w:rsidRPr="000322E4">
        <w:rPr>
          <w:b/>
          <w:bCs/>
          <w:lang w:val="en-US"/>
        </w:rPr>
        <w:instrText>mg</w:instrText>
      </w:r>
      <w:r w:rsidR="00C37789" w:rsidRPr="000322E4">
        <w:rPr>
          <w:b/>
          <w:bCs/>
        </w:rPr>
        <w:instrText xml:space="preserve"> </w:instrText>
      </w:r>
      <w:r w:rsidR="00C37789" w:rsidRPr="000322E4">
        <w:rPr>
          <w:b/>
          <w:bCs/>
          <w:lang w:val="en-US"/>
        </w:rPr>
        <w:instrText>vincristine</w:instrText>
      </w:r>
      <w:r w:rsidR="00C37789" w:rsidRPr="000322E4">
        <w:rPr>
          <w:b/>
          <w:bCs/>
        </w:rPr>
        <w:instrText xml:space="preserve"> </w:instrText>
      </w:r>
      <w:r w:rsidR="00C37789" w:rsidRPr="000322E4">
        <w:rPr>
          <w:b/>
          <w:bCs/>
          <w:lang w:val="en-US"/>
        </w:rPr>
        <w:instrText>on</w:instrText>
      </w:r>
      <w:r w:rsidR="00C37789" w:rsidRPr="000322E4">
        <w:rPr>
          <w:b/>
          <w:bCs/>
        </w:rPr>
        <w:instrText xml:space="preserve"> </w:instrText>
      </w:r>
      <w:r w:rsidR="00C37789" w:rsidRPr="000322E4">
        <w:rPr>
          <w:b/>
          <w:bCs/>
          <w:lang w:val="en-US"/>
        </w:rPr>
        <w:instrText>day</w:instrText>
      </w:r>
      <w:r w:rsidR="00C37789" w:rsidRPr="000322E4">
        <w:rPr>
          <w:b/>
          <w:bCs/>
        </w:rPr>
        <w:instrText xml:space="preserve"> 1 </w:instrText>
      </w:r>
      <w:r w:rsidR="00C37789" w:rsidRPr="000322E4">
        <w:rPr>
          <w:b/>
          <w:bCs/>
          <w:lang w:val="en-US"/>
        </w:rPr>
        <w:instrText>of</w:instrText>
      </w:r>
      <w:r w:rsidR="00C37789" w:rsidRPr="000322E4">
        <w:rPr>
          <w:b/>
          <w:bCs/>
        </w:rPr>
        <w:instrText xml:space="preserve"> </w:instrText>
      </w:r>
      <w:r w:rsidR="00C37789" w:rsidRPr="000322E4">
        <w:rPr>
          <w:b/>
          <w:bCs/>
          <w:lang w:val="en-US"/>
        </w:rPr>
        <w:instrText>each</w:instrText>
      </w:r>
      <w:r w:rsidR="00C37789" w:rsidRPr="000322E4">
        <w:rPr>
          <w:b/>
          <w:bCs/>
        </w:rPr>
        <w:instrText xml:space="preserve"> </w:instrText>
      </w:r>
      <w:r w:rsidR="00C37789" w:rsidRPr="000322E4">
        <w:rPr>
          <w:b/>
          <w:bCs/>
          <w:lang w:val="en-US"/>
        </w:rPr>
        <w:instrText>cycle</w:instrText>
      </w:r>
      <w:r w:rsidR="00C37789" w:rsidRPr="000322E4">
        <w:rPr>
          <w:b/>
          <w:bCs/>
        </w:rPr>
        <w:instrText xml:space="preserve">, </w:instrText>
      </w:r>
      <w:r w:rsidR="00C37789" w:rsidRPr="000322E4">
        <w:rPr>
          <w:b/>
          <w:bCs/>
          <w:lang w:val="en-US"/>
        </w:rPr>
        <w:instrText>and</w:instrText>
      </w:r>
      <w:r w:rsidR="00C37789" w:rsidRPr="000322E4">
        <w:rPr>
          <w:b/>
          <w:bCs/>
        </w:rPr>
        <w:instrText xml:space="preserve"> 40 </w:instrText>
      </w:r>
      <w:r w:rsidR="00C37789" w:rsidRPr="000322E4">
        <w:rPr>
          <w:b/>
          <w:bCs/>
          <w:lang w:val="en-US"/>
        </w:rPr>
        <w:instrText>mg</w:instrText>
      </w:r>
      <w:r w:rsidR="00C37789" w:rsidRPr="000322E4">
        <w:rPr>
          <w:b/>
          <w:bCs/>
        </w:rPr>
        <w:instrText>/</w:instrText>
      </w:r>
      <w:r w:rsidR="00C37789" w:rsidRPr="000322E4">
        <w:rPr>
          <w:b/>
          <w:bCs/>
          <w:lang w:val="en-US"/>
        </w:rPr>
        <w:instrText>m</w:instrText>
      </w:r>
      <w:r w:rsidR="00C37789" w:rsidRPr="000322E4">
        <w:rPr>
          <w:b/>
          <w:bCs/>
        </w:rPr>
        <w:instrText xml:space="preserve">2 </w:instrText>
      </w:r>
      <w:r w:rsidR="00C37789" w:rsidRPr="000322E4">
        <w:rPr>
          <w:b/>
          <w:bCs/>
          <w:lang w:val="en-US"/>
        </w:rPr>
        <w:instrText>prednisone</w:instrText>
      </w:r>
      <w:r w:rsidR="00C37789" w:rsidRPr="000322E4">
        <w:rPr>
          <w:b/>
          <w:bCs/>
        </w:rPr>
        <w:instrText xml:space="preserve"> </w:instrText>
      </w:r>
      <w:r w:rsidR="00C37789" w:rsidRPr="000322E4">
        <w:rPr>
          <w:b/>
          <w:bCs/>
          <w:lang w:val="en-US"/>
        </w:rPr>
        <w:instrText>on</w:instrText>
      </w:r>
      <w:r w:rsidR="00C37789" w:rsidRPr="000322E4">
        <w:rPr>
          <w:b/>
          <w:bCs/>
        </w:rPr>
        <w:instrText xml:space="preserve"> </w:instrText>
      </w:r>
      <w:r w:rsidR="00C37789" w:rsidRPr="000322E4">
        <w:rPr>
          <w:b/>
          <w:bCs/>
          <w:lang w:val="en-US"/>
        </w:rPr>
        <w:instrText>days</w:instrText>
      </w:r>
      <w:r w:rsidR="00C37789" w:rsidRPr="000322E4">
        <w:rPr>
          <w:b/>
          <w:bCs/>
        </w:rPr>
        <w:instrText xml:space="preserve"> 1-5. </w:instrText>
      </w:r>
      <w:r w:rsidR="00C37789" w:rsidRPr="000322E4">
        <w:rPr>
          <w:b/>
          <w:bCs/>
          <w:lang w:val="en-US"/>
        </w:rPr>
        <w:instrText>The</w:instrText>
      </w:r>
      <w:r w:rsidR="00C37789" w:rsidRPr="000322E4">
        <w:rPr>
          <w:b/>
          <w:bCs/>
        </w:rPr>
        <w:instrText xml:space="preserve"> </w:instrText>
      </w:r>
      <w:r w:rsidR="00C37789" w:rsidRPr="000322E4">
        <w:rPr>
          <w:b/>
          <w:bCs/>
          <w:lang w:val="en-US"/>
        </w:rPr>
        <w:instrText>primary</w:instrText>
      </w:r>
      <w:r w:rsidR="00C37789" w:rsidRPr="000322E4">
        <w:rPr>
          <w:b/>
          <w:bCs/>
        </w:rPr>
        <w:instrText xml:space="preserve"> </w:instrText>
      </w:r>
      <w:r w:rsidR="00C37789" w:rsidRPr="000322E4">
        <w:rPr>
          <w:b/>
          <w:bCs/>
          <w:lang w:val="en-US"/>
        </w:rPr>
        <w:instrText>endpoint</w:instrText>
      </w:r>
      <w:r w:rsidR="00C37789" w:rsidRPr="000322E4">
        <w:rPr>
          <w:b/>
          <w:bCs/>
        </w:rPr>
        <w:instrText xml:space="preserve"> </w:instrText>
      </w:r>
      <w:r w:rsidR="00C37789" w:rsidRPr="000322E4">
        <w:rPr>
          <w:b/>
          <w:bCs/>
          <w:lang w:val="en-US"/>
        </w:rPr>
        <w:instrText>was</w:instrText>
      </w:r>
      <w:r w:rsidR="00C37789" w:rsidRPr="000322E4">
        <w:rPr>
          <w:b/>
          <w:bCs/>
        </w:rPr>
        <w:instrText xml:space="preserve"> </w:instrText>
      </w:r>
      <w:r w:rsidR="00C37789" w:rsidRPr="000322E4">
        <w:rPr>
          <w:b/>
          <w:bCs/>
          <w:lang w:val="en-US"/>
        </w:rPr>
        <w:instrText>overall</w:instrText>
      </w:r>
      <w:r w:rsidR="00C37789" w:rsidRPr="000322E4">
        <w:rPr>
          <w:b/>
          <w:bCs/>
        </w:rPr>
        <w:instrText xml:space="preserve"> </w:instrText>
      </w:r>
      <w:r w:rsidR="00C37789" w:rsidRPr="000322E4">
        <w:rPr>
          <w:b/>
          <w:bCs/>
          <w:lang w:val="en-US"/>
        </w:rPr>
        <w:instrText>survival</w:instrText>
      </w:r>
      <w:r w:rsidR="00C37789" w:rsidRPr="000322E4">
        <w:rPr>
          <w:b/>
          <w:bCs/>
        </w:rPr>
        <w:instrText xml:space="preserve">, </w:instrText>
      </w:r>
      <w:r w:rsidR="00C37789" w:rsidRPr="000322E4">
        <w:rPr>
          <w:b/>
          <w:bCs/>
          <w:lang w:val="en-US"/>
        </w:rPr>
        <w:instrText>both</w:instrText>
      </w:r>
      <w:r w:rsidR="00C37789" w:rsidRPr="000322E4">
        <w:rPr>
          <w:b/>
          <w:bCs/>
        </w:rPr>
        <w:instrText xml:space="preserve"> </w:instrText>
      </w:r>
      <w:r w:rsidR="00C37789" w:rsidRPr="000322E4">
        <w:rPr>
          <w:b/>
          <w:bCs/>
          <w:lang w:val="en-US"/>
        </w:rPr>
        <w:instrText>unadjusted</w:instrText>
      </w:r>
      <w:r w:rsidR="00C37789" w:rsidRPr="000322E4">
        <w:rPr>
          <w:b/>
          <w:bCs/>
        </w:rPr>
        <w:instrText xml:space="preserve"> </w:instrText>
      </w:r>
      <w:r w:rsidR="00C37789" w:rsidRPr="000322E4">
        <w:rPr>
          <w:b/>
          <w:bCs/>
          <w:lang w:val="en-US"/>
        </w:rPr>
        <w:instrText>and</w:instrText>
      </w:r>
      <w:r w:rsidR="00C37789" w:rsidRPr="000322E4">
        <w:rPr>
          <w:b/>
          <w:bCs/>
        </w:rPr>
        <w:instrText xml:space="preserve"> </w:instrText>
      </w:r>
      <w:r w:rsidR="00C37789" w:rsidRPr="000322E4">
        <w:rPr>
          <w:b/>
          <w:bCs/>
          <w:lang w:val="en-US"/>
        </w:rPr>
        <w:instrText>adjusted</w:instrText>
      </w:r>
      <w:r w:rsidR="00C37789" w:rsidRPr="000322E4">
        <w:rPr>
          <w:b/>
          <w:bCs/>
        </w:rPr>
        <w:instrText xml:space="preserve"> </w:instrText>
      </w:r>
      <w:r w:rsidR="00C37789" w:rsidRPr="000322E4">
        <w:rPr>
          <w:b/>
          <w:bCs/>
          <w:lang w:val="en-US"/>
        </w:rPr>
        <w:instrText>for</w:instrText>
      </w:r>
      <w:r w:rsidR="00C37789" w:rsidRPr="000322E4">
        <w:rPr>
          <w:b/>
          <w:bCs/>
        </w:rPr>
        <w:instrText xml:space="preserve"> </w:instrText>
      </w:r>
      <w:r w:rsidR="00C37789" w:rsidRPr="000322E4">
        <w:rPr>
          <w:b/>
          <w:bCs/>
          <w:lang w:val="en-US"/>
        </w:rPr>
        <w:instrText>treatment</w:instrText>
      </w:r>
      <w:r w:rsidR="00C37789" w:rsidRPr="000322E4">
        <w:rPr>
          <w:b/>
          <w:bCs/>
        </w:rPr>
        <w:instrText xml:space="preserve"> </w:instrText>
      </w:r>
      <w:r w:rsidR="00C37789" w:rsidRPr="000322E4">
        <w:rPr>
          <w:b/>
          <w:bCs/>
          <w:lang w:val="en-US"/>
        </w:rPr>
        <w:instrText>and</w:instrText>
      </w:r>
      <w:r w:rsidR="00C37789" w:rsidRPr="000322E4">
        <w:rPr>
          <w:b/>
          <w:bCs/>
        </w:rPr>
        <w:instrText xml:space="preserve"> </w:instrText>
      </w:r>
      <w:r w:rsidR="00C37789" w:rsidRPr="000322E4">
        <w:rPr>
          <w:b/>
          <w:bCs/>
          <w:lang w:val="en-US"/>
        </w:rPr>
        <w:instrText>baseline</w:instrText>
      </w:r>
      <w:r w:rsidR="00C37789" w:rsidRPr="000322E4">
        <w:rPr>
          <w:b/>
          <w:bCs/>
        </w:rPr>
        <w:instrText xml:space="preserve"> </w:instrText>
      </w:r>
      <w:r w:rsidR="00C37789" w:rsidRPr="000322E4">
        <w:rPr>
          <w:b/>
          <w:bCs/>
          <w:lang w:val="en-US"/>
        </w:rPr>
        <w:instrText>prognostic</w:instrText>
      </w:r>
      <w:r w:rsidR="00C37789" w:rsidRPr="000322E4">
        <w:rPr>
          <w:b/>
          <w:bCs/>
        </w:rPr>
        <w:instrText xml:space="preserve"> </w:instrText>
      </w:r>
      <w:r w:rsidR="00C37789" w:rsidRPr="000322E4">
        <w:rPr>
          <w:b/>
          <w:bCs/>
          <w:lang w:val="en-US"/>
        </w:rPr>
        <w:instrText>factors</w:instrText>
      </w:r>
      <w:r w:rsidR="00C37789" w:rsidRPr="000322E4">
        <w:rPr>
          <w:b/>
          <w:bCs/>
        </w:rPr>
        <w:instrText xml:space="preserve">. </w:instrText>
      </w:r>
      <w:r w:rsidR="00C37789" w:rsidRPr="000322E4">
        <w:rPr>
          <w:b/>
          <w:bCs/>
          <w:lang w:val="en-US"/>
        </w:rPr>
        <w:instrText>Analysis</w:instrText>
      </w:r>
      <w:r w:rsidR="00C37789" w:rsidRPr="000322E4">
        <w:rPr>
          <w:b/>
          <w:bCs/>
        </w:rPr>
        <w:instrText xml:space="preserve"> </w:instrText>
      </w:r>
      <w:r w:rsidR="00C37789" w:rsidRPr="000322E4">
        <w:rPr>
          <w:b/>
          <w:bCs/>
          <w:lang w:val="en-US"/>
        </w:rPr>
        <w:instrText>was</w:instrText>
      </w:r>
      <w:r w:rsidR="00C37789" w:rsidRPr="000322E4">
        <w:rPr>
          <w:b/>
          <w:bCs/>
        </w:rPr>
        <w:instrText xml:space="preserve"> </w:instrText>
      </w:r>
      <w:r w:rsidR="00C37789" w:rsidRPr="000322E4">
        <w:rPr>
          <w:b/>
          <w:bCs/>
          <w:lang w:val="en-US"/>
        </w:rPr>
        <w:instrText>by</w:instrText>
      </w:r>
      <w:r w:rsidR="00C37789" w:rsidRPr="000322E4">
        <w:rPr>
          <w:b/>
          <w:bCs/>
        </w:rPr>
        <w:instrText xml:space="preserve"> </w:instrText>
      </w:r>
      <w:r w:rsidR="00C37789" w:rsidRPr="000322E4">
        <w:rPr>
          <w:b/>
          <w:bCs/>
          <w:lang w:val="en-US"/>
        </w:rPr>
        <w:instrText>intention</w:instrText>
      </w:r>
      <w:r w:rsidR="00C37789" w:rsidRPr="000322E4">
        <w:rPr>
          <w:b/>
          <w:bCs/>
        </w:rPr>
        <w:instrText xml:space="preserve"> </w:instrText>
      </w:r>
      <w:r w:rsidR="00C37789" w:rsidRPr="000322E4">
        <w:rPr>
          <w:b/>
          <w:bCs/>
          <w:lang w:val="en-US"/>
        </w:rPr>
        <w:instrText>to</w:instrText>
      </w:r>
      <w:r w:rsidR="00C37789" w:rsidRPr="000322E4">
        <w:rPr>
          <w:b/>
          <w:bCs/>
        </w:rPr>
        <w:instrText xml:space="preserve"> </w:instrText>
      </w:r>
      <w:r w:rsidR="00C37789" w:rsidRPr="000322E4">
        <w:rPr>
          <w:b/>
          <w:bCs/>
          <w:lang w:val="en-US"/>
        </w:rPr>
        <w:instrText>treat</w:instrText>
      </w:r>
      <w:r w:rsidR="00C37789" w:rsidRPr="000322E4">
        <w:rPr>
          <w:b/>
          <w:bCs/>
        </w:rPr>
        <w:instrText xml:space="preserve">. </w:instrText>
      </w:r>
      <w:r w:rsidR="00C37789" w:rsidRPr="000322E4">
        <w:rPr>
          <w:b/>
          <w:bCs/>
          <w:lang w:val="en-US"/>
        </w:rPr>
        <w:instrText>This</w:instrText>
      </w:r>
      <w:r w:rsidR="00C37789" w:rsidRPr="000322E4">
        <w:rPr>
          <w:b/>
          <w:bCs/>
        </w:rPr>
        <w:instrText xml:space="preserve"> </w:instrText>
      </w:r>
      <w:r w:rsidR="00C37789" w:rsidRPr="000322E4">
        <w:rPr>
          <w:b/>
          <w:bCs/>
          <w:lang w:val="en-US"/>
        </w:rPr>
        <w:instrText>study</w:instrText>
      </w:r>
      <w:r w:rsidR="00C37789" w:rsidRPr="000322E4">
        <w:rPr>
          <w:b/>
          <w:bCs/>
        </w:rPr>
        <w:instrText xml:space="preserve"> </w:instrText>
      </w:r>
      <w:r w:rsidR="00C37789" w:rsidRPr="000322E4">
        <w:rPr>
          <w:b/>
          <w:bCs/>
          <w:lang w:val="en-US"/>
        </w:rPr>
        <w:instrText>is</w:instrText>
      </w:r>
      <w:r w:rsidR="00C37789" w:rsidRPr="000322E4">
        <w:rPr>
          <w:b/>
          <w:bCs/>
        </w:rPr>
        <w:instrText xml:space="preserve"> </w:instrText>
      </w:r>
      <w:r w:rsidR="00C37789" w:rsidRPr="000322E4">
        <w:rPr>
          <w:b/>
          <w:bCs/>
          <w:lang w:val="en-US"/>
        </w:rPr>
        <w:instrText>registered</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ClinicalTrials</w:instrText>
      </w:r>
      <w:r w:rsidR="00C37789" w:rsidRPr="000322E4">
        <w:rPr>
          <w:b/>
          <w:bCs/>
        </w:rPr>
        <w:instrText>.</w:instrText>
      </w:r>
      <w:r w:rsidR="00C37789" w:rsidRPr="000322E4">
        <w:rPr>
          <w:b/>
          <w:bCs/>
          <w:lang w:val="en-US"/>
        </w:rPr>
        <w:instrText>gov</w:instrText>
      </w:r>
      <w:r w:rsidR="00C37789" w:rsidRPr="000322E4">
        <w:rPr>
          <w:b/>
          <w:bCs/>
        </w:rPr>
        <w:instrText xml:space="preserve">, </w:instrText>
      </w:r>
      <w:r w:rsidR="00C37789" w:rsidRPr="000322E4">
        <w:rPr>
          <w:b/>
          <w:bCs/>
          <w:lang w:val="en-US"/>
        </w:rPr>
        <w:instrText>NCT</w:instrText>
      </w:r>
      <w:r w:rsidR="00C37789" w:rsidRPr="000322E4">
        <w:rPr>
          <w:b/>
          <w:bCs/>
        </w:rPr>
        <w:instrText xml:space="preserve">01087424. </w:instrText>
      </w:r>
      <w:r w:rsidR="00C37789" w:rsidRPr="000322E4">
        <w:rPr>
          <w:b/>
          <w:bCs/>
          <w:lang w:val="en-US"/>
        </w:rPr>
        <w:instrText>Findings</w:instrText>
      </w:r>
      <w:r w:rsidR="00C37789" w:rsidRPr="000322E4">
        <w:rPr>
          <w:b/>
          <w:bCs/>
        </w:rPr>
        <w:instrText xml:space="preserve">: 150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were</w:instrText>
      </w:r>
      <w:r w:rsidR="00C37789" w:rsidRPr="000322E4">
        <w:rPr>
          <w:b/>
          <w:bCs/>
        </w:rPr>
        <w:instrText xml:space="preserve"> </w:instrText>
      </w:r>
      <w:r w:rsidR="00C37789" w:rsidRPr="000322E4">
        <w:rPr>
          <w:b/>
          <w:bCs/>
          <w:lang w:val="en-US"/>
        </w:rPr>
        <w:instrText>enrolled</w:instrText>
      </w:r>
      <w:r w:rsidR="00C37789" w:rsidRPr="000322E4">
        <w:rPr>
          <w:b/>
          <w:bCs/>
        </w:rPr>
        <w:instrText xml:space="preserve"> </w:instrText>
      </w:r>
      <w:r w:rsidR="00C37789" w:rsidRPr="000322E4">
        <w:rPr>
          <w:b/>
          <w:bCs/>
          <w:lang w:val="en-US"/>
        </w:rPr>
        <w:instrText>between</w:instrText>
      </w:r>
      <w:r w:rsidR="00C37789" w:rsidRPr="000322E4">
        <w:rPr>
          <w:b/>
          <w:bCs/>
        </w:rPr>
        <w:instrText xml:space="preserve"> </w:instrText>
      </w:r>
      <w:r w:rsidR="00C37789" w:rsidRPr="000322E4">
        <w:rPr>
          <w:b/>
          <w:bCs/>
          <w:lang w:val="en-US"/>
        </w:rPr>
        <w:instrText>Jan</w:instrText>
      </w:r>
      <w:r w:rsidR="00C37789" w:rsidRPr="000322E4">
        <w:rPr>
          <w:b/>
          <w:bCs/>
        </w:rPr>
        <w:instrText xml:space="preserve"> 9, 2006, </w:instrText>
      </w:r>
      <w:r w:rsidR="00C37789" w:rsidRPr="000322E4">
        <w:rPr>
          <w:b/>
          <w:bCs/>
          <w:lang w:val="en-US"/>
        </w:rPr>
        <w:instrText>and</w:instrText>
      </w:r>
      <w:r w:rsidR="00C37789" w:rsidRPr="000322E4">
        <w:rPr>
          <w:b/>
          <w:bCs/>
        </w:rPr>
        <w:instrText xml:space="preserve"> </w:instrText>
      </w:r>
      <w:r w:rsidR="00C37789" w:rsidRPr="000322E4">
        <w:rPr>
          <w:b/>
          <w:bCs/>
          <w:lang w:val="en-US"/>
        </w:rPr>
        <w:instrText>Jan</w:instrText>
      </w:r>
      <w:r w:rsidR="00C37789" w:rsidRPr="000322E4">
        <w:rPr>
          <w:b/>
          <w:bCs/>
        </w:rPr>
        <w:instrText xml:space="preserve"> 23, 2009 </w:instrText>
      </w:r>
      <w:r w:rsidR="00C37789" w:rsidRPr="000322E4">
        <w:rPr>
          <w:b/>
          <w:bCs/>
          <w:lang w:val="en-US"/>
        </w:rPr>
        <w:instrText>and</w:instrText>
      </w:r>
      <w:r w:rsidR="00C37789" w:rsidRPr="000322E4">
        <w:rPr>
          <w:b/>
          <w:bCs/>
        </w:rPr>
        <w:instrText xml:space="preserve"> 149 </w:instrText>
      </w:r>
      <w:r w:rsidR="00C37789" w:rsidRPr="000322E4">
        <w:rPr>
          <w:b/>
          <w:bCs/>
          <w:lang w:val="en-US"/>
        </w:rPr>
        <w:instrText>were</w:instrText>
      </w:r>
      <w:r w:rsidR="00C37789" w:rsidRPr="000322E4">
        <w:rPr>
          <w:b/>
          <w:bCs/>
        </w:rPr>
        <w:instrText xml:space="preserve"> </w:instrText>
      </w:r>
      <w:r w:rsidR="00C37789" w:rsidRPr="000322E4">
        <w:rPr>
          <w:b/>
          <w:bCs/>
          <w:lang w:val="en-US"/>
        </w:rPr>
        <w:instrText>included</w:instrText>
      </w:r>
      <w:r w:rsidR="00C37789" w:rsidRPr="000322E4">
        <w:rPr>
          <w:b/>
          <w:bCs/>
        </w:rPr>
        <w:instrText xml:space="preserve"> </w:instrText>
      </w:r>
      <w:r w:rsidR="00C37789" w:rsidRPr="000322E4">
        <w:rPr>
          <w:b/>
          <w:bCs/>
          <w:lang w:val="en-US"/>
        </w:rPr>
        <w:instrText>in</w:instrText>
      </w:r>
      <w:r w:rsidR="00C37789" w:rsidRPr="000322E4">
        <w:rPr>
          <w:b/>
          <w:bCs/>
        </w:rPr>
        <w:instrText xml:space="preserve"> </w:instrText>
      </w:r>
      <w:r w:rsidR="00C37789" w:rsidRPr="000322E4">
        <w:rPr>
          <w:b/>
          <w:bCs/>
          <w:lang w:val="en-US"/>
        </w:rPr>
        <w:instrText>the</w:instrText>
      </w:r>
      <w:r w:rsidR="00C37789" w:rsidRPr="000322E4">
        <w:rPr>
          <w:b/>
          <w:bCs/>
        </w:rPr>
        <w:instrText xml:space="preserve"> </w:instrText>
      </w:r>
      <w:r w:rsidR="00C37789" w:rsidRPr="000322E4">
        <w:rPr>
          <w:b/>
          <w:bCs/>
          <w:lang w:val="en-US"/>
        </w:rPr>
        <w:instrText>intention</w:instrText>
      </w:r>
      <w:r w:rsidR="00C37789" w:rsidRPr="000322E4">
        <w:rPr>
          <w:b/>
          <w:bCs/>
        </w:rPr>
        <w:instrText>-</w:instrText>
      </w:r>
      <w:r w:rsidR="00C37789" w:rsidRPr="000322E4">
        <w:rPr>
          <w:b/>
          <w:bCs/>
          <w:lang w:val="en-US"/>
        </w:rPr>
        <w:instrText>to</w:instrText>
      </w:r>
      <w:r w:rsidR="00C37789" w:rsidRPr="000322E4">
        <w:rPr>
          <w:b/>
          <w:bCs/>
        </w:rPr>
        <w:instrText>-</w:instrText>
      </w:r>
      <w:r w:rsidR="00C37789" w:rsidRPr="000322E4">
        <w:rPr>
          <w:b/>
          <w:bCs/>
          <w:lang w:val="en-US"/>
        </w:rPr>
        <w:instrText>treat</w:instrText>
      </w:r>
      <w:r w:rsidR="00C37789" w:rsidRPr="000322E4">
        <w:rPr>
          <w:b/>
          <w:bCs/>
        </w:rPr>
        <w:instrText xml:space="preserve"> </w:instrText>
      </w:r>
      <w:r w:rsidR="00C37789" w:rsidRPr="000322E4">
        <w:rPr>
          <w:b/>
          <w:bCs/>
          <w:lang w:val="en-US"/>
        </w:rPr>
        <w:instrText>analyses</w:instrText>
      </w:r>
      <w:r w:rsidR="00C37789" w:rsidRPr="000322E4">
        <w:rPr>
          <w:b/>
          <w:bCs/>
        </w:rPr>
        <w:instrText xml:space="preserve">. </w:instrText>
      </w:r>
      <w:r w:rsidR="00C37789" w:rsidRPr="000322E4">
        <w:rPr>
          <w:b/>
          <w:bCs/>
          <w:lang w:val="en-US"/>
        </w:rPr>
        <w:instrText>Median</w:instrText>
      </w:r>
      <w:r w:rsidR="00C37789" w:rsidRPr="000322E4">
        <w:rPr>
          <w:b/>
          <w:bCs/>
        </w:rPr>
        <w:instrText xml:space="preserve"> </w:instrText>
      </w:r>
      <w:r w:rsidR="00C37789" w:rsidRPr="000322E4">
        <w:rPr>
          <w:b/>
          <w:bCs/>
          <w:lang w:val="en-US"/>
        </w:rPr>
        <w:instrText>age</w:instrText>
      </w:r>
      <w:r w:rsidR="00C37789" w:rsidRPr="000322E4">
        <w:rPr>
          <w:b/>
          <w:bCs/>
        </w:rPr>
        <w:instrText xml:space="preserve"> </w:instrText>
      </w:r>
      <w:r w:rsidR="00C37789" w:rsidRPr="000322E4">
        <w:rPr>
          <w:b/>
          <w:bCs/>
          <w:lang w:val="en-US"/>
        </w:rPr>
        <w:instrText>was</w:instrText>
      </w:r>
      <w:r w:rsidR="00C37789" w:rsidRPr="000322E4">
        <w:rPr>
          <w:b/>
          <w:bCs/>
        </w:rPr>
        <w:instrText xml:space="preserve"> 83 </w:instrText>
      </w:r>
      <w:r w:rsidR="00C37789" w:rsidRPr="000322E4">
        <w:rPr>
          <w:b/>
          <w:bCs/>
          <w:lang w:val="en-US"/>
        </w:rPr>
        <w:instrText>years</w:instrText>
      </w:r>
      <w:r w:rsidR="00C37789" w:rsidRPr="000322E4">
        <w:rPr>
          <w:b/>
          <w:bCs/>
        </w:rPr>
        <w:instrText xml:space="preserve"> (</w:instrText>
      </w:r>
      <w:r w:rsidR="00C37789" w:rsidRPr="000322E4">
        <w:rPr>
          <w:b/>
          <w:bCs/>
          <w:lang w:val="en-US"/>
        </w:rPr>
        <w:instrText>range</w:instrText>
      </w:r>
      <w:r w:rsidR="00C37789" w:rsidRPr="000322E4">
        <w:rPr>
          <w:b/>
          <w:bCs/>
        </w:rPr>
        <w:instrText xml:space="preserve"> 80-95). </w:instrText>
      </w:r>
      <w:r w:rsidR="00C37789" w:rsidRPr="000322E4">
        <w:rPr>
          <w:b/>
          <w:bCs/>
          <w:lang w:val="en-US"/>
        </w:rPr>
        <w:instrText>After</w:instrText>
      </w:r>
      <w:r w:rsidR="00C37789" w:rsidRPr="000322E4">
        <w:rPr>
          <w:b/>
          <w:bCs/>
        </w:rPr>
        <w:instrText xml:space="preserve"> </w:instrText>
      </w:r>
      <w:r w:rsidR="00C37789" w:rsidRPr="000322E4">
        <w:rPr>
          <w:b/>
          <w:bCs/>
          <w:lang w:val="en-US"/>
        </w:rPr>
        <w:instrText>a</w:instrText>
      </w:r>
      <w:r w:rsidR="00C37789" w:rsidRPr="000322E4">
        <w:rPr>
          <w:b/>
          <w:bCs/>
        </w:rPr>
        <w:instrText xml:space="preserve"> </w:instrText>
      </w:r>
      <w:r w:rsidR="00C37789" w:rsidRPr="000322E4">
        <w:rPr>
          <w:b/>
          <w:bCs/>
          <w:lang w:val="en-US"/>
        </w:rPr>
        <w:instrText>median</w:instrText>
      </w:r>
      <w:r w:rsidR="00C37789" w:rsidRPr="000322E4">
        <w:rPr>
          <w:b/>
          <w:bCs/>
        </w:rPr>
        <w:instrText xml:space="preserve"> </w:instrText>
      </w:r>
      <w:r w:rsidR="00C37789" w:rsidRPr="000322E4">
        <w:rPr>
          <w:b/>
          <w:bCs/>
          <w:lang w:val="en-US"/>
        </w:rPr>
        <w:instrText>follow</w:instrText>
      </w:r>
      <w:r w:rsidR="00C37789" w:rsidRPr="000322E4">
        <w:rPr>
          <w:b/>
          <w:bCs/>
        </w:rPr>
        <w:instrText>-</w:instrText>
      </w:r>
      <w:r w:rsidR="00C37789" w:rsidRPr="000322E4">
        <w:rPr>
          <w:b/>
          <w:bCs/>
          <w:lang w:val="en-US"/>
        </w:rPr>
        <w:instrText>up</w:instrText>
      </w:r>
      <w:r w:rsidR="00C37789" w:rsidRPr="000322E4">
        <w:rPr>
          <w:b/>
          <w:bCs/>
        </w:rPr>
        <w:instrText xml:space="preserve"> </w:instrText>
      </w:r>
      <w:r w:rsidR="00C37789" w:rsidRPr="000322E4">
        <w:rPr>
          <w:b/>
          <w:bCs/>
          <w:lang w:val="en-US"/>
        </w:rPr>
        <w:instrText>of</w:instrText>
      </w:r>
      <w:r w:rsidR="00C37789" w:rsidRPr="000322E4">
        <w:rPr>
          <w:b/>
          <w:bCs/>
        </w:rPr>
        <w:instrText xml:space="preserve"> 20 </w:instrText>
      </w:r>
      <w:r w:rsidR="00C37789" w:rsidRPr="000322E4">
        <w:rPr>
          <w:b/>
          <w:bCs/>
          <w:lang w:val="en-US"/>
        </w:rPr>
        <w:instrText>months</w:instrText>
      </w:r>
      <w:r w:rsidR="00C37789" w:rsidRPr="000322E4">
        <w:rPr>
          <w:b/>
          <w:bCs/>
        </w:rPr>
        <w:instrText xml:space="preserve"> (</w:instrText>
      </w:r>
      <w:r w:rsidR="00C37789" w:rsidRPr="000322E4">
        <w:rPr>
          <w:b/>
          <w:bCs/>
          <w:lang w:val="en-US"/>
        </w:rPr>
        <w:instrText>range</w:instrText>
      </w:r>
      <w:r w:rsidR="00C37789" w:rsidRPr="000322E4">
        <w:rPr>
          <w:b/>
          <w:bCs/>
        </w:rPr>
        <w:instrText xml:space="preserve"> 0-45), </w:instrText>
      </w:r>
      <w:r w:rsidR="00C37789" w:rsidRPr="000322E4">
        <w:rPr>
          <w:b/>
          <w:bCs/>
          <w:lang w:val="en-US"/>
        </w:rPr>
        <w:instrText>the</w:instrText>
      </w:r>
      <w:r w:rsidR="00C37789" w:rsidRPr="000322E4">
        <w:rPr>
          <w:b/>
          <w:bCs/>
        </w:rPr>
        <w:instrText xml:space="preserve"> </w:instrText>
      </w:r>
      <w:r w:rsidR="00C37789" w:rsidRPr="000322E4">
        <w:rPr>
          <w:b/>
          <w:bCs/>
          <w:lang w:val="en-US"/>
        </w:rPr>
        <w:instrText>median</w:instrText>
      </w:r>
      <w:r w:rsidR="00C37789" w:rsidRPr="000322E4">
        <w:rPr>
          <w:b/>
          <w:bCs/>
        </w:rPr>
        <w:instrText xml:space="preserve"> </w:instrText>
      </w:r>
      <w:r w:rsidR="00C37789" w:rsidRPr="000322E4">
        <w:rPr>
          <w:b/>
          <w:bCs/>
          <w:lang w:val="en-US"/>
        </w:rPr>
        <w:instrText>overall</w:instrText>
      </w:r>
      <w:r w:rsidR="00C37789" w:rsidRPr="000322E4">
        <w:rPr>
          <w:b/>
          <w:bCs/>
        </w:rPr>
        <w:instrText xml:space="preserve"> </w:instrText>
      </w:r>
      <w:r w:rsidR="00C37789" w:rsidRPr="000322E4">
        <w:rPr>
          <w:b/>
          <w:bCs/>
          <w:lang w:val="en-US"/>
        </w:rPr>
        <w:instrText>survival</w:instrText>
      </w:r>
      <w:r w:rsidR="00C37789" w:rsidRPr="000322E4">
        <w:rPr>
          <w:b/>
          <w:bCs/>
        </w:rPr>
        <w:instrText xml:space="preserve"> </w:instrText>
      </w:r>
      <w:r w:rsidR="00C37789" w:rsidRPr="000322E4">
        <w:rPr>
          <w:b/>
          <w:bCs/>
          <w:lang w:val="en-US"/>
        </w:rPr>
        <w:instrText>was</w:instrText>
      </w:r>
      <w:r w:rsidR="00C37789" w:rsidRPr="000322E4">
        <w:rPr>
          <w:b/>
          <w:bCs/>
        </w:rPr>
        <w:instrText xml:space="preserve"> 29 </w:instrText>
      </w:r>
      <w:r w:rsidR="00C37789" w:rsidRPr="000322E4">
        <w:rPr>
          <w:b/>
          <w:bCs/>
          <w:lang w:val="en-US"/>
        </w:rPr>
        <w:instrText>months</w:instrText>
      </w:r>
      <w:r w:rsidR="00C37789" w:rsidRPr="000322E4">
        <w:rPr>
          <w:b/>
          <w:bCs/>
        </w:rPr>
        <w:instrText xml:space="preserve"> (95% </w:instrText>
      </w:r>
      <w:r w:rsidR="00C37789" w:rsidRPr="000322E4">
        <w:rPr>
          <w:b/>
          <w:bCs/>
          <w:lang w:val="en-US"/>
        </w:rPr>
        <w:instrText>CI</w:instrText>
      </w:r>
      <w:r w:rsidR="00C37789" w:rsidRPr="000322E4">
        <w:rPr>
          <w:b/>
          <w:bCs/>
        </w:rPr>
        <w:instrText xml:space="preserve"> 21 </w:instrText>
      </w:r>
      <w:r w:rsidR="00C37789" w:rsidRPr="000322E4">
        <w:rPr>
          <w:b/>
          <w:bCs/>
          <w:lang w:val="en-US"/>
        </w:rPr>
        <w:instrText>to</w:instrText>
      </w:r>
      <w:r w:rsidR="00C37789" w:rsidRPr="000322E4">
        <w:rPr>
          <w:b/>
          <w:bCs/>
        </w:rPr>
        <w:instrText xml:space="preserve"> </w:instrText>
      </w:r>
      <w:r w:rsidR="00C37789" w:rsidRPr="000322E4">
        <w:rPr>
          <w:b/>
          <w:bCs/>
          <w:lang w:val="en-US"/>
        </w:rPr>
        <w:instrText>upper</w:instrText>
      </w:r>
      <w:r w:rsidR="00C37789" w:rsidRPr="000322E4">
        <w:rPr>
          <w:b/>
          <w:bCs/>
        </w:rPr>
        <w:instrText xml:space="preserve"> </w:instrText>
      </w:r>
      <w:r w:rsidR="00C37789" w:rsidRPr="000322E4">
        <w:rPr>
          <w:b/>
          <w:bCs/>
          <w:lang w:val="en-US"/>
        </w:rPr>
        <w:instrText>limit</w:instrText>
      </w:r>
      <w:r w:rsidR="00C37789" w:rsidRPr="000322E4">
        <w:rPr>
          <w:b/>
          <w:bCs/>
        </w:rPr>
        <w:instrText xml:space="preserve"> </w:instrText>
      </w:r>
      <w:r w:rsidR="00C37789" w:rsidRPr="000322E4">
        <w:rPr>
          <w:b/>
          <w:bCs/>
          <w:lang w:val="en-US"/>
        </w:rPr>
        <w:instrText>not</w:instrText>
      </w:r>
      <w:r w:rsidR="00C37789" w:rsidRPr="000322E4">
        <w:rPr>
          <w:b/>
          <w:bCs/>
        </w:rPr>
        <w:instrText xml:space="preserve"> </w:instrText>
      </w:r>
      <w:r w:rsidR="00C37789" w:rsidRPr="000322E4">
        <w:rPr>
          <w:b/>
          <w:bCs/>
          <w:lang w:val="en-US"/>
        </w:rPr>
        <w:instrText>reached</w:instrText>
      </w:r>
      <w:r w:rsidR="00C37789" w:rsidRPr="000322E4">
        <w:rPr>
          <w:b/>
          <w:bCs/>
        </w:rPr>
        <w:instrText>); 2-</w:instrText>
      </w:r>
      <w:r w:rsidR="00C37789" w:rsidRPr="000322E4">
        <w:rPr>
          <w:b/>
          <w:bCs/>
          <w:lang w:val="en-US"/>
        </w:rPr>
        <w:instrText>year</w:instrText>
      </w:r>
      <w:r w:rsidR="00C37789" w:rsidRPr="000322E4">
        <w:rPr>
          <w:b/>
          <w:bCs/>
        </w:rPr>
        <w:instrText xml:space="preserve"> </w:instrText>
      </w:r>
      <w:r w:rsidR="00C37789" w:rsidRPr="000322E4">
        <w:rPr>
          <w:b/>
          <w:bCs/>
          <w:lang w:val="en-US"/>
        </w:rPr>
        <w:instrText>overall</w:instrText>
      </w:r>
      <w:r w:rsidR="00C37789" w:rsidRPr="000322E4">
        <w:rPr>
          <w:b/>
          <w:bCs/>
        </w:rPr>
        <w:instrText xml:space="preserve"> </w:instrText>
      </w:r>
      <w:r w:rsidR="00C37789" w:rsidRPr="000322E4">
        <w:rPr>
          <w:b/>
          <w:bCs/>
          <w:lang w:val="en-US"/>
        </w:rPr>
        <w:instrText>survival</w:instrText>
      </w:r>
      <w:r w:rsidR="00C37789" w:rsidRPr="000322E4">
        <w:rPr>
          <w:b/>
          <w:bCs/>
        </w:rPr>
        <w:instrText xml:space="preserve"> </w:instrText>
      </w:r>
      <w:r w:rsidR="00C37789" w:rsidRPr="000322E4">
        <w:rPr>
          <w:b/>
          <w:bCs/>
          <w:lang w:val="en-US"/>
        </w:rPr>
        <w:instrText>was</w:instrText>
      </w:r>
      <w:r w:rsidR="00C37789" w:rsidRPr="000322E4">
        <w:rPr>
          <w:b/>
          <w:bCs/>
        </w:rPr>
        <w:instrText xml:space="preserve"> 59% (49-67%). </w:instrText>
      </w:r>
      <w:r w:rsidR="00C37789" w:rsidRPr="000322E4">
        <w:rPr>
          <w:b/>
          <w:bCs/>
          <w:lang w:val="en-US"/>
        </w:rPr>
        <w:instrText>In</w:instrText>
      </w:r>
      <w:r w:rsidR="00C37789" w:rsidRPr="000322E4">
        <w:rPr>
          <w:b/>
          <w:bCs/>
        </w:rPr>
        <w:instrText xml:space="preserve"> </w:instrText>
      </w:r>
      <w:r w:rsidR="00C37789" w:rsidRPr="000322E4">
        <w:rPr>
          <w:b/>
          <w:bCs/>
          <w:lang w:val="en-US"/>
        </w:rPr>
        <w:instrText>multivariate</w:instrText>
      </w:r>
      <w:r w:rsidR="00C37789" w:rsidRPr="000322E4">
        <w:rPr>
          <w:b/>
          <w:bCs/>
        </w:rPr>
        <w:instrText xml:space="preserve"> </w:instrText>
      </w:r>
      <w:r w:rsidR="00C37789" w:rsidRPr="000322E4">
        <w:rPr>
          <w:b/>
          <w:bCs/>
          <w:lang w:val="en-US"/>
        </w:rPr>
        <w:instrText>analyses</w:instrText>
      </w:r>
      <w:r w:rsidR="00C37789" w:rsidRPr="000322E4">
        <w:rPr>
          <w:b/>
          <w:bCs/>
        </w:rPr>
        <w:instrText xml:space="preserve">, </w:instrText>
      </w:r>
      <w:r w:rsidR="00C37789" w:rsidRPr="000322E4">
        <w:rPr>
          <w:b/>
          <w:bCs/>
          <w:lang w:val="en-US"/>
        </w:rPr>
        <w:instrText>overall</w:instrText>
      </w:r>
      <w:r w:rsidR="00C37789" w:rsidRPr="000322E4">
        <w:rPr>
          <w:b/>
          <w:bCs/>
        </w:rPr>
        <w:instrText xml:space="preserve"> </w:instrText>
      </w:r>
      <w:r w:rsidR="00C37789" w:rsidRPr="000322E4">
        <w:rPr>
          <w:b/>
          <w:bCs/>
          <w:lang w:val="en-US"/>
        </w:rPr>
        <w:instrText>survival</w:instrText>
      </w:r>
      <w:r w:rsidR="00C37789" w:rsidRPr="000322E4">
        <w:rPr>
          <w:b/>
          <w:bCs/>
        </w:rPr>
        <w:instrText xml:space="preserve"> </w:instrText>
      </w:r>
      <w:r w:rsidR="00C37789" w:rsidRPr="000322E4">
        <w:rPr>
          <w:b/>
          <w:bCs/>
          <w:lang w:val="en-US"/>
        </w:rPr>
        <w:instrText>was</w:instrText>
      </w:r>
      <w:r w:rsidR="00C37789" w:rsidRPr="000322E4">
        <w:rPr>
          <w:b/>
          <w:bCs/>
        </w:rPr>
        <w:instrText xml:space="preserve"> </w:instrText>
      </w:r>
      <w:r w:rsidR="00C37789" w:rsidRPr="000322E4">
        <w:rPr>
          <w:b/>
          <w:bCs/>
          <w:lang w:val="en-US"/>
        </w:rPr>
        <w:instrText>only</w:instrText>
      </w:r>
      <w:r w:rsidR="00C37789" w:rsidRPr="000322E4">
        <w:rPr>
          <w:b/>
          <w:bCs/>
        </w:rPr>
        <w:instrText xml:space="preserve"> </w:instrText>
      </w:r>
      <w:r w:rsidR="00C37789" w:rsidRPr="000322E4">
        <w:rPr>
          <w:b/>
          <w:bCs/>
          <w:lang w:val="en-US"/>
        </w:rPr>
        <w:instrText>affected</w:instrText>
      </w:r>
      <w:r w:rsidR="00C37789" w:rsidRPr="000322E4">
        <w:rPr>
          <w:b/>
          <w:bCs/>
        </w:rPr>
        <w:instrText xml:space="preserve"> </w:instrText>
      </w:r>
      <w:r w:rsidR="00C37789" w:rsidRPr="000322E4">
        <w:rPr>
          <w:b/>
          <w:bCs/>
          <w:lang w:val="en-US"/>
        </w:rPr>
        <w:instrText>by</w:instrText>
      </w:r>
      <w:r w:rsidR="00C37789" w:rsidRPr="000322E4">
        <w:rPr>
          <w:b/>
          <w:bCs/>
        </w:rPr>
        <w:instrText xml:space="preserve"> </w:instrText>
      </w:r>
      <w:r w:rsidR="00C37789" w:rsidRPr="000322E4">
        <w:rPr>
          <w:b/>
          <w:bCs/>
          <w:lang w:val="en-US"/>
        </w:rPr>
        <w:instrText>a</w:instrText>
      </w:r>
      <w:r w:rsidR="00C37789" w:rsidRPr="000322E4">
        <w:rPr>
          <w:b/>
          <w:bCs/>
        </w:rPr>
        <w:instrText xml:space="preserve"> </w:instrText>
      </w:r>
      <w:r w:rsidR="00C37789" w:rsidRPr="000322E4">
        <w:rPr>
          <w:b/>
          <w:bCs/>
          <w:lang w:val="en-US"/>
        </w:rPr>
        <w:instrText>serum</w:instrText>
      </w:r>
      <w:r w:rsidR="00C37789" w:rsidRPr="000322E4">
        <w:rPr>
          <w:b/>
          <w:bCs/>
        </w:rPr>
        <w:instrText xml:space="preserve"> </w:instrText>
      </w:r>
      <w:r w:rsidR="00C37789" w:rsidRPr="000322E4">
        <w:rPr>
          <w:b/>
          <w:bCs/>
          <w:lang w:val="en-US"/>
        </w:rPr>
        <w:instrText>albumin</w:instrText>
      </w:r>
      <w:r w:rsidR="00C37789" w:rsidRPr="000322E4">
        <w:rPr>
          <w:b/>
          <w:bCs/>
        </w:rPr>
        <w:instrText xml:space="preserve"> </w:instrText>
      </w:r>
      <w:r w:rsidR="00C37789" w:rsidRPr="000322E4">
        <w:rPr>
          <w:b/>
          <w:bCs/>
          <w:lang w:val="en-US"/>
        </w:rPr>
        <w:instrText>concentration</w:instrText>
      </w:r>
      <w:r w:rsidR="00C37789" w:rsidRPr="000322E4">
        <w:rPr>
          <w:b/>
          <w:bCs/>
        </w:rPr>
        <w:instrText xml:space="preserve"> </w:instrText>
      </w:r>
      <w:r w:rsidR="00C37789" w:rsidRPr="000322E4">
        <w:rPr>
          <w:b/>
          <w:bCs/>
          <w:lang w:val="en-US"/>
        </w:rPr>
        <w:instrText>of</w:instrText>
      </w:r>
      <w:r w:rsidR="00C37789" w:rsidRPr="000322E4">
        <w:rPr>
          <w:b/>
          <w:bCs/>
        </w:rPr>
        <w:instrText xml:space="preserve"> 35 </w:instrText>
      </w:r>
      <w:r w:rsidR="00C37789" w:rsidRPr="000322E4">
        <w:rPr>
          <w:b/>
          <w:bCs/>
          <w:lang w:val="en-US"/>
        </w:rPr>
        <w:instrText>g</w:instrText>
      </w:r>
      <w:r w:rsidR="00C37789" w:rsidRPr="000322E4">
        <w:rPr>
          <w:b/>
          <w:bCs/>
        </w:rPr>
        <w:instrText>/</w:instrText>
      </w:r>
      <w:r w:rsidR="00C37789" w:rsidRPr="000322E4">
        <w:rPr>
          <w:b/>
          <w:bCs/>
          <w:lang w:val="en-US"/>
        </w:rPr>
        <w:instrText>L</w:instrText>
      </w:r>
      <w:r w:rsidR="00C37789" w:rsidRPr="000322E4">
        <w:rPr>
          <w:b/>
          <w:bCs/>
        </w:rPr>
        <w:instrText xml:space="preserve"> </w:instrText>
      </w:r>
      <w:r w:rsidR="00C37789" w:rsidRPr="000322E4">
        <w:rPr>
          <w:b/>
          <w:bCs/>
          <w:lang w:val="en-US"/>
        </w:rPr>
        <w:instrText>or</w:instrText>
      </w:r>
      <w:r w:rsidR="00C37789" w:rsidRPr="000322E4">
        <w:rPr>
          <w:b/>
          <w:bCs/>
        </w:rPr>
        <w:instrText xml:space="preserve"> </w:instrText>
      </w:r>
      <w:r w:rsidR="00C37789" w:rsidRPr="000322E4">
        <w:rPr>
          <w:b/>
          <w:bCs/>
          <w:lang w:val="en-US"/>
        </w:rPr>
        <w:instrText>less</w:instrText>
      </w:r>
      <w:r w:rsidR="00C37789" w:rsidRPr="000322E4">
        <w:rPr>
          <w:b/>
          <w:bCs/>
        </w:rPr>
        <w:instrText xml:space="preserve"> (</w:instrText>
      </w:r>
      <w:r w:rsidR="00C37789" w:rsidRPr="000322E4">
        <w:rPr>
          <w:b/>
          <w:bCs/>
          <w:lang w:val="en-US"/>
        </w:rPr>
        <w:instrText>hazard</w:instrText>
      </w:r>
      <w:r w:rsidR="00C37789" w:rsidRPr="000322E4">
        <w:rPr>
          <w:b/>
          <w:bCs/>
        </w:rPr>
        <w:instrText xml:space="preserve"> </w:instrText>
      </w:r>
      <w:r w:rsidR="00C37789" w:rsidRPr="000322E4">
        <w:rPr>
          <w:b/>
          <w:bCs/>
          <w:lang w:val="en-US"/>
        </w:rPr>
        <w:instrText>ratio</w:instrText>
      </w:r>
      <w:r w:rsidR="00C37789" w:rsidRPr="000322E4">
        <w:rPr>
          <w:b/>
          <w:bCs/>
        </w:rPr>
        <w:instrText xml:space="preserve"> 3·2, 95% </w:instrText>
      </w:r>
      <w:r w:rsidR="00C37789" w:rsidRPr="000322E4">
        <w:rPr>
          <w:b/>
          <w:bCs/>
          <w:lang w:val="en-US"/>
        </w:rPr>
        <w:instrText>CI</w:instrText>
      </w:r>
      <w:r w:rsidR="00C37789" w:rsidRPr="000322E4">
        <w:rPr>
          <w:b/>
          <w:bCs/>
        </w:rPr>
        <w:instrText xml:space="preserve"> 1·4-7·1; </w:instrText>
      </w:r>
      <w:r w:rsidR="00C37789" w:rsidRPr="000322E4">
        <w:rPr>
          <w:b/>
          <w:bCs/>
          <w:lang w:val="en-US"/>
        </w:rPr>
        <w:instrText>p</w:instrText>
      </w:r>
      <w:r w:rsidR="00C37789" w:rsidRPr="000322E4">
        <w:rPr>
          <w:b/>
          <w:bCs/>
        </w:rPr>
        <w:instrText xml:space="preserve">=0·0053). </w:instrText>
      </w:r>
      <w:r w:rsidR="00C37789" w:rsidRPr="000322E4">
        <w:rPr>
          <w:b/>
          <w:bCs/>
          <w:lang w:val="en-US"/>
        </w:rPr>
        <w:instrText>Median</w:instrText>
      </w:r>
      <w:r w:rsidR="00C37789" w:rsidRPr="000322E4">
        <w:rPr>
          <w:b/>
          <w:bCs/>
        </w:rPr>
        <w:instrText xml:space="preserve"> </w:instrText>
      </w:r>
      <w:r w:rsidR="00C37789" w:rsidRPr="000322E4">
        <w:rPr>
          <w:b/>
          <w:bCs/>
          <w:lang w:val="en-US"/>
        </w:rPr>
        <w:instrText>progression</w:instrText>
      </w:r>
      <w:r w:rsidR="00C37789" w:rsidRPr="000322E4">
        <w:rPr>
          <w:b/>
          <w:bCs/>
        </w:rPr>
        <w:instrText>-</w:instrText>
      </w:r>
      <w:r w:rsidR="00C37789" w:rsidRPr="000322E4">
        <w:rPr>
          <w:b/>
          <w:bCs/>
          <w:lang w:val="en-US"/>
        </w:rPr>
        <w:instrText>free</w:instrText>
      </w:r>
      <w:r w:rsidR="00C37789" w:rsidRPr="000322E4">
        <w:rPr>
          <w:b/>
          <w:bCs/>
        </w:rPr>
        <w:instrText xml:space="preserve"> </w:instrText>
      </w:r>
      <w:r w:rsidR="00C37789" w:rsidRPr="000322E4">
        <w:rPr>
          <w:b/>
          <w:bCs/>
          <w:lang w:val="en-US"/>
        </w:rPr>
        <w:instrText>survival</w:instrText>
      </w:r>
      <w:r w:rsidR="00C37789" w:rsidRPr="000322E4">
        <w:rPr>
          <w:b/>
          <w:bCs/>
        </w:rPr>
        <w:instrText xml:space="preserve"> </w:instrText>
      </w:r>
      <w:r w:rsidR="00C37789" w:rsidRPr="000322E4">
        <w:rPr>
          <w:b/>
          <w:bCs/>
          <w:lang w:val="en-US"/>
        </w:rPr>
        <w:instrText>was</w:instrText>
      </w:r>
      <w:r w:rsidR="00C37789" w:rsidRPr="000322E4">
        <w:rPr>
          <w:b/>
          <w:bCs/>
        </w:rPr>
        <w:instrText xml:space="preserve"> 21 </w:instrText>
      </w:r>
      <w:r w:rsidR="00C37789" w:rsidRPr="000322E4">
        <w:rPr>
          <w:b/>
          <w:bCs/>
          <w:lang w:val="en-US"/>
        </w:rPr>
        <w:instrText>months</w:instrText>
      </w:r>
      <w:r w:rsidR="00C37789" w:rsidRPr="000322E4">
        <w:rPr>
          <w:b/>
          <w:bCs/>
        </w:rPr>
        <w:instrText xml:space="preserve"> (95% </w:instrText>
      </w:r>
      <w:r w:rsidR="00C37789" w:rsidRPr="000322E4">
        <w:rPr>
          <w:b/>
          <w:bCs/>
          <w:lang w:val="en-US"/>
        </w:rPr>
        <w:instrText>CI</w:instrText>
      </w:r>
      <w:r w:rsidR="00C37789" w:rsidRPr="000322E4">
        <w:rPr>
          <w:b/>
          <w:bCs/>
        </w:rPr>
        <w:instrText xml:space="preserve"> 13 </w:instrText>
      </w:r>
      <w:r w:rsidR="00C37789" w:rsidRPr="000322E4">
        <w:rPr>
          <w:b/>
          <w:bCs/>
          <w:lang w:val="en-US"/>
        </w:rPr>
        <w:instrText>to</w:instrText>
      </w:r>
      <w:r w:rsidR="00C37789" w:rsidRPr="000322E4">
        <w:rPr>
          <w:b/>
          <w:bCs/>
        </w:rPr>
        <w:instrText xml:space="preserve"> </w:instrText>
      </w:r>
      <w:r w:rsidR="00C37789" w:rsidRPr="000322E4">
        <w:rPr>
          <w:b/>
          <w:bCs/>
          <w:lang w:val="en-US"/>
        </w:rPr>
        <w:instrText>upper</w:instrText>
      </w:r>
      <w:r w:rsidR="00C37789" w:rsidRPr="000322E4">
        <w:rPr>
          <w:b/>
          <w:bCs/>
        </w:rPr>
        <w:instrText xml:space="preserve"> </w:instrText>
      </w:r>
      <w:r w:rsidR="00C37789" w:rsidRPr="000322E4">
        <w:rPr>
          <w:b/>
          <w:bCs/>
          <w:lang w:val="en-US"/>
        </w:rPr>
        <w:instrText>limit</w:instrText>
      </w:r>
      <w:r w:rsidR="00C37789" w:rsidRPr="000322E4">
        <w:rPr>
          <w:b/>
          <w:bCs/>
        </w:rPr>
        <w:instrText xml:space="preserve"> </w:instrText>
      </w:r>
      <w:r w:rsidR="00C37789" w:rsidRPr="000322E4">
        <w:rPr>
          <w:b/>
          <w:bCs/>
          <w:lang w:val="en-US"/>
        </w:rPr>
        <w:instrText>not</w:instrText>
      </w:r>
      <w:r w:rsidR="00C37789" w:rsidRPr="000322E4">
        <w:rPr>
          <w:b/>
          <w:bCs/>
        </w:rPr>
        <w:instrText xml:space="preserve"> </w:instrText>
      </w:r>
      <w:r w:rsidR="00C37789" w:rsidRPr="000322E4">
        <w:rPr>
          <w:b/>
          <w:bCs/>
          <w:lang w:val="en-US"/>
        </w:rPr>
        <w:instrText>reached</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a</w:instrText>
      </w:r>
      <w:r w:rsidR="00C37789" w:rsidRPr="000322E4">
        <w:rPr>
          <w:b/>
          <w:bCs/>
        </w:rPr>
        <w:instrText xml:space="preserve"> 2-</w:instrText>
      </w:r>
      <w:r w:rsidR="00C37789" w:rsidRPr="000322E4">
        <w:rPr>
          <w:b/>
          <w:bCs/>
          <w:lang w:val="en-US"/>
        </w:rPr>
        <w:instrText>year</w:instrText>
      </w:r>
      <w:r w:rsidR="00C37789" w:rsidRPr="000322E4">
        <w:rPr>
          <w:b/>
          <w:bCs/>
        </w:rPr>
        <w:instrText xml:space="preserve"> </w:instrText>
      </w:r>
      <w:r w:rsidR="00C37789" w:rsidRPr="000322E4">
        <w:rPr>
          <w:b/>
          <w:bCs/>
          <w:lang w:val="en-US"/>
        </w:rPr>
        <w:instrText>progression</w:instrText>
      </w:r>
      <w:r w:rsidR="00C37789" w:rsidRPr="000322E4">
        <w:rPr>
          <w:b/>
          <w:bCs/>
        </w:rPr>
        <w:instrText xml:space="preserve"> </w:instrText>
      </w:r>
      <w:r w:rsidR="00C37789" w:rsidRPr="000322E4">
        <w:rPr>
          <w:b/>
          <w:bCs/>
          <w:lang w:val="en-US"/>
        </w:rPr>
        <w:instrText>free</w:instrText>
      </w:r>
      <w:r w:rsidR="00C37789" w:rsidRPr="000322E4">
        <w:rPr>
          <w:b/>
          <w:bCs/>
        </w:rPr>
        <w:instrText xml:space="preserve"> </w:instrText>
      </w:r>
      <w:r w:rsidR="00C37789" w:rsidRPr="000322E4">
        <w:rPr>
          <w:b/>
          <w:bCs/>
          <w:lang w:val="en-US"/>
        </w:rPr>
        <w:instrText>survival</w:instrText>
      </w:r>
      <w:r w:rsidR="00C37789" w:rsidRPr="000322E4">
        <w:rPr>
          <w:b/>
          <w:bCs/>
        </w:rPr>
        <w:instrText xml:space="preserve"> </w:instrText>
      </w:r>
      <w:r w:rsidR="00C37789" w:rsidRPr="000322E4">
        <w:rPr>
          <w:b/>
          <w:bCs/>
          <w:lang w:val="en-US"/>
        </w:rPr>
        <w:instrText>of</w:instrText>
      </w:r>
      <w:r w:rsidR="00C37789" w:rsidRPr="000322E4">
        <w:rPr>
          <w:b/>
          <w:bCs/>
        </w:rPr>
        <w:instrText xml:space="preserve"> 47% (38-56). 58 </w:instrText>
      </w:r>
      <w:r w:rsidR="00C37789" w:rsidRPr="000322E4">
        <w:rPr>
          <w:b/>
          <w:bCs/>
          <w:lang w:val="en-US"/>
        </w:rPr>
        <w:instrText>deaths</w:instrText>
      </w:r>
      <w:r w:rsidR="00C37789" w:rsidRPr="000322E4">
        <w:rPr>
          <w:b/>
          <w:bCs/>
        </w:rPr>
        <w:instrText xml:space="preserve"> </w:instrText>
      </w:r>
      <w:r w:rsidR="00C37789" w:rsidRPr="000322E4">
        <w:rPr>
          <w:b/>
          <w:bCs/>
          <w:lang w:val="en-US"/>
        </w:rPr>
        <w:instrText>were</w:instrText>
      </w:r>
      <w:r w:rsidR="00C37789" w:rsidRPr="000322E4">
        <w:rPr>
          <w:b/>
          <w:bCs/>
        </w:rPr>
        <w:instrText xml:space="preserve"> </w:instrText>
      </w:r>
      <w:r w:rsidR="00C37789" w:rsidRPr="000322E4">
        <w:rPr>
          <w:b/>
          <w:bCs/>
          <w:lang w:val="en-US"/>
        </w:rPr>
        <w:instrText>reported</w:instrText>
      </w:r>
      <w:r w:rsidR="00C37789" w:rsidRPr="000322E4">
        <w:rPr>
          <w:b/>
          <w:bCs/>
        </w:rPr>
        <w:instrText xml:space="preserve">, 33 </w:instrText>
      </w:r>
      <w:r w:rsidR="00C37789" w:rsidRPr="000322E4">
        <w:rPr>
          <w:b/>
          <w:bCs/>
          <w:lang w:val="en-US"/>
        </w:rPr>
        <w:instrText>of</w:instrText>
      </w:r>
      <w:r w:rsidR="00C37789" w:rsidRPr="000322E4">
        <w:rPr>
          <w:b/>
          <w:bCs/>
        </w:rPr>
        <w:instrText xml:space="preserve"> </w:instrText>
      </w:r>
      <w:r w:rsidR="00C37789" w:rsidRPr="000322E4">
        <w:rPr>
          <w:b/>
          <w:bCs/>
          <w:lang w:val="en-US"/>
        </w:rPr>
        <w:instrText>which</w:instrText>
      </w:r>
      <w:r w:rsidR="00C37789" w:rsidRPr="000322E4">
        <w:rPr>
          <w:b/>
          <w:bCs/>
        </w:rPr>
        <w:instrText xml:space="preserve"> </w:instrText>
      </w:r>
      <w:r w:rsidR="00C37789" w:rsidRPr="000322E4">
        <w:rPr>
          <w:b/>
          <w:bCs/>
          <w:lang w:val="en-US"/>
        </w:rPr>
        <w:instrText>were</w:instrText>
      </w:r>
      <w:r w:rsidR="00C37789" w:rsidRPr="000322E4">
        <w:rPr>
          <w:b/>
          <w:bCs/>
        </w:rPr>
        <w:instrText xml:space="preserve"> </w:instrText>
      </w:r>
      <w:r w:rsidR="00C37789" w:rsidRPr="000322E4">
        <w:rPr>
          <w:b/>
          <w:bCs/>
          <w:lang w:val="en-US"/>
        </w:rPr>
        <w:instrText>secondary</w:instrText>
      </w:r>
      <w:r w:rsidR="00C37789" w:rsidRPr="000322E4">
        <w:rPr>
          <w:b/>
          <w:bCs/>
        </w:rPr>
        <w:instrText xml:space="preserve"> </w:instrText>
      </w:r>
      <w:r w:rsidR="00C37789" w:rsidRPr="000322E4">
        <w:rPr>
          <w:b/>
          <w:bCs/>
          <w:lang w:val="en-US"/>
        </w:rPr>
        <w:instrText>to</w:instrText>
      </w:r>
      <w:r w:rsidR="00C37789" w:rsidRPr="000322E4">
        <w:rPr>
          <w:b/>
          <w:bCs/>
        </w:rPr>
        <w:instrText xml:space="preserve"> </w:instrText>
      </w:r>
      <w:r w:rsidR="00C37789" w:rsidRPr="000322E4">
        <w:rPr>
          <w:b/>
          <w:bCs/>
          <w:lang w:val="en-US"/>
        </w:rPr>
        <w:instrText>lymphoma</w:instrText>
      </w:r>
      <w:r w:rsidR="00C37789" w:rsidRPr="000322E4">
        <w:rPr>
          <w:b/>
          <w:bCs/>
        </w:rPr>
        <w:instrText xml:space="preserve"> </w:instrText>
      </w:r>
      <w:r w:rsidR="00C37789" w:rsidRPr="000322E4">
        <w:rPr>
          <w:b/>
          <w:bCs/>
          <w:lang w:val="en-US"/>
        </w:rPr>
        <w:instrText>progression</w:instrText>
      </w:r>
      <w:r w:rsidR="00C37789" w:rsidRPr="000322E4">
        <w:rPr>
          <w:b/>
          <w:bCs/>
        </w:rPr>
        <w:instrText xml:space="preserve">. 12 </w:instrText>
      </w:r>
      <w:r w:rsidR="00C37789" w:rsidRPr="000322E4">
        <w:rPr>
          <w:b/>
          <w:bCs/>
          <w:lang w:val="en-US"/>
        </w:rPr>
        <w:instrText>deaths</w:instrText>
      </w:r>
      <w:r w:rsidR="00C37789" w:rsidRPr="000322E4">
        <w:rPr>
          <w:b/>
          <w:bCs/>
        </w:rPr>
        <w:instrText xml:space="preserve"> </w:instrText>
      </w:r>
      <w:r w:rsidR="00C37789" w:rsidRPr="000322E4">
        <w:rPr>
          <w:b/>
          <w:bCs/>
          <w:lang w:val="en-US"/>
        </w:rPr>
        <w:instrText>were</w:instrText>
      </w:r>
      <w:r w:rsidR="00C37789" w:rsidRPr="000322E4">
        <w:rPr>
          <w:b/>
          <w:bCs/>
        </w:rPr>
        <w:instrText xml:space="preserve"> </w:instrText>
      </w:r>
      <w:r w:rsidR="00C37789" w:rsidRPr="000322E4">
        <w:rPr>
          <w:b/>
          <w:bCs/>
          <w:lang w:val="en-US"/>
        </w:rPr>
        <w:instrText>attributed</w:instrText>
      </w:r>
      <w:r w:rsidR="00C37789" w:rsidRPr="000322E4">
        <w:rPr>
          <w:b/>
          <w:bCs/>
        </w:rPr>
        <w:instrText xml:space="preserve"> </w:instrText>
      </w:r>
      <w:r w:rsidR="00C37789" w:rsidRPr="000322E4">
        <w:rPr>
          <w:b/>
          <w:bCs/>
          <w:lang w:val="en-US"/>
        </w:rPr>
        <w:instrText>to</w:instrText>
      </w:r>
      <w:r w:rsidR="00C37789" w:rsidRPr="000322E4">
        <w:rPr>
          <w:b/>
          <w:bCs/>
        </w:rPr>
        <w:instrText xml:space="preserve"> </w:instrText>
      </w:r>
      <w:r w:rsidR="00C37789" w:rsidRPr="000322E4">
        <w:rPr>
          <w:b/>
          <w:bCs/>
          <w:lang w:val="en-US"/>
        </w:rPr>
        <w:instrText>toxicity</w:instrText>
      </w:r>
      <w:r w:rsidR="00C37789" w:rsidRPr="000322E4">
        <w:rPr>
          <w:b/>
          <w:bCs/>
        </w:rPr>
        <w:instrText xml:space="preserve"> </w:instrText>
      </w:r>
      <w:r w:rsidR="00C37789" w:rsidRPr="000322E4">
        <w:rPr>
          <w:b/>
          <w:bCs/>
          <w:lang w:val="en-US"/>
        </w:rPr>
        <w:instrText>of</w:instrText>
      </w:r>
      <w:r w:rsidR="00C37789" w:rsidRPr="000322E4">
        <w:rPr>
          <w:b/>
          <w:bCs/>
        </w:rPr>
        <w:instrText xml:space="preserve"> </w:instrText>
      </w:r>
      <w:r w:rsidR="00C37789" w:rsidRPr="000322E4">
        <w:rPr>
          <w:b/>
          <w:bCs/>
          <w:lang w:val="en-US"/>
        </w:rPr>
        <w:instrText>the</w:instrText>
      </w:r>
      <w:r w:rsidR="00C37789" w:rsidRPr="000322E4">
        <w:rPr>
          <w:b/>
          <w:bCs/>
        </w:rPr>
        <w:instrText xml:space="preserve"> </w:instrText>
      </w:r>
      <w:r w:rsidR="00C37789" w:rsidRPr="000322E4">
        <w:rPr>
          <w:b/>
          <w:bCs/>
          <w:lang w:val="en-US"/>
        </w:rPr>
        <w:instrText>treatment</w:instrText>
      </w:r>
      <w:r w:rsidR="00C37789" w:rsidRPr="000322E4">
        <w:rPr>
          <w:b/>
          <w:bCs/>
        </w:rPr>
        <w:instrText xml:space="preserve">. </w:instrText>
      </w:r>
      <w:r w:rsidR="00C37789" w:rsidRPr="000322E4">
        <w:rPr>
          <w:b/>
          <w:bCs/>
          <w:lang w:val="en-US"/>
        </w:rPr>
        <w:instrText>The</w:instrText>
      </w:r>
      <w:r w:rsidR="00C37789" w:rsidRPr="000322E4">
        <w:rPr>
          <w:b/>
          <w:bCs/>
        </w:rPr>
        <w:instrText xml:space="preserve"> </w:instrText>
      </w:r>
      <w:r w:rsidR="00C37789" w:rsidRPr="000322E4">
        <w:rPr>
          <w:b/>
          <w:bCs/>
          <w:lang w:val="en-US"/>
        </w:rPr>
        <w:instrText>most</w:instrText>
      </w:r>
      <w:r w:rsidR="00C37789" w:rsidRPr="000322E4">
        <w:rPr>
          <w:b/>
          <w:bCs/>
        </w:rPr>
        <w:instrText xml:space="preserve"> </w:instrText>
      </w:r>
      <w:r w:rsidR="00C37789" w:rsidRPr="000322E4">
        <w:rPr>
          <w:b/>
          <w:bCs/>
          <w:lang w:val="en-US"/>
        </w:rPr>
        <w:instrText>frequent</w:instrText>
      </w:r>
      <w:r w:rsidR="00C37789" w:rsidRPr="000322E4">
        <w:rPr>
          <w:b/>
          <w:bCs/>
        </w:rPr>
        <w:instrText xml:space="preserve"> </w:instrText>
      </w:r>
      <w:r w:rsidR="00C37789" w:rsidRPr="000322E4">
        <w:rPr>
          <w:b/>
          <w:bCs/>
          <w:lang w:val="en-US"/>
        </w:rPr>
        <w:instrText>side</w:instrText>
      </w:r>
      <w:r w:rsidR="00C37789" w:rsidRPr="000322E4">
        <w:rPr>
          <w:b/>
          <w:bCs/>
        </w:rPr>
        <w:instrText>-</w:instrText>
      </w:r>
      <w:r w:rsidR="00C37789" w:rsidRPr="000322E4">
        <w:rPr>
          <w:b/>
          <w:bCs/>
          <w:lang w:val="en-US"/>
        </w:rPr>
        <w:instrText>effect</w:instrText>
      </w:r>
      <w:r w:rsidR="00C37789" w:rsidRPr="000322E4">
        <w:rPr>
          <w:b/>
          <w:bCs/>
        </w:rPr>
        <w:instrText xml:space="preserve"> </w:instrText>
      </w:r>
      <w:r w:rsidR="00C37789" w:rsidRPr="000322E4">
        <w:rPr>
          <w:b/>
          <w:bCs/>
          <w:lang w:val="en-US"/>
        </w:rPr>
        <w:instrText>was</w:instrText>
      </w:r>
      <w:r w:rsidR="00C37789" w:rsidRPr="000322E4">
        <w:rPr>
          <w:b/>
          <w:bCs/>
        </w:rPr>
        <w:instrText xml:space="preserve"> </w:instrText>
      </w:r>
      <w:r w:rsidR="00C37789" w:rsidRPr="000322E4">
        <w:rPr>
          <w:b/>
          <w:bCs/>
          <w:lang w:val="en-US"/>
        </w:rPr>
        <w:instrText>haematological</w:instrText>
      </w:r>
      <w:r w:rsidR="00C37789" w:rsidRPr="000322E4">
        <w:rPr>
          <w:b/>
          <w:bCs/>
        </w:rPr>
        <w:instrText xml:space="preserve"> </w:instrText>
      </w:r>
      <w:r w:rsidR="00C37789" w:rsidRPr="000322E4">
        <w:rPr>
          <w:b/>
          <w:bCs/>
          <w:lang w:val="en-US"/>
        </w:rPr>
        <w:instrText>toxicity</w:instrText>
      </w:r>
      <w:r w:rsidR="00C37789" w:rsidRPr="000322E4">
        <w:rPr>
          <w:b/>
          <w:bCs/>
        </w:rPr>
        <w:instrText xml:space="preserve"> (</w:instrText>
      </w:r>
      <w:r w:rsidR="00C37789" w:rsidRPr="000322E4">
        <w:rPr>
          <w:b/>
          <w:bCs/>
          <w:lang w:val="en-US"/>
        </w:rPr>
        <w:instrText>grade</w:instrText>
      </w:r>
      <w:r w:rsidR="00C37789" w:rsidRPr="000322E4">
        <w:rPr>
          <w:b/>
          <w:bCs/>
        </w:rPr>
        <w:instrText xml:space="preserve"> ≥3 </w:instrText>
      </w:r>
      <w:r w:rsidR="00C37789" w:rsidRPr="000322E4">
        <w:rPr>
          <w:b/>
          <w:bCs/>
          <w:lang w:val="en-US"/>
        </w:rPr>
        <w:instrText>neutropenia</w:instrText>
      </w:r>
      <w:r w:rsidR="00C37789" w:rsidRPr="000322E4">
        <w:rPr>
          <w:b/>
          <w:bCs/>
        </w:rPr>
        <w:instrText xml:space="preserve"> </w:instrText>
      </w:r>
      <w:r w:rsidR="00C37789" w:rsidRPr="000322E4">
        <w:rPr>
          <w:b/>
          <w:bCs/>
          <w:lang w:val="en-US"/>
        </w:rPr>
        <w:instrText>in</w:instrText>
      </w:r>
      <w:r w:rsidR="00C37789" w:rsidRPr="000322E4">
        <w:rPr>
          <w:b/>
          <w:bCs/>
        </w:rPr>
        <w:instrText xml:space="preserve"> 59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febrile</w:instrText>
      </w:r>
      <w:r w:rsidR="00C37789" w:rsidRPr="000322E4">
        <w:rPr>
          <w:b/>
          <w:bCs/>
        </w:rPr>
        <w:instrText xml:space="preserve"> </w:instrText>
      </w:r>
      <w:r w:rsidR="00C37789" w:rsidRPr="000322E4">
        <w:rPr>
          <w:b/>
          <w:bCs/>
          <w:lang w:val="en-US"/>
        </w:rPr>
        <w:instrText>neutropenia</w:instrText>
      </w:r>
      <w:r w:rsidR="00C37789" w:rsidRPr="000322E4">
        <w:rPr>
          <w:b/>
          <w:bCs/>
        </w:rPr>
        <w:instrText xml:space="preserve"> </w:instrText>
      </w:r>
      <w:r w:rsidR="00C37789" w:rsidRPr="000322E4">
        <w:rPr>
          <w:b/>
          <w:bCs/>
          <w:lang w:val="en-US"/>
        </w:rPr>
        <w:instrText>in</w:instrText>
      </w:r>
      <w:r w:rsidR="00C37789" w:rsidRPr="000322E4">
        <w:rPr>
          <w:b/>
          <w:bCs/>
        </w:rPr>
        <w:instrText xml:space="preserve"> 11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Interpretation</w:instrText>
      </w:r>
      <w:r w:rsidR="00C37789" w:rsidRPr="000322E4">
        <w:rPr>
          <w:b/>
          <w:bCs/>
        </w:rPr>
        <w:instrText xml:space="preserve">: </w:instrText>
      </w:r>
      <w:r w:rsidR="00C37789" w:rsidRPr="000322E4">
        <w:rPr>
          <w:b/>
          <w:bCs/>
          <w:lang w:val="en-US"/>
        </w:rPr>
        <w:instrText>R</w:instrText>
      </w:r>
      <w:r w:rsidR="00C37789" w:rsidRPr="000322E4">
        <w:rPr>
          <w:b/>
          <w:bCs/>
        </w:rPr>
        <w:instrText>-</w:instrText>
      </w:r>
      <w:r w:rsidR="00C37789" w:rsidRPr="000322E4">
        <w:rPr>
          <w:b/>
          <w:bCs/>
          <w:lang w:val="en-US"/>
        </w:rPr>
        <w:instrText>miniCHOP</w:instrText>
      </w:r>
      <w:r w:rsidR="00C37789" w:rsidRPr="000322E4">
        <w:rPr>
          <w:b/>
          <w:bCs/>
        </w:rPr>
        <w:instrText xml:space="preserve"> </w:instrText>
      </w:r>
      <w:r w:rsidR="00C37789" w:rsidRPr="000322E4">
        <w:rPr>
          <w:b/>
          <w:bCs/>
          <w:lang w:val="en-US"/>
        </w:rPr>
        <w:instrText>offers</w:instrText>
      </w:r>
      <w:r w:rsidR="00C37789" w:rsidRPr="000322E4">
        <w:rPr>
          <w:b/>
          <w:bCs/>
        </w:rPr>
        <w:instrText xml:space="preserve"> </w:instrText>
      </w:r>
      <w:r w:rsidR="00C37789" w:rsidRPr="000322E4">
        <w:rPr>
          <w:b/>
          <w:bCs/>
          <w:lang w:val="en-US"/>
        </w:rPr>
        <w:instrText>a</w:instrText>
      </w:r>
      <w:r w:rsidR="00C37789" w:rsidRPr="000322E4">
        <w:rPr>
          <w:b/>
          <w:bCs/>
        </w:rPr>
        <w:instrText xml:space="preserve"> </w:instrText>
      </w:r>
      <w:r w:rsidR="00C37789" w:rsidRPr="000322E4">
        <w:rPr>
          <w:b/>
          <w:bCs/>
          <w:lang w:val="en-US"/>
        </w:rPr>
        <w:instrText>good</w:instrText>
      </w:r>
      <w:r w:rsidR="00C37789" w:rsidRPr="000322E4">
        <w:rPr>
          <w:b/>
          <w:bCs/>
        </w:rPr>
        <w:instrText xml:space="preserve"> </w:instrText>
      </w:r>
      <w:r w:rsidR="00C37789" w:rsidRPr="000322E4">
        <w:rPr>
          <w:b/>
          <w:bCs/>
          <w:lang w:val="en-US"/>
        </w:rPr>
        <w:instrText>compromise</w:instrText>
      </w:r>
      <w:r w:rsidR="00C37789" w:rsidRPr="000322E4">
        <w:rPr>
          <w:b/>
          <w:bCs/>
        </w:rPr>
        <w:instrText xml:space="preserve"> </w:instrText>
      </w:r>
      <w:r w:rsidR="00C37789" w:rsidRPr="000322E4">
        <w:rPr>
          <w:b/>
          <w:bCs/>
          <w:lang w:val="en-US"/>
        </w:rPr>
        <w:instrText>between</w:instrText>
      </w:r>
      <w:r w:rsidR="00C37789" w:rsidRPr="000322E4">
        <w:rPr>
          <w:b/>
          <w:bCs/>
        </w:rPr>
        <w:instrText xml:space="preserve"> </w:instrText>
      </w:r>
      <w:r w:rsidR="00C37789" w:rsidRPr="000322E4">
        <w:rPr>
          <w:b/>
          <w:bCs/>
          <w:lang w:val="en-US"/>
        </w:rPr>
        <w:instrText>efficacy</w:instrText>
      </w:r>
      <w:r w:rsidR="00C37789" w:rsidRPr="000322E4">
        <w:rPr>
          <w:b/>
          <w:bCs/>
        </w:rPr>
        <w:instrText xml:space="preserve"> </w:instrText>
      </w:r>
      <w:r w:rsidR="00C37789" w:rsidRPr="000322E4">
        <w:rPr>
          <w:b/>
          <w:bCs/>
          <w:lang w:val="en-US"/>
        </w:rPr>
        <w:instrText>and</w:instrText>
      </w:r>
      <w:r w:rsidR="00C37789" w:rsidRPr="000322E4">
        <w:rPr>
          <w:b/>
          <w:bCs/>
        </w:rPr>
        <w:instrText xml:space="preserve"> </w:instrText>
      </w:r>
      <w:r w:rsidR="00C37789" w:rsidRPr="000322E4">
        <w:rPr>
          <w:b/>
          <w:bCs/>
          <w:lang w:val="en-US"/>
        </w:rPr>
        <w:instrText>safety</w:instrText>
      </w:r>
      <w:r w:rsidR="00C37789" w:rsidRPr="000322E4">
        <w:rPr>
          <w:b/>
          <w:bCs/>
        </w:rPr>
        <w:instrText xml:space="preserve"> </w:instrText>
      </w:r>
      <w:r w:rsidR="00C37789" w:rsidRPr="000322E4">
        <w:rPr>
          <w:b/>
          <w:bCs/>
          <w:lang w:val="en-US"/>
        </w:rPr>
        <w:instrText>in</w:instrText>
      </w:r>
      <w:r w:rsidR="00C37789" w:rsidRPr="000322E4">
        <w:rPr>
          <w:b/>
          <w:bCs/>
        </w:rPr>
        <w:instrText xml:space="preserve">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aged</w:instrText>
      </w:r>
      <w:r w:rsidR="00C37789" w:rsidRPr="000322E4">
        <w:rPr>
          <w:b/>
          <w:bCs/>
        </w:rPr>
        <w:instrText xml:space="preserve"> </w:instrText>
      </w:r>
      <w:r w:rsidR="00C37789" w:rsidRPr="000322E4">
        <w:rPr>
          <w:b/>
          <w:bCs/>
          <w:lang w:val="en-US"/>
        </w:rPr>
        <w:instrText>over</w:instrText>
      </w:r>
      <w:r w:rsidR="00C37789" w:rsidRPr="000322E4">
        <w:rPr>
          <w:b/>
          <w:bCs/>
        </w:rPr>
        <w:instrText xml:space="preserve"> 80 </w:instrText>
      </w:r>
      <w:r w:rsidR="00C37789" w:rsidRPr="000322E4">
        <w:rPr>
          <w:b/>
          <w:bCs/>
          <w:lang w:val="en-US"/>
        </w:rPr>
        <w:instrText>years</w:instrText>
      </w:r>
      <w:r w:rsidR="00C37789" w:rsidRPr="000322E4">
        <w:rPr>
          <w:b/>
          <w:bCs/>
        </w:rPr>
        <w:instrText xml:space="preserve"> </w:instrText>
      </w:r>
      <w:r w:rsidR="00C37789" w:rsidRPr="000322E4">
        <w:rPr>
          <w:b/>
          <w:bCs/>
          <w:lang w:val="en-US"/>
        </w:rPr>
        <w:instrText>old</w:instrText>
      </w:r>
      <w:r w:rsidR="00C37789" w:rsidRPr="000322E4">
        <w:rPr>
          <w:b/>
          <w:bCs/>
        </w:rPr>
        <w:instrText xml:space="preserve">. </w:instrText>
      </w:r>
      <w:r w:rsidR="00C37789" w:rsidRPr="000322E4">
        <w:rPr>
          <w:b/>
          <w:bCs/>
          <w:lang w:val="en-US"/>
        </w:rPr>
        <w:instrText>R</w:instrText>
      </w:r>
      <w:r w:rsidR="00C37789" w:rsidRPr="000322E4">
        <w:rPr>
          <w:b/>
          <w:bCs/>
        </w:rPr>
        <w:instrText>-</w:instrText>
      </w:r>
      <w:r w:rsidR="00C37789" w:rsidRPr="000322E4">
        <w:rPr>
          <w:b/>
          <w:bCs/>
          <w:lang w:val="en-US"/>
        </w:rPr>
        <w:instrText>miniCHOP</w:instrText>
      </w:r>
      <w:r w:rsidR="00C37789" w:rsidRPr="000322E4">
        <w:rPr>
          <w:b/>
          <w:bCs/>
        </w:rPr>
        <w:instrText xml:space="preserve"> </w:instrText>
      </w:r>
      <w:r w:rsidR="00C37789" w:rsidRPr="000322E4">
        <w:rPr>
          <w:b/>
          <w:bCs/>
          <w:lang w:val="en-US"/>
        </w:rPr>
        <w:instrText>should</w:instrText>
      </w:r>
      <w:r w:rsidR="00C37789" w:rsidRPr="000322E4">
        <w:rPr>
          <w:b/>
          <w:bCs/>
        </w:rPr>
        <w:instrText xml:space="preserve"> </w:instrText>
      </w:r>
      <w:r w:rsidR="00C37789" w:rsidRPr="000322E4">
        <w:rPr>
          <w:b/>
          <w:bCs/>
          <w:lang w:val="en-US"/>
        </w:rPr>
        <w:instrText>be</w:instrText>
      </w:r>
      <w:r w:rsidR="00C37789" w:rsidRPr="000322E4">
        <w:rPr>
          <w:b/>
          <w:bCs/>
        </w:rPr>
        <w:instrText xml:space="preserve"> </w:instrText>
      </w:r>
      <w:r w:rsidR="00C37789" w:rsidRPr="000322E4">
        <w:rPr>
          <w:b/>
          <w:bCs/>
          <w:lang w:val="en-US"/>
        </w:rPr>
        <w:instrText>considered</w:instrText>
      </w:r>
      <w:r w:rsidR="00C37789" w:rsidRPr="000322E4">
        <w:rPr>
          <w:b/>
          <w:bCs/>
        </w:rPr>
        <w:instrText xml:space="preserve"> </w:instrText>
      </w:r>
      <w:r w:rsidR="00C37789" w:rsidRPr="000322E4">
        <w:rPr>
          <w:b/>
          <w:bCs/>
          <w:lang w:val="en-US"/>
        </w:rPr>
        <w:instrText>as</w:instrText>
      </w:r>
      <w:r w:rsidR="00C37789" w:rsidRPr="000322E4">
        <w:rPr>
          <w:b/>
          <w:bCs/>
        </w:rPr>
        <w:instrText xml:space="preserve"> </w:instrText>
      </w:r>
      <w:r w:rsidR="00C37789" w:rsidRPr="000322E4">
        <w:rPr>
          <w:b/>
          <w:bCs/>
          <w:lang w:val="en-US"/>
        </w:rPr>
        <w:instrText>the</w:instrText>
      </w:r>
      <w:r w:rsidR="00C37789" w:rsidRPr="000322E4">
        <w:rPr>
          <w:b/>
          <w:bCs/>
        </w:rPr>
        <w:instrText xml:space="preserve"> </w:instrText>
      </w:r>
      <w:r w:rsidR="00C37789" w:rsidRPr="000322E4">
        <w:rPr>
          <w:b/>
          <w:bCs/>
          <w:lang w:val="en-US"/>
        </w:rPr>
        <w:instrText>new</w:instrText>
      </w:r>
      <w:r w:rsidR="00C37789" w:rsidRPr="000322E4">
        <w:rPr>
          <w:b/>
          <w:bCs/>
        </w:rPr>
        <w:instrText xml:space="preserve"> </w:instrText>
      </w:r>
      <w:r w:rsidR="00C37789" w:rsidRPr="000322E4">
        <w:rPr>
          <w:b/>
          <w:bCs/>
          <w:lang w:val="en-US"/>
        </w:rPr>
        <w:instrText>standard</w:instrText>
      </w:r>
      <w:r w:rsidR="00C37789" w:rsidRPr="000322E4">
        <w:rPr>
          <w:b/>
          <w:bCs/>
        </w:rPr>
        <w:instrText xml:space="preserve"> </w:instrText>
      </w:r>
      <w:r w:rsidR="00C37789" w:rsidRPr="000322E4">
        <w:rPr>
          <w:b/>
          <w:bCs/>
          <w:lang w:val="en-US"/>
        </w:rPr>
        <w:instrText>treatment</w:instrText>
      </w:r>
      <w:r w:rsidR="00C37789" w:rsidRPr="000322E4">
        <w:rPr>
          <w:b/>
          <w:bCs/>
        </w:rPr>
        <w:instrText xml:space="preserve"> </w:instrText>
      </w:r>
      <w:r w:rsidR="00C37789" w:rsidRPr="000322E4">
        <w:rPr>
          <w:b/>
          <w:bCs/>
          <w:lang w:val="en-US"/>
        </w:rPr>
        <w:instrText>in</w:instrText>
      </w:r>
      <w:r w:rsidR="00C37789" w:rsidRPr="000322E4">
        <w:rPr>
          <w:b/>
          <w:bCs/>
        </w:rPr>
        <w:instrText xml:space="preserve"> </w:instrText>
      </w:r>
      <w:r w:rsidR="00C37789" w:rsidRPr="000322E4">
        <w:rPr>
          <w:b/>
          <w:bCs/>
          <w:lang w:val="en-US"/>
        </w:rPr>
        <w:instrText>this</w:instrText>
      </w:r>
      <w:r w:rsidR="00C37789" w:rsidRPr="000322E4">
        <w:rPr>
          <w:b/>
          <w:bCs/>
        </w:rPr>
        <w:instrText xml:space="preserve"> </w:instrText>
      </w:r>
      <w:r w:rsidR="00C37789" w:rsidRPr="000322E4">
        <w:rPr>
          <w:b/>
          <w:bCs/>
          <w:lang w:val="en-US"/>
        </w:rPr>
        <w:instrText>subgroup</w:instrText>
      </w:r>
      <w:r w:rsidR="00C37789" w:rsidRPr="000322E4">
        <w:rPr>
          <w:b/>
          <w:bCs/>
        </w:rPr>
        <w:instrText xml:space="preserve"> </w:instrText>
      </w:r>
      <w:r w:rsidR="00C37789" w:rsidRPr="000322E4">
        <w:rPr>
          <w:b/>
          <w:bCs/>
          <w:lang w:val="en-US"/>
        </w:rPr>
        <w:instrText>of</w:instrText>
      </w:r>
      <w:r w:rsidR="00C37789" w:rsidRPr="000322E4">
        <w:rPr>
          <w:b/>
          <w:bCs/>
        </w:rPr>
        <w:instrText xml:space="preserve">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Funding</w:instrText>
      </w:r>
      <w:r w:rsidR="00C37789" w:rsidRPr="000322E4">
        <w:rPr>
          <w:b/>
          <w:bCs/>
        </w:rPr>
        <w:instrText xml:space="preserve">: </w:instrText>
      </w:r>
      <w:r w:rsidR="00C37789" w:rsidRPr="000322E4">
        <w:rPr>
          <w:b/>
          <w:bCs/>
          <w:lang w:val="en-US"/>
        </w:rPr>
        <w:instrText>Groupe</w:instrText>
      </w:r>
      <w:r w:rsidR="00C37789" w:rsidRPr="000322E4">
        <w:rPr>
          <w:b/>
          <w:bCs/>
        </w:rPr>
        <w:instrText xml:space="preserve"> </w:instrText>
      </w:r>
      <w:r w:rsidR="00C37789" w:rsidRPr="000322E4">
        <w:rPr>
          <w:b/>
          <w:bCs/>
          <w:lang w:val="en-US"/>
        </w:rPr>
        <w:instrText>d</w:instrText>
      </w:r>
      <w:r w:rsidR="00C37789" w:rsidRPr="000322E4">
        <w:rPr>
          <w:b/>
          <w:bCs/>
        </w:rPr>
        <w:instrText>'</w:instrText>
      </w:r>
      <w:r w:rsidR="00C37789" w:rsidRPr="000322E4">
        <w:rPr>
          <w:b/>
          <w:bCs/>
          <w:lang w:val="en-US"/>
        </w:rPr>
        <w:instrText>Etude</w:instrText>
      </w:r>
      <w:r w:rsidR="00C37789" w:rsidRPr="000322E4">
        <w:rPr>
          <w:b/>
          <w:bCs/>
        </w:rPr>
        <w:instrText xml:space="preserve"> </w:instrText>
      </w:r>
      <w:r w:rsidR="00C37789" w:rsidRPr="000322E4">
        <w:rPr>
          <w:b/>
          <w:bCs/>
          <w:lang w:val="en-US"/>
        </w:rPr>
        <w:instrText>des</w:instrText>
      </w:r>
      <w:r w:rsidR="00C37789" w:rsidRPr="000322E4">
        <w:rPr>
          <w:b/>
          <w:bCs/>
        </w:rPr>
        <w:instrText xml:space="preserve"> </w:instrText>
      </w:r>
      <w:r w:rsidR="00C37789" w:rsidRPr="000322E4">
        <w:rPr>
          <w:b/>
          <w:bCs/>
          <w:lang w:val="en-US"/>
        </w:rPr>
        <w:instrText>Lymphomes</w:instrText>
      </w:r>
      <w:r w:rsidR="00C37789" w:rsidRPr="000322E4">
        <w:rPr>
          <w:b/>
          <w:bCs/>
        </w:rPr>
        <w:instrText xml:space="preserve"> </w:instrText>
      </w:r>
      <w:r w:rsidR="00C37789" w:rsidRPr="000322E4">
        <w:rPr>
          <w:b/>
          <w:bCs/>
          <w:lang w:val="en-US"/>
        </w:rPr>
        <w:instrText>de</w:instrText>
      </w:r>
      <w:r w:rsidR="00C37789" w:rsidRPr="000322E4">
        <w:rPr>
          <w:b/>
          <w:bCs/>
        </w:rPr>
        <w:instrText xml:space="preserve"> </w:instrText>
      </w:r>
      <w:r w:rsidR="00C37789" w:rsidRPr="000322E4">
        <w:rPr>
          <w:b/>
          <w:bCs/>
          <w:lang w:val="en-US"/>
        </w:rPr>
        <w:instrText>l</w:instrText>
      </w:r>
      <w:r w:rsidR="00C37789" w:rsidRPr="000322E4">
        <w:rPr>
          <w:b/>
          <w:bCs/>
        </w:rPr>
        <w:instrText>'</w:instrText>
      </w:r>
      <w:r w:rsidR="00C37789" w:rsidRPr="000322E4">
        <w:rPr>
          <w:b/>
          <w:bCs/>
          <w:lang w:val="en-US"/>
        </w:rPr>
        <w:instrText>Adulte</w:instrText>
      </w:r>
      <w:r w:rsidR="00C37789" w:rsidRPr="000322E4">
        <w:rPr>
          <w:b/>
          <w:bCs/>
        </w:rPr>
        <w:instrText xml:space="preserve"> (</w:instrText>
      </w:r>
      <w:r w:rsidR="00C37789" w:rsidRPr="000322E4">
        <w:rPr>
          <w:b/>
          <w:bCs/>
          <w:lang w:val="en-US"/>
        </w:rPr>
        <w:instrText>GELA</w:instrText>
      </w:r>
      <w:r w:rsidR="00C37789" w:rsidRPr="000322E4">
        <w:rPr>
          <w:b/>
          <w:bCs/>
        </w:rPr>
        <w:instrText xml:space="preserve">). © 2011 </w:instrText>
      </w:r>
      <w:r w:rsidR="00C37789" w:rsidRPr="000322E4">
        <w:rPr>
          <w:b/>
          <w:bCs/>
          <w:lang w:val="en-US"/>
        </w:rPr>
        <w:instrText>Elsevier</w:instrText>
      </w:r>
      <w:r w:rsidR="00C37789" w:rsidRPr="000322E4">
        <w:rPr>
          <w:b/>
          <w:bCs/>
        </w:rPr>
        <w:instrText xml:space="preserve"> </w:instrText>
      </w:r>
      <w:r w:rsidR="00C37789" w:rsidRPr="000322E4">
        <w:rPr>
          <w:b/>
          <w:bCs/>
          <w:lang w:val="en-US"/>
        </w:rPr>
        <w:instrText>Ltd</w:instrText>
      </w:r>
      <w:r w:rsidR="00C37789" w:rsidRPr="000322E4">
        <w:rPr>
          <w:b/>
          <w:bCs/>
        </w:rPr>
        <w:instrText>.","</w:instrText>
      </w:r>
      <w:r w:rsidR="00C37789" w:rsidRPr="000322E4">
        <w:rPr>
          <w:b/>
          <w:bCs/>
          <w:lang w:val="en-US"/>
        </w:rPr>
        <w:instrText>author</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Peyrade</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Fr</w:instrText>
      </w:r>
      <w:r w:rsidR="00C37789" w:rsidRPr="000322E4">
        <w:rPr>
          <w:b/>
          <w:bCs/>
        </w:rPr>
        <w:instrText>é</w:instrText>
      </w:r>
      <w:r w:rsidR="00C37789" w:rsidRPr="000322E4">
        <w:rPr>
          <w:b/>
          <w:bCs/>
          <w:lang w:val="en-US"/>
        </w:rPr>
        <w:instrText>d</w:instrText>
      </w:r>
      <w:r w:rsidR="00C37789" w:rsidRPr="000322E4">
        <w:rPr>
          <w:b/>
          <w:bCs/>
        </w:rPr>
        <w:instrText>é</w:instrText>
      </w:r>
      <w:r w:rsidR="00C37789" w:rsidRPr="000322E4">
        <w:rPr>
          <w:b/>
          <w:bCs/>
          <w:lang w:val="en-US"/>
        </w:rPr>
        <w:instrText>ric</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Jardin</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Fabrice</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Thieblemont</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Catherine</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Thyss</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Antoine</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dropping-particle":"","family":"Emile","given":"Jean François","non-dropping-particle":"","parse-names":false,"suffix":""},{"dropping-particle":"","family":"Castaigne","given":"Sylvie","non-dropping-particle":"","parse-names":false,"suffix":""},{"dropping-particle":"","family":"Coiffier","given":"Bertrand","non-dropping-particle":"","parse-names":false,"suffix":""},{"dropping-particle":"","family":"Haioun","given":"Corinne","non-dropping-particle":"","parse-names":false,"suffix":""},{"dropping-particle":"","family":"Bologna","given":"Serge","non-dropping-particle":"","parse-names":false,"suffix":""},{"dropping-particle":"","family":"Fitoussi","given":"Olivier","non-dropping-particle":"","parse-names":false,"suffix":""},{"dropping-particle":"","family":"Lepeu","given":"Gérard","non-dropping-particle":"","parse-names":false,"suffix":""},{"dropping-particle":"","family":"Fruchart","given":"Christophe","non-dropping-particle":"","parse-names":false,"suffix":""},{"dropping-particle":"","family":"Bordessoule","given":"Dominique","non-dropping-particle":"","parse-names":false,"suffix":""},{"dropping-particle":"","family":"Blanc","given":"Michel","non-dropping-particle":"","parse-names":false,"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Delarue</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Richard</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Janvier</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Maud</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Salles</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Bruno</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Andr</w:instrText>
      </w:r>
      <w:r w:rsidR="00C37789" w:rsidRPr="000322E4">
        <w:rPr>
          <w:b/>
          <w:bCs/>
        </w:rPr>
        <w:instrText>é","</w:instrText>
      </w:r>
      <w:r w:rsidR="00C37789" w:rsidRPr="000322E4">
        <w:rPr>
          <w:b/>
          <w:bCs/>
          <w:lang w:val="en-US"/>
        </w:rPr>
        <w:instrText>given</w:instrText>
      </w:r>
      <w:r w:rsidR="00C37789" w:rsidRPr="000322E4">
        <w:rPr>
          <w:b/>
          <w:bCs/>
        </w:rPr>
        <w:instrText>":"</w:instrText>
      </w:r>
      <w:r w:rsidR="00C37789" w:rsidRPr="000322E4">
        <w:rPr>
          <w:b/>
          <w:bCs/>
          <w:lang w:val="en-US"/>
        </w:rPr>
        <w:instrText>Marc</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Fournier</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Marion</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Gaulard</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Philippe</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Tilly</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Herv</w:instrText>
      </w:r>
      <w:r w:rsidR="00C37789" w:rsidRPr="000322E4">
        <w:rPr>
          <w:b/>
          <w:bCs/>
        </w:rPr>
        <w:instrText>é","</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container</w:instrText>
      </w:r>
      <w:r w:rsidR="00C37789" w:rsidRPr="000322E4">
        <w:rPr>
          <w:b/>
          <w:bCs/>
        </w:rPr>
        <w:instrText>-</w:instrText>
      </w:r>
      <w:r w:rsidR="00C37789" w:rsidRPr="000322E4">
        <w:rPr>
          <w:b/>
          <w:bCs/>
          <w:lang w:val="en-US"/>
        </w:rPr>
        <w:instrText>title</w:instrText>
      </w:r>
      <w:r w:rsidR="00C37789" w:rsidRPr="000322E4">
        <w:rPr>
          <w:b/>
          <w:bCs/>
        </w:rPr>
        <w:instrText>":"</w:instrText>
      </w:r>
      <w:r w:rsidR="00C37789" w:rsidRPr="000322E4">
        <w:rPr>
          <w:b/>
          <w:bCs/>
          <w:lang w:val="en-US"/>
        </w:rPr>
        <w:instrText>The</w:instrText>
      </w:r>
      <w:r w:rsidR="00C37789" w:rsidRPr="000322E4">
        <w:rPr>
          <w:b/>
          <w:bCs/>
        </w:rPr>
        <w:instrText xml:space="preserve"> </w:instrText>
      </w:r>
      <w:r w:rsidR="00C37789" w:rsidRPr="000322E4">
        <w:rPr>
          <w:b/>
          <w:bCs/>
          <w:lang w:val="en-US"/>
        </w:rPr>
        <w:instrText>Lancet</w:instrText>
      </w:r>
      <w:r w:rsidR="00C37789" w:rsidRPr="000322E4">
        <w:rPr>
          <w:b/>
          <w:bCs/>
        </w:rPr>
        <w:instrText xml:space="preserve"> </w:instrText>
      </w:r>
      <w:r w:rsidR="00C37789" w:rsidRPr="000322E4">
        <w:rPr>
          <w:b/>
          <w:bCs/>
          <w:lang w:val="en-US"/>
        </w:rPr>
        <w:instrText>Oncology</w:instrText>
      </w:r>
      <w:r w:rsidR="00C37789" w:rsidRPr="000322E4">
        <w:rPr>
          <w:b/>
          <w:bCs/>
        </w:rPr>
        <w:instrText>","</w:instrText>
      </w:r>
      <w:r w:rsidR="00C37789" w:rsidRPr="000322E4">
        <w:rPr>
          <w:b/>
          <w:bCs/>
          <w:lang w:val="en-US"/>
        </w:rPr>
        <w:instrText>id</w:instrText>
      </w:r>
      <w:r w:rsidR="00C37789" w:rsidRPr="000322E4">
        <w:rPr>
          <w:b/>
          <w:bCs/>
        </w:rPr>
        <w:instrText>":"</w:instrText>
      </w:r>
      <w:r w:rsidR="00C37789" w:rsidRPr="000322E4">
        <w:rPr>
          <w:b/>
          <w:bCs/>
          <w:lang w:val="en-US"/>
        </w:rPr>
        <w:instrText>ITEM</w:instrText>
      </w:r>
      <w:r w:rsidR="00C37789" w:rsidRPr="000322E4">
        <w:rPr>
          <w:b/>
          <w:bCs/>
        </w:rPr>
        <w:instrText>-1","</w:instrText>
      </w:r>
      <w:r w:rsidR="00C37789" w:rsidRPr="000322E4">
        <w:rPr>
          <w:b/>
          <w:bCs/>
          <w:lang w:val="en-US"/>
        </w:rPr>
        <w:instrText>issue</w:instrText>
      </w:r>
      <w:r w:rsidR="00C37789" w:rsidRPr="000322E4">
        <w:rPr>
          <w:b/>
          <w:bCs/>
        </w:rPr>
        <w:instrText>":"5","</w:instrText>
      </w:r>
      <w:r w:rsidR="00C37789" w:rsidRPr="000322E4">
        <w:rPr>
          <w:b/>
          <w:bCs/>
          <w:lang w:val="en-US"/>
        </w:rPr>
        <w:instrText>issued</w:instrText>
      </w:r>
      <w:r w:rsidR="00C37789" w:rsidRPr="000322E4">
        <w:rPr>
          <w:b/>
          <w:bCs/>
        </w:rPr>
        <w:instrText>":{"</w:instrText>
      </w:r>
      <w:r w:rsidR="00C37789" w:rsidRPr="000322E4">
        <w:rPr>
          <w:b/>
          <w:bCs/>
          <w:lang w:val="en-US"/>
        </w:rPr>
        <w:instrText>date</w:instrText>
      </w:r>
      <w:r w:rsidR="00C37789" w:rsidRPr="000322E4">
        <w:rPr>
          <w:b/>
          <w:bCs/>
        </w:rPr>
        <w:instrText>-</w:instrText>
      </w:r>
      <w:r w:rsidR="00C37789" w:rsidRPr="000322E4">
        <w:rPr>
          <w:b/>
          <w:bCs/>
          <w:lang w:val="en-US"/>
        </w:rPr>
        <w:instrText>parts</w:instrText>
      </w:r>
      <w:r w:rsidR="00C37789" w:rsidRPr="000322E4">
        <w:rPr>
          <w:b/>
          <w:bCs/>
        </w:rPr>
        <w:instrText>":[["2011","5"]]},"</w:instrText>
      </w:r>
      <w:r w:rsidR="00C37789" w:rsidRPr="000322E4">
        <w:rPr>
          <w:b/>
          <w:bCs/>
          <w:lang w:val="en-US"/>
        </w:rPr>
        <w:instrText>page</w:instrText>
      </w:r>
      <w:r w:rsidR="00C37789" w:rsidRPr="000322E4">
        <w:rPr>
          <w:b/>
          <w:bCs/>
        </w:rPr>
        <w:instrText>":"460-468","</w:instrText>
      </w:r>
      <w:r w:rsidR="00C37789" w:rsidRPr="000322E4">
        <w:rPr>
          <w:b/>
          <w:bCs/>
          <w:lang w:val="en-US"/>
        </w:rPr>
        <w:instrText>title</w:instrText>
      </w:r>
      <w:r w:rsidR="00C37789" w:rsidRPr="000322E4">
        <w:rPr>
          <w:b/>
          <w:bCs/>
        </w:rPr>
        <w:instrText>":"</w:instrText>
      </w:r>
      <w:r w:rsidR="00C37789" w:rsidRPr="000322E4">
        <w:rPr>
          <w:b/>
          <w:bCs/>
          <w:lang w:val="en-US"/>
        </w:rPr>
        <w:instrText>Attenuated</w:instrText>
      </w:r>
      <w:r w:rsidR="00C37789" w:rsidRPr="000322E4">
        <w:rPr>
          <w:b/>
          <w:bCs/>
        </w:rPr>
        <w:instrText xml:space="preserve"> </w:instrText>
      </w:r>
      <w:r w:rsidR="00C37789" w:rsidRPr="000322E4">
        <w:rPr>
          <w:b/>
          <w:bCs/>
          <w:lang w:val="en-US"/>
        </w:rPr>
        <w:instrText>immunochemotherapy</w:instrText>
      </w:r>
      <w:r w:rsidR="00C37789" w:rsidRPr="000322E4">
        <w:rPr>
          <w:b/>
          <w:bCs/>
        </w:rPr>
        <w:instrText xml:space="preserve"> </w:instrText>
      </w:r>
      <w:r w:rsidR="00C37789" w:rsidRPr="000322E4">
        <w:rPr>
          <w:b/>
          <w:bCs/>
          <w:lang w:val="en-US"/>
        </w:rPr>
        <w:instrText>regimen</w:instrText>
      </w:r>
      <w:r w:rsidR="00C37789" w:rsidRPr="000322E4">
        <w:rPr>
          <w:b/>
          <w:bCs/>
        </w:rPr>
        <w:instrText xml:space="preserve"> (</w:instrText>
      </w:r>
      <w:r w:rsidR="00C37789" w:rsidRPr="000322E4">
        <w:rPr>
          <w:b/>
          <w:bCs/>
          <w:lang w:val="en-US"/>
        </w:rPr>
        <w:instrText>R</w:instrText>
      </w:r>
      <w:r w:rsidR="00C37789" w:rsidRPr="000322E4">
        <w:rPr>
          <w:b/>
          <w:bCs/>
        </w:rPr>
        <w:instrText>-</w:instrText>
      </w:r>
      <w:r w:rsidR="00C37789" w:rsidRPr="000322E4">
        <w:rPr>
          <w:b/>
          <w:bCs/>
          <w:lang w:val="en-US"/>
        </w:rPr>
        <w:instrText>miniCHOP</w:instrText>
      </w:r>
      <w:r w:rsidR="00C37789" w:rsidRPr="000322E4">
        <w:rPr>
          <w:b/>
          <w:bCs/>
        </w:rPr>
        <w:instrText xml:space="preserve">) </w:instrText>
      </w:r>
      <w:r w:rsidR="00C37789" w:rsidRPr="000322E4">
        <w:rPr>
          <w:b/>
          <w:bCs/>
          <w:lang w:val="en-US"/>
        </w:rPr>
        <w:instrText>in</w:instrText>
      </w:r>
      <w:r w:rsidR="00C37789" w:rsidRPr="000322E4">
        <w:rPr>
          <w:b/>
          <w:bCs/>
        </w:rPr>
        <w:instrText xml:space="preserve"> </w:instrText>
      </w:r>
      <w:r w:rsidR="00C37789" w:rsidRPr="000322E4">
        <w:rPr>
          <w:b/>
          <w:bCs/>
          <w:lang w:val="en-US"/>
        </w:rPr>
        <w:instrText>elderly</w:instrText>
      </w:r>
      <w:r w:rsidR="00C37789" w:rsidRPr="000322E4">
        <w:rPr>
          <w:b/>
          <w:bCs/>
        </w:rPr>
        <w:instrText xml:space="preserve">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older</w:instrText>
      </w:r>
      <w:r w:rsidR="00C37789" w:rsidRPr="000322E4">
        <w:rPr>
          <w:b/>
          <w:bCs/>
        </w:rPr>
        <w:instrText xml:space="preserve"> </w:instrText>
      </w:r>
      <w:r w:rsidR="00C37789" w:rsidRPr="000322E4">
        <w:rPr>
          <w:b/>
          <w:bCs/>
          <w:lang w:val="en-US"/>
        </w:rPr>
        <w:instrText>than</w:instrText>
      </w:r>
      <w:r w:rsidR="00C37789" w:rsidRPr="000322E4">
        <w:rPr>
          <w:b/>
          <w:bCs/>
        </w:rPr>
        <w:instrText xml:space="preserve"> 80 </w:instrText>
      </w:r>
      <w:r w:rsidR="00C37789" w:rsidRPr="000322E4">
        <w:rPr>
          <w:b/>
          <w:bCs/>
          <w:lang w:val="en-US"/>
        </w:rPr>
        <w:instrText>years</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diffuse</w:instrText>
      </w:r>
      <w:r w:rsidR="00C37789" w:rsidRPr="000322E4">
        <w:rPr>
          <w:b/>
          <w:bCs/>
        </w:rPr>
        <w:instrText xml:space="preserve"> </w:instrText>
      </w:r>
      <w:r w:rsidR="00C37789" w:rsidRPr="000322E4">
        <w:rPr>
          <w:b/>
          <w:bCs/>
          <w:lang w:val="en-US"/>
        </w:rPr>
        <w:instrText>large</w:instrText>
      </w:r>
      <w:r w:rsidR="00C37789" w:rsidRPr="000322E4">
        <w:rPr>
          <w:b/>
          <w:bCs/>
        </w:rPr>
        <w:instrText xml:space="preserve"> </w:instrText>
      </w:r>
      <w:r w:rsidR="00C37789" w:rsidRPr="000322E4">
        <w:rPr>
          <w:b/>
          <w:bCs/>
          <w:lang w:val="en-US"/>
        </w:rPr>
        <w:instrText>B</w:instrText>
      </w:r>
      <w:r w:rsidR="00C37789" w:rsidRPr="000322E4">
        <w:rPr>
          <w:b/>
          <w:bCs/>
        </w:rPr>
        <w:instrText>-</w:instrText>
      </w:r>
      <w:r w:rsidR="00C37789" w:rsidRPr="000322E4">
        <w:rPr>
          <w:b/>
          <w:bCs/>
          <w:lang w:val="en-US"/>
        </w:rPr>
        <w:instrText>cell</w:instrText>
      </w:r>
      <w:r w:rsidR="00C37789" w:rsidRPr="000322E4">
        <w:rPr>
          <w:b/>
          <w:bCs/>
        </w:rPr>
        <w:instrText xml:space="preserve"> </w:instrText>
      </w:r>
      <w:r w:rsidR="00C37789" w:rsidRPr="000322E4">
        <w:rPr>
          <w:b/>
          <w:bCs/>
          <w:lang w:val="en-US"/>
        </w:rPr>
        <w:instrText>lymphoma</w:instrText>
      </w:r>
      <w:r w:rsidR="00C37789" w:rsidRPr="000322E4">
        <w:rPr>
          <w:b/>
          <w:bCs/>
        </w:rPr>
        <w:instrText xml:space="preserve">: </w:instrText>
      </w:r>
      <w:r w:rsidR="00C37789" w:rsidRPr="000322E4">
        <w:rPr>
          <w:b/>
          <w:bCs/>
          <w:lang w:val="en-US"/>
        </w:rPr>
        <w:instrText>A</w:instrText>
      </w:r>
      <w:r w:rsidR="00C37789" w:rsidRPr="000322E4">
        <w:rPr>
          <w:b/>
          <w:bCs/>
        </w:rPr>
        <w:instrText xml:space="preserve"> </w:instrText>
      </w:r>
      <w:r w:rsidR="00C37789" w:rsidRPr="000322E4">
        <w:rPr>
          <w:b/>
          <w:bCs/>
          <w:lang w:val="en-US"/>
        </w:rPr>
        <w:instrText>multicentre</w:instrText>
      </w:r>
      <w:r w:rsidR="00C37789" w:rsidRPr="000322E4">
        <w:rPr>
          <w:b/>
          <w:bCs/>
        </w:rPr>
        <w:instrText xml:space="preserve">, </w:instrText>
      </w:r>
      <w:r w:rsidR="00C37789" w:rsidRPr="000322E4">
        <w:rPr>
          <w:b/>
          <w:bCs/>
          <w:lang w:val="en-US"/>
        </w:rPr>
        <w:instrText>single</w:instrText>
      </w:r>
      <w:r w:rsidR="00C37789" w:rsidRPr="000322E4">
        <w:rPr>
          <w:b/>
          <w:bCs/>
        </w:rPr>
        <w:instrText>-</w:instrText>
      </w:r>
      <w:r w:rsidR="00C37789" w:rsidRPr="000322E4">
        <w:rPr>
          <w:b/>
          <w:bCs/>
          <w:lang w:val="en-US"/>
        </w:rPr>
        <w:instrText>arm</w:instrText>
      </w:r>
      <w:r w:rsidR="00C37789" w:rsidRPr="000322E4">
        <w:rPr>
          <w:b/>
          <w:bCs/>
        </w:rPr>
        <w:instrText xml:space="preserve">, </w:instrText>
      </w:r>
      <w:r w:rsidR="00C37789" w:rsidRPr="000322E4">
        <w:rPr>
          <w:b/>
          <w:bCs/>
          <w:lang w:val="en-US"/>
        </w:rPr>
        <w:instrText>phase</w:instrText>
      </w:r>
      <w:r w:rsidR="00C37789" w:rsidRPr="000322E4">
        <w:rPr>
          <w:b/>
          <w:bCs/>
        </w:rPr>
        <w:instrText xml:space="preserve"> 2 </w:instrText>
      </w:r>
      <w:r w:rsidR="00C37789" w:rsidRPr="000322E4">
        <w:rPr>
          <w:b/>
          <w:bCs/>
          <w:lang w:val="en-US"/>
        </w:rPr>
        <w:instrText>trial</w:instrText>
      </w:r>
      <w:r w:rsidR="00C37789" w:rsidRPr="000322E4">
        <w:rPr>
          <w:b/>
          <w:bCs/>
        </w:rPr>
        <w:instrText>","</w:instrText>
      </w:r>
      <w:r w:rsidR="00C37789" w:rsidRPr="000322E4">
        <w:rPr>
          <w:b/>
          <w:bCs/>
          <w:lang w:val="en-US"/>
        </w:rPr>
        <w:instrText>type</w:instrText>
      </w:r>
      <w:r w:rsidR="00C37789" w:rsidRPr="000322E4">
        <w:rPr>
          <w:b/>
          <w:bCs/>
        </w:rPr>
        <w:instrText>":"</w:instrText>
      </w:r>
      <w:r w:rsidR="00C37789" w:rsidRPr="000322E4">
        <w:rPr>
          <w:b/>
          <w:bCs/>
          <w:lang w:val="en-US"/>
        </w:rPr>
        <w:instrText>article</w:instrText>
      </w:r>
      <w:r w:rsidR="00C37789" w:rsidRPr="000322E4">
        <w:rPr>
          <w:b/>
          <w:bCs/>
        </w:rPr>
        <w:instrText>-</w:instrText>
      </w:r>
      <w:r w:rsidR="00C37789" w:rsidRPr="000322E4">
        <w:rPr>
          <w:b/>
          <w:bCs/>
          <w:lang w:val="en-US"/>
        </w:rPr>
        <w:instrText>journal</w:instrText>
      </w:r>
      <w:r w:rsidR="00C37789" w:rsidRPr="000322E4">
        <w:rPr>
          <w:b/>
          <w:bCs/>
        </w:rPr>
        <w:instrText>","</w:instrText>
      </w:r>
      <w:r w:rsidR="00C37789" w:rsidRPr="000322E4">
        <w:rPr>
          <w:b/>
          <w:bCs/>
          <w:lang w:val="en-US"/>
        </w:rPr>
        <w:instrText>volume</w:instrText>
      </w:r>
      <w:r w:rsidR="00C37789" w:rsidRPr="000322E4">
        <w:rPr>
          <w:b/>
          <w:bCs/>
        </w:rPr>
        <w:instrText>":"12"},"</w:instrText>
      </w:r>
      <w:r w:rsidR="00C37789" w:rsidRPr="000322E4">
        <w:rPr>
          <w:b/>
          <w:bCs/>
          <w:lang w:val="en-US"/>
        </w:rPr>
        <w:instrText>uris</w:instrText>
      </w:r>
      <w:r w:rsidR="00C37789" w:rsidRPr="000322E4">
        <w:rPr>
          <w:b/>
          <w:bCs/>
        </w:rPr>
        <w:instrText>":["</w:instrText>
      </w:r>
      <w:r w:rsidR="00C37789" w:rsidRPr="000322E4">
        <w:rPr>
          <w:b/>
          <w:bCs/>
          <w:lang w:val="en-US"/>
        </w:rPr>
        <w:instrText>http</w:instrText>
      </w:r>
      <w:r w:rsidR="00C37789" w:rsidRPr="000322E4">
        <w:rPr>
          <w:b/>
          <w:bCs/>
        </w:rPr>
        <w:instrText>://</w:instrText>
      </w:r>
      <w:r w:rsidR="00C37789" w:rsidRPr="000322E4">
        <w:rPr>
          <w:b/>
          <w:bCs/>
          <w:lang w:val="en-US"/>
        </w:rPr>
        <w:instrText>www</w:instrText>
      </w:r>
      <w:r w:rsidR="00C37789" w:rsidRPr="000322E4">
        <w:rPr>
          <w:b/>
          <w:bCs/>
        </w:rPr>
        <w:instrText>.</w:instrText>
      </w:r>
      <w:r w:rsidR="00C37789" w:rsidRPr="000322E4">
        <w:rPr>
          <w:b/>
          <w:bCs/>
          <w:lang w:val="en-US"/>
        </w:rPr>
        <w:instrText>mendeley</w:instrText>
      </w:r>
      <w:r w:rsidR="00C37789" w:rsidRPr="000322E4">
        <w:rPr>
          <w:b/>
          <w:bCs/>
        </w:rPr>
        <w:instrText>.</w:instrText>
      </w:r>
      <w:r w:rsidR="00C37789" w:rsidRPr="000322E4">
        <w:rPr>
          <w:b/>
          <w:bCs/>
          <w:lang w:val="en-US"/>
        </w:rPr>
        <w:instrText>com</w:instrText>
      </w:r>
      <w:r w:rsidR="00C37789" w:rsidRPr="000322E4">
        <w:rPr>
          <w:b/>
          <w:bCs/>
        </w:rPr>
        <w:instrText>/</w:instrText>
      </w:r>
      <w:r w:rsidR="00C37789" w:rsidRPr="000322E4">
        <w:rPr>
          <w:b/>
          <w:bCs/>
          <w:lang w:val="en-US"/>
        </w:rPr>
        <w:instrText>documents</w:instrText>
      </w:r>
      <w:r w:rsidR="00C37789" w:rsidRPr="000322E4">
        <w:rPr>
          <w:b/>
          <w:bCs/>
        </w:rPr>
        <w:instrText>/?</w:instrText>
      </w:r>
      <w:r w:rsidR="00C37789" w:rsidRPr="000322E4">
        <w:rPr>
          <w:b/>
          <w:bCs/>
          <w:lang w:val="en-US"/>
        </w:rPr>
        <w:instrText>uuid</w:instrText>
      </w:r>
      <w:r w:rsidR="00C37789" w:rsidRPr="000322E4">
        <w:rPr>
          <w:b/>
          <w:bCs/>
        </w:rPr>
        <w:instrText>=1</w:instrText>
      </w:r>
      <w:r w:rsidR="00C37789" w:rsidRPr="000322E4">
        <w:rPr>
          <w:b/>
          <w:bCs/>
          <w:lang w:val="en-US"/>
        </w:rPr>
        <w:instrText>f</w:instrText>
      </w:r>
      <w:r w:rsidR="00C37789" w:rsidRPr="000322E4">
        <w:rPr>
          <w:b/>
          <w:bCs/>
        </w:rPr>
        <w:instrText>10293</w:instrText>
      </w:r>
      <w:r w:rsidR="00C37789" w:rsidRPr="000322E4">
        <w:rPr>
          <w:b/>
          <w:bCs/>
          <w:lang w:val="en-US"/>
        </w:rPr>
        <w:instrText>b</w:instrText>
      </w:r>
      <w:r w:rsidR="00C37789" w:rsidRPr="000322E4">
        <w:rPr>
          <w:b/>
          <w:bCs/>
        </w:rPr>
        <w:instrText>-8542-395</w:instrText>
      </w:r>
      <w:r w:rsidR="00C37789" w:rsidRPr="000322E4">
        <w:rPr>
          <w:b/>
          <w:bCs/>
          <w:lang w:val="en-US"/>
        </w:rPr>
        <w:instrText>b</w:instrText>
      </w:r>
      <w:r w:rsidR="00C37789" w:rsidRPr="000322E4">
        <w:rPr>
          <w:b/>
          <w:bCs/>
        </w:rPr>
        <w:instrText>-</w:instrText>
      </w:r>
      <w:r w:rsidR="00C37789" w:rsidRPr="000322E4">
        <w:rPr>
          <w:b/>
          <w:bCs/>
          <w:lang w:val="en-US"/>
        </w:rPr>
        <w:instrText>ba</w:instrText>
      </w:r>
      <w:r w:rsidR="00C37789" w:rsidRPr="000322E4">
        <w:rPr>
          <w:b/>
          <w:bCs/>
        </w:rPr>
        <w:instrText>32-5</w:instrText>
      </w:r>
      <w:r w:rsidR="00C37789" w:rsidRPr="000322E4">
        <w:rPr>
          <w:b/>
          <w:bCs/>
          <w:lang w:val="en-US"/>
        </w:rPr>
        <w:instrText>b</w:instrText>
      </w:r>
      <w:r w:rsidR="00C37789" w:rsidRPr="000322E4">
        <w:rPr>
          <w:b/>
          <w:bCs/>
        </w:rPr>
        <w:instrText>71</w:instrText>
      </w:r>
      <w:r w:rsidR="00C37789" w:rsidRPr="000322E4">
        <w:rPr>
          <w:b/>
          <w:bCs/>
          <w:lang w:val="en-US"/>
        </w:rPr>
        <w:instrText>aa</w:instrText>
      </w:r>
      <w:r w:rsidR="00C37789" w:rsidRPr="000322E4">
        <w:rPr>
          <w:b/>
          <w:bCs/>
        </w:rPr>
        <w:instrText>075</w:instrText>
      </w:r>
      <w:r w:rsidR="00C37789" w:rsidRPr="000322E4">
        <w:rPr>
          <w:b/>
          <w:bCs/>
          <w:lang w:val="en-US"/>
        </w:rPr>
        <w:instrText>ff</w:instrText>
      </w:r>
      <w:r w:rsidR="00C37789" w:rsidRPr="000322E4">
        <w:rPr>
          <w:b/>
          <w:bCs/>
        </w:rPr>
        <w:instrText>0"]}],"</w:instrText>
      </w:r>
      <w:r w:rsidR="00C37789" w:rsidRPr="000322E4">
        <w:rPr>
          <w:b/>
          <w:bCs/>
          <w:lang w:val="en-US"/>
        </w:rPr>
        <w:instrText>mendeley</w:instrText>
      </w:r>
      <w:r w:rsidR="00C37789" w:rsidRPr="000322E4">
        <w:rPr>
          <w:b/>
          <w:bCs/>
        </w:rPr>
        <w:instrText>":{"</w:instrText>
      </w:r>
      <w:r w:rsidR="00C37789" w:rsidRPr="000322E4">
        <w:rPr>
          <w:b/>
          <w:bCs/>
          <w:lang w:val="en-US"/>
        </w:rPr>
        <w:instrText>formattedCitation</w:instrText>
      </w:r>
      <w:r w:rsidR="00C37789" w:rsidRPr="000322E4">
        <w:rPr>
          <w:b/>
          <w:bCs/>
        </w:rPr>
        <w:instrText>":"[59]","</w:instrText>
      </w:r>
      <w:r w:rsidR="00C37789" w:rsidRPr="000322E4">
        <w:rPr>
          <w:b/>
          <w:bCs/>
          <w:lang w:val="en-US"/>
        </w:rPr>
        <w:instrText>plainTextFormattedCitation</w:instrText>
      </w:r>
      <w:r w:rsidR="00C37789" w:rsidRPr="000322E4">
        <w:rPr>
          <w:b/>
          <w:bCs/>
        </w:rPr>
        <w:instrText>":"[59]","</w:instrText>
      </w:r>
      <w:r w:rsidR="00C37789" w:rsidRPr="000322E4">
        <w:rPr>
          <w:b/>
          <w:bCs/>
          <w:lang w:val="en-US"/>
        </w:rPr>
        <w:instrText>previouslyFormattedCitation</w:instrText>
      </w:r>
      <w:r w:rsidR="00C37789" w:rsidRPr="000322E4">
        <w:rPr>
          <w:b/>
          <w:bCs/>
        </w:rPr>
        <w:instrText>":"[59]"},"</w:instrText>
      </w:r>
      <w:r w:rsidR="00C37789" w:rsidRPr="000322E4">
        <w:rPr>
          <w:b/>
          <w:bCs/>
          <w:lang w:val="en-US"/>
        </w:rPr>
        <w:instrText>properties</w:instrText>
      </w:r>
      <w:r w:rsidR="00C37789" w:rsidRPr="000322E4">
        <w:rPr>
          <w:b/>
          <w:bCs/>
        </w:rPr>
        <w:instrText>":{"</w:instrText>
      </w:r>
      <w:r w:rsidR="00C37789" w:rsidRPr="000322E4">
        <w:rPr>
          <w:b/>
          <w:bCs/>
          <w:lang w:val="en-US"/>
        </w:rPr>
        <w:instrText>noteIndex</w:instrText>
      </w:r>
      <w:r w:rsidR="00C37789" w:rsidRPr="000322E4">
        <w:rPr>
          <w:b/>
          <w:bCs/>
        </w:rPr>
        <w:instrText>":0},"</w:instrText>
      </w:r>
      <w:r w:rsidR="00C37789" w:rsidRPr="000322E4">
        <w:rPr>
          <w:b/>
          <w:bCs/>
          <w:lang w:val="en-US"/>
        </w:rPr>
        <w:instrText>schema</w:instrText>
      </w:r>
      <w:r w:rsidR="00C37789" w:rsidRPr="000322E4">
        <w:rPr>
          <w:b/>
          <w:bCs/>
        </w:rPr>
        <w:instrText>":"</w:instrText>
      </w:r>
      <w:r w:rsidR="00C37789" w:rsidRPr="000322E4">
        <w:rPr>
          <w:b/>
          <w:bCs/>
          <w:lang w:val="en-US"/>
        </w:rPr>
        <w:instrText>https</w:instrText>
      </w:r>
      <w:r w:rsidR="00C37789" w:rsidRPr="000322E4">
        <w:rPr>
          <w:b/>
          <w:bCs/>
        </w:rPr>
        <w:instrText>://</w:instrText>
      </w:r>
      <w:r w:rsidR="00C37789" w:rsidRPr="000322E4">
        <w:rPr>
          <w:b/>
          <w:bCs/>
          <w:lang w:val="en-US"/>
        </w:rPr>
        <w:instrText>github</w:instrText>
      </w:r>
      <w:r w:rsidR="00C37789" w:rsidRPr="000322E4">
        <w:rPr>
          <w:b/>
          <w:bCs/>
        </w:rPr>
        <w:instrText>.</w:instrText>
      </w:r>
      <w:r w:rsidR="00C37789" w:rsidRPr="000322E4">
        <w:rPr>
          <w:b/>
          <w:bCs/>
          <w:lang w:val="en-US"/>
        </w:rPr>
        <w:instrText>com</w:instrText>
      </w:r>
      <w:r w:rsidR="00C37789" w:rsidRPr="000322E4">
        <w:rPr>
          <w:b/>
          <w:bCs/>
        </w:rPr>
        <w:instrText>/</w:instrText>
      </w:r>
      <w:r w:rsidR="00C37789" w:rsidRPr="000322E4">
        <w:rPr>
          <w:b/>
          <w:bCs/>
          <w:lang w:val="en-US"/>
        </w:rPr>
        <w:instrText>citation</w:instrText>
      </w:r>
      <w:r w:rsidR="00C37789" w:rsidRPr="000322E4">
        <w:rPr>
          <w:b/>
          <w:bCs/>
        </w:rPr>
        <w:instrText>-</w:instrText>
      </w:r>
      <w:r w:rsidR="00C37789" w:rsidRPr="000322E4">
        <w:rPr>
          <w:b/>
          <w:bCs/>
          <w:lang w:val="en-US"/>
        </w:rPr>
        <w:instrText>style</w:instrText>
      </w:r>
      <w:r w:rsidR="00C37789" w:rsidRPr="000322E4">
        <w:rPr>
          <w:b/>
          <w:bCs/>
        </w:rPr>
        <w:instrText>-</w:instrText>
      </w:r>
      <w:r w:rsidR="00C37789" w:rsidRPr="000322E4">
        <w:rPr>
          <w:b/>
          <w:bCs/>
          <w:lang w:val="en-US"/>
        </w:rPr>
        <w:instrText>language</w:instrText>
      </w:r>
      <w:r w:rsidR="00C37789" w:rsidRPr="000322E4">
        <w:rPr>
          <w:b/>
          <w:bCs/>
        </w:rPr>
        <w:instrText>/</w:instrText>
      </w:r>
      <w:r w:rsidR="00C37789" w:rsidRPr="000322E4">
        <w:rPr>
          <w:b/>
          <w:bCs/>
          <w:lang w:val="en-US"/>
        </w:rPr>
        <w:instrText>schema</w:instrText>
      </w:r>
      <w:r w:rsidR="00C37789" w:rsidRPr="000322E4">
        <w:rPr>
          <w:b/>
          <w:bCs/>
        </w:rPr>
        <w:instrText>/</w:instrText>
      </w:r>
      <w:r w:rsidR="00C37789" w:rsidRPr="000322E4">
        <w:rPr>
          <w:b/>
          <w:bCs/>
          <w:lang w:val="en-US"/>
        </w:rPr>
        <w:instrText>raw</w:instrText>
      </w:r>
      <w:r w:rsidR="00C37789" w:rsidRPr="000322E4">
        <w:rPr>
          <w:b/>
          <w:bCs/>
        </w:rPr>
        <w:instrText>/</w:instrText>
      </w:r>
      <w:r w:rsidR="00C37789" w:rsidRPr="000322E4">
        <w:rPr>
          <w:b/>
          <w:bCs/>
          <w:lang w:val="en-US"/>
        </w:rPr>
        <w:instrText>master</w:instrText>
      </w:r>
      <w:r w:rsidR="00C37789" w:rsidRPr="000322E4">
        <w:rPr>
          <w:b/>
          <w:bCs/>
        </w:rPr>
        <w:instrText>/</w:instrText>
      </w:r>
      <w:r w:rsidR="00C37789" w:rsidRPr="000322E4">
        <w:rPr>
          <w:b/>
          <w:bCs/>
          <w:lang w:val="en-US"/>
        </w:rPr>
        <w:instrText>csl</w:instrText>
      </w:r>
      <w:r w:rsidR="00C37789" w:rsidRPr="000322E4">
        <w:rPr>
          <w:b/>
          <w:bCs/>
        </w:rPr>
        <w:instrText>-</w:instrText>
      </w:r>
      <w:r w:rsidR="00C37789" w:rsidRPr="000322E4">
        <w:rPr>
          <w:b/>
          <w:bCs/>
          <w:lang w:val="en-US"/>
        </w:rPr>
        <w:instrText>citation</w:instrText>
      </w:r>
      <w:r w:rsidR="00C37789" w:rsidRPr="000322E4">
        <w:rPr>
          <w:b/>
          <w:bCs/>
        </w:rPr>
        <w:instrText>.</w:instrText>
      </w:r>
      <w:r w:rsidR="00C37789" w:rsidRPr="000322E4">
        <w:rPr>
          <w:b/>
          <w:bCs/>
          <w:lang w:val="en-US"/>
        </w:rPr>
        <w:instrText>json</w:instrText>
      </w:r>
      <w:r w:rsidR="00C37789" w:rsidRPr="000322E4">
        <w:rPr>
          <w:b/>
          <w:bCs/>
        </w:rPr>
        <w:instrText>"}</w:instrText>
      </w:r>
      <w:r w:rsidRPr="000322E4">
        <w:rPr>
          <w:b/>
          <w:bCs/>
          <w:lang w:val="en-US"/>
        </w:rPr>
        <w:fldChar w:fldCharType="separate"/>
      </w:r>
      <w:r w:rsidR="00C37789" w:rsidRPr="000322E4">
        <w:rPr>
          <w:bCs/>
          <w:noProof/>
        </w:rPr>
        <w:t>[59]</w:t>
      </w:r>
      <w:r w:rsidRPr="000322E4">
        <w:rPr>
          <w:b/>
          <w:bCs/>
          <w:lang w:val="en-US"/>
        </w:rPr>
        <w:fldChar w:fldCharType="end"/>
      </w:r>
    </w:p>
    <w:p w14:paraId="77AFF142" w14:textId="77777777" w:rsidR="00666D68" w:rsidRPr="000322E4" w:rsidRDefault="00666D68" w:rsidP="00F414BF">
      <w:pPr>
        <w:numPr>
          <w:ilvl w:val="0"/>
          <w:numId w:val="39"/>
        </w:numPr>
      </w:pPr>
      <w:r w:rsidRPr="000322E4">
        <w:t>Ритуксимаб</w:t>
      </w:r>
      <w:r w:rsidRPr="000322E4">
        <w:rPr>
          <w:bCs/>
        </w:rPr>
        <w:t>**</w:t>
      </w:r>
    </w:p>
    <w:p w14:paraId="33C769FD" w14:textId="77777777" w:rsidR="00666D68" w:rsidRPr="000322E4" w:rsidRDefault="00666D68" w:rsidP="00F414BF">
      <w:pPr>
        <w:numPr>
          <w:ilvl w:val="1"/>
          <w:numId w:val="39"/>
        </w:numPr>
      </w:pPr>
      <w:r w:rsidRPr="000322E4">
        <w:t>375 мг/м</w:t>
      </w:r>
      <w:r w:rsidRPr="000322E4">
        <w:rPr>
          <w:vertAlign w:val="superscript"/>
        </w:rPr>
        <w:t>2</w:t>
      </w:r>
      <w:r w:rsidRPr="000322E4">
        <w:t xml:space="preserve"> в/в кап., день 0 или 1 все циклы курса</w:t>
      </w:r>
    </w:p>
    <w:p w14:paraId="0439CFE1" w14:textId="77777777" w:rsidR="00666D68" w:rsidRPr="000322E4" w:rsidRDefault="00666D68" w:rsidP="00F414BF">
      <w:pPr>
        <w:ind w:left="1080" w:firstLine="336"/>
      </w:pPr>
      <w:r w:rsidRPr="000322E4">
        <w:t>или</w:t>
      </w:r>
    </w:p>
    <w:p w14:paraId="38E88A5C" w14:textId="71EF0D4B" w:rsidR="00666D68" w:rsidRPr="000322E4" w:rsidRDefault="00666D68" w:rsidP="00F414BF">
      <w:pPr>
        <w:numPr>
          <w:ilvl w:val="1"/>
          <w:numId w:val="39"/>
        </w:numPr>
      </w:pPr>
      <w:r w:rsidRPr="000322E4">
        <w:t>375 мг/м</w:t>
      </w:r>
      <w:r w:rsidRPr="000322E4">
        <w:rPr>
          <w:vertAlign w:val="superscript"/>
        </w:rPr>
        <w:t>2</w:t>
      </w:r>
      <w:r w:rsidRPr="000322E4">
        <w:t xml:space="preserve"> в/в кап. 1 цикл, далее ритуксимаб 1400 мг п/к, день 0 или 1 </w:t>
      </w:r>
      <w:r w:rsidRPr="000322E4">
        <w:rPr>
          <w:lang w:val="en-US"/>
        </w:rPr>
        <w:fldChar w:fldCharType="begin" w:fldLock="1"/>
      </w:r>
      <w:r w:rsidR="00E974B2">
        <w:rPr>
          <w:lang w:val="en-US"/>
        </w:rPr>
        <w:instrText>ADDIN</w:instrText>
      </w:r>
      <w:r w:rsidR="00E974B2" w:rsidRPr="006C476A">
        <w:instrText xml:space="preserve"> </w:instrText>
      </w:r>
      <w:r w:rsidR="00E974B2">
        <w:rPr>
          <w:lang w:val="en-US"/>
        </w:rPr>
        <w:instrText>CSL</w:instrText>
      </w:r>
      <w:r w:rsidR="00E974B2" w:rsidRPr="006C476A">
        <w:instrText>_</w:instrText>
      </w:r>
      <w:r w:rsidR="00E974B2">
        <w:rPr>
          <w:lang w:val="en-US"/>
        </w:rPr>
        <w:instrText>CITATION</w:instrText>
      </w:r>
      <w:r w:rsidR="00E974B2" w:rsidRPr="006C476A">
        <w:instrText xml:space="preserve"> {"</w:instrText>
      </w:r>
      <w:r w:rsidR="00E974B2">
        <w:rPr>
          <w:lang w:val="en-US"/>
        </w:rPr>
        <w:instrText>citationItems</w:instrText>
      </w:r>
      <w:r w:rsidR="00E974B2" w:rsidRPr="006C476A">
        <w:instrText>":[{"</w:instrText>
      </w:r>
      <w:r w:rsidR="00E974B2">
        <w:rPr>
          <w:lang w:val="en-US"/>
        </w:rPr>
        <w:instrText>id</w:instrText>
      </w:r>
      <w:r w:rsidR="00E974B2" w:rsidRPr="006C476A">
        <w:instrText>":"</w:instrText>
      </w:r>
      <w:r w:rsidR="00E974B2">
        <w:rPr>
          <w:lang w:val="en-US"/>
        </w:rPr>
        <w:instrText>ITEM</w:instrText>
      </w:r>
      <w:r w:rsidR="00E974B2" w:rsidRPr="006C476A">
        <w:instrText>-1","</w:instrText>
      </w:r>
      <w:r w:rsidR="00E974B2">
        <w:rPr>
          <w:lang w:val="en-US"/>
        </w:rPr>
        <w:instrText>itemData</w:instrText>
      </w:r>
      <w:r w:rsidR="00E974B2" w:rsidRPr="006C476A">
        <w:instrText>":{"</w:instrText>
      </w:r>
      <w:r w:rsidR="00E974B2">
        <w:rPr>
          <w:lang w:val="en-US"/>
        </w:rPr>
        <w:instrText>ISSN</w:instrText>
      </w:r>
      <w:r w:rsidR="00E974B2" w:rsidRPr="006C476A">
        <w:instrText>":"2150-0878","</w:instrText>
      </w:r>
      <w:r w:rsidR="00E974B2">
        <w:rPr>
          <w:lang w:val="en-US"/>
        </w:rPr>
        <w:instrText>PMID</w:instrText>
      </w:r>
      <w:r w:rsidR="00E974B2" w:rsidRPr="006C476A">
        <w:instrText>":"31086689","</w:instrText>
      </w:r>
      <w:r w:rsidR="00E974B2">
        <w:rPr>
          <w:lang w:val="en-US"/>
        </w:rPr>
        <w:instrText>abstract</w:instrText>
      </w:r>
      <w:r w:rsidR="00E974B2" w:rsidRPr="006C476A">
        <w:instrText>":"</w:instrText>
      </w:r>
      <w:r w:rsidR="00E974B2">
        <w:rPr>
          <w:lang w:val="en-US"/>
        </w:rPr>
        <w:instrText>Rituximab</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hyaluronidase</w:instrText>
      </w:r>
      <w:r w:rsidR="00E974B2" w:rsidRPr="006C476A">
        <w:instrText xml:space="preserve"> </w:instrText>
      </w:r>
      <w:r w:rsidR="00E974B2">
        <w:rPr>
          <w:lang w:val="en-US"/>
        </w:rPr>
        <w:instrText>human</w:instrText>
      </w:r>
      <w:r w:rsidR="00E974B2" w:rsidRPr="006C476A">
        <w:instrText xml:space="preserve"> </w:instrText>
      </w:r>
      <w:r w:rsidR="00E974B2">
        <w:rPr>
          <w:lang w:val="en-US"/>
        </w:rPr>
        <w:instrText>is</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new</w:instrText>
      </w:r>
      <w:r w:rsidR="00E974B2" w:rsidRPr="006C476A">
        <w:instrText xml:space="preserve"> </w:instrText>
      </w:r>
      <w:r w:rsidR="00E974B2">
        <w:rPr>
          <w:lang w:val="en-US"/>
        </w:rPr>
        <w:instrText>subcutaneous</w:instrText>
      </w:r>
      <w:r w:rsidR="00E974B2" w:rsidRPr="006C476A">
        <w:instrText xml:space="preserve"> </w:instrText>
      </w:r>
      <w:r w:rsidR="00E974B2">
        <w:rPr>
          <w:lang w:val="en-US"/>
        </w:rPr>
        <w:instrText>formulation</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that</w:instrText>
      </w:r>
      <w:r w:rsidR="00E974B2" w:rsidRPr="006C476A">
        <w:instrText xml:space="preserve"> </w:instrText>
      </w:r>
      <w:r w:rsidR="00E974B2">
        <w:rPr>
          <w:lang w:val="en-US"/>
        </w:rPr>
        <w:instrText>was</w:instrText>
      </w:r>
      <w:r w:rsidR="00E974B2" w:rsidRPr="006C476A">
        <w:instrText xml:space="preserve"> </w:instrText>
      </w:r>
      <w:r w:rsidR="00E974B2">
        <w:rPr>
          <w:lang w:val="en-US"/>
        </w:rPr>
        <w:instrText>recently</w:instrText>
      </w:r>
      <w:r w:rsidR="00E974B2" w:rsidRPr="006C476A">
        <w:instrText xml:space="preserve"> </w:instrText>
      </w:r>
      <w:r w:rsidR="00E974B2">
        <w:rPr>
          <w:lang w:val="en-US"/>
        </w:rPr>
        <w:instrText>approved</w:instrText>
      </w:r>
      <w:r w:rsidR="00E974B2" w:rsidRPr="006C476A">
        <w:instrText xml:space="preserve"> </w:instrText>
      </w:r>
      <w:r w:rsidR="00E974B2">
        <w:rPr>
          <w:lang w:val="en-US"/>
        </w:rPr>
        <w:instrText>by</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US</w:instrText>
      </w:r>
      <w:r w:rsidR="00E974B2" w:rsidRPr="006C476A">
        <w:instrText xml:space="preserve"> </w:instrText>
      </w:r>
      <w:r w:rsidR="00E974B2">
        <w:rPr>
          <w:lang w:val="en-US"/>
        </w:rPr>
        <w:instrText>Food</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Drug</w:instrText>
      </w:r>
      <w:r w:rsidR="00E974B2" w:rsidRPr="006C476A">
        <w:instrText xml:space="preserve"> </w:instrText>
      </w:r>
      <w:r w:rsidR="00E974B2">
        <w:rPr>
          <w:lang w:val="en-US"/>
        </w:rPr>
        <w:instrText>Administration</w:instrText>
      </w:r>
      <w:r w:rsidR="00E974B2" w:rsidRPr="006C476A">
        <w:instrText xml:space="preserve"> </w:instrText>
      </w:r>
      <w:r w:rsidR="00E974B2">
        <w:rPr>
          <w:lang w:val="en-US"/>
        </w:rPr>
        <w:instrText>for</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treatment</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adults</w:instrText>
      </w:r>
      <w:r w:rsidR="00E974B2" w:rsidRPr="006C476A">
        <w:instrText xml:space="preserve"> </w:instrText>
      </w:r>
      <w:r w:rsidR="00E974B2">
        <w:rPr>
          <w:lang w:val="en-US"/>
        </w:rPr>
        <w:instrText>with</w:instrText>
      </w:r>
      <w:r w:rsidR="00E974B2" w:rsidRPr="006C476A">
        <w:instrText xml:space="preserve"> </w:instrText>
      </w:r>
      <w:r w:rsidR="00E974B2">
        <w:rPr>
          <w:lang w:val="en-US"/>
        </w:rPr>
        <w:instrText>follicular</w:instrText>
      </w:r>
      <w:r w:rsidR="00E974B2" w:rsidRPr="006C476A">
        <w:instrText xml:space="preserve"> </w:instrText>
      </w:r>
      <w:r w:rsidR="00E974B2">
        <w:rPr>
          <w:lang w:val="en-US"/>
        </w:rPr>
        <w:instrText>lymphoma</w:instrText>
      </w:r>
      <w:r w:rsidR="00E974B2" w:rsidRPr="006C476A">
        <w:instrText xml:space="preserve">, </w:instrText>
      </w:r>
      <w:r w:rsidR="00E974B2">
        <w:rPr>
          <w:lang w:val="en-US"/>
        </w:rPr>
        <w:instrText>diffuse</w:instrText>
      </w:r>
      <w:r w:rsidR="00E974B2" w:rsidRPr="006C476A">
        <w:instrText xml:space="preserve"> </w:instrText>
      </w:r>
      <w:r w:rsidR="00E974B2">
        <w:rPr>
          <w:lang w:val="en-US"/>
        </w:rPr>
        <w:instrText>large</w:instrText>
      </w:r>
      <w:r w:rsidR="00E974B2" w:rsidRPr="006C476A">
        <w:instrText xml:space="preserve"> </w:instrText>
      </w:r>
      <w:r w:rsidR="00E974B2">
        <w:rPr>
          <w:lang w:val="en-US"/>
        </w:rPr>
        <w:instrText>B</w:instrText>
      </w:r>
      <w:r w:rsidR="00E974B2" w:rsidRPr="006C476A">
        <w:instrText>-</w:instrText>
      </w:r>
      <w:r w:rsidR="00E974B2">
        <w:rPr>
          <w:lang w:val="en-US"/>
        </w:rPr>
        <w:instrText>cell</w:instrText>
      </w:r>
      <w:r w:rsidR="00E974B2" w:rsidRPr="006C476A">
        <w:instrText xml:space="preserve"> </w:instrText>
      </w:r>
      <w:r w:rsidR="00E974B2">
        <w:rPr>
          <w:lang w:val="en-US"/>
        </w:rPr>
        <w:instrText>lymphoma</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chronic</w:instrText>
      </w:r>
      <w:r w:rsidR="00E974B2" w:rsidRPr="006C476A">
        <w:instrText xml:space="preserve"> </w:instrText>
      </w:r>
      <w:r w:rsidR="00E974B2">
        <w:rPr>
          <w:lang w:val="en-US"/>
        </w:rPr>
        <w:instrText>lymphocytic</w:instrText>
      </w:r>
      <w:r w:rsidR="00E974B2" w:rsidRPr="006C476A">
        <w:instrText xml:space="preserve"> </w:instrText>
      </w:r>
      <w:r w:rsidR="00E974B2">
        <w:rPr>
          <w:lang w:val="en-US"/>
        </w:rPr>
        <w:instrText>leukemia</w:instrText>
      </w:r>
      <w:r w:rsidR="00E974B2" w:rsidRPr="006C476A">
        <w:instrText xml:space="preserve">. </w:instrText>
      </w:r>
      <w:r w:rsidR="00E974B2">
        <w:rPr>
          <w:lang w:val="en-US"/>
        </w:rPr>
        <w:instrText>With</w:instrText>
      </w:r>
      <w:r w:rsidR="00E974B2" w:rsidRPr="006C476A">
        <w:instrText xml:space="preserve"> </w:instrText>
      </w:r>
      <w:r w:rsidR="00E974B2">
        <w:rPr>
          <w:lang w:val="en-US"/>
        </w:rPr>
        <w:instrText>data</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support</w:instrText>
      </w:r>
      <w:r w:rsidR="00E974B2" w:rsidRPr="006C476A">
        <w:instrText xml:space="preserve"> </w:instrText>
      </w:r>
      <w:r w:rsidR="00E974B2">
        <w:rPr>
          <w:lang w:val="en-US"/>
        </w:rPr>
        <w:instrText>noninferior</w:instrText>
      </w:r>
      <w:r w:rsidR="00E974B2" w:rsidRPr="006C476A">
        <w:instrText xml:space="preserve"> </w:instrText>
      </w:r>
      <w:r w:rsidR="00E974B2">
        <w:rPr>
          <w:lang w:val="en-US"/>
        </w:rPr>
        <w:instrText>pharmacokinetics</w:instrText>
      </w:r>
      <w:r w:rsidR="00E974B2" w:rsidRPr="006C476A">
        <w:instrText xml:space="preserve">, </w:instrText>
      </w:r>
      <w:r w:rsidR="00E974B2">
        <w:rPr>
          <w:lang w:val="en-US"/>
        </w:rPr>
        <w:instrText>similar</w:instrText>
      </w:r>
      <w:r w:rsidR="00E974B2" w:rsidRPr="006C476A">
        <w:instrText xml:space="preserve"> </w:instrText>
      </w:r>
      <w:r w:rsidR="00E974B2">
        <w:rPr>
          <w:lang w:val="en-US"/>
        </w:rPr>
        <w:instrText>outcomes</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comparable</w:instrText>
      </w:r>
      <w:r w:rsidR="00E974B2" w:rsidRPr="006C476A">
        <w:instrText xml:space="preserve"> </w:instrText>
      </w:r>
      <w:r w:rsidR="00E974B2">
        <w:rPr>
          <w:lang w:val="en-US"/>
        </w:rPr>
        <w:instrText>adverse</w:instrText>
      </w:r>
      <w:r w:rsidR="00E974B2" w:rsidRPr="006C476A">
        <w:instrText xml:space="preserve"> </w:instrText>
      </w:r>
      <w:r w:rsidR="00E974B2">
        <w:rPr>
          <w:lang w:val="en-US"/>
        </w:rPr>
        <w:instrText>events</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hyaluronidase</w:instrText>
      </w:r>
      <w:r w:rsidR="00E974B2" w:rsidRPr="006C476A">
        <w:instrText xml:space="preserve"> </w:instrText>
      </w:r>
      <w:r w:rsidR="00E974B2">
        <w:rPr>
          <w:lang w:val="en-US"/>
        </w:rPr>
        <w:instrText>human</w:instrText>
      </w:r>
      <w:r w:rsidR="00E974B2" w:rsidRPr="006C476A">
        <w:instrText xml:space="preserve"> </w:instrText>
      </w:r>
      <w:r w:rsidR="00E974B2">
        <w:rPr>
          <w:lang w:val="en-US"/>
        </w:rPr>
        <w:instrText>may</w:instrText>
      </w:r>
      <w:r w:rsidR="00E974B2" w:rsidRPr="006C476A">
        <w:instrText xml:space="preserve"> </w:instrText>
      </w:r>
      <w:r w:rsidR="00E974B2">
        <w:rPr>
          <w:lang w:val="en-US"/>
        </w:rPr>
        <w:instrText>offer</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suitable</w:instrText>
      </w:r>
      <w:r w:rsidR="00E974B2" w:rsidRPr="006C476A">
        <w:instrText xml:space="preserve"> </w:instrText>
      </w:r>
      <w:r w:rsidR="00E974B2">
        <w:rPr>
          <w:lang w:val="en-US"/>
        </w:rPr>
        <w:instrText>alternative</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intravenous</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that</w:instrText>
      </w:r>
      <w:r w:rsidR="00E974B2" w:rsidRPr="006C476A">
        <w:instrText xml:space="preserve"> </w:instrText>
      </w:r>
      <w:r w:rsidR="00E974B2">
        <w:rPr>
          <w:lang w:val="en-US"/>
        </w:rPr>
        <w:instrText>could</w:instrText>
      </w:r>
      <w:r w:rsidR="00E974B2" w:rsidRPr="006C476A">
        <w:instrText xml:space="preserve"> </w:instrText>
      </w:r>
      <w:r w:rsidR="00E974B2">
        <w:rPr>
          <w:lang w:val="en-US"/>
        </w:rPr>
        <w:instrText>improve</w:instrText>
      </w:r>
      <w:r w:rsidR="00E974B2" w:rsidRPr="006C476A">
        <w:instrText xml:space="preserve"> </w:instrText>
      </w:r>
      <w:r w:rsidR="00E974B2">
        <w:rPr>
          <w:lang w:val="en-US"/>
        </w:rPr>
        <w:instrText>convenience</w:instrText>
      </w:r>
      <w:r w:rsidR="00E974B2" w:rsidRPr="006C476A">
        <w:instrText xml:space="preserve"> </w:instrText>
      </w:r>
      <w:r w:rsidR="00E974B2">
        <w:rPr>
          <w:lang w:val="en-US"/>
        </w:rPr>
        <w:instrText>for</w:instrText>
      </w:r>
      <w:r w:rsidR="00E974B2" w:rsidRPr="006C476A">
        <w:instrText xml:space="preserve"> </w:instrText>
      </w:r>
      <w:r w:rsidR="00E974B2">
        <w:rPr>
          <w:lang w:val="en-US"/>
        </w:rPr>
        <w:instrText>patients</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better</w:instrText>
      </w:r>
      <w:r w:rsidR="00E974B2" w:rsidRPr="006C476A">
        <w:instrText xml:space="preserve"> </w:instrText>
      </w:r>
      <w:r w:rsidR="00E974B2">
        <w:rPr>
          <w:lang w:val="en-US"/>
        </w:rPr>
        <w:instrText>utilize</w:instrText>
      </w:r>
      <w:r w:rsidR="00E974B2" w:rsidRPr="006C476A">
        <w:instrText xml:space="preserve"> </w:instrText>
      </w:r>
      <w:r w:rsidR="00E974B2">
        <w:rPr>
          <w:lang w:val="en-US"/>
        </w:rPr>
        <w:instrText>health</w:instrText>
      </w:r>
      <w:r w:rsidR="00E974B2" w:rsidRPr="006C476A">
        <w:instrText>-</w:instrText>
      </w:r>
      <w:r w:rsidR="00E974B2">
        <w:rPr>
          <w:lang w:val="en-US"/>
        </w:rPr>
        <w:instrText>care</w:instrText>
      </w:r>
      <w:r w:rsidR="00E974B2" w:rsidRPr="006C476A">
        <w:instrText xml:space="preserve"> </w:instrText>
      </w:r>
      <w:r w:rsidR="00E974B2">
        <w:rPr>
          <w:lang w:val="en-US"/>
        </w:rPr>
        <w:instrText>resources</w:instrText>
      </w:r>
      <w:r w:rsidR="00E974B2" w:rsidRPr="006C476A">
        <w:instrText>.","</w:instrText>
      </w:r>
      <w:r w:rsidR="00E974B2">
        <w:rPr>
          <w:lang w:val="en-US"/>
        </w:rPr>
        <w:instrText>author</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Yelvington</w:instrText>
      </w:r>
      <w:r w:rsidR="00E974B2" w:rsidRPr="006C476A">
        <w:instrText>","</w:instrText>
      </w:r>
      <w:r w:rsidR="00E974B2">
        <w:rPr>
          <w:lang w:val="en-US"/>
        </w:rPr>
        <w:instrText>given</w:instrText>
      </w:r>
      <w:r w:rsidR="00E974B2" w:rsidRPr="006C476A">
        <w:instrText>":"</w:instrText>
      </w:r>
      <w:r w:rsidR="00E974B2">
        <w:rPr>
          <w:lang w:val="en-US"/>
        </w:rPr>
        <w:instrText>Bradley</w:instrText>
      </w:r>
      <w:r w:rsidR="00E974B2" w:rsidRPr="006C476A">
        <w:instrText xml:space="preserve"> </w:instrText>
      </w:r>
      <w:r w:rsidR="00E974B2">
        <w:rPr>
          <w:lang w:val="en-US"/>
        </w:rPr>
        <w:instrText>J</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container</w:instrText>
      </w:r>
      <w:r w:rsidR="00E974B2" w:rsidRPr="006C476A">
        <w:instrText>-</w:instrText>
      </w:r>
      <w:r w:rsidR="00E974B2">
        <w:rPr>
          <w:lang w:val="en-US"/>
        </w:rPr>
        <w:instrText>title</w:instrText>
      </w:r>
      <w:r w:rsidR="00E974B2" w:rsidRPr="006C476A">
        <w:instrText>":"</w:instrText>
      </w:r>
      <w:r w:rsidR="00E974B2">
        <w:rPr>
          <w:lang w:val="en-US"/>
        </w:rPr>
        <w:instrText>Journal</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advanced</w:instrText>
      </w:r>
      <w:r w:rsidR="00E974B2" w:rsidRPr="006C476A">
        <w:instrText xml:space="preserve"> </w:instrText>
      </w:r>
      <w:r w:rsidR="00E974B2">
        <w:rPr>
          <w:lang w:val="en-US"/>
        </w:rPr>
        <w:instrText>practitioner</w:instrText>
      </w:r>
      <w:r w:rsidR="00E974B2" w:rsidRPr="006C476A">
        <w:instrText xml:space="preserve"> </w:instrText>
      </w:r>
      <w:r w:rsidR="00E974B2">
        <w:rPr>
          <w:lang w:val="en-US"/>
        </w:rPr>
        <w:instrText>in</w:instrText>
      </w:r>
      <w:r w:rsidR="00E974B2" w:rsidRPr="006C476A">
        <w:instrText xml:space="preserve"> </w:instrText>
      </w:r>
      <w:r w:rsidR="00E974B2">
        <w:rPr>
          <w:lang w:val="en-US"/>
        </w:rPr>
        <w:instrText>oncology</w:instrText>
      </w:r>
      <w:r w:rsidR="00E974B2" w:rsidRPr="006C476A">
        <w:instrText>","</w:instrText>
      </w:r>
      <w:r w:rsidR="00E974B2">
        <w:rPr>
          <w:lang w:val="en-US"/>
        </w:rPr>
        <w:instrText>id</w:instrText>
      </w:r>
      <w:r w:rsidR="00E974B2" w:rsidRPr="006C476A">
        <w:instrText>":"</w:instrText>
      </w:r>
      <w:r w:rsidR="00E974B2">
        <w:rPr>
          <w:lang w:val="en-US"/>
        </w:rPr>
        <w:instrText>ITEM</w:instrText>
      </w:r>
      <w:r w:rsidR="00E974B2" w:rsidRPr="006C476A">
        <w:instrText>-1","</w:instrText>
      </w:r>
      <w:r w:rsidR="00E974B2">
        <w:rPr>
          <w:lang w:val="en-US"/>
        </w:rPr>
        <w:instrText>issue</w:instrText>
      </w:r>
      <w:r w:rsidR="00E974B2" w:rsidRPr="006C476A">
        <w:instrText>":"5","</w:instrText>
      </w:r>
      <w:r w:rsidR="00E974B2">
        <w:rPr>
          <w:lang w:val="en-US"/>
        </w:rPr>
        <w:instrText>issued</w:instrText>
      </w:r>
      <w:r w:rsidR="00E974B2" w:rsidRPr="006C476A">
        <w:instrText>":{"</w:instrText>
      </w:r>
      <w:r w:rsidR="00E974B2">
        <w:rPr>
          <w:lang w:val="en-US"/>
        </w:rPr>
        <w:instrText>date</w:instrText>
      </w:r>
      <w:r w:rsidR="00E974B2" w:rsidRPr="006C476A">
        <w:instrText>-</w:instrText>
      </w:r>
      <w:r w:rsidR="00E974B2">
        <w:rPr>
          <w:lang w:val="en-US"/>
        </w:rPr>
        <w:instrText>parts</w:instrText>
      </w:r>
      <w:r w:rsidR="00E974B2" w:rsidRPr="006C476A">
        <w:instrText>":[["2018"]]},"</w:instrText>
      </w:r>
      <w:r w:rsidR="00E974B2">
        <w:rPr>
          <w:lang w:val="en-US"/>
        </w:rPr>
        <w:instrText>page</w:instrText>
      </w:r>
      <w:r w:rsidR="00E974B2" w:rsidRPr="006C476A">
        <w:instrText>":"530-534","</w:instrText>
      </w:r>
      <w:r w:rsidR="00E974B2">
        <w:rPr>
          <w:lang w:val="en-US"/>
        </w:rPr>
        <w:instrText>publisher</w:instrText>
      </w:r>
      <w:r w:rsidR="00E974B2" w:rsidRPr="006C476A">
        <w:instrText>":"</w:instrText>
      </w:r>
      <w:r w:rsidR="00E974B2">
        <w:rPr>
          <w:lang w:val="en-US"/>
        </w:rPr>
        <w:instrText>Harborside</w:instrText>
      </w:r>
      <w:r w:rsidR="00E974B2" w:rsidRPr="006C476A">
        <w:instrText xml:space="preserve"> </w:instrText>
      </w:r>
      <w:r w:rsidR="00E974B2">
        <w:rPr>
          <w:lang w:val="en-US"/>
        </w:rPr>
        <w:instrText>Press</w:instrText>
      </w:r>
      <w:r w:rsidR="00E974B2" w:rsidRPr="006C476A">
        <w:instrText>","</w:instrText>
      </w:r>
      <w:r w:rsidR="00E974B2">
        <w:rPr>
          <w:lang w:val="en-US"/>
        </w:rPr>
        <w:instrText>title</w:instrText>
      </w:r>
      <w:r w:rsidR="00E974B2" w:rsidRPr="006C476A">
        <w:instrText>":"</w:instrText>
      </w:r>
      <w:r w:rsidR="00E974B2">
        <w:rPr>
          <w:lang w:val="en-US"/>
        </w:rPr>
        <w:instrText>Subcutaneous</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in</w:instrText>
      </w:r>
      <w:r w:rsidR="00E974B2" w:rsidRPr="006C476A">
        <w:instrText xml:space="preserve"> </w:instrText>
      </w:r>
      <w:r w:rsidR="00E974B2">
        <w:rPr>
          <w:lang w:val="en-US"/>
        </w:rPr>
        <w:instrText>Follicular</w:instrText>
      </w:r>
      <w:r w:rsidR="00E974B2" w:rsidRPr="006C476A">
        <w:instrText xml:space="preserve"> </w:instrText>
      </w:r>
      <w:r w:rsidR="00E974B2">
        <w:rPr>
          <w:lang w:val="en-US"/>
        </w:rPr>
        <w:instrText>Lymphoma</w:instrText>
      </w:r>
      <w:r w:rsidR="00E974B2" w:rsidRPr="006C476A">
        <w:instrText xml:space="preserve">, </w:instrText>
      </w:r>
      <w:r w:rsidR="00E974B2">
        <w:rPr>
          <w:lang w:val="en-US"/>
        </w:rPr>
        <w:instrText>Chronic</w:instrText>
      </w:r>
      <w:r w:rsidR="00E974B2" w:rsidRPr="006C476A">
        <w:instrText xml:space="preserve"> </w:instrText>
      </w:r>
      <w:r w:rsidR="00E974B2">
        <w:rPr>
          <w:lang w:val="en-US"/>
        </w:rPr>
        <w:instrText>Lymphocytic</w:instrText>
      </w:r>
      <w:r w:rsidR="00E974B2" w:rsidRPr="006C476A">
        <w:instrText xml:space="preserve"> </w:instrText>
      </w:r>
      <w:r w:rsidR="00E974B2">
        <w:rPr>
          <w:lang w:val="en-US"/>
        </w:rPr>
        <w:instrText>Leukemia</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Diffuse</w:instrText>
      </w:r>
      <w:r w:rsidR="00E974B2" w:rsidRPr="006C476A">
        <w:instrText xml:space="preserve"> </w:instrText>
      </w:r>
      <w:r w:rsidR="00E974B2">
        <w:rPr>
          <w:lang w:val="en-US"/>
        </w:rPr>
        <w:instrText>Large</w:instrText>
      </w:r>
      <w:r w:rsidR="00E974B2" w:rsidRPr="006C476A">
        <w:instrText xml:space="preserve"> </w:instrText>
      </w:r>
      <w:r w:rsidR="00E974B2">
        <w:rPr>
          <w:lang w:val="en-US"/>
        </w:rPr>
        <w:instrText>B</w:instrText>
      </w:r>
      <w:r w:rsidR="00E974B2" w:rsidRPr="006C476A">
        <w:instrText>-</w:instrText>
      </w:r>
      <w:r w:rsidR="00E974B2">
        <w:rPr>
          <w:lang w:val="en-US"/>
        </w:rPr>
        <w:instrText>Cell</w:instrText>
      </w:r>
      <w:r w:rsidR="00E974B2" w:rsidRPr="006C476A">
        <w:instrText xml:space="preserve"> </w:instrText>
      </w:r>
      <w:r w:rsidR="00E974B2">
        <w:rPr>
          <w:lang w:val="en-US"/>
        </w:rPr>
        <w:instrText>Lymphoma</w:instrText>
      </w:r>
      <w:r w:rsidR="00E974B2" w:rsidRPr="006C476A">
        <w:instrText>.","</w:instrText>
      </w:r>
      <w:r w:rsidR="00E974B2">
        <w:rPr>
          <w:lang w:val="en-US"/>
        </w:rPr>
        <w:instrText>type</w:instrText>
      </w:r>
      <w:r w:rsidR="00E974B2" w:rsidRPr="006C476A">
        <w:instrText>":"</w:instrText>
      </w:r>
      <w:r w:rsidR="00E974B2">
        <w:rPr>
          <w:lang w:val="en-US"/>
        </w:rPr>
        <w:instrText>article</w:instrText>
      </w:r>
      <w:r w:rsidR="00E974B2" w:rsidRPr="006C476A">
        <w:instrText>-</w:instrText>
      </w:r>
      <w:r w:rsidR="00E974B2">
        <w:rPr>
          <w:lang w:val="en-US"/>
        </w:rPr>
        <w:instrText>journal</w:instrText>
      </w:r>
      <w:r w:rsidR="00E974B2" w:rsidRPr="006C476A">
        <w:instrText>","</w:instrText>
      </w:r>
      <w:r w:rsidR="00E974B2">
        <w:rPr>
          <w:lang w:val="en-US"/>
        </w:rPr>
        <w:instrText>volume</w:instrText>
      </w:r>
      <w:r w:rsidR="00E974B2" w:rsidRPr="006C476A">
        <w:instrText>":"9"},"</w:instrText>
      </w:r>
      <w:r w:rsidR="00E974B2">
        <w:rPr>
          <w:lang w:val="en-US"/>
        </w:rPr>
        <w:instrText>uris</w:instrText>
      </w:r>
      <w:r w:rsidR="00E974B2" w:rsidRPr="006C476A">
        <w:instrText>":["</w:instrText>
      </w:r>
      <w:r w:rsidR="00E974B2">
        <w:rPr>
          <w:lang w:val="en-US"/>
        </w:rPr>
        <w:instrText>http</w:instrText>
      </w:r>
      <w:r w:rsidR="00E974B2" w:rsidRPr="006C476A">
        <w:instrText>://</w:instrText>
      </w:r>
      <w:r w:rsidR="00E974B2">
        <w:rPr>
          <w:lang w:val="en-US"/>
        </w:rPr>
        <w:instrText>www</w:instrText>
      </w:r>
      <w:r w:rsidR="00E974B2" w:rsidRPr="006C476A">
        <w:instrText>.</w:instrText>
      </w:r>
      <w:r w:rsidR="00E974B2">
        <w:rPr>
          <w:lang w:val="en-US"/>
        </w:rPr>
        <w:instrText>mendeley</w:instrText>
      </w:r>
      <w:r w:rsidR="00E974B2" w:rsidRPr="006C476A">
        <w:instrText>.</w:instrText>
      </w:r>
      <w:r w:rsidR="00E974B2">
        <w:rPr>
          <w:lang w:val="en-US"/>
        </w:rPr>
        <w:instrText>com</w:instrText>
      </w:r>
      <w:r w:rsidR="00E974B2" w:rsidRPr="006C476A">
        <w:instrText>/</w:instrText>
      </w:r>
      <w:r w:rsidR="00E974B2">
        <w:rPr>
          <w:lang w:val="en-US"/>
        </w:rPr>
        <w:instrText>documents</w:instrText>
      </w:r>
      <w:r w:rsidR="00E974B2" w:rsidRPr="006C476A">
        <w:instrText>/?</w:instrText>
      </w:r>
      <w:r w:rsidR="00E974B2">
        <w:rPr>
          <w:lang w:val="en-US"/>
        </w:rPr>
        <w:instrText>uuid</w:instrText>
      </w:r>
      <w:r w:rsidR="00E974B2" w:rsidRPr="006C476A">
        <w:instrText>=</w:instrText>
      </w:r>
      <w:r w:rsidR="00E974B2">
        <w:rPr>
          <w:lang w:val="en-US"/>
        </w:rPr>
        <w:instrText>fbb</w:instrText>
      </w:r>
      <w:r w:rsidR="00E974B2" w:rsidRPr="006C476A">
        <w:instrText>0</w:instrText>
      </w:r>
      <w:r w:rsidR="00E974B2">
        <w:rPr>
          <w:lang w:val="en-US"/>
        </w:rPr>
        <w:instrText>b</w:instrText>
      </w:r>
      <w:r w:rsidR="00E974B2" w:rsidRPr="006C476A">
        <w:instrText>8</w:instrText>
      </w:r>
      <w:r w:rsidR="00E974B2">
        <w:rPr>
          <w:lang w:val="en-US"/>
        </w:rPr>
        <w:instrText>f</w:instrText>
      </w:r>
      <w:r w:rsidR="00E974B2" w:rsidRPr="006C476A">
        <w:instrText>4-6</w:instrText>
      </w:r>
      <w:r w:rsidR="00E974B2">
        <w:rPr>
          <w:lang w:val="en-US"/>
        </w:rPr>
        <w:instrText>b</w:instrText>
      </w:r>
      <w:r w:rsidR="00E974B2" w:rsidRPr="006C476A">
        <w:instrText>58-3</w:instrText>
      </w:r>
      <w:r w:rsidR="00E974B2">
        <w:rPr>
          <w:lang w:val="en-US"/>
        </w:rPr>
        <w:instrText>a</w:instrText>
      </w:r>
      <w:r w:rsidR="00E974B2" w:rsidRPr="006C476A">
        <w:instrText>10-</w:instrText>
      </w:r>
      <w:r w:rsidR="00E974B2">
        <w:rPr>
          <w:lang w:val="en-US"/>
        </w:rPr>
        <w:instrText>b</w:instrText>
      </w:r>
      <w:r w:rsidR="00E974B2" w:rsidRPr="006C476A">
        <w:instrText>7</w:instrText>
      </w:r>
      <w:r w:rsidR="00E974B2">
        <w:rPr>
          <w:lang w:val="en-US"/>
        </w:rPr>
        <w:instrText>d</w:instrText>
      </w:r>
      <w:r w:rsidR="00E974B2" w:rsidRPr="006C476A">
        <w:instrText>6-</w:instrText>
      </w:r>
      <w:r w:rsidR="00E974B2">
        <w:rPr>
          <w:lang w:val="en-US"/>
        </w:rPr>
        <w:instrText>af</w:instrText>
      </w:r>
      <w:r w:rsidR="00E974B2" w:rsidRPr="006C476A">
        <w:instrText>3854030</w:instrText>
      </w:r>
      <w:r w:rsidR="00E974B2">
        <w:rPr>
          <w:lang w:val="en-US"/>
        </w:rPr>
        <w:instrText>be</w:instrText>
      </w:r>
      <w:r w:rsidR="00E974B2" w:rsidRPr="006C476A">
        <w:instrText>8"]},{"</w:instrText>
      </w:r>
      <w:r w:rsidR="00E974B2">
        <w:rPr>
          <w:lang w:val="en-US"/>
        </w:rPr>
        <w:instrText>id</w:instrText>
      </w:r>
      <w:r w:rsidR="00E974B2" w:rsidRPr="006C476A">
        <w:instrText>":"</w:instrText>
      </w:r>
      <w:r w:rsidR="00E974B2">
        <w:rPr>
          <w:lang w:val="en-US"/>
        </w:rPr>
        <w:instrText>ITEM</w:instrText>
      </w:r>
      <w:r w:rsidR="00E974B2" w:rsidRPr="006C476A">
        <w:instrText>-2","</w:instrText>
      </w:r>
      <w:r w:rsidR="00E974B2">
        <w:rPr>
          <w:lang w:val="en-US"/>
        </w:rPr>
        <w:instrText>itemData</w:instrText>
      </w:r>
      <w:r w:rsidR="00E974B2" w:rsidRPr="006C476A">
        <w:instrText>":{"</w:instrText>
      </w:r>
      <w:r w:rsidR="00E974B2">
        <w:rPr>
          <w:lang w:val="en-US"/>
        </w:rPr>
        <w:instrText>DOI</w:instrText>
      </w:r>
      <w:r w:rsidR="00E974B2" w:rsidRPr="006C476A">
        <w:instrText>":"10.1007/</w:instrText>
      </w:r>
      <w:r w:rsidR="00E974B2">
        <w:rPr>
          <w:lang w:val="en-US"/>
        </w:rPr>
        <w:instrText>s</w:instrText>
      </w:r>
      <w:r w:rsidR="00E974B2" w:rsidRPr="006C476A">
        <w:instrText>12325-017-0610-</w:instrText>
      </w:r>
      <w:r w:rsidR="00E974B2">
        <w:rPr>
          <w:lang w:val="en-US"/>
        </w:rPr>
        <w:instrText>z</w:instrText>
      </w:r>
      <w:r w:rsidR="00E974B2" w:rsidRPr="006C476A">
        <w:instrText>","</w:instrText>
      </w:r>
      <w:r w:rsidR="00E974B2">
        <w:rPr>
          <w:lang w:val="en-US"/>
        </w:rPr>
        <w:instrText>ISSN</w:instrText>
      </w:r>
      <w:r w:rsidR="00E974B2" w:rsidRPr="006C476A">
        <w:instrText>":"18658652","</w:instrText>
      </w:r>
      <w:r w:rsidR="00E974B2">
        <w:rPr>
          <w:lang w:val="en-US"/>
        </w:rPr>
        <w:instrText>abstract</w:instrText>
      </w:r>
      <w:r w:rsidR="00E974B2" w:rsidRPr="006C476A">
        <w:instrText>":"</w:instrText>
      </w:r>
      <w:r w:rsidR="00E974B2">
        <w:rPr>
          <w:lang w:val="en-US"/>
        </w:rPr>
        <w:instrText>Abstract</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MabThera</w:instrText>
      </w:r>
      <w:r w:rsidR="00E974B2" w:rsidRPr="006C476A">
        <w:instrText>®/</w:instrText>
      </w:r>
      <w:r w:rsidR="00E974B2">
        <w:rPr>
          <w:lang w:val="en-US"/>
        </w:rPr>
        <w:instrText>Rituxan</w:instrText>
      </w:r>
      <w:r w:rsidR="00E974B2" w:rsidRPr="006C476A">
        <w:instrText xml:space="preserve">®), </w:instrText>
      </w:r>
      <w:r w:rsidR="00E974B2">
        <w:rPr>
          <w:lang w:val="en-US"/>
        </w:rPr>
        <w:instrText>a</w:instrText>
      </w:r>
      <w:r w:rsidR="00E974B2" w:rsidRPr="006447F6">
        <w:instrText xml:space="preserve"> </w:instrText>
      </w:r>
      <w:r w:rsidR="00E974B2">
        <w:rPr>
          <w:lang w:val="en-US"/>
        </w:rPr>
        <w:instrText>chimeric</w:instrText>
      </w:r>
      <w:r w:rsidR="00E974B2" w:rsidRPr="006447F6">
        <w:instrText xml:space="preserve"> </w:instrText>
      </w:r>
      <w:r w:rsidR="00E974B2">
        <w:rPr>
          <w:lang w:val="en-US"/>
        </w:rPr>
        <w:instrText>murine</w:instrText>
      </w:r>
      <w:r w:rsidR="00E974B2" w:rsidRPr="006447F6">
        <w:instrText>/</w:instrText>
      </w:r>
      <w:r w:rsidR="00E974B2">
        <w:rPr>
          <w:lang w:val="en-US"/>
        </w:rPr>
        <w:instrText>human</w:instrText>
      </w:r>
      <w:r w:rsidR="00E974B2" w:rsidRPr="006447F6">
        <w:instrText xml:space="preserve"> </w:instrText>
      </w:r>
      <w:r w:rsidR="00E974B2">
        <w:rPr>
          <w:lang w:val="en-US"/>
        </w:rPr>
        <w:instrText>monoclonal</w:instrText>
      </w:r>
      <w:r w:rsidR="00E974B2" w:rsidRPr="006447F6">
        <w:instrText xml:space="preserve"> </w:instrText>
      </w:r>
      <w:r w:rsidR="00E974B2">
        <w:rPr>
          <w:lang w:val="en-US"/>
        </w:rPr>
        <w:instrText>antibody</w:instrText>
      </w:r>
      <w:r w:rsidR="00E974B2" w:rsidRPr="006447F6">
        <w:instrText xml:space="preserve"> </w:instrText>
      </w:r>
      <w:r w:rsidR="00E974B2">
        <w:rPr>
          <w:lang w:val="en-US"/>
        </w:rPr>
        <w:instrText>that</w:instrText>
      </w:r>
      <w:r w:rsidR="00E974B2" w:rsidRPr="006447F6">
        <w:instrText xml:space="preserve"> </w:instrText>
      </w:r>
      <w:r w:rsidR="00E974B2">
        <w:rPr>
          <w:lang w:val="en-US"/>
        </w:rPr>
        <w:instrText>binds</w:instrText>
      </w:r>
      <w:r w:rsidR="00E974B2" w:rsidRPr="006447F6">
        <w:instrText xml:space="preserve"> </w:instrText>
      </w:r>
      <w:r w:rsidR="00E974B2">
        <w:rPr>
          <w:lang w:val="en-US"/>
        </w:rPr>
        <w:instrText>specifically</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transmembrane</w:instrText>
      </w:r>
      <w:r w:rsidR="00E974B2" w:rsidRPr="006447F6">
        <w:instrText xml:space="preserve"> </w:instrText>
      </w:r>
      <w:r w:rsidR="00E974B2">
        <w:rPr>
          <w:lang w:val="en-US"/>
        </w:rPr>
        <w:instrText>antigen</w:instrText>
      </w:r>
      <w:r w:rsidR="00E974B2" w:rsidRPr="006447F6">
        <w:instrText xml:space="preserve"> </w:instrText>
      </w:r>
      <w:r w:rsidR="00E974B2">
        <w:rPr>
          <w:lang w:val="en-US"/>
        </w:rPr>
        <w:instrText>CD</w:instrText>
      </w:r>
      <w:r w:rsidR="00E974B2" w:rsidRPr="006447F6">
        <w:instrText xml:space="preserve">20, </w:instrText>
      </w:r>
      <w:r w:rsidR="00E974B2">
        <w:rPr>
          <w:lang w:val="en-US"/>
        </w:rPr>
        <w:instrText>was</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first</w:instrText>
      </w:r>
      <w:r w:rsidR="00E974B2" w:rsidRPr="006447F6">
        <w:instrText xml:space="preserve"> </w:instrText>
      </w:r>
      <w:r w:rsidR="00E974B2">
        <w:rPr>
          <w:lang w:val="en-US"/>
        </w:rPr>
        <w:instrText>therapeutic</w:instrText>
      </w:r>
      <w:r w:rsidR="00E974B2" w:rsidRPr="006447F6">
        <w:instrText xml:space="preserve"> </w:instrText>
      </w:r>
      <w:r w:rsidR="00E974B2">
        <w:rPr>
          <w:lang w:val="en-US"/>
        </w:rPr>
        <w:instrText>antibody</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enter</w:instrText>
      </w:r>
      <w:r w:rsidR="00E974B2" w:rsidRPr="006447F6">
        <w:instrText xml:space="preserve"> </w:instrText>
      </w:r>
      <w:r w:rsidR="00E974B2">
        <w:rPr>
          <w:lang w:val="en-US"/>
        </w:rPr>
        <w:instrText>clinical</w:instrText>
      </w:r>
      <w:r w:rsidR="00E974B2" w:rsidRPr="006447F6">
        <w:instrText xml:space="preserve"> </w:instrText>
      </w:r>
      <w:r w:rsidR="00E974B2">
        <w:rPr>
          <w:lang w:val="en-US"/>
        </w:rPr>
        <w:instrText>practice</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treatment</w:instrText>
      </w:r>
      <w:r w:rsidR="00E974B2" w:rsidRPr="006447F6">
        <w:instrText xml:space="preserve"> </w:instrText>
      </w:r>
      <w:r w:rsidR="00E974B2">
        <w:rPr>
          <w:lang w:val="en-US"/>
        </w:rPr>
        <w:instrText>of</w:instrText>
      </w:r>
      <w:r w:rsidR="00E974B2" w:rsidRPr="006447F6">
        <w:instrText xml:space="preserve"> </w:instrText>
      </w:r>
      <w:r w:rsidR="00E974B2">
        <w:rPr>
          <w:lang w:val="en-US"/>
        </w:rPr>
        <w:instrText>cancer</w:instrText>
      </w:r>
      <w:r w:rsidR="00E974B2" w:rsidRPr="006447F6">
        <w:instrText xml:space="preserve">. </w:instrText>
      </w:r>
      <w:r w:rsidR="00E974B2">
        <w:rPr>
          <w:lang w:val="en-US"/>
        </w:rPr>
        <w:instrText>As</w:instrText>
      </w:r>
      <w:r w:rsidR="00E974B2" w:rsidRPr="006447F6">
        <w:instrText xml:space="preserve"> </w:instrText>
      </w:r>
      <w:r w:rsidR="00E974B2">
        <w:rPr>
          <w:lang w:val="en-US"/>
        </w:rPr>
        <w:instrText>monotherapy</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combination</w:instrText>
      </w:r>
      <w:r w:rsidR="00E974B2" w:rsidRPr="006447F6">
        <w:instrText xml:space="preserve"> </w:instrText>
      </w:r>
      <w:r w:rsidR="00E974B2">
        <w:rPr>
          <w:lang w:val="en-US"/>
        </w:rPr>
        <w:instrText>with</w:instrText>
      </w:r>
      <w:r w:rsidR="00E974B2" w:rsidRPr="006447F6">
        <w:instrText xml:space="preserve"> </w:instrText>
      </w:r>
      <w:r w:rsidR="00E974B2">
        <w:rPr>
          <w:lang w:val="en-US"/>
        </w:rPr>
        <w:instrText>chemotherapy</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has</w:instrText>
      </w:r>
      <w:r w:rsidR="00E974B2" w:rsidRPr="006447F6">
        <w:instrText xml:space="preserve"> </w:instrText>
      </w:r>
      <w:r w:rsidR="00E974B2">
        <w:rPr>
          <w:lang w:val="en-US"/>
        </w:rPr>
        <w:instrText>been</w:instrText>
      </w:r>
      <w:r w:rsidR="00E974B2" w:rsidRPr="006447F6">
        <w:instrText xml:space="preserve"> </w:instrText>
      </w:r>
      <w:r w:rsidR="00E974B2">
        <w:rPr>
          <w:lang w:val="en-US"/>
        </w:rPr>
        <w:instrText>shown</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prolong</w:instrText>
      </w:r>
      <w:r w:rsidR="00E974B2" w:rsidRPr="006447F6">
        <w:instrText xml:space="preserve"> </w:instrText>
      </w:r>
      <w:r w:rsidR="00E974B2">
        <w:rPr>
          <w:lang w:val="en-US"/>
        </w:rPr>
        <w:instrText>progression</w:instrText>
      </w:r>
      <w:r w:rsidR="00E974B2" w:rsidRPr="006447F6">
        <w:instrText>-</w:instrText>
      </w:r>
      <w:r w:rsidR="00E974B2">
        <w:rPr>
          <w:lang w:val="en-US"/>
        </w:rPr>
        <w:instrText>free</w:instrText>
      </w:r>
      <w:r w:rsidR="00E974B2" w:rsidRPr="006447F6">
        <w:instrText xml:space="preserve"> </w:instrText>
      </w:r>
      <w:r w:rsidR="00E974B2">
        <w:rPr>
          <w:lang w:val="en-US"/>
        </w:rPr>
        <w:instrText>survival</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some</w:instrText>
      </w:r>
      <w:r w:rsidR="00E974B2" w:rsidRPr="006447F6">
        <w:instrText xml:space="preserve"> </w:instrText>
      </w:r>
      <w:r w:rsidR="00E974B2">
        <w:rPr>
          <w:lang w:val="en-US"/>
        </w:rPr>
        <w:instrText>indications</w:instrText>
      </w:r>
      <w:r w:rsidR="00E974B2" w:rsidRPr="006447F6">
        <w:instrText xml:space="preserve"> </w:instrText>
      </w:r>
      <w:r w:rsidR="00E974B2">
        <w:rPr>
          <w:lang w:val="en-US"/>
        </w:rPr>
        <w:instrText>overall</w:instrText>
      </w:r>
      <w:r w:rsidR="00E974B2" w:rsidRPr="006447F6">
        <w:instrText xml:space="preserve"> </w:instrText>
      </w:r>
      <w:r w:rsidR="00E974B2">
        <w:rPr>
          <w:lang w:val="en-US"/>
        </w:rPr>
        <w:instrText>survival</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patients</w:instrText>
      </w:r>
      <w:r w:rsidR="00E974B2" w:rsidRPr="006447F6">
        <w:instrText xml:space="preserve"> </w:instrText>
      </w:r>
      <w:r w:rsidR="00E974B2">
        <w:rPr>
          <w:lang w:val="en-US"/>
        </w:rPr>
        <w:instrText>with</w:instrText>
      </w:r>
      <w:r w:rsidR="00E974B2" w:rsidRPr="006447F6">
        <w:instrText xml:space="preserve"> </w:instrText>
      </w:r>
      <w:r w:rsidR="00E974B2">
        <w:rPr>
          <w:lang w:val="en-US"/>
        </w:rPr>
        <w:instrText>various</w:instrText>
      </w:r>
      <w:r w:rsidR="00E974B2" w:rsidRPr="006447F6">
        <w:instrText xml:space="preserve"> </w:instrText>
      </w:r>
      <w:r w:rsidR="00E974B2">
        <w:rPr>
          <w:lang w:val="en-US"/>
        </w:rPr>
        <w:instrText>B</w:instrText>
      </w:r>
      <w:r w:rsidR="00E974B2" w:rsidRPr="006447F6">
        <w:instrText>-</w:instrText>
      </w:r>
      <w:r w:rsidR="00E974B2">
        <w:rPr>
          <w:lang w:val="en-US"/>
        </w:rPr>
        <w:instrText>cell</w:instrText>
      </w:r>
      <w:r w:rsidR="00E974B2" w:rsidRPr="006447F6">
        <w:instrText xml:space="preserve"> </w:instrText>
      </w:r>
      <w:r w:rsidR="00E974B2">
        <w:rPr>
          <w:lang w:val="en-US"/>
        </w:rPr>
        <w:instrText>malignancies</w:instrText>
      </w:r>
      <w:r w:rsidR="00E974B2" w:rsidRPr="006447F6">
        <w:instrText xml:space="preserve">, </w:instrText>
      </w:r>
      <w:r w:rsidR="00E974B2">
        <w:rPr>
          <w:lang w:val="en-US"/>
        </w:rPr>
        <w:instrText>while</w:instrText>
      </w:r>
      <w:r w:rsidR="00E974B2" w:rsidRPr="006447F6">
        <w:instrText xml:space="preserve"> </w:instrText>
      </w:r>
      <w:r w:rsidR="00E974B2">
        <w:rPr>
          <w:lang w:val="en-US"/>
        </w:rPr>
        <w:instrText>having</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well</w:instrText>
      </w:r>
      <w:r w:rsidR="00E974B2" w:rsidRPr="006447F6">
        <w:instrText>-</w:instrText>
      </w:r>
      <w:r w:rsidR="00E974B2">
        <w:rPr>
          <w:lang w:val="en-US"/>
        </w:rPr>
        <w:instrText>established</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manageable</w:instrText>
      </w:r>
      <w:r w:rsidR="00E974B2" w:rsidRPr="006447F6">
        <w:instrText xml:space="preserve"> </w:instrText>
      </w:r>
      <w:r w:rsidR="00E974B2">
        <w:rPr>
          <w:lang w:val="en-US"/>
        </w:rPr>
        <w:instrText>safety</w:instrText>
      </w:r>
      <w:r w:rsidR="00E974B2" w:rsidRPr="006447F6">
        <w:instrText xml:space="preserve"> </w:instrText>
      </w:r>
      <w:r w:rsidR="00E974B2">
        <w:rPr>
          <w:lang w:val="en-US"/>
        </w:rPr>
        <w:instrText>profile</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wide</w:instrText>
      </w:r>
      <w:r w:rsidR="00E974B2" w:rsidRPr="006447F6">
        <w:instrText xml:space="preserve"> </w:instrText>
      </w:r>
      <w:r w:rsidR="00E974B2">
        <w:rPr>
          <w:lang w:val="en-US"/>
        </w:rPr>
        <w:instrText>therapeutic</w:instrText>
      </w:r>
      <w:r w:rsidR="00E974B2" w:rsidRPr="006447F6">
        <w:instrText xml:space="preserve"> </w:instrText>
      </w:r>
      <w:r w:rsidR="00E974B2">
        <w:rPr>
          <w:lang w:val="en-US"/>
        </w:rPr>
        <w:instrText>window</w:instrText>
      </w:r>
      <w:r w:rsidR="00E974B2" w:rsidRPr="006447F6">
        <w:instrText xml:space="preserve">. </w:instrText>
      </w:r>
      <w:r w:rsidR="00E974B2">
        <w:rPr>
          <w:lang w:val="en-US"/>
        </w:rPr>
        <w:instrText>As</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result</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is</w:instrText>
      </w:r>
      <w:r w:rsidR="00E974B2" w:rsidRPr="006447F6">
        <w:instrText xml:space="preserve"> </w:instrText>
      </w:r>
      <w:r w:rsidR="00E974B2">
        <w:rPr>
          <w:lang w:val="en-US"/>
        </w:rPr>
        <w:instrText>considered</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have</w:instrText>
      </w:r>
      <w:r w:rsidR="00E974B2" w:rsidRPr="006447F6">
        <w:instrText xml:space="preserve"> </w:instrText>
      </w:r>
      <w:r w:rsidR="00E974B2">
        <w:rPr>
          <w:lang w:val="en-US"/>
        </w:rPr>
        <w:instrText>revolutionized</w:instrText>
      </w:r>
      <w:r w:rsidR="00E974B2" w:rsidRPr="006447F6">
        <w:instrText xml:space="preserve"> </w:instrText>
      </w:r>
      <w:r w:rsidR="00E974B2">
        <w:rPr>
          <w:lang w:val="en-US"/>
        </w:rPr>
        <w:instrText>treatment</w:instrText>
      </w:r>
      <w:r w:rsidR="00E974B2" w:rsidRPr="006447F6">
        <w:instrText xml:space="preserve"> </w:instrText>
      </w:r>
      <w:r w:rsidR="00E974B2">
        <w:rPr>
          <w:lang w:val="en-US"/>
        </w:rPr>
        <w:instrText>practices</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patients</w:instrText>
      </w:r>
      <w:r w:rsidR="00E974B2" w:rsidRPr="006447F6">
        <w:instrText xml:space="preserve"> </w:instrText>
      </w:r>
      <w:r w:rsidR="00E974B2">
        <w:rPr>
          <w:lang w:val="en-US"/>
        </w:rPr>
        <w:instrText>with</w:instrText>
      </w:r>
      <w:r w:rsidR="00E974B2" w:rsidRPr="006447F6">
        <w:instrText xml:space="preserve"> </w:instrText>
      </w:r>
      <w:r w:rsidR="00E974B2">
        <w:rPr>
          <w:lang w:val="en-US"/>
        </w:rPr>
        <w:instrText>B</w:instrText>
      </w:r>
      <w:r w:rsidR="00E974B2" w:rsidRPr="006447F6">
        <w:instrText>-</w:instrText>
      </w:r>
      <w:r w:rsidR="00E974B2">
        <w:rPr>
          <w:lang w:val="en-US"/>
        </w:rPr>
        <w:instrText>cell</w:instrText>
      </w:r>
      <w:r w:rsidR="00E974B2" w:rsidRPr="006447F6">
        <w:instrText xml:space="preserve"> </w:instrText>
      </w:r>
      <w:r w:rsidR="00E974B2">
        <w:rPr>
          <w:lang w:val="en-US"/>
        </w:rPr>
        <w:instrText>malignancies</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subcutaneous</w:instrText>
      </w:r>
      <w:r w:rsidR="00E974B2" w:rsidRPr="006447F6">
        <w:instrText xml:space="preserve"> (</w:instrText>
      </w:r>
      <w:r w:rsidR="00E974B2">
        <w:rPr>
          <w:lang w:val="en-US"/>
        </w:rPr>
        <w:instrText>SC</w:instrText>
      </w:r>
      <w:r w:rsidR="00E974B2" w:rsidRPr="006447F6">
        <w:instrText xml:space="preserve">) </w:instrText>
      </w:r>
      <w:r w:rsidR="00E974B2">
        <w:rPr>
          <w:lang w:val="en-US"/>
        </w:rPr>
        <w:instrText>formulation</w:instrText>
      </w:r>
      <w:r w:rsidR="00E974B2" w:rsidRPr="006447F6">
        <w:instrText xml:space="preserve"> </w:instrText>
      </w:r>
      <w:r w:rsidR="00E974B2">
        <w:rPr>
          <w:lang w:val="en-US"/>
        </w:rPr>
        <w:instrText>of</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has</w:instrText>
      </w:r>
      <w:r w:rsidR="00E974B2" w:rsidRPr="006447F6">
        <w:instrText xml:space="preserve"> </w:instrText>
      </w:r>
      <w:r w:rsidR="00E974B2">
        <w:rPr>
          <w:lang w:val="en-US"/>
        </w:rPr>
        <w:instrText>been</w:instrText>
      </w:r>
      <w:r w:rsidR="00E974B2" w:rsidRPr="006447F6">
        <w:instrText xml:space="preserve"> </w:instrText>
      </w:r>
      <w:r w:rsidR="00E974B2">
        <w:rPr>
          <w:lang w:val="en-US"/>
        </w:rPr>
        <w:instrText>developed</w:instrText>
      </w:r>
      <w:r w:rsidR="00E974B2" w:rsidRPr="006447F6">
        <w:instrText xml:space="preserve">, </w:instrText>
      </w:r>
      <w:r w:rsidR="00E974B2">
        <w:rPr>
          <w:lang w:val="en-US"/>
        </w:rPr>
        <w:instrText>comprising</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same</w:instrText>
      </w:r>
      <w:r w:rsidR="00E974B2" w:rsidRPr="006447F6">
        <w:instrText xml:space="preserve"> </w:instrText>
      </w:r>
      <w:r w:rsidR="00E974B2">
        <w:rPr>
          <w:lang w:val="en-US"/>
        </w:rPr>
        <w:instrText>monoclonal</w:instrText>
      </w:r>
      <w:r w:rsidR="00E974B2" w:rsidRPr="006447F6">
        <w:instrText xml:space="preserve"> </w:instrText>
      </w:r>
      <w:r w:rsidR="00E974B2">
        <w:rPr>
          <w:lang w:val="en-US"/>
        </w:rPr>
        <w:instrText>antibody</w:instrText>
      </w:r>
      <w:r w:rsidR="00E974B2" w:rsidRPr="006447F6">
        <w:instrText xml:space="preserve"> </w:instrText>
      </w:r>
      <w:r w:rsidR="00E974B2">
        <w:rPr>
          <w:lang w:val="en-US"/>
        </w:rPr>
        <w:instrText>as</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originally</w:instrText>
      </w:r>
      <w:r w:rsidR="00E974B2" w:rsidRPr="006447F6">
        <w:instrText xml:space="preserve"> </w:instrText>
      </w:r>
      <w:r w:rsidR="00E974B2">
        <w:rPr>
          <w:lang w:val="en-US"/>
        </w:rPr>
        <w:instrText>marketed</w:instrText>
      </w:r>
      <w:r w:rsidR="00E974B2" w:rsidRPr="006447F6">
        <w:instrText xml:space="preserve"> </w:instrText>
      </w:r>
      <w:r w:rsidR="00E974B2">
        <w:rPr>
          <w:lang w:val="en-US"/>
        </w:rPr>
        <w:instrText>formulation</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concentrate</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solution</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intravenous</w:instrText>
      </w:r>
      <w:r w:rsidR="00E974B2" w:rsidRPr="006447F6">
        <w:instrText xml:space="preserve"> (</w:instrText>
      </w:r>
      <w:r w:rsidR="00E974B2">
        <w:rPr>
          <w:lang w:val="en-US"/>
        </w:rPr>
        <w:instrText>IV</w:instrText>
      </w:r>
      <w:r w:rsidR="00E974B2" w:rsidRPr="006447F6">
        <w:instrText xml:space="preserve">) </w:instrText>
      </w:r>
      <w:r w:rsidR="00E974B2">
        <w:rPr>
          <w:lang w:val="en-US"/>
        </w:rPr>
        <w:instrText>infusion</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has</w:instrText>
      </w:r>
      <w:r w:rsidR="00E974B2" w:rsidRPr="006447F6">
        <w:instrText xml:space="preserve"> </w:instrText>
      </w:r>
      <w:r w:rsidR="00E974B2">
        <w:rPr>
          <w:lang w:val="en-US"/>
        </w:rPr>
        <w:instrText>undergone</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detailed</w:instrText>
      </w:r>
      <w:r w:rsidR="00E974B2" w:rsidRPr="006447F6">
        <w:instrText xml:space="preserve">, </w:instrText>
      </w:r>
      <w:r w:rsidR="00E974B2">
        <w:rPr>
          <w:lang w:val="en-US"/>
        </w:rPr>
        <w:instrText>sequential</w:instrText>
      </w:r>
      <w:r w:rsidR="00E974B2" w:rsidRPr="006447F6">
        <w:instrText xml:space="preserve"> </w:instrText>
      </w:r>
      <w:r w:rsidR="00E974B2">
        <w:rPr>
          <w:lang w:val="en-US"/>
        </w:rPr>
        <w:instrText>clinical</w:instrText>
      </w:r>
      <w:r w:rsidR="00E974B2" w:rsidRPr="006447F6">
        <w:instrText xml:space="preserve"> </w:instrText>
      </w:r>
      <w:r w:rsidR="00E974B2">
        <w:rPr>
          <w:lang w:val="en-US"/>
        </w:rPr>
        <w:instrText>development</w:instrText>
      </w:r>
      <w:r w:rsidR="00E974B2" w:rsidRPr="006447F6">
        <w:instrText xml:space="preserve"> </w:instrText>
      </w:r>
      <w:r w:rsidR="00E974B2">
        <w:rPr>
          <w:lang w:val="en-US"/>
        </w:rPr>
        <w:instrText>program</w:instrText>
      </w:r>
      <w:r w:rsidR="00E974B2" w:rsidRPr="006447F6">
        <w:instrText xml:space="preserve">. </w:instrText>
      </w:r>
      <w:r w:rsidR="00E974B2">
        <w:rPr>
          <w:lang w:val="en-US"/>
        </w:rPr>
        <w:instrText>This</w:instrText>
      </w:r>
      <w:r w:rsidR="00E974B2" w:rsidRPr="006447F6">
        <w:instrText xml:space="preserve"> </w:instrText>
      </w:r>
      <w:r w:rsidR="00E974B2">
        <w:rPr>
          <w:lang w:val="en-US"/>
        </w:rPr>
        <w:instrText>program</w:instrText>
      </w:r>
      <w:r w:rsidR="00E974B2" w:rsidRPr="006447F6">
        <w:instrText xml:space="preserve"> </w:instrText>
      </w:r>
      <w:r w:rsidR="00E974B2">
        <w:rPr>
          <w:lang w:val="en-US"/>
        </w:rPr>
        <w:instrText>demonstrated</w:instrText>
      </w:r>
      <w:r w:rsidR="00E974B2" w:rsidRPr="006447F6">
        <w:instrText xml:space="preserve"> </w:instrText>
      </w:r>
      <w:r w:rsidR="00E974B2">
        <w:rPr>
          <w:lang w:val="en-US"/>
        </w:rPr>
        <w:instrText>that</w:instrText>
      </w:r>
      <w:r w:rsidR="00E974B2" w:rsidRPr="006447F6">
        <w:instrText xml:space="preserve">, </w:instrText>
      </w:r>
      <w:r w:rsidR="00E974B2">
        <w:rPr>
          <w:lang w:val="en-US"/>
        </w:rPr>
        <w:instrText>at</w:instrText>
      </w:r>
      <w:r w:rsidR="00E974B2" w:rsidRPr="006447F6">
        <w:instrText xml:space="preserve"> </w:instrText>
      </w:r>
      <w:r w:rsidR="00E974B2">
        <w:rPr>
          <w:lang w:val="en-US"/>
        </w:rPr>
        <w:instrText>fixed</w:instrText>
      </w:r>
      <w:r w:rsidR="00E974B2" w:rsidRPr="006447F6">
        <w:instrText xml:space="preserve"> </w:instrText>
      </w:r>
      <w:r w:rsidR="00E974B2">
        <w:rPr>
          <w:lang w:val="en-US"/>
        </w:rPr>
        <w:instrText>doses</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SC</w:instrText>
      </w:r>
      <w:r w:rsidR="00E974B2" w:rsidRPr="006447F6">
        <w:instrText xml:space="preserve"> </w:instrText>
      </w:r>
      <w:r w:rsidR="00E974B2">
        <w:rPr>
          <w:lang w:val="en-US"/>
        </w:rPr>
        <w:instrText>achieves</w:instrText>
      </w:r>
      <w:r w:rsidR="00E974B2" w:rsidRPr="006447F6">
        <w:instrText xml:space="preserve"> </w:instrText>
      </w:r>
      <w:r w:rsidR="00E974B2">
        <w:rPr>
          <w:lang w:val="en-US"/>
        </w:rPr>
        <w:instrText>non</w:instrText>
      </w:r>
      <w:r w:rsidR="00E974B2" w:rsidRPr="006447F6">
        <w:instrText>-</w:instrText>
      </w:r>
      <w:r w:rsidR="00E974B2">
        <w:rPr>
          <w:lang w:val="en-US"/>
        </w:rPr>
        <w:instrText>inferior</w:instrText>
      </w:r>
      <w:r w:rsidR="00E974B2" w:rsidRPr="006447F6">
        <w:instrText xml:space="preserve"> </w:instrText>
      </w:r>
      <w:r w:rsidR="00E974B2">
        <w:rPr>
          <w:lang w:val="en-US"/>
        </w:rPr>
        <w:instrText>serum</w:instrText>
      </w:r>
      <w:r w:rsidR="00E974B2" w:rsidRPr="006447F6">
        <w:instrText xml:space="preserve"> </w:instrText>
      </w:r>
      <w:r w:rsidR="00E974B2">
        <w:rPr>
          <w:lang w:val="en-US"/>
        </w:rPr>
        <w:instrText>trough</w:instrText>
      </w:r>
      <w:r w:rsidR="00E974B2" w:rsidRPr="006447F6">
        <w:instrText xml:space="preserve"> </w:instrText>
      </w:r>
      <w:r w:rsidR="00E974B2">
        <w:rPr>
          <w:lang w:val="en-US"/>
        </w:rPr>
        <w:instrText>concentrations</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patients</w:instrText>
      </w:r>
      <w:r w:rsidR="00E974B2" w:rsidRPr="006447F6">
        <w:instrText xml:space="preserve"> </w:instrText>
      </w:r>
      <w:r w:rsidR="00E974B2">
        <w:rPr>
          <w:lang w:val="en-US"/>
        </w:rPr>
        <w:instrText>with</w:instrText>
      </w:r>
      <w:r w:rsidR="00E974B2" w:rsidRPr="006447F6">
        <w:instrText xml:space="preserve"> </w:instrText>
      </w:r>
      <w:r w:rsidR="00E974B2">
        <w:rPr>
          <w:lang w:val="en-US"/>
        </w:rPr>
        <w:instrText>non</w:instrText>
      </w:r>
      <w:r w:rsidR="00E974B2" w:rsidRPr="006447F6">
        <w:instrText>-</w:instrText>
      </w:r>
      <w:r w:rsidR="00E974B2">
        <w:rPr>
          <w:lang w:val="en-US"/>
        </w:rPr>
        <w:instrText>Hodgkin</w:instrText>
      </w:r>
      <w:r w:rsidR="00E974B2" w:rsidRPr="006447F6">
        <w:instrText xml:space="preserve"> </w:instrText>
      </w:r>
      <w:r w:rsidR="00E974B2">
        <w:rPr>
          <w:lang w:val="en-US"/>
        </w:rPr>
        <w:instrText>lymphoma</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chronic</w:instrText>
      </w:r>
      <w:r w:rsidR="00E974B2" w:rsidRPr="006447F6">
        <w:instrText xml:space="preserve"> </w:instrText>
      </w:r>
      <w:r w:rsidR="00E974B2">
        <w:rPr>
          <w:lang w:val="en-US"/>
        </w:rPr>
        <w:instrText>lymphocytic</w:instrText>
      </w:r>
      <w:r w:rsidR="00E974B2" w:rsidRPr="006447F6">
        <w:instrText xml:space="preserve"> </w:instrText>
      </w:r>
      <w:r w:rsidR="00E974B2">
        <w:rPr>
          <w:lang w:val="en-US"/>
        </w:rPr>
        <w:instrText>leukemia</w:instrText>
      </w:r>
      <w:r w:rsidR="00E974B2" w:rsidRPr="006447F6">
        <w:instrText xml:space="preserve">, </w:instrText>
      </w:r>
      <w:r w:rsidR="00E974B2">
        <w:rPr>
          <w:lang w:val="en-US"/>
        </w:rPr>
        <w:instrText>with</w:instrText>
      </w:r>
      <w:r w:rsidR="00E974B2" w:rsidRPr="006447F6">
        <w:instrText xml:space="preserve"> </w:instrText>
      </w:r>
      <w:r w:rsidR="00E974B2">
        <w:rPr>
          <w:lang w:val="en-US"/>
        </w:rPr>
        <w:instrText>comparable</w:instrText>
      </w:r>
      <w:r w:rsidR="00E974B2" w:rsidRPr="006447F6">
        <w:instrText xml:space="preserve"> </w:instrText>
      </w:r>
      <w:r w:rsidR="00E974B2">
        <w:rPr>
          <w:lang w:val="en-US"/>
        </w:rPr>
        <w:instrText>efficacy</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safety</w:instrText>
      </w:r>
      <w:r w:rsidR="00E974B2" w:rsidRPr="006447F6">
        <w:instrText xml:space="preserve"> </w:instrText>
      </w:r>
      <w:r w:rsidR="00E974B2">
        <w:rPr>
          <w:lang w:val="en-US"/>
        </w:rPr>
        <w:instrText>relative</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IV</w:instrText>
      </w:r>
      <w:r w:rsidR="00E974B2" w:rsidRPr="006447F6">
        <w:instrText xml:space="preserve"> </w:instrText>
      </w:r>
      <w:r w:rsidR="00E974B2">
        <w:rPr>
          <w:lang w:val="en-US"/>
        </w:rPr>
        <w:instrText>formulation</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added</w:instrText>
      </w:r>
      <w:r w:rsidR="00E974B2" w:rsidRPr="006447F6">
        <w:instrText xml:space="preserve"> </w:instrText>
      </w:r>
      <w:r w:rsidR="00E974B2">
        <w:rPr>
          <w:lang w:val="en-US"/>
        </w:rPr>
        <w:instrText>benefit</w:instrText>
      </w:r>
      <w:r w:rsidR="00E974B2" w:rsidRPr="006447F6">
        <w:instrText xml:space="preserve"> </w:instrText>
      </w:r>
      <w:r w:rsidR="00E974B2">
        <w:rPr>
          <w:lang w:val="en-US"/>
        </w:rPr>
        <w:instrText>of</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SC</w:instrText>
      </w:r>
      <w:r w:rsidR="00E974B2" w:rsidRPr="006447F6">
        <w:instrText xml:space="preserve"> </w:instrText>
      </w:r>
      <w:r w:rsidR="00E974B2">
        <w:rPr>
          <w:lang w:val="en-US"/>
        </w:rPr>
        <w:instrText>was</w:instrText>
      </w:r>
      <w:r w:rsidR="00E974B2" w:rsidRPr="006447F6">
        <w:instrText xml:space="preserve"> </w:instrText>
      </w:r>
      <w:r w:rsidR="00E974B2">
        <w:rPr>
          <w:lang w:val="en-US"/>
        </w:rPr>
        <w:instrText>demonstrated</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dedicated</w:instrText>
      </w:r>
      <w:r w:rsidR="00E974B2" w:rsidRPr="006447F6">
        <w:instrText xml:space="preserve"> </w:instrText>
      </w:r>
      <w:r w:rsidR="00E974B2">
        <w:rPr>
          <w:lang w:val="en-US"/>
        </w:rPr>
        <w:instrText>studies</w:instrText>
      </w:r>
      <w:r w:rsidR="00E974B2" w:rsidRPr="006447F6">
        <w:instrText xml:space="preserve"> </w:instrText>
      </w:r>
      <w:r w:rsidR="00E974B2">
        <w:rPr>
          <w:lang w:val="en-US"/>
        </w:rPr>
        <w:instrText>showing</w:instrText>
      </w:r>
      <w:r w:rsidR="00E974B2" w:rsidRPr="006447F6">
        <w:instrText xml:space="preserve"> </w:instrText>
      </w:r>
      <w:r w:rsidR="00E974B2">
        <w:rPr>
          <w:lang w:val="en-US"/>
        </w:rPr>
        <w:instrText>that</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SC</w:instrText>
      </w:r>
      <w:r w:rsidR="00E974B2" w:rsidRPr="006447F6">
        <w:instrText xml:space="preserve"> </w:instrText>
      </w:r>
      <w:r w:rsidR="00E974B2">
        <w:rPr>
          <w:lang w:val="en-US"/>
        </w:rPr>
        <w:instrText>allows</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simplified</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shortened</w:instrText>
      </w:r>
      <w:r w:rsidR="00E974B2" w:rsidRPr="006447F6">
        <w:instrText xml:space="preserve"> </w:instrText>
      </w:r>
      <w:r w:rsidR="00E974B2">
        <w:rPr>
          <w:lang w:val="en-US"/>
        </w:rPr>
        <w:instrText>drug</w:instrText>
      </w:r>
      <w:r w:rsidR="00E974B2" w:rsidRPr="006447F6">
        <w:instrText xml:space="preserve"> </w:instrText>
      </w:r>
      <w:r w:rsidR="00E974B2">
        <w:rPr>
          <w:lang w:val="en-US"/>
        </w:rPr>
        <w:instrText>preparation</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administration</w:instrText>
      </w:r>
      <w:r w:rsidR="00E974B2" w:rsidRPr="006447F6">
        <w:instrText xml:space="preserve"> </w:instrText>
      </w:r>
      <w:r w:rsidR="00E974B2">
        <w:rPr>
          <w:lang w:val="en-US"/>
        </w:rPr>
        <w:instrText>times</w:instrText>
      </w:r>
      <w:r w:rsidR="00E974B2" w:rsidRPr="006447F6">
        <w:instrText xml:space="preserve"> </w:instrText>
      </w:r>
      <w:r w:rsidR="00E974B2">
        <w:rPr>
          <w:lang w:val="en-US"/>
        </w:rPr>
        <w:instrText>resulting</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reduced</w:instrText>
      </w:r>
      <w:r w:rsidR="00E974B2" w:rsidRPr="006447F6">
        <w:instrText xml:space="preserve"> </w:instrText>
      </w:r>
      <w:r w:rsidR="00E974B2">
        <w:rPr>
          <w:lang w:val="en-US"/>
        </w:rPr>
        <w:instrText>treatment</w:instrText>
      </w:r>
      <w:r w:rsidR="00E974B2" w:rsidRPr="006447F6">
        <w:instrText xml:space="preserve"> </w:instrText>
      </w:r>
      <w:r w:rsidR="00E974B2">
        <w:rPr>
          <w:lang w:val="en-US"/>
        </w:rPr>
        <w:instrText>burden</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patients</w:instrText>
      </w:r>
      <w:r w:rsidR="00E974B2" w:rsidRPr="006447F6">
        <w:instrText xml:space="preserve"> </w:instrText>
      </w:r>
      <w:r w:rsidR="00E974B2">
        <w:rPr>
          <w:lang w:val="en-US"/>
        </w:rPr>
        <w:instrText>as</w:instrText>
      </w:r>
      <w:r w:rsidR="00E974B2" w:rsidRPr="006447F6">
        <w:instrText xml:space="preserve"> </w:instrText>
      </w:r>
      <w:r w:rsidR="00E974B2">
        <w:rPr>
          <w:lang w:val="en-US"/>
        </w:rPr>
        <w:instrText>well</w:instrText>
      </w:r>
      <w:r w:rsidR="00E974B2" w:rsidRPr="006447F6">
        <w:instrText xml:space="preserve"> </w:instrText>
      </w:r>
      <w:r w:rsidR="00E974B2">
        <w:rPr>
          <w:lang w:val="en-US"/>
        </w:rPr>
        <w:instrText>as</w:instrText>
      </w:r>
      <w:r w:rsidR="00E974B2" w:rsidRPr="006447F6">
        <w:instrText xml:space="preserve"> </w:instrText>
      </w:r>
      <w:r w:rsidR="00E974B2">
        <w:rPr>
          <w:lang w:val="en-US"/>
        </w:rPr>
        <w:instrText>improved</w:instrText>
      </w:r>
      <w:r w:rsidR="00E974B2" w:rsidRPr="006447F6">
        <w:instrText xml:space="preserve"> </w:instrText>
      </w:r>
      <w:r w:rsidR="00E974B2">
        <w:rPr>
          <w:lang w:val="en-US"/>
        </w:rPr>
        <w:instrText>resource</w:instrText>
      </w:r>
      <w:r w:rsidR="00E974B2" w:rsidRPr="006447F6">
        <w:instrText xml:space="preserve"> </w:instrText>
      </w:r>
      <w:r w:rsidR="00E974B2">
        <w:rPr>
          <w:lang w:val="en-US"/>
        </w:rPr>
        <w:instrText>utilization</w:instrText>
      </w:r>
      <w:r w:rsidR="00E974B2" w:rsidRPr="006447F6">
        <w:instrText xml:space="preserve"> (</w:instrText>
      </w:r>
      <w:r w:rsidR="00E974B2">
        <w:rPr>
          <w:lang w:val="en-US"/>
        </w:rPr>
        <w:instrText>efficiency</w:instrText>
      </w:r>
      <w:r w:rsidR="00E974B2" w:rsidRPr="006447F6">
        <w:instrText xml:space="preserve">) </w:instrText>
      </w:r>
      <w:r w:rsidR="00E974B2">
        <w:rPr>
          <w:lang w:val="en-US"/>
        </w:rPr>
        <w:instrText>at</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treatment</w:instrText>
      </w:r>
      <w:r w:rsidR="00E974B2" w:rsidRPr="006447F6">
        <w:instrText xml:space="preserve"> </w:instrText>
      </w:r>
      <w:r w:rsidR="00E974B2">
        <w:rPr>
          <w:lang w:val="en-US"/>
        </w:rPr>
        <w:instrText>facility</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improved</w:instrText>
      </w:r>
      <w:r w:rsidR="00E974B2" w:rsidRPr="006447F6">
        <w:instrText xml:space="preserve"> </w:instrText>
      </w:r>
      <w:r w:rsidR="00E974B2">
        <w:rPr>
          <w:lang w:val="en-US"/>
        </w:rPr>
        <w:instrText>efficiency</w:instrText>
      </w:r>
      <w:r w:rsidR="00E974B2" w:rsidRPr="006447F6">
        <w:instrText xml:space="preserve"> </w:instrText>
      </w:r>
      <w:r w:rsidR="00E974B2">
        <w:rPr>
          <w:lang w:val="en-US"/>
        </w:rPr>
        <w:instrText>of</w:instrText>
      </w:r>
      <w:r w:rsidR="00E974B2" w:rsidRPr="006447F6">
        <w:instrText xml:space="preserve"> </w:instrText>
      </w:r>
      <w:r w:rsidR="00E974B2">
        <w:rPr>
          <w:lang w:val="en-US"/>
        </w:rPr>
        <w:instrText>delivering</w:instrText>
      </w:r>
      <w:r w:rsidR="00E974B2" w:rsidRPr="006447F6">
        <w:instrText xml:space="preserve"> </w:instrText>
      </w:r>
      <w:r w:rsidR="00E974B2">
        <w:rPr>
          <w:lang w:val="en-US"/>
        </w:rPr>
        <w:instrText>rituximab</w:instrText>
      </w:r>
      <w:r w:rsidR="00E974B2" w:rsidRPr="006447F6">
        <w:instrText>’</w:instrText>
      </w:r>
      <w:r w:rsidR="00E974B2">
        <w:rPr>
          <w:lang w:val="en-US"/>
        </w:rPr>
        <w:instrText>s</w:instrText>
      </w:r>
      <w:r w:rsidR="00E974B2" w:rsidRPr="006447F6">
        <w:instrText xml:space="preserve"> </w:instrText>
      </w:r>
      <w:r w:rsidR="00E974B2">
        <w:rPr>
          <w:lang w:val="en-US"/>
        </w:rPr>
        <w:instrText>benefit</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patients</w:instrText>
      </w:r>
      <w:r w:rsidR="00E974B2" w:rsidRPr="006447F6">
        <w:instrText xml:space="preserve"> </w:instrText>
      </w:r>
      <w:r w:rsidR="00E974B2">
        <w:rPr>
          <w:lang w:val="en-US"/>
        </w:rPr>
        <w:instrText>may</w:instrText>
      </w:r>
      <w:r w:rsidR="00E974B2" w:rsidRPr="006447F6">
        <w:instrText xml:space="preserve"> </w:instrText>
      </w:r>
      <w:r w:rsidR="00E974B2">
        <w:rPr>
          <w:lang w:val="en-US"/>
        </w:rPr>
        <w:instrText>broaden</w:instrText>
      </w:r>
      <w:r w:rsidR="00E974B2" w:rsidRPr="006447F6">
        <w:instrText xml:space="preserve"> </w:instrText>
      </w:r>
      <w:r w:rsidR="00E974B2">
        <w:rPr>
          <w:lang w:val="en-US"/>
        </w:rPr>
        <w:instrText>patient</w:instrText>
      </w:r>
      <w:r w:rsidR="00E974B2" w:rsidRPr="006447F6">
        <w:instrText xml:space="preserve"> </w:instrText>
      </w:r>
      <w:r w:rsidR="00E974B2">
        <w:rPr>
          <w:lang w:val="en-US"/>
        </w:rPr>
        <w:instrText>access</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therapy</w:instrText>
      </w:r>
      <w:r w:rsidR="00E974B2" w:rsidRPr="006447F6">
        <w:instrText xml:space="preserve"> </w:instrText>
      </w:r>
      <w:r w:rsidR="00E974B2">
        <w:rPr>
          <w:lang w:val="en-US"/>
        </w:rPr>
        <w:instrText>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w:instrText>
      </w:r>
      <w:r w:rsidR="00E974B2" w:rsidRPr="006C476A">
        <w:instrText xml:space="preserve">, </w:instrText>
      </w:r>
      <w:r w:rsidR="00E974B2">
        <w:rPr>
          <w:lang w:val="en-US"/>
        </w:rPr>
        <w:instrText>correct</w:instrText>
      </w:r>
      <w:r w:rsidR="00E974B2" w:rsidRPr="006C476A">
        <w:instrText xml:space="preserve"> </w:instrText>
      </w:r>
      <w:r w:rsidR="00E974B2">
        <w:rPr>
          <w:lang w:val="en-US"/>
        </w:rPr>
        <w:instrText>administration</w:instrText>
      </w:r>
      <w:r w:rsidR="00E974B2" w:rsidRPr="006C476A">
        <w:instrText xml:space="preserve"> </w:instrText>
      </w:r>
      <w:r w:rsidR="00E974B2">
        <w:rPr>
          <w:lang w:val="en-US"/>
        </w:rPr>
        <w:instrText>is</w:instrText>
      </w:r>
      <w:r w:rsidR="00E974B2" w:rsidRPr="006C476A">
        <w:instrText xml:space="preserve"> </w:instrText>
      </w:r>
      <w:r w:rsidR="00E974B2">
        <w:rPr>
          <w:lang w:val="en-US"/>
        </w:rPr>
        <w:instrText>needed</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reduce</w:instrText>
      </w:r>
      <w:r w:rsidR="00E974B2" w:rsidRPr="006C476A">
        <w:instrText xml:space="preserve"> </w:instrText>
      </w:r>
      <w:r w:rsidR="00E974B2">
        <w:rPr>
          <w:lang w:val="en-US"/>
        </w:rPr>
        <w:instrText>administration</w:instrText>
      </w:r>
      <w:r w:rsidR="00E974B2" w:rsidRPr="006C476A">
        <w:instrText>-</w:instrText>
      </w:r>
      <w:r w:rsidR="00E974B2">
        <w:rPr>
          <w:lang w:val="en-US"/>
        </w:rPr>
        <w:instrText>related</w:instrText>
      </w:r>
      <w:r w:rsidR="00E974B2" w:rsidRPr="006C476A">
        <w:instrText xml:space="preserve"> </w:instrText>
      </w:r>
      <w:r w:rsidR="00E974B2">
        <w:rPr>
          <w:lang w:val="en-US"/>
        </w:rPr>
        <w:instrText>reactions</w:instrText>
      </w:r>
      <w:r w:rsidR="00E974B2" w:rsidRPr="006C476A">
        <w:instrText xml:space="preserve">. </w:instrText>
      </w:r>
      <w:r w:rsidR="00E974B2">
        <w:rPr>
          <w:lang w:val="en-US"/>
        </w:rPr>
        <w:instrText>By</w:instrText>
      </w:r>
      <w:r w:rsidR="00E974B2" w:rsidRPr="006C476A">
        <w:instrText xml:space="preserve"> </w:instrText>
      </w:r>
      <w:r w:rsidR="00E974B2">
        <w:rPr>
          <w:lang w:val="en-US"/>
        </w:rPr>
        <w:instrText>using</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careful</w:instrText>
      </w:r>
      <w:r w:rsidR="00E974B2" w:rsidRPr="006C476A">
        <w:instrText xml:space="preserve"> </w:instrText>
      </w:r>
      <w:r w:rsidR="00E974B2">
        <w:rPr>
          <w:lang w:val="en-US"/>
        </w:rPr>
        <w:instrText>procedure</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sc</w:instrText>
      </w:r>
      <w:r w:rsidR="00E974B2" w:rsidRPr="006C476A">
        <w:instrText xml:space="preserve"> </w:instrText>
      </w:r>
      <w:r w:rsidR="00E974B2">
        <w:rPr>
          <w:lang w:val="en-US"/>
        </w:rPr>
        <w:instrText>formulation</w:instrText>
      </w:r>
      <w:r w:rsidR="00E974B2" w:rsidRPr="006C476A">
        <w:instrText xml:space="preserve"> </w:instrText>
      </w:r>
      <w:r w:rsidR="00E974B2">
        <w:rPr>
          <w:lang w:val="en-US"/>
        </w:rPr>
        <w:instrText>can</w:instrText>
      </w:r>
      <w:r w:rsidR="00E974B2" w:rsidRPr="006C476A">
        <w:instrText xml:space="preserve"> </w:instrText>
      </w:r>
      <w:r w:rsidR="00E974B2">
        <w:rPr>
          <w:lang w:val="en-US"/>
        </w:rPr>
        <w:instrText>be</w:instrText>
      </w:r>
      <w:r w:rsidR="00E974B2" w:rsidRPr="006C476A">
        <w:instrText xml:space="preserve"> </w:instrText>
      </w:r>
      <w:r w:rsidR="00E974B2">
        <w:rPr>
          <w:lang w:val="en-US"/>
        </w:rPr>
        <w:instrText>given</w:instrText>
      </w:r>
      <w:r w:rsidR="00E974B2" w:rsidRPr="006C476A">
        <w:instrText xml:space="preserve"> </w:instrText>
      </w:r>
      <w:r w:rsidR="00E974B2">
        <w:rPr>
          <w:lang w:val="en-US"/>
        </w:rPr>
        <w:instrText>safely</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effectively</w:instrText>
      </w:r>
      <w:r w:rsidR="00E974B2" w:rsidRPr="006C476A">
        <w:instrText xml:space="preserve">, </w:instrText>
      </w:r>
      <w:r w:rsidR="00E974B2">
        <w:rPr>
          <w:lang w:val="en-US"/>
        </w:rPr>
        <w:instrText>potentially</w:instrText>
      </w:r>
      <w:r w:rsidR="00E974B2" w:rsidRPr="006C476A">
        <w:instrText xml:space="preserve"> </w:instrText>
      </w:r>
      <w:r w:rsidR="00E974B2">
        <w:rPr>
          <w:lang w:val="en-US"/>
        </w:rPr>
        <w:instrText>reducing</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burden</w:instrText>
      </w:r>
      <w:r w:rsidR="00E974B2" w:rsidRPr="006C476A">
        <w:instrText xml:space="preserve"> </w:instrText>
      </w:r>
      <w:r w:rsidR="00E974B2">
        <w:rPr>
          <w:lang w:val="en-US"/>
        </w:rPr>
        <w:instrText>on</w:instrText>
      </w:r>
      <w:r w:rsidR="00E974B2" w:rsidRPr="006C476A">
        <w:instrText xml:space="preserve"> </w:instrText>
      </w:r>
      <w:r w:rsidR="00E974B2">
        <w:rPr>
          <w:lang w:val="en-US"/>
        </w:rPr>
        <w:instrText>health</w:instrText>
      </w:r>
      <w:r w:rsidR="00E974B2" w:rsidRPr="006C476A">
        <w:instrText xml:space="preserve"> </w:instrText>
      </w:r>
      <w:r w:rsidR="00E974B2">
        <w:rPr>
          <w:lang w:val="en-US"/>
        </w:rPr>
        <w:instrText>care</w:instrText>
      </w:r>
      <w:r w:rsidR="00E974B2" w:rsidRPr="006C476A">
        <w:instrText xml:space="preserve"> </w:instrText>
      </w:r>
      <w:r w:rsidR="00E974B2">
        <w:rPr>
          <w:lang w:val="en-US"/>
        </w:rPr>
        <w:instrText>resources</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improving</w:instrText>
      </w:r>
      <w:r w:rsidR="00E974B2" w:rsidRPr="006C476A">
        <w:instrText xml:space="preserve"> </w:instrText>
      </w:r>
      <w:r w:rsidR="00E974B2">
        <w:rPr>
          <w:lang w:val="en-US"/>
        </w:rPr>
        <w:instrText>quality</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life</w:instrText>
      </w:r>
      <w:r w:rsidR="00E974B2" w:rsidRPr="006C476A">
        <w:instrText xml:space="preserve"> </w:instrText>
      </w:r>
      <w:r w:rsidR="00E974B2">
        <w:rPr>
          <w:lang w:val="en-US"/>
        </w:rPr>
        <w:instrText>for</w:instrText>
      </w:r>
      <w:r w:rsidR="00E974B2" w:rsidRPr="006C476A">
        <w:instrText xml:space="preserve"> </w:instrText>
      </w:r>
      <w:r w:rsidR="00E974B2">
        <w:rPr>
          <w:lang w:val="en-US"/>
        </w:rPr>
        <w:instrText>patients</w:instrText>
      </w:r>
      <w:r w:rsidR="00E974B2" w:rsidRPr="006C476A">
        <w:instrText>.","</w:instrText>
      </w:r>
      <w:r w:rsidR="00E974B2">
        <w:rPr>
          <w:lang w:val="en-US"/>
        </w:rPr>
        <w:instrText>author</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Macdonald</w:instrText>
      </w:r>
      <w:r w:rsidR="00E974B2" w:rsidRPr="006C476A">
        <w:instrText>","</w:instrText>
      </w:r>
      <w:r w:rsidR="00E974B2">
        <w:rPr>
          <w:lang w:val="en-US"/>
        </w:rPr>
        <w:instrText>given</w:instrText>
      </w:r>
      <w:r w:rsidR="00E974B2" w:rsidRPr="006C476A">
        <w:instrText>":"</w:instrText>
      </w:r>
      <w:r w:rsidR="00E974B2">
        <w:rPr>
          <w:lang w:val="en-US"/>
        </w:rPr>
        <w:instrText>David</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Crosbie</w:instrText>
      </w:r>
      <w:r w:rsidR="00E974B2" w:rsidRPr="006C476A">
        <w:instrText>","</w:instrText>
      </w:r>
      <w:r w:rsidR="00E974B2">
        <w:rPr>
          <w:lang w:val="en-US"/>
        </w:rPr>
        <w:instrText>given</w:instrText>
      </w:r>
      <w:r w:rsidR="00E974B2" w:rsidRPr="006C476A">
        <w:instrText>":"</w:instrText>
      </w:r>
      <w:r w:rsidR="00E974B2">
        <w:rPr>
          <w:lang w:val="en-US"/>
        </w:rPr>
        <w:instrText>T</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Christofides</w:instrText>
      </w:r>
      <w:r w:rsidR="00E974B2" w:rsidRPr="006C476A">
        <w:instrText>","</w:instrText>
      </w:r>
      <w:r w:rsidR="00E974B2">
        <w:rPr>
          <w:lang w:val="en-US"/>
        </w:rPr>
        <w:instrText>given</w:instrText>
      </w:r>
      <w:r w:rsidR="00E974B2" w:rsidRPr="006C476A">
        <w:instrText>":"</w:instrText>
      </w:r>
      <w:r w:rsidR="00E974B2">
        <w:rPr>
          <w:lang w:val="en-US"/>
        </w:rPr>
        <w:instrText>A</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Assaily</w:instrText>
      </w:r>
      <w:r w:rsidR="00E974B2" w:rsidRPr="006C476A">
        <w:instrText>","</w:instrText>
      </w:r>
      <w:r w:rsidR="00E974B2">
        <w:rPr>
          <w:lang w:val="en-US"/>
        </w:rPr>
        <w:instrText>given</w:instrText>
      </w:r>
      <w:r w:rsidR="00E974B2" w:rsidRPr="006C476A">
        <w:instrText>":"</w:instrText>
      </w:r>
      <w:r w:rsidR="00E974B2">
        <w:rPr>
          <w:lang w:val="en-US"/>
        </w:rPr>
        <w:instrText>W</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Wiernikowski</w:instrText>
      </w:r>
      <w:r w:rsidR="00E974B2" w:rsidRPr="006C476A">
        <w:instrText>","</w:instrText>
      </w:r>
      <w:r w:rsidR="00E974B2">
        <w:rPr>
          <w:lang w:val="en-US"/>
        </w:rPr>
        <w:instrText>given</w:instrText>
      </w:r>
      <w:r w:rsidR="00E974B2" w:rsidRPr="006C476A">
        <w:instrText>":"</w:instrText>
      </w:r>
      <w:r w:rsidR="00E974B2">
        <w:rPr>
          <w:lang w:val="en-US"/>
        </w:rPr>
        <w:instrText>J</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container</w:instrText>
      </w:r>
      <w:r w:rsidR="00E974B2" w:rsidRPr="006C476A">
        <w:instrText>-</w:instrText>
      </w:r>
      <w:r w:rsidR="00E974B2">
        <w:rPr>
          <w:lang w:val="en-US"/>
        </w:rPr>
        <w:instrText>title</w:instrText>
      </w:r>
      <w:r w:rsidR="00E974B2" w:rsidRPr="006C476A">
        <w:instrText>":"</w:instrText>
      </w:r>
      <w:r w:rsidR="00E974B2">
        <w:rPr>
          <w:lang w:val="en-US"/>
        </w:rPr>
        <w:instrText>Current</w:instrText>
      </w:r>
      <w:r w:rsidR="00E974B2" w:rsidRPr="006C476A">
        <w:instrText xml:space="preserve"> </w:instrText>
      </w:r>
      <w:r w:rsidR="00E974B2">
        <w:rPr>
          <w:lang w:val="en-US"/>
        </w:rPr>
        <w:instrText>Oncology</w:instrText>
      </w:r>
      <w:r w:rsidR="00E974B2" w:rsidRPr="006C476A">
        <w:instrText>","</w:instrText>
      </w:r>
      <w:r w:rsidR="00E974B2">
        <w:rPr>
          <w:lang w:val="en-US"/>
        </w:rPr>
        <w:instrText>id</w:instrText>
      </w:r>
      <w:r w:rsidR="00E974B2" w:rsidRPr="006C476A">
        <w:instrText>":"</w:instrText>
      </w:r>
      <w:r w:rsidR="00E974B2">
        <w:rPr>
          <w:lang w:val="en-US"/>
        </w:rPr>
        <w:instrText>ITEM</w:instrText>
      </w:r>
      <w:r w:rsidR="00E974B2" w:rsidRPr="006C476A">
        <w:instrText>-4","</w:instrText>
      </w:r>
      <w:r w:rsidR="00E974B2">
        <w:rPr>
          <w:lang w:val="en-US"/>
        </w:rPr>
        <w:instrText>issue</w:instrText>
      </w:r>
      <w:r w:rsidR="00E974B2" w:rsidRPr="006C476A">
        <w:instrText>":"1","</w:instrText>
      </w:r>
      <w:r w:rsidR="00E974B2">
        <w:rPr>
          <w:lang w:val="en-US"/>
        </w:rPr>
        <w:instrText>issued</w:instrText>
      </w:r>
      <w:r w:rsidR="00E974B2" w:rsidRPr="006C476A">
        <w:instrText>":{"</w:instrText>
      </w:r>
      <w:r w:rsidR="00E974B2">
        <w:rPr>
          <w:lang w:val="en-US"/>
        </w:rPr>
        <w:instrText>date</w:instrText>
      </w:r>
      <w:r w:rsidR="00E974B2" w:rsidRPr="006C476A">
        <w:instrText>-</w:instrText>
      </w:r>
      <w:r w:rsidR="00E974B2">
        <w:rPr>
          <w:lang w:val="en-US"/>
        </w:rPr>
        <w:instrText>parts</w:instrText>
      </w:r>
      <w:r w:rsidR="00E974B2" w:rsidRPr="006C476A">
        <w:instrText>":[["2017"]]},"</w:instrText>
      </w:r>
      <w:r w:rsidR="00E974B2">
        <w:rPr>
          <w:lang w:val="en-US"/>
        </w:rPr>
        <w:instrText>page</w:instrText>
      </w:r>
      <w:r w:rsidR="00E974B2" w:rsidRPr="006C476A">
        <w:instrText>":"33-39","</w:instrText>
      </w:r>
      <w:r w:rsidR="00E974B2">
        <w:rPr>
          <w:lang w:val="en-US"/>
        </w:rPr>
        <w:instrText>publisher</w:instrText>
      </w:r>
      <w:r w:rsidR="00E974B2" w:rsidRPr="006C476A">
        <w:instrText>":"</w:instrText>
      </w:r>
      <w:r w:rsidR="00E974B2">
        <w:rPr>
          <w:lang w:val="en-US"/>
        </w:rPr>
        <w:instrText>Multimed</w:instrText>
      </w:r>
      <w:r w:rsidR="00E974B2" w:rsidRPr="006C476A">
        <w:instrText xml:space="preserve"> </w:instrText>
      </w:r>
      <w:r w:rsidR="00E974B2">
        <w:rPr>
          <w:lang w:val="en-US"/>
        </w:rPr>
        <w:instrText>Inc</w:instrText>
      </w:r>
      <w:r w:rsidR="00E974B2" w:rsidRPr="006C476A">
        <w:instrText>.","</w:instrText>
      </w:r>
      <w:r w:rsidR="00E974B2">
        <w:rPr>
          <w:lang w:val="en-US"/>
        </w:rPr>
        <w:instrText>title</w:instrText>
      </w:r>
      <w:r w:rsidR="00E974B2" w:rsidRPr="006C476A">
        <w:instrText>":"</w:instrText>
      </w:r>
      <w:r w:rsidR="00E974B2">
        <w:rPr>
          <w:lang w:val="en-US"/>
        </w:rPr>
        <w:instrText>A</w:instrText>
      </w:r>
      <w:r w:rsidR="00E974B2" w:rsidRPr="006C476A">
        <w:instrText xml:space="preserve"> </w:instrText>
      </w:r>
      <w:r w:rsidR="00E974B2">
        <w:rPr>
          <w:lang w:val="en-US"/>
        </w:rPr>
        <w:instrText>canadian</w:instrText>
      </w:r>
      <w:r w:rsidR="00E974B2" w:rsidRPr="006C476A">
        <w:instrText xml:space="preserve"> </w:instrText>
      </w:r>
      <w:r w:rsidR="00E974B2">
        <w:rPr>
          <w:lang w:val="en-US"/>
        </w:rPr>
        <w:instrText>perspective</w:instrText>
      </w:r>
      <w:r w:rsidR="00E974B2" w:rsidRPr="006C476A">
        <w:instrText xml:space="preserve"> </w:instrText>
      </w:r>
      <w:r w:rsidR="00E974B2">
        <w:rPr>
          <w:lang w:val="en-US"/>
        </w:rPr>
        <w:instrText>on</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subcutaneous</w:instrText>
      </w:r>
      <w:r w:rsidR="00E974B2" w:rsidRPr="006C476A">
        <w:instrText xml:space="preserve"> </w:instrText>
      </w:r>
      <w:r w:rsidR="00E974B2">
        <w:rPr>
          <w:lang w:val="en-US"/>
        </w:rPr>
        <w:instrText>administration</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in</w:instrText>
      </w:r>
      <w:r w:rsidR="00E974B2" w:rsidRPr="006C476A">
        <w:instrText xml:space="preserve"> </w:instrText>
      </w:r>
      <w:r w:rsidR="00E974B2">
        <w:rPr>
          <w:lang w:val="en-US"/>
        </w:rPr>
        <w:instrText>non</w:instrText>
      </w:r>
      <w:r w:rsidR="00E974B2" w:rsidRPr="006C476A">
        <w:instrText>-</w:instrText>
      </w:r>
      <w:r w:rsidR="00E974B2">
        <w:rPr>
          <w:lang w:val="en-US"/>
        </w:rPr>
        <w:instrText>Hodgkin</w:instrText>
      </w:r>
      <w:r w:rsidR="00E974B2" w:rsidRPr="006C476A">
        <w:instrText xml:space="preserve"> </w:instrText>
      </w:r>
      <w:r w:rsidR="00E974B2">
        <w:rPr>
          <w:lang w:val="en-US"/>
        </w:rPr>
        <w:instrText>lymphoma</w:instrText>
      </w:r>
      <w:r w:rsidR="00E974B2" w:rsidRPr="006C476A">
        <w:instrText>","</w:instrText>
      </w:r>
      <w:r w:rsidR="00E974B2">
        <w:rPr>
          <w:lang w:val="en-US"/>
        </w:rPr>
        <w:instrText>type</w:instrText>
      </w:r>
      <w:r w:rsidR="00E974B2" w:rsidRPr="006C476A">
        <w:instrText>":"</w:instrText>
      </w:r>
      <w:r w:rsidR="00E974B2">
        <w:rPr>
          <w:lang w:val="en-US"/>
        </w:rPr>
        <w:instrText>article</w:instrText>
      </w:r>
      <w:r w:rsidR="00E974B2" w:rsidRPr="006C476A">
        <w:instrText>","</w:instrText>
      </w:r>
      <w:r w:rsidR="00E974B2">
        <w:rPr>
          <w:lang w:val="en-US"/>
        </w:rPr>
        <w:instrText>volume</w:instrText>
      </w:r>
      <w:r w:rsidR="00E974B2" w:rsidRPr="006C476A">
        <w:instrText>":"24"},"</w:instrText>
      </w:r>
      <w:r w:rsidR="00E974B2">
        <w:rPr>
          <w:lang w:val="en-US"/>
        </w:rPr>
        <w:instrText>uris</w:instrText>
      </w:r>
      <w:r w:rsidR="00E974B2" w:rsidRPr="006C476A">
        <w:instrText>":["</w:instrText>
      </w:r>
      <w:r w:rsidR="00E974B2">
        <w:rPr>
          <w:lang w:val="en-US"/>
        </w:rPr>
        <w:instrText>http</w:instrText>
      </w:r>
      <w:r w:rsidR="00E974B2" w:rsidRPr="006C476A">
        <w:instrText>://</w:instrText>
      </w:r>
      <w:r w:rsidR="00E974B2">
        <w:rPr>
          <w:lang w:val="en-US"/>
        </w:rPr>
        <w:instrText>www</w:instrText>
      </w:r>
      <w:r w:rsidR="00E974B2" w:rsidRPr="006C476A">
        <w:instrText>.</w:instrText>
      </w:r>
      <w:r w:rsidR="00E974B2">
        <w:rPr>
          <w:lang w:val="en-US"/>
        </w:rPr>
        <w:instrText>mendeley</w:instrText>
      </w:r>
      <w:r w:rsidR="00E974B2" w:rsidRPr="006C476A">
        <w:instrText>.</w:instrText>
      </w:r>
      <w:r w:rsidR="00E974B2">
        <w:rPr>
          <w:lang w:val="en-US"/>
        </w:rPr>
        <w:instrText>com</w:instrText>
      </w:r>
      <w:r w:rsidR="00E974B2" w:rsidRPr="006C476A">
        <w:instrText>/</w:instrText>
      </w:r>
      <w:r w:rsidR="00E974B2">
        <w:rPr>
          <w:lang w:val="en-US"/>
        </w:rPr>
        <w:instrText>documents</w:instrText>
      </w:r>
      <w:r w:rsidR="00E974B2" w:rsidRPr="006C476A">
        <w:instrText>/?</w:instrText>
      </w:r>
      <w:r w:rsidR="00E974B2">
        <w:rPr>
          <w:lang w:val="en-US"/>
        </w:rPr>
        <w:instrText>uuid</w:instrText>
      </w:r>
      <w:r w:rsidR="00E974B2" w:rsidRPr="006C476A">
        <w:instrText>=0</w:instrText>
      </w:r>
      <w:r w:rsidR="00E974B2">
        <w:rPr>
          <w:lang w:val="en-US"/>
        </w:rPr>
        <w:instrText>dec</w:instrText>
      </w:r>
      <w:r w:rsidR="00E974B2" w:rsidRPr="006C476A">
        <w:instrText>225</w:instrText>
      </w:r>
      <w:r w:rsidR="00E974B2">
        <w:rPr>
          <w:lang w:val="en-US"/>
        </w:rPr>
        <w:instrText>e</w:instrText>
      </w:r>
      <w:r w:rsidR="00E974B2" w:rsidRPr="006C476A">
        <w:instrText>-8</w:instrText>
      </w:r>
      <w:r w:rsidR="00E974B2">
        <w:rPr>
          <w:lang w:val="en-US"/>
        </w:rPr>
        <w:instrText>a</w:instrText>
      </w:r>
      <w:r w:rsidR="00E974B2" w:rsidRPr="006C476A">
        <w:instrText>47-3680-</w:instrText>
      </w:r>
      <w:r w:rsidR="00E974B2">
        <w:rPr>
          <w:lang w:val="en-US"/>
        </w:rPr>
        <w:instrText>ba</w:instrText>
      </w:r>
      <w:r w:rsidR="00E974B2" w:rsidRPr="006C476A">
        <w:instrText>4</w:instrText>
      </w:r>
      <w:r w:rsidR="00E974B2">
        <w:rPr>
          <w:lang w:val="en-US"/>
        </w:rPr>
        <w:instrText>d</w:instrText>
      </w:r>
      <w:r w:rsidR="00E974B2" w:rsidRPr="006C476A">
        <w:instrText>-891955</w:instrText>
      </w:r>
      <w:r w:rsidR="00E974B2">
        <w:rPr>
          <w:lang w:val="en-US"/>
        </w:rPr>
        <w:instrText>a</w:instrText>
      </w:r>
      <w:r w:rsidR="00E974B2" w:rsidRPr="006C476A">
        <w:instrText>938</w:instrText>
      </w:r>
      <w:r w:rsidR="00E974B2">
        <w:rPr>
          <w:lang w:val="en-US"/>
        </w:rPr>
        <w:instrText>a</w:instrText>
      </w:r>
      <w:r w:rsidR="00E974B2" w:rsidRPr="006C476A">
        <w:instrText>1"]}],"</w:instrText>
      </w:r>
      <w:r w:rsidR="00E974B2">
        <w:rPr>
          <w:lang w:val="en-US"/>
        </w:rPr>
        <w:instrText>mendeley</w:instrText>
      </w:r>
      <w:r w:rsidR="00E974B2" w:rsidRPr="006C476A">
        <w:instrText>":{"</w:instrText>
      </w:r>
      <w:r w:rsidR="00E974B2">
        <w:rPr>
          <w:lang w:val="en-US"/>
        </w:rPr>
        <w:instrText>formattedCitation</w:instrText>
      </w:r>
      <w:r w:rsidR="00E974B2" w:rsidRPr="006C476A">
        <w:instrText>":"[180–183]","</w:instrText>
      </w:r>
      <w:r w:rsidR="00E974B2">
        <w:rPr>
          <w:lang w:val="en-US"/>
        </w:rPr>
        <w:instrText>plainTextFormattedCitation</w:instrText>
      </w:r>
      <w:r w:rsidR="00E974B2" w:rsidRPr="006C476A">
        <w:instrText>":"[180–183]","</w:instrText>
      </w:r>
      <w:r w:rsidR="00E974B2">
        <w:rPr>
          <w:lang w:val="en-US"/>
        </w:rPr>
        <w:instrText>previouslyFormattedCitation</w:instrText>
      </w:r>
      <w:r w:rsidR="00E974B2" w:rsidRPr="006C476A">
        <w:instrText>":"[180–183]"},"</w:instrText>
      </w:r>
      <w:r w:rsidR="00E974B2">
        <w:rPr>
          <w:lang w:val="en-US"/>
        </w:rPr>
        <w:instrText>properties</w:instrText>
      </w:r>
      <w:r w:rsidR="00E974B2" w:rsidRPr="006C476A">
        <w:instrText>":{"</w:instrText>
      </w:r>
      <w:r w:rsidR="00E974B2">
        <w:rPr>
          <w:lang w:val="en-US"/>
        </w:rPr>
        <w:instrText>noteIndex</w:instrText>
      </w:r>
      <w:r w:rsidR="00E974B2" w:rsidRPr="006C476A">
        <w:instrText>":0},"</w:instrText>
      </w:r>
      <w:r w:rsidR="00E974B2">
        <w:rPr>
          <w:lang w:val="en-US"/>
        </w:rPr>
        <w:instrText>schema</w:instrText>
      </w:r>
      <w:r w:rsidR="00E974B2" w:rsidRPr="006C476A">
        <w:instrText>":"</w:instrText>
      </w:r>
      <w:r w:rsidR="00E974B2">
        <w:rPr>
          <w:lang w:val="en-US"/>
        </w:rPr>
        <w:instrText>https</w:instrText>
      </w:r>
      <w:r w:rsidR="00E974B2" w:rsidRPr="006C476A">
        <w:instrText>://</w:instrText>
      </w:r>
      <w:r w:rsidR="00E974B2">
        <w:rPr>
          <w:lang w:val="en-US"/>
        </w:rPr>
        <w:instrText>github</w:instrText>
      </w:r>
      <w:r w:rsidR="00E974B2" w:rsidRPr="006C476A">
        <w:instrText>.</w:instrText>
      </w:r>
      <w:r w:rsidR="00E974B2">
        <w:rPr>
          <w:lang w:val="en-US"/>
        </w:rPr>
        <w:instrText>com</w:instrText>
      </w:r>
      <w:r w:rsidR="00E974B2" w:rsidRPr="006C476A">
        <w:instrText>/</w:instrText>
      </w:r>
      <w:r w:rsidR="00E974B2">
        <w:rPr>
          <w:lang w:val="en-US"/>
        </w:rPr>
        <w:instrText>citation</w:instrText>
      </w:r>
      <w:r w:rsidR="00E974B2" w:rsidRPr="006C476A">
        <w:instrText>-</w:instrText>
      </w:r>
      <w:r w:rsidR="00E974B2">
        <w:rPr>
          <w:lang w:val="en-US"/>
        </w:rPr>
        <w:instrText>style</w:instrText>
      </w:r>
      <w:r w:rsidR="00E974B2" w:rsidRPr="006C476A">
        <w:instrText>-</w:instrText>
      </w:r>
      <w:r w:rsidR="00E974B2">
        <w:rPr>
          <w:lang w:val="en-US"/>
        </w:rPr>
        <w:instrText>language</w:instrText>
      </w:r>
      <w:r w:rsidR="00E974B2" w:rsidRPr="006C476A">
        <w:instrText>/</w:instrText>
      </w:r>
      <w:r w:rsidR="00E974B2">
        <w:rPr>
          <w:lang w:val="en-US"/>
        </w:rPr>
        <w:instrText>schema</w:instrText>
      </w:r>
      <w:r w:rsidR="00E974B2" w:rsidRPr="006C476A">
        <w:instrText>/</w:instrText>
      </w:r>
      <w:r w:rsidR="00E974B2">
        <w:rPr>
          <w:lang w:val="en-US"/>
        </w:rPr>
        <w:instrText>raw</w:instrText>
      </w:r>
      <w:r w:rsidR="00E974B2" w:rsidRPr="006C476A">
        <w:instrText>/</w:instrText>
      </w:r>
      <w:r w:rsidR="00E974B2">
        <w:rPr>
          <w:lang w:val="en-US"/>
        </w:rPr>
        <w:instrText>master</w:instrText>
      </w:r>
      <w:r w:rsidR="00E974B2" w:rsidRPr="006C476A">
        <w:instrText>/</w:instrText>
      </w:r>
      <w:r w:rsidR="00E974B2">
        <w:rPr>
          <w:lang w:val="en-US"/>
        </w:rPr>
        <w:instrText>csl</w:instrText>
      </w:r>
      <w:r w:rsidR="00E974B2" w:rsidRPr="006C476A">
        <w:instrText>-</w:instrText>
      </w:r>
      <w:r w:rsidR="00E974B2">
        <w:rPr>
          <w:lang w:val="en-US"/>
        </w:rPr>
        <w:instrText>citation</w:instrText>
      </w:r>
      <w:r w:rsidR="00E974B2" w:rsidRPr="006C476A">
        <w:instrText>.</w:instrText>
      </w:r>
      <w:r w:rsidR="00E974B2">
        <w:rPr>
          <w:lang w:val="en-US"/>
        </w:rPr>
        <w:instrText>json</w:instrText>
      </w:r>
      <w:r w:rsidR="00E974B2" w:rsidRPr="006C476A">
        <w:instrText>"}</w:instrText>
      </w:r>
      <w:r w:rsidRPr="000322E4">
        <w:rPr>
          <w:lang w:val="en-US"/>
        </w:rPr>
        <w:fldChar w:fldCharType="separate"/>
      </w:r>
      <w:r w:rsidR="004C51FF" w:rsidRPr="004C51FF">
        <w:rPr>
          <w:noProof/>
        </w:rPr>
        <w:t>[180–183]</w:t>
      </w:r>
      <w:r w:rsidRPr="000322E4">
        <w:rPr>
          <w:lang w:val="en-US"/>
        </w:rPr>
        <w:fldChar w:fldCharType="end"/>
      </w:r>
    </w:p>
    <w:p w14:paraId="4C10B7EC" w14:textId="77777777" w:rsidR="00666D68" w:rsidRPr="000322E4" w:rsidRDefault="00666D68" w:rsidP="00F414BF">
      <w:pPr>
        <w:numPr>
          <w:ilvl w:val="0"/>
          <w:numId w:val="39"/>
        </w:numPr>
      </w:pPr>
      <w:r w:rsidRPr="000322E4">
        <w:t>Доксорубицин</w:t>
      </w:r>
      <w:r w:rsidRPr="000322E4">
        <w:rPr>
          <w:bCs/>
        </w:rPr>
        <w:t>**</w:t>
      </w:r>
      <w:r w:rsidRPr="000322E4">
        <w:t xml:space="preserve"> 25 мг/м</w:t>
      </w:r>
      <w:r w:rsidRPr="000322E4">
        <w:rPr>
          <w:vertAlign w:val="superscript"/>
        </w:rPr>
        <w:t>2</w:t>
      </w:r>
      <w:r w:rsidRPr="000322E4">
        <w:t xml:space="preserve"> в/в кап., день 1</w:t>
      </w:r>
    </w:p>
    <w:p w14:paraId="386CC408" w14:textId="77777777" w:rsidR="00666D68" w:rsidRPr="000322E4" w:rsidRDefault="00666D68" w:rsidP="00F414BF">
      <w:pPr>
        <w:numPr>
          <w:ilvl w:val="0"/>
          <w:numId w:val="39"/>
        </w:numPr>
      </w:pPr>
      <w:r w:rsidRPr="000322E4">
        <w:t>Циклофосфамид</w:t>
      </w:r>
      <w:r w:rsidRPr="000322E4">
        <w:rPr>
          <w:bCs/>
        </w:rPr>
        <w:t>**</w:t>
      </w:r>
      <w:r w:rsidRPr="000322E4">
        <w:t xml:space="preserve"> 400 мг/м</w:t>
      </w:r>
      <w:r w:rsidRPr="000322E4">
        <w:rPr>
          <w:vertAlign w:val="superscript"/>
        </w:rPr>
        <w:t>2</w:t>
      </w:r>
      <w:r w:rsidRPr="000322E4">
        <w:t xml:space="preserve"> в/в кап., день 1</w:t>
      </w:r>
    </w:p>
    <w:p w14:paraId="3FA944F1" w14:textId="77777777" w:rsidR="00666D68" w:rsidRPr="000322E4" w:rsidRDefault="000322E4" w:rsidP="00F414BF">
      <w:pPr>
        <w:numPr>
          <w:ilvl w:val="0"/>
          <w:numId w:val="39"/>
        </w:numPr>
      </w:pPr>
      <w:r w:rsidRPr="00F35A3E">
        <w:t>#</w:t>
      </w:r>
      <w:r w:rsidR="00666D68" w:rsidRPr="000322E4">
        <w:t>Винкристин</w:t>
      </w:r>
      <w:r w:rsidR="00666D68" w:rsidRPr="000322E4">
        <w:rPr>
          <w:bCs/>
        </w:rPr>
        <w:t>**</w:t>
      </w:r>
      <w:r w:rsidR="00666D68" w:rsidRPr="000322E4">
        <w:t xml:space="preserve"> 1 мг в/в, день 1</w:t>
      </w:r>
    </w:p>
    <w:p w14:paraId="5BC6A9D1" w14:textId="77777777" w:rsidR="00666D68" w:rsidRPr="000322E4" w:rsidRDefault="00666D68" w:rsidP="00F414BF">
      <w:pPr>
        <w:numPr>
          <w:ilvl w:val="0"/>
          <w:numId w:val="39"/>
        </w:numPr>
      </w:pPr>
      <w:r w:rsidRPr="000322E4">
        <w:t>Преднизолон</w:t>
      </w:r>
      <w:r w:rsidRPr="000322E4">
        <w:rPr>
          <w:bCs/>
        </w:rPr>
        <w:t>**</w:t>
      </w:r>
      <w:r w:rsidRPr="000322E4">
        <w:t xml:space="preserve"> 40 мг/м</w:t>
      </w:r>
      <w:r w:rsidRPr="000322E4">
        <w:rPr>
          <w:vertAlign w:val="superscript"/>
        </w:rPr>
        <w:t>2</w:t>
      </w:r>
      <w:r w:rsidRPr="000322E4">
        <w:t xml:space="preserve"> внутрь, дни 1-5</w:t>
      </w:r>
    </w:p>
    <w:p w14:paraId="6F6D8FB7" w14:textId="77777777" w:rsidR="00666D68" w:rsidRPr="000322E4" w:rsidRDefault="00666D68" w:rsidP="00F414BF">
      <w:pPr>
        <w:ind w:left="360"/>
      </w:pPr>
      <w:r w:rsidRPr="000322E4">
        <w:t>Лечение возобновляется на 22 день</w:t>
      </w:r>
    </w:p>
    <w:p w14:paraId="592F42AF" w14:textId="77777777" w:rsidR="00666D68" w:rsidRPr="000322E4" w:rsidRDefault="00666D68" w:rsidP="00F414BF">
      <w:pPr>
        <w:ind w:left="360"/>
      </w:pPr>
    </w:p>
    <w:p w14:paraId="051E204D" w14:textId="77777777" w:rsidR="00666D68" w:rsidRPr="000322E4" w:rsidRDefault="00666D68" w:rsidP="00F414BF">
      <w:r w:rsidRPr="000322E4">
        <w:rPr>
          <w:b/>
          <w:lang w:val="en-US"/>
        </w:rPr>
        <w:t>R</w:t>
      </w:r>
      <w:r w:rsidRPr="000322E4">
        <w:rPr>
          <w:b/>
        </w:rPr>
        <w:t>-</w:t>
      </w:r>
      <w:r w:rsidRPr="000322E4">
        <w:rPr>
          <w:b/>
          <w:lang w:val="en-US"/>
        </w:rPr>
        <w:t>CEOP</w:t>
      </w:r>
      <w:r w:rsidRPr="000322E4">
        <w:rPr>
          <w:b/>
        </w:rPr>
        <w:t xml:space="preserve"> </w:t>
      </w:r>
      <w:r w:rsidRPr="000322E4">
        <w:rPr>
          <w:b/>
          <w:lang w:val="en-US"/>
        </w:rPr>
        <w:fldChar w:fldCharType="begin" w:fldLock="1"/>
      </w:r>
      <w:r w:rsidR="008E3584" w:rsidRPr="000322E4">
        <w:rPr>
          <w:b/>
          <w:lang w:val="en-US"/>
        </w:rPr>
        <w:instrText>ADDIN</w:instrText>
      </w:r>
      <w:r w:rsidR="008E3584" w:rsidRPr="000322E4">
        <w:rPr>
          <w:b/>
        </w:rPr>
        <w:instrText xml:space="preserve"> </w:instrText>
      </w:r>
      <w:r w:rsidR="008E3584" w:rsidRPr="000322E4">
        <w:rPr>
          <w:b/>
          <w:lang w:val="en-US"/>
        </w:rPr>
        <w:instrText>CSL</w:instrText>
      </w:r>
      <w:r w:rsidR="008E3584" w:rsidRPr="000322E4">
        <w:rPr>
          <w:b/>
        </w:rPr>
        <w:instrText>_</w:instrText>
      </w:r>
      <w:r w:rsidR="008E3584" w:rsidRPr="000322E4">
        <w:rPr>
          <w:b/>
          <w:lang w:val="en-US"/>
        </w:rPr>
        <w:instrText>CITATION</w:instrText>
      </w:r>
      <w:r w:rsidR="008E3584" w:rsidRPr="000322E4">
        <w:rPr>
          <w:b/>
        </w:rPr>
        <w:instrText xml:space="preserve"> {"</w:instrText>
      </w:r>
      <w:r w:rsidR="008E3584" w:rsidRPr="000322E4">
        <w:rPr>
          <w:b/>
          <w:lang w:val="en-US"/>
        </w:rPr>
        <w:instrText>citationItems</w:instrText>
      </w:r>
      <w:r w:rsidR="008E3584" w:rsidRPr="000322E4">
        <w:rPr>
          <w:b/>
        </w:rPr>
        <w:instrText>":[{"</w:instrText>
      </w:r>
      <w:r w:rsidR="008E3584" w:rsidRPr="000322E4">
        <w:rPr>
          <w:b/>
          <w:lang w:val="en-US"/>
        </w:rPr>
        <w:instrText>id</w:instrText>
      </w:r>
      <w:r w:rsidR="008E3584" w:rsidRPr="000322E4">
        <w:rPr>
          <w:b/>
        </w:rPr>
        <w:instrText>":"</w:instrText>
      </w:r>
      <w:r w:rsidR="008E3584" w:rsidRPr="000322E4">
        <w:rPr>
          <w:b/>
          <w:lang w:val="en-US"/>
        </w:rPr>
        <w:instrText>ITEM</w:instrText>
      </w:r>
      <w:r w:rsidR="008E3584" w:rsidRPr="000322E4">
        <w:rPr>
          <w:b/>
        </w:rPr>
        <w:instrText>-1","</w:instrText>
      </w:r>
      <w:r w:rsidR="008E3584" w:rsidRPr="000322E4">
        <w:rPr>
          <w:b/>
          <w:lang w:val="en-US"/>
        </w:rPr>
        <w:instrText>itemData</w:instrText>
      </w:r>
      <w:r w:rsidR="008E3584" w:rsidRPr="000322E4">
        <w:rPr>
          <w:b/>
        </w:rPr>
        <w:instrText>":{"</w:instrText>
      </w:r>
      <w:r w:rsidR="008E3584" w:rsidRPr="000322E4">
        <w:rPr>
          <w:b/>
          <w:lang w:val="en-US"/>
        </w:rPr>
        <w:instrText>DOI</w:instrText>
      </w:r>
      <w:r w:rsidR="008E3584" w:rsidRPr="000322E4">
        <w:rPr>
          <w:b/>
        </w:rPr>
        <w:instrText>":"10.1182/</w:instrText>
      </w:r>
      <w:r w:rsidR="008E3584" w:rsidRPr="000322E4">
        <w:rPr>
          <w:b/>
          <w:lang w:val="en-US"/>
        </w:rPr>
        <w:instrText>blood</w:instrText>
      </w:r>
      <w:r w:rsidR="008E3584" w:rsidRPr="000322E4">
        <w:rPr>
          <w:b/>
        </w:rPr>
        <w:instrText>.</w:instrText>
      </w:r>
      <w:r w:rsidR="008E3584" w:rsidRPr="000322E4">
        <w:rPr>
          <w:b/>
          <w:lang w:val="en-US"/>
        </w:rPr>
        <w:instrText>v</w:instrText>
      </w:r>
      <w:r w:rsidR="008E3584" w:rsidRPr="000322E4">
        <w:rPr>
          <w:b/>
        </w:rPr>
        <w:instrText>114.22.408.408","</w:instrText>
      </w:r>
      <w:r w:rsidR="008E3584" w:rsidRPr="000322E4">
        <w:rPr>
          <w:b/>
          <w:lang w:val="en-US"/>
        </w:rPr>
        <w:instrText>ISSN</w:instrText>
      </w:r>
      <w:r w:rsidR="008E3584" w:rsidRPr="000322E4">
        <w:rPr>
          <w:b/>
        </w:rPr>
        <w:instrText>":"0006-4971","</w:instrText>
      </w:r>
      <w:r w:rsidR="008E3584" w:rsidRPr="000322E4">
        <w:rPr>
          <w:b/>
          <w:lang w:val="en-US"/>
        </w:rPr>
        <w:instrText>abstract</w:instrText>
      </w:r>
      <w:r w:rsidR="008E3584" w:rsidRPr="000322E4">
        <w:rPr>
          <w:b/>
        </w:rPr>
        <w:instrText>":"</w:instrText>
      </w:r>
      <w:r w:rsidR="008E3584" w:rsidRPr="000322E4">
        <w:rPr>
          <w:b/>
          <w:lang w:val="en-US"/>
        </w:rPr>
        <w:instrText>Abstract</w:instrText>
      </w:r>
      <w:r w:rsidR="008E3584" w:rsidRPr="000322E4">
        <w:rPr>
          <w:b/>
        </w:rPr>
        <w:instrText xml:space="preserve"> 408","</w:instrText>
      </w:r>
      <w:r w:rsidR="008E3584" w:rsidRPr="000322E4">
        <w:rPr>
          <w:b/>
          <w:lang w:val="en-US"/>
        </w:rPr>
        <w:instrText>author</w:instrText>
      </w:r>
      <w:r w:rsidR="008E3584" w:rsidRPr="000322E4">
        <w:rPr>
          <w:b/>
        </w:rPr>
        <w:instrText>":[{"</w:instrText>
      </w:r>
      <w:r w:rsidR="008E3584" w:rsidRPr="000322E4">
        <w:rPr>
          <w:b/>
          <w:lang w:val="en-US"/>
        </w:rPr>
        <w:instrText>dropping</w:instrText>
      </w:r>
      <w:r w:rsidR="008E3584" w:rsidRPr="000322E4">
        <w:rPr>
          <w:b/>
        </w:rPr>
        <w:instrText>-</w:instrText>
      </w:r>
      <w:r w:rsidR="008E3584" w:rsidRPr="000322E4">
        <w:rPr>
          <w:b/>
          <w:lang w:val="en-US"/>
        </w:rPr>
        <w:instrText>particle</w:instrText>
      </w:r>
      <w:r w:rsidR="008E3584" w:rsidRPr="000322E4">
        <w:rPr>
          <w:b/>
        </w:rPr>
        <w:instrText>":"","</w:instrText>
      </w:r>
      <w:r w:rsidR="008E3584" w:rsidRPr="000322E4">
        <w:rPr>
          <w:b/>
          <w:lang w:val="en-US"/>
        </w:rPr>
        <w:instrText>family</w:instrText>
      </w:r>
      <w:r w:rsidR="008E3584" w:rsidRPr="000322E4">
        <w:rPr>
          <w:b/>
        </w:rPr>
        <w:instrText>":"</w:instrText>
      </w:r>
      <w:r w:rsidR="008E3584" w:rsidRPr="000322E4">
        <w:rPr>
          <w:b/>
          <w:lang w:val="en-US"/>
        </w:rPr>
        <w:instrText>Moccia</w:instrText>
      </w:r>
      <w:r w:rsidR="008E3584" w:rsidRPr="000322E4">
        <w:rPr>
          <w:b/>
        </w:rPr>
        <w:instrText>","</w:instrText>
      </w:r>
      <w:r w:rsidR="008E3584" w:rsidRPr="000322E4">
        <w:rPr>
          <w:b/>
          <w:lang w:val="en-US"/>
        </w:rPr>
        <w:instrText>given</w:instrText>
      </w:r>
      <w:r w:rsidR="008E3584" w:rsidRPr="000322E4">
        <w:rPr>
          <w:b/>
        </w:rPr>
        <w:instrText>":"</w:instrText>
      </w:r>
      <w:r w:rsidR="008E3584" w:rsidRPr="000322E4">
        <w:rPr>
          <w:b/>
          <w:lang w:val="en-US"/>
        </w:rPr>
        <w:instrText>Alden</w:instrText>
      </w:r>
      <w:r w:rsidR="008E3584" w:rsidRPr="000322E4">
        <w:rPr>
          <w:b/>
        </w:rPr>
        <w:instrText xml:space="preserve"> </w:instrText>
      </w:r>
      <w:r w:rsidR="008E3584" w:rsidRPr="000322E4">
        <w:rPr>
          <w:b/>
          <w:lang w:val="en-US"/>
        </w:rPr>
        <w:instrText>A</w:instrText>
      </w:r>
      <w:r w:rsidR="008E3584" w:rsidRPr="000322E4">
        <w:rPr>
          <w:b/>
        </w:rPr>
        <w:instrText>.","</w:instrText>
      </w:r>
      <w:r w:rsidR="008E3584" w:rsidRPr="000322E4">
        <w:rPr>
          <w:b/>
          <w:lang w:val="en-US"/>
        </w:rPr>
        <w:instrText>non</w:instrText>
      </w:r>
      <w:r w:rsidR="008E3584" w:rsidRPr="000322E4">
        <w:rPr>
          <w:b/>
        </w:rPr>
        <w:instrText>-</w:instrText>
      </w:r>
      <w:r w:rsidR="008E3584" w:rsidRPr="000322E4">
        <w:rPr>
          <w:b/>
          <w:lang w:val="en-US"/>
        </w:rPr>
        <w:instrText>dropping</w:instrText>
      </w:r>
      <w:r w:rsidR="008E3584" w:rsidRPr="000322E4">
        <w:rPr>
          <w:b/>
        </w:rPr>
        <w:instrText>-</w:instrText>
      </w:r>
      <w:r w:rsidR="008E3584" w:rsidRPr="000322E4">
        <w:rPr>
          <w:b/>
          <w:lang w:val="en-US"/>
        </w:rPr>
        <w:instrText>particle</w:instrText>
      </w:r>
      <w:r w:rsidR="008E3584" w:rsidRPr="000322E4">
        <w:rPr>
          <w:b/>
        </w:rPr>
        <w:instrText>":"","</w:instrText>
      </w:r>
      <w:r w:rsidR="008E3584" w:rsidRPr="000322E4">
        <w:rPr>
          <w:b/>
          <w:lang w:val="en-US"/>
        </w:rPr>
        <w:instrText>parse</w:instrText>
      </w:r>
      <w:r w:rsidR="008E3584" w:rsidRPr="000322E4">
        <w:rPr>
          <w:b/>
        </w:rPr>
        <w:instrText>-</w:instrText>
      </w:r>
      <w:r w:rsidR="008E3584" w:rsidRPr="000322E4">
        <w:rPr>
          <w:b/>
          <w:lang w:val="en-US"/>
        </w:rPr>
        <w:instrText>names</w:instrText>
      </w:r>
      <w:r w:rsidR="008E3584" w:rsidRPr="000322E4">
        <w:rPr>
          <w:b/>
        </w:rPr>
        <w:instrText>":</w:instrText>
      </w:r>
      <w:r w:rsidR="008E3584" w:rsidRPr="000322E4">
        <w:rPr>
          <w:b/>
          <w:lang w:val="en-US"/>
        </w:rPr>
        <w:instrText>false</w:instrText>
      </w:r>
      <w:r w:rsidR="008E3584" w:rsidRPr="000322E4">
        <w:rPr>
          <w:b/>
        </w:rPr>
        <w:instrText>,"</w:instrText>
      </w:r>
      <w:r w:rsidR="008E3584" w:rsidRPr="000322E4">
        <w:rPr>
          <w:b/>
          <w:lang w:val="en-US"/>
        </w:rPr>
        <w:instrText>suffix</w:instrText>
      </w:r>
      <w:r w:rsidR="008E3584" w:rsidRPr="000322E4">
        <w:rPr>
          <w:b/>
        </w:rPr>
        <w:instrText>":""},{"</w:instrText>
      </w:r>
      <w:r w:rsidR="008E3584" w:rsidRPr="000322E4">
        <w:rPr>
          <w:b/>
          <w:lang w:val="en-US"/>
        </w:rPr>
        <w:instrText>dropping</w:instrText>
      </w:r>
      <w:r w:rsidR="008E3584" w:rsidRPr="000322E4">
        <w:rPr>
          <w:b/>
        </w:rPr>
        <w:instrText>-</w:instrText>
      </w:r>
      <w:r w:rsidR="008E3584" w:rsidRPr="000322E4">
        <w:rPr>
          <w:b/>
          <w:lang w:val="en-US"/>
        </w:rPr>
        <w:instrText>particle</w:instrText>
      </w:r>
      <w:r w:rsidR="008E3584" w:rsidRPr="000322E4">
        <w:rPr>
          <w:b/>
        </w:rPr>
        <w:instrText>":"","</w:instrText>
      </w:r>
      <w:r w:rsidR="008E3584" w:rsidRPr="000322E4">
        <w:rPr>
          <w:b/>
          <w:lang w:val="en-US"/>
        </w:rPr>
        <w:instrText>family</w:instrText>
      </w:r>
      <w:r w:rsidR="008E3584" w:rsidRPr="000322E4">
        <w:rPr>
          <w:b/>
        </w:rPr>
        <w:instrText>":"</w:instrText>
      </w:r>
      <w:r w:rsidR="008E3584" w:rsidRPr="000322E4">
        <w:rPr>
          <w:b/>
          <w:lang w:val="en-US"/>
        </w:rPr>
        <w:instrText>Schaff</w:instrText>
      </w:r>
      <w:r w:rsidR="008E3584" w:rsidRPr="000322E4">
        <w:rPr>
          <w:b/>
        </w:rPr>
        <w:instrText>","</w:instrText>
      </w:r>
      <w:r w:rsidR="008E3584" w:rsidRPr="000322E4">
        <w:rPr>
          <w:b/>
          <w:lang w:val="en-US"/>
        </w:rPr>
        <w:instrText>given</w:instrText>
      </w:r>
      <w:r w:rsidR="008E3584" w:rsidRPr="000322E4">
        <w:rPr>
          <w:b/>
        </w:rPr>
        <w:instrText>":"</w:instrText>
      </w:r>
      <w:r w:rsidR="008E3584" w:rsidRPr="000322E4">
        <w:rPr>
          <w:b/>
          <w:lang w:val="en-US"/>
        </w:rPr>
        <w:instrText>Kimberly</w:instrText>
      </w:r>
      <w:r w:rsidR="008E3584" w:rsidRPr="000322E4">
        <w:rPr>
          <w:b/>
        </w:rPr>
        <w:instrText>","</w:instrText>
      </w:r>
      <w:r w:rsidR="008E3584" w:rsidRPr="000322E4">
        <w:rPr>
          <w:b/>
          <w:lang w:val="en-US"/>
        </w:rPr>
        <w:instrText>non</w:instrText>
      </w:r>
      <w:r w:rsidR="008E3584" w:rsidRPr="000322E4">
        <w:rPr>
          <w:b/>
        </w:rPr>
        <w:instrText>-</w:instrText>
      </w:r>
      <w:r w:rsidR="008E3584" w:rsidRPr="000322E4">
        <w:rPr>
          <w:b/>
          <w:lang w:val="en-US"/>
        </w:rPr>
        <w:instrText>dropping</w:instrText>
      </w:r>
      <w:r w:rsidR="008E3584" w:rsidRPr="000322E4">
        <w:rPr>
          <w:b/>
        </w:rPr>
        <w:instrText>-</w:instrText>
      </w:r>
      <w:r w:rsidR="008E3584" w:rsidRPr="000322E4">
        <w:rPr>
          <w:b/>
          <w:lang w:val="en-US"/>
        </w:rPr>
        <w:instrText>particle</w:instrText>
      </w:r>
      <w:r w:rsidR="008E3584" w:rsidRPr="000322E4">
        <w:rPr>
          <w:b/>
        </w:rPr>
        <w:instrText>":"","</w:instrText>
      </w:r>
      <w:r w:rsidR="008E3584" w:rsidRPr="000322E4">
        <w:rPr>
          <w:b/>
          <w:lang w:val="en-US"/>
        </w:rPr>
        <w:instrText>parse</w:instrText>
      </w:r>
      <w:r w:rsidR="008E3584" w:rsidRPr="000322E4">
        <w:rPr>
          <w:b/>
        </w:rPr>
        <w:instrText>-</w:instrText>
      </w:r>
      <w:r w:rsidR="008E3584" w:rsidRPr="000322E4">
        <w:rPr>
          <w:b/>
          <w:lang w:val="en-US"/>
        </w:rPr>
        <w:instrText>names</w:instrText>
      </w:r>
      <w:r w:rsidR="008E3584" w:rsidRPr="000322E4">
        <w:rPr>
          <w:b/>
        </w:rPr>
        <w:instrText>":</w:instrText>
      </w:r>
      <w:r w:rsidR="008E3584" w:rsidRPr="000322E4">
        <w:rPr>
          <w:b/>
          <w:lang w:val="en-US"/>
        </w:rPr>
        <w:instrText>false</w:instrText>
      </w:r>
      <w:r w:rsidR="008E3584" w:rsidRPr="000322E4">
        <w:rPr>
          <w:b/>
        </w:rPr>
        <w:instrText>,"</w:instrText>
      </w:r>
      <w:r w:rsidR="008E3584" w:rsidRPr="000322E4">
        <w:rPr>
          <w:b/>
          <w:lang w:val="en-US"/>
        </w:rPr>
        <w:instrText>suffix</w:instrText>
      </w:r>
      <w:r w:rsidR="008E3584" w:rsidRPr="000322E4">
        <w:rPr>
          <w:b/>
        </w:rPr>
        <w:instrText>":""},{"</w:instrText>
      </w:r>
      <w:r w:rsidR="008E3584" w:rsidRPr="000322E4">
        <w:rPr>
          <w:b/>
          <w:lang w:val="en-US"/>
        </w:rPr>
        <w:instrText>dropping</w:instrText>
      </w:r>
      <w:r w:rsidR="008E3584" w:rsidRPr="000322E4">
        <w:rPr>
          <w:b/>
        </w:rPr>
        <w:instrText>-</w:instrText>
      </w:r>
      <w:r w:rsidR="008E3584" w:rsidRPr="000322E4">
        <w:rPr>
          <w:b/>
          <w:lang w:val="en-US"/>
        </w:rPr>
        <w:instrText>particle</w:instrText>
      </w:r>
      <w:r w:rsidR="008E3584" w:rsidRPr="000322E4">
        <w:rPr>
          <w:b/>
        </w:rPr>
        <w:instrText>":"","</w:instrText>
      </w:r>
      <w:r w:rsidR="008E3584" w:rsidRPr="000322E4">
        <w:rPr>
          <w:b/>
          <w:lang w:val="en-US"/>
        </w:rPr>
        <w:instrText>family</w:instrText>
      </w:r>
      <w:r w:rsidR="008E3584" w:rsidRPr="000322E4">
        <w:rPr>
          <w:b/>
        </w:rPr>
        <w:instrText>":"</w:instrText>
      </w:r>
      <w:r w:rsidR="008E3584" w:rsidRPr="000322E4">
        <w:rPr>
          <w:b/>
          <w:lang w:val="en-US"/>
        </w:rPr>
        <w:instrText>Hoskins</w:instrText>
      </w:r>
      <w:r w:rsidR="008E3584" w:rsidRPr="000322E4">
        <w:rPr>
          <w:b/>
        </w:rPr>
        <w:instrText>","</w:instrText>
      </w:r>
      <w:r w:rsidR="008E3584" w:rsidRPr="000322E4">
        <w:rPr>
          <w:b/>
          <w:lang w:val="en-US"/>
        </w:rPr>
        <w:instrText>given</w:instrText>
      </w:r>
      <w:r w:rsidR="008E3584" w:rsidRPr="000322E4">
        <w:rPr>
          <w:b/>
        </w:rPr>
        <w:instrText>":"</w:instrText>
      </w:r>
      <w:r w:rsidR="008E3584" w:rsidRPr="000322E4">
        <w:rPr>
          <w:b/>
          <w:lang w:val="en-US"/>
        </w:rPr>
        <w:instrText>Paul</w:instrText>
      </w:r>
      <w:r w:rsidR="008E3584" w:rsidRPr="000322E4">
        <w:rPr>
          <w:b/>
        </w:rPr>
        <w:instrText>","</w:instrText>
      </w:r>
      <w:r w:rsidR="008E3584" w:rsidRPr="000322E4">
        <w:rPr>
          <w:b/>
          <w:lang w:val="en-US"/>
        </w:rPr>
        <w:instrText>non</w:instrText>
      </w:r>
      <w:r w:rsidR="008E3584" w:rsidRPr="000322E4">
        <w:rPr>
          <w:b/>
        </w:rPr>
        <w:instrText>-</w:instrText>
      </w:r>
      <w:r w:rsidR="008E3584" w:rsidRPr="000322E4">
        <w:rPr>
          <w:b/>
          <w:lang w:val="en-US"/>
        </w:rPr>
        <w:instrText>dropping</w:instrText>
      </w:r>
      <w:r w:rsidR="008E3584" w:rsidRPr="000322E4">
        <w:rPr>
          <w:b/>
        </w:rPr>
        <w:instrText>-</w:instrText>
      </w:r>
      <w:r w:rsidR="008E3584" w:rsidRPr="000322E4">
        <w:rPr>
          <w:b/>
          <w:lang w:val="en-US"/>
        </w:rPr>
        <w:instrText>particle</w:instrText>
      </w:r>
      <w:r w:rsidR="008E3584" w:rsidRPr="000322E4">
        <w:rPr>
          <w:b/>
        </w:rPr>
        <w:instrText>":"","</w:instrText>
      </w:r>
      <w:r w:rsidR="008E3584" w:rsidRPr="000322E4">
        <w:rPr>
          <w:b/>
          <w:lang w:val="en-US"/>
        </w:rPr>
        <w:instrText>parse</w:instrText>
      </w:r>
      <w:r w:rsidR="008E3584" w:rsidRPr="000322E4">
        <w:rPr>
          <w:b/>
        </w:rPr>
        <w:instrText>-</w:instrText>
      </w:r>
      <w:r w:rsidR="008E3584" w:rsidRPr="000322E4">
        <w:rPr>
          <w:b/>
          <w:lang w:val="en-US"/>
        </w:rPr>
        <w:instrText>names</w:instrText>
      </w:r>
      <w:r w:rsidR="008E3584" w:rsidRPr="000322E4">
        <w:rPr>
          <w:b/>
        </w:rPr>
        <w:instrText>":</w:instrText>
      </w:r>
      <w:r w:rsidR="008E3584" w:rsidRPr="000322E4">
        <w:rPr>
          <w:b/>
          <w:lang w:val="en-US"/>
        </w:rPr>
        <w:instrText>false</w:instrText>
      </w:r>
      <w:r w:rsidR="008E3584" w:rsidRPr="000322E4">
        <w:rPr>
          <w:b/>
        </w:rPr>
        <w:instrText>,"</w:instrText>
      </w:r>
      <w:r w:rsidR="008E3584" w:rsidRPr="000322E4">
        <w:rPr>
          <w:b/>
          <w:lang w:val="en-US"/>
        </w:rPr>
        <w:instrText>suffix</w:instrText>
      </w:r>
      <w:r w:rsidR="008E3584" w:rsidRPr="000322E4">
        <w:rPr>
          <w:b/>
        </w:rPr>
        <w:instrText>":""},{"</w:instrText>
      </w:r>
      <w:r w:rsidR="008E3584" w:rsidRPr="000322E4">
        <w:rPr>
          <w:b/>
          <w:lang w:val="en-US"/>
        </w:rPr>
        <w:instrText>dropping</w:instrText>
      </w:r>
      <w:r w:rsidR="008E3584" w:rsidRPr="000322E4">
        <w:rPr>
          <w:b/>
        </w:rPr>
        <w:instrText>-</w:instrText>
      </w:r>
      <w:r w:rsidR="008E3584" w:rsidRPr="000322E4">
        <w:rPr>
          <w:b/>
          <w:lang w:val="en-US"/>
        </w:rPr>
        <w:instrText>particle</w:instrText>
      </w:r>
      <w:r w:rsidR="008E3584" w:rsidRPr="000322E4">
        <w:rPr>
          <w:b/>
        </w:rPr>
        <w:instrText>":"","</w:instrText>
      </w:r>
      <w:r w:rsidR="008E3584" w:rsidRPr="000322E4">
        <w:rPr>
          <w:b/>
          <w:lang w:val="en-US"/>
        </w:rPr>
        <w:instrText>family</w:instrText>
      </w:r>
      <w:r w:rsidR="008E3584" w:rsidRPr="000322E4">
        <w:rPr>
          <w:b/>
        </w:rPr>
        <w:instrText>":"</w:instrText>
      </w:r>
      <w:r w:rsidR="008E3584" w:rsidRPr="000322E4">
        <w:rPr>
          <w:b/>
          <w:lang w:val="en-US"/>
        </w:rPr>
        <w:instrText>Klasa</w:instrText>
      </w:r>
      <w:r w:rsidR="008E3584" w:rsidRPr="000322E4">
        <w:rPr>
          <w:b/>
        </w:rPr>
        <w:instrText>","</w:instrText>
      </w:r>
      <w:r w:rsidR="008E3584" w:rsidRPr="000322E4">
        <w:rPr>
          <w:b/>
          <w:lang w:val="en-US"/>
        </w:rPr>
        <w:instrText>given</w:instrText>
      </w:r>
      <w:r w:rsidR="008E3584" w:rsidRPr="000322E4">
        <w:rPr>
          <w:b/>
        </w:rPr>
        <w:instrText>":"</w:instrText>
      </w:r>
      <w:r w:rsidR="008E3584" w:rsidRPr="000322E4">
        <w:rPr>
          <w:b/>
          <w:lang w:val="en-US"/>
        </w:rPr>
        <w:instrText>Richard</w:instrText>
      </w:r>
      <w:r w:rsidR="008E3584" w:rsidRPr="000322E4">
        <w:rPr>
          <w:b/>
        </w:rPr>
        <w:instrText>","</w:instrText>
      </w:r>
      <w:r w:rsidR="008E3584" w:rsidRPr="000322E4">
        <w:rPr>
          <w:b/>
          <w:lang w:val="en-US"/>
        </w:rPr>
        <w:instrText>non</w:instrText>
      </w:r>
      <w:r w:rsidR="008E3584" w:rsidRPr="000322E4">
        <w:rPr>
          <w:b/>
        </w:rPr>
        <w:instrText>-</w:instrText>
      </w:r>
      <w:r w:rsidR="008E3584" w:rsidRPr="000322E4">
        <w:rPr>
          <w:b/>
          <w:lang w:val="en-US"/>
        </w:rPr>
        <w:instrText>dropping</w:instrText>
      </w:r>
      <w:r w:rsidR="008E3584" w:rsidRPr="000322E4">
        <w:rPr>
          <w:b/>
        </w:rPr>
        <w:instrText>-</w:instrText>
      </w:r>
      <w:r w:rsidR="008E3584" w:rsidRPr="000322E4">
        <w:rPr>
          <w:b/>
          <w:lang w:val="en-US"/>
        </w:rPr>
        <w:instrText>particle</w:instrText>
      </w:r>
      <w:r w:rsidR="008E3584" w:rsidRPr="000322E4">
        <w:rPr>
          <w:b/>
        </w:rPr>
        <w:instrText>":"","</w:instrText>
      </w:r>
      <w:r w:rsidR="008E3584" w:rsidRPr="000322E4">
        <w:rPr>
          <w:b/>
          <w:lang w:val="en-US"/>
        </w:rPr>
        <w:instrText>parse</w:instrText>
      </w:r>
      <w:r w:rsidR="008E3584" w:rsidRPr="000322E4">
        <w:rPr>
          <w:b/>
        </w:rPr>
        <w:instrText>-</w:instrText>
      </w:r>
      <w:r w:rsidR="008E3584" w:rsidRPr="000322E4">
        <w:rPr>
          <w:b/>
          <w:lang w:val="en-US"/>
        </w:rPr>
        <w:instrText>names</w:instrText>
      </w:r>
      <w:r w:rsidR="008E3584" w:rsidRPr="000322E4">
        <w:rPr>
          <w:b/>
        </w:rPr>
        <w:instrText>":</w:instrText>
      </w:r>
      <w:r w:rsidR="008E3584" w:rsidRPr="000322E4">
        <w:rPr>
          <w:b/>
          <w:lang w:val="en-US"/>
        </w:rPr>
        <w:instrText>false</w:instrText>
      </w:r>
      <w:r w:rsidR="008E3584" w:rsidRPr="000322E4">
        <w:rPr>
          <w:b/>
        </w:rPr>
        <w:instrText>,"</w:instrText>
      </w:r>
      <w:r w:rsidR="008E3584" w:rsidRPr="000322E4">
        <w:rPr>
          <w:b/>
          <w:lang w:val="en-US"/>
        </w:rPr>
        <w:instrText>suffix</w:instrText>
      </w:r>
      <w:r w:rsidR="008E3584" w:rsidRPr="000322E4">
        <w:rPr>
          <w:b/>
        </w:rPr>
        <w:instrText>":""},{"</w:instrText>
      </w:r>
      <w:r w:rsidR="008E3584" w:rsidRPr="000322E4">
        <w:rPr>
          <w:b/>
          <w:lang w:val="en-US"/>
        </w:rPr>
        <w:instrText>dropping</w:instrText>
      </w:r>
      <w:r w:rsidR="008E3584" w:rsidRPr="000322E4">
        <w:rPr>
          <w:b/>
        </w:rPr>
        <w:instrText>-</w:instrText>
      </w:r>
      <w:r w:rsidR="008E3584" w:rsidRPr="000322E4">
        <w:rPr>
          <w:b/>
          <w:lang w:val="en-US"/>
        </w:rPr>
        <w:instrText>particle</w:instrText>
      </w:r>
      <w:r w:rsidR="008E3584" w:rsidRPr="000322E4">
        <w:rPr>
          <w:b/>
        </w:rPr>
        <w:instrText>":"","</w:instrText>
      </w:r>
      <w:r w:rsidR="008E3584" w:rsidRPr="000322E4">
        <w:rPr>
          <w:b/>
          <w:lang w:val="en-US"/>
        </w:rPr>
        <w:instrText>family</w:instrText>
      </w:r>
      <w:r w:rsidR="008E3584" w:rsidRPr="000322E4">
        <w:rPr>
          <w:b/>
        </w:rPr>
        <w:instrText>":"</w:instrText>
      </w:r>
      <w:r w:rsidR="008E3584" w:rsidRPr="000322E4">
        <w:rPr>
          <w:b/>
          <w:lang w:val="en-US"/>
        </w:rPr>
        <w:instrText>Savage</w:instrText>
      </w:r>
      <w:r w:rsidR="008E3584" w:rsidRPr="000322E4">
        <w:rPr>
          <w:b/>
        </w:rPr>
        <w:instrText>","</w:instrText>
      </w:r>
      <w:r w:rsidR="008E3584" w:rsidRPr="000322E4">
        <w:rPr>
          <w:b/>
          <w:lang w:val="en-US"/>
        </w:rPr>
        <w:instrText>given</w:instrText>
      </w:r>
      <w:r w:rsidR="008E3584" w:rsidRPr="000322E4">
        <w:rPr>
          <w:b/>
        </w:rPr>
        <w:instrText>":"</w:instrText>
      </w:r>
      <w:r w:rsidR="008E3584" w:rsidRPr="000322E4">
        <w:rPr>
          <w:b/>
          <w:lang w:val="en-US"/>
        </w:rPr>
        <w:instrText>Kerry</w:instrText>
      </w:r>
      <w:r w:rsidR="008E3584" w:rsidRPr="000322E4">
        <w:rPr>
          <w:b/>
        </w:rPr>
        <w:instrText xml:space="preserve"> </w:instrText>
      </w:r>
      <w:r w:rsidR="008E3584" w:rsidRPr="000322E4">
        <w:rPr>
          <w:b/>
          <w:lang w:val="en-US"/>
        </w:rPr>
        <w:instrText>J</w:instrText>
      </w:r>
      <w:r w:rsidR="008E3584" w:rsidRPr="000322E4">
        <w:rPr>
          <w:b/>
        </w:rPr>
        <w:instrText>.","</w:instrText>
      </w:r>
      <w:r w:rsidR="008E3584" w:rsidRPr="000322E4">
        <w:rPr>
          <w:b/>
          <w:lang w:val="en-US"/>
        </w:rPr>
        <w:instrText>non</w:instrText>
      </w:r>
      <w:r w:rsidR="008E3584" w:rsidRPr="000322E4">
        <w:rPr>
          <w:b/>
        </w:rPr>
        <w:instrText>-</w:instrText>
      </w:r>
      <w:r w:rsidR="008E3584" w:rsidRPr="000322E4">
        <w:rPr>
          <w:b/>
          <w:lang w:val="en-US"/>
        </w:rPr>
        <w:instrText>dropping</w:instrText>
      </w:r>
      <w:r w:rsidR="008E3584" w:rsidRPr="000322E4">
        <w:rPr>
          <w:b/>
        </w:rPr>
        <w:instrText>-</w:instrText>
      </w:r>
      <w:r w:rsidR="008E3584" w:rsidRPr="000322E4">
        <w:rPr>
          <w:b/>
          <w:lang w:val="en-US"/>
        </w:rPr>
        <w:instrText>particle</w:instrText>
      </w:r>
      <w:r w:rsidR="008E3584" w:rsidRPr="000322E4">
        <w:rPr>
          <w:b/>
        </w:rPr>
        <w:instrText>":"","</w:instrText>
      </w:r>
      <w:r w:rsidR="008E3584" w:rsidRPr="000322E4">
        <w:rPr>
          <w:b/>
          <w:lang w:val="en-US"/>
        </w:rPr>
        <w:instrText>parse</w:instrText>
      </w:r>
      <w:r w:rsidR="008E3584" w:rsidRPr="000322E4">
        <w:rPr>
          <w:b/>
        </w:rPr>
        <w:instrText>-</w:instrText>
      </w:r>
      <w:r w:rsidR="008E3584" w:rsidRPr="000322E4">
        <w:rPr>
          <w:b/>
          <w:lang w:val="en-US"/>
        </w:rPr>
        <w:instrText>names</w:instrText>
      </w:r>
      <w:r w:rsidR="008E3584" w:rsidRPr="000322E4">
        <w:rPr>
          <w:b/>
        </w:rPr>
        <w:instrText>":</w:instrText>
      </w:r>
      <w:r w:rsidR="008E3584" w:rsidRPr="000322E4">
        <w:rPr>
          <w:b/>
          <w:lang w:val="en-US"/>
        </w:rPr>
        <w:instrText>false</w:instrText>
      </w:r>
      <w:r w:rsidR="008E3584" w:rsidRPr="000322E4">
        <w:rPr>
          <w:b/>
        </w:rPr>
        <w:instrText>,"</w:instrText>
      </w:r>
      <w:r w:rsidR="008E3584" w:rsidRPr="000322E4">
        <w:rPr>
          <w:b/>
          <w:lang w:val="en-US"/>
        </w:rPr>
        <w:instrText>suffix</w:instrText>
      </w:r>
      <w:r w:rsidR="008E3584" w:rsidRPr="000322E4">
        <w:rPr>
          <w:b/>
        </w:rPr>
        <w:instrText>":""},{"</w:instrText>
      </w:r>
      <w:r w:rsidR="008E3584" w:rsidRPr="000322E4">
        <w:rPr>
          <w:b/>
          <w:lang w:val="en-US"/>
        </w:rPr>
        <w:instrText>dropping</w:instrText>
      </w:r>
      <w:r w:rsidR="008E3584" w:rsidRPr="000322E4">
        <w:rPr>
          <w:b/>
        </w:rPr>
        <w:instrText>-</w:instrText>
      </w:r>
      <w:r w:rsidR="008E3584" w:rsidRPr="000322E4">
        <w:rPr>
          <w:b/>
          <w:lang w:val="en-US"/>
        </w:rPr>
        <w:instrText>particle</w:instrText>
      </w:r>
      <w:r w:rsidR="008E3584" w:rsidRPr="000322E4">
        <w:rPr>
          <w:b/>
        </w:rPr>
        <w:instrText>":"","</w:instrText>
      </w:r>
      <w:r w:rsidR="008E3584" w:rsidRPr="000322E4">
        <w:rPr>
          <w:b/>
          <w:lang w:val="en-US"/>
        </w:rPr>
        <w:instrText>family</w:instrText>
      </w:r>
      <w:r w:rsidR="008E3584" w:rsidRPr="000322E4">
        <w:rPr>
          <w:b/>
        </w:rPr>
        <w:instrText>":"</w:instrText>
      </w:r>
      <w:r w:rsidR="008E3584" w:rsidRPr="000322E4">
        <w:rPr>
          <w:b/>
          <w:lang w:val="en-US"/>
        </w:rPr>
        <w:instrText>Shenkier</w:instrText>
      </w:r>
      <w:r w:rsidR="008E3584" w:rsidRPr="000322E4">
        <w:rPr>
          <w:b/>
        </w:rPr>
        <w:instrText>","</w:instrText>
      </w:r>
      <w:r w:rsidR="008E3584" w:rsidRPr="000322E4">
        <w:rPr>
          <w:b/>
          <w:lang w:val="en-US"/>
        </w:rPr>
        <w:instrText>given</w:instrText>
      </w:r>
      <w:r w:rsidR="008E3584" w:rsidRPr="000322E4">
        <w:rPr>
          <w:b/>
        </w:rPr>
        <w:instrText>":"</w:instrText>
      </w:r>
      <w:r w:rsidR="008E3584" w:rsidRPr="000322E4">
        <w:rPr>
          <w:b/>
          <w:lang w:val="en-US"/>
        </w:rPr>
        <w:instrText>Tamara</w:instrText>
      </w:r>
      <w:r w:rsidR="008E3584" w:rsidRPr="000322E4">
        <w:rPr>
          <w:b/>
        </w:rPr>
        <w:instrText>","</w:instrText>
      </w:r>
      <w:r w:rsidR="008E3584" w:rsidRPr="000322E4">
        <w:rPr>
          <w:b/>
          <w:lang w:val="en-US"/>
        </w:rPr>
        <w:instrText>non</w:instrText>
      </w:r>
      <w:r w:rsidR="008E3584" w:rsidRPr="000322E4">
        <w:rPr>
          <w:b/>
        </w:rPr>
        <w:instrText>-</w:instrText>
      </w:r>
      <w:r w:rsidR="008E3584" w:rsidRPr="000322E4">
        <w:rPr>
          <w:b/>
          <w:lang w:val="en-US"/>
        </w:rPr>
        <w:instrText>dropping</w:instrText>
      </w:r>
      <w:r w:rsidR="008E3584" w:rsidRPr="000322E4">
        <w:rPr>
          <w:b/>
        </w:rPr>
        <w:instrText>-</w:instrText>
      </w:r>
      <w:r w:rsidR="008E3584" w:rsidRPr="000322E4">
        <w:rPr>
          <w:b/>
          <w:lang w:val="en-US"/>
        </w:rPr>
        <w:instrText>particle</w:instrText>
      </w:r>
      <w:r w:rsidR="008E3584" w:rsidRPr="000322E4">
        <w:rPr>
          <w:b/>
        </w:rPr>
        <w:instrText>":"","</w:instrText>
      </w:r>
      <w:r w:rsidR="008E3584" w:rsidRPr="000322E4">
        <w:rPr>
          <w:b/>
          <w:lang w:val="en-US"/>
        </w:rPr>
        <w:instrText>parse</w:instrText>
      </w:r>
      <w:r w:rsidR="008E3584" w:rsidRPr="000322E4">
        <w:rPr>
          <w:b/>
        </w:rPr>
        <w:instrText>-</w:instrText>
      </w:r>
      <w:r w:rsidR="008E3584" w:rsidRPr="000322E4">
        <w:rPr>
          <w:b/>
          <w:lang w:val="en-US"/>
        </w:rPr>
        <w:instrText>names</w:instrText>
      </w:r>
      <w:r w:rsidR="008E3584" w:rsidRPr="000322E4">
        <w:rPr>
          <w:b/>
        </w:rPr>
        <w:instrText>":</w:instrText>
      </w:r>
      <w:r w:rsidR="008E3584" w:rsidRPr="000322E4">
        <w:rPr>
          <w:b/>
          <w:lang w:val="en-US"/>
        </w:rPr>
        <w:instrText>false</w:instrText>
      </w:r>
      <w:r w:rsidR="008E3584" w:rsidRPr="000322E4">
        <w:rPr>
          <w:b/>
        </w:rPr>
        <w:instrText>,"</w:instrText>
      </w:r>
      <w:r w:rsidR="008E3584" w:rsidRPr="000322E4">
        <w:rPr>
          <w:b/>
          <w:lang w:val="en-US"/>
        </w:rPr>
        <w:instrText>suffix</w:instrText>
      </w:r>
      <w:r w:rsidR="008E3584" w:rsidRPr="000322E4">
        <w:rPr>
          <w:b/>
        </w:rPr>
        <w:instrText>":""},{"</w:instrText>
      </w:r>
      <w:r w:rsidR="008E3584" w:rsidRPr="000322E4">
        <w:rPr>
          <w:b/>
          <w:lang w:val="en-US"/>
        </w:rPr>
        <w:instrText>dropping</w:instrText>
      </w:r>
      <w:r w:rsidR="008E3584" w:rsidRPr="000322E4">
        <w:rPr>
          <w:b/>
        </w:rPr>
        <w:instrText>-</w:instrText>
      </w:r>
      <w:r w:rsidR="008E3584" w:rsidRPr="000322E4">
        <w:rPr>
          <w:b/>
          <w:lang w:val="en-US"/>
        </w:rPr>
        <w:instrText>particle</w:instrText>
      </w:r>
      <w:r w:rsidR="008E3584" w:rsidRPr="000322E4">
        <w:rPr>
          <w:b/>
        </w:rPr>
        <w:instrText>":"","</w:instrText>
      </w:r>
      <w:r w:rsidR="008E3584" w:rsidRPr="000322E4">
        <w:rPr>
          <w:b/>
          <w:lang w:val="en-US"/>
        </w:rPr>
        <w:instrText>family</w:instrText>
      </w:r>
      <w:r w:rsidR="008E3584" w:rsidRPr="000322E4">
        <w:rPr>
          <w:b/>
        </w:rPr>
        <w:instrText>":"</w:instrText>
      </w:r>
      <w:r w:rsidR="008E3584" w:rsidRPr="000322E4">
        <w:rPr>
          <w:b/>
          <w:lang w:val="en-US"/>
        </w:rPr>
        <w:instrText>Gascoyne</w:instrText>
      </w:r>
      <w:r w:rsidR="008E3584" w:rsidRPr="000322E4">
        <w:rPr>
          <w:b/>
        </w:rPr>
        <w:instrText>","</w:instrText>
      </w:r>
      <w:r w:rsidR="008E3584" w:rsidRPr="000322E4">
        <w:rPr>
          <w:b/>
          <w:lang w:val="en-US"/>
        </w:rPr>
        <w:instrText>given</w:instrText>
      </w:r>
      <w:r w:rsidR="008E3584" w:rsidRPr="000322E4">
        <w:rPr>
          <w:b/>
        </w:rPr>
        <w:instrText>":"</w:instrText>
      </w:r>
      <w:r w:rsidR="008E3584" w:rsidRPr="000322E4">
        <w:rPr>
          <w:b/>
          <w:lang w:val="en-US"/>
        </w:rPr>
        <w:instrText>Randy</w:instrText>
      </w:r>
      <w:r w:rsidR="008E3584" w:rsidRPr="000322E4">
        <w:rPr>
          <w:b/>
        </w:rPr>
        <w:instrText xml:space="preserve"> </w:instrText>
      </w:r>
      <w:r w:rsidR="008E3584" w:rsidRPr="000322E4">
        <w:rPr>
          <w:b/>
          <w:lang w:val="en-US"/>
        </w:rPr>
        <w:instrText>D</w:instrText>
      </w:r>
      <w:r w:rsidR="008E3584" w:rsidRPr="000322E4">
        <w:rPr>
          <w:b/>
        </w:rPr>
        <w:instrText>.","</w:instrText>
      </w:r>
      <w:r w:rsidR="008E3584" w:rsidRPr="000322E4">
        <w:rPr>
          <w:b/>
          <w:lang w:val="en-US"/>
        </w:rPr>
        <w:instrText>non</w:instrText>
      </w:r>
      <w:r w:rsidR="008E3584" w:rsidRPr="000322E4">
        <w:rPr>
          <w:b/>
        </w:rPr>
        <w:instrText>-</w:instrText>
      </w:r>
      <w:r w:rsidR="008E3584" w:rsidRPr="000322E4">
        <w:rPr>
          <w:b/>
          <w:lang w:val="en-US"/>
        </w:rPr>
        <w:instrText>dropping</w:instrText>
      </w:r>
      <w:r w:rsidR="008E3584" w:rsidRPr="000322E4">
        <w:rPr>
          <w:b/>
        </w:rPr>
        <w:instrText>-</w:instrText>
      </w:r>
      <w:r w:rsidR="008E3584" w:rsidRPr="000322E4">
        <w:rPr>
          <w:b/>
          <w:lang w:val="en-US"/>
        </w:rPr>
        <w:instrText>particle</w:instrText>
      </w:r>
      <w:r w:rsidR="008E3584" w:rsidRPr="000322E4">
        <w:rPr>
          <w:b/>
        </w:rPr>
        <w:instrText>":"","</w:instrText>
      </w:r>
      <w:r w:rsidR="008E3584" w:rsidRPr="000322E4">
        <w:rPr>
          <w:b/>
          <w:lang w:val="en-US"/>
        </w:rPr>
        <w:instrText>parse</w:instrText>
      </w:r>
      <w:r w:rsidR="008E3584" w:rsidRPr="000322E4">
        <w:rPr>
          <w:b/>
        </w:rPr>
        <w:instrText>-</w:instrText>
      </w:r>
      <w:r w:rsidR="008E3584" w:rsidRPr="000322E4">
        <w:rPr>
          <w:b/>
          <w:lang w:val="en-US"/>
        </w:rPr>
        <w:instrText>names</w:instrText>
      </w:r>
      <w:r w:rsidR="008E3584" w:rsidRPr="000322E4">
        <w:rPr>
          <w:b/>
        </w:rPr>
        <w:instrText>":</w:instrText>
      </w:r>
      <w:r w:rsidR="008E3584" w:rsidRPr="000322E4">
        <w:rPr>
          <w:b/>
          <w:lang w:val="en-US"/>
        </w:rPr>
        <w:instrText>false</w:instrText>
      </w:r>
      <w:r w:rsidR="008E3584" w:rsidRPr="000322E4">
        <w:rPr>
          <w:b/>
        </w:rPr>
        <w:instrText>,"</w:instrText>
      </w:r>
      <w:r w:rsidR="008E3584" w:rsidRPr="000322E4">
        <w:rPr>
          <w:b/>
          <w:lang w:val="en-US"/>
        </w:rPr>
        <w:instrText>suffix</w:instrText>
      </w:r>
      <w:r w:rsidR="008E3584" w:rsidRPr="000322E4">
        <w:rPr>
          <w:b/>
        </w:rPr>
        <w:instrText>":""},{"</w:instrText>
      </w:r>
      <w:r w:rsidR="008E3584" w:rsidRPr="000322E4">
        <w:rPr>
          <w:b/>
          <w:lang w:val="en-US"/>
        </w:rPr>
        <w:instrText>dropping</w:instrText>
      </w:r>
      <w:r w:rsidR="008E3584" w:rsidRPr="000322E4">
        <w:rPr>
          <w:b/>
        </w:rPr>
        <w:instrText>-</w:instrText>
      </w:r>
      <w:r w:rsidR="008E3584" w:rsidRPr="000322E4">
        <w:rPr>
          <w:b/>
          <w:lang w:val="en-US"/>
        </w:rPr>
        <w:instrText>particle</w:instrText>
      </w:r>
      <w:r w:rsidR="008E3584" w:rsidRPr="000322E4">
        <w:rPr>
          <w:b/>
        </w:rPr>
        <w:instrText>":"","</w:instrText>
      </w:r>
      <w:r w:rsidR="008E3584" w:rsidRPr="000322E4">
        <w:rPr>
          <w:b/>
          <w:lang w:val="en-US"/>
        </w:rPr>
        <w:instrText>family</w:instrText>
      </w:r>
      <w:r w:rsidR="008E3584" w:rsidRPr="000322E4">
        <w:rPr>
          <w:b/>
        </w:rPr>
        <w:instrText>":"</w:instrText>
      </w:r>
      <w:r w:rsidR="008E3584" w:rsidRPr="000322E4">
        <w:rPr>
          <w:b/>
          <w:lang w:val="en-US"/>
        </w:rPr>
        <w:instrText>Connors</w:instrText>
      </w:r>
      <w:r w:rsidR="008E3584" w:rsidRPr="000322E4">
        <w:rPr>
          <w:b/>
        </w:rPr>
        <w:instrText>","</w:instrText>
      </w:r>
      <w:r w:rsidR="008E3584" w:rsidRPr="000322E4">
        <w:rPr>
          <w:b/>
          <w:lang w:val="en-US"/>
        </w:rPr>
        <w:instrText>given</w:instrText>
      </w:r>
      <w:r w:rsidR="008E3584" w:rsidRPr="000322E4">
        <w:rPr>
          <w:b/>
        </w:rPr>
        <w:instrText>":"</w:instrText>
      </w:r>
      <w:r w:rsidR="008E3584" w:rsidRPr="000322E4">
        <w:rPr>
          <w:b/>
          <w:lang w:val="en-US"/>
        </w:rPr>
        <w:instrText>Joseph</w:instrText>
      </w:r>
      <w:r w:rsidR="008E3584" w:rsidRPr="000322E4">
        <w:rPr>
          <w:b/>
        </w:rPr>
        <w:instrText xml:space="preserve"> </w:instrText>
      </w:r>
      <w:r w:rsidR="008E3584" w:rsidRPr="000322E4">
        <w:rPr>
          <w:b/>
          <w:lang w:val="en-US"/>
        </w:rPr>
        <w:instrText>M</w:instrText>
      </w:r>
      <w:r w:rsidR="008E3584" w:rsidRPr="000322E4">
        <w:rPr>
          <w:b/>
        </w:rPr>
        <w:instrText>.","</w:instrText>
      </w:r>
      <w:r w:rsidR="008E3584" w:rsidRPr="000322E4">
        <w:rPr>
          <w:b/>
          <w:lang w:val="en-US"/>
        </w:rPr>
        <w:instrText>non</w:instrText>
      </w:r>
      <w:r w:rsidR="008E3584" w:rsidRPr="000322E4">
        <w:rPr>
          <w:b/>
        </w:rPr>
        <w:instrText>-</w:instrText>
      </w:r>
      <w:r w:rsidR="008E3584" w:rsidRPr="000322E4">
        <w:rPr>
          <w:b/>
          <w:lang w:val="en-US"/>
        </w:rPr>
        <w:instrText>dropping</w:instrText>
      </w:r>
      <w:r w:rsidR="008E3584" w:rsidRPr="000322E4">
        <w:rPr>
          <w:b/>
        </w:rPr>
        <w:instrText>-</w:instrText>
      </w:r>
      <w:r w:rsidR="008E3584" w:rsidRPr="000322E4">
        <w:rPr>
          <w:b/>
          <w:lang w:val="en-US"/>
        </w:rPr>
        <w:instrText>particle</w:instrText>
      </w:r>
      <w:r w:rsidR="008E3584" w:rsidRPr="000322E4">
        <w:rPr>
          <w:b/>
        </w:rPr>
        <w:instrText>":"","</w:instrText>
      </w:r>
      <w:r w:rsidR="008E3584" w:rsidRPr="000322E4">
        <w:rPr>
          <w:b/>
          <w:lang w:val="en-US"/>
        </w:rPr>
        <w:instrText>parse</w:instrText>
      </w:r>
      <w:r w:rsidR="008E3584" w:rsidRPr="000322E4">
        <w:rPr>
          <w:b/>
        </w:rPr>
        <w:instrText>-</w:instrText>
      </w:r>
      <w:r w:rsidR="008E3584" w:rsidRPr="000322E4">
        <w:rPr>
          <w:b/>
          <w:lang w:val="en-US"/>
        </w:rPr>
        <w:instrText>names</w:instrText>
      </w:r>
      <w:r w:rsidR="008E3584" w:rsidRPr="000322E4">
        <w:rPr>
          <w:b/>
        </w:rPr>
        <w:instrText>":</w:instrText>
      </w:r>
      <w:r w:rsidR="008E3584" w:rsidRPr="000322E4">
        <w:rPr>
          <w:b/>
          <w:lang w:val="en-US"/>
        </w:rPr>
        <w:instrText>false</w:instrText>
      </w:r>
      <w:r w:rsidR="008E3584" w:rsidRPr="000322E4">
        <w:rPr>
          <w:b/>
        </w:rPr>
        <w:instrText>,"</w:instrText>
      </w:r>
      <w:r w:rsidR="008E3584" w:rsidRPr="000322E4">
        <w:rPr>
          <w:b/>
          <w:lang w:val="en-US"/>
        </w:rPr>
        <w:instrText>suffix</w:instrText>
      </w:r>
      <w:r w:rsidR="008E3584" w:rsidRPr="000322E4">
        <w:rPr>
          <w:b/>
        </w:rPr>
        <w:instrText>":""},{"</w:instrText>
      </w:r>
      <w:r w:rsidR="008E3584" w:rsidRPr="000322E4">
        <w:rPr>
          <w:b/>
          <w:lang w:val="en-US"/>
        </w:rPr>
        <w:instrText>dropping</w:instrText>
      </w:r>
      <w:r w:rsidR="008E3584" w:rsidRPr="000322E4">
        <w:rPr>
          <w:b/>
        </w:rPr>
        <w:instrText>-</w:instrText>
      </w:r>
      <w:r w:rsidR="008E3584" w:rsidRPr="000322E4">
        <w:rPr>
          <w:b/>
          <w:lang w:val="en-US"/>
        </w:rPr>
        <w:instrText>particle</w:instrText>
      </w:r>
      <w:r w:rsidR="008E3584" w:rsidRPr="000322E4">
        <w:rPr>
          <w:b/>
        </w:rPr>
        <w:instrText>":"","</w:instrText>
      </w:r>
      <w:r w:rsidR="008E3584" w:rsidRPr="000322E4">
        <w:rPr>
          <w:b/>
          <w:lang w:val="en-US"/>
        </w:rPr>
        <w:instrText>family</w:instrText>
      </w:r>
      <w:r w:rsidR="008E3584" w:rsidRPr="000322E4">
        <w:rPr>
          <w:b/>
        </w:rPr>
        <w:instrText>":"</w:instrText>
      </w:r>
      <w:r w:rsidR="008E3584" w:rsidRPr="000322E4">
        <w:rPr>
          <w:b/>
          <w:lang w:val="en-US"/>
        </w:rPr>
        <w:instrText>Sehn</w:instrText>
      </w:r>
      <w:r w:rsidR="008E3584" w:rsidRPr="000322E4">
        <w:rPr>
          <w:b/>
        </w:rPr>
        <w:instrText>","</w:instrText>
      </w:r>
      <w:r w:rsidR="008E3584" w:rsidRPr="000322E4">
        <w:rPr>
          <w:b/>
          <w:lang w:val="en-US"/>
        </w:rPr>
        <w:instrText>given</w:instrText>
      </w:r>
      <w:r w:rsidR="008E3584" w:rsidRPr="000322E4">
        <w:rPr>
          <w:b/>
        </w:rPr>
        <w:instrText>":"</w:instrText>
      </w:r>
      <w:r w:rsidR="008E3584" w:rsidRPr="000322E4">
        <w:rPr>
          <w:b/>
          <w:lang w:val="en-US"/>
        </w:rPr>
        <w:instrText>Laurie</w:instrText>
      </w:r>
      <w:r w:rsidR="008E3584" w:rsidRPr="000322E4">
        <w:rPr>
          <w:b/>
        </w:rPr>
        <w:instrText xml:space="preserve"> </w:instrText>
      </w:r>
      <w:r w:rsidR="008E3584" w:rsidRPr="000322E4">
        <w:rPr>
          <w:b/>
          <w:lang w:val="en-US"/>
        </w:rPr>
        <w:instrText>H</w:instrText>
      </w:r>
      <w:r w:rsidR="008E3584" w:rsidRPr="000322E4">
        <w:rPr>
          <w:b/>
        </w:rPr>
        <w:instrText>.","</w:instrText>
      </w:r>
      <w:r w:rsidR="008E3584" w:rsidRPr="000322E4">
        <w:rPr>
          <w:b/>
          <w:lang w:val="en-US"/>
        </w:rPr>
        <w:instrText>non</w:instrText>
      </w:r>
      <w:r w:rsidR="008E3584" w:rsidRPr="000322E4">
        <w:rPr>
          <w:b/>
        </w:rPr>
        <w:instrText>-</w:instrText>
      </w:r>
      <w:r w:rsidR="008E3584" w:rsidRPr="000322E4">
        <w:rPr>
          <w:b/>
          <w:lang w:val="en-US"/>
        </w:rPr>
        <w:instrText>dropping</w:instrText>
      </w:r>
      <w:r w:rsidR="008E3584" w:rsidRPr="000322E4">
        <w:rPr>
          <w:b/>
        </w:rPr>
        <w:instrText>-</w:instrText>
      </w:r>
      <w:r w:rsidR="008E3584" w:rsidRPr="000322E4">
        <w:rPr>
          <w:b/>
          <w:lang w:val="en-US"/>
        </w:rPr>
        <w:instrText>particle</w:instrText>
      </w:r>
      <w:r w:rsidR="008E3584" w:rsidRPr="000322E4">
        <w:rPr>
          <w:b/>
        </w:rPr>
        <w:instrText>":"","</w:instrText>
      </w:r>
      <w:r w:rsidR="008E3584" w:rsidRPr="000322E4">
        <w:rPr>
          <w:b/>
          <w:lang w:val="en-US"/>
        </w:rPr>
        <w:instrText>parse</w:instrText>
      </w:r>
      <w:r w:rsidR="008E3584" w:rsidRPr="000322E4">
        <w:rPr>
          <w:b/>
        </w:rPr>
        <w:instrText>-</w:instrText>
      </w:r>
      <w:r w:rsidR="008E3584" w:rsidRPr="000322E4">
        <w:rPr>
          <w:b/>
          <w:lang w:val="en-US"/>
        </w:rPr>
        <w:instrText>names</w:instrText>
      </w:r>
      <w:r w:rsidR="008E3584" w:rsidRPr="000322E4">
        <w:rPr>
          <w:b/>
        </w:rPr>
        <w:instrText>":</w:instrText>
      </w:r>
      <w:r w:rsidR="008E3584" w:rsidRPr="000322E4">
        <w:rPr>
          <w:b/>
          <w:lang w:val="en-US"/>
        </w:rPr>
        <w:instrText>false</w:instrText>
      </w:r>
      <w:r w:rsidR="008E3584" w:rsidRPr="000322E4">
        <w:rPr>
          <w:b/>
        </w:rPr>
        <w:instrText>,"</w:instrText>
      </w:r>
      <w:r w:rsidR="008E3584" w:rsidRPr="000322E4">
        <w:rPr>
          <w:b/>
          <w:lang w:val="en-US"/>
        </w:rPr>
        <w:instrText>suffix</w:instrText>
      </w:r>
      <w:r w:rsidR="008E3584" w:rsidRPr="000322E4">
        <w:rPr>
          <w:b/>
        </w:rPr>
        <w:instrText>":""}],"</w:instrText>
      </w:r>
      <w:r w:rsidR="008E3584" w:rsidRPr="000322E4">
        <w:rPr>
          <w:b/>
          <w:lang w:val="en-US"/>
        </w:rPr>
        <w:instrText>container</w:instrText>
      </w:r>
      <w:r w:rsidR="008E3584" w:rsidRPr="000322E4">
        <w:rPr>
          <w:b/>
        </w:rPr>
        <w:instrText>-</w:instrText>
      </w:r>
      <w:r w:rsidR="008E3584" w:rsidRPr="000322E4">
        <w:rPr>
          <w:b/>
          <w:lang w:val="en-US"/>
        </w:rPr>
        <w:instrText>title</w:instrText>
      </w:r>
      <w:r w:rsidR="008E3584" w:rsidRPr="000322E4">
        <w:rPr>
          <w:b/>
        </w:rPr>
        <w:instrText>":"</w:instrText>
      </w:r>
      <w:r w:rsidR="008E3584" w:rsidRPr="000322E4">
        <w:rPr>
          <w:b/>
          <w:lang w:val="en-US"/>
        </w:rPr>
        <w:instrText>Blood</w:instrText>
      </w:r>
      <w:r w:rsidR="008E3584" w:rsidRPr="000322E4">
        <w:rPr>
          <w:b/>
        </w:rPr>
        <w:instrText>","</w:instrText>
      </w:r>
      <w:r w:rsidR="008E3584" w:rsidRPr="000322E4">
        <w:rPr>
          <w:b/>
          <w:lang w:val="en-US"/>
        </w:rPr>
        <w:instrText>id</w:instrText>
      </w:r>
      <w:r w:rsidR="008E3584" w:rsidRPr="000322E4">
        <w:rPr>
          <w:b/>
        </w:rPr>
        <w:instrText>":"</w:instrText>
      </w:r>
      <w:r w:rsidR="008E3584" w:rsidRPr="000322E4">
        <w:rPr>
          <w:b/>
          <w:lang w:val="en-US"/>
        </w:rPr>
        <w:instrText>ITEM</w:instrText>
      </w:r>
      <w:r w:rsidR="008E3584" w:rsidRPr="000322E4">
        <w:rPr>
          <w:b/>
        </w:rPr>
        <w:instrText>-1","</w:instrText>
      </w:r>
      <w:r w:rsidR="008E3584" w:rsidRPr="000322E4">
        <w:rPr>
          <w:b/>
          <w:lang w:val="en-US"/>
        </w:rPr>
        <w:instrText>issue</w:instrText>
      </w:r>
      <w:r w:rsidR="008E3584" w:rsidRPr="000322E4">
        <w:rPr>
          <w:b/>
        </w:rPr>
        <w:instrText>":"22","</w:instrText>
      </w:r>
      <w:r w:rsidR="008E3584" w:rsidRPr="000322E4">
        <w:rPr>
          <w:b/>
          <w:lang w:val="en-US"/>
        </w:rPr>
        <w:instrText>issued</w:instrText>
      </w:r>
      <w:r w:rsidR="008E3584" w:rsidRPr="000322E4">
        <w:rPr>
          <w:b/>
        </w:rPr>
        <w:instrText>":{"</w:instrText>
      </w:r>
      <w:r w:rsidR="008E3584" w:rsidRPr="000322E4">
        <w:rPr>
          <w:b/>
          <w:lang w:val="en-US"/>
        </w:rPr>
        <w:instrText>date</w:instrText>
      </w:r>
      <w:r w:rsidR="008E3584" w:rsidRPr="000322E4">
        <w:rPr>
          <w:b/>
        </w:rPr>
        <w:instrText>-</w:instrText>
      </w:r>
      <w:r w:rsidR="008E3584" w:rsidRPr="000322E4">
        <w:rPr>
          <w:b/>
          <w:lang w:val="en-US"/>
        </w:rPr>
        <w:instrText>parts</w:instrText>
      </w:r>
      <w:r w:rsidR="008E3584" w:rsidRPr="000322E4">
        <w:rPr>
          <w:b/>
        </w:rPr>
        <w:instrText>":[["2009","11","20"]]},"</w:instrText>
      </w:r>
      <w:r w:rsidR="008E3584" w:rsidRPr="000322E4">
        <w:rPr>
          <w:b/>
          <w:lang w:val="en-US"/>
        </w:rPr>
        <w:instrText>page</w:instrText>
      </w:r>
      <w:r w:rsidR="008E3584" w:rsidRPr="000322E4">
        <w:rPr>
          <w:b/>
        </w:rPr>
        <w:instrText>":"408-408","</w:instrText>
      </w:r>
      <w:r w:rsidR="008E3584" w:rsidRPr="000322E4">
        <w:rPr>
          <w:b/>
          <w:lang w:val="en-US"/>
        </w:rPr>
        <w:instrText>publisher</w:instrText>
      </w:r>
      <w:r w:rsidR="008E3584" w:rsidRPr="000322E4">
        <w:rPr>
          <w:b/>
        </w:rPr>
        <w:instrText>":"</w:instrText>
      </w:r>
      <w:r w:rsidR="008E3584" w:rsidRPr="000322E4">
        <w:rPr>
          <w:b/>
          <w:lang w:val="en-US"/>
        </w:rPr>
        <w:instrText>American</w:instrText>
      </w:r>
      <w:r w:rsidR="008E3584" w:rsidRPr="000322E4">
        <w:rPr>
          <w:b/>
        </w:rPr>
        <w:instrText xml:space="preserve"> </w:instrText>
      </w:r>
      <w:r w:rsidR="008E3584" w:rsidRPr="000322E4">
        <w:rPr>
          <w:b/>
          <w:lang w:val="en-US"/>
        </w:rPr>
        <w:instrText>Society</w:instrText>
      </w:r>
      <w:r w:rsidR="008E3584" w:rsidRPr="000322E4">
        <w:rPr>
          <w:b/>
        </w:rPr>
        <w:instrText xml:space="preserve"> </w:instrText>
      </w:r>
      <w:r w:rsidR="008E3584" w:rsidRPr="000322E4">
        <w:rPr>
          <w:b/>
          <w:lang w:val="en-US"/>
        </w:rPr>
        <w:instrText>of</w:instrText>
      </w:r>
      <w:r w:rsidR="008E3584" w:rsidRPr="000322E4">
        <w:rPr>
          <w:b/>
        </w:rPr>
        <w:instrText xml:space="preserve"> </w:instrText>
      </w:r>
      <w:r w:rsidR="008E3584" w:rsidRPr="000322E4">
        <w:rPr>
          <w:b/>
          <w:lang w:val="en-US"/>
        </w:rPr>
        <w:instrText>Hematology</w:instrText>
      </w:r>
      <w:r w:rsidR="008E3584" w:rsidRPr="000322E4">
        <w:rPr>
          <w:b/>
        </w:rPr>
        <w:instrText>","</w:instrText>
      </w:r>
      <w:r w:rsidR="008E3584" w:rsidRPr="000322E4">
        <w:rPr>
          <w:b/>
          <w:lang w:val="en-US"/>
        </w:rPr>
        <w:instrText>title</w:instrText>
      </w:r>
      <w:r w:rsidR="008E3584" w:rsidRPr="000322E4">
        <w:rPr>
          <w:b/>
        </w:rPr>
        <w:instrText>":"</w:instrText>
      </w:r>
      <w:r w:rsidR="008E3584" w:rsidRPr="000322E4">
        <w:rPr>
          <w:b/>
          <w:lang w:val="en-US"/>
        </w:rPr>
        <w:instrText>R</w:instrText>
      </w:r>
      <w:r w:rsidR="008E3584" w:rsidRPr="000322E4">
        <w:rPr>
          <w:b/>
        </w:rPr>
        <w:instrText>-</w:instrText>
      </w:r>
      <w:r w:rsidR="008E3584" w:rsidRPr="000322E4">
        <w:rPr>
          <w:b/>
          <w:lang w:val="en-US"/>
        </w:rPr>
        <w:instrText>CHOP</w:instrText>
      </w:r>
      <w:r w:rsidR="008E3584" w:rsidRPr="000322E4">
        <w:rPr>
          <w:b/>
        </w:rPr>
        <w:instrText xml:space="preserve"> </w:instrText>
      </w:r>
      <w:r w:rsidR="008E3584" w:rsidRPr="000322E4">
        <w:rPr>
          <w:b/>
          <w:lang w:val="en-US"/>
        </w:rPr>
        <w:instrText>with</w:instrText>
      </w:r>
      <w:r w:rsidR="008E3584" w:rsidRPr="000322E4">
        <w:rPr>
          <w:b/>
        </w:rPr>
        <w:instrText xml:space="preserve"> </w:instrText>
      </w:r>
      <w:r w:rsidR="008E3584" w:rsidRPr="000322E4">
        <w:rPr>
          <w:b/>
          <w:lang w:val="en-US"/>
        </w:rPr>
        <w:instrText>Etoposide</w:instrText>
      </w:r>
      <w:r w:rsidR="008E3584" w:rsidRPr="000322E4">
        <w:rPr>
          <w:b/>
        </w:rPr>
        <w:instrText xml:space="preserve"> </w:instrText>
      </w:r>
      <w:r w:rsidR="008E3584" w:rsidRPr="000322E4">
        <w:rPr>
          <w:b/>
          <w:lang w:val="en-US"/>
        </w:rPr>
        <w:instrText>Substituted</w:instrText>
      </w:r>
      <w:r w:rsidR="008E3584" w:rsidRPr="000322E4">
        <w:rPr>
          <w:b/>
        </w:rPr>
        <w:instrText xml:space="preserve"> </w:instrText>
      </w:r>
      <w:r w:rsidR="008E3584" w:rsidRPr="000322E4">
        <w:rPr>
          <w:b/>
          <w:lang w:val="en-US"/>
        </w:rPr>
        <w:instrText>for</w:instrText>
      </w:r>
      <w:r w:rsidR="008E3584" w:rsidRPr="000322E4">
        <w:rPr>
          <w:b/>
        </w:rPr>
        <w:instrText xml:space="preserve"> </w:instrText>
      </w:r>
      <w:r w:rsidR="008E3584" w:rsidRPr="000322E4">
        <w:rPr>
          <w:b/>
          <w:lang w:val="en-US"/>
        </w:rPr>
        <w:instrText>Doxorubicin</w:instrText>
      </w:r>
      <w:r w:rsidR="008E3584" w:rsidRPr="000322E4">
        <w:rPr>
          <w:b/>
        </w:rPr>
        <w:instrText xml:space="preserve"> (</w:instrText>
      </w:r>
      <w:r w:rsidR="008E3584" w:rsidRPr="000322E4">
        <w:rPr>
          <w:b/>
          <w:lang w:val="en-US"/>
        </w:rPr>
        <w:instrText>R</w:instrText>
      </w:r>
      <w:r w:rsidR="008E3584" w:rsidRPr="000322E4">
        <w:rPr>
          <w:b/>
        </w:rPr>
        <w:instrText>-</w:instrText>
      </w:r>
      <w:r w:rsidR="008E3584" w:rsidRPr="000322E4">
        <w:rPr>
          <w:b/>
          <w:lang w:val="en-US"/>
        </w:rPr>
        <w:instrText>CEOP</w:instrText>
      </w:r>
      <w:r w:rsidR="008E3584" w:rsidRPr="000322E4">
        <w:rPr>
          <w:b/>
        </w:rPr>
        <w:instrText xml:space="preserve">): </w:instrText>
      </w:r>
      <w:r w:rsidR="008E3584" w:rsidRPr="000322E4">
        <w:rPr>
          <w:b/>
          <w:lang w:val="en-US"/>
        </w:rPr>
        <w:instrText>Excellent</w:instrText>
      </w:r>
      <w:r w:rsidR="008E3584" w:rsidRPr="000322E4">
        <w:rPr>
          <w:b/>
        </w:rPr>
        <w:instrText xml:space="preserve"> </w:instrText>
      </w:r>
      <w:r w:rsidR="008E3584" w:rsidRPr="000322E4">
        <w:rPr>
          <w:b/>
          <w:lang w:val="en-US"/>
        </w:rPr>
        <w:instrText>Outcome</w:instrText>
      </w:r>
      <w:r w:rsidR="008E3584" w:rsidRPr="000322E4">
        <w:rPr>
          <w:b/>
        </w:rPr>
        <w:instrText xml:space="preserve"> </w:instrText>
      </w:r>
      <w:r w:rsidR="008E3584" w:rsidRPr="000322E4">
        <w:rPr>
          <w:b/>
          <w:lang w:val="en-US"/>
        </w:rPr>
        <w:instrText>in</w:instrText>
      </w:r>
      <w:r w:rsidR="008E3584" w:rsidRPr="000322E4">
        <w:rPr>
          <w:b/>
        </w:rPr>
        <w:instrText xml:space="preserve"> </w:instrText>
      </w:r>
      <w:r w:rsidR="008E3584" w:rsidRPr="000322E4">
        <w:rPr>
          <w:b/>
          <w:lang w:val="en-US"/>
        </w:rPr>
        <w:instrText>Diffuse</w:instrText>
      </w:r>
      <w:r w:rsidR="008E3584" w:rsidRPr="000322E4">
        <w:rPr>
          <w:b/>
        </w:rPr>
        <w:instrText xml:space="preserve"> </w:instrText>
      </w:r>
      <w:r w:rsidR="008E3584" w:rsidRPr="000322E4">
        <w:rPr>
          <w:b/>
          <w:lang w:val="en-US"/>
        </w:rPr>
        <w:instrText>Large</w:instrText>
      </w:r>
      <w:r w:rsidR="008E3584" w:rsidRPr="000322E4">
        <w:rPr>
          <w:b/>
        </w:rPr>
        <w:instrText xml:space="preserve"> </w:instrText>
      </w:r>
      <w:r w:rsidR="008E3584" w:rsidRPr="000322E4">
        <w:rPr>
          <w:b/>
          <w:lang w:val="en-US"/>
        </w:rPr>
        <w:instrText>B</w:instrText>
      </w:r>
      <w:r w:rsidR="008E3584" w:rsidRPr="000322E4">
        <w:rPr>
          <w:b/>
        </w:rPr>
        <w:instrText xml:space="preserve"> </w:instrText>
      </w:r>
      <w:r w:rsidR="008E3584" w:rsidRPr="000322E4">
        <w:rPr>
          <w:b/>
          <w:lang w:val="en-US"/>
        </w:rPr>
        <w:instrText>Cell</w:instrText>
      </w:r>
      <w:r w:rsidR="008E3584" w:rsidRPr="000322E4">
        <w:rPr>
          <w:b/>
        </w:rPr>
        <w:instrText xml:space="preserve"> </w:instrText>
      </w:r>
      <w:r w:rsidR="008E3584" w:rsidRPr="000322E4">
        <w:rPr>
          <w:b/>
          <w:lang w:val="en-US"/>
        </w:rPr>
        <w:instrText>Lymphoma</w:instrText>
      </w:r>
      <w:r w:rsidR="008E3584" w:rsidRPr="000322E4">
        <w:rPr>
          <w:b/>
        </w:rPr>
        <w:instrText xml:space="preserve"> </w:instrText>
      </w:r>
      <w:r w:rsidR="008E3584" w:rsidRPr="000322E4">
        <w:rPr>
          <w:b/>
          <w:lang w:val="en-US"/>
        </w:rPr>
        <w:instrText>for</w:instrText>
      </w:r>
      <w:r w:rsidR="008E3584" w:rsidRPr="000322E4">
        <w:rPr>
          <w:b/>
        </w:rPr>
        <w:instrText xml:space="preserve"> </w:instrText>
      </w:r>
      <w:r w:rsidR="008E3584" w:rsidRPr="000322E4">
        <w:rPr>
          <w:b/>
          <w:lang w:val="en-US"/>
        </w:rPr>
        <w:instrText>Patients</w:instrText>
      </w:r>
      <w:r w:rsidR="008E3584" w:rsidRPr="000322E4">
        <w:rPr>
          <w:b/>
        </w:rPr>
        <w:instrText xml:space="preserve"> </w:instrText>
      </w:r>
      <w:r w:rsidR="008E3584" w:rsidRPr="000322E4">
        <w:rPr>
          <w:b/>
          <w:lang w:val="en-US"/>
        </w:rPr>
        <w:instrText>with</w:instrText>
      </w:r>
      <w:r w:rsidR="008E3584" w:rsidRPr="000322E4">
        <w:rPr>
          <w:b/>
        </w:rPr>
        <w:instrText xml:space="preserve"> </w:instrText>
      </w:r>
      <w:r w:rsidR="008E3584" w:rsidRPr="000322E4">
        <w:rPr>
          <w:b/>
          <w:lang w:val="en-US"/>
        </w:rPr>
        <w:instrText>a</w:instrText>
      </w:r>
      <w:r w:rsidR="008E3584" w:rsidRPr="000322E4">
        <w:rPr>
          <w:b/>
        </w:rPr>
        <w:instrText xml:space="preserve"> </w:instrText>
      </w:r>
      <w:r w:rsidR="008E3584" w:rsidRPr="000322E4">
        <w:rPr>
          <w:b/>
          <w:lang w:val="en-US"/>
        </w:rPr>
        <w:instrText>Contraindication</w:instrText>
      </w:r>
      <w:r w:rsidR="008E3584" w:rsidRPr="000322E4">
        <w:rPr>
          <w:b/>
        </w:rPr>
        <w:instrText xml:space="preserve"> </w:instrText>
      </w:r>
      <w:r w:rsidR="008E3584" w:rsidRPr="000322E4">
        <w:rPr>
          <w:b/>
          <w:lang w:val="en-US"/>
        </w:rPr>
        <w:instrText>to</w:instrText>
      </w:r>
      <w:r w:rsidR="008E3584" w:rsidRPr="000322E4">
        <w:rPr>
          <w:b/>
        </w:rPr>
        <w:instrText xml:space="preserve"> </w:instrText>
      </w:r>
      <w:r w:rsidR="008E3584" w:rsidRPr="000322E4">
        <w:rPr>
          <w:b/>
          <w:lang w:val="en-US"/>
        </w:rPr>
        <w:instrText>Anthracyclines</w:instrText>
      </w:r>
      <w:r w:rsidR="008E3584" w:rsidRPr="000322E4">
        <w:rPr>
          <w:b/>
        </w:rPr>
        <w:instrText>.","</w:instrText>
      </w:r>
      <w:r w:rsidR="008E3584" w:rsidRPr="000322E4">
        <w:rPr>
          <w:b/>
          <w:lang w:val="en-US"/>
        </w:rPr>
        <w:instrText>type</w:instrText>
      </w:r>
      <w:r w:rsidR="008E3584" w:rsidRPr="000322E4">
        <w:rPr>
          <w:b/>
        </w:rPr>
        <w:instrText>":"</w:instrText>
      </w:r>
      <w:r w:rsidR="008E3584" w:rsidRPr="000322E4">
        <w:rPr>
          <w:b/>
          <w:lang w:val="en-US"/>
        </w:rPr>
        <w:instrText>article</w:instrText>
      </w:r>
      <w:r w:rsidR="008E3584" w:rsidRPr="000322E4">
        <w:rPr>
          <w:b/>
        </w:rPr>
        <w:instrText>-</w:instrText>
      </w:r>
      <w:r w:rsidR="008E3584" w:rsidRPr="000322E4">
        <w:rPr>
          <w:b/>
          <w:lang w:val="en-US"/>
        </w:rPr>
        <w:instrText>journal</w:instrText>
      </w:r>
      <w:r w:rsidR="008E3584" w:rsidRPr="000322E4">
        <w:rPr>
          <w:b/>
        </w:rPr>
        <w:instrText>","</w:instrText>
      </w:r>
      <w:r w:rsidR="008E3584" w:rsidRPr="000322E4">
        <w:rPr>
          <w:b/>
          <w:lang w:val="en-US"/>
        </w:rPr>
        <w:instrText>volume</w:instrText>
      </w:r>
      <w:r w:rsidR="008E3584" w:rsidRPr="000322E4">
        <w:rPr>
          <w:b/>
        </w:rPr>
        <w:instrText>":"114"},"</w:instrText>
      </w:r>
      <w:r w:rsidR="008E3584" w:rsidRPr="000322E4">
        <w:rPr>
          <w:b/>
          <w:lang w:val="en-US"/>
        </w:rPr>
        <w:instrText>uris</w:instrText>
      </w:r>
      <w:r w:rsidR="008E3584" w:rsidRPr="000322E4">
        <w:rPr>
          <w:b/>
        </w:rPr>
        <w:instrText>":["</w:instrText>
      </w:r>
      <w:r w:rsidR="008E3584" w:rsidRPr="000322E4">
        <w:rPr>
          <w:b/>
          <w:lang w:val="en-US"/>
        </w:rPr>
        <w:instrText>http</w:instrText>
      </w:r>
      <w:r w:rsidR="008E3584" w:rsidRPr="000322E4">
        <w:rPr>
          <w:b/>
        </w:rPr>
        <w:instrText>://</w:instrText>
      </w:r>
      <w:r w:rsidR="008E3584" w:rsidRPr="000322E4">
        <w:rPr>
          <w:b/>
          <w:lang w:val="en-US"/>
        </w:rPr>
        <w:instrText>www</w:instrText>
      </w:r>
      <w:r w:rsidR="008E3584" w:rsidRPr="000322E4">
        <w:rPr>
          <w:b/>
        </w:rPr>
        <w:instrText>.</w:instrText>
      </w:r>
      <w:r w:rsidR="008E3584" w:rsidRPr="000322E4">
        <w:rPr>
          <w:b/>
          <w:lang w:val="en-US"/>
        </w:rPr>
        <w:instrText>mendeley</w:instrText>
      </w:r>
      <w:r w:rsidR="008E3584" w:rsidRPr="000322E4">
        <w:rPr>
          <w:b/>
        </w:rPr>
        <w:instrText>.</w:instrText>
      </w:r>
      <w:r w:rsidR="008E3584" w:rsidRPr="000322E4">
        <w:rPr>
          <w:b/>
          <w:lang w:val="en-US"/>
        </w:rPr>
        <w:instrText>com</w:instrText>
      </w:r>
      <w:r w:rsidR="008E3584" w:rsidRPr="000322E4">
        <w:rPr>
          <w:b/>
        </w:rPr>
        <w:instrText>/</w:instrText>
      </w:r>
      <w:r w:rsidR="008E3584" w:rsidRPr="000322E4">
        <w:rPr>
          <w:b/>
          <w:lang w:val="en-US"/>
        </w:rPr>
        <w:instrText>documents</w:instrText>
      </w:r>
      <w:r w:rsidR="008E3584" w:rsidRPr="000322E4">
        <w:rPr>
          <w:b/>
        </w:rPr>
        <w:instrText>/?</w:instrText>
      </w:r>
      <w:r w:rsidR="008E3584" w:rsidRPr="000322E4">
        <w:rPr>
          <w:b/>
          <w:lang w:val="en-US"/>
        </w:rPr>
        <w:instrText>uuid</w:instrText>
      </w:r>
      <w:r w:rsidR="008E3584" w:rsidRPr="000322E4">
        <w:rPr>
          <w:b/>
        </w:rPr>
        <w:instrText>=077</w:instrText>
      </w:r>
      <w:r w:rsidR="008E3584" w:rsidRPr="000322E4">
        <w:rPr>
          <w:b/>
          <w:lang w:val="en-US"/>
        </w:rPr>
        <w:instrText>fb</w:instrText>
      </w:r>
      <w:r w:rsidR="008E3584" w:rsidRPr="000322E4">
        <w:rPr>
          <w:b/>
        </w:rPr>
        <w:instrText>5</w:instrText>
      </w:r>
      <w:r w:rsidR="008E3584" w:rsidRPr="000322E4">
        <w:rPr>
          <w:b/>
          <w:lang w:val="en-US"/>
        </w:rPr>
        <w:instrText>fc</w:instrText>
      </w:r>
      <w:r w:rsidR="008E3584" w:rsidRPr="000322E4">
        <w:rPr>
          <w:b/>
        </w:rPr>
        <w:instrText>-03</w:instrText>
      </w:r>
      <w:r w:rsidR="008E3584" w:rsidRPr="000322E4">
        <w:rPr>
          <w:b/>
          <w:lang w:val="en-US"/>
        </w:rPr>
        <w:instrText>d</w:instrText>
      </w:r>
      <w:r w:rsidR="008E3584" w:rsidRPr="000322E4">
        <w:rPr>
          <w:b/>
        </w:rPr>
        <w:instrText>3-38</w:instrText>
      </w:r>
      <w:r w:rsidR="008E3584" w:rsidRPr="000322E4">
        <w:rPr>
          <w:b/>
          <w:lang w:val="en-US"/>
        </w:rPr>
        <w:instrText>fb</w:instrText>
      </w:r>
      <w:r w:rsidR="008E3584" w:rsidRPr="000322E4">
        <w:rPr>
          <w:b/>
        </w:rPr>
        <w:instrText>-</w:instrText>
      </w:r>
      <w:r w:rsidR="008E3584" w:rsidRPr="000322E4">
        <w:rPr>
          <w:b/>
          <w:lang w:val="en-US"/>
        </w:rPr>
        <w:instrText>a</w:instrText>
      </w:r>
      <w:r w:rsidR="008E3584" w:rsidRPr="000322E4">
        <w:rPr>
          <w:b/>
        </w:rPr>
        <w:instrText>737-1</w:instrText>
      </w:r>
      <w:r w:rsidR="008E3584" w:rsidRPr="000322E4">
        <w:rPr>
          <w:b/>
          <w:lang w:val="en-US"/>
        </w:rPr>
        <w:instrText>e</w:instrText>
      </w:r>
      <w:r w:rsidR="008E3584" w:rsidRPr="000322E4">
        <w:rPr>
          <w:b/>
        </w:rPr>
        <w:instrText>2</w:instrText>
      </w:r>
      <w:r w:rsidR="008E3584" w:rsidRPr="000322E4">
        <w:rPr>
          <w:b/>
          <w:lang w:val="en-US"/>
        </w:rPr>
        <w:instrText>c</w:instrText>
      </w:r>
      <w:r w:rsidR="008E3584" w:rsidRPr="000322E4">
        <w:rPr>
          <w:b/>
        </w:rPr>
        <w:instrText>0637</w:instrText>
      </w:r>
      <w:r w:rsidR="008E3584" w:rsidRPr="000322E4">
        <w:rPr>
          <w:b/>
          <w:lang w:val="en-US"/>
        </w:rPr>
        <w:instrText>b</w:instrText>
      </w:r>
      <w:r w:rsidR="008E3584" w:rsidRPr="000322E4">
        <w:rPr>
          <w:b/>
        </w:rPr>
        <w:instrText>312"]},{"</w:instrText>
      </w:r>
      <w:r w:rsidR="008E3584" w:rsidRPr="000322E4">
        <w:rPr>
          <w:b/>
          <w:lang w:val="en-US"/>
        </w:rPr>
        <w:instrText>id</w:instrText>
      </w:r>
      <w:r w:rsidR="008E3584" w:rsidRPr="000322E4">
        <w:rPr>
          <w:b/>
        </w:rPr>
        <w:instrText>":"</w:instrText>
      </w:r>
      <w:r w:rsidR="008E3584" w:rsidRPr="000322E4">
        <w:rPr>
          <w:b/>
          <w:lang w:val="en-US"/>
        </w:rPr>
        <w:instrText>ITEM</w:instrText>
      </w:r>
      <w:r w:rsidR="008E3584" w:rsidRPr="000322E4">
        <w:rPr>
          <w:b/>
        </w:rPr>
        <w:instrText>-2","</w:instrText>
      </w:r>
      <w:r w:rsidR="008E3584" w:rsidRPr="000322E4">
        <w:rPr>
          <w:b/>
          <w:lang w:val="en-US"/>
        </w:rPr>
        <w:instrText>itemData</w:instrText>
      </w:r>
      <w:r w:rsidR="008E3584" w:rsidRPr="000322E4">
        <w:rPr>
          <w:b/>
        </w:rPr>
        <w:instrText>":{"</w:instrText>
      </w:r>
      <w:r w:rsidR="008E3584" w:rsidRPr="000322E4">
        <w:rPr>
          <w:b/>
          <w:lang w:val="en-US"/>
        </w:rPr>
        <w:instrText>author</w:instrText>
      </w:r>
      <w:r w:rsidR="008E3584" w:rsidRPr="000322E4">
        <w:rPr>
          <w:b/>
        </w:rPr>
        <w:instrText>":[{"</w:instrText>
      </w:r>
      <w:r w:rsidR="008E3584" w:rsidRPr="000322E4">
        <w:rPr>
          <w:b/>
          <w:lang w:val="en-US"/>
        </w:rPr>
        <w:instrText>dropping</w:instrText>
      </w:r>
      <w:r w:rsidR="008E3584" w:rsidRPr="000322E4">
        <w:rPr>
          <w:b/>
        </w:rPr>
        <w:instrText>-</w:instrText>
      </w:r>
      <w:r w:rsidR="008E3584" w:rsidRPr="000322E4">
        <w:rPr>
          <w:b/>
          <w:lang w:val="en-US"/>
        </w:rPr>
        <w:instrText>particle</w:instrText>
      </w:r>
      <w:r w:rsidR="008E3584" w:rsidRPr="000322E4">
        <w:rPr>
          <w:b/>
        </w:rPr>
        <w:instrText>":"","</w:instrText>
      </w:r>
      <w:r w:rsidR="008E3584" w:rsidRPr="000322E4">
        <w:rPr>
          <w:b/>
          <w:lang w:val="en-US"/>
        </w:rPr>
        <w:instrText>family</w:instrText>
      </w:r>
      <w:r w:rsidR="008E3584" w:rsidRPr="000322E4">
        <w:rPr>
          <w:b/>
        </w:rPr>
        <w:instrText>":"Тумян","</w:instrText>
      </w:r>
      <w:r w:rsidR="008E3584" w:rsidRPr="000322E4">
        <w:rPr>
          <w:b/>
          <w:lang w:val="en-US"/>
        </w:rPr>
        <w:instrText>given</w:instrText>
      </w:r>
      <w:r w:rsidR="008E3584" w:rsidRPr="000322E4">
        <w:rPr>
          <w:b/>
        </w:rPr>
        <w:instrText>":"Г.С.","</w:instrText>
      </w:r>
      <w:r w:rsidR="008E3584" w:rsidRPr="000322E4">
        <w:rPr>
          <w:b/>
          <w:lang w:val="en-US"/>
        </w:rPr>
        <w:instrText>non</w:instrText>
      </w:r>
      <w:r w:rsidR="008E3584" w:rsidRPr="000322E4">
        <w:rPr>
          <w:b/>
        </w:rPr>
        <w:instrText>-</w:instrText>
      </w:r>
      <w:r w:rsidR="008E3584" w:rsidRPr="000322E4">
        <w:rPr>
          <w:b/>
          <w:lang w:val="en-US"/>
        </w:rPr>
        <w:instrText>dropping</w:instrText>
      </w:r>
      <w:r w:rsidR="008E3584" w:rsidRPr="000322E4">
        <w:rPr>
          <w:b/>
        </w:rPr>
        <w:instrText>-</w:instrText>
      </w:r>
      <w:r w:rsidR="008E3584" w:rsidRPr="000322E4">
        <w:rPr>
          <w:b/>
          <w:lang w:val="en-US"/>
        </w:rPr>
        <w:instrText>particle</w:instrText>
      </w:r>
      <w:r w:rsidR="008E3584" w:rsidRPr="000322E4">
        <w:rPr>
          <w:b/>
        </w:rPr>
        <w:instrText>":"","</w:instrText>
      </w:r>
      <w:r w:rsidR="008E3584" w:rsidRPr="000322E4">
        <w:rPr>
          <w:b/>
          <w:lang w:val="en-US"/>
        </w:rPr>
        <w:instrText>parse</w:instrText>
      </w:r>
      <w:r w:rsidR="008E3584" w:rsidRPr="000322E4">
        <w:rPr>
          <w:b/>
        </w:rPr>
        <w:instrText>-</w:instrText>
      </w:r>
      <w:r w:rsidR="008E3584" w:rsidRPr="000322E4">
        <w:rPr>
          <w:b/>
          <w:lang w:val="en-US"/>
        </w:rPr>
        <w:instrText>names</w:instrText>
      </w:r>
      <w:r w:rsidR="008E3584" w:rsidRPr="000322E4">
        <w:rPr>
          <w:b/>
        </w:rPr>
        <w:instrText>":</w:instrText>
      </w:r>
      <w:r w:rsidR="008E3584" w:rsidRPr="000322E4">
        <w:rPr>
          <w:b/>
          <w:lang w:val="en-US"/>
        </w:rPr>
        <w:instrText>false</w:instrText>
      </w:r>
      <w:r w:rsidR="008E3584" w:rsidRPr="000322E4">
        <w:rPr>
          <w:b/>
        </w:rPr>
        <w:instrText>,"</w:instrText>
      </w:r>
      <w:r w:rsidR="008E3584" w:rsidRPr="000322E4">
        <w:rPr>
          <w:b/>
          <w:lang w:val="en-US"/>
        </w:rPr>
        <w:instrText>suffix</w:instrText>
      </w:r>
      <w:r w:rsidR="008E3584" w:rsidRPr="000322E4">
        <w:rPr>
          <w:b/>
        </w:rPr>
        <w:instrText>":""},{"</w:instrText>
      </w:r>
      <w:r w:rsidR="008E3584" w:rsidRPr="000322E4">
        <w:rPr>
          <w:b/>
          <w:lang w:val="en-US"/>
        </w:rPr>
        <w:instrText>dropping</w:instrText>
      </w:r>
      <w:r w:rsidR="008E3584" w:rsidRPr="000322E4">
        <w:rPr>
          <w:b/>
        </w:rPr>
        <w:instrText>-</w:instrText>
      </w:r>
      <w:r w:rsidR="008E3584" w:rsidRPr="000322E4">
        <w:rPr>
          <w:b/>
          <w:lang w:val="en-US"/>
        </w:rPr>
        <w:instrText>particle</w:instrText>
      </w:r>
      <w:r w:rsidR="008E3584" w:rsidRPr="000322E4">
        <w:rPr>
          <w:b/>
        </w:rPr>
        <w:instrText>":"","</w:instrText>
      </w:r>
      <w:r w:rsidR="008E3584" w:rsidRPr="000322E4">
        <w:rPr>
          <w:b/>
          <w:lang w:val="en-US"/>
        </w:rPr>
        <w:instrText>family</w:instrText>
      </w:r>
      <w:r w:rsidR="008E3584" w:rsidRPr="000322E4">
        <w:rPr>
          <w:b/>
        </w:rPr>
        <w:instrText>":"Кравченко","</w:instrText>
      </w:r>
      <w:r w:rsidR="008E3584" w:rsidRPr="000322E4">
        <w:rPr>
          <w:b/>
          <w:lang w:val="en-US"/>
        </w:rPr>
        <w:instrText>given</w:instrText>
      </w:r>
      <w:r w:rsidR="008E3584" w:rsidRPr="000322E4">
        <w:rPr>
          <w:b/>
        </w:rPr>
        <w:instrText>":"С.К.","</w:instrText>
      </w:r>
      <w:r w:rsidR="008E3584" w:rsidRPr="000322E4">
        <w:rPr>
          <w:b/>
          <w:lang w:val="en-US"/>
        </w:rPr>
        <w:instrText>non</w:instrText>
      </w:r>
      <w:r w:rsidR="008E3584" w:rsidRPr="000322E4">
        <w:rPr>
          <w:b/>
        </w:rPr>
        <w:instrText>-</w:instrText>
      </w:r>
      <w:r w:rsidR="008E3584" w:rsidRPr="000322E4">
        <w:rPr>
          <w:b/>
          <w:lang w:val="en-US"/>
        </w:rPr>
        <w:instrText>dropping</w:instrText>
      </w:r>
      <w:r w:rsidR="008E3584" w:rsidRPr="000322E4">
        <w:rPr>
          <w:b/>
        </w:rPr>
        <w:instrText>-</w:instrText>
      </w:r>
      <w:r w:rsidR="008E3584" w:rsidRPr="000322E4">
        <w:rPr>
          <w:b/>
          <w:lang w:val="en-US"/>
        </w:rPr>
        <w:instrText>particle</w:instrText>
      </w:r>
      <w:r w:rsidR="008E3584" w:rsidRPr="000322E4">
        <w:rPr>
          <w:b/>
        </w:rPr>
        <w:instrText>":"","</w:instrText>
      </w:r>
      <w:r w:rsidR="008E3584" w:rsidRPr="000322E4">
        <w:rPr>
          <w:b/>
          <w:lang w:val="en-US"/>
        </w:rPr>
        <w:instrText>parse</w:instrText>
      </w:r>
      <w:r w:rsidR="008E3584" w:rsidRPr="000322E4">
        <w:rPr>
          <w:b/>
        </w:rPr>
        <w:instrText>-</w:instrText>
      </w:r>
      <w:r w:rsidR="008E3584" w:rsidRPr="000322E4">
        <w:rPr>
          <w:b/>
          <w:lang w:val="en-US"/>
        </w:rPr>
        <w:instrText>names</w:instrText>
      </w:r>
      <w:r w:rsidR="008E3584" w:rsidRPr="000322E4">
        <w:rPr>
          <w:b/>
        </w:rPr>
        <w:instrText>":</w:instrText>
      </w:r>
      <w:r w:rsidR="008E3584" w:rsidRPr="000322E4">
        <w:rPr>
          <w:b/>
          <w:lang w:val="en-US"/>
        </w:rPr>
        <w:instrText>false</w:instrText>
      </w:r>
      <w:r w:rsidR="008E3584" w:rsidRPr="000322E4">
        <w:rPr>
          <w:b/>
        </w:rPr>
        <w:instrText>,"</w:instrText>
      </w:r>
      <w:r w:rsidR="008E3584" w:rsidRPr="000322E4">
        <w:rPr>
          <w:b/>
          <w:lang w:val="en-US"/>
        </w:rPr>
        <w:instrText>suffix</w:instrText>
      </w:r>
      <w:r w:rsidR="008E3584" w:rsidRPr="000322E4">
        <w:rPr>
          <w:b/>
        </w:rPr>
        <w:instrText>":""},{"</w:instrText>
      </w:r>
      <w:r w:rsidR="008E3584" w:rsidRPr="000322E4">
        <w:rPr>
          <w:b/>
          <w:lang w:val="en-US"/>
        </w:rPr>
        <w:instrText>dropping</w:instrText>
      </w:r>
      <w:r w:rsidR="008E3584" w:rsidRPr="000322E4">
        <w:rPr>
          <w:b/>
        </w:rPr>
        <w:instrText>-</w:instrText>
      </w:r>
      <w:r w:rsidR="008E3584" w:rsidRPr="000322E4">
        <w:rPr>
          <w:b/>
          <w:lang w:val="en-US"/>
        </w:rPr>
        <w:instrText>particle</w:instrText>
      </w:r>
      <w:r w:rsidR="008E3584" w:rsidRPr="000322E4">
        <w:rPr>
          <w:b/>
        </w:rPr>
        <w:instrText>":"","</w:instrText>
      </w:r>
      <w:r w:rsidR="008E3584" w:rsidRPr="000322E4">
        <w:rPr>
          <w:b/>
          <w:lang w:val="en-US"/>
        </w:rPr>
        <w:instrText>family</w:instrText>
      </w:r>
      <w:r w:rsidR="008E3584" w:rsidRPr="000322E4">
        <w:rPr>
          <w:b/>
        </w:rPr>
        <w:instrText>":"Михайлова","</w:instrText>
      </w:r>
      <w:r w:rsidR="008E3584" w:rsidRPr="000322E4">
        <w:rPr>
          <w:b/>
          <w:lang w:val="en-US"/>
        </w:rPr>
        <w:instrText>given</w:instrText>
      </w:r>
      <w:r w:rsidR="008E3584" w:rsidRPr="000322E4">
        <w:rPr>
          <w:b/>
        </w:rPr>
        <w:instrText>":"Н.Б.","</w:instrText>
      </w:r>
      <w:r w:rsidR="008E3584" w:rsidRPr="000322E4">
        <w:rPr>
          <w:b/>
          <w:lang w:val="en-US"/>
        </w:rPr>
        <w:instrText>non</w:instrText>
      </w:r>
      <w:r w:rsidR="008E3584" w:rsidRPr="000322E4">
        <w:rPr>
          <w:b/>
        </w:rPr>
        <w:instrText>-</w:instrText>
      </w:r>
      <w:r w:rsidR="008E3584" w:rsidRPr="000322E4">
        <w:rPr>
          <w:b/>
          <w:lang w:val="en-US"/>
        </w:rPr>
        <w:instrText>dropping</w:instrText>
      </w:r>
      <w:r w:rsidR="008E3584" w:rsidRPr="000322E4">
        <w:rPr>
          <w:b/>
        </w:rPr>
        <w:instrText>-</w:instrText>
      </w:r>
      <w:r w:rsidR="008E3584" w:rsidRPr="000322E4">
        <w:rPr>
          <w:b/>
          <w:lang w:val="en-US"/>
        </w:rPr>
        <w:instrText>particle</w:instrText>
      </w:r>
      <w:r w:rsidR="008E3584" w:rsidRPr="000322E4">
        <w:rPr>
          <w:b/>
        </w:rPr>
        <w:instrText>":"","</w:instrText>
      </w:r>
      <w:r w:rsidR="008E3584" w:rsidRPr="000322E4">
        <w:rPr>
          <w:b/>
          <w:lang w:val="en-US"/>
        </w:rPr>
        <w:instrText>parse</w:instrText>
      </w:r>
      <w:r w:rsidR="008E3584" w:rsidRPr="000322E4">
        <w:rPr>
          <w:b/>
        </w:rPr>
        <w:instrText>-</w:instrText>
      </w:r>
      <w:r w:rsidR="008E3584" w:rsidRPr="000322E4">
        <w:rPr>
          <w:b/>
          <w:lang w:val="en-US"/>
        </w:rPr>
        <w:instrText>names</w:instrText>
      </w:r>
      <w:r w:rsidR="008E3584" w:rsidRPr="000322E4">
        <w:rPr>
          <w:b/>
        </w:rPr>
        <w:instrText>":</w:instrText>
      </w:r>
      <w:r w:rsidR="008E3584" w:rsidRPr="000322E4">
        <w:rPr>
          <w:b/>
          <w:lang w:val="en-US"/>
        </w:rPr>
        <w:instrText>false</w:instrText>
      </w:r>
      <w:r w:rsidR="008E3584" w:rsidRPr="000322E4">
        <w:rPr>
          <w:b/>
        </w:rPr>
        <w:instrText>,"</w:instrText>
      </w:r>
      <w:r w:rsidR="008E3584" w:rsidRPr="000322E4">
        <w:rPr>
          <w:b/>
          <w:lang w:val="en-US"/>
        </w:rPr>
        <w:instrText>suffix</w:instrText>
      </w:r>
      <w:r w:rsidR="008E3584" w:rsidRPr="000322E4">
        <w:rPr>
          <w:b/>
        </w:rPr>
        <w:instrText>":""},{"</w:instrText>
      </w:r>
      <w:r w:rsidR="008E3584" w:rsidRPr="000322E4">
        <w:rPr>
          <w:b/>
          <w:lang w:val="en-US"/>
        </w:rPr>
        <w:instrText>dropping</w:instrText>
      </w:r>
      <w:r w:rsidR="008E3584" w:rsidRPr="000322E4">
        <w:rPr>
          <w:b/>
        </w:rPr>
        <w:instrText>-</w:instrText>
      </w:r>
      <w:r w:rsidR="008E3584" w:rsidRPr="000322E4">
        <w:rPr>
          <w:b/>
          <w:lang w:val="en-US"/>
        </w:rPr>
        <w:instrText>particle</w:instrText>
      </w:r>
      <w:r w:rsidR="008E3584" w:rsidRPr="000322E4">
        <w:rPr>
          <w:b/>
        </w:rPr>
        <w:instrText>":"","</w:instrText>
      </w:r>
      <w:r w:rsidR="008E3584" w:rsidRPr="000322E4">
        <w:rPr>
          <w:b/>
          <w:lang w:val="en-US"/>
        </w:rPr>
        <w:instrText>family</w:instrText>
      </w:r>
      <w:r w:rsidR="008E3584" w:rsidRPr="000322E4">
        <w:rPr>
          <w:b/>
        </w:rPr>
        <w:instrText>":"Барях","</w:instrText>
      </w:r>
      <w:r w:rsidR="008E3584" w:rsidRPr="000322E4">
        <w:rPr>
          <w:b/>
          <w:lang w:val="en-US"/>
        </w:rPr>
        <w:instrText>given</w:instrText>
      </w:r>
      <w:r w:rsidR="008E3584" w:rsidRPr="000322E4">
        <w:rPr>
          <w:b/>
        </w:rPr>
        <w:instrText>":"Е.А.","</w:instrText>
      </w:r>
      <w:r w:rsidR="008E3584" w:rsidRPr="000322E4">
        <w:rPr>
          <w:b/>
          <w:lang w:val="en-US"/>
        </w:rPr>
        <w:instrText>non</w:instrText>
      </w:r>
      <w:r w:rsidR="008E3584" w:rsidRPr="000322E4">
        <w:rPr>
          <w:b/>
        </w:rPr>
        <w:instrText>-</w:instrText>
      </w:r>
      <w:r w:rsidR="008E3584" w:rsidRPr="000322E4">
        <w:rPr>
          <w:b/>
          <w:lang w:val="en-US"/>
        </w:rPr>
        <w:instrText>dropping</w:instrText>
      </w:r>
      <w:r w:rsidR="008E3584" w:rsidRPr="000322E4">
        <w:rPr>
          <w:b/>
        </w:rPr>
        <w:instrText>-</w:instrText>
      </w:r>
      <w:r w:rsidR="008E3584" w:rsidRPr="000322E4">
        <w:rPr>
          <w:b/>
          <w:lang w:val="en-US"/>
        </w:rPr>
        <w:instrText>particle</w:instrText>
      </w:r>
      <w:r w:rsidR="008E3584" w:rsidRPr="000322E4">
        <w:rPr>
          <w:b/>
        </w:rPr>
        <w:instrText>":"","</w:instrText>
      </w:r>
      <w:r w:rsidR="008E3584" w:rsidRPr="000322E4">
        <w:rPr>
          <w:b/>
          <w:lang w:val="en-US"/>
        </w:rPr>
        <w:instrText>parse</w:instrText>
      </w:r>
      <w:r w:rsidR="008E3584" w:rsidRPr="000322E4">
        <w:rPr>
          <w:b/>
        </w:rPr>
        <w:instrText>-</w:instrText>
      </w:r>
      <w:r w:rsidR="008E3584" w:rsidRPr="000322E4">
        <w:rPr>
          <w:b/>
          <w:lang w:val="en-US"/>
        </w:rPr>
        <w:instrText>names</w:instrText>
      </w:r>
      <w:r w:rsidR="008E3584" w:rsidRPr="000322E4">
        <w:rPr>
          <w:b/>
        </w:rPr>
        <w:instrText>":</w:instrText>
      </w:r>
      <w:r w:rsidR="008E3584" w:rsidRPr="000322E4">
        <w:rPr>
          <w:b/>
          <w:lang w:val="en-US"/>
        </w:rPr>
        <w:instrText>false</w:instrText>
      </w:r>
      <w:r w:rsidR="008E3584" w:rsidRPr="000322E4">
        <w:rPr>
          <w:b/>
        </w:rPr>
        <w:instrText>,"</w:instrText>
      </w:r>
      <w:r w:rsidR="008E3584" w:rsidRPr="000322E4">
        <w:rPr>
          <w:b/>
          <w:lang w:val="en-US"/>
        </w:rPr>
        <w:instrText>suffix</w:instrText>
      </w:r>
      <w:r w:rsidR="008E3584" w:rsidRPr="000322E4">
        <w:rPr>
          <w:b/>
        </w:rPr>
        <w:instrText>":""},{"</w:instrText>
      </w:r>
      <w:r w:rsidR="008E3584" w:rsidRPr="000322E4">
        <w:rPr>
          <w:b/>
          <w:lang w:val="en-US"/>
        </w:rPr>
        <w:instrText>dropping</w:instrText>
      </w:r>
      <w:r w:rsidR="008E3584" w:rsidRPr="000322E4">
        <w:rPr>
          <w:b/>
        </w:rPr>
        <w:instrText>-</w:instrText>
      </w:r>
      <w:r w:rsidR="008E3584" w:rsidRPr="000322E4">
        <w:rPr>
          <w:b/>
          <w:lang w:val="en-US"/>
        </w:rPr>
        <w:instrText>particle</w:instrText>
      </w:r>
      <w:r w:rsidR="008E3584" w:rsidRPr="000322E4">
        <w:rPr>
          <w:b/>
        </w:rPr>
        <w:instrText>":"","</w:instrText>
      </w:r>
      <w:r w:rsidR="008E3584" w:rsidRPr="000322E4">
        <w:rPr>
          <w:b/>
          <w:lang w:val="en-US"/>
        </w:rPr>
        <w:instrText>family</w:instrText>
      </w:r>
      <w:r w:rsidR="008E3584" w:rsidRPr="000322E4">
        <w:rPr>
          <w:b/>
        </w:rPr>
        <w:instrText>":"Птушкин","</w:instrText>
      </w:r>
      <w:r w:rsidR="008E3584" w:rsidRPr="000322E4">
        <w:rPr>
          <w:b/>
          <w:lang w:val="en-US"/>
        </w:rPr>
        <w:instrText>given</w:instrText>
      </w:r>
      <w:r w:rsidR="008E3584" w:rsidRPr="000322E4">
        <w:rPr>
          <w:b/>
        </w:rPr>
        <w:instrText>":"В.В.","</w:instrText>
      </w:r>
      <w:r w:rsidR="008E3584" w:rsidRPr="000322E4">
        <w:rPr>
          <w:b/>
          <w:lang w:val="en-US"/>
        </w:rPr>
        <w:instrText>non</w:instrText>
      </w:r>
      <w:r w:rsidR="008E3584" w:rsidRPr="000322E4">
        <w:rPr>
          <w:b/>
        </w:rPr>
        <w:instrText>-</w:instrText>
      </w:r>
      <w:r w:rsidR="008E3584" w:rsidRPr="000322E4">
        <w:rPr>
          <w:b/>
          <w:lang w:val="en-US"/>
        </w:rPr>
        <w:instrText>dropping</w:instrText>
      </w:r>
      <w:r w:rsidR="008E3584" w:rsidRPr="000322E4">
        <w:rPr>
          <w:b/>
        </w:rPr>
        <w:instrText>-</w:instrText>
      </w:r>
      <w:r w:rsidR="008E3584" w:rsidRPr="000322E4">
        <w:rPr>
          <w:b/>
          <w:lang w:val="en-US"/>
        </w:rPr>
        <w:instrText>particle</w:instrText>
      </w:r>
      <w:r w:rsidR="008E3584" w:rsidRPr="000322E4">
        <w:rPr>
          <w:b/>
        </w:rPr>
        <w:instrText>":"","</w:instrText>
      </w:r>
      <w:r w:rsidR="008E3584" w:rsidRPr="000322E4">
        <w:rPr>
          <w:b/>
          <w:lang w:val="en-US"/>
        </w:rPr>
        <w:instrText>parse</w:instrText>
      </w:r>
      <w:r w:rsidR="008E3584" w:rsidRPr="000322E4">
        <w:rPr>
          <w:b/>
        </w:rPr>
        <w:instrText>-</w:instrText>
      </w:r>
      <w:r w:rsidR="008E3584" w:rsidRPr="000322E4">
        <w:rPr>
          <w:b/>
          <w:lang w:val="en-US"/>
        </w:rPr>
        <w:instrText>names</w:instrText>
      </w:r>
      <w:r w:rsidR="008E3584" w:rsidRPr="000322E4">
        <w:rPr>
          <w:b/>
        </w:rPr>
        <w:instrText>":</w:instrText>
      </w:r>
      <w:r w:rsidR="008E3584" w:rsidRPr="000322E4">
        <w:rPr>
          <w:b/>
          <w:lang w:val="en-US"/>
        </w:rPr>
        <w:instrText>false</w:instrText>
      </w:r>
      <w:r w:rsidR="008E3584" w:rsidRPr="000322E4">
        <w:rPr>
          <w:b/>
        </w:rPr>
        <w:instrText>,"</w:instrText>
      </w:r>
      <w:r w:rsidR="008E3584" w:rsidRPr="000322E4">
        <w:rPr>
          <w:b/>
          <w:lang w:val="en-US"/>
        </w:rPr>
        <w:instrText>suffix</w:instrText>
      </w:r>
      <w:r w:rsidR="008E3584" w:rsidRPr="000322E4">
        <w:rPr>
          <w:b/>
        </w:rPr>
        <w:instrText>":""},{"</w:instrText>
      </w:r>
      <w:r w:rsidR="008E3584" w:rsidRPr="000322E4">
        <w:rPr>
          <w:b/>
          <w:lang w:val="en-US"/>
        </w:rPr>
        <w:instrText>dropping</w:instrText>
      </w:r>
      <w:r w:rsidR="008E3584" w:rsidRPr="000322E4">
        <w:rPr>
          <w:b/>
        </w:rPr>
        <w:instrText>-</w:instrText>
      </w:r>
      <w:r w:rsidR="008E3584" w:rsidRPr="000322E4">
        <w:rPr>
          <w:b/>
          <w:lang w:val="en-US"/>
        </w:rPr>
        <w:instrText>particle</w:instrText>
      </w:r>
      <w:r w:rsidR="008E3584" w:rsidRPr="000322E4">
        <w:rPr>
          <w:b/>
        </w:rPr>
        <w:instrText>":"","</w:instrText>
      </w:r>
      <w:r w:rsidR="008E3584" w:rsidRPr="000322E4">
        <w:rPr>
          <w:b/>
          <w:lang w:val="en-US"/>
        </w:rPr>
        <w:instrText>family</w:instrText>
      </w:r>
      <w:r w:rsidR="008E3584" w:rsidRPr="000322E4">
        <w:rPr>
          <w:b/>
        </w:rPr>
        <w:instrText>":"Поддубная","</w:instrText>
      </w:r>
      <w:r w:rsidR="008E3584" w:rsidRPr="000322E4">
        <w:rPr>
          <w:b/>
          <w:lang w:val="en-US"/>
        </w:rPr>
        <w:instrText>given</w:instrText>
      </w:r>
      <w:r w:rsidR="008E3584" w:rsidRPr="000322E4">
        <w:rPr>
          <w:b/>
        </w:rPr>
        <w:instrText>":"И.В.","</w:instrText>
      </w:r>
      <w:r w:rsidR="008E3584" w:rsidRPr="000322E4">
        <w:rPr>
          <w:b/>
          <w:lang w:val="en-US"/>
        </w:rPr>
        <w:instrText>non</w:instrText>
      </w:r>
      <w:r w:rsidR="008E3584" w:rsidRPr="000322E4">
        <w:rPr>
          <w:b/>
        </w:rPr>
        <w:instrText>-</w:instrText>
      </w:r>
      <w:r w:rsidR="008E3584" w:rsidRPr="000322E4">
        <w:rPr>
          <w:b/>
          <w:lang w:val="en-US"/>
        </w:rPr>
        <w:instrText>dropping</w:instrText>
      </w:r>
      <w:r w:rsidR="008E3584" w:rsidRPr="000322E4">
        <w:rPr>
          <w:b/>
        </w:rPr>
        <w:instrText>-</w:instrText>
      </w:r>
      <w:r w:rsidR="008E3584" w:rsidRPr="000322E4">
        <w:rPr>
          <w:b/>
          <w:lang w:val="en-US"/>
        </w:rPr>
        <w:instrText>particle</w:instrText>
      </w:r>
      <w:r w:rsidR="008E3584" w:rsidRPr="000322E4">
        <w:rPr>
          <w:b/>
        </w:rPr>
        <w:instrText>":"","</w:instrText>
      </w:r>
      <w:r w:rsidR="008E3584" w:rsidRPr="000322E4">
        <w:rPr>
          <w:b/>
          <w:lang w:val="en-US"/>
        </w:rPr>
        <w:instrText>parse</w:instrText>
      </w:r>
      <w:r w:rsidR="008E3584" w:rsidRPr="000322E4">
        <w:rPr>
          <w:b/>
        </w:rPr>
        <w:instrText>-</w:instrText>
      </w:r>
      <w:r w:rsidR="008E3584" w:rsidRPr="000322E4">
        <w:rPr>
          <w:b/>
          <w:lang w:val="en-US"/>
        </w:rPr>
        <w:instrText>names</w:instrText>
      </w:r>
      <w:r w:rsidR="008E3584" w:rsidRPr="000322E4">
        <w:rPr>
          <w:b/>
        </w:rPr>
        <w:instrText>":</w:instrText>
      </w:r>
      <w:r w:rsidR="008E3584" w:rsidRPr="000322E4">
        <w:rPr>
          <w:b/>
          <w:lang w:val="en-US"/>
        </w:rPr>
        <w:instrText>false</w:instrText>
      </w:r>
      <w:r w:rsidR="008E3584" w:rsidRPr="000322E4">
        <w:rPr>
          <w:b/>
        </w:rPr>
        <w:instrText>,"</w:instrText>
      </w:r>
      <w:r w:rsidR="008E3584" w:rsidRPr="000322E4">
        <w:rPr>
          <w:b/>
          <w:lang w:val="en-US"/>
        </w:rPr>
        <w:instrText>suffix</w:instrText>
      </w:r>
      <w:r w:rsidR="008E3584" w:rsidRPr="000322E4">
        <w:rPr>
          <w:b/>
        </w:rPr>
        <w:instrText>":""}],"</w:instrText>
      </w:r>
      <w:r w:rsidR="008E3584" w:rsidRPr="000322E4">
        <w:rPr>
          <w:b/>
          <w:lang w:val="en-US"/>
        </w:rPr>
        <w:instrText>container</w:instrText>
      </w:r>
      <w:r w:rsidR="008E3584" w:rsidRPr="000322E4">
        <w:rPr>
          <w:b/>
        </w:rPr>
        <w:instrText>-</w:instrText>
      </w:r>
      <w:r w:rsidR="008E3584" w:rsidRPr="000322E4">
        <w:rPr>
          <w:b/>
          <w:lang w:val="en-US"/>
        </w:rPr>
        <w:instrText>title</w:instrText>
      </w:r>
      <w:r w:rsidR="008E3584" w:rsidRPr="000322E4">
        <w:rPr>
          <w:b/>
        </w:rPr>
        <w:instrText>":"Российские клинические рекомендации по диагностике и лечению злокачественных лимфопролиферативных заболеваний; под ред. И.В. Поддубной, В.Г. Савченко.","</w:instrText>
      </w:r>
      <w:r w:rsidR="008E3584" w:rsidRPr="000322E4">
        <w:rPr>
          <w:b/>
          <w:lang w:val="en-US"/>
        </w:rPr>
        <w:instrText>id</w:instrText>
      </w:r>
      <w:r w:rsidR="008E3584" w:rsidRPr="000322E4">
        <w:rPr>
          <w:b/>
        </w:rPr>
        <w:instrText>":"</w:instrText>
      </w:r>
      <w:r w:rsidR="008E3584" w:rsidRPr="000322E4">
        <w:rPr>
          <w:b/>
          <w:lang w:val="en-US"/>
        </w:rPr>
        <w:instrText>ITEM</w:instrText>
      </w:r>
      <w:r w:rsidR="008E3584" w:rsidRPr="000322E4">
        <w:rPr>
          <w:b/>
        </w:rPr>
        <w:instrText>-2","</w:instrText>
      </w:r>
      <w:r w:rsidR="008E3584" w:rsidRPr="000322E4">
        <w:rPr>
          <w:b/>
          <w:lang w:val="en-US"/>
        </w:rPr>
        <w:instrText>issued</w:instrText>
      </w:r>
      <w:r w:rsidR="008E3584" w:rsidRPr="000322E4">
        <w:rPr>
          <w:b/>
        </w:rPr>
        <w:instrText>":{"</w:instrText>
      </w:r>
      <w:r w:rsidR="008E3584" w:rsidRPr="000322E4">
        <w:rPr>
          <w:b/>
          <w:lang w:val="en-US"/>
        </w:rPr>
        <w:instrText>date</w:instrText>
      </w:r>
      <w:r w:rsidR="008E3584" w:rsidRPr="000322E4">
        <w:rPr>
          <w:b/>
        </w:rPr>
        <w:instrText>-</w:instrText>
      </w:r>
      <w:r w:rsidR="008E3584" w:rsidRPr="000322E4">
        <w:rPr>
          <w:b/>
          <w:lang w:val="en-US"/>
        </w:rPr>
        <w:instrText>parts</w:instrText>
      </w:r>
      <w:r w:rsidR="008E3584" w:rsidRPr="000322E4">
        <w:rPr>
          <w:b/>
        </w:rPr>
        <w:instrText>":[["2018"]]},"</w:instrText>
      </w:r>
      <w:r w:rsidR="008E3584" w:rsidRPr="000322E4">
        <w:rPr>
          <w:b/>
          <w:lang w:val="en-US"/>
        </w:rPr>
        <w:instrText>page</w:instrText>
      </w:r>
      <w:r w:rsidR="008E3584" w:rsidRPr="000322E4">
        <w:rPr>
          <w:b/>
        </w:rPr>
        <w:instrText>":"58-68","</w:instrText>
      </w:r>
      <w:r w:rsidR="008E3584" w:rsidRPr="000322E4">
        <w:rPr>
          <w:b/>
          <w:lang w:val="en-US"/>
        </w:rPr>
        <w:instrText>title</w:instrText>
      </w:r>
      <w:r w:rsidR="008E3584" w:rsidRPr="000322E4">
        <w:rPr>
          <w:b/>
        </w:rPr>
        <w:instrText>":"Диффузная В-клеточная крупноклеточная лимфома","</w:instrText>
      </w:r>
      <w:r w:rsidR="008E3584" w:rsidRPr="000322E4">
        <w:rPr>
          <w:b/>
          <w:lang w:val="en-US"/>
        </w:rPr>
        <w:instrText>type</w:instrText>
      </w:r>
      <w:r w:rsidR="008E3584" w:rsidRPr="000322E4">
        <w:rPr>
          <w:b/>
        </w:rPr>
        <w:instrText>":"</w:instrText>
      </w:r>
      <w:r w:rsidR="008E3584" w:rsidRPr="000322E4">
        <w:rPr>
          <w:b/>
          <w:lang w:val="en-US"/>
        </w:rPr>
        <w:instrText>chapter</w:instrText>
      </w:r>
      <w:r w:rsidR="008E3584" w:rsidRPr="000322E4">
        <w:rPr>
          <w:b/>
        </w:rPr>
        <w:instrText>"},"</w:instrText>
      </w:r>
      <w:r w:rsidR="008E3584" w:rsidRPr="000322E4">
        <w:rPr>
          <w:b/>
          <w:lang w:val="en-US"/>
        </w:rPr>
        <w:instrText>uris</w:instrText>
      </w:r>
      <w:r w:rsidR="008E3584" w:rsidRPr="000322E4">
        <w:rPr>
          <w:b/>
        </w:rPr>
        <w:instrText>":["</w:instrText>
      </w:r>
      <w:r w:rsidR="008E3584" w:rsidRPr="000322E4">
        <w:rPr>
          <w:b/>
          <w:lang w:val="en-US"/>
        </w:rPr>
        <w:instrText>http</w:instrText>
      </w:r>
      <w:r w:rsidR="008E3584" w:rsidRPr="000322E4">
        <w:rPr>
          <w:b/>
        </w:rPr>
        <w:instrText>://</w:instrText>
      </w:r>
      <w:r w:rsidR="008E3584" w:rsidRPr="000322E4">
        <w:rPr>
          <w:b/>
          <w:lang w:val="en-US"/>
        </w:rPr>
        <w:instrText>www</w:instrText>
      </w:r>
      <w:r w:rsidR="008E3584" w:rsidRPr="000322E4">
        <w:rPr>
          <w:b/>
        </w:rPr>
        <w:instrText>.</w:instrText>
      </w:r>
      <w:r w:rsidR="008E3584" w:rsidRPr="000322E4">
        <w:rPr>
          <w:b/>
          <w:lang w:val="en-US"/>
        </w:rPr>
        <w:instrText>mendeley</w:instrText>
      </w:r>
      <w:r w:rsidR="008E3584" w:rsidRPr="000322E4">
        <w:rPr>
          <w:b/>
        </w:rPr>
        <w:instrText>.</w:instrText>
      </w:r>
      <w:r w:rsidR="008E3584" w:rsidRPr="000322E4">
        <w:rPr>
          <w:b/>
          <w:lang w:val="en-US"/>
        </w:rPr>
        <w:instrText>com</w:instrText>
      </w:r>
      <w:r w:rsidR="008E3584" w:rsidRPr="000322E4">
        <w:rPr>
          <w:b/>
        </w:rPr>
        <w:instrText>/</w:instrText>
      </w:r>
      <w:r w:rsidR="008E3584" w:rsidRPr="000322E4">
        <w:rPr>
          <w:b/>
          <w:lang w:val="en-US"/>
        </w:rPr>
        <w:instrText>documents</w:instrText>
      </w:r>
      <w:r w:rsidR="008E3584" w:rsidRPr="000322E4">
        <w:rPr>
          <w:b/>
        </w:rPr>
        <w:instrText>/?</w:instrText>
      </w:r>
      <w:r w:rsidR="008E3584" w:rsidRPr="000322E4">
        <w:rPr>
          <w:b/>
          <w:lang w:val="en-US"/>
        </w:rPr>
        <w:instrText>uuid</w:instrText>
      </w:r>
      <w:r w:rsidR="008E3584" w:rsidRPr="000322E4">
        <w:rPr>
          <w:b/>
        </w:rPr>
        <w:instrText>=</w:instrText>
      </w:r>
      <w:r w:rsidR="008E3584" w:rsidRPr="000322E4">
        <w:rPr>
          <w:b/>
          <w:lang w:val="en-US"/>
        </w:rPr>
        <w:instrText>cb</w:instrText>
      </w:r>
      <w:r w:rsidR="008E3584" w:rsidRPr="000322E4">
        <w:rPr>
          <w:b/>
        </w:rPr>
        <w:instrText>7114</w:instrText>
      </w:r>
      <w:r w:rsidR="008E3584" w:rsidRPr="000322E4">
        <w:rPr>
          <w:b/>
          <w:lang w:val="en-US"/>
        </w:rPr>
        <w:instrText>f</w:instrText>
      </w:r>
      <w:r w:rsidR="008E3584" w:rsidRPr="000322E4">
        <w:rPr>
          <w:b/>
        </w:rPr>
        <w:instrText>7-4655-4733-8</w:instrText>
      </w:r>
      <w:r w:rsidR="008E3584" w:rsidRPr="000322E4">
        <w:rPr>
          <w:b/>
          <w:lang w:val="en-US"/>
        </w:rPr>
        <w:instrText>df</w:instrText>
      </w:r>
      <w:r w:rsidR="008E3584" w:rsidRPr="000322E4">
        <w:rPr>
          <w:b/>
        </w:rPr>
        <w:instrText>2-526</w:instrText>
      </w:r>
      <w:r w:rsidR="008E3584" w:rsidRPr="000322E4">
        <w:rPr>
          <w:b/>
          <w:lang w:val="en-US"/>
        </w:rPr>
        <w:instrText>cc</w:instrText>
      </w:r>
      <w:r w:rsidR="008E3584" w:rsidRPr="000322E4">
        <w:rPr>
          <w:b/>
        </w:rPr>
        <w:instrText>4</w:instrText>
      </w:r>
      <w:r w:rsidR="008E3584" w:rsidRPr="000322E4">
        <w:rPr>
          <w:b/>
          <w:lang w:val="en-US"/>
        </w:rPr>
        <w:instrText>e</w:instrText>
      </w:r>
      <w:r w:rsidR="008E3584" w:rsidRPr="000322E4">
        <w:rPr>
          <w:b/>
        </w:rPr>
        <w:instrText>32730"]}],"</w:instrText>
      </w:r>
      <w:r w:rsidR="008E3584" w:rsidRPr="000322E4">
        <w:rPr>
          <w:b/>
          <w:lang w:val="en-US"/>
        </w:rPr>
        <w:instrText>mendeley</w:instrText>
      </w:r>
      <w:r w:rsidR="008E3584" w:rsidRPr="000322E4">
        <w:rPr>
          <w:b/>
        </w:rPr>
        <w:instrText>":{"</w:instrText>
      </w:r>
      <w:r w:rsidR="008E3584" w:rsidRPr="000322E4">
        <w:rPr>
          <w:b/>
          <w:lang w:val="en-US"/>
        </w:rPr>
        <w:instrText>formattedCitation</w:instrText>
      </w:r>
      <w:r w:rsidR="008E3584" w:rsidRPr="000322E4">
        <w:rPr>
          <w:b/>
        </w:rPr>
        <w:instrText>":"[11,52]","</w:instrText>
      </w:r>
      <w:r w:rsidR="008E3584" w:rsidRPr="000322E4">
        <w:rPr>
          <w:b/>
          <w:lang w:val="en-US"/>
        </w:rPr>
        <w:instrText>plainTextFormattedCitation</w:instrText>
      </w:r>
      <w:r w:rsidR="008E3584" w:rsidRPr="000322E4">
        <w:rPr>
          <w:b/>
        </w:rPr>
        <w:instrText>":"[11,52]","</w:instrText>
      </w:r>
      <w:r w:rsidR="008E3584" w:rsidRPr="000322E4">
        <w:rPr>
          <w:b/>
          <w:lang w:val="en-US"/>
        </w:rPr>
        <w:instrText>previouslyFormattedCitation</w:instrText>
      </w:r>
      <w:r w:rsidR="008E3584" w:rsidRPr="000322E4">
        <w:rPr>
          <w:b/>
        </w:rPr>
        <w:instrText>":"[11,52]"},"</w:instrText>
      </w:r>
      <w:r w:rsidR="008E3584" w:rsidRPr="000322E4">
        <w:rPr>
          <w:b/>
          <w:lang w:val="en-US"/>
        </w:rPr>
        <w:instrText>properties</w:instrText>
      </w:r>
      <w:r w:rsidR="008E3584" w:rsidRPr="000322E4">
        <w:rPr>
          <w:b/>
        </w:rPr>
        <w:instrText>":{"</w:instrText>
      </w:r>
      <w:r w:rsidR="008E3584" w:rsidRPr="000322E4">
        <w:rPr>
          <w:b/>
          <w:lang w:val="en-US"/>
        </w:rPr>
        <w:instrText>noteIndex</w:instrText>
      </w:r>
      <w:r w:rsidR="008E3584" w:rsidRPr="000322E4">
        <w:rPr>
          <w:b/>
        </w:rPr>
        <w:instrText>":0},"</w:instrText>
      </w:r>
      <w:r w:rsidR="008E3584" w:rsidRPr="000322E4">
        <w:rPr>
          <w:b/>
          <w:lang w:val="en-US"/>
        </w:rPr>
        <w:instrText>schema</w:instrText>
      </w:r>
      <w:r w:rsidR="008E3584" w:rsidRPr="000322E4">
        <w:rPr>
          <w:b/>
        </w:rPr>
        <w:instrText>":"</w:instrText>
      </w:r>
      <w:r w:rsidR="008E3584" w:rsidRPr="000322E4">
        <w:rPr>
          <w:b/>
          <w:lang w:val="en-US"/>
        </w:rPr>
        <w:instrText>https</w:instrText>
      </w:r>
      <w:r w:rsidR="008E3584" w:rsidRPr="000322E4">
        <w:rPr>
          <w:b/>
        </w:rPr>
        <w:instrText>://</w:instrText>
      </w:r>
      <w:r w:rsidR="008E3584" w:rsidRPr="000322E4">
        <w:rPr>
          <w:b/>
          <w:lang w:val="en-US"/>
        </w:rPr>
        <w:instrText>github</w:instrText>
      </w:r>
      <w:r w:rsidR="008E3584" w:rsidRPr="000322E4">
        <w:rPr>
          <w:b/>
        </w:rPr>
        <w:instrText>.</w:instrText>
      </w:r>
      <w:r w:rsidR="008E3584" w:rsidRPr="000322E4">
        <w:rPr>
          <w:b/>
          <w:lang w:val="en-US"/>
        </w:rPr>
        <w:instrText>com</w:instrText>
      </w:r>
      <w:r w:rsidR="008E3584" w:rsidRPr="000322E4">
        <w:rPr>
          <w:b/>
        </w:rPr>
        <w:instrText>/</w:instrText>
      </w:r>
      <w:r w:rsidR="008E3584" w:rsidRPr="000322E4">
        <w:rPr>
          <w:b/>
          <w:lang w:val="en-US"/>
        </w:rPr>
        <w:instrText>citation</w:instrText>
      </w:r>
      <w:r w:rsidR="008E3584" w:rsidRPr="000322E4">
        <w:rPr>
          <w:b/>
        </w:rPr>
        <w:instrText>-</w:instrText>
      </w:r>
      <w:r w:rsidR="008E3584" w:rsidRPr="000322E4">
        <w:rPr>
          <w:b/>
          <w:lang w:val="en-US"/>
        </w:rPr>
        <w:instrText>style</w:instrText>
      </w:r>
      <w:r w:rsidR="008E3584" w:rsidRPr="000322E4">
        <w:rPr>
          <w:b/>
        </w:rPr>
        <w:instrText>-</w:instrText>
      </w:r>
      <w:r w:rsidR="008E3584" w:rsidRPr="000322E4">
        <w:rPr>
          <w:b/>
          <w:lang w:val="en-US"/>
        </w:rPr>
        <w:instrText>language</w:instrText>
      </w:r>
      <w:r w:rsidR="008E3584" w:rsidRPr="000322E4">
        <w:rPr>
          <w:b/>
        </w:rPr>
        <w:instrText>/</w:instrText>
      </w:r>
      <w:r w:rsidR="008E3584" w:rsidRPr="000322E4">
        <w:rPr>
          <w:b/>
          <w:lang w:val="en-US"/>
        </w:rPr>
        <w:instrText>schema</w:instrText>
      </w:r>
      <w:r w:rsidR="008E3584" w:rsidRPr="000322E4">
        <w:rPr>
          <w:b/>
        </w:rPr>
        <w:instrText>/</w:instrText>
      </w:r>
      <w:r w:rsidR="008E3584" w:rsidRPr="000322E4">
        <w:rPr>
          <w:b/>
          <w:lang w:val="en-US"/>
        </w:rPr>
        <w:instrText>raw</w:instrText>
      </w:r>
      <w:r w:rsidR="008E3584" w:rsidRPr="000322E4">
        <w:rPr>
          <w:b/>
        </w:rPr>
        <w:instrText>/</w:instrText>
      </w:r>
      <w:r w:rsidR="008E3584" w:rsidRPr="000322E4">
        <w:rPr>
          <w:b/>
          <w:lang w:val="en-US"/>
        </w:rPr>
        <w:instrText>master</w:instrText>
      </w:r>
      <w:r w:rsidR="008E3584" w:rsidRPr="000322E4">
        <w:rPr>
          <w:b/>
        </w:rPr>
        <w:instrText>/</w:instrText>
      </w:r>
      <w:r w:rsidR="008E3584" w:rsidRPr="000322E4">
        <w:rPr>
          <w:b/>
          <w:lang w:val="en-US"/>
        </w:rPr>
        <w:instrText>csl</w:instrText>
      </w:r>
      <w:r w:rsidR="008E3584" w:rsidRPr="000322E4">
        <w:rPr>
          <w:b/>
        </w:rPr>
        <w:instrText>-</w:instrText>
      </w:r>
      <w:r w:rsidR="008E3584" w:rsidRPr="000322E4">
        <w:rPr>
          <w:b/>
          <w:lang w:val="en-US"/>
        </w:rPr>
        <w:instrText>citation</w:instrText>
      </w:r>
      <w:r w:rsidR="008E3584" w:rsidRPr="000322E4">
        <w:rPr>
          <w:b/>
        </w:rPr>
        <w:instrText>.</w:instrText>
      </w:r>
      <w:r w:rsidR="008E3584" w:rsidRPr="000322E4">
        <w:rPr>
          <w:b/>
          <w:lang w:val="en-US"/>
        </w:rPr>
        <w:instrText>json</w:instrText>
      </w:r>
      <w:r w:rsidR="008E3584" w:rsidRPr="000322E4">
        <w:rPr>
          <w:b/>
        </w:rPr>
        <w:instrText>"}</w:instrText>
      </w:r>
      <w:r w:rsidRPr="000322E4">
        <w:rPr>
          <w:b/>
          <w:lang w:val="en-US"/>
        </w:rPr>
        <w:fldChar w:fldCharType="separate"/>
      </w:r>
      <w:r w:rsidR="008E3584" w:rsidRPr="000322E4">
        <w:rPr>
          <w:noProof/>
        </w:rPr>
        <w:t>[11,52]</w:t>
      </w:r>
      <w:r w:rsidRPr="000322E4">
        <w:rPr>
          <w:b/>
          <w:lang w:val="en-US"/>
        </w:rPr>
        <w:fldChar w:fldCharType="end"/>
      </w:r>
    </w:p>
    <w:p w14:paraId="6FC9CC96" w14:textId="77777777" w:rsidR="00666D68" w:rsidRPr="000322E4" w:rsidRDefault="00666D68" w:rsidP="008E3584">
      <w:pPr>
        <w:numPr>
          <w:ilvl w:val="0"/>
          <w:numId w:val="39"/>
        </w:numPr>
      </w:pPr>
      <w:r w:rsidRPr="000322E4">
        <w:t>Ритуксимаб</w:t>
      </w:r>
      <w:r w:rsidRPr="000322E4">
        <w:rPr>
          <w:bCs/>
        </w:rPr>
        <w:t>**</w:t>
      </w:r>
      <w:r w:rsidRPr="000322E4">
        <w:t xml:space="preserve"> </w:t>
      </w:r>
    </w:p>
    <w:p w14:paraId="2BBA938D" w14:textId="77777777" w:rsidR="00666D68" w:rsidRPr="000322E4" w:rsidRDefault="00666D68" w:rsidP="008E3584">
      <w:pPr>
        <w:numPr>
          <w:ilvl w:val="1"/>
          <w:numId w:val="39"/>
        </w:numPr>
      </w:pPr>
      <w:r w:rsidRPr="000322E4">
        <w:t>375 мг/м</w:t>
      </w:r>
      <w:r w:rsidRPr="000322E4">
        <w:rPr>
          <w:vertAlign w:val="superscript"/>
        </w:rPr>
        <w:t>2</w:t>
      </w:r>
      <w:r w:rsidRPr="000322E4">
        <w:t xml:space="preserve"> в/в кап., день 0 или 1 все циклы курса</w:t>
      </w:r>
    </w:p>
    <w:p w14:paraId="2FBB41D8" w14:textId="77777777" w:rsidR="00666D68" w:rsidRPr="000322E4" w:rsidRDefault="00666D68" w:rsidP="008E3584">
      <w:pPr>
        <w:ind w:left="1080" w:firstLine="336"/>
      </w:pPr>
      <w:r w:rsidRPr="000322E4">
        <w:t>или</w:t>
      </w:r>
    </w:p>
    <w:p w14:paraId="3DD9C918" w14:textId="4FEFBE28" w:rsidR="00666D68" w:rsidRPr="000322E4" w:rsidRDefault="00666D68" w:rsidP="008E3584">
      <w:pPr>
        <w:numPr>
          <w:ilvl w:val="1"/>
          <w:numId w:val="39"/>
        </w:numPr>
      </w:pPr>
      <w:r w:rsidRPr="000322E4">
        <w:t>375 мг/м</w:t>
      </w:r>
      <w:r w:rsidRPr="000322E4">
        <w:rPr>
          <w:vertAlign w:val="superscript"/>
        </w:rPr>
        <w:t>2</w:t>
      </w:r>
      <w:r w:rsidRPr="000322E4">
        <w:t xml:space="preserve"> в/в кап. 1 цикл, далее ритуксимаб 1400 мг п/к, день 0 или 1 </w:t>
      </w:r>
      <w:r w:rsidRPr="000322E4">
        <w:rPr>
          <w:lang w:val="en-US"/>
        </w:rPr>
        <w:fldChar w:fldCharType="begin" w:fldLock="1"/>
      </w:r>
      <w:r w:rsidR="00E974B2">
        <w:rPr>
          <w:lang w:val="en-US"/>
        </w:rPr>
        <w:instrText>ADDIN</w:instrText>
      </w:r>
      <w:r w:rsidR="00E974B2" w:rsidRPr="006C476A">
        <w:instrText xml:space="preserve"> </w:instrText>
      </w:r>
      <w:r w:rsidR="00E974B2">
        <w:rPr>
          <w:lang w:val="en-US"/>
        </w:rPr>
        <w:instrText>CSL</w:instrText>
      </w:r>
      <w:r w:rsidR="00E974B2" w:rsidRPr="006C476A">
        <w:instrText>_</w:instrText>
      </w:r>
      <w:r w:rsidR="00E974B2">
        <w:rPr>
          <w:lang w:val="en-US"/>
        </w:rPr>
        <w:instrText>CITATION</w:instrText>
      </w:r>
      <w:r w:rsidR="00E974B2" w:rsidRPr="006C476A">
        <w:instrText xml:space="preserve"> {"</w:instrText>
      </w:r>
      <w:r w:rsidR="00E974B2">
        <w:rPr>
          <w:lang w:val="en-US"/>
        </w:rPr>
        <w:instrText>citationItems</w:instrText>
      </w:r>
      <w:r w:rsidR="00E974B2" w:rsidRPr="006C476A">
        <w:instrText>":[{"</w:instrText>
      </w:r>
      <w:r w:rsidR="00E974B2">
        <w:rPr>
          <w:lang w:val="en-US"/>
        </w:rPr>
        <w:instrText>id</w:instrText>
      </w:r>
      <w:r w:rsidR="00E974B2" w:rsidRPr="006C476A">
        <w:instrText>":"</w:instrText>
      </w:r>
      <w:r w:rsidR="00E974B2">
        <w:rPr>
          <w:lang w:val="en-US"/>
        </w:rPr>
        <w:instrText>ITEM</w:instrText>
      </w:r>
      <w:r w:rsidR="00E974B2" w:rsidRPr="006C476A">
        <w:instrText>-1","</w:instrText>
      </w:r>
      <w:r w:rsidR="00E974B2">
        <w:rPr>
          <w:lang w:val="en-US"/>
        </w:rPr>
        <w:instrText>itemData</w:instrText>
      </w:r>
      <w:r w:rsidR="00E974B2" w:rsidRPr="006C476A">
        <w:instrText>":{"</w:instrText>
      </w:r>
      <w:r w:rsidR="00E974B2">
        <w:rPr>
          <w:lang w:val="en-US"/>
        </w:rPr>
        <w:instrText>ISSN</w:instrText>
      </w:r>
      <w:r w:rsidR="00E974B2" w:rsidRPr="006C476A">
        <w:instrText>":"2150-0878","</w:instrText>
      </w:r>
      <w:r w:rsidR="00E974B2">
        <w:rPr>
          <w:lang w:val="en-US"/>
        </w:rPr>
        <w:instrText>PMID</w:instrText>
      </w:r>
      <w:r w:rsidR="00E974B2" w:rsidRPr="006C476A">
        <w:instrText>":"31086689","</w:instrText>
      </w:r>
      <w:r w:rsidR="00E974B2">
        <w:rPr>
          <w:lang w:val="en-US"/>
        </w:rPr>
        <w:instrText>abstract</w:instrText>
      </w:r>
      <w:r w:rsidR="00E974B2" w:rsidRPr="006C476A">
        <w:instrText>":"</w:instrText>
      </w:r>
      <w:r w:rsidR="00E974B2">
        <w:rPr>
          <w:lang w:val="en-US"/>
        </w:rPr>
        <w:instrText>Rituximab</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hyaluronidase</w:instrText>
      </w:r>
      <w:r w:rsidR="00E974B2" w:rsidRPr="006C476A">
        <w:instrText xml:space="preserve"> </w:instrText>
      </w:r>
      <w:r w:rsidR="00E974B2">
        <w:rPr>
          <w:lang w:val="en-US"/>
        </w:rPr>
        <w:instrText>human</w:instrText>
      </w:r>
      <w:r w:rsidR="00E974B2" w:rsidRPr="006C476A">
        <w:instrText xml:space="preserve"> </w:instrText>
      </w:r>
      <w:r w:rsidR="00E974B2">
        <w:rPr>
          <w:lang w:val="en-US"/>
        </w:rPr>
        <w:instrText>is</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new</w:instrText>
      </w:r>
      <w:r w:rsidR="00E974B2" w:rsidRPr="006C476A">
        <w:instrText xml:space="preserve"> </w:instrText>
      </w:r>
      <w:r w:rsidR="00E974B2">
        <w:rPr>
          <w:lang w:val="en-US"/>
        </w:rPr>
        <w:instrText>subcutaneous</w:instrText>
      </w:r>
      <w:r w:rsidR="00E974B2" w:rsidRPr="006C476A">
        <w:instrText xml:space="preserve"> </w:instrText>
      </w:r>
      <w:r w:rsidR="00E974B2">
        <w:rPr>
          <w:lang w:val="en-US"/>
        </w:rPr>
        <w:instrText>formulation</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that</w:instrText>
      </w:r>
      <w:r w:rsidR="00E974B2" w:rsidRPr="006C476A">
        <w:instrText xml:space="preserve"> </w:instrText>
      </w:r>
      <w:r w:rsidR="00E974B2">
        <w:rPr>
          <w:lang w:val="en-US"/>
        </w:rPr>
        <w:instrText>was</w:instrText>
      </w:r>
      <w:r w:rsidR="00E974B2" w:rsidRPr="006C476A">
        <w:instrText xml:space="preserve"> </w:instrText>
      </w:r>
      <w:r w:rsidR="00E974B2">
        <w:rPr>
          <w:lang w:val="en-US"/>
        </w:rPr>
        <w:instrText>recently</w:instrText>
      </w:r>
      <w:r w:rsidR="00E974B2" w:rsidRPr="006C476A">
        <w:instrText xml:space="preserve"> </w:instrText>
      </w:r>
      <w:r w:rsidR="00E974B2">
        <w:rPr>
          <w:lang w:val="en-US"/>
        </w:rPr>
        <w:instrText>approved</w:instrText>
      </w:r>
      <w:r w:rsidR="00E974B2" w:rsidRPr="006C476A">
        <w:instrText xml:space="preserve"> </w:instrText>
      </w:r>
      <w:r w:rsidR="00E974B2">
        <w:rPr>
          <w:lang w:val="en-US"/>
        </w:rPr>
        <w:instrText>by</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US</w:instrText>
      </w:r>
      <w:r w:rsidR="00E974B2" w:rsidRPr="006C476A">
        <w:instrText xml:space="preserve"> </w:instrText>
      </w:r>
      <w:r w:rsidR="00E974B2">
        <w:rPr>
          <w:lang w:val="en-US"/>
        </w:rPr>
        <w:instrText>Food</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Drug</w:instrText>
      </w:r>
      <w:r w:rsidR="00E974B2" w:rsidRPr="006C476A">
        <w:instrText xml:space="preserve"> </w:instrText>
      </w:r>
      <w:r w:rsidR="00E974B2">
        <w:rPr>
          <w:lang w:val="en-US"/>
        </w:rPr>
        <w:instrText>Administration</w:instrText>
      </w:r>
      <w:r w:rsidR="00E974B2" w:rsidRPr="006C476A">
        <w:instrText xml:space="preserve"> </w:instrText>
      </w:r>
      <w:r w:rsidR="00E974B2">
        <w:rPr>
          <w:lang w:val="en-US"/>
        </w:rPr>
        <w:instrText>for</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treatment</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adults</w:instrText>
      </w:r>
      <w:r w:rsidR="00E974B2" w:rsidRPr="006C476A">
        <w:instrText xml:space="preserve"> </w:instrText>
      </w:r>
      <w:r w:rsidR="00E974B2">
        <w:rPr>
          <w:lang w:val="en-US"/>
        </w:rPr>
        <w:instrText>with</w:instrText>
      </w:r>
      <w:r w:rsidR="00E974B2" w:rsidRPr="006C476A">
        <w:instrText xml:space="preserve"> </w:instrText>
      </w:r>
      <w:r w:rsidR="00E974B2">
        <w:rPr>
          <w:lang w:val="en-US"/>
        </w:rPr>
        <w:instrText>follicular</w:instrText>
      </w:r>
      <w:r w:rsidR="00E974B2" w:rsidRPr="006C476A">
        <w:instrText xml:space="preserve"> </w:instrText>
      </w:r>
      <w:r w:rsidR="00E974B2">
        <w:rPr>
          <w:lang w:val="en-US"/>
        </w:rPr>
        <w:instrText>lymphoma</w:instrText>
      </w:r>
      <w:r w:rsidR="00E974B2" w:rsidRPr="006C476A">
        <w:instrText xml:space="preserve">, </w:instrText>
      </w:r>
      <w:r w:rsidR="00E974B2">
        <w:rPr>
          <w:lang w:val="en-US"/>
        </w:rPr>
        <w:instrText>diffuse</w:instrText>
      </w:r>
      <w:r w:rsidR="00E974B2" w:rsidRPr="006C476A">
        <w:instrText xml:space="preserve"> </w:instrText>
      </w:r>
      <w:r w:rsidR="00E974B2">
        <w:rPr>
          <w:lang w:val="en-US"/>
        </w:rPr>
        <w:instrText>large</w:instrText>
      </w:r>
      <w:r w:rsidR="00E974B2" w:rsidRPr="006C476A">
        <w:instrText xml:space="preserve"> </w:instrText>
      </w:r>
      <w:r w:rsidR="00E974B2">
        <w:rPr>
          <w:lang w:val="en-US"/>
        </w:rPr>
        <w:instrText>B</w:instrText>
      </w:r>
      <w:r w:rsidR="00E974B2" w:rsidRPr="006C476A">
        <w:instrText>-</w:instrText>
      </w:r>
      <w:r w:rsidR="00E974B2">
        <w:rPr>
          <w:lang w:val="en-US"/>
        </w:rPr>
        <w:instrText>cell</w:instrText>
      </w:r>
      <w:r w:rsidR="00E974B2" w:rsidRPr="006C476A">
        <w:instrText xml:space="preserve"> </w:instrText>
      </w:r>
      <w:r w:rsidR="00E974B2">
        <w:rPr>
          <w:lang w:val="en-US"/>
        </w:rPr>
        <w:instrText>lymphoma</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chronic</w:instrText>
      </w:r>
      <w:r w:rsidR="00E974B2" w:rsidRPr="006C476A">
        <w:instrText xml:space="preserve"> </w:instrText>
      </w:r>
      <w:r w:rsidR="00E974B2">
        <w:rPr>
          <w:lang w:val="en-US"/>
        </w:rPr>
        <w:instrText>lymphocytic</w:instrText>
      </w:r>
      <w:r w:rsidR="00E974B2" w:rsidRPr="006C476A">
        <w:instrText xml:space="preserve"> </w:instrText>
      </w:r>
      <w:r w:rsidR="00E974B2">
        <w:rPr>
          <w:lang w:val="en-US"/>
        </w:rPr>
        <w:instrText>leukemia</w:instrText>
      </w:r>
      <w:r w:rsidR="00E974B2" w:rsidRPr="006C476A">
        <w:instrText xml:space="preserve">. </w:instrText>
      </w:r>
      <w:r w:rsidR="00E974B2">
        <w:rPr>
          <w:lang w:val="en-US"/>
        </w:rPr>
        <w:instrText>With</w:instrText>
      </w:r>
      <w:r w:rsidR="00E974B2" w:rsidRPr="006C476A">
        <w:instrText xml:space="preserve"> </w:instrText>
      </w:r>
      <w:r w:rsidR="00E974B2">
        <w:rPr>
          <w:lang w:val="en-US"/>
        </w:rPr>
        <w:instrText>data</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support</w:instrText>
      </w:r>
      <w:r w:rsidR="00E974B2" w:rsidRPr="006C476A">
        <w:instrText xml:space="preserve"> </w:instrText>
      </w:r>
      <w:r w:rsidR="00E974B2">
        <w:rPr>
          <w:lang w:val="en-US"/>
        </w:rPr>
        <w:instrText>noninferior</w:instrText>
      </w:r>
      <w:r w:rsidR="00E974B2" w:rsidRPr="006C476A">
        <w:instrText xml:space="preserve"> </w:instrText>
      </w:r>
      <w:r w:rsidR="00E974B2">
        <w:rPr>
          <w:lang w:val="en-US"/>
        </w:rPr>
        <w:instrText>pharmacokinetics</w:instrText>
      </w:r>
      <w:r w:rsidR="00E974B2" w:rsidRPr="006C476A">
        <w:instrText xml:space="preserve">, </w:instrText>
      </w:r>
      <w:r w:rsidR="00E974B2">
        <w:rPr>
          <w:lang w:val="en-US"/>
        </w:rPr>
        <w:instrText>similar</w:instrText>
      </w:r>
      <w:r w:rsidR="00E974B2" w:rsidRPr="006C476A">
        <w:instrText xml:space="preserve"> </w:instrText>
      </w:r>
      <w:r w:rsidR="00E974B2">
        <w:rPr>
          <w:lang w:val="en-US"/>
        </w:rPr>
        <w:instrText>outcomes</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comparable</w:instrText>
      </w:r>
      <w:r w:rsidR="00E974B2" w:rsidRPr="006C476A">
        <w:instrText xml:space="preserve"> </w:instrText>
      </w:r>
      <w:r w:rsidR="00E974B2">
        <w:rPr>
          <w:lang w:val="en-US"/>
        </w:rPr>
        <w:instrText>adverse</w:instrText>
      </w:r>
      <w:r w:rsidR="00E974B2" w:rsidRPr="006C476A">
        <w:instrText xml:space="preserve"> </w:instrText>
      </w:r>
      <w:r w:rsidR="00E974B2">
        <w:rPr>
          <w:lang w:val="en-US"/>
        </w:rPr>
        <w:instrText>events</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hyaluronidase</w:instrText>
      </w:r>
      <w:r w:rsidR="00E974B2" w:rsidRPr="006C476A">
        <w:instrText xml:space="preserve"> </w:instrText>
      </w:r>
      <w:r w:rsidR="00E974B2">
        <w:rPr>
          <w:lang w:val="en-US"/>
        </w:rPr>
        <w:instrText>human</w:instrText>
      </w:r>
      <w:r w:rsidR="00E974B2" w:rsidRPr="006C476A">
        <w:instrText xml:space="preserve"> </w:instrText>
      </w:r>
      <w:r w:rsidR="00E974B2">
        <w:rPr>
          <w:lang w:val="en-US"/>
        </w:rPr>
        <w:instrText>may</w:instrText>
      </w:r>
      <w:r w:rsidR="00E974B2" w:rsidRPr="006C476A">
        <w:instrText xml:space="preserve"> </w:instrText>
      </w:r>
      <w:r w:rsidR="00E974B2">
        <w:rPr>
          <w:lang w:val="en-US"/>
        </w:rPr>
        <w:instrText>offer</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suitable</w:instrText>
      </w:r>
      <w:r w:rsidR="00E974B2" w:rsidRPr="006C476A">
        <w:instrText xml:space="preserve"> </w:instrText>
      </w:r>
      <w:r w:rsidR="00E974B2">
        <w:rPr>
          <w:lang w:val="en-US"/>
        </w:rPr>
        <w:instrText>alternative</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intravenous</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that</w:instrText>
      </w:r>
      <w:r w:rsidR="00E974B2" w:rsidRPr="006C476A">
        <w:instrText xml:space="preserve"> </w:instrText>
      </w:r>
      <w:r w:rsidR="00E974B2">
        <w:rPr>
          <w:lang w:val="en-US"/>
        </w:rPr>
        <w:instrText>could</w:instrText>
      </w:r>
      <w:r w:rsidR="00E974B2" w:rsidRPr="006C476A">
        <w:instrText xml:space="preserve"> </w:instrText>
      </w:r>
      <w:r w:rsidR="00E974B2">
        <w:rPr>
          <w:lang w:val="en-US"/>
        </w:rPr>
        <w:instrText>improve</w:instrText>
      </w:r>
      <w:r w:rsidR="00E974B2" w:rsidRPr="006C476A">
        <w:instrText xml:space="preserve"> </w:instrText>
      </w:r>
      <w:r w:rsidR="00E974B2">
        <w:rPr>
          <w:lang w:val="en-US"/>
        </w:rPr>
        <w:instrText>convenience</w:instrText>
      </w:r>
      <w:r w:rsidR="00E974B2" w:rsidRPr="006C476A">
        <w:instrText xml:space="preserve"> </w:instrText>
      </w:r>
      <w:r w:rsidR="00E974B2">
        <w:rPr>
          <w:lang w:val="en-US"/>
        </w:rPr>
        <w:instrText>for</w:instrText>
      </w:r>
      <w:r w:rsidR="00E974B2" w:rsidRPr="006C476A">
        <w:instrText xml:space="preserve"> </w:instrText>
      </w:r>
      <w:r w:rsidR="00E974B2">
        <w:rPr>
          <w:lang w:val="en-US"/>
        </w:rPr>
        <w:instrText>patients</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better</w:instrText>
      </w:r>
      <w:r w:rsidR="00E974B2" w:rsidRPr="006C476A">
        <w:instrText xml:space="preserve"> </w:instrText>
      </w:r>
      <w:r w:rsidR="00E974B2">
        <w:rPr>
          <w:lang w:val="en-US"/>
        </w:rPr>
        <w:instrText>utilize</w:instrText>
      </w:r>
      <w:r w:rsidR="00E974B2" w:rsidRPr="006C476A">
        <w:instrText xml:space="preserve"> </w:instrText>
      </w:r>
      <w:r w:rsidR="00E974B2">
        <w:rPr>
          <w:lang w:val="en-US"/>
        </w:rPr>
        <w:instrText>health</w:instrText>
      </w:r>
      <w:r w:rsidR="00E974B2" w:rsidRPr="006C476A">
        <w:instrText>-</w:instrText>
      </w:r>
      <w:r w:rsidR="00E974B2">
        <w:rPr>
          <w:lang w:val="en-US"/>
        </w:rPr>
        <w:instrText>care</w:instrText>
      </w:r>
      <w:r w:rsidR="00E974B2" w:rsidRPr="006C476A">
        <w:instrText xml:space="preserve"> </w:instrText>
      </w:r>
      <w:r w:rsidR="00E974B2">
        <w:rPr>
          <w:lang w:val="en-US"/>
        </w:rPr>
        <w:instrText>resources</w:instrText>
      </w:r>
      <w:r w:rsidR="00E974B2" w:rsidRPr="006C476A">
        <w:instrText>.","</w:instrText>
      </w:r>
      <w:r w:rsidR="00E974B2">
        <w:rPr>
          <w:lang w:val="en-US"/>
        </w:rPr>
        <w:instrText>author</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Yelvington</w:instrText>
      </w:r>
      <w:r w:rsidR="00E974B2" w:rsidRPr="006C476A">
        <w:instrText>","</w:instrText>
      </w:r>
      <w:r w:rsidR="00E974B2">
        <w:rPr>
          <w:lang w:val="en-US"/>
        </w:rPr>
        <w:instrText>given</w:instrText>
      </w:r>
      <w:r w:rsidR="00E974B2" w:rsidRPr="006C476A">
        <w:instrText>":"</w:instrText>
      </w:r>
      <w:r w:rsidR="00E974B2">
        <w:rPr>
          <w:lang w:val="en-US"/>
        </w:rPr>
        <w:instrText>Bradley</w:instrText>
      </w:r>
      <w:r w:rsidR="00E974B2" w:rsidRPr="006C476A">
        <w:instrText xml:space="preserve"> </w:instrText>
      </w:r>
      <w:r w:rsidR="00E974B2">
        <w:rPr>
          <w:lang w:val="en-US"/>
        </w:rPr>
        <w:instrText>J</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container</w:instrText>
      </w:r>
      <w:r w:rsidR="00E974B2" w:rsidRPr="006C476A">
        <w:instrText>-</w:instrText>
      </w:r>
      <w:r w:rsidR="00E974B2">
        <w:rPr>
          <w:lang w:val="en-US"/>
        </w:rPr>
        <w:instrText>title</w:instrText>
      </w:r>
      <w:r w:rsidR="00E974B2" w:rsidRPr="006C476A">
        <w:instrText>":"</w:instrText>
      </w:r>
      <w:r w:rsidR="00E974B2">
        <w:rPr>
          <w:lang w:val="en-US"/>
        </w:rPr>
        <w:instrText>Journal</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advanced</w:instrText>
      </w:r>
      <w:r w:rsidR="00E974B2" w:rsidRPr="006C476A">
        <w:instrText xml:space="preserve"> </w:instrText>
      </w:r>
      <w:r w:rsidR="00E974B2">
        <w:rPr>
          <w:lang w:val="en-US"/>
        </w:rPr>
        <w:instrText>practitioner</w:instrText>
      </w:r>
      <w:r w:rsidR="00E974B2" w:rsidRPr="006C476A">
        <w:instrText xml:space="preserve"> </w:instrText>
      </w:r>
      <w:r w:rsidR="00E974B2">
        <w:rPr>
          <w:lang w:val="en-US"/>
        </w:rPr>
        <w:instrText>in</w:instrText>
      </w:r>
      <w:r w:rsidR="00E974B2" w:rsidRPr="006C476A">
        <w:instrText xml:space="preserve"> </w:instrText>
      </w:r>
      <w:r w:rsidR="00E974B2">
        <w:rPr>
          <w:lang w:val="en-US"/>
        </w:rPr>
        <w:instrText>oncology</w:instrText>
      </w:r>
      <w:r w:rsidR="00E974B2" w:rsidRPr="006C476A">
        <w:instrText>","</w:instrText>
      </w:r>
      <w:r w:rsidR="00E974B2">
        <w:rPr>
          <w:lang w:val="en-US"/>
        </w:rPr>
        <w:instrText>id</w:instrText>
      </w:r>
      <w:r w:rsidR="00E974B2" w:rsidRPr="006C476A">
        <w:instrText>":"</w:instrText>
      </w:r>
      <w:r w:rsidR="00E974B2">
        <w:rPr>
          <w:lang w:val="en-US"/>
        </w:rPr>
        <w:instrText>ITEM</w:instrText>
      </w:r>
      <w:r w:rsidR="00E974B2" w:rsidRPr="006C476A">
        <w:instrText>-1","</w:instrText>
      </w:r>
      <w:r w:rsidR="00E974B2">
        <w:rPr>
          <w:lang w:val="en-US"/>
        </w:rPr>
        <w:instrText>issue</w:instrText>
      </w:r>
      <w:r w:rsidR="00E974B2" w:rsidRPr="006C476A">
        <w:instrText>":"5","</w:instrText>
      </w:r>
      <w:r w:rsidR="00E974B2">
        <w:rPr>
          <w:lang w:val="en-US"/>
        </w:rPr>
        <w:instrText>issued</w:instrText>
      </w:r>
      <w:r w:rsidR="00E974B2" w:rsidRPr="006C476A">
        <w:instrText>":{"</w:instrText>
      </w:r>
      <w:r w:rsidR="00E974B2">
        <w:rPr>
          <w:lang w:val="en-US"/>
        </w:rPr>
        <w:instrText>date</w:instrText>
      </w:r>
      <w:r w:rsidR="00E974B2" w:rsidRPr="006C476A">
        <w:instrText>-</w:instrText>
      </w:r>
      <w:r w:rsidR="00E974B2">
        <w:rPr>
          <w:lang w:val="en-US"/>
        </w:rPr>
        <w:instrText>parts</w:instrText>
      </w:r>
      <w:r w:rsidR="00E974B2" w:rsidRPr="006C476A">
        <w:instrText>":[["2018"]]},"</w:instrText>
      </w:r>
      <w:r w:rsidR="00E974B2">
        <w:rPr>
          <w:lang w:val="en-US"/>
        </w:rPr>
        <w:instrText>page</w:instrText>
      </w:r>
      <w:r w:rsidR="00E974B2" w:rsidRPr="006C476A">
        <w:instrText>":"530-534","</w:instrText>
      </w:r>
      <w:r w:rsidR="00E974B2">
        <w:rPr>
          <w:lang w:val="en-US"/>
        </w:rPr>
        <w:instrText>publisher</w:instrText>
      </w:r>
      <w:r w:rsidR="00E974B2" w:rsidRPr="006C476A">
        <w:instrText>":"</w:instrText>
      </w:r>
      <w:r w:rsidR="00E974B2">
        <w:rPr>
          <w:lang w:val="en-US"/>
        </w:rPr>
        <w:instrText>Harborside</w:instrText>
      </w:r>
      <w:r w:rsidR="00E974B2" w:rsidRPr="006C476A">
        <w:instrText xml:space="preserve"> </w:instrText>
      </w:r>
      <w:r w:rsidR="00E974B2">
        <w:rPr>
          <w:lang w:val="en-US"/>
        </w:rPr>
        <w:instrText>Press</w:instrText>
      </w:r>
      <w:r w:rsidR="00E974B2" w:rsidRPr="006C476A">
        <w:instrText>","</w:instrText>
      </w:r>
      <w:r w:rsidR="00E974B2">
        <w:rPr>
          <w:lang w:val="en-US"/>
        </w:rPr>
        <w:instrText>title</w:instrText>
      </w:r>
      <w:r w:rsidR="00E974B2" w:rsidRPr="006C476A">
        <w:instrText>":"</w:instrText>
      </w:r>
      <w:r w:rsidR="00E974B2">
        <w:rPr>
          <w:lang w:val="en-US"/>
        </w:rPr>
        <w:instrText>Subcutaneous</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in</w:instrText>
      </w:r>
      <w:r w:rsidR="00E974B2" w:rsidRPr="006C476A">
        <w:instrText xml:space="preserve"> </w:instrText>
      </w:r>
      <w:r w:rsidR="00E974B2">
        <w:rPr>
          <w:lang w:val="en-US"/>
        </w:rPr>
        <w:instrText>Follicular</w:instrText>
      </w:r>
      <w:r w:rsidR="00E974B2" w:rsidRPr="006C476A">
        <w:instrText xml:space="preserve"> </w:instrText>
      </w:r>
      <w:r w:rsidR="00E974B2">
        <w:rPr>
          <w:lang w:val="en-US"/>
        </w:rPr>
        <w:instrText>Lymphoma</w:instrText>
      </w:r>
      <w:r w:rsidR="00E974B2" w:rsidRPr="006C476A">
        <w:instrText xml:space="preserve">, </w:instrText>
      </w:r>
      <w:r w:rsidR="00E974B2">
        <w:rPr>
          <w:lang w:val="en-US"/>
        </w:rPr>
        <w:instrText>Chronic</w:instrText>
      </w:r>
      <w:r w:rsidR="00E974B2" w:rsidRPr="006C476A">
        <w:instrText xml:space="preserve"> </w:instrText>
      </w:r>
      <w:r w:rsidR="00E974B2">
        <w:rPr>
          <w:lang w:val="en-US"/>
        </w:rPr>
        <w:instrText>Lymphocytic</w:instrText>
      </w:r>
      <w:r w:rsidR="00E974B2" w:rsidRPr="006C476A">
        <w:instrText xml:space="preserve"> </w:instrText>
      </w:r>
      <w:r w:rsidR="00E974B2">
        <w:rPr>
          <w:lang w:val="en-US"/>
        </w:rPr>
        <w:instrText>Leukemia</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Diffuse</w:instrText>
      </w:r>
      <w:r w:rsidR="00E974B2" w:rsidRPr="006C476A">
        <w:instrText xml:space="preserve"> </w:instrText>
      </w:r>
      <w:r w:rsidR="00E974B2">
        <w:rPr>
          <w:lang w:val="en-US"/>
        </w:rPr>
        <w:instrText>Large</w:instrText>
      </w:r>
      <w:r w:rsidR="00E974B2" w:rsidRPr="006C476A">
        <w:instrText xml:space="preserve"> </w:instrText>
      </w:r>
      <w:r w:rsidR="00E974B2">
        <w:rPr>
          <w:lang w:val="en-US"/>
        </w:rPr>
        <w:instrText>B</w:instrText>
      </w:r>
      <w:r w:rsidR="00E974B2" w:rsidRPr="006C476A">
        <w:instrText>-</w:instrText>
      </w:r>
      <w:r w:rsidR="00E974B2">
        <w:rPr>
          <w:lang w:val="en-US"/>
        </w:rPr>
        <w:instrText>Cell</w:instrText>
      </w:r>
      <w:r w:rsidR="00E974B2" w:rsidRPr="006C476A">
        <w:instrText xml:space="preserve"> </w:instrText>
      </w:r>
      <w:r w:rsidR="00E974B2">
        <w:rPr>
          <w:lang w:val="en-US"/>
        </w:rPr>
        <w:instrText>Lymphoma</w:instrText>
      </w:r>
      <w:r w:rsidR="00E974B2" w:rsidRPr="006C476A">
        <w:instrText>.","</w:instrText>
      </w:r>
      <w:r w:rsidR="00E974B2">
        <w:rPr>
          <w:lang w:val="en-US"/>
        </w:rPr>
        <w:instrText>type</w:instrText>
      </w:r>
      <w:r w:rsidR="00E974B2" w:rsidRPr="006C476A">
        <w:instrText>":"</w:instrText>
      </w:r>
      <w:r w:rsidR="00E974B2">
        <w:rPr>
          <w:lang w:val="en-US"/>
        </w:rPr>
        <w:instrText>article</w:instrText>
      </w:r>
      <w:r w:rsidR="00E974B2" w:rsidRPr="006C476A">
        <w:instrText>-</w:instrText>
      </w:r>
      <w:r w:rsidR="00E974B2">
        <w:rPr>
          <w:lang w:val="en-US"/>
        </w:rPr>
        <w:instrText>journal</w:instrText>
      </w:r>
      <w:r w:rsidR="00E974B2" w:rsidRPr="006C476A">
        <w:instrText>","</w:instrText>
      </w:r>
      <w:r w:rsidR="00E974B2">
        <w:rPr>
          <w:lang w:val="en-US"/>
        </w:rPr>
        <w:instrText>volume</w:instrText>
      </w:r>
      <w:r w:rsidR="00E974B2" w:rsidRPr="006C476A">
        <w:instrText>":"9"},"</w:instrText>
      </w:r>
      <w:r w:rsidR="00E974B2">
        <w:rPr>
          <w:lang w:val="en-US"/>
        </w:rPr>
        <w:instrText>uris</w:instrText>
      </w:r>
      <w:r w:rsidR="00E974B2" w:rsidRPr="006C476A">
        <w:instrText>":["</w:instrText>
      </w:r>
      <w:r w:rsidR="00E974B2">
        <w:rPr>
          <w:lang w:val="en-US"/>
        </w:rPr>
        <w:instrText>http</w:instrText>
      </w:r>
      <w:r w:rsidR="00E974B2" w:rsidRPr="006C476A">
        <w:instrText>://</w:instrText>
      </w:r>
      <w:r w:rsidR="00E974B2">
        <w:rPr>
          <w:lang w:val="en-US"/>
        </w:rPr>
        <w:instrText>www</w:instrText>
      </w:r>
      <w:r w:rsidR="00E974B2" w:rsidRPr="006C476A">
        <w:instrText>.</w:instrText>
      </w:r>
      <w:r w:rsidR="00E974B2">
        <w:rPr>
          <w:lang w:val="en-US"/>
        </w:rPr>
        <w:instrText>mendeley</w:instrText>
      </w:r>
      <w:r w:rsidR="00E974B2" w:rsidRPr="006C476A">
        <w:instrText>.</w:instrText>
      </w:r>
      <w:r w:rsidR="00E974B2">
        <w:rPr>
          <w:lang w:val="en-US"/>
        </w:rPr>
        <w:instrText>com</w:instrText>
      </w:r>
      <w:r w:rsidR="00E974B2" w:rsidRPr="006C476A">
        <w:instrText>/</w:instrText>
      </w:r>
      <w:r w:rsidR="00E974B2">
        <w:rPr>
          <w:lang w:val="en-US"/>
        </w:rPr>
        <w:instrText>documents</w:instrText>
      </w:r>
      <w:r w:rsidR="00E974B2" w:rsidRPr="006C476A">
        <w:instrText>/?</w:instrText>
      </w:r>
      <w:r w:rsidR="00E974B2">
        <w:rPr>
          <w:lang w:val="en-US"/>
        </w:rPr>
        <w:instrText>uuid</w:instrText>
      </w:r>
      <w:r w:rsidR="00E974B2" w:rsidRPr="006C476A">
        <w:instrText>=</w:instrText>
      </w:r>
      <w:r w:rsidR="00E974B2">
        <w:rPr>
          <w:lang w:val="en-US"/>
        </w:rPr>
        <w:instrText>fbb</w:instrText>
      </w:r>
      <w:r w:rsidR="00E974B2" w:rsidRPr="006C476A">
        <w:instrText>0</w:instrText>
      </w:r>
      <w:r w:rsidR="00E974B2">
        <w:rPr>
          <w:lang w:val="en-US"/>
        </w:rPr>
        <w:instrText>b</w:instrText>
      </w:r>
      <w:r w:rsidR="00E974B2" w:rsidRPr="006C476A">
        <w:instrText>8</w:instrText>
      </w:r>
      <w:r w:rsidR="00E974B2">
        <w:rPr>
          <w:lang w:val="en-US"/>
        </w:rPr>
        <w:instrText>f</w:instrText>
      </w:r>
      <w:r w:rsidR="00E974B2" w:rsidRPr="006C476A">
        <w:instrText>4-6</w:instrText>
      </w:r>
      <w:r w:rsidR="00E974B2">
        <w:rPr>
          <w:lang w:val="en-US"/>
        </w:rPr>
        <w:instrText>b</w:instrText>
      </w:r>
      <w:r w:rsidR="00E974B2" w:rsidRPr="006C476A">
        <w:instrText>58-3</w:instrText>
      </w:r>
      <w:r w:rsidR="00E974B2">
        <w:rPr>
          <w:lang w:val="en-US"/>
        </w:rPr>
        <w:instrText>a</w:instrText>
      </w:r>
      <w:r w:rsidR="00E974B2" w:rsidRPr="006C476A">
        <w:instrText>10-</w:instrText>
      </w:r>
      <w:r w:rsidR="00E974B2">
        <w:rPr>
          <w:lang w:val="en-US"/>
        </w:rPr>
        <w:instrText>b</w:instrText>
      </w:r>
      <w:r w:rsidR="00E974B2" w:rsidRPr="006C476A">
        <w:instrText>7</w:instrText>
      </w:r>
      <w:r w:rsidR="00E974B2">
        <w:rPr>
          <w:lang w:val="en-US"/>
        </w:rPr>
        <w:instrText>d</w:instrText>
      </w:r>
      <w:r w:rsidR="00E974B2" w:rsidRPr="006C476A">
        <w:instrText>6-</w:instrText>
      </w:r>
      <w:r w:rsidR="00E974B2">
        <w:rPr>
          <w:lang w:val="en-US"/>
        </w:rPr>
        <w:instrText>af</w:instrText>
      </w:r>
      <w:r w:rsidR="00E974B2" w:rsidRPr="006C476A">
        <w:instrText>3854030</w:instrText>
      </w:r>
      <w:r w:rsidR="00E974B2">
        <w:rPr>
          <w:lang w:val="en-US"/>
        </w:rPr>
        <w:instrText>be</w:instrText>
      </w:r>
      <w:r w:rsidR="00E974B2" w:rsidRPr="006C476A">
        <w:instrText>8"]},{"</w:instrText>
      </w:r>
      <w:r w:rsidR="00E974B2">
        <w:rPr>
          <w:lang w:val="en-US"/>
        </w:rPr>
        <w:instrText>id</w:instrText>
      </w:r>
      <w:r w:rsidR="00E974B2" w:rsidRPr="006C476A">
        <w:instrText>":"</w:instrText>
      </w:r>
      <w:r w:rsidR="00E974B2">
        <w:rPr>
          <w:lang w:val="en-US"/>
        </w:rPr>
        <w:instrText>ITEM</w:instrText>
      </w:r>
      <w:r w:rsidR="00E974B2" w:rsidRPr="006C476A">
        <w:instrText>-2","</w:instrText>
      </w:r>
      <w:r w:rsidR="00E974B2">
        <w:rPr>
          <w:lang w:val="en-US"/>
        </w:rPr>
        <w:instrText>itemData</w:instrText>
      </w:r>
      <w:r w:rsidR="00E974B2" w:rsidRPr="006C476A">
        <w:instrText>":{"</w:instrText>
      </w:r>
      <w:r w:rsidR="00E974B2">
        <w:rPr>
          <w:lang w:val="en-US"/>
        </w:rPr>
        <w:instrText>DOI</w:instrText>
      </w:r>
      <w:r w:rsidR="00E974B2" w:rsidRPr="006C476A">
        <w:instrText>":"10.1007/</w:instrText>
      </w:r>
      <w:r w:rsidR="00E974B2">
        <w:rPr>
          <w:lang w:val="en-US"/>
        </w:rPr>
        <w:instrText>s</w:instrText>
      </w:r>
      <w:r w:rsidR="00E974B2" w:rsidRPr="006C476A">
        <w:instrText>12325-017-0610-</w:instrText>
      </w:r>
      <w:r w:rsidR="00E974B2">
        <w:rPr>
          <w:lang w:val="en-US"/>
        </w:rPr>
        <w:instrText>z</w:instrText>
      </w:r>
      <w:r w:rsidR="00E974B2" w:rsidRPr="006C476A">
        <w:instrText>","</w:instrText>
      </w:r>
      <w:r w:rsidR="00E974B2">
        <w:rPr>
          <w:lang w:val="en-US"/>
        </w:rPr>
        <w:instrText>ISSN</w:instrText>
      </w:r>
      <w:r w:rsidR="00E974B2" w:rsidRPr="006C476A">
        <w:instrText>":"18658652","</w:instrText>
      </w:r>
      <w:r w:rsidR="00E974B2">
        <w:rPr>
          <w:lang w:val="en-US"/>
        </w:rPr>
        <w:instrText>abstract</w:instrText>
      </w:r>
      <w:r w:rsidR="00E974B2" w:rsidRPr="006C476A">
        <w:instrText>":"</w:instrText>
      </w:r>
      <w:r w:rsidR="00E974B2">
        <w:rPr>
          <w:lang w:val="en-US"/>
        </w:rPr>
        <w:instrText>Abstract</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MabThera</w:instrText>
      </w:r>
      <w:r w:rsidR="00E974B2" w:rsidRPr="006C476A">
        <w:instrText>®/</w:instrText>
      </w:r>
      <w:r w:rsidR="00E974B2">
        <w:rPr>
          <w:lang w:val="en-US"/>
        </w:rPr>
        <w:instrText>Rituxan</w:instrText>
      </w:r>
      <w:r w:rsidR="00E974B2" w:rsidRPr="006C476A">
        <w:instrText>®</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chimeric</w:instrText>
      </w:r>
      <w:r w:rsidR="00E974B2" w:rsidRPr="006447F6">
        <w:instrText xml:space="preserve"> </w:instrText>
      </w:r>
      <w:r w:rsidR="00E974B2">
        <w:rPr>
          <w:lang w:val="en-US"/>
        </w:rPr>
        <w:instrText>murine</w:instrText>
      </w:r>
      <w:r w:rsidR="00E974B2" w:rsidRPr="006447F6">
        <w:instrText>/</w:instrText>
      </w:r>
      <w:r w:rsidR="00E974B2">
        <w:rPr>
          <w:lang w:val="en-US"/>
        </w:rPr>
        <w:instrText>human</w:instrText>
      </w:r>
      <w:r w:rsidR="00E974B2" w:rsidRPr="006447F6">
        <w:instrText xml:space="preserve"> </w:instrText>
      </w:r>
      <w:r w:rsidR="00E974B2">
        <w:rPr>
          <w:lang w:val="en-US"/>
        </w:rPr>
        <w:instrText>monoclonal</w:instrText>
      </w:r>
      <w:r w:rsidR="00E974B2" w:rsidRPr="006447F6">
        <w:instrText xml:space="preserve"> </w:instrText>
      </w:r>
      <w:r w:rsidR="00E974B2">
        <w:rPr>
          <w:lang w:val="en-US"/>
        </w:rPr>
        <w:instrText>antibody</w:instrText>
      </w:r>
      <w:r w:rsidR="00E974B2" w:rsidRPr="006447F6">
        <w:instrText xml:space="preserve"> </w:instrText>
      </w:r>
      <w:r w:rsidR="00E974B2">
        <w:rPr>
          <w:lang w:val="en-US"/>
        </w:rPr>
        <w:instrText>that</w:instrText>
      </w:r>
      <w:r w:rsidR="00E974B2" w:rsidRPr="006447F6">
        <w:instrText xml:space="preserve"> </w:instrText>
      </w:r>
      <w:r w:rsidR="00E974B2">
        <w:rPr>
          <w:lang w:val="en-US"/>
        </w:rPr>
        <w:instrText>binds</w:instrText>
      </w:r>
      <w:r w:rsidR="00E974B2" w:rsidRPr="006447F6">
        <w:instrText xml:space="preserve"> </w:instrText>
      </w:r>
      <w:r w:rsidR="00E974B2">
        <w:rPr>
          <w:lang w:val="en-US"/>
        </w:rPr>
        <w:instrText>specifically</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transmembrane</w:instrText>
      </w:r>
      <w:r w:rsidR="00E974B2" w:rsidRPr="006447F6">
        <w:instrText xml:space="preserve"> </w:instrText>
      </w:r>
      <w:r w:rsidR="00E974B2">
        <w:rPr>
          <w:lang w:val="en-US"/>
        </w:rPr>
        <w:instrText>antigen</w:instrText>
      </w:r>
      <w:r w:rsidR="00E974B2" w:rsidRPr="006447F6">
        <w:instrText xml:space="preserve"> </w:instrText>
      </w:r>
      <w:r w:rsidR="00E974B2">
        <w:rPr>
          <w:lang w:val="en-US"/>
        </w:rPr>
        <w:instrText>CD</w:instrText>
      </w:r>
      <w:r w:rsidR="00E974B2" w:rsidRPr="006447F6">
        <w:instrText xml:space="preserve">20, </w:instrText>
      </w:r>
      <w:r w:rsidR="00E974B2">
        <w:rPr>
          <w:lang w:val="en-US"/>
        </w:rPr>
        <w:instrText>was</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first</w:instrText>
      </w:r>
      <w:r w:rsidR="00E974B2" w:rsidRPr="006447F6">
        <w:instrText xml:space="preserve"> </w:instrText>
      </w:r>
      <w:r w:rsidR="00E974B2">
        <w:rPr>
          <w:lang w:val="en-US"/>
        </w:rPr>
        <w:instrText>therapeutic</w:instrText>
      </w:r>
      <w:r w:rsidR="00E974B2" w:rsidRPr="006447F6">
        <w:instrText xml:space="preserve"> </w:instrText>
      </w:r>
      <w:r w:rsidR="00E974B2">
        <w:rPr>
          <w:lang w:val="en-US"/>
        </w:rPr>
        <w:instrText>antibody</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enter</w:instrText>
      </w:r>
      <w:r w:rsidR="00E974B2" w:rsidRPr="006447F6">
        <w:instrText xml:space="preserve"> </w:instrText>
      </w:r>
      <w:r w:rsidR="00E974B2">
        <w:rPr>
          <w:lang w:val="en-US"/>
        </w:rPr>
        <w:instrText>clinical</w:instrText>
      </w:r>
      <w:r w:rsidR="00E974B2" w:rsidRPr="006447F6">
        <w:instrText xml:space="preserve"> </w:instrText>
      </w:r>
      <w:r w:rsidR="00E974B2">
        <w:rPr>
          <w:lang w:val="en-US"/>
        </w:rPr>
        <w:instrText>practice</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treatment</w:instrText>
      </w:r>
      <w:r w:rsidR="00E974B2" w:rsidRPr="006447F6">
        <w:instrText xml:space="preserve"> </w:instrText>
      </w:r>
      <w:r w:rsidR="00E974B2">
        <w:rPr>
          <w:lang w:val="en-US"/>
        </w:rPr>
        <w:instrText>of</w:instrText>
      </w:r>
      <w:r w:rsidR="00E974B2" w:rsidRPr="006447F6">
        <w:instrText xml:space="preserve"> </w:instrText>
      </w:r>
      <w:r w:rsidR="00E974B2">
        <w:rPr>
          <w:lang w:val="en-US"/>
        </w:rPr>
        <w:instrText>cancer</w:instrText>
      </w:r>
      <w:r w:rsidR="00E974B2" w:rsidRPr="006447F6">
        <w:instrText xml:space="preserve">. </w:instrText>
      </w:r>
      <w:r w:rsidR="00E974B2">
        <w:rPr>
          <w:lang w:val="en-US"/>
        </w:rPr>
        <w:instrText>As</w:instrText>
      </w:r>
      <w:r w:rsidR="00E974B2" w:rsidRPr="006447F6">
        <w:instrText xml:space="preserve"> </w:instrText>
      </w:r>
      <w:r w:rsidR="00E974B2">
        <w:rPr>
          <w:lang w:val="en-US"/>
        </w:rPr>
        <w:instrText>monotherapy</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combination</w:instrText>
      </w:r>
      <w:r w:rsidR="00E974B2" w:rsidRPr="006447F6">
        <w:instrText xml:space="preserve"> </w:instrText>
      </w:r>
      <w:r w:rsidR="00E974B2">
        <w:rPr>
          <w:lang w:val="en-US"/>
        </w:rPr>
        <w:instrText>with</w:instrText>
      </w:r>
      <w:r w:rsidR="00E974B2" w:rsidRPr="006447F6">
        <w:instrText xml:space="preserve"> </w:instrText>
      </w:r>
      <w:r w:rsidR="00E974B2">
        <w:rPr>
          <w:lang w:val="en-US"/>
        </w:rPr>
        <w:instrText>chemotherapy</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has</w:instrText>
      </w:r>
      <w:r w:rsidR="00E974B2" w:rsidRPr="006447F6">
        <w:instrText xml:space="preserve"> </w:instrText>
      </w:r>
      <w:r w:rsidR="00E974B2">
        <w:rPr>
          <w:lang w:val="en-US"/>
        </w:rPr>
        <w:instrText>been</w:instrText>
      </w:r>
      <w:r w:rsidR="00E974B2" w:rsidRPr="006447F6">
        <w:instrText xml:space="preserve"> </w:instrText>
      </w:r>
      <w:r w:rsidR="00E974B2">
        <w:rPr>
          <w:lang w:val="en-US"/>
        </w:rPr>
        <w:instrText>shown</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prolong</w:instrText>
      </w:r>
      <w:r w:rsidR="00E974B2" w:rsidRPr="006447F6">
        <w:instrText xml:space="preserve"> </w:instrText>
      </w:r>
      <w:r w:rsidR="00E974B2">
        <w:rPr>
          <w:lang w:val="en-US"/>
        </w:rPr>
        <w:instrText>progression</w:instrText>
      </w:r>
      <w:r w:rsidR="00E974B2" w:rsidRPr="006447F6">
        <w:instrText>-</w:instrText>
      </w:r>
      <w:r w:rsidR="00E974B2">
        <w:rPr>
          <w:lang w:val="en-US"/>
        </w:rPr>
        <w:instrText>free</w:instrText>
      </w:r>
      <w:r w:rsidR="00E974B2" w:rsidRPr="006447F6">
        <w:instrText xml:space="preserve"> </w:instrText>
      </w:r>
      <w:r w:rsidR="00E974B2">
        <w:rPr>
          <w:lang w:val="en-US"/>
        </w:rPr>
        <w:instrText>survival</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some</w:instrText>
      </w:r>
      <w:r w:rsidR="00E974B2" w:rsidRPr="006447F6">
        <w:instrText xml:space="preserve"> </w:instrText>
      </w:r>
      <w:r w:rsidR="00E974B2">
        <w:rPr>
          <w:lang w:val="en-US"/>
        </w:rPr>
        <w:instrText>indications</w:instrText>
      </w:r>
      <w:r w:rsidR="00E974B2" w:rsidRPr="006447F6">
        <w:instrText xml:space="preserve"> </w:instrText>
      </w:r>
      <w:r w:rsidR="00E974B2">
        <w:rPr>
          <w:lang w:val="en-US"/>
        </w:rPr>
        <w:instrText>overall</w:instrText>
      </w:r>
      <w:r w:rsidR="00E974B2" w:rsidRPr="006447F6">
        <w:instrText xml:space="preserve"> </w:instrText>
      </w:r>
      <w:r w:rsidR="00E974B2">
        <w:rPr>
          <w:lang w:val="en-US"/>
        </w:rPr>
        <w:instrText>survival</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patients</w:instrText>
      </w:r>
      <w:r w:rsidR="00E974B2" w:rsidRPr="006447F6">
        <w:instrText xml:space="preserve"> </w:instrText>
      </w:r>
      <w:r w:rsidR="00E974B2">
        <w:rPr>
          <w:lang w:val="en-US"/>
        </w:rPr>
        <w:instrText>with</w:instrText>
      </w:r>
      <w:r w:rsidR="00E974B2" w:rsidRPr="006447F6">
        <w:instrText xml:space="preserve"> </w:instrText>
      </w:r>
      <w:r w:rsidR="00E974B2">
        <w:rPr>
          <w:lang w:val="en-US"/>
        </w:rPr>
        <w:instrText>various</w:instrText>
      </w:r>
      <w:r w:rsidR="00E974B2" w:rsidRPr="006447F6">
        <w:instrText xml:space="preserve"> </w:instrText>
      </w:r>
      <w:r w:rsidR="00E974B2">
        <w:rPr>
          <w:lang w:val="en-US"/>
        </w:rPr>
        <w:instrText>B</w:instrText>
      </w:r>
      <w:r w:rsidR="00E974B2" w:rsidRPr="006447F6">
        <w:instrText>-</w:instrText>
      </w:r>
      <w:r w:rsidR="00E974B2">
        <w:rPr>
          <w:lang w:val="en-US"/>
        </w:rPr>
        <w:instrText>cell</w:instrText>
      </w:r>
      <w:r w:rsidR="00E974B2" w:rsidRPr="006447F6">
        <w:instrText xml:space="preserve"> </w:instrText>
      </w:r>
      <w:r w:rsidR="00E974B2">
        <w:rPr>
          <w:lang w:val="en-US"/>
        </w:rPr>
        <w:instrText>malignancies</w:instrText>
      </w:r>
      <w:r w:rsidR="00E974B2" w:rsidRPr="006447F6">
        <w:instrText xml:space="preserve">, </w:instrText>
      </w:r>
      <w:r w:rsidR="00E974B2">
        <w:rPr>
          <w:lang w:val="en-US"/>
        </w:rPr>
        <w:instrText>while</w:instrText>
      </w:r>
      <w:r w:rsidR="00E974B2" w:rsidRPr="006447F6">
        <w:instrText xml:space="preserve"> </w:instrText>
      </w:r>
      <w:r w:rsidR="00E974B2">
        <w:rPr>
          <w:lang w:val="en-US"/>
        </w:rPr>
        <w:instrText>having</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well</w:instrText>
      </w:r>
      <w:r w:rsidR="00E974B2" w:rsidRPr="006447F6">
        <w:instrText>-</w:instrText>
      </w:r>
      <w:r w:rsidR="00E974B2">
        <w:rPr>
          <w:lang w:val="en-US"/>
        </w:rPr>
        <w:instrText>established</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manageable</w:instrText>
      </w:r>
      <w:r w:rsidR="00E974B2" w:rsidRPr="006447F6">
        <w:instrText xml:space="preserve"> </w:instrText>
      </w:r>
      <w:r w:rsidR="00E974B2">
        <w:rPr>
          <w:lang w:val="en-US"/>
        </w:rPr>
        <w:instrText>safety</w:instrText>
      </w:r>
      <w:r w:rsidR="00E974B2" w:rsidRPr="006447F6">
        <w:instrText xml:space="preserve"> </w:instrText>
      </w:r>
      <w:r w:rsidR="00E974B2">
        <w:rPr>
          <w:lang w:val="en-US"/>
        </w:rPr>
        <w:instrText>profile</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wide</w:instrText>
      </w:r>
      <w:r w:rsidR="00E974B2" w:rsidRPr="006447F6">
        <w:instrText xml:space="preserve"> </w:instrText>
      </w:r>
      <w:r w:rsidR="00E974B2">
        <w:rPr>
          <w:lang w:val="en-US"/>
        </w:rPr>
        <w:instrText>therapeutic</w:instrText>
      </w:r>
      <w:r w:rsidR="00E974B2" w:rsidRPr="006447F6">
        <w:instrText xml:space="preserve"> </w:instrText>
      </w:r>
      <w:r w:rsidR="00E974B2">
        <w:rPr>
          <w:lang w:val="en-US"/>
        </w:rPr>
        <w:instrText>window</w:instrText>
      </w:r>
      <w:r w:rsidR="00E974B2" w:rsidRPr="006447F6">
        <w:instrText xml:space="preserve">. </w:instrText>
      </w:r>
      <w:r w:rsidR="00E974B2">
        <w:rPr>
          <w:lang w:val="en-US"/>
        </w:rPr>
        <w:instrText>As</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result</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is</w:instrText>
      </w:r>
      <w:r w:rsidR="00E974B2" w:rsidRPr="006447F6">
        <w:instrText xml:space="preserve"> </w:instrText>
      </w:r>
      <w:r w:rsidR="00E974B2">
        <w:rPr>
          <w:lang w:val="en-US"/>
        </w:rPr>
        <w:instrText>considered</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have</w:instrText>
      </w:r>
      <w:r w:rsidR="00E974B2" w:rsidRPr="006447F6">
        <w:instrText xml:space="preserve"> </w:instrText>
      </w:r>
      <w:r w:rsidR="00E974B2">
        <w:rPr>
          <w:lang w:val="en-US"/>
        </w:rPr>
        <w:instrText>revolutionized</w:instrText>
      </w:r>
      <w:r w:rsidR="00E974B2" w:rsidRPr="006447F6">
        <w:instrText xml:space="preserve"> </w:instrText>
      </w:r>
      <w:r w:rsidR="00E974B2">
        <w:rPr>
          <w:lang w:val="en-US"/>
        </w:rPr>
        <w:instrText>treatment</w:instrText>
      </w:r>
      <w:r w:rsidR="00E974B2" w:rsidRPr="006447F6">
        <w:instrText xml:space="preserve"> </w:instrText>
      </w:r>
      <w:r w:rsidR="00E974B2">
        <w:rPr>
          <w:lang w:val="en-US"/>
        </w:rPr>
        <w:instrText>practices</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patients</w:instrText>
      </w:r>
      <w:r w:rsidR="00E974B2" w:rsidRPr="006447F6">
        <w:instrText xml:space="preserve"> </w:instrText>
      </w:r>
      <w:r w:rsidR="00E974B2">
        <w:rPr>
          <w:lang w:val="en-US"/>
        </w:rPr>
        <w:instrText>with</w:instrText>
      </w:r>
      <w:r w:rsidR="00E974B2" w:rsidRPr="006447F6">
        <w:instrText xml:space="preserve"> </w:instrText>
      </w:r>
      <w:r w:rsidR="00E974B2">
        <w:rPr>
          <w:lang w:val="en-US"/>
        </w:rPr>
        <w:instrText>B</w:instrText>
      </w:r>
      <w:r w:rsidR="00E974B2" w:rsidRPr="006447F6">
        <w:instrText>-</w:instrText>
      </w:r>
      <w:r w:rsidR="00E974B2">
        <w:rPr>
          <w:lang w:val="en-US"/>
        </w:rPr>
        <w:instrText>cell</w:instrText>
      </w:r>
      <w:r w:rsidR="00E974B2" w:rsidRPr="006447F6">
        <w:instrText xml:space="preserve"> </w:instrText>
      </w:r>
      <w:r w:rsidR="00E974B2">
        <w:rPr>
          <w:lang w:val="en-US"/>
        </w:rPr>
        <w:instrText>malignancies</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subcutaneous</w:instrText>
      </w:r>
      <w:r w:rsidR="00E974B2" w:rsidRPr="006447F6">
        <w:instrText xml:space="preserve"> (</w:instrText>
      </w:r>
      <w:r w:rsidR="00E974B2">
        <w:rPr>
          <w:lang w:val="en-US"/>
        </w:rPr>
        <w:instrText>SC</w:instrText>
      </w:r>
      <w:r w:rsidR="00E974B2" w:rsidRPr="006447F6">
        <w:instrText xml:space="preserve">) </w:instrText>
      </w:r>
      <w:r w:rsidR="00E974B2">
        <w:rPr>
          <w:lang w:val="en-US"/>
        </w:rPr>
        <w:instrText>formulation</w:instrText>
      </w:r>
      <w:r w:rsidR="00E974B2" w:rsidRPr="006447F6">
        <w:instrText xml:space="preserve"> </w:instrText>
      </w:r>
      <w:r w:rsidR="00E974B2">
        <w:rPr>
          <w:lang w:val="en-US"/>
        </w:rPr>
        <w:instrText>of</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has</w:instrText>
      </w:r>
      <w:r w:rsidR="00E974B2" w:rsidRPr="006447F6">
        <w:instrText xml:space="preserve"> </w:instrText>
      </w:r>
      <w:r w:rsidR="00E974B2">
        <w:rPr>
          <w:lang w:val="en-US"/>
        </w:rPr>
        <w:instrText>been</w:instrText>
      </w:r>
      <w:r w:rsidR="00E974B2" w:rsidRPr="006447F6">
        <w:instrText xml:space="preserve"> </w:instrText>
      </w:r>
      <w:r w:rsidR="00E974B2">
        <w:rPr>
          <w:lang w:val="en-US"/>
        </w:rPr>
        <w:instrText>developed</w:instrText>
      </w:r>
      <w:r w:rsidR="00E974B2" w:rsidRPr="006447F6">
        <w:instrText xml:space="preserve">, </w:instrText>
      </w:r>
      <w:r w:rsidR="00E974B2">
        <w:rPr>
          <w:lang w:val="en-US"/>
        </w:rPr>
        <w:instrText>comprising</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same</w:instrText>
      </w:r>
      <w:r w:rsidR="00E974B2" w:rsidRPr="006447F6">
        <w:instrText xml:space="preserve"> </w:instrText>
      </w:r>
      <w:r w:rsidR="00E974B2">
        <w:rPr>
          <w:lang w:val="en-US"/>
        </w:rPr>
        <w:instrText>monoclonal</w:instrText>
      </w:r>
      <w:r w:rsidR="00E974B2" w:rsidRPr="006447F6">
        <w:instrText xml:space="preserve"> </w:instrText>
      </w:r>
      <w:r w:rsidR="00E974B2">
        <w:rPr>
          <w:lang w:val="en-US"/>
        </w:rPr>
        <w:instrText>antibody</w:instrText>
      </w:r>
      <w:r w:rsidR="00E974B2" w:rsidRPr="006447F6">
        <w:instrText xml:space="preserve"> </w:instrText>
      </w:r>
      <w:r w:rsidR="00E974B2">
        <w:rPr>
          <w:lang w:val="en-US"/>
        </w:rPr>
        <w:instrText>as</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originally</w:instrText>
      </w:r>
      <w:r w:rsidR="00E974B2" w:rsidRPr="006447F6">
        <w:instrText xml:space="preserve"> </w:instrText>
      </w:r>
      <w:r w:rsidR="00E974B2">
        <w:rPr>
          <w:lang w:val="en-US"/>
        </w:rPr>
        <w:instrText>marketed</w:instrText>
      </w:r>
      <w:r w:rsidR="00E974B2" w:rsidRPr="006447F6">
        <w:instrText xml:space="preserve"> </w:instrText>
      </w:r>
      <w:r w:rsidR="00E974B2">
        <w:rPr>
          <w:lang w:val="en-US"/>
        </w:rPr>
        <w:instrText>formulation</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concentrate</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solution</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intravenous</w:instrText>
      </w:r>
      <w:r w:rsidR="00E974B2" w:rsidRPr="006447F6">
        <w:instrText xml:space="preserve"> (</w:instrText>
      </w:r>
      <w:r w:rsidR="00E974B2">
        <w:rPr>
          <w:lang w:val="en-US"/>
        </w:rPr>
        <w:instrText>IV</w:instrText>
      </w:r>
      <w:r w:rsidR="00E974B2" w:rsidRPr="006447F6">
        <w:instrText xml:space="preserve">) </w:instrText>
      </w:r>
      <w:r w:rsidR="00E974B2">
        <w:rPr>
          <w:lang w:val="en-US"/>
        </w:rPr>
        <w:instrText>infusion</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has</w:instrText>
      </w:r>
      <w:r w:rsidR="00E974B2" w:rsidRPr="006447F6">
        <w:instrText xml:space="preserve"> </w:instrText>
      </w:r>
      <w:r w:rsidR="00E974B2">
        <w:rPr>
          <w:lang w:val="en-US"/>
        </w:rPr>
        <w:instrText>undergone</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detailed</w:instrText>
      </w:r>
      <w:r w:rsidR="00E974B2" w:rsidRPr="006447F6">
        <w:instrText xml:space="preserve">, </w:instrText>
      </w:r>
      <w:r w:rsidR="00E974B2">
        <w:rPr>
          <w:lang w:val="en-US"/>
        </w:rPr>
        <w:instrText>sequential</w:instrText>
      </w:r>
      <w:r w:rsidR="00E974B2" w:rsidRPr="006447F6">
        <w:instrText xml:space="preserve"> </w:instrText>
      </w:r>
      <w:r w:rsidR="00E974B2">
        <w:rPr>
          <w:lang w:val="en-US"/>
        </w:rPr>
        <w:instrText>clinical</w:instrText>
      </w:r>
      <w:r w:rsidR="00E974B2" w:rsidRPr="006447F6">
        <w:instrText xml:space="preserve"> </w:instrText>
      </w:r>
      <w:r w:rsidR="00E974B2">
        <w:rPr>
          <w:lang w:val="en-US"/>
        </w:rPr>
        <w:instrText>development</w:instrText>
      </w:r>
      <w:r w:rsidR="00E974B2" w:rsidRPr="006447F6">
        <w:instrText xml:space="preserve"> </w:instrText>
      </w:r>
      <w:r w:rsidR="00E974B2">
        <w:rPr>
          <w:lang w:val="en-US"/>
        </w:rPr>
        <w:instrText>program</w:instrText>
      </w:r>
      <w:r w:rsidR="00E974B2" w:rsidRPr="006447F6">
        <w:instrText xml:space="preserve">. </w:instrText>
      </w:r>
      <w:r w:rsidR="00E974B2">
        <w:rPr>
          <w:lang w:val="en-US"/>
        </w:rPr>
        <w:instrText>This</w:instrText>
      </w:r>
      <w:r w:rsidR="00E974B2" w:rsidRPr="006447F6">
        <w:instrText xml:space="preserve"> </w:instrText>
      </w:r>
      <w:r w:rsidR="00E974B2">
        <w:rPr>
          <w:lang w:val="en-US"/>
        </w:rPr>
        <w:instrText>program</w:instrText>
      </w:r>
      <w:r w:rsidR="00E974B2" w:rsidRPr="006447F6">
        <w:instrText xml:space="preserve"> </w:instrText>
      </w:r>
      <w:r w:rsidR="00E974B2">
        <w:rPr>
          <w:lang w:val="en-US"/>
        </w:rPr>
        <w:instrText>demonstrated</w:instrText>
      </w:r>
      <w:r w:rsidR="00E974B2" w:rsidRPr="006447F6">
        <w:instrText xml:space="preserve"> </w:instrText>
      </w:r>
      <w:r w:rsidR="00E974B2">
        <w:rPr>
          <w:lang w:val="en-US"/>
        </w:rPr>
        <w:instrText>that</w:instrText>
      </w:r>
      <w:r w:rsidR="00E974B2" w:rsidRPr="006447F6">
        <w:instrText xml:space="preserve">, </w:instrText>
      </w:r>
      <w:r w:rsidR="00E974B2">
        <w:rPr>
          <w:lang w:val="en-US"/>
        </w:rPr>
        <w:instrText>at</w:instrText>
      </w:r>
      <w:r w:rsidR="00E974B2" w:rsidRPr="006447F6">
        <w:instrText xml:space="preserve"> </w:instrText>
      </w:r>
      <w:r w:rsidR="00E974B2">
        <w:rPr>
          <w:lang w:val="en-US"/>
        </w:rPr>
        <w:instrText>fixed</w:instrText>
      </w:r>
      <w:r w:rsidR="00E974B2" w:rsidRPr="006447F6">
        <w:instrText xml:space="preserve"> </w:instrText>
      </w:r>
      <w:r w:rsidR="00E974B2">
        <w:rPr>
          <w:lang w:val="en-US"/>
        </w:rPr>
        <w:instrText>doses</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SC</w:instrText>
      </w:r>
      <w:r w:rsidR="00E974B2" w:rsidRPr="006447F6">
        <w:instrText xml:space="preserve"> </w:instrText>
      </w:r>
      <w:r w:rsidR="00E974B2">
        <w:rPr>
          <w:lang w:val="en-US"/>
        </w:rPr>
        <w:instrText>achieves</w:instrText>
      </w:r>
      <w:r w:rsidR="00E974B2" w:rsidRPr="006447F6">
        <w:instrText xml:space="preserve"> </w:instrText>
      </w:r>
      <w:r w:rsidR="00E974B2">
        <w:rPr>
          <w:lang w:val="en-US"/>
        </w:rPr>
        <w:instrText>non</w:instrText>
      </w:r>
      <w:r w:rsidR="00E974B2" w:rsidRPr="006447F6">
        <w:instrText>-</w:instrText>
      </w:r>
      <w:r w:rsidR="00E974B2">
        <w:rPr>
          <w:lang w:val="en-US"/>
        </w:rPr>
        <w:instrText>inferior</w:instrText>
      </w:r>
      <w:r w:rsidR="00E974B2" w:rsidRPr="006447F6">
        <w:instrText xml:space="preserve"> </w:instrText>
      </w:r>
      <w:r w:rsidR="00E974B2">
        <w:rPr>
          <w:lang w:val="en-US"/>
        </w:rPr>
        <w:instrText>serum</w:instrText>
      </w:r>
      <w:r w:rsidR="00E974B2" w:rsidRPr="006447F6">
        <w:instrText xml:space="preserve"> </w:instrText>
      </w:r>
      <w:r w:rsidR="00E974B2">
        <w:rPr>
          <w:lang w:val="en-US"/>
        </w:rPr>
        <w:instrText>trough</w:instrText>
      </w:r>
      <w:r w:rsidR="00E974B2" w:rsidRPr="006447F6">
        <w:instrText xml:space="preserve"> </w:instrText>
      </w:r>
      <w:r w:rsidR="00E974B2">
        <w:rPr>
          <w:lang w:val="en-US"/>
        </w:rPr>
        <w:instrText>concentrations</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patients</w:instrText>
      </w:r>
      <w:r w:rsidR="00E974B2" w:rsidRPr="006447F6">
        <w:instrText xml:space="preserve"> </w:instrText>
      </w:r>
      <w:r w:rsidR="00E974B2">
        <w:rPr>
          <w:lang w:val="en-US"/>
        </w:rPr>
        <w:instrText>with</w:instrText>
      </w:r>
      <w:r w:rsidR="00E974B2" w:rsidRPr="006447F6">
        <w:instrText xml:space="preserve"> </w:instrText>
      </w:r>
      <w:r w:rsidR="00E974B2">
        <w:rPr>
          <w:lang w:val="en-US"/>
        </w:rPr>
        <w:instrText>non</w:instrText>
      </w:r>
      <w:r w:rsidR="00E974B2" w:rsidRPr="006447F6">
        <w:instrText>-</w:instrText>
      </w:r>
      <w:r w:rsidR="00E974B2">
        <w:rPr>
          <w:lang w:val="en-US"/>
        </w:rPr>
        <w:instrText>Hodgkin</w:instrText>
      </w:r>
      <w:r w:rsidR="00E974B2" w:rsidRPr="006447F6">
        <w:instrText xml:space="preserve"> </w:instrText>
      </w:r>
      <w:r w:rsidR="00E974B2">
        <w:rPr>
          <w:lang w:val="en-US"/>
        </w:rPr>
        <w:instrText>lymphoma</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chronic</w:instrText>
      </w:r>
      <w:r w:rsidR="00E974B2" w:rsidRPr="006447F6">
        <w:instrText xml:space="preserve"> </w:instrText>
      </w:r>
      <w:r w:rsidR="00E974B2">
        <w:rPr>
          <w:lang w:val="en-US"/>
        </w:rPr>
        <w:instrText>lymphocytic</w:instrText>
      </w:r>
      <w:r w:rsidR="00E974B2" w:rsidRPr="006447F6">
        <w:instrText xml:space="preserve"> </w:instrText>
      </w:r>
      <w:r w:rsidR="00E974B2">
        <w:rPr>
          <w:lang w:val="en-US"/>
        </w:rPr>
        <w:instrText>leukemia</w:instrText>
      </w:r>
      <w:r w:rsidR="00E974B2" w:rsidRPr="006447F6">
        <w:instrText xml:space="preserve">, </w:instrText>
      </w:r>
      <w:r w:rsidR="00E974B2">
        <w:rPr>
          <w:lang w:val="en-US"/>
        </w:rPr>
        <w:instrText>with</w:instrText>
      </w:r>
      <w:r w:rsidR="00E974B2" w:rsidRPr="006447F6">
        <w:instrText xml:space="preserve"> </w:instrText>
      </w:r>
      <w:r w:rsidR="00E974B2">
        <w:rPr>
          <w:lang w:val="en-US"/>
        </w:rPr>
        <w:instrText>comparable</w:instrText>
      </w:r>
      <w:r w:rsidR="00E974B2" w:rsidRPr="006447F6">
        <w:instrText xml:space="preserve"> </w:instrText>
      </w:r>
      <w:r w:rsidR="00E974B2">
        <w:rPr>
          <w:lang w:val="en-US"/>
        </w:rPr>
        <w:instrText>efficacy</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safety</w:instrText>
      </w:r>
      <w:r w:rsidR="00E974B2" w:rsidRPr="006447F6">
        <w:instrText xml:space="preserve"> </w:instrText>
      </w:r>
      <w:r w:rsidR="00E974B2">
        <w:rPr>
          <w:lang w:val="en-US"/>
        </w:rPr>
        <w:instrText>relative</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IV</w:instrText>
      </w:r>
      <w:r w:rsidR="00E974B2" w:rsidRPr="006447F6">
        <w:instrText xml:space="preserve"> </w:instrText>
      </w:r>
      <w:r w:rsidR="00E974B2">
        <w:rPr>
          <w:lang w:val="en-US"/>
        </w:rPr>
        <w:instrText>formulation</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added</w:instrText>
      </w:r>
      <w:r w:rsidR="00E974B2" w:rsidRPr="006447F6">
        <w:instrText xml:space="preserve"> </w:instrText>
      </w:r>
      <w:r w:rsidR="00E974B2">
        <w:rPr>
          <w:lang w:val="en-US"/>
        </w:rPr>
        <w:instrText>benefit</w:instrText>
      </w:r>
      <w:r w:rsidR="00E974B2" w:rsidRPr="006447F6">
        <w:instrText xml:space="preserve"> </w:instrText>
      </w:r>
      <w:r w:rsidR="00E974B2">
        <w:rPr>
          <w:lang w:val="en-US"/>
        </w:rPr>
        <w:instrText>of</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SC</w:instrText>
      </w:r>
      <w:r w:rsidR="00E974B2" w:rsidRPr="006447F6">
        <w:instrText xml:space="preserve"> </w:instrText>
      </w:r>
      <w:r w:rsidR="00E974B2">
        <w:rPr>
          <w:lang w:val="en-US"/>
        </w:rPr>
        <w:instrText>was</w:instrText>
      </w:r>
      <w:r w:rsidR="00E974B2" w:rsidRPr="006447F6">
        <w:instrText xml:space="preserve"> </w:instrText>
      </w:r>
      <w:r w:rsidR="00E974B2">
        <w:rPr>
          <w:lang w:val="en-US"/>
        </w:rPr>
        <w:instrText>demonstrated</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dedicated</w:instrText>
      </w:r>
      <w:r w:rsidR="00E974B2" w:rsidRPr="006447F6">
        <w:instrText xml:space="preserve"> </w:instrText>
      </w:r>
      <w:r w:rsidR="00E974B2">
        <w:rPr>
          <w:lang w:val="en-US"/>
        </w:rPr>
        <w:instrText>studies</w:instrText>
      </w:r>
      <w:r w:rsidR="00E974B2" w:rsidRPr="006447F6">
        <w:instrText xml:space="preserve"> </w:instrText>
      </w:r>
      <w:r w:rsidR="00E974B2">
        <w:rPr>
          <w:lang w:val="en-US"/>
        </w:rPr>
        <w:instrText>showing</w:instrText>
      </w:r>
      <w:r w:rsidR="00E974B2" w:rsidRPr="006447F6">
        <w:instrText xml:space="preserve"> </w:instrText>
      </w:r>
      <w:r w:rsidR="00E974B2">
        <w:rPr>
          <w:lang w:val="en-US"/>
        </w:rPr>
        <w:instrText>that</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SC</w:instrText>
      </w:r>
      <w:r w:rsidR="00E974B2" w:rsidRPr="006447F6">
        <w:instrText xml:space="preserve"> </w:instrText>
      </w:r>
      <w:r w:rsidR="00E974B2">
        <w:rPr>
          <w:lang w:val="en-US"/>
        </w:rPr>
        <w:instrText>allows</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simplified</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shortened</w:instrText>
      </w:r>
      <w:r w:rsidR="00E974B2" w:rsidRPr="006447F6">
        <w:instrText xml:space="preserve"> </w:instrText>
      </w:r>
      <w:r w:rsidR="00E974B2">
        <w:rPr>
          <w:lang w:val="en-US"/>
        </w:rPr>
        <w:instrText>drug</w:instrText>
      </w:r>
      <w:r w:rsidR="00E974B2" w:rsidRPr="006447F6">
        <w:instrText xml:space="preserve"> </w:instrText>
      </w:r>
      <w:r w:rsidR="00E974B2">
        <w:rPr>
          <w:lang w:val="en-US"/>
        </w:rPr>
        <w:instrText>preparation</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administration</w:instrText>
      </w:r>
      <w:r w:rsidR="00E974B2" w:rsidRPr="006447F6">
        <w:instrText xml:space="preserve"> </w:instrText>
      </w:r>
      <w:r w:rsidR="00E974B2">
        <w:rPr>
          <w:lang w:val="en-US"/>
        </w:rPr>
        <w:instrText>times</w:instrText>
      </w:r>
      <w:r w:rsidR="00E974B2" w:rsidRPr="006447F6">
        <w:instrText xml:space="preserve"> </w:instrText>
      </w:r>
      <w:r w:rsidR="00E974B2">
        <w:rPr>
          <w:lang w:val="en-US"/>
        </w:rPr>
        <w:instrText>resulting</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reduced</w:instrText>
      </w:r>
      <w:r w:rsidR="00E974B2" w:rsidRPr="006447F6">
        <w:instrText xml:space="preserve"> </w:instrText>
      </w:r>
      <w:r w:rsidR="00E974B2">
        <w:rPr>
          <w:lang w:val="en-US"/>
        </w:rPr>
        <w:instrText>treatment</w:instrText>
      </w:r>
      <w:r w:rsidR="00E974B2" w:rsidRPr="006447F6">
        <w:instrText xml:space="preserve"> </w:instrText>
      </w:r>
      <w:r w:rsidR="00E974B2">
        <w:rPr>
          <w:lang w:val="en-US"/>
        </w:rPr>
        <w:instrText>burden</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patients</w:instrText>
      </w:r>
      <w:r w:rsidR="00E974B2" w:rsidRPr="006447F6">
        <w:instrText xml:space="preserve"> </w:instrText>
      </w:r>
      <w:r w:rsidR="00E974B2">
        <w:rPr>
          <w:lang w:val="en-US"/>
        </w:rPr>
        <w:instrText>as</w:instrText>
      </w:r>
      <w:r w:rsidR="00E974B2" w:rsidRPr="006447F6">
        <w:instrText xml:space="preserve"> </w:instrText>
      </w:r>
      <w:r w:rsidR="00E974B2">
        <w:rPr>
          <w:lang w:val="en-US"/>
        </w:rPr>
        <w:instrText>well</w:instrText>
      </w:r>
      <w:r w:rsidR="00E974B2" w:rsidRPr="006447F6">
        <w:instrText xml:space="preserve"> </w:instrText>
      </w:r>
      <w:r w:rsidR="00E974B2">
        <w:rPr>
          <w:lang w:val="en-US"/>
        </w:rPr>
        <w:instrText>as</w:instrText>
      </w:r>
      <w:r w:rsidR="00E974B2" w:rsidRPr="006447F6">
        <w:instrText xml:space="preserve"> </w:instrText>
      </w:r>
      <w:r w:rsidR="00E974B2">
        <w:rPr>
          <w:lang w:val="en-US"/>
        </w:rPr>
        <w:instrText>improved</w:instrText>
      </w:r>
      <w:r w:rsidR="00E974B2" w:rsidRPr="006447F6">
        <w:instrText xml:space="preserve"> </w:instrText>
      </w:r>
      <w:r w:rsidR="00E974B2">
        <w:rPr>
          <w:lang w:val="en-US"/>
        </w:rPr>
        <w:instrText>resource</w:instrText>
      </w:r>
      <w:r w:rsidR="00E974B2" w:rsidRPr="006447F6">
        <w:instrText xml:space="preserve"> </w:instrText>
      </w:r>
      <w:r w:rsidR="00E974B2">
        <w:rPr>
          <w:lang w:val="en-US"/>
        </w:rPr>
        <w:instrText>utilization</w:instrText>
      </w:r>
      <w:r w:rsidR="00E974B2" w:rsidRPr="006447F6">
        <w:instrText xml:space="preserve"> (</w:instrText>
      </w:r>
      <w:r w:rsidR="00E974B2">
        <w:rPr>
          <w:lang w:val="en-US"/>
        </w:rPr>
        <w:instrText>efficiency</w:instrText>
      </w:r>
      <w:r w:rsidR="00E974B2" w:rsidRPr="006447F6">
        <w:instrText xml:space="preserve">) </w:instrText>
      </w:r>
      <w:r w:rsidR="00E974B2">
        <w:rPr>
          <w:lang w:val="en-US"/>
        </w:rPr>
        <w:instrText>at</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treatment</w:instrText>
      </w:r>
      <w:r w:rsidR="00E974B2" w:rsidRPr="006447F6">
        <w:instrText xml:space="preserve"> </w:instrText>
      </w:r>
      <w:r w:rsidR="00E974B2">
        <w:rPr>
          <w:lang w:val="en-US"/>
        </w:rPr>
        <w:instrText>facility</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improved</w:instrText>
      </w:r>
      <w:r w:rsidR="00E974B2" w:rsidRPr="006447F6">
        <w:instrText xml:space="preserve"> </w:instrText>
      </w:r>
      <w:r w:rsidR="00E974B2">
        <w:rPr>
          <w:lang w:val="en-US"/>
        </w:rPr>
        <w:instrText>efficiency</w:instrText>
      </w:r>
      <w:r w:rsidR="00E974B2" w:rsidRPr="006447F6">
        <w:instrText xml:space="preserve"> </w:instrText>
      </w:r>
      <w:r w:rsidR="00E974B2">
        <w:rPr>
          <w:lang w:val="en-US"/>
        </w:rPr>
        <w:instrText>of</w:instrText>
      </w:r>
      <w:r w:rsidR="00E974B2" w:rsidRPr="006447F6">
        <w:instrText xml:space="preserve"> </w:instrText>
      </w:r>
      <w:r w:rsidR="00E974B2">
        <w:rPr>
          <w:lang w:val="en-US"/>
        </w:rPr>
        <w:instrText>delivering</w:instrText>
      </w:r>
      <w:r w:rsidR="00E974B2" w:rsidRPr="006447F6">
        <w:instrText xml:space="preserve"> </w:instrText>
      </w:r>
      <w:r w:rsidR="00E974B2">
        <w:rPr>
          <w:lang w:val="en-US"/>
        </w:rPr>
        <w:instrText>rituximab</w:instrText>
      </w:r>
      <w:r w:rsidR="00E974B2" w:rsidRPr="006447F6">
        <w:instrText>’</w:instrText>
      </w:r>
      <w:r w:rsidR="00E974B2">
        <w:rPr>
          <w:lang w:val="en-US"/>
        </w:rPr>
        <w:instrText>s</w:instrText>
      </w:r>
      <w:r w:rsidR="00E974B2" w:rsidRPr="006447F6">
        <w:instrText xml:space="preserve"> </w:instrText>
      </w:r>
      <w:r w:rsidR="00E974B2">
        <w:rPr>
          <w:lang w:val="en-US"/>
        </w:rPr>
        <w:instrText>benefit</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patients</w:instrText>
      </w:r>
      <w:r w:rsidR="00E974B2" w:rsidRPr="006447F6">
        <w:instrText xml:space="preserve"> </w:instrText>
      </w:r>
      <w:r w:rsidR="00E974B2">
        <w:rPr>
          <w:lang w:val="en-US"/>
        </w:rPr>
        <w:instrText>may</w:instrText>
      </w:r>
      <w:r w:rsidR="00E974B2" w:rsidRPr="006447F6">
        <w:instrText xml:space="preserve"> </w:instrText>
      </w:r>
      <w:r w:rsidR="00E974B2">
        <w:rPr>
          <w:lang w:val="en-US"/>
        </w:rPr>
        <w:instrText>broaden</w:instrText>
      </w:r>
      <w:r w:rsidR="00E974B2" w:rsidRPr="006447F6">
        <w:instrText xml:space="preserve"> </w:instrText>
      </w:r>
      <w:r w:rsidR="00E974B2">
        <w:rPr>
          <w:lang w:val="en-US"/>
        </w:rPr>
        <w:instrText>patient</w:instrText>
      </w:r>
      <w:r w:rsidR="00E974B2" w:rsidRPr="006447F6">
        <w:instrText xml:space="preserve"> </w:instrText>
      </w:r>
      <w:r w:rsidR="00E974B2">
        <w:rPr>
          <w:lang w:val="en-US"/>
        </w:rPr>
        <w:instrText>access</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therapy</w:instrText>
      </w:r>
      <w:r w:rsidR="00E974B2" w:rsidRPr="006447F6">
        <w:instrText xml:space="preserve"> </w:instrText>
      </w:r>
      <w:r w:rsidR="00E974B2">
        <w:rPr>
          <w:lang w:val="en-US"/>
        </w:rPr>
        <w:instrText>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w:instrText>
      </w:r>
      <w:r w:rsidR="00E974B2" w:rsidRPr="006C476A">
        <w:instrText xml:space="preserve">, </w:instrText>
      </w:r>
      <w:r w:rsidR="00E974B2">
        <w:rPr>
          <w:lang w:val="en-US"/>
        </w:rPr>
        <w:instrText>correct</w:instrText>
      </w:r>
      <w:r w:rsidR="00E974B2" w:rsidRPr="006C476A">
        <w:instrText xml:space="preserve"> </w:instrText>
      </w:r>
      <w:r w:rsidR="00E974B2">
        <w:rPr>
          <w:lang w:val="en-US"/>
        </w:rPr>
        <w:instrText>administration</w:instrText>
      </w:r>
      <w:r w:rsidR="00E974B2" w:rsidRPr="006C476A">
        <w:instrText xml:space="preserve"> </w:instrText>
      </w:r>
      <w:r w:rsidR="00E974B2">
        <w:rPr>
          <w:lang w:val="en-US"/>
        </w:rPr>
        <w:instrText>is</w:instrText>
      </w:r>
      <w:r w:rsidR="00E974B2" w:rsidRPr="006C476A">
        <w:instrText xml:space="preserve"> </w:instrText>
      </w:r>
      <w:r w:rsidR="00E974B2">
        <w:rPr>
          <w:lang w:val="en-US"/>
        </w:rPr>
        <w:instrText>needed</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reduce</w:instrText>
      </w:r>
      <w:r w:rsidR="00E974B2" w:rsidRPr="006C476A">
        <w:instrText xml:space="preserve"> </w:instrText>
      </w:r>
      <w:r w:rsidR="00E974B2">
        <w:rPr>
          <w:lang w:val="en-US"/>
        </w:rPr>
        <w:instrText>administration</w:instrText>
      </w:r>
      <w:r w:rsidR="00E974B2" w:rsidRPr="006C476A">
        <w:instrText>-</w:instrText>
      </w:r>
      <w:r w:rsidR="00E974B2">
        <w:rPr>
          <w:lang w:val="en-US"/>
        </w:rPr>
        <w:instrText>related</w:instrText>
      </w:r>
      <w:r w:rsidR="00E974B2" w:rsidRPr="006C476A">
        <w:instrText xml:space="preserve"> </w:instrText>
      </w:r>
      <w:r w:rsidR="00E974B2">
        <w:rPr>
          <w:lang w:val="en-US"/>
        </w:rPr>
        <w:instrText>reactions</w:instrText>
      </w:r>
      <w:r w:rsidR="00E974B2" w:rsidRPr="006C476A">
        <w:instrText xml:space="preserve">. </w:instrText>
      </w:r>
      <w:r w:rsidR="00E974B2">
        <w:rPr>
          <w:lang w:val="en-US"/>
        </w:rPr>
        <w:instrText>By</w:instrText>
      </w:r>
      <w:r w:rsidR="00E974B2" w:rsidRPr="006C476A">
        <w:instrText xml:space="preserve"> </w:instrText>
      </w:r>
      <w:r w:rsidR="00E974B2">
        <w:rPr>
          <w:lang w:val="en-US"/>
        </w:rPr>
        <w:instrText>using</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careful</w:instrText>
      </w:r>
      <w:r w:rsidR="00E974B2" w:rsidRPr="006C476A">
        <w:instrText xml:space="preserve"> </w:instrText>
      </w:r>
      <w:r w:rsidR="00E974B2">
        <w:rPr>
          <w:lang w:val="en-US"/>
        </w:rPr>
        <w:instrText>procedure</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sc</w:instrText>
      </w:r>
      <w:r w:rsidR="00E974B2" w:rsidRPr="006C476A">
        <w:instrText xml:space="preserve"> </w:instrText>
      </w:r>
      <w:r w:rsidR="00E974B2">
        <w:rPr>
          <w:lang w:val="en-US"/>
        </w:rPr>
        <w:instrText>formulation</w:instrText>
      </w:r>
      <w:r w:rsidR="00E974B2" w:rsidRPr="006C476A">
        <w:instrText xml:space="preserve"> </w:instrText>
      </w:r>
      <w:r w:rsidR="00E974B2">
        <w:rPr>
          <w:lang w:val="en-US"/>
        </w:rPr>
        <w:instrText>can</w:instrText>
      </w:r>
      <w:r w:rsidR="00E974B2" w:rsidRPr="006C476A">
        <w:instrText xml:space="preserve"> </w:instrText>
      </w:r>
      <w:r w:rsidR="00E974B2">
        <w:rPr>
          <w:lang w:val="en-US"/>
        </w:rPr>
        <w:instrText>be</w:instrText>
      </w:r>
      <w:r w:rsidR="00E974B2" w:rsidRPr="006C476A">
        <w:instrText xml:space="preserve"> </w:instrText>
      </w:r>
      <w:r w:rsidR="00E974B2">
        <w:rPr>
          <w:lang w:val="en-US"/>
        </w:rPr>
        <w:instrText>given</w:instrText>
      </w:r>
      <w:r w:rsidR="00E974B2" w:rsidRPr="006C476A">
        <w:instrText xml:space="preserve"> </w:instrText>
      </w:r>
      <w:r w:rsidR="00E974B2">
        <w:rPr>
          <w:lang w:val="en-US"/>
        </w:rPr>
        <w:instrText>safely</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effectively</w:instrText>
      </w:r>
      <w:r w:rsidR="00E974B2" w:rsidRPr="006C476A">
        <w:instrText xml:space="preserve">, </w:instrText>
      </w:r>
      <w:r w:rsidR="00E974B2">
        <w:rPr>
          <w:lang w:val="en-US"/>
        </w:rPr>
        <w:instrText>potentially</w:instrText>
      </w:r>
      <w:r w:rsidR="00E974B2" w:rsidRPr="006C476A">
        <w:instrText xml:space="preserve"> </w:instrText>
      </w:r>
      <w:r w:rsidR="00E974B2">
        <w:rPr>
          <w:lang w:val="en-US"/>
        </w:rPr>
        <w:instrText>reducing</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burden</w:instrText>
      </w:r>
      <w:r w:rsidR="00E974B2" w:rsidRPr="006C476A">
        <w:instrText xml:space="preserve"> </w:instrText>
      </w:r>
      <w:r w:rsidR="00E974B2">
        <w:rPr>
          <w:lang w:val="en-US"/>
        </w:rPr>
        <w:instrText>on</w:instrText>
      </w:r>
      <w:r w:rsidR="00E974B2" w:rsidRPr="006C476A">
        <w:instrText xml:space="preserve"> </w:instrText>
      </w:r>
      <w:r w:rsidR="00E974B2">
        <w:rPr>
          <w:lang w:val="en-US"/>
        </w:rPr>
        <w:instrText>health</w:instrText>
      </w:r>
      <w:r w:rsidR="00E974B2" w:rsidRPr="006C476A">
        <w:instrText xml:space="preserve"> </w:instrText>
      </w:r>
      <w:r w:rsidR="00E974B2">
        <w:rPr>
          <w:lang w:val="en-US"/>
        </w:rPr>
        <w:instrText>care</w:instrText>
      </w:r>
      <w:r w:rsidR="00E974B2" w:rsidRPr="006C476A">
        <w:instrText xml:space="preserve"> </w:instrText>
      </w:r>
      <w:r w:rsidR="00E974B2">
        <w:rPr>
          <w:lang w:val="en-US"/>
        </w:rPr>
        <w:instrText>resources</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improving</w:instrText>
      </w:r>
      <w:r w:rsidR="00E974B2" w:rsidRPr="006C476A">
        <w:instrText xml:space="preserve"> </w:instrText>
      </w:r>
      <w:r w:rsidR="00E974B2">
        <w:rPr>
          <w:lang w:val="en-US"/>
        </w:rPr>
        <w:instrText>quality</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life</w:instrText>
      </w:r>
      <w:r w:rsidR="00E974B2" w:rsidRPr="006C476A">
        <w:instrText xml:space="preserve"> </w:instrText>
      </w:r>
      <w:r w:rsidR="00E974B2">
        <w:rPr>
          <w:lang w:val="en-US"/>
        </w:rPr>
        <w:instrText>for</w:instrText>
      </w:r>
      <w:r w:rsidR="00E974B2" w:rsidRPr="006C476A">
        <w:instrText xml:space="preserve"> </w:instrText>
      </w:r>
      <w:r w:rsidR="00E974B2">
        <w:rPr>
          <w:lang w:val="en-US"/>
        </w:rPr>
        <w:instrText>patients</w:instrText>
      </w:r>
      <w:r w:rsidR="00E974B2" w:rsidRPr="006C476A">
        <w:instrText>.","</w:instrText>
      </w:r>
      <w:r w:rsidR="00E974B2">
        <w:rPr>
          <w:lang w:val="en-US"/>
        </w:rPr>
        <w:instrText>author</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Macdonald</w:instrText>
      </w:r>
      <w:r w:rsidR="00E974B2" w:rsidRPr="006C476A">
        <w:instrText>","</w:instrText>
      </w:r>
      <w:r w:rsidR="00E974B2">
        <w:rPr>
          <w:lang w:val="en-US"/>
        </w:rPr>
        <w:instrText>given</w:instrText>
      </w:r>
      <w:r w:rsidR="00E974B2" w:rsidRPr="006C476A">
        <w:instrText>":"</w:instrText>
      </w:r>
      <w:r w:rsidR="00E974B2">
        <w:rPr>
          <w:lang w:val="en-US"/>
        </w:rPr>
        <w:instrText>David</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Crosbie</w:instrText>
      </w:r>
      <w:r w:rsidR="00E974B2" w:rsidRPr="006C476A">
        <w:instrText>","</w:instrText>
      </w:r>
      <w:r w:rsidR="00E974B2">
        <w:rPr>
          <w:lang w:val="en-US"/>
        </w:rPr>
        <w:instrText>given</w:instrText>
      </w:r>
      <w:r w:rsidR="00E974B2" w:rsidRPr="006C476A">
        <w:instrText>":"</w:instrText>
      </w:r>
      <w:r w:rsidR="00E974B2">
        <w:rPr>
          <w:lang w:val="en-US"/>
        </w:rPr>
        <w:instrText>T</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Christofides</w:instrText>
      </w:r>
      <w:r w:rsidR="00E974B2" w:rsidRPr="006C476A">
        <w:instrText>","</w:instrText>
      </w:r>
      <w:r w:rsidR="00E974B2">
        <w:rPr>
          <w:lang w:val="en-US"/>
        </w:rPr>
        <w:instrText>given</w:instrText>
      </w:r>
      <w:r w:rsidR="00E974B2" w:rsidRPr="006C476A">
        <w:instrText>":"</w:instrText>
      </w:r>
      <w:r w:rsidR="00E974B2">
        <w:rPr>
          <w:lang w:val="en-US"/>
        </w:rPr>
        <w:instrText>A</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Assaily</w:instrText>
      </w:r>
      <w:r w:rsidR="00E974B2" w:rsidRPr="006C476A">
        <w:instrText>","</w:instrText>
      </w:r>
      <w:r w:rsidR="00E974B2">
        <w:rPr>
          <w:lang w:val="en-US"/>
        </w:rPr>
        <w:instrText>given</w:instrText>
      </w:r>
      <w:r w:rsidR="00E974B2" w:rsidRPr="006C476A">
        <w:instrText>":"</w:instrText>
      </w:r>
      <w:r w:rsidR="00E974B2">
        <w:rPr>
          <w:lang w:val="en-US"/>
        </w:rPr>
        <w:instrText>W</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Wiernikowski</w:instrText>
      </w:r>
      <w:r w:rsidR="00E974B2" w:rsidRPr="006C476A">
        <w:instrText>","</w:instrText>
      </w:r>
      <w:r w:rsidR="00E974B2">
        <w:rPr>
          <w:lang w:val="en-US"/>
        </w:rPr>
        <w:instrText>given</w:instrText>
      </w:r>
      <w:r w:rsidR="00E974B2" w:rsidRPr="006C476A">
        <w:instrText>":"</w:instrText>
      </w:r>
      <w:r w:rsidR="00E974B2">
        <w:rPr>
          <w:lang w:val="en-US"/>
        </w:rPr>
        <w:instrText>J</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container</w:instrText>
      </w:r>
      <w:r w:rsidR="00E974B2" w:rsidRPr="006C476A">
        <w:instrText>-</w:instrText>
      </w:r>
      <w:r w:rsidR="00E974B2">
        <w:rPr>
          <w:lang w:val="en-US"/>
        </w:rPr>
        <w:instrText>title</w:instrText>
      </w:r>
      <w:r w:rsidR="00E974B2" w:rsidRPr="006C476A">
        <w:instrText>":"</w:instrText>
      </w:r>
      <w:r w:rsidR="00E974B2">
        <w:rPr>
          <w:lang w:val="en-US"/>
        </w:rPr>
        <w:instrText>Current</w:instrText>
      </w:r>
      <w:r w:rsidR="00E974B2" w:rsidRPr="006C476A">
        <w:instrText xml:space="preserve"> </w:instrText>
      </w:r>
      <w:r w:rsidR="00E974B2">
        <w:rPr>
          <w:lang w:val="en-US"/>
        </w:rPr>
        <w:instrText>Oncology</w:instrText>
      </w:r>
      <w:r w:rsidR="00E974B2" w:rsidRPr="006C476A">
        <w:instrText>","</w:instrText>
      </w:r>
      <w:r w:rsidR="00E974B2">
        <w:rPr>
          <w:lang w:val="en-US"/>
        </w:rPr>
        <w:instrText>id</w:instrText>
      </w:r>
      <w:r w:rsidR="00E974B2" w:rsidRPr="006C476A">
        <w:instrText>":"</w:instrText>
      </w:r>
      <w:r w:rsidR="00E974B2">
        <w:rPr>
          <w:lang w:val="en-US"/>
        </w:rPr>
        <w:instrText>ITEM</w:instrText>
      </w:r>
      <w:r w:rsidR="00E974B2" w:rsidRPr="006C476A">
        <w:instrText>-4","</w:instrText>
      </w:r>
      <w:r w:rsidR="00E974B2">
        <w:rPr>
          <w:lang w:val="en-US"/>
        </w:rPr>
        <w:instrText>issue</w:instrText>
      </w:r>
      <w:r w:rsidR="00E974B2" w:rsidRPr="006C476A">
        <w:instrText>":"1","</w:instrText>
      </w:r>
      <w:r w:rsidR="00E974B2">
        <w:rPr>
          <w:lang w:val="en-US"/>
        </w:rPr>
        <w:instrText>issued</w:instrText>
      </w:r>
      <w:r w:rsidR="00E974B2" w:rsidRPr="006C476A">
        <w:instrText>":{"</w:instrText>
      </w:r>
      <w:r w:rsidR="00E974B2">
        <w:rPr>
          <w:lang w:val="en-US"/>
        </w:rPr>
        <w:instrText>date</w:instrText>
      </w:r>
      <w:r w:rsidR="00E974B2" w:rsidRPr="006C476A">
        <w:instrText>-</w:instrText>
      </w:r>
      <w:r w:rsidR="00E974B2">
        <w:rPr>
          <w:lang w:val="en-US"/>
        </w:rPr>
        <w:instrText>parts</w:instrText>
      </w:r>
      <w:r w:rsidR="00E974B2" w:rsidRPr="006C476A">
        <w:instrText>":[["2017"]]},"</w:instrText>
      </w:r>
      <w:r w:rsidR="00E974B2">
        <w:rPr>
          <w:lang w:val="en-US"/>
        </w:rPr>
        <w:instrText>page</w:instrText>
      </w:r>
      <w:r w:rsidR="00E974B2" w:rsidRPr="006C476A">
        <w:instrText>":"33-39","</w:instrText>
      </w:r>
      <w:r w:rsidR="00E974B2">
        <w:rPr>
          <w:lang w:val="en-US"/>
        </w:rPr>
        <w:instrText>publisher</w:instrText>
      </w:r>
      <w:r w:rsidR="00E974B2" w:rsidRPr="006C476A">
        <w:instrText>":"</w:instrText>
      </w:r>
      <w:r w:rsidR="00E974B2">
        <w:rPr>
          <w:lang w:val="en-US"/>
        </w:rPr>
        <w:instrText>Multimed</w:instrText>
      </w:r>
      <w:r w:rsidR="00E974B2" w:rsidRPr="006C476A">
        <w:instrText xml:space="preserve"> </w:instrText>
      </w:r>
      <w:r w:rsidR="00E974B2">
        <w:rPr>
          <w:lang w:val="en-US"/>
        </w:rPr>
        <w:instrText>Inc</w:instrText>
      </w:r>
      <w:r w:rsidR="00E974B2" w:rsidRPr="006C476A">
        <w:instrText>.","</w:instrText>
      </w:r>
      <w:r w:rsidR="00E974B2">
        <w:rPr>
          <w:lang w:val="en-US"/>
        </w:rPr>
        <w:instrText>title</w:instrText>
      </w:r>
      <w:r w:rsidR="00E974B2" w:rsidRPr="006C476A">
        <w:instrText>":"</w:instrText>
      </w:r>
      <w:r w:rsidR="00E974B2">
        <w:rPr>
          <w:lang w:val="en-US"/>
        </w:rPr>
        <w:instrText>A</w:instrText>
      </w:r>
      <w:r w:rsidR="00E974B2" w:rsidRPr="006C476A">
        <w:instrText xml:space="preserve"> </w:instrText>
      </w:r>
      <w:r w:rsidR="00E974B2">
        <w:rPr>
          <w:lang w:val="en-US"/>
        </w:rPr>
        <w:instrText>canadian</w:instrText>
      </w:r>
      <w:r w:rsidR="00E974B2" w:rsidRPr="006C476A">
        <w:instrText xml:space="preserve"> </w:instrText>
      </w:r>
      <w:r w:rsidR="00E974B2">
        <w:rPr>
          <w:lang w:val="en-US"/>
        </w:rPr>
        <w:instrText>perspective</w:instrText>
      </w:r>
      <w:r w:rsidR="00E974B2" w:rsidRPr="006C476A">
        <w:instrText xml:space="preserve"> </w:instrText>
      </w:r>
      <w:r w:rsidR="00E974B2">
        <w:rPr>
          <w:lang w:val="en-US"/>
        </w:rPr>
        <w:instrText>on</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subcutaneous</w:instrText>
      </w:r>
      <w:r w:rsidR="00E974B2" w:rsidRPr="006C476A">
        <w:instrText xml:space="preserve"> </w:instrText>
      </w:r>
      <w:r w:rsidR="00E974B2">
        <w:rPr>
          <w:lang w:val="en-US"/>
        </w:rPr>
        <w:instrText>administration</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in</w:instrText>
      </w:r>
      <w:r w:rsidR="00E974B2" w:rsidRPr="006C476A">
        <w:instrText xml:space="preserve"> </w:instrText>
      </w:r>
      <w:r w:rsidR="00E974B2">
        <w:rPr>
          <w:lang w:val="en-US"/>
        </w:rPr>
        <w:instrText>non</w:instrText>
      </w:r>
      <w:r w:rsidR="00E974B2" w:rsidRPr="006C476A">
        <w:instrText>-</w:instrText>
      </w:r>
      <w:r w:rsidR="00E974B2">
        <w:rPr>
          <w:lang w:val="en-US"/>
        </w:rPr>
        <w:instrText>Hodgkin</w:instrText>
      </w:r>
      <w:r w:rsidR="00E974B2" w:rsidRPr="006C476A">
        <w:instrText xml:space="preserve"> </w:instrText>
      </w:r>
      <w:r w:rsidR="00E974B2">
        <w:rPr>
          <w:lang w:val="en-US"/>
        </w:rPr>
        <w:instrText>lymphoma</w:instrText>
      </w:r>
      <w:r w:rsidR="00E974B2" w:rsidRPr="006C476A">
        <w:instrText>","</w:instrText>
      </w:r>
      <w:r w:rsidR="00E974B2">
        <w:rPr>
          <w:lang w:val="en-US"/>
        </w:rPr>
        <w:instrText>type</w:instrText>
      </w:r>
      <w:r w:rsidR="00E974B2" w:rsidRPr="006C476A">
        <w:instrText>":"</w:instrText>
      </w:r>
      <w:r w:rsidR="00E974B2">
        <w:rPr>
          <w:lang w:val="en-US"/>
        </w:rPr>
        <w:instrText>article</w:instrText>
      </w:r>
      <w:r w:rsidR="00E974B2" w:rsidRPr="006C476A">
        <w:instrText>","</w:instrText>
      </w:r>
      <w:r w:rsidR="00E974B2">
        <w:rPr>
          <w:lang w:val="en-US"/>
        </w:rPr>
        <w:instrText>volume</w:instrText>
      </w:r>
      <w:r w:rsidR="00E974B2" w:rsidRPr="006C476A">
        <w:instrText>":"24"},"</w:instrText>
      </w:r>
      <w:r w:rsidR="00E974B2">
        <w:rPr>
          <w:lang w:val="en-US"/>
        </w:rPr>
        <w:instrText>uris</w:instrText>
      </w:r>
      <w:r w:rsidR="00E974B2" w:rsidRPr="006C476A">
        <w:instrText>":["</w:instrText>
      </w:r>
      <w:r w:rsidR="00E974B2">
        <w:rPr>
          <w:lang w:val="en-US"/>
        </w:rPr>
        <w:instrText>http</w:instrText>
      </w:r>
      <w:r w:rsidR="00E974B2" w:rsidRPr="006C476A">
        <w:instrText>://</w:instrText>
      </w:r>
      <w:r w:rsidR="00E974B2">
        <w:rPr>
          <w:lang w:val="en-US"/>
        </w:rPr>
        <w:instrText>www</w:instrText>
      </w:r>
      <w:r w:rsidR="00E974B2" w:rsidRPr="006C476A">
        <w:instrText>.</w:instrText>
      </w:r>
      <w:r w:rsidR="00E974B2">
        <w:rPr>
          <w:lang w:val="en-US"/>
        </w:rPr>
        <w:instrText>mendeley</w:instrText>
      </w:r>
      <w:r w:rsidR="00E974B2" w:rsidRPr="006C476A">
        <w:instrText>.</w:instrText>
      </w:r>
      <w:r w:rsidR="00E974B2">
        <w:rPr>
          <w:lang w:val="en-US"/>
        </w:rPr>
        <w:instrText>com</w:instrText>
      </w:r>
      <w:r w:rsidR="00E974B2" w:rsidRPr="006C476A">
        <w:instrText>/</w:instrText>
      </w:r>
      <w:r w:rsidR="00E974B2">
        <w:rPr>
          <w:lang w:val="en-US"/>
        </w:rPr>
        <w:instrText>documents</w:instrText>
      </w:r>
      <w:r w:rsidR="00E974B2" w:rsidRPr="006C476A">
        <w:instrText>/?</w:instrText>
      </w:r>
      <w:r w:rsidR="00E974B2">
        <w:rPr>
          <w:lang w:val="en-US"/>
        </w:rPr>
        <w:instrText>uuid</w:instrText>
      </w:r>
      <w:r w:rsidR="00E974B2" w:rsidRPr="006C476A">
        <w:instrText>=0</w:instrText>
      </w:r>
      <w:r w:rsidR="00E974B2">
        <w:rPr>
          <w:lang w:val="en-US"/>
        </w:rPr>
        <w:instrText>dec</w:instrText>
      </w:r>
      <w:r w:rsidR="00E974B2" w:rsidRPr="006C476A">
        <w:instrText>225</w:instrText>
      </w:r>
      <w:r w:rsidR="00E974B2">
        <w:rPr>
          <w:lang w:val="en-US"/>
        </w:rPr>
        <w:instrText>e</w:instrText>
      </w:r>
      <w:r w:rsidR="00E974B2" w:rsidRPr="006C476A">
        <w:instrText>-8</w:instrText>
      </w:r>
      <w:r w:rsidR="00E974B2">
        <w:rPr>
          <w:lang w:val="en-US"/>
        </w:rPr>
        <w:instrText>a</w:instrText>
      </w:r>
      <w:r w:rsidR="00E974B2" w:rsidRPr="006C476A">
        <w:instrText>47-3680-</w:instrText>
      </w:r>
      <w:r w:rsidR="00E974B2">
        <w:rPr>
          <w:lang w:val="en-US"/>
        </w:rPr>
        <w:instrText>ba</w:instrText>
      </w:r>
      <w:r w:rsidR="00E974B2" w:rsidRPr="006C476A">
        <w:instrText>4</w:instrText>
      </w:r>
      <w:r w:rsidR="00E974B2">
        <w:rPr>
          <w:lang w:val="en-US"/>
        </w:rPr>
        <w:instrText>d</w:instrText>
      </w:r>
      <w:r w:rsidR="00E974B2" w:rsidRPr="006C476A">
        <w:instrText>-891955</w:instrText>
      </w:r>
      <w:r w:rsidR="00E974B2">
        <w:rPr>
          <w:lang w:val="en-US"/>
        </w:rPr>
        <w:instrText>a</w:instrText>
      </w:r>
      <w:r w:rsidR="00E974B2" w:rsidRPr="006C476A">
        <w:instrText>938</w:instrText>
      </w:r>
      <w:r w:rsidR="00E974B2">
        <w:rPr>
          <w:lang w:val="en-US"/>
        </w:rPr>
        <w:instrText>a</w:instrText>
      </w:r>
      <w:r w:rsidR="00E974B2" w:rsidRPr="006C476A">
        <w:instrText>1"]}],"</w:instrText>
      </w:r>
      <w:r w:rsidR="00E974B2">
        <w:rPr>
          <w:lang w:val="en-US"/>
        </w:rPr>
        <w:instrText>mendeley</w:instrText>
      </w:r>
      <w:r w:rsidR="00E974B2" w:rsidRPr="006C476A">
        <w:instrText>":{"</w:instrText>
      </w:r>
      <w:r w:rsidR="00E974B2">
        <w:rPr>
          <w:lang w:val="en-US"/>
        </w:rPr>
        <w:instrText>formattedCitation</w:instrText>
      </w:r>
      <w:r w:rsidR="00E974B2" w:rsidRPr="006C476A">
        <w:instrText>":"[180–183]","</w:instrText>
      </w:r>
      <w:r w:rsidR="00E974B2">
        <w:rPr>
          <w:lang w:val="en-US"/>
        </w:rPr>
        <w:instrText>plainTextFormattedCitation</w:instrText>
      </w:r>
      <w:r w:rsidR="00E974B2" w:rsidRPr="006C476A">
        <w:instrText>":"[180–183]","</w:instrText>
      </w:r>
      <w:r w:rsidR="00E974B2">
        <w:rPr>
          <w:lang w:val="en-US"/>
        </w:rPr>
        <w:instrText>previouslyFormattedCitation</w:instrText>
      </w:r>
      <w:r w:rsidR="00E974B2" w:rsidRPr="006C476A">
        <w:instrText>":"[180–183]"},"</w:instrText>
      </w:r>
      <w:r w:rsidR="00E974B2">
        <w:rPr>
          <w:lang w:val="en-US"/>
        </w:rPr>
        <w:instrText>properties</w:instrText>
      </w:r>
      <w:r w:rsidR="00E974B2" w:rsidRPr="006C476A">
        <w:instrText>":{"</w:instrText>
      </w:r>
      <w:r w:rsidR="00E974B2">
        <w:rPr>
          <w:lang w:val="en-US"/>
        </w:rPr>
        <w:instrText>noteIndex</w:instrText>
      </w:r>
      <w:r w:rsidR="00E974B2" w:rsidRPr="006C476A">
        <w:instrText>":0},"</w:instrText>
      </w:r>
      <w:r w:rsidR="00E974B2">
        <w:rPr>
          <w:lang w:val="en-US"/>
        </w:rPr>
        <w:instrText>schema</w:instrText>
      </w:r>
      <w:r w:rsidR="00E974B2" w:rsidRPr="006C476A">
        <w:instrText>":"</w:instrText>
      </w:r>
      <w:r w:rsidR="00E974B2">
        <w:rPr>
          <w:lang w:val="en-US"/>
        </w:rPr>
        <w:instrText>https</w:instrText>
      </w:r>
      <w:r w:rsidR="00E974B2" w:rsidRPr="006C476A">
        <w:instrText>://</w:instrText>
      </w:r>
      <w:r w:rsidR="00E974B2">
        <w:rPr>
          <w:lang w:val="en-US"/>
        </w:rPr>
        <w:instrText>github</w:instrText>
      </w:r>
      <w:r w:rsidR="00E974B2" w:rsidRPr="006C476A">
        <w:instrText>.</w:instrText>
      </w:r>
      <w:r w:rsidR="00E974B2">
        <w:rPr>
          <w:lang w:val="en-US"/>
        </w:rPr>
        <w:instrText>com</w:instrText>
      </w:r>
      <w:r w:rsidR="00E974B2" w:rsidRPr="006C476A">
        <w:instrText>/</w:instrText>
      </w:r>
      <w:r w:rsidR="00E974B2">
        <w:rPr>
          <w:lang w:val="en-US"/>
        </w:rPr>
        <w:instrText>citation</w:instrText>
      </w:r>
      <w:r w:rsidR="00E974B2" w:rsidRPr="006C476A">
        <w:instrText>-</w:instrText>
      </w:r>
      <w:r w:rsidR="00E974B2">
        <w:rPr>
          <w:lang w:val="en-US"/>
        </w:rPr>
        <w:instrText>style</w:instrText>
      </w:r>
      <w:r w:rsidR="00E974B2" w:rsidRPr="006C476A">
        <w:instrText>-</w:instrText>
      </w:r>
      <w:r w:rsidR="00E974B2">
        <w:rPr>
          <w:lang w:val="en-US"/>
        </w:rPr>
        <w:instrText>language</w:instrText>
      </w:r>
      <w:r w:rsidR="00E974B2" w:rsidRPr="006C476A">
        <w:instrText>/</w:instrText>
      </w:r>
      <w:r w:rsidR="00E974B2">
        <w:rPr>
          <w:lang w:val="en-US"/>
        </w:rPr>
        <w:instrText>schema</w:instrText>
      </w:r>
      <w:r w:rsidR="00E974B2" w:rsidRPr="006C476A">
        <w:instrText>/</w:instrText>
      </w:r>
      <w:r w:rsidR="00E974B2">
        <w:rPr>
          <w:lang w:val="en-US"/>
        </w:rPr>
        <w:instrText>raw</w:instrText>
      </w:r>
      <w:r w:rsidR="00E974B2" w:rsidRPr="006C476A">
        <w:instrText>/</w:instrText>
      </w:r>
      <w:r w:rsidR="00E974B2">
        <w:rPr>
          <w:lang w:val="en-US"/>
        </w:rPr>
        <w:instrText>master</w:instrText>
      </w:r>
      <w:r w:rsidR="00E974B2" w:rsidRPr="006C476A">
        <w:instrText>/</w:instrText>
      </w:r>
      <w:r w:rsidR="00E974B2">
        <w:rPr>
          <w:lang w:val="en-US"/>
        </w:rPr>
        <w:instrText>csl</w:instrText>
      </w:r>
      <w:r w:rsidR="00E974B2" w:rsidRPr="006C476A">
        <w:instrText>-</w:instrText>
      </w:r>
      <w:r w:rsidR="00E974B2">
        <w:rPr>
          <w:lang w:val="en-US"/>
        </w:rPr>
        <w:instrText>citation</w:instrText>
      </w:r>
      <w:r w:rsidR="00E974B2" w:rsidRPr="006C476A">
        <w:instrText>.</w:instrText>
      </w:r>
      <w:r w:rsidR="00E974B2">
        <w:rPr>
          <w:lang w:val="en-US"/>
        </w:rPr>
        <w:instrText>json</w:instrText>
      </w:r>
      <w:r w:rsidR="00E974B2" w:rsidRPr="006C476A">
        <w:instrText>"}</w:instrText>
      </w:r>
      <w:r w:rsidRPr="000322E4">
        <w:rPr>
          <w:lang w:val="en-US"/>
        </w:rPr>
        <w:fldChar w:fldCharType="separate"/>
      </w:r>
      <w:r w:rsidR="004C51FF" w:rsidRPr="004C51FF">
        <w:rPr>
          <w:noProof/>
        </w:rPr>
        <w:t>[180–183]</w:t>
      </w:r>
      <w:r w:rsidRPr="000322E4">
        <w:rPr>
          <w:lang w:val="en-US"/>
        </w:rPr>
        <w:fldChar w:fldCharType="end"/>
      </w:r>
    </w:p>
    <w:p w14:paraId="67047E73" w14:textId="77777777" w:rsidR="00666D68" w:rsidRPr="000322E4" w:rsidRDefault="00666D68" w:rsidP="008E3584">
      <w:pPr>
        <w:numPr>
          <w:ilvl w:val="0"/>
          <w:numId w:val="39"/>
        </w:numPr>
      </w:pPr>
      <w:r w:rsidRPr="000322E4">
        <w:t>Циклофосфамид</w:t>
      </w:r>
      <w:r w:rsidRPr="000322E4">
        <w:rPr>
          <w:bCs/>
        </w:rPr>
        <w:t>**</w:t>
      </w:r>
      <w:r w:rsidRPr="000322E4">
        <w:t xml:space="preserve"> 750 мг/м</w:t>
      </w:r>
      <w:r w:rsidRPr="000322E4">
        <w:rPr>
          <w:vertAlign w:val="superscript"/>
        </w:rPr>
        <w:t>2</w:t>
      </w:r>
      <w:r w:rsidRPr="000322E4">
        <w:t xml:space="preserve"> в/в кап., день 1</w:t>
      </w:r>
    </w:p>
    <w:p w14:paraId="3273EEB9" w14:textId="77777777" w:rsidR="00666D68" w:rsidRPr="000322E4" w:rsidRDefault="00666D68" w:rsidP="008E3584">
      <w:pPr>
        <w:numPr>
          <w:ilvl w:val="0"/>
          <w:numId w:val="39"/>
        </w:numPr>
      </w:pPr>
      <w:r w:rsidRPr="000322E4">
        <w:t>Этопозид</w:t>
      </w:r>
      <w:r w:rsidRPr="000322E4">
        <w:rPr>
          <w:bCs/>
        </w:rPr>
        <w:t>**</w:t>
      </w:r>
      <w:r w:rsidRPr="000322E4">
        <w:t xml:space="preserve"> </w:t>
      </w:r>
      <w:r w:rsidR="00DC2554" w:rsidRPr="000322E4">
        <w:t xml:space="preserve">50 </w:t>
      </w:r>
      <w:r w:rsidRPr="000322E4">
        <w:t>мг/м</w:t>
      </w:r>
      <w:r w:rsidRPr="000322E4">
        <w:rPr>
          <w:vertAlign w:val="superscript"/>
        </w:rPr>
        <w:t>2</w:t>
      </w:r>
      <w:r w:rsidRPr="000322E4">
        <w:t xml:space="preserve"> в/в, день 1</w:t>
      </w:r>
    </w:p>
    <w:p w14:paraId="249A0D18" w14:textId="77777777" w:rsidR="00666D68" w:rsidRPr="000322E4" w:rsidRDefault="00F35A3E" w:rsidP="008E3584">
      <w:pPr>
        <w:numPr>
          <w:ilvl w:val="0"/>
          <w:numId w:val="39"/>
        </w:numPr>
      </w:pPr>
      <w:r w:rsidRPr="00F35A3E">
        <w:t>#</w:t>
      </w:r>
      <w:r w:rsidR="00666D68" w:rsidRPr="000322E4">
        <w:t>Винкристин</w:t>
      </w:r>
      <w:r w:rsidR="00666D68" w:rsidRPr="000322E4">
        <w:rPr>
          <w:bCs/>
        </w:rPr>
        <w:t>**</w:t>
      </w:r>
      <w:r w:rsidR="00666D68" w:rsidRPr="000322E4">
        <w:t xml:space="preserve"> 1,4 мг/м</w:t>
      </w:r>
      <w:r w:rsidR="00666D68" w:rsidRPr="000322E4">
        <w:rPr>
          <w:vertAlign w:val="superscript"/>
        </w:rPr>
        <w:t>2</w:t>
      </w:r>
      <w:r w:rsidR="00666D68" w:rsidRPr="000322E4">
        <w:t xml:space="preserve"> (суммарно не более 2 мг) в/в, день 1</w:t>
      </w:r>
    </w:p>
    <w:p w14:paraId="44F51C0C" w14:textId="77777777" w:rsidR="00666D68" w:rsidRPr="000322E4" w:rsidRDefault="00666D68" w:rsidP="008E3584">
      <w:pPr>
        <w:numPr>
          <w:ilvl w:val="0"/>
          <w:numId w:val="39"/>
        </w:numPr>
      </w:pPr>
      <w:r w:rsidRPr="000322E4">
        <w:t>Преднизолон</w:t>
      </w:r>
      <w:r w:rsidRPr="000322E4">
        <w:rPr>
          <w:bCs/>
        </w:rPr>
        <w:t>**</w:t>
      </w:r>
      <w:r w:rsidRPr="000322E4">
        <w:t xml:space="preserve"> 40 мг/м</w:t>
      </w:r>
      <w:r w:rsidRPr="000322E4">
        <w:rPr>
          <w:vertAlign w:val="superscript"/>
        </w:rPr>
        <w:t>2</w:t>
      </w:r>
      <w:r w:rsidRPr="000322E4">
        <w:t xml:space="preserve"> внутрь, дни 1-5</w:t>
      </w:r>
    </w:p>
    <w:p w14:paraId="0A41D965" w14:textId="77777777" w:rsidR="00666D68" w:rsidRPr="000322E4" w:rsidRDefault="00666D68" w:rsidP="008E3584">
      <w:pPr>
        <w:ind w:left="360"/>
      </w:pPr>
      <w:r w:rsidRPr="000322E4">
        <w:t>Лечение возобновляется на 22 день</w:t>
      </w:r>
    </w:p>
    <w:p w14:paraId="1B3DB3C9" w14:textId="77777777" w:rsidR="00666D68" w:rsidRPr="000322E4" w:rsidRDefault="00666D68" w:rsidP="008E3584">
      <w:pPr>
        <w:rPr>
          <w:b/>
          <w:bCs/>
        </w:rPr>
      </w:pPr>
    </w:p>
    <w:p w14:paraId="2926F36C" w14:textId="77777777" w:rsidR="00666D68" w:rsidRPr="006371BE" w:rsidRDefault="00666D68" w:rsidP="008E3584">
      <w:r w:rsidRPr="000322E4">
        <w:rPr>
          <w:b/>
          <w:lang w:val="en-US"/>
        </w:rPr>
        <w:t>R</w:t>
      </w:r>
      <w:r w:rsidRPr="000322E4">
        <w:rPr>
          <w:b/>
        </w:rPr>
        <w:t>-</w:t>
      </w:r>
      <w:r w:rsidRPr="000322E4">
        <w:rPr>
          <w:b/>
          <w:lang w:val="en-US"/>
        </w:rPr>
        <w:t>GCVP</w:t>
      </w:r>
      <w:r w:rsidRPr="000322E4">
        <w:rPr>
          <w:b/>
        </w:rPr>
        <w:t xml:space="preserve"> </w:t>
      </w:r>
      <w:r w:rsidRPr="000322E4">
        <w:rPr>
          <w:b/>
          <w:lang w:val="en-US"/>
        </w:rPr>
        <w:fldChar w:fldCharType="begin" w:fldLock="1"/>
      </w:r>
      <w:r w:rsidRPr="000322E4">
        <w:rPr>
          <w:b/>
          <w:lang w:val="en-US"/>
        </w:rPr>
        <w:instrText>ADDIN</w:instrText>
      </w:r>
      <w:r w:rsidRPr="000322E4">
        <w:rPr>
          <w:b/>
        </w:rPr>
        <w:instrText xml:space="preserve"> </w:instrText>
      </w:r>
      <w:r w:rsidRPr="000322E4">
        <w:rPr>
          <w:b/>
          <w:lang w:val="en-US"/>
        </w:rPr>
        <w:instrText>CSL</w:instrText>
      </w:r>
      <w:r w:rsidRPr="000322E4">
        <w:rPr>
          <w:b/>
        </w:rPr>
        <w:instrText>_</w:instrText>
      </w:r>
      <w:r w:rsidRPr="000322E4">
        <w:rPr>
          <w:b/>
          <w:lang w:val="en-US"/>
        </w:rPr>
        <w:instrText>CITATION</w:instrText>
      </w:r>
      <w:r w:rsidRPr="000322E4">
        <w:rPr>
          <w:b/>
        </w:rPr>
        <w:instrText xml:space="preserve"> {"</w:instrText>
      </w:r>
      <w:r w:rsidRPr="000322E4">
        <w:rPr>
          <w:b/>
          <w:lang w:val="en-US"/>
        </w:rPr>
        <w:instrText>citationItems</w:instrText>
      </w:r>
      <w:r w:rsidRPr="000322E4">
        <w:rPr>
          <w:b/>
        </w:rPr>
        <w:instrText>":[{"</w:instrText>
      </w:r>
      <w:r w:rsidRPr="000322E4">
        <w:rPr>
          <w:b/>
          <w:lang w:val="en-US"/>
        </w:rPr>
        <w:instrText>id</w:instrText>
      </w:r>
      <w:r w:rsidRPr="000322E4">
        <w:rPr>
          <w:b/>
        </w:rPr>
        <w:instrText>":"</w:instrText>
      </w:r>
      <w:r w:rsidRPr="000322E4">
        <w:rPr>
          <w:b/>
          <w:lang w:val="en-US"/>
        </w:rPr>
        <w:instrText>ITEM</w:instrText>
      </w:r>
      <w:r w:rsidRPr="000322E4">
        <w:rPr>
          <w:b/>
        </w:rPr>
        <w:instrText>-1","</w:instrText>
      </w:r>
      <w:r w:rsidRPr="000322E4">
        <w:rPr>
          <w:b/>
          <w:lang w:val="en-US"/>
        </w:rPr>
        <w:instrText>itemData</w:instrText>
      </w:r>
      <w:r w:rsidRPr="000322E4">
        <w:rPr>
          <w:b/>
        </w:rPr>
        <w:instrText>":{"</w:instrText>
      </w:r>
      <w:r w:rsidRPr="000322E4">
        <w:rPr>
          <w:b/>
          <w:lang w:val="en-US"/>
        </w:rPr>
        <w:instrText>DOI</w:instrText>
      </w:r>
      <w:r w:rsidRPr="000322E4">
        <w:rPr>
          <w:b/>
        </w:rPr>
        <w:instrText>":"10.1200/</w:instrText>
      </w:r>
      <w:r w:rsidRPr="000322E4">
        <w:rPr>
          <w:b/>
          <w:lang w:val="en-US"/>
        </w:rPr>
        <w:instrText>JCO</w:instrText>
      </w:r>
      <w:r w:rsidRPr="000322E4">
        <w:rPr>
          <w:b/>
        </w:rPr>
        <w:instrText>.2013.49.7586","</w:instrText>
      </w:r>
      <w:r w:rsidRPr="000322E4">
        <w:rPr>
          <w:b/>
          <w:lang w:val="en-US"/>
        </w:rPr>
        <w:instrText>ISSN</w:instrText>
      </w:r>
      <w:r w:rsidRPr="000322E4">
        <w:rPr>
          <w:b/>
        </w:rPr>
        <w:instrText>":"15277755","</w:instrText>
      </w:r>
      <w:r w:rsidRPr="000322E4">
        <w:rPr>
          <w:b/>
          <w:lang w:val="en-US"/>
        </w:rPr>
        <w:instrText>abstract</w:instrText>
      </w:r>
      <w:r w:rsidRPr="000322E4">
        <w:rPr>
          <w:b/>
        </w:rPr>
        <w:instrText>":"</w:instrText>
      </w:r>
      <w:r w:rsidRPr="000322E4">
        <w:rPr>
          <w:b/>
          <w:lang w:val="en-US"/>
        </w:rPr>
        <w:instrText>Purpose</w:instrText>
      </w:r>
      <w:r w:rsidRPr="000322E4">
        <w:rPr>
          <w:b/>
        </w:rPr>
        <w:instrText xml:space="preserve">: </w:instrText>
      </w:r>
      <w:r w:rsidRPr="000322E4">
        <w:rPr>
          <w:b/>
          <w:lang w:val="en-US"/>
        </w:rPr>
        <w:instrText>The</w:instrText>
      </w:r>
      <w:r w:rsidRPr="000322E4">
        <w:rPr>
          <w:b/>
        </w:rPr>
        <w:instrText xml:space="preserve"> </w:instrText>
      </w:r>
      <w:r w:rsidRPr="000322E4">
        <w:rPr>
          <w:b/>
          <w:lang w:val="en-US"/>
        </w:rPr>
        <w:instrText>treatment</w:instrText>
      </w:r>
      <w:r w:rsidRPr="000322E4">
        <w:rPr>
          <w:b/>
        </w:rPr>
        <w:instrText xml:space="preserve"> </w:instrText>
      </w:r>
      <w:r w:rsidRPr="000322E4">
        <w:rPr>
          <w:b/>
          <w:lang w:val="en-US"/>
        </w:rPr>
        <w:instrText>of</w:instrText>
      </w:r>
      <w:r w:rsidRPr="000322E4">
        <w:rPr>
          <w:b/>
        </w:rPr>
        <w:instrText xml:space="preserve"> </w:instrText>
      </w:r>
      <w:r w:rsidRPr="000322E4">
        <w:rPr>
          <w:b/>
          <w:lang w:val="en-US"/>
        </w:rPr>
        <w:instrText>patients</w:instrText>
      </w:r>
      <w:r w:rsidRPr="000322E4">
        <w:rPr>
          <w:b/>
        </w:rPr>
        <w:instrText xml:space="preserve"> </w:instrText>
      </w:r>
      <w:r w:rsidRPr="000322E4">
        <w:rPr>
          <w:b/>
          <w:lang w:val="en-US"/>
        </w:rPr>
        <w:instrText>with</w:instrText>
      </w:r>
      <w:r w:rsidRPr="000322E4">
        <w:rPr>
          <w:b/>
        </w:rPr>
        <w:instrText xml:space="preserve"> </w:instrText>
      </w:r>
      <w:r w:rsidRPr="000322E4">
        <w:rPr>
          <w:b/>
          <w:lang w:val="en-US"/>
        </w:rPr>
        <w:instrText>diffuse</w:instrText>
      </w:r>
      <w:r w:rsidRPr="000322E4">
        <w:rPr>
          <w:b/>
        </w:rPr>
        <w:instrText xml:space="preserve"> </w:instrText>
      </w:r>
      <w:r w:rsidRPr="000322E4">
        <w:rPr>
          <w:b/>
          <w:lang w:val="en-US"/>
        </w:rPr>
        <w:instrText>large</w:instrText>
      </w:r>
      <w:r w:rsidRPr="000322E4">
        <w:rPr>
          <w:b/>
        </w:rPr>
        <w:instrText xml:space="preserve"> </w:instrText>
      </w:r>
      <w:r w:rsidRPr="000322E4">
        <w:rPr>
          <w:b/>
          <w:lang w:val="en-US"/>
        </w:rPr>
        <w:instrText>B</w:instrText>
      </w:r>
      <w:r w:rsidRPr="000322E4">
        <w:rPr>
          <w:b/>
        </w:rPr>
        <w:instrText>-</w:instrText>
      </w:r>
      <w:r w:rsidRPr="000322E4">
        <w:rPr>
          <w:b/>
          <w:lang w:val="en-US"/>
        </w:rPr>
        <w:instrText>cell</w:instrText>
      </w:r>
      <w:r w:rsidRPr="000322E4">
        <w:rPr>
          <w:b/>
        </w:rPr>
        <w:instrText xml:space="preserve"> </w:instrText>
      </w:r>
      <w:r w:rsidRPr="000322E4">
        <w:rPr>
          <w:b/>
          <w:lang w:val="en-US"/>
        </w:rPr>
        <w:instrText>lymphoma</w:instrText>
      </w:r>
      <w:r w:rsidRPr="000322E4">
        <w:rPr>
          <w:b/>
        </w:rPr>
        <w:instrText xml:space="preserve"> (</w:instrText>
      </w:r>
      <w:r w:rsidRPr="000322E4">
        <w:rPr>
          <w:b/>
          <w:lang w:val="en-US"/>
        </w:rPr>
        <w:instrText>DLBCL</w:instrText>
      </w:r>
      <w:r w:rsidRPr="000322E4">
        <w:rPr>
          <w:b/>
        </w:rPr>
        <w:instrText xml:space="preserve">) </w:instrText>
      </w:r>
      <w:r w:rsidRPr="000322E4">
        <w:rPr>
          <w:b/>
          <w:lang w:val="en-US"/>
        </w:rPr>
        <w:instrText>with</w:instrText>
      </w:r>
      <w:r w:rsidRPr="000322E4">
        <w:rPr>
          <w:b/>
        </w:rPr>
        <w:instrText xml:space="preserve"> </w:instrText>
      </w:r>
      <w:r w:rsidRPr="000322E4">
        <w:rPr>
          <w:b/>
          <w:lang w:val="en-US"/>
        </w:rPr>
        <w:instrText>cardiac</w:instrText>
      </w:r>
      <w:r w:rsidRPr="000322E4">
        <w:rPr>
          <w:b/>
        </w:rPr>
        <w:instrText xml:space="preserve"> </w:instrText>
      </w:r>
      <w:r w:rsidRPr="000322E4">
        <w:rPr>
          <w:b/>
          <w:lang w:val="en-US"/>
        </w:rPr>
        <w:instrText>comorbidity</w:instrText>
      </w:r>
      <w:r w:rsidRPr="000322E4">
        <w:rPr>
          <w:b/>
        </w:rPr>
        <w:instrText xml:space="preserve"> </w:instrText>
      </w:r>
      <w:r w:rsidRPr="000322E4">
        <w:rPr>
          <w:b/>
          <w:lang w:val="en-US"/>
        </w:rPr>
        <w:instrText>is</w:instrText>
      </w:r>
      <w:r w:rsidRPr="000322E4">
        <w:rPr>
          <w:b/>
        </w:rPr>
        <w:instrText xml:space="preserve"> </w:instrText>
      </w:r>
      <w:r w:rsidRPr="000322E4">
        <w:rPr>
          <w:b/>
          <w:lang w:val="en-US"/>
        </w:rPr>
        <w:instrText>problematic</w:instrText>
      </w:r>
      <w:r w:rsidRPr="000322E4">
        <w:rPr>
          <w:b/>
        </w:rPr>
        <w:instrText xml:space="preserve">, </w:instrText>
      </w:r>
      <w:r w:rsidRPr="000322E4">
        <w:rPr>
          <w:b/>
          <w:lang w:val="en-US"/>
        </w:rPr>
        <w:instrText>because</w:instrText>
      </w:r>
      <w:r w:rsidRPr="000322E4">
        <w:rPr>
          <w:b/>
        </w:rPr>
        <w:instrText xml:space="preserve"> </w:instrText>
      </w:r>
      <w:r w:rsidRPr="000322E4">
        <w:rPr>
          <w:b/>
          <w:lang w:val="en-US"/>
        </w:rPr>
        <w:instrText>this</w:instrText>
      </w:r>
      <w:r w:rsidRPr="000322E4">
        <w:rPr>
          <w:b/>
        </w:rPr>
        <w:instrText xml:space="preserve"> </w:instrText>
      </w:r>
      <w:r w:rsidRPr="000322E4">
        <w:rPr>
          <w:b/>
          <w:lang w:val="en-US"/>
        </w:rPr>
        <w:instrText>group</w:instrText>
      </w:r>
      <w:r w:rsidRPr="000322E4">
        <w:rPr>
          <w:b/>
        </w:rPr>
        <w:instrText xml:space="preserve"> </w:instrText>
      </w:r>
      <w:r w:rsidRPr="000322E4">
        <w:rPr>
          <w:b/>
          <w:lang w:val="en-US"/>
        </w:rPr>
        <w:instrText>may</w:instrText>
      </w:r>
      <w:r w:rsidRPr="000322E4">
        <w:rPr>
          <w:b/>
        </w:rPr>
        <w:instrText xml:space="preserve"> </w:instrText>
      </w:r>
      <w:r w:rsidRPr="000322E4">
        <w:rPr>
          <w:b/>
          <w:lang w:val="en-US"/>
        </w:rPr>
        <w:instrText>not</w:instrText>
      </w:r>
      <w:r w:rsidRPr="000322E4">
        <w:rPr>
          <w:b/>
        </w:rPr>
        <w:instrText xml:space="preserve"> </w:instrText>
      </w:r>
      <w:r w:rsidRPr="000322E4">
        <w:rPr>
          <w:b/>
          <w:lang w:val="en-US"/>
        </w:rPr>
        <w:instrText>be</w:instrText>
      </w:r>
      <w:r w:rsidRPr="000322E4">
        <w:rPr>
          <w:b/>
        </w:rPr>
        <w:instrText xml:space="preserve"> </w:instrText>
      </w:r>
      <w:r w:rsidRPr="000322E4">
        <w:rPr>
          <w:b/>
          <w:lang w:val="en-US"/>
        </w:rPr>
        <w:instrText>able</w:instrText>
      </w:r>
      <w:r w:rsidRPr="000322E4">
        <w:rPr>
          <w:b/>
        </w:rPr>
        <w:instrText xml:space="preserve"> </w:instrText>
      </w:r>
      <w:r w:rsidRPr="000322E4">
        <w:rPr>
          <w:b/>
          <w:lang w:val="en-US"/>
        </w:rPr>
        <w:instrText>to</w:instrText>
      </w:r>
      <w:r w:rsidRPr="000322E4">
        <w:rPr>
          <w:b/>
        </w:rPr>
        <w:instrText xml:space="preserve"> </w:instrText>
      </w:r>
      <w:r w:rsidRPr="000322E4">
        <w:rPr>
          <w:b/>
          <w:lang w:val="en-US"/>
        </w:rPr>
        <w:instrText>receive</w:instrText>
      </w:r>
      <w:r w:rsidRPr="000322E4">
        <w:rPr>
          <w:b/>
        </w:rPr>
        <w:instrText xml:space="preserve"> </w:instrText>
      </w:r>
      <w:r w:rsidRPr="000322E4">
        <w:rPr>
          <w:b/>
          <w:lang w:val="en-US"/>
        </w:rPr>
        <w:instrText>anthracycline</w:instrText>
      </w:r>
      <w:r w:rsidRPr="000322E4">
        <w:rPr>
          <w:b/>
        </w:rPr>
        <w:instrText>-</w:instrText>
      </w:r>
      <w:r w:rsidRPr="000322E4">
        <w:rPr>
          <w:b/>
          <w:lang w:val="en-US"/>
        </w:rPr>
        <w:instrText>containing</w:instrText>
      </w:r>
      <w:r w:rsidRPr="000322E4">
        <w:rPr>
          <w:b/>
        </w:rPr>
        <w:instrText xml:space="preserve"> </w:instrText>
      </w:r>
      <w:r w:rsidRPr="000322E4">
        <w:rPr>
          <w:b/>
          <w:lang w:val="en-US"/>
        </w:rPr>
        <w:instrText>chemoimmunotherapy</w:instrText>
      </w:r>
      <w:r w:rsidRPr="000322E4">
        <w:rPr>
          <w:b/>
        </w:rPr>
        <w:instrText xml:space="preserve">. </w:instrText>
      </w:r>
      <w:r w:rsidRPr="000322E4">
        <w:rPr>
          <w:b/>
          <w:lang w:val="en-US"/>
        </w:rPr>
        <w:instrText>We</w:instrText>
      </w:r>
      <w:r w:rsidRPr="000322E4">
        <w:rPr>
          <w:b/>
        </w:rPr>
        <w:instrText xml:space="preserve"> </w:instrText>
      </w:r>
      <w:r w:rsidRPr="000322E4">
        <w:rPr>
          <w:b/>
          <w:lang w:val="en-US"/>
        </w:rPr>
        <w:instrText>designed</w:instrText>
      </w:r>
      <w:r w:rsidRPr="000322E4">
        <w:rPr>
          <w:b/>
        </w:rPr>
        <w:instrText xml:space="preserve"> </w:instrText>
      </w:r>
      <w:r w:rsidRPr="000322E4">
        <w:rPr>
          <w:b/>
          <w:lang w:val="en-US"/>
        </w:rPr>
        <w:instrText>a</w:instrText>
      </w:r>
      <w:r w:rsidRPr="000322E4">
        <w:rPr>
          <w:b/>
        </w:rPr>
        <w:instrText xml:space="preserve"> </w:instrText>
      </w:r>
      <w:r w:rsidRPr="000322E4">
        <w:rPr>
          <w:b/>
          <w:lang w:val="en-US"/>
        </w:rPr>
        <w:instrText>single</w:instrText>
      </w:r>
      <w:r w:rsidRPr="000322E4">
        <w:rPr>
          <w:b/>
        </w:rPr>
        <w:instrText>-</w:instrText>
      </w:r>
      <w:r w:rsidRPr="000322E4">
        <w:rPr>
          <w:b/>
          <w:lang w:val="en-US"/>
        </w:rPr>
        <w:instrText>arm</w:instrText>
      </w:r>
      <w:r w:rsidRPr="000322E4">
        <w:rPr>
          <w:b/>
        </w:rPr>
        <w:instrText xml:space="preserve"> </w:instrText>
      </w:r>
      <w:r w:rsidRPr="000322E4">
        <w:rPr>
          <w:b/>
          <w:lang w:val="en-US"/>
        </w:rPr>
        <w:instrText>phase</w:instrText>
      </w:r>
      <w:r w:rsidRPr="000322E4">
        <w:rPr>
          <w:b/>
        </w:rPr>
        <w:instrText xml:space="preserve"> </w:instrText>
      </w:r>
      <w:r w:rsidRPr="000322E4">
        <w:rPr>
          <w:b/>
          <w:lang w:val="en-US"/>
        </w:rPr>
        <w:instrText>II</w:instrText>
      </w:r>
      <w:r w:rsidRPr="000322E4">
        <w:rPr>
          <w:b/>
        </w:rPr>
        <w:instrText xml:space="preserve"> </w:instrText>
      </w:r>
      <w:r w:rsidRPr="000322E4">
        <w:rPr>
          <w:b/>
          <w:lang w:val="en-US"/>
        </w:rPr>
        <w:instrText>multicenter</w:instrText>
      </w:r>
      <w:r w:rsidRPr="000322E4">
        <w:rPr>
          <w:b/>
        </w:rPr>
        <w:instrText xml:space="preserve"> </w:instrText>
      </w:r>
      <w:r w:rsidRPr="000322E4">
        <w:rPr>
          <w:b/>
          <w:lang w:val="en-US"/>
        </w:rPr>
        <w:instrText>trial</w:instrText>
      </w:r>
      <w:r w:rsidRPr="000322E4">
        <w:rPr>
          <w:b/>
        </w:rPr>
        <w:instrText xml:space="preserve"> </w:instrText>
      </w:r>
      <w:r w:rsidRPr="000322E4">
        <w:rPr>
          <w:b/>
          <w:lang w:val="en-US"/>
        </w:rPr>
        <w:instrText>of</w:instrText>
      </w:r>
      <w:r w:rsidRPr="000322E4">
        <w:rPr>
          <w:b/>
        </w:rPr>
        <w:instrText xml:space="preserve"> </w:instrText>
      </w:r>
      <w:r w:rsidRPr="000322E4">
        <w:rPr>
          <w:b/>
          <w:lang w:val="en-US"/>
        </w:rPr>
        <w:instrText>rituximab</w:instrText>
      </w:r>
      <w:r w:rsidRPr="000322E4">
        <w:rPr>
          <w:b/>
        </w:rPr>
        <w:instrText xml:space="preserve">, </w:instrText>
      </w:r>
      <w:r w:rsidRPr="000322E4">
        <w:rPr>
          <w:b/>
          <w:lang w:val="en-US"/>
        </w:rPr>
        <w:instrText>gemcitabine</w:instrText>
      </w:r>
      <w:r w:rsidRPr="000322E4">
        <w:rPr>
          <w:b/>
        </w:rPr>
        <w:instrText xml:space="preserve">, </w:instrText>
      </w:r>
      <w:r w:rsidRPr="000322E4">
        <w:rPr>
          <w:b/>
          <w:lang w:val="en-US"/>
        </w:rPr>
        <w:instrText>cyclophosphamide</w:instrText>
      </w:r>
      <w:r w:rsidRPr="000322E4">
        <w:rPr>
          <w:b/>
        </w:rPr>
        <w:instrText xml:space="preserve">, </w:instrText>
      </w:r>
      <w:r w:rsidRPr="000322E4">
        <w:rPr>
          <w:b/>
          <w:lang w:val="en-US"/>
        </w:rPr>
        <w:instrText>vincristine</w:instrText>
      </w:r>
      <w:r w:rsidRPr="000322E4">
        <w:rPr>
          <w:b/>
        </w:rPr>
        <w:instrText xml:space="preserve">, </w:instrText>
      </w:r>
      <w:r w:rsidRPr="000322E4">
        <w:rPr>
          <w:b/>
          <w:lang w:val="en-US"/>
        </w:rPr>
        <w:instrText>and</w:instrText>
      </w:r>
      <w:r w:rsidRPr="000322E4">
        <w:rPr>
          <w:b/>
        </w:rPr>
        <w:instrText xml:space="preserve"> </w:instrText>
      </w:r>
      <w:r w:rsidRPr="000322E4">
        <w:rPr>
          <w:b/>
          <w:lang w:val="en-US"/>
        </w:rPr>
        <w:instrText>prednisolone</w:instrText>
      </w:r>
      <w:r w:rsidRPr="000322E4">
        <w:rPr>
          <w:b/>
        </w:rPr>
        <w:instrText xml:space="preserve"> (</w:instrText>
      </w:r>
      <w:r w:rsidRPr="000322E4">
        <w:rPr>
          <w:b/>
          <w:lang w:val="en-US"/>
        </w:rPr>
        <w:instrText>R</w:instrText>
      </w:r>
      <w:r w:rsidRPr="000322E4">
        <w:rPr>
          <w:b/>
        </w:rPr>
        <w:instrText>-</w:instrText>
      </w:r>
      <w:r w:rsidRPr="000322E4">
        <w:rPr>
          <w:b/>
          <w:lang w:val="en-US"/>
        </w:rPr>
        <w:instrText>GCVP</w:instrText>
      </w:r>
      <w:r w:rsidRPr="000322E4">
        <w:rPr>
          <w:b/>
        </w:rPr>
        <w:instrText xml:space="preserve">) </w:instrText>
      </w:r>
      <w:r w:rsidRPr="000322E4">
        <w:rPr>
          <w:b/>
          <w:lang w:val="en-US"/>
        </w:rPr>
        <w:instrText>in</w:instrText>
      </w:r>
      <w:r w:rsidRPr="000322E4">
        <w:rPr>
          <w:b/>
        </w:rPr>
        <w:instrText xml:space="preserve"> </w:instrText>
      </w:r>
      <w:r w:rsidRPr="000322E4">
        <w:rPr>
          <w:b/>
          <w:lang w:val="en-US"/>
        </w:rPr>
        <w:instrText>patients</w:instrText>
      </w:r>
      <w:r w:rsidRPr="000322E4">
        <w:rPr>
          <w:b/>
        </w:rPr>
        <w:instrText xml:space="preserve"> </w:instrText>
      </w:r>
      <w:r w:rsidRPr="000322E4">
        <w:rPr>
          <w:b/>
          <w:lang w:val="en-US"/>
        </w:rPr>
        <w:instrText>considered</w:instrText>
      </w:r>
      <w:r w:rsidRPr="000322E4">
        <w:rPr>
          <w:b/>
        </w:rPr>
        <w:instrText xml:space="preserve"> </w:instrText>
      </w:r>
      <w:r w:rsidRPr="000322E4">
        <w:rPr>
          <w:b/>
          <w:lang w:val="en-US"/>
        </w:rPr>
        <w:instrText>unfit</w:instrText>
      </w:r>
      <w:r w:rsidRPr="000322E4">
        <w:rPr>
          <w:b/>
        </w:rPr>
        <w:instrText xml:space="preserve"> </w:instrText>
      </w:r>
      <w:r w:rsidRPr="000322E4">
        <w:rPr>
          <w:b/>
          <w:lang w:val="en-US"/>
        </w:rPr>
        <w:instrText>for</w:instrText>
      </w:r>
      <w:r w:rsidRPr="000322E4">
        <w:rPr>
          <w:b/>
        </w:rPr>
        <w:instrText xml:space="preserve"> </w:instrText>
      </w:r>
      <w:r w:rsidRPr="000322E4">
        <w:rPr>
          <w:b/>
          <w:lang w:val="en-US"/>
        </w:rPr>
        <w:instrText>anthracycline</w:instrText>
      </w:r>
      <w:r w:rsidRPr="000322E4">
        <w:rPr>
          <w:b/>
        </w:rPr>
        <w:instrText>-</w:instrText>
      </w:r>
      <w:r w:rsidRPr="000322E4">
        <w:rPr>
          <w:b/>
          <w:lang w:val="en-US"/>
        </w:rPr>
        <w:instrText>containing</w:instrText>
      </w:r>
      <w:r w:rsidRPr="000322E4">
        <w:rPr>
          <w:b/>
        </w:rPr>
        <w:instrText xml:space="preserve"> </w:instrText>
      </w:r>
      <w:r w:rsidRPr="000322E4">
        <w:rPr>
          <w:b/>
          <w:lang w:val="en-US"/>
        </w:rPr>
        <w:instrText>chemoimmunotherapy</w:instrText>
      </w:r>
      <w:r w:rsidRPr="000322E4">
        <w:rPr>
          <w:b/>
        </w:rPr>
        <w:instrText xml:space="preserve"> </w:instrText>
      </w:r>
      <w:r w:rsidRPr="000322E4">
        <w:rPr>
          <w:b/>
          <w:lang w:val="en-US"/>
        </w:rPr>
        <w:instrText>because</w:instrText>
      </w:r>
      <w:r w:rsidRPr="000322E4">
        <w:rPr>
          <w:b/>
        </w:rPr>
        <w:instrText xml:space="preserve"> </w:instrText>
      </w:r>
      <w:r w:rsidRPr="000322E4">
        <w:rPr>
          <w:b/>
          <w:lang w:val="en-US"/>
        </w:rPr>
        <w:instrText>of</w:instrText>
      </w:r>
      <w:r w:rsidRPr="000322E4">
        <w:rPr>
          <w:b/>
        </w:rPr>
        <w:instrText xml:space="preserve"> </w:instrText>
      </w:r>
      <w:r w:rsidRPr="000322E4">
        <w:rPr>
          <w:b/>
          <w:lang w:val="en-US"/>
        </w:rPr>
        <w:instrText>cardiac</w:instrText>
      </w:r>
      <w:r w:rsidRPr="000322E4">
        <w:rPr>
          <w:b/>
        </w:rPr>
        <w:instrText xml:space="preserve"> </w:instrText>
      </w:r>
      <w:r w:rsidRPr="000322E4">
        <w:rPr>
          <w:b/>
          <w:lang w:val="en-US"/>
        </w:rPr>
        <w:instrText>comorbidity</w:instrText>
      </w:r>
      <w:r w:rsidRPr="000322E4">
        <w:rPr>
          <w:b/>
        </w:rPr>
        <w:instrText xml:space="preserve">. </w:instrText>
      </w:r>
      <w:r w:rsidRPr="000322E4">
        <w:rPr>
          <w:b/>
          <w:lang w:val="en-US"/>
        </w:rPr>
        <w:instrText>Patients</w:instrText>
      </w:r>
      <w:r w:rsidRPr="000322E4">
        <w:rPr>
          <w:b/>
        </w:rPr>
        <w:instrText xml:space="preserve"> </w:instrText>
      </w:r>
      <w:r w:rsidRPr="000322E4">
        <w:rPr>
          <w:b/>
          <w:lang w:val="en-US"/>
        </w:rPr>
        <w:instrText>and</w:instrText>
      </w:r>
      <w:r w:rsidRPr="000322E4">
        <w:rPr>
          <w:b/>
        </w:rPr>
        <w:instrText xml:space="preserve"> </w:instrText>
      </w:r>
      <w:r w:rsidRPr="000322E4">
        <w:rPr>
          <w:b/>
          <w:lang w:val="en-US"/>
        </w:rPr>
        <w:instrText>Methods</w:instrText>
      </w:r>
      <w:r w:rsidRPr="000322E4">
        <w:rPr>
          <w:b/>
        </w:rPr>
        <w:instrText xml:space="preserve">: </w:instrText>
      </w:r>
      <w:r w:rsidRPr="000322E4">
        <w:rPr>
          <w:b/>
          <w:lang w:val="en-US"/>
        </w:rPr>
        <w:instrText>Sixty</w:instrText>
      </w:r>
      <w:r w:rsidRPr="000322E4">
        <w:rPr>
          <w:b/>
        </w:rPr>
        <w:instrText>-</w:instrText>
      </w:r>
      <w:r w:rsidRPr="000322E4">
        <w:rPr>
          <w:b/>
          <w:lang w:val="en-US"/>
        </w:rPr>
        <w:instrText>one</w:instrText>
      </w:r>
      <w:r w:rsidRPr="000322E4">
        <w:rPr>
          <w:b/>
        </w:rPr>
        <w:instrText xml:space="preserve"> </w:instrText>
      </w:r>
      <w:r w:rsidRPr="000322E4">
        <w:rPr>
          <w:b/>
          <w:lang w:val="en-US"/>
        </w:rPr>
        <w:instrText>of</w:instrText>
      </w:r>
      <w:r w:rsidRPr="000322E4">
        <w:rPr>
          <w:b/>
        </w:rPr>
        <w:instrText xml:space="preserve"> 62 </w:instrText>
      </w:r>
      <w:r w:rsidRPr="000322E4">
        <w:rPr>
          <w:b/>
          <w:lang w:val="en-US"/>
        </w:rPr>
        <w:instrText>patients</w:instrText>
      </w:r>
      <w:r w:rsidRPr="000322E4">
        <w:rPr>
          <w:b/>
        </w:rPr>
        <w:instrText xml:space="preserve"> </w:instrText>
      </w:r>
      <w:r w:rsidRPr="000322E4">
        <w:rPr>
          <w:b/>
          <w:lang w:val="en-US"/>
        </w:rPr>
        <w:instrText>received</w:instrText>
      </w:r>
      <w:r w:rsidRPr="000322E4">
        <w:rPr>
          <w:b/>
        </w:rPr>
        <w:instrText xml:space="preserve"> </w:instrText>
      </w:r>
      <w:r w:rsidRPr="000322E4">
        <w:rPr>
          <w:b/>
          <w:lang w:val="en-US"/>
        </w:rPr>
        <w:instrText>R</w:instrText>
      </w:r>
      <w:r w:rsidRPr="000322E4">
        <w:rPr>
          <w:b/>
        </w:rPr>
        <w:instrText>-</w:instrText>
      </w:r>
      <w:r w:rsidRPr="000322E4">
        <w:rPr>
          <w:b/>
          <w:lang w:val="en-US"/>
        </w:rPr>
        <w:instrText>GCVP</w:instrText>
      </w:r>
      <w:r w:rsidRPr="000322E4">
        <w:rPr>
          <w:b/>
        </w:rPr>
        <w:instrText xml:space="preserve">, </w:instrText>
      </w:r>
      <w:r w:rsidRPr="000322E4">
        <w:rPr>
          <w:b/>
          <w:lang w:val="en-US"/>
        </w:rPr>
        <w:instrText>administered</w:instrText>
      </w:r>
      <w:r w:rsidRPr="000322E4">
        <w:rPr>
          <w:b/>
        </w:rPr>
        <w:instrText xml:space="preserve"> </w:instrText>
      </w:r>
      <w:r w:rsidRPr="000322E4">
        <w:rPr>
          <w:b/>
          <w:lang w:val="en-US"/>
        </w:rPr>
        <w:instrText>on</w:instrText>
      </w:r>
      <w:r w:rsidRPr="000322E4">
        <w:rPr>
          <w:b/>
        </w:rPr>
        <w:instrText xml:space="preserve"> </w:instrText>
      </w:r>
      <w:r w:rsidRPr="000322E4">
        <w:rPr>
          <w:b/>
          <w:lang w:val="en-US"/>
        </w:rPr>
        <w:instrText>day</w:instrText>
      </w:r>
      <w:r w:rsidRPr="000322E4">
        <w:rPr>
          <w:b/>
        </w:rPr>
        <w:instrText xml:space="preserve"> 1 </w:instrText>
      </w:r>
      <w:r w:rsidRPr="000322E4">
        <w:rPr>
          <w:b/>
          <w:lang w:val="en-US"/>
        </w:rPr>
        <w:instrText>with</w:instrText>
      </w:r>
      <w:r w:rsidRPr="000322E4">
        <w:rPr>
          <w:b/>
        </w:rPr>
        <w:instrText xml:space="preserve"> </w:instrText>
      </w:r>
      <w:r w:rsidRPr="000322E4">
        <w:rPr>
          <w:b/>
          <w:lang w:val="en-US"/>
        </w:rPr>
        <w:instrText>gemcitabine</w:instrText>
      </w:r>
      <w:r w:rsidRPr="000322E4">
        <w:rPr>
          <w:b/>
        </w:rPr>
        <w:instrText xml:space="preserve"> </w:instrText>
      </w:r>
      <w:r w:rsidRPr="000322E4">
        <w:rPr>
          <w:b/>
          <w:lang w:val="en-US"/>
        </w:rPr>
        <w:instrText>repeated</w:instrText>
      </w:r>
      <w:r w:rsidRPr="000322E4">
        <w:rPr>
          <w:b/>
        </w:rPr>
        <w:instrText xml:space="preserve"> </w:instrText>
      </w:r>
      <w:r w:rsidRPr="000322E4">
        <w:rPr>
          <w:b/>
          <w:lang w:val="en-US"/>
        </w:rPr>
        <w:instrText>on</w:instrText>
      </w:r>
      <w:r w:rsidRPr="000322E4">
        <w:rPr>
          <w:b/>
        </w:rPr>
        <w:instrText xml:space="preserve"> </w:instrText>
      </w:r>
      <w:r w:rsidRPr="000322E4">
        <w:rPr>
          <w:b/>
          <w:lang w:val="en-US"/>
        </w:rPr>
        <w:instrText>day</w:instrText>
      </w:r>
      <w:r w:rsidRPr="000322E4">
        <w:rPr>
          <w:b/>
        </w:rPr>
        <w:instrText xml:space="preserve"> 8 </w:instrText>
      </w:r>
      <w:r w:rsidRPr="000322E4">
        <w:rPr>
          <w:b/>
          <w:lang w:val="en-US"/>
        </w:rPr>
        <w:instrText>of</w:instrText>
      </w:r>
      <w:r w:rsidRPr="000322E4">
        <w:rPr>
          <w:b/>
        </w:rPr>
        <w:instrText xml:space="preserve"> </w:instrText>
      </w:r>
      <w:r w:rsidRPr="000322E4">
        <w:rPr>
          <w:b/>
          <w:lang w:val="en-US"/>
        </w:rPr>
        <w:instrText>a</w:instrText>
      </w:r>
      <w:r w:rsidRPr="000322E4">
        <w:rPr>
          <w:b/>
        </w:rPr>
        <w:instrText xml:space="preserve"> 21-</w:instrText>
      </w:r>
      <w:r w:rsidRPr="000322E4">
        <w:rPr>
          <w:b/>
          <w:lang w:val="en-US"/>
        </w:rPr>
        <w:instrText>day</w:instrText>
      </w:r>
      <w:r w:rsidRPr="000322E4">
        <w:rPr>
          <w:b/>
        </w:rPr>
        <w:instrText xml:space="preserve"> </w:instrText>
      </w:r>
      <w:r w:rsidRPr="000322E4">
        <w:rPr>
          <w:b/>
          <w:lang w:val="en-US"/>
        </w:rPr>
        <w:instrText>cycle</w:instrText>
      </w:r>
      <w:r w:rsidRPr="000322E4">
        <w:rPr>
          <w:b/>
        </w:rPr>
        <w:instrText xml:space="preserve">. </w:instrText>
      </w:r>
      <w:r w:rsidRPr="000322E4">
        <w:rPr>
          <w:b/>
          <w:lang w:val="en-US"/>
        </w:rPr>
        <w:instrText>Median</w:instrText>
      </w:r>
      <w:r w:rsidRPr="000322E4">
        <w:rPr>
          <w:b/>
        </w:rPr>
        <w:instrText xml:space="preserve"> </w:instrText>
      </w:r>
      <w:r w:rsidRPr="000322E4">
        <w:rPr>
          <w:b/>
          <w:lang w:val="en-US"/>
        </w:rPr>
        <w:instrText>age</w:instrText>
      </w:r>
      <w:r w:rsidRPr="000322E4">
        <w:rPr>
          <w:b/>
        </w:rPr>
        <w:instrText xml:space="preserve"> </w:instrText>
      </w:r>
      <w:r w:rsidRPr="000322E4">
        <w:rPr>
          <w:b/>
          <w:lang w:val="en-US"/>
        </w:rPr>
        <w:instrText>was</w:instrText>
      </w:r>
      <w:r w:rsidRPr="000322E4">
        <w:rPr>
          <w:b/>
        </w:rPr>
        <w:instrText xml:space="preserve"> 76.5 </w:instrText>
      </w:r>
      <w:r w:rsidRPr="000322E4">
        <w:rPr>
          <w:b/>
          <w:lang w:val="en-US"/>
        </w:rPr>
        <w:instrText>years</w:instrText>
      </w:r>
      <w:r w:rsidRPr="000322E4">
        <w:rPr>
          <w:b/>
        </w:rPr>
        <w:instrText xml:space="preserve">. </w:instrText>
      </w:r>
      <w:r w:rsidRPr="000322E4">
        <w:rPr>
          <w:b/>
          <w:lang w:val="en-US"/>
        </w:rPr>
        <w:instrText>All</w:instrText>
      </w:r>
      <w:r w:rsidRPr="000322E4">
        <w:rPr>
          <w:b/>
        </w:rPr>
        <w:instrText xml:space="preserve"> </w:instrText>
      </w:r>
      <w:r w:rsidRPr="000322E4">
        <w:rPr>
          <w:b/>
          <w:lang w:val="en-US"/>
        </w:rPr>
        <w:instrText>patients</w:instrText>
      </w:r>
      <w:r w:rsidRPr="000322E4">
        <w:rPr>
          <w:b/>
        </w:rPr>
        <w:instrText xml:space="preserve"> </w:instrText>
      </w:r>
      <w:r w:rsidRPr="000322E4">
        <w:rPr>
          <w:b/>
          <w:lang w:val="en-US"/>
        </w:rPr>
        <w:instrText>had</w:instrText>
      </w:r>
      <w:r w:rsidRPr="000322E4">
        <w:rPr>
          <w:b/>
        </w:rPr>
        <w:instrText xml:space="preserve"> </w:instrText>
      </w:r>
      <w:r w:rsidRPr="000322E4">
        <w:rPr>
          <w:b/>
          <w:lang w:val="en-US"/>
        </w:rPr>
        <w:instrText>advanced</w:instrText>
      </w:r>
      <w:r w:rsidRPr="000322E4">
        <w:rPr>
          <w:b/>
        </w:rPr>
        <w:instrText xml:space="preserve"> </w:instrText>
      </w:r>
      <w:r w:rsidRPr="000322E4">
        <w:rPr>
          <w:b/>
          <w:lang w:val="en-US"/>
        </w:rPr>
        <w:instrText>disease</w:instrText>
      </w:r>
      <w:r w:rsidRPr="000322E4">
        <w:rPr>
          <w:b/>
        </w:rPr>
        <w:instrText xml:space="preserve">; 27 (43.5%) </w:instrText>
      </w:r>
      <w:r w:rsidRPr="000322E4">
        <w:rPr>
          <w:b/>
          <w:lang w:val="en-US"/>
        </w:rPr>
        <w:instrText>had</w:instrText>
      </w:r>
      <w:r w:rsidRPr="000322E4">
        <w:rPr>
          <w:b/>
        </w:rPr>
        <w:instrText xml:space="preserve"> </w:instrText>
      </w:r>
      <w:r w:rsidRPr="000322E4">
        <w:rPr>
          <w:b/>
          <w:lang w:val="en-US"/>
        </w:rPr>
        <w:instrText>left</w:instrText>
      </w:r>
      <w:r w:rsidRPr="000322E4">
        <w:rPr>
          <w:b/>
        </w:rPr>
        <w:instrText xml:space="preserve"> </w:instrText>
      </w:r>
      <w:r w:rsidRPr="000322E4">
        <w:rPr>
          <w:b/>
          <w:lang w:val="en-US"/>
        </w:rPr>
        <w:instrText>ventricular</w:instrText>
      </w:r>
      <w:r w:rsidRPr="000322E4">
        <w:rPr>
          <w:b/>
        </w:rPr>
        <w:instrText xml:space="preserve"> </w:instrText>
      </w:r>
      <w:r w:rsidRPr="000322E4">
        <w:rPr>
          <w:b/>
          <w:lang w:val="en-US"/>
        </w:rPr>
        <w:instrText>ejection</w:instrText>
      </w:r>
      <w:r w:rsidRPr="000322E4">
        <w:rPr>
          <w:b/>
        </w:rPr>
        <w:instrText xml:space="preserve"> </w:instrText>
      </w:r>
      <w:r w:rsidRPr="000322E4">
        <w:rPr>
          <w:b/>
          <w:lang w:val="en-US"/>
        </w:rPr>
        <w:instrText>fraction</w:instrText>
      </w:r>
      <w:r w:rsidRPr="000322E4">
        <w:rPr>
          <w:b/>
        </w:rPr>
        <w:instrText xml:space="preserve"> </w:instrText>
      </w:r>
      <w:r w:rsidRPr="000322E4">
        <w:rPr>
          <w:b/>
          <w:lang w:val="en-US"/>
        </w:rPr>
        <w:instrText>of</w:instrText>
      </w:r>
      <w:r w:rsidRPr="000322E4">
        <w:rPr>
          <w:b/>
        </w:rPr>
        <w:instrText xml:space="preserve"> ≤ 50%, </w:instrText>
      </w:r>
      <w:r w:rsidRPr="000322E4">
        <w:rPr>
          <w:b/>
          <w:lang w:val="en-US"/>
        </w:rPr>
        <w:instrText>and</w:instrText>
      </w:r>
      <w:r w:rsidRPr="000322E4">
        <w:rPr>
          <w:b/>
        </w:rPr>
        <w:instrText xml:space="preserve"> 35 (56.5%) </w:instrText>
      </w:r>
      <w:r w:rsidRPr="000322E4">
        <w:rPr>
          <w:b/>
          <w:lang w:val="en-US"/>
        </w:rPr>
        <w:instrText>had</w:instrText>
      </w:r>
      <w:r w:rsidRPr="000322E4">
        <w:rPr>
          <w:b/>
        </w:rPr>
        <w:instrText xml:space="preserve"> </w:instrText>
      </w:r>
      <w:r w:rsidRPr="000322E4">
        <w:rPr>
          <w:b/>
          <w:lang w:val="en-US"/>
        </w:rPr>
        <w:instrText>borderline</w:instrText>
      </w:r>
      <w:r w:rsidRPr="000322E4">
        <w:rPr>
          <w:b/>
        </w:rPr>
        <w:instrText xml:space="preserve"> </w:instrText>
      </w:r>
      <w:r w:rsidRPr="000322E4">
        <w:rPr>
          <w:b/>
          <w:lang w:val="en-US"/>
        </w:rPr>
        <w:instrText>ejection</w:instrText>
      </w:r>
      <w:r w:rsidRPr="000322E4">
        <w:rPr>
          <w:b/>
        </w:rPr>
        <w:instrText xml:space="preserve"> </w:instrText>
      </w:r>
      <w:r w:rsidRPr="000322E4">
        <w:rPr>
          <w:b/>
          <w:lang w:val="en-US"/>
        </w:rPr>
        <w:instrText>fraction</w:instrText>
      </w:r>
      <w:r w:rsidRPr="000322E4">
        <w:rPr>
          <w:b/>
        </w:rPr>
        <w:instrText xml:space="preserve"> </w:instrText>
      </w:r>
      <w:r w:rsidRPr="000322E4">
        <w:rPr>
          <w:b/>
          <w:lang w:val="en-US"/>
        </w:rPr>
        <w:instrText>of</w:instrText>
      </w:r>
      <w:r w:rsidRPr="000322E4">
        <w:rPr>
          <w:b/>
        </w:rPr>
        <w:instrText xml:space="preserve"> &gt; 50% </w:instrText>
      </w:r>
      <w:r w:rsidRPr="000322E4">
        <w:rPr>
          <w:b/>
          <w:lang w:val="en-US"/>
        </w:rPr>
        <w:instrText>but</w:instrText>
      </w:r>
      <w:r w:rsidRPr="000322E4">
        <w:rPr>
          <w:b/>
        </w:rPr>
        <w:instrText xml:space="preserve"> ≤ 55% </w:instrText>
      </w:r>
      <w:r w:rsidRPr="000322E4">
        <w:rPr>
          <w:b/>
          <w:lang w:val="en-US"/>
        </w:rPr>
        <w:instrText>and</w:instrText>
      </w:r>
      <w:r w:rsidRPr="000322E4">
        <w:rPr>
          <w:b/>
        </w:rPr>
        <w:instrText xml:space="preserve"> </w:instrText>
      </w:r>
      <w:r w:rsidRPr="000322E4">
        <w:rPr>
          <w:b/>
          <w:lang w:val="en-US"/>
        </w:rPr>
        <w:instrText>comorbid</w:instrText>
      </w:r>
      <w:r w:rsidRPr="000322E4">
        <w:rPr>
          <w:b/>
        </w:rPr>
        <w:instrText xml:space="preserve"> </w:instrText>
      </w:r>
      <w:r w:rsidRPr="000322E4">
        <w:rPr>
          <w:b/>
          <w:lang w:val="en-US"/>
        </w:rPr>
        <w:instrText>cardiac</w:instrText>
      </w:r>
      <w:r w:rsidRPr="000322E4">
        <w:rPr>
          <w:b/>
        </w:rPr>
        <w:instrText xml:space="preserve"> </w:instrText>
      </w:r>
      <w:r w:rsidRPr="000322E4">
        <w:rPr>
          <w:b/>
          <w:lang w:val="en-US"/>
        </w:rPr>
        <w:instrText>risk</w:instrText>
      </w:r>
      <w:r w:rsidRPr="000322E4">
        <w:rPr>
          <w:b/>
        </w:rPr>
        <w:instrText xml:space="preserve"> </w:instrText>
      </w:r>
      <w:r w:rsidRPr="000322E4">
        <w:rPr>
          <w:b/>
          <w:lang w:val="en-US"/>
        </w:rPr>
        <w:instrText>factors</w:instrText>
      </w:r>
      <w:r w:rsidRPr="000322E4">
        <w:rPr>
          <w:b/>
        </w:rPr>
        <w:instrText xml:space="preserve"> </w:instrText>
      </w:r>
      <w:r w:rsidRPr="000322E4">
        <w:rPr>
          <w:b/>
          <w:lang w:val="en-US"/>
        </w:rPr>
        <w:instrText>such</w:instrText>
      </w:r>
      <w:r w:rsidRPr="000322E4">
        <w:rPr>
          <w:b/>
        </w:rPr>
        <w:instrText xml:space="preserve"> </w:instrText>
      </w:r>
      <w:r w:rsidRPr="000322E4">
        <w:rPr>
          <w:b/>
          <w:lang w:val="en-US"/>
        </w:rPr>
        <w:instrText>as</w:instrText>
      </w:r>
      <w:r w:rsidRPr="000322E4">
        <w:rPr>
          <w:b/>
        </w:rPr>
        <w:instrText xml:space="preserve"> </w:instrText>
      </w:r>
      <w:r w:rsidRPr="000322E4">
        <w:rPr>
          <w:b/>
          <w:lang w:val="en-US"/>
        </w:rPr>
        <w:instrText>ischemic</w:instrText>
      </w:r>
      <w:r w:rsidRPr="000322E4">
        <w:rPr>
          <w:b/>
        </w:rPr>
        <w:instrText xml:space="preserve"> </w:instrText>
      </w:r>
      <w:r w:rsidRPr="000322E4">
        <w:rPr>
          <w:b/>
          <w:lang w:val="en-US"/>
        </w:rPr>
        <w:instrText>heart</w:instrText>
      </w:r>
      <w:r w:rsidRPr="000322E4">
        <w:rPr>
          <w:b/>
        </w:rPr>
        <w:instrText xml:space="preserve"> </w:instrText>
      </w:r>
      <w:r w:rsidRPr="000322E4">
        <w:rPr>
          <w:b/>
          <w:lang w:val="en-US"/>
        </w:rPr>
        <w:instrText>disease</w:instrText>
      </w:r>
      <w:r w:rsidRPr="000322E4">
        <w:rPr>
          <w:b/>
        </w:rPr>
        <w:instrText xml:space="preserve">, </w:instrText>
      </w:r>
      <w:r w:rsidRPr="000322E4">
        <w:rPr>
          <w:b/>
          <w:lang w:val="en-US"/>
        </w:rPr>
        <w:instrText>diabetes</w:instrText>
      </w:r>
      <w:r w:rsidRPr="000322E4">
        <w:rPr>
          <w:b/>
        </w:rPr>
        <w:instrText xml:space="preserve"> </w:instrText>
      </w:r>
      <w:r w:rsidRPr="000322E4">
        <w:rPr>
          <w:b/>
          <w:lang w:val="en-US"/>
        </w:rPr>
        <w:instrText>mellitus</w:instrText>
      </w:r>
      <w:r w:rsidRPr="000322E4">
        <w:rPr>
          <w:b/>
        </w:rPr>
        <w:instrText xml:space="preserve">, </w:instrText>
      </w:r>
      <w:r w:rsidRPr="000322E4">
        <w:rPr>
          <w:b/>
          <w:lang w:val="en-US"/>
        </w:rPr>
        <w:instrText>or</w:instrText>
      </w:r>
      <w:r w:rsidRPr="000322E4">
        <w:rPr>
          <w:b/>
        </w:rPr>
        <w:instrText xml:space="preserve"> </w:instrText>
      </w:r>
      <w:r w:rsidRPr="000322E4">
        <w:rPr>
          <w:b/>
          <w:lang w:val="en-US"/>
        </w:rPr>
        <w:instrText>hypertension</w:instrText>
      </w:r>
      <w:r w:rsidRPr="000322E4">
        <w:rPr>
          <w:b/>
        </w:rPr>
        <w:instrText xml:space="preserve">. </w:instrText>
      </w:r>
      <w:r w:rsidRPr="000322E4">
        <w:rPr>
          <w:b/>
          <w:lang w:val="en-US"/>
        </w:rPr>
        <w:instrText>Primary</w:instrText>
      </w:r>
      <w:r w:rsidRPr="000322E4">
        <w:rPr>
          <w:b/>
        </w:rPr>
        <w:instrText xml:space="preserve"> </w:instrText>
      </w:r>
      <w:r w:rsidRPr="000322E4">
        <w:rPr>
          <w:b/>
          <w:lang w:val="en-US"/>
        </w:rPr>
        <w:instrText>end</w:instrText>
      </w:r>
      <w:r w:rsidRPr="000322E4">
        <w:rPr>
          <w:b/>
        </w:rPr>
        <w:instrText xml:space="preserve"> </w:instrText>
      </w:r>
      <w:r w:rsidRPr="000322E4">
        <w:rPr>
          <w:b/>
          <w:lang w:val="en-US"/>
        </w:rPr>
        <w:instrText>point</w:instrText>
      </w:r>
      <w:r w:rsidRPr="000322E4">
        <w:rPr>
          <w:b/>
        </w:rPr>
        <w:instrText xml:space="preserve"> </w:instrText>
      </w:r>
      <w:r w:rsidRPr="000322E4">
        <w:rPr>
          <w:b/>
          <w:lang w:val="en-US"/>
        </w:rPr>
        <w:instrText>was</w:instrText>
      </w:r>
      <w:r w:rsidRPr="000322E4">
        <w:rPr>
          <w:b/>
        </w:rPr>
        <w:instrText xml:space="preserve"> </w:instrText>
      </w:r>
      <w:r w:rsidRPr="000322E4">
        <w:rPr>
          <w:b/>
          <w:lang w:val="en-US"/>
        </w:rPr>
        <w:instrText>overall</w:instrText>
      </w:r>
      <w:r w:rsidRPr="000322E4">
        <w:rPr>
          <w:b/>
        </w:rPr>
        <w:instrText xml:space="preserve"> </w:instrText>
      </w:r>
      <w:r w:rsidRPr="000322E4">
        <w:rPr>
          <w:b/>
          <w:lang w:val="en-US"/>
        </w:rPr>
        <w:instrText>response</w:instrText>
      </w:r>
      <w:r w:rsidRPr="000322E4">
        <w:rPr>
          <w:b/>
        </w:rPr>
        <w:instrText xml:space="preserve"> </w:instrText>
      </w:r>
      <w:r w:rsidRPr="000322E4">
        <w:rPr>
          <w:b/>
          <w:lang w:val="en-US"/>
        </w:rPr>
        <w:instrText>rate</w:instrText>
      </w:r>
      <w:r w:rsidRPr="000322E4">
        <w:rPr>
          <w:b/>
        </w:rPr>
        <w:instrText xml:space="preserve"> </w:instrText>
      </w:r>
      <w:r w:rsidRPr="000322E4">
        <w:rPr>
          <w:b/>
          <w:lang w:val="en-US"/>
        </w:rPr>
        <w:instrText>at</w:instrText>
      </w:r>
      <w:r w:rsidRPr="000322E4">
        <w:rPr>
          <w:b/>
        </w:rPr>
        <w:instrText xml:space="preserve"> </w:instrText>
      </w:r>
      <w:r w:rsidRPr="000322E4">
        <w:rPr>
          <w:b/>
          <w:lang w:val="en-US"/>
        </w:rPr>
        <w:instrText>the</w:instrText>
      </w:r>
      <w:r w:rsidRPr="000322E4">
        <w:rPr>
          <w:b/>
        </w:rPr>
        <w:instrText xml:space="preserve"> </w:instrText>
      </w:r>
      <w:r w:rsidRPr="000322E4">
        <w:rPr>
          <w:b/>
          <w:lang w:val="en-US"/>
        </w:rPr>
        <w:instrText>end</w:instrText>
      </w:r>
      <w:r w:rsidRPr="000322E4">
        <w:rPr>
          <w:b/>
        </w:rPr>
        <w:instrText xml:space="preserve"> </w:instrText>
      </w:r>
      <w:r w:rsidRPr="000322E4">
        <w:rPr>
          <w:b/>
          <w:lang w:val="en-US"/>
        </w:rPr>
        <w:instrText>of</w:instrText>
      </w:r>
      <w:r w:rsidRPr="000322E4">
        <w:rPr>
          <w:b/>
        </w:rPr>
        <w:instrText xml:space="preserve"> </w:instrText>
      </w:r>
      <w:r w:rsidRPr="000322E4">
        <w:rPr>
          <w:b/>
          <w:lang w:val="en-US"/>
        </w:rPr>
        <w:instrText>treatment</w:instrText>
      </w:r>
      <w:r w:rsidRPr="000322E4">
        <w:rPr>
          <w:b/>
        </w:rPr>
        <w:instrText xml:space="preserve">. </w:instrText>
      </w:r>
      <w:r w:rsidRPr="000322E4">
        <w:rPr>
          <w:b/>
          <w:lang w:val="en-US"/>
        </w:rPr>
        <w:instrText>Results</w:instrText>
      </w:r>
      <w:r w:rsidRPr="000322E4">
        <w:rPr>
          <w:b/>
        </w:rPr>
        <w:instrText xml:space="preserve">: </w:instrText>
      </w:r>
      <w:r w:rsidRPr="000322E4">
        <w:rPr>
          <w:b/>
          <w:lang w:val="en-US"/>
        </w:rPr>
        <w:instrText>Thirty</w:instrText>
      </w:r>
      <w:r w:rsidRPr="000322E4">
        <w:rPr>
          <w:b/>
        </w:rPr>
        <w:instrText>-</w:instrText>
      </w:r>
      <w:r w:rsidRPr="000322E4">
        <w:rPr>
          <w:b/>
          <w:lang w:val="en-US"/>
        </w:rPr>
        <w:instrText>eight</w:instrText>
      </w:r>
      <w:r w:rsidRPr="000322E4">
        <w:rPr>
          <w:b/>
        </w:rPr>
        <w:instrText xml:space="preserve"> </w:instrText>
      </w:r>
      <w:r w:rsidRPr="000322E4">
        <w:rPr>
          <w:b/>
          <w:lang w:val="en-US"/>
        </w:rPr>
        <w:instrText>patients</w:instrText>
      </w:r>
      <w:r w:rsidRPr="000322E4">
        <w:rPr>
          <w:b/>
        </w:rPr>
        <w:instrText xml:space="preserve"> (61.3%; 95% </w:instrText>
      </w:r>
      <w:r w:rsidRPr="000322E4">
        <w:rPr>
          <w:b/>
          <w:lang w:val="en-US"/>
        </w:rPr>
        <w:instrText>CI</w:instrText>
      </w:r>
      <w:r w:rsidRPr="000322E4">
        <w:rPr>
          <w:b/>
        </w:rPr>
        <w:instrText xml:space="preserve">, 49.2 </w:instrText>
      </w:r>
      <w:r w:rsidRPr="000322E4">
        <w:rPr>
          <w:b/>
          <w:lang w:val="en-US"/>
        </w:rPr>
        <w:instrText>to</w:instrText>
      </w:r>
      <w:r w:rsidRPr="000322E4">
        <w:rPr>
          <w:b/>
        </w:rPr>
        <w:instrText xml:space="preserve"> 73.4) </w:instrText>
      </w:r>
      <w:r w:rsidRPr="000322E4">
        <w:rPr>
          <w:b/>
          <w:lang w:val="en-US"/>
        </w:rPr>
        <w:instrText>achieved</w:instrText>
      </w:r>
      <w:r w:rsidRPr="000322E4">
        <w:rPr>
          <w:b/>
        </w:rPr>
        <w:instrText xml:space="preserve"> </w:instrText>
      </w:r>
      <w:r w:rsidRPr="000322E4">
        <w:rPr>
          <w:b/>
          <w:lang w:val="en-US"/>
        </w:rPr>
        <w:instrText>disease</w:instrText>
      </w:r>
      <w:r w:rsidRPr="000322E4">
        <w:rPr>
          <w:b/>
        </w:rPr>
        <w:instrText xml:space="preserve"> </w:instrText>
      </w:r>
      <w:r w:rsidRPr="000322E4">
        <w:rPr>
          <w:b/>
          <w:lang w:val="en-US"/>
        </w:rPr>
        <w:instrText>response</w:instrText>
      </w:r>
      <w:r w:rsidRPr="000322E4">
        <w:rPr>
          <w:b/>
        </w:rPr>
        <w:instrText xml:space="preserve"> (</w:instrText>
      </w:r>
      <w:r w:rsidRPr="000322E4">
        <w:rPr>
          <w:b/>
          <w:lang w:val="en-US"/>
        </w:rPr>
        <w:instrText>complete</w:instrText>
      </w:r>
      <w:r w:rsidRPr="000322E4">
        <w:rPr>
          <w:b/>
        </w:rPr>
        <w:instrText xml:space="preserve"> </w:instrText>
      </w:r>
      <w:r w:rsidRPr="000322E4">
        <w:rPr>
          <w:b/>
          <w:lang w:val="en-US"/>
        </w:rPr>
        <w:instrText>response</w:instrText>
      </w:r>
      <w:r w:rsidRPr="000322E4">
        <w:rPr>
          <w:b/>
        </w:rPr>
        <w:instrText xml:space="preserve"> [</w:instrText>
      </w:r>
      <w:r w:rsidRPr="000322E4">
        <w:rPr>
          <w:b/>
          <w:lang w:val="en-US"/>
        </w:rPr>
        <w:instrText>CR</w:instrText>
      </w:r>
      <w:r w:rsidRPr="000322E4">
        <w:rPr>
          <w:b/>
        </w:rPr>
        <w:instrText xml:space="preserve">], </w:instrText>
      </w:r>
      <w:r w:rsidRPr="000322E4">
        <w:rPr>
          <w:b/>
          <w:lang w:val="en-US"/>
        </w:rPr>
        <w:instrText>n</w:instrText>
      </w:r>
      <w:r w:rsidRPr="000322E4">
        <w:rPr>
          <w:b/>
        </w:rPr>
        <w:instrText xml:space="preserve"> = 18; </w:instrText>
      </w:r>
      <w:r w:rsidRPr="000322E4">
        <w:rPr>
          <w:b/>
          <w:lang w:val="en-US"/>
        </w:rPr>
        <w:instrText>undocumented</w:instrText>
      </w:r>
      <w:r w:rsidRPr="000322E4">
        <w:rPr>
          <w:b/>
        </w:rPr>
        <w:instrText>/</w:instrText>
      </w:r>
      <w:r w:rsidRPr="000322E4">
        <w:rPr>
          <w:b/>
          <w:lang w:val="en-US"/>
        </w:rPr>
        <w:instrText>unconfirmed</w:instrText>
      </w:r>
      <w:r w:rsidRPr="000322E4">
        <w:rPr>
          <w:b/>
        </w:rPr>
        <w:instrText xml:space="preserve"> </w:instrText>
      </w:r>
      <w:r w:rsidRPr="000322E4">
        <w:rPr>
          <w:b/>
          <w:lang w:val="en-US"/>
        </w:rPr>
        <w:instrText>CR</w:instrText>
      </w:r>
      <w:r w:rsidRPr="000322E4">
        <w:rPr>
          <w:b/>
        </w:rPr>
        <w:instrText xml:space="preserve">, </w:instrText>
      </w:r>
      <w:r w:rsidRPr="000322E4">
        <w:rPr>
          <w:b/>
          <w:lang w:val="en-US"/>
        </w:rPr>
        <w:instrText>n</w:instrText>
      </w:r>
      <w:r w:rsidRPr="000322E4">
        <w:rPr>
          <w:b/>
        </w:rPr>
        <w:instrText xml:space="preserve"> = 6; </w:instrText>
      </w:r>
      <w:r w:rsidRPr="000322E4">
        <w:rPr>
          <w:b/>
          <w:lang w:val="en-US"/>
        </w:rPr>
        <w:instrText>partial</w:instrText>
      </w:r>
      <w:r w:rsidRPr="000322E4">
        <w:rPr>
          <w:b/>
        </w:rPr>
        <w:instrText xml:space="preserve"> </w:instrText>
      </w:r>
      <w:r w:rsidRPr="000322E4">
        <w:rPr>
          <w:b/>
          <w:lang w:val="en-US"/>
        </w:rPr>
        <w:instrText>response</w:instrText>
      </w:r>
      <w:r w:rsidRPr="000322E4">
        <w:rPr>
          <w:b/>
        </w:rPr>
        <w:instrText xml:space="preserve">, </w:instrText>
      </w:r>
      <w:r w:rsidRPr="000322E4">
        <w:rPr>
          <w:b/>
          <w:lang w:val="en-US"/>
        </w:rPr>
        <w:instrText>n</w:instrText>
      </w:r>
      <w:r w:rsidRPr="000322E4">
        <w:rPr>
          <w:b/>
        </w:rPr>
        <w:instrText xml:space="preserve"> = 14). </w:instrText>
      </w:r>
      <w:r w:rsidRPr="000322E4">
        <w:rPr>
          <w:b/>
          <w:lang w:val="en-US"/>
        </w:rPr>
        <w:instrText>Two</w:instrText>
      </w:r>
      <w:r w:rsidRPr="000322E4">
        <w:rPr>
          <w:b/>
        </w:rPr>
        <w:instrText>-</w:instrText>
      </w:r>
      <w:r w:rsidRPr="000322E4">
        <w:rPr>
          <w:b/>
          <w:lang w:val="en-US"/>
        </w:rPr>
        <w:instrText>year</w:instrText>
      </w:r>
      <w:r w:rsidRPr="000322E4">
        <w:rPr>
          <w:b/>
        </w:rPr>
        <w:instrText xml:space="preserve"> </w:instrText>
      </w:r>
      <w:r w:rsidRPr="000322E4">
        <w:rPr>
          <w:b/>
          <w:lang w:val="en-US"/>
        </w:rPr>
        <w:instrText>progression</w:instrText>
      </w:r>
      <w:r w:rsidRPr="000322E4">
        <w:rPr>
          <w:b/>
        </w:rPr>
        <w:instrText>-</w:instrText>
      </w:r>
      <w:r w:rsidRPr="000322E4">
        <w:rPr>
          <w:b/>
          <w:lang w:val="en-US"/>
        </w:rPr>
        <w:instrText>free</w:instrText>
      </w:r>
      <w:r w:rsidRPr="000322E4">
        <w:rPr>
          <w:b/>
        </w:rPr>
        <w:instrText xml:space="preserve"> </w:instrText>
      </w:r>
      <w:r w:rsidRPr="000322E4">
        <w:rPr>
          <w:b/>
          <w:lang w:val="en-US"/>
        </w:rPr>
        <w:instrText>survival</w:instrText>
      </w:r>
      <w:r w:rsidRPr="000322E4">
        <w:rPr>
          <w:b/>
        </w:rPr>
        <w:instrText xml:space="preserve"> </w:instrText>
      </w:r>
      <w:r w:rsidRPr="000322E4">
        <w:rPr>
          <w:b/>
          <w:lang w:val="en-US"/>
        </w:rPr>
        <w:instrText>for</w:instrText>
      </w:r>
      <w:r w:rsidRPr="000322E4">
        <w:rPr>
          <w:b/>
        </w:rPr>
        <w:instrText xml:space="preserve"> </w:instrText>
      </w:r>
      <w:r w:rsidRPr="000322E4">
        <w:rPr>
          <w:b/>
          <w:lang w:val="en-US"/>
        </w:rPr>
        <w:instrText>all</w:instrText>
      </w:r>
      <w:r w:rsidRPr="000322E4">
        <w:rPr>
          <w:b/>
        </w:rPr>
        <w:instrText xml:space="preserve"> </w:instrText>
      </w:r>
      <w:r w:rsidRPr="000322E4">
        <w:rPr>
          <w:b/>
          <w:lang w:val="en-US"/>
        </w:rPr>
        <w:instrText>patients</w:instrText>
      </w:r>
      <w:r w:rsidRPr="000322E4">
        <w:rPr>
          <w:b/>
        </w:rPr>
        <w:instrText xml:space="preserve"> </w:instrText>
      </w:r>
      <w:r w:rsidRPr="000322E4">
        <w:rPr>
          <w:b/>
          <w:lang w:val="en-US"/>
        </w:rPr>
        <w:instrText>was</w:instrText>
      </w:r>
      <w:r w:rsidRPr="000322E4">
        <w:rPr>
          <w:b/>
        </w:rPr>
        <w:instrText xml:space="preserve"> 49.8% (95% </w:instrText>
      </w:r>
      <w:r w:rsidRPr="000322E4">
        <w:rPr>
          <w:b/>
          <w:lang w:val="en-US"/>
        </w:rPr>
        <w:instrText>CI</w:instrText>
      </w:r>
      <w:r w:rsidRPr="000322E4">
        <w:rPr>
          <w:b/>
        </w:rPr>
        <w:instrText xml:space="preserve">, 37.3 </w:instrText>
      </w:r>
      <w:r w:rsidRPr="000322E4">
        <w:rPr>
          <w:b/>
          <w:lang w:val="en-US"/>
        </w:rPr>
        <w:instrText>to</w:instrText>
      </w:r>
      <w:r w:rsidRPr="000322E4">
        <w:rPr>
          <w:b/>
        </w:rPr>
        <w:instrText xml:space="preserve"> 62.3), </w:instrText>
      </w:r>
      <w:r w:rsidRPr="000322E4">
        <w:rPr>
          <w:b/>
          <w:lang w:val="en-US"/>
        </w:rPr>
        <w:instrText>and</w:instrText>
      </w:r>
      <w:r w:rsidRPr="000322E4">
        <w:rPr>
          <w:b/>
        </w:rPr>
        <w:instrText xml:space="preserve"> 2-</w:instrText>
      </w:r>
      <w:r w:rsidRPr="000322E4">
        <w:rPr>
          <w:b/>
          <w:lang w:val="en-US"/>
        </w:rPr>
        <w:instrText>year</w:instrText>
      </w:r>
      <w:r w:rsidRPr="000322E4">
        <w:rPr>
          <w:b/>
        </w:rPr>
        <w:instrText xml:space="preserve"> </w:instrText>
      </w:r>
      <w:r w:rsidRPr="000322E4">
        <w:rPr>
          <w:b/>
          <w:lang w:val="en-US"/>
        </w:rPr>
        <w:instrText>overall</w:instrText>
      </w:r>
      <w:r w:rsidRPr="000322E4">
        <w:rPr>
          <w:b/>
        </w:rPr>
        <w:instrText xml:space="preserve"> </w:instrText>
      </w:r>
      <w:r w:rsidRPr="000322E4">
        <w:rPr>
          <w:b/>
          <w:lang w:val="en-US"/>
        </w:rPr>
        <w:instrText>survival</w:instrText>
      </w:r>
      <w:r w:rsidRPr="000322E4">
        <w:rPr>
          <w:b/>
        </w:rPr>
        <w:instrText xml:space="preserve"> </w:instrText>
      </w:r>
      <w:r w:rsidRPr="000322E4">
        <w:rPr>
          <w:b/>
          <w:lang w:val="en-US"/>
        </w:rPr>
        <w:instrText>was</w:instrText>
      </w:r>
      <w:r w:rsidRPr="000322E4">
        <w:rPr>
          <w:b/>
        </w:rPr>
        <w:instrText xml:space="preserve"> 55.8% (95% </w:instrText>
      </w:r>
      <w:r w:rsidRPr="000322E4">
        <w:rPr>
          <w:b/>
          <w:lang w:val="en-US"/>
        </w:rPr>
        <w:instrText>CI</w:instrText>
      </w:r>
      <w:r w:rsidRPr="000322E4">
        <w:rPr>
          <w:b/>
        </w:rPr>
        <w:instrText xml:space="preserve">, 43.3 </w:instrText>
      </w:r>
      <w:r w:rsidRPr="000322E4">
        <w:rPr>
          <w:b/>
          <w:lang w:val="en-US"/>
        </w:rPr>
        <w:instrText>to</w:instrText>
      </w:r>
      <w:r w:rsidRPr="000322E4">
        <w:rPr>
          <w:b/>
        </w:rPr>
        <w:instrText xml:space="preserve"> 68.4). </w:instrText>
      </w:r>
      <w:r w:rsidRPr="000322E4">
        <w:rPr>
          <w:b/>
          <w:lang w:val="en-US"/>
        </w:rPr>
        <w:instrText>Thirty</w:instrText>
      </w:r>
      <w:r w:rsidRPr="000322E4">
        <w:rPr>
          <w:b/>
        </w:rPr>
        <w:instrText>-</w:instrText>
      </w:r>
      <w:r w:rsidRPr="000322E4">
        <w:rPr>
          <w:b/>
          <w:lang w:val="en-US"/>
        </w:rPr>
        <w:instrText>four</w:instrText>
      </w:r>
      <w:r w:rsidRPr="000322E4">
        <w:rPr>
          <w:b/>
        </w:rPr>
        <w:instrText xml:space="preserve"> </w:instrText>
      </w:r>
      <w:r w:rsidRPr="000322E4">
        <w:rPr>
          <w:b/>
          <w:lang w:val="en-US"/>
        </w:rPr>
        <w:instrText>patients</w:instrText>
      </w:r>
      <w:r w:rsidRPr="000322E4">
        <w:rPr>
          <w:b/>
        </w:rPr>
        <w:instrText xml:space="preserve"> </w:instrText>
      </w:r>
      <w:r w:rsidRPr="000322E4">
        <w:rPr>
          <w:b/>
          <w:lang w:val="en-US"/>
        </w:rPr>
        <w:instrText>experienced</w:instrText>
      </w:r>
      <w:r w:rsidRPr="000322E4">
        <w:rPr>
          <w:b/>
        </w:rPr>
        <w:instrText xml:space="preserve"> </w:instrText>
      </w:r>
      <w:r w:rsidRPr="000322E4">
        <w:rPr>
          <w:b/>
          <w:lang w:val="en-US"/>
        </w:rPr>
        <w:instrText>grade</w:instrText>
      </w:r>
      <w:r w:rsidRPr="000322E4">
        <w:rPr>
          <w:b/>
        </w:rPr>
        <w:instrText xml:space="preserve"> ≥ 3 </w:instrText>
      </w:r>
      <w:r w:rsidRPr="000322E4">
        <w:rPr>
          <w:b/>
          <w:lang w:val="en-US"/>
        </w:rPr>
        <w:instrText>hematologic</w:instrText>
      </w:r>
      <w:r w:rsidRPr="000322E4">
        <w:rPr>
          <w:b/>
        </w:rPr>
        <w:instrText xml:space="preserve"> </w:instrText>
      </w:r>
      <w:r w:rsidRPr="000322E4">
        <w:rPr>
          <w:b/>
          <w:lang w:val="en-US"/>
        </w:rPr>
        <w:instrText>toxicity</w:instrText>
      </w:r>
      <w:r w:rsidRPr="000322E4">
        <w:rPr>
          <w:b/>
        </w:rPr>
        <w:instrText xml:space="preserve">. </w:instrText>
      </w:r>
      <w:r w:rsidRPr="000322E4">
        <w:rPr>
          <w:b/>
          <w:lang w:val="en-US"/>
        </w:rPr>
        <w:instrText>There</w:instrText>
      </w:r>
      <w:r w:rsidRPr="000322E4">
        <w:rPr>
          <w:b/>
        </w:rPr>
        <w:instrText xml:space="preserve"> </w:instrText>
      </w:r>
      <w:r w:rsidRPr="000322E4">
        <w:rPr>
          <w:b/>
          <w:lang w:val="en-US"/>
        </w:rPr>
        <w:instrText>were</w:instrText>
      </w:r>
      <w:r w:rsidRPr="000322E4">
        <w:rPr>
          <w:b/>
        </w:rPr>
        <w:instrText xml:space="preserve"> 15 </w:instrText>
      </w:r>
      <w:r w:rsidRPr="000322E4">
        <w:rPr>
          <w:b/>
          <w:lang w:val="en-US"/>
        </w:rPr>
        <w:instrText>cardiac</w:instrText>
      </w:r>
      <w:r w:rsidRPr="000322E4">
        <w:rPr>
          <w:b/>
        </w:rPr>
        <w:instrText xml:space="preserve"> </w:instrText>
      </w:r>
      <w:r w:rsidRPr="000322E4">
        <w:rPr>
          <w:b/>
          <w:lang w:val="en-US"/>
        </w:rPr>
        <w:instrText>events</w:instrText>
      </w:r>
      <w:r w:rsidRPr="000322E4">
        <w:rPr>
          <w:b/>
        </w:rPr>
        <w:instrText xml:space="preserve">, </w:instrText>
      </w:r>
      <w:r w:rsidRPr="000322E4">
        <w:rPr>
          <w:b/>
          <w:lang w:val="en-US"/>
        </w:rPr>
        <w:instrText>of</w:instrText>
      </w:r>
      <w:r w:rsidRPr="000322E4">
        <w:rPr>
          <w:b/>
        </w:rPr>
        <w:instrText xml:space="preserve"> </w:instrText>
      </w:r>
      <w:r w:rsidRPr="000322E4">
        <w:rPr>
          <w:b/>
          <w:lang w:val="en-US"/>
        </w:rPr>
        <w:instrText>which</w:instrText>
      </w:r>
      <w:r w:rsidRPr="000322E4">
        <w:rPr>
          <w:b/>
        </w:rPr>
        <w:instrText xml:space="preserve"> </w:instrText>
      </w:r>
      <w:r w:rsidRPr="000322E4">
        <w:rPr>
          <w:b/>
          <w:lang w:val="en-US"/>
        </w:rPr>
        <w:instrText>seven</w:instrText>
      </w:r>
      <w:r w:rsidRPr="000322E4">
        <w:rPr>
          <w:b/>
        </w:rPr>
        <w:instrText xml:space="preserve"> </w:instrText>
      </w:r>
      <w:r w:rsidRPr="000322E4">
        <w:rPr>
          <w:b/>
          <w:lang w:val="en-US"/>
        </w:rPr>
        <w:instrText>were</w:instrText>
      </w:r>
      <w:r w:rsidRPr="000322E4">
        <w:rPr>
          <w:b/>
        </w:rPr>
        <w:instrText xml:space="preserve"> </w:instrText>
      </w:r>
      <w:r w:rsidRPr="000322E4">
        <w:rPr>
          <w:b/>
          <w:lang w:val="en-US"/>
        </w:rPr>
        <w:instrText>grade</w:instrText>
      </w:r>
      <w:r w:rsidRPr="000322E4">
        <w:rPr>
          <w:b/>
        </w:rPr>
        <w:instrText xml:space="preserve"> 1 </w:instrText>
      </w:r>
      <w:r w:rsidRPr="000322E4">
        <w:rPr>
          <w:b/>
          <w:lang w:val="en-US"/>
        </w:rPr>
        <w:instrText>to</w:instrText>
      </w:r>
      <w:r w:rsidRPr="000322E4">
        <w:rPr>
          <w:b/>
        </w:rPr>
        <w:instrText xml:space="preserve"> 2, </w:instrText>
      </w:r>
      <w:r w:rsidRPr="000322E4">
        <w:rPr>
          <w:b/>
          <w:lang w:val="en-US"/>
        </w:rPr>
        <w:instrText>five</w:instrText>
      </w:r>
      <w:r w:rsidRPr="000322E4">
        <w:rPr>
          <w:b/>
        </w:rPr>
        <w:instrText xml:space="preserve"> </w:instrText>
      </w:r>
      <w:r w:rsidRPr="000322E4">
        <w:rPr>
          <w:b/>
          <w:lang w:val="en-US"/>
        </w:rPr>
        <w:instrText>were</w:instrText>
      </w:r>
      <w:r w:rsidRPr="000322E4">
        <w:rPr>
          <w:b/>
        </w:rPr>
        <w:instrText xml:space="preserve"> </w:instrText>
      </w:r>
      <w:r w:rsidRPr="000322E4">
        <w:rPr>
          <w:b/>
          <w:lang w:val="en-US"/>
        </w:rPr>
        <w:instrText>grade</w:instrText>
      </w:r>
      <w:r w:rsidRPr="000322E4">
        <w:rPr>
          <w:b/>
        </w:rPr>
        <w:instrText xml:space="preserve"> 3 </w:instrText>
      </w:r>
      <w:r w:rsidRPr="000322E4">
        <w:rPr>
          <w:b/>
          <w:lang w:val="en-US"/>
        </w:rPr>
        <w:instrText>to</w:instrText>
      </w:r>
      <w:r w:rsidRPr="000322E4">
        <w:rPr>
          <w:b/>
        </w:rPr>
        <w:instrText xml:space="preserve"> 4, </w:instrText>
      </w:r>
      <w:r w:rsidRPr="000322E4">
        <w:rPr>
          <w:b/>
          <w:lang w:val="en-US"/>
        </w:rPr>
        <w:instrText>and</w:instrText>
      </w:r>
      <w:r w:rsidRPr="000322E4">
        <w:rPr>
          <w:b/>
        </w:rPr>
        <w:instrText xml:space="preserve"> </w:instrText>
      </w:r>
      <w:r w:rsidRPr="000322E4">
        <w:rPr>
          <w:b/>
          <w:lang w:val="en-US"/>
        </w:rPr>
        <w:instrText>three</w:instrText>
      </w:r>
      <w:r w:rsidRPr="000322E4">
        <w:rPr>
          <w:b/>
        </w:rPr>
        <w:instrText xml:space="preserve"> </w:instrText>
      </w:r>
      <w:r w:rsidRPr="000322E4">
        <w:rPr>
          <w:b/>
          <w:lang w:val="en-US"/>
        </w:rPr>
        <w:instrText>were</w:instrText>
      </w:r>
      <w:r w:rsidRPr="000322E4">
        <w:rPr>
          <w:b/>
        </w:rPr>
        <w:instrText xml:space="preserve"> </w:instrText>
      </w:r>
      <w:r w:rsidRPr="000322E4">
        <w:rPr>
          <w:b/>
          <w:lang w:val="en-US"/>
        </w:rPr>
        <w:instrText>fatal</w:instrText>
      </w:r>
      <w:r w:rsidRPr="000322E4">
        <w:rPr>
          <w:b/>
        </w:rPr>
        <w:instrText xml:space="preserve">, </w:instrText>
      </w:r>
      <w:r w:rsidRPr="000322E4">
        <w:rPr>
          <w:b/>
          <w:lang w:val="en-US"/>
        </w:rPr>
        <w:instrText>reflecting</w:instrText>
      </w:r>
      <w:r w:rsidRPr="000322E4">
        <w:rPr>
          <w:b/>
        </w:rPr>
        <w:instrText xml:space="preserve"> </w:instrText>
      </w:r>
      <w:r w:rsidRPr="000322E4">
        <w:rPr>
          <w:b/>
          <w:lang w:val="en-US"/>
        </w:rPr>
        <w:instrText>the</w:instrText>
      </w:r>
      <w:r w:rsidRPr="000322E4">
        <w:rPr>
          <w:b/>
        </w:rPr>
        <w:instrText xml:space="preserve"> </w:instrText>
      </w:r>
      <w:r w:rsidRPr="000322E4">
        <w:rPr>
          <w:b/>
          <w:lang w:val="en-US"/>
        </w:rPr>
        <w:instrText>poor</w:instrText>
      </w:r>
      <w:r w:rsidRPr="000322E4">
        <w:rPr>
          <w:b/>
        </w:rPr>
        <w:instrText xml:space="preserve"> </w:instrText>
      </w:r>
      <w:r w:rsidRPr="000322E4">
        <w:rPr>
          <w:b/>
          <w:lang w:val="en-US"/>
        </w:rPr>
        <w:instrText>cardiac</w:instrText>
      </w:r>
      <w:r w:rsidRPr="000322E4">
        <w:rPr>
          <w:b/>
        </w:rPr>
        <w:instrText xml:space="preserve"> </w:instrText>
      </w:r>
      <w:r w:rsidRPr="000322E4">
        <w:rPr>
          <w:b/>
          <w:lang w:val="en-US"/>
        </w:rPr>
        <w:instrText>status</w:instrText>
      </w:r>
      <w:r w:rsidRPr="000322E4">
        <w:rPr>
          <w:b/>
        </w:rPr>
        <w:instrText xml:space="preserve"> </w:instrText>
      </w:r>
      <w:r w:rsidRPr="000322E4">
        <w:rPr>
          <w:b/>
          <w:lang w:val="en-US"/>
        </w:rPr>
        <w:instrText>of</w:instrText>
      </w:r>
      <w:r w:rsidRPr="000322E4">
        <w:rPr>
          <w:b/>
        </w:rPr>
        <w:instrText xml:space="preserve"> </w:instrText>
      </w:r>
      <w:r w:rsidRPr="000322E4">
        <w:rPr>
          <w:b/>
          <w:lang w:val="en-US"/>
        </w:rPr>
        <w:instrText>the</w:instrText>
      </w:r>
      <w:r w:rsidRPr="000322E4">
        <w:rPr>
          <w:b/>
        </w:rPr>
        <w:instrText xml:space="preserve"> </w:instrText>
      </w:r>
      <w:r w:rsidRPr="000322E4">
        <w:rPr>
          <w:b/>
          <w:lang w:val="en-US"/>
        </w:rPr>
        <w:instrText>study</w:instrText>
      </w:r>
      <w:r w:rsidRPr="000322E4">
        <w:rPr>
          <w:b/>
        </w:rPr>
        <w:instrText xml:space="preserve"> </w:instrText>
      </w:r>
      <w:r w:rsidRPr="000322E4">
        <w:rPr>
          <w:b/>
          <w:lang w:val="en-US"/>
        </w:rPr>
        <w:instrText>population</w:instrText>
      </w:r>
      <w:r w:rsidRPr="000322E4">
        <w:rPr>
          <w:b/>
        </w:rPr>
        <w:instrText xml:space="preserve">. </w:instrText>
      </w:r>
      <w:r w:rsidRPr="000322E4">
        <w:rPr>
          <w:b/>
          <w:lang w:val="en-US"/>
        </w:rPr>
        <w:instrText>Conclusion</w:instrText>
      </w:r>
      <w:r w:rsidRPr="000322E4">
        <w:rPr>
          <w:b/>
        </w:rPr>
        <w:instrText xml:space="preserve">: </w:instrText>
      </w:r>
      <w:r w:rsidRPr="000322E4">
        <w:rPr>
          <w:b/>
          <w:lang w:val="en-US"/>
        </w:rPr>
        <w:instrText>Our</w:instrText>
      </w:r>
      <w:r w:rsidRPr="000322E4">
        <w:rPr>
          <w:b/>
        </w:rPr>
        <w:instrText xml:space="preserve"> </w:instrText>
      </w:r>
      <w:r w:rsidRPr="000322E4">
        <w:rPr>
          <w:b/>
          <w:lang w:val="en-US"/>
        </w:rPr>
        <w:instrText>phase</w:instrText>
      </w:r>
      <w:r w:rsidRPr="000322E4">
        <w:rPr>
          <w:b/>
        </w:rPr>
        <w:instrText xml:space="preserve"> </w:instrText>
      </w:r>
      <w:r w:rsidRPr="000322E4">
        <w:rPr>
          <w:b/>
          <w:lang w:val="en-US"/>
        </w:rPr>
        <w:instrText>II</w:instrText>
      </w:r>
      <w:r w:rsidRPr="000322E4">
        <w:rPr>
          <w:b/>
        </w:rPr>
        <w:instrText xml:space="preserve"> </w:instrText>
      </w:r>
      <w:r w:rsidRPr="000322E4">
        <w:rPr>
          <w:b/>
          <w:lang w:val="en-US"/>
        </w:rPr>
        <w:instrText>multicenter</w:instrText>
      </w:r>
      <w:r w:rsidRPr="000322E4">
        <w:rPr>
          <w:b/>
        </w:rPr>
        <w:instrText xml:space="preserve"> </w:instrText>
      </w:r>
      <w:r w:rsidRPr="000322E4">
        <w:rPr>
          <w:b/>
          <w:lang w:val="en-US"/>
        </w:rPr>
        <w:instrText>trial</w:instrText>
      </w:r>
      <w:r w:rsidRPr="000322E4">
        <w:rPr>
          <w:b/>
        </w:rPr>
        <w:instrText xml:space="preserve"> </w:instrText>
      </w:r>
      <w:r w:rsidRPr="000322E4">
        <w:rPr>
          <w:b/>
          <w:lang w:val="en-US"/>
        </w:rPr>
        <w:instrText>showed</w:instrText>
      </w:r>
      <w:r w:rsidRPr="000322E4">
        <w:rPr>
          <w:b/>
        </w:rPr>
        <w:instrText xml:space="preserve"> </w:instrText>
      </w:r>
      <w:r w:rsidRPr="000322E4">
        <w:rPr>
          <w:b/>
          <w:lang w:val="en-US"/>
        </w:rPr>
        <w:instrText>that</w:instrText>
      </w:r>
      <w:r w:rsidRPr="000322E4">
        <w:rPr>
          <w:b/>
        </w:rPr>
        <w:instrText xml:space="preserve"> </w:instrText>
      </w:r>
      <w:r w:rsidRPr="000322E4">
        <w:rPr>
          <w:b/>
          <w:lang w:val="en-US"/>
        </w:rPr>
        <w:instrText>the</w:instrText>
      </w:r>
      <w:r w:rsidRPr="000322E4">
        <w:rPr>
          <w:b/>
        </w:rPr>
        <w:instrText xml:space="preserve"> </w:instrText>
      </w:r>
      <w:r w:rsidRPr="000322E4">
        <w:rPr>
          <w:b/>
          <w:lang w:val="en-US"/>
        </w:rPr>
        <w:instrText>R</w:instrText>
      </w:r>
      <w:r w:rsidRPr="000322E4">
        <w:rPr>
          <w:b/>
        </w:rPr>
        <w:instrText>-</w:instrText>
      </w:r>
      <w:r w:rsidRPr="000322E4">
        <w:rPr>
          <w:b/>
          <w:lang w:val="en-US"/>
        </w:rPr>
        <w:instrText>GCVP</w:instrText>
      </w:r>
      <w:r w:rsidRPr="000322E4">
        <w:rPr>
          <w:b/>
        </w:rPr>
        <w:instrText xml:space="preserve"> </w:instrText>
      </w:r>
      <w:r w:rsidRPr="000322E4">
        <w:rPr>
          <w:b/>
          <w:lang w:val="en-US"/>
        </w:rPr>
        <w:instrText>regimen</w:instrText>
      </w:r>
      <w:r w:rsidRPr="000322E4">
        <w:rPr>
          <w:b/>
        </w:rPr>
        <w:instrText xml:space="preserve"> </w:instrText>
      </w:r>
      <w:r w:rsidRPr="000322E4">
        <w:rPr>
          <w:b/>
          <w:lang w:val="en-US"/>
        </w:rPr>
        <w:instrText>is</w:instrText>
      </w:r>
      <w:r w:rsidRPr="000322E4">
        <w:rPr>
          <w:b/>
        </w:rPr>
        <w:instrText xml:space="preserve"> </w:instrText>
      </w:r>
      <w:r w:rsidRPr="000322E4">
        <w:rPr>
          <w:b/>
          <w:lang w:val="en-US"/>
        </w:rPr>
        <w:instrText>an</w:instrText>
      </w:r>
      <w:r w:rsidRPr="000322E4">
        <w:rPr>
          <w:b/>
        </w:rPr>
        <w:instrText xml:space="preserve"> </w:instrText>
      </w:r>
      <w:r w:rsidRPr="000322E4">
        <w:rPr>
          <w:b/>
          <w:lang w:val="en-US"/>
        </w:rPr>
        <w:instrText>active</w:instrText>
      </w:r>
      <w:r w:rsidRPr="000322E4">
        <w:rPr>
          <w:b/>
        </w:rPr>
        <w:instrText xml:space="preserve">, </w:instrText>
      </w:r>
      <w:r w:rsidRPr="000322E4">
        <w:rPr>
          <w:b/>
          <w:lang w:val="en-US"/>
        </w:rPr>
        <w:instrText>reasonably</w:instrText>
      </w:r>
      <w:r w:rsidRPr="000322E4">
        <w:rPr>
          <w:b/>
        </w:rPr>
        <w:instrText xml:space="preserve"> </w:instrText>
      </w:r>
      <w:r w:rsidRPr="000322E4">
        <w:rPr>
          <w:b/>
          <w:lang w:val="en-US"/>
        </w:rPr>
        <w:instrText>well</w:instrText>
      </w:r>
      <w:r w:rsidRPr="000322E4">
        <w:rPr>
          <w:b/>
        </w:rPr>
        <w:instrText>-</w:instrText>
      </w:r>
      <w:r w:rsidRPr="000322E4">
        <w:rPr>
          <w:b/>
          <w:lang w:val="en-US"/>
        </w:rPr>
        <w:instrText>tolerated</w:instrText>
      </w:r>
      <w:r w:rsidRPr="000322E4">
        <w:rPr>
          <w:b/>
        </w:rPr>
        <w:instrText xml:space="preserve"> </w:instrText>
      </w:r>
      <w:r w:rsidRPr="000322E4">
        <w:rPr>
          <w:b/>
          <w:lang w:val="en-US"/>
        </w:rPr>
        <w:instrText>treatment</w:instrText>
      </w:r>
      <w:r w:rsidRPr="000322E4">
        <w:rPr>
          <w:b/>
        </w:rPr>
        <w:instrText xml:space="preserve"> </w:instrText>
      </w:r>
      <w:r w:rsidRPr="000322E4">
        <w:rPr>
          <w:b/>
          <w:lang w:val="en-US"/>
        </w:rPr>
        <w:instrText>for</w:instrText>
      </w:r>
      <w:r w:rsidRPr="000322E4">
        <w:rPr>
          <w:b/>
        </w:rPr>
        <w:instrText xml:space="preserve"> </w:instrText>
      </w:r>
      <w:r w:rsidRPr="000322E4">
        <w:rPr>
          <w:b/>
          <w:lang w:val="en-US"/>
        </w:rPr>
        <w:instrText>patients</w:instrText>
      </w:r>
      <w:r w:rsidRPr="000322E4">
        <w:rPr>
          <w:b/>
        </w:rPr>
        <w:instrText xml:space="preserve"> </w:instrText>
      </w:r>
      <w:r w:rsidRPr="000322E4">
        <w:rPr>
          <w:b/>
          <w:lang w:val="en-US"/>
        </w:rPr>
        <w:instrText>with</w:instrText>
      </w:r>
      <w:r w:rsidRPr="000322E4">
        <w:rPr>
          <w:b/>
        </w:rPr>
        <w:instrText xml:space="preserve"> </w:instrText>
      </w:r>
      <w:r w:rsidRPr="000322E4">
        <w:rPr>
          <w:b/>
          <w:lang w:val="en-US"/>
        </w:rPr>
        <w:instrText>DLBCL</w:instrText>
      </w:r>
      <w:r w:rsidRPr="000322E4">
        <w:rPr>
          <w:b/>
        </w:rPr>
        <w:instrText xml:space="preserve"> </w:instrText>
      </w:r>
      <w:r w:rsidRPr="000322E4">
        <w:rPr>
          <w:b/>
          <w:lang w:val="en-US"/>
        </w:rPr>
        <w:instrText>for</w:instrText>
      </w:r>
      <w:r w:rsidRPr="000322E4">
        <w:rPr>
          <w:b/>
        </w:rPr>
        <w:instrText xml:space="preserve"> </w:instrText>
      </w:r>
      <w:r w:rsidRPr="000322E4">
        <w:rPr>
          <w:b/>
          <w:lang w:val="en-US"/>
        </w:rPr>
        <w:instrText>whom</w:instrText>
      </w:r>
      <w:r w:rsidRPr="000322E4">
        <w:rPr>
          <w:b/>
        </w:rPr>
        <w:instrText xml:space="preserve"> </w:instrText>
      </w:r>
      <w:r w:rsidRPr="000322E4">
        <w:rPr>
          <w:b/>
          <w:lang w:val="en-US"/>
        </w:rPr>
        <w:instrText>anthracycline</w:instrText>
      </w:r>
      <w:r w:rsidRPr="000322E4">
        <w:rPr>
          <w:b/>
        </w:rPr>
        <w:instrText>-</w:instrText>
      </w:r>
      <w:r w:rsidRPr="000322E4">
        <w:rPr>
          <w:b/>
          <w:lang w:val="en-US"/>
        </w:rPr>
        <w:instrText>containing</w:instrText>
      </w:r>
      <w:r w:rsidRPr="000322E4">
        <w:rPr>
          <w:b/>
        </w:rPr>
        <w:instrText xml:space="preserve"> </w:instrText>
      </w:r>
      <w:r w:rsidRPr="000322E4">
        <w:rPr>
          <w:b/>
          <w:lang w:val="en-US"/>
        </w:rPr>
        <w:instrText>immunochemotherapy</w:instrText>
      </w:r>
      <w:r w:rsidRPr="000322E4">
        <w:rPr>
          <w:b/>
        </w:rPr>
        <w:instrText xml:space="preserve"> </w:instrText>
      </w:r>
      <w:r w:rsidRPr="000322E4">
        <w:rPr>
          <w:b/>
          <w:lang w:val="en-US"/>
        </w:rPr>
        <w:instrText>was</w:instrText>
      </w:r>
      <w:r w:rsidRPr="000322E4">
        <w:rPr>
          <w:b/>
        </w:rPr>
        <w:instrText xml:space="preserve"> </w:instrText>
      </w:r>
      <w:r w:rsidRPr="000322E4">
        <w:rPr>
          <w:b/>
          <w:lang w:val="en-US"/>
        </w:rPr>
        <w:instrText>considered</w:instrText>
      </w:r>
      <w:r w:rsidRPr="000322E4">
        <w:rPr>
          <w:b/>
        </w:rPr>
        <w:instrText xml:space="preserve"> </w:instrText>
      </w:r>
      <w:r w:rsidRPr="000322E4">
        <w:rPr>
          <w:b/>
          <w:lang w:val="en-US"/>
        </w:rPr>
        <w:instrText>unsuitable</w:instrText>
      </w:r>
      <w:r w:rsidRPr="000322E4">
        <w:rPr>
          <w:b/>
        </w:rPr>
        <w:instrText xml:space="preserve"> </w:instrText>
      </w:r>
      <w:r w:rsidRPr="000322E4">
        <w:rPr>
          <w:b/>
          <w:lang w:val="en-US"/>
        </w:rPr>
        <w:instrText>because</w:instrText>
      </w:r>
      <w:r w:rsidRPr="000322E4">
        <w:rPr>
          <w:b/>
        </w:rPr>
        <w:instrText xml:space="preserve"> </w:instrText>
      </w:r>
      <w:r w:rsidRPr="000322E4">
        <w:rPr>
          <w:b/>
          <w:lang w:val="en-US"/>
        </w:rPr>
        <w:instrText>of</w:instrText>
      </w:r>
      <w:r w:rsidRPr="000322E4">
        <w:rPr>
          <w:b/>
        </w:rPr>
        <w:instrText xml:space="preserve"> </w:instrText>
      </w:r>
      <w:r w:rsidRPr="000322E4">
        <w:rPr>
          <w:b/>
          <w:lang w:val="en-US"/>
        </w:rPr>
        <w:instrText>coexisting</w:instrText>
      </w:r>
      <w:r w:rsidRPr="000322E4">
        <w:rPr>
          <w:b/>
        </w:rPr>
        <w:instrText xml:space="preserve"> </w:instrText>
      </w:r>
      <w:r w:rsidRPr="000322E4">
        <w:rPr>
          <w:b/>
          <w:lang w:val="en-US"/>
        </w:rPr>
        <w:instrText>cardiac</w:instrText>
      </w:r>
      <w:r w:rsidRPr="000322E4">
        <w:rPr>
          <w:b/>
        </w:rPr>
        <w:instrText xml:space="preserve"> </w:instrText>
      </w:r>
      <w:r w:rsidRPr="000322E4">
        <w:rPr>
          <w:b/>
          <w:lang w:val="en-US"/>
        </w:rPr>
        <w:instrText>disease</w:instrText>
      </w:r>
      <w:r w:rsidRPr="000322E4">
        <w:rPr>
          <w:b/>
        </w:rPr>
        <w:instrText xml:space="preserve">. © 2013 </w:instrText>
      </w:r>
      <w:r w:rsidRPr="000322E4">
        <w:rPr>
          <w:b/>
          <w:lang w:val="en-US"/>
        </w:rPr>
        <w:instrText>by</w:instrText>
      </w:r>
      <w:r w:rsidRPr="000322E4">
        <w:rPr>
          <w:b/>
        </w:rPr>
        <w:instrText xml:space="preserve"> </w:instrText>
      </w:r>
      <w:r w:rsidRPr="000322E4">
        <w:rPr>
          <w:b/>
          <w:lang w:val="en-US"/>
        </w:rPr>
        <w:instrText>American</w:instrText>
      </w:r>
      <w:r w:rsidRPr="000322E4">
        <w:rPr>
          <w:b/>
        </w:rPr>
        <w:instrText xml:space="preserve"> </w:instrText>
      </w:r>
      <w:r w:rsidRPr="000322E4">
        <w:rPr>
          <w:b/>
          <w:lang w:val="en-US"/>
        </w:rPr>
        <w:instrText>Society</w:instrText>
      </w:r>
      <w:r w:rsidRPr="000322E4">
        <w:rPr>
          <w:b/>
        </w:rPr>
        <w:instrText xml:space="preserve"> </w:instrText>
      </w:r>
      <w:r w:rsidRPr="000322E4">
        <w:rPr>
          <w:b/>
          <w:lang w:val="en-US"/>
        </w:rPr>
        <w:instrText>of</w:instrText>
      </w:r>
      <w:r w:rsidRPr="000322E4">
        <w:rPr>
          <w:b/>
        </w:rPr>
        <w:instrText xml:space="preserve"> </w:instrText>
      </w:r>
      <w:r w:rsidRPr="000322E4">
        <w:rPr>
          <w:b/>
          <w:lang w:val="en-US"/>
        </w:rPr>
        <w:instrText>Clinical</w:instrText>
      </w:r>
      <w:r w:rsidRPr="000322E4">
        <w:rPr>
          <w:b/>
        </w:rPr>
        <w:instrText xml:space="preserve"> </w:instrText>
      </w:r>
      <w:r w:rsidRPr="000322E4">
        <w:rPr>
          <w:b/>
          <w:lang w:val="en-US"/>
        </w:rPr>
        <w:instrText>Oncology</w:instrText>
      </w:r>
      <w:r w:rsidRPr="000322E4">
        <w:rPr>
          <w:b/>
        </w:rPr>
        <w:instrText>.","</w:instrText>
      </w:r>
      <w:r w:rsidRPr="000322E4">
        <w:rPr>
          <w:b/>
          <w:lang w:val="en-US"/>
        </w:rPr>
        <w:instrText>author</w:instrText>
      </w:r>
      <w:r w:rsidRPr="000322E4">
        <w:rPr>
          <w:b/>
        </w:rPr>
        <w:instrText>":[{"</w:instrText>
      </w:r>
      <w:r w:rsidRPr="000322E4">
        <w:rPr>
          <w:b/>
          <w:lang w:val="en-US"/>
        </w:rPr>
        <w:instrText>dropping</w:instrText>
      </w:r>
      <w:r w:rsidRPr="000322E4">
        <w:rPr>
          <w:b/>
        </w:rPr>
        <w:instrText>-</w:instrText>
      </w:r>
      <w:r w:rsidRPr="000322E4">
        <w:rPr>
          <w:b/>
          <w:lang w:val="en-US"/>
        </w:rPr>
        <w:instrText>particle</w:instrText>
      </w:r>
      <w:r w:rsidRPr="000322E4">
        <w:rPr>
          <w:b/>
        </w:rPr>
        <w:instrText>":"","</w:instrText>
      </w:r>
      <w:r w:rsidRPr="000322E4">
        <w:rPr>
          <w:b/>
          <w:lang w:val="en-US"/>
        </w:rPr>
        <w:instrText>family</w:instrText>
      </w:r>
      <w:r w:rsidRPr="000322E4">
        <w:rPr>
          <w:b/>
        </w:rPr>
        <w:instrText>":"</w:instrText>
      </w:r>
      <w:r w:rsidRPr="000322E4">
        <w:rPr>
          <w:b/>
          <w:lang w:val="en-US"/>
        </w:rPr>
        <w:instrText>Fields</w:instrText>
      </w:r>
      <w:r w:rsidRPr="000322E4">
        <w:rPr>
          <w:b/>
        </w:rPr>
        <w:instrText>","</w:instrText>
      </w:r>
      <w:r w:rsidRPr="000322E4">
        <w:rPr>
          <w:b/>
          <w:lang w:val="en-US"/>
        </w:rPr>
        <w:instrText>given</w:instrText>
      </w:r>
      <w:r w:rsidRPr="000322E4">
        <w:rPr>
          <w:b/>
        </w:rPr>
        <w:instrText>":"</w:instrText>
      </w:r>
      <w:r w:rsidRPr="000322E4">
        <w:rPr>
          <w:b/>
          <w:lang w:val="en-US"/>
        </w:rPr>
        <w:instrText>Paul</w:instrText>
      </w:r>
      <w:r w:rsidRPr="000322E4">
        <w:rPr>
          <w:b/>
        </w:rPr>
        <w:instrText xml:space="preserve"> </w:instrText>
      </w:r>
      <w:r w:rsidRPr="000322E4">
        <w:rPr>
          <w:b/>
          <w:lang w:val="en-US"/>
        </w:rPr>
        <w:instrText>A</w:instrText>
      </w:r>
      <w:r w:rsidRPr="000322E4">
        <w:rPr>
          <w:b/>
        </w:rPr>
        <w:instrText>.","</w:instrText>
      </w:r>
      <w:r w:rsidRPr="000322E4">
        <w:rPr>
          <w:b/>
          <w:lang w:val="en-US"/>
        </w:rPr>
        <w:instrText>non</w:instrText>
      </w:r>
      <w:r w:rsidRPr="000322E4">
        <w:rPr>
          <w:b/>
        </w:rPr>
        <w:instrText>-</w:instrText>
      </w:r>
      <w:r w:rsidRPr="000322E4">
        <w:rPr>
          <w:b/>
          <w:lang w:val="en-US"/>
        </w:rPr>
        <w:instrText>dropping</w:instrText>
      </w:r>
      <w:r w:rsidRPr="000322E4">
        <w:rPr>
          <w:b/>
        </w:rPr>
        <w:instrText>-</w:instrText>
      </w:r>
      <w:r w:rsidRPr="000322E4">
        <w:rPr>
          <w:b/>
          <w:lang w:val="en-US"/>
        </w:rPr>
        <w:instrText>particle</w:instrText>
      </w:r>
      <w:r w:rsidRPr="000322E4">
        <w:rPr>
          <w:b/>
        </w:rPr>
        <w:instrText>":"","</w:instrText>
      </w:r>
      <w:r w:rsidRPr="000322E4">
        <w:rPr>
          <w:b/>
          <w:lang w:val="en-US"/>
        </w:rPr>
        <w:instrText>parse</w:instrText>
      </w:r>
      <w:r w:rsidRPr="000322E4">
        <w:rPr>
          <w:b/>
        </w:rPr>
        <w:instrText>-</w:instrText>
      </w:r>
      <w:r w:rsidRPr="000322E4">
        <w:rPr>
          <w:b/>
          <w:lang w:val="en-US"/>
        </w:rPr>
        <w:instrText>names</w:instrText>
      </w:r>
      <w:r w:rsidRPr="000322E4">
        <w:rPr>
          <w:b/>
        </w:rPr>
        <w:instrText>":</w:instrText>
      </w:r>
      <w:r w:rsidRPr="000322E4">
        <w:rPr>
          <w:b/>
          <w:lang w:val="en-US"/>
        </w:rPr>
        <w:instrText>false</w:instrText>
      </w:r>
      <w:r w:rsidRPr="000322E4">
        <w:rPr>
          <w:b/>
        </w:rPr>
        <w:instrText>,"</w:instrText>
      </w:r>
      <w:r w:rsidRPr="000322E4">
        <w:rPr>
          <w:b/>
          <w:lang w:val="en-US"/>
        </w:rPr>
        <w:instrText>suffix</w:instrText>
      </w:r>
      <w:r w:rsidRPr="000322E4">
        <w:rPr>
          <w:b/>
        </w:rPr>
        <w:instrText>":""},{"</w:instrText>
      </w:r>
      <w:r w:rsidRPr="000322E4">
        <w:rPr>
          <w:b/>
          <w:lang w:val="en-US"/>
        </w:rPr>
        <w:instrText>dropping</w:instrText>
      </w:r>
      <w:r w:rsidRPr="000322E4">
        <w:rPr>
          <w:b/>
        </w:rPr>
        <w:instrText>-</w:instrText>
      </w:r>
      <w:r w:rsidRPr="000322E4">
        <w:rPr>
          <w:b/>
          <w:lang w:val="en-US"/>
        </w:rPr>
        <w:instrText>particle</w:instrText>
      </w:r>
      <w:r w:rsidRPr="000322E4">
        <w:rPr>
          <w:b/>
        </w:rPr>
        <w:instrText>":"","</w:instrText>
      </w:r>
      <w:r w:rsidRPr="000322E4">
        <w:rPr>
          <w:b/>
          <w:lang w:val="en-US"/>
        </w:rPr>
        <w:instrText>family</w:instrText>
      </w:r>
      <w:r w:rsidRPr="000322E4">
        <w:rPr>
          <w:b/>
        </w:rPr>
        <w:instrText>":"</w:instrText>
      </w:r>
      <w:r w:rsidRPr="000322E4">
        <w:rPr>
          <w:b/>
          <w:lang w:val="en-US"/>
        </w:rPr>
        <w:instrText>Townsend</w:instrText>
      </w:r>
      <w:r w:rsidRPr="000322E4">
        <w:rPr>
          <w:b/>
        </w:rPr>
        <w:instrText>","</w:instrText>
      </w:r>
      <w:r w:rsidRPr="000322E4">
        <w:rPr>
          <w:b/>
          <w:lang w:val="en-US"/>
        </w:rPr>
        <w:instrText>given</w:instrText>
      </w:r>
      <w:r w:rsidRPr="000322E4">
        <w:rPr>
          <w:b/>
        </w:rPr>
        <w:instrText>":"</w:instrText>
      </w:r>
      <w:r w:rsidRPr="000322E4">
        <w:rPr>
          <w:b/>
          <w:lang w:val="en-US"/>
        </w:rPr>
        <w:instrText>William</w:instrText>
      </w:r>
      <w:r w:rsidRPr="000322E4">
        <w:rPr>
          <w:b/>
        </w:rPr>
        <w:instrText>","</w:instrText>
      </w:r>
      <w:r w:rsidRPr="000322E4">
        <w:rPr>
          <w:b/>
          <w:lang w:val="en-US"/>
        </w:rPr>
        <w:instrText>non</w:instrText>
      </w:r>
      <w:r w:rsidRPr="000322E4">
        <w:rPr>
          <w:b/>
        </w:rPr>
        <w:instrText>-</w:instrText>
      </w:r>
      <w:r w:rsidRPr="000322E4">
        <w:rPr>
          <w:b/>
          <w:lang w:val="en-US"/>
        </w:rPr>
        <w:instrText>dropping</w:instrText>
      </w:r>
      <w:r w:rsidRPr="000322E4">
        <w:rPr>
          <w:b/>
        </w:rPr>
        <w:instrText>-</w:instrText>
      </w:r>
      <w:r w:rsidRPr="000322E4">
        <w:rPr>
          <w:b/>
          <w:lang w:val="en-US"/>
        </w:rPr>
        <w:instrText>particle</w:instrText>
      </w:r>
      <w:r w:rsidRPr="000322E4">
        <w:rPr>
          <w:b/>
        </w:rPr>
        <w:instrText>":"","</w:instrText>
      </w:r>
      <w:r w:rsidRPr="000322E4">
        <w:rPr>
          <w:b/>
          <w:lang w:val="en-US"/>
        </w:rPr>
        <w:instrText>parse</w:instrText>
      </w:r>
      <w:r w:rsidRPr="000322E4">
        <w:rPr>
          <w:b/>
        </w:rPr>
        <w:instrText>-</w:instrText>
      </w:r>
      <w:r w:rsidRPr="000322E4">
        <w:rPr>
          <w:b/>
          <w:lang w:val="en-US"/>
        </w:rPr>
        <w:instrText>names</w:instrText>
      </w:r>
      <w:r w:rsidRPr="000322E4">
        <w:rPr>
          <w:b/>
        </w:rPr>
        <w:instrText>":</w:instrText>
      </w:r>
      <w:r w:rsidRPr="000322E4">
        <w:rPr>
          <w:b/>
          <w:lang w:val="en-US"/>
        </w:rPr>
        <w:instrText>false</w:instrText>
      </w:r>
      <w:r w:rsidRPr="000322E4">
        <w:rPr>
          <w:b/>
        </w:rPr>
        <w:instrText>,"</w:instrText>
      </w:r>
      <w:r w:rsidRPr="000322E4">
        <w:rPr>
          <w:b/>
          <w:lang w:val="en-US"/>
        </w:rPr>
        <w:instrText>suffix</w:instrText>
      </w:r>
      <w:r w:rsidRPr="000322E4">
        <w:rPr>
          <w:b/>
        </w:rPr>
        <w:instrText>":""},{"</w:instrText>
      </w:r>
      <w:r w:rsidRPr="000322E4">
        <w:rPr>
          <w:b/>
          <w:lang w:val="en-US"/>
        </w:rPr>
        <w:instrText>dropping</w:instrText>
      </w:r>
      <w:r w:rsidRPr="000322E4">
        <w:rPr>
          <w:b/>
        </w:rPr>
        <w:instrText>-</w:instrText>
      </w:r>
      <w:r w:rsidRPr="000322E4">
        <w:rPr>
          <w:b/>
          <w:lang w:val="en-US"/>
        </w:rPr>
        <w:instrText>particle</w:instrText>
      </w:r>
      <w:r w:rsidRPr="000322E4">
        <w:rPr>
          <w:b/>
        </w:rPr>
        <w:instrText>":"","</w:instrText>
      </w:r>
      <w:r w:rsidRPr="000322E4">
        <w:rPr>
          <w:b/>
          <w:lang w:val="en-US"/>
        </w:rPr>
        <w:instrText>family</w:instrText>
      </w:r>
      <w:r w:rsidRPr="000322E4">
        <w:rPr>
          <w:b/>
        </w:rPr>
        <w:instrText>":"</w:instrText>
      </w:r>
      <w:r w:rsidRPr="000322E4">
        <w:rPr>
          <w:b/>
          <w:lang w:val="en-US"/>
        </w:rPr>
        <w:instrText>Webb</w:instrText>
      </w:r>
      <w:r w:rsidRPr="000322E4">
        <w:rPr>
          <w:b/>
        </w:rPr>
        <w:instrText>","</w:instrText>
      </w:r>
      <w:r w:rsidRPr="000322E4">
        <w:rPr>
          <w:b/>
          <w:lang w:val="en-US"/>
        </w:rPr>
        <w:instrText>given</w:instrText>
      </w:r>
      <w:r w:rsidRPr="000322E4">
        <w:rPr>
          <w:b/>
        </w:rPr>
        <w:instrText>":"</w:instrText>
      </w:r>
      <w:r w:rsidRPr="000322E4">
        <w:rPr>
          <w:b/>
          <w:lang w:val="en-US"/>
        </w:rPr>
        <w:instrText>Andrew</w:instrText>
      </w:r>
      <w:r w:rsidRPr="000322E4">
        <w:rPr>
          <w:b/>
        </w:rPr>
        <w:instrText>","</w:instrText>
      </w:r>
      <w:r w:rsidRPr="000322E4">
        <w:rPr>
          <w:b/>
          <w:lang w:val="en-US"/>
        </w:rPr>
        <w:instrText>non</w:instrText>
      </w:r>
      <w:r w:rsidRPr="000322E4">
        <w:rPr>
          <w:b/>
        </w:rPr>
        <w:instrText>-</w:instrText>
      </w:r>
      <w:r w:rsidRPr="000322E4">
        <w:rPr>
          <w:b/>
          <w:lang w:val="en-US"/>
        </w:rPr>
        <w:instrText>dropping</w:instrText>
      </w:r>
      <w:r w:rsidRPr="000322E4">
        <w:rPr>
          <w:b/>
        </w:rPr>
        <w:instrText>-</w:instrText>
      </w:r>
      <w:r w:rsidRPr="000322E4">
        <w:rPr>
          <w:b/>
          <w:lang w:val="en-US"/>
        </w:rPr>
        <w:instrText>particle</w:instrText>
      </w:r>
      <w:r w:rsidRPr="000322E4">
        <w:rPr>
          <w:b/>
        </w:rPr>
        <w:instrText>":"","</w:instrText>
      </w:r>
      <w:r w:rsidRPr="000322E4">
        <w:rPr>
          <w:b/>
          <w:lang w:val="en-US"/>
        </w:rPr>
        <w:instrText>parse</w:instrText>
      </w:r>
      <w:r w:rsidRPr="000322E4">
        <w:rPr>
          <w:b/>
        </w:rPr>
        <w:instrText>-</w:instrText>
      </w:r>
      <w:r w:rsidRPr="000322E4">
        <w:rPr>
          <w:b/>
          <w:lang w:val="en-US"/>
        </w:rPr>
        <w:instrText>names</w:instrText>
      </w:r>
      <w:r w:rsidRPr="000322E4">
        <w:rPr>
          <w:b/>
        </w:rPr>
        <w:instrText>":</w:instrText>
      </w:r>
      <w:r w:rsidRPr="000322E4">
        <w:rPr>
          <w:b/>
          <w:lang w:val="en-US"/>
        </w:rPr>
        <w:instrText>false</w:instrText>
      </w:r>
      <w:r w:rsidRPr="000322E4">
        <w:rPr>
          <w:b/>
        </w:rPr>
        <w:instrText>,"</w:instrText>
      </w:r>
      <w:r w:rsidRPr="000322E4">
        <w:rPr>
          <w:b/>
          <w:lang w:val="en-US"/>
        </w:rPr>
        <w:instrText>suffix</w:instrText>
      </w:r>
      <w:r w:rsidRPr="000322E4">
        <w:rPr>
          <w:b/>
        </w:rPr>
        <w:instrText>":""},{"</w:instrText>
      </w:r>
      <w:r w:rsidRPr="000322E4">
        <w:rPr>
          <w:b/>
          <w:lang w:val="en-US"/>
        </w:rPr>
        <w:instrText>dropping</w:instrText>
      </w:r>
      <w:r w:rsidRPr="000322E4">
        <w:rPr>
          <w:b/>
        </w:rPr>
        <w:instrText>-</w:instrText>
      </w:r>
      <w:r w:rsidRPr="000322E4">
        <w:rPr>
          <w:b/>
          <w:lang w:val="en-US"/>
        </w:rPr>
        <w:instrText>particle</w:instrText>
      </w:r>
      <w:r w:rsidRPr="000322E4">
        <w:rPr>
          <w:b/>
        </w:rPr>
        <w:instrText>":"","</w:instrText>
      </w:r>
      <w:r w:rsidRPr="000322E4">
        <w:rPr>
          <w:b/>
          <w:lang w:val="en-US"/>
        </w:rPr>
        <w:instrText>family</w:instrText>
      </w:r>
      <w:r w:rsidRPr="000322E4">
        <w:rPr>
          <w:b/>
        </w:rPr>
        <w:instrText>":"</w:instrText>
      </w:r>
      <w:r w:rsidRPr="000322E4">
        <w:rPr>
          <w:b/>
          <w:lang w:val="en-US"/>
        </w:rPr>
        <w:instrText>Counsell</w:instrText>
      </w:r>
      <w:r w:rsidRPr="000322E4">
        <w:rPr>
          <w:b/>
        </w:rPr>
        <w:instrText>","</w:instrText>
      </w:r>
      <w:r w:rsidRPr="000322E4">
        <w:rPr>
          <w:b/>
          <w:lang w:val="en-US"/>
        </w:rPr>
        <w:instrText>given</w:instrText>
      </w:r>
      <w:r w:rsidRPr="000322E4">
        <w:rPr>
          <w:b/>
        </w:rPr>
        <w:instrText>":"</w:instrText>
      </w:r>
      <w:r w:rsidRPr="000322E4">
        <w:rPr>
          <w:b/>
          <w:lang w:val="en-US"/>
        </w:rPr>
        <w:instrText>Nicholas</w:instrText>
      </w:r>
      <w:r w:rsidRPr="000322E4">
        <w:rPr>
          <w:b/>
        </w:rPr>
        <w:instrText>","</w:instrText>
      </w:r>
      <w:r w:rsidRPr="000322E4">
        <w:rPr>
          <w:b/>
          <w:lang w:val="en-US"/>
        </w:rPr>
        <w:instrText>non</w:instrText>
      </w:r>
      <w:r w:rsidRPr="000322E4">
        <w:rPr>
          <w:b/>
        </w:rPr>
        <w:instrText>-</w:instrText>
      </w:r>
      <w:r w:rsidRPr="000322E4">
        <w:rPr>
          <w:b/>
          <w:lang w:val="en-US"/>
        </w:rPr>
        <w:instrText>dropping</w:instrText>
      </w:r>
      <w:r w:rsidRPr="000322E4">
        <w:rPr>
          <w:b/>
        </w:rPr>
        <w:instrText>-</w:instrText>
      </w:r>
      <w:r w:rsidRPr="000322E4">
        <w:rPr>
          <w:b/>
          <w:lang w:val="en-US"/>
        </w:rPr>
        <w:instrText>particle</w:instrText>
      </w:r>
      <w:r w:rsidRPr="000322E4">
        <w:rPr>
          <w:b/>
        </w:rPr>
        <w:instrText>":"","</w:instrText>
      </w:r>
      <w:r w:rsidRPr="000322E4">
        <w:rPr>
          <w:b/>
          <w:lang w:val="en-US"/>
        </w:rPr>
        <w:instrText>parse</w:instrText>
      </w:r>
      <w:r w:rsidRPr="000322E4">
        <w:rPr>
          <w:b/>
        </w:rPr>
        <w:instrText>-</w:instrText>
      </w:r>
      <w:r w:rsidRPr="000322E4">
        <w:rPr>
          <w:b/>
          <w:lang w:val="en-US"/>
        </w:rPr>
        <w:instrText>names</w:instrText>
      </w:r>
      <w:r w:rsidRPr="000322E4">
        <w:rPr>
          <w:b/>
        </w:rPr>
        <w:instrText>":</w:instrText>
      </w:r>
      <w:r w:rsidRPr="000322E4">
        <w:rPr>
          <w:b/>
          <w:lang w:val="en-US"/>
        </w:rPr>
        <w:instrText>false</w:instrText>
      </w:r>
      <w:r w:rsidRPr="000322E4">
        <w:rPr>
          <w:b/>
        </w:rPr>
        <w:instrText>,"</w:instrText>
      </w:r>
      <w:r w:rsidRPr="000322E4">
        <w:rPr>
          <w:b/>
          <w:lang w:val="en-US"/>
        </w:rPr>
        <w:instrText>suffix</w:instrText>
      </w:r>
      <w:r w:rsidRPr="000322E4">
        <w:rPr>
          <w:b/>
        </w:rPr>
        <w:instrText>":""},{"</w:instrText>
      </w:r>
      <w:r w:rsidRPr="000322E4">
        <w:rPr>
          <w:b/>
          <w:lang w:val="en-US"/>
        </w:rPr>
        <w:instrText>dropping</w:instrText>
      </w:r>
      <w:r w:rsidRPr="000322E4">
        <w:rPr>
          <w:b/>
        </w:rPr>
        <w:instrText>-</w:instrText>
      </w:r>
      <w:r w:rsidRPr="000322E4">
        <w:rPr>
          <w:b/>
          <w:lang w:val="en-US"/>
        </w:rPr>
        <w:instrText>particle</w:instrText>
      </w:r>
      <w:r w:rsidRPr="000322E4">
        <w:rPr>
          <w:b/>
        </w:rPr>
        <w:instrText>":"","</w:instrText>
      </w:r>
      <w:r w:rsidRPr="000322E4">
        <w:rPr>
          <w:b/>
          <w:lang w:val="en-US"/>
        </w:rPr>
        <w:instrText>family</w:instrText>
      </w:r>
      <w:r w:rsidRPr="000322E4">
        <w:rPr>
          <w:b/>
        </w:rPr>
        <w:instrText>":"</w:instrText>
      </w:r>
      <w:r w:rsidRPr="000322E4">
        <w:rPr>
          <w:b/>
          <w:lang w:val="en-US"/>
        </w:rPr>
        <w:instrText>Pocock</w:instrText>
      </w:r>
      <w:r w:rsidRPr="000322E4">
        <w:rPr>
          <w:b/>
        </w:rPr>
        <w:instrText>","</w:instrText>
      </w:r>
      <w:r w:rsidRPr="000322E4">
        <w:rPr>
          <w:b/>
          <w:lang w:val="en-US"/>
        </w:rPr>
        <w:instrText>given</w:instrText>
      </w:r>
      <w:r w:rsidRPr="000322E4">
        <w:rPr>
          <w:b/>
        </w:rPr>
        <w:instrText>":"</w:instrText>
      </w:r>
      <w:r w:rsidRPr="000322E4">
        <w:rPr>
          <w:b/>
          <w:lang w:val="en-US"/>
        </w:rPr>
        <w:instrText>Christopher</w:instrText>
      </w:r>
      <w:r w:rsidRPr="000322E4">
        <w:rPr>
          <w:b/>
        </w:rPr>
        <w:instrText>","</w:instrText>
      </w:r>
      <w:r w:rsidRPr="000322E4">
        <w:rPr>
          <w:b/>
          <w:lang w:val="en-US"/>
        </w:rPr>
        <w:instrText>non</w:instrText>
      </w:r>
      <w:r w:rsidRPr="000322E4">
        <w:rPr>
          <w:b/>
        </w:rPr>
        <w:instrText>-</w:instrText>
      </w:r>
      <w:r w:rsidRPr="000322E4">
        <w:rPr>
          <w:b/>
          <w:lang w:val="en-US"/>
        </w:rPr>
        <w:instrText>dropping</w:instrText>
      </w:r>
      <w:r w:rsidRPr="000322E4">
        <w:rPr>
          <w:b/>
        </w:rPr>
        <w:instrText>-</w:instrText>
      </w:r>
      <w:r w:rsidRPr="000322E4">
        <w:rPr>
          <w:b/>
          <w:lang w:val="en-US"/>
        </w:rPr>
        <w:instrText>particle</w:instrText>
      </w:r>
      <w:r w:rsidRPr="000322E4">
        <w:rPr>
          <w:b/>
        </w:rPr>
        <w:instrText>":"","</w:instrText>
      </w:r>
      <w:r w:rsidRPr="000322E4">
        <w:rPr>
          <w:b/>
          <w:lang w:val="en-US"/>
        </w:rPr>
        <w:instrText>parse</w:instrText>
      </w:r>
      <w:r w:rsidRPr="000322E4">
        <w:rPr>
          <w:b/>
        </w:rPr>
        <w:instrText>-</w:instrText>
      </w:r>
      <w:r w:rsidRPr="000322E4">
        <w:rPr>
          <w:b/>
          <w:lang w:val="en-US"/>
        </w:rPr>
        <w:instrText>names</w:instrText>
      </w:r>
      <w:r w:rsidRPr="000322E4">
        <w:rPr>
          <w:b/>
        </w:rPr>
        <w:instrText>":</w:instrText>
      </w:r>
      <w:r w:rsidRPr="000322E4">
        <w:rPr>
          <w:b/>
          <w:lang w:val="en-US"/>
        </w:rPr>
        <w:instrText>false</w:instrText>
      </w:r>
      <w:r w:rsidRPr="000322E4">
        <w:rPr>
          <w:b/>
        </w:rPr>
        <w:instrText>,"</w:instrText>
      </w:r>
      <w:r w:rsidRPr="000322E4">
        <w:rPr>
          <w:b/>
          <w:lang w:val="en-US"/>
        </w:rPr>
        <w:instrText>suffix</w:instrText>
      </w:r>
      <w:r w:rsidRPr="000322E4">
        <w:rPr>
          <w:b/>
        </w:rPr>
        <w:instrText>":""},{"</w:instrText>
      </w:r>
      <w:r w:rsidRPr="000322E4">
        <w:rPr>
          <w:b/>
          <w:lang w:val="en-US"/>
        </w:rPr>
        <w:instrText>dropping</w:instrText>
      </w:r>
      <w:r w:rsidRPr="000322E4">
        <w:rPr>
          <w:b/>
        </w:rPr>
        <w:instrText>-</w:instrText>
      </w:r>
      <w:r w:rsidRPr="000322E4">
        <w:rPr>
          <w:b/>
          <w:lang w:val="en-US"/>
        </w:rPr>
        <w:instrText>particle</w:instrText>
      </w:r>
      <w:r w:rsidRPr="000322E4">
        <w:rPr>
          <w:b/>
        </w:rPr>
        <w:instrText>":"","</w:instrText>
      </w:r>
      <w:r w:rsidRPr="000322E4">
        <w:rPr>
          <w:b/>
          <w:lang w:val="en-US"/>
        </w:rPr>
        <w:instrText>family</w:instrText>
      </w:r>
      <w:r w:rsidRPr="000322E4">
        <w:rPr>
          <w:b/>
        </w:rPr>
        <w:instrText>":"</w:instrText>
      </w:r>
      <w:r w:rsidRPr="000322E4">
        <w:rPr>
          <w:b/>
          <w:lang w:val="en-US"/>
        </w:rPr>
        <w:instrText>Smith</w:instrText>
      </w:r>
      <w:r w:rsidRPr="000322E4">
        <w:rPr>
          <w:b/>
        </w:rPr>
        <w:instrText>","</w:instrText>
      </w:r>
      <w:r w:rsidRPr="000322E4">
        <w:rPr>
          <w:b/>
          <w:lang w:val="en-US"/>
        </w:rPr>
        <w:instrText>given</w:instrText>
      </w:r>
      <w:r w:rsidRPr="000322E4">
        <w:rPr>
          <w:b/>
        </w:rPr>
        <w:instrText>":"</w:instrText>
      </w:r>
      <w:r w:rsidRPr="000322E4">
        <w:rPr>
          <w:b/>
          <w:lang w:val="en-US"/>
        </w:rPr>
        <w:instrText>Paul</w:instrText>
      </w:r>
      <w:r w:rsidRPr="000322E4">
        <w:rPr>
          <w:b/>
        </w:rPr>
        <w:instrText>","</w:instrText>
      </w:r>
      <w:r w:rsidRPr="000322E4">
        <w:rPr>
          <w:b/>
          <w:lang w:val="en-US"/>
        </w:rPr>
        <w:instrText>non</w:instrText>
      </w:r>
      <w:r w:rsidRPr="000322E4">
        <w:rPr>
          <w:b/>
        </w:rPr>
        <w:instrText>-</w:instrText>
      </w:r>
      <w:r w:rsidRPr="000322E4">
        <w:rPr>
          <w:b/>
          <w:lang w:val="en-US"/>
        </w:rPr>
        <w:instrText>dropping</w:instrText>
      </w:r>
      <w:r w:rsidRPr="000322E4">
        <w:rPr>
          <w:b/>
        </w:rPr>
        <w:instrText>-</w:instrText>
      </w:r>
      <w:r w:rsidRPr="000322E4">
        <w:rPr>
          <w:b/>
          <w:lang w:val="en-US"/>
        </w:rPr>
        <w:instrText>particle</w:instrText>
      </w:r>
      <w:r w:rsidRPr="000322E4">
        <w:rPr>
          <w:b/>
        </w:rPr>
        <w:instrText>":"","</w:instrText>
      </w:r>
      <w:r w:rsidRPr="000322E4">
        <w:rPr>
          <w:b/>
          <w:lang w:val="en-US"/>
        </w:rPr>
        <w:instrText>parse</w:instrText>
      </w:r>
      <w:r w:rsidRPr="000322E4">
        <w:rPr>
          <w:b/>
        </w:rPr>
        <w:instrText>-</w:instrText>
      </w:r>
      <w:r w:rsidRPr="000322E4">
        <w:rPr>
          <w:b/>
          <w:lang w:val="en-US"/>
        </w:rPr>
        <w:instrText>names</w:instrText>
      </w:r>
      <w:r w:rsidRPr="000322E4">
        <w:rPr>
          <w:b/>
        </w:rPr>
        <w:instrText>":</w:instrText>
      </w:r>
      <w:r w:rsidRPr="000322E4">
        <w:rPr>
          <w:b/>
          <w:lang w:val="en-US"/>
        </w:rPr>
        <w:instrText>false</w:instrText>
      </w:r>
      <w:r w:rsidRPr="000322E4">
        <w:rPr>
          <w:b/>
        </w:rPr>
        <w:instrText>,"</w:instrText>
      </w:r>
      <w:r w:rsidRPr="000322E4">
        <w:rPr>
          <w:b/>
          <w:lang w:val="en-US"/>
        </w:rPr>
        <w:instrText>suffix</w:instrText>
      </w:r>
      <w:r w:rsidRPr="000322E4">
        <w:rPr>
          <w:b/>
        </w:rPr>
        <w:instrText>":""},{"</w:instrText>
      </w:r>
      <w:r w:rsidRPr="000322E4">
        <w:rPr>
          <w:b/>
          <w:lang w:val="en-US"/>
        </w:rPr>
        <w:instrText>dropping</w:instrText>
      </w:r>
      <w:r w:rsidRPr="006371BE">
        <w:rPr>
          <w:b/>
        </w:rPr>
        <w:instrText>-</w:instrText>
      </w:r>
      <w:r w:rsidRPr="000322E4">
        <w:rPr>
          <w:b/>
          <w:lang w:val="en-US"/>
        </w:rPr>
        <w:instrText>particle</w:instrText>
      </w:r>
      <w:r w:rsidRPr="006371BE">
        <w:rPr>
          <w:b/>
        </w:rPr>
        <w:instrText>":"","</w:instrText>
      </w:r>
      <w:r w:rsidRPr="000322E4">
        <w:rPr>
          <w:b/>
          <w:lang w:val="en-US"/>
        </w:rPr>
        <w:instrText>family</w:instrText>
      </w:r>
      <w:r w:rsidRPr="006371BE">
        <w:rPr>
          <w:b/>
        </w:rPr>
        <w:instrText>":"</w:instrText>
      </w:r>
      <w:r w:rsidRPr="000322E4">
        <w:rPr>
          <w:b/>
          <w:lang w:val="en-US"/>
        </w:rPr>
        <w:instrText>Jack</w:instrText>
      </w:r>
      <w:r w:rsidRPr="006371BE">
        <w:rPr>
          <w:b/>
        </w:rPr>
        <w:instrText>","</w:instrText>
      </w:r>
      <w:r w:rsidRPr="000322E4">
        <w:rPr>
          <w:b/>
          <w:lang w:val="en-US"/>
        </w:rPr>
        <w:instrText>given</w:instrText>
      </w:r>
      <w:r w:rsidRPr="006371BE">
        <w:rPr>
          <w:b/>
        </w:rPr>
        <w:instrText>":"</w:instrText>
      </w:r>
      <w:r w:rsidRPr="000322E4">
        <w:rPr>
          <w:b/>
          <w:lang w:val="en-US"/>
        </w:rPr>
        <w:instrText>Andrew</w:instrText>
      </w:r>
      <w:r w:rsidRPr="006371BE">
        <w:rPr>
          <w:b/>
        </w:rPr>
        <w:instrText>","</w:instrText>
      </w:r>
      <w:r w:rsidRPr="000322E4">
        <w:rPr>
          <w:b/>
          <w:lang w:val="en-US"/>
        </w:rPr>
        <w:instrText>non</w:instrText>
      </w:r>
      <w:r w:rsidRPr="006371BE">
        <w:rPr>
          <w:b/>
        </w:rPr>
        <w:instrText>-</w:instrText>
      </w:r>
      <w:r w:rsidRPr="000322E4">
        <w:rPr>
          <w:b/>
          <w:lang w:val="en-US"/>
        </w:rPr>
        <w:instrText>dropping</w:instrText>
      </w:r>
      <w:r w:rsidRPr="006371BE">
        <w:rPr>
          <w:b/>
        </w:rPr>
        <w:instrText>-</w:instrText>
      </w:r>
      <w:r w:rsidRPr="000322E4">
        <w:rPr>
          <w:b/>
          <w:lang w:val="en-US"/>
        </w:rPr>
        <w:instrText>particle</w:instrText>
      </w:r>
      <w:r w:rsidRPr="006371BE">
        <w:rPr>
          <w:b/>
        </w:rPr>
        <w:instrText>":"","</w:instrText>
      </w:r>
      <w:r w:rsidRPr="000322E4">
        <w:rPr>
          <w:b/>
          <w:lang w:val="en-US"/>
        </w:rPr>
        <w:instrText>parse</w:instrText>
      </w:r>
      <w:r w:rsidRPr="006371BE">
        <w:rPr>
          <w:b/>
        </w:rPr>
        <w:instrText>-</w:instrText>
      </w:r>
      <w:r w:rsidRPr="000322E4">
        <w:rPr>
          <w:b/>
          <w:lang w:val="en-US"/>
        </w:rPr>
        <w:instrText>names</w:instrText>
      </w:r>
      <w:r w:rsidRPr="006371BE">
        <w:rPr>
          <w:b/>
        </w:rPr>
        <w:instrText>":</w:instrText>
      </w:r>
      <w:r w:rsidRPr="000322E4">
        <w:rPr>
          <w:b/>
          <w:lang w:val="en-US"/>
        </w:rPr>
        <w:instrText>false</w:instrText>
      </w:r>
      <w:r w:rsidRPr="006371BE">
        <w:rPr>
          <w:b/>
        </w:rPr>
        <w:instrText>,"</w:instrText>
      </w:r>
      <w:r w:rsidRPr="000322E4">
        <w:rPr>
          <w:b/>
          <w:lang w:val="en-US"/>
        </w:rPr>
        <w:instrText>suffix</w:instrText>
      </w:r>
      <w:r w:rsidRPr="006371BE">
        <w:rPr>
          <w:b/>
        </w:rPr>
        <w:instrText>":""},{"</w:instrText>
      </w:r>
      <w:r w:rsidRPr="000322E4">
        <w:rPr>
          <w:b/>
          <w:lang w:val="en-US"/>
        </w:rPr>
        <w:instrText>dropping</w:instrText>
      </w:r>
      <w:r w:rsidRPr="006371BE">
        <w:rPr>
          <w:b/>
        </w:rPr>
        <w:instrText>-</w:instrText>
      </w:r>
      <w:r w:rsidRPr="000322E4">
        <w:rPr>
          <w:b/>
          <w:lang w:val="en-US"/>
        </w:rPr>
        <w:instrText>particle</w:instrText>
      </w:r>
      <w:r w:rsidRPr="006371BE">
        <w:rPr>
          <w:b/>
        </w:rPr>
        <w:instrText>":"","</w:instrText>
      </w:r>
      <w:r w:rsidRPr="000322E4">
        <w:rPr>
          <w:b/>
          <w:lang w:val="en-US"/>
        </w:rPr>
        <w:instrText>family</w:instrText>
      </w:r>
      <w:r w:rsidRPr="006371BE">
        <w:rPr>
          <w:b/>
        </w:rPr>
        <w:instrText>":"</w:instrText>
      </w:r>
      <w:r w:rsidRPr="000322E4">
        <w:rPr>
          <w:b/>
          <w:lang w:val="en-US"/>
        </w:rPr>
        <w:instrText>El</w:instrText>
      </w:r>
      <w:r w:rsidRPr="006371BE">
        <w:rPr>
          <w:b/>
        </w:rPr>
        <w:instrText>-</w:instrText>
      </w:r>
      <w:r w:rsidRPr="000322E4">
        <w:rPr>
          <w:b/>
          <w:lang w:val="en-US"/>
        </w:rPr>
        <w:instrText>Mehidi</w:instrText>
      </w:r>
      <w:r w:rsidRPr="006371BE">
        <w:rPr>
          <w:b/>
        </w:rPr>
        <w:instrText>","</w:instrText>
      </w:r>
      <w:r w:rsidRPr="000322E4">
        <w:rPr>
          <w:b/>
          <w:lang w:val="en-US"/>
        </w:rPr>
        <w:instrText>given</w:instrText>
      </w:r>
      <w:r w:rsidRPr="006371BE">
        <w:rPr>
          <w:b/>
        </w:rPr>
        <w:instrText>":"</w:instrText>
      </w:r>
      <w:r w:rsidRPr="000322E4">
        <w:rPr>
          <w:b/>
          <w:lang w:val="en-US"/>
        </w:rPr>
        <w:instrText>Nadjet</w:instrText>
      </w:r>
      <w:r w:rsidRPr="006371BE">
        <w:rPr>
          <w:b/>
        </w:rPr>
        <w:instrText>","</w:instrText>
      </w:r>
      <w:r w:rsidRPr="000322E4">
        <w:rPr>
          <w:b/>
          <w:lang w:val="en-US"/>
        </w:rPr>
        <w:instrText>non</w:instrText>
      </w:r>
      <w:r w:rsidRPr="006371BE">
        <w:rPr>
          <w:b/>
        </w:rPr>
        <w:instrText>-</w:instrText>
      </w:r>
      <w:r w:rsidRPr="000322E4">
        <w:rPr>
          <w:b/>
          <w:lang w:val="en-US"/>
        </w:rPr>
        <w:instrText>dropping</w:instrText>
      </w:r>
      <w:r w:rsidRPr="006371BE">
        <w:rPr>
          <w:b/>
        </w:rPr>
        <w:instrText>-</w:instrText>
      </w:r>
      <w:r w:rsidRPr="000322E4">
        <w:rPr>
          <w:b/>
          <w:lang w:val="en-US"/>
        </w:rPr>
        <w:instrText>particle</w:instrText>
      </w:r>
      <w:r w:rsidRPr="006371BE">
        <w:rPr>
          <w:b/>
        </w:rPr>
        <w:instrText>":"","</w:instrText>
      </w:r>
      <w:r w:rsidRPr="000322E4">
        <w:rPr>
          <w:b/>
          <w:lang w:val="en-US"/>
        </w:rPr>
        <w:instrText>parse</w:instrText>
      </w:r>
      <w:r w:rsidRPr="006371BE">
        <w:rPr>
          <w:b/>
        </w:rPr>
        <w:instrText>-</w:instrText>
      </w:r>
      <w:r w:rsidRPr="000322E4">
        <w:rPr>
          <w:b/>
          <w:lang w:val="en-US"/>
        </w:rPr>
        <w:instrText>names</w:instrText>
      </w:r>
      <w:r w:rsidRPr="006371BE">
        <w:rPr>
          <w:b/>
        </w:rPr>
        <w:instrText>":</w:instrText>
      </w:r>
      <w:r w:rsidRPr="000322E4">
        <w:rPr>
          <w:b/>
          <w:lang w:val="en-US"/>
        </w:rPr>
        <w:instrText>false</w:instrText>
      </w:r>
      <w:r w:rsidRPr="006371BE">
        <w:rPr>
          <w:b/>
        </w:rPr>
        <w:instrText>,"</w:instrText>
      </w:r>
      <w:r w:rsidRPr="000322E4">
        <w:rPr>
          <w:b/>
          <w:lang w:val="en-US"/>
        </w:rPr>
        <w:instrText>suffix</w:instrText>
      </w:r>
      <w:r w:rsidRPr="006371BE">
        <w:rPr>
          <w:b/>
        </w:rPr>
        <w:instrText>":""},{"</w:instrText>
      </w:r>
      <w:r w:rsidRPr="000322E4">
        <w:rPr>
          <w:b/>
          <w:lang w:val="en-US"/>
        </w:rPr>
        <w:instrText>dropping</w:instrText>
      </w:r>
      <w:r w:rsidRPr="006371BE">
        <w:rPr>
          <w:b/>
        </w:rPr>
        <w:instrText>-</w:instrText>
      </w:r>
      <w:r w:rsidRPr="000322E4">
        <w:rPr>
          <w:b/>
          <w:lang w:val="en-US"/>
        </w:rPr>
        <w:instrText>particle</w:instrText>
      </w:r>
      <w:r w:rsidRPr="006371BE">
        <w:rPr>
          <w:b/>
        </w:rPr>
        <w:instrText>":"","</w:instrText>
      </w:r>
      <w:r w:rsidRPr="000322E4">
        <w:rPr>
          <w:b/>
          <w:lang w:val="en-US"/>
        </w:rPr>
        <w:instrText>family</w:instrText>
      </w:r>
      <w:r w:rsidRPr="006371BE">
        <w:rPr>
          <w:b/>
        </w:rPr>
        <w:instrText>":"</w:instrText>
      </w:r>
      <w:r w:rsidRPr="000322E4">
        <w:rPr>
          <w:b/>
          <w:lang w:val="en-US"/>
        </w:rPr>
        <w:instrText>Johnson</w:instrText>
      </w:r>
      <w:r w:rsidRPr="006371BE">
        <w:rPr>
          <w:b/>
        </w:rPr>
        <w:instrText>","</w:instrText>
      </w:r>
      <w:r w:rsidRPr="000322E4">
        <w:rPr>
          <w:b/>
          <w:lang w:val="en-US"/>
        </w:rPr>
        <w:instrText>given</w:instrText>
      </w:r>
      <w:r w:rsidRPr="006371BE">
        <w:rPr>
          <w:b/>
        </w:rPr>
        <w:instrText>":"</w:instrText>
      </w:r>
      <w:r w:rsidRPr="000322E4">
        <w:rPr>
          <w:b/>
          <w:lang w:val="en-US"/>
        </w:rPr>
        <w:instrText>Peter</w:instrText>
      </w:r>
      <w:r w:rsidRPr="006371BE">
        <w:rPr>
          <w:b/>
        </w:rPr>
        <w:instrText xml:space="preserve"> </w:instrText>
      </w:r>
      <w:r w:rsidRPr="000322E4">
        <w:rPr>
          <w:b/>
          <w:lang w:val="en-US"/>
        </w:rPr>
        <w:instrText>W</w:instrText>
      </w:r>
      <w:r w:rsidRPr="006371BE">
        <w:rPr>
          <w:b/>
        </w:rPr>
        <w:instrText>.","</w:instrText>
      </w:r>
      <w:r w:rsidRPr="000322E4">
        <w:rPr>
          <w:b/>
          <w:lang w:val="en-US"/>
        </w:rPr>
        <w:instrText>non</w:instrText>
      </w:r>
      <w:r w:rsidRPr="006371BE">
        <w:rPr>
          <w:b/>
        </w:rPr>
        <w:instrText>-</w:instrText>
      </w:r>
      <w:r w:rsidRPr="000322E4">
        <w:rPr>
          <w:b/>
          <w:lang w:val="en-US"/>
        </w:rPr>
        <w:instrText>dropping</w:instrText>
      </w:r>
      <w:r w:rsidRPr="006371BE">
        <w:rPr>
          <w:b/>
        </w:rPr>
        <w:instrText>-</w:instrText>
      </w:r>
      <w:r w:rsidRPr="000322E4">
        <w:rPr>
          <w:b/>
          <w:lang w:val="en-US"/>
        </w:rPr>
        <w:instrText>particle</w:instrText>
      </w:r>
      <w:r w:rsidRPr="006371BE">
        <w:rPr>
          <w:b/>
        </w:rPr>
        <w:instrText>":"","</w:instrText>
      </w:r>
      <w:r w:rsidRPr="000322E4">
        <w:rPr>
          <w:b/>
          <w:lang w:val="en-US"/>
        </w:rPr>
        <w:instrText>parse</w:instrText>
      </w:r>
      <w:r w:rsidRPr="006371BE">
        <w:rPr>
          <w:b/>
        </w:rPr>
        <w:instrText>-</w:instrText>
      </w:r>
      <w:r w:rsidRPr="000322E4">
        <w:rPr>
          <w:b/>
          <w:lang w:val="en-US"/>
        </w:rPr>
        <w:instrText>names</w:instrText>
      </w:r>
      <w:r w:rsidRPr="006371BE">
        <w:rPr>
          <w:b/>
        </w:rPr>
        <w:instrText>":</w:instrText>
      </w:r>
      <w:r w:rsidRPr="000322E4">
        <w:rPr>
          <w:b/>
          <w:lang w:val="en-US"/>
        </w:rPr>
        <w:instrText>false</w:instrText>
      </w:r>
      <w:r w:rsidRPr="006371BE">
        <w:rPr>
          <w:b/>
        </w:rPr>
        <w:instrText>,"</w:instrText>
      </w:r>
      <w:r w:rsidRPr="000322E4">
        <w:rPr>
          <w:b/>
          <w:lang w:val="en-US"/>
        </w:rPr>
        <w:instrText>suffix</w:instrText>
      </w:r>
      <w:r w:rsidRPr="006371BE">
        <w:rPr>
          <w:b/>
        </w:rPr>
        <w:instrText>":""},{"</w:instrText>
      </w:r>
      <w:r w:rsidRPr="000322E4">
        <w:rPr>
          <w:b/>
          <w:lang w:val="en-US"/>
        </w:rPr>
        <w:instrText>dropping</w:instrText>
      </w:r>
      <w:r w:rsidRPr="006371BE">
        <w:rPr>
          <w:b/>
        </w:rPr>
        <w:instrText>-</w:instrText>
      </w:r>
      <w:r w:rsidRPr="000322E4">
        <w:rPr>
          <w:b/>
          <w:lang w:val="en-US"/>
        </w:rPr>
        <w:instrText>particle</w:instrText>
      </w:r>
      <w:r w:rsidRPr="006371BE">
        <w:rPr>
          <w:b/>
        </w:rPr>
        <w:instrText>":"","</w:instrText>
      </w:r>
      <w:r w:rsidRPr="000322E4">
        <w:rPr>
          <w:b/>
          <w:lang w:val="en-US"/>
        </w:rPr>
        <w:instrText>family</w:instrText>
      </w:r>
      <w:r w:rsidRPr="006371BE">
        <w:rPr>
          <w:b/>
        </w:rPr>
        <w:instrText>":"</w:instrText>
      </w:r>
      <w:r w:rsidRPr="000322E4">
        <w:rPr>
          <w:b/>
          <w:lang w:val="en-US"/>
        </w:rPr>
        <w:instrText>Radford</w:instrText>
      </w:r>
      <w:r w:rsidRPr="006371BE">
        <w:rPr>
          <w:b/>
        </w:rPr>
        <w:instrText>","</w:instrText>
      </w:r>
      <w:r w:rsidRPr="000322E4">
        <w:rPr>
          <w:b/>
          <w:lang w:val="en-US"/>
        </w:rPr>
        <w:instrText>given</w:instrText>
      </w:r>
      <w:r w:rsidRPr="006371BE">
        <w:rPr>
          <w:b/>
        </w:rPr>
        <w:instrText>":"</w:instrText>
      </w:r>
      <w:r w:rsidRPr="000322E4">
        <w:rPr>
          <w:b/>
          <w:lang w:val="en-US"/>
        </w:rPr>
        <w:instrText>John</w:instrText>
      </w:r>
      <w:r w:rsidRPr="006371BE">
        <w:rPr>
          <w:b/>
        </w:rPr>
        <w:instrText>","</w:instrText>
      </w:r>
      <w:r w:rsidRPr="000322E4">
        <w:rPr>
          <w:b/>
          <w:lang w:val="en-US"/>
        </w:rPr>
        <w:instrText>non</w:instrText>
      </w:r>
      <w:r w:rsidRPr="006371BE">
        <w:rPr>
          <w:b/>
        </w:rPr>
        <w:instrText>-</w:instrText>
      </w:r>
      <w:r w:rsidRPr="000322E4">
        <w:rPr>
          <w:b/>
          <w:lang w:val="en-US"/>
        </w:rPr>
        <w:instrText>dropping</w:instrText>
      </w:r>
      <w:r w:rsidRPr="006371BE">
        <w:rPr>
          <w:b/>
        </w:rPr>
        <w:instrText>-</w:instrText>
      </w:r>
      <w:r w:rsidRPr="000322E4">
        <w:rPr>
          <w:b/>
          <w:lang w:val="en-US"/>
        </w:rPr>
        <w:instrText>particle</w:instrText>
      </w:r>
      <w:r w:rsidRPr="006371BE">
        <w:rPr>
          <w:b/>
        </w:rPr>
        <w:instrText>":"","</w:instrText>
      </w:r>
      <w:r w:rsidRPr="000322E4">
        <w:rPr>
          <w:b/>
          <w:lang w:val="en-US"/>
        </w:rPr>
        <w:instrText>parse</w:instrText>
      </w:r>
      <w:r w:rsidRPr="006371BE">
        <w:rPr>
          <w:b/>
        </w:rPr>
        <w:instrText>-</w:instrText>
      </w:r>
      <w:r w:rsidRPr="000322E4">
        <w:rPr>
          <w:b/>
          <w:lang w:val="en-US"/>
        </w:rPr>
        <w:instrText>names</w:instrText>
      </w:r>
      <w:r w:rsidRPr="006371BE">
        <w:rPr>
          <w:b/>
        </w:rPr>
        <w:instrText>":</w:instrText>
      </w:r>
      <w:r w:rsidRPr="000322E4">
        <w:rPr>
          <w:b/>
          <w:lang w:val="en-US"/>
        </w:rPr>
        <w:instrText>false</w:instrText>
      </w:r>
      <w:r w:rsidRPr="006371BE">
        <w:rPr>
          <w:b/>
        </w:rPr>
        <w:instrText>,"</w:instrText>
      </w:r>
      <w:r w:rsidRPr="000322E4">
        <w:rPr>
          <w:b/>
          <w:lang w:val="en-US"/>
        </w:rPr>
        <w:instrText>suffix</w:instrText>
      </w:r>
      <w:r w:rsidRPr="006371BE">
        <w:rPr>
          <w:b/>
        </w:rPr>
        <w:instrText>":""},{"</w:instrText>
      </w:r>
      <w:r w:rsidRPr="000322E4">
        <w:rPr>
          <w:b/>
          <w:lang w:val="en-US"/>
        </w:rPr>
        <w:instrText>dropping</w:instrText>
      </w:r>
      <w:r w:rsidRPr="006371BE">
        <w:rPr>
          <w:b/>
        </w:rPr>
        <w:instrText>-</w:instrText>
      </w:r>
      <w:r w:rsidRPr="000322E4">
        <w:rPr>
          <w:b/>
          <w:lang w:val="en-US"/>
        </w:rPr>
        <w:instrText>particle</w:instrText>
      </w:r>
      <w:r w:rsidRPr="006371BE">
        <w:rPr>
          <w:b/>
        </w:rPr>
        <w:instrText>":"","</w:instrText>
      </w:r>
      <w:r w:rsidRPr="000322E4">
        <w:rPr>
          <w:b/>
          <w:lang w:val="en-US"/>
        </w:rPr>
        <w:instrText>family</w:instrText>
      </w:r>
      <w:r w:rsidRPr="006371BE">
        <w:rPr>
          <w:b/>
        </w:rPr>
        <w:instrText>":"</w:instrText>
      </w:r>
      <w:r w:rsidRPr="000322E4">
        <w:rPr>
          <w:b/>
          <w:lang w:val="en-US"/>
        </w:rPr>
        <w:instrText>Linch</w:instrText>
      </w:r>
      <w:r w:rsidRPr="006371BE">
        <w:rPr>
          <w:b/>
        </w:rPr>
        <w:instrText>","</w:instrText>
      </w:r>
      <w:r w:rsidRPr="000322E4">
        <w:rPr>
          <w:b/>
          <w:lang w:val="en-US"/>
        </w:rPr>
        <w:instrText>given</w:instrText>
      </w:r>
      <w:r w:rsidRPr="006371BE">
        <w:rPr>
          <w:b/>
        </w:rPr>
        <w:instrText>":"</w:instrText>
      </w:r>
      <w:r w:rsidRPr="000322E4">
        <w:rPr>
          <w:b/>
          <w:lang w:val="en-US"/>
        </w:rPr>
        <w:instrText>David</w:instrText>
      </w:r>
      <w:r w:rsidRPr="006371BE">
        <w:rPr>
          <w:b/>
        </w:rPr>
        <w:instrText xml:space="preserve"> </w:instrText>
      </w:r>
      <w:r w:rsidRPr="000322E4">
        <w:rPr>
          <w:b/>
          <w:lang w:val="en-US"/>
        </w:rPr>
        <w:instrText>C</w:instrText>
      </w:r>
      <w:r w:rsidRPr="006371BE">
        <w:rPr>
          <w:b/>
        </w:rPr>
        <w:instrText>.","</w:instrText>
      </w:r>
      <w:r w:rsidRPr="000322E4">
        <w:rPr>
          <w:b/>
          <w:lang w:val="en-US"/>
        </w:rPr>
        <w:instrText>non</w:instrText>
      </w:r>
      <w:r w:rsidRPr="006371BE">
        <w:rPr>
          <w:b/>
        </w:rPr>
        <w:instrText>-</w:instrText>
      </w:r>
      <w:r w:rsidRPr="000322E4">
        <w:rPr>
          <w:b/>
          <w:lang w:val="en-US"/>
        </w:rPr>
        <w:instrText>dropping</w:instrText>
      </w:r>
      <w:r w:rsidRPr="006371BE">
        <w:rPr>
          <w:b/>
        </w:rPr>
        <w:instrText>-</w:instrText>
      </w:r>
      <w:r w:rsidRPr="000322E4">
        <w:rPr>
          <w:b/>
          <w:lang w:val="en-US"/>
        </w:rPr>
        <w:instrText>particle</w:instrText>
      </w:r>
      <w:r w:rsidRPr="006371BE">
        <w:rPr>
          <w:b/>
        </w:rPr>
        <w:instrText>":"","</w:instrText>
      </w:r>
      <w:r w:rsidRPr="000322E4">
        <w:rPr>
          <w:b/>
          <w:lang w:val="en-US"/>
        </w:rPr>
        <w:instrText>parse</w:instrText>
      </w:r>
      <w:r w:rsidRPr="006371BE">
        <w:rPr>
          <w:b/>
        </w:rPr>
        <w:instrText>-</w:instrText>
      </w:r>
      <w:r w:rsidRPr="000322E4">
        <w:rPr>
          <w:b/>
          <w:lang w:val="en-US"/>
        </w:rPr>
        <w:instrText>names</w:instrText>
      </w:r>
      <w:r w:rsidRPr="006371BE">
        <w:rPr>
          <w:b/>
        </w:rPr>
        <w:instrText>":</w:instrText>
      </w:r>
      <w:r w:rsidRPr="000322E4">
        <w:rPr>
          <w:b/>
          <w:lang w:val="en-US"/>
        </w:rPr>
        <w:instrText>false</w:instrText>
      </w:r>
      <w:r w:rsidRPr="006371BE">
        <w:rPr>
          <w:b/>
        </w:rPr>
        <w:instrText>,"</w:instrText>
      </w:r>
      <w:r w:rsidRPr="000322E4">
        <w:rPr>
          <w:b/>
          <w:lang w:val="en-US"/>
        </w:rPr>
        <w:instrText>suffix</w:instrText>
      </w:r>
      <w:r w:rsidRPr="006371BE">
        <w:rPr>
          <w:b/>
        </w:rPr>
        <w:instrText>":""},{"</w:instrText>
      </w:r>
      <w:r w:rsidRPr="000322E4">
        <w:rPr>
          <w:b/>
          <w:lang w:val="en-US"/>
        </w:rPr>
        <w:instrText>dropping</w:instrText>
      </w:r>
      <w:r w:rsidRPr="006371BE">
        <w:rPr>
          <w:b/>
        </w:rPr>
        <w:instrText>-</w:instrText>
      </w:r>
      <w:r w:rsidRPr="000322E4">
        <w:rPr>
          <w:b/>
          <w:lang w:val="en-US"/>
        </w:rPr>
        <w:instrText>particle</w:instrText>
      </w:r>
      <w:r w:rsidRPr="006371BE">
        <w:rPr>
          <w:b/>
        </w:rPr>
        <w:instrText>":"","</w:instrText>
      </w:r>
      <w:r w:rsidRPr="000322E4">
        <w:rPr>
          <w:b/>
          <w:lang w:val="en-US"/>
        </w:rPr>
        <w:instrText>family</w:instrText>
      </w:r>
      <w:r w:rsidRPr="006371BE">
        <w:rPr>
          <w:b/>
        </w:rPr>
        <w:instrText>":"</w:instrText>
      </w:r>
      <w:r w:rsidRPr="000322E4">
        <w:rPr>
          <w:b/>
          <w:lang w:val="en-US"/>
        </w:rPr>
        <w:instrText>Cunnningham</w:instrText>
      </w:r>
      <w:r w:rsidRPr="006371BE">
        <w:rPr>
          <w:b/>
        </w:rPr>
        <w:instrText>","</w:instrText>
      </w:r>
      <w:r w:rsidRPr="000322E4">
        <w:rPr>
          <w:b/>
          <w:lang w:val="en-US"/>
        </w:rPr>
        <w:instrText>given</w:instrText>
      </w:r>
      <w:r w:rsidRPr="006371BE">
        <w:rPr>
          <w:b/>
        </w:rPr>
        <w:instrText>":"</w:instrText>
      </w:r>
      <w:r w:rsidRPr="000322E4">
        <w:rPr>
          <w:b/>
          <w:lang w:val="en-US"/>
        </w:rPr>
        <w:instrText>David</w:instrText>
      </w:r>
      <w:r w:rsidRPr="006371BE">
        <w:rPr>
          <w:b/>
        </w:rPr>
        <w:instrText>","</w:instrText>
      </w:r>
      <w:r w:rsidRPr="000322E4">
        <w:rPr>
          <w:b/>
          <w:lang w:val="en-US"/>
        </w:rPr>
        <w:instrText>non</w:instrText>
      </w:r>
      <w:r w:rsidRPr="006371BE">
        <w:rPr>
          <w:b/>
        </w:rPr>
        <w:instrText>-</w:instrText>
      </w:r>
      <w:r w:rsidRPr="000322E4">
        <w:rPr>
          <w:b/>
          <w:lang w:val="en-US"/>
        </w:rPr>
        <w:instrText>dropping</w:instrText>
      </w:r>
      <w:r w:rsidRPr="006371BE">
        <w:rPr>
          <w:b/>
        </w:rPr>
        <w:instrText>-</w:instrText>
      </w:r>
      <w:r w:rsidRPr="000322E4">
        <w:rPr>
          <w:b/>
          <w:lang w:val="en-US"/>
        </w:rPr>
        <w:instrText>particle</w:instrText>
      </w:r>
      <w:r w:rsidRPr="006371BE">
        <w:rPr>
          <w:b/>
        </w:rPr>
        <w:instrText>":"","</w:instrText>
      </w:r>
      <w:r w:rsidRPr="000322E4">
        <w:rPr>
          <w:b/>
          <w:lang w:val="en-US"/>
        </w:rPr>
        <w:instrText>parse</w:instrText>
      </w:r>
      <w:r w:rsidRPr="006371BE">
        <w:rPr>
          <w:b/>
        </w:rPr>
        <w:instrText>-</w:instrText>
      </w:r>
      <w:r w:rsidRPr="000322E4">
        <w:rPr>
          <w:b/>
          <w:lang w:val="en-US"/>
        </w:rPr>
        <w:instrText>names</w:instrText>
      </w:r>
      <w:r w:rsidRPr="006371BE">
        <w:rPr>
          <w:b/>
        </w:rPr>
        <w:instrText>":</w:instrText>
      </w:r>
      <w:r w:rsidRPr="000322E4">
        <w:rPr>
          <w:b/>
          <w:lang w:val="en-US"/>
        </w:rPr>
        <w:instrText>false</w:instrText>
      </w:r>
      <w:r w:rsidRPr="006371BE">
        <w:rPr>
          <w:b/>
        </w:rPr>
        <w:instrText>,"</w:instrText>
      </w:r>
      <w:r w:rsidRPr="000322E4">
        <w:rPr>
          <w:b/>
          <w:lang w:val="en-US"/>
        </w:rPr>
        <w:instrText>suffix</w:instrText>
      </w:r>
      <w:r w:rsidRPr="006371BE">
        <w:rPr>
          <w:b/>
        </w:rPr>
        <w:instrText>":""}],"</w:instrText>
      </w:r>
      <w:r w:rsidRPr="000322E4">
        <w:rPr>
          <w:b/>
          <w:lang w:val="en-US"/>
        </w:rPr>
        <w:instrText>container</w:instrText>
      </w:r>
      <w:r w:rsidRPr="006371BE">
        <w:rPr>
          <w:b/>
        </w:rPr>
        <w:instrText>-</w:instrText>
      </w:r>
      <w:r w:rsidRPr="000322E4">
        <w:rPr>
          <w:b/>
          <w:lang w:val="en-US"/>
        </w:rPr>
        <w:instrText>title</w:instrText>
      </w:r>
      <w:r w:rsidRPr="006371BE">
        <w:rPr>
          <w:b/>
        </w:rPr>
        <w:instrText>":"</w:instrText>
      </w:r>
      <w:r w:rsidRPr="000322E4">
        <w:rPr>
          <w:b/>
          <w:lang w:val="en-US"/>
        </w:rPr>
        <w:instrText>Journal</w:instrText>
      </w:r>
      <w:r w:rsidRPr="006371BE">
        <w:rPr>
          <w:b/>
        </w:rPr>
        <w:instrText xml:space="preserve"> </w:instrText>
      </w:r>
      <w:r w:rsidRPr="000322E4">
        <w:rPr>
          <w:b/>
          <w:lang w:val="en-US"/>
        </w:rPr>
        <w:instrText>of</w:instrText>
      </w:r>
      <w:r w:rsidRPr="006371BE">
        <w:rPr>
          <w:b/>
        </w:rPr>
        <w:instrText xml:space="preserve"> </w:instrText>
      </w:r>
      <w:r w:rsidRPr="000322E4">
        <w:rPr>
          <w:b/>
          <w:lang w:val="en-US"/>
        </w:rPr>
        <w:instrText>Clinical</w:instrText>
      </w:r>
      <w:r w:rsidRPr="006371BE">
        <w:rPr>
          <w:b/>
        </w:rPr>
        <w:instrText xml:space="preserve"> </w:instrText>
      </w:r>
      <w:r w:rsidRPr="000322E4">
        <w:rPr>
          <w:b/>
          <w:lang w:val="en-US"/>
        </w:rPr>
        <w:instrText>Oncology</w:instrText>
      </w:r>
      <w:r w:rsidRPr="006371BE">
        <w:rPr>
          <w:b/>
        </w:rPr>
        <w:instrText>","</w:instrText>
      </w:r>
      <w:r w:rsidRPr="000322E4">
        <w:rPr>
          <w:b/>
          <w:lang w:val="en-US"/>
        </w:rPr>
        <w:instrText>id</w:instrText>
      </w:r>
      <w:r w:rsidRPr="006371BE">
        <w:rPr>
          <w:b/>
        </w:rPr>
        <w:instrText>":"</w:instrText>
      </w:r>
      <w:r w:rsidRPr="000322E4">
        <w:rPr>
          <w:b/>
          <w:lang w:val="en-US"/>
        </w:rPr>
        <w:instrText>ITEM</w:instrText>
      </w:r>
      <w:r w:rsidRPr="006371BE">
        <w:rPr>
          <w:b/>
        </w:rPr>
        <w:instrText>-1","</w:instrText>
      </w:r>
      <w:r w:rsidRPr="000322E4">
        <w:rPr>
          <w:b/>
          <w:lang w:val="en-US"/>
        </w:rPr>
        <w:instrText>issue</w:instrText>
      </w:r>
      <w:r w:rsidRPr="006371BE">
        <w:rPr>
          <w:b/>
        </w:rPr>
        <w:instrText>":"4","</w:instrText>
      </w:r>
      <w:r w:rsidRPr="000322E4">
        <w:rPr>
          <w:b/>
          <w:lang w:val="en-US"/>
        </w:rPr>
        <w:instrText>issued</w:instrText>
      </w:r>
      <w:r w:rsidRPr="006371BE">
        <w:rPr>
          <w:b/>
        </w:rPr>
        <w:instrText>":{"</w:instrText>
      </w:r>
      <w:r w:rsidRPr="000322E4">
        <w:rPr>
          <w:b/>
          <w:lang w:val="en-US"/>
        </w:rPr>
        <w:instrText>date</w:instrText>
      </w:r>
      <w:r w:rsidRPr="006371BE">
        <w:rPr>
          <w:b/>
        </w:rPr>
        <w:instrText>-</w:instrText>
      </w:r>
      <w:r w:rsidRPr="000322E4">
        <w:rPr>
          <w:b/>
          <w:lang w:val="en-US"/>
        </w:rPr>
        <w:instrText>parts</w:instrText>
      </w:r>
      <w:r w:rsidRPr="006371BE">
        <w:rPr>
          <w:b/>
        </w:rPr>
        <w:instrText>":[["2014","2","1"]]},"</w:instrText>
      </w:r>
      <w:r w:rsidRPr="000322E4">
        <w:rPr>
          <w:b/>
          <w:lang w:val="en-US"/>
        </w:rPr>
        <w:instrText>page</w:instrText>
      </w:r>
      <w:r w:rsidRPr="006371BE">
        <w:rPr>
          <w:b/>
        </w:rPr>
        <w:instrText>":"282-287","</w:instrText>
      </w:r>
      <w:r w:rsidRPr="000322E4">
        <w:rPr>
          <w:b/>
          <w:lang w:val="en-US"/>
        </w:rPr>
        <w:instrText>publisher</w:instrText>
      </w:r>
      <w:r w:rsidRPr="006371BE">
        <w:rPr>
          <w:b/>
        </w:rPr>
        <w:instrText>":"</w:instrText>
      </w:r>
      <w:r w:rsidRPr="000322E4">
        <w:rPr>
          <w:b/>
          <w:lang w:val="en-US"/>
        </w:rPr>
        <w:instrText>American</w:instrText>
      </w:r>
      <w:r w:rsidRPr="006371BE">
        <w:rPr>
          <w:b/>
        </w:rPr>
        <w:instrText xml:space="preserve"> </w:instrText>
      </w:r>
      <w:r w:rsidRPr="000322E4">
        <w:rPr>
          <w:b/>
          <w:lang w:val="en-US"/>
        </w:rPr>
        <w:instrText>Society</w:instrText>
      </w:r>
      <w:r w:rsidRPr="006371BE">
        <w:rPr>
          <w:b/>
        </w:rPr>
        <w:instrText xml:space="preserve"> </w:instrText>
      </w:r>
      <w:r w:rsidRPr="000322E4">
        <w:rPr>
          <w:b/>
          <w:lang w:val="en-US"/>
        </w:rPr>
        <w:instrText>of</w:instrText>
      </w:r>
      <w:r w:rsidRPr="006371BE">
        <w:rPr>
          <w:b/>
        </w:rPr>
        <w:instrText xml:space="preserve"> </w:instrText>
      </w:r>
      <w:r w:rsidRPr="000322E4">
        <w:rPr>
          <w:b/>
          <w:lang w:val="en-US"/>
        </w:rPr>
        <w:instrText>Clinical</w:instrText>
      </w:r>
      <w:r w:rsidRPr="006371BE">
        <w:rPr>
          <w:b/>
        </w:rPr>
        <w:instrText xml:space="preserve"> </w:instrText>
      </w:r>
      <w:r w:rsidRPr="000322E4">
        <w:rPr>
          <w:b/>
          <w:lang w:val="en-US"/>
        </w:rPr>
        <w:instrText>Oncology</w:instrText>
      </w:r>
      <w:r w:rsidRPr="006371BE">
        <w:rPr>
          <w:b/>
        </w:rPr>
        <w:instrText>","</w:instrText>
      </w:r>
      <w:r w:rsidRPr="000322E4">
        <w:rPr>
          <w:b/>
          <w:lang w:val="en-US"/>
        </w:rPr>
        <w:instrText>title</w:instrText>
      </w:r>
      <w:r w:rsidRPr="006371BE">
        <w:rPr>
          <w:b/>
        </w:rPr>
        <w:instrText>":"</w:instrText>
      </w:r>
      <w:r w:rsidRPr="000322E4">
        <w:rPr>
          <w:b/>
          <w:lang w:val="en-US"/>
        </w:rPr>
        <w:instrText>De</w:instrText>
      </w:r>
      <w:r w:rsidRPr="006371BE">
        <w:rPr>
          <w:b/>
        </w:rPr>
        <w:instrText xml:space="preserve"> </w:instrText>
      </w:r>
      <w:r w:rsidRPr="000322E4">
        <w:rPr>
          <w:b/>
          <w:lang w:val="en-US"/>
        </w:rPr>
        <w:instrText>novo</w:instrText>
      </w:r>
      <w:r w:rsidRPr="006371BE">
        <w:rPr>
          <w:b/>
        </w:rPr>
        <w:instrText xml:space="preserve"> </w:instrText>
      </w:r>
      <w:r w:rsidRPr="000322E4">
        <w:rPr>
          <w:b/>
          <w:lang w:val="en-US"/>
        </w:rPr>
        <w:instrText>treatment</w:instrText>
      </w:r>
      <w:r w:rsidRPr="006371BE">
        <w:rPr>
          <w:b/>
        </w:rPr>
        <w:instrText xml:space="preserve"> </w:instrText>
      </w:r>
      <w:r w:rsidRPr="000322E4">
        <w:rPr>
          <w:b/>
          <w:lang w:val="en-US"/>
        </w:rPr>
        <w:instrText>of</w:instrText>
      </w:r>
      <w:r w:rsidRPr="006371BE">
        <w:rPr>
          <w:b/>
        </w:rPr>
        <w:instrText xml:space="preserve"> </w:instrText>
      </w:r>
      <w:r w:rsidRPr="000322E4">
        <w:rPr>
          <w:b/>
          <w:lang w:val="en-US"/>
        </w:rPr>
        <w:instrText>diffuse</w:instrText>
      </w:r>
      <w:r w:rsidRPr="006371BE">
        <w:rPr>
          <w:b/>
        </w:rPr>
        <w:instrText xml:space="preserve"> </w:instrText>
      </w:r>
      <w:r w:rsidRPr="000322E4">
        <w:rPr>
          <w:b/>
          <w:lang w:val="en-US"/>
        </w:rPr>
        <w:instrText>large</w:instrText>
      </w:r>
      <w:r w:rsidRPr="006371BE">
        <w:rPr>
          <w:b/>
        </w:rPr>
        <w:instrText xml:space="preserve"> </w:instrText>
      </w:r>
      <w:r w:rsidRPr="000322E4">
        <w:rPr>
          <w:b/>
          <w:lang w:val="en-US"/>
        </w:rPr>
        <w:instrText>B</w:instrText>
      </w:r>
      <w:r w:rsidRPr="006371BE">
        <w:rPr>
          <w:b/>
        </w:rPr>
        <w:instrText>-</w:instrText>
      </w:r>
      <w:r w:rsidRPr="000322E4">
        <w:rPr>
          <w:b/>
          <w:lang w:val="en-US"/>
        </w:rPr>
        <w:instrText>cell</w:instrText>
      </w:r>
      <w:r w:rsidRPr="006371BE">
        <w:rPr>
          <w:b/>
        </w:rPr>
        <w:instrText xml:space="preserve"> </w:instrText>
      </w:r>
      <w:r w:rsidRPr="000322E4">
        <w:rPr>
          <w:b/>
          <w:lang w:val="en-US"/>
        </w:rPr>
        <w:instrText>lymphoma</w:instrText>
      </w:r>
      <w:r w:rsidRPr="006371BE">
        <w:rPr>
          <w:b/>
        </w:rPr>
        <w:instrText xml:space="preserve"> </w:instrText>
      </w:r>
      <w:r w:rsidRPr="000322E4">
        <w:rPr>
          <w:b/>
          <w:lang w:val="en-US"/>
        </w:rPr>
        <w:instrText>with</w:instrText>
      </w:r>
      <w:r w:rsidRPr="006371BE">
        <w:rPr>
          <w:b/>
        </w:rPr>
        <w:instrText xml:space="preserve"> </w:instrText>
      </w:r>
      <w:r w:rsidRPr="000322E4">
        <w:rPr>
          <w:b/>
          <w:lang w:val="en-US"/>
        </w:rPr>
        <w:instrText>rituximab</w:instrText>
      </w:r>
      <w:r w:rsidRPr="006371BE">
        <w:rPr>
          <w:b/>
        </w:rPr>
        <w:instrText xml:space="preserve">, </w:instrText>
      </w:r>
      <w:r w:rsidRPr="000322E4">
        <w:rPr>
          <w:b/>
          <w:lang w:val="en-US"/>
        </w:rPr>
        <w:instrText>cyclophosphamide</w:instrText>
      </w:r>
      <w:r w:rsidRPr="006371BE">
        <w:rPr>
          <w:b/>
        </w:rPr>
        <w:instrText xml:space="preserve">, </w:instrText>
      </w:r>
      <w:r w:rsidRPr="000322E4">
        <w:rPr>
          <w:b/>
          <w:lang w:val="en-US"/>
        </w:rPr>
        <w:instrText>vincristine</w:instrText>
      </w:r>
      <w:r w:rsidRPr="006371BE">
        <w:rPr>
          <w:b/>
        </w:rPr>
        <w:instrText xml:space="preserve">, </w:instrText>
      </w:r>
      <w:r w:rsidRPr="000322E4">
        <w:rPr>
          <w:b/>
          <w:lang w:val="en-US"/>
        </w:rPr>
        <w:instrText>gemcitabine</w:instrText>
      </w:r>
      <w:r w:rsidRPr="006371BE">
        <w:rPr>
          <w:b/>
        </w:rPr>
        <w:instrText xml:space="preserve">, </w:instrText>
      </w:r>
      <w:r w:rsidRPr="000322E4">
        <w:rPr>
          <w:b/>
          <w:lang w:val="en-US"/>
        </w:rPr>
        <w:instrText>and</w:instrText>
      </w:r>
      <w:r w:rsidRPr="006371BE">
        <w:rPr>
          <w:b/>
        </w:rPr>
        <w:instrText xml:space="preserve"> </w:instrText>
      </w:r>
      <w:r w:rsidRPr="000322E4">
        <w:rPr>
          <w:b/>
          <w:lang w:val="en-US"/>
        </w:rPr>
        <w:instrText>prednisolone</w:instrText>
      </w:r>
      <w:r w:rsidRPr="006371BE">
        <w:rPr>
          <w:b/>
        </w:rPr>
        <w:instrText xml:space="preserve"> </w:instrText>
      </w:r>
      <w:r w:rsidRPr="000322E4">
        <w:rPr>
          <w:b/>
          <w:lang w:val="en-US"/>
        </w:rPr>
        <w:instrText>in</w:instrText>
      </w:r>
      <w:r w:rsidRPr="006371BE">
        <w:rPr>
          <w:b/>
        </w:rPr>
        <w:instrText xml:space="preserve"> </w:instrText>
      </w:r>
      <w:r w:rsidRPr="000322E4">
        <w:rPr>
          <w:b/>
          <w:lang w:val="en-US"/>
        </w:rPr>
        <w:instrText>patients</w:instrText>
      </w:r>
      <w:r w:rsidRPr="006371BE">
        <w:rPr>
          <w:b/>
        </w:rPr>
        <w:instrText xml:space="preserve"> </w:instrText>
      </w:r>
      <w:r w:rsidRPr="000322E4">
        <w:rPr>
          <w:b/>
          <w:lang w:val="en-US"/>
        </w:rPr>
        <w:instrText>with</w:instrText>
      </w:r>
      <w:r w:rsidRPr="006371BE">
        <w:rPr>
          <w:b/>
        </w:rPr>
        <w:instrText xml:space="preserve"> </w:instrText>
      </w:r>
      <w:r w:rsidRPr="000322E4">
        <w:rPr>
          <w:b/>
          <w:lang w:val="en-US"/>
        </w:rPr>
        <w:instrText>cardiac</w:instrText>
      </w:r>
      <w:r w:rsidRPr="006371BE">
        <w:rPr>
          <w:b/>
        </w:rPr>
        <w:instrText xml:space="preserve"> </w:instrText>
      </w:r>
      <w:r w:rsidRPr="000322E4">
        <w:rPr>
          <w:b/>
          <w:lang w:val="en-US"/>
        </w:rPr>
        <w:instrText>comorbidity</w:instrText>
      </w:r>
      <w:r w:rsidRPr="006371BE">
        <w:rPr>
          <w:b/>
        </w:rPr>
        <w:instrText xml:space="preserve">: </w:instrText>
      </w:r>
      <w:r w:rsidRPr="000322E4">
        <w:rPr>
          <w:b/>
          <w:lang w:val="en-US"/>
        </w:rPr>
        <w:instrText>A</w:instrText>
      </w:r>
      <w:r w:rsidRPr="006371BE">
        <w:rPr>
          <w:b/>
        </w:rPr>
        <w:instrText xml:space="preserve"> </w:instrText>
      </w:r>
      <w:r w:rsidRPr="000322E4">
        <w:rPr>
          <w:b/>
          <w:lang w:val="en-US"/>
        </w:rPr>
        <w:instrText>United</w:instrText>
      </w:r>
      <w:r w:rsidRPr="006371BE">
        <w:rPr>
          <w:b/>
        </w:rPr>
        <w:instrText xml:space="preserve"> </w:instrText>
      </w:r>
      <w:r w:rsidRPr="000322E4">
        <w:rPr>
          <w:b/>
          <w:lang w:val="en-US"/>
        </w:rPr>
        <w:instrText>Kingdom</w:instrText>
      </w:r>
      <w:r w:rsidRPr="006371BE">
        <w:rPr>
          <w:b/>
        </w:rPr>
        <w:instrText xml:space="preserve"> </w:instrText>
      </w:r>
      <w:r w:rsidRPr="000322E4">
        <w:rPr>
          <w:b/>
          <w:lang w:val="en-US"/>
        </w:rPr>
        <w:instrText>National</w:instrText>
      </w:r>
      <w:r w:rsidRPr="006371BE">
        <w:rPr>
          <w:b/>
        </w:rPr>
        <w:instrText xml:space="preserve"> </w:instrText>
      </w:r>
      <w:r w:rsidRPr="000322E4">
        <w:rPr>
          <w:b/>
          <w:lang w:val="en-US"/>
        </w:rPr>
        <w:instrText>Cancer</w:instrText>
      </w:r>
      <w:r w:rsidRPr="006371BE">
        <w:rPr>
          <w:b/>
        </w:rPr>
        <w:instrText xml:space="preserve"> </w:instrText>
      </w:r>
      <w:r w:rsidRPr="000322E4">
        <w:rPr>
          <w:b/>
          <w:lang w:val="en-US"/>
        </w:rPr>
        <w:instrText>Research</w:instrText>
      </w:r>
      <w:r w:rsidRPr="006371BE">
        <w:rPr>
          <w:b/>
        </w:rPr>
        <w:instrText xml:space="preserve"> </w:instrText>
      </w:r>
      <w:r w:rsidRPr="000322E4">
        <w:rPr>
          <w:b/>
          <w:lang w:val="en-US"/>
        </w:rPr>
        <w:instrText>Institute</w:instrText>
      </w:r>
      <w:r w:rsidRPr="006371BE">
        <w:rPr>
          <w:b/>
        </w:rPr>
        <w:instrText xml:space="preserve"> </w:instrText>
      </w:r>
      <w:r w:rsidRPr="000322E4">
        <w:rPr>
          <w:b/>
          <w:lang w:val="en-US"/>
        </w:rPr>
        <w:instrText>trial</w:instrText>
      </w:r>
      <w:r w:rsidRPr="006371BE">
        <w:rPr>
          <w:b/>
        </w:rPr>
        <w:instrText>","</w:instrText>
      </w:r>
      <w:r w:rsidRPr="000322E4">
        <w:rPr>
          <w:b/>
          <w:lang w:val="en-US"/>
        </w:rPr>
        <w:instrText>type</w:instrText>
      </w:r>
      <w:r w:rsidRPr="006371BE">
        <w:rPr>
          <w:b/>
        </w:rPr>
        <w:instrText>":"</w:instrText>
      </w:r>
      <w:r w:rsidRPr="000322E4">
        <w:rPr>
          <w:b/>
          <w:lang w:val="en-US"/>
        </w:rPr>
        <w:instrText>article</w:instrText>
      </w:r>
      <w:r w:rsidRPr="006371BE">
        <w:rPr>
          <w:b/>
        </w:rPr>
        <w:instrText>-</w:instrText>
      </w:r>
      <w:r w:rsidRPr="000322E4">
        <w:rPr>
          <w:b/>
          <w:lang w:val="en-US"/>
        </w:rPr>
        <w:instrText>journal</w:instrText>
      </w:r>
      <w:r w:rsidRPr="006371BE">
        <w:rPr>
          <w:b/>
        </w:rPr>
        <w:instrText>","</w:instrText>
      </w:r>
      <w:r w:rsidRPr="000322E4">
        <w:rPr>
          <w:b/>
          <w:lang w:val="en-US"/>
        </w:rPr>
        <w:instrText>volume</w:instrText>
      </w:r>
      <w:r w:rsidRPr="006371BE">
        <w:rPr>
          <w:b/>
        </w:rPr>
        <w:instrText>":"32"},"</w:instrText>
      </w:r>
      <w:r w:rsidRPr="000322E4">
        <w:rPr>
          <w:b/>
          <w:lang w:val="en-US"/>
        </w:rPr>
        <w:instrText>uris</w:instrText>
      </w:r>
      <w:r w:rsidRPr="006371BE">
        <w:rPr>
          <w:b/>
        </w:rPr>
        <w:instrText>":["</w:instrText>
      </w:r>
      <w:r w:rsidRPr="000322E4">
        <w:rPr>
          <w:b/>
          <w:lang w:val="en-US"/>
        </w:rPr>
        <w:instrText>http</w:instrText>
      </w:r>
      <w:r w:rsidRPr="006371BE">
        <w:rPr>
          <w:b/>
        </w:rPr>
        <w:instrText>://</w:instrText>
      </w:r>
      <w:r w:rsidRPr="000322E4">
        <w:rPr>
          <w:b/>
          <w:lang w:val="en-US"/>
        </w:rPr>
        <w:instrText>www</w:instrText>
      </w:r>
      <w:r w:rsidRPr="006371BE">
        <w:rPr>
          <w:b/>
        </w:rPr>
        <w:instrText>.</w:instrText>
      </w:r>
      <w:r w:rsidRPr="000322E4">
        <w:rPr>
          <w:b/>
          <w:lang w:val="en-US"/>
        </w:rPr>
        <w:instrText>mendeley</w:instrText>
      </w:r>
      <w:r w:rsidRPr="006371BE">
        <w:rPr>
          <w:b/>
        </w:rPr>
        <w:instrText>.</w:instrText>
      </w:r>
      <w:r w:rsidRPr="000322E4">
        <w:rPr>
          <w:b/>
          <w:lang w:val="en-US"/>
        </w:rPr>
        <w:instrText>com</w:instrText>
      </w:r>
      <w:r w:rsidRPr="006371BE">
        <w:rPr>
          <w:b/>
        </w:rPr>
        <w:instrText>/</w:instrText>
      </w:r>
      <w:r w:rsidRPr="000322E4">
        <w:rPr>
          <w:b/>
          <w:lang w:val="en-US"/>
        </w:rPr>
        <w:instrText>documents</w:instrText>
      </w:r>
      <w:r w:rsidRPr="006371BE">
        <w:rPr>
          <w:b/>
        </w:rPr>
        <w:instrText>/?</w:instrText>
      </w:r>
      <w:r w:rsidRPr="000322E4">
        <w:rPr>
          <w:b/>
          <w:lang w:val="en-US"/>
        </w:rPr>
        <w:instrText>uuid</w:instrText>
      </w:r>
      <w:r w:rsidRPr="006371BE">
        <w:rPr>
          <w:b/>
        </w:rPr>
        <w:instrText>=0847902</w:instrText>
      </w:r>
      <w:r w:rsidRPr="000322E4">
        <w:rPr>
          <w:b/>
          <w:lang w:val="en-US"/>
        </w:rPr>
        <w:instrText>b</w:instrText>
      </w:r>
      <w:r w:rsidRPr="006371BE">
        <w:rPr>
          <w:b/>
        </w:rPr>
        <w:instrText>-64</w:instrText>
      </w:r>
      <w:r w:rsidRPr="000322E4">
        <w:rPr>
          <w:b/>
          <w:lang w:val="en-US"/>
        </w:rPr>
        <w:instrText>d</w:instrText>
      </w:r>
      <w:r w:rsidRPr="006371BE">
        <w:rPr>
          <w:b/>
        </w:rPr>
        <w:instrText>1-3</w:instrText>
      </w:r>
      <w:r w:rsidRPr="000322E4">
        <w:rPr>
          <w:b/>
          <w:lang w:val="en-US"/>
        </w:rPr>
        <w:instrText>c</w:instrText>
      </w:r>
      <w:r w:rsidRPr="006371BE">
        <w:rPr>
          <w:b/>
        </w:rPr>
        <w:instrText>94-</w:instrText>
      </w:r>
      <w:r w:rsidRPr="000322E4">
        <w:rPr>
          <w:b/>
          <w:lang w:val="en-US"/>
        </w:rPr>
        <w:instrText>b</w:instrText>
      </w:r>
      <w:r w:rsidRPr="006371BE">
        <w:rPr>
          <w:b/>
        </w:rPr>
        <w:instrText>0</w:instrText>
      </w:r>
      <w:r w:rsidRPr="000322E4">
        <w:rPr>
          <w:b/>
          <w:lang w:val="en-US"/>
        </w:rPr>
        <w:instrText>e</w:instrText>
      </w:r>
      <w:r w:rsidRPr="006371BE">
        <w:rPr>
          <w:b/>
        </w:rPr>
        <w:instrText>5-4</w:instrText>
      </w:r>
      <w:r w:rsidRPr="000322E4">
        <w:rPr>
          <w:b/>
          <w:lang w:val="en-US"/>
        </w:rPr>
        <w:instrText>eabd</w:instrText>
      </w:r>
      <w:r w:rsidRPr="006371BE">
        <w:rPr>
          <w:b/>
        </w:rPr>
        <w:instrText>02</w:instrText>
      </w:r>
      <w:r w:rsidRPr="000322E4">
        <w:rPr>
          <w:b/>
          <w:lang w:val="en-US"/>
        </w:rPr>
        <w:instrText>def</w:instrText>
      </w:r>
      <w:r w:rsidRPr="006371BE">
        <w:rPr>
          <w:b/>
        </w:rPr>
        <w:instrText>00"]}],"</w:instrText>
      </w:r>
      <w:r w:rsidRPr="000322E4">
        <w:rPr>
          <w:b/>
          <w:lang w:val="en-US"/>
        </w:rPr>
        <w:instrText>mendeley</w:instrText>
      </w:r>
      <w:r w:rsidRPr="006371BE">
        <w:rPr>
          <w:b/>
        </w:rPr>
        <w:instrText>":{"</w:instrText>
      </w:r>
      <w:r w:rsidRPr="000322E4">
        <w:rPr>
          <w:b/>
          <w:lang w:val="en-US"/>
        </w:rPr>
        <w:instrText>formattedCitation</w:instrText>
      </w:r>
      <w:r w:rsidRPr="006371BE">
        <w:rPr>
          <w:b/>
        </w:rPr>
        <w:instrText>":"[53]","</w:instrText>
      </w:r>
      <w:r w:rsidRPr="000322E4">
        <w:rPr>
          <w:b/>
          <w:lang w:val="en-US"/>
        </w:rPr>
        <w:instrText>plainTextFormattedCitation</w:instrText>
      </w:r>
      <w:r w:rsidRPr="006371BE">
        <w:rPr>
          <w:b/>
        </w:rPr>
        <w:instrText>":"[53]","</w:instrText>
      </w:r>
      <w:r w:rsidRPr="000322E4">
        <w:rPr>
          <w:b/>
          <w:lang w:val="en-US"/>
        </w:rPr>
        <w:instrText>previouslyFormattedCitation</w:instrText>
      </w:r>
      <w:r w:rsidRPr="006371BE">
        <w:rPr>
          <w:b/>
        </w:rPr>
        <w:instrText>":"[53]"},"</w:instrText>
      </w:r>
      <w:r w:rsidRPr="000322E4">
        <w:rPr>
          <w:b/>
          <w:lang w:val="en-US"/>
        </w:rPr>
        <w:instrText>properties</w:instrText>
      </w:r>
      <w:r w:rsidRPr="006371BE">
        <w:rPr>
          <w:b/>
        </w:rPr>
        <w:instrText>":{"</w:instrText>
      </w:r>
      <w:r w:rsidRPr="000322E4">
        <w:rPr>
          <w:b/>
          <w:lang w:val="en-US"/>
        </w:rPr>
        <w:instrText>noteIndex</w:instrText>
      </w:r>
      <w:r w:rsidRPr="006371BE">
        <w:rPr>
          <w:b/>
        </w:rPr>
        <w:instrText>":0},"</w:instrText>
      </w:r>
      <w:r w:rsidRPr="000322E4">
        <w:rPr>
          <w:b/>
          <w:lang w:val="en-US"/>
        </w:rPr>
        <w:instrText>schema</w:instrText>
      </w:r>
      <w:r w:rsidRPr="006371BE">
        <w:rPr>
          <w:b/>
        </w:rPr>
        <w:instrText>":"</w:instrText>
      </w:r>
      <w:r w:rsidRPr="000322E4">
        <w:rPr>
          <w:b/>
          <w:lang w:val="en-US"/>
        </w:rPr>
        <w:instrText>https</w:instrText>
      </w:r>
      <w:r w:rsidRPr="006371BE">
        <w:rPr>
          <w:b/>
        </w:rPr>
        <w:instrText>://</w:instrText>
      </w:r>
      <w:r w:rsidRPr="000322E4">
        <w:rPr>
          <w:b/>
          <w:lang w:val="en-US"/>
        </w:rPr>
        <w:instrText>github</w:instrText>
      </w:r>
      <w:r w:rsidRPr="006371BE">
        <w:rPr>
          <w:b/>
        </w:rPr>
        <w:instrText>.</w:instrText>
      </w:r>
      <w:r w:rsidRPr="000322E4">
        <w:rPr>
          <w:b/>
          <w:lang w:val="en-US"/>
        </w:rPr>
        <w:instrText>com</w:instrText>
      </w:r>
      <w:r w:rsidRPr="006371BE">
        <w:rPr>
          <w:b/>
        </w:rPr>
        <w:instrText>/</w:instrText>
      </w:r>
      <w:r w:rsidRPr="000322E4">
        <w:rPr>
          <w:b/>
          <w:lang w:val="en-US"/>
        </w:rPr>
        <w:instrText>citation</w:instrText>
      </w:r>
      <w:r w:rsidRPr="006371BE">
        <w:rPr>
          <w:b/>
        </w:rPr>
        <w:instrText>-</w:instrText>
      </w:r>
      <w:r w:rsidRPr="000322E4">
        <w:rPr>
          <w:b/>
          <w:lang w:val="en-US"/>
        </w:rPr>
        <w:instrText>style</w:instrText>
      </w:r>
      <w:r w:rsidRPr="006371BE">
        <w:rPr>
          <w:b/>
        </w:rPr>
        <w:instrText>-</w:instrText>
      </w:r>
      <w:r w:rsidRPr="000322E4">
        <w:rPr>
          <w:b/>
          <w:lang w:val="en-US"/>
        </w:rPr>
        <w:instrText>language</w:instrText>
      </w:r>
      <w:r w:rsidRPr="006371BE">
        <w:rPr>
          <w:b/>
        </w:rPr>
        <w:instrText>/</w:instrText>
      </w:r>
      <w:r w:rsidRPr="000322E4">
        <w:rPr>
          <w:b/>
          <w:lang w:val="en-US"/>
        </w:rPr>
        <w:instrText>schema</w:instrText>
      </w:r>
      <w:r w:rsidRPr="006371BE">
        <w:rPr>
          <w:b/>
        </w:rPr>
        <w:instrText>/</w:instrText>
      </w:r>
      <w:r w:rsidRPr="000322E4">
        <w:rPr>
          <w:b/>
          <w:lang w:val="en-US"/>
        </w:rPr>
        <w:instrText>raw</w:instrText>
      </w:r>
      <w:r w:rsidRPr="006371BE">
        <w:rPr>
          <w:b/>
        </w:rPr>
        <w:instrText>/</w:instrText>
      </w:r>
      <w:r w:rsidRPr="000322E4">
        <w:rPr>
          <w:b/>
          <w:lang w:val="en-US"/>
        </w:rPr>
        <w:instrText>master</w:instrText>
      </w:r>
      <w:r w:rsidRPr="006371BE">
        <w:rPr>
          <w:b/>
        </w:rPr>
        <w:instrText>/</w:instrText>
      </w:r>
      <w:r w:rsidRPr="000322E4">
        <w:rPr>
          <w:b/>
          <w:lang w:val="en-US"/>
        </w:rPr>
        <w:instrText>csl</w:instrText>
      </w:r>
      <w:r w:rsidRPr="006371BE">
        <w:rPr>
          <w:b/>
        </w:rPr>
        <w:instrText>-</w:instrText>
      </w:r>
      <w:r w:rsidRPr="000322E4">
        <w:rPr>
          <w:b/>
          <w:lang w:val="en-US"/>
        </w:rPr>
        <w:instrText>citation</w:instrText>
      </w:r>
      <w:r w:rsidRPr="006371BE">
        <w:rPr>
          <w:b/>
        </w:rPr>
        <w:instrText>.</w:instrText>
      </w:r>
      <w:r w:rsidRPr="000322E4">
        <w:rPr>
          <w:b/>
          <w:lang w:val="en-US"/>
        </w:rPr>
        <w:instrText>json</w:instrText>
      </w:r>
      <w:r w:rsidRPr="006371BE">
        <w:rPr>
          <w:b/>
        </w:rPr>
        <w:instrText>"}</w:instrText>
      </w:r>
      <w:r w:rsidRPr="000322E4">
        <w:rPr>
          <w:b/>
          <w:lang w:val="en-US"/>
        </w:rPr>
        <w:fldChar w:fldCharType="separate"/>
      </w:r>
      <w:r w:rsidRPr="006371BE">
        <w:rPr>
          <w:noProof/>
        </w:rPr>
        <w:t>[53]</w:t>
      </w:r>
      <w:r w:rsidRPr="000322E4">
        <w:rPr>
          <w:b/>
          <w:lang w:val="en-US"/>
        </w:rPr>
        <w:fldChar w:fldCharType="end"/>
      </w:r>
    </w:p>
    <w:p w14:paraId="56554210" w14:textId="77777777" w:rsidR="00666D68" w:rsidRPr="006371BE" w:rsidRDefault="00666D68" w:rsidP="008E3584">
      <w:pPr>
        <w:numPr>
          <w:ilvl w:val="0"/>
          <w:numId w:val="39"/>
        </w:numPr>
      </w:pPr>
      <w:r w:rsidRPr="000322E4">
        <w:t>Ритуксимаб</w:t>
      </w:r>
      <w:r w:rsidRPr="006371BE">
        <w:rPr>
          <w:bCs/>
        </w:rPr>
        <w:t>**</w:t>
      </w:r>
      <w:r w:rsidRPr="006371BE">
        <w:t xml:space="preserve"> </w:t>
      </w:r>
    </w:p>
    <w:p w14:paraId="1FD432C3" w14:textId="77777777" w:rsidR="00666D68" w:rsidRPr="006371BE" w:rsidRDefault="00666D68" w:rsidP="008E3584">
      <w:pPr>
        <w:numPr>
          <w:ilvl w:val="1"/>
          <w:numId w:val="39"/>
        </w:numPr>
      </w:pPr>
      <w:r w:rsidRPr="006371BE">
        <w:lastRenderedPageBreak/>
        <w:t xml:space="preserve">375 </w:t>
      </w:r>
      <w:r w:rsidRPr="000322E4">
        <w:t>мг</w:t>
      </w:r>
      <w:r w:rsidRPr="006371BE">
        <w:t>/</w:t>
      </w:r>
      <w:r w:rsidRPr="000322E4">
        <w:t>м</w:t>
      </w:r>
      <w:r w:rsidRPr="006371BE">
        <w:rPr>
          <w:vertAlign w:val="superscript"/>
        </w:rPr>
        <w:t>2</w:t>
      </w:r>
      <w:r w:rsidRPr="006371BE">
        <w:t xml:space="preserve"> </w:t>
      </w:r>
      <w:r w:rsidRPr="000322E4">
        <w:t>в</w:t>
      </w:r>
      <w:r w:rsidRPr="006371BE">
        <w:t>/</w:t>
      </w:r>
      <w:r w:rsidRPr="000322E4">
        <w:t>в</w:t>
      </w:r>
      <w:r w:rsidRPr="006371BE">
        <w:t xml:space="preserve"> </w:t>
      </w:r>
      <w:r w:rsidRPr="000322E4">
        <w:t>кап</w:t>
      </w:r>
      <w:r w:rsidRPr="006371BE">
        <w:t xml:space="preserve">., </w:t>
      </w:r>
      <w:r w:rsidRPr="000322E4">
        <w:t>день</w:t>
      </w:r>
      <w:r w:rsidRPr="006371BE">
        <w:t xml:space="preserve"> 0 </w:t>
      </w:r>
      <w:r w:rsidRPr="000322E4">
        <w:t>или</w:t>
      </w:r>
      <w:r w:rsidRPr="006371BE">
        <w:t xml:space="preserve"> 1 </w:t>
      </w:r>
      <w:r w:rsidRPr="000322E4">
        <w:t>все</w:t>
      </w:r>
      <w:r w:rsidRPr="006371BE">
        <w:t xml:space="preserve"> </w:t>
      </w:r>
      <w:r w:rsidRPr="000322E4">
        <w:t>циклы</w:t>
      </w:r>
      <w:r w:rsidRPr="006371BE">
        <w:t xml:space="preserve"> </w:t>
      </w:r>
      <w:r w:rsidRPr="000322E4">
        <w:t>курса</w:t>
      </w:r>
    </w:p>
    <w:p w14:paraId="2AAC193D" w14:textId="77777777" w:rsidR="00666D68" w:rsidRPr="006371BE" w:rsidRDefault="00666D68" w:rsidP="008E3584">
      <w:pPr>
        <w:ind w:left="1080" w:firstLine="336"/>
      </w:pPr>
      <w:r w:rsidRPr="000322E4">
        <w:t>или</w:t>
      </w:r>
    </w:p>
    <w:p w14:paraId="27510E0E" w14:textId="11D84E82" w:rsidR="00666D68" w:rsidRPr="000322E4" w:rsidRDefault="00666D68" w:rsidP="008E3584">
      <w:pPr>
        <w:numPr>
          <w:ilvl w:val="1"/>
          <w:numId w:val="39"/>
        </w:numPr>
      </w:pPr>
      <w:r w:rsidRPr="006C476A">
        <w:t xml:space="preserve">375 </w:t>
      </w:r>
      <w:r w:rsidRPr="000322E4">
        <w:t>мг</w:t>
      </w:r>
      <w:r w:rsidRPr="006C476A">
        <w:t>/</w:t>
      </w:r>
      <w:r w:rsidRPr="000322E4">
        <w:t>м</w:t>
      </w:r>
      <w:r w:rsidRPr="006C476A">
        <w:rPr>
          <w:vertAlign w:val="superscript"/>
        </w:rPr>
        <w:t>2</w:t>
      </w:r>
      <w:r w:rsidRPr="006C476A">
        <w:t xml:space="preserve"> </w:t>
      </w:r>
      <w:r w:rsidRPr="000322E4">
        <w:t>в</w:t>
      </w:r>
      <w:r w:rsidRPr="006C476A">
        <w:t>/</w:t>
      </w:r>
      <w:r w:rsidRPr="000322E4">
        <w:t>в</w:t>
      </w:r>
      <w:r w:rsidRPr="006C476A">
        <w:t xml:space="preserve"> </w:t>
      </w:r>
      <w:r w:rsidRPr="000322E4">
        <w:t>кап</w:t>
      </w:r>
      <w:r w:rsidRPr="006C476A">
        <w:t xml:space="preserve">. 1 </w:t>
      </w:r>
      <w:r w:rsidRPr="000322E4">
        <w:t xml:space="preserve">цикл, далее ритуксимаб 1400 мг п/к, день 0 или 1 </w:t>
      </w:r>
      <w:r w:rsidRPr="000322E4">
        <w:rPr>
          <w:lang w:val="en-US"/>
        </w:rPr>
        <w:fldChar w:fldCharType="begin" w:fldLock="1"/>
      </w:r>
      <w:r w:rsidR="00E974B2">
        <w:rPr>
          <w:lang w:val="en-US"/>
        </w:rPr>
        <w:instrText>ADDIN</w:instrText>
      </w:r>
      <w:r w:rsidR="00E974B2" w:rsidRPr="006C476A">
        <w:instrText xml:space="preserve"> </w:instrText>
      </w:r>
      <w:r w:rsidR="00E974B2">
        <w:rPr>
          <w:lang w:val="en-US"/>
        </w:rPr>
        <w:instrText>CSL</w:instrText>
      </w:r>
      <w:r w:rsidR="00E974B2" w:rsidRPr="006C476A">
        <w:instrText>_</w:instrText>
      </w:r>
      <w:r w:rsidR="00E974B2">
        <w:rPr>
          <w:lang w:val="en-US"/>
        </w:rPr>
        <w:instrText>CITATION</w:instrText>
      </w:r>
      <w:r w:rsidR="00E974B2" w:rsidRPr="006C476A">
        <w:instrText xml:space="preserve"> {"</w:instrText>
      </w:r>
      <w:r w:rsidR="00E974B2">
        <w:rPr>
          <w:lang w:val="en-US"/>
        </w:rPr>
        <w:instrText>citationItems</w:instrText>
      </w:r>
      <w:r w:rsidR="00E974B2" w:rsidRPr="006C476A">
        <w:instrText>":[{"</w:instrText>
      </w:r>
      <w:r w:rsidR="00E974B2">
        <w:rPr>
          <w:lang w:val="en-US"/>
        </w:rPr>
        <w:instrText>id</w:instrText>
      </w:r>
      <w:r w:rsidR="00E974B2" w:rsidRPr="006C476A">
        <w:instrText>":"</w:instrText>
      </w:r>
      <w:r w:rsidR="00E974B2">
        <w:rPr>
          <w:lang w:val="en-US"/>
        </w:rPr>
        <w:instrText>ITEM</w:instrText>
      </w:r>
      <w:r w:rsidR="00E974B2" w:rsidRPr="006C476A">
        <w:instrText>-1","</w:instrText>
      </w:r>
      <w:r w:rsidR="00E974B2">
        <w:rPr>
          <w:lang w:val="en-US"/>
        </w:rPr>
        <w:instrText>itemData</w:instrText>
      </w:r>
      <w:r w:rsidR="00E974B2" w:rsidRPr="006C476A">
        <w:instrText>":{"</w:instrText>
      </w:r>
      <w:r w:rsidR="00E974B2">
        <w:rPr>
          <w:lang w:val="en-US"/>
        </w:rPr>
        <w:instrText>ISSN</w:instrText>
      </w:r>
      <w:r w:rsidR="00E974B2" w:rsidRPr="006C476A">
        <w:instrText>":"2150-0878","</w:instrText>
      </w:r>
      <w:r w:rsidR="00E974B2">
        <w:rPr>
          <w:lang w:val="en-US"/>
        </w:rPr>
        <w:instrText>PMID</w:instrText>
      </w:r>
      <w:r w:rsidR="00E974B2" w:rsidRPr="006C476A">
        <w:instrText>":"31086689","</w:instrText>
      </w:r>
      <w:r w:rsidR="00E974B2">
        <w:rPr>
          <w:lang w:val="en-US"/>
        </w:rPr>
        <w:instrText>abstract</w:instrText>
      </w:r>
      <w:r w:rsidR="00E974B2" w:rsidRPr="006C476A">
        <w:instrText>":"</w:instrText>
      </w:r>
      <w:r w:rsidR="00E974B2">
        <w:rPr>
          <w:lang w:val="en-US"/>
        </w:rPr>
        <w:instrText>Rituximab</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hyaluronidase</w:instrText>
      </w:r>
      <w:r w:rsidR="00E974B2" w:rsidRPr="006C476A">
        <w:instrText xml:space="preserve"> </w:instrText>
      </w:r>
      <w:r w:rsidR="00E974B2">
        <w:rPr>
          <w:lang w:val="en-US"/>
        </w:rPr>
        <w:instrText>human</w:instrText>
      </w:r>
      <w:r w:rsidR="00E974B2" w:rsidRPr="006C476A">
        <w:instrText xml:space="preserve"> </w:instrText>
      </w:r>
      <w:r w:rsidR="00E974B2">
        <w:rPr>
          <w:lang w:val="en-US"/>
        </w:rPr>
        <w:instrText>is</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new</w:instrText>
      </w:r>
      <w:r w:rsidR="00E974B2" w:rsidRPr="006C476A">
        <w:instrText xml:space="preserve"> </w:instrText>
      </w:r>
      <w:r w:rsidR="00E974B2">
        <w:rPr>
          <w:lang w:val="en-US"/>
        </w:rPr>
        <w:instrText>subcutaneous</w:instrText>
      </w:r>
      <w:r w:rsidR="00E974B2" w:rsidRPr="006C476A">
        <w:instrText xml:space="preserve"> </w:instrText>
      </w:r>
      <w:r w:rsidR="00E974B2">
        <w:rPr>
          <w:lang w:val="en-US"/>
        </w:rPr>
        <w:instrText>formulation</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that</w:instrText>
      </w:r>
      <w:r w:rsidR="00E974B2" w:rsidRPr="006C476A">
        <w:instrText xml:space="preserve"> </w:instrText>
      </w:r>
      <w:r w:rsidR="00E974B2">
        <w:rPr>
          <w:lang w:val="en-US"/>
        </w:rPr>
        <w:instrText>was</w:instrText>
      </w:r>
      <w:r w:rsidR="00E974B2" w:rsidRPr="006C476A">
        <w:instrText xml:space="preserve"> </w:instrText>
      </w:r>
      <w:r w:rsidR="00E974B2">
        <w:rPr>
          <w:lang w:val="en-US"/>
        </w:rPr>
        <w:instrText>recently</w:instrText>
      </w:r>
      <w:r w:rsidR="00E974B2" w:rsidRPr="006C476A">
        <w:instrText xml:space="preserve"> </w:instrText>
      </w:r>
      <w:r w:rsidR="00E974B2">
        <w:rPr>
          <w:lang w:val="en-US"/>
        </w:rPr>
        <w:instrText>approved</w:instrText>
      </w:r>
      <w:r w:rsidR="00E974B2" w:rsidRPr="006C476A">
        <w:instrText xml:space="preserve"> </w:instrText>
      </w:r>
      <w:r w:rsidR="00E974B2">
        <w:rPr>
          <w:lang w:val="en-US"/>
        </w:rPr>
        <w:instrText>by</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US</w:instrText>
      </w:r>
      <w:r w:rsidR="00E974B2" w:rsidRPr="006C476A">
        <w:instrText xml:space="preserve"> </w:instrText>
      </w:r>
      <w:r w:rsidR="00E974B2">
        <w:rPr>
          <w:lang w:val="en-US"/>
        </w:rPr>
        <w:instrText>Food</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Drug</w:instrText>
      </w:r>
      <w:r w:rsidR="00E974B2" w:rsidRPr="006C476A">
        <w:instrText xml:space="preserve"> </w:instrText>
      </w:r>
      <w:r w:rsidR="00E974B2">
        <w:rPr>
          <w:lang w:val="en-US"/>
        </w:rPr>
        <w:instrText>Administration</w:instrText>
      </w:r>
      <w:r w:rsidR="00E974B2" w:rsidRPr="006C476A">
        <w:instrText xml:space="preserve"> </w:instrText>
      </w:r>
      <w:r w:rsidR="00E974B2">
        <w:rPr>
          <w:lang w:val="en-US"/>
        </w:rPr>
        <w:instrText>for</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treatment</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adults</w:instrText>
      </w:r>
      <w:r w:rsidR="00E974B2" w:rsidRPr="006C476A">
        <w:instrText xml:space="preserve"> </w:instrText>
      </w:r>
      <w:r w:rsidR="00E974B2">
        <w:rPr>
          <w:lang w:val="en-US"/>
        </w:rPr>
        <w:instrText>with</w:instrText>
      </w:r>
      <w:r w:rsidR="00E974B2" w:rsidRPr="006C476A">
        <w:instrText xml:space="preserve"> </w:instrText>
      </w:r>
      <w:r w:rsidR="00E974B2">
        <w:rPr>
          <w:lang w:val="en-US"/>
        </w:rPr>
        <w:instrText>follicular</w:instrText>
      </w:r>
      <w:r w:rsidR="00E974B2" w:rsidRPr="006C476A">
        <w:instrText xml:space="preserve"> </w:instrText>
      </w:r>
      <w:r w:rsidR="00E974B2">
        <w:rPr>
          <w:lang w:val="en-US"/>
        </w:rPr>
        <w:instrText>lymphoma</w:instrText>
      </w:r>
      <w:r w:rsidR="00E974B2" w:rsidRPr="006C476A">
        <w:instrText xml:space="preserve">, </w:instrText>
      </w:r>
      <w:r w:rsidR="00E974B2">
        <w:rPr>
          <w:lang w:val="en-US"/>
        </w:rPr>
        <w:instrText>diffuse</w:instrText>
      </w:r>
      <w:r w:rsidR="00E974B2" w:rsidRPr="006C476A">
        <w:instrText xml:space="preserve"> </w:instrText>
      </w:r>
      <w:r w:rsidR="00E974B2">
        <w:rPr>
          <w:lang w:val="en-US"/>
        </w:rPr>
        <w:instrText>large</w:instrText>
      </w:r>
      <w:r w:rsidR="00E974B2" w:rsidRPr="006C476A">
        <w:instrText xml:space="preserve"> </w:instrText>
      </w:r>
      <w:r w:rsidR="00E974B2">
        <w:rPr>
          <w:lang w:val="en-US"/>
        </w:rPr>
        <w:instrText>B</w:instrText>
      </w:r>
      <w:r w:rsidR="00E974B2" w:rsidRPr="006C476A">
        <w:instrText>-</w:instrText>
      </w:r>
      <w:r w:rsidR="00E974B2">
        <w:rPr>
          <w:lang w:val="en-US"/>
        </w:rPr>
        <w:instrText>cell</w:instrText>
      </w:r>
      <w:r w:rsidR="00E974B2" w:rsidRPr="006C476A">
        <w:instrText xml:space="preserve"> </w:instrText>
      </w:r>
      <w:r w:rsidR="00E974B2">
        <w:rPr>
          <w:lang w:val="en-US"/>
        </w:rPr>
        <w:instrText>lymphoma</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chronic</w:instrText>
      </w:r>
      <w:r w:rsidR="00E974B2" w:rsidRPr="006C476A">
        <w:instrText xml:space="preserve"> </w:instrText>
      </w:r>
      <w:r w:rsidR="00E974B2">
        <w:rPr>
          <w:lang w:val="en-US"/>
        </w:rPr>
        <w:instrText>lymphocytic</w:instrText>
      </w:r>
      <w:r w:rsidR="00E974B2" w:rsidRPr="006C476A">
        <w:instrText xml:space="preserve"> </w:instrText>
      </w:r>
      <w:r w:rsidR="00E974B2">
        <w:rPr>
          <w:lang w:val="en-US"/>
        </w:rPr>
        <w:instrText>leukemia</w:instrText>
      </w:r>
      <w:r w:rsidR="00E974B2" w:rsidRPr="006C476A">
        <w:instrText xml:space="preserve">. </w:instrText>
      </w:r>
      <w:r w:rsidR="00E974B2">
        <w:rPr>
          <w:lang w:val="en-US"/>
        </w:rPr>
        <w:instrText>With</w:instrText>
      </w:r>
      <w:r w:rsidR="00E974B2" w:rsidRPr="006C476A">
        <w:instrText xml:space="preserve"> </w:instrText>
      </w:r>
      <w:r w:rsidR="00E974B2">
        <w:rPr>
          <w:lang w:val="en-US"/>
        </w:rPr>
        <w:instrText>data</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support</w:instrText>
      </w:r>
      <w:r w:rsidR="00E974B2" w:rsidRPr="006C476A">
        <w:instrText xml:space="preserve"> </w:instrText>
      </w:r>
      <w:r w:rsidR="00E974B2">
        <w:rPr>
          <w:lang w:val="en-US"/>
        </w:rPr>
        <w:instrText>noninferior</w:instrText>
      </w:r>
      <w:r w:rsidR="00E974B2" w:rsidRPr="006C476A">
        <w:instrText xml:space="preserve"> </w:instrText>
      </w:r>
      <w:r w:rsidR="00E974B2">
        <w:rPr>
          <w:lang w:val="en-US"/>
        </w:rPr>
        <w:instrText>pharmacokinetics</w:instrText>
      </w:r>
      <w:r w:rsidR="00E974B2" w:rsidRPr="006C476A">
        <w:instrText xml:space="preserve">, </w:instrText>
      </w:r>
      <w:r w:rsidR="00E974B2">
        <w:rPr>
          <w:lang w:val="en-US"/>
        </w:rPr>
        <w:instrText>similar</w:instrText>
      </w:r>
      <w:r w:rsidR="00E974B2" w:rsidRPr="006C476A">
        <w:instrText xml:space="preserve"> </w:instrText>
      </w:r>
      <w:r w:rsidR="00E974B2">
        <w:rPr>
          <w:lang w:val="en-US"/>
        </w:rPr>
        <w:instrText>outcomes</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comparable</w:instrText>
      </w:r>
      <w:r w:rsidR="00E974B2" w:rsidRPr="006C476A">
        <w:instrText xml:space="preserve"> </w:instrText>
      </w:r>
      <w:r w:rsidR="00E974B2">
        <w:rPr>
          <w:lang w:val="en-US"/>
        </w:rPr>
        <w:instrText>adverse</w:instrText>
      </w:r>
      <w:r w:rsidR="00E974B2" w:rsidRPr="006C476A">
        <w:instrText xml:space="preserve"> </w:instrText>
      </w:r>
      <w:r w:rsidR="00E974B2">
        <w:rPr>
          <w:lang w:val="en-US"/>
        </w:rPr>
        <w:instrText>events</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hyaluronidase</w:instrText>
      </w:r>
      <w:r w:rsidR="00E974B2" w:rsidRPr="006C476A">
        <w:instrText xml:space="preserve"> </w:instrText>
      </w:r>
      <w:r w:rsidR="00E974B2">
        <w:rPr>
          <w:lang w:val="en-US"/>
        </w:rPr>
        <w:instrText>human</w:instrText>
      </w:r>
      <w:r w:rsidR="00E974B2" w:rsidRPr="006C476A">
        <w:instrText xml:space="preserve"> </w:instrText>
      </w:r>
      <w:r w:rsidR="00E974B2">
        <w:rPr>
          <w:lang w:val="en-US"/>
        </w:rPr>
        <w:instrText>may</w:instrText>
      </w:r>
      <w:r w:rsidR="00E974B2" w:rsidRPr="006C476A">
        <w:instrText xml:space="preserve"> </w:instrText>
      </w:r>
      <w:r w:rsidR="00E974B2">
        <w:rPr>
          <w:lang w:val="en-US"/>
        </w:rPr>
        <w:instrText>offer</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suitable</w:instrText>
      </w:r>
      <w:r w:rsidR="00E974B2" w:rsidRPr="006C476A">
        <w:instrText xml:space="preserve"> </w:instrText>
      </w:r>
      <w:r w:rsidR="00E974B2">
        <w:rPr>
          <w:lang w:val="en-US"/>
        </w:rPr>
        <w:instrText>alternative</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intravenous</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that</w:instrText>
      </w:r>
      <w:r w:rsidR="00E974B2" w:rsidRPr="006C476A">
        <w:instrText xml:space="preserve"> </w:instrText>
      </w:r>
      <w:r w:rsidR="00E974B2">
        <w:rPr>
          <w:lang w:val="en-US"/>
        </w:rPr>
        <w:instrText>could</w:instrText>
      </w:r>
      <w:r w:rsidR="00E974B2" w:rsidRPr="006C476A">
        <w:instrText xml:space="preserve"> </w:instrText>
      </w:r>
      <w:r w:rsidR="00E974B2">
        <w:rPr>
          <w:lang w:val="en-US"/>
        </w:rPr>
        <w:instrText>improve</w:instrText>
      </w:r>
      <w:r w:rsidR="00E974B2" w:rsidRPr="006C476A">
        <w:instrText xml:space="preserve"> </w:instrText>
      </w:r>
      <w:r w:rsidR="00E974B2">
        <w:rPr>
          <w:lang w:val="en-US"/>
        </w:rPr>
        <w:instrText>convenience</w:instrText>
      </w:r>
      <w:r w:rsidR="00E974B2" w:rsidRPr="006C476A">
        <w:instrText xml:space="preserve"> </w:instrText>
      </w:r>
      <w:r w:rsidR="00E974B2">
        <w:rPr>
          <w:lang w:val="en-US"/>
        </w:rPr>
        <w:instrText>for</w:instrText>
      </w:r>
      <w:r w:rsidR="00E974B2" w:rsidRPr="006C476A">
        <w:instrText xml:space="preserve"> </w:instrText>
      </w:r>
      <w:r w:rsidR="00E974B2">
        <w:rPr>
          <w:lang w:val="en-US"/>
        </w:rPr>
        <w:instrText>patients</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better</w:instrText>
      </w:r>
      <w:r w:rsidR="00E974B2" w:rsidRPr="006C476A">
        <w:instrText xml:space="preserve"> </w:instrText>
      </w:r>
      <w:r w:rsidR="00E974B2">
        <w:rPr>
          <w:lang w:val="en-US"/>
        </w:rPr>
        <w:instrText>utilize</w:instrText>
      </w:r>
      <w:r w:rsidR="00E974B2" w:rsidRPr="006C476A">
        <w:instrText xml:space="preserve"> </w:instrText>
      </w:r>
      <w:r w:rsidR="00E974B2">
        <w:rPr>
          <w:lang w:val="en-US"/>
        </w:rPr>
        <w:instrText>health</w:instrText>
      </w:r>
      <w:r w:rsidR="00E974B2" w:rsidRPr="006C476A">
        <w:instrText>-</w:instrText>
      </w:r>
      <w:r w:rsidR="00E974B2">
        <w:rPr>
          <w:lang w:val="en-US"/>
        </w:rPr>
        <w:instrText>care</w:instrText>
      </w:r>
      <w:r w:rsidR="00E974B2" w:rsidRPr="006C476A">
        <w:instrText xml:space="preserve"> </w:instrText>
      </w:r>
      <w:r w:rsidR="00E974B2">
        <w:rPr>
          <w:lang w:val="en-US"/>
        </w:rPr>
        <w:instrText>resources</w:instrText>
      </w:r>
      <w:r w:rsidR="00E974B2" w:rsidRPr="006C476A">
        <w:instrText>.","</w:instrText>
      </w:r>
      <w:r w:rsidR="00E974B2">
        <w:rPr>
          <w:lang w:val="en-US"/>
        </w:rPr>
        <w:instrText>author</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Yelvington</w:instrText>
      </w:r>
      <w:r w:rsidR="00E974B2" w:rsidRPr="006C476A">
        <w:instrText>","</w:instrText>
      </w:r>
      <w:r w:rsidR="00E974B2">
        <w:rPr>
          <w:lang w:val="en-US"/>
        </w:rPr>
        <w:instrText>given</w:instrText>
      </w:r>
      <w:r w:rsidR="00E974B2" w:rsidRPr="006C476A">
        <w:instrText>":"</w:instrText>
      </w:r>
      <w:r w:rsidR="00E974B2">
        <w:rPr>
          <w:lang w:val="en-US"/>
        </w:rPr>
        <w:instrText>Bradley</w:instrText>
      </w:r>
      <w:r w:rsidR="00E974B2" w:rsidRPr="006C476A">
        <w:instrText xml:space="preserve"> </w:instrText>
      </w:r>
      <w:r w:rsidR="00E974B2">
        <w:rPr>
          <w:lang w:val="en-US"/>
        </w:rPr>
        <w:instrText>J</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container</w:instrText>
      </w:r>
      <w:r w:rsidR="00E974B2" w:rsidRPr="006C476A">
        <w:instrText>-</w:instrText>
      </w:r>
      <w:r w:rsidR="00E974B2">
        <w:rPr>
          <w:lang w:val="en-US"/>
        </w:rPr>
        <w:instrText>title</w:instrText>
      </w:r>
      <w:r w:rsidR="00E974B2" w:rsidRPr="006C476A">
        <w:instrText>":"</w:instrText>
      </w:r>
      <w:r w:rsidR="00E974B2">
        <w:rPr>
          <w:lang w:val="en-US"/>
        </w:rPr>
        <w:instrText>Journal</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advanced</w:instrText>
      </w:r>
      <w:r w:rsidR="00E974B2" w:rsidRPr="006C476A">
        <w:instrText xml:space="preserve"> </w:instrText>
      </w:r>
      <w:r w:rsidR="00E974B2">
        <w:rPr>
          <w:lang w:val="en-US"/>
        </w:rPr>
        <w:instrText>practitioner</w:instrText>
      </w:r>
      <w:r w:rsidR="00E974B2" w:rsidRPr="006C476A">
        <w:instrText xml:space="preserve"> </w:instrText>
      </w:r>
      <w:r w:rsidR="00E974B2">
        <w:rPr>
          <w:lang w:val="en-US"/>
        </w:rPr>
        <w:instrText>in</w:instrText>
      </w:r>
      <w:r w:rsidR="00E974B2" w:rsidRPr="006C476A">
        <w:instrText xml:space="preserve"> </w:instrText>
      </w:r>
      <w:r w:rsidR="00E974B2">
        <w:rPr>
          <w:lang w:val="en-US"/>
        </w:rPr>
        <w:instrText>oncology</w:instrText>
      </w:r>
      <w:r w:rsidR="00E974B2" w:rsidRPr="006C476A">
        <w:instrText>","</w:instrText>
      </w:r>
      <w:r w:rsidR="00E974B2">
        <w:rPr>
          <w:lang w:val="en-US"/>
        </w:rPr>
        <w:instrText>id</w:instrText>
      </w:r>
      <w:r w:rsidR="00E974B2" w:rsidRPr="006C476A">
        <w:instrText>":"</w:instrText>
      </w:r>
      <w:r w:rsidR="00E974B2">
        <w:rPr>
          <w:lang w:val="en-US"/>
        </w:rPr>
        <w:instrText>ITEM</w:instrText>
      </w:r>
      <w:r w:rsidR="00E974B2" w:rsidRPr="006C476A">
        <w:instrText>-1","</w:instrText>
      </w:r>
      <w:r w:rsidR="00E974B2">
        <w:rPr>
          <w:lang w:val="en-US"/>
        </w:rPr>
        <w:instrText>issue</w:instrText>
      </w:r>
      <w:r w:rsidR="00E974B2" w:rsidRPr="006C476A">
        <w:instrText>":"5","</w:instrText>
      </w:r>
      <w:r w:rsidR="00E974B2">
        <w:rPr>
          <w:lang w:val="en-US"/>
        </w:rPr>
        <w:instrText>issued</w:instrText>
      </w:r>
      <w:r w:rsidR="00E974B2" w:rsidRPr="006C476A">
        <w:instrText>":{"</w:instrText>
      </w:r>
      <w:r w:rsidR="00E974B2">
        <w:rPr>
          <w:lang w:val="en-US"/>
        </w:rPr>
        <w:instrText>date</w:instrText>
      </w:r>
      <w:r w:rsidR="00E974B2" w:rsidRPr="006C476A">
        <w:instrText>-</w:instrText>
      </w:r>
      <w:r w:rsidR="00E974B2">
        <w:rPr>
          <w:lang w:val="en-US"/>
        </w:rPr>
        <w:instrText>parts</w:instrText>
      </w:r>
      <w:r w:rsidR="00E974B2" w:rsidRPr="006C476A">
        <w:instrText>":[["2018"]]},"</w:instrText>
      </w:r>
      <w:r w:rsidR="00E974B2">
        <w:rPr>
          <w:lang w:val="en-US"/>
        </w:rPr>
        <w:instrText>page</w:instrText>
      </w:r>
      <w:r w:rsidR="00E974B2" w:rsidRPr="006C476A">
        <w:instrText>":"530-534","</w:instrText>
      </w:r>
      <w:r w:rsidR="00E974B2">
        <w:rPr>
          <w:lang w:val="en-US"/>
        </w:rPr>
        <w:instrText>publisher</w:instrText>
      </w:r>
      <w:r w:rsidR="00E974B2" w:rsidRPr="006C476A">
        <w:instrText>":"</w:instrText>
      </w:r>
      <w:r w:rsidR="00E974B2">
        <w:rPr>
          <w:lang w:val="en-US"/>
        </w:rPr>
        <w:instrText>Harborside</w:instrText>
      </w:r>
      <w:r w:rsidR="00E974B2" w:rsidRPr="006C476A">
        <w:instrText xml:space="preserve"> </w:instrText>
      </w:r>
      <w:r w:rsidR="00E974B2">
        <w:rPr>
          <w:lang w:val="en-US"/>
        </w:rPr>
        <w:instrText>Press</w:instrText>
      </w:r>
      <w:r w:rsidR="00E974B2" w:rsidRPr="006C476A">
        <w:instrText>","</w:instrText>
      </w:r>
      <w:r w:rsidR="00E974B2">
        <w:rPr>
          <w:lang w:val="en-US"/>
        </w:rPr>
        <w:instrText>title</w:instrText>
      </w:r>
      <w:r w:rsidR="00E974B2" w:rsidRPr="006C476A">
        <w:instrText>":"</w:instrText>
      </w:r>
      <w:r w:rsidR="00E974B2">
        <w:rPr>
          <w:lang w:val="en-US"/>
        </w:rPr>
        <w:instrText>Subcutaneous</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in</w:instrText>
      </w:r>
      <w:r w:rsidR="00E974B2" w:rsidRPr="006C476A">
        <w:instrText xml:space="preserve"> </w:instrText>
      </w:r>
      <w:r w:rsidR="00E974B2">
        <w:rPr>
          <w:lang w:val="en-US"/>
        </w:rPr>
        <w:instrText>Follicular</w:instrText>
      </w:r>
      <w:r w:rsidR="00E974B2" w:rsidRPr="006C476A">
        <w:instrText xml:space="preserve"> </w:instrText>
      </w:r>
      <w:r w:rsidR="00E974B2">
        <w:rPr>
          <w:lang w:val="en-US"/>
        </w:rPr>
        <w:instrText>Lymphoma</w:instrText>
      </w:r>
      <w:r w:rsidR="00E974B2" w:rsidRPr="006C476A">
        <w:instrText xml:space="preserve">, </w:instrText>
      </w:r>
      <w:r w:rsidR="00E974B2">
        <w:rPr>
          <w:lang w:val="en-US"/>
        </w:rPr>
        <w:instrText>Chronic</w:instrText>
      </w:r>
      <w:r w:rsidR="00E974B2" w:rsidRPr="006C476A">
        <w:instrText xml:space="preserve"> </w:instrText>
      </w:r>
      <w:r w:rsidR="00E974B2">
        <w:rPr>
          <w:lang w:val="en-US"/>
        </w:rPr>
        <w:instrText>Lymphocytic</w:instrText>
      </w:r>
      <w:r w:rsidR="00E974B2" w:rsidRPr="006C476A">
        <w:instrText xml:space="preserve"> </w:instrText>
      </w:r>
      <w:r w:rsidR="00E974B2">
        <w:rPr>
          <w:lang w:val="en-US"/>
        </w:rPr>
        <w:instrText>Leukemia</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Diffuse</w:instrText>
      </w:r>
      <w:r w:rsidR="00E974B2" w:rsidRPr="006C476A">
        <w:instrText xml:space="preserve"> </w:instrText>
      </w:r>
      <w:r w:rsidR="00E974B2">
        <w:rPr>
          <w:lang w:val="en-US"/>
        </w:rPr>
        <w:instrText>Large</w:instrText>
      </w:r>
      <w:r w:rsidR="00E974B2" w:rsidRPr="006C476A">
        <w:instrText xml:space="preserve"> </w:instrText>
      </w:r>
      <w:r w:rsidR="00E974B2">
        <w:rPr>
          <w:lang w:val="en-US"/>
        </w:rPr>
        <w:instrText>B</w:instrText>
      </w:r>
      <w:r w:rsidR="00E974B2" w:rsidRPr="006C476A">
        <w:instrText>-</w:instrText>
      </w:r>
      <w:r w:rsidR="00E974B2">
        <w:rPr>
          <w:lang w:val="en-US"/>
        </w:rPr>
        <w:instrText>Cell</w:instrText>
      </w:r>
      <w:r w:rsidR="00E974B2" w:rsidRPr="006C476A">
        <w:instrText xml:space="preserve"> </w:instrText>
      </w:r>
      <w:r w:rsidR="00E974B2">
        <w:rPr>
          <w:lang w:val="en-US"/>
        </w:rPr>
        <w:instrText>Lymphoma</w:instrText>
      </w:r>
      <w:r w:rsidR="00E974B2" w:rsidRPr="006C476A">
        <w:instrText>.","</w:instrText>
      </w:r>
      <w:r w:rsidR="00E974B2">
        <w:rPr>
          <w:lang w:val="en-US"/>
        </w:rPr>
        <w:instrText>type</w:instrText>
      </w:r>
      <w:r w:rsidR="00E974B2" w:rsidRPr="006C476A">
        <w:instrText>":"</w:instrText>
      </w:r>
      <w:r w:rsidR="00E974B2">
        <w:rPr>
          <w:lang w:val="en-US"/>
        </w:rPr>
        <w:instrText>article</w:instrText>
      </w:r>
      <w:r w:rsidR="00E974B2" w:rsidRPr="006C476A">
        <w:instrText>-</w:instrText>
      </w:r>
      <w:r w:rsidR="00E974B2">
        <w:rPr>
          <w:lang w:val="en-US"/>
        </w:rPr>
        <w:instrText>journal</w:instrText>
      </w:r>
      <w:r w:rsidR="00E974B2" w:rsidRPr="006C476A">
        <w:instrText>","</w:instrText>
      </w:r>
      <w:r w:rsidR="00E974B2">
        <w:rPr>
          <w:lang w:val="en-US"/>
        </w:rPr>
        <w:instrText>volume</w:instrText>
      </w:r>
      <w:r w:rsidR="00E974B2" w:rsidRPr="006C476A">
        <w:instrText>":"9"},"</w:instrText>
      </w:r>
      <w:r w:rsidR="00E974B2">
        <w:rPr>
          <w:lang w:val="en-US"/>
        </w:rPr>
        <w:instrText>uris</w:instrText>
      </w:r>
      <w:r w:rsidR="00E974B2" w:rsidRPr="006C476A">
        <w:instrText>":["</w:instrText>
      </w:r>
      <w:r w:rsidR="00E974B2">
        <w:rPr>
          <w:lang w:val="en-US"/>
        </w:rPr>
        <w:instrText>http</w:instrText>
      </w:r>
      <w:r w:rsidR="00E974B2" w:rsidRPr="006C476A">
        <w:instrText>://</w:instrText>
      </w:r>
      <w:r w:rsidR="00E974B2">
        <w:rPr>
          <w:lang w:val="en-US"/>
        </w:rPr>
        <w:instrText>www</w:instrText>
      </w:r>
      <w:r w:rsidR="00E974B2" w:rsidRPr="006C476A">
        <w:instrText>.</w:instrText>
      </w:r>
      <w:r w:rsidR="00E974B2">
        <w:rPr>
          <w:lang w:val="en-US"/>
        </w:rPr>
        <w:instrText>mendeley</w:instrText>
      </w:r>
      <w:r w:rsidR="00E974B2" w:rsidRPr="006C476A">
        <w:instrText>.</w:instrText>
      </w:r>
      <w:r w:rsidR="00E974B2">
        <w:rPr>
          <w:lang w:val="en-US"/>
        </w:rPr>
        <w:instrText>com</w:instrText>
      </w:r>
      <w:r w:rsidR="00E974B2" w:rsidRPr="006C476A">
        <w:instrText>/</w:instrText>
      </w:r>
      <w:r w:rsidR="00E974B2">
        <w:rPr>
          <w:lang w:val="en-US"/>
        </w:rPr>
        <w:instrText>documents</w:instrText>
      </w:r>
      <w:r w:rsidR="00E974B2" w:rsidRPr="006C476A">
        <w:instrText>/?</w:instrText>
      </w:r>
      <w:r w:rsidR="00E974B2">
        <w:rPr>
          <w:lang w:val="en-US"/>
        </w:rPr>
        <w:instrText>uuid</w:instrText>
      </w:r>
      <w:r w:rsidR="00E974B2" w:rsidRPr="006C476A">
        <w:instrText>=</w:instrText>
      </w:r>
      <w:r w:rsidR="00E974B2">
        <w:rPr>
          <w:lang w:val="en-US"/>
        </w:rPr>
        <w:instrText>fbb</w:instrText>
      </w:r>
      <w:r w:rsidR="00E974B2" w:rsidRPr="006C476A">
        <w:instrText>0</w:instrText>
      </w:r>
      <w:r w:rsidR="00E974B2">
        <w:rPr>
          <w:lang w:val="en-US"/>
        </w:rPr>
        <w:instrText>b</w:instrText>
      </w:r>
      <w:r w:rsidR="00E974B2" w:rsidRPr="006C476A">
        <w:instrText>8</w:instrText>
      </w:r>
      <w:r w:rsidR="00E974B2">
        <w:rPr>
          <w:lang w:val="en-US"/>
        </w:rPr>
        <w:instrText>f</w:instrText>
      </w:r>
      <w:r w:rsidR="00E974B2" w:rsidRPr="006C476A">
        <w:instrText>4-6</w:instrText>
      </w:r>
      <w:r w:rsidR="00E974B2">
        <w:rPr>
          <w:lang w:val="en-US"/>
        </w:rPr>
        <w:instrText>b</w:instrText>
      </w:r>
      <w:r w:rsidR="00E974B2" w:rsidRPr="006C476A">
        <w:instrText>58-3</w:instrText>
      </w:r>
      <w:r w:rsidR="00E974B2">
        <w:rPr>
          <w:lang w:val="en-US"/>
        </w:rPr>
        <w:instrText>a</w:instrText>
      </w:r>
      <w:r w:rsidR="00E974B2" w:rsidRPr="006C476A">
        <w:instrText>10-</w:instrText>
      </w:r>
      <w:r w:rsidR="00E974B2">
        <w:rPr>
          <w:lang w:val="en-US"/>
        </w:rPr>
        <w:instrText>b</w:instrText>
      </w:r>
      <w:r w:rsidR="00E974B2" w:rsidRPr="006C476A">
        <w:instrText>7</w:instrText>
      </w:r>
      <w:r w:rsidR="00E974B2">
        <w:rPr>
          <w:lang w:val="en-US"/>
        </w:rPr>
        <w:instrText>d</w:instrText>
      </w:r>
      <w:r w:rsidR="00E974B2" w:rsidRPr="006C476A">
        <w:instrText>6-</w:instrText>
      </w:r>
      <w:r w:rsidR="00E974B2">
        <w:rPr>
          <w:lang w:val="en-US"/>
        </w:rPr>
        <w:instrText>af</w:instrText>
      </w:r>
      <w:r w:rsidR="00E974B2" w:rsidRPr="006C476A">
        <w:instrText>3854030</w:instrText>
      </w:r>
      <w:r w:rsidR="00E974B2">
        <w:rPr>
          <w:lang w:val="en-US"/>
        </w:rPr>
        <w:instrText>be</w:instrText>
      </w:r>
      <w:r w:rsidR="00E974B2" w:rsidRPr="006C476A">
        <w:instrText>8"]},{"</w:instrText>
      </w:r>
      <w:r w:rsidR="00E974B2">
        <w:rPr>
          <w:lang w:val="en-US"/>
        </w:rPr>
        <w:instrText>id</w:instrText>
      </w:r>
      <w:r w:rsidR="00E974B2" w:rsidRPr="006C476A">
        <w:instrText>":"</w:instrText>
      </w:r>
      <w:r w:rsidR="00E974B2">
        <w:rPr>
          <w:lang w:val="en-US"/>
        </w:rPr>
        <w:instrText>ITEM</w:instrText>
      </w:r>
      <w:r w:rsidR="00E974B2" w:rsidRPr="006C476A">
        <w:instrText>-2","</w:instrText>
      </w:r>
      <w:r w:rsidR="00E974B2">
        <w:rPr>
          <w:lang w:val="en-US"/>
        </w:rPr>
        <w:instrText>itemData</w:instrText>
      </w:r>
      <w:r w:rsidR="00E974B2" w:rsidRPr="006C476A">
        <w:instrText>":{"</w:instrText>
      </w:r>
      <w:r w:rsidR="00E974B2">
        <w:rPr>
          <w:lang w:val="en-US"/>
        </w:rPr>
        <w:instrText>DOI</w:instrText>
      </w:r>
      <w:r w:rsidR="00E974B2" w:rsidRPr="006C476A">
        <w:instrText>":"10.1007/</w:instrText>
      </w:r>
      <w:r w:rsidR="00E974B2">
        <w:rPr>
          <w:lang w:val="en-US"/>
        </w:rPr>
        <w:instrText>s</w:instrText>
      </w:r>
      <w:r w:rsidR="00E974B2" w:rsidRPr="006C476A">
        <w:instrText>12325-017-0610-</w:instrText>
      </w:r>
      <w:r w:rsidR="00E974B2">
        <w:rPr>
          <w:lang w:val="en-US"/>
        </w:rPr>
        <w:instrText>z</w:instrText>
      </w:r>
      <w:r w:rsidR="00E974B2" w:rsidRPr="006C476A">
        <w:instrText>","</w:instrText>
      </w:r>
      <w:r w:rsidR="00E974B2">
        <w:rPr>
          <w:lang w:val="en-US"/>
        </w:rPr>
        <w:instrText>ISSN</w:instrText>
      </w:r>
      <w:r w:rsidR="00E974B2" w:rsidRPr="006C476A">
        <w:instrText>":"18658652","</w:instrText>
      </w:r>
      <w:r w:rsidR="00E974B2">
        <w:rPr>
          <w:lang w:val="en-US"/>
        </w:rPr>
        <w:instrText>abstract</w:instrText>
      </w:r>
      <w:r w:rsidR="00E974B2" w:rsidRPr="006C476A">
        <w:instrText>":"</w:instrText>
      </w:r>
      <w:r w:rsidR="00E974B2">
        <w:rPr>
          <w:lang w:val="en-US"/>
        </w:rPr>
        <w:instrText>Abstract</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MabThera</w:instrText>
      </w:r>
      <w:r w:rsidR="00E974B2" w:rsidRPr="006C476A">
        <w:instrText>®/</w:instrText>
      </w:r>
      <w:r w:rsidR="00E974B2">
        <w:rPr>
          <w:lang w:val="en-US"/>
        </w:rPr>
        <w:instrText>Rituxan</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chimeric</w:instrText>
      </w:r>
      <w:r w:rsidR="00E974B2" w:rsidRPr="006C476A">
        <w:instrText xml:space="preserve"> </w:instrText>
      </w:r>
      <w:r w:rsidR="00E974B2">
        <w:rPr>
          <w:lang w:val="en-US"/>
        </w:rPr>
        <w:instrText>murine</w:instrText>
      </w:r>
      <w:r w:rsidR="00E974B2" w:rsidRPr="006C476A">
        <w:instrText>/</w:instrText>
      </w:r>
      <w:r w:rsidR="00E974B2">
        <w:rPr>
          <w:lang w:val="en-US"/>
        </w:rPr>
        <w:instrText>human</w:instrText>
      </w:r>
      <w:r w:rsidR="00E974B2" w:rsidRPr="006C476A">
        <w:instrText xml:space="preserve"> </w:instrText>
      </w:r>
      <w:r w:rsidR="00E974B2">
        <w:rPr>
          <w:lang w:val="en-US"/>
        </w:rPr>
        <w:instrText>monoclonal</w:instrText>
      </w:r>
      <w:r w:rsidR="00E974B2" w:rsidRPr="006C476A">
        <w:instrText xml:space="preserve"> </w:instrText>
      </w:r>
      <w:r w:rsidR="00E974B2">
        <w:rPr>
          <w:lang w:val="en-US"/>
        </w:rPr>
        <w:instrText>antibody</w:instrText>
      </w:r>
      <w:r w:rsidR="00E974B2" w:rsidRPr="006C476A">
        <w:instrText xml:space="preserve"> </w:instrText>
      </w:r>
      <w:r w:rsidR="00E974B2">
        <w:rPr>
          <w:lang w:val="en-US"/>
        </w:rPr>
        <w:instrText>that</w:instrText>
      </w:r>
      <w:r w:rsidR="00E974B2" w:rsidRPr="006C476A">
        <w:instrText xml:space="preserve"> </w:instrText>
      </w:r>
      <w:r w:rsidR="00E974B2">
        <w:rPr>
          <w:lang w:val="en-US"/>
        </w:rPr>
        <w:instrText>binds</w:instrText>
      </w:r>
      <w:r w:rsidR="00E974B2" w:rsidRPr="006C476A">
        <w:instrText xml:space="preserve"> </w:instrText>
      </w:r>
      <w:r w:rsidR="00E974B2">
        <w:rPr>
          <w:lang w:val="en-US"/>
        </w:rPr>
        <w:instrText>specifically</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transmembrane</w:instrText>
      </w:r>
      <w:r w:rsidR="00E974B2" w:rsidRPr="006C476A">
        <w:instrText xml:space="preserve"> </w:instrText>
      </w:r>
      <w:r w:rsidR="00E974B2">
        <w:rPr>
          <w:lang w:val="en-US"/>
        </w:rPr>
        <w:instrText>antigen</w:instrText>
      </w:r>
      <w:r w:rsidR="00E974B2" w:rsidRPr="006C476A">
        <w:instrText xml:space="preserve"> </w:instrText>
      </w:r>
      <w:r w:rsidR="00E974B2">
        <w:rPr>
          <w:lang w:val="en-US"/>
        </w:rPr>
        <w:instrText>CD</w:instrText>
      </w:r>
      <w:r w:rsidR="00E974B2" w:rsidRPr="006C476A">
        <w:instrText xml:space="preserve">20, </w:instrText>
      </w:r>
      <w:r w:rsidR="00E974B2">
        <w:rPr>
          <w:lang w:val="en-US"/>
        </w:rPr>
        <w:instrText>was</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first</w:instrText>
      </w:r>
      <w:r w:rsidR="00E974B2" w:rsidRPr="006C476A">
        <w:instrText xml:space="preserve"> </w:instrText>
      </w:r>
      <w:r w:rsidR="00E974B2">
        <w:rPr>
          <w:lang w:val="en-US"/>
        </w:rPr>
        <w:instrText>therapeutic</w:instrText>
      </w:r>
      <w:r w:rsidR="00E974B2" w:rsidRPr="006C476A">
        <w:instrText xml:space="preserve"> </w:instrText>
      </w:r>
      <w:r w:rsidR="00E974B2">
        <w:rPr>
          <w:lang w:val="en-US"/>
        </w:rPr>
        <w:instrText>antibody</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enter</w:instrText>
      </w:r>
      <w:r w:rsidR="00E974B2" w:rsidRPr="006C476A">
        <w:instrText xml:space="preserve"> </w:instrText>
      </w:r>
      <w:r w:rsidR="00E974B2">
        <w:rPr>
          <w:lang w:val="en-US"/>
        </w:rPr>
        <w:instrText>clinical</w:instrText>
      </w:r>
      <w:r w:rsidR="00E974B2" w:rsidRPr="006C476A">
        <w:instrText xml:space="preserve"> </w:instrText>
      </w:r>
      <w:r w:rsidR="00E974B2">
        <w:rPr>
          <w:lang w:val="en-US"/>
        </w:rPr>
        <w:instrText>practice</w:instrText>
      </w:r>
      <w:r w:rsidR="00E974B2" w:rsidRPr="006C476A">
        <w:instrText xml:space="preserve"> </w:instrText>
      </w:r>
      <w:r w:rsidR="00E974B2">
        <w:rPr>
          <w:lang w:val="en-US"/>
        </w:rPr>
        <w:instrText>for</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treatment</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cancer</w:instrText>
      </w:r>
      <w:r w:rsidR="00E974B2" w:rsidRPr="006C476A">
        <w:instrText xml:space="preserve">. </w:instrText>
      </w:r>
      <w:r w:rsidR="00E974B2">
        <w:rPr>
          <w:lang w:val="en-US"/>
        </w:rPr>
        <w:instrText>As</w:instrText>
      </w:r>
      <w:r w:rsidR="00E974B2" w:rsidRPr="006C476A">
        <w:instrText xml:space="preserve"> </w:instrText>
      </w:r>
      <w:r w:rsidR="00E974B2">
        <w:rPr>
          <w:lang w:val="en-US"/>
        </w:rPr>
        <w:instrText>monotherapy</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in</w:instrText>
      </w:r>
      <w:r w:rsidR="00E974B2" w:rsidRPr="006C476A">
        <w:instrText xml:space="preserve"> </w:instrText>
      </w:r>
      <w:r w:rsidR="00E974B2">
        <w:rPr>
          <w:lang w:val="en-US"/>
        </w:rPr>
        <w:instrText>combination</w:instrText>
      </w:r>
      <w:r w:rsidR="00E974B2" w:rsidRPr="006C476A">
        <w:instrText xml:space="preserve"> </w:instrText>
      </w:r>
      <w:r w:rsidR="00E974B2">
        <w:rPr>
          <w:lang w:val="en-US"/>
        </w:rPr>
        <w:instrText>with</w:instrText>
      </w:r>
      <w:r w:rsidR="00E974B2" w:rsidRPr="006C476A">
        <w:instrText xml:space="preserve"> </w:instrText>
      </w:r>
      <w:r w:rsidR="00E974B2">
        <w:rPr>
          <w:lang w:val="en-US"/>
        </w:rPr>
        <w:instrText>chemotherapy</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has</w:instrText>
      </w:r>
      <w:r w:rsidR="00E974B2" w:rsidRPr="006C476A">
        <w:instrText xml:space="preserve"> </w:instrText>
      </w:r>
      <w:r w:rsidR="00E974B2">
        <w:rPr>
          <w:lang w:val="en-US"/>
        </w:rPr>
        <w:instrText>been</w:instrText>
      </w:r>
      <w:r w:rsidR="00E974B2" w:rsidRPr="006C476A">
        <w:instrText xml:space="preserve"> </w:instrText>
      </w:r>
      <w:r w:rsidR="00E974B2">
        <w:rPr>
          <w:lang w:val="en-US"/>
        </w:rPr>
        <w:instrText>shown</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prolong</w:instrText>
      </w:r>
      <w:r w:rsidR="00E974B2" w:rsidRPr="006C476A">
        <w:instrText xml:space="preserve"> </w:instrText>
      </w:r>
      <w:r w:rsidR="00E974B2">
        <w:rPr>
          <w:lang w:val="en-US"/>
        </w:rPr>
        <w:instrText>progression</w:instrText>
      </w:r>
      <w:r w:rsidR="00E974B2" w:rsidRPr="006C476A">
        <w:instrText>-</w:instrText>
      </w:r>
      <w:r w:rsidR="00E974B2">
        <w:rPr>
          <w:lang w:val="en-US"/>
        </w:rPr>
        <w:instrText>free</w:instrText>
      </w:r>
      <w:r w:rsidR="00E974B2" w:rsidRPr="006C476A">
        <w:instrText xml:space="preserve"> </w:instrText>
      </w:r>
      <w:r w:rsidR="00E974B2">
        <w:rPr>
          <w:lang w:val="en-US"/>
        </w:rPr>
        <w:instrText>survival</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in</w:instrText>
      </w:r>
      <w:r w:rsidR="00E974B2" w:rsidRPr="006C476A">
        <w:instrText xml:space="preserve"> </w:instrText>
      </w:r>
      <w:r w:rsidR="00E974B2">
        <w:rPr>
          <w:lang w:val="en-US"/>
        </w:rPr>
        <w:instrText>some</w:instrText>
      </w:r>
      <w:r w:rsidR="00E974B2" w:rsidRPr="006C476A">
        <w:instrText xml:space="preserve"> </w:instrText>
      </w:r>
      <w:r w:rsidR="00E974B2">
        <w:rPr>
          <w:lang w:val="en-US"/>
        </w:rPr>
        <w:instrText>indications</w:instrText>
      </w:r>
      <w:r w:rsidR="00E974B2" w:rsidRPr="006C476A">
        <w:instrText xml:space="preserve"> </w:instrText>
      </w:r>
      <w:r w:rsidR="00E974B2">
        <w:rPr>
          <w:lang w:val="en-US"/>
        </w:rPr>
        <w:instrText>overall</w:instrText>
      </w:r>
      <w:r w:rsidR="00E974B2" w:rsidRPr="006C476A">
        <w:instrText xml:space="preserve"> </w:instrText>
      </w:r>
      <w:r w:rsidR="00E974B2">
        <w:rPr>
          <w:lang w:val="en-US"/>
        </w:rPr>
        <w:instrText>survival</w:instrText>
      </w:r>
      <w:r w:rsidR="00E974B2" w:rsidRPr="006C476A">
        <w:instrText xml:space="preserve">, </w:instrText>
      </w:r>
      <w:r w:rsidR="00E974B2">
        <w:rPr>
          <w:lang w:val="en-US"/>
        </w:rPr>
        <w:instrText>in</w:instrText>
      </w:r>
      <w:r w:rsidR="00E974B2" w:rsidRPr="006C476A">
        <w:instrText xml:space="preserve"> </w:instrText>
      </w:r>
      <w:r w:rsidR="00E974B2">
        <w:rPr>
          <w:lang w:val="en-US"/>
        </w:rPr>
        <w:instrText>patients</w:instrText>
      </w:r>
      <w:r w:rsidR="00E974B2" w:rsidRPr="006C476A">
        <w:instrText xml:space="preserve"> </w:instrText>
      </w:r>
      <w:r w:rsidR="00E974B2">
        <w:rPr>
          <w:lang w:val="en-US"/>
        </w:rPr>
        <w:instrText>with</w:instrText>
      </w:r>
      <w:r w:rsidR="00E974B2" w:rsidRPr="006C476A">
        <w:instrText xml:space="preserve"> </w:instrText>
      </w:r>
      <w:r w:rsidR="00E974B2">
        <w:rPr>
          <w:lang w:val="en-US"/>
        </w:rPr>
        <w:instrText>various</w:instrText>
      </w:r>
      <w:r w:rsidR="00E974B2" w:rsidRPr="006C476A">
        <w:instrText xml:space="preserve"> </w:instrText>
      </w:r>
      <w:r w:rsidR="00E974B2">
        <w:rPr>
          <w:lang w:val="en-US"/>
        </w:rPr>
        <w:instrText>B</w:instrText>
      </w:r>
      <w:r w:rsidR="00E974B2" w:rsidRPr="006C476A">
        <w:instrText>-</w:instrText>
      </w:r>
      <w:r w:rsidR="00E974B2">
        <w:rPr>
          <w:lang w:val="en-US"/>
        </w:rPr>
        <w:instrText>cell</w:instrText>
      </w:r>
      <w:r w:rsidR="00E974B2" w:rsidRPr="006C476A">
        <w:instrText xml:space="preserve"> </w:instrText>
      </w:r>
      <w:r w:rsidR="00E974B2">
        <w:rPr>
          <w:lang w:val="en-US"/>
        </w:rPr>
        <w:instrText>malignancies</w:instrText>
      </w:r>
      <w:r w:rsidR="00E974B2" w:rsidRPr="006C476A">
        <w:instrText xml:space="preserve">, </w:instrText>
      </w:r>
      <w:r w:rsidR="00E974B2">
        <w:rPr>
          <w:lang w:val="en-US"/>
        </w:rPr>
        <w:instrText>while</w:instrText>
      </w:r>
      <w:r w:rsidR="00E974B2" w:rsidRPr="006C476A">
        <w:instrText xml:space="preserve"> </w:instrText>
      </w:r>
      <w:r w:rsidR="00E974B2">
        <w:rPr>
          <w:lang w:val="en-US"/>
        </w:rPr>
        <w:instrText>having</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well</w:instrText>
      </w:r>
      <w:r w:rsidR="00E974B2" w:rsidRPr="006C476A">
        <w:instrText>-</w:instrText>
      </w:r>
      <w:r w:rsidR="00E974B2">
        <w:rPr>
          <w:lang w:val="en-US"/>
        </w:rPr>
        <w:instrText>established</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manageable</w:instrText>
      </w:r>
      <w:r w:rsidR="00E974B2" w:rsidRPr="006C476A">
        <w:instrText xml:space="preserve"> </w:instrText>
      </w:r>
      <w:r w:rsidR="00E974B2">
        <w:rPr>
          <w:lang w:val="en-US"/>
        </w:rPr>
        <w:instrText>safety</w:instrText>
      </w:r>
      <w:r w:rsidR="00E974B2" w:rsidRPr="006C476A">
        <w:instrText xml:space="preserve"> </w:instrText>
      </w:r>
      <w:r w:rsidR="00E974B2">
        <w:rPr>
          <w:lang w:val="en-US"/>
        </w:rPr>
        <w:instrText>profile</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wide</w:instrText>
      </w:r>
      <w:r w:rsidR="00E974B2" w:rsidRPr="006C476A">
        <w:instrText xml:space="preserve"> </w:instrText>
      </w:r>
      <w:r w:rsidR="00E974B2">
        <w:rPr>
          <w:lang w:val="en-US"/>
        </w:rPr>
        <w:instrText>therapeutic</w:instrText>
      </w:r>
      <w:r w:rsidR="00E974B2" w:rsidRPr="006C476A">
        <w:instrText xml:space="preserve"> </w:instrText>
      </w:r>
      <w:r w:rsidR="00E974B2">
        <w:rPr>
          <w:lang w:val="en-US"/>
        </w:rPr>
        <w:instrText>window</w:instrText>
      </w:r>
      <w:r w:rsidR="00E974B2" w:rsidRPr="006C476A">
        <w:instrText xml:space="preserve">. </w:instrText>
      </w:r>
      <w:r w:rsidR="00E974B2">
        <w:rPr>
          <w:lang w:val="en-US"/>
        </w:rPr>
        <w:instrText>As</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result</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is</w:instrText>
      </w:r>
      <w:r w:rsidR="00E974B2" w:rsidRPr="006C476A">
        <w:instrText xml:space="preserve"> </w:instrText>
      </w:r>
      <w:r w:rsidR="00E974B2">
        <w:rPr>
          <w:lang w:val="en-US"/>
        </w:rPr>
        <w:instrText>considered</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have</w:instrText>
      </w:r>
      <w:r w:rsidR="00E974B2" w:rsidRPr="006C476A">
        <w:instrText xml:space="preserve"> </w:instrText>
      </w:r>
      <w:r w:rsidR="00E974B2">
        <w:rPr>
          <w:lang w:val="en-US"/>
        </w:rPr>
        <w:instrText>revolutionized</w:instrText>
      </w:r>
      <w:r w:rsidR="00E974B2" w:rsidRPr="006C476A">
        <w:instrText xml:space="preserve"> </w:instrText>
      </w:r>
      <w:r w:rsidR="00E974B2">
        <w:rPr>
          <w:lang w:val="en-US"/>
        </w:rPr>
        <w:instrText>treatment</w:instrText>
      </w:r>
      <w:r w:rsidR="00E974B2" w:rsidRPr="006C476A">
        <w:instrText xml:space="preserve"> </w:instrText>
      </w:r>
      <w:r w:rsidR="00E974B2">
        <w:rPr>
          <w:lang w:val="en-US"/>
        </w:rPr>
        <w:instrText>practices</w:instrText>
      </w:r>
      <w:r w:rsidR="00E974B2" w:rsidRPr="006C476A">
        <w:instrText xml:space="preserve"> </w:instrText>
      </w:r>
      <w:r w:rsidR="00E974B2">
        <w:rPr>
          <w:lang w:val="en-US"/>
        </w:rPr>
        <w:instrText>for</w:instrText>
      </w:r>
      <w:r w:rsidR="00E974B2" w:rsidRPr="006C476A">
        <w:instrText xml:space="preserve"> </w:instrText>
      </w:r>
      <w:r w:rsidR="00E974B2">
        <w:rPr>
          <w:lang w:val="en-US"/>
        </w:rPr>
        <w:instrText>patients</w:instrText>
      </w:r>
      <w:r w:rsidR="00E974B2" w:rsidRPr="006C476A">
        <w:instrText xml:space="preserve"> </w:instrText>
      </w:r>
      <w:r w:rsidR="00E974B2">
        <w:rPr>
          <w:lang w:val="en-US"/>
        </w:rPr>
        <w:instrText>with</w:instrText>
      </w:r>
      <w:r w:rsidR="00E974B2" w:rsidRPr="006C476A">
        <w:instrText xml:space="preserve"> </w:instrText>
      </w:r>
      <w:r w:rsidR="00E974B2">
        <w:rPr>
          <w:lang w:val="en-US"/>
        </w:rPr>
        <w:instrText>B</w:instrText>
      </w:r>
      <w:r w:rsidR="00E974B2" w:rsidRPr="006C476A">
        <w:instrText>-</w:instrText>
      </w:r>
      <w:r w:rsidR="00E974B2">
        <w:rPr>
          <w:lang w:val="en-US"/>
        </w:rPr>
        <w:instrText>cell</w:instrText>
      </w:r>
      <w:r w:rsidR="00E974B2" w:rsidRPr="006C476A">
        <w:instrText xml:space="preserve"> </w:instrText>
      </w:r>
      <w:r w:rsidR="00E974B2">
        <w:rPr>
          <w:lang w:val="en-US"/>
        </w:rPr>
        <w:instrText>malignancies</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subcutaneous</w:instrText>
      </w:r>
      <w:r w:rsidR="00E974B2" w:rsidRPr="006C476A">
        <w:instrText xml:space="preserve"> (</w:instrText>
      </w:r>
      <w:r w:rsidR="00E974B2">
        <w:rPr>
          <w:lang w:val="en-US"/>
        </w:rPr>
        <w:instrText>SC</w:instrText>
      </w:r>
      <w:r w:rsidR="00E974B2" w:rsidRPr="006C476A">
        <w:instrText xml:space="preserve">) </w:instrText>
      </w:r>
      <w:r w:rsidR="00E974B2">
        <w:rPr>
          <w:lang w:val="en-US"/>
        </w:rPr>
        <w:instrText>formulation</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has</w:instrText>
      </w:r>
      <w:r w:rsidR="00E974B2" w:rsidRPr="006C476A">
        <w:instrText xml:space="preserve"> </w:instrText>
      </w:r>
      <w:r w:rsidR="00E974B2">
        <w:rPr>
          <w:lang w:val="en-US"/>
        </w:rPr>
        <w:instrText>been</w:instrText>
      </w:r>
      <w:r w:rsidR="00E974B2" w:rsidRPr="006C476A">
        <w:instrText xml:space="preserve"> </w:instrText>
      </w:r>
      <w:r w:rsidR="00E974B2">
        <w:rPr>
          <w:lang w:val="en-US"/>
        </w:rPr>
        <w:instrText>developed</w:instrText>
      </w:r>
      <w:r w:rsidR="00E974B2" w:rsidRPr="006C476A">
        <w:instrText xml:space="preserve">, </w:instrText>
      </w:r>
      <w:r w:rsidR="00E974B2">
        <w:rPr>
          <w:lang w:val="en-US"/>
        </w:rPr>
        <w:instrText>comprising</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same</w:instrText>
      </w:r>
      <w:r w:rsidR="00E974B2" w:rsidRPr="006C476A">
        <w:instrText xml:space="preserve"> </w:instrText>
      </w:r>
      <w:r w:rsidR="00E974B2">
        <w:rPr>
          <w:lang w:val="en-US"/>
        </w:rPr>
        <w:instrText>monoclonal</w:instrText>
      </w:r>
      <w:r w:rsidR="00E974B2" w:rsidRPr="006C476A">
        <w:instrText xml:space="preserve"> </w:instrText>
      </w:r>
      <w:r w:rsidR="00E974B2">
        <w:rPr>
          <w:lang w:val="en-US"/>
        </w:rPr>
        <w:instrText>antibody</w:instrText>
      </w:r>
      <w:r w:rsidR="00E974B2" w:rsidRPr="006C476A">
        <w:instrText xml:space="preserve"> </w:instrText>
      </w:r>
      <w:r w:rsidR="00E974B2">
        <w:rPr>
          <w:lang w:val="en-US"/>
        </w:rPr>
        <w:instrText>as</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originally</w:instrText>
      </w:r>
      <w:r w:rsidR="00E974B2" w:rsidRPr="006C476A">
        <w:instrText xml:space="preserve"> </w:instrText>
      </w:r>
      <w:r w:rsidR="00E974B2">
        <w:rPr>
          <w:lang w:val="en-US"/>
        </w:rPr>
        <w:instrText>marketed</w:instrText>
      </w:r>
      <w:r w:rsidR="00E974B2" w:rsidRPr="006C476A">
        <w:instrText xml:space="preserve"> </w:instrText>
      </w:r>
      <w:r w:rsidR="00E974B2">
        <w:rPr>
          <w:lang w:val="en-US"/>
        </w:rPr>
        <w:instrText>formulation</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concentrate</w:instrText>
      </w:r>
      <w:r w:rsidR="00E974B2" w:rsidRPr="006C476A">
        <w:instrText xml:space="preserve"> </w:instrText>
      </w:r>
      <w:r w:rsidR="00E974B2">
        <w:rPr>
          <w:lang w:val="en-US"/>
        </w:rPr>
        <w:instrText>for</w:instrText>
      </w:r>
      <w:r w:rsidR="00E974B2" w:rsidRPr="006C476A">
        <w:instrText xml:space="preserve"> </w:instrText>
      </w:r>
      <w:r w:rsidR="00E974B2">
        <w:rPr>
          <w:lang w:val="en-US"/>
        </w:rPr>
        <w:instrText>solution</w:instrText>
      </w:r>
      <w:r w:rsidR="00E974B2" w:rsidRPr="006C476A">
        <w:instrText xml:space="preserve"> </w:instrText>
      </w:r>
      <w:r w:rsidR="00E974B2">
        <w:rPr>
          <w:lang w:val="en-US"/>
        </w:rPr>
        <w:instrText>for</w:instrText>
      </w:r>
      <w:r w:rsidR="00E974B2" w:rsidRPr="006C476A">
        <w:instrText xml:space="preserve"> </w:instrText>
      </w:r>
      <w:r w:rsidR="00E974B2">
        <w:rPr>
          <w:lang w:val="en-US"/>
        </w:rPr>
        <w:instrText>intravenous</w:instrText>
      </w:r>
      <w:r w:rsidR="00E974B2" w:rsidRPr="006C476A">
        <w:instrText xml:space="preserve"> (</w:instrText>
      </w:r>
      <w:r w:rsidR="00E974B2">
        <w:rPr>
          <w:lang w:val="en-US"/>
        </w:rPr>
        <w:instrText>IV</w:instrText>
      </w:r>
      <w:r w:rsidR="00E974B2" w:rsidRPr="006C476A">
        <w:instrText xml:space="preserve">) </w:instrText>
      </w:r>
      <w:r w:rsidR="00E974B2">
        <w:rPr>
          <w:lang w:val="en-US"/>
        </w:rPr>
        <w:instrText>infusion</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has</w:instrText>
      </w:r>
      <w:r w:rsidR="00E974B2" w:rsidRPr="006C476A">
        <w:instrText xml:space="preserve"> </w:instrText>
      </w:r>
      <w:r w:rsidR="00E974B2">
        <w:rPr>
          <w:lang w:val="en-US"/>
        </w:rPr>
        <w:instrText>undergone</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detailed</w:instrText>
      </w:r>
      <w:r w:rsidR="00E974B2" w:rsidRPr="006C476A">
        <w:instrText xml:space="preserve">, </w:instrText>
      </w:r>
      <w:r w:rsidR="00E974B2">
        <w:rPr>
          <w:lang w:val="en-US"/>
        </w:rPr>
        <w:instrText>sequential</w:instrText>
      </w:r>
      <w:r w:rsidR="00E974B2" w:rsidRPr="006C476A">
        <w:instrText xml:space="preserve"> </w:instrText>
      </w:r>
      <w:r w:rsidR="00E974B2">
        <w:rPr>
          <w:lang w:val="en-US"/>
        </w:rPr>
        <w:instrText>clinical</w:instrText>
      </w:r>
      <w:r w:rsidR="00E974B2" w:rsidRPr="006C476A">
        <w:instrText xml:space="preserve"> </w:instrText>
      </w:r>
      <w:r w:rsidR="00E974B2">
        <w:rPr>
          <w:lang w:val="en-US"/>
        </w:rPr>
        <w:instrText>development</w:instrText>
      </w:r>
      <w:r w:rsidR="00E974B2" w:rsidRPr="006C476A">
        <w:instrText xml:space="preserve"> </w:instrText>
      </w:r>
      <w:r w:rsidR="00E974B2">
        <w:rPr>
          <w:lang w:val="en-US"/>
        </w:rPr>
        <w:instrText>program</w:instrText>
      </w:r>
      <w:r w:rsidR="00E974B2" w:rsidRPr="006C476A">
        <w:instrText xml:space="preserve">. </w:instrText>
      </w:r>
      <w:r w:rsidR="00E974B2">
        <w:rPr>
          <w:lang w:val="en-US"/>
        </w:rPr>
        <w:instrText>This</w:instrText>
      </w:r>
      <w:r w:rsidR="00E974B2" w:rsidRPr="006C476A">
        <w:instrText xml:space="preserve"> </w:instrText>
      </w:r>
      <w:r w:rsidR="00E974B2">
        <w:rPr>
          <w:lang w:val="en-US"/>
        </w:rPr>
        <w:instrText>program</w:instrText>
      </w:r>
      <w:r w:rsidR="00E974B2" w:rsidRPr="006C476A">
        <w:instrText xml:space="preserve"> </w:instrText>
      </w:r>
      <w:r w:rsidR="00E974B2">
        <w:rPr>
          <w:lang w:val="en-US"/>
        </w:rPr>
        <w:instrText>demonstrated</w:instrText>
      </w:r>
      <w:r w:rsidR="00E974B2" w:rsidRPr="006C476A">
        <w:instrText xml:space="preserve"> </w:instrText>
      </w:r>
      <w:r w:rsidR="00E974B2">
        <w:rPr>
          <w:lang w:val="en-US"/>
        </w:rPr>
        <w:instrText>that</w:instrText>
      </w:r>
      <w:r w:rsidR="00E974B2" w:rsidRPr="006C476A">
        <w:instrText xml:space="preserve">, </w:instrText>
      </w:r>
      <w:r w:rsidR="00E974B2">
        <w:rPr>
          <w:lang w:val="en-US"/>
        </w:rPr>
        <w:instrText>at</w:instrText>
      </w:r>
      <w:r w:rsidR="00E974B2" w:rsidRPr="006C476A">
        <w:instrText xml:space="preserve"> </w:instrText>
      </w:r>
      <w:r w:rsidR="00E974B2">
        <w:rPr>
          <w:lang w:val="en-US"/>
        </w:rPr>
        <w:instrText>fixed</w:instrText>
      </w:r>
      <w:r w:rsidR="00E974B2" w:rsidRPr="006C476A">
        <w:instrText xml:space="preserve"> </w:instrText>
      </w:r>
      <w:r w:rsidR="00E974B2">
        <w:rPr>
          <w:lang w:val="en-US"/>
        </w:rPr>
        <w:instrText>doses</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SC</w:instrText>
      </w:r>
      <w:r w:rsidR="00E974B2" w:rsidRPr="006C476A">
        <w:instrText xml:space="preserve"> </w:instrText>
      </w:r>
      <w:r w:rsidR="00E974B2">
        <w:rPr>
          <w:lang w:val="en-US"/>
        </w:rPr>
        <w:instrText>achieves</w:instrText>
      </w:r>
      <w:r w:rsidR="00E974B2" w:rsidRPr="006C476A">
        <w:instrText xml:space="preserve"> </w:instrText>
      </w:r>
      <w:r w:rsidR="00E974B2">
        <w:rPr>
          <w:lang w:val="en-US"/>
        </w:rPr>
        <w:instrText>non</w:instrText>
      </w:r>
      <w:r w:rsidR="00E974B2" w:rsidRPr="006C476A">
        <w:instrText>-</w:instrText>
      </w:r>
      <w:r w:rsidR="00E974B2">
        <w:rPr>
          <w:lang w:val="en-US"/>
        </w:rPr>
        <w:instrText>inferior</w:instrText>
      </w:r>
      <w:r w:rsidR="00E974B2" w:rsidRPr="006C476A">
        <w:instrText xml:space="preserve"> </w:instrText>
      </w:r>
      <w:r w:rsidR="00E974B2">
        <w:rPr>
          <w:lang w:val="en-US"/>
        </w:rPr>
        <w:instrText>serum</w:instrText>
      </w:r>
      <w:r w:rsidR="00E974B2" w:rsidRPr="006C476A">
        <w:instrText xml:space="preserve"> </w:instrText>
      </w:r>
      <w:r w:rsidR="00E974B2">
        <w:rPr>
          <w:lang w:val="en-US"/>
        </w:rPr>
        <w:instrText>trough</w:instrText>
      </w:r>
      <w:r w:rsidR="00E974B2" w:rsidRPr="006C476A">
        <w:instrText xml:space="preserve"> </w:instrText>
      </w:r>
      <w:r w:rsidR="00E974B2">
        <w:rPr>
          <w:lang w:val="en-US"/>
        </w:rPr>
        <w:instrText>concentrations</w:instrText>
      </w:r>
      <w:r w:rsidR="00E974B2" w:rsidRPr="006C476A">
        <w:instrText xml:space="preserve"> </w:instrText>
      </w:r>
      <w:r w:rsidR="00E974B2">
        <w:rPr>
          <w:lang w:val="en-US"/>
        </w:rPr>
        <w:instrText>in</w:instrText>
      </w:r>
      <w:r w:rsidR="00E974B2" w:rsidRPr="006C476A">
        <w:instrText xml:space="preserve"> </w:instrText>
      </w:r>
      <w:r w:rsidR="00E974B2">
        <w:rPr>
          <w:lang w:val="en-US"/>
        </w:rPr>
        <w:instrText>patients</w:instrText>
      </w:r>
      <w:r w:rsidR="00E974B2" w:rsidRPr="006C476A">
        <w:instrText xml:space="preserve"> </w:instrText>
      </w:r>
      <w:r w:rsidR="00E974B2">
        <w:rPr>
          <w:lang w:val="en-US"/>
        </w:rPr>
        <w:instrText>with</w:instrText>
      </w:r>
      <w:r w:rsidR="00E974B2" w:rsidRPr="006C476A">
        <w:instrText xml:space="preserve"> </w:instrText>
      </w:r>
      <w:r w:rsidR="00E974B2">
        <w:rPr>
          <w:lang w:val="en-US"/>
        </w:rPr>
        <w:instrText>non</w:instrText>
      </w:r>
      <w:r w:rsidR="00E974B2" w:rsidRPr="006C476A">
        <w:instrText>-</w:instrText>
      </w:r>
      <w:r w:rsidR="00E974B2">
        <w:rPr>
          <w:lang w:val="en-US"/>
        </w:rPr>
        <w:instrText>Hodgkin</w:instrText>
      </w:r>
      <w:r w:rsidR="00E974B2" w:rsidRPr="006C476A">
        <w:instrText xml:space="preserve"> </w:instrText>
      </w:r>
      <w:r w:rsidR="00E974B2">
        <w:rPr>
          <w:lang w:val="en-US"/>
        </w:rPr>
        <w:instrText>lymphoma</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chronic</w:instrText>
      </w:r>
      <w:r w:rsidR="00E974B2" w:rsidRPr="006C476A">
        <w:instrText xml:space="preserve"> </w:instrText>
      </w:r>
      <w:r w:rsidR="00E974B2">
        <w:rPr>
          <w:lang w:val="en-US"/>
        </w:rPr>
        <w:instrText>lymphocytic</w:instrText>
      </w:r>
      <w:r w:rsidR="00E974B2" w:rsidRPr="006C476A">
        <w:instrText xml:space="preserve"> </w:instrText>
      </w:r>
      <w:r w:rsidR="00E974B2">
        <w:rPr>
          <w:lang w:val="en-US"/>
        </w:rPr>
        <w:instrText>leukemia</w:instrText>
      </w:r>
      <w:r w:rsidR="00E974B2" w:rsidRPr="006C476A">
        <w:instrText xml:space="preserve">, </w:instrText>
      </w:r>
      <w:r w:rsidR="00E974B2">
        <w:rPr>
          <w:lang w:val="en-US"/>
        </w:rPr>
        <w:instrText>with</w:instrText>
      </w:r>
      <w:r w:rsidR="00E974B2" w:rsidRPr="006C476A">
        <w:instrText xml:space="preserve"> </w:instrText>
      </w:r>
      <w:r w:rsidR="00E974B2">
        <w:rPr>
          <w:lang w:val="en-US"/>
        </w:rPr>
        <w:instrText>comparable</w:instrText>
      </w:r>
      <w:r w:rsidR="00E974B2" w:rsidRPr="006C476A">
        <w:instrText xml:space="preserve"> </w:instrText>
      </w:r>
      <w:r w:rsidR="00E974B2">
        <w:rPr>
          <w:lang w:val="en-US"/>
        </w:rPr>
        <w:instrText>efficacy</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safety</w:instrText>
      </w:r>
      <w:r w:rsidR="00E974B2" w:rsidRPr="006C476A">
        <w:instrText xml:space="preserve"> </w:instrText>
      </w:r>
      <w:r w:rsidR="00E974B2">
        <w:rPr>
          <w:lang w:val="en-US"/>
        </w:rPr>
        <w:instrText>relative</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IV</w:instrText>
      </w:r>
      <w:r w:rsidR="00E974B2" w:rsidRPr="006C476A">
        <w:instrText xml:space="preserve"> </w:instrText>
      </w:r>
      <w:r w:rsidR="00E974B2">
        <w:rPr>
          <w:lang w:val="en-US"/>
        </w:rPr>
        <w:instrText>formulation</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added</w:instrText>
      </w:r>
      <w:r w:rsidR="00E974B2" w:rsidRPr="006C476A">
        <w:instrText xml:space="preserve"> </w:instrText>
      </w:r>
      <w:r w:rsidR="00E974B2">
        <w:rPr>
          <w:lang w:val="en-US"/>
        </w:rPr>
        <w:instrText>benefit</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SC</w:instrText>
      </w:r>
      <w:r w:rsidR="00E974B2" w:rsidRPr="006C476A">
        <w:instrText xml:space="preserve"> </w:instrText>
      </w:r>
      <w:r w:rsidR="00E974B2">
        <w:rPr>
          <w:lang w:val="en-US"/>
        </w:rPr>
        <w:instrText>was</w:instrText>
      </w:r>
      <w:r w:rsidR="00E974B2" w:rsidRPr="006C476A">
        <w:instrText xml:space="preserve"> </w:instrText>
      </w:r>
      <w:r w:rsidR="00E974B2">
        <w:rPr>
          <w:lang w:val="en-US"/>
        </w:rPr>
        <w:instrText>demonstrated</w:instrText>
      </w:r>
      <w:r w:rsidR="00E974B2" w:rsidRPr="006C476A">
        <w:instrText xml:space="preserve"> </w:instrText>
      </w:r>
      <w:r w:rsidR="00E974B2">
        <w:rPr>
          <w:lang w:val="en-US"/>
        </w:rPr>
        <w:instrText>in</w:instrText>
      </w:r>
      <w:r w:rsidR="00E974B2" w:rsidRPr="006C476A">
        <w:instrText xml:space="preserve"> </w:instrText>
      </w:r>
      <w:r w:rsidR="00E974B2">
        <w:rPr>
          <w:lang w:val="en-US"/>
        </w:rPr>
        <w:instrText>dedicated</w:instrText>
      </w:r>
      <w:r w:rsidR="00E974B2" w:rsidRPr="006C476A">
        <w:instrText xml:space="preserve"> </w:instrText>
      </w:r>
      <w:r w:rsidR="00E974B2">
        <w:rPr>
          <w:lang w:val="en-US"/>
        </w:rPr>
        <w:instrText>studies</w:instrText>
      </w:r>
      <w:r w:rsidR="00E974B2" w:rsidRPr="006C476A">
        <w:instrText xml:space="preserve"> </w:instrText>
      </w:r>
      <w:r w:rsidR="00E974B2">
        <w:rPr>
          <w:lang w:val="en-US"/>
        </w:rPr>
        <w:instrText>showing</w:instrText>
      </w:r>
      <w:r w:rsidR="00E974B2" w:rsidRPr="006C476A">
        <w:instrText xml:space="preserve"> </w:instrText>
      </w:r>
      <w:r w:rsidR="00E974B2">
        <w:rPr>
          <w:lang w:val="en-US"/>
        </w:rPr>
        <w:instrText>that</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SC</w:instrText>
      </w:r>
      <w:r w:rsidR="00E974B2" w:rsidRPr="006C476A">
        <w:instrText xml:space="preserve"> </w:instrText>
      </w:r>
      <w:r w:rsidR="00E974B2">
        <w:rPr>
          <w:lang w:val="en-US"/>
        </w:rPr>
        <w:instrText>allows</w:instrText>
      </w:r>
      <w:r w:rsidR="00E974B2" w:rsidRPr="006C476A">
        <w:instrText xml:space="preserve"> </w:instrText>
      </w:r>
      <w:r w:rsidR="00E974B2">
        <w:rPr>
          <w:lang w:val="en-US"/>
        </w:rPr>
        <w:instrText>for</w:instrText>
      </w:r>
      <w:r w:rsidR="00E974B2" w:rsidRPr="006C476A">
        <w:instrText xml:space="preserve"> </w:instrText>
      </w:r>
      <w:r w:rsidR="00E974B2">
        <w:rPr>
          <w:lang w:val="en-US"/>
        </w:rPr>
        <w:instrText>simplified</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shortened</w:instrText>
      </w:r>
      <w:r w:rsidR="00E974B2" w:rsidRPr="006C476A">
        <w:instrText xml:space="preserve"> </w:instrText>
      </w:r>
      <w:r w:rsidR="00E974B2">
        <w:rPr>
          <w:lang w:val="en-US"/>
        </w:rPr>
        <w:instrText>drug</w:instrText>
      </w:r>
      <w:r w:rsidR="00E974B2" w:rsidRPr="006C476A">
        <w:instrText xml:space="preserve"> </w:instrText>
      </w:r>
      <w:r w:rsidR="00E974B2">
        <w:rPr>
          <w:lang w:val="en-US"/>
        </w:rPr>
        <w:instrText>preparation</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administration</w:instrText>
      </w:r>
      <w:r w:rsidR="00E974B2" w:rsidRPr="006C476A">
        <w:instrText xml:space="preserve"> </w:instrText>
      </w:r>
      <w:r w:rsidR="00E974B2">
        <w:rPr>
          <w:lang w:val="en-US"/>
        </w:rPr>
        <w:instrText>times</w:instrText>
      </w:r>
      <w:r w:rsidR="00E974B2" w:rsidRPr="006C476A">
        <w:instrText xml:space="preserve"> </w:instrText>
      </w:r>
      <w:r w:rsidR="00E974B2">
        <w:rPr>
          <w:lang w:val="en-US"/>
        </w:rPr>
        <w:instrText>resulting</w:instrText>
      </w:r>
      <w:r w:rsidR="00E974B2" w:rsidRPr="006C476A">
        <w:instrText xml:space="preserve"> </w:instrText>
      </w:r>
      <w:r w:rsidR="00E974B2">
        <w:rPr>
          <w:lang w:val="en-US"/>
        </w:rPr>
        <w:instrText>in</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reduced</w:instrText>
      </w:r>
      <w:r w:rsidR="00E974B2" w:rsidRPr="006C476A">
        <w:instrText xml:space="preserve"> </w:instrText>
      </w:r>
      <w:r w:rsidR="00E974B2">
        <w:rPr>
          <w:lang w:val="en-US"/>
        </w:rPr>
        <w:instrText>treatment</w:instrText>
      </w:r>
      <w:r w:rsidR="00E974B2" w:rsidRPr="006C476A">
        <w:instrText xml:space="preserve"> </w:instrText>
      </w:r>
      <w:r w:rsidR="00E974B2">
        <w:rPr>
          <w:lang w:val="en-US"/>
        </w:rPr>
        <w:instrText>burden</w:instrText>
      </w:r>
      <w:r w:rsidR="00E974B2" w:rsidRPr="006C476A">
        <w:instrText xml:space="preserve"> </w:instrText>
      </w:r>
      <w:r w:rsidR="00E974B2">
        <w:rPr>
          <w:lang w:val="en-US"/>
        </w:rPr>
        <w:instrText>for</w:instrText>
      </w:r>
      <w:r w:rsidR="00E974B2" w:rsidRPr="006C476A">
        <w:instrText xml:space="preserve"> </w:instrText>
      </w:r>
      <w:r w:rsidR="00E974B2">
        <w:rPr>
          <w:lang w:val="en-US"/>
        </w:rPr>
        <w:instrText>patients</w:instrText>
      </w:r>
      <w:r w:rsidR="00E974B2" w:rsidRPr="006C476A">
        <w:instrText xml:space="preserve"> </w:instrText>
      </w:r>
      <w:r w:rsidR="00E974B2">
        <w:rPr>
          <w:lang w:val="en-US"/>
        </w:rPr>
        <w:instrText>as</w:instrText>
      </w:r>
      <w:r w:rsidR="00E974B2" w:rsidRPr="006C476A">
        <w:instrText xml:space="preserve"> </w:instrText>
      </w:r>
      <w:r w:rsidR="00E974B2">
        <w:rPr>
          <w:lang w:val="en-US"/>
        </w:rPr>
        <w:instrText>well</w:instrText>
      </w:r>
      <w:r w:rsidR="00E974B2" w:rsidRPr="006C476A">
        <w:instrText xml:space="preserve"> </w:instrText>
      </w:r>
      <w:r w:rsidR="00E974B2">
        <w:rPr>
          <w:lang w:val="en-US"/>
        </w:rPr>
        <w:instrText>as</w:instrText>
      </w:r>
      <w:r w:rsidR="00E974B2" w:rsidRPr="006C476A">
        <w:instrText xml:space="preserve"> </w:instrText>
      </w:r>
      <w:r w:rsidR="00E974B2">
        <w:rPr>
          <w:lang w:val="en-US"/>
        </w:rPr>
        <w:instrText>improved</w:instrText>
      </w:r>
      <w:r w:rsidR="00E974B2" w:rsidRPr="006C476A">
        <w:instrText xml:space="preserve"> </w:instrText>
      </w:r>
      <w:r w:rsidR="00E974B2">
        <w:rPr>
          <w:lang w:val="en-US"/>
        </w:rPr>
        <w:instrText>resource</w:instrText>
      </w:r>
      <w:r w:rsidR="00E974B2" w:rsidRPr="006C476A">
        <w:instrText xml:space="preserve"> </w:instrText>
      </w:r>
      <w:r w:rsidR="00E974B2">
        <w:rPr>
          <w:lang w:val="en-US"/>
        </w:rPr>
        <w:instrText>utilization</w:instrText>
      </w:r>
      <w:r w:rsidR="00E974B2" w:rsidRPr="006C476A">
        <w:instrText xml:space="preserve"> (</w:instrText>
      </w:r>
      <w:r w:rsidR="00E974B2">
        <w:rPr>
          <w:lang w:val="en-US"/>
        </w:rPr>
        <w:instrText>efficiency</w:instrText>
      </w:r>
      <w:r w:rsidR="00E974B2" w:rsidRPr="006C476A">
        <w:instrText xml:space="preserve">) </w:instrText>
      </w:r>
      <w:r w:rsidR="00E974B2">
        <w:rPr>
          <w:lang w:val="en-US"/>
        </w:rPr>
        <w:instrText>at</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treatment</w:instrText>
      </w:r>
      <w:r w:rsidR="00E974B2" w:rsidRPr="006C476A">
        <w:instrText xml:space="preserve"> </w:instrText>
      </w:r>
      <w:r w:rsidR="00E974B2">
        <w:rPr>
          <w:lang w:val="en-US"/>
        </w:rPr>
        <w:instrText>facility</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improved</w:instrText>
      </w:r>
      <w:r w:rsidR="00E974B2" w:rsidRPr="006C476A">
        <w:instrText xml:space="preserve"> </w:instrText>
      </w:r>
      <w:r w:rsidR="00E974B2">
        <w:rPr>
          <w:lang w:val="en-US"/>
        </w:rPr>
        <w:instrText>efficiency</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delivering</w:instrText>
      </w:r>
      <w:r w:rsidR="00E974B2" w:rsidRPr="006C476A">
        <w:instrText xml:space="preserve"> </w:instrText>
      </w:r>
      <w:r w:rsidR="00E974B2">
        <w:rPr>
          <w:lang w:val="en-US"/>
        </w:rPr>
        <w:instrText>rituximab</w:instrText>
      </w:r>
      <w:r w:rsidR="00E974B2" w:rsidRPr="006C476A">
        <w:instrText>’</w:instrText>
      </w:r>
      <w:r w:rsidR="00E974B2">
        <w:rPr>
          <w:lang w:val="en-US"/>
        </w:rPr>
        <w:instrText>s</w:instrText>
      </w:r>
      <w:r w:rsidR="00E974B2" w:rsidRPr="006C476A">
        <w:instrText xml:space="preserve"> </w:instrText>
      </w:r>
      <w:r w:rsidR="00E974B2">
        <w:rPr>
          <w:lang w:val="en-US"/>
        </w:rPr>
        <w:instrText>benefit</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patients</w:instrText>
      </w:r>
      <w:r w:rsidR="00E974B2" w:rsidRPr="006C476A">
        <w:instrText xml:space="preserve"> </w:instrText>
      </w:r>
      <w:r w:rsidR="00E974B2">
        <w:rPr>
          <w:lang w:val="en-US"/>
        </w:rPr>
        <w:instrText>may</w:instrText>
      </w:r>
      <w:r w:rsidR="00E974B2" w:rsidRPr="006C476A">
        <w:instrText xml:space="preserve"> </w:instrText>
      </w:r>
      <w:r w:rsidR="00E974B2">
        <w:rPr>
          <w:lang w:val="en-US"/>
        </w:rPr>
        <w:instrText>broaden</w:instrText>
      </w:r>
      <w:r w:rsidR="00E974B2" w:rsidRPr="006C476A">
        <w:instrText xml:space="preserve"> </w:instrText>
      </w:r>
      <w:r w:rsidR="00E974B2">
        <w:rPr>
          <w:lang w:val="en-US"/>
        </w:rPr>
        <w:instrText>patient</w:instrText>
      </w:r>
      <w:r w:rsidR="00E974B2" w:rsidRPr="006C476A">
        <w:instrText xml:space="preserve"> </w:instrText>
      </w:r>
      <w:r w:rsidR="00E974B2">
        <w:rPr>
          <w:lang w:val="en-US"/>
        </w:rPr>
        <w:instrText>access</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therapy</w:instrText>
      </w:r>
      <w:r w:rsidR="00E974B2" w:rsidRPr="006C476A">
        <w:instrText xml:space="preserve"> </w:instrText>
      </w:r>
      <w:r w:rsidR="00E974B2">
        <w:rPr>
          <w:lang w:val="en-US"/>
        </w:rPr>
        <w:instrText>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w:instrText>
      </w:r>
      <w:r w:rsidR="00E974B2" w:rsidRPr="006C476A">
        <w:instrText xml:space="preserve">, </w:instrText>
      </w:r>
      <w:r w:rsidR="00E974B2">
        <w:rPr>
          <w:lang w:val="en-US"/>
        </w:rPr>
        <w:instrText>correct</w:instrText>
      </w:r>
      <w:r w:rsidR="00E974B2" w:rsidRPr="006C476A">
        <w:instrText xml:space="preserve"> </w:instrText>
      </w:r>
      <w:r w:rsidR="00E974B2">
        <w:rPr>
          <w:lang w:val="en-US"/>
        </w:rPr>
        <w:instrText>administration</w:instrText>
      </w:r>
      <w:r w:rsidR="00E974B2" w:rsidRPr="006C476A">
        <w:instrText xml:space="preserve"> </w:instrText>
      </w:r>
      <w:r w:rsidR="00E974B2">
        <w:rPr>
          <w:lang w:val="en-US"/>
        </w:rPr>
        <w:instrText>is</w:instrText>
      </w:r>
      <w:r w:rsidR="00E974B2" w:rsidRPr="006C476A">
        <w:instrText xml:space="preserve"> </w:instrText>
      </w:r>
      <w:r w:rsidR="00E974B2">
        <w:rPr>
          <w:lang w:val="en-US"/>
        </w:rPr>
        <w:instrText>needed</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reduce</w:instrText>
      </w:r>
      <w:r w:rsidR="00E974B2" w:rsidRPr="006C476A">
        <w:instrText xml:space="preserve"> </w:instrText>
      </w:r>
      <w:r w:rsidR="00E974B2">
        <w:rPr>
          <w:lang w:val="en-US"/>
        </w:rPr>
        <w:instrText>administration</w:instrText>
      </w:r>
      <w:r w:rsidR="00E974B2" w:rsidRPr="006C476A">
        <w:instrText>-</w:instrText>
      </w:r>
      <w:r w:rsidR="00E974B2">
        <w:rPr>
          <w:lang w:val="en-US"/>
        </w:rPr>
        <w:instrText>related</w:instrText>
      </w:r>
      <w:r w:rsidR="00E974B2" w:rsidRPr="006C476A">
        <w:instrText xml:space="preserve"> </w:instrText>
      </w:r>
      <w:r w:rsidR="00E974B2">
        <w:rPr>
          <w:lang w:val="en-US"/>
        </w:rPr>
        <w:instrText>reactions</w:instrText>
      </w:r>
      <w:r w:rsidR="00E974B2" w:rsidRPr="006C476A">
        <w:instrText xml:space="preserve">. </w:instrText>
      </w:r>
      <w:r w:rsidR="00E974B2">
        <w:rPr>
          <w:lang w:val="en-US"/>
        </w:rPr>
        <w:instrText>By</w:instrText>
      </w:r>
      <w:r w:rsidR="00E974B2" w:rsidRPr="006C476A">
        <w:instrText xml:space="preserve"> </w:instrText>
      </w:r>
      <w:r w:rsidR="00E974B2">
        <w:rPr>
          <w:lang w:val="en-US"/>
        </w:rPr>
        <w:instrText>using</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careful</w:instrText>
      </w:r>
      <w:r w:rsidR="00E974B2" w:rsidRPr="006C476A">
        <w:instrText xml:space="preserve"> </w:instrText>
      </w:r>
      <w:r w:rsidR="00E974B2">
        <w:rPr>
          <w:lang w:val="en-US"/>
        </w:rPr>
        <w:instrText>procedure</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sc</w:instrText>
      </w:r>
      <w:r w:rsidR="00E974B2" w:rsidRPr="006C476A">
        <w:instrText xml:space="preserve"> </w:instrText>
      </w:r>
      <w:r w:rsidR="00E974B2">
        <w:rPr>
          <w:lang w:val="en-US"/>
        </w:rPr>
        <w:instrText>formulation</w:instrText>
      </w:r>
      <w:r w:rsidR="00E974B2" w:rsidRPr="006C476A">
        <w:instrText xml:space="preserve"> </w:instrText>
      </w:r>
      <w:r w:rsidR="00E974B2">
        <w:rPr>
          <w:lang w:val="en-US"/>
        </w:rPr>
        <w:instrText>can</w:instrText>
      </w:r>
      <w:r w:rsidR="00E974B2" w:rsidRPr="006C476A">
        <w:instrText xml:space="preserve"> </w:instrText>
      </w:r>
      <w:r w:rsidR="00E974B2">
        <w:rPr>
          <w:lang w:val="en-US"/>
        </w:rPr>
        <w:instrText>be</w:instrText>
      </w:r>
      <w:r w:rsidR="00E974B2" w:rsidRPr="006C476A">
        <w:instrText xml:space="preserve"> </w:instrText>
      </w:r>
      <w:r w:rsidR="00E974B2">
        <w:rPr>
          <w:lang w:val="en-US"/>
        </w:rPr>
        <w:instrText>given</w:instrText>
      </w:r>
      <w:r w:rsidR="00E974B2" w:rsidRPr="006C476A">
        <w:instrText xml:space="preserve"> </w:instrText>
      </w:r>
      <w:r w:rsidR="00E974B2">
        <w:rPr>
          <w:lang w:val="en-US"/>
        </w:rPr>
        <w:instrText>safely</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effectively</w:instrText>
      </w:r>
      <w:r w:rsidR="00E974B2" w:rsidRPr="006C476A">
        <w:instrText xml:space="preserve">, </w:instrText>
      </w:r>
      <w:r w:rsidR="00E974B2">
        <w:rPr>
          <w:lang w:val="en-US"/>
        </w:rPr>
        <w:instrText>potentially</w:instrText>
      </w:r>
      <w:r w:rsidR="00E974B2" w:rsidRPr="006C476A">
        <w:instrText xml:space="preserve"> </w:instrText>
      </w:r>
      <w:r w:rsidR="00E974B2">
        <w:rPr>
          <w:lang w:val="en-US"/>
        </w:rPr>
        <w:instrText>reducing</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burden</w:instrText>
      </w:r>
      <w:r w:rsidR="00E974B2" w:rsidRPr="006C476A">
        <w:instrText xml:space="preserve"> </w:instrText>
      </w:r>
      <w:r w:rsidR="00E974B2">
        <w:rPr>
          <w:lang w:val="en-US"/>
        </w:rPr>
        <w:instrText>on</w:instrText>
      </w:r>
      <w:r w:rsidR="00E974B2" w:rsidRPr="006C476A">
        <w:instrText xml:space="preserve"> </w:instrText>
      </w:r>
      <w:r w:rsidR="00E974B2">
        <w:rPr>
          <w:lang w:val="en-US"/>
        </w:rPr>
        <w:instrText>health</w:instrText>
      </w:r>
      <w:r w:rsidR="00E974B2" w:rsidRPr="006C476A">
        <w:instrText xml:space="preserve"> </w:instrText>
      </w:r>
      <w:r w:rsidR="00E974B2">
        <w:rPr>
          <w:lang w:val="en-US"/>
        </w:rPr>
        <w:instrText>care</w:instrText>
      </w:r>
      <w:r w:rsidR="00E974B2" w:rsidRPr="006C476A">
        <w:instrText xml:space="preserve"> </w:instrText>
      </w:r>
      <w:r w:rsidR="00E974B2">
        <w:rPr>
          <w:lang w:val="en-US"/>
        </w:rPr>
        <w:instrText>resources</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improving</w:instrText>
      </w:r>
      <w:r w:rsidR="00E974B2" w:rsidRPr="006C476A">
        <w:instrText xml:space="preserve"> </w:instrText>
      </w:r>
      <w:r w:rsidR="00E974B2">
        <w:rPr>
          <w:lang w:val="en-US"/>
        </w:rPr>
        <w:instrText>quality</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life</w:instrText>
      </w:r>
      <w:r w:rsidR="00E974B2" w:rsidRPr="006C476A">
        <w:instrText xml:space="preserve"> </w:instrText>
      </w:r>
      <w:r w:rsidR="00E974B2">
        <w:rPr>
          <w:lang w:val="en-US"/>
        </w:rPr>
        <w:instrText>for</w:instrText>
      </w:r>
      <w:r w:rsidR="00E974B2" w:rsidRPr="006C476A">
        <w:instrText xml:space="preserve"> </w:instrText>
      </w:r>
      <w:r w:rsidR="00E974B2">
        <w:rPr>
          <w:lang w:val="en-US"/>
        </w:rPr>
        <w:instrText>patients</w:instrText>
      </w:r>
      <w:r w:rsidR="00E974B2" w:rsidRPr="006C476A">
        <w:instrText>.","</w:instrText>
      </w:r>
      <w:r w:rsidR="00E974B2">
        <w:rPr>
          <w:lang w:val="en-US"/>
        </w:rPr>
        <w:instrText>author</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Macdonald</w:instrText>
      </w:r>
      <w:r w:rsidR="00E974B2" w:rsidRPr="006C476A">
        <w:instrText>","</w:instrText>
      </w:r>
      <w:r w:rsidR="00E974B2">
        <w:rPr>
          <w:lang w:val="en-US"/>
        </w:rPr>
        <w:instrText>given</w:instrText>
      </w:r>
      <w:r w:rsidR="00E974B2" w:rsidRPr="006C476A">
        <w:instrText>":"</w:instrText>
      </w:r>
      <w:r w:rsidR="00E974B2">
        <w:rPr>
          <w:lang w:val="en-US"/>
        </w:rPr>
        <w:instrText>David</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Crosbie</w:instrText>
      </w:r>
      <w:r w:rsidR="00E974B2" w:rsidRPr="006C476A">
        <w:instrText>","</w:instrText>
      </w:r>
      <w:r w:rsidR="00E974B2">
        <w:rPr>
          <w:lang w:val="en-US"/>
        </w:rPr>
        <w:instrText>given</w:instrText>
      </w:r>
      <w:r w:rsidR="00E974B2" w:rsidRPr="006C476A">
        <w:instrText>":"</w:instrText>
      </w:r>
      <w:r w:rsidR="00E974B2">
        <w:rPr>
          <w:lang w:val="en-US"/>
        </w:rPr>
        <w:instrText>T</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Christofides</w:instrText>
      </w:r>
      <w:r w:rsidR="00E974B2" w:rsidRPr="006C476A">
        <w:instrText>","</w:instrText>
      </w:r>
      <w:r w:rsidR="00E974B2">
        <w:rPr>
          <w:lang w:val="en-US"/>
        </w:rPr>
        <w:instrText>given</w:instrText>
      </w:r>
      <w:r w:rsidR="00E974B2" w:rsidRPr="006C476A">
        <w:instrText>":"</w:instrText>
      </w:r>
      <w:r w:rsidR="00E974B2">
        <w:rPr>
          <w:lang w:val="en-US"/>
        </w:rPr>
        <w:instrText>A</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Assaily</w:instrText>
      </w:r>
      <w:r w:rsidR="00E974B2" w:rsidRPr="006C476A">
        <w:instrText>","</w:instrText>
      </w:r>
      <w:r w:rsidR="00E974B2">
        <w:rPr>
          <w:lang w:val="en-US"/>
        </w:rPr>
        <w:instrText>given</w:instrText>
      </w:r>
      <w:r w:rsidR="00E974B2" w:rsidRPr="006C476A">
        <w:instrText>":"</w:instrText>
      </w:r>
      <w:r w:rsidR="00E974B2">
        <w:rPr>
          <w:lang w:val="en-US"/>
        </w:rPr>
        <w:instrText>W</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Wiernikowski</w:instrText>
      </w:r>
      <w:r w:rsidR="00E974B2" w:rsidRPr="006C476A">
        <w:instrText>","</w:instrText>
      </w:r>
      <w:r w:rsidR="00E974B2">
        <w:rPr>
          <w:lang w:val="en-US"/>
        </w:rPr>
        <w:instrText>given</w:instrText>
      </w:r>
      <w:r w:rsidR="00E974B2" w:rsidRPr="006C476A">
        <w:instrText>":"</w:instrText>
      </w:r>
      <w:r w:rsidR="00E974B2">
        <w:rPr>
          <w:lang w:val="en-US"/>
        </w:rPr>
        <w:instrText>J</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container</w:instrText>
      </w:r>
      <w:r w:rsidR="00E974B2" w:rsidRPr="006C476A">
        <w:instrText>-</w:instrText>
      </w:r>
      <w:r w:rsidR="00E974B2">
        <w:rPr>
          <w:lang w:val="en-US"/>
        </w:rPr>
        <w:instrText>title</w:instrText>
      </w:r>
      <w:r w:rsidR="00E974B2" w:rsidRPr="006C476A">
        <w:instrText>":"</w:instrText>
      </w:r>
      <w:r w:rsidR="00E974B2">
        <w:rPr>
          <w:lang w:val="en-US"/>
        </w:rPr>
        <w:instrText>Current</w:instrText>
      </w:r>
      <w:r w:rsidR="00E974B2" w:rsidRPr="006C476A">
        <w:instrText xml:space="preserve"> </w:instrText>
      </w:r>
      <w:r w:rsidR="00E974B2">
        <w:rPr>
          <w:lang w:val="en-US"/>
        </w:rPr>
        <w:instrText>Oncology</w:instrText>
      </w:r>
      <w:r w:rsidR="00E974B2" w:rsidRPr="006C476A">
        <w:instrText>","</w:instrText>
      </w:r>
      <w:r w:rsidR="00E974B2">
        <w:rPr>
          <w:lang w:val="en-US"/>
        </w:rPr>
        <w:instrText>id</w:instrText>
      </w:r>
      <w:r w:rsidR="00E974B2" w:rsidRPr="006C476A">
        <w:instrText>":"</w:instrText>
      </w:r>
      <w:r w:rsidR="00E974B2">
        <w:rPr>
          <w:lang w:val="en-US"/>
        </w:rPr>
        <w:instrText>ITEM</w:instrText>
      </w:r>
      <w:r w:rsidR="00E974B2" w:rsidRPr="006C476A">
        <w:instrText>-4","</w:instrText>
      </w:r>
      <w:r w:rsidR="00E974B2">
        <w:rPr>
          <w:lang w:val="en-US"/>
        </w:rPr>
        <w:instrText>issue</w:instrText>
      </w:r>
      <w:r w:rsidR="00E974B2" w:rsidRPr="006C476A">
        <w:instrText>":"1","</w:instrText>
      </w:r>
      <w:r w:rsidR="00E974B2">
        <w:rPr>
          <w:lang w:val="en-US"/>
        </w:rPr>
        <w:instrText>issued</w:instrText>
      </w:r>
      <w:r w:rsidR="00E974B2" w:rsidRPr="006C476A">
        <w:instrText>":{"</w:instrText>
      </w:r>
      <w:r w:rsidR="00E974B2">
        <w:rPr>
          <w:lang w:val="en-US"/>
        </w:rPr>
        <w:instrText>date</w:instrText>
      </w:r>
      <w:r w:rsidR="00E974B2" w:rsidRPr="006C476A">
        <w:instrText>-</w:instrText>
      </w:r>
      <w:r w:rsidR="00E974B2">
        <w:rPr>
          <w:lang w:val="en-US"/>
        </w:rPr>
        <w:instrText>parts</w:instrText>
      </w:r>
      <w:r w:rsidR="00E974B2" w:rsidRPr="006C476A">
        <w:instrText>":[["2017"]]},"</w:instrText>
      </w:r>
      <w:r w:rsidR="00E974B2">
        <w:rPr>
          <w:lang w:val="en-US"/>
        </w:rPr>
        <w:instrText>page</w:instrText>
      </w:r>
      <w:r w:rsidR="00E974B2" w:rsidRPr="006C476A">
        <w:instrText>":"33-39","</w:instrText>
      </w:r>
      <w:r w:rsidR="00E974B2">
        <w:rPr>
          <w:lang w:val="en-US"/>
        </w:rPr>
        <w:instrText>publisher</w:instrText>
      </w:r>
      <w:r w:rsidR="00E974B2" w:rsidRPr="006C476A">
        <w:instrText>":"</w:instrText>
      </w:r>
      <w:r w:rsidR="00E974B2">
        <w:rPr>
          <w:lang w:val="en-US"/>
        </w:rPr>
        <w:instrText>Multimed</w:instrText>
      </w:r>
      <w:r w:rsidR="00E974B2" w:rsidRPr="006C476A">
        <w:instrText xml:space="preserve"> </w:instrText>
      </w:r>
      <w:r w:rsidR="00E974B2">
        <w:rPr>
          <w:lang w:val="en-US"/>
        </w:rPr>
        <w:instrText>Inc</w:instrText>
      </w:r>
      <w:r w:rsidR="00E974B2" w:rsidRPr="006C476A">
        <w:instrText>.","</w:instrText>
      </w:r>
      <w:r w:rsidR="00E974B2">
        <w:rPr>
          <w:lang w:val="en-US"/>
        </w:rPr>
        <w:instrText>title</w:instrText>
      </w:r>
      <w:r w:rsidR="00E974B2" w:rsidRPr="006C476A">
        <w:instrText>":"</w:instrText>
      </w:r>
      <w:r w:rsidR="00E974B2">
        <w:rPr>
          <w:lang w:val="en-US"/>
        </w:rPr>
        <w:instrText>A</w:instrText>
      </w:r>
      <w:r w:rsidR="00E974B2" w:rsidRPr="006C476A">
        <w:instrText xml:space="preserve"> </w:instrText>
      </w:r>
      <w:r w:rsidR="00E974B2">
        <w:rPr>
          <w:lang w:val="en-US"/>
        </w:rPr>
        <w:instrText>canadian</w:instrText>
      </w:r>
      <w:r w:rsidR="00E974B2" w:rsidRPr="006C476A">
        <w:instrText xml:space="preserve"> </w:instrText>
      </w:r>
      <w:r w:rsidR="00E974B2">
        <w:rPr>
          <w:lang w:val="en-US"/>
        </w:rPr>
        <w:instrText>perspective</w:instrText>
      </w:r>
      <w:r w:rsidR="00E974B2" w:rsidRPr="006C476A">
        <w:instrText xml:space="preserve"> </w:instrText>
      </w:r>
      <w:r w:rsidR="00E974B2">
        <w:rPr>
          <w:lang w:val="en-US"/>
        </w:rPr>
        <w:instrText>on</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subcutaneous</w:instrText>
      </w:r>
      <w:r w:rsidR="00E974B2" w:rsidRPr="006C476A">
        <w:instrText xml:space="preserve"> </w:instrText>
      </w:r>
      <w:r w:rsidR="00E974B2">
        <w:rPr>
          <w:lang w:val="en-US"/>
        </w:rPr>
        <w:instrText>administration</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in</w:instrText>
      </w:r>
      <w:r w:rsidR="00E974B2" w:rsidRPr="006C476A">
        <w:instrText xml:space="preserve"> </w:instrText>
      </w:r>
      <w:r w:rsidR="00E974B2">
        <w:rPr>
          <w:lang w:val="en-US"/>
        </w:rPr>
        <w:instrText>non</w:instrText>
      </w:r>
      <w:r w:rsidR="00E974B2" w:rsidRPr="006C476A">
        <w:instrText>-</w:instrText>
      </w:r>
      <w:r w:rsidR="00E974B2">
        <w:rPr>
          <w:lang w:val="en-US"/>
        </w:rPr>
        <w:instrText>Hodgkin</w:instrText>
      </w:r>
      <w:r w:rsidR="00E974B2" w:rsidRPr="006C476A">
        <w:instrText xml:space="preserve"> </w:instrText>
      </w:r>
      <w:r w:rsidR="00E974B2">
        <w:rPr>
          <w:lang w:val="en-US"/>
        </w:rPr>
        <w:instrText>lymphoma</w:instrText>
      </w:r>
      <w:r w:rsidR="00E974B2" w:rsidRPr="006C476A">
        <w:instrText>","</w:instrText>
      </w:r>
      <w:r w:rsidR="00E974B2">
        <w:rPr>
          <w:lang w:val="en-US"/>
        </w:rPr>
        <w:instrText>type</w:instrText>
      </w:r>
      <w:r w:rsidR="00E974B2" w:rsidRPr="006C476A">
        <w:instrText>":"</w:instrText>
      </w:r>
      <w:r w:rsidR="00E974B2">
        <w:rPr>
          <w:lang w:val="en-US"/>
        </w:rPr>
        <w:instrText>article</w:instrText>
      </w:r>
      <w:r w:rsidR="00E974B2" w:rsidRPr="006C476A">
        <w:instrText>","</w:instrText>
      </w:r>
      <w:r w:rsidR="00E974B2">
        <w:rPr>
          <w:lang w:val="en-US"/>
        </w:rPr>
        <w:instrText>volume</w:instrText>
      </w:r>
      <w:r w:rsidR="00E974B2" w:rsidRPr="006C476A">
        <w:instrText>":"24"},"</w:instrText>
      </w:r>
      <w:r w:rsidR="00E974B2">
        <w:rPr>
          <w:lang w:val="en-US"/>
        </w:rPr>
        <w:instrText>uris</w:instrText>
      </w:r>
      <w:r w:rsidR="00E974B2" w:rsidRPr="006C476A">
        <w:instrText>":["</w:instrText>
      </w:r>
      <w:r w:rsidR="00E974B2">
        <w:rPr>
          <w:lang w:val="en-US"/>
        </w:rPr>
        <w:instrText>http</w:instrText>
      </w:r>
      <w:r w:rsidR="00E974B2" w:rsidRPr="006C476A">
        <w:instrText>://</w:instrText>
      </w:r>
      <w:r w:rsidR="00E974B2">
        <w:rPr>
          <w:lang w:val="en-US"/>
        </w:rPr>
        <w:instrText>www</w:instrText>
      </w:r>
      <w:r w:rsidR="00E974B2" w:rsidRPr="006C476A">
        <w:instrText>.</w:instrText>
      </w:r>
      <w:r w:rsidR="00E974B2">
        <w:rPr>
          <w:lang w:val="en-US"/>
        </w:rPr>
        <w:instrText>mendeley</w:instrText>
      </w:r>
      <w:r w:rsidR="00E974B2" w:rsidRPr="006C476A">
        <w:instrText>.</w:instrText>
      </w:r>
      <w:r w:rsidR="00E974B2">
        <w:rPr>
          <w:lang w:val="en-US"/>
        </w:rPr>
        <w:instrText>com</w:instrText>
      </w:r>
      <w:r w:rsidR="00E974B2" w:rsidRPr="006C476A">
        <w:instrText>/</w:instrText>
      </w:r>
      <w:r w:rsidR="00E974B2">
        <w:rPr>
          <w:lang w:val="en-US"/>
        </w:rPr>
        <w:instrText>documents</w:instrText>
      </w:r>
      <w:r w:rsidR="00E974B2" w:rsidRPr="006C476A">
        <w:instrText>/?</w:instrText>
      </w:r>
      <w:r w:rsidR="00E974B2">
        <w:rPr>
          <w:lang w:val="en-US"/>
        </w:rPr>
        <w:instrText>uuid</w:instrText>
      </w:r>
      <w:r w:rsidR="00E974B2" w:rsidRPr="006C476A">
        <w:instrText>=0</w:instrText>
      </w:r>
      <w:r w:rsidR="00E974B2">
        <w:rPr>
          <w:lang w:val="en-US"/>
        </w:rPr>
        <w:instrText>dec</w:instrText>
      </w:r>
      <w:r w:rsidR="00E974B2" w:rsidRPr="006C476A">
        <w:instrText>225</w:instrText>
      </w:r>
      <w:r w:rsidR="00E974B2">
        <w:rPr>
          <w:lang w:val="en-US"/>
        </w:rPr>
        <w:instrText>e</w:instrText>
      </w:r>
      <w:r w:rsidR="00E974B2" w:rsidRPr="006C476A">
        <w:instrText>-8</w:instrText>
      </w:r>
      <w:r w:rsidR="00E974B2">
        <w:rPr>
          <w:lang w:val="en-US"/>
        </w:rPr>
        <w:instrText>a</w:instrText>
      </w:r>
      <w:r w:rsidR="00E974B2" w:rsidRPr="006C476A">
        <w:instrText>47-3680-</w:instrText>
      </w:r>
      <w:r w:rsidR="00E974B2">
        <w:rPr>
          <w:lang w:val="en-US"/>
        </w:rPr>
        <w:instrText>ba</w:instrText>
      </w:r>
      <w:r w:rsidR="00E974B2" w:rsidRPr="006C476A">
        <w:instrText>4</w:instrText>
      </w:r>
      <w:r w:rsidR="00E974B2">
        <w:rPr>
          <w:lang w:val="en-US"/>
        </w:rPr>
        <w:instrText>d</w:instrText>
      </w:r>
      <w:r w:rsidR="00E974B2" w:rsidRPr="006C476A">
        <w:instrText>-891955</w:instrText>
      </w:r>
      <w:r w:rsidR="00E974B2">
        <w:rPr>
          <w:lang w:val="en-US"/>
        </w:rPr>
        <w:instrText>a</w:instrText>
      </w:r>
      <w:r w:rsidR="00E974B2" w:rsidRPr="006C476A">
        <w:instrText>938</w:instrText>
      </w:r>
      <w:r w:rsidR="00E974B2">
        <w:rPr>
          <w:lang w:val="en-US"/>
        </w:rPr>
        <w:instrText>a</w:instrText>
      </w:r>
      <w:r w:rsidR="00E974B2" w:rsidRPr="006C476A">
        <w:instrText>1"]}],"</w:instrText>
      </w:r>
      <w:r w:rsidR="00E974B2">
        <w:rPr>
          <w:lang w:val="en-US"/>
        </w:rPr>
        <w:instrText>mendeley</w:instrText>
      </w:r>
      <w:r w:rsidR="00E974B2" w:rsidRPr="006C476A">
        <w:instrText>":{"</w:instrText>
      </w:r>
      <w:r w:rsidR="00E974B2">
        <w:rPr>
          <w:lang w:val="en-US"/>
        </w:rPr>
        <w:instrText>formattedCitation</w:instrText>
      </w:r>
      <w:r w:rsidR="00E974B2" w:rsidRPr="006C476A">
        <w:instrText>":"[180–183]","</w:instrText>
      </w:r>
      <w:r w:rsidR="00E974B2">
        <w:rPr>
          <w:lang w:val="en-US"/>
        </w:rPr>
        <w:instrText>plainTextFormattedCitation</w:instrText>
      </w:r>
      <w:r w:rsidR="00E974B2" w:rsidRPr="006C476A">
        <w:instrText>":"[180–183]","</w:instrText>
      </w:r>
      <w:r w:rsidR="00E974B2">
        <w:rPr>
          <w:lang w:val="en-US"/>
        </w:rPr>
        <w:instrText>previouslyFormattedCitation</w:instrText>
      </w:r>
      <w:r w:rsidR="00E974B2" w:rsidRPr="006C476A">
        <w:instrText>":"[180–183]"},"</w:instrText>
      </w:r>
      <w:r w:rsidR="00E974B2">
        <w:rPr>
          <w:lang w:val="en-US"/>
        </w:rPr>
        <w:instrText>properties</w:instrText>
      </w:r>
      <w:r w:rsidR="00E974B2" w:rsidRPr="006C476A">
        <w:instrText>":{"</w:instrText>
      </w:r>
      <w:r w:rsidR="00E974B2">
        <w:rPr>
          <w:lang w:val="en-US"/>
        </w:rPr>
        <w:instrText>noteIndex</w:instrText>
      </w:r>
      <w:r w:rsidR="00E974B2" w:rsidRPr="006C476A">
        <w:instrText>":0},"</w:instrText>
      </w:r>
      <w:r w:rsidR="00E974B2">
        <w:rPr>
          <w:lang w:val="en-US"/>
        </w:rPr>
        <w:instrText>schema</w:instrText>
      </w:r>
      <w:r w:rsidR="00E974B2" w:rsidRPr="006C476A">
        <w:instrText>":"</w:instrText>
      </w:r>
      <w:r w:rsidR="00E974B2">
        <w:rPr>
          <w:lang w:val="en-US"/>
        </w:rPr>
        <w:instrText>https</w:instrText>
      </w:r>
      <w:r w:rsidR="00E974B2" w:rsidRPr="006C476A">
        <w:instrText>://</w:instrText>
      </w:r>
      <w:r w:rsidR="00E974B2">
        <w:rPr>
          <w:lang w:val="en-US"/>
        </w:rPr>
        <w:instrText>github</w:instrText>
      </w:r>
      <w:r w:rsidR="00E974B2" w:rsidRPr="006C476A">
        <w:instrText>.</w:instrText>
      </w:r>
      <w:r w:rsidR="00E974B2">
        <w:rPr>
          <w:lang w:val="en-US"/>
        </w:rPr>
        <w:instrText>com</w:instrText>
      </w:r>
      <w:r w:rsidR="00E974B2" w:rsidRPr="006C476A">
        <w:instrText>/</w:instrText>
      </w:r>
      <w:r w:rsidR="00E974B2">
        <w:rPr>
          <w:lang w:val="en-US"/>
        </w:rPr>
        <w:instrText>citation</w:instrText>
      </w:r>
      <w:r w:rsidR="00E974B2" w:rsidRPr="006C476A">
        <w:instrText>-</w:instrText>
      </w:r>
      <w:r w:rsidR="00E974B2">
        <w:rPr>
          <w:lang w:val="en-US"/>
        </w:rPr>
        <w:instrText>style</w:instrText>
      </w:r>
      <w:r w:rsidR="00E974B2" w:rsidRPr="006C476A">
        <w:instrText>-</w:instrText>
      </w:r>
      <w:r w:rsidR="00E974B2">
        <w:rPr>
          <w:lang w:val="en-US"/>
        </w:rPr>
        <w:instrText>language</w:instrText>
      </w:r>
      <w:r w:rsidR="00E974B2" w:rsidRPr="006C476A">
        <w:instrText>/</w:instrText>
      </w:r>
      <w:r w:rsidR="00E974B2">
        <w:rPr>
          <w:lang w:val="en-US"/>
        </w:rPr>
        <w:instrText>schema</w:instrText>
      </w:r>
      <w:r w:rsidR="00E974B2" w:rsidRPr="006C476A">
        <w:instrText>/</w:instrText>
      </w:r>
      <w:r w:rsidR="00E974B2">
        <w:rPr>
          <w:lang w:val="en-US"/>
        </w:rPr>
        <w:instrText>raw</w:instrText>
      </w:r>
      <w:r w:rsidR="00E974B2" w:rsidRPr="006C476A">
        <w:instrText>/</w:instrText>
      </w:r>
      <w:r w:rsidR="00E974B2">
        <w:rPr>
          <w:lang w:val="en-US"/>
        </w:rPr>
        <w:instrText>master</w:instrText>
      </w:r>
      <w:r w:rsidR="00E974B2" w:rsidRPr="006C476A">
        <w:instrText>/</w:instrText>
      </w:r>
      <w:r w:rsidR="00E974B2">
        <w:rPr>
          <w:lang w:val="en-US"/>
        </w:rPr>
        <w:instrText>csl</w:instrText>
      </w:r>
      <w:r w:rsidR="00E974B2" w:rsidRPr="006C476A">
        <w:instrText>-</w:instrText>
      </w:r>
      <w:r w:rsidR="00E974B2">
        <w:rPr>
          <w:lang w:val="en-US"/>
        </w:rPr>
        <w:instrText>citation</w:instrText>
      </w:r>
      <w:r w:rsidR="00E974B2" w:rsidRPr="006C476A">
        <w:instrText>.</w:instrText>
      </w:r>
      <w:r w:rsidR="00E974B2">
        <w:rPr>
          <w:lang w:val="en-US"/>
        </w:rPr>
        <w:instrText>json</w:instrText>
      </w:r>
      <w:r w:rsidR="00E974B2" w:rsidRPr="006C476A">
        <w:instrText>"}</w:instrText>
      </w:r>
      <w:r w:rsidRPr="000322E4">
        <w:rPr>
          <w:lang w:val="en-US"/>
        </w:rPr>
        <w:fldChar w:fldCharType="separate"/>
      </w:r>
      <w:r w:rsidR="004C51FF" w:rsidRPr="004C51FF">
        <w:rPr>
          <w:noProof/>
        </w:rPr>
        <w:t>[180–183]</w:t>
      </w:r>
      <w:r w:rsidRPr="000322E4">
        <w:rPr>
          <w:lang w:val="en-US"/>
        </w:rPr>
        <w:fldChar w:fldCharType="end"/>
      </w:r>
    </w:p>
    <w:p w14:paraId="6B950134" w14:textId="77777777" w:rsidR="00666D68" w:rsidRPr="000322E4" w:rsidRDefault="00D2304E" w:rsidP="008E3584">
      <w:pPr>
        <w:numPr>
          <w:ilvl w:val="0"/>
          <w:numId w:val="39"/>
        </w:numPr>
      </w:pPr>
      <w:r w:rsidRPr="00D2304E">
        <w:t>#</w:t>
      </w:r>
      <w:r w:rsidR="00666D68" w:rsidRPr="000322E4">
        <w:t>Гемцитабин** 750 мг/м</w:t>
      </w:r>
      <w:r w:rsidR="00666D68" w:rsidRPr="000322E4">
        <w:rPr>
          <w:vertAlign w:val="superscript"/>
        </w:rPr>
        <w:t>2</w:t>
      </w:r>
      <w:r w:rsidR="00666D68" w:rsidRPr="000322E4">
        <w:t xml:space="preserve"> (цикл 1), 8</w:t>
      </w:r>
      <w:r w:rsidR="00DC2554" w:rsidRPr="000322E4">
        <w:t>75</w:t>
      </w:r>
      <w:r w:rsidR="00666D68" w:rsidRPr="000322E4">
        <w:t xml:space="preserve"> мг/м</w:t>
      </w:r>
      <w:r w:rsidR="00666D68" w:rsidRPr="000322E4">
        <w:rPr>
          <w:vertAlign w:val="superscript"/>
        </w:rPr>
        <w:t>2</w:t>
      </w:r>
      <w:r w:rsidR="00666D68" w:rsidRPr="000322E4">
        <w:t xml:space="preserve"> (цикл 2), 1000 мг/м</w:t>
      </w:r>
      <w:r w:rsidR="00666D68" w:rsidRPr="000322E4">
        <w:rPr>
          <w:vertAlign w:val="superscript"/>
        </w:rPr>
        <w:t>2</w:t>
      </w:r>
      <w:r w:rsidR="00666D68" w:rsidRPr="000322E4">
        <w:t xml:space="preserve"> (цикл 3 и далее) в/в кап., дни 1, 8</w:t>
      </w:r>
    </w:p>
    <w:p w14:paraId="4E5C2B17" w14:textId="77777777" w:rsidR="00666D68" w:rsidRPr="000322E4" w:rsidRDefault="00666D68" w:rsidP="008E3584">
      <w:pPr>
        <w:numPr>
          <w:ilvl w:val="0"/>
          <w:numId w:val="39"/>
        </w:numPr>
      </w:pPr>
      <w:r w:rsidRPr="000322E4">
        <w:t>Циклофосфамид</w:t>
      </w:r>
      <w:r w:rsidRPr="000322E4">
        <w:rPr>
          <w:bCs/>
        </w:rPr>
        <w:t>**</w:t>
      </w:r>
      <w:r w:rsidRPr="000322E4">
        <w:t xml:space="preserve"> 750 мг/м</w:t>
      </w:r>
      <w:r w:rsidRPr="000322E4">
        <w:rPr>
          <w:vertAlign w:val="superscript"/>
        </w:rPr>
        <w:t>2</w:t>
      </w:r>
      <w:r w:rsidRPr="000322E4">
        <w:t xml:space="preserve"> в/в кап., день 1</w:t>
      </w:r>
    </w:p>
    <w:p w14:paraId="40EDED4B" w14:textId="77777777" w:rsidR="00666D68" w:rsidRPr="000322E4" w:rsidRDefault="00F35A3E" w:rsidP="008E3584">
      <w:pPr>
        <w:numPr>
          <w:ilvl w:val="0"/>
          <w:numId w:val="39"/>
        </w:numPr>
      </w:pPr>
      <w:r w:rsidRPr="00F35A3E">
        <w:t>#</w:t>
      </w:r>
      <w:r w:rsidR="00666D68" w:rsidRPr="000322E4">
        <w:t>Винкристин</w:t>
      </w:r>
      <w:r w:rsidR="00666D68" w:rsidRPr="000322E4">
        <w:rPr>
          <w:bCs/>
        </w:rPr>
        <w:t>**</w:t>
      </w:r>
      <w:r w:rsidR="00666D68" w:rsidRPr="000322E4">
        <w:t xml:space="preserve"> 1,4 мг/м</w:t>
      </w:r>
      <w:r w:rsidR="00666D68" w:rsidRPr="000322E4">
        <w:rPr>
          <w:vertAlign w:val="superscript"/>
        </w:rPr>
        <w:t>2</w:t>
      </w:r>
      <w:r w:rsidR="00666D68" w:rsidRPr="000322E4">
        <w:t xml:space="preserve"> (суммарно не более 2 мг) в/в, день 1</w:t>
      </w:r>
    </w:p>
    <w:p w14:paraId="02B52B38" w14:textId="77777777" w:rsidR="00666D68" w:rsidRPr="000322E4" w:rsidRDefault="00666D68" w:rsidP="008E3584">
      <w:pPr>
        <w:numPr>
          <w:ilvl w:val="0"/>
          <w:numId w:val="39"/>
        </w:numPr>
      </w:pPr>
      <w:r w:rsidRPr="000322E4">
        <w:t>Преднизолон</w:t>
      </w:r>
      <w:r w:rsidRPr="000322E4">
        <w:rPr>
          <w:bCs/>
        </w:rPr>
        <w:t>**</w:t>
      </w:r>
      <w:r w:rsidRPr="000322E4">
        <w:t xml:space="preserve"> 100 мг внутрь, дни 1-5</w:t>
      </w:r>
    </w:p>
    <w:p w14:paraId="7B47B611" w14:textId="77777777" w:rsidR="00666D68" w:rsidRPr="000322E4" w:rsidRDefault="00666D68" w:rsidP="008E3584">
      <w:pPr>
        <w:ind w:left="360"/>
      </w:pPr>
      <w:r w:rsidRPr="000322E4">
        <w:t xml:space="preserve">Эскалация дозы </w:t>
      </w:r>
      <w:r w:rsidR="00D2304E" w:rsidRPr="00D2304E">
        <w:t>#</w:t>
      </w:r>
      <w:r w:rsidRPr="000322E4">
        <w:t>гемцитабина</w:t>
      </w:r>
      <w:r w:rsidR="00D2304E" w:rsidRPr="00D2304E">
        <w:t>**</w:t>
      </w:r>
      <w:r w:rsidRPr="000322E4">
        <w:t xml:space="preserve"> проводится в случае отсутствия гематологической токсичности. Лечение возобновляется на 22 день</w:t>
      </w:r>
    </w:p>
    <w:p w14:paraId="0920A943" w14:textId="77777777" w:rsidR="00666D68" w:rsidRPr="000322E4" w:rsidRDefault="00666D68" w:rsidP="008E3584">
      <w:pPr>
        <w:rPr>
          <w:b/>
          <w:bCs/>
        </w:rPr>
      </w:pPr>
    </w:p>
    <w:p w14:paraId="450A15EE" w14:textId="77777777" w:rsidR="00666D68" w:rsidRPr="000322E4" w:rsidRDefault="00666D68" w:rsidP="008E3584">
      <w:pPr>
        <w:rPr>
          <w:b/>
          <w:bCs/>
        </w:rPr>
      </w:pPr>
      <w:r w:rsidRPr="000322E4">
        <w:rPr>
          <w:b/>
          <w:lang w:val="en-US"/>
        </w:rPr>
        <w:t>R</w:t>
      </w:r>
      <w:r w:rsidRPr="000322E4">
        <w:rPr>
          <w:b/>
        </w:rPr>
        <w:t>-</w:t>
      </w:r>
      <w:r w:rsidRPr="000322E4">
        <w:rPr>
          <w:b/>
          <w:lang w:val="en-US"/>
        </w:rPr>
        <w:t>CCOP</w:t>
      </w:r>
      <w:r w:rsidRPr="000322E4">
        <w:rPr>
          <w:b/>
        </w:rPr>
        <w:t xml:space="preserve"> </w:t>
      </w:r>
      <w:r w:rsidRPr="000322E4">
        <w:rPr>
          <w:b/>
          <w:lang w:val="en-US"/>
        </w:rPr>
        <w:fldChar w:fldCharType="begin" w:fldLock="1"/>
      </w:r>
      <w:r w:rsidR="00FE2B46" w:rsidRPr="000322E4">
        <w:rPr>
          <w:b/>
          <w:lang w:val="en-US"/>
        </w:rPr>
        <w:instrText>ADDIN</w:instrText>
      </w:r>
      <w:r w:rsidR="00FE2B46" w:rsidRPr="000322E4">
        <w:rPr>
          <w:b/>
        </w:rPr>
        <w:instrText xml:space="preserve"> </w:instrText>
      </w:r>
      <w:r w:rsidR="00FE2B46" w:rsidRPr="000322E4">
        <w:rPr>
          <w:b/>
          <w:lang w:val="en-US"/>
        </w:rPr>
        <w:instrText>CSL</w:instrText>
      </w:r>
      <w:r w:rsidR="00FE2B46" w:rsidRPr="000322E4">
        <w:rPr>
          <w:b/>
        </w:rPr>
        <w:instrText>_</w:instrText>
      </w:r>
      <w:r w:rsidR="00FE2B46" w:rsidRPr="000322E4">
        <w:rPr>
          <w:b/>
          <w:lang w:val="en-US"/>
        </w:rPr>
        <w:instrText>CITATION</w:instrText>
      </w:r>
      <w:r w:rsidR="00FE2B46" w:rsidRPr="000322E4">
        <w:rPr>
          <w:b/>
        </w:rPr>
        <w:instrText xml:space="preserve"> {"</w:instrText>
      </w:r>
      <w:r w:rsidR="00FE2B46" w:rsidRPr="000322E4">
        <w:rPr>
          <w:b/>
          <w:lang w:val="en-US"/>
        </w:rPr>
        <w:instrText>citationItems</w:instrText>
      </w:r>
      <w:r w:rsidR="00FE2B46" w:rsidRPr="000322E4">
        <w:rPr>
          <w:b/>
        </w:rPr>
        <w:instrText>":[{"</w:instrText>
      </w:r>
      <w:r w:rsidR="00FE2B46" w:rsidRPr="000322E4">
        <w:rPr>
          <w:b/>
          <w:lang w:val="en-US"/>
        </w:rPr>
        <w:instrText>id</w:instrText>
      </w:r>
      <w:r w:rsidR="00FE2B46" w:rsidRPr="000322E4">
        <w:rPr>
          <w:b/>
        </w:rPr>
        <w:instrText>":"</w:instrText>
      </w:r>
      <w:r w:rsidR="00FE2B46" w:rsidRPr="000322E4">
        <w:rPr>
          <w:b/>
          <w:lang w:val="en-US"/>
        </w:rPr>
        <w:instrText>ITEM</w:instrText>
      </w:r>
      <w:r w:rsidR="00FE2B46" w:rsidRPr="000322E4">
        <w:rPr>
          <w:b/>
        </w:rPr>
        <w:instrText>-1","</w:instrText>
      </w:r>
      <w:r w:rsidR="00FE2B46" w:rsidRPr="000322E4">
        <w:rPr>
          <w:b/>
          <w:lang w:val="en-US"/>
        </w:rPr>
        <w:instrText>itemData</w:instrText>
      </w:r>
      <w:r w:rsidR="00FE2B46" w:rsidRPr="000322E4">
        <w:rPr>
          <w:b/>
        </w:rPr>
        <w:instrText>":{"</w:instrText>
      </w:r>
      <w:r w:rsidR="00FE2B46" w:rsidRPr="000322E4">
        <w:rPr>
          <w:b/>
          <w:lang w:val="en-US"/>
        </w:rPr>
        <w:instrText>ISSN</w:instrText>
      </w:r>
      <w:r w:rsidR="00FE2B46" w:rsidRPr="000322E4">
        <w:rPr>
          <w:b/>
        </w:rPr>
        <w:instrText>":"0390-6078","</w:instrText>
      </w:r>
      <w:r w:rsidR="00FE2B46" w:rsidRPr="000322E4">
        <w:rPr>
          <w:b/>
          <w:lang w:val="en-US"/>
        </w:rPr>
        <w:instrText>PMID</w:instrText>
      </w:r>
      <w:r w:rsidR="00FE2B46" w:rsidRPr="000322E4">
        <w:rPr>
          <w:b/>
        </w:rPr>
        <w:instrText>":"12161358","</w:instrText>
      </w:r>
      <w:r w:rsidR="00FE2B46" w:rsidRPr="000322E4">
        <w:rPr>
          <w:b/>
          <w:lang w:val="en-US"/>
        </w:rPr>
        <w:instrText>abstract</w:instrText>
      </w:r>
      <w:r w:rsidR="00FE2B46" w:rsidRPr="000322E4">
        <w:rPr>
          <w:b/>
        </w:rPr>
        <w:instrText>":"</w:instrText>
      </w:r>
      <w:r w:rsidR="00FE2B46" w:rsidRPr="000322E4">
        <w:rPr>
          <w:b/>
          <w:lang w:val="en-US"/>
        </w:rPr>
        <w:instrText>BACKGROUND</w:instrText>
      </w:r>
      <w:r w:rsidR="00FE2B46" w:rsidRPr="000322E4">
        <w:rPr>
          <w:b/>
        </w:rPr>
        <w:instrText xml:space="preserve"> </w:instrText>
      </w:r>
      <w:r w:rsidR="00FE2B46" w:rsidRPr="000322E4">
        <w:rPr>
          <w:b/>
          <w:lang w:val="en-US"/>
        </w:rPr>
        <w:instrText>AND</w:instrText>
      </w:r>
      <w:r w:rsidR="00FE2B46" w:rsidRPr="000322E4">
        <w:rPr>
          <w:b/>
        </w:rPr>
        <w:instrText xml:space="preserve"> </w:instrText>
      </w:r>
      <w:r w:rsidR="00FE2B46" w:rsidRPr="000322E4">
        <w:rPr>
          <w:b/>
          <w:lang w:val="en-US"/>
        </w:rPr>
        <w:instrText>OBJECTIVES</w:instrText>
      </w:r>
      <w:r w:rsidR="00FE2B46" w:rsidRPr="000322E4">
        <w:rPr>
          <w:b/>
        </w:rPr>
        <w:instrText xml:space="preserve"> </w:instrText>
      </w:r>
      <w:r w:rsidR="00FE2B46" w:rsidRPr="000322E4">
        <w:rPr>
          <w:b/>
          <w:lang w:val="en-US"/>
        </w:rPr>
        <w:instrText>Anthracycline</w:instrText>
      </w:r>
      <w:r w:rsidR="00FE2B46" w:rsidRPr="000322E4">
        <w:rPr>
          <w:b/>
        </w:rPr>
        <w:instrText>-</w:instrText>
      </w:r>
      <w:r w:rsidR="00FE2B46" w:rsidRPr="000322E4">
        <w:rPr>
          <w:b/>
          <w:lang w:val="en-US"/>
        </w:rPr>
        <w:instrText>based</w:instrText>
      </w:r>
      <w:r w:rsidR="00FE2B46" w:rsidRPr="000322E4">
        <w:rPr>
          <w:b/>
        </w:rPr>
        <w:instrText xml:space="preserve"> </w:instrText>
      </w:r>
      <w:r w:rsidR="00FE2B46" w:rsidRPr="000322E4">
        <w:rPr>
          <w:b/>
          <w:lang w:val="en-US"/>
        </w:rPr>
        <w:instrText>combination</w:instrText>
      </w:r>
      <w:r w:rsidR="00FE2B46" w:rsidRPr="000322E4">
        <w:rPr>
          <w:b/>
        </w:rPr>
        <w:instrText xml:space="preserve"> </w:instrText>
      </w:r>
      <w:r w:rsidR="00FE2B46" w:rsidRPr="000322E4">
        <w:rPr>
          <w:b/>
          <w:lang w:val="en-US"/>
        </w:rPr>
        <w:instrText>chemotherapy</w:instrText>
      </w:r>
      <w:r w:rsidR="00FE2B46" w:rsidRPr="000322E4">
        <w:rPr>
          <w:b/>
        </w:rPr>
        <w:instrText xml:space="preserve"> </w:instrText>
      </w:r>
      <w:r w:rsidR="00FE2B46" w:rsidRPr="000322E4">
        <w:rPr>
          <w:b/>
          <w:lang w:val="en-US"/>
        </w:rPr>
        <w:instrText>regimens</w:instrText>
      </w:r>
      <w:r w:rsidR="00FE2B46" w:rsidRPr="000322E4">
        <w:rPr>
          <w:b/>
        </w:rPr>
        <w:instrText xml:space="preserve"> </w:instrText>
      </w:r>
      <w:r w:rsidR="00FE2B46" w:rsidRPr="000322E4">
        <w:rPr>
          <w:b/>
          <w:lang w:val="en-US"/>
        </w:rPr>
        <w:instrText>are</w:instrText>
      </w:r>
      <w:r w:rsidR="00FE2B46" w:rsidRPr="000322E4">
        <w:rPr>
          <w:b/>
        </w:rPr>
        <w:instrText xml:space="preserve"> </w:instrText>
      </w:r>
      <w:r w:rsidR="00FE2B46" w:rsidRPr="000322E4">
        <w:rPr>
          <w:b/>
          <w:lang w:val="en-US"/>
        </w:rPr>
        <w:instrText>the</w:instrText>
      </w:r>
      <w:r w:rsidR="00FE2B46" w:rsidRPr="000322E4">
        <w:rPr>
          <w:b/>
        </w:rPr>
        <w:instrText xml:space="preserve"> </w:instrText>
      </w:r>
      <w:r w:rsidR="00FE2B46" w:rsidRPr="000322E4">
        <w:rPr>
          <w:b/>
          <w:lang w:val="en-US"/>
        </w:rPr>
        <w:instrText>standard</w:instrText>
      </w:r>
      <w:r w:rsidR="00FE2B46" w:rsidRPr="000322E4">
        <w:rPr>
          <w:b/>
        </w:rPr>
        <w:instrText xml:space="preserve"> </w:instrText>
      </w:r>
      <w:r w:rsidR="00FE2B46" w:rsidRPr="000322E4">
        <w:rPr>
          <w:b/>
          <w:lang w:val="en-US"/>
        </w:rPr>
        <w:instrText>therapy</w:instrText>
      </w:r>
      <w:r w:rsidR="00FE2B46" w:rsidRPr="000322E4">
        <w:rPr>
          <w:b/>
        </w:rPr>
        <w:instrText xml:space="preserve"> </w:instrText>
      </w:r>
      <w:r w:rsidR="00FE2B46" w:rsidRPr="000322E4">
        <w:rPr>
          <w:b/>
          <w:lang w:val="en-US"/>
        </w:rPr>
        <w:instrText>for</w:instrText>
      </w:r>
      <w:r w:rsidR="00FE2B46" w:rsidRPr="000322E4">
        <w:rPr>
          <w:b/>
        </w:rPr>
        <w:instrText xml:space="preserve"> </w:instrText>
      </w:r>
      <w:r w:rsidR="00FE2B46" w:rsidRPr="000322E4">
        <w:rPr>
          <w:b/>
          <w:lang w:val="en-US"/>
        </w:rPr>
        <w:instrText>patients</w:instrText>
      </w:r>
      <w:r w:rsidR="00FE2B46" w:rsidRPr="000322E4">
        <w:rPr>
          <w:b/>
        </w:rPr>
        <w:instrText xml:space="preserve"> </w:instrText>
      </w:r>
      <w:r w:rsidR="00FE2B46" w:rsidRPr="000322E4">
        <w:rPr>
          <w:b/>
          <w:lang w:val="en-US"/>
        </w:rPr>
        <w:instrText>with</w:instrText>
      </w:r>
      <w:r w:rsidR="00FE2B46" w:rsidRPr="000322E4">
        <w:rPr>
          <w:b/>
        </w:rPr>
        <w:instrText xml:space="preserve"> </w:instrText>
      </w:r>
      <w:r w:rsidR="00FE2B46" w:rsidRPr="000322E4">
        <w:rPr>
          <w:b/>
          <w:lang w:val="en-US"/>
        </w:rPr>
        <w:instrText>diffuse</w:instrText>
      </w:r>
      <w:r w:rsidR="00FE2B46" w:rsidRPr="000322E4">
        <w:rPr>
          <w:b/>
        </w:rPr>
        <w:instrText xml:space="preserve"> </w:instrText>
      </w:r>
      <w:r w:rsidR="00FE2B46" w:rsidRPr="000322E4">
        <w:rPr>
          <w:b/>
          <w:lang w:val="en-US"/>
        </w:rPr>
        <w:instrText>large</w:instrText>
      </w:r>
      <w:r w:rsidR="00FE2B46" w:rsidRPr="000322E4">
        <w:rPr>
          <w:b/>
        </w:rPr>
        <w:instrText xml:space="preserve"> </w:instrText>
      </w:r>
      <w:r w:rsidR="00FE2B46" w:rsidRPr="000322E4">
        <w:rPr>
          <w:b/>
          <w:lang w:val="en-US"/>
        </w:rPr>
        <w:instrText>B</w:instrText>
      </w:r>
      <w:r w:rsidR="00FE2B46" w:rsidRPr="000322E4">
        <w:rPr>
          <w:b/>
        </w:rPr>
        <w:instrText>-</w:instrText>
      </w:r>
      <w:r w:rsidR="00FE2B46" w:rsidRPr="000322E4">
        <w:rPr>
          <w:b/>
          <w:lang w:val="en-US"/>
        </w:rPr>
        <w:instrText>cell</w:instrText>
      </w:r>
      <w:r w:rsidR="00FE2B46" w:rsidRPr="000322E4">
        <w:rPr>
          <w:b/>
        </w:rPr>
        <w:instrText xml:space="preserve"> </w:instrText>
      </w:r>
      <w:r w:rsidR="00FE2B46" w:rsidRPr="000322E4">
        <w:rPr>
          <w:b/>
          <w:lang w:val="en-US"/>
        </w:rPr>
        <w:instrText>lymphoma</w:instrText>
      </w:r>
      <w:r w:rsidR="00FE2B46" w:rsidRPr="000322E4">
        <w:rPr>
          <w:b/>
        </w:rPr>
        <w:instrText xml:space="preserve"> (</w:instrText>
      </w:r>
      <w:r w:rsidR="00FE2B46" w:rsidRPr="000322E4">
        <w:rPr>
          <w:b/>
          <w:lang w:val="en-US"/>
        </w:rPr>
        <w:instrText>DLBCL</w:instrText>
      </w:r>
      <w:r w:rsidR="00FE2B46" w:rsidRPr="000322E4">
        <w:rPr>
          <w:b/>
        </w:rPr>
        <w:instrText xml:space="preserve">), </w:instrText>
      </w:r>
      <w:r w:rsidR="00FE2B46" w:rsidRPr="000322E4">
        <w:rPr>
          <w:b/>
          <w:lang w:val="en-US"/>
        </w:rPr>
        <w:instrText>but</w:instrText>
      </w:r>
      <w:r w:rsidR="00FE2B46" w:rsidRPr="000322E4">
        <w:rPr>
          <w:b/>
        </w:rPr>
        <w:instrText xml:space="preserve"> </w:instrText>
      </w:r>
      <w:r w:rsidR="00FE2B46" w:rsidRPr="000322E4">
        <w:rPr>
          <w:b/>
          <w:lang w:val="en-US"/>
        </w:rPr>
        <w:instrText>such</w:instrText>
      </w:r>
      <w:r w:rsidR="00FE2B46" w:rsidRPr="000322E4">
        <w:rPr>
          <w:b/>
        </w:rPr>
        <w:instrText xml:space="preserve"> </w:instrText>
      </w:r>
      <w:r w:rsidR="00FE2B46" w:rsidRPr="000322E4">
        <w:rPr>
          <w:b/>
          <w:lang w:val="en-US"/>
        </w:rPr>
        <w:instrText>regimens</w:instrText>
      </w:r>
      <w:r w:rsidR="00FE2B46" w:rsidRPr="000322E4">
        <w:rPr>
          <w:b/>
        </w:rPr>
        <w:instrText xml:space="preserve"> </w:instrText>
      </w:r>
      <w:r w:rsidR="00FE2B46" w:rsidRPr="000322E4">
        <w:rPr>
          <w:b/>
          <w:lang w:val="en-US"/>
        </w:rPr>
        <w:instrText>may</w:instrText>
      </w:r>
      <w:r w:rsidR="00FE2B46" w:rsidRPr="000322E4">
        <w:rPr>
          <w:b/>
        </w:rPr>
        <w:instrText xml:space="preserve"> </w:instrText>
      </w:r>
      <w:r w:rsidR="00FE2B46" w:rsidRPr="000322E4">
        <w:rPr>
          <w:b/>
          <w:lang w:val="en-US"/>
        </w:rPr>
        <w:instrText>be</w:instrText>
      </w:r>
      <w:r w:rsidR="00FE2B46" w:rsidRPr="000322E4">
        <w:rPr>
          <w:b/>
        </w:rPr>
        <w:instrText xml:space="preserve"> </w:instrText>
      </w:r>
      <w:r w:rsidR="00FE2B46" w:rsidRPr="000322E4">
        <w:rPr>
          <w:b/>
          <w:lang w:val="en-US"/>
        </w:rPr>
        <w:instrText>poorly</w:instrText>
      </w:r>
      <w:r w:rsidR="00FE2B46" w:rsidRPr="000322E4">
        <w:rPr>
          <w:b/>
        </w:rPr>
        <w:instrText xml:space="preserve"> </w:instrText>
      </w:r>
      <w:r w:rsidR="00FE2B46" w:rsidRPr="000322E4">
        <w:rPr>
          <w:b/>
          <w:lang w:val="en-US"/>
        </w:rPr>
        <w:instrText>tolerated</w:instrText>
      </w:r>
      <w:r w:rsidR="00FE2B46" w:rsidRPr="000322E4">
        <w:rPr>
          <w:b/>
        </w:rPr>
        <w:instrText xml:space="preserve"> </w:instrText>
      </w:r>
      <w:r w:rsidR="00FE2B46" w:rsidRPr="000322E4">
        <w:rPr>
          <w:b/>
          <w:lang w:val="en-US"/>
        </w:rPr>
        <w:instrText>in</w:instrText>
      </w:r>
      <w:r w:rsidR="00FE2B46" w:rsidRPr="000322E4">
        <w:rPr>
          <w:b/>
        </w:rPr>
        <w:instrText xml:space="preserve"> </w:instrText>
      </w:r>
      <w:r w:rsidR="00FE2B46" w:rsidRPr="000322E4">
        <w:rPr>
          <w:b/>
          <w:lang w:val="en-US"/>
        </w:rPr>
        <w:instrText>elderly</w:instrText>
      </w:r>
      <w:r w:rsidR="00FE2B46" w:rsidRPr="000322E4">
        <w:rPr>
          <w:b/>
        </w:rPr>
        <w:instrText xml:space="preserve"> </w:instrText>
      </w:r>
      <w:r w:rsidR="00FE2B46" w:rsidRPr="000322E4">
        <w:rPr>
          <w:b/>
          <w:lang w:val="en-US"/>
        </w:rPr>
        <w:instrText>patients</w:instrText>
      </w:r>
      <w:r w:rsidR="00FE2B46" w:rsidRPr="000322E4">
        <w:rPr>
          <w:b/>
        </w:rPr>
        <w:instrText xml:space="preserve">. </w:instrText>
      </w:r>
      <w:r w:rsidR="00FE2B46" w:rsidRPr="000322E4">
        <w:rPr>
          <w:b/>
          <w:lang w:val="en-US"/>
        </w:rPr>
        <w:instrText>DESIGN</w:instrText>
      </w:r>
      <w:r w:rsidR="00FE2B46" w:rsidRPr="000322E4">
        <w:rPr>
          <w:b/>
        </w:rPr>
        <w:instrText xml:space="preserve"> </w:instrText>
      </w:r>
      <w:r w:rsidR="00FE2B46" w:rsidRPr="000322E4">
        <w:rPr>
          <w:b/>
          <w:lang w:val="en-US"/>
        </w:rPr>
        <w:instrText>AND</w:instrText>
      </w:r>
      <w:r w:rsidR="00FE2B46" w:rsidRPr="000322E4">
        <w:rPr>
          <w:b/>
        </w:rPr>
        <w:instrText xml:space="preserve"> </w:instrText>
      </w:r>
      <w:r w:rsidR="00FE2B46" w:rsidRPr="000322E4">
        <w:rPr>
          <w:b/>
          <w:lang w:val="en-US"/>
        </w:rPr>
        <w:instrText>METHODS</w:instrText>
      </w:r>
      <w:r w:rsidR="00FE2B46" w:rsidRPr="000322E4">
        <w:rPr>
          <w:b/>
        </w:rPr>
        <w:instrText xml:space="preserve"> </w:instrText>
      </w:r>
      <w:r w:rsidR="00FE2B46" w:rsidRPr="000322E4">
        <w:rPr>
          <w:b/>
          <w:lang w:val="en-US"/>
        </w:rPr>
        <w:instrText>In</w:instrText>
      </w:r>
      <w:r w:rsidR="00FE2B46" w:rsidRPr="000322E4">
        <w:rPr>
          <w:b/>
        </w:rPr>
        <w:instrText xml:space="preserve"> </w:instrText>
      </w:r>
      <w:r w:rsidR="00FE2B46" w:rsidRPr="000322E4">
        <w:rPr>
          <w:b/>
          <w:lang w:val="en-US"/>
        </w:rPr>
        <w:instrText>a</w:instrText>
      </w:r>
      <w:r w:rsidR="00FE2B46" w:rsidRPr="000322E4">
        <w:rPr>
          <w:b/>
        </w:rPr>
        <w:instrText xml:space="preserve"> </w:instrText>
      </w:r>
      <w:r w:rsidR="00FE2B46" w:rsidRPr="000322E4">
        <w:rPr>
          <w:b/>
          <w:lang w:val="en-US"/>
        </w:rPr>
        <w:instrText>prospective</w:instrText>
      </w:r>
      <w:r w:rsidR="00FE2B46" w:rsidRPr="000322E4">
        <w:rPr>
          <w:b/>
        </w:rPr>
        <w:instrText xml:space="preserve"> </w:instrText>
      </w:r>
      <w:r w:rsidR="00FE2B46" w:rsidRPr="000322E4">
        <w:rPr>
          <w:b/>
          <w:lang w:val="en-US"/>
        </w:rPr>
        <w:instrText>phase</w:instrText>
      </w:r>
      <w:r w:rsidR="00FE2B46" w:rsidRPr="000322E4">
        <w:rPr>
          <w:b/>
        </w:rPr>
        <w:instrText xml:space="preserve"> </w:instrText>
      </w:r>
      <w:r w:rsidR="00FE2B46" w:rsidRPr="000322E4">
        <w:rPr>
          <w:b/>
          <w:lang w:val="en-US"/>
        </w:rPr>
        <w:instrText>II</w:instrText>
      </w:r>
      <w:r w:rsidR="00FE2B46" w:rsidRPr="000322E4">
        <w:rPr>
          <w:b/>
        </w:rPr>
        <w:instrText xml:space="preserve"> </w:instrText>
      </w:r>
      <w:r w:rsidR="00FE2B46" w:rsidRPr="000322E4">
        <w:rPr>
          <w:b/>
          <w:lang w:val="en-US"/>
        </w:rPr>
        <w:instrText>study</w:instrText>
      </w:r>
      <w:r w:rsidR="00FE2B46" w:rsidRPr="000322E4">
        <w:rPr>
          <w:b/>
        </w:rPr>
        <w:instrText xml:space="preserve"> </w:instrText>
      </w:r>
      <w:r w:rsidR="00FE2B46" w:rsidRPr="000322E4">
        <w:rPr>
          <w:b/>
          <w:lang w:val="en-US"/>
        </w:rPr>
        <w:instrText>we</w:instrText>
      </w:r>
      <w:r w:rsidR="00FE2B46" w:rsidRPr="000322E4">
        <w:rPr>
          <w:b/>
        </w:rPr>
        <w:instrText xml:space="preserve"> </w:instrText>
      </w:r>
      <w:r w:rsidR="00FE2B46" w:rsidRPr="000322E4">
        <w:rPr>
          <w:b/>
          <w:lang w:val="en-US"/>
        </w:rPr>
        <w:instrText>analyzed</w:instrText>
      </w:r>
      <w:r w:rsidR="00FE2B46" w:rsidRPr="000322E4">
        <w:rPr>
          <w:b/>
        </w:rPr>
        <w:instrText xml:space="preserve"> </w:instrText>
      </w:r>
      <w:r w:rsidR="00FE2B46" w:rsidRPr="000322E4">
        <w:rPr>
          <w:b/>
          <w:lang w:val="en-US"/>
        </w:rPr>
        <w:instrText>the</w:instrText>
      </w:r>
      <w:r w:rsidR="00FE2B46" w:rsidRPr="000322E4">
        <w:rPr>
          <w:b/>
        </w:rPr>
        <w:instrText xml:space="preserve"> </w:instrText>
      </w:r>
      <w:r w:rsidR="00FE2B46" w:rsidRPr="000322E4">
        <w:rPr>
          <w:b/>
          <w:lang w:val="en-US"/>
        </w:rPr>
        <w:instrText>feasibility</w:instrText>
      </w:r>
      <w:r w:rsidR="00FE2B46" w:rsidRPr="000322E4">
        <w:rPr>
          <w:b/>
        </w:rPr>
        <w:instrText xml:space="preserve"> </w:instrText>
      </w:r>
      <w:r w:rsidR="00FE2B46" w:rsidRPr="000322E4">
        <w:rPr>
          <w:b/>
          <w:lang w:val="en-US"/>
        </w:rPr>
        <w:instrText>of</w:instrText>
      </w:r>
      <w:r w:rsidR="00FE2B46" w:rsidRPr="000322E4">
        <w:rPr>
          <w:b/>
        </w:rPr>
        <w:instrText xml:space="preserve"> </w:instrText>
      </w:r>
      <w:r w:rsidR="00FE2B46" w:rsidRPr="000322E4">
        <w:rPr>
          <w:b/>
          <w:lang w:val="en-US"/>
        </w:rPr>
        <w:instrText>a</w:instrText>
      </w:r>
      <w:r w:rsidR="00FE2B46" w:rsidRPr="000322E4">
        <w:rPr>
          <w:b/>
        </w:rPr>
        <w:instrText xml:space="preserve"> </w:instrText>
      </w:r>
      <w:r w:rsidR="00FE2B46" w:rsidRPr="000322E4">
        <w:rPr>
          <w:b/>
          <w:lang w:val="en-US"/>
        </w:rPr>
        <w:instrText>regimen</w:instrText>
      </w:r>
      <w:r w:rsidR="00FE2B46" w:rsidRPr="000322E4">
        <w:rPr>
          <w:b/>
        </w:rPr>
        <w:instrText xml:space="preserve"> (</w:instrText>
      </w:r>
      <w:r w:rsidR="00FE2B46" w:rsidRPr="000322E4">
        <w:rPr>
          <w:b/>
          <w:lang w:val="en-US"/>
        </w:rPr>
        <w:instrText>CCOP</w:instrText>
      </w:r>
      <w:r w:rsidR="00FE2B46" w:rsidRPr="000322E4">
        <w:rPr>
          <w:b/>
        </w:rPr>
        <w:instrText xml:space="preserve">) </w:instrText>
      </w:r>
      <w:r w:rsidR="00FE2B46" w:rsidRPr="000322E4">
        <w:rPr>
          <w:b/>
          <w:lang w:val="en-US"/>
        </w:rPr>
        <w:instrText>that</w:instrText>
      </w:r>
      <w:r w:rsidR="00FE2B46" w:rsidRPr="000322E4">
        <w:rPr>
          <w:b/>
        </w:rPr>
        <w:instrText xml:space="preserve"> </w:instrText>
      </w:r>
      <w:r w:rsidR="00FE2B46" w:rsidRPr="000322E4">
        <w:rPr>
          <w:b/>
          <w:lang w:val="en-US"/>
        </w:rPr>
        <w:instrText>includes</w:instrText>
      </w:r>
      <w:r w:rsidR="00FE2B46" w:rsidRPr="000322E4">
        <w:rPr>
          <w:b/>
        </w:rPr>
        <w:instrText xml:space="preserve"> </w:instrText>
      </w:r>
      <w:r w:rsidR="00FE2B46" w:rsidRPr="000322E4">
        <w:rPr>
          <w:b/>
          <w:lang w:val="en-US"/>
        </w:rPr>
        <w:instrText>pegylated</w:instrText>
      </w:r>
      <w:r w:rsidR="00FE2B46" w:rsidRPr="000322E4">
        <w:rPr>
          <w:b/>
        </w:rPr>
        <w:instrText xml:space="preserve"> </w:instrText>
      </w:r>
      <w:r w:rsidR="00FE2B46" w:rsidRPr="000322E4">
        <w:rPr>
          <w:b/>
          <w:lang w:val="en-US"/>
        </w:rPr>
        <w:instrText>liposomal</w:instrText>
      </w:r>
      <w:r w:rsidR="00FE2B46" w:rsidRPr="000322E4">
        <w:rPr>
          <w:b/>
        </w:rPr>
        <w:instrText xml:space="preserve"> </w:instrText>
      </w:r>
      <w:r w:rsidR="00FE2B46" w:rsidRPr="000322E4">
        <w:rPr>
          <w:b/>
          <w:lang w:val="en-US"/>
        </w:rPr>
        <w:instrText>doxorubicin</w:instrText>
      </w:r>
      <w:r w:rsidR="00FE2B46" w:rsidRPr="000322E4">
        <w:rPr>
          <w:b/>
        </w:rPr>
        <w:instrText xml:space="preserve"> (</w:instrText>
      </w:r>
      <w:r w:rsidR="00FE2B46" w:rsidRPr="000322E4">
        <w:rPr>
          <w:b/>
          <w:lang w:val="en-US"/>
        </w:rPr>
        <w:instrText>Caelyx</w:instrText>
      </w:r>
      <w:r w:rsidR="00FE2B46" w:rsidRPr="000322E4">
        <w:rPr>
          <w:b/>
        </w:rPr>
        <w:instrText xml:space="preserve"> ) </w:instrText>
      </w:r>
      <w:r w:rsidR="00FE2B46" w:rsidRPr="000322E4">
        <w:rPr>
          <w:b/>
          <w:lang w:val="en-US"/>
        </w:rPr>
        <w:instrText>plus</w:instrText>
      </w:r>
      <w:r w:rsidR="00FE2B46" w:rsidRPr="000322E4">
        <w:rPr>
          <w:b/>
        </w:rPr>
        <w:instrText xml:space="preserve"> </w:instrText>
      </w:r>
      <w:r w:rsidR="00FE2B46" w:rsidRPr="000322E4">
        <w:rPr>
          <w:b/>
          <w:lang w:val="en-US"/>
        </w:rPr>
        <w:instrText>vincristine</w:instrText>
      </w:r>
      <w:r w:rsidR="00FE2B46" w:rsidRPr="000322E4">
        <w:rPr>
          <w:b/>
        </w:rPr>
        <w:instrText xml:space="preserve">, </w:instrText>
      </w:r>
      <w:r w:rsidR="00FE2B46" w:rsidRPr="000322E4">
        <w:rPr>
          <w:b/>
          <w:lang w:val="en-US"/>
        </w:rPr>
        <w:instrText>cyclophosphamide</w:instrText>
      </w:r>
      <w:r w:rsidR="00FE2B46" w:rsidRPr="000322E4">
        <w:rPr>
          <w:b/>
        </w:rPr>
        <w:instrText xml:space="preserve"> </w:instrText>
      </w:r>
      <w:r w:rsidR="00FE2B46" w:rsidRPr="000322E4">
        <w:rPr>
          <w:b/>
          <w:lang w:val="en-US"/>
        </w:rPr>
        <w:instrText>and</w:instrText>
      </w:r>
      <w:r w:rsidR="00FE2B46" w:rsidRPr="000322E4">
        <w:rPr>
          <w:b/>
        </w:rPr>
        <w:instrText xml:space="preserve"> </w:instrText>
      </w:r>
      <w:r w:rsidR="00FE2B46" w:rsidRPr="000322E4">
        <w:rPr>
          <w:b/>
          <w:lang w:val="en-US"/>
        </w:rPr>
        <w:instrText>prednisone</w:instrText>
      </w:r>
      <w:r w:rsidR="00FE2B46" w:rsidRPr="000322E4">
        <w:rPr>
          <w:b/>
        </w:rPr>
        <w:instrText xml:space="preserve"> </w:instrText>
      </w:r>
      <w:r w:rsidR="00FE2B46" w:rsidRPr="000322E4">
        <w:rPr>
          <w:b/>
          <w:lang w:val="en-US"/>
        </w:rPr>
        <w:instrText>in</w:instrText>
      </w:r>
      <w:r w:rsidR="00FE2B46" w:rsidRPr="000322E4">
        <w:rPr>
          <w:b/>
        </w:rPr>
        <w:instrText xml:space="preserve"> </w:instrText>
      </w:r>
      <w:r w:rsidR="00FE2B46" w:rsidRPr="000322E4">
        <w:rPr>
          <w:b/>
          <w:lang w:val="en-US"/>
        </w:rPr>
        <w:instrText>patients</w:instrText>
      </w:r>
      <w:r w:rsidR="00FE2B46" w:rsidRPr="000322E4">
        <w:rPr>
          <w:b/>
        </w:rPr>
        <w:instrText xml:space="preserve"> </w:instrText>
      </w:r>
      <w:r w:rsidR="00FE2B46" w:rsidRPr="000322E4">
        <w:rPr>
          <w:b/>
          <w:lang w:val="en-US"/>
        </w:rPr>
        <w:instrText>with</w:instrText>
      </w:r>
      <w:r w:rsidR="00FE2B46" w:rsidRPr="000322E4">
        <w:rPr>
          <w:b/>
        </w:rPr>
        <w:instrText xml:space="preserve"> </w:instrText>
      </w:r>
      <w:r w:rsidR="00FE2B46" w:rsidRPr="000322E4">
        <w:rPr>
          <w:b/>
          <w:lang w:val="en-US"/>
        </w:rPr>
        <w:instrText>DLBCL</w:instrText>
      </w:r>
      <w:r w:rsidR="00FE2B46" w:rsidRPr="000322E4">
        <w:rPr>
          <w:b/>
        </w:rPr>
        <w:instrText xml:space="preserve"> </w:instrText>
      </w:r>
      <w:r w:rsidR="00FE2B46" w:rsidRPr="000322E4">
        <w:rPr>
          <w:b/>
          <w:lang w:val="en-US"/>
        </w:rPr>
        <w:instrText>above</w:instrText>
      </w:r>
      <w:r w:rsidR="00FE2B46" w:rsidRPr="000322E4">
        <w:rPr>
          <w:b/>
        </w:rPr>
        <w:instrText xml:space="preserve"> </w:instrText>
      </w:r>
      <w:r w:rsidR="00FE2B46" w:rsidRPr="000322E4">
        <w:rPr>
          <w:b/>
          <w:lang w:val="en-US"/>
        </w:rPr>
        <w:instrText>the</w:instrText>
      </w:r>
      <w:r w:rsidR="00FE2B46" w:rsidRPr="000322E4">
        <w:rPr>
          <w:b/>
        </w:rPr>
        <w:instrText xml:space="preserve"> </w:instrText>
      </w:r>
      <w:r w:rsidR="00FE2B46" w:rsidRPr="000322E4">
        <w:rPr>
          <w:b/>
          <w:lang w:val="en-US"/>
        </w:rPr>
        <w:instrText>age</w:instrText>
      </w:r>
      <w:r w:rsidR="00FE2B46" w:rsidRPr="000322E4">
        <w:rPr>
          <w:b/>
        </w:rPr>
        <w:instrText xml:space="preserve"> </w:instrText>
      </w:r>
      <w:r w:rsidR="00FE2B46" w:rsidRPr="000322E4">
        <w:rPr>
          <w:b/>
          <w:lang w:val="en-US"/>
        </w:rPr>
        <w:instrText>of</w:instrText>
      </w:r>
      <w:r w:rsidR="00FE2B46" w:rsidRPr="000322E4">
        <w:rPr>
          <w:b/>
        </w:rPr>
        <w:instrText xml:space="preserve"> 60 </w:instrText>
      </w:r>
      <w:r w:rsidR="00FE2B46" w:rsidRPr="000322E4">
        <w:rPr>
          <w:b/>
          <w:lang w:val="en-US"/>
        </w:rPr>
        <w:instrText>years</w:instrText>
      </w:r>
      <w:r w:rsidR="00FE2B46" w:rsidRPr="000322E4">
        <w:rPr>
          <w:b/>
        </w:rPr>
        <w:instrText xml:space="preserve">. </w:instrText>
      </w:r>
      <w:r w:rsidR="00FE2B46" w:rsidRPr="000322E4">
        <w:rPr>
          <w:b/>
          <w:lang w:val="en-US"/>
        </w:rPr>
        <w:instrText>RESULTS</w:instrText>
      </w:r>
      <w:r w:rsidR="00FE2B46" w:rsidRPr="000322E4">
        <w:rPr>
          <w:b/>
        </w:rPr>
        <w:instrText xml:space="preserve"> </w:instrText>
      </w:r>
      <w:r w:rsidR="00FE2B46" w:rsidRPr="000322E4">
        <w:rPr>
          <w:b/>
          <w:lang w:val="en-US"/>
        </w:rPr>
        <w:instrText>Thirty</w:instrText>
      </w:r>
      <w:r w:rsidR="00FE2B46" w:rsidRPr="000322E4">
        <w:rPr>
          <w:b/>
        </w:rPr>
        <w:instrText>-</w:instrText>
      </w:r>
      <w:r w:rsidR="00FE2B46" w:rsidRPr="000322E4">
        <w:rPr>
          <w:b/>
          <w:lang w:val="en-US"/>
        </w:rPr>
        <w:instrText>three</w:instrText>
      </w:r>
      <w:r w:rsidR="00FE2B46" w:rsidRPr="000322E4">
        <w:rPr>
          <w:b/>
        </w:rPr>
        <w:instrText xml:space="preserve"> </w:instrText>
      </w:r>
      <w:r w:rsidR="00FE2B46" w:rsidRPr="000322E4">
        <w:rPr>
          <w:b/>
          <w:lang w:val="en-US"/>
        </w:rPr>
        <w:instrText>patients</w:instrText>
      </w:r>
      <w:r w:rsidR="00FE2B46" w:rsidRPr="000322E4">
        <w:rPr>
          <w:b/>
        </w:rPr>
        <w:instrText xml:space="preserve">, </w:instrText>
      </w:r>
      <w:r w:rsidR="00FE2B46" w:rsidRPr="000322E4">
        <w:rPr>
          <w:b/>
          <w:lang w:val="en-US"/>
        </w:rPr>
        <w:instrText>with</w:instrText>
      </w:r>
      <w:r w:rsidR="00FE2B46" w:rsidRPr="000322E4">
        <w:rPr>
          <w:b/>
        </w:rPr>
        <w:instrText xml:space="preserve"> </w:instrText>
      </w:r>
      <w:r w:rsidR="00FE2B46" w:rsidRPr="000322E4">
        <w:rPr>
          <w:b/>
          <w:lang w:val="en-US"/>
        </w:rPr>
        <w:instrText>a</w:instrText>
      </w:r>
      <w:r w:rsidR="00FE2B46" w:rsidRPr="000322E4">
        <w:rPr>
          <w:b/>
        </w:rPr>
        <w:instrText xml:space="preserve"> </w:instrText>
      </w:r>
      <w:r w:rsidR="00FE2B46" w:rsidRPr="000322E4">
        <w:rPr>
          <w:b/>
          <w:lang w:val="en-US"/>
        </w:rPr>
        <w:instrText>median</w:instrText>
      </w:r>
      <w:r w:rsidR="00FE2B46" w:rsidRPr="000322E4">
        <w:rPr>
          <w:b/>
        </w:rPr>
        <w:instrText xml:space="preserve"> </w:instrText>
      </w:r>
      <w:r w:rsidR="00FE2B46" w:rsidRPr="000322E4">
        <w:rPr>
          <w:b/>
          <w:lang w:val="en-US"/>
        </w:rPr>
        <w:instrText>age</w:instrText>
      </w:r>
      <w:r w:rsidR="00FE2B46" w:rsidRPr="000322E4">
        <w:rPr>
          <w:b/>
        </w:rPr>
        <w:instrText xml:space="preserve"> </w:instrText>
      </w:r>
      <w:r w:rsidR="00FE2B46" w:rsidRPr="000322E4">
        <w:rPr>
          <w:b/>
          <w:lang w:val="en-US"/>
        </w:rPr>
        <w:instrText>of</w:instrText>
      </w:r>
      <w:r w:rsidR="00FE2B46" w:rsidRPr="000322E4">
        <w:rPr>
          <w:b/>
        </w:rPr>
        <w:instrText xml:space="preserve"> 74 </w:instrText>
      </w:r>
      <w:r w:rsidR="00FE2B46" w:rsidRPr="000322E4">
        <w:rPr>
          <w:b/>
          <w:lang w:val="en-US"/>
        </w:rPr>
        <w:instrText>years</w:instrText>
      </w:r>
      <w:r w:rsidR="00FE2B46" w:rsidRPr="000322E4">
        <w:rPr>
          <w:b/>
        </w:rPr>
        <w:instrText xml:space="preserve">, </w:instrText>
      </w:r>
      <w:r w:rsidR="00FE2B46" w:rsidRPr="000322E4">
        <w:rPr>
          <w:b/>
          <w:lang w:val="en-US"/>
        </w:rPr>
        <w:instrText>were</w:instrText>
      </w:r>
      <w:r w:rsidR="00FE2B46" w:rsidRPr="000322E4">
        <w:rPr>
          <w:b/>
        </w:rPr>
        <w:instrText xml:space="preserve"> </w:instrText>
      </w:r>
      <w:r w:rsidR="00FE2B46" w:rsidRPr="000322E4">
        <w:rPr>
          <w:b/>
          <w:lang w:val="en-US"/>
        </w:rPr>
        <w:instrText>enrolled</w:instrText>
      </w:r>
      <w:r w:rsidR="00FE2B46" w:rsidRPr="000322E4">
        <w:rPr>
          <w:b/>
        </w:rPr>
        <w:instrText xml:space="preserve"> </w:instrText>
      </w:r>
      <w:r w:rsidR="00FE2B46" w:rsidRPr="000322E4">
        <w:rPr>
          <w:b/>
          <w:lang w:val="en-US"/>
        </w:rPr>
        <w:instrText>in</w:instrText>
      </w:r>
      <w:r w:rsidR="00FE2B46" w:rsidRPr="000322E4">
        <w:rPr>
          <w:b/>
        </w:rPr>
        <w:instrText xml:space="preserve"> </w:instrText>
      </w:r>
      <w:r w:rsidR="00FE2B46" w:rsidRPr="000322E4">
        <w:rPr>
          <w:b/>
          <w:lang w:val="en-US"/>
        </w:rPr>
        <w:instrText>the</w:instrText>
      </w:r>
      <w:r w:rsidR="00FE2B46" w:rsidRPr="000322E4">
        <w:rPr>
          <w:b/>
        </w:rPr>
        <w:instrText xml:space="preserve"> </w:instrText>
      </w:r>
      <w:r w:rsidR="00FE2B46" w:rsidRPr="000322E4">
        <w:rPr>
          <w:b/>
          <w:lang w:val="en-US"/>
        </w:rPr>
        <w:instrText>study</w:instrText>
      </w:r>
      <w:r w:rsidR="00FE2B46" w:rsidRPr="000322E4">
        <w:rPr>
          <w:b/>
        </w:rPr>
        <w:instrText xml:space="preserve">. </w:instrText>
      </w:r>
      <w:r w:rsidR="00FE2B46" w:rsidRPr="000322E4">
        <w:rPr>
          <w:b/>
          <w:lang w:val="en-US"/>
        </w:rPr>
        <w:instrText>The</w:instrText>
      </w:r>
      <w:r w:rsidR="00FE2B46" w:rsidRPr="000322E4">
        <w:rPr>
          <w:b/>
        </w:rPr>
        <w:instrText xml:space="preserve"> </w:instrText>
      </w:r>
      <w:r w:rsidR="00FE2B46" w:rsidRPr="000322E4">
        <w:rPr>
          <w:b/>
          <w:lang w:val="en-US"/>
        </w:rPr>
        <w:instrText>overall</w:instrText>
      </w:r>
      <w:r w:rsidR="00FE2B46" w:rsidRPr="000322E4">
        <w:rPr>
          <w:b/>
        </w:rPr>
        <w:instrText xml:space="preserve"> </w:instrText>
      </w:r>
      <w:r w:rsidR="00FE2B46" w:rsidRPr="000322E4">
        <w:rPr>
          <w:b/>
          <w:lang w:val="en-US"/>
        </w:rPr>
        <w:instrText>response</w:instrText>
      </w:r>
      <w:r w:rsidR="00FE2B46" w:rsidRPr="000322E4">
        <w:rPr>
          <w:b/>
        </w:rPr>
        <w:instrText xml:space="preserve"> </w:instrText>
      </w:r>
      <w:r w:rsidR="00FE2B46" w:rsidRPr="000322E4">
        <w:rPr>
          <w:b/>
          <w:lang w:val="en-US"/>
        </w:rPr>
        <w:instrText>rate</w:instrText>
      </w:r>
      <w:r w:rsidR="00FE2B46" w:rsidRPr="000322E4">
        <w:rPr>
          <w:b/>
        </w:rPr>
        <w:instrText xml:space="preserve"> </w:instrText>
      </w:r>
      <w:r w:rsidR="00FE2B46" w:rsidRPr="000322E4">
        <w:rPr>
          <w:b/>
          <w:lang w:val="en-US"/>
        </w:rPr>
        <w:instrText>was</w:instrText>
      </w:r>
      <w:r w:rsidR="00FE2B46" w:rsidRPr="000322E4">
        <w:rPr>
          <w:b/>
        </w:rPr>
        <w:instrText xml:space="preserve"> 64% (49% </w:instrText>
      </w:r>
      <w:r w:rsidR="00FE2B46" w:rsidRPr="000322E4">
        <w:rPr>
          <w:b/>
          <w:lang w:val="en-US"/>
        </w:rPr>
        <w:instrText>complete</w:instrText>
      </w:r>
      <w:r w:rsidR="00FE2B46" w:rsidRPr="000322E4">
        <w:rPr>
          <w:b/>
        </w:rPr>
        <w:instrText xml:space="preserve"> </w:instrText>
      </w:r>
      <w:r w:rsidR="00FE2B46" w:rsidRPr="000322E4">
        <w:rPr>
          <w:b/>
          <w:lang w:val="en-US"/>
        </w:rPr>
        <w:instrText>remissions</w:instrText>
      </w:r>
      <w:r w:rsidR="00FE2B46" w:rsidRPr="000322E4">
        <w:rPr>
          <w:b/>
        </w:rPr>
        <w:instrText xml:space="preserve"> </w:instrText>
      </w:r>
      <w:r w:rsidR="00FE2B46" w:rsidRPr="000322E4">
        <w:rPr>
          <w:b/>
          <w:lang w:val="en-US"/>
        </w:rPr>
        <w:instrText>and</w:instrText>
      </w:r>
      <w:r w:rsidR="00FE2B46" w:rsidRPr="000322E4">
        <w:rPr>
          <w:b/>
        </w:rPr>
        <w:instrText xml:space="preserve"> 15% </w:instrText>
      </w:r>
      <w:r w:rsidR="00FE2B46" w:rsidRPr="000322E4">
        <w:rPr>
          <w:b/>
          <w:lang w:val="en-US"/>
        </w:rPr>
        <w:instrText>partial</w:instrText>
      </w:r>
      <w:r w:rsidR="00FE2B46" w:rsidRPr="000322E4">
        <w:rPr>
          <w:b/>
        </w:rPr>
        <w:instrText xml:space="preserve"> </w:instrText>
      </w:r>
      <w:r w:rsidR="00FE2B46" w:rsidRPr="000322E4">
        <w:rPr>
          <w:b/>
          <w:lang w:val="en-US"/>
        </w:rPr>
        <w:instrText>remissions</w:instrText>
      </w:r>
      <w:r w:rsidR="00FE2B46" w:rsidRPr="000322E4">
        <w:rPr>
          <w:b/>
        </w:rPr>
        <w:instrText xml:space="preserve">). </w:instrText>
      </w:r>
      <w:r w:rsidR="00FE2B46" w:rsidRPr="000322E4">
        <w:rPr>
          <w:b/>
          <w:lang w:val="en-US"/>
        </w:rPr>
        <w:instrText>The</w:instrText>
      </w:r>
      <w:r w:rsidR="00FE2B46" w:rsidRPr="000322E4">
        <w:rPr>
          <w:b/>
        </w:rPr>
        <w:instrText xml:space="preserve"> </w:instrText>
      </w:r>
      <w:r w:rsidR="00FE2B46" w:rsidRPr="000322E4">
        <w:rPr>
          <w:b/>
          <w:lang w:val="en-US"/>
        </w:rPr>
        <w:instrText>estimated</w:instrText>
      </w:r>
      <w:r w:rsidR="00FE2B46" w:rsidRPr="000322E4">
        <w:rPr>
          <w:b/>
        </w:rPr>
        <w:instrText xml:space="preserve"> </w:instrText>
      </w:r>
      <w:r w:rsidR="00FE2B46" w:rsidRPr="000322E4">
        <w:rPr>
          <w:b/>
          <w:lang w:val="en-US"/>
        </w:rPr>
        <w:instrText>one</w:instrText>
      </w:r>
      <w:r w:rsidR="00FE2B46" w:rsidRPr="000322E4">
        <w:rPr>
          <w:b/>
        </w:rPr>
        <w:instrText>-</w:instrText>
      </w:r>
      <w:r w:rsidR="00FE2B46" w:rsidRPr="000322E4">
        <w:rPr>
          <w:b/>
          <w:lang w:val="en-US"/>
        </w:rPr>
        <w:instrText>year</w:instrText>
      </w:r>
      <w:r w:rsidR="00FE2B46" w:rsidRPr="000322E4">
        <w:rPr>
          <w:b/>
        </w:rPr>
        <w:instrText xml:space="preserve"> </w:instrText>
      </w:r>
      <w:r w:rsidR="00FE2B46" w:rsidRPr="000322E4">
        <w:rPr>
          <w:b/>
          <w:lang w:val="en-US"/>
        </w:rPr>
        <w:instrText>overall</w:instrText>
      </w:r>
      <w:r w:rsidR="00FE2B46" w:rsidRPr="000322E4">
        <w:rPr>
          <w:b/>
        </w:rPr>
        <w:instrText xml:space="preserve"> </w:instrText>
      </w:r>
      <w:r w:rsidR="00FE2B46" w:rsidRPr="000322E4">
        <w:rPr>
          <w:b/>
          <w:lang w:val="en-US"/>
        </w:rPr>
        <w:instrText>and</w:instrText>
      </w:r>
      <w:r w:rsidR="00FE2B46" w:rsidRPr="000322E4">
        <w:rPr>
          <w:b/>
        </w:rPr>
        <w:instrText xml:space="preserve"> </w:instrText>
      </w:r>
      <w:r w:rsidR="00FE2B46" w:rsidRPr="000322E4">
        <w:rPr>
          <w:b/>
          <w:lang w:val="en-US"/>
        </w:rPr>
        <w:instrText>event</w:instrText>
      </w:r>
      <w:r w:rsidR="00FE2B46" w:rsidRPr="000322E4">
        <w:rPr>
          <w:b/>
        </w:rPr>
        <w:instrText>-</w:instrText>
      </w:r>
      <w:r w:rsidR="00FE2B46" w:rsidRPr="000322E4">
        <w:rPr>
          <w:b/>
          <w:lang w:val="en-US"/>
        </w:rPr>
        <w:instrText>free</w:instrText>
      </w:r>
      <w:r w:rsidR="00FE2B46" w:rsidRPr="000322E4">
        <w:rPr>
          <w:b/>
        </w:rPr>
        <w:instrText xml:space="preserve"> </w:instrText>
      </w:r>
      <w:r w:rsidR="00FE2B46" w:rsidRPr="000322E4">
        <w:rPr>
          <w:b/>
          <w:lang w:val="en-US"/>
        </w:rPr>
        <w:instrText>survivals</w:instrText>
      </w:r>
      <w:r w:rsidR="00FE2B46" w:rsidRPr="000322E4">
        <w:rPr>
          <w:b/>
        </w:rPr>
        <w:instrText xml:space="preserve"> </w:instrText>
      </w:r>
      <w:r w:rsidR="00FE2B46" w:rsidRPr="000322E4">
        <w:rPr>
          <w:b/>
          <w:lang w:val="en-US"/>
        </w:rPr>
        <w:instrText>were</w:instrText>
      </w:r>
      <w:r w:rsidR="00FE2B46" w:rsidRPr="000322E4">
        <w:rPr>
          <w:b/>
        </w:rPr>
        <w:instrText xml:space="preserve"> 55% (95% </w:instrText>
      </w:r>
      <w:r w:rsidR="00FE2B46" w:rsidRPr="000322E4">
        <w:rPr>
          <w:b/>
          <w:lang w:val="en-US"/>
        </w:rPr>
        <w:instrText>CI</w:instrText>
      </w:r>
      <w:r w:rsidR="00FE2B46" w:rsidRPr="000322E4">
        <w:rPr>
          <w:b/>
        </w:rPr>
        <w:instrText xml:space="preserve">, 38-72) </w:instrText>
      </w:r>
      <w:r w:rsidR="00FE2B46" w:rsidRPr="000322E4">
        <w:rPr>
          <w:b/>
          <w:lang w:val="en-US"/>
        </w:rPr>
        <w:instrText>and</w:instrText>
      </w:r>
      <w:r w:rsidR="00FE2B46" w:rsidRPr="000322E4">
        <w:rPr>
          <w:b/>
        </w:rPr>
        <w:instrText xml:space="preserve"> 45% (95%</w:instrText>
      </w:r>
      <w:r w:rsidR="00FE2B46" w:rsidRPr="000322E4">
        <w:rPr>
          <w:b/>
          <w:lang w:val="en-US"/>
        </w:rPr>
        <w:instrText>CI</w:instrText>
      </w:r>
      <w:r w:rsidR="00FE2B46" w:rsidRPr="000322E4">
        <w:rPr>
          <w:b/>
        </w:rPr>
        <w:instrText xml:space="preserve">, 28-62), </w:instrText>
      </w:r>
      <w:r w:rsidR="00FE2B46" w:rsidRPr="000322E4">
        <w:rPr>
          <w:b/>
          <w:lang w:val="en-US"/>
        </w:rPr>
        <w:instrText>respectively</w:instrText>
      </w:r>
      <w:r w:rsidR="00FE2B46" w:rsidRPr="000322E4">
        <w:rPr>
          <w:b/>
        </w:rPr>
        <w:instrText xml:space="preserve">. </w:instrText>
      </w:r>
      <w:r w:rsidR="00FE2B46" w:rsidRPr="000322E4">
        <w:rPr>
          <w:b/>
          <w:lang w:val="en-US"/>
        </w:rPr>
        <w:instrText>The</w:instrText>
      </w:r>
      <w:r w:rsidR="00FE2B46" w:rsidRPr="000322E4">
        <w:rPr>
          <w:b/>
        </w:rPr>
        <w:instrText xml:space="preserve"> </w:instrText>
      </w:r>
      <w:r w:rsidR="00FE2B46" w:rsidRPr="000322E4">
        <w:rPr>
          <w:b/>
          <w:lang w:val="en-US"/>
        </w:rPr>
        <w:instrText>only</w:instrText>
      </w:r>
      <w:r w:rsidR="00FE2B46" w:rsidRPr="000322E4">
        <w:rPr>
          <w:b/>
        </w:rPr>
        <w:instrText xml:space="preserve"> </w:instrText>
      </w:r>
      <w:r w:rsidR="00FE2B46" w:rsidRPr="000322E4">
        <w:rPr>
          <w:b/>
          <w:lang w:val="en-US"/>
        </w:rPr>
        <w:instrText>relevant</w:instrText>
      </w:r>
      <w:r w:rsidR="00FE2B46" w:rsidRPr="000322E4">
        <w:rPr>
          <w:b/>
        </w:rPr>
        <w:instrText xml:space="preserve"> </w:instrText>
      </w:r>
      <w:r w:rsidR="00FE2B46" w:rsidRPr="000322E4">
        <w:rPr>
          <w:b/>
          <w:lang w:val="en-US"/>
        </w:rPr>
        <w:instrText>toxicity</w:instrText>
      </w:r>
      <w:r w:rsidR="00FE2B46" w:rsidRPr="000322E4">
        <w:rPr>
          <w:b/>
        </w:rPr>
        <w:instrText xml:space="preserve"> </w:instrText>
      </w:r>
      <w:r w:rsidR="00FE2B46" w:rsidRPr="000322E4">
        <w:rPr>
          <w:b/>
          <w:lang w:val="en-US"/>
        </w:rPr>
        <w:instrText>was</w:instrText>
      </w:r>
      <w:r w:rsidR="00FE2B46" w:rsidRPr="000322E4">
        <w:rPr>
          <w:b/>
        </w:rPr>
        <w:instrText xml:space="preserve"> </w:instrText>
      </w:r>
      <w:r w:rsidR="00FE2B46" w:rsidRPr="000322E4">
        <w:rPr>
          <w:b/>
          <w:lang w:val="en-US"/>
        </w:rPr>
        <w:instrText>neutropenia</w:instrText>
      </w:r>
      <w:r w:rsidR="00FE2B46" w:rsidRPr="000322E4">
        <w:rPr>
          <w:b/>
        </w:rPr>
        <w:instrText xml:space="preserve">, </w:instrText>
      </w:r>
      <w:r w:rsidR="00FE2B46" w:rsidRPr="000322E4">
        <w:rPr>
          <w:b/>
          <w:lang w:val="en-US"/>
        </w:rPr>
        <w:instrText>which</w:instrText>
      </w:r>
      <w:r w:rsidR="00FE2B46" w:rsidRPr="000322E4">
        <w:rPr>
          <w:b/>
        </w:rPr>
        <w:instrText xml:space="preserve"> </w:instrText>
      </w:r>
      <w:r w:rsidR="00FE2B46" w:rsidRPr="000322E4">
        <w:rPr>
          <w:b/>
          <w:lang w:val="en-US"/>
        </w:rPr>
        <w:instrText>reached</w:instrText>
      </w:r>
      <w:r w:rsidR="00FE2B46" w:rsidRPr="000322E4">
        <w:rPr>
          <w:b/>
        </w:rPr>
        <w:instrText xml:space="preserve"> </w:instrText>
      </w:r>
      <w:r w:rsidR="00FE2B46" w:rsidRPr="000322E4">
        <w:rPr>
          <w:b/>
          <w:lang w:val="en-US"/>
        </w:rPr>
        <w:instrText>grades</w:instrText>
      </w:r>
      <w:r w:rsidR="00FE2B46" w:rsidRPr="000322E4">
        <w:rPr>
          <w:b/>
        </w:rPr>
        <w:instrText xml:space="preserve"> 3-4 </w:instrText>
      </w:r>
      <w:r w:rsidR="00FE2B46" w:rsidRPr="000322E4">
        <w:rPr>
          <w:b/>
          <w:lang w:val="en-US"/>
        </w:rPr>
        <w:instrText>in</w:instrText>
      </w:r>
      <w:r w:rsidR="00FE2B46" w:rsidRPr="000322E4">
        <w:rPr>
          <w:b/>
        </w:rPr>
        <w:instrText xml:space="preserve"> 21 </w:instrText>
      </w:r>
      <w:r w:rsidR="00FE2B46" w:rsidRPr="000322E4">
        <w:rPr>
          <w:b/>
          <w:lang w:val="en-US"/>
        </w:rPr>
        <w:instrText>cases</w:instrText>
      </w:r>
      <w:r w:rsidR="00FE2B46" w:rsidRPr="000322E4">
        <w:rPr>
          <w:b/>
        </w:rPr>
        <w:instrText xml:space="preserve"> (64%). </w:instrText>
      </w:r>
      <w:r w:rsidR="00FE2B46" w:rsidRPr="000322E4">
        <w:rPr>
          <w:b/>
          <w:lang w:val="en-US"/>
        </w:rPr>
        <w:instrText>INTERPRETATION</w:instrText>
      </w:r>
      <w:r w:rsidR="00FE2B46" w:rsidRPr="000322E4">
        <w:rPr>
          <w:b/>
        </w:rPr>
        <w:instrText xml:space="preserve"> </w:instrText>
      </w:r>
      <w:r w:rsidR="00FE2B46" w:rsidRPr="000322E4">
        <w:rPr>
          <w:b/>
          <w:lang w:val="en-US"/>
        </w:rPr>
        <w:instrText>AND</w:instrText>
      </w:r>
      <w:r w:rsidR="00FE2B46" w:rsidRPr="000322E4">
        <w:rPr>
          <w:b/>
        </w:rPr>
        <w:instrText xml:space="preserve"> </w:instrText>
      </w:r>
      <w:r w:rsidR="00FE2B46" w:rsidRPr="000322E4">
        <w:rPr>
          <w:b/>
          <w:lang w:val="en-US"/>
        </w:rPr>
        <w:instrText>CONCLUSIONS</w:instrText>
      </w:r>
      <w:r w:rsidR="00FE2B46" w:rsidRPr="000322E4">
        <w:rPr>
          <w:b/>
        </w:rPr>
        <w:instrText xml:space="preserve"> </w:instrText>
      </w:r>
      <w:r w:rsidR="00FE2B46" w:rsidRPr="000322E4">
        <w:rPr>
          <w:b/>
          <w:lang w:val="en-US"/>
        </w:rPr>
        <w:instrText>These</w:instrText>
      </w:r>
      <w:r w:rsidR="00FE2B46" w:rsidRPr="000322E4">
        <w:rPr>
          <w:b/>
        </w:rPr>
        <w:instrText xml:space="preserve"> </w:instrText>
      </w:r>
      <w:r w:rsidR="00FE2B46" w:rsidRPr="000322E4">
        <w:rPr>
          <w:b/>
          <w:lang w:val="en-US"/>
        </w:rPr>
        <w:instrText>results</w:instrText>
      </w:r>
      <w:r w:rsidR="00FE2B46" w:rsidRPr="000322E4">
        <w:rPr>
          <w:b/>
        </w:rPr>
        <w:instrText xml:space="preserve"> </w:instrText>
      </w:r>
      <w:r w:rsidR="00FE2B46" w:rsidRPr="000322E4">
        <w:rPr>
          <w:b/>
          <w:lang w:val="en-US"/>
        </w:rPr>
        <w:instrText>suggest</w:instrText>
      </w:r>
      <w:r w:rsidR="00FE2B46" w:rsidRPr="000322E4">
        <w:rPr>
          <w:b/>
        </w:rPr>
        <w:instrText xml:space="preserve"> </w:instrText>
      </w:r>
      <w:r w:rsidR="00FE2B46" w:rsidRPr="000322E4">
        <w:rPr>
          <w:b/>
          <w:lang w:val="en-US"/>
        </w:rPr>
        <w:instrText>that</w:instrText>
      </w:r>
      <w:r w:rsidR="00FE2B46" w:rsidRPr="000322E4">
        <w:rPr>
          <w:b/>
        </w:rPr>
        <w:instrText xml:space="preserve"> </w:instrText>
      </w:r>
      <w:r w:rsidR="00FE2B46" w:rsidRPr="000322E4">
        <w:rPr>
          <w:b/>
          <w:lang w:val="en-US"/>
        </w:rPr>
        <w:instrText>CCOP</w:instrText>
      </w:r>
      <w:r w:rsidR="00FE2B46" w:rsidRPr="000322E4">
        <w:rPr>
          <w:b/>
        </w:rPr>
        <w:instrText xml:space="preserve"> </w:instrText>
      </w:r>
      <w:r w:rsidR="00FE2B46" w:rsidRPr="000322E4">
        <w:rPr>
          <w:b/>
          <w:lang w:val="en-US"/>
        </w:rPr>
        <w:instrText>appears</w:instrText>
      </w:r>
      <w:r w:rsidR="00FE2B46" w:rsidRPr="000322E4">
        <w:rPr>
          <w:b/>
        </w:rPr>
        <w:instrText xml:space="preserve"> </w:instrText>
      </w:r>
      <w:r w:rsidR="00FE2B46" w:rsidRPr="000322E4">
        <w:rPr>
          <w:b/>
          <w:lang w:val="en-US"/>
        </w:rPr>
        <w:instrText>to</w:instrText>
      </w:r>
      <w:r w:rsidR="00FE2B46" w:rsidRPr="000322E4">
        <w:rPr>
          <w:b/>
        </w:rPr>
        <w:instrText xml:space="preserve"> </w:instrText>
      </w:r>
      <w:r w:rsidR="00FE2B46" w:rsidRPr="000322E4">
        <w:rPr>
          <w:b/>
          <w:lang w:val="en-US"/>
        </w:rPr>
        <w:instrText>be</w:instrText>
      </w:r>
      <w:r w:rsidR="00FE2B46" w:rsidRPr="000322E4">
        <w:rPr>
          <w:b/>
        </w:rPr>
        <w:instrText xml:space="preserve"> </w:instrText>
      </w:r>
      <w:r w:rsidR="00FE2B46" w:rsidRPr="000322E4">
        <w:rPr>
          <w:b/>
          <w:lang w:val="en-US"/>
        </w:rPr>
        <w:instrText>an</w:instrText>
      </w:r>
      <w:r w:rsidR="00FE2B46" w:rsidRPr="000322E4">
        <w:rPr>
          <w:b/>
        </w:rPr>
        <w:instrText xml:space="preserve"> </w:instrText>
      </w:r>
      <w:r w:rsidR="00FE2B46" w:rsidRPr="000322E4">
        <w:rPr>
          <w:b/>
          <w:lang w:val="en-US"/>
        </w:rPr>
        <w:instrText>acceptable</w:instrText>
      </w:r>
      <w:r w:rsidR="00FE2B46" w:rsidRPr="000322E4">
        <w:rPr>
          <w:b/>
        </w:rPr>
        <w:instrText xml:space="preserve"> </w:instrText>
      </w:r>
      <w:r w:rsidR="00FE2B46" w:rsidRPr="000322E4">
        <w:rPr>
          <w:b/>
          <w:lang w:val="en-US"/>
        </w:rPr>
        <w:instrText>alternative</w:instrText>
      </w:r>
      <w:r w:rsidR="00FE2B46" w:rsidRPr="000322E4">
        <w:rPr>
          <w:b/>
        </w:rPr>
        <w:instrText xml:space="preserve"> </w:instrText>
      </w:r>
      <w:r w:rsidR="00FE2B46" w:rsidRPr="000322E4">
        <w:rPr>
          <w:b/>
          <w:lang w:val="en-US"/>
        </w:rPr>
        <w:instrText>for</w:instrText>
      </w:r>
      <w:r w:rsidR="00FE2B46" w:rsidRPr="000322E4">
        <w:rPr>
          <w:b/>
        </w:rPr>
        <w:instrText xml:space="preserve"> </w:instrText>
      </w:r>
      <w:r w:rsidR="00FE2B46" w:rsidRPr="000322E4">
        <w:rPr>
          <w:b/>
          <w:lang w:val="en-US"/>
        </w:rPr>
        <w:instrText>elderly</w:instrText>
      </w:r>
      <w:r w:rsidR="00FE2B46" w:rsidRPr="000322E4">
        <w:rPr>
          <w:b/>
        </w:rPr>
        <w:instrText xml:space="preserve"> </w:instrText>
      </w:r>
      <w:r w:rsidR="00FE2B46" w:rsidRPr="000322E4">
        <w:rPr>
          <w:b/>
          <w:lang w:val="en-US"/>
        </w:rPr>
        <w:instrText>patients</w:instrText>
      </w:r>
      <w:r w:rsidR="00FE2B46" w:rsidRPr="000322E4">
        <w:rPr>
          <w:b/>
        </w:rPr>
        <w:instrText xml:space="preserve"> </w:instrText>
      </w:r>
      <w:r w:rsidR="00FE2B46" w:rsidRPr="000322E4">
        <w:rPr>
          <w:b/>
          <w:lang w:val="en-US"/>
        </w:rPr>
        <w:instrText>with</w:instrText>
      </w:r>
      <w:r w:rsidR="00FE2B46" w:rsidRPr="000322E4">
        <w:rPr>
          <w:b/>
        </w:rPr>
        <w:instrText xml:space="preserve"> </w:instrText>
      </w:r>
      <w:r w:rsidR="00FE2B46" w:rsidRPr="000322E4">
        <w:rPr>
          <w:b/>
          <w:lang w:val="en-US"/>
        </w:rPr>
        <w:instrText>DLBCL</w:instrText>
      </w:r>
      <w:r w:rsidR="00FE2B46" w:rsidRPr="000322E4">
        <w:rPr>
          <w:b/>
        </w:rPr>
        <w:instrText xml:space="preserve">, </w:instrText>
      </w:r>
      <w:r w:rsidR="00FE2B46" w:rsidRPr="000322E4">
        <w:rPr>
          <w:b/>
          <w:lang w:val="en-US"/>
        </w:rPr>
        <w:instrText>and</w:instrText>
      </w:r>
      <w:r w:rsidR="00FE2B46" w:rsidRPr="000322E4">
        <w:rPr>
          <w:b/>
        </w:rPr>
        <w:instrText xml:space="preserve"> </w:instrText>
      </w:r>
      <w:r w:rsidR="00FE2B46" w:rsidRPr="000322E4">
        <w:rPr>
          <w:b/>
          <w:lang w:val="en-US"/>
        </w:rPr>
        <w:instrText>randomized trials against a conventional doxorubicin-containing regimen are justified.","author":[{"dropping-particle":"","family":"Martino","given":"Rodrigo","non-dropping-particle":"","parse-names":false,"suffix":""},{"dropping-particle":"","family":"Perea","given":"Granada","non-dropping-particle":"","parse-names":false,"suffix":""},{"dropping-particle":"","family":"Caballero","given":"María Dolores","non-dropping-particle":"","parse-names":false,"suffix":""},{"dropping-particle":"V","family":"Mateos","given":"María","non-dropping-particle":"","parse-names":false,"suffix":""},{"dropping-particle":"","family":"Ribera","given":"Josep M","non-dropping-particle":"","parse-names":false,"suffix":""},{"dropping-particle":"","family":"Oteyza","given":"Jaime Pérez","non-dropping-particle":"de","parse-names":false,"suffix":""},{"dropping-particle":"","family":"Arranz","given":"Reyes","non-dropping-particle":"","parse-names":false,"suffix":""},{"dropping-particle":"","family":"Terol","given":"María José","non-dropping-particle":"","parse-names":false,"suffix":""},{"dropping-particle":"","family":"Sierra","given":"Jorge","non-dropping-particle":"","parse-names":false,"suffix":""},{"dropping-particle":"","family":"San Miguel","given":"Jesús F","non-dropping-particle":"","parse-names":false,"suffix":""}],"container-title":"Haematologica","id":"ITEM-1","issue":"8","issued":{"date-parts":[["2002","8","1"]]},"page":"822-7","publisher":"Haematologica","title":"Cyclophosphamide, pegylated liposomal doxorubicin (Caelyx), vincristine and prednisone (CCOP) in elderly patients with diffuse large B-cell lymphoma: results from a prospective phase II study.","type":"article-journal","volume":"87"},"uris":["http://www.mendeley.com/documents/?uuid=3f2e1abe-b820-48c7-b6d1-a9c3185592ee"]}],"mendeley":{"formattedCitation":"[50]","plainTextFormattedCitation":"[50]","previouslyFormattedCitation":"[50]"},"properties":{"noteIndex":0},"schema":"https://github.com/citation-style-language/schema/raw/master/csl-citation.json"}</w:instrText>
      </w:r>
      <w:r w:rsidRPr="000322E4">
        <w:rPr>
          <w:b/>
          <w:lang w:val="en-US"/>
        </w:rPr>
        <w:fldChar w:fldCharType="separate"/>
      </w:r>
      <w:r w:rsidRPr="000322E4">
        <w:rPr>
          <w:noProof/>
        </w:rPr>
        <w:t>[50]</w:t>
      </w:r>
      <w:r w:rsidRPr="000322E4">
        <w:rPr>
          <w:b/>
          <w:lang w:val="en-US"/>
        </w:rPr>
        <w:fldChar w:fldCharType="end"/>
      </w:r>
    </w:p>
    <w:p w14:paraId="2EF813D8" w14:textId="77777777" w:rsidR="00666D68" w:rsidRPr="000322E4" w:rsidRDefault="00666D68" w:rsidP="008E3584">
      <w:pPr>
        <w:numPr>
          <w:ilvl w:val="0"/>
          <w:numId w:val="41"/>
        </w:numPr>
      </w:pPr>
      <w:r w:rsidRPr="000322E4">
        <w:t>Ритуксимаб</w:t>
      </w:r>
      <w:r w:rsidRPr="000322E4">
        <w:rPr>
          <w:bCs/>
        </w:rPr>
        <w:t>**</w:t>
      </w:r>
      <w:r w:rsidRPr="000322E4">
        <w:t xml:space="preserve"> </w:t>
      </w:r>
      <w:r w:rsidRPr="000322E4">
        <w:fldChar w:fldCharType="begin" w:fldLock="1"/>
      </w:r>
      <w:r w:rsidRPr="000322E4">
        <w:instrText>ADDIN CSL_CITATION {"citationItems":[{"id":"ITEM-1","itemData":{"DOI":"10.1007/s12325-017-0612-x","ISSN":"18658652","abstract":"Abstract: Rituximab is a human/murine, chimeric anti-CD20 monoclonal antibody with established efficacy, and a favorable and well-defined safety profile in patients with various CD20-expressing lymphoid malignancies, including indolent and aggressive forms of B-cell non-Hodgkin lymphoma. Since its first approval 20 years ago, intravenously administered rituximab has revolutionized the treatment of B-cell malignancies and has become a standard component of care for follicular lymphoma, diffuse large B-cell lymphoma, chronic lymphocytic leukemia, and mantle cell lymphoma. For all of these diseases, clinical trials have demonstrated that rituximab not only prolongs the time to disease progression but also extends overall survival. Efficacy benefits have also been shown in patients with marginal zone lymphoma and in more aggressive diseases such as Burkitt lymphoma. Although the proven clinical efficacy and success of rituximab has led to the development of other anti-CD20 monoclonal antibodies in recent years (e.g., obinutuzumab, ofatumumab, veltuzumab, and ocrelizumab), rituximab is likely to maintain a position within the therapeutic armamentarium because it is well established with a long history of successful clinical use. Furthermore, a subcutaneous formulation of the drug has been approved both in the EU and in the USA for the treatment of B-cell malignancies. Using the wealth of data published on rituximab during the last two decades, we review the preclinical development of rituximab and the clinical experience gained in the treatment of hematologic B-cell malignancies, with a focus on the well-established intravenous route of administration. This article is a companion paper to A. Davies, et al., which is also published in this issue. Funding: F. Hoffmann-La Roche Ltd., Basel, Switzerland.","author":[{"dropping-particle":"","family":"Salles","given":"Gilles","non-dropping-particle":"","parse-names":false,"suffix":""},{"dropping-particle":"","family":"Barrett","given":"Martin","non-dropping-particle":"","parse-names":false,"suffix":""},{"dropping-particle":"","family":"Foà","given":"Robin","non-dropping-particle":"","parse-names":false,"suffix":""},{"dropping-particle":"","family":"Maurer","given":"Joerg","non-dropping-particle":"","parse-names":false,"suffix":""},{"dropping-particle":"","family":"O’Brien","given":"Susan","non-dropping-particle":"","parse-names":false,"suffix":""},{"dropping-particle":"","family":"Valente","given":"Nancy","non-dropping-particle":"","parse-names":false,"suffix":""},{"dropping-particle":"","family":"Wenger","given":"Michael","non-dropping-particle":"","parse-names":false,"suffix":""},{"dropping-particle":"","family":"Maloney","given":"David G.","non-dropping-particle":"","parse-names":false,"suffix":""}],"container-title":"Advances in Therapy","id":"ITEM-1","issue":"10","issued":{"date-parts":[["2017"]]},"page":"2232-2273","title":"Rituximab in B-Cell Hematologic Malignancies: A Review of 20 Years of Clinical Experience","type":"article","volume":"34"},"uris":["http://www.mendeley.com/documents/?uuid=99572feb-1e31-3440-866b-d3d6fcf81668"]}],"mendeley":{"formattedCitation":"[55]","plainTextFormattedCitation":"[55]","previouslyFormattedCitation":"[55]"},"properties":{"noteIndex":0},"schema":"https://github.com/citation-style-language/schema/raw/master/csl-citation.json"}</w:instrText>
      </w:r>
      <w:r w:rsidRPr="000322E4">
        <w:fldChar w:fldCharType="separate"/>
      </w:r>
      <w:r w:rsidRPr="000322E4">
        <w:rPr>
          <w:noProof/>
        </w:rPr>
        <w:t>[55]</w:t>
      </w:r>
      <w:r w:rsidRPr="000322E4">
        <w:fldChar w:fldCharType="end"/>
      </w:r>
    </w:p>
    <w:p w14:paraId="7E1E0AC6" w14:textId="77777777" w:rsidR="00666D68" w:rsidRPr="000322E4" w:rsidRDefault="00666D68" w:rsidP="008E3584">
      <w:pPr>
        <w:numPr>
          <w:ilvl w:val="1"/>
          <w:numId w:val="41"/>
        </w:numPr>
      </w:pPr>
      <w:r w:rsidRPr="000322E4">
        <w:t>375 мг/м</w:t>
      </w:r>
      <w:r w:rsidRPr="000322E4">
        <w:rPr>
          <w:vertAlign w:val="superscript"/>
        </w:rPr>
        <w:t>2</w:t>
      </w:r>
      <w:r w:rsidRPr="000322E4">
        <w:t xml:space="preserve"> в/в кап., день 0 или 1 все циклы курса</w:t>
      </w:r>
    </w:p>
    <w:p w14:paraId="61904ECE" w14:textId="77777777" w:rsidR="00666D68" w:rsidRPr="000322E4" w:rsidRDefault="00666D68" w:rsidP="008E3584">
      <w:pPr>
        <w:ind w:left="1080" w:firstLine="336"/>
      </w:pPr>
      <w:r w:rsidRPr="000322E4">
        <w:t>или</w:t>
      </w:r>
    </w:p>
    <w:p w14:paraId="782C1EDB" w14:textId="20F695E6" w:rsidR="00666D68" w:rsidRPr="000322E4" w:rsidRDefault="00666D68" w:rsidP="008E3584">
      <w:pPr>
        <w:pStyle w:val="afe"/>
        <w:numPr>
          <w:ilvl w:val="1"/>
          <w:numId w:val="41"/>
        </w:numPr>
        <w:contextualSpacing w:val="0"/>
        <w:rPr>
          <w:lang w:eastAsia="ru-RU"/>
        </w:rPr>
      </w:pPr>
      <w:r w:rsidRPr="000322E4">
        <w:rPr>
          <w:lang w:eastAsia="ru-RU"/>
        </w:rPr>
        <w:t>375 мг/м</w:t>
      </w:r>
      <w:r w:rsidRPr="000322E4">
        <w:rPr>
          <w:vertAlign w:val="superscript"/>
          <w:lang w:eastAsia="ru-RU"/>
        </w:rPr>
        <w:t>2</w:t>
      </w:r>
      <w:r w:rsidRPr="000322E4">
        <w:rPr>
          <w:lang w:eastAsia="ru-RU"/>
        </w:rPr>
        <w:t xml:space="preserve"> в/в кап. 1 цикл,</w:t>
      </w:r>
      <w:r w:rsidRPr="000322E4">
        <w:t xml:space="preserve"> далее ритуксимаб 1400 мг п/к,</w:t>
      </w:r>
      <w:r w:rsidRPr="000322E4">
        <w:rPr>
          <w:lang w:eastAsia="ru-RU"/>
        </w:rPr>
        <w:t xml:space="preserve"> день 0 или 1 </w:t>
      </w:r>
      <w:r w:rsidRPr="000322E4">
        <w:rPr>
          <w:lang w:val="en-US" w:eastAsia="ru-RU"/>
        </w:rPr>
        <w:fldChar w:fldCharType="begin" w:fldLock="1"/>
      </w:r>
      <w:r w:rsidR="00E974B2">
        <w:rPr>
          <w:lang w:val="en-US" w:eastAsia="ru-RU"/>
        </w:rPr>
        <w:instrText>ADDIN</w:instrText>
      </w:r>
      <w:r w:rsidR="00E974B2" w:rsidRPr="006C476A">
        <w:rPr>
          <w:lang w:eastAsia="ru-RU"/>
        </w:rPr>
        <w:instrText xml:space="preserve"> </w:instrText>
      </w:r>
      <w:r w:rsidR="00E974B2">
        <w:rPr>
          <w:lang w:val="en-US" w:eastAsia="ru-RU"/>
        </w:rPr>
        <w:instrText>CSL</w:instrText>
      </w:r>
      <w:r w:rsidR="00E974B2" w:rsidRPr="006C476A">
        <w:rPr>
          <w:lang w:eastAsia="ru-RU"/>
        </w:rPr>
        <w:instrText>_</w:instrText>
      </w:r>
      <w:r w:rsidR="00E974B2">
        <w:rPr>
          <w:lang w:val="en-US" w:eastAsia="ru-RU"/>
        </w:rPr>
        <w:instrText>CITATION</w:instrText>
      </w:r>
      <w:r w:rsidR="00E974B2" w:rsidRPr="006C476A">
        <w:rPr>
          <w:lang w:eastAsia="ru-RU"/>
        </w:rPr>
        <w:instrText xml:space="preserve"> {"</w:instrText>
      </w:r>
      <w:r w:rsidR="00E974B2">
        <w:rPr>
          <w:lang w:val="en-US" w:eastAsia="ru-RU"/>
        </w:rPr>
        <w:instrText>citationItems</w:instrText>
      </w:r>
      <w:r w:rsidR="00E974B2" w:rsidRPr="006C476A">
        <w:rPr>
          <w:lang w:eastAsia="ru-RU"/>
        </w:rPr>
        <w:instrText>":[{"</w:instrText>
      </w:r>
      <w:r w:rsidR="00E974B2">
        <w:rPr>
          <w:lang w:val="en-US" w:eastAsia="ru-RU"/>
        </w:rPr>
        <w:instrText>id</w:instrText>
      </w:r>
      <w:r w:rsidR="00E974B2" w:rsidRPr="006C476A">
        <w:rPr>
          <w:lang w:eastAsia="ru-RU"/>
        </w:rPr>
        <w:instrText>":"</w:instrText>
      </w:r>
      <w:r w:rsidR="00E974B2">
        <w:rPr>
          <w:lang w:val="en-US" w:eastAsia="ru-RU"/>
        </w:rPr>
        <w:instrText>ITEM</w:instrText>
      </w:r>
      <w:r w:rsidR="00E974B2" w:rsidRPr="006C476A">
        <w:rPr>
          <w:lang w:eastAsia="ru-RU"/>
        </w:rPr>
        <w:instrText>-1","</w:instrText>
      </w:r>
      <w:r w:rsidR="00E974B2">
        <w:rPr>
          <w:lang w:val="en-US" w:eastAsia="ru-RU"/>
        </w:rPr>
        <w:instrText>itemData</w:instrText>
      </w:r>
      <w:r w:rsidR="00E974B2" w:rsidRPr="006C476A">
        <w:rPr>
          <w:lang w:eastAsia="ru-RU"/>
        </w:rPr>
        <w:instrText>":{"</w:instrText>
      </w:r>
      <w:r w:rsidR="00E974B2">
        <w:rPr>
          <w:lang w:val="en-US" w:eastAsia="ru-RU"/>
        </w:rPr>
        <w:instrText>ISSN</w:instrText>
      </w:r>
      <w:r w:rsidR="00E974B2" w:rsidRPr="006C476A">
        <w:rPr>
          <w:lang w:eastAsia="ru-RU"/>
        </w:rPr>
        <w:instrText>":"2150-0878","</w:instrText>
      </w:r>
      <w:r w:rsidR="00E974B2">
        <w:rPr>
          <w:lang w:val="en-US" w:eastAsia="ru-RU"/>
        </w:rPr>
        <w:instrText>PMID</w:instrText>
      </w:r>
      <w:r w:rsidR="00E974B2" w:rsidRPr="006C476A">
        <w:rPr>
          <w:lang w:eastAsia="ru-RU"/>
        </w:rPr>
        <w:instrText>":"31086689","</w:instrText>
      </w:r>
      <w:r w:rsidR="00E974B2">
        <w:rPr>
          <w:lang w:val="en-US" w:eastAsia="ru-RU"/>
        </w:rPr>
        <w:instrText>abstract</w:instrText>
      </w:r>
      <w:r w:rsidR="00E974B2" w:rsidRPr="006C476A">
        <w:rPr>
          <w:lang w:eastAsia="ru-RU"/>
        </w:rPr>
        <w:instrText>":"</w:instrText>
      </w:r>
      <w:r w:rsidR="00E974B2">
        <w:rPr>
          <w:lang w:val="en-US" w:eastAsia="ru-RU"/>
        </w:rPr>
        <w:instrText>Rituximab</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hyaluronidase</w:instrText>
      </w:r>
      <w:r w:rsidR="00E974B2" w:rsidRPr="006C476A">
        <w:rPr>
          <w:lang w:eastAsia="ru-RU"/>
        </w:rPr>
        <w:instrText xml:space="preserve"> </w:instrText>
      </w:r>
      <w:r w:rsidR="00E974B2">
        <w:rPr>
          <w:lang w:val="en-US" w:eastAsia="ru-RU"/>
        </w:rPr>
        <w:instrText>human</w:instrText>
      </w:r>
      <w:r w:rsidR="00E974B2" w:rsidRPr="006C476A">
        <w:rPr>
          <w:lang w:eastAsia="ru-RU"/>
        </w:rPr>
        <w:instrText xml:space="preserve"> </w:instrText>
      </w:r>
      <w:r w:rsidR="00E974B2">
        <w:rPr>
          <w:lang w:val="en-US" w:eastAsia="ru-RU"/>
        </w:rPr>
        <w:instrText>is</w:instrText>
      </w:r>
      <w:r w:rsidR="00E974B2" w:rsidRPr="006C476A">
        <w:rPr>
          <w:lang w:eastAsia="ru-RU"/>
        </w:rPr>
        <w:instrText xml:space="preserve"> </w:instrText>
      </w:r>
      <w:r w:rsidR="00E974B2">
        <w:rPr>
          <w:lang w:val="en-US" w:eastAsia="ru-RU"/>
        </w:rPr>
        <w:instrText>a</w:instrText>
      </w:r>
      <w:r w:rsidR="00E974B2" w:rsidRPr="006C476A">
        <w:rPr>
          <w:lang w:eastAsia="ru-RU"/>
        </w:rPr>
        <w:instrText xml:space="preserve"> </w:instrText>
      </w:r>
      <w:r w:rsidR="00E974B2">
        <w:rPr>
          <w:lang w:val="en-US" w:eastAsia="ru-RU"/>
        </w:rPr>
        <w:instrText>new</w:instrText>
      </w:r>
      <w:r w:rsidR="00E974B2" w:rsidRPr="006C476A">
        <w:rPr>
          <w:lang w:eastAsia="ru-RU"/>
        </w:rPr>
        <w:instrText xml:space="preserve"> </w:instrText>
      </w:r>
      <w:r w:rsidR="00E974B2">
        <w:rPr>
          <w:lang w:val="en-US" w:eastAsia="ru-RU"/>
        </w:rPr>
        <w:instrText>subcutaneous</w:instrText>
      </w:r>
      <w:r w:rsidR="00E974B2" w:rsidRPr="006C476A">
        <w:rPr>
          <w:lang w:eastAsia="ru-RU"/>
        </w:rPr>
        <w:instrText xml:space="preserve"> </w:instrText>
      </w:r>
      <w:r w:rsidR="00E974B2">
        <w:rPr>
          <w:lang w:val="en-US" w:eastAsia="ru-RU"/>
        </w:rPr>
        <w:instrText>formulation</w:instrText>
      </w:r>
      <w:r w:rsidR="00E974B2" w:rsidRPr="006C476A">
        <w:rPr>
          <w:lang w:eastAsia="ru-RU"/>
        </w:rPr>
        <w:instrText xml:space="preserve"> </w:instrText>
      </w:r>
      <w:r w:rsidR="00E974B2">
        <w:rPr>
          <w:lang w:val="en-US" w:eastAsia="ru-RU"/>
        </w:rPr>
        <w:instrText>of</w:instrText>
      </w:r>
      <w:r w:rsidR="00E974B2" w:rsidRPr="006C476A">
        <w:rPr>
          <w:lang w:eastAsia="ru-RU"/>
        </w:rPr>
        <w:instrText xml:space="preserve"> </w:instrText>
      </w:r>
      <w:r w:rsidR="00E974B2">
        <w:rPr>
          <w:lang w:val="en-US" w:eastAsia="ru-RU"/>
        </w:rPr>
        <w:instrText>rituximab</w:instrText>
      </w:r>
      <w:r w:rsidR="00E974B2" w:rsidRPr="006C476A">
        <w:rPr>
          <w:lang w:eastAsia="ru-RU"/>
        </w:rPr>
        <w:instrText xml:space="preserve"> </w:instrText>
      </w:r>
      <w:r w:rsidR="00E974B2">
        <w:rPr>
          <w:lang w:val="en-US" w:eastAsia="ru-RU"/>
        </w:rPr>
        <w:instrText>that</w:instrText>
      </w:r>
      <w:r w:rsidR="00E974B2" w:rsidRPr="006C476A">
        <w:rPr>
          <w:lang w:eastAsia="ru-RU"/>
        </w:rPr>
        <w:instrText xml:space="preserve"> </w:instrText>
      </w:r>
      <w:r w:rsidR="00E974B2">
        <w:rPr>
          <w:lang w:val="en-US" w:eastAsia="ru-RU"/>
        </w:rPr>
        <w:instrText>was</w:instrText>
      </w:r>
      <w:r w:rsidR="00E974B2" w:rsidRPr="006C476A">
        <w:rPr>
          <w:lang w:eastAsia="ru-RU"/>
        </w:rPr>
        <w:instrText xml:space="preserve"> </w:instrText>
      </w:r>
      <w:r w:rsidR="00E974B2">
        <w:rPr>
          <w:lang w:val="en-US" w:eastAsia="ru-RU"/>
        </w:rPr>
        <w:instrText>recently</w:instrText>
      </w:r>
      <w:r w:rsidR="00E974B2" w:rsidRPr="006C476A">
        <w:rPr>
          <w:lang w:eastAsia="ru-RU"/>
        </w:rPr>
        <w:instrText xml:space="preserve"> </w:instrText>
      </w:r>
      <w:r w:rsidR="00E974B2">
        <w:rPr>
          <w:lang w:val="en-US" w:eastAsia="ru-RU"/>
        </w:rPr>
        <w:instrText>approved</w:instrText>
      </w:r>
      <w:r w:rsidR="00E974B2" w:rsidRPr="006C476A">
        <w:rPr>
          <w:lang w:eastAsia="ru-RU"/>
        </w:rPr>
        <w:instrText xml:space="preserve"> </w:instrText>
      </w:r>
      <w:r w:rsidR="00E974B2">
        <w:rPr>
          <w:lang w:val="en-US" w:eastAsia="ru-RU"/>
        </w:rPr>
        <w:instrText>by</w:instrText>
      </w:r>
      <w:r w:rsidR="00E974B2" w:rsidRPr="006C476A">
        <w:rPr>
          <w:lang w:eastAsia="ru-RU"/>
        </w:rPr>
        <w:instrText xml:space="preserve"> </w:instrText>
      </w:r>
      <w:r w:rsidR="00E974B2">
        <w:rPr>
          <w:lang w:val="en-US" w:eastAsia="ru-RU"/>
        </w:rPr>
        <w:instrText>the</w:instrText>
      </w:r>
      <w:r w:rsidR="00E974B2" w:rsidRPr="006C476A">
        <w:rPr>
          <w:lang w:eastAsia="ru-RU"/>
        </w:rPr>
        <w:instrText xml:space="preserve"> </w:instrText>
      </w:r>
      <w:r w:rsidR="00E974B2">
        <w:rPr>
          <w:lang w:val="en-US" w:eastAsia="ru-RU"/>
        </w:rPr>
        <w:instrText>US</w:instrText>
      </w:r>
      <w:r w:rsidR="00E974B2" w:rsidRPr="006C476A">
        <w:rPr>
          <w:lang w:eastAsia="ru-RU"/>
        </w:rPr>
        <w:instrText xml:space="preserve"> </w:instrText>
      </w:r>
      <w:r w:rsidR="00E974B2">
        <w:rPr>
          <w:lang w:val="en-US" w:eastAsia="ru-RU"/>
        </w:rPr>
        <w:instrText>Food</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Drug</w:instrText>
      </w:r>
      <w:r w:rsidR="00E974B2" w:rsidRPr="006C476A">
        <w:rPr>
          <w:lang w:eastAsia="ru-RU"/>
        </w:rPr>
        <w:instrText xml:space="preserve"> </w:instrText>
      </w:r>
      <w:r w:rsidR="00E974B2">
        <w:rPr>
          <w:lang w:val="en-US" w:eastAsia="ru-RU"/>
        </w:rPr>
        <w:instrText>Administration</w:instrText>
      </w:r>
      <w:r w:rsidR="00E974B2" w:rsidRPr="006C476A">
        <w:rPr>
          <w:lang w:eastAsia="ru-RU"/>
        </w:rPr>
        <w:instrText xml:space="preserve"> </w:instrText>
      </w:r>
      <w:r w:rsidR="00E974B2">
        <w:rPr>
          <w:lang w:val="en-US" w:eastAsia="ru-RU"/>
        </w:rPr>
        <w:instrText>for</w:instrText>
      </w:r>
      <w:r w:rsidR="00E974B2" w:rsidRPr="006C476A">
        <w:rPr>
          <w:lang w:eastAsia="ru-RU"/>
        </w:rPr>
        <w:instrText xml:space="preserve"> </w:instrText>
      </w:r>
      <w:r w:rsidR="00E974B2">
        <w:rPr>
          <w:lang w:val="en-US" w:eastAsia="ru-RU"/>
        </w:rPr>
        <w:instrText>the</w:instrText>
      </w:r>
      <w:r w:rsidR="00E974B2" w:rsidRPr="006C476A">
        <w:rPr>
          <w:lang w:eastAsia="ru-RU"/>
        </w:rPr>
        <w:instrText xml:space="preserve"> </w:instrText>
      </w:r>
      <w:r w:rsidR="00E974B2">
        <w:rPr>
          <w:lang w:val="en-US" w:eastAsia="ru-RU"/>
        </w:rPr>
        <w:instrText>treatment</w:instrText>
      </w:r>
      <w:r w:rsidR="00E974B2" w:rsidRPr="006C476A">
        <w:rPr>
          <w:lang w:eastAsia="ru-RU"/>
        </w:rPr>
        <w:instrText xml:space="preserve"> </w:instrText>
      </w:r>
      <w:r w:rsidR="00E974B2">
        <w:rPr>
          <w:lang w:val="en-US" w:eastAsia="ru-RU"/>
        </w:rPr>
        <w:instrText>of</w:instrText>
      </w:r>
      <w:r w:rsidR="00E974B2" w:rsidRPr="006C476A">
        <w:rPr>
          <w:lang w:eastAsia="ru-RU"/>
        </w:rPr>
        <w:instrText xml:space="preserve"> </w:instrText>
      </w:r>
      <w:r w:rsidR="00E974B2">
        <w:rPr>
          <w:lang w:val="en-US" w:eastAsia="ru-RU"/>
        </w:rPr>
        <w:instrText>adults</w:instrText>
      </w:r>
      <w:r w:rsidR="00E974B2" w:rsidRPr="006C476A">
        <w:rPr>
          <w:lang w:eastAsia="ru-RU"/>
        </w:rPr>
        <w:instrText xml:space="preserve"> </w:instrText>
      </w:r>
      <w:r w:rsidR="00E974B2">
        <w:rPr>
          <w:lang w:val="en-US" w:eastAsia="ru-RU"/>
        </w:rPr>
        <w:instrText>with</w:instrText>
      </w:r>
      <w:r w:rsidR="00E974B2" w:rsidRPr="006C476A">
        <w:rPr>
          <w:lang w:eastAsia="ru-RU"/>
        </w:rPr>
        <w:instrText xml:space="preserve"> </w:instrText>
      </w:r>
      <w:r w:rsidR="00E974B2">
        <w:rPr>
          <w:lang w:val="en-US" w:eastAsia="ru-RU"/>
        </w:rPr>
        <w:instrText>follicular</w:instrText>
      </w:r>
      <w:r w:rsidR="00E974B2" w:rsidRPr="006C476A">
        <w:rPr>
          <w:lang w:eastAsia="ru-RU"/>
        </w:rPr>
        <w:instrText xml:space="preserve"> </w:instrText>
      </w:r>
      <w:r w:rsidR="00E974B2">
        <w:rPr>
          <w:lang w:val="en-US" w:eastAsia="ru-RU"/>
        </w:rPr>
        <w:instrText>lymphoma</w:instrText>
      </w:r>
      <w:r w:rsidR="00E974B2" w:rsidRPr="006C476A">
        <w:rPr>
          <w:lang w:eastAsia="ru-RU"/>
        </w:rPr>
        <w:instrText xml:space="preserve">, </w:instrText>
      </w:r>
      <w:r w:rsidR="00E974B2">
        <w:rPr>
          <w:lang w:val="en-US" w:eastAsia="ru-RU"/>
        </w:rPr>
        <w:instrText>diffuse</w:instrText>
      </w:r>
      <w:r w:rsidR="00E974B2" w:rsidRPr="006C476A">
        <w:rPr>
          <w:lang w:eastAsia="ru-RU"/>
        </w:rPr>
        <w:instrText xml:space="preserve"> </w:instrText>
      </w:r>
      <w:r w:rsidR="00E974B2">
        <w:rPr>
          <w:lang w:val="en-US" w:eastAsia="ru-RU"/>
        </w:rPr>
        <w:instrText>large</w:instrText>
      </w:r>
      <w:r w:rsidR="00E974B2" w:rsidRPr="006C476A">
        <w:rPr>
          <w:lang w:eastAsia="ru-RU"/>
        </w:rPr>
        <w:instrText xml:space="preserve"> </w:instrText>
      </w:r>
      <w:r w:rsidR="00E974B2">
        <w:rPr>
          <w:lang w:val="en-US" w:eastAsia="ru-RU"/>
        </w:rPr>
        <w:instrText>B</w:instrText>
      </w:r>
      <w:r w:rsidR="00E974B2" w:rsidRPr="006C476A">
        <w:rPr>
          <w:lang w:eastAsia="ru-RU"/>
        </w:rPr>
        <w:instrText>-</w:instrText>
      </w:r>
      <w:r w:rsidR="00E974B2">
        <w:rPr>
          <w:lang w:val="en-US" w:eastAsia="ru-RU"/>
        </w:rPr>
        <w:instrText>cell</w:instrText>
      </w:r>
      <w:r w:rsidR="00E974B2" w:rsidRPr="006C476A">
        <w:rPr>
          <w:lang w:eastAsia="ru-RU"/>
        </w:rPr>
        <w:instrText xml:space="preserve"> </w:instrText>
      </w:r>
      <w:r w:rsidR="00E974B2">
        <w:rPr>
          <w:lang w:val="en-US" w:eastAsia="ru-RU"/>
        </w:rPr>
        <w:instrText>lymphoma</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chronic</w:instrText>
      </w:r>
      <w:r w:rsidR="00E974B2" w:rsidRPr="006C476A">
        <w:rPr>
          <w:lang w:eastAsia="ru-RU"/>
        </w:rPr>
        <w:instrText xml:space="preserve"> </w:instrText>
      </w:r>
      <w:r w:rsidR="00E974B2">
        <w:rPr>
          <w:lang w:val="en-US" w:eastAsia="ru-RU"/>
        </w:rPr>
        <w:instrText>lymphocytic</w:instrText>
      </w:r>
      <w:r w:rsidR="00E974B2" w:rsidRPr="006C476A">
        <w:rPr>
          <w:lang w:eastAsia="ru-RU"/>
        </w:rPr>
        <w:instrText xml:space="preserve"> </w:instrText>
      </w:r>
      <w:r w:rsidR="00E974B2">
        <w:rPr>
          <w:lang w:val="en-US" w:eastAsia="ru-RU"/>
        </w:rPr>
        <w:instrText>leukemia</w:instrText>
      </w:r>
      <w:r w:rsidR="00E974B2" w:rsidRPr="006C476A">
        <w:rPr>
          <w:lang w:eastAsia="ru-RU"/>
        </w:rPr>
        <w:instrText xml:space="preserve">. </w:instrText>
      </w:r>
      <w:r w:rsidR="00E974B2">
        <w:rPr>
          <w:lang w:val="en-US" w:eastAsia="ru-RU"/>
        </w:rPr>
        <w:instrText>With</w:instrText>
      </w:r>
      <w:r w:rsidR="00E974B2" w:rsidRPr="006C476A">
        <w:rPr>
          <w:lang w:eastAsia="ru-RU"/>
        </w:rPr>
        <w:instrText xml:space="preserve"> </w:instrText>
      </w:r>
      <w:r w:rsidR="00E974B2">
        <w:rPr>
          <w:lang w:val="en-US" w:eastAsia="ru-RU"/>
        </w:rPr>
        <w:instrText>data</w:instrText>
      </w:r>
      <w:r w:rsidR="00E974B2" w:rsidRPr="006C476A">
        <w:rPr>
          <w:lang w:eastAsia="ru-RU"/>
        </w:rPr>
        <w:instrText xml:space="preserve"> </w:instrText>
      </w:r>
      <w:r w:rsidR="00E974B2">
        <w:rPr>
          <w:lang w:val="en-US" w:eastAsia="ru-RU"/>
        </w:rPr>
        <w:instrText>to</w:instrText>
      </w:r>
      <w:r w:rsidR="00E974B2" w:rsidRPr="006C476A">
        <w:rPr>
          <w:lang w:eastAsia="ru-RU"/>
        </w:rPr>
        <w:instrText xml:space="preserve"> </w:instrText>
      </w:r>
      <w:r w:rsidR="00E974B2">
        <w:rPr>
          <w:lang w:val="en-US" w:eastAsia="ru-RU"/>
        </w:rPr>
        <w:instrText>support</w:instrText>
      </w:r>
      <w:r w:rsidR="00E974B2" w:rsidRPr="006C476A">
        <w:rPr>
          <w:lang w:eastAsia="ru-RU"/>
        </w:rPr>
        <w:instrText xml:space="preserve"> </w:instrText>
      </w:r>
      <w:r w:rsidR="00E974B2">
        <w:rPr>
          <w:lang w:val="en-US" w:eastAsia="ru-RU"/>
        </w:rPr>
        <w:instrText>noninferior</w:instrText>
      </w:r>
      <w:r w:rsidR="00E974B2" w:rsidRPr="006C476A">
        <w:rPr>
          <w:lang w:eastAsia="ru-RU"/>
        </w:rPr>
        <w:instrText xml:space="preserve"> </w:instrText>
      </w:r>
      <w:r w:rsidR="00E974B2">
        <w:rPr>
          <w:lang w:val="en-US" w:eastAsia="ru-RU"/>
        </w:rPr>
        <w:instrText>pharmacokinetics</w:instrText>
      </w:r>
      <w:r w:rsidR="00E974B2" w:rsidRPr="006C476A">
        <w:rPr>
          <w:lang w:eastAsia="ru-RU"/>
        </w:rPr>
        <w:instrText xml:space="preserve">, </w:instrText>
      </w:r>
      <w:r w:rsidR="00E974B2">
        <w:rPr>
          <w:lang w:val="en-US" w:eastAsia="ru-RU"/>
        </w:rPr>
        <w:instrText>similar</w:instrText>
      </w:r>
      <w:r w:rsidR="00E974B2" w:rsidRPr="006C476A">
        <w:rPr>
          <w:lang w:eastAsia="ru-RU"/>
        </w:rPr>
        <w:instrText xml:space="preserve"> </w:instrText>
      </w:r>
      <w:r w:rsidR="00E974B2">
        <w:rPr>
          <w:lang w:val="en-US" w:eastAsia="ru-RU"/>
        </w:rPr>
        <w:instrText>outcomes</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comparable</w:instrText>
      </w:r>
      <w:r w:rsidR="00E974B2" w:rsidRPr="006C476A">
        <w:rPr>
          <w:lang w:eastAsia="ru-RU"/>
        </w:rPr>
        <w:instrText xml:space="preserve"> </w:instrText>
      </w:r>
      <w:r w:rsidR="00E974B2">
        <w:rPr>
          <w:lang w:val="en-US" w:eastAsia="ru-RU"/>
        </w:rPr>
        <w:instrText>adverse</w:instrText>
      </w:r>
      <w:r w:rsidR="00E974B2" w:rsidRPr="006C476A">
        <w:rPr>
          <w:lang w:eastAsia="ru-RU"/>
        </w:rPr>
        <w:instrText xml:space="preserve"> </w:instrText>
      </w:r>
      <w:r w:rsidR="00E974B2">
        <w:rPr>
          <w:lang w:val="en-US" w:eastAsia="ru-RU"/>
        </w:rPr>
        <w:instrText>events</w:instrText>
      </w:r>
      <w:r w:rsidR="00E974B2" w:rsidRPr="006C476A">
        <w:rPr>
          <w:lang w:eastAsia="ru-RU"/>
        </w:rPr>
        <w:instrText xml:space="preserve">, </w:instrText>
      </w:r>
      <w:r w:rsidR="00E974B2">
        <w:rPr>
          <w:lang w:val="en-US" w:eastAsia="ru-RU"/>
        </w:rPr>
        <w:instrText>rituximab</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hyaluronidase</w:instrText>
      </w:r>
      <w:r w:rsidR="00E974B2" w:rsidRPr="006C476A">
        <w:rPr>
          <w:lang w:eastAsia="ru-RU"/>
        </w:rPr>
        <w:instrText xml:space="preserve"> </w:instrText>
      </w:r>
      <w:r w:rsidR="00E974B2">
        <w:rPr>
          <w:lang w:val="en-US" w:eastAsia="ru-RU"/>
        </w:rPr>
        <w:instrText>human</w:instrText>
      </w:r>
      <w:r w:rsidR="00E974B2" w:rsidRPr="006C476A">
        <w:rPr>
          <w:lang w:eastAsia="ru-RU"/>
        </w:rPr>
        <w:instrText xml:space="preserve"> </w:instrText>
      </w:r>
      <w:r w:rsidR="00E974B2">
        <w:rPr>
          <w:lang w:val="en-US" w:eastAsia="ru-RU"/>
        </w:rPr>
        <w:instrText>may</w:instrText>
      </w:r>
      <w:r w:rsidR="00E974B2" w:rsidRPr="006C476A">
        <w:rPr>
          <w:lang w:eastAsia="ru-RU"/>
        </w:rPr>
        <w:instrText xml:space="preserve"> </w:instrText>
      </w:r>
      <w:r w:rsidR="00E974B2">
        <w:rPr>
          <w:lang w:val="en-US" w:eastAsia="ru-RU"/>
        </w:rPr>
        <w:instrText>offer</w:instrText>
      </w:r>
      <w:r w:rsidR="00E974B2" w:rsidRPr="006C476A">
        <w:rPr>
          <w:lang w:eastAsia="ru-RU"/>
        </w:rPr>
        <w:instrText xml:space="preserve"> </w:instrText>
      </w:r>
      <w:r w:rsidR="00E974B2">
        <w:rPr>
          <w:lang w:val="en-US" w:eastAsia="ru-RU"/>
        </w:rPr>
        <w:instrText>a</w:instrText>
      </w:r>
      <w:r w:rsidR="00E974B2" w:rsidRPr="006C476A">
        <w:rPr>
          <w:lang w:eastAsia="ru-RU"/>
        </w:rPr>
        <w:instrText xml:space="preserve"> </w:instrText>
      </w:r>
      <w:r w:rsidR="00E974B2">
        <w:rPr>
          <w:lang w:val="en-US" w:eastAsia="ru-RU"/>
        </w:rPr>
        <w:instrText>suitable</w:instrText>
      </w:r>
      <w:r w:rsidR="00E974B2" w:rsidRPr="006C476A">
        <w:rPr>
          <w:lang w:eastAsia="ru-RU"/>
        </w:rPr>
        <w:instrText xml:space="preserve"> </w:instrText>
      </w:r>
      <w:r w:rsidR="00E974B2">
        <w:rPr>
          <w:lang w:val="en-US" w:eastAsia="ru-RU"/>
        </w:rPr>
        <w:instrText>alternative</w:instrText>
      </w:r>
      <w:r w:rsidR="00E974B2" w:rsidRPr="006C476A">
        <w:rPr>
          <w:lang w:eastAsia="ru-RU"/>
        </w:rPr>
        <w:instrText xml:space="preserve"> </w:instrText>
      </w:r>
      <w:r w:rsidR="00E974B2">
        <w:rPr>
          <w:lang w:val="en-US" w:eastAsia="ru-RU"/>
        </w:rPr>
        <w:instrText>to</w:instrText>
      </w:r>
      <w:r w:rsidR="00E974B2" w:rsidRPr="006C476A">
        <w:rPr>
          <w:lang w:eastAsia="ru-RU"/>
        </w:rPr>
        <w:instrText xml:space="preserve"> </w:instrText>
      </w:r>
      <w:r w:rsidR="00E974B2">
        <w:rPr>
          <w:lang w:val="en-US" w:eastAsia="ru-RU"/>
        </w:rPr>
        <w:instrText>intravenous</w:instrText>
      </w:r>
      <w:r w:rsidR="00E974B2" w:rsidRPr="006C476A">
        <w:rPr>
          <w:lang w:eastAsia="ru-RU"/>
        </w:rPr>
        <w:instrText xml:space="preserve"> </w:instrText>
      </w:r>
      <w:r w:rsidR="00E974B2">
        <w:rPr>
          <w:lang w:val="en-US" w:eastAsia="ru-RU"/>
        </w:rPr>
        <w:instrText>rituximab</w:instrText>
      </w:r>
      <w:r w:rsidR="00E974B2" w:rsidRPr="006C476A">
        <w:rPr>
          <w:lang w:eastAsia="ru-RU"/>
        </w:rPr>
        <w:instrText xml:space="preserve"> </w:instrText>
      </w:r>
      <w:r w:rsidR="00E974B2">
        <w:rPr>
          <w:lang w:val="en-US" w:eastAsia="ru-RU"/>
        </w:rPr>
        <w:instrText>that</w:instrText>
      </w:r>
      <w:r w:rsidR="00E974B2" w:rsidRPr="006C476A">
        <w:rPr>
          <w:lang w:eastAsia="ru-RU"/>
        </w:rPr>
        <w:instrText xml:space="preserve"> </w:instrText>
      </w:r>
      <w:r w:rsidR="00E974B2">
        <w:rPr>
          <w:lang w:val="en-US" w:eastAsia="ru-RU"/>
        </w:rPr>
        <w:instrText>could</w:instrText>
      </w:r>
      <w:r w:rsidR="00E974B2" w:rsidRPr="006C476A">
        <w:rPr>
          <w:lang w:eastAsia="ru-RU"/>
        </w:rPr>
        <w:instrText xml:space="preserve"> </w:instrText>
      </w:r>
      <w:r w:rsidR="00E974B2">
        <w:rPr>
          <w:lang w:val="en-US" w:eastAsia="ru-RU"/>
        </w:rPr>
        <w:instrText>improve</w:instrText>
      </w:r>
      <w:r w:rsidR="00E974B2" w:rsidRPr="006C476A">
        <w:rPr>
          <w:lang w:eastAsia="ru-RU"/>
        </w:rPr>
        <w:instrText xml:space="preserve"> </w:instrText>
      </w:r>
      <w:r w:rsidR="00E974B2">
        <w:rPr>
          <w:lang w:val="en-US" w:eastAsia="ru-RU"/>
        </w:rPr>
        <w:instrText>convenience</w:instrText>
      </w:r>
      <w:r w:rsidR="00E974B2" w:rsidRPr="006C476A">
        <w:rPr>
          <w:lang w:eastAsia="ru-RU"/>
        </w:rPr>
        <w:instrText xml:space="preserve"> </w:instrText>
      </w:r>
      <w:r w:rsidR="00E974B2">
        <w:rPr>
          <w:lang w:val="en-US" w:eastAsia="ru-RU"/>
        </w:rPr>
        <w:instrText>for</w:instrText>
      </w:r>
      <w:r w:rsidR="00E974B2" w:rsidRPr="006C476A">
        <w:rPr>
          <w:lang w:eastAsia="ru-RU"/>
        </w:rPr>
        <w:instrText xml:space="preserve"> </w:instrText>
      </w:r>
      <w:r w:rsidR="00E974B2">
        <w:rPr>
          <w:lang w:val="en-US" w:eastAsia="ru-RU"/>
        </w:rPr>
        <w:instrText>patients</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better</w:instrText>
      </w:r>
      <w:r w:rsidR="00E974B2" w:rsidRPr="006C476A">
        <w:rPr>
          <w:lang w:eastAsia="ru-RU"/>
        </w:rPr>
        <w:instrText xml:space="preserve"> </w:instrText>
      </w:r>
      <w:r w:rsidR="00E974B2">
        <w:rPr>
          <w:lang w:val="en-US" w:eastAsia="ru-RU"/>
        </w:rPr>
        <w:instrText>utilize</w:instrText>
      </w:r>
      <w:r w:rsidR="00E974B2" w:rsidRPr="006C476A">
        <w:rPr>
          <w:lang w:eastAsia="ru-RU"/>
        </w:rPr>
        <w:instrText xml:space="preserve"> </w:instrText>
      </w:r>
      <w:r w:rsidR="00E974B2">
        <w:rPr>
          <w:lang w:val="en-US" w:eastAsia="ru-RU"/>
        </w:rPr>
        <w:instrText>health</w:instrText>
      </w:r>
      <w:r w:rsidR="00E974B2" w:rsidRPr="006C476A">
        <w:rPr>
          <w:lang w:eastAsia="ru-RU"/>
        </w:rPr>
        <w:instrText>-</w:instrText>
      </w:r>
      <w:r w:rsidR="00E974B2">
        <w:rPr>
          <w:lang w:val="en-US" w:eastAsia="ru-RU"/>
        </w:rPr>
        <w:instrText>care</w:instrText>
      </w:r>
      <w:r w:rsidR="00E974B2" w:rsidRPr="006C476A">
        <w:rPr>
          <w:lang w:eastAsia="ru-RU"/>
        </w:rPr>
        <w:instrText xml:space="preserve"> </w:instrText>
      </w:r>
      <w:r w:rsidR="00E974B2">
        <w:rPr>
          <w:lang w:val="en-US" w:eastAsia="ru-RU"/>
        </w:rPr>
        <w:instrText>resources</w:instrText>
      </w:r>
      <w:r w:rsidR="00E974B2" w:rsidRPr="006C476A">
        <w:rPr>
          <w:lang w:eastAsia="ru-RU"/>
        </w:rPr>
        <w:instrText>.","</w:instrText>
      </w:r>
      <w:r w:rsidR="00E974B2">
        <w:rPr>
          <w:lang w:val="en-US" w:eastAsia="ru-RU"/>
        </w:rPr>
        <w:instrText>author</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family</w:instrText>
      </w:r>
      <w:r w:rsidR="00E974B2" w:rsidRPr="006C476A">
        <w:rPr>
          <w:lang w:eastAsia="ru-RU"/>
        </w:rPr>
        <w:instrText>":"</w:instrText>
      </w:r>
      <w:r w:rsidR="00E974B2">
        <w:rPr>
          <w:lang w:val="en-US" w:eastAsia="ru-RU"/>
        </w:rPr>
        <w:instrText>Yelvington</w:instrText>
      </w:r>
      <w:r w:rsidR="00E974B2" w:rsidRPr="006C476A">
        <w:rPr>
          <w:lang w:eastAsia="ru-RU"/>
        </w:rPr>
        <w:instrText>","</w:instrText>
      </w:r>
      <w:r w:rsidR="00E974B2">
        <w:rPr>
          <w:lang w:val="en-US" w:eastAsia="ru-RU"/>
        </w:rPr>
        <w:instrText>given</w:instrText>
      </w:r>
      <w:r w:rsidR="00E974B2" w:rsidRPr="006C476A">
        <w:rPr>
          <w:lang w:eastAsia="ru-RU"/>
        </w:rPr>
        <w:instrText>":"</w:instrText>
      </w:r>
      <w:r w:rsidR="00E974B2">
        <w:rPr>
          <w:lang w:val="en-US" w:eastAsia="ru-RU"/>
        </w:rPr>
        <w:instrText>Bradley</w:instrText>
      </w:r>
      <w:r w:rsidR="00E974B2" w:rsidRPr="006C476A">
        <w:rPr>
          <w:lang w:eastAsia="ru-RU"/>
        </w:rPr>
        <w:instrText xml:space="preserve"> </w:instrText>
      </w:r>
      <w:r w:rsidR="00E974B2">
        <w:rPr>
          <w:lang w:val="en-US" w:eastAsia="ru-RU"/>
        </w:rPr>
        <w:instrText>J</w:instrText>
      </w:r>
      <w:r w:rsidR="00E974B2" w:rsidRPr="006C476A">
        <w:rPr>
          <w:lang w:eastAsia="ru-RU"/>
        </w:rPr>
        <w:instrText>","</w:instrText>
      </w:r>
      <w:r w:rsidR="00E974B2">
        <w:rPr>
          <w:lang w:val="en-US" w:eastAsia="ru-RU"/>
        </w:rPr>
        <w:instrText>non</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parse</w:instrText>
      </w:r>
      <w:r w:rsidR="00E974B2" w:rsidRPr="006C476A">
        <w:rPr>
          <w:lang w:eastAsia="ru-RU"/>
        </w:rPr>
        <w:instrText>-</w:instrText>
      </w:r>
      <w:r w:rsidR="00E974B2">
        <w:rPr>
          <w:lang w:val="en-US" w:eastAsia="ru-RU"/>
        </w:rPr>
        <w:instrText>names</w:instrText>
      </w:r>
      <w:r w:rsidR="00E974B2" w:rsidRPr="006C476A">
        <w:rPr>
          <w:lang w:eastAsia="ru-RU"/>
        </w:rPr>
        <w:instrText>":</w:instrText>
      </w:r>
      <w:r w:rsidR="00E974B2">
        <w:rPr>
          <w:lang w:val="en-US" w:eastAsia="ru-RU"/>
        </w:rPr>
        <w:instrText>false</w:instrText>
      </w:r>
      <w:r w:rsidR="00E974B2" w:rsidRPr="006C476A">
        <w:rPr>
          <w:lang w:eastAsia="ru-RU"/>
        </w:rPr>
        <w:instrText>,"</w:instrText>
      </w:r>
      <w:r w:rsidR="00E974B2">
        <w:rPr>
          <w:lang w:val="en-US" w:eastAsia="ru-RU"/>
        </w:rPr>
        <w:instrText>suffix</w:instrText>
      </w:r>
      <w:r w:rsidR="00E974B2" w:rsidRPr="006C476A">
        <w:rPr>
          <w:lang w:eastAsia="ru-RU"/>
        </w:rPr>
        <w:instrText>":""}],"</w:instrText>
      </w:r>
      <w:r w:rsidR="00E974B2">
        <w:rPr>
          <w:lang w:val="en-US" w:eastAsia="ru-RU"/>
        </w:rPr>
        <w:instrText>container</w:instrText>
      </w:r>
      <w:r w:rsidR="00E974B2" w:rsidRPr="006C476A">
        <w:rPr>
          <w:lang w:eastAsia="ru-RU"/>
        </w:rPr>
        <w:instrText>-</w:instrText>
      </w:r>
      <w:r w:rsidR="00E974B2">
        <w:rPr>
          <w:lang w:val="en-US" w:eastAsia="ru-RU"/>
        </w:rPr>
        <w:instrText>title</w:instrText>
      </w:r>
      <w:r w:rsidR="00E974B2" w:rsidRPr="006C476A">
        <w:rPr>
          <w:lang w:eastAsia="ru-RU"/>
        </w:rPr>
        <w:instrText>":"</w:instrText>
      </w:r>
      <w:r w:rsidR="00E974B2">
        <w:rPr>
          <w:lang w:val="en-US" w:eastAsia="ru-RU"/>
        </w:rPr>
        <w:instrText>Journal</w:instrText>
      </w:r>
      <w:r w:rsidR="00E974B2" w:rsidRPr="006C476A">
        <w:rPr>
          <w:lang w:eastAsia="ru-RU"/>
        </w:rPr>
        <w:instrText xml:space="preserve"> </w:instrText>
      </w:r>
      <w:r w:rsidR="00E974B2">
        <w:rPr>
          <w:lang w:val="en-US" w:eastAsia="ru-RU"/>
        </w:rPr>
        <w:instrText>of</w:instrText>
      </w:r>
      <w:r w:rsidR="00E974B2" w:rsidRPr="006C476A">
        <w:rPr>
          <w:lang w:eastAsia="ru-RU"/>
        </w:rPr>
        <w:instrText xml:space="preserve"> </w:instrText>
      </w:r>
      <w:r w:rsidR="00E974B2">
        <w:rPr>
          <w:lang w:val="en-US" w:eastAsia="ru-RU"/>
        </w:rPr>
        <w:instrText>the</w:instrText>
      </w:r>
      <w:r w:rsidR="00E974B2" w:rsidRPr="006C476A">
        <w:rPr>
          <w:lang w:eastAsia="ru-RU"/>
        </w:rPr>
        <w:instrText xml:space="preserve"> </w:instrText>
      </w:r>
      <w:r w:rsidR="00E974B2">
        <w:rPr>
          <w:lang w:val="en-US" w:eastAsia="ru-RU"/>
        </w:rPr>
        <w:instrText>advanced</w:instrText>
      </w:r>
      <w:r w:rsidR="00E974B2" w:rsidRPr="006C476A">
        <w:rPr>
          <w:lang w:eastAsia="ru-RU"/>
        </w:rPr>
        <w:instrText xml:space="preserve"> </w:instrText>
      </w:r>
      <w:r w:rsidR="00E974B2">
        <w:rPr>
          <w:lang w:val="en-US" w:eastAsia="ru-RU"/>
        </w:rPr>
        <w:instrText>practitioner</w:instrText>
      </w:r>
      <w:r w:rsidR="00E974B2" w:rsidRPr="006C476A">
        <w:rPr>
          <w:lang w:eastAsia="ru-RU"/>
        </w:rPr>
        <w:instrText xml:space="preserve"> </w:instrText>
      </w:r>
      <w:r w:rsidR="00E974B2">
        <w:rPr>
          <w:lang w:val="en-US" w:eastAsia="ru-RU"/>
        </w:rPr>
        <w:instrText>in</w:instrText>
      </w:r>
      <w:r w:rsidR="00E974B2" w:rsidRPr="006C476A">
        <w:rPr>
          <w:lang w:eastAsia="ru-RU"/>
        </w:rPr>
        <w:instrText xml:space="preserve"> </w:instrText>
      </w:r>
      <w:r w:rsidR="00E974B2">
        <w:rPr>
          <w:lang w:val="en-US" w:eastAsia="ru-RU"/>
        </w:rPr>
        <w:instrText>oncology</w:instrText>
      </w:r>
      <w:r w:rsidR="00E974B2" w:rsidRPr="006C476A">
        <w:rPr>
          <w:lang w:eastAsia="ru-RU"/>
        </w:rPr>
        <w:instrText>","</w:instrText>
      </w:r>
      <w:r w:rsidR="00E974B2">
        <w:rPr>
          <w:lang w:val="en-US" w:eastAsia="ru-RU"/>
        </w:rPr>
        <w:instrText>id</w:instrText>
      </w:r>
      <w:r w:rsidR="00E974B2" w:rsidRPr="006C476A">
        <w:rPr>
          <w:lang w:eastAsia="ru-RU"/>
        </w:rPr>
        <w:instrText>":"</w:instrText>
      </w:r>
      <w:r w:rsidR="00E974B2">
        <w:rPr>
          <w:lang w:val="en-US" w:eastAsia="ru-RU"/>
        </w:rPr>
        <w:instrText>ITEM</w:instrText>
      </w:r>
      <w:r w:rsidR="00E974B2" w:rsidRPr="006C476A">
        <w:rPr>
          <w:lang w:eastAsia="ru-RU"/>
        </w:rPr>
        <w:instrText>-1","</w:instrText>
      </w:r>
      <w:r w:rsidR="00E974B2">
        <w:rPr>
          <w:lang w:val="en-US" w:eastAsia="ru-RU"/>
        </w:rPr>
        <w:instrText>issue</w:instrText>
      </w:r>
      <w:r w:rsidR="00E974B2" w:rsidRPr="006C476A">
        <w:rPr>
          <w:lang w:eastAsia="ru-RU"/>
        </w:rPr>
        <w:instrText>":"5","</w:instrText>
      </w:r>
      <w:r w:rsidR="00E974B2">
        <w:rPr>
          <w:lang w:val="en-US" w:eastAsia="ru-RU"/>
        </w:rPr>
        <w:instrText>issued</w:instrText>
      </w:r>
      <w:r w:rsidR="00E974B2" w:rsidRPr="006C476A">
        <w:rPr>
          <w:lang w:eastAsia="ru-RU"/>
        </w:rPr>
        <w:instrText>":{"</w:instrText>
      </w:r>
      <w:r w:rsidR="00E974B2">
        <w:rPr>
          <w:lang w:val="en-US" w:eastAsia="ru-RU"/>
        </w:rPr>
        <w:instrText>date</w:instrText>
      </w:r>
      <w:r w:rsidR="00E974B2" w:rsidRPr="006C476A">
        <w:rPr>
          <w:lang w:eastAsia="ru-RU"/>
        </w:rPr>
        <w:instrText>-</w:instrText>
      </w:r>
      <w:r w:rsidR="00E974B2">
        <w:rPr>
          <w:lang w:val="en-US" w:eastAsia="ru-RU"/>
        </w:rPr>
        <w:instrText>parts</w:instrText>
      </w:r>
      <w:r w:rsidR="00E974B2" w:rsidRPr="006C476A">
        <w:rPr>
          <w:lang w:eastAsia="ru-RU"/>
        </w:rPr>
        <w:instrText>":[["2018"]]},"</w:instrText>
      </w:r>
      <w:r w:rsidR="00E974B2">
        <w:rPr>
          <w:lang w:val="en-US" w:eastAsia="ru-RU"/>
        </w:rPr>
        <w:instrText>page</w:instrText>
      </w:r>
      <w:r w:rsidR="00E974B2" w:rsidRPr="006C476A">
        <w:rPr>
          <w:lang w:eastAsia="ru-RU"/>
        </w:rPr>
        <w:instrText>":"530-534","</w:instrText>
      </w:r>
      <w:r w:rsidR="00E974B2">
        <w:rPr>
          <w:lang w:val="en-US" w:eastAsia="ru-RU"/>
        </w:rPr>
        <w:instrText>publisher</w:instrText>
      </w:r>
      <w:r w:rsidR="00E974B2" w:rsidRPr="006C476A">
        <w:rPr>
          <w:lang w:eastAsia="ru-RU"/>
        </w:rPr>
        <w:instrText>":"</w:instrText>
      </w:r>
      <w:r w:rsidR="00E974B2">
        <w:rPr>
          <w:lang w:val="en-US" w:eastAsia="ru-RU"/>
        </w:rPr>
        <w:instrText>Harborside</w:instrText>
      </w:r>
      <w:r w:rsidR="00E974B2" w:rsidRPr="006C476A">
        <w:rPr>
          <w:lang w:eastAsia="ru-RU"/>
        </w:rPr>
        <w:instrText xml:space="preserve"> </w:instrText>
      </w:r>
      <w:r w:rsidR="00E974B2">
        <w:rPr>
          <w:lang w:val="en-US" w:eastAsia="ru-RU"/>
        </w:rPr>
        <w:instrText>Press</w:instrText>
      </w:r>
      <w:r w:rsidR="00E974B2" w:rsidRPr="006C476A">
        <w:rPr>
          <w:lang w:eastAsia="ru-RU"/>
        </w:rPr>
        <w:instrText>","</w:instrText>
      </w:r>
      <w:r w:rsidR="00E974B2">
        <w:rPr>
          <w:lang w:val="en-US" w:eastAsia="ru-RU"/>
        </w:rPr>
        <w:instrText>title</w:instrText>
      </w:r>
      <w:r w:rsidR="00E974B2" w:rsidRPr="006C476A">
        <w:rPr>
          <w:lang w:eastAsia="ru-RU"/>
        </w:rPr>
        <w:instrText>":"</w:instrText>
      </w:r>
      <w:r w:rsidR="00E974B2">
        <w:rPr>
          <w:lang w:val="en-US" w:eastAsia="ru-RU"/>
        </w:rPr>
        <w:instrText>Subcutaneous</w:instrText>
      </w:r>
      <w:r w:rsidR="00E974B2" w:rsidRPr="006C476A">
        <w:rPr>
          <w:lang w:eastAsia="ru-RU"/>
        </w:rPr>
        <w:instrText xml:space="preserve"> </w:instrText>
      </w:r>
      <w:r w:rsidR="00E974B2">
        <w:rPr>
          <w:lang w:val="en-US" w:eastAsia="ru-RU"/>
        </w:rPr>
        <w:instrText>Rituximab</w:instrText>
      </w:r>
      <w:r w:rsidR="00E974B2" w:rsidRPr="006C476A">
        <w:rPr>
          <w:lang w:eastAsia="ru-RU"/>
        </w:rPr>
        <w:instrText xml:space="preserve"> </w:instrText>
      </w:r>
      <w:r w:rsidR="00E974B2">
        <w:rPr>
          <w:lang w:val="en-US" w:eastAsia="ru-RU"/>
        </w:rPr>
        <w:instrText>in</w:instrText>
      </w:r>
      <w:r w:rsidR="00E974B2" w:rsidRPr="006C476A">
        <w:rPr>
          <w:lang w:eastAsia="ru-RU"/>
        </w:rPr>
        <w:instrText xml:space="preserve"> </w:instrText>
      </w:r>
      <w:r w:rsidR="00E974B2">
        <w:rPr>
          <w:lang w:val="en-US" w:eastAsia="ru-RU"/>
        </w:rPr>
        <w:instrText>Follicular</w:instrText>
      </w:r>
      <w:r w:rsidR="00E974B2" w:rsidRPr="006C476A">
        <w:rPr>
          <w:lang w:eastAsia="ru-RU"/>
        </w:rPr>
        <w:instrText xml:space="preserve"> </w:instrText>
      </w:r>
      <w:r w:rsidR="00E974B2">
        <w:rPr>
          <w:lang w:val="en-US" w:eastAsia="ru-RU"/>
        </w:rPr>
        <w:instrText>Lymphoma</w:instrText>
      </w:r>
      <w:r w:rsidR="00E974B2" w:rsidRPr="006C476A">
        <w:rPr>
          <w:lang w:eastAsia="ru-RU"/>
        </w:rPr>
        <w:instrText xml:space="preserve">, </w:instrText>
      </w:r>
      <w:r w:rsidR="00E974B2">
        <w:rPr>
          <w:lang w:val="en-US" w:eastAsia="ru-RU"/>
        </w:rPr>
        <w:instrText>Chronic</w:instrText>
      </w:r>
      <w:r w:rsidR="00E974B2" w:rsidRPr="006C476A">
        <w:rPr>
          <w:lang w:eastAsia="ru-RU"/>
        </w:rPr>
        <w:instrText xml:space="preserve"> </w:instrText>
      </w:r>
      <w:r w:rsidR="00E974B2">
        <w:rPr>
          <w:lang w:val="en-US" w:eastAsia="ru-RU"/>
        </w:rPr>
        <w:instrText>Lymphocytic</w:instrText>
      </w:r>
      <w:r w:rsidR="00E974B2" w:rsidRPr="006C476A">
        <w:rPr>
          <w:lang w:eastAsia="ru-RU"/>
        </w:rPr>
        <w:instrText xml:space="preserve"> </w:instrText>
      </w:r>
      <w:r w:rsidR="00E974B2">
        <w:rPr>
          <w:lang w:val="en-US" w:eastAsia="ru-RU"/>
        </w:rPr>
        <w:instrText>Leukemia</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Diffuse</w:instrText>
      </w:r>
      <w:r w:rsidR="00E974B2" w:rsidRPr="006C476A">
        <w:rPr>
          <w:lang w:eastAsia="ru-RU"/>
        </w:rPr>
        <w:instrText xml:space="preserve"> </w:instrText>
      </w:r>
      <w:r w:rsidR="00E974B2">
        <w:rPr>
          <w:lang w:val="en-US" w:eastAsia="ru-RU"/>
        </w:rPr>
        <w:instrText>Large</w:instrText>
      </w:r>
      <w:r w:rsidR="00E974B2" w:rsidRPr="006C476A">
        <w:rPr>
          <w:lang w:eastAsia="ru-RU"/>
        </w:rPr>
        <w:instrText xml:space="preserve"> </w:instrText>
      </w:r>
      <w:r w:rsidR="00E974B2">
        <w:rPr>
          <w:lang w:val="en-US" w:eastAsia="ru-RU"/>
        </w:rPr>
        <w:instrText>B</w:instrText>
      </w:r>
      <w:r w:rsidR="00E974B2" w:rsidRPr="006C476A">
        <w:rPr>
          <w:lang w:eastAsia="ru-RU"/>
        </w:rPr>
        <w:instrText>-</w:instrText>
      </w:r>
      <w:r w:rsidR="00E974B2">
        <w:rPr>
          <w:lang w:val="en-US" w:eastAsia="ru-RU"/>
        </w:rPr>
        <w:instrText>Cell</w:instrText>
      </w:r>
      <w:r w:rsidR="00E974B2" w:rsidRPr="006C476A">
        <w:rPr>
          <w:lang w:eastAsia="ru-RU"/>
        </w:rPr>
        <w:instrText xml:space="preserve"> </w:instrText>
      </w:r>
      <w:r w:rsidR="00E974B2">
        <w:rPr>
          <w:lang w:val="en-US" w:eastAsia="ru-RU"/>
        </w:rPr>
        <w:instrText>Lymphoma</w:instrText>
      </w:r>
      <w:r w:rsidR="00E974B2" w:rsidRPr="006C476A">
        <w:rPr>
          <w:lang w:eastAsia="ru-RU"/>
        </w:rPr>
        <w:instrText>.","</w:instrText>
      </w:r>
      <w:r w:rsidR="00E974B2">
        <w:rPr>
          <w:lang w:val="en-US" w:eastAsia="ru-RU"/>
        </w:rPr>
        <w:instrText>type</w:instrText>
      </w:r>
      <w:r w:rsidR="00E974B2" w:rsidRPr="006C476A">
        <w:rPr>
          <w:lang w:eastAsia="ru-RU"/>
        </w:rPr>
        <w:instrText>":"</w:instrText>
      </w:r>
      <w:r w:rsidR="00E974B2">
        <w:rPr>
          <w:lang w:val="en-US" w:eastAsia="ru-RU"/>
        </w:rPr>
        <w:instrText>article</w:instrText>
      </w:r>
      <w:r w:rsidR="00E974B2" w:rsidRPr="006C476A">
        <w:rPr>
          <w:lang w:eastAsia="ru-RU"/>
        </w:rPr>
        <w:instrText>-</w:instrText>
      </w:r>
      <w:r w:rsidR="00E974B2">
        <w:rPr>
          <w:lang w:val="en-US" w:eastAsia="ru-RU"/>
        </w:rPr>
        <w:instrText>journal</w:instrText>
      </w:r>
      <w:r w:rsidR="00E974B2" w:rsidRPr="006C476A">
        <w:rPr>
          <w:lang w:eastAsia="ru-RU"/>
        </w:rPr>
        <w:instrText>","</w:instrText>
      </w:r>
      <w:r w:rsidR="00E974B2">
        <w:rPr>
          <w:lang w:val="en-US" w:eastAsia="ru-RU"/>
        </w:rPr>
        <w:instrText>volume</w:instrText>
      </w:r>
      <w:r w:rsidR="00E974B2" w:rsidRPr="006C476A">
        <w:rPr>
          <w:lang w:eastAsia="ru-RU"/>
        </w:rPr>
        <w:instrText>":"9"},"</w:instrText>
      </w:r>
      <w:r w:rsidR="00E974B2">
        <w:rPr>
          <w:lang w:val="en-US" w:eastAsia="ru-RU"/>
        </w:rPr>
        <w:instrText>uris</w:instrText>
      </w:r>
      <w:r w:rsidR="00E974B2" w:rsidRPr="006C476A">
        <w:rPr>
          <w:lang w:eastAsia="ru-RU"/>
        </w:rPr>
        <w:instrText>":["</w:instrText>
      </w:r>
      <w:r w:rsidR="00E974B2">
        <w:rPr>
          <w:lang w:val="en-US" w:eastAsia="ru-RU"/>
        </w:rPr>
        <w:instrText>http</w:instrText>
      </w:r>
      <w:r w:rsidR="00E974B2" w:rsidRPr="006C476A">
        <w:rPr>
          <w:lang w:eastAsia="ru-RU"/>
        </w:rPr>
        <w:instrText>://</w:instrText>
      </w:r>
      <w:r w:rsidR="00E974B2">
        <w:rPr>
          <w:lang w:val="en-US" w:eastAsia="ru-RU"/>
        </w:rPr>
        <w:instrText>www</w:instrText>
      </w:r>
      <w:r w:rsidR="00E974B2" w:rsidRPr="006C476A">
        <w:rPr>
          <w:lang w:eastAsia="ru-RU"/>
        </w:rPr>
        <w:instrText>.</w:instrText>
      </w:r>
      <w:r w:rsidR="00E974B2">
        <w:rPr>
          <w:lang w:val="en-US" w:eastAsia="ru-RU"/>
        </w:rPr>
        <w:instrText>mendeley</w:instrText>
      </w:r>
      <w:r w:rsidR="00E974B2" w:rsidRPr="006C476A">
        <w:rPr>
          <w:lang w:eastAsia="ru-RU"/>
        </w:rPr>
        <w:instrText>.</w:instrText>
      </w:r>
      <w:r w:rsidR="00E974B2">
        <w:rPr>
          <w:lang w:val="en-US" w:eastAsia="ru-RU"/>
        </w:rPr>
        <w:instrText>com</w:instrText>
      </w:r>
      <w:r w:rsidR="00E974B2" w:rsidRPr="006C476A">
        <w:rPr>
          <w:lang w:eastAsia="ru-RU"/>
        </w:rPr>
        <w:instrText>/</w:instrText>
      </w:r>
      <w:r w:rsidR="00E974B2">
        <w:rPr>
          <w:lang w:val="en-US" w:eastAsia="ru-RU"/>
        </w:rPr>
        <w:instrText>documents</w:instrText>
      </w:r>
      <w:r w:rsidR="00E974B2" w:rsidRPr="006C476A">
        <w:rPr>
          <w:lang w:eastAsia="ru-RU"/>
        </w:rPr>
        <w:instrText>/?</w:instrText>
      </w:r>
      <w:r w:rsidR="00E974B2">
        <w:rPr>
          <w:lang w:val="en-US" w:eastAsia="ru-RU"/>
        </w:rPr>
        <w:instrText>uuid</w:instrText>
      </w:r>
      <w:r w:rsidR="00E974B2" w:rsidRPr="006C476A">
        <w:rPr>
          <w:lang w:eastAsia="ru-RU"/>
        </w:rPr>
        <w:instrText>=</w:instrText>
      </w:r>
      <w:r w:rsidR="00E974B2">
        <w:rPr>
          <w:lang w:val="en-US" w:eastAsia="ru-RU"/>
        </w:rPr>
        <w:instrText>fbb</w:instrText>
      </w:r>
      <w:r w:rsidR="00E974B2" w:rsidRPr="006C476A">
        <w:rPr>
          <w:lang w:eastAsia="ru-RU"/>
        </w:rPr>
        <w:instrText>0</w:instrText>
      </w:r>
      <w:r w:rsidR="00E974B2">
        <w:rPr>
          <w:lang w:val="en-US" w:eastAsia="ru-RU"/>
        </w:rPr>
        <w:instrText>b</w:instrText>
      </w:r>
      <w:r w:rsidR="00E974B2" w:rsidRPr="006C476A">
        <w:rPr>
          <w:lang w:eastAsia="ru-RU"/>
        </w:rPr>
        <w:instrText>8</w:instrText>
      </w:r>
      <w:r w:rsidR="00E974B2">
        <w:rPr>
          <w:lang w:val="en-US" w:eastAsia="ru-RU"/>
        </w:rPr>
        <w:instrText>f</w:instrText>
      </w:r>
      <w:r w:rsidR="00E974B2" w:rsidRPr="006C476A">
        <w:rPr>
          <w:lang w:eastAsia="ru-RU"/>
        </w:rPr>
        <w:instrText>4-6</w:instrText>
      </w:r>
      <w:r w:rsidR="00E974B2">
        <w:rPr>
          <w:lang w:val="en-US" w:eastAsia="ru-RU"/>
        </w:rPr>
        <w:instrText>b</w:instrText>
      </w:r>
      <w:r w:rsidR="00E974B2" w:rsidRPr="006C476A">
        <w:rPr>
          <w:lang w:eastAsia="ru-RU"/>
        </w:rPr>
        <w:instrText>58-3</w:instrText>
      </w:r>
      <w:r w:rsidR="00E974B2">
        <w:rPr>
          <w:lang w:val="en-US" w:eastAsia="ru-RU"/>
        </w:rPr>
        <w:instrText>a</w:instrText>
      </w:r>
      <w:r w:rsidR="00E974B2" w:rsidRPr="006C476A">
        <w:rPr>
          <w:lang w:eastAsia="ru-RU"/>
        </w:rPr>
        <w:instrText>10-</w:instrText>
      </w:r>
      <w:r w:rsidR="00E974B2">
        <w:rPr>
          <w:lang w:val="en-US" w:eastAsia="ru-RU"/>
        </w:rPr>
        <w:instrText>b</w:instrText>
      </w:r>
      <w:r w:rsidR="00E974B2" w:rsidRPr="006C476A">
        <w:rPr>
          <w:lang w:eastAsia="ru-RU"/>
        </w:rPr>
        <w:instrText>7</w:instrText>
      </w:r>
      <w:r w:rsidR="00E974B2">
        <w:rPr>
          <w:lang w:val="en-US" w:eastAsia="ru-RU"/>
        </w:rPr>
        <w:instrText>d</w:instrText>
      </w:r>
      <w:r w:rsidR="00E974B2" w:rsidRPr="006C476A">
        <w:rPr>
          <w:lang w:eastAsia="ru-RU"/>
        </w:rPr>
        <w:instrText>6-</w:instrText>
      </w:r>
      <w:r w:rsidR="00E974B2">
        <w:rPr>
          <w:lang w:val="en-US" w:eastAsia="ru-RU"/>
        </w:rPr>
        <w:instrText>af</w:instrText>
      </w:r>
      <w:r w:rsidR="00E974B2" w:rsidRPr="006C476A">
        <w:rPr>
          <w:lang w:eastAsia="ru-RU"/>
        </w:rPr>
        <w:instrText>3854030</w:instrText>
      </w:r>
      <w:r w:rsidR="00E974B2">
        <w:rPr>
          <w:lang w:val="en-US" w:eastAsia="ru-RU"/>
        </w:rPr>
        <w:instrText>be</w:instrText>
      </w:r>
      <w:r w:rsidR="00E974B2" w:rsidRPr="006C476A">
        <w:rPr>
          <w:lang w:eastAsia="ru-RU"/>
        </w:rPr>
        <w:instrText>8"]},{"</w:instrText>
      </w:r>
      <w:r w:rsidR="00E974B2">
        <w:rPr>
          <w:lang w:val="en-US" w:eastAsia="ru-RU"/>
        </w:rPr>
        <w:instrText>id</w:instrText>
      </w:r>
      <w:r w:rsidR="00E974B2" w:rsidRPr="006C476A">
        <w:rPr>
          <w:lang w:eastAsia="ru-RU"/>
        </w:rPr>
        <w:instrText>":"</w:instrText>
      </w:r>
      <w:r w:rsidR="00E974B2">
        <w:rPr>
          <w:lang w:val="en-US" w:eastAsia="ru-RU"/>
        </w:rPr>
        <w:instrText>ITEM</w:instrText>
      </w:r>
      <w:r w:rsidR="00E974B2" w:rsidRPr="006C476A">
        <w:rPr>
          <w:lang w:eastAsia="ru-RU"/>
        </w:rPr>
        <w:instrText>-2","</w:instrText>
      </w:r>
      <w:r w:rsidR="00E974B2">
        <w:rPr>
          <w:lang w:val="en-US" w:eastAsia="ru-RU"/>
        </w:rPr>
        <w:instrText>itemData</w:instrText>
      </w:r>
      <w:r w:rsidR="00E974B2" w:rsidRPr="006C476A">
        <w:rPr>
          <w:lang w:eastAsia="ru-RU"/>
        </w:rPr>
        <w:instrText>":{"</w:instrText>
      </w:r>
      <w:r w:rsidR="00E974B2">
        <w:rPr>
          <w:lang w:val="en-US" w:eastAsia="ru-RU"/>
        </w:rPr>
        <w:instrText>DOI</w:instrText>
      </w:r>
      <w:r w:rsidR="00E974B2" w:rsidRPr="006C476A">
        <w:rPr>
          <w:lang w:eastAsia="ru-RU"/>
        </w:rPr>
        <w:instrText>":"10.1007/</w:instrText>
      </w:r>
      <w:r w:rsidR="00E974B2">
        <w:rPr>
          <w:lang w:val="en-US" w:eastAsia="ru-RU"/>
        </w:rPr>
        <w:instrText>s</w:instrText>
      </w:r>
      <w:r w:rsidR="00E974B2" w:rsidRPr="006C476A">
        <w:rPr>
          <w:lang w:eastAsia="ru-RU"/>
        </w:rPr>
        <w:instrText>12325-017-0610-</w:instrText>
      </w:r>
      <w:r w:rsidR="00E974B2">
        <w:rPr>
          <w:lang w:val="en-US" w:eastAsia="ru-RU"/>
        </w:rPr>
        <w:instrText>z</w:instrText>
      </w:r>
      <w:r w:rsidR="00E974B2" w:rsidRPr="006C476A">
        <w:rPr>
          <w:lang w:eastAsia="ru-RU"/>
        </w:rPr>
        <w:instrText>","</w:instrText>
      </w:r>
      <w:r w:rsidR="00E974B2">
        <w:rPr>
          <w:lang w:val="en-US" w:eastAsia="ru-RU"/>
        </w:rPr>
        <w:instrText>ISSN</w:instrText>
      </w:r>
      <w:r w:rsidR="00E974B2" w:rsidRPr="006C476A">
        <w:rPr>
          <w:lang w:eastAsia="ru-RU"/>
        </w:rPr>
        <w:instrText>":"18658652","</w:instrText>
      </w:r>
      <w:r w:rsidR="00E974B2">
        <w:rPr>
          <w:lang w:val="en-US" w:eastAsia="ru-RU"/>
        </w:rPr>
        <w:instrText>abstract</w:instrText>
      </w:r>
      <w:r w:rsidR="00E974B2" w:rsidRPr="006C476A">
        <w:rPr>
          <w:lang w:eastAsia="ru-RU"/>
        </w:rPr>
        <w:instrText>":"</w:instrText>
      </w:r>
      <w:r w:rsidR="00E974B2">
        <w:rPr>
          <w:lang w:val="en-US" w:eastAsia="ru-RU"/>
        </w:rPr>
        <w:instrText>Abstract</w:instrText>
      </w:r>
      <w:r w:rsidR="00E974B2" w:rsidRPr="006C476A">
        <w:rPr>
          <w:lang w:eastAsia="ru-RU"/>
        </w:rPr>
        <w:instrText xml:space="preserve">: </w:instrText>
      </w:r>
      <w:r w:rsidR="00E974B2">
        <w:rPr>
          <w:lang w:val="en-US" w:eastAsia="ru-RU"/>
        </w:rPr>
        <w:instrText>Rituximab</w:instrText>
      </w:r>
      <w:r w:rsidR="00E974B2" w:rsidRPr="006C476A">
        <w:rPr>
          <w:lang w:eastAsia="ru-RU"/>
        </w:rPr>
        <w:instrText xml:space="preserve"> (</w:instrText>
      </w:r>
      <w:r w:rsidR="00E974B2">
        <w:rPr>
          <w:lang w:val="en-US" w:eastAsia="ru-RU"/>
        </w:rPr>
        <w:instrText>MabThera</w:instrText>
      </w:r>
      <w:r w:rsidR="00E974B2" w:rsidRPr="006C476A">
        <w:rPr>
          <w:lang w:eastAsia="ru-RU"/>
        </w:rPr>
        <w:instrText>®/</w:instrText>
      </w:r>
      <w:r w:rsidR="00E974B2">
        <w:rPr>
          <w:lang w:val="en-US" w:eastAsia="ru-RU"/>
        </w:rPr>
        <w:instrText>Rituxan</w:instrText>
      </w:r>
      <w:r w:rsidR="00E974B2" w:rsidRPr="006C476A">
        <w:rPr>
          <w:lang w:eastAsia="ru-RU"/>
        </w:rPr>
        <w:instrText xml:space="preserve">®), </w:instrText>
      </w:r>
      <w:r w:rsidR="00E974B2">
        <w:rPr>
          <w:lang w:val="en-US" w:eastAsia="ru-RU"/>
        </w:rPr>
        <w:instrText>a</w:instrText>
      </w:r>
      <w:r w:rsidR="00E974B2" w:rsidRPr="006C476A">
        <w:rPr>
          <w:lang w:eastAsia="ru-RU"/>
        </w:rPr>
        <w:instrText xml:space="preserve"> </w:instrText>
      </w:r>
      <w:r w:rsidR="00E974B2">
        <w:rPr>
          <w:lang w:val="en-US" w:eastAsia="ru-RU"/>
        </w:rPr>
        <w:instrText>chimeric</w:instrText>
      </w:r>
      <w:r w:rsidR="00E974B2" w:rsidRPr="006C476A">
        <w:rPr>
          <w:lang w:eastAsia="ru-RU"/>
        </w:rPr>
        <w:instrText xml:space="preserve"> </w:instrText>
      </w:r>
      <w:r w:rsidR="00E974B2">
        <w:rPr>
          <w:lang w:val="en-US" w:eastAsia="ru-RU"/>
        </w:rPr>
        <w:instrText>murine</w:instrText>
      </w:r>
      <w:r w:rsidR="00E974B2" w:rsidRPr="006447F6">
        <w:rPr>
          <w:lang w:eastAsia="ru-RU"/>
        </w:rPr>
        <w:instrText>/</w:instrText>
      </w:r>
      <w:r w:rsidR="00E974B2">
        <w:rPr>
          <w:lang w:val="en-US" w:eastAsia="ru-RU"/>
        </w:rPr>
        <w:instrText>human</w:instrText>
      </w:r>
      <w:r w:rsidR="00E974B2" w:rsidRPr="006447F6">
        <w:rPr>
          <w:lang w:eastAsia="ru-RU"/>
        </w:rPr>
        <w:instrText xml:space="preserve"> </w:instrText>
      </w:r>
      <w:r w:rsidR="00E974B2">
        <w:rPr>
          <w:lang w:val="en-US" w:eastAsia="ru-RU"/>
        </w:rPr>
        <w:instrText>monoclonal</w:instrText>
      </w:r>
      <w:r w:rsidR="00E974B2" w:rsidRPr="006447F6">
        <w:rPr>
          <w:lang w:eastAsia="ru-RU"/>
        </w:rPr>
        <w:instrText xml:space="preserve"> </w:instrText>
      </w:r>
      <w:r w:rsidR="00E974B2">
        <w:rPr>
          <w:lang w:val="en-US" w:eastAsia="ru-RU"/>
        </w:rPr>
        <w:instrText>antibody</w:instrText>
      </w:r>
      <w:r w:rsidR="00E974B2" w:rsidRPr="006447F6">
        <w:rPr>
          <w:lang w:eastAsia="ru-RU"/>
        </w:rPr>
        <w:instrText xml:space="preserve"> </w:instrText>
      </w:r>
      <w:r w:rsidR="00E974B2">
        <w:rPr>
          <w:lang w:val="en-US" w:eastAsia="ru-RU"/>
        </w:rPr>
        <w:instrText>that</w:instrText>
      </w:r>
      <w:r w:rsidR="00E974B2" w:rsidRPr="006447F6">
        <w:rPr>
          <w:lang w:eastAsia="ru-RU"/>
        </w:rPr>
        <w:instrText xml:space="preserve"> </w:instrText>
      </w:r>
      <w:r w:rsidR="00E974B2">
        <w:rPr>
          <w:lang w:val="en-US" w:eastAsia="ru-RU"/>
        </w:rPr>
        <w:instrText>binds</w:instrText>
      </w:r>
      <w:r w:rsidR="00E974B2" w:rsidRPr="006447F6">
        <w:rPr>
          <w:lang w:eastAsia="ru-RU"/>
        </w:rPr>
        <w:instrText xml:space="preserve"> </w:instrText>
      </w:r>
      <w:r w:rsidR="00E974B2">
        <w:rPr>
          <w:lang w:val="en-US" w:eastAsia="ru-RU"/>
        </w:rPr>
        <w:instrText>specifically</w:instrText>
      </w:r>
      <w:r w:rsidR="00E974B2" w:rsidRPr="006447F6">
        <w:rPr>
          <w:lang w:eastAsia="ru-RU"/>
        </w:rPr>
        <w:instrText xml:space="preserve"> </w:instrText>
      </w:r>
      <w:r w:rsidR="00E974B2">
        <w:rPr>
          <w:lang w:val="en-US" w:eastAsia="ru-RU"/>
        </w:rPr>
        <w:instrText>to</w:instrText>
      </w:r>
      <w:r w:rsidR="00E974B2" w:rsidRPr="006447F6">
        <w:rPr>
          <w:lang w:eastAsia="ru-RU"/>
        </w:rPr>
        <w:instrText xml:space="preserve"> </w:instrText>
      </w:r>
      <w:r w:rsidR="00E974B2">
        <w:rPr>
          <w:lang w:val="en-US" w:eastAsia="ru-RU"/>
        </w:rPr>
        <w:instrText>the</w:instrText>
      </w:r>
      <w:r w:rsidR="00E974B2" w:rsidRPr="006447F6">
        <w:rPr>
          <w:lang w:eastAsia="ru-RU"/>
        </w:rPr>
        <w:instrText xml:space="preserve"> </w:instrText>
      </w:r>
      <w:r w:rsidR="00E974B2">
        <w:rPr>
          <w:lang w:val="en-US" w:eastAsia="ru-RU"/>
        </w:rPr>
        <w:instrText>transmembrane</w:instrText>
      </w:r>
      <w:r w:rsidR="00E974B2" w:rsidRPr="006447F6">
        <w:rPr>
          <w:lang w:eastAsia="ru-RU"/>
        </w:rPr>
        <w:instrText xml:space="preserve"> </w:instrText>
      </w:r>
      <w:r w:rsidR="00E974B2">
        <w:rPr>
          <w:lang w:val="en-US" w:eastAsia="ru-RU"/>
        </w:rPr>
        <w:instrText>antigen</w:instrText>
      </w:r>
      <w:r w:rsidR="00E974B2" w:rsidRPr="006447F6">
        <w:rPr>
          <w:lang w:eastAsia="ru-RU"/>
        </w:rPr>
        <w:instrText xml:space="preserve"> </w:instrText>
      </w:r>
      <w:r w:rsidR="00E974B2">
        <w:rPr>
          <w:lang w:val="en-US" w:eastAsia="ru-RU"/>
        </w:rPr>
        <w:instrText>CD</w:instrText>
      </w:r>
      <w:r w:rsidR="00E974B2" w:rsidRPr="006447F6">
        <w:rPr>
          <w:lang w:eastAsia="ru-RU"/>
        </w:rPr>
        <w:instrText xml:space="preserve">20, </w:instrText>
      </w:r>
      <w:r w:rsidR="00E974B2">
        <w:rPr>
          <w:lang w:val="en-US" w:eastAsia="ru-RU"/>
        </w:rPr>
        <w:instrText>was</w:instrText>
      </w:r>
      <w:r w:rsidR="00E974B2" w:rsidRPr="006447F6">
        <w:rPr>
          <w:lang w:eastAsia="ru-RU"/>
        </w:rPr>
        <w:instrText xml:space="preserve"> </w:instrText>
      </w:r>
      <w:r w:rsidR="00E974B2">
        <w:rPr>
          <w:lang w:val="en-US" w:eastAsia="ru-RU"/>
        </w:rPr>
        <w:instrText>the</w:instrText>
      </w:r>
      <w:r w:rsidR="00E974B2" w:rsidRPr="006447F6">
        <w:rPr>
          <w:lang w:eastAsia="ru-RU"/>
        </w:rPr>
        <w:instrText xml:space="preserve"> </w:instrText>
      </w:r>
      <w:r w:rsidR="00E974B2">
        <w:rPr>
          <w:lang w:val="en-US" w:eastAsia="ru-RU"/>
        </w:rPr>
        <w:instrText>first</w:instrText>
      </w:r>
      <w:r w:rsidR="00E974B2" w:rsidRPr="006447F6">
        <w:rPr>
          <w:lang w:eastAsia="ru-RU"/>
        </w:rPr>
        <w:instrText xml:space="preserve"> </w:instrText>
      </w:r>
      <w:r w:rsidR="00E974B2">
        <w:rPr>
          <w:lang w:val="en-US" w:eastAsia="ru-RU"/>
        </w:rPr>
        <w:instrText>therapeutic</w:instrText>
      </w:r>
      <w:r w:rsidR="00E974B2" w:rsidRPr="006447F6">
        <w:rPr>
          <w:lang w:eastAsia="ru-RU"/>
        </w:rPr>
        <w:instrText xml:space="preserve"> </w:instrText>
      </w:r>
      <w:r w:rsidR="00E974B2">
        <w:rPr>
          <w:lang w:val="en-US" w:eastAsia="ru-RU"/>
        </w:rPr>
        <w:instrText>antibody</w:instrText>
      </w:r>
      <w:r w:rsidR="00E974B2" w:rsidRPr="006447F6">
        <w:rPr>
          <w:lang w:eastAsia="ru-RU"/>
        </w:rPr>
        <w:instrText xml:space="preserve"> </w:instrText>
      </w:r>
      <w:r w:rsidR="00E974B2">
        <w:rPr>
          <w:lang w:val="en-US" w:eastAsia="ru-RU"/>
        </w:rPr>
        <w:instrText>to</w:instrText>
      </w:r>
      <w:r w:rsidR="00E974B2" w:rsidRPr="006447F6">
        <w:rPr>
          <w:lang w:eastAsia="ru-RU"/>
        </w:rPr>
        <w:instrText xml:space="preserve"> </w:instrText>
      </w:r>
      <w:r w:rsidR="00E974B2">
        <w:rPr>
          <w:lang w:val="en-US" w:eastAsia="ru-RU"/>
        </w:rPr>
        <w:instrText>enter</w:instrText>
      </w:r>
      <w:r w:rsidR="00E974B2" w:rsidRPr="006447F6">
        <w:rPr>
          <w:lang w:eastAsia="ru-RU"/>
        </w:rPr>
        <w:instrText xml:space="preserve"> </w:instrText>
      </w:r>
      <w:r w:rsidR="00E974B2">
        <w:rPr>
          <w:lang w:val="en-US" w:eastAsia="ru-RU"/>
        </w:rPr>
        <w:instrText>clinical</w:instrText>
      </w:r>
      <w:r w:rsidR="00E974B2" w:rsidRPr="006447F6">
        <w:rPr>
          <w:lang w:eastAsia="ru-RU"/>
        </w:rPr>
        <w:instrText xml:space="preserve"> </w:instrText>
      </w:r>
      <w:r w:rsidR="00E974B2">
        <w:rPr>
          <w:lang w:val="en-US" w:eastAsia="ru-RU"/>
        </w:rPr>
        <w:instrText>practice</w:instrText>
      </w:r>
      <w:r w:rsidR="00E974B2" w:rsidRPr="006447F6">
        <w:rPr>
          <w:lang w:eastAsia="ru-RU"/>
        </w:rPr>
        <w:instrText xml:space="preserve"> </w:instrText>
      </w:r>
      <w:r w:rsidR="00E974B2">
        <w:rPr>
          <w:lang w:val="en-US" w:eastAsia="ru-RU"/>
        </w:rPr>
        <w:instrText>for</w:instrText>
      </w:r>
      <w:r w:rsidR="00E974B2" w:rsidRPr="006447F6">
        <w:rPr>
          <w:lang w:eastAsia="ru-RU"/>
        </w:rPr>
        <w:instrText xml:space="preserve"> </w:instrText>
      </w:r>
      <w:r w:rsidR="00E974B2">
        <w:rPr>
          <w:lang w:val="en-US" w:eastAsia="ru-RU"/>
        </w:rPr>
        <w:instrText>the</w:instrText>
      </w:r>
      <w:r w:rsidR="00E974B2" w:rsidRPr="006447F6">
        <w:rPr>
          <w:lang w:eastAsia="ru-RU"/>
        </w:rPr>
        <w:instrText xml:space="preserve"> </w:instrText>
      </w:r>
      <w:r w:rsidR="00E974B2">
        <w:rPr>
          <w:lang w:val="en-US" w:eastAsia="ru-RU"/>
        </w:rPr>
        <w:instrText>treatment</w:instrText>
      </w:r>
      <w:r w:rsidR="00E974B2" w:rsidRPr="006447F6">
        <w:rPr>
          <w:lang w:eastAsia="ru-RU"/>
        </w:rPr>
        <w:instrText xml:space="preserve"> </w:instrText>
      </w:r>
      <w:r w:rsidR="00E974B2">
        <w:rPr>
          <w:lang w:val="en-US" w:eastAsia="ru-RU"/>
        </w:rPr>
        <w:instrText>of</w:instrText>
      </w:r>
      <w:r w:rsidR="00E974B2" w:rsidRPr="006447F6">
        <w:rPr>
          <w:lang w:eastAsia="ru-RU"/>
        </w:rPr>
        <w:instrText xml:space="preserve"> </w:instrText>
      </w:r>
      <w:r w:rsidR="00E974B2">
        <w:rPr>
          <w:lang w:val="en-US" w:eastAsia="ru-RU"/>
        </w:rPr>
        <w:instrText>cancer</w:instrText>
      </w:r>
      <w:r w:rsidR="00E974B2" w:rsidRPr="006447F6">
        <w:rPr>
          <w:lang w:eastAsia="ru-RU"/>
        </w:rPr>
        <w:instrText xml:space="preserve">. </w:instrText>
      </w:r>
      <w:r w:rsidR="00E974B2">
        <w:rPr>
          <w:lang w:val="en-US" w:eastAsia="ru-RU"/>
        </w:rPr>
        <w:instrText>As</w:instrText>
      </w:r>
      <w:r w:rsidR="00E974B2" w:rsidRPr="006447F6">
        <w:rPr>
          <w:lang w:eastAsia="ru-RU"/>
        </w:rPr>
        <w:instrText xml:space="preserve"> </w:instrText>
      </w:r>
      <w:r w:rsidR="00E974B2">
        <w:rPr>
          <w:lang w:val="en-US" w:eastAsia="ru-RU"/>
        </w:rPr>
        <w:instrText>monotherapy</w:instrText>
      </w:r>
      <w:r w:rsidR="00E974B2" w:rsidRPr="006447F6">
        <w:rPr>
          <w:lang w:eastAsia="ru-RU"/>
        </w:rPr>
        <w:instrText xml:space="preserve"> </w:instrText>
      </w:r>
      <w:r w:rsidR="00E974B2">
        <w:rPr>
          <w:lang w:val="en-US" w:eastAsia="ru-RU"/>
        </w:rPr>
        <w:instrText>and</w:instrText>
      </w:r>
      <w:r w:rsidR="00E974B2" w:rsidRPr="006447F6">
        <w:rPr>
          <w:lang w:eastAsia="ru-RU"/>
        </w:rPr>
        <w:instrText xml:space="preserve"> </w:instrText>
      </w:r>
      <w:r w:rsidR="00E974B2">
        <w:rPr>
          <w:lang w:val="en-US" w:eastAsia="ru-RU"/>
        </w:rPr>
        <w:instrText>in</w:instrText>
      </w:r>
      <w:r w:rsidR="00E974B2" w:rsidRPr="006447F6">
        <w:rPr>
          <w:lang w:eastAsia="ru-RU"/>
        </w:rPr>
        <w:instrText xml:space="preserve"> </w:instrText>
      </w:r>
      <w:r w:rsidR="00E974B2">
        <w:rPr>
          <w:lang w:val="en-US" w:eastAsia="ru-RU"/>
        </w:rPr>
        <w:instrText>combination</w:instrText>
      </w:r>
      <w:r w:rsidR="00E974B2" w:rsidRPr="006447F6">
        <w:rPr>
          <w:lang w:eastAsia="ru-RU"/>
        </w:rPr>
        <w:instrText xml:space="preserve"> </w:instrText>
      </w:r>
      <w:r w:rsidR="00E974B2">
        <w:rPr>
          <w:lang w:val="en-US" w:eastAsia="ru-RU"/>
        </w:rPr>
        <w:instrText>with</w:instrText>
      </w:r>
      <w:r w:rsidR="00E974B2" w:rsidRPr="006447F6">
        <w:rPr>
          <w:lang w:eastAsia="ru-RU"/>
        </w:rPr>
        <w:instrText xml:space="preserve"> </w:instrText>
      </w:r>
      <w:r w:rsidR="00E974B2">
        <w:rPr>
          <w:lang w:val="en-US" w:eastAsia="ru-RU"/>
        </w:rPr>
        <w:instrText>chemotherapy</w:instrText>
      </w:r>
      <w:r w:rsidR="00E974B2" w:rsidRPr="006447F6">
        <w:rPr>
          <w:lang w:eastAsia="ru-RU"/>
        </w:rPr>
        <w:instrText xml:space="preserve">, </w:instrText>
      </w:r>
      <w:r w:rsidR="00E974B2">
        <w:rPr>
          <w:lang w:val="en-US" w:eastAsia="ru-RU"/>
        </w:rPr>
        <w:instrText>rituximab</w:instrText>
      </w:r>
      <w:r w:rsidR="00E974B2" w:rsidRPr="006447F6">
        <w:rPr>
          <w:lang w:eastAsia="ru-RU"/>
        </w:rPr>
        <w:instrText xml:space="preserve"> </w:instrText>
      </w:r>
      <w:r w:rsidR="00E974B2">
        <w:rPr>
          <w:lang w:val="en-US" w:eastAsia="ru-RU"/>
        </w:rPr>
        <w:instrText>has</w:instrText>
      </w:r>
      <w:r w:rsidR="00E974B2" w:rsidRPr="006447F6">
        <w:rPr>
          <w:lang w:eastAsia="ru-RU"/>
        </w:rPr>
        <w:instrText xml:space="preserve"> </w:instrText>
      </w:r>
      <w:r w:rsidR="00E974B2">
        <w:rPr>
          <w:lang w:val="en-US" w:eastAsia="ru-RU"/>
        </w:rPr>
        <w:instrText>been</w:instrText>
      </w:r>
      <w:r w:rsidR="00E974B2" w:rsidRPr="006447F6">
        <w:rPr>
          <w:lang w:eastAsia="ru-RU"/>
        </w:rPr>
        <w:instrText xml:space="preserve"> </w:instrText>
      </w:r>
      <w:r w:rsidR="00E974B2">
        <w:rPr>
          <w:lang w:val="en-US" w:eastAsia="ru-RU"/>
        </w:rPr>
        <w:instrText>shown</w:instrText>
      </w:r>
      <w:r w:rsidR="00E974B2" w:rsidRPr="006447F6">
        <w:rPr>
          <w:lang w:eastAsia="ru-RU"/>
        </w:rPr>
        <w:instrText xml:space="preserve"> </w:instrText>
      </w:r>
      <w:r w:rsidR="00E974B2">
        <w:rPr>
          <w:lang w:val="en-US" w:eastAsia="ru-RU"/>
        </w:rPr>
        <w:instrText>to</w:instrText>
      </w:r>
      <w:r w:rsidR="00E974B2" w:rsidRPr="006447F6">
        <w:rPr>
          <w:lang w:eastAsia="ru-RU"/>
        </w:rPr>
        <w:instrText xml:space="preserve"> </w:instrText>
      </w:r>
      <w:r w:rsidR="00E974B2">
        <w:rPr>
          <w:lang w:val="en-US" w:eastAsia="ru-RU"/>
        </w:rPr>
        <w:instrText>prolong</w:instrText>
      </w:r>
      <w:r w:rsidR="00E974B2" w:rsidRPr="006447F6">
        <w:rPr>
          <w:lang w:eastAsia="ru-RU"/>
        </w:rPr>
        <w:instrText xml:space="preserve"> </w:instrText>
      </w:r>
      <w:r w:rsidR="00E974B2">
        <w:rPr>
          <w:lang w:val="en-US" w:eastAsia="ru-RU"/>
        </w:rPr>
        <w:instrText>progression</w:instrText>
      </w:r>
      <w:r w:rsidR="00E974B2" w:rsidRPr="006447F6">
        <w:rPr>
          <w:lang w:eastAsia="ru-RU"/>
        </w:rPr>
        <w:instrText>-</w:instrText>
      </w:r>
      <w:r w:rsidR="00E974B2">
        <w:rPr>
          <w:lang w:val="en-US" w:eastAsia="ru-RU"/>
        </w:rPr>
        <w:instrText>free</w:instrText>
      </w:r>
      <w:r w:rsidR="00E974B2" w:rsidRPr="006447F6">
        <w:rPr>
          <w:lang w:eastAsia="ru-RU"/>
        </w:rPr>
        <w:instrText xml:space="preserve"> </w:instrText>
      </w:r>
      <w:r w:rsidR="00E974B2">
        <w:rPr>
          <w:lang w:val="en-US" w:eastAsia="ru-RU"/>
        </w:rPr>
        <w:instrText>survival</w:instrText>
      </w:r>
      <w:r w:rsidR="00E974B2" w:rsidRPr="006447F6">
        <w:rPr>
          <w:lang w:eastAsia="ru-RU"/>
        </w:rPr>
        <w:instrText xml:space="preserve"> </w:instrText>
      </w:r>
      <w:r w:rsidR="00E974B2">
        <w:rPr>
          <w:lang w:val="en-US" w:eastAsia="ru-RU"/>
        </w:rPr>
        <w:instrText>and</w:instrText>
      </w:r>
      <w:r w:rsidR="00E974B2" w:rsidRPr="006447F6">
        <w:rPr>
          <w:lang w:eastAsia="ru-RU"/>
        </w:rPr>
        <w:instrText xml:space="preserve">, </w:instrText>
      </w:r>
      <w:r w:rsidR="00E974B2">
        <w:rPr>
          <w:lang w:val="en-US" w:eastAsia="ru-RU"/>
        </w:rPr>
        <w:instrText>in</w:instrText>
      </w:r>
      <w:r w:rsidR="00E974B2" w:rsidRPr="006447F6">
        <w:rPr>
          <w:lang w:eastAsia="ru-RU"/>
        </w:rPr>
        <w:instrText xml:space="preserve"> </w:instrText>
      </w:r>
      <w:r w:rsidR="00E974B2">
        <w:rPr>
          <w:lang w:val="en-US" w:eastAsia="ru-RU"/>
        </w:rPr>
        <w:instrText>some</w:instrText>
      </w:r>
      <w:r w:rsidR="00E974B2" w:rsidRPr="006447F6">
        <w:rPr>
          <w:lang w:eastAsia="ru-RU"/>
        </w:rPr>
        <w:instrText xml:space="preserve"> </w:instrText>
      </w:r>
      <w:r w:rsidR="00E974B2">
        <w:rPr>
          <w:lang w:val="en-US" w:eastAsia="ru-RU"/>
        </w:rPr>
        <w:instrText>indications</w:instrText>
      </w:r>
      <w:r w:rsidR="00E974B2" w:rsidRPr="006447F6">
        <w:rPr>
          <w:lang w:eastAsia="ru-RU"/>
        </w:rPr>
        <w:instrText xml:space="preserve"> </w:instrText>
      </w:r>
      <w:r w:rsidR="00E974B2">
        <w:rPr>
          <w:lang w:val="en-US" w:eastAsia="ru-RU"/>
        </w:rPr>
        <w:instrText>overall</w:instrText>
      </w:r>
      <w:r w:rsidR="00E974B2" w:rsidRPr="006447F6">
        <w:rPr>
          <w:lang w:eastAsia="ru-RU"/>
        </w:rPr>
        <w:instrText xml:space="preserve"> </w:instrText>
      </w:r>
      <w:r w:rsidR="00E974B2">
        <w:rPr>
          <w:lang w:val="en-US" w:eastAsia="ru-RU"/>
        </w:rPr>
        <w:instrText>survival</w:instrText>
      </w:r>
      <w:r w:rsidR="00E974B2" w:rsidRPr="006447F6">
        <w:rPr>
          <w:lang w:eastAsia="ru-RU"/>
        </w:rPr>
        <w:instrText xml:space="preserve">, </w:instrText>
      </w:r>
      <w:r w:rsidR="00E974B2">
        <w:rPr>
          <w:lang w:val="en-US" w:eastAsia="ru-RU"/>
        </w:rPr>
        <w:instrText>in</w:instrText>
      </w:r>
      <w:r w:rsidR="00E974B2" w:rsidRPr="006447F6">
        <w:rPr>
          <w:lang w:eastAsia="ru-RU"/>
        </w:rPr>
        <w:instrText xml:space="preserve"> </w:instrText>
      </w:r>
      <w:r w:rsidR="00E974B2">
        <w:rPr>
          <w:lang w:val="en-US" w:eastAsia="ru-RU"/>
        </w:rPr>
        <w:instrText>patients</w:instrText>
      </w:r>
      <w:r w:rsidR="00E974B2" w:rsidRPr="006447F6">
        <w:rPr>
          <w:lang w:eastAsia="ru-RU"/>
        </w:rPr>
        <w:instrText xml:space="preserve"> </w:instrText>
      </w:r>
      <w:r w:rsidR="00E974B2">
        <w:rPr>
          <w:lang w:val="en-US" w:eastAsia="ru-RU"/>
        </w:rPr>
        <w:instrText>with</w:instrText>
      </w:r>
      <w:r w:rsidR="00E974B2" w:rsidRPr="006447F6">
        <w:rPr>
          <w:lang w:eastAsia="ru-RU"/>
        </w:rPr>
        <w:instrText xml:space="preserve"> </w:instrText>
      </w:r>
      <w:r w:rsidR="00E974B2">
        <w:rPr>
          <w:lang w:val="en-US" w:eastAsia="ru-RU"/>
        </w:rPr>
        <w:instrText>various</w:instrText>
      </w:r>
      <w:r w:rsidR="00E974B2" w:rsidRPr="006447F6">
        <w:rPr>
          <w:lang w:eastAsia="ru-RU"/>
        </w:rPr>
        <w:instrText xml:space="preserve"> </w:instrText>
      </w:r>
      <w:r w:rsidR="00E974B2">
        <w:rPr>
          <w:lang w:val="en-US" w:eastAsia="ru-RU"/>
        </w:rPr>
        <w:instrText>B</w:instrText>
      </w:r>
      <w:r w:rsidR="00E974B2" w:rsidRPr="006447F6">
        <w:rPr>
          <w:lang w:eastAsia="ru-RU"/>
        </w:rPr>
        <w:instrText>-</w:instrText>
      </w:r>
      <w:r w:rsidR="00E974B2">
        <w:rPr>
          <w:lang w:val="en-US" w:eastAsia="ru-RU"/>
        </w:rPr>
        <w:instrText>cell</w:instrText>
      </w:r>
      <w:r w:rsidR="00E974B2" w:rsidRPr="006447F6">
        <w:rPr>
          <w:lang w:eastAsia="ru-RU"/>
        </w:rPr>
        <w:instrText xml:space="preserve"> </w:instrText>
      </w:r>
      <w:r w:rsidR="00E974B2">
        <w:rPr>
          <w:lang w:val="en-US" w:eastAsia="ru-RU"/>
        </w:rPr>
        <w:instrText>malignancies</w:instrText>
      </w:r>
      <w:r w:rsidR="00E974B2" w:rsidRPr="006447F6">
        <w:rPr>
          <w:lang w:eastAsia="ru-RU"/>
        </w:rPr>
        <w:instrText xml:space="preserve">, </w:instrText>
      </w:r>
      <w:r w:rsidR="00E974B2">
        <w:rPr>
          <w:lang w:val="en-US" w:eastAsia="ru-RU"/>
        </w:rPr>
        <w:instrText>while</w:instrText>
      </w:r>
      <w:r w:rsidR="00E974B2" w:rsidRPr="006447F6">
        <w:rPr>
          <w:lang w:eastAsia="ru-RU"/>
        </w:rPr>
        <w:instrText xml:space="preserve"> </w:instrText>
      </w:r>
      <w:r w:rsidR="00E974B2">
        <w:rPr>
          <w:lang w:val="en-US" w:eastAsia="ru-RU"/>
        </w:rPr>
        <w:instrText>having</w:instrText>
      </w:r>
      <w:r w:rsidR="00E974B2" w:rsidRPr="006447F6">
        <w:rPr>
          <w:lang w:eastAsia="ru-RU"/>
        </w:rPr>
        <w:instrText xml:space="preserve"> </w:instrText>
      </w:r>
      <w:r w:rsidR="00E974B2">
        <w:rPr>
          <w:lang w:val="en-US" w:eastAsia="ru-RU"/>
        </w:rPr>
        <w:instrText>a</w:instrText>
      </w:r>
      <w:r w:rsidR="00E974B2" w:rsidRPr="006447F6">
        <w:rPr>
          <w:lang w:eastAsia="ru-RU"/>
        </w:rPr>
        <w:instrText xml:space="preserve"> </w:instrText>
      </w:r>
      <w:r w:rsidR="00E974B2">
        <w:rPr>
          <w:lang w:val="en-US" w:eastAsia="ru-RU"/>
        </w:rPr>
        <w:instrText>well</w:instrText>
      </w:r>
      <w:r w:rsidR="00E974B2" w:rsidRPr="006447F6">
        <w:rPr>
          <w:lang w:eastAsia="ru-RU"/>
        </w:rPr>
        <w:instrText>-</w:instrText>
      </w:r>
      <w:r w:rsidR="00E974B2">
        <w:rPr>
          <w:lang w:val="en-US" w:eastAsia="ru-RU"/>
        </w:rPr>
        <w:instrText>established</w:instrText>
      </w:r>
      <w:r w:rsidR="00E974B2" w:rsidRPr="006447F6">
        <w:rPr>
          <w:lang w:eastAsia="ru-RU"/>
        </w:rPr>
        <w:instrText xml:space="preserve"> </w:instrText>
      </w:r>
      <w:r w:rsidR="00E974B2">
        <w:rPr>
          <w:lang w:val="en-US" w:eastAsia="ru-RU"/>
        </w:rPr>
        <w:instrText>and</w:instrText>
      </w:r>
      <w:r w:rsidR="00E974B2" w:rsidRPr="006447F6">
        <w:rPr>
          <w:lang w:eastAsia="ru-RU"/>
        </w:rPr>
        <w:instrText xml:space="preserve"> </w:instrText>
      </w:r>
      <w:r w:rsidR="00E974B2">
        <w:rPr>
          <w:lang w:val="en-US" w:eastAsia="ru-RU"/>
        </w:rPr>
        <w:instrText>manageable</w:instrText>
      </w:r>
      <w:r w:rsidR="00E974B2" w:rsidRPr="006447F6">
        <w:rPr>
          <w:lang w:eastAsia="ru-RU"/>
        </w:rPr>
        <w:instrText xml:space="preserve"> </w:instrText>
      </w:r>
      <w:r w:rsidR="00E974B2">
        <w:rPr>
          <w:lang w:val="en-US" w:eastAsia="ru-RU"/>
        </w:rPr>
        <w:instrText>safety</w:instrText>
      </w:r>
      <w:r w:rsidR="00E974B2" w:rsidRPr="006447F6">
        <w:rPr>
          <w:lang w:eastAsia="ru-RU"/>
        </w:rPr>
        <w:instrText xml:space="preserve"> </w:instrText>
      </w:r>
      <w:r w:rsidR="00E974B2">
        <w:rPr>
          <w:lang w:val="en-US" w:eastAsia="ru-RU"/>
        </w:rPr>
        <w:instrText>profile</w:instrText>
      </w:r>
      <w:r w:rsidR="00E974B2" w:rsidRPr="006447F6">
        <w:rPr>
          <w:lang w:eastAsia="ru-RU"/>
        </w:rPr>
        <w:instrText xml:space="preserve"> </w:instrText>
      </w:r>
      <w:r w:rsidR="00E974B2">
        <w:rPr>
          <w:lang w:val="en-US" w:eastAsia="ru-RU"/>
        </w:rPr>
        <w:instrText>and</w:instrText>
      </w:r>
      <w:r w:rsidR="00E974B2" w:rsidRPr="006447F6">
        <w:rPr>
          <w:lang w:eastAsia="ru-RU"/>
        </w:rPr>
        <w:instrText xml:space="preserve"> </w:instrText>
      </w:r>
      <w:r w:rsidR="00E974B2">
        <w:rPr>
          <w:lang w:val="en-US" w:eastAsia="ru-RU"/>
        </w:rPr>
        <w:instrText>a</w:instrText>
      </w:r>
      <w:r w:rsidR="00E974B2" w:rsidRPr="006447F6">
        <w:rPr>
          <w:lang w:eastAsia="ru-RU"/>
        </w:rPr>
        <w:instrText xml:space="preserve"> </w:instrText>
      </w:r>
      <w:r w:rsidR="00E974B2">
        <w:rPr>
          <w:lang w:val="en-US" w:eastAsia="ru-RU"/>
        </w:rPr>
        <w:instrText>wide</w:instrText>
      </w:r>
      <w:r w:rsidR="00E974B2" w:rsidRPr="006447F6">
        <w:rPr>
          <w:lang w:eastAsia="ru-RU"/>
        </w:rPr>
        <w:instrText xml:space="preserve"> </w:instrText>
      </w:r>
      <w:r w:rsidR="00E974B2">
        <w:rPr>
          <w:lang w:val="en-US" w:eastAsia="ru-RU"/>
        </w:rPr>
        <w:instrText>therapeutic</w:instrText>
      </w:r>
      <w:r w:rsidR="00E974B2" w:rsidRPr="006447F6">
        <w:rPr>
          <w:lang w:eastAsia="ru-RU"/>
        </w:rPr>
        <w:instrText xml:space="preserve"> </w:instrText>
      </w:r>
      <w:r w:rsidR="00E974B2">
        <w:rPr>
          <w:lang w:val="en-US" w:eastAsia="ru-RU"/>
        </w:rPr>
        <w:instrText>window</w:instrText>
      </w:r>
      <w:r w:rsidR="00E974B2" w:rsidRPr="006447F6">
        <w:rPr>
          <w:lang w:eastAsia="ru-RU"/>
        </w:rPr>
        <w:instrText xml:space="preserve">. </w:instrText>
      </w:r>
      <w:r w:rsidR="00E974B2">
        <w:rPr>
          <w:lang w:val="en-US" w:eastAsia="ru-RU"/>
        </w:rPr>
        <w:instrText>As</w:instrText>
      </w:r>
      <w:r w:rsidR="00E974B2" w:rsidRPr="006447F6">
        <w:rPr>
          <w:lang w:eastAsia="ru-RU"/>
        </w:rPr>
        <w:instrText xml:space="preserve"> </w:instrText>
      </w:r>
      <w:r w:rsidR="00E974B2">
        <w:rPr>
          <w:lang w:val="en-US" w:eastAsia="ru-RU"/>
        </w:rPr>
        <w:instrText>a</w:instrText>
      </w:r>
      <w:r w:rsidR="00E974B2" w:rsidRPr="006447F6">
        <w:rPr>
          <w:lang w:eastAsia="ru-RU"/>
        </w:rPr>
        <w:instrText xml:space="preserve"> </w:instrText>
      </w:r>
      <w:r w:rsidR="00E974B2">
        <w:rPr>
          <w:lang w:val="en-US" w:eastAsia="ru-RU"/>
        </w:rPr>
        <w:instrText>result</w:instrText>
      </w:r>
      <w:r w:rsidR="00E974B2" w:rsidRPr="006447F6">
        <w:rPr>
          <w:lang w:eastAsia="ru-RU"/>
        </w:rPr>
        <w:instrText xml:space="preserve">, </w:instrText>
      </w:r>
      <w:r w:rsidR="00E974B2">
        <w:rPr>
          <w:lang w:val="en-US" w:eastAsia="ru-RU"/>
        </w:rPr>
        <w:instrText>rituximab</w:instrText>
      </w:r>
      <w:r w:rsidR="00E974B2" w:rsidRPr="006447F6">
        <w:rPr>
          <w:lang w:eastAsia="ru-RU"/>
        </w:rPr>
        <w:instrText xml:space="preserve"> </w:instrText>
      </w:r>
      <w:r w:rsidR="00E974B2">
        <w:rPr>
          <w:lang w:val="en-US" w:eastAsia="ru-RU"/>
        </w:rPr>
        <w:instrText>is</w:instrText>
      </w:r>
      <w:r w:rsidR="00E974B2" w:rsidRPr="006447F6">
        <w:rPr>
          <w:lang w:eastAsia="ru-RU"/>
        </w:rPr>
        <w:instrText xml:space="preserve"> </w:instrText>
      </w:r>
      <w:r w:rsidR="00E974B2">
        <w:rPr>
          <w:lang w:val="en-US" w:eastAsia="ru-RU"/>
        </w:rPr>
        <w:instrText>considered</w:instrText>
      </w:r>
      <w:r w:rsidR="00E974B2" w:rsidRPr="006447F6">
        <w:rPr>
          <w:lang w:eastAsia="ru-RU"/>
        </w:rPr>
        <w:instrText xml:space="preserve"> </w:instrText>
      </w:r>
      <w:r w:rsidR="00E974B2">
        <w:rPr>
          <w:lang w:val="en-US" w:eastAsia="ru-RU"/>
        </w:rPr>
        <w:instrText>to</w:instrText>
      </w:r>
      <w:r w:rsidR="00E974B2" w:rsidRPr="006447F6">
        <w:rPr>
          <w:lang w:eastAsia="ru-RU"/>
        </w:rPr>
        <w:instrText xml:space="preserve"> </w:instrText>
      </w:r>
      <w:r w:rsidR="00E974B2">
        <w:rPr>
          <w:lang w:val="en-US" w:eastAsia="ru-RU"/>
        </w:rPr>
        <w:instrText>have</w:instrText>
      </w:r>
      <w:r w:rsidR="00E974B2" w:rsidRPr="006447F6">
        <w:rPr>
          <w:lang w:eastAsia="ru-RU"/>
        </w:rPr>
        <w:instrText xml:space="preserve"> </w:instrText>
      </w:r>
      <w:r w:rsidR="00E974B2">
        <w:rPr>
          <w:lang w:val="en-US" w:eastAsia="ru-RU"/>
        </w:rPr>
        <w:instrText>revolutionized</w:instrText>
      </w:r>
      <w:r w:rsidR="00E974B2" w:rsidRPr="006447F6">
        <w:rPr>
          <w:lang w:eastAsia="ru-RU"/>
        </w:rPr>
        <w:instrText xml:space="preserve"> </w:instrText>
      </w:r>
      <w:r w:rsidR="00E974B2">
        <w:rPr>
          <w:lang w:val="en-US" w:eastAsia="ru-RU"/>
        </w:rPr>
        <w:instrText>treatment</w:instrText>
      </w:r>
      <w:r w:rsidR="00E974B2" w:rsidRPr="006447F6">
        <w:rPr>
          <w:lang w:eastAsia="ru-RU"/>
        </w:rPr>
        <w:instrText xml:space="preserve"> </w:instrText>
      </w:r>
      <w:r w:rsidR="00E974B2">
        <w:rPr>
          <w:lang w:val="en-US" w:eastAsia="ru-RU"/>
        </w:rPr>
        <w:instrText>practices</w:instrText>
      </w:r>
      <w:r w:rsidR="00E974B2" w:rsidRPr="006447F6">
        <w:rPr>
          <w:lang w:eastAsia="ru-RU"/>
        </w:rPr>
        <w:instrText xml:space="preserve"> </w:instrText>
      </w:r>
      <w:r w:rsidR="00E974B2">
        <w:rPr>
          <w:lang w:val="en-US" w:eastAsia="ru-RU"/>
        </w:rPr>
        <w:instrText>for</w:instrText>
      </w:r>
      <w:r w:rsidR="00E974B2" w:rsidRPr="006447F6">
        <w:rPr>
          <w:lang w:eastAsia="ru-RU"/>
        </w:rPr>
        <w:instrText xml:space="preserve"> </w:instrText>
      </w:r>
      <w:r w:rsidR="00E974B2">
        <w:rPr>
          <w:lang w:val="en-US" w:eastAsia="ru-RU"/>
        </w:rPr>
        <w:instrText>patients</w:instrText>
      </w:r>
      <w:r w:rsidR="00E974B2" w:rsidRPr="006447F6">
        <w:rPr>
          <w:lang w:eastAsia="ru-RU"/>
        </w:rPr>
        <w:instrText xml:space="preserve"> </w:instrText>
      </w:r>
      <w:r w:rsidR="00E974B2">
        <w:rPr>
          <w:lang w:val="en-US" w:eastAsia="ru-RU"/>
        </w:rPr>
        <w:instrText>with</w:instrText>
      </w:r>
      <w:r w:rsidR="00E974B2" w:rsidRPr="006447F6">
        <w:rPr>
          <w:lang w:eastAsia="ru-RU"/>
        </w:rPr>
        <w:instrText xml:space="preserve"> </w:instrText>
      </w:r>
      <w:r w:rsidR="00E974B2">
        <w:rPr>
          <w:lang w:val="en-US" w:eastAsia="ru-RU"/>
        </w:rPr>
        <w:instrText>B</w:instrText>
      </w:r>
      <w:r w:rsidR="00E974B2" w:rsidRPr="006447F6">
        <w:rPr>
          <w:lang w:eastAsia="ru-RU"/>
        </w:rPr>
        <w:instrText>-</w:instrText>
      </w:r>
      <w:r w:rsidR="00E974B2">
        <w:rPr>
          <w:lang w:val="en-US" w:eastAsia="ru-RU"/>
        </w:rPr>
        <w:instrText>cell</w:instrText>
      </w:r>
      <w:r w:rsidR="00E974B2" w:rsidRPr="006447F6">
        <w:rPr>
          <w:lang w:eastAsia="ru-RU"/>
        </w:rPr>
        <w:instrText xml:space="preserve"> </w:instrText>
      </w:r>
      <w:r w:rsidR="00E974B2">
        <w:rPr>
          <w:lang w:val="en-US" w:eastAsia="ru-RU"/>
        </w:rPr>
        <w:instrText>malignancies</w:instrText>
      </w:r>
      <w:r w:rsidR="00E974B2" w:rsidRPr="006447F6">
        <w:rPr>
          <w:lang w:eastAsia="ru-RU"/>
        </w:rPr>
        <w:instrText xml:space="preserve">. </w:instrText>
      </w:r>
      <w:r w:rsidR="00E974B2">
        <w:rPr>
          <w:lang w:val="en-US" w:eastAsia="ru-RU"/>
        </w:rPr>
        <w:instrText>A</w:instrText>
      </w:r>
      <w:r w:rsidR="00E974B2" w:rsidRPr="006447F6">
        <w:rPr>
          <w:lang w:eastAsia="ru-RU"/>
        </w:rPr>
        <w:instrText xml:space="preserve"> </w:instrText>
      </w:r>
      <w:r w:rsidR="00E974B2">
        <w:rPr>
          <w:lang w:val="en-US" w:eastAsia="ru-RU"/>
        </w:rPr>
        <w:instrText>subcutaneous</w:instrText>
      </w:r>
      <w:r w:rsidR="00E974B2" w:rsidRPr="006447F6">
        <w:rPr>
          <w:lang w:eastAsia="ru-RU"/>
        </w:rPr>
        <w:instrText xml:space="preserve"> (</w:instrText>
      </w:r>
      <w:r w:rsidR="00E974B2">
        <w:rPr>
          <w:lang w:val="en-US" w:eastAsia="ru-RU"/>
        </w:rPr>
        <w:instrText>SC</w:instrText>
      </w:r>
      <w:r w:rsidR="00E974B2" w:rsidRPr="006447F6">
        <w:rPr>
          <w:lang w:eastAsia="ru-RU"/>
        </w:rPr>
        <w:instrText xml:space="preserve">) </w:instrText>
      </w:r>
      <w:r w:rsidR="00E974B2">
        <w:rPr>
          <w:lang w:val="en-US" w:eastAsia="ru-RU"/>
        </w:rPr>
        <w:instrText>formulation</w:instrText>
      </w:r>
      <w:r w:rsidR="00E974B2" w:rsidRPr="006447F6">
        <w:rPr>
          <w:lang w:eastAsia="ru-RU"/>
        </w:rPr>
        <w:instrText xml:space="preserve"> </w:instrText>
      </w:r>
      <w:r w:rsidR="00E974B2">
        <w:rPr>
          <w:lang w:val="en-US" w:eastAsia="ru-RU"/>
        </w:rPr>
        <w:instrText>of</w:instrText>
      </w:r>
      <w:r w:rsidR="00E974B2" w:rsidRPr="006447F6">
        <w:rPr>
          <w:lang w:eastAsia="ru-RU"/>
        </w:rPr>
        <w:instrText xml:space="preserve"> </w:instrText>
      </w:r>
      <w:r w:rsidR="00E974B2">
        <w:rPr>
          <w:lang w:val="en-US" w:eastAsia="ru-RU"/>
        </w:rPr>
        <w:instrText>rituximab</w:instrText>
      </w:r>
      <w:r w:rsidR="00E974B2" w:rsidRPr="006447F6">
        <w:rPr>
          <w:lang w:eastAsia="ru-RU"/>
        </w:rPr>
        <w:instrText xml:space="preserve"> </w:instrText>
      </w:r>
      <w:r w:rsidR="00E974B2">
        <w:rPr>
          <w:lang w:val="en-US" w:eastAsia="ru-RU"/>
        </w:rPr>
        <w:instrText>has</w:instrText>
      </w:r>
      <w:r w:rsidR="00E974B2" w:rsidRPr="006447F6">
        <w:rPr>
          <w:lang w:eastAsia="ru-RU"/>
        </w:rPr>
        <w:instrText xml:space="preserve"> </w:instrText>
      </w:r>
      <w:r w:rsidR="00E974B2">
        <w:rPr>
          <w:lang w:val="en-US" w:eastAsia="ru-RU"/>
        </w:rPr>
        <w:instrText>been</w:instrText>
      </w:r>
      <w:r w:rsidR="00E974B2" w:rsidRPr="006447F6">
        <w:rPr>
          <w:lang w:eastAsia="ru-RU"/>
        </w:rPr>
        <w:instrText xml:space="preserve"> </w:instrText>
      </w:r>
      <w:r w:rsidR="00E974B2">
        <w:rPr>
          <w:lang w:val="en-US" w:eastAsia="ru-RU"/>
        </w:rPr>
        <w:instrText>developed</w:instrText>
      </w:r>
      <w:r w:rsidR="00E974B2" w:rsidRPr="006447F6">
        <w:rPr>
          <w:lang w:eastAsia="ru-RU"/>
        </w:rPr>
        <w:instrText xml:space="preserve">, </w:instrText>
      </w:r>
      <w:r w:rsidR="00E974B2">
        <w:rPr>
          <w:lang w:val="en-US" w:eastAsia="ru-RU"/>
        </w:rPr>
        <w:instrText>comprising</w:instrText>
      </w:r>
      <w:r w:rsidR="00E974B2" w:rsidRPr="006447F6">
        <w:rPr>
          <w:lang w:eastAsia="ru-RU"/>
        </w:rPr>
        <w:instrText xml:space="preserve"> </w:instrText>
      </w:r>
      <w:r w:rsidR="00E974B2">
        <w:rPr>
          <w:lang w:val="en-US" w:eastAsia="ru-RU"/>
        </w:rPr>
        <w:instrText>the</w:instrText>
      </w:r>
      <w:r w:rsidR="00E974B2" w:rsidRPr="006447F6">
        <w:rPr>
          <w:lang w:eastAsia="ru-RU"/>
        </w:rPr>
        <w:instrText xml:space="preserve"> </w:instrText>
      </w:r>
      <w:r w:rsidR="00E974B2">
        <w:rPr>
          <w:lang w:val="en-US" w:eastAsia="ru-RU"/>
        </w:rPr>
        <w:instrText>same</w:instrText>
      </w:r>
      <w:r w:rsidR="00E974B2" w:rsidRPr="006447F6">
        <w:rPr>
          <w:lang w:eastAsia="ru-RU"/>
        </w:rPr>
        <w:instrText xml:space="preserve"> </w:instrText>
      </w:r>
      <w:r w:rsidR="00E974B2">
        <w:rPr>
          <w:lang w:val="en-US" w:eastAsia="ru-RU"/>
        </w:rPr>
        <w:instrText>monoclonal</w:instrText>
      </w:r>
      <w:r w:rsidR="00E974B2" w:rsidRPr="006447F6">
        <w:rPr>
          <w:lang w:eastAsia="ru-RU"/>
        </w:rPr>
        <w:instrText xml:space="preserve"> </w:instrText>
      </w:r>
      <w:r w:rsidR="00E974B2">
        <w:rPr>
          <w:lang w:val="en-US" w:eastAsia="ru-RU"/>
        </w:rPr>
        <w:instrText>antibody</w:instrText>
      </w:r>
      <w:r w:rsidR="00E974B2" w:rsidRPr="006447F6">
        <w:rPr>
          <w:lang w:eastAsia="ru-RU"/>
        </w:rPr>
        <w:instrText xml:space="preserve"> </w:instrText>
      </w:r>
      <w:r w:rsidR="00E974B2">
        <w:rPr>
          <w:lang w:val="en-US" w:eastAsia="ru-RU"/>
        </w:rPr>
        <w:instrText>as</w:instrText>
      </w:r>
      <w:r w:rsidR="00E974B2" w:rsidRPr="006447F6">
        <w:rPr>
          <w:lang w:eastAsia="ru-RU"/>
        </w:rPr>
        <w:instrText xml:space="preserve"> </w:instrText>
      </w:r>
      <w:r w:rsidR="00E974B2">
        <w:rPr>
          <w:lang w:val="en-US" w:eastAsia="ru-RU"/>
        </w:rPr>
        <w:instrText>the</w:instrText>
      </w:r>
      <w:r w:rsidR="00E974B2" w:rsidRPr="006447F6">
        <w:rPr>
          <w:lang w:eastAsia="ru-RU"/>
        </w:rPr>
        <w:instrText xml:space="preserve"> </w:instrText>
      </w:r>
      <w:r w:rsidR="00E974B2">
        <w:rPr>
          <w:lang w:val="en-US" w:eastAsia="ru-RU"/>
        </w:rPr>
        <w:instrText>originally</w:instrText>
      </w:r>
      <w:r w:rsidR="00E974B2" w:rsidRPr="006447F6">
        <w:rPr>
          <w:lang w:eastAsia="ru-RU"/>
        </w:rPr>
        <w:instrText xml:space="preserve"> </w:instrText>
      </w:r>
      <w:r w:rsidR="00E974B2">
        <w:rPr>
          <w:lang w:val="en-US" w:eastAsia="ru-RU"/>
        </w:rPr>
        <w:instrText>marketed</w:instrText>
      </w:r>
      <w:r w:rsidR="00E974B2" w:rsidRPr="006447F6">
        <w:rPr>
          <w:lang w:eastAsia="ru-RU"/>
        </w:rPr>
        <w:instrText xml:space="preserve"> </w:instrText>
      </w:r>
      <w:r w:rsidR="00E974B2">
        <w:rPr>
          <w:lang w:val="en-US" w:eastAsia="ru-RU"/>
        </w:rPr>
        <w:instrText>formulation</w:instrText>
      </w:r>
      <w:r w:rsidR="00E974B2" w:rsidRPr="006447F6">
        <w:rPr>
          <w:lang w:eastAsia="ru-RU"/>
        </w:rPr>
        <w:instrText xml:space="preserve"> [</w:instrText>
      </w:r>
      <w:r w:rsidR="00E974B2">
        <w:rPr>
          <w:lang w:val="en-US" w:eastAsia="ru-RU"/>
        </w:rPr>
        <w:instrText>rituximab</w:instrText>
      </w:r>
      <w:r w:rsidR="00E974B2" w:rsidRPr="006447F6">
        <w:rPr>
          <w:lang w:eastAsia="ru-RU"/>
        </w:rPr>
        <w:instrText xml:space="preserve"> </w:instrText>
      </w:r>
      <w:r w:rsidR="00E974B2">
        <w:rPr>
          <w:lang w:val="en-US" w:eastAsia="ru-RU"/>
        </w:rPr>
        <w:instrText>concentrate</w:instrText>
      </w:r>
      <w:r w:rsidR="00E974B2" w:rsidRPr="006447F6">
        <w:rPr>
          <w:lang w:eastAsia="ru-RU"/>
        </w:rPr>
        <w:instrText xml:space="preserve"> </w:instrText>
      </w:r>
      <w:r w:rsidR="00E974B2">
        <w:rPr>
          <w:lang w:val="en-US" w:eastAsia="ru-RU"/>
        </w:rPr>
        <w:instrText>for</w:instrText>
      </w:r>
      <w:r w:rsidR="00E974B2" w:rsidRPr="006447F6">
        <w:rPr>
          <w:lang w:eastAsia="ru-RU"/>
        </w:rPr>
        <w:instrText xml:space="preserve"> </w:instrText>
      </w:r>
      <w:r w:rsidR="00E974B2">
        <w:rPr>
          <w:lang w:val="en-US" w:eastAsia="ru-RU"/>
        </w:rPr>
        <w:instrText>solution</w:instrText>
      </w:r>
      <w:r w:rsidR="00E974B2" w:rsidRPr="006447F6">
        <w:rPr>
          <w:lang w:eastAsia="ru-RU"/>
        </w:rPr>
        <w:instrText xml:space="preserve"> </w:instrText>
      </w:r>
      <w:r w:rsidR="00E974B2">
        <w:rPr>
          <w:lang w:val="en-US" w:eastAsia="ru-RU"/>
        </w:rPr>
        <w:instrText>for</w:instrText>
      </w:r>
      <w:r w:rsidR="00E974B2" w:rsidRPr="006447F6">
        <w:rPr>
          <w:lang w:eastAsia="ru-RU"/>
        </w:rPr>
        <w:instrText xml:space="preserve"> </w:instrText>
      </w:r>
      <w:r w:rsidR="00E974B2">
        <w:rPr>
          <w:lang w:val="en-US" w:eastAsia="ru-RU"/>
        </w:rPr>
        <w:instrText>intravenous</w:instrText>
      </w:r>
      <w:r w:rsidR="00E974B2" w:rsidRPr="006447F6">
        <w:rPr>
          <w:lang w:eastAsia="ru-RU"/>
        </w:rPr>
        <w:instrText xml:space="preserve"> (</w:instrText>
      </w:r>
      <w:r w:rsidR="00E974B2">
        <w:rPr>
          <w:lang w:val="en-US" w:eastAsia="ru-RU"/>
        </w:rPr>
        <w:instrText>IV</w:instrText>
      </w:r>
      <w:r w:rsidR="00E974B2" w:rsidRPr="006447F6">
        <w:rPr>
          <w:lang w:eastAsia="ru-RU"/>
        </w:rPr>
        <w:instrText xml:space="preserve">) </w:instrText>
      </w:r>
      <w:r w:rsidR="00E974B2">
        <w:rPr>
          <w:lang w:val="en-US" w:eastAsia="ru-RU"/>
        </w:rPr>
        <w:instrText>infusion</w:instrText>
      </w:r>
      <w:r w:rsidR="00E974B2" w:rsidRPr="006447F6">
        <w:rPr>
          <w:lang w:eastAsia="ru-RU"/>
        </w:rPr>
        <w:instrText xml:space="preserve">], </w:instrText>
      </w:r>
      <w:r w:rsidR="00E974B2">
        <w:rPr>
          <w:lang w:val="en-US" w:eastAsia="ru-RU"/>
        </w:rPr>
        <w:instrText>and</w:instrText>
      </w:r>
      <w:r w:rsidR="00E974B2" w:rsidRPr="006447F6">
        <w:rPr>
          <w:lang w:eastAsia="ru-RU"/>
        </w:rPr>
        <w:instrText xml:space="preserve"> </w:instrText>
      </w:r>
      <w:r w:rsidR="00E974B2">
        <w:rPr>
          <w:lang w:val="en-US" w:eastAsia="ru-RU"/>
        </w:rPr>
        <w:instrText>has</w:instrText>
      </w:r>
      <w:r w:rsidR="00E974B2" w:rsidRPr="006447F6">
        <w:rPr>
          <w:lang w:eastAsia="ru-RU"/>
        </w:rPr>
        <w:instrText xml:space="preserve"> </w:instrText>
      </w:r>
      <w:r w:rsidR="00E974B2">
        <w:rPr>
          <w:lang w:val="en-US" w:eastAsia="ru-RU"/>
        </w:rPr>
        <w:instrText>undergone</w:instrText>
      </w:r>
      <w:r w:rsidR="00E974B2" w:rsidRPr="006447F6">
        <w:rPr>
          <w:lang w:eastAsia="ru-RU"/>
        </w:rPr>
        <w:instrText xml:space="preserve"> </w:instrText>
      </w:r>
      <w:r w:rsidR="00E974B2">
        <w:rPr>
          <w:lang w:val="en-US" w:eastAsia="ru-RU"/>
        </w:rPr>
        <w:instrText>a</w:instrText>
      </w:r>
      <w:r w:rsidR="00E974B2" w:rsidRPr="006447F6">
        <w:rPr>
          <w:lang w:eastAsia="ru-RU"/>
        </w:rPr>
        <w:instrText xml:space="preserve"> </w:instrText>
      </w:r>
      <w:r w:rsidR="00E974B2">
        <w:rPr>
          <w:lang w:val="en-US" w:eastAsia="ru-RU"/>
        </w:rPr>
        <w:instrText>detailed</w:instrText>
      </w:r>
      <w:r w:rsidR="00E974B2" w:rsidRPr="006447F6">
        <w:rPr>
          <w:lang w:eastAsia="ru-RU"/>
        </w:rPr>
        <w:instrText xml:space="preserve">, </w:instrText>
      </w:r>
      <w:r w:rsidR="00E974B2">
        <w:rPr>
          <w:lang w:val="en-US" w:eastAsia="ru-RU"/>
        </w:rPr>
        <w:instrText>sequential</w:instrText>
      </w:r>
      <w:r w:rsidR="00E974B2" w:rsidRPr="006447F6">
        <w:rPr>
          <w:lang w:eastAsia="ru-RU"/>
        </w:rPr>
        <w:instrText xml:space="preserve"> </w:instrText>
      </w:r>
      <w:r w:rsidR="00E974B2">
        <w:rPr>
          <w:lang w:val="en-US" w:eastAsia="ru-RU"/>
        </w:rPr>
        <w:instrText>clinical</w:instrText>
      </w:r>
      <w:r w:rsidR="00E974B2" w:rsidRPr="006447F6">
        <w:rPr>
          <w:lang w:eastAsia="ru-RU"/>
        </w:rPr>
        <w:instrText xml:space="preserve"> </w:instrText>
      </w:r>
      <w:r w:rsidR="00E974B2">
        <w:rPr>
          <w:lang w:val="en-US" w:eastAsia="ru-RU"/>
        </w:rPr>
        <w:instrText>development</w:instrText>
      </w:r>
      <w:r w:rsidR="00E974B2" w:rsidRPr="006447F6">
        <w:rPr>
          <w:lang w:eastAsia="ru-RU"/>
        </w:rPr>
        <w:instrText xml:space="preserve"> </w:instrText>
      </w:r>
      <w:r w:rsidR="00E974B2">
        <w:rPr>
          <w:lang w:val="en-US" w:eastAsia="ru-RU"/>
        </w:rPr>
        <w:instrText>program</w:instrText>
      </w:r>
      <w:r w:rsidR="00E974B2" w:rsidRPr="006447F6">
        <w:rPr>
          <w:lang w:eastAsia="ru-RU"/>
        </w:rPr>
        <w:instrText xml:space="preserve">. </w:instrText>
      </w:r>
      <w:r w:rsidR="00E974B2">
        <w:rPr>
          <w:lang w:val="en-US" w:eastAsia="ru-RU"/>
        </w:rPr>
        <w:instrText>This</w:instrText>
      </w:r>
      <w:r w:rsidR="00E974B2" w:rsidRPr="006447F6">
        <w:rPr>
          <w:lang w:eastAsia="ru-RU"/>
        </w:rPr>
        <w:instrText xml:space="preserve"> </w:instrText>
      </w:r>
      <w:r w:rsidR="00E974B2">
        <w:rPr>
          <w:lang w:val="en-US" w:eastAsia="ru-RU"/>
        </w:rPr>
        <w:instrText>program</w:instrText>
      </w:r>
      <w:r w:rsidR="00E974B2" w:rsidRPr="006447F6">
        <w:rPr>
          <w:lang w:eastAsia="ru-RU"/>
        </w:rPr>
        <w:instrText xml:space="preserve"> </w:instrText>
      </w:r>
      <w:r w:rsidR="00E974B2">
        <w:rPr>
          <w:lang w:val="en-US" w:eastAsia="ru-RU"/>
        </w:rPr>
        <w:instrText>demonstrated</w:instrText>
      </w:r>
      <w:r w:rsidR="00E974B2" w:rsidRPr="006447F6">
        <w:rPr>
          <w:lang w:eastAsia="ru-RU"/>
        </w:rPr>
        <w:instrText xml:space="preserve"> </w:instrText>
      </w:r>
      <w:r w:rsidR="00E974B2">
        <w:rPr>
          <w:lang w:val="en-US" w:eastAsia="ru-RU"/>
        </w:rPr>
        <w:instrText>that</w:instrText>
      </w:r>
      <w:r w:rsidR="00E974B2" w:rsidRPr="006447F6">
        <w:rPr>
          <w:lang w:eastAsia="ru-RU"/>
        </w:rPr>
        <w:instrText xml:space="preserve">, </w:instrText>
      </w:r>
      <w:r w:rsidR="00E974B2">
        <w:rPr>
          <w:lang w:val="en-US" w:eastAsia="ru-RU"/>
        </w:rPr>
        <w:instrText>at</w:instrText>
      </w:r>
      <w:r w:rsidR="00E974B2" w:rsidRPr="006447F6">
        <w:rPr>
          <w:lang w:eastAsia="ru-RU"/>
        </w:rPr>
        <w:instrText xml:space="preserve"> </w:instrText>
      </w:r>
      <w:r w:rsidR="00E974B2">
        <w:rPr>
          <w:lang w:val="en-US" w:eastAsia="ru-RU"/>
        </w:rPr>
        <w:instrText>fixed</w:instrText>
      </w:r>
      <w:r w:rsidR="00E974B2" w:rsidRPr="006447F6">
        <w:rPr>
          <w:lang w:eastAsia="ru-RU"/>
        </w:rPr>
        <w:instrText xml:space="preserve"> </w:instrText>
      </w:r>
      <w:r w:rsidR="00E974B2">
        <w:rPr>
          <w:lang w:val="en-US" w:eastAsia="ru-RU"/>
        </w:rPr>
        <w:instrText>doses</w:instrText>
      </w:r>
      <w:r w:rsidR="00E974B2" w:rsidRPr="006447F6">
        <w:rPr>
          <w:lang w:eastAsia="ru-RU"/>
        </w:rPr>
        <w:instrText xml:space="preserve">, </w:instrText>
      </w:r>
      <w:r w:rsidR="00E974B2">
        <w:rPr>
          <w:lang w:val="en-US" w:eastAsia="ru-RU"/>
        </w:rPr>
        <w:instrText>rituximab</w:instrText>
      </w:r>
      <w:r w:rsidR="00E974B2" w:rsidRPr="006447F6">
        <w:rPr>
          <w:lang w:eastAsia="ru-RU"/>
        </w:rPr>
        <w:instrText xml:space="preserve"> </w:instrText>
      </w:r>
      <w:r w:rsidR="00E974B2">
        <w:rPr>
          <w:lang w:val="en-US" w:eastAsia="ru-RU"/>
        </w:rPr>
        <w:instrText>SC</w:instrText>
      </w:r>
      <w:r w:rsidR="00E974B2" w:rsidRPr="006447F6">
        <w:rPr>
          <w:lang w:eastAsia="ru-RU"/>
        </w:rPr>
        <w:instrText xml:space="preserve"> </w:instrText>
      </w:r>
      <w:r w:rsidR="00E974B2">
        <w:rPr>
          <w:lang w:val="en-US" w:eastAsia="ru-RU"/>
        </w:rPr>
        <w:instrText>achieves</w:instrText>
      </w:r>
      <w:r w:rsidR="00E974B2" w:rsidRPr="006447F6">
        <w:rPr>
          <w:lang w:eastAsia="ru-RU"/>
        </w:rPr>
        <w:instrText xml:space="preserve"> </w:instrText>
      </w:r>
      <w:r w:rsidR="00E974B2">
        <w:rPr>
          <w:lang w:val="en-US" w:eastAsia="ru-RU"/>
        </w:rPr>
        <w:instrText>non</w:instrText>
      </w:r>
      <w:r w:rsidR="00E974B2" w:rsidRPr="006447F6">
        <w:rPr>
          <w:lang w:eastAsia="ru-RU"/>
        </w:rPr>
        <w:instrText>-</w:instrText>
      </w:r>
      <w:r w:rsidR="00E974B2">
        <w:rPr>
          <w:lang w:val="en-US" w:eastAsia="ru-RU"/>
        </w:rPr>
        <w:instrText>inferior</w:instrText>
      </w:r>
      <w:r w:rsidR="00E974B2" w:rsidRPr="006447F6">
        <w:rPr>
          <w:lang w:eastAsia="ru-RU"/>
        </w:rPr>
        <w:instrText xml:space="preserve"> </w:instrText>
      </w:r>
      <w:r w:rsidR="00E974B2">
        <w:rPr>
          <w:lang w:val="en-US" w:eastAsia="ru-RU"/>
        </w:rPr>
        <w:instrText>serum</w:instrText>
      </w:r>
      <w:r w:rsidR="00E974B2" w:rsidRPr="006447F6">
        <w:rPr>
          <w:lang w:eastAsia="ru-RU"/>
        </w:rPr>
        <w:instrText xml:space="preserve"> </w:instrText>
      </w:r>
      <w:r w:rsidR="00E974B2">
        <w:rPr>
          <w:lang w:val="en-US" w:eastAsia="ru-RU"/>
        </w:rPr>
        <w:instrText>trough</w:instrText>
      </w:r>
      <w:r w:rsidR="00E974B2" w:rsidRPr="006447F6">
        <w:rPr>
          <w:lang w:eastAsia="ru-RU"/>
        </w:rPr>
        <w:instrText xml:space="preserve"> </w:instrText>
      </w:r>
      <w:r w:rsidR="00E974B2">
        <w:rPr>
          <w:lang w:val="en-US" w:eastAsia="ru-RU"/>
        </w:rPr>
        <w:instrText>concentrations</w:instrText>
      </w:r>
      <w:r w:rsidR="00E974B2" w:rsidRPr="006447F6">
        <w:rPr>
          <w:lang w:eastAsia="ru-RU"/>
        </w:rPr>
        <w:instrText xml:space="preserve"> </w:instrText>
      </w:r>
      <w:r w:rsidR="00E974B2">
        <w:rPr>
          <w:lang w:val="en-US" w:eastAsia="ru-RU"/>
        </w:rPr>
        <w:instrText>in</w:instrText>
      </w:r>
      <w:r w:rsidR="00E974B2" w:rsidRPr="006447F6">
        <w:rPr>
          <w:lang w:eastAsia="ru-RU"/>
        </w:rPr>
        <w:instrText xml:space="preserve"> </w:instrText>
      </w:r>
      <w:r w:rsidR="00E974B2">
        <w:rPr>
          <w:lang w:val="en-US" w:eastAsia="ru-RU"/>
        </w:rPr>
        <w:instrText>patients</w:instrText>
      </w:r>
      <w:r w:rsidR="00E974B2" w:rsidRPr="006447F6">
        <w:rPr>
          <w:lang w:eastAsia="ru-RU"/>
        </w:rPr>
        <w:instrText xml:space="preserve"> </w:instrText>
      </w:r>
      <w:r w:rsidR="00E974B2">
        <w:rPr>
          <w:lang w:val="en-US" w:eastAsia="ru-RU"/>
        </w:rPr>
        <w:instrText>with</w:instrText>
      </w:r>
      <w:r w:rsidR="00E974B2" w:rsidRPr="006447F6">
        <w:rPr>
          <w:lang w:eastAsia="ru-RU"/>
        </w:rPr>
        <w:instrText xml:space="preserve"> </w:instrText>
      </w:r>
      <w:r w:rsidR="00E974B2">
        <w:rPr>
          <w:lang w:val="en-US" w:eastAsia="ru-RU"/>
        </w:rPr>
        <w:instrText>non</w:instrText>
      </w:r>
      <w:r w:rsidR="00E974B2" w:rsidRPr="006447F6">
        <w:rPr>
          <w:lang w:eastAsia="ru-RU"/>
        </w:rPr>
        <w:instrText>-</w:instrText>
      </w:r>
      <w:r w:rsidR="00E974B2">
        <w:rPr>
          <w:lang w:val="en-US" w:eastAsia="ru-RU"/>
        </w:rPr>
        <w:instrText>Hodgkin</w:instrText>
      </w:r>
      <w:r w:rsidR="00E974B2" w:rsidRPr="006447F6">
        <w:rPr>
          <w:lang w:eastAsia="ru-RU"/>
        </w:rPr>
        <w:instrText xml:space="preserve"> </w:instrText>
      </w:r>
      <w:r w:rsidR="00E974B2">
        <w:rPr>
          <w:lang w:val="en-US" w:eastAsia="ru-RU"/>
        </w:rPr>
        <w:instrText>lymphoma</w:instrText>
      </w:r>
      <w:r w:rsidR="00E974B2" w:rsidRPr="006447F6">
        <w:rPr>
          <w:lang w:eastAsia="ru-RU"/>
        </w:rPr>
        <w:instrText xml:space="preserve"> </w:instrText>
      </w:r>
      <w:r w:rsidR="00E974B2">
        <w:rPr>
          <w:lang w:val="en-US" w:eastAsia="ru-RU"/>
        </w:rPr>
        <w:instrText>and</w:instrText>
      </w:r>
      <w:r w:rsidR="00E974B2" w:rsidRPr="006447F6">
        <w:rPr>
          <w:lang w:eastAsia="ru-RU"/>
        </w:rPr>
        <w:instrText xml:space="preserve"> </w:instrText>
      </w:r>
      <w:r w:rsidR="00E974B2">
        <w:rPr>
          <w:lang w:val="en-US" w:eastAsia="ru-RU"/>
        </w:rPr>
        <w:instrText>chronic</w:instrText>
      </w:r>
      <w:r w:rsidR="00E974B2" w:rsidRPr="006447F6">
        <w:rPr>
          <w:lang w:eastAsia="ru-RU"/>
        </w:rPr>
        <w:instrText xml:space="preserve"> </w:instrText>
      </w:r>
      <w:r w:rsidR="00E974B2">
        <w:rPr>
          <w:lang w:val="en-US" w:eastAsia="ru-RU"/>
        </w:rPr>
        <w:instrText>lymphocytic</w:instrText>
      </w:r>
      <w:r w:rsidR="00E974B2" w:rsidRPr="006447F6">
        <w:rPr>
          <w:lang w:eastAsia="ru-RU"/>
        </w:rPr>
        <w:instrText xml:space="preserve"> </w:instrText>
      </w:r>
      <w:r w:rsidR="00E974B2">
        <w:rPr>
          <w:lang w:val="en-US" w:eastAsia="ru-RU"/>
        </w:rPr>
        <w:instrText>leukemia</w:instrText>
      </w:r>
      <w:r w:rsidR="00E974B2" w:rsidRPr="006447F6">
        <w:rPr>
          <w:lang w:eastAsia="ru-RU"/>
        </w:rPr>
        <w:instrText xml:space="preserve">, </w:instrText>
      </w:r>
      <w:r w:rsidR="00E974B2">
        <w:rPr>
          <w:lang w:val="en-US" w:eastAsia="ru-RU"/>
        </w:rPr>
        <w:instrText>with</w:instrText>
      </w:r>
      <w:r w:rsidR="00E974B2" w:rsidRPr="006447F6">
        <w:rPr>
          <w:lang w:eastAsia="ru-RU"/>
        </w:rPr>
        <w:instrText xml:space="preserve"> </w:instrText>
      </w:r>
      <w:r w:rsidR="00E974B2">
        <w:rPr>
          <w:lang w:val="en-US" w:eastAsia="ru-RU"/>
        </w:rPr>
        <w:instrText>comparable</w:instrText>
      </w:r>
      <w:r w:rsidR="00E974B2" w:rsidRPr="006447F6">
        <w:rPr>
          <w:lang w:eastAsia="ru-RU"/>
        </w:rPr>
        <w:instrText xml:space="preserve"> </w:instrText>
      </w:r>
      <w:r w:rsidR="00E974B2">
        <w:rPr>
          <w:lang w:val="en-US" w:eastAsia="ru-RU"/>
        </w:rPr>
        <w:instrText>efficacy</w:instrText>
      </w:r>
      <w:r w:rsidR="00E974B2" w:rsidRPr="006447F6">
        <w:rPr>
          <w:lang w:eastAsia="ru-RU"/>
        </w:rPr>
        <w:instrText xml:space="preserve"> </w:instrText>
      </w:r>
      <w:r w:rsidR="00E974B2">
        <w:rPr>
          <w:lang w:val="en-US" w:eastAsia="ru-RU"/>
        </w:rPr>
        <w:instrText>and</w:instrText>
      </w:r>
      <w:r w:rsidR="00E974B2" w:rsidRPr="006447F6">
        <w:rPr>
          <w:lang w:eastAsia="ru-RU"/>
        </w:rPr>
        <w:instrText xml:space="preserve"> </w:instrText>
      </w:r>
      <w:r w:rsidR="00E974B2">
        <w:rPr>
          <w:lang w:val="en-US" w:eastAsia="ru-RU"/>
        </w:rPr>
        <w:instrText>safety</w:instrText>
      </w:r>
      <w:r w:rsidR="00E974B2" w:rsidRPr="006447F6">
        <w:rPr>
          <w:lang w:eastAsia="ru-RU"/>
        </w:rPr>
        <w:instrText xml:space="preserve"> </w:instrText>
      </w:r>
      <w:r w:rsidR="00E974B2">
        <w:rPr>
          <w:lang w:val="en-US" w:eastAsia="ru-RU"/>
        </w:rPr>
        <w:instrText>relative</w:instrText>
      </w:r>
      <w:r w:rsidR="00E974B2" w:rsidRPr="006447F6">
        <w:rPr>
          <w:lang w:eastAsia="ru-RU"/>
        </w:rPr>
        <w:instrText xml:space="preserve"> </w:instrText>
      </w:r>
      <w:r w:rsidR="00E974B2">
        <w:rPr>
          <w:lang w:val="en-US" w:eastAsia="ru-RU"/>
        </w:rPr>
        <w:instrText>to</w:instrText>
      </w:r>
      <w:r w:rsidR="00E974B2" w:rsidRPr="006447F6">
        <w:rPr>
          <w:lang w:eastAsia="ru-RU"/>
        </w:rPr>
        <w:instrText xml:space="preserve"> </w:instrText>
      </w:r>
      <w:r w:rsidR="00E974B2">
        <w:rPr>
          <w:lang w:val="en-US" w:eastAsia="ru-RU"/>
        </w:rPr>
        <w:instrText>the</w:instrText>
      </w:r>
      <w:r w:rsidR="00E974B2" w:rsidRPr="006447F6">
        <w:rPr>
          <w:lang w:eastAsia="ru-RU"/>
        </w:rPr>
        <w:instrText xml:space="preserve"> </w:instrText>
      </w:r>
      <w:r w:rsidR="00E974B2">
        <w:rPr>
          <w:lang w:val="en-US" w:eastAsia="ru-RU"/>
        </w:rPr>
        <w:instrText>IV</w:instrText>
      </w:r>
      <w:r w:rsidR="00E974B2" w:rsidRPr="006447F6">
        <w:rPr>
          <w:lang w:eastAsia="ru-RU"/>
        </w:rPr>
        <w:instrText xml:space="preserve"> </w:instrText>
      </w:r>
      <w:r w:rsidR="00E974B2">
        <w:rPr>
          <w:lang w:val="en-US" w:eastAsia="ru-RU"/>
        </w:rPr>
        <w:instrText>formulation</w:instrText>
      </w:r>
      <w:r w:rsidR="00E974B2" w:rsidRPr="006447F6">
        <w:rPr>
          <w:lang w:eastAsia="ru-RU"/>
        </w:rPr>
        <w:instrText xml:space="preserve">. </w:instrText>
      </w:r>
      <w:r w:rsidR="00E974B2">
        <w:rPr>
          <w:lang w:val="en-US" w:eastAsia="ru-RU"/>
        </w:rPr>
        <w:instrText>The</w:instrText>
      </w:r>
      <w:r w:rsidR="00E974B2" w:rsidRPr="006447F6">
        <w:rPr>
          <w:lang w:eastAsia="ru-RU"/>
        </w:rPr>
        <w:instrText xml:space="preserve"> </w:instrText>
      </w:r>
      <w:r w:rsidR="00E974B2">
        <w:rPr>
          <w:lang w:val="en-US" w:eastAsia="ru-RU"/>
        </w:rPr>
        <w:instrText>added</w:instrText>
      </w:r>
      <w:r w:rsidR="00E974B2" w:rsidRPr="006447F6">
        <w:rPr>
          <w:lang w:eastAsia="ru-RU"/>
        </w:rPr>
        <w:instrText xml:space="preserve"> </w:instrText>
      </w:r>
      <w:r w:rsidR="00E974B2">
        <w:rPr>
          <w:lang w:val="en-US" w:eastAsia="ru-RU"/>
        </w:rPr>
        <w:instrText>benefit</w:instrText>
      </w:r>
      <w:r w:rsidR="00E974B2" w:rsidRPr="006447F6">
        <w:rPr>
          <w:lang w:eastAsia="ru-RU"/>
        </w:rPr>
        <w:instrText xml:space="preserve"> </w:instrText>
      </w:r>
      <w:r w:rsidR="00E974B2">
        <w:rPr>
          <w:lang w:val="en-US" w:eastAsia="ru-RU"/>
        </w:rPr>
        <w:instrText>of</w:instrText>
      </w:r>
      <w:r w:rsidR="00E974B2" w:rsidRPr="006447F6">
        <w:rPr>
          <w:lang w:eastAsia="ru-RU"/>
        </w:rPr>
        <w:instrText xml:space="preserve"> </w:instrText>
      </w:r>
      <w:r w:rsidR="00E974B2">
        <w:rPr>
          <w:lang w:val="en-US" w:eastAsia="ru-RU"/>
        </w:rPr>
        <w:instrText>rituximab</w:instrText>
      </w:r>
      <w:r w:rsidR="00E974B2" w:rsidRPr="006447F6">
        <w:rPr>
          <w:lang w:eastAsia="ru-RU"/>
        </w:rPr>
        <w:instrText xml:space="preserve"> </w:instrText>
      </w:r>
      <w:r w:rsidR="00E974B2">
        <w:rPr>
          <w:lang w:val="en-US" w:eastAsia="ru-RU"/>
        </w:rPr>
        <w:instrText>SC</w:instrText>
      </w:r>
      <w:r w:rsidR="00E974B2" w:rsidRPr="006447F6">
        <w:rPr>
          <w:lang w:eastAsia="ru-RU"/>
        </w:rPr>
        <w:instrText xml:space="preserve"> </w:instrText>
      </w:r>
      <w:r w:rsidR="00E974B2">
        <w:rPr>
          <w:lang w:val="en-US" w:eastAsia="ru-RU"/>
        </w:rPr>
        <w:instrText>was</w:instrText>
      </w:r>
      <w:r w:rsidR="00E974B2" w:rsidRPr="006447F6">
        <w:rPr>
          <w:lang w:eastAsia="ru-RU"/>
        </w:rPr>
        <w:instrText xml:space="preserve"> </w:instrText>
      </w:r>
      <w:r w:rsidR="00E974B2">
        <w:rPr>
          <w:lang w:val="en-US" w:eastAsia="ru-RU"/>
        </w:rPr>
        <w:instrText>demonstrated</w:instrText>
      </w:r>
      <w:r w:rsidR="00E974B2" w:rsidRPr="006447F6">
        <w:rPr>
          <w:lang w:eastAsia="ru-RU"/>
        </w:rPr>
        <w:instrText xml:space="preserve"> </w:instrText>
      </w:r>
      <w:r w:rsidR="00E974B2">
        <w:rPr>
          <w:lang w:val="en-US" w:eastAsia="ru-RU"/>
        </w:rPr>
        <w:instrText>in</w:instrText>
      </w:r>
      <w:r w:rsidR="00E974B2" w:rsidRPr="006447F6">
        <w:rPr>
          <w:lang w:eastAsia="ru-RU"/>
        </w:rPr>
        <w:instrText xml:space="preserve"> </w:instrText>
      </w:r>
      <w:r w:rsidR="00E974B2">
        <w:rPr>
          <w:lang w:val="en-US" w:eastAsia="ru-RU"/>
        </w:rPr>
        <w:instrText>dedicated</w:instrText>
      </w:r>
      <w:r w:rsidR="00E974B2" w:rsidRPr="006447F6">
        <w:rPr>
          <w:lang w:eastAsia="ru-RU"/>
        </w:rPr>
        <w:instrText xml:space="preserve"> </w:instrText>
      </w:r>
      <w:r w:rsidR="00E974B2">
        <w:rPr>
          <w:lang w:val="en-US" w:eastAsia="ru-RU"/>
        </w:rPr>
        <w:instrText>studies</w:instrText>
      </w:r>
      <w:r w:rsidR="00E974B2" w:rsidRPr="006447F6">
        <w:rPr>
          <w:lang w:eastAsia="ru-RU"/>
        </w:rPr>
        <w:instrText xml:space="preserve"> </w:instrText>
      </w:r>
      <w:r w:rsidR="00E974B2">
        <w:rPr>
          <w:lang w:val="en-US" w:eastAsia="ru-RU"/>
        </w:rPr>
        <w:instrText>showing</w:instrText>
      </w:r>
      <w:r w:rsidR="00E974B2" w:rsidRPr="006447F6">
        <w:rPr>
          <w:lang w:eastAsia="ru-RU"/>
        </w:rPr>
        <w:instrText xml:space="preserve"> </w:instrText>
      </w:r>
      <w:r w:rsidR="00E974B2">
        <w:rPr>
          <w:lang w:val="en-US" w:eastAsia="ru-RU"/>
        </w:rPr>
        <w:instrText>that</w:instrText>
      </w:r>
      <w:r w:rsidR="00E974B2" w:rsidRPr="006447F6">
        <w:rPr>
          <w:lang w:eastAsia="ru-RU"/>
        </w:rPr>
        <w:instrText xml:space="preserve"> </w:instrText>
      </w:r>
      <w:r w:rsidR="00E974B2">
        <w:rPr>
          <w:lang w:val="en-US" w:eastAsia="ru-RU"/>
        </w:rPr>
        <w:instrText>rituximab</w:instrText>
      </w:r>
      <w:r w:rsidR="00E974B2" w:rsidRPr="006447F6">
        <w:rPr>
          <w:lang w:eastAsia="ru-RU"/>
        </w:rPr>
        <w:instrText xml:space="preserve"> </w:instrText>
      </w:r>
      <w:r w:rsidR="00E974B2">
        <w:rPr>
          <w:lang w:val="en-US" w:eastAsia="ru-RU"/>
        </w:rPr>
        <w:instrText>SC</w:instrText>
      </w:r>
      <w:r w:rsidR="00E974B2" w:rsidRPr="006447F6">
        <w:rPr>
          <w:lang w:eastAsia="ru-RU"/>
        </w:rPr>
        <w:instrText xml:space="preserve"> </w:instrText>
      </w:r>
      <w:r w:rsidR="00E974B2">
        <w:rPr>
          <w:lang w:val="en-US" w:eastAsia="ru-RU"/>
        </w:rPr>
        <w:instrText>allows</w:instrText>
      </w:r>
      <w:r w:rsidR="00E974B2" w:rsidRPr="006447F6">
        <w:rPr>
          <w:lang w:eastAsia="ru-RU"/>
        </w:rPr>
        <w:instrText xml:space="preserve"> </w:instrText>
      </w:r>
      <w:r w:rsidR="00E974B2">
        <w:rPr>
          <w:lang w:val="en-US" w:eastAsia="ru-RU"/>
        </w:rPr>
        <w:instrText>for</w:instrText>
      </w:r>
      <w:r w:rsidR="00E974B2" w:rsidRPr="006447F6">
        <w:rPr>
          <w:lang w:eastAsia="ru-RU"/>
        </w:rPr>
        <w:instrText xml:space="preserve"> </w:instrText>
      </w:r>
      <w:r w:rsidR="00E974B2">
        <w:rPr>
          <w:lang w:val="en-US" w:eastAsia="ru-RU"/>
        </w:rPr>
        <w:instrText>simplified</w:instrText>
      </w:r>
      <w:r w:rsidR="00E974B2" w:rsidRPr="006447F6">
        <w:rPr>
          <w:lang w:eastAsia="ru-RU"/>
        </w:rPr>
        <w:instrText xml:space="preserve"> </w:instrText>
      </w:r>
      <w:r w:rsidR="00E974B2">
        <w:rPr>
          <w:lang w:val="en-US" w:eastAsia="ru-RU"/>
        </w:rPr>
        <w:instrText>and</w:instrText>
      </w:r>
      <w:r w:rsidR="00E974B2" w:rsidRPr="006447F6">
        <w:rPr>
          <w:lang w:eastAsia="ru-RU"/>
        </w:rPr>
        <w:instrText xml:space="preserve"> </w:instrText>
      </w:r>
      <w:r w:rsidR="00E974B2">
        <w:rPr>
          <w:lang w:val="en-US" w:eastAsia="ru-RU"/>
        </w:rPr>
        <w:instrText>shortened</w:instrText>
      </w:r>
      <w:r w:rsidR="00E974B2" w:rsidRPr="006447F6">
        <w:rPr>
          <w:lang w:eastAsia="ru-RU"/>
        </w:rPr>
        <w:instrText xml:space="preserve"> </w:instrText>
      </w:r>
      <w:r w:rsidR="00E974B2">
        <w:rPr>
          <w:lang w:val="en-US" w:eastAsia="ru-RU"/>
        </w:rPr>
        <w:instrText>drug</w:instrText>
      </w:r>
      <w:r w:rsidR="00E974B2" w:rsidRPr="006447F6">
        <w:rPr>
          <w:lang w:eastAsia="ru-RU"/>
        </w:rPr>
        <w:instrText xml:space="preserve"> </w:instrText>
      </w:r>
      <w:r w:rsidR="00E974B2">
        <w:rPr>
          <w:lang w:val="en-US" w:eastAsia="ru-RU"/>
        </w:rPr>
        <w:instrText>preparation</w:instrText>
      </w:r>
      <w:r w:rsidR="00E974B2" w:rsidRPr="006447F6">
        <w:rPr>
          <w:lang w:eastAsia="ru-RU"/>
        </w:rPr>
        <w:instrText xml:space="preserve"> </w:instrText>
      </w:r>
      <w:r w:rsidR="00E974B2">
        <w:rPr>
          <w:lang w:val="en-US" w:eastAsia="ru-RU"/>
        </w:rPr>
        <w:instrText>and</w:instrText>
      </w:r>
      <w:r w:rsidR="00E974B2" w:rsidRPr="006447F6">
        <w:rPr>
          <w:lang w:eastAsia="ru-RU"/>
        </w:rPr>
        <w:instrText xml:space="preserve"> </w:instrText>
      </w:r>
      <w:r w:rsidR="00E974B2">
        <w:rPr>
          <w:lang w:val="en-US" w:eastAsia="ru-RU"/>
        </w:rPr>
        <w:instrText>administration</w:instrText>
      </w:r>
      <w:r w:rsidR="00E974B2" w:rsidRPr="006447F6">
        <w:rPr>
          <w:lang w:eastAsia="ru-RU"/>
        </w:rPr>
        <w:instrText xml:space="preserve"> </w:instrText>
      </w:r>
      <w:r w:rsidR="00E974B2">
        <w:rPr>
          <w:lang w:val="en-US" w:eastAsia="ru-RU"/>
        </w:rPr>
        <w:instrText>times</w:instrText>
      </w:r>
      <w:r w:rsidR="00E974B2" w:rsidRPr="006447F6">
        <w:rPr>
          <w:lang w:eastAsia="ru-RU"/>
        </w:rPr>
        <w:instrText xml:space="preserve"> </w:instrText>
      </w:r>
      <w:r w:rsidR="00E974B2">
        <w:rPr>
          <w:lang w:val="en-US" w:eastAsia="ru-RU"/>
        </w:rPr>
        <w:instrText>resulting</w:instrText>
      </w:r>
      <w:r w:rsidR="00E974B2" w:rsidRPr="006447F6">
        <w:rPr>
          <w:lang w:eastAsia="ru-RU"/>
        </w:rPr>
        <w:instrText xml:space="preserve"> </w:instrText>
      </w:r>
      <w:r w:rsidR="00E974B2">
        <w:rPr>
          <w:lang w:val="en-US" w:eastAsia="ru-RU"/>
        </w:rPr>
        <w:instrText>in</w:instrText>
      </w:r>
      <w:r w:rsidR="00E974B2" w:rsidRPr="006447F6">
        <w:rPr>
          <w:lang w:eastAsia="ru-RU"/>
        </w:rPr>
        <w:instrText xml:space="preserve"> </w:instrText>
      </w:r>
      <w:r w:rsidR="00E974B2">
        <w:rPr>
          <w:lang w:val="en-US" w:eastAsia="ru-RU"/>
        </w:rPr>
        <w:instrText>a</w:instrText>
      </w:r>
      <w:r w:rsidR="00E974B2" w:rsidRPr="006447F6">
        <w:rPr>
          <w:lang w:eastAsia="ru-RU"/>
        </w:rPr>
        <w:instrText xml:space="preserve"> </w:instrText>
      </w:r>
      <w:r w:rsidR="00E974B2">
        <w:rPr>
          <w:lang w:val="en-US" w:eastAsia="ru-RU"/>
        </w:rPr>
        <w:instrText>reduced</w:instrText>
      </w:r>
      <w:r w:rsidR="00E974B2" w:rsidRPr="006447F6">
        <w:rPr>
          <w:lang w:eastAsia="ru-RU"/>
        </w:rPr>
        <w:instrText xml:space="preserve"> </w:instrText>
      </w:r>
      <w:r w:rsidR="00E974B2">
        <w:rPr>
          <w:lang w:val="en-US" w:eastAsia="ru-RU"/>
        </w:rPr>
        <w:instrText>treatment</w:instrText>
      </w:r>
      <w:r w:rsidR="00E974B2" w:rsidRPr="006447F6">
        <w:rPr>
          <w:lang w:eastAsia="ru-RU"/>
        </w:rPr>
        <w:instrText xml:space="preserve"> </w:instrText>
      </w:r>
      <w:r w:rsidR="00E974B2">
        <w:rPr>
          <w:lang w:val="en-US" w:eastAsia="ru-RU"/>
        </w:rPr>
        <w:instrText>burden</w:instrText>
      </w:r>
      <w:r w:rsidR="00E974B2" w:rsidRPr="006447F6">
        <w:rPr>
          <w:lang w:eastAsia="ru-RU"/>
        </w:rPr>
        <w:instrText xml:space="preserve"> </w:instrText>
      </w:r>
      <w:r w:rsidR="00E974B2">
        <w:rPr>
          <w:lang w:val="en-US" w:eastAsia="ru-RU"/>
        </w:rPr>
        <w:instrText>for</w:instrText>
      </w:r>
      <w:r w:rsidR="00E974B2" w:rsidRPr="006447F6">
        <w:rPr>
          <w:lang w:eastAsia="ru-RU"/>
        </w:rPr>
        <w:instrText xml:space="preserve"> </w:instrText>
      </w:r>
      <w:r w:rsidR="00E974B2">
        <w:rPr>
          <w:lang w:val="en-US" w:eastAsia="ru-RU"/>
        </w:rPr>
        <w:instrText>patients</w:instrText>
      </w:r>
      <w:r w:rsidR="00E974B2" w:rsidRPr="006447F6">
        <w:rPr>
          <w:lang w:eastAsia="ru-RU"/>
        </w:rPr>
        <w:instrText xml:space="preserve"> </w:instrText>
      </w:r>
      <w:r w:rsidR="00E974B2">
        <w:rPr>
          <w:lang w:val="en-US" w:eastAsia="ru-RU"/>
        </w:rPr>
        <w:instrText>as</w:instrText>
      </w:r>
      <w:r w:rsidR="00E974B2" w:rsidRPr="006447F6">
        <w:rPr>
          <w:lang w:eastAsia="ru-RU"/>
        </w:rPr>
        <w:instrText xml:space="preserve"> </w:instrText>
      </w:r>
      <w:r w:rsidR="00E974B2">
        <w:rPr>
          <w:lang w:val="en-US" w:eastAsia="ru-RU"/>
        </w:rPr>
        <w:instrText>well</w:instrText>
      </w:r>
      <w:r w:rsidR="00E974B2" w:rsidRPr="006447F6">
        <w:rPr>
          <w:lang w:eastAsia="ru-RU"/>
        </w:rPr>
        <w:instrText xml:space="preserve"> </w:instrText>
      </w:r>
      <w:r w:rsidR="00E974B2">
        <w:rPr>
          <w:lang w:val="en-US" w:eastAsia="ru-RU"/>
        </w:rPr>
        <w:instrText>as</w:instrText>
      </w:r>
      <w:r w:rsidR="00E974B2" w:rsidRPr="006447F6">
        <w:rPr>
          <w:lang w:eastAsia="ru-RU"/>
        </w:rPr>
        <w:instrText xml:space="preserve"> </w:instrText>
      </w:r>
      <w:r w:rsidR="00E974B2">
        <w:rPr>
          <w:lang w:val="en-US" w:eastAsia="ru-RU"/>
        </w:rPr>
        <w:instrText>improved</w:instrText>
      </w:r>
      <w:r w:rsidR="00E974B2" w:rsidRPr="006447F6">
        <w:rPr>
          <w:lang w:eastAsia="ru-RU"/>
        </w:rPr>
        <w:instrText xml:space="preserve"> </w:instrText>
      </w:r>
      <w:r w:rsidR="00E974B2">
        <w:rPr>
          <w:lang w:val="en-US" w:eastAsia="ru-RU"/>
        </w:rPr>
        <w:instrText>resource</w:instrText>
      </w:r>
      <w:r w:rsidR="00E974B2" w:rsidRPr="006447F6">
        <w:rPr>
          <w:lang w:eastAsia="ru-RU"/>
        </w:rPr>
        <w:instrText xml:space="preserve"> </w:instrText>
      </w:r>
      <w:r w:rsidR="00E974B2">
        <w:rPr>
          <w:lang w:val="en-US" w:eastAsia="ru-RU"/>
        </w:rPr>
        <w:instrText>utilization</w:instrText>
      </w:r>
      <w:r w:rsidR="00E974B2" w:rsidRPr="006447F6">
        <w:rPr>
          <w:lang w:eastAsia="ru-RU"/>
        </w:rPr>
        <w:instrText xml:space="preserve"> (</w:instrText>
      </w:r>
      <w:r w:rsidR="00E974B2">
        <w:rPr>
          <w:lang w:val="en-US" w:eastAsia="ru-RU"/>
        </w:rPr>
        <w:instrText>efficiency</w:instrText>
      </w:r>
      <w:r w:rsidR="00E974B2" w:rsidRPr="006447F6">
        <w:rPr>
          <w:lang w:eastAsia="ru-RU"/>
        </w:rPr>
        <w:instrText xml:space="preserve">) </w:instrText>
      </w:r>
      <w:r w:rsidR="00E974B2">
        <w:rPr>
          <w:lang w:val="en-US" w:eastAsia="ru-RU"/>
        </w:rPr>
        <w:instrText>at</w:instrText>
      </w:r>
      <w:r w:rsidR="00E974B2" w:rsidRPr="006447F6">
        <w:rPr>
          <w:lang w:eastAsia="ru-RU"/>
        </w:rPr>
        <w:instrText xml:space="preserve"> </w:instrText>
      </w:r>
      <w:r w:rsidR="00E974B2">
        <w:rPr>
          <w:lang w:val="en-US" w:eastAsia="ru-RU"/>
        </w:rPr>
        <w:instrText>the</w:instrText>
      </w:r>
      <w:r w:rsidR="00E974B2" w:rsidRPr="006447F6">
        <w:rPr>
          <w:lang w:eastAsia="ru-RU"/>
        </w:rPr>
        <w:instrText xml:space="preserve"> </w:instrText>
      </w:r>
      <w:r w:rsidR="00E974B2">
        <w:rPr>
          <w:lang w:val="en-US" w:eastAsia="ru-RU"/>
        </w:rPr>
        <w:instrText>treatment</w:instrText>
      </w:r>
      <w:r w:rsidR="00E974B2" w:rsidRPr="006447F6">
        <w:rPr>
          <w:lang w:eastAsia="ru-RU"/>
        </w:rPr>
        <w:instrText xml:space="preserve"> </w:instrText>
      </w:r>
      <w:r w:rsidR="00E974B2">
        <w:rPr>
          <w:lang w:val="en-US" w:eastAsia="ru-RU"/>
        </w:rPr>
        <w:instrText>facility</w:instrText>
      </w:r>
      <w:r w:rsidR="00E974B2" w:rsidRPr="006447F6">
        <w:rPr>
          <w:lang w:eastAsia="ru-RU"/>
        </w:rPr>
        <w:instrText xml:space="preserve">. </w:instrText>
      </w:r>
      <w:r w:rsidR="00E974B2">
        <w:rPr>
          <w:lang w:val="en-US" w:eastAsia="ru-RU"/>
        </w:rPr>
        <w:instrText>The</w:instrText>
      </w:r>
      <w:r w:rsidR="00E974B2" w:rsidRPr="006447F6">
        <w:rPr>
          <w:lang w:eastAsia="ru-RU"/>
        </w:rPr>
        <w:instrText xml:space="preserve"> </w:instrText>
      </w:r>
      <w:r w:rsidR="00E974B2">
        <w:rPr>
          <w:lang w:val="en-US" w:eastAsia="ru-RU"/>
        </w:rPr>
        <w:instrText>improved</w:instrText>
      </w:r>
      <w:r w:rsidR="00E974B2" w:rsidRPr="006447F6">
        <w:rPr>
          <w:lang w:eastAsia="ru-RU"/>
        </w:rPr>
        <w:instrText xml:space="preserve"> </w:instrText>
      </w:r>
      <w:r w:rsidR="00E974B2">
        <w:rPr>
          <w:lang w:val="en-US" w:eastAsia="ru-RU"/>
        </w:rPr>
        <w:instrText>efficiency</w:instrText>
      </w:r>
      <w:r w:rsidR="00E974B2" w:rsidRPr="006447F6">
        <w:rPr>
          <w:lang w:eastAsia="ru-RU"/>
        </w:rPr>
        <w:instrText xml:space="preserve"> </w:instrText>
      </w:r>
      <w:r w:rsidR="00E974B2">
        <w:rPr>
          <w:lang w:val="en-US" w:eastAsia="ru-RU"/>
        </w:rPr>
        <w:instrText>of</w:instrText>
      </w:r>
      <w:r w:rsidR="00E974B2" w:rsidRPr="006447F6">
        <w:rPr>
          <w:lang w:eastAsia="ru-RU"/>
        </w:rPr>
        <w:instrText xml:space="preserve"> </w:instrText>
      </w:r>
      <w:r w:rsidR="00E974B2">
        <w:rPr>
          <w:lang w:val="en-US" w:eastAsia="ru-RU"/>
        </w:rPr>
        <w:instrText>delivering</w:instrText>
      </w:r>
      <w:r w:rsidR="00E974B2" w:rsidRPr="006447F6">
        <w:rPr>
          <w:lang w:eastAsia="ru-RU"/>
        </w:rPr>
        <w:instrText xml:space="preserve"> </w:instrText>
      </w:r>
      <w:r w:rsidR="00E974B2">
        <w:rPr>
          <w:lang w:val="en-US" w:eastAsia="ru-RU"/>
        </w:rPr>
        <w:instrText>rituximab</w:instrText>
      </w:r>
      <w:r w:rsidR="00E974B2" w:rsidRPr="006447F6">
        <w:rPr>
          <w:lang w:eastAsia="ru-RU"/>
        </w:rPr>
        <w:instrText>’</w:instrText>
      </w:r>
      <w:r w:rsidR="00E974B2">
        <w:rPr>
          <w:lang w:val="en-US" w:eastAsia="ru-RU"/>
        </w:rPr>
        <w:instrText>s</w:instrText>
      </w:r>
      <w:r w:rsidR="00E974B2" w:rsidRPr="006447F6">
        <w:rPr>
          <w:lang w:eastAsia="ru-RU"/>
        </w:rPr>
        <w:instrText xml:space="preserve"> </w:instrText>
      </w:r>
      <w:r w:rsidR="00E974B2">
        <w:rPr>
          <w:lang w:val="en-US" w:eastAsia="ru-RU"/>
        </w:rPr>
        <w:instrText>benefit</w:instrText>
      </w:r>
      <w:r w:rsidR="00E974B2" w:rsidRPr="006447F6">
        <w:rPr>
          <w:lang w:eastAsia="ru-RU"/>
        </w:rPr>
        <w:instrText xml:space="preserve"> </w:instrText>
      </w:r>
      <w:r w:rsidR="00E974B2">
        <w:rPr>
          <w:lang w:val="en-US" w:eastAsia="ru-RU"/>
        </w:rPr>
        <w:instrText>to</w:instrText>
      </w:r>
      <w:r w:rsidR="00E974B2" w:rsidRPr="006447F6">
        <w:rPr>
          <w:lang w:eastAsia="ru-RU"/>
        </w:rPr>
        <w:instrText xml:space="preserve"> </w:instrText>
      </w:r>
      <w:r w:rsidR="00E974B2">
        <w:rPr>
          <w:lang w:val="en-US" w:eastAsia="ru-RU"/>
        </w:rPr>
        <w:instrText>patients</w:instrText>
      </w:r>
      <w:r w:rsidR="00E974B2" w:rsidRPr="006447F6">
        <w:rPr>
          <w:lang w:eastAsia="ru-RU"/>
        </w:rPr>
        <w:instrText xml:space="preserve"> </w:instrText>
      </w:r>
      <w:r w:rsidR="00E974B2">
        <w:rPr>
          <w:lang w:val="en-US" w:eastAsia="ru-RU"/>
        </w:rPr>
        <w:instrText>may</w:instrText>
      </w:r>
      <w:r w:rsidR="00E974B2" w:rsidRPr="006447F6">
        <w:rPr>
          <w:lang w:eastAsia="ru-RU"/>
        </w:rPr>
        <w:instrText xml:space="preserve"> </w:instrText>
      </w:r>
      <w:r w:rsidR="00E974B2">
        <w:rPr>
          <w:lang w:val="en-US" w:eastAsia="ru-RU"/>
        </w:rPr>
        <w:instrText>broaden</w:instrText>
      </w:r>
      <w:r w:rsidR="00E974B2" w:rsidRPr="006447F6">
        <w:rPr>
          <w:lang w:eastAsia="ru-RU"/>
        </w:rPr>
        <w:instrText xml:space="preserve"> </w:instrText>
      </w:r>
      <w:r w:rsidR="00E974B2">
        <w:rPr>
          <w:lang w:val="en-US" w:eastAsia="ru-RU"/>
        </w:rPr>
        <w:instrText>patient</w:instrText>
      </w:r>
      <w:r w:rsidR="00E974B2" w:rsidRPr="006447F6">
        <w:rPr>
          <w:lang w:eastAsia="ru-RU"/>
        </w:rPr>
        <w:instrText xml:space="preserve"> </w:instrText>
      </w:r>
      <w:r w:rsidR="00E974B2">
        <w:rPr>
          <w:lang w:val="en-US" w:eastAsia="ru-RU"/>
        </w:rPr>
        <w:instrText>access</w:instrText>
      </w:r>
      <w:r w:rsidR="00E974B2" w:rsidRPr="006447F6">
        <w:rPr>
          <w:lang w:eastAsia="ru-RU"/>
        </w:rPr>
        <w:instrText xml:space="preserve"> </w:instrText>
      </w:r>
      <w:r w:rsidR="00E974B2">
        <w:rPr>
          <w:lang w:val="en-US" w:eastAsia="ru-RU"/>
        </w:rPr>
        <w:instrText>to</w:instrText>
      </w:r>
      <w:r w:rsidR="00E974B2" w:rsidRPr="006447F6">
        <w:rPr>
          <w:lang w:eastAsia="ru-RU"/>
        </w:rPr>
        <w:instrText xml:space="preserve"> </w:instrText>
      </w:r>
      <w:r w:rsidR="00E974B2">
        <w:rPr>
          <w:lang w:val="en-US" w:eastAsia="ru-RU"/>
        </w:rPr>
        <w:instrText>rituximab</w:instrText>
      </w:r>
      <w:r w:rsidR="00E974B2" w:rsidRPr="006447F6">
        <w:rPr>
          <w:lang w:eastAsia="ru-RU"/>
        </w:rPr>
        <w:instrText xml:space="preserve"> </w:instrText>
      </w:r>
      <w:r w:rsidR="00E974B2">
        <w:rPr>
          <w:lang w:val="en-US" w:eastAsia="ru-RU"/>
        </w:rPr>
        <w:instrText>therapy</w:instrText>
      </w:r>
      <w:r w:rsidR="00E974B2" w:rsidRPr="006447F6">
        <w:rPr>
          <w:lang w:eastAsia="ru-RU"/>
        </w:rPr>
        <w:instrText xml:space="preserve"> </w:instrText>
      </w:r>
      <w:r w:rsidR="00E974B2">
        <w:rPr>
          <w:lang w:val="en-US" w:eastAsia="ru-RU"/>
        </w:rPr>
        <w:instrText>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w:instrText>
      </w:r>
      <w:r w:rsidR="00E974B2" w:rsidRPr="006C476A">
        <w:rPr>
          <w:lang w:eastAsia="ru-RU"/>
        </w:rPr>
        <w:instrText xml:space="preserve">, </w:instrText>
      </w:r>
      <w:r w:rsidR="00E974B2">
        <w:rPr>
          <w:lang w:val="en-US" w:eastAsia="ru-RU"/>
        </w:rPr>
        <w:instrText>correct</w:instrText>
      </w:r>
      <w:r w:rsidR="00E974B2" w:rsidRPr="006C476A">
        <w:rPr>
          <w:lang w:eastAsia="ru-RU"/>
        </w:rPr>
        <w:instrText xml:space="preserve"> </w:instrText>
      </w:r>
      <w:r w:rsidR="00E974B2">
        <w:rPr>
          <w:lang w:val="en-US" w:eastAsia="ru-RU"/>
        </w:rPr>
        <w:instrText>administration</w:instrText>
      </w:r>
      <w:r w:rsidR="00E974B2" w:rsidRPr="006C476A">
        <w:rPr>
          <w:lang w:eastAsia="ru-RU"/>
        </w:rPr>
        <w:instrText xml:space="preserve"> </w:instrText>
      </w:r>
      <w:r w:rsidR="00E974B2">
        <w:rPr>
          <w:lang w:val="en-US" w:eastAsia="ru-RU"/>
        </w:rPr>
        <w:instrText>is</w:instrText>
      </w:r>
      <w:r w:rsidR="00E974B2" w:rsidRPr="006C476A">
        <w:rPr>
          <w:lang w:eastAsia="ru-RU"/>
        </w:rPr>
        <w:instrText xml:space="preserve"> </w:instrText>
      </w:r>
      <w:r w:rsidR="00E974B2">
        <w:rPr>
          <w:lang w:val="en-US" w:eastAsia="ru-RU"/>
        </w:rPr>
        <w:instrText>needed</w:instrText>
      </w:r>
      <w:r w:rsidR="00E974B2" w:rsidRPr="006C476A">
        <w:rPr>
          <w:lang w:eastAsia="ru-RU"/>
        </w:rPr>
        <w:instrText xml:space="preserve"> </w:instrText>
      </w:r>
      <w:r w:rsidR="00E974B2">
        <w:rPr>
          <w:lang w:val="en-US" w:eastAsia="ru-RU"/>
        </w:rPr>
        <w:instrText>to</w:instrText>
      </w:r>
      <w:r w:rsidR="00E974B2" w:rsidRPr="006C476A">
        <w:rPr>
          <w:lang w:eastAsia="ru-RU"/>
        </w:rPr>
        <w:instrText xml:space="preserve"> </w:instrText>
      </w:r>
      <w:r w:rsidR="00E974B2">
        <w:rPr>
          <w:lang w:val="en-US" w:eastAsia="ru-RU"/>
        </w:rPr>
        <w:instrText>reduce</w:instrText>
      </w:r>
      <w:r w:rsidR="00E974B2" w:rsidRPr="006C476A">
        <w:rPr>
          <w:lang w:eastAsia="ru-RU"/>
        </w:rPr>
        <w:instrText xml:space="preserve"> </w:instrText>
      </w:r>
      <w:r w:rsidR="00E974B2">
        <w:rPr>
          <w:lang w:val="en-US" w:eastAsia="ru-RU"/>
        </w:rPr>
        <w:instrText>administration</w:instrText>
      </w:r>
      <w:r w:rsidR="00E974B2" w:rsidRPr="006C476A">
        <w:rPr>
          <w:lang w:eastAsia="ru-RU"/>
        </w:rPr>
        <w:instrText>-</w:instrText>
      </w:r>
      <w:r w:rsidR="00E974B2">
        <w:rPr>
          <w:lang w:val="en-US" w:eastAsia="ru-RU"/>
        </w:rPr>
        <w:instrText>related</w:instrText>
      </w:r>
      <w:r w:rsidR="00E974B2" w:rsidRPr="006C476A">
        <w:rPr>
          <w:lang w:eastAsia="ru-RU"/>
        </w:rPr>
        <w:instrText xml:space="preserve"> </w:instrText>
      </w:r>
      <w:r w:rsidR="00E974B2">
        <w:rPr>
          <w:lang w:val="en-US" w:eastAsia="ru-RU"/>
        </w:rPr>
        <w:instrText>reactions</w:instrText>
      </w:r>
      <w:r w:rsidR="00E974B2" w:rsidRPr="006C476A">
        <w:rPr>
          <w:lang w:eastAsia="ru-RU"/>
        </w:rPr>
        <w:instrText xml:space="preserve">. </w:instrText>
      </w:r>
      <w:r w:rsidR="00E974B2">
        <w:rPr>
          <w:lang w:val="en-US" w:eastAsia="ru-RU"/>
        </w:rPr>
        <w:instrText>By</w:instrText>
      </w:r>
      <w:r w:rsidR="00E974B2" w:rsidRPr="006C476A">
        <w:rPr>
          <w:lang w:eastAsia="ru-RU"/>
        </w:rPr>
        <w:instrText xml:space="preserve"> </w:instrText>
      </w:r>
      <w:r w:rsidR="00E974B2">
        <w:rPr>
          <w:lang w:val="en-US" w:eastAsia="ru-RU"/>
        </w:rPr>
        <w:instrText>using</w:instrText>
      </w:r>
      <w:r w:rsidR="00E974B2" w:rsidRPr="006C476A">
        <w:rPr>
          <w:lang w:eastAsia="ru-RU"/>
        </w:rPr>
        <w:instrText xml:space="preserve"> </w:instrText>
      </w:r>
      <w:r w:rsidR="00E974B2">
        <w:rPr>
          <w:lang w:val="en-US" w:eastAsia="ru-RU"/>
        </w:rPr>
        <w:instrText>a</w:instrText>
      </w:r>
      <w:r w:rsidR="00E974B2" w:rsidRPr="006C476A">
        <w:rPr>
          <w:lang w:eastAsia="ru-RU"/>
        </w:rPr>
        <w:instrText xml:space="preserve"> </w:instrText>
      </w:r>
      <w:r w:rsidR="00E974B2">
        <w:rPr>
          <w:lang w:val="en-US" w:eastAsia="ru-RU"/>
        </w:rPr>
        <w:instrText>careful</w:instrText>
      </w:r>
      <w:r w:rsidR="00E974B2" w:rsidRPr="006C476A">
        <w:rPr>
          <w:lang w:eastAsia="ru-RU"/>
        </w:rPr>
        <w:instrText xml:space="preserve"> </w:instrText>
      </w:r>
      <w:r w:rsidR="00E974B2">
        <w:rPr>
          <w:lang w:val="en-US" w:eastAsia="ru-RU"/>
        </w:rPr>
        <w:instrText>procedure</w:instrText>
      </w:r>
      <w:r w:rsidR="00E974B2" w:rsidRPr="006C476A">
        <w:rPr>
          <w:lang w:eastAsia="ru-RU"/>
        </w:rPr>
        <w:instrText xml:space="preserve">, </w:instrText>
      </w:r>
      <w:r w:rsidR="00E974B2">
        <w:rPr>
          <w:lang w:val="en-US" w:eastAsia="ru-RU"/>
        </w:rPr>
        <w:instrText>the</w:instrText>
      </w:r>
      <w:r w:rsidR="00E974B2" w:rsidRPr="006C476A">
        <w:rPr>
          <w:lang w:eastAsia="ru-RU"/>
        </w:rPr>
        <w:instrText xml:space="preserve"> </w:instrText>
      </w:r>
      <w:r w:rsidR="00E974B2">
        <w:rPr>
          <w:lang w:val="en-US" w:eastAsia="ru-RU"/>
        </w:rPr>
        <w:instrText>sc</w:instrText>
      </w:r>
      <w:r w:rsidR="00E974B2" w:rsidRPr="006C476A">
        <w:rPr>
          <w:lang w:eastAsia="ru-RU"/>
        </w:rPr>
        <w:instrText xml:space="preserve"> </w:instrText>
      </w:r>
      <w:r w:rsidR="00E974B2">
        <w:rPr>
          <w:lang w:val="en-US" w:eastAsia="ru-RU"/>
        </w:rPr>
        <w:instrText>formulation</w:instrText>
      </w:r>
      <w:r w:rsidR="00E974B2" w:rsidRPr="006C476A">
        <w:rPr>
          <w:lang w:eastAsia="ru-RU"/>
        </w:rPr>
        <w:instrText xml:space="preserve"> </w:instrText>
      </w:r>
      <w:r w:rsidR="00E974B2">
        <w:rPr>
          <w:lang w:val="en-US" w:eastAsia="ru-RU"/>
        </w:rPr>
        <w:instrText>can</w:instrText>
      </w:r>
      <w:r w:rsidR="00E974B2" w:rsidRPr="006C476A">
        <w:rPr>
          <w:lang w:eastAsia="ru-RU"/>
        </w:rPr>
        <w:instrText xml:space="preserve"> </w:instrText>
      </w:r>
      <w:r w:rsidR="00E974B2">
        <w:rPr>
          <w:lang w:val="en-US" w:eastAsia="ru-RU"/>
        </w:rPr>
        <w:instrText>be</w:instrText>
      </w:r>
      <w:r w:rsidR="00E974B2" w:rsidRPr="006C476A">
        <w:rPr>
          <w:lang w:eastAsia="ru-RU"/>
        </w:rPr>
        <w:instrText xml:space="preserve"> </w:instrText>
      </w:r>
      <w:r w:rsidR="00E974B2">
        <w:rPr>
          <w:lang w:val="en-US" w:eastAsia="ru-RU"/>
        </w:rPr>
        <w:instrText>given</w:instrText>
      </w:r>
      <w:r w:rsidR="00E974B2" w:rsidRPr="006C476A">
        <w:rPr>
          <w:lang w:eastAsia="ru-RU"/>
        </w:rPr>
        <w:instrText xml:space="preserve"> </w:instrText>
      </w:r>
      <w:r w:rsidR="00E974B2">
        <w:rPr>
          <w:lang w:val="en-US" w:eastAsia="ru-RU"/>
        </w:rPr>
        <w:instrText>safely</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effectively</w:instrText>
      </w:r>
      <w:r w:rsidR="00E974B2" w:rsidRPr="006C476A">
        <w:rPr>
          <w:lang w:eastAsia="ru-RU"/>
        </w:rPr>
        <w:instrText xml:space="preserve">, </w:instrText>
      </w:r>
      <w:r w:rsidR="00E974B2">
        <w:rPr>
          <w:lang w:val="en-US" w:eastAsia="ru-RU"/>
        </w:rPr>
        <w:instrText>potentially</w:instrText>
      </w:r>
      <w:r w:rsidR="00E974B2" w:rsidRPr="006C476A">
        <w:rPr>
          <w:lang w:eastAsia="ru-RU"/>
        </w:rPr>
        <w:instrText xml:space="preserve"> </w:instrText>
      </w:r>
      <w:r w:rsidR="00E974B2">
        <w:rPr>
          <w:lang w:val="en-US" w:eastAsia="ru-RU"/>
        </w:rPr>
        <w:instrText>reducing</w:instrText>
      </w:r>
      <w:r w:rsidR="00E974B2" w:rsidRPr="006C476A">
        <w:rPr>
          <w:lang w:eastAsia="ru-RU"/>
        </w:rPr>
        <w:instrText xml:space="preserve"> </w:instrText>
      </w:r>
      <w:r w:rsidR="00E974B2">
        <w:rPr>
          <w:lang w:val="en-US" w:eastAsia="ru-RU"/>
        </w:rPr>
        <w:instrText>the</w:instrText>
      </w:r>
      <w:r w:rsidR="00E974B2" w:rsidRPr="006C476A">
        <w:rPr>
          <w:lang w:eastAsia="ru-RU"/>
        </w:rPr>
        <w:instrText xml:space="preserve"> </w:instrText>
      </w:r>
      <w:r w:rsidR="00E974B2">
        <w:rPr>
          <w:lang w:val="en-US" w:eastAsia="ru-RU"/>
        </w:rPr>
        <w:instrText>burden</w:instrText>
      </w:r>
      <w:r w:rsidR="00E974B2" w:rsidRPr="006C476A">
        <w:rPr>
          <w:lang w:eastAsia="ru-RU"/>
        </w:rPr>
        <w:instrText xml:space="preserve"> </w:instrText>
      </w:r>
      <w:r w:rsidR="00E974B2">
        <w:rPr>
          <w:lang w:val="en-US" w:eastAsia="ru-RU"/>
        </w:rPr>
        <w:instrText>on</w:instrText>
      </w:r>
      <w:r w:rsidR="00E974B2" w:rsidRPr="006C476A">
        <w:rPr>
          <w:lang w:eastAsia="ru-RU"/>
        </w:rPr>
        <w:instrText xml:space="preserve"> </w:instrText>
      </w:r>
      <w:r w:rsidR="00E974B2">
        <w:rPr>
          <w:lang w:val="en-US" w:eastAsia="ru-RU"/>
        </w:rPr>
        <w:instrText>health</w:instrText>
      </w:r>
      <w:r w:rsidR="00E974B2" w:rsidRPr="006C476A">
        <w:rPr>
          <w:lang w:eastAsia="ru-RU"/>
        </w:rPr>
        <w:instrText xml:space="preserve"> </w:instrText>
      </w:r>
      <w:r w:rsidR="00E974B2">
        <w:rPr>
          <w:lang w:val="en-US" w:eastAsia="ru-RU"/>
        </w:rPr>
        <w:instrText>care</w:instrText>
      </w:r>
      <w:r w:rsidR="00E974B2" w:rsidRPr="006C476A">
        <w:rPr>
          <w:lang w:eastAsia="ru-RU"/>
        </w:rPr>
        <w:instrText xml:space="preserve"> </w:instrText>
      </w:r>
      <w:r w:rsidR="00E974B2">
        <w:rPr>
          <w:lang w:val="en-US" w:eastAsia="ru-RU"/>
        </w:rPr>
        <w:instrText>resources</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improving</w:instrText>
      </w:r>
      <w:r w:rsidR="00E974B2" w:rsidRPr="006C476A">
        <w:rPr>
          <w:lang w:eastAsia="ru-RU"/>
        </w:rPr>
        <w:instrText xml:space="preserve"> </w:instrText>
      </w:r>
      <w:r w:rsidR="00E974B2">
        <w:rPr>
          <w:lang w:val="en-US" w:eastAsia="ru-RU"/>
        </w:rPr>
        <w:instrText>quality</w:instrText>
      </w:r>
      <w:r w:rsidR="00E974B2" w:rsidRPr="006C476A">
        <w:rPr>
          <w:lang w:eastAsia="ru-RU"/>
        </w:rPr>
        <w:instrText xml:space="preserve"> </w:instrText>
      </w:r>
      <w:r w:rsidR="00E974B2">
        <w:rPr>
          <w:lang w:val="en-US" w:eastAsia="ru-RU"/>
        </w:rPr>
        <w:instrText>of</w:instrText>
      </w:r>
      <w:r w:rsidR="00E974B2" w:rsidRPr="006C476A">
        <w:rPr>
          <w:lang w:eastAsia="ru-RU"/>
        </w:rPr>
        <w:instrText xml:space="preserve"> </w:instrText>
      </w:r>
      <w:r w:rsidR="00E974B2">
        <w:rPr>
          <w:lang w:val="en-US" w:eastAsia="ru-RU"/>
        </w:rPr>
        <w:instrText>life</w:instrText>
      </w:r>
      <w:r w:rsidR="00E974B2" w:rsidRPr="006C476A">
        <w:rPr>
          <w:lang w:eastAsia="ru-RU"/>
        </w:rPr>
        <w:instrText xml:space="preserve"> </w:instrText>
      </w:r>
      <w:r w:rsidR="00E974B2">
        <w:rPr>
          <w:lang w:val="en-US" w:eastAsia="ru-RU"/>
        </w:rPr>
        <w:instrText>for</w:instrText>
      </w:r>
      <w:r w:rsidR="00E974B2" w:rsidRPr="006C476A">
        <w:rPr>
          <w:lang w:eastAsia="ru-RU"/>
        </w:rPr>
        <w:instrText xml:space="preserve"> </w:instrText>
      </w:r>
      <w:r w:rsidR="00E974B2">
        <w:rPr>
          <w:lang w:val="en-US" w:eastAsia="ru-RU"/>
        </w:rPr>
        <w:instrText>patients</w:instrText>
      </w:r>
      <w:r w:rsidR="00E974B2" w:rsidRPr="006C476A">
        <w:rPr>
          <w:lang w:eastAsia="ru-RU"/>
        </w:rPr>
        <w:instrText>.","</w:instrText>
      </w:r>
      <w:r w:rsidR="00E974B2">
        <w:rPr>
          <w:lang w:val="en-US" w:eastAsia="ru-RU"/>
        </w:rPr>
        <w:instrText>author</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family</w:instrText>
      </w:r>
      <w:r w:rsidR="00E974B2" w:rsidRPr="006C476A">
        <w:rPr>
          <w:lang w:eastAsia="ru-RU"/>
        </w:rPr>
        <w:instrText>":"</w:instrText>
      </w:r>
      <w:r w:rsidR="00E974B2">
        <w:rPr>
          <w:lang w:val="en-US" w:eastAsia="ru-RU"/>
        </w:rPr>
        <w:instrText>Macdonald</w:instrText>
      </w:r>
      <w:r w:rsidR="00E974B2" w:rsidRPr="006C476A">
        <w:rPr>
          <w:lang w:eastAsia="ru-RU"/>
        </w:rPr>
        <w:instrText>","</w:instrText>
      </w:r>
      <w:r w:rsidR="00E974B2">
        <w:rPr>
          <w:lang w:val="en-US" w:eastAsia="ru-RU"/>
        </w:rPr>
        <w:instrText>given</w:instrText>
      </w:r>
      <w:r w:rsidR="00E974B2" w:rsidRPr="006C476A">
        <w:rPr>
          <w:lang w:eastAsia="ru-RU"/>
        </w:rPr>
        <w:instrText>":"</w:instrText>
      </w:r>
      <w:r w:rsidR="00E974B2">
        <w:rPr>
          <w:lang w:val="en-US" w:eastAsia="ru-RU"/>
        </w:rPr>
        <w:instrText>David</w:instrText>
      </w:r>
      <w:r w:rsidR="00E974B2" w:rsidRPr="006C476A">
        <w:rPr>
          <w:lang w:eastAsia="ru-RU"/>
        </w:rPr>
        <w:instrText>","</w:instrText>
      </w:r>
      <w:r w:rsidR="00E974B2">
        <w:rPr>
          <w:lang w:val="en-US" w:eastAsia="ru-RU"/>
        </w:rPr>
        <w:instrText>non</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parse</w:instrText>
      </w:r>
      <w:r w:rsidR="00E974B2" w:rsidRPr="006C476A">
        <w:rPr>
          <w:lang w:eastAsia="ru-RU"/>
        </w:rPr>
        <w:instrText>-</w:instrText>
      </w:r>
      <w:r w:rsidR="00E974B2">
        <w:rPr>
          <w:lang w:val="en-US" w:eastAsia="ru-RU"/>
        </w:rPr>
        <w:instrText>names</w:instrText>
      </w:r>
      <w:r w:rsidR="00E974B2" w:rsidRPr="006C476A">
        <w:rPr>
          <w:lang w:eastAsia="ru-RU"/>
        </w:rPr>
        <w:instrText>":</w:instrText>
      </w:r>
      <w:r w:rsidR="00E974B2">
        <w:rPr>
          <w:lang w:val="en-US" w:eastAsia="ru-RU"/>
        </w:rPr>
        <w:instrText>false</w:instrText>
      </w:r>
      <w:r w:rsidR="00E974B2" w:rsidRPr="006C476A">
        <w:rPr>
          <w:lang w:eastAsia="ru-RU"/>
        </w:rPr>
        <w:instrText>,"</w:instrText>
      </w:r>
      <w:r w:rsidR="00E974B2">
        <w:rPr>
          <w:lang w:val="en-US" w:eastAsia="ru-RU"/>
        </w:rPr>
        <w:instrText>suffix</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family</w:instrText>
      </w:r>
      <w:r w:rsidR="00E974B2" w:rsidRPr="006C476A">
        <w:rPr>
          <w:lang w:eastAsia="ru-RU"/>
        </w:rPr>
        <w:instrText>":"</w:instrText>
      </w:r>
      <w:r w:rsidR="00E974B2">
        <w:rPr>
          <w:lang w:val="en-US" w:eastAsia="ru-RU"/>
        </w:rPr>
        <w:instrText>Crosbie</w:instrText>
      </w:r>
      <w:r w:rsidR="00E974B2" w:rsidRPr="006C476A">
        <w:rPr>
          <w:lang w:eastAsia="ru-RU"/>
        </w:rPr>
        <w:instrText>","</w:instrText>
      </w:r>
      <w:r w:rsidR="00E974B2">
        <w:rPr>
          <w:lang w:val="en-US" w:eastAsia="ru-RU"/>
        </w:rPr>
        <w:instrText>given</w:instrText>
      </w:r>
      <w:r w:rsidR="00E974B2" w:rsidRPr="006C476A">
        <w:rPr>
          <w:lang w:eastAsia="ru-RU"/>
        </w:rPr>
        <w:instrText>":"</w:instrText>
      </w:r>
      <w:r w:rsidR="00E974B2">
        <w:rPr>
          <w:lang w:val="en-US" w:eastAsia="ru-RU"/>
        </w:rPr>
        <w:instrText>T</w:instrText>
      </w:r>
      <w:r w:rsidR="00E974B2" w:rsidRPr="006C476A">
        <w:rPr>
          <w:lang w:eastAsia="ru-RU"/>
        </w:rPr>
        <w:instrText>.","</w:instrText>
      </w:r>
      <w:r w:rsidR="00E974B2">
        <w:rPr>
          <w:lang w:val="en-US" w:eastAsia="ru-RU"/>
        </w:rPr>
        <w:instrText>non</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parse</w:instrText>
      </w:r>
      <w:r w:rsidR="00E974B2" w:rsidRPr="006C476A">
        <w:rPr>
          <w:lang w:eastAsia="ru-RU"/>
        </w:rPr>
        <w:instrText>-</w:instrText>
      </w:r>
      <w:r w:rsidR="00E974B2">
        <w:rPr>
          <w:lang w:val="en-US" w:eastAsia="ru-RU"/>
        </w:rPr>
        <w:instrText>names</w:instrText>
      </w:r>
      <w:r w:rsidR="00E974B2" w:rsidRPr="006C476A">
        <w:rPr>
          <w:lang w:eastAsia="ru-RU"/>
        </w:rPr>
        <w:instrText>":</w:instrText>
      </w:r>
      <w:r w:rsidR="00E974B2">
        <w:rPr>
          <w:lang w:val="en-US" w:eastAsia="ru-RU"/>
        </w:rPr>
        <w:instrText>false</w:instrText>
      </w:r>
      <w:r w:rsidR="00E974B2" w:rsidRPr="006C476A">
        <w:rPr>
          <w:lang w:eastAsia="ru-RU"/>
        </w:rPr>
        <w:instrText>,"</w:instrText>
      </w:r>
      <w:r w:rsidR="00E974B2">
        <w:rPr>
          <w:lang w:val="en-US" w:eastAsia="ru-RU"/>
        </w:rPr>
        <w:instrText>suffix</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family</w:instrText>
      </w:r>
      <w:r w:rsidR="00E974B2" w:rsidRPr="006C476A">
        <w:rPr>
          <w:lang w:eastAsia="ru-RU"/>
        </w:rPr>
        <w:instrText>":"</w:instrText>
      </w:r>
      <w:r w:rsidR="00E974B2">
        <w:rPr>
          <w:lang w:val="en-US" w:eastAsia="ru-RU"/>
        </w:rPr>
        <w:instrText>Christofides</w:instrText>
      </w:r>
      <w:r w:rsidR="00E974B2" w:rsidRPr="006C476A">
        <w:rPr>
          <w:lang w:eastAsia="ru-RU"/>
        </w:rPr>
        <w:instrText>","</w:instrText>
      </w:r>
      <w:r w:rsidR="00E974B2">
        <w:rPr>
          <w:lang w:val="en-US" w:eastAsia="ru-RU"/>
        </w:rPr>
        <w:instrText>given</w:instrText>
      </w:r>
      <w:r w:rsidR="00E974B2" w:rsidRPr="006C476A">
        <w:rPr>
          <w:lang w:eastAsia="ru-RU"/>
        </w:rPr>
        <w:instrText>":"</w:instrText>
      </w:r>
      <w:r w:rsidR="00E974B2">
        <w:rPr>
          <w:lang w:val="en-US" w:eastAsia="ru-RU"/>
        </w:rPr>
        <w:instrText>A</w:instrText>
      </w:r>
      <w:r w:rsidR="00E974B2" w:rsidRPr="006C476A">
        <w:rPr>
          <w:lang w:eastAsia="ru-RU"/>
        </w:rPr>
        <w:instrText>.","</w:instrText>
      </w:r>
      <w:r w:rsidR="00E974B2">
        <w:rPr>
          <w:lang w:val="en-US" w:eastAsia="ru-RU"/>
        </w:rPr>
        <w:instrText>non</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parse</w:instrText>
      </w:r>
      <w:r w:rsidR="00E974B2" w:rsidRPr="006C476A">
        <w:rPr>
          <w:lang w:eastAsia="ru-RU"/>
        </w:rPr>
        <w:instrText>-</w:instrText>
      </w:r>
      <w:r w:rsidR="00E974B2">
        <w:rPr>
          <w:lang w:val="en-US" w:eastAsia="ru-RU"/>
        </w:rPr>
        <w:instrText>names</w:instrText>
      </w:r>
      <w:r w:rsidR="00E974B2" w:rsidRPr="006C476A">
        <w:rPr>
          <w:lang w:eastAsia="ru-RU"/>
        </w:rPr>
        <w:instrText>":</w:instrText>
      </w:r>
      <w:r w:rsidR="00E974B2">
        <w:rPr>
          <w:lang w:val="en-US" w:eastAsia="ru-RU"/>
        </w:rPr>
        <w:instrText>false</w:instrText>
      </w:r>
      <w:r w:rsidR="00E974B2" w:rsidRPr="006C476A">
        <w:rPr>
          <w:lang w:eastAsia="ru-RU"/>
        </w:rPr>
        <w:instrText>,"</w:instrText>
      </w:r>
      <w:r w:rsidR="00E974B2">
        <w:rPr>
          <w:lang w:val="en-US" w:eastAsia="ru-RU"/>
        </w:rPr>
        <w:instrText>suffix</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family</w:instrText>
      </w:r>
      <w:r w:rsidR="00E974B2" w:rsidRPr="006C476A">
        <w:rPr>
          <w:lang w:eastAsia="ru-RU"/>
        </w:rPr>
        <w:instrText>":"</w:instrText>
      </w:r>
      <w:r w:rsidR="00E974B2">
        <w:rPr>
          <w:lang w:val="en-US" w:eastAsia="ru-RU"/>
        </w:rPr>
        <w:instrText>Assaily</w:instrText>
      </w:r>
      <w:r w:rsidR="00E974B2" w:rsidRPr="006C476A">
        <w:rPr>
          <w:lang w:eastAsia="ru-RU"/>
        </w:rPr>
        <w:instrText>","</w:instrText>
      </w:r>
      <w:r w:rsidR="00E974B2">
        <w:rPr>
          <w:lang w:val="en-US" w:eastAsia="ru-RU"/>
        </w:rPr>
        <w:instrText>given</w:instrText>
      </w:r>
      <w:r w:rsidR="00E974B2" w:rsidRPr="006C476A">
        <w:rPr>
          <w:lang w:eastAsia="ru-RU"/>
        </w:rPr>
        <w:instrText>":"</w:instrText>
      </w:r>
      <w:r w:rsidR="00E974B2">
        <w:rPr>
          <w:lang w:val="en-US" w:eastAsia="ru-RU"/>
        </w:rPr>
        <w:instrText>W</w:instrText>
      </w:r>
      <w:r w:rsidR="00E974B2" w:rsidRPr="006C476A">
        <w:rPr>
          <w:lang w:eastAsia="ru-RU"/>
        </w:rPr>
        <w:instrText>.","</w:instrText>
      </w:r>
      <w:r w:rsidR="00E974B2">
        <w:rPr>
          <w:lang w:val="en-US" w:eastAsia="ru-RU"/>
        </w:rPr>
        <w:instrText>non</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parse</w:instrText>
      </w:r>
      <w:r w:rsidR="00E974B2" w:rsidRPr="006C476A">
        <w:rPr>
          <w:lang w:eastAsia="ru-RU"/>
        </w:rPr>
        <w:instrText>-</w:instrText>
      </w:r>
      <w:r w:rsidR="00E974B2">
        <w:rPr>
          <w:lang w:val="en-US" w:eastAsia="ru-RU"/>
        </w:rPr>
        <w:instrText>names</w:instrText>
      </w:r>
      <w:r w:rsidR="00E974B2" w:rsidRPr="006C476A">
        <w:rPr>
          <w:lang w:eastAsia="ru-RU"/>
        </w:rPr>
        <w:instrText>":</w:instrText>
      </w:r>
      <w:r w:rsidR="00E974B2">
        <w:rPr>
          <w:lang w:val="en-US" w:eastAsia="ru-RU"/>
        </w:rPr>
        <w:instrText>false</w:instrText>
      </w:r>
      <w:r w:rsidR="00E974B2" w:rsidRPr="006C476A">
        <w:rPr>
          <w:lang w:eastAsia="ru-RU"/>
        </w:rPr>
        <w:instrText>,"</w:instrText>
      </w:r>
      <w:r w:rsidR="00E974B2">
        <w:rPr>
          <w:lang w:val="en-US" w:eastAsia="ru-RU"/>
        </w:rPr>
        <w:instrText>suffix</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family</w:instrText>
      </w:r>
      <w:r w:rsidR="00E974B2" w:rsidRPr="006C476A">
        <w:rPr>
          <w:lang w:eastAsia="ru-RU"/>
        </w:rPr>
        <w:instrText>":"</w:instrText>
      </w:r>
      <w:r w:rsidR="00E974B2">
        <w:rPr>
          <w:lang w:val="en-US" w:eastAsia="ru-RU"/>
        </w:rPr>
        <w:instrText>Wiernikowski</w:instrText>
      </w:r>
      <w:r w:rsidR="00E974B2" w:rsidRPr="006C476A">
        <w:rPr>
          <w:lang w:eastAsia="ru-RU"/>
        </w:rPr>
        <w:instrText>","</w:instrText>
      </w:r>
      <w:r w:rsidR="00E974B2">
        <w:rPr>
          <w:lang w:val="en-US" w:eastAsia="ru-RU"/>
        </w:rPr>
        <w:instrText>given</w:instrText>
      </w:r>
      <w:r w:rsidR="00E974B2" w:rsidRPr="006C476A">
        <w:rPr>
          <w:lang w:eastAsia="ru-RU"/>
        </w:rPr>
        <w:instrText>":"</w:instrText>
      </w:r>
      <w:r w:rsidR="00E974B2">
        <w:rPr>
          <w:lang w:val="en-US" w:eastAsia="ru-RU"/>
        </w:rPr>
        <w:instrText>J</w:instrText>
      </w:r>
      <w:r w:rsidR="00E974B2" w:rsidRPr="006C476A">
        <w:rPr>
          <w:lang w:eastAsia="ru-RU"/>
        </w:rPr>
        <w:instrText>.","</w:instrText>
      </w:r>
      <w:r w:rsidR="00E974B2">
        <w:rPr>
          <w:lang w:val="en-US" w:eastAsia="ru-RU"/>
        </w:rPr>
        <w:instrText>non</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parse</w:instrText>
      </w:r>
      <w:r w:rsidR="00E974B2" w:rsidRPr="006C476A">
        <w:rPr>
          <w:lang w:eastAsia="ru-RU"/>
        </w:rPr>
        <w:instrText>-</w:instrText>
      </w:r>
      <w:r w:rsidR="00E974B2">
        <w:rPr>
          <w:lang w:val="en-US" w:eastAsia="ru-RU"/>
        </w:rPr>
        <w:instrText>names</w:instrText>
      </w:r>
      <w:r w:rsidR="00E974B2" w:rsidRPr="006C476A">
        <w:rPr>
          <w:lang w:eastAsia="ru-RU"/>
        </w:rPr>
        <w:instrText>":</w:instrText>
      </w:r>
      <w:r w:rsidR="00E974B2">
        <w:rPr>
          <w:lang w:val="en-US" w:eastAsia="ru-RU"/>
        </w:rPr>
        <w:instrText>false</w:instrText>
      </w:r>
      <w:r w:rsidR="00E974B2" w:rsidRPr="006C476A">
        <w:rPr>
          <w:lang w:eastAsia="ru-RU"/>
        </w:rPr>
        <w:instrText>,"</w:instrText>
      </w:r>
      <w:r w:rsidR="00E974B2">
        <w:rPr>
          <w:lang w:val="en-US" w:eastAsia="ru-RU"/>
        </w:rPr>
        <w:instrText>suffix</w:instrText>
      </w:r>
      <w:r w:rsidR="00E974B2" w:rsidRPr="006C476A">
        <w:rPr>
          <w:lang w:eastAsia="ru-RU"/>
        </w:rPr>
        <w:instrText>":""}],"</w:instrText>
      </w:r>
      <w:r w:rsidR="00E974B2">
        <w:rPr>
          <w:lang w:val="en-US" w:eastAsia="ru-RU"/>
        </w:rPr>
        <w:instrText>container</w:instrText>
      </w:r>
      <w:r w:rsidR="00E974B2" w:rsidRPr="006C476A">
        <w:rPr>
          <w:lang w:eastAsia="ru-RU"/>
        </w:rPr>
        <w:instrText>-</w:instrText>
      </w:r>
      <w:r w:rsidR="00E974B2">
        <w:rPr>
          <w:lang w:val="en-US" w:eastAsia="ru-RU"/>
        </w:rPr>
        <w:instrText>title</w:instrText>
      </w:r>
      <w:r w:rsidR="00E974B2" w:rsidRPr="006C476A">
        <w:rPr>
          <w:lang w:eastAsia="ru-RU"/>
        </w:rPr>
        <w:instrText>":"</w:instrText>
      </w:r>
      <w:r w:rsidR="00E974B2">
        <w:rPr>
          <w:lang w:val="en-US" w:eastAsia="ru-RU"/>
        </w:rPr>
        <w:instrText>Current</w:instrText>
      </w:r>
      <w:r w:rsidR="00E974B2" w:rsidRPr="006C476A">
        <w:rPr>
          <w:lang w:eastAsia="ru-RU"/>
        </w:rPr>
        <w:instrText xml:space="preserve"> </w:instrText>
      </w:r>
      <w:r w:rsidR="00E974B2">
        <w:rPr>
          <w:lang w:val="en-US" w:eastAsia="ru-RU"/>
        </w:rPr>
        <w:instrText>Oncology</w:instrText>
      </w:r>
      <w:r w:rsidR="00E974B2" w:rsidRPr="006C476A">
        <w:rPr>
          <w:lang w:eastAsia="ru-RU"/>
        </w:rPr>
        <w:instrText>","</w:instrText>
      </w:r>
      <w:r w:rsidR="00E974B2">
        <w:rPr>
          <w:lang w:val="en-US" w:eastAsia="ru-RU"/>
        </w:rPr>
        <w:instrText>id</w:instrText>
      </w:r>
      <w:r w:rsidR="00E974B2" w:rsidRPr="006C476A">
        <w:rPr>
          <w:lang w:eastAsia="ru-RU"/>
        </w:rPr>
        <w:instrText>":"</w:instrText>
      </w:r>
      <w:r w:rsidR="00E974B2">
        <w:rPr>
          <w:lang w:val="en-US" w:eastAsia="ru-RU"/>
        </w:rPr>
        <w:instrText>ITEM</w:instrText>
      </w:r>
      <w:r w:rsidR="00E974B2" w:rsidRPr="006C476A">
        <w:rPr>
          <w:lang w:eastAsia="ru-RU"/>
        </w:rPr>
        <w:instrText>-4","</w:instrText>
      </w:r>
      <w:r w:rsidR="00E974B2">
        <w:rPr>
          <w:lang w:val="en-US" w:eastAsia="ru-RU"/>
        </w:rPr>
        <w:instrText>issue</w:instrText>
      </w:r>
      <w:r w:rsidR="00E974B2" w:rsidRPr="006C476A">
        <w:rPr>
          <w:lang w:eastAsia="ru-RU"/>
        </w:rPr>
        <w:instrText>":"1","</w:instrText>
      </w:r>
      <w:r w:rsidR="00E974B2">
        <w:rPr>
          <w:lang w:val="en-US" w:eastAsia="ru-RU"/>
        </w:rPr>
        <w:instrText>issued</w:instrText>
      </w:r>
      <w:r w:rsidR="00E974B2" w:rsidRPr="006C476A">
        <w:rPr>
          <w:lang w:eastAsia="ru-RU"/>
        </w:rPr>
        <w:instrText>":{"</w:instrText>
      </w:r>
      <w:r w:rsidR="00E974B2">
        <w:rPr>
          <w:lang w:val="en-US" w:eastAsia="ru-RU"/>
        </w:rPr>
        <w:instrText>date</w:instrText>
      </w:r>
      <w:r w:rsidR="00E974B2" w:rsidRPr="006C476A">
        <w:rPr>
          <w:lang w:eastAsia="ru-RU"/>
        </w:rPr>
        <w:instrText>-</w:instrText>
      </w:r>
      <w:r w:rsidR="00E974B2">
        <w:rPr>
          <w:lang w:val="en-US" w:eastAsia="ru-RU"/>
        </w:rPr>
        <w:instrText>parts</w:instrText>
      </w:r>
      <w:r w:rsidR="00E974B2" w:rsidRPr="006C476A">
        <w:rPr>
          <w:lang w:eastAsia="ru-RU"/>
        </w:rPr>
        <w:instrText>":[["2017"]]},"</w:instrText>
      </w:r>
      <w:r w:rsidR="00E974B2">
        <w:rPr>
          <w:lang w:val="en-US" w:eastAsia="ru-RU"/>
        </w:rPr>
        <w:instrText>page</w:instrText>
      </w:r>
      <w:r w:rsidR="00E974B2" w:rsidRPr="006C476A">
        <w:rPr>
          <w:lang w:eastAsia="ru-RU"/>
        </w:rPr>
        <w:instrText>":"33-39","</w:instrText>
      </w:r>
      <w:r w:rsidR="00E974B2">
        <w:rPr>
          <w:lang w:val="en-US" w:eastAsia="ru-RU"/>
        </w:rPr>
        <w:instrText>publisher</w:instrText>
      </w:r>
      <w:r w:rsidR="00E974B2" w:rsidRPr="006C476A">
        <w:rPr>
          <w:lang w:eastAsia="ru-RU"/>
        </w:rPr>
        <w:instrText>":"</w:instrText>
      </w:r>
      <w:r w:rsidR="00E974B2">
        <w:rPr>
          <w:lang w:val="en-US" w:eastAsia="ru-RU"/>
        </w:rPr>
        <w:instrText>Multimed</w:instrText>
      </w:r>
      <w:r w:rsidR="00E974B2" w:rsidRPr="006C476A">
        <w:rPr>
          <w:lang w:eastAsia="ru-RU"/>
        </w:rPr>
        <w:instrText xml:space="preserve"> </w:instrText>
      </w:r>
      <w:r w:rsidR="00E974B2">
        <w:rPr>
          <w:lang w:val="en-US" w:eastAsia="ru-RU"/>
        </w:rPr>
        <w:instrText>Inc</w:instrText>
      </w:r>
      <w:r w:rsidR="00E974B2" w:rsidRPr="006C476A">
        <w:rPr>
          <w:lang w:eastAsia="ru-RU"/>
        </w:rPr>
        <w:instrText>.","</w:instrText>
      </w:r>
      <w:r w:rsidR="00E974B2">
        <w:rPr>
          <w:lang w:val="en-US" w:eastAsia="ru-RU"/>
        </w:rPr>
        <w:instrText>title</w:instrText>
      </w:r>
      <w:r w:rsidR="00E974B2" w:rsidRPr="006C476A">
        <w:rPr>
          <w:lang w:eastAsia="ru-RU"/>
        </w:rPr>
        <w:instrText>":"</w:instrText>
      </w:r>
      <w:r w:rsidR="00E974B2">
        <w:rPr>
          <w:lang w:val="en-US" w:eastAsia="ru-RU"/>
        </w:rPr>
        <w:instrText>A</w:instrText>
      </w:r>
      <w:r w:rsidR="00E974B2" w:rsidRPr="006C476A">
        <w:rPr>
          <w:lang w:eastAsia="ru-RU"/>
        </w:rPr>
        <w:instrText xml:space="preserve"> </w:instrText>
      </w:r>
      <w:r w:rsidR="00E974B2">
        <w:rPr>
          <w:lang w:val="en-US" w:eastAsia="ru-RU"/>
        </w:rPr>
        <w:instrText>canadian</w:instrText>
      </w:r>
      <w:r w:rsidR="00E974B2" w:rsidRPr="006C476A">
        <w:rPr>
          <w:lang w:eastAsia="ru-RU"/>
        </w:rPr>
        <w:instrText xml:space="preserve"> </w:instrText>
      </w:r>
      <w:r w:rsidR="00E974B2">
        <w:rPr>
          <w:lang w:val="en-US" w:eastAsia="ru-RU"/>
        </w:rPr>
        <w:instrText>perspective</w:instrText>
      </w:r>
      <w:r w:rsidR="00E974B2" w:rsidRPr="006C476A">
        <w:rPr>
          <w:lang w:eastAsia="ru-RU"/>
        </w:rPr>
        <w:instrText xml:space="preserve"> </w:instrText>
      </w:r>
      <w:r w:rsidR="00E974B2">
        <w:rPr>
          <w:lang w:val="en-US" w:eastAsia="ru-RU"/>
        </w:rPr>
        <w:instrText>on</w:instrText>
      </w:r>
      <w:r w:rsidR="00E974B2" w:rsidRPr="006C476A">
        <w:rPr>
          <w:lang w:eastAsia="ru-RU"/>
        </w:rPr>
        <w:instrText xml:space="preserve"> </w:instrText>
      </w:r>
      <w:r w:rsidR="00E974B2">
        <w:rPr>
          <w:lang w:val="en-US" w:eastAsia="ru-RU"/>
        </w:rPr>
        <w:instrText>the</w:instrText>
      </w:r>
      <w:r w:rsidR="00E974B2" w:rsidRPr="006C476A">
        <w:rPr>
          <w:lang w:eastAsia="ru-RU"/>
        </w:rPr>
        <w:instrText xml:space="preserve"> </w:instrText>
      </w:r>
      <w:r w:rsidR="00E974B2">
        <w:rPr>
          <w:lang w:val="en-US" w:eastAsia="ru-RU"/>
        </w:rPr>
        <w:instrText>subcutaneous</w:instrText>
      </w:r>
      <w:r w:rsidR="00E974B2" w:rsidRPr="006C476A">
        <w:rPr>
          <w:lang w:eastAsia="ru-RU"/>
        </w:rPr>
        <w:instrText xml:space="preserve"> </w:instrText>
      </w:r>
      <w:r w:rsidR="00E974B2">
        <w:rPr>
          <w:lang w:val="en-US" w:eastAsia="ru-RU"/>
        </w:rPr>
        <w:instrText>administration</w:instrText>
      </w:r>
      <w:r w:rsidR="00E974B2" w:rsidRPr="006C476A">
        <w:rPr>
          <w:lang w:eastAsia="ru-RU"/>
        </w:rPr>
        <w:instrText xml:space="preserve"> </w:instrText>
      </w:r>
      <w:r w:rsidR="00E974B2">
        <w:rPr>
          <w:lang w:val="en-US" w:eastAsia="ru-RU"/>
        </w:rPr>
        <w:instrText>of</w:instrText>
      </w:r>
      <w:r w:rsidR="00E974B2" w:rsidRPr="006C476A">
        <w:rPr>
          <w:lang w:eastAsia="ru-RU"/>
        </w:rPr>
        <w:instrText xml:space="preserve"> </w:instrText>
      </w:r>
      <w:r w:rsidR="00E974B2">
        <w:rPr>
          <w:lang w:val="en-US" w:eastAsia="ru-RU"/>
        </w:rPr>
        <w:instrText>rituximab</w:instrText>
      </w:r>
      <w:r w:rsidR="00E974B2" w:rsidRPr="006C476A">
        <w:rPr>
          <w:lang w:eastAsia="ru-RU"/>
        </w:rPr>
        <w:instrText xml:space="preserve"> </w:instrText>
      </w:r>
      <w:r w:rsidR="00E974B2">
        <w:rPr>
          <w:lang w:val="en-US" w:eastAsia="ru-RU"/>
        </w:rPr>
        <w:instrText>in</w:instrText>
      </w:r>
      <w:r w:rsidR="00E974B2" w:rsidRPr="006C476A">
        <w:rPr>
          <w:lang w:eastAsia="ru-RU"/>
        </w:rPr>
        <w:instrText xml:space="preserve"> </w:instrText>
      </w:r>
      <w:r w:rsidR="00E974B2">
        <w:rPr>
          <w:lang w:val="en-US" w:eastAsia="ru-RU"/>
        </w:rPr>
        <w:instrText>non</w:instrText>
      </w:r>
      <w:r w:rsidR="00E974B2" w:rsidRPr="006C476A">
        <w:rPr>
          <w:lang w:eastAsia="ru-RU"/>
        </w:rPr>
        <w:instrText>-</w:instrText>
      </w:r>
      <w:r w:rsidR="00E974B2">
        <w:rPr>
          <w:lang w:val="en-US" w:eastAsia="ru-RU"/>
        </w:rPr>
        <w:instrText>Hodgkin</w:instrText>
      </w:r>
      <w:r w:rsidR="00E974B2" w:rsidRPr="006C476A">
        <w:rPr>
          <w:lang w:eastAsia="ru-RU"/>
        </w:rPr>
        <w:instrText xml:space="preserve"> </w:instrText>
      </w:r>
      <w:r w:rsidR="00E974B2">
        <w:rPr>
          <w:lang w:val="en-US" w:eastAsia="ru-RU"/>
        </w:rPr>
        <w:instrText>lymphoma</w:instrText>
      </w:r>
      <w:r w:rsidR="00E974B2" w:rsidRPr="006C476A">
        <w:rPr>
          <w:lang w:eastAsia="ru-RU"/>
        </w:rPr>
        <w:instrText>","</w:instrText>
      </w:r>
      <w:r w:rsidR="00E974B2">
        <w:rPr>
          <w:lang w:val="en-US" w:eastAsia="ru-RU"/>
        </w:rPr>
        <w:instrText>type</w:instrText>
      </w:r>
      <w:r w:rsidR="00E974B2" w:rsidRPr="006C476A">
        <w:rPr>
          <w:lang w:eastAsia="ru-RU"/>
        </w:rPr>
        <w:instrText>":"</w:instrText>
      </w:r>
      <w:r w:rsidR="00E974B2">
        <w:rPr>
          <w:lang w:val="en-US" w:eastAsia="ru-RU"/>
        </w:rPr>
        <w:instrText>article</w:instrText>
      </w:r>
      <w:r w:rsidR="00E974B2" w:rsidRPr="006C476A">
        <w:rPr>
          <w:lang w:eastAsia="ru-RU"/>
        </w:rPr>
        <w:instrText>","</w:instrText>
      </w:r>
      <w:r w:rsidR="00E974B2">
        <w:rPr>
          <w:lang w:val="en-US" w:eastAsia="ru-RU"/>
        </w:rPr>
        <w:instrText>volume</w:instrText>
      </w:r>
      <w:r w:rsidR="00E974B2" w:rsidRPr="006C476A">
        <w:rPr>
          <w:lang w:eastAsia="ru-RU"/>
        </w:rPr>
        <w:instrText>":"24"},"</w:instrText>
      </w:r>
      <w:r w:rsidR="00E974B2">
        <w:rPr>
          <w:lang w:val="en-US" w:eastAsia="ru-RU"/>
        </w:rPr>
        <w:instrText>uris</w:instrText>
      </w:r>
      <w:r w:rsidR="00E974B2" w:rsidRPr="006C476A">
        <w:rPr>
          <w:lang w:eastAsia="ru-RU"/>
        </w:rPr>
        <w:instrText>":["</w:instrText>
      </w:r>
      <w:r w:rsidR="00E974B2">
        <w:rPr>
          <w:lang w:val="en-US" w:eastAsia="ru-RU"/>
        </w:rPr>
        <w:instrText>http</w:instrText>
      </w:r>
      <w:r w:rsidR="00E974B2" w:rsidRPr="006C476A">
        <w:rPr>
          <w:lang w:eastAsia="ru-RU"/>
        </w:rPr>
        <w:instrText>://</w:instrText>
      </w:r>
      <w:r w:rsidR="00E974B2">
        <w:rPr>
          <w:lang w:val="en-US" w:eastAsia="ru-RU"/>
        </w:rPr>
        <w:instrText>www</w:instrText>
      </w:r>
      <w:r w:rsidR="00E974B2" w:rsidRPr="006C476A">
        <w:rPr>
          <w:lang w:eastAsia="ru-RU"/>
        </w:rPr>
        <w:instrText>.</w:instrText>
      </w:r>
      <w:r w:rsidR="00E974B2">
        <w:rPr>
          <w:lang w:val="en-US" w:eastAsia="ru-RU"/>
        </w:rPr>
        <w:instrText>mendeley</w:instrText>
      </w:r>
      <w:r w:rsidR="00E974B2" w:rsidRPr="006C476A">
        <w:rPr>
          <w:lang w:eastAsia="ru-RU"/>
        </w:rPr>
        <w:instrText>.</w:instrText>
      </w:r>
      <w:r w:rsidR="00E974B2">
        <w:rPr>
          <w:lang w:val="en-US" w:eastAsia="ru-RU"/>
        </w:rPr>
        <w:instrText>com</w:instrText>
      </w:r>
      <w:r w:rsidR="00E974B2" w:rsidRPr="006C476A">
        <w:rPr>
          <w:lang w:eastAsia="ru-RU"/>
        </w:rPr>
        <w:instrText>/</w:instrText>
      </w:r>
      <w:r w:rsidR="00E974B2">
        <w:rPr>
          <w:lang w:val="en-US" w:eastAsia="ru-RU"/>
        </w:rPr>
        <w:instrText>documents</w:instrText>
      </w:r>
      <w:r w:rsidR="00E974B2" w:rsidRPr="006C476A">
        <w:rPr>
          <w:lang w:eastAsia="ru-RU"/>
        </w:rPr>
        <w:instrText>/?</w:instrText>
      </w:r>
      <w:r w:rsidR="00E974B2">
        <w:rPr>
          <w:lang w:val="en-US" w:eastAsia="ru-RU"/>
        </w:rPr>
        <w:instrText>uuid</w:instrText>
      </w:r>
      <w:r w:rsidR="00E974B2" w:rsidRPr="006C476A">
        <w:rPr>
          <w:lang w:eastAsia="ru-RU"/>
        </w:rPr>
        <w:instrText>=0</w:instrText>
      </w:r>
      <w:r w:rsidR="00E974B2">
        <w:rPr>
          <w:lang w:val="en-US" w:eastAsia="ru-RU"/>
        </w:rPr>
        <w:instrText>dec</w:instrText>
      </w:r>
      <w:r w:rsidR="00E974B2" w:rsidRPr="006C476A">
        <w:rPr>
          <w:lang w:eastAsia="ru-RU"/>
        </w:rPr>
        <w:instrText>225</w:instrText>
      </w:r>
      <w:r w:rsidR="00E974B2">
        <w:rPr>
          <w:lang w:val="en-US" w:eastAsia="ru-RU"/>
        </w:rPr>
        <w:instrText>e</w:instrText>
      </w:r>
      <w:r w:rsidR="00E974B2" w:rsidRPr="006C476A">
        <w:rPr>
          <w:lang w:eastAsia="ru-RU"/>
        </w:rPr>
        <w:instrText>-8</w:instrText>
      </w:r>
      <w:r w:rsidR="00E974B2">
        <w:rPr>
          <w:lang w:val="en-US" w:eastAsia="ru-RU"/>
        </w:rPr>
        <w:instrText>a</w:instrText>
      </w:r>
      <w:r w:rsidR="00E974B2" w:rsidRPr="006C476A">
        <w:rPr>
          <w:lang w:eastAsia="ru-RU"/>
        </w:rPr>
        <w:instrText>47-3680-</w:instrText>
      </w:r>
      <w:r w:rsidR="00E974B2">
        <w:rPr>
          <w:lang w:val="en-US" w:eastAsia="ru-RU"/>
        </w:rPr>
        <w:instrText>ba</w:instrText>
      </w:r>
      <w:r w:rsidR="00E974B2" w:rsidRPr="006C476A">
        <w:rPr>
          <w:lang w:eastAsia="ru-RU"/>
        </w:rPr>
        <w:instrText>4</w:instrText>
      </w:r>
      <w:r w:rsidR="00E974B2">
        <w:rPr>
          <w:lang w:val="en-US" w:eastAsia="ru-RU"/>
        </w:rPr>
        <w:instrText>d</w:instrText>
      </w:r>
      <w:r w:rsidR="00E974B2" w:rsidRPr="006C476A">
        <w:rPr>
          <w:lang w:eastAsia="ru-RU"/>
        </w:rPr>
        <w:instrText>-891955</w:instrText>
      </w:r>
      <w:r w:rsidR="00E974B2">
        <w:rPr>
          <w:lang w:val="en-US" w:eastAsia="ru-RU"/>
        </w:rPr>
        <w:instrText>a</w:instrText>
      </w:r>
      <w:r w:rsidR="00E974B2" w:rsidRPr="006C476A">
        <w:rPr>
          <w:lang w:eastAsia="ru-RU"/>
        </w:rPr>
        <w:instrText>938</w:instrText>
      </w:r>
      <w:r w:rsidR="00E974B2">
        <w:rPr>
          <w:lang w:val="en-US" w:eastAsia="ru-RU"/>
        </w:rPr>
        <w:instrText>a</w:instrText>
      </w:r>
      <w:r w:rsidR="00E974B2" w:rsidRPr="006C476A">
        <w:rPr>
          <w:lang w:eastAsia="ru-RU"/>
        </w:rPr>
        <w:instrText>1"]}],"</w:instrText>
      </w:r>
      <w:r w:rsidR="00E974B2">
        <w:rPr>
          <w:lang w:val="en-US" w:eastAsia="ru-RU"/>
        </w:rPr>
        <w:instrText>mendeley</w:instrText>
      </w:r>
      <w:r w:rsidR="00E974B2" w:rsidRPr="006C476A">
        <w:rPr>
          <w:lang w:eastAsia="ru-RU"/>
        </w:rPr>
        <w:instrText>":{"</w:instrText>
      </w:r>
      <w:r w:rsidR="00E974B2">
        <w:rPr>
          <w:lang w:val="en-US" w:eastAsia="ru-RU"/>
        </w:rPr>
        <w:instrText>formattedCitation</w:instrText>
      </w:r>
      <w:r w:rsidR="00E974B2" w:rsidRPr="006C476A">
        <w:rPr>
          <w:lang w:eastAsia="ru-RU"/>
        </w:rPr>
        <w:instrText>":"[180–183]","</w:instrText>
      </w:r>
      <w:r w:rsidR="00E974B2">
        <w:rPr>
          <w:lang w:val="en-US" w:eastAsia="ru-RU"/>
        </w:rPr>
        <w:instrText>plainTextFormattedCitation</w:instrText>
      </w:r>
      <w:r w:rsidR="00E974B2" w:rsidRPr="006C476A">
        <w:rPr>
          <w:lang w:eastAsia="ru-RU"/>
        </w:rPr>
        <w:instrText>":"[180–183]","</w:instrText>
      </w:r>
      <w:r w:rsidR="00E974B2">
        <w:rPr>
          <w:lang w:val="en-US" w:eastAsia="ru-RU"/>
        </w:rPr>
        <w:instrText>previouslyFormattedCitation</w:instrText>
      </w:r>
      <w:r w:rsidR="00E974B2" w:rsidRPr="006C476A">
        <w:rPr>
          <w:lang w:eastAsia="ru-RU"/>
        </w:rPr>
        <w:instrText>":"[180–183]"},"</w:instrText>
      </w:r>
      <w:r w:rsidR="00E974B2">
        <w:rPr>
          <w:lang w:val="en-US" w:eastAsia="ru-RU"/>
        </w:rPr>
        <w:instrText>properties</w:instrText>
      </w:r>
      <w:r w:rsidR="00E974B2" w:rsidRPr="006C476A">
        <w:rPr>
          <w:lang w:eastAsia="ru-RU"/>
        </w:rPr>
        <w:instrText>":{"</w:instrText>
      </w:r>
      <w:r w:rsidR="00E974B2">
        <w:rPr>
          <w:lang w:val="en-US" w:eastAsia="ru-RU"/>
        </w:rPr>
        <w:instrText>noteIndex</w:instrText>
      </w:r>
      <w:r w:rsidR="00E974B2" w:rsidRPr="006C476A">
        <w:rPr>
          <w:lang w:eastAsia="ru-RU"/>
        </w:rPr>
        <w:instrText>":0},"</w:instrText>
      </w:r>
      <w:r w:rsidR="00E974B2">
        <w:rPr>
          <w:lang w:val="en-US" w:eastAsia="ru-RU"/>
        </w:rPr>
        <w:instrText>schema</w:instrText>
      </w:r>
      <w:r w:rsidR="00E974B2" w:rsidRPr="006C476A">
        <w:rPr>
          <w:lang w:eastAsia="ru-RU"/>
        </w:rPr>
        <w:instrText>":"</w:instrText>
      </w:r>
      <w:r w:rsidR="00E974B2">
        <w:rPr>
          <w:lang w:val="en-US" w:eastAsia="ru-RU"/>
        </w:rPr>
        <w:instrText>https</w:instrText>
      </w:r>
      <w:r w:rsidR="00E974B2" w:rsidRPr="006C476A">
        <w:rPr>
          <w:lang w:eastAsia="ru-RU"/>
        </w:rPr>
        <w:instrText>://</w:instrText>
      </w:r>
      <w:r w:rsidR="00E974B2">
        <w:rPr>
          <w:lang w:val="en-US" w:eastAsia="ru-RU"/>
        </w:rPr>
        <w:instrText>github</w:instrText>
      </w:r>
      <w:r w:rsidR="00E974B2" w:rsidRPr="006C476A">
        <w:rPr>
          <w:lang w:eastAsia="ru-RU"/>
        </w:rPr>
        <w:instrText>.</w:instrText>
      </w:r>
      <w:r w:rsidR="00E974B2">
        <w:rPr>
          <w:lang w:val="en-US" w:eastAsia="ru-RU"/>
        </w:rPr>
        <w:instrText>com</w:instrText>
      </w:r>
      <w:r w:rsidR="00E974B2" w:rsidRPr="006C476A">
        <w:rPr>
          <w:lang w:eastAsia="ru-RU"/>
        </w:rPr>
        <w:instrText>/</w:instrText>
      </w:r>
      <w:r w:rsidR="00E974B2">
        <w:rPr>
          <w:lang w:val="en-US" w:eastAsia="ru-RU"/>
        </w:rPr>
        <w:instrText>citation</w:instrText>
      </w:r>
      <w:r w:rsidR="00E974B2" w:rsidRPr="006C476A">
        <w:rPr>
          <w:lang w:eastAsia="ru-RU"/>
        </w:rPr>
        <w:instrText>-</w:instrText>
      </w:r>
      <w:r w:rsidR="00E974B2">
        <w:rPr>
          <w:lang w:val="en-US" w:eastAsia="ru-RU"/>
        </w:rPr>
        <w:instrText>style</w:instrText>
      </w:r>
      <w:r w:rsidR="00E974B2" w:rsidRPr="006C476A">
        <w:rPr>
          <w:lang w:eastAsia="ru-RU"/>
        </w:rPr>
        <w:instrText>-</w:instrText>
      </w:r>
      <w:r w:rsidR="00E974B2">
        <w:rPr>
          <w:lang w:val="en-US" w:eastAsia="ru-RU"/>
        </w:rPr>
        <w:instrText>language</w:instrText>
      </w:r>
      <w:r w:rsidR="00E974B2" w:rsidRPr="006C476A">
        <w:rPr>
          <w:lang w:eastAsia="ru-RU"/>
        </w:rPr>
        <w:instrText>/</w:instrText>
      </w:r>
      <w:r w:rsidR="00E974B2">
        <w:rPr>
          <w:lang w:val="en-US" w:eastAsia="ru-RU"/>
        </w:rPr>
        <w:instrText>schema</w:instrText>
      </w:r>
      <w:r w:rsidR="00E974B2" w:rsidRPr="006C476A">
        <w:rPr>
          <w:lang w:eastAsia="ru-RU"/>
        </w:rPr>
        <w:instrText>/</w:instrText>
      </w:r>
      <w:r w:rsidR="00E974B2">
        <w:rPr>
          <w:lang w:val="en-US" w:eastAsia="ru-RU"/>
        </w:rPr>
        <w:instrText>raw</w:instrText>
      </w:r>
      <w:r w:rsidR="00E974B2" w:rsidRPr="006C476A">
        <w:rPr>
          <w:lang w:eastAsia="ru-RU"/>
        </w:rPr>
        <w:instrText>/</w:instrText>
      </w:r>
      <w:r w:rsidR="00E974B2">
        <w:rPr>
          <w:lang w:val="en-US" w:eastAsia="ru-RU"/>
        </w:rPr>
        <w:instrText>master</w:instrText>
      </w:r>
      <w:r w:rsidR="00E974B2" w:rsidRPr="006C476A">
        <w:rPr>
          <w:lang w:eastAsia="ru-RU"/>
        </w:rPr>
        <w:instrText>/</w:instrText>
      </w:r>
      <w:r w:rsidR="00E974B2">
        <w:rPr>
          <w:lang w:val="en-US" w:eastAsia="ru-RU"/>
        </w:rPr>
        <w:instrText>csl</w:instrText>
      </w:r>
      <w:r w:rsidR="00E974B2" w:rsidRPr="006C476A">
        <w:rPr>
          <w:lang w:eastAsia="ru-RU"/>
        </w:rPr>
        <w:instrText>-</w:instrText>
      </w:r>
      <w:r w:rsidR="00E974B2">
        <w:rPr>
          <w:lang w:val="en-US" w:eastAsia="ru-RU"/>
        </w:rPr>
        <w:instrText>citation</w:instrText>
      </w:r>
      <w:r w:rsidR="00E974B2" w:rsidRPr="006C476A">
        <w:rPr>
          <w:lang w:eastAsia="ru-RU"/>
        </w:rPr>
        <w:instrText>.</w:instrText>
      </w:r>
      <w:r w:rsidR="00E974B2">
        <w:rPr>
          <w:lang w:val="en-US" w:eastAsia="ru-RU"/>
        </w:rPr>
        <w:instrText>json</w:instrText>
      </w:r>
      <w:r w:rsidR="00E974B2" w:rsidRPr="006C476A">
        <w:rPr>
          <w:lang w:eastAsia="ru-RU"/>
        </w:rPr>
        <w:instrText>"}</w:instrText>
      </w:r>
      <w:r w:rsidRPr="000322E4">
        <w:rPr>
          <w:lang w:val="en-US" w:eastAsia="ru-RU"/>
        </w:rPr>
        <w:fldChar w:fldCharType="separate"/>
      </w:r>
      <w:r w:rsidR="004C51FF" w:rsidRPr="004C51FF">
        <w:rPr>
          <w:noProof/>
          <w:lang w:eastAsia="ru-RU"/>
        </w:rPr>
        <w:t>[180–183]</w:t>
      </w:r>
      <w:r w:rsidRPr="000322E4">
        <w:rPr>
          <w:lang w:val="en-US" w:eastAsia="ru-RU"/>
        </w:rPr>
        <w:fldChar w:fldCharType="end"/>
      </w:r>
    </w:p>
    <w:p w14:paraId="4FA8B896" w14:textId="77777777" w:rsidR="00666D68" w:rsidRPr="000322E4" w:rsidRDefault="00666D68" w:rsidP="008E3584">
      <w:pPr>
        <w:numPr>
          <w:ilvl w:val="0"/>
          <w:numId w:val="41"/>
        </w:numPr>
      </w:pPr>
      <w:r w:rsidRPr="000322E4">
        <w:t>Циклофосфамид</w:t>
      </w:r>
      <w:r w:rsidRPr="000322E4">
        <w:rPr>
          <w:bCs/>
        </w:rPr>
        <w:t>**</w:t>
      </w:r>
      <w:r w:rsidRPr="000322E4">
        <w:t xml:space="preserve"> 750 мг/м</w:t>
      </w:r>
      <w:r w:rsidRPr="000322E4">
        <w:rPr>
          <w:vertAlign w:val="superscript"/>
        </w:rPr>
        <w:t>2</w:t>
      </w:r>
      <w:r w:rsidRPr="000322E4">
        <w:t xml:space="preserve"> в/в кап., день 1</w:t>
      </w:r>
    </w:p>
    <w:p w14:paraId="16BE243E" w14:textId="77777777" w:rsidR="00666D68" w:rsidRPr="000322E4" w:rsidRDefault="00666D68" w:rsidP="008E3584">
      <w:pPr>
        <w:numPr>
          <w:ilvl w:val="0"/>
          <w:numId w:val="41"/>
        </w:numPr>
        <w:rPr>
          <w:b/>
          <w:bCs/>
        </w:rPr>
      </w:pPr>
      <w:r w:rsidRPr="000322E4">
        <w:t>Пегилированный липосомальный доксорубицин** 30 мг/м</w:t>
      </w:r>
      <w:r w:rsidRPr="000322E4">
        <w:rPr>
          <w:vertAlign w:val="superscript"/>
        </w:rPr>
        <w:t>2</w:t>
      </w:r>
      <w:r w:rsidRPr="000322E4">
        <w:t xml:space="preserve"> в/в кап., день 1</w:t>
      </w:r>
    </w:p>
    <w:p w14:paraId="17811885" w14:textId="77777777" w:rsidR="00666D68" w:rsidRPr="000322E4" w:rsidRDefault="00F35A3E" w:rsidP="008E3584">
      <w:pPr>
        <w:numPr>
          <w:ilvl w:val="0"/>
          <w:numId w:val="41"/>
        </w:numPr>
      </w:pPr>
      <w:r w:rsidRPr="00F35A3E">
        <w:t>#</w:t>
      </w:r>
      <w:r w:rsidR="00666D68" w:rsidRPr="000322E4">
        <w:t xml:space="preserve">Винкристин** </w:t>
      </w:r>
      <w:r w:rsidR="006409DD" w:rsidRPr="000322E4">
        <w:t xml:space="preserve">2 </w:t>
      </w:r>
      <w:r w:rsidR="00666D68" w:rsidRPr="000322E4">
        <w:t>мг</w:t>
      </w:r>
      <w:r w:rsidR="006409DD" w:rsidRPr="000322E4">
        <w:t xml:space="preserve"> </w:t>
      </w:r>
      <w:r w:rsidR="00666D68" w:rsidRPr="000322E4">
        <w:t>в/в, день 1</w:t>
      </w:r>
    </w:p>
    <w:p w14:paraId="4E96706C" w14:textId="77777777" w:rsidR="00666D68" w:rsidRPr="000322E4" w:rsidRDefault="00666D68" w:rsidP="008E3584">
      <w:pPr>
        <w:numPr>
          <w:ilvl w:val="0"/>
          <w:numId w:val="41"/>
        </w:numPr>
      </w:pPr>
      <w:r w:rsidRPr="000322E4">
        <w:t>Преднизолон** 60 мг/м</w:t>
      </w:r>
      <w:r w:rsidRPr="000322E4">
        <w:rPr>
          <w:vertAlign w:val="superscript"/>
        </w:rPr>
        <w:t>2</w:t>
      </w:r>
      <w:r w:rsidRPr="000322E4">
        <w:t xml:space="preserve"> внутрь, дни 1-5</w:t>
      </w:r>
    </w:p>
    <w:p w14:paraId="7C63AB5C" w14:textId="77777777" w:rsidR="00666D68" w:rsidRPr="000322E4" w:rsidRDefault="00666D68" w:rsidP="008E3584"/>
    <w:p w14:paraId="16B1D73E" w14:textId="56E49B29" w:rsidR="00666D68" w:rsidRPr="000322E4" w:rsidRDefault="00666D68" w:rsidP="008E3584">
      <w:pPr>
        <w:rPr>
          <w:b/>
          <w:color w:val="00B050"/>
        </w:rPr>
      </w:pPr>
      <w:r w:rsidRPr="000322E4">
        <w:rPr>
          <w:b/>
          <w:lang w:val="en-US"/>
        </w:rPr>
        <w:t>R</w:t>
      </w:r>
      <w:r w:rsidRPr="000322E4">
        <w:rPr>
          <w:b/>
        </w:rPr>
        <w:t>-</w:t>
      </w:r>
      <w:r w:rsidRPr="000322E4">
        <w:rPr>
          <w:b/>
          <w:lang w:val="en-US"/>
        </w:rPr>
        <w:t>CHOEP</w:t>
      </w:r>
      <w:r w:rsidRPr="000322E4">
        <w:rPr>
          <w:b/>
        </w:rPr>
        <w:t xml:space="preserve">  </w:t>
      </w:r>
      <w:r w:rsidRPr="000322E4">
        <w:rPr>
          <w:b/>
          <w:lang w:val="en-US"/>
        </w:rPr>
        <w:fldChar w:fldCharType="begin" w:fldLock="1"/>
      </w:r>
      <w:r w:rsidR="00E974B2">
        <w:rPr>
          <w:b/>
          <w:lang w:val="en-US"/>
        </w:rPr>
        <w:instrText>ADDIN</w:instrText>
      </w:r>
      <w:r w:rsidR="00E974B2" w:rsidRPr="006C476A">
        <w:rPr>
          <w:b/>
        </w:rPr>
        <w:instrText xml:space="preserve"> </w:instrText>
      </w:r>
      <w:r w:rsidR="00E974B2">
        <w:rPr>
          <w:b/>
          <w:lang w:val="en-US"/>
        </w:rPr>
        <w:instrText>CSL</w:instrText>
      </w:r>
      <w:r w:rsidR="00E974B2" w:rsidRPr="006C476A">
        <w:rPr>
          <w:b/>
        </w:rPr>
        <w:instrText>_</w:instrText>
      </w:r>
      <w:r w:rsidR="00E974B2">
        <w:rPr>
          <w:b/>
          <w:lang w:val="en-US"/>
        </w:rPr>
        <w:instrText>CITATION</w:instrText>
      </w:r>
      <w:r w:rsidR="00E974B2" w:rsidRPr="006C476A">
        <w:rPr>
          <w:b/>
        </w:rPr>
        <w:instrText xml:space="preserve"> {"</w:instrText>
      </w:r>
      <w:r w:rsidR="00E974B2">
        <w:rPr>
          <w:b/>
          <w:lang w:val="en-US"/>
        </w:rPr>
        <w:instrText>citationItems</w:instrText>
      </w:r>
      <w:r w:rsidR="00E974B2" w:rsidRPr="006C476A">
        <w:rPr>
          <w:b/>
        </w:rPr>
        <w:instrText>":[{"</w:instrText>
      </w:r>
      <w:r w:rsidR="00E974B2">
        <w:rPr>
          <w:b/>
          <w:lang w:val="en-US"/>
        </w:rPr>
        <w:instrText>id</w:instrText>
      </w:r>
      <w:r w:rsidR="00E974B2" w:rsidRPr="006C476A">
        <w:rPr>
          <w:b/>
        </w:rPr>
        <w:instrText>":"</w:instrText>
      </w:r>
      <w:r w:rsidR="00E974B2">
        <w:rPr>
          <w:b/>
          <w:lang w:val="en-US"/>
        </w:rPr>
        <w:instrText>ITEM</w:instrText>
      </w:r>
      <w:r w:rsidR="00E974B2" w:rsidRPr="006C476A">
        <w:rPr>
          <w:b/>
        </w:rPr>
        <w:instrText>-1","</w:instrText>
      </w:r>
      <w:r w:rsidR="00E974B2">
        <w:rPr>
          <w:b/>
          <w:lang w:val="en-US"/>
        </w:rPr>
        <w:instrText>itemData</w:instrText>
      </w:r>
      <w:r w:rsidR="00E974B2" w:rsidRPr="006C476A">
        <w:rPr>
          <w:b/>
        </w:rPr>
        <w:instrText>":{"</w:instrText>
      </w:r>
      <w:r w:rsidR="00E974B2">
        <w:rPr>
          <w:b/>
          <w:lang w:val="en-US"/>
        </w:rPr>
        <w:instrText>DOI</w:instrText>
      </w:r>
      <w:r w:rsidR="00E974B2" w:rsidRPr="006C476A">
        <w:rPr>
          <w:b/>
        </w:rPr>
        <w:instrText>":"10.1093/</w:instrText>
      </w:r>
      <w:r w:rsidR="00E974B2">
        <w:rPr>
          <w:b/>
          <w:lang w:val="en-US"/>
        </w:rPr>
        <w:instrText>annonc</w:instrText>
      </w:r>
      <w:r w:rsidR="00E974B2" w:rsidRPr="006C476A">
        <w:rPr>
          <w:b/>
        </w:rPr>
        <w:instrText>/</w:instrText>
      </w:r>
      <w:r w:rsidR="00E974B2">
        <w:rPr>
          <w:b/>
          <w:lang w:val="en-US"/>
        </w:rPr>
        <w:instrText>mdr</w:instrText>
      </w:r>
      <w:r w:rsidR="00E974B2" w:rsidRPr="006C476A">
        <w:rPr>
          <w:b/>
        </w:rPr>
        <w:instrText>058","</w:instrText>
      </w:r>
      <w:r w:rsidR="00E974B2">
        <w:rPr>
          <w:b/>
          <w:lang w:val="en-US"/>
        </w:rPr>
        <w:instrText>ISSN</w:instrText>
      </w:r>
      <w:r w:rsidR="00E974B2" w:rsidRPr="006C476A">
        <w:rPr>
          <w:b/>
        </w:rPr>
        <w:instrText>":"1569-8041","</w:instrText>
      </w:r>
      <w:r w:rsidR="00E974B2">
        <w:rPr>
          <w:b/>
          <w:lang w:val="en-US"/>
        </w:rPr>
        <w:instrText>PMID</w:instrText>
      </w:r>
      <w:r w:rsidR="00E974B2" w:rsidRPr="006C476A">
        <w:rPr>
          <w:b/>
        </w:rPr>
        <w:instrText>":"21460380","</w:instrText>
      </w:r>
      <w:r w:rsidR="00E974B2">
        <w:rPr>
          <w:b/>
          <w:lang w:val="en-US"/>
        </w:rPr>
        <w:instrText>abstract</w:instrText>
      </w:r>
      <w:r w:rsidR="00E974B2" w:rsidRPr="006C476A">
        <w:rPr>
          <w:b/>
        </w:rPr>
        <w:instrText>":"</w:instrText>
      </w:r>
      <w:r w:rsidR="00E974B2">
        <w:rPr>
          <w:b/>
          <w:lang w:val="en-US"/>
        </w:rPr>
        <w:instrText>BACKGROUND</w:instrText>
      </w:r>
      <w:r w:rsidR="00E974B2" w:rsidRPr="006C476A">
        <w:rPr>
          <w:b/>
        </w:rPr>
        <w:instrText xml:space="preserve"> </w:instrText>
      </w:r>
      <w:r w:rsidR="00E974B2">
        <w:rPr>
          <w:b/>
          <w:lang w:val="en-US"/>
        </w:rPr>
        <w:instrText>Optimal</w:instrText>
      </w:r>
      <w:r w:rsidR="00E974B2" w:rsidRPr="006C476A">
        <w:rPr>
          <w:b/>
        </w:rPr>
        <w:instrText xml:space="preserve"> </w:instrText>
      </w:r>
      <w:r w:rsidR="00E974B2">
        <w:rPr>
          <w:b/>
          <w:lang w:val="en-US"/>
        </w:rPr>
        <w:instrText>treatment</w:instrText>
      </w:r>
      <w:r w:rsidR="00E974B2" w:rsidRPr="006C476A">
        <w:rPr>
          <w:b/>
        </w:rPr>
        <w:instrText xml:space="preserve"> </w:instrText>
      </w:r>
      <w:r w:rsidR="00E974B2">
        <w:rPr>
          <w:b/>
          <w:lang w:val="en-US"/>
        </w:rPr>
        <w:instrText>of</w:instrText>
      </w:r>
      <w:r w:rsidR="00E974B2" w:rsidRPr="006C476A">
        <w:rPr>
          <w:b/>
        </w:rPr>
        <w:instrText xml:space="preserve"> </w:instrText>
      </w:r>
      <w:r w:rsidR="00E974B2">
        <w:rPr>
          <w:b/>
          <w:lang w:val="en-US"/>
        </w:rPr>
        <w:instrText>young</w:instrText>
      </w:r>
      <w:r w:rsidR="00E974B2" w:rsidRPr="006C476A">
        <w:rPr>
          <w:b/>
        </w:rPr>
        <w:instrText xml:space="preserve"> </w:instrText>
      </w:r>
      <w:r w:rsidR="00E974B2">
        <w:rPr>
          <w:b/>
          <w:lang w:val="en-US"/>
        </w:rPr>
        <w:instrText>patients</w:instrText>
      </w:r>
      <w:r w:rsidR="00E974B2" w:rsidRPr="006C476A">
        <w:rPr>
          <w:b/>
        </w:rPr>
        <w:instrText xml:space="preserve"> </w:instrText>
      </w:r>
      <w:r w:rsidR="00E974B2">
        <w:rPr>
          <w:b/>
          <w:lang w:val="en-US"/>
        </w:rPr>
        <w:instrText>with</w:instrText>
      </w:r>
      <w:r w:rsidR="00E974B2" w:rsidRPr="006C476A">
        <w:rPr>
          <w:b/>
        </w:rPr>
        <w:instrText xml:space="preserve"> </w:instrText>
      </w:r>
      <w:r w:rsidR="00E974B2">
        <w:rPr>
          <w:b/>
          <w:lang w:val="en-US"/>
        </w:rPr>
        <w:instrText>high</w:instrText>
      </w:r>
      <w:r w:rsidR="00E974B2" w:rsidRPr="006C476A">
        <w:rPr>
          <w:b/>
        </w:rPr>
        <w:instrText>-</w:instrText>
      </w:r>
      <w:r w:rsidR="00E974B2">
        <w:rPr>
          <w:b/>
          <w:lang w:val="en-US"/>
        </w:rPr>
        <w:instrText>risk</w:instrText>
      </w:r>
      <w:r w:rsidR="00E974B2" w:rsidRPr="006C476A">
        <w:rPr>
          <w:b/>
        </w:rPr>
        <w:instrText xml:space="preserve"> </w:instrText>
      </w:r>
      <w:r w:rsidR="00E974B2">
        <w:rPr>
          <w:b/>
          <w:lang w:val="en-US"/>
        </w:rPr>
        <w:instrText>diffuse</w:instrText>
      </w:r>
      <w:r w:rsidR="00E974B2" w:rsidRPr="006C476A">
        <w:rPr>
          <w:b/>
        </w:rPr>
        <w:instrText xml:space="preserve"> </w:instrText>
      </w:r>
      <w:r w:rsidR="00E974B2">
        <w:rPr>
          <w:b/>
          <w:lang w:val="en-US"/>
        </w:rPr>
        <w:instrText>large</w:instrText>
      </w:r>
      <w:r w:rsidR="00E974B2" w:rsidRPr="006C476A">
        <w:rPr>
          <w:b/>
        </w:rPr>
        <w:instrText xml:space="preserve"> </w:instrText>
      </w:r>
      <w:r w:rsidR="00E974B2">
        <w:rPr>
          <w:b/>
          <w:lang w:val="en-US"/>
        </w:rPr>
        <w:instrText>B</w:instrText>
      </w:r>
      <w:r w:rsidR="00E974B2" w:rsidRPr="006C476A">
        <w:rPr>
          <w:b/>
        </w:rPr>
        <w:instrText>-</w:instrText>
      </w:r>
      <w:r w:rsidR="00E974B2">
        <w:rPr>
          <w:b/>
          <w:lang w:val="en-US"/>
        </w:rPr>
        <w:instrText>cell</w:instrText>
      </w:r>
      <w:r w:rsidR="00E974B2" w:rsidRPr="006C476A">
        <w:rPr>
          <w:b/>
        </w:rPr>
        <w:instrText xml:space="preserve"> </w:instrText>
      </w:r>
      <w:r w:rsidR="00E974B2">
        <w:rPr>
          <w:b/>
          <w:lang w:val="en-US"/>
        </w:rPr>
        <w:instrText>lymphoma</w:instrText>
      </w:r>
      <w:r w:rsidR="00E974B2" w:rsidRPr="006C476A">
        <w:rPr>
          <w:b/>
        </w:rPr>
        <w:instrText xml:space="preserve"> (</w:instrText>
      </w:r>
      <w:r w:rsidR="00E974B2">
        <w:rPr>
          <w:b/>
          <w:lang w:val="en-US"/>
        </w:rPr>
        <w:instrText>DLBCL</w:instrText>
      </w:r>
      <w:r w:rsidR="00E974B2" w:rsidRPr="006C476A">
        <w:rPr>
          <w:b/>
        </w:rPr>
        <w:instrText xml:space="preserve">) </w:instrText>
      </w:r>
      <w:r w:rsidR="00E974B2">
        <w:rPr>
          <w:b/>
          <w:lang w:val="en-US"/>
        </w:rPr>
        <w:instrText>remains</w:instrText>
      </w:r>
      <w:r w:rsidR="00E974B2" w:rsidRPr="006C476A">
        <w:rPr>
          <w:b/>
        </w:rPr>
        <w:instrText xml:space="preserve"> </w:instrText>
      </w:r>
      <w:r w:rsidR="00E974B2">
        <w:rPr>
          <w:b/>
          <w:lang w:val="en-US"/>
        </w:rPr>
        <w:instrText>a</w:instrText>
      </w:r>
      <w:r w:rsidR="00E974B2" w:rsidRPr="006C476A">
        <w:rPr>
          <w:b/>
        </w:rPr>
        <w:instrText xml:space="preserve"> </w:instrText>
      </w:r>
      <w:r w:rsidR="00E974B2">
        <w:rPr>
          <w:b/>
          <w:lang w:val="en-US"/>
        </w:rPr>
        <w:instrText>matter</w:instrText>
      </w:r>
      <w:r w:rsidR="00E974B2" w:rsidRPr="006C476A">
        <w:rPr>
          <w:b/>
        </w:rPr>
        <w:instrText xml:space="preserve"> </w:instrText>
      </w:r>
      <w:r w:rsidR="00E974B2">
        <w:rPr>
          <w:b/>
          <w:lang w:val="en-US"/>
        </w:rPr>
        <w:instrText>of</w:instrText>
      </w:r>
      <w:r w:rsidR="00E974B2" w:rsidRPr="006C476A">
        <w:rPr>
          <w:b/>
        </w:rPr>
        <w:instrText xml:space="preserve"> </w:instrText>
      </w:r>
      <w:r w:rsidR="00E974B2">
        <w:rPr>
          <w:b/>
          <w:lang w:val="en-US"/>
        </w:rPr>
        <w:instrText>debate</w:instrText>
      </w:r>
      <w:r w:rsidR="00E974B2" w:rsidRPr="006C476A">
        <w:rPr>
          <w:b/>
        </w:rPr>
        <w:instrText xml:space="preserve"> </w:instrText>
      </w:r>
      <w:r w:rsidR="00E974B2">
        <w:rPr>
          <w:b/>
          <w:lang w:val="en-US"/>
        </w:rPr>
        <w:instrText>and</w:instrText>
      </w:r>
      <w:r w:rsidR="00E974B2" w:rsidRPr="006C476A">
        <w:rPr>
          <w:b/>
        </w:rPr>
        <w:instrText xml:space="preserve"> </w:instrText>
      </w:r>
      <w:r w:rsidR="00E974B2">
        <w:rPr>
          <w:b/>
          <w:lang w:val="en-US"/>
        </w:rPr>
        <w:instrText>requires</w:instrText>
      </w:r>
      <w:r w:rsidR="00E974B2" w:rsidRPr="006C476A">
        <w:rPr>
          <w:b/>
        </w:rPr>
        <w:instrText xml:space="preserve"> </w:instrText>
      </w:r>
      <w:r w:rsidR="00E974B2">
        <w:rPr>
          <w:b/>
          <w:lang w:val="en-US"/>
        </w:rPr>
        <w:instrText>improvement</w:instrText>
      </w:r>
      <w:r w:rsidR="00E974B2" w:rsidRPr="006C476A">
        <w:rPr>
          <w:b/>
        </w:rPr>
        <w:instrText xml:space="preserve">. </w:instrText>
      </w:r>
      <w:r w:rsidR="00E974B2">
        <w:rPr>
          <w:b/>
          <w:lang w:val="en-US"/>
        </w:rPr>
        <w:instrText>The</w:instrText>
      </w:r>
      <w:r w:rsidR="00E974B2" w:rsidRPr="006C476A">
        <w:rPr>
          <w:b/>
        </w:rPr>
        <w:instrText xml:space="preserve"> </w:instrText>
      </w:r>
      <w:r w:rsidR="00E974B2">
        <w:rPr>
          <w:b/>
          <w:lang w:val="en-US"/>
        </w:rPr>
        <w:instrText>combination</w:instrText>
      </w:r>
      <w:r w:rsidR="00E974B2" w:rsidRPr="006C476A">
        <w:rPr>
          <w:b/>
        </w:rPr>
        <w:instrText xml:space="preserve"> </w:instrText>
      </w:r>
      <w:r w:rsidR="00E974B2">
        <w:rPr>
          <w:b/>
          <w:lang w:val="en-US"/>
        </w:rPr>
        <w:instrText>chemotherapy</w:instrText>
      </w:r>
      <w:r w:rsidR="00E974B2" w:rsidRPr="006C476A">
        <w:rPr>
          <w:b/>
        </w:rPr>
        <w:instrText xml:space="preserve"> </w:instrText>
      </w:r>
      <w:r w:rsidR="00E974B2">
        <w:rPr>
          <w:b/>
          <w:lang w:val="en-US"/>
        </w:rPr>
        <w:instrText>with</w:instrText>
      </w:r>
      <w:r w:rsidR="00E974B2" w:rsidRPr="006C476A">
        <w:rPr>
          <w:b/>
        </w:rPr>
        <w:instrText xml:space="preserve"> </w:instrText>
      </w:r>
      <w:r w:rsidR="00E974B2">
        <w:rPr>
          <w:b/>
          <w:lang w:val="en-US"/>
        </w:rPr>
        <w:instrText>cyclophosphamide</w:instrText>
      </w:r>
      <w:r w:rsidR="00E974B2" w:rsidRPr="006C476A">
        <w:rPr>
          <w:b/>
        </w:rPr>
        <w:instrText xml:space="preserve">, </w:instrText>
      </w:r>
      <w:r w:rsidR="00E974B2">
        <w:rPr>
          <w:b/>
          <w:lang w:val="en-US"/>
        </w:rPr>
        <w:instrText>doxorubicin</w:instrText>
      </w:r>
      <w:r w:rsidR="00E974B2" w:rsidRPr="006C476A">
        <w:rPr>
          <w:b/>
        </w:rPr>
        <w:instrText xml:space="preserve">, </w:instrText>
      </w:r>
      <w:r w:rsidR="00E974B2">
        <w:rPr>
          <w:b/>
          <w:lang w:val="en-US"/>
        </w:rPr>
        <w:instrText>vincristine</w:instrText>
      </w:r>
      <w:r w:rsidR="00E974B2" w:rsidRPr="006C476A">
        <w:rPr>
          <w:b/>
        </w:rPr>
        <w:instrText xml:space="preserve"> </w:instrText>
      </w:r>
      <w:r w:rsidR="00E974B2">
        <w:rPr>
          <w:b/>
          <w:lang w:val="en-US"/>
        </w:rPr>
        <w:instrText>and</w:instrText>
      </w:r>
      <w:r w:rsidR="00E974B2" w:rsidRPr="006C476A">
        <w:rPr>
          <w:b/>
        </w:rPr>
        <w:instrText xml:space="preserve"> </w:instrText>
      </w:r>
      <w:r w:rsidR="00E974B2">
        <w:rPr>
          <w:b/>
          <w:lang w:val="en-US"/>
        </w:rPr>
        <w:instrText>prednisone</w:instrText>
      </w:r>
      <w:r w:rsidR="00E974B2" w:rsidRPr="006C476A">
        <w:rPr>
          <w:b/>
        </w:rPr>
        <w:instrText xml:space="preserve"> (</w:instrText>
      </w:r>
      <w:r w:rsidR="00E974B2">
        <w:rPr>
          <w:b/>
          <w:lang w:val="en-US"/>
        </w:rPr>
        <w:instrText>CHOP</w:instrText>
      </w:r>
      <w:r w:rsidR="00E974B2" w:rsidRPr="006C476A">
        <w:rPr>
          <w:b/>
        </w:rPr>
        <w:instrText xml:space="preserve">) </w:instrText>
      </w:r>
      <w:r w:rsidR="00E974B2">
        <w:rPr>
          <w:b/>
          <w:lang w:val="en-US"/>
        </w:rPr>
        <w:instrText>with</w:instrText>
      </w:r>
      <w:r w:rsidR="00E974B2" w:rsidRPr="006C476A">
        <w:rPr>
          <w:b/>
        </w:rPr>
        <w:instrText xml:space="preserve"> </w:instrText>
      </w:r>
      <w:r w:rsidR="00E974B2">
        <w:rPr>
          <w:b/>
          <w:lang w:val="en-US"/>
        </w:rPr>
        <w:instrText>addition</w:instrText>
      </w:r>
      <w:r w:rsidR="00E974B2" w:rsidRPr="006C476A">
        <w:rPr>
          <w:b/>
        </w:rPr>
        <w:instrText xml:space="preserve"> </w:instrText>
      </w:r>
      <w:r w:rsidR="00E974B2">
        <w:rPr>
          <w:b/>
          <w:lang w:val="en-US"/>
        </w:rPr>
        <w:instrText>of</w:instrText>
      </w:r>
      <w:r w:rsidR="00E974B2" w:rsidRPr="006C476A">
        <w:rPr>
          <w:b/>
        </w:rPr>
        <w:instrText xml:space="preserve"> </w:instrText>
      </w:r>
      <w:r w:rsidR="00E974B2">
        <w:rPr>
          <w:b/>
          <w:lang w:val="en-US"/>
        </w:rPr>
        <w:instrText>etoposide</w:instrText>
      </w:r>
      <w:r w:rsidR="00E974B2" w:rsidRPr="006C476A">
        <w:rPr>
          <w:b/>
        </w:rPr>
        <w:instrText xml:space="preserve"> (</w:instrText>
      </w:r>
      <w:r w:rsidR="00E974B2">
        <w:rPr>
          <w:b/>
          <w:lang w:val="en-US"/>
        </w:rPr>
        <w:instrText>CHOEP</w:instrText>
      </w:r>
      <w:r w:rsidR="00E974B2" w:rsidRPr="006C476A">
        <w:rPr>
          <w:b/>
        </w:rPr>
        <w:instrText xml:space="preserve">) </w:instrText>
      </w:r>
      <w:r w:rsidR="00E974B2">
        <w:rPr>
          <w:b/>
          <w:lang w:val="en-US"/>
        </w:rPr>
        <w:instrText>has</w:instrText>
      </w:r>
      <w:r w:rsidR="00E974B2" w:rsidRPr="006C476A">
        <w:rPr>
          <w:b/>
        </w:rPr>
        <w:instrText xml:space="preserve"> </w:instrText>
      </w:r>
      <w:r w:rsidR="00E974B2">
        <w:rPr>
          <w:b/>
          <w:lang w:val="en-US"/>
        </w:rPr>
        <w:instrText>in</w:instrText>
      </w:r>
      <w:r w:rsidR="00E974B2" w:rsidRPr="006C476A">
        <w:rPr>
          <w:b/>
        </w:rPr>
        <w:instrText xml:space="preserve"> </w:instrText>
      </w:r>
      <w:r w:rsidR="00E974B2">
        <w:rPr>
          <w:b/>
          <w:lang w:val="en-US"/>
        </w:rPr>
        <w:instrText>other</w:instrText>
      </w:r>
      <w:r w:rsidR="00E974B2" w:rsidRPr="006C476A">
        <w:rPr>
          <w:b/>
        </w:rPr>
        <w:instrText xml:space="preserve"> </w:instrText>
      </w:r>
      <w:r w:rsidR="00E974B2">
        <w:rPr>
          <w:b/>
          <w:lang w:val="en-US"/>
        </w:rPr>
        <w:instrText>patient</w:instrText>
      </w:r>
      <w:r w:rsidR="00E974B2" w:rsidRPr="006C476A">
        <w:rPr>
          <w:b/>
        </w:rPr>
        <w:instrText xml:space="preserve"> </w:instrText>
      </w:r>
      <w:r w:rsidR="00E974B2">
        <w:rPr>
          <w:b/>
          <w:lang w:val="en-US"/>
        </w:rPr>
        <w:instrText>groups</w:instrText>
      </w:r>
      <w:r w:rsidR="00E974B2" w:rsidRPr="006C476A">
        <w:rPr>
          <w:b/>
        </w:rPr>
        <w:instrText xml:space="preserve"> </w:instrText>
      </w:r>
      <w:r w:rsidR="00E974B2">
        <w:rPr>
          <w:b/>
          <w:lang w:val="en-US"/>
        </w:rPr>
        <w:instrText>been</w:instrText>
      </w:r>
      <w:r w:rsidR="00E974B2" w:rsidRPr="006C476A">
        <w:rPr>
          <w:b/>
        </w:rPr>
        <w:instrText xml:space="preserve"> </w:instrText>
      </w:r>
      <w:r w:rsidR="00E974B2">
        <w:rPr>
          <w:b/>
          <w:lang w:val="en-US"/>
        </w:rPr>
        <w:instrText>shown</w:instrText>
      </w:r>
      <w:r w:rsidR="00E974B2" w:rsidRPr="006C476A">
        <w:rPr>
          <w:b/>
        </w:rPr>
        <w:instrText xml:space="preserve"> </w:instrText>
      </w:r>
      <w:r w:rsidR="00E974B2">
        <w:rPr>
          <w:b/>
          <w:lang w:val="en-US"/>
        </w:rPr>
        <w:instrText>to</w:instrText>
      </w:r>
      <w:r w:rsidR="00E974B2" w:rsidRPr="006C476A">
        <w:rPr>
          <w:b/>
        </w:rPr>
        <w:instrText xml:space="preserve"> </w:instrText>
      </w:r>
      <w:r w:rsidR="00E974B2">
        <w:rPr>
          <w:b/>
          <w:lang w:val="en-US"/>
        </w:rPr>
        <w:instrText>be</w:instrText>
      </w:r>
      <w:r w:rsidR="00E974B2" w:rsidRPr="006C476A">
        <w:rPr>
          <w:b/>
        </w:rPr>
        <w:instrText xml:space="preserve"> </w:instrText>
      </w:r>
      <w:r w:rsidR="00E974B2">
        <w:rPr>
          <w:b/>
          <w:lang w:val="en-US"/>
        </w:rPr>
        <w:instrText>effective</w:instrText>
      </w:r>
      <w:r w:rsidR="00E974B2" w:rsidRPr="006C476A">
        <w:rPr>
          <w:b/>
        </w:rPr>
        <w:instrText xml:space="preserve">. </w:instrText>
      </w:r>
      <w:r w:rsidR="00E974B2">
        <w:rPr>
          <w:b/>
          <w:lang w:val="en-US"/>
        </w:rPr>
        <w:instrText>Further</w:instrText>
      </w:r>
      <w:r w:rsidR="00E974B2" w:rsidRPr="006C476A">
        <w:rPr>
          <w:b/>
        </w:rPr>
        <w:instrText xml:space="preserve"> </w:instrText>
      </w:r>
      <w:r w:rsidR="00E974B2">
        <w:rPr>
          <w:b/>
          <w:lang w:val="en-US"/>
        </w:rPr>
        <w:instrText>improvement</w:instrText>
      </w:r>
      <w:r w:rsidR="00E974B2" w:rsidRPr="006C476A">
        <w:rPr>
          <w:b/>
        </w:rPr>
        <w:instrText xml:space="preserve"> </w:instrText>
      </w:r>
      <w:r w:rsidR="00E974B2">
        <w:rPr>
          <w:b/>
          <w:lang w:val="en-US"/>
        </w:rPr>
        <w:instrText>has</w:instrText>
      </w:r>
      <w:r w:rsidR="00E974B2" w:rsidRPr="006C476A">
        <w:rPr>
          <w:b/>
        </w:rPr>
        <w:instrText xml:space="preserve"> </w:instrText>
      </w:r>
      <w:r w:rsidR="00E974B2">
        <w:rPr>
          <w:b/>
          <w:lang w:val="en-US"/>
        </w:rPr>
        <w:instrText>been</w:instrText>
      </w:r>
      <w:r w:rsidR="00E974B2" w:rsidRPr="006C476A">
        <w:rPr>
          <w:b/>
        </w:rPr>
        <w:instrText xml:space="preserve"> </w:instrText>
      </w:r>
      <w:r w:rsidR="00E974B2">
        <w:rPr>
          <w:b/>
          <w:lang w:val="en-US"/>
        </w:rPr>
        <w:instrText>accomplished</w:instrText>
      </w:r>
      <w:r w:rsidR="00E974B2" w:rsidRPr="006C476A">
        <w:rPr>
          <w:b/>
        </w:rPr>
        <w:instrText xml:space="preserve"> </w:instrText>
      </w:r>
      <w:r w:rsidR="00E974B2">
        <w:rPr>
          <w:b/>
          <w:lang w:val="en-US"/>
        </w:rPr>
        <w:instrText>with</w:instrText>
      </w:r>
      <w:r w:rsidR="00E974B2" w:rsidRPr="006C476A">
        <w:rPr>
          <w:b/>
        </w:rPr>
        <w:instrText xml:space="preserve"> </w:instrText>
      </w:r>
      <w:r w:rsidR="00E974B2">
        <w:rPr>
          <w:b/>
          <w:lang w:val="en-US"/>
        </w:rPr>
        <w:instrText>the</w:instrText>
      </w:r>
      <w:r w:rsidR="00E974B2" w:rsidRPr="006C476A">
        <w:rPr>
          <w:b/>
        </w:rPr>
        <w:instrText xml:space="preserve"> </w:instrText>
      </w:r>
      <w:r w:rsidR="00E974B2">
        <w:rPr>
          <w:b/>
          <w:lang w:val="en-US"/>
        </w:rPr>
        <w:instrText>use</w:instrText>
      </w:r>
      <w:r w:rsidR="00E974B2" w:rsidRPr="006C476A">
        <w:rPr>
          <w:b/>
        </w:rPr>
        <w:instrText xml:space="preserve"> </w:instrText>
      </w:r>
      <w:r w:rsidR="00E974B2">
        <w:rPr>
          <w:b/>
          <w:lang w:val="en-US"/>
        </w:rPr>
        <w:instrText>of</w:instrText>
      </w:r>
      <w:r w:rsidR="00E974B2" w:rsidRPr="006C476A">
        <w:rPr>
          <w:b/>
        </w:rPr>
        <w:instrText xml:space="preserve"> </w:instrText>
      </w:r>
      <w:r w:rsidR="00E974B2">
        <w:rPr>
          <w:b/>
          <w:lang w:val="en-US"/>
        </w:rPr>
        <w:instrText>rituximab</w:instrText>
      </w:r>
      <w:r w:rsidR="00E974B2" w:rsidRPr="006C476A">
        <w:rPr>
          <w:b/>
        </w:rPr>
        <w:instrText xml:space="preserve"> </w:instrText>
      </w:r>
      <w:r w:rsidR="00E974B2">
        <w:rPr>
          <w:b/>
          <w:lang w:val="en-US"/>
        </w:rPr>
        <w:instrText>in</w:instrText>
      </w:r>
      <w:r w:rsidR="00E974B2" w:rsidRPr="006C476A">
        <w:rPr>
          <w:b/>
        </w:rPr>
        <w:instrText xml:space="preserve"> </w:instrText>
      </w:r>
      <w:r w:rsidR="00E974B2">
        <w:rPr>
          <w:b/>
          <w:lang w:val="en-US"/>
        </w:rPr>
        <w:instrText>combination</w:instrText>
      </w:r>
      <w:r w:rsidR="00E974B2" w:rsidRPr="006C476A">
        <w:rPr>
          <w:b/>
        </w:rPr>
        <w:instrText xml:space="preserve"> </w:instrText>
      </w:r>
      <w:r w:rsidR="00E974B2">
        <w:rPr>
          <w:b/>
          <w:lang w:val="en-US"/>
        </w:rPr>
        <w:instrText>with</w:instrText>
      </w:r>
      <w:r w:rsidR="00E974B2" w:rsidRPr="006C476A">
        <w:rPr>
          <w:b/>
        </w:rPr>
        <w:instrText xml:space="preserve"> </w:instrText>
      </w:r>
      <w:r w:rsidR="00E974B2">
        <w:rPr>
          <w:b/>
          <w:lang w:val="en-US"/>
        </w:rPr>
        <w:instrText>the</w:instrText>
      </w:r>
      <w:r w:rsidR="00E974B2" w:rsidRPr="006C476A">
        <w:rPr>
          <w:b/>
        </w:rPr>
        <w:instrText xml:space="preserve"> </w:instrText>
      </w:r>
      <w:r w:rsidR="00E974B2">
        <w:rPr>
          <w:b/>
          <w:lang w:val="en-US"/>
        </w:rPr>
        <w:instrText>regimens</w:instrText>
      </w:r>
      <w:r w:rsidR="00E974B2" w:rsidRPr="006C476A">
        <w:rPr>
          <w:b/>
        </w:rPr>
        <w:instrText xml:space="preserve"> </w:instrText>
      </w:r>
      <w:r w:rsidR="00E974B2">
        <w:rPr>
          <w:b/>
          <w:lang w:val="en-US"/>
        </w:rPr>
        <w:instrText>every</w:instrText>
      </w:r>
      <w:r w:rsidR="00E974B2" w:rsidRPr="006C476A">
        <w:rPr>
          <w:b/>
        </w:rPr>
        <w:instrText xml:space="preserve"> 2 </w:instrText>
      </w:r>
      <w:r w:rsidR="00E974B2">
        <w:rPr>
          <w:b/>
          <w:lang w:val="en-US"/>
        </w:rPr>
        <w:instrText>weeks</w:instrText>
      </w:r>
      <w:r w:rsidR="00E974B2" w:rsidRPr="006C476A">
        <w:rPr>
          <w:b/>
        </w:rPr>
        <w:instrText xml:space="preserve"> (</w:instrText>
      </w:r>
      <w:r w:rsidR="00E974B2">
        <w:rPr>
          <w:b/>
          <w:lang w:val="en-US"/>
        </w:rPr>
        <w:instrText>R</w:instrText>
      </w:r>
      <w:r w:rsidR="00E974B2" w:rsidRPr="006C476A">
        <w:rPr>
          <w:b/>
        </w:rPr>
        <w:instrText>-</w:instrText>
      </w:r>
      <w:r w:rsidR="00E974B2">
        <w:rPr>
          <w:b/>
          <w:lang w:val="en-US"/>
        </w:rPr>
        <w:instrText>CHOP</w:instrText>
      </w:r>
      <w:r w:rsidR="00E974B2" w:rsidRPr="006C476A">
        <w:rPr>
          <w:b/>
        </w:rPr>
        <w:instrText xml:space="preserve">-14, </w:instrText>
      </w:r>
      <w:r w:rsidR="00E974B2">
        <w:rPr>
          <w:b/>
          <w:lang w:val="en-US"/>
        </w:rPr>
        <w:instrText>R</w:instrText>
      </w:r>
      <w:r w:rsidR="00E974B2" w:rsidRPr="006C476A">
        <w:rPr>
          <w:b/>
        </w:rPr>
        <w:instrText>-</w:instrText>
      </w:r>
      <w:r w:rsidR="00E974B2">
        <w:rPr>
          <w:b/>
          <w:lang w:val="en-US"/>
        </w:rPr>
        <w:instrText>CHOEP</w:instrText>
      </w:r>
      <w:r w:rsidR="00E974B2" w:rsidRPr="006C476A">
        <w:rPr>
          <w:b/>
        </w:rPr>
        <w:instrText xml:space="preserve">-14). </w:instrText>
      </w:r>
      <w:r w:rsidR="00E974B2">
        <w:rPr>
          <w:b/>
          <w:lang w:val="en-US"/>
        </w:rPr>
        <w:instrText>The</w:instrText>
      </w:r>
      <w:r w:rsidR="00E974B2" w:rsidRPr="006C476A">
        <w:rPr>
          <w:b/>
        </w:rPr>
        <w:instrText xml:space="preserve"> </w:instrText>
      </w:r>
      <w:r w:rsidR="00E974B2">
        <w:rPr>
          <w:b/>
          <w:lang w:val="en-US"/>
        </w:rPr>
        <w:instrText>aim</w:instrText>
      </w:r>
      <w:r w:rsidR="00E974B2" w:rsidRPr="006C476A">
        <w:rPr>
          <w:b/>
        </w:rPr>
        <w:instrText xml:space="preserve"> </w:instrText>
      </w:r>
      <w:r w:rsidR="00E974B2">
        <w:rPr>
          <w:b/>
          <w:lang w:val="en-US"/>
        </w:rPr>
        <w:instrText>of</w:instrText>
      </w:r>
      <w:r w:rsidR="00E974B2" w:rsidRPr="006C476A">
        <w:rPr>
          <w:b/>
        </w:rPr>
        <w:instrText xml:space="preserve"> </w:instrText>
      </w:r>
      <w:r w:rsidR="00E974B2">
        <w:rPr>
          <w:b/>
          <w:lang w:val="en-US"/>
        </w:rPr>
        <w:instrText>the</w:instrText>
      </w:r>
      <w:r w:rsidR="00E974B2" w:rsidRPr="006C476A">
        <w:rPr>
          <w:b/>
        </w:rPr>
        <w:instrText xml:space="preserve"> </w:instrText>
      </w:r>
      <w:r w:rsidR="00E974B2">
        <w:rPr>
          <w:b/>
          <w:lang w:val="en-US"/>
        </w:rPr>
        <w:instrText>present</w:instrText>
      </w:r>
      <w:r w:rsidR="00E974B2" w:rsidRPr="006C476A">
        <w:rPr>
          <w:b/>
        </w:rPr>
        <w:instrText xml:space="preserve"> </w:instrText>
      </w:r>
      <w:r w:rsidR="00E974B2">
        <w:rPr>
          <w:b/>
          <w:lang w:val="en-US"/>
        </w:rPr>
        <w:instrText>retrospective</w:instrText>
      </w:r>
      <w:r w:rsidR="00E974B2" w:rsidRPr="006C476A">
        <w:rPr>
          <w:b/>
        </w:rPr>
        <w:instrText xml:space="preserve"> </w:instrText>
      </w:r>
      <w:r w:rsidR="00E974B2">
        <w:rPr>
          <w:b/>
          <w:lang w:val="en-US"/>
        </w:rPr>
        <w:instrText>population</w:instrText>
      </w:r>
      <w:r w:rsidR="00E974B2" w:rsidRPr="006C476A">
        <w:rPr>
          <w:b/>
        </w:rPr>
        <w:instrText>-</w:instrText>
      </w:r>
      <w:r w:rsidR="00E974B2">
        <w:rPr>
          <w:b/>
          <w:lang w:val="en-US"/>
        </w:rPr>
        <w:instrText>based</w:instrText>
      </w:r>
      <w:r w:rsidR="00E974B2" w:rsidRPr="006C476A">
        <w:rPr>
          <w:b/>
        </w:rPr>
        <w:instrText xml:space="preserve"> </w:instrText>
      </w:r>
      <w:r w:rsidR="00E974B2">
        <w:rPr>
          <w:b/>
          <w:lang w:val="en-US"/>
        </w:rPr>
        <w:instrText>study</w:instrText>
      </w:r>
      <w:r w:rsidR="00E974B2" w:rsidRPr="006C476A">
        <w:rPr>
          <w:b/>
        </w:rPr>
        <w:instrText xml:space="preserve"> </w:instrText>
      </w:r>
      <w:r w:rsidR="00E974B2">
        <w:rPr>
          <w:b/>
          <w:lang w:val="en-US"/>
        </w:rPr>
        <w:instrText>was</w:instrText>
      </w:r>
      <w:r w:rsidR="00E974B2" w:rsidRPr="006C476A">
        <w:rPr>
          <w:b/>
        </w:rPr>
        <w:instrText xml:space="preserve"> </w:instrText>
      </w:r>
      <w:r w:rsidR="00E974B2">
        <w:rPr>
          <w:b/>
          <w:lang w:val="en-US"/>
        </w:rPr>
        <w:instrText>to</w:instrText>
      </w:r>
      <w:r w:rsidR="00E974B2" w:rsidRPr="006C476A">
        <w:rPr>
          <w:b/>
        </w:rPr>
        <w:instrText xml:space="preserve"> </w:instrText>
      </w:r>
      <w:r w:rsidR="00E974B2">
        <w:rPr>
          <w:b/>
          <w:lang w:val="en-US"/>
        </w:rPr>
        <w:instrText>compare</w:instrText>
      </w:r>
      <w:r w:rsidR="00E974B2" w:rsidRPr="006C476A">
        <w:rPr>
          <w:b/>
        </w:rPr>
        <w:instrText xml:space="preserve"> </w:instrText>
      </w:r>
      <w:r w:rsidR="00E974B2">
        <w:rPr>
          <w:b/>
          <w:lang w:val="en-US"/>
        </w:rPr>
        <w:instrText>R</w:instrText>
      </w:r>
      <w:r w:rsidR="00E974B2" w:rsidRPr="006C476A">
        <w:rPr>
          <w:b/>
        </w:rPr>
        <w:instrText>-</w:instrText>
      </w:r>
      <w:r w:rsidR="00E974B2">
        <w:rPr>
          <w:b/>
          <w:lang w:val="en-US"/>
        </w:rPr>
        <w:instrText>CHOP</w:instrText>
      </w:r>
      <w:r w:rsidR="00E974B2" w:rsidRPr="006C476A">
        <w:rPr>
          <w:b/>
        </w:rPr>
        <w:instrText xml:space="preserve">-14 </w:instrText>
      </w:r>
      <w:r w:rsidR="00E974B2">
        <w:rPr>
          <w:b/>
          <w:lang w:val="en-US"/>
        </w:rPr>
        <w:instrText>with</w:instrText>
      </w:r>
      <w:r w:rsidR="00E974B2" w:rsidRPr="006C476A">
        <w:rPr>
          <w:b/>
        </w:rPr>
        <w:instrText xml:space="preserve"> </w:instrText>
      </w:r>
      <w:r w:rsidR="00E974B2">
        <w:rPr>
          <w:b/>
          <w:lang w:val="en-US"/>
        </w:rPr>
        <w:instrText>R</w:instrText>
      </w:r>
      <w:r w:rsidR="00E974B2" w:rsidRPr="006C476A">
        <w:rPr>
          <w:b/>
        </w:rPr>
        <w:instrText>-</w:instrText>
      </w:r>
      <w:r w:rsidR="00E974B2">
        <w:rPr>
          <w:b/>
          <w:lang w:val="en-US"/>
        </w:rPr>
        <w:instrText>CHOEP</w:instrText>
      </w:r>
      <w:r w:rsidR="00E974B2" w:rsidRPr="006C476A">
        <w:rPr>
          <w:b/>
        </w:rPr>
        <w:instrText xml:space="preserve">-14 </w:instrText>
      </w:r>
      <w:r w:rsidR="00E974B2">
        <w:rPr>
          <w:b/>
          <w:lang w:val="en-US"/>
        </w:rPr>
        <w:instrText>in</w:instrText>
      </w:r>
      <w:r w:rsidR="00E974B2" w:rsidRPr="006C476A">
        <w:rPr>
          <w:b/>
        </w:rPr>
        <w:instrText xml:space="preserve"> </w:instrText>
      </w:r>
      <w:r w:rsidR="00E974B2">
        <w:rPr>
          <w:b/>
          <w:lang w:val="en-US"/>
        </w:rPr>
        <w:instrText>a</w:instrText>
      </w:r>
      <w:r w:rsidR="00E974B2" w:rsidRPr="006C476A">
        <w:rPr>
          <w:b/>
        </w:rPr>
        <w:instrText xml:space="preserve"> </w:instrText>
      </w:r>
      <w:r w:rsidR="00E974B2">
        <w:rPr>
          <w:b/>
          <w:lang w:val="en-US"/>
        </w:rPr>
        <w:instrText>cohort</w:instrText>
      </w:r>
      <w:r w:rsidR="00E974B2" w:rsidRPr="006C476A">
        <w:rPr>
          <w:b/>
        </w:rPr>
        <w:instrText xml:space="preserve"> </w:instrText>
      </w:r>
      <w:r w:rsidR="00E974B2">
        <w:rPr>
          <w:b/>
          <w:lang w:val="en-US"/>
        </w:rPr>
        <w:instrText>of</w:instrText>
      </w:r>
      <w:r w:rsidR="00E974B2" w:rsidRPr="006C476A">
        <w:rPr>
          <w:b/>
        </w:rPr>
        <w:instrText xml:space="preserve"> </w:instrText>
      </w:r>
      <w:r w:rsidR="00E974B2">
        <w:rPr>
          <w:b/>
          <w:lang w:val="en-US"/>
        </w:rPr>
        <w:instrText>high</w:instrText>
      </w:r>
      <w:r w:rsidR="00E974B2" w:rsidRPr="006C476A">
        <w:rPr>
          <w:b/>
        </w:rPr>
        <w:instrText>-</w:instrText>
      </w:r>
      <w:r w:rsidR="00E974B2">
        <w:rPr>
          <w:b/>
          <w:lang w:val="en-US"/>
        </w:rPr>
        <w:instrText>risk</w:instrText>
      </w:r>
      <w:r w:rsidR="00E974B2" w:rsidRPr="006C476A">
        <w:rPr>
          <w:b/>
        </w:rPr>
        <w:instrText xml:space="preserve"> </w:instrText>
      </w:r>
      <w:r w:rsidR="00E974B2">
        <w:rPr>
          <w:b/>
          <w:lang w:val="en-US"/>
        </w:rPr>
        <w:instrText>patients</w:instrText>
      </w:r>
      <w:r w:rsidR="00E974B2" w:rsidRPr="006C476A">
        <w:rPr>
          <w:b/>
        </w:rPr>
        <w:instrText xml:space="preserve"> </w:instrText>
      </w:r>
      <w:r w:rsidR="00E974B2">
        <w:rPr>
          <w:b/>
          <w:lang w:val="en-US"/>
        </w:rPr>
        <w:instrText>aged</w:instrText>
      </w:r>
      <w:r w:rsidR="00E974B2" w:rsidRPr="006C476A">
        <w:rPr>
          <w:b/>
        </w:rPr>
        <w:instrText xml:space="preserve"> 18-60 </w:instrText>
      </w:r>
      <w:r w:rsidR="00E974B2">
        <w:rPr>
          <w:b/>
          <w:lang w:val="en-US"/>
        </w:rPr>
        <w:instrText>years</w:instrText>
      </w:r>
      <w:r w:rsidR="00E974B2" w:rsidRPr="006C476A">
        <w:rPr>
          <w:b/>
        </w:rPr>
        <w:instrText xml:space="preserve"> </w:instrText>
      </w:r>
      <w:r w:rsidR="00E974B2">
        <w:rPr>
          <w:b/>
          <w:lang w:val="en-US"/>
        </w:rPr>
        <w:instrText>with</w:instrText>
      </w:r>
      <w:r w:rsidR="00E974B2" w:rsidRPr="006C476A">
        <w:rPr>
          <w:b/>
        </w:rPr>
        <w:instrText xml:space="preserve"> </w:instrText>
      </w:r>
      <w:r w:rsidR="00E974B2">
        <w:rPr>
          <w:b/>
          <w:lang w:val="en-US"/>
        </w:rPr>
        <w:instrText>two</w:instrText>
      </w:r>
      <w:r w:rsidR="00E974B2" w:rsidRPr="006C476A">
        <w:rPr>
          <w:b/>
        </w:rPr>
        <w:instrText xml:space="preserve"> </w:instrText>
      </w:r>
      <w:r w:rsidR="00E974B2">
        <w:rPr>
          <w:b/>
          <w:lang w:val="en-US"/>
        </w:rPr>
        <w:instrText>or</w:instrText>
      </w:r>
      <w:r w:rsidR="00E974B2" w:rsidRPr="006C476A">
        <w:rPr>
          <w:b/>
        </w:rPr>
        <w:instrText xml:space="preserve"> </w:instrText>
      </w:r>
      <w:r w:rsidR="00E974B2">
        <w:rPr>
          <w:b/>
          <w:lang w:val="en-US"/>
        </w:rPr>
        <w:instrText>more</w:instrText>
      </w:r>
      <w:r w:rsidR="00E974B2" w:rsidRPr="006C476A">
        <w:rPr>
          <w:b/>
        </w:rPr>
        <w:instrText xml:space="preserve"> </w:instrText>
      </w:r>
      <w:r w:rsidR="00E974B2">
        <w:rPr>
          <w:b/>
          <w:lang w:val="en-US"/>
        </w:rPr>
        <w:instrText>risk</w:instrText>
      </w:r>
      <w:r w:rsidR="00E974B2" w:rsidRPr="006C476A">
        <w:rPr>
          <w:b/>
        </w:rPr>
        <w:instrText xml:space="preserve"> </w:instrText>
      </w:r>
      <w:r w:rsidR="00E974B2">
        <w:rPr>
          <w:b/>
          <w:lang w:val="en-US"/>
        </w:rPr>
        <w:instrText>factors</w:instrText>
      </w:r>
      <w:r w:rsidR="00E974B2" w:rsidRPr="006C476A">
        <w:rPr>
          <w:b/>
        </w:rPr>
        <w:instrText xml:space="preserve"> (</w:instrText>
      </w:r>
      <w:r w:rsidR="00E974B2">
        <w:rPr>
          <w:b/>
          <w:lang w:val="en-US"/>
        </w:rPr>
        <w:instrText>stage</w:instrText>
      </w:r>
      <w:r w:rsidR="00E974B2" w:rsidRPr="006C476A">
        <w:rPr>
          <w:b/>
        </w:rPr>
        <w:instrText xml:space="preserve"> </w:instrText>
      </w:r>
      <w:r w:rsidR="00E974B2">
        <w:rPr>
          <w:b/>
          <w:lang w:val="en-US"/>
        </w:rPr>
        <w:instrText>III</w:instrText>
      </w:r>
      <w:r w:rsidR="00E974B2" w:rsidRPr="006C476A">
        <w:rPr>
          <w:b/>
        </w:rPr>
        <w:instrText>-</w:instrText>
      </w:r>
      <w:r w:rsidR="00E974B2">
        <w:rPr>
          <w:b/>
          <w:lang w:val="en-US"/>
        </w:rPr>
        <w:instrText>IV</w:instrText>
      </w:r>
      <w:r w:rsidR="00E974B2" w:rsidRPr="006C476A">
        <w:rPr>
          <w:b/>
        </w:rPr>
        <w:instrText xml:space="preserve">, </w:instrText>
      </w:r>
      <w:r w:rsidR="00E974B2">
        <w:rPr>
          <w:b/>
          <w:lang w:val="en-US"/>
        </w:rPr>
        <w:instrText>elevated</w:instrText>
      </w:r>
      <w:r w:rsidR="00E974B2" w:rsidRPr="006C476A">
        <w:rPr>
          <w:b/>
        </w:rPr>
        <w:instrText xml:space="preserve"> </w:instrText>
      </w:r>
      <w:r w:rsidR="00E974B2">
        <w:rPr>
          <w:b/>
          <w:lang w:val="en-US"/>
        </w:rPr>
        <w:instrText>lactate</w:instrText>
      </w:r>
      <w:r w:rsidR="00E974B2" w:rsidRPr="006C476A">
        <w:rPr>
          <w:b/>
        </w:rPr>
        <w:instrText xml:space="preserve"> </w:instrText>
      </w:r>
      <w:r w:rsidR="00E974B2">
        <w:rPr>
          <w:b/>
          <w:lang w:val="en-US"/>
        </w:rPr>
        <w:instrText>dehydrogenase</w:instrText>
      </w:r>
      <w:r w:rsidR="00E974B2" w:rsidRPr="006C476A">
        <w:rPr>
          <w:b/>
        </w:rPr>
        <w:instrText xml:space="preserve"> </w:instrText>
      </w:r>
      <w:r w:rsidR="00E974B2">
        <w:rPr>
          <w:b/>
          <w:lang w:val="en-US"/>
        </w:rPr>
        <w:instrText>levels</w:instrText>
      </w:r>
      <w:r w:rsidR="00E974B2" w:rsidRPr="006C476A">
        <w:rPr>
          <w:b/>
        </w:rPr>
        <w:instrText xml:space="preserve">, </w:instrText>
      </w:r>
      <w:r w:rsidR="00E974B2">
        <w:rPr>
          <w:b/>
          <w:lang w:val="en-US"/>
        </w:rPr>
        <w:instrText>performance</w:instrText>
      </w:r>
      <w:r w:rsidR="00E974B2" w:rsidRPr="006C476A">
        <w:rPr>
          <w:b/>
        </w:rPr>
        <w:instrText xml:space="preserve"> </w:instrText>
      </w:r>
      <w:r w:rsidR="00E974B2">
        <w:rPr>
          <w:b/>
          <w:lang w:val="en-US"/>
        </w:rPr>
        <w:instrText>status</w:instrText>
      </w:r>
      <w:r w:rsidR="00E974B2" w:rsidRPr="006C476A">
        <w:rPr>
          <w:b/>
        </w:rPr>
        <w:instrText xml:space="preserve"> 2-4). </w:instrText>
      </w:r>
      <w:r w:rsidR="00E974B2">
        <w:rPr>
          <w:b/>
          <w:lang w:val="en-US"/>
        </w:rPr>
        <w:instrText>To</w:instrText>
      </w:r>
      <w:r w:rsidR="00E974B2" w:rsidRPr="006C476A">
        <w:rPr>
          <w:b/>
        </w:rPr>
        <w:instrText xml:space="preserve"> </w:instrText>
      </w:r>
      <w:r w:rsidR="00E974B2">
        <w:rPr>
          <w:b/>
          <w:lang w:val="en-US"/>
        </w:rPr>
        <w:instrText>our</w:instrText>
      </w:r>
      <w:r w:rsidR="00E974B2" w:rsidRPr="006C476A">
        <w:rPr>
          <w:b/>
        </w:rPr>
        <w:instrText xml:space="preserve"> </w:instrText>
      </w:r>
      <w:r w:rsidR="00E974B2">
        <w:rPr>
          <w:b/>
          <w:lang w:val="en-US"/>
        </w:rPr>
        <w:instrText>knowledge</w:instrText>
      </w:r>
      <w:r w:rsidR="00E974B2" w:rsidRPr="006C476A">
        <w:rPr>
          <w:b/>
        </w:rPr>
        <w:instrText xml:space="preserve">, </w:instrText>
      </w:r>
      <w:r w:rsidR="00E974B2">
        <w:rPr>
          <w:b/>
          <w:lang w:val="en-US"/>
        </w:rPr>
        <w:instrText>this</w:instrText>
      </w:r>
      <w:r w:rsidR="00E974B2" w:rsidRPr="006C476A">
        <w:rPr>
          <w:b/>
        </w:rPr>
        <w:instrText xml:space="preserve"> </w:instrText>
      </w:r>
      <w:r w:rsidR="00E974B2">
        <w:rPr>
          <w:b/>
          <w:lang w:val="en-US"/>
        </w:rPr>
        <w:instrText>is</w:instrText>
      </w:r>
      <w:r w:rsidR="00E974B2" w:rsidRPr="006C476A">
        <w:rPr>
          <w:b/>
        </w:rPr>
        <w:instrText xml:space="preserve"> </w:instrText>
      </w:r>
      <w:r w:rsidR="00E974B2">
        <w:rPr>
          <w:b/>
          <w:lang w:val="en-US"/>
        </w:rPr>
        <w:instrText>the</w:instrText>
      </w:r>
      <w:r w:rsidR="00E974B2" w:rsidRPr="006C476A">
        <w:rPr>
          <w:b/>
        </w:rPr>
        <w:instrText xml:space="preserve"> </w:instrText>
      </w:r>
      <w:r w:rsidR="00E974B2">
        <w:rPr>
          <w:b/>
          <w:lang w:val="en-US"/>
        </w:rPr>
        <w:instrText>first</w:instrText>
      </w:r>
      <w:r w:rsidR="00E974B2" w:rsidRPr="006C476A">
        <w:rPr>
          <w:b/>
        </w:rPr>
        <w:instrText xml:space="preserve"> </w:instrText>
      </w:r>
      <w:r w:rsidR="00E974B2">
        <w:rPr>
          <w:b/>
          <w:lang w:val="en-US"/>
        </w:rPr>
        <w:instrText>study</w:instrText>
      </w:r>
      <w:r w:rsidR="00E974B2" w:rsidRPr="006C476A">
        <w:rPr>
          <w:b/>
        </w:rPr>
        <w:instrText xml:space="preserve"> </w:instrText>
      </w:r>
      <w:r w:rsidR="00E974B2">
        <w:rPr>
          <w:b/>
          <w:lang w:val="en-US"/>
        </w:rPr>
        <w:instrText>comparing</w:instrText>
      </w:r>
      <w:r w:rsidR="00E974B2" w:rsidRPr="006C476A">
        <w:rPr>
          <w:b/>
        </w:rPr>
        <w:instrText xml:space="preserve"> </w:instrText>
      </w:r>
      <w:r w:rsidR="00E974B2">
        <w:rPr>
          <w:b/>
          <w:lang w:val="en-US"/>
        </w:rPr>
        <w:instrText>these</w:instrText>
      </w:r>
      <w:r w:rsidR="00E974B2" w:rsidRPr="006C476A">
        <w:rPr>
          <w:b/>
        </w:rPr>
        <w:instrText xml:space="preserve"> </w:instrText>
      </w:r>
      <w:r w:rsidR="00E974B2">
        <w:rPr>
          <w:b/>
          <w:lang w:val="en-US"/>
        </w:rPr>
        <w:instrText>two</w:instrText>
      </w:r>
      <w:r w:rsidR="00E974B2" w:rsidRPr="006C476A">
        <w:rPr>
          <w:b/>
        </w:rPr>
        <w:instrText xml:space="preserve"> </w:instrText>
      </w:r>
      <w:r w:rsidR="00E974B2">
        <w:rPr>
          <w:b/>
          <w:lang w:val="en-US"/>
        </w:rPr>
        <w:instrText>regimens</w:instrText>
      </w:r>
      <w:r w:rsidR="00E974B2" w:rsidRPr="006C476A">
        <w:rPr>
          <w:b/>
        </w:rPr>
        <w:instrText xml:space="preserve"> </w:instrText>
      </w:r>
      <w:r w:rsidR="00E974B2">
        <w:rPr>
          <w:b/>
          <w:lang w:val="en-US"/>
        </w:rPr>
        <w:instrText>in</w:instrText>
      </w:r>
      <w:r w:rsidR="00E974B2" w:rsidRPr="006C476A">
        <w:rPr>
          <w:b/>
        </w:rPr>
        <w:instrText xml:space="preserve"> </w:instrText>
      </w:r>
      <w:r w:rsidR="00E974B2">
        <w:rPr>
          <w:b/>
          <w:lang w:val="en-US"/>
        </w:rPr>
        <w:instrText>this</w:instrText>
      </w:r>
      <w:r w:rsidR="00E974B2" w:rsidRPr="006C476A">
        <w:rPr>
          <w:b/>
        </w:rPr>
        <w:instrText xml:space="preserve"> </w:instrText>
      </w:r>
      <w:r w:rsidR="00E974B2">
        <w:rPr>
          <w:b/>
          <w:lang w:val="en-US"/>
        </w:rPr>
        <w:instrText>patient</w:instrText>
      </w:r>
      <w:r w:rsidR="00E974B2" w:rsidRPr="006C476A">
        <w:rPr>
          <w:b/>
        </w:rPr>
        <w:instrText xml:space="preserve"> </w:instrText>
      </w:r>
      <w:r w:rsidR="00E974B2">
        <w:rPr>
          <w:b/>
          <w:lang w:val="en-US"/>
        </w:rPr>
        <w:instrText>group</w:instrText>
      </w:r>
      <w:r w:rsidR="00E974B2" w:rsidRPr="006C476A">
        <w:rPr>
          <w:b/>
        </w:rPr>
        <w:instrText xml:space="preserve">. </w:instrText>
      </w:r>
      <w:r w:rsidR="00E974B2">
        <w:rPr>
          <w:b/>
          <w:lang w:val="en-US"/>
        </w:rPr>
        <w:instrText>METHODS</w:instrText>
      </w:r>
      <w:r w:rsidR="00E974B2" w:rsidRPr="006C476A">
        <w:rPr>
          <w:b/>
        </w:rPr>
        <w:instrText xml:space="preserve"> </w:instrText>
      </w:r>
      <w:r w:rsidR="00E974B2">
        <w:rPr>
          <w:b/>
          <w:lang w:val="en-US"/>
        </w:rPr>
        <w:instrText>We</w:instrText>
      </w:r>
      <w:r w:rsidR="00E974B2" w:rsidRPr="006C476A">
        <w:rPr>
          <w:b/>
        </w:rPr>
        <w:instrText xml:space="preserve"> </w:instrText>
      </w:r>
      <w:r w:rsidR="00E974B2">
        <w:rPr>
          <w:b/>
          <w:lang w:val="en-US"/>
        </w:rPr>
        <w:instrText>obtained</w:instrText>
      </w:r>
      <w:r w:rsidR="00E974B2" w:rsidRPr="006C476A">
        <w:rPr>
          <w:b/>
        </w:rPr>
        <w:instrText xml:space="preserve"> </w:instrText>
      </w:r>
      <w:r w:rsidR="00E974B2">
        <w:rPr>
          <w:b/>
          <w:lang w:val="en-US"/>
        </w:rPr>
        <w:instrText>data</w:instrText>
      </w:r>
      <w:r w:rsidR="00E974B2" w:rsidRPr="006C476A">
        <w:rPr>
          <w:b/>
        </w:rPr>
        <w:instrText xml:space="preserve"> </w:instrText>
      </w:r>
      <w:r w:rsidR="00E974B2">
        <w:rPr>
          <w:b/>
          <w:lang w:val="en-US"/>
        </w:rPr>
        <w:instrText>for</w:instrText>
      </w:r>
      <w:r w:rsidR="00E974B2" w:rsidRPr="006C476A">
        <w:rPr>
          <w:b/>
        </w:rPr>
        <w:instrText xml:space="preserve"> </w:instrText>
      </w:r>
      <w:r w:rsidR="00E974B2">
        <w:rPr>
          <w:b/>
          <w:lang w:val="en-US"/>
        </w:rPr>
        <w:instrText>the</w:instrText>
      </w:r>
      <w:r w:rsidR="00E974B2" w:rsidRPr="006C476A">
        <w:rPr>
          <w:b/>
        </w:rPr>
        <w:instrText xml:space="preserve"> </w:instrText>
      </w:r>
      <w:r w:rsidR="00E974B2">
        <w:rPr>
          <w:b/>
          <w:lang w:val="en-US"/>
        </w:rPr>
        <w:instrText>period</w:instrText>
      </w:r>
      <w:r w:rsidR="00E974B2" w:rsidRPr="006C476A">
        <w:rPr>
          <w:b/>
        </w:rPr>
        <w:instrText xml:space="preserve"> 2004-2009 </w:instrText>
      </w:r>
      <w:r w:rsidR="00E974B2">
        <w:rPr>
          <w:b/>
          <w:lang w:val="en-US"/>
        </w:rPr>
        <w:instrText>from</w:instrText>
      </w:r>
      <w:r w:rsidR="00E974B2" w:rsidRPr="006C476A">
        <w:rPr>
          <w:b/>
        </w:rPr>
        <w:instrText xml:space="preserve"> </w:instrText>
      </w:r>
      <w:r w:rsidR="00E974B2">
        <w:rPr>
          <w:b/>
          <w:lang w:val="en-US"/>
        </w:rPr>
        <w:instrText>the</w:instrText>
      </w:r>
      <w:r w:rsidR="00E974B2" w:rsidRPr="006C476A">
        <w:rPr>
          <w:b/>
        </w:rPr>
        <w:instrText xml:space="preserve"> </w:instrText>
      </w:r>
      <w:r w:rsidR="00E974B2">
        <w:rPr>
          <w:b/>
          <w:lang w:val="en-US"/>
        </w:rPr>
        <w:instrText>Danish</w:instrText>
      </w:r>
      <w:r w:rsidR="00E974B2" w:rsidRPr="006C476A">
        <w:rPr>
          <w:b/>
        </w:rPr>
        <w:instrText xml:space="preserve"> </w:instrText>
      </w:r>
      <w:r w:rsidR="00E974B2">
        <w:rPr>
          <w:b/>
          <w:lang w:val="en-US"/>
        </w:rPr>
        <w:instrText>Lymphoma</w:instrText>
      </w:r>
      <w:r w:rsidR="00E974B2" w:rsidRPr="006C476A">
        <w:rPr>
          <w:b/>
        </w:rPr>
        <w:instrText xml:space="preserve"> </w:instrText>
      </w:r>
      <w:r w:rsidR="00E974B2">
        <w:rPr>
          <w:b/>
          <w:lang w:val="en-US"/>
        </w:rPr>
        <w:instrText>Database</w:instrText>
      </w:r>
      <w:r w:rsidR="00E974B2" w:rsidRPr="006C476A">
        <w:rPr>
          <w:b/>
        </w:rPr>
        <w:instrText xml:space="preserve">. </w:instrText>
      </w:r>
      <w:r w:rsidR="00E974B2">
        <w:rPr>
          <w:b/>
          <w:lang w:val="en-US"/>
        </w:rPr>
        <w:instrText>One</w:instrText>
      </w:r>
      <w:r w:rsidR="00E974B2" w:rsidRPr="006C476A">
        <w:rPr>
          <w:b/>
        </w:rPr>
        <w:instrText xml:space="preserve"> </w:instrText>
      </w:r>
      <w:r w:rsidR="00E974B2">
        <w:rPr>
          <w:b/>
          <w:lang w:val="en-US"/>
        </w:rPr>
        <w:instrText>hundred</w:instrText>
      </w:r>
      <w:r w:rsidR="00E974B2" w:rsidRPr="006C476A">
        <w:rPr>
          <w:b/>
        </w:rPr>
        <w:instrText xml:space="preserve"> </w:instrText>
      </w:r>
      <w:r w:rsidR="00E974B2">
        <w:rPr>
          <w:b/>
          <w:lang w:val="en-US"/>
        </w:rPr>
        <w:instrText>and</w:instrText>
      </w:r>
      <w:r w:rsidR="00E974B2" w:rsidRPr="006C476A">
        <w:rPr>
          <w:b/>
        </w:rPr>
        <w:instrText xml:space="preserve"> </w:instrText>
      </w:r>
      <w:r w:rsidR="00E974B2">
        <w:rPr>
          <w:b/>
          <w:lang w:val="en-US"/>
        </w:rPr>
        <w:instrText>fifty</w:instrText>
      </w:r>
      <w:r w:rsidR="00E974B2" w:rsidRPr="006C476A">
        <w:rPr>
          <w:b/>
        </w:rPr>
        <w:instrText>-</w:instrText>
      </w:r>
      <w:r w:rsidR="00E974B2">
        <w:rPr>
          <w:b/>
          <w:lang w:val="en-US"/>
        </w:rPr>
        <w:instrText>nine</w:instrText>
      </w:r>
      <w:r w:rsidR="00E974B2" w:rsidRPr="006C476A">
        <w:rPr>
          <w:b/>
        </w:rPr>
        <w:instrText xml:space="preserve"> </w:instrText>
      </w:r>
      <w:r w:rsidR="00E974B2">
        <w:rPr>
          <w:b/>
          <w:lang w:val="en-US"/>
        </w:rPr>
        <w:instrText>patients</w:instrText>
      </w:r>
      <w:r w:rsidR="00E974B2" w:rsidRPr="006C476A">
        <w:rPr>
          <w:b/>
        </w:rPr>
        <w:instrText xml:space="preserve"> </w:instrText>
      </w:r>
      <w:r w:rsidR="00E974B2">
        <w:rPr>
          <w:b/>
          <w:lang w:val="en-US"/>
        </w:rPr>
        <w:instrText>were</w:instrText>
      </w:r>
      <w:r w:rsidR="00E974B2" w:rsidRPr="006C476A">
        <w:rPr>
          <w:b/>
        </w:rPr>
        <w:instrText xml:space="preserve"> </w:instrText>
      </w:r>
      <w:r w:rsidR="00E974B2">
        <w:rPr>
          <w:b/>
          <w:lang w:val="en-US"/>
        </w:rPr>
        <w:instrText>eligible</w:instrText>
      </w:r>
      <w:r w:rsidR="00E974B2" w:rsidRPr="006C476A">
        <w:rPr>
          <w:b/>
        </w:rPr>
        <w:instrText xml:space="preserve"> </w:instrText>
      </w:r>
      <w:r w:rsidR="00E974B2">
        <w:rPr>
          <w:b/>
          <w:lang w:val="en-US"/>
        </w:rPr>
        <w:instrText>to</w:instrText>
      </w:r>
      <w:r w:rsidR="00E974B2" w:rsidRPr="006C476A">
        <w:rPr>
          <w:b/>
        </w:rPr>
        <w:instrText xml:space="preserve"> </w:instrText>
      </w:r>
      <w:r w:rsidR="00E974B2">
        <w:rPr>
          <w:b/>
          <w:lang w:val="en-US"/>
        </w:rPr>
        <w:instrText>enter</w:instrText>
      </w:r>
      <w:r w:rsidR="00E974B2" w:rsidRPr="006C476A">
        <w:rPr>
          <w:b/>
        </w:rPr>
        <w:instrText xml:space="preserve"> </w:instrText>
      </w:r>
      <w:r w:rsidR="00E974B2">
        <w:rPr>
          <w:b/>
          <w:lang w:val="en-US"/>
        </w:rPr>
        <w:instrText>the</w:instrText>
      </w:r>
      <w:r w:rsidR="00E974B2" w:rsidRPr="006C476A">
        <w:rPr>
          <w:b/>
        </w:rPr>
        <w:instrText xml:space="preserve"> </w:instrText>
      </w:r>
      <w:r w:rsidR="00E974B2">
        <w:rPr>
          <w:b/>
          <w:lang w:val="en-US"/>
        </w:rPr>
        <w:instrText>study</w:instrText>
      </w:r>
      <w:r w:rsidR="00E974B2" w:rsidRPr="006C476A">
        <w:rPr>
          <w:b/>
        </w:rPr>
        <w:instrText xml:space="preserve">. </w:instrText>
      </w:r>
      <w:r w:rsidR="00E974B2">
        <w:rPr>
          <w:b/>
          <w:lang w:val="en-US"/>
        </w:rPr>
        <w:instrText>Primary</w:instrText>
      </w:r>
      <w:r w:rsidR="00E974B2" w:rsidRPr="006C476A">
        <w:rPr>
          <w:b/>
        </w:rPr>
        <w:instrText xml:space="preserve"> </w:instrText>
      </w:r>
      <w:r w:rsidR="00E974B2">
        <w:rPr>
          <w:b/>
          <w:lang w:val="en-US"/>
        </w:rPr>
        <w:instrText>end</w:instrText>
      </w:r>
      <w:r w:rsidR="00E974B2" w:rsidRPr="006C476A">
        <w:rPr>
          <w:b/>
        </w:rPr>
        <w:instrText xml:space="preserve"> </w:instrText>
      </w:r>
      <w:r w:rsidR="00E974B2">
        <w:rPr>
          <w:b/>
          <w:lang w:val="en-US"/>
        </w:rPr>
        <w:instrText>point</w:instrText>
      </w:r>
      <w:r w:rsidR="00E974B2" w:rsidRPr="006C476A">
        <w:rPr>
          <w:b/>
        </w:rPr>
        <w:instrText xml:space="preserve"> </w:instrText>
      </w:r>
      <w:r w:rsidR="00E974B2">
        <w:rPr>
          <w:b/>
          <w:lang w:val="en-US"/>
        </w:rPr>
        <w:instrText>was</w:instrText>
      </w:r>
      <w:r w:rsidR="00E974B2" w:rsidRPr="006C476A">
        <w:rPr>
          <w:b/>
        </w:rPr>
        <w:instrText xml:space="preserve"> </w:instrText>
      </w:r>
      <w:r w:rsidR="00E974B2">
        <w:rPr>
          <w:b/>
          <w:lang w:val="en-US"/>
        </w:rPr>
        <w:instrText>overall</w:instrText>
      </w:r>
      <w:r w:rsidR="00E974B2" w:rsidRPr="006C476A">
        <w:rPr>
          <w:b/>
        </w:rPr>
        <w:instrText xml:space="preserve"> </w:instrText>
      </w:r>
      <w:r w:rsidR="00E974B2">
        <w:rPr>
          <w:b/>
          <w:lang w:val="en-US"/>
        </w:rPr>
        <w:instrText>survival</w:instrText>
      </w:r>
      <w:r w:rsidR="00E974B2" w:rsidRPr="006C476A">
        <w:rPr>
          <w:b/>
        </w:rPr>
        <w:instrText xml:space="preserve"> (</w:instrText>
      </w:r>
      <w:r w:rsidR="00E974B2">
        <w:rPr>
          <w:b/>
          <w:lang w:val="en-US"/>
        </w:rPr>
        <w:instrText>OS</w:instrText>
      </w:r>
      <w:r w:rsidR="00E974B2" w:rsidRPr="006C476A">
        <w:rPr>
          <w:b/>
        </w:rPr>
        <w:instrText xml:space="preserve">) </w:instrText>
      </w:r>
      <w:r w:rsidR="00E974B2">
        <w:rPr>
          <w:b/>
          <w:lang w:val="en-US"/>
        </w:rPr>
        <w:instrText>and</w:instrText>
      </w:r>
      <w:r w:rsidR="00E974B2" w:rsidRPr="006C476A">
        <w:rPr>
          <w:b/>
        </w:rPr>
        <w:instrText xml:space="preserve"> </w:instrText>
      </w:r>
      <w:r w:rsidR="00E974B2">
        <w:rPr>
          <w:b/>
          <w:lang w:val="en-US"/>
        </w:rPr>
        <w:instrText>secondary</w:instrText>
      </w:r>
      <w:r w:rsidR="00E974B2" w:rsidRPr="006C476A">
        <w:rPr>
          <w:b/>
        </w:rPr>
        <w:instrText xml:space="preserve"> </w:instrText>
      </w:r>
      <w:r w:rsidR="00E974B2">
        <w:rPr>
          <w:b/>
          <w:lang w:val="en-US"/>
        </w:rPr>
        <w:instrText>end</w:instrText>
      </w:r>
      <w:r w:rsidR="00E974B2" w:rsidRPr="006C476A">
        <w:rPr>
          <w:b/>
        </w:rPr>
        <w:instrText xml:space="preserve"> </w:instrText>
      </w:r>
      <w:r w:rsidR="00E974B2">
        <w:rPr>
          <w:b/>
          <w:lang w:val="en-US"/>
        </w:rPr>
        <w:instrText>points</w:instrText>
      </w:r>
      <w:r w:rsidR="00E974B2" w:rsidRPr="006C476A">
        <w:rPr>
          <w:b/>
        </w:rPr>
        <w:instrText xml:space="preserve"> </w:instrText>
      </w:r>
      <w:r w:rsidR="00E974B2">
        <w:rPr>
          <w:b/>
          <w:lang w:val="en-US"/>
        </w:rPr>
        <w:instrText>were</w:instrText>
      </w:r>
      <w:r w:rsidR="00E974B2" w:rsidRPr="006C476A">
        <w:rPr>
          <w:b/>
        </w:rPr>
        <w:instrText xml:space="preserve"> </w:instrText>
      </w:r>
      <w:r w:rsidR="00E974B2">
        <w:rPr>
          <w:b/>
          <w:lang w:val="en-US"/>
        </w:rPr>
        <w:instrText>response</w:instrText>
      </w:r>
      <w:r w:rsidR="00E974B2" w:rsidRPr="006C476A">
        <w:rPr>
          <w:b/>
        </w:rPr>
        <w:instrText xml:space="preserve"> </w:instrText>
      </w:r>
      <w:r w:rsidR="00E974B2">
        <w:rPr>
          <w:b/>
          <w:lang w:val="en-US"/>
        </w:rPr>
        <w:instrText>to</w:instrText>
      </w:r>
      <w:r w:rsidR="00E974B2" w:rsidRPr="006C476A">
        <w:rPr>
          <w:b/>
        </w:rPr>
        <w:instrText xml:space="preserve"> </w:instrText>
      </w:r>
      <w:r w:rsidR="00E974B2">
        <w:rPr>
          <w:b/>
          <w:lang w:val="en-US"/>
        </w:rPr>
        <w:instrText>treatment</w:instrText>
      </w:r>
      <w:r w:rsidR="00E974B2" w:rsidRPr="006C476A">
        <w:rPr>
          <w:b/>
        </w:rPr>
        <w:instrText xml:space="preserve">, </w:instrText>
      </w:r>
      <w:r w:rsidR="00E974B2">
        <w:rPr>
          <w:b/>
          <w:lang w:val="en-US"/>
        </w:rPr>
        <w:instrText>progression</w:instrText>
      </w:r>
      <w:r w:rsidR="00E974B2" w:rsidRPr="006C476A">
        <w:rPr>
          <w:b/>
        </w:rPr>
        <w:instrText>-</w:instrText>
      </w:r>
      <w:r w:rsidR="00E974B2">
        <w:rPr>
          <w:b/>
          <w:lang w:val="en-US"/>
        </w:rPr>
        <w:instrText>free</w:instrText>
      </w:r>
      <w:r w:rsidR="00E974B2" w:rsidRPr="006C476A">
        <w:rPr>
          <w:b/>
        </w:rPr>
        <w:instrText xml:space="preserve"> </w:instrText>
      </w:r>
      <w:r w:rsidR="00E974B2">
        <w:rPr>
          <w:b/>
          <w:lang w:val="en-US"/>
        </w:rPr>
        <w:instrText>survival</w:instrText>
      </w:r>
      <w:r w:rsidR="00E974B2" w:rsidRPr="006C476A">
        <w:rPr>
          <w:b/>
        </w:rPr>
        <w:instrText xml:space="preserve"> (</w:instrText>
      </w:r>
      <w:r w:rsidR="00E974B2">
        <w:rPr>
          <w:b/>
          <w:lang w:val="en-US"/>
        </w:rPr>
        <w:instrText>PFS</w:instrText>
      </w:r>
      <w:r w:rsidR="00E974B2" w:rsidRPr="006C476A">
        <w:rPr>
          <w:b/>
        </w:rPr>
        <w:instrText xml:space="preserve">) </w:instrText>
      </w:r>
      <w:r w:rsidR="00E974B2">
        <w:rPr>
          <w:b/>
          <w:lang w:val="en-US"/>
        </w:rPr>
        <w:instrText>and</w:instrText>
      </w:r>
      <w:r w:rsidR="00E974B2" w:rsidRPr="006C476A">
        <w:rPr>
          <w:b/>
        </w:rPr>
        <w:instrText xml:space="preserve"> </w:instrText>
      </w:r>
      <w:r w:rsidR="00E974B2">
        <w:rPr>
          <w:b/>
          <w:lang w:val="en-US"/>
        </w:rPr>
        <w:instrText>safety</w:instrText>
      </w:r>
      <w:r w:rsidR="00E974B2" w:rsidRPr="006C476A">
        <w:rPr>
          <w:b/>
        </w:rPr>
        <w:instrText xml:space="preserve">. </w:instrText>
      </w:r>
      <w:r w:rsidR="00E974B2">
        <w:rPr>
          <w:b/>
          <w:lang w:val="en-US"/>
        </w:rPr>
        <w:instrText>RESULTS</w:instrText>
      </w:r>
      <w:r w:rsidR="00E974B2" w:rsidRPr="006C476A">
        <w:rPr>
          <w:b/>
        </w:rPr>
        <w:instrText xml:space="preserve"> </w:instrText>
      </w:r>
      <w:r w:rsidR="00E974B2">
        <w:rPr>
          <w:b/>
          <w:lang w:val="en-US"/>
        </w:rPr>
        <w:instrText>Four</w:instrText>
      </w:r>
      <w:r w:rsidR="00E974B2" w:rsidRPr="006C476A">
        <w:rPr>
          <w:b/>
        </w:rPr>
        <w:instrText>-</w:instrText>
      </w:r>
      <w:r w:rsidR="00E974B2">
        <w:rPr>
          <w:b/>
          <w:lang w:val="en-US"/>
        </w:rPr>
        <w:instrText>year</w:instrText>
      </w:r>
      <w:r w:rsidR="00E974B2" w:rsidRPr="006C476A">
        <w:rPr>
          <w:b/>
        </w:rPr>
        <w:instrText xml:space="preserve"> </w:instrText>
      </w:r>
      <w:r w:rsidR="00E974B2">
        <w:rPr>
          <w:b/>
          <w:lang w:val="en-US"/>
        </w:rPr>
        <w:instrText>OS was superior in the R-CHOEP-14 group: 75% compared with 62% for R-CHOP-14 (P=0.04). This superiority was also seen for PFS: 4-year PFS was 70% for the R-CHOEP-14 group compared with 58% for the R-CHOP-14 group (P=0.02). CONCLUSION R-CHOEP-14 is a promising regimen for young patients with high-risk DLBCL with improved OS and PFS compared with R-CHOP-14.","author":[{"dropping-particle":"","family":"Gang","given":"A O","non-dropping-particle":"","parse-names":false,"suffix":""},{"dropping-particle":"","family":"Strøm","given":"C","non-dropping-particle":"","parse-names":false,"suffix":""},{"dropping-particle":"","family":"Pedersen","given":"M","non-dropping-particle":"","parse-names":false,"suffix":""},{"dropping-particle":"","family":"d'Amore","given":"F","non-dropping-particle":"","parse-names":false,"suffix":""},{"dropping-particle":"","family":"Pedersen","given":"L M","non-dropping-particle":"","parse-names":false,"suffix":""},{"dropping-particle":"","family":"Bukh","given":"A","non-dropping-particle":"","parse-names":false,"suffix":""},{"dropping-particle":"","family":"Pedersen","given":"B B","non-dropping-particle":"","parse-names":false,"suffix":""},{"dropping-particle":"","family":"Moeller","given":"M B","non-dropping-particle":"","parse-names":false,"suffix":""},{"dropping-particle":"","family":"Mortensen","given":"L S","non-dropping-particle":"","parse-names":false,"suffix":""},{"dropping-particle":"V","family":"Gadeberg","given":"O","non-dropping-particle":"","parse-names":false,"suffix":""},{"dropping-particle":"","family":"Ingeberg","given":"S","non-dropping-particle":"","parse-names":false,"suffix":""},{"dropping-particle":"","family":"Mourits-Andersen","given":"T","non-dropping-particle":"","parse-names":false,"suffix":""},{"dropping-particle":"","family":"Pulczynski","given":"S","non-dropping-particle":"","parse-names":false,"suffix":""},{"dropping-particle":"","family":"d Nully Brown","given":"P","non-dropping-particle":"","parse-names":false,"suffix":""}],"container-title":"Annals of oncology : official journal of the European Society for Medical Oncology","id":"ITEM-1","issue":"1","issued":{"date-parts":[["2012","1"]]},"page":"147-53","title":"R-CHOEP-14 improves overall survival in young high-risk patients with diffuse large B-cell lymphoma compared with R-CHOP-14. A population-based investigation from the Danish Lymphoma Group.","type":"article-journal","volume":"23"},"uris":["http://www.mendeley.com/documents/?uuid=b217174b-b51f-340d-b3f5-8108be9b0cae"]}],"mendeley":{"formattedCitation":"[184]","plainTextFormattedCitation":"[184]","previouslyFormattedCitation":"[184]"},"properties":{"noteIndex":0},"schema":"https://github.com/citation-style-language/schema/raw/master/csl-citation.json"}</w:instrText>
      </w:r>
      <w:r w:rsidRPr="000322E4">
        <w:rPr>
          <w:b/>
          <w:lang w:val="en-US"/>
        </w:rPr>
        <w:fldChar w:fldCharType="separate"/>
      </w:r>
      <w:r w:rsidR="004C51FF" w:rsidRPr="004C51FF">
        <w:rPr>
          <w:noProof/>
        </w:rPr>
        <w:t>[184]</w:t>
      </w:r>
      <w:r w:rsidRPr="000322E4">
        <w:rPr>
          <w:b/>
          <w:lang w:val="en-US"/>
        </w:rPr>
        <w:fldChar w:fldCharType="end"/>
      </w:r>
    </w:p>
    <w:p w14:paraId="3F9B31E0" w14:textId="77777777" w:rsidR="00666D68" w:rsidRPr="000322E4" w:rsidRDefault="00666D68" w:rsidP="008E3584">
      <w:pPr>
        <w:numPr>
          <w:ilvl w:val="0"/>
          <w:numId w:val="39"/>
        </w:numPr>
      </w:pPr>
      <w:r w:rsidRPr="000322E4">
        <w:t xml:space="preserve">Ритуксимаб** </w:t>
      </w:r>
      <w:r w:rsidRPr="000322E4">
        <w:fldChar w:fldCharType="begin" w:fldLock="1"/>
      </w:r>
      <w:r w:rsidRPr="000322E4">
        <w:instrText>ADDIN CSL_CITATION {"citationItems":[{"id":"ITEM-1","itemData":{"DOI":"10.1007/s12325-017-0612-x","ISSN":"18658652","abstract":"Abstract: Rituximab is a human/murine, chimeric anti-CD20 monoclonal antibody with established efficacy, and a favorable and well-defined safety profile in patients with various CD20-expressing lymphoid malignancies, including indolent and aggressive forms of B-cell non-Hodgkin lymphoma. Since its first approval 20 years ago, intravenously administered rituximab has revolutionized the treatment of B-cell malignancies and has become a standard component of care for follicular lymphoma, diffuse large B-cell lymphoma, chronic lymphocytic leukemia, and mantle cell lymphoma. For all of these diseases, clinical trials have demonstrated that rituximab not only prolongs the time to disease progression but also extends overall survival. Efficacy benefits have also been shown in patients with marginal zone lymphoma and in more aggressive diseases such as Burkitt lymphoma. Although the proven clinical efficacy and success of rituximab has led to the development of other anti-CD20 monoclonal antibodies in recent years (e.g., obinutuzumab, ofatumumab, veltuzumab, and ocrelizumab), rituximab is likely to maintain a position within the therapeutic armamentarium because it is well established with a long history of successful clinical use. Furthermore, a subcutaneous formulation of the drug has been approved both in the EU and in the USA for the treatment of B-cell malignancies. Using the wealth of data published on rituximab during the last two decades, we review the preclinical development of rituximab and the clinical experience gained in the treatment of hematologic B-cell malignancies, with a focus on the well-established intravenous route of administration. This article is a companion paper to A. Davies, et al., which is also published in this issue. Funding: F. Hoffmann-La Roche Ltd., Basel, Switzerland.","author":[{"dropping-particle":"","family":"Salles","given":"Gilles","non-dropping-particle":"","parse-names":false,"suffix":""},{"dropping-particle":"","family":"Barrett","given":"Martin","non-dropping-particle":"","parse-names":false,"suffix":""},{"dropping-particle":"","family":"Foà","given":"Robin","non-dropping-particle":"","parse-names":false,"suffix":""},{"dropping-particle":"","family":"Maurer","given":"Joerg","non-dropping-particle":"","parse-names":false,"suffix":""},{"dropping-particle":"","family":"O’Brien","given":"Susan","non-dropping-particle":"","parse-names":false,"suffix":""},{"dropping-particle":"","family":"Valente","given":"Nancy","non-dropping-particle":"","parse-names":false,"suffix":""},{"dropping-particle":"","family":"Wenger","given":"Michael","non-dropping-particle":"","parse-names":false,"suffix":""},{"dropping-particle":"","family":"Maloney","given":"David G.","non-dropping-particle":"","parse-names":false,"suffix":""}],"container-title":"Advances in Therapy","id":"ITEM-1","issue":"10","issued":{"date-parts":[["2017"]]},"page":"2232-2273","title":"Rituximab in B-Cell Hematologic Malignancies: A Review of 20 Years of Clinical Experience","type":"article","volume":"34"},"uris":["http://www.mendeley.com/documents/?uuid=99572feb-1e31-3440-866b-d3d6fcf81668"]}],"mendeley":{"formattedCitation":"[55]","plainTextFormattedCitation":"[55]","previouslyFormattedCitation":"[55]"},"properties":{"noteIndex":0},"schema":"https://github.com/citation-style-language/schema/raw/master/csl-citation.json"}</w:instrText>
      </w:r>
      <w:r w:rsidRPr="000322E4">
        <w:fldChar w:fldCharType="separate"/>
      </w:r>
      <w:r w:rsidRPr="000322E4">
        <w:rPr>
          <w:noProof/>
        </w:rPr>
        <w:t>[55]</w:t>
      </w:r>
      <w:r w:rsidRPr="000322E4">
        <w:fldChar w:fldCharType="end"/>
      </w:r>
    </w:p>
    <w:p w14:paraId="3FD53BBC" w14:textId="77777777" w:rsidR="00666D68" w:rsidRPr="000322E4" w:rsidRDefault="00666D68" w:rsidP="008E3584">
      <w:pPr>
        <w:numPr>
          <w:ilvl w:val="1"/>
          <w:numId w:val="39"/>
        </w:numPr>
      </w:pPr>
      <w:r w:rsidRPr="000322E4">
        <w:t>375 мг/м</w:t>
      </w:r>
      <w:r w:rsidRPr="000322E4">
        <w:rPr>
          <w:vertAlign w:val="superscript"/>
        </w:rPr>
        <w:t>2</w:t>
      </w:r>
      <w:r w:rsidRPr="000322E4">
        <w:t xml:space="preserve"> в/в кап., день 0 или 1 все циклы курса</w:t>
      </w:r>
    </w:p>
    <w:p w14:paraId="72618192" w14:textId="77777777" w:rsidR="00666D68" w:rsidRPr="000322E4" w:rsidRDefault="00666D68" w:rsidP="008E3584">
      <w:pPr>
        <w:ind w:left="1080" w:firstLine="336"/>
      </w:pPr>
      <w:r w:rsidRPr="000322E4">
        <w:t>или</w:t>
      </w:r>
    </w:p>
    <w:p w14:paraId="21B4BBEC" w14:textId="302A8ED6" w:rsidR="00666D68" w:rsidRPr="000322E4" w:rsidRDefault="00666D68" w:rsidP="008E3584">
      <w:pPr>
        <w:pStyle w:val="afe"/>
        <w:numPr>
          <w:ilvl w:val="1"/>
          <w:numId w:val="39"/>
        </w:numPr>
        <w:contextualSpacing w:val="0"/>
      </w:pPr>
      <w:r w:rsidRPr="000322E4">
        <w:t>375 мг/м</w:t>
      </w:r>
      <w:r w:rsidRPr="000322E4">
        <w:rPr>
          <w:vertAlign w:val="superscript"/>
        </w:rPr>
        <w:t>2</w:t>
      </w:r>
      <w:r w:rsidRPr="000322E4">
        <w:t xml:space="preserve"> в/в кап. 1 цикл, далее ритуксимаб 1400 мг п/к, день 0 или 1 </w:t>
      </w:r>
      <w:r w:rsidRPr="000322E4">
        <w:rPr>
          <w:lang w:val="en-US"/>
        </w:rPr>
        <w:fldChar w:fldCharType="begin" w:fldLock="1"/>
      </w:r>
      <w:r w:rsidR="00E974B2">
        <w:rPr>
          <w:lang w:val="en-US"/>
        </w:rPr>
        <w:instrText>ADDIN</w:instrText>
      </w:r>
      <w:r w:rsidR="00E974B2" w:rsidRPr="006C476A">
        <w:instrText xml:space="preserve"> </w:instrText>
      </w:r>
      <w:r w:rsidR="00E974B2">
        <w:rPr>
          <w:lang w:val="en-US"/>
        </w:rPr>
        <w:instrText>CSL</w:instrText>
      </w:r>
      <w:r w:rsidR="00E974B2" w:rsidRPr="006C476A">
        <w:instrText>_</w:instrText>
      </w:r>
      <w:r w:rsidR="00E974B2">
        <w:rPr>
          <w:lang w:val="en-US"/>
        </w:rPr>
        <w:instrText>CITATION</w:instrText>
      </w:r>
      <w:r w:rsidR="00E974B2" w:rsidRPr="006C476A">
        <w:instrText xml:space="preserve"> {"</w:instrText>
      </w:r>
      <w:r w:rsidR="00E974B2">
        <w:rPr>
          <w:lang w:val="en-US"/>
        </w:rPr>
        <w:instrText>citationItems</w:instrText>
      </w:r>
      <w:r w:rsidR="00E974B2" w:rsidRPr="006C476A">
        <w:instrText>":[{"</w:instrText>
      </w:r>
      <w:r w:rsidR="00E974B2">
        <w:rPr>
          <w:lang w:val="en-US"/>
        </w:rPr>
        <w:instrText>id</w:instrText>
      </w:r>
      <w:r w:rsidR="00E974B2" w:rsidRPr="006C476A">
        <w:instrText>":"</w:instrText>
      </w:r>
      <w:r w:rsidR="00E974B2">
        <w:rPr>
          <w:lang w:val="en-US"/>
        </w:rPr>
        <w:instrText>ITEM</w:instrText>
      </w:r>
      <w:r w:rsidR="00E974B2" w:rsidRPr="006C476A">
        <w:instrText>-1","</w:instrText>
      </w:r>
      <w:r w:rsidR="00E974B2">
        <w:rPr>
          <w:lang w:val="en-US"/>
        </w:rPr>
        <w:instrText>itemData</w:instrText>
      </w:r>
      <w:r w:rsidR="00E974B2" w:rsidRPr="006C476A">
        <w:instrText>":{"</w:instrText>
      </w:r>
      <w:r w:rsidR="00E974B2">
        <w:rPr>
          <w:lang w:val="en-US"/>
        </w:rPr>
        <w:instrText>ISSN</w:instrText>
      </w:r>
      <w:r w:rsidR="00E974B2" w:rsidRPr="006C476A">
        <w:instrText>":"2150-0878","</w:instrText>
      </w:r>
      <w:r w:rsidR="00E974B2">
        <w:rPr>
          <w:lang w:val="en-US"/>
        </w:rPr>
        <w:instrText>PMID</w:instrText>
      </w:r>
      <w:r w:rsidR="00E974B2" w:rsidRPr="006C476A">
        <w:instrText>":"31086689","</w:instrText>
      </w:r>
      <w:r w:rsidR="00E974B2">
        <w:rPr>
          <w:lang w:val="en-US"/>
        </w:rPr>
        <w:instrText>abstract</w:instrText>
      </w:r>
      <w:r w:rsidR="00E974B2" w:rsidRPr="006C476A">
        <w:instrText>":"</w:instrText>
      </w:r>
      <w:r w:rsidR="00E974B2">
        <w:rPr>
          <w:lang w:val="en-US"/>
        </w:rPr>
        <w:instrText>Rituximab</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hyaluronidase</w:instrText>
      </w:r>
      <w:r w:rsidR="00E974B2" w:rsidRPr="006C476A">
        <w:instrText xml:space="preserve"> </w:instrText>
      </w:r>
      <w:r w:rsidR="00E974B2">
        <w:rPr>
          <w:lang w:val="en-US"/>
        </w:rPr>
        <w:instrText>human</w:instrText>
      </w:r>
      <w:r w:rsidR="00E974B2" w:rsidRPr="006C476A">
        <w:instrText xml:space="preserve"> </w:instrText>
      </w:r>
      <w:r w:rsidR="00E974B2">
        <w:rPr>
          <w:lang w:val="en-US"/>
        </w:rPr>
        <w:instrText>is</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new</w:instrText>
      </w:r>
      <w:r w:rsidR="00E974B2" w:rsidRPr="006C476A">
        <w:instrText xml:space="preserve"> </w:instrText>
      </w:r>
      <w:r w:rsidR="00E974B2">
        <w:rPr>
          <w:lang w:val="en-US"/>
        </w:rPr>
        <w:instrText>subcutaneous</w:instrText>
      </w:r>
      <w:r w:rsidR="00E974B2" w:rsidRPr="006C476A">
        <w:instrText xml:space="preserve"> </w:instrText>
      </w:r>
      <w:r w:rsidR="00E974B2">
        <w:rPr>
          <w:lang w:val="en-US"/>
        </w:rPr>
        <w:instrText>formulation</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that</w:instrText>
      </w:r>
      <w:r w:rsidR="00E974B2" w:rsidRPr="006C476A">
        <w:instrText xml:space="preserve"> </w:instrText>
      </w:r>
      <w:r w:rsidR="00E974B2">
        <w:rPr>
          <w:lang w:val="en-US"/>
        </w:rPr>
        <w:instrText>was</w:instrText>
      </w:r>
      <w:r w:rsidR="00E974B2" w:rsidRPr="006C476A">
        <w:instrText xml:space="preserve"> </w:instrText>
      </w:r>
      <w:r w:rsidR="00E974B2">
        <w:rPr>
          <w:lang w:val="en-US"/>
        </w:rPr>
        <w:instrText>recently</w:instrText>
      </w:r>
      <w:r w:rsidR="00E974B2" w:rsidRPr="006C476A">
        <w:instrText xml:space="preserve"> </w:instrText>
      </w:r>
      <w:r w:rsidR="00E974B2">
        <w:rPr>
          <w:lang w:val="en-US"/>
        </w:rPr>
        <w:instrText>approved</w:instrText>
      </w:r>
      <w:r w:rsidR="00E974B2" w:rsidRPr="006C476A">
        <w:instrText xml:space="preserve"> </w:instrText>
      </w:r>
      <w:r w:rsidR="00E974B2">
        <w:rPr>
          <w:lang w:val="en-US"/>
        </w:rPr>
        <w:instrText>by</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US</w:instrText>
      </w:r>
      <w:r w:rsidR="00E974B2" w:rsidRPr="006C476A">
        <w:instrText xml:space="preserve"> </w:instrText>
      </w:r>
      <w:r w:rsidR="00E974B2">
        <w:rPr>
          <w:lang w:val="en-US"/>
        </w:rPr>
        <w:instrText>Food</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Drug</w:instrText>
      </w:r>
      <w:r w:rsidR="00E974B2" w:rsidRPr="006C476A">
        <w:instrText xml:space="preserve"> </w:instrText>
      </w:r>
      <w:r w:rsidR="00E974B2">
        <w:rPr>
          <w:lang w:val="en-US"/>
        </w:rPr>
        <w:instrText>Administration</w:instrText>
      </w:r>
      <w:r w:rsidR="00E974B2" w:rsidRPr="006C476A">
        <w:instrText xml:space="preserve"> </w:instrText>
      </w:r>
      <w:r w:rsidR="00E974B2">
        <w:rPr>
          <w:lang w:val="en-US"/>
        </w:rPr>
        <w:instrText>for</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treatment</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adults</w:instrText>
      </w:r>
      <w:r w:rsidR="00E974B2" w:rsidRPr="006C476A">
        <w:instrText xml:space="preserve"> </w:instrText>
      </w:r>
      <w:r w:rsidR="00E974B2">
        <w:rPr>
          <w:lang w:val="en-US"/>
        </w:rPr>
        <w:instrText>with</w:instrText>
      </w:r>
      <w:r w:rsidR="00E974B2" w:rsidRPr="006C476A">
        <w:instrText xml:space="preserve"> </w:instrText>
      </w:r>
      <w:r w:rsidR="00E974B2">
        <w:rPr>
          <w:lang w:val="en-US"/>
        </w:rPr>
        <w:instrText>follicular</w:instrText>
      </w:r>
      <w:r w:rsidR="00E974B2" w:rsidRPr="006C476A">
        <w:instrText xml:space="preserve"> </w:instrText>
      </w:r>
      <w:r w:rsidR="00E974B2">
        <w:rPr>
          <w:lang w:val="en-US"/>
        </w:rPr>
        <w:instrText>lymphoma</w:instrText>
      </w:r>
      <w:r w:rsidR="00E974B2" w:rsidRPr="006C476A">
        <w:instrText xml:space="preserve">, </w:instrText>
      </w:r>
      <w:r w:rsidR="00E974B2">
        <w:rPr>
          <w:lang w:val="en-US"/>
        </w:rPr>
        <w:instrText>diffuse</w:instrText>
      </w:r>
      <w:r w:rsidR="00E974B2" w:rsidRPr="006C476A">
        <w:instrText xml:space="preserve"> </w:instrText>
      </w:r>
      <w:r w:rsidR="00E974B2">
        <w:rPr>
          <w:lang w:val="en-US"/>
        </w:rPr>
        <w:instrText>large</w:instrText>
      </w:r>
      <w:r w:rsidR="00E974B2" w:rsidRPr="006C476A">
        <w:instrText xml:space="preserve"> </w:instrText>
      </w:r>
      <w:r w:rsidR="00E974B2">
        <w:rPr>
          <w:lang w:val="en-US"/>
        </w:rPr>
        <w:instrText>B</w:instrText>
      </w:r>
      <w:r w:rsidR="00E974B2" w:rsidRPr="006C476A">
        <w:instrText>-</w:instrText>
      </w:r>
      <w:r w:rsidR="00E974B2">
        <w:rPr>
          <w:lang w:val="en-US"/>
        </w:rPr>
        <w:instrText>cell</w:instrText>
      </w:r>
      <w:r w:rsidR="00E974B2" w:rsidRPr="006C476A">
        <w:instrText xml:space="preserve"> </w:instrText>
      </w:r>
      <w:r w:rsidR="00E974B2">
        <w:rPr>
          <w:lang w:val="en-US"/>
        </w:rPr>
        <w:instrText>lymphoma</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chronic</w:instrText>
      </w:r>
      <w:r w:rsidR="00E974B2" w:rsidRPr="006C476A">
        <w:instrText xml:space="preserve"> </w:instrText>
      </w:r>
      <w:r w:rsidR="00E974B2">
        <w:rPr>
          <w:lang w:val="en-US"/>
        </w:rPr>
        <w:instrText>lymphocytic</w:instrText>
      </w:r>
      <w:r w:rsidR="00E974B2" w:rsidRPr="006C476A">
        <w:instrText xml:space="preserve"> </w:instrText>
      </w:r>
      <w:r w:rsidR="00E974B2">
        <w:rPr>
          <w:lang w:val="en-US"/>
        </w:rPr>
        <w:instrText>leukemia</w:instrText>
      </w:r>
      <w:r w:rsidR="00E974B2" w:rsidRPr="006C476A">
        <w:instrText xml:space="preserve">. </w:instrText>
      </w:r>
      <w:r w:rsidR="00E974B2">
        <w:rPr>
          <w:lang w:val="en-US"/>
        </w:rPr>
        <w:instrText>With</w:instrText>
      </w:r>
      <w:r w:rsidR="00E974B2" w:rsidRPr="006C476A">
        <w:instrText xml:space="preserve"> </w:instrText>
      </w:r>
      <w:r w:rsidR="00E974B2">
        <w:rPr>
          <w:lang w:val="en-US"/>
        </w:rPr>
        <w:instrText>data</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support</w:instrText>
      </w:r>
      <w:r w:rsidR="00E974B2" w:rsidRPr="006C476A">
        <w:instrText xml:space="preserve"> </w:instrText>
      </w:r>
      <w:r w:rsidR="00E974B2">
        <w:rPr>
          <w:lang w:val="en-US"/>
        </w:rPr>
        <w:instrText>noninferior</w:instrText>
      </w:r>
      <w:r w:rsidR="00E974B2" w:rsidRPr="006C476A">
        <w:instrText xml:space="preserve"> </w:instrText>
      </w:r>
      <w:r w:rsidR="00E974B2">
        <w:rPr>
          <w:lang w:val="en-US"/>
        </w:rPr>
        <w:instrText>pharmacokinetics</w:instrText>
      </w:r>
      <w:r w:rsidR="00E974B2" w:rsidRPr="006C476A">
        <w:instrText xml:space="preserve">, </w:instrText>
      </w:r>
      <w:r w:rsidR="00E974B2">
        <w:rPr>
          <w:lang w:val="en-US"/>
        </w:rPr>
        <w:instrText>similar</w:instrText>
      </w:r>
      <w:r w:rsidR="00E974B2" w:rsidRPr="006C476A">
        <w:instrText xml:space="preserve"> </w:instrText>
      </w:r>
      <w:r w:rsidR="00E974B2">
        <w:rPr>
          <w:lang w:val="en-US"/>
        </w:rPr>
        <w:instrText>outcomes</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comparable</w:instrText>
      </w:r>
      <w:r w:rsidR="00E974B2" w:rsidRPr="006C476A">
        <w:instrText xml:space="preserve"> </w:instrText>
      </w:r>
      <w:r w:rsidR="00E974B2">
        <w:rPr>
          <w:lang w:val="en-US"/>
        </w:rPr>
        <w:instrText>adverse</w:instrText>
      </w:r>
      <w:r w:rsidR="00E974B2" w:rsidRPr="006C476A">
        <w:instrText xml:space="preserve"> </w:instrText>
      </w:r>
      <w:r w:rsidR="00E974B2">
        <w:rPr>
          <w:lang w:val="en-US"/>
        </w:rPr>
        <w:instrText>events</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hyaluronidase</w:instrText>
      </w:r>
      <w:r w:rsidR="00E974B2" w:rsidRPr="006C476A">
        <w:instrText xml:space="preserve"> </w:instrText>
      </w:r>
      <w:r w:rsidR="00E974B2">
        <w:rPr>
          <w:lang w:val="en-US"/>
        </w:rPr>
        <w:instrText>human</w:instrText>
      </w:r>
      <w:r w:rsidR="00E974B2" w:rsidRPr="006C476A">
        <w:instrText xml:space="preserve"> </w:instrText>
      </w:r>
      <w:r w:rsidR="00E974B2">
        <w:rPr>
          <w:lang w:val="en-US"/>
        </w:rPr>
        <w:instrText>may</w:instrText>
      </w:r>
      <w:r w:rsidR="00E974B2" w:rsidRPr="006C476A">
        <w:instrText xml:space="preserve"> </w:instrText>
      </w:r>
      <w:r w:rsidR="00E974B2">
        <w:rPr>
          <w:lang w:val="en-US"/>
        </w:rPr>
        <w:instrText>offer</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suitable</w:instrText>
      </w:r>
      <w:r w:rsidR="00E974B2" w:rsidRPr="006C476A">
        <w:instrText xml:space="preserve"> </w:instrText>
      </w:r>
      <w:r w:rsidR="00E974B2">
        <w:rPr>
          <w:lang w:val="en-US"/>
        </w:rPr>
        <w:instrText>alternative</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intravenous</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that</w:instrText>
      </w:r>
      <w:r w:rsidR="00E974B2" w:rsidRPr="006C476A">
        <w:instrText xml:space="preserve"> </w:instrText>
      </w:r>
      <w:r w:rsidR="00E974B2">
        <w:rPr>
          <w:lang w:val="en-US"/>
        </w:rPr>
        <w:instrText>could</w:instrText>
      </w:r>
      <w:r w:rsidR="00E974B2" w:rsidRPr="006C476A">
        <w:instrText xml:space="preserve"> </w:instrText>
      </w:r>
      <w:r w:rsidR="00E974B2">
        <w:rPr>
          <w:lang w:val="en-US"/>
        </w:rPr>
        <w:instrText>improve</w:instrText>
      </w:r>
      <w:r w:rsidR="00E974B2" w:rsidRPr="006C476A">
        <w:instrText xml:space="preserve"> </w:instrText>
      </w:r>
      <w:r w:rsidR="00E974B2">
        <w:rPr>
          <w:lang w:val="en-US"/>
        </w:rPr>
        <w:instrText>convenience</w:instrText>
      </w:r>
      <w:r w:rsidR="00E974B2" w:rsidRPr="006C476A">
        <w:instrText xml:space="preserve"> </w:instrText>
      </w:r>
      <w:r w:rsidR="00E974B2">
        <w:rPr>
          <w:lang w:val="en-US"/>
        </w:rPr>
        <w:instrText>for</w:instrText>
      </w:r>
      <w:r w:rsidR="00E974B2" w:rsidRPr="006C476A">
        <w:instrText xml:space="preserve"> </w:instrText>
      </w:r>
      <w:r w:rsidR="00E974B2">
        <w:rPr>
          <w:lang w:val="en-US"/>
        </w:rPr>
        <w:instrText>patients</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better</w:instrText>
      </w:r>
      <w:r w:rsidR="00E974B2" w:rsidRPr="006C476A">
        <w:instrText xml:space="preserve"> </w:instrText>
      </w:r>
      <w:r w:rsidR="00E974B2">
        <w:rPr>
          <w:lang w:val="en-US"/>
        </w:rPr>
        <w:instrText>utilize</w:instrText>
      </w:r>
      <w:r w:rsidR="00E974B2" w:rsidRPr="006C476A">
        <w:instrText xml:space="preserve"> </w:instrText>
      </w:r>
      <w:r w:rsidR="00E974B2">
        <w:rPr>
          <w:lang w:val="en-US"/>
        </w:rPr>
        <w:instrText>health</w:instrText>
      </w:r>
      <w:r w:rsidR="00E974B2" w:rsidRPr="006C476A">
        <w:instrText>-</w:instrText>
      </w:r>
      <w:r w:rsidR="00E974B2">
        <w:rPr>
          <w:lang w:val="en-US"/>
        </w:rPr>
        <w:instrText>care</w:instrText>
      </w:r>
      <w:r w:rsidR="00E974B2" w:rsidRPr="006C476A">
        <w:instrText xml:space="preserve"> </w:instrText>
      </w:r>
      <w:r w:rsidR="00E974B2">
        <w:rPr>
          <w:lang w:val="en-US"/>
        </w:rPr>
        <w:instrText>resources</w:instrText>
      </w:r>
      <w:r w:rsidR="00E974B2" w:rsidRPr="006C476A">
        <w:instrText>.","</w:instrText>
      </w:r>
      <w:r w:rsidR="00E974B2">
        <w:rPr>
          <w:lang w:val="en-US"/>
        </w:rPr>
        <w:instrText>author</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Yelvington</w:instrText>
      </w:r>
      <w:r w:rsidR="00E974B2" w:rsidRPr="006C476A">
        <w:instrText>","</w:instrText>
      </w:r>
      <w:r w:rsidR="00E974B2">
        <w:rPr>
          <w:lang w:val="en-US"/>
        </w:rPr>
        <w:instrText>given</w:instrText>
      </w:r>
      <w:r w:rsidR="00E974B2" w:rsidRPr="006C476A">
        <w:instrText>":"</w:instrText>
      </w:r>
      <w:r w:rsidR="00E974B2">
        <w:rPr>
          <w:lang w:val="en-US"/>
        </w:rPr>
        <w:instrText>Bradley</w:instrText>
      </w:r>
      <w:r w:rsidR="00E974B2" w:rsidRPr="006C476A">
        <w:instrText xml:space="preserve"> </w:instrText>
      </w:r>
      <w:r w:rsidR="00E974B2">
        <w:rPr>
          <w:lang w:val="en-US"/>
        </w:rPr>
        <w:instrText>J</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container</w:instrText>
      </w:r>
      <w:r w:rsidR="00E974B2" w:rsidRPr="006C476A">
        <w:instrText>-</w:instrText>
      </w:r>
      <w:r w:rsidR="00E974B2">
        <w:rPr>
          <w:lang w:val="en-US"/>
        </w:rPr>
        <w:instrText>title</w:instrText>
      </w:r>
      <w:r w:rsidR="00E974B2" w:rsidRPr="006C476A">
        <w:instrText>":"</w:instrText>
      </w:r>
      <w:r w:rsidR="00E974B2">
        <w:rPr>
          <w:lang w:val="en-US"/>
        </w:rPr>
        <w:instrText>Journal</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advanced</w:instrText>
      </w:r>
      <w:r w:rsidR="00E974B2" w:rsidRPr="006C476A">
        <w:instrText xml:space="preserve"> </w:instrText>
      </w:r>
      <w:r w:rsidR="00E974B2">
        <w:rPr>
          <w:lang w:val="en-US"/>
        </w:rPr>
        <w:instrText>practitioner</w:instrText>
      </w:r>
      <w:r w:rsidR="00E974B2" w:rsidRPr="006C476A">
        <w:instrText xml:space="preserve"> </w:instrText>
      </w:r>
      <w:r w:rsidR="00E974B2">
        <w:rPr>
          <w:lang w:val="en-US"/>
        </w:rPr>
        <w:instrText>in</w:instrText>
      </w:r>
      <w:r w:rsidR="00E974B2" w:rsidRPr="006C476A">
        <w:instrText xml:space="preserve"> </w:instrText>
      </w:r>
      <w:r w:rsidR="00E974B2">
        <w:rPr>
          <w:lang w:val="en-US"/>
        </w:rPr>
        <w:instrText>oncology</w:instrText>
      </w:r>
      <w:r w:rsidR="00E974B2" w:rsidRPr="006C476A">
        <w:instrText>","</w:instrText>
      </w:r>
      <w:r w:rsidR="00E974B2">
        <w:rPr>
          <w:lang w:val="en-US"/>
        </w:rPr>
        <w:instrText>id</w:instrText>
      </w:r>
      <w:r w:rsidR="00E974B2" w:rsidRPr="006C476A">
        <w:instrText>":"</w:instrText>
      </w:r>
      <w:r w:rsidR="00E974B2">
        <w:rPr>
          <w:lang w:val="en-US"/>
        </w:rPr>
        <w:instrText>ITEM</w:instrText>
      </w:r>
      <w:r w:rsidR="00E974B2" w:rsidRPr="006C476A">
        <w:instrText>-1","</w:instrText>
      </w:r>
      <w:r w:rsidR="00E974B2">
        <w:rPr>
          <w:lang w:val="en-US"/>
        </w:rPr>
        <w:instrText>issue</w:instrText>
      </w:r>
      <w:r w:rsidR="00E974B2" w:rsidRPr="006C476A">
        <w:instrText>":"5","</w:instrText>
      </w:r>
      <w:r w:rsidR="00E974B2">
        <w:rPr>
          <w:lang w:val="en-US"/>
        </w:rPr>
        <w:instrText>issued</w:instrText>
      </w:r>
      <w:r w:rsidR="00E974B2" w:rsidRPr="006C476A">
        <w:instrText>":{"</w:instrText>
      </w:r>
      <w:r w:rsidR="00E974B2">
        <w:rPr>
          <w:lang w:val="en-US"/>
        </w:rPr>
        <w:instrText>date</w:instrText>
      </w:r>
      <w:r w:rsidR="00E974B2" w:rsidRPr="006C476A">
        <w:instrText>-</w:instrText>
      </w:r>
      <w:r w:rsidR="00E974B2">
        <w:rPr>
          <w:lang w:val="en-US"/>
        </w:rPr>
        <w:instrText>parts</w:instrText>
      </w:r>
      <w:r w:rsidR="00E974B2" w:rsidRPr="006C476A">
        <w:instrText>":[["2018"]]},"</w:instrText>
      </w:r>
      <w:r w:rsidR="00E974B2">
        <w:rPr>
          <w:lang w:val="en-US"/>
        </w:rPr>
        <w:instrText>page</w:instrText>
      </w:r>
      <w:r w:rsidR="00E974B2" w:rsidRPr="006C476A">
        <w:instrText>":"530-534","</w:instrText>
      </w:r>
      <w:r w:rsidR="00E974B2">
        <w:rPr>
          <w:lang w:val="en-US"/>
        </w:rPr>
        <w:instrText>publisher</w:instrText>
      </w:r>
      <w:r w:rsidR="00E974B2" w:rsidRPr="006C476A">
        <w:instrText>":"</w:instrText>
      </w:r>
      <w:r w:rsidR="00E974B2">
        <w:rPr>
          <w:lang w:val="en-US"/>
        </w:rPr>
        <w:instrText>Harborside</w:instrText>
      </w:r>
      <w:r w:rsidR="00E974B2" w:rsidRPr="006C476A">
        <w:instrText xml:space="preserve"> </w:instrText>
      </w:r>
      <w:r w:rsidR="00E974B2">
        <w:rPr>
          <w:lang w:val="en-US"/>
        </w:rPr>
        <w:instrText>Press</w:instrText>
      </w:r>
      <w:r w:rsidR="00E974B2" w:rsidRPr="006C476A">
        <w:instrText>","</w:instrText>
      </w:r>
      <w:r w:rsidR="00E974B2">
        <w:rPr>
          <w:lang w:val="en-US"/>
        </w:rPr>
        <w:instrText>title</w:instrText>
      </w:r>
      <w:r w:rsidR="00E974B2" w:rsidRPr="006C476A">
        <w:instrText>":"</w:instrText>
      </w:r>
      <w:r w:rsidR="00E974B2">
        <w:rPr>
          <w:lang w:val="en-US"/>
        </w:rPr>
        <w:instrText>Subcutaneous</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in</w:instrText>
      </w:r>
      <w:r w:rsidR="00E974B2" w:rsidRPr="006C476A">
        <w:instrText xml:space="preserve"> </w:instrText>
      </w:r>
      <w:r w:rsidR="00E974B2">
        <w:rPr>
          <w:lang w:val="en-US"/>
        </w:rPr>
        <w:instrText>Follicular</w:instrText>
      </w:r>
      <w:r w:rsidR="00E974B2" w:rsidRPr="006C476A">
        <w:instrText xml:space="preserve"> </w:instrText>
      </w:r>
      <w:r w:rsidR="00E974B2">
        <w:rPr>
          <w:lang w:val="en-US"/>
        </w:rPr>
        <w:instrText>Lymphoma</w:instrText>
      </w:r>
      <w:r w:rsidR="00E974B2" w:rsidRPr="006C476A">
        <w:instrText xml:space="preserve">, </w:instrText>
      </w:r>
      <w:r w:rsidR="00E974B2">
        <w:rPr>
          <w:lang w:val="en-US"/>
        </w:rPr>
        <w:instrText>Chronic</w:instrText>
      </w:r>
      <w:r w:rsidR="00E974B2" w:rsidRPr="006C476A">
        <w:instrText xml:space="preserve"> </w:instrText>
      </w:r>
      <w:r w:rsidR="00E974B2">
        <w:rPr>
          <w:lang w:val="en-US"/>
        </w:rPr>
        <w:instrText>Lymphocytic</w:instrText>
      </w:r>
      <w:r w:rsidR="00E974B2" w:rsidRPr="006C476A">
        <w:instrText xml:space="preserve"> </w:instrText>
      </w:r>
      <w:r w:rsidR="00E974B2">
        <w:rPr>
          <w:lang w:val="en-US"/>
        </w:rPr>
        <w:instrText>Leukemia</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Diffuse</w:instrText>
      </w:r>
      <w:r w:rsidR="00E974B2" w:rsidRPr="006C476A">
        <w:instrText xml:space="preserve"> </w:instrText>
      </w:r>
      <w:r w:rsidR="00E974B2">
        <w:rPr>
          <w:lang w:val="en-US"/>
        </w:rPr>
        <w:instrText>Large</w:instrText>
      </w:r>
      <w:r w:rsidR="00E974B2" w:rsidRPr="006C476A">
        <w:instrText xml:space="preserve"> </w:instrText>
      </w:r>
      <w:r w:rsidR="00E974B2">
        <w:rPr>
          <w:lang w:val="en-US"/>
        </w:rPr>
        <w:instrText>B</w:instrText>
      </w:r>
      <w:r w:rsidR="00E974B2" w:rsidRPr="006C476A">
        <w:instrText>-</w:instrText>
      </w:r>
      <w:r w:rsidR="00E974B2">
        <w:rPr>
          <w:lang w:val="en-US"/>
        </w:rPr>
        <w:instrText>Cell</w:instrText>
      </w:r>
      <w:r w:rsidR="00E974B2" w:rsidRPr="006C476A">
        <w:instrText xml:space="preserve"> </w:instrText>
      </w:r>
      <w:r w:rsidR="00E974B2">
        <w:rPr>
          <w:lang w:val="en-US"/>
        </w:rPr>
        <w:instrText>Lymphoma</w:instrText>
      </w:r>
      <w:r w:rsidR="00E974B2" w:rsidRPr="006C476A">
        <w:instrText>.","</w:instrText>
      </w:r>
      <w:r w:rsidR="00E974B2">
        <w:rPr>
          <w:lang w:val="en-US"/>
        </w:rPr>
        <w:instrText>type</w:instrText>
      </w:r>
      <w:r w:rsidR="00E974B2" w:rsidRPr="006C476A">
        <w:instrText>":"</w:instrText>
      </w:r>
      <w:r w:rsidR="00E974B2">
        <w:rPr>
          <w:lang w:val="en-US"/>
        </w:rPr>
        <w:instrText>article</w:instrText>
      </w:r>
      <w:r w:rsidR="00E974B2" w:rsidRPr="006C476A">
        <w:instrText>-</w:instrText>
      </w:r>
      <w:r w:rsidR="00E974B2">
        <w:rPr>
          <w:lang w:val="en-US"/>
        </w:rPr>
        <w:instrText>journal</w:instrText>
      </w:r>
      <w:r w:rsidR="00E974B2" w:rsidRPr="006C476A">
        <w:instrText>","</w:instrText>
      </w:r>
      <w:r w:rsidR="00E974B2">
        <w:rPr>
          <w:lang w:val="en-US"/>
        </w:rPr>
        <w:instrText>volume</w:instrText>
      </w:r>
      <w:r w:rsidR="00E974B2" w:rsidRPr="006C476A">
        <w:instrText>":"9"},"</w:instrText>
      </w:r>
      <w:r w:rsidR="00E974B2">
        <w:rPr>
          <w:lang w:val="en-US"/>
        </w:rPr>
        <w:instrText>uris</w:instrText>
      </w:r>
      <w:r w:rsidR="00E974B2" w:rsidRPr="006C476A">
        <w:instrText>":["</w:instrText>
      </w:r>
      <w:r w:rsidR="00E974B2">
        <w:rPr>
          <w:lang w:val="en-US"/>
        </w:rPr>
        <w:instrText>http</w:instrText>
      </w:r>
      <w:r w:rsidR="00E974B2" w:rsidRPr="006C476A">
        <w:instrText>://</w:instrText>
      </w:r>
      <w:r w:rsidR="00E974B2">
        <w:rPr>
          <w:lang w:val="en-US"/>
        </w:rPr>
        <w:instrText>www</w:instrText>
      </w:r>
      <w:r w:rsidR="00E974B2" w:rsidRPr="006C476A">
        <w:instrText>.</w:instrText>
      </w:r>
      <w:r w:rsidR="00E974B2">
        <w:rPr>
          <w:lang w:val="en-US"/>
        </w:rPr>
        <w:instrText>mendeley</w:instrText>
      </w:r>
      <w:r w:rsidR="00E974B2" w:rsidRPr="006C476A">
        <w:instrText>.</w:instrText>
      </w:r>
      <w:r w:rsidR="00E974B2">
        <w:rPr>
          <w:lang w:val="en-US"/>
        </w:rPr>
        <w:instrText>com</w:instrText>
      </w:r>
      <w:r w:rsidR="00E974B2" w:rsidRPr="006C476A">
        <w:instrText>/</w:instrText>
      </w:r>
      <w:r w:rsidR="00E974B2">
        <w:rPr>
          <w:lang w:val="en-US"/>
        </w:rPr>
        <w:instrText>documents</w:instrText>
      </w:r>
      <w:r w:rsidR="00E974B2" w:rsidRPr="006C476A">
        <w:instrText>/?</w:instrText>
      </w:r>
      <w:r w:rsidR="00E974B2">
        <w:rPr>
          <w:lang w:val="en-US"/>
        </w:rPr>
        <w:instrText>uuid</w:instrText>
      </w:r>
      <w:r w:rsidR="00E974B2" w:rsidRPr="006C476A">
        <w:instrText>=</w:instrText>
      </w:r>
      <w:r w:rsidR="00E974B2">
        <w:rPr>
          <w:lang w:val="en-US"/>
        </w:rPr>
        <w:instrText>fbb</w:instrText>
      </w:r>
      <w:r w:rsidR="00E974B2" w:rsidRPr="006C476A">
        <w:instrText>0</w:instrText>
      </w:r>
      <w:r w:rsidR="00E974B2">
        <w:rPr>
          <w:lang w:val="en-US"/>
        </w:rPr>
        <w:instrText>b</w:instrText>
      </w:r>
      <w:r w:rsidR="00E974B2" w:rsidRPr="006C476A">
        <w:instrText>8</w:instrText>
      </w:r>
      <w:r w:rsidR="00E974B2">
        <w:rPr>
          <w:lang w:val="en-US"/>
        </w:rPr>
        <w:instrText>f</w:instrText>
      </w:r>
      <w:r w:rsidR="00E974B2" w:rsidRPr="006C476A">
        <w:instrText>4-6</w:instrText>
      </w:r>
      <w:r w:rsidR="00E974B2">
        <w:rPr>
          <w:lang w:val="en-US"/>
        </w:rPr>
        <w:instrText>b</w:instrText>
      </w:r>
      <w:r w:rsidR="00E974B2" w:rsidRPr="006C476A">
        <w:instrText>58-3</w:instrText>
      </w:r>
      <w:r w:rsidR="00E974B2">
        <w:rPr>
          <w:lang w:val="en-US"/>
        </w:rPr>
        <w:instrText>a</w:instrText>
      </w:r>
      <w:r w:rsidR="00E974B2" w:rsidRPr="006C476A">
        <w:instrText>10-</w:instrText>
      </w:r>
      <w:r w:rsidR="00E974B2">
        <w:rPr>
          <w:lang w:val="en-US"/>
        </w:rPr>
        <w:instrText>b</w:instrText>
      </w:r>
      <w:r w:rsidR="00E974B2" w:rsidRPr="006C476A">
        <w:instrText>7</w:instrText>
      </w:r>
      <w:r w:rsidR="00E974B2">
        <w:rPr>
          <w:lang w:val="en-US"/>
        </w:rPr>
        <w:instrText>d</w:instrText>
      </w:r>
      <w:r w:rsidR="00E974B2" w:rsidRPr="006C476A">
        <w:instrText>6-</w:instrText>
      </w:r>
      <w:r w:rsidR="00E974B2">
        <w:rPr>
          <w:lang w:val="en-US"/>
        </w:rPr>
        <w:instrText>af</w:instrText>
      </w:r>
      <w:r w:rsidR="00E974B2" w:rsidRPr="006C476A">
        <w:instrText>3854030</w:instrText>
      </w:r>
      <w:r w:rsidR="00E974B2">
        <w:rPr>
          <w:lang w:val="en-US"/>
        </w:rPr>
        <w:instrText>be</w:instrText>
      </w:r>
      <w:r w:rsidR="00E974B2" w:rsidRPr="006C476A">
        <w:instrText>8"]},{"</w:instrText>
      </w:r>
      <w:r w:rsidR="00E974B2">
        <w:rPr>
          <w:lang w:val="en-US"/>
        </w:rPr>
        <w:instrText>id</w:instrText>
      </w:r>
      <w:r w:rsidR="00E974B2" w:rsidRPr="006C476A">
        <w:instrText>":"</w:instrText>
      </w:r>
      <w:r w:rsidR="00E974B2">
        <w:rPr>
          <w:lang w:val="en-US"/>
        </w:rPr>
        <w:instrText>ITEM</w:instrText>
      </w:r>
      <w:r w:rsidR="00E974B2" w:rsidRPr="006C476A">
        <w:instrText>-2","</w:instrText>
      </w:r>
      <w:r w:rsidR="00E974B2">
        <w:rPr>
          <w:lang w:val="en-US"/>
        </w:rPr>
        <w:instrText>itemData</w:instrText>
      </w:r>
      <w:r w:rsidR="00E974B2" w:rsidRPr="006C476A">
        <w:instrText>":{"</w:instrText>
      </w:r>
      <w:r w:rsidR="00E974B2">
        <w:rPr>
          <w:lang w:val="en-US"/>
        </w:rPr>
        <w:instrText>DOI</w:instrText>
      </w:r>
      <w:r w:rsidR="00E974B2" w:rsidRPr="006C476A">
        <w:instrText>":"10.1007/</w:instrText>
      </w:r>
      <w:r w:rsidR="00E974B2">
        <w:rPr>
          <w:lang w:val="en-US"/>
        </w:rPr>
        <w:instrText>s</w:instrText>
      </w:r>
      <w:r w:rsidR="00E974B2" w:rsidRPr="006C476A">
        <w:instrText>12325-017-0610-</w:instrText>
      </w:r>
      <w:r w:rsidR="00E974B2">
        <w:rPr>
          <w:lang w:val="en-US"/>
        </w:rPr>
        <w:instrText>z</w:instrText>
      </w:r>
      <w:r w:rsidR="00E974B2" w:rsidRPr="006C476A">
        <w:instrText>","</w:instrText>
      </w:r>
      <w:r w:rsidR="00E974B2">
        <w:rPr>
          <w:lang w:val="en-US"/>
        </w:rPr>
        <w:instrText>ISSN</w:instrText>
      </w:r>
      <w:r w:rsidR="00E974B2" w:rsidRPr="006C476A">
        <w:instrText>":"18658652","</w:instrText>
      </w:r>
      <w:r w:rsidR="00E974B2">
        <w:rPr>
          <w:lang w:val="en-US"/>
        </w:rPr>
        <w:instrText>abstract</w:instrText>
      </w:r>
      <w:r w:rsidR="00E974B2" w:rsidRPr="006C476A">
        <w:instrText>":"</w:instrText>
      </w:r>
      <w:r w:rsidR="00E974B2">
        <w:rPr>
          <w:lang w:val="en-US"/>
        </w:rPr>
        <w:instrText>Abstract</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MabThera</w:instrText>
      </w:r>
      <w:r w:rsidR="00E974B2" w:rsidRPr="006C476A">
        <w:instrText>®/</w:instrText>
      </w:r>
      <w:r w:rsidR="00E974B2">
        <w:rPr>
          <w:lang w:val="en-US"/>
        </w:rPr>
        <w:instrText>Rituxan</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chimeric</w:instrText>
      </w:r>
      <w:r w:rsidR="00E974B2" w:rsidRPr="006C476A">
        <w:instrText xml:space="preserve"> </w:instrText>
      </w:r>
      <w:r w:rsidR="00E974B2">
        <w:rPr>
          <w:lang w:val="en-US"/>
        </w:rPr>
        <w:instrText>murine</w:instrText>
      </w:r>
      <w:r w:rsidR="00E974B2" w:rsidRPr="006447F6">
        <w:instrText>/</w:instrText>
      </w:r>
      <w:r w:rsidR="00E974B2">
        <w:rPr>
          <w:lang w:val="en-US"/>
        </w:rPr>
        <w:instrText>human</w:instrText>
      </w:r>
      <w:r w:rsidR="00E974B2" w:rsidRPr="006447F6">
        <w:instrText xml:space="preserve"> </w:instrText>
      </w:r>
      <w:r w:rsidR="00E974B2">
        <w:rPr>
          <w:lang w:val="en-US"/>
        </w:rPr>
        <w:instrText>monoclonal</w:instrText>
      </w:r>
      <w:r w:rsidR="00E974B2" w:rsidRPr="006447F6">
        <w:instrText xml:space="preserve"> </w:instrText>
      </w:r>
      <w:r w:rsidR="00E974B2">
        <w:rPr>
          <w:lang w:val="en-US"/>
        </w:rPr>
        <w:instrText>antibody</w:instrText>
      </w:r>
      <w:r w:rsidR="00E974B2" w:rsidRPr="006447F6">
        <w:instrText xml:space="preserve"> </w:instrText>
      </w:r>
      <w:r w:rsidR="00E974B2">
        <w:rPr>
          <w:lang w:val="en-US"/>
        </w:rPr>
        <w:instrText>that</w:instrText>
      </w:r>
      <w:r w:rsidR="00E974B2" w:rsidRPr="006447F6">
        <w:instrText xml:space="preserve"> </w:instrText>
      </w:r>
      <w:r w:rsidR="00E974B2">
        <w:rPr>
          <w:lang w:val="en-US"/>
        </w:rPr>
        <w:instrText>binds</w:instrText>
      </w:r>
      <w:r w:rsidR="00E974B2" w:rsidRPr="006447F6">
        <w:instrText xml:space="preserve"> </w:instrText>
      </w:r>
      <w:r w:rsidR="00E974B2">
        <w:rPr>
          <w:lang w:val="en-US"/>
        </w:rPr>
        <w:instrText>specifically</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transmembrane</w:instrText>
      </w:r>
      <w:r w:rsidR="00E974B2" w:rsidRPr="006447F6">
        <w:instrText xml:space="preserve"> </w:instrText>
      </w:r>
      <w:r w:rsidR="00E974B2">
        <w:rPr>
          <w:lang w:val="en-US"/>
        </w:rPr>
        <w:instrText>antigen</w:instrText>
      </w:r>
      <w:r w:rsidR="00E974B2" w:rsidRPr="006447F6">
        <w:instrText xml:space="preserve"> </w:instrText>
      </w:r>
      <w:r w:rsidR="00E974B2">
        <w:rPr>
          <w:lang w:val="en-US"/>
        </w:rPr>
        <w:instrText>CD</w:instrText>
      </w:r>
      <w:r w:rsidR="00E974B2" w:rsidRPr="006447F6">
        <w:instrText xml:space="preserve">20, </w:instrText>
      </w:r>
      <w:r w:rsidR="00E974B2">
        <w:rPr>
          <w:lang w:val="en-US"/>
        </w:rPr>
        <w:instrText>was</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first</w:instrText>
      </w:r>
      <w:r w:rsidR="00E974B2" w:rsidRPr="006447F6">
        <w:instrText xml:space="preserve"> </w:instrText>
      </w:r>
      <w:r w:rsidR="00E974B2">
        <w:rPr>
          <w:lang w:val="en-US"/>
        </w:rPr>
        <w:instrText>therapeutic</w:instrText>
      </w:r>
      <w:r w:rsidR="00E974B2" w:rsidRPr="006447F6">
        <w:instrText xml:space="preserve"> </w:instrText>
      </w:r>
      <w:r w:rsidR="00E974B2">
        <w:rPr>
          <w:lang w:val="en-US"/>
        </w:rPr>
        <w:instrText>antibody</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enter</w:instrText>
      </w:r>
      <w:r w:rsidR="00E974B2" w:rsidRPr="006447F6">
        <w:instrText xml:space="preserve"> </w:instrText>
      </w:r>
      <w:r w:rsidR="00E974B2">
        <w:rPr>
          <w:lang w:val="en-US"/>
        </w:rPr>
        <w:instrText>clinical</w:instrText>
      </w:r>
      <w:r w:rsidR="00E974B2" w:rsidRPr="006447F6">
        <w:instrText xml:space="preserve"> </w:instrText>
      </w:r>
      <w:r w:rsidR="00E974B2">
        <w:rPr>
          <w:lang w:val="en-US"/>
        </w:rPr>
        <w:instrText>practice</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treatment</w:instrText>
      </w:r>
      <w:r w:rsidR="00E974B2" w:rsidRPr="006447F6">
        <w:instrText xml:space="preserve"> </w:instrText>
      </w:r>
      <w:r w:rsidR="00E974B2">
        <w:rPr>
          <w:lang w:val="en-US"/>
        </w:rPr>
        <w:instrText>of</w:instrText>
      </w:r>
      <w:r w:rsidR="00E974B2" w:rsidRPr="006447F6">
        <w:instrText xml:space="preserve"> </w:instrText>
      </w:r>
      <w:r w:rsidR="00E974B2">
        <w:rPr>
          <w:lang w:val="en-US"/>
        </w:rPr>
        <w:instrText>cancer</w:instrText>
      </w:r>
      <w:r w:rsidR="00E974B2" w:rsidRPr="006447F6">
        <w:instrText xml:space="preserve">. </w:instrText>
      </w:r>
      <w:r w:rsidR="00E974B2">
        <w:rPr>
          <w:lang w:val="en-US"/>
        </w:rPr>
        <w:instrText>As</w:instrText>
      </w:r>
      <w:r w:rsidR="00E974B2" w:rsidRPr="006447F6">
        <w:instrText xml:space="preserve"> </w:instrText>
      </w:r>
      <w:r w:rsidR="00E974B2">
        <w:rPr>
          <w:lang w:val="en-US"/>
        </w:rPr>
        <w:instrText>monotherapy</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combination</w:instrText>
      </w:r>
      <w:r w:rsidR="00E974B2" w:rsidRPr="006447F6">
        <w:instrText xml:space="preserve"> </w:instrText>
      </w:r>
      <w:r w:rsidR="00E974B2">
        <w:rPr>
          <w:lang w:val="en-US"/>
        </w:rPr>
        <w:instrText>with</w:instrText>
      </w:r>
      <w:r w:rsidR="00E974B2" w:rsidRPr="006447F6">
        <w:instrText xml:space="preserve"> </w:instrText>
      </w:r>
      <w:r w:rsidR="00E974B2">
        <w:rPr>
          <w:lang w:val="en-US"/>
        </w:rPr>
        <w:instrText>chemotherapy</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has</w:instrText>
      </w:r>
      <w:r w:rsidR="00E974B2" w:rsidRPr="006447F6">
        <w:instrText xml:space="preserve"> </w:instrText>
      </w:r>
      <w:r w:rsidR="00E974B2">
        <w:rPr>
          <w:lang w:val="en-US"/>
        </w:rPr>
        <w:instrText>been</w:instrText>
      </w:r>
      <w:r w:rsidR="00E974B2" w:rsidRPr="006447F6">
        <w:instrText xml:space="preserve"> </w:instrText>
      </w:r>
      <w:r w:rsidR="00E974B2">
        <w:rPr>
          <w:lang w:val="en-US"/>
        </w:rPr>
        <w:instrText>shown</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prolong</w:instrText>
      </w:r>
      <w:r w:rsidR="00E974B2" w:rsidRPr="006447F6">
        <w:instrText xml:space="preserve"> </w:instrText>
      </w:r>
      <w:r w:rsidR="00E974B2">
        <w:rPr>
          <w:lang w:val="en-US"/>
        </w:rPr>
        <w:instrText>progression</w:instrText>
      </w:r>
      <w:r w:rsidR="00E974B2" w:rsidRPr="006447F6">
        <w:instrText>-</w:instrText>
      </w:r>
      <w:r w:rsidR="00E974B2">
        <w:rPr>
          <w:lang w:val="en-US"/>
        </w:rPr>
        <w:instrText>free</w:instrText>
      </w:r>
      <w:r w:rsidR="00E974B2" w:rsidRPr="006447F6">
        <w:instrText xml:space="preserve"> </w:instrText>
      </w:r>
      <w:r w:rsidR="00E974B2">
        <w:rPr>
          <w:lang w:val="en-US"/>
        </w:rPr>
        <w:instrText>survival</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some</w:instrText>
      </w:r>
      <w:r w:rsidR="00E974B2" w:rsidRPr="006447F6">
        <w:instrText xml:space="preserve"> </w:instrText>
      </w:r>
      <w:r w:rsidR="00E974B2">
        <w:rPr>
          <w:lang w:val="en-US"/>
        </w:rPr>
        <w:instrText>indications</w:instrText>
      </w:r>
      <w:r w:rsidR="00E974B2" w:rsidRPr="006447F6">
        <w:instrText xml:space="preserve"> </w:instrText>
      </w:r>
      <w:r w:rsidR="00E974B2">
        <w:rPr>
          <w:lang w:val="en-US"/>
        </w:rPr>
        <w:instrText>overall</w:instrText>
      </w:r>
      <w:r w:rsidR="00E974B2" w:rsidRPr="006447F6">
        <w:instrText xml:space="preserve"> </w:instrText>
      </w:r>
      <w:r w:rsidR="00E974B2">
        <w:rPr>
          <w:lang w:val="en-US"/>
        </w:rPr>
        <w:instrText>survival</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patients</w:instrText>
      </w:r>
      <w:r w:rsidR="00E974B2" w:rsidRPr="006447F6">
        <w:instrText xml:space="preserve"> </w:instrText>
      </w:r>
      <w:r w:rsidR="00E974B2">
        <w:rPr>
          <w:lang w:val="en-US"/>
        </w:rPr>
        <w:instrText>with</w:instrText>
      </w:r>
      <w:r w:rsidR="00E974B2" w:rsidRPr="006447F6">
        <w:instrText xml:space="preserve"> </w:instrText>
      </w:r>
      <w:r w:rsidR="00E974B2">
        <w:rPr>
          <w:lang w:val="en-US"/>
        </w:rPr>
        <w:instrText>various</w:instrText>
      </w:r>
      <w:r w:rsidR="00E974B2" w:rsidRPr="006447F6">
        <w:instrText xml:space="preserve"> </w:instrText>
      </w:r>
      <w:r w:rsidR="00E974B2">
        <w:rPr>
          <w:lang w:val="en-US"/>
        </w:rPr>
        <w:instrText>B</w:instrText>
      </w:r>
      <w:r w:rsidR="00E974B2" w:rsidRPr="006447F6">
        <w:instrText>-</w:instrText>
      </w:r>
      <w:r w:rsidR="00E974B2">
        <w:rPr>
          <w:lang w:val="en-US"/>
        </w:rPr>
        <w:instrText>cell</w:instrText>
      </w:r>
      <w:r w:rsidR="00E974B2" w:rsidRPr="006447F6">
        <w:instrText xml:space="preserve"> </w:instrText>
      </w:r>
      <w:r w:rsidR="00E974B2">
        <w:rPr>
          <w:lang w:val="en-US"/>
        </w:rPr>
        <w:instrText>malignancies</w:instrText>
      </w:r>
      <w:r w:rsidR="00E974B2" w:rsidRPr="006447F6">
        <w:instrText xml:space="preserve">, </w:instrText>
      </w:r>
      <w:r w:rsidR="00E974B2">
        <w:rPr>
          <w:lang w:val="en-US"/>
        </w:rPr>
        <w:instrText>while</w:instrText>
      </w:r>
      <w:r w:rsidR="00E974B2" w:rsidRPr="006447F6">
        <w:instrText xml:space="preserve"> </w:instrText>
      </w:r>
      <w:r w:rsidR="00E974B2">
        <w:rPr>
          <w:lang w:val="en-US"/>
        </w:rPr>
        <w:instrText>having</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well</w:instrText>
      </w:r>
      <w:r w:rsidR="00E974B2" w:rsidRPr="006447F6">
        <w:instrText>-</w:instrText>
      </w:r>
      <w:r w:rsidR="00E974B2">
        <w:rPr>
          <w:lang w:val="en-US"/>
        </w:rPr>
        <w:instrText>established</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manageable</w:instrText>
      </w:r>
      <w:r w:rsidR="00E974B2" w:rsidRPr="006447F6">
        <w:instrText xml:space="preserve"> </w:instrText>
      </w:r>
      <w:r w:rsidR="00E974B2">
        <w:rPr>
          <w:lang w:val="en-US"/>
        </w:rPr>
        <w:instrText>safety</w:instrText>
      </w:r>
      <w:r w:rsidR="00E974B2" w:rsidRPr="006447F6">
        <w:instrText xml:space="preserve"> </w:instrText>
      </w:r>
      <w:r w:rsidR="00E974B2">
        <w:rPr>
          <w:lang w:val="en-US"/>
        </w:rPr>
        <w:instrText>profile</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wide</w:instrText>
      </w:r>
      <w:r w:rsidR="00E974B2" w:rsidRPr="006447F6">
        <w:instrText xml:space="preserve"> </w:instrText>
      </w:r>
      <w:r w:rsidR="00E974B2">
        <w:rPr>
          <w:lang w:val="en-US"/>
        </w:rPr>
        <w:instrText>therapeutic</w:instrText>
      </w:r>
      <w:r w:rsidR="00E974B2" w:rsidRPr="006447F6">
        <w:instrText xml:space="preserve"> </w:instrText>
      </w:r>
      <w:r w:rsidR="00E974B2">
        <w:rPr>
          <w:lang w:val="en-US"/>
        </w:rPr>
        <w:instrText>window</w:instrText>
      </w:r>
      <w:r w:rsidR="00E974B2" w:rsidRPr="006447F6">
        <w:instrText xml:space="preserve">. </w:instrText>
      </w:r>
      <w:r w:rsidR="00E974B2">
        <w:rPr>
          <w:lang w:val="en-US"/>
        </w:rPr>
        <w:instrText>As</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result</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is</w:instrText>
      </w:r>
      <w:r w:rsidR="00E974B2" w:rsidRPr="006447F6">
        <w:instrText xml:space="preserve"> </w:instrText>
      </w:r>
      <w:r w:rsidR="00E974B2">
        <w:rPr>
          <w:lang w:val="en-US"/>
        </w:rPr>
        <w:instrText>considered</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have</w:instrText>
      </w:r>
      <w:r w:rsidR="00E974B2" w:rsidRPr="006447F6">
        <w:instrText xml:space="preserve"> </w:instrText>
      </w:r>
      <w:r w:rsidR="00E974B2">
        <w:rPr>
          <w:lang w:val="en-US"/>
        </w:rPr>
        <w:instrText>revolutionized</w:instrText>
      </w:r>
      <w:r w:rsidR="00E974B2" w:rsidRPr="006447F6">
        <w:instrText xml:space="preserve"> </w:instrText>
      </w:r>
      <w:r w:rsidR="00E974B2">
        <w:rPr>
          <w:lang w:val="en-US"/>
        </w:rPr>
        <w:instrText>treatment</w:instrText>
      </w:r>
      <w:r w:rsidR="00E974B2" w:rsidRPr="006447F6">
        <w:instrText xml:space="preserve"> </w:instrText>
      </w:r>
      <w:r w:rsidR="00E974B2">
        <w:rPr>
          <w:lang w:val="en-US"/>
        </w:rPr>
        <w:instrText>practices</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patients</w:instrText>
      </w:r>
      <w:r w:rsidR="00E974B2" w:rsidRPr="006447F6">
        <w:instrText xml:space="preserve"> </w:instrText>
      </w:r>
      <w:r w:rsidR="00E974B2">
        <w:rPr>
          <w:lang w:val="en-US"/>
        </w:rPr>
        <w:instrText>with</w:instrText>
      </w:r>
      <w:r w:rsidR="00E974B2" w:rsidRPr="006447F6">
        <w:instrText xml:space="preserve"> </w:instrText>
      </w:r>
      <w:r w:rsidR="00E974B2">
        <w:rPr>
          <w:lang w:val="en-US"/>
        </w:rPr>
        <w:instrText>B</w:instrText>
      </w:r>
      <w:r w:rsidR="00E974B2" w:rsidRPr="006447F6">
        <w:instrText>-</w:instrText>
      </w:r>
      <w:r w:rsidR="00E974B2">
        <w:rPr>
          <w:lang w:val="en-US"/>
        </w:rPr>
        <w:instrText>cell</w:instrText>
      </w:r>
      <w:r w:rsidR="00E974B2" w:rsidRPr="006447F6">
        <w:instrText xml:space="preserve"> </w:instrText>
      </w:r>
      <w:r w:rsidR="00E974B2">
        <w:rPr>
          <w:lang w:val="en-US"/>
        </w:rPr>
        <w:instrText>malignancies</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subcutaneous</w:instrText>
      </w:r>
      <w:r w:rsidR="00E974B2" w:rsidRPr="006447F6">
        <w:instrText xml:space="preserve"> (</w:instrText>
      </w:r>
      <w:r w:rsidR="00E974B2">
        <w:rPr>
          <w:lang w:val="en-US"/>
        </w:rPr>
        <w:instrText>SC</w:instrText>
      </w:r>
      <w:r w:rsidR="00E974B2" w:rsidRPr="006447F6">
        <w:instrText xml:space="preserve">) </w:instrText>
      </w:r>
      <w:r w:rsidR="00E974B2">
        <w:rPr>
          <w:lang w:val="en-US"/>
        </w:rPr>
        <w:instrText>formulation</w:instrText>
      </w:r>
      <w:r w:rsidR="00E974B2" w:rsidRPr="006447F6">
        <w:instrText xml:space="preserve"> </w:instrText>
      </w:r>
      <w:r w:rsidR="00E974B2">
        <w:rPr>
          <w:lang w:val="en-US"/>
        </w:rPr>
        <w:instrText>of</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has</w:instrText>
      </w:r>
      <w:r w:rsidR="00E974B2" w:rsidRPr="006447F6">
        <w:instrText xml:space="preserve"> </w:instrText>
      </w:r>
      <w:r w:rsidR="00E974B2">
        <w:rPr>
          <w:lang w:val="en-US"/>
        </w:rPr>
        <w:instrText>been</w:instrText>
      </w:r>
      <w:r w:rsidR="00E974B2" w:rsidRPr="006447F6">
        <w:instrText xml:space="preserve"> </w:instrText>
      </w:r>
      <w:r w:rsidR="00E974B2">
        <w:rPr>
          <w:lang w:val="en-US"/>
        </w:rPr>
        <w:instrText>developed</w:instrText>
      </w:r>
      <w:r w:rsidR="00E974B2" w:rsidRPr="006447F6">
        <w:instrText xml:space="preserve">, </w:instrText>
      </w:r>
      <w:r w:rsidR="00E974B2">
        <w:rPr>
          <w:lang w:val="en-US"/>
        </w:rPr>
        <w:instrText>comprising</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same</w:instrText>
      </w:r>
      <w:r w:rsidR="00E974B2" w:rsidRPr="006447F6">
        <w:instrText xml:space="preserve"> </w:instrText>
      </w:r>
      <w:r w:rsidR="00E974B2">
        <w:rPr>
          <w:lang w:val="en-US"/>
        </w:rPr>
        <w:instrText>monoclonal</w:instrText>
      </w:r>
      <w:r w:rsidR="00E974B2" w:rsidRPr="006447F6">
        <w:instrText xml:space="preserve"> </w:instrText>
      </w:r>
      <w:r w:rsidR="00E974B2">
        <w:rPr>
          <w:lang w:val="en-US"/>
        </w:rPr>
        <w:instrText>antibody</w:instrText>
      </w:r>
      <w:r w:rsidR="00E974B2" w:rsidRPr="006447F6">
        <w:instrText xml:space="preserve"> </w:instrText>
      </w:r>
      <w:r w:rsidR="00E974B2">
        <w:rPr>
          <w:lang w:val="en-US"/>
        </w:rPr>
        <w:instrText>as</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originally</w:instrText>
      </w:r>
      <w:r w:rsidR="00E974B2" w:rsidRPr="006447F6">
        <w:instrText xml:space="preserve"> </w:instrText>
      </w:r>
      <w:r w:rsidR="00E974B2">
        <w:rPr>
          <w:lang w:val="en-US"/>
        </w:rPr>
        <w:instrText>marketed</w:instrText>
      </w:r>
      <w:r w:rsidR="00E974B2" w:rsidRPr="006447F6">
        <w:instrText xml:space="preserve"> </w:instrText>
      </w:r>
      <w:r w:rsidR="00E974B2">
        <w:rPr>
          <w:lang w:val="en-US"/>
        </w:rPr>
        <w:instrText>formulation</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concentrate</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solution</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intravenous</w:instrText>
      </w:r>
      <w:r w:rsidR="00E974B2" w:rsidRPr="006447F6">
        <w:instrText xml:space="preserve"> (</w:instrText>
      </w:r>
      <w:r w:rsidR="00E974B2">
        <w:rPr>
          <w:lang w:val="en-US"/>
        </w:rPr>
        <w:instrText>IV</w:instrText>
      </w:r>
      <w:r w:rsidR="00E974B2" w:rsidRPr="006447F6">
        <w:instrText xml:space="preserve">) </w:instrText>
      </w:r>
      <w:r w:rsidR="00E974B2">
        <w:rPr>
          <w:lang w:val="en-US"/>
        </w:rPr>
        <w:instrText>infusion</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has</w:instrText>
      </w:r>
      <w:r w:rsidR="00E974B2" w:rsidRPr="006447F6">
        <w:instrText xml:space="preserve"> </w:instrText>
      </w:r>
      <w:r w:rsidR="00E974B2">
        <w:rPr>
          <w:lang w:val="en-US"/>
        </w:rPr>
        <w:instrText>undergone</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detailed</w:instrText>
      </w:r>
      <w:r w:rsidR="00E974B2" w:rsidRPr="006447F6">
        <w:instrText xml:space="preserve">, </w:instrText>
      </w:r>
      <w:r w:rsidR="00E974B2">
        <w:rPr>
          <w:lang w:val="en-US"/>
        </w:rPr>
        <w:instrText>sequential</w:instrText>
      </w:r>
      <w:r w:rsidR="00E974B2" w:rsidRPr="006447F6">
        <w:instrText xml:space="preserve"> </w:instrText>
      </w:r>
      <w:r w:rsidR="00E974B2">
        <w:rPr>
          <w:lang w:val="en-US"/>
        </w:rPr>
        <w:instrText>clinical</w:instrText>
      </w:r>
      <w:r w:rsidR="00E974B2" w:rsidRPr="006447F6">
        <w:instrText xml:space="preserve"> </w:instrText>
      </w:r>
      <w:r w:rsidR="00E974B2">
        <w:rPr>
          <w:lang w:val="en-US"/>
        </w:rPr>
        <w:instrText>development</w:instrText>
      </w:r>
      <w:r w:rsidR="00E974B2" w:rsidRPr="006447F6">
        <w:instrText xml:space="preserve"> </w:instrText>
      </w:r>
      <w:r w:rsidR="00E974B2">
        <w:rPr>
          <w:lang w:val="en-US"/>
        </w:rPr>
        <w:instrText>program</w:instrText>
      </w:r>
      <w:r w:rsidR="00E974B2" w:rsidRPr="006447F6">
        <w:instrText xml:space="preserve">. </w:instrText>
      </w:r>
      <w:r w:rsidR="00E974B2">
        <w:rPr>
          <w:lang w:val="en-US"/>
        </w:rPr>
        <w:instrText>This</w:instrText>
      </w:r>
      <w:r w:rsidR="00E974B2" w:rsidRPr="006447F6">
        <w:instrText xml:space="preserve"> </w:instrText>
      </w:r>
      <w:r w:rsidR="00E974B2">
        <w:rPr>
          <w:lang w:val="en-US"/>
        </w:rPr>
        <w:instrText>program</w:instrText>
      </w:r>
      <w:r w:rsidR="00E974B2" w:rsidRPr="006447F6">
        <w:instrText xml:space="preserve"> </w:instrText>
      </w:r>
      <w:r w:rsidR="00E974B2">
        <w:rPr>
          <w:lang w:val="en-US"/>
        </w:rPr>
        <w:instrText>demonstrated</w:instrText>
      </w:r>
      <w:r w:rsidR="00E974B2" w:rsidRPr="006447F6">
        <w:instrText xml:space="preserve"> </w:instrText>
      </w:r>
      <w:r w:rsidR="00E974B2">
        <w:rPr>
          <w:lang w:val="en-US"/>
        </w:rPr>
        <w:instrText>that</w:instrText>
      </w:r>
      <w:r w:rsidR="00E974B2" w:rsidRPr="006447F6">
        <w:instrText xml:space="preserve">, </w:instrText>
      </w:r>
      <w:r w:rsidR="00E974B2">
        <w:rPr>
          <w:lang w:val="en-US"/>
        </w:rPr>
        <w:instrText>at</w:instrText>
      </w:r>
      <w:r w:rsidR="00E974B2" w:rsidRPr="006447F6">
        <w:instrText xml:space="preserve"> </w:instrText>
      </w:r>
      <w:r w:rsidR="00E974B2">
        <w:rPr>
          <w:lang w:val="en-US"/>
        </w:rPr>
        <w:instrText>fixed</w:instrText>
      </w:r>
      <w:r w:rsidR="00E974B2" w:rsidRPr="006447F6">
        <w:instrText xml:space="preserve"> </w:instrText>
      </w:r>
      <w:r w:rsidR="00E974B2">
        <w:rPr>
          <w:lang w:val="en-US"/>
        </w:rPr>
        <w:instrText>doses</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SC</w:instrText>
      </w:r>
      <w:r w:rsidR="00E974B2" w:rsidRPr="006447F6">
        <w:instrText xml:space="preserve"> </w:instrText>
      </w:r>
      <w:r w:rsidR="00E974B2">
        <w:rPr>
          <w:lang w:val="en-US"/>
        </w:rPr>
        <w:instrText>achieves</w:instrText>
      </w:r>
      <w:r w:rsidR="00E974B2" w:rsidRPr="006447F6">
        <w:instrText xml:space="preserve"> </w:instrText>
      </w:r>
      <w:r w:rsidR="00E974B2">
        <w:rPr>
          <w:lang w:val="en-US"/>
        </w:rPr>
        <w:instrText>non</w:instrText>
      </w:r>
      <w:r w:rsidR="00E974B2" w:rsidRPr="006447F6">
        <w:instrText>-</w:instrText>
      </w:r>
      <w:r w:rsidR="00E974B2">
        <w:rPr>
          <w:lang w:val="en-US"/>
        </w:rPr>
        <w:instrText>inferior</w:instrText>
      </w:r>
      <w:r w:rsidR="00E974B2" w:rsidRPr="006447F6">
        <w:instrText xml:space="preserve"> </w:instrText>
      </w:r>
      <w:r w:rsidR="00E974B2">
        <w:rPr>
          <w:lang w:val="en-US"/>
        </w:rPr>
        <w:instrText>serum</w:instrText>
      </w:r>
      <w:r w:rsidR="00E974B2" w:rsidRPr="006447F6">
        <w:instrText xml:space="preserve"> </w:instrText>
      </w:r>
      <w:r w:rsidR="00E974B2">
        <w:rPr>
          <w:lang w:val="en-US"/>
        </w:rPr>
        <w:instrText>trough</w:instrText>
      </w:r>
      <w:r w:rsidR="00E974B2" w:rsidRPr="006447F6">
        <w:instrText xml:space="preserve"> </w:instrText>
      </w:r>
      <w:r w:rsidR="00E974B2">
        <w:rPr>
          <w:lang w:val="en-US"/>
        </w:rPr>
        <w:instrText>concentrations</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patients</w:instrText>
      </w:r>
      <w:r w:rsidR="00E974B2" w:rsidRPr="006447F6">
        <w:instrText xml:space="preserve"> </w:instrText>
      </w:r>
      <w:r w:rsidR="00E974B2">
        <w:rPr>
          <w:lang w:val="en-US"/>
        </w:rPr>
        <w:instrText>with</w:instrText>
      </w:r>
      <w:r w:rsidR="00E974B2" w:rsidRPr="006447F6">
        <w:instrText xml:space="preserve"> </w:instrText>
      </w:r>
      <w:r w:rsidR="00E974B2">
        <w:rPr>
          <w:lang w:val="en-US"/>
        </w:rPr>
        <w:instrText>non</w:instrText>
      </w:r>
      <w:r w:rsidR="00E974B2" w:rsidRPr="006447F6">
        <w:instrText>-</w:instrText>
      </w:r>
      <w:r w:rsidR="00E974B2">
        <w:rPr>
          <w:lang w:val="en-US"/>
        </w:rPr>
        <w:instrText>Hodgkin</w:instrText>
      </w:r>
      <w:r w:rsidR="00E974B2" w:rsidRPr="006447F6">
        <w:instrText xml:space="preserve"> </w:instrText>
      </w:r>
      <w:r w:rsidR="00E974B2">
        <w:rPr>
          <w:lang w:val="en-US"/>
        </w:rPr>
        <w:instrText>lymphoma</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chronic</w:instrText>
      </w:r>
      <w:r w:rsidR="00E974B2" w:rsidRPr="006447F6">
        <w:instrText xml:space="preserve"> </w:instrText>
      </w:r>
      <w:r w:rsidR="00E974B2">
        <w:rPr>
          <w:lang w:val="en-US"/>
        </w:rPr>
        <w:instrText>lymphocytic</w:instrText>
      </w:r>
      <w:r w:rsidR="00E974B2" w:rsidRPr="006447F6">
        <w:instrText xml:space="preserve"> </w:instrText>
      </w:r>
      <w:r w:rsidR="00E974B2">
        <w:rPr>
          <w:lang w:val="en-US"/>
        </w:rPr>
        <w:instrText>leukemia</w:instrText>
      </w:r>
      <w:r w:rsidR="00E974B2" w:rsidRPr="006447F6">
        <w:instrText xml:space="preserve">, </w:instrText>
      </w:r>
      <w:r w:rsidR="00E974B2">
        <w:rPr>
          <w:lang w:val="en-US"/>
        </w:rPr>
        <w:instrText>with</w:instrText>
      </w:r>
      <w:r w:rsidR="00E974B2" w:rsidRPr="006447F6">
        <w:instrText xml:space="preserve"> </w:instrText>
      </w:r>
      <w:r w:rsidR="00E974B2">
        <w:rPr>
          <w:lang w:val="en-US"/>
        </w:rPr>
        <w:instrText>comparable</w:instrText>
      </w:r>
      <w:r w:rsidR="00E974B2" w:rsidRPr="006447F6">
        <w:instrText xml:space="preserve"> </w:instrText>
      </w:r>
      <w:r w:rsidR="00E974B2">
        <w:rPr>
          <w:lang w:val="en-US"/>
        </w:rPr>
        <w:instrText>efficacy</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safety</w:instrText>
      </w:r>
      <w:r w:rsidR="00E974B2" w:rsidRPr="006447F6">
        <w:instrText xml:space="preserve"> </w:instrText>
      </w:r>
      <w:r w:rsidR="00E974B2">
        <w:rPr>
          <w:lang w:val="en-US"/>
        </w:rPr>
        <w:instrText>relative</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IV</w:instrText>
      </w:r>
      <w:r w:rsidR="00E974B2" w:rsidRPr="006447F6">
        <w:instrText xml:space="preserve"> </w:instrText>
      </w:r>
      <w:r w:rsidR="00E974B2">
        <w:rPr>
          <w:lang w:val="en-US"/>
        </w:rPr>
        <w:instrText>formulation</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added</w:instrText>
      </w:r>
      <w:r w:rsidR="00E974B2" w:rsidRPr="006447F6">
        <w:instrText xml:space="preserve"> </w:instrText>
      </w:r>
      <w:r w:rsidR="00E974B2">
        <w:rPr>
          <w:lang w:val="en-US"/>
        </w:rPr>
        <w:instrText>benefit</w:instrText>
      </w:r>
      <w:r w:rsidR="00E974B2" w:rsidRPr="006447F6">
        <w:instrText xml:space="preserve"> </w:instrText>
      </w:r>
      <w:r w:rsidR="00E974B2">
        <w:rPr>
          <w:lang w:val="en-US"/>
        </w:rPr>
        <w:instrText>of</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SC</w:instrText>
      </w:r>
      <w:r w:rsidR="00E974B2" w:rsidRPr="006447F6">
        <w:instrText xml:space="preserve"> </w:instrText>
      </w:r>
      <w:r w:rsidR="00E974B2">
        <w:rPr>
          <w:lang w:val="en-US"/>
        </w:rPr>
        <w:instrText>was</w:instrText>
      </w:r>
      <w:r w:rsidR="00E974B2" w:rsidRPr="006447F6">
        <w:instrText xml:space="preserve"> </w:instrText>
      </w:r>
      <w:r w:rsidR="00E974B2">
        <w:rPr>
          <w:lang w:val="en-US"/>
        </w:rPr>
        <w:instrText>demonstrated</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dedicated</w:instrText>
      </w:r>
      <w:r w:rsidR="00E974B2" w:rsidRPr="006447F6">
        <w:instrText xml:space="preserve"> </w:instrText>
      </w:r>
      <w:r w:rsidR="00E974B2">
        <w:rPr>
          <w:lang w:val="en-US"/>
        </w:rPr>
        <w:instrText>studies</w:instrText>
      </w:r>
      <w:r w:rsidR="00E974B2" w:rsidRPr="006447F6">
        <w:instrText xml:space="preserve"> </w:instrText>
      </w:r>
      <w:r w:rsidR="00E974B2">
        <w:rPr>
          <w:lang w:val="en-US"/>
        </w:rPr>
        <w:instrText>showing</w:instrText>
      </w:r>
      <w:r w:rsidR="00E974B2" w:rsidRPr="006447F6">
        <w:instrText xml:space="preserve"> </w:instrText>
      </w:r>
      <w:r w:rsidR="00E974B2">
        <w:rPr>
          <w:lang w:val="en-US"/>
        </w:rPr>
        <w:instrText>that</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SC</w:instrText>
      </w:r>
      <w:r w:rsidR="00E974B2" w:rsidRPr="006447F6">
        <w:instrText xml:space="preserve"> </w:instrText>
      </w:r>
      <w:r w:rsidR="00E974B2">
        <w:rPr>
          <w:lang w:val="en-US"/>
        </w:rPr>
        <w:instrText>allows</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simplified</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shortened</w:instrText>
      </w:r>
      <w:r w:rsidR="00E974B2" w:rsidRPr="006447F6">
        <w:instrText xml:space="preserve"> </w:instrText>
      </w:r>
      <w:r w:rsidR="00E974B2">
        <w:rPr>
          <w:lang w:val="en-US"/>
        </w:rPr>
        <w:instrText>drug</w:instrText>
      </w:r>
      <w:r w:rsidR="00E974B2" w:rsidRPr="006447F6">
        <w:instrText xml:space="preserve"> </w:instrText>
      </w:r>
      <w:r w:rsidR="00E974B2">
        <w:rPr>
          <w:lang w:val="en-US"/>
        </w:rPr>
        <w:instrText>preparation</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administration</w:instrText>
      </w:r>
      <w:r w:rsidR="00E974B2" w:rsidRPr="006447F6">
        <w:instrText xml:space="preserve"> </w:instrText>
      </w:r>
      <w:r w:rsidR="00E974B2">
        <w:rPr>
          <w:lang w:val="en-US"/>
        </w:rPr>
        <w:instrText>times</w:instrText>
      </w:r>
      <w:r w:rsidR="00E974B2" w:rsidRPr="006447F6">
        <w:instrText xml:space="preserve"> </w:instrText>
      </w:r>
      <w:r w:rsidR="00E974B2">
        <w:rPr>
          <w:lang w:val="en-US"/>
        </w:rPr>
        <w:instrText>resulting</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reduced</w:instrText>
      </w:r>
      <w:r w:rsidR="00E974B2" w:rsidRPr="006447F6">
        <w:instrText xml:space="preserve"> </w:instrText>
      </w:r>
      <w:r w:rsidR="00E974B2">
        <w:rPr>
          <w:lang w:val="en-US"/>
        </w:rPr>
        <w:instrText>treatment</w:instrText>
      </w:r>
      <w:r w:rsidR="00E974B2" w:rsidRPr="006447F6">
        <w:instrText xml:space="preserve"> </w:instrText>
      </w:r>
      <w:r w:rsidR="00E974B2">
        <w:rPr>
          <w:lang w:val="en-US"/>
        </w:rPr>
        <w:instrText>burden</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patients</w:instrText>
      </w:r>
      <w:r w:rsidR="00E974B2" w:rsidRPr="006447F6">
        <w:instrText xml:space="preserve"> </w:instrText>
      </w:r>
      <w:r w:rsidR="00E974B2">
        <w:rPr>
          <w:lang w:val="en-US"/>
        </w:rPr>
        <w:instrText>as</w:instrText>
      </w:r>
      <w:r w:rsidR="00E974B2" w:rsidRPr="006447F6">
        <w:instrText xml:space="preserve"> </w:instrText>
      </w:r>
      <w:r w:rsidR="00E974B2">
        <w:rPr>
          <w:lang w:val="en-US"/>
        </w:rPr>
        <w:instrText>well</w:instrText>
      </w:r>
      <w:r w:rsidR="00E974B2" w:rsidRPr="006447F6">
        <w:instrText xml:space="preserve"> </w:instrText>
      </w:r>
      <w:r w:rsidR="00E974B2">
        <w:rPr>
          <w:lang w:val="en-US"/>
        </w:rPr>
        <w:instrText>as</w:instrText>
      </w:r>
      <w:r w:rsidR="00E974B2" w:rsidRPr="006447F6">
        <w:instrText xml:space="preserve"> </w:instrText>
      </w:r>
      <w:r w:rsidR="00E974B2">
        <w:rPr>
          <w:lang w:val="en-US"/>
        </w:rPr>
        <w:instrText>improved</w:instrText>
      </w:r>
      <w:r w:rsidR="00E974B2" w:rsidRPr="006447F6">
        <w:instrText xml:space="preserve"> </w:instrText>
      </w:r>
      <w:r w:rsidR="00E974B2">
        <w:rPr>
          <w:lang w:val="en-US"/>
        </w:rPr>
        <w:instrText>resource</w:instrText>
      </w:r>
      <w:r w:rsidR="00E974B2" w:rsidRPr="006447F6">
        <w:instrText xml:space="preserve"> </w:instrText>
      </w:r>
      <w:r w:rsidR="00E974B2">
        <w:rPr>
          <w:lang w:val="en-US"/>
        </w:rPr>
        <w:instrText>utilization</w:instrText>
      </w:r>
      <w:r w:rsidR="00E974B2" w:rsidRPr="006447F6">
        <w:instrText xml:space="preserve"> (</w:instrText>
      </w:r>
      <w:r w:rsidR="00E974B2">
        <w:rPr>
          <w:lang w:val="en-US"/>
        </w:rPr>
        <w:instrText>efficiency</w:instrText>
      </w:r>
      <w:r w:rsidR="00E974B2" w:rsidRPr="006447F6">
        <w:instrText xml:space="preserve">) </w:instrText>
      </w:r>
      <w:r w:rsidR="00E974B2">
        <w:rPr>
          <w:lang w:val="en-US"/>
        </w:rPr>
        <w:instrText>at</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treatment</w:instrText>
      </w:r>
      <w:r w:rsidR="00E974B2" w:rsidRPr="006447F6">
        <w:instrText xml:space="preserve"> </w:instrText>
      </w:r>
      <w:r w:rsidR="00E974B2">
        <w:rPr>
          <w:lang w:val="en-US"/>
        </w:rPr>
        <w:instrText>facility</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improved</w:instrText>
      </w:r>
      <w:r w:rsidR="00E974B2" w:rsidRPr="006447F6">
        <w:instrText xml:space="preserve"> </w:instrText>
      </w:r>
      <w:r w:rsidR="00E974B2">
        <w:rPr>
          <w:lang w:val="en-US"/>
        </w:rPr>
        <w:instrText>efficiency</w:instrText>
      </w:r>
      <w:r w:rsidR="00E974B2" w:rsidRPr="006447F6">
        <w:instrText xml:space="preserve"> </w:instrText>
      </w:r>
      <w:r w:rsidR="00E974B2">
        <w:rPr>
          <w:lang w:val="en-US"/>
        </w:rPr>
        <w:instrText>of</w:instrText>
      </w:r>
      <w:r w:rsidR="00E974B2" w:rsidRPr="006447F6">
        <w:instrText xml:space="preserve"> </w:instrText>
      </w:r>
      <w:r w:rsidR="00E974B2">
        <w:rPr>
          <w:lang w:val="en-US"/>
        </w:rPr>
        <w:instrText>delivering</w:instrText>
      </w:r>
      <w:r w:rsidR="00E974B2" w:rsidRPr="006447F6">
        <w:instrText xml:space="preserve"> </w:instrText>
      </w:r>
      <w:r w:rsidR="00E974B2">
        <w:rPr>
          <w:lang w:val="en-US"/>
        </w:rPr>
        <w:instrText>rituximab</w:instrText>
      </w:r>
      <w:r w:rsidR="00E974B2" w:rsidRPr="006447F6">
        <w:instrText>’</w:instrText>
      </w:r>
      <w:r w:rsidR="00E974B2">
        <w:rPr>
          <w:lang w:val="en-US"/>
        </w:rPr>
        <w:instrText>s</w:instrText>
      </w:r>
      <w:r w:rsidR="00E974B2" w:rsidRPr="006447F6">
        <w:instrText xml:space="preserve"> </w:instrText>
      </w:r>
      <w:r w:rsidR="00E974B2">
        <w:rPr>
          <w:lang w:val="en-US"/>
        </w:rPr>
        <w:instrText>benefit</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patients</w:instrText>
      </w:r>
      <w:r w:rsidR="00E974B2" w:rsidRPr="006447F6">
        <w:instrText xml:space="preserve"> </w:instrText>
      </w:r>
      <w:r w:rsidR="00E974B2">
        <w:rPr>
          <w:lang w:val="en-US"/>
        </w:rPr>
        <w:instrText>may</w:instrText>
      </w:r>
      <w:r w:rsidR="00E974B2" w:rsidRPr="006447F6">
        <w:instrText xml:space="preserve"> </w:instrText>
      </w:r>
      <w:r w:rsidR="00E974B2">
        <w:rPr>
          <w:lang w:val="en-US"/>
        </w:rPr>
        <w:instrText>broaden</w:instrText>
      </w:r>
      <w:r w:rsidR="00E974B2" w:rsidRPr="006447F6">
        <w:instrText xml:space="preserve"> </w:instrText>
      </w:r>
      <w:r w:rsidR="00E974B2">
        <w:rPr>
          <w:lang w:val="en-US"/>
        </w:rPr>
        <w:instrText>patient</w:instrText>
      </w:r>
      <w:r w:rsidR="00E974B2" w:rsidRPr="006447F6">
        <w:instrText xml:space="preserve"> </w:instrText>
      </w:r>
      <w:r w:rsidR="00E974B2">
        <w:rPr>
          <w:lang w:val="en-US"/>
        </w:rPr>
        <w:instrText>access</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therapy</w:instrText>
      </w:r>
      <w:r w:rsidR="00E974B2" w:rsidRPr="006447F6">
        <w:instrText xml:space="preserve"> </w:instrText>
      </w:r>
      <w:r w:rsidR="00E974B2">
        <w:rPr>
          <w:lang w:val="en-US"/>
        </w:rPr>
        <w:instrText>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w:instrText>
      </w:r>
      <w:r w:rsidR="00E974B2" w:rsidRPr="006C476A">
        <w:instrText xml:space="preserve">, </w:instrText>
      </w:r>
      <w:r w:rsidR="00E974B2">
        <w:rPr>
          <w:lang w:val="en-US"/>
        </w:rPr>
        <w:instrText>correct</w:instrText>
      </w:r>
      <w:r w:rsidR="00E974B2" w:rsidRPr="006C476A">
        <w:instrText xml:space="preserve"> </w:instrText>
      </w:r>
      <w:r w:rsidR="00E974B2">
        <w:rPr>
          <w:lang w:val="en-US"/>
        </w:rPr>
        <w:instrText>administration</w:instrText>
      </w:r>
      <w:r w:rsidR="00E974B2" w:rsidRPr="006C476A">
        <w:instrText xml:space="preserve"> </w:instrText>
      </w:r>
      <w:r w:rsidR="00E974B2">
        <w:rPr>
          <w:lang w:val="en-US"/>
        </w:rPr>
        <w:instrText>is</w:instrText>
      </w:r>
      <w:r w:rsidR="00E974B2" w:rsidRPr="006C476A">
        <w:instrText xml:space="preserve"> </w:instrText>
      </w:r>
      <w:r w:rsidR="00E974B2">
        <w:rPr>
          <w:lang w:val="en-US"/>
        </w:rPr>
        <w:instrText>needed</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reduce</w:instrText>
      </w:r>
      <w:r w:rsidR="00E974B2" w:rsidRPr="006C476A">
        <w:instrText xml:space="preserve"> </w:instrText>
      </w:r>
      <w:r w:rsidR="00E974B2">
        <w:rPr>
          <w:lang w:val="en-US"/>
        </w:rPr>
        <w:instrText>administration</w:instrText>
      </w:r>
      <w:r w:rsidR="00E974B2" w:rsidRPr="006C476A">
        <w:instrText>-</w:instrText>
      </w:r>
      <w:r w:rsidR="00E974B2">
        <w:rPr>
          <w:lang w:val="en-US"/>
        </w:rPr>
        <w:instrText>related</w:instrText>
      </w:r>
      <w:r w:rsidR="00E974B2" w:rsidRPr="006C476A">
        <w:instrText xml:space="preserve"> </w:instrText>
      </w:r>
      <w:r w:rsidR="00E974B2">
        <w:rPr>
          <w:lang w:val="en-US"/>
        </w:rPr>
        <w:instrText>reactions</w:instrText>
      </w:r>
      <w:r w:rsidR="00E974B2" w:rsidRPr="006C476A">
        <w:instrText xml:space="preserve">. </w:instrText>
      </w:r>
      <w:r w:rsidR="00E974B2">
        <w:rPr>
          <w:lang w:val="en-US"/>
        </w:rPr>
        <w:instrText>By</w:instrText>
      </w:r>
      <w:r w:rsidR="00E974B2" w:rsidRPr="006C476A">
        <w:instrText xml:space="preserve"> </w:instrText>
      </w:r>
      <w:r w:rsidR="00E974B2">
        <w:rPr>
          <w:lang w:val="en-US"/>
        </w:rPr>
        <w:instrText>using</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careful</w:instrText>
      </w:r>
      <w:r w:rsidR="00E974B2" w:rsidRPr="006C476A">
        <w:instrText xml:space="preserve"> </w:instrText>
      </w:r>
      <w:r w:rsidR="00E974B2">
        <w:rPr>
          <w:lang w:val="en-US"/>
        </w:rPr>
        <w:instrText>procedure</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sc</w:instrText>
      </w:r>
      <w:r w:rsidR="00E974B2" w:rsidRPr="006C476A">
        <w:instrText xml:space="preserve"> </w:instrText>
      </w:r>
      <w:r w:rsidR="00E974B2">
        <w:rPr>
          <w:lang w:val="en-US"/>
        </w:rPr>
        <w:instrText>formulation</w:instrText>
      </w:r>
      <w:r w:rsidR="00E974B2" w:rsidRPr="006C476A">
        <w:instrText xml:space="preserve"> </w:instrText>
      </w:r>
      <w:r w:rsidR="00E974B2">
        <w:rPr>
          <w:lang w:val="en-US"/>
        </w:rPr>
        <w:instrText>can</w:instrText>
      </w:r>
      <w:r w:rsidR="00E974B2" w:rsidRPr="006C476A">
        <w:instrText xml:space="preserve"> </w:instrText>
      </w:r>
      <w:r w:rsidR="00E974B2">
        <w:rPr>
          <w:lang w:val="en-US"/>
        </w:rPr>
        <w:instrText>be</w:instrText>
      </w:r>
      <w:r w:rsidR="00E974B2" w:rsidRPr="006C476A">
        <w:instrText xml:space="preserve"> </w:instrText>
      </w:r>
      <w:r w:rsidR="00E974B2">
        <w:rPr>
          <w:lang w:val="en-US"/>
        </w:rPr>
        <w:instrText>given</w:instrText>
      </w:r>
      <w:r w:rsidR="00E974B2" w:rsidRPr="006C476A">
        <w:instrText xml:space="preserve"> </w:instrText>
      </w:r>
      <w:r w:rsidR="00E974B2">
        <w:rPr>
          <w:lang w:val="en-US"/>
        </w:rPr>
        <w:instrText>safely</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effectively</w:instrText>
      </w:r>
      <w:r w:rsidR="00E974B2" w:rsidRPr="006C476A">
        <w:instrText xml:space="preserve">, </w:instrText>
      </w:r>
      <w:r w:rsidR="00E974B2">
        <w:rPr>
          <w:lang w:val="en-US"/>
        </w:rPr>
        <w:instrText>potentially</w:instrText>
      </w:r>
      <w:r w:rsidR="00E974B2" w:rsidRPr="006C476A">
        <w:instrText xml:space="preserve"> </w:instrText>
      </w:r>
      <w:r w:rsidR="00E974B2">
        <w:rPr>
          <w:lang w:val="en-US"/>
        </w:rPr>
        <w:instrText>reducing</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burden</w:instrText>
      </w:r>
      <w:r w:rsidR="00E974B2" w:rsidRPr="006C476A">
        <w:instrText xml:space="preserve"> </w:instrText>
      </w:r>
      <w:r w:rsidR="00E974B2">
        <w:rPr>
          <w:lang w:val="en-US"/>
        </w:rPr>
        <w:instrText>on</w:instrText>
      </w:r>
      <w:r w:rsidR="00E974B2" w:rsidRPr="006C476A">
        <w:instrText xml:space="preserve"> </w:instrText>
      </w:r>
      <w:r w:rsidR="00E974B2">
        <w:rPr>
          <w:lang w:val="en-US"/>
        </w:rPr>
        <w:instrText>health</w:instrText>
      </w:r>
      <w:r w:rsidR="00E974B2" w:rsidRPr="006C476A">
        <w:instrText xml:space="preserve"> </w:instrText>
      </w:r>
      <w:r w:rsidR="00E974B2">
        <w:rPr>
          <w:lang w:val="en-US"/>
        </w:rPr>
        <w:instrText>care</w:instrText>
      </w:r>
      <w:r w:rsidR="00E974B2" w:rsidRPr="006C476A">
        <w:instrText xml:space="preserve"> </w:instrText>
      </w:r>
      <w:r w:rsidR="00E974B2">
        <w:rPr>
          <w:lang w:val="en-US"/>
        </w:rPr>
        <w:instrText>resources</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improving</w:instrText>
      </w:r>
      <w:r w:rsidR="00E974B2" w:rsidRPr="006C476A">
        <w:instrText xml:space="preserve"> </w:instrText>
      </w:r>
      <w:r w:rsidR="00E974B2">
        <w:rPr>
          <w:lang w:val="en-US"/>
        </w:rPr>
        <w:instrText>quality</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life</w:instrText>
      </w:r>
      <w:r w:rsidR="00E974B2" w:rsidRPr="006C476A">
        <w:instrText xml:space="preserve"> </w:instrText>
      </w:r>
      <w:r w:rsidR="00E974B2">
        <w:rPr>
          <w:lang w:val="en-US"/>
        </w:rPr>
        <w:instrText>for</w:instrText>
      </w:r>
      <w:r w:rsidR="00E974B2" w:rsidRPr="006C476A">
        <w:instrText xml:space="preserve"> </w:instrText>
      </w:r>
      <w:r w:rsidR="00E974B2">
        <w:rPr>
          <w:lang w:val="en-US"/>
        </w:rPr>
        <w:instrText>patients</w:instrText>
      </w:r>
      <w:r w:rsidR="00E974B2" w:rsidRPr="006C476A">
        <w:instrText>.","</w:instrText>
      </w:r>
      <w:r w:rsidR="00E974B2">
        <w:rPr>
          <w:lang w:val="en-US"/>
        </w:rPr>
        <w:instrText>author</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Macdonald</w:instrText>
      </w:r>
      <w:r w:rsidR="00E974B2" w:rsidRPr="006C476A">
        <w:instrText>","</w:instrText>
      </w:r>
      <w:r w:rsidR="00E974B2">
        <w:rPr>
          <w:lang w:val="en-US"/>
        </w:rPr>
        <w:instrText>given</w:instrText>
      </w:r>
      <w:r w:rsidR="00E974B2" w:rsidRPr="006C476A">
        <w:instrText>":"</w:instrText>
      </w:r>
      <w:r w:rsidR="00E974B2">
        <w:rPr>
          <w:lang w:val="en-US"/>
        </w:rPr>
        <w:instrText>David</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Crosbie</w:instrText>
      </w:r>
      <w:r w:rsidR="00E974B2" w:rsidRPr="006C476A">
        <w:instrText>","</w:instrText>
      </w:r>
      <w:r w:rsidR="00E974B2">
        <w:rPr>
          <w:lang w:val="en-US"/>
        </w:rPr>
        <w:instrText>given</w:instrText>
      </w:r>
      <w:r w:rsidR="00E974B2" w:rsidRPr="006C476A">
        <w:instrText>":"</w:instrText>
      </w:r>
      <w:r w:rsidR="00E974B2">
        <w:rPr>
          <w:lang w:val="en-US"/>
        </w:rPr>
        <w:instrText>T</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Christofides</w:instrText>
      </w:r>
      <w:r w:rsidR="00E974B2" w:rsidRPr="006C476A">
        <w:instrText>","</w:instrText>
      </w:r>
      <w:r w:rsidR="00E974B2">
        <w:rPr>
          <w:lang w:val="en-US"/>
        </w:rPr>
        <w:instrText>given</w:instrText>
      </w:r>
      <w:r w:rsidR="00E974B2" w:rsidRPr="006C476A">
        <w:instrText>":"</w:instrText>
      </w:r>
      <w:r w:rsidR="00E974B2">
        <w:rPr>
          <w:lang w:val="en-US"/>
        </w:rPr>
        <w:instrText>A</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Assaily</w:instrText>
      </w:r>
      <w:r w:rsidR="00E974B2" w:rsidRPr="006C476A">
        <w:instrText>","</w:instrText>
      </w:r>
      <w:r w:rsidR="00E974B2">
        <w:rPr>
          <w:lang w:val="en-US"/>
        </w:rPr>
        <w:instrText>given</w:instrText>
      </w:r>
      <w:r w:rsidR="00E974B2" w:rsidRPr="006C476A">
        <w:instrText>":"</w:instrText>
      </w:r>
      <w:r w:rsidR="00E974B2">
        <w:rPr>
          <w:lang w:val="en-US"/>
        </w:rPr>
        <w:instrText>W</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Wiernikowski</w:instrText>
      </w:r>
      <w:r w:rsidR="00E974B2" w:rsidRPr="006C476A">
        <w:instrText>","</w:instrText>
      </w:r>
      <w:r w:rsidR="00E974B2">
        <w:rPr>
          <w:lang w:val="en-US"/>
        </w:rPr>
        <w:instrText>given</w:instrText>
      </w:r>
      <w:r w:rsidR="00E974B2" w:rsidRPr="006C476A">
        <w:instrText>":"</w:instrText>
      </w:r>
      <w:r w:rsidR="00E974B2">
        <w:rPr>
          <w:lang w:val="en-US"/>
        </w:rPr>
        <w:instrText>J</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container</w:instrText>
      </w:r>
      <w:r w:rsidR="00E974B2" w:rsidRPr="006C476A">
        <w:instrText>-</w:instrText>
      </w:r>
      <w:r w:rsidR="00E974B2">
        <w:rPr>
          <w:lang w:val="en-US"/>
        </w:rPr>
        <w:instrText>title</w:instrText>
      </w:r>
      <w:r w:rsidR="00E974B2" w:rsidRPr="006C476A">
        <w:instrText>":"</w:instrText>
      </w:r>
      <w:r w:rsidR="00E974B2">
        <w:rPr>
          <w:lang w:val="en-US"/>
        </w:rPr>
        <w:instrText>Current</w:instrText>
      </w:r>
      <w:r w:rsidR="00E974B2" w:rsidRPr="006C476A">
        <w:instrText xml:space="preserve"> </w:instrText>
      </w:r>
      <w:r w:rsidR="00E974B2">
        <w:rPr>
          <w:lang w:val="en-US"/>
        </w:rPr>
        <w:instrText>Oncology</w:instrText>
      </w:r>
      <w:r w:rsidR="00E974B2" w:rsidRPr="006C476A">
        <w:instrText>","</w:instrText>
      </w:r>
      <w:r w:rsidR="00E974B2">
        <w:rPr>
          <w:lang w:val="en-US"/>
        </w:rPr>
        <w:instrText>id</w:instrText>
      </w:r>
      <w:r w:rsidR="00E974B2" w:rsidRPr="006C476A">
        <w:instrText>":"</w:instrText>
      </w:r>
      <w:r w:rsidR="00E974B2">
        <w:rPr>
          <w:lang w:val="en-US"/>
        </w:rPr>
        <w:instrText>ITEM</w:instrText>
      </w:r>
      <w:r w:rsidR="00E974B2" w:rsidRPr="006C476A">
        <w:instrText>-4","</w:instrText>
      </w:r>
      <w:r w:rsidR="00E974B2">
        <w:rPr>
          <w:lang w:val="en-US"/>
        </w:rPr>
        <w:instrText>issue</w:instrText>
      </w:r>
      <w:r w:rsidR="00E974B2" w:rsidRPr="006C476A">
        <w:instrText>":"1","</w:instrText>
      </w:r>
      <w:r w:rsidR="00E974B2">
        <w:rPr>
          <w:lang w:val="en-US"/>
        </w:rPr>
        <w:instrText>issued</w:instrText>
      </w:r>
      <w:r w:rsidR="00E974B2" w:rsidRPr="006C476A">
        <w:instrText>":{"</w:instrText>
      </w:r>
      <w:r w:rsidR="00E974B2">
        <w:rPr>
          <w:lang w:val="en-US"/>
        </w:rPr>
        <w:instrText>date</w:instrText>
      </w:r>
      <w:r w:rsidR="00E974B2" w:rsidRPr="006C476A">
        <w:instrText>-</w:instrText>
      </w:r>
      <w:r w:rsidR="00E974B2">
        <w:rPr>
          <w:lang w:val="en-US"/>
        </w:rPr>
        <w:instrText>parts</w:instrText>
      </w:r>
      <w:r w:rsidR="00E974B2" w:rsidRPr="006C476A">
        <w:instrText>":[["2017"]]},"</w:instrText>
      </w:r>
      <w:r w:rsidR="00E974B2">
        <w:rPr>
          <w:lang w:val="en-US"/>
        </w:rPr>
        <w:instrText>page</w:instrText>
      </w:r>
      <w:r w:rsidR="00E974B2" w:rsidRPr="006C476A">
        <w:instrText>":"33-39","</w:instrText>
      </w:r>
      <w:r w:rsidR="00E974B2">
        <w:rPr>
          <w:lang w:val="en-US"/>
        </w:rPr>
        <w:instrText>publisher</w:instrText>
      </w:r>
      <w:r w:rsidR="00E974B2" w:rsidRPr="006C476A">
        <w:instrText>":"</w:instrText>
      </w:r>
      <w:r w:rsidR="00E974B2">
        <w:rPr>
          <w:lang w:val="en-US"/>
        </w:rPr>
        <w:instrText>Multimed</w:instrText>
      </w:r>
      <w:r w:rsidR="00E974B2" w:rsidRPr="006C476A">
        <w:instrText xml:space="preserve"> </w:instrText>
      </w:r>
      <w:r w:rsidR="00E974B2">
        <w:rPr>
          <w:lang w:val="en-US"/>
        </w:rPr>
        <w:instrText>Inc</w:instrText>
      </w:r>
      <w:r w:rsidR="00E974B2" w:rsidRPr="006C476A">
        <w:instrText>.","</w:instrText>
      </w:r>
      <w:r w:rsidR="00E974B2">
        <w:rPr>
          <w:lang w:val="en-US"/>
        </w:rPr>
        <w:instrText>title</w:instrText>
      </w:r>
      <w:r w:rsidR="00E974B2" w:rsidRPr="006C476A">
        <w:instrText>":"</w:instrText>
      </w:r>
      <w:r w:rsidR="00E974B2">
        <w:rPr>
          <w:lang w:val="en-US"/>
        </w:rPr>
        <w:instrText>A</w:instrText>
      </w:r>
      <w:r w:rsidR="00E974B2" w:rsidRPr="006C476A">
        <w:instrText xml:space="preserve"> </w:instrText>
      </w:r>
      <w:r w:rsidR="00E974B2">
        <w:rPr>
          <w:lang w:val="en-US"/>
        </w:rPr>
        <w:instrText>canadian</w:instrText>
      </w:r>
      <w:r w:rsidR="00E974B2" w:rsidRPr="006C476A">
        <w:instrText xml:space="preserve"> </w:instrText>
      </w:r>
      <w:r w:rsidR="00E974B2">
        <w:rPr>
          <w:lang w:val="en-US"/>
        </w:rPr>
        <w:instrText>perspective</w:instrText>
      </w:r>
      <w:r w:rsidR="00E974B2" w:rsidRPr="006C476A">
        <w:instrText xml:space="preserve"> </w:instrText>
      </w:r>
      <w:r w:rsidR="00E974B2">
        <w:rPr>
          <w:lang w:val="en-US"/>
        </w:rPr>
        <w:instrText>on</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subcutaneous</w:instrText>
      </w:r>
      <w:r w:rsidR="00E974B2" w:rsidRPr="006C476A">
        <w:instrText xml:space="preserve"> </w:instrText>
      </w:r>
      <w:r w:rsidR="00E974B2">
        <w:rPr>
          <w:lang w:val="en-US"/>
        </w:rPr>
        <w:instrText>administration</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in</w:instrText>
      </w:r>
      <w:r w:rsidR="00E974B2" w:rsidRPr="006C476A">
        <w:instrText xml:space="preserve"> </w:instrText>
      </w:r>
      <w:r w:rsidR="00E974B2">
        <w:rPr>
          <w:lang w:val="en-US"/>
        </w:rPr>
        <w:instrText>non</w:instrText>
      </w:r>
      <w:r w:rsidR="00E974B2" w:rsidRPr="006C476A">
        <w:instrText>-</w:instrText>
      </w:r>
      <w:r w:rsidR="00E974B2">
        <w:rPr>
          <w:lang w:val="en-US"/>
        </w:rPr>
        <w:instrText>Hodgkin</w:instrText>
      </w:r>
      <w:r w:rsidR="00E974B2" w:rsidRPr="006C476A">
        <w:instrText xml:space="preserve"> </w:instrText>
      </w:r>
      <w:r w:rsidR="00E974B2">
        <w:rPr>
          <w:lang w:val="en-US"/>
        </w:rPr>
        <w:instrText>lymphoma</w:instrText>
      </w:r>
      <w:r w:rsidR="00E974B2" w:rsidRPr="006C476A">
        <w:instrText>","</w:instrText>
      </w:r>
      <w:r w:rsidR="00E974B2">
        <w:rPr>
          <w:lang w:val="en-US"/>
        </w:rPr>
        <w:instrText>type</w:instrText>
      </w:r>
      <w:r w:rsidR="00E974B2" w:rsidRPr="006C476A">
        <w:instrText>":"</w:instrText>
      </w:r>
      <w:r w:rsidR="00E974B2">
        <w:rPr>
          <w:lang w:val="en-US"/>
        </w:rPr>
        <w:instrText>article</w:instrText>
      </w:r>
      <w:r w:rsidR="00E974B2" w:rsidRPr="006C476A">
        <w:instrText>","</w:instrText>
      </w:r>
      <w:r w:rsidR="00E974B2">
        <w:rPr>
          <w:lang w:val="en-US"/>
        </w:rPr>
        <w:instrText>volume</w:instrText>
      </w:r>
      <w:r w:rsidR="00E974B2" w:rsidRPr="006C476A">
        <w:instrText>":"24"},"</w:instrText>
      </w:r>
      <w:r w:rsidR="00E974B2">
        <w:rPr>
          <w:lang w:val="en-US"/>
        </w:rPr>
        <w:instrText>uris</w:instrText>
      </w:r>
      <w:r w:rsidR="00E974B2" w:rsidRPr="006C476A">
        <w:instrText>":["</w:instrText>
      </w:r>
      <w:r w:rsidR="00E974B2">
        <w:rPr>
          <w:lang w:val="en-US"/>
        </w:rPr>
        <w:instrText>http</w:instrText>
      </w:r>
      <w:r w:rsidR="00E974B2" w:rsidRPr="006C476A">
        <w:instrText>://</w:instrText>
      </w:r>
      <w:r w:rsidR="00E974B2">
        <w:rPr>
          <w:lang w:val="en-US"/>
        </w:rPr>
        <w:instrText>www</w:instrText>
      </w:r>
      <w:r w:rsidR="00E974B2" w:rsidRPr="006C476A">
        <w:instrText>.</w:instrText>
      </w:r>
      <w:r w:rsidR="00E974B2">
        <w:rPr>
          <w:lang w:val="en-US"/>
        </w:rPr>
        <w:instrText>mendeley</w:instrText>
      </w:r>
      <w:r w:rsidR="00E974B2" w:rsidRPr="006C476A">
        <w:instrText>.</w:instrText>
      </w:r>
      <w:r w:rsidR="00E974B2">
        <w:rPr>
          <w:lang w:val="en-US"/>
        </w:rPr>
        <w:instrText>com</w:instrText>
      </w:r>
      <w:r w:rsidR="00E974B2" w:rsidRPr="006C476A">
        <w:instrText>/</w:instrText>
      </w:r>
      <w:r w:rsidR="00E974B2">
        <w:rPr>
          <w:lang w:val="en-US"/>
        </w:rPr>
        <w:instrText>documents</w:instrText>
      </w:r>
      <w:r w:rsidR="00E974B2" w:rsidRPr="006C476A">
        <w:instrText>/?</w:instrText>
      </w:r>
      <w:r w:rsidR="00E974B2">
        <w:rPr>
          <w:lang w:val="en-US"/>
        </w:rPr>
        <w:instrText>uuid</w:instrText>
      </w:r>
      <w:r w:rsidR="00E974B2" w:rsidRPr="006C476A">
        <w:instrText>=0</w:instrText>
      </w:r>
      <w:r w:rsidR="00E974B2">
        <w:rPr>
          <w:lang w:val="en-US"/>
        </w:rPr>
        <w:instrText>dec</w:instrText>
      </w:r>
      <w:r w:rsidR="00E974B2" w:rsidRPr="006C476A">
        <w:instrText>225</w:instrText>
      </w:r>
      <w:r w:rsidR="00E974B2">
        <w:rPr>
          <w:lang w:val="en-US"/>
        </w:rPr>
        <w:instrText>e</w:instrText>
      </w:r>
      <w:r w:rsidR="00E974B2" w:rsidRPr="006C476A">
        <w:instrText>-8</w:instrText>
      </w:r>
      <w:r w:rsidR="00E974B2">
        <w:rPr>
          <w:lang w:val="en-US"/>
        </w:rPr>
        <w:instrText>a</w:instrText>
      </w:r>
      <w:r w:rsidR="00E974B2" w:rsidRPr="006C476A">
        <w:instrText>47-3680-</w:instrText>
      </w:r>
      <w:r w:rsidR="00E974B2">
        <w:rPr>
          <w:lang w:val="en-US"/>
        </w:rPr>
        <w:instrText>ba</w:instrText>
      </w:r>
      <w:r w:rsidR="00E974B2" w:rsidRPr="006C476A">
        <w:instrText>4</w:instrText>
      </w:r>
      <w:r w:rsidR="00E974B2">
        <w:rPr>
          <w:lang w:val="en-US"/>
        </w:rPr>
        <w:instrText>d</w:instrText>
      </w:r>
      <w:r w:rsidR="00E974B2" w:rsidRPr="006C476A">
        <w:instrText>-891955</w:instrText>
      </w:r>
      <w:r w:rsidR="00E974B2">
        <w:rPr>
          <w:lang w:val="en-US"/>
        </w:rPr>
        <w:instrText>a</w:instrText>
      </w:r>
      <w:r w:rsidR="00E974B2" w:rsidRPr="006C476A">
        <w:instrText>938</w:instrText>
      </w:r>
      <w:r w:rsidR="00E974B2">
        <w:rPr>
          <w:lang w:val="en-US"/>
        </w:rPr>
        <w:instrText>a</w:instrText>
      </w:r>
      <w:r w:rsidR="00E974B2" w:rsidRPr="006C476A">
        <w:instrText>1"]}],"</w:instrText>
      </w:r>
      <w:r w:rsidR="00E974B2">
        <w:rPr>
          <w:lang w:val="en-US"/>
        </w:rPr>
        <w:instrText>mendeley</w:instrText>
      </w:r>
      <w:r w:rsidR="00E974B2" w:rsidRPr="006C476A">
        <w:instrText>":{"</w:instrText>
      </w:r>
      <w:r w:rsidR="00E974B2">
        <w:rPr>
          <w:lang w:val="en-US"/>
        </w:rPr>
        <w:instrText>formattedCitation</w:instrText>
      </w:r>
      <w:r w:rsidR="00E974B2" w:rsidRPr="006C476A">
        <w:instrText>":"[180–183]","</w:instrText>
      </w:r>
      <w:r w:rsidR="00E974B2">
        <w:rPr>
          <w:lang w:val="en-US"/>
        </w:rPr>
        <w:instrText>plainTextFormattedCitation</w:instrText>
      </w:r>
      <w:r w:rsidR="00E974B2" w:rsidRPr="006C476A">
        <w:instrText>":"[180–183]","</w:instrText>
      </w:r>
      <w:r w:rsidR="00E974B2">
        <w:rPr>
          <w:lang w:val="en-US"/>
        </w:rPr>
        <w:instrText>previouslyFormattedCitation</w:instrText>
      </w:r>
      <w:r w:rsidR="00E974B2" w:rsidRPr="006C476A">
        <w:instrText>":"[180–183]"},"</w:instrText>
      </w:r>
      <w:r w:rsidR="00E974B2">
        <w:rPr>
          <w:lang w:val="en-US"/>
        </w:rPr>
        <w:instrText>properties</w:instrText>
      </w:r>
      <w:r w:rsidR="00E974B2" w:rsidRPr="006C476A">
        <w:instrText>":{"</w:instrText>
      </w:r>
      <w:r w:rsidR="00E974B2">
        <w:rPr>
          <w:lang w:val="en-US"/>
        </w:rPr>
        <w:instrText>noteIndex</w:instrText>
      </w:r>
      <w:r w:rsidR="00E974B2" w:rsidRPr="006C476A">
        <w:instrText>":0},"</w:instrText>
      </w:r>
      <w:r w:rsidR="00E974B2">
        <w:rPr>
          <w:lang w:val="en-US"/>
        </w:rPr>
        <w:instrText>schema</w:instrText>
      </w:r>
      <w:r w:rsidR="00E974B2" w:rsidRPr="006C476A">
        <w:instrText>":"</w:instrText>
      </w:r>
      <w:r w:rsidR="00E974B2">
        <w:rPr>
          <w:lang w:val="en-US"/>
        </w:rPr>
        <w:instrText>https</w:instrText>
      </w:r>
      <w:r w:rsidR="00E974B2" w:rsidRPr="006C476A">
        <w:instrText>://</w:instrText>
      </w:r>
      <w:r w:rsidR="00E974B2">
        <w:rPr>
          <w:lang w:val="en-US"/>
        </w:rPr>
        <w:instrText>github</w:instrText>
      </w:r>
      <w:r w:rsidR="00E974B2" w:rsidRPr="006C476A">
        <w:instrText>.</w:instrText>
      </w:r>
      <w:r w:rsidR="00E974B2">
        <w:rPr>
          <w:lang w:val="en-US"/>
        </w:rPr>
        <w:instrText>com</w:instrText>
      </w:r>
      <w:r w:rsidR="00E974B2" w:rsidRPr="006C476A">
        <w:instrText>/</w:instrText>
      </w:r>
      <w:r w:rsidR="00E974B2">
        <w:rPr>
          <w:lang w:val="en-US"/>
        </w:rPr>
        <w:instrText>citation</w:instrText>
      </w:r>
      <w:r w:rsidR="00E974B2" w:rsidRPr="006C476A">
        <w:instrText>-</w:instrText>
      </w:r>
      <w:r w:rsidR="00E974B2">
        <w:rPr>
          <w:lang w:val="en-US"/>
        </w:rPr>
        <w:instrText>style</w:instrText>
      </w:r>
      <w:r w:rsidR="00E974B2" w:rsidRPr="006C476A">
        <w:instrText>-</w:instrText>
      </w:r>
      <w:r w:rsidR="00E974B2">
        <w:rPr>
          <w:lang w:val="en-US"/>
        </w:rPr>
        <w:instrText>language</w:instrText>
      </w:r>
      <w:r w:rsidR="00E974B2" w:rsidRPr="006C476A">
        <w:instrText>/</w:instrText>
      </w:r>
      <w:r w:rsidR="00E974B2">
        <w:rPr>
          <w:lang w:val="en-US"/>
        </w:rPr>
        <w:instrText>schema</w:instrText>
      </w:r>
      <w:r w:rsidR="00E974B2" w:rsidRPr="006C476A">
        <w:instrText>/</w:instrText>
      </w:r>
      <w:r w:rsidR="00E974B2">
        <w:rPr>
          <w:lang w:val="en-US"/>
        </w:rPr>
        <w:instrText>raw</w:instrText>
      </w:r>
      <w:r w:rsidR="00E974B2" w:rsidRPr="006C476A">
        <w:instrText>/</w:instrText>
      </w:r>
      <w:r w:rsidR="00E974B2">
        <w:rPr>
          <w:lang w:val="en-US"/>
        </w:rPr>
        <w:instrText>master</w:instrText>
      </w:r>
      <w:r w:rsidR="00E974B2" w:rsidRPr="006C476A">
        <w:instrText>/</w:instrText>
      </w:r>
      <w:r w:rsidR="00E974B2">
        <w:rPr>
          <w:lang w:val="en-US"/>
        </w:rPr>
        <w:instrText>csl</w:instrText>
      </w:r>
      <w:r w:rsidR="00E974B2" w:rsidRPr="006C476A">
        <w:instrText>-</w:instrText>
      </w:r>
      <w:r w:rsidR="00E974B2">
        <w:rPr>
          <w:lang w:val="en-US"/>
        </w:rPr>
        <w:instrText>citation</w:instrText>
      </w:r>
      <w:r w:rsidR="00E974B2" w:rsidRPr="006C476A">
        <w:instrText>.</w:instrText>
      </w:r>
      <w:r w:rsidR="00E974B2">
        <w:rPr>
          <w:lang w:val="en-US"/>
        </w:rPr>
        <w:instrText>json</w:instrText>
      </w:r>
      <w:r w:rsidR="00E974B2" w:rsidRPr="006C476A">
        <w:instrText>"}</w:instrText>
      </w:r>
      <w:r w:rsidRPr="000322E4">
        <w:rPr>
          <w:lang w:val="en-US"/>
        </w:rPr>
        <w:fldChar w:fldCharType="separate"/>
      </w:r>
      <w:r w:rsidR="004C51FF" w:rsidRPr="004C51FF">
        <w:rPr>
          <w:noProof/>
        </w:rPr>
        <w:t>[180–183]</w:t>
      </w:r>
      <w:r w:rsidRPr="000322E4">
        <w:rPr>
          <w:lang w:val="en-US"/>
        </w:rPr>
        <w:fldChar w:fldCharType="end"/>
      </w:r>
    </w:p>
    <w:p w14:paraId="2D9A0635" w14:textId="77777777" w:rsidR="00666D68" w:rsidRPr="000322E4" w:rsidRDefault="00666D68" w:rsidP="008E3584">
      <w:pPr>
        <w:numPr>
          <w:ilvl w:val="0"/>
          <w:numId w:val="39"/>
        </w:numPr>
      </w:pPr>
      <w:r w:rsidRPr="000322E4">
        <w:t>Доксорубицин</w:t>
      </w:r>
      <w:r w:rsidRPr="000322E4">
        <w:rPr>
          <w:bCs/>
        </w:rPr>
        <w:t>**</w:t>
      </w:r>
      <w:r w:rsidRPr="000322E4">
        <w:t xml:space="preserve"> 50 мг/м</w:t>
      </w:r>
      <w:r w:rsidRPr="000322E4">
        <w:rPr>
          <w:vertAlign w:val="superscript"/>
        </w:rPr>
        <w:t>2</w:t>
      </w:r>
      <w:r w:rsidRPr="000322E4">
        <w:t xml:space="preserve"> в/в кап., день 1</w:t>
      </w:r>
    </w:p>
    <w:p w14:paraId="08ECDEF2" w14:textId="77777777" w:rsidR="00666D68" w:rsidRPr="000322E4" w:rsidRDefault="00666D68" w:rsidP="008E3584">
      <w:pPr>
        <w:numPr>
          <w:ilvl w:val="0"/>
          <w:numId w:val="39"/>
        </w:numPr>
      </w:pPr>
      <w:r w:rsidRPr="000322E4">
        <w:t>Циклофосфамид</w:t>
      </w:r>
      <w:r w:rsidRPr="000322E4">
        <w:rPr>
          <w:bCs/>
        </w:rPr>
        <w:t>**</w:t>
      </w:r>
      <w:r w:rsidRPr="000322E4">
        <w:t xml:space="preserve"> 750 мг/м</w:t>
      </w:r>
      <w:r w:rsidRPr="000322E4">
        <w:rPr>
          <w:vertAlign w:val="superscript"/>
        </w:rPr>
        <w:t>2</w:t>
      </w:r>
      <w:r w:rsidRPr="000322E4">
        <w:t xml:space="preserve"> в/в кап., день 1</w:t>
      </w:r>
    </w:p>
    <w:p w14:paraId="0231AC88" w14:textId="77777777" w:rsidR="00666D68" w:rsidRPr="000322E4" w:rsidRDefault="00F35A3E" w:rsidP="008E3584">
      <w:pPr>
        <w:numPr>
          <w:ilvl w:val="0"/>
          <w:numId w:val="39"/>
        </w:numPr>
      </w:pPr>
      <w:r w:rsidRPr="00F35A3E">
        <w:t>#</w:t>
      </w:r>
      <w:r w:rsidR="00666D68" w:rsidRPr="000322E4">
        <w:t>Винкристин</w:t>
      </w:r>
      <w:r w:rsidR="00666D68" w:rsidRPr="000322E4">
        <w:rPr>
          <w:bCs/>
        </w:rPr>
        <w:t>**</w:t>
      </w:r>
      <w:r w:rsidR="00666D68" w:rsidRPr="000322E4">
        <w:t xml:space="preserve"> 1,4 мг/м</w:t>
      </w:r>
      <w:r w:rsidR="00666D68" w:rsidRPr="000322E4">
        <w:rPr>
          <w:vertAlign w:val="superscript"/>
        </w:rPr>
        <w:t>2</w:t>
      </w:r>
      <w:r w:rsidR="00666D68" w:rsidRPr="000322E4">
        <w:t xml:space="preserve"> (суммарно не более 2 мг) в/в, день 1</w:t>
      </w:r>
    </w:p>
    <w:p w14:paraId="46B47CE0" w14:textId="77777777" w:rsidR="00666D68" w:rsidRPr="000322E4" w:rsidRDefault="00666D68" w:rsidP="008E3584">
      <w:pPr>
        <w:numPr>
          <w:ilvl w:val="0"/>
          <w:numId w:val="39"/>
        </w:numPr>
      </w:pPr>
      <w:r w:rsidRPr="000322E4">
        <w:t>Этопозид</w:t>
      </w:r>
      <w:r w:rsidRPr="000322E4">
        <w:rPr>
          <w:bCs/>
        </w:rPr>
        <w:t>**</w:t>
      </w:r>
      <w:r w:rsidRPr="000322E4">
        <w:t xml:space="preserve"> 100 мг/м</w:t>
      </w:r>
      <w:r w:rsidRPr="000322E4">
        <w:rPr>
          <w:vertAlign w:val="superscript"/>
        </w:rPr>
        <w:t>2</w:t>
      </w:r>
      <w:r w:rsidRPr="000322E4">
        <w:t xml:space="preserve"> в/в кап., дни 1-3</w:t>
      </w:r>
    </w:p>
    <w:p w14:paraId="1527824F" w14:textId="77777777" w:rsidR="00666D68" w:rsidRPr="000322E4" w:rsidRDefault="00666D68" w:rsidP="008E3584">
      <w:pPr>
        <w:numPr>
          <w:ilvl w:val="0"/>
          <w:numId w:val="39"/>
        </w:numPr>
      </w:pPr>
      <w:r w:rsidRPr="000322E4">
        <w:t xml:space="preserve">Преднизолон** </w:t>
      </w:r>
      <w:r w:rsidR="00A848C4" w:rsidRPr="000322E4">
        <w:t>100 мг</w:t>
      </w:r>
      <w:r w:rsidRPr="000322E4">
        <w:t xml:space="preserve"> внутрь, дни 1-5</w:t>
      </w:r>
    </w:p>
    <w:p w14:paraId="27BECE84" w14:textId="77777777" w:rsidR="00666D68" w:rsidRPr="000322E4" w:rsidRDefault="00666D68" w:rsidP="008E3584">
      <w:pPr>
        <w:ind w:left="360"/>
      </w:pPr>
      <w:r w:rsidRPr="000322E4">
        <w:lastRenderedPageBreak/>
        <w:t>Лечение возобновляется на 22 день</w:t>
      </w:r>
    </w:p>
    <w:p w14:paraId="5E05722C" w14:textId="77777777" w:rsidR="00666D68" w:rsidRPr="000322E4" w:rsidRDefault="00666D68" w:rsidP="008E3584">
      <w:pPr>
        <w:ind w:left="360"/>
      </w:pPr>
    </w:p>
    <w:p w14:paraId="11F9E21F" w14:textId="1C9795F9" w:rsidR="00666D68" w:rsidRPr="000322E4" w:rsidRDefault="00666D68" w:rsidP="008E3584">
      <w:r w:rsidRPr="000322E4">
        <w:rPr>
          <w:b/>
          <w:bCs/>
          <w:lang w:val="en-US"/>
        </w:rPr>
        <w:t>R</w:t>
      </w:r>
      <w:r w:rsidRPr="000322E4">
        <w:rPr>
          <w:b/>
          <w:bCs/>
        </w:rPr>
        <w:t>-</w:t>
      </w:r>
      <w:r w:rsidRPr="000322E4">
        <w:rPr>
          <w:b/>
          <w:bCs/>
          <w:lang w:val="en-US"/>
        </w:rPr>
        <w:t>CNOP</w:t>
      </w:r>
      <w:r w:rsidRPr="000322E4">
        <w:rPr>
          <w:b/>
          <w:bCs/>
        </w:rPr>
        <w:t xml:space="preserve"> </w:t>
      </w:r>
      <w:r w:rsidRPr="000322E4">
        <w:rPr>
          <w:b/>
          <w:bCs/>
          <w:lang w:val="en-US"/>
        </w:rPr>
        <w:fldChar w:fldCharType="begin" w:fldLock="1"/>
      </w:r>
      <w:r w:rsidR="00514D9A">
        <w:rPr>
          <w:b/>
          <w:bCs/>
          <w:lang w:val="en-US"/>
        </w:rPr>
        <w:instrText>ADDIN</w:instrText>
      </w:r>
      <w:r w:rsidR="00514D9A" w:rsidRPr="009F7A84">
        <w:rPr>
          <w:b/>
          <w:bCs/>
        </w:rPr>
        <w:instrText xml:space="preserve"> </w:instrText>
      </w:r>
      <w:r w:rsidR="00514D9A">
        <w:rPr>
          <w:b/>
          <w:bCs/>
          <w:lang w:val="en-US"/>
        </w:rPr>
        <w:instrText>CSL</w:instrText>
      </w:r>
      <w:r w:rsidR="00514D9A" w:rsidRPr="009F7A84">
        <w:rPr>
          <w:b/>
          <w:bCs/>
        </w:rPr>
        <w:instrText>_</w:instrText>
      </w:r>
      <w:r w:rsidR="00514D9A">
        <w:rPr>
          <w:b/>
          <w:bCs/>
          <w:lang w:val="en-US"/>
        </w:rPr>
        <w:instrText>CITATION</w:instrText>
      </w:r>
      <w:r w:rsidR="00514D9A" w:rsidRPr="009F7A84">
        <w:rPr>
          <w:b/>
          <w:bCs/>
        </w:rPr>
        <w:instrText xml:space="preserve"> {"</w:instrText>
      </w:r>
      <w:r w:rsidR="00514D9A">
        <w:rPr>
          <w:b/>
          <w:bCs/>
          <w:lang w:val="en-US"/>
        </w:rPr>
        <w:instrText>citationItems</w:instrText>
      </w:r>
      <w:r w:rsidR="00514D9A" w:rsidRPr="009F7A84">
        <w:rPr>
          <w:b/>
          <w:bCs/>
        </w:rPr>
        <w:instrText>":[{"</w:instrText>
      </w:r>
      <w:r w:rsidR="00514D9A">
        <w:rPr>
          <w:b/>
          <w:bCs/>
          <w:lang w:val="en-US"/>
        </w:rPr>
        <w:instrText>id</w:instrText>
      </w:r>
      <w:r w:rsidR="00514D9A" w:rsidRPr="009F7A84">
        <w:rPr>
          <w:b/>
          <w:bCs/>
        </w:rPr>
        <w:instrText>":"</w:instrText>
      </w:r>
      <w:r w:rsidR="00514D9A">
        <w:rPr>
          <w:b/>
          <w:bCs/>
          <w:lang w:val="en-US"/>
        </w:rPr>
        <w:instrText>ITEM</w:instrText>
      </w:r>
      <w:r w:rsidR="00514D9A" w:rsidRPr="009F7A84">
        <w:rPr>
          <w:b/>
          <w:bCs/>
        </w:rPr>
        <w:instrText>-1","</w:instrText>
      </w:r>
      <w:r w:rsidR="00514D9A">
        <w:rPr>
          <w:b/>
          <w:bCs/>
          <w:lang w:val="en-US"/>
        </w:rPr>
        <w:instrText>itemData</w:instrText>
      </w:r>
      <w:r w:rsidR="00514D9A" w:rsidRPr="009F7A84">
        <w:rPr>
          <w:b/>
          <w:bCs/>
        </w:rPr>
        <w:instrText>":{"</w:instrText>
      </w:r>
      <w:r w:rsidR="00514D9A">
        <w:rPr>
          <w:b/>
          <w:bCs/>
          <w:lang w:val="en-US"/>
        </w:rPr>
        <w:instrText>DOI</w:instrText>
      </w:r>
      <w:r w:rsidR="00514D9A" w:rsidRPr="009F7A84">
        <w:rPr>
          <w:b/>
          <w:bCs/>
        </w:rPr>
        <w:instrText>":"10.1200/</w:instrText>
      </w:r>
      <w:r w:rsidR="00514D9A">
        <w:rPr>
          <w:b/>
          <w:bCs/>
          <w:lang w:val="en-US"/>
        </w:rPr>
        <w:instrText>jco</w:instrText>
      </w:r>
      <w:r w:rsidR="00514D9A" w:rsidRPr="009F7A84">
        <w:rPr>
          <w:b/>
          <w:bCs/>
        </w:rPr>
        <w:instrText>.2006.24.18_</w:instrText>
      </w:r>
      <w:r w:rsidR="00514D9A">
        <w:rPr>
          <w:b/>
          <w:bCs/>
          <w:lang w:val="en-US"/>
        </w:rPr>
        <w:instrText>suppl</w:instrText>
      </w:r>
      <w:r w:rsidR="00514D9A" w:rsidRPr="009F7A84">
        <w:rPr>
          <w:b/>
          <w:bCs/>
        </w:rPr>
        <w:instrText>.7577","</w:instrText>
      </w:r>
      <w:r w:rsidR="00514D9A">
        <w:rPr>
          <w:b/>
          <w:bCs/>
          <w:lang w:val="en-US"/>
        </w:rPr>
        <w:instrText>ISSN</w:instrText>
      </w:r>
      <w:r w:rsidR="00514D9A" w:rsidRPr="009F7A84">
        <w:rPr>
          <w:b/>
          <w:bCs/>
        </w:rPr>
        <w:instrText>":"0732-183</w:instrText>
      </w:r>
      <w:r w:rsidR="00514D9A">
        <w:rPr>
          <w:b/>
          <w:bCs/>
          <w:lang w:val="en-US"/>
        </w:rPr>
        <w:instrText>X</w:instrText>
      </w:r>
      <w:r w:rsidR="00514D9A" w:rsidRPr="009F7A84">
        <w:rPr>
          <w:b/>
          <w:bCs/>
        </w:rPr>
        <w:instrText>","</w:instrText>
      </w:r>
      <w:r w:rsidR="00514D9A">
        <w:rPr>
          <w:b/>
          <w:bCs/>
          <w:lang w:val="en-US"/>
        </w:rPr>
        <w:instrText>abstract</w:instrText>
      </w:r>
      <w:r w:rsidR="00514D9A" w:rsidRPr="009F7A84">
        <w:rPr>
          <w:b/>
          <w:bCs/>
        </w:rPr>
        <w:instrText>":"&lt;</w:instrText>
      </w:r>
      <w:r w:rsidR="00514D9A">
        <w:rPr>
          <w:b/>
          <w:bCs/>
          <w:lang w:val="en-US"/>
        </w:rPr>
        <w:instrText>p</w:instrText>
      </w:r>
      <w:r w:rsidR="00514D9A" w:rsidRPr="009F7A84">
        <w:rPr>
          <w:b/>
          <w:bCs/>
        </w:rPr>
        <w:instrText>&gt;7577&lt;/</w:instrText>
      </w:r>
      <w:r w:rsidR="00514D9A">
        <w:rPr>
          <w:b/>
          <w:bCs/>
          <w:lang w:val="en-US"/>
        </w:rPr>
        <w:instrText>p</w:instrText>
      </w:r>
      <w:r w:rsidR="00514D9A" w:rsidRPr="009F7A84">
        <w:rPr>
          <w:b/>
          <w:bCs/>
        </w:rPr>
        <w:instrText>&gt;","</w:instrText>
      </w:r>
      <w:r w:rsidR="00514D9A">
        <w:rPr>
          <w:b/>
          <w:bCs/>
          <w:lang w:val="en-US"/>
        </w:rPr>
        <w:instrText>author</w:instrText>
      </w:r>
      <w:r w:rsidR="00514D9A" w:rsidRPr="009F7A84">
        <w:rPr>
          <w:b/>
          <w:bCs/>
        </w:rPr>
        <w:instrText>":[{"</w:instrText>
      </w:r>
      <w:r w:rsidR="00514D9A">
        <w:rPr>
          <w:b/>
          <w:bCs/>
          <w:lang w:val="en-US"/>
        </w:rPr>
        <w:instrText>dropping</w:instrText>
      </w:r>
      <w:r w:rsidR="00514D9A" w:rsidRPr="009F7A84">
        <w:rPr>
          <w:b/>
          <w:bCs/>
        </w:rPr>
        <w:instrText>-</w:instrText>
      </w:r>
      <w:r w:rsidR="00514D9A">
        <w:rPr>
          <w:b/>
          <w:bCs/>
          <w:lang w:val="en-US"/>
        </w:rPr>
        <w:instrText>particle</w:instrText>
      </w:r>
      <w:r w:rsidR="00514D9A" w:rsidRPr="009F7A84">
        <w:rPr>
          <w:b/>
          <w:bCs/>
        </w:rPr>
        <w:instrText>":"","</w:instrText>
      </w:r>
      <w:r w:rsidR="00514D9A">
        <w:rPr>
          <w:b/>
          <w:bCs/>
          <w:lang w:val="en-US"/>
        </w:rPr>
        <w:instrText>family</w:instrText>
      </w:r>
      <w:r w:rsidR="00514D9A" w:rsidRPr="009F7A84">
        <w:rPr>
          <w:b/>
          <w:bCs/>
        </w:rPr>
        <w:instrText>":"</w:instrText>
      </w:r>
      <w:r w:rsidR="00514D9A">
        <w:rPr>
          <w:b/>
          <w:bCs/>
          <w:lang w:val="en-US"/>
        </w:rPr>
        <w:instrText>Raefsky</w:instrText>
      </w:r>
      <w:r w:rsidR="00514D9A" w:rsidRPr="009F7A84">
        <w:rPr>
          <w:b/>
          <w:bCs/>
        </w:rPr>
        <w:instrText>","</w:instrText>
      </w:r>
      <w:r w:rsidR="00514D9A">
        <w:rPr>
          <w:b/>
          <w:bCs/>
          <w:lang w:val="en-US"/>
        </w:rPr>
        <w:instrText>given</w:instrText>
      </w:r>
      <w:r w:rsidR="00514D9A" w:rsidRPr="009F7A84">
        <w:rPr>
          <w:b/>
          <w:bCs/>
        </w:rPr>
        <w:instrText>":"</w:instrText>
      </w:r>
      <w:r w:rsidR="00514D9A">
        <w:rPr>
          <w:b/>
          <w:bCs/>
          <w:lang w:val="en-US"/>
        </w:rPr>
        <w:instrText>E</w:instrText>
      </w:r>
      <w:r w:rsidR="00514D9A" w:rsidRPr="009F7A84">
        <w:rPr>
          <w:b/>
          <w:bCs/>
        </w:rPr>
        <w:instrText xml:space="preserve">. </w:instrText>
      </w:r>
      <w:r w:rsidR="00514D9A">
        <w:rPr>
          <w:b/>
          <w:bCs/>
          <w:lang w:val="en-US"/>
        </w:rPr>
        <w:instrText>L</w:instrText>
      </w:r>
      <w:r w:rsidR="00514D9A" w:rsidRPr="009F7A84">
        <w:rPr>
          <w:b/>
          <w:bCs/>
        </w:rPr>
        <w:instrText>.","</w:instrText>
      </w:r>
      <w:r w:rsidR="00514D9A">
        <w:rPr>
          <w:b/>
          <w:bCs/>
          <w:lang w:val="en-US"/>
        </w:rPr>
        <w:instrText>non</w:instrText>
      </w:r>
      <w:r w:rsidR="00514D9A" w:rsidRPr="009F7A84">
        <w:rPr>
          <w:b/>
          <w:bCs/>
        </w:rPr>
        <w:instrText>-</w:instrText>
      </w:r>
      <w:r w:rsidR="00514D9A">
        <w:rPr>
          <w:b/>
          <w:bCs/>
          <w:lang w:val="en-US"/>
        </w:rPr>
        <w:instrText>dropping</w:instrText>
      </w:r>
      <w:r w:rsidR="00514D9A" w:rsidRPr="009F7A84">
        <w:rPr>
          <w:b/>
          <w:bCs/>
        </w:rPr>
        <w:instrText>-</w:instrText>
      </w:r>
      <w:r w:rsidR="00514D9A">
        <w:rPr>
          <w:b/>
          <w:bCs/>
          <w:lang w:val="en-US"/>
        </w:rPr>
        <w:instrText>particle</w:instrText>
      </w:r>
      <w:r w:rsidR="00514D9A" w:rsidRPr="009F7A84">
        <w:rPr>
          <w:b/>
          <w:bCs/>
        </w:rPr>
        <w:instrText>":"","</w:instrText>
      </w:r>
      <w:r w:rsidR="00514D9A">
        <w:rPr>
          <w:b/>
          <w:bCs/>
          <w:lang w:val="en-US"/>
        </w:rPr>
        <w:instrText>parse</w:instrText>
      </w:r>
      <w:r w:rsidR="00514D9A" w:rsidRPr="009F7A84">
        <w:rPr>
          <w:b/>
          <w:bCs/>
        </w:rPr>
        <w:instrText>-</w:instrText>
      </w:r>
      <w:r w:rsidR="00514D9A">
        <w:rPr>
          <w:b/>
          <w:bCs/>
          <w:lang w:val="en-US"/>
        </w:rPr>
        <w:instrText>names</w:instrText>
      </w:r>
      <w:r w:rsidR="00514D9A" w:rsidRPr="009F7A84">
        <w:rPr>
          <w:b/>
          <w:bCs/>
        </w:rPr>
        <w:instrText>":</w:instrText>
      </w:r>
      <w:r w:rsidR="00514D9A">
        <w:rPr>
          <w:b/>
          <w:bCs/>
          <w:lang w:val="en-US"/>
        </w:rPr>
        <w:instrText>false</w:instrText>
      </w:r>
      <w:r w:rsidR="00514D9A" w:rsidRPr="009F7A84">
        <w:rPr>
          <w:b/>
          <w:bCs/>
        </w:rPr>
        <w:instrText>,"</w:instrText>
      </w:r>
      <w:r w:rsidR="00514D9A">
        <w:rPr>
          <w:b/>
          <w:bCs/>
          <w:lang w:val="en-US"/>
        </w:rPr>
        <w:instrText>suffix</w:instrText>
      </w:r>
      <w:r w:rsidR="00514D9A" w:rsidRPr="009F7A84">
        <w:rPr>
          <w:b/>
          <w:bCs/>
        </w:rPr>
        <w:instrText>":""},{"</w:instrText>
      </w:r>
      <w:r w:rsidR="00514D9A">
        <w:rPr>
          <w:b/>
          <w:bCs/>
          <w:lang w:val="en-US"/>
        </w:rPr>
        <w:instrText>dropping</w:instrText>
      </w:r>
      <w:r w:rsidR="00514D9A" w:rsidRPr="009F7A84">
        <w:rPr>
          <w:b/>
          <w:bCs/>
        </w:rPr>
        <w:instrText>-</w:instrText>
      </w:r>
      <w:r w:rsidR="00514D9A">
        <w:rPr>
          <w:b/>
          <w:bCs/>
          <w:lang w:val="en-US"/>
        </w:rPr>
        <w:instrText>particle</w:instrText>
      </w:r>
      <w:r w:rsidR="00514D9A" w:rsidRPr="009F7A84">
        <w:rPr>
          <w:b/>
          <w:bCs/>
        </w:rPr>
        <w:instrText>":"","</w:instrText>
      </w:r>
      <w:r w:rsidR="00514D9A">
        <w:rPr>
          <w:b/>
          <w:bCs/>
          <w:lang w:val="en-US"/>
        </w:rPr>
        <w:instrText>family</w:instrText>
      </w:r>
      <w:r w:rsidR="00514D9A" w:rsidRPr="009F7A84">
        <w:rPr>
          <w:b/>
          <w:bCs/>
        </w:rPr>
        <w:instrText>":"</w:instrText>
      </w:r>
      <w:r w:rsidR="00514D9A">
        <w:rPr>
          <w:b/>
          <w:bCs/>
          <w:lang w:val="en-US"/>
        </w:rPr>
        <w:instrText>Greco</w:instrText>
      </w:r>
      <w:r w:rsidR="00514D9A" w:rsidRPr="009F7A84">
        <w:rPr>
          <w:b/>
          <w:bCs/>
        </w:rPr>
        <w:instrText>","</w:instrText>
      </w:r>
      <w:r w:rsidR="00514D9A">
        <w:rPr>
          <w:b/>
          <w:bCs/>
          <w:lang w:val="en-US"/>
        </w:rPr>
        <w:instrText>given</w:instrText>
      </w:r>
      <w:r w:rsidR="00514D9A" w:rsidRPr="009F7A84">
        <w:rPr>
          <w:b/>
          <w:bCs/>
        </w:rPr>
        <w:instrText>":"</w:instrText>
      </w:r>
      <w:r w:rsidR="00514D9A">
        <w:rPr>
          <w:b/>
          <w:bCs/>
          <w:lang w:val="en-US"/>
        </w:rPr>
        <w:instrText>F</w:instrText>
      </w:r>
      <w:r w:rsidR="00514D9A" w:rsidRPr="009F7A84">
        <w:rPr>
          <w:b/>
          <w:bCs/>
        </w:rPr>
        <w:instrText xml:space="preserve">. </w:instrText>
      </w:r>
      <w:r w:rsidR="00514D9A">
        <w:rPr>
          <w:b/>
          <w:bCs/>
          <w:lang w:val="en-US"/>
        </w:rPr>
        <w:instrText>A</w:instrText>
      </w:r>
      <w:r w:rsidR="00514D9A" w:rsidRPr="009F7A84">
        <w:rPr>
          <w:b/>
          <w:bCs/>
        </w:rPr>
        <w:instrText>.","</w:instrText>
      </w:r>
      <w:r w:rsidR="00514D9A">
        <w:rPr>
          <w:b/>
          <w:bCs/>
          <w:lang w:val="en-US"/>
        </w:rPr>
        <w:instrText>non</w:instrText>
      </w:r>
      <w:r w:rsidR="00514D9A" w:rsidRPr="009F7A84">
        <w:rPr>
          <w:b/>
          <w:bCs/>
        </w:rPr>
        <w:instrText>-</w:instrText>
      </w:r>
      <w:r w:rsidR="00514D9A">
        <w:rPr>
          <w:b/>
          <w:bCs/>
          <w:lang w:val="en-US"/>
        </w:rPr>
        <w:instrText>dropping</w:instrText>
      </w:r>
      <w:r w:rsidR="00514D9A" w:rsidRPr="009F7A84">
        <w:rPr>
          <w:b/>
          <w:bCs/>
        </w:rPr>
        <w:instrText>-</w:instrText>
      </w:r>
      <w:r w:rsidR="00514D9A">
        <w:rPr>
          <w:b/>
          <w:bCs/>
          <w:lang w:val="en-US"/>
        </w:rPr>
        <w:instrText>particle</w:instrText>
      </w:r>
      <w:r w:rsidR="00514D9A" w:rsidRPr="009F7A84">
        <w:rPr>
          <w:b/>
          <w:bCs/>
        </w:rPr>
        <w:instrText>":"","</w:instrText>
      </w:r>
      <w:r w:rsidR="00514D9A">
        <w:rPr>
          <w:b/>
          <w:bCs/>
          <w:lang w:val="en-US"/>
        </w:rPr>
        <w:instrText>parse</w:instrText>
      </w:r>
      <w:r w:rsidR="00514D9A" w:rsidRPr="009F7A84">
        <w:rPr>
          <w:b/>
          <w:bCs/>
        </w:rPr>
        <w:instrText>-</w:instrText>
      </w:r>
      <w:r w:rsidR="00514D9A">
        <w:rPr>
          <w:b/>
          <w:bCs/>
          <w:lang w:val="en-US"/>
        </w:rPr>
        <w:instrText>names</w:instrText>
      </w:r>
      <w:r w:rsidR="00514D9A" w:rsidRPr="009F7A84">
        <w:rPr>
          <w:b/>
          <w:bCs/>
        </w:rPr>
        <w:instrText>":</w:instrText>
      </w:r>
      <w:r w:rsidR="00514D9A">
        <w:rPr>
          <w:b/>
          <w:bCs/>
          <w:lang w:val="en-US"/>
        </w:rPr>
        <w:instrText>false</w:instrText>
      </w:r>
      <w:r w:rsidR="00514D9A" w:rsidRPr="009F7A84">
        <w:rPr>
          <w:b/>
          <w:bCs/>
        </w:rPr>
        <w:instrText>,"</w:instrText>
      </w:r>
      <w:r w:rsidR="00514D9A">
        <w:rPr>
          <w:b/>
          <w:bCs/>
          <w:lang w:val="en-US"/>
        </w:rPr>
        <w:instrText>suffix</w:instrText>
      </w:r>
      <w:r w:rsidR="00514D9A" w:rsidRPr="009F7A84">
        <w:rPr>
          <w:b/>
          <w:bCs/>
        </w:rPr>
        <w:instrText>":""},{"</w:instrText>
      </w:r>
      <w:r w:rsidR="00514D9A">
        <w:rPr>
          <w:b/>
          <w:bCs/>
          <w:lang w:val="en-US"/>
        </w:rPr>
        <w:instrText>dropping</w:instrText>
      </w:r>
      <w:r w:rsidR="00514D9A" w:rsidRPr="009F7A84">
        <w:rPr>
          <w:b/>
          <w:bCs/>
        </w:rPr>
        <w:instrText>-</w:instrText>
      </w:r>
      <w:r w:rsidR="00514D9A">
        <w:rPr>
          <w:b/>
          <w:bCs/>
          <w:lang w:val="en-US"/>
        </w:rPr>
        <w:instrText>particle</w:instrText>
      </w:r>
      <w:r w:rsidR="00514D9A" w:rsidRPr="009F7A84">
        <w:rPr>
          <w:b/>
          <w:bCs/>
        </w:rPr>
        <w:instrText>":"","</w:instrText>
      </w:r>
      <w:r w:rsidR="00514D9A">
        <w:rPr>
          <w:b/>
          <w:bCs/>
          <w:lang w:val="en-US"/>
        </w:rPr>
        <w:instrText>family</w:instrText>
      </w:r>
      <w:r w:rsidR="00514D9A" w:rsidRPr="009F7A84">
        <w:rPr>
          <w:b/>
          <w:bCs/>
        </w:rPr>
        <w:instrText>":"</w:instrText>
      </w:r>
      <w:r w:rsidR="00514D9A">
        <w:rPr>
          <w:b/>
          <w:bCs/>
          <w:lang w:val="en-US"/>
        </w:rPr>
        <w:instrText>Spigel</w:instrText>
      </w:r>
      <w:r w:rsidR="00514D9A" w:rsidRPr="009F7A84">
        <w:rPr>
          <w:b/>
          <w:bCs/>
        </w:rPr>
        <w:instrText>","</w:instrText>
      </w:r>
      <w:r w:rsidR="00514D9A">
        <w:rPr>
          <w:b/>
          <w:bCs/>
          <w:lang w:val="en-US"/>
        </w:rPr>
        <w:instrText>given</w:instrText>
      </w:r>
      <w:r w:rsidR="00514D9A" w:rsidRPr="009F7A84">
        <w:rPr>
          <w:b/>
          <w:bCs/>
        </w:rPr>
        <w:instrText>":"</w:instrText>
      </w:r>
      <w:r w:rsidR="00514D9A">
        <w:rPr>
          <w:b/>
          <w:bCs/>
          <w:lang w:val="en-US"/>
        </w:rPr>
        <w:instrText>D</w:instrText>
      </w:r>
      <w:r w:rsidR="00514D9A" w:rsidRPr="009F7A84">
        <w:rPr>
          <w:b/>
          <w:bCs/>
        </w:rPr>
        <w:instrText xml:space="preserve">. </w:instrText>
      </w:r>
      <w:r w:rsidR="00514D9A">
        <w:rPr>
          <w:b/>
          <w:bCs/>
          <w:lang w:val="en-US"/>
        </w:rPr>
        <w:instrText>R</w:instrText>
      </w:r>
      <w:r w:rsidR="00514D9A" w:rsidRPr="009F7A84">
        <w:rPr>
          <w:b/>
          <w:bCs/>
        </w:rPr>
        <w:instrText>.","</w:instrText>
      </w:r>
      <w:r w:rsidR="00514D9A">
        <w:rPr>
          <w:b/>
          <w:bCs/>
          <w:lang w:val="en-US"/>
        </w:rPr>
        <w:instrText>non</w:instrText>
      </w:r>
      <w:r w:rsidR="00514D9A" w:rsidRPr="009F7A84">
        <w:rPr>
          <w:b/>
          <w:bCs/>
        </w:rPr>
        <w:instrText>-</w:instrText>
      </w:r>
      <w:r w:rsidR="00514D9A">
        <w:rPr>
          <w:b/>
          <w:bCs/>
          <w:lang w:val="en-US"/>
        </w:rPr>
        <w:instrText>dropping</w:instrText>
      </w:r>
      <w:r w:rsidR="00514D9A" w:rsidRPr="009F7A84">
        <w:rPr>
          <w:b/>
          <w:bCs/>
        </w:rPr>
        <w:instrText>-</w:instrText>
      </w:r>
      <w:r w:rsidR="00514D9A">
        <w:rPr>
          <w:b/>
          <w:bCs/>
          <w:lang w:val="en-US"/>
        </w:rPr>
        <w:instrText>particle</w:instrText>
      </w:r>
      <w:r w:rsidR="00514D9A" w:rsidRPr="009F7A84">
        <w:rPr>
          <w:b/>
          <w:bCs/>
        </w:rPr>
        <w:instrText>":"","</w:instrText>
      </w:r>
      <w:r w:rsidR="00514D9A">
        <w:rPr>
          <w:b/>
          <w:bCs/>
          <w:lang w:val="en-US"/>
        </w:rPr>
        <w:instrText>parse</w:instrText>
      </w:r>
      <w:r w:rsidR="00514D9A" w:rsidRPr="009F7A84">
        <w:rPr>
          <w:b/>
          <w:bCs/>
        </w:rPr>
        <w:instrText>-</w:instrText>
      </w:r>
      <w:r w:rsidR="00514D9A">
        <w:rPr>
          <w:b/>
          <w:bCs/>
          <w:lang w:val="en-US"/>
        </w:rPr>
        <w:instrText>names</w:instrText>
      </w:r>
      <w:r w:rsidR="00514D9A" w:rsidRPr="009F7A84">
        <w:rPr>
          <w:b/>
          <w:bCs/>
        </w:rPr>
        <w:instrText>":</w:instrText>
      </w:r>
      <w:r w:rsidR="00514D9A">
        <w:rPr>
          <w:b/>
          <w:bCs/>
          <w:lang w:val="en-US"/>
        </w:rPr>
        <w:instrText>false</w:instrText>
      </w:r>
      <w:r w:rsidR="00514D9A" w:rsidRPr="009F7A84">
        <w:rPr>
          <w:b/>
          <w:bCs/>
        </w:rPr>
        <w:instrText>,"</w:instrText>
      </w:r>
      <w:r w:rsidR="00514D9A">
        <w:rPr>
          <w:b/>
          <w:bCs/>
          <w:lang w:val="en-US"/>
        </w:rPr>
        <w:instrText>suffix</w:instrText>
      </w:r>
      <w:r w:rsidR="00514D9A" w:rsidRPr="009F7A84">
        <w:rPr>
          <w:b/>
          <w:bCs/>
        </w:rPr>
        <w:instrText>":""},{"</w:instrText>
      </w:r>
      <w:r w:rsidR="00514D9A">
        <w:rPr>
          <w:b/>
          <w:bCs/>
          <w:lang w:val="en-US"/>
        </w:rPr>
        <w:instrText>dropping</w:instrText>
      </w:r>
      <w:r w:rsidR="00514D9A" w:rsidRPr="009F7A84">
        <w:rPr>
          <w:b/>
          <w:bCs/>
        </w:rPr>
        <w:instrText>-</w:instrText>
      </w:r>
      <w:r w:rsidR="00514D9A">
        <w:rPr>
          <w:b/>
          <w:bCs/>
          <w:lang w:val="en-US"/>
        </w:rPr>
        <w:instrText>particle</w:instrText>
      </w:r>
      <w:r w:rsidR="00514D9A" w:rsidRPr="009F7A84">
        <w:rPr>
          <w:b/>
          <w:bCs/>
        </w:rPr>
        <w:instrText>":"","</w:instrText>
      </w:r>
      <w:r w:rsidR="00514D9A">
        <w:rPr>
          <w:b/>
          <w:bCs/>
          <w:lang w:val="en-US"/>
        </w:rPr>
        <w:instrText>family</w:instrText>
      </w:r>
      <w:r w:rsidR="00514D9A" w:rsidRPr="009F7A84">
        <w:rPr>
          <w:b/>
          <w:bCs/>
        </w:rPr>
        <w:instrText>":"</w:instrText>
      </w:r>
      <w:r w:rsidR="00514D9A">
        <w:rPr>
          <w:b/>
          <w:bCs/>
          <w:lang w:val="en-US"/>
        </w:rPr>
        <w:instrText>Doss</w:instrText>
      </w:r>
      <w:r w:rsidR="00514D9A" w:rsidRPr="009F7A84">
        <w:rPr>
          <w:b/>
          <w:bCs/>
        </w:rPr>
        <w:instrText>","</w:instrText>
      </w:r>
      <w:r w:rsidR="00514D9A">
        <w:rPr>
          <w:b/>
          <w:bCs/>
          <w:lang w:val="en-US"/>
        </w:rPr>
        <w:instrText>given</w:instrText>
      </w:r>
      <w:r w:rsidR="00514D9A" w:rsidRPr="009F7A84">
        <w:rPr>
          <w:b/>
          <w:bCs/>
        </w:rPr>
        <w:instrText>":"</w:instrText>
      </w:r>
      <w:r w:rsidR="00514D9A">
        <w:rPr>
          <w:b/>
          <w:bCs/>
          <w:lang w:val="en-US"/>
        </w:rPr>
        <w:instrText>H</w:instrText>
      </w:r>
      <w:r w:rsidR="00514D9A" w:rsidRPr="009F7A84">
        <w:rPr>
          <w:b/>
          <w:bCs/>
        </w:rPr>
        <w:instrText xml:space="preserve">. </w:instrText>
      </w:r>
      <w:r w:rsidR="00514D9A">
        <w:rPr>
          <w:b/>
          <w:bCs/>
          <w:lang w:val="en-US"/>
        </w:rPr>
        <w:instrText>H</w:instrText>
      </w:r>
      <w:r w:rsidR="00514D9A" w:rsidRPr="009F7A84">
        <w:rPr>
          <w:b/>
          <w:bCs/>
        </w:rPr>
        <w:instrText>.","</w:instrText>
      </w:r>
      <w:r w:rsidR="00514D9A">
        <w:rPr>
          <w:b/>
          <w:bCs/>
          <w:lang w:val="en-US"/>
        </w:rPr>
        <w:instrText>non</w:instrText>
      </w:r>
      <w:r w:rsidR="00514D9A" w:rsidRPr="009F7A84">
        <w:rPr>
          <w:b/>
          <w:bCs/>
        </w:rPr>
        <w:instrText>-</w:instrText>
      </w:r>
      <w:r w:rsidR="00514D9A">
        <w:rPr>
          <w:b/>
          <w:bCs/>
          <w:lang w:val="en-US"/>
        </w:rPr>
        <w:instrText>dropping</w:instrText>
      </w:r>
      <w:r w:rsidR="00514D9A" w:rsidRPr="009F7A84">
        <w:rPr>
          <w:b/>
          <w:bCs/>
        </w:rPr>
        <w:instrText>-</w:instrText>
      </w:r>
      <w:r w:rsidR="00514D9A">
        <w:rPr>
          <w:b/>
          <w:bCs/>
          <w:lang w:val="en-US"/>
        </w:rPr>
        <w:instrText>particle</w:instrText>
      </w:r>
      <w:r w:rsidR="00514D9A" w:rsidRPr="009F7A84">
        <w:rPr>
          <w:b/>
          <w:bCs/>
        </w:rPr>
        <w:instrText>":"","</w:instrText>
      </w:r>
      <w:r w:rsidR="00514D9A">
        <w:rPr>
          <w:b/>
          <w:bCs/>
          <w:lang w:val="en-US"/>
        </w:rPr>
        <w:instrText>parse</w:instrText>
      </w:r>
      <w:r w:rsidR="00514D9A" w:rsidRPr="009F7A84">
        <w:rPr>
          <w:b/>
          <w:bCs/>
        </w:rPr>
        <w:instrText>-</w:instrText>
      </w:r>
      <w:r w:rsidR="00514D9A">
        <w:rPr>
          <w:b/>
          <w:bCs/>
          <w:lang w:val="en-US"/>
        </w:rPr>
        <w:instrText>names</w:instrText>
      </w:r>
      <w:r w:rsidR="00514D9A" w:rsidRPr="009F7A84">
        <w:rPr>
          <w:b/>
          <w:bCs/>
        </w:rPr>
        <w:instrText>":</w:instrText>
      </w:r>
      <w:r w:rsidR="00514D9A">
        <w:rPr>
          <w:b/>
          <w:bCs/>
          <w:lang w:val="en-US"/>
        </w:rPr>
        <w:instrText>false</w:instrText>
      </w:r>
      <w:r w:rsidR="00514D9A" w:rsidRPr="009F7A84">
        <w:rPr>
          <w:b/>
          <w:bCs/>
        </w:rPr>
        <w:instrText>,"</w:instrText>
      </w:r>
      <w:r w:rsidR="00514D9A">
        <w:rPr>
          <w:b/>
          <w:bCs/>
          <w:lang w:val="en-US"/>
        </w:rPr>
        <w:instrText>suffix</w:instrText>
      </w:r>
      <w:r w:rsidR="00514D9A" w:rsidRPr="009F7A84">
        <w:rPr>
          <w:b/>
          <w:bCs/>
        </w:rPr>
        <w:instrText>":""},{"</w:instrText>
      </w:r>
      <w:r w:rsidR="00514D9A">
        <w:rPr>
          <w:b/>
          <w:bCs/>
          <w:lang w:val="en-US"/>
        </w:rPr>
        <w:instrText>dropping</w:instrText>
      </w:r>
      <w:r w:rsidR="00514D9A" w:rsidRPr="009F7A84">
        <w:rPr>
          <w:b/>
          <w:bCs/>
        </w:rPr>
        <w:instrText>-</w:instrText>
      </w:r>
      <w:r w:rsidR="00514D9A">
        <w:rPr>
          <w:b/>
          <w:bCs/>
          <w:lang w:val="en-US"/>
        </w:rPr>
        <w:instrText>particle</w:instrText>
      </w:r>
      <w:r w:rsidR="00514D9A" w:rsidRPr="009F7A84">
        <w:rPr>
          <w:b/>
          <w:bCs/>
        </w:rPr>
        <w:instrText>":"","</w:instrText>
      </w:r>
      <w:r w:rsidR="00514D9A">
        <w:rPr>
          <w:b/>
          <w:bCs/>
          <w:lang w:val="en-US"/>
        </w:rPr>
        <w:instrText>family</w:instrText>
      </w:r>
      <w:r w:rsidR="00514D9A" w:rsidRPr="009F7A84">
        <w:rPr>
          <w:b/>
          <w:bCs/>
        </w:rPr>
        <w:instrText>":"</w:instrText>
      </w:r>
      <w:r w:rsidR="00514D9A">
        <w:rPr>
          <w:b/>
          <w:bCs/>
          <w:lang w:val="en-US"/>
        </w:rPr>
        <w:instrText>Farley</w:instrText>
      </w:r>
      <w:r w:rsidR="00514D9A" w:rsidRPr="009F7A84">
        <w:rPr>
          <w:b/>
          <w:bCs/>
        </w:rPr>
        <w:instrText>","</w:instrText>
      </w:r>
      <w:r w:rsidR="00514D9A">
        <w:rPr>
          <w:b/>
          <w:bCs/>
          <w:lang w:val="en-US"/>
        </w:rPr>
        <w:instrText>given</w:instrText>
      </w:r>
      <w:r w:rsidR="00514D9A" w:rsidRPr="009F7A84">
        <w:rPr>
          <w:b/>
          <w:bCs/>
        </w:rPr>
        <w:instrText>":"</w:instrText>
      </w:r>
      <w:r w:rsidR="00514D9A">
        <w:rPr>
          <w:b/>
          <w:bCs/>
          <w:lang w:val="en-US"/>
        </w:rPr>
        <w:instrText>C</w:instrText>
      </w:r>
      <w:r w:rsidR="00514D9A" w:rsidRPr="009F7A84">
        <w:rPr>
          <w:b/>
          <w:bCs/>
        </w:rPr>
        <w:instrText>.","</w:instrText>
      </w:r>
      <w:r w:rsidR="00514D9A">
        <w:rPr>
          <w:b/>
          <w:bCs/>
          <w:lang w:val="en-US"/>
        </w:rPr>
        <w:instrText>non</w:instrText>
      </w:r>
      <w:r w:rsidR="00514D9A" w:rsidRPr="009F7A84">
        <w:rPr>
          <w:b/>
          <w:bCs/>
        </w:rPr>
        <w:instrText>-</w:instrText>
      </w:r>
      <w:r w:rsidR="00514D9A">
        <w:rPr>
          <w:b/>
          <w:bCs/>
          <w:lang w:val="en-US"/>
        </w:rPr>
        <w:instrText>dropping</w:instrText>
      </w:r>
      <w:r w:rsidR="00514D9A" w:rsidRPr="009F7A84">
        <w:rPr>
          <w:b/>
          <w:bCs/>
        </w:rPr>
        <w:instrText>-</w:instrText>
      </w:r>
      <w:r w:rsidR="00514D9A">
        <w:rPr>
          <w:b/>
          <w:bCs/>
          <w:lang w:val="en-US"/>
        </w:rPr>
        <w:instrText>particle</w:instrText>
      </w:r>
      <w:r w:rsidR="00514D9A" w:rsidRPr="009F7A84">
        <w:rPr>
          <w:b/>
          <w:bCs/>
        </w:rPr>
        <w:instrText>":"","</w:instrText>
      </w:r>
      <w:r w:rsidR="00514D9A">
        <w:rPr>
          <w:b/>
          <w:bCs/>
          <w:lang w:val="en-US"/>
        </w:rPr>
        <w:instrText>parse</w:instrText>
      </w:r>
      <w:r w:rsidR="00514D9A" w:rsidRPr="009F7A84">
        <w:rPr>
          <w:b/>
          <w:bCs/>
        </w:rPr>
        <w:instrText>-</w:instrText>
      </w:r>
      <w:r w:rsidR="00514D9A">
        <w:rPr>
          <w:b/>
          <w:bCs/>
          <w:lang w:val="en-US"/>
        </w:rPr>
        <w:instrText>names</w:instrText>
      </w:r>
      <w:r w:rsidR="00514D9A" w:rsidRPr="009F7A84">
        <w:rPr>
          <w:b/>
          <w:bCs/>
        </w:rPr>
        <w:instrText>":</w:instrText>
      </w:r>
      <w:r w:rsidR="00514D9A">
        <w:rPr>
          <w:b/>
          <w:bCs/>
          <w:lang w:val="en-US"/>
        </w:rPr>
        <w:instrText>false</w:instrText>
      </w:r>
      <w:r w:rsidR="00514D9A" w:rsidRPr="009F7A84">
        <w:rPr>
          <w:b/>
          <w:bCs/>
        </w:rPr>
        <w:instrText>,"</w:instrText>
      </w:r>
      <w:r w:rsidR="00514D9A">
        <w:rPr>
          <w:b/>
          <w:bCs/>
          <w:lang w:val="en-US"/>
        </w:rPr>
        <w:instrText>suffix</w:instrText>
      </w:r>
      <w:r w:rsidR="00514D9A" w:rsidRPr="009F7A84">
        <w:rPr>
          <w:b/>
          <w:bCs/>
        </w:rPr>
        <w:instrText>":""},{"</w:instrText>
      </w:r>
      <w:r w:rsidR="00514D9A">
        <w:rPr>
          <w:b/>
          <w:bCs/>
          <w:lang w:val="en-US"/>
        </w:rPr>
        <w:instrText>dropping</w:instrText>
      </w:r>
      <w:r w:rsidR="00514D9A" w:rsidRPr="009F7A84">
        <w:rPr>
          <w:b/>
          <w:bCs/>
        </w:rPr>
        <w:instrText>-</w:instrText>
      </w:r>
      <w:r w:rsidR="00514D9A">
        <w:rPr>
          <w:b/>
          <w:bCs/>
          <w:lang w:val="en-US"/>
        </w:rPr>
        <w:instrText>particle</w:instrText>
      </w:r>
      <w:r w:rsidR="00514D9A" w:rsidRPr="009F7A84">
        <w:rPr>
          <w:b/>
          <w:bCs/>
        </w:rPr>
        <w:instrText>":"","</w:instrText>
      </w:r>
      <w:r w:rsidR="00514D9A">
        <w:rPr>
          <w:b/>
          <w:bCs/>
          <w:lang w:val="en-US"/>
        </w:rPr>
        <w:instrText>family</w:instrText>
      </w:r>
      <w:r w:rsidR="00514D9A" w:rsidRPr="009F7A84">
        <w:rPr>
          <w:b/>
          <w:bCs/>
        </w:rPr>
        <w:instrText>":"</w:instrText>
      </w:r>
      <w:r w:rsidR="00514D9A">
        <w:rPr>
          <w:b/>
          <w:bCs/>
          <w:lang w:val="en-US"/>
        </w:rPr>
        <w:instrText>Saez</w:instrText>
      </w:r>
      <w:r w:rsidR="00514D9A" w:rsidRPr="009F7A84">
        <w:rPr>
          <w:b/>
          <w:bCs/>
        </w:rPr>
        <w:instrText>","</w:instrText>
      </w:r>
      <w:r w:rsidR="00514D9A">
        <w:rPr>
          <w:b/>
          <w:bCs/>
          <w:lang w:val="en-US"/>
        </w:rPr>
        <w:instrText>given</w:instrText>
      </w:r>
      <w:r w:rsidR="00514D9A" w:rsidRPr="009F7A84">
        <w:rPr>
          <w:b/>
          <w:bCs/>
        </w:rPr>
        <w:instrText>":"</w:instrText>
      </w:r>
      <w:r w:rsidR="00514D9A">
        <w:rPr>
          <w:b/>
          <w:bCs/>
          <w:lang w:val="en-US"/>
        </w:rPr>
        <w:instrText>R</w:instrText>
      </w:r>
      <w:r w:rsidR="00514D9A" w:rsidRPr="009F7A84">
        <w:rPr>
          <w:b/>
          <w:bCs/>
        </w:rPr>
        <w:instrText>.","</w:instrText>
      </w:r>
      <w:r w:rsidR="00514D9A">
        <w:rPr>
          <w:b/>
          <w:bCs/>
          <w:lang w:val="en-US"/>
        </w:rPr>
        <w:instrText>non</w:instrText>
      </w:r>
      <w:r w:rsidR="00514D9A" w:rsidRPr="009F7A84">
        <w:rPr>
          <w:b/>
          <w:bCs/>
        </w:rPr>
        <w:instrText>-</w:instrText>
      </w:r>
      <w:r w:rsidR="00514D9A">
        <w:rPr>
          <w:b/>
          <w:bCs/>
          <w:lang w:val="en-US"/>
        </w:rPr>
        <w:instrText>dropping</w:instrText>
      </w:r>
      <w:r w:rsidR="00514D9A" w:rsidRPr="009F7A84">
        <w:rPr>
          <w:b/>
          <w:bCs/>
        </w:rPr>
        <w:instrText>-</w:instrText>
      </w:r>
      <w:r w:rsidR="00514D9A">
        <w:rPr>
          <w:b/>
          <w:bCs/>
          <w:lang w:val="en-US"/>
        </w:rPr>
        <w:instrText>particle</w:instrText>
      </w:r>
      <w:r w:rsidR="00514D9A" w:rsidRPr="009F7A84">
        <w:rPr>
          <w:b/>
          <w:bCs/>
        </w:rPr>
        <w:instrText>":"","</w:instrText>
      </w:r>
      <w:r w:rsidR="00514D9A">
        <w:rPr>
          <w:b/>
          <w:bCs/>
          <w:lang w:val="en-US"/>
        </w:rPr>
        <w:instrText>parse</w:instrText>
      </w:r>
      <w:r w:rsidR="00514D9A" w:rsidRPr="009F7A84">
        <w:rPr>
          <w:b/>
          <w:bCs/>
        </w:rPr>
        <w:instrText>-</w:instrText>
      </w:r>
      <w:r w:rsidR="00514D9A">
        <w:rPr>
          <w:b/>
          <w:bCs/>
          <w:lang w:val="en-US"/>
        </w:rPr>
        <w:instrText>names</w:instrText>
      </w:r>
      <w:r w:rsidR="00514D9A" w:rsidRPr="009F7A84">
        <w:rPr>
          <w:b/>
          <w:bCs/>
        </w:rPr>
        <w:instrText>":</w:instrText>
      </w:r>
      <w:r w:rsidR="00514D9A">
        <w:rPr>
          <w:b/>
          <w:bCs/>
          <w:lang w:val="en-US"/>
        </w:rPr>
        <w:instrText>false</w:instrText>
      </w:r>
      <w:r w:rsidR="00514D9A" w:rsidRPr="009F7A84">
        <w:rPr>
          <w:b/>
          <w:bCs/>
        </w:rPr>
        <w:instrText>,"</w:instrText>
      </w:r>
      <w:r w:rsidR="00514D9A">
        <w:rPr>
          <w:b/>
          <w:bCs/>
          <w:lang w:val="en-US"/>
        </w:rPr>
        <w:instrText>suffix</w:instrText>
      </w:r>
      <w:r w:rsidR="00514D9A" w:rsidRPr="009F7A84">
        <w:rPr>
          <w:b/>
          <w:bCs/>
        </w:rPr>
        <w:instrText>":""},{"</w:instrText>
      </w:r>
      <w:r w:rsidR="00514D9A">
        <w:rPr>
          <w:b/>
          <w:bCs/>
          <w:lang w:val="en-US"/>
        </w:rPr>
        <w:instrText>dropping</w:instrText>
      </w:r>
      <w:r w:rsidR="00514D9A" w:rsidRPr="009F7A84">
        <w:rPr>
          <w:b/>
          <w:bCs/>
        </w:rPr>
        <w:instrText>-</w:instrText>
      </w:r>
      <w:r w:rsidR="00514D9A">
        <w:rPr>
          <w:b/>
          <w:bCs/>
          <w:lang w:val="en-US"/>
        </w:rPr>
        <w:instrText>particle</w:instrText>
      </w:r>
      <w:r w:rsidR="00514D9A" w:rsidRPr="009F7A84">
        <w:rPr>
          <w:b/>
          <w:bCs/>
        </w:rPr>
        <w:instrText>":"","</w:instrText>
      </w:r>
      <w:r w:rsidR="00514D9A">
        <w:rPr>
          <w:b/>
          <w:bCs/>
          <w:lang w:val="en-US"/>
        </w:rPr>
        <w:instrText>family</w:instrText>
      </w:r>
      <w:r w:rsidR="00514D9A" w:rsidRPr="009F7A84">
        <w:rPr>
          <w:b/>
          <w:bCs/>
        </w:rPr>
        <w:instrText>":"</w:instrText>
      </w:r>
      <w:r w:rsidR="00514D9A">
        <w:rPr>
          <w:b/>
          <w:bCs/>
          <w:lang w:val="en-US"/>
        </w:rPr>
        <w:instrText>Kommor</w:instrText>
      </w:r>
      <w:r w:rsidR="00514D9A" w:rsidRPr="009F7A84">
        <w:rPr>
          <w:b/>
          <w:bCs/>
        </w:rPr>
        <w:instrText>","</w:instrText>
      </w:r>
      <w:r w:rsidR="00514D9A">
        <w:rPr>
          <w:b/>
          <w:bCs/>
          <w:lang w:val="en-US"/>
        </w:rPr>
        <w:instrText>given</w:instrText>
      </w:r>
      <w:r w:rsidR="00514D9A" w:rsidRPr="009F7A84">
        <w:rPr>
          <w:b/>
          <w:bCs/>
        </w:rPr>
        <w:instrText>":"</w:instrText>
      </w:r>
      <w:r w:rsidR="00514D9A">
        <w:rPr>
          <w:b/>
          <w:bCs/>
          <w:lang w:val="en-US"/>
        </w:rPr>
        <w:instrText>M</w:instrText>
      </w:r>
      <w:r w:rsidR="00514D9A" w:rsidRPr="009F7A84">
        <w:rPr>
          <w:b/>
          <w:bCs/>
        </w:rPr>
        <w:instrText>.","</w:instrText>
      </w:r>
      <w:r w:rsidR="00514D9A">
        <w:rPr>
          <w:b/>
          <w:bCs/>
          <w:lang w:val="en-US"/>
        </w:rPr>
        <w:instrText>non</w:instrText>
      </w:r>
      <w:r w:rsidR="00514D9A" w:rsidRPr="009F7A84">
        <w:rPr>
          <w:b/>
          <w:bCs/>
        </w:rPr>
        <w:instrText>-</w:instrText>
      </w:r>
      <w:r w:rsidR="00514D9A">
        <w:rPr>
          <w:b/>
          <w:bCs/>
          <w:lang w:val="en-US"/>
        </w:rPr>
        <w:instrText>dropping</w:instrText>
      </w:r>
      <w:r w:rsidR="00514D9A" w:rsidRPr="009F7A84">
        <w:rPr>
          <w:b/>
          <w:bCs/>
        </w:rPr>
        <w:instrText>-</w:instrText>
      </w:r>
      <w:r w:rsidR="00514D9A">
        <w:rPr>
          <w:b/>
          <w:bCs/>
          <w:lang w:val="en-US"/>
        </w:rPr>
        <w:instrText>particle</w:instrText>
      </w:r>
      <w:r w:rsidR="00514D9A" w:rsidRPr="009F7A84">
        <w:rPr>
          <w:b/>
          <w:bCs/>
        </w:rPr>
        <w:instrText>":"","</w:instrText>
      </w:r>
      <w:r w:rsidR="00514D9A">
        <w:rPr>
          <w:b/>
          <w:bCs/>
          <w:lang w:val="en-US"/>
        </w:rPr>
        <w:instrText>parse</w:instrText>
      </w:r>
      <w:r w:rsidR="00514D9A" w:rsidRPr="009F7A84">
        <w:rPr>
          <w:b/>
          <w:bCs/>
        </w:rPr>
        <w:instrText>-</w:instrText>
      </w:r>
      <w:r w:rsidR="00514D9A">
        <w:rPr>
          <w:b/>
          <w:bCs/>
          <w:lang w:val="en-US"/>
        </w:rPr>
        <w:instrText>names</w:instrText>
      </w:r>
      <w:r w:rsidR="00514D9A" w:rsidRPr="009F7A84">
        <w:rPr>
          <w:b/>
          <w:bCs/>
        </w:rPr>
        <w:instrText>":</w:instrText>
      </w:r>
      <w:r w:rsidR="00514D9A">
        <w:rPr>
          <w:b/>
          <w:bCs/>
          <w:lang w:val="en-US"/>
        </w:rPr>
        <w:instrText>false</w:instrText>
      </w:r>
      <w:r w:rsidR="00514D9A" w:rsidRPr="009F7A84">
        <w:rPr>
          <w:b/>
          <w:bCs/>
        </w:rPr>
        <w:instrText>,"</w:instrText>
      </w:r>
      <w:r w:rsidR="00514D9A">
        <w:rPr>
          <w:b/>
          <w:bCs/>
          <w:lang w:val="en-US"/>
        </w:rPr>
        <w:instrText>suffix</w:instrText>
      </w:r>
      <w:r w:rsidR="00514D9A" w:rsidRPr="009F7A84">
        <w:rPr>
          <w:b/>
          <w:bCs/>
        </w:rPr>
        <w:instrText>":""},{"</w:instrText>
      </w:r>
      <w:r w:rsidR="00514D9A">
        <w:rPr>
          <w:b/>
          <w:bCs/>
          <w:lang w:val="en-US"/>
        </w:rPr>
        <w:instrText>dropping</w:instrText>
      </w:r>
      <w:r w:rsidR="00514D9A" w:rsidRPr="009F7A84">
        <w:rPr>
          <w:b/>
          <w:bCs/>
        </w:rPr>
        <w:instrText>-</w:instrText>
      </w:r>
      <w:r w:rsidR="00514D9A">
        <w:rPr>
          <w:b/>
          <w:bCs/>
          <w:lang w:val="en-US"/>
        </w:rPr>
        <w:instrText>particle</w:instrText>
      </w:r>
      <w:r w:rsidR="00514D9A" w:rsidRPr="009F7A84">
        <w:rPr>
          <w:b/>
          <w:bCs/>
        </w:rPr>
        <w:instrText>":"","</w:instrText>
      </w:r>
      <w:r w:rsidR="00514D9A">
        <w:rPr>
          <w:b/>
          <w:bCs/>
          <w:lang w:val="en-US"/>
        </w:rPr>
        <w:instrText>family</w:instrText>
      </w:r>
      <w:r w:rsidR="00514D9A" w:rsidRPr="009F7A84">
        <w:rPr>
          <w:b/>
          <w:bCs/>
        </w:rPr>
        <w:instrText>":"</w:instrText>
      </w:r>
      <w:r w:rsidR="00514D9A">
        <w:rPr>
          <w:b/>
          <w:bCs/>
          <w:lang w:val="en-US"/>
        </w:rPr>
        <w:instrText>Hainsworth</w:instrText>
      </w:r>
      <w:r w:rsidR="00514D9A" w:rsidRPr="009F7A84">
        <w:rPr>
          <w:b/>
          <w:bCs/>
        </w:rPr>
        <w:instrText>","</w:instrText>
      </w:r>
      <w:r w:rsidR="00514D9A">
        <w:rPr>
          <w:b/>
          <w:bCs/>
          <w:lang w:val="en-US"/>
        </w:rPr>
        <w:instrText>given</w:instrText>
      </w:r>
      <w:r w:rsidR="00514D9A" w:rsidRPr="009F7A84">
        <w:rPr>
          <w:b/>
          <w:bCs/>
        </w:rPr>
        <w:instrText>":"</w:instrText>
      </w:r>
      <w:r w:rsidR="00514D9A">
        <w:rPr>
          <w:b/>
          <w:bCs/>
          <w:lang w:val="en-US"/>
        </w:rPr>
        <w:instrText>J</w:instrText>
      </w:r>
      <w:r w:rsidR="00514D9A" w:rsidRPr="009F7A84">
        <w:rPr>
          <w:b/>
          <w:bCs/>
        </w:rPr>
        <w:instrText xml:space="preserve">. </w:instrText>
      </w:r>
      <w:r w:rsidR="00514D9A">
        <w:rPr>
          <w:b/>
          <w:bCs/>
          <w:lang w:val="en-US"/>
        </w:rPr>
        <w:instrText>D</w:instrText>
      </w:r>
      <w:r w:rsidR="00514D9A" w:rsidRPr="009F7A84">
        <w:rPr>
          <w:b/>
          <w:bCs/>
        </w:rPr>
        <w:instrText>.","</w:instrText>
      </w:r>
      <w:r w:rsidR="00514D9A">
        <w:rPr>
          <w:b/>
          <w:bCs/>
          <w:lang w:val="en-US"/>
        </w:rPr>
        <w:instrText>non</w:instrText>
      </w:r>
      <w:r w:rsidR="00514D9A" w:rsidRPr="009F7A84">
        <w:rPr>
          <w:b/>
          <w:bCs/>
        </w:rPr>
        <w:instrText>-</w:instrText>
      </w:r>
      <w:r w:rsidR="00514D9A">
        <w:rPr>
          <w:b/>
          <w:bCs/>
          <w:lang w:val="en-US"/>
        </w:rPr>
        <w:instrText>dropping</w:instrText>
      </w:r>
      <w:r w:rsidR="00514D9A" w:rsidRPr="009F7A84">
        <w:rPr>
          <w:b/>
          <w:bCs/>
        </w:rPr>
        <w:instrText>-</w:instrText>
      </w:r>
      <w:r w:rsidR="00514D9A">
        <w:rPr>
          <w:b/>
          <w:bCs/>
          <w:lang w:val="en-US"/>
        </w:rPr>
        <w:instrText>particle</w:instrText>
      </w:r>
      <w:r w:rsidR="00514D9A" w:rsidRPr="009F7A84">
        <w:rPr>
          <w:b/>
          <w:bCs/>
        </w:rPr>
        <w:instrText>":"","</w:instrText>
      </w:r>
      <w:r w:rsidR="00514D9A">
        <w:rPr>
          <w:b/>
          <w:bCs/>
          <w:lang w:val="en-US"/>
        </w:rPr>
        <w:instrText>parse</w:instrText>
      </w:r>
      <w:r w:rsidR="00514D9A" w:rsidRPr="009F7A84">
        <w:rPr>
          <w:b/>
          <w:bCs/>
        </w:rPr>
        <w:instrText>-</w:instrText>
      </w:r>
      <w:r w:rsidR="00514D9A">
        <w:rPr>
          <w:b/>
          <w:bCs/>
          <w:lang w:val="en-US"/>
        </w:rPr>
        <w:instrText>names</w:instrText>
      </w:r>
      <w:r w:rsidR="00514D9A" w:rsidRPr="009F7A84">
        <w:rPr>
          <w:b/>
          <w:bCs/>
        </w:rPr>
        <w:instrText>":</w:instrText>
      </w:r>
      <w:r w:rsidR="00514D9A">
        <w:rPr>
          <w:b/>
          <w:bCs/>
          <w:lang w:val="en-US"/>
        </w:rPr>
        <w:instrText>false</w:instrText>
      </w:r>
      <w:r w:rsidR="00514D9A" w:rsidRPr="009F7A84">
        <w:rPr>
          <w:b/>
          <w:bCs/>
        </w:rPr>
        <w:instrText>,"</w:instrText>
      </w:r>
      <w:r w:rsidR="00514D9A">
        <w:rPr>
          <w:b/>
          <w:bCs/>
          <w:lang w:val="en-US"/>
        </w:rPr>
        <w:instrText>suffix</w:instrText>
      </w:r>
      <w:r w:rsidR="00514D9A" w:rsidRPr="009F7A84">
        <w:rPr>
          <w:b/>
          <w:bCs/>
        </w:rPr>
        <w:instrText>":""}],"</w:instrText>
      </w:r>
      <w:r w:rsidR="00514D9A">
        <w:rPr>
          <w:b/>
          <w:bCs/>
          <w:lang w:val="en-US"/>
        </w:rPr>
        <w:instrText>container</w:instrText>
      </w:r>
      <w:r w:rsidR="00514D9A" w:rsidRPr="009F7A84">
        <w:rPr>
          <w:b/>
          <w:bCs/>
        </w:rPr>
        <w:instrText>-</w:instrText>
      </w:r>
      <w:r w:rsidR="00514D9A">
        <w:rPr>
          <w:b/>
          <w:bCs/>
          <w:lang w:val="en-US"/>
        </w:rPr>
        <w:instrText>title</w:instrText>
      </w:r>
      <w:r w:rsidR="00514D9A" w:rsidRPr="009F7A84">
        <w:rPr>
          <w:b/>
          <w:bCs/>
        </w:rPr>
        <w:instrText>":"</w:instrText>
      </w:r>
      <w:r w:rsidR="00514D9A">
        <w:rPr>
          <w:b/>
          <w:bCs/>
          <w:lang w:val="en-US"/>
        </w:rPr>
        <w:instrText>Journal</w:instrText>
      </w:r>
      <w:r w:rsidR="00514D9A" w:rsidRPr="009F7A84">
        <w:rPr>
          <w:b/>
          <w:bCs/>
        </w:rPr>
        <w:instrText xml:space="preserve"> </w:instrText>
      </w:r>
      <w:r w:rsidR="00514D9A">
        <w:rPr>
          <w:b/>
          <w:bCs/>
          <w:lang w:val="en-US"/>
        </w:rPr>
        <w:instrText>of</w:instrText>
      </w:r>
      <w:r w:rsidR="00514D9A" w:rsidRPr="009F7A84">
        <w:rPr>
          <w:b/>
          <w:bCs/>
        </w:rPr>
        <w:instrText xml:space="preserve"> </w:instrText>
      </w:r>
      <w:r w:rsidR="00514D9A">
        <w:rPr>
          <w:b/>
          <w:bCs/>
          <w:lang w:val="en-US"/>
        </w:rPr>
        <w:instrText>Clinical</w:instrText>
      </w:r>
      <w:r w:rsidR="00514D9A" w:rsidRPr="009F7A84">
        <w:rPr>
          <w:b/>
          <w:bCs/>
        </w:rPr>
        <w:instrText xml:space="preserve"> </w:instrText>
      </w:r>
      <w:r w:rsidR="00514D9A">
        <w:rPr>
          <w:b/>
          <w:bCs/>
          <w:lang w:val="en-US"/>
        </w:rPr>
        <w:instrText>Oncology</w:instrText>
      </w:r>
      <w:r w:rsidR="00514D9A" w:rsidRPr="009F7A84">
        <w:rPr>
          <w:b/>
          <w:bCs/>
        </w:rPr>
        <w:instrText>","</w:instrText>
      </w:r>
      <w:r w:rsidR="00514D9A">
        <w:rPr>
          <w:b/>
          <w:bCs/>
          <w:lang w:val="en-US"/>
        </w:rPr>
        <w:instrText>id</w:instrText>
      </w:r>
      <w:r w:rsidR="00514D9A" w:rsidRPr="009F7A84">
        <w:rPr>
          <w:b/>
          <w:bCs/>
        </w:rPr>
        <w:instrText>":"</w:instrText>
      </w:r>
      <w:r w:rsidR="00514D9A">
        <w:rPr>
          <w:b/>
          <w:bCs/>
          <w:lang w:val="en-US"/>
        </w:rPr>
        <w:instrText>ITEM</w:instrText>
      </w:r>
      <w:r w:rsidR="00514D9A" w:rsidRPr="009F7A84">
        <w:rPr>
          <w:b/>
          <w:bCs/>
        </w:rPr>
        <w:instrText>-1","</w:instrText>
      </w:r>
      <w:r w:rsidR="00514D9A">
        <w:rPr>
          <w:b/>
          <w:bCs/>
          <w:lang w:val="en-US"/>
        </w:rPr>
        <w:instrText>issue</w:instrText>
      </w:r>
      <w:r w:rsidR="00514D9A" w:rsidRPr="009F7A84">
        <w:rPr>
          <w:b/>
          <w:bCs/>
        </w:rPr>
        <w:instrText>":"18_</w:instrText>
      </w:r>
      <w:r w:rsidR="00514D9A">
        <w:rPr>
          <w:b/>
          <w:bCs/>
          <w:lang w:val="en-US"/>
        </w:rPr>
        <w:instrText>suppl</w:instrText>
      </w:r>
      <w:r w:rsidR="00514D9A" w:rsidRPr="009F7A84">
        <w:rPr>
          <w:b/>
          <w:bCs/>
        </w:rPr>
        <w:instrText>","</w:instrText>
      </w:r>
      <w:r w:rsidR="00514D9A">
        <w:rPr>
          <w:b/>
          <w:bCs/>
          <w:lang w:val="en-US"/>
        </w:rPr>
        <w:instrText>issued</w:instrText>
      </w:r>
      <w:r w:rsidR="00514D9A" w:rsidRPr="009F7A84">
        <w:rPr>
          <w:b/>
          <w:bCs/>
        </w:rPr>
        <w:instrText>":{"</w:instrText>
      </w:r>
      <w:r w:rsidR="00514D9A">
        <w:rPr>
          <w:b/>
          <w:bCs/>
          <w:lang w:val="en-US"/>
        </w:rPr>
        <w:instrText>date</w:instrText>
      </w:r>
      <w:r w:rsidR="00514D9A" w:rsidRPr="009F7A84">
        <w:rPr>
          <w:b/>
          <w:bCs/>
        </w:rPr>
        <w:instrText>-</w:instrText>
      </w:r>
      <w:r w:rsidR="00514D9A">
        <w:rPr>
          <w:b/>
          <w:bCs/>
          <w:lang w:val="en-US"/>
        </w:rPr>
        <w:instrText>parts</w:instrText>
      </w:r>
      <w:r w:rsidR="00514D9A" w:rsidRPr="009F7A84">
        <w:rPr>
          <w:b/>
          <w:bCs/>
        </w:rPr>
        <w:instrText>":[["2006","6","20"]]},"</w:instrText>
      </w:r>
      <w:r w:rsidR="00514D9A">
        <w:rPr>
          <w:b/>
          <w:bCs/>
          <w:lang w:val="en-US"/>
        </w:rPr>
        <w:instrText>page":"7577-7577","publisher":"American Society of Clinical Oncology","title":"Brief duration rituximab(R)/chemotherapy (CNOP or CVP) followed by maintenance rituximab in elderly/poor performance status patients (pts) with diffuse large B-cell lymphoma (DLBCL): A phase II trial of the Minnie Pearl Cancer Research Network","type":"article-journal","volume":"24"},"uris":["http://www.mendeley.com/documents/?uuid=76f4f06c-afe0-37d5-89e5-46625af51045"]}],"mendeley":{"formattedCitation":"[56]","plainTextFormattedCitation":"[56]","previouslyFormattedCitation":"[56]"},"properties":{"noteIndex":0},"schema":"https://github.com/citation-style-language/schema/raw/master/csl-citation.json"}</w:instrText>
      </w:r>
      <w:r w:rsidRPr="000322E4">
        <w:rPr>
          <w:b/>
          <w:bCs/>
          <w:lang w:val="en-US"/>
        </w:rPr>
        <w:fldChar w:fldCharType="separate"/>
      </w:r>
      <w:r w:rsidR="00C37789" w:rsidRPr="000322E4">
        <w:rPr>
          <w:bCs/>
          <w:noProof/>
        </w:rPr>
        <w:t>[56]</w:t>
      </w:r>
      <w:r w:rsidRPr="000322E4">
        <w:rPr>
          <w:b/>
          <w:bCs/>
          <w:lang w:val="en-US"/>
        </w:rPr>
        <w:fldChar w:fldCharType="end"/>
      </w:r>
    </w:p>
    <w:p w14:paraId="3A647476" w14:textId="77777777" w:rsidR="00666D68" w:rsidRPr="000322E4" w:rsidRDefault="00666D68" w:rsidP="008E3584">
      <w:pPr>
        <w:numPr>
          <w:ilvl w:val="0"/>
          <w:numId w:val="39"/>
        </w:numPr>
      </w:pPr>
      <w:r w:rsidRPr="000322E4">
        <w:t>Ритуксимаб</w:t>
      </w:r>
      <w:r w:rsidRPr="000322E4">
        <w:rPr>
          <w:bCs/>
        </w:rPr>
        <w:t>**</w:t>
      </w:r>
      <w:r w:rsidRPr="000322E4">
        <w:t xml:space="preserve"> </w:t>
      </w:r>
      <w:r w:rsidRPr="000322E4">
        <w:fldChar w:fldCharType="begin" w:fldLock="1"/>
      </w:r>
      <w:r w:rsidRPr="000322E4">
        <w:instrText>ADDIN CSL_CITATION {"citationItems":[{"id":"ITEM-1","itemData":{"DOI":"10.1007/s12325-017-0612-x","ISSN":"18658652","abstract":"Abstract: Rituximab is a human/murine, chimeric anti-CD20 monoclonal antibody with established efficacy, and a favorable and well-defined safety profile in patients with various CD20-expressing lymphoid malignancies, including indolent and aggressive forms of B-cell non-Hodgkin lymphoma. Since its first approval 20 years ago, intravenously administered rituximab has revolutionized the treatment of B-cell malignancies and has become a standard component of care for follicular lymphoma, diffuse large B-cell lymphoma, chronic lymphocytic leukemia, and mantle cell lymphoma. For all of these diseases, clinical trials have demonstrated that rituximab not only prolongs the time to disease progression but also extends overall survival. Efficacy benefits have also been shown in patients with marginal zone lymphoma and in more aggressive diseases such as Burkitt lymphoma. Although the proven clinical efficacy and success of rituximab has led to the development of other anti-CD20 monoclonal antibodies in recent years (e.g., obinutuzumab, ofatumumab, veltuzumab, and ocrelizumab), rituximab is likely to maintain a position within the therapeutic armamentarium because it is well established with a long history of successful clinical use. Furthermore, a subcutaneous formulation of the drug has been approved both in the EU and in the USA for the treatment of B-cell malignancies. Using the wealth of data published on rituximab during the last two decades, we review the preclinical development of rituximab and the clinical experience gained in the treatment of hematologic B-cell malignancies, with a focus on the well-established intravenous route of administration. This article is a companion paper to A. Davies, et al., which is also published in this issue. Funding: F. Hoffmann-La Roche Ltd., Basel, Switzerland.","author":[{"dropping-particle":"","family":"Salles","given":"Gilles","non-dropping-particle":"","parse-names":false,"suffix":""},{"dropping-particle":"","family":"Barrett","given":"Martin","non-dropping-particle":"","parse-names":false,"suffix":""},{"dropping-particle":"","family":"Foà","given":"Robin","non-dropping-particle":"","parse-names":false,"suffix":""},{"dropping-particle":"","family":"Maurer","given":"Joerg","non-dropping-particle":"","parse-names":false,"suffix":""},{"dropping-particle":"","family":"O’Brien","given":"Susan","non-dropping-particle":"","parse-names":false,"suffix":""},{"dropping-particle":"","family":"Valente","given":"Nancy","non-dropping-particle":"","parse-names":false,"suffix":""},{"dropping-particle":"","family":"Wenger","given":"Michael","non-dropping-particle":"","parse-names":false,"suffix":""},{"dropping-particle":"","family":"Maloney","given":"David G.","non-dropping-particle":"","parse-names":false,"suffix":""}],"container-title":"Advances in Therapy","id":"ITEM-1","issue":"10","issued":{"date-parts":[["2017"]]},"page":"2232-2273","title":"Rituximab in B-Cell Hematologic Malignancies: A Review of 20 Years of Clinical Experience","type":"article","volume":"34"},"uris":["http://www.mendeley.com/documents/?uuid=99572feb-1e31-3440-866b-d3d6fcf81668"]}],"mendeley":{"formattedCitation":"[55]","plainTextFormattedCitation":"[55]","previouslyFormattedCitation":"[55]"},"properties":{"noteIndex":0},"schema":"https://github.com/citation-style-language/schema/raw/master/csl-citation.json"}</w:instrText>
      </w:r>
      <w:r w:rsidRPr="000322E4">
        <w:fldChar w:fldCharType="separate"/>
      </w:r>
      <w:r w:rsidRPr="000322E4">
        <w:rPr>
          <w:noProof/>
        </w:rPr>
        <w:t>[55]</w:t>
      </w:r>
      <w:r w:rsidRPr="000322E4">
        <w:fldChar w:fldCharType="end"/>
      </w:r>
    </w:p>
    <w:p w14:paraId="3AD4AB5C" w14:textId="77777777" w:rsidR="00666D68" w:rsidRPr="000322E4" w:rsidRDefault="00666D68" w:rsidP="008E3584">
      <w:pPr>
        <w:numPr>
          <w:ilvl w:val="1"/>
          <w:numId w:val="39"/>
        </w:numPr>
      </w:pPr>
      <w:r w:rsidRPr="000322E4">
        <w:t>375 мг/м</w:t>
      </w:r>
      <w:r w:rsidRPr="000322E4">
        <w:rPr>
          <w:vertAlign w:val="superscript"/>
        </w:rPr>
        <w:t>2</w:t>
      </w:r>
      <w:r w:rsidRPr="000322E4">
        <w:t xml:space="preserve"> в/в кап., день 0 или 1 все циклы курса</w:t>
      </w:r>
    </w:p>
    <w:p w14:paraId="0BBEAFC2" w14:textId="77777777" w:rsidR="00666D68" w:rsidRPr="000322E4" w:rsidRDefault="00666D68" w:rsidP="008E3584">
      <w:pPr>
        <w:ind w:left="1080" w:firstLine="336"/>
      </w:pPr>
      <w:r w:rsidRPr="000322E4">
        <w:t>или</w:t>
      </w:r>
    </w:p>
    <w:p w14:paraId="2D6955F5" w14:textId="1AB428AE" w:rsidR="00666D68" w:rsidRPr="000322E4" w:rsidRDefault="00666D68" w:rsidP="008E3584">
      <w:pPr>
        <w:pStyle w:val="afe"/>
        <w:numPr>
          <w:ilvl w:val="1"/>
          <w:numId w:val="39"/>
        </w:numPr>
        <w:contextualSpacing w:val="0"/>
        <w:rPr>
          <w:lang w:eastAsia="ru-RU"/>
        </w:rPr>
      </w:pPr>
      <w:r w:rsidRPr="000322E4">
        <w:rPr>
          <w:lang w:eastAsia="ru-RU"/>
        </w:rPr>
        <w:t>375 мг/м</w:t>
      </w:r>
      <w:r w:rsidRPr="000322E4">
        <w:rPr>
          <w:vertAlign w:val="superscript"/>
          <w:lang w:eastAsia="ru-RU"/>
        </w:rPr>
        <w:t>2</w:t>
      </w:r>
      <w:r w:rsidRPr="000322E4">
        <w:rPr>
          <w:lang w:eastAsia="ru-RU"/>
        </w:rPr>
        <w:t xml:space="preserve"> в/в кап. 1 цикл,</w:t>
      </w:r>
      <w:r w:rsidRPr="000322E4">
        <w:t xml:space="preserve"> далее ритуксимаб 1400 мг п/к,</w:t>
      </w:r>
      <w:r w:rsidRPr="000322E4">
        <w:rPr>
          <w:lang w:eastAsia="ru-RU"/>
        </w:rPr>
        <w:t xml:space="preserve"> день 0 или 1 </w:t>
      </w:r>
      <w:r w:rsidRPr="000322E4">
        <w:rPr>
          <w:lang w:val="en-US" w:eastAsia="ru-RU"/>
        </w:rPr>
        <w:fldChar w:fldCharType="begin" w:fldLock="1"/>
      </w:r>
      <w:r w:rsidR="00E974B2">
        <w:rPr>
          <w:lang w:val="en-US" w:eastAsia="ru-RU"/>
        </w:rPr>
        <w:instrText>ADDIN</w:instrText>
      </w:r>
      <w:r w:rsidR="00E974B2" w:rsidRPr="006447F6">
        <w:rPr>
          <w:lang w:eastAsia="ru-RU"/>
        </w:rPr>
        <w:instrText xml:space="preserve"> </w:instrText>
      </w:r>
      <w:r w:rsidR="00E974B2">
        <w:rPr>
          <w:lang w:val="en-US" w:eastAsia="ru-RU"/>
        </w:rPr>
        <w:instrText>CSL</w:instrText>
      </w:r>
      <w:r w:rsidR="00E974B2" w:rsidRPr="006447F6">
        <w:rPr>
          <w:lang w:eastAsia="ru-RU"/>
        </w:rPr>
        <w:instrText>_</w:instrText>
      </w:r>
      <w:r w:rsidR="00E974B2">
        <w:rPr>
          <w:lang w:val="en-US" w:eastAsia="ru-RU"/>
        </w:rPr>
        <w:instrText>CITATION</w:instrText>
      </w:r>
      <w:r w:rsidR="00E974B2" w:rsidRPr="006447F6">
        <w:rPr>
          <w:lang w:eastAsia="ru-RU"/>
        </w:rPr>
        <w:instrText xml:space="preserve"> {"</w:instrText>
      </w:r>
      <w:r w:rsidR="00E974B2">
        <w:rPr>
          <w:lang w:val="en-US" w:eastAsia="ru-RU"/>
        </w:rPr>
        <w:instrText>citationItems</w:instrText>
      </w:r>
      <w:r w:rsidR="00E974B2" w:rsidRPr="006447F6">
        <w:rPr>
          <w:lang w:eastAsia="ru-RU"/>
        </w:rPr>
        <w:instrText>":[{"</w:instrText>
      </w:r>
      <w:r w:rsidR="00E974B2">
        <w:rPr>
          <w:lang w:val="en-US" w:eastAsia="ru-RU"/>
        </w:rPr>
        <w:instrText>id</w:instrText>
      </w:r>
      <w:r w:rsidR="00E974B2" w:rsidRPr="006447F6">
        <w:rPr>
          <w:lang w:eastAsia="ru-RU"/>
        </w:rPr>
        <w:instrText>":"</w:instrText>
      </w:r>
      <w:r w:rsidR="00E974B2">
        <w:rPr>
          <w:lang w:val="en-US" w:eastAsia="ru-RU"/>
        </w:rPr>
        <w:instrText>ITEM</w:instrText>
      </w:r>
      <w:r w:rsidR="00E974B2" w:rsidRPr="006447F6">
        <w:rPr>
          <w:lang w:eastAsia="ru-RU"/>
        </w:rPr>
        <w:instrText>-1","</w:instrText>
      </w:r>
      <w:r w:rsidR="00E974B2">
        <w:rPr>
          <w:lang w:val="en-US" w:eastAsia="ru-RU"/>
        </w:rPr>
        <w:instrText>itemData</w:instrText>
      </w:r>
      <w:r w:rsidR="00E974B2" w:rsidRPr="006447F6">
        <w:rPr>
          <w:lang w:eastAsia="ru-RU"/>
        </w:rPr>
        <w:instrText>":{"</w:instrText>
      </w:r>
      <w:r w:rsidR="00E974B2">
        <w:rPr>
          <w:lang w:val="en-US" w:eastAsia="ru-RU"/>
        </w:rPr>
        <w:instrText>ISSN</w:instrText>
      </w:r>
      <w:r w:rsidR="00E974B2" w:rsidRPr="006447F6">
        <w:rPr>
          <w:lang w:eastAsia="ru-RU"/>
        </w:rPr>
        <w:instrText>":"2150-0878","</w:instrText>
      </w:r>
      <w:r w:rsidR="00E974B2">
        <w:rPr>
          <w:lang w:val="en-US" w:eastAsia="ru-RU"/>
        </w:rPr>
        <w:instrText>PMID</w:instrText>
      </w:r>
      <w:r w:rsidR="00E974B2" w:rsidRPr="006447F6">
        <w:rPr>
          <w:lang w:eastAsia="ru-RU"/>
        </w:rPr>
        <w:instrText>":"31086689","</w:instrText>
      </w:r>
      <w:r w:rsidR="00E974B2">
        <w:rPr>
          <w:lang w:val="en-US" w:eastAsia="ru-RU"/>
        </w:rPr>
        <w:instrText>abstract</w:instrText>
      </w:r>
      <w:r w:rsidR="00E974B2" w:rsidRPr="006447F6">
        <w:rPr>
          <w:lang w:eastAsia="ru-RU"/>
        </w:rPr>
        <w:instrText>":"</w:instrText>
      </w:r>
      <w:r w:rsidR="00E974B2">
        <w:rPr>
          <w:lang w:val="en-US" w:eastAsia="ru-RU"/>
        </w:rPr>
        <w:instrText>Rituximab</w:instrText>
      </w:r>
      <w:r w:rsidR="00E974B2" w:rsidRPr="006447F6">
        <w:rPr>
          <w:lang w:eastAsia="ru-RU"/>
        </w:rPr>
        <w:instrText xml:space="preserve"> </w:instrText>
      </w:r>
      <w:r w:rsidR="00E974B2">
        <w:rPr>
          <w:lang w:val="en-US" w:eastAsia="ru-RU"/>
        </w:rPr>
        <w:instrText>and</w:instrText>
      </w:r>
      <w:r w:rsidR="00E974B2" w:rsidRPr="006447F6">
        <w:rPr>
          <w:lang w:eastAsia="ru-RU"/>
        </w:rPr>
        <w:instrText xml:space="preserve"> </w:instrText>
      </w:r>
      <w:r w:rsidR="00E974B2">
        <w:rPr>
          <w:lang w:val="en-US" w:eastAsia="ru-RU"/>
        </w:rPr>
        <w:instrText>hyaluronidase</w:instrText>
      </w:r>
      <w:r w:rsidR="00E974B2" w:rsidRPr="006447F6">
        <w:rPr>
          <w:lang w:eastAsia="ru-RU"/>
        </w:rPr>
        <w:instrText xml:space="preserve"> </w:instrText>
      </w:r>
      <w:r w:rsidR="00E974B2">
        <w:rPr>
          <w:lang w:val="en-US" w:eastAsia="ru-RU"/>
        </w:rPr>
        <w:instrText>human</w:instrText>
      </w:r>
      <w:r w:rsidR="00E974B2" w:rsidRPr="006447F6">
        <w:rPr>
          <w:lang w:eastAsia="ru-RU"/>
        </w:rPr>
        <w:instrText xml:space="preserve"> </w:instrText>
      </w:r>
      <w:r w:rsidR="00E974B2">
        <w:rPr>
          <w:lang w:val="en-US" w:eastAsia="ru-RU"/>
        </w:rPr>
        <w:instrText>is</w:instrText>
      </w:r>
      <w:r w:rsidR="00E974B2" w:rsidRPr="006447F6">
        <w:rPr>
          <w:lang w:eastAsia="ru-RU"/>
        </w:rPr>
        <w:instrText xml:space="preserve"> </w:instrText>
      </w:r>
      <w:r w:rsidR="00E974B2">
        <w:rPr>
          <w:lang w:val="en-US" w:eastAsia="ru-RU"/>
        </w:rPr>
        <w:instrText>a</w:instrText>
      </w:r>
      <w:r w:rsidR="00E974B2" w:rsidRPr="006447F6">
        <w:rPr>
          <w:lang w:eastAsia="ru-RU"/>
        </w:rPr>
        <w:instrText xml:space="preserve"> </w:instrText>
      </w:r>
      <w:r w:rsidR="00E974B2">
        <w:rPr>
          <w:lang w:val="en-US" w:eastAsia="ru-RU"/>
        </w:rPr>
        <w:instrText>new</w:instrText>
      </w:r>
      <w:r w:rsidR="00E974B2" w:rsidRPr="006447F6">
        <w:rPr>
          <w:lang w:eastAsia="ru-RU"/>
        </w:rPr>
        <w:instrText xml:space="preserve"> </w:instrText>
      </w:r>
      <w:r w:rsidR="00E974B2">
        <w:rPr>
          <w:lang w:val="en-US" w:eastAsia="ru-RU"/>
        </w:rPr>
        <w:instrText>subcutaneous</w:instrText>
      </w:r>
      <w:r w:rsidR="00E974B2" w:rsidRPr="006447F6">
        <w:rPr>
          <w:lang w:eastAsia="ru-RU"/>
        </w:rPr>
        <w:instrText xml:space="preserve"> </w:instrText>
      </w:r>
      <w:r w:rsidR="00E974B2">
        <w:rPr>
          <w:lang w:val="en-US" w:eastAsia="ru-RU"/>
        </w:rPr>
        <w:instrText>formulation</w:instrText>
      </w:r>
      <w:r w:rsidR="00E974B2" w:rsidRPr="006447F6">
        <w:rPr>
          <w:lang w:eastAsia="ru-RU"/>
        </w:rPr>
        <w:instrText xml:space="preserve"> </w:instrText>
      </w:r>
      <w:r w:rsidR="00E974B2">
        <w:rPr>
          <w:lang w:val="en-US" w:eastAsia="ru-RU"/>
        </w:rPr>
        <w:instrText>of</w:instrText>
      </w:r>
      <w:r w:rsidR="00E974B2" w:rsidRPr="006447F6">
        <w:rPr>
          <w:lang w:eastAsia="ru-RU"/>
        </w:rPr>
        <w:instrText xml:space="preserve"> </w:instrText>
      </w:r>
      <w:r w:rsidR="00E974B2">
        <w:rPr>
          <w:lang w:val="en-US" w:eastAsia="ru-RU"/>
        </w:rPr>
        <w:instrText>rituximab</w:instrText>
      </w:r>
      <w:r w:rsidR="00E974B2" w:rsidRPr="006447F6">
        <w:rPr>
          <w:lang w:eastAsia="ru-RU"/>
        </w:rPr>
        <w:instrText xml:space="preserve"> </w:instrText>
      </w:r>
      <w:r w:rsidR="00E974B2">
        <w:rPr>
          <w:lang w:val="en-US" w:eastAsia="ru-RU"/>
        </w:rPr>
        <w:instrText>that</w:instrText>
      </w:r>
      <w:r w:rsidR="00E974B2" w:rsidRPr="006447F6">
        <w:rPr>
          <w:lang w:eastAsia="ru-RU"/>
        </w:rPr>
        <w:instrText xml:space="preserve"> </w:instrText>
      </w:r>
      <w:r w:rsidR="00E974B2">
        <w:rPr>
          <w:lang w:val="en-US" w:eastAsia="ru-RU"/>
        </w:rPr>
        <w:instrText>was</w:instrText>
      </w:r>
      <w:r w:rsidR="00E974B2" w:rsidRPr="006447F6">
        <w:rPr>
          <w:lang w:eastAsia="ru-RU"/>
        </w:rPr>
        <w:instrText xml:space="preserve"> </w:instrText>
      </w:r>
      <w:r w:rsidR="00E974B2">
        <w:rPr>
          <w:lang w:val="en-US" w:eastAsia="ru-RU"/>
        </w:rPr>
        <w:instrText>recently</w:instrText>
      </w:r>
      <w:r w:rsidR="00E974B2" w:rsidRPr="006447F6">
        <w:rPr>
          <w:lang w:eastAsia="ru-RU"/>
        </w:rPr>
        <w:instrText xml:space="preserve"> </w:instrText>
      </w:r>
      <w:r w:rsidR="00E974B2">
        <w:rPr>
          <w:lang w:val="en-US" w:eastAsia="ru-RU"/>
        </w:rPr>
        <w:instrText>approved</w:instrText>
      </w:r>
      <w:r w:rsidR="00E974B2" w:rsidRPr="006447F6">
        <w:rPr>
          <w:lang w:eastAsia="ru-RU"/>
        </w:rPr>
        <w:instrText xml:space="preserve"> </w:instrText>
      </w:r>
      <w:r w:rsidR="00E974B2">
        <w:rPr>
          <w:lang w:val="en-US" w:eastAsia="ru-RU"/>
        </w:rPr>
        <w:instrText>by</w:instrText>
      </w:r>
      <w:r w:rsidR="00E974B2" w:rsidRPr="006447F6">
        <w:rPr>
          <w:lang w:eastAsia="ru-RU"/>
        </w:rPr>
        <w:instrText xml:space="preserve"> </w:instrText>
      </w:r>
      <w:r w:rsidR="00E974B2">
        <w:rPr>
          <w:lang w:val="en-US" w:eastAsia="ru-RU"/>
        </w:rPr>
        <w:instrText>the</w:instrText>
      </w:r>
      <w:r w:rsidR="00E974B2" w:rsidRPr="006447F6">
        <w:rPr>
          <w:lang w:eastAsia="ru-RU"/>
        </w:rPr>
        <w:instrText xml:space="preserve"> </w:instrText>
      </w:r>
      <w:r w:rsidR="00E974B2">
        <w:rPr>
          <w:lang w:val="en-US" w:eastAsia="ru-RU"/>
        </w:rPr>
        <w:instrText>US</w:instrText>
      </w:r>
      <w:r w:rsidR="00E974B2" w:rsidRPr="006447F6">
        <w:rPr>
          <w:lang w:eastAsia="ru-RU"/>
        </w:rPr>
        <w:instrText xml:space="preserve"> </w:instrText>
      </w:r>
      <w:r w:rsidR="00E974B2">
        <w:rPr>
          <w:lang w:val="en-US" w:eastAsia="ru-RU"/>
        </w:rPr>
        <w:instrText>Food</w:instrText>
      </w:r>
      <w:r w:rsidR="00E974B2" w:rsidRPr="006447F6">
        <w:rPr>
          <w:lang w:eastAsia="ru-RU"/>
        </w:rPr>
        <w:instrText xml:space="preserve"> </w:instrText>
      </w:r>
      <w:r w:rsidR="00E974B2">
        <w:rPr>
          <w:lang w:val="en-US" w:eastAsia="ru-RU"/>
        </w:rPr>
        <w:instrText>and</w:instrText>
      </w:r>
      <w:r w:rsidR="00E974B2" w:rsidRPr="006447F6">
        <w:rPr>
          <w:lang w:eastAsia="ru-RU"/>
        </w:rPr>
        <w:instrText xml:space="preserve"> </w:instrText>
      </w:r>
      <w:r w:rsidR="00E974B2">
        <w:rPr>
          <w:lang w:val="en-US" w:eastAsia="ru-RU"/>
        </w:rPr>
        <w:instrText>Drug</w:instrText>
      </w:r>
      <w:r w:rsidR="00E974B2" w:rsidRPr="006447F6">
        <w:rPr>
          <w:lang w:eastAsia="ru-RU"/>
        </w:rPr>
        <w:instrText xml:space="preserve"> </w:instrText>
      </w:r>
      <w:r w:rsidR="00E974B2">
        <w:rPr>
          <w:lang w:val="en-US" w:eastAsia="ru-RU"/>
        </w:rPr>
        <w:instrText>Administration</w:instrText>
      </w:r>
      <w:r w:rsidR="00E974B2" w:rsidRPr="006447F6">
        <w:rPr>
          <w:lang w:eastAsia="ru-RU"/>
        </w:rPr>
        <w:instrText xml:space="preserve"> </w:instrText>
      </w:r>
      <w:r w:rsidR="00E974B2">
        <w:rPr>
          <w:lang w:val="en-US" w:eastAsia="ru-RU"/>
        </w:rPr>
        <w:instrText>for</w:instrText>
      </w:r>
      <w:r w:rsidR="00E974B2" w:rsidRPr="006447F6">
        <w:rPr>
          <w:lang w:eastAsia="ru-RU"/>
        </w:rPr>
        <w:instrText xml:space="preserve"> </w:instrText>
      </w:r>
      <w:r w:rsidR="00E974B2">
        <w:rPr>
          <w:lang w:val="en-US" w:eastAsia="ru-RU"/>
        </w:rPr>
        <w:instrText>the</w:instrText>
      </w:r>
      <w:r w:rsidR="00E974B2" w:rsidRPr="006447F6">
        <w:rPr>
          <w:lang w:eastAsia="ru-RU"/>
        </w:rPr>
        <w:instrText xml:space="preserve"> </w:instrText>
      </w:r>
      <w:r w:rsidR="00E974B2">
        <w:rPr>
          <w:lang w:val="en-US" w:eastAsia="ru-RU"/>
        </w:rPr>
        <w:instrText>treatment</w:instrText>
      </w:r>
      <w:r w:rsidR="00E974B2" w:rsidRPr="006447F6">
        <w:rPr>
          <w:lang w:eastAsia="ru-RU"/>
        </w:rPr>
        <w:instrText xml:space="preserve"> </w:instrText>
      </w:r>
      <w:r w:rsidR="00E974B2">
        <w:rPr>
          <w:lang w:val="en-US" w:eastAsia="ru-RU"/>
        </w:rPr>
        <w:instrText>of</w:instrText>
      </w:r>
      <w:r w:rsidR="00E974B2" w:rsidRPr="006447F6">
        <w:rPr>
          <w:lang w:eastAsia="ru-RU"/>
        </w:rPr>
        <w:instrText xml:space="preserve"> </w:instrText>
      </w:r>
      <w:r w:rsidR="00E974B2">
        <w:rPr>
          <w:lang w:val="en-US" w:eastAsia="ru-RU"/>
        </w:rPr>
        <w:instrText>adults</w:instrText>
      </w:r>
      <w:r w:rsidR="00E974B2" w:rsidRPr="006447F6">
        <w:rPr>
          <w:lang w:eastAsia="ru-RU"/>
        </w:rPr>
        <w:instrText xml:space="preserve"> </w:instrText>
      </w:r>
      <w:r w:rsidR="00E974B2">
        <w:rPr>
          <w:lang w:val="en-US" w:eastAsia="ru-RU"/>
        </w:rPr>
        <w:instrText>with</w:instrText>
      </w:r>
      <w:r w:rsidR="00E974B2" w:rsidRPr="006447F6">
        <w:rPr>
          <w:lang w:eastAsia="ru-RU"/>
        </w:rPr>
        <w:instrText xml:space="preserve"> </w:instrText>
      </w:r>
      <w:r w:rsidR="00E974B2">
        <w:rPr>
          <w:lang w:val="en-US" w:eastAsia="ru-RU"/>
        </w:rPr>
        <w:instrText>follicular</w:instrText>
      </w:r>
      <w:r w:rsidR="00E974B2" w:rsidRPr="006447F6">
        <w:rPr>
          <w:lang w:eastAsia="ru-RU"/>
        </w:rPr>
        <w:instrText xml:space="preserve"> </w:instrText>
      </w:r>
      <w:r w:rsidR="00E974B2">
        <w:rPr>
          <w:lang w:val="en-US" w:eastAsia="ru-RU"/>
        </w:rPr>
        <w:instrText>lymphoma</w:instrText>
      </w:r>
      <w:r w:rsidR="00E974B2" w:rsidRPr="006447F6">
        <w:rPr>
          <w:lang w:eastAsia="ru-RU"/>
        </w:rPr>
        <w:instrText xml:space="preserve">, </w:instrText>
      </w:r>
      <w:r w:rsidR="00E974B2">
        <w:rPr>
          <w:lang w:val="en-US" w:eastAsia="ru-RU"/>
        </w:rPr>
        <w:instrText>diffuse</w:instrText>
      </w:r>
      <w:r w:rsidR="00E974B2" w:rsidRPr="006447F6">
        <w:rPr>
          <w:lang w:eastAsia="ru-RU"/>
        </w:rPr>
        <w:instrText xml:space="preserve"> </w:instrText>
      </w:r>
      <w:r w:rsidR="00E974B2">
        <w:rPr>
          <w:lang w:val="en-US" w:eastAsia="ru-RU"/>
        </w:rPr>
        <w:instrText>large</w:instrText>
      </w:r>
      <w:r w:rsidR="00E974B2" w:rsidRPr="006447F6">
        <w:rPr>
          <w:lang w:eastAsia="ru-RU"/>
        </w:rPr>
        <w:instrText xml:space="preserve"> </w:instrText>
      </w:r>
      <w:r w:rsidR="00E974B2">
        <w:rPr>
          <w:lang w:val="en-US" w:eastAsia="ru-RU"/>
        </w:rPr>
        <w:instrText>B</w:instrText>
      </w:r>
      <w:r w:rsidR="00E974B2" w:rsidRPr="006447F6">
        <w:rPr>
          <w:lang w:eastAsia="ru-RU"/>
        </w:rPr>
        <w:instrText>-</w:instrText>
      </w:r>
      <w:r w:rsidR="00E974B2">
        <w:rPr>
          <w:lang w:val="en-US" w:eastAsia="ru-RU"/>
        </w:rPr>
        <w:instrText>cell</w:instrText>
      </w:r>
      <w:r w:rsidR="00E974B2" w:rsidRPr="006447F6">
        <w:rPr>
          <w:lang w:eastAsia="ru-RU"/>
        </w:rPr>
        <w:instrText xml:space="preserve"> </w:instrText>
      </w:r>
      <w:r w:rsidR="00E974B2">
        <w:rPr>
          <w:lang w:val="en-US" w:eastAsia="ru-RU"/>
        </w:rPr>
        <w:instrText>lymphoma</w:instrText>
      </w:r>
      <w:r w:rsidR="00E974B2" w:rsidRPr="006447F6">
        <w:rPr>
          <w:lang w:eastAsia="ru-RU"/>
        </w:rPr>
        <w:instrText xml:space="preserve">, </w:instrText>
      </w:r>
      <w:r w:rsidR="00E974B2">
        <w:rPr>
          <w:lang w:val="en-US" w:eastAsia="ru-RU"/>
        </w:rPr>
        <w:instrText>and</w:instrText>
      </w:r>
      <w:r w:rsidR="00E974B2" w:rsidRPr="006447F6">
        <w:rPr>
          <w:lang w:eastAsia="ru-RU"/>
        </w:rPr>
        <w:instrText xml:space="preserve"> </w:instrText>
      </w:r>
      <w:r w:rsidR="00E974B2">
        <w:rPr>
          <w:lang w:val="en-US" w:eastAsia="ru-RU"/>
        </w:rPr>
        <w:instrText>chronic</w:instrText>
      </w:r>
      <w:r w:rsidR="00E974B2" w:rsidRPr="006447F6">
        <w:rPr>
          <w:lang w:eastAsia="ru-RU"/>
        </w:rPr>
        <w:instrText xml:space="preserve"> </w:instrText>
      </w:r>
      <w:r w:rsidR="00E974B2">
        <w:rPr>
          <w:lang w:val="en-US" w:eastAsia="ru-RU"/>
        </w:rPr>
        <w:instrText>lymphocytic</w:instrText>
      </w:r>
      <w:r w:rsidR="00E974B2" w:rsidRPr="006447F6">
        <w:rPr>
          <w:lang w:eastAsia="ru-RU"/>
        </w:rPr>
        <w:instrText xml:space="preserve"> </w:instrText>
      </w:r>
      <w:r w:rsidR="00E974B2">
        <w:rPr>
          <w:lang w:val="en-US" w:eastAsia="ru-RU"/>
        </w:rPr>
        <w:instrText>leukemia</w:instrText>
      </w:r>
      <w:r w:rsidR="00E974B2" w:rsidRPr="006447F6">
        <w:rPr>
          <w:lang w:eastAsia="ru-RU"/>
        </w:rPr>
        <w:instrText xml:space="preserve">. </w:instrText>
      </w:r>
      <w:r w:rsidR="00E974B2">
        <w:rPr>
          <w:lang w:val="en-US" w:eastAsia="ru-RU"/>
        </w:rPr>
        <w:instrText>With</w:instrText>
      </w:r>
      <w:r w:rsidR="00E974B2" w:rsidRPr="006447F6">
        <w:rPr>
          <w:lang w:eastAsia="ru-RU"/>
        </w:rPr>
        <w:instrText xml:space="preserve"> </w:instrText>
      </w:r>
      <w:r w:rsidR="00E974B2">
        <w:rPr>
          <w:lang w:val="en-US" w:eastAsia="ru-RU"/>
        </w:rPr>
        <w:instrText>data</w:instrText>
      </w:r>
      <w:r w:rsidR="00E974B2" w:rsidRPr="006447F6">
        <w:rPr>
          <w:lang w:eastAsia="ru-RU"/>
        </w:rPr>
        <w:instrText xml:space="preserve"> </w:instrText>
      </w:r>
      <w:r w:rsidR="00E974B2">
        <w:rPr>
          <w:lang w:val="en-US" w:eastAsia="ru-RU"/>
        </w:rPr>
        <w:instrText>to</w:instrText>
      </w:r>
      <w:r w:rsidR="00E974B2" w:rsidRPr="006447F6">
        <w:rPr>
          <w:lang w:eastAsia="ru-RU"/>
        </w:rPr>
        <w:instrText xml:space="preserve"> </w:instrText>
      </w:r>
      <w:r w:rsidR="00E974B2">
        <w:rPr>
          <w:lang w:val="en-US" w:eastAsia="ru-RU"/>
        </w:rPr>
        <w:instrText>support</w:instrText>
      </w:r>
      <w:r w:rsidR="00E974B2" w:rsidRPr="006447F6">
        <w:rPr>
          <w:lang w:eastAsia="ru-RU"/>
        </w:rPr>
        <w:instrText xml:space="preserve"> </w:instrText>
      </w:r>
      <w:r w:rsidR="00E974B2">
        <w:rPr>
          <w:lang w:val="en-US" w:eastAsia="ru-RU"/>
        </w:rPr>
        <w:instrText>noninferior</w:instrText>
      </w:r>
      <w:r w:rsidR="00E974B2" w:rsidRPr="006447F6">
        <w:rPr>
          <w:lang w:eastAsia="ru-RU"/>
        </w:rPr>
        <w:instrText xml:space="preserve"> </w:instrText>
      </w:r>
      <w:r w:rsidR="00E974B2">
        <w:rPr>
          <w:lang w:val="en-US" w:eastAsia="ru-RU"/>
        </w:rPr>
        <w:instrText>pharmacokinetics</w:instrText>
      </w:r>
      <w:r w:rsidR="00E974B2" w:rsidRPr="006447F6">
        <w:rPr>
          <w:lang w:eastAsia="ru-RU"/>
        </w:rPr>
        <w:instrText xml:space="preserve">, </w:instrText>
      </w:r>
      <w:r w:rsidR="00E974B2">
        <w:rPr>
          <w:lang w:val="en-US" w:eastAsia="ru-RU"/>
        </w:rPr>
        <w:instrText>similar</w:instrText>
      </w:r>
      <w:r w:rsidR="00E974B2" w:rsidRPr="006447F6">
        <w:rPr>
          <w:lang w:eastAsia="ru-RU"/>
        </w:rPr>
        <w:instrText xml:space="preserve"> </w:instrText>
      </w:r>
      <w:r w:rsidR="00E974B2">
        <w:rPr>
          <w:lang w:val="en-US" w:eastAsia="ru-RU"/>
        </w:rPr>
        <w:instrText>outcomes</w:instrText>
      </w:r>
      <w:r w:rsidR="00E974B2" w:rsidRPr="006447F6">
        <w:rPr>
          <w:lang w:eastAsia="ru-RU"/>
        </w:rPr>
        <w:instrText xml:space="preserve">, </w:instrText>
      </w:r>
      <w:r w:rsidR="00E974B2">
        <w:rPr>
          <w:lang w:val="en-US" w:eastAsia="ru-RU"/>
        </w:rPr>
        <w:instrText>and</w:instrText>
      </w:r>
      <w:r w:rsidR="00E974B2" w:rsidRPr="006447F6">
        <w:rPr>
          <w:lang w:eastAsia="ru-RU"/>
        </w:rPr>
        <w:instrText xml:space="preserve"> </w:instrText>
      </w:r>
      <w:r w:rsidR="00E974B2">
        <w:rPr>
          <w:lang w:val="en-US" w:eastAsia="ru-RU"/>
        </w:rPr>
        <w:instrText>comparable</w:instrText>
      </w:r>
      <w:r w:rsidR="00E974B2" w:rsidRPr="006447F6">
        <w:rPr>
          <w:lang w:eastAsia="ru-RU"/>
        </w:rPr>
        <w:instrText xml:space="preserve"> </w:instrText>
      </w:r>
      <w:r w:rsidR="00E974B2">
        <w:rPr>
          <w:lang w:val="en-US" w:eastAsia="ru-RU"/>
        </w:rPr>
        <w:instrText>adverse</w:instrText>
      </w:r>
      <w:r w:rsidR="00E974B2" w:rsidRPr="006447F6">
        <w:rPr>
          <w:lang w:eastAsia="ru-RU"/>
        </w:rPr>
        <w:instrText xml:space="preserve"> </w:instrText>
      </w:r>
      <w:r w:rsidR="00E974B2">
        <w:rPr>
          <w:lang w:val="en-US" w:eastAsia="ru-RU"/>
        </w:rPr>
        <w:instrText>events</w:instrText>
      </w:r>
      <w:r w:rsidR="00E974B2" w:rsidRPr="006447F6">
        <w:rPr>
          <w:lang w:eastAsia="ru-RU"/>
        </w:rPr>
        <w:instrText xml:space="preserve">, </w:instrText>
      </w:r>
      <w:r w:rsidR="00E974B2">
        <w:rPr>
          <w:lang w:val="en-US" w:eastAsia="ru-RU"/>
        </w:rPr>
        <w:instrText>rituximab</w:instrText>
      </w:r>
      <w:r w:rsidR="00E974B2" w:rsidRPr="006447F6">
        <w:rPr>
          <w:lang w:eastAsia="ru-RU"/>
        </w:rPr>
        <w:instrText xml:space="preserve"> </w:instrText>
      </w:r>
      <w:r w:rsidR="00E974B2">
        <w:rPr>
          <w:lang w:val="en-US" w:eastAsia="ru-RU"/>
        </w:rPr>
        <w:instrText>and</w:instrText>
      </w:r>
      <w:r w:rsidR="00E974B2" w:rsidRPr="006447F6">
        <w:rPr>
          <w:lang w:eastAsia="ru-RU"/>
        </w:rPr>
        <w:instrText xml:space="preserve"> </w:instrText>
      </w:r>
      <w:r w:rsidR="00E974B2">
        <w:rPr>
          <w:lang w:val="en-US" w:eastAsia="ru-RU"/>
        </w:rPr>
        <w:instrText>hyaluronidase</w:instrText>
      </w:r>
      <w:r w:rsidR="00E974B2" w:rsidRPr="006447F6">
        <w:rPr>
          <w:lang w:eastAsia="ru-RU"/>
        </w:rPr>
        <w:instrText xml:space="preserve"> </w:instrText>
      </w:r>
      <w:r w:rsidR="00E974B2">
        <w:rPr>
          <w:lang w:val="en-US" w:eastAsia="ru-RU"/>
        </w:rPr>
        <w:instrText>human</w:instrText>
      </w:r>
      <w:r w:rsidR="00E974B2" w:rsidRPr="006447F6">
        <w:rPr>
          <w:lang w:eastAsia="ru-RU"/>
        </w:rPr>
        <w:instrText xml:space="preserve"> </w:instrText>
      </w:r>
      <w:r w:rsidR="00E974B2">
        <w:rPr>
          <w:lang w:val="en-US" w:eastAsia="ru-RU"/>
        </w:rPr>
        <w:instrText>may</w:instrText>
      </w:r>
      <w:r w:rsidR="00E974B2" w:rsidRPr="006447F6">
        <w:rPr>
          <w:lang w:eastAsia="ru-RU"/>
        </w:rPr>
        <w:instrText xml:space="preserve"> </w:instrText>
      </w:r>
      <w:r w:rsidR="00E974B2">
        <w:rPr>
          <w:lang w:val="en-US" w:eastAsia="ru-RU"/>
        </w:rPr>
        <w:instrText>offer</w:instrText>
      </w:r>
      <w:r w:rsidR="00E974B2" w:rsidRPr="006447F6">
        <w:rPr>
          <w:lang w:eastAsia="ru-RU"/>
        </w:rPr>
        <w:instrText xml:space="preserve"> </w:instrText>
      </w:r>
      <w:r w:rsidR="00E974B2">
        <w:rPr>
          <w:lang w:val="en-US" w:eastAsia="ru-RU"/>
        </w:rPr>
        <w:instrText>a</w:instrText>
      </w:r>
      <w:r w:rsidR="00E974B2" w:rsidRPr="006447F6">
        <w:rPr>
          <w:lang w:eastAsia="ru-RU"/>
        </w:rPr>
        <w:instrText xml:space="preserve"> </w:instrText>
      </w:r>
      <w:r w:rsidR="00E974B2">
        <w:rPr>
          <w:lang w:val="en-US" w:eastAsia="ru-RU"/>
        </w:rPr>
        <w:instrText>suitable</w:instrText>
      </w:r>
      <w:r w:rsidR="00E974B2" w:rsidRPr="006447F6">
        <w:rPr>
          <w:lang w:eastAsia="ru-RU"/>
        </w:rPr>
        <w:instrText xml:space="preserve"> </w:instrText>
      </w:r>
      <w:r w:rsidR="00E974B2">
        <w:rPr>
          <w:lang w:val="en-US" w:eastAsia="ru-RU"/>
        </w:rPr>
        <w:instrText>alternative</w:instrText>
      </w:r>
      <w:r w:rsidR="00E974B2" w:rsidRPr="006447F6">
        <w:rPr>
          <w:lang w:eastAsia="ru-RU"/>
        </w:rPr>
        <w:instrText xml:space="preserve"> </w:instrText>
      </w:r>
      <w:r w:rsidR="00E974B2">
        <w:rPr>
          <w:lang w:val="en-US" w:eastAsia="ru-RU"/>
        </w:rPr>
        <w:instrText>to</w:instrText>
      </w:r>
      <w:r w:rsidR="00E974B2" w:rsidRPr="006447F6">
        <w:rPr>
          <w:lang w:eastAsia="ru-RU"/>
        </w:rPr>
        <w:instrText xml:space="preserve"> </w:instrText>
      </w:r>
      <w:r w:rsidR="00E974B2">
        <w:rPr>
          <w:lang w:val="en-US" w:eastAsia="ru-RU"/>
        </w:rPr>
        <w:instrText>intravenous</w:instrText>
      </w:r>
      <w:r w:rsidR="00E974B2" w:rsidRPr="006447F6">
        <w:rPr>
          <w:lang w:eastAsia="ru-RU"/>
        </w:rPr>
        <w:instrText xml:space="preserve"> </w:instrText>
      </w:r>
      <w:r w:rsidR="00E974B2">
        <w:rPr>
          <w:lang w:val="en-US" w:eastAsia="ru-RU"/>
        </w:rPr>
        <w:instrText>rituximab</w:instrText>
      </w:r>
      <w:r w:rsidR="00E974B2" w:rsidRPr="006447F6">
        <w:rPr>
          <w:lang w:eastAsia="ru-RU"/>
        </w:rPr>
        <w:instrText xml:space="preserve"> </w:instrText>
      </w:r>
      <w:r w:rsidR="00E974B2">
        <w:rPr>
          <w:lang w:val="en-US" w:eastAsia="ru-RU"/>
        </w:rPr>
        <w:instrText>that</w:instrText>
      </w:r>
      <w:r w:rsidR="00E974B2" w:rsidRPr="006447F6">
        <w:rPr>
          <w:lang w:eastAsia="ru-RU"/>
        </w:rPr>
        <w:instrText xml:space="preserve"> </w:instrText>
      </w:r>
      <w:r w:rsidR="00E974B2">
        <w:rPr>
          <w:lang w:val="en-US" w:eastAsia="ru-RU"/>
        </w:rPr>
        <w:instrText>could</w:instrText>
      </w:r>
      <w:r w:rsidR="00E974B2" w:rsidRPr="006447F6">
        <w:rPr>
          <w:lang w:eastAsia="ru-RU"/>
        </w:rPr>
        <w:instrText xml:space="preserve"> </w:instrText>
      </w:r>
      <w:r w:rsidR="00E974B2">
        <w:rPr>
          <w:lang w:val="en-US" w:eastAsia="ru-RU"/>
        </w:rPr>
        <w:instrText>improve</w:instrText>
      </w:r>
      <w:r w:rsidR="00E974B2" w:rsidRPr="006447F6">
        <w:rPr>
          <w:lang w:eastAsia="ru-RU"/>
        </w:rPr>
        <w:instrText xml:space="preserve"> </w:instrText>
      </w:r>
      <w:r w:rsidR="00E974B2">
        <w:rPr>
          <w:lang w:val="en-US" w:eastAsia="ru-RU"/>
        </w:rPr>
        <w:instrText>convenience</w:instrText>
      </w:r>
      <w:r w:rsidR="00E974B2" w:rsidRPr="006447F6">
        <w:rPr>
          <w:lang w:eastAsia="ru-RU"/>
        </w:rPr>
        <w:instrText xml:space="preserve"> </w:instrText>
      </w:r>
      <w:r w:rsidR="00E974B2">
        <w:rPr>
          <w:lang w:val="en-US" w:eastAsia="ru-RU"/>
        </w:rPr>
        <w:instrText>for</w:instrText>
      </w:r>
      <w:r w:rsidR="00E974B2" w:rsidRPr="006447F6">
        <w:rPr>
          <w:lang w:eastAsia="ru-RU"/>
        </w:rPr>
        <w:instrText xml:space="preserve"> </w:instrText>
      </w:r>
      <w:r w:rsidR="00E974B2">
        <w:rPr>
          <w:lang w:val="en-US" w:eastAsia="ru-RU"/>
        </w:rPr>
        <w:instrText>patients</w:instrText>
      </w:r>
      <w:r w:rsidR="00E974B2" w:rsidRPr="006447F6">
        <w:rPr>
          <w:lang w:eastAsia="ru-RU"/>
        </w:rPr>
        <w:instrText xml:space="preserve"> </w:instrText>
      </w:r>
      <w:r w:rsidR="00E974B2">
        <w:rPr>
          <w:lang w:val="en-US" w:eastAsia="ru-RU"/>
        </w:rPr>
        <w:instrText>and</w:instrText>
      </w:r>
      <w:r w:rsidR="00E974B2" w:rsidRPr="006447F6">
        <w:rPr>
          <w:lang w:eastAsia="ru-RU"/>
        </w:rPr>
        <w:instrText xml:space="preserve"> </w:instrText>
      </w:r>
      <w:r w:rsidR="00E974B2">
        <w:rPr>
          <w:lang w:val="en-US" w:eastAsia="ru-RU"/>
        </w:rPr>
        <w:instrText>better</w:instrText>
      </w:r>
      <w:r w:rsidR="00E974B2" w:rsidRPr="006447F6">
        <w:rPr>
          <w:lang w:eastAsia="ru-RU"/>
        </w:rPr>
        <w:instrText xml:space="preserve"> </w:instrText>
      </w:r>
      <w:r w:rsidR="00E974B2">
        <w:rPr>
          <w:lang w:val="en-US" w:eastAsia="ru-RU"/>
        </w:rPr>
        <w:instrText>utilize</w:instrText>
      </w:r>
      <w:r w:rsidR="00E974B2" w:rsidRPr="006447F6">
        <w:rPr>
          <w:lang w:eastAsia="ru-RU"/>
        </w:rPr>
        <w:instrText xml:space="preserve"> </w:instrText>
      </w:r>
      <w:r w:rsidR="00E974B2">
        <w:rPr>
          <w:lang w:val="en-US" w:eastAsia="ru-RU"/>
        </w:rPr>
        <w:instrText>health</w:instrText>
      </w:r>
      <w:r w:rsidR="00E974B2" w:rsidRPr="006447F6">
        <w:rPr>
          <w:lang w:eastAsia="ru-RU"/>
        </w:rPr>
        <w:instrText>-</w:instrText>
      </w:r>
      <w:r w:rsidR="00E974B2">
        <w:rPr>
          <w:lang w:val="en-US" w:eastAsia="ru-RU"/>
        </w:rPr>
        <w:instrText>care</w:instrText>
      </w:r>
      <w:r w:rsidR="00E974B2" w:rsidRPr="006447F6">
        <w:rPr>
          <w:lang w:eastAsia="ru-RU"/>
        </w:rPr>
        <w:instrText xml:space="preserve"> </w:instrText>
      </w:r>
      <w:r w:rsidR="00E974B2">
        <w:rPr>
          <w:lang w:val="en-US" w:eastAsia="ru-RU"/>
        </w:rPr>
        <w:instrText>resources</w:instrText>
      </w:r>
      <w:r w:rsidR="00E974B2" w:rsidRPr="006447F6">
        <w:rPr>
          <w:lang w:eastAsia="ru-RU"/>
        </w:rPr>
        <w:instrText>.","</w:instrText>
      </w:r>
      <w:r w:rsidR="00E974B2">
        <w:rPr>
          <w:lang w:val="en-US" w:eastAsia="ru-RU"/>
        </w:rPr>
        <w:instrText>author</w:instrText>
      </w:r>
      <w:r w:rsidR="00E974B2" w:rsidRPr="006447F6">
        <w:rPr>
          <w:lang w:eastAsia="ru-RU"/>
        </w:rPr>
        <w:instrText>":[{"</w:instrText>
      </w:r>
      <w:r w:rsidR="00E974B2">
        <w:rPr>
          <w:lang w:val="en-US" w:eastAsia="ru-RU"/>
        </w:rPr>
        <w:instrText>dropping</w:instrText>
      </w:r>
      <w:r w:rsidR="00E974B2" w:rsidRPr="006447F6">
        <w:rPr>
          <w:lang w:eastAsia="ru-RU"/>
        </w:rPr>
        <w:instrText>-</w:instrText>
      </w:r>
      <w:r w:rsidR="00E974B2">
        <w:rPr>
          <w:lang w:val="en-US" w:eastAsia="ru-RU"/>
        </w:rPr>
        <w:instrText>particle</w:instrText>
      </w:r>
      <w:r w:rsidR="00E974B2" w:rsidRPr="006447F6">
        <w:rPr>
          <w:lang w:eastAsia="ru-RU"/>
        </w:rPr>
        <w:instrText>":"","</w:instrText>
      </w:r>
      <w:r w:rsidR="00E974B2">
        <w:rPr>
          <w:lang w:val="en-US" w:eastAsia="ru-RU"/>
        </w:rPr>
        <w:instrText>family</w:instrText>
      </w:r>
      <w:r w:rsidR="00E974B2" w:rsidRPr="006447F6">
        <w:rPr>
          <w:lang w:eastAsia="ru-RU"/>
        </w:rPr>
        <w:instrText>":"</w:instrText>
      </w:r>
      <w:r w:rsidR="00E974B2">
        <w:rPr>
          <w:lang w:val="en-US" w:eastAsia="ru-RU"/>
        </w:rPr>
        <w:instrText>Yelvington</w:instrText>
      </w:r>
      <w:r w:rsidR="00E974B2" w:rsidRPr="006447F6">
        <w:rPr>
          <w:lang w:eastAsia="ru-RU"/>
        </w:rPr>
        <w:instrText>","</w:instrText>
      </w:r>
      <w:r w:rsidR="00E974B2">
        <w:rPr>
          <w:lang w:val="en-US" w:eastAsia="ru-RU"/>
        </w:rPr>
        <w:instrText>given</w:instrText>
      </w:r>
      <w:r w:rsidR="00E974B2" w:rsidRPr="006447F6">
        <w:rPr>
          <w:lang w:eastAsia="ru-RU"/>
        </w:rPr>
        <w:instrText>":"</w:instrText>
      </w:r>
      <w:r w:rsidR="00E974B2">
        <w:rPr>
          <w:lang w:val="en-US" w:eastAsia="ru-RU"/>
        </w:rPr>
        <w:instrText>Bradley</w:instrText>
      </w:r>
      <w:r w:rsidR="00E974B2" w:rsidRPr="006447F6">
        <w:rPr>
          <w:lang w:eastAsia="ru-RU"/>
        </w:rPr>
        <w:instrText xml:space="preserve"> </w:instrText>
      </w:r>
      <w:r w:rsidR="00E974B2">
        <w:rPr>
          <w:lang w:val="en-US" w:eastAsia="ru-RU"/>
        </w:rPr>
        <w:instrText>J</w:instrText>
      </w:r>
      <w:r w:rsidR="00E974B2" w:rsidRPr="006447F6">
        <w:rPr>
          <w:lang w:eastAsia="ru-RU"/>
        </w:rPr>
        <w:instrText>","</w:instrText>
      </w:r>
      <w:r w:rsidR="00E974B2">
        <w:rPr>
          <w:lang w:val="en-US" w:eastAsia="ru-RU"/>
        </w:rPr>
        <w:instrText>non</w:instrText>
      </w:r>
      <w:r w:rsidR="00E974B2" w:rsidRPr="006447F6">
        <w:rPr>
          <w:lang w:eastAsia="ru-RU"/>
        </w:rPr>
        <w:instrText>-</w:instrText>
      </w:r>
      <w:r w:rsidR="00E974B2">
        <w:rPr>
          <w:lang w:val="en-US" w:eastAsia="ru-RU"/>
        </w:rPr>
        <w:instrText>dropping</w:instrText>
      </w:r>
      <w:r w:rsidR="00E974B2" w:rsidRPr="006447F6">
        <w:rPr>
          <w:lang w:eastAsia="ru-RU"/>
        </w:rPr>
        <w:instrText>-</w:instrText>
      </w:r>
      <w:r w:rsidR="00E974B2">
        <w:rPr>
          <w:lang w:val="en-US" w:eastAsia="ru-RU"/>
        </w:rPr>
        <w:instrText>particle</w:instrText>
      </w:r>
      <w:r w:rsidR="00E974B2" w:rsidRPr="006447F6">
        <w:rPr>
          <w:lang w:eastAsia="ru-RU"/>
        </w:rPr>
        <w:instrText>":"","</w:instrText>
      </w:r>
      <w:r w:rsidR="00E974B2">
        <w:rPr>
          <w:lang w:val="en-US" w:eastAsia="ru-RU"/>
        </w:rPr>
        <w:instrText>parse</w:instrText>
      </w:r>
      <w:r w:rsidR="00E974B2" w:rsidRPr="006447F6">
        <w:rPr>
          <w:lang w:eastAsia="ru-RU"/>
        </w:rPr>
        <w:instrText>-</w:instrText>
      </w:r>
      <w:r w:rsidR="00E974B2">
        <w:rPr>
          <w:lang w:val="en-US" w:eastAsia="ru-RU"/>
        </w:rPr>
        <w:instrText>names</w:instrText>
      </w:r>
      <w:r w:rsidR="00E974B2" w:rsidRPr="006447F6">
        <w:rPr>
          <w:lang w:eastAsia="ru-RU"/>
        </w:rPr>
        <w:instrText>":</w:instrText>
      </w:r>
      <w:r w:rsidR="00E974B2">
        <w:rPr>
          <w:lang w:val="en-US" w:eastAsia="ru-RU"/>
        </w:rPr>
        <w:instrText>false</w:instrText>
      </w:r>
      <w:r w:rsidR="00E974B2" w:rsidRPr="006447F6">
        <w:rPr>
          <w:lang w:eastAsia="ru-RU"/>
        </w:rPr>
        <w:instrText>,"</w:instrText>
      </w:r>
      <w:r w:rsidR="00E974B2">
        <w:rPr>
          <w:lang w:val="en-US" w:eastAsia="ru-RU"/>
        </w:rPr>
        <w:instrText>suffix</w:instrText>
      </w:r>
      <w:r w:rsidR="00E974B2" w:rsidRPr="006447F6">
        <w:rPr>
          <w:lang w:eastAsia="ru-RU"/>
        </w:rPr>
        <w:instrText>":""}],"</w:instrText>
      </w:r>
      <w:r w:rsidR="00E974B2">
        <w:rPr>
          <w:lang w:val="en-US" w:eastAsia="ru-RU"/>
        </w:rPr>
        <w:instrText>container</w:instrText>
      </w:r>
      <w:r w:rsidR="00E974B2" w:rsidRPr="006447F6">
        <w:rPr>
          <w:lang w:eastAsia="ru-RU"/>
        </w:rPr>
        <w:instrText>-</w:instrText>
      </w:r>
      <w:r w:rsidR="00E974B2">
        <w:rPr>
          <w:lang w:val="en-US" w:eastAsia="ru-RU"/>
        </w:rPr>
        <w:instrText>title</w:instrText>
      </w:r>
      <w:r w:rsidR="00E974B2" w:rsidRPr="006447F6">
        <w:rPr>
          <w:lang w:eastAsia="ru-RU"/>
        </w:rPr>
        <w:instrText>":"</w:instrText>
      </w:r>
      <w:r w:rsidR="00E974B2">
        <w:rPr>
          <w:lang w:val="en-US" w:eastAsia="ru-RU"/>
        </w:rPr>
        <w:instrText>Journal</w:instrText>
      </w:r>
      <w:r w:rsidR="00E974B2" w:rsidRPr="006447F6">
        <w:rPr>
          <w:lang w:eastAsia="ru-RU"/>
        </w:rPr>
        <w:instrText xml:space="preserve"> </w:instrText>
      </w:r>
      <w:r w:rsidR="00E974B2">
        <w:rPr>
          <w:lang w:val="en-US" w:eastAsia="ru-RU"/>
        </w:rPr>
        <w:instrText>of</w:instrText>
      </w:r>
      <w:r w:rsidR="00E974B2" w:rsidRPr="006447F6">
        <w:rPr>
          <w:lang w:eastAsia="ru-RU"/>
        </w:rPr>
        <w:instrText xml:space="preserve"> </w:instrText>
      </w:r>
      <w:r w:rsidR="00E974B2">
        <w:rPr>
          <w:lang w:val="en-US" w:eastAsia="ru-RU"/>
        </w:rPr>
        <w:instrText>the</w:instrText>
      </w:r>
      <w:r w:rsidR="00E974B2" w:rsidRPr="006447F6">
        <w:rPr>
          <w:lang w:eastAsia="ru-RU"/>
        </w:rPr>
        <w:instrText xml:space="preserve"> </w:instrText>
      </w:r>
      <w:r w:rsidR="00E974B2">
        <w:rPr>
          <w:lang w:val="en-US" w:eastAsia="ru-RU"/>
        </w:rPr>
        <w:instrText>advanced</w:instrText>
      </w:r>
      <w:r w:rsidR="00E974B2" w:rsidRPr="006447F6">
        <w:rPr>
          <w:lang w:eastAsia="ru-RU"/>
        </w:rPr>
        <w:instrText xml:space="preserve"> </w:instrText>
      </w:r>
      <w:r w:rsidR="00E974B2">
        <w:rPr>
          <w:lang w:val="en-US" w:eastAsia="ru-RU"/>
        </w:rPr>
        <w:instrText>practitioner</w:instrText>
      </w:r>
      <w:r w:rsidR="00E974B2" w:rsidRPr="006447F6">
        <w:rPr>
          <w:lang w:eastAsia="ru-RU"/>
        </w:rPr>
        <w:instrText xml:space="preserve"> </w:instrText>
      </w:r>
      <w:r w:rsidR="00E974B2">
        <w:rPr>
          <w:lang w:val="en-US" w:eastAsia="ru-RU"/>
        </w:rPr>
        <w:instrText>in</w:instrText>
      </w:r>
      <w:r w:rsidR="00E974B2" w:rsidRPr="006447F6">
        <w:rPr>
          <w:lang w:eastAsia="ru-RU"/>
        </w:rPr>
        <w:instrText xml:space="preserve"> </w:instrText>
      </w:r>
      <w:r w:rsidR="00E974B2">
        <w:rPr>
          <w:lang w:val="en-US" w:eastAsia="ru-RU"/>
        </w:rPr>
        <w:instrText>oncology</w:instrText>
      </w:r>
      <w:r w:rsidR="00E974B2" w:rsidRPr="006447F6">
        <w:rPr>
          <w:lang w:eastAsia="ru-RU"/>
        </w:rPr>
        <w:instrText>","</w:instrText>
      </w:r>
      <w:r w:rsidR="00E974B2">
        <w:rPr>
          <w:lang w:val="en-US" w:eastAsia="ru-RU"/>
        </w:rPr>
        <w:instrText>id</w:instrText>
      </w:r>
      <w:r w:rsidR="00E974B2" w:rsidRPr="006447F6">
        <w:rPr>
          <w:lang w:eastAsia="ru-RU"/>
        </w:rPr>
        <w:instrText>":"</w:instrText>
      </w:r>
      <w:r w:rsidR="00E974B2">
        <w:rPr>
          <w:lang w:val="en-US" w:eastAsia="ru-RU"/>
        </w:rPr>
        <w:instrText>ITEM</w:instrText>
      </w:r>
      <w:r w:rsidR="00E974B2" w:rsidRPr="006447F6">
        <w:rPr>
          <w:lang w:eastAsia="ru-RU"/>
        </w:rPr>
        <w:instrText>-1","</w:instrText>
      </w:r>
      <w:r w:rsidR="00E974B2">
        <w:rPr>
          <w:lang w:val="en-US" w:eastAsia="ru-RU"/>
        </w:rPr>
        <w:instrText>issue</w:instrText>
      </w:r>
      <w:r w:rsidR="00E974B2" w:rsidRPr="006447F6">
        <w:rPr>
          <w:lang w:eastAsia="ru-RU"/>
        </w:rPr>
        <w:instrText>":"5","</w:instrText>
      </w:r>
      <w:r w:rsidR="00E974B2">
        <w:rPr>
          <w:lang w:val="en-US" w:eastAsia="ru-RU"/>
        </w:rPr>
        <w:instrText>issued</w:instrText>
      </w:r>
      <w:r w:rsidR="00E974B2" w:rsidRPr="006447F6">
        <w:rPr>
          <w:lang w:eastAsia="ru-RU"/>
        </w:rPr>
        <w:instrText>":{"</w:instrText>
      </w:r>
      <w:r w:rsidR="00E974B2">
        <w:rPr>
          <w:lang w:val="en-US" w:eastAsia="ru-RU"/>
        </w:rPr>
        <w:instrText>date</w:instrText>
      </w:r>
      <w:r w:rsidR="00E974B2" w:rsidRPr="006447F6">
        <w:rPr>
          <w:lang w:eastAsia="ru-RU"/>
        </w:rPr>
        <w:instrText>-</w:instrText>
      </w:r>
      <w:r w:rsidR="00E974B2">
        <w:rPr>
          <w:lang w:val="en-US" w:eastAsia="ru-RU"/>
        </w:rPr>
        <w:instrText>parts</w:instrText>
      </w:r>
      <w:r w:rsidR="00E974B2" w:rsidRPr="006447F6">
        <w:rPr>
          <w:lang w:eastAsia="ru-RU"/>
        </w:rPr>
        <w:instrText>":[["2018"]]},"</w:instrText>
      </w:r>
      <w:r w:rsidR="00E974B2">
        <w:rPr>
          <w:lang w:val="en-US" w:eastAsia="ru-RU"/>
        </w:rPr>
        <w:instrText>page</w:instrText>
      </w:r>
      <w:r w:rsidR="00E974B2" w:rsidRPr="006447F6">
        <w:rPr>
          <w:lang w:eastAsia="ru-RU"/>
        </w:rPr>
        <w:instrText>":"530-534","</w:instrText>
      </w:r>
      <w:r w:rsidR="00E974B2">
        <w:rPr>
          <w:lang w:val="en-US" w:eastAsia="ru-RU"/>
        </w:rPr>
        <w:instrText>publisher</w:instrText>
      </w:r>
      <w:r w:rsidR="00E974B2" w:rsidRPr="006447F6">
        <w:rPr>
          <w:lang w:eastAsia="ru-RU"/>
        </w:rPr>
        <w:instrText>":"</w:instrText>
      </w:r>
      <w:r w:rsidR="00E974B2">
        <w:rPr>
          <w:lang w:val="en-US" w:eastAsia="ru-RU"/>
        </w:rPr>
        <w:instrText>Harborside</w:instrText>
      </w:r>
      <w:r w:rsidR="00E974B2" w:rsidRPr="006447F6">
        <w:rPr>
          <w:lang w:eastAsia="ru-RU"/>
        </w:rPr>
        <w:instrText xml:space="preserve"> </w:instrText>
      </w:r>
      <w:r w:rsidR="00E974B2">
        <w:rPr>
          <w:lang w:val="en-US" w:eastAsia="ru-RU"/>
        </w:rPr>
        <w:instrText>Press</w:instrText>
      </w:r>
      <w:r w:rsidR="00E974B2" w:rsidRPr="006447F6">
        <w:rPr>
          <w:lang w:eastAsia="ru-RU"/>
        </w:rPr>
        <w:instrText>","</w:instrText>
      </w:r>
      <w:r w:rsidR="00E974B2">
        <w:rPr>
          <w:lang w:val="en-US" w:eastAsia="ru-RU"/>
        </w:rPr>
        <w:instrText>title</w:instrText>
      </w:r>
      <w:r w:rsidR="00E974B2" w:rsidRPr="006447F6">
        <w:rPr>
          <w:lang w:eastAsia="ru-RU"/>
        </w:rPr>
        <w:instrText>":"</w:instrText>
      </w:r>
      <w:r w:rsidR="00E974B2">
        <w:rPr>
          <w:lang w:val="en-US" w:eastAsia="ru-RU"/>
        </w:rPr>
        <w:instrText>Subcutaneous</w:instrText>
      </w:r>
      <w:r w:rsidR="00E974B2" w:rsidRPr="006447F6">
        <w:rPr>
          <w:lang w:eastAsia="ru-RU"/>
        </w:rPr>
        <w:instrText xml:space="preserve"> </w:instrText>
      </w:r>
      <w:r w:rsidR="00E974B2">
        <w:rPr>
          <w:lang w:val="en-US" w:eastAsia="ru-RU"/>
        </w:rPr>
        <w:instrText>Rituximab</w:instrText>
      </w:r>
      <w:r w:rsidR="00E974B2" w:rsidRPr="006447F6">
        <w:rPr>
          <w:lang w:eastAsia="ru-RU"/>
        </w:rPr>
        <w:instrText xml:space="preserve"> </w:instrText>
      </w:r>
      <w:r w:rsidR="00E974B2">
        <w:rPr>
          <w:lang w:val="en-US" w:eastAsia="ru-RU"/>
        </w:rPr>
        <w:instrText>in</w:instrText>
      </w:r>
      <w:r w:rsidR="00E974B2" w:rsidRPr="006447F6">
        <w:rPr>
          <w:lang w:eastAsia="ru-RU"/>
        </w:rPr>
        <w:instrText xml:space="preserve"> </w:instrText>
      </w:r>
      <w:r w:rsidR="00E974B2">
        <w:rPr>
          <w:lang w:val="en-US" w:eastAsia="ru-RU"/>
        </w:rPr>
        <w:instrText>Follicular</w:instrText>
      </w:r>
      <w:r w:rsidR="00E974B2" w:rsidRPr="006447F6">
        <w:rPr>
          <w:lang w:eastAsia="ru-RU"/>
        </w:rPr>
        <w:instrText xml:space="preserve"> </w:instrText>
      </w:r>
      <w:r w:rsidR="00E974B2">
        <w:rPr>
          <w:lang w:val="en-US" w:eastAsia="ru-RU"/>
        </w:rPr>
        <w:instrText>Lymphoma</w:instrText>
      </w:r>
      <w:r w:rsidR="00E974B2" w:rsidRPr="006447F6">
        <w:rPr>
          <w:lang w:eastAsia="ru-RU"/>
        </w:rPr>
        <w:instrText xml:space="preserve">, </w:instrText>
      </w:r>
      <w:r w:rsidR="00E974B2">
        <w:rPr>
          <w:lang w:val="en-US" w:eastAsia="ru-RU"/>
        </w:rPr>
        <w:instrText>Chronic</w:instrText>
      </w:r>
      <w:r w:rsidR="00E974B2" w:rsidRPr="006447F6">
        <w:rPr>
          <w:lang w:eastAsia="ru-RU"/>
        </w:rPr>
        <w:instrText xml:space="preserve"> </w:instrText>
      </w:r>
      <w:r w:rsidR="00E974B2">
        <w:rPr>
          <w:lang w:val="en-US" w:eastAsia="ru-RU"/>
        </w:rPr>
        <w:instrText>Lymphocytic</w:instrText>
      </w:r>
      <w:r w:rsidR="00E974B2" w:rsidRPr="006447F6">
        <w:rPr>
          <w:lang w:eastAsia="ru-RU"/>
        </w:rPr>
        <w:instrText xml:space="preserve"> </w:instrText>
      </w:r>
      <w:r w:rsidR="00E974B2">
        <w:rPr>
          <w:lang w:val="en-US" w:eastAsia="ru-RU"/>
        </w:rPr>
        <w:instrText>Leukemia</w:instrText>
      </w:r>
      <w:r w:rsidR="00E974B2" w:rsidRPr="006447F6">
        <w:rPr>
          <w:lang w:eastAsia="ru-RU"/>
        </w:rPr>
        <w:instrText xml:space="preserve">, </w:instrText>
      </w:r>
      <w:r w:rsidR="00E974B2">
        <w:rPr>
          <w:lang w:val="en-US" w:eastAsia="ru-RU"/>
        </w:rPr>
        <w:instrText>and</w:instrText>
      </w:r>
      <w:r w:rsidR="00E974B2" w:rsidRPr="006447F6">
        <w:rPr>
          <w:lang w:eastAsia="ru-RU"/>
        </w:rPr>
        <w:instrText xml:space="preserve"> </w:instrText>
      </w:r>
      <w:r w:rsidR="00E974B2">
        <w:rPr>
          <w:lang w:val="en-US" w:eastAsia="ru-RU"/>
        </w:rPr>
        <w:instrText>Diffuse</w:instrText>
      </w:r>
      <w:r w:rsidR="00E974B2" w:rsidRPr="006447F6">
        <w:rPr>
          <w:lang w:eastAsia="ru-RU"/>
        </w:rPr>
        <w:instrText xml:space="preserve"> </w:instrText>
      </w:r>
      <w:r w:rsidR="00E974B2">
        <w:rPr>
          <w:lang w:val="en-US" w:eastAsia="ru-RU"/>
        </w:rPr>
        <w:instrText>Large</w:instrText>
      </w:r>
      <w:r w:rsidR="00E974B2" w:rsidRPr="006447F6">
        <w:rPr>
          <w:lang w:eastAsia="ru-RU"/>
        </w:rPr>
        <w:instrText xml:space="preserve"> </w:instrText>
      </w:r>
      <w:r w:rsidR="00E974B2">
        <w:rPr>
          <w:lang w:val="en-US" w:eastAsia="ru-RU"/>
        </w:rPr>
        <w:instrText>B</w:instrText>
      </w:r>
      <w:r w:rsidR="00E974B2" w:rsidRPr="006447F6">
        <w:rPr>
          <w:lang w:eastAsia="ru-RU"/>
        </w:rPr>
        <w:instrText>-</w:instrText>
      </w:r>
      <w:r w:rsidR="00E974B2">
        <w:rPr>
          <w:lang w:val="en-US" w:eastAsia="ru-RU"/>
        </w:rPr>
        <w:instrText>Cell</w:instrText>
      </w:r>
      <w:r w:rsidR="00E974B2" w:rsidRPr="006447F6">
        <w:rPr>
          <w:lang w:eastAsia="ru-RU"/>
        </w:rPr>
        <w:instrText xml:space="preserve"> </w:instrText>
      </w:r>
      <w:r w:rsidR="00E974B2">
        <w:rPr>
          <w:lang w:val="en-US" w:eastAsia="ru-RU"/>
        </w:rPr>
        <w:instrText>Lymphoma</w:instrText>
      </w:r>
      <w:r w:rsidR="00E974B2" w:rsidRPr="006447F6">
        <w:rPr>
          <w:lang w:eastAsia="ru-RU"/>
        </w:rPr>
        <w:instrText>.","</w:instrText>
      </w:r>
      <w:r w:rsidR="00E974B2">
        <w:rPr>
          <w:lang w:val="en-US" w:eastAsia="ru-RU"/>
        </w:rPr>
        <w:instrText>type</w:instrText>
      </w:r>
      <w:r w:rsidR="00E974B2" w:rsidRPr="006447F6">
        <w:rPr>
          <w:lang w:eastAsia="ru-RU"/>
        </w:rPr>
        <w:instrText>":"</w:instrText>
      </w:r>
      <w:r w:rsidR="00E974B2">
        <w:rPr>
          <w:lang w:val="en-US" w:eastAsia="ru-RU"/>
        </w:rPr>
        <w:instrText>article</w:instrText>
      </w:r>
      <w:r w:rsidR="00E974B2" w:rsidRPr="006447F6">
        <w:rPr>
          <w:lang w:eastAsia="ru-RU"/>
        </w:rPr>
        <w:instrText>-</w:instrText>
      </w:r>
      <w:r w:rsidR="00E974B2">
        <w:rPr>
          <w:lang w:val="en-US" w:eastAsia="ru-RU"/>
        </w:rPr>
        <w:instrText>journal</w:instrText>
      </w:r>
      <w:r w:rsidR="00E974B2" w:rsidRPr="006447F6">
        <w:rPr>
          <w:lang w:eastAsia="ru-RU"/>
        </w:rPr>
        <w:instrText>","</w:instrText>
      </w:r>
      <w:r w:rsidR="00E974B2">
        <w:rPr>
          <w:lang w:val="en-US" w:eastAsia="ru-RU"/>
        </w:rPr>
        <w:instrText>volume</w:instrText>
      </w:r>
      <w:r w:rsidR="00E974B2" w:rsidRPr="006447F6">
        <w:rPr>
          <w:lang w:eastAsia="ru-RU"/>
        </w:rPr>
        <w:instrText>":"9"},"</w:instrText>
      </w:r>
      <w:r w:rsidR="00E974B2">
        <w:rPr>
          <w:lang w:val="en-US" w:eastAsia="ru-RU"/>
        </w:rPr>
        <w:instrText>uris</w:instrText>
      </w:r>
      <w:r w:rsidR="00E974B2" w:rsidRPr="006447F6">
        <w:rPr>
          <w:lang w:eastAsia="ru-RU"/>
        </w:rPr>
        <w:instrText>":["</w:instrText>
      </w:r>
      <w:r w:rsidR="00E974B2">
        <w:rPr>
          <w:lang w:val="en-US" w:eastAsia="ru-RU"/>
        </w:rPr>
        <w:instrText>http</w:instrText>
      </w:r>
      <w:r w:rsidR="00E974B2" w:rsidRPr="006447F6">
        <w:rPr>
          <w:lang w:eastAsia="ru-RU"/>
        </w:rPr>
        <w:instrText>://</w:instrText>
      </w:r>
      <w:r w:rsidR="00E974B2">
        <w:rPr>
          <w:lang w:val="en-US" w:eastAsia="ru-RU"/>
        </w:rPr>
        <w:instrText>www</w:instrText>
      </w:r>
      <w:r w:rsidR="00E974B2" w:rsidRPr="006447F6">
        <w:rPr>
          <w:lang w:eastAsia="ru-RU"/>
        </w:rPr>
        <w:instrText>.</w:instrText>
      </w:r>
      <w:r w:rsidR="00E974B2">
        <w:rPr>
          <w:lang w:val="en-US" w:eastAsia="ru-RU"/>
        </w:rPr>
        <w:instrText>mendeley</w:instrText>
      </w:r>
      <w:r w:rsidR="00E974B2" w:rsidRPr="006447F6">
        <w:rPr>
          <w:lang w:eastAsia="ru-RU"/>
        </w:rPr>
        <w:instrText>.</w:instrText>
      </w:r>
      <w:r w:rsidR="00E974B2">
        <w:rPr>
          <w:lang w:val="en-US" w:eastAsia="ru-RU"/>
        </w:rPr>
        <w:instrText>com</w:instrText>
      </w:r>
      <w:r w:rsidR="00E974B2" w:rsidRPr="006447F6">
        <w:rPr>
          <w:lang w:eastAsia="ru-RU"/>
        </w:rPr>
        <w:instrText>/</w:instrText>
      </w:r>
      <w:r w:rsidR="00E974B2">
        <w:rPr>
          <w:lang w:val="en-US" w:eastAsia="ru-RU"/>
        </w:rPr>
        <w:instrText>documents</w:instrText>
      </w:r>
      <w:r w:rsidR="00E974B2" w:rsidRPr="006447F6">
        <w:rPr>
          <w:lang w:eastAsia="ru-RU"/>
        </w:rPr>
        <w:instrText>/?</w:instrText>
      </w:r>
      <w:r w:rsidR="00E974B2">
        <w:rPr>
          <w:lang w:val="en-US" w:eastAsia="ru-RU"/>
        </w:rPr>
        <w:instrText>uuid</w:instrText>
      </w:r>
      <w:r w:rsidR="00E974B2" w:rsidRPr="006447F6">
        <w:rPr>
          <w:lang w:eastAsia="ru-RU"/>
        </w:rPr>
        <w:instrText>=</w:instrText>
      </w:r>
      <w:r w:rsidR="00E974B2">
        <w:rPr>
          <w:lang w:val="en-US" w:eastAsia="ru-RU"/>
        </w:rPr>
        <w:instrText>fbb</w:instrText>
      </w:r>
      <w:r w:rsidR="00E974B2" w:rsidRPr="006447F6">
        <w:rPr>
          <w:lang w:eastAsia="ru-RU"/>
        </w:rPr>
        <w:instrText>0</w:instrText>
      </w:r>
      <w:r w:rsidR="00E974B2">
        <w:rPr>
          <w:lang w:val="en-US" w:eastAsia="ru-RU"/>
        </w:rPr>
        <w:instrText>b</w:instrText>
      </w:r>
      <w:r w:rsidR="00E974B2" w:rsidRPr="006447F6">
        <w:rPr>
          <w:lang w:eastAsia="ru-RU"/>
        </w:rPr>
        <w:instrText>8</w:instrText>
      </w:r>
      <w:r w:rsidR="00E974B2">
        <w:rPr>
          <w:lang w:val="en-US" w:eastAsia="ru-RU"/>
        </w:rPr>
        <w:instrText>f</w:instrText>
      </w:r>
      <w:r w:rsidR="00E974B2" w:rsidRPr="006447F6">
        <w:rPr>
          <w:lang w:eastAsia="ru-RU"/>
        </w:rPr>
        <w:instrText>4-6</w:instrText>
      </w:r>
      <w:r w:rsidR="00E974B2">
        <w:rPr>
          <w:lang w:val="en-US" w:eastAsia="ru-RU"/>
        </w:rPr>
        <w:instrText>b</w:instrText>
      </w:r>
      <w:r w:rsidR="00E974B2" w:rsidRPr="006447F6">
        <w:rPr>
          <w:lang w:eastAsia="ru-RU"/>
        </w:rPr>
        <w:instrText>58-3</w:instrText>
      </w:r>
      <w:r w:rsidR="00E974B2">
        <w:rPr>
          <w:lang w:val="en-US" w:eastAsia="ru-RU"/>
        </w:rPr>
        <w:instrText>a</w:instrText>
      </w:r>
      <w:r w:rsidR="00E974B2" w:rsidRPr="006447F6">
        <w:rPr>
          <w:lang w:eastAsia="ru-RU"/>
        </w:rPr>
        <w:instrText>10-</w:instrText>
      </w:r>
      <w:r w:rsidR="00E974B2">
        <w:rPr>
          <w:lang w:val="en-US" w:eastAsia="ru-RU"/>
        </w:rPr>
        <w:instrText>b</w:instrText>
      </w:r>
      <w:r w:rsidR="00E974B2" w:rsidRPr="006447F6">
        <w:rPr>
          <w:lang w:eastAsia="ru-RU"/>
        </w:rPr>
        <w:instrText>7</w:instrText>
      </w:r>
      <w:r w:rsidR="00E974B2">
        <w:rPr>
          <w:lang w:val="en-US" w:eastAsia="ru-RU"/>
        </w:rPr>
        <w:instrText>d</w:instrText>
      </w:r>
      <w:r w:rsidR="00E974B2" w:rsidRPr="006447F6">
        <w:rPr>
          <w:lang w:eastAsia="ru-RU"/>
        </w:rPr>
        <w:instrText>6-</w:instrText>
      </w:r>
      <w:r w:rsidR="00E974B2">
        <w:rPr>
          <w:lang w:val="en-US" w:eastAsia="ru-RU"/>
        </w:rPr>
        <w:instrText>af</w:instrText>
      </w:r>
      <w:r w:rsidR="00E974B2" w:rsidRPr="006447F6">
        <w:rPr>
          <w:lang w:eastAsia="ru-RU"/>
        </w:rPr>
        <w:instrText>3854030</w:instrText>
      </w:r>
      <w:r w:rsidR="00E974B2">
        <w:rPr>
          <w:lang w:val="en-US" w:eastAsia="ru-RU"/>
        </w:rPr>
        <w:instrText>be</w:instrText>
      </w:r>
      <w:r w:rsidR="00E974B2" w:rsidRPr="006447F6">
        <w:rPr>
          <w:lang w:eastAsia="ru-RU"/>
        </w:rPr>
        <w:instrText>8"]},{"</w:instrText>
      </w:r>
      <w:r w:rsidR="00E974B2">
        <w:rPr>
          <w:lang w:val="en-US" w:eastAsia="ru-RU"/>
        </w:rPr>
        <w:instrText>id</w:instrText>
      </w:r>
      <w:r w:rsidR="00E974B2" w:rsidRPr="006447F6">
        <w:rPr>
          <w:lang w:eastAsia="ru-RU"/>
        </w:rPr>
        <w:instrText>":"</w:instrText>
      </w:r>
      <w:r w:rsidR="00E974B2">
        <w:rPr>
          <w:lang w:val="en-US" w:eastAsia="ru-RU"/>
        </w:rPr>
        <w:instrText>ITEM</w:instrText>
      </w:r>
      <w:r w:rsidR="00E974B2" w:rsidRPr="006447F6">
        <w:rPr>
          <w:lang w:eastAsia="ru-RU"/>
        </w:rPr>
        <w:instrText>-2","</w:instrText>
      </w:r>
      <w:r w:rsidR="00E974B2">
        <w:rPr>
          <w:lang w:val="en-US" w:eastAsia="ru-RU"/>
        </w:rPr>
        <w:instrText>itemData</w:instrText>
      </w:r>
      <w:r w:rsidR="00E974B2" w:rsidRPr="006447F6">
        <w:rPr>
          <w:lang w:eastAsia="ru-RU"/>
        </w:rPr>
        <w:instrText>":{"</w:instrText>
      </w:r>
      <w:r w:rsidR="00E974B2">
        <w:rPr>
          <w:lang w:val="en-US" w:eastAsia="ru-RU"/>
        </w:rPr>
        <w:instrText>DOI</w:instrText>
      </w:r>
      <w:r w:rsidR="00E974B2" w:rsidRPr="006447F6">
        <w:rPr>
          <w:lang w:eastAsia="ru-RU"/>
        </w:rPr>
        <w:instrText>":"10.1007/</w:instrText>
      </w:r>
      <w:r w:rsidR="00E974B2">
        <w:rPr>
          <w:lang w:val="en-US" w:eastAsia="ru-RU"/>
        </w:rPr>
        <w:instrText>s</w:instrText>
      </w:r>
      <w:r w:rsidR="00E974B2" w:rsidRPr="006447F6">
        <w:rPr>
          <w:lang w:eastAsia="ru-RU"/>
        </w:rPr>
        <w:instrText>12325-017-0610-</w:instrText>
      </w:r>
      <w:r w:rsidR="00E974B2">
        <w:rPr>
          <w:lang w:val="en-US" w:eastAsia="ru-RU"/>
        </w:rPr>
        <w:instrText>z</w:instrText>
      </w:r>
      <w:r w:rsidR="00E974B2" w:rsidRPr="006447F6">
        <w:rPr>
          <w:lang w:eastAsia="ru-RU"/>
        </w:rPr>
        <w:instrText>","</w:instrText>
      </w:r>
      <w:r w:rsidR="00E974B2">
        <w:rPr>
          <w:lang w:val="en-US" w:eastAsia="ru-RU"/>
        </w:rPr>
        <w:instrText>ISSN</w:instrText>
      </w:r>
      <w:r w:rsidR="00E974B2" w:rsidRPr="006447F6">
        <w:rPr>
          <w:lang w:eastAsia="ru-RU"/>
        </w:rPr>
        <w:instrText>":"18658652","</w:instrText>
      </w:r>
      <w:r w:rsidR="00E974B2">
        <w:rPr>
          <w:lang w:val="en-US" w:eastAsia="ru-RU"/>
        </w:rPr>
        <w:instrText>abstract</w:instrText>
      </w:r>
      <w:r w:rsidR="00E974B2" w:rsidRPr="006447F6">
        <w:rPr>
          <w:lang w:eastAsia="ru-RU"/>
        </w:rPr>
        <w:instrText>":"</w:instrText>
      </w:r>
      <w:r w:rsidR="00E974B2">
        <w:rPr>
          <w:lang w:val="en-US" w:eastAsia="ru-RU"/>
        </w:rPr>
        <w:instrText>Abstract</w:instrText>
      </w:r>
      <w:r w:rsidR="00E974B2" w:rsidRPr="006447F6">
        <w:rPr>
          <w:lang w:eastAsia="ru-RU"/>
        </w:rPr>
        <w:instrText xml:space="preserve">: </w:instrText>
      </w:r>
      <w:r w:rsidR="00E974B2">
        <w:rPr>
          <w:lang w:val="en-US" w:eastAsia="ru-RU"/>
        </w:rPr>
        <w:instrText>Rituximab</w:instrText>
      </w:r>
      <w:r w:rsidR="00E974B2" w:rsidRPr="006447F6">
        <w:rPr>
          <w:lang w:eastAsia="ru-RU"/>
        </w:rPr>
        <w:instrText xml:space="preserve"> (</w:instrText>
      </w:r>
      <w:r w:rsidR="00E974B2">
        <w:rPr>
          <w:lang w:val="en-US" w:eastAsia="ru-RU"/>
        </w:rPr>
        <w:instrText>MabThera</w:instrText>
      </w:r>
      <w:r w:rsidR="00E974B2" w:rsidRPr="006447F6">
        <w:rPr>
          <w:lang w:eastAsia="ru-RU"/>
        </w:rPr>
        <w:instrText>®/</w:instrText>
      </w:r>
      <w:r w:rsidR="00E974B2">
        <w:rPr>
          <w:lang w:val="en-US" w:eastAsia="ru-RU"/>
        </w:rPr>
        <w:instrText>Rituxan</w:instrText>
      </w:r>
      <w:r w:rsidR="00E974B2" w:rsidRPr="006447F6">
        <w:rPr>
          <w:lang w:eastAsia="ru-RU"/>
        </w:rPr>
        <w:instrText xml:space="preserve">®), </w:instrText>
      </w:r>
      <w:r w:rsidR="00E974B2">
        <w:rPr>
          <w:lang w:val="en-US" w:eastAsia="ru-RU"/>
        </w:rPr>
        <w:instrText>a</w:instrText>
      </w:r>
      <w:r w:rsidR="00E974B2" w:rsidRPr="006447F6">
        <w:rPr>
          <w:lang w:eastAsia="ru-RU"/>
        </w:rPr>
        <w:instrText xml:space="preserve"> </w:instrText>
      </w:r>
      <w:r w:rsidR="00E974B2">
        <w:rPr>
          <w:lang w:val="en-US" w:eastAsia="ru-RU"/>
        </w:rPr>
        <w:instrText>chimeric</w:instrText>
      </w:r>
      <w:r w:rsidR="00E974B2" w:rsidRPr="006447F6">
        <w:rPr>
          <w:lang w:eastAsia="ru-RU"/>
        </w:rPr>
        <w:instrText xml:space="preserve"> </w:instrText>
      </w:r>
      <w:r w:rsidR="00E974B2">
        <w:rPr>
          <w:lang w:val="en-US" w:eastAsia="ru-RU"/>
        </w:rPr>
        <w:instrText>murine</w:instrText>
      </w:r>
      <w:r w:rsidR="00E974B2" w:rsidRPr="006447F6">
        <w:rPr>
          <w:lang w:eastAsia="ru-RU"/>
        </w:rPr>
        <w:instrText>/</w:instrText>
      </w:r>
      <w:r w:rsidR="00E974B2">
        <w:rPr>
          <w:lang w:val="en-US" w:eastAsia="ru-RU"/>
        </w:rPr>
        <w:instrText>human</w:instrText>
      </w:r>
      <w:r w:rsidR="00E974B2" w:rsidRPr="006447F6">
        <w:rPr>
          <w:lang w:eastAsia="ru-RU"/>
        </w:rPr>
        <w:instrText xml:space="preserve"> </w:instrText>
      </w:r>
      <w:r w:rsidR="00E974B2">
        <w:rPr>
          <w:lang w:val="en-US" w:eastAsia="ru-RU"/>
        </w:rPr>
        <w:instrText>monoclonal</w:instrText>
      </w:r>
      <w:r w:rsidR="00E974B2" w:rsidRPr="006447F6">
        <w:rPr>
          <w:lang w:eastAsia="ru-RU"/>
        </w:rPr>
        <w:instrText xml:space="preserve"> </w:instrText>
      </w:r>
      <w:r w:rsidR="00E974B2">
        <w:rPr>
          <w:lang w:val="en-US" w:eastAsia="ru-RU"/>
        </w:rPr>
        <w:instrText>antibody</w:instrText>
      </w:r>
      <w:r w:rsidR="00E974B2" w:rsidRPr="006447F6">
        <w:rPr>
          <w:lang w:eastAsia="ru-RU"/>
        </w:rPr>
        <w:instrText xml:space="preserve"> </w:instrText>
      </w:r>
      <w:r w:rsidR="00E974B2">
        <w:rPr>
          <w:lang w:val="en-US" w:eastAsia="ru-RU"/>
        </w:rPr>
        <w:instrText>that</w:instrText>
      </w:r>
      <w:r w:rsidR="00E974B2" w:rsidRPr="006447F6">
        <w:rPr>
          <w:lang w:eastAsia="ru-RU"/>
        </w:rPr>
        <w:instrText xml:space="preserve"> </w:instrText>
      </w:r>
      <w:r w:rsidR="00E974B2">
        <w:rPr>
          <w:lang w:val="en-US" w:eastAsia="ru-RU"/>
        </w:rPr>
        <w:instrText>binds</w:instrText>
      </w:r>
      <w:r w:rsidR="00E974B2" w:rsidRPr="006447F6">
        <w:rPr>
          <w:lang w:eastAsia="ru-RU"/>
        </w:rPr>
        <w:instrText xml:space="preserve"> </w:instrText>
      </w:r>
      <w:r w:rsidR="00E974B2">
        <w:rPr>
          <w:lang w:val="en-US" w:eastAsia="ru-RU"/>
        </w:rPr>
        <w:instrText>specifically</w:instrText>
      </w:r>
      <w:r w:rsidR="00E974B2" w:rsidRPr="006447F6">
        <w:rPr>
          <w:lang w:eastAsia="ru-RU"/>
        </w:rPr>
        <w:instrText xml:space="preserve"> </w:instrText>
      </w:r>
      <w:r w:rsidR="00E974B2">
        <w:rPr>
          <w:lang w:val="en-US" w:eastAsia="ru-RU"/>
        </w:rPr>
        <w:instrText>to</w:instrText>
      </w:r>
      <w:r w:rsidR="00E974B2" w:rsidRPr="006447F6">
        <w:rPr>
          <w:lang w:eastAsia="ru-RU"/>
        </w:rPr>
        <w:instrText xml:space="preserve"> </w:instrText>
      </w:r>
      <w:r w:rsidR="00E974B2">
        <w:rPr>
          <w:lang w:val="en-US" w:eastAsia="ru-RU"/>
        </w:rPr>
        <w:instrText>the</w:instrText>
      </w:r>
      <w:r w:rsidR="00E974B2" w:rsidRPr="006447F6">
        <w:rPr>
          <w:lang w:eastAsia="ru-RU"/>
        </w:rPr>
        <w:instrText xml:space="preserve"> </w:instrText>
      </w:r>
      <w:r w:rsidR="00E974B2">
        <w:rPr>
          <w:lang w:val="en-US" w:eastAsia="ru-RU"/>
        </w:rPr>
        <w:instrText>transmembrane</w:instrText>
      </w:r>
      <w:r w:rsidR="00E974B2" w:rsidRPr="006447F6">
        <w:rPr>
          <w:lang w:eastAsia="ru-RU"/>
        </w:rPr>
        <w:instrText xml:space="preserve"> </w:instrText>
      </w:r>
      <w:r w:rsidR="00E974B2">
        <w:rPr>
          <w:lang w:val="en-US" w:eastAsia="ru-RU"/>
        </w:rPr>
        <w:instrText>antigen</w:instrText>
      </w:r>
      <w:r w:rsidR="00E974B2" w:rsidRPr="006447F6">
        <w:rPr>
          <w:lang w:eastAsia="ru-RU"/>
        </w:rPr>
        <w:instrText xml:space="preserve"> </w:instrText>
      </w:r>
      <w:r w:rsidR="00E974B2">
        <w:rPr>
          <w:lang w:val="en-US" w:eastAsia="ru-RU"/>
        </w:rPr>
        <w:instrText>CD</w:instrText>
      </w:r>
      <w:r w:rsidR="00E974B2" w:rsidRPr="006447F6">
        <w:rPr>
          <w:lang w:eastAsia="ru-RU"/>
        </w:rPr>
        <w:instrText xml:space="preserve">20, </w:instrText>
      </w:r>
      <w:r w:rsidR="00E974B2">
        <w:rPr>
          <w:lang w:val="en-US" w:eastAsia="ru-RU"/>
        </w:rPr>
        <w:instrText>was</w:instrText>
      </w:r>
      <w:r w:rsidR="00E974B2" w:rsidRPr="006447F6">
        <w:rPr>
          <w:lang w:eastAsia="ru-RU"/>
        </w:rPr>
        <w:instrText xml:space="preserve"> </w:instrText>
      </w:r>
      <w:r w:rsidR="00E974B2">
        <w:rPr>
          <w:lang w:val="en-US" w:eastAsia="ru-RU"/>
        </w:rPr>
        <w:instrText>the</w:instrText>
      </w:r>
      <w:r w:rsidR="00E974B2" w:rsidRPr="006447F6">
        <w:rPr>
          <w:lang w:eastAsia="ru-RU"/>
        </w:rPr>
        <w:instrText xml:space="preserve"> </w:instrText>
      </w:r>
      <w:r w:rsidR="00E974B2">
        <w:rPr>
          <w:lang w:val="en-US" w:eastAsia="ru-RU"/>
        </w:rPr>
        <w:instrText>first</w:instrText>
      </w:r>
      <w:r w:rsidR="00E974B2" w:rsidRPr="006447F6">
        <w:rPr>
          <w:lang w:eastAsia="ru-RU"/>
        </w:rPr>
        <w:instrText xml:space="preserve"> </w:instrText>
      </w:r>
      <w:r w:rsidR="00E974B2">
        <w:rPr>
          <w:lang w:val="en-US" w:eastAsia="ru-RU"/>
        </w:rPr>
        <w:instrText>therapeutic</w:instrText>
      </w:r>
      <w:r w:rsidR="00E974B2" w:rsidRPr="006447F6">
        <w:rPr>
          <w:lang w:eastAsia="ru-RU"/>
        </w:rPr>
        <w:instrText xml:space="preserve"> </w:instrText>
      </w:r>
      <w:r w:rsidR="00E974B2">
        <w:rPr>
          <w:lang w:val="en-US" w:eastAsia="ru-RU"/>
        </w:rPr>
        <w:instrText>antibody</w:instrText>
      </w:r>
      <w:r w:rsidR="00E974B2" w:rsidRPr="006447F6">
        <w:rPr>
          <w:lang w:eastAsia="ru-RU"/>
        </w:rPr>
        <w:instrText xml:space="preserve"> </w:instrText>
      </w:r>
      <w:r w:rsidR="00E974B2">
        <w:rPr>
          <w:lang w:val="en-US" w:eastAsia="ru-RU"/>
        </w:rPr>
        <w:instrText>to</w:instrText>
      </w:r>
      <w:r w:rsidR="00E974B2" w:rsidRPr="006447F6">
        <w:rPr>
          <w:lang w:eastAsia="ru-RU"/>
        </w:rPr>
        <w:instrText xml:space="preserve"> </w:instrText>
      </w:r>
      <w:r w:rsidR="00E974B2">
        <w:rPr>
          <w:lang w:val="en-US" w:eastAsia="ru-RU"/>
        </w:rPr>
        <w:instrText>enter</w:instrText>
      </w:r>
      <w:r w:rsidR="00E974B2" w:rsidRPr="006447F6">
        <w:rPr>
          <w:lang w:eastAsia="ru-RU"/>
        </w:rPr>
        <w:instrText xml:space="preserve"> </w:instrText>
      </w:r>
      <w:r w:rsidR="00E974B2">
        <w:rPr>
          <w:lang w:val="en-US" w:eastAsia="ru-RU"/>
        </w:rPr>
        <w:instrText>clinical</w:instrText>
      </w:r>
      <w:r w:rsidR="00E974B2" w:rsidRPr="006447F6">
        <w:rPr>
          <w:lang w:eastAsia="ru-RU"/>
        </w:rPr>
        <w:instrText xml:space="preserve"> </w:instrText>
      </w:r>
      <w:r w:rsidR="00E974B2">
        <w:rPr>
          <w:lang w:val="en-US" w:eastAsia="ru-RU"/>
        </w:rPr>
        <w:instrText>practice</w:instrText>
      </w:r>
      <w:r w:rsidR="00E974B2" w:rsidRPr="006447F6">
        <w:rPr>
          <w:lang w:eastAsia="ru-RU"/>
        </w:rPr>
        <w:instrText xml:space="preserve"> </w:instrText>
      </w:r>
      <w:r w:rsidR="00E974B2">
        <w:rPr>
          <w:lang w:val="en-US" w:eastAsia="ru-RU"/>
        </w:rPr>
        <w:instrText>for</w:instrText>
      </w:r>
      <w:r w:rsidR="00E974B2" w:rsidRPr="006447F6">
        <w:rPr>
          <w:lang w:eastAsia="ru-RU"/>
        </w:rPr>
        <w:instrText xml:space="preserve"> </w:instrText>
      </w:r>
      <w:r w:rsidR="00E974B2">
        <w:rPr>
          <w:lang w:val="en-US" w:eastAsia="ru-RU"/>
        </w:rPr>
        <w:instrText>the</w:instrText>
      </w:r>
      <w:r w:rsidR="00E974B2" w:rsidRPr="006447F6">
        <w:rPr>
          <w:lang w:eastAsia="ru-RU"/>
        </w:rPr>
        <w:instrText xml:space="preserve"> </w:instrText>
      </w:r>
      <w:r w:rsidR="00E974B2">
        <w:rPr>
          <w:lang w:val="en-US" w:eastAsia="ru-RU"/>
        </w:rPr>
        <w:instrText>treatment</w:instrText>
      </w:r>
      <w:r w:rsidR="00E974B2" w:rsidRPr="006447F6">
        <w:rPr>
          <w:lang w:eastAsia="ru-RU"/>
        </w:rPr>
        <w:instrText xml:space="preserve"> </w:instrText>
      </w:r>
      <w:r w:rsidR="00E974B2">
        <w:rPr>
          <w:lang w:val="en-US" w:eastAsia="ru-RU"/>
        </w:rPr>
        <w:instrText>of</w:instrText>
      </w:r>
      <w:r w:rsidR="00E974B2" w:rsidRPr="006447F6">
        <w:rPr>
          <w:lang w:eastAsia="ru-RU"/>
        </w:rPr>
        <w:instrText xml:space="preserve"> </w:instrText>
      </w:r>
      <w:r w:rsidR="00E974B2">
        <w:rPr>
          <w:lang w:val="en-US" w:eastAsia="ru-RU"/>
        </w:rPr>
        <w:instrText>cancer</w:instrText>
      </w:r>
      <w:r w:rsidR="00E974B2" w:rsidRPr="006447F6">
        <w:rPr>
          <w:lang w:eastAsia="ru-RU"/>
        </w:rPr>
        <w:instrText xml:space="preserve">. </w:instrText>
      </w:r>
      <w:r w:rsidR="00E974B2">
        <w:rPr>
          <w:lang w:val="en-US" w:eastAsia="ru-RU"/>
        </w:rPr>
        <w:instrText>As</w:instrText>
      </w:r>
      <w:r w:rsidR="00E974B2" w:rsidRPr="006447F6">
        <w:rPr>
          <w:lang w:eastAsia="ru-RU"/>
        </w:rPr>
        <w:instrText xml:space="preserve"> </w:instrText>
      </w:r>
      <w:r w:rsidR="00E974B2">
        <w:rPr>
          <w:lang w:val="en-US" w:eastAsia="ru-RU"/>
        </w:rPr>
        <w:instrText>monotherapy</w:instrText>
      </w:r>
      <w:r w:rsidR="00E974B2" w:rsidRPr="006447F6">
        <w:rPr>
          <w:lang w:eastAsia="ru-RU"/>
        </w:rPr>
        <w:instrText xml:space="preserve"> </w:instrText>
      </w:r>
      <w:r w:rsidR="00E974B2">
        <w:rPr>
          <w:lang w:val="en-US" w:eastAsia="ru-RU"/>
        </w:rPr>
        <w:instrText>and</w:instrText>
      </w:r>
      <w:r w:rsidR="00E974B2" w:rsidRPr="006447F6">
        <w:rPr>
          <w:lang w:eastAsia="ru-RU"/>
        </w:rPr>
        <w:instrText xml:space="preserve"> </w:instrText>
      </w:r>
      <w:r w:rsidR="00E974B2">
        <w:rPr>
          <w:lang w:val="en-US" w:eastAsia="ru-RU"/>
        </w:rPr>
        <w:instrText>in</w:instrText>
      </w:r>
      <w:r w:rsidR="00E974B2" w:rsidRPr="006447F6">
        <w:rPr>
          <w:lang w:eastAsia="ru-RU"/>
        </w:rPr>
        <w:instrText xml:space="preserve"> </w:instrText>
      </w:r>
      <w:r w:rsidR="00E974B2">
        <w:rPr>
          <w:lang w:val="en-US" w:eastAsia="ru-RU"/>
        </w:rPr>
        <w:instrText>combination</w:instrText>
      </w:r>
      <w:r w:rsidR="00E974B2" w:rsidRPr="006447F6">
        <w:rPr>
          <w:lang w:eastAsia="ru-RU"/>
        </w:rPr>
        <w:instrText xml:space="preserve"> </w:instrText>
      </w:r>
      <w:r w:rsidR="00E974B2">
        <w:rPr>
          <w:lang w:val="en-US" w:eastAsia="ru-RU"/>
        </w:rPr>
        <w:instrText>with</w:instrText>
      </w:r>
      <w:r w:rsidR="00E974B2" w:rsidRPr="006447F6">
        <w:rPr>
          <w:lang w:eastAsia="ru-RU"/>
        </w:rPr>
        <w:instrText xml:space="preserve"> </w:instrText>
      </w:r>
      <w:r w:rsidR="00E974B2">
        <w:rPr>
          <w:lang w:val="en-US" w:eastAsia="ru-RU"/>
        </w:rPr>
        <w:instrText>chemotherapy</w:instrText>
      </w:r>
      <w:r w:rsidR="00E974B2" w:rsidRPr="006447F6">
        <w:rPr>
          <w:lang w:eastAsia="ru-RU"/>
        </w:rPr>
        <w:instrText xml:space="preserve">, </w:instrText>
      </w:r>
      <w:r w:rsidR="00E974B2">
        <w:rPr>
          <w:lang w:val="en-US" w:eastAsia="ru-RU"/>
        </w:rPr>
        <w:instrText>rituximab</w:instrText>
      </w:r>
      <w:r w:rsidR="00E974B2" w:rsidRPr="006447F6">
        <w:rPr>
          <w:lang w:eastAsia="ru-RU"/>
        </w:rPr>
        <w:instrText xml:space="preserve"> </w:instrText>
      </w:r>
      <w:r w:rsidR="00E974B2">
        <w:rPr>
          <w:lang w:val="en-US" w:eastAsia="ru-RU"/>
        </w:rPr>
        <w:instrText>has</w:instrText>
      </w:r>
      <w:r w:rsidR="00E974B2" w:rsidRPr="006447F6">
        <w:rPr>
          <w:lang w:eastAsia="ru-RU"/>
        </w:rPr>
        <w:instrText xml:space="preserve"> </w:instrText>
      </w:r>
      <w:r w:rsidR="00E974B2">
        <w:rPr>
          <w:lang w:val="en-US" w:eastAsia="ru-RU"/>
        </w:rPr>
        <w:instrText>been</w:instrText>
      </w:r>
      <w:r w:rsidR="00E974B2" w:rsidRPr="006447F6">
        <w:rPr>
          <w:lang w:eastAsia="ru-RU"/>
        </w:rPr>
        <w:instrText xml:space="preserve"> </w:instrText>
      </w:r>
      <w:r w:rsidR="00E974B2">
        <w:rPr>
          <w:lang w:val="en-US" w:eastAsia="ru-RU"/>
        </w:rPr>
        <w:instrText>shown</w:instrText>
      </w:r>
      <w:r w:rsidR="00E974B2" w:rsidRPr="006447F6">
        <w:rPr>
          <w:lang w:eastAsia="ru-RU"/>
        </w:rPr>
        <w:instrText xml:space="preserve"> </w:instrText>
      </w:r>
      <w:r w:rsidR="00E974B2">
        <w:rPr>
          <w:lang w:val="en-US" w:eastAsia="ru-RU"/>
        </w:rPr>
        <w:instrText>to</w:instrText>
      </w:r>
      <w:r w:rsidR="00E974B2" w:rsidRPr="006447F6">
        <w:rPr>
          <w:lang w:eastAsia="ru-RU"/>
        </w:rPr>
        <w:instrText xml:space="preserve"> </w:instrText>
      </w:r>
      <w:r w:rsidR="00E974B2">
        <w:rPr>
          <w:lang w:val="en-US" w:eastAsia="ru-RU"/>
        </w:rPr>
        <w:instrText>prolong</w:instrText>
      </w:r>
      <w:r w:rsidR="00E974B2" w:rsidRPr="006447F6">
        <w:rPr>
          <w:lang w:eastAsia="ru-RU"/>
        </w:rPr>
        <w:instrText xml:space="preserve"> </w:instrText>
      </w:r>
      <w:r w:rsidR="00E974B2">
        <w:rPr>
          <w:lang w:val="en-US" w:eastAsia="ru-RU"/>
        </w:rPr>
        <w:instrText>progression</w:instrText>
      </w:r>
      <w:r w:rsidR="00E974B2" w:rsidRPr="006447F6">
        <w:rPr>
          <w:lang w:eastAsia="ru-RU"/>
        </w:rPr>
        <w:instrText>-</w:instrText>
      </w:r>
      <w:r w:rsidR="00E974B2">
        <w:rPr>
          <w:lang w:val="en-US" w:eastAsia="ru-RU"/>
        </w:rPr>
        <w:instrText>free</w:instrText>
      </w:r>
      <w:r w:rsidR="00E974B2" w:rsidRPr="006447F6">
        <w:rPr>
          <w:lang w:eastAsia="ru-RU"/>
        </w:rPr>
        <w:instrText xml:space="preserve"> </w:instrText>
      </w:r>
      <w:r w:rsidR="00E974B2">
        <w:rPr>
          <w:lang w:val="en-US" w:eastAsia="ru-RU"/>
        </w:rPr>
        <w:instrText>survival</w:instrText>
      </w:r>
      <w:r w:rsidR="00E974B2" w:rsidRPr="006447F6">
        <w:rPr>
          <w:lang w:eastAsia="ru-RU"/>
        </w:rPr>
        <w:instrText xml:space="preserve"> </w:instrText>
      </w:r>
      <w:r w:rsidR="00E974B2">
        <w:rPr>
          <w:lang w:val="en-US" w:eastAsia="ru-RU"/>
        </w:rPr>
        <w:instrText>and</w:instrText>
      </w:r>
      <w:r w:rsidR="00E974B2" w:rsidRPr="006447F6">
        <w:rPr>
          <w:lang w:eastAsia="ru-RU"/>
        </w:rPr>
        <w:instrText xml:space="preserve">, </w:instrText>
      </w:r>
      <w:r w:rsidR="00E974B2">
        <w:rPr>
          <w:lang w:val="en-US" w:eastAsia="ru-RU"/>
        </w:rPr>
        <w:instrText>in</w:instrText>
      </w:r>
      <w:r w:rsidR="00E974B2" w:rsidRPr="006447F6">
        <w:rPr>
          <w:lang w:eastAsia="ru-RU"/>
        </w:rPr>
        <w:instrText xml:space="preserve"> </w:instrText>
      </w:r>
      <w:r w:rsidR="00E974B2">
        <w:rPr>
          <w:lang w:val="en-US" w:eastAsia="ru-RU"/>
        </w:rPr>
        <w:instrText>some</w:instrText>
      </w:r>
      <w:r w:rsidR="00E974B2" w:rsidRPr="006447F6">
        <w:rPr>
          <w:lang w:eastAsia="ru-RU"/>
        </w:rPr>
        <w:instrText xml:space="preserve"> </w:instrText>
      </w:r>
      <w:r w:rsidR="00E974B2">
        <w:rPr>
          <w:lang w:val="en-US" w:eastAsia="ru-RU"/>
        </w:rPr>
        <w:instrText>indications</w:instrText>
      </w:r>
      <w:r w:rsidR="00E974B2" w:rsidRPr="006447F6">
        <w:rPr>
          <w:lang w:eastAsia="ru-RU"/>
        </w:rPr>
        <w:instrText xml:space="preserve"> </w:instrText>
      </w:r>
      <w:r w:rsidR="00E974B2">
        <w:rPr>
          <w:lang w:val="en-US" w:eastAsia="ru-RU"/>
        </w:rPr>
        <w:instrText>overall</w:instrText>
      </w:r>
      <w:r w:rsidR="00E974B2" w:rsidRPr="006447F6">
        <w:rPr>
          <w:lang w:eastAsia="ru-RU"/>
        </w:rPr>
        <w:instrText xml:space="preserve"> </w:instrText>
      </w:r>
      <w:r w:rsidR="00E974B2">
        <w:rPr>
          <w:lang w:val="en-US" w:eastAsia="ru-RU"/>
        </w:rPr>
        <w:instrText>survival</w:instrText>
      </w:r>
      <w:r w:rsidR="00E974B2" w:rsidRPr="006447F6">
        <w:rPr>
          <w:lang w:eastAsia="ru-RU"/>
        </w:rPr>
        <w:instrText xml:space="preserve">, </w:instrText>
      </w:r>
      <w:r w:rsidR="00E974B2">
        <w:rPr>
          <w:lang w:val="en-US" w:eastAsia="ru-RU"/>
        </w:rPr>
        <w:instrText>in</w:instrText>
      </w:r>
      <w:r w:rsidR="00E974B2" w:rsidRPr="006447F6">
        <w:rPr>
          <w:lang w:eastAsia="ru-RU"/>
        </w:rPr>
        <w:instrText xml:space="preserve"> </w:instrText>
      </w:r>
      <w:r w:rsidR="00E974B2">
        <w:rPr>
          <w:lang w:val="en-US" w:eastAsia="ru-RU"/>
        </w:rPr>
        <w:instrText>patients</w:instrText>
      </w:r>
      <w:r w:rsidR="00E974B2" w:rsidRPr="006447F6">
        <w:rPr>
          <w:lang w:eastAsia="ru-RU"/>
        </w:rPr>
        <w:instrText xml:space="preserve"> </w:instrText>
      </w:r>
      <w:r w:rsidR="00E974B2">
        <w:rPr>
          <w:lang w:val="en-US" w:eastAsia="ru-RU"/>
        </w:rPr>
        <w:instrText>with</w:instrText>
      </w:r>
      <w:r w:rsidR="00E974B2" w:rsidRPr="006447F6">
        <w:rPr>
          <w:lang w:eastAsia="ru-RU"/>
        </w:rPr>
        <w:instrText xml:space="preserve"> </w:instrText>
      </w:r>
      <w:r w:rsidR="00E974B2">
        <w:rPr>
          <w:lang w:val="en-US" w:eastAsia="ru-RU"/>
        </w:rPr>
        <w:instrText>various</w:instrText>
      </w:r>
      <w:r w:rsidR="00E974B2" w:rsidRPr="006447F6">
        <w:rPr>
          <w:lang w:eastAsia="ru-RU"/>
        </w:rPr>
        <w:instrText xml:space="preserve"> </w:instrText>
      </w:r>
      <w:r w:rsidR="00E974B2">
        <w:rPr>
          <w:lang w:val="en-US" w:eastAsia="ru-RU"/>
        </w:rPr>
        <w:instrText>B</w:instrText>
      </w:r>
      <w:r w:rsidR="00E974B2" w:rsidRPr="006447F6">
        <w:rPr>
          <w:lang w:eastAsia="ru-RU"/>
        </w:rPr>
        <w:instrText>-</w:instrText>
      </w:r>
      <w:r w:rsidR="00E974B2">
        <w:rPr>
          <w:lang w:val="en-US" w:eastAsia="ru-RU"/>
        </w:rPr>
        <w:instrText>cell</w:instrText>
      </w:r>
      <w:r w:rsidR="00E974B2" w:rsidRPr="006447F6">
        <w:rPr>
          <w:lang w:eastAsia="ru-RU"/>
        </w:rPr>
        <w:instrText xml:space="preserve"> </w:instrText>
      </w:r>
      <w:r w:rsidR="00E974B2">
        <w:rPr>
          <w:lang w:val="en-US" w:eastAsia="ru-RU"/>
        </w:rPr>
        <w:instrText>malignancies</w:instrText>
      </w:r>
      <w:r w:rsidR="00E974B2" w:rsidRPr="006447F6">
        <w:rPr>
          <w:lang w:eastAsia="ru-RU"/>
        </w:rPr>
        <w:instrText xml:space="preserve">, </w:instrText>
      </w:r>
      <w:r w:rsidR="00E974B2">
        <w:rPr>
          <w:lang w:val="en-US" w:eastAsia="ru-RU"/>
        </w:rPr>
        <w:instrText>while</w:instrText>
      </w:r>
      <w:r w:rsidR="00E974B2" w:rsidRPr="006447F6">
        <w:rPr>
          <w:lang w:eastAsia="ru-RU"/>
        </w:rPr>
        <w:instrText xml:space="preserve"> </w:instrText>
      </w:r>
      <w:r w:rsidR="00E974B2">
        <w:rPr>
          <w:lang w:val="en-US" w:eastAsia="ru-RU"/>
        </w:rPr>
        <w:instrText>having</w:instrText>
      </w:r>
      <w:r w:rsidR="00E974B2" w:rsidRPr="006447F6">
        <w:rPr>
          <w:lang w:eastAsia="ru-RU"/>
        </w:rPr>
        <w:instrText xml:space="preserve"> </w:instrText>
      </w:r>
      <w:r w:rsidR="00E974B2">
        <w:rPr>
          <w:lang w:val="en-US" w:eastAsia="ru-RU"/>
        </w:rPr>
        <w:instrText>a</w:instrText>
      </w:r>
      <w:r w:rsidR="00E974B2" w:rsidRPr="006447F6">
        <w:rPr>
          <w:lang w:eastAsia="ru-RU"/>
        </w:rPr>
        <w:instrText xml:space="preserve"> </w:instrText>
      </w:r>
      <w:r w:rsidR="00E974B2">
        <w:rPr>
          <w:lang w:val="en-US" w:eastAsia="ru-RU"/>
        </w:rPr>
        <w:instrText>well</w:instrText>
      </w:r>
      <w:r w:rsidR="00E974B2" w:rsidRPr="006447F6">
        <w:rPr>
          <w:lang w:eastAsia="ru-RU"/>
        </w:rPr>
        <w:instrText>-</w:instrText>
      </w:r>
      <w:r w:rsidR="00E974B2">
        <w:rPr>
          <w:lang w:val="en-US" w:eastAsia="ru-RU"/>
        </w:rPr>
        <w:instrText>established</w:instrText>
      </w:r>
      <w:r w:rsidR="00E974B2" w:rsidRPr="006447F6">
        <w:rPr>
          <w:lang w:eastAsia="ru-RU"/>
        </w:rPr>
        <w:instrText xml:space="preserve"> </w:instrText>
      </w:r>
      <w:r w:rsidR="00E974B2">
        <w:rPr>
          <w:lang w:val="en-US" w:eastAsia="ru-RU"/>
        </w:rPr>
        <w:instrText>and</w:instrText>
      </w:r>
      <w:r w:rsidR="00E974B2" w:rsidRPr="006447F6">
        <w:rPr>
          <w:lang w:eastAsia="ru-RU"/>
        </w:rPr>
        <w:instrText xml:space="preserve"> </w:instrText>
      </w:r>
      <w:r w:rsidR="00E974B2">
        <w:rPr>
          <w:lang w:val="en-US" w:eastAsia="ru-RU"/>
        </w:rPr>
        <w:instrText>manageable</w:instrText>
      </w:r>
      <w:r w:rsidR="00E974B2" w:rsidRPr="006447F6">
        <w:rPr>
          <w:lang w:eastAsia="ru-RU"/>
        </w:rPr>
        <w:instrText xml:space="preserve"> </w:instrText>
      </w:r>
      <w:r w:rsidR="00E974B2">
        <w:rPr>
          <w:lang w:val="en-US" w:eastAsia="ru-RU"/>
        </w:rPr>
        <w:instrText>safety</w:instrText>
      </w:r>
      <w:r w:rsidR="00E974B2" w:rsidRPr="006447F6">
        <w:rPr>
          <w:lang w:eastAsia="ru-RU"/>
        </w:rPr>
        <w:instrText xml:space="preserve"> </w:instrText>
      </w:r>
      <w:r w:rsidR="00E974B2">
        <w:rPr>
          <w:lang w:val="en-US" w:eastAsia="ru-RU"/>
        </w:rPr>
        <w:instrText>profile</w:instrText>
      </w:r>
      <w:r w:rsidR="00E974B2" w:rsidRPr="006447F6">
        <w:rPr>
          <w:lang w:eastAsia="ru-RU"/>
        </w:rPr>
        <w:instrText xml:space="preserve"> </w:instrText>
      </w:r>
      <w:r w:rsidR="00E974B2">
        <w:rPr>
          <w:lang w:val="en-US" w:eastAsia="ru-RU"/>
        </w:rPr>
        <w:instrText>and</w:instrText>
      </w:r>
      <w:r w:rsidR="00E974B2" w:rsidRPr="006447F6">
        <w:rPr>
          <w:lang w:eastAsia="ru-RU"/>
        </w:rPr>
        <w:instrText xml:space="preserve"> </w:instrText>
      </w:r>
      <w:r w:rsidR="00E974B2">
        <w:rPr>
          <w:lang w:val="en-US" w:eastAsia="ru-RU"/>
        </w:rPr>
        <w:instrText>a</w:instrText>
      </w:r>
      <w:r w:rsidR="00E974B2" w:rsidRPr="006447F6">
        <w:rPr>
          <w:lang w:eastAsia="ru-RU"/>
        </w:rPr>
        <w:instrText xml:space="preserve"> </w:instrText>
      </w:r>
      <w:r w:rsidR="00E974B2">
        <w:rPr>
          <w:lang w:val="en-US" w:eastAsia="ru-RU"/>
        </w:rPr>
        <w:instrText>wide</w:instrText>
      </w:r>
      <w:r w:rsidR="00E974B2" w:rsidRPr="006447F6">
        <w:rPr>
          <w:lang w:eastAsia="ru-RU"/>
        </w:rPr>
        <w:instrText xml:space="preserve"> </w:instrText>
      </w:r>
      <w:r w:rsidR="00E974B2">
        <w:rPr>
          <w:lang w:val="en-US" w:eastAsia="ru-RU"/>
        </w:rPr>
        <w:instrText>therapeutic</w:instrText>
      </w:r>
      <w:r w:rsidR="00E974B2" w:rsidRPr="006447F6">
        <w:rPr>
          <w:lang w:eastAsia="ru-RU"/>
        </w:rPr>
        <w:instrText xml:space="preserve"> </w:instrText>
      </w:r>
      <w:r w:rsidR="00E974B2">
        <w:rPr>
          <w:lang w:val="en-US" w:eastAsia="ru-RU"/>
        </w:rPr>
        <w:instrText>window</w:instrText>
      </w:r>
      <w:r w:rsidR="00E974B2" w:rsidRPr="006447F6">
        <w:rPr>
          <w:lang w:eastAsia="ru-RU"/>
        </w:rPr>
        <w:instrText xml:space="preserve">. </w:instrText>
      </w:r>
      <w:r w:rsidR="00E974B2">
        <w:rPr>
          <w:lang w:val="en-US" w:eastAsia="ru-RU"/>
        </w:rPr>
        <w:instrText>As</w:instrText>
      </w:r>
      <w:r w:rsidR="00E974B2" w:rsidRPr="006447F6">
        <w:rPr>
          <w:lang w:eastAsia="ru-RU"/>
        </w:rPr>
        <w:instrText xml:space="preserve"> </w:instrText>
      </w:r>
      <w:r w:rsidR="00E974B2">
        <w:rPr>
          <w:lang w:val="en-US" w:eastAsia="ru-RU"/>
        </w:rPr>
        <w:instrText>a</w:instrText>
      </w:r>
      <w:r w:rsidR="00E974B2" w:rsidRPr="006447F6">
        <w:rPr>
          <w:lang w:eastAsia="ru-RU"/>
        </w:rPr>
        <w:instrText xml:space="preserve"> </w:instrText>
      </w:r>
      <w:r w:rsidR="00E974B2">
        <w:rPr>
          <w:lang w:val="en-US" w:eastAsia="ru-RU"/>
        </w:rPr>
        <w:instrText>result</w:instrText>
      </w:r>
      <w:r w:rsidR="00E974B2" w:rsidRPr="006447F6">
        <w:rPr>
          <w:lang w:eastAsia="ru-RU"/>
        </w:rPr>
        <w:instrText xml:space="preserve">, </w:instrText>
      </w:r>
      <w:r w:rsidR="00E974B2">
        <w:rPr>
          <w:lang w:val="en-US" w:eastAsia="ru-RU"/>
        </w:rPr>
        <w:instrText>rituximab</w:instrText>
      </w:r>
      <w:r w:rsidR="00E974B2" w:rsidRPr="006447F6">
        <w:rPr>
          <w:lang w:eastAsia="ru-RU"/>
        </w:rPr>
        <w:instrText xml:space="preserve"> </w:instrText>
      </w:r>
      <w:r w:rsidR="00E974B2">
        <w:rPr>
          <w:lang w:val="en-US" w:eastAsia="ru-RU"/>
        </w:rPr>
        <w:instrText>is</w:instrText>
      </w:r>
      <w:r w:rsidR="00E974B2" w:rsidRPr="006447F6">
        <w:rPr>
          <w:lang w:eastAsia="ru-RU"/>
        </w:rPr>
        <w:instrText xml:space="preserve"> </w:instrText>
      </w:r>
      <w:r w:rsidR="00E974B2">
        <w:rPr>
          <w:lang w:val="en-US" w:eastAsia="ru-RU"/>
        </w:rPr>
        <w:instrText>considered</w:instrText>
      </w:r>
      <w:r w:rsidR="00E974B2" w:rsidRPr="006447F6">
        <w:rPr>
          <w:lang w:eastAsia="ru-RU"/>
        </w:rPr>
        <w:instrText xml:space="preserve"> </w:instrText>
      </w:r>
      <w:r w:rsidR="00E974B2">
        <w:rPr>
          <w:lang w:val="en-US" w:eastAsia="ru-RU"/>
        </w:rPr>
        <w:instrText>to</w:instrText>
      </w:r>
      <w:r w:rsidR="00E974B2" w:rsidRPr="006447F6">
        <w:rPr>
          <w:lang w:eastAsia="ru-RU"/>
        </w:rPr>
        <w:instrText xml:space="preserve"> </w:instrText>
      </w:r>
      <w:r w:rsidR="00E974B2">
        <w:rPr>
          <w:lang w:val="en-US" w:eastAsia="ru-RU"/>
        </w:rPr>
        <w:instrText>have</w:instrText>
      </w:r>
      <w:r w:rsidR="00E974B2" w:rsidRPr="006447F6">
        <w:rPr>
          <w:lang w:eastAsia="ru-RU"/>
        </w:rPr>
        <w:instrText xml:space="preserve"> </w:instrText>
      </w:r>
      <w:r w:rsidR="00E974B2">
        <w:rPr>
          <w:lang w:val="en-US" w:eastAsia="ru-RU"/>
        </w:rPr>
        <w:instrText>revolutionized</w:instrText>
      </w:r>
      <w:r w:rsidR="00E974B2" w:rsidRPr="006447F6">
        <w:rPr>
          <w:lang w:eastAsia="ru-RU"/>
        </w:rPr>
        <w:instrText xml:space="preserve"> </w:instrText>
      </w:r>
      <w:r w:rsidR="00E974B2">
        <w:rPr>
          <w:lang w:val="en-US" w:eastAsia="ru-RU"/>
        </w:rPr>
        <w:instrText>treatment</w:instrText>
      </w:r>
      <w:r w:rsidR="00E974B2" w:rsidRPr="006447F6">
        <w:rPr>
          <w:lang w:eastAsia="ru-RU"/>
        </w:rPr>
        <w:instrText xml:space="preserve"> </w:instrText>
      </w:r>
      <w:r w:rsidR="00E974B2">
        <w:rPr>
          <w:lang w:val="en-US" w:eastAsia="ru-RU"/>
        </w:rPr>
        <w:instrText>practices</w:instrText>
      </w:r>
      <w:r w:rsidR="00E974B2" w:rsidRPr="006447F6">
        <w:rPr>
          <w:lang w:eastAsia="ru-RU"/>
        </w:rPr>
        <w:instrText xml:space="preserve"> </w:instrText>
      </w:r>
      <w:r w:rsidR="00E974B2">
        <w:rPr>
          <w:lang w:val="en-US" w:eastAsia="ru-RU"/>
        </w:rPr>
        <w:instrText>for</w:instrText>
      </w:r>
      <w:r w:rsidR="00E974B2" w:rsidRPr="006447F6">
        <w:rPr>
          <w:lang w:eastAsia="ru-RU"/>
        </w:rPr>
        <w:instrText xml:space="preserve"> </w:instrText>
      </w:r>
      <w:r w:rsidR="00E974B2">
        <w:rPr>
          <w:lang w:val="en-US" w:eastAsia="ru-RU"/>
        </w:rPr>
        <w:instrText>patients</w:instrText>
      </w:r>
      <w:r w:rsidR="00E974B2" w:rsidRPr="006447F6">
        <w:rPr>
          <w:lang w:eastAsia="ru-RU"/>
        </w:rPr>
        <w:instrText xml:space="preserve"> </w:instrText>
      </w:r>
      <w:r w:rsidR="00E974B2">
        <w:rPr>
          <w:lang w:val="en-US" w:eastAsia="ru-RU"/>
        </w:rPr>
        <w:instrText>with</w:instrText>
      </w:r>
      <w:r w:rsidR="00E974B2" w:rsidRPr="006447F6">
        <w:rPr>
          <w:lang w:eastAsia="ru-RU"/>
        </w:rPr>
        <w:instrText xml:space="preserve"> </w:instrText>
      </w:r>
      <w:r w:rsidR="00E974B2">
        <w:rPr>
          <w:lang w:val="en-US" w:eastAsia="ru-RU"/>
        </w:rPr>
        <w:instrText>B</w:instrText>
      </w:r>
      <w:r w:rsidR="00E974B2" w:rsidRPr="006447F6">
        <w:rPr>
          <w:lang w:eastAsia="ru-RU"/>
        </w:rPr>
        <w:instrText>-</w:instrText>
      </w:r>
      <w:r w:rsidR="00E974B2">
        <w:rPr>
          <w:lang w:val="en-US" w:eastAsia="ru-RU"/>
        </w:rPr>
        <w:instrText>cell</w:instrText>
      </w:r>
      <w:r w:rsidR="00E974B2" w:rsidRPr="006447F6">
        <w:rPr>
          <w:lang w:eastAsia="ru-RU"/>
        </w:rPr>
        <w:instrText xml:space="preserve"> </w:instrText>
      </w:r>
      <w:r w:rsidR="00E974B2">
        <w:rPr>
          <w:lang w:val="en-US" w:eastAsia="ru-RU"/>
        </w:rPr>
        <w:instrText>malignancies</w:instrText>
      </w:r>
      <w:r w:rsidR="00E974B2" w:rsidRPr="006447F6">
        <w:rPr>
          <w:lang w:eastAsia="ru-RU"/>
        </w:rPr>
        <w:instrText xml:space="preserve">. </w:instrText>
      </w:r>
      <w:r w:rsidR="00E974B2">
        <w:rPr>
          <w:lang w:val="en-US" w:eastAsia="ru-RU"/>
        </w:rPr>
        <w:instrText>A</w:instrText>
      </w:r>
      <w:r w:rsidR="00E974B2" w:rsidRPr="006447F6">
        <w:rPr>
          <w:lang w:eastAsia="ru-RU"/>
        </w:rPr>
        <w:instrText xml:space="preserve"> </w:instrText>
      </w:r>
      <w:r w:rsidR="00E974B2">
        <w:rPr>
          <w:lang w:val="en-US" w:eastAsia="ru-RU"/>
        </w:rPr>
        <w:instrText>subcutaneous</w:instrText>
      </w:r>
      <w:r w:rsidR="00E974B2" w:rsidRPr="006447F6">
        <w:rPr>
          <w:lang w:eastAsia="ru-RU"/>
        </w:rPr>
        <w:instrText xml:space="preserve"> (</w:instrText>
      </w:r>
      <w:r w:rsidR="00E974B2">
        <w:rPr>
          <w:lang w:val="en-US" w:eastAsia="ru-RU"/>
        </w:rPr>
        <w:instrText>SC</w:instrText>
      </w:r>
      <w:r w:rsidR="00E974B2" w:rsidRPr="006447F6">
        <w:rPr>
          <w:lang w:eastAsia="ru-RU"/>
        </w:rPr>
        <w:instrText xml:space="preserve">) </w:instrText>
      </w:r>
      <w:r w:rsidR="00E974B2">
        <w:rPr>
          <w:lang w:val="en-US" w:eastAsia="ru-RU"/>
        </w:rPr>
        <w:instrText>formulation</w:instrText>
      </w:r>
      <w:r w:rsidR="00E974B2" w:rsidRPr="006447F6">
        <w:rPr>
          <w:lang w:eastAsia="ru-RU"/>
        </w:rPr>
        <w:instrText xml:space="preserve"> </w:instrText>
      </w:r>
      <w:r w:rsidR="00E974B2">
        <w:rPr>
          <w:lang w:val="en-US" w:eastAsia="ru-RU"/>
        </w:rPr>
        <w:instrText>of</w:instrText>
      </w:r>
      <w:r w:rsidR="00E974B2" w:rsidRPr="006447F6">
        <w:rPr>
          <w:lang w:eastAsia="ru-RU"/>
        </w:rPr>
        <w:instrText xml:space="preserve"> </w:instrText>
      </w:r>
      <w:r w:rsidR="00E974B2">
        <w:rPr>
          <w:lang w:val="en-US" w:eastAsia="ru-RU"/>
        </w:rPr>
        <w:instrText>rituximab</w:instrText>
      </w:r>
      <w:r w:rsidR="00E974B2" w:rsidRPr="006447F6">
        <w:rPr>
          <w:lang w:eastAsia="ru-RU"/>
        </w:rPr>
        <w:instrText xml:space="preserve"> </w:instrText>
      </w:r>
      <w:r w:rsidR="00E974B2">
        <w:rPr>
          <w:lang w:val="en-US" w:eastAsia="ru-RU"/>
        </w:rPr>
        <w:instrText>has</w:instrText>
      </w:r>
      <w:r w:rsidR="00E974B2" w:rsidRPr="006447F6">
        <w:rPr>
          <w:lang w:eastAsia="ru-RU"/>
        </w:rPr>
        <w:instrText xml:space="preserve"> </w:instrText>
      </w:r>
      <w:r w:rsidR="00E974B2">
        <w:rPr>
          <w:lang w:val="en-US" w:eastAsia="ru-RU"/>
        </w:rPr>
        <w:instrText>been</w:instrText>
      </w:r>
      <w:r w:rsidR="00E974B2" w:rsidRPr="006447F6">
        <w:rPr>
          <w:lang w:eastAsia="ru-RU"/>
        </w:rPr>
        <w:instrText xml:space="preserve"> </w:instrText>
      </w:r>
      <w:r w:rsidR="00E974B2">
        <w:rPr>
          <w:lang w:val="en-US" w:eastAsia="ru-RU"/>
        </w:rPr>
        <w:instrText>developed</w:instrText>
      </w:r>
      <w:r w:rsidR="00E974B2" w:rsidRPr="006447F6">
        <w:rPr>
          <w:lang w:eastAsia="ru-RU"/>
        </w:rPr>
        <w:instrText xml:space="preserve">, </w:instrText>
      </w:r>
      <w:r w:rsidR="00E974B2">
        <w:rPr>
          <w:lang w:val="en-US" w:eastAsia="ru-RU"/>
        </w:rPr>
        <w:instrText>comprising</w:instrText>
      </w:r>
      <w:r w:rsidR="00E974B2" w:rsidRPr="006447F6">
        <w:rPr>
          <w:lang w:eastAsia="ru-RU"/>
        </w:rPr>
        <w:instrText xml:space="preserve"> </w:instrText>
      </w:r>
      <w:r w:rsidR="00E974B2">
        <w:rPr>
          <w:lang w:val="en-US" w:eastAsia="ru-RU"/>
        </w:rPr>
        <w:instrText>the</w:instrText>
      </w:r>
      <w:r w:rsidR="00E974B2" w:rsidRPr="006447F6">
        <w:rPr>
          <w:lang w:eastAsia="ru-RU"/>
        </w:rPr>
        <w:instrText xml:space="preserve"> </w:instrText>
      </w:r>
      <w:r w:rsidR="00E974B2">
        <w:rPr>
          <w:lang w:val="en-US" w:eastAsia="ru-RU"/>
        </w:rPr>
        <w:instrText>same</w:instrText>
      </w:r>
      <w:r w:rsidR="00E974B2" w:rsidRPr="006447F6">
        <w:rPr>
          <w:lang w:eastAsia="ru-RU"/>
        </w:rPr>
        <w:instrText xml:space="preserve"> </w:instrText>
      </w:r>
      <w:r w:rsidR="00E974B2">
        <w:rPr>
          <w:lang w:val="en-US" w:eastAsia="ru-RU"/>
        </w:rPr>
        <w:instrText>monoclonal</w:instrText>
      </w:r>
      <w:r w:rsidR="00E974B2" w:rsidRPr="006447F6">
        <w:rPr>
          <w:lang w:eastAsia="ru-RU"/>
        </w:rPr>
        <w:instrText xml:space="preserve"> </w:instrText>
      </w:r>
      <w:r w:rsidR="00E974B2">
        <w:rPr>
          <w:lang w:val="en-US" w:eastAsia="ru-RU"/>
        </w:rPr>
        <w:instrText>antibody</w:instrText>
      </w:r>
      <w:r w:rsidR="00E974B2" w:rsidRPr="006447F6">
        <w:rPr>
          <w:lang w:eastAsia="ru-RU"/>
        </w:rPr>
        <w:instrText xml:space="preserve"> </w:instrText>
      </w:r>
      <w:r w:rsidR="00E974B2">
        <w:rPr>
          <w:lang w:val="en-US" w:eastAsia="ru-RU"/>
        </w:rPr>
        <w:instrText>as</w:instrText>
      </w:r>
      <w:r w:rsidR="00E974B2" w:rsidRPr="006447F6">
        <w:rPr>
          <w:lang w:eastAsia="ru-RU"/>
        </w:rPr>
        <w:instrText xml:space="preserve"> </w:instrText>
      </w:r>
      <w:r w:rsidR="00E974B2">
        <w:rPr>
          <w:lang w:val="en-US" w:eastAsia="ru-RU"/>
        </w:rPr>
        <w:instrText>the</w:instrText>
      </w:r>
      <w:r w:rsidR="00E974B2" w:rsidRPr="006447F6">
        <w:rPr>
          <w:lang w:eastAsia="ru-RU"/>
        </w:rPr>
        <w:instrText xml:space="preserve"> </w:instrText>
      </w:r>
      <w:r w:rsidR="00E974B2">
        <w:rPr>
          <w:lang w:val="en-US" w:eastAsia="ru-RU"/>
        </w:rPr>
        <w:instrText>originally</w:instrText>
      </w:r>
      <w:r w:rsidR="00E974B2" w:rsidRPr="006447F6">
        <w:rPr>
          <w:lang w:eastAsia="ru-RU"/>
        </w:rPr>
        <w:instrText xml:space="preserve"> </w:instrText>
      </w:r>
      <w:r w:rsidR="00E974B2">
        <w:rPr>
          <w:lang w:val="en-US" w:eastAsia="ru-RU"/>
        </w:rPr>
        <w:instrText>marketed</w:instrText>
      </w:r>
      <w:r w:rsidR="00E974B2" w:rsidRPr="006447F6">
        <w:rPr>
          <w:lang w:eastAsia="ru-RU"/>
        </w:rPr>
        <w:instrText xml:space="preserve"> </w:instrText>
      </w:r>
      <w:r w:rsidR="00E974B2">
        <w:rPr>
          <w:lang w:val="en-US" w:eastAsia="ru-RU"/>
        </w:rPr>
        <w:instrText>formulation</w:instrText>
      </w:r>
      <w:r w:rsidR="00E974B2" w:rsidRPr="006447F6">
        <w:rPr>
          <w:lang w:eastAsia="ru-RU"/>
        </w:rPr>
        <w:instrText xml:space="preserve"> [</w:instrText>
      </w:r>
      <w:r w:rsidR="00E974B2">
        <w:rPr>
          <w:lang w:val="en-US" w:eastAsia="ru-RU"/>
        </w:rPr>
        <w:instrText>rituximab</w:instrText>
      </w:r>
      <w:r w:rsidR="00E974B2" w:rsidRPr="006447F6">
        <w:rPr>
          <w:lang w:eastAsia="ru-RU"/>
        </w:rPr>
        <w:instrText xml:space="preserve"> </w:instrText>
      </w:r>
      <w:r w:rsidR="00E974B2">
        <w:rPr>
          <w:lang w:val="en-US" w:eastAsia="ru-RU"/>
        </w:rPr>
        <w:instrText>concentrate</w:instrText>
      </w:r>
      <w:r w:rsidR="00E974B2" w:rsidRPr="006447F6">
        <w:rPr>
          <w:lang w:eastAsia="ru-RU"/>
        </w:rPr>
        <w:instrText xml:space="preserve"> </w:instrText>
      </w:r>
      <w:r w:rsidR="00E974B2">
        <w:rPr>
          <w:lang w:val="en-US" w:eastAsia="ru-RU"/>
        </w:rPr>
        <w:instrText>for</w:instrText>
      </w:r>
      <w:r w:rsidR="00E974B2" w:rsidRPr="006447F6">
        <w:rPr>
          <w:lang w:eastAsia="ru-RU"/>
        </w:rPr>
        <w:instrText xml:space="preserve"> </w:instrText>
      </w:r>
      <w:r w:rsidR="00E974B2">
        <w:rPr>
          <w:lang w:val="en-US" w:eastAsia="ru-RU"/>
        </w:rPr>
        <w:instrText>solution</w:instrText>
      </w:r>
      <w:r w:rsidR="00E974B2" w:rsidRPr="006447F6">
        <w:rPr>
          <w:lang w:eastAsia="ru-RU"/>
        </w:rPr>
        <w:instrText xml:space="preserve"> </w:instrText>
      </w:r>
      <w:r w:rsidR="00E974B2">
        <w:rPr>
          <w:lang w:val="en-US" w:eastAsia="ru-RU"/>
        </w:rPr>
        <w:instrText>for</w:instrText>
      </w:r>
      <w:r w:rsidR="00E974B2" w:rsidRPr="006447F6">
        <w:rPr>
          <w:lang w:eastAsia="ru-RU"/>
        </w:rPr>
        <w:instrText xml:space="preserve"> </w:instrText>
      </w:r>
      <w:r w:rsidR="00E974B2">
        <w:rPr>
          <w:lang w:val="en-US" w:eastAsia="ru-RU"/>
        </w:rPr>
        <w:instrText>intravenous</w:instrText>
      </w:r>
      <w:r w:rsidR="00E974B2" w:rsidRPr="006447F6">
        <w:rPr>
          <w:lang w:eastAsia="ru-RU"/>
        </w:rPr>
        <w:instrText xml:space="preserve"> (</w:instrText>
      </w:r>
      <w:r w:rsidR="00E974B2">
        <w:rPr>
          <w:lang w:val="en-US" w:eastAsia="ru-RU"/>
        </w:rPr>
        <w:instrText>IV</w:instrText>
      </w:r>
      <w:r w:rsidR="00E974B2" w:rsidRPr="006447F6">
        <w:rPr>
          <w:lang w:eastAsia="ru-RU"/>
        </w:rPr>
        <w:instrText xml:space="preserve">) </w:instrText>
      </w:r>
      <w:r w:rsidR="00E974B2">
        <w:rPr>
          <w:lang w:val="en-US" w:eastAsia="ru-RU"/>
        </w:rPr>
        <w:instrText>infusion</w:instrText>
      </w:r>
      <w:r w:rsidR="00E974B2" w:rsidRPr="006447F6">
        <w:rPr>
          <w:lang w:eastAsia="ru-RU"/>
        </w:rPr>
        <w:instrText xml:space="preserve">], </w:instrText>
      </w:r>
      <w:r w:rsidR="00E974B2">
        <w:rPr>
          <w:lang w:val="en-US" w:eastAsia="ru-RU"/>
        </w:rPr>
        <w:instrText>and</w:instrText>
      </w:r>
      <w:r w:rsidR="00E974B2" w:rsidRPr="006447F6">
        <w:rPr>
          <w:lang w:eastAsia="ru-RU"/>
        </w:rPr>
        <w:instrText xml:space="preserve"> </w:instrText>
      </w:r>
      <w:r w:rsidR="00E974B2">
        <w:rPr>
          <w:lang w:val="en-US" w:eastAsia="ru-RU"/>
        </w:rPr>
        <w:instrText>has</w:instrText>
      </w:r>
      <w:r w:rsidR="00E974B2" w:rsidRPr="006447F6">
        <w:rPr>
          <w:lang w:eastAsia="ru-RU"/>
        </w:rPr>
        <w:instrText xml:space="preserve"> </w:instrText>
      </w:r>
      <w:r w:rsidR="00E974B2">
        <w:rPr>
          <w:lang w:val="en-US" w:eastAsia="ru-RU"/>
        </w:rPr>
        <w:instrText>undergone</w:instrText>
      </w:r>
      <w:r w:rsidR="00E974B2" w:rsidRPr="006447F6">
        <w:rPr>
          <w:lang w:eastAsia="ru-RU"/>
        </w:rPr>
        <w:instrText xml:space="preserve"> </w:instrText>
      </w:r>
      <w:r w:rsidR="00E974B2">
        <w:rPr>
          <w:lang w:val="en-US" w:eastAsia="ru-RU"/>
        </w:rPr>
        <w:instrText>a</w:instrText>
      </w:r>
      <w:r w:rsidR="00E974B2" w:rsidRPr="006447F6">
        <w:rPr>
          <w:lang w:eastAsia="ru-RU"/>
        </w:rPr>
        <w:instrText xml:space="preserve"> </w:instrText>
      </w:r>
      <w:r w:rsidR="00E974B2">
        <w:rPr>
          <w:lang w:val="en-US" w:eastAsia="ru-RU"/>
        </w:rPr>
        <w:instrText>detailed</w:instrText>
      </w:r>
      <w:r w:rsidR="00E974B2" w:rsidRPr="006447F6">
        <w:rPr>
          <w:lang w:eastAsia="ru-RU"/>
        </w:rPr>
        <w:instrText xml:space="preserve">, </w:instrText>
      </w:r>
      <w:r w:rsidR="00E974B2">
        <w:rPr>
          <w:lang w:val="en-US" w:eastAsia="ru-RU"/>
        </w:rPr>
        <w:instrText>sequential</w:instrText>
      </w:r>
      <w:r w:rsidR="00E974B2" w:rsidRPr="006447F6">
        <w:rPr>
          <w:lang w:eastAsia="ru-RU"/>
        </w:rPr>
        <w:instrText xml:space="preserve"> </w:instrText>
      </w:r>
      <w:r w:rsidR="00E974B2">
        <w:rPr>
          <w:lang w:val="en-US" w:eastAsia="ru-RU"/>
        </w:rPr>
        <w:instrText>clinical</w:instrText>
      </w:r>
      <w:r w:rsidR="00E974B2" w:rsidRPr="006447F6">
        <w:rPr>
          <w:lang w:eastAsia="ru-RU"/>
        </w:rPr>
        <w:instrText xml:space="preserve"> </w:instrText>
      </w:r>
      <w:r w:rsidR="00E974B2">
        <w:rPr>
          <w:lang w:val="en-US" w:eastAsia="ru-RU"/>
        </w:rPr>
        <w:instrText>development</w:instrText>
      </w:r>
      <w:r w:rsidR="00E974B2" w:rsidRPr="006447F6">
        <w:rPr>
          <w:lang w:eastAsia="ru-RU"/>
        </w:rPr>
        <w:instrText xml:space="preserve"> </w:instrText>
      </w:r>
      <w:r w:rsidR="00E974B2">
        <w:rPr>
          <w:lang w:val="en-US" w:eastAsia="ru-RU"/>
        </w:rPr>
        <w:instrText>program</w:instrText>
      </w:r>
      <w:r w:rsidR="00E974B2" w:rsidRPr="006447F6">
        <w:rPr>
          <w:lang w:eastAsia="ru-RU"/>
        </w:rPr>
        <w:instrText xml:space="preserve">. </w:instrText>
      </w:r>
      <w:r w:rsidR="00E974B2">
        <w:rPr>
          <w:lang w:val="en-US" w:eastAsia="ru-RU"/>
        </w:rPr>
        <w:instrText>This</w:instrText>
      </w:r>
      <w:r w:rsidR="00E974B2" w:rsidRPr="006447F6">
        <w:rPr>
          <w:lang w:eastAsia="ru-RU"/>
        </w:rPr>
        <w:instrText xml:space="preserve"> </w:instrText>
      </w:r>
      <w:r w:rsidR="00E974B2">
        <w:rPr>
          <w:lang w:val="en-US" w:eastAsia="ru-RU"/>
        </w:rPr>
        <w:instrText>program</w:instrText>
      </w:r>
      <w:r w:rsidR="00E974B2" w:rsidRPr="006447F6">
        <w:rPr>
          <w:lang w:eastAsia="ru-RU"/>
        </w:rPr>
        <w:instrText xml:space="preserve"> </w:instrText>
      </w:r>
      <w:r w:rsidR="00E974B2">
        <w:rPr>
          <w:lang w:val="en-US" w:eastAsia="ru-RU"/>
        </w:rPr>
        <w:instrText>demonstrated</w:instrText>
      </w:r>
      <w:r w:rsidR="00E974B2" w:rsidRPr="006447F6">
        <w:rPr>
          <w:lang w:eastAsia="ru-RU"/>
        </w:rPr>
        <w:instrText xml:space="preserve"> </w:instrText>
      </w:r>
      <w:r w:rsidR="00E974B2">
        <w:rPr>
          <w:lang w:val="en-US" w:eastAsia="ru-RU"/>
        </w:rPr>
        <w:instrText>that</w:instrText>
      </w:r>
      <w:r w:rsidR="00E974B2" w:rsidRPr="006447F6">
        <w:rPr>
          <w:lang w:eastAsia="ru-RU"/>
        </w:rPr>
        <w:instrText xml:space="preserve">, </w:instrText>
      </w:r>
      <w:r w:rsidR="00E974B2">
        <w:rPr>
          <w:lang w:val="en-US" w:eastAsia="ru-RU"/>
        </w:rPr>
        <w:instrText>at</w:instrText>
      </w:r>
      <w:r w:rsidR="00E974B2" w:rsidRPr="006447F6">
        <w:rPr>
          <w:lang w:eastAsia="ru-RU"/>
        </w:rPr>
        <w:instrText xml:space="preserve"> </w:instrText>
      </w:r>
      <w:r w:rsidR="00E974B2">
        <w:rPr>
          <w:lang w:val="en-US" w:eastAsia="ru-RU"/>
        </w:rPr>
        <w:instrText>fixed</w:instrText>
      </w:r>
      <w:r w:rsidR="00E974B2" w:rsidRPr="006447F6">
        <w:rPr>
          <w:lang w:eastAsia="ru-RU"/>
        </w:rPr>
        <w:instrText xml:space="preserve"> </w:instrText>
      </w:r>
      <w:r w:rsidR="00E974B2">
        <w:rPr>
          <w:lang w:val="en-US" w:eastAsia="ru-RU"/>
        </w:rPr>
        <w:instrText>doses</w:instrText>
      </w:r>
      <w:r w:rsidR="00E974B2" w:rsidRPr="006447F6">
        <w:rPr>
          <w:lang w:eastAsia="ru-RU"/>
        </w:rPr>
        <w:instrText xml:space="preserve">, </w:instrText>
      </w:r>
      <w:r w:rsidR="00E974B2">
        <w:rPr>
          <w:lang w:val="en-US" w:eastAsia="ru-RU"/>
        </w:rPr>
        <w:instrText>rituximab</w:instrText>
      </w:r>
      <w:r w:rsidR="00E974B2" w:rsidRPr="006447F6">
        <w:rPr>
          <w:lang w:eastAsia="ru-RU"/>
        </w:rPr>
        <w:instrText xml:space="preserve"> </w:instrText>
      </w:r>
      <w:r w:rsidR="00E974B2">
        <w:rPr>
          <w:lang w:val="en-US" w:eastAsia="ru-RU"/>
        </w:rPr>
        <w:instrText>SC</w:instrText>
      </w:r>
      <w:r w:rsidR="00E974B2" w:rsidRPr="006447F6">
        <w:rPr>
          <w:lang w:eastAsia="ru-RU"/>
        </w:rPr>
        <w:instrText xml:space="preserve"> </w:instrText>
      </w:r>
      <w:r w:rsidR="00E974B2">
        <w:rPr>
          <w:lang w:val="en-US" w:eastAsia="ru-RU"/>
        </w:rPr>
        <w:instrText>achieves</w:instrText>
      </w:r>
      <w:r w:rsidR="00E974B2" w:rsidRPr="006447F6">
        <w:rPr>
          <w:lang w:eastAsia="ru-RU"/>
        </w:rPr>
        <w:instrText xml:space="preserve"> </w:instrText>
      </w:r>
      <w:r w:rsidR="00E974B2">
        <w:rPr>
          <w:lang w:val="en-US" w:eastAsia="ru-RU"/>
        </w:rPr>
        <w:instrText>non</w:instrText>
      </w:r>
      <w:r w:rsidR="00E974B2" w:rsidRPr="006447F6">
        <w:rPr>
          <w:lang w:eastAsia="ru-RU"/>
        </w:rPr>
        <w:instrText>-</w:instrText>
      </w:r>
      <w:r w:rsidR="00E974B2">
        <w:rPr>
          <w:lang w:val="en-US" w:eastAsia="ru-RU"/>
        </w:rPr>
        <w:instrText>inferior</w:instrText>
      </w:r>
      <w:r w:rsidR="00E974B2" w:rsidRPr="006447F6">
        <w:rPr>
          <w:lang w:eastAsia="ru-RU"/>
        </w:rPr>
        <w:instrText xml:space="preserve"> </w:instrText>
      </w:r>
      <w:r w:rsidR="00E974B2">
        <w:rPr>
          <w:lang w:val="en-US" w:eastAsia="ru-RU"/>
        </w:rPr>
        <w:instrText>serum</w:instrText>
      </w:r>
      <w:r w:rsidR="00E974B2" w:rsidRPr="006447F6">
        <w:rPr>
          <w:lang w:eastAsia="ru-RU"/>
        </w:rPr>
        <w:instrText xml:space="preserve"> </w:instrText>
      </w:r>
      <w:r w:rsidR="00E974B2">
        <w:rPr>
          <w:lang w:val="en-US" w:eastAsia="ru-RU"/>
        </w:rPr>
        <w:instrText>trough</w:instrText>
      </w:r>
      <w:r w:rsidR="00E974B2" w:rsidRPr="006447F6">
        <w:rPr>
          <w:lang w:eastAsia="ru-RU"/>
        </w:rPr>
        <w:instrText xml:space="preserve"> </w:instrText>
      </w:r>
      <w:r w:rsidR="00E974B2">
        <w:rPr>
          <w:lang w:val="en-US" w:eastAsia="ru-RU"/>
        </w:rPr>
        <w:instrText>concentrations</w:instrText>
      </w:r>
      <w:r w:rsidR="00E974B2" w:rsidRPr="006447F6">
        <w:rPr>
          <w:lang w:eastAsia="ru-RU"/>
        </w:rPr>
        <w:instrText xml:space="preserve"> </w:instrText>
      </w:r>
      <w:r w:rsidR="00E974B2">
        <w:rPr>
          <w:lang w:val="en-US" w:eastAsia="ru-RU"/>
        </w:rPr>
        <w:instrText>in</w:instrText>
      </w:r>
      <w:r w:rsidR="00E974B2" w:rsidRPr="006447F6">
        <w:rPr>
          <w:lang w:eastAsia="ru-RU"/>
        </w:rPr>
        <w:instrText xml:space="preserve"> </w:instrText>
      </w:r>
      <w:r w:rsidR="00E974B2">
        <w:rPr>
          <w:lang w:val="en-US" w:eastAsia="ru-RU"/>
        </w:rPr>
        <w:instrText>patients</w:instrText>
      </w:r>
      <w:r w:rsidR="00E974B2" w:rsidRPr="006447F6">
        <w:rPr>
          <w:lang w:eastAsia="ru-RU"/>
        </w:rPr>
        <w:instrText xml:space="preserve"> </w:instrText>
      </w:r>
      <w:r w:rsidR="00E974B2">
        <w:rPr>
          <w:lang w:val="en-US" w:eastAsia="ru-RU"/>
        </w:rPr>
        <w:instrText>with</w:instrText>
      </w:r>
      <w:r w:rsidR="00E974B2" w:rsidRPr="006447F6">
        <w:rPr>
          <w:lang w:eastAsia="ru-RU"/>
        </w:rPr>
        <w:instrText xml:space="preserve"> </w:instrText>
      </w:r>
      <w:r w:rsidR="00E974B2">
        <w:rPr>
          <w:lang w:val="en-US" w:eastAsia="ru-RU"/>
        </w:rPr>
        <w:instrText>non</w:instrText>
      </w:r>
      <w:r w:rsidR="00E974B2" w:rsidRPr="006447F6">
        <w:rPr>
          <w:lang w:eastAsia="ru-RU"/>
        </w:rPr>
        <w:instrText>-</w:instrText>
      </w:r>
      <w:r w:rsidR="00E974B2">
        <w:rPr>
          <w:lang w:val="en-US" w:eastAsia="ru-RU"/>
        </w:rPr>
        <w:instrText>Hodgkin</w:instrText>
      </w:r>
      <w:r w:rsidR="00E974B2" w:rsidRPr="006447F6">
        <w:rPr>
          <w:lang w:eastAsia="ru-RU"/>
        </w:rPr>
        <w:instrText xml:space="preserve"> </w:instrText>
      </w:r>
      <w:r w:rsidR="00E974B2">
        <w:rPr>
          <w:lang w:val="en-US" w:eastAsia="ru-RU"/>
        </w:rPr>
        <w:instrText>lymphoma</w:instrText>
      </w:r>
      <w:r w:rsidR="00E974B2" w:rsidRPr="006447F6">
        <w:rPr>
          <w:lang w:eastAsia="ru-RU"/>
        </w:rPr>
        <w:instrText xml:space="preserve"> </w:instrText>
      </w:r>
      <w:r w:rsidR="00E974B2">
        <w:rPr>
          <w:lang w:val="en-US" w:eastAsia="ru-RU"/>
        </w:rPr>
        <w:instrText>and</w:instrText>
      </w:r>
      <w:r w:rsidR="00E974B2" w:rsidRPr="006447F6">
        <w:rPr>
          <w:lang w:eastAsia="ru-RU"/>
        </w:rPr>
        <w:instrText xml:space="preserve"> </w:instrText>
      </w:r>
      <w:r w:rsidR="00E974B2">
        <w:rPr>
          <w:lang w:val="en-US" w:eastAsia="ru-RU"/>
        </w:rPr>
        <w:instrText>chronic</w:instrText>
      </w:r>
      <w:r w:rsidR="00E974B2" w:rsidRPr="006447F6">
        <w:rPr>
          <w:lang w:eastAsia="ru-RU"/>
        </w:rPr>
        <w:instrText xml:space="preserve"> </w:instrText>
      </w:r>
      <w:r w:rsidR="00E974B2">
        <w:rPr>
          <w:lang w:val="en-US" w:eastAsia="ru-RU"/>
        </w:rPr>
        <w:instrText>lymphocytic</w:instrText>
      </w:r>
      <w:r w:rsidR="00E974B2" w:rsidRPr="006447F6">
        <w:rPr>
          <w:lang w:eastAsia="ru-RU"/>
        </w:rPr>
        <w:instrText xml:space="preserve"> </w:instrText>
      </w:r>
      <w:r w:rsidR="00E974B2">
        <w:rPr>
          <w:lang w:val="en-US" w:eastAsia="ru-RU"/>
        </w:rPr>
        <w:instrText>leukemia</w:instrText>
      </w:r>
      <w:r w:rsidR="00E974B2" w:rsidRPr="006447F6">
        <w:rPr>
          <w:lang w:eastAsia="ru-RU"/>
        </w:rPr>
        <w:instrText xml:space="preserve">, </w:instrText>
      </w:r>
      <w:r w:rsidR="00E974B2">
        <w:rPr>
          <w:lang w:val="en-US" w:eastAsia="ru-RU"/>
        </w:rPr>
        <w:instrText>with</w:instrText>
      </w:r>
      <w:r w:rsidR="00E974B2" w:rsidRPr="006447F6">
        <w:rPr>
          <w:lang w:eastAsia="ru-RU"/>
        </w:rPr>
        <w:instrText xml:space="preserve"> </w:instrText>
      </w:r>
      <w:r w:rsidR="00E974B2">
        <w:rPr>
          <w:lang w:val="en-US" w:eastAsia="ru-RU"/>
        </w:rPr>
        <w:instrText>comparable</w:instrText>
      </w:r>
      <w:r w:rsidR="00E974B2" w:rsidRPr="006447F6">
        <w:rPr>
          <w:lang w:eastAsia="ru-RU"/>
        </w:rPr>
        <w:instrText xml:space="preserve"> </w:instrText>
      </w:r>
      <w:r w:rsidR="00E974B2">
        <w:rPr>
          <w:lang w:val="en-US" w:eastAsia="ru-RU"/>
        </w:rPr>
        <w:instrText>efficacy</w:instrText>
      </w:r>
      <w:r w:rsidR="00E974B2" w:rsidRPr="006447F6">
        <w:rPr>
          <w:lang w:eastAsia="ru-RU"/>
        </w:rPr>
        <w:instrText xml:space="preserve"> </w:instrText>
      </w:r>
      <w:r w:rsidR="00E974B2">
        <w:rPr>
          <w:lang w:val="en-US" w:eastAsia="ru-RU"/>
        </w:rPr>
        <w:instrText>and</w:instrText>
      </w:r>
      <w:r w:rsidR="00E974B2" w:rsidRPr="006447F6">
        <w:rPr>
          <w:lang w:eastAsia="ru-RU"/>
        </w:rPr>
        <w:instrText xml:space="preserve"> </w:instrText>
      </w:r>
      <w:r w:rsidR="00E974B2">
        <w:rPr>
          <w:lang w:val="en-US" w:eastAsia="ru-RU"/>
        </w:rPr>
        <w:instrText>safety</w:instrText>
      </w:r>
      <w:r w:rsidR="00E974B2" w:rsidRPr="006447F6">
        <w:rPr>
          <w:lang w:eastAsia="ru-RU"/>
        </w:rPr>
        <w:instrText xml:space="preserve"> </w:instrText>
      </w:r>
      <w:r w:rsidR="00E974B2">
        <w:rPr>
          <w:lang w:val="en-US" w:eastAsia="ru-RU"/>
        </w:rPr>
        <w:instrText>relative</w:instrText>
      </w:r>
      <w:r w:rsidR="00E974B2" w:rsidRPr="006447F6">
        <w:rPr>
          <w:lang w:eastAsia="ru-RU"/>
        </w:rPr>
        <w:instrText xml:space="preserve"> </w:instrText>
      </w:r>
      <w:r w:rsidR="00E974B2">
        <w:rPr>
          <w:lang w:val="en-US" w:eastAsia="ru-RU"/>
        </w:rPr>
        <w:instrText>to</w:instrText>
      </w:r>
      <w:r w:rsidR="00E974B2" w:rsidRPr="006447F6">
        <w:rPr>
          <w:lang w:eastAsia="ru-RU"/>
        </w:rPr>
        <w:instrText xml:space="preserve"> </w:instrText>
      </w:r>
      <w:r w:rsidR="00E974B2">
        <w:rPr>
          <w:lang w:val="en-US" w:eastAsia="ru-RU"/>
        </w:rPr>
        <w:instrText>the</w:instrText>
      </w:r>
      <w:r w:rsidR="00E974B2" w:rsidRPr="006447F6">
        <w:rPr>
          <w:lang w:eastAsia="ru-RU"/>
        </w:rPr>
        <w:instrText xml:space="preserve"> </w:instrText>
      </w:r>
      <w:r w:rsidR="00E974B2">
        <w:rPr>
          <w:lang w:val="en-US" w:eastAsia="ru-RU"/>
        </w:rPr>
        <w:instrText>IV</w:instrText>
      </w:r>
      <w:r w:rsidR="00E974B2" w:rsidRPr="006447F6">
        <w:rPr>
          <w:lang w:eastAsia="ru-RU"/>
        </w:rPr>
        <w:instrText xml:space="preserve"> </w:instrText>
      </w:r>
      <w:r w:rsidR="00E974B2">
        <w:rPr>
          <w:lang w:val="en-US" w:eastAsia="ru-RU"/>
        </w:rPr>
        <w:instrText>formulation</w:instrText>
      </w:r>
      <w:r w:rsidR="00E974B2" w:rsidRPr="006447F6">
        <w:rPr>
          <w:lang w:eastAsia="ru-RU"/>
        </w:rPr>
        <w:instrText xml:space="preserve">. </w:instrText>
      </w:r>
      <w:r w:rsidR="00E974B2">
        <w:rPr>
          <w:lang w:val="en-US" w:eastAsia="ru-RU"/>
        </w:rPr>
        <w:instrText>The</w:instrText>
      </w:r>
      <w:r w:rsidR="00E974B2" w:rsidRPr="006447F6">
        <w:rPr>
          <w:lang w:eastAsia="ru-RU"/>
        </w:rPr>
        <w:instrText xml:space="preserve"> </w:instrText>
      </w:r>
      <w:r w:rsidR="00E974B2">
        <w:rPr>
          <w:lang w:val="en-US" w:eastAsia="ru-RU"/>
        </w:rPr>
        <w:instrText>added</w:instrText>
      </w:r>
      <w:r w:rsidR="00E974B2" w:rsidRPr="006447F6">
        <w:rPr>
          <w:lang w:eastAsia="ru-RU"/>
        </w:rPr>
        <w:instrText xml:space="preserve"> </w:instrText>
      </w:r>
      <w:r w:rsidR="00E974B2">
        <w:rPr>
          <w:lang w:val="en-US" w:eastAsia="ru-RU"/>
        </w:rPr>
        <w:instrText>benefit</w:instrText>
      </w:r>
      <w:r w:rsidR="00E974B2" w:rsidRPr="006447F6">
        <w:rPr>
          <w:lang w:eastAsia="ru-RU"/>
        </w:rPr>
        <w:instrText xml:space="preserve"> </w:instrText>
      </w:r>
      <w:r w:rsidR="00E974B2">
        <w:rPr>
          <w:lang w:val="en-US" w:eastAsia="ru-RU"/>
        </w:rPr>
        <w:instrText>of</w:instrText>
      </w:r>
      <w:r w:rsidR="00E974B2" w:rsidRPr="006447F6">
        <w:rPr>
          <w:lang w:eastAsia="ru-RU"/>
        </w:rPr>
        <w:instrText xml:space="preserve"> </w:instrText>
      </w:r>
      <w:r w:rsidR="00E974B2">
        <w:rPr>
          <w:lang w:val="en-US" w:eastAsia="ru-RU"/>
        </w:rPr>
        <w:instrText>rituximab</w:instrText>
      </w:r>
      <w:r w:rsidR="00E974B2" w:rsidRPr="006447F6">
        <w:rPr>
          <w:lang w:eastAsia="ru-RU"/>
        </w:rPr>
        <w:instrText xml:space="preserve"> </w:instrText>
      </w:r>
      <w:r w:rsidR="00E974B2">
        <w:rPr>
          <w:lang w:val="en-US" w:eastAsia="ru-RU"/>
        </w:rPr>
        <w:instrText>SC</w:instrText>
      </w:r>
      <w:r w:rsidR="00E974B2" w:rsidRPr="006447F6">
        <w:rPr>
          <w:lang w:eastAsia="ru-RU"/>
        </w:rPr>
        <w:instrText xml:space="preserve"> </w:instrText>
      </w:r>
      <w:r w:rsidR="00E974B2">
        <w:rPr>
          <w:lang w:val="en-US" w:eastAsia="ru-RU"/>
        </w:rPr>
        <w:instrText>was</w:instrText>
      </w:r>
      <w:r w:rsidR="00E974B2" w:rsidRPr="006447F6">
        <w:rPr>
          <w:lang w:eastAsia="ru-RU"/>
        </w:rPr>
        <w:instrText xml:space="preserve"> </w:instrText>
      </w:r>
      <w:r w:rsidR="00E974B2">
        <w:rPr>
          <w:lang w:val="en-US" w:eastAsia="ru-RU"/>
        </w:rPr>
        <w:instrText>demonstrated</w:instrText>
      </w:r>
      <w:r w:rsidR="00E974B2" w:rsidRPr="006447F6">
        <w:rPr>
          <w:lang w:eastAsia="ru-RU"/>
        </w:rPr>
        <w:instrText xml:space="preserve"> </w:instrText>
      </w:r>
      <w:r w:rsidR="00E974B2">
        <w:rPr>
          <w:lang w:val="en-US" w:eastAsia="ru-RU"/>
        </w:rPr>
        <w:instrText>in</w:instrText>
      </w:r>
      <w:r w:rsidR="00E974B2" w:rsidRPr="006447F6">
        <w:rPr>
          <w:lang w:eastAsia="ru-RU"/>
        </w:rPr>
        <w:instrText xml:space="preserve"> </w:instrText>
      </w:r>
      <w:r w:rsidR="00E974B2">
        <w:rPr>
          <w:lang w:val="en-US" w:eastAsia="ru-RU"/>
        </w:rPr>
        <w:instrText>dedicated</w:instrText>
      </w:r>
      <w:r w:rsidR="00E974B2" w:rsidRPr="006447F6">
        <w:rPr>
          <w:lang w:eastAsia="ru-RU"/>
        </w:rPr>
        <w:instrText xml:space="preserve"> </w:instrText>
      </w:r>
      <w:r w:rsidR="00E974B2">
        <w:rPr>
          <w:lang w:val="en-US" w:eastAsia="ru-RU"/>
        </w:rPr>
        <w:instrText>studies</w:instrText>
      </w:r>
      <w:r w:rsidR="00E974B2" w:rsidRPr="006447F6">
        <w:rPr>
          <w:lang w:eastAsia="ru-RU"/>
        </w:rPr>
        <w:instrText xml:space="preserve"> </w:instrText>
      </w:r>
      <w:r w:rsidR="00E974B2">
        <w:rPr>
          <w:lang w:val="en-US" w:eastAsia="ru-RU"/>
        </w:rPr>
        <w:instrText>showing</w:instrText>
      </w:r>
      <w:r w:rsidR="00E974B2" w:rsidRPr="006447F6">
        <w:rPr>
          <w:lang w:eastAsia="ru-RU"/>
        </w:rPr>
        <w:instrText xml:space="preserve"> </w:instrText>
      </w:r>
      <w:r w:rsidR="00E974B2">
        <w:rPr>
          <w:lang w:val="en-US" w:eastAsia="ru-RU"/>
        </w:rPr>
        <w:instrText>that</w:instrText>
      </w:r>
      <w:r w:rsidR="00E974B2" w:rsidRPr="006447F6">
        <w:rPr>
          <w:lang w:eastAsia="ru-RU"/>
        </w:rPr>
        <w:instrText xml:space="preserve"> </w:instrText>
      </w:r>
      <w:r w:rsidR="00E974B2">
        <w:rPr>
          <w:lang w:val="en-US" w:eastAsia="ru-RU"/>
        </w:rPr>
        <w:instrText>rituximab</w:instrText>
      </w:r>
      <w:r w:rsidR="00E974B2" w:rsidRPr="006447F6">
        <w:rPr>
          <w:lang w:eastAsia="ru-RU"/>
        </w:rPr>
        <w:instrText xml:space="preserve"> </w:instrText>
      </w:r>
      <w:r w:rsidR="00E974B2">
        <w:rPr>
          <w:lang w:val="en-US" w:eastAsia="ru-RU"/>
        </w:rPr>
        <w:instrText>SC</w:instrText>
      </w:r>
      <w:r w:rsidR="00E974B2" w:rsidRPr="006447F6">
        <w:rPr>
          <w:lang w:eastAsia="ru-RU"/>
        </w:rPr>
        <w:instrText xml:space="preserve"> </w:instrText>
      </w:r>
      <w:r w:rsidR="00E974B2">
        <w:rPr>
          <w:lang w:val="en-US" w:eastAsia="ru-RU"/>
        </w:rPr>
        <w:instrText>allows</w:instrText>
      </w:r>
      <w:r w:rsidR="00E974B2" w:rsidRPr="006447F6">
        <w:rPr>
          <w:lang w:eastAsia="ru-RU"/>
        </w:rPr>
        <w:instrText xml:space="preserve"> </w:instrText>
      </w:r>
      <w:r w:rsidR="00E974B2">
        <w:rPr>
          <w:lang w:val="en-US" w:eastAsia="ru-RU"/>
        </w:rPr>
        <w:instrText>for</w:instrText>
      </w:r>
      <w:r w:rsidR="00E974B2" w:rsidRPr="006447F6">
        <w:rPr>
          <w:lang w:eastAsia="ru-RU"/>
        </w:rPr>
        <w:instrText xml:space="preserve"> </w:instrText>
      </w:r>
      <w:r w:rsidR="00E974B2">
        <w:rPr>
          <w:lang w:val="en-US" w:eastAsia="ru-RU"/>
        </w:rPr>
        <w:instrText>simplified</w:instrText>
      </w:r>
      <w:r w:rsidR="00E974B2" w:rsidRPr="006447F6">
        <w:rPr>
          <w:lang w:eastAsia="ru-RU"/>
        </w:rPr>
        <w:instrText xml:space="preserve"> </w:instrText>
      </w:r>
      <w:r w:rsidR="00E974B2">
        <w:rPr>
          <w:lang w:val="en-US" w:eastAsia="ru-RU"/>
        </w:rPr>
        <w:instrText>and</w:instrText>
      </w:r>
      <w:r w:rsidR="00E974B2" w:rsidRPr="006447F6">
        <w:rPr>
          <w:lang w:eastAsia="ru-RU"/>
        </w:rPr>
        <w:instrText xml:space="preserve"> </w:instrText>
      </w:r>
      <w:r w:rsidR="00E974B2">
        <w:rPr>
          <w:lang w:val="en-US" w:eastAsia="ru-RU"/>
        </w:rPr>
        <w:instrText>shortened</w:instrText>
      </w:r>
      <w:r w:rsidR="00E974B2" w:rsidRPr="006447F6">
        <w:rPr>
          <w:lang w:eastAsia="ru-RU"/>
        </w:rPr>
        <w:instrText xml:space="preserve"> </w:instrText>
      </w:r>
      <w:r w:rsidR="00E974B2">
        <w:rPr>
          <w:lang w:val="en-US" w:eastAsia="ru-RU"/>
        </w:rPr>
        <w:instrText>drug</w:instrText>
      </w:r>
      <w:r w:rsidR="00E974B2" w:rsidRPr="006447F6">
        <w:rPr>
          <w:lang w:eastAsia="ru-RU"/>
        </w:rPr>
        <w:instrText xml:space="preserve"> </w:instrText>
      </w:r>
      <w:r w:rsidR="00E974B2">
        <w:rPr>
          <w:lang w:val="en-US" w:eastAsia="ru-RU"/>
        </w:rPr>
        <w:instrText>preparation</w:instrText>
      </w:r>
      <w:r w:rsidR="00E974B2" w:rsidRPr="006447F6">
        <w:rPr>
          <w:lang w:eastAsia="ru-RU"/>
        </w:rPr>
        <w:instrText xml:space="preserve"> </w:instrText>
      </w:r>
      <w:r w:rsidR="00E974B2">
        <w:rPr>
          <w:lang w:val="en-US" w:eastAsia="ru-RU"/>
        </w:rPr>
        <w:instrText>and</w:instrText>
      </w:r>
      <w:r w:rsidR="00E974B2" w:rsidRPr="006447F6">
        <w:rPr>
          <w:lang w:eastAsia="ru-RU"/>
        </w:rPr>
        <w:instrText xml:space="preserve"> </w:instrText>
      </w:r>
      <w:r w:rsidR="00E974B2">
        <w:rPr>
          <w:lang w:val="en-US" w:eastAsia="ru-RU"/>
        </w:rPr>
        <w:instrText>administration</w:instrText>
      </w:r>
      <w:r w:rsidR="00E974B2" w:rsidRPr="006447F6">
        <w:rPr>
          <w:lang w:eastAsia="ru-RU"/>
        </w:rPr>
        <w:instrText xml:space="preserve"> </w:instrText>
      </w:r>
      <w:r w:rsidR="00E974B2">
        <w:rPr>
          <w:lang w:val="en-US" w:eastAsia="ru-RU"/>
        </w:rPr>
        <w:instrText>times</w:instrText>
      </w:r>
      <w:r w:rsidR="00E974B2" w:rsidRPr="006447F6">
        <w:rPr>
          <w:lang w:eastAsia="ru-RU"/>
        </w:rPr>
        <w:instrText xml:space="preserve"> </w:instrText>
      </w:r>
      <w:r w:rsidR="00E974B2">
        <w:rPr>
          <w:lang w:val="en-US" w:eastAsia="ru-RU"/>
        </w:rPr>
        <w:instrText>resulting</w:instrText>
      </w:r>
      <w:r w:rsidR="00E974B2" w:rsidRPr="006447F6">
        <w:rPr>
          <w:lang w:eastAsia="ru-RU"/>
        </w:rPr>
        <w:instrText xml:space="preserve"> </w:instrText>
      </w:r>
      <w:r w:rsidR="00E974B2">
        <w:rPr>
          <w:lang w:val="en-US" w:eastAsia="ru-RU"/>
        </w:rPr>
        <w:instrText>in</w:instrText>
      </w:r>
      <w:r w:rsidR="00E974B2" w:rsidRPr="006447F6">
        <w:rPr>
          <w:lang w:eastAsia="ru-RU"/>
        </w:rPr>
        <w:instrText xml:space="preserve"> </w:instrText>
      </w:r>
      <w:r w:rsidR="00E974B2">
        <w:rPr>
          <w:lang w:val="en-US" w:eastAsia="ru-RU"/>
        </w:rPr>
        <w:instrText>a</w:instrText>
      </w:r>
      <w:r w:rsidR="00E974B2" w:rsidRPr="006447F6">
        <w:rPr>
          <w:lang w:eastAsia="ru-RU"/>
        </w:rPr>
        <w:instrText xml:space="preserve"> </w:instrText>
      </w:r>
      <w:r w:rsidR="00E974B2">
        <w:rPr>
          <w:lang w:val="en-US" w:eastAsia="ru-RU"/>
        </w:rPr>
        <w:instrText>reduced</w:instrText>
      </w:r>
      <w:r w:rsidR="00E974B2" w:rsidRPr="006447F6">
        <w:rPr>
          <w:lang w:eastAsia="ru-RU"/>
        </w:rPr>
        <w:instrText xml:space="preserve"> </w:instrText>
      </w:r>
      <w:r w:rsidR="00E974B2">
        <w:rPr>
          <w:lang w:val="en-US" w:eastAsia="ru-RU"/>
        </w:rPr>
        <w:instrText>treatment</w:instrText>
      </w:r>
      <w:r w:rsidR="00E974B2" w:rsidRPr="006447F6">
        <w:rPr>
          <w:lang w:eastAsia="ru-RU"/>
        </w:rPr>
        <w:instrText xml:space="preserve"> </w:instrText>
      </w:r>
      <w:r w:rsidR="00E974B2">
        <w:rPr>
          <w:lang w:val="en-US" w:eastAsia="ru-RU"/>
        </w:rPr>
        <w:instrText>burden</w:instrText>
      </w:r>
      <w:r w:rsidR="00E974B2" w:rsidRPr="006447F6">
        <w:rPr>
          <w:lang w:eastAsia="ru-RU"/>
        </w:rPr>
        <w:instrText xml:space="preserve"> </w:instrText>
      </w:r>
      <w:r w:rsidR="00E974B2">
        <w:rPr>
          <w:lang w:val="en-US" w:eastAsia="ru-RU"/>
        </w:rPr>
        <w:instrText>for</w:instrText>
      </w:r>
      <w:r w:rsidR="00E974B2" w:rsidRPr="006447F6">
        <w:rPr>
          <w:lang w:eastAsia="ru-RU"/>
        </w:rPr>
        <w:instrText xml:space="preserve"> </w:instrText>
      </w:r>
      <w:r w:rsidR="00E974B2">
        <w:rPr>
          <w:lang w:val="en-US" w:eastAsia="ru-RU"/>
        </w:rPr>
        <w:instrText>patients</w:instrText>
      </w:r>
      <w:r w:rsidR="00E974B2" w:rsidRPr="006447F6">
        <w:rPr>
          <w:lang w:eastAsia="ru-RU"/>
        </w:rPr>
        <w:instrText xml:space="preserve"> </w:instrText>
      </w:r>
      <w:r w:rsidR="00E974B2">
        <w:rPr>
          <w:lang w:val="en-US" w:eastAsia="ru-RU"/>
        </w:rPr>
        <w:instrText>as</w:instrText>
      </w:r>
      <w:r w:rsidR="00E974B2" w:rsidRPr="006447F6">
        <w:rPr>
          <w:lang w:eastAsia="ru-RU"/>
        </w:rPr>
        <w:instrText xml:space="preserve"> </w:instrText>
      </w:r>
      <w:r w:rsidR="00E974B2">
        <w:rPr>
          <w:lang w:val="en-US" w:eastAsia="ru-RU"/>
        </w:rPr>
        <w:instrText>well</w:instrText>
      </w:r>
      <w:r w:rsidR="00E974B2" w:rsidRPr="006447F6">
        <w:rPr>
          <w:lang w:eastAsia="ru-RU"/>
        </w:rPr>
        <w:instrText xml:space="preserve"> </w:instrText>
      </w:r>
      <w:r w:rsidR="00E974B2">
        <w:rPr>
          <w:lang w:val="en-US" w:eastAsia="ru-RU"/>
        </w:rPr>
        <w:instrText>as</w:instrText>
      </w:r>
      <w:r w:rsidR="00E974B2" w:rsidRPr="006447F6">
        <w:rPr>
          <w:lang w:eastAsia="ru-RU"/>
        </w:rPr>
        <w:instrText xml:space="preserve"> </w:instrText>
      </w:r>
      <w:r w:rsidR="00E974B2">
        <w:rPr>
          <w:lang w:val="en-US" w:eastAsia="ru-RU"/>
        </w:rPr>
        <w:instrText>improved</w:instrText>
      </w:r>
      <w:r w:rsidR="00E974B2" w:rsidRPr="006447F6">
        <w:rPr>
          <w:lang w:eastAsia="ru-RU"/>
        </w:rPr>
        <w:instrText xml:space="preserve"> </w:instrText>
      </w:r>
      <w:r w:rsidR="00E974B2">
        <w:rPr>
          <w:lang w:val="en-US" w:eastAsia="ru-RU"/>
        </w:rPr>
        <w:instrText>resource</w:instrText>
      </w:r>
      <w:r w:rsidR="00E974B2" w:rsidRPr="006447F6">
        <w:rPr>
          <w:lang w:eastAsia="ru-RU"/>
        </w:rPr>
        <w:instrText xml:space="preserve"> </w:instrText>
      </w:r>
      <w:r w:rsidR="00E974B2">
        <w:rPr>
          <w:lang w:val="en-US" w:eastAsia="ru-RU"/>
        </w:rPr>
        <w:instrText>utilization</w:instrText>
      </w:r>
      <w:r w:rsidR="00E974B2" w:rsidRPr="006447F6">
        <w:rPr>
          <w:lang w:eastAsia="ru-RU"/>
        </w:rPr>
        <w:instrText xml:space="preserve"> (</w:instrText>
      </w:r>
      <w:r w:rsidR="00E974B2">
        <w:rPr>
          <w:lang w:val="en-US" w:eastAsia="ru-RU"/>
        </w:rPr>
        <w:instrText>efficiency</w:instrText>
      </w:r>
      <w:r w:rsidR="00E974B2" w:rsidRPr="006447F6">
        <w:rPr>
          <w:lang w:eastAsia="ru-RU"/>
        </w:rPr>
        <w:instrText xml:space="preserve">) </w:instrText>
      </w:r>
      <w:r w:rsidR="00E974B2">
        <w:rPr>
          <w:lang w:val="en-US" w:eastAsia="ru-RU"/>
        </w:rPr>
        <w:instrText>at</w:instrText>
      </w:r>
      <w:r w:rsidR="00E974B2" w:rsidRPr="006447F6">
        <w:rPr>
          <w:lang w:eastAsia="ru-RU"/>
        </w:rPr>
        <w:instrText xml:space="preserve"> </w:instrText>
      </w:r>
      <w:r w:rsidR="00E974B2">
        <w:rPr>
          <w:lang w:val="en-US" w:eastAsia="ru-RU"/>
        </w:rPr>
        <w:instrText>the</w:instrText>
      </w:r>
      <w:r w:rsidR="00E974B2" w:rsidRPr="006447F6">
        <w:rPr>
          <w:lang w:eastAsia="ru-RU"/>
        </w:rPr>
        <w:instrText xml:space="preserve"> </w:instrText>
      </w:r>
      <w:r w:rsidR="00E974B2">
        <w:rPr>
          <w:lang w:val="en-US" w:eastAsia="ru-RU"/>
        </w:rPr>
        <w:instrText>treatment</w:instrText>
      </w:r>
      <w:r w:rsidR="00E974B2" w:rsidRPr="006447F6">
        <w:rPr>
          <w:lang w:eastAsia="ru-RU"/>
        </w:rPr>
        <w:instrText xml:space="preserve"> </w:instrText>
      </w:r>
      <w:r w:rsidR="00E974B2">
        <w:rPr>
          <w:lang w:val="en-US" w:eastAsia="ru-RU"/>
        </w:rPr>
        <w:instrText>facility</w:instrText>
      </w:r>
      <w:r w:rsidR="00E974B2" w:rsidRPr="006447F6">
        <w:rPr>
          <w:lang w:eastAsia="ru-RU"/>
        </w:rPr>
        <w:instrText xml:space="preserve">. </w:instrText>
      </w:r>
      <w:r w:rsidR="00E974B2">
        <w:rPr>
          <w:lang w:val="en-US" w:eastAsia="ru-RU"/>
        </w:rPr>
        <w:instrText>The</w:instrText>
      </w:r>
      <w:r w:rsidR="00E974B2" w:rsidRPr="006447F6">
        <w:rPr>
          <w:lang w:eastAsia="ru-RU"/>
        </w:rPr>
        <w:instrText xml:space="preserve"> </w:instrText>
      </w:r>
      <w:r w:rsidR="00E974B2">
        <w:rPr>
          <w:lang w:val="en-US" w:eastAsia="ru-RU"/>
        </w:rPr>
        <w:instrText>improved</w:instrText>
      </w:r>
      <w:r w:rsidR="00E974B2" w:rsidRPr="006447F6">
        <w:rPr>
          <w:lang w:eastAsia="ru-RU"/>
        </w:rPr>
        <w:instrText xml:space="preserve"> </w:instrText>
      </w:r>
      <w:r w:rsidR="00E974B2">
        <w:rPr>
          <w:lang w:val="en-US" w:eastAsia="ru-RU"/>
        </w:rPr>
        <w:instrText>efficiency</w:instrText>
      </w:r>
      <w:r w:rsidR="00E974B2" w:rsidRPr="006447F6">
        <w:rPr>
          <w:lang w:eastAsia="ru-RU"/>
        </w:rPr>
        <w:instrText xml:space="preserve"> </w:instrText>
      </w:r>
      <w:r w:rsidR="00E974B2">
        <w:rPr>
          <w:lang w:val="en-US" w:eastAsia="ru-RU"/>
        </w:rPr>
        <w:instrText>of</w:instrText>
      </w:r>
      <w:r w:rsidR="00E974B2" w:rsidRPr="006447F6">
        <w:rPr>
          <w:lang w:eastAsia="ru-RU"/>
        </w:rPr>
        <w:instrText xml:space="preserve"> </w:instrText>
      </w:r>
      <w:r w:rsidR="00E974B2">
        <w:rPr>
          <w:lang w:val="en-US" w:eastAsia="ru-RU"/>
        </w:rPr>
        <w:instrText>delivering</w:instrText>
      </w:r>
      <w:r w:rsidR="00E974B2" w:rsidRPr="006447F6">
        <w:rPr>
          <w:lang w:eastAsia="ru-RU"/>
        </w:rPr>
        <w:instrText xml:space="preserve"> </w:instrText>
      </w:r>
      <w:r w:rsidR="00E974B2">
        <w:rPr>
          <w:lang w:val="en-US" w:eastAsia="ru-RU"/>
        </w:rPr>
        <w:instrText>rituximab</w:instrText>
      </w:r>
      <w:r w:rsidR="00E974B2" w:rsidRPr="006447F6">
        <w:rPr>
          <w:lang w:eastAsia="ru-RU"/>
        </w:rPr>
        <w:instrText>’</w:instrText>
      </w:r>
      <w:r w:rsidR="00E974B2">
        <w:rPr>
          <w:lang w:val="en-US" w:eastAsia="ru-RU"/>
        </w:rPr>
        <w:instrText>s</w:instrText>
      </w:r>
      <w:r w:rsidR="00E974B2" w:rsidRPr="006447F6">
        <w:rPr>
          <w:lang w:eastAsia="ru-RU"/>
        </w:rPr>
        <w:instrText xml:space="preserve"> </w:instrText>
      </w:r>
      <w:r w:rsidR="00E974B2">
        <w:rPr>
          <w:lang w:val="en-US" w:eastAsia="ru-RU"/>
        </w:rPr>
        <w:instrText>benefit</w:instrText>
      </w:r>
      <w:r w:rsidR="00E974B2" w:rsidRPr="006447F6">
        <w:rPr>
          <w:lang w:eastAsia="ru-RU"/>
        </w:rPr>
        <w:instrText xml:space="preserve"> </w:instrText>
      </w:r>
      <w:r w:rsidR="00E974B2">
        <w:rPr>
          <w:lang w:val="en-US" w:eastAsia="ru-RU"/>
        </w:rPr>
        <w:instrText>to</w:instrText>
      </w:r>
      <w:r w:rsidR="00E974B2" w:rsidRPr="006447F6">
        <w:rPr>
          <w:lang w:eastAsia="ru-RU"/>
        </w:rPr>
        <w:instrText xml:space="preserve"> </w:instrText>
      </w:r>
      <w:r w:rsidR="00E974B2">
        <w:rPr>
          <w:lang w:val="en-US" w:eastAsia="ru-RU"/>
        </w:rPr>
        <w:instrText>patients</w:instrText>
      </w:r>
      <w:r w:rsidR="00E974B2" w:rsidRPr="006447F6">
        <w:rPr>
          <w:lang w:eastAsia="ru-RU"/>
        </w:rPr>
        <w:instrText xml:space="preserve"> </w:instrText>
      </w:r>
      <w:r w:rsidR="00E974B2">
        <w:rPr>
          <w:lang w:val="en-US" w:eastAsia="ru-RU"/>
        </w:rPr>
        <w:instrText>may</w:instrText>
      </w:r>
      <w:r w:rsidR="00E974B2" w:rsidRPr="006447F6">
        <w:rPr>
          <w:lang w:eastAsia="ru-RU"/>
        </w:rPr>
        <w:instrText xml:space="preserve"> </w:instrText>
      </w:r>
      <w:r w:rsidR="00E974B2">
        <w:rPr>
          <w:lang w:val="en-US" w:eastAsia="ru-RU"/>
        </w:rPr>
        <w:instrText>broaden</w:instrText>
      </w:r>
      <w:r w:rsidR="00E974B2" w:rsidRPr="006447F6">
        <w:rPr>
          <w:lang w:eastAsia="ru-RU"/>
        </w:rPr>
        <w:instrText xml:space="preserve"> </w:instrText>
      </w:r>
      <w:r w:rsidR="00E974B2">
        <w:rPr>
          <w:lang w:val="en-US" w:eastAsia="ru-RU"/>
        </w:rPr>
        <w:instrText>patient</w:instrText>
      </w:r>
      <w:r w:rsidR="00E974B2" w:rsidRPr="006447F6">
        <w:rPr>
          <w:lang w:eastAsia="ru-RU"/>
        </w:rPr>
        <w:instrText xml:space="preserve"> </w:instrText>
      </w:r>
      <w:r w:rsidR="00E974B2">
        <w:rPr>
          <w:lang w:val="en-US" w:eastAsia="ru-RU"/>
        </w:rPr>
        <w:instrText>access</w:instrText>
      </w:r>
      <w:r w:rsidR="00E974B2" w:rsidRPr="006447F6">
        <w:rPr>
          <w:lang w:eastAsia="ru-RU"/>
        </w:rPr>
        <w:instrText xml:space="preserve"> </w:instrText>
      </w:r>
      <w:r w:rsidR="00E974B2">
        <w:rPr>
          <w:lang w:val="en-US" w:eastAsia="ru-RU"/>
        </w:rPr>
        <w:instrText>to</w:instrText>
      </w:r>
      <w:r w:rsidR="00E974B2" w:rsidRPr="006447F6">
        <w:rPr>
          <w:lang w:eastAsia="ru-RU"/>
        </w:rPr>
        <w:instrText xml:space="preserve"> </w:instrText>
      </w:r>
      <w:r w:rsidR="00E974B2">
        <w:rPr>
          <w:lang w:val="en-US" w:eastAsia="ru-RU"/>
        </w:rPr>
        <w:instrText>rituximab</w:instrText>
      </w:r>
      <w:r w:rsidR="00E974B2" w:rsidRPr="006447F6">
        <w:rPr>
          <w:lang w:eastAsia="ru-RU"/>
        </w:rPr>
        <w:instrText xml:space="preserve"> </w:instrText>
      </w:r>
      <w:r w:rsidR="00E974B2">
        <w:rPr>
          <w:lang w:val="en-US" w:eastAsia="ru-RU"/>
        </w:rPr>
        <w:instrText>therapy</w:instrText>
      </w:r>
      <w:r w:rsidR="00E974B2" w:rsidRPr="006447F6">
        <w:rPr>
          <w:lang w:eastAsia="ru-RU"/>
        </w:rPr>
        <w:instrText xml:space="preserve"> </w:instrText>
      </w:r>
      <w:r w:rsidR="00E974B2">
        <w:rPr>
          <w:lang w:val="en-US" w:eastAsia="ru-RU"/>
        </w:rPr>
        <w:instrText>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w:instrText>
      </w:r>
      <w:r w:rsidR="00E974B2" w:rsidRPr="006C476A">
        <w:rPr>
          <w:lang w:eastAsia="ru-RU"/>
        </w:rPr>
        <w:instrText xml:space="preserve">, </w:instrText>
      </w:r>
      <w:r w:rsidR="00E974B2">
        <w:rPr>
          <w:lang w:val="en-US" w:eastAsia="ru-RU"/>
        </w:rPr>
        <w:instrText>correct</w:instrText>
      </w:r>
      <w:r w:rsidR="00E974B2" w:rsidRPr="006C476A">
        <w:rPr>
          <w:lang w:eastAsia="ru-RU"/>
        </w:rPr>
        <w:instrText xml:space="preserve"> </w:instrText>
      </w:r>
      <w:r w:rsidR="00E974B2">
        <w:rPr>
          <w:lang w:val="en-US" w:eastAsia="ru-RU"/>
        </w:rPr>
        <w:instrText>administration</w:instrText>
      </w:r>
      <w:r w:rsidR="00E974B2" w:rsidRPr="006C476A">
        <w:rPr>
          <w:lang w:eastAsia="ru-RU"/>
        </w:rPr>
        <w:instrText xml:space="preserve"> </w:instrText>
      </w:r>
      <w:r w:rsidR="00E974B2">
        <w:rPr>
          <w:lang w:val="en-US" w:eastAsia="ru-RU"/>
        </w:rPr>
        <w:instrText>is</w:instrText>
      </w:r>
      <w:r w:rsidR="00E974B2" w:rsidRPr="006C476A">
        <w:rPr>
          <w:lang w:eastAsia="ru-RU"/>
        </w:rPr>
        <w:instrText xml:space="preserve"> </w:instrText>
      </w:r>
      <w:r w:rsidR="00E974B2">
        <w:rPr>
          <w:lang w:val="en-US" w:eastAsia="ru-RU"/>
        </w:rPr>
        <w:instrText>needed</w:instrText>
      </w:r>
      <w:r w:rsidR="00E974B2" w:rsidRPr="006C476A">
        <w:rPr>
          <w:lang w:eastAsia="ru-RU"/>
        </w:rPr>
        <w:instrText xml:space="preserve"> </w:instrText>
      </w:r>
      <w:r w:rsidR="00E974B2">
        <w:rPr>
          <w:lang w:val="en-US" w:eastAsia="ru-RU"/>
        </w:rPr>
        <w:instrText>to</w:instrText>
      </w:r>
      <w:r w:rsidR="00E974B2" w:rsidRPr="006C476A">
        <w:rPr>
          <w:lang w:eastAsia="ru-RU"/>
        </w:rPr>
        <w:instrText xml:space="preserve"> </w:instrText>
      </w:r>
      <w:r w:rsidR="00E974B2">
        <w:rPr>
          <w:lang w:val="en-US" w:eastAsia="ru-RU"/>
        </w:rPr>
        <w:instrText>reduce</w:instrText>
      </w:r>
      <w:r w:rsidR="00E974B2" w:rsidRPr="006C476A">
        <w:rPr>
          <w:lang w:eastAsia="ru-RU"/>
        </w:rPr>
        <w:instrText xml:space="preserve"> </w:instrText>
      </w:r>
      <w:r w:rsidR="00E974B2">
        <w:rPr>
          <w:lang w:val="en-US" w:eastAsia="ru-RU"/>
        </w:rPr>
        <w:instrText>administration</w:instrText>
      </w:r>
      <w:r w:rsidR="00E974B2" w:rsidRPr="006C476A">
        <w:rPr>
          <w:lang w:eastAsia="ru-RU"/>
        </w:rPr>
        <w:instrText>-</w:instrText>
      </w:r>
      <w:r w:rsidR="00E974B2">
        <w:rPr>
          <w:lang w:val="en-US" w:eastAsia="ru-RU"/>
        </w:rPr>
        <w:instrText>related</w:instrText>
      </w:r>
      <w:r w:rsidR="00E974B2" w:rsidRPr="006C476A">
        <w:rPr>
          <w:lang w:eastAsia="ru-RU"/>
        </w:rPr>
        <w:instrText xml:space="preserve"> </w:instrText>
      </w:r>
      <w:r w:rsidR="00E974B2">
        <w:rPr>
          <w:lang w:val="en-US" w:eastAsia="ru-RU"/>
        </w:rPr>
        <w:instrText>reactions</w:instrText>
      </w:r>
      <w:r w:rsidR="00E974B2" w:rsidRPr="006C476A">
        <w:rPr>
          <w:lang w:eastAsia="ru-RU"/>
        </w:rPr>
        <w:instrText xml:space="preserve">. </w:instrText>
      </w:r>
      <w:r w:rsidR="00E974B2">
        <w:rPr>
          <w:lang w:val="en-US" w:eastAsia="ru-RU"/>
        </w:rPr>
        <w:instrText>By</w:instrText>
      </w:r>
      <w:r w:rsidR="00E974B2" w:rsidRPr="006C476A">
        <w:rPr>
          <w:lang w:eastAsia="ru-RU"/>
        </w:rPr>
        <w:instrText xml:space="preserve"> </w:instrText>
      </w:r>
      <w:r w:rsidR="00E974B2">
        <w:rPr>
          <w:lang w:val="en-US" w:eastAsia="ru-RU"/>
        </w:rPr>
        <w:instrText>using</w:instrText>
      </w:r>
      <w:r w:rsidR="00E974B2" w:rsidRPr="006C476A">
        <w:rPr>
          <w:lang w:eastAsia="ru-RU"/>
        </w:rPr>
        <w:instrText xml:space="preserve"> </w:instrText>
      </w:r>
      <w:r w:rsidR="00E974B2">
        <w:rPr>
          <w:lang w:val="en-US" w:eastAsia="ru-RU"/>
        </w:rPr>
        <w:instrText>a</w:instrText>
      </w:r>
      <w:r w:rsidR="00E974B2" w:rsidRPr="006C476A">
        <w:rPr>
          <w:lang w:eastAsia="ru-RU"/>
        </w:rPr>
        <w:instrText xml:space="preserve"> </w:instrText>
      </w:r>
      <w:r w:rsidR="00E974B2">
        <w:rPr>
          <w:lang w:val="en-US" w:eastAsia="ru-RU"/>
        </w:rPr>
        <w:instrText>careful</w:instrText>
      </w:r>
      <w:r w:rsidR="00E974B2" w:rsidRPr="006C476A">
        <w:rPr>
          <w:lang w:eastAsia="ru-RU"/>
        </w:rPr>
        <w:instrText xml:space="preserve"> </w:instrText>
      </w:r>
      <w:r w:rsidR="00E974B2">
        <w:rPr>
          <w:lang w:val="en-US" w:eastAsia="ru-RU"/>
        </w:rPr>
        <w:instrText>procedure</w:instrText>
      </w:r>
      <w:r w:rsidR="00E974B2" w:rsidRPr="006C476A">
        <w:rPr>
          <w:lang w:eastAsia="ru-RU"/>
        </w:rPr>
        <w:instrText xml:space="preserve">, </w:instrText>
      </w:r>
      <w:r w:rsidR="00E974B2">
        <w:rPr>
          <w:lang w:val="en-US" w:eastAsia="ru-RU"/>
        </w:rPr>
        <w:instrText>the</w:instrText>
      </w:r>
      <w:r w:rsidR="00E974B2" w:rsidRPr="006C476A">
        <w:rPr>
          <w:lang w:eastAsia="ru-RU"/>
        </w:rPr>
        <w:instrText xml:space="preserve"> </w:instrText>
      </w:r>
      <w:r w:rsidR="00E974B2">
        <w:rPr>
          <w:lang w:val="en-US" w:eastAsia="ru-RU"/>
        </w:rPr>
        <w:instrText>sc</w:instrText>
      </w:r>
      <w:r w:rsidR="00E974B2" w:rsidRPr="006C476A">
        <w:rPr>
          <w:lang w:eastAsia="ru-RU"/>
        </w:rPr>
        <w:instrText xml:space="preserve"> </w:instrText>
      </w:r>
      <w:r w:rsidR="00E974B2">
        <w:rPr>
          <w:lang w:val="en-US" w:eastAsia="ru-RU"/>
        </w:rPr>
        <w:instrText>formulation</w:instrText>
      </w:r>
      <w:r w:rsidR="00E974B2" w:rsidRPr="006C476A">
        <w:rPr>
          <w:lang w:eastAsia="ru-RU"/>
        </w:rPr>
        <w:instrText xml:space="preserve"> </w:instrText>
      </w:r>
      <w:r w:rsidR="00E974B2">
        <w:rPr>
          <w:lang w:val="en-US" w:eastAsia="ru-RU"/>
        </w:rPr>
        <w:instrText>can</w:instrText>
      </w:r>
      <w:r w:rsidR="00E974B2" w:rsidRPr="006C476A">
        <w:rPr>
          <w:lang w:eastAsia="ru-RU"/>
        </w:rPr>
        <w:instrText xml:space="preserve"> </w:instrText>
      </w:r>
      <w:r w:rsidR="00E974B2">
        <w:rPr>
          <w:lang w:val="en-US" w:eastAsia="ru-RU"/>
        </w:rPr>
        <w:instrText>be</w:instrText>
      </w:r>
      <w:r w:rsidR="00E974B2" w:rsidRPr="006C476A">
        <w:rPr>
          <w:lang w:eastAsia="ru-RU"/>
        </w:rPr>
        <w:instrText xml:space="preserve"> </w:instrText>
      </w:r>
      <w:r w:rsidR="00E974B2">
        <w:rPr>
          <w:lang w:val="en-US" w:eastAsia="ru-RU"/>
        </w:rPr>
        <w:instrText>given</w:instrText>
      </w:r>
      <w:r w:rsidR="00E974B2" w:rsidRPr="006C476A">
        <w:rPr>
          <w:lang w:eastAsia="ru-RU"/>
        </w:rPr>
        <w:instrText xml:space="preserve"> </w:instrText>
      </w:r>
      <w:r w:rsidR="00E974B2">
        <w:rPr>
          <w:lang w:val="en-US" w:eastAsia="ru-RU"/>
        </w:rPr>
        <w:instrText>safely</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effectively</w:instrText>
      </w:r>
      <w:r w:rsidR="00E974B2" w:rsidRPr="006C476A">
        <w:rPr>
          <w:lang w:eastAsia="ru-RU"/>
        </w:rPr>
        <w:instrText xml:space="preserve">, </w:instrText>
      </w:r>
      <w:r w:rsidR="00E974B2">
        <w:rPr>
          <w:lang w:val="en-US" w:eastAsia="ru-RU"/>
        </w:rPr>
        <w:instrText>potentially</w:instrText>
      </w:r>
      <w:r w:rsidR="00E974B2" w:rsidRPr="006C476A">
        <w:rPr>
          <w:lang w:eastAsia="ru-RU"/>
        </w:rPr>
        <w:instrText xml:space="preserve"> </w:instrText>
      </w:r>
      <w:r w:rsidR="00E974B2">
        <w:rPr>
          <w:lang w:val="en-US" w:eastAsia="ru-RU"/>
        </w:rPr>
        <w:instrText>reducing</w:instrText>
      </w:r>
      <w:r w:rsidR="00E974B2" w:rsidRPr="006C476A">
        <w:rPr>
          <w:lang w:eastAsia="ru-RU"/>
        </w:rPr>
        <w:instrText xml:space="preserve"> </w:instrText>
      </w:r>
      <w:r w:rsidR="00E974B2">
        <w:rPr>
          <w:lang w:val="en-US" w:eastAsia="ru-RU"/>
        </w:rPr>
        <w:instrText>the</w:instrText>
      </w:r>
      <w:r w:rsidR="00E974B2" w:rsidRPr="006C476A">
        <w:rPr>
          <w:lang w:eastAsia="ru-RU"/>
        </w:rPr>
        <w:instrText xml:space="preserve"> </w:instrText>
      </w:r>
      <w:r w:rsidR="00E974B2">
        <w:rPr>
          <w:lang w:val="en-US" w:eastAsia="ru-RU"/>
        </w:rPr>
        <w:instrText>burden</w:instrText>
      </w:r>
      <w:r w:rsidR="00E974B2" w:rsidRPr="006C476A">
        <w:rPr>
          <w:lang w:eastAsia="ru-RU"/>
        </w:rPr>
        <w:instrText xml:space="preserve"> </w:instrText>
      </w:r>
      <w:r w:rsidR="00E974B2">
        <w:rPr>
          <w:lang w:val="en-US" w:eastAsia="ru-RU"/>
        </w:rPr>
        <w:instrText>on</w:instrText>
      </w:r>
      <w:r w:rsidR="00E974B2" w:rsidRPr="006C476A">
        <w:rPr>
          <w:lang w:eastAsia="ru-RU"/>
        </w:rPr>
        <w:instrText xml:space="preserve"> </w:instrText>
      </w:r>
      <w:r w:rsidR="00E974B2">
        <w:rPr>
          <w:lang w:val="en-US" w:eastAsia="ru-RU"/>
        </w:rPr>
        <w:instrText>health</w:instrText>
      </w:r>
      <w:r w:rsidR="00E974B2" w:rsidRPr="006C476A">
        <w:rPr>
          <w:lang w:eastAsia="ru-RU"/>
        </w:rPr>
        <w:instrText xml:space="preserve"> </w:instrText>
      </w:r>
      <w:r w:rsidR="00E974B2">
        <w:rPr>
          <w:lang w:val="en-US" w:eastAsia="ru-RU"/>
        </w:rPr>
        <w:instrText>care</w:instrText>
      </w:r>
      <w:r w:rsidR="00E974B2" w:rsidRPr="006C476A">
        <w:rPr>
          <w:lang w:eastAsia="ru-RU"/>
        </w:rPr>
        <w:instrText xml:space="preserve"> </w:instrText>
      </w:r>
      <w:r w:rsidR="00E974B2">
        <w:rPr>
          <w:lang w:val="en-US" w:eastAsia="ru-RU"/>
        </w:rPr>
        <w:instrText>resources</w:instrText>
      </w:r>
      <w:r w:rsidR="00E974B2" w:rsidRPr="006C476A">
        <w:rPr>
          <w:lang w:eastAsia="ru-RU"/>
        </w:rPr>
        <w:instrText xml:space="preserve"> </w:instrText>
      </w:r>
      <w:r w:rsidR="00E974B2">
        <w:rPr>
          <w:lang w:val="en-US" w:eastAsia="ru-RU"/>
        </w:rPr>
        <w:instrText>and</w:instrText>
      </w:r>
      <w:r w:rsidR="00E974B2" w:rsidRPr="006C476A">
        <w:rPr>
          <w:lang w:eastAsia="ru-RU"/>
        </w:rPr>
        <w:instrText xml:space="preserve"> </w:instrText>
      </w:r>
      <w:r w:rsidR="00E974B2">
        <w:rPr>
          <w:lang w:val="en-US" w:eastAsia="ru-RU"/>
        </w:rPr>
        <w:instrText>improving</w:instrText>
      </w:r>
      <w:r w:rsidR="00E974B2" w:rsidRPr="006C476A">
        <w:rPr>
          <w:lang w:eastAsia="ru-RU"/>
        </w:rPr>
        <w:instrText xml:space="preserve"> </w:instrText>
      </w:r>
      <w:r w:rsidR="00E974B2">
        <w:rPr>
          <w:lang w:val="en-US" w:eastAsia="ru-RU"/>
        </w:rPr>
        <w:instrText>quality</w:instrText>
      </w:r>
      <w:r w:rsidR="00E974B2" w:rsidRPr="006C476A">
        <w:rPr>
          <w:lang w:eastAsia="ru-RU"/>
        </w:rPr>
        <w:instrText xml:space="preserve"> </w:instrText>
      </w:r>
      <w:r w:rsidR="00E974B2">
        <w:rPr>
          <w:lang w:val="en-US" w:eastAsia="ru-RU"/>
        </w:rPr>
        <w:instrText>of</w:instrText>
      </w:r>
      <w:r w:rsidR="00E974B2" w:rsidRPr="006C476A">
        <w:rPr>
          <w:lang w:eastAsia="ru-RU"/>
        </w:rPr>
        <w:instrText xml:space="preserve"> </w:instrText>
      </w:r>
      <w:r w:rsidR="00E974B2">
        <w:rPr>
          <w:lang w:val="en-US" w:eastAsia="ru-RU"/>
        </w:rPr>
        <w:instrText>life</w:instrText>
      </w:r>
      <w:r w:rsidR="00E974B2" w:rsidRPr="006C476A">
        <w:rPr>
          <w:lang w:eastAsia="ru-RU"/>
        </w:rPr>
        <w:instrText xml:space="preserve"> </w:instrText>
      </w:r>
      <w:r w:rsidR="00E974B2">
        <w:rPr>
          <w:lang w:val="en-US" w:eastAsia="ru-RU"/>
        </w:rPr>
        <w:instrText>for</w:instrText>
      </w:r>
      <w:r w:rsidR="00E974B2" w:rsidRPr="006C476A">
        <w:rPr>
          <w:lang w:eastAsia="ru-RU"/>
        </w:rPr>
        <w:instrText xml:space="preserve"> </w:instrText>
      </w:r>
      <w:r w:rsidR="00E974B2">
        <w:rPr>
          <w:lang w:val="en-US" w:eastAsia="ru-RU"/>
        </w:rPr>
        <w:instrText>patients</w:instrText>
      </w:r>
      <w:r w:rsidR="00E974B2" w:rsidRPr="006C476A">
        <w:rPr>
          <w:lang w:eastAsia="ru-RU"/>
        </w:rPr>
        <w:instrText>.","</w:instrText>
      </w:r>
      <w:r w:rsidR="00E974B2">
        <w:rPr>
          <w:lang w:val="en-US" w:eastAsia="ru-RU"/>
        </w:rPr>
        <w:instrText>author</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family</w:instrText>
      </w:r>
      <w:r w:rsidR="00E974B2" w:rsidRPr="006C476A">
        <w:rPr>
          <w:lang w:eastAsia="ru-RU"/>
        </w:rPr>
        <w:instrText>":"</w:instrText>
      </w:r>
      <w:r w:rsidR="00E974B2">
        <w:rPr>
          <w:lang w:val="en-US" w:eastAsia="ru-RU"/>
        </w:rPr>
        <w:instrText>Macdonald</w:instrText>
      </w:r>
      <w:r w:rsidR="00E974B2" w:rsidRPr="006C476A">
        <w:rPr>
          <w:lang w:eastAsia="ru-RU"/>
        </w:rPr>
        <w:instrText>","</w:instrText>
      </w:r>
      <w:r w:rsidR="00E974B2">
        <w:rPr>
          <w:lang w:val="en-US" w:eastAsia="ru-RU"/>
        </w:rPr>
        <w:instrText>given</w:instrText>
      </w:r>
      <w:r w:rsidR="00E974B2" w:rsidRPr="006C476A">
        <w:rPr>
          <w:lang w:eastAsia="ru-RU"/>
        </w:rPr>
        <w:instrText>":"</w:instrText>
      </w:r>
      <w:r w:rsidR="00E974B2">
        <w:rPr>
          <w:lang w:val="en-US" w:eastAsia="ru-RU"/>
        </w:rPr>
        <w:instrText>David</w:instrText>
      </w:r>
      <w:r w:rsidR="00E974B2" w:rsidRPr="006C476A">
        <w:rPr>
          <w:lang w:eastAsia="ru-RU"/>
        </w:rPr>
        <w:instrText>","</w:instrText>
      </w:r>
      <w:r w:rsidR="00E974B2">
        <w:rPr>
          <w:lang w:val="en-US" w:eastAsia="ru-RU"/>
        </w:rPr>
        <w:instrText>non</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parse</w:instrText>
      </w:r>
      <w:r w:rsidR="00E974B2" w:rsidRPr="006C476A">
        <w:rPr>
          <w:lang w:eastAsia="ru-RU"/>
        </w:rPr>
        <w:instrText>-</w:instrText>
      </w:r>
      <w:r w:rsidR="00E974B2">
        <w:rPr>
          <w:lang w:val="en-US" w:eastAsia="ru-RU"/>
        </w:rPr>
        <w:instrText>names</w:instrText>
      </w:r>
      <w:r w:rsidR="00E974B2" w:rsidRPr="006C476A">
        <w:rPr>
          <w:lang w:eastAsia="ru-RU"/>
        </w:rPr>
        <w:instrText>":</w:instrText>
      </w:r>
      <w:r w:rsidR="00E974B2">
        <w:rPr>
          <w:lang w:val="en-US" w:eastAsia="ru-RU"/>
        </w:rPr>
        <w:instrText>false</w:instrText>
      </w:r>
      <w:r w:rsidR="00E974B2" w:rsidRPr="006C476A">
        <w:rPr>
          <w:lang w:eastAsia="ru-RU"/>
        </w:rPr>
        <w:instrText>,"</w:instrText>
      </w:r>
      <w:r w:rsidR="00E974B2">
        <w:rPr>
          <w:lang w:val="en-US" w:eastAsia="ru-RU"/>
        </w:rPr>
        <w:instrText>suffix</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family</w:instrText>
      </w:r>
      <w:r w:rsidR="00E974B2" w:rsidRPr="006C476A">
        <w:rPr>
          <w:lang w:eastAsia="ru-RU"/>
        </w:rPr>
        <w:instrText>":"</w:instrText>
      </w:r>
      <w:r w:rsidR="00E974B2">
        <w:rPr>
          <w:lang w:val="en-US" w:eastAsia="ru-RU"/>
        </w:rPr>
        <w:instrText>Crosbie</w:instrText>
      </w:r>
      <w:r w:rsidR="00E974B2" w:rsidRPr="006C476A">
        <w:rPr>
          <w:lang w:eastAsia="ru-RU"/>
        </w:rPr>
        <w:instrText>","</w:instrText>
      </w:r>
      <w:r w:rsidR="00E974B2">
        <w:rPr>
          <w:lang w:val="en-US" w:eastAsia="ru-RU"/>
        </w:rPr>
        <w:instrText>given</w:instrText>
      </w:r>
      <w:r w:rsidR="00E974B2" w:rsidRPr="006C476A">
        <w:rPr>
          <w:lang w:eastAsia="ru-RU"/>
        </w:rPr>
        <w:instrText>":"</w:instrText>
      </w:r>
      <w:r w:rsidR="00E974B2">
        <w:rPr>
          <w:lang w:val="en-US" w:eastAsia="ru-RU"/>
        </w:rPr>
        <w:instrText>T</w:instrText>
      </w:r>
      <w:r w:rsidR="00E974B2" w:rsidRPr="006C476A">
        <w:rPr>
          <w:lang w:eastAsia="ru-RU"/>
        </w:rPr>
        <w:instrText>.","</w:instrText>
      </w:r>
      <w:r w:rsidR="00E974B2">
        <w:rPr>
          <w:lang w:val="en-US" w:eastAsia="ru-RU"/>
        </w:rPr>
        <w:instrText>non</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parse</w:instrText>
      </w:r>
      <w:r w:rsidR="00E974B2" w:rsidRPr="006C476A">
        <w:rPr>
          <w:lang w:eastAsia="ru-RU"/>
        </w:rPr>
        <w:instrText>-</w:instrText>
      </w:r>
      <w:r w:rsidR="00E974B2">
        <w:rPr>
          <w:lang w:val="en-US" w:eastAsia="ru-RU"/>
        </w:rPr>
        <w:instrText>names</w:instrText>
      </w:r>
      <w:r w:rsidR="00E974B2" w:rsidRPr="006C476A">
        <w:rPr>
          <w:lang w:eastAsia="ru-RU"/>
        </w:rPr>
        <w:instrText>":</w:instrText>
      </w:r>
      <w:r w:rsidR="00E974B2">
        <w:rPr>
          <w:lang w:val="en-US" w:eastAsia="ru-RU"/>
        </w:rPr>
        <w:instrText>false</w:instrText>
      </w:r>
      <w:r w:rsidR="00E974B2" w:rsidRPr="006C476A">
        <w:rPr>
          <w:lang w:eastAsia="ru-RU"/>
        </w:rPr>
        <w:instrText>,"</w:instrText>
      </w:r>
      <w:r w:rsidR="00E974B2">
        <w:rPr>
          <w:lang w:val="en-US" w:eastAsia="ru-RU"/>
        </w:rPr>
        <w:instrText>suffix</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family</w:instrText>
      </w:r>
      <w:r w:rsidR="00E974B2" w:rsidRPr="006C476A">
        <w:rPr>
          <w:lang w:eastAsia="ru-RU"/>
        </w:rPr>
        <w:instrText>":"</w:instrText>
      </w:r>
      <w:r w:rsidR="00E974B2">
        <w:rPr>
          <w:lang w:val="en-US" w:eastAsia="ru-RU"/>
        </w:rPr>
        <w:instrText>Christofides</w:instrText>
      </w:r>
      <w:r w:rsidR="00E974B2" w:rsidRPr="006C476A">
        <w:rPr>
          <w:lang w:eastAsia="ru-RU"/>
        </w:rPr>
        <w:instrText>","</w:instrText>
      </w:r>
      <w:r w:rsidR="00E974B2">
        <w:rPr>
          <w:lang w:val="en-US" w:eastAsia="ru-RU"/>
        </w:rPr>
        <w:instrText>given</w:instrText>
      </w:r>
      <w:r w:rsidR="00E974B2" w:rsidRPr="006C476A">
        <w:rPr>
          <w:lang w:eastAsia="ru-RU"/>
        </w:rPr>
        <w:instrText>":"</w:instrText>
      </w:r>
      <w:r w:rsidR="00E974B2">
        <w:rPr>
          <w:lang w:val="en-US" w:eastAsia="ru-RU"/>
        </w:rPr>
        <w:instrText>A</w:instrText>
      </w:r>
      <w:r w:rsidR="00E974B2" w:rsidRPr="006C476A">
        <w:rPr>
          <w:lang w:eastAsia="ru-RU"/>
        </w:rPr>
        <w:instrText>.","</w:instrText>
      </w:r>
      <w:r w:rsidR="00E974B2">
        <w:rPr>
          <w:lang w:val="en-US" w:eastAsia="ru-RU"/>
        </w:rPr>
        <w:instrText>non</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parse</w:instrText>
      </w:r>
      <w:r w:rsidR="00E974B2" w:rsidRPr="006C476A">
        <w:rPr>
          <w:lang w:eastAsia="ru-RU"/>
        </w:rPr>
        <w:instrText>-</w:instrText>
      </w:r>
      <w:r w:rsidR="00E974B2">
        <w:rPr>
          <w:lang w:val="en-US" w:eastAsia="ru-RU"/>
        </w:rPr>
        <w:instrText>names</w:instrText>
      </w:r>
      <w:r w:rsidR="00E974B2" w:rsidRPr="006C476A">
        <w:rPr>
          <w:lang w:eastAsia="ru-RU"/>
        </w:rPr>
        <w:instrText>":</w:instrText>
      </w:r>
      <w:r w:rsidR="00E974B2">
        <w:rPr>
          <w:lang w:val="en-US" w:eastAsia="ru-RU"/>
        </w:rPr>
        <w:instrText>false</w:instrText>
      </w:r>
      <w:r w:rsidR="00E974B2" w:rsidRPr="006C476A">
        <w:rPr>
          <w:lang w:eastAsia="ru-RU"/>
        </w:rPr>
        <w:instrText>,"</w:instrText>
      </w:r>
      <w:r w:rsidR="00E974B2">
        <w:rPr>
          <w:lang w:val="en-US" w:eastAsia="ru-RU"/>
        </w:rPr>
        <w:instrText>suffix</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family</w:instrText>
      </w:r>
      <w:r w:rsidR="00E974B2" w:rsidRPr="006C476A">
        <w:rPr>
          <w:lang w:eastAsia="ru-RU"/>
        </w:rPr>
        <w:instrText>":"</w:instrText>
      </w:r>
      <w:r w:rsidR="00E974B2">
        <w:rPr>
          <w:lang w:val="en-US" w:eastAsia="ru-RU"/>
        </w:rPr>
        <w:instrText>Assaily</w:instrText>
      </w:r>
      <w:r w:rsidR="00E974B2" w:rsidRPr="006C476A">
        <w:rPr>
          <w:lang w:eastAsia="ru-RU"/>
        </w:rPr>
        <w:instrText>","</w:instrText>
      </w:r>
      <w:r w:rsidR="00E974B2">
        <w:rPr>
          <w:lang w:val="en-US" w:eastAsia="ru-RU"/>
        </w:rPr>
        <w:instrText>given</w:instrText>
      </w:r>
      <w:r w:rsidR="00E974B2" w:rsidRPr="006C476A">
        <w:rPr>
          <w:lang w:eastAsia="ru-RU"/>
        </w:rPr>
        <w:instrText>":"</w:instrText>
      </w:r>
      <w:r w:rsidR="00E974B2">
        <w:rPr>
          <w:lang w:val="en-US" w:eastAsia="ru-RU"/>
        </w:rPr>
        <w:instrText>W</w:instrText>
      </w:r>
      <w:r w:rsidR="00E974B2" w:rsidRPr="006C476A">
        <w:rPr>
          <w:lang w:eastAsia="ru-RU"/>
        </w:rPr>
        <w:instrText>.","</w:instrText>
      </w:r>
      <w:r w:rsidR="00E974B2">
        <w:rPr>
          <w:lang w:val="en-US" w:eastAsia="ru-RU"/>
        </w:rPr>
        <w:instrText>non</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parse</w:instrText>
      </w:r>
      <w:r w:rsidR="00E974B2" w:rsidRPr="006C476A">
        <w:rPr>
          <w:lang w:eastAsia="ru-RU"/>
        </w:rPr>
        <w:instrText>-</w:instrText>
      </w:r>
      <w:r w:rsidR="00E974B2">
        <w:rPr>
          <w:lang w:val="en-US" w:eastAsia="ru-RU"/>
        </w:rPr>
        <w:instrText>names</w:instrText>
      </w:r>
      <w:r w:rsidR="00E974B2" w:rsidRPr="006C476A">
        <w:rPr>
          <w:lang w:eastAsia="ru-RU"/>
        </w:rPr>
        <w:instrText>":</w:instrText>
      </w:r>
      <w:r w:rsidR="00E974B2">
        <w:rPr>
          <w:lang w:val="en-US" w:eastAsia="ru-RU"/>
        </w:rPr>
        <w:instrText>false</w:instrText>
      </w:r>
      <w:r w:rsidR="00E974B2" w:rsidRPr="006C476A">
        <w:rPr>
          <w:lang w:eastAsia="ru-RU"/>
        </w:rPr>
        <w:instrText>,"</w:instrText>
      </w:r>
      <w:r w:rsidR="00E974B2">
        <w:rPr>
          <w:lang w:val="en-US" w:eastAsia="ru-RU"/>
        </w:rPr>
        <w:instrText>suffix</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family</w:instrText>
      </w:r>
      <w:r w:rsidR="00E974B2" w:rsidRPr="006C476A">
        <w:rPr>
          <w:lang w:eastAsia="ru-RU"/>
        </w:rPr>
        <w:instrText>":"</w:instrText>
      </w:r>
      <w:r w:rsidR="00E974B2">
        <w:rPr>
          <w:lang w:val="en-US" w:eastAsia="ru-RU"/>
        </w:rPr>
        <w:instrText>Wiernikowski</w:instrText>
      </w:r>
      <w:r w:rsidR="00E974B2" w:rsidRPr="006C476A">
        <w:rPr>
          <w:lang w:eastAsia="ru-RU"/>
        </w:rPr>
        <w:instrText>","</w:instrText>
      </w:r>
      <w:r w:rsidR="00E974B2">
        <w:rPr>
          <w:lang w:val="en-US" w:eastAsia="ru-RU"/>
        </w:rPr>
        <w:instrText>given</w:instrText>
      </w:r>
      <w:r w:rsidR="00E974B2" w:rsidRPr="006C476A">
        <w:rPr>
          <w:lang w:eastAsia="ru-RU"/>
        </w:rPr>
        <w:instrText>":"</w:instrText>
      </w:r>
      <w:r w:rsidR="00E974B2">
        <w:rPr>
          <w:lang w:val="en-US" w:eastAsia="ru-RU"/>
        </w:rPr>
        <w:instrText>J</w:instrText>
      </w:r>
      <w:r w:rsidR="00E974B2" w:rsidRPr="006C476A">
        <w:rPr>
          <w:lang w:eastAsia="ru-RU"/>
        </w:rPr>
        <w:instrText>.","</w:instrText>
      </w:r>
      <w:r w:rsidR="00E974B2">
        <w:rPr>
          <w:lang w:val="en-US" w:eastAsia="ru-RU"/>
        </w:rPr>
        <w:instrText>non</w:instrText>
      </w:r>
      <w:r w:rsidR="00E974B2" w:rsidRPr="006C476A">
        <w:rPr>
          <w:lang w:eastAsia="ru-RU"/>
        </w:rPr>
        <w:instrText>-</w:instrText>
      </w:r>
      <w:r w:rsidR="00E974B2">
        <w:rPr>
          <w:lang w:val="en-US" w:eastAsia="ru-RU"/>
        </w:rPr>
        <w:instrText>dropping</w:instrText>
      </w:r>
      <w:r w:rsidR="00E974B2" w:rsidRPr="006C476A">
        <w:rPr>
          <w:lang w:eastAsia="ru-RU"/>
        </w:rPr>
        <w:instrText>-</w:instrText>
      </w:r>
      <w:r w:rsidR="00E974B2">
        <w:rPr>
          <w:lang w:val="en-US" w:eastAsia="ru-RU"/>
        </w:rPr>
        <w:instrText>particle</w:instrText>
      </w:r>
      <w:r w:rsidR="00E974B2" w:rsidRPr="006C476A">
        <w:rPr>
          <w:lang w:eastAsia="ru-RU"/>
        </w:rPr>
        <w:instrText>":"","</w:instrText>
      </w:r>
      <w:r w:rsidR="00E974B2">
        <w:rPr>
          <w:lang w:val="en-US" w:eastAsia="ru-RU"/>
        </w:rPr>
        <w:instrText>parse</w:instrText>
      </w:r>
      <w:r w:rsidR="00E974B2" w:rsidRPr="006C476A">
        <w:rPr>
          <w:lang w:eastAsia="ru-RU"/>
        </w:rPr>
        <w:instrText>-</w:instrText>
      </w:r>
      <w:r w:rsidR="00E974B2">
        <w:rPr>
          <w:lang w:val="en-US" w:eastAsia="ru-RU"/>
        </w:rPr>
        <w:instrText>names</w:instrText>
      </w:r>
      <w:r w:rsidR="00E974B2" w:rsidRPr="006C476A">
        <w:rPr>
          <w:lang w:eastAsia="ru-RU"/>
        </w:rPr>
        <w:instrText>":</w:instrText>
      </w:r>
      <w:r w:rsidR="00E974B2">
        <w:rPr>
          <w:lang w:val="en-US" w:eastAsia="ru-RU"/>
        </w:rPr>
        <w:instrText>false</w:instrText>
      </w:r>
      <w:r w:rsidR="00E974B2" w:rsidRPr="006C476A">
        <w:rPr>
          <w:lang w:eastAsia="ru-RU"/>
        </w:rPr>
        <w:instrText>,"</w:instrText>
      </w:r>
      <w:r w:rsidR="00E974B2">
        <w:rPr>
          <w:lang w:val="en-US" w:eastAsia="ru-RU"/>
        </w:rPr>
        <w:instrText>suffix</w:instrText>
      </w:r>
      <w:r w:rsidR="00E974B2" w:rsidRPr="006C476A">
        <w:rPr>
          <w:lang w:eastAsia="ru-RU"/>
        </w:rPr>
        <w:instrText>":""}],"</w:instrText>
      </w:r>
      <w:r w:rsidR="00E974B2">
        <w:rPr>
          <w:lang w:val="en-US" w:eastAsia="ru-RU"/>
        </w:rPr>
        <w:instrText>container</w:instrText>
      </w:r>
      <w:r w:rsidR="00E974B2" w:rsidRPr="006C476A">
        <w:rPr>
          <w:lang w:eastAsia="ru-RU"/>
        </w:rPr>
        <w:instrText>-</w:instrText>
      </w:r>
      <w:r w:rsidR="00E974B2">
        <w:rPr>
          <w:lang w:val="en-US" w:eastAsia="ru-RU"/>
        </w:rPr>
        <w:instrText>title</w:instrText>
      </w:r>
      <w:r w:rsidR="00E974B2" w:rsidRPr="006C476A">
        <w:rPr>
          <w:lang w:eastAsia="ru-RU"/>
        </w:rPr>
        <w:instrText>":"</w:instrText>
      </w:r>
      <w:r w:rsidR="00E974B2">
        <w:rPr>
          <w:lang w:val="en-US" w:eastAsia="ru-RU"/>
        </w:rPr>
        <w:instrText>Current</w:instrText>
      </w:r>
      <w:r w:rsidR="00E974B2" w:rsidRPr="006C476A">
        <w:rPr>
          <w:lang w:eastAsia="ru-RU"/>
        </w:rPr>
        <w:instrText xml:space="preserve"> </w:instrText>
      </w:r>
      <w:r w:rsidR="00E974B2">
        <w:rPr>
          <w:lang w:val="en-US" w:eastAsia="ru-RU"/>
        </w:rPr>
        <w:instrText>Oncology</w:instrText>
      </w:r>
      <w:r w:rsidR="00E974B2" w:rsidRPr="006C476A">
        <w:rPr>
          <w:lang w:eastAsia="ru-RU"/>
        </w:rPr>
        <w:instrText>","</w:instrText>
      </w:r>
      <w:r w:rsidR="00E974B2">
        <w:rPr>
          <w:lang w:val="en-US" w:eastAsia="ru-RU"/>
        </w:rPr>
        <w:instrText>id</w:instrText>
      </w:r>
      <w:r w:rsidR="00E974B2" w:rsidRPr="006C476A">
        <w:rPr>
          <w:lang w:eastAsia="ru-RU"/>
        </w:rPr>
        <w:instrText>":"</w:instrText>
      </w:r>
      <w:r w:rsidR="00E974B2">
        <w:rPr>
          <w:lang w:val="en-US" w:eastAsia="ru-RU"/>
        </w:rPr>
        <w:instrText>ITEM</w:instrText>
      </w:r>
      <w:r w:rsidR="00E974B2" w:rsidRPr="006C476A">
        <w:rPr>
          <w:lang w:eastAsia="ru-RU"/>
        </w:rPr>
        <w:instrText>-4","</w:instrText>
      </w:r>
      <w:r w:rsidR="00E974B2">
        <w:rPr>
          <w:lang w:val="en-US" w:eastAsia="ru-RU"/>
        </w:rPr>
        <w:instrText>issue</w:instrText>
      </w:r>
      <w:r w:rsidR="00E974B2" w:rsidRPr="006C476A">
        <w:rPr>
          <w:lang w:eastAsia="ru-RU"/>
        </w:rPr>
        <w:instrText>":"1","</w:instrText>
      </w:r>
      <w:r w:rsidR="00E974B2">
        <w:rPr>
          <w:lang w:val="en-US" w:eastAsia="ru-RU"/>
        </w:rPr>
        <w:instrText>issued</w:instrText>
      </w:r>
      <w:r w:rsidR="00E974B2" w:rsidRPr="006C476A">
        <w:rPr>
          <w:lang w:eastAsia="ru-RU"/>
        </w:rPr>
        <w:instrText>":{"</w:instrText>
      </w:r>
      <w:r w:rsidR="00E974B2">
        <w:rPr>
          <w:lang w:val="en-US" w:eastAsia="ru-RU"/>
        </w:rPr>
        <w:instrText>date</w:instrText>
      </w:r>
      <w:r w:rsidR="00E974B2" w:rsidRPr="006C476A">
        <w:rPr>
          <w:lang w:eastAsia="ru-RU"/>
        </w:rPr>
        <w:instrText>-</w:instrText>
      </w:r>
      <w:r w:rsidR="00E974B2">
        <w:rPr>
          <w:lang w:val="en-US" w:eastAsia="ru-RU"/>
        </w:rPr>
        <w:instrText>parts</w:instrText>
      </w:r>
      <w:r w:rsidR="00E974B2" w:rsidRPr="006C476A">
        <w:rPr>
          <w:lang w:eastAsia="ru-RU"/>
        </w:rPr>
        <w:instrText>":[["2017"]]},"</w:instrText>
      </w:r>
      <w:r w:rsidR="00E974B2">
        <w:rPr>
          <w:lang w:val="en-US" w:eastAsia="ru-RU"/>
        </w:rPr>
        <w:instrText>page</w:instrText>
      </w:r>
      <w:r w:rsidR="00E974B2" w:rsidRPr="006C476A">
        <w:rPr>
          <w:lang w:eastAsia="ru-RU"/>
        </w:rPr>
        <w:instrText>":"33-39","</w:instrText>
      </w:r>
      <w:r w:rsidR="00E974B2">
        <w:rPr>
          <w:lang w:val="en-US" w:eastAsia="ru-RU"/>
        </w:rPr>
        <w:instrText>publisher</w:instrText>
      </w:r>
      <w:r w:rsidR="00E974B2" w:rsidRPr="006C476A">
        <w:rPr>
          <w:lang w:eastAsia="ru-RU"/>
        </w:rPr>
        <w:instrText>":"</w:instrText>
      </w:r>
      <w:r w:rsidR="00E974B2">
        <w:rPr>
          <w:lang w:val="en-US" w:eastAsia="ru-RU"/>
        </w:rPr>
        <w:instrText>Multimed</w:instrText>
      </w:r>
      <w:r w:rsidR="00E974B2" w:rsidRPr="006C476A">
        <w:rPr>
          <w:lang w:eastAsia="ru-RU"/>
        </w:rPr>
        <w:instrText xml:space="preserve"> </w:instrText>
      </w:r>
      <w:r w:rsidR="00E974B2">
        <w:rPr>
          <w:lang w:val="en-US" w:eastAsia="ru-RU"/>
        </w:rPr>
        <w:instrText>Inc</w:instrText>
      </w:r>
      <w:r w:rsidR="00E974B2" w:rsidRPr="006C476A">
        <w:rPr>
          <w:lang w:eastAsia="ru-RU"/>
        </w:rPr>
        <w:instrText>.","</w:instrText>
      </w:r>
      <w:r w:rsidR="00E974B2">
        <w:rPr>
          <w:lang w:val="en-US" w:eastAsia="ru-RU"/>
        </w:rPr>
        <w:instrText>title</w:instrText>
      </w:r>
      <w:r w:rsidR="00E974B2" w:rsidRPr="006C476A">
        <w:rPr>
          <w:lang w:eastAsia="ru-RU"/>
        </w:rPr>
        <w:instrText>":"</w:instrText>
      </w:r>
      <w:r w:rsidR="00E974B2">
        <w:rPr>
          <w:lang w:val="en-US" w:eastAsia="ru-RU"/>
        </w:rPr>
        <w:instrText>A</w:instrText>
      </w:r>
      <w:r w:rsidR="00E974B2" w:rsidRPr="006C476A">
        <w:rPr>
          <w:lang w:eastAsia="ru-RU"/>
        </w:rPr>
        <w:instrText xml:space="preserve"> </w:instrText>
      </w:r>
      <w:r w:rsidR="00E974B2">
        <w:rPr>
          <w:lang w:val="en-US" w:eastAsia="ru-RU"/>
        </w:rPr>
        <w:instrText>canadian</w:instrText>
      </w:r>
      <w:r w:rsidR="00E974B2" w:rsidRPr="006C476A">
        <w:rPr>
          <w:lang w:eastAsia="ru-RU"/>
        </w:rPr>
        <w:instrText xml:space="preserve"> </w:instrText>
      </w:r>
      <w:r w:rsidR="00E974B2">
        <w:rPr>
          <w:lang w:val="en-US" w:eastAsia="ru-RU"/>
        </w:rPr>
        <w:instrText>perspective</w:instrText>
      </w:r>
      <w:r w:rsidR="00E974B2" w:rsidRPr="006C476A">
        <w:rPr>
          <w:lang w:eastAsia="ru-RU"/>
        </w:rPr>
        <w:instrText xml:space="preserve"> </w:instrText>
      </w:r>
      <w:r w:rsidR="00E974B2">
        <w:rPr>
          <w:lang w:val="en-US" w:eastAsia="ru-RU"/>
        </w:rPr>
        <w:instrText>on</w:instrText>
      </w:r>
      <w:r w:rsidR="00E974B2" w:rsidRPr="006C476A">
        <w:rPr>
          <w:lang w:eastAsia="ru-RU"/>
        </w:rPr>
        <w:instrText xml:space="preserve"> </w:instrText>
      </w:r>
      <w:r w:rsidR="00E974B2">
        <w:rPr>
          <w:lang w:val="en-US" w:eastAsia="ru-RU"/>
        </w:rPr>
        <w:instrText>the</w:instrText>
      </w:r>
      <w:r w:rsidR="00E974B2" w:rsidRPr="006C476A">
        <w:rPr>
          <w:lang w:eastAsia="ru-RU"/>
        </w:rPr>
        <w:instrText xml:space="preserve"> </w:instrText>
      </w:r>
      <w:r w:rsidR="00E974B2">
        <w:rPr>
          <w:lang w:val="en-US" w:eastAsia="ru-RU"/>
        </w:rPr>
        <w:instrText>subcutaneous</w:instrText>
      </w:r>
      <w:r w:rsidR="00E974B2" w:rsidRPr="006C476A">
        <w:rPr>
          <w:lang w:eastAsia="ru-RU"/>
        </w:rPr>
        <w:instrText xml:space="preserve"> </w:instrText>
      </w:r>
      <w:r w:rsidR="00E974B2">
        <w:rPr>
          <w:lang w:val="en-US" w:eastAsia="ru-RU"/>
        </w:rPr>
        <w:instrText>administration</w:instrText>
      </w:r>
      <w:r w:rsidR="00E974B2" w:rsidRPr="006C476A">
        <w:rPr>
          <w:lang w:eastAsia="ru-RU"/>
        </w:rPr>
        <w:instrText xml:space="preserve"> </w:instrText>
      </w:r>
      <w:r w:rsidR="00E974B2">
        <w:rPr>
          <w:lang w:val="en-US" w:eastAsia="ru-RU"/>
        </w:rPr>
        <w:instrText>of</w:instrText>
      </w:r>
      <w:r w:rsidR="00E974B2" w:rsidRPr="006C476A">
        <w:rPr>
          <w:lang w:eastAsia="ru-RU"/>
        </w:rPr>
        <w:instrText xml:space="preserve"> </w:instrText>
      </w:r>
      <w:r w:rsidR="00E974B2">
        <w:rPr>
          <w:lang w:val="en-US" w:eastAsia="ru-RU"/>
        </w:rPr>
        <w:instrText>rituximab</w:instrText>
      </w:r>
      <w:r w:rsidR="00E974B2" w:rsidRPr="006C476A">
        <w:rPr>
          <w:lang w:eastAsia="ru-RU"/>
        </w:rPr>
        <w:instrText xml:space="preserve"> </w:instrText>
      </w:r>
      <w:r w:rsidR="00E974B2">
        <w:rPr>
          <w:lang w:val="en-US" w:eastAsia="ru-RU"/>
        </w:rPr>
        <w:instrText>in</w:instrText>
      </w:r>
      <w:r w:rsidR="00E974B2" w:rsidRPr="006C476A">
        <w:rPr>
          <w:lang w:eastAsia="ru-RU"/>
        </w:rPr>
        <w:instrText xml:space="preserve"> </w:instrText>
      </w:r>
      <w:r w:rsidR="00E974B2">
        <w:rPr>
          <w:lang w:val="en-US" w:eastAsia="ru-RU"/>
        </w:rPr>
        <w:instrText>non</w:instrText>
      </w:r>
      <w:r w:rsidR="00E974B2" w:rsidRPr="006C476A">
        <w:rPr>
          <w:lang w:eastAsia="ru-RU"/>
        </w:rPr>
        <w:instrText>-</w:instrText>
      </w:r>
      <w:r w:rsidR="00E974B2">
        <w:rPr>
          <w:lang w:val="en-US" w:eastAsia="ru-RU"/>
        </w:rPr>
        <w:instrText>Hodgkin</w:instrText>
      </w:r>
      <w:r w:rsidR="00E974B2" w:rsidRPr="006C476A">
        <w:rPr>
          <w:lang w:eastAsia="ru-RU"/>
        </w:rPr>
        <w:instrText xml:space="preserve"> </w:instrText>
      </w:r>
      <w:r w:rsidR="00E974B2">
        <w:rPr>
          <w:lang w:val="en-US" w:eastAsia="ru-RU"/>
        </w:rPr>
        <w:instrText>lymphoma</w:instrText>
      </w:r>
      <w:r w:rsidR="00E974B2" w:rsidRPr="006C476A">
        <w:rPr>
          <w:lang w:eastAsia="ru-RU"/>
        </w:rPr>
        <w:instrText>","</w:instrText>
      </w:r>
      <w:r w:rsidR="00E974B2">
        <w:rPr>
          <w:lang w:val="en-US" w:eastAsia="ru-RU"/>
        </w:rPr>
        <w:instrText>type</w:instrText>
      </w:r>
      <w:r w:rsidR="00E974B2" w:rsidRPr="006C476A">
        <w:rPr>
          <w:lang w:eastAsia="ru-RU"/>
        </w:rPr>
        <w:instrText>":"</w:instrText>
      </w:r>
      <w:r w:rsidR="00E974B2">
        <w:rPr>
          <w:lang w:val="en-US" w:eastAsia="ru-RU"/>
        </w:rPr>
        <w:instrText>article</w:instrText>
      </w:r>
      <w:r w:rsidR="00E974B2" w:rsidRPr="006C476A">
        <w:rPr>
          <w:lang w:eastAsia="ru-RU"/>
        </w:rPr>
        <w:instrText>","</w:instrText>
      </w:r>
      <w:r w:rsidR="00E974B2">
        <w:rPr>
          <w:lang w:val="en-US" w:eastAsia="ru-RU"/>
        </w:rPr>
        <w:instrText>volume</w:instrText>
      </w:r>
      <w:r w:rsidR="00E974B2" w:rsidRPr="006C476A">
        <w:rPr>
          <w:lang w:eastAsia="ru-RU"/>
        </w:rPr>
        <w:instrText>":"24"},"</w:instrText>
      </w:r>
      <w:r w:rsidR="00E974B2">
        <w:rPr>
          <w:lang w:val="en-US" w:eastAsia="ru-RU"/>
        </w:rPr>
        <w:instrText>uris</w:instrText>
      </w:r>
      <w:r w:rsidR="00E974B2" w:rsidRPr="006C476A">
        <w:rPr>
          <w:lang w:eastAsia="ru-RU"/>
        </w:rPr>
        <w:instrText>":["</w:instrText>
      </w:r>
      <w:r w:rsidR="00E974B2">
        <w:rPr>
          <w:lang w:val="en-US" w:eastAsia="ru-RU"/>
        </w:rPr>
        <w:instrText>http</w:instrText>
      </w:r>
      <w:r w:rsidR="00E974B2" w:rsidRPr="006C476A">
        <w:rPr>
          <w:lang w:eastAsia="ru-RU"/>
        </w:rPr>
        <w:instrText>://</w:instrText>
      </w:r>
      <w:r w:rsidR="00E974B2">
        <w:rPr>
          <w:lang w:val="en-US" w:eastAsia="ru-RU"/>
        </w:rPr>
        <w:instrText>www</w:instrText>
      </w:r>
      <w:r w:rsidR="00E974B2" w:rsidRPr="006C476A">
        <w:rPr>
          <w:lang w:eastAsia="ru-RU"/>
        </w:rPr>
        <w:instrText>.</w:instrText>
      </w:r>
      <w:r w:rsidR="00E974B2">
        <w:rPr>
          <w:lang w:val="en-US" w:eastAsia="ru-RU"/>
        </w:rPr>
        <w:instrText>mendeley</w:instrText>
      </w:r>
      <w:r w:rsidR="00E974B2" w:rsidRPr="006C476A">
        <w:rPr>
          <w:lang w:eastAsia="ru-RU"/>
        </w:rPr>
        <w:instrText>.</w:instrText>
      </w:r>
      <w:r w:rsidR="00E974B2">
        <w:rPr>
          <w:lang w:val="en-US" w:eastAsia="ru-RU"/>
        </w:rPr>
        <w:instrText>com</w:instrText>
      </w:r>
      <w:r w:rsidR="00E974B2" w:rsidRPr="006C476A">
        <w:rPr>
          <w:lang w:eastAsia="ru-RU"/>
        </w:rPr>
        <w:instrText>/</w:instrText>
      </w:r>
      <w:r w:rsidR="00E974B2">
        <w:rPr>
          <w:lang w:val="en-US" w:eastAsia="ru-RU"/>
        </w:rPr>
        <w:instrText>documents</w:instrText>
      </w:r>
      <w:r w:rsidR="00E974B2" w:rsidRPr="006C476A">
        <w:rPr>
          <w:lang w:eastAsia="ru-RU"/>
        </w:rPr>
        <w:instrText>/?</w:instrText>
      </w:r>
      <w:r w:rsidR="00E974B2">
        <w:rPr>
          <w:lang w:val="en-US" w:eastAsia="ru-RU"/>
        </w:rPr>
        <w:instrText>uuid</w:instrText>
      </w:r>
      <w:r w:rsidR="00E974B2" w:rsidRPr="006C476A">
        <w:rPr>
          <w:lang w:eastAsia="ru-RU"/>
        </w:rPr>
        <w:instrText>=0</w:instrText>
      </w:r>
      <w:r w:rsidR="00E974B2">
        <w:rPr>
          <w:lang w:val="en-US" w:eastAsia="ru-RU"/>
        </w:rPr>
        <w:instrText>dec</w:instrText>
      </w:r>
      <w:r w:rsidR="00E974B2" w:rsidRPr="006C476A">
        <w:rPr>
          <w:lang w:eastAsia="ru-RU"/>
        </w:rPr>
        <w:instrText>225</w:instrText>
      </w:r>
      <w:r w:rsidR="00E974B2">
        <w:rPr>
          <w:lang w:val="en-US" w:eastAsia="ru-RU"/>
        </w:rPr>
        <w:instrText>e</w:instrText>
      </w:r>
      <w:r w:rsidR="00E974B2" w:rsidRPr="006C476A">
        <w:rPr>
          <w:lang w:eastAsia="ru-RU"/>
        </w:rPr>
        <w:instrText>-8</w:instrText>
      </w:r>
      <w:r w:rsidR="00E974B2">
        <w:rPr>
          <w:lang w:val="en-US" w:eastAsia="ru-RU"/>
        </w:rPr>
        <w:instrText>a</w:instrText>
      </w:r>
      <w:r w:rsidR="00E974B2" w:rsidRPr="006C476A">
        <w:rPr>
          <w:lang w:eastAsia="ru-RU"/>
        </w:rPr>
        <w:instrText>47-3680-</w:instrText>
      </w:r>
      <w:r w:rsidR="00E974B2">
        <w:rPr>
          <w:lang w:val="en-US" w:eastAsia="ru-RU"/>
        </w:rPr>
        <w:instrText>ba</w:instrText>
      </w:r>
      <w:r w:rsidR="00E974B2" w:rsidRPr="006C476A">
        <w:rPr>
          <w:lang w:eastAsia="ru-RU"/>
        </w:rPr>
        <w:instrText>4</w:instrText>
      </w:r>
      <w:r w:rsidR="00E974B2">
        <w:rPr>
          <w:lang w:val="en-US" w:eastAsia="ru-RU"/>
        </w:rPr>
        <w:instrText>d</w:instrText>
      </w:r>
      <w:r w:rsidR="00E974B2" w:rsidRPr="006C476A">
        <w:rPr>
          <w:lang w:eastAsia="ru-RU"/>
        </w:rPr>
        <w:instrText>-891955</w:instrText>
      </w:r>
      <w:r w:rsidR="00E974B2">
        <w:rPr>
          <w:lang w:val="en-US" w:eastAsia="ru-RU"/>
        </w:rPr>
        <w:instrText>a</w:instrText>
      </w:r>
      <w:r w:rsidR="00E974B2" w:rsidRPr="006C476A">
        <w:rPr>
          <w:lang w:eastAsia="ru-RU"/>
        </w:rPr>
        <w:instrText>938</w:instrText>
      </w:r>
      <w:r w:rsidR="00E974B2">
        <w:rPr>
          <w:lang w:val="en-US" w:eastAsia="ru-RU"/>
        </w:rPr>
        <w:instrText>a</w:instrText>
      </w:r>
      <w:r w:rsidR="00E974B2" w:rsidRPr="006C476A">
        <w:rPr>
          <w:lang w:eastAsia="ru-RU"/>
        </w:rPr>
        <w:instrText>1"]}],"</w:instrText>
      </w:r>
      <w:r w:rsidR="00E974B2">
        <w:rPr>
          <w:lang w:val="en-US" w:eastAsia="ru-RU"/>
        </w:rPr>
        <w:instrText>mendeley</w:instrText>
      </w:r>
      <w:r w:rsidR="00E974B2" w:rsidRPr="006C476A">
        <w:rPr>
          <w:lang w:eastAsia="ru-RU"/>
        </w:rPr>
        <w:instrText>":{"</w:instrText>
      </w:r>
      <w:r w:rsidR="00E974B2">
        <w:rPr>
          <w:lang w:val="en-US" w:eastAsia="ru-RU"/>
        </w:rPr>
        <w:instrText>formattedCitation</w:instrText>
      </w:r>
      <w:r w:rsidR="00E974B2" w:rsidRPr="006C476A">
        <w:rPr>
          <w:lang w:eastAsia="ru-RU"/>
        </w:rPr>
        <w:instrText>":"[180–183]","</w:instrText>
      </w:r>
      <w:r w:rsidR="00E974B2">
        <w:rPr>
          <w:lang w:val="en-US" w:eastAsia="ru-RU"/>
        </w:rPr>
        <w:instrText>plainTextFormattedCitation</w:instrText>
      </w:r>
      <w:r w:rsidR="00E974B2" w:rsidRPr="006C476A">
        <w:rPr>
          <w:lang w:eastAsia="ru-RU"/>
        </w:rPr>
        <w:instrText>":"[180–183]","</w:instrText>
      </w:r>
      <w:r w:rsidR="00E974B2">
        <w:rPr>
          <w:lang w:val="en-US" w:eastAsia="ru-RU"/>
        </w:rPr>
        <w:instrText>previouslyFormattedCitation</w:instrText>
      </w:r>
      <w:r w:rsidR="00E974B2" w:rsidRPr="006C476A">
        <w:rPr>
          <w:lang w:eastAsia="ru-RU"/>
        </w:rPr>
        <w:instrText>":"[180–183]"},"</w:instrText>
      </w:r>
      <w:r w:rsidR="00E974B2">
        <w:rPr>
          <w:lang w:val="en-US" w:eastAsia="ru-RU"/>
        </w:rPr>
        <w:instrText>properties</w:instrText>
      </w:r>
      <w:r w:rsidR="00E974B2" w:rsidRPr="006C476A">
        <w:rPr>
          <w:lang w:eastAsia="ru-RU"/>
        </w:rPr>
        <w:instrText>":{"</w:instrText>
      </w:r>
      <w:r w:rsidR="00E974B2">
        <w:rPr>
          <w:lang w:val="en-US" w:eastAsia="ru-RU"/>
        </w:rPr>
        <w:instrText>noteIndex</w:instrText>
      </w:r>
      <w:r w:rsidR="00E974B2" w:rsidRPr="006C476A">
        <w:rPr>
          <w:lang w:eastAsia="ru-RU"/>
        </w:rPr>
        <w:instrText>":0},"</w:instrText>
      </w:r>
      <w:r w:rsidR="00E974B2">
        <w:rPr>
          <w:lang w:val="en-US" w:eastAsia="ru-RU"/>
        </w:rPr>
        <w:instrText>schema</w:instrText>
      </w:r>
      <w:r w:rsidR="00E974B2" w:rsidRPr="006C476A">
        <w:rPr>
          <w:lang w:eastAsia="ru-RU"/>
        </w:rPr>
        <w:instrText>":"</w:instrText>
      </w:r>
      <w:r w:rsidR="00E974B2">
        <w:rPr>
          <w:lang w:val="en-US" w:eastAsia="ru-RU"/>
        </w:rPr>
        <w:instrText>https</w:instrText>
      </w:r>
      <w:r w:rsidR="00E974B2" w:rsidRPr="006C476A">
        <w:rPr>
          <w:lang w:eastAsia="ru-RU"/>
        </w:rPr>
        <w:instrText>://</w:instrText>
      </w:r>
      <w:r w:rsidR="00E974B2">
        <w:rPr>
          <w:lang w:val="en-US" w:eastAsia="ru-RU"/>
        </w:rPr>
        <w:instrText>github</w:instrText>
      </w:r>
      <w:r w:rsidR="00E974B2" w:rsidRPr="006C476A">
        <w:rPr>
          <w:lang w:eastAsia="ru-RU"/>
        </w:rPr>
        <w:instrText>.</w:instrText>
      </w:r>
      <w:r w:rsidR="00E974B2">
        <w:rPr>
          <w:lang w:val="en-US" w:eastAsia="ru-RU"/>
        </w:rPr>
        <w:instrText>com</w:instrText>
      </w:r>
      <w:r w:rsidR="00E974B2" w:rsidRPr="006C476A">
        <w:rPr>
          <w:lang w:eastAsia="ru-RU"/>
        </w:rPr>
        <w:instrText>/</w:instrText>
      </w:r>
      <w:r w:rsidR="00E974B2">
        <w:rPr>
          <w:lang w:val="en-US" w:eastAsia="ru-RU"/>
        </w:rPr>
        <w:instrText>citation</w:instrText>
      </w:r>
      <w:r w:rsidR="00E974B2" w:rsidRPr="006C476A">
        <w:rPr>
          <w:lang w:eastAsia="ru-RU"/>
        </w:rPr>
        <w:instrText>-</w:instrText>
      </w:r>
      <w:r w:rsidR="00E974B2">
        <w:rPr>
          <w:lang w:val="en-US" w:eastAsia="ru-RU"/>
        </w:rPr>
        <w:instrText>style</w:instrText>
      </w:r>
      <w:r w:rsidR="00E974B2" w:rsidRPr="006C476A">
        <w:rPr>
          <w:lang w:eastAsia="ru-RU"/>
        </w:rPr>
        <w:instrText>-</w:instrText>
      </w:r>
      <w:r w:rsidR="00E974B2">
        <w:rPr>
          <w:lang w:val="en-US" w:eastAsia="ru-RU"/>
        </w:rPr>
        <w:instrText>language</w:instrText>
      </w:r>
      <w:r w:rsidR="00E974B2" w:rsidRPr="006C476A">
        <w:rPr>
          <w:lang w:eastAsia="ru-RU"/>
        </w:rPr>
        <w:instrText>/</w:instrText>
      </w:r>
      <w:r w:rsidR="00E974B2">
        <w:rPr>
          <w:lang w:val="en-US" w:eastAsia="ru-RU"/>
        </w:rPr>
        <w:instrText>schema</w:instrText>
      </w:r>
      <w:r w:rsidR="00E974B2" w:rsidRPr="006C476A">
        <w:rPr>
          <w:lang w:eastAsia="ru-RU"/>
        </w:rPr>
        <w:instrText>/</w:instrText>
      </w:r>
      <w:r w:rsidR="00E974B2">
        <w:rPr>
          <w:lang w:val="en-US" w:eastAsia="ru-RU"/>
        </w:rPr>
        <w:instrText>raw</w:instrText>
      </w:r>
      <w:r w:rsidR="00E974B2" w:rsidRPr="006C476A">
        <w:rPr>
          <w:lang w:eastAsia="ru-RU"/>
        </w:rPr>
        <w:instrText>/</w:instrText>
      </w:r>
      <w:r w:rsidR="00E974B2">
        <w:rPr>
          <w:lang w:val="en-US" w:eastAsia="ru-RU"/>
        </w:rPr>
        <w:instrText>master</w:instrText>
      </w:r>
      <w:r w:rsidR="00E974B2" w:rsidRPr="006C476A">
        <w:rPr>
          <w:lang w:eastAsia="ru-RU"/>
        </w:rPr>
        <w:instrText>/</w:instrText>
      </w:r>
      <w:r w:rsidR="00E974B2">
        <w:rPr>
          <w:lang w:val="en-US" w:eastAsia="ru-RU"/>
        </w:rPr>
        <w:instrText>csl</w:instrText>
      </w:r>
      <w:r w:rsidR="00E974B2" w:rsidRPr="006C476A">
        <w:rPr>
          <w:lang w:eastAsia="ru-RU"/>
        </w:rPr>
        <w:instrText>-</w:instrText>
      </w:r>
      <w:r w:rsidR="00E974B2">
        <w:rPr>
          <w:lang w:val="en-US" w:eastAsia="ru-RU"/>
        </w:rPr>
        <w:instrText>citation</w:instrText>
      </w:r>
      <w:r w:rsidR="00E974B2" w:rsidRPr="006C476A">
        <w:rPr>
          <w:lang w:eastAsia="ru-RU"/>
        </w:rPr>
        <w:instrText>.</w:instrText>
      </w:r>
      <w:r w:rsidR="00E974B2">
        <w:rPr>
          <w:lang w:val="en-US" w:eastAsia="ru-RU"/>
        </w:rPr>
        <w:instrText>json</w:instrText>
      </w:r>
      <w:r w:rsidR="00E974B2" w:rsidRPr="006C476A">
        <w:rPr>
          <w:lang w:eastAsia="ru-RU"/>
        </w:rPr>
        <w:instrText>"}</w:instrText>
      </w:r>
      <w:r w:rsidRPr="000322E4">
        <w:rPr>
          <w:lang w:val="en-US" w:eastAsia="ru-RU"/>
        </w:rPr>
        <w:fldChar w:fldCharType="separate"/>
      </w:r>
      <w:r w:rsidR="004C51FF" w:rsidRPr="004C51FF">
        <w:rPr>
          <w:noProof/>
          <w:lang w:eastAsia="ru-RU"/>
        </w:rPr>
        <w:t>[180–183]</w:t>
      </w:r>
      <w:r w:rsidRPr="000322E4">
        <w:rPr>
          <w:lang w:val="en-US" w:eastAsia="ru-RU"/>
        </w:rPr>
        <w:fldChar w:fldCharType="end"/>
      </w:r>
    </w:p>
    <w:p w14:paraId="3D135F7C" w14:textId="77777777" w:rsidR="00666D68" w:rsidRPr="000322E4" w:rsidRDefault="00666D68" w:rsidP="008E3584">
      <w:pPr>
        <w:numPr>
          <w:ilvl w:val="0"/>
          <w:numId w:val="39"/>
        </w:numPr>
      </w:pPr>
      <w:r w:rsidRPr="000322E4">
        <w:t>Циклофосфамид</w:t>
      </w:r>
      <w:r w:rsidRPr="000322E4">
        <w:rPr>
          <w:bCs/>
        </w:rPr>
        <w:t>**</w:t>
      </w:r>
      <w:r w:rsidRPr="000322E4">
        <w:t xml:space="preserve"> </w:t>
      </w:r>
      <w:r w:rsidR="00C37789" w:rsidRPr="000322E4">
        <w:t xml:space="preserve">500 </w:t>
      </w:r>
      <w:r w:rsidRPr="000322E4">
        <w:t>мг/м</w:t>
      </w:r>
      <w:r w:rsidRPr="000322E4">
        <w:rPr>
          <w:vertAlign w:val="superscript"/>
        </w:rPr>
        <w:t>2</w:t>
      </w:r>
      <w:r w:rsidRPr="000322E4">
        <w:t xml:space="preserve"> в/в кап., день 1</w:t>
      </w:r>
    </w:p>
    <w:p w14:paraId="2B42FCD4" w14:textId="77777777" w:rsidR="00666D68" w:rsidRPr="000322E4" w:rsidRDefault="00666D68" w:rsidP="008E3584">
      <w:pPr>
        <w:numPr>
          <w:ilvl w:val="0"/>
          <w:numId w:val="39"/>
        </w:numPr>
      </w:pPr>
      <w:r w:rsidRPr="000322E4">
        <w:t>Митоксантрон</w:t>
      </w:r>
      <w:r w:rsidRPr="000322E4">
        <w:rPr>
          <w:bCs/>
        </w:rPr>
        <w:t>**</w:t>
      </w:r>
      <w:r w:rsidRPr="000322E4">
        <w:t xml:space="preserve"> 10 мг/м</w:t>
      </w:r>
      <w:r w:rsidRPr="000322E4">
        <w:rPr>
          <w:vertAlign w:val="superscript"/>
        </w:rPr>
        <w:t>2</w:t>
      </w:r>
      <w:r w:rsidRPr="000322E4">
        <w:t xml:space="preserve"> в/в, день 1</w:t>
      </w:r>
    </w:p>
    <w:p w14:paraId="43EA1041" w14:textId="77777777" w:rsidR="00666D68" w:rsidRPr="000322E4" w:rsidRDefault="00F35A3E" w:rsidP="008E3584">
      <w:pPr>
        <w:numPr>
          <w:ilvl w:val="0"/>
          <w:numId w:val="39"/>
        </w:numPr>
      </w:pPr>
      <w:r w:rsidRPr="00F35A3E">
        <w:t>#</w:t>
      </w:r>
      <w:r w:rsidR="00666D68" w:rsidRPr="000322E4">
        <w:t>Винкристин</w:t>
      </w:r>
      <w:r w:rsidR="00666D68" w:rsidRPr="000322E4">
        <w:rPr>
          <w:bCs/>
        </w:rPr>
        <w:t>**</w:t>
      </w:r>
      <w:r w:rsidR="00666D68" w:rsidRPr="000322E4">
        <w:t xml:space="preserve"> 1,</w:t>
      </w:r>
      <w:r w:rsidR="00C37789" w:rsidRPr="000322E4">
        <w:t>0</w:t>
      </w:r>
      <w:r w:rsidR="00666D68" w:rsidRPr="000322E4">
        <w:t xml:space="preserve"> мг/м</w:t>
      </w:r>
      <w:r w:rsidR="00666D68" w:rsidRPr="000322E4">
        <w:rPr>
          <w:vertAlign w:val="superscript"/>
        </w:rPr>
        <w:t>2</w:t>
      </w:r>
      <w:r w:rsidR="00666D68" w:rsidRPr="000322E4">
        <w:t xml:space="preserve"> (суммарно не более 2 мг) в/в, день 1</w:t>
      </w:r>
    </w:p>
    <w:p w14:paraId="057E7325" w14:textId="77777777" w:rsidR="00666D68" w:rsidRPr="000322E4" w:rsidRDefault="00666D68" w:rsidP="008E3584">
      <w:pPr>
        <w:numPr>
          <w:ilvl w:val="0"/>
          <w:numId w:val="39"/>
        </w:numPr>
      </w:pPr>
      <w:r w:rsidRPr="000322E4">
        <w:t>Преднизолон</w:t>
      </w:r>
      <w:r w:rsidRPr="000322E4">
        <w:rPr>
          <w:bCs/>
        </w:rPr>
        <w:t>**</w:t>
      </w:r>
      <w:r w:rsidRPr="000322E4">
        <w:t xml:space="preserve"> </w:t>
      </w:r>
      <w:r w:rsidR="00C37789" w:rsidRPr="000322E4">
        <w:t>80 мг</w:t>
      </w:r>
      <w:r w:rsidRPr="000322E4">
        <w:t xml:space="preserve"> внутрь, дни 1-5</w:t>
      </w:r>
    </w:p>
    <w:p w14:paraId="5F140AA3" w14:textId="77777777" w:rsidR="00666D68" w:rsidRPr="000322E4" w:rsidRDefault="00666D68" w:rsidP="008E3584">
      <w:pPr>
        <w:ind w:left="360"/>
      </w:pPr>
      <w:r w:rsidRPr="000322E4">
        <w:t>Лечение возобновляется на 22 день</w:t>
      </w:r>
    </w:p>
    <w:p w14:paraId="1EE8F1E6" w14:textId="77777777" w:rsidR="00666D68" w:rsidRPr="000322E4" w:rsidRDefault="00666D68" w:rsidP="008E3584"/>
    <w:p w14:paraId="6994C07F" w14:textId="77777777" w:rsidR="00666D68" w:rsidRPr="000322E4" w:rsidRDefault="00666D68" w:rsidP="008E3584">
      <w:pPr>
        <w:rPr>
          <w:b/>
          <w:bCs/>
        </w:rPr>
      </w:pPr>
      <w:r w:rsidRPr="000322E4">
        <w:rPr>
          <w:b/>
          <w:lang w:val="en-US"/>
        </w:rPr>
        <w:t>R</w:t>
      </w:r>
      <w:r w:rsidRPr="000322E4">
        <w:rPr>
          <w:b/>
          <w:bCs/>
        </w:rPr>
        <w:t>-</w:t>
      </w:r>
      <w:r w:rsidRPr="000322E4">
        <w:rPr>
          <w:b/>
          <w:bCs/>
          <w:lang w:val="en-US"/>
        </w:rPr>
        <w:t>MACOP</w:t>
      </w:r>
      <w:r w:rsidRPr="000322E4">
        <w:rPr>
          <w:b/>
          <w:bCs/>
        </w:rPr>
        <w:t>-</w:t>
      </w:r>
      <w:r w:rsidRPr="000322E4">
        <w:rPr>
          <w:b/>
          <w:bCs/>
          <w:lang w:val="en-US"/>
        </w:rPr>
        <w:t>B</w:t>
      </w:r>
      <w:r w:rsidRPr="000322E4">
        <w:rPr>
          <w:b/>
          <w:bCs/>
        </w:rPr>
        <w:t xml:space="preserve"> </w:t>
      </w:r>
      <w:r w:rsidRPr="000322E4">
        <w:rPr>
          <w:b/>
          <w:bCs/>
          <w:lang w:val="en-US"/>
        </w:rPr>
        <w:fldChar w:fldCharType="begin" w:fldLock="1"/>
      </w:r>
      <w:r w:rsidR="00C37789" w:rsidRPr="000322E4">
        <w:rPr>
          <w:b/>
          <w:bCs/>
          <w:lang w:val="en-US"/>
        </w:rPr>
        <w:instrText>ADDIN</w:instrText>
      </w:r>
      <w:r w:rsidR="00C37789" w:rsidRPr="000322E4">
        <w:rPr>
          <w:b/>
          <w:bCs/>
        </w:rPr>
        <w:instrText xml:space="preserve"> </w:instrText>
      </w:r>
      <w:r w:rsidR="00C37789" w:rsidRPr="000322E4">
        <w:rPr>
          <w:b/>
          <w:bCs/>
          <w:lang w:val="en-US"/>
        </w:rPr>
        <w:instrText>CSL</w:instrText>
      </w:r>
      <w:r w:rsidR="00C37789" w:rsidRPr="000322E4">
        <w:rPr>
          <w:b/>
          <w:bCs/>
        </w:rPr>
        <w:instrText>_</w:instrText>
      </w:r>
      <w:r w:rsidR="00C37789" w:rsidRPr="000322E4">
        <w:rPr>
          <w:b/>
          <w:bCs/>
          <w:lang w:val="en-US"/>
        </w:rPr>
        <w:instrText>CITATION</w:instrText>
      </w:r>
      <w:r w:rsidR="00C37789" w:rsidRPr="000322E4">
        <w:rPr>
          <w:b/>
          <w:bCs/>
        </w:rPr>
        <w:instrText xml:space="preserve"> {"</w:instrText>
      </w:r>
      <w:r w:rsidR="00C37789" w:rsidRPr="000322E4">
        <w:rPr>
          <w:b/>
          <w:bCs/>
          <w:lang w:val="en-US"/>
        </w:rPr>
        <w:instrText>citationItems</w:instrText>
      </w:r>
      <w:r w:rsidR="00C37789" w:rsidRPr="000322E4">
        <w:rPr>
          <w:b/>
          <w:bCs/>
        </w:rPr>
        <w:instrText>":[{"</w:instrText>
      </w:r>
      <w:r w:rsidR="00C37789" w:rsidRPr="000322E4">
        <w:rPr>
          <w:b/>
          <w:bCs/>
          <w:lang w:val="en-US"/>
        </w:rPr>
        <w:instrText>id</w:instrText>
      </w:r>
      <w:r w:rsidR="00C37789" w:rsidRPr="000322E4">
        <w:rPr>
          <w:b/>
          <w:bCs/>
        </w:rPr>
        <w:instrText>":"</w:instrText>
      </w:r>
      <w:r w:rsidR="00C37789" w:rsidRPr="000322E4">
        <w:rPr>
          <w:b/>
          <w:bCs/>
          <w:lang w:val="en-US"/>
        </w:rPr>
        <w:instrText>ITEM</w:instrText>
      </w:r>
      <w:r w:rsidR="00C37789" w:rsidRPr="000322E4">
        <w:rPr>
          <w:b/>
          <w:bCs/>
        </w:rPr>
        <w:instrText>-1","</w:instrText>
      </w:r>
      <w:r w:rsidR="00C37789" w:rsidRPr="000322E4">
        <w:rPr>
          <w:b/>
          <w:bCs/>
          <w:lang w:val="en-US"/>
        </w:rPr>
        <w:instrText>itemData</w:instrText>
      </w:r>
      <w:r w:rsidR="00C37789" w:rsidRPr="000322E4">
        <w:rPr>
          <w:b/>
          <w:bCs/>
        </w:rPr>
        <w:instrText>":{"</w:instrText>
      </w:r>
      <w:r w:rsidR="00C37789" w:rsidRPr="000322E4">
        <w:rPr>
          <w:b/>
          <w:bCs/>
          <w:lang w:val="en-US"/>
        </w:rPr>
        <w:instrText>DOI</w:instrText>
      </w:r>
      <w:r w:rsidR="00C37789" w:rsidRPr="000322E4">
        <w:rPr>
          <w:b/>
          <w:bCs/>
        </w:rPr>
        <w:instrText>":"10.3109/10428190903216796","</w:instrText>
      </w:r>
      <w:r w:rsidR="00C37789" w:rsidRPr="000322E4">
        <w:rPr>
          <w:b/>
          <w:bCs/>
          <w:lang w:val="en-US"/>
        </w:rPr>
        <w:instrText>ISSN</w:instrText>
      </w:r>
      <w:r w:rsidR="00C37789" w:rsidRPr="000322E4">
        <w:rPr>
          <w:b/>
          <w:bCs/>
        </w:rPr>
        <w:instrText>":"10428194","</w:instrText>
      </w:r>
      <w:r w:rsidR="00C37789" w:rsidRPr="000322E4">
        <w:rPr>
          <w:b/>
          <w:bCs/>
          <w:lang w:val="en-US"/>
        </w:rPr>
        <w:instrText>abstract</w:instrText>
      </w:r>
      <w:r w:rsidR="00C37789" w:rsidRPr="000322E4">
        <w:rPr>
          <w:b/>
          <w:bCs/>
        </w:rPr>
        <w:instrText>":"</w:instrText>
      </w:r>
      <w:r w:rsidR="00C37789" w:rsidRPr="000322E4">
        <w:rPr>
          <w:b/>
          <w:bCs/>
          <w:lang w:val="en-US"/>
        </w:rPr>
        <w:instrText>Young</w:instrText>
      </w:r>
      <w:r w:rsidR="00C37789" w:rsidRPr="000322E4">
        <w:rPr>
          <w:b/>
          <w:bCs/>
        </w:rPr>
        <w:instrText xml:space="preserve">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aged</w:instrText>
      </w:r>
      <w:r w:rsidR="00C37789" w:rsidRPr="000322E4">
        <w:rPr>
          <w:b/>
          <w:bCs/>
        </w:rPr>
        <w:instrText xml:space="preserve"> 1860 </w:instrText>
      </w:r>
      <w:r w:rsidR="00C37789" w:rsidRPr="000322E4">
        <w:rPr>
          <w:b/>
          <w:bCs/>
          <w:lang w:val="en-US"/>
        </w:rPr>
        <w:instrText>years</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good</w:instrText>
      </w:r>
      <w:r w:rsidR="00C37789" w:rsidRPr="000322E4">
        <w:rPr>
          <w:b/>
          <w:bCs/>
        </w:rPr>
        <w:instrText>-</w:instrText>
      </w:r>
      <w:r w:rsidR="00C37789" w:rsidRPr="000322E4">
        <w:rPr>
          <w:b/>
          <w:bCs/>
          <w:lang w:val="en-US"/>
        </w:rPr>
        <w:instrText>prognosis</w:instrText>
      </w:r>
      <w:r w:rsidR="00C37789" w:rsidRPr="000322E4">
        <w:rPr>
          <w:b/>
          <w:bCs/>
        </w:rPr>
        <w:instrText xml:space="preserve"> </w:instrText>
      </w:r>
      <w:r w:rsidR="00C37789" w:rsidRPr="000322E4">
        <w:rPr>
          <w:b/>
          <w:bCs/>
          <w:lang w:val="en-US"/>
        </w:rPr>
        <w:instrText>diffuse</w:instrText>
      </w:r>
      <w:r w:rsidR="00C37789" w:rsidRPr="000322E4">
        <w:rPr>
          <w:b/>
          <w:bCs/>
        </w:rPr>
        <w:instrText xml:space="preserve"> </w:instrText>
      </w:r>
      <w:r w:rsidR="00C37789" w:rsidRPr="000322E4">
        <w:rPr>
          <w:b/>
          <w:bCs/>
          <w:lang w:val="en-US"/>
        </w:rPr>
        <w:instrText>large</w:instrText>
      </w:r>
      <w:r w:rsidR="00C37789" w:rsidRPr="000322E4">
        <w:rPr>
          <w:b/>
          <w:bCs/>
        </w:rPr>
        <w:instrText xml:space="preserve"> </w:instrText>
      </w:r>
      <w:r w:rsidR="00C37789" w:rsidRPr="000322E4">
        <w:rPr>
          <w:b/>
          <w:bCs/>
          <w:lang w:val="en-US"/>
        </w:rPr>
        <w:instrText>B</w:instrText>
      </w:r>
      <w:r w:rsidR="00C37789" w:rsidRPr="000322E4">
        <w:rPr>
          <w:b/>
          <w:bCs/>
        </w:rPr>
        <w:instrText>-</w:instrText>
      </w:r>
      <w:r w:rsidR="00C37789" w:rsidRPr="000322E4">
        <w:rPr>
          <w:b/>
          <w:bCs/>
          <w:lang w:val="en-US"/>
        </w:rPr>
        <w:instrText>cell</w:instrText>
      </w:r>
      <w:r w:rsidR="00C37789" w:rsidRPr="000322E4">
        <w:rPr>
          <w:b/>
          <w:bCs/>
        </w:rPr>
        <w:instrText xml:space="preserve"> </w:instrText>
      </w:r>
      <w:r w:rsidR="00C37789" w:rsidRPr="000322E4">
        <w:rPr>
          <w:b/>
          <w:bCs/>
          <w:lang w:val="en-US"/>
        </w:rPr>
        <w:instrText>lymphoma</w:instrText>
      </w:r>
      <w:r w:rsidR="00C37789" w:rsidRPr="000322E4">
        <w:rPr>
          <w:b/>
          <w:bCs/>
        </w:rPr>
        <w:instrText xml:space="preserve"> (</w:instrText>
      </w:r>
      <w:r w:rsidR="00C37789" w:rsidRPr="000322E4">
        <w:rPr>
          <w:b/>
          <w:bCs/>
          <w:lang w:val="en-US"/>
        </w:rPr>
        <w:instrText>DLBCL</w:instrText>
      </w:r>
      <w:r w:rsidR="00C37789" w:rsidRPr="000322E4">
        <w:rPr>
          <w:b/>
          <w:bCs/>
        </w:rPr>
        <w:instrText xml:space="preserve">) [0 </w:instrText>
      </w:r>
      <w:r w:rsidR="00C37789" w:rsidRPr="000322E4">
        <w:rPr>
          <w:b/>
          <w:bCs/>
          <w:lang w:val="en-US"/>
        </w:rPr>
        <w:instrText>and</w:instrText>
      </w:r>
      <w:r w:rsidR="00C37789" w:rsidRPr="000322E4">
        <w:rPr>
          <w:b/>
          <w:bCs/>
        </w:rPr>
        <w:instrText xml:space="preserve"> 1 </w:instrText>
      </w:r>
      <w:r w:rsidR="00C37789" w:rsidRPr="000322E4">
        <w:rPr>
          <w:b/>
          <w:bCs/>
          <w:lang w:val="en-US"/>
        </w:rPr>
        <w:instrText>risk</w:instrText>
      </w:r>
      <w:r w:rsidR="00C37789" w:rsidRPr="000322E4">
        <w:rPr>
          <w:b/>
          <w:bCs/>
        </w:rPr>
        <w:instrText xml:space="preserve"> </w:instrText>
      </w:r>
      <w:r w:rsidR="00C37789" w:rsidRPr="000322E4">
        <w:rPr>
          <w:b/>
          <w:bCs/>
          <w:lang w:val="en-US"/>
        </w:rPr>
        <w:instrText>factor</w:instrText>
      </w:r>
      <w:r w:rsidR="00C37789" w:rsidRPr="000322E4">
        <w:rPr>
          <w:b/>
          <w:bCs/>
        </w:rPr>
        <w:instrText xml:space="preserve"> </w:instrText>
      </w:r>
      <w:r w:rsidR="00C37789" w:rsidRPr="000322E4">
        <w:rPr>
          <w:b/>
          <w:bCs/>
          <w:lang w:val="en-US"/>
        </w:rPr>
        <w:instrText>according</w:instrText>
      </w:r>
      <w:r w:rsidR="00C37789" w:rsidRPr="000322E4">
        <w:rPr>
          <w:b/>
          <w:bCs/>
        </w:rPr>
        <w:instrText xml:space="preserve"> </w:instrText>
      </w:r>
      <w:r w:rsidR="00C37789" w:rsidRPr="000322E4">
        <w:rPr>
          <w:b/>
          <w:bCs/>
          <w:lang w:val="en-US"/>
        </w:rPr>
        <w:instrText>to</w:instrText>
      </w:r>
      <w:r w:rsidR="00C37789" w:rsidRPr="000322E4">
        <w:rPr>
          <w:b/>
          <w:bCs/>
        </w:rPr>
        <w:instrText xml:space="preserve"> </w:instrText>
      </w:r>
      <w:r w:rsidR="00C37789" w:rsidRPr="000322E4">
        <w:rPr>
          <w:b/>
          <w:bCs/>
          <w:lang w:val="en-US"/>
        </w:rPr>
        <w:instrText>age</w:instrText>
      </w:r>
      <w:r w:rsidR="00C37789" w:rsidRPr="000322E4">
        <w:rPr>
          <w:b/>
          <w:bCs/>
        </w:rPr>
        <w:instrText>-</w:instrText>
      </w:r>
      <w:r w:rsidR="00C37789" w:rsidRPr="000322E4">
        <w:rPr>
          <w:b/>
          <w:bCs/>
          <w:lang w:val="en-US"/>
        </w:rPr>
        <w:instrText>adjusted</w:instrText>
      </w:r>
      <w:r w:rsidR="00C37789" w:rsidRPr="000322E4">
        <w:rPr>
          <w:b/>
          <w:bCs/>
        </w:rPr>
        <w:instrText xml:space="preserve"> </w:instrText>
      </w:r>
      <w:r w:rsidR="00C37789" w:rsidRPr="000322E4">
        <w:rPr>
          <w:b/>
          <w:bCs/>
          <w:lang w:val="en-US"/>
        </w:rPr>
        <w:instrText>international</w:instrText>
      </w:r>
      <w:r w:rsidR="00C37789" w:rsidRPr="000322E4">
        <w:rPr>
          <w:b/>
          <w:bCs/>
        </w:rPr>
        <w:instrText xml:space="preserve"> </w:instrText>
      </w:r>
      <w:r w:rsidR="00C37789" w:rsidRPr="000322E4">
        <w:rPr>
          <w:b/>
          <w:bCs/>
          <w:lang w:val="en-US"/>
        </w:rPr>
        <w:instrText>prognostic</w:instrText>
      </w:r>
      <w:r w:rsidR="00C37789" w:rsidRPr="000322E4">
        <w:rPr>
          <w:b/>
          <w:bCs/>
        </w:rPr>
        <w:instrText xml:space="preserve"> </w:instrText>
      </w:r>
      <w:r w:rsidR="00C37789" w:rsidRPr="000322E4">
        <w:rPr>
          <w:b/>
          <w:bCs/>
          <w:lang w:val="en-US"/>
        </w:rPr>
        <w:instrText>index</w:instrText>
      </w:r>
      <w:r w:rsidR="00C37789" w:rsidRPr="000322E4">
        <w:rPr>
          <w:b/>
          <w:bCs/>
        </w:rPr>
        <w:instrText xml:space="preserve"> (</w:instrText>
      </w:r>
      <w:r w:rsidR="00C37789" w:rsidRPr="000322E4">
        <w:rPr>
          <w:b/>
          <w:bCs/>
          <w:lang w:val="en-US"/>
        </w:rPr>
        <w:instrText>aa</w:instrText>
      </w:r>
      <w:r w:rsidR="00C37789" w:rsidRPr="000322E4">
        <w:rPr>
          <w:b/>
          <w:bCs/>
        </w:rPr>
        <w:instrText>-</w:instrText>
      </w:r>
      <w:r w:rsidR="00C37789" w:rsidRPr="000322E4">
        <w:rPr>
          <w:b/>
          <w:bCs/>
          <w:lang w:val="en-US"/>
        </w:rPr>
        <w:instrText>IPI</w:instrText>
      </w:r>
      <w:r w:rsidR="00C37789" w:rsidRPr="000322E4">
        <w:rPr>
          <w:b/>
          <w:bCs/>
        </w:rPr>
        <w:instrText xml:space="preserve">)] </w:instrText>
      </w:r>
      <w:r w:rsidR="00C37789" w:rsidRPr="000322E4">
        <w:rPr>
          <w:b/>
          <w:bCs/>
          <w:lang w:val="en-US"/>
        </w:rPr>
        <w:instrText>are</w:instrText>
      </w:r>
      <w:r w:rsidR="00C37789" w:rsidRPr="000322E4">
        <w:rPr>
          <w:b/>
          <w:bCs/>
        </w:rPr>
        <w:instrText xml:space="preserve"> </w:instrText>
      </w:r>
      <w:r w:rsidR="00C37789" w:rsidRPr="000322E4">
        <w:rPr>
          <w:b/>
          <w:bCs/>
          <w:lang w:val="en-US"/>
        </w:rPr>
        <w:instrText>distinguished</w:instrText>
      </w:r>
      <w:r w:rsidR="00C37789" w:rsidRPr="000322E4">
        <w:rPr>
          <w:b/>
          <w:bCs/>
        </w:rPr>
        <w:instrText xml:space="preserve"> </w:instrText>
      </w:r>
      <w:r w:rsidR="00C37789" w:rsidRPr="000322E4">
        <w:rPr>
          <w:b/>
          <w:bCs/>
          <w:lang w:val="en-US"/>
        </w:rPr>
        <w:instrText>from</w:instrText>
      </w:r>
      <w:r w:rsidR="00C37789" w:rsidRPr="000322E4">
        <w:rPr>
          <w:b/>
          <w:bCs/>
        </w:rPr>
        <w:instrText xml:space="preserve">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poor</w:instrText>
      </w:r>
      <w:r w:rsidR="00C37789" w:rsidRPr="000322E4">
        <w:rPr>
          <w:b/>
          <w:bCs/>
        </w:rPr>
        <w:instrText>-</w:instrText>
      </w:r>
      <w:r w:rsidR="00C37789" w:rsidRPr="000322E4">
        <w:rPr>
          <w:b/>
          <w:bCs/>
          <w:lang w:val="en-US"/>
        </w:rPr>
        <w:instrText>prognosis</w:instrText>
      </w:r>
      <w:r w:rsidR="00C37789" w:rsidRPr="000322E4">
        <w:rPr>
          <w:b/>
          <w:bCs/>
        </w:rPr>
        <w:instrText xml:space="preserve">. </w:instrText>
      </w:r>
      <w:r w:rsidR="00C37789" w:rsidRPr="000322E4">
        <w:rPr>
          <w:b/>
          <w:bCs/>
          <w:lang w:val="en-US"/>
        </w:rPr>
        <w:instrText>Six</w:instrText>
      </w:r>
      <w:r w:rsidR="00C37789" w:rsidRPr="000322E4">
        <w:rPr>
          <w:b/>
          <w:bCs/>
        </w:rPr>
        <w:instrText xml:space="preserve"> </w:instrText>
      </w:r>
      <w:r w:rsidR="00C37789" w:rsidRPr="000322E4">
        <w:rPr>
          <w:b/>
          <w:bCs/>
          <w:lang w:val="en-US"/>
        </w:rPr>
        <w:instrText>cycles</w:instrText>
      </w:r>
      <w:r w:rsidR="00C37789" w:rsidRPr="000322E4">
        <w:rPr>
          <w:b/>
          <w:bCs/>
        </w:rPr>
        <w:instrText xml:space="preserve"> </w:instrText>
      </w:r>
      <w:r w:rsidR="00C37789" w:rsidRPr="000322E4">
        <w:rPr>
          <w:b/>
          <w:bCs/>
          <w:lang w:val="en-US"/>
        </w:rPr>
        <w:instrText>of</w:instrText>
      </w:r>
      <w:r w:rsidR="00C37789" w:rsidRPr="000322E4">
        <w:rPr>
          <w:b/>
          <w:bCs/>
        </w:rPr>
        <w:instrText xml:space="preserve"> </w:instrText>
      </w:r>
      <w:r w:rsidR="00C37789" w:rsidRPr="000322E4">
        <w:rPr>
          <w:b/>
          <w:bCs/>
          <w:lang w:val="en-US"/>
        </w:rPr>
        <w:instrText>cyclophosphamide</w:instrText>
      </w:r>
      <w:r w:rsidR="00C37789" w:rsidRPr="000322E4">
        <w:rPr>
          <w:b/>
          <w:bCs/>
        </w:rPr>
        <w:instrText xml:space="preserve">, </w:instrText>
      </w:r>
      <w:r w:rsidR="00C37789" w:rsidRPr="000322E4">
        <w:rPr>
          <w:b/>
          <w:bCs/>
          <w:lang w:val="en-US"/>
        </w:rPr>
        <w:instrText>doxorubicin</w:instrText>
      </w:r>
      <w:r w:rsidR="00C37789" w:rsidRPr="000322E4">
        <w:rPr>
          <w:b/>
          <w:bCs/>
        </w:rPr>
        <w:instrText xml:space="preserve">, </w:instrText>
      </w:r>
      <w:r w:rsidR="00C37789" w:rsidRPr="000322E4">
        <w:rPr>
          <w:b/>
          <w:bCs/>
          <w:lang w:val="en-US"/>
        </w:rPr>
        <w:instrText>vincristine</w:instrText>
      </w:r>
      <w:r w:rsidR="00C37789" w:rsidRPr="000322E4">
        <w:rPr>
          <w:b/>
          <w:bCs/>
        </w:rPr>
        <w:instrText xml:space="preserve">, </w:instrText>
      </w:r>
      <w:r w:rsidR="00C37789" w:rsidRPr="000322E4">
        <w:rPr>
          <w:b/>
          <w:bCs/>
          <w:lang w:val="en-US"/>
        </w:rPr>
        <w:instrText>prednisone</w:instrText>
      </w:r>
      <w:r w:rsidR="00C37789" w:rsidRPr="000322E4">
        <w:rPr>
          <w:b/>
          <w:bCs/>
        </w:rPr>
        <w:instrText xml:space="preserve"> (</w:instrText>
      </w:r>
      <w:r w:rsidR="00C37789" w:rsidRPr="000322E4">
        <w:rPr>
          <w:b/>
          <w:bCs/>
          <w:lang w:val="en-US"/>
        </w:rPr>
        <w:instrText>CHOP</w:instrText>
      </w:r>
      <w:r w:rsidR="00C37789" w:rsidRPr="000322E4">
        <w:rPr>
          <w:b/>
          <w:bCs/>
        </w:rPr>
        <w:instrText xml:space="preserve">) </w:instrText>
      </w:r>
      <w:r w:rsidR="00C37789" w:rsidRPr="000322E4">
        <w:rPr>
          <w:b/>
          <w:bCs/>
          <w:lang w:val="en-US"/>
        </w:rPr>
        <w:instrText>in</w:instrText>
      </w:r>
      <w:r w:rsidR="00C37789" w:rsidRPr="000322E4">
        <w:rPr>
          <w:b/>
          <w:bCs/>
        </w:rPr>
        <w:instrText xml:space="preserve"> </w:instrText>
      </w:r>
      <w:r w:rsidR="00C37789" w:rsidRPr="000322E4">
        <w:rPr>
          <w:b/>
          <w:bCs/>
          <w:lang w:val="en-US"/>
        </w:rPr>
        <w:instrText>combination</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rituximab</w:instrText>
      </w:r>
      <w:r w:rsidR="00C37789" w:rsidRPr="000322E4">
        <w:rPr>
          <w:b/>
          <w:bCs/>
        </w:rPr>
        <w:instrText xml:space="preserve"> </w:instrText>
      </w:r>
      <w:r w:rsidR="00C37789" w:rsidRPr="000322E4">
        <w:rPr>
          <w:b/>
          <w:bCs/>
          <w:lang w:val="en-US"/>
        </w:rPr>
        <w:instrText>achieved</w:instrText>
      </w:r>
      <w:r w:rsidR="00C37789" w:rsidRPr="000322E4">
        <w:rPr>
          <w:b/>
          <w:bCs/>
        </w:rPr>
        <w:instrText xml:space="preserve"> </w:instrText>
      </w:r>
      <w:r w:rsidR="00C37789" w:rsidRPr="000322E4">
        <w:rPr>
          <w:b/>
          <w:bCs/>
          <w:lang w:val="en-US"/>
        </w:rPr>
        <w:instrText>best</w:instrText>
      </w:r>
      <w:r w:rsidR="00C37789" w:rsidRPr="000322E4">
        <w:rPr>
          <w:b/>
          <w:bCs/>
        </w:rPr>
        <w:instrText xml:space="preserve"> </w:instrText>
      </w:r>
      <w:r w:rsidR="00C37789" w:rsidRPr="000322E4">
        <w:rPr>
          <w:b/>
          <w:bCs/>
          <w:lang w:val="en-US"/>
        </w:rPr>
        <w:instrText>results</w:instrText>
      </w:r>
      <w:r w:rsidR="00C37789" w:rsidRPr="000322E4">
        <w:rPr>
          <w:b/>
          <w:bCs/>
        </w:rPr>
        <w:instrText xml:space="preserve"> </w:instrText>
      </w:r>
      <w:r w:rsidR="00C37789" w:rsidRPr="000322E4">
        <w:rPr>
          <w:b/>
          <w:bCs/>
          <w:lang w:val="en-US"/>
        </w:rPr>
        <w:instrText>in</w:instrText>
      </w:r>
      <w:r w:rsidR="00C37789" w:rsidRPr="000322E4">
        <w:rPr>
          <w:b/>
          <w:bCs/>
        </w:rPr>
        <w:instrText xml:space="preserve"> </w:instrText>
      </w:r>
      <w:r w:rsidR="00C37789" w:rsidRPr="000322E4">
        <w:rPr>
          <w:b/>
          <w:bCs/>
          <w:lang w:val="en-US"/>
        </w:rPr>
        <w:instrText>young</w:instrText>
      </w:r>
      <w:r w:rsidR="00C37789" w:rsidRPr="000322E4">
        <w:rPr>
          <w:b/>
          <w:bCs/>
        </w:rPr>
        <w:instrText xml:space="preserve">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low</w:instrText>
      </w:r>
      <w:r w:rsidR="00C37789" w:rsidRPr="000322E4">
        <w:rPr>
          <w:b/>
          <w:bCs/>
        </w:rPr>
        <w:instrText>-</w:instrText>
      </w:r>
      <w:r w:rsidR="00C37789" w:rsidRPr="000322E4">
        <w:rPr>
          <w:b/>
          <w:bCs/>
          <w:lang w:val="en-US"/>
        </w:rPr>
        <w:instrText>risk</w:instrText>
      </w:r>
      <w:r w:rsidR="00C37789" w:rsidRPr="000322E4">
        <w:rPr>
          <w:b/>
          <w:bCs/>
        </w:rPr>
        <w:instrText xml:space="preserve"> </w:instrText>
      </w:r>
      <w:r w:rsidR="00C37789" w:rsidRPr="000322E4">
        <w:rPr>
          <w:b/>
          <w:bCs/>
          <w:lang w:val="en-US"/>
        </w:rPr>
        <w:instrText>DLBCL</w:instrText>
      </w:r>
      <w:r w:rsidR="00C37789" w:rsidRPr="000322E4">
        <w:rPr>
          <w:b/>
          <w:bCs/>
        </w:rPr>
        <w:instrText xml:space="preserve">. </w:instrText>
      </w:r>
      <w:r w:rsidR="00C37789" w:rsidRPr="000322E4">
        <w:rPr>
          <w:b/>
          <w:bCs/>
          <w:lang w:val="en-US"/>
        </w:rPr>
        <w:instrText>We</w:instrText>
      </w:r>
      <w:r w:rsidR="00C37789" w:rsidRPr="000322E4">
        <w:rPr>
          <w:b/>
          <w:bCs/>
        </w:rPr>
        <w:instrText xml:space="preserve"> </w:instrText>
      </w:r>
      <w:r w:rsidR="00C37789" w:rsidRPr="000322E4">
        <w:rPr>
          <w:b/>
          <w:bCs/>
          <w:lang w:val="en-US"/>
        </w:rPr>
        <w:instrText>retrospectively</w:instrText>
      </w:r>
      <w:r w:rsidR="00C37789" w:rsidRPr="000322E4">
        <w:rPr>
          <w:b/>
          <w:bCs/>
        </w:rPr>
        <w:instrText xml:space="preserve"> </w:instrText>
      </w:r>
      <w:r w:rsidR="00C37789" w:rsidRPr="000322E4">
        <w:rPr>
          <w:b/>
          <w:bCs/>
          <w:lang w:val="en-US"/>
        </w:rPr>
        <w:instrText>analyzed</w:instrText>
      </w:r>
      <w:r w:rsidR="00C37789" w:rsidRPr="000322E4">
        <w:rPr>
          <w:b/>
          <w:bCs/>
        </w:rPr>
        <w:instrText xml:space="preserve"> </w:instrText>
      </w:r>
      <w:r w:rsidR="00C37789" w:rsidRPr="000322E4">
        <w:rPr>
          <w:b/>
          <w:bCs/>
          <w:lang w:val="en-US"/>
        </w:rPr>
        <w:instrText>the</w:instrText>
      </w:r>
      <w:r w:rsidR="00C37789" w:rsidRPr="000322E4">
        <w:rPr>
          <w:b/>
          <w:bCs/>
        </w:rPr>
        <w:instrText xml:space="preserve"> </w:instrText>
      </w:r>
      <w:r w:rsidR="00C37789" w:rsidRPr="000322E4">
        <w:rPr>
          <w:b/>
          <w:bCs/>
          <w:lang w:val="en-US"/>
        </w:rPr>
        <w:instrText>data</w:instrText>
      </w:r>
      <w:r w:rsidR="00C37789" w:rsidRPr="000322E4">
        <w:rPr>
          <w:b/>
          <w:bCs/>
        </w:rPr>
        <w:instrText xml:space="preserve"> </w:instrText>
      </w:r>
      <w:r w:rsidR="00C37789" w:rsidRPr="000322E4">
        <w:rPr>
          <w:b/>
          <w:bCs/>
          <w:lang w:val="en-US"/>
        </w:rPr>
        <w:instrText>of</w:instrText>
      </w:r>
      <w:r w:rsidR="00C37789" w:rsidRPr="000322E4">
        <w:rPr>
          <w:b/>
          <w:bCs/>
        </w:rPr>
        <w:instrText xml:space="preserve"> 82 </w:instrText>
      </w:r>
      <w:r w:rsidR="00C37789" w:rsidRPr="000322E4">
        <w:rPr>
          <w:b/>
          <w:bCs/>
          <w:lang w:val="en-US"/>
        </w:rPr>
        <w:instrText>patients</w:instrText>
      </w:r>
      <w:r w:rsidR="00C37789" w:rsidRPr="000322E4">
        <w:rPr>
          <w:b/>
          <w:bCs/>
        </w:rPr>
        <w:instrText xml:space="preserve"> (1860 </w:instrText>
      </w:r>
      <w:r w:rsidR="00C37789" w:rsidRPr="000322E4">
        <w:rPr>
          <w:b/>
          <w:bCs/>
          <w:lang w:val="en-US"/>
        </w:rPr>
        <w:instrText>years</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untreated</w:instrText>
      </w:r>
      <w:r w:rsidR="00C37789" w:rsidRPr="000322E4">
        <w:rPr>
          <w:b/>
          <w:bCs/>
        </w:rPr>
        <w:instrText xml:space="preserve"> </w:instrText>
      </w:r>
      <w:r w:rsidR="00C37789" w:rsidRPr="000322E4">
        <w:rPr>
          <w:b/>
          <w:bCs/>
          <w:lang w:val="en-US"/>
        </w:rPr>
        <w:instrText>aa</w:instrText>
      </w:r>
      <w:r w:rsidR="00C37789" w:rsidRPr="000322E4">
        <w:rPr>
          <w:b/>
          <w:bCs/>
        </w:rPr>
        <w:instrText>-</w:instrText>
      </w:r>
      <w:r w:rsidR="00C37789" w:rsidRPr="000322E4">
        <w:rPr>
          <w:b/>
          <w:bCs/>
          <w:lang w:val="en-US"/>
        </w:rPr>
        <w:instrText>IPI</w:instrText>
      </w:r>
      <w:r w:rsidR="00C37789" w:rsidRPr="000322E4">
        <w:rPr>
          <w:b/>
          <w:bCs/>
        </w:rPr>
        <w:instrText xml:space="preserve"> 01 </w:instrText>
      </w:r>
      <w:r w:rsidR="00C37789" w:rsidRPr="000322E4">
        <w:rPr>
          <w:b/>
          <w:bCs/>
          <w:lang w:val="en-US"/>
        </w:rPr>
        <w:instrText>DLBCL</w:instrText>
      </w:r>
      <w:r w:rsidR="00C37789" w:rsidRPr="000322E4">
        <w:rPr>
          <w:b/>
          <w:bCs/>
        </w:rPr>
        <w:instrText xml:space="preserve">, </w:instrText>
      </w:r>
      <w:r w:rsidR="00C37789" w:rsidRPr="000322E4">
        <w:rPr>
          <w:b/>
          <w:bCs/>
          <w:lang w:val="en-US"/>
        </w:rPr>
        <w:instrText>from</w:instrText>
      </w:r>
      <w:r w:rsidR="00C37789" w:rsidRPr="000322E4">
        <w:rPr>
          <w:b/>
          <w:bCs/>
        </w:rPr>
        <w:instrText xml:space="preserve"> </w:instrText>
      </w:r>
      <w:r w:rsidR="00C37789" w:rsidRPr="000322E4">
        <w:rPr>
          <w:b/>
          <w:bCs/>
          <w:lang w:val="en-US"/>
        </w:rPr>
        <w:instrText>six</w:instrText>
      </w:r>
      <w:r w:rsidR="00C37789" w:rsidRPr="000322E4">
        <w:rPr>
          <w:b/>
          <w:bCs/>
        </w:rPr>
        <w:instrText xml:space="preserve"> </w:instrText>
      </w:r>
      <w:r w:rsidR="00C37789" w:rsidRPr="000322E4">
        <w:rPr>
          <w:b/>
          <w:bCs/>
          <w:lang w:val="en-US"/>
        </w:rPr>
        <w:instrText>Italian</w:instrText>
      </w:r>
      <w:r w:rsidR="00C37789" w:rsidRPr="000322E4">
        <w:rPr>
          <w:b/>
          <w:bCs/>
        </w:rPr>
        <w:instrText xml:space="preserve"> </w:instrText>
      </w:r>
      <w:r w:rsidR="00C37789" w:rsidRPr="000322E4">
        <w:rPr>
          <w:b/>
          <w:bCs/>
          <w:lang w:val="en-US"/>
        </w:rPr>
        <w:instrText>institutions</w:instrText>
      </w:r>
      <w:r w:rsidR="00C37789" w:rsidRPr="000322E4">
        <w:rPr>
          <w:b/>
          <w:bCs/>
        </w:rPr>
        <w:instrText xml:space="preserve">, </w:instrText>
      </w:r>
      <w:r w:rsidR="00C37789" w:rsidRPr="000322E4">
        <w:rPr>
          <w:b/>
          <w:bCs/>
          <w:lang w:val="en-US"/>
        </w:rPr>
        <w:instrText>who</w:instrText>
      </w:r>
      <w:r w:rsidR="00C37789" w:rsidRPr="000322E4">
        <w:rPr>
          <w:b/>
          <w:bCs/>
        </w:rPr>
        <w:instrText xml:space="preserve"> </w:instrText>
      </w:r>
      <w:r w:rsidR="00C37789" w:rsidRPr="000322E4">
        <w:rPr>
          <w:b/>
          <w:bCs/>
          <w:lang w:val="en-US"/>
        </w:rPr>
        <w:instrText>underwent</w:instrText>
      </w:r>
      <w:r w:rsidR="00C37789" w:rsidRPr="000322E4">
        <w:rPr>
          <w:b/>
          <w:bCs/>
        </w:rPr>
        <w:instrText xml:space="preserve">, </w:instrText>
      </w:r>
      <w:r w:rsidR="00C37789" w:rsidRPr="000322E4">
        <w:rPr>
          <w:b/>
          <w:bCs/>
          <w:lang w:val="en-US"/>
        </w:rPr>
        <w:instrText>between</w:instrText>
      </w:r>
      <w:r w:rsidR="00C37789" w:rsidRPr="000322E4">
        <w:rPr>
          <w:b/>
          <w:bCs/>
        </w:rPr>
        <w:instrText xml:space="preserve"> </w:instrText>
      </w:r>
      <w:r w:rsidR="00C37789" w:rsidRPr="000322E4">
        <w:rPr>
          <w:b/>
          <w:bCs/>
          <w:lang w:val="en-US"/>
        </w:rPr>
        <w:instrText>January</w:instrText>
      </w:r>
      <w:r w:rsidR="00C37789" w:rsidRPr="000322E4">
        <w:rPr>
          <w:b/>
          <w:bCs/>
        </w:rPr>
        <w:instrText xml:space="preserve"> 2002 </w:instrText>
      </w:r>
      <w:r w:rsidR="00C37789" w:rsidRPr="000322E4">
        <w:rPr>
          <w:b/>
          <w:bCs/>
          <w:lang w:val="en-US"/>
        </w:rPr>
        <w:instrText>and</w:instrText>
      </w:r>
      <w:r w:rsidR="00C37789" w:rsidRPr="000322E4">
        <w:rPr>
          <w:b/>
          <w:bCs/>
        </w:rPr>
        <w:instrText xml:space="preserve"> </w:instrText>
      </w:r>
      <w:r w:rsidR="00C37789" w:rsidRPr="000322E4">
        <w:rPr>
          <w:b/>
          <w:bCs/>
          <w:lang w:val="en-US"/>
        </w:rPr>
        <w:instrText>January</w:instrText>
      </w:r>
      <w:r w:rsidR="00C37789" w:rsidRPr="000322E4">
        <w:rPr>
          <w:b/>
          <w:bCs/>
        </w:rPr>
        <w:instrText xml:space="preserve"> 2007, </w:instrText>
      </w:r>
      <w:r w:rsidR="00C37789" w:rsidRPr="000322E4">
        <w:rPr>
          <w:b/>
          <w:bCs/>
          <w:lang w:val="en-US"/>
        </w:rPr>
        <w:instrText>rituximab</w:instrText>
      </w:r>
      <w:r w:rsidR="00C37789" w:rsidRPr="000322E4">
        <w:rPr>
          <w:b/>
          <w:bCs/>
        </w:rPr>
        <w:instrText>-</w:instrText>
      </w:r>
      <w:r w:rsidR="00C37789" w:rsidRPr="000322E4">
        <w:rPr>
          <w:b/>
          <w:bCs/>
          <w:lang w:val="en-US"/>
        </w:rPr>
        <w:instrText>cyclophosphamide</w:instrText>
      </w:r>
      <w:r w:rsidR="00C37789" w:rsidRPr="000322E4">
        <w:rPr>
          <w:b/>
          <w:bCs/>
        </w:rPr>
        <w:instrText xml:space="preserve">, </w:instrText>
      </w:r>
      <w:r w:rsidR="00C37789" w:rsidRPr="000322E4">
        <w:rPr>
          <w:b/>
          <w:bCs/>
          <w:lang w:val="en-US"/>
        </w:rPr>
        <w:instrText>doxorubicin</w:instrText>
      </w:r>
      <w:r w:rsidR="00C37789" w:rsidRPr="000322E4">
        <w:rPr>
          <w:b/>
          <w:bCs/>
        </w:rPr>
        <w:instrText xml:space="preserve">, </w:instrText>
      </w:r>
      <w:r w:rsidR="00C37789" w:rsidRPr="000322E4">
        <w:rPr>
          <w:b/>
          <w:bCs/>
          <w:lang w:val="en-US"/>
        </w:rPr>
        <w:instrText>vincristine</w:instrText>
      </w:r>
      <w:r w:rsidR="00C37789" w:rsidRPr="000322E4">
        <w:rPr>
          <w:b/>
          <w:bCs/>
        </w:rPr>
        <w:instrText xml:space="preserve">, </w:instrText>
      </w:r>
      <w:r w:rsidR="00C37789" w:rsidRPr="000322E4">
        <w:rPr>
          <w:b/>
          <w:bCs/>
          <w:lang w:val="en-US"/>
        </w:rPr>
        <w:instrText>methotrexate</w:instrText>
      </w:r>
      <w:r w:rsidR="00C37789" w:rsidRPr="000322E4">
        <w:rPr>
          <w:b/>
          <w:bCs/>
        </w:rPr>
        <w:instrText xml:space="preserve">, </w:instrText>
      </w:r>
      <w:r w:rsidR="00C37789" w:rsidRPr="000322E4">
        <w:rPr>
          <w:b/>
          <w:bCs/>
          <w:lang w:val="en-US"/>
        </w:rPr>
        <w:instrText>bleomicin</w:instrText>
      </w:r>
      <w:r w:rsidR="00C37789" w:rsidRPr="000322E4">
        <w:rPr>
          <w:b/>
          <w:bCs/>
        </w:rPr>
        <w:instrText xml:space="preserve"> </w:instrText>
      </w:r>
      <w:r w:rsidR="00C37789" w:rsidRPr="000322E4">
        <w:rPr>
          <w:b/>
          <w:bCs/>
          <w:lang w:val="en-US"/>
        </w:rPr>
        <w:instrText>and</w:instrText>
      </w:r>
      <w:r w:rsidR="00C37789" w:rsidRPr="000322E4">
        <w:rPr>
          <w:b/>
          <w:bCs/>
        </w:rPr>
        <w:instrText xml:space="preserve"> </w:instrText>
      </w:r>
      <w:r w:rsidR="00C37789" w:rsidRPr="000322E4">
        <w:rPr>
          <w:b/>
          <w:bCs/>
          <w:lang w:val="en-US"/>
        </w:rPr>
        <w:instrText>prednisone</w:instrText>
      </w:r>
      <w:r w:rsidR="00C37789" w:rsidRPr="000322E4">
        <w:rPr>
          <w:b/>
          <w:bCs/>
        </w:rPr>
        <w:instrText xml:space="preserve"> (</w:instrText>
      </w:r>
      <w:r w:rsidR="00C37789" w:rsidRPr="000322E4">
        <w:rPr>
          <w:b/>
          <w:bCs/>
          <w:lang w:val="en-US"/>
        </w:rPr>
        <w:instrText>R</w:instrText>
      </w:r>
      <w:r w:rsidR="00C37789" w:rsidRPr="000322E4">
        <w:rPr>
          <w:b/>
          <w:bCs/>
        </w:rPr>
        <w:instrText>-</w:instrText>
      </w:r>
      <w:r w:rsidR="00C37789" w:rsidRPr="000322E4">
        <w:rPr>
          <w:b/>
          <w:bCs/>
          <w:lang w:val="en-US"/>
        </w:rPr>
        <w:instrText>MACOP</w:instrText>
      </w:r>
      <w:r w:rsidR="00C37789" w:rsidRPr="000322E4">
        <w:rPr>
          <w:b/>
          <w:bCs/>
        </w:rPr>
        <w:instrText>-</w:instrText>
      </w:r>
      <w:r w:rsidR="00C37789" w:rsidRPr="000322E4">
        <w:rPr>
          <w:b/>
          <w:bCs/>
          <w:lang w:val="en-US"/>
        </w:rPr>
        <w:instrText>B</w:instrText>
      </w:r>
      <w:r w:rsidR="00C37789" w:rsidRPr="000322E4">
        <w:rPr>
          <w:b/>
          <w:bCs/>
        </w:rPr>
        <w:instrText xml:space="preserve">) </w:instrText>
      </w:r>
      <w:r w:rsidR="00C37789" w:rsidRPr="000322E4">
        <w:rPr>
          <w:b/>
          <w:bCs/>
          <w:lang w:val="en-US"/>
        </w:rPr>
        <w:instrText>therapy</w:instrText>
      </w:r>
      <w:r w:rsidR="00C37789" w:rsidRPr="000322E4">
        <w:rPr>
          <w:b/>
          <w:bCs/>
        </w:rPr>
        <w:instrText xml:space="preserve"> </w:instrText>
      </w:r>
      <w:r w:rsidR="00C37789" w:rsidRPr="000322E4">
        <w:rPr>
          <w:b/>
          <w:bCs/>
          <w:lang w:val="en-US"/>
        </w:rPr>
        <w:instrText>followed</w:instrText>
      </w:r>
      <w:r w:rsidR="00C37789" w:rsidRPr="000322E4">
        <w:rPr>
          <w:b/>
          <w:bCs/>
        </w:rPr>
        <w:instrText xml:space="preserve">, </w:instrText>
      </w:r>
      <w:r w:rsidR="00C37789" w:rsidRPr="000322E4">
        <w:rPr>
          <w:b/>
          <w:bCs/>
          <w:lang w:val="en-US"/>
        </w:rPr>
        <w:instrText>in</w:instrText>
      </w:r>
      <w:r w:rsidR="00C37789" w:rsidRPr="000322E4">
        <w:rPr>
          <w:b/>
          <w:bCs/>
        </w:rPr>
        <w:instrText xml:space="preserve">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bulky</w:instrText>
      </w:r>
      <w:r w:rsidR="00C37789" w:rsidRPr="000322E4">
        <w:rPr>
          <w:b/>
          <w:bCs/>
        </w:rPr>
        <w:instrText xml:space="preserve"> </w:instrText>
      </w:r>
      <w:r w:rsidR="00C37789" w:rsidRPr="000322E4">
        <w:rPr>
          <w:b/>
          <w:bCs/>
          <w:lang w:val="en-US"/>
        </w:rPr>
        <w:instrText>presentation</w:instrText>
      </w:r>
      <w:r w:rsidR="00C37789" w:rsidRPr="000322E4">
        <w:rPr>
          <w:b/>
          <w:bCs/>
        </w:rPr>
        <w:instrText xml:space="preserve">, </w:instrText>
      </w:r>
      <w:r w:rsidR="00C37789" w:rsidRPr="000322E4">
        <w:rPr>
          <w:b/>
          <w:bCs/>
          <w:lang w:val="en-US"/>
        </w:rPr>
        <w:instrText>by</w:instrText>
      </w:r>
      <w:r w:rsidR="00C37789" w:rsidRPr="000322E4">
        <w:rPr>
          <w:b/>
          <w:bCs/>
        </w:rPr>
        <w:instrText xml:space="preserve"> 3036 </w:instrText>
      </w:r>
      <w:r w:rsidR="00C37789" w:rsidRPr="000322E4">
        <w:rPr>
          <w:b/>
          <w:bCs/>
          <w:lang w:val="en-US"/>
        </w:rPr>
        <w:instrText>Gy</w:instrText>
      </w:r>
      <w:r w:rsidR="00C37789" w:rsidRPr="000322E4">
        <w:rPr>
          <w:b/>
          <w:bCs/>
        </w:rPr>
        <w:instrText xml:space="preserve"> </w:instrText>
      </w:r>
      <w:r w:rsidR="00C37789" w:rsidRPr="000322E4">
        <w:rPr>
          <w:b/>
          <w:bCs/>
          <w:lang w:val="en-US"/>
        </w:rPr>
        <w:instrText>involved</w:instrText>
      </w:r>
      <w:r w:rsidR="00C37789" w:rsidRPr="000322E4">
        <w:rPr>
          <w:b/>
          <w:bCs/>
        </w:rPr>
        <w:instrText>-</w:instrText>
      </w:r>
      <w:r w:rsidR="00C37789" w:rsidRPr="000322E4">
        <w:rPr>
          <w:b/>
          <w:bCs/>
          <w:lang w:val="en-US"/>
        </w:rPr>
        <w:instrText>field</w:instrText>
      </w:r>
      <w:r w:rsidR="00C37789" w:rsidRPr="000322E4">
        <w:rPr>
          <w:b/>
          <w:bCs/>
        </w:rPr>
        <w:instrText xml:space="preserve"> </w:instrText>
      </w:r>
      <w:r w:rsidR="00C37789" w:rsidRPr="000322E4">
        <w:rPr>
          <w:b/>
          <w:bCs/>
          <w:lang w:val="en-US"/>
        </w:rPr>
        <w:instrText>radiation</w:instrText>
      </w:r>
      <w:r w:rsidR="00C37789" w:rsidRPr="000322E4">
        <w:rPr>
          <w:b/>
          <w:bCs/>
        </w:rPr>
        <w:instrText xml:space="preserve"> </w:instrText>
      </w:r>
      <w:r w:rsidR="00C37789" w:rsidRPr="000322E4">
        <w:rPr>
          <w:b/>
          <w:bCs/>
          <w:lang w:val="en-US"/>
        </w:rPr>
        <w:instrText>therapy</w:instrText>
      </w:r>
      <w:r w:rsidR="00C37789" w:rsidRPr="000322E4">
        <w:rPr>
          <w:b/>
          <w:bCs/>
        </w:rPr>
        <w:instrText xml:space="preserve"> (34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An</w:instrText>
      </w:r>
      <w:r w:rsidR="00C37789" w:rsidRPr="000322E4">
        <w:rPr>
          <w:b/>
          <w:bCs/>
        </w:rPr>
        <w:instrText xml:space="preserve"> </w:instrText>
      </w:r>
      <w:r w:rsidR="00C37789" w:rsidRPr="000322E4">
        <w:rPr>
          <w:b/>
          <w:bCs/>
          <w:lang w:val="en-US"/>
        </w:rPr>
        <w:instrText>overall</w:instrText>
      </w:r>
      <w:r w:rsidR="00C37789" w:rsidRPr="000322E4">
        <w:rPr>
          <w:b/>
          <w:bCs/>
        </w:rPr>
        <w:instrText xml:space="preserve"> </w:instrText>
      </w:r>
      <w:r w:rsidR="00C37789" w:rsidRPr="000322E4">
        <w:rPr>
          <w:b/>
          <w:bCs/>
          <w:lang w:val="en-US"/>
        </w:rPr>
        <w:instrText>response</w:instrText>
      </w:r>
      <w:r w:rsidR="00C37789" w:rsidRPr="000322E4">
        <w:rPr>
          <w:b/>
          <w:bCs/>
        </w:rPr>
        <w:instrText xml:space="preserve"> </w:instrText>
      </w:r>
      <w:r w:rsidR="00C37789" w:rsidRPr="000322E4">
        <w:rPr>
          <w:b/>
          <w:bCs/>
          <w:lang w:val="en-US"/>
        </w:rPr>
        <w:instrText>rate</w:instrText>
      </w:r>
      <w:r w:rsidR="00C37789" w:rsidRPr="000322E4">
        <w:rPr>
          <w:b/>
          <w:bCs/>
        </w:rPr>
        <w:instrText xml:space="preserve"> </w:instrText>
      </w:r>
      <w:r w:rsidR="00C37789" w:rsidRPr="000322E4">
        <w:rPr>
          <w:b/>
          <w:bCs/>
          <w:lang w:val="en-US"/>
        </w:rPr>
        <w:instrText>was</w:instrText>
      </w:r>
      <w:r w:rsidR="00C37789" w:rsidRPr="000322E4">
        <w:rPr>
          <w:b/>
          <w:bCs/>
        </w:rPr>
        <w:instrText xml:space="preserve"> </w:instrText>
      </w:r>
      <w:r w:rsidR="00C37789" w:rsidRPr="000322E4">
        <w:rPr>
          <w:b/>
          <w:bCs/>
          <w:lang w:val="en-US"/>
        </w:rPr>
        <w:instrText>noted</w:instrText>
      </w:r>
      <w:r w:rsidR="00C37789" w:rsidRPr="000322E4">
        <w:rPr>
          <w:b/>
          <w:bCs/>
        </w:rPr>
        <w:instrText xml:space="preserve"> </w:instrText>
      </w:r>
      <w:r w:rsidR="00C37789" w:rsidRPr="000322E4">
        <w:rPr>
          <w:b/>
          <w:bCs/>
          <w:lang w:val="en-US"/>
        </w:rPr>
        <w:instrText>in</w:instrText>
      </w:r>
      <w:r w:rsidR="00C37789" w:rsidRPr="000322E4">
        <w:rPr>
          <w:b/>
          <w:bCs/>
        </w:rPr>
        <w:instrText xml:space="preserve"> 77 </w:instrText>
      </w:r>
      <w:r w:rsidR="00C37789" w:rsidRPr="000322E4">
        <w:rPr>
          <w:b/>
          <w:bCs/>
          <w:lang w:val="en-US"/>
        </w:rPr>
        <w:instrText>out</w:instrText>
      </w:r>
      <w:r w:rsidR="00C37789" w:rsidRPr="000322E4">
        <w:rPr>
          <w:b/>
          <w:bCs/>
        </w:rPr>
        <w:instrText xml:space="preserve"> </w:instrText>
      </w:r>
      <w:r w:rsidR="00C37789" w:rsidRPr="000322E4">
        <w:rPr>
          <w:b/>
          <w:bCs/>
          <w:lang w:val="en-US"/>
        </w:rPr>
        <w:instrText>of</w:instrText>
      </w:r>
      <w:r w:rsidR="00C37789" w:rsidRPr="000322E4">
        <w:rPr>
          <w:b/>
          <w:bCs/>
        </w:rPr>
        <w:instrText xml:space="preserve"> 82 (94) </w:instrText>
      </w:r>
      <w:r w:rsidR="00C37789" w:rsidRPr="000322E4">
        <w:rPr>
          <w:b/>
          <w:bCs/>
          <w:lang w:val="en-US"/>
        </w:rPr>
        <w:instrText>patients</w:instrText>
      </w:r>
      <w:r w:rsidR="00C37789" w:rsidRPr="000322E4">
        <w:rPr>
          <w:b/>
          <w:bCs/>
        </w:rPr>
        <w:instrText xml:space="preserve"> (75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had</w:instrText>
      </w:r>
      <w:r w:rsidR="00C37789" w:rsidRPr="000322E4">
        <w:rPr>
          <w:b/>
          <w:bCs/>
        </w:rPr>
        <w:instrText xml:space="preserve"> </w:instrText>
      </w:r>
      <w:r w:rsidR="00C37789" w:rsidRPr="000322E4">
        <w:rPr>
          <w:b/>
          <w:bCs/>
          <w:lang w:val="en-US"/>
        </w:rPr>
        <w:instrText>a</w:instrText>
      </w:r>
      <w:r w:rsidR="00C37789" w:rsidRPr="000322E4">
        <w:rPr>
          <w:b/>
          <w:bCs/>
        </w:rPr>
        <w:instrText xml:space="preserve"> </w:instrText>
      </w:r>
      <w:r w:rsidR="00C37789" w:rsidRPr="000322E4">
        <w:rPr>
          <w:b/>
          <w:bCs/>
          <w:lang w:val="en-US"/>
        </w:rPr>
        <w:instrText>complete</w:instrText>
      </w:r>
      <w:r w:rsidR="00C37789" w:rsidRPr="000322E4">
        <w:rPr>
          <w:b/>
          <w:bCs/>
        </w:rPr>
        <w:instrText xml:space="preserve"> </w:instrText>
      </w:r>
      <w:r w:rsidR="00C37789" w:rsidRPr="000322E4">
        <w:rPr>
          <w:b/>
          <w:bCs/>
          <w:lang w:val="en-US"/>
        </w:rPr>
        <w:instrText>response</w:instrText>
      </w:r>
      <w:r w:rsidR="00C37789" w:rsidRPr="000322E4">
        <w:rPr>
          <w:b/>
          <w:bCs/>
        </w:rPr>
        <w:instrText xml:space="preserve"> (91), 2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had</w:instrText>
      </w:r>
      <w:r w:rsidR="00C37789" w:rsidRPr="000322E4">
        <w:rPr>
          <w:b/>
          <w:bCs/>
        </w:rPr>
        <w:instrText xml:space="preserve"> </w:instrText>
      </w:r>
      <w:r w:rsidR="00C37789" w:rsidRPr="000322E4">
        <w:rPr>
          <w:b/>
          <w:bCs/>
          <w:lang w:val="en-US"/>
        </w:rPr>
        <w:instrText>a</w:instrText>
      </w:r>
      <w:r w:rsidR="00C37789" w:rsidRPr="000322E4">
        <w:rPr>
          <w:b/>
          <w:bCs/>
        </w:rPr>
        <w:instrText xml:space="preserve"> </w:instrText>
      </w:r>
      <w:r w:rsidR="00C37789" w:rsidRPr="000322E4">
        <w:rPr>
          <w:b/>
          <w:bCs/>
          <w:lang w:val="en-US"/>
        </w:rPr>
        <w:instrText>partial</w:instrText>
      </w:r>
      <w:r w:rsidR="00C37789" w:rsidRPr="000322E4">
        <w:rPr>
          <w:b/>
          <w:bCs/>
        </w:rPr>
        <w:instrText xml:space="preserve"> </w:instrText>
      </w:r>
      <w:r w:rsidR="00C37789" w:rsidRPr="000322E4">
        <w:rPr>
          <w:b/>
          <w:bCs/>
          <w:lang w:val="en-US"/>
        </w:rPr>
        <w:instrText>response</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a</w:instrText>
      </w:r>
      <w:r w:rsidR="00C37789" w:rsidRPr="000322E4">
        <w:rPr>
          <w:b/>
          <w:bCs/>
        </w:rPr>
        <w:instrText xml:space="preserve"> </w:instrText>
      </w:r>
      <w:r w:rsidR="00C37789" w:rsidRPr="000322E4">
        <w:rPr>
          <w:b/>
          <w:bCs/>
          <w:lang w:val="en-US"/>
        </w:rPr>
        <w:instrText>median</w:instrText>
      </w:r>
      <w:r w:rsidR="00C37789" w:rsidRPr="000322E4">
        <w:rPr>
          <w:b/>
          <w:bCs/>
        </w:rPr>
        <w:instrText xml:space="preserve"> </w:instrText>
      </w:r>
      <w:r w:rsidR="00C37789" w:rsidRPr="000322E4">
        <w:rPr>
          <w:b/>
          <w:bCs/>
          <w:lang w:val="en-US"/>
        </w:rPr>
        <w:instrText>follow</w:instrText>
      </w:r>
      <w:r w:rsidR="00C37789" w:rsidRPr="000322E4">
        <w:rPr>
          <w:b/>
          <w:bCs/>
        </w:rPr>
        <w:instrText>-</w:instrText>
      </w:r>
      <w:r w:rsidR="00C37789" w:rsidRPr="000322E4">
        <w:rPr>
          <w:b/>
          <w:bCs/>
          <w:lang w:val="en-US"/>
        </w:rPr>
        <w:instrText>up</w:instrText>
      </w:r>
      <w:r w:rsidR="00C37789" w:rsidRPr="000322E4">
        <w:rPr>
          <w:b/>
          <w:bCs/>
        </w:rPr>
        <w:instrText xml:space="preserve"> </w:instrText>
      </w:r>
      <w:r w:rsidR="00C37789" w:rsidRPr="000322E4">
        <w:rPr>
          <w:b/>
          <w:bCs/>
          <w:lang w:val="en-US"/>
        </w:rPr>
        <w:instrText>of</w:instrText>
      </w:r>
      <w:r w:rsidR="00C37789" w:rsidRPr="000322E4">
        <w:rPr>
          <w:b/>
          <w:bCs/>
        </w:rPr>
        <w:instrText xml:space="preserve"> 46 </w:instrText>
      </w:r>
      <w:r w:rsidR="00C37789" w:rsidRPr="000322E4">
        <w:rPr>
          <w:b/>
          <w:bCs/>
          <w:lang w:val="en-US"/>
        </w:rPr>
        <w:instrText>months</w:instrText>
      </w:r>
      <w:r w:rsidR="00C37789" w:rsidRPr="000322E4">
        <w:rPr>
          <w:b/>
          <w:bCs/>
        </w:rPr>
        <w:instrText>, 7-</w:instrText>
      </w:r>
      <w:r w:rsidR="00C37789" w:rsidRPr="000322E4">
        <w:rPr>
          <w:b/>
          <w:bCs/>
          <w:lang w:val="en-US"/>
        </w:rPr>
        <w:instrText>year</w:instrText>
      </w:r>
      <w:r w:rsidR="00C37789" w:rsidRPr="000322E4">
        <w:rPr>
          <w:b/>
          <w:bCs/>
        </w:rPr>
        <w:instrText xml:space="preserve"> </w:instrText>
      </w:r>
      <w:r w:rsidR="00C37789" w:rsidRPr="000322E4">
        <w:rPr>
          <w:b/>
          <w:bCs/>
          <w:lang w:val="en-US"/>
        </w:rPr>
        <w:instrText>progression</w:instrText>
      </w:r>
      <w:r w:rsidR="00C37789" w:rsidRPr="000322E4">
        <w:rPr>
          <w:b/>
          <w:bCs/>
        </w:rPr>
        <w:instrText>-</w:instrText>
      </w:r>
      <w:r w:rsidR="00C37789" w:rsidRPr="000322E4">
        <w:rPr>
          <w:b/>
          <w:bCs/>
          <w:lang w:val="en-US"/>
        </w:rPr>
        <w:instrText>free</w:instrText>
      </w:r>
      <w:r w:rsidR="00C37789" w:rsidRPr="000322E4">
        <w:rPr>
          <w:b/>
          <w:bCs/>
        </w:rPr>
        <w:instrText xml:space="preserve"> </w:instrText>
      </w:r>
      <w:r w:rsidR="00C37789" w:rsidRPr="000322E4">
        <w:rPr>
          <w:b/>
          <w:bCs/>
          <w:lang w:val="en-US"/>
        </w:rPr>
        <w:instrText>and</w:instrText>
      </w:r>
      <w:r w:rsidR="00C37789" w:rsidRPr="000322E4">
        <w:rPr>
          <w:b/>
          <w:bCs/>
        </w:rPr>
        <w:instrText xml:space="preserve"> </w:instrText>
      </w:r>
      <w:r w:rsidR="00C37789" w:rsidRPr="000322E4">
        <w:rPr>
          <w:b/>
          <w:bCs/>
          <w:lang w:val="en-US"/>
        </w:rPr>
        <w:instrText>overall</w:instrText>
      </w:r>
      <w:r w:rsidR="00C37789" w:rsidRPr="000322E4">
        <w:rPr>
          <w:b/>
          <w:bCs/>
        </w:rPr>
        <w:instrText xml:space="preserve"> </w:instrText>
      </w:r>
      <w:r w:rsidR="00C37789" w:rsidRPr="000322E4">
        <w:rPr>
          <w:b/>
          <w:bCs/>
          <w:lang w:val="en-US"/>
        </w:rPr>
        <w:instrText>survival</w:instrText>
      </w:r>
      <w:r w:rsidR="00C37789" w:rsidRPr="000322E4">
        <w:rPr>
          <w:b/>
          <w:bCs/>
        </w:rPr>
        <w:instrText xml:space="preserve"> </w:instrText>
      </w:r>
      <w:r w:rsidR="00C37789" w:rsidRPr="000322E4">
        <w:rPr>
          <w:b/>
          <w:bCs/>
          <w:lang w:val="en-US"/>
        </w:rPr>
        <w:instrText>were</w:instrText>
      </w:r>
      <w:r w:rsidR="00C37789" w:rsidRPr="000322E4">
        <w:rPr>
          <w:b/>
          <w:bCs/>
        </w:rPr>
        <w:instrText xml:space="preserve"> </w:instrText>
      </w:r>
      <w:r w:rsidR="00C37789" w:rsidRPr="000322E4">
        <w:rPr>
          <w:b/>
          <w:bCs/>
          <w:lang w:val="en-US"/>
        </w:rPr>
        <w:instrText>estimated</w:instrText>
      </w:r>
      <w:r w:rsidR="00C37789" w:rsidRPr="000322E4">
        <w:rPr>
          <w:b/>
          <w:bCs/>
        </w:rPr>
        <w:instrText xml:space="preserve"> </w:instrText>
      </w:r>
      <w:r w:rsidR="00C37789" w:rsidRPr="000322E4">
        <w:rPr>
          <w:b/>
          <w:bCs/>
          <w:lang w:val="en-US"/>
        </w:rPr>
        <w:instrText>to</w:instrText>
      </w:r>
      <w:r w:rsidR="00C37789" w:rsidRPr="000322E4">
        <w:rPr>
          <w:b/>
          <w:bCs/>
        </w:rPr>
        <w:instrText xml:space="preserve"> </w:instrText>
      </w:r>
      <w:r w:rsidR="00C37789" w:rsidRPr="000322E4">
        <w:rPr>
          <w:b/>
          <w:bCs/>
          <w:lang w:val="en-US"/>
        </w:rPr>
        <w:instrText>be</w:instrText>
      </w:r>
      <w:r w:rsidR="00C37789" w:rsidRPr="000322E4">
        <w:rPr>
          <w:b/>
          <w:bCs/>
        </w:rPr>
        <w:instrText xml:space="preserve"> 91 </w:instrText>
      </w:r>
      <w:r w:rsidR="00C37789" w:rsidRPr="000322E4">
        <w:rPr>
          <w:b/>
          <w:bCs/>
          <w:lang w:val="en-US"/>
        </w:rPr>
        <w:instrText>and</w:instrText>
      </w:r>
      <w:r w:rsidR="00C37789" w:rsidRPr="000322E4">
        <w:rPr>
          <w:b/>
          <w:bCs/>
        </w:rPr>
        <w:instrText xml:space="preserve"> 94, </w:instrText>
      </w:r>
      <w:r w:rsidR="00C37789" w:rsidRPr="000322E4">
        <w:rPr>
          <w:b/>
          <w:bCs/>
          <w:lang w:val="en-US"/>
        </w:rPr>
        <w:instrText>respectively</w:instrText>
      </w:r>
      <w:r w:rsidR="00C37789" w:rsidRPr="000322E4">
        <w:rPr>
          <w:b/>
          <w:bCs/>
        </w:rPr>
        <w:instrText xml:space="preserve">. </w:instrText>
      </w:r>
      <w:r w:rsidR="00C37789" w:rsidRPr="000322E4">
        <w:rPr>
          <w:b/>
          <w:bCs/>
          <w:lang w:val="en-US"/>
        </w:rPr>
        <w:instrText>R</w:instrText>
      </w:r>
      <w:r w:rsidR="00C37789" w:rsidRPr="000322E4">
        <w:rPr>
          <w:b/>
          <w:bCs/>
        </w:rPr>
        <w:instrText>-</w:instrText>
      </w:r>
      <w:r w:rsidR="00C37789" w:rsidRPr="000322E4">
        <w:rPr>
          <w:b/>
          <w:bCs/>
          <w:lang w:val="en-US"/>
        </w:rPr>
        <w:instrText>MACOP</w:instrText>
      </w:r>
      <w:r w:rsidR="00C37789" w:rsidRPr="000322E4">
        <w:rPr>
          <w:b/>
          <w:bCs/>
        </w:rPr>
        <w:instrText>-</w:instrText>
      </w:r>
      <w:r w:rsidR="00C37789" w:rsidRPr="000322E4">
        <w:rPr>
          <w:b/>
          <w:bCs/>
          <w:lang w:val="en-US"/>
        </w:rPr>
        <w:instrText>B</w:instrText>
      </w:r>
      <w:r w:rsidR="00C37789" w:rsidRPr="000322E4">
        <w:rPr>
          <w:b/>
          <w:bCs/>
        </w:rPr>
        <w:instrText xml:space="preserve"> </w:instrText>
      </w:r>
      <w:r w:rsidR="00C37789" w:rsidRPr="000322E4">
        <w:rPr>
          <w:b/>
          <w:bCs/>
          <w:lang w:val="en-US"/>
        </w:rPr>
        <w:instrText>regimen</w:instrText>
      </w:r>
      <w:r w:rsidR="00C37789" w:rsidRPr="000322E4">
        <w:rPr>
          <w:b/>
          <w:bCs/>
        </w:rPr>
        <w:instrText xml:space="preserve"> </w:instrText>
      </w:r>
      <w:r w:rsidR="00C37789" w:rsidRPr="000322E4">
        <w:rPr>
          <w:b/>
          <w:bCs/>
          <w:lang w:val="en-US"/>
        </w:rPr>
        <w:instrText>followed</w:instrText>
      </w:r>
      <w:r w:rsidR="00C37789" w:rsidRPr="000322E4">
        <w:rPr>
          <w:b/>
          <w:bCs/>
        </w:rPr>
        <w:instrText xml:space="preserve"> </w:instrText>
      </w:r>
      <w:r w:rsidR="00C37789" w:rsidRPr="000322E4">
        <w:rPr>
          <w:b/>
          <w:bCs/>
          <w:lang w:val="en-US"/>
        </w:rPr>
        <w:instrText>by</w:instrText>
      </w:r>
      <w:r w:rsidR="00C37789" w:rsidRPr="000322E4">
        <w:rPr>
          <w:b/>
          <w:bCs/>
        </w:rPr>
        <w:instrText xml:space="preserve"> </w:instrText>
      </w:r>
      <w:r w:rsidR="00C37789" w:rsidRPr="000322E4">
        <w:rPr>
          <w:b/>
          <w:bCs/>
          <w:lang w:val="en-US"/>
        </w:rPr>
        <w:instrText>involved</w:instrText>
      </w:r>
      <w:r w:rsidR="00C37789" w:rsidRPr="000322E4">
        <w:rPr>
          <w:b/>
          <w:bCs/>
        </w:rPr>
        <w:instrText>-</w:instrText>
      </w:r>
      <w:r w:rsidR="00C37789" w:rsidRPr="000322E4">
        <w:rPr>
          <w:b/>
          <w:bCs/>
          <w:lang w:val="en-US"/>
        </w:rPr>
        <w:instrText>field</w:instrText>
      </w:r>
      <w:r w:rsidR="00C37789" w:rsidRPr="000322E4">
        <w:rPr>
          <w:b/>
          <w:bCs/>
        </w:rPr>
        <w:instrText xml:space="preserve"> </w:instrText>
      </w:r>
      <w:r w:rsidR="00C37789" w:rsidRPr="000322E4">
        <w:rPr>
          <w:b/>
          <w:bCs/>
          <w:lang w:val="en-US"/>
        </w:rPr>
        <w:instrText>radiation</w:instrText>
      </w:r>
      <w:r w:rsidR="00C37789" w:rsidRPr="000322E4">
        <w:rPr>
          <w:b/>
          <w:bCs/>
        </w:rPr>
        <w:instrText xml:space="preserve"> </w:instrText>
      </w:r>
      <w:r w:rsidR="00C37789" w:rsidRPr="000322E4">
        <w:rPr>
          <w:b/>
          <w:bCs/>
          <w:lang w:val="en-US"/>
        </w:rPr>
        <w:instrText>on</w:instrText>
      </w:r>
      <w:r w:rsidR="00C37789" w:rsidRPr="000322E4">
        <w:rPr>
          <w:b/>
          <w:bCs/>
        </w:rPr>
        <w:instrText xml:space="preserve"> </w:instrText>
      </w:r>
      <w:r w:rsidR="00C37789" w:rsidRPr="000322E4">
        <w:rPr>
          <w:b/>
          <w:bCs/>
          <w:lang w:val="en-US"/>
        </w:rPr>
        <w:instrText>bulky</w:instrText>
      </w:r>
      <w:r w:rsidR="00C37789" w:rsidRPr="000322E4">
        <w:rPr>
          <w:b/>
          <w:bCs/>
        </w:rPr>
        <w:instrText xml:space="preserve"> </w:instrText>
      </w:r>
      <w:r w:rsidR="00C37789" w:rsidRPr="000322E4">
        <w:rPr>
          <w:b/>
          <w:bCs/>
          <w:lang w:val="en-US"/>
        </w:rPr>
        <w:instrText>presentation is safe and very effective in the treatment of young patients with low-risk DLBCL. © 2009 Informa Healthcare USA, Inc.","author":[{"dropping-particle":"","family":"Derenzini","given":"Enrico","non-dropping-particle":"","parse-names":false,"suffix":""},{"dropping-particle":"","family":"Stefoni","given":"Vittorio","non-dropping-particle":"","parse-names":false,"suffix":""},{"dropping-particle":"","family":"Pellegrini","given":"Cinzia","non-dropping-particle":"","parse-names":false,"suffix":""},{"dropping-particle":"","family":"Fina","given":"Maria Paola","non-dropping-particle":"","parse-names":false,"suffix":""},{"dropping-particle":"","family":"Broccoli","given":"Alessandro","non-dropping-particle":"","parse-names":false,"suffix":""},{"dropping-particle":"","family":"Venturini","given":"Filippo","non-dropping-particle":"","parse-names":false,"suffix":""},{"dropping-particle":"","family":"Gandolfi","given":"Letizia","non-dropping-particle":"","parse-names":false,"suffix":""},{"dropping-particle":"","family":"Pileri","given":"Stefano A.","non-dropping-particle":"","parse-names":false,"suffix":""},{"dropping-particle":"","family":"Martelli","given":"Maurizio","non-dropping-particle":"","parse-names":false,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Petti</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Maria</w:instrText>
      </w:r>
      <w:r w:rsidR="00C37789" w:rsidRPr="000322E4">
        <w:rPr>
          <w:b/>
          <w:bCs/>
        </w:rPr>
        <w:instrText xml:space="preserve"> </w:instrText>
      </w:r>
      <w:r w:rsidR="00C37789" w:rsidRPr="000322E4">
        <w:rPr>
          <w:b/>
          <w:bCs/>
          <w:lang w:val="en-US"/>
        </w:rPr>
        <w:instrText>Concetta</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Perrotti</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Alessio</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Renzo</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Amalia</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De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Zaja</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Francesco</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Baccarani</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Michele</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Zinzani</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Pier</w:instrText>
      </w:r>
      <w:r w:rsidR="00C37789" w:rsidRPr="000322E4">
        <w:rPr>
          <w:b/>
          <w:bCs/>
        </w:rPr>
        <w:instrText xml:space="preserve"> </w:instrText>
      </w:r>
      <w:r w:rsidR="00C37789" w:rsidRPr="000322E4">
        <w:rPr>
          <w:b/>
          <w:bCs/>
          <w:lang w:val="en-US"/>
        </w:rPr>
        <w:instrText>Luigi</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container</w:instrText>
      </w:r>
      <w:r w:rsidR="00C37789" w:rsidRPr="000322E4">
        <w:rPr>
          <w:b/>
          <w:bCs/>
        </w:rPr>
        <w:instrText>-</w:instrText>
      </w:r>
      <w:r w:rsidR="00C37789" w:rsidRPr="000322E4">
        <w:rPr>
          <w:b/>
          <w:bCs/>
          <w:lang w:val="en-US"/>
        </w:rPr>
        <w:instrText>title</w:instrText>
      </w:r>
      <w:r w:rsidR="00C37789" w:rsidRPr="000322E4">
        <w:rPr>
          <w:b/>
          <w:bCs/>
        </w:rPr>
        <w:instrText>":"</w:instrText>
      </w:r>
      <w:r w:rsidR="00C37789" w:rsidRPr="000322E4">
        <w:rPr>
          <w:b/>
          <w:bCs/>
          <w:lang w:val="en-US"/>
        </w:rPr>
        <w:instrText>Leukemia</w:instrText>
      </w:r>
      <w:r w:rsidR="00C37789" w:rsidRPr="000322E4">
        <w:rPr>
          <w:b/>
          <w:bCs/>
        </w:rPr>
        <w:instrText xml:space="preserve"> </w:instrText>
      </w:r>
      <w:r w:rsidR="00C37789" w:rsidRPr="000322E4">
        <w:rPr>
          <w:b/>
          <w:bCs/>
          <w:lang w:val="en-US"/>
        </w:rPr>
        <w:instrText>and</w:instrText>
      </w:r>
      <w:r w:rsidR="00C37789" w:rsidRPr="000322E4">
        <w:rPr>
          <w:b/>
          <w:bCs/>
        </w:rPr>
        <w:instrText xml:space="preserve"> </w:instrText>
      </w:r>
      <w:r w:rsidR="00C37789" w:rsidRPr="000322E4">
        <w:rPr>
          <w:b/>
          <w:bCs/>
          <w:lang w:val="en-US"/>
        </w:rPr>
        <w:instrText>Lymphoma</w:instrText>
      </w:r>
      <w:r w:rsidR="00C37789" w:rsidRPr="000322E4">
        <w:rPr>
          <w:b/>
          <w:bCs/>
        </w:rPr>
        <w:instrText>","</w:instrText>
      </w:r>
      <w:r w:rsidR="00C37789" w:rsidRPr="000322E4">
        <w:rPr>
          <w:b/>
          <w:bCs/>
          <w:lang w:val="en-US"/>
        </w:rPr>
        <w:instrText>id</w:instrText>
      </w:r>
      <w:r w:rsidR="00C37789" w:rsidRPr="000322E4">
        <w:rPr>
          <w:b/>
          <w:bCs/>
        </w:rPr>
        <w:instrText>":"</w:instrText>
      </w:r>
      <w:r w:rsidR="00C37789" w:rsidRPr="000322E4">
        <w:rPr>
          <w:b/>
          <w:bCs/>
          <w:lang w:val="en-US"/>
        </w:rPr>
        <w:instrText>ITEM</w:instrText>
      </w:r>
      <w:r w:rsidR="00C37789" w:rsidRPr="000322E4">
        <w:rPr>
          <w:b/>
          <w:bCs/>
        </w:rPr>
        <w:instrText>-1","</w:instrText>
      </w:r>
      <w:r w:rsidR="00C37789" w:rsidRPr="000322E4">
        <w:rPr>
          <w:b/>
          <w:bCs/>
          <w:lang w:val="en-US"/>
        </w:rPr>
        <w:instrText>issue</w:instrText>
      </w:r>
      <w:r w:rsidR="00C37789" w:rsidRPr="000322E4">
        <w:rPr>
          <w:b/>
          <w:bCs/>
        </w:rPr>
        <w:instrText>":"11","</w:instrText>
      </w:r>
      <w:r w:rsidR="00C37789" w:rsidRPr="000322E4">
        <w:rPr>
          <w:b/>
          <w:bCs/>
          <w:lang w:val="en-US"/>
        </w:rPr>
        <w:instrText>issued</w:instrText>
      </w:r>
      <w:r w:rsidR="00C37789" w:rsidRPr="000322E4">
        <w:rPr>
          <w:b/>
          <w:bCs/>
        </w:rPr>
        <w:instrText>":{"</w:instrText>
      </w:r>
      <w:r w:rsidR="00C37789" w:rsidRPr="000322E4">
        <w:rPr>
          <w:b/>
          <w:bCs/>
          <w:lang w:val="en-US"/>
        </w:rPr>
        <w:instrText>date</w:instrText>
      </w:r>
      <w:r w:rsidR="00C37789" w:rsidRPr="000322E4">
        <w:rPr>
          <w:b/>
          <w:bCs/>
        </w:rPr>
        <w:instrText>-</w:instrText>
      </w:r>
      <w:r w:rsidR="00C37789" w:rsidRPr="000322E4">
        <w:rPr>
          <w:b/>
          <w:bCs/>
          <w:lang w:val="en-US"/>
        </w:rPr>
        <w:instrText>parts</w:instrText>
      </w:r>
      <w:r w:rsidR="00C37789" w:rsidRPr="000322E4">
        <w:rPr>
          <w:b/>
          <w:bCs/>
        </w:rPr>
        <w:instrText>":[["2009","11"]]},"</w:instrText>
      </w:r>
      <w:r w:rsidR="00C37789" w:rsidRPr="000322E4">
        <w:rPr>
          <w:b/>
          <w:bCs/>
          <w:lang w:val="en-US"/>
        </w:rPr>
        <w:instrText>page</w:instrText>
      </w:r>
      <w:r w:rsidR="00C37789" w:rsidRPr="000322E4">
        <w:rPr>
          <w:b/>
          <w:bCs/>
        </w:rPr>
        <w:instrText>":"1824-1829","</w:instrText>
      </w:r>
      <w:r w:rsidR="00C37789" w:rsidRPr="000322E4">
        <w:rPr>
          <w:b/>
          <w:bCs/>
          <w:lang w:val="en-US"/>
        </w:rPr>
        <w:instrText>publisher</w:instrText>
      </w:r>
      <w:r w:rsidR="00C37789" w:rsidRPr="000322E4">
        <w:rPr>
          <w:b/>
          <w:bCs/>
        </w:rPr>
        <w:instrText>":"</w:instrText>
      </w:r>
      <w:r w:rsidR="00C37789" w:rsidRPr="000322E4">
        <w:rPr>
          <w:b/>
          <w:bCs/>
          <w:lang w:val="en-US"/>
        </w:rPr>
        <w:instrText>Taylor</w:instrText>
      </w:r>
      <w:r w:rsidR="00C37789" w:rsidRPr="000322E4">
        <w:rPr>
          <w:b/>
          <w:bCs/>
        </w:rPr>
        <w:instrText xml:space="preserve"> &amp; </w:instrText>
      </w:r>
      <w:r w:rsidR="00C37789" w:rsidRPr="000322E4">
        <w:rPr>
          <w:b/>
          <w:bCs/>
          <w:lang w:val="en-US"/>
        </w:rPr>
        <w:instrText>Francis</w:instrText>
      </w:r>
      <w:r w:rsidR="00C37789" w:rsidRPr="000322E4">
        <w:rPr>
          <w:b/>
          <w:bCs/>
        </w:rPr>
        <w:instrText>","</w:instrText>
      </w:r>
      <w:r w:rsidR="00C37789" w:rsidRPr="000322E4">
        <w:rPr>
          <w:b/>
          <w:bCs/>
          <w:lang w:val="en-US"/>
        </w:rPr>
        <w:instrText>title</w:instrText>
      </w:r>
      <w:r w:rsidR="00C37789" w:rsidRPr="000322E4">
        <w:rPr>
          <w:b/>
          <w:bCs/>
        </w:rPr>
        <w:instrText>":"</w:instrText>
      </w:r>
      <w:r w:rsidR="00C37789" w:rsidRPr="000322E4">
        <w:rPr>
          <w:b/>
          <w:bCs/>
          <w:lang w:val="en-US"/>
        </w:rPr>
        <w:instrText>Cyclophosphamide</w:instrText>
      </w:r>
      <w:r w:rsidR="00C37789" w:rsidRPr="000322E4">
        <w:rPr>
          <w:b/>
          <w:bCs/>
        </w:rPr>
        <w:instrText xml:space="preserve">, </w:instrText>
      </w:r>
      <w:r w:rsidR="00C37789" w:rsidRPr="000322E4">
        <w:rPr>
          <w:b/>
          <w:bCs/>
          <w:lang w:val="en-US"/>
        </w:rPr>
        <w:instrText>doxorubicin</w:instrText>
      </w:r>
      <w:r w:rsidR="00C37789" w:rsidRPr="000322E4">
        <w:rPr>
          <w:b/>
          <w:bCs/>
        </w:rPr>
        <w:instrText xml:space="preserve">, </w:instrText>
      </w:r>
      <w:r w:rsidR="00C37789" w:rsidRPr="000322E4">
        <w:rPr>
          <w:b/>
          <w:bCs/>
          <w:lang w:val="en-US"/>
        </w:rPr>
        <w:instrText>vincristine</w:instrText>
      </w:r>
      <w:r w:rsidR="00C37789" w:rsidRPr="000322E4">
        <w:rPr>
          <w:b/>
          <w:bCs/>
        </w:rPr>
        <w:instrText xml:space="preserve">, </w:instrText>
      </w:r>
      <w:r w:rsidR="00C37789" w:rsidRPr="000322E4">
        <w:rPr>
          <w:b/>
          <w:bCs/>
          <w:lang w:val="en-US"/>
        </w:rPr>
        <w:instrText>methotrexate</w:instrText>
      </w:r>
      <w:r w:rsidR="00C37789" w:rsidRPr="000322E4">
        <w:rPr>
          <w:b/>
          <w:bCs/>
        </w:rPr>
        <w:instrText xml:space="preserve">, </w:instrText>
      </w:r>
      <w:r w:rsidR="00C37789" w:rsidRPr="000322E4">
        <w:rPr>
          <w:b/>
          <w:bCs/>
          <w:lang w:val="en-US"/>
        </w:rPr>
        <w:instrText>bleomicin</w:instrText>
      </w:r>
      <w:r w:rsidR="00C37789" w:rsidRPr="000322E4">
        <w:rPr>
          <w:b/>
          <w:bCs/>
        </w:rPr>
        <w:instrText xml:space="preserve"> </w:instrText>
      </w:r>
      <w:r w:rsidR="00C37789" w:rsidRPr="000322E4">
        <w:rPr>
          <w:b/>
          <w:bCs/>
          <w:lang w:val="en-US"/>
        </w:rPr>
        <w:instrText>and</w:instrText>
      </w:r>
      <w:r w:rsidR="00C37789" w:rsidRPr="000322E4">
        <w:rPr>
          <w:b/>
          <w:bCs/>
        </w:rPr>
        <w:instrText xml:space="preserve"> </w:instrText>
      </w:r>
      <w:r w:rsidR="00C37789" w:rsidRPr="000322E4">
        <w:rPr>
          <w:b/>
          <w:bCs/>
          <w:lang w:val="en-US"/>
        </w:rPr>
        <w:instrText>prednisone</w:instrText>
      </w:r>
      <w:r w:rsidR="00C37789" w:rsidRPr="000322E4">
        <w:rPr>
          <w:b/>
          <w:bCs/>
        </w:rPr>
        <w:instrText xml:space="preserve"> </w:instrText>
      </w:r>
      <w:r w:rsidR="00C37789" w:rsidRPr="000322E4">
        <w:rPr>
          <w:b/>
          <w:bCs/>
          <w:lang w:val="en-US"/>
        </w:rPr>
        <w:instrText>plus</w:instrText>
      </w:r>
      <w:r w:rsidR="00C37789" w:rsidRPr="000322E4">
        <w:rPr>
          <w:b/>
          <w:bCs/>
        </w:rPr>
        <w:instrText xml:space="preserve"> </w:instrText>
      </w:r>
      <w:r w:rsidR="00C37789" w:rsidRPr="000322E4">
        <w:rPr>
          <w:b/>
          <w:bCs/>
          <w:lang w:val="en-US"/>
        </w:rPr>
        <w:instrText>rituximab</w:instrText>
      </w:r>
      <w:r w:rsidR="00C37789" w:rsidRPr="000322E4">
        <w:rPr>
          <w:b/>
          <w:bCs/>
        </w:rPr>
        <w:instrText xml:space="preserve"> </w:instrText>
      </w:r>
      <w:r w:rsidR="00C37789" w:rsidRPr="000322E4">
        <w:rPr>
          <w:b/>
          <w:bCs/>
          <w:lang w:val="en-US"/>
        </w:rPr>
        <w:instrText>in</w:instrText>
      </w:r>
      <w:r w:rsidR="00C37789" w:rsidRPr="000322E4">
        <w:rPr>
          <w:b/>
          <w:bCs/>
        </w:rPr>
        <w:instrText xml:space="preserve"> </w:instrText>
      </w:r>
      <w:r w:rsidR="00C37789" w:rsidRPr="000322E4">
        <w:rPr>
          <w:b/>
          <w:bCs/>
          <w:lang w:val="en-US"/>
        </w:rPr>
        <w:instrText>untreated</w:instrText>
      </w:r>
      <w:r w:rsidR="00C37789" w:rsidRPr="000322E4">
        <w:rPr>
          <w:b/>
          <w:bCs/>
        </w:rPr>
        <w:instrText xml:space="preserve"> </w:instrText>
      </w:r>
      <w:r w:rsidR="00C37789" w:rsidRPr="000322E4">
        <w:rPr>
          <w:b/>
          <w:bCs/>
          <w:lang w:val="en-US"/>
        </w:rPr>
        <w:instrText>young</w:instrText>
      </w:r>
      <w:r w:rsidR="00C37789" w:rsidRPr="000322E4">
        <w:rPr>
          <w:b/>
          <w:bCs/>
        </w:rPr>
        <w:instrText xml:space="preserve">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low</w:instrText>
      </w:r>
      <w:r w:rsidR="00C37789" w:rsidRPr="000322E4">
        <w:rPr>
          <w:b/>
          <w:bCs/>
        </w:rPr>
        <w:instrText>-</w:instrText>
      </w:r>
      <w:r w:rsidR="00C37789" w:rsidRPr="000322E4">
        <w:rPr>
          <w:b/>
          <w:bCs/>
          <w:lang w:val="en-US"/>
        </w:rPr>
        <w:instrText>risk</w:instrText>
      </w:r>
      <w:r w:rsidR="00C37789" w:rsidRPr="000322E4">
        <w:rPr>
          <w:b/>
          <w:bCs/>
        </w:rPr>
        <w:instrText xml:space="preserve"> (</w:instrText>
      </w:r>
      <w:r w:rsidR="00C37789" w:rsidRPr="000322E4">
        <w:rPr>
          <w:b/>
          <w:bCs/>
          <w:lang w:val="en-US"/>
        </w:rPr>
        <w:instrText>age</w:instrText>
      </w:r>
      <w:r w:rsidR="00C37789" w:rsidRPr="000322E4">
        <w:rPr>
          <w:b/>
          <w:bCs/>
        </w:rPr>
        <w:instrText>-</w:instrText>
      </w:r>
      <w:r w:rsidR="00C37789" w:rsidRPr="000322E4">
        <w:rPr>
          <w:b/>
          <w:bCs/>
          <w:lang w:val="en-US"/>
        </w:rPr>
        <w:instrText>adjusted</w:instrText>
      </w:r>
      <w:r w:rsidR="00C37789" w:rsidRPr="000322E4">
        <w:rPr>
          <w:b/>
          <w:bCs/>
        </w:rPr>
        <w:instrText xml:space="preserve"> </w:instrText>
      </w:r>
      <w:r w:rsidR="00C37789" w:rsidRPr="000322E4">
        <w:rPr>
          <w:b/>
          <w:bCs/>
          <w:lang w:val="en-US"/>
        </w:rPr>
        <w:instrText>international</w:instrText>
      </w:r>
      <w:r w:rsidR="00C37789" w:rsidRPr="000322E4">
        <w:rPr>
          <w:b/>
          <w:bCs/>
        </w:rPr>
        <w:instrText xml:space="preserve"> </w:instrText>
      </w:r>
      <w:r w:rsidR="00C37789" w:rsidRPr="000322E4">
        <w:rPr>
          <w:b/>
          <w:bCs/>
          <w:lang w:val="en-US"/>
        </w:rPr>
        <w:instrText>prognostic</w:instrText>
      </w:r>
      <w:r w:rsidR="00C37789" w:rsidRPr="000322E4">
        <w:rPr>
          <w:b/>
          <w:bCs/>
        </w:rPr>
        <w:instrText xml:space="preserve"> </w:instrText>
      </w:r>
      <w:r w:rsidR="00C37789" w:rsidRPr="000322E4">
        <w:rPr>
          <w:b/>
          <w:bCs/>
          <w:lang w:val="en-US"/>
        </w:rPr>
        <w:instrText>index</w:instrText>
      </w:r>
      <w:r w:rsidR="00C37789" w:rsidRPr="000322E4">
        <w:rPr>
          <w:b/>
          <w:bCs/>
        </w:rPr>
        <w:instrText xml:space="preserve"> 01) </w:instrText>
      </w:r>
      <w:r w:rsidR="00C37789" w:rsidRPr="000322E4">
        <w:rPr>
          <w:b/>
          <w:bCs/>
          <w:lang w:val="en-US"/>
        </w:rPr>
        <w:instrText>diffuse</w:instrText>
      </w:r>
      <w:r w:rsidR="00C37789" w:rsidRPr="000322E4">
        <w:rPr>
          <w:b/>
          <w:bCs/>
        </w:rPr>
        <w:instrText xml:space="preserve"> </w:instrText>
      </w:r>
      <w:r w:rsidR="00C37789" w:rsidRPr="000322E4">
        <w:rPr>
          <w:b/>
          <w:bCs/>
          <w:lang w:val="en-US"/>
        </w:rPr>
        <w:instrText>large</w:instrText>
      </w:r>
      <w:r w:rsidR="00C37789" w:rsidRPr="000322E4">
        <w:rPr>
          <w:b/>
          <w:bCs/>
        </w:rPr>
        <w:instrText xml:space="preserve"> </w:instrText>
      </w:r>
      <w:r w:rsidR="00C37789" w:rsidRPr="000322E4">
        <w:rPr>
          <w:b/>
          <w:bCs/>
          <w:lang w:val="en-US"/>
        </w:rPr>
        <w:instrText>B</w:instrText>
      </w:r>
      <w:r w:rsidR="00C37789" w:rsidRPr="000322E4">
        <w:rPr>
          <w:b/>
          <w:bCs/>
        </w:rPr>
        <w:instrText>-</w:instrText>
      </w:r>
      <w:r w:rsidR="00C37789" w:rsidRPr="000322E4">
        <w:rPr>
          <w:b/>
          <w:bCs/>
          <w:lang w:val="en-US"/>
        </w:rPr>
        <w:instrText>cell</w:instrText>
      </w:r>
      <w:r w:rsidR="00C37789" w:rsidRPr="000322E4">
        <w:rPr>
          <w:b/>
          <w:bCs/>
        </w:rPr>
        <w:instrText xml:space="preserve"> </w:instrText>
      </w:r>
      <w:r w:rsidR="00C37789" w:rsidRPr="000322E4">
        <w:rPr>
          <w:b/>
          <w:bCs/>
          <w:lang w:val="en-US"/>
        </w:rPr>
        <w:instrText>lymphoma</w:instrText>
      </w:r>
      <w:r w:rsidR="00C37789" w:rsidRPr="000322E4">
        <w:rPr>
          <w:b/>
          <w:bCs/>
        </w:rPr>
        <w:instrText>","</w:instrText>
      </w:r>
      <w:r w:rsidR="00C37789" w:rsidRPr="000322E4">
        <w:rPr>
          <w:b/>
          <w:bCs/>
          <w:lang w:val="en-US"/>
        </w:rPr>
        <w:instrText>type</w:instrText>
      </w:r>
      <w:r w:rsidR="00C37789" w:rsidRPr="000322E4">
        <w:rPr>
          <w:b/>
          <w:bCs/>
        </w:rPr>
        <w:instrText>":"</w:instrText>
      </w:r>
      <w:r w:rsidR="00C37789" w:rsidRPr="000322E4">
        <w:rPr>
          <w:b/>
          <w:bCs/>
          <w:lang w:val="en-US"/>
        </w:rPr>
        <w:instrText>article</w:instrText>
      </w:r>
      <w:r w:rsidR="00C37789" w:rsidRPr="000322E4">
        <w:rPr>
          <w:b/>
          <w:bCs/>
        </w:rPr>
        <w:instrText>-</w:instrText>
      </w:r>
      <w:r w:rsidR="00C37789" w:rsidRPr="000322E4">
        <w:rPr>
          <w:b/>
          <w:bCs/>
          <w:lang w:val="en-US"/>
        </w:rPr>
        <w:instrText>journal</w:instrText>
      </w:r>
      <w:r w:rsidR="00C37789" w:rsidRPr="000322E4">
        <w:rPr>
          <w:b/>
          <w:bCs/>
        </w:rPr>
        <w:instrText>","</w:instrText>
      </w:r>
      <w:r w:rsidR="00C37789" w:rsidRPr="000322E4">
        <w:rPr>
          <w:b/>
          <w:bCs/>
          <w:lang w:val="en-US"/>
        </w:rPr>
        <w:instrText>volume</w:instrText>
      </w:r>
      <w:r w:rsidR="00C37789" w:rsidRPr="000322E4">
        <w:rPr>
          <w:b/>
          <w:bCs/>
        </w:rPr>
        <w:instrText>":"50"},"</w:instrText>
      </w:r>
      <w:r w:rsidR="00C37789" w:rsidRPr="000322E4">
        <w:rPr>
          <w:b/>
          <w:bCs/>
          <w:lang w:val="en-US"/>
        </w:rPr>
        <w:instrText>uris</w:instrText>
      </w:r>
      <w:r w:rsidR="00C37789" w:rsidRPr="000322E4">
        <w:rPr>
          <w:b/>
          <w:bCs/>
        </w:rPr>
        <w:instrText>":["</w:instrText>
      </w:r>
      <w:r w:rsidR="00C37789" w:rsidRPr="000322E4">
        <w:rPr>
          <w:b/>
          <w:bCs/>
          <w:lang w:val="en-US"/>
        </w:rPr>
        <w:instrText>http</w:instrText>
      </w:r>
      <w:r w:rsidR="00C37789" w:rsidRPr="000322E4">
        <w:rPr>
          <w:b/>
          <w:bCs/>
        </w:rPr>
        <w:instrText>://</w:instrText>
      </w:r>
      <w:r w:rsidR="00C37789" w:rsidRPr="000322E4">
        <w:rPr>
          <w:b/>
          <w:bCs/>
          <w:lang w:val="en-US"/>
        </w:rPr>
        <w:instrText>www</w:instrText>
      </w:r>
      <w:r w:rsidR="00C37789" w:rsidRPr="000322E4">
        <w:rPr>
          <w:b/>
          <w:bCs/>
        </w:rPr>
        <w:instrText>.</w:instrText>
      </w:r>
      <w:r w:rsidR="00C37789" w:rsidRPr="000322E4">
        <w:rPr>
          <w:b/>
          <w:bCs/>
          <w:lang w:val="en-US"/>
        </w:rPr>
        <w:instrText>mendeley</w:instrText>
      </w:r>
      <w:r w:rsidR="00C37789" w:rsidRPr="000322E4">
        <w:rPr>
          <w:b/>
          <w:bCs/>
        </w:rPr>
        <w:instrText>.</w:instrText>
      </w:r>
      <w:r w:rsidR="00C37789" w:rsidRPr="000322E4">
        <w:rPr>
          <w:b/>
          <w:bCs/>
          <w:lang w:val="en-US"/>
        </w:rPr>
        <w:instrText>com</w:instrText>
      </w:r>
      <w:r w:rsidR="00C37789" w:rsidRPr="000322E4">
        <w:rPr>
          <w:b/>
          <w:bCs/>
        </w:rPr>
        <w:instrText>/</w:instrText>
      </w:r>
      <w:r w:rsidR="00C37789" w:rsidRPr="000322E4">
        <w:rPr>
          <w:b/>
          <w:bCs/>
          <w:lang w:val="en-US"/>
        </w:rPr>
        <w:instrText>documents</w:instrText>
      </w:r>
      <w:r w:rsidR="00C37789" w:rsidRPr="000322E4">
        <w:rPr>
          <w:b/>
          <w:bCs/>
        </w:rPr>
        <w:instrText>/?</w:instrText>
      </w:r>
      <w:r w:rsidR="00C37789" w:rsidRPr="000322E4">
        <w:rPr>
          <w:b/>
          <w:bCs/>
          <w:lang w:val="en-US"/>
        </w:rPr>
        <w:instrText>uuid</w:instrText>
      </w:r>
      <w:r w:rsidR="00C37789" w:rsidRPr="000322E4">
        <w:rPr>
          <w:b/>
          <w:bCs/>
        </w:rPr>
        <w:instrText>=951</w:instrText>
      </w:r>
      <w:r w:rsidR="00C37789" w:rsidRPr="000322E4">
        <w:rPr>
          <w:b/>
          <w:bCs/>
          <w:lang w:val="en-US"/>
        </w:rPr>
        <w:instrText>e</w:instrText>
      </w:r>
      <w:r w:rsidR="00C37789" w:rsidRPr="000322E4">
        <w:rPr>
          <w:b/>
          <w:bCs/>
        </w:rPr>
        <w:instrText>19</w:instrText>
      </w:r>
      <w:r w:rsidR="00C37789" w:rsidRPr="000322E4">
        <w:rPr>
          <w:b/>
          <w:bCs/>
          <w:lang w:val="en-US"/>
        </w:rPr>
        <w:instrText>d</w:instrText>
      </w:r>
      <w:r w:rsidR="00C37789" w:rsidRPr="000322E4">
        <w:rPr>
          <w:b/>
          <w:bCs/>
        </w:rPr>
        <w:instrText>5-4</w:instrText>
      </w:r>
      <w:r w:rsidR="00C37789" w:rsidRPr="000322E4">
        <w:rPr>
          <w:b/>
          <w:bCs/>
          <w:lang w:val="en-US"/>
        </w:rPr>
        <w:instrText>af</w:instrText>
      </w:r>
      <w:r w:rsidR="00C37789" w:rsidRPr="000322E4">
        <w:rPr>
          <w:b/>
          <w:bCs/>
        </w:rPr>
        <w:instrText>0-3134-80</w:instrText>
      </w:r>
      <w:r w:rsidR="00C37789" w:rsidRPr="000322E4">
        <w:rPr>
          <w:b/>
          <w:bCs/>
          <w:lang w:val="en-US"/>
        </w:rPr>
        <w:instrText>eb</w:instrText>
      </w:r>
      <w:r w:rsidR="00C37789" w:rsidRPr="000322E4">
        <w:rPr>
          <w:b/>
          <w:bCs/>
        </w:rPr>
        <w:instrText>-</w:instrText>
      </w:r>
      <w:r w:rsidR="00C37789" w:rsidRPr="000322E4">
        <w:rPr>
          <w:b/>
          <w:bCs/>
          <w:lang w:val="en-US"/>
        </w:rPr>
        <w:instrText>a</w:instrText>
      </w:r>
      <w:r w:rsidR="00C37789" w:rsidRPr="000322E4">
        <w:rPr>
          <w:b/>
          <w:bCs/>
        </w:rPr>
        <w:instrText>4949</w:instrText>
      </w:r>
      <w:r w:rsidR="00C37789" w:rsidRPr="000322E4">
        <w:rPr>
          <w:b/>
          <w:bCs/>
          <w:lang w:val="en-US"/>
        </w:rPr>
        <w:instrText>fbd</w:instrText>
      </w:r>
      <w:r w:rsidR="00C37789" w:rsidRPr="000322E4">
        <w:rPr>
          <w:b/>
          <w:bCs/>
        </w:rPr>
        <w:instrText>2</w:instrText>
      </w:r>
      <w:r w:rsidR="00C37789" w:rsidRPr="000322E4">
        <w:rPr>
          <w:b/>
          <w:bCs/>
          <w:lang w:val="en-US"/>
        </w:rPr>
        <w:instrText>f</w:instrText>
      </w:r>
      <w:r w:rsidR="00C37789" w:rsidRPr="000322E4">
        <w:rPr>
          <w:b/>
          <w:bCs/>
        </w:rPr>
        <w:instrText>5</w:instrText>
      </w:r>
      <w:r w:rsidR="00C37789" w:rsidRPr="000322E4">
        <w:rPr>
          <w:b/>
          <w:bCs/>
          <w:lang w:val="en-US"/>
        </w:rPr>
        <w:instrText>c</w:instrText>
      </w:r>
      <w:r w:rsidR="00C37789" w:rsidRPr="000322E4">
        <w:rPr>
          <w:b/>
          <w:bCs/>
        </w:rPr>
        <w:instrText>"]}],"</w:instrText>
      </w:r>
      <w:r w:rsidR="00C37789" w:rsidRPr="000322E4">
        <w:rPr>
          <w:b/>
          <w:bCs/>
          <w:lang w:val="en-US"/>
        </w:rPr>
        <w:instrText>mendeley</w:instrText>
      </w:r>
      <w:r w:rsidR="00C37789" w:rsidRPr="000322E4">
        <w:rPr>
          <w:b/>
          <w:bCs/>
        </w:rPr>
        <w:instrText>":{"</w:instrText>
      </w:r>
      <w:r w:rsidR="00C37789" w:rsidRPr="000322E4">
        <w:rPr>
          <w:b/>
          <w:bCs/>
          <w:lang w:val="en-US"/>
        </w:rPr>
        <w:instrText>formattedCitation</w:instrText>
      </w:r>
      <w:r w:rsidR="00C37789" w:rsidRPr="000322E4">
        <w:rPr>
          <w:b/>
          <w:bCs/>
        </w:rPr>
        <w:instrText>":"[71]","</w:instrText>
      </w:r>
      <w:r w:rsidR="00C37789" w:rsidRPr="000322E4">
        <w:rPr>
          <w:b/>
          <w:bCs/>
          <w:lang w:val="en-US"/>
        </w:rPr>
        <w:instrText>plainTextFormattedCitation</w:instrText>
      </w:r>
      <w:r w:rsidR="00C37789" w:rsidRPr="000322E4">
        <w:rPr>
          <w:b/>
          <w:bCs/>
        </w:rPr>
        <w:instrText>":"[71]","</w:instrText>
      </w:r>
      <w:r w:rsidR="00C37789" w:rsidRPr="000322E4">
        <w:rPr>
          <w:b/>
          <w:bCs/>
          <w:lang w:val="en-US"/>
        </w:rPr>
        <w:instrText>previouslyFormattedCitation</w:instrText>
      </w:r>
      <w:r w:rsidR="00C37789" w:rsidRPr="000322E4">
        <w:rPr>
          <w:b/>
          <w:bCs/>
        </w:rPr>
        <w:instrText>":"[71]"},"</w:instrText>
      </w:r>
      <w:r w:rsidR="00C37789" w:rsidRPr="000322E4">
        <w:rPr>
          <w:b/>
          <w:bCs/>
          <w:lang w:val="en-US"/>
        </w:rPr>
        <w:instrText>properties</w:instrText>
      </w:r>
      <w:r w:rsidR="00C37789" w:rsidRPr="000322E4">
        <w:rPr>
          <w:b/>
          <w:bCs/>
        </w:rPr>
        <w:instrText>":{"</w:instrText>
      </w:r>
      <w:r w:rsidR="00C37789" w:rsidRPr="000322E4">
        <w:rPr>
          <w:b/>
          <w:bCs/>
          <w:lang w:val="en-US"/>
        </w:rPr>
        <w:instrText>noteIndex</w:instrText>
      </w:r>
      <w:r w:rsidR="00C37789" w:rsidRPr="000322E4">
        <w:rPr>
          <w:b/>
          <w:bCs/>
        </w:rPr>
        <w:instrText>":0},"</w:instrText>
      </w:r>
      <w:r w:rsidR="00C37789" w:rsidRPr="000322E4">
        <w:rPr>
          <w:b/>
          <w:bCs/>
          <w:lang w:val="en-US"/>
        </w:rPr>
        <w:instrText>schema</w:instrText>
      </w:r>
      <w:r w:rsidR="00C37789" w:rsidRPr="000322E4">
        <w:rPr>
          <w:b/>
          <w:bCs/>
        </w:rPr>
        <w:instrText>":"</w:instrText>
      </w:r>
      <w:r w:rsidR="00C37789" w:rsidRPr="000322E4">
        <w:rPr>
          <w:b/>
          <w:bCs/>
          <w:lang w:val="en-US"/>
        </w:rPr>
        <w:instrText>https</w:instrText>
      </w:r>
      <w:r w:rsidR="00C37789" w:rsidRPr="000322E4">
        <w:rPr>
          <w:b/>
          <w:bCs/>
        </w:rPr>
        <w:instrText>://</w:instrText>
      </w:r>
      <w:r w:rsidR="00C37789" w:rsidRPr="000322E4">
        <w:rPr>
          <w:b/>
          <w:bCs/>
          <w:lang w:val="en-US"/>
        </w:rPr>
        <w:instrText>github</w:instrText>
      </w:r>
      <w:r w:rsidR="00C37789" w:rsidRPr="000322E4">
        <w:rPr>
          <w:b/>
          <w:bCs/>
        </w:rPr>
        <w:instrText>.</w:instrText>
      </w:r>
      <w:r w:rsidR="00C37789" w:rsidRPr="000322E4">
        <w:rPr>
          <w:b/>
          <w:bCs/>
          <w:lang w:val="en-US"/>
        </w:rPr>
        <w:instrText>com</w:instrText>
      </w:r>
      <w:r w:rsidR="00C37789" w:rsidRPr="000322E4">
        <w:rPr>
          <w:b/>
          <w:bCs/>
        </w:rPr>
        <w:instrText>/</w:instrText>
      </w:r>
      <w:r w:rsidR="00C37789" w:rsidRPr="000322E4">
        <w:rPr>
          <w:b/>
          <w:bCs/>
          <w:lang w:val="en-US"/>
        </w:rPr>
        <w:instrText>citation</w:instrText>
      </w:r>
      <w:r w:rsidR="00C37789" w:rsidRPr="000322E4">
        <w:rPr>
          <w:b/>
          <w:bCs/>
        </w:rPr>
        <w:instrText>-</w:instrText>
      </w:r>
      <w:r w:rsidR="00C37789" w:rsidRPr="000322E4">
        <w:rPr>
          <w:b/>
          <w:bCs/>
          <w:lang w:val="en-US"/>
        </w:rPr>
        <w:instrText>style</w:instrText>
      </w:r>
      <w:r w:rsidR="00C37789" w:rsidRPr="000322E4">
        <w:rPr>
          <w:b/>
          <w:bCs/>
        </w:rPr>
        <w:instrText>-</w:instrText>
      </w:r>
      <w:r w:rsidR="00C37789" w:rsidRPr="000322E4">
        <w:rPr>
          <w:b/>
          <w:bCs/>
          <w:lang w:val="en-US"/>
        </w:rPr>
        <w:instrText>language</w:instrText>
      </w:r>
      <w:r w:rsidR="00C37789" w:rsidRPr="000322E4">
        <w:rPr>
          <w:b/>
          <w:bCs/>
        </w:rPr>
        <w:instrText>/</w:instrText>
      </w:r>
      <w:r w:rsidR="00C37789" w:rsidRPr="000322E4">
        <w:rPr>
          <w:b/>
          <w:bCs/>
          <w:lang w:val="en-US"/>
        </w:rPr>
        <w:instrText>schema</w:instrText>
      </w:r>
      <w:r w:rsidR="00C37789" w:rsidRPr="000322E4">
        <w:rPr>
          <w:b/>
          <w:bCs/>
        </w:rPr>
        <w:instrText>/</w:instrText>
      </w:r>
      <w:r w:rsidR="00C37789" w:rsidRPr="000322E4">
        <w:rPr>
          <w:b/>
          <w:bCs/>
          <w:lang w:val="en-US"/>
        </w:rPr>
        <w:instrText>raw</w:instrText>
      </w:r>
      <w:r w:rsidR="00C37789" w:rsidRPr="000322E4">
        <w:rPr>
          <w:b/>
          <w:bCs/>
        </w:rPr>
        <w:instrText>/</w:instrText>
      </w:r>
      <w:r w:rsidR="00C37789" w:rsidRPr="000322E4">
        <w:rPr>
          <w:b/>
          <w:bCs/>
          <w:lang w:val="en-US"/>
        </w:rPr>
        <w:instrText>master</w:instrText>
      </w:r>
      <w:r w:rsidR="00C37789" w:rsidRPr="000322E4">
        <w:rPr>
          <w:b/>
          <w:bCs/>
        </w:rPr>
        <w:instrText>/</w:instrText>
      </w:r>
      <w:r w:rsidR="00C37789" w:rsidRPr="000322E4">
        <w:rPr>
          <w:b/>
          <w:bCs/>
          <w:lang w:val="en-US"/>
        </w:rPr>
        <w:instrText>csl</w:instrText>
      </w:r>
      <w:r w:rsidR="00C37789" w:rsidRPr="000322E4">
        <w:rPr>
          <w:b/>
          <w:bCs/>
        </w:rPr>
        <w:instrText>-</w:instrText>
      </w:r>
      <w:r w:rsidR="00C37789" w:rsidRPr="000322E4">
        <w:rPr>
          <w:b/>
          <w:bCs/>
          <w:lang w:val="en-US"/>
        </w:rPr>
        <w:instrText>citation</w:instrText>
      </w:r>
      <w:r w:rsidR="00C37789" w:rsidRPr="000322E4">
        <w:rPr>
          <w:b/>
          <w:bCs/>
        </w:rPr>
        <w:instrText>.</w:instrText>
      </w:r>
      <w:r w:rsidR="00C37789" w:rsidRPr="000322E4">
        <w:rPr>
          <w:b/>
          <w:bCs/>
          <w:lang w:val="en-US"/>
        </w:rPr>
        <w:instrText>json</w:instrText>
      </w:r>
      <w:r w:rsidR="00C37789" w:rsidRPr="000322E4">
        <w:rPr>
          <w:b/>
          <w:bCs/>
        </w:rPr>
        <w:instrText>"}</w:instrText>
      </w:r>
      <w:r w:rsidRPr="000322E4">
        <w:rPr>
          <w:b/>
          <w:bCs/>
          <w:lang w:val="en-US"/>
        </w:rPr>
        <w:fldChar w:fldCharType="separate"/>
      </w:r>
      <w:r w:rsidR="00C37789" w:rsidRPr="000322E4">
        <w:rPr>
          <w:bCs/>
          <w:noProof/>
        </w:rPr>
        <w:t>[71]</w:t>
      </w:r>
      <w:r w:rsidRPr="000322E4">
        <w:rPr>
          <w:b/>
          <w:bCs/>
          <w:lang w:val="en-US"/>
        </w:rPr>
        <w:fldChar w:fldCharType="end"/>
      </w:r>
    </w:p>
    <w:p w14:paraId="0AA9ADF8" w14:textId="77777777" w:rsidR="00666D68" w:rsidRPr="000322E4" w:rsidRDefault="00666D68" w:rsidP="008E3584">
      <w:pPr>
        <w:numPr>
          <w:ilvl w:val="0"/>
          <w:numId w:val="42"/>
        </w:numPr>
      </w:pPr>
      <w:r w:rsidRPr="000322E4">
        <w:t>Ритуксимаб</w:t>
      </w:r>
      <w:r w:rsidRPr="000322E4">
        <w:rPr>
          <w:bCs/>
        </w:rPr>
        <w:t>**</w:t>
      </w:r>
      <w:r w:rsidRPr="000322E4">
        <w:t xml:space="preserve"> </w:t>
      </w:r>
    </w:p>
    <w:p w14:paraId="2A83B0CD" w14:textId="77777777" w:rsidR="00666D68" w:rsidRPr="000322E4" w:rsidRDefault="00666D68" w:rsidP="008E3584">
      <w:pPr>
        <w:numPr>
          <w:ilvl w:val="1"/>
          <w:numId w:val="42"/>
        </w:numPr>
      </w:pPr>
      <w:r w:rsidRPr="000322E4">
        <w:t>375 мг/м</w:t>
      </w:r>
      <w:r w:rsidRPr="000322E4">
        <w:rPr>
          <w:vertAlign w:val="superscript"/>
        </w:rPr>
        <w:t>2</w:t>
      </w:r>
      <w:r w:rsidRPr="000322E4">
        <w:t xml:space="preserve"> в/в кап., день 1, нед. 1, 3, 5, 7, 9, 11 </w:t>
      </w:r>
    </w:p>
    <w:p w14:paraId="19227AAC" w14:textId="77777777" w:rsidR="00666D68" w:rsidRPr="000322E4" w:rsidRDefault="00666D68" w:rsidP="008E3584">
      <w:pPr>
        <w:ind w:left="1440"/>
      </w:pPr>
      <w:r w:rsidRPr="000322E4">
        <w:t>или</w:t>
      </w:r>
    </w:p>
    <w:p w14:paraId="5AC8D5ED" w14:textId="0401EDAC" w:rsidR="00666D68" w:rsidRPr="000322E4" w:rsidRDefault="00666D68" w:rsidP="008E3584">
      <w:pPr>
        <w:numPr>
          <w:ilvl w:val="1"/>
          <w:numId w:val="42"/>
        </w:numPr>
      </w:pPr>
      <w:r w:rsidRPr="000322E4">
        <w:t>375 мг/м</w:t>
      </w:r>
      <w:r w:rsidRPr="000322E4">
        <w:rPr>
          <w:vertAlign w:val="superscript"/>
        </w:rPr>
        <w:t>2</w:t>
      </w:r>
      <w:r w:rsidRPr="000322E4">
        <w:t xml:space="preserve"> в/в кап. 1 день 1 нед., далее ритуксимаб 1400 мг п/к, день 1, нед. 3, 5, 7, 9, 11 </w:t>
      </w:r>
      <w:r w:rsidRPr="000322E4">
        <w:rPr>
          <w:lang w:val="en-US"/>
        </w:rPr>
        <w:fldChar w:fldCharType="begin" w:fldLock="1"/>
      </w:r>
      <w:r w:rsidR="00E974B2">
        <w:rPr>
          <w:lang w:val="en-US"/>
        </w:rPr>
        <w:instrText>ADDIN</w:instrText>
      </w:r>
      <w:r w:rsidR="00E974B2" w:rsidRPr="006C476A">
        <w:instrText xml:space="preserve"> </w:instrText>
      </w:r>
      <w:r w:rsidR="00E974B2">
        <w:rPr>
          <w:lang w:val="en-US"/>
        </w:rPr>
        <w:instrText>CSL</w:instrText>
      </w:r>
      <w:r w:rsidR="00E974B2" w:rsidRPr="006C476A">
        <w:instrText>_</w:instrText>
      </w:r>
      <w:r w:rsidR="00E974B2">
        <w:rPr>
          <w:lang w:val="en-US"/>
        </w:rPr>
        <w:instrText>CITATION</w:instrText>
      </w:r>
      <w:r w:rsidR="00E974B2" w:rsidRPr="006C476A">
        <w:instrText xml:space="preserve"> {"</w:instrText>
      </w:r>
      <w:r w:rsidR="00E974B2">
        <w:rPr>
          <w:lang w:val="en-US"/>
        </w:rPr>
        <w:instrText>citationItems</w:instrText>
      </w:r>
      <w:r w:rsidR="00E974B2" w:rsidRPr="006C476A">
        <w:instrText>":[{"</w:instrText>
      </w:r>
      <w:r w:rsidR="00E974B2">
        <w:rPr>
          <w:lang w:val="en-US"/>
        </w:rPr>
        <w:instrText>id</w:instrText>
      </w:r>
      <w:r w:rsidR="00E974B2" w:rsidRPr="006C476A">
        <w:instrText>":"</w:instrText>
      </w:r>
      <w:r w:rsidR="00E974B2">
        <w:rPr>
          <w:lang w:val="en-US"/>
        </w:rPr>
        <w:instrText>ITEM</w:instrText>
      </w:r>
      <w:r w:rsidR="00E974B2" w:rsidRPr="006C476A">
        <w:instrText>-1","</w:instrText>
      </w:r>
      <w:r w:rsidR="00E974B2">
        <w:rPr>
          <w:lang w:val="en-US"/>
        </w:rPr>
        <w:instrText>itemData</w:instrText>
      </w:r>
      <w:r w:rsidR="00E974B2" w:rsidRPr="006C476A">
        <w:instrText>":{"</w:instrText>
      </w:r>
      <w:r w:rsidR="00E974B2">
        <w:rPr>
          <w:lang w:val="en-US"/>
        </w:rPr>
        <w:instrText>ISSN</w:instrText>
      </w:r>
      <w:r w:rsidR="00E974B2" w:rsidRPr="006C476A">
        <w:instrText>":"2150-0878","</w:instrText>
      </w:r>
      <w:r w:rsidR="00E974B2">
        <w:rPr>
          <w:lang w:val="en-US"/>
        </w:rPr>
        <w:instrText>PMID</w:instrText>
      </w:r>
      <w:r w:rsidR="00E974B2" w:rsidRPr="006C476A">
        <w:instrText>":"31086689","</w:instrText>
      </w:r>
      <w:r w:rsidR="00E974B2">
        <w:rPr>
          <w:lang w:val="en-US"/>
        </w:rPr>
        <w:instrText>abstract</w:instrText>
      </w:r>
      <w:r w:rsidR="00E974B2" w:rsidRPr="006C476A">
        <w:instrText>":"</w:instrText>
      </w:r>
      <w:r w:rsidR="00E974B2">
        <w:rPr>
          <w:lang w:val="en-US"/>
        </w:rPr>
        <w:instrText>Rituximab</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hyaluronidase</w:instrText>
      </w:r>
      <w:r w:rsidR="00E974B2" w:rsidRPr="006C476A">
        <w:instrText xml:space="preserve"> </w:instrText>
      </w:r>
      <w:r w:rsidR="00E974B2">
        <w:rPr>
          <w:lang w:val="en-US"/>
        </w:rPr>
        <w:instrText>human</w:instrText>
      </w:r>
      <w:r w:rsidR="00E974B2" w:rsidRPr="006C476A">
        <w:instrText xml:space="preserve"> </w:instrText>
      </w:r>
      <w:r w:rsidR="00E974B2">
        <w:rPr>
          <w:lang w:val="en-US"/>
        </w:rPr>
        <w:instrText>is</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new</w:instrText>
      </w:r>
      <w:r w:rsidR="00E974B2" w:rsidRPr="006C476A">
        <w:instrText xml:space="preserve"> </w:instrText>
      </w:r>
      <w:r w:rsidR="00E974B2">
        <w:rPr>
          <w:lang w:val="en-US"/>
        </w:rPr>
        <w:instrText>subcutaneous</w:instrText>
      </w:r>
      <w:r w:rsidR="00E974B2" w:rsidRPr="006C476A">
        <w:instrText xml:space="preserve"> </w:instrText>
      </w:r>
      <w:r w:rsidR="00E974B2">
        <w:rPr>
          <w:lang w:val="en-US"/>
        </w:rPr>
        <w:instrText>formulation</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that</w:instrText>
      </w:r>
      <w:r w:rsidR="00E974B2" w:rsidRPr="006C476A">
        <w:instrText xml:space="preserve"> </w:instrText>
      </w:r>
      <w:r w:rsidR="00E974B2">
        <w:rPr>
          <w:lang w:val="en-US"/>
        </w:rPr>
        <w:instrText>was</w:instrText>
      </w:r>
      <w:r w:rsidR="00E974B2" w:rsidRPr="006C476A">
        <w:instrText xml:space="preserve"> </w:instrText>
      </w:r>
      <w:r w:rsidR="00E974B2">
        <w:rPr>
          <w:lang w:val="en-US"/>
        </w:rPr>
        <w:instrText>recently</w:instrText>
      </w:r>
      <w:r w:rsidR="00E974B2" w:rsidRPr="006C476A">
        <w:instrText xml:space="preserve"> </w:instrText>
      </w:r>
      <w:r w:rsidR="00E974B2">
        <w:rPr>
          <w:lang w:val="en-US"/>
        </w:rPr>
        <w:instrText>approved</w:instrText>
      </w:r>
      <w:r w:rsidR="00E974B2" w:rsidRPr="006C476A">
        <w:instrText xml:space="preserve"> </w:instrText>
      </w:r>
      <w:r w:rsidR="00E974B2">
        <w:rPr>
          <w:lang w:val="en-US"/>
        </w:rPr>
        <w:instrText>by</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US</w:instrText>
      </w:r>
      <w:r w:rsidR="00E974B2" w:rsidRPr="006C476A">
        <w:instrText xml:space="preserve"> </w:instrText>
      </w:r>
      <w:r w:rsidR="00E974B2">
        <w:rPr>
          <w:lang w:val="en-US"/>
        </w:rPr>
        <w:instrText>Food</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Drug</w:instrText>
      </w:r>
      <w:r w:rsidR="00E974B2" w:rsidRPr="006C476A">
        <w:instrText xml:space="preserve"> </w:instrText>
      </w:r>
      <w:r w:rsidR="00E974B2">
        <w:rPr>
          <w:lang w:val="en-US"/>
        </w:rPr>
        <w:instrText>Administration</w:instrText>
      </w:r>
      <w:r w:rsidR="00E974B2" w:rsidRPr="006C476A">
        <w:instrText xml:space="preserve"> </w:instrText>
      </w:r>
      <w:r w:rsidR="00E974B2">
        <w:rPr>
          <w:lang w:val="en-US"/>
        </w:rPr>
        <w:instrText>for</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treatment</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adults</w:instrText>
      </w:r>
      <w:r w:rsidR="00E974B2" w:rsidRPr="006C476A">
        <w:instrText xml:space="preserve"> </w:instrText>
      </w:r>
      <w:r w:rsidR="00E974B2">
        <w:rPr>
          <w:lang w:val="en-US"/>
        </w:rPr>
        <w:instrText>with</w:instrText>
      </w:r>
      <w:r w:rsidR="00E974B2" w:rsidRPr="006C476A">
        <w:instrText xml:space="preserve"> </w:instrText>
      </w:r>
      <w:r w:rsidR="00E974B2">
        <w:rPr>
          <w:lang w:val="en-US"/>
        </w:rPr>
        <w:instrText>follicular</w:instrText>
      </w:r>
      <w:r w:rsidR="00E974B2" w:rsidRPr="006C476A">
        <w:instrText xml:space="preserve"> </w:instrText>
      </w:r>
      <w:r w:rsidR="00E974B2">
        <w:rPr>
          <w:lang w:val="en-US"/>
        </w:rPr>
        <w:instrText>lymphoma</w:instrText>
      </w:r>
      <w:r w:rsidR="00E974B2" w:rsidRPr="006C476A">
        <w:instrText xml:space="preserve">, </w:instrText>
      </w:r>
      <w:r w:rsidR="00E974B2">
        <w:rPr>
          <w:lang w:val="en-US"/>
        </w:rPr>
        <w:instrText>diffuse</w:instrText>
      </w:r>
      <w:r w:rsidR="00E974B2" w:rsidRPr="006C476A">
        <w:instrText xml:space="preserve"> </w:instrText>
      </w:r>
      <w:r w:rsidR="00E974B2">
        <w:rPr>
          <w:lang w:val="en-US"/>
        </w:rPr>
        <w:instrText>large</w:instrText>
      </w:r>
      <w:r w:rsidR="00E974B2" w:rsidRPr="006C476A">
        <w:instrText xml:space="preserve"> </w:instrText>
      </w:r>
      <w:r w:rsidR="00E974B2">
        <w:rPr>
          <w:lang w:val="en-US"/>
        </w:rPr>
        <w:instrText>B</w:instrText>
      </w:r>
      <w:r w:rsidR="00E974B2" w:rsidRPr="006C476A">
        <w:instrText>-</w:instrText>
      </w:r>
      <w:r w:rsidR="00E974B2">
        <w:rPr>
          <w:lang w:val="en-US"/>
        </w:rPr>
        <w:instrText>cell</w:instrText>
      </w:r>
      <w:r w:rsidR="00E974B2" w:rsidRPr="006C476A">
        <w:instrText xml:space="preserve"> </w:instrText>
      </w:r>
      <w:r w:rsidR="00E974B2">
        <w:rPr>
          <w:lang w:val="en-US"/>
        </w:rPr>
        <w:instrText>lymphoma</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chronic</w:instrText>
      </w:r>
      <w:r w:rsidR="00E974B2" w:rsidRPr="006C476A">
        <w:instrText xml:space="preserve"> </w:instrText>
      </w:r>
      <w:r w:rsidR="00E974B2">
        <w:rPr>
          <w:lang w:val="en-US"/>
        </w:rPr>
        <w:instrText>lymphocytic</w:instrText>
      </w:r>
      <w:r w:rsidR="00E974B2" w:rsidRPr="006C476A">
        <w:instrText xml:space="preserve"> </w:instrText>
      </w:r>
      <w:r w:rsidR="00E974B2">
        <w:rPr>
          <w:lang w:val="en-US"/>
        </w:rPr>
        <w:instrText>leukemia</w:instrText>
      </w:r>
      <w:r w:rsidR="00E974B2" w:rsidRPr="006C476A">
        <w:instrText xml:space="preserve">. </w:instrText>
      </w:r>
      <w:r w:rsidR="00E974B2">
        <w:rPr>
          <w:lang w:val="en-US"/>
        </w:rPr>
        <w:instrText>With</w:instrText>
      </w:r>
      <w:r w:rsidR="00E974B2" w:rsidRPr="006C476A">
        <w:instrText xml:space="preserve"> </w:instrText>
      </w:r>
      <w:r w:rsidR="00E974B2">
        <w:rPr>
          <w:lang w:val="en-US"/>
        </w:rPr>
        <w:instrText>data</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support</w:instrText>
      </w:r>
      <w:r w:rsidR="00E974B2" w:rsidRPr="006C476A">
        <w:instrText xml:space="preserve"> </w:instrText>
      </w:r>
      <w:r w:rsidR="00E974B2">
        <w:rPr>
          <w:lang w:val="en-US"/>
        </w:rPr>
        <w:instrText>noninferior</w:instrText>
      </w:r>
      <w:r w:rsidR="00E974B2" w:rsidRPr="006C476A">
        <w:instrText xml:space="preserve"> </w:instrText>
      </w:r>
      <w:r w:rsidR="00E974B2">
        <w:rPr>
          <w:lang w:val="en-US"/>
        </w:rPr>
        <w:instrText>pharmacokinetics</w:instrText>
      </w:r>
      <w:r w:rsidR="00E974B2" w:rsidRPr="006C476A">
        <w:instrText xml:space="preserve">, </w:instrText>
      </w:r>
      <w:r w:rsidR="00E974B2">
        <w:rPr>
          <w:lang w:val="en-US"/>
        </w:rPr>
        <w:instrText>similar</w:instrText>
      </w:r>
      <w:r w:rsidR="00E974B2" w:rsidRPr="006C476A">
        <w:instrText xml:space="preserve"> </w:instrText>
      </w:r>
      <w:r w:rsidR="00E974B2">
        <w:rPr>
          <w:lang w:val="en-US"/>
        </w:rPr>
        <w:instrText>outcomes</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comparable</w:instrText>
      </w:r>
      <w:r w:rsidR="00E974B2" w:rsidRPr="006C476A">
        <w:instrText xml:space="preserve"> </w:instrText>
      </w:r>
      <w:r w:rsidR="00E974B2">
        <w:rPr>
          <w:lang w:val="en-US"/>
        </w:rPr>
        <w:instrText>adverse</w:instrText>
      </w:r>
      <w:r w:rsidR="00E974B2" w:rsidRPr="006C476A">
        <w:instrText xml:space="preserve"> </w:instrText>
      </w:r>
      <w:r w:rsidR="00E974B2">
        <w:rPr>
          <w:lang w:val="en-US"/>
        </w:rPr>
        <w:instrText>events</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hyaluronidase</w:instrText>
      </w:r>
      <w:r w:rsidR="00E974B2" w:rsidRPr="006C476A">
        <w:instrText xml:space="preserve"> </w:instrText>
      </w:r>
      <w:r w:rsidR="00E974B2">
        <w:rPr>
          <w:lang w:val="en-US"/>
        </w:rPr>
        <w:instrText>human</w:instrText>
      </w:r>
      <w:r w:rsidR="00E974B2" w:rsidRPr="006C476A">
        <w:instrText xml:space="preserve"> </w:instrText>
      </w:r>
      <w:r w:rsidR="00E974B2">
        <w:rPr>
          <w:lang w:val="en-US"/>
        </w:rPr>
        <w:instrText>may</w:instrText>
      </w:r>
      <w:r w:rsidR="00E974B2" w:rsidRPr="006C476A">
        <w:instrText xml:space="preserve"> </w:instrText>
      </w:r>
      <w:r w:rsidR="00E974B2">
        <w:rPr>
          <w:lang w:val="en-US"/>
        </w:rPr>
        <w:instrText>offer</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suitable</w:instrText>
      </w:r>
      <w:r w:rsidR="00E974B2" w:rsidRPr="006C476A">
        <w:instrText xml:space="preserve"> </w:instrText>
      </w:r>
      <w:r w:rsidR="00E974B2">
        <w:rPr>
          <w:lang w:val="en-US"/>
        </w:rPr>
        <w:instrText>alternative</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intravenous</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that</w:instrText>
      </w:r>
      <w:r w:rsidR="00E974B2" w:rsidRPr="006C476A">
        <w:instrText xml:space="preserve"> </w:instrText>
      </w:r>
      <w:r w:rsidR="00E974B2">
        <w:rPr>
          <w:lang w:val="en-US"/>
        </w:rPr>
        <w:instrText>could</w:instrText>
      </w:r>
      <w:r w:rsidR="00E974B2" w:rsidRPr="006C476A">
        <w:instrText xml:space="preserve"> </w:instrText>
      </w:r>
      <w:r w:rsidR="00E974B2">
        <w:rPr>
          <w:lang w:val="en-US"/>
        </w:rPr>
        <w:instrText>improve</w:instrText>
      </w:r>
      <w:r w:rsidR="00E974B2" w:rsidRPr="006C476A">
        <w:instrText xml:space="preserve"> </w:instrText>
      </w:r>
      <w:r w:rsidR="00E974B2">
        <w:rPr>
          <w:lang w:val="en-US"/>
        </w:rPr>
        <w:instrText>convenience</w:instrText>
      </w:r>
      <w:r w:rsidR="00E974B2" w:rsidRPr="006C476A">
        <w:instrText xml:space="preserve"> </w:instrText>
      </w:r>
      <w:r w:rsidR="00E974B2">
        <w:rPr>
          <w:lang w:val="en-US"/>
        </w:rPr>
        <w:instrText>for</w:instrText>
      </w:r>
      <w:r w:rsidR="00E974B2" w:rsidRPr="006C476A">
        <w:instrText xml:space="preserve"> </w:instrText>
      </w:r>
      <w:r w:rsidR="00E974B2">
        <w:rPr>
          <w:lang w:val="en-US"/>
        </w:rPr>
        <w:instrText>patients</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better</w:instrText>
      </w:r>
      <w:r w:rsidR="00E974B2" w:rsidRPr="006C476A">
        <w:instrText xml:space="preserve"> </w:instrText>
      </w:r>
      <w:r w:rsidR="00E974B2">
        <w:rPr>
          <w:lang w:val="en-US"/>
        </w:rPr>
        <w:instrText>utilize</w:instrText>
      </w:r>
      <w:r w:rsidR="00E974B2" w:rsidRPr="006C476A">
        <w:instrText xml:space="preserve"> </w:instrText>
      </w:r>
      <w:r w:rsidR="00E974B2">
        <w:rPr>
          <w:lang w:val="en-US"/>
        </w:rPr>
        <w:instrText>health</w:instrText>
      </w:r>
      <w:r w:rsidR="00E974B2" w:rsidRPr="006C476A">
        <w:instrText>-</w:instrText>
      </w:r>
      <w:r w:rsidR="00E974B2">
        <w:rPr>
          <w:lang w:val="en-US"/>
        </w:rPr>
        <w:instrText>care</w:instrText>
      </w:r>
      <w:r w:rsidR="00E974B2" w:rsidRPr="006C476A">
        <w:instrText xml:space="preserve"> </w:instrText>
      </w:r>
      <w:r w:rsidR="00E974B2">
        <w:rPr>
          <w:lang w:val="en-US"/>
        </w:rPr>
        <w:instrText>resources</w:instrText>
      </w:r>
      <w:r w:rsidR="00E974B2" w:rsidRPr="006C476A">
        <w:instrText>.","</w:instrText>
      </w:r>
      <w:r w:rsidR="00E974B2">
        <w:rPr>
          <w:lang w:val="en-US"/>
        </w:rPr>
        <w:instrText>author</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Yelvington</w:instrText>
      </w:r>
      <w:r w:rsidR="00E974B2" w:rsidRPr="006C476A">
        <w:instrText>","</w:instrText>
      </w:r>
      <w:r w:rsidR="00E974B2">
        <w:rPr>
          <w:lang w:val="en-US"/>
        </w:rPr>
        <w:instrText>given</w:instrText>
      </w:r>
      <w:r w:rsidR="00E974B2" w:rsidRPr="006C476A">
        <w:instrText>":"</w:instrText>
      </w:r>
      <w:r w:rsidR="00E974B2">
        <w:rPr>
          <w:lang w:val="en-US"/>
        </w:rPr>
        <w:instrText>Bradley</w:instrText>
      </w:r>
      <w:r w:rsidR="00E974B2" w:rsidRPr="006C476A">
        <w:instrText xml:space="preserve"> </w:instrText>
      </w:r>
      <w:r w:rsidR="00E974B2">
        <w:rPr>
          <w:lang w:val="en-US"/>
        </w:rPr>
        <w:instrText>J</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container</w:instrText>
      </w:r>
      <w:r w:rsidR="00E974B2" w:rsidRPr="006C476A">
        <w:instrText>-</w:instrText>
      </w:r>
      <w:r w:rsidR="00E974B2">
        <w:rPr>
          <w:lang w:val="en-US"/>
        </w:rPr>
        <w:instrText>title</w:instrText>
      </w:r>
      <w:r w:rsidR="00E974B2" w:rsidRPr="006C476A">
        <w:instrText>":"</w:instrText>
      </w:r>
      <w:r w:rsidR="00E974B2">
        <w:rPr>
          <w:lang w:val="en-US"/>
        </w:rPr>
        <w:instrText>Journal</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advanced</w:instrText>
      </w:r>
      <w:r w:rsidR="00E974B2" w:rsidRPr="006C476A">
        <w:instrText xml:space="preserve"> </w:instrText>
      </w:r>
      <w:r w:rsidR="00E974B2">
        <w:rPr>
          <w:lang w:val="en-US"/>
        </w:rPr>
        <w:instrText>practitioner</w:instrText>
      </w:r>
      <w:r w:rsidR="00E974B2" w:rsidRPr="006C476A">
        <w:instrText xml:space="preserve"> </w:instrText>
      </w:r>
      <w:r w:rsidR="00E974B2">
        <w:rPr>
          <w:lang w:val="en-US"/>
        </w:rPr>
        <w:instrText>in</w:instrText>
      </w:r>
      <w:r w:rsidR="00E974B2" w:rsidRPr="006C476A">
        <w:instrText xml:space="preserve"> </w:instrText>
      </w:r>
      <w:r w:rsidR="00E974B2">
        <w:rPr>
          <w:lang w:val="en-US"/>
        </w:rPr>
        <w:instrText>oncology</w:instrText>
      </w:r>
      <w:r w:rsidR="00E974B2" w:rsidRPr="006C476A">
        <w:instrText>","</w:instrText>
      </w:r>
      <w:r w:rsidR="00E974B2">
        <w:rPr>
          <w:lang w:val="en-US"/>
        </w:rPr>
        <w:instrText>id</w:instrText>
      </w:r>
      <w:r w:rsidR="00E974B2" w:rsidRPr="006C476A">
        <w:instrText>":"</w:instrText>
      </w:r>
      <w:r w:rsidR="00E974B2">
        <w:rPr>
          <w:lang w:val="en-US"/>
        </w:rPr>
        <w:instrText>ITEM</w:instrText>
      </w:r>
      <w:r w:rsidR="00E974B2" w:rsidRPr="006C476A">
        <w:instrText>-1","</w:instrText>
      </w:r>
      <w:r w:rsidR="00E974B2">
        <w:rPr>
          <w:lang w:val="en-US"/>
        </w:rPr>
        <w:instrText>issue</w:instrText>
      </w:r>
      <w:r w:rsidR="00E974B2" w:rsidRPr="006C476A">
        <w:instrText>":"5","</w:instrText>
      </w:r>
      <w:r w:rsidR="00E974B2">
        <w:rPr>
          <w:lang w:val="en-US"/>
        </w:rPr>
        <w:instrText>issued</w:instrText>
      </w:r>
      <w:r w:rsidR="00E974B2" w:rsidRPr="006C476A">
        <w:instrText>":{"</w:instrText>
      </w:r>
      <w:r w:rsidR="00E974B2">
        <w:rPr>
          <w:lang w:val="en-US"/>
        </w:rPr>
        <w:instrText>date</w:instrText>
      </w:r>
      <w:r w:rsidR="00E974B2" w:rsidRPr="006C476A">
        <w:instrText>-</w:instrText>
      </w:r>
      <w:r w:rsidR="00E974B2">
        <w:rPr>
          <w:lang w:val="en-US"/>
        </w:rPr>
        <w:instrText>parts</w:instrText>
      </w:r>
      <w:r w:rsidR="00E974B2" w:rsidRPr="006C476A">
        <w:instrText>":[["2018"]]},"</w:instrText>
      </w:r>
      <w:r w:rsidR="00E974B2">
        <w:rPr>
          <w:lang w:val="en-US"/>
        </w:rPr>
        <w:instrText>page</w:instrText>
      </w:r>
      <w:r w:rsidR="00E974B2" w:rsidRPr="006C476A">
        <w:instrText>":"530-534","</w:instrText>
      </w:r>
      <w:r w:rsidR="00E974B2">
        <w:rPr>
          <w:lang w:val="en-US"/>
        </w:rPr>
        <w:instrText>publisher</w:instrText>
      </w:r>
      <w:r w:rsidR="00E974B2" w:rsidRPr="006C476A">
        <w:instrText>":"</w:instrText>
      </w:r>
      <w:r w:rsidR="00E974B2">
        <w:rPr>
          <w:lang w:val="en-US"/>
        </w:rPr>
        <w:instrText>Harborside</w:instrText>
      </w:r>
      <w:r w:rsidR="00E974B2" w:rsidRPr="006C476A">
        <w:instrText xml:space="preserve"> </w:instrText>
      </w:r>
      <w:r w:rsidR="00E974B2">
        <w:rPr>
          <w:lang w:val="en-US"/>
        </w:rPr>
        <w:instrText>Press</w:instrText>
      </w:r>
      <w:r w:rsidR="00E974B2" w:rsidRPr="006C476A">
        <w:instrText>","</w:instrText>
      </w:r>
      <w:r w:rsidR="00E974B2">
        <w:rPr>
          <w:lang w:val="en-US"/>
        </w:rPr>
        <w:instrText>title</w:instrText>
      </w:r>
      <w:r w:rsidR="00E974B2" w:rsidRPr="006C476A">
        <w:instrText>":"</w:instrText>
      </w:r>
      <w:r w:rsidR="00E974B2">
        <w:rPr>
          <w:lang w:val="en-US"/>
        </w:rPr>
        <w:instrText>Subcutaneous</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in</w:instrText>
      </w:r>
      <w:r w:rsidR="00E974B2" w:rsidRPr="006C476A">
        <w:instrText xml:space="preserve"> </w:instrText>
      </w:r>
      <w:r w:rsidR="00E974B2">
        <w:rPr>
          <w:lang w:val="en-US"/>
        </w:rPr>
        <w:instrText>Follicular</w:instrText>
      </w:r>
      <w:r w:rsidR="00E974B2" w:rsidRPr="006C476A">
        <w:instrText xml:space="preserve"> </w:instrText>
      </w:r>
      <w:r w:rsidR="00E974B2">
        <w:rPr>
          <w:lang w:val="en-US"/>
        </w:rPr>
        <w:instrText>Lymphoma</w:instrText>
      </w:r>
      <w:r w:rsidR="00E974B2" w:rsidRPr="006C476A">
        <w:instrText xml:space="preserve">, </w:instrText>
      </w:r>
      <w:r w:rsidR="00E974B2">
        <w:rPr>
          <w:lang w:val="en-US"/>
        </w:rPr>
        <w:instrText>Chronic</w:instrText>
      </w:r>
      <w:r w:rsidR="00E974B2" w:rsidRPr="006C476A">
        <w:instrText xml:space="preserve"> </w:instrText>
      </w:r>
      <w:r w:rsidR="00E974B2">
        <w:rPr>
          <w:lang w:val="en-US"/>
        </w:rPr>
        <w:instrText>Lymphocytic</w:instrText>
      </w:r>
      <w:r w:rsidR="00E974B2" w:rsidRPr="006C476A">
        <w:instrText xml:space="preserve"> </w:instrText>
      </w:r>
      <w:r w:rsidR="00E974B2">
        <w:rPr>
          <w:lang w:val="en-US"/>
        </w:rPr>
        <w:instrText>Leukemia</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Diffuse</w:instrText>
      </w:r>
      <w:r w:rsidR="00E974B2" w:rsidRPr="006C476A">
        <w:instrText xml:space="preserve"> </w:instrText>
      </w:r>
      <w:r w:rsidR="00E974B2">
        <w:rPr>
          <w:lang w:val="en-US"/>
        </w:rPr>
        <w:instrText>Large</w:instrText>
      </w:r>
      <w:r w:rsidR="00E974B2" w:rsidRPr="006C476A">
        <w:instrText xml:space="preserve"> </w:instrText>
      </w:r>
      <w:r w:rsidR="00E974B2">
        <w:rPr>
          <w:lang w:val="en-US"/>
        </w:rPr>
        <w:instrText>B</w:instrText>
      </w:r>
      <w:r w:rsidR="00E974B2" w:rsidRPr="006C476A">
        <w:instrText>-</w:instrText>
      </w:r>
      <w:r w:rsidR="00E974B2">
        <w:rPr>
          <w:lang w:val="en-US"/>
        </w:rPr>
        <w:instrText>Cell</w:instrText>
      </w:r>
      <w:r w:rsidR="00E974B2" w:rsidRPr="006C476A">
        <w:instrText xml:space="preserve"> </w:instrText>
      </w:r>
      <w:r w:rsidR="00E974B2">
        <w:rPr>
          <w:lang w:val="en-US"/>
        </w:rPr>
        <w:instrText>Lymphoma</w:instrText>
      </w:r>
      <w:r w:rsidR="00E974B2" w:rsidRPr="006C476A">
        <w:instrText>.","</w:instrText>
      </w:r>
      <w:r w:rsidR="00E974B2">
        <w:rPr>
          <w:lang w:val="en-US"/>
        </w:rPr>
        <w:instrText>type</w:instrText>
      </w:r>
      <w:r w:rsidR="00E974B2" w:rsidRPr="006C476A">
        <w:instrText>":"</w:instrText>
      </w:r>
      <w:r w:rsidR="00E974B2">
        <w:rPr>
          <w:lang w:val="en-US"/>
        </w:rPr>
        <w:instrText>article</w:instrText>
      </w:r>
      <w:r w:rsidR="00E974B2" w:rsidRPr="006C476A">
        <w:instrText>-</w:instrText>
      </w:r>
      <w:r w:rsidR="00E974B2">
        <w:rPr>
          <w:lang w:val="en-US"/>
        </w:rPr>
        <w:instrText>journal</w:instrText>
      </w:r>
      <w:r w:rsidR="00E974B2" w:rsidRPr="006C476A">
        <w:instrText>","</w:instrText>
      </w:r>
      <w:r w:rsidR="00E974B2">
        <w:rPr>
          <w:lang w:val="en-US"/>
        </w:rPr>
        <w:instrText>volume</w:instrText>
      </w:r>
      <w:r w:rsidR="00E974B2" w:rsidRPr="006C476A">
        <w:instrText>":"9"},"</w:instrText>
      </w:r>
      <w:r w:rsidR="00E974B2">
        <w:rPr>
          <w:lang w:val="en-US"/>
        </w:rPr>
        <w:instrText>uris</w:instrText>
      </w:r>
      <w:r w:rsidR="00E974B2" w:rsidRPr="006C476A">
        <w:instrText>":["</w:instrText>
      </w:r>
      <w:r w:rsidR="00E974B2">
        <w:rPr>
          <w:lang w:val="en-US"/>
        </w:rPr>
        <w:instrText>http</w:instrText>
      </w:r>
      <w:r w:rsidR="00E974B2" w:rsidRPr="006C476A">
        <w:instrText>://</w:instrText>
      </w:r>
      <w:r w:rsidR="00E974B2">
        <w:rPr>
          <w:lang w:val="en-US"/>
        </w:rPr>
        <w:instrText>www</w:instrText>
      </w:r>
      <w:r w:rsidR="00E974B2" w:rsidRPr="006C476A">
        <w:instrText>.</w:instrText>
      </w:r>
      <w:r w:rsidR="00E974B2">
        <w:rPr>
          <w:lang w:val="en-US"/>
        </w:rPr>
        <w:instrText>mendeley</w:instrText>
      </w:r>
      <w:r w:rsidR="00E974B2" w:rsidRPr="006C476A">
        <w:instrText>.</w:instrText>
      </w:r>
      <w:r w:rsidR="00E974B2">
        <w:rPr>
          <w:lang w:val="en-US"/>
        </w:rPr>
        <w:instrText>com</w:instrText>
      </w:r>
      <w:r w:rsidR="00E974B2" w:rsidRPr="006C476A">
        <w:instrText>/</w:instrText>
      </w:r>
      <w:r w:rsidR="00E974B2">
        <w:rPr>
          <w:lang w:val="en-US"/>
        </w:rPr>
        <w:instrText>documents</w:instrText>
      </w:r>
      <w:r w:rsidR="00E974B2" w:rsidRPr="006C476A">
        <w:instrText>/?</w:instrText>
      </w:r>
      <w:r w:rsidR="00E974B2">
        <w:rPr>
          <w:lang w:val="en-US"/>
        </w:rPr>
        <w:instrText>uuid</w:instrText>
      </w:r>
      <w:r w:rsidR="00E974B2" w:rsidRPr="006C476A">
        <w:instrText>=</w:instrText>
      </w:r>
      <w:r w:rsidR="00E974B2">
        <w:rPr>
          <w:lang w:val="en-US"/>
        </w:rPr>
        <w:instrText>fbb</w:instrText>
      </w:r>
      <w:r w:rsidR="00E974B2" w:rsidRPr="006C476A">
        <w:instrText>0</w:instrText>
      </w:r>
      <w:r w:rsidR="00E974B2">
        <w:rPr>
          <w:lang w:val="en-US"/>
        </w:rPr>
        <w:instrText>b</w:instrText>
      </w:r>
      <w:r w:rsidR="00E974B2" w:rsidRPr="006C476A">
        <w:instrText>8</w:instrText>
      </w:r>
      <w:r w:rsidR="00E974B2">
        <w:rPr>
          <w:lang w:val="en-US"/>
        </w:rPr>
        <w:instrText>f</w:instrText>
      </w:r>
      <w:r w:rsidR="00E974B2" w:rsidRPr="006C476A">
        <w:instrText>4-6</w:instrText>
      </w:r>
      <w:r w:rsidR="00E974B2">
        <w:rPr>
          <w:lang w:val="en-US"/>
        </w:rPr>
        <w:instrText>b</w:instrText>
      </w:r>
      <w:r w:rsidR="00E974B2" w:rsidRPr="006C476A">
        <w:instrText>58-3</w:instrText>
      </w:r>
      <w:r w:rsidR="00E974B2">
        <w:rPr>
          <w:lang w:val="en-US"/>
        </w:rPr>
        <w:instrText>a</w:instrText>
      </w:r>
      <w:r w:rsidR="00E974B2" w:rsidRPr="006C476A">
        <w:instrText>10-</w:instrText>
      </w:r>
      <w:r w:rsidR="00E974B2">
        <w:rPr>
          <w:lang w:val="en-US"/>
        </w:rPr>
        <w:instrText>b</w:instrText>
      </w:r>
      <w:r w:rsidR="00E974B2" w:rsidRPr="006C476A">
        <w:instrText>7</w:instrText>
      </w:r>
      <w:r w:rsidR="00E974B2">
        <w:rPr>
          <w:lang w:val="en-US"/>
        </w:rPr>
        <w:instrText>d</w:instrText>
      </w:r>
      <w:r w:rsidR="00E974B2" w:rsidRPr="006C476A">
        <w:instrText>6-</w:instrText>
      </w:r>
      <w:r w:rsidR="00E974B2">
        <w:rPr>
          <w:lang w:val="en-US"/>
        </w:rPr>
        <w:instrText>af</w:instrText>
      </w:r>
      <w:r w:rsidR="00E974B2" w:rsidRPr="006C476A">
        <w:instrText>3854030</w:instrText>
      </w:r>
      <w:r w:rsidR="00E974B2">
        <w:rPr>
          <w:lang w:val="en-US"/>
        </w:rPr>
        <w:instrText>be</w:instrText>
      </w:r>
      <w:r w:rsidR="00E974B2" w:rsidRPr="006C476A">
        <w:instrText>8"]},{"</w:instrText>
      </w:r>
      <w:r w:rsidR="00E974B2">
        <w:rPr>
          <w:lang w:val="en-US"/>
        </w:rPr>
        <w:instrText>id</w:instrText>
      </w:r>
      <w:r w:rsidR="00E974B2" w:rsidRPr="006C476A">
        <w:instrText>":"</w:instrText>
      </w:r>
      <w:r w:rsidR="00E974B2">
        <w:rPr>
          <w:lang w:val="en-US"/>
        </w:rPr>
        <w:instrText>ITEM</w:instrText>
      </w:r>
      <w:r w:rsidR="00E974B2" w:rsidRPr="006C476A">
        <w:instrText>-2","</w:instrText>
      </w:r>
      <w:r w:rsidR="00E974B2">
        <w:rPr>
          <w:lang w:val="en-US"/>
        </w:rPr>
        <w:instrText>itemData</w:instrText>
      </w:r>
      <w:r w:rsidR="00E974B2" w:rsidRPr="006C476A">
        <w:instrText>":{"</w:instrText>
      </w:r>
      <w:r w:rsidR="00E974B2">
        <w:rPr>
          <w:lang w:val="en-US"/>
        </w:rPr>
        <w:instrText>DOI</w:instrText>
      </w:r>
      <w:r w:rsidR="00E974B2" w:rsidRPr="006C476A">
        <w:instrText>":"10.1007/</w:instrText>
      </w:r>
      <w:r w:rsidR="00E974B2">
        <w:rPr>
          <w:lang w:val="en-US"/>
        </w:rPr>
        <w:instrText>s</w:instrText>
      </w:r>
      <w:r w:rsidR="00E974B2" w:rsidRPr="006C476A">
        <w:instrText>12325-017-0610-</w:instrText>
      </w:r>
      <w:r w:rsidR="00E974B2">
        <w:rPr>
          <w:lang w:val="en-US"/>
        </w:rPr>
        <w:instrText>z</w:instrText>
      </w:r>
      <w:r w:rsidR="00E974B2" w:rsidRPr="006C476A">
        <w:instrText>","</w:instrText>
      </w:r>
      <w:r w:rsidR="00E974B2">
        <w:rPr>
          <w:lang w:val="en-US"/>
        </w:rPr>
        <w:instrText>ISSN</w:instrText>
      </w:r>
      <w:r w:rsidR="00E974B2" w:rsidRPr="006C476A">
        <w:instrText>":"18658652","</w:instrText>
      </w:r>
      <w:r w:rsidR="00E974B2">
        <w:rPr>
          <w:lang w:val="en-US"/>
        </w:rPr>
        <w:instrText>abstract</w:instrText>
      </w:r>
      <w:r w:rsidR="00E974B2" w:rsidRPr="006C476A">
        <w:instrText>":"</w:instrText>
      </w:r>
      <w:r w:rsidR="00E974B2">
        <w:rPr>
          <w:lang w:val="en-US"/>
        </w:rPr>
        <w:instrText>Abstract</w:instrText>
      </w:r>
      <w:r w:rsidR="00E974B2" w:rsidRPr="006C476A">
        <w:instrText xml:space="preserve">: </w:instrText>
      </w:r>
      <w:r w:rsidR="00E974B2">
        <w:rPr>
          <w:lang w:val="en-US"/>
        </w:rPr>
        <w:instrText>Rituximab</w:instrText>
      </w:r>
      <w:r w:rsidR="00E974B2" w:rsidRPr="006447F6">
        <w:instrText xml:space="preserve"> (</w:instrText>
      </w:r>
      <w:r w:rsidR="00E974B2">
        <w:rPr>
          <w:lang w:val="en-US"/>
        </w:rPr>
        <w:instrText>MabThera</w:instrText>
      </w:r>
      <w:r w:rsidR="00E974B2" w:rsidRPr="006447F6">
        <w:instrText>®/</w:instrText>
      </w:r>
      <w:r w:rsidR="00E974B2">
        <w:rPr>
          <w:lang w:val="en-US"/>
        </w:rPr>
        <w:instrText>Rituxan</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chimeric</w:instrText>
      </w:r>
      <w:r w:rsidR="00E974B2" w:rsidRPr="006447F6">
        <w:instrText xml:space="preserve"> </w:instrText>
      </w:r>
      <w:r w:rsidR="00E974B2">
        <w:rPr>
          <w:lang w:val="en-US"/>
        </w:rPr>
        <w:instrText>murine</w:instrText>
      </w:r>
      <w:r w:rsidR="00E974B2" w:rsidRPr="006447F6">
        <w:instrText>/</w:instrText>
      </w:r>
      <w:r w:rsidR="00E974B2">
        <w:rPr>
          <w:lang w:val="en-US"/>
        </w:rPr>
        <w:instrText>human</w:instrText>
      </w:r>
      <w:r w:rsidR="00E974B2" w:rsidRPr="006447F6">
        <w:instrText xml:space="preserve"> </w:instrText>
      </w:r>
      <w:r w:rsidR="00E974B2">
        <w:rPr>
          <w:lang w:val="en-US"/>
        </w:rPr>
        <w:instrText>monoclonal</w:instrText>
      </w:r>
      <w:r w:rsidR="00E974B2" w:rsidRPr="006447F6">
        <w:instrText xml:space="preserve"> </w:instrText>
      </w:r>
      <w:r w:rsidR="00E974B2">
        <w:rPr>
          <w:lang w:val="en-US"/>
        </w:rPr>
        <w:instrText>antibody</w:instrText>
      </w:r>
      <w:r w:rsidR="00E974B2" w:rsidRPr="006447F6">
        <w:instrText xml:space="preserve"> </w:instrText>
      </w:r>
      <w:r w:rsidR="00E974B2">
        <w:rPr>
          <w:lang w:val="en-US"/>
        </w:rPr>
        <w:instrText>that</w:instrText>
      </w:r>
      <w:r w:rsidR="00E974B2" w:rsidRPr="006447F6">
        <w:instrText xml:space="preserve"> </w:instrText>
      </w:r>
      <w:r w:rsidR="00E974B2">
        <w:rPr>
          <w:lang w:val="en-US"/>
        </w:rPr>
        <w:instrText>binds</w:instrText>
      </w:r>
      <w:r w:rsidR="00E974B2" w:rsidRPr="006447F6">
        <w:instrText xml:space="preserve"> </w:instrText>
      </w:r>
      <w:r w:rsidR="00E974B2">
        <w:rPr>
          <w:lang w:val="en-US"/>
        </w:rPr>
        <w:instrText>specifically</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transmembrane</w:instrText>
      </w:r>
      <w:r w:rsidR="00E974B2" w:rsidRPr="006447F6">
        <w:instrText xml:space="preserve"> </w:instrText>
      </w:r>
      <w:r w:rsidR="00E974B2">
        <w:rPr>
          <w:lang w:val="en-US"/>
        </w:rPr>
        <w:instrText>antigen</w:instrText>
      </w:r>
      <w:r w:rsidR="00E974B2" w:rsidRPr="006447F6">
        <w:instrText xml:space="preserve"> </w:instrText>
      </w:r>
      <w:r w:rsidR="00E974B2">
        <w:rPr>
          <w:lang w:val="en-US"/>
        </w:rPr>
        <w:instrText>CD</w:instrText>
      </w:r>
      <w:r w:rsidR="00E974B2" w:rsidRPr="006447F6">
        <w:instrText xml:space="preserve">20, </w:instrText>
      </w:r>
      <w:r w:rsidR="00E974B2">
        <w:rPr>
          <w:lang w:val="en-US"/>
        </w:rPr>
        <w:instrText>was</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first</w:instrText>
      </w:r>
      <w:r w:rsidR="00E974B2" w:rsidRPr="006447F6">
        <w:instrText xml:space="preserve"> </w:instrText>
      </w:r>
      <w:r w:rsidR="00E974B2">
        <w:rPr>
          <w:lang w:val="en-US"/>
        </w:rPr>
        <w:instrText>therapeutic</w:instrText>
      </w:r>
      <w:r w:rsidR="00E974B2" w:rsidRPr="006447F6">
        <w:instrText xml:space="preserve"> </w:instrText>
      </w:r>
      <w:r w:rsidR="00E974B2">
        <w:rPr>
          <w:lang w:val="en-US"/>
        </w:rPr>
        <w:instrText>antibody</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enter</w:instrText>
      </w:r>
      <w:r w:rsidR="00E974B2" w:rsidRPr="006447F6">
        <w:instrText xml:space="preserve"> </w:instrText>
      </w:r>
      <w:r w:rsidR="00E974B2">
        <w:rPr>
          <w:lang w:val="en-US"/>
        </w:rPr>
        <w:instrText>clinical</w:instrText>
      </w:r>
      <w:r w:rsidR="00E974B2" w:rsidRPr="006447F6">
        <w:instrText xml:space="preserve"> </w:instrText>
      </w:r>
      <w:r w:rsidR="00E974B2">
        <w:rPr>
          <w:lang w:val="en-US"/>
        </w:rPr>
        <w:instrText>practice</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treatment</w:instrText>
      </w:r>
      <w:r w:rsidR="00E974B2" w:rsidRPr="006447F6">
        <w:instrText xml:space="preserve"> </w:instrText>
      </w:r>
      <w:r w:rsidR="00E974B2">
        <w:rPr>
          <w:lang w:val="en-US"/>
        </w:rPr>
        <w:instrText>of</w:instrText>
      </w:r>
      <w:r w:rsidR="00E974B2" w:rsidRPr="006447F6">
        <w:instrText xml:space="preserve"> </w:instrText>
      </w:r>
      <w:r w:rsidR="00E974B2">
        <w:rPr>
          <w:lang w:val="en-US"/>
        </w:rPr>
        <w:instrText>cancer</w:instrText>
      </w:r>
      <w:r w:rsidR="00E974B2" w:rsidRPr="006447F6">
        <w:instrText xml:space="preserve">. </w:instrText>
      </w:r>
      <w:r w:rsidR="00E974B2">
        <w:rPr>
          <w:lang w:val="en-US"/>
        </w:rPr>
        <w:instrText>As</w:instrText>
      </w:r>
      <w:r w:rsidR="00E974B2" w:rsidRPr="006447F6">
        <w:instrText xml:space="preserve"> </w:instrText>
      </w:r>
      <w:r w:rsidR="00E974B2">
        <w:rPr>
          <w:lang w:val="en-US"/>
        </w:rPr>
        <w:instrText>monotherapy</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combination</w:instrText>
      </w:r>
      <w:r w:rsidR="00E974B2" w:rsidRPr="006447F6">
        <w:instrText xml:space="preserve"> </w:instrText>
      </w:r>
      <w:r w:rsidR="00E974B2">
        <w:rPr>
          <w:lang w:val="en-US"/>
        </w:rPr>
        <w:instrText>with</w:instrText>
      </w:r>
      <w:r w:rsidR="00E974B2" w:rsidRPr="006447F6">
        <w:instrText xml:space="preserve"> </w:instrText>
      </w:r>
      <w:r w:rsidR="00E974B2">
        <w:rPr>
          <w:lang w:val="en-US"/>
        </w:rPr>
        <w:instrText>chemotherapy</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has</w:instrText>
      </w:r>
      <w:r w:rsidR="00E974B2" w:rsidRPr="006447F6">
        <w:instrText xml:space="preserve"> </w:instrText>
      </w:r>
      <w:r w:rsidR="00E974B2">
        <w:rPr>
          <w:lang w:val="en-US"/>
        </w:rPr>
        <w:instrText>been</w:instrText>
      </w:r>
      <w:r w:rsidR="00E974B2" w:rsidRPr="006447F6">
        <w:instrText xml:space="preserve"> </w:instrText>
      </w:r>
      <w:r w:rsidR="00E974B2">
        <w:rPr>
          <w:lang w:val="en-US"/>
        </w:rPr>
        <w:instrText>shown</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prolong</w:instrText>
      </w:r>
      <w:r w:rsidR="00E974B2" w:rsidRPr="006447F6">
        <w:instrText xml:space="preserve"> </w:instrText>
      </w:r>
      <w:r w:rsidR="00E974B2">
        <w:rPr>
          <w:lang w:val="en-US"/>
        </w:rPr>
        <w:instrText>progression</w:instrText>
      </w:r>
      <w:r w:rsidR="00E974B2" w:rsidRPr="006447F6">
        <w:instrText>-</w:instrText>
      </w:r>
      <w:r w:rsidR="00E974B2">
        <w:rPr>
          <w:lang w:val="en-US"/>
        </w:rPr>
        <w:instrText>free</w:instrText>
      </w:r>
      <w:r w:rsidR="00E974B2" w:rsidRPr="006447F6">
        <w:instrText xml:space="preserve"> </w:instrText>
      </w:r>
      <w:r w:rsidR="00E974B2">
        <w:rPr>
          <w:lang w:val="en-US"/>
        </w:rPr>
        <w:instrText>survival</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some</w:instrText>
      </w:r>
      <w:r w:rsidR="00E974B2" w:rsidRPr="006447F6">
        <w:instrText xml:space="preserve"> </w:instrText>
      </w:r>
      <w:r w:rsidR="00E974B2">
        <w:rPr>
          <w:lang w:val="en-US"/>
        </w:rPr>
        <w:instrText>indications</w:instrText>
      </w:r>
      <w:r w:rsidR="00E974B2" w:rsidRPr="006447F6">
        <w:instrText xml:space="preserve"> </w:instrText>
      </w:r>
      <w:r w:rsidR="00E974B2">
        <w:rPr>
          <w:lang w:val="en-US"/>
        </w:rPr>
        <w:instrText>overall</w:instrText>
      </w:r>
      <w:r w:rsidR="00E974B2" w:rsidRPr="006447F6">
        <w:instrText xml:space="preserve"> </w:instrText>
      </w:r>
      <w:r w:rsidR="00E974B2">
        <w:rPr>
          <w:lang w:val="en-US"/>
        </w:rPr>
        <w:instrText>survival</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patients</w:instrText>
      </w:r>
      <w:r w:rsidR="00E974B2" w:rsidRPr="006447F6">
        <w:instrText xml:space="preserve"> </w:instrText>
      </w:r>
      <w:r w:rsidR="00E974B2">
        <w:rPr>
          <w:lang w:val="en-US"/>
        </w:rPr>
        <w:instrText>with</w:instrText>
      </w:r>
      <w:r w:rsidR="00E974B2" w:rsidRPr="006447F6">
        <w:instrText xml:space="preserve"> </w:instrText>
      </w:r>
      <w:r w:rsidR="00E974B2">
        <w:rPr>
          <w:lang w:val="en-US"/>
        </w:rPr>
        <w:instrText>various</w:instrText>
      </w:r>
      <w:r w:rsidR="00E974B2" w:rsidRPr="006447F6">
        <w:instrText xml:space="preserve"> </w:instrText>
      </w:r>
      <w:r w:rsidR="00E974B2">
        <w:rPr>
          <w:lang w:val="en-US"/>
        </w:rPr>
        <w:instrText>B</w:instrText>
      </w:r>
      <w:r w:rsidR="00E974B2" w:rsidRPr="006447F6">
        <w:instrText>-</w:instrText>
      </w:r>
      <w:r w:rsidR="00E974B2">
        <w:rPr>
          <w:lang w:val="en-US"/>
        </w:rPr>
        <w:instrText>cell</w:instrText>
      </w:r>
      <w:r w:rsidR="00E974B2" w:rsidRPr="006447F6">
        <w:instrText xml:space="preserve"> </w:instrText>
      </w:r>
      <w:r w:rsidR="00E974B2">
        <w:rPr>
          <w:lang w:val="en-US"/>
        </w:rPr>
        <w:instrText>malignancies</w:instrText>
      </w:r>
      <w:r w:rsidR="00E974B2" w:rsidRPr="006447F6">
        <w:instrText xml:space="preserve">, </w:instrText>
      </w:r>
      <w:r w:rsidR="00E974B2">
        <w:rPr>
          <w:lang w:val="en-US"/>
        </w:rPr>
        <w:instrText>while</w:instrText>
      </w:r>
      <w:r w:rsidR="00E974B2" w:rsidRPr="006447F6">
        <w:instrText xml:space="preserve"> </w:instrText>
      </w:r>
      <w:r w:rsidR="00E974B2">
        <w:rPr>
          <w:lang w:val="en-US"/>
        </w:rPr>
        <w:instrText>having</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well</w:instrText>
      </w:r>
      <w:r w:rsidR="00E974B2" w:rsidRPr="006447F6">
        <w:instrText>-</w:instrText>
      </w:r>
      <w:r w:rsidR="00E974B2">
        <w:rPr>
          <w:lang w:val="en-US"/>
        </w:rPr>
        <w:instrText>established</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manageable</w:instrText>
      </w:r>
      <w:r w:rsidR="00E974B2" w:rsidRPr="006447F6">
        <w:instrText xml:space="preserve"> </w:instrText>
      </w:r>
      <w:r w:rsidR="00E974B2">
        <w:rPr>
          <w:lang w:val="en-US"/>
        </w:rPr>
        <w:instrText>safety</w:instrText>
      </w:r>
      <w:r w:rsidR="00E974B2" w:rsidRPr="006447F6">
        <w:instrText xml:space="preserve"> </w:instrText>
      </w:r>
      <w:r w:rsidR="00E974B2">
        <w:rPr>
          <w:lang w:val="en-US"/>
        </w:rPr>
        <w:instrText>profile</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wide</w:instrText>
      </w:r>
      <w:r w:rsidR="00E974B2" w:rsidRPr="006447F6">
        <w:instrText xml:space="preserve"> </w:instrText>
      </w:r>
      <w:r w:rsidR="00E974B2">
        <w:rPr>
          <w:lang w:val="en-US"/>
        </w:rPr>
        <w:instrText>therapeutic</w:instrText>
      </w:r>
      <w:r w:rsidR="00E974B2" w:rsidRPr="006447F6">
        <w:instrText xml:space="preserve"> </w:instrText>
      </w:r>
      <w:r w:rsidR="00E974B2">
        <w:rPr>
          <w:lang w:val="en-US"/>
        </w:rPr>
        <w:instrText>window</w:instrText>
      </w:r>
      <w:r w:rsidR="00E974B2" w:rsidRPr="006447F6">
        <w:instrText xml:space="preserve">. </w:instrText>
      </w:r>
      <w:r w:rsidR="00E974B2">
        <w:rPr>
          <w:lang w:val="en-US"/>
        </w:rPr>
        <w:instrText>As</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result</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is</w:instrText>
      </w:r>
      <w:r w:rsidR="00E974B2" w:rsidRPr="006447F6">
        <w:instrText xml:space="preserve"> </w:instrText>
      </w:r>
      <w:r w:rsidR="00E974B2">
        <w:rPr>
          <w:lang w:val="en-US"/>
        </w:rPr>
        <w:instrText>considered</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have</w:instrText>
      </w:r>
      <w:r w:rsidR="00E974B2" w:rsidRPr="006447F6">
        <w:instrText xml:space="preserve"> </w:instrText>
      </w:r>
      <w:r w:rsidR="00E974B2">
        <w:rPr>
          <w:lang w:val="en-US"/>
        </w:rPr>
        <w:instrText>revolutionized</w:instrText>
      </w:r>
      <w:r w:rsidR="00E974B2" w:rsidRPr="006447F6">
        <w:instrText xml:space="preserve"> </w:instrText>
      </w:r>
      <w:r w:rsidR="00E974B2">
        <w:rPr>
          <w:lang w:val="en-US"/>
        </w:rPr>
        <w:instrText>treatment</w:instrText>
      </w:r>
      <w:r w:rsidR="00E974B2" w:rsidRPr="006447F6">
        <w:instrText xml:space="preserve"> </w:instrText>
      </w:r>
      <w:r w:rsidR="00E974B2">
        <w:rPr>
          <w:lang w:val="en-US"/>
        </w:rPr>
        <w:instrText>practices</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patients</w:instrText>
      </w:r>
      <w:r w:rsidR="00E974B2" w:rsidRPr="006447F6">
        <w:instrText xml:space="preserve"> </w:instrText>
      </w:r>
      <w:r w:rsidR="00E974B2">
        <w:rPr>
          <w:lang w:val="en-US"/>
        </w:rPr>
        <w:instrText>with</w:instrText>
      </w:r>
      <w:r w:rsidR="00E974B2" w:rsidRPr="006447F6">
        <w:instrText xml:space="preserve"> </w:instrText>
      </w:r>
      <w:r w:rsidR="00E974B2">
        <w:rPr>
          <w:lang w:val="en-US"/>
        </w:rPr>
        <w:instrText>B</w:instrText>
      </w:r>
      <w:r w:rsidR="00E974B2" w:rsidRPr="006447F6">
        <w:instrText>-</w:instrText>
      </w:r>
      <w:r w:rsidR="00E974B2">
        <w:rPr>
          <w:lang w:val="en-US"/>
        </w:rPr>
        <w:instrText>cell</w:instrText>
      </w:r>
      <w:r w:rsidR="00E974B2" w:rsidRPr="006447F6">
        <w:instrText xml:space="preserve"> </w:instrText>
      </w:r>
      <w:r w:rsidR="00E974B2">
        <w:rPr>
          <w:lang w:val="en-US"/>
        </w:rPr>
        <w:instrText>malignancies</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subcutaneous</w:instrText>
      </w:r>
      <w:r w:rsidR="00E974B2" w:rsidRPr="006447F6">
        <w:instrText xml:space="preserve"> (</w:instrText>
      </w:r>
      <w:r w:rsidR="00E974B2">
        <w:rPr>
          <w:lang w:val="en-US"/>
        </w:rPr>
        <w:instrText>SC</w:instrText>
      </w:r>
      <w:r w:rsidR="00E974B2" w:rsidRPr="006447F6">
        <w:instrText xml:space="preserve">) </w:instrText>
      </w:r>
      <w:r w:rsidR="00E974B2">
        <w:rPr>
          <w:lang w:val="en-US"/>
        </w:rPr>
        <w:instrText>formulation</w:instrText>
      </w:r>
      <w:r w:rsidR="00E974B2" w:rsidRPr="006447F6">
        <w:instrText xml:space="preserve"> </w:instrText>
      </w:r>
      <w:r w:rsidR="00E974B2">
        <w:rPr>
          <w:lang w:val="en-US"/>
        </w:rPr>
        <w:instrText>of</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has</w:instrText>
      </w:r>
      <w:r w:rsidR="00E974B2" w:rsidRPr="006447F6">
        <w:instrText xml:space="preserve"> </w:instrText>
      </w:r>
      <w:r w:rsidR="00E974B2">
        <w:rPr>
          <w:lang w:val="en-US"/>
        </w:rPr>
        <w:instrText>been</w:instrText>
      </w:r>
      <w:r w:rsidR="00E974B2" w:rsidRPr="006447F6">
        <w:instrText xml:space="preserve"> </w:instrText>
      </w:r>
      <w:r w:rsidR="00E974B2">
        <w:rPr>
          <w:lang w:val="en-US"/>
        </w:rPr>
        <w:instrText>developed</w:instrText>
      </w:r>
      <w:r w:rsidR="00E974B2" w:rsidRPr="006447F6">
        <w:instrText xml:space="preserve">, </w:instrText>
      </w:r>
      <w:r w:rsidR="00E974B2">
        <w:rPr>
          <w:lang w:val="en-US"/>
        </w:rPr>
        <w:instrText>comprising</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same</w:instrText>
      </w:r>
      <w:r w:rsidR="00E974B2" w:rsidRPr="006447F6">
        <w:instrText xml:space="preserve"> </w:instrText>
      </w:r>
      <w:r w:rsidR="00E974B2">
        <w:rPr>
          <w:lang w:val="en-US"/>
        </w:rPr>
        <w:instrText>monoclonal</w:instrText>
      </w:r>
      <w:r w:rsidR="00E974B2" w:rsidRPr="006447F6">
        <w:instrText xml:space="preserve"> </w:instrText>
      </w:r>
      <w:r w:rsidR="00E974B2">
        <w:rPr>
          <w:lang w:val="en-US"/>
        </w:rPr>
        <w:instrText>antibody</w:instrText>
      </w:r>
      <w:r w:rsidR="00E974B2" w:rsidRPr="006447F6">
        <w:instrText xml:space="preserve"> </w:instrText>
      </w:r>
      <w:r w:rsidR="00E974B2">
        <w:rPr>
          <w:lang w:val="en-US"/>
        </w:rPr>
        <w:instrText>as</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originally</w:instrText>
      </w:r>
      <w:r w:rsidR="00E974B2" w:rsidRPr="006447F6">
        <w:instrText xml:space="preserve"> </w:instrText>
      </w:r>
      <w:r w:rsidR="00E974B2">
        <w:rPr>
          <w:lang w:val="en-US"/>
        </w:rPr>
        <w:instrText>marketed</w:instrText>
      </w:r>
      <w:r w:rsidR="00E974B2" w:rsidRPr="006447F6">
        <w:instrText xml:space="preserve"> </w:instrText>
      </w:r>
      <w:r w:rsidR="00E974B2">
        <w:rPr>
          <w:lang w:val="en-US"/>
        </w:rPr>
        <w:instrText>formulation</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concentrate</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solution</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intravenous</w:instrText>
      </w:r>
      <w:r w:rsidR="00E974B2" w:rsidRPr="006447F6">
        <w:instrText xml:space="preserve"> (</w:instrText>
      </w:r>
      <w:r w:rsidR="00E974B2">
        <w:rPr>
          <w:lang w:val="en-US"/>
        </w:rPr>
        <w:instrText>IV</w:instrText>
      </w:r>
      <w:r w:rsidR="00E974B2" w:rsidRPr="006447F6">
        <w:instrText xml:space="preserve">) </w:instrText>
      </w:r>
      <w:r w:rsidR="00E974B2">
        <w:rPr>
          <w:lang w:val="en-US"/>
        </w:rPr>
        <w:instrText>infusion</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has</w:instrText>
      </w:r>
      <w:r w:rsidR="00E974B2" w:rsidRPr="006447F6">
        <w:instrText xml:space="preserve"> </w:instrText>
      </w:r>
      <w:r w:rsidR="00E974B2">
        <w:rPr>
          <w:lang w:val="en-US"/>
        </w:rPr>
        <w:instrText>undergone</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detailed</w:instrText>
      </w:r>
      <w:r w:rsidR="00E974B2" w:rsidRPr="006447F6">
        <w:instrText xml:space="preserve">, </w:instrText>
      </w:r>
      <w:r w:rsidR="00E974B2">
        <w:rPr>
          <w:lang w:val="en-US"/>
        </w:rPr>
        <w:instrText>sequential</w:instrText>
      </w:r>
      <w:r w:rsidR="00E974B2" w:rsidRPr="006447F6">
        <w:instrText xml:space="preserve"> </w:instrText>
      </w:r>
      <w:r w:rsidR="00E974B2">
        <w:rPr>
          <w:lang w:val="en-US"/>
        </w:rPr>
        <w:instrText>clinical</w:instrText>
      </w:r>
      <w:r w:rsidR="00E974B2" w:rsidRPr="006447F6">
        <w:instrText xml:space="preserve"> </w:instrText>
      </w:r>
      <w:r w:rsidR="00E974B2">
        <w:rPr>
          <w:lang w:val="en-US"/>
        </w:rPr>
        <w:instrText>development</w:instrText>
      </w:r>
      <w:r w:rsidR="00E974B2" w:rsidRPr="006447F6">
        <w:instrText xml:space="preserve"> </w:instrText>
      </w:r>
      <w:r w:rsidR="00E974B2">
        <w:rPr>
          <w:lang w:val="en-US"/>
        </w:rPr>
        <w:instrText>program</w:instrText>
      </w:r>
      <w:r w:rsidR="00E974B2" w:rsidRPr="006447F6">
        <w:instrText xml:space="preserve">. </w:instrText>
      </w:r>
      <w:r w:rsidR="00E974B2">
        <w:rPr>
          <w:lang w:val="en-US"/>
        </w:rPr>
        <w:instrText>This</w:instrText>
      </w:r>
      <w:r w:rsidR="00E974B2" w:rsidRPr="006447F6">
        <w:instrText xml:space="preserve"> </w:instrText>
      </w:r>
      <w:r w:rsidR="00E974B2">
        <w:rPr>
          <w:lang w:val="en-US"/>
        </w:rPr>
        <w:instrText>program</w:instrText>
      </w:r>
      <w:r w:rsidR="00E974B2" w:rsidRPr="006447F6">
        <w:instrText xml:space="preserve"> </w:instrText>
      </w:r>
      <w:r w:rsidR="00E974B2">
        <w:rPr>
          <w:lang w:val="en-US"/>
        </w:rPr>
        <w:instrText>demonstrated</w:instrText>
      </w:r>
      <w:r w:rsidR="00E974B2" w:rsidRPr="006447F6">
        <w:instrText xml:space="preserve"> </w:instrText>
      </w:r>
      <w:r w:rsidR="00E974B2">
        <w:rPr>
          <w:lang w:val="en-US"/>
        </w:rPr>
        <w:instrText>that</w:instrText>
      </w:r>
      <w:r w:rsidR="00E974B2" w:rsidRPr="006447F6">
        <w:instrText xml:space="preserve">, </w:instrText>
      </w:r>
      <w:r w:rsidR="00E974B2">
        <w:rPr>
          <w:lang w:val="en-US"/>
        </w:rPr>
        <w:instrText>at</w:instrText>
      </w:r>
      <w:r w:rsidR="00E974B2" w:rsidRPr="006447F6">
        <w:instrText xml:space="preserve"> </w:instrText>
      </w:r>
      <w:r w:rsidR="00E974B2">
        <w:rPr>
          <w:lang w:val="en-US"/>
        </w:rPr>
        <w:instrText>fixed</w:instrText>
      </w:r>
      <w:r w:rsidR="00E974B2" w:rsidRPr="006447F6">
        <w:instrText xml:space="preserve"> </w:instrText>
      </w:r>
      <w:r w:rsidR="00E974B2">
        <w:rPr>
          <w:lang w:val="en-US"/>
        </w:rPr>
        <w:instrText>doses</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SC</w:instrText>
      </w:r>
      <w:r w:rsidR="00E974B2" w:rsidRPr="006447F6">
        <w:instrText xml:space="preserve"> </w:instrText>
      </w:r>
      <w:r w:rsidR="00E974B2">
        <w:rPr>
          <w:lang w:val="en-US"/>
        </w:rPr>
        <w:instrText>achieves</w:instrText>
      </w:r>
      <w:r w:rsidR="00E974B2" w:rsidRPr="006447F6">
        <w:instrText xml:space="preserve"> </w:instrText>
      </w:r>
      <w:r w:rsidR="00E974B2">
        <w:rPr>
          <w:lang w:val="en-US"/>
        </w:rPr>
        <w:instrText>non</w:instrText>
      </w:r>
      <w:r w:rsidR="00E974B2" w:rsidRPr="006447F6">
        <w:instrText>-</w:instrText>
      </w:r>
      <w:r w:rsidR="00E974B2">
        <w:rPr>
          <w:lang w:val="en-US"/>
        </w:rPr>
        <w:instrText>inferior</w:instrText>
      </w:r>
      <w:r w:rsidR="00E974B2" w:rsidRPr="006447F6">
        <w:instrText xml:space="preserve"> </w:instrText>
      </w:r>
      <w:r w:rsidR="00E974B2">
        <w:rPr>
          <w:lang w:val="en-US"/>
        </w:rPr>
        <w:instrText>serum</w:instrText>
      </w:r>
      <w:r w:rsidR="00E974B2" w:rsidRPr="006447F6">
        <w:instrText xml:space="preserve"> </w:instrText>
      </w:r>
      <w:r w:rsidR="00E974B2">
        <w:rPr>
          <w:lang w:val="en-US"/>
        </w:rPr>
        <w:instrText>trough</w:instrText>
      </w:r>
      <w:r w:rsidR="00E974B2" w:rsidRPr="006447F6">
        <w:instrText xml:space="preserve"> </w:instrText>
      </w:r>
      <w:r w:rsidR="00E974B2">
        <w:rPr>
          <w:lang w:val="en-US"/>
        </w:rPr>
        <w:instrText>concentrations</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patients</w:instrText>
      </w:r>
      <w:r w:rsidR="00E974B2" w:rsidRPr="006447F6">
        <w:instrText xml:space="preserve"> </w:instrText>
      </w:r>
      <w:r w:rsidR="00E974B2">
        <w:rPr>
          <w:lang w:val="en-US"/>
        </w:rPr>
        <w:instrText>with</w:instrText>
      </w:r>
      <w:r w:rsidR="00E974B2" w:rsidRPr="006447F6">
        <w:instrText xml:space="preserve"> </w:instrText>
      </w:r>
      <w:r w:rsidR="00E974B2">
        <w:rPr>
          <w:lang w:val="en-US"/>
        </w:rPr>
        <w:instrText>non</w:instrText>
      </w:r>
      <w:r w:rsidR="00E974B2" w:rsidRPr="006447F6">
        <w:instrText>-</w:instrText>
      </w:r>
      <w:r w:rsidR="00E974B2">
        <w:rPr>
          <w:lang w:val="en-US"/>
        </w:rPr>
        <w:instrText>Hodgkin</w:instrText>
      </w:r>
      <w:r w:rsidR="00E974B2" w:rsidRPr="006447F6">
        <w:instrText xml:space="preserve"> </w:instrText>
      </w:r>
      <w:r w:rsidR="00E974B2">
        <w:rPr>
          <w:lang w:val="en-US"/>
        </w:rPr>
        <w:instrText>lymphoma</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chronic</w:instrText>
      </w:r>
      <w:r w:rsidR="00E974B2" w:rsidRPr="006447F6">
        <w:instrText xml:space="preserve"> </w:instrText>
      </w:r>
      <w:r w:rsidR="00E974B2">
        <w:rPr>
          <w:lang w:val="en-US"/>
        </w:rPr>
        <w:instrText>lymphocytic</w:instrText>
      </w:r>
      <w:r w:rsidR="00E974B2" w:rsidRPr="006447F6">
        <w:instrText xml:space="preserve"> </w:instrText>
      </w:r>
      <w:r w:rsidR="00E974B2">
        <w:rPr>
          <w:lang w:val="en-US"/>
        </w:rPr>
        <w:instrText>leukemia</w:instrText>
      </w:r>
      <w:r w:rsidR="00E974B2" w:rsidRPr="006447F6">
        <w:instrText xml:space="preserve">, </w:instrText>
      </w:r>
      <w:r w:rsidR="00E974B2">
        <w:rPr>
          <w:lang w:val="en-US"/>
        </w:rPr>
        <w:instrText>with</w:instrText>
      </w:r>
      <w:r w:rsidR="00E974B2" w:rsidRPr="006447F6">
        <w:instrText xml:space="preserve"> </w:instrText>
      </w:r>
      <w:r w:rsidR="00E974B2">
        <w:rPr>
          <w:lang w:val="en-US"/>
        </w:rPr>
        <w:instrText>comparable</w:instrText>
      </w:r>
      <w:r w:rsidR="00E974B2" w:rsidRPr="006447F6">
        <w:instrText xml:space="preserve"> </w:instrText>
      </w:r>
      <w:r w:rsidR="00E974B2">
        <w:rPr>
          <w:lang w:val="en-US"/>
        </w:rPr>
        <w:instrText>efficacy</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safety</w:instrText>
      </w:r>
      <w:r w:rsidR="00E974B2" w:rsidRPr="006447F6">
        <w:instrText xml:space="preserve"> </w:instrText>
      </w:r>
      <w:r w:rsidR="00E974B2">
        <w:rPr>
          <w:lang w:val="en-US"/>
        </w:rPr>
        <w:instrText>relative</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IV</w:instrText>
      </w:r>
      <w:r w:rsidR="00E974B2" w:rsidRPr="006447F6">
        <w:instrText xml:space="preserve"> </w:instrText>
      </w:r>
      <w:r w:rsidR="00E974B2">
        <w:rPr>
          <w:lang w:val="en-US"/>
        </w:rPr>
        <w:instrText>formulation</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added</w:instrText>
      </w:r>
      <w:r w:rsidR="00E974B2" w:rsidRPr="006447F6">
        <w:instrText xml:space="preserve"> </w:instrText>
      </w:r>
      <w:r w:rsidR="00E974B2">
        <w:rPr>
          <w:lang w:val="en-US"/>
        </w:rPr>
        <w:instrText>benefit</w:instrText>
      </w:r>
      <w:r w:rsidR="00E974B2" w:rsidRPr="006447F6">
        <w:instrText xml:space="preserve"> </w:instrText>
      </w:r>
      <w:r w:rsidR="00E974B2">
        <w:rPr>
          <w:lang w:val="en-US"/>
        </w:rPr>
        <w:instrText>of</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SC</w:instrText>
      </w:r>
      <w:r w:rsidR="00E974B2" w:rsidRPr="006447F6">
        <w:instrText xml:space="preserve"> </w:instrText>
      </w:r>
      <w:r w:rsidR="00E974B2">
        <w:rPr>
          <w:lang w:val="en-US"/>
        </w:rPr>
        <w:instrText>was</w:instrText>
      </w:r>
      <w:r w:rsidR="00E974B2" w:rsidRPr="006447F6">
        <w:instrText xml:space="preserve"> </w:instrText>
      </w:r>
      <w:r w:rsidR="00E974B2">
        <w:rPr>
          <w:lang w:val="en-US"/>
        </w:rPr>
        <w:instrText>demonstrated</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dedicated</w:instrText>
      </w:r>
      <w:r w:rsidR="00E974B2" w:rsidRPr="006447F6">
        <w:instrText xml:space="preserve"> </w:instrText>
      </w:r>
      <w:r w:rsidR="00E974B2">
        <w:rPr>
          <w:lang w:val="en-US"/>
        </w:rPr>
        <w:instrText>studies</w:instrText>
      </w:r>
      <w:r w:rsidR="00E974B2" w:rsidRPr="006447F6">
        <w:instrText xml:space="preserve"> </w:instrText>
      </w:r>
      <w:r w:rsidR="00E974B2">
        <w:rPr>
          <w:lang w:val="en-US"/>
        </w:rPr>
        <w:instrText>showing</w:instrText>
      </w:r>
      <w:r w:rsidR="00E974B2" w:rsidRPr="006447F6">
        <w:instrText xml:space="preserve"> </w:instrText>
      </w:r>
      <w:r w:rsidR="00E974B2">
        <w:rPr>
          <w:lang w:val="en-US"/>
        </w:rPr>
        <w:instrText>that</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SC</w:instrText>
      </w:r>
      <w:r w:rsidR="00E974B2" w:rsidRPr="006447F6">
        <w:instrText xml:space="preserve"> </w:instrText>
      </w:r>
      <w:r w:rsidR="00E974B2">
        <w:rPr>
          <w:lang w:val="en-US"/>
        </w:rPr>
        <w:instrText>allows</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simplified</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shortened</w:instrText>
      </w:r>
      <w:r w:rsidR="00E974B2" w:rsidRPr="006447F6">
        <w:instrText xml:space="preserve"> </w:instrText>
      </w:r>
      <w:r w:rsidR="00E974B2">
        <w:rPr>
          <w:lang w:val="en-US"/>
        </w:rPr>
        <w:instrText>drug</w:instrText>
      </w:r>
      <w:r w:rsidR="00E974B2" w:rsidRPr="006447F6">
        <w:instrText xml:space="preserve"> </w:instrText>
      </w:r>
      <w:r w:rsidR="00E974B2">
        <w:rPr>
          <w:lang w:val="en-US"/>
        </w:rPr>
        <w:instrText>preparation</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administration</w:instrText>
      </w:r>
      <w:r w:rsidR="00E974B2" w:rsidRPr="006447F6">
        <w:instrText xml:space="preserve"> </w:instrText>
      </w:r>
      <w:r w:rsidR="00E974B2">
        <w:rPr>
          <w:lang w:val="en-US"/>
        </w:rPr>
        <w:instrText>times</w:instrText>
      </w:r>
      <w:r w:rsidR="00E974B2" w:rsidRPr="006447F6">
        <w:instrText xml:space="preserve"> </w:instrText>
      </w:r>
      <w:r w:rsidR="00E974B2">
        <w:rPr>
          <w:lang w:val="en-US"/>
        </w:rPr>
        <w:instrText>resulting</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reduced</w:instrText>
      </w:r>
      <w:r w:rsidR="00E974B2" w:rsidRPr="006447F6">
        <w:instrText xml:space="preserve"> </w:instrText>
      </w:r>
      <w:r w:rsidR="00E974B2">
        <w:rPr>
          <w:lang w:val="en-US"/>
        </w:rPr>
        <w:instrText>treatment</w:instrText>
      </w:r>
      <w:r w:rsidR="00E974B2" w:rsidRPr="006447F6">
        <w:instrText xml:space="preserve"> </w:instrText>
      </w:r>
      <w:r w:rsidR="00E974B2">
        <w:rPr>
          <w:lang w:val="en-US"/>
        </w:rPr>
        <w:instrText>burden</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patients</w:instrText>
      </w:r>
      <w:r w:rsidR="00E974B2" w:rsidRPr="006447F6">
        <w:instrText xml:space="preserve"> </w:instrText>
      </w:r>
      <w:r w:rsidR="00E974B2">
        <w:rPr>
          <w:lang w:val="en-US"/>
        </w:rPr>
        <w:instrText>as</w:instrText>
      </w:r>
      <w:r w:rsidR="00E974B2" w:rsidRPr="006447F6">
        <w:instrText xml:space="preserve"> </w:instrText>
      </w:r>
      <w:r w:rsidR="00E974B2">
        <w:rPr>
          <w:lang w:val="en-US"/>
        </w:rPr>
        <w:instrText>well</w:instrText>
      </w:r>
      <w:r w:rsidR="00E974B2" w:rsidRPr="006447F6">
        <w:instrText xml:space="preserve"> </w:instrText>
      </w:r>
      <w:r w:rsidR="00E974B2">
        <w:rPr>
          <w:lang w:val="en-US"/>
        </w:rPr>
        <w:instrText>as</w:instrText>
      </w:r>
      <w:r w:rsidR="00E974B2" w:rsidRPr="006447F6">
        <w:instrText xml:space="preserve"> </w:instrText>
      </w:r>
      <w:r w:rsidR="00E974B2">
        <w:rPr>
          <w:lang w:val="en-US"/>
        </w:rPr>
        <w:instrText>improved</w:instrText>
      </w:r>
      <w:r w:rsidR="00E974B2" w:rsidRPr="006447F6">
        <w:instrText xml:space="preserve"> </w:instrText>
      </w:r>
      <w:r w:rsidR="00E974B2">
        <w:rPr>
          <w:lang w:val="en-US"/>
        </w:rPr>
        <w:instrText>resource</w:instrText>
      </w:r>
      <w:r w:rsidR="00E974B2" w:rsidRPr="006447F6">
        <w:instrText xml:space="preserve"> </w:instrText>
      </w:r>
      <w:r w:rsidR="00E974B2">
        <w:rPr>
          <w:lang w:val="en-US"/>
        </w:rPr>
        <w:instrText>utilization</w:instrText>
      </w:r>
      <w:r w:rsidR="00E974B2" w:rsidRPr="006447F6">
        <w:instrText xml:space="preserve"> (</w:instrText>
      </w:r>
      <w:r w:rsidR="00E974B2">
        <w:rPr>
          <w:lang w:val="en-US"/>
        </w:rPr>
        <w:instrText>efficiency</w:instrText>
      </w:r>
      <w:r w:rsidR="00E974B2" w:rsidRPr="006447F6">
        <w:instrText xml:space="preserve">) </w:instrText>
      </w:r>
      <w:r w:rsidR="00E974B2">
        <w:rPr>
          <w:lang w:val="en-US"/>
        </w:rPr>
        <w:instrText>at</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treatment</w:instrText>
      </w:r>
      <w:r w:rsidR="00E974B2" w:rsidRPr="006447F6">
        <w:instrText xml:space="preserve"> </w:instrText>
      </w:r>
      <w:r w:rsidR="00E974B2">
        <w:rPr>
          <w:lang w:val="en-US"/>
        </w:rPr>
        <w:instrText>facility</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improved</w:instrText>
      </w:r>
      <w:r w:rsidR="00E974B2" w:rsidRPr="006447F6">
        <w:instrText xml:space="preserve"> </w:instrText>
      </w:r>
      <w:r w:rsidR="00E974B2">
        <w:rPr>
          <w:lang w:val="en-US"/>
        </w:rPr>
        <w:instrText>efficiency</w:instrText>
      </w:r>
      <w:r w:rsidR="00E974B2" w:rsidRPr="006447F6">
        <w:instrText xml:space="preserve"> </w:instrText>
      </w:r>
      <w:r w:rsidR="00E974B2">
        <w:rPr>
          <w:lang w:val="en-US"/>
        </w:rPr>
        <w:instrText>of</w:instrText>
      </w:r>
      <w:r w:rsidR="00E974B2" w:rsidRPr="006447F6">
        <w:instrText xml:space="preserve"> </w:instrText>
      </w:r>
      <w:r w:rsidR="00E974B2">
        <w:rPr>
          <w:lang w:val="en-US"/>
        </w:rPr>
        <w:instrText>delivering</w:instrText>
      </w:r>
      <w:r w:rsidR="00E974B2" w:rsidRPr="006447F6">
        <w:instrText xml:space="preserve"> </w:instrText>
      </w:r>
      <w:r w:rsidR="00E974B2">
        <w:rPr>
          <w:lang w:val="en-US"/>
        </w:rPr>
        <w:instrText>rituximab</w:instrText>
      </w:r>
      <w:r w:rsidR="00E974B2" w:rsidRPr="006447F6">
        <w:instrText>’</w:instrText>
      </w:r>
      <w:r w:rsidR="00E974B2">
        <w:rPr>
          <w:lang w:val="en-US"/>
        </w:rPr>
        <w:instrText>s</w:instrText>
      </w:r>
      <w:r w:rsidR="00E974B2" w:rsidRPr="006447F6">
        <w:instrText xml:space="preserve"> </w:instrText>
      </w:r>
      <w:r w:rsidR="00E974B2">
        <w:rPr>
          <w:lang w:val="en-US"/>
        </w:rPr>
        <w:instrText>benefit</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patients</w:instrText>
      </w:r>
      <w:r w:rsidR="00E974B2" w:rsidRPr="006447F6">
        <w:instrText xml:space="preserve"> </w:instrText>
      </w:r>
      <w:r w:rsidR="00E974B2">
        <w:rPr>
          <w:lang w:val="en-US"/>
        </w:rPr>
        <w:instrText>may</w:instrText>
      </w:r>
      <w:r w:rsidR="00E974B2" w:rsidRPr="006447F6">
        <w:instrText xml:space="preserve"> </w:instrText>
      </w:r>
      <w:r w:rsidR="00E974B2">
        <w:rPr>
          <w:lang w:val="en-US"/>
        </w:rPr>
        <w:instrText>broaden</w:instrText>
      </w:r>
      <w:r w:rsidR="00E974B2" w:rsidRPr="006447F6">
        <w:instrText xml:space="preserve"> </w:instrText>
      </w:r>
      <w:r w:rsidR="00E974B2">
        <w:rPr>
          <w:lang w:val="en-US"/>
        </w:rPr>
        <w:instrText>patient</w:instrText>
      </w:r>
      <w:r w:rsidR="00E974B2" w:rsidRPr="006447F6">
        <w:instrText xml:space="preserve"> </w:instrText>
      </w:r>
      <w:r w:rsidR="00E974B2">
        <w:rPr>
          <w:lang w:val="en-US"/>
        </w:rPr>
        <w:instrText>access</w:instrText>
      </w:r>
      <w:r w:rsidR="00E974B2" w:rsidRPr="006447F6">
        <w:instrText xml:space="preserve"> </w:instrText>
      </w:r>
      <w:r w:rsidR="00E974B2">
        <w:rPr>
          <w:lang w:val="en-US"/>
        </w:rPr>
        <w:instrText>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w:instrText>
      </w:r>
      <w:r w:rsidR="00E974B2" w:rsidRPr="006C476A">
        <w:instrText xml:space="preserve">, </w:instrText>
      </w:r>
      <w:r w:rsidR="00E974B2">
        <w:rPr>
          <w:lang w:val="en-US"/>
        </w:rPr>
        <w:instrText>correct</w:instrText>
      </w:r>
      <w:r w:rsidR="00E974B2" w:rsidRPr="006C476A">
        <w:instrText xml:space="preserve"> </w:instrText>
      </w:r>
      <w:r w:rsidR="00E974B2">
        <w:rPr>
          <w:lang w:val="en-US"/>
        </w:rPr>
        <w:instrText>administration</w:instrText>
      </w:r>
      <w:r w:rsidR="00E974B2" w:rsidRPr="006C476A">
        <w:instrText xml:space="preserve"> </w:instrText>
      </w:r>
      <w:r w:rsidR="00E974B2">
        <w:rPr>
          <w:lang w:val="en-US"/>
        </w:rPr>
        <w:instrText>is</w:instrText>
      </w:r>
      <w:r w:rsidR="00E974B2" w:rsidRPr="006C476A">
        <w:instrText xml:space="preserve"> </w:instrText>
      </w:r>
      <w:r w:rsidR="00E974B2">
        <w:rPr>
          <w:lang w:val="en-US"/>
        </w:rPr>
        <w:instrText>needed</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reduce</w:instrText>
      </w:r>
      <w:r w:rsidR="00E974B2" w:rsidRPr="006C476A">
        <w:instrText xml:space="preserve"> </w:instrText>
      </w:r>
      <w:r w:rsidR="00E974B2">
        <w:rPr>
          <w:lang w:val="en-US"/>
        </w:rPr>
        <w:instrText>administration</w:instrText>
      </w:r>
      <w:r w:rsidR="00E974B2" w:rsidRPr="006C476A">
        <w:instrText>-</w:instrText>
      </w:r>
      <w:r w:rsidR="00E974B2">
        <w:rPr>
          <w:lang w:val="en-US"/>
        </w:rPr>
        <w:instrText>related</w:instrText>
      </w:r>
      <w:r w:rsidR="00E974B2" w:rsidRPr="006C476A">
        <w:instrText xml:space="preserve"> </w:instrText>
      </w:r>
      <w:r w:rsidR="00E974B2">
        <w:rPr>
          <w:lang w:val="en-US"/>
        </w:rPr>
        <w:instrText>reactions</w:instrText>
      </w:r>
      <w:r w:rsidR="00E974B2" w:rsidRPr="006C476A">
        <w:instrText xml:space="preserve">. </w:instrText>
      </w:r>
      <w:r w:rsidR="00E974B2">
        <w:rPr>
          <w:lang w:val="en-US"/>
        </w:rPr>
        <w:instrText>By</w:instrText>
      </w:r>
      <w:r w:rsidR="00E974B2" w:rsidRPr="006C476A">
        <w:instrText xml:space="preserve"> </w:instrText>
      </w:r>
      <w:r w:rsidR="00E974B2">
        <w:rPr>
          <w:lang w:val="en-US"/>
        </w:rPr>
        <w:instrText>using</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careful</w:instrText>
      </w:r>
      <w:r w:rsidR="00E974B2" w:rsidRPr="006C476A">
        <w:instrText xml:space="preserve"> </w:instrText>
      </w:r>
      <w:r w:rsidR="00E974B2">
        <w:rPr>
          <w:lang w:val="en-US"/>
        </w:rPr>
        <w:instrText>procedure</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sc</w:instrText>
      </w:r>
      <w:r w:rsidR="00E974B2" w:rsidRPr="006C476A">
        <w:instrText xml:space="preserve"> </w:instrText>
      </w:r>
      <w:r w:rsidR="00E974B2">
        <w:rPr>
          <w:lang w:val="en-US"/>
        </w:rPr>
        <w:instrText>formulation</w:instrText>
      </w:r>
      <w:r w:rsidR="00E974B2" w:rsidRPr="006C476A">
        <w:instrText xml:space="preserve"> </w:instrText>
      </w:r>
      <w:r w:rsidR="00E974B2">
        <w:rPr>
          <w:lang w:val="en-US"/>
        </w:rPr>
        <w:instrText>can</w:instrText>
      </w:r>
      <w:r w:rsidR="00E974B2" w:rsidRPr="006C476A">
        <w:instrText xml:space="preserve"> </w:instrText>
      </w:r>
      <w:r w:rsidR="00E974B2">
        <w:rPr>
          <w:lang w:val="en-US"/>
        </w:rPr>
        <w:instrText>be</w:instrText>
      </w:r>
      <w:r w:rsidR="00E974B2" w:rsidRPr="006C476A">
        <w:instrText xml:space="preserve"> </w:instrText>
      </w:r>
      <w:r w:rsidR="00E974B2">
        <w:rPr>
          <w:lang w:val="en-US"/>
        </w:rPr>
        <w:instrText>given</w:instrText>
      </w:r>
      <w:r w:rsidR="00E974B2" w:rsidRPr="006C476A">
        <w:instrText xml:space="preserve"> </w:instrText>
      </w:r>
      <w:r w:rsidR="00E974B2">
        <w:rPr>
          <w:lang w:val="en-US"/>
        </w:rPr>
        <w:instrText>safely</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effectively</w:instrText>
      </w:r>
      <w:r w:rsidR="00E974B2" w:rsidRPr="006C476A">
        <w:instrText xml:space="preserve">, </w:instrText>
      </w:r>
      <w:r w:rsidR="00E974B2">
        <w:rPr>
          <w:lang w:val="en-US"/>
        </w:rPr>
        <w:instrText>potentially</w:instrText>
      </w:r>
      <w:r w:rsidR="00E974B2" w:rsidRPr="006C476A">
        <w:instrText xml:space="preserve"> </w:instrText>
      </w:r>
      <w:r w:rsidR="00E974B2">
        <w:rPr>
          <w:lang w:val="en-US"/>
        </w:rPr>
        <w:instrText>reducing</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burden</w:instrText>
      </w:r>
      <w:r w:rsidR="00E974B2" w:rsidRPr="006C476A">
        <w:instrText xml:space="preserve"> </w:instrText>
      </w:r>
      <w:r w:rsidR="00E974B2">
        <w:rPr>
          <w:lang w:val="en-US"/>
        </w:rPr>
        <w:instrText>on</w:instrText>
      </w:r>
      <w:r w:rsidR="00E974B2" w:rsidRPr="006C476A">
        <w:instrText xml:space="preserve"> </w:instrText>
      </w:r>
      <w:r w:rsidR="00E974B2">
        <w:rPr>
          <w:lang w:val="en-US"/>
        </w:rPr>
        <w:instrText>health</w:instrText>
      </w:r>
      <w:r w:rsidR="00E974B2" w:rsidRPr="006C476A">
        <w:instrText xml:space="preserve"> </w:instrText>
      </w:r>
      <w:r w:rsidR="00E974B2">
        <w:rPr>
          <w:lang w:val="en-US"/>
        </w:rPr>
        <w:instrText>care</w:instrText>
      </w:r>
      <w:r w:rsidR="00E974B2" w:rsidRPr="006C476A">
        <w:instrText xml:space="preserve"> </w:instrText>
      </w:r>
      <w:r w:rsidR="00E974B2">
        <w:rPr>
          <w:lang w:val="en-US"/>
        </w:rPr>
        <w:instrText>resources</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improving</w:instrText>
      </w:r>
      <w:r w:rsidR="00E974B2" w:rsidRPr="006C476A">
        <w:instrText xml:space="preserve"> </w:instrText>
      </w:r>
      <w:r w:rsidR="00E974B2">
        <w:rPr>
          <w:lang w:val="en-US"/>
        </w:rPr>
        <w:instrText>quality</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life</w:instrText>
      </w:r>
      <w:r w:rsidR="00E974B2" w:rsidRPr="006C476A">
        <w:instrText xml:space="preserve"> </w:instrText>
      </w:r>
      <w:r w:rsidR="00E974B2">
        <w:rPr>
          <w:lang w:val="en-US"/>
        </w:rPr>
        <w:instrText>for</w:instrText>
      </w:r>
      <w:r w:rsidR="00E974B2" w:rsidRPr="006C476A">
        <w:instrText xml:space="preserve"> </w:instrText>
      </w:r>
      <w:r w:rsidR="00E974B2">
        <w:rPr>
          <w:lang w:val="en-US"/>
        </w:rPr>
        <w:instrText>patients</w:instrText>
      </w:r>
      <w:r w:rsidR="00E974B2" w:rsidRPr="006C476A">
        <w:instrText>.","</w:instrText>
      </w:r>
      <w:r w:rsidR="00E974B2">
        <w:rPr>
          <w:lang w:val="en-US"/>
        </w:rPr>
        <w:instrText>author</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Macdonald</w:instrText>
      </w:r>
      <w:r w:rsidR="00E974B2" w:rsidRPr="006C476A">
        <w:instrText>","</w:instrText>
      </w:r>
      <w:r w:rsidR="00E974B2">
        <w:rPr>
          <w:lang w:val="en-US"/>
        </w:rPr>
        <w:instrText>given</w:instrText>
      </w:r>
      <w:r w:rsidR="00E974B2" w:rsidRPr="006C476A">
        <w:instrText>":"</w:instrText>
      </w:r>
      <w:r w:rsidR="00E974B2">
        <w:rPr>
          <w:lang w:val="en-US"/>
        </w:rPr>
        <w:instrText>David</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Crosbie</w:instrText>
      </w:r>
      <w:r w:rsidR="00E974B2" w:rsidRPr="006C476A">
        <w:instrText>","</w:instrText>
      </w:r>
      <w:r w:rsidR="00E974B2">
        <w:rPr>
          <w:lang w:val="en-US"/>
        </w:rPr>
        <w:instrText>given</w:instrText>
      </w:r>
      <w:r w:rsidR="00E974B2" w:rsidRPr="006C476A">
        <w:instrText>":"</w:instrText>
      </w:r>
      <w:r w:rsidR="00E974B2">
        <w:rPr>
          <w:lang w:val="en-US"/>
        </w:rPr>
        <w:instrText>T</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Christofides</w:instrText>
      </w:r>
      <w:r w:rsidR="00E974B2" w:rsidRPr="006C476A">
        <w:instrText>","</w:instrText>
      </w:r>
      <w:r w:rsidR="00E974B2">
        <w:rPr>
          <w:lang w:val="en-US"/>
        </w:rPr>
        <w:instrText>given</w:instrText>
      </w:r>
      <w:r w:rsidR="00E974B2" w:rsidRPr="006C476A">
        <w:instrText>":"</w:instrText>
      </w:r>
      <w:r w:rsidR="00E974B2">
        <w:rPr>
          <w:lang w:val="en-US"/>
        </w:rPr>
        <w:instrText>A</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Assaily</w:instrText>
      </w:r>
      <w:r w:rsidR="00E974B2" w:rsidRPr="006C476A">
        <w:instrText>","</w:instrText>
      </w:r>
      <w:r w:rsidR="00E974B2">
        <w:rPr>
          <w:lang w:val="en-US"/>
        </w:rPr>
        <w:instrText>given</w:instrText>
      </w:r>
      <w:r w:rsidR="00E974B2" w:rsidRPr="006C476A">
        <w:instrText>":"</w:instrText>
      </w:r>
      <w:r w:rsidR="00E974B2">
        <w:rPr>
          <w:lang w:val="en-US"/>
        </w:rPr>
        <w:instrText>W</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Wiernikowski</w:instrText>
      </w:r>
      <w:r w:rsidR="00E974B2" w:rsidRPr="006C476A">
        <w:instrText>","</w:instrText>
      </w:r>
      <w:r w:rsidR="00E974B2">
        <w:rPr>
          <w:lang w:val="en-US"/>
        </w:rPr>
        <w:instrText>given</w:instrText>
      </w:r>
      <w:r w:rsidR="00E974B2" w:rsidRPr="006C476A">
        <w:instrText>":"</w:instrText>
      </w:r>
      <w:r w:rsidR="00E974B2">
        <w:rPr>
          <w:lang w:val="en-US"/>
        </w:rPr>
        <w:instrText>J</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container</w:instrText>
      </w:r>
      <w:r w:rsidR="00E974B2" w:rsidRPr="006C476A">
        <w:instrText>-</w:instrText>
      </w:r>
      <w:r w:rsidR="00E974B2">
        <w:rPr>
          <w:lang w:val="en-US"/>
        </w:rPr>
        <w:instrText>title</w:instrText>
      </w:r>
      <w:r w:rsidR="00E974B2" w:rsidRPr="006C476A">
        <w:instrText>":"</w:instrText>
      </w:r>
      <w:r w:rsidR="00E974B2">
        <w:rPr>
          <w:lang w:val="en-US"/>
        </w:rPr>
        <w:instrText>Current</w:instrText>
      </w:r>
      <w:r w:rsidR="00E974B2" w:rsidRPr="006C476A">
        <w:instrText xml:space="preserve"> </w:instrText>
      </w:r>
      <w:r w:rsidR="00E974B2">
        <w:rPr>
          <w:lang w:val="en-US"/>
        </w:rPr>
        <w:instrText>Oncology</w:instrText>
      </w:r>
      <w:r w:rsidR="00E974B2" w:rsidRPr="006C476A">
        <w:instrText>","</w:instrText>
      </w:r>
      <w:r w:rsidR="00E974B2">
        <w:rPr>
          <w:lang w:val="en-US"/>
        </w:rPr>
        <w:instrText>id</w:instrText>
      </w:r>
      <w:r w:rsidR="00E974B2" w:rsidRPr="006C476A">
        <w:instrText>":"</w:instrText>
      </w:r>
      <w:r w:rsidR="00E974B2">
        <w:rPr>
          <w:lang w:val="en-US"/>
        </w:rPr>
        <w:instrText>ITEM</w:instrText>
      </w:r>
      <w:r w:rsidR="00E974B2" w:rsidRPr="006C476A">
        <w:instrText>-4","</w:instrText>
      </w:r>
      <w:r w:rsidR="00E974B2">
        <w:rPr>
          <w:lang w:val="en-US"/>
        </w:rPr>
        <w:instrText>issue</w:instrText>
      </w:r>
      <w:r w:rsidR="00E974B2" w:rsidRPr="006C476A">
        <w:instrText>":"1","</w:instrText>
      </w:r>
      <w:r w:rsidR="00E974B2">
        <w:rPr>
          <w:lang w:val="en-US"/>
        </w:rPr>
        <w:instrText>issued</w:instrText>
      </w:r>
      <w:r w:rsidR="00E974B2" w:rsidRPr="006C476A">
        <w:instrText>":{"</w:instrText>
      </w:r>
      <w:r w:rsidR="00E974B2">
        <w:rPr>
          <w:lang w:val="en-US"/>
        </w:rPr>
        <w:instrText>date</w:instrText>
      </w:r>
      <w:r w:rsidR="00E974B2" w:rsidRPr="006C476A">
        <w:instrText>-</w:instrText>
      </w:r>
      <w:r w:rsidR="00E974B2">
        <w:rPr>
          <w:lang w:val="en-US"/>
        </w:rPr>
        <w:instrText>parts</w:instrText>
      </w:r>
      <w:r w:rsidR="00E974B2" w:rsidRPr="006C476A">
        <w:instrText>":[["2017"]]},"</w:instrText>
      </w:r>
      <w:r w:rsidR="00E974B2">
        <w:rPr>
          <w:lang w:val="en-US"/>
        </w:rPr>
        <w:instrText>page</w:instrText>
      </w:r>
      <w:r w:rsidR="00E974B2" w:rsidRPr="006C476A">
        <w:instrText>":"33-39","</w:instrText>
      </w:r>
      <w:r w:rsidR="00E974B2">
        <w:rPr>
          <w:lang w:val="en-US"/>
        </w:rPr>
        <w:instrText>publisher</w:instrText>
      </w:r>
      <w:r w:rsidR="00E974B2" w:rsidRPr="006C476A">
        <w:instrText>":"</w:instrText>
      </w:r>
      <w:r w:rsidR="00E974B2">
        <w:rPr>
          <w:lang w:val="en-US"/>
        </w:rPr>
        <w:instrText>Multimed</w:instrText>
      </w:r>
      <w:r w:rsidR="00E974B2" w:rsidRPr="006C476A">
        <w:instrText xml:space="preserve"> </w:instrText>
      </w:r>
      <w:r w:rsidR="00E974B2">
        <w:rPr>
          <w:lang w:val="en-US"/>
        </w:rPr>
        <w:instrText>Inc</w:instrText>
      </w:r>
      <w:r w:rsidR="00E974B2" w:rsidRPr="006C476A">
        <w:instrText>.","</w:instrText>
      </w:r>
      <w:r w:rsidR="00E974B2">
        <w:rPr>
          <w:lang w:val="en-US"/>
        </w:rPr>
        <w:instrText>title</w:instrText>
      </w:r>
      <w:r w:rsidR="00E974B2" w:rsidRPr="006C476A">
        <w:instrText>":"</w:instrText>
      </w:r>
      <w:r w:rsidR="00E974B2">
        <w:rPr>
          <w:lang w:val="en-US"/>
        </w:rPr>
        <w:instrText>A</w:instrText>
      </w:r>
      <w:r w:rsidR="00E974B2" w:rsidRPr="006C476A">
        <w:instrText xml:space="preserve"> </w:instrText>
      </w:r>
      <w:r w:rsidR="00E974B2">
        <w:rPr>
          <w:lang w:val="en-US"/>
        </w:rPr>
        <w:instrText>canadian</w:instrText>
      </w:r>
      <w:r w:rsidR="00E974B2" w:rsidRPr="006C476A">
        <w:instrText xml:space="preserve"> </w:instrText>
      </w:r>
      <w:r w:rsidR="00E974B2">
        <w:rPr>
          <w:lang w:val="en-US"/>
        </w:rPr>
        <w:instrText>perspective</w:instrText>
      </w:r>
      <w:r w:rsidR="00E974B2" w:rsidRPr="006C476A">
        <w:instrText xml:space="preserve"> </w:instrText>
      </w:r>
      <w:r w:rsidR="00E974B2">
        <w:rPr>
          <w:lang w:val="en-US"/>
        </w:rPr>
        <w:instrText>on</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subcutaneous</w:instrText>
      </w:r>
      <w:r w:rsidR="00E974B2" w:rsidRPr="006C476A">
        <w:instrText xml:space="preserve"> </w:instrText>
      </w:r>
      <w:r w:rsidR="00E974B2">
        <w:rPr>
          <w:lang w:val="en-US"/>
        </w:rPr>
        <w:instrText>administration</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in</w:instrText>
      </w:r>
      <w:r w:rsidR="00E974B2" w:rsidRPr="006C476A">
        <w:instrText xml:space="preserve"> </w:instrText>
      </w:r>
      <w:r w:rsidR="00E974B2">
        <w:rPr>
          <w:lang w:val="en-US"/>
        </w:rPr>
        <w:instrText>non</w:instrText>
      </w:r>
      <w:r w:rsidR="00E974B2" w:rsidRPr="006C476A">
        <w:instrText>-</w:instrText>
      </w:r>
      <w:r w:rsidR="00E974B2">
        <w:rPr>
          <w:lang w:val="en-US"/>
        </w:rPr>
        <w:instrText>Hodgkin</w:instrText>
      </w:r>
      <w:r w:rsidR="00E974B2" w:rsidRPr="006C476A">
        <w:instrText xml:space="preserve"> </w:instrText>
      </w:r>
      <w:r w:rsidR="00E974B2">
        <w:rPr>
          <w:lang w:val="en-US"/>
        </w:rPr>
        <w:instrText>lymphoma</w:instrText>
      </w:r>
      <w:r w:rsidR="00E974B2" w:rsidRPr="006C476A">
        <w:instrText>","</w:instrText>
      </w:r>
      <w:r w:rsidR="00E974B2">
        <w:rPr>
          <w:lang w:val="en-US"/>
        </w:rPr>
        <w:instrText>type</w:instrText>
      </w:r>
      <w:r w:rsidR="00E974B2" w:rsidRPr="006C476A">
        <w:instrText>":"</w:instrText>
      </w:r>
      <w:r w:rsidR="00E974B2">
        <w:rPr>
          <w:lang w:val="en-US"/>
        </w:rPr>
        <w:instrText>article</w:instrText>
      </w:r>
      <w:r w:rsidR="00E974B2" w:rsidRPr="006C476A">
        <w:instrText>","</w:instrText>
      </w:r>
      <w:r w:rsidR="00E974B2">
        <w:rPr>
          <w:lang w:val="en-US"/>
        </w:rPr>
        <w:instrText>volume</w:instrText>
      </w:r>
      <w:r w:rsidR="00E974B2" w:rsidRPr="006C476A">
        <w:instrText>":"24"},"</w:instrText>
      </w:r>
      <w:r w:rsidR="00E974B2">
        <w:rPr>
          <w:lang w:val="en-US"/>
        </w:rPr>
        <w:instrText>uris</w:instrText>
      </w:r>
      <w:r w:rsidR="00E974B2" w:rsidRPr="006C476A">
        <w:instrText>":["</w:instrText>
      </w:r>
      <w:r w:rsidR="00E974B2">
        <w:rPr>
          <w:lang w:val="en-US"/>
        </w:rPr>
        <w:instrText>http</w:instrText>
      </w:r>
      <w:r w:rsidR="00E974B2" w:rsidRPr="006C476A">
        <w:instrText>://</w:instrText>
      </w:r>
      <w:r w:rsidR="00E974B2">
        <w:rPr>
          <w:lang w:val="en-US"/>
        </w:rPr>
        <w:instrText>www</w:instrText>
      </w:r>
      <w:r w:rsidR="00E974B2" w:rsidRPr="006C476A">
        <w:instrText>.</w:instrText>
      </w:r>
      <w:r w:rsidR="00E974B2">
        <w:rPr>
          <w:lang w:val="en-US"/>
        </w:rPr>
        <w:instrText>mendeley</w:instrText>
      </w:r>
      <w:r w:rsidR="00E974B2" w:rsidRPr="006C476A">
        <w:instrText>.</w:instrText>
      </w:r>
      <w:r w:rsidR="00E974B2">
        <w:rPr>
          <w:lang w:val="en-US"/>
        </w:rPr>
        <w:instrText>com</w:instrText>
      </w:r>
      <w:r w:rsidR="00E974B2" w:rsidRPr="006C476A">
        <w:instrText>/</w:instrText>
      </w:r>
      <w:r w:rsidR="00E974B2">
        <w:rPr>
          <w:lang w:val="en-US"/>
        </w:rPr>
        <w:instrText>documents</w:instrText>
      </w:r>
      <w:r w:rsidR="00E974B2" w:rsidRPr="006C476A">
        <w:instrText>/?</w:instrText>
      </w:r>
      <w:r w:rsidR="00E974B2">
        <w:rPr>
          <w:lang w:val="en-US"/>
        </w:rPr>
        <w:instrText>uuid</w:instrText>
      </w:r>
      <w:r w:rsidR="00E974B2" w:rsidRPr="006C476A">
        <w:instrText>=0</w:instrText>
      </w:r>
      <w:r w:rsidR="00E974B2">
        <w:rPr>
          <w:lang w:val="en-US"/>
        </w:rPr>
        <w:instrText>dec</w:instrText>
      </w:r>
      <w:r w:rsidR="00E974B2" w:rsidRPr="006C476A">
        <w:instrText>225</w:instrText>
      </w:r>
      <w:r w:rsidR="00E974B2">
        <w:rPr>
          <w:lang w:val="en-US"/>
        </w:rPr>
        <w:instrText>e</w:instrText>
      </w:r>
      <w:r w:rsidR="00E974B2" w:rsidRPr="006C476A">
        <w:instrText>-8</w:instrText>
      </w:r>
      <w:r w:rsidR="00E974B2">
        <w:rPr>
          <w:lang w:val="en-US"/>
        </w:rPr>
        <w:instrText>a</w:instrText>
      </w:r>
      <w:r w:rsidR="00E974B2" w:rsidRPr="006C476A">
        <w:instrText>47-3680-</w:instrText>
      </w:r>
      <w:r w:rsidR="00E974B2">
        <w:rPr>
          <w:lang w:val="en-US"/>
        </w:rPr>
        <w:instrText>ba</w:instrText>
      </w:r>
      <w:r w:rsidR="00E974B2" w:rsidRPr="006C476A">
        <w:instrText>4</w:instrText>
      </w:r>
      <w:r w:rsidR="00E974B2">
        <w:rPr>
          <w:lang w:val="en-US"/>
        </w:rPr>
        <w:instrText>d</w:instrText>
      </w:r>
      <w:r w:rsidR="00E974B2" w:rsidRPr="006C476A">
        <w:instrText>-891955</w:instrText>
      </w:r>
      <w:r w:rsidR="00E974B2">
        <w:rPr>
          <w:lang w:val="en-US"/>
        </w:rPr>
        <w:instrText>a</w:instrText>
      </w:r>
      <w:r w:rsidR="00E974B2" w:rsidRPr="006C476A">
        <w:instrText>938</w:instrText>
      </w:r>
      <w:r w:rsidR="00E974B2">
        <w:rPr>
          <w:lang w:val="en-US"/>
        </w:rPr>
        <w:instrText>a</w:instrText>
      </w:r>
      <w:r w:rsidR="00E974B2" w:rsidRPr="006C476A">
        <w:instrText>1"]}],"</w:instrText>
      </w:r>
      <w:r w:rsidR="00E974B2">
        <w:rPr>
          <w:lang w:val="en-US"/>
        </w:rPr>
        <w:instrText>mendeley</w:instrText>
      </w:r>
      <w:r w:rsidR="00E974B2" w:rsidRPr="006C476A">
        <w:instrText>":{"</w:instrText>
      </w:r>
      <w:r w:rsidR="00E974B2">
        <w:rPr>
          <w:lang w:val="en-US"/>
        </w:rPr>
        <w:instrText>formattedCitation</w:instrText>
      </w:r>
      <w:r w:rsidR="00E974B2" w:rsidRPr="006C476A">
        <w:instrText>":"[180–183]","</w:instrText>
      </w:r>
      <w:r w:rsidR="00E974B2">
        <w:rPr>
          <w:lang w:val="en-US"/>
        </w:rPr>
        <w:instrText>plainTextFormattedCitation</w:instrText>
      </w:r>
      <w:r w:rsidR="00E974B2" w:rsidRPr="006C476A">
        <w:instrText>":"[180–183]","</w:instrText>
      </w:r>
      <w:r w:rsidR="00E974B2">
        <w:rPr>
          <w:lang w:val="en-US"/>
        </w:rPr>
        <w:instrText>previouslyFormattedCitation</w:instrText>
      </w:r>
      <w:r w:rsidR="00E974B2" w:rsidRPr="006C476A">
        <w:instrText>":"[180–183]"},"</w:instrText>
      </w:r>
      <w:r w:rsidR="00E974B2">
        <w:rPr>
          <w:lang w:val="en-US"/>
        </w:rPr>
        <w:instrText>properties</w:instrText>
      </w:r>
      <w:r w:rsidR="00E974B2" w:rsidRPr="006C476A">
        <w:instrText>":{"</w:instrText>
      </w:r>
      <w:r w:rsidR="00E974B2">
        <w:rPr>
          <w:lang w:val="en-US"/>
        </w:rPr>
        <w:instrText>noteIndex</w:instrText>
      </w:r>
      <w:r w:rsidR="00E974B2" w:rsidRPr="006C476A">
        <w:instrText>":0},"</w:instrText>
      </w:r>
      <w:r w:rsidR="00E974B2">
        <w:rPr>
          <w:lang w:val="en-US"/>
        </w:rPr>
        <w:instrText>schema</w:instrText>
      </w:r>
      <w:r w:rsidR="00E974B2" w:rsidRPr="006C476A">
        <w:instrText>":"</w:instrText>
      </w:r>
      <w:r w:rsidR="00E974B2">
        <w:rPr>
          <w:lang w:val="en-US"/>
        </w:rPr>
        <w:instrText>https</w:instrText>
      </w:r>
      <w:r w:rsidR="00E974B2" w:rsidRPr="006C476A">
        <w:instrText>://</w:instrText>
      </w:r>
      <w:r w:rsidR="00E974B2">
        <w:rPr>
          <w:lang w:val="en-US"/>
        </w:rPr>
        <w:instrText>github</w:instrText>
      </w:r>
      <w:r w:rsidR="00E974B2" w:rsidRPr="006C476A">
        <w:instrText>.</w:instrText>
      </w:r>
      <w:r w:rsidR="00E974B2">
        <w:rPr>
          <w:lang w:val="en-US"/>
        </w:rPr>
        <w:instrText>com</w:instrText>
      </w:r>
      <w:r w:rsidR="00E974B2" w:rsidRPr="006C476A">
        <w:instrText>/</w:instrText>
      </w:r>
      <w:r w:rsidR="00E974B2">
        <w:rPr>
          <w:lang w:val="en-US"/>
        </w:rPr>
        <w:instrText>citation</w:instrText>
      </w:r>
      <w:r w:rsidR="00E974B2" w:rsidRPr="006C476A">
        <w:instrText>-</w:instrText>
      </w:r>
      <w:r w:rsidR="00E974B2">
        <w:rPr>
          <w:lang w:val="en-US"/>
        </w:rPr>
        <w:instrText>style</w:instrText>
      </w:r>
      <w:r w:rsidR="00E974B2" w:rsidRPr="006C476A">
        <w:instrText>-</w:instrText>
      </w:r>
      <w:r w:rsidR="00E974B2">
        <w:rPr>
          <w:lang w:val="en-US"/>
        </w:rPr>
        <w:instrText>language</w:instrText>
      </w:r>
      <w:r w:rsidR="00E974B2" w:rsidRPr="006C476A">
        <w:instrText>/</w:instrText>
      </w:r>
      <w:r w:rsidR="00E974B2">
        <w:rPr>
          <w:lang w:val="en-US"/>
        </w:rPr>
        <w:instrText>schema</w:instrText>
      </w:r>
      <w:r w:rsidR="00E974B2" w:rsidRPr="006C476A">
        <w:instrText>/</w:instrText>
      </w:r>
      <w:r w:rsidR="00E974B2">
        <w:rPr>
          <w:lang w:val="en-US"/>
        </w:rPr>
        <w:instrText>raw</w:instrText>
      </w:r>
      <w:r w:rsidR="00E974B2" w:rsidRPr="006C476A">
        <w:instrText>/</w:instrText>
      </w:r>
      <w:r w:rsidR="00E974B2">
        <w:rPr>
          <w:lang w:val="en-US"/>
        </w:rPr>
        <w:instrText>master</w:instrText>
      </w:r>
      <w:r w:rsidR="00E974B2" w:rsidRPr="006C476A">
        <w:instrText>/</w:instrText>
      </w:r>
      <w:r w:rsidR="00E974B2">
        <w:rPr>
          <w:lang w:val="en-US"/>
        </w:rPr>
        <w:instrText>csl</w:instrText>
      </w:r>
      <w:r w:rsidR="00E974B2" w:rsidRPr="006C476A">
        <w:instrText>-</w:instrText>
      </w:r>
      <w:r w:rsidR="00E974B2">
        <w:rPr>
          <w:lang w:val="en-US"/>
        </w:rPr>
        <w:instrText>citation</w:instrText>
      </w:r>
      <w:r w:rsidR="00E974B2" w:rsidRPr="006C476A">
        <w:instrText>.</w:instrText>
      </w:r>
      <w:r w:rsidR="00E974B2">
        <w:rPr>
          <w:lang w:val="en-US"/>
        </w:rPr>
        <w:instrText>json</w:instrText>
      </w:r>
      <w:r w:rsidR="00E974B2" w:rsidRPr="006C476A">
        <w:instrText>"}</w:instrText>
      </w:r>
      <w:r w:rsidRPr="000322E4">
        <w:rPr>
          <w:lang w:val="en-US"/>
        </w:rPr>
        <w:fldChar w:fldCharType="separate"/>
      </w:r>
      <w:r w:rsidR="004C51FF" w:rsidRPr="004C51FF">
        <w:rPr>
          <w:noProof/>
        </w:rPr>
        <w:t>[180–183]</w:t>
      </w:r>
      <w:r w:rsidRPr="000322E4">
        <w:rPr>
          <w:lang w:val="en-US"/>
        </w:rPr>
        <w:fldChar w:fldCharType="end"/>
      </w:r>
    </w:p>
    <w:p w14:paraId="65C3BCD6" w14:textId="77777777" w:rsidR="00666D68" w:rsidRPr="000322E4" w:rsidRDefault="00666D68" w:rsidP="008E3584">
      <w:pPr>
        <w:numPr>
          <w:ilvl w:val="0"/>
          <w:numId w:val="42"/>
        </w:numPr>
        <w:rPr>
          <w:b/>
          <w:bCs/>
        </w:rPr>
      </w:pPr>
      <w:r w:rsidRPr="000322E4">
        <w:t>Доксорубицин</w:t>
      </w:r>
      <w:r w:rsidRPr="000322E4">
        <w:rPr>
          <w:bCs/>
        </w:rPr>
        <w:t>**</w:t>
      </w:r>
      <w:r w:rsidRPr="000322E4">
        <w:t xml:space="preserve"> 50 мг/м</w:t>
      </w:r>
      <w:r w:rsidRPr="000322E4">
        <w:rPr>
          <w:vertAlign w:val="superscript"/>
        </w:rPr>
        <w:t>2</w:t>
      </w:r>
      <w:r w:rsidRPr="000322E4">
        <w:t xml:space="preserve"> в/в кап., день 1, нед. 1, 3, 5, 7, 9, 11</w:t>
      </w:r>
    </w:p>
    <w:p w14:paraId="2130527C" w14:textId="77777777" w:rsidR="00666D68" w:rsidRPr="000322E4" w:rsidRDefault="00666D68" w:rsidP="008E3584">
      <w:pPr>
        <w:numPr>
          <w:ilvl w:val="0"/>
          <w:numId w:val="42"/>
        </w:numPr>
        <w:rPr>
          <w:b/>
          <w:bCs/>
        </w:rPr>
      </w:pPr>
      <w:r w:rsidRPr="000322E4">
        <w:t>Циклофосфамид</w:t>
      </w:r>
      <w:r w:rsidRPr="000322E4">
        <w:rPr>
          <w:bCs/>
        </w:rPr>
        <w:t>**</w:t>
      </w:r>
      <w:r w:rsidRPr="000322E4">
        <w:t xml:space="preserve"> 350 мг/м</w:t>
      </w:r>
      <w:r w:rsidRPr="000322E4">
        <w:rPr>
          <w:vertAlign w:val="superscript"/>
        </w:rPr>
        <w:t>2</w:t>
      </w:r>
      <w:r w:rsidRPr="000322E4">
        <w:t xml:space="preserve"> в/в кап., день 1, нед. 1, 3, 5, 7, 9, 11</w:t>
      </w:r>
    </w:p>
    <w:p w14:paraId="55D9125F" w14:textId="77777777" w:rsidR="00666D68" w:rsidRPr="000322E4" w:rsidRDefault="00F35A3E" w:rsidP="008E3584">
      <w:pPr>
        <w:numPr>
          <w:ilvl w:val="0"/>
          <w:numId w:val="42"/>
        </w:numPr>
      </w:pPr>
      <w:r w:rsidRPr="00F35A3E">
        <w:t>#</w:t>
      </w:r>
      <w:r w:rsidR="00666D68" w:rsidRPr="000322E4">
        <w:t>Винкристин</w:t>
      </w:r>
      <w:r w:rsidR="00666D68" w:rsidRPr="000322E4">
        <w:rPr>
          <w:bCs/>
        </w:rPr>
        <w:t>**</w:t>
      </w:r>
      <w:r w:rsidR="00666D68" w:rsidRPr="000322E4">
        <w:t xml:space="preserve"> 1,4 мг/м</w:t>
      </w:r>
      <w:r w:rsidR="00666D68" w:rsidRPr="000322E4">
        <w:rPr>
          <w:vertAlign w:val="superscript"/>
        </w:rPr>
        <w:t>2</w:t>
      </w:r>
      <w:r w:rsidR="00666D68" w:rsidRPr="000322E4">
        <w:t xml:space="preserve"> (суммарно не более 2 мг) в/в, день 1, нед. 2, 4, 6, 8, 10, 12</w:t>
      </w:r>
    </w:p>
    <w:p w14:paraId="03A2B09D" w14:textId="77777777" w:rsidR="00666D68" w:rsidRPr="000322E4" w:rsidRDefault="00666D68" w:rsidP="008E3584">
      <w:pPr>
        <w:numPr>
          <w:ilvl w:val="0"/>
          <w:numId w:val="42"/>
        </w:numPr>
        <w:rPr>
          <w:b/>
          <w:bCs/>
        </w:rPr>
      </w:pPr>
      <w:r w:rsidRPr="000322E4">
        <w:t>Метотрексат</w:t>
      </w:r>
      <w:r w:rsidRPr="000322E4">
        <w:rPr>
          <w:bCs/>
        </w:rPr>
        <w:t>**</w:t>
      </w:r>
      <w:r w:rsidRPr="000322E4">
        <w:t xml:space="preserve"> 400 мг/м</w:t>
      </w:r>
      <w:r w:rsidRPr="000322E4">
        <w:rPr>
          <w:vertAlign w:val="superscript"/>
        </w:rPr>
        <w:t>2</w:t>
      </w:r>
      <w:r w:rsidRPr="000322E4">
        <w:t xml:space="preserve"> в/в кап., день 1, нед. 2, 6, 10</w:t>
      </w:r>
    </w:p>
    <w:p w14:paraId="135E324E" w14:textId="77777777" w:rsidR="00666D68" w:rsidRPr="000322E4" w:rsidRDefault="00666D68" w:rsidP="008E3584">
      <w:pPr>
        <w:numPr>
          <w:ilvl w:val="0"/>
          <w:numId w:val="42"/>
        </w:numPr>
        <w:rPr>
          <w:b/>
          <w:bCs/>
        </w:rPr>
      </w:pPr>
      <w:r w:rsidRPr="000322E4">
        <w:t>Кальция фолинат</w:t>
      </w:r>
      <w:r w:rsidRPr="000322E4">
        <w:rPr>
          <w:bCs/>
        </w:rPr>
        <w:t>**</w:t>
      </w:r>
      <w:r w:rsidRPr="000322E4">
        <w:t xml:space="preserve"> 15 мг внутрь каждые 6 часов х 6 приемов, начиная через 24 часа после метотрексата </w:t>
      </w:r>
    </w:p>
    <w:p w14:paraId="1FBCA7D0" w14:textId="77777777" w:rsidR="00666D68" w:rsidRPr="000322E4" w:rsidRDefault="00666D68" w:rsidP="008E3584">
      <w:pPr>
        <w:numPr>
          <w:ilvl w:val="0"/>
          <w:numId w:val="42"/>
        </w:numPr>
        <w:rPr>
          <w:b/>
          <w:bCs/>
        </w:rPr>
      </w:pPr>
      <w:r w:rsidRPr="000322E4">
        <w:t>Блеомицин</w:t>
      </w:r>
      <w:r w:rsidRPr="000322E4">
        <w:rPr>
          <w:bCs/>
        </w:rPr>
        <w:t>**</w:t>
      </w:r>
      <w:r w:rsidRPr="000322E4">
        <w:t xml:space="preserve"> 10 мг/м</w:t>
      </w:r>
      <w:r w:rsidRPr="000322E4">
        <w:rPr>
          <w:vertAlign w:val="superscript"/>
        </w:rPr>
        <w:t>2</w:t>
      </w:r>
      <w:r w:rsidRPr="000322E4">
        <w:t xml:space="preserve"> в/в, день 1, нед. 4, 8, 12</w:t>
      </w:r>
    </w:p>
    <w:p w14:paraId="237EA95C" w14:textId="77777777" w:rsidR="00666D68" w:rsidRPr="000322E4" w:rsidRDefault="00666D68" w:rsidP="008E3584">
      <w:pPr>
        <w:numPr>
          <w:ilvl w:val="0"/>
          <w:numId w:val="42"/>
        </w:numPr>
        <w:rPr>
          <w:b/>
          <w:bCs/>
        </w:rPr>
      </w:pPr>
      <w:r w:rsidRPr="000322E4">
        <w:t>Преднизолон</w:t>
      </w:r>
      <w:r w:rsidRPr="000322E4">
        <w:rPr>
          <w:bCs/>
        </w:rPr>
        <w:t>**</w:t>
      </w:r>
      <w:r w:rsidRPr="000322E4">
        <w:t xml:space="preserve"> 75 мг/сут. внутрь непрерывно 10 недель с постепенным снижением дозы в течение 11-12 недель или только недели 1, 3, 5, 7, 9, 11</w:t>
      </w:r>
    </w:p>
    <w:p w14:paraId="4D33FD3F" w14:textId="77777777" w:rsidR="00666D68" w:rsidRPr="000322E4" w:rsidRDefault="00666D68" w:rsidP="008E3584">
      <w:pPr>
        <w:ind w:left="360"/>
      </w:pPr>
    </w:p>
    <w:p w14:paraId="5E873705" w14:textId="77777777" w:rsidR="00666D68" w:rsidRPr="000322E4" w:rsidRDefault="00666D68" w:rsidP="008E3584">
      <w:pPr>
        <w:rPr>
          <w:b/>
          <w:bCs/>
        </w:rPr>
      </w:pPr>
      <w:r w:rsidRPr="000322E4">
        <w:rPr>
          <w:b/>
          <w:bCs/>
          <w:lang w:val="en-US"/>
        </w:rPr>
        <w:t>DA</w:t>
      </w:r>
      <w:r w:rsidRPr="000322E4">
        <w:rPr>
          <w:b/>
          <w:bCs/>
        </w:rPr>
        <w:t>-</w:t>
      </w:r>
      <w:r w:rsidRPr="000322E4">
        <w:rPr>
          <w:b/>
          <w:bCs/>
          <w:lang w:val="en-US"/>
        </w:rPr>
        <w:t>R</w:t>
      </w:r>
      <w:r w:rsidRPr="000322E4">
        <w:rPr>
          <w:b/>
          <w:bCs/>
        </w:rPr>
        <w:t>-</w:t>
      </w:r>
      <w:r w:rsidRPr="000322E4">
        <w:rPr>
          <w:b/>
          <w:bCs/>
          <w:lang w:val="en-US"/>
        </w:rPr>
        <w:t>EPOCH</w:t>
      </w:r>
      <w:r w:rsidRPr="000322E4">
        <w:rPr>
          <w:b/>
          <w:bCs/>
        </w:rPr>
        <w:t xml:space="preserve"> </w:t>
      </w:r>
      <w:r w:rsidRPr="000322E4">
        <w:rPr>
          <w:b/>
          <w:bCs/>
          <w:lang w:val="en-US"/>
        </w:rPr>
        <w:fldChar w:fldCharType="begin" w:fldLock="1"/>
      </w:r>
      <w:r w:rsidR="00C37789" w:rsidRPr="000322E4">
        <w:rPr>
          <w:b/>
          <w:bCs/>
          <w:lang w:val="en-US"/>
        </w:rPr>
        <w:instrText>ADDIN</w:instrText>
      </w:r>
      <w:r w:rsidR="00C37789" w:rsidRPr="00F35A3E">
        <w:rPr>
          <w:b/>
          <w:bCs/>
        </w:rPr>
        <w:instrText xml:space="preserve"> </w:instrText>
      </w:r>
      <w:r w:rsidR="00C37789" w:rsidRPr="000322E4">
        <w:rPr>
          <w:b/>
          <w:bCs/>
          <w:lang w:val="en-US"/>
        </w:rPr>
        <w:instrText>CSL</w:instrText>
      </w:r>
      <w:r w:rsidR="00C37789" w:rsidRPr="00F35A3E">
        <w:rPr>
          <w:b/>
          <w:bCs/>
        </w:rPr>
        <w:instrText>_</w:instrText>
      </w:r>
      <w:r w:rsidR="00C37789" w:rsidRPr="000322E4">
        <w:rPr>
          <w:b/>
          <w:bCs/>
          <w:lang w:val="en-US"/>
        </w:rPr>
        <w:instrText>CITATION</w:instrText>
      </w:r>
      <w:r w:rsidR="00C37789" w:rsidRPr="00F35A3E">
        <w:rPr>
          <w:b/>
          <w:bCs/>
        </w:rPr>
        <w:instrText xml:space="preserve"> {"</w:instrText>
      </w:r>
      <w:r w:rsidR="00C37789" w:rsidRPr="000322E4">
        <w:rPr>
          <w:b/>
          <w:bCs/>
          <w:lang w:val="en-US"/>
        </w:rPr>
        <w:instrText>citationItems</w:instrText>
      </w:r>
      <w:r w:rsidR="00C37789" w:rsidRPr="00F35A3E">
        <w:rPr>
          <w:b/>
          <w:bCs/>
        </w:rPr>
        <w:instrText>":[{"</w:instrText>
      </w:r>
      <w:r w:rsidR="00C37789" w:rsidRPr="000322E4">
        <w:rPr>
          <w:b/>
          <w:bCs/>
          <w:lang w:val="en-US"/>
        </w:rPr>
        <w:instrText>id</w:instrText>
      </w:r>
      <w:r w:rsidR="00C37789" w:rsidRPr="00F35A3E">
        <w:rPr>
          <w:b/>
          <w:bCs/>
        </w:rPr>
        <w:instrText>":"</w:instrText>
      </w:r>
      <w:r w:rsidR="00C37789" w:rsidRPr="000322E4">
        <w:rPr>
          <w:b/>
          <w:bCs/>
          <w:lang w:val="en-US"/>
        </w:rPr>
        <w:instrText>ITEM</w:instrText>
      </w:r>
      <w:r w:rsidR="00C37789" w:rsidRPr="00F35A3E">
        <w:rPr>
          <w:b/>
          <w:bCs/>
        </w:rPr>
        <w:instrText>-1","</w:instrText>
      </w:r>
      <w:r w:rsidR="00C37789" w:rsidRPr="000322E4">
        <w:rPr>
          <w:b/>
          <w:bCs/>
          <w:lang w:val="en-US"/>
        </w:rPr>
        <w:instrText>itemData</w:instrText>
      </w:r>
      <w:r w:rsidR="00C37789" w:rsidRPr="00F35A3E">
        <w:rPr>
          <w:b/>
          <w:bCs/>
        </w:rPr>
        <w:instrText>":{"</w:instrText>
      </w:r>
      <w:r w:rsidR="00C37789" w:rsidRPr="000322E4">
        <w:rPr>
          <w:b/>
          <w:bCs/>
          <w:lang w:val="en-US"/>
        </w:rPr>
        <w:instrText>DOI</w:instrText>
      </w:r>
      <w:r w:rsidR="00C37789" w:rsidRPr="00F35A3E">
        <w:rPr>
          <w:b/>
          <w:bCs/>
        </w:rPr>
        <w:instrText>":"10.1056/</w:instrText>
      </w:r>
      <w:r w:rsidR="00C37789" w:rsidRPr="000322E4">
        <w:rPr>
          <w:b/>
          <w:bCs/>
          <w:lang w:val="en-US"/>
        </w:rPr>
        <w:instrText>NEJMoa</w:instrText>
      </w:r>
      <w:r w:rsidR="00C37789" w:rsidRPr="00F35A3E">
        <w:rPr>
          <w:b/>
          <w:bCs/>
        </w:rPr>
        <w:instrText>1214561","</w:instrText>
      </w:r>
      <w:r w:rsidR="00C37789" w:rsidRPr="000322E4">
        <w:rPr>
          <w:b/>
          <w:bCs/>
          <w:lang w:val="en-US"/>
        </w:rPr>
        <w:instrText>ISSN</w:instrText>
      </w:r>
      <w:r w:rsidR="00C37789" w:rsidRPr="00F35A3E">
        <w:rPr>
          <w:b/>
          <w:bCs/>
        </w:rPr>
        <w:instrText>":"15334406","</w:instrText>
      </w:r>
      <w:r w:rsidR="00C37789" w:rsidRPr="000322E4">
        <w:rPr>
          <w:b/>
          <w:bCs/>
          <w:lang w:val="en-US"/>
        </w:rPr>
        <w:instrText>abstract</w:instrText>
      </w:r>
      <w:r w:rsidR="00C37789" w:rsidRPr="00F35A3E">
        <w:rPr>
          <w:b/>
          <w:bCs/>
        </w:rPr>
        <w:instrText>":"</w:instrText>
      </w:r>
      <w:r w:rsidR="00C37789" w:rsidRPr="000322E4">
        <w:rPr>
          <w:b/>
          <w:bCs/>
          <w:lang w:val="en-US"/>
        </w:rPr>
        <w:instrText>BACKGROUND</w:instrText>
      </w:r>
      <w:r w:rsidR="00C37789" w:rsidRPr="00F35A3E">
        <w:rPr>
          <w:b/>
          <w:bCs/>
        </w:rPr>
        <w:instrText xml:space="preserve">: </w:instrText>
      </w:r>
      <w:r w:rsidR="00C37789" w:rsidRPr="000322E4">
        <w:rPr>
          <w:b/>
          <w:bCs/>
          <w:lang w:val="en-US"/>
        </w:rPr>
        <w:instrText>Primary</w:instrText>
      </w:r>
      <w:r w:rsidR="00C37789" w:rsidRPr="00F35A3E">
        <w:rPr>
          <w:b/>
          <w:bCs/>
        </w:rPr>
        <w:instrText xml:space="preserve"> </w:instrText>
      </w:r>
      <w:r w:rsidR="00C37789" w:rsidRPr="000322E4">
        <w:rPr>
          <w:b/>
          <w:bCs/>
          <w:lang w:val="en-US"/>
        </w:rPr>
        <w:instrText>mediastinal</w:instrText>
      </w:r>
      <w:r w:rsidR="00C37789" w:rsidRPr="00F35A3E">
        <w:rPr>
          <w:b/>
          <w:bCs/>
        </w:rPr>
        <w:instrText xml:space="preserve"> </w:instrText>
      </w:r>
      <w:r w:rsidR="00C37789" w:rsidRPr="000322E4">
        <w:rPr>
          <w:b/>
          <w:bCs/>
          <w:lang w:val="en-US"/>
        </w:rPr>
        <w:instrText>B</w:instrText>
      </w:r>
      <w:r w:rsidR="00C37789" w:rsidRPr="00F35A3E">
        <w:rPr>
          <w:b/>
          <w:bCs/>
        </w:rPr>
        <w:instrText>-</w:instrText>
      </w:r>
      <w:r w:rsidR="00C37789" w:rsidRPr="000322E4">
        <w:rPr>
          <w:b/>
          <w:bCs/>
          <w:lang w:val="en-US"/>
        </w:rPr>
        <w:instrText>cell</w:instrText>
      </w:r>
      <w:r w:rsidR="00C37789" w:rsidRPr="00F35A3E">
        <w:rPr>
          <w:b/>
          <w:bCs/>
        </w:rPr>
        <w:instrText xml:space="preserve"> </w:instrText>
      </w:r>
      <w:r w:rsidR="00C37789" w:rsidRPr="000322E4">
        <w:rPr>
          <w:b/>
          <w:bCs/>
          <w:lang w:val="en-US"/>
        </w:rPr>
        <w:instrText>lymphoma</w:instrText>
      </w:r>
      <w:r w:rsidR="00C37789" w:rsidRPr="00F35A3E">
        <w:rPr>
          <w:b/>
          <w:bCs/>
        </w:rPr>
        <w:instrText xml:space="preserve"> </w:instrText>
      </w:r>
      <w:r w:rsidR="00C37789" w:rsidRPr="000322E4">
        <w:rPr>
          <w:b/>
          <w:bCs/>
          <w:lang w:val="en-US"/>
        </w:rPr>
        <w:instrText>is</w:instrText>
      </w:r>
      <w:r w:rsidR="00C37789" w:rsidRPr="00F35A3E">
        <w:rPr>
          <w:b/>
          <w:bCs/>
        </w:rPr>
        <w:instrText xml:space="preserve"> </w:instrText>
      </w:r>
      <w:r w:rsidR="00C37789" w:rsidRPr="000322E4">
        <w:rPr>
          <w:b/>
          <w:bCs/>
          <w:lang w:val="en-US"/>
        </w:rPr>
        <w:instrText>a</w:instrText>
      </w:r>
      <w:r w:rsidR="00C37789" w:rsidRPr="00F35A3E">
        <w:rPr>
          <w:b/>
          <w:bCs/>
        </w:rPr>
        <w:instrText xml:space="preserve"> </w:instrText>
      </w:r>
      <w:r w:rsidR="00C37789" w:rsidRPr="000322E4">
        <w:rPr>
          <w:b/>
          <w:bCs/>
          <w:lang w:val="en-US"/>
        </w:rPr>
        <w:instrText>distinct</w:instrText>
      </w:r>
      <w:r w:rsidR="00C37789" w:rsidRPr="00F35A3E">
        <w:rPr>
          <w:b/>
          <w:bCs/>
        </w:rPr>
        <w:instrText xml:space="preserve"> </w:instrText>
      </w:r>
      <w:r w:rsidR="00C37789" w:rsidRPr="000322E4">
        <w:rPr>
          <w:b/>
          <w:bCs/>
          <w:lang w:val="en-US"/>
        </w:rPr>
        <w:instrText>subtype</w:instrText>
      </w:r>
      <w:r w:rsidR="00C37789" w:rsidRPr="00F35A3E">
        <w:rPr>
          <w:b/>
          <w:bCs/>
        </w:rPr>
        <w:instrText xml:space="preserve"> </w:instrText>
      </w:r>
      <w:r w:rsidR="00C37789" w:rsidRPr="000322E4">
        <w:rPr>
          <w:b/>
          <w:bCs/>
          <w:lang w:val="en-US"/>
        </w:rPr>
        <w:instrText>of</w:instrText>
      </w:r>
      <w:r w:rsidR="00C37789" w:rsidRPr="00F35A3E">
        <w:rPr>
          <w:b/>
          <w:bCs/>
        </w:rPr>
        <w:instrText xml:space="preserve"> </w:instrText>
      </w:r>
      <w:r w:rsidR="00C37789" w:rsidRPr="000322E4">
        <w:rPr>
          <w:b/>
          <w:bCs/>
          <w:lang w:val="en-US"/>
        </w:rPr>
        <w:instrText>diffuse</w:instrText>
      </w:r>
      <w:r w:rsidR="00C37789" w:rsidRPr="00F35A3E">
        <w:rPr>
          <w:b/>
          <w:bCs/>
        </w:rPr>
        <w:instrText xml:space="preserve"> </w:instrText>
      </w:r>
      <w:r w:rsidR="00C37789" w:rsidRPr="000322E4">
        <w:rPr>
          <w:b/>
          <w:bCs/>
          <w:lang w:val="en-US"/>
        </w:rPr>
        <w:instrText>large</w:instrText>
      </w:r>
      <w:r w:rsidR="00C37789" w:rsidRPr="00F35A3E">
        <w:rPr>
          <w:b/>
          <w:bCs/>
        </w:rPr>
        <w:instrText>-</w:instrText>
      </w:r>
      <w:r w:rsidR="00C37789" w:rsidRPr="000322E4">
        <w:rPr>
          <w:b/>
          <w:bCs/>
          <w:lang w:val="en-US"/>
        </w:rPr>
        <w:instrText>B</w:instrText>
      </w:r>
      <w:r w:rsidR="00C37789" w:rsidRPr="00F35A3E">
        <w:rPr>
          <w:b/>
          <w:bCs/>
        </w:rPr>
        <w:instrText>-</w:instrText>
      </w:r>
      <w:r w:rsidR="00C37789" w:rsidRPr="000322E4">
        <w:rPr>
          <w:b/>
          <w:bCs/>
          <w:lang w:val="en-US"/>
        </w:rPr>
        <w:instrText>cell</w:instrText>
      </w:r>
      <w:r w:rsidR="00C37789" w:rsidRPr="00F35A3E">
        <w:rPr>
          <w:b/>
          <w:bCs/>
        </w:rPr>
        <w:instrText xml:space="preserve"> </w:instrText>
      </w:r>
      <w:r w:rsidR="00C37789" w:rsidRPr="000322E4">
        <w:rPr>
          <w:b/>
          <w:bCs/>
          <w:lang w:val="en-US"/>
        </w:rPr>
        <w:instrText>lymphoma</w:instrText>
      </w:r>
      <w:r w:rsidR="00C37789" w:rsidRPr="00F35A3E">
        <w:rPr>
          <w:b/>
          <w:bCs/>
        </w:rPr>
        <w:instrText xml:space="preserve"> </w:instrText>
      </w:r>
      <w:r w:rsidR="00C37789" w:rsidRPr="000322E4">
        <w:rPr>
          <w:b/>
          <w:bCs/>
          <w:lang w:val="en-US"/>
        </w:rPr>
        <w:instrText>that</w:instrText>
      </w:r>
      <w:r w:rsidR="00C37789" w:rsidRPr="00F35A3E">
        <w:rPr>
          <w:b/>
          <w:bCs/>
        </w:rPr>
        <w:instrText xml:space="preserve"> </w:instrText>
      </w:r>
      <w:r w:rsidR="00C37789" w:rsidRPr="000322E4">
        <w:rPr>
          <w:b/>
          <w:bCs/>
          <w:lang w:val="en-US"/>
        </w:rPr>
        <w:instrText>is</w:instrText>
      </w:r>
      <w:r w:rsidR="00C37789" w:rsidRPr="00F35A3E">
        <w:rPr>
          <w:b/>
          <w:bCs/>
        </w:rPr>
        <w:instrText xml:space="preserve"> </w:instrText>
      </w:r>
      <w:r w:rsidR="00C37789" w:rsidRPr="000322E4">
        <w:rPr>
          <w:b/>
          <w:bCs/>
          <w:lang w:val="en-US"/>
        </w:rPr>
        <w:instrText>closely</w:instrText>
      </w:r>
      <w:r w:rsidR="00C37789" w:rsidRPr="00F35A3E">
        <w:rPr>
          <w:b/>
          <w:bCs/>
        </w:rPr>
        <w:instrText xml:space="preserve"> </w:instrText>
      </w:r>
      <w:r w:rsidR="00C37789" w:rsidRPr="000322E4">
        <w:rPr>
          <w:b/>
          <w:bCs/>
          <w:lang w:val="en-US"/>
        </w:rPr>
        <w:instrText>related</w:instrText>
      </w:r>
      <w:r w:rsidR="00C37789" w:rsidRPr="00F35A3E">
        <w:rPr>
          <w:b/>
          <w:bCs/>
        </w:rPr>
        <w:instrText xml:space="preserve"> </w:instrText>
      </w:r>
      <w:r w:rsidR="00C37789" w:rsidRPr="000322E4">
        <w:rPr>
          <w:b/>
          <w:bCs/>
          <w:lang w:val="en-US"/>
        </w:rPr>
        <w:instrText>to</w:instrText>
      </w:r>
      <w:r w:rsidR="00C37789" w:rsidRPr="00F35A3E">
        <w:rPr>
          <w:b/>
          <w:bCs/>
        </w:rPr>
        <w:instrText xml:space="preserve"> </w:instrText>
      </w:r>
      <w:r w:rsidR="00C37789" w:rsidRPr="000322E4">
        <w:rPr>
          <w:b/>
          <w:bCs/>
          <w:lang w:val="en-US"/>
        </w:rPr>
        <w:instrText>nodular</w:instrText>
      </w:r>
      <w:r w:rsidR="00C37789" w:rsidRPr="00F35A3E">
        <w:rPr>
          <w:b/>
          <w:bCs/>
        </w:rPr>
        <w:instrText xml:space="preserve"> </w:instrText>
      </w:r>
      <w:r w:rsidR="00C37789" w:rsidRPr="000322E4">
        <w:rPr>
          <w:b/>
          <w:bCs/>
          <w:lang w:val="en-US"/>
        </w:rPr>
        <w:instrText>sclerosing</w:instrText>
      </w:r>
      <w:r w:rsidR="00C37789" w:rsidRPr="00F35A3E">
        <w:rPr>
          <w:b/>
          <w:bCs/>
        </w:rPr>
        <w:instrText xml:space="preserve"> </w:instrText>
      </w:r>
      <w:r w:rsidR="00C37789" w:rsidRPr="000322E4">
        <w:rPr>
          <w:b/>
          <w:bCs/>
          <w:lang w:val="en-US"/>
        </w:rPr>
        <w:instrText>Hodgkin</w:instrText>
      </w:r>
      <w:r w:rsidR="00C37789" w:rsidRPr="00F35A3E">
        <w:rPr>
          <w:b/>
          <w:bCs/>
        </w:rPr>
        <w:instrText>'</w:instrText>
      </w:r>
      <w:r w:rsidR="00C37789" w:rsidRPr="000322E4">
        <w:rPr>
          <w:b/>
          <w:bCs/>
          <w:lang w:val="en-US"/>
        </w:rPr>
        <w:instrText>s</w:instrText>
      </w:r>
      <w:r w:rsidR="00C37789" w:rsidRPr="00F35A3E">
        <w:rPr>
          <w:b/>
          <w:bCs/>
        </w:rPr>
        <w:instrText xml:space="preserve"> </w:instrText>
      </w:r>
      <w:r w:rsidR="00C37789" w:rsidRPr="000322E4">
        <w:rPr>
          <w:b/>
          <w:bCs/>
          <w:lang w:val="en-US"/>
        </w:rPr>
        <w:instrText>lymphoma</w:instrText>
      </w:r>
      <w:r w:rsidR="00C37789" w:rsidRPr="00F35A3E">
        <w:rPr>
          <w:b/>
          <w:bCs/>
        </w:rPr>
        <w:instrText xml:space="preserve">. </w:instrText>
      </w:r>
      <w:r w:rsidR="00C37789" w:rsidRPr="000322E4">
        <w:rPr>
          <w:b/>
          <w:bCs/>
          <w:lang w:val="en-US"/>
        </w:rPr>
        <w:instrText>Patients</w:instrText>
      </w:r>
      <w:r w:rsidR="00C37789" w:rsidRPr="00F35A3E">
        <w:rPr>
          <w:b/>
          <w:bCs/>
        </w:rPr>
        <w:instrText xml:space="preserve"> </w:instrText>
      </w:r>
      <w:r w:rsidR="00C37789" w:rsidRPr="000322E4">
        <w:rPr>
          <w:b/>
          <w:bCs/>
          <w:lang w:val="en-US"/>
        </w:rPr>
        <w:instrText>are</w:instrText>
      </w:r>
      <w:r w:rsidR="00C37789" w:rsidRPr="00F35A3E">
        <w:rPr>
          <w:b/>
          <w:bCs/>
        </w:rPr>
        <w:instrText xml:space="preserve"> </w:instrText>
      </w:r>
      <w:r w:rsidR="00C37789" w:rsidRPr="000322E4">
        <w:rPr>
          <w:b/>
          <w:bCs/>
          <w:lang w:val="en-US"/>
        </w:rPr>
        <w:instrText>usually</w:instrText>
      </w:r>
      <w:r w:rsidR="00C37789" w:rsidRPr="00F35A3E">
        <w:rPr>
          <w:b/>
          <w:bCs/>
        </w:rPr>
        <w:instrText xml:space="preserve"> </w:instrText>
      </w:r>
      <w:r w:rsidR="00C37789" w:rsidRPr="000322E4">
        <w:rPr>
          <w:b/>
          <w:bCs/>
          <w:lang w:val="en-US"/>
        </w:rPr>
        <w:instrText>young</w:instrText>
      </w:r>
      <w:r w:rsidR="00C37789" w:rsidRPr="00F35A3E">
        <w:rPr>
          <w:b/>
          <w:bCs/>
        </w:rPr>
        <w:instrText xml:space="preserve"> </w:instrText>
      </w:r>
      <w:r w:rsidR="00C37789" w:rsidRPr="000322E4">
        <w:rPr>
          <w:b/>
          <w:bCs/>
          <w:lang w:val="en-US"/>
        </w:rPr>
        <w:instrText>and</w:instrText>
      </w:r>
      <w:r w:rsidR="00C37789" w:rsidRPr="00F35A3E">
        <w:rPr>
          <w:b/>
          <w:bCs/>
        </w:rPr>
        <w:instrText xml:space="preserve"> </w:instrText>
      </w:r>
      <w:r w:rsidR="00C37789" w:rsidRPr="000322E4">
        <w:rPr>
          <w:b/>
          <w:bCs/>
          <w:lang w:val="en-US"/>
        </w:rPr>
        <w:instrText>present</w:instrText>
      </w:r>
      <w:r w:rsidR="00C37789" w:rsidRPr="00F35A3E">
        <w:rPr>
          <w:b/>
          <w:bCs/>
        </w:rPr>
        <w:instrText xml:space="preserve"> </w:instrText>
      </w:r>
      <w:r w:rsidR="00C37789" w:rsidRPr="000322E4">
        <w:rPr>
          <w:b/>
          <w:bCs/>
          <w:lang w:val="en-US"/>
        </w:rPr>
        <w:instrText>with</w:instrText>
      </w:r>
      <w:r w:rsidR="00C37789" w:rsidRPr="00F35A3E">
        <w:rPr>
          <w:b/>
          <w:bCs/>
        </w:rPr>
        <w:instrText xml:space="preserve"> </w:instrText>
      </w:r>
      <w:r w:rsidR="00C37789" w:rsidRPr="000322E4">
        <w:rPr>
          <w:b/>
          <w:bCs/>
          <w:lang w:val="en-US"/>
        </w:rPr>
        <w:instrText>large</w:instrText>
      </w:r>
      <w:r w:rsidR="00C37789" w:rsidRPr="00F35A3E">
        <w:rPr>
          <w:b/>
          <w:bCs/>
        </w:rPr>
        <w:instrText xml:space="preserve"> </w:instrText>
      </w:r>
      <w:r w:rsidR="00C37789" w:rsidRPr="000322E4">
        <w:rPr>
          <w:b/>
          <w:bCs/>
          <w:lang w:val="en-US"/>
        </w:rPr>
        <w:instrText>mediastinal</w:instrText>
      </w:r>
      <w:r w:rsidR="00C37789" w:rsidRPr="00F35A3E">
        <w:rPr>
          <w:b/>
          <w:bCs/>
        </w:rPr>
        <w:instrText xml:space="preserve"> </w:instrText>
      </w:r>
      <w:r w:rsidR="00C37789" w:rsidRPr="000322E4">
        <w:rPr>
          <w:b/>
          <w:bCs/>
          <w:lang w:val="en-US"/>
        </w:rPr>
        <w:instrText>masses</w:instrText>
      </w:r>
      <w:r w:rsidR="00C37789" w:rsidRPr="00F35A3E">
        <w:rPr>
          <w:b/>
          <w:bCs/>
        </w:rPr>
        <w:instrText xml:space="preserve">. </w:instrText>
      </w:r>
      <w:r w:rsidR="00C37789" w:rsidRPr="000322E4">
        <w:rPr>
          <w:b/>
          <w:bCs/>
          <w:lang w:val="en-US"/>
        </w:rPr>
        <w:instrText>There</w:instrText>
      </w:r>
      <w:r w:rsidR="00C37789" w:rsidRPr="00F35A3E">
        <w:rPr>
          <w:b/>
          <w:bCs/>
        </w:rPr>
        <w:instrText xml:space="preserve"> </w:instrText>
      </w:r>
      <w:r w:rsidR="00C37789" w:rsidRPr="000322E4">
        <w:rPr>
          <w:b/>
          <w:bCs/>
          <w:lang w:val="en-US"/>
        </w:rPr>
        <w:instrText>is</w:instrText>
      </w:r>
      <w:r w:rsidR="00C37789" w:rsidRPr="00F35A3E">
        <w:rPr>
          <w:b/>
          <w:bCs/>
        </w:rPr>
        <w:instrText xml:space="preserve"> </w:instrText>
      </w:r>
      <w:r w:rsidR="00C37789" w:rsidRPr="000322E4">
        <w:rPr>
          <w:b/>
          <w:bCs/>
          <w:lang w:val="en-US"/>
        </w:rPr>
        <w:instrText>no</w:instrText>
      </w:r>
      <w:r w:rsidR="00C37789" w:rsidRPr="00F35A3E">
        <w:rPr>
          <w:b/>
          <w:bCs/>
        </w:rPr>
        <w:instrText xml:space="preserve"> </w:instrText>
      </w:r>
      <w:r w:rsidR="00C37789" w:rsidRPr="000322E4">
        <w:rPr>
          <w:b/>
          <w:bCs/>
          <w:lang w:val="en-US"/>
        </w:rPr>
        <w:instrText>standard</w:instrText>
      </w:r>
      <w:r w:rsidR="00C37789" w:rsidRPr="00F35A3E">
        <w:rPr>
          <w:b/>
          <w:bCs/>
        </w:rPr>
        <w:instrText xml:space="preserve"> </w:instrText>
      </w:r>
      <w:r w:rsidR="00C37789" w:rsidRPr="000322E4">
        <w:rPr>
          <w:b/>
          <w:bCs/>
          <w:lang w:val="en-US"/>
        </w:rPr>
        <w:instrText>treatment</w:instrText>
      </w:r>
      <w:r w:rsidR="00C37789" w:rsidRPr="00F35A3E">
        <w:rPr>
          <w:b/>
          <w:bCs/>
        </w:rPr>
        <w:instrText xml:space="preserve">, </w:instrText>
      </w:r>
      <w:r w:rsidR="00C37789" w:rsidRPr="000322E4">
        <w:rPr>
          <w:b/>
          <w:bCs/>
          <w:lang w:val="en-US"/>
        </w:rPr>
        <w:instrText>but</w:instrText>
      </w:r>
      <w:r w:rsidR="00C37789" w:rsidRPr="00F35A3E">
        <w:rPr>
          <w:b/>
          <w:bCs/>
        </w:rPr>
        <w:instrText xml:space="preserve"> </w:instrText>
      </w:r>
      <w:r w:rsidR="00C37789" w:rsidRPr="000322E4">
        <w:rPr>
          <w:b/>
          <w:bCs/>
          <w:lang w:val="en-US"/>
        </w:rPr>
        <w:instrText>the</w:instrText>
      </w:r>
      <w:r w:rsidR="00C37789" w:rsidRPr="00F35A3E">
        <w:rPr>
          <w:b/>
          <w:bCs/>
        </w:rPr>
        <w:instrText xml:space="preserve"> </w:instrText>
      </w:r>
      <w:r w:rsidR="00C37789" w:rsidRPr="000322E4">
        <w:rPr>
          <w:b/>
          <w:bCs/>
          <w:lang w:val="en-US"/>
        </w:rPr>
        <w:instrText>inadequacy</w:instrText>
      </w:r>
      <w:r w:rsidR="00C37789" w:rsidRPr="00F35A3E">
        <w:rPr>
          <w:b/>
          <w:bCs/>
        </w:rPr>
        <w:instrText xml:space="preserve"> </w:instrText>
      </w:r>
      <w:r w:rsidR="00C37789" w:rsidRPr="000322E4">
        <w:rPr>
          <w:b/>
          <w:bCs/>
          <w:lang w:val="en-US"/>
        </w:rPr>
        <w:instrText>of</w:instrText>
      </w:r>
      <w:r w:rsidR="00C37789" w:rsidRPr="00F35A3E">
        <w:rPr>
          <w:b/>
          <w:bCs/>
        </w:rPr>
        <w:instrText xml:space="preserve"> </w:instrText>
      </w:r>
      <w:r w:rsidR="00C37789" w:rsidRPr="000322E4">
        <w:rPr>
          <w:b/>
          <w:bCs/>
          <w:lang w:val="en-US"/>
        </w:rPr>
        <w:instrText>immunochemotherapy</w:instrText>
      </w:r>
      <w:r w:rsidR="00C37789" w:rsidRPr="00F35A3E">
        <w:rPr>
          <w:b/>
          <w:bCs/>
        </w:rPr>
        <w:instrText xml:space="preserve"> </w:instrText>
      </w:r>
      <w:r w:rsidR="00C37789" w:rsidRPr="000322E4">
        <w:rPr>
          <w:b/>
          <w:bCs/>
          <w:lang w:val="en-US"/>
        </w:rPr>
        <w:instrText>alone</w:instrText>
      </w:r>
      <w:r w:rsidR="00C37789" w:rsidRPr="00F35A3E">
        <w:rPr>
          <w:b/>
          <w:bCs/>
        </w:rPr>
        <w:instrText xml:space="preserve"> </w:instrText>
      </w:r>
      <w:r w:rsidR="00C37789" w:rsidRPr="000322E4">
        <w:rPr>
          <w:b/>
          <w:bCs/>
          <w:lang w:val="en-US"/>
        </w:rPr>
        <w:instrText>has</w:instrText>
      </w:r>
      <w:r w:rsidR="00C37789" w:rsidRPr="00F35A3E">
        <w:rPr>
          <w:b/>
          <w:bCs/>
        </w:rPr>
        <w:instrText xml:space="preserve"> </w:instrText>
      </w:r>
      <w:r w:rsidR="00C37789" w:rsidRPr="000322E4">
        <w:rPr>
          <w:b/>
          <w:bCs/>
          <w:lang w:val="en-US"/>
        </w:rPr>
        <w:instrText>resulted</w:instrText>
      </w:r>
      <w:r w:rsidR="00C37789" w:rsidRPr="00F35A3E">
        <w:rPr>
          <w:b/>
          <w:bCs/>
        </w:rPr>
        <w:instrText xml:space="preserve"> </w:instrText>
      </w:r>
      <w:r w:rsidR="00C37789" w:rsidRPr="000322E4">
        <w:rPr>
          <w:b/>
          <w:bCs/>
          <w:lang w:val="en-US"/>
        </w:rPr>
        <w:instrText>in</w:instrText>
      </w:r>
      <w:r w:rsidR="00C37789" w:rsidRPr="00F35A3E">
        <w:rPr>
          <w:b/>
          <w:bCs/>
        </w:rPr>
        <w:instrText xml:space="preserve"> </w:instrText>
      </w:r>
      <w:r w:rsidR="00C37789" w:rsidRPr="000322E4">
        <w:rPr>
          <w:b/>
          <w:bCs/>
          <w:lang w:val="en-US"/>
        </w:rPr>
        <w:instrText>routine</w:instrText>
      </w:r>
      <w:r w:rsidR="00C37789" w:rsidRPr="00F35A3E">
        <w:rPr>
          <w:b/>
          <w:bCs/>
        </w:rPr>
        <w:instrText xml:space="preserve"> </w:instrText>
      </w:r>
      <w:r w:rsidR="00C37789" w:rsidRPr="000322E4">
        <w:rPr>
          <w:b/>
          <w:bCs/>
          <w:lang w:val="en-US"/>
        </w:rPr>
        <w:instrText>consolidation</w:instrText>
      </w:r>
      <w:r w:rsidR="00C37789" w:rsidRPr="00F35A3E">
        <w:rPr>
          <w:b/>
          <w:bCs/>
        </w:rPr>
        <w:instrText xml:space="preserve"> </w:instrText>
      </w:r>
      <w:r w:rsidR="00C37789" w:rsidRPr="000322E4">
        <w:rPr>
          <w:b/>
          <w:bCs/>
          <w:lang w:val="en-US"/>
        </w:rPr>
        <w:instrText>with</w:instrText>
      </w:r>
      <w:r w:rsidR="00C37789" w:rsidRPr="00F35A3E">
        <w:rPr>
          <w:b/>
          <w:bCs/>
        </w:rPr>
        <w:instrText xml:space="preserve"> </w:instrText>
      </w:r>
      <w:r w:rsidR="00C37789" w:rsidRPr="000322E4">
        <w:rPr>
          <w:b/>
          <w:bCs/>
          <w:lang w:val="en-US"/>
        </w:rPr>
        <w:instrText>mediastinal</w:instrText>
      </w:r>
      <w:r w:rsidR="00C37789" w:rsidRPr="00F35A3E">
        <w:rPr>
          <w:b/>
          <w:bCs/>
        </w:rPr>
        <w:instrText xml:space="preserve"> </w:instrText>
      </w:r>
      <w:r w:rsidR="00C37789" w:rsidRPr="000322E4">
        <w:rPr>
          <w:b/>
          <w:bCs/>
          <w:lang w:val="en-US"/>
        </w:rPr>
        <w:instrText>radiotherapy</w:instrText>
      </w:r>
      <w:r w:rsidR="00C37789" w:rsidRPr="00F35A3E">
        <w:rPr>
          <w:b/>
          <w:bCs/>
        </w:rPr>
        <w:instrText xml:space="preserve">, </w:instrText>
      </w:r>
      <w:r w:rsidR="00C37789" w:rsidRPr="000322E4">
        <w:rPr>
          <w:b/>
          <w:bCs/>
          <w:lang w:val="en-US"/>
        </w:rPr>
        <w:instrText>which</w:instrText>
      </w:r>
      <w:r w:rsidR="00C37789" w:rsidRPr="00F35A3E">
        <w:rPr>
          <w:b/>
          <w:bCs/>
        </w:rPr>
        <w:instrText xml:space="preserve"> </w:instrText>
      </w:r>
      <w:r w:rsidR="00C37789" w:rsidRPr="000322E4">
        <w:rPr>
          <w:b/>
          <w:bCs/>
          <w:lang w:val="en-US"/>
        </w:rPr>
        <w:instrText>has</w:instrText>
      </w:r>
      <w:r w:rsidR="00C37789" w:rsidRPr="00F35A3E">
        <w:rPr>
          <w:b/>
          <w:bCs/>
        </w:rPr>
        <w:instrText xml:space="preserve"> </w:instrText>
      </w:r>
      <w:r w:rsidR="00C37789" w:rsidRPr="000322E4">
        <w:rPr>
          <w:b/>
          <w:bCs/>
          <w:lang w:val="en-US"/>
        </w:rPr>
        <w:instrText>potentially</w:instrText>
      </w:r>
      <w:r w:rsidR="00C37789" w:rsidRPr="00F35A3E">
        <w:rPr>
          <w:b/>
          <w:bCs/>
        </w:rPr>
        <w:instrText xml:space="preserve"> </w:instrText>
      </w:r>
      <w:r w:rsidR="00C37789" w:rsidRPr="000322E4">
        <w:rPr>
          <w:b/>
          <w:bCs/>
          <w:lang w:val="en-US"/>
        </w:rPr>
        <w:instrText>serious</w:instrText>
      </w:r>
      <w:r w:rsidR="00C37789" w:rsidRPr="00F35A3E">
        <w:rPr>
          <w:b/>
          <w:bCs/>
        </w:rPr>
        <w:instrText xml:space="preserve"> </w:instrText>
      </w:r>
      <w:r w:rsidR="00C37789" w:rsidRPr="000322E4">
        <w:rPr>
          <w:b/>
          <w:bCs/>
          <w:lang w:val="en-US"/>
        </w:rPr>
        <w:instrText>late</w:instrText>
      </w:r>
      <w:r w:rsidR="00C37789" w:rsidRPr="00F35A3E">
        <w:rPr>
          <w:b/>
          <w:bCs/>
        </w:rPr>
        <w:instrText xml:space="preserve"> </w:instrText>
      </w:r>
      <w:r w:rsidR="00C37789" w:rsidRPr="000322E4">
        <w:rPr>
          <w:b/>
          <w:bCs/>
          <w:lang w:val="en-US"/>
        </w:rPr>
        <w:instrText>effects</w:instrText>
      </w:r>
      <w:r w:rsidR="00C37789" w:rsidRPr="00F35A3E">
        <w:rPr>
          <w:b/>
          <w:bCs/>
        </w:rPr>
        <w:instrText xml:space="preserve">. </w:instrText>
      </w:r>
      <w:r w:rsidR="00C37789" w:rsidRPr="000322E4">
        <w:rPr>
          <w:b/>
          <w:bCs/>
          <w:lang w:val="en-US"/>
        </w:rPr>
        <w:instrText>We</w:instrText>
      </w:r>
      <w:r w:rsidR="00C37789" w:rsidRPr="00F35A3E">
        <w:rPr>
          <w:b/>
          <w:bCs/>
        </w:rPr>
        <w:instrText xml:space="preserve"> </w:instrText>
      </w:r>
      <w:r w:rsidR="00C37789" w:rsidRPr="000322E4">
        <w:rPr>
          <w:b/>
          <w:bCs/>
          <w:lang w:val="en-US"/>
        </w:rPr>
        <w:instrText>aimed</w:instrText>
      </w:r>
      <w:r w:rsidR="00C37789" w:rsidRPr="00F35A3E">
        <w:rPr>
          <w:b/>
          <w:bCs/>
        </w:rPr>
        <w:instrText xml:space="preserve"> </w:instrText>
      </w:r>
      <w:r w:rsidR="00C37789" w:rsidRPr="000322E4">
        <w:rPr>
          <w:b/>
          <w:bCs/>
          <w:lang w:val="en-US"/>
        </w:rPr>
        <w:instrText>to</w:instrText>
      </w:r>
      <w:r w:rsidR="00C37789" w:rsidRPr="00F35A3E">
        <w:rPr>
          <w:b/>
          <w:bCs/>
        </w:rPr>
        <w:instrText xml:space="preserve"> </w:instrText>
      </w:r>
      <w:r w:rsidR="00C37789" w:rsidRPr="000322E4">
        <w:rPr>
          <w:b/>
          <w:bCs/>
          <w:lang w:val="en-US"/>
        </w:rPr>
        <w:instrText>develop</w:instrText>
      </w:r>
      <w:r w:rsidR="00C37789" w:rsidRPr="00F35A3E">
        <w:rPr>
          <w:b/>
          <w:bCs/>
        </w:rPr>
        <w:instrText xml:space="preserve"> </w:instrText>
      </w:r>
      <w:r w:rsidR="00C37789" w:rsidRPr="000322E4">
        <w:rPr>
          <w:b/>
          <w:bCs/>
          <w:lang w:val="en-US"/>
        </w:rPr>
        <w:instrText>a</w:instrText>
      </w:r>
      <w:r w:rsidR="00C37789" w:rsidRPr="00F35A3E">
        <w:rPr>
          <w:b/>
          <w:bCs/>
        </w:rPr>
        <w:instrText xml:space="preserve"> </w:instrText>
      </w:r>
      <w:r w:rsidR="00C37789" w:rsidRPr="000322E4">
        <w:rPr>
          <w:b/>
          <w:bCs/>
          <w:lang w:val="en-US"/>
        </w:rPr>
        <w:instrText>strategy</w:instrText>
      </w:r>
      <w:r w:rsidR="00C37789" w:rsidRPr="00F35A3E">
        <w:rPr>
          <w:b/>
          <w:bCs/>
        </w:rPr>
        <w:instrText xml:space="preserve"> </w:instrText>
      </w:r>
      <w:r w:rsidR="00C37789" w:rsidRPr="000322E4">
        <w:rPr>
          <w:b/>
          <w:bCs/>
          <w:lang w:val="en-US"/>
        </w:rPr>
        <w:instrText>that</w:instrText>
      </w:r>
      <w:r w:rsidR="00C37789" w:rsidRPr="00F35A3E">
        <w:rPr>
          <w:b/>
          <w:bCs/>
        </w:rPr>
        <w:instrText xml:space="preserve"> </w:instrText>
      </w:r>
      <w:r w:rsidR="00C37789" w:rsidRPr="000322E4">
        <w:rPr>
          <w:b/>
          <w:bCs/>
          <w:lang w:val="en-US"/>
        </w:rPr>
        <w:instrText>improves</w:instrText>
      </w:r>
      <w:r w:rsidR="00C37789" w:rsidRPr="00F35A3E">
        <w:rPr>
          <w:b/>
          <w:bCs/>
        </w:rPr>
        <w:instrText xml:space="preserve"> </w:instrText>
      </w:r>
      <w:r w:rsidR="00C37789" w:rsidRPr="000322E4">
        <w:rPr>
          <w:b/>
          <w:bCs/>
          <w:lang w:val="en-US"/>
        </w:rPr>
        <w:instrText>the</w:instrText>
      </w:r>
      <w:r w:rsidR="00C37789" w:rsidRPr="00F35A3E">
        <w:rPr>
          <w:b/>
          <w:bCs/>
        </w:rPr>
        <w:instrText xml:space="preserve"> </w:instrText>
      </w:r>
      <w:r w:rsidR="00C37789" w:rsidRPr="000322E4">
        <w:rPr>
          <w:b/>
          <w:bCs/>
          <w:lang w:val="en-US"/>
        </w:rPr>
        <w:instrText>rate</w:instrText>
      </w:r>
      <w:r w:rsidR="00C37789" w:rsidRPr="00F35A3E">
        <w:rPr>
          <w:b/>
          <w:bCs/>
        </w:rPr>
        <w:instrText xml:space="preserve"> </w:instrText>
      </w:r>
      <w:r w:rsidR="00C37789" w:rsidRPr="000322E4">
        <w:rPr>
          <w:b/>
          <w:bCs/>
          <w:lang w:val="en-US"/>
        </w:rPr>
        <w:instrText>of</w:instrText>
      </w:r>
      <w:r w:rsidR="00C37789" w:rsidRPr="00F35A3E">
        <w:rPr>
          <w:b/>
          <w:bCs/>
        </w:rPr>
        <w:instrText xml:space="preserve"> </w:instrText>
      </w:r>
      <w:r w:rsidR="00C37789" w:rsidRPr="000322E4">
        <w:rPr>
          <w:b/>
          <w:bCs/>
          <w:lang w:val="en-US"/>
        </w:rPr>
        <w:instrText>cure</w:instrText>
      </w:r>
      <w:r w:rsidR="00C37789" w:rsidRPr="00F35A3E">
        <w:rPr>
          <w:b/>
          <w:bCs/>
        </w:rPr>
        <w:instrText xml:space="preserve"> </w:instrText>
      </w:r>
      <w:r w:rsidR="00C37789" w:rsidRPr="000322E4">
        <w:rPr>
          <w:b/>
          <w:bCs/>
          <w:lang w:val="en-US"/>
        </w:rPr>
        <w:instrText>and</w:instrText>
      </w:r>
      <w:r w:rsidR="00C37789" w:rsidRPr="00F35A3E">
        <w:rPr>
          <w:b/>
          <w:bCs/>
        </w:rPr>
        <w:instrText xml:space="preserve"> </w:instrText>
      </w:r>
      <w:r w:rsidR="00C37789" w:rsidRPr="000322E4">
        <w:rPr>
          <w:b/>
          <w:bCs/>
          <w:lang w:val="en-US"/>
        </w:rPr>
        <w:instrText>obviates</w:instrText>
      </w:r>
      <w:r w:rsidR="00C37789" w:rsidRPr="00F35A3E">
        <w:rPr>
          <w:b/>
          <w:bCs/>
        </w:rPr>
        <w:instrText xml:space="preserve"> </w:instrText>
      </w:r>
      <w:r w:rsidR="00C37789" w:rsidRPr="000322E4">
        <w:rPr>
          <w:b/>
          <w:bCs/>
          <w:lang w:val="en-US"/>
        </w:rPr>
        <w:instrText>the</w:instrText>
      </w:r>
      <w:r w:rsidR="00C37789" w:rsidRPr="00F35A3E">
        <w:rPr>
          <w:b/>
          <w:bCs/>
        </w:rPr>
        <w:instrText xml:space="preserve"> </w:instrText>
      </w:r>
      <w:r w:rsidR="00C37789" w:rsidRPr="000322E4">
        <w:rPr>
          <w:b/>
          <w:bCs/>
          <w:lang w:val="en-US"/>
        </w:rPr>
        <w:instrText>need</w:instrText>
      </w:r>
      <w:r w:rsidR="00C37789" w:rsidRPr="00F35A3E">
        <w:rPr>
          <w:b/>
          <w:bCs/>
        </w:rPr>
        <w:instrText xml:space="preserve"> </w:instrText>
      </w:r>
      <w:r w:rsidR="00C37789" w:rsidRPr="000322E4">
        <w:rPr>
          <w:b/>
          <w:bCs/>
          <w:lang w:val="en-US"/>
        </w:rPr>
        <w:instrText>for</w:instrText>
      </w:r>
      <w:r w:rsidR="00C37789" w:rsidRPr="00F35A3E">
        <w:rPr>
          <w:b/>
          <w:bCs/>
        </w:rPr>
        <w:instrText xml:space="preserve"> </w:instrText>
      </w:r>
      <w:r w:rsidR="00C37789" w:rsidRPr="000322E4">
        <w:rPr>
          <w:b/>
          <w:bCs/>
          <w:lang w:val="en-US"/>
        </w:rPr>
        <w:instrText>radiotherapy</w:instrText>
      </w:r>
      <w:r w:rsidR="00C37789" w:rsidRPr="00F35A3E">
        <w:rPr>
          <w:b/>
          <w:bCs/>
        </w:rPr>
        <w:instrText xml:space="preserve">. </w:instrText>
      </w:r>
      <w:r w:rsidR="00C37789" w:rsidRPr="000322E4">
        <w:rPr>
          <w:b/>
          <w:bCs/>
          <w:lang w:val="en-US"/>
        </w:rPr>
        <w:instrText>METHODS</w:instrText>
      </w:r>
      <w:r w:rsidR="00C37789" w:rsidRPr="00F35A3E">
        <w:rPr>
          <w:b/>
          <w:bCs/>
        </w:rPr>
        <w:instrText xml:space="preserve">: </w:instrText>
      </w:r>
      <w:r w:rsidR="00C37789" w:rsidRPr="000322E4">
        <w:rPr>
          <w:b/>
          <w:bCs/>
          <w:lang w:val="en-US"/>
        </w:rPr>
        <w:instrText>We</w:instrText>
      </w:r>
      <w:r w:rsidR="00C37789" w:rsidRPr="00F35A3E">
        <w:rPr>
          <w:b/>
          <w:bCs/>
        </w:rPr>
        <w:instrText xml:space="preserve"> </w:instrText>
      </w:r>
      <w:r w:rsidR="00C37789" w:rsidRPr="000322E4">
        <w:rPr>
          <w:b/>
          <w:bCs/>
          <w:lang w:val="en-US"/>
        </w:rPr>
        <w:instrText>conducted</w:instrText>
      </w:r>
      <w:r w:rsidR="00C37789" w:rsidRPr="00F35A3E">
        <w:rPr>
          <w:b/>
          <w:bCs/>
        </w:rPr>
        <w:instrText xml:space="preserve"> </w:instrText>
      </w:r>
      <w:r w:rsidR="00C37789" w:rsidRPr="000322E4">
        <w:rPr>
          <w:b/>
          <w:bCs/>
          <w:lang w:val="en-US"/>
        </w:rPr>
        <w:instrText>a</w:instrText>
      </w:r>
      <w:r w:rsidR="00C37789" w:rsidRPr="00F35A3E">
        <w:rPr>
          <w:b/>
          <w:bCs/>
        </w:rPr>
        <w:instrText xml:space="preserve"> </w:instrText>
      </w:r>
      <w:r w:rsidR="00C37789" w:rsidRPr="000322E4">
        <w:rPr>
          <w:b/>
          <w:bCs/>
          <w:lang w:val="en-US"/>
        </w:rPr>
        <w:instrText>single</w:instrText>
      </w:r>
      <w:r w:rsidR="00C37789" w:rsidRPr="00F35A3E">
        <w:rPr>
          <w:b/>
          <w:bCs/>
        </w:rPr>
        <w:instrText>-</w:instrText>
      </w:r>
      <w:r w:rsidR="00C37789" w:rsidRPr="000322E4">
        <w:rPr>
          <w:b/>
          <w:bCs/>
          <w:lang w:val="en-US"/>
        </w:rPr>
        <w:instrText>group</w:instrText>
      </w:r>
      <w:r w:rsidR="00C37789" w:rsidRPr="00F35A3E">
        <w:rPr>
          <w:b/>
          <w:bCs/>
        </w:rPr>
        <w:instrText xml:space="preserve">, </w:instrText>
      </w:r>
      <w:r w:rsidR="00C37789" w:rsidRPr="000322E4">
        <w:rPr>
          <w:b/>
          <w:bCs/>
          <w:lang w:val="en-US"/>
        </w:rPr>
        <w:instrText>phase</w:instrText>
      </w:r>
      <w:r w:rsidR="00C37789" w:rsidRPr="00F35A3E">
        <w:rPr>
          <w:b/>
          <w:bCs/>
        </w:rPr>
        <w:instrText xml:space="preserve"> 2, </w:instrText>
      </w:r>
      <w:r w:rsidR="00C37789" w:rsidRPr="000322E4">
        <w:rPr>
          <w:b/>
          <w:bCs/>
          <w:lang w:val="en-US"/>
        </w:rPr>
        <w:instrText>prospective</w:instrText>
      </w:r>
      <w:r w:rsidR="00C37789" w:rsidRPr="00F35A3E">
        <w:rPr>
          <w:b/>
          <w:bCs/>
        </w:rPr>
        <w:instrText xml:space="preserve"> </w:instrText>
      </w:r>
      <w:r w:rsidR="00C37789" w:rsidRPr="000322E4">
        <w:rPr>
          <w:b/>
          <w:bCs/>
          <w:lang w:val="en-US"/>
        </w:rPr>
        <w:instrText>study</w:instrText>
      </w:r>
      <w:r w:rsidR="00C37789" w:rsidRPr="00F35A3E">
        <w:rPr>
          <w:b/>
          <w:bCs/>
        </w:rPr>
        <w:instrText xml:space="preserve"> </w:instrText>
      </w:r>
      <w:r w:rsidR="00C37789" w:rsidRPr="000322E4">
        <w:rPr>
          <w:b/>
          <w:bCs/>
          <w:lang w:val="en-US"/>
        </w:rPr>
        <w:instrText>of</w:instrText>
      </w:r>
      <w:r w:rsidR="00C37789" w:rsidRPr="00F35A3E">
        <w:rPr>
          <w:b/>
          <w:bCs/>
        </w:rPr>
        <w:instrText xml:space="preserve"> </w:instrText>
      </w:r>
      <w:r w:rsidR="00C37789" w:rsidRPr="000322E4">
        <w:rPr>
          <w:b/>
          <w:bCs/>
          <w:lang w:val="en-US"/>
        </w:rPr>
        <w:instrText>infusional</w:instrText>
      </w:r>
      <w:r w:rsidR="00C37789" w:rsidRPr="00F35A3E">
        <w:rPr>
          <w:b/>
          <w:bCs/>
        </w:rPr>
        <w:instrText xml:space="preserve"> </w:instrText>
      </w:r>
      <w:r w:rsidR="00C37789" w:rsidRPr="000322E4">
        <w:rPr>
          <w:b/>
          <w:bCs/>
          <w:lang w:val="en-US"/>
        </w:rPr>
        <w:instrText>dose</w:instrText>
      </w:r>
      <w:r w:rsidR="00C37789" w:rsidRPr="00F35A3E">
        <w:rPr>
          <w:b/>
          <w:bCs/>
        </w:rPr>
        <w:instrText>-</w:instrText>
      </w:r>
      <w:r w:rsidR="00C37789" w:rsidRPr="000322E4">
        <w:rPr>
          <w:b/>
          <w:bCs/>
          <w:lang w:val="en-US"/>
        </w:rPr>
        <w:instrText>adjusted</w:instrText>
      </w:r>
      <w:r w:rsidR="00C37789" w:rsidRPr="00F35A3E">
        <w:rPr>
          <w:b/>
          <w:bCs/>
        </w:rPr>
        <w:instrText xml:space="preserve"> </w:instrText>
      </w:r>
      <w:r w:rsidR="00C37789" w:rsidRPr="000322E4">
        <w:rPr>
          <w:b/>
          <w:bCs/>
          <w:lang w:val="en-US"/>
        </w:rPr>
        <w:instrText>etoposide</w:instrText>
      </w:r>
      <w:r w:rsidR="00C37789" w:rsidRPr="00F35A3E">
        <w:rPr>
          <w:b/>
          <w:bCs/>
        </w:rPr>
        <w:instrText xml:space="preserve">, </w:instrText>
      </w:r>
      <w:r w:rsidR="00C37789" w:rsidRPr="000322E4">
        <w:rPr>
          <w:b/>
          <w:bCs/>
          <w:lang w:val="en-US"/>
        </w:rPr>
        <w:instrText>doxorubicin</w:instrText>
      </w:r>
      <w:r w:rsidR="00C37789" w:rsidRPr="00F35A3E">
        <w:rPr>
          <w:b/>
          <w:bCs/>
        </w:rPr>
        <w:instrText xml:space="preserve">, </w:instrText>
      </w:r>
      <w:r w:rsidR="00C37789" w:rsidRPr="000322E4">
        <w:rPr>
          <w:b/>
          <w:bCs/>
          <w:lang w:val="en-US"/>
        </w:rPr>
        <w:instrText>and</w:instrText>
      </w:r>
      <w:r w:rsidR="00C37789" w:rsidRPr="00F35A3E">
        <w:rPr>
          <w:b/>
          <w:bCs/>
        </w:rPr>
        <w:instrText xml:space="preserve"> </w:instrText>
      </w:r>
      <w:r w:rsidR="00C37789" w:rsidRPr="000322E4">
        <w:rPr>
          <w:b/>
          <w:bCs/>
          <w:lang w:val="en-US"/>
        </w:rPr>
        <w:instrText>cyclophosphamide</w:instrText>
      </w:r>
      <w:r w:rsidR="00C37789" w:rsidRPr="00F35A3E">
        <w:rPr>
          <w:b/>
          <w:bCs/>
        </w:rPr>
        <w:instrText xml:space="preserve"> </w:instrText>
      </w:r>
      <w:r w:rsidR="00C37789" w:rsidRPr="000322E4">
        <w:rPr>
          <w:b/>
          <w:bCs/>
          <w:lang w:val="en-US"/>
        </w:rPr>
        <w:instrText>with</w:instrText>
      </w:r>
      <w:r w:rsidR="00C37789" w:rsidRPr="00F35A3E">
        <w:rPr>
          <w:b/>
          <w:bCs/>
        </w:rPr>
        <w:instrText xml:space="preserve"> </w:instrText>
      </w:r>
      <w:r w:rsidR="00C37789" w:rsidRPr="000322E4">
        <w:rPr>
          <w:b/>
          <w:bCs/>
          <w:lang w:val="en-US"/>
        </w:rPr>
        <w:instrText>vincristine</w:instrText>
      </w:r>
      <w:r w:rsidR="00C37789" w:rsidRPr="00F35A3E">
        <w:rPr>
          <w:b/>
          <w:bCs/>
        </w:rPr>
        <w:instrText xml:space="preserve">, </w:instrText>
      </w:r>
      <w:r w:rsidR="00C37789" w:rsidRPr="000322E4">
        <w:rPr>
          <w:b/>
          <w:bCs/>
          <w:lang w:val="en-US"/>
        </w:rPr>
        <w:instrText>prednisone</w:instrText>
      </w:r>
      <w:r w:rsidR="00C37789" w:rsidRPr="00F35A3E">
        <w:rPr>
          <w:b/>
          <w:bCs/>
        </w:rPr>
        <w:instrText xml:space="preserve">, </w:instrText>
      </w:r>
      <w:r w:rsidR="00C37789" w:rsidRPr="000322E4">
        <w:rPr>
          <w:b/>
          <w:bCs/>
          <w:lang w:val="en-US"/>
        </w:rPr>
        <w:instrText>and</w:instrText>
      </w:r>
      <w:r w:rsidR="00C37789" w:rsidRPr="00F35A3E">
        <w:rPr>
          <w:b/>
          <w:bCs/>
        </w:rPr>
        <w:instrText xml:space="preserve"> </w:instrText>
      </w:r>
      <w:r w:rsidR="00C37789" w:rsidRPr="000322E4">
        <w:rPr>
          <w:b/>
          <w:bCs/>
          <w:lang w:val="en-US"/>
        </w:rPr>
        <w:instrText>rituximab</w:instrText>
      </w:r>
      <w:r w:rsidR="00C37789" w:rsidRPr="00F35A3E">
        <w:rPr>
          <w:b/>
          <w:bCs/>
        </w:rPr>
        <w:instrText xml:space="preserve"> (</w:instrText>
      </w:r>
      <w:r w:rsidR="00C37789" w:rsidRPr="000322E4">
        <w:rPr>
          <w:b/>
          <w:bCs/>
          <w:lang w:val="en-US"/>
        </w:rPr>
        <w:instrText>DA</w:instrText>
      </w:r>
      <w:r w:rsidR="00C37789" w:rsidRPr="00F35A3E">
        <w:rPr>
          <w:b/>
          <w:bCs/>
        </w:rPr>
        <w:instrText>-</w:instrText>
      </w:r>
      <w:r w:rsidR="00C37789" w:rsidRPr="000322E4">
        <w:rPr>
          <w:b/>
          <w:bCs/>
          <w:lang w:val="en-US"/>
        </w:rPr>
        <w:instrText>EPOCH</w:instrText>
      </w:r>
      <w:r w:rsidR="00C37789" w:rsidRPr="00F35A3E">
        <w:rPr>
          <w:b/>
          <w:bCs/>
        </w:rPr>
        <w:instrText>-</w:instrText>
      </w:r>
      <w:r w:rsidR="00C37789" w:rsidRPr="000322E4">
        <w:rPr>
          <w:b/>
          <w:bCs/>
          <w:lang w:val="en-US"/>
        </w:rPr>
        <w:instrText>R</w:instrText>
      </w:r>
      <w:r w:rsidR="00C37789" w:rsidRPr="00F35A3E">
        <w:rPr>
          <w:b/>
          <w:bCs/>
        </w:rPr>
        <w:instrText xml:space="preserve">) </w:instrText>
      </w:r>
      <w:r w:rsidR="00C37789" w:rsidRPr="000322E4">
        <w:rPr>
          <w:b/>
          <w:bCs/>
          <w:lang w:val="en-US"/>
        </w:rPr>
        <w:instrText>and</w:instrText>
      </w:r>
      <w:r w:rsidR="00C37789" w:rsidRPr="00F35A3E">
        <w:rPr>
          <w:b/>
          <w:bCs/>
        </w:rPr>
        <w:instrText xml:space="preserve"> </w:instrText>
      </w:r>
      <w:r w:rsidR="00C37789" w:rsidRPr="000322E4">
        <w:rPr>
          <w:b/>
          <w:bCs/>
          <w:lang w:val="en-US"/>
        </w:rPr>
        <w:instrText>filgrastim</w:instrText>
      </w:r>
      <w:r w:rsidR="00C37789" w:rsidRPr="00F35A3E">
        <w:rPr>
          <w:b/>
          <w:bCs/>
        </w:rPr>
        <w:instrText xml:space="preserve"> </w:instrText>
      </w:r>
      <w:r w:rsidR="00C37789" w:rsidRPr="000322E4">
        <w:rPr>
          <w:b/>
          <w:bCs/>
          <w:lang w:val="en-US"/>
        </w:rPr>
        <w:instrText>without</w:instrText>
      </w:r>
      <w:r w:rsidR="00C37789" w:rsidRPr="00F35A3E">
        <w:rPr>
          <w:b/>
          <w:bCs/>
        </w:rPr>
        <w:instrText xml:space="preserve"> </w:instrText>
      </w:r>
      <w:r w:rsidR="00C37789" w:rsidRPr="000322E4">
        <w:rPr>
          <w:b/>
          <w:bCs/>
          <w:lang w:val="en-US"/>
        </w:rPr>
        <w:instrText>radiotherapy</w:instrText>
      </w:r>
      <w:r w:rsidR="00C37789" w:rsidRPr="00F35A3E">
        <w:rPr>
          <w:b/>
          <w:bCs/>
        </w:rPr>
        <w:instrText xml:space="preserve"> </w:instrText>
      </w:r>
      <w:r w:rsidR="00C37789" w:rsidRPr="000322E4">
        <w:rPr>
          <w:b/>
          <w:bCs/>
          <w:lang w:val="en-US"/>
        </w:rPr>
        <w:instrText>in</w:instrText>
      </w:r>
      <w:r w:rsidR="00C37789" w:rsidRPr="00F35A3E">
        <w:rPr>
          <w:b/>
          <w:bCs/>
        </w:rPr>
        <w:instrText xml:space="preserve"> 51 </w:instrText>
      </w:r>
      <w:r w:rsidR="00C37789" w:rsidRPr="000322E4">
        <w:rPr>
          <w:b/>
          <w:bCs/>
          <w:lang w:val="en-US"/>
        </w:rPr>
        <w:instrText>patients</w:instrText>
      </w:r>
      <w:r w:rsidR="00C37789" w:rsidRPr="00F35A3E">
        <w:rPr>
          <w:b/>
          <w:bCs/>
        </w:rPr>
        <w:instrText xml:space="preserve"> </w:instrText>
      </w:r>
      <w:r w:rsidR="00C37789" w:rsidRPr="000322E4">
        <w:rPr>
          <w:b/>
          <w:bCs/>
          <w:lang w:val="en-US"/>
        </w:rPr>
        <w:instrText>with</w:instrText>
      </w:r>
      <w:r w:rsidR="00C37789" w:rsidRPr="00F35A3E">
        <w:rPr>
          <w:b/>
          <w:bCs/>
        </w:rPr>
        <w:instrText xml:space="preserve"> </w:instrText>
      </w:r>
      <w:r w:rsidR="00C37789" w:rsidRPr="000322E4">
        <w:rPr>
          <w:b/>
          <w:bCs/>
          <w:lang w:val="en-US"/>
        </w:rPr>
        <w:instrText>untreated primary mediastinal B-cell lymphoma. We used results from a retrospective study of DA-EPOCH-R from another center to independently verify the outcomes. RESULTS: The patients had a median age of 30 years (range, 19 to 52) and a median tumor diameter of 11 cm; 59% were women. During a median of 5 years of follow-up, the event-free survival rate was 93%, and the overall survival rate was 97%. Among the 16 patients who were involved in the retrospective analysis at another center, over a median of 3 years of follow-up, the event-free survival rate was 100%, and no patients received radiotherapy. No late morbidity or cardiac toxic effects were found in any patients. After follow-up ranging from 10 months to 14 years, all but 2 of the 51 patients (4%) who received DA-EPOCH-R alone were in complete remission. The 2 remaining patients received radiotherapy and were disease-free at follow-up. CONCLUSIONS: Therapy with DA-EPOCH-R obviated the need for radiotherapy in patients with primary mediastinal B-cell lymphoma. (Funded by the National Cancer Institute; ClinicalTrials.gov number, NCT00001337.) Copyright © 2013 Massachusetts Medical Society.","author":[{"dropping-particle":"","family":"Dunleavy","given":"Kieron","non-dropping-particle":"","parse-names":false,"suffix":""},{"dropping-particle":"","family":"Pittaluga","given":"Stefania","non-dropping-particle":"","parse-names":false,"suffix":""},{"dropping-particle":"","family":"Maeda","given":"Lauren S.","non-dropping-particle":"","parse-names":false,"suffix":""},{"dropping-particle":"","family":"Advani","given":"Ranjana","non-dropping-particle":"","parse-names":false,"suffix":""},{"dropping-particle":"","family":"Chen","given":"Clara C.","non-dropping-particle":"","parse-names":false,"suffix":""},{"dropping-particle":"","family":"Hessler","given":"Julie","non-dropping-particle":"","parse-names":false</w:instrText>
      </w:r>
      <w:r w:rsidR="00C37789" w:rsidRPr="00F35A3E">
        <w:rPr>
          <w:b/>
          <w:bCs/>
        </w:rPr>
        <w:instrText>,"</w:instrText>
      </w:r>
      <w:r w:rsidR="00C37789" w:rsidRPr="000322E4">
        <w:rPr>
          <w:b/>
          <w:bCs/>
          <w:lang w:val="en-US"/>
        </w:rPr>
        <w:instrText>suffix</w:instrText>
      </w:r>
      <w:r w:rsidR="00C37789" w:rsidRPr="00F35A3E">
        <w:rPr>
          <w:b/>
          <w:bCs/>
        </w:rPr>
        <w:instrText>":""},{"</w:instrText>
      </w:r>
      <w:r w:rsidR="00C37789" w:rsidRPr="000322E4">
        <w:rPr>
          <w:b/>
          <w:bCs/>
          <w:lang w:val="en-US"/>
        </w:rPr>
        <w:instrText>dropping</w:instrText>
      </w:r>
      <w:r w:rsidR="00C37789" w:rsidRPr="00F35A3E">
        <w:rPr>
          <w:b/>
          <w:bCs/>
        </w:rPr>
        <w:instrText>-</w:instrText>
      </w:r>
      <w:r w:rsidR="00C37789" w:rsidRPr="000322E4">
        <w:rPr>
          <w:b/>
          <w:bCs/>
          <w:lang w:val="en-US"/>
        </w:rPr>
        <w:instrText>particle</w:instrText>
      </w:r>
      <w:r w:rsidR="00C37789" w:rsidRPr="00F35A3E">
        <w:rPr>
          <w:b/>
          <w:bCs/>
        </w:rPr>
        <w:instrText>":"","</w:instrText>
      </w:r>
      <w:r w:rsidR="00C37789" w:rsidRPr="000322E4">
        <w:rPr>
          <w:b/>
          <w:bCs/>
          <w:lang w:val="en-US"/>
        </w:rPr>
        <w:instrText>family</w:instrText>
      </w:r>
      <w:r w:rsidR="00C37789" w:rsidRPr="00F35A3E">
        <w:rPr>
          <w:b/>
          <w:bCs/>
        </w:rPr>
        <w:instrText>":"</w:instrText>
      </w:r>
      <w:r w:rsidR="00C37789" w:rsidRPr="000322E4">
        <w:rPr>
          <w:b/>
          <w:bCs/>
          <w:lang w:val="en-US"/>
        </w:rPr>
        <w:instrText>Steinberg</w:instrText>
      </w:r>
      <w:r w:rsidR="00C37789" w:rsidRPr="00F35A3E">
        <w:rPr>
          <w:b/>
          <w:bCs/>
        </w:rPr>
        <w:instrText>","</w:instrText>
      </w:r>
      <w:r w:rsidR="00C37789" w:rsidRPr="000322E4">
        <w:rPr>
          <w:b/>
          <w:bCs/>
          <w:lang w:val="en-US"/>
        </w:rPr>
        <w:instrText>given</w:instrText>
      </w:r>
      <w:r w:rsidR="00C37789" w:rsidRPr="00F35A3E">
        <w:rPr>
          <w:b/>
          <w:bCs/>
        </w:rPr>
        <w:instrText>":"</w:instrText>
      </w:r>
      <w:r w:rsidR="00C37789" w:rsidRPr="000322E4">
        <w:rPr>
          <w:b/>
          <w:bCs/>
          <w:lang w:val="en-US"/>
        </w:rPr>
        <w:instrText>Seth</w:instrText>
      </w:r>
      <w:r w:rsidR="00C37789" w:rsidRPr="00F35A3E">
        <w:rPr>
          <w:b/>
          <w:bCs/>
        </w:rPr>
        <w:instrText xml:space="preserve"> </w:instrText>
      </w:r>
      <w:r w:rsidR="00C37789" w:rsidRPr="000322E4">
        <w:rPr>
          <w:b/>
          <w:bCs/>
          <w:lang w:val="en-US"/>
        </w:rPr>
        <w:instrText>M</w:instrText>
      </w:r>
      <w:r w:rsidR="00C37789" w:rsidRPr="00F35A3E">
        <w:rPr>
          <w:b/>
          <w:bCs/>
        </w:rPr>
        <w:instrText>.","</w:instrText>
      </w:r>
      <w:r w:rsidR="00C37789" w:rsidRPr="000322E4">
        <w:rPr>
          <w:b/>
          <w:bCs/>
          <w:lang w:val="en-US"/>
        </w:rPr>
        <w:instrText>non</w:instrText>
      </w:r>
      <w:r w:rsidR="00C37789" w:rsidRPr="00F35A3E">
        <w:rPr>
          <w:b/>
          <w:bCs/>
        </w:rPr>
        <w:instrText>-</w:instrText>
      </w:r>
      <w:r w:rsidR="00C37789" w:rsidRPr="000322E4">
        <w:rPr>
          <w:b/>
          <w:bCs/>
          <w:lang w:val="en-US"/>
        </w:rPr>
        <w:instrText>dropping</w:instrText>
      </w:r>
      <w:r w:rsidR="00C37789" w:rsidRPr="00F35A3E">
        <w:rPr>
          <w:b/>
          <w:bCs/>
        </w:rPr>
        <w:instrText>-</w:instrText>
      </w:r>
      <w:r w:rsidR="00C37789" w:rsidRPr="000322E4">
        <w:rPr>
          <w:b/>
          <w:bCs/>
          <w:lang w:val="en-US"/>
        </w:rPr>
        <w:instrText>particle</w:instrText>
      </w:r>
      <w:r w:rsidR="00C37789" w:rsidRPr="00F35A3E">
        <w:rPr>
          <w:b/>
          <w:bCs/>
        </w:rPr>
        <w:instrText>":"","</w:instrText>
      </w:r>
      <w:r w:rsidR="00C37789" w:rsidRPr="000322E4">
        <w:rPr>
          <w:b/>
          <w:bCs/>
          <w:lang w:val="en-US"/>
        </w:rPr>
        <w:instrText>parse</w:instrText>
      </w:r>
      <w:r w:rsidR="00C37789" w:rsidRPr="00F35A3E">
        <w:rPr>
          <w:b/>
          <w:bCs/>
        </w:rPr>
        <w:instrText>-</w:instrText>
      </w:r>
      <w:r w:rsidR="00C37789" w:rsidRPr="000322E4">
        <w:rPr>
          <w:b/>
          <w:bCs/>
          <w:lang w:val="en-US"/>
        </w:rPr>
        <w:instrText>names</w:instrText>
      </w:r>
      <w:r w:rsidR="00C37789" w:rsidRPr="00F35A3E">
        <w:rPr>
          <w:b/>
          <w:bCs/>
        </w:rPr>
        <w:instrText>":</w:instrText>
      </w:r>
      <w:r w:rsidR="00C37789" w:rsidRPr="000322E4">
        <w:rPr>
          <w:b/>
          <w:bCs/>
          <w:lang w:val="en-US"/>
        </w:rPr>
        <w:instrText>false</w:instrText>
      </w:r>
      <w:r w:rsidR="00C37789" w:rsidRPr="00F35A3E">
        <w:rPr>
          <w:b/>
          <w:bCs/>
        </w:rPr>
        <w:instrText>,"</w:instrText>
      </w:r>
      <w:r w:rsidR="00C37789" w:rsidRPr="000322E4">
        <w:rPr>
          <w:b/>
          <w:bCs/>
          <w:lang w:val="en-US"/>
        </w:rPr>
        <w:instrText>suffix</w:instrText>
      </w:r>
      <w:r w:rsidR="00C37789" w:rsidRPr="00F35A3E">
        <w:rPr>
          <w:b/>
          <w:bCs/>
        </w:rPr>
        <w:instrText>":""},{"</w:instrText>
      </w:r>
      <w:r w:rsidR="00C37789" w:rsidRPr="000322E4">
        <w:rPr>
          <w:b/>
          <w:bCs/>
          <w:lang w:val="en-US"/>
        </w:rPr>
        <w:instrText>dropping</w:instrText>
      </w:r>
      <w:r w:rsidR="00C37789" w:rsidRPr="00F35A3E">
        <w:rPr>
          <w:b/>
          <w:bCs/>
        </w:rPr>
        <w:instrText>-</w:instrText>
      </w:r>
      <w:r w:rsidR="00C37789" w:rsidRPr="000322E4">
        <w:rPr>
          <w:b/>
          <w:bCs/>
          <w:lang w:val="en-US"/>
        </w:rPr>
        <w:instrText>particle</w:instrText>
      </w:r>
      <w:r w:rsidR="00C37789" w:rsidRPr="00F35A3E">
        <w:rPr>
          <w:b/>
          <w:bCs/>
        </w:rPr>
        <w:instrText>":"","</w:instrText>
      </w:r>
      <w:r w:rsidR="00C37789" w:rsidRPr="000322E4">
        <w:rPr>
          <w:b/>
          <w:bCs/>
          <w:lang w:val="en-US"/>
        </w:rPr>
        <w:instrText>family</w:instrText>
      </w:r>
      <w:r w:rsidR="00C37789" w:rsidRPr="00F35A3E">
        <w:rPr>
          <w:b/>
          <w:bCs/>
        </w:rPr>
        <w:instrText>":"</w:instrText>
      </w:r>
      <w:r w:rsidR="00C37789" w:rsidRPr="000322E4">
        <w:rPr>
          <w:b/>
          <w:bCs/>
          <w:lang w:val="en-US"/>
        </w:rPr>
        <w:instrText>Grant</w:instrText>
      </w:r>
      <w:r w:rsidR="00C37789" w:rsidRPr="00F35A3E">
        <w:rPr>
          <w:b/>
          <w:bCs/>
        </w:rPr>
        <w:instrText>","</w:instrText>
      </w:r>
      <w:r w:rsidR="00C37789" w:rsidRPr="000322E4">
        <w:rPr>
          <w:b/>
          <w:bCs/>
          <w:lang w:val="en-US"/>
        </w:rPr>
        <w:instrText>given</w:instrText>
      </w:r>
      <w:r w:rsidR="00C37789" w:rsidRPr="00F35A3E">
        <w:rPr>
          <w:b/>
          <w:bCs/>
        </w:rPr>
        <w:instrText>":"</w:instrText>
      </w:r>
      <w:r w:rsidR="00C37789" w:rsidRPr="000322E4">
        <w:rPr>
          <w:b/>
          <w:bCs/>
          <w:lang w:val="en-US"/>
        </w:rPr>
        <w:instrText>Cliona</w:instrText>
      </w:r>
      <w:r w:rsidR="00C37789" w:rsidRPr="00F35A3E">
        <w:rPr>
          <w:b/>
          <w:bCs/>
        </w:rPr>
        <w:instrText>","</w:instrText>
      </w:r>
      <w:r w:rsidR="00C37789" w:rsidRPr="000322E4">
        <w:rPr>
          <w:b/>
          <w:bCs/>
          <w:lang w:val="en-US"/>
        </w:rPr>
        <w:instrText>non</w:instrText>
      </w:r>
      <w:r w:rsidR="00C37789" w:rsidRPr="00F35A3E">
        <w:rPr>
          <w:b/>
          <w:bCs/>
        </w:rPr>
        <w:instrText>-</w:instrText>
      </w:r>
      <w:r w:rsidR="00C37789" w:rsidRPr="000322E4">
        <w:rPr>
          <w:b/>
          <w:bCs/>
          <w:lang w:val="en-US"/>
        </w:rPr>
        <w:instrText>dropping</w:instrText>
      </w:r>
      <w:r w:rsidR="00C37789" w:rsidRPr="00F35A3E">
        <w:rPr>
          <w:b/>
          <w:bCs/>
        </w:rPr>
        <w:instrText>-</w:instrText>
      </w:r>
      <w:r w:rsidR="00C37789" w:rsidRPr="000322E4">
        <w:rPr>
          <w:b/>
          <w:bCs/>
          <w:lang w:val="en-US"/>
        </w:rPr>
        <w:instrText>particle</w:instrText>
      </w:r>
      <w:r w:rsidR="00C37789" w:rsidRPr="00F35A3E">
        <w:rPr>
          <w:b/>
          <w:bCs/>
        </w:rPr>
        <w:instrText>":"","</w:instrText>
      </w:r>
      <w:r w:rsidR="00C37789" w:rsidRPr="000322E4">
        <w:rPr>
          <w:b/>
          <w:bCs/>
          <w:lang w:val="en-US"/>
        </w:rPr>
        <w:instrText>parse</w:instrText>
      </w:r>
      <w:r w:rsidR="00C37789" w:rsidRPr="00F35A3E">
        <w:rPr>
          <w:b/>
          <w:bCs/>
        </w:rPr>
        <w:instrText>-</w:instrText>
      </w:r>
      <w:r w:rsidR="00C37789" w:rsidRPr="000322E4">
        <w:rPr>
          <w:b/>
          <w:bCs/>
          <w:lang w:val="en-US"/>
        </w:rPr>
        <w:instrText>names</w:instrText>
      </w:r>
      <w:r w:rsidR="00C37789" w:rsidRPr="00F35A3E">
        <w:rPr>
          <w:b/>
          <w:bCs/>
        </w:rPr>
        <w:instrText>":</w:instrText>
      </w:r>
      <w:r w:rsidR="00C37789" w:rsidRPr="000322E4">
        <w:rPr>
          <w:b/>
          <w:bCs/>
          <w:lang w:val="en-US"/>
        </w:rPr>
        <w:instrText>false</w:instrText>
      </w:r>
      <w:r w:rsidR="00C37789" w:rsidRPr="00F35A3E">
        <w:rPr>
          <w:b/>
          <w:bCs/>
        </w:rPr>
        <w:instrText>,"</w:instrText>
      </w:r>
      <w:r w:rsidR="00C37789" w:rsidRPr="000322E4">
        <w:rPr>
          <w:b/>
          <w:bCs/>
          <w:lang w:val="en-US"/>
        </w:rPr>
        <w:instrText>suffix</w:instrText>
      </w:r>
      <w:r w:rsidR="00C37789" w:rsidRPr="00F35A3E">
        <w:rPr>
          <w:b/>
          <w:bCs/>
        </w:rPr>
        <w:instrText>":""},{"</w:instrText>
      </w:r>
      <w:r w:rsidR="00C37789" w:rsidRPr="000322E4">
        <w:rPr>
          <w:b/>
          <w:bCs/>
          <w:lang w:val="en-US"/>
        </w:rPr>
        <w:instrText>dropping</w:instrText>
      </w:r>
      <w:r w:rsidR="00C37789" w:rsidRPr="00F35A3E">
        <w:rPr>
          <w:b/>
          <w:bCs/>
        </w:rPr>
        <w:instrText>-</w:instrText>
      </w:r>
      <w:r w:rsidR="00C37789" w:rsidRPr="000322E4">
        <w:rPr>
          <w:b/>
          <w:bCs/>
          <w:lang w:val="en-US"/>
        </w:rPr>
        <w:instrText>particle</w:instrText>
      </w:r>
      <w:r w:rsidR="00C37789" w:rsidRPr="00F35A3E">
        <w:rPr>
          <w:b/>
          <w:bCs/>
        </w:rPr>
        <w:instrText>":"","</w:instrText>
      </w:r>
      <w:r w:rsidR="00C37789" w:rsidRPr="000322E4">
        <w:rPr>
          <w:b/>
          <w:bCs/>
          <w:lang w:val="en-US"/>
        </w:rPr>
        <w:instrText>family</w:instrText>
      </w:r>
      <w:r w:rsidR="00C37789" w:rsidRPr="00F35A3E">
        <w:rPr>
          <w:b/>
          <w:bCs/>
        </w:rPr>
        <w:instrText>":"</w:instrText>
      </w:r>
      <w:r w:rsidR="00C37789" w:rsidRPr="000322E4">
        <w:rPr>
          <w:b/>
          <w:bCs/>
          <w:lang w:val="en-US"/>
        </w:rPr>
        <w:instrText>Wright</w:instrText>
      </w:r>
      <w:r w:rsidR="00C37789" w:rsidRPr="00F35A3E">
        <w:rPr>
          <w:b/>
          <w:bCs/>
        </w:rPr>
        <w:instrText>","</w:instrText>
      </w:r>
      <w:r w:rsidR="00C37789" w:rsidRPr="000322E4">
        <w:rPr>
          <w:b/>
          <w:bCs/>
          <w:lang w:val="en-US"/>
        </w:rPr>
        <w:instrText>given</w:instrText>
      </w:r>
      <w:r w:rsidR="00C37789" w:rsidRPr="00F35A3E">
        <w:rPr>
          <w:b/>
          <w:bCs/>
        </w:rPr>
        <w:instrText>":"</w:instrText>
      </w:r>
      <w:r w:rsidR="00C37789" w:rsidRPr="000322E4">
        <w:rPr>
          <w:b/>
          <w:bCs/>
          <w:lang w:val="en-US"/>
        </w:rPr>
        <w:instrText>George</w:instrText>
      </w:r>
      <w:r w:rsidR="00C37789" w:rsidRPr="00F35A3E">
        <w:rPr>
          <w:b/>
          <w:bCs/>
        </w:rPr>
        <w:instrText>","</w:instrText>
      </w:r>
      <w:r w:rsidR="00C37789" w:rsidRPr="000322E4">
        <w:rPr>
          <w:b/>
          <w:bCs/>
          <w:lang w:val="en-US"/>
        </w:rPr>
        <w:instrText>non</w:instrText>
      </w:r>
      <w:r w:rsidR="00C37789" w:rsidRPr="00F35A3E">
        <w:rPr>
          <w:b/>
          <w:bCs/>
        </w:rPr>
        <w:instrText>-</w:instrText>
      </w:r>
      <w:r w:rsidR="00C37789" w:rsidRPr="000322E4">
        <w:rPr>
          <w:b/>
          <w:bCs/>
          <w:lang w:val="en-US"/>
        </w:rPr>
        <w:instrText>dropping</w:instrText>
      </w:r>
      <w:r w:rsidR="00C37789" w:rsidRPr="00F35A3E">
        <w:rPr>
          <w:b/>
          <w:bCs/>
        </w:rPr>
        <w:instrText>-</w:instrText>
      </w:r>
      <w:r w:rsidR="00C37789" w:rsidRPr="000322E4">
        <w:rPr>
          <w:b/>
          <w:bCs/>
          <w:lang w:val="en-US"/>
        </w:rPr>
        <w:instrText>particle</w:instrText>
      </w:r>
      <w:r w:rsidR="00C37789" w:rsidRPr="00F35A3E">
        <w:rPr>
          <w:b/>
          <w:bCs/>
        </w:rPr>
        <w:instrText>":"","</w:instrText>
      </w:r>
      <w:r w:rsidR="00C37789" w:rsidRPr="000322E4">
        <w:rPr>
          <w:b/>
          <w:bCs/>
          <w:lang w:val="en-US"/>
        </w:rPr>
        <w:instrText>parse</w:instrText>
      </w:r>
      <w:r w:rsidR="00C37789" w:rsidRPr="00F35A3E">
        <w:rPr>
          <w:b/>
          <w:bCs/>
        </w:rPr>
        <w:instrText>-</w:instrText>
      </w:r>
      <w:r w:rsidR="00C37789" w:rsidRPr="000322E4">
        <w:rPr>
          <w:b/>
          <w:bCs/>
          <w:lang w:val="en-US"/>
        </w:rPr>
        <w:instrText>names</w:instrText>
      </w:r>
      <w:r w:rsidR="00C37789" w:rsidRPr="00F35A3E">
        <w:rPr>
          <w:b/>
          <w:bCs/>
        </w:rPr>
        <w:instrText>":</w:instrText>
      </w:r>
      <w:r w:rsidR="00C37789" w:rsidRPr="000322E4">
        <w:rPr>
          <w:b/>
          <w:bCs/>
          <w:lang w:val="en-US"/>
        </w:rPr>
        <w:instrText>false</w:instrText>
      </w:r>
      <w:r w:rsidR="00C37789" w:rsidRPr="00F35A3E">
        <w:rPr>
          <w:b/>
          <w:bCs/>
        </w:rPr>
        <w:instrText>,"</w:instrText>
      </w:r>
      <w:r w:rsidR="00C37789" w:rsidRPr="000322E4">
        <w:rPr>
          <w:b/>
          <w:bCs/>
          <w:lang w:val="en-US"/>
        </w:rPr>
        <w:instrText>suffix</w:instrText>
      </w:r>
      <w:r w:rsidR="00C37789" w:rsidRPr="00F35A3E">
        <w:rPr>
          <w:b/>
          <w:bCs/>
        </w:rPr>
        <w:instrText>":""},{"</w:instrText>
      </w:r>
      <w:r w:rsidR="00C37789" w:rsidRPr="000322E4">
        <w:rPr>
          <w:b/>
          <w:bCs/>
          <w:lang w:val="en-US"/>
        </w:rPr>
        <w:instrText>dropping</w:instrText>
      </w:r>
      <w:r w:rsidR="00C37789" w:rsidRPr="00F35A3E">
        <w:rPr>
          <w:b/>
          <w:bCs/>
        </w:rPr>
        <w:instrText>-</w:instrText>
      </w:r>
      <w:r w:rsidR="00C37789" w:rsidRPr="000322E4">
        <w:rPr>
          <w:b/>
          <w:bCs/>
          <w:lang w:val="en-US"/>
        </w:rPr>
        <w:instrText>particle</w:instrText>
      </w:r>
      <w:r w:rsidR="00C37789" w:rsidRPr="00F35A3E">
        <w:rPr>
          <w:b/>
          <w:bCs/>
        </w:rPr>
        <w:instrText>":"","</w:instrText>
      </w:r>
      <w:r w:rsidR="00C37789" w:rsidRPr="000322E4">
        <w:rPr>
          <w:b/>
          <w:bCs/>
          <w:lang w:val="en-US"/>
        </w:rPr>
        <w:instrText>family</w:instrText>
      </w:r>
      <w:r w:rsidR="00C37789" w:rsidRPr="00F35A3E">
        <w:rPr>
          <w:b/>
          <w:bCs/>
        </w:rPr>
        <w:instrText>":"</w:instrText>
      </w:r>
      <w:r w:rsidR="00C37789" w:rsidRPr="000322E4">
        <w:rPr>
          <w:b/>
          <w:bCs/>
          <w:lang w:val="en-US"/>
        </w:rPr>
        <w:instrText>Varma</w:instrText>
      </w:r>
      <w:r w:rsidR="00C37789" w:rsidRPr="00F35A3E">
        <w:rPr>
          <w:b/>
          <w:bCs/>
        </w:rPr>
        <w:instrText>","</w:instrText>
      </w:r>
      <w:r w:rsidR="00C37789" w:rsidRPr="000322E4">
        <w:rPr>
          <w:b/>
          <w:bCs/>
          <w:lang w:val="en-US"/>
        </w:rPr>
        <w:instrText>given</w:instrText>
      </w:r>
      <w:r w:rsidR="00C37789" w:rsidRPr="00F35A3E">
        <w:rPr>
          <w:b/>
          <w:bCs/>
        </w:rPr>
        <w:instrText>":"</w:instrText>
      </w:r>
      <w:r w:rsidR="00C37789" w:rsidRPr="000322E4">
        <w:rPr>
          <w:b/>
          <w:bCs/>
          <w:lang w:val="en-US"/>
        </w:rPr>
        <w:instrText>Gaurav</w:instrText>
      </w:r>
      <w:r w:rsidR="00C37789" w:rsidRPr="00F35A3E">
        <w:rPr>
          <w:b/>
          <w:bCs/>
        </w:rPr>
        <w:instrText>","</w:instrText>
      </w:r>
      <w:r w:rsidR="00C37789" w:rsidRPr="000322E4">
        <w:rPr>
          <w:b/>
          <w:bCs/>
          <w:lang w:val="en-US"/>
        </w:rPr>
        <w:instrText>non</w:instrText>
      </w:r>
      <w:r w:rsidR="00C37789" w:rsidRPr="00F35A3E">
        <w:rPr>
          <w:b/>
          <w:bCs/>
        </w:rPr>
        <w:instrText>-</w:instrText>
      </w:r>
      <w:r w:rsidR="00C37789" w:rsidRPr="000322E4">
        <w:rPr>
          <w:b/>
          <w:bCs/>
          <w:lang w:val="en-US"/>
        </w:rPr>
        <w:instrText>dropping</w:instrText>
      </w:r>
      <w:r w:rsidR="00C37789" w:rsidRPr="00F35A3E">
        <w:rPr>
          <w:b/>
          <w:bCs/>
        </w:rPr>
        <w:instrText>-</w:instrText>
      </w:r>
      <w:r w:rsidR="00C37789" w:rsidRPr="000322E4">
        <w:rPr>
          <w:b/>
          <w:bCs/>
          <w:lang w:val="en-US"/>
        </w:rPr>
        <w:instrText>particle</w:instrText>
      </w:r>
      <w:r w:rsidR="00C37789" w:rsidRPr="00F35A3E">
        <w:rPr>
          <w:b/>
          <w:bCs/>
        </w:rPr>
        <w:instrText>":"","</w:instrText>
      </w:r>
      <w:r w:rsidR="00C37789" w:rsidRPr="000322E4">
        <w:rPr>
          <w:b/>
          <w:bCs/>
          <w:lang w:val="en-US"/>
        </w:rPr>
        <w:instrText>parse</w:instrText>
      </w:r>
      <w:r w:rsidR="00C37789" w:rsidRPr="00F35A3E">
        <w:rPr>
          <w:b/>
          <w:bCs/>
        </w:rPr>
        <w:instrText>-</w:instrText>
      </w:r>
      <w:r w:rsidR="00C37789" w:rsidRPr="000322E4">
        <w:rPr>
          <w:b/>
          <w:bCs/>
          <w:lang w:val="en-US"/>
        </w:rPr>
        <w:instrText>names</w:instrText>
      </w:r>
      <w:r w:rsidR="00C37789" w:rsidRPr="00F35A3E">
        <w:rPr>
          <w:b/>
          <w:bCs/>
        </w:rPr>
        <w:instrText>":</w:instrText>
      </w:r>
      <w:r w:rsidR="00C37789" w:rsidRPr="000322E4">
        <w:rPr>
          <w:b/>
          <w:bCs/>
          <w:lang w:val="en-US"/>
        </w:rPr>
        <w:instrText>false</w:instrText>
      </w:r>
      <w:r w:rsidR="00C37789" w:rsidRPr="00F35A3E">
        <w:rPr>
          <w:b/>
          <w:bCs/>
        </w:rPr>
        <w:instrText>,"</w:instrText>
      </w:r>
      <w:r w:rsidR="00C37789" w:rsidRPr="000322E4">
        <w:rPr>
          <w:b/>
          <w:bCs/>
          <w:lang w:val="en-US"/>
        </w:rPr>
        <w:instrText>suffix</w:instrText>
      </w:r>
      <w:r w:rsidR="00C37789" w:rsidRPr="00F35A3E">
        <w:rPr>
          <w:b/>
          <w:bCs/>
        </w:rPr>
        <w:instrText>":""},{"</w:instrText>
      </w:r>
      <w:r w:rsidR="00C37789" w:rsidRPr="000322E4">
        <w:rPr>
          <w:b/>
          <w:bCs/>
          <w:lang w:val="en-US"/>
        </w:rPr>
        <w:instrText>dropping</w:instrText>
      </w:r>
      <w:r w:rsidR="00C37789" w:rsidRPr="00F35A3E">
        <w:rPr>
          <w:b/>
          <w:bCs/>
        </w:rPr>
        <w:instrText>-</w:instrText>
      </w:r>
      <w:r w:rsidR="00C37789" w:rsidRPr="000322E4">
        <w:rPr>
          <w:b/>
          <w:bCs/>
          <w:lang w:val="en-US"/>
        </w:rPr>
        <w:instrText>particle</w:instrText>
      </w:r>
      <w:r w:rsidR="00C37789" w:rsidRPr="00F35A3E">
        <w:rPr>
          <w:b/>
          <w:bCs/>
        </w:rPr>
        <w:instrText>":"","</w:instrText>
      </w:r>
      <w:r w:rsidR="00C37789" w:rsidRPr="000322E4">
        <w:rPr>
          <w:b/>
          <w:bCs/>
          <w:lang w:val="en-US"/>
        </w:rPr>
        <w:instrText>family</w:instrText>
      </w:r>
      <w:r w:rsidR="00C37789" w:rsidRPr="00F35A3E">
        <w:rPr>
          <w:b/>
          <w:bCs/>
        </w:rPr>
        <w:instrText>":"</w:instrText>
      </w:r>
      <w:r w:rsidR="00C37789" w:rsidRPr="000322E4">
        <w:rPr>
          <w:b/>
          <w:bCs/>
          <w:lang w:val="en-US"/>
        </w:rPr>
        <w:instrText>Staudt</w:instrText>
      </w:r>
      <w:r w:rsidR="00C37789" w:rsidRPr="00F35A3E">
        <w:rPr>
          <w:b/>
          <w:bCs/>
        </w:rPr>
        <w:instrText>","</w:instrText>
      </w:r>
      <w:r w:rsidR="00C37789" w:rsidRPr="000322E4">
        <w:rPr>
          <w:b/>
          <w:bCs/>
          <w:lang w:val="en-US"/>
        </w:rPr>
        <w:instrText>given</w:instrText>
      </w:r>
      <w:r w:rsidR="00C37789" w:rsidRPr="00F35A3E">
        <w:rPr>
          <w:b/>
          <w:bCs/>
        </w:rPr>
        <w:instrText>":"</w:instrText>
      </w:r>
      <w:r w:rsidR="00C37789" w:rsidRPr="000322E4">
        <w:rPr>
          <w:b/>
          <w:bCs/>
          <w:lang w:val="en-US"/>
        </w:rPr>
        <w:instrText>Louis</w:instrText>
      </w:r>
      <w:r w:rsidR="00C37789" w:rsidRPr="00F35A3E">
        <w:rPr>
          <w:b/>
          <w:bCs/>
        </w:rPr>
        <w:instrText xml:space="preserve"> </w:instrText>
      </w:r>
      <w:r w:rsidR="00C37789" w:rsidRPr="000322E4">
        <w:rPr>
          <w:b/>
          <w:bCs/>
          <w:lang w:val="en-US"/>
        </w:rPr>
        <w:instrText>M</w:instrText>
      </w:r>
      <w:r w:rsidR="00C37789" w:rsidRPr="00F35A3E">
        <w:rPr>
          <w:b/>
          <w:bCs/>
        </w:rPr>
        <w:instrText>.","</w:instrText>
      </w:r>
      <w:r w:rsidR="00C37789" w:rsidRPr="000322E4">
        <w:rPr>
          <w:b/>
          <w:bCs/>
          <w:lang w:val="en-US"/>
        </w:rPr>
        <w:instrText>non</w:instrText>
      </w:r>
      <w:r w:rsidR="00C37789" w:rsidRPr="00F35A3E">
        <w:rPr>
          <w:b/>
          <w:bCs/>
        </w:rPr>
        <w:instrText>-</w:instrText>
      </w:r>
      <w:r w:rsidR="00C37789" w:rsidRPr="000322E4">
        <w:rPr>
          <w:b/>
          <w:bCs/>
          <w:lang w:val="en-US"/>
        </w:rPr>
        <w:instrText>dropping</w:instrText>
      </w:r>
      <w:r w:rsidR="00C37789" w:rsidRPr="00F35A3E">
        <w:rPr>
          <w:b/>
          <w:bCs/>
        </w:rPr>
        <w:instrText>-</w:instrText>
      </w:r>
      <w:r w:rsidR="00C37789" w:rsidRPr="000322E4">
        <w:rPr>
          <w:b/>
          <w:bCs/>
          <w:lang w:val="en-US"/>
        </w:rPr>
        <w:instrText>particle</w:instrText>
      </w:r>
      <w:r w:rsidR="00C37789" w:rsidRPr="00F35A3E">
        <w:rPr>
          <w:b/>
          <w:bCs/>
        </w:rPr>
        <w:instrText>":"","</w:instrText>
      </w:r>
      <w:r w:rsidR="00C37789" w:rsidRPr="000322E4">
        <w:rPr>
          <w:b/>
          <w:bCs/>
          <w:lang w:val="en-US"/>
        </w:rPr>
        <w:instrText>parse</w:instrText>
      </w:r>
      <w:r w:rsidR="00C37789" w:rsidRPr="00F35A3E">
        <w:rPr>
          <w:b/>
          <w:bCs/>
        </w:rPr>
        <w:instrText>-</w:instrText>
      </w:r>
      <w:r w:rsidR="00C37789" w:rsidRPr="000322E4">
        <w:rPr>
          <w:b/>
          <w:bCs/>
          <w:lang w:val="en-US"/>
        </w:rPr>
        <w:instrText>names</w:instrText>
      </w:r>
      <w:r w:rsidR="00C37789" w:rsidRPr="00F35A3E">
        <w:rPr>
          <w:b/>
          <w:bCs/>
        </w:rPr>
        <w:instrText>":</w:instrText>
      </w:r>
      <w:r w:rsidR="00C37789" w:rsidRPr="000322E4">
        <w:rPr>
          <w:b/>
          <w:bCs/>
          <w:lang w:val="en-US"/>
        </w:rPr>
        <w:instrText>false</w:instrText>
      </w:r>
      <w:r w:rsidR="00C37789" w:rsidRPr="00F35A3E">
        <w:rPr>
          <w:b/>
          <w:bCs/>
        </w:rPr>
        <w:instrText>,"</w:instrText>
      </w:r>
      <w:r w:rsidR="00C37789" w:rsidRPr="000322E4">
        <w:rPr>
          <w:b/>
          <w:bCs/>
          <w:lang w:val="en-US"/>
        </w:rPr>
        <w:instrText>suffix</w:instrText>
      </w:r>
      <w:r w:rsidR="00C37789" w:rsidRPr="00F35A3E">
        <w:rPr>
          <w:b/>
          <w:bCs/>
        </w:rPr>
        <w:instrText>":""},{"</w:instrText>
      </w:r>
      <w:r w:rsidR="00C37789" w:rsidRPr="000322E4">
        <w:rPr>
          <w:b/>
          <w:bCs/>
          <w:lang w:val="en-US"/>
        </w:rPr>
        <w:instrText>dropping</w:instrText>
      </w:r>
      <w:r w:rsidR="00C37789" w:rsidRPr="00F35A3E">
        <w:rPr>
          <w:b/>
          <w:bCs/>
        </w:rPr>
        <w:instrText>-</w:instrText>
      </w:r>
      <w:r w:rsidR="00C37789" w:rsidRPr="000322E4">
        <w:rPr>
          <w:b/>
          <w:bCs/>
          <w:lang w:val="en-US"/>
        </w:rPr>
        <w:instrText>particle</w:instrText>
      </w:r>
      <w:r w:rsidR="00C37789" w:rsidRPr="00F35A3E">
        <w:rPr>
          <w:b/>
          <w:bCs/>
        </w:rPr>
        <w:instrText>":"","</w:instrText>
      </w:r>
      <w:r w:rsidR="00C37789" w:rsidRPr="000322E4">
        <w:rPr>
          <w:b/>
          <w:bCs/>
          <w:lang w:val="en-US"/>
        </w:rPr>
        <w:instrText>family</w:instrText>
      </w:r>
      <w:r w:rsidR="00C37789" w:rsidRPr="00F35A3E">
        <w:rPr>
          <w:b/>
          <w:bCs/>
        </w:rPr>
        <w:instrText>":"</w:instrText>
      </w:r>
      <w:r w:rsidR="00C37789" w:rsidRPr="000322E4">
        <w:rPr>
          <w:b/>
          <w:bCs/>
          <w:lang w:val="en-US"/>
        </w:rPr>
        <w:instrText>Jaffe</w:instrText>
      </w:r>
      <w:r w:rsidR="00C37789" w:rsidRPr="00F35A3E">
        <w:rPr>
          <w:b/>
          <w:bCs/>
        </w:rPr>
        <w:instrText>","</w:instrText>
      </w:r>
      <w:r w:rsidR="00C37789" w:rsidRPr="000322E4">
        <w:rPr>
          <w:b/>
          <w:bCs/>
          <w:lang w:val="en-US"/>
        </w:rPr>
        <w:instrText>given</w:instrText>
      </w:r>
      <w:r w:rsidR="00C37789" w:rsidRPr="00F35A3E">
        <w:rPr>
          <w:b/>
          <w:bCs/>
        </w:rPr>
        <w:instrText>":"</w:instrText>
      </w:r>
      <w:r w:rsidR="00C37789" w:rsidRPr="000322E4">
        <w:rPr>
          <w:b/>
          <w:bCs/>
          <w:lang w:val="en-US"/>
        </w:rPr>
        <w:instrText>Elaine</w:instrText>
      </w:r>
      <w:r w:rsidR="00C37789" w:rsidRPr="00F35A3E">
        <w:rPr>
          <w:b/>
          <w:bCs/>
        </w:rPr>
        <w:instrText xml:space="preserve"> </w:instrText>
      </w:r>
      <w:r w:rsidR="00C37789" w:rsidRPr="000322E4">
        <w:rPr>
          <w:b/>
          <w:bCs/>
          <w:lang w:val="en-US"/>
        </w:rPr>
        <w:instrText>S</w:instrText>
      </w:r>
      <w:r w:rsidR="00C37789" w:rsidRPr="00F35A3E">
        <w:rPr>
          <w:b/>
          <w:bCs/>
        </w:rPr>
        <w:instrText>.","</w:instrText>
      </w:r>
      <w:r w:rsidR="00C37789" w:rsidRPr="000322E4">
        <w:rPr>
          <w:b/>
          <w:bCs/>
          <w:lang w:val="en-US"/>
        </w:rPr>
        <w:instrText>non</w:instrText>
      </w:r>
      <w:r w:rsidR="00C37789" w:rsidRPr="00F35A3E">
        <w:rPr>
          <w:b/>
          <w:bCs/>
        </w:rPr>
        <w:instrText>-</w:instrText>
      </w:r>
      <w:r w:rsidR="00C37789" w:rsidRPr="000322E4">
        <w:rPr>
          <w:b/>
          <w:bCs/>
          <w:lang w:val="en-US"/>
        </w:rPr>
        <w:instrText>dropping</w:instrText>
      </w:r>
      <w:r w:rsidR="00C37789" w:rsidRPr="00F35A3E">
        <w:rPr>
          <w:b/>
          <w:bCs/>
        </w:rPr>
        <w:instrText>-</w:instrText>
      </w:r>
      <w:r w:rsidR="00C37789" w:rsidRPr="000322E4">
        <w:rPr>
          <w:b/>
          <w:bCs/>
          <w:lang w:val="en-US"/>
        </w:rPr>
        <w:instrText>particle</w:instrText>
      </w:r>
      <w:r w:rsidR="00C37789" w:rsidRPr="00F35A3E">
        <w:rPr>
          <w:b/>
          <w:bCs/>
        </w:rPr>
        <w:instrText>":"","</w:instrText>
      </w:r>
      <w:r w:rsidR="00C37789" w:rsidRPr="000322E4">
        <w:rPr>
          <w:b/>
          <w:bCs/>
          <w:lang w:val="en-US"/>
        </w:rPr>
        <w:instrText>parse</w:instrText>
      </w:r>
      <w:r w:rsidR="00C37789" w:rsidRPr="00F35A3E">
        <w:rPr>
          <w:b/>
          <w:bCs/>
        </w:rPr>
        <w:instrText>-</w:instrText>
      </w:r>
      <w:r w:rsidR="00C37789" w:rsidRPr="000322E4">
        <w:rPr>
          <w:b/>
          <w:bCs/>
          <w:lang w:val="en-US"/>
        </w:rPr>
        <w:instrText>names</w:instrText>
      </w:r>
      <w:r w:rsidR="00C37789" w:rsidRPr="00F35A3E">
        <w:rPr>
          <w:b/>
          <w:bCs/>
        </w:rPr>
        <w:instrText>":</w:instrText>
      </w:r>
      <w:r w:rsidR="00C37789" w:rsidRPr="000322E4">
        <w:rPr>
          <w:b/>
          <w:bCs/>
          <w:lang w:val="en-US"/>
        </w:rPr>
        <w:instrText>false</w:instrText>
      </w:r>
      <w:r w:rsidR="00C37789" w:rsidRPr="00F35A3E">
        <w:rPr>
          <w:b/>
          <w:bCs/>
        </w:rPr>
        <w:instrText>,"</w:instrText>
      </w:r>
      <w:r w:rsidR="00C37789" w:rsidRPr="000322E4">
        <w:rPr>
          <w:b/>
          <w:bCs/>
          <w:lang w:val="en-US"/>
        </w:rPr>
        <w:instrText>suffix</w:instrText>
      </w:r>
      <w:r w:rsidR="00C37789" w:rsidRPr="00F35A3E">
        <w:rPr>
          <w:b/>
          <w:bCs/>
        </w:rPr>
        <w:instrText>":""},{"</w:instrText>
      </w:r>
      <w:r w:rsidR="00C37789" w:rsidRPr="000322E4">
        <w:rPr>
          <w:b/>
          <w:bCs/>
          <w:lang w:val="en-US"/>
        </w:rPr>
        <w:instrText>dropping</w:instrText>
      </w:r>
      <w:r w:rsidR="00C37789" w:rsidRPr="00F35A3E">
        <w:rPr>
          <w:b/>
          <w:bCs/>
        </w:rPr>
        <w:instrText>-</w:instrText>
      </w:r>
      <w:r w:rsidR="00C37789" w:rsidRPr="000322E4">
        <w:rPr>
          <w:b/>
          <w:bCs/>
          <w:lang w:val="en-US"/>
        </w:rPr>
        <w:instrText>particle</w:instrText>
      </w:r>
      <w:r w:rsidR="00C37789" w:rsidRPr="00F35A3E">
        <w:rPr>
          <w:b/>
          <w:bCs/>
        </w:rPr>
        <w:instrText>":"","</w:instrText>
      </w:r>
      <w:r w:rsidR="00C37789" w:rsidRPr="000322E4">
        <w:rPr>
          <w:b/>
          <w:bCs/>
          <w:lang w:val="en-US"/>
        </w:rPr>
        <w:instrText>family</w:instrText>
      </w:r>
      <w:r w:rsidR="00C37789" w:rsidRPr="00F35A3E">
        <w:rPr>
          <w:b/>
          <w:bCs/>
        </w:rPr>
        <w:instrText>":"</w:instrText>
      </w:r>
      <w:r w:rsidR="00C37789" w:rsidRPr="000322E4">
        <w:rPr>
          <w:b/>
          <w:bCs/>
          <w:lang w:val="en-US"/>
        </w:rPr>
        <w:instrText>Wilson</w:instrText>
      </w:r>
      <w:r w:rsidR="00C37789" w:rsidRPr="00F35A3E">
        <w:rPr>
          <w:b/>
          <w:bCs/>
        </w:rPr>
        <w:instrText>","</w:instrText>
      </w:r>
      <w:r w:rsidR="00C37789" w:rsidRPr="000322E4">
        <w:rPr>
          <w:b/>
          <w:bCs/>
          <w:lang w:val="en-US"/>
        </w:rPr>
        <w:instrText>given</w:instrText>
      </w:r>
      <w:r w:rsidR="00C37789" w:rsidRPr="00F35A3E">
        <w:rPr>
          <w:b/>
          <w:bCs/>
        </w:rPr>
        <w:instrText>":"</w:instrText>
      </w:r>
      <w:r w:rsidR="00C37789" w:rsidRPr="000322E4">
        <w:rPr>
          <w:b/>
          <w:bCs/>
          <w:lang w:val="en-US"/>
        </w:rPr>
        <w:instrText>Wyndham</w:instrText>
      </w:r>
      <w:r w:rsidR="00C37789" w:rsidRPr="00F35A3E">
        <w:rPr>
          <w:b/>
          <w:bCs/>
        </w:rPr>
        <w:instrText xml:space="preserve"> </w:instrText>
      </w:r>
      <w:r w:rsidR="00C37789" w:rsidRPr="000322E4">
        <w:rPr>
          <w:b/>
          <w:bCs/>
          <w:lang w:val="en-US"/>
        </w:rPr>
        <w:instrText>H</w:instrText>
      </w:r>
      <w:r w:rsidR="00C37789" w:rsidRPr="00F35A3E">
        <w:rPr>
          <w:b/>
          <w:bCs/>
        </w:rPr>
        <w:instrText>.","</w:instrText>
      </w:r>
      <w:r w:rsidR="00C37789" w:rsidRPr="000322E4">
        <w:rPr>
          <w:b/>
          <w:bCs/>
          <w:lang w:val="en-US"/>
        </w:rPr>
        <w:instrText>non</w:instrText>
      </w:r>
      <w:r w:rsidR="00C37789" w:rsidRPr="00F35A3E">
        <w:rPr>
          <w:b/>
          <w:bCs/>
        </w:rPr>
        <w:instrText>-</w:instrText>
      </w:r>
      <w:r w:rsidR="00C37789" w:rsidRPr="000322E4">
        <w:rPr>
          <w:b/>
          <w:bCs/>
          <w:lang w:val="en-US"/>
        </w:rPr>
        <w:instrText>dropping</w:instrText>
      </w:r>
      <w:r w:rsidR="00C37789" w:rsidRPr="00F35A3E">
        <w:rPr>
          <w:b/>
          <w:bCs/>
        </w:rPr>
        <w:instrText>-</w:instrText>
      </w:r>
      <w:r w:rsidR="00C37789" w:rsidRPr="000322E4">
        <w:rPr>
          <w:b/>
          <w:bCs/>
          <w:lang w:val="en-US"/>
        </w:rPr>
        <w:instrText>particle</w:instrText>
      </w:r>
      <w:r w:rsidR="00C37789" w:rsidRPr="00F35A3E">
        <w:rPr>
          <w:b/>
          <w:bCs/>
        </w:rPr>
        <w:instrText>":"","</w:instrText>
      </w:r>
      <w:r w:rsidR="00C37789" w:rsidRPr="000322E4">
        <w:rPr>
          <w:b/>
          <w:bCs/>
          <w:lang w:val="en-US"/>
        </w:rPr>
        <w:instrText>parse</w:instrText>
      </w:r>
      <w:r w:rsidR="00C37789" w:rsidRPr="00F35A3E">
        <w:rPr>
          <w:b/>
          <w:bCs/>
        </w:rPr>
        <w:instrText>-</w:instrText>
      </w:r>
      <w:r w:rsidR="00C37789" w:rsidRPr="000322E4">
        <w:rPr>
          <w:b/>
          <w:bCs/>
          <w:lang w:val="en-US"/>
        </w:rPr>
        <w:instrText>names</w:instrText>
      </w:r>
      <w:r w:rsidR="00C37789" w:rsidRPr="00F35A3E">
        <w:rPr>
          <w:b/>
          <w:bCs/>
        </w:rPr>
        <w:instrText>":</w:instrText>
      </w:r>
      <w:r w:rsidR="00C37789" w:rsidRPr="000322E4">
        <w:rPr>
          <w:b/>
          <w:bCs/>
          <w:lang w:val="en-US"/>
        </w:rPr>
        <w:instrText>false</w:instrText>
      </w:r>
      <w:r w:rsidR="00C37789" w:rsidRPr="00F35A3E">
        <w:rPr>
          <w:b/>
          <w:bCs/>
        </w:rPr>
        <w:instrText>,"</w:instrText>
      </w:r>
      <w:r w:rsidR="00C37789" w:rsidRPr="000322E4">
        <w:rPr>
          <w:b/>
          <w:bCs/>
          <w:lang w:val="en-US"/>
        </w:rPr>
        <w:instrText>suffix</w:instrText>
      </w:r>
      <w:r w:rsidR="00C37789" w:rsidRPr="00F35A3E">
        <w:rPr>
          <w:b/>
          <w:bCs/>
        </w:rPr>
        <w:instrText>":""}],"</w:instrText>
      </w:r>
      <w:r w:rsidR="00C37789" w:rsidRPr="000322E4">
        <w:rPr>
          <w:b/>
          <w:bCs/>
          <w:lang w:val="en-US"/>
        </w:rPr>
        <w:instrText>container</w:instrText>
      </w:r>
      <w:r w:rsidR="00C37789" w:rsidRPr="00F35A3E">
        <w:rPr>
          <w:b/>
          <w:bCs/>
        </w:rPr>
        <w:instrText>-</w:instrText>
      </w:r>
      <w:r w:rsidR="00C37789" w:rsidRPr="000322E4">
        <w:rPr>
          <w:b/>
          <w:bCs/>
          <w:lang w:val="en-US"/>
        </w:rPr>
        <w:instrText>title</w:instrText>
      </w:r>
      <w:r w:rsidR="00C37789" w:rsidRPr="00F35A3E">
        <w:rPr>
          <w:b/>
          <w:bCs/>
        </w:rPr>
        <w:instrText>":"</w:instrText>
      </w:r>
      <w:r w:rsidR="00C37789" w:rsidRPr="000322E4">
        <w:rPr>
          <w:b/>
          <w:bCs/>
          <w:lang w:val="en-US"/>
        </w:rPr>
        <w:instrText>New</w:instrText>
      </w:r>
      <w:r w:rsidR="00C37789" w:rsidRPr="00F35A3E">
        <w:rPr>
          <w:b/>
          <w:bCs/>
        </w:rPr>
        <w:instrText xml:space="preserve"> </w:instrText>
      </w:r>
      <w:r w:rsidR="00C37789" w:rsidRPr="000322E4">
        <w:rPr>
          <w:b/>
          <w:bCs/>
          <w:lang w:val="en-US"/>
        </w:rPr>
        <w:instrText>England</w:instrText>
      </w:r>
      <w:r w:rsidR="00C37789" w:rsidRPr="00F35A3E">
        <w:rPr>
          <w:b/>
          <w:bCs/>
        </w:rPr>
        <w:instrText xml:space="preserve"> </w:instrText>
      </w:r>
      <w:r w:rsidR="00C37789" w:rsidRPr="000322E4">
        <w:rPr>
          <w:b/>
          <w:bCs/>
          <w:lang w:val="en-US"/>
        </w:rPr>
        <w:instrText>Journal</w:instrText>
      </w:r>
      <w:r w:rsidR="00C37789" w:rsidRPr="00F35A3E">
        <w:rPr>
          <w:b/>
          <w:bCs/>
        </w:rPr>
        <w:instrText xml:space="preserve"> </w:instrText>
      </w:r>
      <w:r w:rsidR="00C37789" w:rsidRPr="000322E4">
        <w:rPr>
          <w:b/>
          <w:bCs/>
          <w:lang w:val="en-US"/>
        </w:rPr>
        <w:instrText>of</w:instrText>
      </w:r>
      <w:r w:rsidR="00C37789" w:rsidRPr="00F35A3E">
        <w:rPr>
          <w:b/>
          <w:bCs/>
        </w:rPr>
        <w:instrText xml:space="preserve"> </w:instrText>
      </w:r>
      <w:r w:rsidR="00C37789" w:rsidRPr="000322E4">
        <w:rPr>
          <w:b/>
          <w:bCs/>
          <w:lang w:val="en-US"/>
        </w:rPr>
        <w:instrText>Medicine</w:instrText>
      </w:r>
      <w:r w:rsidR="00C37789" w:rsidRPr="00F35A3E">
        <w:rPr>
          <w:b/>
          <w:bCs/>
        </w:rPr>
        <w:instrText>","</w:instrText>
      </w:r>
      <w:r w:rsidR="00C37789" w:rsidRPr="000322E4">
        <w:rPr>
          <w:b/>
          <w:bCs/>
          <w:lang w:val="en-US"/>
        </w:rPr>
        <w:instrText>id</w:instrText>
      </w:r>
      <w:r w:rsidR="00C37789" w:rsidRPr="00F35A3E">
        <w:rPr>
          <w:b/>
          <w:bCs/>
        </w:rPr>
        <w:instrText>":"</w:instrText>
      </w:r>
      <w:r w:rsidR="00C37789" w:rsidRPr="000322E4">
        <w:rPr>
          <w:b/>
          <w:bCs/>
          <w:lang w:val="en-US"/>
        </w:rPr>
        <w:instrText>ITEM</w:instrText>
      </w:r>
      <w:r w:rsidR="00C37789" w:rsidRPr="00F35A3E">
        <w:rPr>
          <w:b/>
          <w:bCs/>
        </w:rPr>
        <w:instrText>-1","</w:instrText>
      </w:r>
      <w:r w:rsidR="00C37789" w:rsidRPr="000322E4">
        <w:rPr>
          <w:b/>
          <w:bCs/>
          <w:lang w:val="en-US"/>
        </w:rPr>
        <w:instrText>issue</w:instrText>
      </w:r>
      <w:r w:rsidR="00C37789" w:rsidRPr="00F35A3E">
        <w:rPr>
          <w:b/>
          <w:bCs/>
        </w:rPr>
        <w:instrText>":"15","</w:instrText>
      </w:r>
      <w:r w:rsidR="00C37789" w:rsidRPr="000322E4">
        <w:rPr>
          <w:b/>
          <w:bCs/>
          <w:lang w:val="en-US"/>
        </w:rPr>
        <w:instrText>issued</w:instrText>
      </w:r>
      <w:r w:rsidR="00C37789" w:rsidRPr="00F35A3E">
        <w:rPr>
          <w:b/>
          <w:bCs/>
        </w:rPr>
        <w:instrText>":{"</w:instrText>
      </w:r>
      <w:r w:rsidR="00C37789" w:rsidRPr="000322E4">
        <w:rPr>
          <w:b/>
          <w:bCs/>
          <w:lang w:val="en-US"/>
        </w:rPr>
        <w:instrText>date</w:instrText>
      </w:r>
      <w:r w:rsidR="00C37789" w:rsidRPr="00F35A3E">
        <w:rPr>
          <w:b/>
          <w:bCs/>
        </w:rPr>
        <w:instrText>-</w:instrText>
      </w:r>
      <w:r w:rsidR="00C37789" w:rsidRPr="000322E4">
        <w:rPr>
          <w:b/>
          <w:bCs/>
          <w:lang w:val="en-US"/>
        </w:rPr>
        <w:instrText>parts</w:instrText>
      </w:r>
      <w:r w:rsidR="00C37789" w:rsidRPr="00F35A3E">
        <w:rPr>
          <w:b/>
          <w:bCs/>
        </w:rPr>
        <w:instrText>":[["2013","4","11"]]},"</w:instrText>
      </w:r>
      <w:r w:rsidR="00C37789" w:rsidRPr="000322E4">
        <w:rPr>
          <w:b/>
          <w:bCs/>
          <w:lang w:val="en-US"/>
        </w:rPr>
        <w:instrText>page</w:instrText>
      </w:r>
      <w:r w:rsidR="00C37789" w:rsidRPr="00F35A3E">
        <w:rPr>
          <w:b/>
          <w:bCs/>
        </w:rPr>
        <w:instrText>":"1408-1416","</w:instrText>
      </w:r>
      <w:r w:rsidR="00C37789" w:rsidRPr="000322E4">
        <w:rPr>
          <w:b/>
          <w:bCs/>
          <w:lang w:val="en-US"/>
        </w:rPr>
        <w:instrText>publisher</w:instrText>
      </w:r>
      <w:r w:rsidR="00C37789" w:rsidRPr="00F35A3E">
        <w:rPr>
          <w:b/>
          <w:bCs/>
        </w:rPr>
        <w:instrText>":"</w:instrText>
      </w:r>
      <w:r w:rsidR="00C37789" w:rsidRPr="000322E4">
        <w:rPr>
          <w:b/>
          <w:bCs/>
          <w:lang w:val="en-US"/>
        </w:rPr>
        <w:instrText>Massachussetts</w:instrText>
      </w:r>
      <w:r w:rsidR="00C37789" w:rsidRPr="00F35A3E">
        <w:rPr>
          <w:b/>
          <w:bCs/>
        </w:rPr>
        <w:instrText xml:space="preserve"> </w:instrText>
      </w:r>
      <w:r w:rsidR="00C37789" w:rsidRPr="000322E4">
        <w:rPr>
          <w:b/>
          <w:bCs/>
          <w:lang w:val="en-US"/>
        </w:rPr>
        <w:instrText>Medical</w:instrText>
      </w:r>
      <w:r w:rsidR="00C37789" w:rsidRPr="00F35A3E">
        <w:rPr>
          <w:b/>
          <w:bCs/>
        </w:rPr>
        <w:instrText xml:space="preserve"> </w:instrText>
      </w:r>
      <w:r w:rsidR="00C37789" w:rsidRPr="000322E4">
        <w:rPr>
          <w:b/>
          <w:bCs/>
          <w:lang w:val="en-US"/>
        </w:rPr>
        <w:instrText>Society</w:instrText>
      </w:r>
      <w:r w:rsidR="00C37789" w:rsidRPr="00F35A3E">
        <w:rPr>
          <w:b/>
          <w:bCs/>
        </w:rPr>
        <w:instrText>","</w:instrText>
      </w:r>
      <w:r w:rsidR="00C37789" w:rsidRPr="000322E4">
        <w:rPr>
          <w:b/>
          <w:bCs/>
          <w:lang w:val="en-US"/>
        </w:rPr>
        <w:instrText>title</w:instrText>
      </w:r>
      <w:r w:rsidR="00C37789" w:rsidRPr="00F35A3E">
        <w:rPr>
          <w:b/>
          <w:bCs/>
        </w:rPr>
        <w:instrText>":"</w:instrText>
      </w:r>
      <w:r w:rsidR="00C37789" w:rsidRPr="000322E4">
        <w:rPr>
          <w:b/>
          <w:bCs/>
          <w:lang w:val="en-US"/>
        </w:rPr>
        <w:instrText>Dose</w:instrText>
      </w:r>
      <w:r w:rsidR="00C37789" w:rsidRPr="00F35A3E">
        <w:rPr>
          <w:b/>
          <w:bCs/>
        </w:rPr>
        <w:instrText>-</w:instrText>
      </w:r>
      <w:r w:rsidR="00C37789" w:rsidRPr="000322E4">
        <w:rPr>
          <w:b/>
          <w:bCs/>
          <w:lang w:val="en-US"/>
        </w:rPr>
        <w:instrText>adjusted</w:instrText>
      </w:r>
      <w:r w:rsidR="00C37789" w:rsidRPr="00F35A3E">
        <w:rPr>
          <w:b/>
          <w:bCs/>
        </w:rPr>
        <w:instrText xml:space="preserve"> </w:instrText>
      </w:r>
      <w:r w:rsidR="00C37789" w:rsidRPr="000322E4">
        <w:rPr>
          <w:b/>
          <w:bCs/>
          <w:lang w:val="en-US"/>
        </w:rPr>
        <w:instrText>EPOCH</w:instrText>
      </w:r>
      <w:r w:rsidR="00C37789" w:rsidRPr="00F35A3E">
        <w:rPr>
          <w:b/>
          <w:bCs/>
        </w:rPr>
        <w:instrText>-</w:instrText>
      </w:r>
      <w:r w:rsidR="00C37789" w:rsidRPr="000322E4">
        <w:rPr>
          <w:b/>
          <w:bCs/>
          <w:lang w:val="en-US"/>
        </w:rPr>
        <w:instrText>rituximab</w:instrText>
      </w:r>
      <w:r w:rsidR="00C37789" w:rsidRPr="00F35A3E">
        <w:rPr>
          <w:b/>
          <w:bCs/>
        </w:rPr>
        <w:instrText xml:space="preserve"> </w:instrText>
      </w:r>
      <w:r w:rsidR="00C37789" w:rsidRPr="000322E4">
        <w:rPr>
          <w:b/>
          <w:bCs/>
          <w:lang w:val="en-US"/>
        </w:rPr>
        <w:instrText>therapy</w:instrText>
      </w:r>
      <w:r w:rsidR="00C37789" w:rsidRPr="00F35A3E">
        <w:rPr>
          <w:b/>
          <w:bCs/>
        </w:rPr>
        <w:instrText xml:space="preserve"> </w:instrText>
      </w:r>
      <w:r w:rsidR="00C37789" w:rsidRPr="000322E4">
        <w:rPr>
          <w:b/>
          <w:bCs/>
          <w:lang w:val="en-US"/>
        </w:rPr>
        <w:instrText>in</w:instrText>
      </w:r>
      <w:r w:rsidR="00C37789" w:rsidRPr="00F35A3E">
        <w:rPr>
          <w:b/>
          <w:bCs/>
        </w:rPr>
        <w:instrText xml:space="preserve"> </w:instrText>
      </w:r>
      <w:r w:rsidR="00C37789" w:rsidRPr="000322E4">
        <w:rPr>
          <w:b/>
          <w:bCs/>
          <w:lang w:val="en-US"/>
        </w:rPr>
        <w:instrText>primary</w:instrText>
      </w:r>
      <w:r w:rsidR="00C37789" w:rsidRPr="00F35A3E">
        <w:rPr>
          <w:b/>
          <w:bCs/>
        </w:rPr>
        <w:instrText xml:space="preserve"> </w:instrText>
      </w:r>
      <w:r w:rsidR="00C37789" w:rsidRPr="000322E4">
        <w:rPr>
          <w:b/>
          <w:bCs/>
          <w:lang w:val="en-US"/>
        </w:rPr>
        <w:instrText>mediastinal</w:instrText>
      </w:r>
      <w:r w:rsidR="00C37789" w:rsidRPr="00F35A3E">
        <w:rPr>
          <w:b/>
          <w:bCs/>
        </w:rPr>
        <w:instrText xml:space="preserve"> </w:instrText>
      </w:r>
      <w:r w:rsidR="00C37789" w:rsidRPr="000322E4">
        <w:rPr>
          <w:b/>
          <w:bCs/>
          <w:lang w:val="en-US"/>
        </w:rPr>
        <w:instrText>B</w:instrText>
      </w:r>
      <w:r w:rsidR="00C37789" w:rsidRPr="00F35A3E">
        <w:rPr>
          <w:b/>
          <w:bCs/>
        </w:rPr>
        <w:instrText>-</w:instrText>
      </w:r>
      <w:r w:rsidR="00C37789" w:rsidRPr="000322E4">
        <w:rPr>
          <w:b/>
          <w:bCs/>
          <w:lang w:val="en-US"/>
        </w:rPr>
        <w:instrText>cell</w:instrText>
      </w:r>
      <w:r w:rsidR="00C37789" w:rsidRPr="00F35A3E">
        <w:rPr>
          <w:b/>
          <w:bCs/>
        </w:rPr>
        <w:instrText xml:space="preserve"> </w:instrText>
      </w:r>
      <w:r w:rsidR="00C37789" w:rsidRPr="000322E4">
        <w:rPr>
          <w:b/>
          <w:bCs/>
          <w:lang w:val="en-US"/>
        </w:rPr>
        <w:instrText>lymphoma</w:instrText>
      </w:r>
      <w:r w:rsidR="00C37789" w:rsidRPr="00F35A3E">
        <w:rPr>
          <w:b/>
          <w:bCs/>
        </w:rPr>
        <w:instrText>","</w:instrText>
      </w:r>
      <w:r w:rsidR="00C37789" w:rsidRPr="000322E4">
        <w:rPr>
          <w:b/>
          <w:bCs/>
          <w:lang w:val="en-US"/>
        </w:rPr>
        <w:instrText>type</w:instrText>
      </w:r>
      <w:r w:rsidR="00C37789" w:rsidRPr="00F35A3E">
        <w:rPr>
          <w:b/>
          <w:bCs/>
        </w:rPr>
        <w:instrText>":"</w:instrText>
      </w:r>
      <w:r w:rsidR="00C37789" w:rsidRPr="000322E4">
        <w:rPr>
          <w:b/>
          <w:bCs/>
          <w:lang w:val="en-US"/>
        </w:rPr>
        <w:instrText>article</w:instrText>
      </w:r>
      <w:r w:rsidR="00C37789" w:rsidRPr="00F35A3E">
        <w:rPr>
          <w:b/>
          <w:bCs/>
        </w:rPr>
        <w:instrText>-</w:instrText>
      </w:r>
      <w:r w:rsidR="00C37789" w:rsidRPr="000322E4">
        <w:rPr>
          <w:b/>
          <w:bCs/>
          <w:lang w:val="en-US"/>
        </w:rPr>
        <w:instrText>journal</w:instrText>
      </w:r>
      <w:r w:rsidR="00C37789" w:rsidRPr="00F35A3E">
        <w:rPr>
          <w:b/>
          <w:bCs/>
        </w:rPr>
        <w:instrText>","</w:instrText>
      </w:r>
      <w:r w:rsidR="00C37789" w:rsidRPr="000322E4">
        <w:rPr>
          <w:b/>
          <w:bCs/>
          <w:lang w:val="en-US"/>
        </w:rPr>
        <w:instrText>volume</w:instrText>
      </w:r>
      <w:r w:rsidR="00C37789" w:rsidRPr="00F35A3E">
        <w:rPr>
          <w:b/>
          <w:bCs/>
        </w:rPr>
        <w:instrText>":"368"},"</w:instrText>
      </w:r>
      <w:r w:rsidR="00C37789" w:rsidRPr="000322E4">
        <w:rPr>
          <w:b/>
          <w:bCs/>
          <w:lang w:val="en-US"/>
        </w:rPr>
        <w:instrText>uris</w:instrText>
      </w:r>
      <w:r w:rsidR="00C37789" w:rsidRPr="00F35A3E">
        <w:rPr>
          <w:b/>
          <w:bCs/>
        </w:rPr>
        <w:instrText>":["</w:instrText>
      </w:r>
      <w:r w:rsidR="00C37789" w:rsidRPr="000322E4">
        <w:rPr>
          <w:b/>
          <w:bCs/>
          <w:lang w:val="en-US"/>
        </w:rPr>
        <w:instrText>http</w:instrText>
      </w:r>
      <w:r w:rsidR="00C37789" w:rsidRPr="00F35A3E">
        <w:rPr>
          <w:b/>
          <w:bCs/>
        </w:rPr>
        <w:instrText>://</w:instrText>
      </w:r>
      <w:r w:rsidR="00C37789" w:rsidRPr="000322E4">
        <w:rPr>
          <w:b/>
          <w:bCs/>
          <w:lang w:val="en-US"/>
        </w:rPr>
        <w:instrText>www</w:instrText>
      </w:r>
      <w:r w:rsidR="00C37789" w:rsidRPr="00F35A3E">
        <w:rPr>
          <w:b/>
          <w:bCs/>
        </w:rPr>
        <w:instrText>.</w:instrText>
      </w:r>
      <w:r w:rsidR="00C37789" w:rsidRPr="000322E4">
        <w:rPr>
          <w:b/>
          <w:bCs/>
          <w:lang w:val="en-US"/>
        </w:rPr>
        <w:instrText>mendeley</w:instrText>
      </w:r>
      <w:r w:rsidR="00C37789" w:rsidRPr="00F35A3E">
        <w:rPr>
          <w:b/>
          <w:bCs/>
        </w:rPr>
        <w:instrText>.</w:instrText>
      </w:r>
      <w:r w:rsidR="00C37789" w:rsidRPr="000322E4">
        <w:rPr>
          <w:b/>
          <w:bCs/>
          <w:lang w:val="en-US"/>
        </w:rPr>
        <w:instrText>com</w:instrText>
      </w:r>
      <w:r w:rsidR="00C37789" w:rsidRPr="00F35A3E">
        <w:rPr>
          <w:b/>
          <w:bCs/>
        </w:rPr>
        <w:instrText>/</w:instrText>
      </w:r>
      <w:r w:rsidR="00C37789" w:rsidRPr="000322E4">
        <w:rPr>
          <w:b/>
          <w:bCs/>
          <w:lang w:val="en-US"/>
        </w:rPr>
        <w:instrText>documents</w:instrText>
      </w:r>
      <w:r w:rsidR="00C37789" w:rsidRPr="00F35A3E">
        <w:rPr>
          <w:b/>
          <w:bCs/>
        </w:rPr>
        <w:instrText>/?</w:instrText>
      </w:r>
      <w:r w:rsidR="00C37789" w:rsidRPr="000322E4">
        <w:rPr>
          <w:b/>
          <w:bCs/>
          <w:lang w:val="en-US"/>
        </w:rPr>
        <w:instrText>uuid</w:instrText>
      </w:r>
      <w:r w:rsidR="00C37789" w:rsidRPr="00F35A3E">
        <w:rPr>
          <w:b/>
          <w:bCs/>
        </w:rPr>
        <w:instrText>=</w:instrText>
      </w:r>
      <w:r w:rsidR="00C37789" w:rsidRPr="000322E4">
        <w:rPr>
          <w:b/>
          <w:bCs/>
          <w:lang w:val="en-US"/>
        </w:rPr>
        <w:instrText>ab</w:instrText>
      </w:r>
      <w:r w:rsidR="00C37789" w:rsidRPr="00F35A3E">
        <w:rPr>
          <w:b/>
          <w:bCs/>
        </w:rPr>
        <w:instrText>2</w:instrText>
      </w:r>
      <w:r w:rsidR="00C37789" w:rsidRPr="000322E4">
        <w:rPr>
          <w:b/>
          <w:bCs/>
          <w:lang w:val="en-US"/>
        </w:rPr>
        <w:instrText>bf</w:instrText>
      </w:r>
      <w:r w:rsidR="00C37789" w:rsidRPr="00F35A3E">
        <w:rPr>
          <w:b/>
          <w:bCs/>
        </w:rPr>
        <w:instrText>952-</w:instrText>
      </w:r>
      <w:r w:rsidR="00C37789" w:rsidRPr="000322E4">
        <w:rPr>
          <w:b/>
          <w:bCs/>
          <w:lang w:val="en-US"/>
        </w:rPr>
        <w:instrText>eead</w:instrText>
      </w:r>
      <w:r w:rsidR="00C37789" w:rsidRPr="00F35A3E">
        <w:rPr>
          <w:b/>
          <w:bCs/>
        </w:rPr>
        <w:instrText>-3</w:instrText>
      </w:r>
      <w:r w:rsidR="00C37789" w:rsidRPr="000322E4">
        <w:rPr>
          <w:b/>
          <w:bCs/>
          <w:lang w:val="en-US"/>
        </w:rPr>
        <w:instrText>cc</w:instrText>
      </w:r>
      <w:r w:rsidR="00C37789" w:rsidRPr="00F35A3E">
        <w:rPr>
          <w:b/>
          <w:bCs/>
        </w:rPr>
        <w:instrText>2-82</w:instrText>
      </w:r>
      <w:r w:rsidR="00C37789" w:rsidRPr="000322E4">
        <w:rPr>
          <w:b/>
          <w:bCs/>
          <w:lang w:val="en-US"/>
        </w:rPr>
        <w:instrText>f</w:instrText>
      </w:r>
      <w:r w:rsidR="00C37789" w:rsidRPr="00F35A3E">
        <w:rPr>
          <w:b/>
          <w:bCs/>
        </w:rPr>
        <w:instrText>7-59</w:instrText>
      </w:r>
      <w:r w:rsidR="00C37789" w:rsidRPr="000322E4">
        <w:rPr>
          <w:b/>
          <w:bCs/>
          <w:lang w:val="en-US"/>
        </w:rPr>
        <w:instrText>d</w:instrText>
      </w:r>
      <w:r w:rsidR="00C37789" w:rsidRPr="00F35A3E">
        <w:rPr>
          <w:b/>
          <w:bCs/>
        </w:rPr>
        <w:instrText>922</w:instrText>
      </w:r>
      <w:r w:rsidR="00C37789" w:rsidRPr="000322E4">
        <w:rPr>
          <w:b/>
          <w:bCs/>
          <w:lang w:val="en-US"/>
        </w:rPr>
        <w:instrText>c</w:instrText>
      </w:r>
      <w:r w:rsidR="00C37789" w:rsidRPr="00F35A3E">
        <w:rPr>
          <w:b/>
          <w:bCs/>
        </w:rPr>
        <w:instrText>2</w:instrText>
      </w:r>
      <w:r w:rsidR="00C37789" w:rsidRPr="000322E4">
        <w:rPr>
          <w:b/>
          <w:bCs/>
          <w:lang w:val="en-US"/>
        </w:rPr>
        <w:instrText>fd</w:instrText>
      </w:r>
      <w:r w:rsidR="00C37789" w:rsidRPr="00F35A3E">
        <w:rPr>
          <w:b/>
          <w:bCs/>
        </w:rPr>
        <w:instrText>09"]}],"</w:instrText>
      </w:r>
      <w:r w:rsidR="00C37789" w:rsidRPr="000322E4">
        <w:rPr>
          <w:b/>
          <w:bCs/>
          <w:lang w:val="en-US"/>
        </w:rPr>
        <w:instrText>mendeley</w:instrText>
      </w:r>
      <w:r w:rsidR="00C37789" w:rsidRPr="00F35A3E">
        <w:rPr>
          <w:b/>
          <w:bCs/>
        </w:rPr>
        <w:instrText>":{"</w:instrText>
      </w:r>
      <w:r w:rsidR="00C37789" w:rsidRPr="000322E4">
        <w:rPr>
          <w:b/>
          <w:bCs/>
          <w:lang w:val="en-US"/>
        </w:rPr>
        <w:instrText>formattedCitation</w:instrText>
      </w:r>
      <w:r w:rsidR="00C37789" w:rsidRPr="00F35A3E">
        <w:rPr>
          <w:b/>
          <w:bCs/>
        </w:rPr>
        <w:instrText>":"[68]","</w:instrText>
      </w:r>
      <w:r w:rsidR="00C37789" w:rsidRPr="000322E4">
        <w:rPr>
          <w:b/>
          <w:bCs/>
          <w:lang w:val="en-US"/>
        </w:rPr>
        <w:instrText>plainTextFormattedCitation</w:instrText>
      </w:r>
      <w:r w:rsidR="00C37789" w:rsidRPr="00F35A3E">
        <w:rPr>
          <w:b/>
          <w:bCs/>
        </w:rPr>
        <w:instrText>":"[68]","</w:instrText>
      </w:r>
      <w:r w:rsidR="00C37789" w:rsidRPr="000322E4">
        <w:rPr>
          <w:b/>
          <w:bCs/>
          <w:lang w:val="en-US"/>
        </w:rPr>
        <w:instrText>previouslyFormattedCitation</w:instrText>
      </w:r>
      <w:r w:rsidR="00C37789" w:rsidRPr="00F35A3E">
        <w:rPr>
          <w:b/>
          <w:bCs/>
        </w:rPr>
        <w:instrText>":"[68]"},"</w:instrText>
      </w:r>
      <w:r w:rsidR="00C37789" w:rsidRPr="000322E4">
        <w:rPr>
          <w:b/>
          <w:bCs/>
          <w:lang w:val="en-US"/>
        </w:rPr>
        <w:instrText>properties</w:instrText>
      </w:r>
      <w:r w:rsidR="00C37789" w:rsidRPr="00F35A3E">
        <w:rPr>
          <w:b/>
          <w:bCs/>
        </w:rPr>
        <w:instrText>":{"</w:instrText>
      </w:r>
      <w:r w:rsidR="00C37789" w:rsidRPr="000322E4">
        <w:rPr>
          <w:b/>
          <w:bCs/>
          <w:lang w:val="en-US"/>
        </w:rPr>
        <w:instrText>noteIndex</w:instrText>
      </w:r>
      <w:r w:rsidR="00C37789" w:rsidRPr="00F35A3E">
        <w:rPr>
          <w:b/>
          <w:bCs/>
        </w:rPr>
        <w:instrText>":0},"</w:instrText>
      </w:r>
      <w:r w:rsidR="00C37789" w:rsidRPr="000322E4">
        <w:rPr>
          <w:b/>
          <w:bCs/>
          <w:lang w:val="en-US"/>
        </w:rPr>
        <w:instrText>schema</w:instrText>
      </w:r>
      <w:r w:rsidR="00C37789" w:rsidRPr="00F35A3E">
        <w:rPr>
          <w:b/>
          <w:bCs/>
        </w:rPr>
        <w:instrText>":"</w:instrText>
      </w:r>
      <w:r w:rsidR="00C37789" w:rsidRPr="000322E4">
        <w:rPr>
          <w:b/>
          <w:bCs/>
          <w:lang w:val="en-US"/>
        </w:rPr>
        <w:instrText>https</w:instrText>
      </w:r>
      <w:r w:rsidR="00C37789" w:rsidRPr="00F35A3E">
        <w:rPr>
          <w:b/>
          <w:bCs/>
        </w:rPr>
        <w:instrText>://</w:instrText>
      </w:r>
      <w:r w:rsidR="00C37789" w:rsidRPr="000322E4">
        <w:rPr>
          <w:b/>
          <w:bCs/>
          <w:lang w:val="en-US"/>
        </w:rPr>
        <w:instrText>github</w:instrText>
      </w:r>
      <w:r w:rsidR="00C37789" w:rsidRPr="00F35A3E">
        <w:rPr>
          <w:b/>
          <w:bCs/>
        </w:rPr>
        <w:instrText>.</w:instrText>
      </w:r>
      <w:r w:rsidR="00C37789" w:rsidRPr="000322E4">
        <w:rPr>
          <w:b/>
          <w:bCs/>
          <w:lang w:val="en-US"/>
        </w:rPr>
        <w:instrText>com</w:instrText>
      </w:r>
      <w:r w:rsidR="00C37789" w:rsidRPr="00F35A3E">
        <w:rPr>
          <w:b/>
          <w:bCs/>
        </w:rPr>
        <w:instrText>/</w:instrText>
      </w:r>
      <w:r w:rsidR="00C37789" w:rsidRPr="000322E4">
        <w:rPr>
          <w:b/>
          <w:bCs/>
          <w:lang w:val="en-US"/>
        </w:rPr>
        <w:instrText>citation</w:instrText>
      </w:r>
      <w:r w:rsidR="00C37789" w:rsidRPr="00F35A3E">
        <w:rPr>
          <w:b/>
          <w:bCs/>
        </w:rPr>
        <w:instrText>-</w:instrText>
      </w:r>
      <w:r w:rsidR="00C37789" w:rsidRPr="000322E4">
        <w:rPr>
          <w:b/>
          <w:bCs/>
          <w:lang w:val="en-US"/>
        </w:rPr>
        <w:instrText>style</w:instrText>
      </w:r>
      <w:r w:rsidR="00C37789" w:rsidRPr="00F35A3E">
        <w:rPr>
          <w:b/>
          <w:bCs/>
        </w:rPr>
        <w:instrText>-</w:instrText>
      </w:r>
      <w:r w:rsidR="00C37789" w:rsidRPr="000322E4">
        <w:rPr>
          <w:b/>
          <w:bCs/>
          <w:lang w:val="en-US"/>
        </w:rPr>
        <w:instrText>language</w:instrText>
      </w:r>
      <w:r w:rsidR="00C37789" w:rsidRPr="00F35A3E">
        <w:rPr>
          <w:b/>
          <w:bCs/>
        </w:rPr>
        <w:instrText>/</w:instrText>
      </w:r>
      <w:r w:rsidR="00C37789" w:rsidRPr="000322E4">
        <w:rPr>
          <w:b/>
          <w:bCs/>
          <w:lang w:val="en-US"/>
        </w:rPr>
        <w:instrText>schema</w:instrText>
      </w:r>
      <w:r w:rsidR="00C37789" w:rsidRPr="00F35A3E">
        <w:rPr>
          <w:b/>
          <w:bCs/>
        </w:rPr>
        <w:instrText>/</w:instrText>
      </w:r>
      <w:r w:rsidR="00C37789" w:rsidRPr="000322E4">
        <w:rPr>
          <w:b/>
          <w:bCs/>
          <w:lang w:val="en-US"/>
        </w:rPr>
        <w:instrText>raw</w:instrText>
      </w:r>
      <w:r w:rsidR="00C37789" w:rsidRPr="00F35A3E">
        <w:rPr>
          <w:b/>
          <w:bCs/>
        </w:rPr>
        <w:instrText>/</w:instrText>
      </w:r>
      <w:r w:rsidR="00C37789" w:rsidRPr="000322E4">
        <w:rPr>
          <w:b/>
          <w:bCs/>
          <w:lang w:val="en-US"/>
        </w:rPr>
        <w:instrText>master</w:instrText>
      </w:r>
      <w:r w:rsidR="00C37789" w:rsidRPr="00F35A3E">
        <w:rPr>
          <w:b/>
          <w:bCs/>
        </w:rPr>
        <w:instrText>/</w:instrText>
      </w:r>
      <w:r w:rsidR="00C37789" w:rsidRPr="000322E4">
        <w:rPr>
          <w:b/>
          <w:bCs/>
          <w:lang w:val="en-US"/>
        </w:rPr>
        <w:instrText>csl</w:instrText>
      </w:r>
      <w:r w:rsidR="00C37789" w:rsidRPr="00F35A3E">
        <w:rPr>
          <w:b/>
          <w:bCs/>
        </w:rPr>
        <w:instrText>-</w:instrText>
      </w:r>
      <w:r w:rsidR="00C37789" w:rsidRPr="000322E4">
        <w:rPr>
          <w:b/>
          <w:bCs/>
          <w:lang w:val="en-US"/>
        </w:rPr>
        <w:instrText>citation</w:instrText>
      </w:r>
      <w:r w:rsidR="00C37789" w:rsidRPr="00F35A3E">
        <w:rPr>
          <w:b/>
          <w:bCs/>
        </w:rPr>
        <w:instrText>.</w:instrText>
      </w:r>
      <w:r w:rsidR="00C37789" w:rsidRPr="000322E4">
        <w:rPr>
          <w:b/>
          <w:bCs/>
          <w:lang w:val="en-US"/>
        </w:rPr>
        <w:instrText>json</w:instrText>
      </w:r>
      <w:r w:rsidR="00C37789" w:rsidRPr="00F35A3E">
        <w:rPr>
          <w:b/>
          <w:bCs/>
        </w:rPr>
        <w:instrText>"}</w:instrText>
      </w:r>
      <w:r w:rsidRPr="000322E4">
        <w:rPr>
          <w:b/>
          <w:bCs/>
          <w:lang w:val="en-US"/>
        </w:rPr>
        <w:fldChar w:fldCharType="separate"/>
      </w:r>
      <w:r w:rsidR="00C37789" w:rsidRPr="000322E4">
        <w:rPr>
          <w:bCs/>
          <w:noProof/>
        </w:rPr>
        <w:t>[68]</w:t>
      </w:r>
      <w:r w:rsidRPr="000322E4">
        <w:rPr>
          <w:b/>
          <w:bCs/>
          <w:lang w:val="en-US"/>
        </w:rPr>
        <w:fldChar w:fldCharType="end"/>
      </w:r>
    </w:p>
    <w:p w14:paraId="0456B28E" w14:textId="77777777" w:rsidR="00666D68" w:rsidRPr="000322E4" w:rsidRDefault="00666D68" w:rsidP="008E3584">
      <w:pPr>
        <w:numPr>
          <w:ilvl w:val="0"/>
          <w:numId w:val="43"/>
        </w:numPr>
      </w:pPr>
      <w:r w:rsidRPr="000322E4">
        <w:t>Ритуксимаб</w:t>
      </w:r>
      <w:r w:rsidRPr="000322E4">
        <w:rPr>
          <w:bCs/>
        </w:rPr>
        <w:t>**</w:t>
      </w:r>
      <w:r w:rsidRPr="000322E4">
        <w:t xml:space="preserve"> </w:t>
      </w:r>
    </w:p>
    <w:p w14:paraId="0D0CAF1B" w14:textId="77777777" w:rsidR="00666D68" w:rsidRPr="000322E4" w:rsidRDefault="00666D68" w:rsidP="008E3584">
      <w:pPr>
        <w:numPr>
          <w:ilvl w:val="1"/>
          <w:numId w:val="43"/>
        </w:numPr>
      </w:pPr>
      <w:r w:rsidRPr="000322E4">
        <w:t>375 мг/м</w:t>
      </w:r>
      <w:r w:rsidRPr="000322E4">
        <w:rPr>
          <w:vertAlign w:val="superscript"/>
        </w:rPr>
        <w:t>2</w:t>
      </w:r>
      <w:r w:rsidRPr="000322E4">
        <w:t xml:space="preserve"> в/в кап., день 0, все циклы курса</w:t>
      </w:r>
    </w:p>
    <w:p w14:paraId="3AA65728" w14:textId="77777777" w:rsidR="00666D68" w:rsidRPr="000322E4" w:rsidRDefault="00666D68" w:rsidP="008E3584">
      <w:pPr>
        <w:ind w:left="1080" w:firstLine="336"/>
      </w:pPr>
      <w:r w:rsidRPr="000322E4">
        <w:t>или</w:t>
      </w:r>
    </w:p>
    <w:p w14:paraId="1A6A63CA" w14:textId="11A1BCE0" w:rsidR="00666D68" w:rsidRPr="00135B14" w:rsidRDefault="00666D68" w:rsidP="008E3584">
      <w:pPr>
        <w:numPr>
          <w:ilvl w:val="1"/>
          <w:numId w:val="43"/>
        </w:numPr>
      </w:pPr>
      <w:r w:rsidRPr="000322E4">
        <w:lastRenderedPageBreak/>
        <w:t>375 мг/м</w:t>
      </w:r>
      <w:r w:rsidRPr="000322E4">
        <w:rPr>
          <w:vertAlign w:val="superscript"/>
        </w:rPr>
        <w:t>2</w:t>
      </w:r>
      <w:r w:rsidRPr="000322E4">
        <w:t xml:space="preserve"> в/в кап. 1 цикл, далее ритуксимаб 1400 мг п/к, день 0 </w:t>
      </w:r>
      <w:r w:rsidRPr="000322E4">
        <w:rPr>
          <w:lang w:val="en-US"/>
        </w:rPr>
        <w:fldChar w:fldCharType="begin" w:fldLock="1"/>
      </w:r>
      <w:r w:rsidR="00E974B2">
        <w:rPr>
          <w:lang w:val="en-US"/>
        </w:rPr>
        <w:instrText>ADDIN</w:instrText>
      </w:r>
      <w:r w:rsidR="00E974B2" w:rsidRPr="006C476A">
        <w:instrText xml:space="preserve"> </w:instrText>
      </w:r>
      <w:r w:rsidR="00E974B2">
        <w:rPr>
          <w:lang w:val="en-US"/>
        </w:rPr>
        <w:instrText>CSL</w:instrText>
      </w:r>
      <w:r w:rsidR="00E974B2" w:rsidRPr="006C476A">
        <w:instrText>_</w:instrText>
      </w:r>
      <w:r w:rsidR="00E974B2">
        <w:rPr>
          <w:lang w:val="en-US"/>
        </w:rPr>
        <w:instrText>CITATION</w:instrText>
      </w:r>
      <w:r w:rsidR="00E974B2" w:rsidRPr="006C476A">
        <w:instrText xml:space="preserve"> {"</w:instrText>
      </w:r>
      <w:r w:rsidR="00E974B2">
        <w:rPr>
          <w:lang w:val="en-US"/>
        </w:rPr>
        <w:instrText>citationItems</w:instrText>
      </w:r>
      <w:r w:rsidR="00E974B2" w:rsidRPr="006C476A">
        <w:instrText>":[{"</w:instrText>
      </w:r>
      <w:r w:rsidR="00E974B2">
        <w:rPr>
          <w:lang w:val="en-US"/>
        </w:rPr>
        <w:instrText>id</w:instrText>
      </w:r>
      <w:r w:rsidR="00E974B2" w:rsidRPr="006C476A">
        <w:instrText>":"</w:instrText>
      </w:r>
      <w:r w:rsidR="00E974B2">
        <w:rPr>
          <w:lang w:val="en-US"/>
        </w:rPr>
        <w:instrText>ITEM</w:instrText>
      </w:r>
      <w:r w:rsidR="00E974B2" w:rsidRPr="006C476A">
        <w:instrText>-1","</w:instrText>
      </w:r>
      <w:r w:rsidR="00E974B2">
        <w:rPr>
          <w:lang w:val="en-US"/>
        </w:rPr>
        <w:instrText>itemData</w:instrText>
      </w:r>
      <w:r w:rsidR="00E974B2" w:rsidRPr="006C476A">
        <w:instrText>":{"</w:instrText>
      </w:r>
      <w:r w:rsidR="00E974B2">
        <w:rPr>
          <w:lang w:val="en-US"/>
        </w:rPr>
        <w:instrText>ISSN</w:instrText>
      </w:r>
      <w:r w:rsidR="00E974B2" w:rsidRPr="006C476A">
        <w:instrText>":"2150-0878","</w:instrText>
      </w:r>
      <w:r w:rsidR="00E974B2">
        <w:rPr>
          <w:lang w:val="en-US"/>
        </w:rPr>
        <w:instrText>PMID</w:instrText>
      </w:r>
      <w:r w:rsidR="00E974B2" w:rsidRPr="006C476A">
        <w:instrText>":"31086689","</w:instrText>
      </w:r>
      <w:r w:rsidR="00E974B2">
        <w:rPr>
          <w:lang w:val="en-US"/>
        </w:rPr>
        <w:instrText>abstract</w:instrText>
      </w:r>
      <w:r w:rsidR="00E974B2" w:rsidRPr="006C476A">
        <w:instrText>":"</w:instrText>
      </w:r>
      <w:r w:rsidR="00E974B2">
        <w:rPr>
          <w:lang w:val="en-US"/>
        </w:rPr>
        <w:instrText>Rituximab</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hyaluronidase</w:instrText>
      </w:r>
      <w:r w:rsidR="00E974B2" w:rsidRPr="006C476A">
        <w:instrText xml:space="preserve"> </w:instrText>
      </w:r>
      <w:r w:rsidR="00E974B2">
        <w:rPr>
          <w:lang w:val="en-US"/>
        </w:rPr>
        <w:instrText>human</w:instrText>
      </w:r>
      <w:r w:rsidR="00E974B2" w:rsidRPr="006C476A">
        <w:instrText xml:space="preserve"> </w:instrText>
      </w:r>
      <w:r w:rsidR="00E974B2">
        <w:rPr>
          <w:lang w:val="en-US"/>
        </w:rPr>
        <w:instrText>is</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new</w:instrText>
      </w:r>
      <w:r w:rsidR="00E974B2" w:rsidRPr="006C476A">
        <w:instrText xml:space="preserve"> </w:instrText>
      </w:r>
      <w:r w:rsidR="00E974B2">
        <w:rPr>
          <w:lang w:val="en-US"/>
        </w:rPr>
        <w:instrText>subcutaneous</w:instrText>
      </w:r>
      <w:r w:rsidR="00E974B2" w:rsidRPr="006C476A">
        <w:instrText xml:space="preserve"> </w:instrText>
      </w:r>
      <w:r w:rsidR="00E974B2">
        <w:rPr>
          <w:lang w:val="en-US"/>
        </w:rPr>
        <w:instrText>formulation</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that</w:instrText>
      </w:r>
      <w:r w:rsidR="00E974B2" w:rsidRPr="006C476A">
        <w:instrText xml:space="preserve"> </w:instrText>
      </w:r>
      <w:r w:rsidR="00E974B2">
        <w:rPr>
          <w:lang w:val="en-US"/>
        </w:rPr>
        <w:instrText>was</w:instrText>
      </w:r>
      <w:r w:rsidR="00E974B2" w:rsidRPr="006C476A">
        <w:instrText xml:space="preserve"> </w:instrText>
      </w:r>
      <w:r w:rsidR="00E974B2">
        <w:rPr>
          <w:lang w:val="en-US"/>
        </w:rPr>
        <w:instrText>recently</w:instrText>
      </w:r>
      <w:r w:rsidR="00E974B2" w:rsidRPr="006C476A">
        <w:instrText xml:space="preserve"> </w:instrText>
      </w:r>
      <w:r w:rsidR="00E974B2">
        <w:rPr>
          <w:lang w:val="en-US"/>
        </w:rPr>
        <w:instrText>approved</w:instrText>
      </w:r>
      <w:r w:rsidR="00E974B2" w:rsidRPr="006C476A">
        <w:instrText xml:space="preserve"> </w:instrText>
      </w:r>
      <w:r w:rsidR="00E974B2">
        <w:rPr>
          <w:lang w:val="en-US"/>
        </w:rPr>
        <w:instrText>by</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US</w:instrText>
      </w:r>
      <w:r w:rsidR="00E974B2" w:rsidRPr="006C476A">
        <w:instrText xml:space="preserve"> </w:instrText>
      </w:r>
      <w:r w:rsidR="00E974B2">
        <w:rPr>
          <w:lang w:val="en-US"/>
        </w:rPr>
        <w:instrText>Food</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Drug</w:instrText>
      </w:r>
      <w:r w:rsidR="00E974B2" w:rsidRPr="006C476A">
        <w:instrText xml:space="preserve"> </w:instrText>
      </w:r>
      <w:r w:rsidR="00E974B2">
        <w:rPr>
          <w:lang w:val="en-US"/>
        </w:rPr>
        <w:instrText>Administration</w:instrText>
      </w:r>
      <w:r w:rsidR="00E974B2" w:rsidRPr="006C476A">
        <w:instrText xml:space="preserve"> </w:instrText>
      </w:r>
      <w:r w:rsidR="00E974B2">
        <w:rPr>
          <w:lang w:val="en-US"/>
        </w:rPr>
        <w:instrText>for</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treatment</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adults</w:instrText>
      </w:r>
      <w:r w:rsidR="00E974B2" w:rsidRPr="006C476A">
        <w:instrText xml:space="preserve"> </w:instrText>
      </w:r>
      <w:r w:rsidR="00E974B2">
        <w:rPr>
          <w:lang w:val="en-US"/>
        </w:rPr>
        <w:instrText>with</w:instrText>
      </w:r>
      <w:r w:rsidR="00E974B2" w:rsidRPr="006C476A">
        <w:instrText xml:space="preserve"> </w:instrText>
      </w:r>
      <w:r w:rsidR="00E974B2">
        <w:rPr>
          <w:lang w:val="en-US"/>
        </w:rPr>
        <w:instrText>follicular</w:instrText>
      </w:r>
      <w:r w:rsidR="00E974B2" w:rsidRPr="006C476A">
        <w:instrText xml:space="preserve"> </w:instrText>
      </w:r>
      <w:r w:rsidR="00E974B2">
        <w:rPr>
          <w:lang w:val="en-US"/>
        </w:rPr>
        <w:instrText>lymphoma</w:instrText>
      </w:r>
      <w:r w:rsidR="00E974B2" w:rsidRPr="006C476A">
        <w:instrText xml:space="preserve">, </w:instrText>
      </w:r>
      <w:r w:rsidR="00E974B2">
        <w:rPr>
          <w:lang w:val="en-US"/>
        </w:rPr>
        <w:instrText>diffuse</w:instrText>
      </w:r>
      <w:r w:rsidR="00E974B2" w:rsidRPr="006C476A">
        <w:instrText xml:space="preserve"> </w:instrText>
      </w:r>
      <w:r w:rsidR="00E974B2">
        <w:rPr>
          <w:lang w:val="en-US"/>
        </w:rPr>
        <w:instrText>large</w:instrText>
      </w:r>
      <w:r w:rsidR="00E974B2" w:rsidRPr="006C476A">
        <w:instrText xml:space="preserve"> </w:instrText>
      </w:r>
      <w:r w:rsidR="00E974B2">
        <w:rPr>
          <w:lang w:val="en-US"/>
        </w:rPr>
        <w:instrText>B</w:instrText>
      </w:r>
      <w:r w:rsidR="00E974B2" w:rsidRPr="006C476A">
        <w:instrText>-</w:instrText>
      </w:r>
      <w:r w:rsidR="00E974B2">
        <w:rPr>
          <w:lang w:val="en-US"/>
        </w:rPr>
        <w:instrText>cell</w:instrText>
      </w:r>
      <w:r w:rsidR="00E974B2" w:rsidRPr="006C476A">
        <w:instrText xml:space="preserve"> </w:instrText>
      </w:r>
      <w:r w:rsidR="00E974B2">
        <w:rPr>
          <w:lang w:val="en-US"/>
        </w:rPr>
        <w:instrText>lymphoma</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chronic</w:instrText>
      </w:r>
      <w:r w:rsidR="00E974B2" w:rsidRPr="006C476A">
        <w:instrText xml:space="preserve"> </w:instrText>
      </w:r>
      <w:r w:rsidR="00E974B2">
        <w:rPr>
          <w:lang w:val="en-US"/>
        </w:rPr>
        <w:instrText>lymphocytic</w:instrText>
      </w:r>
      <w:r w:rsidR="00E974B2" w:rsidRPr="006C476A">
        <w:instrText xml:space="preserve"> </w:instrText>
      </w:r>
      <w:r w:rsidR="00E974B2">
        <w:rPr>
          <w:lang w:val="en-US"/>
        </w:rPr>
        <w:instrText>leukemia</w:instrText>
      </w:r>
      <w:r w:rsidR="00E974B2" w:rsidRPr="006C476A">
        <w:instrText xml:space="preserve">. </w:instrText>
      </w:r>
      <w:r w:rsidR="00E974B2">
        <w:rPr>
          <w:lang w:val="en-US"/>
        </w:rPr>
        <w:instrText>With</w:instrText>
      </w:r>
      <w:r w:rsidR="00E974B2" w:rsidRPr="006C476A">
        <w:instrText xml:space="preserve"> </w:instrText>
      </w:r>
      <w:r w:rsidR="00E974B2">
        <w:rPr>
          <w:lang w:val="en-US"/>
        </w:rPr>
        <w:instrText>data</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support</w:instrText>
      </w:r>
      <w:r w:rsidR="00E974B2" w:rsidRPr="006C476A">
        <w:instrText xml:space="preserve"> </w:instrText>
      </w:r>
      <w:r w:rsidR="00E974B2">
        <w:rPr>
          <w:lang w:val="en-US"/>
        </w:rPr>
        <w:instrText>noninferior</w:instrText>
      </w:r>
      <w:r w:rsidR="00E974B2" w:rsidRPr="006C476A">
        <w:instrText xml:space="preserve"> </w:instrText>
      </w:r>
      <w:r w:rsidR="00E974B2">
        <w:rPr>
          <w:lang w:val="en-US"/>
        </w:rPr>
        <w:instrText>pharmacokinetics</w:instrText>
      </w:r>
      <w:r w:rsidR="00E974B2" w:rsidRPr="006C476A">
        <w:instrText xml:space="preserve">, </w:instrText>
      </w:r>
      <w:r w:rsidR="00E974B2">
        <w:rPr>
          <w:lang w:val="en-US"/>
        </w:rPr>
        <w:instrText>similar</w:instrText>
      </w:r>
      <w:r w:rsidR="00E974B2" w:rsidRPr="006C476A">
        <w:instrText xml:space="preserve"> </w:instrText>
      </w:r>
      <w:r w:rsidR="00E974B2">
        <w:rPr>
          <w:lang w:val="en-US"/>
        </w:rPr>
        <w:instrText>outcomes</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comparable</w:instrText>
      </w:r>
      <w:r w:rsidR="00E974B2" w:rsidRPr="006C476A">
        <w:instrText xml:space="preserve"> </w:instrText>
      </w:r>
      <w:r w:rsidR="00E974B2">
        <w:rPr>
          <w:lang w:val="en-US"/>
        </w:rPr>
        <w:instrText>adverse</w:instrText>
      </w:r>
      <w:r w:rsidR="00E974B2" w:rsidRPr="006C476A">
        <w:instrText xml:space="preserve"> </w:instrText>
      </w:r>
      <w:r w:rsidR="00E974B2">
        <w:rPr>
          <w:lang w:val="en-US"/>
        </w:rPr>
        <w:instrText>events</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hyaluronidase</w:instrText>
      </w:r>
      <w:r w:rsidR="00E974B2" w:rsidRPr="006C476A">
        <w:instrText xml:space="preserve"> </w:instrText>
      </w:r>
      <w:r w:rsidR="00E974B2">
        <w:rPr>
          <w:lang w:val="en-US"/>
        </w:rPr>
        <w:instrText>human</w:instrText>
      </w:r>
      <w:r w:rsidR="00E974B2" w:rsidRPr="006C476A">
        <w:instrText xml:space="preserve"> </w:instrText>
      </w:r>
      <w:r w:rsidR="00E974B2">
        <w:rPr>
          <w:lang w:val="en-US"/>
        </w:rPr>
        <w:instrText>may</w:instrText>
      </w:r>
      <w:r w:rsidR="00E974B2" w:rsidRPr="006C476A">
        <w:instrText xml:space="preserve"> </w:instrText>
      </w:r>
      <w:r w:rsidR="00E974B2">
        <w:rPr>
          <w:lang w:val="en-US"/>
        </w:rPr>
        <w:instrText>offer</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suitable</w:instrText>
      </w:r>
      <w:r w:rsidR="00E974B2" w:rsidRPr="006C476A">
        <w:instrText xml:space="preserve"> </w:instrText>
      </w:r>
      <w:r w:rsidR="00E974B2">
        <w:rPr>
          <w:lang w:val="en-US"/>
        </w:rPr>
        <w:instrText>alternative</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intravenous</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that</w:instrText>
      </w:r>
      <w:r w:rsidR="00E974B2" w:rsidRPr="006C476A">
        <w:instrText xml:space="preserve"> </w:instrText>
      </w:r>
      <w:r w:rsidR="00E974B2">
        <w:rPr>
          <w:lang w:val="en-US"/>
        </w:rPr>
        <w:instrText>could</w:instrText>
      </w:r>
      <w:r w:rsidR="00E974B2" w:rsidRPr="006C476A">
        <w:instrText xml:space="preserve"> </w:instrText>
      </w:r>
      <w:r w:rsidR="00E974B2">
        <w:rPr>
          <w:lang w:val="en-US"/>
        </w:rPr>
        <w:instrText>improve</w:instrText>
      </w:r>
      <w:r w:rsidR="00E974B2" w:rsidRPr="006C476A">
        <w:instrText xml:space="preserve"> </w:instrText>
      </w:r>
      <w:r w:rsidR="00E974B2">
        <w:rPr>
          <w:lang w:val="en-US"/>
        </w:rPr>
        <w:instrText>convenience</w:instrText>
      </w:r>
      <w:r w:rsidR="00E974B2" w:rsidRPr="006C476A">
        <w:instrText xml:space="preserve"> </w:instrText>
      </w:r>
      <w:r w:rsidR="00E974B2">
        <w:rPr>
          <w:lang w:val="en-US"/>
        </w:rPr>
        <w:instrText>for</w:instrText>
      </w:r>
      <w:r w:rsidR="00E974B2" w:rsidRPr="006C476A">
        <w:instrText xml:space="preserve"> </w:instrText>
      </w:r>
      <w:r w:rsidR="00E974B2">
        <w:rPr>
          <w:lang w:val="en-US"/>
        </w:rPr>
        <w:instrText>patients</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better</w:instrText>
      </w:r>
      <w:r w:rsidR="00E974B2" w:rsidRPr="006C476A">
        <w:instrText xml:space="preserve"> </w:instrText>
      </w:r>
      <w:r w:rsidR="00E974B2">
        <w:rPr>
          <w:lang w:val="en-US"/>
        </w:rPr>
        <w:instrText>utilize</w:instrText>
      </w:r>
      <w:r w:rsidR="00E974B2" w:rsidRPr="006C476A">
        <w:instrText xml:space="preserve"> </w:instrText>
      </w:r>
      <w:r w:rsidR="00E974B2">
        <w:rPr>
          <w:lang w:val="en-US"/>
        </w:rPr>
        <w:instrText>health</w:instrText>
      </w:r>
      <w:r w:rsidR="00E974B2" w:rsidRPr="006C476A">
        <w:instrText>-</w:instrText>
      </w:r>
      <w:r w:rsidR="00E974B2">
        <w:rPr>
          <w:lang w:val="en-US"/>
        </w:rPr>
        <w:instrText>care</w:instrText>
      </w:r>
      <w:r w:rsidR="00E974B2" w:rsidRPr="006C476A">
        <w:instrText xml:space="preserve"> </w:instrText>
      </w:r>
      <w:r w:rsidR="00E974B2">
        <w:rPr>
          <w:lang w:val="en-US"/>
        </w:rPr>
        <w:instrText>resources</w:instrText>
      </w:r>
      <w:r w:rsidR="00E974B2" w:rsidRPr="006C476A">
        <w:instrText>.","</w:instrText>
      </w:r>
      <w:r w:rsidR="00E974B2">
        <w:rPr>
          <w:lang w:val="en-US"/>
        </w:rPr>
        <w:instrText>author</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Yelvington</w:instrText>
      </w:r>
      <w:r w:rsidR="00E974B2" w:rsidRPr="006C476A">
        <w:instrText>","</w:instrText>
      </w:r>
      <w:r w:rsidR="00E974B2">
        <w:rPr>
          <w:lang w:val="en-US"/>
        </w:rPr>
        <w:instrText>given</w:instrText>
      </w:r>
      <w:r w:rsidR="00E974B2" w:rsidRPr="006C476A">
        <w:instrText>":"</w:instrText>
      </w:r>
      <w:r w:rsidR="00E974B2">
        <w:rPr>
          <w:lang w:val="en-US"/>
        </w:rPr>
        <w:instrText>Bradley</w:instrText>
      </w:r>
      <w:r w:rsidR="00E974B2" w:rsidRPr="006C476A">
        <w:instrText xml:space="preserve"> </w:instrText>
      </w:r>
      <w:r w:rsidR="00E974B2">
        <w:rPr>
          <w:lang w:val="en-US"/>
        </w:rPr>
        <w:instrText>J</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container</w:instrText>
      </w:r>
      <w:r w:rsidR="00E974B2" w:rsidRPr="006C476A">
        <w:instrText>-</w:instrText>
      </w:r>
      <w:r w:rsidR="00E974B2">
        <w:rPr>
          <w:lang w:val="en-US"/>
        </w:rPr>
        <w:instrText>title</w:instrText>
      </w:r>
      <w:r w:rsidR="00E974B2" w:rsidRPr="006C476A">
        <w:instrText>":"</w:instrText>
      </w:r>
      <w:r w:rsidR="00E974B2">
        <w:rPr>
          <w:lang w:val="en-US"/>
        </w:rPr>
        <w:instrText>Journal</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advanced</w:instrText>
      </w:r>
      <w:r w:rsidR="00E974B2" w:rsidRPr="006C476A">
        <w:instrText xml:space="preserve"> </w:instrText>
      </w:r>
      <w:r w:rsidR="00E974B2">
        <w:rPr>
          <w:lang w:val="en-US"/>
        </w:rPr>
        <w:instrText>practitioner</w:instrText>
      </w:r>
      <w:r w:rsidR="00E974B2" w:rsidRPr="006C476A">
        <w:instrText xml:space="preserve"> </w:instrText>
      </w:r>
      <w:r w:rsidR="00E974B2">
        <w:rPr>
          <w:lang w:val="en-US"/>
        </w:rPr>
        <w:instrText>in</w:instrText>
      </w:r>
      <w:r w:rsidR="00E974B2" w:rsidRPr="006C476A">
        <w:instrText xml:space="preserve"> </w:instrText>
      </w:r>
      <w:r w:rsidR="00E974B2">
        <w:rPr>
          <w:lang w:val="en-US"/>
        </w:rPr>
        <w:instrText>oncology</w:instrText>
      </w:r>
      <w:r w:rsidR="00E974B2" w:rsidRPr="006C476A">
        <w:instrText>","</w:instrText>
      </w:r>
      <w:r w:rsidR="00E974B2">
        <w:rPr>
          <w:lang w:val="en-US"/>
        </w:rPr>
        <w:instrText>id</w:instrText>
      </w:r>
      <w:r w:rsidR="00E974B2" w:rsidRPr="006C476A">
        <w:instrText>":"</w:instrText>
      </w:r>
      <w:r w:rsidR="00E974B2">
        <w:rPr>
          <w:lang w:val="en-US"/>
        </w:rPr>
        <w:instrText>ITEM</w:instrText>
      </w:r>
      <w:r w:rsidR="00E974B2" w:rsidRPr="006C476A">
        <w:instrText>-1","</w:instrText>
      </w:r>
      <w:r w:rsidR="00E974B2">
        <w:rPr>
          <w:lang w:val="en-US"/>
        </w:rPr>
        <w:instrText>issue</w:instrText>
      </w:r>
      <w:r w:rsidR="00E974B2" w:rsidRPr="006C476A">
        <w:instrText>":"5","</w:instrText>
      </w:r>
      <w:r w:rsidR="00E974B2">
        <w:rPr>
          <w:lang w:val="en-US"/>
        </w:rPr>
        <w:instrText>issued</w:instrText>
      </w:r>
      <w:r w:rsidR="00E974B2" w:rsidRPr="006C476A">
        <w:instrText>":{"</w:instrText>
      </w:r>
      <w:r w:rsidR="00E974B2">
        <w:rPr>
          <w:lang w:val="en-US"/>
        </w:rPr>
        <w:instrText>date</w:instrText>
      </w:r>
      <w:r w:rsidR="00E974B2" w:rsidRPr="006C476A">
        <w:instrText>-</w:instrText>
      </w:r>
      <w:r w:rsidR="00E974B2">
        <w:rPr>
          <w:lang w:val="en-US"/>
        </w:rPr>
        <w:instrText>parts</w:instrText>
      </w:r>
      <w:r w:rsidR="00E974B2" w:rsidRPr="006C476A">
        <w:instrText>":[["2018"]]},"</w:instrText>
      </w:r>
      <w:r w:rsidR="00E974B2">
        <w:rPr>
          <w:lang w:val="en-US"/>
        </w:rPr>
        <w:instrText>page</w:instrText>
      </w:r>
      <w:r w:rsidR="00E974B2" w:rsidRPr="006C476A">
        <w:instrText>":"530-534","</w:instrText>
      </w:r>
      <w:r w:rsidR="00E974B2">
        <w:rPr>
          <w:lang w:val="en-US"/>
        </w:rPr>
        <w:instrText>publisher</w:instrText>
      </w:r>
      <w:r w:rsidR="00E974B2" w:rsidRPr="006C476A">
        <w:instrText>":"</w:instrText>
      </w:r>
      <w:r w:rsidR="00E974B2">
        <w:rPr>
          <w:lang w:val="en-US"/>
        </w:rPr>
        <w:instrText>Harborside</w:instrText>
      </w:r>
      <w:r w:rsidR="00E974B2" w:rsidRPr="006C476A">
        <w:instrText xml:space="preserve"> </w:instrText>
      </w:r>
      <w:r w:rsidR="00E974B2">
        <w:rPr>
          <w:lang w:val="en-US"/>
        </w:rPr>
        <w:instrText>Press</w:instrText>
      </w:r>
      <w:r w:rsidR="00E974B2" w:rsidRPr="006C476A">
        <w:instrText>","</w:instrText>
      </w:r>
      <w:r w:rsidR="00E974B2">
        <w:rPr>
          <w:lang w:val="en-US"/>
        </w:rPr>
        <w:instrText>title</w:instrText>
      </w:r>
      <w:r w:rsidR="00E974B2" w:rsidRPr="006C476A">
        <w:instrText>":"</w:instrText>
      </w:r>
      <w:r w:rsidR="00E974B2">
        <w:rPr>
          <w:lang w:val="en-US"/>
        </w:rPr>
        <w:instrText>Subcutaneous</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in</w:instrText>
      </w:r>
      <w:r w:rsidR="00E974B2" w:rsidRPr="006C476A">
        <w:instrText xml:space="preserve"> </w:instrText>
      </w:r>
      <w:r w:rsidR="00E974B2">
        <w:rPr>
          <w:lang w:val="en-US"/>
        </w:rPr>
        <w:instrText>Follicular</w:instrText>
      </w:r>
      <w:r w:rsidR="00E974B2" w:rsidRPr="006C476A">
        <w:instrText xml:space="preserve"> </w:instrText>
      </w:r>
      <w:r w:rsidR="00E974B2">
        <w:rPr>
          <w:lang w:val="en-US"/>
        </w:rPr>
        <w:instrText>Lymphoma</w:instrText>
      </w:r>
      <w:r w:rsidR="00E974B2" w:rsidRPr="006C476A">
        <w:instrText xml:space="preserve">, </w:instrText>
      </w:r>
      <w:r w:rsidR="00E974B2">
        <w:rPr>
          <w:lang w:val="en-US"/>
        </w:rPr>
        <w:instrText>Chronic</w:instrText>
      </w:r>
      <w:r w:rsidR="00E974B2" w:rsidRPr="006C476A">
        <w:instrText xml:space="preserve"> </w:instrText>
      </w:r>
      <w:r w:rsidR="00E974B2">
        <w:rPr>
          <w:lang w:val="en-US"/>
        </w:rPr>
        <w:instrText>Lymphocytic</w:instrText>
      </w:r>
      <w:r w:rsidR="00E974B2" w:rsidRPr="006C476A">
        <w:instrText xml:space="preserve"> </w:instrText>
      </w:r>
      <w:r w:rsidR="00E974B2">
        <w:rPr>
          <w:lang w:val="en-US"/>
        </w:rPr>
        <w:instrText>Leukemia</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Diffuse</w:instrText>
      </w:r>
      <w:r w:rsidR="00E974B2" w:rsidRPr="006C476A">
        <w:instrText xml:space="preserve"> </w:instrText>
      </w:r>
      <w:r w:rsidR="00E974B2">
        <w:rPr>
          <w:lang w:val="en-US"/>
        </w:rPr>
        <w:instrText>Large</w:instrText>
      </w:r>
      <w:r w:rsidR="00E974B2" w:rsidRPr="006C476A">
        <w:instrText xml:space="preserve"> </w:instrText>
      </w:r>
      <w:r w:rsidR="00E974B2">
        <w:rPr>
          <w:lang w:val="en-US"/>
        </w:rPr>
        <w:instrText>B</w:instrText>
      </w:r>
      <w:r w:rsidR="00E974B2" w:rsidRPr="006C476A">
        <w:instrText>-</w:instrText>
      </w:r>
      <w:r w:rsidR="00E974B2">
        <w:rPr>
          <w:lang w:val="en-US"/>
        </w:rPr>
        <w:instrText>Cell</w:instrText>
      </w:r>
      <w:r w:rsidR="00E974B2" w:rsidRPr="006C476A">
        <w:instrText xml:space="preserve"> </w:instrText>
      </w:r>
      <w:r w:rsidR="00E974B2">
        <w:rPr>
          <w:lang w:val="en-US"/>
        </w:rPr>
        <w:instrText>Lymphoma</w:instrText>
      </w:r>
      <w:r w:rsidR="00E974B2" w:rsidRPr="006C476A">
        <w:instrText>.","</w:instrText>
      </w:r>
      <w:r w:rsidR="00E974B2">
        <w:rPr>
          <w:lang w:val="en-US"/>
        </w:rPr>
        <w:instrText>type</w:instrText>
      </w:r>
      <w:r w:rsidR="00E974B2" w:rsidRPr="006C476A">
        <w:instrText>":"</w:instrText>
      </w:r>
      <w:r w:rsidR="00E974B2">
        <w:rPr>
          <w:lang w:val="en-US"/>
        </w:rPr>
        <w:instrText>article</w:instrText>
      </w:r>
      <w:r w:rsidR="00E974B2" w:rsidRPr="006C476A">
        <w:instrText>-</w:instrText>
      </w:r>
      <w:r w:rsidR="00E974B2">
        <w:rPr>
          <w:lang w:val="en-US"/>
        </w:rPr>
        <w:instrText>journal</w:instrText>
      </w:r>
      <w:r w:rsidR="00E974B2" w:rsidRPr="006C476A">
        <w:instrText>","</w:instrText>
      </w:r>
      <w:r w:rsidR="00E974B2">
        <w:rPr>
          <w:lang w:val="en-US"/>
        </w:rPr>
        <w:instrText>volume</w:instrText>
      </w:r>
      <w:r w:rsidR="00E974B2" w:rsidRPr="006C476A">
        <w:instrText>":"9"},"</w:instrText>
      </w:r>
      <w:r w:rsidR="00E974B2">
        <w:rPr>
          <w:lang w:val="en-US"/>
        </w:rPr>
        <w:instrText>uris</w:instrText>
      </w:r>
      <w:r w:rsidR="00E974B2" w:rsidRPr="006C476A">
        <w:instrText>":["</w:instrText>
      </w:r>
      <w:r w:rsidR="00E974B2">
        <w:rPr>
          <w:lang w:val="en-US"/>
        </w:rPr>
        <w:instrText>http</w:instrText>
      </w:r>
      <w:r w:rsidR="00E974B2" w:rsidRPr="006C476A">
        <w:instrText>://</w:instrText>
      </w:r>
      <w:r w:rsidR="00E974B2">
        <w:rPr>
          <w:lang w:val="en-US"/>
        </w:rPr>
        <w:instrText>www</w:instrText>
      </w:r>
      <w:r w:rsidR="00E974B2" w:rsidRPr="006C476A">
        <w:instrText>.</w:instrText>
      </w:r>
      <w:r w:rsidR="00E974B2">
        <w:rPr>
          <w:lang w:val="en-US"/>
        </w:rPr>
        <w:instrText>mendeley</w:instrText>
      </w:r>
      <w:r w:rsidR="00E974B2" w:rsidRPr="006C476A">
        <w:instrText>.</w:instrText>
      </w:r>
      <w:r w:rsidR="00E974B2">
        <w:rPr>
          <w:lang w:val="en-US"/>
        </w:rPr>
        <w:instrText>com</w:instrText>
      </w:r>
      <w:r w:rsidR="00E974B2" w:rsidRPr="006C476A">
        <w:instrText>/</w:instrText>
      </w:r>
      <w:r w:rsidR="00E974B2">
        <w:rPr>
          <w:lang w:val="en-US"/>
        </w:rPr>
        <w:instrText>documents</w:instrText>
      </w:r>
      <w:r w:rsidR="00E974B2" w:rsidRPr="006C476A">
        <w:instrText>/?</w:instrText>
      </w:r>
      <w:r w:rsidR="00E974B2">
        <w:rPr>
          <w:lang w:val="en-US"/>
        </w:rPr>
        <w:instrText>uuid</w:instrText>
      </w:r>
      <w:r w:rsidR="00E974B2" w:rsidRPr="006C476A">
        <w:instrText>=</w:instrText>
      </w:r>
      <w:r w:rsidR="00E974B2">
        <w:rPr>
          <w:lang w:val="en-US"/>
        </w:rPr>
        <w:instrText>fbb</w:instrText>
      </w:r>
      <w:r w:rsidR="00E974B2" w:rsidRPr="006C476A">
        <w:instrText>0</w:instrText>
      </w:r>
      <w:r w:rsidR="00E974B2">
        <w:rPr>
          <w:lang w:val="en-US"/>
        </w:rPr>
        <w:instrText>b</w:instrText>
      </w:r>
      <w:r w:rsidR="00E974B2" w:rsidRPr="006C476A">
        <w:instrText>8</w:instrText>
      </w:r>
      <w:r w:rsidR="00E974B2">
        <w:rPr>
          <w:lang w:val="en-US"/>
        </w:rPr>
        <w:instrText>f</w:instrText>
      </w:r>
      <w:r w:rsidR="00E974B2" w:rsidRPr="006C476A">
        <w:instrText>4-6</w:instrText>
      </w:r>
      <w:r w:rsidR="00E974B2">
        <w:rPr>
          <w:lang w:val="en-US"/>
        </w:rPr>
        <w:instrText>b</w:instrText>
      </w:r>
      <w:r w:rsidR="00E974B2" w:rsidRPr="006C476A">
        <w:instrText>58-3</w:instrText>
      </w:r>
      <w:r w:rsidR="00E974B2">
        <w:rPr>
          <w:lang w:val="en-US"/>
        </w:rPr>
        <w:instrText>a</w:instrText>
      </w:r>
      <w:r w:rsidR="00E974B2" w:rsidRPr="006C476A">
        <w:instrText>10-</w:instrText>
      </w:r>
      <w:r w:rsidR="00E974B2">
        <w:rPr>
          <w:lang w:val="en-US"/>
        </w:rPr>
        <w:instrText>b</w:instrText>
      </w:r>
      <w:r w:rsidR="00E974B2" w:rsidRPr="006C476A">
        <w:instrText>7</w:instrText>
      </w:r>
      <w:r w:rsidR="00E974B2">
        <w:rPr>
          <w:lang w:val="en-US"/>
        </w:rPr>
        <w:instrText>d</w:instrText>
      </w:r>
      <w:r w:rsidR="00E974B2" w:rsidRPr="006C476A">
        <w:instrText>6-</w:instrText>
      </w:r>
      <w:r w:rsidR="00E974B2">
        <w:rPr>
          <w:lang w:val="en-US"/>
        </w:rPr>
        <w:instrText>af</w:instrText>
      </w:r>
      <w:r w:rsidR="00E974B2" w:rsidRPr="006C476A">
        <w:instrText>3854030</w:instrText>
      </w:r>
      <w:r w:rsidR="00E974B2">
        <w:rPr>
          <w:lang w:val="en-US"/>
        </w:rPr>
        <w:instrText>be</w:instrText>
      </w:r>
      <w:r w:rsidR="00E974B2" w:rsidRPr="006C476A">
        <w:instrText>8"]},{"</w:instrText>
      </w:r>
      <w:r w:rsidR="00E974B2">
        <w:rPr>
          <w:lang w:val="en-US"/>
        </w:rPr>
        <w:instrText>id</w:instrText>
      </w:r>
      <w:r w:rsidR="00E974B2" w:rsidRPr="006C476A">
        <w:instrText>":"</w:instrText>
      </w:r>
      <w:r w:rsidR="00E974B2">
        <w:rPr>
          <w:lang w:val="en-US"/>
        </w:rPr>
        <w:instrText>ITEM</w:instrText>
      </w:r>
      <w:r w:rsidR="00E974B2" w:rsidRPr="006C476A">
        <w:instrText>-2","</w:instrText>
      </w:r>
      <w:r w:rsidR="00E974B2">
        <w:rPr>
          <w:lang w:val="en-US"/>
        </w:rPr>
        <w:instrText>itemData</w:instrText>
      </w:r>
      <w:r w:rsidR="00E974B2" w:rsidRPr="006C476A">
        <w:instrText>":{"</w:instrText>
      </w:r>
      <w:r w:rsidR="00E974B2">
        <w:rPr>
          <w:lang w:val="en-US"/>
        </w:rPr>
        <w:instrText>DOI</w:instrText>
      </w:r>
      <w:r w:rsidR="00E974B2" w:rsidRPr="006C476A">
        <w:instrText>":"10.1007/</w:instrText>
      </w:r>
      <w:r w:rsidR="00E974B2">
        <w:rPr>
          <w:lang w:val="en-US"/>
        </w:rPr>
        <w:instrText>s</w:instrText>
      </w:r>
      <w:r w:rsidR="00E974B2" w:rsidRPr="006C476A">
        <w:instrText>12325-017-0610-</w:instrText>
      </w:r>
      <w:r w:rsidR="00E974B2">
        <w:rPr>
          <w:lang w:val="en-US"/>
        </w:rPr>
        <w:instrText>z</w:instrText>
      </w:r>
      <w:r w:rsidR="00E974B2" w:rsidRPr="006C476A">
        <w:instrText>","</w:instrText>
      </w:r>
      <w:r w:rsidR="00E974B2">
        <w:rPr>
          <w:lang w:val="en-US"/>
        </w:rPr>
        <w:instrText>ISSN</w:instrText>
      </w:r>
      <w:r w:rsidR="00E974B2" w:rsidRPr="006C476A">
        <w:instrText>":"18658652","</w:instrText>
      </w:r>
      <w:r w:rsidR="00E974B2">
        <w:rPr>
          <w:lang w:val="en-US"/>
        </w:rPr>
        <w:instrText>abstract</w:instrText>
      </w:r>
      <w:r w:rsidR="00E974B2" w:rsidRPr="006C476A">
        <w:instrText>":"</w:instrText>
      </w:r>
      <w:r w:rsidR="00E974B2">
        <w:rPr>
          <w:lang w:val="en-US"/>
        </w:rPr>
        <w:instrText>Abstract</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MabThera</w:instrText>
      </w:r>
      <w:r w:rsidR="00E974B2" w:rsidRPr="006C476A">
        <w:instrText>®/</w:instrText>
      </w:r>
      <w:r w:rsidR="00E974B2">
        <w:rPr>
          <w:lang w:val="en-US"/>
        </w:rPr>
        <w:instrText>Rituxan</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chimeric</w:instrText>
      </w:r>
      <w:r w:rsidR="00E974B2" w:rsidRPr="006C476A">
        <w:instrText xml:space="preserve"> </w:instrText>
      </w:r>
      <w:r w:rsidR="00E974B2">
        <w:rPr>
          <w:lang w:val="en-US"/>
        </w:rPr>
        <w:instrText>murine</w:instrText>
      </w:r>
      <w:r w:rsidR="00E974B2" w:rsidRPr="006447F6">
        <w:instrText>/</w:instrText>
      </w:r>
      <w:r w:rsidR="00E974B2">
        <w:rPr>
          <w:lang w:val="en-US"/>
        </w:rPr>
        <w:instrText>human</w:instrText>
      </w:r>
      <w:r w:rsidR="00E974B2" w:rsidRPr="006447F6">
        <w:instrText xml:space="preserve"> </w:instrText>
      </w:r>
      <w:r w:rsidR="00E974B2">
        <w:rPr>
          <w:lang w:val="en-US"/>
        </w:rPr>
        <w:instrText>monoclonal</w:instrText>
      </w:r>
      <w:r w:rsidR="00E974B2" w:rsidRPr="006447F6">
        <w:instrText xml:space="preserve"> </w:instrText>
      </w:r>
      <w:r w:rsidR="00E974B2">
        <w:rPr>
          <w:lang w:val="en-US"/>
        </w:rPr>
        <w:instrText>antibody</w:instrText>
      </w:r>
      <w:r w:rsidR="00E974B2" w:rsidRPr="006447F6">
        <w:instrText xml:space="preserve"> </w:instrText>
      </w:r>
      <w:r w:rsidR="00E974B2">
        <w:rPr>
          <w:lang w:val="en-US"/>
        </w:rPr>
        <w:instrText>that</w:instrText>
      </w:r>
      <w:r w:rsidR="00E974B2" w:rsidRPr="006447F6">
        <w:instrText xml:space="preserve"> </w:instrText>
      </w:r>
      <w:r w:rsidR="00E974B2">
        <w:rPr>
          <w:lang w:val="en-US"/>
        </w:rPr>
        <w:instrText>binds</w:instrText>
      </w:r>
      <w:r w:rsidR="00E974B2" w:rsidRPr="006447F6">
        <w:instrText xml:space="preserve"> </w:instrText>
      </w:r>
      <w:r w:rsidR="00E974B2">
        <w:rPr>
          <w:lang w:val="en-US"/>
        </w:rPr>
        <w:instrText>specifically</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transmembrane</w:instrText>
      </w:r>
      <w:r w:rsidR="00E974B2" w:rsidRPr="006447F6">
        <w:instrText xml:space="preserve"> </w:instrText>
      </w:r>
      <w:r w:rsidR="00E974B2">
        <w:rPr>
          <w:lang w:val="en-US"/>
        </w:rPr>
        <w:instrText>antigen</w:instrText>
      </w:r>
      <w:r w:rsidR="00E974B2" w:rsidRPr="006447F6">
        <w:instrText xml:space="preserve"> </w:instrText>
      </w:r>
      <w:r w:rsidR="00E974B2">
        <w:rPr>
          <w:lang w:val="en-US"/>
        </w:rPr>
        <w:instrText>CD</w:instrText>
      </w:r>
      <w:r w:rsidR="00E974B2" w:rsidRPr="006447F6">
        <w:instrText xml:space="preserve">20, </w:instrText>
      </w:r>
      <w:r w:rsidR="00E974B2">
        <w:rPr>
          <w:lang w:val="en-US"/>
        </w:rPr>
        <w:instrText>was</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first</w:instrText>
      </w:r>
      <w:r w:rsidR="00E974B2" w:rsidRPr="006447F6">
        <w:instrText xml:space="preserve"> </w:instrText>
      </w:r>
      <w:r w:rsidR="00E974B2">
        <w:rPr>
          <w:lang w:val="en-US"/>
        </w:rPr>
        <w:instrText>therapeutic</w:instrText>
      </w:r>
      <w:r w:rsidR="00E974B2" w:rsidRPr="006447F6">
        <w:instrText xml:space="preserve"> </w:instrText>
      </w:r>
      <w:r w:rsidR="00E974B2">
        <w:rPr>
          <w:lang w:val="en-US"/>
        </w:rPr>
        <w:instrText>antibody</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enter</w:instrText>
      </w:r>
      <w:r w:rsidR="00E974B2" w:rsidRPr="006447F6">
        <w:instrText xml:space="preserve"> </w:instrText>
      </w:r>
      <w:r w:rsidR="00E974B2">
        <w:rPr>
          <w:lang w:val="en-US"/>
        </w:rPr>
        <w:instrText>clinical</w:instrText>
      </w:r>
      <w:r w:rsidR="00E974B2" w:rsidRPr="006447F6">
        <w:instrText xml:space="preserve"> </w:instrText>
      </w:r>
      <w:r w:rsidR="00E974B2">
        <w:rPr>
          <w:lang w:val="en-US"/>
        </w:rPr>
        <w:instrText>practice</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treatment</w:instrText>
      </w:r>
      <w:r w:rsidR="00E974B2" w:rsidRPr="006447F6">
        <w:instrText xml:space="preserve"> </w:instrText>
      </w:r>
      <w:r w:rsidR="00E974B2">
        <w:rPr>
          <w:lang w:val="en-US"/>
        </w:rPr>
        <w:instrText>of</w:instrText>
      </w:r>
      <w:r w:rsidR="00E974B2" w:rsidRPr="006447F6">
        <w:instrText xml:space="preserve"> </w:instrText>
      </w:r>
      <w:r w:rsidR="00E974B2">
        <w:rPr>
          <w:lang w:val="en-US"/>
        </w:rPr>
        <w:instrText>cancer</w:instrText>
      </w:r>
      <w:r w:rsidR="00E974B2" w:rsidRPr="006447F6">
        <w:instrText xml:space="preserve">. </w:instrText>
      </w:r>
      <w:r w:rsidR="00E974B2">
        <w:rPr>
          <w:lang w:val="en-US"/>
        </w:rPr>
        <w:instrText>As</w:instrText>
      </w:r>
      <w:r w:rsidR="00E974B2" w:rsidRPr="006447F6">
        <w:instrText xml:space="preserve"> </w:instrText>
      </w:r>
      <w:r w:rsidR="00E974B2">
        <w:rPr>
          <w:lang w:val="en-US"/>
        </w:rPr>
        <w:instrText>monotherapy</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combination</w:instrText>
      </w:r>
      <w:r w:rsidR="00E974B2" w:rsidRPr="006447F6">
        <w:instrText xml:space="preserve"> </w:instrText>
      </w:r>
      <w:r w:rsidR="00E974B2">
        <w:rPr>
          <w:lang w:val="en-US"/>
        </w:rPr>
        <w:instrText>with</w:instrText>
      </w:r>
      <w:r w:rsidR="00E974B2" w:rsidRPr="006447F6">
        <w:instrText xml:space="preserve"> </w:instrText>
      </w:r>
      <w:r w:rsidR="00E974B2">
        <w:rPr>
          <w:lang w:val="en-US"/>
        </w:rPr>
        <w:instrText>chemotherapy</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has</w:instrText>
      </w:r>
      <w:r w:rsidR="00E974B2" w:rsidRPr="006447F6">
        <w:instrText xml:space="preserve"> </w:instrText>
      </w:r>
      <w:r w:rsidR="00E974B2">
        <w:rPr>
          <w:lang w:val="en-US"/>
        </w:rPr>
        <w:instrText>been</w:instrText>
      </w:r>
      <w:r w:rsidR="00E974B2" w:rsidRPr="006447F6">
        <w:instrText xml:space="preserve"> </w:instrText>
      </w:r>
      <w:r w:rsidR="00E974B2">
        <w:rPr>
          <w:lang w:val="en-US"/>
        </w:rPr>
        <w:instrText>shown</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prolong</w:instrText>
      </w:r>
      <w:r w:rsidR="00E974B2" w:rsidRPr="006447F6">
        <w:instrText xml:space="preserve"> </w:instrText>
      </w:r>
      <w:r w:rsidR="00E974B2">
        <w:rPr>
          <w:lang w:val="en-US"/>
        </w:rPr>
        <w:instrText>progression</w:instrText>
      </w:r>
      <w:r w:rsidR="00E974B2" w:rsidRPr="006447F6">
        <w:instrText>-</w:instrText>
      </w:r>
      <w:r w:rsidR="00E974B2">
        <w:rPr>
          <w:lang w:val="en-US"/>
        </w:rPr>
        <w:instrText>free</w:instrText>
      </w:r>
      <w:r w:rsidR="00E974B2" w:rsidRPr="006447F6">
        <w:instrText xml:space="preserve"> </w:instrText>
      </w:r>
      <w:r w:rsidR="00E974B2">
        <w:rPr>
          <w:lang w:val="en-US"/>
        </w:rPr>
        <w:instrText>survival</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some</w:instrText>
      </w:r>
      <w:r w:rsidR="00E974B2" w:rsidRPr="006447F6">
        <w:instrText xml:space="preserve"> </w:instrText>
      </w:r>
      <w:r w:rsidR="00E974B2">
        <w:rPr>
          <w:lang w:val="en-US"/>
        </w:rPr>
        <w:instrText>indications</w:instrText>
      </w:r>
      <w:r w:rsidR="00E974B2" w:rsidRPr="006447F6">
        <w:instrText xml:space="preserve"> </w:instrText>
      </w:r>
      <w:r w:rsidR="00E974B2">
        <w:rPr>
          <w:lang w:val="en-US"/>
        </w:rPr>
        <w:instrText>overall</w:instrText>
      </w:r>
      <w:r w:rsidR="00E974B2" w:rsidRPr="006447F6">
        <w:instrText xml:space="preserve"> </w:instrText>
      </w:r>
      <w:r w:rsidR="00E974B2">
        <w:rPr>
          <w:lang w:val="en-US"/>
        </w:rPr>
        <w:instrText>survival</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patients</w:instrText>
      </w:r>
      <w:r w:rsidR="00E974B2" w:rsidRPr="006447F6">
        <w:instrText xml:space="preserve"> </w:instrText>
      </w:r>
      <w:r w:rsidR="00E974B2">
        <w:rPr>
          <w:lang w:val="en-US"/>
        </w:rPr>
        <w:instrText>with</w:instrText>
      </w:r>
      <w:r w:rsidR="00E974B2" w:rsidRPr="006447F6">
        <w:instrText xml:space="preserve"> </w:instrText>
      </w:r>
      <w:r w:rsidR="00E974B2">
        <w:rPr>
          <w:lang w:val="en-US"/>
        </w:rPr>
        <w:instrText>various</w:instrText>
      </w:r>
      <w:r w:rsidR="00E974B2" w:rsidRPr="006447F6">
        <w:instrText xml:space="preserve"> </w:instrText>
      </w:r>
      <w:r w:rsidR="00E974B2">
        <w:rPr>
          <w:lang w:val="en-US"/>
        </w:rPr>
        <w:instrText>B</w:instrText>
      </w:r>
      <w:r w:rsidR="00E974B2" w:rsidRPr="006447F6">
        <w:instrText>-</w:instrText>
      </w:r>
      <w:r w:rsidR="00E974B2">
        <w:rPr>
          <w:lang w:val="en-US"/>
        </w:rPr>
        <w:instrText>cell</w:instrText>
      </w:r>
      <w:r w:rsidR="00E974B2" w:rsidRPr="006447F6">
        <w:instrText xml:space="preserve"> </w:instrText>
      </w:r>
      <w:r w:rsidR="00E974B2">
        <w:rPr>
          <w:lang w:val="en-US"/>
        </w:rPr>
        <w:instrText>malignancies</w:instrText>
      </w:r>
      <w:r w:rsidR="00E974B2" w:rsidRPr="006447F6">
        <w:instrText xml:space="preserve">, </w:instrText>
      </w:r>
      <w:r w:rsidR="00E974B2">
        <w:rPr>
          <w:lang w:val="en-US"/>
        </w:rPr>
        <w:instrText>while</w:instrText>
      </w:r>
      <w:r w:rsidR="00E974B2" w:rsidRPr="006447F6">
        <w:instrText xml:space="preserve"> </w:instrText>
      </w:r>
      <w:r w:rsidR="00E974B2">
        <w:rPr>
          <w:lang w:val="en-US"/>
        </w:rPr>
        <w:instrText>having</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well</w:instrText>
      </w:r>
      <w:r w:rsidR="00E974B2" w:rsidRPr="006447F6">
        <w:instrText>-</w:instrText>
      </w:r>
      <w:r w:rsidR="00E974B2">
        <w:rPr>
          <w:lang w:val="en-US"/>
        </w:rPr>
        <w:instrText>established</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manageable</w:instrText>
      </w:r>
      <w:r w:rsidR="00E974B2" w:rsidRPr="006447F6">
        <w:instrText xml:space="preserve"> </w:instrText>
      </w:r>
      <w:r w:rsidR="00E974B2">
        <w:rPr>
          <w:lang w:val="en-US"/>
        </w:rPr>
        <w:instrText>safety</w:instrText>
      </w:r>
      <w:r w:rsidR="00E974B2" w:rsidRPr="006447F6">
        <w:instrText xml:space="preserve"> </w:instrText>
      </w:r>
      <w:r w:rsidR="00E974B2">
        <w:rPr>
          <w:lang w:val="en-US"/>
        </w:rPr>
        <w:instrText>profile</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wide</w:instrText>
      </w:r>
      <w:r w:rsidR="00E974B2" w:rsidRPr="006447F6">
        <w:instrText xml:space="preserve"> </w:instrText>
      </w:r>
      <w:r w:rsidR="00E974B2">
        <w:rPr>
          <w:lang w:val="en-US"/>
        </w:rPr>
        <w:instrText>therapeutic</w:instrText>
      </w:r>
      <w:r w:rsidR="00E974B2" w:rsidRPr="006447F6">
        <w:instrText xml:space="preserve"> </w:instrText>
      </w:r>
      <w:r w:rsidR="00E974B2">
        <w:rPr>
          <w:lang w:val="en-US"/>
        </w:rPr>
        <w:instrText>window</w:instrText>
      </w:r>
      <w:r w:rsidR="00E974B2" w:rsidRPr="006447F6">
        <w:instrText xml:space="preserve">. </w:instrText>
      </w:r>
      <w:r w:rsidR="00E974B2">
        <w:rPr>
          <w:lang w:val="en-US"/>
        </w:rPr>
        <w:instrText>As</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result</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is</w:instrText>
      </w:r>
      <w:r w:rsidR="00E974B2" w:rsidRPr="006447F6">
        <w:instrText xml:space="preserve"> </w:instrText>
      </w:r>
      <w:r w:rsidR="00E974B2">
        <w:rPr>
          <w:lang w:val="en-US"/>
        </w:rPr>
        <w:instrText>considered</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have</w:instrText>
      </w:r>
      <w:r w:rsidR="00E974B2" w:rsidRPr="006447F6">
        <w:instrText xml:space="preserve"> </w:instrText>
      </w:r>
      <w:r w:rsidR="00E974B2">
        <w:rPr>
          <w:lang w:val="en-US"/>
        </w:rPr>
        <w:instrText>revolutionized</w:instrText>
      </w:r>
      <w:r w:rsidR="00E974B2" w:rsidRPr="006447F6">
        <w:instrText xml:space="preserve"> </w:instrText>
      </w:r>
      <w:r w:rsidR="00E974B2">
        <w:rPr>
          <w:lang w:val="en-US"/>
        </w:rPr>
        <w:instrText>treatment</w:instrText>
      </w:r>
      <w:r w:rsidR="00E974B2" w:rsidRPr="006447F6">
        <w:instrText xml:space="preserve"> </w:instrText>
      </w:r>
      <w:r w:rsidR="00E974B2">
        <w:rPr>
          <w:lang w:val="en-US"/>
        </w:rPr>
        <w:instrText>practices</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patients</w:instrText>
      </w:r>
      <w:r w:rsidR="00E974B2" w:rsidRPr="006447F6">
        <w:instrText xml:space="preserve"> </w:instrText>
      </w:r>
      <w:r w:rsidR="00E974B2">
        <w:rPr>
          <w:lang w:val="en-US"/>
        </w:rPr>
        <w:instrText>with</w:instrText>
      </w:r>
      <w:r w:rsidR="00E974B2" w:rsidRPr="006447F6">
        <w:instrText xml:space="preserve"> </w:instrText>
      </w:r>
      <w:r w:rsidR="00E974B2">
        <w:rPr>
          <w:lang w:val="en-US"/>
        </w:rPr>
        <w:instrText>B</w:instrText>
      </w:r>
      <w:r w:rsidR="00E974B2" w:rsidRPr="006447F6">
        <w:instrText>-</w:instrText>
      </w:r>
      <w:r w:rsidR="00E974B2">
        <w:rPr>
          <w:lang w:val="en-US"/>
        </w:rPr>
        <w:instrText>cell</w:instrText>
      </w:r>
      <w:r w:rsidR="00E974B2" w:rsidRPr="006447F6">
        <w:instrText xml:space="preserve"> </w:instrText>
      </w:r>
      <w:r w:rsidR="00E974B2">
        <w:rPr>
          <w:lang w:val="en-US"/>
        </w:rPr>
        <w:instrText>malignancies</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subcutaneous</w:instrText>
      </w:r>
      <w:r w:rsidR="00E974B2" w:rsidRPr="006447F6">
        <w:instrText xml:space="preserve"> (</w:instrText>
      </w:r>
      <w:r w:rsidR="00E974B2">
        <w:rPr>
          <w:lang w:val="en-US"/>
        </w:rPr>
        <w:instrText>SC</w:instrText>
      </w:r>
      <w:r w:rsidR="00E974B2" w:rsidRPr="006447F6">
        <w:instrText xml:space="preserve">) </w:instrText>
      </w:r>
      <w:r w:rsidR="00E974B2">
        <w:rPr>
          <w:lang w:val="en-US"/>
        </w:rPr>
        <w:instrText>formulation</w:instrText>
      </w:r>
      <w:r w:rsidR="00E974B2" w:rsidRPr="006447F6">
        <w:instrText xml:space="preserve"> </w:instrText>
      </w:r>
      <w:r w:rsidR="00E974B2">
        <w:rPr>
          <w:lang w:val="en-US"/>
        </w:rPr>
        <w:instrText>of</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has</w:instrText>
      </w:r>
      <w:r w:rsidR="00E974B2" w:rsidRPr="006447F6">
        <w:instrText xml:space="preserve"> </w:instrText>
      </w:r>
      <w:r w:rsidR="00E974B2">
        <w:rPr>
          <w:lang w:val="en-US"/>
        </w:rPr>
        <w:instrText>been</w:instrText>
      </w:r>
      <w:r w:rsidR="00E974B2" w:rsidRPr="006447F6">
        <w:instrText xml:space="preserve"> </w:instrText>
      </w:r>
      <w:r w:rsidR="00E974B2">
        <w:rPr>
          <w:lang w:val="en-US"/>
        </w:rPr>
        <w:instrText>developed</w:instrText>
      </w:r>
      <w:r w:rsidR="00E974B2" w:rsidRPr="006447F6">
        <w:instrText xml:space="preserve">, </w:instrText>
      </w:r>
      <w:r w:rsidR="00E974B2">
        <w:rPr>
          <w:lang w:val="en-US"/>
        </w:rPr>
        <w:instrText>comprising</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same</w:instrText>
      </w:r>
      <w:r w:rsidR="00E974B2" w:rsidRPr="006447F6">
        <w:instrText xml:space="preserve"> </w:instrText>
      </w:r>
      <w:r w:rsidR="00E974B2">
        <w:rPr>
          <w:lang w:val="en-US"/>
        </w:rPr>
        <w:instrText>monoclonal</w:instrText>
      </w:r>
      <w:r w:rsidR="00E974B2" w:rsidRPr="006447F6">
        <w:instrText xml:space="preserve"> </w:instrText>
      </w:r>
      <w:r w:rsidR="00E974B2">
        <w:rPr>
          <w:lang w:val="en-US"/>
        </w:rPr>
        <w:instrText>antibody</w:instrText>
      </w:r>
      <w:r w:rsidR="00E974B2" w:rsidRPr="006447F6">
        <w:instrText xml:space="preserve"> </w:instrText>
      </w:r>
      <w:r w:rsidR="00E974B2">
        <w:rPr>
          <w:lang w:val="en-US"/>
        </w:rPr>
        <w:instrText>as</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originally</w:instrText>
      </w:r>
      <w:r w:rsidR="00E974B2" w:rsidRPr="006447F6">
        <w:instrText xml:space="preserve"> </w:instrText>
      </w:r>
      <w:r w:rsidR="00E974B2">
        <w:rPr>
          <w:lang w:val="en-US"/>
        </w:rPr>
        <w:instrText>marketed</w:instrText>
      </w:r>
      <w:r w:rsidR="00E974B2" w:rsidRPr="006447F6">
        <w:instrText xml:space="preserve"> </w:instrText>
      </w:r>
      <w:r w:rsidR="00E974B2">
        <w:rPr>
          <w:lang w:val="en-US"/>
        </w:rPr>
        <w:instrText>formulation</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concentrate</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solution</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intravenous</w:instrText>
      </w:r>
      <w:r w:rsidR="00E974B2" w:rsidRPr="006447F6">
        <w:instrText xml:space="preserve"> (</w:instrText>
      </w:r>
      <w:r w:rsidR="00E974B2">
        <w:rPr>
          <w:lang w:val="en-US"/>
        </w:rPr>
        <w:instrText>IV</w:instrText>
      </w:r>
      <w:r w:rsidR="00E974B2" w:rsidRPr="006447F6">
        <w:instrText xml:space="preserve">) </w:instrText>
      </w:r>
      <w:r w:rsidR="00E974B2">
        <w:rPr>
          <w:lang w:val="en-US"/>
        </w:rPr>
        <w:instrText>infusion</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has</w:instrText>
      </w:r>
      <w:r w:rsidR="00E974B2" w:rsidRPr="006447F6">
        <w:instrText xml:space="preserve"> </w:instrText>
      </w:r>
      <w:r w:rsidR="00E974B2">
        <w:rPr>
          <w:lang w:val="en-US"/>
        </w:rPr>
        <w:instrText>undergone</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detailed</w:instrText>
      </w:r>
      <w:r w:rsidR="00E974B2" w:rsidRPr="006447F6">
        <w:instrText xml:space="preserve">, </w:instrText>
      </w:r>
      <w:r w:rsidR="00E974B2">
        <w:rPr>
          <w:lang w:val="en-US"/>
        </w:rPr>
        <w:instrText>sequential</w:instrText>
      </w:r>
      <w:r w:rsidR="00E974B2" w:rsidRPr="006447F6">
        <w:instrText xml:space="preserve"> </w:instrText>
      </w:r>
      <w:r w:rsidR="00E974B2">
        <w:rPr>
          <w:lang w:val="en-US"/>
        </w:rPr>
        <w:instrText>clinical</w:instrText>
      </w:r>
      <w:r w:rsidR="00E974B2" w:rsidRPr="006447F6">
        <w:instrText xml:space="preserve"> </w:instrText>
      </w:r>
      <w:r w:rsidR="00E974B2">
        <w:rPr>
          <w:lang w:val="en-US"/>
        </w:rPr>
        <w:instrText>development</w:instrText>
      </w:r>
      <w:r w:rsidR="00E974B2" w:rsidRPr="006447F6">
        <w:instrText xml:space="preserve"> </w:instrText>
      </w:r>
      <w:r w:rsidR="00E974B2">
        <w:rPr>
          <w:lang w:val="en-US"/>
        </w:rPr>
        <w:instrText>program</w:instrText>
      </w:r>
      <w:r w:rsidR="00E974B2" w:rsidRPr="006447F6">
        <w:instrText xml:space="preserve">. </w:instrText>
      </w:r>
      <w:r w:rsidR="00E974B2">
        <w:rPr>
          <w:lang w:val="en-US"/>
        </w:rPr>
        <w:instrText>This</w:instrText>
      </w:r>
      <w:r w:rsidR="00E974B2" w:rsidRPr="006447F6">
        <w:instrText xml:space="preserve"> </w:instrText>
      </w:r>
      <w:r w:rsidR="00E974B2">
        <w:rPr>
          <w:lang w:val="en-US"/>
        </w:rPr>
        <w:instrText>program</w:instrText>
      </w:r>
      <w:r w:rsidR="00E974B2" w:rsidRPr="006447F6">
        <w:instrText xml:space="preserve"> </w:instrText>
      </w:r>
      <w:r w:rsidR="00E974B2">
        <w:rPr>
          <w:lang w:val="en-US"/>
        </w:rPr>
        <w:instrText>demonstrated</w:instrText>
      </w:r>
      <w:r w:rsidR="00E974B2" w:rsidRPr="006447F6">
        <w:instrText xml:space="preserve"> </w:instrText>
      </w:r>
      <w:r w:rsidR="00E974B2">
        <w:rPr>
          <w:lang w:val="en-US"/>
        </w:rPr>
        <w:instrText>that</w:instrText>
      </w:r>
      <w:r w:rsidR="00E974B2" w:rsidRPr="006447F6">
        <w:instrText xml:space="preserve">, </w:instrText>
      </w:r>
      <w:r w:rsidR="00E974B2">
        <w:rPr>
          <w:lang w:val="en-US"/>
        </w:rPr>
        <w:instrText>at</w:instrText>
      </w:r>
      <w:r w:rsidR="00E974B2" w:rsidRPr="006447F6">
        <w:instrText xml:space="preserve"> </w:instrText>
      </w:r>
      <w:r w:rsidR="00E974B2">
        <w:rPr>
          <w:lang w:val="en-US"/>
        </w:rPr>
        <w:instrText>fixed</w:instrText>
      </w:r>
      <w:r w:rsidR="00E974B2" w:rsidRPr="006447F6">
        <w:instrText xml:space="preserve"> </w:instrText>
      </w:r>
      <w:r w:rsidR="00E974B2">
        <w:rPr>
          <w:lang w:val="en-US"/>
        </w:rPr>
        <w:instrText>doses</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SC</w:instrText>
      </w:r>
      <w:r w:rsidR="00E974B2" w:rsidRPr="006447F6">
        <w:instrText xml:space="preserve"> </w:instrText>
      </w:r>
      <w:r w:rsidR="00E974B2">
        <w:rPr>
          <w:lang w:val="en-US"/>
        </w:rPr>
        <w:instrText>achieves</w:instrText>
      </w:r>
      <w:r w:rsidR="00E974B2" w:rsidRPr="006447F6">
        <w:instrText xml:space="preserve"> </w:instrText>
      </w:r>
      <w:r w:rsidR="00E974B2">
        <w:rPr>
          <w:lang w:val="en-US"/>
        </w:rPr>
        <w:instrText>non</w:instrText>
      </w:r>
      <w:r w:rsidR="00E974B2" w:rsidRPr="006447F6">
        <w:instrText>-</w:instrText>
      </w:r>
      <w:r w:rsidR="00E974B2">
        <w:rPr>
          <w:lang w:val="en-US"/>
        </w:rPr>
        <w:instrText>inferior</w:instrText>
      </w:r>
      <w:r w:rsidR="00E974B2" w:rsidRPr="006447F6">
        <w:instrText xml:space="preserve"> </w:instrText>
      </w:r>
      <w:r w:rsidR="00E974B2">
        <w:rPr>
          <w:lang w:val="en-US"/>
        </w:rPr>
        <w:instrText>serum</w:instrText>
      </w:r>
      <w:r w:rsidR="00E974B2" w:rsidRPr="006447F6">
        <w:instrText xml:space="preserve"> </w:instrText>
      </w:r>
      <w:r w:rsidR="00E974B2">
        <w:rPr>
          <w:lang w:val="en-US"/>
        </w:rPr>
        <w:instrText>trough</w:instrText>
      </w:r>
      <w:r w:rsidR="00E974B2" w:rsidRPr="006447F6">
        <w:instrText xml:space="preserve"> </w:instrText>
      </w:r>
      <w:r w:rsidR="00E974B2">
        <w:rPr>
          <w:lang w:val="en-US"/>
        </w:rPr>
        <w:instrText>concentrations</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patients</w:instrText>
      </w:r>
      <w:r w:rsidR="00E974B2" w:rsidRPr="006447F6">
        <w:instrText xml:space="preserve"> </w:instrText>
      </w:r>
      <w:r w:rsidR="00E974B2">
        <w:rPr>
          <w:lang w:val="en-US"/>
        </w:rPr>
        <w:instrText>with</w:instrText>
      </w:r>
      <w:r w:rsidR="00E974B2" w:rsidRPr="006447F6">
        <w:instrText xml:space="preserve"> </w:instrText>
      </w:r>
      <w:r w:rsidR="00E974B2">
        <w:rPr>
          <w:lang w:val="en-US"/>
        </w:rPr>
        <w:instrText>non</w:instrText>
      </w:r>
      <w:r w:rsidR="00E974B2" w:rsidRPr="006447F6">
        <w:instrText>-</w:instrText>
      </w:r>
      <w:r w:rsidR="00E974B2">
        <w:rPr>
          <w:lang w:val="en-US"/>
        </w:rPr>
        <w:instrText>Hodgkin</w:instrText>
      </w:r>
      <w:r w:rsidR="00E974B2" w:rsidRPr="006447F6">
        <w:instrText xml:space="preserve"> </w:instrText>
      </w:r>
      <w:r w:rsidR="00E974B2">
        <w:rPr>
          <w:lang w:val="en-US"/>
        </w:rPr>
        <w:instrText>lymphoma</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chronic</w:instrText>
      </w:r>
      <w:r w:rsidR="00E974B2" w:rsidRPr="006447F6">
        <w:instrText xml:space="preserve"> </w:instrText>
      </w:r>
      <w:r w:rsidR="00E974B2">
        <w:rPr>
          <w:lang w:val="en-US"/>
        </w:rPr>
        <w:instrText>lymphocytic</w:instrText>
      </w:r>
      <w:r w:rsidR="00E974B2" w:rsidRPr="006447F6">
        <w:instrText xml:space="preserve"> </w:instrText>
      </w:r>
      <w:r w:rsidR="00E974B2">
        <w:rPr>
          <w:lang w:val="en-US"/>
        </w:rPr>
        <w:instrText>leukemia</w:instrText>
      </w:r>
      <w:r w:rsidR="00E974B2" w:rsidRPr="006447F6">
        <w:instrText xml:space="preserve">, </w:instrText>
      </w:r>
      <w:r w:rsidR="00E974B2">
        <w:rPr>
          <w:lang w:val="en-US"/>
        </w:rPr>
        <w:instrText>with</w:instrText>
      </w:r>
      <w:r w:rsidR="00E974B2" w:rsidRPr="006447F6">
        <w:instrText xml:space="preserve"> </w:instrText>
      </w:r>
      <w:r w:rsidR="00E974B2">
        <w:rPr>
          <w:lang w:val="en-US"/>
        </w:rPr>
        <w:instrText>comparable</w:instrText>
      </w:r>
      <w:r w:rsidR="00E974B2" w:rsidRPr="006447F6">
        <w:instrText xml:space="preserve"> </w:instrText>
      </w:r>
      <w:r w:rsidR="00E974B2">
        <w:rPr>
          <w:lang w:val="en-US"/>
        </w:rPr>
        <w:instrText>efficacy</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safety</w:instrText>
      </w:r>
      <w:r w:rsidR="00E974B2" w:rsidRPr="006447F6">
        <w:instrText xml:space="preserve"> </w:instrText>
      </w:r>
      <w:r w:rsidR="00E974B2">
        <w:rPr>
          <w:lang w:val="en-US"/>
        </w:rPr>
        <w:instrText>relative</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IV</w:instrText>
      </w:r>
      <w:r w:rsidR="00E974B2" w:rsidRPr="006447F6">
        <w:instrText xml:space="preserve"> </w:instrText>
      </w:r>
      <w:r w:rsidR="00E974B2">
        <w:rPr>
          <w:lang w:val="en-US"/>
        </w:rPr>
        <w:instrText>formulation</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added</w:instrText>
      </w:r>
      <w:r w:rsidR="00E974B2" w:rsidRPr="006447F6">
        <w:instrText xml:space="preserve"> </w:instrText>
      </w:r>
      <w:r w:rsidR="00E974B2">
        <w:rPr>
          <w:lang w:val="en-US"/>
        </w:rPr>
        <w:instrText>benefit</w:instrText>
      </w:r>
      <w:r w:rsidR="00E974B2" w:rsidRPr="006447F6">
        <w:instrText xml:space="preserve"> </w:instrText>
      </w:r>
      <w:r w:rsidR="00E974B2">
        <w:rPr>
          <w:lang w:val="en-US"/>
        </w:rPr>
        <w:instrText>of</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SC</w:instrText>
      </w:r>
      <w:r w:rsidR="00E974B2" w:rsidRPr="006447F6">
        <w:instrText xml:space="preserve"> </w:instrText>
      </w:r>
      <w:r w:rsidR="00E974B2">
        <w:rPr>
          <w:lang w:val="en-US"/>
        </w:rPr>
        <w:instrText>was</w:instrText>
      </w:r>
      <w:r w:rsidR="00E974B2" w:rsidRPr="006447F6">
        <w:instrText xml:space="preserve"> </w:instrText>
      </w:r>
      <w:r w:rsidR="00E974B2">
        <w:rPr>
          <w:lang w:val="en-US"/>
        </w:rPr>
        <w:instrText>demonstrated</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dedicated</w:instrText>
      </w:r>
      <w:r w:rsidR="00E974B2" w:rsidRPr="006447F6">
        <w:instrText xml:space="preserve"> </w:instrText>
      </w:r>
      <w:r w:rsidR="00E974B2">
        <w:rPr>
          <w:lang w:val="en-US"/>
        </w:rPr>
        <w:instrText>studies</w:instrText>
      </w:r>
      <w:r w:rsidR="00E974B2" w:rsidRPr="006447F6">
        <w:instrText xml:space="preserve"> </w:instrText>
      </w:r>
      <w:r w:rsidR="00E974B2">
        <w:rPr>
          <w:lang w:val="en-US"/>
        </w:rPr>
        <w:instrText>showing</w:instrText>
      </w:r>
      <w:r w:rsidR="00E974B2" w:rsidRPr="006447F6">
        <w:instrText xml:space="preserve"> </w:instrText>
      </w:r>
      <w:r w:rsidR="00E974B2">
        <w:rPr>
          <w:lang w:val="en-US"/>
        </w:rPr>
        <w:instrText>that</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SC</w:instrText>
      </w:r>
      <w:r w:rsidR="00E974B2" w:rsidRPr="006447F6">
        <w:instrText xml:space="preserve"> </w:instrText>
      </w:r>
      <w:r w:rsidR="00E974B2">
        <w:rPr>
          <w:lang w:val="en-US"/>
        </w:rPr>
        <w:instrText>allows</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simplified</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shortened</w:instrText>
      </w:r>
      <w:r w:rsidR="00E974B2" w:rsidRPr="006447F6">
        <w:instrText xml:space="preserve"> </w:instrText>
      </w:r>
      <w:r w:rsidR="00E974B2">
        <w:rPr>
          <w:lang w:val="en-US"/>
        </w:rPr>
        <w:instrText>drug</w:instrText>
      </w:r>
      <w:r w:rsidR="00E974B2" w:rsidRPr="006447F6">
        <w:instrText xml:space="preserve"> </w:instrText>
      </w:r>
      <w:r w:rsidR="00E974B2">
        <w:rPr>
          <w:lang w:val="en-US"/>
        </w:rPr>
        <w:instrText>preparation</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administration</w:instrText>
      </w:r>
      <w:r w:rsidR="00E974B2" w:rsidRPr="006447F6">
        <w:instrText xml:space="preserve"> </w:instrText>
      </w:r>
      <w:r w:rsidR="00E974B2">
        <w:rPr>
          <w:lang w:val="en-US"/>
        </w:rPr>
        <w:instrText>times</w:instrText>
      </w:r>
      <w:r w:rsidR="00E974B2" w:rsidRPr="006447F6">
        <w:instrText xml:space="preserve"> </w:instrText>
      </w:r>
      <w:r w:rsidR="00E974B2">
        <w:rPr>
          <w:lang w:val="en-US"/>
        </w:rPr>
        <w:instrText>resulting</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reduced</w:instrText>
      </w:r>
      <w:r w:rsidR="00E974B2" w:rsidRPr="006447F6">
        <w:instrText xml:space="preserve"> </w:instrText>
      </w:r>
      <w:r w:rsidR="00E974B2">
        <w:rPr>
          <w:lang w:val="en-US"/>
        </w:rPr>
        <w:instrText>treatment</w:instrText>
      </w:r>
      <w:r w:rsidR="00E974B2" w:rsidRPr="006447F6">
        <w:instrText xml:space="preserve"> </w:instrText>
      </w:r>
      <w:r w:rsidR="00E974B2">
        <w:rPr>
          <w:lang w:val="en-US"/>
        </w:rPr>
        <w:instrText>burden</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patients</w:instrText>
      </w:r>
      <w:r w:rsidR="00E974B2" w:rsidRPr="006447F6">
        <w:instrText xml:space="preserve"> </w:instrText>
      </w:r>
      <w:r w:rsidR="00E974B2">
        <w:rPr>
          <w:lang w:val="en-US"/>
        </w:rPr>
        <w:instrText>as</w:instrText>
      </w:r>
      <w:r w:rsidR="00E974B2" w:rsidRPr="006447F6">
        <w:instrText xml:space="preserve"> </w:instrText>
      </w:r>
      <w:r w:rsidR="00E974B2">
        <w:rPr>
          <w:lang w:val="en-US"/>
        </w:rPr>
        <w:instrText>well</w:instrText>
      </w:r>
      <w:r w:rsidR="00E974B2" w:rsidRPr="006447F6">
        <w:instrText xml:space="preserve"> </w:instrText>
      </w:r>
      <w:r w:rsidR="00E974B2">
        <w:rPr>
          <w:lang w:val="en-US"/>
        </w:rPr>
        <w:instrText>as</w:instrText>
      </w:r>
      <w:r w:rsidR="00E974B2" w:rsidRPr="006447F6">
        <w:instrText xml:space="preserve"> </w:instrText>
      </w:r>
      <w:r w:rsidR="00E974B2">
        <w:rPr>
          <w:lang w:val="en-US"/>
        </w:rPr>
        <w:instrText>improved</w:instrText>
      </w:r>
      <w:r w:rsidR="00E974B2" w:rsidRPr="006447F6">
        <w:instrText xml:space="preserve"> </w:instrText>
      </w:r>
      <w:r w:rsidR="00E974B2">
        <w:rPr>
          <w:lang w:val="en-US"/>
        </w:rPr>
        <w:instrText>resource</w:instrText>
      </w:r>
      <w:r w:rsidR="00E974B2" w:rsidRPr="006447F6">
        <w:instrText xml:space="preserve"> </w:instrText>
      </w:r>
      <w:r w:rsidR="00E974B2">
        <w:rPr>
          <w:lang w:val="en-US"/>
        </w:rPr>
        <w:instrText>utilization</w:instrText>
      </w:r>
      <w:r w:rsidR="00E974B2" w:rsidRPr="006447F6">
        <w:instrText xml:space="preserve"> (</w:instrText>
      </w:r>
      <w:r w:rsidR="00E974B2">
        <w:rPr>
          <w:lang w:val="en-US"/>
        </w:rPr>
        <w:instrText>efficiency</w:instrText>
      </w:r>
      <w:r w:rsidR="00E974B2" w:rsidRPr="006447F6">
        <w:instrText xml:space="preserve">) </w:instrText>
      </w:r>
      <w:r w:rsidR="00E974B2">
        <w:rPr>
          <w:lang w:val="en-US"/>
        </w:rPr>
        <w:instrText>at</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treatment</w:instrText>
      </w:r>
      <w:r w:rsidR="00E974B2" w:rsidRPr="006447F6">
        <w:instrText xml:space="preserve"> </w:instrText>
      </w:r>
      <w:r w:rsidR="00E974B2">
        <w:rPr>
          <w:lang w:val="en-US"/>
        </w:rPr>
        <w:instrText>facility</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improved</w:instrText>
      </w:r>
      <w:r w:rsidR="00E974B2" w:rsidRPr="006447F6">
        <w:instrText xml:space="preserve"> </w:instrText>
      </w:r>
      <w:r w:rsidR="00E974B2">
        <w:rPr>
          <w:lang w:val="en-US"/>
        </w:rPr>
        <w:instrText>efficiency</w:instrText>
      </w:r>
      <w:r w:rsidR="00E974B2" w:rsidRPr="006447F6">
        <w:instrText xml:space="preserve"> </w:instrText>
      </w:r>
      <w:r w:rsidR="00E974B2">
        <w:rPr>
          <w:lang w:val="en-US"/>
        </w:rPr>
        <w:instrText>of</w:instrText>
      </w:r>
      <w:r w:rsidR="00E974B2" w:rsidRPr="006447F6">
        <w:instrText xml:space="preserve"> </w:instrText>
      </w:r>
      <w:r w:rsidR="00E974B2">
        <w:rPr>
          <w:lang w:val="en-US"/>
        </w:rPr>
        <w:instrText>delivering</w:instrText>
      </w:r>
      <w:r w:rsidR="00E974B2" w:rsidRPr="006447F6">
        <w:instrText xml:space="preserve"> </w:instrText>
      </w:r>
      <w:r w:rsidR="00E974B2">
        <w:rPr>
          <w:lang w:val="en-US"/>
        </w:rPr>
        <w:instrText>rituximab</w:instrText>
      </w:r>
      <w:r w:rsidR="00E974B2" w:rsidRPr="006447F6">
        <w:instrText>’</w:instrText>
      </w:r>
      <w:r w:rsidR="00E974B2">
        <w:rPr>
          <w:lang w:val="en-US"/>
        </w:rPr>
        <w:instrText>s</w:instrText>
      </w:r>
      <w:r w:rsidR="00E974B2" w:rsidRPr="006447F6">
        <w:instrText xml:space="preserve"> </w:instrText>
      </w:r>
      <w:r w:rsidR="00E974B2">
        <w:rPr>
          <w:lang w:val="en-US"/>
        </w:rPr>
        <w:instrText>benefit</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patients</w:instrText>
      </w:r>
      <w:r w:rsidR="00E974B2" w:rsidRPr="006447F6">
        <w:instrText xml:space="preserve"> </w:instrText>
      </w:r>
      <w:r w:rsidR="00E974B2">
        <w:rPr>
          <w:lang w:val="en-US"/>
        </w:rPr>
        <w:instrText>may</w:instrText>
      </w:r>
      <w:r w:rsidR="00E974B2" w:rsidRPr="006447F6">
        <w:instrText xml:space="preserve"> </w:instrText>
      </w:r>
      <w:r w:rsidR="00E974B2">
        <w:rPr>
          <w:lang w:val="en-US"/>
        </w:rPr>
        <w:instrText>broaden</w:instrText>
      </w:r>
      <w:r w:rsidR="00E974B2" w:rsidRPr="006447F6">
        <w:instrText xml:space="preserve"> </w:instrText>
      </w:r>
      <w:r w:rsidR="00E974B2">
        <w:rPr>
          <w:lang w:val="en-US"/>
        </w:rPr>
        <w:instrText>patient</w:instrText>
      </w:r>
      <w:r w:rsidR="00E974B2" w:rsidRPr="006447F6">
        <w:instrText xml:space="preserve"> </w:instrText>
      </w:r>
      <w:r w:rsidR="00E974B2">
        <w:rPr>
          <w:lang w:val="en-US"/>
        </w:rPr>
        <w:instrText>access</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therapy</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w:instrText>
      </w:r>
      <w:r w:rsidR="00E974B2" w:rsidRPr="006C476A">
        <w:instrText xml:space="preserve">, </w:instrText>
      </w:r>
      <w:r w:rsidR="00E974B2">
        <w:rPr>
          <w:lang w:val="en-US"/>
        </w:rPr>
        <w:instrText>correct</w:instrText>
      </w:r>
      <w:r w:rsidR="00E974B2" w:rsidRPr="006C476A">
        <w:instrText xml:space="preserve"> </w:instrText>
      </w:r>
      <w:r w:rsidR="00E974B2">
        <w:rPr>
          <w:lang w:val="en-US"/>
        </w:rPr>
        <w:instrText>administration</w:instrText>
      </w:r>
      <w:r w:rsidR="00E974B2" w:rsidRPr="006C476A">
        <w:instrText xml:space="preserve"> </w:instrText>
      </w:r>
      <w:r w:rsidR="00E974B2">
        <w:rPr>
          <w:lang w:val="en-US"/>
        </w:rPr>
        <w:instrText>is</w:instrText>
      </w:r>
      <w:r w:rsidR="00E974B2" w:rsidRPr="006C476A">
        <w:instrText xml:space="preserve"> </w:instrText>
      </w:r>
      <w:r w:rsidR="00E974B2">
        <w:rPr>
          <w:lang w:val="en-US"/>
        </w:rPr>
        <w:instrText>needed</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reduce</w:instrText>
      </w:r>
      <w:r w:rsidR="00E974B2" w:rsidRPr="006C476A">
        <w:instrText xml:space="preserve"> </w:instrText>
      </w:r>
      <w:r w:rsidR="00E974B2">
        <w:rPr>
          <w:lang w:val="en-US"/>
        </w:rPr>
        <w:instrText>administration</w:instrText>
      </w:r>
      <w:r w:rsidR="00E974B2" w:rsidRPr="006C476A">
        <w:instrText>-</w:instrText>
      </w:r>
      <w:r w:rsidR="00E974B2">
        <w:rPr>
          <w:lang w:val="en-US"/>
        </w:rPr>
        <w:instrText>related</w:instrText>
      </w:r>
      <w:r w:rsidR="00E974B2" w:rsidRPr="006C476A">
        <w:instrText xml:space="preserve"> </w:instrText>
      </w:r>
      <w:r w:rsidR="00E974B2">
        <w:rPr>
          <w:lang w:val="en-US"/>
        </w:rPr>
        <w:instrText>reactions</w:instrText>
      </w:r>
      <w:r w:rsidR="00E974B2" w:rsidRPr="006C476A">
        <w:instrText xml:space="preserve">. </w:instrText>
      </w:r>
      <w:r w:rsidR="00E974B2">
        <w:rPr>
          <w:lang w:val="en-US"/>
        </w:rPr>
        <w:instrText>By</w:instrText>
      </w:r>
      <w:r w:rsidR="00E974B2" w:rsidRPr="006C476A">
        <w:instrText xml:space="preserve"> </w:instrText>
      </w:r>
      <w:r w:rsidR="00E974B2">
        <w:rPr>
          <w:lang w:val="en-US"/>
        </w:rPr>
        <w:instrText>using</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careful</w:instrText>
      </w:r>
      <w:r w:rsidR="00E974B2" w:rsidRPr="006C476A">
        <w:instrText xml:space="preserve"> </w:instrText>
      </w:r>
      <w:r w:rsidR="00E974B2">
        <w:rPr>
          <w:lang w:val="en-US"/>
        </w:rPr>
        <w:instrText>procedure</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sc</w:instrText>
      </w:r>
      <w:r w:rsidR="00E974B2" w:rsidRPr="006C476A">
        <w:instrText xml:space="preserve"> </w:instrText>
      </w:r>
      <w:r w:rsidR="00E974B2">
        <w:rPr>
          <w:lang w:val="en-US"/>
        </w:rPr>
        <w:instrText>formulation</w:instrText>
      </w:r>
      <w:r w:rsidR="00E974B2" w:rsidRPr="006C476A">
        <w:instrText xml:space="preserve"> </w:instrText>
      </w:r>
      <w:r w:rsidR="00E974B2">
        <w:rPr>
          <w:lang w:val="en-US"/>
        </w:rPr>
        <w:instrText>can</w:instrText>
      </w:r>
      <w:r w:rsidR="00E974B2" w:rsidRPr="006C476A">
        <w:instrText xml:space="preserve"> </w:instrText>
      </w:r>
      <w:r w:rsidR="00E974B2">
        <w:rPr>
          <w:lang w:val="en-US"/>
        </w:rPr>
        <w:instrText>be</w:instrText>
      </w:r>
      <w:r w:rsidR="00E974B2" w:rsidRPr="006C476A">
        <w:instrText xml:space="preserve"> </w:instrText>
      </w:r>
      <w:r w:rsidR="00E974B2">
        <w:rPr>
          <w:lang w:val="en-US"/>
        </w:rPr>
        <w:instrText>given</w:instrText>
      </w:r>
      <w:r w:rsidR="00E974B2" w:rsidRPr="006C476A">
        <w:instrText xml:space="preserve"> </w:instrText>
      </w:r>
      <w:r w:rsidR="00E974B2">
        <w:rPr>
          <w:lang w:val="en-US"/>
        </w:rPr>
        <w:instrText>safely</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effectively</w:instrText>
      </w:r>
      <w:r w:rsidR="00E974B2" w:rsidRPr="006C476A">
        <w:instrText xml:space="preserve">, </w:instrText>
      </w:r>
      <w:r w:rsidR="00E974B2">
        <w:rPr>
          <w:lang w:val="en-US"/>
        </w:rPr>
        <w:instrText>potentially</w:instrText>
      </w:r>
      <w:r w:rsidR="00E974B2" w:rsidRPr="006C476A">
        <w:instrText xml:space="preserve"> </w:instrText>
      </w:r>
      <w:r w:rsidR="00E974B2">
        <w:rPr>
          <w:lang w:val="en-US"/>
        </w:rPr>
        <w:instrText>reducing</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burden</w:instrText>
      </w:r>
      <w:r w:rsidR="00E974B2" w:rsidRPr="006C476A">
        <w:instrText xml:space="preserve"> </w:instrText>
      </w:r>
      <w:r w:rsidR="00E974B2">
        <w:rPr>
          <w:lang w:val="en-US"/>
        </w:rPr>
        <w:instrText>on</w:instrText>
      </w:r>
      <w:r w:rsidR="00E974B2" w:rsidRPr="006C476A">
        <w:instrText xml:space="preserve"> </w:instrText>
      </w:r>
      <w:r w:rsidR="00E974B2">
        <w:rPr>
          <w:lang w:val="en-US"/>
        </w:rPr>
        <w:instrText>health</w:instrText>
      </w:r>
      <w:r w:rsidR="00E974B2" w:rsidRPr="006C476A">
        <w:instrText xml:space="preserve"> </w:instrText>
      </w:r>
      <w:r w:rsidR="00E974B2">
        <w:rPr>
          <w:lang w:val="en-US"/>
        </w:rPr>
        <w:instrText>care</w:instrText>
      </w:r>
      <w:r w:rsidR="00E974B2" w:rsidRPr="006C476A">
        <w:instrText xml:space="preserve"> </w:instrText>
      </w:r>
      <w:r w:rsidR="00E974B2">
        <w:rPr>
          <w:lang w:val="en-US"/>
        </w:rPr>
        <w:instrText>resources</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improving</w:instrText>
      </w:r>
      <w:r w:rsidR="00E974B2" w:rsidRPr="006C476A">
        <w:instrText xml:space="preserve"> </w:instrText>
      </w:r>
      <w:r w:rsidR="00E974B2">
        <w:rPr>
          <w:lang w:val="en-US"/>
        </w:rPr>
        <w:instrText>quality</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life</w:instrText>
      </w:r>
      <w:r w:rsidR="00E974B2" w:rsidRPr="006C476A">
        <w:instrText xml:space="preserve"> </w:instrText>
      </w:r>
      <w:r w:rsidR="00E974B2">
        <w:rPr>
          <w:lang w:val="en-US"/>
        </w:rPr>
        <w:instrText>for</w:instrText>
      </w:r>
      <w:r w:rsidR="00E974B2" w:rsidRPr="006C476A">
        <w:instrText xml:space="preserve"> </w:instrText>
      </w:r>
      <w:r w:rsidR="00E974B2">
        <w:rPr>
          <w:lang w:val="en-US"/>
        </w:rPr>
        <w:instrText>patients</w:instrText>
      </w:r>
      <w:r w:rsidR="00E974B2" w:rsidRPr="006C476A">
        <w:instrText>.","</w:instrText>
      </w:r>
      <w:r w:rsidR="00E974B2">
        <w:rPr>
          <w:lang w:val="en-US"/>
        </w:rPr>
        <w:instrText>author</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Macdonald</w:instrText>
      </w:r>
      <w:r w:rsidR="00E974B2" w:rsidRPr="006C476A">
        <w:instrText>","</w:instrText>
      </w:r>
      <w:r w:rsidR="00E974B2">
        <w:rPr>
          <w:lang w:val="en-US"/>
        </w:rPr>
        <w:instrText>given</w:instrText>
      </w:r>
      <w:r w:rsidR="00E974B2" w:rsidRPr="006C476A">
        <w:instrText>":"</w:instrText>
      </w:r>
      <w:r w:rsidR="00E974B2">
        <w:rPr>
          <w:lang w:val="en-US"/>
        </w:rPr>
        <w:instrText>David</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Crosbie</w:instrText>
      </w:r>
      <w:r w:rsidR="00E974B2" w:rsidRPr="006C476A">
        <w:instrText>","</w:instrText>
      </w:r>
      <w:r w:rsidR="00E974B2">
        <w:rPr>
          <w:lang w:val="en-US"/>
        </w:rPr>
        <w:instrText>given</w:instrText>
      </w:r>
      <w:r w:rsidR="00E974B2" w:rsidRPr="006C476A">
        <w:instrText>":"</w:instrText>
      </w:r>
      <w:r w:rsidR="00E974B2">
        <w:rPr>
          <w:lang w:val="en-US"/>
        </w:rPr>
        <w:instrText>T</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Christofides</w:instrText>
      </w:r>
      <w:r w:rsidR="00E974B2" w:rsidRPr="006C476A">
        <w:instrText>","</w:instrText>
      </w:r>
      <w:r w:rsidR="00E974B2">
        <w:rPr>
          <w:lang w:val="en-US"/>
        </w:rPr>
        <w:instrText>given</w:instrText>
      </w:r>
      <w:r w:rsidR="00E974B2" w:rsidRPr="006C476A">
        <w:instrText>":"</w:instrText>
      </w:r>
      <w:r w:rsidR="00E974B2">
        <w:rPr>
          <w:lang w:val="en-US"/>
        </w:rPr>
        <w:instrText>A</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Assaily</w:instrText>
      </w:r>
      <w:r w:rsidR="00E974B2" w:rsidRPr="006C476A">
        <w:instrText>","</w:instrText>
      </w:r>
      <w:r w:rsidR="00E974B2">
        <w:rPr>
          <w:lang w:val="en-US"/>
        </w:rPr>
        <w:instrText>given</w:instrText>
      </w:r>
      <w:r w:rsidR="00E974B2" w:rsidRPr="006C476A">
        <w:instrText>":"</w:instrText>
      </w:r>
      <w:r w:rsidR="00E974B2">
        <w:rPr>
          <w:lang w:val="en-US"/>
        </w:rPr>
        <w:instrText>W</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Wiernikowski</w:instrText>
      </w:r>
      <w:r w:rsidR="00E974B2" w:rsidRPr="006C476A">
        <w:instrText>","</w:instrText>
      </w:r>
      <w:r w:rsidR="00E974B2">
        <w:rPr>
          <w:lang w:val="en-US"/>
        </w:rPr>
        <w:instrText>given</w:instrText>
      </w:r>
      <w:r w:rsidR="00E974B2" w:rsidRPr="006C476A">
        <w:instrText>":"</w:instrText>
      </w:r>
      <w:r w:rsidR="00E974B2">
        <w:rPr>
          <w:lang w:val="en-US"/>
        </w:rPr>
        <w:instrText>J</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container</w:instrText>
      </w:r>
      <w:r w:rsidR="00E974B2" w:rsidRPr="006C476A">
        <w:instrText>-</w:instrText>
      </w:r>
      <w:r w:rsidR="00E974B2">
        <w:rPr>
          <w:lang w:val="en-US"/>
        </w:rPr>
        <w:instrText>title</w:instrText>
      </w:r>
      <w:r w:rsidR="00E974B2" w:rsidRPr="006C476A">
        <w:instrText>":"</w:instrText>
      </w:r>
      <w:r w:rsidR="00E974B2">
        <w:rPr>
          <w:lang w:val="en-US"/>
        </w:rPr>
        <w:instrText>Current</w:instrText>
      </w:r>
      <w:r w:rsidR="00E974B2" w:rsidRPr="006C476A">
        <w:instrText xml:space="preserve"> </w:instrText>
      </w:r>
      <w:r w:rsidR="00E974B2">
        <w:rPr>
          <w:lang w:val="en-US"/>
        </w:rPr>
        <w:instrText>Oncology</w:instrText>
      </w:r>
      <w:r w:rsidR="00E974B2" w:rsidRPr="006C476A">
        <w:instrText>","</w:instrText>
      </w:r>
      <w:r w:rsidR="00E974B2">
        <w:rPr>
          <w:lang w:val="en-US"/>
        </w:rPr>
        <w:instrText>id</w:instrText>
      </w:r>
      <w:r w:rsidR="00E974B2" w:rsidRPr="006C476A">
        <w:instrText>":"</w:instrText>
      </w:r>
      <w:r w:rsidR="00E974B2">
        <w:rPr>
          <w:lang w:val="en-US"/>
        </w:rPr>
        <w:instrText>ITEM</w:instrText>
      </w:r>
      <w:r w:rsidR="00E974B2" w:rsidRPr="006C476A">
        <w:instrText>-4","</w:instrText>
      </w:r>
      <w:r w:rsidR="00E974B2">
        <w:rPr>
          <w:lang w:val="en-US"/>
        </w:rPr>
        <w:instrText>issue</w:instrText>
      </w:r>
      <w:r w:rsidR="00E974B2" w:rsidRPr="006C476A">
        <w:instrText>":"1","</w:instrText>
      </w:r>
      <w:r w:rsidR="00E974B2">
        <w:rPr>
          <w:lang w:val="en-US"/>
        </w:rPr>
        <w:instrText>issued</w:instrText>
      </w:r>
      <w:r w:rsidR="00E974B2" w:rsidRPr="006C476A">
        <w:instrText>":{"</w:instrText>
      </w:r>
      <w:r w:rsidR="00E974B2">
        <w:rPr>
          <w:lang w:val="en-US"/>
        </w:rPr>
        <w:instrText>date</w:instrText>
      </w:r>
      <w:r w:rsidR="00E974B2" w:rsidRPr="006C476A">
        <w:instrText>-</w:instrText>
      </w:r>
      <w:r w:rsidR="00E974B2">
        <w:rPr>
          <w:lang w:val="en-US"/>
        </w:rPr>
        <w:instrText>parts</w:instrText>
      </w:r>
      <w:r w:rsidR="00E974B2" w:rsidRPr="006C476A">
        <w:instrText>":[["2017"]]},"</w:instrText>
      </w:r>
      <w:r w:rsidR="00E974B2">
        <w:rPr>
          <w:lang w:val="en-US"/>
        </w:rPr>
        <w:instrText>page</w:instrText>
      </w:r>
      <w:r w:rsidR="00E974B2" w:rsidRPr="006C476A">
        <w:instrText>":"33-39","</w:instrText>
      </w:r>
      <w:r w:rsidR="00E974B2">
        <w:rPr>
          <w:lang w:val="en-US"/>
        </w:rPr>
        <w:instrText>publisher</w:instrText>
      </w:r>
      <w:r w:rsidR="00E974B2" w:rsidRPr="006C476A">
        <w:instrText>":"</w:instrText>
      </w:r>
      <w:r w:rsidR="00E974B2">
        <w:rPr>
          <w:lang w:val="en-US"/>
        </w:rPr>
        <w:instrText>Multimed</w:instrText>
      </w:r>
      <w:r w:rsidR="00E974B2" w:rsidRPr="006C476A">
        <w:instrText xml:space="preserve"> </w:instrText>
      </w:r>
      <w:r w:rsidR="00E974B2">
        <w:rPr>
          <w:lang w:val="en-US"/>
        </w:rPr>
        <w:instrText>Inc</w:instrText>
      </w:r>
      <w:r w:rsidR="00E974B2" w:rsidRPr="006C476A">
        <w:instrText>.","</w:instrText>
      </w:r>
      <w:r w:rsidR="00E974B2">
        <w:rPr>
          <w:lang w:val="en-US"/>
        </w:rPr>
        <w:instrText>title</w:instrText>
      </w:r>
      <w:r w:rsidR="00E974B2" w:rsidRPr="006C476A">
        <w:instrText>":"</w:instrText>
      </w:r>
      <w:r w:rsidR="00E974B2">
        <w:rPr>
          <w:lang w:val="en-US"/>
        </w:rPr>
        <w:instrText>A</w:instrText>
      </w:r>
      <w:r w:rsidR="00E974B2" w:rsidRPr="006C476A">
        <w:instrText xml:space="preserve"> </w:instrText>
      </w:r>
      <w:r w:rsidR="00E974B2">
        <w:rPr>
          <w:lang w:val="en-US"/>
        </w:rPr>
        <w:instrText>canadian</w:instrText>
      </w:r>
      <w:r w:rsidR="00E974B2" w:rsidRPr="006C476A">
        <w:instrText xml:space="preserve"> </w:instrText>
      </w:r>
      <w:r w:rsidR="00E974B2">
        <w:rPr>
          <w:lang w:val="en-US"/>
        </w:rPr>
        <w:instrText>perspective</w:instrText>
      </w:r>
      <w:r w:rsidR="00E974B2" w:rsidRPr="006C476A">
        <w:instrText xml:space="preserve"> </w:instrText>
      </w:r>
      <w:r w:rsidR="00E974B2">
        <w:rPr>
          <w:lang w:val="en-US"/>
        </w:rPr>
        <w:instrText>on</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subcutaneous</w:instrText>
      </w:r>
      <w:r w:rsidR="00E974B2" w:rsidRPr="006C476A">
        <w:instrText xml:space="preserve"> </w:instrText>
      </w:r>
      <w:r w:rsidR="00E974B2">
        <w:rPr>
          <w:lang w:val="en-US"/>
        </w:rPr>
        <w:instrText>administration</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in</w:instrText>
      </w:r>
      <w:r w:rsidR="00E974B2" w:rsidRPr="006C476A">
        <w:instrText xml:space="preserve"> </w:instrText>
      </w:r>
      <w:r w:rsidR="00E974B2">
        <w:rPr>
          <w:lang w:val="en-US"/>
        </w:rPr>
        <w:instrText>non</w:instrText>
      </w:r>
      <w:r w:rsidR="00E974B2" w:rsidRPr="006C476A">
        <w:instrText>-</w:instrText>
      </w:r>
      <w:r w:rsidR="00E974B2">
        <w:rPr>
          <w:lang w:val="en-US"/>
        </w:rPr>
        <w:instrText>Hodgkin</w:instrText>
      </w:r>
      <w:r w:rsidR="00E974B2" w:rsidRPr="006C476A">
        <w:instrText xml:space="preserve"> </w:instrText>
      </w:r>
      <w:r w:rsidR="00E974B2">
        <w:rPr>
          <w:lang w:val="en-US"/>
        </w:rPr>
        <w:instrText>lymphoma</w:instrText>
      </w:r>
      <w:r w:rsidR="00E974B2" w:rsidRPr="006C476A">
        <w:instrText>","</w:instrText>
      </w:r>
      <w:r w:rsidR="00E974B2">
        <w:rPr>
          <w:lang w:val="en-US"/>
        </w:rPr>
        <w:instrText>type</w:instrText>
      </w:r>
      <w:r w:rsidR="00E974B2" w:rsidRPr="006C476A">
        <w:instrText>":"</w:instrText>
      </w:r>
      <w:r w:rsidR="00E974B2">
        <w:rPr>
          <w:lang w:val="en-US"/>
        </w:rPr>
        <w:instrText>article</w:instrText>
      </w:r>
      <w:r w:rsidR="00E974B2" w:rsidRPr="006C476A">
        <w:instrText>","</w:instrText>
      </w:r>
      <w:r w:rsidR="00E974B2">
        <w:rPr>
          <w:lang w:val="en-US"/>
        </w:rPr>
        <w:instrText>volume</w:instrText>
      </w:r>
      <w:r w:rsidR="00E974B2" w:rsidRPr="006C476A">
        <w:instrText>":"24"},"</w:instrText>
      </w:r>
      <w:r w:rsidR="00E974B2">
        <w:rPr>
          <w:lang w:val="en-US"/>
        </w:rPr>
        <w:instrText>uris</w:instrText>
      </w:r>
      <w:r w:rsidR="00E974B2" w:rsidRPr="006C476A">
        <w:instrText>":["</w:instrText>
      </w:r>
      <w:r w:rsidR="00E974B2">
        <w:rPr>
          <w:lang w:val="en-US"/>
        </w:rPr>
        <w:instrText>http</w:instrText>
      </w:r>
      <w:r w:rsidR="00E974B2" w:rsidRPr="006C476A">
        <w:instrText>://</w:instrText>
      </w:r>
      <w:r w:rsidR="00E974B2">
        <w:rPr>
          <w:lang w:val="en-US"/>
        </w:rPr>
        <w:instrText>www</w:instrText>
      </w:r>
      <w:r w:rsidR="00E974B2" w:rsidRPr="006C476A">
        <w:instrText>.</w:instrText>
      </w:r>
      <w:r w:rsidR="00E974B2">
        <w:rPr>
          <w:lang w:val="en-US"/>
        </w:rPr>
        <w:instrText>mendeley</w:instrText>
      </w:r>
      <w:r w:rsidR="00E974B2" w:rsidRPr="006C476A">
        <w:instrText>.</w:instrText>
      </w:r>
      <w:r w:rsidR="00E974B2">
        <w:rPr>
          <w:lang w:val="en-US"/>
        </w:rPr>
        <w:instrText>com</w:instrText>
      </w:r>
      <w:r w:rsidR="00E974B2" w:rsidRPr="006C476A">
        <w:instrText>/</w:instrText>
      </w:r>
      <w:r w:rsidR="00E974B2">
        <w:rPr>
          <w:lang w:val="en-US"/>
        </w:rPr>
        <w:instrText>documents</w:instrText>
      </w:r>
      <w:r w:rsidR="00E974B2" w:rsidRPr="006C476A">
        <w:instrText>/?</w:instrText>
      </w:r>
      <w:r w:rsidR="00E974B2">
        <w:rPr>
          <w:lang w:val="en-US"/>
        </w:rPr>
        <w:instrText>uuid</w:instrText>
      </w:r>
      <w:r w:rsidR="00E974B2" w:rsidRPr="006C476A">
        <w:instrText>=0</w:instrText>
      </w:r>
      <w:r w:rsidR="00E974B2">
        <w:rPr>
          <w:lang w:val="en-US"/>
        </w:rPr>
        <w:instrText>dec</w:instrText>
      </w:r>
      <w:r w:rsidR="00E974B2" w:rsidRPr="006C476A">
        <w:instrText>225</w:instrText>
      </w:r>
      <w:r w:rsidR="00E974B2">
        <w:rPr>
          <w:lang w:val="en-US"/>
        </w:rPr>
        <w:instrText>e</w:instrText>
      </w:r>
      <w:r w:rsidR="00E974B2" w:rsidRPr="006C476A">
        <w:instrText>-8</w:instrText>
      </w:r>
      <w:r w:rsidR="00E974B2">
        <w:rPr>
          <w:lang w:val="en-US"/>
        </w:rPr>
        <w:instrText>a</w:instrText>
      </w:r>
      <w:r w:rsidR="00E974B2" w:rsidRPr="006C476A">
        <w:instrText>47-3680-</w:instrText>
      </w:r>
      <w:r w:rsidR="00E974B2">
        <w:rPr>
          <w:lang w:val="en-US"/>
        </w:rPr>
        <w:instrText>ba</w:instrText>
      </w:r>
      <w:r w:rsidR="00E974B2" w:rsidRPr="006C476A">
        <w:instrText>4</w:instrText>
      </w:r>
      <w:r w:rsidR="00E974B2">
        <w:rPr>
          <w:lang w:val="en-US"/>
        </w:rPr>
        <w:instrText>d</w:instrText>
      </w:r>
      <w:r w:rsidR="00E974B2" w:rsidRPr="006C476A">
        <w:instrText>-891955</w:instrText>
      </w:r>
      <w:r w:rsidR="00E974B2">
        <w:rPr>
          <w:lang w:val="en-US"/>
        </w:rPr>
        <w:instrText>a</w:instrText>
      </w:r>
      <w:r w:rsidR="00E974B2" w:rsidRPr="006C476A">
        <w:instrText>938</w:instrText>
      </w:r>
      <w:r w:rsidR="00E974B2">
        <w:rPr>
          <w:lang w:val="en-US"/>
        </w:rPr>
        <w:instrText>a</w:instrText>
      </w:r>
      <w:r w:rsidR="00E974B2" w:rsidRPr="006C476A">
        <w:instrText>1"]}],"</w:instrText>
      </w:r>
      <w:r w:rsidR="00E974B2">
        <w:rPr>
          <w:lang w:val="en-US"/>
        </w:rPr>
        <w:instrText>mendeley</w:instrText>
      </w:r>
      <w:r w:rsidR="00E974B2" w:rsidRPr="006C476A">
        <w:instrText>":{"</w:instrText>
      </w:r>
      <w:r w:rsidR="00E974B2">
        <w:rPr>
          <w:lang w:val="en-US"/>
        </w:rPr>
        <w:instrText>formattedCitation</w:instrText>
      </w:r>
      <w:r w:rsidR="00E974B2" w:rsidRPr="006C476A">
        <w:instrText>":"[180–183]","</w:instrText>
      </w:r>
      <w:r w:rsidR="00E974B2">
        <w:rPr>
          <w:lang w:val="en-US"/>
        </w:rPr>
        <w:instrText>plainTextFormattedCitation</w:instrText>
      </w:r>
      <w:r w:rsidR="00E974B2" w:rsidRPr="006C476A">
        <w:instrText>":"[180–183]","</w:instrText>
      </w:r>
      <w:r w:rsidR="00E974B2">
        <w:rPr>
          <w:lang w:val="en-US"/>
        </w:rPr>
        <w:instrText>previouslyFormattedCitation</w:instrText>
      </w:r>
      <w:r w:rsidR="00E974B2" w:rsidRPr="006C476A">
        <w:instrText>":"[180–183]"},"</w:instrText>
      </w:r>
      <w:r w:rsidR="00E974B2">
        <w:rPr>
          <w:lang w:val="en-US"/>
        </w:rPr>
        <w:instrText>properties</w:instrText>
      </w:r>
      <w:r w:rsidR="00E974B2" w:rsidRPr="006C476A">
        <w:instrText>":{"</w:instrText>
      </w:r>
      <w:r w:rsidR="00E974B2">
        <w:rPr>
          <w:lang w:val="en-US"/>
        </w:rPr>
        <w:instrText>noteIndex</w:instrText>
      </w:r>
      <w:r w:rsidR="00E974B2" w:rsidRPr="006C476A">
        <w:instrText>":0},"</w:instrText>
      </w:r>
      <w:r w:rsidR="00E974B2">
        <w:rPr>
          <w:lang w:val="en-US"/>
        </w:rPr>
        <w:instrText>schema</w:instrText>
      </w:r>
      <w:r w:rsidR="00E974B2" w:rsidRPr="006C476A">
        <w:instrText>":"</w:instrText>
      </w:r>
      <w:r w:rsidR="00E974B2">
        <w:rPr>
          <w:lang w:val="en-US"/>
        </w:rPr>
        <w:instrText>https</w:instrText>
      </w:r>
      <w:r w:rsidR="00E974B2" w:rsidRPr="006C476A">
        <w:instrText>://</w:instrText>
      </w:r>
      <w:r w:rsidR="00E974B2">
        <w:rPr>
          <w:lang w:val="en-US"/>
        </w:rPr>
        <w:instrText>github</w:instrText>
      </w:r>
      <w:r w:rsidR="00E974B2" w:rsidRPr="006C476A">
        <w:instrText>.</w:instrText>
      </w:r>
      <w:r w:rsidR="00E974B2">
        <w:rPr>
          <w:lang w:val="en-US"/>
        </w:rPr>
        <w:instrText>com</w:instrText>
      </w:r>
      <w:r w:rsidR="00E974B2" w:rsidRPr="006C476A">
        <w:instrText>/</w:instrText>
      </w:r>
      <w:r w:rsidR="00E974B2">
        <w:rPr>
          <w:lang w:val="en-US"/>
        </w:rPr>
        <w:instrText>citation</w:instrText>
      </w:r>
      <w:r w:rsidR="00E974B2" w:rsidRPr="006C476A">
        <w:instrText>-</w:instrText>
      </w:r>
      <w:r w:rsidR="00E974B2">
        <w:rPr>
          <w:lang w:val="en-US"/>
        </w:rPr>
        <w:instrText>style</w:instrText>
      </w:r>
      <w:r w:rsidR="00E974B2" w:rsidRPr="006C476A">
        <w:instrText>-</w:instrText>
      </w:r>
      <w:r w:rsidR="00E974B2">
        <w:rPr>
          <w:lang w:val="en-US"/>
        </w:rPr>
        <w:instrText>language</w:instrText>
      </w:r>
      <w:r w:rsidR="00E974B2" w:rsidRPr="006C476A">
        <w:instrText>/</w:instrText>
      </w:r>
      <w:r w:rsidR="00E974B2">
        <w:rPr>
          <w:lang w:val="en-US"/>
        </w:rPr>
        <w:instrText>schema</w:instrText>
      </w:r>
      <w:r w:rsidR="00E974B2" w:rsidRPr="006C476A">
        <w:instrText>/</w:instrText>
      </w:r>
      <w:r w:rsidR="00E974B2">
        <w:rPr>
          <w:lang w:val="en-US"/>
        </w:rPr>
        <w:instrText>raw</w:instrText>
      </w:r>
      <w:r w:rsidR="00E974B2" w:rsidRPr="006C476A">
        <w:instrText>/</w:instrText>
      </w:r>
      <w:r w:rsidR="00E974B2">
        <w:rPr>
          <w:lang w:val="en-US"/>
        </w:rPr>
        <w:instrText>master</w:instrText>
      </w:r>
      <w:r w:rsidR="00E974B2" w:rsidRPr="006C476A">
        <w:instrText>/</w:instrText>
      </w:r>
      <w:r w:rsidR="00E974B2">
        <w:rPr>
          <w:lang w:val="en-US"/>
        </w:rPr>
        <w:instrText>csl</w:instrText>
      </w:r>
      <w:r w:rsidR="00E974B2" w:rsidRPr="006C476A">
        <w:instrText>-</w:instrText>
      </w:r>
      <w:r w:rsidR="00E974B2">
        <w:rPr>
          <w:lang w:val="en-US"/>
        </w:rPr>
        <w:instrText>citation</w:instrText>
      </w:r>
      <w:r w:rsidR="00E974B2" w:rsidRPr="006C476A">
        <w:instrText>.</w:instrText>
      </w:r>
      <w:r w:rsidR="00E974B2">
        <w:rPr>
          <w:lang w:val="en-US"/>
        </w:rPr>
        <w:instrText>json</w:instrText>
      </w:r>
      <w:r w:rsidR="00E974B2" w:rsidRPr="006C476A">
        <w:instrText>"}</w:instrText>
      </w:r>
      <w:r w:rsidRPr="000322E4">
        <w:rPr>
          <w:lang w:val="en-US"/>
        </w:rPr>
        <w:fldChar w:fldCharType="separate"/>
      </w:r>
      <w:r w:rsidR="004C51FF" w:rsidRPr="004C51FF">
        <w:rPr>
          <w:noProof/>
        </w:rPr>
        <w:t>[180–183]</w:t>
      </w:r>
      <w:r w:rsidRPr="000322E4">
        <w:rPr>
          <w:lang w:val="en-US"/>
        </w:rPr>
        <w:fldChar w:fldCharType="end"/>
      </w:r>
    </w:p>
    <w:p w14:paraId="7E82F014" w14:textId="77777777" w:rsidR="00666D68" w:rsidRPr="00135B14" w:rsidRDefault="00666D68" w:rsidP="008E3584">
      <w:pPr>
        <w:numPr>
          <w:ilvl w:val="0"/>
          <w:numId w:val="43"/>
        </w:numPr>
        <w:rPr>
          <w:b/>
          <w:bCs/>
        </w:rPr>
      </w:pPr>
      <w:r w:rsidRPr="000322E4">
        <w:t>Этопозид</w:t>
      </w:r>
      <w:r w:rsidRPr="00135B14">
        <w:rPr>
          <w:bCs/>
        </w:rPr>
        <w:t>**</w:t>
      </w:r>
      <w:r w:rsidRPr="00135B14">
        <w:t xml:space="preserve"> 50 </w:t>
      </w:r>
      <w:r w:rsidRPr="000322E4">
        <w:t>мг</w:t>
      </w:r>
      <w:r w:rsidRPr="00135B14">
        <w:t>/</w:t>
      </w:r>
      <w:r w:rsidRPr="000322E4">
        <w:t>м</w:t>
      </w:r>
      <w:r w:rsidRPr="00135B14">
        <w:rPr>
          <w:vertAlign w:val="superscript"/>
        </w:rPr>
        <w:t>2</w:t>
      </w:r>
      <w:r w:rsidRPr="00135B14">
        <w:t>/</w:t>
      </w:r>
      <w:r w:rsidRPr="000322E4">
        <w:t>сут</w:t>
      </w:r>
      <w:r w:rsidRPr="00135B14">
        <w:t xml:space="preserve"> </w:t>
      </w:r>
      <w:r w:rsidRPr="000322E4">
        <w:t>в</w:t>
      </w:r>
      <w:r w:rsidRPr="00135B14">
        <w:t>/</w:t>
      </w:r>
      <w:r w:rsidRPr="000322E4">
        <w:t>в</w:t>
      </w:r>
      <w:r w:rsidRPr="00135B14">
        <w:t xml:space="preserve">, </w:t>
      </w:r>
      <w:r w:rsidRPr="000322E4">
        <w:t>дни</w:t>
      </w:r>
      <w:r w:rsidRPr="00135B14">
        <w:t xml:space="preserve"> 1-4 (</w:t>
      </w:r>
      <w:r w:rsidRPr="000322E4">
        <w:t>непрерывная</w:t>
      </w:r>
      <w:r w:rsidRPr="00135B14">
        <w:t xml:space="preserve"> 96-</w:t>
      </w:r>
      <w:r w:rsidRPr="000322E4">
        <w:t>часовая</w:t>
      </w:r>
      <w:r w:rsidRPr="00135B14">
        <w:t xml:space="preserve"> </w:t>
      </w:r>
      <w:r w:rsidRPr="000322E4">
        <w:t>инфузия</w:t>
      </w:r>
      <w:r w:rsidRPr="00135B14">
        <w:t>)</w:t>
      </w:r>
    </w:p>
    <w:p w14:paraId="00413C36" w14:textId="77777777" w:rsidR="00666D68" w:rsidRPr="00135B14" w:rsidRDefault="00666D68" w:rsidP="008E3584">
      <w:pPr>
        <w:numPr>
          <w:ilvl w:val="0"/>
          <w:numId w:val="43"/>
        </w:numPr>
        <w:rPr>
          <w:b/>
          <w:bCs/>
        </w:rPr>
      </w:pPr>
      <w:r w:rsidRPr="000322E4">
        <w:t>Доксорубицин</w:t>
      </w:r>
      <w:r w:rsidRPr="00135B14">
        <w:rPr>
          <w:bCs/>
        </w:rPr>
        <w:t>**</w:t>
      </w:r>
      <w:r w:rsidRPr="00135B14">
        <w:t xml:space="preserve"> 10 </w:t>
      </w:r>
      <w:r w:rsidRPr="000322E4">
        <w:t>мг</w:t>
      </w:r>
      <w:r w:rsidRPr="00135B14">
        <w:t>/</w:t>
      </w:r>
      <w:r w:rsidRPr="000322E4">
        <w:t>м</w:t>
      </w:r>
      <w:r w:rsidRPr="00135B14">
        <w:rPr>
          <w:vertAlign w:val="superscript"/>
        </w:rPr>
        <w:t>2</w:t>
      </w:r>
      <w:r w:rsidRPr="00135B14">
        <w:t>/</w:t>
      </w:r>
      <w:r w:rsidRPr="000322E4">
        <w:t>сут</w:t>
      </w:r>
      <w:r w:rsidRPr="00135B14">
        <w:t xml:space="preserve"> </w:t>
      </w:r>
      <w:r w:rsidRPr="000322E4">
        <w:t>в</w:t>
      </w:r>
      <w:r w:rsidRPr="00135B14">
        <w:t>/</w:t>
      </w:r>
      <w:r w:rsidRPr="000322E4">
        <w:t>в</w:t>
      </w:r>
      <w:r w:rsidRPr="00135B14">
        <w:t xml:space="preserve">, </w:t>
      </w:r>
      <w:r w:rsidRPr="000322E4">
        <w:t>дни</w:t>
      </w:r>
      <w:r w:rsidRPr="00135B14">
        <w:t xml:space="preserve"> 1-4 (</w:t>
      </w:r>
      <w:r w:rsidRPr="000322E4">
        <w:t>непрерывная</w:t>
      </w:r>
      <w:r w:rsidRPr="00135B14">
        <w:t xml:space="preserve"> 96-</w:t>
      </w:r>
      <w:r w:rsidRPr="000322E4">
        <w:t>часовая</w:t>
      </w:r>
      <w:r w:rsidRPr="00135B14">
        <w:t xml:space="preserve"> </w:t>
      </w:r>
      <w:r w:rsidRPr="000322E4">
        <w:t>инфузия</w:t>
      </w:r>
      <w:r w:rsidRPr="00135B14">
        <w:t>)</w:t>
      </w:r>
    </w:p>
    <w:p w14:paraId="61AF8A5A" w14:textId="77777777" w:rsidR="00666D68" w:rsidRPr="00135B14" w:rsidRDefault="00F35A3E" w:rsidP="008E3584">
      <w:pPr>
        <w:numPr>
          <w:ilvl w:val="0"/>
          <w:numId w:val="43"/>
        </w:numPr>
        <w:rPr>
          <w:b/>
          <w:bCs/>
        </w:rPr>
      </w:pPr>
      <w:r w:rsidRPr="00135B14">
        <w:t>#</w:t>
      </w:r>
      <w:r w:rsidR="00666D68" w:rsidRPr="000322E4">
        <w:t>Винкристин</w:t>
      </w:r>
      <w:r w:rsidR="00666D68" w:rsidRPr="00135B14">
        <w:rPr>
          <w:bCs/>
        </w:rPr>
        <w:t xml:space="preserve">** </w:t>
      </w:r>
      <w:r w:rsidR="00666D68" w:rsidRPr="00135B14">
        <w:t xml:space="preserve">0,4 </w:t>
      </w:r>
      <w:r w:rsidR="00666D68" w:rsidRPr="000322E4">
        <w:t>мг</w:t>
      </w:r>
      <w:r w:rsidR="00666D68" w:rsidRPr="00135B14">
        <w:t>/</w:t>
      </w:r>
      <w:r w:rsidR="00666D68" w:rsidRPr="000322E4">
        <w:t>м</w:t>
      </w:r>
      <w:r w:rsidR="00666D68" w:rsidRPr="00135B14">
        <w:rPr>
          <w:vertAlign w:val="superscript"/>
        </w:rPr>
        <w:t>2</w:t>
      </w:r>
      <w:r w:rsidR="00666D68" w:rsidRPr="00135B14">
        <w:t>/</w:t>
      </w:r>
      <w:r w:rsidR="00666D68" w:rsidRPr="000322E4">
        <w:t>сут</w:t>
      </w:r>
      <w:r w:rsidR="00666D68" w:rsidRPr="00135B14">
        <w:t xml:space="preserve"> </w:t>
      </w:r>
      <w:r w:rsidR="00666D68" w:rsidRPr="000322E4">
        <w:t>в</w:t>
      </w:r>
      <w:r w:rsidR="00666D68" w:rsidRPr="00135B14">
        <w:t>/</w:t>
      </w:r>
      <w:r w:rsidR="00666D68" w:rsidRPr="000322E4">
        <w:t>в</w:t>
      </w:r>
      <w:r w:rsidR="00666D68" w:rsidRPr="00135B14">
        <w:t xml:space="preserve">, </w:t>
      </w:r>
      <w:r w:rsidR="00666D68" w:rsidRPr="000322E4">
        <w:t>дни</w:t>
      </w:r>
      <w:r w:rsidR="00666D68" w:rsidRPr="00135B14">
        <w:t xml:space="preserve"> 1-4 (</w:t>
      </w:r>
      <w:r w:rsidR="00666D68" w:rsidRPr="000322E4">
        <w:t>непрерывная</w:t>
      </w:r>
      <w:r w:rsidR="00666D68" w:rsidRPr="00135B14">
        <w:t xml:space="preserve"> 96-</w:t>
      </w:r>
      <w:r w:rsidR="00666D68" w:rsidRPr="000322E4">
        <w:t>часовая</w:t>
      </w:r>
      <w:r w:rsidR="00666D68" w:rsidRPr="00135B14">
        <w:t xml:space="preserve"> </w:t>
      </w:r>
      <w:r w:rsidR="00666D68" w:rsidRPr="000322E4">
        <w:t>инфузия</w:t>
      </w:r>
      <w:r w:rsidR="00666D68" w:rsidRPr="00135B14">
        <w:t>)</w:t>
      </w:r>
    </w:p>
    <w:p w14:paraId="265B9B61" w14:textId="77777777" w:rsidR="00666D68" w:rsidRPr="00135B14" w:rsidRDefault="00666D68" w:rsidP="008E3584">
      <w:pPr>
        <w:numPr>
          <w:ilvl w:val="0"/>
          <w:numId w:val="43"/>
        </w:numPr>
        <w:rPr>
          <w:b/>
          <w:bCs/>
        </w:rPr>
      </w:pPr>
      <w:r w:rsidRPr="000322E4">
        <w:t>Циклофосфамид</w:t>
      </w:r>
      <w:r w:rsidRPr="00135B14">
        <w:rPr>
          <w:bCs/>
        </w:rPr>
        <w:t>**</w:t>
      </w:r>
      <w:r w:rsidRPr="00135B14">
        <w:t xml:space="preserve"> 750 </w:t>
      </w:r>
      <w:r w:rsidRPr="000322E4">
        <w:t>мг</w:t>
      </w:r>
      <w:r w:rsidRPr="00135B14">
        <w:t>/</w:t>
      </w:r>
      <w:r w:rsidRPr="000322E4">
        <w:t>м</w:t>
      </w:r>
      <w:r w:rsidRPr="00135B14">
        <w:rPr>
          <w:vertAlign w:val="superscript"/>
        </w:rPr>
        <w:t>2</w:t>
      </w:r>
      <w:r w:rsidRPr="00135B14">
        <w:t xml:space="preserve"> </w:t>
      </w:r>
      <w:r w:rsidRPr="000322E4">
        <w:t>в</w:t>
      </w:r>
      <w:r w:rsidRPr="00135B14">
        <w:t>/</w:t>
      </w:r>
      <w:r w:rsidRPr="000322E4">
        <w:t>в</w:t>
      </w:r>
      <w:r w:rsidRPr="00135B14">
        <w:t xml:space="preserve">, </w:t>
      </w:r>
      <w:r w:rsidRPr="000322E4">
        <w:t>день</w:t>
      </w:r>
      <w:r w:rsidRPr="00135B14">
        <w:t xml:space="preserve"> 5</w:t>
      </w:r>
    </w:p>
    <w:p w14:paraId="2364A3B1" w14:textId="77777777" w:rsidR="00666D68" w:rsidRPr="00135B14" w:rsidRDefault="00666D68" w:rsidP="008E3584">
      <w:pPr>
        <w:numPr>
          <w:ilvl w:val="0"/>
          <w:numId w:val="43"/>
        </w:numPr>
        <w:rPr>
          <w:b/>
          <w:bCs/>
        </w:rPr>
      </w:pPr>
      <w:r w:rsidRPr="000322E4">
        <w:t>Преднизолон</w:t>
      </w:r>
      <w:r w:rsidRPr="00135B14">
        <w:rPr>
          <w:bCs/>
        </w:rPr>
        <w:t>**</w:t>
      </w:r>
      <w:r w:rsidRPr="00135B14">
        <w:t xml:space="preserve"> 60 </w:t>
      </w:r>
      <w:r w:rsidRPr="000322E4">
        <w:t>мг</w:t>
      </w:r>
      <w:r w:rsidRPr="00135B14">
        <w:t>/</w:t>
      </w:r>
      <w:r w:rsidRPr="000322E4">
        <w:t>м</w:t>
      </w:r>
      <w:r w:rsidRPr="00135B14">
        <w:rPr>
          <w:vertAlign w:val="superscript"/>
        </w:rPr>
        <w:t>2</w:t>
      </w:r>
      <w:r w:rsidRPr="00135B14">
        <w:t xml:space="preserve"> 2 </w:t>
      </w:r>
      <w:r w:rsidRPr="000322E4">
        <w:t>раза</w:t>
      </w:r>
      <w:r w:rsidRPr="00135B14">
        <w:t xml:space="preserve"> </w:t>
      </w:r>
      <w:r w:rsidRPr="000322E4">
        <w:t>в</w:t>
      </w:r>
      <w:r w:rsidRPr="00135B14">
        <w:t xml:space="preserve"> </w:t>
      </w:r>
      <w:r w:rsidRPr="000322E4">
        <w:t>день</w:t>
      </w:r>
      <w:r w:rsidRPr="00135B14">
        <w:t xml:space="preserve"> </w:t>
      </w:r>
      <w:r w:rsidRPr="000322E4">
        <w:t>внутрь</w:t>
      </w:r>
      <w:r w:rsidRPr="00135B14">
        <w:t xml:space="preserve">, </w:t>
      </w:r>
      <w:r w:rsidRPr="000322E4">
        <w:t>дни</w:t>
      </w:r>
      <w:r w:rsidRPr="00135B14">
        <w:t xml:space="preserve"> 1-5</w:t>
      </w:r>
    </w:p>
    <w:p w14:paraId="66E893C4" w14:textId="77777777" w:rsidR="00666D68" w:rsidRPr="00135B14" w:rsidRDefault="00666D68" w:rsidP="008E3584">
      <w:pPr>
        <w:numPr>
          <w:ilvl w:val="0"/>
          <w:numId w:val="43"/>
        </w:numPr>
        <w:rPr>
          <w:b/>
          <w:bCs/>
        </w:rPr>
      </w:pPr>
      <w:r w:rsidRPr="000322E4">
        <w:t>Г</w:t>
      </w:r>
      <w:r w:rsidRPr="00135B14">
        <w:t>-</w:t>
      </w:r>
      <w:r w:rsidRPr="000322E4">
        <w:t>КСФ</w:t>
      </w:r>
      <w:r w:rsidRPr="00135B14">
        <w:t xml:space="preserve"> 5 </w:t>
      </w:r>
      <w:r w:rsidRPr="000322E4">
        <w:t>мкг</w:t>
      </w:r>
      <w:r w:rsidRPr="00135B14">
        <w:t>/</w:t>
      </w:r>
      <w:r w:rsidRPr="000322E4">
        <w:t>кг</w:t>
      </w:r>
      <w:r w:rsidRPr="00135B14">
        <w:t xml:space="preserve"> </w:t>
      </w:r>
      <w:r w:rsidRPr="000322E4">
        <w:t>подкожно</w:t>
      </w:r>
      <w:r w:rsidRPr="00135B14">
        <w:t xml:space="preserve">, </w:t>
      </w:r>
      <w:r w:rsidRPr="000322E4">
        <w:t>начиная</w:t>
      </w:r>
      <w:r w:rsidRPr="00135B14">
        <w:t xml:space="preserve"> </w:t>
      </w:r>
      <w:r w:rsidRPr="000322E4">
        <w:t>с</w:t>
      </w:r>
      <w:r w:rsidRPr="00135B14">
        <w:t xml:space="preserve"> 6-</w:t>
      </w:r>
      <w:r w:rsidRPr="000322E4">
        <w:t>го</w:t>
      </w:r>
      <w:r w:rsidRPr="00135B14">
        <w:t xml:space="preserve"> </w:t>
      </w:r>
      <w:r w:rsidRPr="000322E4">
        <w:t>дня</w:t>
      </w:r>
      <w:r w:rsidRPr="00135B14">
        <w:t xml:space="preserve"> </w:t>
      </w:r>
      <w:r w:rsidRPr="000322E4">
        <w:t>и</w:t>
      </w:r>
      <w:r w:rsidRPr="00135B14">
        <w:t xml:space="preserve"> </w:t>
      </w:r>
      <w:r w:rsidRPr="000322E4">
        <w:t>продолжая</w:t>
      </w:r>
      <w:r w:rsidRPr="00135B14">
        <w:t xml:space="preserve"> </w:t>
      </w:r>
      <w:r w:rsidRPr="000322E4">
        <w:t>до</w:t>
      </w:r>
      <w:r w:rsidRPr="00135B14">
        <w:t xml:space="preserve"> </w:t>
      </w:r>
      <w:r w:rsidRPr="000322E4">
        <w:t>достижения</w:t>
      </w:r>
      <w:r w:rsidRPr="00135B14">
        <w:t xml:space="preserve"> </w:t>
      </w:r>
      <w:r w:rsidRPr="000322E4">
        <w:t>абсолютного</w:t>
      </w:r>
      <w:r w:rsidRPr="00135B14">
        <w:t xml:space="preserve"> </w:t>
      </w:r>
      <w:r w:rsidRPr="000322E4">
        <w:t>уровня</w:t>
      </w:r>
      <w:r w:rsidRPr="00135B14">
        <w:t xml:space="preserve"> </w:t>
      </w:r>
      <w:r w:rsidRPr="000322E4">
        <w:t>нейтрофилов</w:t>
      </w:r>
      <w:r w:rsidRPr="00135B14">
        <w:t xml:space="preserve"> </w:t>
      </w:r>
      <w:r w:rsidRPr="000322E4">
        <w:t>более</w:t>
      </w:r>
      <w:r w:rsidRPr="00135B14">
        <w:t xml:space="preserve">, </w:t>
      </w:r>
      <w:r w:rsidRPr="000322E4">
        <w:t>чем</w:t>
      </w:r>
      <w:r w:rsidRPr="00135B14">
        <w:t xml:space="preserve"> 0,5</w:t>
      </w:r>
      <w:r w:rsidRPr="000322E4">
        <w:t>х</w:t>
      </w:r>
      <w:r w:rsidRPr="00135B14">
        <w:t>10</w:t>
      </w:r>
      <w:r w:rsidRPr="00135B14">
        <w:rPr>
          <w:vertAlign w:val="superscript"/>
        </w:rPr>
        <w:t>9</w:t>
      </w:r>
      <w:r w:rsidRPr="00135B14">
        <w:t>/</w:t>
      </w:r>
      <w:r w:rsidRPr="000322E4">
        <w:t>л</w:t>
      </w:r>
      <w:r w:rsidRPr="00135B14">
        <w:t xml:space="preserve"> </w:t>
      </w:r>
      <w:r w:rsidRPr="000322E4">
        <w:t>после</w:t>
      </w:r>
      <w:r w:rsidRPr="00135B14">
        <w:t xml:space="preserve"> </w:t>
      </w:r>
      <w:r w:rsidRPr="000322E4">
        <w:t>надира</w:t>
      </w:r>
    </w:p>
    <w:p w14:paraId="0379B793" w14:textId="77777777" w:rsidR="00666D68" w:rsidRPr="00135B14" w:rsidRDefault="00666D68" w:rsidP="008E3584">
      <w:pPr>
        <w:ind w:left="360"/>
        <w:rPr>
          <w:b/>
          <w:bCs/>
        </w:rPr>
      </w:pPr>
      <w:r w:rsidRPr="000322E4">
        <w:t>Лечение</w:t>
      </w:r>
      <w:r w:rsidRPr="00135B14">
        <w:t xml:space="preserve"> </w:t>
      </w:r>
      <w:r w:rsidRPr="000322E4">
        <w:t>возобновляется</w:t>
      </w:r>
      <w:r w:rsidRPr="00135B14">
        <w:t xml:space="preserve"> </w:t>
      </w:r>
      <w:r w:rsidRPr="000322E4">
        <w:t>на</w:t>
      </w:r>
      <w:r w:rsidRPr="00135B14">
        <w:t xml:space="preserve"> 22 </w:t>
      </w:r>
      <w:r w:rsidRPr="000322E4">
        <w:t>день</w:t>
      </w:r>
    </w:p>
    <w:p w14:paraId="6F842F0F" w14:textId="77777777" w:rsidR="00666D68" w:rsidRPr="000322E4" w:rsidRDefault="00666D68" w:rsidP="008E3584">
      <w:pPr>
        <w:ind w:left="360"/>
        <w:rPr>
          <w:i/>
          <w:iCs/>
        </w:rPr>
      </w:pPr>
      <w:r w:rsidRPr="000322E4">
        <w:rPr>
          <w:i/>
          <w:iCs/>
        </w:rPr>
        <w:t>В</w:t>
      </w:r>
      <w:r w:rsidRPr="00135B14">
        <w:rPr>
          <w:i/>
          <w:iCs/>
        </w:rPr>
        <w:t xml:space="preserve"> </w:t>
      </w:r>
      <w:r w:rsidRPr="000322E4">
        <w:rPr>
          <w:i/>
          <w:iCs/>
        </w:rPr>
        <w:t>данной</w:t>
      </w:r>
      <w:r w:rsidRPr="00135B14">
        <w:rPr>
          <w:i/>
          <w:iCs/>
        </w:rPr>
        <w:t xml:space="preserve"> </w:t>
      </w:r>
      <w:r w:rsidRPr="000322E4">
        <w:rPr>
          <w:i/>
          <w:iCs/>
        </w:rPr>
        <w:t>дозировке</w:t>
      </w:r>
      <w:r w:rsidRPr="00135B14">
        <w:rPr>
          <w:i/>
          <w:iCs/>
        </w:rPr>
        <w:t xml:space="preserve"> </w:t>
      </w:r>
      <w:r w:rsidRPr="000322E4">
        <w:rPr>
          <w:i/>
          <w:iCs/>
        </w:rPr>
        <w:t>проводится</w:t>
      </w:r>
      <w:r w:rsidRPr="00135B14">
        <w:rPr>
          <w:i/>
          <w:iCs/>
        </w:rPr>
        <w:t xml:space="preserve"> 1 </w:t>
      </w:r>
      <w:r w:rsidRPr="000322E4">
        <w:rPr>
          <w:i/>
          <w:iCs/>
        </w:rPr>
        <w:t>курс</w:t>
      </w:r>
      <w:r w:rsidRPr="00135B14">
        <w:rPr>
          <w:i/>
          <w:iCs/>
        </w:rPr>
        <w:t xml:space="preserve">. </w:t>
      </w:r>
      <w:r w:rsidRPr="000322E4">
        <w:rPr>
          <w:i/>
          <w:iCs/>
        </w:rPr>
        <w:t>Далее дозы этопозида, доксорубицина и циклофосфана корректируются относительно предыдущего в зависимости от низшего уровня показателей крови, определенных во время и после проведения курса, по следующей схеме:</w:t>
      </w:r>
    </w:p>
    <w:p w14:paraId="3D0E362E" w14:textId="77777777" w:rsidR="00666D68" w:rsidRPr="000322E4" w:rsidRDefault="00666D68" w:rsidP="008E3584">
      <w:pPr>
        <w:numPr>
          <w:ilvl w:val="0"/>
          <w:numId w:val="44"/>
        </w:numPr>
        <w:rPr>
          <w:i/>
          <w:iCs/>
        </w:rPr>
      </w:pPr>
      <w:r w:rsidRPr="000322E4">
        <w:rPr>
          <w:i/>
          <w:iCs/>
        </w:rPr>
        <w:t>нейтрофилы выше 0,5 х 10</w:t>
      </w:r>
      <w:r w:rsidRPr="000322E4">
        <w:rPr>
          <w:i/>
          <w:iCs/>
          <w:vertAlign w:val="superscript"/>
        </w:rPr>
        <w:t>9</w:t>
      </w:r>
      <w:r w:rsidRPr="000322E4">
        <w:rPr>
          <w:i/>
          <w:iCs/>
        </w:rPr>
        <w:t>/л, тромбоциты выше 25 х 10</w:t>
      </w:r>
      <w:r w:rsidRPr="000322E4">
        <w:rPr>
          <w:i/>
          <w:iCs/>
          <w:vertAlign w:val="superscript"/>
        </w:rPr>
        <w:t>9</w:t>
      </w:r>
      <w:r w:rsidRPr="000322E4">
        <w:rPr>
          <w:i/>
          <w:iCs/>
        </w:rPr>
        <w:t>/л – увеличение доз на 25%</w:t>
      </w:r>
    </w:p>
    <w:p w14:paraId="6541538E" w14:textId="77777777" w:rsidR="00666D68" w:rsidRPr="000322E4" w:rsidRDefault="00666D68" w:rsidP="008E3584">
      <w:pPr>
        <w:numPr>
          <w:ilvl w:val="0"/>
          <w:numId w:val="44"/>
        </w:numPr>
        <w:rPr>
          <w:i/>
          <w:iCs/>
        </w:rPr>
      </w:pPr>
      <w:r w:rsidRPr="000322E4">
        <w:rPr>
          <w:i/>
          <w:iCs/>
        </w:rPr>
        <w:t>нейтрофилы менее 0,5 х 10</w:t>
      </w:r>
      <w:r w:rsidRPr="000322E4">
        <w:rPr>
          <w:i/>
          <w:iCs/>
          <w:vertAlign w:val="superscript"/>
        </w:rPr>
        <w:t>9</w:t>
      </w:r>
      <w:r w:rsidRPr="000322E4">
        <w:rPr>
          <w:i/>
          <w:iCs/>
        </w:rPr>
        <w:t>/л при 1-2 измерениях, тромбоциты выше 25 х 10</w:t>
      </w:r>
      <w:r w:rsidRPr="000322E4">
        <w:rPr>
          <w:i/>
          <w:iCs/>
          <w:vertAlign w:val="superscript"/>
        </w:rPr>
        <w:t>9</w:t>
      </w:r>
      <w:r w:rsidRPr="000322E4">
        <w:rPr>
          <w:i/>
          <w:iCs/>
        </w:rPr>
        <w:t>/л – сохранение доз предыдущего курса</w:t>
      </w:r>
    </w:p>
    <w:p w14:paraId="162F6E6B" w14:textId="77777777" w:rsidR="00666D68" w:rsidRPr="000322E4" w:rsidRDefault="00666D68" w:rsidP="008E3584">
      <w:pPr>
        <w:numPr>
          <w:ilvl w:val="0"/>
          <w:numId w:val="44"/>
        </w:numPr>
        <w:rPr>
          <w:i/>
          <w:iCs/>
        </w:rPr>
      </w:pPr>
      <w:r w:rsidRPr="000322E4">
        <w:rPr>
          <w:i/>
          <w:iCs/>
        </w:rPr>
        <w:t>нейтрофилы менее 0,5 х 10</w:t>
      </w:r>
      <w:r w:rsidRPr="000322E4">
        <w:rPr>
          <w:i/>
          <w:iCs/>
          <w:vertAlign w:val="superscript"/>
        </w:rPr>
        <w:t>9</w:t>
      </w:r>
      <w:r w:rsidRPr="000322E4">
        <w:rPr>
          <w:i/>
          <w:iCs/>
        </w:rPr>
        <w:t xml:space="preserve"> при 3 и более измерениях, тромбоциты ниже 25 х 10</w:t>
      </w:r>
      <w:r w:rsidRPr="000322E4">
        <w:rPr>
          <w:i/>
          <w:iCs/>
          <w:vertAlign w:val="superscript"/>
        </w:rPr>
        <w:t>9</w:t>
      </w:r>
      <w:r w:rsidRPr="000322E4">
        <w:rPr>
          <w:i/>
          <w:iCs/>
        </w:rPr>
        <w:t>/л – редукция доз на 25%</w:t>
      </w:r>
    </w:p>
    <w:p w14:paraId="34ABADB4" w14:textId="77777777" w:rsidR="00666D68" w:rsidRPr="000322E4" w:rsidRDefault="00666D68" w:rsidP="008E3584">
      <w:pPr>
        <w:pStyle w:val="afd"/>
        <w:spacing w:beforeAutospacing="0" w:afterAutospacing="0" w:line="360" w:lineRule="auto"/>
        <w:ind w:firstLine="0"/>
        <w:rPr>
          <w:b/>
          <w:bCs/>
          <w:u w:val="single"/>
        </w:rPr>
      </w:pPr>
      <w:r w:rsidRPr="000322E4">
        <w:rPr>
          <w:b/>
          <w:bCs/>
          <w:u w:val="single"/>
        </w:rPr>
        <w:t xml:space="preserve">А3.1.2 Программы лечения лимфомы Беркитта </w:t>
      </w:r>
    </w:p>
    <w:p w14:paraId="39339A06" w14:textId="77777777" w:rsidR="00666D68" w:rsidRPr="000322E4" w:rsidRDefault="00666D68" w:rsidP="008E3584">
      <w:r w:rsidRPr="000322E4">
        <w:rPr>
          <w:b/>
        </w:rPr>
        <w:t>ЛБ-М-04</w:t>
      </w:r>
      <w:r w:rsidRPr="000322E4">
        <w:t xml:space="preserve"> </w:t>
      </w:r>
      <w:r w:rsidR="00E13065" w:rsidRPr="000322E4">
        <w:fldChar w:fldCharType="begin" w:fldLock="1"/>
      </w:r>
      <w:r w:rsidR="00C37789" w:rsidRPr="000322E4">
        <w:instrText>ADDIN CSL_CITATION {"citationItems":[{"id":"ITEM-1","itemData":{"author":[{"dropping-particle":"","family":"Барях","given":"Е.А.","non-dropping-particle":"","parse-names":false,"suffix":""},{"dropping-particle":"","family":"Кравченко","given":"С.К.","non-dropping-particle":"","parse-names":false,"suffix":""},{"dropping-particle":"","family":"Кременецкая","given":"А.М.","non-dropping-particle":"","parse-names":false,"suffix":""},{"dropping-particle":"","family":"Звонков","given":"Е.Е.","non-dropping-particle":"","parse-names":false,"suffix":""},{"dropping-particle":"","family":"Магомедова","given":"А.У.","non-dropping-particle":"","parse-names":false,"suffix":""},{"dropping-particle":"","family":"Обухова","given":"Т.Н.","non-dropping-particle":"","parse-names":false,"suffix":""},{"dropping-particle":"","family":"Попова","given":"Ю.Ю.","non-dropping-particle":"","parse-names":false,"suffix":""},{"dropping-particle":"","family":"Финк","given":"О.С.","non-dropping-particle":"","parse-names":false,"suffix":""},{"dropping-particle":"","family":"Клясова","given":"Г.А.","non-dropping-particle":"","parse-names":false,"suffix":""},{"dropping-particle":"","family":"Шулутко","given":"Е.М.","non-dropping-particle":"","parse-names":false,"suffix":""},{"dropping-particle":"","family":"Галстян","given":"Г.М.","non-dropping-particle":"","parse-names":false,"suffix":""},{"dropping-particle":"","family":"Капланская","given":"И.Б.","non-dropping-particle":"","parse-names":false,"suffix":""},{"dropping-particle":"","family":"Воробьев","given":"И.А.","non-dropping-particle":"","parse-names":false,"suffix":""},{"dropping-particle":"","family":"Воробьев","given":"А.И.","non-dropping-particle":"","parse-names":false,"suffix":""}],"container-title":"Клиническая онкогематология. Фундаментальные исследования и клиническая практика","id":"ITEM-1","issue":"2","issued":{"date-parts":[["2010"]]},"page":"138-143","title":"Лейкоз/лимфома Беркитта: клинические особенности, диагностические критерии, терапевтическая тактика","type":"article-journal","volume":"3"},"uris":["http://www.mendeley.com/documents/?uuid=ca97d2c7-6100-4926-b460-c64743fdc29b"]}],"mendeley":{"formattedCitation":"[90]","plainTextFormattedCitation":"[90]","previouslyFormattedCitation":"[90]"},"properties":{"noteIndex":0},"schema":"https://github.com/citation-style-language/schema/raw/master/csl-citation.json"}</w:instrText>
      </w:r>
      <w:r w:rsidR="00E13065" w:rsidRPr="000322E4">
        <w:fldChar w:fldCharType="separate"/>
      </w:r>
      <w:r w:rsidR="00C37789" w:rsidRPr="000322E4">
        <w:rPr>
          <w:noProof/>
        </w:rPr>
        <w:t>[90]</w:t>
      </w:r>
      <w:r w:rsidR="00E13065" w:rsidRPr="000322E4">
        <w:fldChar w:fldCharType="end"/>
      </w:r>
    </w:p>
    <w:p w14:paraId="0BA8A489" w14:textId="77777777" w:rsidR="00666D68" w:rsidRPr="000322E4" w:rsidRDefault="00666D68" w:rsidP="008E3584">
      <w:r w:rsidRPr="000322E4">
        <w:t>Схема лечения: предфаза – А – С – А – С.</w:t>
      </w:r>
    </w:p>
    <w:p w14:paraId="5FBCD2C4" w14:textId="77777777" w:rsidR="00666D68" w:rsidRPr="000322E4" w:rsidRDefault="00666D68" w:rsidP="008E3584">
      <w:pPr>
        <w:rPr>
          <w:b/>
        </w:rPr>
      </w:pPr>
      <w:r w:rsidRPr="000322E4">
        <w:rPr>
          <w:b/>
        </w:rPr>
        <w:t>Предфаза:</w:t>
      </w:r>
    </w:p>
    <w:p w14:paraId="69EE8F7A" w14:textId="77777777" w:rsidR="00666D68" w:rsidRPr="000322E4" w:rsidRDefault="00666D68" w:rsidP="009F7A84">
      <w:pPr>
        <w:widowControl w:val="0"/>
        <w:numPr>
          <w:ilvl w:val="0"/>
          <w:numId w:val="55"/>
        </w:numPr>
        <w:autoSpaceDE w:val="0"/>
        <w:autoSpaceDN w:val="0"/>
        <w:adjustRightInd w:val="0"/>
      </w:pPr>
      <w:r w:rsidRPr="000322E4">
        <w:t>Циклофосфамид** 200 мг/м</w:t>
      </w:r>
      <w:r w:rsidRPr="000322E4">
        <w:rPr>
          <w:vertAlign w:val="superscript"/>
        </w:rPr>
        <w:t>2</w:t>
      </w:r>
      <w:r w:rsidRPr="000322E4">
        <w:t xml:space="preserve"> в/в, 1–5-й дни</w:t>
      </w:r>
    </w:p>
    <w:p w14:paraId="00033934" w14:textId="77777777" w:rsidR="00666D68" w:rsidRPr="000322E4" w:rsidRDefault="00666D68" w:rsidP="009F7A84">
      <w:pPr>
        <w:widowControl w:val="0"/>
        <w:numPr>
          <w:ilvl w:val="0"/>
          <w:numId w:val="55"/>
        </w:numPr>
        <w:autoSpaceDE w:val="0"/>
        <w:autoSpaceDN w:val="0"/>
        <w:adjustRightInd w:val="0"/>
      </w:pPr>
      <w:r w:rsidRPr="000322E4">
        <w:t xml:space="preserve">Дексаметазон** </w:t>
      </w:r>
      <w:r w:rsidR="00FE2B46" w:rsidRPr="000322E4">
        <w:t>2</w:t>
      </w:r>
      <w:r w:rsidRPr="000322E4">
        <w:t>0 мг в/в, 1–5-й дни</w:t>
      </w:r>
    </w:p>
    <w:p w14:paraId="16B6395D" w14:textId="77777777" w:rsidR="00666D68" w:rsidRPr="000322E4" w:rsidRDefault="00666D68" w:rsidP="008E3584">
      <w:r w:rsidRPr="000322E4">
        <w:rPr>
          <w:b/>
        </w:rPr>
        <w:t>Блок А</w:t>
      </w:r>
      <w:r w:rsidRPr="000322E4">
        <w:t>:</w:t>
      </w:r>
    </w:p>
    <w:p w14:paraId="67C36479" w14:textId="77777777" w:rsidR="00666D68" w:rsidRPr="000322E4" w:rsidRDefault="00666D68" w:rsidP="009F7A84">
      <w:pPr>
        <w:widowControl w:val="0"/>
        <w:numPr>
          <w:ilvl w:val="0"/>
          <w:numId w:val="54"/>
        </w:numPr>
        <w:autoSpaceDE w:val="0"/>
        <w:autoSpaceDN w:val="0"/>
        <w:adjustRightInd w:val="0"/>
      </w:pPr>
      <w:r w:rsidRPr="000322E4">
        <w:t>Ифосфамид** 800 мг/м</w:t>
      </w:r>
      <w:r w:rsidRPr="000322E4">
        <w:rPr>
          <w:vertAlign w:val="superscript"/>
        </w:rPr>
        <w:t>2</w:t>
      </w:r>
      <w:r w:rsidRPr="000322E4">
        <w:t xml:space="preserve"> в/в, 1–5-й дни</w:t>
      </w:r>
    </w:p>
    <w:p w14:paraId="4DF26CC1" w14:textId="77777777" w:rsidR="00666D68" w:rsidRPr="000322E4" w:rsidRDefault="00666D68" w:rsidP="009F7A84">
      <w:pPr>
        <w:widowControl w:val="0"/>
        <w:numPr>
          <w:ilvl w:val="0"/>
          <w:numId w:val="54"/>
        </w:numPr>
        <w:autoSpaceDE w:val="0"/>
        <w:autoSpaceDN w:val="0"/>
        <w:adjustRightInd w:val="0"/>
      </w:pPr>
      <w:r w:rsidRPr="000322E4">
        <w:t>Метотрексат** 1,5 г/м</w:t>
      </w:r>
      <w:r w:rsidRPr="000322E4">
        <w:rPr>
          <w:vertAlign w:val="superscript"/>
        </w:rPr>
        <w:t>2</w:t>
      </w:r>
      <w:r w:rsidRPr="000322E4">
        <w:t xml:space="preserve"> в/в (в течение 12 ч), 1-й день</w:t>
      </w:r>
    </w:p>
    <w:p w14:paraId="684314C2" w14:textId="77777777" w:rsidR="00666D68" w:rsidRPr="000322E4" w:rsidRDefault="00F35A3E" w:rsidP="009F7A84">
      <w:pPr>
        <w:widowControl w:val="0"/>
        <w:numPr>
          <w:ilvl w:val="0"/>
          <w:numId w:val="54"/>
        </w:numPr>
        <w:autoSpaceDE w:val="0"/>
        <w:autoSpaceDN w:val="0"/>
        <w:adjustRightInd w:val="0"/>
      </w:pPr>
      <w:r w:rsidRPr="00F35A3E">
        <w:t>#</w:t>
      </w:r>
      <w:r w:rsidR="00666D68" w:rsidRPr="000322E4">
        <w:t xml:space="preserve">Винкристин** </w:t>
      </w:r>
      <w:r w:rsidR="00FE2B46" w:rsidRPr="000322E4">
        <w:t xml:space="preserve">2 мг </w:t>
      </w:r>
      <w:r w:rsidR="00E13065" w:rsidRPr="000322E4">
        <w:rPr>
          <w:sz w:val="26"/>
          <w:szCs w:val="26"/>
        </w:rPr>
        <w:t>в/в струйно в 1 день</w:t>
      </w:r>
    </w:p>
    <w:p w14:paraId="70803ED9" w14:textId="77777777" w:rsidR="00666D68" w:rsidRPr="000322E4" w:rsidRDefault="00666D68" w:rsidP="009F7A84">
      <w:pPr>
        <w:widowControl w:val="0"/>
        <w:numPr>
          <w:ilvl w:val="0"/>
          <w:numId w:val="54"/>
        </w:numPr>
        <w:autoSpaceDE w:val="0"/>
        <w:autoSpaceDN w:val="0"/>
        <w:adjustRightInd w:val="0"/>
      </w:pPr>
      <w:r w:rsidRPr="000322E4">
        <w:t>Доксорубицин** 50 мг/м</w:t>
      </w:r>
      <w:r w:rsidRPr="000322E4">
        <w:rPr>
          <w:vertAlign w:val="superscript"/>
        </w:rPr>
        <w:t>2</w:t>
      </w:r>
      <w:r w:rsidRPr="000322E4">
        <w:t xml:space="preserve"> в/в, 3-й день</w:t>
      </w:r>
    </w:p>
    <w:p w14:paraId="02F80C03" w14:textId="77777777" w:rsidR="00666D68" w:rsidRPr="000322E4" w:rsidRDefault="00666D68" w:rsidP="009F7A84">
      <w:pPr>
        <w:widowControl w:val="0"/>
        <w:numPr>
          <w:ilvl w:val="0"/>
          <w:numId w:val="54"/>
        </w:numPr>
        <w:autoSpaceDE w:val="0"/>
        <w:autoSpaceDN w:val="0"/>
        <w:adjustRightInd w:val="0"/>
      </w:pPr>
      <w:r w:rsidRPr="000322E4">
        <w:t>Цитарабин** 150 мг/м</w:t>
      </w:r>
      <w:r w:rsidRPr="000322E4">
        <w:rPr>
          <w:vertAlign w:val="superscript"/>
        </w:rPr>
        <w:t>2</w:t>
      </w:r>
      <w:r w:rsidRPr="000322E4">
        <w:t xml:space="preserve"> в/в каждые 12 ч, 4–5-й дни (всего 4 введения)</w:t>
      </w:r>
    </w:p>
    <w:p w14:paraId="00F18844" w14:textId="77777777" w:rsidR="00666D68" w:rsidRPr="000322E4" w:rsidRDefault="00666D68" w:rsidP="009F7A84">
      <w:pPr>
        <w:widowControl w:val="0"/>
        <w:numPr>
          <w:ilvl w:val="0"/>
          <w:numId w:val="54"/>
        </w:numPr>
        <w:autoSpaceDE w:val="0"/>
        <w:autoSpaceDN w:val="0"/>
        <w:adjustRightInd w:val="0"/>
      </w:pPr>
      <w:r w:rsidRPr="000322E4">
        <w:t>Этопозид** 100 мг/м</w:t>
      </w:r>
      <w:r w:rsidRPr="000322E4">
        <w:rPr>
          <w:vertAlign w:val="superscript"/>
        </w:rPr>
        <w:t>2</w:t>
      </w:r>
      <w:r w:rsidRPr="000322E4">
        <w:t xml:space="preserve"> в/в, 4–5-й дни</w:t>
      </w:r>
    </w:p>
    <w:p w14:paraId="4D053C85" w14:textId="77777777" w:rsidR="00666D68" w:rsidRPr="000322E4" w:rsidRDefault="00666D68" w:rsidP="009F7A84">
      <w:pPr>
        <w:widowControl w:val="0"/>
        <w:numPr>
          <w:ilvl w:val="0"/>
          <w:numId w:val="54"/>
        </w:numPr>
        <w:autoSpaceDE w:val="0"/>
        <w:autoSpaceDN w:val="0"/>
        <w:adjustRightInd w:val="0"/>
      </w:pPr>
      <w:r w:rsidRPr="000322E4">
        <w:t>Дексаметазон** 10 мг/м</w:t>
      </w:r>
      <w:r w:rsidRPr="000322E4">
        <w:rPr>
          <w:vertAlign w:val="superscript"/>
        </w:rPr>
        <w:t>2</w:t>
      </w:r>
      <w:r w:rsidRPr="000322E4">
        <w:t xml:space="preserve"> в/в, 1–5-й дни</w:t>
      </w:r>
    </w:p>
    <w:p w14:paraId="5CEFA468" w14:textId="77777777" w:rsidR="00666D68" w:rsidRPr="000322E4" w:rsidRDefault="00666D68" w:rsidP="008E3584">
      <w:pPr>
        <w:rPr>
          <w:b/>
        </w:rPr>
      </w:pPr>
      <w:r w:rsidRPr="000322E4">
        <w:rPr>
          <w:b/>
        </w:rPr>
        <w:t>Блок С:</w:t>
      </w:r>
    </w:p>
    <w:p w14:paraId="70831EAB" w14:textId="77777777" w:rsidR="00666D68" w:rsidRPr="000322E4" w:rsidRDefault="00666D68" w:rsidP="009F7A84">
      <w:pPr>
        <w:widowControl w:val="0"/>
        <w:numPr>
          <w:ilvl w:val="0"/>
          <w:numId w:val="54"/>
        </w:numPr>
        <w:autoSpaceDE w:val="0"/>
        <w:autoSpaceDN w:val="0"/>
        <w:adjustRightInd w:val="0"/>
      </w:pPr>
      <w:r w:rsidRPr="000322E4">
        <w:lastRenderedPageBreak/>
        <w:t>Метотрексат** 1,5 г/м</w:t>
      </w:r>
      <w:r w:rsidRPr="000322E4">
        <w:rPr>
          <w:vertAlign w:val="superscript"/>
        </w:rPr>
        <w:t>2</w:t>
      </w:r>
      <w:r w:rsidRPr="000322E4">
        <w:t xml:space="preserve"> в/в (в течение 12 ч), 1-й день</w:t>
      </w:r>
    </w:p>
    <w:p w14:paraId="713C6DBF" w14:textId="77777777" w:rsidR="00666D68" w:rsidRPr="000322E4" w:rsidRDefault="00666D68" w:rsidP="009F7A84">
      <w:pPr>
        <w:widowControl w:val="0"/>
        <w:numPr>
          <w:ilvl w:val="0"/>
          <w:numId w:val="54"/>
        </w:numPr>
        <w:autoSpaceDE w:val="0"/>
        <w:autoSpaceDN w:val="0"/>
        <w:adjustRightInd w:val="0"/>
      </w:pPr>
      <w:r w:rsidRPr="000322E4">
        <w:t xml:space="preserve">Винбластин** </w:t>
      </w:r>
      <w:r w:rsidR="00FE2B46" w:rsidRPr="000322E4">
        <w:t xml:space="preserve">10 </w:t>
      </w:r>
      <w:r w:rsidRPr="000322E4">
        <w:t>мг в/в, 1-й день</w:t>
      </w:r>
    </w:p>
    <w:p w14:paraId="364B1A52" w14:textId="77777777" w:rsidR="00666D68" w:rsidRPr="000322E4" w:rsidRDefault="00666D68" w:rsidP="009F7A84">
      <w:pPr>
        <w:widowControl w:val="0"/>
        <w:numPr>
          <w:ilvl w:val="0"/>
          <w:numId w:val="54"/>
        </w:numPr>
        <w:autoSpaceDE w:val="0"/>
        <w:autoSpaceDN w:val="0"/>
        <w:adjustRightInd w:val="0"/>
      </w:pPr>
      <w:r w:rsidRPr="000322E4">
        <w:t>Цитарабин** 2 г/м</w:t>
      </w:r>
      <w:r w:rsidRPr="000322E4">
        <w:rPr>
          <w:vertAlign w:val="superscript"/>
        </w:rPr>
        <w:t>2</w:t>
      </w:r>
      <w:r w:rsidRPr="000322E4">
        <w:t xml:space="preserve"> в/в каждые 12 ч, 2–3-й дни (всего 4 введения)</w:t>
      </w:r>
    </w:p>
    <w:p w14:paraId="7A3D7ED9" w14:textId="77777777" w:rsidR="00666D68" w:rsidRPr="000322E4" w:rsidRDefault="00666D68" w:rsidP="009F7A84">
      <w:pPr>
        <w:widowControl w:val="0"/>
        <w:numPr>
          <w:ilvl w:val="0"/>
          <w:numId w:val="54"/>
        </w:numPr>
        <w:autoSpaceDE w:val="0"/>
        <w:autoSpaceDN w:val="0"/>
        <w:adjustRightInd w:val="0"/>
      </w:pPr>
      <w:r w:rsidRPr="000322E4">
        <w:t>Этопозид** 150 мг/м</w:t>
      </w:r>
      <w:r w:rsidRPr="000322E4">
        <w:rPr>
          <w:vertAlign w:val="superscript"/>
        </w:rPr>
        <w:t>2</w:t>
      </w:r>
      <w:r w:rsidRPr="000322E4">
        <w:t xml:space="preserve"> в/в, 3–5-й дни</w:t>
      </w:r>
    </w:p>
    <w:p w14:paraId="24383A7A" w14:textId="77777777" w:rsidR="00666D68" w:rsidRPr="000322E4" w:rsidRDefault="00666D68" w:rsidP="009F7A84">
      <w:pPr>
        <w:widowControl w:val="0"/>
        <w:numPr>
          <w:ilvl w:val="0"/>
          <w:numId w:val="54"/>
        </w:numPr>
        <w:autoSpaceDE w:val="0"/>
        <w:autoSpaceDN w:val="0"/>
        <w:adjustRightInd w:val="0"/>
      </w:pPr>
      <w:r w:rsidRPr="000322E4">
        <w:t xml:space="preserve">Дексаметазон** </w:t>
      </w:r>
      <w:r w:rsidR="00FE2B46" w:rsidRPr="000322E4">
        <w:t xml:space="preserve">20 </w:t>
      </w:r>
      <w:r w:rsidRPr="000322E4">
        <w:t>мг в/в, 1–5-й дни</w:t>
      </w:r>
    </w:p>
    <w:p w14:paraId="1C2826AD" w14:textId="77777777" w:rsidR="00666D68" w:rsidRPr="000322E4" w:rsidRDefault="00666D68" w:rsidP="008E3584">
      <w:r w:rsidRPr="000322E4">
        <w:t>Профилактику нейролейкемии проводят в 1-й день предфазы и в 1-й день каждого блока в виде интратекального введения ХТ: цитарабин** 30 мг, метотрексат** 15 мг, преднизолон** 30 мг.</w:t>
      </w:r>
    </w:p>
    <w:p w14:paraId="4B6071D8" w14:textId="77777777" w:rsidR="00666D68" w:rsidRPr="000322E4" w:rsidRDefault="00666D68" w:rsidP="008E3584">
      <w:r w:rsidRPr="000322E4">
        <w:t>Ритуксимаб** 375 мг/м</w:t>
      </w:r>
      <w:r w:rsidRPr="000322E4">
        <w:rPr>
          <w:vertAlign w:val="superscript"/>
        </w:rPr>
        <w:t>2</w:t>
      </w:r>
      <w:r w:rsidRPr="000322E4">
        <w:t xml:space="preserve"> вводят в 0-й день каждого блока (всего 4 введения) </w:t>
      </w:r>
    </w:p>
    <w:p w14:paraId="4DFC51BF" w14:textId="77777777" w:rsidR="00666D68" w:rsidRPr="000322E4" w:rsidRDefault="00666D68" w:rsidP="008E3584">
      <w:pPr>
        <w:rPr>
          <w:b/>
        </w:rPr>
      </w:pPr>
    </w:p>
    <w:p w14:paraId="63D8E3E7" w14:textId="4F6FA11A" w:rsidR="00666D68" w:rsidRPr="000322E4" w:rsidRDefault="00666D68" w:rsidP="008E3584">
      <w:pPr>
        <w:rPr>
          <w:b/>
        </w:rPr>
      </w:pPr>
      <w:r w:rsidRPr="000322E4">
        <w:rPr>
          <w:b/>
          <w:lang w:val="en-US"/>
        </w:rPr>
        <w:t>R-Hyper-CVAD/R-HMA</w:t>
      </w:r>
      <w:r w:rsidR="00B7749F" w:rsidRPr="000322E4">
        <w:rPr>
          <w:b/>
          <w:lang w:val="en-US"/>
        </w:rPr>
        <w:t xml:space="preserve"> </w:t>
      </w:r>
      <w:r w:rsidR="00B7749F" w:rsidRPr="000322E4">
        <w:rPr>
          <w:b/>
        </w:rPr>
        <w:fldChar w:fldCharType="begin" w:fldLock="1"/>
      </w:r>
      <w:r w:rsidR="00E974B2">
        <w:rPr>
          <w:b/>
          <w:lang w:val="en-US"/>
        </w:rPr>
        <w:instrText>ADDIN CSL_CITATION {"citationItems":[{"id":"ITEM-1","itemData":{"DOI":"10.1002/cncr.21776","ISSN":"0008543X","abstract":"BACKGROUND. Adult Burkitt-type lymphoma (BL) and acute lymphoblastic leukemia (B-ALL) are rare entities composing 1% to 5% of non-Hodgkin lymphomas NHL) or ALL. Prognosis of BL and B-ALL has been poor with conventional NHL or ALL regimens, but has improved with dose-intensive regimens. METHODS. To evaluate the addition of rituximab, a CD20 monoclonal antibody, to intensive chemotherapy in adults with BL or B-ALL, 31 patients with newly diagnosed BL or B-ALL received the hyper-fractionated cyclophosphamide, vincristine, doxorubicin, and dexamethasone (hyper-CVAD) regimen with rituximab. Their median age was 46 years; 29% were 60 years or older. Rituximab 375 mg/m2 was given on Days 1 and 11 of hyper-CVAD courses and on Days 1 and 8 of methotrexate and cytarabine courses. RESULTS. Complete remission (complete response [CR]) was achieved in 24 of 28 (86%) evaluable patients; 3 had a partial response, and 1 had resistant disease. There were no induction deaths. The 3-year overall survival (OS), event-free survival, and disease-free survival rates were 89%, 80%, and 88%, respectively. Nine elderly patients achieved CR with all of them in continuous CR (except 1 death in CR from infection), with a 3-year OS rate of 89%. Multivariate analysis of current and historical (those treated with hyper-CVAD alone) groups identified age and treatment with rituximab as favorable factors. CONCLUSIONS. The addition of rituximab to hyper-CVAD may improve outcome in adult BL or B-ALL, particularly in elderly patients. © 2006 American Cancer Society.","author":[{"dropping-particle":"","family":"Thomas","given":"Deborah A.","non-dropping-particle":"","parse-names":false,"suffix":""},{"dropping-particle":"","family":"Faderl","given":"Stefan","non-dropping-particle":"","parse-names":false,"suffix":""},{"dropping-particle":"","family":"O'Brien","given":"Susan","non-dropping-particle":"","parse-names":false,"suffix":""},{"dropping-particle":"","family":"Bueso-Ramos","given":"Carlos","non-dropping-particle":"","parse-names":false,"suffix":""},{"dropping-particle":"","family":"Cortes","given":"Jorge","non-dropping-particle":"","parse-names":false,"suffix":""},{"dropping-particle":"","family":"Garcia-Manero","given":"Guillermo","non-dropping-particle":"","parse-names":false,"suffix":""},{"dropping-particle":"","family":"Giles","given":"Francis J.","non-dropping-particle":"","parse-names":false,"suffix":""},{"dropping-particle":"","family":"Verstovsek","given":"Srdan","non-dropping-particle":"","parse-names":false,"suffix":""},{"dropping-particle":"","family":"Wierda","given":"William G.","non-dropping-particle":"","parse-names":false,"suffix</w:instrText>
      </w:r>
      <w:r w:rsidR="00E974B2" w:rsidRPr="006447F6">
        <w:rPr>
          <w:b/>
          <w:lang w:val="en-US"/>
        </w:rPr>
        <w:instrText>":""},{"</w:instrText>
      </w:r>
      <w:r w:rsidR="00E974B2">
        <w:rPr>
          <w:b/>
          <w:lang w:val="en-US"/>
        </w:rPr>
        <w:instrText>dropping</w:instrText>
      </w:r>
      <w:r w:rsidR="00E974B2" w:rsidRPr="006447F6">
        <w:rPr>
          <w:b/>
          <w:lang w:val="en-US"/>
        </w:rPr>
        <w:instrText>-</w:instrText>
      </w:r>
      <w:r w:rsidR="00E974B2">
        <w:rPr>
          <w:b/>
          <w:lang w:val="en-US"/>
        </w:rPr>
        <w:instrText>particle</w:instrText>
      </w:r>
      <w:r w:rsidR="00E974B2" w:rsidRPr="006447F6">
        <w:rPr>
          <w:b/>
          <w:lang w:val="en-US"/>
        </w:rPr>
        <w:instrText>":"","</w:instrText>
      </w:r>
      <w:r w:rsidR="00E974B2">
        <w:rPr>
          <w:b/>
          <w:lang w:val="en-US"/>
        </w:rPr>
        <w:instrText>family</w:instrText>
      </w:r>
      <w:r w:rsidR="00E974B2" w:rsidRPr="006447F6">
        <w:rPr>
          <w:b/>
          <w:lang w:val="en-US"/>
        </w:rPr>
        <w:instrText>":"</w:instrText>
      </w:r>
      <w:r w:rsidR="00E974B2">
        <w:rPr>
          <w:b/>
          <w:lang w:val="en-US"/>
        </w:rPr>
        <w:instrText>Pierce</w:instrText>
      </w:r>
      <w:r w:rsidR="00E974B2" w:rsidRPr="006447F6">
        <w:rPr>
          <w:b/>
          <w:lang w:val="en-US"/>
        </w:rPr>
        <w:instrText>","</w:instrText>
      </w:r>
      <w:r w:rsidR="00E974B2">
        <w:rPr>
          <w:b/>
          <w:lang w:val="en-US"/>
        </w:rPr>
        <w:instrText>given</w:instrText>
      </w:r>
      <w:r w:rsidR="00E974B2" w:rsidRPr="006447F6">
        <w:rPr>
          <w:b/>
          <w:lang w:val="en-US"/>
        </w:rPr>
        <w:instrText>":"</w:instrText>
      </w:r>
      <w:r w:rsidR="00E974B2">
        <w:rPr>
          <w:b/>
          <w:lang w:val="en-US"/>
        </w:rPr>
        <w:instrText>Sherry</w:instrText>
      </w:r>
      <w:r w:rsidR="00E974B2" w:rsidRPr="006447F6">
        <w:rPr>
          <w:b/>
          <w:lang w:val="en-US"/>
        </w:rPr>
        <w:instrText xml:space="preserve"> </w:instrText>
      </w:r>
      <w:r w:rsidR="00E974B2">
        <w:rPr>
          <w:b/>
          <w:lang w:val="en-US"/>
        </w:rPr>
        <w:instrText>A</w:instrText>
      </w:r>
      <w:r w:rsidR="00E974B2" w:rsidRPr="006447F6">
        <w:rPr>
          <w:b/>
          <w:lang w:val="en-US"/>
        </w:rPr>
        <w:instrText>.","</w:instrText>
      </w:r>
      <w:r w:rsidR="00E974B2">
        <w:rPr>
          <w:b/>
          <w:lang w:val="en-US"/>
        </w:rPr>
        <w:instrText>non</w:instrText>
      </w:r>
      <w:r w:rsidR="00E974B2" w:rsidRPr="006447F6">
        <w:rPr>
          <w:b/>
          <w:lang w:val="en-US"/>
        </w:rPr>
        <w:instrText>-</w:instrText>
      </w:r>
      <w:r w:rsidR="00E974B2">
        <w:rPr>
          <w:b/>
          <w:lang w:val="en-US"/>
        </w:rPr>
        <w:instrText>dropping</w:instrText>
      </w:r>
      <w:r w:rsidR="00E974B2" w:rsidRPr="006447F6">
        <w:rPr>
          <w:b/>
          <w:lang w:val="en-US"/>
        </w:rPr>
        <w:instrText>-</w:instrText>
      </w:r>
      <w:r w:rsidR="00E974B2">
        <w:rPr>
          <w:b/>
          <w:lang w:val="en-US"/>
        </w:rPr>
        <w:instrText>particle</w:instrText>
      </w:r>
      <w:r w:rsidR="00E974B2" w:rsidRPr="006447F6">
        <w:rPr>
          <w:b/>
          <w:lang w:val="en-US"/>
        </w:rPr>
        <w:instrText>":"","</w:instrText>
      </w:r>
      <w:r w:rsidR="00E974B2">
        <w:rPr>
          <w:b/>
          <w:lang w:val="en-US"/>
        </w:rPr>
        <w:instrText>parse</w:instrText>
      </w:r>
      <w:r w:rsidR="00E974B2" w:rsidRPr="006447F6">
        <w:rPr>
          <w:b/>
          <w:lang w:val="en-US"/>
        </w:rPr>
        <w:instrText>-</w:instrText>
      </w:r>
      <w:r w:rsidR="00E974B2">
        <w:rPr>
          <w:b/>
          <w:lang w:val="en-US"/>
        </w:rPr>
        <w:instrText>names</w:instrText>
      </w:r>
      <w:r w:rsidR="00E974B2" w:rsidRPr="006447F6">
        <w:rPr>
          <w:b/>
          <w:lang w:val="en-US"/>
        </w:rPr>
        <w:instrText>":</w:instrText>
      </w:r>
      <w:r w:rsidR="00E974B2">
        <w:rPr>
          <w:b/>
          <w:lang w:val="en-US"/>
        </w:rPr>
        <w:instrText>false</w:instrText>
      </w:r>
      <w:r w:rsidR="00E974B2" w:rsidRPr="006447F6">
        <w:rPr>
          <w:b/>
          <w:lang w:val="en-US"/>
        </w:rPr>
        <w:instrText>,"</w:instrText>
      </w:r>
      <w:r w:rsidR="00E974B2">
        <w:rPr>
          <w:b/>
          <w:lang w:val="en-US"/>
        </w:rPr>
        <w:instrText>suffix</w:instrText>
      </w:r>
      <w:r w:rsidR="00E974B2" w:rsidRPr="006447F6">
        <w:rPr>
          <w:b/>
          <w:lang w:val="en-US"/>
        </w:rPr>
        <w:instrText>":""},{"</w:instrText>
      </w:r>
      <w:r w:rsidR="00E974B2">
        <w:rPr>
          <w:b/>
          <w:lang w:val="en-US"/>
        </w:rPr>
        <w:instrText>dropping</w:instrText>
      </w:r>
      <w:r w:rsidR="00E974B2" w:rsidRPr="006447F6">
        <w:rPr>
          <w:b/>
          <w:lang w:val="en-US"/>
        </w:rPr>
        <w:instrText>-</w:instrText>
      </w:r>
      <w:r w:rsidR="00E974B2">
        <w:rPr>
          <w:b/>
          <w:lang w:val="en-US"/>
        </w:rPr>
        <w:instrText>particle</w:instrText>
      </w:r>
      <w:r w:rsidR="00E974B2" w:rsidRPr="006447F6">
        <w:rPr>
          <w:b/>
          <w:lang w:val="en-US"/>
        </w:rPr>
        <w:instrText>":"","</w:instrText>
      </w:r>
      <w:r w:rsidR="00E974B2">
        <w:rPr>
          <w:b/>
          <w:lang w:val="en-US"/>
        </w:rPr>
        <w:instrText>family</w:instrText>
      </w:r>
      <w:r w:rsidR="00E974B2" w:rsidRPr="006447F6">
        <w:rPr>
          <w:b/>
          <w:lang w:val="en-US"/>
        </w:rPr>
        <w:instrText>":"</w:instrText>
      </w:r>
      <w:r w:rsidR="00E974B2">
        <w:rPr>
          <w:b/>
          <w:lang w:val="en-US"/>
        </w:rPr>
        <w:instrText>Shan</w:instrText>
      </w:r>
      <w:r w:rsidR="00E974B2" w:rsidRPr="006447F6">
        <w:rPr>
          <w:b/>
          <w:lang w:val="en-US"/>
        </w:rPr>
        <w:instrText>","</w:instrText>
      </w:r>
      <w:r w:rsidR="00E974B2">
        <w:rPr>
          <w:b/>
          <w:lang w:val="en-US"/>
        </w:rPr>
        <w:instrText>given</w:instrText>
      </w:r>
      <w:r w:rsidR="00E974B2" w:rsidRPr="006447F6">
        <w:rPr>
          <w:b/>
          <w:lang w:val="en-US"/>
        </w:rPr>
        <w:instrText>":"</w:instrText>
      </w:r>
      <w:r w:rsidR="00E974B2">
        <w:rPr>
          <w:b/>
          <w:lang w:val="en-US"/>
        </w:rPr>
        <w:instrText>Jianqin</w:instrText>
      </w:r>
      <w:r w:rsidR="00E974B2" w:rsidRPr="006447F6">
        <w:rPr>
          <w:b/>
          <w:lang w:val="en-US"/>
        </w:rPr>
        <w:instrText>","</w:instrText>
      </w:r>
      <w:r w:rsidR="00E974B2">
        <w:rPr>
          <w:b/>
          <w:lang w:val="en-US"/>
        </w:rPr>
        <w:instrText>non</w:instrText>
      </w:r>
      <w:r w:rsidR="00E974B2" w:rsidRPr="006447F6">
        <w:rPr>
          <w:b/>
          <w:lang w:val="en-US"/>
        </w:rPr>
        <w:instrText>-</w:instrText>
      </w:r>
      <w:r w:rsidR="00E974B2">
        <w:rPr>
          <w:b/>
          <w:lang w:val="en-US"/>
        </w:rPr>
        <w:instrText>dropping</w:instrText>
      </w:r>
      <w:r w:rsidR="00E974B2" w:rsidRPr="006447F6">
        <w:rPr>
          <w:b/>
          <w:lang w:val="en-US"/>
        </w:rPr>
        <w:instrText>-</w:instrText>
      </w:r>
      <w:r w:rsidR="00E974B2">
        <w:rPr>
          <w:b/>
          <w:lang w:val="en-US"/>
        </w:rPr>
        <w:instrText>particle</w:instrText>
      </w:r>
      <w:r w:rsidR="00E974B2" w:rsidRPr="006C476A">
        <w:rPr>
          <w:b/>
        </w:rPr>
        <w:instrText>":"","</w:instrText>
      </w:r>
      <w:r w:rsidR="00E974B2">
        <w:rPr>
          <w:b/>
          <w:lang w:val="en-US"/>
        </w:rPr>
        <w:instrText>parse</w:instrText>
      </w:r>
      <w:r w:rsidR="00E974B2" w:rsidRPr="006C476A">
        <w:rPr>
          <w:b/>
        </w:rPr>
        <w:instrText>-</w:instrText>
      </w:r>
      <w:r w:rsidR="00E974B2">
        <w:rPr>
          <w:b/>
          <w:lang w:val="en-US"/>
        </w:rPr>
        <w:instrText>names</w:instrText>
      </w:r>
      <w:r w:rsidR="00E974B2" w:rsidRPr="006C476A">
        <w:rPr>
          <w:b/>
        </w:rPr>
        <w:instrText>":</w:instrText>
      </w:r>
      <w:r w:rsidR="00E974B2">
        <w:rPr>
          <w:b/>
          <w:lang w:val="en-US"/>
        </w:rPr>
        <w:instrText>false</w:instrText>
      </w:r>
      <w:r w:rsidR="00E974B2" w:rsidRPr="006C476A">
        <w:rPr>
          <w:b/>
        </w:rPr>
        <w:instrText>,"</w:instrText>
      </w:r>
      <w:r w:rsidR="00E974B2">
        <w:rPr>
          <w:b/>
          <w:lang w:val="en-US"/>
        </w:rPr>
        <w:instrText>suffix</w:instrText>
      </w:r>
      <w:r w:rsidR="00E974B2" w:rsidRPr="006C476A">
        <w:rPr>
          <w:b/>
        </w:rPr>
        <w:instrText>":""},{"</w:instrText>
      </w:r>
      <w:r w:rsidR="00E974B2">
        <w:rPr>
          <w:b/>
          <w:lang w:val="en-US"/>
        </w:rPr>
        <w:instrText>dropping</w:instrText>
      </w:r>
      <w:r w:rsidR="00E974B2" w:rsidRPr="006C476A">
        <w:rPr>
          <w:b/>
        </w:rPr>
        <w:instrText>-</w:instrText>
      </w:r>
      <w:r w:rsidR="00E974B2">
        <w:rPr>
          <w:b/>
          <w:lang w:val="en-US"/>
        </w:rPr>
        <w:instrText>particle</w:instrText>
      </w:r>
      <w:r w:rsidR="00E974B2" w:rsidRPr="006C476A">
        <w:rPr>
          <w:b/>
        </w:rPr>
        <w:instrText>":"","</w:instrText>
      </w:r>
      <w:r w:rsidR="00E974B2">
        <w:rPr>
          <w:b/>
          <w:lang w:val="en-US"/>
        </w:rPr>
        <w:instrText>family</w:instrText>
      </w:r>
      <w:r w:rsidR="00E974B2" w:rsidRPr="006C476A">
        <w:rPr>
          <w:b/>
        </w:rPr>
        <w:instrText>":"</w:instrText>
      </w:r>
      <w:r w:rsidR="00E974B2">
        <w:rPr>
          <w:b/>
          <w:lang w:val="en-US"/>
        </w:rPr>
        <w:instrText>Brandt</w:instrText>
      </w:r>
      <w:r w:rsidR="00E974B2" w:rsidRPr="006C476A">
        <w:rPr>
          <w:b/>
        </w:rPr>
        <w:instrText>","</w:instrText>
      </w:r>
      <w:r w:rsidR="00E974B2">
        <w:rPr>
          <w:b/>
          <w:lang w:val="en-US"/>
        </w:rPr>
        <w:instrText>given</w:instrText>
      </w:r>
      <w:r w:rsidR="00E974B2" w:rsidRPr="006C476A">
        <w:rPr>
          <w:b/>
        </w:rPr>
        <w:instrText>":"</w:instrText>
      </w:r>
      <w:r w:rsidR="00E974B2">
        <w:rPr>
          <w:b/>
          <w:lang w:val="en-US"/>
        </w:rPr>
        <w:instrText>Mark</w:instrText>
      </w:r>
      <w:r w:rsidR="00E974B2" w:rsidRPr="006C476A">
        <w:rPr>
          <w:b/>
        </w:rPr>
        <w:instrText>","</w:instrText>
      </w:r>
      <w:r w:rsidR="00E974B2">
        <w:rPr>
          <w:b/>
          <w:lang w:val="en-US"/>
        </w:rPr>
        <w:instrText>non</w:instrText>
      </w:r>
      <w:r w:rsidR="00E974B2" w:rsidRPr="006C476A">
        <w:rPr>
          <w:b/>
        </w:rPr>
        <w:instrText>-</w:instrText>
      </w:r>
      <w:r w:rsidR="00E974B2">
        <w:rPr>
          <w:b/>
          <w:lang w:val="en-US"/>
        </w:rPr>
        <w:instrText>dropping</w:instrText>
      </w:r>
      <w:r w:rsidR="00E974B2" w:rsidRPr="006C476A">
        <w:rPr>
          <w:b/>
        </w:rPr>
        <w:instrText>-</w:instrText>
      </w:r>
      <w:r w:rsidR="00E974B2">
        <w:rPr>
          <w:b/>
          <w:lang w:val="en-US"/>
        </w:rPr>
        <w:instrText>particle</w:instrText>
      </w:r>
      <w:r w:rsidR="00E974B2" w:rsidRPr="006C476A">
        <w:rPr>
          <w:b/>
        </w:rPr>
        <w:instrText>":"","</w:instrText>
      </w:r>
      <w:r w:rsidR="00E974B2">
        <w:rPr>
          <w:b/>
          <w:lang w:val="en-US"/>
        </w:rPr>
        <w:instrText>parse</w:instrText>
      </w:r>
      <w:r w:rsidR="00E974B2" w:rsidRPr="006C476A">
        <w:rPr>
          <w:b/>
        </w:rPr>
        <w:instrText>-</w:instrText>
      </w:r>
      <w:r w:rsidR="00E974B2">
        <w:rPr>
          <w:b/>
          <w:lang w:val="en-US"/>
        </w:rPr>
        <w:instrText>names</w:instrText>
      </w:r>
      <w:r w:rsidR="00E974B2" w:rsidRPr="006C476A">
        <w:rPr>
          <w:b/>
        </w:rPr>
        <w:instrText>":</w:instrText>
      </w:r>
      <w:r w:rsidR="00E974B2">
        <w:rPr>
          <w:b/>
          <w:lang w:val="en-US"/>
        </w:rPr>
        <w:instrText>false</w:instrText>
      </w:r>
      <w:r w:rsidR="00E974B2" w:rsidRPr="006C476A">
        <w:rPr>
          <w:b/>
        </w:rPr>
        <w:instrText>,"</w:instrText>
      </w:r>
      <w:r w:rsidR="00E974B2">
        <w:rPr>
          <w:b/>
          <w:lang w:val="en-US"/>
        </w:rPr>
        <w:instrText>suffix</w:instrText>
      </w:r>
      <w:r w:rsidR="00E974B2" w:rsidRPr="006C476A">
        <w:rPr>
          <w:b/>
        </w:rPr>
        <w:instrText>":""},{"</w:instrText>
      </w:r>
      <w:r w:rsidR="00E974B2">
        <w:rPr>
          <w:b/>
          <w:lang w:val="en-US"/>
        </w:rPr>
        <w:instrText>dropping</w:instrText>
      </w:r>
      <w:r w:rsidR="00E974B2" w:rsidRPr="006C476A">
        <w:rPr>
          <w:b/>
        </w:rPr>
        <w:instrText>-</w:instrText>
      </w:r>
      <w:r w:rsidR="00E974B2">
        <w:rPr>
          <w:b/>
          <w:lang w:val="en-US"/>
        </w:rPr>
        <w:instrText>particle</w:instrText>
      </w:r>
      <w:r w:rsidR="00E974B2" w:rsidRPr="006C476A">
        <w:rPr>
          <w:b/>
        </w:rPr>
        <w:instrText>":"","</w:instrText>
      </w:r>
      <w:r w:rsidR="00E974B2">
        <w:rPr>
          <w:b/>
          <w:lang w:val="en-US"/>
        </w:rPr>
        <w:instrText>family</w:instrText>
      </w:r>
      <w:r w:rsidR="00E974B2" w:rsidRPr="006C476A">
        <w:rPr>
          <w:b/>
        </w:rPr>
        <w:instrText>":"</w:instrText>
      </w:r>
      <w:r w:rsidR="00E974B2">
        <w:rPr>
          <w:b/>
          <w:lang w:val="en-US"/>
        </w:rPr>
        <w:instrText>Hagemeister</w:instrText>
      </w:r>
      <w:r w:rsidR="00E974B2" w:rsidRPr="006C476A">
        <w:rPr>
          <w:b/>
        </w:rPr>
        <w:instrText>","</w:instrText>
      </w:r>
      <w:r w:rsidR="00E974B2">
        <w:rPr>
          <w:b/>
          <w:lang w:val="en-US"/>
        </w:rPr>
        <w:instrText>given</w:instrText>
      </w:r>
      <w:r w:rsidR="00E974B2" w:rsidRPr="006C476A">
        <w:rPr>
          <w:b/>
        </w:rPr>
        <w:instrText>":"</w:instrText>
      </w:r>
      <w:r w:rsidR="00E974B2">
        <w:rPr>
          <w:b/>
          <w:lang w:val="en-US"/>
        </w:rPr>
        <w:instrText>Fredrick</w:instrText>
      </w:r>
      <w:r w:rsidR="00E974B2" w:rsidRPr="006C476A">
        <w:rPr>
          <w:b/>
        </w:rPr>
        <w:instrText xml:space="preserve"> </w:instrText>
      </w:r>
      <w:r w:rsidR="00E974B2">
        <w:rPr>
          <w:b/>
          <w:lang w:val="en-US"/>
        </w:rPr>
        <w:instrText>B</w:instrText>
      </w:r>
      <w:r w:rsidR="00E974B2" w:rsidRPr="006C476A">
        <w:rPr>
          <w:b/>
        </w:rPr>
        <w:instrText>.","</w:instrText>
      </w:r>
      <w:r w:rsidR="00E974B2">
        <w:rPr>
          <w:b/>
          <w:lang w:val="en-US"/>
        </w:rPr>
        <w:instrText>non</w:instrText>
      </w:r>
      <w:r w:rsidR="00E974B2" w:rsidRPr="006C476A">
        <w:rPr>
          <w:b/>
        </w:rPr>
        <w:instrText>-</w:instrText>
      </w:r>
      <w:r w:rsidR="00E974B2">
        <w:rPr>
          <w:b/>
          <w:lang w:val="en-US"/>
        </w:rPr>
        <w:instrText>dropping</w:instrText>
      </w:r>
      <w:r w:rsidR="00E974B2" w:rsidRPr="006C476A">
        <w:rPr>
          <w:b/>
        </w:rPr>
        <w:instrText>-</w:instrText>
      </w:r>
      <w:r w:rsidR="00E974B2">
        <w:rPr>
          <w:b/>
          <w:lang w:val="en-US"/>
        </w:rPr>
        <w:instrText>particle</w:instrText>
      </w:r>
      <w:r w:rsidR="00E974B2" w:rsidRPr="006C476A">
        <w:rPr>
          <w:b/>
        </w:rPr>
        <w:instrText>":"","</w:instrText>
      </w:r>
      <w:r w:rsidR="00E974B2">
        <w:rPr>
          <w:b/>
          <w:lang w:val="en-US"/>
        </w:rPr>
        <w:instrText>parse</w:instrText>
      </w:r>
      <w:r w:rsidR="00E974B2" w:rsidRPr="006C476A">
        <w:rPr>
          <w:b/>
        </w:rPr>
        <w:instrText>-</w:instrText>
      </w:r>
      <w:r w:rsidR="00E974B2">
        <w:rPr>
          <w:b/>
          <w:lang w:val="en-US"/>
        </w:rPr>
        <w:instrText>names</w:instrText>
      </w:r>
      <w:r w:rsidR="00E974B2" w:rsidRPr="006C476A">
        <w:rPr>
          <w:b/>
        </w:rPr>
        <w:instrText>":</w:instrText>
      </w:r>
      <w:r w:rsidR="00E974B2">
        <w:rPr>
          <w:b/>
          <w:lang w:val="en-US"/>
        </w:rPr>
        <w:instrText>false</w:instrText>
      </w:r>
      <w:r w:rsidR="00E974B2" w:rsidRPr="006C476A">
        <w:rPr>
          <w:b/>
        </w:rPr>
        <w:instrText>,"</w:instrText>
      </w:r>
      <w:r w:rsidR="00E974B2">
        <w:rPr>
          <w:b/>
          <w:lang w:val="en-US"/>
        </w:rPr>
        <w:instrText>suffix</w:instrText>
      </w:r>
      <w:r w:rsidR="00E974B2" w:rsidRPr="006C476A">
        <w:rPr>
          <w:b/>
        </w:rPr>
        <w:instrText>":""},{"</w:instrText>
      </w:r>
      <w:r w:rsidR="00E974B2">
        <w:rPr>
          <w:b/>
          <w:lang w:val="en-US"/>
        </w:rPr>
        <w:instrText>dropping</w:instrText>
      </w:r>
      <w:r w:rsidR="00E974B2" w:rsidRPr="006C476A">
        <w:rPr>
          <w:b/>
        </w:rPr>
        <w:instrText>-</w:instrText>
      </w:r>
      <w:r w:rsidR="00E974B2">
        <w:rPr>
          <w:b/>
          <w:lang w:val="en-US"/>
        </w:rPr>
        <w:instrText>particle</w:instrText>
      </w:r>
      <w:r w:rsidR="00E974B2" w:rsidRPr="006C476A">
        <w:rPr>
          <w:b/>
        </w:rPr>
        <w:instrText>":"","</w:instrText>
      </w:r>
      <w:r w:rsidR="00E974B2">
        <w:rPr>
          <w:b/>
          <w:lang w:val="en-US"/>
        </w:rPr>
        <w:instrText>family</w:instrText>
      </w:r>
      <w:r w:rsidR="00E974B2" w:rsidRPr="006C476A">
        <w:rPr>
          <w:b/>
        </w:rPr>
        <w:instrText>":"</w:instrText>
      </w:r>
      <w:r w:rsidR="00E974B2">
        <w:rPr>
          <w:b/>
          <w:lang w:val="en-US"/>
        </w:rPr>
        <w:instrText>Keating</w:instrText>
      </w:r>
      <w:r w:rsidR="00E974B2" w:rsidRPr="006C476A">
        <w:rPr>
          <w:b/>
        </w:rPr>
        <w:instrText>","</w:instrText>
      </w:r>
      <w:r w:rsidR="00E974B2">
        <w:rPr>
          <w:b/>
          <w:lang w:val="en-US"/>
        </w:rPr>
        <w:instrText>given</w:instrText>
      </w:r>
      <w:r w:rsidR="00E974B2" w:rsidRPr="006C476A">
        <w:rPr>
          <w:b/>
        </w:rPr>
        <w:instrText>":"</w:instrText>
      </w:r>
      <w:r w:rsidR="00E974B2">
        <w:rPr>
          <w:b/>
          <w:lang w:val="en-US"/>
        </w:rPr>
        <w:instrText>Michael</w:instrText>
      </w:r>
      <w:r w:rsidR="00E974B2" w:rsidRPr="006C476A">
        <w:rPr>
          <w:b/>
        </w:rPr>
        <w:instrText xml:space="preserve"> </w:instrText>
      </w:r>
      <w:r w:rsidR="00E974B2">
        <w:rPr>
          <w:b/>
          <w:lang w:val="en-US"/>
        </w:rPr>
        <w:instrText>J</w:instrText>
      </w:r>
      <w:r w:rsidR="00E974B2" w:rsidRPr="006C476A">
        <w:rPr>
          <w:b/>
        </w:rPr>
        <w:instrText>.","</w:instrText>
      </w:r>
      <w:r w:rsidR="00E974B2">
        <w:rPr>
          <w:b/>
          <w:lang w:val="en-US"/>
        </w:rPr>
        <w:instrText>non</w:instrText>
      </w:r>
      <w:r w:rsidR="00E974B2" w:rsidRPr="006C476A">
        <w:rPr>
          <w:b/>
        </w:rPr>
        <w:instrText>-</w:instrText>
      </w:r>
      <w:r w:rsidR="00E974B2">
        <w:rPr>
          <w:b/>
          <w:lang w:val="en-US"/>
        </w:rPr>
        <w:instrText>dropping</w:instrText>
      </w:r>
      <w:r w:rsidR="00E974B2" w:rsidRPr="006C476A">
        <w:rPr>
          <w:b/>
        </w:rPr>
        <w:instrText>-</w:instrText>
      </w:r>
      <w:r w:rsidR="00E974B2">
        <w:rPr>
          <w:b/>
          <w:lang w:val="en-US"/>
        </w:rPr>
        <w:instrText>particle</w:instrText>
      </w:r>
      <w:r w:rsidR="00E974B2" w:rsidRPr="006C476A">
        <w:rPr>
          <w:b/>
        </w:rPr>
        <w:instrText>":"","</w:instrText>
      </w:r>
      <w:r w:rsidR="00E974B2">
        <w:rPr>
          <w:b/>
          <w:lang w:val="en-US"/>
        </w:rPr>
        <w:instrText>parse</w:instrText>
      </w:r>
      <w:r w:rsidR="00E974B2" w:rsidRPr="006C476A">
        <w:rPr>
          <w:b/>
        </w:rPr>
        <w:instrText>-</w:instrText>
      </w:r>
      <w:r w:rsidR="00E974B2">
        <w:rPr>
          <w:b/>
          <w:lang w:val="en-US"/>
        </w:rPr>
        <w:instrText>names</w:instrText>
      </w:r>
      <w:r w:rsidR="00E974B2" w:rsidRPr="006C476A">
        <w:rPr>
          <w:b/>
        </w:rPr>
        <w:instrText>":</w:instrText>
      </w:r>
      <w:r w:rsidR="00E974B2">
        <w:rPr>
          <w:b/>
          <w:lang w:val="en-US"/>
        </w:rPr>
        <w:instrText>false</w:instrText>
      </w:r>
      <w:r w:rsidR="00E974B2" w:rsidRPr="006C476A">
        <w:rPr>
          <w:b/>
        </w:rPr>
        <w:instrText>,"</w:instrText>
      </w:r>
      <w:r w:rsidR="00E974B2">
        <w:rPr>
          <w:b/>
          <w:lang w:val="en-US"/>
        </w:rPr>
        <w:instrText>suffix</w:instrText>
      </w:r>
      <w:r w:rsidR="00E974B2" w:rsidRPr="006C476A">
        <w:rPr>
          <w:b/>
        </w:rPr>
        <w:instrText>":""},{"</w:instrText>
      </w:r>
      <w:r w:rsidR="00E974B2">
        <w:rPr>
          <w:b/>
          <w:lang w:val="en-US"/>
        </w:rPr>
        <w:instrText>dropping</w:instrText>
      </w:r>
      <w:r w:rsidR="00E974B2" w:rsidRPr="006C476A">
        <w:rPr>
          <w:b/>
        </w:rPr>
        <w:instrText>-</w:instrText>
      </w:r>
      <w:r w:rsidR="00E974B2">
        <w:rPr>
          <w:b/>
          <w:lang w:val="en-US"/>
        </w:rPr>
        <w:instrText>particle</w:instrText>
      </w:r>
      <w:r w:rsidR="00E974B2" w:rsidRPr="006C476A">
        <w:rPr>
          <w:b/>
        </w:rPr>
        <w:instrText>":"","</w:instrText>
      </w:r>
      <w:r w:rsidR="00E974B2">
        <w:rPr>
          <w:b/>
          <w:lang w:val="en-US"/>
        </w:rPr>
        <w:instrText>family</w:instrText>
      </w:r>
      <w:r w:rsidR="00E974B2" w:rsidRPr="006C476A">
        <w:rPr>
          <w:b/>
        </w:rPr>
        <w:instrText>":"</w:instrText>
      </w:r>
      <w:r w:rsidR="00E974B2">
        <w:rPr>
          <w:b/>
          <w:lang w:val="en-US"/>
        </w:rPr>
        <w:instrText>Cabanillas</w:instrText>
      </w:r>
      <w:r w:rsidR="00E974B2" w:rsidRPr="006C476A">
        <w:rPr>
          <w:b/>
        </w:rPr>
        <w:instrText>","</w:instrText>
      </w:r>
      <w:r w:rsidR="00E974B2">
        <w:rPr>
          <w:b/>
          <w:lang w:val="en-US"/>
        </w:rPr>
        <w:instrText>given</w:instrText>
      </w:r>
      <w:r w:rsidR="00E974B2" w:rsidRPr="006C476A">
        <w:rPr>
          <w:b/>
        </w:rPr>
        <w:instrText>":"</w:instrText>
      </w:r>
      <w:r w:rsidR="00E974B2">
        <w:rPr>
          <w:b/>
          <w:lang w:val="en-US"/>
        </w:rPr>
        <w:instrText>Fernando</w:instrText>
      </w:r>
      <w:r w:rsidR="00E974B2" w:rsidRPr="006C476A">
        <w:rPr>
          <w:b/>
        </w:rPr>
        <w:instrText>","</w:instrText>
      </w:r>
      <w:r w:rsidR="00E974B2">
        <w:rPr>
          <w:b/>
          <w:lang w:val="en-US"/>
        </w:rPr>
        <w:instrText>non</w:instrText>
      </w:r>
      <w:r w:rsidR="00E974B2" w:rsidRPr="006C476A">
        <w:rPr>
          <w:b/>
        </w:rPr>
        <w:instrText>-</w:instrText>
      </w:r>
      <w:r w:rsidR="00E974B2">
        <w:rPr>
          <w:b/>
          <w:lang w:val="en-US"/>
        </w:rPr>
        <w:instrText>dropping</w:instrText>
      </w:r>
      <w:r w:rsidR="00E974B2" w:rsidRPr="006C476A">
        <w:rPr>
          <w:b/>
        </w:rPr>
        <w:instrText>-</w:instrText>
      </w:r>
      <w:r w:rsidR="00E974B2">
        <w:rPr>
          <w:b/>
          <w:lang w:val="en-US"/>
        </w:rPr>
        <w:instrText>particle</w:instrText>
      </w:r>
      <w:r w:rsidR="00E974B2" w:rsidRPr="006C476A">
        <w:rPr>
          <w:b/>
        </w:rPr>
        <w:instrText>":"","</w:instrText>
      </w:r>
      <w:r w:rsidR="00E974B2">
        <w:rPr>
          <w:b/>
          <w:lang w:val="en-US"/>
        </w:rPr>
        <w:instrText>parse</w:instrText>
      </w:r>
      <w:r w:rsidR="00E974B2" w:rsidRPr="006C476A">
        <w:rPr>
          <w:b/>
        </w:rPr>
        <w:instrText>-</w:instrText>
      </w:r>
      <w:r w:rsidR="00E974B2">
        <w:rPr>
          <w:b/>
          <w:lang w:val="en-US"/>
        </w:rPr>
        <w:instrText>names</w:instrText>
      </w:r>
      <w:r w:rsidR="00E974B2" w:rsidRPr="006C476A">
        <w:rPr>
          <w:b/>
        </w:rPr>
        <w:instrText>":</w:instrText>
      </w:r>
      <w:r w:rsidR="00E974B2">
        <w:rPr>
          <w:b/>
          <w:lang w:val="en-US"/>
        </w:rPr>
        <w:instrText>false</w:instrText>
      </w:r>
      <w:r w:rsidR="00E974B2" w:rsidRPr="006C476A">
        <w:rPr>
          <w:b/>
        </w:rPr>
        <w:instrText>,"</w:instrText>
      </w:r>
      <w:r w:rsidR="00E974B2">
        <w:rPr>
          <w:b/>
          <w:lang w:val="en-US"/>
        </w:rPr>
        <w:instrText>suffix</w:instrText>
      </w:r>
      <w:r w:rsidR="00E974B2" w:rsidRPr="006C476A">
        <w:rPr>
          <w:b/>
        </w:rPr>
        <w:instrText>":""},{"</w:instrText>
      </w:r>
      <w:r w:rsidR="00E974B2">
        <w:rPr>
          <w:b/>
          <w:lang w:val="en-US"/>
        </w:rPr>
        <w:instrText>dropping</w:instrText>
      </w:r>
      <w:r w:rsidR="00E974B2" w:rsidRPr="006C476A">
        <w:rPr>
          <w:b/>
        </w:rPr>
        <w:instrText>-</w:instrText>
      </w:r>
      <w:r w:rsidR="00E974B2">
        <w:rPr>
          <w:b/>
          <w:lang w:val="en-US"/>
        </w:rPr>
        <w:instrText>particle</w:instrText>
      </w:r>
      <w:r w:rsidR="00E974B2" w:rsidRPr="006C476A">
        <w:rPr>
          <w:b/>
        </w:rPr>
        <w:instrText>":"","</w:instrText>
      </w:r>
      <w:r w:rsidR="00E974B2">
        <w:rPr>
          <w:b/>
          <w:lang w:val="en-US"/>
        </w:rPr>
        <w:instrText>family</w:instrText>
      </w:r>
      <w:r w:rsidR="00E974B2" w:rsidRPr="006C476A">
        <w:rPr>
          <w:b/>
        </w:rPr>
        <w:instrText>":"</w:instrText>
      </w:r>
      <w:r w:rsidR="00E974B2">
        <w:rPr>
          <w:b/>
          <w:lang w:val="en-US"/>
        </w:rPr>
        <w:instrText>Kantarjian</w:instrText>
      </w:r>
      <w:r w:rsidR="00E974B2" w:rsidRPr="006C476A">
        <w:rPr>
          <w:b/>
        </w:rPr>
        <w:instrText>","</w:instrText>
      </w:r>
      <w:r w:rsidR="00E974B2">
        <w:rPr>
          <w:b/>
          <w:lang w:val="en-US"/>
        </w:rPr>
        <w:instrText>given</w:instrText>
      </w:r>
      <w:r w:rsidR="00E974B2" w:rsidRPr="006C476A">
        <w:rPr>
          <w:b/>
        </w:rPr>
        <w:instrText>":"</w:instrText>
      </w:r>
      <w:r w:rsidR="00E974B2">
        <w:rPr>
          <w:b/>
          <w:lang w:val="en-US"/>
        </w:rPr>
        <w:instrText>Hagop</w:instrText>
      </w:r>
      <w:r w:rsidR="00E974B2" w:rsidRPr="006C476A">
        <w:rPr>
          <w:b/>
        </w:rPr>
        <w:instrText>","</w:instrText>
      </w:r>
      <w:r w:rsidR="00E974B2">
        <w:rPr>
          <w:b/>
          <w:lang w:val="en-US"/>
        </w:rPr>
        <w:instrText>non</w:instrText>
      </w:r>
      <w:r w:rsidR="00E974B2" w:rsidRPr="006C476A">
        <w:rPr>
          <w:b/>
        </w:rPr>
        <w:instrText>-</w:instrText>
      </w:r>
      <w:r w:rsidR="00E974B2">
        <w:rPr>
          <w:b/>
          <w:lang w:val="en-US"/>
        </w:rPr>
        <w:instrText>dropping</w:instrText>
      </w:r>
      <w:r w:rsidR="00E974B2" w:rsidRPr="006C476A">
        <w:rPr>
          <w:b/>
        </w:rPr>
        <w:instrText>-</w:instrText>
      </w:r>
      <w:r w:rsidR="00E974B2">
        <w:rPr>
          <w:b/>
          <w:lang w:val="en-US"/>
        </w:rPr>
        <w:instrText>particle</w:instrText>
      </w:r>
      <w:r w:rsidR="00E974B2" w:rsidRPr="006C476A">
        <w:rPr>
          <w:b/>
        </w:rPr>
        <w:instrText>":"","</w:instrText>
      </w:r>
      <w:r w:rsidR="00E974B2">
        <w:rPr>
          <w:b/>
          <w:lang w:val="en-US"/>
        </w:rPr>
        <w:instrText>parse</w:instrText>
      </w:r>
      <w:r w:rsidR="00E974B2" w:rsidRPr="006C476A">
        <w:rPr>
          <w:b/>
        </w:rPr>
        <w:instrText>-</w:instrText>
      </w:r>
      <w:r w:rsidR="00E974B2">
        <w:rPr>
          <w:b/>
          <w:lang w:val="en-US"/>
        </w:rPr>
        <w:instrText>names</w:instrText>
      </w:r>
      <w:r w:rsidR="00E974B2" w:rsidRPr="006C476A">
        <w:rPr>
          <w:b/>
        </w:rPr>
        <w:instrText>":</w:instrText>
      </w:r>
      <w:r w:rsidR="00E974B2">
        <w:rPr>
          <w:b/>
          <w:lang w:val="en-US"/>
        </w:rPr>
        <w:instrText>false</w:instrText>
      </w:r>
      <w:r w:rsidR="00E974B2" w:rsidRPr="006C476A">
        <w:rPr>
          <w:b/>
        </w:rPr>
        <w:instrText>,"</w:instrText>
      </w:r>
      <w:r w:rsidR="00E974B2">
        <w:rPr>
          <w:b/>
          <w:lang w:val="en-US"/>
        </w:rPr>
        <w:instrText>suffix</w:instrText>
      </w:r>
      <w:r w:rsidR="00E974B2" w:rsidRPr="006C476A">
        <w:rPr>
          <w:b/>
        </w:rPr>
        <w:instrText>":""}],"</w:instrText>
      </w:r>
      <w:r w:rsidR="00E974B2">
        <w:rPr>
          <w:b/>
          <w:lang w:val="en-US"/>
        </w:rPr>
        <w:instrText>container</w:instrText>
      </w:r>
      <w:r w:rsidR="00E974B2" w:rsidRPr="006C476A">
        <w:rPr>
          <w:b/>
        </w:rPr>
        <w:instrText>-</w:instrText>
      </w:r>
      <w:r w:rsidR="00E974B2">
        <w:rPr>
          <w:b/>
          <w:lang w:val="en-US"/>
        </w:rPr>
        <w:instrText>title</w:instrText>
      </w:r>
      <w:r w:rsidR="00E974B2" w:rsidRPr="006C476A">
        <w:rPr>
          <w:b/>
        </w:rPr>
        <w:instrText>":"</w:instrText>
      </w:r>
      <w:r w:rsidR="00E974B2">
        <w:rPr>
          <w:b/>
          <w:lang w:val="en-US"/>
        </w:rPr>
        <w:instrText>Cancer</w:instrText>
      </w:r>
      <w:r w:rsidR="00E974B2" w:rsidRPr="006C476A">
        <w:rPr>
          <w:b/>
        </w:rPr>
        <w:instrText>","</w:instrText>
      </w:r>
      <w:r w:rsidR="00E974B2">
        <w:rPr>
          <w:b/>
          <w:lang w:val="en-US"/>
        </w:rPr>
        <w:instrText>id</w:instrText>
      </w:r>
      <w:r w:rsidR="00E974B2" w:rsidRPr="006C476A">
        <w:rPr>
          <w:b/>
        </w:rPr>
        <w:instrText>":"</w:instrText>
      </w:r>
      <w:r w:rsidR="00E974B2">
        <w:rPr>
          <w:b/>
          <w:lang w:val="en-US"/>
        </w:rPr>
        <w:instrText>ITEM</w:instrText>
      </w:r>
      <w:r w:rsidR="00E974B2" w:rsidRPr="006C476A">
        <w:rPr>
          <w:b/>
        </w:rPr>
        <w:instrText>-1","</w:instrText>
      </w:r>
      <w:r w:rsidR="00E974B2">
        <w:rPr>
          <w:b/>
          <w:lang w:val="en-US"/>
        </w:rPr>
        <w:instrText>issue</w:instrText>
      </w:r>
      <w:r w:rsidR="00E974B2" w:rsidRPr="006C476A">
        <w:rPr>
          <w:b/>
        </w:rPr>
        <w:instrText>":"7","</w:instrText>
      </w:r>
      <w:r w:rsidR="00E974B2">
        <w:rPr>
          <w:b/>
          <w:lang w:val="en-US"/>
        </w:rPr>
        <w:instrText>issued</w:instrText>
      </w:r>
      <w:r w:rsidR="00E974B2" w:rsidRPr="006C476A">
        <w:rPr>
          <w:b/>
        </w:rPr>
        <w:instrText>":{"</w:instrText>
      </w:r>
      <w:r w:rsidR="00E974B2">
        <w:rPr>
          <w:b/>
          <w:lang w:val="en-US"/>
        </w:rPr>
        <w:instrText>date</w:instrText>
      </w:r>
      <w:r w:rsidR="00E974B2" w:rsidRPr="006C476A">
        <w:rPr>
          <w:b/>
        </w:rPr>
        <w:instrText>-</w:instrText>
      </w:r>
      <w:r w:rsidR="00E974B2">
        <w:rPr>
          <w:b/>
          <w:lang w:val="en-US"/>
        </w:rPr>
        <w:instrText>parts</w:instrText>
      </w:r>
      <w:r w:rsidR="00E974B2" w:rsidRPr="006C476A">
        <w:rPr>
          <w:b/>
        </w:rPr>
        <w:instrText>":[["2006","4","1"]]},"</w:instrText>
      </w:r>
      <w:r w:rsidR="00E974B2">
        <w:rPr>
          <w:b/>
          <w:lang w:val="en-US"/>
        </w:rPr>
        <w:instrText>page</w:instrText>
      </w:r>
      <w:r w:rsidR="00E974B2" w:rsidRPr="006C476A">
        <w:rPr>
          <w:b/>
        </w:rPr>
        <w:instrText>":"1569-1580","</w:instrText>
      </w:r>
      <w:r w:rsidR="00E974B2">
        <w:rPr>
          <w:b/>
          <w:lang w:val="en-US"/>
        </w:rPr>
        <w:instrText>title</w:instrText>
      </w:r>
      <w:r w:rsidR="00E974B2" w:rsidRPr="006C476A">
        <w:rPr>
          <w:b/>
        </w:rPr>
        <w:instrText>":"</w:instrText>
      </w:r>
      <w:r w:rsidR="00E974B2">
        <w:rPr>
          <w:b/>
          <w:lang w:val="en-US"/>
        </w:rPr>
        <w:instrText>Chemoimmunotherapy</w:instrText>
      </w:r>
      <w:r w:rsidR="00E974B2" w:rsidRPr="006C476A">
        <w:rPr>
          <w:b/>
        </w:rPr>
        <w:instrText xml:space="preserve"> </w:instrText>
      </w:r>
      <w:r w:rsidR="00E974B2">
        <w:rPr>
          <w:b/>
          <w:lang w:val="en-US"/>
        </w:rPr>
        <w:instrText>with</w:instrText>
      </w:r>
      <w:r w:rsidR="00E974B2" w:rsidRPr="006C476A">
        <w:rPr>
          <w:b/>
        </w:rPr>
        <w:instrText xml:space="preserve"> </w:instrText>
      </w:r>
      <w:r w:rsidR="00E974B2">
        <w:rPr>
          <w:b/>
          <w:lang w:val="en-US"/>
        </w:rPr>
        <w:instrText>hyper</w:instrText>
      </w:r>
      <w:r w:rsidR="00E974B2" w:rsidRPr="006C476A">
        <w:rPr>
          <w:b/>
        </w:rPr>
        <w:instrText>-</w:instrText>
      </w:r>
      <w:r w:rsidR="00E974B2">
        <w:rPr>
          <w:b/>
          <w:lang w:val="en-US"/>
        </w:rPr>
        <w:instrText>CVAD</w:instrText>
      </w:r>
      <w:r w:rsidR="00E974B2" w:rsidRPr="006C476A">
        <w:rPr>
          <w:b/>
        </w:rPr>
        <w:instrText xml:space="preserve"> </w:instrText>
      </w:r>
      <w:r w:rsidR="00E974B2">
        <w:rPr>
          <w:b/>
          <w:lang w:val="en-US"/>
        </w:rPr>
        <w:instrText>plus</w:instrText>
      </w:r>
      <w:r w:rsidR="00E974B2" w:rsidRPr="006C476A">
        <w:rPr>
          <w:b/>
        </w:rPr>
        <w:instrText xml:space="preserve"> </w:instrText>
      </w:r>
      <w:r w:rsidR="00E974B2">
        <w:rPr>
          <w:b/>
          <w:lang w:val="en-US"/>
        </w:rPr>
        <w:instrText>rituximab</w:instrText>
      </w:r>
      <w:r w:rsidR="00E974B2" w:rsidRPr="006C476A">
        <w:rPr>
          <w:b/>
        </w:rPr>
        <w:instrText xml:space="preserve"> </w:instrText>
      </w:r>
      <w:r w:rsidR="00E974B2">
        <w:rPr>
          <w:b/>
          <w:lang w:val="en-US"/>
        </w:rPr>
        <w:instrText>for</w:instrText>
      </w:r>
      <w:r w:rsidR="00E974B2" w:rsidRPr="006C476A">
        <w:rPr>
          <w:b/>
        </w:rPr>
        <w:instrText xml:space="preserve"> </w:instrText>
      </w:r>
      <w:r w:rsidR="00E974B2">
        <w:rPr>
          <w:b/>
          <w:lang w:val="en-US"/>
        </w:rPr>
        <w:instrText>the</w:instrText>
      </w:r>
      <w:r w:rsidR="00E974B2" w:rsidRPr="006C476A">
        <w:rPr>
          <w:b/>
        </w:rPr>
        <w:instrText xml:space="preserve"> </w:instrText>
      </w:r>
      <w:r w:rsidR="00E974B2">
        <w:rPr>
          <w:b/>
          <w:lang w:val="en-US"/>
        </w:rPr>
        <w:instrText>treatment</w:instrText>
      </w:r>
      <w:r w:rsidR="00E974B2" w:rsidRPr="006C476A">
        <w:rPr>
          <w:b/>
        </w:rPr>
        <w:instrText xml:space="preserve"> </w:instrText>
      </w:r>
      <w:r w:rsidR="00E974B2">
        <w:rPr>
          <w:b/>
          <w:lang w:val="en-US"/>
        </w:rPr>
        <w:instrText>of</w:instrText>
      </w:r>
      <w:r w:rsidR="00E974B2" w:rsidRPr="006C476A">
        <w:rPr>
          <w:b/>
        </w:rPr>
        <w:instrText xml:space="preserve"> </w:instrText>
      </w:r>
      <w:r w:rsidR="00E974B2">
        <w:rPr>
          <w:b/>
          <w:lang w:val="en-US"/>
        </w:rPr>
        <w:instrText>adult</w:instrText>
      </w:r>
      <w:r w:rsidR="00E974B2" w:rsidRPr="006C476A">
        <w:rPr>
          <w:b/>
        </w:rPr>
        <w:instrText xml:space="preserve"> </w:instrText>
      </w:r>
      <w:r w:rsidR="00E974B2">
        <w:rPr>
          <w:b/>
          <w:lang w:val="en-US"/>
        </w:rPr>
        <w:instrText>Burkitt</w:instrText>
      </w:r>
      <w:r w:rsidR="00E974B2" w:rsidRPr="006C476A">
        <w:rPr>
          <w:b/>
        </w:rPr>
        <w:instrText xml:space="preserve"> </w:instrText>
      </w:r>
      <w:r w:rsidR="00E974B2">
        <w:rPr>
          <w:b/>
          <w:lang w:val="en-US"/>
        </w:rPr>
        <w:instrText>and</w:instrText>
      </w:r>
      <w:r w:rsidR="00E974B2" w:rsidRPr="006C476A">
        <w:rPr>
          <w:b/>
        </w:rPr>
        <w:instrText xml:space="preserve"> </w:instrText>
      </w:r>
      <w:r w:rsidR="00E974B2">
        <w:rPr>
          <w:b/>
          <w:lang w:val="en-US"/>
        </w:rPr>
        <w:instrText>Burkitt</w:instrText>
      </w:r>
      <w:r w:rsidR="00E974B2" w:rsidRPr="006C476A">
        <w:rPr>
          <w:b/>
        </w:rPr>
        <w:instrText>-</w:instrText>
      </w:r>
      <w:r w:rsidR="00E974B2">
        <w:rPr>
          <w:b/>
          <w:lang w:val="en-US"/>
        </w:rPr>
        <w:instrText>type</w:instrText>
      </w:r>
      <w:r w:rsidR="00E974B2" w:rsidRPr="006C476A">
        <w:rPr>
          <w:b/>
        </w:rPr>
        <w:instrText xml:space="preserve"> </w:instrText>
      </w:r>
      <w:r w:rsidR="00E974B2">
        <w:rPr>
          <w:b/>
          <w:lang w:val="en-US"/>
        </w:rPr>
        <w:instrText>lymphoma</w:instrText>
      </w:r>
      <w:r w:rsidR="00E974B2" w:rsidRPr="006C476A">
        <w:rPr>
          <w:b/>
        </w:rPr>
        <w:instrText xml:space="preserve"> </w:instrText>
      </w:r>
      <w:r w:rsidR="00E974B2">
        <w:rPr>
          <w:b/>
          <w:lang w:val="en-US"/>
        </w:rPr>
        <w:instrText>or</w:instrText>
      </w:r>
      <w:r w:rsidR="00E974B2" w:rsidRPr="006C476A">
        <w:rPr>
          <w:b/>
        </w:rPr>
        <w:instrText xml:space="preserve"> </w:instrText>
      </w:r>
      <w:r w:rsidR="00E974B2">
        <w:rPr>
          <w:b/>
          <w:lang w:val="en-US"/>
        </w:rPr>
        <w:instrText>acute</w:instrText>
      </w:r>
      <w:r w:rsidR="00E974B2" w:rsidRPr="006C476A">
        <w:rPr>
          <w:b/>
        </w:rPr>
        <w:instrText xml:space="preserve"> </w:instrText>
      </w:r>
      <w:r w:rsidR="00E974B2">
        <w:rPr>
          <w:b/>
          <w:lang w:val="en-US"/>
        </w:rPr>
        <w:instrText>lymphoblastic</w:instrText>
      </w:r>
      <w:r w:rsidR="00E974B2" w:rsidRPr="006C476A">
        <w:rPr>
          <w:b/>
        </w:rPr>
        <w:instrText xml:space="preserve"> </w:instrText>
      </w:r>
      <w:r w:rsidR="00E974B2">
        <w:rPr>
          <w:b/>
          <w:lang w:val="en-US"/>
        </w:rPr>
        <w:instrText>leukemia</w:instrText>
      </w:r>
      <w:r w:rsidR="00E974B2" w:rsidRPr="006C476A">
        <w:rPr>
          <w:b/>
        </w:rPr>
        <w:instrText>","</w:instrText>
      </w:r>
      <w:r w:rsidR="00E974B2">
        <w:rPr>
          <w:b/>
          <w:lang w:val="en-US"/>
        </w:rPr>
        <w:instrText>type</w:instrText>
      </w:r>
      <w:r w:rsidR="00E974B2" w:rsidRPr="006C476A">
        <w:rPr>
          <w:b/>
        </w:rPr>
        <w:instrText>":"</w:instrText>
      </w:r>
      <w:r w:rsidR="00E974B2">
        <w:rPr>
          <w:b/>
          <w:lang w:val="en-US"/>
        </w:rPr>
        <w:instrText>article</w:instrText>
      </w:r>
      <w:r w:rsidR="00E974B2" w:rsidRPr="006C476A">
        <w:rPr>
          <w:b/>
        </w:rPr>
        <w:instrText>-</w:instrText>
      </w:r>
      <w:r w:rsidR="00E974B2">
        <w:rPr>
          <w:b/>
          <w:lang w:val="en-US"/>
        </w:rPr>
        <w:instrText>journal</w:instrText>
      </w:r>
      <w:r w:rsidR="00E974B2" w:rsidRPr="006C476A">
        <w:rPr>
          <w:b/>
        </w:rPr>
        <w:instrText>","</w:instrText>
      </w:r>
      <w:r w:rsidR="00E974B2">
        <w:rPr>
          <w:b/>
          <w:lang w:val="en-US"/>
        </w:rPr>
        <w:instrText>volume</w:instrText>
      </w:r>
      <w:r w:rsidR="00E974B2" w:rsidRPr="006C476A">
        <w:rPr>
          <w:b/>
        </w:rPr>
        <w:instrText>":"106"},"</w:instrText>
      </w:r>
      <w:r w:rsidR="00E974B2">
        <w:rPr>
          <w:b/>
          <w:lang w:val="en-US"/>
        </w:rPr>
        <w:instrText>uris</w:instrText>
      </w:r>
      <w:r w:rsidR="00E974B2" w:rsidRPr="006C476A">
        <w:rPr>
          <w:b/>
        </w:rPr>
        <w:instrText>":["</w:instrText>
      </w:r>
      <w:r w:rsidR="00E974B2">
        <w:rPr>
          <w:b/>
          <w:lang w:val="en-US"/>
        </w:rPr>
        <w:instrText>http</w:instrText>
      </w:r>
      <w:r w:rsidR="00E974B2" w:rsidRPr="006C476A">
        <w:rPr>
          <w:b/>
        </w:rPr>
        <w:instrText>://</w:instrText>
      </w:r>
      <w:r w:rsidR="00E974B2">
        <w:rPr>
          <w:b/>
          <w:lang w:val="en-US"/>
        </w:rPr>
        <w:instrText>www</w:instrText>
      </w:r>
      <w:r w:rsidR="00E974B2" w:rsidRPr="006C476A">
        <w:rPr>
          <w:b/>
        </w:rPr>
        <w:instrText>.</w:instrText>
      </w:r>
      <w:r w:rsidR="00E974B2">
        <w:rPr>
          <w:b/>
          <w:lang w:val="en-US"/>
        </w:rPr>
        <w:instrText>mendeley</w:instrText>
      </w:r>
      <w:r w:rsidR="00E974B2" w:rsidRPr="006C476A">
        <w:rPr>
          <w:b/>
        </w:rPr>
        <w:instrText>.</w:instrText>
      </w:r>
      <w:r w:rsidR="00E974B2">
        <w:rPr>
          <w:b/>
          <w:lang w:val="en-US"/>
        </w:rPr>
        <w:instrText>com</w:instrText>
      </w:r>
      <w:r w:rsidR="00E974B2" w:rsidRPr="006C476A">
        <w:rPr>
          <w:b/>
        </w:rPr>
        <w:instrText>/</w:instrText>
      </w:r>
      <w:r w:rsidR="00E974B2">
        <w:rPr>
          <w:b/>
          <w:lang w:val="en-US"/>
        </w:rPr>
        <w:instrText>documents</w:instrText>
      </w:r>
      <w:r w:rsidR="00E974B2" w:rsidRPr="006C476A">
        <w:rPr>
          <w:b/>
        </w:rPr>
        <w:instrText>/?</w:instrText>
      </w:r>
      <w:r w:rsidR="00E974B2">
        <w:rPr>
          <w:b/>
          <w:lang w:val="en-US"/>
        </w:rPr>
        <w:instrText>uuid</w:instrText>
      </w:r>
      <w:r w:rsidR="00E974B2" w:rsidRPr="006C476A">
        <w:rPr>
          <w:b/>
        </w:rPr>
        <w:instrText>=</w:instrText>
      </w:r>
      <w:r w:rsidR="00E974B2">
        <w:rPr>
          <w:b/>
          <w:lang w:val="en-US"/>
        </w:rPr>
        <w:instrText>c</w:instrText>
      </w:r>
      <w:r w:rsidR="00E974B2" w:rsidRPr="006C476A">
        <w:rPr>
          <w:b/>
        </w:rPr>
        <w:instrText>756</w:instrText>
      </w:r>
      <w:r w:rsidR="00E974B2">
        <w:rPr>
          <w:b/>
          <w:lang w:val="en-US"/>
        </w:rPr>
        <w:instrText>ddd</w:instrText>
      </w:r>
      <w:r w:rsidR="00E974B2" w:rsidRPr="006C476A">
        <w:rPr>
          <w:b/>
        </w:rPr>
        <w:instrText>9-37</w:instrText>
      </w:r>
      <w:r w:rsidR="00E974B2">
        <w:rPr>
          <w:b/>
          <w:lang w:val="en-US"/>
        </w:rPr>
        <w:instrText>f</w:instrText>
      </w:r>
      <w:r w:rsidR="00E974B2" w:rsidRPr="006C476A">
        <w:rPr>
          <w:b/>
        </w:rPr>
        <w:instrText>2-3</w:instrText>
      </w:r>
      <w:r w:rsidR="00E974B2">
        <w:rPr>
          <w:b/>
          <w:lang w:val="en-US"/>
        </w:rPr>
        <w:instrText>b</w:instrText>
      </w:r>
      <w:r w:rsidR="00E974B2" w:rsidRPr="006C476A">
        <w:rPr>
          <w:b/>
        </w:rPr>
        <w:instrText>3</w:instrText>
      </w:r>
      <w:r w:rsidR="00E974B2">
        <w:rPr>
          <w:b/>
          <w:lang w:val="en-US"/>
        </w:rPr>
        <w:instrText>f</w:instrText>
      </w:r>
      <w:r w:rsidR="00E974B2" w:rsidRPr="006C476A">
        <w:rPr>
          <w:b/>
        </w:rPr>
        <w:instrText>-</w:instrText>
      </w:r>
      <w:r w:rsidR="00E974B2">
        <w:rPr>
          <w:b/>
          <w:lang w:val="en-US"/>
        </w:rPr>
        <w:instrText>bf</w:instrText>
      </w:r>
      <w:r w:rsidR="00E974B2" w:rsidRPr="006C476A">
        <w:rPr>
          <w:b/>
        </w:rPr>
        <w:instrText>5</w:instrText>
      </w:r>
      <w:r w:rsidR="00E974B2">
        <w:rPr>
          <w:b/>
          <w:lang w:val="en-US"/>
        </w:rPr>
        <w:instrText>c</w:instrText>
      </w:r>
      <w:r w:rsidR="00E974B2" w:rsidRPr="006C476A">
        <w:rPr>
          <w:b/>
        </w:rPr>
        <w:instrText>-53</w:instrText>
      </w:r>
      <w:r w:rsidR="00E974B2">
        <w:rPr>
          <w:b/>
          <w:lang w:val="en-US"/>
        </w:rPr>
        <w:instrText>ab</w:instrText>
      </w:r>
      <w:r w:rsidR="00E974B2" w:rsidRPr="006C476A">
        <w:rPr>
          <w:b/>
        </w:rPr>
        <w:instrText>47</w:instrText>
      </w:r>
      <w:r w:rsidR="00E974B2">
        <w:rPr>
          <w:b/>
          <w:lang w:val="en-US"/>
        </w:rPr>
        <w:instrText>a</w:instrText>
      </w:r>
      <w:r w:rsidR="00E974B2" w:rsidRPr="006C476A">
        <w:rPr>
          <w:b/>
        </w:rPr>
        <w:instrText>2</w:instrText>
      </w:r>
      <w:r w:rsidR="00E974B2">
        <w:rPr>
          <w:b/>
          <w:lang w:val="en-US"/>
        </w:rPr>
        <w:instrText>abef</w:instrText>
      </w:r>
      <w:r w:rsidR="00E974B2" w:rsidRPr="006C476A">
        <w:rPr>
          <w:b/>
        </w:rPr>
        <w:instrText>"]}],"</w:instrText>
      </w:r>
      <w:r w:rsidR="00E974B2">
        <w:rPr>
          <w:b/>
          <w:lang w:val="en-US"/>
        </w:rPr>
        <w:instrText>mendeley</w:instrText>
      </w:r>
      <w:r w:rsidR="00E974B2" w:rsidRPr="006C476A">
        <w:rPr>
          <w:b/>
        </w:rPr>
        <w:instrText>":{"</w:instrText>
      </w:r>
      <w:r w:rsidR="00E974B2">
        <w:rPr>
          <w:b/>
          <w:lang w:val="en-US"/>
        </w:rPr>
        <w:instrText>formattedCitation</w:instrText>
      </w:r>
      <w:r w:rsidR="00E974B2" w:rsidRPr="006C476A">
        <w:rPr>
          <w:b/>
        </w:rPr>
        <w:instrText>":"[185]","</w:instrText>
      </w:r>
      <w:r w:rsidR="00E974B2">
        <w:rPr>
          <w:b/>
          <w:lang w:val="en-US"/>
        </w:rPr>
        <w:instrText>plainTextFormattedCitation</w:instrText>
      </w:r>
      <w:r w:rsidR="00E974B2" w:rsidRPr="006C476A">
        <w:rPr>
          <w:b/>
        </w:rPr>
        <w:instrText>":"[185]","</w:instrText>
      </w:r>
      <w:r w:rsidR="00E974B2">
        <w:rPr>
          <w:b/>
          <w:lang w:val="en-US"/>
        </w:rPr>
        <w:instrText>previouslyFormattedCitation</w:instrText>
      </w:r>
      <w:r w:rsidR="00E974B2" w:rsidRPr="006C476A">
        <w:rPr>
          <w:b/>
        </w:rPr>
        <w:instrText>":"[185]"},"</w:instrText>
      </w:r>
      <w:r w:rsidR="00E974B2">
        <w:rPr>
          <w:b/>
          <w:lang w:val="en-US"/>
        </w:rPr>
        <w:instrText>properties</w:instrText>
      </w:r>
      <w:r w:rsidR="00E974B2" w:rsidRPr="006C476A">
        <w:rPr>
          <w:b/>
        </w:rPr>
        <w:instrText>":{"</w:instrText>
      </w:r>
      <w:r w:rsidR="00E974B2">
        <w:rPr>
          <w:b/>
          <w:lang w:val="en-US"/>
        </w:rPr>
        <w:instrText>noteIndex</w:instrText>
      </w:r>
      <w:r w:rsidR="00E974B2" w:rsidRPr="006C476A">
        <w:rPr>
          <w:b/>
        </w:rPr>
        <w:instrText>":0},"</w:instrText>
      </w:r>
      <w:r w:rsidR="00E974B2">
        <w:rPr>
          <w:b/>
          <w:lang w:val="en-US"/>
        </w:rPr>
        <w:instrText>schema</w:instrText>
      </w:r>
      <w:r w:rsidR="00E974B2" w:rsidRPr="006C476A">
        <w:rPr>
          <w:b/>
        </w:rPr>
        <w:instrText>":"</w:instrText>
      </w:r>
      <w:r w:rsidR="00E974B2">
        <w:rPr>
          <w:b/>
          <w:lang w:val="en-US"/>
        </w:rPr>
        <w:instrText>https</w:instrText>
      </w:r>
      <w:r w:rsidR="00E974B2" w:rsidRPr="006C476A">
        <w:rPr>
          <w:b/>
        </w:rPr>
        <w:instrText>://</w:instrText>
      </w:r>
      <w:r w:rsidR="00E974B2">
        <w:rPr>
          <w:b/>
          <w:lang w:val="en-US"/>
        </w:rPr>
        <w:instrText>github</w:instrText>
      </w:r>
      <w:r w:rsidR="00E974B2" w:rsidRPr="006C476A">
        <w:rPr>
          <w:b/>
        </w:rPr>
        <w:instrText>.</w:instrText>
      </w:r>
      <w:r w:rsidR="00E974B2">
        <w:rPr>
          <w:b/>
          <w:lang w:val="en-US"/>
        </w:rPr>
        <w:instrText>com</w:instrText>
      </w:r>
      <w:r w:rsidR="00E974B2" w:rsidRPr="006C476A">
        <w:rPr>
          <w:b/>
        </w:rPr>
        <w:instrText>/</w:instrText>
      </w:r>
      <w:r w:rsidR="00E974B2">
        <w:rPr>
          <w:b/>
          <w:lang w:val="en-US"/>
        </w:rPr>
        <w:instrText>citation</w:instrText>
      </w:r>
      <w:r w:rsidR="00E974B2" w:rsidRPr="006C476A">
        <w:rPr>
          <w:b/>
        </w:rPr>
        <w:instrText>-</w:instrText>
      </w:r>
      <w:r w:rsidR="00E974B2">
        <w:rPr>
          <w:b/>
          <w:lang w:val="en-US"/>
        </w:rPr>
        <w:instrText>style</w:instrText>
      </w:r>
      <w:r w:rsidR="00E974B2" w:rsidRPr="006C476A">
        <w:rPr>
          <w:b/>
        </w:rPr>
        <w:instrText>-</w:instrText>
      </w:r>
      <w:r w:rsidR="00E974B2">
        <w:rPr>
          <w:b/>
          <w:lang w:val="en-US"/>
        </w:rPr>
        <w:instrText>language</w:instrText>
      </w:r>
      <w:r w:rsidR="00E974B2" w:rsidRPr="006C476A">
        <w:rPr>
          <w:b/>
        </w:rPr>
        <w:instrText>/</w:instrText>
      </w:r>
      <w:r w:rsidR="00E974B2">
        <w:rPr>
          <w:b/>
          <w:lang w:val="en-US"/>
        </w:rPr>
        <w:instrText>schema</w:instrText>
      </w:r>
      <w:r w:rsidR="00E974B2" w:rsidRPr="006C476A">
        <w:rPr>
          <w:b/>
        </w:rPr>
        <w:instrText>/</w:instrText>
      </w:r>
      <w:r w:rsidR="00E974B2">
        <w:rPr>
          <w:b/>
          <w:lang w:val="en-US"/>
        </w:rPr>
        <w:instrText>raw</w:instrText>
      </w:r>
      <w:r w:rsidR="00E974B2" w:rsidRPr="006C476A">
        <w:rPr>
          <w:b/>
        </w:rPr>
        <w:instrText>/</w:instrText>
      </w:r>
      <w:r w:rsidR="00E974B2">
        <w:rPr>
          <w:b/>
          <w:lang w:val="en-US"/>
        </w:rPr>
        <w:instrText>master</w:instrText>
      </w:r>
      <w:r w:rsidR="00E974B2" w:rsidRPr="006C476A">
        <w:rPr>
          <w:b/>
        </w:rPr>
        <w:instrText>/</w:instrText>
      </w:r>
      <w:r w:rsidR="00E974B2">
        <w:rPr>
          <w:b/>
          <w:lang w:val="en-US"/>
        </w:rPr>
        <w:instrText>csl</w:instrText>
      </w:r>
      <w:r w:rsidR="00E974B2" w:rsidRPr="006C476A">
        <w:rPr>
          <w:b/>
        </w:rPr>
        <w:instrText>-</w:instrText>
      </w:r>
      <w:r w:rsidR="00E974B2">
        <w:rPr>
          <w:b/>
          <w:lang w:val="en-US"/>
        </w:rPr>
        <w:instrText>citation</w:instrText>
      </w:r>
      <w:r w:rsidR="00E974B2" w:rsidRPr="006C476A">
        <w:rPr>
          <w:b/>
        </w:rPr>
        <w:instrText>.</w:instrText>
      </w:r>
      <w:r w:rsidR="00E974B2">
        <w:rPr>
          <w:b/>
          <w:lang w:val="en-US"/>
        </w:rPr>
        <w:instrText>json</w:instrText>
      </w:r>
      <w:r w:rsidR="00E974B2" w:rsidRPr="006C476A">
        <w:rPr>
          <w:b/>
        </w:rPr>
        <w:instrText>"}</w:instrText>
      </w:r>
      <w:r w:rsidR="00B7749F" w:rsidRPr="000322E4">
        <w:rPr>
          <w:b/>
        </w:rPr>
        <w:fldChar w:fldCharType="separate"/>
      </w:r>
      <w:r w:rsidR="004C51FF" w:rsidRPr="004C51FF">
        <w:rPr>
          <w:noProof/>
        </w:rPr>
        <w:t>[185]</w:t>
      </w:r>
      <w:r w:rsidR="00B7749F" w:rsidRPr="000322E4">
        <w:rPr>
          <w:b/>
        </w:rPr>
        <w:fldChar w:fldCharType="end"/>
      </w:r>
    </w:p>
    <w:p w14:paraId="12ABF4C1" w14:textId="77777777" w:rsidR="00666D68" w:rsidRPr="000322E4" w:rsidRDefault="00666D68" w:rsidP="008E3584">
      <w:pPr>
        <w:rPr>
          <w:b/>
        </w:rPr>
      </w:pPr>
      <w:r w:rsidRPr="000322E4">
        <w:rPr>
          <w:b/>
        </w:rPr>
        <w:t>Циклы 1, 3, 5, 7 (Hyper-CVAD):</w:t>
      </w:r>
    </w:p>
    <w:p w14:paraId="69D94FCD" w14:textId="77777777" w:rsidR="00B7749F" w:rsidRPr="000322E4" w:rsidRDefault="00B7749F" w:rsidP="009F7A84">
      <w:pPr>
        <w:widowControl w:val="0"/>
        <w:numPr>
          <w:ilvl w:val="0"/>
          <w:numId w:val="54"/>
        </w:numPr>
        <w:autoSpaceDE w:val="0"/>
        <w:autoSpaceDN w:val="0"/>
        <w:adjustRightInd w:val="0"/>
      </w:pPr>
      <w:r w:rsidRPr="000322E4">
        <w:t>Ритуксимаб** 375 мг/м</w:t>
      </w:r>
      <w:r w:rsidRPr="000322E4">
        <w:rPr>
          <w:vertAlign w:val="superscript"/>
        </w:rPr>
        <w:t>2</w:t>
      </w:r>
      <w:r w:rsidRPr="000322E4">
        <w:t xml:space="preserve"> в/в, 1-й, 11-й дни (циклы 1, 3)</w:t>
      </w:r>
    </w:p>
    <w:p w14:paraId="50D75472" w14:textId="77777777" w:rsidR="00666D68" w:rsidRPr="000322E4" w:rsidRDefault="00666D68" w:rsidP="009F7A84">
      <w:pPr>
        <w:widowControl w:val="0"/>
        <w:numPr>
          <w:ilvl w:val="0"/>
          <w:numId w:val="54"/>
        </w:numPr>
        <w:autoSpaceDE w:val="0"/>
        <w:autoSpaceDN w:val="0"/>
        <w:adjustRightInd w:val="0"/>
      </w:pPr>
      <w:r w:rsidRPr="000322E4">
        <w:t>Циклофосфамид** 300 мг/м</w:t>
      </w:r>
      <w:r w:rsidRPr="000322E4">
        <w:rPr>
          <w:vertAlign w:val="superscript"/>
        </w:rPr>
        <w:t>2</w:t>
      </w:r>
      <w:r w:rsidRPr="000322E4">
        <w:t xml:space="preserve"> в/в каждые 12 ч, 1–3-й дни (всего 6 введений) </w:t>
      </w:r>
    </w:p>
    <w:p w14:paraId="6FCF859C" w14:textId="77777777" w:rsidR="00666D68" w:rsidRPr="000322E4" w:rsidRDefault="00666D68" w:rsidP="009F7A84">
      <w:pPr>
        <w:widowControl w:val="0"/>
        <w:numPr>
          <w:ilvl w:val="0"/>
          <w:numId w:val="54"/>
        </w:numPr>
        <w:autoSpaceDE w:val="0"/>
        <w:autoSpaceDN w:val="0"/>
        <w:adjustRightInd w:val="0"/>
      </w:pPr>
      <w:r w:rsidRPr="000322E4">
        <w:t>Дексаметазон** 40 мг в/в или внутрь, 1–4-й, 11–14-й дни</w:t>
      </w:r>
    </w:p>
    <w:p w14:paraId="0745969B" w14:textId="77777777" w:rsidR="00666D68" w:rsidRPr="000322E4" w:rsidRDefault="00666D68" w:rsidP="009F7A84">
      <w:pPr>
        <w:widowControl w:val="0"/>
        <w:numPr>
          <w:ilvl w:val="0"/>
          <w:numId w:val="54"/>
        </w:numPr>
        <w:autoSpaceDE w:val="0"/>
        <w:autoSpaceDN w:val="0"/>
        <w:adjustRightInd w:val="0"/>
      </w:pPr>
      <w:r w:rsidRPr="000322E4">
        <w:t>Доксорубицин** 50 мг/м</w:t>
      </w:r>
      <w:r w:rsidRPr="000322E4">
        <w:rPr>
          <w:vertAlign w:val="superscript"/>
        </w:rPr>
        <w:t>2</w:t>
      </w:r>
      <w:r w:rsidRPr="000322E4">
        <w:t xml:space="preserve"> в/в непрерывной 24-часовой инфузией в центральный катетер, 4-й день</w:t>
      </w:r>
    </w:p>
    <w:p w14:paraId="13AF5F33" w14:textId="77777777" w:rsidR="00666D68" w:rsidRPr="000322E4" w:rsidRDefault="00666D68" w:rsidP="009F7A84">
      <w:pPr>
        <w:widowControl w:val="0"/>
        <w:numPr>
          <w:ilvl w:val="0"/>
          <w:numId w:val="54"/>
        </w:numPr>
        <w:autoSpaceDE w:val="0"/>
        <w:autoSpaceDN w:val="0"/>
        <w:adjustRightInd w:val="0"/>
      </w:pPr>
      <w:r w:rsidRPr="000322E4">
        <w:t>Винкристин** 2 мг в/в, 4-й, 11-й дни</w:t>
      </w:r>
    </w:p>
    <w:p w14:paraId="49E3E56B" w14:textId="77777777" w:rsidR="00666D68" w:rsidRPr="000322E4" w:rsidRDefault="00666D68" w:rsidP="008E3584">
      <w:pPr>
        <w:rPr>
          <w:b/>
        </w:rPr>
      </w:pPr>
      <w:r w:rsidRPr="000322E4">
        <w:rPr>
          <w:b/>
        </w:rPr>
        <w:t>Циклы 2, 4, 6, 8 (HMA):</w:t>
      </w:r>
    </w:p>
    <w:p w14:paraId="46E5150F" w14:textId="77777777" w:rsidR="00B7749F" w:rsidRPr="000322E4" w:rsidRDefault="00B7749F" w:rsidP="009F7A84">
      <w:pPr>
        <w:widowControl w:val="0"/>
        <w:numPr>
          <w:ilvl w:val="0"/>
          <w:numId w:val="54"/>
        </w:numPr>
        <w:autoSpaceDE w:val="0"/>
        <w:autoSpaceDN w:val="0"/>
        <w:adjustRightInd w:val="0"/>
      </w:pPr>
      <w:r w:rsidRPr="000322E4">
        <w:t>Ритуксимаб** 375 мг/м</w:t>
      </w:r>
      <w:r w:rsidRPr="000322E4">
        <w:rPr>
          <w:vertAlign w:val="superscript"/>
        </w:rPr>
        <w:t>2</w:t>
      </w:r>
      <w:r w:rsidRPr="000322E4">
        <w:t xml:space="preserve"> в/в, 2-й, 8-й (циклы 2, 4)</w:t>
      </w:r>
    </w:p>
    <w:p w14:paraId="5D65BC76" w14:textId="77777777" w:rsidR="00666D68" w:rsidRPr="000322E4" w:rsidRDefault="00666D68" w:rsidP="009F7A84">
      <w:pPr>
        <w:widowControl w:val="0"/>
        <w:numPr>
          <w:ilvl w:val="0"/>
          <w:numId w:val="54"/>
        </w:numPr>
        <w:autoSpaceDE w:val="0"/>
        <w:autoSpaceDN w:val="0"/>
        <w:adjustRightInd w:val="0"/>
      </w:pPr>
      <w:r w:rsidRPr="000322E4">
        <w:t>Метотрексат** 1000 мг в/в непрерывной 24-часовой инфузией, 1-й день</w:t>
      </w:r>
    </w:p>
    <w:p w14:paraId="22FBD6CE" w14:textId="77777777" w:rsidR="00666D68" w:rsidRPr="000322E4" w:rsidRDefault="00666D68" w:rsidP="009F7A84">
      <w:pPr>
        <w:widowControl w:val="0"/>
        <w:numPr>
          <w:ilvl w:val="0"/>
          <w:numId w:val="54"/>
        </w:numPr>
        <w:autoSpaceDE w:val="0"/>
        <w:autoSpaceDN w:val="0"/>
        <w:adjustRightInd w:val="0"/>
      </w:pPr>
      <w:r w:rsidRPr="000322E4">
        <w:t>Цитарабин** 3 г/м</w:t>
      </w:r>
      <w:r w:rsidRPr="000322E4">
        <w:rPr>
          <w:vertAlign w:val="superscript"/>
        </w:rPr>
        <w:t>2</w:t>
      </w:r>
      <w:r w:rsidRPr="000322E4">
        <w:t xml:space="preserve"> (у больных старше 60 лет – 1 г/м</w:t>
      </w:r>
      <w:r w:rsidRPr="000322E4">
        <w:rPr>
          <w:vertAlign w:val="superscript"/>
        </w:rPr>
        <w:t>2</w:t>
      </w:r>
      <w:r w:rsidRPr="000322E4">
        <w:t>) в/в каждые 12 ч, 2–3-й дни (всего 4 введения)</w:t>
      </w:r>
    </w:p>
    <w:p w14:paraId="326C71CE" w14:textId="77777777" w:rsidR="00666D68" w:rsidRPr="000322E4" w:rsidRDefault="00666D68" w:rsidP="00E47E08">
      <w:pPr>
        <w:widowControl w:val="0"/>
        <w:autoSpaceDE w:val="0"/>
        <w:autoSpaceDN w:val="0"/>
        <w:adjustRightInd w:val="0"/>
        <w:ind w:firstLine="709"/>
      </w:pPr>
      <w:r w:rsidRPr="000322E4">
        <w:t>Профилактика поражения ЦНС проводится на каждом курсе, суммарно 16 интратекальных введений: метотрексат** 12 мг интратекально, 2-й день, цитарабин** 100 мг интратекально, 7-й день</w:t>
      </w:r>
    </w:p>
    <w:p w14:paraId="0556C4EE" w14:textId="77777777" w:rsidR="00666D68" w:rsidRPr="000322E4" w:rsidRDefault="00666D68" w:rsidP="00CA442F">
      <w:pPr>
        <w:pStyle w:val="-51"/>
        <w:ind w:left="0"/>
        <w:rPr>
          <w:b/>
          <w:szCs w:val="24"/>
        </w:rPr>
      </w:pPr>
    </w:p>
    <w:p w14:paraId="6CCD90CF" w14:textId="77777777" w:rsidR="00666D68" w:rsidRPr="000322E4" w:rsidRDefault="00666D68" w:rsidP="008E3584">
      <w:pPr>
        <w:pStyle w:val="afd"/>
        <w:spacing w:beforeAutospacing="0" w:afterAutospacing="0" w:line="360" w:lineRule="auto"/>
        <w:ind w:firstLine="0"/>
        <w:rPr>
          <w:b/>
          <w:bCs/>
          <w:u w:val="single"/>
        </w:rPr>
      </w:pPr>
      <w:r w:rsidRPr="000322E4">
        <w:rPr>
          <w:b/>
          <w:bCs/>
          <w:u w:val="single"/>
          <w:lang w:val="en-US"/>
        </w:rPr>
        <w:t>A</w:t>
      </w:r>
      <w:r w:rsidRPr="000322E4">
        <w:rPr>
          <w:b/>
          <w:bCs/>
          <w:u w:val="single"/>
        </w:rPr>
        <w:t>3.1.3 Схемы лечения рецидивов у пациентов с агрессивными нефолликулярными В-клеточными лимфомами</w:t>
      </w:r>
    </w:p>
    <w:p w14:paraId="253957CD" w14:textId="77777777" w:rsidR="00666D68" w:rsidRPr="000322E4" w:rsidRDefault="00666D68" w:rsidP="008E3584">
      <w:pPr>
        <w:rPr>
          <w:b/>
          <w:bCs/>
        </w:rPr>
      </w:pPr>
      <w:r w:rsidRPr="000322E4">
        <w:rPr>
          <w:b/>
          <w:bCs/>
        </w:rPr>
        <w:t xml:space="preserve">DHAP </w:t>
      </w:r>
      <w:r w:rsidRPr="000322E4">
        <w:rPr>
          <w:lang w:val="en-US"/>
        </w:rPr>
        <w:fldChar w:fldCharType="begin" w:fldLock="1"/>
      </w:r>
      <w:r w:rsidR="00C37789" w:rsidRPr="000322E4">
        <w:rPr>
          <w:lang w:val="en-US"/>
        </w:rPr>
        <w:instrText>ADDIN</w:instrText>
      </w:r>
      <w:r w:rsidR="00C37789" w:rsidRPr="00593501">
        <w:instrText xml:space="preserve"> </w:instrText>
      </w:r>
      <w:r w:rsidR="00C37789" w:rsidRPr="000322E4">
        <w:rPr>
          <w:lang w:val="en-US"/>
        </w:rPr>
        <w:instrText>CSL</w:instrText>
      </w:r>
      <w:r w:rsidR="00C37789" w:rsidRPr="00593501">
        <w:instrText>_</w:instrText>
      </w:r>
      <w:r w:rsidR="00C37789" w:rsidRPr="000322E4">
        <w:rPr>
          <w:lang w:val="en-US"/>
        </w:rPr>
        <w:instrText>CITATION</w:instrText>
      </w:r>
      <w:r w:rsidR="00C37789" w:rsidRPr="00593501">
        <w:instrText xml:space="preserve"> {"</w:instrText>
      </w:r>
      <w:r w:rsidR="00C37789" w:rsidRPr="000322E4">
        <w:rPr>
          <w:lang w:val="en-US"/>
        </w:rPr>
        <w:instrText>citationItems</w:instrText>
      </w:r>
      <w:r w:rsidR="00C37789" w:rsidRPr="00593501">
        <w:instrText>":[{"</w:instrText>
      </w:r>
      <w:r w:rsidR="00C37789" w:rsidRPr="000322E4">
        <w:rPr>
          <w:lang w:val="en-US"/>
        </w:rPr>
        <w:instrText>id</w:instrText>
      </w:r>
      <w:r w:rsidR="00C37789" w:rsidRPr="00593501">
        <w:instrText>":"</w:instrText>
      </w:r>
      <w:r w:rsidR="00C37789" w:rsidRPr="000322E4">
        <w:rPr>
          <w:lang w:val="en-US"/>
        </w:rPr>
        <w:instrText>ITEM</w:instrText>
      </w:r>
      <w:r w:rsidR="00C37789" w:rsidRPr="00593501">
        <w:instrText>-1","</w:instrText>
      </w:r>
      <w:r w:rsidR="00C37789" w:rsidRPr="000322E4">
        <w:rPr>
          <w:lang w:val="en-US"/>
        </w:rPr>
        <w:instrText>itemData</w:instrText>
      </w:r>
      <w:r w:rsidR="00C37789" w:rsidRPr="00593501">
        <w:instrText>":{"</w:instrText>
      </w:r>
      <w:r w:rsidR="00C37789" w:rsidRPr="000322E4">
        <w:rPr>
          <w:lang w:val="en-US"/>
        </w:rPr>
        <w:instrText>id</w:instrText>
      </w:r>
      <w:r w:rsidR="00C37789" w:rsidRPr="00593501">
        <w:instrText>":"</w:instrText>
      </w:r>
      <w:r w:rsidR="00C37789" w:rsidRPr="000322E4">
        <w:rPr>
          <w:lang w:val="en-US"/>
        </w:rPr>
        <w:instrText>ITEM</w:instrText>
      </w:r>
      <w:r w:rsidR="00C37789" w:rsidRPr="00593501">
        <w:instrText>-1","</w:instrText>
      </w:r>
      <w:r w:rsidR="00C37789" w:rsidRPr="000322E4">
        <w:rPr>
          <w:lang w:val="en-US"/>
        </w:rPr>
        <w:instrText>issued</w:instrText>
      </w:r>
      <w:r w:rsidR="00C37789" w:rsidRPr="00593501">
        <w:instrText>":{"</w:instrText>
      </w:r>
      <w:r w:rsidR="00C37789" w:rsidRPr="000322E4">
        <w:rPr>
          <w:lang w:val="en-US"/>
        </w:rPr>
        <w:instrText>date</w:instrText>
      </w:r>
      <w:r w:rsidR="00C37789" w:rsidRPr="00593501">
        <w:instrText>-</w:instrText>
      </w:r>
      <w:r w:rsidR="00C37789" w:rsidRPr="000322E4">
        <w:rPr>
          <w:lang w:val="en-US"/>
        </w:rPr>
        <w:instrText>parts</w:instrText>
      </w:r>
      <w:r w:rsidR="00C37789" w:rsidRPr="00593501">
        <w:instrText>":[["2015"]]},"</w:instrText>
      </w:r>
      <w:r w:rsidR="00C37789" w:rsidRPr="000322E4">
        <w:rPr>
          <w:lang w:val="en-US"/>
        </w:rPr>
        <w:instrText>title</w:instrText>
      </w:r>
      <w:r w:rsidR="00C37789" w:rsidRPr="00593501">
        <w:instrText>":"</w:instrText>
      </w:r>
      <w:r w:rsidR="00C37789" w:rsidRPr="000322E4">
        <w:rPr>
          <w:lang w:val="en-US"/>
        </w:rPr>
        <w:instrText>Guidelines</w:instrText>
      </w:r>
      <w:r w:rsidR="00C37789" w:rsidRPr="00593501">
        <w:instrText xml:space="preserve"> </w:instrText>
      </w:r>
      <w:r w:rsidR="00C37789" w:rsidRPr="000322E4">
        <w:rPr>
          <w:lang w:val="en-US"/>
        </w:rPr>
        <w:instrText>for</w:instrText>
      </w:r>
      <w:r w:rsidR="00C37789" w:rsidRPr="00593501">
        <w:instrText xml:space="preserve"> </w:instrText>
      </w:r>
      <w:r w:rsidR="00C37789" w:rsidRPr="000322E4">
        <w:rPr>
          <w:lang w:val="en-US"/>
        </w:rPr>
        <w:instrText>the</w:instrText>
      </w:r>
      <w:r w:rsidR="00C37789" w:rsidRPr="00593501">
        <w:instrText xml:space="preserve"> </w:instrText>
      </w:r>
      <w:r w:rsidR="00C37789" w:rsidRPr="000322E4">
        <w:rPr>
          <w:lang w:val="en-US"/>
        </w:rPr>
        <w:instrText>management</w:instrText>
      </w:r>
      <w:r w:rsidR="00C37789" w:rsidRPr="00593501">
        <w:instrText xml:space="preserve"> </w:instrText>
      </w:r>
      <w:r w:rsidR="00C37789" w:rsidRPr="000322E4">
        <w:rPr>
          <w:lang w:val="en-US"/>
        </w:rPr>
        <w:instrText>of</w:instrText>
      </w:r>
      <w:r w:rsidR="00C37789" w:rsidRPr="00593501">
        <w:instrText xml:space="preserve"> </w:instrText>
      </w:r>
      <w:r w:rsidR="00C37789" w:rsidRPr="000322E4">
        <w:rPr>
          <w:lang w:val="en-US"/>
        </w:rPr>
        <w:instrText>non</w:instrText>
      </w:r>
      <w:r w:rsidR="00C37789" w:rsidRPr="00593501">
        <w:instrText>-­-</w:instrText>
      </w:r>
      <w:r w:rsidR="00C37789" w:rsidRPr="000322E4">
        <w:rPr>
          <w:lang w:val="en-US"/>
        </w:rPr>
        <w:instrText>Hodgkin</w:instrText>
      </w:r>
      <w:r w:rsidR="00C37789" w:rsidRPr="00593501">
        <w:instrText>'</w:instrText>
      </w:r>
      <w:r w:rsidR="00C37789" w:rsidRPr="000322E4">
        <w:rPr>
          <w:lang w:val="en-US"/>
        </w:rPr>
        <w:instrText>s</w:instrText>
      </w:r>
      <w:r w:rsidR="00C37789" w:rsidRPr="00593501">
        <w:instrText xml:space="preserve"> </w:instrText>
      </w:r>
      <w:r w:rsidR="00C37789" w:rsidRPr="000322E4">
        <w:rPr>
          <w:lang w:val="en-US"/>
        </w:rPr>
        <w:instrText>and</w:instrText>
      </w:r>
      <w:r w:rsidR="00C37789" w:rsidRPr="00593501">
        <w:instrText xml:space="preserve"> </w:instrText>
      </w:r>
      <w:r w:rsidR="00C37789" w:rsidRPr="000322E4">
        <w:rPr>
          <w:lang w:val="en-US"/>
        </w:rPr>
        <w:instrText>Hodgkin</w:instrText>
      </w:r>
      <w:r w:rsidR="00C37789" w:rsidRPr="00593501">
        <w:instrText>'</w:instrText>
      </w:r>
      <w:r w:rsidR="00C37789" w:rsidRPr="000322E4">
        <w:rPr>
          <w:lang w:val="en-US"/>
        </w:rPr>
        <w:instrText>s</w:instrText>
      </w:r>
      <w:r w:rsidR="00C37789" w:rsidRPr="00593501">
        <w:instrText xml:space="preserve"> </w:instrText>
      </w:r>
      <w:r w:rsidR="00C37789" w:rsidRPr="000322E4">
        <w:rPr>
          <w:lang w:val="en-US"/>
        </w:rPr>
        <w:instrText>lymphoma</w:instrText>
      </w:r>
      <w:r w:rsidR="00C37789" w:rsidRPr="00593501">
        <w:instrText xml:space="preserve"> </w:instrText>
      </w:r>
      <w:r w:rsidR="00C37789" w:rsidRPr="000322E4">
        <w:rPr>
          <w:lang w:val="en-US"/>
        </w:rPr>
        <w:instrText>in</w:instrText>
      </w:r>
      <w:r w:rsidR="00C37789" w:rsidRPr="00593501">
        <w:instrText xml:space="preserve"> </w:instrText>
      </w:r>
      <w:r w:rsidR="00C37789" w:rsidRPr="000322E4">
        <w:rPr>
          <w:lang w:val="en-US"/>
        </w:rPr>
        <w:instrText>adults</w:instrText>
      </w:r>
      <w:r w:rsidR="00C37789" w:rsidRPr="00593501">
        <w:instrText>","</w:instrText>
      </w:r>
      <w:r w:rsidR="00C37789" w:rsidRPr="000322E4">
        <w:rPr>
          <w:lang w:val="en-US"/>
        </w:rPr>
        <w:instrText>type</w:instrText>
      </w:r>
      <w:r w:rsidR="00C37789" w:rsidRPr="00593501">
        <w:instrText>":"</w:instrText>
      </w:r>
      <w:r w:rsidR="00C37789" w:rsidRPr="000322E4">
        <w:rPr>
          <w:lang w:val="en-US"/>
        </w:rPr>
        <w:instrText>report</w:instrText>
      </w:r>
      <w:r w:rsidR="00C37789" w:rsidRPr="00593501">
        <w:instrText>"},"</w:instrText>
      </w:r>
      <w:r w:rsidR="00C37789" w:rsidRPr="000322E4">
        <w:rPr>
          <w:lang w:val="en-US"/>
        </w:rPr>
        <w:instrText>uris</w:instrText>
      </w:r>
      <w:r w:rsidR="00C37789" w:rsidRPr="00593501">
        <w:instrText>":["</w:instrText>
      </w:r>
      <w:r w:rsidR="00C37789" w:rsidRPr="000322E4">
        <w:rPr>
          <w:lang w:val="en-US"/>
        </w:rPr>
        <w:instrText>http</w:instrText>
      </w:r>
      <w:r w:rsidR="00C37789" w:rsidRPr="00593501">
        <w:instrText>://</w:instrText>
      </w:r>
      <w:r w:rsidR="00C37789" w:rsidRPr="000322E4">
        <w:rPr>
          <w:lang w:val="en-US"/>
        </w:rPr>
        <w:instrText>www</w:instrText>
      </w:r>
      <w:r w:rsidR="00C37789" w:rsidRPr="00593501">
        <w:instrText>.</w:instrText>
      </w:r>
      <w:r w:rsidR="00C37789" w:rsidRPr="000322E4">
        <w:rPr>
          <w:lang w:val="en-US"/>
        </w:rPr>
        <w:instrText>mendeley</w:instrText>
      </w:r>
      <w:r w:rsidR="00C37789" w:rsidRPr="00593501">
        <w:instrText>.</w:instrText>
      </w:r>
      <w:r w:rsidR="00C37789" w:rsidRPr="000322E4">
        <w:rPr>
          <w:lang w:val="en-US"/>
        </w:rPr>
        <w:instrText>com</w:instrText>
      </w:r>
      <w:r w:rsidR="00C37789" w:rsidRPr="00593501">
        <w:instrText>/</w:instrText>
      </w:r>
      <w:r w:rsidR="00C37789" w:rsidRPr="000322E4">
        <w:rPr>
          <w:lang w:val="en-US"/>
        </w:rPr>
        <w:instrText>documents</w:instrText>
      </w:r>
      <w:r w:rsidR="00C37789" w:rsidRPr="00593501">
        <w:instrText>/?</w:instrText>
      </w:r>
      <w:r w:rsidR="00C37789" w:rsidRPr="000322E4">
        <w:rPr>
          <w:lang w:val="en-US"/>
        </w:rPr>
        <w:instrText>uuid</w:instrText>
      </w:r>
      <w:r w:rsidR="00C37789" w:rsidRPr="00593501">
        <w:instrText>=</w:instrText>
      </w:r>
      <w:r w:rsidR="00C37789" w:rsidRPr="000322E4">
        <w:rPr>
          <w:lang w:val="en-US"/>
        </w:rPr>
        <w:instrText>a</w:instrText>
      </w:r>
      <w:r w:rsidR="00C37789" w:rsidRPr="00593501">
        <w:instrText>380</w:instrText>
      </w:r>
      <w:r w:rsidR="00C37789" w:rsidRPr="000322E4">
        <w:rPr>
          <w:lang w:val="en-US"/>
        </w:rPr>
        <w:instrText>ec</w:instrText>
      </w:r>
      <w:r w:rsidR="00C37789" w:rsidRPr="00593501">
        <w:instrText>17-</w:instrText>
      </w:r>
      <w:r w:rsidR="00C37789" w:rsidRPr="000322E4">
        <w:rPr>
          <w:lang w:val="en-US"/>
        </w:rPr>
        <w:instrText>d</w:instrText>
      </w:r>
      <w:r w:rsidR="00C37789" w:rsidRPr="00593501">
        <w:instrText>736-3</w:instrText>
      </w:r>
      <w:r w:rsidR="00C37789" w:rsidRPr="000322E4">
        <w:rPr>
          <w:lang w:val="en-US"/>
        </w:rPr>
        <w:instrText>ac</w:instrText>
      </w:r>
      <w:r w:rsidR="00C37789" w:rsidRPr="00593501">
        <w:instrText>7-</w:instrText>
      </w:r>
      <w:r w:rsidR="00C37789" w:rsidRPr="000322E4">
        <w:rPr>
          <w:lang w:val="en-US"/>
        </w:rPr>
        <w:instrText>b</w:instrText>
      </w:r>
      <w:r w:rsidR="00C37789" w:rsidRPr="00593501">
        <w:instrText>3</w:instrText>
      </w:r>
      <w:r w:rsidR="00C37789" w:rsidRPr="000322E4">
        <w:rPr>
          <w:lang w:val="en-US"/>
        </w:rPr>
        <w:instrText>e</w:instrText>
      </w:r>
      <w:r w:rsidR="00C37789" w:rsidRPr="00593501">
        <w:instrText>2-610474</w:instrText>
      </w:r>
      <w:r w:rsidR="00C37789" w:rsidRPr="000322E4">
        <w:rPr>
          <w:lang w:val="en-US"/>
        </w:rPr>
        <w:instrText>fcc</w:instrText>
      </w:r>
      <w:r w:rsidR="00C37789" w:rsidRPr="00593501">
        <w:instrText>0</w:instrText>
      </w:r>
      <w:r w:rsidR="00C37789" w:rsidRPr="000322E4">
        <w:rPr>
          <w:lang w:val="en-US"/>
        </w:rPr>
        <w:instrText>a</w:instrText>
      </w:r>
      <w:r w:rsidR="00C37789" w:rsidRPr="00593501">
        <w:instrText>2"]},{"</w:instrText>
      </w:r>
      <w:r w:rsidR="00C37789" w:rsidRPr="000322E4">
        <w:rPr>
          <w:lang w:val="en-US"/>
        </w:rPr>
        <w:instrText>id</w:instrText>
      </w:r>
      <w:r w:rsidR="00C37789" w:rsidRPr="00593501">
        <w:instrText>":"</w:instrText>
      </w:r>
      <w:r w:rsidR="00C37789" w:rsidRPr="000322E4">
        <w:rPr>
          <w:lang w:val="en-US"/>
        </w:rPr>
        <w:instrText>ITEM</w:instrText>
      </w:r>
      <w:r w:rsidR="00C37789" w:rsidRPr="00593501">
        <w:instrText>-2","</w:instrText>
      </w:r>
      <w:r w:rsidR="00C37789" w:rsidRPr="000322E4">
        <w:rPr>
          <w:lang w:val="en-US"/>
        </w:rPr>
        <w:instrText>itemData</w:instrText>
      </w:r>
      <w:r w:rsidR="00C37789" w:rsidRPr="00593501">
        <w:instrText>":{"</w:instrText>
      </w:r>
      <w:r w:rsidR="00C37789" w:rsidRPr="000322E4">
        <w:rPr>
          <w:lang w:val="en-US"/>
        </w:rPr>
        <w:instrText>author</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family</w:instrText>
      </w:r>
      <w:r w:rsidR="00C37789" w:rsidRPr="00593501">
        <w:instrText>":"Тумян","</w:instrText>
      </w:r>
      <w:r w:rsidR="00C37789" w:rsidRPr="000322E4">
        <w:rPr>
          <w:lang w:val="en-US"/>
        </w:rPr>
        <w:instrText>given</w:instrText>
      </w:r>
      <w:r w:rsidR="00C37789" w:rsidRPr="00593501">
        <w:instrText>":"Г.С.","</w:instrText>
      </w:r>
      <w:r w:rsidR="00C37789" w:rsidRPr="000322E4">
        <w:rPr>
          <w:lang w:val="en-US"/>
        </w:rPr>
        <w:instrText>non</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parse</w:instrText>
      </w:r>
      <w:r w:rsidR="00C37789" w:rsidRPr="00593501">
        <w:instrText>-</w:instrText>
      </w:r>
      <w:r w:rsidR="00C37789" w:rsidRPr="000322E4">
        <w:rPr>
          <w:lang w:val="en-US"/>
        </w:rPr>
        <w:instrText>names</w:instrText>
      </w:r>
      <w:r w:rsidR="00C37789" w:rsidRPr="00593501">
        <w:instrText>":</w:instrText>
      </w:r>
      <w:r w:rsidR="00C37789" w:rsidRPr="000322E4">
        <w:rPr>
          <w:lang w:val="en-US"/>
        </w:rPr>
        <w:instrText>false</w:instrText>
      </w:r>
      <w:r w:rsidR="00C37789" w:rsidRPr="00593501">
        <w:instrText>,"</w:instrText>
      </w:r>
      <w:r w:rsidR="00C37789" w:rsidRPr="000322E4">
        <w:rPr>
          <w:lang w:val="en-US"/>
        </w:rPr>
        <w:instrText>suffix</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family</w:instrText>
      </w:r>
      <w:r w:rsidR="00C37789" w:rsidRPr="00593501">
        <w:instrText>":"Кравченко","</w:instrText>
      </w:r>
      <w:r w:rsidR="00C37789" w:rsidRPr="000322E4">
        <w:rPr>
          <w:lang w:val="en-US"/>
        </w:rPr>
        <w:instrText>given</w:instrText>
      </w:r>
      <w:r w:rsidR="00C37789" w:rsidRPr="00593501">
        <w:instrText>":"С.К.","</w:instrText>
      </w:r>
      <w:r w:rsidR="00C37789" w:rsidRPr="000322E4">
        <w:rPr>
          <w:lang w:val="en-US"/>
        </w:rPr>
        <w:instrText>non</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parse</w:instrText>
      </w:r>
      <w:r w:rsidR="00C37789" w:rsidRPr="00593501">
        <w:instrText>-</w:instrText>
      </w:r>
      <w:r w:rsidR="00C37789" w:rsidRPr="000322E4">
        <w:rPr>
          <w:lang w:val="en-US"/>
        </w:rPr>
        <w:instrText>names</w:instrText>
      </w:r>
      <w:r w:rsidR="00C37789" w:rsidRPr="00593501">
        <w:instrText>":</w:instrText>
      </w:r>
      <w:r w:rsidR="00C37789" w:rsidRPr="000322E4">
        <w:rPr>
          <w:lang w:val="en-US"/>
        </w:rPr>
        <w:instrText>false</w:instrText>
      </w:r>
      <w:r w:rsidR="00C37789" w:rsidRPr="00593501">
        <w:instrText>,"</w:instrText>
      </w:r>
      <w:r w:rsidR="00C37789" w:rsidRPr="000322E4">
        <w:rPr>
          <w:lang w:val="en-US"/>
        </w:rPr>
        <w:instrText>suffix</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family</w:instrText>
      </w:r>
      <w:r w:rsidR="00C37789" w:rsidRPr="00593501">
        <w:instrText>":"Миха</w:instrText>
      </w:r>
      <w:r w:rsidR="00C37789" w:rsidRPr="000322E4">
        <w:rPr>
          <w:lang w:val="en-US"/>
        </w:rPr>
        <w:instrText>йлова","given":"Н.Б.","non-dropping-particle":"","parse-names":false,"suffix":""},{"dropping-particle":"","family":"Барях","given":"Е.А.","non-dropping-particle":"","parse-names":false,"suffix":""},{"dropping-particle":"","family":"Птушкин","given":"В.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Савченко.","id":"ITEM-2","issued":{"date-parts":[["2018"]]},"page":"58-68","title":"Диффузная В-клеточная крупноклеточная лимфома","type":"chapter"},"uris":["http://www.mendeley.com/documents/?uuid=cb7114f7-4655-4733-8df2-526cc4e32730"]}],"mendeley":{"formattedCitation":"[11,94]","plainTextFormattedCitation":"[11,94]","previouslyFormattedCitation":"[11,94]"},"properties":{"noteIndex":0},"schema":"https://github.com/citation-style-language/schema/raw/master/csl-citation.json"}</w:instrText>
      </w:r>
      <w:r w:rsidRPr="000322E4">
        <w:rPr>
          <w:lang w:val="en-US"/>
        </w:rPr>
        <w:fldChar w:fldCharType="separate"/>
      </w:r>
      <w:r w:rsidR="00C37789" w:rsidRPr="000322E4">
        <w:rPr>
          <w:noProof/>
          <w:lang w:val="en-US"/>
        </w:rPr>
        <w:t>[11,94]</w:t>
      </w:r>
      <w:r w:rsidRPr="000322E4">
        <w:rPr>
          <w:lang w:val="en-US"/>
        </w:rPr>
        <w:fldChar w:fldCharType="end"/>
      </w:r>
    </w:p>
    <w:p w14:paraId="23EA1E07" w14:textId="77777777" w:rsidR="00666D68" w:rsidRPr="000322E4" w:rsidRDefault="00666D68" w:rsidP="008E3584">
      <w:pPr>
        <w:numPr>
          <w:ilvl w:val="0"/>
          <w:numId w:val="46"/>
        </w:numPr>
      </w:pPr>
      <w:r w:rsidRPr="000322E4">
        <w:t>Дексаметазон</w:t>
      </w:r>
      <w:r w:rsidRPr="000322E4">
        <w:rPr>
          <w:bCs/>
        </w:rPr>
        <w:t>**</w:t>
      </w:r>
      <w:r w:rsidRPr="000322E4">
        <w:t xml:space="preserve"> 40 мг в/в, дни 1-4</w:t>
      </w:r>
    </w:p>
    <w:p w14:paraId="678EC21D" w14:textId="77777777" w:rsidR="00666D68" w:rsidRPr="000322E4" w:rsidRDefault="00666D68" w:rsidP="008E3584">
      <w:pPr>
        <w:numPr>
          <w:ilvl w:val="0"/>
          <w:numId w:val="46"/>
        </w:numPr>
      </w:pPr>
      <w:r w:rsidRPr="000322E4">
        <w:t>#Цисплатин</w:t>
      </w:r>
      <w:r w:rsidRPr="000322E4">
        <w:rPr>
          <w:bCs/>
        </w:rPr>
        <w:t>**</w:t>
      </w:r>
      <w:r w:rsidRPr="000322E4">
        <w:t xml:space="preserve"> 100 мг/м</w:t>
      </w:r>
      <w:r w:rsidRPr="000322E4">
        <w:rPr>
          <w:vertAlign w:val="superscript"/>
        </w:rPr>
        <w:t>2</w:t>
      </w:r>
      <w:r w:rsidRPr="000322E4">
        <w:t xml:space="preserve"> в/в кап. </w:t>
      </w:r>
      <w:r w:rsidR="00F414BF" w:rsidRPr="000322E4">
        <w:t>12</w:t>
      </w:r>
      <w:r w:rsidRPr="000322E4">
        <w:t xml:space="preserve">-часовая инфузия, день 1 </w:t>
      </w:r>
    </w:p>
    <w:p w14:paraId="6AB9CEFD" w14:textId="77777777" w:rsidR="00666D68" w:rsidRPr="000322E4" w:rsidRDefault="00666D68" w:rsidP="008E3584">
      <w:pPr>
        <w:numPr>
          <w:ilvl w:val="0"/>
          <w:numId w:val="46"/>
        </w:numPr>
      </w:pPr>
      <w:r w:rsidRPr="000322E4">
        <w:t>Цитарабин</w:t>
      </w:r>
      <w:r w:rsidRPr="000322E4">
        <w:rPr>
          <w:bCs/>
        </w:rPr>
        <w:t>**</w:t>
      </w:r>
      <w:r w:rsidRPr="000322E4">
        <w:t xml:space="preserve"> 2 г/м</w:t>
      </w:r>
      <w:r w:rsidRPr="000322E4">
        <w:rPr>
          <w:vertAlign w:val="superscript"/>
        </w:rPr>
        <w:t>2</w:t>
      </w:r>
      <w:r w:rsidRPr="000322E4">
        <w:t xml:space="preserve"> в/в кап.</w:t>
      </w:r>
      <w:r w:rsidR="00F414BF" w:rsidRPr="000322E4">
        <w:t xml:space="preserve"> 2 раза в день</w:t>
      </w:r>
      <w:r w:rsidR="00CF72A1" w:rsidRPr="000322E4">
        <w:t>, д</w:t>
      </w:r>
      <w:r w:rsidR="00F414BF" w:rsidRPr="000322E4">
        <w:t xml:space="preserve">ень </w:t>
      </w:r>
      <w:r w:rsidR="00CF72A1" w:rsidRPr="000322E4">
        <w:t>3</w:t>
      </w:r>
      <w:r w:rsidRPr="000322E4">
        <w:t xml:space="preserve"> </w:t>
      </w:r>
    </w:p>
    <w:p w14:paraId="7546B4CC" w14:textId="77777777" w:rsidR="00666D68" w:rsidRPr="000322E4" w:rsidRDefault="00666D68" w:rsidP="008E3584"/>
    <w:p w14:paraId="3492DDBC" w14:textId="77777777" w:rsidR="00666D68" w:rsidRPr="000322E4" w:rsidRDefault="00666D68" w:rsidP="008E3584">
      <w:pPr>
        <w:rPr>
          <w:b/>
          <w:bCs/>
        </w:rPr>
      </w:pPr>
      <w:r w:rsidRPr="000322E4">
        <w:rPr>
          <w:b/>
          <w:bCs/>
          <w:lang w:val="en-US"/>
        </w:rPr>
        <w:t>ES</w:t>
      </w:r>
      <w:r w:rsidRPr="000322E4">
        <w:rPr>
          <w:b/>
          <w:bCs/>
        </w:rPr>
        <w:t xml:space="preserve">HAP </w:t>
      </w:r>
      <w:r w:rsidRPr="000322E4">
        <w:rPr>
          <w:lang w:val="en-US"/>
        </w:rPr>
        <w:fldChar w:fldCharType="begin" w:fldLock="1"/>
      </w:r>
      <w:r w:rsidR="00C37789" w:rsidRPr="000322E4">
        <w:rPr>
          <w:lang w:val="en-US"/>
        </w:rPr>
        <w:instrText>ADDIN CSL_CITATION {"citationItems":[{"id":"ITEM-1","itemData":{"DOI":"10.1200/JCO.1994.12.6.1169","ISSN":"0732183X","abstract":"Purpose: This study attempted to determine the efficacy of the combination of etoposide (VP-16), methylprednisolone, and cytarabine (Ara-C) with or without cisplatin in relapsing and refractory adult lymphoma patients. Patients and Methods: The first 63 patients were randomized to receive VP-16 40 mg/m2/d for 4 days, methylprednisolone 500 mg intravenously daily for 5 days, and Ara-C 2 g/m2 intravenously over 2 to 3 hours on day 5 with or without cisplatin 25 mg/m2 IV administered by 24-hour infusion for 4 days (ESHA ± P). Markedly different responses between ESHA (33%) and ESHAP (75%) led to deletion of the ESHA arm. A total of 122 patients on the ESHAP regimen were studied. Results: Forty-five patients (37%) attained a complete remission (CR) and 33 (27%) attained a partial remission (PR), for a total response rate of 64%. The median duration of CR was 20 months, with 28% of remitters still in CR at 3 years. The overall median survival duration was 14 months; the survival rate at 3 years was 31%. Overall time to treatment failure (TTF) showed 10% of all patients to be alive and disease-free at 40 months. Response and survival rates were similar in patients with low-grade (n = 34), intermediate-grade (n = 67), transformed (n = 18), and high-grade (n = 3) lymphoma. The most significant factors for response and survival by multivariate analysis were the serum lactic dehydrogenase (LDH) level, tumor burden, and age (when analyzed as a continuous variable), while prior CR was highly significant by univariate analysis. A significant difference in survival was noted for patients with normal LDH levels and low- or intermediate-tumor burden or patients with low tumor burden and elevated LDH levels (55% 3-year survival rate) versus patients with elevated LDH levels and intermediate or high tumor burden (&lt; 20%). Major toxicities included myelosuppression, with a median granulocyte count of 500/μL and platelet count of 70,000/μL. Conclusion: ESHAP was found to be an active, tolerable chemotherapy regimen for relapsing and refractory lymphoma. Applying a prognostic model based on tumor burden and serum LDH level shows significant differences in survival in this patient population.","author":[{"dropping-particle":"","family":"Velasquez","given":"W. S.","non-dropping-particle":"","parse-names":false,"suffix":""},{"dropping-particle":"","family":"McLaughlin","given":"P.","non-dropping-particle":"","parse-names":false,"suffix":""},{"dropping-particle":"","family":"Tucker","given":"S.","non-dropping-particle":"","parse-names":false,"suffix":""},{"dropping-particle":"","family":"Hagemeister","given":"F. B.","non-dropping-particle":"","parse-names":false,"suffix":""},{"dropping-particle":"","family":"Swan","given":"F.","non-dropping-particle":"","parse-names":false,"suffix":""},{"dropping-particle":"","family":"Rodriguez","given":"M. A.","non-dropping-particle":"","parse-names":false,"suffix":""},{"dropping-particle":"","family":"Romaguera","given":"J.","non-dropping-particle":"","parse-names":false,"suffix":""},{"dropping-particle":"","family":"Rubenstein","given":"E.","non-dropping-particle":"","parse-names":false,"suffix":""},{"dropping-particle":"","family":"Cabanillas","given":"F.","non-dropping-particle":"","parse-names":false,"suffix":""}],"container-title":"Journal of Clinical Oncology","id":"ITEM-1","issue":"6","issued":{"date-parts":[["1994","6"]]},"page":"1169-1176","publisher":"American Society of Clinical Oncology","title":"ESHAP - An effective chemotherapy regimen in refractory and relapsing lymphoma: A 4-year follow-up study","type":"article-journal","volume":"12"},"uris":["http://www.mendeley.com/documents/?uuid=58c7db38-48ed-4e7d-873e-d735e5fdcf22"]}],"mendeley":{"formattedCitation":"[95]","plainTextFormattedCitation":"[95]","previouslyFormattedCitation":"[95]"},"properties":{"noteIndex":0},"schema":"https://github.com/citation-style-language/schema/raw/master/csl-citation.json"}</w:instrText>
      </w:r>
      <w:r w:rsidRPr="000322E4">
        <w:rPr>
          <w:lang w:val="en-US"/>
        </w:rPr>
        <w:fldChar w:fldCharType="separate"/>
      </w:r>
      <w:r w:rsidR="00C37789" w:rsidRPr="000322E4">
        <w:rPr>
          <w:noProof/>
        </w:rPr>
        <w:t>[95]</w:t>
      </w:r>
      <w:r w:rsidRPr="000322E4">
        <w:rPr>
          <w:lang w:val="en-US"/>
        </w:rPr>
        <w:fldChar w:fldCharType="end"/>
      </w:r>
    </w:p>
    <w:p w14:paraId="0151573B" w14:textId="77777777" w:rsidR="00666D68" w:rsidRPr="000322E4" w:rsidRDefault="00666D68" w:rsidP="008E3584">
      <w:pPr>
        <w:numPr>
          <w:ilvl w:val="0"/>
          <w:numId w:val="46"/>
        </w:numPr>
      </w:pPr>
      <w:r w:rsidRPr="000322E4">
        <w:lastRenderedPageBreak/>
        <w:t>Этопозид</w:t>
      </w:r>
      <w:r w:rsidRPr="000322E4">
        <w:rPr>
          <w:bCs/>
        </w:rPr>
        <w:t>**</w:t>
      </w:r>
      <w:r w:rsidRPr="000322E4">
        <w:t xml:space="preserve"> 40 мг/м</w:t>
      </w:r>
      <w:r w:rsidRPr="000322E4">
        <w:rPr>
          <w:vertAlign w:val="superscript"/>
        </w:rPr>
        <w:t>2</w:t>
      </w:r>
      <w:r w:rsidRPr="000322E4">
        <w:t xml:space="preserve"> в/в кап., дни 1-4</w:t>
      </w:r>
    </w:p>
    <w:p w14:paraId="288C356C" w14:textId="77777777" w:rsidR="00666D68" w:rsidRPr="000322E4" w:rsidRDefault="00666D68" w:rsidP="008E3584">
      <w:pPr>
        <w:numPr>
          <w:ilvl w:val="0"/>
          <w:numId w:val="46"/>
        </w:numPr>
      </w:pPr>
      <w:r w:rsidRPr="000322E4">
        <w:t>Метилпреднизолон</w:t>
      </w:r>
      <w:r w:rsidRPr="000322E4">
        <w:rPr>
          <w:bCs/>
        </w:rPr>
        <w:t>**</w:t>
      </w:r>
      <w:r w:rsidRPr="000322E4">
        <w:t xml:space="preserve"> 500 мг в/в кап., дни 1-5</w:t>
      </w:r>
    </w:p>
    <w:p w14:paraId="25EA328D" w14:textId="77777777" w:rsidR="00666D68" w:rsidRPr="000322E4" w:rsidRDefault="00666D68" w:rsidP="008E3584">
      <w:pPr>
        <w:numPr>
          <w:ilvl w:val="0"/>
          <w:numId w:val="46"/>
        </w:numPr>
        <w:ind w:left="714" w:hanging="357"/>
      </w:pPr>
      <w:r w:rsidRPr="000322E4">
        <w:t>#Цисплатин</w:t>
      </w:r>
      <w:r w:rsidRPr="000322E4">
        <w:rPr>
          <w:bCs/>
        </w:rPr>
        <w:t>**</w:t>
      </w:r>
      <w:r w:rsidRPr="000322E4">
        <w:t xml:space="preserve"> 25 мг/м</w:t>
      </w:r>
      <w:r w:rsidRPr="000322E4">
        <w:rPr>
          <w:vertAlign w:val="superscript"/>
        </w:rPr>
        <w:t>2</w:t>
      </w:r>
      <w:r w:rsidRPr="000322E4">
        <w:t xml:space="preserve">/сут. в/в непрерывная инфузия, дни 1-4 </w:t>
      </w:r>
    </w:p>
    <w:p w14:paraId="24A200B0" w14:textId="77777777" w:rsidR="00666D68" w:rsidRPr="000322E4" w:rsidRDefault="00666D68" w:rsidP="008E3584"/>
    <w:p w14:paraId="76011745" w14:textId="77777777" w:rsidR="00666D68" w:rsidRPr="000322E4" w:rsidRDefault="00666D68" w:rsidP="008E3584">
      <w:pPr>
        <w:rPr>
          <w:b/>
          <w:bCs/>
        </w:rPr>
      </w:pPr>
      <w:r w:rsidRPr="000322E4">
        <w:rPr>
          <w:b/>
          <w:bCs/>
        </w:rPr>
        <w:t xml:space="preserve">ICE </w:t>
      </w:r>
      <w:r w:rsidRPr="000322E4">
        <w:rPr>
          <w:lang w:val="en-US"/>
        </w:rPr>
        <w:fldChar w:fldCharType="begin" w:fldLock="1"/>
      </w:r>
      <w:r w:rsidR="00C37789" w:rsidRPr="000322E4">
        <w:rPr>
          <w:lang w:val="en-US"/>
        </w:rPr>
        <w:instrText>ADDIN CSL_CITATION {"citationItems":[{"id":"ITEM-1","itemData":{"DOI":"10.1093/annonc/mdg702","ISSN":"09237534","PMID":"12736224","abstract":"Despite advances in the management of aggressive non-Hodgkin's lymphoma, the treatment of relapsed and primary refractory disease remains a major challenge. High-dose chemotherapy or radio-chemotherapy followed by autologous or allogeneic stem cell transplantation (SCT) is a potentially curative treatment approach; however, the applicability of this approach is restricted to patients responding to second-line chemotherapy. Thus, second-line therapy must be both efficacious and without stem cell or organ toxicity that would compromise the ability to proceed to SCT. The ifosfamide, carboplatin and etoposide (ICE) regimen was developed to address these challenges. In a series of prospective clinical trials, 222 patients were treated with the ICE regimen, with an overall response rate of 72%. The mobilization of stem cells with this regimen was excellent, with 86% of patients mobilizing at least 2.0 × 106 CD34+ cells/kg. The incidence of treatment-related toxicity precluding SCT after ICE is very low. Herein, we report the clinical results of this treatment program for 222 patients with 5-year median follow-up for surviving patients. Rituximab was subsequently added to the ICE regimen for patients with diffuse large B-cell lymphoma (DLBCL) to improve upon these favorable results. This resulted in an increased complete remission rate. Additional follow</w:instrText>
      </w:r>
      <w:r w:rsidR="00C37789" w:rsidRPr="00593501">
        <w:instrText>-</w:instrText>
      </w:r>
      <w:r w:rsidR="00C37789" w:rsidRPr="000322E4">
        <w:rPr>
          <w:lang w:val="en-US"/>
        </w:rPr>
        <w:instrText>up</w:instrText>
      </w:r>
      <w:r w:rsidR="00C37789" w:rsidRPr="00593501">
        <w:instrText xml:space="preserve"> </w:instrText>
      </w:r>
      <w:r w:rsidR="00C37789" w:rsidRPr="000322E4">
        <w:rPr>
          <w:lang w:val="en-US"/>
        </w:rPr>
        <w:instrText>is</w:instrText>
      </w:r>
      <w:r w:rsidR="00C37789" w:rsidRPr="00593501">
        <w:instrText xml:space="preserve"> </w:instrText>
      </w:r>
      <w:r w:rsidR="00C37789" w:rsidRPr="000322E4">
        <w:rPr>
          <w:lang w:val="en-US"/>
        </w:rPr>
        <w:instrText>necessary</w:instrText>
      </w:r>
      <w:r w:rsidR="00C37789" w:rsidRPr="00593501">
        <w:instrText xml:space="preserve"> </w:instrText>
      </w:r>
      <w:r w:rsidR="00C37789" w:rsidRPr="000322E4">
        <w:rPr>
          <w:lang w:val="en-US"/>
        </w:rPr>
        <w:instrText>to</w:instrText>
      </w:r>
      <w:r w:rsidR="00C37789" w:rsidRPr="00593501">
        <w:instrText xml:space="preserve"> </w:instrText>
      </w:r>
      <w:r w:rsidR="00C37789" w:rsidRPr="000322E4">
        <w:rPr>
          <w:lang w:val="en-US"/>
        </w:rPr>
        <w:instrText>determine</w:instrText>
      </w:r>
      <w:r w:rsidR="00C37789" w:rsidRPr="00593501">
        <w:instrText xml:space="preserve"> </w:instrText>
      </w:r>
      <w:r w:rsidR="00C37789" w:rsidRPr="000322E4">
        <w:rPr>
          <w:lang w:val="en-US"/>
        </w:rPr>
        <w:instrText>if</w:instrText>
      </w:r>
      <w:r w:rsidR="00C37789" w:rsidRPr="00593501">
        <w:instrText xml:space="preserve"> </w:instrText>
      </w:r>
      <w:r w:rsidR="00C37789" w:rsidRPr="000322E4">
        <w:rPr>
          <w:lang w:val="en-US"/>
        </w:rPr>
        <w:instrText>this</w:instrText>
      </w:r>
      <w:r w:rsidR="00C37789" w:rsidRPr="00593501">
        <w:instrText xml:space="preserve"> </w:instrText>
      </w:r>
      <w:r w:rsidR="00C37789" w:rsidRPr="000322E4">
        <w:rPr>
          <w:lang w:val="en-US"/>
        </w:rPr>
        <w:instrText>improvement</w:instrText>
      </w:r>
      <w:r w:rsidR="00C37789" w:rsidRPr="00593501">
        <w:instrText xml:space="preserve"> </w:instrText>
      </w:r>
      <w:r w:rsidR="00C37789" w:rsidRPr="000322E4">
        <w:rPr>
          <w:lang w:val="en-US"/>
        </w:rPr>
        <w:instrText>in</w:instrText>
      </w:r>
      <w:r w:rsidR="00C37789" w:rsidRPr="00593501">
        <w:instrText xml:space="preserve"> </w:instrText>
      </w:r>
      <w:r w:rsidR="00C37789" w:rsidRPr="000322E4">
        <w:rPr>
          <w:lang w:val="en-US"/>
        </w:rPr>
        <w:instrText>the</w:instrText>
      </w:r>
      <w:r w:rsidR="00C37789" w:rsidRPr="00593501">
        <w:instrText xml:space="preserve"> </w:instrText>
      </w:r>
      <w:r w:rsidR="00C37789" w:rsidRPr="000322E4">
        <w:rPr>
          <w:lang w:val="en-US"/>
        </w:rPr>
        <w:instrText>complete</w:instrText>
      </w:r>
      <w:r w:rsidR="00C37789" w:rsidRPr="00593501">
        <w:instrText xml:space="preserve"> </w:instrText>
      </w:r>
      <w:r w:rsidR="00C37789" w:rsidRPr="000322E4">
        <w:rPr>
          <w:lang w:val="en-US"/>
        </w:rPr>
        <w:instrText>remission</w:instrText>
      </w:r>
      <w:r w:rsidR="00C37789" w:rsidRPr="00593501">
        <w:instrText xml:space="preserve"> </w:instrText>
      </w:r>
      <w:r w:rsidR="00C37789" w:rsidRPr="000322E4">
        <w:rPr>
          <w:lang w:val="en-US"/>
        </w:rPr>
        <w:instrText>rate</w:instrText>
      </w:r>
      <w:r w:rsidR="00C37789" w:rsidRPr="00593501">
        <w:instrText xml:space="preserve"> </w:instrText>
      </w:r>
      <w:r w:rsidR="00C37789" w:rsidRPr="000322E4">
        <w:rPr>
          <w:lang w:val="en-US"/>
        </w:rPr>
        <w:instrText>will</w:instrText>
      </w:r>
      <w:r w:rsidR="00C37789" w:rsidRPr="00593501">
        <w:instrText xml:space="preserve"> </w:instrText>
      </w:r>
      <w:r w:rsidR="00C37789" w:rsidRPr="000322E4">
        <w:rPr>
          <w:lang w:val="en-US"/>
        </w:rPr>
        <w:instrText>confer</w:instrText>
      </w:r>
      <w:r w:rsidR="00C37789" w:rsidRPr="00593501">
        <w:instrText xml:space="preserve"> </w:instrText>
      </w:r>
      <w:r w:rsidR="00C37789" w:rsidRPr="000322E4">
        <w:rPr>
          <w:lang w:val="en-US"/>
        </w:rPr>
        <w:instrText>an</w:instrText>
      </w:r>
      <w:r w:rsidR="00C37789" w:rsidRPr="00593501">
        <w:instrText xml:space="preserve"> </w:instrText>
      </w:r>
      <w:r w:rsidR="00C37789" w:rsidRPr="000322E4">
        <w:rPr>
          <w:lang w:val="en-US"/>
        </w:rPr>
        <w:instrText>increase</w:instrText>
      </w:r>
      <w:r w:rsidR="00C37789" w:rsidRPr="00593501">
        <w:instrText xml:space="preserve"> </w:instrText>
      </w:r>
      <w:r w:rsidR="00C37789" w:rsidRPr="000322E4">
        <w:rPr>
          <w:lang w:val="en-US"/>
        </w:rPr>
        <w:instrText>in</w:instrText>
      </w:r>
      <w:r w:rsidR="00C37789" w:rsidRPr="00593501">
        <w:instrText xml:space="preserve"> </w:instrText>
      </w:r>
      <w:r w:rsidR="00C37789" w:rsidRPr="000322E4">
        <w:rPr>
          <w:lang w:val="en-US"/>
        </w:rPr>
        <w:instrText>the</w:instrText>
      </w:r>
      <w:r w:rsidR="00C37789" w:rsidRPr="00593501">
        <w:instrText xml:space="preserve"> </w:instrText>
      </w:r>
      <w:r w:rsidR="00C37789" w:rsidRPr="000322E4">
        <w:rPr>
          <w:lang w:val="en-US"/>
        </w:rPr>
        <w:instrText>overall</w:instrText>
      </w:r>
      <w:r w:rsidR="00C37789" w:rsidRPr="00593501">
        <w:instrText xml:space="preserve"> </w:instrText>
      </w:r>
      <w:r w:rsidR="00C37789" w:rsidRPr="000322E4">
        <w:rPr>
          <w:lang w:val="en-US"/>
        </w:rPr>
        <w:instrText>survival</w:instrText>
      </w:r>
      <w:r w:rsidR="00C37789" w:rsidRPr="00593501">
        <w:instrText xml:space="preserve"> </w:instrText>
      </w:r>
      <w:r w:rsidR="00C37789" w:rsidRPr="000322E4">
        <w:rPr>
          <w:lang w:val="en-US"/>
        </w:rPr>
        <w:instrText>following</w:instrText>
      </w:r>
      <w:r w:rsidR="00C37789" w:rsidRPr="00593501">
        <w:instrText xml:space="preserve"> </w:instrText>
      </w:r>
      <w:r w:rsidR="00C37789" w:rsidRPr="000322E4">
        <w:rPr>
          <w:lang w:val="en-US"/>
        </w:rPr>
        <w:instrText>SCT</w:instrText>
      </w:r>
      <w:r w:rsidR="00C37789" w:rsidRPr="00593501">
        <w:instrText>.","</w:instrText>
      </w:r>
      <w:r w:rsidR="00C37789" w:rsidRPr="000322E4">
        <w:rPr>
          <w:lang w:val="en-US"/>
        </w:rPr>
        <w:instrText>author</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family</w:instrText>
      </w:r>
      <w:r w:rsidR="00C37789" w:rsidRPr="00593501">
        <w:instrText>":"</w:instrText>
      </w:r>
      <w:r w:rsidR="00C37789" w:rsidRPr="000322E4">
        <w:rPr>
          <w:lang w:val="en-US"/>
        </w:rPr>
        <w:instrText>Zelenetz</w:instrText>
      </w:r>
      <w:r w:rsidR="00C37789" w:rsidRPr="00593501">
        <w:instrText>","</w:instrText>
      </w:r>
      <w:r w:rsidR="00C37789" w:rsidRPr="000322E4">
        <w:rPr>
          <w:lang w:val="en-US"/>
        </w:rPr>
        <w:instrText>given</w:instrText>
      </w:r>
      <w:r w:rsidR="00C37789" w:rsidRPr="00593501">
        <w:instrText>":"</w:instrText>
      </w:r>
      <w:r w:rsidR="00C37789" w:rsidRPr="000322E4">
        <w:rPr>
          <w:lang w:val="en-US"/>
        </w:rPr>
        <w:instrText>A</w:instrText>
      </w:r>
      <w:r w:rsidR="00C37789" w:rsidRPr="00593501">
        <w:instrText xml:space="preserve">. </w:instrText>
      </w:r>
      <w:r w:rsidR="00C37789" w:rsidRPr="000322E4">
        <w:rPr>
          <w:lang w:val="en-US"/>
        </w:rPr>
        <w:instrText>D</w:instrText>
      </w:r>
      <w:r w:rsidR="00C37789" w:rsidRPr="00593501">
        <w:instrText>.","</w:instrText>
      </w:r>
      <w:r w:rsidR="00C37789" w:rsidRPr="000322E4">
        <w:rPr>
          <w:lang w:val="en-US"/>
        </w:rPr>
        <w:instrText>non</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parse</w:instrText>
      </w:r>
      <w:r w:rsidR="00C37789" w:rsidRPr="00593501">
        <w:instrText>-</w:instrText>
      </w:r>
      <w:r w:rsidR="00C37789" w:rsidRPr="000322E4">
        <w:rPr>
          <w:lang w:val="en-US"/>
        </w:rPr>
        <w:instrText>names</w:instrText>
      </w:r>
      <w:r w:rsidR="00C37789" w:rsidRPr="00593501">
        <w:instrText>":</w:instrText>
      </w:r>
      <w:r w:rsidR="00C37789" w:rsidRPr="000322E4">
        <w:rPr>
          <w:lang w:val="en-US"/>
        </w:rPr>
        <w:instrText>false</w:instrText>
      </w:r>
      <w:r w:rsidR="00C37789" w:rsidRPr="00593501">
        <w:instrText>,"</w:instrText>
      </w:r>
      <w:r w:rsidR="00C37789" w:rsidRPr="000322E4">
        <w:rPr>
          <w:lang w:val="en-US"/>
        </w:rPr>
        <w:instrText>suffix</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family</w:instrText>
      </w:r>
      <w:r w:rsidR="00C37789" w:rsidRPr="00593501">
        <w:instrText>":"</w:instrText>
      </w:r>
      <w:r w:rsidR="00C37789" w:rsidRPr="000322E4">
        <w:rPr>
          <w:lang w:val="en-US"/>
        </w:rPr>
        <w:instrText>Hamlin</w:instrText>
      </w:r>
      <w:r w:rsidR="00C37789" w:rsidRPr="00593501">
        <w:instrText>","</w:instrText>
      </w:r>
      <w:r w:rsidR="00C37789" w:rsidRPr="000322E4">
        <w:rPr>
          <w:lang w:val="en-US"/>
        </w:rPr>
        <w:instrText>given</w:instrText>
      </w:r>
      <w:r w:rsidR="00C37789" w:rsidRPr="00593501">
        <w:instrText>":"</w:instrText>
      </w:r>
      <w:r w:rsidR="00C37789" w:rsidRPr="000322E4">
        <w:rPr>
          <w:lang w:val="en-US"/>
        </w:rPr>
        <w:instrText>P</w:instrText>
      </w:r>
      <w:r w:rsidR="00C37789" w:rsidRPr="00593501">
        <w:instrText>.","</w:instrText>
      </w:r>
      <w:r w:rsidR="00C37789" w:rsidRPr="000322E4">
        <w:rPr>
          <w:lang w:val="en-US"/>
        </w:rPr>
        <w:instrText>non</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parse</w:instrText>
      </w:r>
      <w:r w:rsidR="00C37789" w:rsidRPr="00593501">
        <w:instrText>-</w:instrText>
      </w:r>
      <w:r w:rsidR="00C37789" w:rsidRPr="000322E4">
        <w:rPr>
          <w:lang w:val="en-US"/>
        </w:rPr>
        <w:instrText>names</w:instrText>
      </w:r>
      <w:r w:rsidR="00C37789" w:rsidRPr="00593501">
        <w:instrText>":</w:instrText>
      </w:r>
      <w:r w:rsidR="00C37789" w:rsidRPr="000322E4">
        <w:rPr>
          <w:lang w:val="en-US"/>
        </w:rPr>
        <w:instrText>false</w:instrText>
      </w:r>
      <w:r w:rsidR="00C37789" w:rsidRPr="00593501">
        <w:instrText>,"</w:instrText>
      </w:r>
      <w:r w:rsidR="00C37789" w:rsidRPr="000322E4">
        <w:rPr>
          <w:lang w:val="en-US"/>
        </w:rPr>
        <w:instrText>suffix</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family</w:instrText>
      </w:r>
      <w:r w:rsidR="00C37789" w:rsidRPr="00593501">
        <w:instrText>":"</w:instrText>
      </w:r>
      <w:r w:rsidR="00C37789" w:rsidRPr="000322E4">
        <w:rPr>
          <w:lang w:val="en-US"/>
        </w:rPr>
        <w:instrText>Kewalramani</w:instrText>
      </w:r>
      <w:r w:rsidR="00C37789" w:rsidRPr="00593501">
        <w:instrText>","</w:instrText>
      </w:r>
      <w:r w:rsidR="00C37789" w:rsidRPr="000322E4">
        <w:rPr>
          <w:lang w:val="en-US"/>
        </w:rPr>
        <w:instrText>given</w:instrText>
      </w:r>
      <w:r w:rsidR="00C37789" w:rsidRPr="00593501">
        <w:instrText>":"</w:instrText>
      </w:r>
      <w:r w:rsidR="00C37789" w:rsidRPr="000322E4">
        <w:rPr>
          <w:lang w:val="en-US"/>
        </w:rPr>
        <w:instrText>T</w:instrText>
      </w:r>
      <w:r w:rsidR="00C37789" w:rsidRPr="00593501">
        <w:instrText>.","</w:instrText>
      </w:r>
      <w:r w:rsidR="00C37789" w:rsidRPr="000322E4">
        <w:rPr>
          <w:lang w:val="en-US"/>
        </w:rPr>
        <w:instrText>non</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parse</w:instrText>
      </w:r>
      <w:r w:rsidR="00C37789" w:rsidRPr="00593501">
        <w:instrText>-</w:instrText>
      </w:r>
      <w:r w:rsidR="00C37789" w:rsidRPr="000322E4">
        <w:rPr>
          <w:lang w:val="en-US"/>
        </w:rPr>
        <w:instrText>names</w:instrText>
      </w:r>
      <w:r w:rsidR="00C37789" w:rsidRPr="00593501">
        <w:instrText>":</w:instrText>
      </w:r>
      <w:r w:rsidR="00C37789" w:rsidRPr="000322E4">
        <w:rPr>
          <w:lang w:val="en-US"/>
        </w:rPr>
        <w:instrText>false</w:instrText>
      </w:r>
      <w:r w:rsidR="00C37789" w:rsidRPr="00593501">
        <w:instrText>,"</w:instrText>
      </w:r>
      <w:r w:rsidR="00C37789" w:rsidRPr="000322E4">
        <w:rPr>
          <w:lang w:val="en-US"/>
        </w:rPr>
        <w:instrText>suffix</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family</w:instrText>
      </w:r>
      <w:r w:rsidR="00C37789" w:rsidRPr="00593501">
        <w:instrText>":"</w:instrText>
      </w:r>
      <w:r w:rsidR="00C37789" w:rsidRPr="000322E4">
        <w:rPr>
          <w:lang w:val="en-US"/>
        </w:rPr>
        <w:instrText>Yahalom</w:instrText>
      </w:r>
      <w:r w:rsidR="00C37789" w:rsidRPr="00593501">
        <w:instrText>","</w:instrText>
      </w:r>
      <w:r w:rsidR="00C37789" w:rsidRPr="000322E4">
        <w:rPr>
          <w:lang w:val="en-US"/>
        </w:rPr>
        <w:instrText>given</w:instrText>
      </w:r>
      <w:r w:rsidR="00C37789" w:rsidRPr="00593501">
        <w:instrText>":"</w:instrText>
      </w:r>
      <w:r w:rsidR="00C37789" w:rsidRPr="000322E4">
        <w:rPr>
          <w:lang w:val="en-US"/>
        </w:rPr>
        <w:instrText>J</w:instrText>
      </w:r>
      <w:r w:rsidR="00C37789" w:rsidRPr="00593501">
        <w:instrText>.","</w:instrText>
      </w:r>
      <w:r w:rsidR="00C37789" w:rsidRPr="000322E4">
        <w:rPr>
          <w:lang w:val="en-US"/>
        </w:rPr>
        <w:instrText>non</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parse</w:instrText>
      </w:r>
      <w:r w:rsidR="00C37789" w:rsidRPr="00593501">
        <w:instrText>-</w:instrText>
      </w:r>
      <w:r w:rsidR="00C37789" w:rsidRPr="000322E4">
        <w:rPr>
          <w:lang w:val="en-US"/>
        </w:rPr>
        <w:instrText>names</w:instrText>
      </w:r>
      <w:r w:rsidR="00C37789" w:rsidRPr="00593501">
        <w:instrText>":</w:instrText>
      </w:r>
      <w:r w:rsidR="00C37789" w:rsidRPr="000322E4">
        <w:rPr>
          <w:lang w:val="en-US"/>
        </w:rPr>
        <w:instrText>false</w:instrText>
      </w:r>
      <w:r w:rsidR="00C37789" w:rsidRPr="00593501">
        <w:instrText>,"</w:instrText>
      </w:r>
      <w:r w:rsidR="00C37789" w:rsidRPr="000322E4">
        <w:rPr>
          <w:lang w:val="en-US"/>
        </w:rPr>
        <w:instrText>suffix</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family</w:instrText>
      </w:r>
      <w:r w:rsidR="00C37789" w:rsidRPr="00593501">
        <w:instrText>":"</w:instrText>
      </w:r>
      <w:r w:rsidR="00C37789" w:rsidRPr="000322E4">
        <w:rPr>
          <w:lang w:val="en-US"/>
        </w:rPr>
        <w:instrText>Nimer</w:instrText>
      </w:r>
      <w:r w:rsidR="00C37789" w:rsidRPr="00593501">
        <w:instrText>","</w:instrText>
      </w:r>
      <w:r w:rsidR="00C37789" w:rsidRPr="000322E4">
        <w:rPr>
          <w:lang w:val="en-US"/>
        </w:rPr>
        <w:instrText>given</w:instrText>
      </w:r>
      <w:r w:rsidR="00C37789" w:rsidRPr="00593501">
        <w:instrText>":"</w:instrText>
      </w:r>
      <w:r w:rsidR="00C37789" w:rsidRPr="000322E4">
        <w:rPr>
          <w:lang w:val="en-US"/>
        </w:rPr>
        <w:instrText>S</w:instrText>
      </w:r>
      <w:r w:rsidR="00C37789" w:rsidRPr="00593501">
        <w:instrText>.","</w:instrText>
      </w:r>
      <w:r w:rsidR="00C37789" w:rsidRPr="000322E4">
        <w:rPr>
          <w:lang w:val="en-US"/>
        </w:rPr>
        <w:instrText>non</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parse</w:instrText>
      </w:r>
      <w:r w:rsidR="00C37789" w:rsidRPr="00593501">
        <w:instrText>-</w:instrText>
      </w:r>
      <w:r w:rsidR="00C37789" w:rsidRPr="000322E4">
        <w:rPr>
          <w:lang w:val="en-US"/>
        </w:rPr>
        <w:instrText>names</w:instrText>
      </w:r>
      <w:r w:rsidR="00C37789" w:rsidRPr="00593501">
        <w:instrText>":</w:instrText>
      </w:r>
      <w:r w:rsidR="00C37789" w:rsidRPr="000322E4">
        <w:rPr>
          <w:lang w:val="en-US"/>
        </w:rPr>
        <w:instrText>false</w:instrText>
      </w:r>
      <w:r w:rsidR="00C37789" w:rsidRPr="00593501">
        <w:instrText>,"</w:instrText>
      </w:r>
      <w:r w:rsidR="00C37789" w:rsidRPr="000322E4">
        <w:rPr>
          <w:lang w:val="en-US"/>
        </w:rPr>
        <w:instrText>suffix</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family</w:instrText>
      </w:r>
      <w:r w:rsidR="00C37789" w:rsidRPr="00593501">
        <w:instrText>":"</w:instrText>
      </w:r>
      <w:r w:rsidR="00C37789" w:rsidRPr="000322E4">
        <w:rPr>
          <w:lang w:val="en-US"/>
        </w:rPr>
        <w:instrText>Moskowitz</w:instrText>
      </w:r>
      <w:r w:rsidR="00C37789" w:rsidRPr="00593501">
        <w:instrText>","</w:instrText>
      </w:r>
      <w:r w:rsidR="00C37789" w:rsidRPr="000322E4">
        <w:rPr>
          <w:lang w:val="en-US"/>
        </w:rPr>
        <w:instrText>given</w:instrText>
      </w:r>
      <w:r w:rsidR="00C37789" w:rsidRPr="00593501">
        <w:instrText>":"</w:instrText>
      </w:r>
      <w:r w:rsidR="00C37789" w:rsidRPr="000322E4">
        <w:rPr>
          <w:lang w:val="en-US"/>
        </w:rPr>
        <w:instrText>C</w:instrText>
      </w:r>
      <w:r w:rsidR="00C37789" w:rsidRPr="00593501">
        <w:instrText xml:space="preserve">. </w:instrText>
      </w:r>
      <w:r w:rsidR="00C37789" w:rsidRPr="000322E4">
        <w:rPr>
          <w:lang w:val="en-US"/>
        </w:rPr>
        <w:instrText>H</w:instrText>
      </w:r>
      <w:r w:rsidR="00C37789" w:rsidRPr="00593501">
        <w:instrText>.","</w:instrText>
      </w:r>
      <w:r w:rsidR="00C37789" w:rsidRPr="000322E4">
        <w:rPr>
          <w:lang w:val="en-US"/>
        </w:rPr>
        <w:instrText>non</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parse</w:instrText>
      </w:r>
      <w:r w:rsidR="00C37789" w:rsidRPr="00593501">
        <w:instrText>-</w:instrText>
      </w:r>
      <w:r w:rsidR="00C37789" w:rsidRPr="000322E4">
        <w:rPr>
          <w:lang w:val="en-US"/>
        </w:rPr>
        <w:instrText>names</w:instrText>
      </w:r>
      <w:r w:rsidR="00C37789" w:rsidRPr="00593501">
        <w:instrText>":</w:instrText>
      </w:r>
      <w:r w:rsidR="00C37789" w:rsidRPr="000322E4">
        <w:rPr>
          <w:lang w:val="en-US"/>
        </w:rPr>
        <w:instrText>false</w:instrText>
      </w:r>
      <w:r w:rsidR="00C37789" w:rsidRPr="00593501">
        <w:instrText>,"</w:instrText>
      </w:r>
      <w:r w:rsidR="00C37789" w:rsidRPr="000322E4">
        <w:rPr>
          <w:lang w:val="en-US"/>
        </w:rPr>
        <w:instrText>suffix</w:instrText>
      </w:r>
      <w:r w:rsidR="00C37789" w:rsidRPr="00593501">
        <w:instrText>":""}],"</w:instrText>
      </w:r>
      <w:r w:rsidR="00C37789" w:rsidRPr="000322E4">
        <w:rPr>
          <w:lang w:val="en-US"/>
        </w:rPr>
        <w:instrText>container</w:instrText>
      </w:r>
      <w:r w:rsidR="00C37789" w:rsidRPr="00593501">
        <w:instrText>-</w:instrText>
      </w:r>
      <w:r w:rsidR="00C37789" w:rsidRPr="000322E4">
        <w:rPr>
          <w:lang w:val="en-US"/>
        </w:rPr>
        <w:instrText>title</w:instrText>
      </w:r>
      <w:r w:rsidR="00C37789" w:rsidRPr="00593501">
        <w:instrText>":"</w:instrText>
      </w:r>
      <w:r w:rsidR="00C37789" w:rsidRPr="000322E4">
        <w:rPr>
          <w:lang w:val="en-US"/>
        </w:rPr>
        <w:instrText>Annals</w:instrText>
      </w:r>
      <w:r w:rsidR="00C37789" w:rsidRPr="00593501">
        <w:instrText xml:space="preserve"> </w:instrText>
      </w:r>
      <w:r w:rsidR="00C37789" w:rsidRPr="000322E4">
        <w:rPr>
          <w:lang w:val="en-US"/>
        </w:rPr>
        <w:instrText>of</w:instrText>
      </w:r>
      <w:r w:rsidR="00C37789" w:rsidRPr="00593501">
        <w:instrText xml:space="preserve"> </w:instrText>
      </w:r>
      <w:r w:rsidR="00C37789" w:rsidRPr="000322E4">
        <w:rPr>
          <w:lang w:val="en-US"/>
        </w:rPr>
        <w:instrText>Oncology</w:instrText>
      </w:r>
      <w:r w:rsidR="00C37789" w:rsidRPr="00593501">
        <w:instrText>","</w:instrText>
      </w:r>
      <w:r w:rsidR="00C37789" w:rsidRPr="000322E4">
        <w:rPr>
          <w:lang w:val="en-US"/>
        </w:rPr>
        <w:instrText>id</w:instrText>
      </w:r>
      <w:r w:rsidR="00C37789" w:rsidRPr="00593501">
        <w:instrText>":"</w:instrText>
      </w:r>
      <w:r w:rsidR="00C37789" w:rsidRPr="000322E4">
        <w:rPr>
          <w:lang w:val="en-US"/>
        </w:rPr>
        <w:instrText>ITEM</w:instrText>
      </w:r>
      <w:r w:rsidR="00C37789" w:rsidRPr="00593501">
        <w:instrText>-1","</w:instrText>
      </w:r>
      <w:r w:rsidR="00C37789" w:rsidRPr="000322E4">
        <w:rPr>
          <w:lang w:val="en-US"/>
        </w:rPr>
        <w:instrText>issue</w:instrText>
      </w:r>
      <w:r w:rsidR="00C37789" w:rsidRPr="00593501">
        <w:instrText>":"</w:instrText>
      </w:r>
      <w:r w:rsidR="00C37789" w:rsidRPr="000322E4">
        <w:rPr>
          <w:lang w:val="en-US"/>
        </w:rPr>
        <w:instrText>SUPPL</w:instrText>
      </w:r>
      <w:r w:rsidR="00C37789" w:rsidRPr="00593501">
        <w:instrText>. 1","</w:instrText>
      </w:r>
      <w:r w:rsidR="00C37789" w:rsidRPr="000322E4">
        <w:rPr>
          <w:lang w:val="en-US"/>
        </w:rPr>
        <w:instrText>issued</w:instrText>
      </w:r>
      <w:r w:rsidR="00C37789" w:rsidRPr="00593501">
        <w:instrText>":{"</w:instrText>
      </w:r>
      <w:r w:rsidR="00C37789" w:rsidRPr="000322E4">
        <w:rPr>
          <w:lang w:val="en-US"/>
        </w:rPr>
        <w:instrText>date</w:instrText>
      </w:r>
      <w:r w:rsidR="00C37789" w:rsidRPr="00593501">
        <w:instrText>-</w:instrText>
      </w:r>
      <w:r w:rsidR="00C37789" w:rsidRPr="000322E4">
        <w:rPr>
          <w:lang w:val="en-US"/>
        </w:rPr>
        <w:instrText>parts</w:instrText>
      </w:r>
      <w:r w:rsidR="00C37789" w:rsidRPr="00593501">
        <w:instrText>":[["2003"]]},"</w:instrText>
      </w:r>
      <w:r w:rsidR="00C37789" w:rsidRPr="000322E4">
        <w:rPr>
          <w:lang w:val="en-US"/>
        </w:rPr>
        <w:instrText>title</w:instrText>
      </w:r>
      <w:r w:rsidR="00C37789" w:rsidRPr="00593501">
        <w:instrText>":"</w:instrText>
      </w:r>
      <w:r w:rsidR="00C37789" w:rsidRPr="000322E4">
        <w:rPr>
          <w:lang w:val="en-US"/>
        </w:rPr>
        <w:instrText>Ifosfamide</w:instrText>
      </w:r>
      <w:r w:rsidR="00C37789" w:rsidRPr="00593501">
        <w:instrText xml:space="preserve">, </w:instrText>
      </w:r>
      <w:r w:rsidR="00C37789" w:rsidRPr="000322E4">
        <w:rPr>
          <w:lang w:val="en-US"/>
        </w:rPr>
        <w:instrText>carboplatin</w:instrText>
      </w:r>
      <w:r w:rsidR="00C37789" w:rsidRPr="00593501">
        <w:instrText xml:space="preserve">, </w:instrText>
      </w:r>
      <w:r w:rsidR="00C37789" w:rsidRPr="000322E4">
        <w:rPr>
          <w:lang w:val="en-US"/>
        </w:rPr>
        <w:instrText>etoposide</w:instrText>
      </w:r>
      <w:r w:rsidR="00C37789" w:rsidRPr="00593501">
        <w:instrText xml:space="preserve"> (</w:instrText>
      </w:r>
      <w:r w:rsidR="00C37789" w:rsidRPr="000322E4">
        <w:rPr>
          <w:lang w:val="en-US"/>
        </w:rPr>
        <w:instrText>ICE</w:instrText>
      </w:r>
      <w:r w:rsidR="00C37789" w:rsidRPr="00593501">
        <w:instrText>)-</w:instrText>
      </w:r>
      <w:r w:rsidR="00C37789" w:rsidRPr="000322E4">
        <w:rPr>
          <w:lang w:val="en-US"/>
        </w:rPr>
        <w:instrText>based</w:instrText>
      </w:r>
      <w:r w:rsidR="00C37789" w:rsidRPr="00593501">
        <w:instrText xml:space="preserve"> </w:instrText>
      </w:r>
      <w:r w:rsidR="00C37789" w:rsidRPr="000322E4">
        <w:rPr>
          <w:lang w:val="en-US"/>
        </w:rPr>
        <w:instrText>second</w:instrText>
      </w:r>
      <w:r w:rsidR="00C37789" w:rsidRPr="00593501">
        <w:instrText>-</w:instrText>
      </w:r>
      <w:r w:rsidR="00C37789" w:rsidRPr="000322E4">
        <w:rPr>
          <w:lang w:val="en-US"/>
        </w:rPr>
        <w:instrText>line</w:instrText>
      </w:r>
      <w:r w:rsidR="00C37789" w:rsidRPr="00593501">
        <w:instrText xml:space="preserve"> </w:instrText>
      </w:r>
      <w:r w:rsidR="00C37789" w:rsidRPr="000322E4">
        <w:rPr>
          <w:lang w:val="en-US"/>
        </w:rPr>
        <w:instrText>chemotherapy</w:instrText>
      </w:r>
      <w:r w:rsidR="00C37789" w:rsidRPr="00593501">
        <w:instrText xml:space="preserve"> </w:instrText>
      </w:r>
      <w:r w:rsidR="00C37789" w:rsidRPr="000322E4">
        <w:rPr>
          <w:lang w:val="en-US"/>
        </w:rPr>
        <w:instrText>for</w:instrText>
      </w:r>
      <w:r w:rsidR="00C37789" w:rsidRPr="00593501">
        <w:instrText xml:space="preserve"> </w:instrText>
      </w:r>
      <w:r w:rsidR="00C37789" w:rsidRPr="000322E4">
        <w:rPr>
          <w:lang w:val="en-US"/>
        </w:rPr>
        <w:instrText>the</w:instrText>
      </w:r>
      <w:r w:rsidR="00C37789" w:rsidRPr="00593501">
        <w:instrText xml:space="preserve"> </w:instrText>
      </w:r>
      <w:r w:rsidR="00C37789" w:rsidRPr="000322E4">
        <w:rPr>
          <w:lang w:val="en-US"/>
        </w:rPr>
        <w:instrText>management</w:instrText>
      </w:r>
      <w:r w:rsidR="00C37789" w:rsidRPr="00593501">
        <w:instrText xml:space="preserve"> </w:instrText>
      </w:r>
      <w:r w:rsidR="00C37789" w:rsidRPr="000322E4">
        <w:rPr>
          <w:lang w:val="en-US"/>
        </w:rPr>
        <w:instrText>of</w:instrText>
      </w:r>
      <w:r w:rsidR="00C37789" w:rsidRPr="00593501">
        <w:instrText xml:space="preserve"> </w:instrText>
      </w:r>
      <w:r w:rsidR="00C37789" w:rsidRPr="000322E4">
        <w:rPr>
          <w:lang w:val="en-US"/>
        </w:rPr>
        <w:instrText>relapsed</w:instrText>
      </w:r>
      <w:r w:rsidR="00C37789" w:rsidRPr="00593501">
        <w:instrText xml:space="preserve"> </w:instrText>
      </w:r>
      <w:r w:rsidR="00C37789" w:rsidRPr="000322E4">
        <w:rPr>
          <w:lang w:val="en-US"/>
        </w:rPr>
        <w:instrText>and</w:instrText>
      </w:r>
      <w:r w:rsidR="00C37789" w:rsidRPr="00593501">
        <w:instrText xml:space="preserve"> </w:instrText>
      </w:r>
      <w:r w:rsidR="00C37789" w:rsidRPr="000322E4">
        <w:rPr>
          <w:lang w:val="en-US"/>
        </w:rPr>
        <w:instrText>refractory</w:instrText>
      </w:r>
      <w:r w:rsidR="00C37789" w:rsidRPr="00593501">
        <w:instrText xml:space="preserve"> </w:instrText>
      </w:r>
      <w:r w:rsidR="00C37789" w:rsidRPr="000322E4">
        <w:rPr>
          <w:lang w:val="en-US"/>
        </w:rPr>
        <w:instrText>aggressive</w:instrText>
      </w:r>
      <w:r w:rsidR="00C37789" w:rsidRPr="00593501">
        <w:instrText xml:space="preserve"> </w:instrText>
      </w:r>
      <w:r w:rsidR="00C37789" w:rsidRPr="000322E4">
        <w:rPr>
          <w:lang w:val="en-US"/>
        </w:rPr>
        <w:instrText>non</w:instrText>
      </w:r>
      <w:r w:rsidR="00C37789" w:rsidRPr="00593501">
        <w:instrText>-</w:instrText>
      </w:r>
      <w:r w:rsidR="00C37789" w:rsidRPr="000322E4">
        <w:rPr>
          <w:lang w:val="en-US"/>
        </w:rPr>
        <w:instrText>Hodgkin</w:instrText>
      </w:r>
      <w:r w:rsidR="00C37789" w:rsidRPr="00593501">
        <w:instrText>'</w:instrText>
      </w:r>
      <w:r w:rsidR="00C37789" w:rsidRPr="000322E4">
        <w:rPr>
          <w:lang w:val="en-US"/>
        </w:rPr>
        <w:instrText>s</w:instrText>
      </w:r>
      <w:r w:rsidR="00C37789" w:rsidRPr="00593501">
        <w:instrText xml:space="preserve"> </w:instrText>
      </w:r>
      <w:r w:rsidR="00C37789" w:rsidRPr="000322E4">
        <w:rPr>
          <w:lang w:val="en-US"/>
        </w:rPr>
        <w:instrText>lymphoma</w:instrText>
      </w:r>
      <w:r w:rsidR="00C37789" w:rsidRPr="00593501">
        <w:instrText>","</w:instrText>
      </w:r>
      <w:r w:rsidR="00C37789" w:rsidRPr="000322E4">
        <w:rPr>
          <w:lang w:val="en-US"/>
        </w:rPr>
        <w:instrText>type</w:instrText>
      </w:r>
      <w:r w:rsidR="00C37789" w:rsidRPr="00593501">
        <w:instrText>":"</w:instrText>
      </w:r>
      <w:r w:rsidR="00C37789" w:rsidRPr="000322E4">
        <w:rPr>
          <w:lang w:val="en-US"/>
        </w:rPr>
        <w:instrText>article</w:instrText>
      </w:r>
      <w:r w:rsidR="00C37789" w:rsidRPr="00593501">
        <w:instrText>-</w:instrText>
      </w:r>
      <w:r w:rsidR="00C37789" w:rsidRPr="000322E4">
        <w:rPr>
          <w:lang w:val="en-US"/>
        </w:rPr>
        <w:instrText>journal</w:instrText>
      </w:r>
      <w:r w:rsidR="00C37789" w:rsidRPr="00593501">
        <w:instrText>","</w:instrText>
      </w:r>
      <w:r w:rsidR="00C37789" w:rsidRPr="000322E4">
        <w:rPr>
          <w:lang w:val="en-US"/>
        </w:rPr>
        <w:instrText>volume</w:instrText>
      </w:r>
      <w:r w:rsidR="00C37789" w:rsidRPr="00593501">
        <w:instrText>":"14"},"</w:instrText>
      </w:r>
      <w:r w:rsidR="00C37789" w:rsidRPr="000322E4">
        <w:rPr>
          <w:lang w:val="en-US"/>
        </w:rPr>
        <w:instrText>uris</w:instrText>
      </w:r>
      <w:r w:rsidR="00C37789" w:rsidRPr="00593501">
        <w:instrText>":["</w:instrText>
      </w:r>
      <w:r w:rsidR="00C37789" w:rsidRPr="000322E4">
        <w:rPr>
          <w:lang w:val="en-US"/>
        </w:rPr>
        <w:instrText>http</w:instrText>
      </w:r>
      <w:r w:rsidR="00C37789" w:rsidRPr="00593501">
        <w:instrText>://</w:instrText>
      </w:r>
      <w:r w:rsidR="00C37789" w:rsidRPr="000322E4">
        <w:rPr>
          <w:lang w:val="en-US"/>
        </w:rPr>
        <w:instrText>www</w:instrText>
      </w:r>
      <w:r w:rsidR="00C37789" w:rsidRPr="00593501">
        <w:instrText>.</w:instrText>
      </w:r>
      <w:r w:rsidR="00C37789" w:rsidRPr="000322E4">
        <w:rPr>
          <w:lang w:val="en-US"/>
        </w:rPr>
        <w:instrText>mendeley</w:instrText>
      </w:r>
      <w:r w:rsidR="00C37789" w:rsidRPr="00593501">
        <w:instrText>.</w:instrText>
      </w:r>
      <w:r w:rsidR="00C37789" w:rsidRPr="000322E4">
        <w:rPr>
          <w:lang w:val="en-US"/>
        </w:rPr>
        <w:instrText>com</w:instrText>
      </w:r>
      <w:r w:rsidR="00C37789" w:rsidRPr="00593501">
        <w:instrText>/</w:instrText>
      </w:r>
      <w:r w:rsidR="00C37789" w:rsidRPr="000322E4">
        <w:rPr>
          <w:lang w:val="en-US"/>
        </w:rPr>
        <w:instrText>documents</w:instrText>
      </w:r>
      <w:r w:rsidR="00C37789" w:rsidRPr="00593501">
        <w:instrText>/?</w:instrText>
      </w:r>
      <w:r w:rsidR="00C37789" w:rsidRPr="000322E4">
        <w:rPr>
          <w:lang w:val="en-US"/>
        </w:rPr>
        <w:instrText>uuid</w:instrText>
      </w:r>
      <w:r w:rsidR="00C37789" w:rsidRPr="00593501">
        <w:instrText>=81</w:instrText>
      </w:r>
      <w:r w:rsidR="00C37789" w:rsidRPr="000322E4">
        <w:rPr>
          <w:lang w:val="en-US"/>
        </w:rPr>
        <w:instrText>f</w:instrText>
      </w:r>
      <w:r w:rsidR="00C37789" w:rsidRPr="00593501">
        <w:instrText>1024</w:instrText>
      </w:r>
      <w:r w:rsidR="00C37789" w:rsidRPr="000322E4">
        <w:rPr>
          <w:lang w:val="en-US"/>
        </w:rPr>
        <w:instrText>b</w:instrText>
      </w:r>
      <w:r w:rsidR="00C37789" w:rsidRPr="00593501">
        <w:instrText>-4652-3404-9</w:instrText>
      </w:r>
      <w:r w:rsidR="00C37789" w:rsidRPr="000322E4">
        <w:rPr>
          <w:lang w:val="en-US"/>
        </w:rPr>
        <w:instrText>c</w:instrText>
      </w:r>
      <w:r w:rsidR="00C37789" w:rsidRPr="00593501">
        <w:instrText>8</w:instrText>
      </w:r>
      <w:r w:rsidR="00C37789" w:rsidRPr="000322E4">
        <w:rPr>
          <w:lang w:val="en-US"/>
        </w:rPr>
        <w:instrText>e</w:instrText>
      </w:r>
      <w:r w:rsidR="00C37789" w:rsidRPr="00593501">
        <w:instrText>-9</w:instrText>
      </w:r>
      <w:r w:rsidR="00C37789" w:rsidRPr="000322E4">
        <w:rPr>
          <w:lang w:val="en-US"/>
        </w:rPr>
        <w:instrText>f</w:instrText>
      </w:r>
      <w:r w:rsidR="00C37789" w:rsidRPr="00593501">
        <w:instrText>2</w:instrText>
      </w:r>
      <w:r w:rsidR="00C37789" w:rsidRPr="000322E4">
        <w:rPr>
          <w:lang w:val="en-US"/>
        </w:rPr>
        <w:instrText>c</w:instrText>
      </w:r>
      <w:r w:rsidR="00C37789" w:rsidRPr="00593501">
        <w:instrText>8255711</w:instrText>
      </w:r>
      <w:r w:rsidR="00C37789" w:rsidRPr="000322E4">
        <w:rPr>
          <w:lang w:val="en-US"/>
        </w:rPr>
        <w:instrText>f</w:instrText>
      </w:r>
      <w:r w:rsidR="00C37789" w:rsidRPr="00593501">
        <w:instrText>"]}],"</w:instrText>
      </w:r>
      <w:r w:rsidR="00C37789" w:rsidRPr="000322E4">
        <w:rPr>
          <w:lang w:val="en-US"/>
        </w:rPr>
        <w:instrText>mendeley</w:instrText>
      </w:r>
      <w:r w:rsidR="00C37789" w:rsidRPr="00593501">
        <w:instrText>":{"</w:instrText>
      </w:r>
      <w:r w:rsidR="00C37789" w:rsidRPr="000322E4">
        <w:rPr>
          <w:lang w:val="en-US"/>
        </w:rPr>
        <w:instrText>formattedCitation</w:instrText>
      </w:r>
      <w:r w:rsidR="00C37789" w:rsidRPr="00593501">
        <w:instrText>":"[96]","</w:instrText>
      </w:r>
      <w:r w:rsidR="00C37789" w:rsidRPr="000322E4">
        <w:rPr>
          <w:lang w:val="en-US"/>
        </w:rPr>
        <w:instrText>plainTextFormattedCitation</w:instrText>
      </w:r>
      <w:r w:rsidR="00C37789" w:rsidRPr="00593501">
        <w:instrText>":"[96]","</w:instrText>
      </w:r>
      <w:r w:rsidR="00C37789" w:rsidRPr="000322E4">
        <w:rPr>
          <w:lang w:val="en-US"/>
        </w:rPr>
        <w:instrText>previouslyFormattedCitation</w:instrText>
      </w:r>
      <w:r w:rsidR="00C37789" w:rsidRPr="00593501">
        <w:instrText>":"[96]"},"</w:instrText>
      </w:r>
      <w:r w:rsidR="00C37789" w:rsidRPr="000322E4">
        <w:rPr>
          <w:lang w:val="en-US"/>
        </w:rPr>
        <w:instrText>properties</w:instrText>
      </w:r>
      <w:r w:rsidR="00C37789" w:rsidRPr="00593501">
        <w:instrText>":{"</w:instrText>
      </w:r>
      <w:r w:rsidR="00C37789" w:rsidRPr="000322E4">
        <w:rPr>
          <w:lang w:val="en-US"/>
        </w:rPr>
        <w:instrText>noteIndex</w:instrText>
      </w:r>
      <w:r w:rsidR="00C37789" w:rsidRPr="00593501">
        <w:instrText>":0},"</w:instrText>
      </w:r>
      <w:r w:rsidR="00C37789" w:rsidRPr="000322E4">
        <w:rPr>
          <w:lang w:val="en-US"/>
        </w:rPr>
        <w:instrText>schema</w:instrText>
      </w:r>
      <w:r w:rsidR="00C37789" w:rsidRPr="00593501">
        <w:instrText>":"</w:instrText>
      </w:r>
      <w:r w:rsidR="00C37789" w:rsidRPr="000322E4">
        <w:rPr>
          <w:lang w:val="en-US"/>
        </w:rPr>
        <w:instrText>https</w:instrText>
      </w:r>
      <w:r w:rsidR="00C37789" w:rsidRPr="00593501">
        <w:instrText>://</w:instrText>
      </w:r>
      <w:r w:rsidR="00C37789" w:rsidRPr="000322E4">
        <w:rPr>
          <w:lang w:val="en-US"/>
        </w:rPr>
        <w:instrText>github</w:instrText>
      </w:r>
      <w:r w:rsidR="00C37789" w:rsidRPr="00593501">
        <w:instrText>.</w:instrText>
      </w:r>
      <w:r w:rsidR="00C37789" w:rsidRPr="000322E4">
        <w:rPr>
          <w:lang w:val="en-US"/>
        </w:rPr>
        <w:instrText>com</w:instrText>
      </w:r>
      <w:r w:rsidR="00C37789" w:rsidRPr="00593501">
        <w:instrText>/</w:instrText>
      </w:r>
      <w:r w:rsidR="00C37789" w:rsidRPr="000322E4">
        <w:rPr>
          <w:lang w:val="en-US"/>
        </w:rPr>
        <w:instrText>citation</w:instrText>
      </w:r>
      <w:r w:rsidR="00C37789" w:rsidRPr="00593501">
        <w:instrText>-</w:instrText>
      </w:r>
      <w:r w:rsidR="00C37789" w:rsidRPr="000322E4">
        <w:rPr>
          <w:lang w:val="en-US"/>
        </w:rPr>
        <w:instrText>style</w:instrText>
      </w:r>
      <w:r w:rsidR="00C37789" w:rsidRPr="00593501">
        <w:instrText>-</w:instrText>
      </w:r>
      <w:r w:rsidR="00C37789" w:rsidRPr="000322E4">
        <w:rPr>
          <w:lang w:val="en-US"/>
        </w:rPr>
        <w:instrText>language</w:instrText>
      </w:r>
      <w:r w:rsidR="00C37789" w:rsidRPr="00593501">
        <w:instrText>/</w:instrText>
      </w:r>
      <w:r w:rsidR="00C37789" w:rsidRPr="000322E4">
        <w:rPr>
          <w:lang w:val="en-US"/>
        </w:rPr>
        <w:instrText>schema</w:instrText>
      </w:r>
      <w:r w:rsidR="00C37789" w:rsidRPr="00593501">
        <w:instrText>/</w:instrText>
      </w:r>
      <w:r w:rsidR="00C37789" w:rsidRPr="000322E4">
        <w:rPr>
          <w:lang w:val="en-US"/>
        </w:rPr>
        <w:instrText>raw</w:instrText>
      </w:r>
      <w:r w:rsidR="00C37789" w:rsidRPr="00593501">
        <w:instrText>/</w:instrText>
      </w:r>
      <w:r w:rsidR="00C37789" w:rsidRPr="000322E4">
        <w:rPr>
          <w:lang w:val="en-US"/>
        </w:rPr>
        <w:instrText>master</w:instrText>
      </w:r>
      <w:r w:rsidR="00C37789" w:rsidRPr="00593501">
        <w:instrText>/</w:instrText>
      </w:r>
      <w:r w:rsidR="00C37789" w:rsidRPr="000322E4">
        <w:rPr>
          <w:lang w:val="en-US"/>
        </w:rPr>
        <w:instrText>csl</w:instrText>
      </w:r>
      <w:r w:rsidR="00C37789" w:rsidRPr="00593501">
        <w:instrText>-</w:instrText>
      </w:r>
      <w:r w:rsidR="00C37789" w:rsidRPr="000322E4">
        <w:rPr>
          <w:lang w:val="en-US"/>
        </w:rPr>
        <w:instrText>citation</w:instrText>
      </w:r>
      <w:r w:rsidR="00C37789" w:rsidRPr="00593501">
        <w:instrText>.</w:instrText>
      </w:r>
      <w:r w:rsidR="00C37789" w:rsidRPr="000322E4">
        <w:rPr>
          <w:lang w:val="en-US"/>
        </w:rPr>
        <w:instrText>json</w:instrText>
      </w:r>
      <w:r w:rsidR="00C37789" w:rsidRPr="00593501">
        <w:instrText>"}</w:instrText>
      </w:r>
      <w:r w:rsidRPr="000322E4">
        <w:rPr>
          <w:lang w:val="en-US"/>
        </w:rPr>
        <w:fldChar w:fldCharType="separate"/>
      </w:r>
      <w:r w:rsidR="00C37789" w:rsidRPr="000322E4">
        <w:rPr>
          <w:noProof/>
        </w:rPr>
        <w:t>[96]</w:t>
      </w:r>
      <w:r w:rsidRPr="000322E4">
        <w:rPr>
          <w:lang w:val="en-US"/>
        </w:rPr>
        <w:fldChar w:fldCharType="end"/>
      </w:r>
    </w:p>
    <w:p w14:paraId="22E6A485" w14:textId="77777777" w:rsidR="00666D68" w:rsidRPr="000322E4" w:rsidRDefault="00666D68" w:rsidP="008E3584">
      <w:pPr>
        <w:numPr>
          <w:ilvl w:val="0"/>
          <w:numId w:val="48"/>
        </w:numPr>
      </w:pPr>
      <w:r w:rsidRPr="000322E4">
        <w:t>Этопозид</w:t>
      </w:r>
      <w:r w:rsidRPr="000322E4">
        <w:rPr>
          <w:bCs/>
        </w:rPr>
        <w:t>**</w:t>
      </w:r>
      <w:r w:rsidRPr="000322E4">
        <w:t xml:space="preserve"> 100 мг/м</w:t>
      </w:r>
      <w:r w:rsidRPr="000322E4">
        <w:rPr>
          <w:vertAlign w:val="superscript"/>
        </w:rPr>
        <w:t>2</w:t>
      </w:r>
      <w:r w:rsidRPr="000322E4">
        <w:t xml:space="preserve"> в/в кап., дни 1-3 </w:t>
      </w:r>
    </w:p>
    <w:p w14:paraId="05425A83" w14:textId="77777777" w:rsidR="00666D68" w:rsidRPr="000322E4" w:rsidRDefault="00666D68" w:rsidP="008E3584">
      <w:pPr>
        <w:numPr>
          <w:ilvl w:val="0"/>
          <w:numId w:val="48"/>
        </w:numPr>
      </w:pPr>
      <w:r w:rsidRPr="000322E4">
        <w:t>Ифосфамид</w:t>
      </w:r>
      <w:r w:rsidRPr="000322E4">
        <w:rPr>
          <w:bCs/>
        </w:rPr>
        <w:t>**</w:t>
      </w:r>
      <w:r w:rsidRPr="000322E4">
        <w:t xml:space="preserve"> 5000 мг/м</w:t>
      </w:r>
      <w:r w:rsidRPr="000322E4">
        <w:rPr>
          <w:vertAlign w:val="superscript"/>
        </w:rPr>
        <w:t>2</w:t>
      </w:r>
      <w:r w:rsidRPr="000322E4">
        <w:t xml:space="preserve"> в/в 24-часовая инфузия, день 2</w:t>
      </w:r>
    </w:p>
    <w:p w14:paraId="5D96FF0C" w14:textId="77777777" w:rsidR="00666D68" w:rsidRPr="000322E4" w:rsidRDefault="00666D68" w:rsidP="008E3584">
      <w:pPr>
        <w:numPr>
          <w:ilvl w:val="0"/>
          <w:numId w:val="48"/>
        </w:numPr>
      </w:pPr>
      <w:r w:rsidRPr="000322E4">
        <w:t>#Карбоплатин</w:t>
      </w:r>
      <w:r w:rsidRPr="000322E4">
        <w:rPr>
          <w:bCs/>
        </w:rPr>
        <w:t>**</w:t>
      </w:r>
      <w:r w:rsidRPr="000322E4">
        <w:t xml:space="preserve"> AUС 5 с использованием формулы Calvert; максимально 800 мг в/в кап., день 2 </w:t>
      </w:r>
    </w:p>
    <w:p w14:paraId="04C356B0" w14:textId="77777777" w:rsidR="00666D68" w:rsidRPr="000322E4" w:rsidRDefault="00666D68" w:rsidP="008E3584"/>
    <w:p w14:paraId="54E163EB" w14:textId="77777777" w:rsidR="00666D68" w:rsidRPr="000322E4" w:rsidRDefault="00666D68" w:rsidP="008E3584">
      <w:pPr>
        <w:rPr>
          <w:b/>
          <w:bCs/>
        </w:rPr>
      </w:pPr>
      <w:r w:rsidRPr="000322E4">
        <w:rPr>
          <w:b/>
          <w:bCs/>
        </w:rPr>
        <w:t>GD</w:t>
      </w:r>
      <w:r w:rsidRPr="000322E4">
        <w:rPr>
          <w:b/>
          <w:bCs/>
          <w:lang w:val="en-US"/>
        </w:rPr>
        <w:t>P</w:t>
      </w:r>
      <w:r w:rsidRPr="000322E4">
        <w:rPr>
          <w:b/>
          <w:bCs/>
        </w:rPr>
        <w:t xml:space="preserve"> </w:t>
      </w:r>
      <w:r w:rsidRPr="000322E4">
        <w:rPr>
          <w:lang w:val="en-US"/>
        </w:rPr>
        <w:fldChar w:fldCharType="begin" w:fldLock="1"/>
      </w:r>
      <w:r w:rsidR="00C37789" w:rsidRPr="000322E4">
        <w:rPr>
          <w:lang w:val="en-US"/>
        </w:rPr>
        <w:instrText>ADDIN</w:instrText>
      </w:r>
      <w:r w:rsidR="00C37789" w:rsidRPr="00593501">
        <w:instrText xml:space="preserve"> </w:instrText>
      </w:r>
      <w:r w:rsidR="00C37789" w:rsidRPr="000322E4">
        <w:rPr>
          <w:lang w:val="en-US"/>
        </w:rPr>
        <w:instrText>CSL</w:instrText>
      </w:r>
      <w:r w:rsidR="00C37789" w:rsidRPr="00593501">
        <w:instrText>_</w:instrText>
      </w:r>
      <w:r w:rsidR="00C37789" w:rsidRPr="000322E4">
        <w:rPr>
          <w:lang w:val="en-US"/>
        </w:rPr>
        <w:instrText>CITATION</w:instrText>
      </w:r>
      <w:r w:rsidR="00C37789" w:rsidRPr="00593501">
        <w:instrText xml:space="preserve"> {"</w:instrText>
      </w:r>
      <w:r w:rsidR="00C37789" w:rsidRPr="000322E4">
        <w:rPr>
          <w:lang w:val="en-US"/>
        </w:rPr>
        <w:instrText>citationItems</w:instrText>
      </w:r>
      <w:r w:rsidR="00C37789" w:rsidRPr="00593501">
        <w:instrText>":[{"</w:instrText>
      </w:r>
      <w:r w:rsidR="00C37789" w:rsidRPr="000322E4">
        <w:rPr>
          <w:lang w:val="en-US"/>
        </w:rPr>
        <w:instrText>id</w:instrText>
      </w:r>
      <w:r w:rsidR="00C37789" w:rsidRPr="00593501">
        <w:instrText>":"</w:instrText>
      </w:r>
      <w:r w:rsidR="00C37789" w:rsidRPr="000322E4">
        <w:rPr>
          <w:lang w:val="en-US"/>
        </w:rPr>
        <w:instrText>ITEM</w:instrText>
      </w:r>
      <w:r w:rsidR="00C37789" w:rsidRPr="00593501">
        <w:instrText>-1","</w:instrText>
      </w:r>
      <w:r w:rsidR="00C37789" w:rsidRPr="000322E4">
        <w:rPr>
          <w:lang w:val="en-US"/>
        </w:rPr>
        <w:instrText>itemData</w:instrText>
      </w:r>
      <w:r w:rsidR="00C37789" w:rsidRPr="00593501">
        <w:instrText>":{"</w:instrText>
      </w:r>
      <w:r w:rsidR="00C37789" w:rsidRPr="000322E4">
        <w:rPr>
          <w:lang w:val="en-US"/>
        </w:rPr>
        <w:instrText>DOI</w:instrText>
      </w:r>
      <w:r w:rsidR="00C37789" w:rsidRPr="00593501">
        <w:instrText>":"10.1002/</w:instrText>
      </w:r>
      <w:r w:rsidR="00C37789" w:rsidRPr="000322E4">
        <w:rPr>
          <w:lang w:val="en-US"/>
        </w:rPr>
        <w:instrText>cncr</w:instrText>
      </w:r>
      <w:r w:rsidR="00C37789" w:rsidRPr="00593501">
        <w:instrText>.20587","</w:instrText>
      </w:r>
      <w:r w:rsidR="00C37789" w:rsidRPr="000322E4">
        <w:rPr>
          <w:lang w:val="en-US"/>
        </w:rPr>
        <w:instrText>ISSN</w:instrText>
      </w:r>
      <w:r w:rsidR="00C37789" w:rsidRPr="00593501">
        <w:instrText>":"0008543</w:instrText>
      </w:r>
      <w:r w:rsidR="00C37789" w:rsidRPr="000322E4">
        <w:rPr>
          <w:lang w:val="en-US"/>
        </w:rPr>
        <w:instrText>X</w:instrText>
      </w:r>
      <w:r w:rsidR="00C37789" w:rsidRPr="00593501">
        <w:instrText>","</w:instrText>
      </w:r>
      <w:r w:rsidR="00C37789" w:rsidRPr="000322E4">
        <w:rPr>
          <w:lang w:val="en-US"/>
        </w:rPr>
        <w:instrText>abstract</w:instrText>
      </w:r>
      <w:r w:rsidR="00C37789" w:rsidRPr="00593501">
        <w:instrText>":"</w:instrText>
      </w:r>
      <w:r w:rsidR="00C37789" w:rsidRPr="000322E4">
        <w:rPr>
          <w:lang w:val="en-US"/>
        </w:rPr>
        <w:instrText>BACKGROUND</w:instrText>
      </w:r>
      <w:r w:rsidR="00C37789" w:rsidRPr="00593501">
        <w:instrText xml:space="preserve">. </w:instrText>
      </w:r>
      <w:r w:rsidR="00C37789" w:rsidRPr="000322E4">
        <w:rPr>
          <w:lang w:val="en-US"/>
        </w:rPr>
        <w:instrText>Gemcitabine</w:instrText>
      </w:r>
      <w:r w:rsidR="00C37789" w:rsidRPr="00593501">
        <w:instrText xml:space="preserve"> </w:instrText>
      </w:r>
      <w:r w:rsidR="00C37789" w:rsidRPr="000322E4">
        <w:rPr>
          <w:lang w:val="en-US"/>
        </w:rPr>
        <w:instrText>has</w:instrText>
      </w:r>
      <w:r w:rsidR="00C37789" w:rsidRPr="00593501">
        <w:instrText xml:space="preserve"> </w:instrText>
      </w:r>
      <w:r w:rsidR="00C37789" w:rsidRPr="000322E4">
        <w:rPr>
          <w:lang w:val="en-US"/>
        </w:rPr>
        <w:instrText>been</w:instrText>
      </w:r>
      <w:r w:rsidR="00C37789" w:rsidRPr="00593501">
        <w:instrText xml:space="preserve"> </w:instrText>
      </w:r>
      <w:r w:rsidR="00C37789" w:rsidRPr="000322E4">
        <w:rPr>
          <w:lang w:val="en-US"/>
        </w:rPr>
        <w:instrText>shown</w:instrText>
      </w:r>
      <w:r w:rsidR="00C37789" w:rsidRPr="00593501">
        <w:instrText xml:space="preserve"> </w:instrText>
      </w:r>
      <w:r w:rsidR="00C37789" w:rsidRPr="000322E4">
        <w:rPr>
          <w:lang w:val="en-US"/>
        </w:rPr>
        <w:instrText>to</w:instrText>
      </w:r>
      <w:r w:rsidR="00C37789" w:rsidRPr="00593501">
        <w:instrText xml:space="preserve"> </w:instrText>
      </w:r>
      <w:r w:rsidR="00C37789" w:rsidRPr="000322E4">
        <w:rPr>
          <w:lang w:val="en-US"/>
        </w:rPr>
        <w:instrText>have</w:instrText>
      </w:r>
      <w:r w:rsidR="00C37789" w:rsidRPr="00593501">
        <w:instrText xml:space="preserve"> </w:instrText>
      </w:r>
      <w:r w:rsidR="00C37789" w:rsidRPr="000322E4">
        <w:rPr>
          <w:lang w:val="en-US"/>
        </w:rPr>
        <w:instrText>activity</w:instrText>
      </w:r>
      <w:r w:rsidR="00C37789" w:rsidRPr="00593501">
        <w:instrText xml:space="preserve"> </w:instrText>
      </w:r>
      <w:r w:rsidR="00C37789" w:rsidRPr="000322E4">
        <w:rPr>
          <w:lang w:val="en-US"/>
        </w:rPr>
        <w:instrText>as</w:instrText>
      </w:r>
      <w:r w:rsidR="00C37789" w:rsidRPr="00593501">
        <w:instrText xml:space="preserve"> </w:instrText>
      </w:r>
      <w:r w:rsidR="00C37789" w:rsidRPr="000322E4">
        <w:rPr>
          <w:lang w:val="en-US"/>
        </w:rPr>
        <w:instrText>a</w:instrText>
      </w:r>
      <w:r w:rsidR="00C37789" w:rsidRPr="00593501">
        <w:instrText xml:space="preserve"> </w:instrText>
      </w:r>
      <w:r w:rsidR="00C37789" w:rsidRPr="000322E4">
        <w:rPr>
          <w:lang w:val="en-US"/>
        </w:rPr>
        <w:instrText>single</w:instrText>
      </w:r>
      <w:r w:rsidR="00C37789" w:rsidRPr="00593501">
        <w:instrText xml:space="preserve"> </w:instrText>
      </w:r>
      <w:r w:rsidR="00C37789" w:rsidRPr="000322E4">
        <w:rPr>
          <w:lang w:val="en-US"/>
        </w:rPr>
        <w:instrText>agent</w:instrText>
      </w:r>
      <w:r w:rsidR="00C37789" w:rsidRPr="00593501">
        <w:instrText xml:space="preserve"> </w:instrText>
      </w:r>
      <w:r w:rsidR="00C37789" w:rsidRPr="000322E4">
        <w:rPr>
          <w:lang w:val="en-US"/>
        </w:rPr>
        <w:instrText>in</w:instrText>
      </w:r>
      <w:r w:rsidR="00C37789" w:rsidRPr="00593501">
        <w:instrText xml:space="preserve"> </w:instrText>
      </w:r>
      <w:r w:rsidR="00C37789" w:rsidRPr="000322E4">
        <w:rPr>
          <w:lang w:val="en-US"/>
        </w:rPr>
        <w:instrText>lymphoma</w:instrText>
      </w:r>
      <w:r w:rsidR="00C37789" w:rsidRPr="00593501">
        <w:instrText xml:space="preserve"> </w:instrText>
      </w:r>
      <w:r w:rsidR="00C37789" w:rsidRPr="000322E4">
        <w:rPr>
          <w:lang w:val="en-US"/>
        </w:rPr>
        <w:instrText>and</w:instrText>
      </w:r>
      <w:r w:rsidR="00C37789" w:rsidRPr="00593501">
        <w:instrText xml:space="preserve">, </w:instrText>
      </w:r>
      <w:r w:rsidR="00C37789" w:rsidRPr="000322E4">
        <w:rPr>
          <w:lang w:val="en-US"/>
        </w:rPr>
        <w:instrText>when</w:instrText>
      </w:r>
      <w:r w:rsidR="00C37789" w:rsidRPr="00593501">
        <w:instrText xml:space="preserve"> </w:instrText>
      </w:r>
      <w:r w:rsidR="00C37789" w:rsidRPr="000322E4">
        <w:rPr>
          <w:lang w:val="en-US"/>
        </w:rPr>
        <w:instrText>combined</w:instrText>
      </w:r>
      <w:r w:rsidR="00C37789" w:rsidRPr="00593501">
        <w:instrText xml:space="preserve"> </w:instrText>
      </w:r>
      <w:r w:rsidR="00C37789" w:rsidRPr="000322E4">
        <w:rPr>
          <w:lang w:val="en-US"/>
        </w:rPr>
        <w:instrText>with</w:instrText>
      </w:r>
      <w:r w:rsidR="00C37789" w:rsidRPr="00593501">
        <w:instrText xml:space="preserve"> </w:instrText>
      </w:r>
      <w:r w:rsidR="00C37789" w:rsidRPr="000322E4">
        <w:rPr>
          <w:lang w:val="en-US"/>
        </w:rPr>
        <w:instrText>cisplatin</w:instrText>
      </w:r>
      <w:r w:rsidR="00C37789" w:rsidRPr="00593501">
        <w:instrText xml:space="preserve">, </w:instrText>
      </w:r>
      <w:r w:rsidR="00C37789" w:rsidRPr="000322E4">
        <w:rPr>
          <w:lang w:val="en-US"/>
        </w:rPr>
        <w:instrText>is</w:instrText>
      </w:r>
      <w:r w:rsidR="00C37789" w:rsidRPr="00593501">
        <w:instrText xml:space="preserve"> </w:instrText>
      </w:r>
      <w:r w:rsidR="00C37789" w:rsidRPr="000322E4">
        <w:rPr>
          <w:lang w:val="en-US"/>
        </w:rPr>
        <w:instrText>effective</w:instrText>
      </w:r>
      <w:r w:rsidR="00C37789" w:rsidRPr="00593501">
        <w:instrText xml:space="preserve"> </w:instrText>
      </w:r>
      <w:r w:rsidR="00C37789" w:rsidRPr="000322E4">
        <w:rPr>
          <w:lang w:val="en-US"/>
        </w:rPr>
        <w:instrText>therapy</w:instrText>
      </w:r>
      <w:r w:rsidR="00C37789" w:rsidRPr="00593501">
        <w:instrText xml:space="preserve"> </w:instrText>
      </w:r>
      <w:r w:rsidR="00C37789" w:rsidRPr="000322E4">
        <w:rPr>
          <w:lang w:val="en-US"/>
        </w:rPr>
        <w:instrText>for</w:instrText>
      </w:r>
      <w:r w:rsidR="00C37789" w:rsidRPr="00593501">
        <w:instrText xml:space="preserve"> </w:instrText>
      </w:r>
      <w:r w:rsidR="00C37789" w:rsidRPr="000322E4">
        <w:rPr>
          <w:lang w:val="en-US"/>
        </w:rPr>
        <w:instrText>a</w:instrText>
      </w:r>
      <w:r w:rsidR="00C37789" w:rsidRPr="00593501">
        <w:instrText xml:space="preserve"> </w:instrText>
      </w:r>
      <w:r w:rsidR="00C37789" w:rsidRPr="000322E4">
        <w:rPr>
          <w:lang w:val="en-US"/>
        </w:rPr>
        <w:instrText>number</w:instrText>
      </w:r>
      <w:r w:rsidR="00C37789" w:rsidRPr="00593501">
        <w:instrText xml:space="preserve"> </w:instrText>
      </w:r>
      <w:r w:rsidR="00C37789" w:rsidRPr="000322E4">
        <w:rPr>
          <w:lang w:val="en-US"/>
        </w:rPr>
        <w:instrText>of</w:instrText>
      </w:r>
      <w:r w:rsidR="00C37789" w:rsidRPr="00593501">
        <w:instrText xml:space="preserve"> </w:instrText>
      </w:r>
      <w:r w:rsidR="00C37789" w:rsidRPr="000322E4">
        <w:rPr>
          <w:lang w:val="en-US"/>
        </w:rPr>
        <w:instrText>solid</w:instrText>
      </w:r>
      <w:r w:rsidR="00C37789" w:rsidRPr="00593501">
        <w:instrText xml:space="preserve"> </w:instrText>
      </w:r>
      <w:r w:rsidR="00C37789" w:rsidRPr="000322E4">
        <w:rPr>
          <w:lang w:val="en-US"/>
        </w:rPr>
        <w:instrText>tumors</w:instrText>
      </w:r>
      <w:r w:rsidR="00C37789" w:rsidRPr="00593501">
        <w:instrText xml:space="preserve">. </w:instrText>
      </w:r>
      <w:r w:rsidR="00C37789" w:rsidRPr="000322E4">
        <w:rPr>
          <w:lang w:val="en-US"/>
        </w:rPr>
        <w:instrText>The</w:instrText>
      </w:r>
      <w:r w:rsidR="00C37789" w:rsidRPr="00593501">
        <w:instrText xml:space="preserve"> </w:instrText>
      </w:r>
      <w:r w:rsidR="00C37789" w:rsidRPr="000322E4">
        <w:rPr>
          <w:lang w:val="en-US"/>
        </w:rPr>
        <w:instrText>authors</w:instrText>
      </w:r>
      <w:r w:rsidR="00C37789" w:rsidRPr="00593501">
        <w:instrText xml:space="preserve"> </w:instrText>
      </w:r>
      <w:r w:rsidR="00C37789" w:rsidRPr="000322E4">
        <w:rPr>
          <w:lang w:val="en-US"/>
        </w:rPr>
        <w:instrText>wished</w:instrText>
      </w:r>
      <w:r w:rsidR="00C37789" w:rsidRPr="00593501">
        <w:instrText xml:space="preserve"> </w:instrText>
      </w:r>
      <w:r w:rsidR="00C37789" w:rsidRPr="000322E4">
        <w:rPr>
          <w:lang w:val="en-US"/>
        </w:rPr>
        <w:instrText>to</w:instrText>
      </w:r>
      <w:r w:rsidR="00C37789" w:rsidRPr="00593501">
        <w:instrText xml:space="preserve"> </w:instrText>
      </w:r>
      <w:r w:rsidR="00C37789" w:rsidRPr="000322E4">
        <w:rPr>
          <w:lang w:val="en-US"/>
        </w:rPr>
        <w:instrText>determine</w:instrText>
      </w:r>
      <w:r w:rsidR="00C37789" w:rsidRPr="00593501">
        <w:instrText xml:space="preserve"> </w:instrText>
      </w:r>
      <w:r w:rsidR="00C37789" w:rsidRPr="000322E4">
        <w:rPr>
          <w:lang w:val="en-US"/>
        </w:rPr>
        <w:instrText>the</w:instrText>
      </w:r>
      <w:r w:rsidR="00C37789" w:rsidRPr="00593501">
        <w:instrText xml:space="preserve"> </w:instrText>
      </w:r>
      <w:r w:rsidR="00C37789" w:rsidRPr="000322E4">
        <w:rPr>
          <w:lang w:val="en-US"/>
        </w:rPr>
        <w:instrText>response</w:instrText>
      </w:r>
      <w:r w:rsidR="00C37789" w:rsidRPr="00593501">
        <w:instrText xml:space="preserve"> </w:instrText>
      </w:r>
      <w:r w:rsidR="00C37789" w:rsidRPr="000322E4">
        <w:rPr>
          <w:lang w:val="en-US"/>
        </w:rPr>
        <w:instrText>rate</w:instrText>
      </w:r>
      <w:r w:rsidR="00C37789" w:rsidRPr="00593501">
        <w:instrText xml:space="preserve"> </w:instrText>
      </w:r>
      <w:r w:rsidR="00C37789" w:rsidRPr="000322E4">
        <w:rPr>
          <w:lang w:val="en-US"/>
        </w:rPr>
        <w:instrText>and</w:instrText>
      </w:r>
      <w:r w:rsidR="00C37789" w:rsidRPr="00593501">
        <w:instrText xml:space="preserve"> </w:instrText>
      </w:r>
      <w:r w:rsidR="00C37789" w:rsidRPr="000322E4">
        <w:rPr>
          <w:lang w:val="en-US"/>
        </w:rPr>
        <w:instrText>toxicity</w:instrText>
      </w:r>
      <w:r w:rsidR="00C37789" w:rsidRPr="00593501">
        <w:instrText xml:space="preserve"> </w:instrText>
      </w:r>
      <w:r w:rsidR="00C37789" w:rsidRPr="000322E4">
        <w:rPr>
          <w:lang w:val="en-US"/>
        </w:rPr>
        <w:instrText>of</w:instrText>
      </w:r>
      <w:r w:rsidR="00C37789" w:rsidRPr="00593501">
        <w:instrText xml:space="preserve"> </w:instrText>
      </w:r>
      <w:r w:rsidR="00C37789" w:rsidRPr="000322E4">
        <w:rPr>
          <w:lang w:val="en-US"/>
        </w:rPr>
        <w:instrText>gemcitabine</w:instrText>
      </w:r>
      <w:r w:rsidR="00C37789" w:rsidRPr="00593501">
        <w:instrText xml:space="preserve">, </w:instrText>
      </w:r>
      <w:r w:rsidR="00C37789" w:rsidRPr="000322E4">
        <w:rPr>
          <w:lang w:val="en-US"/>
        </w:rPr>
        <w:instrText>dexamethasone</w:instrText>
      </w:r>
      <w:r w:rsidR="00C37789" w:rsidRPr="00593501">
        <w:instrText xml:space="preserve">, </w:instrText>
      </w:r>
      <w:r w:rsidR="00C37789" w:rsidRPr="000322E4">
        <w:rPr>
          <w:lang w:val="en-US"/>
        </w:rPr>
        <w:instrText>and</w:instrText>
      </w:r>
      <w:r w:rsidR="00C37789" w:rsidRPr="00593501">
        <w:instrText xml:space="preserve"> </w:instrText>
      </w:r>
      <w:r w:rsidR="00C37789" w:rsidRPr="000322E4">
        <w:rPr>
          <w:lang w:val="en-US"/>
        </w:rPr>
        <w:instrText>cisplatin</w:instrText>
      </w:r>
      <w:r w:rsidR="00C37789" w:rsidRPr="00593501">
        <w:instrText xml:space="preserve"> </w:instrText>
      </w:r>
      <w:r w:rsidR="00C37789" w:rsidRPr="000322E4">
        <w:rPr>
          <w:lang w:val="en-US"/>
        </w:rPr>
        <w:instrText>for</w:instrText>
      </w:r>
      <w:r w:rsidR="00C37789" w:rsidRPr="00593501">
        <w:instrText xml:space="preserve"> </w:instrText>
      </w:r>
      <w:r w:rsidR="00C37789" w:rsidRPr="000322E4">
        <w:rPr>
          <w:lang w:val="en-US"/>
        </w:rPr>
        <w:instrText>recurrent</w:instrText>
      </w:r>
      <w:r w:rsidR="00C37789" w:rsidRPr="00593501">
        <w:instrText xml:space="preserve"> </w:instrText>
      </w:r>
      <w:r w:rsidR="00C37789" w:rsidRPr="000322E4">
        <w:rPr>
          <w:lang w:val="en-US"/>
        </w:rPr>
        <w:instrText>or</w:instrText>
      </w:r>
      <w:r w:rsidR="00C37789" w:rsidRPr="00593501">
        <w:instrText xml:space="preserve"> </w:instrText>
      </w:r>
      <w:r w:rsidR="00C37789" w:rsidRPr="000322E4">
        <w:rPr>
          <w:lang w:val="en-US"/>
        </w:rPr>
        <w:instrText>refractory</w:instrText>
      </w:r>
      <w:r w:rsidR="00C37789" w:rsidRPr="00593501">
        <w:instrText xml:space="preserve"> </w:instrText>
      </w:r>
      <w:r w:rsidR="00C37789" w:rsidRPr="000322E4">
        <w:rPr>
          <w:lang w:val="en-US"/>
        </w:rPr>
        <w:instrText>non</w:instrText>
      </w:r>
      <w:r w:rsidR="00C37789" w:rsidRPr="00593501">
        <w:instrText>-</w:instrText>
      </w:r>
      <w:r w:rsidR="00C37789" w:rsidRPr="000322E4">
        <w:rPr>
          <w:lang w:val="en-US"/>
        </w:rPr>
        <w:instrText>Hodgkin</w:instrText>
      </w:r>
      <w:r w:rsidR="00C37789" w:rsidRPr="00593501">
        <w:instrText xml:space="preserve"> </w:instrText>
      </w:r>
      <w:r w:rsidR="00C37789" w:rsidRPr="000322E4">
        <w:rPr>
          <w:lang w:val="en-US"/>
        </w:rPr>
        <w:instrText>lymphoma</w:instrText>
      </w:r>
      <w:r w:rsidR="00C37789" w:rsidRPr="00593501">
        <w:instrText xml:space="preserve"> (</w:instrText>
      </w:r>
      <w:r w:rsidR="00C37789" w:rsidRPr="000322E4">
        <w:rPr>
          <w:lang w:val="en-US"/>
        </w:rPr>
        <w:instrText>NHL</w:instrText>
      </w:r>
      <w:r w:rsidR="00C37789" w:rsidRPr="00593501">
        <w:instrText xml:space="preserve">). </w:instrText>
      </w:r>
      <w:r w:rsidR="00C37789" w:rsidRPr="000322E4">
        <w:rPr>
          <w:lang w:val="en-US"/>
        </w:rPr>
        <w:instrText>METHODS</w:instrText>
      </w:r>
      <w:r w:rsidR="00C37789" w:rsidRPr="00593501">
        <w:instrText xml:space="preserve">. </w:instrText>
      </w:r>
      <w:r w:rsidR="00C37789" w:rsidRPr="000322E4">
        <w:rPr>
          <w:lang w:val="en-US"/>
        </w:rPr>
        <w:instrText>Patients</w:instrText>
      </w:r>
      <w:r w:rsidR="00C37789" w:rsidRPr="00593501">
        <w:instrText xml:space="preserve"> </w:instrText>
      </w:r>
      <w:r w:rsidR="00C37789" w:rsidRPr="000322E4">
        <w:rPr>
          <w:lang w:val="en-US"/>
        </w:rPr>
        <w:instrText>with</w:instrText>
      </w:r>
      <w:r w:rsidR="00C37789" w:rsidRPr="00593501">
        <w:instrText xml:space="preserve"> </w:instrText>
      </w:r>
      <w:r w:rsidR="00C37789" w:rsidRPr="000322E4">
        <w:rPr>
          <w:lang w:val="en-US"/>
        </w:rPr>
        <w:instrText>recurrent</w:instrText>
      </w:r>
      <w:r w:rsidR="00C37789" w:rsidRPr="00593501">
        <w:instrText xml:space="preserve"> </w:instrText>
      </w:r>
      <w:r w:rsidR="00C37789" w:rsidRPr="000322E4">
        <w:rPr>
          <w:lang w:val="en-US"/>
        </w:rPr>
        <w:instrText>or</w:instrText>
      </w:r>
      <w:r w:rsidR="00C37789" w:rsidRPr="00593501">
        <w:instrText xml:space="preserve"> </w:instrText>
      </w:r>
      <w:r w:rsidR="00C37789" w:rsidRPr="000322E4">
        <w:rPr>
          <w:lang w:val="en-US"/>
        </w:rPr>
        <w:instrText>refractory</w:instrText>
      </w:r>
      <w:r w:rsidR="00C37789" w:rsidRPr="00593501">
        <w:instrText xml:space="preserve"> </w:instrText>
      </w:r>
      <w:r w:rsidR="00C37789" w:rsidRPr="000322E4">
        <w:rPr>
          <w:lang w:val="en-US"/>
        </w:rPr>
        <w:instrText>diffuse</w:instrText>
      </w:r>
      <w:r w:rsidR="00C37789" w:rsidRPr="00593501">
        <w:instrText xml:space="preserve"> </w:instrText>
      </w:r>
      <w:r w:rsidR="00C37789" w:rsidRPr="000322E4">
        <w:rPr>
          <w:lang w:val="en-US"/>
        </w:rPr>
        <w:instrText>large</w:instrText>
      </w:r>
      <w:r w:rsidR="00C37789" w:rsidRPr="00593501">
        <w:instrText xml:space="preserve"> </w:instrText>
      </w:r>
      <w:r w:rsidR="00C37789" w:rsidRPr="000322E4">
        <w:rPr>
          <w:lang w:val="en-US"/>
        </w:rPr>
        <w:instrText>B</w:instrText>
      </w:r>
      <w:r w:rsidR="00C37789" w:rsidRPr="00593501">
        <w:instrText>-</w:instrText>
      </w:r>
      <w:r w:rsidR="00C37789" w:rsidRPr="000322E4">
        <w:rPr>
          <w:lang w:val="en-US"/>
        </w:rPr>
        <w:instrText>cell</w:instrText>
      </w:r>
      <w:r w:rsidR="00C37789" w:rsidRPr="00593501">
        <w:instrText xml:space="preserve"> </w:instrText>
      </w:r>
      <w:r w:rsidR="00C37789" w:rsidRPr="000322E4">
        <w:rPr>
          <w:lang w:val="en-US"/>
        </w:rPr>
        <w:instrText>NHL</w:instrText>
      </w:r>
      <w:r w:rsidR="00C37789" w:rsidRPr="00593501">
        <w:instrText xml:space="preserve"> </w:instrText>
      </w:r>
      <w:r w:rsidR="00C37789" w:rsidRPr="000322E4">
        <w:rPr>
          <w:lang w:val="en-US"/>
        </w:rPr>
        <w:instrText>or</w:instrText>
      </w:r>
      <w:r w:rsidR="00C37789" w:rsidRPr="00593501">
        <w:instrText xml:space="preserve"> </w:instrText>
      </w:r>
      <w:r w:rsidR="00C37789" w:rsidRPr="000322E4">
        <w:rPr>
          <w:lang w:val="en-US"/>
        </w:rPr>
        <w:instrText>variants</w:instrText>
      </w:r>
      <w:r w:rsidR="00C37789" w:rsidRPr="00593501">
        <w:instrText xml:space="preserve"> (</w:instrText>
      </w:r>
      <w:r w:rsidR="00C37789" w:rsidRPr="000322E4">
        <w:rPr>
          <w:lang w:val="en-US"/>
        </w:rPr>
        <w:instrText>REAL</w:instrText>
      </w:r>
      <w:r w:rsidR="00C37789" w:rsidRPr="00593501">
        <w:instrText xml:space="preserve"> </w:instrText>
      </w:r>
      <w:r w:rsidR="00C37789" w:rsidRPr="000322E4">
        <w:rPr>
          <w:lang w:val="en-US"/>
        </w:rPr>
        <w:instrText>classification</w:instrText>
      </w:r>
      <w:r w:rsidR="00C37789" w:rsidRPr="00593501">
        <w:instrText xml:space="preserve">), </w:instrText>
      </w:r>
      <w:r w:rsidR="00C37789" w:rsidRPr="000322E4">
        <w:rPr>
          <w:lang w:val="en-US"/>
        </w:rPr>
        <w:instrText>measurable</w:instrText>
      </w:r>
      <w:r w:rsidR="00C37789" w:rsidRPr="00593501">
        <w:instrText xml:space="preserve"> </w:instrText>
      </w:r>
      <w:r w:rsidR="00C37789" w:rsidRPr="000322E4">
        <w:rPr>
          <w:lang w:val="en-US"/>
        </w:rPr>
        <w:instrText>disease</w:instrText>
      </w:r>
      <w:r w:rsidR="00C37789" w:rsidRPr="00593501">
        <w:instrText xml:space="preserve">, </w:instrText>
      </w:r>
      <w:r w:rsidR="00C37789" w:rsidRPr="000322E4">
        <w:rPr>
          <w:lang w:val="en-US"/>
        </w:rPr>
        <w:instrText>and</w:instrText>
      </w:r>
      <w:r w:rsidR="00C37789" w:rsidRPr="00593501">
        <w:instrText xml:space="preserve"> </w:instrText>
      </w:r>
      <w:r w:rsidR="00C37789" w:rsidRPr="000322E4">
        <w:rPr>
          <w:lang w:val="en-US"/>
        </w:rPr>
        <w:instrText>one</w:instrText>
      </w:r>
      <w:r w:rsidR="00C37789" w:rsidRPr="00593501">
        <w:instrText xml:space="preserve"> </w:instrText>
      </w:r>
      <w:r w:rsidR="00C37789" w:rsidRPr="000322E4">
        <w:rPr>
          <w:lang w:val="en-US"/>
        </w:rPr>
        <w:instrText>previous</w:instrText>
      </w:r>
      <w:r w:rsidR="00C37789" w:rsidRPr="00593501">
        <w:instrText xml:space="preserve"> </w:instrText>
      </w:r>
      <w:r w:rsidR="00C37789" w:rsidRPr="000322E4">
        <w:rPr>
          <w:lang w:val="en-US"/>
        </w:rPr>
        <w:instrText>chemotherapy</w:instrText>
      </w:r>
      <w:r w:rsidR="00C37789" w:rsidRPr="00593501">
        <w:instrText xml:space="preserve"> </w:instrText>
      </w:r>
      <w:r w:rsidR="00C37789" w:rsidRPr="000322E4">
        <w:rPr>
          <w:lang w:val="en-US"/>
        </w:rPr>
        <w:instrText>regimen</w:instrText>
      </w:r>
      <w:r w:rsidR="00C37789" w:rsidRPr="00593501">
        <w:instrText xml:space="preserve"> </w:instrText>
      </w:r>
      <w:r w:rsidR="00C37789" w:rsidRPr="000322E4">
        <w:rPr>
          <w:lang w:val="en-US"/>
        </w:rPr>
        <w:instrText>were</w:instrText>
      </w:r>
      <w:r w:rsidR="00C37789" w:rsidRPr="00593501">
        <w:instrText xml:space="preserve"> </w:instrText>
      </w:r>
      <w:r w:rsidR="00C37789" w:rsidRPr="000322E4">
        <w:rPr>
          <w:lang w:val="en-US"/>
        </w:rPr>
        <w:instrText>eligible</w:instrText>
      </w:r>
      <w:r w:rsidR="00C37789" w:rsidRPr="00593501">
        <w:instrText xml:space="preserve">. </w:instrText>
      </w:r>
      <w:r w:rsidR="00C37789" w:rsidRPr="000322E4">
        <w:rPr>
          <w:lang w:val="en-US"/>
        </w:rPr>
        <w:instrText>Treatment</w:instrText>
      </w:r>
      <w:r w:rsidR="00C37789" w:rsidRPr="00593501">
        <w:instrText xml:space="preserve"> </w:instrText>
      </w:r>
      <w:r w:rsidR="00C37789" w:rsidRPr="000322E4">
        <w:rPr>
          <w:lang w:val="en-US"/>
        </w:rPr>
        <w:instrText>consisted</w:instrText>
      </w:r>
      <w:r w:rsidR="00C37789" w:rsidRPr="00593501">
        <w:instrText xml:space="preserve"> </w:instrText>
      </w:r>
      <w:r w:rsidR="00C37789" w:rsidRPr="000322E4">
        <w:rPr>
          <w:lang w:val="en-US"/>
        </w:rPr>
        <w:instrText>of</w:instrText>
      </w:r>
      <w:r w:rsidR="00C37789" w:rsidRPr="00593501">
        <w:instrText xml:space="preserve"> </w:instrText>
      </w:r>
      <w:r w:rsidR="00C37789" w:rsidRPr="000322E4">
        <w:rPr>
          <w:lang w:val="en-US"/>
        </w:rPr>
        <w:instrText>gemcitabine</w:instrText>
      </w:r>
      <w:r w:rsidR="00C37789" w:rsidRPr="00593501">
        <w:instrText xml:space="preserve"> 1000 </w:instrText>
      </w:r>
      <w:r w:rsidR="00C37789" w:rsidRPr="000322E4">
        <w:rPr>
          <w:lang w:val="en-US"/>
        </w:rPr>
        <w:instrText>mg</w:instrText>
      </w:r>
      <w:r w:rsidR="00C37789" w:rsidRPr="00593501">
        <w:instrText>/</w:instrText>
      </w:r>
      <w:r w:rsidR="00C37789" w:rsidRPr="000322E4">
        <w:rPr>
          <w:lang w:val="en-US"/>
        </w:rPr>
        <w:instrText>m</w:instrText>
      </w:r>
      <w:r w:rsidR="00C37789" w:rsidRPr="00593501">
        <w:instrText xml:space="preserve">2 </w:instrText>
      </w:r>
      <w:r w:rsidR="00C37789" w:rsidRPr="000322E4">
        <w:rPr>
          <w:lang w:val="en-US"/>
        </w:rPr>
        <w:instrText>intravenously</w:instrText>
      </w:r>
      <w:r w:rsidR="00C37789" w:rsidRPr="00593501">
        <w:instrText xml:space="preserve"> (</w:instrText>
      </w:r>
      <w:r w:rsidR="00C37789" w:rsidRPr="000322E4">
        <w:rPr>
          <w:lang w:val="en-US"/>
        </w:rPr>
        <w:instrText>i</w:instrText>
      </w:r>
      <w:r w:rsidR="00C37789" w:rsidRPr="00593501">
        <w:instrText>.</w:instrText>
      </w:r>
      <w:r w:rsidR="00C37789" w:rsidRPr="000322E4">
        <w:rPr>
          <w:lang w:val="en-US"/>
        </w:rPr>
        <w:instrText>v</w:instrText>
      </w:r>
      <w:r w:rsidR="00C37789" w:rsidRPr="00593501">
        <w:instrText xml:space="preserve">.) </w:instrText>
      </w:r>
      <w:r w:rsidR="00C37789" w:rsidRPr="000322E4">
        <w:rPr>
          <w:lang w:val="en-US"/>
        </w:rPr>
        <w:instrText>on</w:instrText>
      </w:r>
      <w:r w:rsidR="00C37789" w:rsidRPr="00593501">
        <w:instrText xml:space="preserve"> </w:instrText>
      </w:r>
      <w:r w:rsidR="00C37789" w:rsidRPr="000322E4">
        <w:rPr>
          <w:lang w:val="en-US"/>
        </w:rPr>
        <w:instrText>Days</w:instrText>
      </w:r>
      <w:r w:rsidR="00C37789" w:rsidRPr="00593501">
        <w:instrText xml:space="preserve"> 1 </w:instrText>
      </w:r>
      <w:r w:rsidR="00C37789" w:rsidRPr="000322E4">
        <w:rPr>
          <w:lang w:val="en-US"/>
        </w:rPr>
        <w:instrText>and</w:instrText>
      </w:r>
      <w:r w:rsidR="00C37789" w:rsidRPr="00593501">
        <w:instrText xml:space="preserve"> 8, </w:instrText>
      </w:r>
      <w:r w:rsidR="00C37789" w:rsidRPr="000322E4">
        <w:rPr>
          <w:lang w:val="en-US"/>
        </w:rPr>
        <w:instrText>dexamethasone</w:instrText>
      </w:r>
      <w:r w:rsidR="00C37789" w:rsidRPr="00593501">
        <w:instrText xml:space="preserve"> 40 </w:instrText>
      </w:r>
      <w:r w:rsidR="00C37789" w:rsidRPr="000322E4">
        <w:rPr>
          <w:lang w:val="en-US"/>
        </w:rPr>
        <w:instrText>mg</w:instrText>
      </w:r>
      <w:r w:rsidR="00C37789" w:rsidRPr="00593501">
        <w:instrText xml:space="preserve"> </w:instrText>
      </w:r>
      <w:r w:rsidR="00C37789" w:rsidRPr="000322E4">
        <w:rPr>
          <w:lang w:val="en-US"/>
        </w:rPr>
        <w:instrText>orally</w:instrText>
      </w:r>
      <w:r w:rsidR="00C37789" w:rsidRPr="00593501">
        <w:instrText xml:space="preserve"> </w:instrText>
      </w:r>
      <w:r w:rsidR="00C37789" w:rsidRPr="000322E4">
        <w:rPr>
          <w:lang w:val="en-US"/>
        </w:rPr>
        <w:instrText>on</w:instrText>
      </w:r>
      <w:r w:rsidR="00C37789" w:rsidRPr="00593501">
        <w:instrText xml:space="preserve"> </w:instrText>
      </w:r>
      <w:r w:rsidR="00C37789" w:rsidRPr="000322E4">
        <w:rPr>
          <w:lang w:val="en-US"/>
        </w:rPr>
        <w:instrText>Days</w:instrText>
      </w:r>
      <w:r w:rsidR="00C37789" w:rsidRPr="00593501">
        <w:instrText xml:space="preserve"> 1-4, </w:instrText>
      </w:r>
      <w:r w:rsidR="00C37789" w:rsidRPr="000322E4">
        <w:rPr>
          <w:lang w:val="en-US"/>
        </w:rPr>
        <w:instrText>and</w:instrText>
      </w:r>
      <w:r w:rsidR="00C37789" w:rsidRPr="00593501">
        <w:instrText xml:space="preserve"> </w:instrText>
      </w:r>
      <w:r w:rsidR="00C37789" w:rsidRPr="000322E4">
        <w:rPr>
          <w:lang w:val="en-US"/>
        </w:rPr>
        <w:instrText>cisplatin</w:instrText>
      </w:r>
      <w:r w:rsidR="00C37789" w:rsidRPr="00593501">
        <w:instrText xml:space="preserve"> 75 </w:instrText>
      </w:r>
      <w:r w:rsidR="00C37789" w:rsidRPr="000322E4">
        <w:rPr>
          <w:lang w:val="en-US"/>
        </w:rPr>
        <w:instrText>mg</w:instrText>
      </w:r>
      <w:r w:rsidR="00C37789" w:rsidRPr="00593501">
        <w:instrText>/</w:instrText>
      </w:r>
      <w:r w:rsidR="00C37789" w:rsidRPr="000322E4">
        <w:rPr>
          <w:lang w:val="en-US"/>
        </w:rPr>
        <w:instrText>m</w:instrText>
      </w:r>
      <w:r w:rsidR="00C37789" w:rsidRPr="00593501">
        <w:instrText xml:space="preserve">2 </w:instrText>
      </w:r>
      <w:r w:rsidR="00C37789" w:rsidRPr="000322E4">
        <w:rPr>
          <w:lang w:val="en-US"/>
        </w:rPr>
        <w:instrText>i</w:instrText>
      </w:r>
      <w:r w:rsidR="00C37789" w:rsidRPr="00593501">
        <w:instrText>.</w:instrText>
      </w:r>
      <w:r w:rsidR="00C37789" w:rsidRPr="000322E4">
        <w:rPr>
          <w:lang w:val="en-US"/>
        </w:rPr>
        <w:instrText>v</w:instrText>
      </w:r>
      <w:r w:rsidR="00C37789" w:rsidRPr="00593501">
        <w:instrText xml:space="preserve">. </w:instrText>
      </w:r>
      <w:r w:rsidR="00C37789" w:rsidRPr="000322E4">
        <w:rPr>
          <w:lang w:val="en-US"/>
        </w:rPr>
        <w:instrText>on</w:instrText>
      </w:r>
      <w:r w:rsidR="00C37789" w:rsidRPr="00593501">
        <w:instrText xml:space="preserve"> </w:instrText>
      </w:r>
      <w:r w:rsidR="00C37789" w:rsidRPr="000322E4">
        <w:rPr>
          <w:lang w:val="en-US"/>
        </w:rPr>
        <w:instrText>Day</w:instrText>
      </w:r>
      <w:r w:rsidR="00C37789" w:rsidRPr="00593501">
        <w:instrText xml:space="preserve"> 1 (</w:instrText>
      </w:r>
      <w:r w:rsidR="00C37789" w:rsidRPr="000322E4">
        <w:rPr>
          <w:lang w:val="en-US"/>
        </w:rPr>
        <w:instrText>GDP</w:instrText>
      </w:r>
      <w:r w:rsidR="00C37789" w:rsidRPr="00593501">
        <w:instrText xml:space="preserve">), </w:instrText>
      </w:r>
      <w:r w:rsidR="00C37789" w:rsidRPr="000322E4">
        <w:rPr>
          <w:lang w:val="en-US"/>
        </w:rPr>
        <w:instrText>every</w:instrText>
      </w:r>
      <w:r w:rsidR="00C37789" w:rsidRPr="00593501">
        <w:instrText xml:space="preserve"> 21 </w:instrText>
      </w:r>
      <w:r w:rsidR="00C37789" w:rsidRPr="000322E4">
        <w:rPr>
          <w:lang w:val="en-US"/>
        </w:rPr>
        <w:instrText>days</w:instrText>
      </w:r>
      <w:r w:rsidR="00C37789" w:rsidRPr="00593501">
        <w:instrText xml:space="preserve"> </w:instrText>
      </w:r>
      <w:r w:rsidR="00C37789" w:rsidRPr="000322E4">
        <w:rPr>
          <w:lang w:val="en-US"/>
        </w:rPr>
        <w:instrText>as</w:instrText>
      </w:r>
      <w:r w:rsidR="00C37789" w:rsidRPr="00593501">
        <w:instrText xml:space="preserve"> </w:instrText>
      </w:r>
      <w:r w:rsidR="00C37789" w:rsidRPr="000322E4">
        <w:rPr>
          <w:lang w:val="en-US"/>
        </w:rPr>
        <w:instrText>an</w:instrText>
      </w:r>
      <w:r w:rsidR="00C37789" w:rsidRPr="00593501">
        <w:instrText xml:space="preserve"> </w:instrText>
      </w:r>
      <w:r w:rsidR="00C37789" w:rsidRPr="000322E4">
        <w:rPr>
          <w:lang w:val="en-US"/>
        </w:rPr>
        <w:instrText>outpatient</w:instrText>
      </w:r>
      <w:r w:rsidR="00C37789" w:rsidRPr="00593501">
        <w:instrText xml:space="preserve">. </w:instrText>
      </w:r>
      <w:r w:rsidR="00C37789" w:rsidRPr="000322E4">
        <w:rPr>
          <w:lang w:val="en-US"/>
        </w:rPr>
        <w:instrText>The</w:instrText>
      </w:r>
      <w:r w:rsidR="00C37789" w:rsidRPr="00593501">
        <w:instrText xml:space="preserve"> </w:instrText>
      </w:r>
      <w:r w:rsidR="00C37789" w:rsidRPr="000322E4">
        <w:rPr>
          <w:lang w:val="en-US"/>
        </w:rPr>
        <w:instrText>primary</w:instrText>
      </w:r>
      <w:r w:rsidR="00C37789" w:rsidRPr="00593501">
        <w:instrText xml:space="preserve"> </w:instrText>
      </w:r>
      <w:r w:rsidR="00C37789" w:rsidRPr="000322E4">
        <w:rPr>
          <w:lang w:val="en-US"/>
        </w:rPr>
        <w:instrText>end</w:instrText>
      </w:r>
      <w:r w:rsidR="00C37789" w:rsidRPr="00593501">
        <w:instrText xml:space="preserve"> </w:instrText>
      </w:r>
      <w:r w:rsidR="00C37789" w:rsidRPr="000322E4">
        <w:rPr>
          <w:lang w:val="en-US"/>
        </w:rPr>
        <w:instrText>point</w:instrText>
      </w:r>
      <w:r w:rsidR="00C37789" w:rsidRPr="00593501">
        <w:instrText xml:space="preserve"> </w:instrText>
      </w:r>
      <w:r w:rsidR="00C37789" w:rsidRPr="000322E4">
        <w:rPr>
          <w:lang w:val="en-US"/>
        </w:rPr>
        <w:instrText>was</w:instrText>
      </w:r>
      <w:r w:rsidR="00C37789" w:rsidRPr="00593501">
        <w:instrText xml:space="preserve"> </w:instrText>
      </w:r>
      <w:r w:rsidR="00C37789" w:rsidRPr="000322E4">
        <w:rPr>
          <w:lang w:val="en-US"/>
        </w:rPr>
        <w:instrText>a</w:instrText>
      </w:r>
      <w:r w:rsidR="00C37789" w:rsidRPr="00593501">
        <w:instrText xml:space="preserve"> </w:instrText>
      </w:r>
      <w:r w:rsidR="00C37789" w:rsidRPr="000322E4">
        <w:rPr>
          <w:lang w:val="en-US"/>
        </w:rPr>
        <w:instrText>response</w:instrText>
      </w:r>
      <w:r w:rsidR="00C37789" w:rsidRPr="00593501">
        <w:instrText xml:space="preserve"> </w:instrText>
      </w:r>
      <w:r w:rsidR="00C37789" w:rsidRPr="000322E4">
        <w:rPr>
          <w:lang w:val="en-US"/>
        </w:rPr>
        <w:instrText>after</w:instrText>
      </w:r>
      <w:r w:rsidR="00C37789" w:rsidRPr="00593501">
        <w:instrText xml:space="preserve"> </w:instrText>
      </w:r>
      <w:r w:rsidR="00C37789" w:rsidRPr="000322E4">
        <w:rPr>
          <w:lang w:val="en-US"/>
        </w:rPr>
        <w:instrText>two</w:instrText>
      </w:r>
      <w:r w:rsidR="00C37789" w:rsidRPr="00593501">
        <w:instrText xml:space="preserve"> </w:instrText>
      </w:r>
      <w:r w:rsidR="00C37789" w:rsidRPr="000322E4">
        <w:rPr>
          <w:lang w:val="en-US"/>
        </w:rPr>
        <w:instrText>cycles</w:instrText>
      </w:r>
      <w:r w:rsidR="00C37789" w:rsidRPr="00593501">
        <w:instrText xml:space="preserve">. </w:instrText>
      </w:r>
      <w:r w:rsidR="00C37789" w:rsidRPr="000322E4">
        <w:rPr>
          <w:lang w:val="en-US"/>
        </w:rPr>
        <w:instrText>Patients</w:instrText>
      </w:r>
      <w:r w:rsidR="00C37789" w:rsidRPr="00593501">
        <w:instrText xml:space="preserve"> </w:instrText>
      </w:r>
      <w:r w:rsidR="00C37789" w:rsidRPr="000322E4">
        <w:rPr>
          <w:lang w:val="en-US"/>
        </w:rPr>
        <w:instrText>could</w:instrText>
      </w:r>
      <w:r w:rsidR="00C37789" w:rsidRPr="00593501">
        <w:instrText xml:space="preserve"> </w:instrText>
      </w:r>
      <w:r w:rsidR="00C37789" w:rsidRPr="000322E4">
        <w:rPr>
          <w:lang w:val="en-US"/>
        </w:rPr>
        <w:instrText>then</w:instrText>
      </w:r>
      <w:r w:rsidR="00C37789" w:rsidRPr="00593501">
        <w:instrText xml:space="preserve"> </w:instrText>
      </w:r>
      <w:r w:rsidR="00C37789" w:rsidRPr="000322E4">
        <w:rPr>
          <w:lang w:val="en-US"/>
        </w:rPr>
        <w:instrText>proceed</w:instrText>
      </w:r>
      <w:r w:rsidR="00C37789" w:rsidRPr="00593501">
        <w:instrText xml:space="preserve"> </w:instrText>
      </w:r>
      <w:r w:rsidR="00C37789" w:rsidRPr="000322E4">
        <w:rPr>
          <w:lang w:val="en-US"/>
        </w:rPr>
        <w:instrText>to</w:instrText>
      </w:r>
      <w:r w:rsidR="00C37789" w:rsidRPr="00593501">
        <w:instrText xml:space="preserve"> </w:instrText>
      </w:r>
      <w:r w:rsidR="00C37789" w:rsidRPr="000322E4">
        <w:rPr>
          <w:lang w:val="en-US"/>
        </w:rPr>
        <w:instrText>stem</w:instrText>
      </w:r>
      <w:r w:rsidR="00C37789" w:rsidRPr="00593501">
        <w:instrText xml:space="preserve"> </w:instrText>
      </w:r>
      <w:r w:rsidR="00C37789" w:rsidRPr="000322E4">
        <w:rPr>
          <w:lang w:val="en-US"/>
        </w:rPr>
        <w:instrText>cell</w:instrText>
      </w:r>
      <w:r w:rsidR="00C37789" w:rsidRPr="00593501">
        <w:instrText xml:space="preserve"> </w:instrText>
      </w:r>
      <w:r w:rsidR="00C37789" w:rsidRPr="000322E4">
        <w:rPr>
          <w:lang w:val="en-US"/>
        </w:rPr>
        <w:instrText>transplantation</w:instrText>
      </w:r>
      <w:r w:rsidR="00C37789" w:rsidRPr="00593501">
        <w:instrText xml:space="preserve"> (</w:instrText>
      </w:r>
      <w:r w:rsidR="00C37789" w:rsidRPr="000322E4">
        <w:rPr>
          <w:lang w:val="en-US"/>
        </w:rPr>
        <w:instrText>SCT</w:instrText>
      </w:r>
      <w:r w:rsidR="00C37789" w:rsidRPr="00593501">
        <w:instrText xml:space="preserve">) </w:instrText>
      </w:r>
      <w:r w:rsidR="00C37789" w:rsidRPr="000322E4">
        <w:rPr>
          <w:lang w:val="en-US"/>
        </w:rPr>
        <w:instrText>or</w:instrText>
      </w:r>
      <w:r w:rsidR="00C37789" w:rsidRPr="00593501">
        <w:instrText xml:space="preserve"> </w:instrText>
      </w:r>
      <w:r w:rsidR="00C37789" w:rsidRPr="000322E4">
        <w:rPr>
          <w:lang w:val="en-US"/>
        </w:rPr>
        <w:instrText>receive</w:instrText>
      </w:r>
      <w:r w:rsidR="00C37789" w:rsidRPr="00593501">
        <w:instrText xml:space="preserve"> </w:instrText>
      </w:r>
      <w:r w:rsidR="00C37789" w:rsidRPr="000322E4">
        <w:rPr>
          <w:lang w:val="en-US"/>
        </w:rPr>
        <w:instrText>up</w:instrText>
      </w:r>
      <w:r w:rsidR="00C37789" w:rsidRPr="00593501">
        <w:instrText xml:space="preserve"> </w:instrText>
      </w:r>
      <w:r w:rsidR="00C37789" w:rsidRPr="000322E4">
        <w:rPr>
          <w:lang w:val="en-US"/>
        </w:rPr>
        <w:instrText>to</w:instrText>
      </w:r>
      <w:r w:rsidR="00C37789" w:rsidRPr="00593501">
        <w:instrText xml:space="preserve"> </w:instrText>
      </w:r>
      <w:r w:rsidR="00C37789" w:rsidRPr="000322E4">
        <w:rPr>
          <w:lang w:val="en-US"/>
        </w:rPr>
        <w:instrText>six</w:instrText>
      </w:r>
      <w:r w:rsidR="00C37789" w:rsidRPr="00593501">
        <w:instrText xml:space="preserve"> </w:instrText>
      </w:r>
      <w:r w:rsidR="00C37789" w:rsidRPr="000322E4">
        <w:rPr>
          <w:lang w:val="en-US"/>
        </w:rPr>
        <w:instrText>treatment</w:instrText>
      </w:r>
      <w:r w:rsidR="00C37789" w:rsidRPr="00593501">
        <w:instrText xml:space="preserve"> </w:instrText>
      </w:r>
      <w:r w:rsidR="00C37789" w:rsidRPr="000322E4">
        <w:rPr>
          <w:lang w:val="en-US"/>
        </w:rPr>
        <w:instrText>cycles</w:instrText>
      </w:r>
      <w:r w:rsidR="00C37789" w:rsidRPr="00593501">
        <w:instrText xml:space="preserve">. </w:instrText>
      </w:r>
      <w:r w:rsidR="00C37789" w:rsidRPr="000322E4">
        <w:rPr>
          <w:lang w:val="en-US"/>
        </w:rPr>
        <w:instrText>RESULTS</w:instrText>
      </w:r>
      <w:r w:rsidR="00C37789" w:rsidRPr="00593501">
        <w:instrText xml:space="preserve">. </w:instrText>
      </w:r>
      <w:r w:rsidR="00C37789" w:rsidRPr="000322E4">
        <w:rPr>
          <w:lang w:val="en-US"/>
        </w:rPr>
        <w:instrText>Fifty</w:instrText>
      </w:r>
      <w:r w:rsidR="00C37789" w:rsidRPr="00593501">
        <w:instrText>-</w:instrText>
      </w:r>
      <w:r w:rsidR="00C37789" w:rsidRPr="000322E4">
        <w:rPr>
          <w:lang w:val="en-US"/>
        </w:rPr>
        <w:instrText>one</w:instrText>
      </w:r>
      <w:r w:rsidR="00C37789" w:rsidRPr="00593501">
        <w:instrText xml:space="preserve"> </w:instrText>
      </w:r>
      <w:r w:rsidR="00C37789" w:rsidRPr="000322E4">
        <w:rPr>
          <w:lang w:val="en-US"/>
        </w:rPr>
        <w:instrText>eligible</w:instrText>
      </w:r>
      <w:r w:rsidR="00C37789" w:rsidRPr="00593501">
        <w:instrText xml:space="preserve"> </w:instrText>
      </w:r>
      <w:r w:rsidR="00C37789" w:rsidRPr="000322E4">
        <w:rPr>
          <w:lang w:val="en-US"/>
        </w:rPr>
        <w:instrText>patients</w:instrText>
      </w:r>
      <w:r w:rsidR="00C37789" w:rsidRPr="00593501">
        <w:instrText xml:space="preserve"> </w:instrText>
      </w:r>
      <w:r w:rsidR="00C37789" w:rsidRPr="000322E4">
        <w:rPr>
          <w:lang w:val="en-US"/>
        </w:rPr>
        <w:instrText>were</w:instrText>
      </w:r>
      <w:r w:rsidR="00C37789" w:rsidRPr="00593501">
        <w:instrText xml:space="preserve"> </w:instrText>
      </w:r>
      <w:r w:rsidR="00C37789" w:rsidRPr="000322E4">
        <w:rPr>
          <w:lang w:val="en-US"/>
        </w:rPr>
        <w:instrText>evaluable</w:instrText>
      </w:r>
      <w:r w:rsidR="00C37789" w:rsidRPr="00593501">
        <w:instrText xml:space="preserve"> </w:instrText>
      </w:r>
      <w:r w:rsidR="00C37789" w:rsidRPr="000322E4">
        <w:rPr>
          <w:lang w:val="en-US"/>
        </w:rPr>
        <w:instrText>for</w:instrText>
      </w:r>
      <w:r w:rsidR="00C37789" w:rsidRPr="00593501">
        <w:instrText xml:space="preserve"> </w:instrText>
      </w:r>
      <w:r w:rsidR="00C37789" w:rsidRPr="000322E4">
        <w:rPr>
          <w:lang w:val="en-US"/>
        </w:rPr>
        <w:instrText>toxicity</w:instrText>
      </w:r>
      <w:r w:rsidR="00C37789" w:rsidRPr="00593501">
        <w:instrText xml:space="preserve"> </w:instrText>
      </w:r>
      <w:r w:rsidR="00C37789" w:rsidRPr="000322E4">
        <w:rPr>
          <w:lang w:val="en-US"/>
        </w:rPr>
        <w:instrText>and</w:instrText>
      </w:r>
      <w:r w:rsidR="00C37789" w:rsidRPr="00593501">
        <w:instrText xml:space="preserve"> </w:instrText>
      </w:r>
      <w:r w:rsidR="00C37789" w:rsidRPr="000322E4">
        <w:rPr>
          <w:lang w:val="en-US"/>
        </w:rPr>
        <w:instrText>response</w:instrText>
      </w:r>
      <w:r w:rsidR="00C37789" w:rsidRPr="00593501">
        <w:instrText xml:space="preserve">. </w:instrText>
      </w:r>
      <w:r w:rsidR="00C37789" w:rsidRPr="000322E4">
        <w:rPr>
          <w:lang w:val="en-US"/>
        </w:rPr>
        <w:instrText>The</w:instrText>
      </w:r>
      <w:r w:rsidR="00C37789" w:rsidRPr="00593501">
        <w:instrText xml:space="preserve"> </w:instrText>
      </w:r>
      <w:r w:rsidR="00C37789" w:rsidRPr="000322E4">
        <w:rPr>
          <w:lang w:val="en-US"/>
        </w:rPr>
        <w:instrText>median</w:instrText>
      </w:r>
      <w:r w:rsidR="00C37789" w:rsidRPr="00593501">
        <w:instrText xml:space="preserve"> </w:instrText>
      </w:r>
      <w:r w:rsidR="00C37789" w:rsidRPr="000322E4">
        <w:rPr>
          <w:lang w:val="en-US"/>
        </w:rPr>
        <w:instrText>age</w:instrText>
      </w:r>
      <w:r w:rsidR="00C37789" w:rsidRPr="00593501">
        <w:instrText xml:space="preserve"> </w:instrText>
      </w:r>
      <w:r w:rsidR="00C37789" w:rsidRPr="000322E4">
        <w:rPr>
          <w:lang w:val="en-US"/>
        </w:rPr>
        <w:instrText>of</w:instrText>
      </w:r>
      <w:r w:rsidR="00C37789" w:rsidRPr="00593501">
        <w:instrText xml:space="preserve"> </w:instrText>
      </w:r>
      <w:r w:rsidR="00C37789" w:rsidRPr="000322E4">
        <w:rPr>
          <w:lang w:val="en-US"/>
        </w:rPr>
        <w:instrText>the</w:instrText>
      </w:r>
      <w:r w:rsidR="00C37789" w:rsidRPr="00593501">
        <w:instrText xml:space="preserve"> </w:instrText>
      </w:r>
      <w:r w:rsidR="00C37789" w:rsidRPr="000322E4">
        <w:rPr>
          <w:lang w:val="en-US"/>
        </w:rPr>
        <w:instrText>patients</w:instrText>
      </w:r>
      <w:r w:rsidR="00C37789" w:rsidRPr="00593501">
        <w:instrText xml:space="preserve"> </w:instrText>
      </w:r>
      <w:r w:rsidR="00C37789" w:rsidRPr="000322E4">
        <w:rPr>
          <w:lang w:val="en-US"/>
        </w:rPr>
        <w:instrText>was</w:instrText>
      </w:r>
      <w:r w:rsidR="00C37789" w:rsidRPr="00593501">
        <w:instrText xml:space="preserve"> 57 </w:instrText>
      </w:r>
      <w:r w:rsidR="00C37789" w:rsidRPr="000322E4">
        <w:rPr>
          <w:lang w:val="en-US"/>
        </w:rPr>
        <w:instrText>years</w:instrText>
      </w:r>
      <w:r w:rsidR="00C37789" w:rsidRPr="00593501">
        <w:instrText xml:space="preserve"> (</w:instrText>
      </w:r>
      <w:r w:rsidR="00C37789" w:rsidRPr="000322E4">
        <w:rPr>
          <w:lang w:val="en-US"/>
        </w:rPr>
        <w:instrText>range</w:instrText>
      </w:r>
      <w:r w:rsidR="00C37789" w:rsidRPr="00593501">
        <w:instrText xml:space="preserve">, 18-84 </w:instrText>
      </w:r>
      <w:r w:rsidR="00C37789" w:rsidRPr="000322E4">
        <w:rPr>
          <w:lang w:val="en-US"/>
        </w:rPr>
        <w:instrText>years</w:instrText>
      </w:r>
      <w:r w:rsidR="00C37789" w:rsidRPr="00593501">
        <w:instrText xml:space="preserve">) </w:instrText>
      </w:r>
      <w:r w:rsidR="00C37789" w:rsidRPr="000322E4">
        <w:rPr>
          <w:lang w:val="en-US"/>
        </w:rPr>
        <w:instrText>and</w:instrText>
      </w:r>
      <w:r w:rsidR="00C37789" w:rsidRPr="00593501">
        <w:instrText xml:space="preserve"> </w:instrText>
      </w:r>
      <w:r w:rsidR="00C37789" w:rsidRPr="000322E4">
        <w:rPr>
          <w:lang w:val="en-US"/>
        </w:rPr>
        <w:instrText>most</w:instrText>
      </w:r>
      <w:r w:rsidR="00C37789" w:rsidRPr="00593501">
        <w:instrText xml:space="preserve"> </w:instrText>
      </w:r>
      <w:r w:rsidR="00C37789" w:rsidRPr="000322E4">
        <w:rPr>
          <w:lang w:val="en-US"/>
        </w:rPr>
        <w:instrText>had</w:instrText>
      </w:r>
      <w:r w:rsidR="00C37789" w:rsidRPr="00593501">
        <w:instrText xml:space="preserve"> </w:instrText>
      </w:r>
      <w:r w:rsidR="00C37789" w:rsidRPr="000322E4">
        <w:rPr>
          <w:lang w:val="en-US"/>
        </w:rPr>
        <w:instrText>diffuse</w:instrText>
      </w:r>
      <w:r w:rsidR="00C37789" w:rsidRPr="00593501">
        <w:instrText xml:space="preserve"> </w:instrText>
      </w:r>
      <w:r w:rsidR="00C37789" w:rsidRPr="000322E4">
        <w:rPr>
          <w:lang w:val="en-US"/>
        </w:rPr>
        <w:instrText>large</w:instrText>
      </w:r>
      <w:r w:rsidR="00C37789" w:rsidRPr="00593501">
        <w:instrText>-</w:instrText>
      </w:r>
      <w:r w:rsidR="00C37789" w:rsidRPr="000322E4">
        <w:rPr>
          <w:lang w:val="en-US"/>
        </w:rPr>
        <w:instrText>cell</w:instrText>
      </w:r>
      <w:r w:rsidR="00C37789" w:rsidRPr="00593501">
        <w:instrText xml:space="preserve"> </w:instrText>
      </w:r>
      <w:r w:rsidR="00C37789" w:rsidRPr="000322E4">
        <w:rPr>
          <w:lang w:val="en-US"/>
        </w:rPr>
        <w:instrText>lymphoma</w:instrText>
      </w:r>
      <w:r w:rsidR="00C37789" w:rsidRPr="00593501">
        <w:instrText xml:space="preserve">. </w:instrText>
      </w:r>
      <w:r w:rsidR="00C37789" w:rsidRPr="000322E4">
        <w:rPr>
          <w:lang w:val="en-US"/>
        </w:rPr>
        <w:instrText>After</w:instrText>
      </w:r>
      <w:r w:rsidR="00C37789" w:rsidRPr="00593501">
        <w:instrText xml:space="preserve"> 2 </w:instrText>
      </w:r>
      <w:r w:rsidR="00C37789" w:rsidRPr="000322E4">
        <w:rPr>
          <w:lang w:val="en-US"/>
        </w:rPr>
        <w:instrText>cycles</w:instrText>
      </w:r>
      <w:r w:rsidR="00C37789" w:rsidRPr="00593501">
        <w:instrText xml:space="preserve">, </w:instrText>
      </w:r>
      <w:r w:rsidR="00C37789" w:rsidRPr="000322E4">
        <w:rPr>
          <w:lang w:val="en-US"/>
        </w:rPr>
        <w:instrText>there</w:instrText>
      </w:r>
      <w:r w:rsidR="00C37789" w:rsidRPr="00593501">
        <w:instrText xml:space="preserve"> </w:instrText>
      </w:r>
      <w:r w:rsidR="00C37789" w:rsidRPr="000322E4">
        <w:rPr>
          <w:lang w:val="en-US"/>
        </w:rPr>
        <w:instrText>were</w:instrText>
      </w:r>
      <w:r w:rsidR="00C37789" w:rsidRPr="00593501">
        <w:instrText xml:space="preserve"> 8 </w:instrText>
      </w:r>
      <w:r w:rsidR="00C37789" w:rsidRPr="000322E4">
        <w:rPr>
          <w:lang w:val="en-US"/>
        </w:rPr>
        <w:instrText>complete</w:instrText>
      </w:r>
      <w:r w:rsidR="00C37789" w:rsidRPr="00593501">
        <w:instrText xml:space="preserve"> </w:instrText>
      </w:r>
      <w:r w:rsidR="00C37789" w:rsidRPr="000322E4">
        <w:rPr>
          <w:lang w:val="en-US"/>
        </w:rPr>
        <w:instrText>responses</w:instrText>
      </w:r>
      <w:r w:rsidR="00C37789" w:rsidRPr="00593501">
        <w:instrText xml:space="preserve"> (</w:instrText>
      </w:r>
      <w:r w:rsidR="00C37789" w:rsidRPr="000322E4">
        <w:rPr>
          <w:lang w:val="en-US"/>
        </w:rPr>
        <w:instrText>CR</w:instrText>
      </w:r>
      <w:r w:rsidR="00C37789" w:rsidRPr="00593501">
        <w:instrText xml:space="preserve">; 16%) </w:instrText>
      </w:r>
      <w:r w:rsidR="00C37789" w:rsidRPr="000322E4">
        <w:rPr>
          <w:lang w:val="en-US"/>
        </w:rPr>
        <w:instrText>and</w:instrText>
      </w:r>
      <w:r w:rsidR="00C37789" w:rsidRPr="00593501">
        <w:instrText xml:space="preserve"> 17 </w:instrText>
      </w:r>
      <w:r w:rsidR="00C37789" w:rsidRPr="000322E4">
        <w:rPr>
          <w:lang w:val="en-US"/>
        </w:rPr>
        <w:instrText>partial</w:instrText>
      </w:r>
      <w:r w:rsidR="00C37789" w:rsidRPr="00593501">
        <w:instrText xml:space="preserve"> </w:instrText>
      </w:r>
      <w:r w:rsidR="00C37789" w:rsidRPr="000322E4">
        <w:rPr>
          <w:lang w:val="en-US"/>
        </w:rPr>
        <w:instrText>responses</w:instrText>
      </w:r>
      <w:r w:rsidR="00C37789" w:rsidRPr="00593501">
        <w:instrText xml:space="preserve"> (</w:instrText>
      </w:r>
      <w:r w:rsidR="00C37789" w:rsidRPr="000322E4">
        <w:rPr>
          <w:lang w:val="en-US"/>
        </w:rPr>
        <w:instrText>PR</w:instrText>
      </w:r>
      <w:r w:rsidR="00C37789" w:rsidRPr="00593501">
        <w:instrText xml:space="preserve">; 33%). </w:instrText>
      </w:r>
      <w:r w:rsidR="00C37789" w:rsidRPr="000322E4">
        <w:rPr>
          <w:lang w:val="en-US"/>
        </w:rPr>
        <w:instrText>There</w:instrText>
      </w:r>
      <w:r w:rsidR="00C37789" w:rsidRPr="00593501">
        <w:instrText xml:space="preserve"> </w:instrText>
      </w:r>
      <w:r w:rsidR="00C37789" w:rsidRPr="000322E4">
        <w:rPr>
          <w:lang w:val="en-US"/>
        </w:rPr>
        <w:instrText>was</w:instrText>
      </w:r>
      <w:r w:rsidR="00C37789" w:rsidRPr="00593501">
        <w:instrText xml:space="preserve"> </w:instrText>
      </w:r>
      <w:r w:rsidR="00C37789" w:rsidRPr="000322E4">
        <w:rPr>
          <w:lang w:val="en-US"/>
        </w:rPr>
        <w:instrText>an</w:instrText>
      </w:r>
      <w:r w:rsidR="00C37789" w:rsidRPr="00593501">
        <w:instrText xml:space="preserve"> </w:instrText>
      </w:r>
      <w:r w:rsidR="00C37789" w:rsidRPr="000322E4">
        <w:rPr>
          <w:lang w:val="en-US"/>
        </w:rPr>
        <w:instrText>overall</w:instrText>
      </w:r>
      <w:r w:rsidR="00C37789" w:rsidRPr="00593501">
        <w:instrText xml:space="preserve"> </w:instrText>
      </w:r>
      <w:r w:rsidR="00C37789" w:rsidRPr="000322E4">
        <w:rPr>
          <w:lang w:val="en-US"/>
        </w:rPr>
        <w:instrText>response rate (RR) of 49% (95% confidence interval = 37-63%). The RR afer completion of all protocol chemotherapy (including those who received &gt; 2 cycles of GDP) was 53% (11 CR, 16 PR). Grade 3 and 4 neutropenia occurred in 33% and 39% of patients, respectively. Grade 3 and 4 thrombocytopenia occurred in 24% and 4% of patients, respectively. Seven patients (14%) experienced febrile neutropenia. Of the 35 patients &lt; 66 years, 22 (63%) proceeded to SCT. CONCLUSIONS. GDP is an active regimen in B-cell NHL and can be administered with acceptable toxicity to outpatients. A Phase III trial comparing GDP with standard cisplatin-based chemotherapy is now ongoing through the National Cancer Institute of Canada Clinical Trials Group. © 2004 American Cancer Society.","author":[{"dropping-particle":"","family":"Crump","given":"Michael","non-dropping-particle":"","parse-names":false,"suffix":""},{"dropping-particle":"","family":"Baetz","given":"Tara","non-dropping-particle":"","parse-names":false,"suffix":""},{"dropping-particle":"","family":"Couban","given":"Stephen","non-dropping-particle":"","parse-names":false,"suffix":""},{"dropping-particle":"","family":"Belch","given":"Andrew","non-dropping-particle":"","parse-names":false,"suffix":""},{"dropping-particle":"","family":"Marcellus","given":"Deborah","non-dropping-particle":"","parse-names":false,"suffix":""},{"dropping-particle":"","family":"Howson-Jan","given":"Kang","non-dropping-particle":"","parse-names":false,"suffix":""},{"dropping-particle":"","family":"Imrie","given":"Kevin","non-dropping-particle":"","parse-names":false,"suffix":""},{"dropping-particle":"","family":"Myers","given":"Robert","non-dropping-particle":"","parse-names":false,"suffix":""},{"dropping-particle":"","family":"Adams","given":"Grenfell","non-dropping-particle":"","parse-names":false,"suffix":""},{"dropping-particle":"","family":"Ding","given":"Keyue","non-dropping-particle":"","parse-names":false,"suffix":""},{"dropping-particle":"","family":"Paul","given":"Nancy","non-dropping-particle":"","parse-names":false,"suffix":""},{"dropping-particle":"","family":"Shepherd","given":"Lois","non-dropping-particle":"","parse-names":false,"suffix":""},{"dropping-particle":"","family":"Iglesias","given":"Jose","non-dropping-particle":"","parse-names":false,"suffix":""},{"dropping-particle":"","family":"Meyer","given":"Ralph","non-dropping-particle":"","parse-names":false,"suffix":""}],"container-title":"Cancer","id":"ITEM-1","issue":"8","issued":{"date-parts":[["2004","10","15"]]},"page":"1835-1842","title":"Gemcitabine, dexamethasone, and cisplatin in patients with recurrent or refractory aggressive histology B-cell non-Hodgkin lymphoma: A phase II study by the National Cancer Institute of Canada Clinical Trials Group (NCIC-CTG)","type":"article-journal","volume":"101"},"uris":["http://www.mendeley.com/documents/?uuid=c4263650-1307-3d44-8329-df1ffbf659e1"]},{"id":"ITEM-2","itemData":{"DOI":"10.3109/10428194.2010.491137","ISSN":"10428194","abstract":"We conducted a multi-center phase II trial of gemcitabine (G), carboplatin (C), dexamethasone (D), and rituximab (R) in order to examine its safety and efficacy as an outpatient salvage regimen for lymphoma. Fifty-one patients received 24 21-day cycles of G (1000mg/m2, days 1 and 8), C (AUC5, day 1), D (40mg, daily days 14), and R (375mg/m2, day 8 for CD20-positive disease) and were evaluable for response. Characteristics included: median age 58 yeas (1979 years), stage III/IV 88, elevated LDH 33, median prior therapies 2, prior stem cell transplant 12, chemoresistant 62, median prior remission duration 2.5 months. The overall and complete response rates were 67 (95 confidence interval [CI] 5480) and 31 (95 CI 1944), respectively, with activity seen in a broad variety of histologies. Responses occurred in 16 of 17 (94, 95 CI 83100) transplant-eligible patients and 15 of 28 (54, 95 CI 3471) with chemoresistant disease. The median CD34 yield in patients attempting peripheral blood stem cell (PBSC) collection following this regimen was 10.9×106 CD34 cells/kg (range 5.024.1×10 6). Hematologic toxicity was common, but febrile neutropenia (2.5) and grade 4 non-hematologic adverse events (n2) were rare, with no treatment-related deaths. GCD(R) is a safe and effective outpatient regimen for relapsed lymphoma, and successfully mobilizes PBSCs. © 2010 Informa UK, Ltd.","author":[{"dropping-particle":"","family":"Gopal","given":"Ajay K.","non-dropping-particle":"","parse-names":false,"suffix":""},{"dropping-particle":"","family":"Press","given":"Oliver W.","non-dropping-particle":"","parse-names":false,"suffix":""},{"dropping-particle":"","family":"Shustov","given":"Andrei R.","non-dropping-particle":"","parse-names":false,"suffix":""},{"dropping-particle":"","family":"Petersdorf","given":"Stephen H.","non-dropping-particle":"","parse-names":false,"suffix":""},{"dropping-particle":"","family":"Gooley","given":"Ted A.","non-dropping-particle":"","parse-names":false,"suffix":""},{"dropping-particle":"","family":"Daniels","given":"Jasmine T.","non-dropping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parse</w:instrText>
      </w:r>
      <w:r w:rsidR="00C37789" w:rsidRPr="00593501">
        <w:instrText>-</w:instrText>
      </w:r>
      <w:r w:rsidR="00C37789" w:rsidRPr="000322E4">
        <w:rPr>
          <w:lang w:val="en-US"/>
        </w:rPr>
        <w:instrText>names</w:instrText>
      </w:r>
      <w:r w:rsidR="00C37789" w:rsidRPr="00593501">
        <w:instrText>":</w:instrText>
      </w:r>
      <w:r w:rsidR="00C37789" w:rsidRPr="000322E4">
        <w:rPr>
          <w:lang w:val="en-US"/>
        </w:rPr>
        <w:instrText>false</w:instrText>
      </w:r>
      <w:r w:rsidR="00C37789" w:rsidRPr="00593501">
        <w:instrText>,"</w:instrText>
      </w:r>
      <w:r w:rsidR="00C37789" w:rsidRPr="000322E4">
        <w:rPr>
          <w:lang w:val="en-US"/>
        </w:rPr>
        <w:instrText>suffix</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family</w:instrText>
      </w:r>
      <w:r w:rsidR="00C37789" w:rsidRPr="00593501">
        <w:instrText>":"</w:instrText>
      </w:r>
      <w:r w:rsidR="00C37789" w:rsidRPr="000322E4">
        <w:rPr>
          <w:lang w:val="en-US"/>
        </w:rPr>
        <w:instrText>Garrison</w:instrText>
      </w:r>
      <w:r w:rsidR="00C37789" w:rsidRPr="00593501">
        <w:instrText>","</w:instrText>
      </w:r>
      <w:r w:rsidR="00C37789" w:rsidRPr="000322E4">
        <w:rPr>
          <w:lang w:val="en-US"/>
        </w:rPr>
        <w:instrText>given</w:instrText>
      </w:r>
      <w:r w:rsidR="00C37789" w:rsidRPr="00593501">
        <w:instrText>":"</w:instrText>
      </w:r>
      <w:r w:rsidR="00C37789" w:rsidRPr="000322E4">
        <w:rPr>
          <w:lang w:val="en-US"/>
        </w:rPr>
        <w:instrText>Mitchell</w:instrText>
      </w:r>
      <w:r w:rsidR="00C37789" w:rsidRPr="00593501">
        <w:instrText xml:space="preserve"> </w:instrText>
      </w:r>
      <w:r w:rsidR="00C37789" w:rsidRPr="000322E4">
        <w:rPr>
          <w:lang w:val="en-US"/>
        </w:rPr>
        <w:instrText>A</w:instrText>
      </w:r>
      <w:r w:rsidR="00C37789" w:rsidRPr="00593501">
        <w:instrText>.","</w:instrText>
      </w:r>
      <w:r w:rsidR="00C37789" w:rsidRPr="000322E4">
        <w:rPr>
          <w:lang w:val="en-US"/>
        </w:rPr>
        <w:instrText>non</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parse</w:instrText>
      </w:r>
      <w:r w:rsidR="00C37789" w:rsidRPr="00593501">
        <w:instrText>-</w:instrText>
      </w:r>
      <w:r w:rsidR="00C37789" w:rsidRPr="000322E4">
        <w:rPr>
          <w:lang w:val="en-US"/>
        </w:rPr>
        <w:instrText>names</w:instrText>
      </w:r>
      <w:r w:rsidR="00C37789" w:rsidRPr="00593501">
        <w:instrText>":</w:instrText>
      </w:r>
      <w:r w:rsidR="00C37789" w:rsidRPr="000322E4">
        <w:rPr>
          <w:lang w:val="en-US"/>
        </w:rPr>
        <w:instrText>false</w:instrText>
      </w:r>
      <w:r w:rsidR="00C37789" w:rsidRPr="00593501">
        <w:instrText>,"</w:instrText>
      </w:r>
      <w:r w:rsidR="00C37789" w:rsidRPr="000322E4">
        <w:rPr>
          <w:lang w:val="en-US"/>
        </w:rPr>
        <w:instrText>suffix</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family</w:instrText>
      </w:r>
      <w:r w:rsidR="00C37789" w:rsidRPr="00593501">
        <w:instrText>":"</w:instrText>
      </w:r>
      <w:r w:rsidR="00C37789" w:rsidRPr="000322E4">
        <w:rPr>
          <w:lang w:val="en-US"/>
        </w:rPr>
        <w:instrText>Gjerset</w:instrText>
      </w:r>
      <w:r w:rsidR="00C37789" w:rsidRPr="00593501">
        <w:instrText>","</w:instrText>
      </w:r>
      <w:r w:rsidR="00C37789" w:rsidRPr="000322E4">
        <w:rPr>
          <w:lang w:val="en-US"/>
        </w:rPr>
        <w:instrText>given</w:instrText>
      </w:r>
      <w:r w:rsidR="00C37789" w:rsidRPr="00593501">
        <w:instrText>":"</w:instrText>
      </w:r>
      <w:r w:rsidR="00C37789" w:rsidRPr="000322E4">
        <w:rPr>
          <w:lang w:val="en-US"/>
        </w:rPr>
        <w:instrText>George</w:instrText>
      </w:r>
      <w:r w:rsidR="00C37789" w:rsidRPr="00593501">
        <w:instrText xml:space="preserve"> </w:instrText>
      </w:r>
      <w:r w:rsidR="00C37789" w:rsidRPr="000322E4">
        <w:rPr>
          <w:lang w:val="en-US"/>
        </w:rPr>
        <w:instrText>F</w:instrText>
      </w:r>
      <w:r w:rsidR="00C37789" w:rsidRPr="00593501">
        <w:instrText>.","</w:instrText>
      </w:r>
      <w:r w:rsidR="00C37789" w:rsidRPr="000322E4">
        <w:rPr>
          <w:lang w:val="en-US"/>
        </w:rPr>
        <w:instrText>non</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parse</w:instrText>
      </w:r>
      <w:r w:rsidR="00C37789" w:rsidRPr="00593501">
        <w:instrText>-</w:instrText>
      </w:r>
      <w:r w:rsidR="00C37789" w:rsidRPr="000322E4">
        <w:rPr>
          <w:lang w:val="en-US"/>
        </w:rPr>
        <w:instrText>names</w:instrText>
      </w:r>
      <w:r w:rsidR="00C37789" w:rsidRPr="00593501">
        <w:instrText>":</w:instrText>
      </w:r>
      <w:r w:rsidR="00C37789" w:rsidRPr="000322E4">
        <w:rPr>
          <w:lang w:val="en-US"/>
        </w:rPr>
        <w:instrText>false</w:instrText>
      </w:r>
      <w:r w:rsidR="00C37789" w:rsidRPr="00593501">
        <w:instrText>,"</w:instrText>
      </w:r>
      <w:r w:rsidR="00C37789" w:rsidRPr="000322E4">
        <w:rPr>
          <w:lang w:val="en-US"/>
        </w:rPr>
        <w:instrText>suffix</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family</w:instrText>
      </w:r>
      <w:r w:rsidR="00C37789" w:rsidRPr="00593501">
        <w:instrText>":"</w:instrText>
      </w:r>
      <w:r w:rsidR="00C37789" w:rsidRPr="000322E4">
        <w:rPr>
          <w:lang w:val="en-US"/>
        </w:rPr>
        <w:instrText>Lonergan</w:instrText>
      </w:r>
      <w:r w:rsidR="00C37789" w:rsidRPr="00593501">
        <w:instrText>","</w:instrText>
      </w:r>
      <w:r w:rsidR="00C37789" w:rsidRPr="000322E4">
        <w:rPr>
          <w:lang w:val="en-US"/>
        </w:rPr>
        <w:instrText>given</w:instrText>
      </w:r>
      <w:r w:rsidR="00C37789" w:rsidRPr="00593501">
        <w:instrText>":"</w:instrText>
      </w:r>
      <w:r w:rsidR="00C37789" w:rsidRPr="000322E4">
        <w:rPr>
          <w:lang w:val="en-US"/>
        </w:rPr>
        <w:instrText>Matthew</w:instrText>
      </w:r>
      <w:r w:rsidR="00C37789" w:rsidRPr="00593501">
        <w:instrText>","</w:instrText>
      </w:r>
      <w:r w:rsidR="00C37789" w:rsidRPr="000322E4">
        <w:rPr>
          <w:lang w:val="en-US"/>
        </w:rPr>
        <w:instrText>non</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parse</w:instrText>
      </w:r>
      <w:r w:rsidR="00C37789" w:rsidRPr="00593501">
        <w:instrText>-</w:instrText>
      </w:r>
      <w:r w:rsidR="00C37789" w:rsidRPr="000322E4">
        <w:rPr>
          <w:lang w:val="en-US"/>
        </w:rPr>
        <w:instrText>names</w:instrText>
      </w:r>
      <w:r w:rsidR="00C37789" w:rsidRPr="00593501">
        <w:instrText>":</w:instrText>
      </w:r>
      <w:r w:rsidR="00C37789" w:rsidRPr="000322E4">
        <w:rPr>
          <w:lang w:val="en-US"/>
        </w:rPr>
        <w:instrText>false</w:instrText>
      </w:r>
      <w:r w:rsidR="00C37789" w:rsidRPr="00593501">
        <w:instrText>,"</w:instrText>
      </w:r>
      <w:r w:rsidR="00C37789" w:rsidRPr="000322E4">
        <w:rPr>
          <w:lang w:val="en-US"/>
        </w:rPr>
        <w:instrText>suffix</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family</w:instrText>
      </w:r>
      <w:r w:rsidR="00C37789" w:rsidRPr="00593501">
        <w:instrText>":"</w:instrText>
      </w:r>
      <w:r w:rsidR="00C37789" w:rsidRPr="000322E4">
        <w:rPr>
          <w:lang w:val="en-US"/>
        </w:rPr>
        <w:instrText>Murphy</w:instrText>
      </w:r>
      <w:r w:rsidR="00C37789" w:rsidRPr="00593501">
        <w:instrText>","</w:instrText>
      </w:r>
      <w:r w:rsidR="00C37789" w:rsidRPr="000322E4">
        <w:rPr>
          <w:lang w:val="en-US"/>
        </w:rPr>
        <w:instrText>given</w:instrText>
      </w:r>
      <w:r w:rsidR="00C37789" w:rsidRPr="00593501">
        <w:instrText>":"</w:instrText>
      </w:r>
      <w:r w:rsidR="00C37789" w:rsidRPr="000322E4">
        <w:rPr>
          <w:lang w:val="en-US"/>
        </w:rPr>
        <w:instrText>Anne</w:instrText>
      </w:r>
      <w:r w:rsidR="00C37789" w:rsidRPr="00593501">
        <w:instrText xml:space="preserve"> </w:instrText>
      </w:r>
      <w:r w:rsidR="00C37789" w:rsidRPr="000322E4">
        <w:rPr>
          <w:lang w:val="en-US"/>
        </w:rPr>
        <w:instrText>E</w:instrText>
      </w:r>
      <w:r w:rsidR="00C37789" w:rsidRPr="00593501">
        <w:instrText>.","</w:instrText>
      </w:r>
      <w:r w:rsidR="00C37789" w:rsidRPr="000322E4">
        <w:rPr>
          <w:lang w:val="en-US"/>
        </w:rPr>
        <w:instrText>non</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parse</w:instrText>
      </w:r>
      <w:r w:rsidR="00C37789" w:rsidRPr="00593501">
        <w:instrText>-</w:instrText>
      </w:r>
      <w:r w:rsidR="00C37789" w:rsidRPr="000322E4">
        <w:rPr>
          <w:lang w:val="en-US"/>
        </w:rPr>
        <w:instrText>names</w:instrText>
      </w:r>
      <w:r w:rsidR="00C37789" w:rsidRPr="00593501">
        <w:instrText>":</w:instrText>
      </w:r>
      <w:r w:rsidR="00C37789" w:rsidRPr="000322E4">
        <w:rPr>
          <w:lang w:val="en-US"/>
        </w:rPr>
        <w:instrText>false</w:instrText>
      </w:r>
      <w:r w:rsidR="00C37789" w:rsidRPr="00593501">
        <w:instrText>,"</w:instrText>
      </w:r>
      <w:r w:rsidR="00C37789" w:rsidRPr="000322E4">
        <w:rPr>
          <w:lang w:val="en-US"/>
        </w:rPr>
        <w:instrText>suffix</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family</w:instrText>
      </w:r>
      <w:r w:rsidR="00C37789" w:rsidRPr="00593501">
        <w:instrText>":"</w:instrText>
      </w:r>
      <w:r w:rsidR="00C37789" w:rsidRPr="000322E4">
        <w:rPr>
          <w:lang w:val="en-US"/>
        </w:rPr>
        <w:instrText>Smith</w:instrText>
      </w:r>
      <w:r w:rsidR="00C37789" w:rsidRPr="00593501">
        <w:instrText>","</w:instrText>
      </w:r>
      <w:r w:rsidR="00C37789" w:rsidRPr="000322E4">
        <w:rPr>
          <w:lang w:val="en-US"/>
        </w:rPr>
        <w:instrText>given</w:instrText>
      </w:r>
      <w:r w:rsidR="00C37789" w:rsidRPr="00593501">
        <w:instrText>":"</w:instrText>
      </w:r>
      <w:r w:rsidR="00C37789" w:rsidRPr="000322E4">
        <w:rPr>
          <w:lang w:val="en-US"/>
        </w:rPr>
        <w:instrText>Julie</w:instrText>
      </w:r>
      <w:r w:rsidR="00C37789" w:rsidRPr="00593501">
        <w:instrText xml:space="preserve"> </w:instrText>
      </w:r>
      <w:r w:rsidR="00C37789" w:rsidRPr="000322E4">
        <w:rPr>
          <w:lang w:val="en-US"/>
        </w:rPr>
        <w:instrText>C</w:instrText>
      </w:r>
      <w:r w:rsidR="00C37789" w:rsidRPr="00593501">
        <w:instrText>.","</w:instrText>
      </w:r>
      <w:r w:rsidR="00C37789" w:rsidRPr="000322E4">
        <w:rPr>
          <w:lang w:val="en-US"/>
        </w:rPr>
        <w:instrText>non</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parse</w:instrText>
      </w:r>
      <w:r w:rsidR="00C37789" w:rsidRPr="00593501">
        <w:instrText>-</w:instrText>
      </w:r>
      <w:r w:rsidR="00C37789" w:rsidRPr="000322E4">
        <w:rPr>
          <w:lang w:val="en-US"/>
        </w:rPr>
        <w:instrText>names</w:instrText>
      </w:r>
      <w:r w:rsidR="00C37789" w:rsidRPr="00593501">
        <w:instrText>":</w:instrText>
      </w:r>
      <w:r w:rsidR="00C37789" w:rsidRPr="000322E4">
        <w:rPr>
          <w:lang w:val="en-US"/>
        </w:rPr>
        <w:instrText>false</w:instrText>
      </w:r>
      <w:r w:rsidR="00C37789" w:rsidRPr="00593501">
        <w:instrText>,"</w:instrText>
      </w:r>
      <w:r w:rsidR="00C37789" w:rsidRPr="000322E4">
        <w:rPr>
          <w:lang w:val="en-US"/>
        </w:rPr>
        <w:instrText>suffix</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family</w:instrText>
      </w:r>
      <w:r w:rsidR="00C37789" w:rsidRPr="00593501">
        <w:instrText>":"</w:instrText>
      </w:r>
      <w:r w:rsidR="00C37789" w:rsidRPr="000322E4">
        <w:rPr>
          <w:lang w:val="en-US"/>
        </w:rPr>
        <w:instrText>Pagel</w:instrText>
      </w:r>
      <w:r w:rsidR="00C37789" w:rsidRPr="00593501">
        <w:instrText>","</w:instrText>
      </w:r>
      <w:r w:rsidR="00C37789" w:rsidRPr="000322E4">
        <w:rPr>
          <w:lang w:val="en-US"/>
        </w:rPr>
        <w:instrText>given</w:instrText>
      </w:r>
      <w:r w:rsidR="00C37789" w:rsidRPr="00593501">
        <w:instrText>":"</w:instrText>
      </w:r>
      <w:r w:rsidR="00C37789" w:rsidRPr="000322E4">
        <w:rPr>
          <w:lang w:val="en-US"/>
        </w:rPr>
        <w:instrText>John</w:instrText>
      </w:r>
      <w:r w:rsidR="00C37789" w:rsidRPr="00593501">
        <w:instrText xml:space="preserve"> </w:instrText>
      </w:r>
      <w:r w:rsidR="00C37789" w:rsidRPr="000322E4">
        <w:rPr>
          <w:lang w:val="en-US"/>
        </w:rPr>
        <w:instrText>M</w:instrText>
      </w:r>
      <w:r w:rsidR="00C37789" w:rsidRPr="00593501">
        <w:instrText>.","</w:instrText>
      </w:r>
      <w:r w:rsidR="00C37789" w:rsidRPr="000322E4">
        <w:rPr>
          <w:lang w:val="en-US"/>
        </w:rPr>
        <w:instrText>non</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parse</w:instrText>
      </w:r>
      <w:r w:rsidR="00C37789" w:rsidRPr="00593501">
        <w:instrText>-</w:instrText>
      </w:r>
      <w:r w:rsidR="00C37789" w:rsidRPr="000322E4">
        <w:rPr>
          <w:lang w:val="en-US"/>
        </w:rPr>
        <w:instrText>names</w:instrText>
      </w:r>
      <w:r w:rsidR="00C37789" w:rsidRPr="00593501">
        <w:instrText>":</w:instrText>
      </w:r>
      <w:r w:rsidR="00C37789" w:rsidRPr="000322E4">
        <w:rPr>
          <w:lang w:val="en-US"/>
        </w:rPr>
        <w:instrText>false</w:instrText>
      </w:r>
      <w:r w:rsidR="00C37789" w:rsidRPr="00593501">
        <w:instrText>,"</w:instrText>
      </w:r>
      <w:r w:rsidR="00C37789" w:rsidRPr="000322E4">
        <w:rPr>
          <w:lang w:val="en-US"/>
        </w:rPr>
        <w:instrText>suffix</w:instrText>
      </w:r>
      <w:r w:rsidR="00C37789" w:rsidRPr="00593501">
        <w:instrText>":""}],"</w:instrText>
      </w:r>
      <w:r w:rsidR="00C37789" w:rsidRPr="000322E4">
        <w:rPr>
          <w:lang w:val="en-US"/>
        </w:rPr>
        <w:instrText>container</w:instrText>
      </w:r>
      <w:r w:rsidR="00C37789" w:rsidRPr="00593501">
        <w:instrText>-</w:instrText>
      </w:r>
      <w:r w:rsidR="00C37789" w:rsidRPr="000322E4">
        <w:rPr>
          <w:lang w:val="en-US"/>
        </w:rPr>
        <w:instrText>title</w:instrText>
      </w:r>
      <w:r w:rsidR="00C37789" w:rsidRPr="00593501">
        <w:instrText>":"</w:instrText>
      </w:r>
      <w:r w:rsidR="00C37789" w:rsidRPr="000322E4">
        <w:rPr>
          <w:lang w:val="en-US"/>
        </w:rPr>
        <w:instrText>Leukemia</w:instrText>
      </w:r>
      <w:r w:rsidR="00C37789" w:rsidRPr="00593501">
        <w:instrText xml:space="preserve"> </w:instrText>
      </w:r>
      <w:r w:rsidR="00C37789" w:rsidRPr="000322E4">
        <w:rPr>
          <w:lang w:val="en-US"/>
        </w:rPr>
        <w:instrText>and</w:instrText>
      </w:r>
      <w:r w:rsidR="00C37789" w:rsidRPr="00593501">
        <w:instrText xml:space="preserve"> </w:instrText>
      </w:r>
      <w:r w:rsidR="00C37789" w:rsidRPr="000322E4">
        <w:rPr>
          <w:lang w:val="en-US"/>
        </w:rPr>
        <w:instrText>Lymphoma</w:instrText>
      </w:r>
      <w:r w:rsidR="00C37789" w:rsidRPr="00593501">
        <w:instrText>","</w:instrText>
      </w:r>
      <w:r w:rsidR="00C37789" w:rsidRPr="000322E4">
        <w:rPr>
          <w:lang w:val="en-US"/>
        </w:rPr>
        <w:instrText>id</w:instrText>
      </w:r>
      <w:r w:rsidR="00C37789" w:rsidRPr="00593501">
        <w:instrText>":"</w:instrText>
      </w:r>
      <w:r w:rsidR="00C37789" w:rsidRPr="000322E4">
        <w:rPr>
          <w:lang w:val="en-US"/>
        </w:rPr>
        <w:instrText>ITEM</w:instrText>
      </w:r>
      <w:r w:rsidR="00C37789" w:rsidRPr="00593501">
        <w:instrText>-2","</w:instrText>
      </w:r>
      <w:r w:rsidR="00C37789" w:rsidRPr="000322E4">
        <w:rPr>
          <w:lang w:val="en-US"/>
        </w:rPr>
        <w:instrText>issue</w:instrText>
      </w:r>
      <w:r w:rsidR="00C37789" w:rsidRPr="00593501">
        <w:instrText>":"8","</w:instrText>
      </w:r>
      <w:r w:rsidR="00C37789" w:rsidRPr="000322E4">
        <w:rPr>
          <w:lang w:val="en-US"/>
        </w:rPr>
        <w:instrText>issued</w:instrText>
      </w:r>
      <w:r w:rsidR="00C37789" w:rsidRPr="00593501">
        <w:instrText>":{"</w:instrText>
      </w:r>
      <w:r w:rsidR="00C37789" w:rsidRPr="000322E4">
        <w:rPr>
          <w:lang w:val="en-US"/>
        </w:rPr>
        <w:instrText>date</w:instrText>
      </w:r>
      <w:r w:rsidR="00C37789" w:rsidRPr="00593501">
        <w:instrText>-</w:instrText>
      </w:r>
      <w:r w:rsidR="00C37789" w:rsidRPr="000322E4">
        <w:rPr>
          <w:lang w:val="en-US"/>
        </w:rPr>
        <w:instrText>parts</w:instrText>
      </w:r>
      <w:r w:rsidR="00C37789" w:rsidRPr="00593501">
        <w:instrText>":[["2010","8"]]},"</w:instrText>
      </w:r>
      <w:r w:rsidR="00C37789" w:rsidRPr="000322E4">
        <w:rPr>
          <w:lang w:val="en-US"/>
        </w:rPr>
        <w:instrText>page</w:instrText>
      </w:r>
      <w:r w:rsidR="00C37789" w:rsidRPr="00593501">
        <w:instrText>":"1523-1529","</w:instrText>
      </w:r>
      <w:r w:rsidR="00C37789" w:rsidRPr="000322E4">
        <w:rPr>
          <w:lang w:val="en-US"/>
        </w:rPr>
        <w:instrText>title</w:instrText>
      </w:r>
      <w:r w:rsidR="00C37789" w:rsidRPr="00593501">
        <w:instrText>":"</w:instrText>
      </w:r>
      <w:r w:rsidR="00C37789" w:rsidRPr="000322E4">
        <w:rPr>
          <w:lang w:val="en-US"/>
        </w:rPr>
        <w:instrText>Efficacy</w:instrText>
      </w:r>
      <w:r w:rsidR="00C37789" w:rsidRPr="00593501">
        <w:instrText xml:space="preserve"> </w:instrText>
      </w:r>
      <w:r w:rsidR="00C37789" w:rsidRPr="000322E4">
        <w:rPr>
          <w:lang w:val="en-US"/>
        </w:rPr>
        <w:instrText>and</w:instrText>
      </w:r>
      <w:r w:rsidR="00C37789" w:rsidRPr="00593501">
        <w:instrText xml:space="preserve"> </w:instrText>
      </w:r>
      <w:r w:rsidR="00C37789" w:rsidRPr="000322E4">
        <w:rPr>
          <w:lang w:val="en-US"/>
        </w:rPr>
        <w:instrText>safety</w:instrText>
      </w:r>
      <w:r w:rsidR="00C37789" w:rsidRPr="00593501">
        <w:instrText xml:space="preserve"> </w:instrText>
      </w:r>
      <w:r w:rsidR="00C37789" w:rsidRPr="000322E4">
        <w:rPr>
          <w:lang w:val="en-US"/>
        </w:rPr>
        <w:instrText>of</w:instrText>
      </w:r>
      <w:r w:rsidR="00C37789" w:rsidRPr="00593501">
        <w:instrText xml:space="preserve"> </w:instrText>
      </w:r>
      <w:r w:rsidR="00C37789" w:rsidRPr="000322E4">
        <w:rPr>
          <w:lang w:val="en-US"/>
        </w:rPr>
        <w:instrText>gemcitabine</w:instrText>
      </w:r>
      <w:r w:rsidR="00C37789" w:rsidRPr="00593501">
        <w:instrText xml:space="preserve">, </w:instrText>
      </w:r>
      <w:r w:rsidR="00C37789" w:rsidRPr="000322E4">
        <w:rPr>
          <w:lang w:val="en-US"/>
        </w:rPr>
        <w:instrText>carboplatin</w:instrText>
      </w:r>
      <w:r w:rsidR="00C37789" w:rsidRPr="00593501">
        <w:instrText xml:space="preserve">, </w:instrText>
      </w:r>
      <w:r w:rsidR="00C37789" w:rsidRPr="000322E4">
        <w:rPr>
          <w:lang w:val="en-US"/>
        </w:rPr>
        <w:instrText>dexamethasone</w:instrText>
      </w:r>
      <w:r w:rsidR="00C37789" w:rsidRPr="00593501">
        <w:instrText xml:space="preserve">, </w:instrText>
      </w:r>
      <w:r w:rsidR="00C37789" w:rsidRPr="000322E4">
        <w:rPr>
          <w:lang w:val="en-US"/>
        </w:rPr>
        <w:instrText>and</w:instrText>
      </w:r>
      <w:r w:rsidR="00C37789" w:rsidRPr="00593501">
        <w:instrText xml:space="preserve"> </w:instrText>
      </w:r>
      <w:r w:rsidR="00C37789" w:rsidRPr="000322E4">
        <w:rPr>
          <w:lang w:val="en-US"/>
        </w:rPr>
        <w:instrText>rituximab</w:instrText>
      </w:r>
      <w:r w:rsidR="00C37789" w:rsidRPr="00593501">
        <w:instrText xml:space="preserve"> </w:instrText>
      </w:r>
      <w:r w:rsidR="00C37789" w:rsidRPr="000322E4">
        <w:rPr>
          <w:lang w:val="en-US"/>
        </w:rPr>
        <w:instrText>in</w:instrText>
      </w:r>
      <w:r w:rsidR="00C37789" w:rsidRPr="00593501">
        <w:instrText xml:space="preserve"> </w:instrText>
      </w:r>
      <w:r w:rsidR="00C37789" w:rsidRPr="000322E4">
        <w:rPr>
          <w:lang w:val="en-US"/>
        </w:rPr>
        <w:instrText>patients</w:instrText>
      </w:r>
      <w:r w:rsidR="00C37789" w:rsidRPr="00593501">
        <w:instrText xml:space="preserve"> </w:instrText>
      </w:r>
      <w:r w:rsidR="00C37789" w:rsidRPr="000322E4">
        <w:rPr>
          <w:lang w:val="en-US"/>
        </w:rPr>
        <w:instrText>with</w:instrText>
      </w:r>
      <w:r w:rsidR="00C37789" w:rsidRPr="00593501">
        <w:instrText xml:space="preserve"> </w:instrText>
      </w:r>
      <w:r w:rsidR="00C37789" w:rsidRPr="000322E4">
        <w:rPr>
          <w:lang w:val="en-US"/>
        </w:rPr>
        <w:instrText>relapsed</w:instrText>
      </w:r>
      <w:r w:rsidR="00C37789" w:rsidRPr="00593501">
        <w:instrText>/</w:instrText>
      </w:r>
      <w:r w:rsidR="00C37789" w:rsidRPr="000322E4">
        <w:rPr>
          <w:lang w:val="en-US"/>
        </w:rPr>
        <w:instrText>refractory</w:instrText>
      </w:r>
      <w:r w:rsidR="00C37789" w:rsidRPr="00593501">
        <w:instrText xml:space="preserve"> </w:instrText>
      </w:r>
      <w:r w:rsidR="00C37789" w:rsidRPr="000322E4">
        <w:rPr>
          <w:lang w:val="en-US"/>
        </w:rPr>
        <w:instrText>lymphoma</w:instrText>
      </w:r>
      <w:r w:rsidR="00C37789" w:rsidRPr="00593501">
        <w:instrText xml:space="preserve">: </w:instrText>
      </w:r>
      <w:r w:rsidR="00C37789" w:rsidRPr="000322E4">
        <w:rPr>
          <w:lang w:val="en-US"/>
        </w:rPr>
        <w:instrText>A</w:instrText>
      </w:r>
      <w:r w:rsidR="00C37789" w:rsidRPr="00593501">
        <w:instrText xml:space="preserve"> </w:instrText>
      </w:r>
      <w:r w:rsidR="00C37789" w:rsidRPr="000322E4">
        <w:rPr>
          <w:lang w:val="en-US"/>
        </w:rPr>
        <w:instrText>prospective</w:instrText>
      </w:r>
      <w:r w:rsidR="00C37789" w:rsidRPr="00593501">
        <w:instrText xml:space="preserve"> </w:instrText>
      </w:r>
      <w:r w:rsidR="00C37789" w:rsidRPr="000322E4">
        <w:rPr>
          <w:lang w:val="en-US"/>
        </w:rPr>
        <w:instrText>multi</w:instrText>
      </w:r>
      <w:r w:rsidR="00C37789" w:rsidRPr="00593501">
        <w:instrText>-</w:instrText>
      </w:r>
      <w:r w:rsidR="00C37789" w:rsidRPr="000322E4">
        <w:rPr>
          <w:lang w:val="en-US"/>
        </w:rPr>
        <w:instrText>center</w:instrText>
      </w:r>
      <w:r w:rsidR="00C37789" w:rsidRPr="00593501">
        <w:instrText xml:space="preserve"> </w:instrText>
      </w:r>
      <w:r w:rsidR="00C37789" w:rsidRPr="000322E4">
        <w:rPr>
          <w:lang w:val="en-US"/>
        </w:rPr>
        <w:instrText>phase</w:instrText>
      </w:r>
      <w:r w:rsidR="00C37789" w:rsidRPr="00593501">
        <w:instrText xml:space="preserve"> </w:instrText>
      </w:r>
      <w:r w:rsidR="00C37789" w:rsidRPr="000322E4">
        <w:rPr>
          <w:lang w:val="en-US"/>
        </w:rPr>
        <w:instrText>II</w:instrText>
      </w:r>
      <w:r w:rsidR="00C37789" w:rsidRPr="00593501">
        <w:instrText xml:space="preserve"> </w:instrText>
      </w:r>
      <w:r w:rsidR="00C37789" w:rsidRPr="000322E4">
        <w:rPr>
          <w:lang w:val="en-US"/>
        </w:rPr>
        <w:instrText>study</w:instrText>
      </w:r>
      <w:r w:rsidR="00C37789" w:rsidRPr="00593501">
        <w:instrText xml:space="preserve"> </w:instrText>
      </w:r>
      <w:r w:rsidR="00C37789" w:rsidRPr="000322E4">
        <w:rPr>
          <w:lang w:val="en-US"/>
        </w:rPr>
        <w:instrText>by</w:instrText>
      </w:r>
      <w:r w:rsidR="00C37789" w:rsidRPr="00593501">
        <w:instrText xml:space="preserve"> </w:instrText>
      </w:r>
      <w:r w:rsidR="00C37789" w:rsidRPr="000322E4">
        <w:rPr>
          <w:lang w:val="en-US"/>
        </w:rPr>
        <w:instrText>the</w:instrText>
      </w:r>
      <w:r w:rsidR="00C37789" w:rsidRPr="00593501">
        <w:instrText xml:space="preserve"> </w:instrText>
      </w:r>
      <w:r w:rsidR="00C37789" w:rsidRPr="000322E4">
        <w:rPr>
          <w:lang w:val="en-US"/>
        </w:rPr>
        <w:instrText>Puget</w:instrText>
      </w:r>
      <w:r w:rsidR="00C37789" w:rsidRPr="00593501">
        <w:instrText xml:space="preserve"> </w:instrText>
      </w:r>
      <w:r w:rsidR="00C37789" w:rsidRPr="000322E4">
        <w:rPr>
          <w:lang w:val="en-US"/>
        </w:rPr>
        <w:instrText>Sound</w:instrText>
      </w:r>
      <w:r w:rsidR="00C37789" w:rsidRPr="00593501">
        <w:instrText xml:space="preserve"> </w:instrText>
      </w:r>
      <w:r w:rsidR="00C37789" w:rsidRPr="000322E4">
        <w:rPr>
          <w:lang w:val="en-US"/>
        </w:rPr>
        <w:instrText>Oncology</w:instrText>
      </w:r>
      <w:r w:rsidR="00C37789" w:rsidRPr="00593501">
        <w:instrText xml:space="preserve"> </w:instrText>
      </w:r>
      <w:r w:rsidR="00C37789" w:rsidRPr="000322E4">
        <w:rPr>
          <w:lang w:val="en-US"/>
        </w:rPr>
        <w:instrText>Consortium</w:instrText>
      </w:r>
      <w:r w:rsidR="00C37789" w:rsidRPr="00593501">
        <w:instrText>","</w:instrText>
      </w:r>
      <w:r w:rsidR="00C37789" w:rsidRPr="000322E4">
        <w:rPr>
          <w:lang w:val="en-US"/>
        </w:rPr>
        <w:instrText>type</w:instrText>
      </w:r>
      <w:r w:rsidR="00C37789" w:rsidRPr="00593501">
        <w:instrText>":"</w:instrText>
      </w:r>
      <w:r w:rsidR="00C37789" w:rsidRPr="000322E4">
        <w:rPr>
          <w:lang w:val="en-US"/>
        </w:rPr>
        <w:instrText>article</w:instrText>
      </w:r>
      <w:r w:rsidR="00C37789" w:rsidRPr="00593501">
        <w:instrText>-</w:instrText>
      </w:r>
      <w:r w:rsidR="00C37789" w:rsidRPr="000322E4">
        <w:rPr>
          <w:lang w:val="en-US"/>
        </w:rPr>
        <w:instrText>journal</w:instrText>
      </w:r>
      <w:r w:rsidR="00C37789" w:rsidRPr="00593501">
        <w:instrText>","</w:instrText>
      </w:r>
      <w:r w:rsidR="00C37789" w:rsidRPr="000322E4">
        <w:rPr>
          <w:lang w:val="en-US"/>
        </w:rPr>
        <w:instrText>volume</w:instrText>
      </w:r>
      <w:r w:rsidR="00C37789" w:rsidRPr="00593501">
        <w:instrText>":"51"},"</w:instrText>
      </w:r>
      <w:r w:rsidR="00C37789" w:rsidRPr="000322E4">
        <w:rPr>
          <w:lang w:val="en-US"/>
        </w:rPr>
        <w:instrText>uris</w:instrText>
      </w:r>
      <w:r w:rsidR="00C37789" w:rsidRPr="00593501">
        <w:instrText>":["</w:instrText>
      </w:r>
      <w:r w:rsidR="00C37789" w:rsidRPr="000322E4">
        <w:rPr>
          <w:lang w:val="en-US"/>
        </w:rPr>
        <w:instrText>http</w:instrText>
      </w:r>
      <w:r w:rsidR="00C37789" w:rsidRPr="00593501">
        <w:instrText>://</w:instrText>
      </w:r>
      <w:r w:rsidR="00C37789" w:rsidRPr="000322E4">
        <w:rPr>
          <w:lang w:val="en-US"/>
        </w:rPr>
        <w:instrText>www</w:instrText>
      </w:r>
      <w:r w:rsidR="00C37789" w:rsidRPr="00593501">
        <w:instrText>.</w:instrText>
      </w:r>
      <w:r w:rsidR="00C37789" w:rsidRPr="000322E4">
        <w:rPr>
          <w:lang w:val="en-US"/>
        </w:rPr>
        <w:instrText>mendeley</w:instrText>
      </w:r>
      <w:r w:rsidR="00C37789" w:rsidRPr="00593501">
        <w:instrText>.</w:instrText>
      </w:r>
      <w:r w:rsidR="00C37789" w:rsidRPr="000322E4">
        <w:rPr>
          <w:lang w:val="en-US"/>
        </w:rPr>
        <w:instrText>com</w:instrText>
      </w:r>
      <w:r w:rsidR="00C37789" w:rsidRPr="00593501">
        <w:instrText>/</w:instrText>
      </w:r>
      <w:r w:rsidR="00C37789" w:rsidRPr="000322E4">
        <w:rPr>
          <w:lang w:val="en-US"/>
        </w:rPr>
        <w:instrText>documents</w:instrText>
      </w:r>
      <w:r w:rsidR="00C37789" w:rsidRPr="00593501">
        <w:instrText>/?</w:instrText>
      </w:r>
      <w:r w:rsidR="00C37789" w:rsidRPr="000322E4">
        <w:rPr>
          <w:lang w:val="en-US"/>
        </w:rPr>
        <w:instrText>uuid</w:instrText>
      </w:r>
      <w:r w:rsidR="00C37789" w:rsidRPr="00593501">
        <w:instrText>=</w:instrText>
      </w:r>
      <w:r w:rsidR="00C37789" w:rsidRPr="000322E4">
        <w:rPr>
          <w:lang w:val="en-US"/>
        </w:rPr>
        <w:instrText>d</w:instrText>
      </w:r>
      <w:r w:rsidR="00C37789" w:rsidRPr="00593501">
        <w:instrText>780465</w:instrText>
      </w:r>
      <w:r w:rsidR="00C37789" w:rsidRPr="000322E4">
        <w:rPr>
          <w:lang w:val="en-US"/>
        </w:rPr>
        <w:instrText>f</w:instrText>
      </w:r>
      <w:r w:rsidR="00C37789" w:rsidRPr="00593501">
        <w:instrText>-</w:instrText>
      </w:r>
      <w:r w:rsidR="00C37789" w:rsidRPr="000322E4">
        <w:rPr>
          <w:lang w:val="en-US"/>
        </w:rPr>
        <w:instrText>a</w:instrText>
      </w:r>
      <w:r w:rsidR="00C37789" w:rsidRPr="00593501">
        <w:instrText>25</w:instrText>
      </w:r>
      <w:r w:rsidR="00C37789" w:rsidRPr="000322E4">
        <w:rPr>
          <w:lang w:val="en-US"/>
        </w:rPr>
        <w:instrText>a</w:instrText>
      </w:r>
      <w:r w:rsidR="00C37789" w:rsidRPr="00593501">
        <w:instrText>-33</w:instrText>
      </w:r>
      <w:r w:rsidR="00C37789" w:rsidRPr="000322E4">
        <w:rPr>
          <w:lang w:val="en-US"/>
        </w:rPr>
        <w:instrText>fc</w:instrText>
      </w:r>
      <w:r w:rsidR="00C37789" w:rsidRPr="00593501">
        <w:instrText>-</w:instrText>
      </w:r>
      <w:r w:rsidR="00C37789" w:rsidRPr="000322E4">
        <w:rPr>
          <w:lang w:val="en-US"/>
        </w:rPr>
        <w:instrText>bd</w:instrText>
      </w:r>
      <w:r w:rsidR="00C37789" w:rsidRPr="00593501">
        <w:instrText>81-4</w:instrText>
      </w:r>
      <w:r w:rsidR="00C37789" w:rsidRPr="000322E4">
        <w:rPr>
          <w:lang w:val="en-US"/>
        </w:rPr>
        <w:instrText>ad</w:instrText>
      </w:r>
      <w:r w:rsidR="00C37789" w:rsidRPr="00593501">
        <w:instrText>6855226</w:instrText>
      </w:r>
      <w:r w:rsidR="00C37789" w:rsidRPr="000322E4">
        <w:rPr>
          <w:lang w:val="en-US"/>
        </w:rPr>
        <w:instrText>a</w:instrText>
      </w:r>
      <w:r w:rsidR="00C37789" w:rsidRPr="00593501">
        <w:instrText>0"]}],"</w:instrText>
      </w:r>
      <w:r w:rsidR="00C37789" w:rsidRPr="000322E4">
        <w:rPr>
          <w:lang w:val="en-US"/>
        </w:rPr>
        <w:instrText>mendeley</w:instrText>
      </w:r>
      <w:r w:rsidR="00C37789" w:rsidRPr="00593501">
        <w:instrText>":{"</w:instrText>
      </w:r>
      <w:r w:rsidR="00C37789" w:rsidRPr="000322E4">
        <w:rPr>
          <w:lang w:val="en-US"/>
        </w:rPr>
        <w:instrText>formattedCitation</w:instrText>
      </w:r>
      <w:r w:rsidR="00C37789" w:rsidRPr="00593501">
        <w:instrText>":"[97,106]","</w:instrText>
      </w:r>
      <w:r w:rsidR="00C37789" w:rsidRPr="000322E4">
        <w:rPr>
          <w:lang w:val="en-US"/>
        </w:rPr>
        <w:instrText>plainTextFormattedCitation</w:instrText>
      </w:r>
      <w:r w:rsidR="00C37789" w:rsidRPr="00593501">
        <w:instrText>":"[97,106]","</w:instrText>
      </w:r>
      <w:r w:rsidR="00C37789" w:rsidRPr="000322E4">
        <w:rPr>
          <w:lang w:val="en-US"/>
        </w:rPr>
        <w:instrText>previouslyFormattedCitation</w:instrText>
      </w:r>
      <w:r w:rsidR="00C37789" w:rsidRPr="00593501">
        <w:instrText>":"[97,106]"},"</w:instrText>
      </w:r>
      <w:r w:rsidR="00C37789" w:rsidRPr="000322E4">
        <w:rPr>
          <w:lang w:val="en-US"/>
        </w:rPr>
        <w:instrText>properties</w:instrText>
      </w:r>
      <w:r w:rsidR="00C37789" w:rsidRPr="00593501">
        <w:instrText>":{"</w:instrText>
      </w:r>
      <w:r w:rsidR="00C37789" w:rsidRPr="000322E4">
        <w:rPr>
          <w:lang w:val="en-US"/>
        </w:rPr>
        <w:instrText>noteIndex</w:instrText>
      </w:r>
      <w:r w:rsidR="00C37789" w:rsidRPr="00593501">
        <w:instrText>":0},"</w:instrText>
      </w:r>
      <w:r w:rsidR="00C37789" w:rsidRPr="000322E4">
        <w:rPr>
          <w:lang w:val="en-US"/>
        </w:rPr>
        <w:instrText>schema</w:instrText>
      </w:r>
      <w:r w:rsidR="00C37789" w:rsidRPr="00593501">
        <w:instrText>":"</w:instrText>
      </w:r>
      <w:r w:rsidR="00C37789" w:rsidRPr="000322E4">
        <w:rPr>
          <w:lang w:val="en-US"/>
        </w:rPr>
        <w:instrText>https</w:instrText>
      </w:r>
      <w:r w:rsidR="00C37789" w:rsidRPr="00593501">
        <w:instrText>://</w:instrText>
      </w:r>
      <w:r w:rsidR="00C37789" w:rsidRPr="000322E4">
        <w:rPr>
          <w:lang w:val="en-US"/>
        </w:rPr>
        <w:instrText>github</w:instrText>
      </w:r>
      <w:r w:rsidR="00C37789" w:rsidRPr="00593501">
        <w:instrText>.</w:instrText>
      </w:r>
      <w:r w:rsidR="00C37789" w:rsidRPr="000322E4">
        <w:rPr>
          <w:lang w:val="en-US"/>
        </w:rPr>
        <w:instrText>com</w:instrText>
      </w:r>
      <w:r w:rsidR="00C37789" w:rsidRPr="00593501">
        <w:instrText>/</w:instrText>
      </w:r>
      <w:r w:rsidR="00C37789" w:rsidRPr="000322E4">
        <w:rPr>
          <w:lang w:val="en-US"/>
        </w:rPr>
        <w:instrText>citation</w:instrText>
      </w:r>
      <w:r w:rsidR="00C37789" w:rsidRPr="00593501">
        <w:instrText>-</w:instrText>
      </w:r>
      <w:r w:rsidR="00C37789" w:rsidRPr="000322E4">
        <w:rPr>
          <w:lang w:val="en-US"/>
        </w:rPr>
        <w:instrText>style</w:instrText>
      </w:r>
      <w:r w:rsidR="00C37789" w:rsidRPr="00593501">
        <w:instrText>-</w:instrText>
      </w:r>
      <w:r w:rsidR="00C37789" w:rsidRPr="000322E4">
        <w:rPr>
          <w:lang w:val="en-US"/>
        </w:rPr>
        <w:instrText>language</w:instrText>
      </w:r>
      <w:r w:rsidR="00C37789" w:rsidRPr="00593501">
        <w:instrText>/</w:instrText>
      </w:r>
      <w:r w:rsidR="00C37789" w:rsidRPr="000322E4">
        <w:rPr>
          <w:lang w:val="en-US"/>
        </w:rPr>
        <w:instrText>schema</w:instrText>
      </w:r>
      <w:r w:rsidR="00C37789" w:rsidRPr="00593501">
        <w:instrText>/</w:instrText>
      </w:r>
      <w:r w:rsidR="00C37789" w:rsidRPr="000322E4">
        <w:rPr>
          <w:lang w:val="en-US"/>
        </w:rPr>
        <w:instrText>raw</w:instrText>
      </w:r>
      <w:r w:rsidR="00C37789" w:rsidRPr="00593501">
        <w:instrText>/</w:instrText>
      </w:r>
      <w:r w:rsidR="00C37789" w:rsidRPr="000322E4">
        <w:rPr>
          <w:lang w:val="en-US"/>
        </w:rPr>
        <w:instrText>master</w:instrText>
      </w:r>
      <w:r w:rsidR="00C37789" w:rsidRPr="00593501">
        <w:instrText>/</w:instrText>
      </w:r>
      <w:r w:rsidR="00C37789" w:rsidRPr="000322E4">
        <w:rPr>
          <w:lang w:val="en-US"/>
        </w:rPr>
        <w:instrText>csl</w:instrText>
      </w:r>
      <w:r w:rsidR="00C37789" w:rsidRPr="00593501">
        <w:instrText>-</w:instrText>
      </w:r>
      <w:r w:rsidR="00C37789" w:rsidRPr="000322E4">
        <w:rPr>
          <w:lang w:val="en-US"/>
        </w:rPr>
        <w:instrText>citation</w:instrText>
      </w:r>
      <w:r w:rsidR="00C37789" w:rsidRPr="00593501">
        <w:instrText>.</w:instrText>
      </w:r>
      <w:r w:rsidR="00C37789" w:rsidRPr="000322E4">
        <w:rPr>
          <w:lang w:val="en-US"/>
        </w:rPr>
        <w:instrText>json</w:instrText>
      </w:r>
      <w:r w:rsidR="00C37789" w:rsidRPr="00593501">
        <w:instrText>"}</w:instrText>
      </w:r>
      <w:r w:rsidRPr="000322E4">
        <w:rPr>
          <w:lang w:val="en-US"/>
        </w:rPr>
        <w:fldChar w:fldCharType="separate"/>
      </w:r>
      <w:r w:rsidR="00C37789" w:rsidRPr="000322E4">
        <w:rPr>
          <w:noProof/>
        </w:rPr>
        <w:t>[97,106]</w:t>
      </w:r>
      <w:r w:rsidRPr="000322E4">
        <w:rPr>
          <w:lang w:val="en-US"/>
        </w:rPr>
        <w:fldChar w:fldCharType="end"/>
      </w:r>
    </w:p>
    <w:p w14:paraId="65C3213C" w14:textId="77777777" w:rsidR="00666D68" w:rsidRPr="000322E4" w:rsidRDefault="00666D68" w:rsidP="008E3584">
      <w:pPr>
        <w:numPr>
          <w:ilvl w:val="0"/>
          <w:numId w:val="50"/>
        </w:numPr>
      </w:pPr>
      <w:r w:rsidRPr="000322E4">
        <w:t>#Цисплатин</w:t>
      </w:r>
      <w:r w:rsidRPr="000322E4">
        <w:rPr>
          <w:bCs/>
        </w:rPr>
        <w:t>**</w:t>
      </w:r>
      <w:r w:rsidRPr="000322E4">
        <w:t xml:space="preserve"> 75 мг/м</w:t>
      </w:r>
      <w:r w:rsidRPr="000322E4">
        <w:rPr>
          <w:vertAlign w:val="superscript"/>
        </w:rPr>
        <w:t>2</w:t>
      </w:r>
      <w:r w:rsidRPr="000322E4">
        <w:t xml:space="preserve"> в/в кап., день 1</w:t>
      </w:r>
    </w:p>
    <w:p w14:paraId="09DEE619" w14:textId="77777777" w:rsidR="00666D68" w:rsidRPr="000322E4" w:rsidRDefault="00290650" w:rsidP="008E3584">
      <w:pPr>
        <w:numPr>
          <w:ilvl w:val="0"/>
          <w:numId w:val="50"/>
        </w:numPr>
      </w:pPr>
      <w:r w:rsidRPr="00290650">
        <w:t>#</w:t>
      </w:r>
      <w:r w:rsidR="00666D68" w:rsidRPr="000322E4">
        <w:t>Гемцитабин</w:t>
      </w:r>
      <w:r w:rsidR="00666D68" w:rsidRPr="000322E4">
        <w:rPr>
          <w:bCs/>
        </w:rPr>
        <w:t>**</w:t>
      </w:r>
      <w:r w:rsidR="00666D68" w:rsidRPr="000322E4">
        <w:t xml:space="preserve"> 1000 мг/м</w:t>
      </w:r>
      <w:r w:rsidR="00666D68" w:rsidRPr="000322E4">
        <w:rPr>
          <w:vertAlign w:val="superscript"/>
        </w:rPr>
        <w:t>2</w:t>
      </w:r>
      <w:r w:rsidR="00666D68" w:rsidRPr="000322E4">
        <w:t xml:space="preserve"> в/в кап., дни 1, 8 </w:t>
      </w:r>
    </w:p>
    <w:p w14:paraId="472E04C1" w14:textId="77777777" w:rsidR="00666D68" w:rsidRPr="000322E4" w:rsidRDefault="00666D68" w:rsidP="008E3584">
      <w:pPr>
        <w:numPr>
          <w:ilvl w:val="0"/>
          <w:numId w:val="50"/>
        </w:numPr>
      </w:pPr>
      <w:r w:rsidRPr="000322E4">
        <w:t>Дексаметазон</w:t>
      </w:r>
      <w:r w:rsidRPr="000322E4">
        <w:rPr>
          <w:bCs/>
        </w:rPr>
        <w:t>**</w:t>
      </w:r>
      <w:r w:rsidRPr="000322E4">
        <w:t xml:space="preserve"> 40 мг внутрь, дни 1-4</w:t>
      </w:r>
    </w:p>
    <w:p w14:paraId="4B793861" w14:textId="77777777" w:rsidR="00666D68" w:rsidRPr="000322E4" w:rsidRDefault="00666D68" w:rsidP="008E3584"/>
    <w:p w14:paraId="0474BA08" w14:textId="77777777" w:rsidR="00666D68" w:rsidRPr="000322E4" w:rsidRDefault="00666D68" w:rsidP="008E3584">
      <w:pPr>
        <w:rPr>
          <w:b/>
          <w:bCs/>
        </w:rPr>
      </w:pPr>
      <w:r w:rsidRPr="000322E4">
        <w:rPr>
          <w:b/>
          <w:bCs/>
          <w:lang w:val="en-US"/>
        </w:rPr>
        <w:t>GemOx</w:t>
      </w:r>
      <w:r w:rsidRPr="000322E4">
        <w:rPr>
          <w:b/>
          <w:bCs/>
        </w:rPr>
        <w:t xml:space="preserve"> </w:t>
      </w:r>
      <w:r w:rsidRPr="000322E4">
        <w:rPr>
          <w:lang w:val="en-US"/>
        </w:rPr>
        <w:fldChar w:fldCharType="begin" w:fldLock="1"/>
      </w:r>
      <w:r w:rsidR="00C37789" w:rsidRPr="000322E4">
        <w:rPr>
          <w:lang w:val="en-US"/>
        </w:rPr>
        <w:instrText>ADDIN</w:instrText>
      </w:r>
      <w:r w:rsidR="00C37789" w:rsidRPr="00593501">
        <w:instrText xml:space="preserve"> </w:instrText>
      </w:r>
      <w:r w:rsidR="00C37789" w:rsidRPr="000322E4">
        <w:rPr>
          <w:lang w:val="en-US"/>
        </w:rPr>
        <w:instrText>CSL</w:instrText>
      </w:r>
      <w:r w:rsidR="00C37789" w:rsidRPr="00593501">
        <w:instrText>_</w:instrText>
      </w:r>
      <w:r w:rsidR="00C37789" w:rsidRPr="000322E4">
        <w:rPr>
          <w:lang w:val="en-US"/>
        </w:rPr>
        <w:instrText>CITATION</w:instrText>
      </w:r>
      <w:r w:rsidR="00C37789" w:rsidRPr="00593501">
        <w:instrText xml:space="preserve"> {"</w:instrText>
      </w:r>
      <w:r w:rsidR="00C37789" w:rsidRPr="000322E4">
        <w:rPr>
          <w:lang w:val="en-US"/>
        </w:rPr>
        <w:instrText>citationItems</w:instrText>
      </w:r>
      <w:r w:rsidR="00C37789" w:rsidRPr="00593501">
        <w:instrText>":[{"</w:instrText>
      </w:r>
      <w:r w:rsidR="00C37789" w:rsidRPr="000322E4">
        <w:rPr>
          <w:lang w:val="en-US"/>
        </w:rPr>
        <w:instrText>id</w:instrText>
      </w:r>
      <w:r w:rsidR="00C37789" w:rsidRPr="00593501">
        <w:instrText>":"</w:instrText>
      </w:r>
      <w:r w:rsidR="00C37789" w:rsidRPr="000322E4">
        <w:rPr>
          <w:lang w:val="en-US"/>
        </w:rPr>
        <w:instrText>ITEM</w:instrText>
      </w:r>
      <w:r w:rsidR="00C37789" w:rsidRPr="00593501">
        <w:instrText>-1","</w:instrText>
      </w:r>
      <w:r w:rsidR="00C37789" w:rsidRPr="000322E4">
        <w:rPr>
          <w:lang w:val="en-US"/>
        </w:rPr>
        <w:instrText>itemData</w:instrText>
      </w:r>
      <w:r w:rsidR="00C37789" w:rsidRPr="00593501">
        <w:instrText>":{"</w:instrText>
      </w:r>
      <w:r w:rsidR="00C37789" w:rsidRPr="000322E4">
        <w:rPr>
          <w:lang w:val="en-US"/>
        </w:rPr>
        <w:instrText>DOI</w:instrText>
      </w:r>
      <w:r w:rsidR="00C37789" w:rsidRPr="00593501">
        <w:instrText>":"10.1007/</w:instrText>
      </w:r>
      <w:r w:rsidR="00C37789" w:rsidRPr="000322E4">
        <w:rPr>
          <w:lang w:val="en-US"/>
        </w:rPr>
        <w:instrText>s</w:instrText>
      </w:r>
      <w:r w:rsidR="00C37789" w:rsidRPr="00593501">
        <w:instrText>00280-009-0941-9","</w:instrText>
      </w:r>
      <w:r w:rsidR="00C37789" w:rsidRPr="000322E4">
        <w:rPr>
          <w:lang w:val="en-US"/>
        </w:rPr>
        <w:instrText>ISSN</w:instrText>
      </w:r>
      <w:r w:rsidR="00C37789" w:rsidRPr="00593501">
        <w:instrText>":"03445704","</w:instrText>
      </w:r>
      <w:r w:rsidR="00C37789" w:rsidRPr="000322E4">
        <w:rPr>
          <w:lang w:val="en-US"/>
        </w:rPr>
        <w:instrText>PMID</w:instrText>
      </w:r>
      <w:r w:rsidR="00C37789" w:rsidRPr="00593501">
        <w:instrText>":"19219604","</w:instrText>
      </w:r>
      <w:r w:rsidR="00C37789" w:rsidRPr="000322E4">
        <w:rPr>
          <w:lang w:val="en-US"/>
        </w:rPr>
        <w:instrText>abstract</w:instrText>
      </w:r>
      <w:r w:rsidR="00C37789" w:rsidRPr="00593501">
        <w:instrText>":"</w:instrText>
      </w:r>
      <w:r w:rsidR="00C37789" w:rsidRPr="000322E4">
        <w:rPr>
          <w:lang w:val="en-US"/>
        </w:rPr>
        <w:instrText>PURPOSE</w:instrText>
      </w:r>
      <w:r w:rsidR="00C37789" w:rsidRPr="00593501">
        <w:instrText xml:space="preserve"> </w:instrText>
      </w:r>
      <w:r w:rsidR="00C37789" w:rsidRPr="000322E4">
        <w:rPr>
          <w:lang w:val="en-US"/>
        </w:rPr>
        <w:instrText>To</w:instrText>
      </w:r>
      <w:r w:rsidR="00C37789" w:rsidRPr="00593501">
        <w:instrText xml:space="preserve"> </w:instrText>
      </w:r>
      <w:r w:rsidR="00C37789" w:rsidRPr="000322E4">
        <w:rPr>
          <w:lang w:val="en-US"/>
        </w:rPr>
        <w:instrText>determine</w:instrText>
      </w:r>
      <w:r w:rsidR="00C37789" w:rsidRPr="00593501">
        <w:instrText xml:space="preserve"> </w:instrText>
      </w:r>
      <w:r w:rsidR="00C37789" w:rsidRPr="000322E4">
        <w:rPr>
          <w:lang w:val="en-US"/>
        </w:rPr>
        <w:instrText>the</w:instrText>
      </w:r>
      <w:r w:rsidR="00C37789" w:rsidRPr="00593501">
        <w:instrText xml:space="preserve"> </w:instrText>
      </w:r>
      <w:r w:rsidR="00C37789" w:rsidRPr="000322E4">
        <w:rPr>
          <w:lang w:val="en-US"/>
        </w:rPr>
        <w:instrText>efficacy</w:instrText>
      </w:r>
      <w:r w:rsidR="00C37789" w:rsidRPr="00593501">
        <w:instrText xml:space="preserve"> </w:instrText>
      </w:r>
      <w:r w:rsidR="00C37789" w:rsidRPr="000322E4">
        <w:rPr>
          <w:lang w:val="en-US"/>
        </w:rPr>
        <w:instrText>and</w:instrText>
      </w:r>
      <w:r w:rsidR="00C37789" w:rsidRPr="00593501">
        <w:instrText xml:space="preserve"> </w:instrText>
      </w:r>
      <w:r w:rsidR="00C37789" w:rsidRPr="000322E4">
        <w:rPr>
          <w:lang w:val="en-US"/>
        </w:rPr>
        <w:instrText>safety</w:instrText>
      </w:r>
      <w:r w:rsidR="00C37789" w:rsidRPr="00593501">
        <w:instrText xml:space="preserve"> </w:instrText>
      </w:r>
      <w:r w:rsidR="00C37789" w:rsidRPr="000322E4">
        <w:rPr>
          <w:lang w:val="en-US"/>
        </w:rPr>
        <w:instrText>of</w:instrText>
      </w:r>
      <w:r w:rsidR="00C37789" w:rsidRPr="00593501">
        <w:instrText xml:space="preserve"> </w:instrText>
      </w:r>
      <w:r w:rsidR="00C37789" w:rsidRPr="000322E4">
        <w:rPr>
          <w:lang w:val="en-US"/>
        </w:rPr>
        <w:instrText>the</w:instrText>
      </w:r>
      <w:r w:rsidR="00C37789" w:rsidRPr="00593501">
        <w:instrText xml:space="preserve"> </w:instrText>
      </w:r>
      <w:r w:rsidR="00C37789" w:rsidRPr="000322E4">
        <w:rPr>
          <w:lang w:val="en-US"/>
        </w:rPr>
        <w:instrText>combination</w:instrText>
      </w:r>
      <w:r w:rsidR="00C37789" w:rsidRPr="00593501">
        <w:instrText xml:space="preserve"> </w:instrText>
      </w:r>
      <w:r w:rsidR="00C37789" w:rsidRPr="000322E4">
        <w:rPr>
          <w:lang w:val="en-US"/>
        </w:rPr>
        <w:instrText>of</w:instrText>
      </w:r>
      <w:r w:rsidR="00C37789" w:rsidRPr="00593501">
        <w:instrText xml:space="preserve"> </w:instrText>
      </w:r>
      <w:r w:rsidR="00C37789" w:rsidRPr="000322E4">
        <w:rPr>
          <w:lang w:val="en-US"/>
        </w:rPr>
        <w:instrText>gemcitabine</w:instrText>
      </w:r>
      <w:r w:rsidR="00C37789" w:rsidRPr="00593501">
        <w:instrText xml:space="preserve"> </w:instrText>
      </w:r>
      <w:r w:rsidR="00C37789" w:rsidRPr="000322E4">
        <w:rPr>
          <w:lang w:val="en-US"/>
        </w:rPr>
        <w:instrText>plus</w:instrText>
      </w:r>
      <w:r w:rsidR="00C37789" w:rsidRPr="00593501">
        <w:instrText xml:space="preserve"> </w:instrText>
      </w:r>
      <w:r w:rsidR="00C37789" w:rsidRPr="000322E4">
        <w:rPr>
          <w:lang w:val="en-US"/>
        </w:rPr>
        <w:instrText>oxaliplatin</w:instrText>
      </w:r>
      <w:r w:rsidR="00C37789" w:rsidRPr="00593501">
        <w:instrText xml:space="preserve">, </w:instrText>
      </w:r>
      <w:r w:rsidR="00C37789" w:rsidRPr="000322E4">
        <w:rPr>
          <w:lang w:val="en-US"/>
        </w:rPr>
        <w:instrText>with</w:instrText>
      </w:r>
      <w:r w:rsidR="00C37789" w:rsidRPr="00593501">
        <w:instrText xml:space="preserve"> </w:instrText>
      </w:r>
      <w:r w:rsidR="00C37789" w:rsidRPr="000322E4">
        <w:rPr>
          <w:lang w:val="en-US"/>
        </w:rPr>
        <w:instrText>and</w:instrText>
      </w:r>
      <w:r w:rsidR="00C37789" w:rsidRPr="00593501">
        <w:instrText xml:space="preserve"> </w:instrText>
      </w:r>
      <w:r w:rsidR="00C37789" w:rsidRPr="000322E4">
        <w:rPr>
          <w:lang w:val="en-US"/>
        </w:rPr>
        <w:instrText>without</w:instrText>
      </w:r>
      <w:r w:rsidR="00C37789" w:rsidRPr="00593501">
        <w:instrText xml:space="preserve"> </w:instrText>
      </w:r>
      <w:r w:rsidR="00C37789" w:rsidRPr="000322E4">
        <w:rPr>
          <w:lang w:val="en-US"/>
        </w:rPr>
        <w:instrText>rituximab</w:instrText>
      </w:r>
      <w:r w:rsidR="00C37789" w:rsidRPr="00593501">
        <w:instrText xml:space="preserve">, </w:instrText>
      </w:r>
      <w:r w:rsidR="00C37789" w:rsidRPr="000322E4">
        <w:rPr>
          <w:lang w:val="en-US"/>
        </w:rPr>
        <w:instrText>in</w:instrText>
      </w:r>
      <w:r w:rsidR="00C37789" w:rsidRPr="00593501">
        <w:instrText xml:space="preserve"> </w:instrText>
      </w:r>
      <w:r w:rsidR="00C37789" w:rsidRPr="000322E4">
        <w:rPr>
          <w:lang w:val="en-US"/>
        </w:rPr>
        <w:instrText>patients</w:instrText>
      </w:r>
      <w:r w:rsidR="00C37789" w:rsidRPr="00593501">
        <w:instrText xml:space="preserve"> </w:instrText>
      </w:r>
      <w:r w:rsidR="00C37789" w:rsidRPr="000322E4">
        <w:rPr>
          <w:lang w:val="en-US"/>
        </w:rPr>
        <w:instrText>with</w:instrText>
      </w:r>
      <w:r w:rsidR="00C37789" w:rsidRPr="00593501">
        <w:instrText xml:space="preserve"> </w:instrText>
      </w:r>
      <w:r w:rsidR="00C37789" w:rsidRPr="000322E4">
        <w:rPr>
          <w:lang w:val="en-US"/>
        </w:rPr>
        <w:instrText>relapsed</w:instrText>
      </w:r>
      <w:r w:rsidR="00C37789" w:rsidRPr="00593501">
        <w:instrText>/</w:instrText>
      </w:r>
      <w:r w:rsidR="00C37789" w:rsidRPr="000322E4">
        <w:rPr>
          <w:lang w:val="en-US"/>
        </w:rPr>
        <w:instrText>refractory</w:instrText>
      </w:r>
      <w:r w:rsidR="00C37789" w:rsidRPr="00593501">
        <w:instrText xml:space="preserve"> </w:instrText>
      </w:r>
      <w:r w:rsidR="00C37789" w:rsidRPr="000322E4">
        <w:rPr>
          <w:lang w:val="en-US"/>
        </w:rPr>
        <w:instrText>B</w:instrText>
      </w:r>
      <w:r w:rsidR="00C37789" w:rsidRPr="00593501">
        <w:instrText>-</w:instrText>
      </w:r>
      <w:r w:rsidR="00C37789" w:rsidRPr="000322E4">
        <w:rPr>
          <w:lang w:val="en-US"/>
        </w:rPr>
        <w:instrText>cell</w:instrText>
      </w:r>
      <w:r w:rsidR="00C37789" w:rsidRPr="00593501">
        <w:instrText xml:space="preserve"> </w:instrText>
      </w:r>
      <w:r w:rsidR="00C37789" w:rsidRPr="000322E4">
        <w:rPr>
          <w:lang w:val="en-US"/>
        </w:rPr>
        <w:instrText>lymphoma</w:instrText>
      </w:r>
      <w:r w:rsidR="00C37789" w:rsidRPr="00593501">
        <w:instrText xml:space="preserve"> </w:instrText>
      </w:r>
      <w:r w:rsidR="00C37789" w:rsidRPr="000322E4">
        <w:rPr>
          <w:lang w:val="en-US"/>
        </w:rPr>
        <w:instrText>unsuitable</w:instrText>
      </w:r>
      <w:r w:rsidR="00C37789" w:rsidRPr="00593501">
        <w:instrText xml:space="preserve"> </w:instrText>
      </w:r>
      <w:r w:rsidR="00C37789" w:rsidRPr="000322E4">
        <w:rPr>
          <w:lang w:val="en-US"/>
        </w:rPr>
        <w:instrText>for</w:instrText>
      </w:r>
      <w:r w:rsidR="00C37789" w:rsidRPr="00593501">
        <w:instrText xml:space="preserve"> </w:instrText>
      </w:r>
      <w:r w:rsidR="00C37789" w:rsidRPr="000322E4">
        <w:rPr>
          <w:lang w:val="en-US"/>
        </w:rPr>
        <w:instrText>high</w:instrText>
      </w:r>
      <w:r w:rsidR="00C37789" w:rsidRPr="00593501">
        <w:instrText xml:space="preserve"> </w:instrText>
      </w:r>
      <w:r w:rsidR="00C37789" w:rsidRPr="000322E4">
        <w:rPr>
          <w:lang w:val="en-US"/>
        </w:rPr>
        <w:instrText>dose</w:instrText>
      </w:r>
      <w:r w:rsidR="00C37789" w:rsidRPr="00593501">
        <w:instrText xml:space="preserve"> </w:instrText>
      </w:r>
      <w:r w:rsidR="00C37789" w:rsidRPr="000322E4">
        <w:rPr>
          <w:lang w:val="en-US"/>
        </w:rPr>
        <w:instrText>therapy</w:instrText>
      </w:r>
      <w:r w:rsidR="00C37789" w:rsidRPr="00593501">
        <w:instrText xml:space="preserve">. </w:instrText>
      </w:r>
      <w:r w:rsidR="00C37789" w:rsidRPr="000322E4">
        <w:rPr>
          <w:lang w:val="en-US"/>
        </w:rPr>
        <w:instrText>METHODS</w:instrText>
      </w:r>
      <w:r w:rsidR="00C37789" w:rsidRPr="00593501">
        <w:instrText xml:space="preserve"> </w:instrText>
      </w:r>
      <w:r w:rsidR="00C37789" w:rsidRPr="000322E4">
        <w:rPr>
          <w:lang w:val="en-US"/>
        </w:rPr>
        <w:instrText>Patients</w:instrText>
      </w:r>
      <w:r w:rsidR="00C37789" w:rsidRPr="00593501">
        <w:instrText xml:space="preserve"> </w:instrText>
      </w:r>
      <w:r w:rsidR="00C37789" w:rsidRPr="000322E4">
        <w:rPr>
          <w:lang w:val="en-US"/>
        </w:rPr>
        <w:instrText>were</w:instrText>
      </w:r>
      <w:r w:rsidR="00C37789" w:rsidRPr="00593501">
        <w:instrText xml:space="preserve"> </w:instrText>
      </w:r>
      <w:r w:rsidR="00C37789" w:rsidRPr="000322E4">
        <w:rPr>
          <w:lang w:val="en-US"/>
        </w:rPr>
        <w:instrText>prospectively</w:instrText>
      </w:r>
      <w:r w:rsidR="00C37789" w:rsidRPr="00593501">
        <w:instrText xml:space="preserve"> </w:instrText>
      </w:r>
      <w:r w:rsidR="00C37789" w:rsidRPr="000322E4">
        <w:rPr>
          <w:lang w:val="en-US"/>
        </w:rPr>
        <w:instrText>enrolled</w:instrText>
      </w:r>
      <w:r w:rsidR="00C37789" w:rsidRPr="00593501">
        <w:instrText xml:space="preserve"> </w:instrText>
      </w:r>
      <w:r w:rsidR="00C37789" w:rsidRPr="000322E4">
        <w:rPr>
          <w:lang w:val="en-US"/>
        </w:rPr>
        <w:instrText>in</w:instrText>
      </w:r>
      <w:r w:rsidR="00C37789" w:rsidRPr="00593501">
        <w:instrText xml:space="preserve"> </w:instrText>
      </w:r>
      <w:r w:rsidR="00C37789" w:rsidRPr="000322E4">
        <w:rPr>
          <w:lang w:val="en-US"/>
        </w:rPr>
        <w:instrText>two</w:instrText>
      </w:r>
      <w:r w:rsidR="00C37789" w:rsidRPr="00593501">
        <w:instrText xml:space="preserve"> </w:instrText>
      </w:r>
      <w:r w:rsidR="00C37789" w:rsidRPr="000322E4">
        <w:rPr>
          <w:lang w:val="en-US"/>
        </w:rPr>
        <w:instrText>subsequent</w:instrText>
      </w:r>
      <w:r w:rsidR="00C37789" w:rsidRPr="00593501">
        <w:instrText xml:space="preserve"> </w:instrText>
      </w:r>
      <w:r w:rsidR="00C37789" w:rsidRPr="000322E4">
        <w:rPr>
          <w:lang w:val="en-US"/>
        </w:rPr>
        <w:instrText>trials</w:instrText>
      </w:r>
      <w:r w:rsidR="00C37789" w:rsidRPr="00593501">
        <w:instrText xml:space="preserve">, </w:instrText>
      </w:r>
      <w:r w:rsidR="00C37789" w:rsidRPr="000322E4">
        <w:rPr>
          <w:lang w:val="en-US"/>
        </w:rPr>
        <w:instrText>GEMOX</w:instrText>
      </w:r>
      <w:r w:rsidR="00C37789" w:rsidRPr="00593501">
        <w:instrText xml:space="preserve"> [</w:instrText>
      </w:r>
      <w:r w:rsidR="00C37789" w:rsidRPr="000322E4">
        <w:rPr>
          <w:lang w:val="en-US"/>
        </w:rPr>
        <w:instrText>gemcitabine</w:instrText>
      </w:r>
      <w:r w:rsidR="00C37789" w:rsidRPr="00593501">
        <w:instrText xml:space="preserve"> (1200 </w:instrText>
      </w:r>
      <w:r w:rsidR="00C37789" w:rsidRPr="000322E4">
        <w:rPr>
          <w:lang w:val="en-US"/>
        </w:rPr>
        <w:instrText>mg</w:instrText>
      </w:r>
      <w:r w:rsidR="00C37789" w:rsidRPr="00593501">
        <w:instrText>/</w:instrText>
      </w:r>
      <w:r w:rsidR="00C37789" w:rsidRPr="000322E4">
        <w:rPr>
          <w:lang w:val="en-US"/>
        </w:rPr>
        <w:instrText>m</w:instrText>
      </w:r>
      <w:r w:rsidR="00C37789" w:rsidRPr="00593501">
        <w:instrText xml:space="preserve">(2), </w:instrText>
      </w:r>
      <w:r w:rsidR="00C37789" w:rsidRPr="000322E4">
        <w:rPr>
          <w:lang w:val="en-US"/>
        </w:rPr>
        <w:instrText>days</w:instrText>
      </w:r>
      <w:r w:rsidR="00C37789" w:rsidRPr="00593501">
        <w:instrText xml:space="preserve"> 1 </w:instrText>
      </w:r>
      <w:r w:rsidR="00C37789" w:rsidRPr="000322E4">
        <w:rPr>
          <w:lang w:val="en-US"/>
        </w:rPr>
        <w:instrText>and</w:instrText>
      </w:r>
      <w:r w:rsidR="00C37789" w:rsidRPr="00593501">
        <w:instrText xml:space="preserve"> 8) </w:instrText>
      </w:r>
      <w:r w:rsidR="00C37789" w:rsidRPr="000322E4">
        <w:rPr>
          <w:lang w:val="en-US"/>
        </w:rPr>
        <w:instrText>and</w:instrText>
      </w:r>
      <w:r w:rsidR="00C37789" w:rsidRPr="00593501">
        <w:instrText xml:space="preserve"> </w:instrText>
      </w:r>
      <w:r w:rsidR="00C37789" w:rsidRPr="000322E4">
        <w:rPr>
          <w:lang w:val="en-US"/>
        </w:rPr>
        <w:instrText>oxaliplatin</w:instrText>
      </w:r>
      <w:r w:rsidR="00C37789" w:rsidRPr="00593501">
        <w:instrText xml:space="preserve"> (120 </w:instrText>
      </w:r>
      <w:r w:rsidR="00C37789" w:rsidRPr="000322E4">
        <w:rPr>
          <w:lang w:val="en-US"/>
        </w:rPr>
        <w:instrText>mg</w:instrText>
      </w:r>
      <w:r w:rsidR="00C37789" w:rsidRPr="00593501">
        <w:instrText>/</w:instrText>
      </w:r>
      <w:r w:rsidR="00C37789" w:rsidRPr="000322E4">
        <w:rPr>
          <w:lang w:val="en-US"/>
        </w:rPr>
        <w:instrText>m</w:instrText>
      </w:r>
      <w:r w:rsidR="00C37789" w:rsidRPr="00593501">
        <w:instrText xml:space="preserve">(2), </w:instrText>
      </w:r>
      <w:r w:rsidR="00C37789" w:rsidRPr="000322E4">
        <w:rPr>
          <w:lang w:val="en-US"/>
        </w:rPr>
        <w:instrText>day</w:instrText>
      </w:r>
      <w:r w:rsidR="00C37789" w:rsidRPr="00593501">
        <w:instrText xml:space="preserve"> 2), </w:instrText>
      </w:r>
      <w:r w:rsidR="00C37789" w:rsidRPr="000322E4">
        <w:rPr>
          <w:lang w:val="en-US"/>
        </w:rPr>
        <w:instrText>three</w:instrText>
      </w:r>
      <w:r w:rsidR="00C37789" w:rsidRPr="00593501">
        <w:instrText>-</w:instrText>
      </w:r>
      <w:r w:rsidR="00C37789" w:rsidRPr="000322E4">
        <w:rPr>
          <w:lang w:val="en-US"/>
        </w:rPr>
        <w:instrText>weekly</w:instrText>
      </w:r>
      <w:r w:rsidR="00C37789" w:rsidRPr="00593501">
        <w:instrText xml:space="preserve">] </w:instrText>
      </w:r>
      <w:r w:rsidR="00C37789" w:rsidRPr="000322E4">
        <w:rPr>
          <w:lang w:val="en-US"/>
        </w:rPr>
        <w:instrText>and</w:instrText>
      </w:r>
      <w:r w:rsidR="00C37789" w:rsidRPr="00593501">
        <w:instrText xml:space="preserve"> </w:instrText>
      </w:r>
      <w:r w:rsidR="00C37789" w:rsidRPr="000322E4">
        <w:rPr>
          <w:lang w:val="en-US"/>
        </w:rPr>
        <w:instrText>R</w:instrText>
      </w:r>
      <w:r w:rsidR="00C37789" w:rsidRPr="00593501">
        <w:instrText>-</w:instrText>
      </w:r>
      <w:r w:rsidR="00C37789" w:rsidRPr="000322E4">
        <w:rPr>
          <w:lang w:val="en-US"/>
        </w:rPr>
        <w:instrText>GEMOX</w:instrText>
      </w:r>
      <w:r w:rsidR="00C37789" w:rsidRPr="00593501">
        <w:instrText xml:space="preserve"> [</w:instrText>
      </w:r>
      <w:r w:rsidR="00C37789" w:rsidRPr="000322E4">
        <w:rPr>
          <w:lang w:val="en-US"/>
        </w:rPr>
        <w:instrText>rituximab</w:instrText>
      </w:r>
      <w:r w:rsidR="00C37789" w:rsidRPr="00593501">
        <w:instrText xml:space="preserve"> (375 </w:instrText>
      </w:r>
      <w:r w:rsidR="00C37789" w:rsidRPr="000322E4">
        <w:rPr>
          <w:lang w:val="en-US"/>
        </w:rPr>
        <w:instrText>mg</w:instrText>
      </w:r>
      <w:r w:rsidR="00C37789" w:rsidRPr="00593501">
        <w:instrText>/</w:instrText>
      </w:r>
      <w:r w:rsidR="00C37789" w:rsidRPr="000322E4">
        <w:rPr>
          <w:lang w:val="en-US"/>
        </w:rPr>
        <w:instrText>m</w:instrText>
      </w:r>
      <w:r w:rsidR="00C37789" w:rsidRPr="00593501">
        <w:instrText xml:space="preserve">(2), </w:instrText>
      </w:r>
      <w:r w:rsidR="00C37789" w:rsidRPr="000322E4">
        <w:rPr>
          <w:lang w:val="en-US"/>
        </w:rPr>
        <w:instrText>day</w:instrText>
      </w:r>
      <w:r w:rsidR="00C37789" w:rsidRPr="00593501">
        <w:instrText xml:space="preserve"> 1), </w:instrText>
      </w:r>
      <w:r w:rsidR="00C37789" w:rsidRPr="000322E4">
        <w:rPr>
          <w:lang w:val="en-US"/>
        </w:rPr>
        <w:instrText>gemcitabine</w:instrText>
      </w:r>
      <w:r w:rsidR="00C37789" w:rsidRPr="00593501">
        <w:instrText xml:space="preserve"> (1200 </w:instrText>
      </w:r>
      <w:r w:rsidR="00C37789" w:rsidRPr="000322E4">
        <w:rPr>
          <w:lang w:val="en-US"/>
        </w:rPr>
        <w:instrText>mg</w:instrText>
      </w:r>
      <w:r w:rsidR="00C37789" w:rsidRPr="00593501">
        <w:instrText>/</w:instrText>
      </w:r>
      <w:r w:rsidR="00C37789" w:rsidRPr="000322E4">
        <w:rPr>
          <w:lang w:val="en-US"/>
        </w:rPr>
        <w:instrText>m</w:instrText>
      </w:r>
      <w:r w:rsidR="00C37789" w:rsidRPr="00593501">
        <w:instrText xml:space="preserve">(2), </w:instrText>
      </w:r>
      <w:r w:rsidR="00C37789" w:rsidRPr="000322E4">
        <w:rPr>
          <w:lang w:val="en-US"/>
        </w:rPr>
        <w:instrText>day</w:instrText>
      </w:r>
      <w:r w:rsidR="00C37789" w:rsidRPr="00593501">
        <w:instrText xml:space="preserve"> 1) </w:instrText>
      </w:r>
      <w:r w:rsidR="00C37789" w:rsidRPr="000322E4">
        <w:rPr>
          <w:lang w:val="en-US"/>
        </w:rPr>
        <w:instrText>and</w:instrText>
      </w:r>
      <w:r w:rsidR="00C37789" w:rsidRPr="00593501">
        <w:instrText xml:space="preserve"> </w:instrText>
      </w:r>
      <w:r w:rsidR="00C37789" w:rsidRPr="000322E4">
        <w:rPr>
          <w:lang w:val="en-US"/>
        </w:rPr>
        <w:instrText>oxaliplatin</w:instrText>
      </w:r>
      <w:r w:rsidR="00C37789" w:rsidRPr="00593501">
        <w:instrText xml:space="preserve"> (120 </w:instrText>
      </w:r>
      <w:r w:rsidR="00C37789" w:rsidRPr="000322E4">
        <w:rPr>
          <w:lang w:val="en-US"/>
        </w:rPr>
        <w:instrText>mg</w:instrText>
      </w:r>
      <w:r w:rsidR="00C37789" w:rsidRPr="00593501">
        <w:instrText>/</w:instrText>
      </w:r>
      <w:r w:rsidR="00C37789" w:rsidRPr="000322E4">
        <w:rPr>
          <w:lang w:val="en-US"/>
        </w:rPr>
        <w:instrText>m</w:instrText>
      </w:r>
      <w:r w:rsidR="00C37789" w:rsidRPr="00593501">
        <w:instrText xml:space="preserve">(2), </w:instrText>
      </w:r>
      <w:r w:rsidR="00C37789" w:rsidRPr="000322E4">
        <w:rPr>
          <w:lang w:val="en-US"/>
        </w:rPr>
        <w:instrText>day</w:instrText>
      </w:r>
      <w:r w:rsidR="00C37789" w:rsidRPr="00593501">
        <w:instrText xml:space="preserve"> 2), </w:instrText>
      </w:r>
      <w:r w:rsidR="00C37789" w:rsidRPr="000322E4">
        <w:rPr>
          <w:lang w:val="en-US"/>
        </w:rPr>
        <w:instrText>bi</w:instrText>
      </w:r>
      <w:r w:rsidR="00C37789" w:rsidRPr="00593501">
        <w:instrText>-</w:instrText>
      </w:r>
      <w:r w:rsidR="00C37789" w:rsidRPr="000322E4">
        <w:rPr>
          <w:lang w:val="en-US"/>
        </w:rPr>
        <w:instrText>weekly</w:instrText>
      </w:r>
      <w:r w:rsidR="00C37789" w:rsidRPr="00593501">
        <w:instrText xml:space="preserve">], </w:instrText>
      </w:r>
      <w:r w:rsidR="00C37789" w:rsidRPr="000322E4">
        <w:rPr>
          <w:lang w:val="en-US"/>
        </w:rPr>
        <w:instrText>up</w:instrText>
      </w:r>
      <w:r w:rsidR="00C37789" w:rsidRPr="00593501">
        <w:instrText xml:space="preserve"> </w:instrText>
      </w:r>
      <w:r w:rsidR="00C37789" w:rsidRPr="000322E4">
        <w:rPr>
          <w:lang w:val="en-US"/>
        </w:rPr>
        <w:instrText>to</w:instrText>
      </w:r>
      <w:r w:rsidR="00C37789" w:rsidRPr="00593501">
        <w:instrText xml:space="preserve"> </w:instrText>
      </w:r>
      <w:r w:rsidR="00C37789" w:rsidRPr="000322E4">
        <w:rPr>
          <w:lang w:val="en-US"/>
        </w:rPr>
        <w:instrText>six</w:instrText>
      </w:r>
      <w:r w:rsidR="00C37789" w:rsidRPr="00593501">
        <w:instrText xml:space="preserve"> </w:instrText>
      </w:r>
      <w:r w:rsidR="00C37789" w:rsidRPr="000322E4">
        <w:rPr>
          <w:lang w:val="en-US"/>
        </w:rPr>
        <w:instrText>courses</w:instrText>
      </w:r>
      <w:r w:rsidR="00C37789" w:rsidRPr="00593501">
        <w:instrText xml:space="preserve">. </w:instrText>
      </w:r>
      <w:r w:rsidR="00C37789" w:rsidRPr="000322E4">
        <w:rPr>
          <w:lang w:val="en-US"/>
        </w:rPr>
        <w:instrText>RESULTS</w:instrText>
      </w:r>
      <w:r w:rsidR="00C37789" w:rsidRPr="00593501">
        <w:instrText xml:space="preserve"> </w:instrText>
      </w:r>
      <w:r w:rsidR="00C37789" w:rsidRPr="000322E4">
        <w:rPr>
          <w:lang w:val="en-US"/>
        </w:rPr>
        <w:instrText>Sixty</w:instrText>
      </w:r>
      <w:r w:rsidR="00C37789" w:rsidRPr="00593501">
        <w:instrText>-</w:instrText>
      </w:r>
      <w:r w:rsidR="00C37789" w:rsidRPr="000322E4">
        <w:rPr>
          <w:lang w:val="en-US"/>
        </w:rPr>
        <w:instrText>two</w:instrText>
      </w:r>
      <w:r w:rsidR="00C37789" w:rsidRPr="00593501">
        <w:instrText xml:space="preserve"> </w:instrText>
      </w:r>
      <w:r w:rsidR="00C37789" w:rsidRPr="000322E4">
        <w:rPr>
          <w:lang w:val="en-US"/>
        </w:rPr>
        <w:instrText>patients</w:instrText>
      </w:r>
      <w:r w:rsidR="00C37789" w:rsidRPr="00593501">
        <w:instrText xml:space="preserve"> </w:instrText>
      </w:r>
      <w:r w:rsidR="00C37789" w:rsidRPr="000322E4">
        <w:rPr>
          <w:lang w:val="en-US"/>
        </w:rPr>
        <w:instrText>were</w:instrText>
      </w:r>
      <w:r w:rsidR="00C37789" w:rsidRPr="00593501">
        <w:instrText xml:space="preserve"> </w:instrText>
      </w:r>
      <w:r w:rsidR="00C37789" w:rsidRPr="000322E4">
        <w:rPr>
          <w:lang w:val="en-US"/>
        </w:rPr>
        <w:instrText>enrolled</w:instrText>
      </w:r>
      <w:r w:rsidR="00C37789" w:rsidRPr="00593501">
        <w:instrText xml:space="preserve">: </w:instrText>
      </w:r>
      <w:r w:rsidR="00C37789" w:rsidRPr="000322E4">
        <w:rPr>
          <w:lang w:val="en-US"/>
        </w:rPr>
        <w:instrText>GEMOX</w:instrText>
      </w:r>
      <w:r w:rsidR="00C37789" w:rsidRPr="00593501">
        <w:instrText xml:space="preserve"> [</w:instrText>
      </w:r>
      <w:r w:rsidR="00C37789" w:rsidRPr="000322E4">
        <w:rPr>
          <w:lang w:val="en-US"/>
        </w:rPr>
        <w:instrText>n</w:instrText>
      </w:r>
      <w:r w:rsidR="00C37789" w:rsidRPr="00593501">
        <w:instrText xml:space="preserve"> = 30; </w:instrText>
      </w:r>
      <w:r w:rsidR="00C37789" w:rsidRPr="000322E4">
        <w:rPr>
          <w:lang w:val="en-US"/>
        </w:rPr>
        <w:instrText>median</w:instrText>
      </w:r>
      <w:r w:rsidR="00C37789" w:rsidRPr="00593501">
        <w:instrText xml:space="preserve"> </w:instrText>
      </w:r>
      <w:r w:rsidR="00C37789" w:rsidRPr="000322E4">
        <w:rPr>
          <w:lang w:val="en-US"/>
        </w:rPr>
        <w:instrText>age</w:instrText>
      </w:r>
      <w:r w:rsidR="00C37789" w:rsidRPr="00593501">
        <w:instrText xml:space="preserve">, 66 </w:instrText>
      </w:r>
      <w:r w:rsidR="00C37789" w:rsidRPr="000322E4">
        <w:rPr>
          <w:lang w:val="en-US"/>
        </w:rPr>
        <w:instrText>years</w:instrText>
      </w:r>
      <w:r w:rsidR="00C37789" w:rsidRPr="00593501">
        <w:instrText xml:space="preserve"> (</w:instrText>
      </w:r>
      <w:r w:rsidR="00C37789" w:rsidRPr="000322E4">
        <w:rPr>
          <w:lang w:val="en-US"/>
        </w:rPr>
        <w:instrText>range</w:instrText>
      </w:r>
      <w:r w:rsidR="00C37789" w:rsidRPr="00593501">
        <w:instrText xml:space="preserve">, 46-85); </w:instrText>
      </w:r>
      <w:r w:rsidR="00C37789" w:rsidRPr="000322E4">
        <w:rPr>
          <w:lang w:val="en-US"/>
        </w:rPr>
        <w:instrText>previous</w:instrText>
      </w:r>
      <w:r w:rsidR="00C37789" w:rsidRPr="00593501">
        <w:instrText xml:space="preserve"> </w:instrText>
      </w:r>
      <w:r w:rsidR="00C37789" w:rsidRPr="000322E4">
        <w:rPr>
          <w:lang w:val="en-US"/>
        </w:rPr>
        <w:instrText>chemotherapy</w:instrText>
      </w:r>
      <w:r w:rsidR="00C37789" w:rsidRPr="00593501">
        <w:instrText xml:space="preserve"> &gt; </w:instrText>
      </w:r>
      <w:r w:rsidR="00C37789" w:rsidRPr="000322E4">
        <w:rPr>
          <w:lang w:val="en-US"/>
        </w:rPr>
        <w:instrText>or</w:instrText>
      </w:r>
      <w:r w:rsidR="00C37789" w:rsidRPr="00593501">
        <w:instrText xml:space="preserve"> =2, 70%; </w:instrText>
      </w:r>
      <w:r w:rsidR="00C37789" w:rsidRPr="000322E4">
        <w:rPr>
          <w:lang w:val="en-US"/>
        </w:rPr>
        <w:instrText>PS</w:instrText>
      </w:r>
      <w:r w:rsidR="00C37789" w:rsidRPr="00593501">
        <w:instrText xml:space="preserve"> </w:instrText>
      </w:r>
      <w:r w:rsidR="00C37789" w:rsidRPr="000322E4">
        <w:rPr>
          <w:lang w:val="en-US"/>
        </w:rPr>
        <w:instrText>ECOG</w:instrText>
      </w:r>
      <w:r w:rsidR="00C37789" w:rsidRPr="00593501">
        <w:instrText xml:space="preserve"> &gt; </w:instrText>
      </w:r>
      <w:r w:rsidR="00C37789" w:rsidRPr="000322E4">
        <w:rPr>
          <w:lang w:val="en-US"/>
        </w:rPr>
        <w:instrText>or</w:instrText>
      </w:r>
      <w:r w:rsidR="00C37789" w:rsidRPr="00593501">
        <w:instrText xml:space="preserve"> = 2, 57%]; </w:instrText>
      </w:r>
      <w:r w:rsidR="00C37789" w:rsidRPr="000322E4">
        <w:rPr>
          <w:lang w:val="en-US"/>
        </w:rPr>
        <w:instrText>R</w:instrText>
      </w:r>
      <w:r w:rsidR="00C37789" w:rsidRPr="00593501">
        <w:instrText>-</w:instrText>
      </w:r>
      <w:r w:rsidR="00C37789" w:rsidRPr="000322E4">
        <w:rPr>
          <w:lang w:val="en-US"/>
        </w:rPr>
        <w:instrText>GEMOX</w:instrText>
      </w:r>
      <w:r w:rsidR="00C37789" w:rsidRPr="00593501">
        <w:instrText xml:space="preserve"> [</w:instrText>
      </w:r>
      <w:r w:rsidR="00C37789" w:rsidRPr="000322E4">
        <w:rPr>
          <w:lang w:val="en-US"/>
        </w:rPr>
        <w:instrText>n</w:instrText>
      </w:r>
      <w:r w:rsidR="00C37789" w:rsidRPr="00593501">
        <w:instrText xml:space="preserve"> = 32; </w:instrText>
      </w:r>
      <w:r w:rsidR="00C37789" w:rsidRPr="000322E4">
        <w:rPr>
          <w:lang w:val="en-US"/>
        </w:rPr>
        <w:instrText>median</w:instrText>
      </w:r>
      <w:r w:rsidR="00C37789" w:rsidRPr="00593501">
        <w:instrText xml:space="preserve"> </w:instrText>
      </w:r>
      <w:r w:rsidR="00C37789" w:rsidRPr="000322E4">
        <w:rPr>
          <w:lang w:val="en-US"/>
        </w:rPr>
        <w:instrText>age</w:instrText>
      </w:r>
      <w:r w:rsidR="00C37789" w:rsidRPr="00593501">
        <w:instrText xml:space="preserve">, 65 </w:instrText>
      </w:r>
      <w:r w:rsidR="00C37789" w:rsidRPr="000322E4">
        <w:rPr>
          <w:lang w:val="en-US"/>
        </w:rPr>
        <w:instrText>years</w:instrText>
      </w:r>
      <w:r w:rsidR="00C37789" w:rsidRPr="00593501">
        <w:instrText xml:space="preserve"> (</w:instrText>
      </w:r>
      <w:r w:rsidR="00C37789" w:rsidRPr="000322E4">
        <w:rPr>
          <w:lang w:val="en-US"/>
        </w:rPr>
        <w:instrText>range</w:instrText>
      </w:r>
      <w:r w:rsidR="00C37789" w:rsidRPr="00593501">
        <w:instrText xml:space="preserve"> 32-79); </w:instrText>
      </w:r>
      <w:r w:rsidR="00C37789" w:rsidRPr="000322E4">
        <w:rPr>
          <w:lang w:val="en-US"/>
        </w:rPr>
        <w:instrText>previous</w:instrText>
      </w:r>
      <w:r w:rsidR="00C37789" w:rsidRPr="00593501">
        <w:instrText xml:space="preserve"> </w:instrText>
      </w:r>
      <w:r w:rsidR="00C37789" w:rsidRPr="000322E4">
        <w:rPr>
          <w:lang w:val="en-US"/>
        </w:rPr>
        <w:instrText>chemotherapy</w:instrText>
      </w:r>
      <w:r w:rsidR="00C37789" w:rsidRPr="00593501">
        <w:instrText xml:space="preserve"> &gt; </w:instrText>
      </w:r>
      <w:r w:rsidR="00C37789" w:rsidRPr="000322E4">
        <w:rPr>
          <w:lang w:val="en-US"/>
        </w:rPr>
        <w:instrText>or</w:instrText>
      </w:r>
      <w:r w:rsidR="00C37789" w:rsidRPr="00593501">
        <w:instrText xml:space="preserve"> =2, 75%; </w:instrText>
      </w:r>
      <w:r w:rsidR="00C37789" w:rsidRPr="000322E4">
        <w:rPr>
          <w:lang w:val="en-US"/>
        </w:rPr>
        <w:instrText>PS</w:instrText>
      </w:r>
      <w:r w:rsidR="00C37789" w:rsidRPr="00593501">
        <w:instrText xml:space="preserve"> </w:instrText>
      </w:r>
      <w:r w:rsidR="00C37789" w:rsidRPr="000322E4">
        <w:rPr>
          <w:lang w:val="en-US"/>
        </w:rPr>
        <w:instrText>ECOG</w:instrText>
      </w:r>
      <w:r w:rsidR="00C37789" w:rsidRPr="00593501">
        <w:instrText xml:space="preserve"> &gt; </w:instrText>
      </w:r>
      <w:r w:rsidR="00C37789" w:rsidRPr="000322E4">
        <w:rPr>
          <w:lang w:val="en-US"/>
        </w:rPr>
        <w:instrText>or</w:instrText>
      </w:r>
      <w:r w:rsidR="00C37789" w:rsidRPr="00593501">
        <w:instrText xml:space="preserve"> = 2, 47%]. </w:instrText>
      </w:r>
      <w:r w:rsidR="00C37789" w:rsidRPr="000322E4">
        <w:rPr>
          <w:lang w:val="en-US"/>
        </w:rPr>
        <w:instrText>Overall</w:instrText>
      </w:r>
      <w:r w:rsidR="00C37789" w:rsidRPr="00593501">
        <w:instrText xml:space="preserve"> </w:instrText>
      </w:r>
      <w:r w:rsidR="00C37789" w:rsidRPr="000322E4">
        <w:rPr>
          <w:lang w:val="en-US"/>
        </w:rPr>
        <w:instrText>and</w:instrText>
      </w:r>
      <w:r w:rsidR="00C37789" w:rsidRPr="00593501">
        <w:instrText xml:space="preserve"> </w:instrText>
      </w:r>
      <w:r w:rsidR="00C37789" w:rsidRPr="000322E4">
        <w:rPr>
          <w:lang w:val="en-US"/>
        </w:rPr>
        <w:instrText>complete</w:instrText>
      </w:r>
      <w:r w:rsidR="00C37789" w:rsidRPr="00593501">
        <w:instrText xml:space="preserve"> </w:instrText>
      </w:r>
      <w:r w:rsidR="00C37789" w:rsidRPr="000322E4">
        <w:rPr>
          <w:lang w:val="en-US"/>
        </w:rPr>
        <w:instrText>response</w:instrText>
      </w:r>
      <w:r w:rsidR="00C37789" w:rsidRPr="00593501">
        <w:instrText xml:space="preserve"> </w:instrText>
      </w:r>
      <w:r w:rsidR="00C37789" w:rsidRPr="000322E4">
        <w:rPr>
          <w:lang w:val="en-US"/>
        </w:rPr>
        <w:instrText>rates</w:instrText>
      </w:r>
      <w:r w:rsidR="00C37789" w:rsidRPr="00593501">
        <w:instrText xml:space="preserve"> </w:instrText>
      </w:r>
      <w:r w:rsidR="00C37789" w:rsidRPr="000322E4">
        <w:rPr>
          <w:lang w:val="en-US"/>
        </w:rPr>
        <w:instrText>were</w:instrText>
      </w:r>
      <w:r w:rsidR="00C37789" w:rsidRPr="00593501">
        <w:instrText xml:space="preserve"> 57 </w:instrText>
      </w:r>
      <w:r w:rsidR="00C37789" w:rsidRPr="000322E4">
        <w:rPr>
          <w:lang w:val="en-US"/>
        </w:rPr>
        <w:instrText>and</w:instrText>
      </w:r>
      <w:r w:rsidR="00C37789" w:rsidRPr="00593501">
        <w:instrText xml:space="preserve"> 30% (95% </w:instrText>
      </w:r>
      <w:r w:rsidR="00C37789" w:rsidRPr="000322E4">
        <w:rPr>
          <w:lang w:val="en-US"/>
        </w:rPr>
        <w:instrText>CI</w:instrText>
      </w:r>
      <w:r w:rsidR="00C37789" w:rsidRPr="00593501">
        <w:instrText xml:space="preserve">, 15-49) </w:instrText>
      </w:r>
      <w:r w:rsidR="00C37789" w:rsidRPr="000322E4">
        <w:rPr>
          <w:lang w:val="en-US"/>
        </w:rPr>
        <w:instrText>for</w:instrText>
      </w:r>
      <w:r w:rsidR="00C37789" w:rsidRPr="00593501">
        <w:instrText xml:space="preserve"> </w:instrText>
      </w:r>
      <w:r w:rsidR="00C37789" w:rsidRPr="000322E4">
        <w:rPr>
          <w:lang w:val="en-US"/>
        </w:rPr>
        <w:instrText>GEMOX</w:instrText>
      </w:r>
      <w:r w:rsidR="00C37789" w:rsidRPr="00593501">
        <w:instrText xml:space="preserve"> </w:instrText>
      </w:r>
      <w:r w:rsidR="00C37789" w:rsidRPr="000322E4">
        <w:rPr>
          <w:lang w:val="en-US"/>
        </w:rPr>
        <w:instrText>and</w:instrText>
      </w:r>
      <w:r w:rsidR="00C37789" w:rsidRPr="00593501">
        <w:instrText xml:space="preserve"> 78 </w:instrText>
      </w:r>
      <w:r w:rsidR="00C37789" w:rsidRPr="000322E4">
        <w:rPr>
          <w:lang w:val="en-US"/>
        </w:rPr>
        <w:instrText>and</w:instrText>
      </w:r>
      <w:r w:rsidR="00C37789" w:rsidRPr="00593501">
        <w:instrText xml:space="preserve"> 50% (95% </w:instrText>
      </w:r>
      <w:r w:rsidR="00C37789" w:rsidRPr="000322E4">
        <w:rPr>
          <w:lang w:val="en-US"/>
        </w:rPr>
        <w:instrText>CI</w:instrText>
      </w:r>
      <w:r w:rsidR="00C37789" w:rsidRPr="00593501">
        <w:instrText xml:space="preserve">, 32-68) </w:instrText>
      </w:r>
      <w:r w:rsidR="00C37789" w:rsidRPr="000322E4">
        <w:rPr>
          <w:lang w:val="en-US"/>
        </w:rPr>
        <w:instrText>in</w:instrText>
      </w:r>
      <w:r w:rsidR="00C37789" w:rsidRPr="00593501">
        <w:instrText xml:space="preserve"> </w:instrText>
      </w:r>
      <w:r w:rsidR="00C37789" w:rsidRPr="000322E4">
        <w:rPr>
          <w:lang w:val="en-US"/>
        </w:rPr>
        <w:instrText>R</w:instrText>
      </w:r>
      <w:r w:rsidR="00C37789" w:rsidRPr="00593501">
        <w:instrText>-</w:instrText>
      </w:r>
      <w:r w:rsidR="00C37789" w:rsidRPr="000322E4">
        <w:rPr>
          <w:lang w:val="en-US"/>
        </w:rPr>
        <w:instrText>GEMOX</w:instrText>
      </w:r>
      <w:r w:rsidR="00C37789" w:rsidRPr="00593501">
        <w:instrText xml:space="preserve">, </w:instrText>
      </w:r>
      <w:r w:rsidR="00C37789" w:rsidRPr="000322E4">
        <w:rPr>
          <w:lang w:val="en-US"/>
        </w:rPr>
        <w:instrText>respectively</w:instrText>
      </w:r>
      <w:r w:rsidR="00C37789" w:rsidRPr="00593501">
        <w:instrText xml:space="preserve">. </w:instrText>
      </w:r>
      <w:r w:rsidR="00C37789" w:rsidRPr="000322E4">
        <w:rPr>
          <w:lang w:val="en-US"/>
        </w:rPr>
        <w:instrText>Grade</w:instrText>
      </w:r>
      <w:r w:rsidR="00C37789" w:rsidRPr="00593501">
        <w:instrText xml:space="preserve"> 3/4 </w:instrText>
      </w:r>
      <w:r w:rsidR="00C37789" w:rsidRPr="000322E4">
        <w:rPr>
          <w:lang w:val="en-US"/>
        </w:rPr>
        <w:instrText>neutropenia</w:instrText>
      </w:r>
      <w:r w:rsidR="00C37789" w:rsidRPr="00593501">
        <w:instrText xml:space="preserve"> </w:instrText>
      </w:r>
      <w:r w:rsidR="00C37789" w:rsidRPr="000322E4">
        <w:rPr>
          <w:lang w:val="en-US"/>
        </w:rPr>
        <w:instrText>occurred</w:instrText>
      </w:r>
      <w:r w:rsidR="00C37789" w:rsidRPr="00593501">
        <w:instrText xml:space="preserve"> </w:instrText>
      </w:r>
      <w:r w:rsidR="00C37789" w:rsidRPr="000322E4">
        <w:rPr>
          <w:lang w:val="en-US"/>
        </w:rPr>
        <w:instrText>in</w:instrText>
      </w:r>
      <w:r w:rsidR="00C37789" w:rsidRPr="00593501">
        <w:instrText xml:space="preserve"> 57 </w:instrText>
      </w:r>
      <w:r w:rsidR="00C37789" w:rsidRPr="000322E4">
        <w:rPr>
          <w:lang w:val="en-US"/>
        </w:rPr>
        <w:instrText>and</w:instrText>
      </w:r>
      <w:r w:rsidR="00C37789" w:rsidRPr="00593501">
        <w:instrText xml:space="preserve"> 47% </w:instrText>
      </w:r>
      <w:r w:rsidR="00C37789" w:rsidRPr="000322E4">
        <w:rPr>
          <w:lang w:val="en-US"/>
        </w:rPr>
        <w:instrText>of</w:instrText>
      </w:r>
      <w:r w:rsidR="00C37789" w:rsidRPr="00593501">
        <w:instrText xml:space="preserve"> </w:instrText>
      </w:r>
      <w:r w:rsidR="00C37789" w:rsidRPr="000322E4">
        <w:rPr>
          <w:lang w:val="en-US"/>
        </w:rPr>
        <w:instrText>cycles</w:instrText>
      </w:r>
      <w:r w:rsidR="00C37789" w:rsidRPr="00593501">
        <w:instrText xml:space="preserve"> </w:instrText>
      </w:r>
      <w:r w:rsidR="00C37789" w:rsidRPr="000322E4">
        <w:rPr>
          <w:lang w:val="en-US"/>
        </w:rPr>
        <w:instrText>and</w:instrText>
      </w:r>
      <w:r w:rsidR="00C37789" w:rsidRPr="00593501">
        <w:instrText xml:space="preserve"> </w:instrText>
      </w:r>
      <w:r w:rsidR="00C37789" w:rsidRPr="000322E4">
        <w:rPr>
          <w:lang w:val="en-US"/>
        </w:rPr>
        <w:instrText>grade</w:instrText>
      </w:r>
      <w:r w:rsidR="00C37789" w:rsidRPr="00593501">
        <w:instrText xml:space="preserve"> 3/4 </w:instrText>
      </w:r>
      <w:r w:rsidR="00C37789" w:rsidRPr="000322E4">
        <w:rPr>
          <w:lang w:val="en-US"/>
        </w:rPr>
        <w:instrText>thrombocytopenia</w:instrText>
      </w:r>
      <w:r w:rsidR="00C37789" w:rsidRPr="00593501">
        <w:instrText xml:space="preserve"> </w:instrText>
      </w:r>
      <w:r w:rsidR="00C37789" w:rsidRPr="000322E4">
        <w:rPr>
          <w:lang w:val="en-US"/>
        </w:rPr>
        <w:instrText>in</w:instrText>
      </w:r>
      <w:r w:rsidR="00C37789" w:rsidRPr="00593501">
        <w:instrText xml:space="preserve"> 26 </w:instrText>
      </w:r>
      <w:r w:rsidR="00C37789" w:rsidRPr="000322E4">
        <w:rPr>
          <w:lang w:val="en-US"/>
        </w:rPr>
        <w:instrText>and</w:instrText>
      </w:r>
      <w:r w:rsidR="00C37789" w:rsidRPr="00593501">
        <w:instrText xml:space="preserve"> 17% </w:instrText>
      </w:r>
      <w:r w:rsidR="00C37789" w:rsidRPr="000322E4">
        <w:rPr>
          <w:lang w:val="en-US"/>
        </w:rPr>
        <w:instrText>of</w:instrText>
      </w:r>
      <w:r w:rsidR="00C37789" w:rsidRPr="00593501">
        <w:instrText xml:space="preserve"> </w:instrText>
      </w:r>
      <w:r w:rsidR="00C37789" w:rsidRPr="000322E4">
        <w:rPr>
          <w:lang w:val="en-US"/>
        </w:rPr>
        <w:instrText>courses</w:instrText>
      </w:r>
      <w:r w:rsidR="00C37789" w:rsidRPr="00593501">
        <w:instrText xml:space="preserve"> </w:instrText>
      </w:r>
      <w:r w:rsidR="00C37789" w:rsidRPr="000322E4">
        <w:rPr>
          <w:lang w:val="en-US"/>
        </w:rPr>
        <w:instrText>for</w:instrText>
      </w:r>
      <w:r w:rsidR="00C37789" w:rsidRPr="00593501">
        <w:instrText xml:space="preserve"> </w:instrText>
      </w:r>
      <w:r w:rsidR="00C37789" w:rsidRPr="000322E4">
        <w:rPr>
          <w:lang w:val="en-US"/>
        </w:rPr>
        <w:instrText>GEMOX</w:instrText>
      </w:r>
      <w:r w:rsidR="00C37789" w:rsidRPr="00593501">
        <w:instrText xml:space="preserve"> </w:instrText>
      </w:r>
      <w:r w:rsidR="00C37789" w:rsidRPr="000322E4">
        <w:rPr>
          <w:lang w:val="en-US"/>
        </w:rPr>
        <w:instrText>and</w:instrText>
      </w:r>
      <w:r w:rsidR="00C37789" w:rsidRPr="00593501">
        <w:instrText xml:space="preserve"> </w:instrText>
      </w:r>
      <w:r w:rsidR="00C37789" w:rsidRPr="000322E4">
        <w:rPr>
          <w:lang w:val="en-US"/>
        </w:rPr>
        <w:instrText>R</w:instrText>
      </w:r>
      <w:r w:rsidR="00C37789" w:rsidRPr="00593501">
        <w:instrText>-</w:instrText>
      </w:r>
      <w:r w:rsidR="00C37789" w:rsidRPr="000322E4">
        <w:rPr>
          <w:lang w:val="en-US"/>
        </w:rPr>
        <w:instrText>GEMOX</w:instrText>
      </w:r>
      <w:r w:rsidR="00C37789" w:rsidRPr="00593501">
        <w:instrText xml:space="preserve">, </w:instrText>
      </w:r>
      <w:r w:rsidR="00C37789" w:rsidRPr="000322E4">
        <w:rPr>
          <w:lang w:val="en-US"/>
        </w:rPr>
        <w:instrText>respectively</w:instrText>
      </w:r>
      <w:r w:rsidR="00C37789" w:rsidRPr="00593501">
        <w:instrText xml:space="preserve">. </w:instrText>
      </w:r>
      <w:r w:rsidR="00C37789" w:rsidRPr="000322E4">
        <w:rPr>
          <w:lang w:val="en-US"/>
        </w:rPr>
        <w:instrText>At</w:instrText>
      </w:r>
      <w:r w:rsidR="00C37789" w:rsidRPr="00593501">
        <w:instrText xml:space="preserve"> 42 </w:instrText>
      </w:r>
      <w:r w:rsidR="00C37789" w:rsidRPr="000322E4">
        <w:rPr>
          <w:lang w:val="en-US"/>
        </w:rPr>
        <w:instrText>months</w:instrText>
      </w:r>
      <w:r w:rsidR="00C37789" w:rsidRPr="00593501">
        <w:instrText xml:space="preserve">, </w:instrText>
      </w:r>
      <w:r w:rsidR="00C37789" w:rsidRPr="000322E4">
        <w:rPr>
          <w:lang w:val="en-US"/>
        </w:rPr>
        <w:instrText>the</w:instrText>
      </w:r>
      <w:r w:rsidR="00C37789" w:rsidRPr="00593501">
        <w:instrText xml:space="preserve"> </w:instrText>
      </w:r>
      <w:r w:rsidR="00C37789" w:rsidRPr="000322E4">
        <w:rPr>
          <w:lang w:val="en-US"/>
        </w:rPr>
        <w:instrText>failure</w:instrText>
      </w:r>
      <w:r w:rsidR="00C37789" w:rsidRPr="00593501">
        <w:instrText>-</w:instrText>
      </w:r>
      <w:r w:rsidR="00C37789" w:rsidRPr="000322E4">
        <w:rPr>
          <w:lang w:val="en-US"/>
        </w:rPr>
        <w:instrText>free</w:instrText>
      </w:r>
      <w:r w:rsidR="00C37789" w:rsidRPr="00593501">
        <w:instrText xml:space="preserve"> </w:instrText>
      </w:r>
      <w:r w:rsidR="00C37789" w:rsidRPr="000322E4">
        <w:rPr>
          <w:lang w:val="en-US"/>
        </w:rPr>
        <w:instrText>survival</w:instrText>
      </w:r>
      <w:r w:rsidR="00C37789" w:rsidRPr="00593501">
        <w:instrText xml:space="preserve"> (</w:instrText>
      </w:r>
      <w:r w:rsidR="00C37789" w:rsidRPr="000322E4">
        <w:rPr>
          <w:lang w:val="en-US"/>
        </w:rPr>
        <w:instrText>FFS</w:instrText>
      </w:r>
      <w:r w:rsidR="00C37789" w:rsidRPr="00593501">
        <w:instrText xml:space="preserve">) </w:instrText>
      </w:r>
      <w:r w:rsidR="00C37789" w:rsidRPr="000322E4">
        <w:rPr>
          <w:lang w:val="en-US"/>
        </w:rPr>
        <w:instrText>was</w:instrText>
      </w:r>
      <w:r w:rsidR="00C37789" w:rsidRPr="00593501">
        <w:instrText xml:space="preserve"> 7% (95% </w:instrText>
      </w:r>
      <w:r w:rsidR="00C37789" w:rsidRPr="000322E4">
        <w:rPr>
          <w:lang w:val="en-US"/>
        </w:rPr>
        <w:instrText>CI</w:instrText>
      </w:r>
      <w:r w:rsidR="00C37789" w:rsidRPr="00593501">
        <w:instrText xml:space="preserve">, 0-16) </w:instrText>
      </w:r>
      <w:r w:rsidR="00C37789" w:rsidRPr="000322E4">
        <w:rPr>
          <w:lang w:val="en-US"/>
        </w:rPr>
        <w:instrText>for</w:instrText>
      </w:r>
      <w:r w:rsidR="00C37789" w:rsidRPr="00593501">
        <w:instrText xml:space="preserve"> </w:instrText>
      </w:r>
      <w:r w:rsidR="00C37789" w:rsidRPr="000322E4">
        <w:rPr>
          <w:lang w:val="en-US"/>
        </w:rPr>
        <w:instrText>GEMOX</w:instrText>
      </w:r>
      <w:r w:rsidR="00C37789" w:rsidRPr="00593501">
        <w:instrText xml:space="preserve"> </w:instrText>
      </w:r>
      <w:r w:rsidR="00C37789" w:rsidRPr="000322E4">
        <w:rPr>
          <w:lang w:val="en-US"/>
        </w:rPr>
        <w:instrText>and</w:instrText>
      </w:r>
      <w:r w:rsidR="00C37789" w:rsidRPr="00593501">
        <w:instrText xml:space="preserve"> 28% (95% </w:instrText>
      </w:r>
      <w:r w:rsidR="00C37789" w:rsidRPr="000322E4">
        <w:rPr>
          <w:lang w:val="en-US"/>
        </w:rPr>
        <w:instrText>CI</w:instrText>
      </w:r>
      <w:r w:rsidR="00C37789" w:rsidRPr="00593501">
        <w:instrText xml:space="preserve">, 9-47) </w:instrText>
      </w:r>
      <w:r w:rsidR="00C37789" w:rsidRPr="000322E4">
        <w:rPr>
          <w:lang w:val="en-US"/>
        </w:rPr>
        <w:instrText>for</w:instrText>
      </w:r>
      <w:r w:rsidR="00C37789" w:rsidRPr="00593501">
        <w:instrText xml:space="preserve"> </w:instrText>
      </w:r>
      <w:r w:rsidR="00C37789" w:rsidRPr="000322E4">
        <w:rPr>
          <w:lang w:val="en-US"/>
        </w:rPr>
        <w:instrText>R</w:instrText>
      </w:r>
      <w:r w:rsidR="00C37789" w:rsidRPr="00593501">
        <w:instrText>-</w:instrText>
      </w:r>
      <w:r w:rsidR="00C37789" w:rsidRPr="000322E4">
        <w:rPr>
          <w:lang w:val="en-US"/>
        </w:rPr>
        <w:instrText>GEMOX</w:instrText>
      </w:r>
      <w:r w:rsidR="00C37789" w:rsidRPr="00593501">
        <w:instrText xml:space="preserve"> (</w:instrText>
      </w:r>
      <w:r w:rsidR="00C37789" w:rsidRPr="000322E4">
        <w:rPr>
          <w:lang w:val="en-US"/>
        </w:rPr>
        <w:instrText>P</w:instrText>
      </w:r>
      <w:r w:rsidR="00C37789" w:rsidRPr="00593501">
        <w:instrText xml:space="preserve"> = 0.014), </w:instrText>
      </w:r>
      <w:r w:rsidR="00C37789" w:rsidRPr="000322E4">
        <w:rPr>
          <w:lang w:val="en-US"/>
        </w:rPr>
        <w:instrText>with</w:instrText>
      </w:r>
      <w:r w:rsidR="00C37789" w:rsidRPr="00593501">
        <w:instrText xml:space="preserve"> </w:instrText>
      </w:r>
      <w:r w:rsidR="00C37789" w:rsidRPr="000322E4">
        <w:rPr>
          <w:lang w:val="en-US"/>
        </w:rPr>
        <w:instrText>overall survivals of 7 (95% CI, 0-16) and 37% (95% CI, 20-55), respectively (P = 0.016). CONCLUSIONS Both regimes showed good tolerability and appealing response rates. FFS was more prolonged in R-GEMOX, but patients continuously relapsed without a clear plateau on survival curves.","author":[{"dropping-particle":"","family":"Corazzelli","given":"Gaetano","non-dropping-particle":"","parse-names":false,"suffix":""},{"dropping-particle":"","family":"Capobianco","given":"Gaetana","non-dropping-particle":"","parse-names":false,"suffix":""},{"dropping-particle":"","family":"Arcamone","given":"Manuela","non-dropping-particle":"","parse-names":false,"suffix":""},{"dropping-particle":"","family":"Ballerini","given":"Pier Ferruccio","non-dropping-particle":"","parse-names":false,"suffix":""},{"dropping-particle":"","family":"Iannitto","given":"Emilio","non-dropping-particle":"","parse-names":false,"suffix":""},{"dropping-particle":"","family":"Russo","given":"Filippo","non-dropping-particle":"","parse-names":false,"suffix":""},{"dropping-particle":"","family":"Frigeri","given":"Ferdinando","non-dropping-particle":"","parse-names":false,"suffix":""},{"dropping-particle":"","family":"Becchimanzi","given":"Cristina","non-dropping-particle":"","parse-names":false,"suffix":""},{"dropping-particle":"","family":"Marcacci","given":"Gianpaolo","non-dropping-particle":"","parse-names":false,"suffix":""},{"dropping-particle":"","family":"Chiara","given":"Annarosaria","non-dropping-particle":"De","parse-names":false,"suffix":""},{"dropping-particle":"","family":"Pinto","given":"Antonio","non-dropping-particle":"","parse-names":false,"suffix":""}],"container-title":"Cancer chemotherapy and pharmacology","id":"ITEM-1","issue":"5","issued":{"date-parts":[["2009","10"]]},"page":"907-16","title":"Long-term results of gemcitabine plus oxaliplatin with and without rituximab as salvage treatment for transplant-ineligible patients with refractory/relapsing B-cell lymphoma.","type":"article-journal","volume":"64"},"uris":["http://www.mendeley.com/documents/?uuid=94d56952-9f06-4fc1-a65e-4bfb5f2841d6"]},{"id":"ITEM-2","itemData":{"DOI":"10.3324/haematol.2013.090597","ISSN":"03906078","abstract":"A previous pilot study with rituximab, gemcitabine and oxaliplatin showed promising activity in patients with refractory/relapsed B-cell lymphoma. We, therefore, conducted a phase II study to determine whether these results could be reproduced in a multi-institutional setting. This phase II study included 49 patients with refractory (n=6) or relapsing (n=43) diffuse large B-cell lymphoma. The median age of the patients was 69 years. Prior treatment included rituximab in 31 (63%) and autologous transplantation in 17 (35%) patients. International Prognostic Index at enrollment was &gt;2 in 34 patients (71%). The primary endpoint was overall response rate after four cycles of treatment. Patients were planned to receive eight cycles if they reached at least partial remission after four cycles. After four cycles 21 patients (44%) were in complete remission and 8 (17%) in partial remission, resulting in an overall response rate of 61%. Factors significantly affecting overall response rate were early (&lt;1 year) progression/relapse (18% versus 54%; P=0.001) and prior exposure to rituximab (23% versus 65%; P=0.004). Five-year progression-free and overall survival rates were 12.8% and 13.9%, respectively. Rituximab, gemcitabine and oxaliplatin were well tolerated with grade 3-4 infectious episodes in 22% of the cycles. These results are the first confirmation from a multicenter study that rituximab, gemcitabine and oxaliplatin provide a consistent response rate in patients with refractory/relapsed diffuse large B-cell lymphoma. This therapy can now be considered as a platform for new combinations with targeted treatments. This trial was registered at clinicaltrial.gov under #NCT00169195. © 2013 Ferrata Storti Foundation.","author":[{"dropping-particle":"","family":"Mounier","given":"Nicolas","non-dropping-particle":"","parse-names":false,"suffix":""},{"dropping-particle":"","family":"Gnaoui","given":"Taoufik","non-dropping-particle":"El","parse-names":false,"suffix":""},{"dropping-particle":"","family":"Tilly","given":"Hervé","non-dropping-particle":"","parse-names":false,"suffix":""},{"dropping-particle":"","family":"Canioni","given":"Danièle","non-dropping-particle":"","parse-names":false,"suffix":""},{"dropping-particle":"","family":"Sebban","given":"Catherine","non-dropping-particle":"","parse-names":false,"suffix":""},{"dropping-particle":"","family":"Casasnovas","given":"René Olivier","non-dropping-particle":"","parse-names":false,"suffix":""},{"dropping-particle":"","family":"Delarue","given":"Richard","non-dropping-particle":"","parse-names":false,"suffix":""},{"dropping-particle":"","family":"Sonet","given":"Anne","non-dropping-particle":"","parse-names":false,"suffix":""},{"dropping-particle":"","family":"Beaussart","given":"Pauline","non-dropping-particle":"","parse-names":false,"suffix":""},{"dropping-particle":"","family":"Petrella","given"</w:instrText>
      </w:r>
      <w:r w:rsidR="00C37789" w:rsidRPr="000322E4">
        <w:instrText>:"</w:instrText>
      </w:r>
      <w:r w:rsidR="00C37789" w:rsidRPr="000322E4">
        <w:rPr>
          <w:lang w:val="en-US"/>
        </w:rPr>
        <w:instrText>Tony</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Castaigne</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Sylvie</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Bologna</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Serge</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Salles</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Gilles</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Rahmouni</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Alain</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Gaulard</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Philippe</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Haioun</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Corinne</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container</w:instrText>
      </w:r>
      <w:r w:rsidR="00C37789" w:rsidRPr="000322E4">
        <w:instrText>-</w:instrText>
      </w:r>
      <w:r w:rsidR="00C37789" w:rsidRPr="000322E4">
        <w:rPr>
          <w:lang w:val="en-US"/>
        </w:rPr>
        <w:instrText>title</w:instrText>
      </w:r>
      <w:r w:rsidR="00C37789" w:rsidRPr="000322E4">
        <w:instrText>":"</w:instrText>
      </w:r>
      <w:r w:rsidR="00C37789" w:rsidRPr="000322E4">
        <w:rPr>
          <w:lang w:val="en-US"/>
        </w:rPr>
        <w:instrText>Haematologica</w:instrText>
      </w:r>
      <w:r w:rsidR="00C37789" w:rsidRPr="000322E4">
        <w:instrText>","</w:instrText>
      </w:r>
      <w:r w:rsidR="00C37789" w:rsidRPr="000322E4">
        <w:rPr>
          <w:lang w:val="en-US"/>
        </w:rPr>
        <w:instrText>id</w:instrText>
      </w:r>
      <w:r w:rsidR="00C37789" w:rsidRPr="000322E4">
        <w:instrText>":"</w:instrText>
      </w:r>
      <w:r w:rsidR="00C37789" w:rsidRPr="000322E4">
        <w:rPr>
          <w:lang w:val="en-US"/>
        </w:rPr>
        <w:instrText>ITEM</w:instrText>
      </w:r>
      <w:r w:rsidR="00C37789" w:rsidRPr="000322E4">
        <w:instrText>-2","</w:instrText>
      </w:r>
      <w:r w:rsidR="00C37789" w:rsidRPr="000322E4">
        <w:rPr>
          <w:lang w:val="en-US"/>
        </w:rPr>
        <w:instrText>issue</w:instrText>
      </w:r>
      <w:r w:rsidR="00C37789" w:rsidRPr="000322E4">
        <w:instrText>":"11","</w:instrText>
      </w:r>
      <w:r w:rsidR="00C37789" w:rsidRPr="000322E4">
        <w:rPr>
          <w:lang w:val="en-US"/>
        </w:rPr>
        <w:instrText>issued</w:instrText>
      </w:r>
      <w:r w:rsidR="00C37789" w:rsidRPr="000322E4">
        <w:instrText>":{"</w:instrText>
      </w:r>
      <w:r w:rsidR="00C37789" w:rsidRPr="000322E4">
        <w:rPr>
          <w:lang w:val="en-US"/>
        </w:rPr>
        <w:instrText>date</w:instrText>
      </w:r>
      <w:r w:rsidR="00C37789" w:rsidRPr="000322E4">
        <w:instrText>-</w:instrText>
      </w:r>
      <w:r w:rsidR="00C37789" w:rsidRPr="000322E4">
        <w:rPr>
          <w:lang w:val="en-US"/>
        </w:rPr>
        <w:instrText>parts</w:instrText>
      </w:r>
      <w:r w:rsidR="00C37789" w:rsidRPr="000322E4">
        <w:instrText>":[["2013","11","1"]]},"</w:instrText>
      </w:r>
      <w:r w:rsidR="00C37789" w:rsidRPr="000322E4">
        <w:rPr>
          <w:lang w:val="en-US"/>
        </w:rPr>
        <w:instrText>page</w:instrText>
      </w:r>
      <w:r w:rsidR="00C37789" w:rsidRPr="000322E4">
        <w:instrText>":"1726-1731","</w:instrText>
      </w:r>
      <w:r w:rsidR="00C37789" w:rsidRPr="000322E4">
        <w:rPr>
          <w:lang w:val="en-US"/>
        </w:rPr>
        <w:instrText>title</w:instrText>
      </w:r>
      <w:r w:rsidR="00C37789" w:rsidRPr="000322E4">
        <w:instrText>":"</w:instrText>
      </w:r>
      <w:r w:rsidR="00C37789" w:rsidRPr="000322E4">
        <w:rPr>
          <w:lang w:val="en-US"/>
        </w:rPr>
        <w:instrText>Rituximab</w:instrText>
      </w:r>
      <w:r w:rsidR="00C37789" w:rsidRPr="000322E4">
        <w:instrText xml:space="preserve"> </w:instrText>
      </w:r>
      <w:r w:rsidR="00C37789" w:rsidRPr="000322E4">
        <w:rPr>
          <w:lang w:val="en-US"/>
        </w:rPr>
        <w:instrText>plus</w:instrText>
      </w:r>
      <w:r w:rsidR="00C37789" w:rsidRPr="000322E4">
        <w:instrText xml:space="preserve"> </w:instrText>
      </w:r>
      <w:r w:rsidR="00C37789" w:rsidRPr="000322E4">
        <w:rPr>
          <w:lang w:val="en-US"/>
        </w:rPr>
        <w:instrText>gemcitabine</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oxaliplatin</w:instrText>
      </w:r>
      <w:r w:rsidR="00C37789" w:rsidRPr="000322E4">
        <w:instrText xml:space="preserve"> </w:instrText>
      </w:r>
      <w:r w:rsidR="00C37789" w:rsidRPr="000322E4">
        <w:rPr>
          <w:lang w:val="en-US"/>
        </w:rPr>
        <w:instrText>in</w:instrText>
      </w:r>
      <w:r w:rsidR="00C37789" w:rsidRPr="000322E4">
        <w:instrText xml:space="preserve"> </w:instrText>
      </w:r>
      <w:r w:rsidR="00C37789" w:rsidRPr="000322E4">
        <w:rPr>
          <w:lang w:val="en-US"/>
        </w:rPr>
        <w:instrText>patients</w:instrText>
      </w:r>
      <w:r w:rsidR="00C37789" w:rsidRPr="000322E4">
        <w:instrText xml:space="preserve"> </w:instrText>
      </w:r>
      <w:r w:rsidR="00C37789" w:rsidRPr="000322E4">
        <w:rPr>
          <w:lang w:val="en-US"/>
        </w:rPr>
        <w:instrText>with</w:instrText>
      </w:r>
      <w:r w:rsidR="00C37789" w:rsidRPr="000322E4">
        <w:instrText xml:space="preserve"> </w:instrText>
      </w:r>
      <w:r w:rsidR="00C37789" w:rsidRPr="000322E4">
        <w:rPr>
          <w:lang w:val="en-US"/>
        </w:rPr>
        <w:instrText>refractory</w:instrText>
      </w:r>
      <w:r w:rsidR="00C37789" w:rsidRPr="000322E4">
        <w:instrText>/</w:instrText>
      </w:r>
      <w:r w:rsidR="00C37789" w:rsidRPr="000322E4">
        <w:rPr>
          <w:lang w:val="en-US"/>
        </w:rPr>
        <w:instrText>relapsed</w:instrText>
      </w:r>
      <w:r w:rsidR="00C37789" w:rsidRPr="000322E4">
        <w:instrText xml:space="preserve"> </w:instrText>
      </w:r>
      <w:r w:rsidR="00C37789" w:rsidRPr="000322E4">
        <w:rPr>
          <w:lang w:val="en-US"/>
        </w:rPr>
        <w:instrText>diffuse</w:instrText>
      </w:r>
      <w:r w:rsidR="00C37789" w:rsidRPr="000322E4">
        <w:instrText xml:space="preserve"> </w:instrText>
      </w:r>
      <w:r w:rsidR="00C37789" w:rsidRPr="000322E4">
        <w:rPr>
          <w:lang w:val="en-US"/>
        </w:rPr>
        <w:instrText>large</w:instrText>
      </w:r>
      <w:r w:rsidR="00C37789" w:rsidRPr="000322E4">
        <w:instrText xml:space="preserve"> </w:instrText>
      </w:r>
      <w:r w:rsidR="00C37789" w:rsidRPr="000322E4">
        <w:rPr>
          <w:lang w:val="en-US"/>
        </w:rPr>
        <w:instrText>B</w:instrText>
      </w:r>
      <w:r w:rsidR="00C37789" w:rsidRPr="000322E4">
        <w:instrText>-</w:instrText>
      </w:r>
      <w:r w:rsidR="00C37789" w:rsidRPr="000322E4">
        <w:rPr>
          <w:lang w:val="en-US"/>
        </w:rPr>
        <w:instrText>cell</w:instrText>
      </w:r>
      <w:r w:rsidR="00C37789" w:rsidRPr="000322E4">
        <w:instrText xml:space="preserve"> </w:instrText>
      </w:r>
      <w:r w:rsidR="00C37789" w:rsidRPr="000322E4">
        <w:rPr>
          <w:lang w:val="en-US"/>
        </w:rPr>
        <w:instrText>lymphoma</w:instrText>
      </w:r>
      <w:r w:rsidR="00C37789" w:rsidRPr="000322E4">
        <w:instrText xml:space="preserve"> </w:instrText>
      </w:r>
      <w:r w:rsidR="00C37789" w:rsidRPr="000322E4">
        <w:rPr>
          <w:lang w:val="en-US"/>
        </w:rPr>
        <w:instrText>who</w:instrText>
      </w:r>
      <w:r w:rsidR="00C37789" w:rsidRPr="000322E4">
        <w:instrText xml:space="preserve"> </w:instrText>
      </w:r>
      <w:r w:rsidR="00C37789" w:rsidRPr="000322E4">
        <w:rPr>
          <w:lang w:val="en-US"/>
        </w:rPr>
        <w:instrText>are</w:instrText>
      </w:r>
      <w:r w:rsidR="00C37789" w:rsidRPr="000322E4">
        <w:instrText xml:space="preserve"> </w:instrText>
      </w:r>
      <w:r w:rsidR="00C37789" w:rsidRPr="000322E4">
        <w:rPr>
          <w:lang w:val="en-US"/>
        </w:rPr>
        <w:instrText>not</w:instrText>
      </w:r>
      <w:r w:rsidR="00C37789" w:rsidRPr="000322E4">
        <w:instrText xml:space="preserve"> </w:instrText>
      </w:r>
      <w:r w:rsidR="00C37789" w:rsidRPr="000322E4">
        <w:rPr>
          <w:lang w:val="en-US"/>
        </w:rPr>
        <w:instrText>candidates</w:instrText>
      </w:r>
      <w:r w:rsidR="00C37789" w:rsidRPr="000322E4">
        <w:instrText xml:space="preserve"> </w:instrText>
      </w:r>
      <w:r w:rsidR="00C37789" w:rsidRPr="000322E4">
        <w:rPr>
          <w:lang w:val="en-US"/>
        </w:rPr>
        <w:instrText>for</w:instrText>
      </w:r>
      <w:r w:rsidR="00C37789" w:rsidRPr="000322E4">
        <w:instrText xml:space="preserve"> </w:instrText>
      </w:r>
      <w:r w:rsidR="00C37789" w:rsidRPr="000322E4">
        <w:rPr>
          <w:lang w:val="en-US"/>
        </w:rPr>
        <w:instrText>high</w:instrText>
      </w:r>
      <w:r w:rsidR="00C37789" w:rsidRPr="000322E4">
        <w:instrText>-</w:instrText>
      </w:r>
      <w:r w:rsidR="00C37789" w:rsidRPr="000322E4">
        <w:rPr>
          <w:lang w:val="en-US"/>
        </w:rPr>
        <w:instrText>dose</w:instrText>
      </w:r>
      <w:r w:rsidR="00C37789" w:rsidRPr="000322E4">
        <w:instrText xml:space="preserve"> </w:instrText>
      </w:r>
      <w:r w:rsidR="00C37789" w:rsidRPr="000322E4">
        <w:rPr>
          <w:lang w:val="en-US"/>
        </w:rPr>
        <w:instrText>therapy</w:instrText>
      </w:r>
      <w:r w:rsidR="00C37789" w:rsidRPr="000322E4">
        <w:instrText xml:space="preserve">. </w:instrText>
      </w:r>
      <w:r w:rsidR="00C37789" w:rsidRPr="000322E4">
        <w:rPr>
          <w:lang w:val="en-US"/>
        </w:rPr>
        <w:instrText>A</w:instrText>
      </w:r>
      <w:r w:rsidR="00C37789" w:rsidRPr="000322E4">
        <w:instrText xml:space="preserve"> </w:instrText>
      </w:r>
      <w:r w:rsidR="00C37789" w:rsidRPr="000322E4">
        <w:rPr>
          <w:lang w:val="en-US"/>
        </w:rPr>
        <w:instrText>phase</w:instrText>
      </w:r>
      <w:r w:rsidR="00C37789" w:rsidRPr="000322E4">
        <w:instrText xml:space="preserve"> </w:instrText>
      </w:r>
      <w:r w:rsidR="00C37789" w:rsidRPr="000322E4">
        <w:rPr>
          <w:lang w:val="en-US"/>
        </w:rPr>
        <w:instrText>II</w:instrText>
      </w:r>
      <w:r w:rsidR="00C37789" w:rsidRPr="000322E4">
        <w:instrText xml:space="preserve"> </w:instrText>
      </w:r>
      <w:r w:rsidR="00C37789" w:rsidRPr="000322E4">
        <w:rPr>
          <w:lang w:val="en-US"/>
        </w:rPr>
        <w:instrText>lymphoma</w:instrText>
      </w:r>
      <w:r w:rsidR="00C37789" w:rsidRPr="000322E4">
        <w:instrText xml:space="preserve"> </w:instrText>
      </w:r>
      <w:r w:rsidR="00C37789" w:rsidRPr="000322E4">
        <w:rPr>
          <w:lang w:val="en-US"/>
        </w:rPr>
        <w:instrText>study</w:instrText>
      </w:r>
      <w:r w:rsidR="00C37789" w:rsidRPr="000322E4">
        <w:instrText xml:space="preserve"> </w:instrText>
      </w:r>
      <w:r w:rsidR="00C37789" w:rsidRPr="000322E4">
        <w:rPr>
          <w:lang w:val="en-US"/>
        </w:rPr>
        <w:instrText>Association</w:instrText>
      </w:r>
      <w:r w:rsidR="00C37789" w:rsidRPr="000322E4">
        <w:instrText xml:space="preserve"> </w:instrText>
      </w:r>
      <w:r w:rsidR="00C37789" w:rsidRPr="000322E4">
        <w:rPr>
          <w:lang w:val="en-US"/>
        </w:rPr>
        <w:instrText>trial</w:instrText>
      </w:r>
      <w:r w:rsidR="00C37789" w:rsidRPr="000322E4">
        <w:instrText>","</w:instrText>
      </w:r>
      <w:r w:rsidR="00C37789" w:rsidRPr="000322E4">
        <w:rPr>
          <w:lang w:val="en-US"/>
        </w:rPr>
        <w:instrText>type</w:instrText>
      </w:r>
      <w:r w:rsidR="00C37789" w:rsidRPr="000322E4">
        <w:instrText>":"</w:instrText>
      </w:r>
      <w:r w:rsidR="00C37789" w:rsidRPr="000322E4">
        <w:rPr>
          <w:lang w:val="en-US"/>
        </w:rPr>
        <w:instrText>article</w:instrText>
      </w:r>
      <w:r w:rsidR="00C37789" w:rsidRPr="000322E4">
        <w:instrText>-</w:instrText>
      </w:r>
      <w:r w:rsidR="00C37789" w:rsidRPr="000322E4">
        <w:rPr>
          <w:lang w:val="en-US"/>
        </w:rPr>
        <w:instrText>journal</w:instrText>
      </w:r>
      <w:r w:rsidR="00C37789" w:rsidRPr="000322E4">
        <w:instrText>","</w:instrText>
      </w:r>
      <w:r w:rsidR="00C37789" w:rsidRPr="000322E4">
        <w:rPr>
          <w:lang w:val="en-US"/>
        </w:rPr>
        <w:instrText>volume</w:instrText>
      </w:r>
      <w:r w:rsidR="00C37789" w:rsidRPr="000322E4">
        <w:instrText>":"98"},"</w:instrText>
      </w:r>
      <w:r w:rsidR="00C37789" w:rsidRPr="000322E4">
        <w:rPr>
          <w:lang w:val="en-US"/>
        </w:rPr>
        <w:instrText>uris</w:instrText>
      </w:r>
      <w:r w:rsidR="00C37789" w:rsidRPr="000322E4">
        <w:instrText>":["</w:instrText>
      </w:r>
      <w:r w:rsidR="00C37789" w:rsidRPr="000322E4">
        <w:rPr>
          <w:lang w:val="en-US"/>
        </w:rPr>
        <w:instrText>http</w:instrText>
      </w:r>
      <w:r w:rsidR="00C37789" w:rsidRPr="000322E4">
        <w:instrText>://</w:instrText>
      </w:r>
      <w:r w:rsidR="00C37789" w:rsidRPr="000322E4">
        <w:rPr>
          <w:lang w:val="en-US"/>
        </w:rPr>
        <w:instrText>www</w:instrText>
      </w:r>
      <w:r w:rsidR="00C37789" w:rsidRPr="000322E4">
        <w:instrText>.</w:instrText>
      </w:r>
      <w:r w:rsidR="00C37789" w:rsidRPr="000322E4">
        <w:rPr>
          <w:lang w:val="en-US"/>
        </w:rPr>
        <w:instrText>mendeley</w:instrText>
      </w:r>
      <w:r w:rsidR="00C37789" w:rsidRPr="000322E4">
        <w:instrText>.</w:instrText>
      </w:r>
      <w:r w:rsidR="00C37789" w:rsidRPr="000322E4">
        <w:rPr>
          <w:lang w:val="en-US"/>
        </w:rPr>
        <w:instrText>com</w:instrText>
      </w:r>
      <w:r w:rsidR="00C37789" w:rsidRPr="000322E4">
        <w:instrText>/</w:instrText>
      </w:r>
      <w:r w:rsidR="00C37789" w:rsidRPr="000322E4">
        <w:rPr>
          <w:lang w:val="en-US"/>
        </w:rPr>
        <w:instrText>documents</w:instrText>
      </w:r>
      <w:r w:rsidR="00C37789" w:rsidRPr="000322E4">
        <w:instrText>/?</w:instrText>
      </w:r>
      <w:r w:rsidR="00C37789" w:rsidRPr="000322E4">
        <w:rPr>
          <w:lang w:val="en-US"/>
        </w:rPr>
        <w:instrText>uuid</w:instrText>
      </w:r>
      <w:r w:rsidR="00C37789" w:rsidRPr="000322E4">
        <w:instrText>=9</w:instrText>
      </w:r>
      <w:r w:rsidR="00C37789" w:rsidRPr="000322E4">
        <w:rPr>
          <w:lang w:val="en-US"/>
        </w:rPr>
        <w:instrText>f</w:instrText>
      </w:r>
      <w:r w:rsidR="00C37789" w:rsidRPr="000322E4">
        <w:instrText>883</w:instrText>
      </w:r>
      <w:r w:rsidR="00C37789" w:rsidRPr="000322E4">
        <w:rPr>
          <w:lang w:val="en-US"/>
        </w:rPr>
        <w:instrText>ea</w:instrText>
      </w:r>
      <w:r w:rsidR="00C37789" w:rsidRPr="000322E4">
        <w:instrText>0-57</w:instrText>
      </w:r>
      <w:r w:rsidR="00C37789" w:rsidRPr="000322E4">
        <w:rPr>
          <w:lang w:val="en-US"/>
        </w:rPr>
        <w:instrText>fe</w:instrText>
      </w:r>
      <w:r w:rsidR="00C37789" w:rsidRPr="000322E4">
        <w:instrText>-3731-</w:instrText>
      </w:r>
      <w:r w:rsidR="00C37789" w:rsidRPr="000322E4">
        <w:rPr>
          <w:lang w:val="en-US"/>
        </w:rPr>
        <w:instrText>ab</w:instrText>
      </w:r>
      <w:r w:rsidR="00C37789" w:rsidRPr="000322E4">
        <w:instrText>2</w:instrText>
      </w:r>
      <w:r w:rsidR="00C37789" w:rsidRPr="000322E4">
        <w:rPr>
          <w:lang w:val="en-US"/>
        </w:rPr>
        <w:instrText>d</w:instrText>
      </w:r>
      <w:r w:rsidR="00C37789" w:rsidRPr="000322E4">
        <w:instrText>-2</w:instrText>
      </w:r>
      <w:r w:rsidR="00C37789" w:rsidRPr="000322E4">
        <w:rPr>
          <w:lang w:val="en-US"/>
        </w:rPr>
        <w:instrText>c</w:instrText>
      </w:r>
      <w:r w:rsidR="00C37789" w:rsidRPr="000322E4">
        <w:instrText>5</w:instrText>
      </w:r>
      <w:r w:rsidR="00C37789" w:rsidRPr="000322E4">
        <w:rPr>
          <w:lang w:val="en-US"/>
        </w:rPr>
        <w:instrText>d</w:instrText>
      </w:r>
      <w:r w:rsidR="00C37789" w:rsidRPr="000322E4">
        <w:instrText>5446927</w:instrText>
      </w:r>
      <w:r w:rsidR="00C37789" w:rsidRPr="000322E4">
        <w:rPr>
          <w:lang w:val="en-US"/>
        </w:rPr>
        <w:instrText>a</w:instrText>
      </w:r>
      <w:r w:rsidR="00C37789" w:rsidRPr="000322E4">
        <w:instrText>"]}],"</w:instrText>
      </w:r>
      <w:r w:rsidR="00C37789" w:rsidRPr="000322E4">
        <w:rPr>
          <w:lang w:val="en-US"/>
        </w:rPr>
        <w:instrText>mendeley</w:instrText>
      </w:r>
      <w:r w:rsidR="00C37789" w:rsidRPr="000322E4">
        <w:instrText>":{"</w:instrText>
      </w:r>
      <w:r w:rsidR="00C37789" w:rsidRPr="000322E4">
        <w:rPr>
          <w:lang w:val="en-US"/>
        </w:rPr>
        <w:instrText>formattedCitation</w:instrText>
      </w:r>
      <w:r w:rsidR="00C37789" w:rsidRPr="000322E4">
        <w:instrText>":"[98,102]","</w:instrText>
      </w:r>
      <w:r w:rsidR="00C37789" w:rsidRPr="000322E4">
        <w:rPr>
          <w:lang w:val="en-US"/>
        </w:rPr>
        <w:instrText>plainTextFormattedCitation</w:instrText>
      </w:r>
      <w:r w:rsidR="00C37789" w:rsidRPr="000322E4">
        <w:instrText>":"[98,102]","</w:instrText>
      </w:r>
      <w:r w:rsidR="00C37789" w:rsidRPr="000322E4">
        <w:rPr>
          <w:lang w:val="en-US"/>
        </w:rPr>
        <w:instrText>previouslyFormattedCitation</w:instrText>
      </w:r>
      <w:r w:rsidR="00C37789" w:rsidRPr="000322E4">
        <w:instrText>":"[98,102]"},"</w:instrText>
      </w:r>
      <w:r w:rsidR="00C37789" w:rsidRPr="000322E4">
        <w:rPr>
          <w:lang w:val="en-US"/>
        </w:rPr>
        <w:instrText>properties</w:instrText>
      </w:r>
      <w:r w:rsidR="00C37789" w:rsidRPr="000322E4">
        <w:instrText>":{"</w:instrText>
      </w:r>
      <w:r w:rsidR="00C37789" w:rsidRPr="000322E4">
        <w:rPr>
          <w:lang w:val="en-US"/>
        </w:rPr>
        <w:instrText>noteIndex</w:instrText>
      </w:r>
      <w:r w:rsidR="00C37789" w:rsidRPr="000322E4">
        <w:instrText>":0},"</w:instrText>
      </w:r>
      <w:r w:rsidR="00C37789" w:rsidRPr="000322E4">
        <w:rPr>
          <w:lang w:val="en-US"/>
        </w:rPr>
        <w:instrText>schema</w:instrText>
      </w:r>
      <w:r w:rsidR="00C37789" w:rsidRPr="000322E4">
        <w:instrText>":"</w:instrText>
      </w:r>
      <w:r w:rsidR="00C37789" w:rsidRPr="000322E4">
        <w:rPr>
          <w:lang w:val="en-US"/>
        </w:rPr>
        <w:instrText>https</w:instrText>
      </w:r>
      <w:r w:rsidR="00C37789" w:rsidRPr="000322E4">
        <w:instrText>://</w:instrText>
      </w:r>
      <w:r w:rsidR="00C37789" w:rsidRPr="000322E4">
        <w:rPr>
          <w:lang w:val="en-US"/>
        </w:rPr>
        <w:instrText>github</w:instrText>
      </w:r>
      <w:r w:rsidR="00C37789" w:rsidRPr="000322E4">
        <w:instrText>.</w:instrText>
      </w:r>
      <w:r w:rsidR="00C37789" w:rsidRPr="000322E4">
        <w:rPr>
          <w:lang w:val="en-US"/>
        </w:rPr>
        <w:instrText>com</w:instrText>
      </w:r>
      <w:r w:rsidR="00C37789" w:rsidRPr="000322E4">
        <w:instrText>/</w:instrText>
      </w:r>
      <w:r w:rsidR="00C37789" w:rsidRPr="000322E4">
        <w:rPr>
          <w:lang w:val="en-US"/>
        </w:rPr>
        <w:instrText>citation</w:instrText>
      </w:r>
      <w:r w:rsidR="00C37789" w:rsidRPr="000322E4">
        <w:instrText>-</w:instrText>
      </w:r>
      <w:r w:rsidR="00C37789" w:rsidRPr="000322E4">
        <w:rPr>
          <w:lang w:val="en-US"/>
        </w:rPr>
        <w:instrText>style</w:instrText>
      </w:r>
      <w:r w:rsidR="00C37789" w:rsidRPr="000322E4">
        <w:instrText>-</w:instrText>
      </w:r>
      <w:r w:rsidR="00C37789" w:rsidRPr="000322E4">
        <w:rPr>
          <w:lang w:val="en-US"/>
        </w:rPr>
        <w:instrText>language</w:instrText>
      </w:r>
      <w:r w:rsidR="00C37789" w:rsidRPr="000322E4">
        <w:instrText>/</w:instrText>
      </w:r>
      <w:r w:rsidR="00C37789" w:rsidRPr="000322E4">
        <w:rPr>
          <w:lang w:val="en-US"/>
        </w:rPr>
        <w:instrText>schema</w:instrText>
      </w:r>
      <w:r w:rsidR="00C37789" w:rsidRPr="000322E4">
        <w:instrText>/</w:instrText>
      </w:r>
      <w:r w:rsidR="00C37789" w:rsidRPr="000322E4">
        <w:rPr>
          <w:lang w:val="en-US"/>
        </w:rPr>
        <w:instrText>raw</w:instrText>
      </w:r>
      <w:r w:rsidR="00C37789" w:rsidRPr="000322E4">
        <w:instrText>/</w:instrText>
      </w:r>
      <w:r w:rsidR="00C37789" w:rsidRPr="000322E4">
        <w:rPr>
          <w:lang w:val="en-US"/>
        </w:rPr>
        <w:instrText>master</w:instrText>
      </w:r>
      <w:r w:rsidR="00C37789" w:rsidRPr="000322E4">
        <w:instrText>/</w:instrText>
      </w:r>
      <w:r w:rsidR="00C37789" w:rsidRPr="000322E4">
        <w:rPr>
          <w:lang w:val="en-US"/>
        </w:rPr>
        <w:instrText>csl</w:instrText>
      </w:r>
      <w:r w:rsidR="00C37789" w:rsidRPr="000322E4">
        <w:instrText>-</w:instrText>
      </w:r>
      <w:r w:rsidR="00C37789" w:rsidRPr="000322E4">
        <w:rPr>
          <w:lang w:val="en-US"/>
        </w:rPr>
        <w:instrText>citation</w:instrText>
      </w:r>
      <w:r w:rsidR="00C37789" w:rsidRPr="000322E4">
        <w:instrText>.</w:instrText>
      </w:r>
      <w:r w:rsidR="00C37789" w:rsidRPr="000322E4">
        <w:rPr>
          <w:lang w:val="en-US"/>
        </w:rPr>
        <w:instrText>json</w:instrText>
      </w:r>
      <w:r w:rsidR="00C37789" w:rsidRPr="000322E4">
        <w:instrText>"}</w:instrText>
      </w:r>
      <w:r w:rsidRPr="000322E4">
        <w:rPr>
          <w:lang w:val="en-US"/>
        </w:rPr>
        <w:fldChar w:fldCharType="separate"/>
      </w:r>
      <w:r w:rsidR="00C37789" w:rsidRPr="000322E4">
        <w:rPr>
          <w:noProof/>
        </w:rPr>
        <w:t>[98,102]</w:t>
      </w:r>
      <w:r w:rsidRPr="000322E4">
        <w:rPr>
          <w:lang w:val="en-US"/>
        </w:rPr>
        <w:fldChar w:fldCharType="end"/>
      </w:r>
    </w:p>
    <w:p w14:paraId="0D1181C0" w14:textId="77777777" w:rsidR="00666D68" w:rsidRPr="000322E4" w:rsidRDefault="00290650" w:rsidP="008E3584">
      <w:pPr>
        <w:numPr>
          <w:ilvl w:val="0"/>
          <w:numId w:val="51"/>
        </w:numPr>
        <w:rPr>
          <w:b/>
          <w:bCs/>
        </w:rPr>
      </w:pPr>
      <w:r w:rsidRPr="00290650">
        <w:t>#</w:t>
      </w:r>
      <w:r w:rsidR="00666D68" w:rsidRPr="000322E4">
        <w:t>Гемцитабин</w:t>
      </w:r>
      <w:r w:rsidR="00666D68" w:rsidRPr="000322E4">
        <w:rPr>
          <w:bCs/>
        </w:rPr>
        <w:t>**</w:t>
      </w:r>
      <w:r w:rsidR="00666D68" w:rsidRPr="000322E4">
        <w:t xml:space="preserve"> 1000 мг/м</w:t>
      </w:r>
      <w:r w:rsidR="00666D68" w:rsidRPr="000322E4">
        <w:rPr>
          <w:vertAlign w:val="superscript"/>
        </w:rPr>
        <w:t>2</w:t>
      </w:r>
      <w:r w:rsidR="00666D68" w:rsidRPr="000322E4">
        <w:t xml:space="preserve"> в/в кап., день 1</w:t>
      </w:r>
    </w:p>
    <w:p w14:paraId="73AB691B" w14:textId="77777777" w:rsidR="00666D68" w:rsidRPr="000322E4" w:rsidRDefault="00666D68" w:rsidP="008E3584">
      <w:pPr>
        <w:numPr>
          <w:ilvl w:val="0"/>
          <w:numId w:val="51"/>
        </w:numPr>
        <w:rPr>
          <w:b/>
          <w:bCs/>
        </w:rPr>
      </w:pPr>
      <w:r w:rsidRPr="000322E4">
        <w:t>#Оксалиплатин</w:t>
      </w:r>
      <w:r w:rsidRPr="000322E4">
        <w:rPr>
          <w:bCs/>
        </w:rPr>
        <w:t>**</w:t>
      </w:r>
      <w:r w:rsidRPr="000322E4">
        <w:t xml:space="preserve"> 100 мг/м</w:t>
      </w:r>
      <w:r w:rsidRPr="000322E4">
        <w:rPr>
          <w:vertAlign w:val="superscript"/>
        </w:rPr>
        <w:t>2</w:t>
      </w:r>
      <w:r w:rsidRPr="000322E4">
        <w:t xml:space="preserve"> в/в кап., день 1</w:t>
      </w:r>
    </w:p>
    <w:p w14:paraId="11EC2028" w14:textId="77777777" w:rsidR="00666D68" w:rsidRPr="000322E4" w:rsidRDefault="00666D68" w:rsidP="008E3584"/>
    <w:p w14:paraId="2A9A4F03" w14:textId="77777777" w:rsidR="00666D68" w:rsidRPr="000322E4" w:rsidRDefault="00666D68" w:rsidP="008E3584">
      <w:pPr>
        <w:rPr>
          <w:b/>
          <w:bCs/>
        </w:rPr>
      </w:pPr>
      <w:r w:rsidRPr="000322E4">
        <w:rPr>
          <w:b/>
          <w:bCs/>
        </w:rPr>
        <w:t>DHA</w:t>
      </w:r>
      <w:r w:rsidRPr="000322E4">
        <w:rPr>
          <w:b/>
          <w:bCs/>
          <w:lang w:val="en-US"/>
        </w:rPr>
        <w:t>X</w:t>
      </w:r>
      <w:r w:rsidRPr="000322E4">
        <w:rPr>
          <w:b/>
          <w:bCs/>
        </w:rPr>
        <w:t xml:space="preserve"> </w:t>
      </w:r>
      <w:r w:rsidRPr="000322E4">
        <w:rPr>
          <w:lang w:val="en-US"/>
        </w:rPr>
        <w:fldChar w:fldCharType="begin" w:fldLock="1"/>
      </w:r>
      <w:r w:rsidR="00C37789" w:rsidRPr="000322E4">
        <w:rPr>
          <w:lang w:val="en-US"/>
        </w:rPr>
        <w:instrText>ADDIN</w:instrText>
      </w:r>
      <w:r w:rsidR="00C37789" w:rsidRPr="000322E4">
        <w:instrText xml:space="preserve"> </w:instrText>
      </w:r>
      <w:r w:rsidR="00C37789" w:rsidRPr="000322E4">
        <w:rPr>
          <w:lang w:val="en-US"/>
        </w:rPr>
        <w:instrText>CSL</w:instrText>
      </w:r>
      <w:r w:rsidR="00C37789" w:rsidRPr="000322E4">
        <w:instrText>_</w:instrText>
      </w:r>
      <w:r w:rsidR="00C37789" w:rsidRPr="000322E4">
        <w:rPr>
          <w:lang w:val="en-US"/>
        </w:rPr>
        <w:instrText>CITATION</w:instrText>
      </w:r>
      <w:r w:rsidR="00C37789" w:rsidRPr="000322E4">
        <w:instrText xml:space="preserve"> {"</w:instrText>
      </w:r>
      <w:r w:rsidR="00C37789" w:rsidRPr="000322E4">
        <w:rPr>
          <w:lang w:val="en-US"/>
        </w:rPr>
        <w:instrText>citationItems</w:instrText>
      </w:r>
      <w:r w:rsidR="00C37789" w:rsidRPr="000322E4">
        <w:instrText>":[{"</w:instrText>
      </w:r>
      <w:r w:rsidR="00C37789" w:rsidRPr="000322E4">
        <w:rPr>
          <w:lang w:val="en-US"/>
        </w:rPr>
        <w:instrText>id</w:instrText>
      </w:r>
      <w:r w:rsidR="00C37789" w:rsidRPr="000322E4">
        <w:instrText>":"</w:instrText>
      </w:r>
      <w:r w:rsidR="00C37789" w:rsidRPr="000322E4">
        <w:rPr>
          <w:lang w:val="en-US"/>
        </w:rPr>
        <w:instrText>ITEM</w:instrText>
      </w:r>
      <w:r w:rsidR="00C37789" w:rsidRPr="000322E4">
        <w:instrText>-1","</w:instrText>
      </w:r>
      <w:r w:rsidR="00C37789" w:rsidRPr="000322E4">
        <w:rPr>
          <w:lang w:val="en-US"/>
        </w:rPr>
        <w:instrText>itemData</w:instrText>
      </w:r>
      <w:r w:rsidR="00C37789" w:rsidRPr="000322E4">
        <w:instrText>":{"</w:instrText>
      </w:r>
      <w:r w:rsidR="00C37789" w:rsidRPr="000322E4">
        <w:rPr>
          <w:lang w:val="en-US"/>
        </w:rPr>
        <w:instrText>DOI</w:instrText>
      </w:r>
      <w:r w:rsidR="00C37789" w:rsidRPr="000322E4">
        <w:instrText>":"10.1046/</w:instrText>
      </w:r>
      <w:r w:rsidR="00C37789" w:rsidRPr="000322E4">
        <w:rPr>
          <w:lang w:val="en-US"/>
        </w:rPr>
        <w:instrText>j</w:instrText>
      </w:r>
      <w:r w:rsidR="00C37789" w:rsidRPr="000322E4">
        <w:instrText>.1365-2141.2001.03181.</w:instrText>
      </w:r>
      <w:r w:rsidR="00C37789" w:rsidRPr="000322E4">
        <w:rPr>
          <w:lang w:val="en-US"/>
        </w:rPr>
        <w:instrText>x</w:instrText>
      </w:r>
      <w:r w:rsidR="00C37789" w:rsidRPr="000322E4">
        <w:instrText>","</w:instrText>
      </w:r>
      <w:r w:rsidR="00C37789" w:rsidRPr="000322E4">
        <w:rPr>
          <w:lang w:val="en-US"/>
        </w:rPr>
        <w:instrText>ISSN</w:instrText>
      </w:r>
      <w:r w:rsidR="00C37789" w:rsidRPr="000322E4">
        <w:instrText>":"00071048","</w:instrText>
      </w:r>
      <w:r w:rsidR="00C37789" w:rsidRPr="000322E4">
        <w:rPr>
          <w:lang w:val="en-US"/>
        </w:rPr>
        <w:instrText>abstract</w:instrText>
      </w:r>
      <w:r w:rsidR="00C37789" w:rsidRPr="000322E4">
        <w:instrText>":"</w:instrText>
      </w:r>
      <w:r w:rsidR="00C37789" w:rsidRPr="000322E4">
        <w:rPr>
          <w:lang w:val="en-US"/>
        </w:rPr>
        <w:instrText>This</w:instrText>
      </w:r>
      <w:r w:rsidR="00C37789" w:rsidRPr="000322E4">
        <w:instrText xml:space="preserve"> </w:instrText>
      </w:r>
      <w:r w:rsidR="00C37789" w:rsidRPr="000322E4">
        <w:rPr>
          <w:lang w:val="en-US"/>
        </w:rPr>
        <w:instrText>study</w:instrText>
      </w:r>
      <w:r w:rsidR="00C37789" w:rsidRPr="000322E4">
        <w:instrText xml:space="preserve"> </w:instrText>
      </w:r>
      <w:r w:rsidR="00C37789" w:rsidRPr="000322E4">
        <w:rPr>
          <w:lang w:val="en-US"/>
        </w:rPr>
        <w:instrText>was</w:instrText>
      </w:r>
      <w:r w:rsidR="00C37789" w:rsidRPr="000322E4">
        <w:instrText xml:space="preserve"> </w:instrText>
      </w:r>
      <w:r w:rsidR="00C37789" w:rsidRPr="000322E4">
        <w:rPr>
          <w:lang w:val="en-US"/>
        </w:rPr>
        <w:instrText>designed</w:instrText>
      </w:r>
      <w:r w:rsidR="00C37789" w:rsidRPr="000322E4">
        <w:instrText xml:space="preserve"> </w:instrText>
      </w:r>
      <w:r w:rsidR="00C37789" w:rsidRPr="000322E4">
        <w:rPr>
          <w:lang w:val="en-US"/>
        </w:rPr>
        <w:instrText>to</w:instrText>
      </w:r>
      <w:r w:rsidR="00C37789" w:rsidRPr="000322E4">
        <w:instrText xml:space="preserve"> </w:instrText>
      </w:r>
      <w:r w:rsidR="00C37789" w:rsidRPr="000322E4">
        <w:rPr>
          <w:lang w:val="en-US"/>
        </w:rPr>
        <w:instrText>assess</w:instrText>
      </w:r>
      <w:r w:rsidR="00C37789" w:rsidRPr="000322E4">
        <w:instrText xml:space="preserve"> </w:instrText>
      </w:r>
      <w:r w:rsidR="00C37789" w:rsidRPr="000322E4">
        <w:rPr>
          <w:lang w:val="en-US"/>
        </w:rPr>
        <w:instrText>the</w:instrText>
      </w:r>
      <w:r w:rsidR="00C37789" w:rsidRPr="000322E4">
        <w:instrText xml:space="preserve"> </w:instrText>
      </w:r>
      <w:r w:rsidR="00C37789" w:rsidRPr="000322E4">
        <w:rPr>
          <w:lang w:val="en-US"/>
        </w:rPr>
        <w:instrText>efficacy</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safety</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substituting</w:instrText>
      </w:r>
      <w:r w:rsidR="00C37789" w:rsidRPr="000322E4">
        <w:instrText xml:space="preserve"> </w:instrText>
      </w:r>
      <w:r w:rsidR="00C37789" w:rsidRPr="000322E4">
        <w:rPr>
          <w:lang w:val="en-US"/>
        </w:rPr>
        <w:instrText>cisplatin</w:instrText>
      </w:r>
      <w:r w:rsidR="00C37789" w:rsidRPr="000322E4">
        <w:instrText xml:space="preserve"> </w:instrText>
      </w:r>
      <w:r w:rsidR="00C37789" w:rsidRPr="000322E4">
        <w:rPr>
          <w:lang w:val="en-US"/>
        </w:rPr>
        <w:instrText>with</w:instrText>
      </w:r>
      <w:r w:rsidR="00C37789" w:rsidRPr="000322E4">
        <w:instrText xml:space="preserve"> </w:instrText>
      </w:r>
      <w:r w:rsidR="00C37789" w:rsidRPr="000322E4">
        <w:rPr>
          <w:lang w:val="en-US"/>
        </w:rPr>
        <w:instrText>oxaliplatin</w:instrText>
      </w:r>
      <w:r w:rsidR="00C37789" w:rsidRPr="000322E4">
        <w:instrText xml:space="preserve"> </w:instrText>
      </w:r>
      <w:r w:rsidR="00C37789" w:rsidRPr="000322E4">
        <w:rPr>
          <w:lang w:val="en-US"/>
        </w:rPr>
        <w:instrText>in</w:instrText>
      </w:r>
      <w:r w:rsidR="00C37789" w:rsidRPr="000322E4">
        <w:instrText xml:space="preserve"> </w:instrText>
      </w:r>
      <w:r w:rsidR="00C37789" w:rsidRPr="000322E4">
        <w:rPr>
          <w:lang w:val="en-US"/>
        </w:rPr>
        <w:instrText>the</w:instrText>
      </w:r>
      <w:r w:rsidR="00C37789" w:rsidRPr="000322E4">
        <w:instrText xml:space="preserve"> </w:instrText>
      </w:r>
      <w:r w:rsidR="00C37789" w:rsidRPr="000322E4">
        <w:rPr>
          <w:lang w:val="en-US"/>
        </w:rPr>
        <w:instrText>DHAP</w:instrText>
      </w:r>
      <w:r w:rsidR="00C37789" w:rsidRPr="000322E4">
        <w:instrText xml:space="preserve"> (</w:instrText>
      </w:r>
      <w:r w:rsidR="00C37789" w:rsidRPr="000322E4">
        <w:rPr>
          <w:lang w:val="en-US"/>
        </w:rPr>
        <w:instrText>dexamethasone</w:instrText>
      </w:r>
      <w:r w:rsidR="00C37789" w:rsidRPr="000322E4">
        <w:instrText xml:space="preserve">, </w:instrText>
      </w:r>
      <w:r w:rsidR="00C37789" w:rsidRPr="000322E4">
        <w:rPr>
          <w:lang w:val="en-US"/>
        </w:rPr>
        <w:instrText>cytarabine</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cisplatin</w:instrText>
      </w:r>
      <w:r w:rsidR="00C37789" w:rsidRPr="000322E4">
        <w:instrText xml:space="preserve">) </w:instrText>
      </w:r>
      <w:r w:rsidR="00C37789" w:rsidRPr="000322E4">
        <w:rPr>
          <w:lang w:val="en-US"/>
        </w:rPr>
        <w:instrText>regimen</w:instrText>
      </w:r>
      <w:r w:rsidR="00C37789" w:rsidRPr="000322E4">
        <w:instrText xml:space="preserve"> </w:instrText>
      </w:r>
      <w:r w:rsidR="00C37789" w:rsidRPr="000322E4">
        <w:rPr>
          <w:lang w:val="en-US"/>
        </w:rPr>
        <w:instrText>for</w:instrText>
      </w:r>
      <w:r w:rsidR="00C37789" w:rsidRPr="000322E4">
        <w:instrText xml:space="preserve"> </w:instrText>
      </w:r>
      <w:r w:rsidR="00C37789" w:rsidRPr="000322E4">
        <w:rPr>
          <w:lang w:val="en-US"/>
        </w:rPr>
        <w:instrText>patients</w:instrText>
      </w:r>
      <w:r w:rsidR="00C37789" w:rsidRPr="000322E4">
        <w:instrText xml:space="preserve"> </w:instrText>
      </w:r>
      <w:r w:rsidR="00C37789" w:rsidRPr="000322E4">
        <w:rPr>
          <w:lang w:val="en-US"/>
        </w:rPr>
        <w:instrText>with</w:instrText>
      </w:r>
      <w:r w:rsidR="00C37789" w:rsidRPr="000322E4">
        <w:instrText xml:space="preserve"> </w:instrText>
      </w:r>
      <w:r w:rsidR="00C37789" w:rsidRPr="000322E4">
        <w:rPr>
          <w:lang w:val="en-US"/>
        </w:rPr>
        <w:instrText>relapsed</w:instrText>
      </w:r>
      <w:r w:rsidR="00C37789" w:rsidRPr="000322E4">
        <w:instrText xml:space="preserve"> </w:instrText>
      </w:r>
      <w:r w:rsidR="00C37789" w:rsidRPr="000322E4">
        <w:rPr>
          <w:lang w:val="en-US"/>
        </w:rPr>
        <w:instrText>or</w:instrText>
      </w:r>
      <w:r w:rsidR="00C37789" w:rsidRPr="000322E4">
        <w:instrText xml:space="preserve"> </w:instrText>
      </w:r>
      <w:r w:rsidR="00C37789" w:rsidRPr="000322E4">
        <w:rPr>
          <w:lang w:val="en-US"/>
        </w:rPr>
        <w:instrText>refractory</w:instrText>
      </w:r>
      <w:r w:rsidR="00C37789" w:rsidRPr="000322E4">
        <w:instrText xml:space="preserve"> </w:instrText>
      </w:r>
      <w:r w:rsidR="00C37789" w:rsidRPr="000322E4">
        <w:rPr>
          <w:lang w:val="en-US"/>
        </w:rPr>
        <w:instrText>non</w:instrText>
      </w:r>
      <w:r w:rsidR="00C37789" w:rsidRPr="000322E4">
        <w:instrText>-</w:instrText>
      </w:r>
      <w:r w:rsidR="00C37789" w:rsidRPr="000322E4">
        <w:rPr>
          <w:lang w:val="en-US"/>
        </w:rPr>
        <w:instrText>Hodgkin</w:instrText>
      </w:r>
      <w:r w:rsidR="00C37789" w:rsidRPr="000322E4">
        <w:instrText>'</w:instrText>
      </w:r>
      <w:r w:rsidR="00C37789" w:rsidRPr="000322E4">
        <w:rPr>
          <w:lang w:val="en-US"/>
        </w:rPr>
        <w:instrText>s</w:instrText>
      </w:r>
      <w:r w:rsidR="00C37789" w:rsidRPr="000322E4">
        <w:instrText xml:space="preserve"> </w:instrText>
      </w:r>
      <w:r w:rsidR="00C37789" w:rsidRPr="000322E4">
        <w:rPr>
          <w:lang w:val="en-US"/>
        </w:rPr>
        <w:instrText>lymphoma</w:instrText>
      </w:r>
      <w:r w:rsidR="00C37789" w:rsidRPr="000322E4">
        <w:instrText xml:space="preserve">. </w:instrText>
      </w:r>
      <w:r w:rsidR="00C37789" w:rsidRPr="000322E4">
        <w:rPr>
          <w:lang w:val="en-US"/>
        </w:rPr>
        <w:instrText>Twenty</w:instrText>
      </w:r>
      <w:r w:rsidR="00C37789" w:rsidRPr="000322E4">
        <w:instrText>-</w:instrText>
      </w:r>
      <w:r w:rsidR="00C37789" w:rsidRPr="000322E4">
        <w:rPr>
          <w:lang w:val="en-US"/>
        </w:rPr>
        <w:instrText>four</w:instrText>
      </w:r>
      <w:r w:rsidR="00C37789" w:rsidRPr="000322E4">
        <w:instrText xml:space="preserve"> </w:instrText>
      </w:r>
      <w:r w:rsidR="00C37789" w:rsidRPr="000322E4">
        <w:rPr>
          <w:lang w:val="en-US"/>
        </w:rPr>
        <w:instrText>evaluable</w:instrText>
      </w:r>
      <w:r w:rsidR="00C37789" w:rsidRPr="000322E4">
        <w:instrText xml:space="preserve"> </w:instrText>
      </w:r>
      <w:r w:rsidR="00C37789" w:rsidRPr="000322E4">
        <w:rPr>
          <w:lang w:val="en-US"/>
        </w:rPr>
        <w:instrText>patients</w:instrText>
      </w:r>
      <w:r w:rsidR="00C37789" w:rsidRPr="000322E4">
        <w:instrText xml:space="preserve"> </w:instrText>
      </w:r>
      <w:r w:rsidR="00C37789" w:rsidRPr="000322E4">
        <w:rPr>
          <w:lang w:val="en-US"/>
        </w:rPr>
        <w:instrText>with</w:instrText>
      </w:r>
      <w:r w:rsidR="00C37789" w:rsidRPr="000322E4">
        <w:instrText xml:space="preserve"> </w:instrText>
      </w:r>
      <w:r w:rsidR="00C37789" w:rsidRPr="000322E4">
        <w:rPr>
          <w:lang w:val="en-US"/>
        </w:rPr>
        <w:instrText>intermediate</w:instrText>
      </w:r>
      <w:r w:rsidR="00C37789" w:rsidRPr="000322E4">
        <w:instrText xml:space="preserve"> </w:instrText>
      </w:r>
      <w:r w:rsidR="00C37789" w:rsidRPr="000322E4">
        <w:rPr>
          <w:lang w:val="en-US"/>
        </w:rPr>
        <w:instrText>or</w:instrText>
      </w:r>
      <w:r w:rsidR="00C37789" w:rsidRPr="000322E4">
        <w:instrText xml:space="preserve"> </w:instrText>
      </w:r>
      <w:r w:rsidR="00C37789" w:rsidRPr="000322E4">
        <w:rPr>
          <w:lang w:val="en-US"/>
        </w:rPr>
        <w:instrText>high</w:instrText>
      </w:r>
      <w:r w:rsidR="00C37789" w:rsidRPr="000322E4">
        <w:instrText>-</w:instrText>
      </w:r>
      <w:r w:rsidR="00C37789" w:rsidRPr="000322E4">
        <w:rPr>
          <w:lang w:val="en-US"/>
        </w:rPr>
        <w:instrText>grade</w:instrText>
      </w:r>
      <w:r w:rsidR="00C37789" w:rsidRPr="000322E4">
        <w:instrText xml:space="preserve"> </w:instrText>
      </w:r>
      <w:r w:rsidR="00C37789" w:rsidRPr="000322E4">
        <w:rPr>
          <w:lang w:val="en-US"/>
        </w:rPr>
        <w:instrText>non</w:instrText>
      </w:r>
      <w:r w:rsidR="00C37789" w:rsidRPr="000322E4">
        <w:instrText>-</w:instrText>
      </w:r>
      <w:r w:rsidR="00C37789" w:rsidRPr="000322E4">
        <w:rPr>
          <w:lang w:val="en-US"/>
        </w:rPr>
        <w:instrText>Hodgkin</w:instrText>
      </w:r>
      <w:r w:rsidR="00C37789" w:rsidRPr="000322E4">
        <w:instrText>'</w:instrText>
      </w:r>
      <w:r w:rsidR="00C37789" w:rsidRPr="000322E4">
        <w:rPr>
          <w:lang w:val="en-US"/>
        </w:rPr>
        <w:instrText>s</w:instrText>
      </w:r>
      <w:r w:rsidR="00C37789" w:rsidRPr="000322E4">
        <w:instrText xml:space="preserve"> </w:instrText>
      </w:r>
      <w:r w:rsidR="00C37789" w:rsidRPr="000322E4">
        <w:rPr>
          <w:lang w:val="en-US"/>
        </w:rPr>
        <w:instrText>lymphoma</w:instrText>
      </w:r>
      <w:r w:rsidR="00C37789" w:rsidRPr="000322E4">
        <w:instrText xml:space="preserve"> </w:instrText>
      </w:r>
      <w:r w:rsidR="00C37789" w:rsidRPr="000322E4">
        <w:rPr>
          <w:lang w:val="en-US"/>
        </w:rPr>
        <w:instrText>were</w:instrText>
      </w:r>
      <w:r w:rsidR="00C37789" w:rsidRPr="000322E4">
        <w:instrText xml:space="preserve"> </w:instrText>
      </w:r>
      <w:r w:rsidR="00C37789" w:rsidRPr="000322E4">
        <w:rPr>
          <w:lang w:val="en-US"/>
        </w:rPr>
        <w:instrText>treated</w:instrText>
      </w:r>
      <w:r w:rsidR="00C37789" w:rsidRPr="000322E4">
        <w:instrText xml:space="preserve"> </w:instrText>
      </w:r>
      <w:r w:rsidR="00C37789" w:rsidRPr="000322E4">
        <w:rPr>
          <w:lang w:val="en-US"/>
        </w:rPr>
        <w:instrText>at</w:instrText>
      </w:r>
      <w:r w:rsidR="00C37789" w:rsidRPr="000322E4">
        <w:instrText xml:space="preserve"> 3-</w:instrText>
      </w:r>
      <w:r w:rsidR="00C37789" w:rsidRPr="000322E4">
        <w:rPr>
          <w:lang w:val="en-US"/>
        </w:rPr>
        <w:instrText>weekly</w:instrText>
      </w:r>
      <w:r w:rsidR="00C37789" w:rsidRPr="000322E4">
        <w:instrText xml:space="preserve"> </w:instrText>
      </w:r>
      <w:r w:rsidR="00C37789" w:rsidRPr="000322E4">
        <w:rPr>
          <w:lang w:val="en-US"/>
        </w:rPr>
        <w:instrText>intervals</w:instrText>
      </w:r>
      <w:r w:rsidR="00C37789" w:rsidRPr="000322E4">
        <w:instrText xml:space="preserve"> </w:instrText>
      </w:r>
      <w:r w:rsidR="00C37789" w:rsidRPr="000322E4">
        <w:rPr>
          <w:lang w:val="en-US"/>
        </w:rPr>
        <w:instrText>with</w:instrText>
      </w:r>
      <w:r w:rsidR="00C37789" w:rsidRPr="000322E4">
        <w:instrText xml:space="preserve"> </w:instrText>
      </w:r>
      <w:r w:rsidR="00C37789" w:rsidRPr="000322E4">
        <w:rPr>
          <w:lang w:val="en-US"/>
        </w:rPr>
        <w:instrText>oxaliplatin</w:instrText>
      </w:r>
      <w:r w:rsidR="00C37789" w:rsidRPr="000322E4">
        <w:instrText xml:space="preserve"> (130 </w:instrText>
      </w:r>
      <w:r w:rsidR="00C37789" w:rsidRPr="000322E4">
        <w:rPr>
          <w:lang w:val="en-US"/>
        </w:rPr>
        <w:instrText>mg</w:instrText>
      </w:r>
      <w:r w:rsidR="00C37789" w:rsidRPr="000322E4">
        <w:instrText>/</w:instrText>
      </w:r>
      <w:r w:rsidR="00C37789" w:rsidRPr="000322E4">
        <w:rPr>
          <w:lang w:val="en-US"/>
        </w:rPr>
        <w:instrText>m</w:instrText>
      </w:r>
      <w:r w:rsidR="00C37789" w:rsidRPr="000322E4">
        <w:instrText xml:space="preserve">2, </w:instrText>
      </w:r>
      <w:r w:rsidR="00C37789" w:rsidRPr="000322E4">
        <w:rPr>
          <w:lang w:val="en-US"/>
        </w:rPr>
        <w:instrText>d</w:instrText>
      </w:r>
      <w:r w:rsidR="00C37789" w:rsidRPr="000322E4">
        <w:instrText xml:space="preserve"> 1), </w:instrText>
      </w:r>
      <w:r w:rsidR="00C37789" w:rsidRPr="000322E4">
        <w:rPr>
          <w:lang w:val="en-US"/>
        </w:rPr>
        <w:instrText>cytarabine</w:instrText>
      </w:r>
      <w:r w:rsidR="00C37789" w:rsidRPr="000322E4">
        <w:instrText xml:space="preserve"> (2 </w:instrText>
      </w:r>
      <w:r w:rsidR="00C37789" w:rsidRPr="000322E4">
        <w:rPr>
          <w:lang w:val="en-US"/>
        </w:rPr>
        <w:instrText>g</w:instrText>
      </w:r>
      <w:r w:rsidR="00C37789" w:rsidRPr="000322E4">
        <w:instrText>/</w:instrText>
      </w:r>
      <w:r w:rsidR="00C37789" w:rsidRPr="000322E4">
        <w:rPr>
          <w:lang w:val="en-US"/>
        </w:rPr>
        <w:instrText>m</w:instrText>
      </w:r>
      <w:r w:rsidR="00C37789" w:rsidRPr="000322E4">
        <w:instrText xml:space="preserve">2 </w:instrText>
      </w:r>
      <w:r w:rsidR="00C37789" w:rsidRPr="000322E4">
        <w:rPr>
          <w:lang w:val="en-US"/>
        </w:rPr>
        <w:instrText>for</w:instrText>
      </w:r>
      <w:r w:rsidR="00C37789" w:rsidRPr="000322E4">
        <w:instrText xml:space="preserve"> </w:instrText>
      </w:r>
      <w:r w:rsidR="00C37789" w:rsidRPr="000322E4">
        <w:rPr>
          <w:lang w:val="en-US"/>
        </w:rPr>
        <w:instrText>two</w:instrText>
      </w:r>
      <w:r w:rsidR="00C37789" w:rsidRPr="000322E4">
        <w:instrText xml:space="preserve"> </w:instrText>
      </w:r>
      <w:r w:rsidR="00C37789" w:rsidRPr="000322E4">
        <w:rPr>
          <w:lang w:val="en-US"/>
        </w:rPr>
        <w:instrText>doses</w:instrText>
      </w:r>
      <w:r w:rsidR="00C37789" w:rsidRPr="000322E4">
        <w:instrText xml:space="preserve">, </w:instrText>
      </w:r>
      <w:r w:rsidR="00C37789" w:rsidRPr="000322E4">
        <w:rPr>
          <w:lang w:val="en-US"/>
        </w:rPr>
        <w:instrText>d</w:instrText>
      </w:r>
      <w:r w:rsidR="00C37789" w:rsidRPr="000322E4">
        <w:instrText xml:space="preserve"> 2) </w:instrText>
      </w:r>
      <w:r w:rsidR="00C37789" w:rsidRPr="000322E4">
        <w:rPr>
          <w:lang w:val="en-US"/>
        </w:rPr>
        <w:instrText>and</w:instrText>
      </w:r>
      <w:r w:rsidR="00C37789" w:rsidRPr="000322E4">
        <w:instrText xml:space="preserve"> </w:instrText>
      </w:r>
      <w:r w:rsidR="00C37789" w:rsidRPr="000322E4">
        <w:rPr>
          <w:lang w:val="en-US"/>
        </w:rPr>
        <w:instrText>dexamethasone</w:instrText>
      </w:r>
      <w:r w:rsidR="00C37789" w:rsidRPr="000322E4">
        <w:instrText xml:space="preserve"> (40 </w:instrText>
      </w:r>
      <w:r w:rsidR="00C37789" w:rsidRPr="000322E4">
        <w:rPr>
          <w:lang w:val="en-US"/>
        </w:rPr>
        <w:instrText>mg</w:instrText>
      </w:r>
      <w:r w:rsidR="00C37789" w:rsidRPr="000322E4">
        <w:instrText xml:space="preserve">, </w:instrText>
      </w:r>
      <w:r w:rsidR="00C37789" w:rsidRPr="000322E4">
        <w:rPr>
          <w:lang w:val="en-US"/>
        </w:rPr>
        <w:instrText>d</w:instrText>
      </w:r>
      <w:r w:rsidR="00C37789" w:rsidRPr="000322E4">
        <w:instrText xml:space="preserve"> 1-4). </w:instrText>
      </w:r>
      <w:r w:rsidR="00C37789" w:rsidRPr="000322E4">
        <w:rPr>
          <w:lang w:val="en-US"/>
        </w:rPr>
        <w:instrText>The</w:instrText>
      </w:r>
      <w:r w:rsidR="00C37789" w:rsidRPr="000322E4">
        <w:instrText xml:space="preserve"> </w:instrText>
      </w:r>
      <w:r w:rsidR="00C37789" w:rsidRPr="000322E4">
        <w:rPr>
          <w:lang w:val="en-US"/>
        </w:rPr>
        <w:instrText>median</w:instrText>
      </w:r>
      <w:r w:rsidR="00C37789" w:rsidRPr="000322E4">
        <w:instrText xml:space="preserve"> </w:instrText>
      </w:r>
      <w:r w:rsidR="00C37789" w:rsidRPr="000322E4">
        <w:rPr>
          <w:lang w:val="en-US"/>
        </w:rPr>
        <w:instrText>age</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the</w:instrText>
      </w:r>
      <w:r w:rsidR="00C37789" w:rsidRPr="000322E4">
        <w:instrText xml:space="preserve"> </w:instrText>
      </w:r>
      <w:r w:rsidR="00C37789" w:rsidRPr="000322E4">
        <w:rPr>
          <w:lang w:val="en-US"/>
        </w:rPr>
        <w:instrText>patients</w:instrText>
      </w:r>
      <w:r w:rsidR="00C37789" w:rsidRPr="000322E4">
        <w:instrText xml:space="preserve"> </w:instrText>
      </w:r>
      <w:r w:rsidR="00C37789" w:rsidRPr="000322E4">
        <w:rPr>
          <w:lang w:val="en-US"/>
        </w:rPr>
        <w:instrText>was</w:instrText>
      </w:r>
      <w:r w:rsidR="00C37789" w:rsidRPr="000322E4">
        <w:instrText xml:space="preserve"> 58 (</w:instrText>
      </w:r>
      <w:r w:rsidR="00C37789" w:rsidRPr="000322E4">
        <w:rPr>
          <w:lang w:val="en-US"/>
        </w:rPr>
        <w:instrText>range</w:instrText>
      </w:r>
      <w:r w:rsidR="00C37789" w:rsidRPr="000322E4">
        <w:instrText xml:space="preserve"> 18-70). </w:instrText>
      </w:r>
      <w:r w:rsidR="00C37789" w:rsidRPr="000322E4">
        <w:rPr>
          <w:lang w:val="en-US"/>
        </w:rPr>
        <w:instrText>Histological</w:instrText>
      </w:r>
      <w:r w:rsidR="00C37789" w:rsidRPr="000322E4">
        <w:instrText xml:space="preserve"> </w:instrText>
      </w:r>
      <w:r w:rsidR="00C37789" w:rsidRPr="000322E4">
        <w:rPr>
          <w:lang w:val="en-US"/>
        </w:rPr>
        <w:instrText>subtypes</w:instrText>
      </w:r>
      <w:r w:rsidR="00C37789" w:rsidRPr="000322E4">
        <w:instrText xml:space="preserve"> </w:instrText>
      </w:r>
      <w:r w:rsidR="00C37789" w:rsidRPr="000322E4">
        <w:rPr>
          <w:lang w:val="en-US"/>
        </w:rPr>
        <w:instrText>were</w:instrText>
      </w:r>
      <w:r w:rsidR="00C37789" w:rsidRPr="000322E4">
        <w:instrText xml:space="preserve"> </w:instrText>
      </w:r>
      <w:r w:rsidR="00C37789" w:rsidRPr="000322E4">
        <w:rPr>
          <w:lang w:val="en-US"/>
        </w:rPr>
        <w:instrText>diffuse</w:instrText>
      </w:r>
      <w:r w:rsidR="00C37789" w:rsidRPr="000322E4">
        <w:instrText xml:space="preserve"> </w:instrText>
      </w:r>
      <w:r w:rsidR="00C37789" w:rsidRPr="000322E4">
        <w:rPr>
          <w:lang w:val="en-US"/>
        </w:rPr>
        <w:instrText>large</w:instrText>
      </w:r>
      <w:r w:rsidR="00C37789" w:rsidRPr="000322E4">
        <w:instrText xml:space="preserve"> </w:instrText>
      </w:r>
      <w:r w:rsidR="00C37789" w:rsidRPr="000322E4">
        <w:rPr>
          <w:lang w:val="en-US"/>
        </w:rPr>
        <w:instrText>B</w:instrText>
      </w:r>
      <w:r w:rsidR="00C37789" w:rsidRPr="000322E4">
        <w:instrText xml:space="preserve"> </w:instrText>
      </w:r>
      <w:r w:rsidR="00C37789" w:rsidRPr="000322E4">
        <w:rPr>
          <w:lang w:val="en-US"/>
        </w:rPr>
        <w:instrText>cell</w:instrText>
      </w:r>
      <w:r w:rsidR="00C37789" w:rsidRPr="000322E4">
        <w:instrText xml:space="preserve">, 20; </w:instrText>
      </w:r>
      <w:r w:rsidR="00C37789" w:rsidRPr="000322E4">
        <w:rPr>
          <w:lang w:val="en-US"/>
        </w:rPr>
        <w:instrText>mantle</w:instrText>
      </w:r>
      <w:r w:rsidR="00C37789" w:rsidRPr="000322E4">
        <w:instrText xml:space="preserve"> </w:instrText>
      </w:r>
      <w:r w:rsidR="00C37789" w:rsidRPr="000322E4">
        <w:rPr>
          <w:lang w:val="en-US"/>
        </w:rPr>
        <w:instrText>cell</w:instrText>
      </w:r>
      <w:r w:rsidR="00C37789" w:rsidRPr="000322E4">
        <w:instrText xml:space="preserve">, </w:instrText>
      </w:r>
      <w:r w:rsidR="00C37789" w:rsidRPr="000322E4">
        <w:rPr>
          <w:lang w:val="en-US"/>
        </w:rPr>
        <w:instrText>two</w:instrText>
      </w:r>
      <w:r w:rsidR="00C37789" w:rsidRPr="000322E4">
        <w:instrText xml:space="preserve">; </w:instrText>
      </w:r>
      <w:r w:rsidR="00C37789" w:rsidRPr="000322E4">
        <w:rPr>
          <w:lang w:val="en-US"/>
        </w:rPr>
        <w:instrText>anaplastic</w:instrText>
      </w:r>
      <w:r w:rsidR="00C37789" w:rsidRPr="000322E4">
        <w:instrText xml:space="preserve"> </w:instrText>
      </w:r>
      <w:r w:rsidR="00C37789" w:rsidRPr="000322E4">
        <w:rPr>
          <w:lang w:val="en-US"/>
        </w:rPr>
        <w:instrText>large</w:instrText>
      </w:r>
      <w:r w:rsidR="00C37789" w:rsidRPr="000322E4">
        <w:instrText xml:space="preserve"> </w:instrText>
      </w:r>
      <w:r w:rsidR="00C37789" w:rsidRPr="000322E4">
        <w:rPr>
          <w:lang w:val="en-US"/>
        </w:rPr>
        <w:instrText>cell</w:instrText>
      </w:r>
      <w:r w:rsidR="00C37789" w:rsidRPr="000322E4">
        <w:instrText xml:space="preserve">, </w:instrText>
      </w:r>
      <w:r w:rsidR="00C37789" w:rsidRPr="000322E4">
        <w:rPr>
          <w:lang w:val="en-US"/>
        </w:rPr>
        <w:instrText>one</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peripheral</w:instrText>
      </w:r>
      <w:r w:rsidR="00C37789" w:rsidRPr="000322E4">
        <w:instrText xml:space="preserve"> </w:instrText>
      </w:r>
      <w:r w:rsidR="00C37789" w:rsidRPr="000322E4">
        <w:rPr>
          <w:lang w:val="en-US"/>
        </w:rPr>
        <w:instrText>T</w:instrText>
      </w:r>
      <w:r w:rsidR="00C37789" w:rsidRPr="000322E4">
        <w:instrText xml:space="preserve"> </w:instrText>
      </w:r>
      <w:r w:rsidR="00C37789" w:rsidRPr="000322E4">
        <w:rPr>
          <w:lang w:val="en-US"/>
        </w:rPr>
        <w:instrText>cell</w:instrText>
      </w:r>
      <w:r w:rsidR="00C37789" w:rsidRPr="000322E4">
        <w:instrText xml:space="preserve">, </w:instrText>
      </w:r>
      <w:r w:rsidR="00C37789" w:rsidRPr="000322E4">
        <w:rPr>
          <w:lang w:val="en-US"/>
        </w:rPr>
        <w:instrText>one</w:instrText>
      </w:r>
      <w:r w:rsidR="00C37789" w:rsidRPr="000322E4">
        <w:instrText xml:space="preserve">. </w:instrText>
      </w:r>
      <w:r w:rsidR="00C37789" w:rsidRPr="000322E4">
        <w:rPr>
          <w:lang w:val="en-US"/>
        </w:rPr>
        <w:instrText>The</w:instrText>
      </w:r>
      <w:r w:rsidR="00C37789" w:rsidRPr="000322E4">
        <w:instrText xml:space="preserve"> </w:instrText>
      </w:r>
      <w:r w:rsidR="00C37789" w:rsidRPr="000322E4">
        <w:rPr>
          <w:lang w:val="en-US"/>
        </w:rPr>
        <w:instrText>overall</w:instrText>
      </w:r>
      <w:r w:rsidR="00C37789" w:rsidRPr="000322E4">
        <w:instrText xml:space="preserve"> </w:instrText>
      </w:r>
      <w:r w:rsidR="00C37789" w:rsidRPr="000322E4">
        <w:rPr>
          <w:lang w:val="en-US"/>
        </w:rPr>
        <w:instrText>objective</w:instrText>
      </w:r>
      <w:r w:rsidR="00C37789" w:rsidRPr="000322E4">
        <w:instrText xml:space="preserve"> </w:instrText>
      </w:r>
      <w:r w:rsidR="00C37789" w:rsidRPr="000322E4">
        <w:rPr>
          <w:lang w:val="en-US"/>
        </w:rPr>
        <w:instrText>response</w:instrText>
      </w:r>
      <w:r w:rsidR="00C37789" w:rsidRPr="000322E4">
        <w:instrText xml:space="preserve"> </w:instrText>
      </w:r>
      <w:r w:rsidR="00C37789" w:rsidRPr="000322E4">
        <w:rPr>
          <w:lang w:val="en-US"/>
        </w:rPr>
        <w:instrText>rate</w:instrText>
      </w:r>
      <w:r w:rsidR="00C37789" w:rsidRPr="000322E4">
        <w:instrText xml:space="preserve"> (</w:instrText>
      </w:r>
      <w:r w:rsidR="00C37789" w:rsidRPr="000322E4">
        <w:rPr>
          <w:lang w:val="en-US"/>
        </w:rPr>
        <w:instrText>RR</w:instrText>
      </w:r>
      <w:r w:rsidR="00C37789" w:rsidRPr="000322E4">
        <w:instrText xml:space="preserve">) </w:instrText>
      </w:r>
      <w:r w:rsidR="00C37789" w:rsidRPr="000322E4">
        <w:rPr>
          <w:lang w:val="en-US"/>
        </w:rPr>
        <w:instrText>was</w:instrText>
      </w:r>
      <w:r w:rsidR="00C37789" w:rsidRPr="000322E4">
        <w:instrText xml:space="preserve"> 50% [95% </w:instrText>
      </w:r>
      <w:r w:rsidR="00C37789" w:rsidRPr="000322E4">
        <w:rPr>
          <w:lang w:val="en-US"/>
        </w:rPr>
        <w:instrText>confidence</w:instrText>
      </w:r>
      <w:r w:rsidR="00C37789" w:rsidRPr="000322E4">
        <w:instrText xml:space="preserve"> </w:instrText>
      </w:r>
      <w:r w:rsidR="00C37789" w:rsidRPr="000322E4">
        <w:rPr>
          <w:lang w:val="en-US"/>
        </w:rPr>
        <w:instrText>interval</w:instrText>
      </w:r>
      <w:r w:rsidR="00C37789" w:rsidRPr="000322E4">
        <w:instrText xml:space="preserve"> (</w:instrText>
      </w:r>
      <w:r w:rsidR="00C37789" w:rsidRPr="000322E4">
        <w:rPr>
          <w:lang w:val="en-US"/>
        </w:rPr>
        <w:instrText>CI</w:instrText>
      </w:r>
      <w:r w:rsidR="00C37789" w:rsidRPr="000322E4">
        <w:instrText xml:space="preserve">) = 29-71%] </w:instrText>
      </w:r>
      <w:r w:rsidR="00C37789" w:rsidRPr="000322E4">
        <w:rPr>
          <w:lang w:val="en-US"/>
        </w:rPr>
        <w:instrText>including</w:instrText>
      </w:r>
      <w:r w:rsidR="00C37789" w:rsidRPr="000322E4">
        <w:instrText xml:space="preserve"> </w:instrText>
      </w:r>
      <w:r w:rsidR="00C37789" w:rsidRPr="000322E4">
        <w:rPr>
          <w:lang w:val="en-US"/>
        </w:rPr>
        <w:instrText>four</w:instrText>
      </w:r>
      <w:r w:rsidR="00C37789" w:rsidRPr="000322E4">
        <w:instrText xml:space="preserve"> </w:instrText>
      </w:r>
      <w:r w:rsidR="00C37789" w:rsidRPr="000322E4">
        <w:rPr>
          <w:lang w:val="en-US"/>
        </w:rPr>
        <w:instrText>complete</w:instrText>
      </w:r>
      <w:r w:rsidR="00C37789" w:rsidRPr="000322E4">
        <w:instrText xml:space="preserve"> </w:instrText>
      </w:r>
      <w:r w:rsidR="00C37789" w:rsidRPr="000322E4">
        <w:rPr>
          <w:lang w:val="en-US"/>
        </w:rPr>
        <w:instrText>responses</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eight</w:instrText>
      </w:r>
      <w:r w:rsidR="00C37789" w:rsidRPr="000322E4">
        <w:instrText xml:space="preserve"> </w:instrText>
      </w:r>
      <w:r w:rsidR="00C37789" w:rsidRPr="000322E4">
        <w:rPr>
          <w:lang w:val="en-US"/>
        </w:rPr>
        <w:instrText>partial</w:instrText>
      </w:r>
      <w:r w:rsidR="00C37789" w:rsidRPr="000322E4">
        <w:instrText xml:space="preserve"> </w:instrText>
      </w:r>
      <w:r w:rsidR="00C37789" w:rsidRPr="000322E4">
        <w:rPr>
          <w:lang w:val="en-US"/>
        </w:rPr>
        <w:instrText>responses</w:instrText>
      </w:r>
      <w:r w:rsidR="00C37789" w:rsidRPr="000322E4">
        <w:instrText xml:space="preserve">. </w:instrText>
      </w:r>
      <w:r w:rsidR="00C37789" w:rsidRPr="000322E4">
        <w:rPr>
          <w:lang w:val="en-US"/>
        </w:rPr>
        <w:instrText>RR</w:instrText>
      </w:r>
      <w:r w:rsidR="00C37789" w:rsidRPr="000322E4">
        <w:instrText xml:space="preserve"> </w:instrText>
      </w:r>
      <w:r w:rsidR="00C37789" w:rsidRPr="000322E4">
        <w:rPr>
          <w:lang w:val="en-US"/>
        </w:rPr>
        <w:instrText>for</w:instrText>
      </w:r>
      <w:r w:rsidR="00C37789" w:rsidRPr="000322E4">
        <w:instrText xml:space="preserve"> </w:instrText>
      </w:r>
      <w:r w:rsidR="00C37789" w:rsidRPr="000322E4">
        <w:rPr>
          <w:lang w:val="en-US"/>
        </w:rPr>
        <w:instrText>those</w:instrText>
      </w:r>
      <w:r w:rsidR="00C37789" w:rsidRPr="000322E4">
        <w:instrText xml:space="preserve"> </w:instrText>
      </w:r>
      <w:r w:rsidR="00C37789" w:rsidRPr="000322E4">
        <w:rPr>
          <w:lang w:val="en-US"/>
        </w:rPr>
        <w:instrText>patients</w:instrText>
      </w:r>
      <w:r w:rsidR="00C37789" w:rsidRPr="000322E4">
        <w:instrText xml:space="preserve"> </w:instrText>
      </w:r>
      <w:r w:rsidR="00C37789" w:rsidRPr="000322E4">
        <w:rPr>
          <w:lang w:val="en-US"/>
        </w:rPr>
        <w:instrText>treated</w:instrText>
      </w:r>
      <w:r w:rsidR="00C37789" w:rsidRPr="000322E4">
        <w:instrText xml:space="preserve"> </w:instrText>
      </w:r>
      <w:r w:rsidR="00C37789" w:rsidRPr="000322E4">
        <w:rPr>
          <w:lang w:val="en-US"/>
        </w:rPr>
        <w:instrText>at</w:instrText>
      </w:r>
      <w:r w:rsidR="00C37789" w:rsidRPr="000322E4">
        <w:instrText xml:space="preserve"> </w:instrText>
      </w:r>
      <w:r w:rsidR="00C37789" w:rsidRPr="000322E4">
        <w:rPr>
          <w:lang w:val="en-US"/>
        </w:rPr>
        <w:instrText>first</w:instrText>
      </w:r>
      <w:r w:rsidR="00C37789" w:rsidRPr="000322E4">
        <w:instrText xml:space="preserve"> </w:instrText>
      </w:r>
      <w:r w:rsidR="00C37789" w:rsidRPr="000322E4">
        <w:rPr>
          <w:lang w:val="en-US"/>
        </w:rPr>
        <w:instrText>relapse</w:instrText>
      </w:r>
      <w:r w:rsidR="00C37789" w:rsidRPr="000322E4">
        <w:instrText xml:space="preserve"> </w:instrText>
      </w:r>
      <w:r w:rsidR="00C37789" w:rsidRPr="000322E4">
        <w:rPr>
          <w:lang w:val="en-US"/>
        </w:rPr>
        <w:instrText>was</w:instrText>
      </w:r>
      <w:r w:rsidR="00C37789" w:rsidRPr="000322E4">
        <w:instrText xml:space="preserve"> </w:instrText>
      </w:r>
      <w:r w:rsidR="00C37789" w:rsidRPr="000322E4">
        <w:rPr>
          <w:lang w:val="en-US"/>
        </w:rPr>
        <w:instrText>higher</w:instrText>
      </w:r>
      <w:r w:rsidR="00C37789" w:rsidRPr="000322E4">
        <w:instrText xml:space="preserve"> </w:instrText>
      </w:r>
      <w:r w:rsidR="00C37789" w:rsidRPr="000322E4">
        <w:rPr>
          <w:lang w:val="en-US"/>
        </w:rPr>
        <w:instrText>than</w:instrText>
      </w:r>
      <w:r w:rsidR="00C37789" w:rsidRPr="000322E4">
        <w:instrText xml:space="preserve"> </w:instrText>
      </w:r>
      <w:r w:rsidR="00C37789" w:rsidRPr="000322E4">
        <w:rPr>
          <w:lang w:val="en-US"/>
        </w:rPr>
        <w:instrText>those</w:instrText>
      </w:r>
      <w:r w:rsidR="00C37789" w:rsidRPr="000322E4">
        <w:instrText xml:space="preserve"> </w:instrText>
      </w:r>
      <w:r w:rsidR="00C37789" w:rsidRPr="000322E4">
        <w:rPr>
          <w:lang w:val="en-US"/>
        </w:rPr>
        <w:instrText>treated</w:instrText>
      </w:r>
      <w:r w:rsidR="00C37789" w:rsidRPr="000322E4">
        <w:instrText xml:space="preserve"> </w:instrText>
      </w:r>
      <w:r w:rsidR="00C37789" w:rsidRPr="000322E4">
        <w:rPr>
          <w:lang w:val="en-US"/>
        </w:rPr>
        <w:instrText>at</w:instrText>
      </w:r>
      <w:r w:rsidR="00C37789" w:rsidRPr="000322E4">
        <w:instrText xml:space="preserve"> </w:instrText>
      </w:r>
      <w:r w:rsidR="00C37789" w:rsidRPr="000322E4">
        <w:rPr>
          <w:lang w:val="en-US"/>
        </w:rPr>
        <w:instrText>second</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subsequent</w:instrText>
      </w:r>
      <w:r w:rsidR="00C37789" w:rsidRPr="000322E4">
        <w:instrText xml:space="preserve"> </w:instrText>
      </w:r>
      <w:r w:rsidR="00C37789" w:rsidRPr="000322E4">
        <w:rPr>
          <w:lang w:val="en-US"/>
        </w:rPr>
        <w:instrText>relapse</w:instrText>
      </w:r>
      <w:r w:rsidR="00C37789" w:rsidRPr="000322E4">
        <w:instrText xml:space="preserve"> (77% </w:instrText>
      </w:r>
      <w:r w:rsidR="00C37789" w:rsidRPr="000322E4">
        <w:rPr>
          <w:lang w:val="en-US"/>
        </w:rPr>
        <w:instrText>versus</w:instrText>
      </w:r>
      <w:r w:rsidR="00C37789" w:rsidRPr="000322E4">
        <w:instrText xml:space="preserve"> 29%). </w:instrText>
      </w:r>
      <w:r w:rsidR="00C37789" w:rsidRPr="000322E4">
        <w:rPr>
          <w:lang w:val="en-US"/>
        </w:rPr>
        <w:instrText>Grade</w:instrText>
      </w:r>
      <w:r w:rsidR="00C37789" w:rsidRPr="000322E4">
        <w:instrText xml:space="preserve"> 3 </w:instrText>
      </w:r>
      <w:r w:rsidR="00C37789" w:rsidRPr="000322E4">
        <w:rPr>
          <w:lang w:val="en-US"/>
        </w:rPr>
        <w:instrText>and</w:instrText>
      </w:r>
      <w:r w:rsidR="00C37789" w:rsidRPr="000322E4">
        <w:instrText xml:space="preserve"> 4 </w:instrText>
      </w:r>
      <w:r w:rsidR="00C37789" w:rsidRPr="000322E4">
        <w:rPr>
          <w:lang w:val="en-US"/>
        </w:rPr>
        <w:instrText>toxicity</w:instrText>
      </w:r>
      <w:r w:rsidR="00C37789" w:rsidRPr="000322E4">
        <w:instrText xml:space="preserve"> </w:instrText>
      </w:r>
      <w:r w:rsidR="00C37789" w:rsidRPr="000322E4">
        <w:rPr>
          <w:lang w:val="en-US"/>
        </w:rPr>
        <w:instrText>was</w:instrText>
      </w:r>
      <w:r w:rsidR="00C37789" w:rsidRPr="000322E4">
        <w:instrText xml:space="preserve"> </w:instrText>
      </w:r>
      <w:r w:rsidR="00C37789" w:rsidRPr="000322E4">
        <w:rPr>
          <w:lang w:val="en-US"/>
        </w:rPr>
        <w:instrText>mainly</w:instrText>
      </w:r>
      <w:r w:rsidR="00C37789" w:rsidRPr="000322E4">
        <w:instrText xml:space="preserve"> </w:instrText>
      </w:r>
      <w:r w:rsidR="00C37789" w:rsidRPr="000322E4">
        <w:rPr>
          <w:lang w:val="en-US"/>
        </w:rPr>
        <w:instrText>haematological</w:instrText>
      </w:r>
      <w:r w:rsidR="00C37789" w:rsidRPr="000322E4">
        <w:instrText xml:space="preserve">: </w:instrText>
      </w:r>
      <w:r w:rsidR="00C37789" w:rsidRPr="000322E4">
        <w:rPr>
          <w:lang w:val="en-US"/>
        </w:rPr>
        <w:instrText>anaemia</w:instrText>
      </w:r>
      <w:r w:rsidR="00C37789" w:rsidRPr="000322E4">
        <w:instrText xml:space="preserve"> 17%, </w:instrText>
      </w:r>
      <w:r w:rsidR="00C37789" w:rsidRPr="000322E4">
        <w:rPr>
          <w:lang w:val="en-US"/>
        </w:rPr>
        <w:instrText>neutropenia</w:instrText>
      </w:r>
      <w:r w:rsidR="00C37789" w:rsidRPr="000322E4">
        <w:instrText xml:space="preserve"> 75% </w:instrText>
      </w:r>
      <w:r w:rsidR="00C37789" w:rsidRPr="000322E4">
        <w:rPr>
          <w:lang w:val="en-US"/>
        </w:rPr>
        <w:instrText>and</w:instrText>
      </w:r>
      <w:r w:rsidR="00C37789" w:rsidRPr="000322E4">
        <w:instrText xml:space="preserve"> </w:instrText>
      </w:r>
      <w:r w:rsidR="00C37789" w:rsidRPr="000322E4">
        <w:rPr>
          <w:lang w:val="en-US"/>
        </w:rPr>
        <w:instrText>thrombocytopenia</w:instrText>
      </w:r>
      <w:r w:rsidR="00C37789" w:rsidRPr="000322E4">
        <w:instrText xml:space="preserve"> 75%. </w:instrText>
      </w:r>
      <w:r w:rsidR="00C37789" w:rsidRPr="000322E4">
        <w:rPr>
          <w:lang w:val="en-US"/>
        </w:rPr>
        <w:instrText>No</w:instrText>
      </w:r>
      <w:r w:rsidR="00C37789" w:rsidRPr="000322E4">
        <w:instrText xml:space="preserve"> </w:instrText>
      </w:r>
      <w:r w:rsidR="00C37789" w:rsidRPr="000322E4">
        <w:rPr>
          <w:lang w:val="en-US"/>
        </w:rPr>
        <w:instrText>grade</w:instrText>
      </w:r>
      <w:r w:rsidR="00C37789" w:rsidRPr="000322E4">
        <w:instrText xml:space="preserve"> 4 </w:instrText>
      </w:r>
      <w:r w:rsidR="00C37789" w:rsidRPr="000322E4">
        <w:rPr>
          <w:lang w:val="en-US"/>
        </w:rPr>
        <w:instrText>non</w:instrText>
      </w:r>
      <w:r w:rsidR="00C37789" w:rsidRPr="000322E4">
        <w:instrText>-</w:instrText>
      </w:r>
      <w:r w:rsidR="00C37789" w:rsidRPr="000322E4">
        <w:rPr>
          <w:lang w:val="en-US"/>
        </w:rPr>
        <w:instrText>haematological</w:instrText>
      </w:r>
      <w:r w:rsidR="00C37789" w:rsidRPr="000322E4">
        <w:instrText xml:space="preserve"> </w:instrText>
      </w:r>
      <w:r w:rsidR="00C37789" w:rsidRPr="000322E4">
        <w:rPr>
          <w:lang w:val="en-US"/>
        </w:rPr>
        <w:instrText>toxicity</w:instrText>
      </w:r>
      <w:r w:rsidR="00C37789" w:rsidRPr="000322E4">
        <w:instrText xml:space="preserve"> </w:instrText>
      </w:r>
      <w:r w:rsidR="00C37789" w:rsidRPr="000322E4">
        <w:rPr>
          <w:lang w:val="en-US"/>
        </w:rPr>
        <w:instrText>was</w:instrText>
      </w:r>
      <w:r w:rsidR="00C37789" w:rsidRPr="000322E4">
        <w:instrText xml:space="preserve"> </w:instrText>
      </w:r>
      <w:r w:rsidR="00C37789" w:rsidRPr="000322E4">
        <w:rPr>
          <w:lang w:val="en-US"/>
        </w:rPr>
        <w:instrText>reported</w:instrText>
      </w:r>
      <w:r w:rsidR="00C37789" w:rsidRPr="000322E4">
        <w:instrText xml:space="preserve">. </w:instrText>
      </w:r>
      <w:r w:rsidR="00C37789" w:rsidRPr="000322E4">
        <w:rPr>
          <w:lang w:val="en-US"/>
        </w:rPr>
        <w:instrText>No</w:instrText>
      </w:r>
      <w:r w:rsidR="00C37789" w:rsidRPr="000322E4">
        <w:instrText xml:space="preserve"> </w:instrText>
      </w:r>
      <w:r w:rsidR="00C37789" w:rsidRPr="000322E4">
        <w:rPr>
          <w:lang w:val="en-US"/>
        </w:rPr>
        <w:instrText>significant</w:instrText>
      </w:r>
      <w:r w:rsidR="00C37789" w:rsidRPr="000322E4">
        <w:instrText xml:space="preserve"> </w:instrText>
      </w:r>
      <w:r w:rsidR="00C37789" w:rsidRPr="000322E4">
        <w:rPr>
          <w:lang w:val="en-US"/>
        </w:rPr>
        <w:instrText>renal</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neurotoxicity</w:instrText>
      </w:r>
      <w:r w:rsidR="00C37789" w:rsidRPr="000322E4">
        <w:instrText xml:space="preserve"> </w:instrText>
      </w:r>
      <w:r w:rsidR="00C37789" w:rsidRPr="000322E4">
        <w:rPr>
          <w:lang w:val="en-US"/>
        </w:rPr>
        <w:instrText>was</w:instrText>
      </w:r>
      <w:r w:rsidR="00C37789" w:rsidRPr="000322E4">
        <w:instrText xml:space="preserve"> </w:instrText>
      </w:r>
      <w:r w:rsidR="00C37789" w:rsidRPr="000322E4">
        <w:rPr>
          <w:lang w:val="en-US"/>
        </w:rPr>
        <w:instrText>demonstrated</w:instrText>
      </w:r>
      <w:r w:rsidR="00C37789" w:rsidRPr="000322E4">
        <w:instrText xml:space="preserve">. </w:instrText>
      </w:r>
      <w:r w:rsidR="00C37789" w:rsidRPr="000322E4">
        <w:rPr>
          <w:lang w:val="en-US"/>
        </w:rPr>
        <w:instrText>Median</w:instrText>
      </w:r>
      <w:r w:rsidR="00C37789" w:rsidRPr="000322E4">
        <w:instrText xml:space="preserve"> </w:instrText>
      </w:r>
      <w:r w:rsidR="00C37789" w:rsidRPr="000322E4">
        <w:rPr>
          <w:lang w:val="en-US"/>
        </w:rPr>
        <w:instrText>survival</w:instrText>
      </w:r>
      <w:r w:rsidR="00C37789" w:rsidRPr="000322E4">
        <w:instrText xml:space="preserve"> </w:instrText>
      </w:r>
      <w:r w:rsidR="00C37789" w:rsidRPr="000322E4">
        <w:rPr>
          <w:lang w:val="en-US"/>
        </w:rPr>
        <w:instrText>was</w:instrText>
      </w:r>
      <w:r w:rsidR="00C37789" w:rsidRPr="000322E4">
        <w:instrText xml:space="preserve"> 10.6 </w:instrText>
      </w:r>
      <w:r w:rsidR="00C37789" w:rsidRPr="000322E4">
        <w:rPr>
          <w:lang w:val="en-US"/>
        </w:rPr>
        <w:instrText>months</w:instrText>
      </w:r>
      <w:r w:rsidR="00C37789" w:rsidRPr="000322E4">
        <w:instrText xml:space="preserve">. </w:instrText>
      </w:r>
      <w:r w:rsidR="00C37789" w:rsidRPr="000322E4">
        <w:rPr>
          <w:lang w:val="en-US"/>
        </w:rPr>
        <w:instrText>Probabilities</w:instrText>
      </w:r>
      <w:r w:rsidR="00C37789" w:rsidRPr="000322E4">
        <w:instrText xml:space="preserve"> </w:instrText>
      </w:r>
      <w:r w:rsidR="00C37789" w:rsidRPr="000322E4">
        <w:rPr>
          <w:lang w:val="en-US"/>
        </w:rPr>
        <w:instrText>of</w:instrText>
      </w:r>
      <w:r w:rsidR="00C37789" w:rsidRPr="000322E4">
        <w:instrText xml:space="preserve"> 1-</w:instrText>
      </w:r>
      <w:r w:rsidR="00C37789" w:rsidRPr="000322E4">
        <w:rPr>
          <w:lang w:val="en-US"/>
        </w:rPr>
        <w:instrText>year</w:instrText>
      </w:r>
      <w:r w:rsidR="00C37789" w:rsidRPr="000322E4">
        <w:instrText xml:space="preserve"> </w:instrText>
      </w:r>
      <w:r w:rsidR="00C37789" w:rsidRPr="000322E4">
        <w:rPr>
          <w:lang w:val="en-US"/>
        </w:rPr>
        <w:instrText>progression</w:instrText>
      </w:r>
      <w:r w:rsidR="00C37789" w:rsidRPr="000322E4">
        <w:instrText>-</w:instrText>
      </w:r>
      <w:r w:rsidR="00C37789" w:rsidRPr="000322E4">
        <w:rPr>
          <w:lang w:val="en-US"/>
        </w:rPr>
        <w:instrText>free</w:instrText>
      </w:r>
      <w:r w:rsidR="00C37789" w:rsidRPr="000322E4">
        <w:instrText xml:space="preserve"> </w:instrText>
      </w:r>
      <w:r w:rsidR="00C37789" w:rsidRPr="000322E4">
        <w:rPr>
          <w:lang w:val="en-US"/>
        </w:rPr>
        <w:instrText>survival</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overall</w:instrText>
      </w:r>
      <w:r w:rsidR="00C37789" w:rsidRPr="000322E4">
        <w:instrText xml:space="preserve"> </w:instrText>
      </w:r>
      <w:r w:rsidR="00C37789" w:rsidRPr="000322E4">
        <w:rPr>
          <w:lang w:val="en-US"/>
        </w:rPr>
        <w:instrText>survival</w:instrText>
      </w:r>
      <w:r w:rsidR="00C37789" w:rsidRPr="000322E4">
        <w:instrText xml:space="preserve"> </w:instrText>
      </w:r>
      <w:r w:rsidR="00C37789" w:rsidRPr="000322E4">
        <w:rPr>
          <w:lang w:val="en-US"/>
        </w:rPr>
        <w:instrText>were</w:instrText>
      </w:r>
      <w:r w:rsidR="00C37789" w:rsidRPr="000322E4">
        <w:instrText xml:space="preserve"> 47% (95% </w:instrText>
      </w:r>
      <w:r w:rsidR="00C37789" w:rsidRPr="000322E4">
        <w:rPr>
          <w:lang w:val="en-US"/>
        </w:rPr>
        <w:instrText>CI</w:instrText>
      </w:r>
      <w:r w:rsidR="00C37789" w:rsidRPr="000322E4">
        <w:instrText xml:space="preserve"> = 26-66%) </w:instrText>
      </w:r>
      <w:r w:rsidR="00C37789" w:rsidRPr="000322E4">
        <w:rPr>
          <w:lang w:val="en-US"/>
        </w:rPr>
        <w:instrText>and 50% (95% CI = 23-72%) respectively. In conclusion, dexamethasone, cytarabine and oxaliplatin (DHAX) is a novel combination in salvage therapy for relapsed or refractory non-Hodgkin's lymphoma. It has clinically significant activity with an acceptable toxicity profile. Lack of renal toxicity makes DHAX an attractive cytoreductive regimen before high-dose chemotherapy.","author":[{"dropping-particle":"","family":"Chau","given":"Ian","non-dropping-particle":"","parse-names":false,"suffix":""},{"dropping-particle":"","family":"Webb","given":"Andrew","non-dropping-particle":"","parse-names":false,"suffix":""},{"dropping-particle":"","family":"Cunningham","given":"David","non-dropping-particle</w:instrText>
      </w:r>
      <w:r w:rsidR="00C37789" w:rsidRPr="00593501">
        <w:instrText>":"","</w:instrText>
      </w:r>
      <w:r w:rsidR="00C37789" w:rsidRPr="000322E4">
        <w:rPr>
          <w:lang w:val="en-US"/>
        </w:rPr>
        <w:instrText>parse</w:instrText>
      </w:r>
      <w:r w:rsidR="00C37789" w:rsidRPr="00593501">
        <w:instrText>-</w:instrText>
      </w:r>
      <w:r w:rsidR="00C37789" w:rsidRPr="000322E4">
        <w:rPr>
          <w:lang w:val="en-US"/>
        </w:rPr>
        <w:instrText>names</w:instrText>
      </w:r>
      <w:r w:rsidR="00C37789" w:rsidRPr="00593501">
        <w:instrText>":</w:instrText>
      </w:r>
      <w:r w:rsidR="00C37789" w:rsidRPr="000322E4">
        <w:rPr>
          <w:lang w:val="en-US"/>
        </w:rPr>
        <w:instrText>false</w:instrText>
      </w:r>
      <w:r w:rsidR="00C37789" w:rsidRPr="00593501">
        <w:instrText>,"</w:instrText>
      </w:r>
      <w:r w:rsidR="00C37789" w:rsidRPr="000322E4">
        <w:rPr>
          <w:lang w:val="en-US"/>
        </w:rPr>
        <w:instrText>suffix</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family</w:instrText>
      </w:r>
      <w:r w:rsidR="00C37789" w:rsidRPr="00593501">
        <w:instrText>":"</w:instrText>
      </w:r>
      <w:r w:rsidR="00C37789" w:rsidRPr="000322E4">
        <w:rPr>
          <w:lang w:val="en-US"/>
        </w:rPr>
        <w:instrText>Hill</w:instrText>
      </w:r>
      <w:r w:rsidR="00C37789" w:rsidRPr="00593501">
        <w:instrText>","</w:instrText>
      </w:r>
      <w:r w:rsidR="00C37789" w:rsidRPr="000322E4">
        <w:rPr>
          <w:lang w:val="en-US"/>
        </w:rPr>
        <w:instrText>given</w:instrText>
      </w:r>
      <w:r w:rsidR="00C37789" w:rsidRPr="00593501">
        <w:instrText>":"</w:instrText>
      </w:r>
      <w:r w:rsidR="00C37789" w:rsidRPr="000322E4">
        <w:rPr>
          <w:lang w:val="en-US"/>
        </w:rPr>
        <w:instrText>Mark</w:instrText>
      </w:r>
      <w:r w:rsidR="00C37789" w:rsidRPr="00593501">
        <w:instrText>","</w:instrText>
      </w:r>
      <w:r w:rsidR="00C37789" w:rsidRPr="000322E4">
        <w:rPr>
          <w:lang w:val="en-US"/>
        </w:rPr>
        <w:instrText>non</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parse</w:instrText>
      </w:r>
      <w:r w:rsidR="00C37789" w:rsidRPr="00593501">
        <w:instrText>-</w:instrText>
      </w:r>
      <w:r w:rsidR="00C37789" w:rsidRPr="000322E4">
        <w:rPr>
          <w:lang w:val="en-US"/>
        </w:rPr>
        <w:instrText>names</w:instrText>
      </w:r>
      <w:r w:rsidR="00C37789" w:rsidRPr="00593501">
        <w:instrText>":</w:instrText>
      </w:r>
      <w:r w:rsidR="00C37789" w:rsidRPr="000322E4">
        <w:rPr>
          <w:lang w:val="en-US"/>
        </w:rPr>
        <w:instrText>false</w:instrText>
      </w:r>
      <w:r w:rsidR="00C37789" w:rsidRPr="00593501">
        <w:instrText>,"</w:instrText>
      </w:r>
      <w:r w:rsidR="00C37789" w:rsidRPr="000322E4">
        <w:rPr>
          <w:lang w:val="en-US"/>
        </w:rPr>
        <w:instrText>suffix</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family</w:instrText>
      </w:r>
      <w:r w:rsidR="00C37789" w:rsidRPr="00593501">
        <w:instrText>":"</w:instrText>
      </w:r>
      <w:r w:rsidR="00C37789" w:rsidRPr="000322E4">
        <w:rPr>
          <w:lang w:val="en-US"/>
        </w:rPr>
        <w:instrText>Rao</w:instrText>
      </w:r>
      <w:r w:rsidR="00C37789" w:rsidRPr="00593501">
        <w:instrText>","</w:instrText>
      </w:r>
      <w:r w:rsidR="00C37789" w:rsidRPr="000322E4">
        <w:rPr>
          <w:lang w:val="en-US"/>
        </w:rPr>
        <w:instrText>given</w:instrText>
      </w:r>
      <w:r w:rsidR="00C37789" w:rsidRPr="00593501">
        <w:instrText>":"</w:instrText>
      </w:r>
      <w:r w:rsidR="00C37789" w:rsidRPr="000322E4">
        <w:rPr>
          <w:lang w:val="en-US"/>
        </w:rPr>
        <w:instrText>Sheela</w:instrText>
      </w:r>
      <w:r w:rsidR="00C37789" w:rsidRPr="00593501">
        <w:instrText>","</w:instrText>
      </w:r>
      <w:r w:rsidR="00C37789" w:rsidRPr="000322E4">
        <w:rPr>
          <w:lang w:val="en-US"/>
        </w:rPr>
        <w:instrText>non</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parse</w:instrText>
      </w:r>
      <w:r w:rsidR="00C37789" w:rsidRPr="00593501">
        <w:instrText>-</w:instrText>
      </w:r>
      <w:r w:rsidR="00C37789" w:rsidRPr="000322E4">
        <w:rPr>
          <w:lang w:val="en-US"/>
        </w:rPr>
        <w:instrText>names</w:instrText>
      </w:r>
      <w:r w:rsidR="00C37789" w:rsidRPr="00593501">
        <w:instrText>":</w:instrText>
      </w:r>
      <w:r w:rsidR="00C37789" w:rsidRPr="000322E4">
        <w:rPr>
          <w:lang w:val="en-US"/>
        </w:rPr>
        <w:instrText>false</w:instrText>
      </w:r>
      <w:r w:rsidR="00C37789" w:rsidRPr="00593501">
        <w:instrText>,"</w:instrText>
      </w:r>
      <w:r w:rsidR="00C37789" w:rsidRPr="000322E4">
        <w:rPr>
          <w:lang w:val="en-US"/>
        </w:rPr>
        <w:instrText>suffix</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family</w:instrText>
      </w:r>
      <w:r w:rsidR="00C37789" w:rsidRPr="00593501">
        <w:instrText>":"</w:instrText>
      </w:r>
      <w:r w:rsidR="00C37789" w:rsidRPr="000322E4">
        <w:rPr>
          <w:lang w:val="en-US"/>
        </w:rPr>
        <w:instrText>Ageli</w:instrText>
      </w:r>
      <w:r w:rsidR="00C37789" w:rsidRPr="00593501">
        <w:instrText>","</w:instrText>
      </w:r>
      <w:r w:rsidR="00C37789" w:rsidRPr="000322E4">
        <w:rPr>
          <w:lang w:val="en-US"/>
        </w:rPr>
        <w:instrText>given</w:instrText>
      </w:r>
      <w:r w:rsidR="00C37789" w:rsidRPr="00593501">
        <w:instrText>":"</w:instrText>
      </w:r>
      <w:r w:rsidR="00C37789" w:rsidRPr="000322E4">
        <w:rPr>
          <w:lang w:val="en-US"/>
        </w:rPr>
        <w:instrText>Suad</w:instrText>
      </w:r>
      <w:r w:rsidR="00C37789" w:rsidRPr="00593501">
        <w:instrText>","</w:instrText>
      </w:r>
      <w:r w:rsidR="00C37789" w:rsidRPr="000322E4">
        <w:rPr>
          <w:lang w:val="en-US"/>
        </w:rPr>
        <w:instrText>non</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parse</w:instrText>
      </w:r>
      <w:r w:rsidR="00C37789" w:rsidRPr="00593501">
        <w:instrText>-</w:instrText>
      </w:r>
      <w:r w:rsidR="00C37789" w:rsidRPr="000322E4">
        <w:rPr>
          <w:lang w:val="en-US"/>
        </w:rPr>
        <w:instrText>names</w:instrText>
      </w:r>
      <w:r w:rsidR="00C37789" w:rsidRPr="00593501">
        <w:instrText>":</w:instrText>
      </w:r>
      <w:r w:rsidR="00C37789" w:rsidRPr="000322E4">
        <w:rPr>
          <w:lang w:val="en-US"/>
        </w:rPr>
        <w:instrText>false</w:instrText>
      </w:r>
      <w:r w:rsidR="00C37789" w:rsidRPr="00593501">
        <w:instrText>,"</w:instrText>
      </w:r>
      <w:r w:rsidR="00C37789" w:rsidRPr="000322E4">
        <w:rPr>
          <w:lang w:val="en-US"/>
        </w:rPr>
        <w:instrText>suffix</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family</w:instrText>
      </w:r>
      <w:r w:rsidR="00C37789" w:rsidRPr="00593501">
        <w:instrText>":"</w:instrText>
      </w:r>
      <w:r w:rsidR="00C37789" w:rsidRPr="000322E4">
        <w:rPr>
          <w:lang w:val="en-US"/>
        </w:rPr>
        <w:instrText>Norman</w:instrText>
      </w:r>
      <w:r w:rsidR="00C37789" w:rsidRPr="00593501">
        <w:instrText>","</w:instrText>
      </w:r>
      <w:r w:rsidR="00C37789" w:rsidRPr="000322E4">
        <w:rPr>
          <w:lang w:val="en-US"/>
        </w:rPr>
        <w:instrText>given</w:instrText>
      </w:r>
      <w:r w:rsidR="00C37789" w:rsidRPr="00593501">
        <w:instrText>":"</w:instrText>
      </w:r>
      <w:r w:rsidR="00C37789" w:rsidRPr="000322E4">
        <w:rPr>
          <w:lang w:val="en-US"/>
        </w:rPr>
        <w:instrText>Andrew</w:instrText>
      </w:r>
      <w:r w:rsidR="00C37789" w:rsidRPr="00593501">
        <w:instrText>","</w:instrText>
      </w:r>
      <w:r w:rsidR="00C37789" w:rsidRPr="000322E4">
        <w:rPr>
          <w:lang w:val="en-US"/>
        </w:rPr>
        <w:instrText>non</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parse</w:instrText>
      </w:r>
      <w:r w:rsidR="00C37789" w:rsidRPr="00593501">
        <w:instrText>-</w:instrText>
      </w:r>
      <w:r w:rsidR="00C37789" w:rsidRPr="000322E4">
        <w:rPr>
          <w:lang w:val="en-US"/>
        </w:rPr>
        <w:instrText>names</w:instrText>
      </w:r>
      <w:r w:rsidR="00C37789" w:rsidRPr="00593501">
        <w:instrText>":</w:instrText>
      </w:r>
      <w:r w:rsidR="00C37789" w:rsidRPr="000322E4">
        <w:rPr>
          <w:lang w:val="en-US"/>
        </w:rPr>
        <w:instrText>false</w:instrText>
      </w:r>
      <w:r w:rsidR="00C37789" w:rsidRPr="00593501">
        <w:instrText>,"</w:instrText>
      </w:r>
      <w:r w:rsidR="00C37789" w:rsidRPr="000322E4">
        <w:rPr>
          <w:lang w:val="en-US"/>
        </w:rPr>
        <w:instrText>suffix</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family</w:instrText>
      </w:r>
      <w:r w:rsidR="00C37789" w:rsidRPr="00593501">
        <w:instrText>":"</w:instrText>
      </w:r>
      <w:r w:rsidR="00C37789" w:rsidRPr="000322E4">
        <w:rPr>
          <w:lang w:val="en-US"/>
        </w:rPr>
        <w:instrText>Gill</w:instrText>
      </w:r>
      <w:r w:rsidR="00C37789" w:rsidRPr="00593501">
        <w:instrText>","</w:instrText>
      </w:r>
      <w:r w:rsidR="00C37789" w:rsidRPr="000322E4">
        <w:rPr>
          <w:lang w:val="en-US"/>
        </w:rPr>
        <w:instrText>given</w:instrText>
      </w:r>
      <w:r w:rsidR="00C37789" w:rsidRPr="00593501">
        <w:instrText>":"</w:instrText>
      </w:r>
      <w:r w:rsidR="00C37789" w:rsidRPr="000322E4">
        <w:rPr>
          <w:lang w:val="en-US"/>
        </w:rPr>
        <w:instrText>Kairen</w:instrText>
      </w:r>
      <w:r w:rsidR="00C37789" w:rsidRPr="00593501">
        <w:instrText>","</w:instrText>
      </w:r>
      <w:r w:rsidR="00C37789" w:rsidRPr="000322E4">
        <w:rPr>
          <w:lang w:val="en-US"/>
        </w:rPr>
        <w:instrText>non</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parse</w:instrText>
      </w:r>
      <w:r w:rsidR="00C37789" w:rsidRPr="00593501">
        <w:instrText>-</w:instrText>
      </w:r>
      <w:r w:rsidR="00C37789" w:rsidRPr="000322E4">
        <w:rPr>
          <w:lang w:val="en-US"/>
        </w:rPr>
        <w:instrText>names</w:instrText>
      </w:r>
      <w:r w:rsidR="00C37789" w:rsidRPr="00593501">
        <w:instrText>":</w:instrText>
      </w:r>
      <w:r w:rsidR="00C37789" w:rsidRPr="000322E4">
        <w:rPr>
          <w:lang w:val="en-US"/>
        </w:rPr>
        <w:instrText>false</w:instrText>
      </w:r>
      <w:r w:rsidR="00C37789" w:rsidRPr="00593501">
        <w:instrText>,"</w:instrText>
      </w:r>
      <w:r w:rsidR="00C37789" w:rsidRPr="000322E4">
        <w:rPr>
          <w:lang w:val="en-US"/>
        </w:rPr>
        <w:instrText>suffix</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family</w:instrText>
      </w:r>
      <w:r w:rsidR="00C37789" w:rsidRPr="00593501">
        <w:instrText>":"</w:instrText>
      </w:r>
      <w:r w:rsidR="00C37789" w:rsidRPr="000322E4">
        <w:rPr>
          <w:lang w:val="en-US"/>
        </w:rPr>
        <w:instrText>Howard</w:instrText>
      </w:r>
      <w:r w:rsidR="00C37789" w:rsidRPr="00593501">
        <w:instrText>","</w:instrText>
      </w:r>
      <w:r w:rsidR="00C37789" w:rsidRPr="000322E4">
        <w:rPr>
          <w:lang w:val="en-US"/>
        </w:rPr>
        <w:instrText>given</w:instrText>
      </w:r>
      <w:r w:rsidR="00C37789" w:rsidRPr="00593501">
        <w:instrText>":"</w:instrText>
      </w:r>
      <w:r w:rsidR="00C37789" w:rsidRPr="000322E4">
        <w:rPr>
          <w:lang w:val="en-US"/>
        </w:rPr>
        <w:instrText>Anne</w:instrText>
      </w:r>
      <w:r w:rsidR="00C37789" w:rsidRPr="00593501">
        <w:instrText>","</w:instrText>
      </w:r>
      <w:r w:rsidR="00C37789" w:rsidRPr="000322E4">
        <w:rPr>
          <w:lang w:val="en-US"/>
        </w:rPr>
        <w:instrText>non</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parse</w:instrText>
      </w:r>
      <w:r w:rsidR="00C37789" w:rsidRPr="00593501">
        <w:instrText>-</w:instrText>
      </w:r>
      <w:r w:rsidR="00C37789" w:rsidRPr="000322E4">
        <w:rPr>
          <w:lang w:val="en-US"/>
        </w:rPr>
        <w:instrText>names</w:instrText>
      </w:r>
      <w:r w:rsidR="00C37789" w:rsidRPr="00593501">
        <w:instrText>":</w:instrText>
      </w:r>
      <w:r w:rsidR="00C37789" w:rsidRPr="000322E4">
        <w:rPr>
          <w:lang w:val="en-US"/>
        </w:rPr>
        <w:instrText>false</w:instrText>
      </w:r>
      <w:r w:rsidR="00C37789" w:rsidRPr="00593501">
        <w:instrText>,"</w:instrText>
      </w:r>
      <w:r w:rsidR="00C37789" w:rsidRPr="000322E4">
        <w:rPr>
          <w:lang w:val="en-US"/>
        </w:rPr>
        <w:instrText>suffix</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family</w:instrText>
      </w:r>
      <w:r w:rsidR="00C37789" w:rsidRPr="00593501">
        <w:instrText>":"</w:instrText>
      </w:r>
      <w:r w:rsidR="00C37789" w:rsidRPr="000322E4">
        <w:rPr>
          <w:lang w:val="en-US"/>
        </w:rPr>
        <w:instrText>Catovsky</w:instrText>
      </w:r>
      <w:r w:rsidR="00C37789" w:rsidRPr="00593501">
        <w:instrText>","</w:instrText>
      </w:r>
      <w:r w:rsidR="00C37789" w:rsidRPr="000322E4">
        <w:rPr>
          <w:lang w:val="en-US"/>
        </w:rPr>
        <w:instrText>given</w:instrText>
      </w:r>
      <w:r w:rsidR="00C37789" w:rsidRPr="00593501">
        <w:instrText>":"</w:instrText>
      </w:r>
      <w:r w:rsidR="00C37789" w:rsidRPr="000322E4">
        <w:rPr>
          <w:lang w:val="en-US"/>
        </w:rPr>
        <w:instrText>Daniel</w:instrText>
      </w:r>
      <w:r w:rsidR="00C37789" w:rsidRPr="00593501">
        <w:instrText>","</w:instrText>
      </w:r>
      <w:r w:rsidR="00C37789" w:rsidRPr="000322E4">
        <w:rPr>
          <w:lang w:val="en-US"/>
        </w:rPr>
        <w:instrText>non</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parse</w:instrText>
      </w:r>
      <w:r w:rsidR="00C37789" w:rsidRPr="00593501">
        <w:instrText>-</w:instrText>
      </w:r>
      <w:r w:rsidR="00C37789" w:rsidRPr="000322E4">
        <w:rPr>
          <w:lang w:val="en-US"/>
        </w:rPr>
        <w:instrText>names</w:instrText>
      </w:r>
      <w:r w:rsidR="00C37789" w:rsidRPr="00593501">
        <w:instrText>":</w:instrText>
      </w:r>
      <w:r w:rsidR="00C37789" w:rsidRPr="000322E4">
        <w:rPr>
          <w:lang w:val="en-US"/>
        </w:rPr>
        <w:instrText>false</w:instrText>
      </w:r>
      <w:r w:rsidR="00C37789" w:rsidRPr="00593501">
        <w:instrText>,"</w:instrText>
      </w:r>
      <w:r w:rsidR="00C37789" w:rsidRPr="000322E4">
        <w:rPr>
          <w:lang w:val="en-US"/>
        </w:rPr>
        <w:instrText>suffix</w:instrText>
      </w:r>
      <w:r w:rsidR="00C37789" w:rsidRPr="00593501">
        <w:instrText>":""}],"</w:instrText>
      </w:r>
      <w:r w:rsidR="00C37789" w:rsidRPr="000322E4">
        <w:rPr>
          <w:lang w:val="en-US"/>
        </w:rPr>
        <w:instrText>container</w:instrText>
      </w:r>
      <w:r w:rsidR="00C37789" w:rsidRPr="00593501">
        <w:instrText>-</w:instrText>
      </w:r>
      <w:r w:rsidR="00C37789" w:rsidRPr="000322E4">
        <w:rPr>
          <w:lang w:val="en-US"/>
        </w:rPr>
        <w:instrText>title</w:instrText>
      </w:r>
      <w:r w:rsidR="00C37789" w:rsidRPr="00593501">
        <w:instrText>":"</w:instrText>
      </w:r>
      <w:r w:rsidR="00C37789" w:rsidRPr="000322E4">
        <w:rPr>
          <w:lang w:val="en-US"/>
        </w:rPr>
        <w:instrText>British</w:instrText>
      </w:r>
      <w:r w:rsidR="00C37789" w:rsidRPr="00593501">
        <w:instrText xml:space="preserve"> </w:instrText>
      </w:r>
      <w:r w:rsidR="00C37789" w:rsidRPr="000322E4">
        <w:rPr>
          <w:lang w:val="en-US"/>
        </w:rPr>
        <w:instrText>Journal</w:instrText>
      </w:r>
      <w:r w:rsidR="00C37789" w:rsidRPr="00593501">
        <w:instrText xml:space="preserve"> </w:instrText>
      </w:r>
      <w:r w:rsidR="00C37789" w:rsidRPr="000322E4">
        <w:rPr>
          <w:lang w:val="en-US"/>
        </w:rPr>
        <w:instrText>of</w:instrText>
      </w:r>
      <w:r w:rsidR="00C37789" w:rsidRPr="00593501">
        <w:instrText xml:space="preserve"> </w:instrText>
      </w:r>
      <w:r w:rsidR="00C37789" w:rsidRPr="000322E4">
        <w:rPr>
          <w:lang w:val="en-US"/>
        </w:rPr>
        <w:instrText>Haematology</w:instrText>
      </w:r>
      <w:r w:rsidR="00C37789" w:rsidRPr="00593501">
        <w:instrText>","</w:instrText>
      </w:r>
      <w:r w:rsidR="00C37789" w:rsidRPr="000322E4">
        <w:rPr>
          <w:lang w:val="en-US"/>
        </w:rPr>
        <w:instrText>id</w:instrText>
      </w:r>
      <w:r w:rsidR="00C37789" w:rsidRPr="00593501">
        <w:instrText>":"</w:instrText>
      </w:r>
      <w:r w:rsidR="00C37789" w:rsidRPr="000322E4">
        <w:rPr>
          <w:lang w:val="en-US"/>
        </w:rPr>
        <w:instrText>ITEM</w:instrText>
      </w:r>
      <w:r w:rsidR="00C37789" w:rsidRPr="00593501">
        <w:instrText>-1","</w:instrText>
      </w:r>
      <w:r w:rsidR="00C37789" w:rsidRPr="000322E4">
        <w:rPr>
          <w:lang w:val="en-US"/>
        </w:rPr>
        <w:instrText>issue</w:instrText>
      </w:r>
      <w:r w:rsidR="00C37789" w:rsidRPr="00593501">
        <w:instrText>":"4","</w:instrText>
      </w:r>
      <w:r w:rsidR="00C37789" w:rsidRPr="000322E4">
        <w:rPr>
          <w:lang w:val="en-US"/>
        </w:rPr>
        <w:instrText>issued</w:instrText>
      </w:r>
      <w:r w:rsidR="00C37789" w:rsidRPr="00593501">
        <w:instrText>":{"</w:instrText>
      </w:r>
      <w:r w:rsidR="00C37789" w:rsidRPr="000322E4">
        <w:rPr>
          <w:lang w:val="en-US"/>
        </w:rPr>
        <w:instrText>date</w:instrText>
      </w:r>
      <w:r w:rsidR="00C37789" w:rsidRPr="00593501">
        <w:instrText>-</w:instrText>
      </w:r>
      <w:r w:rsidR="00C37789" w:rsidRPr="000322E4">
        <w:rPr>
          <w:lang w:val="en-US"/>
        </w:rPr>
        <w:instrText>parts</w:instrText>
      </w:r>
      <w:r w:rsidR="00C37789" w:rsidRPr="00593501">
        <w:instrText>":[["2001","12"]]},"</w:instrText>
      </w:r>
      <w:r w:rsidR="00C37789" w:rsidRPr="000322E4">
        <w:rPr>
          <w:lang w:val="en-US"/>
        </w:rPr>
        <w:instrText>page</w:instrText>
      </w:r>
      <w:r w:rsidR="00C37789" w:rsidRPr="00593501">
        <w:instrText>":"786-792","</w:instrText>
      </w:r>
      <w:r w:rsidR="00C37789" w:rsidRPr="000322E4">
        <w:rPr>
          <w:lang w:val="en-US"/>
        </w:rPr>
        <w:instrText>title</w:instrText>
      </w:r>
      <w:r w:rsidR="00C37789" w:rsidRPr="00593501">
        <w:instrText>":"</w:instrText>
      </w:r>
      <w:r w:rsidR="00C37789" w:rsidRPr="000322E4">
        <w:rPr>
          <w:lang w:val="en-US"/>
        </w:rPr>
        <w:instrText>An</w:instrText>
      </w:r>
      <w:r w:rsidR="00C37789" w:rsidRPr="00593501">
        <w:instrText xml:space="preserve"> </w:instrText>
      </w:r>
      <w:r w:rsidR="00C37789" w:rsidRPr="000322E4">
        <w:rPr>
          <w:lang w:val="en-US"/>
        </w:rPr>
        <w:instrText>oxaliplatin</w:instrText>
      </w:r>
      <w:r w:rsidR="00C37789" w:rsidRPr="00593501">
        <w:instrText>-</w:instrText>
      </w:r>
      <w:r w:rsidR="00C37789" w:rsidRPr="000322E4">
        <w:rPr>
          <w:lang w:val="en-US"/>
        </w:rPr>
        <w:instrText>based</w:instrText>
      </w:r>
      <w:r w:rsidR="00C37789" w:rsidRPr="00593501">
        <w:instrText xml:space="preserve"> </w:instrText>
      </w:r>
      <w:r w:rsidR="00C37789" w:rsidRPr="000322E4">
        <w:rPr>
          <w:lang w:val="en-US"/>
        </w:rPr>
        <w:instrText>chemotherapy</w:instrText>
      </w:r>
      <w:r w:rsidR="00C37789" w:rsidRPr="00593501">
        <w:instrText xml:space="preserve"> </w:instrText>
      </w:r>
      <w:r w:rsidR="00C37789" w:rsidRPr="000322E4">
        <w:rPr>
          <w:lang w:val="en-US"/>
        </w:rPr>
        <w:instrText>in</w:instrText>
      </w:r>
      <w:r w:rsidR="00C37789" w:rsidRPr="00593501">
        <w:instrText xml:space="preserve"> </w:instrText>
      </w:r>
      <w:r w:rsidR="00C37789" w:rsidRPr="000322E4">
        <w:rPr>
          <w:lang w:val="en-US"/>
        </w:rPr>
        <w:instrText>patients</w:instrText>
      </w:r>
      <w:r w:rsidR="00C37789" w:rsidRPr="00593501">
        <w:instrText xml:space="preserve"> </w:instrText>
      </w:r>
      <w:r w:rsidR="00C37789" w:rsidRPr="000322E4">
        <w:rPr>
          <w:lang w:val="en-US"/>
        </w:rPr>
        <w:instrText>with</w:instrText>
      </w:r>
      <w:r w:rsidR="00C37789" w:rsidRPr="00593501">
        <w:instrText xml:space="preserve"> </w:instrText>
      </w:r>
      <w:r w:rsidR="00C37789" w:rsidRPr="000322E4">
        <w:rPr>
          <w:lang w:val="en-US"/>
        </w:rPr>
        <w:instrText>relapsed</w:instrText>
      </w:r>
      <w:r w:rsidR="00C37789" w:rsidRPr="00593501">
        <w:instrText xml:space="preserve"> </w:instrText>
      </w:r>
      <w:r w:rsidR="00C37789" w:rsidRPr="000322E4">
        <w:rPr>
          <w:lang w:val="en-US"/>
        </w:rPr>
        <w:instrText>or</w:instrText>
      </w:r>
      <w:r w:rsidR="00C37789" w:rsidRPr="00593501">
        <w:instrText xml:space="preserve"> </w:instrText>
      </w:r>
      <w:r w:rsidR="00C37789" w:rsidRPr="000322E4">
        <w:rPr>
          <w:lang w:val="en-US"/>
        </w:rPr>
        <w:instrText>refractory</w:instrText>
      </w:r>
      <w:r w:rsidR="00C37789" w:rsidRPr="00593501">
        <w:instrText xml:space="preserve"> </w:instrText>
      </w:r>
      <w:r w:rsidR="00C37789" w:rsidRPr="000322E4">
        <w:rPr>
          <w:lang w:val="en-US"/>
        </w:rPr>
        <w:instrText>intermediate</w:instrText>
      </w:r>
      <w:r w:rsidR="00C37789" w:rsidRPr="00593501">
        <w:instrText xml:space="preserve"> </w:instrText>
      </w:r>
      <w:r w:rsidR="00C37789" w:rsidRPr="000322E4">
        <w:rPr>
          <w:lang w:val="en-US"/>
        </w:rPr>
        <w:instrText>and</w:instrText>
      </w:r>
      <w:r w:rsidR="00C37789" w:rsidRPr="00593501">
        <w:instrText xml:space="preserve"> </w:instrText>
      </w:r>
      <w:r w:rsidR="00C37789" w:rsidRPr="000322E4">
        <w:rPr>
          <w:lang w:val="en-US"/>
        </w:rPr>
        <w:instrText>high</w:instrText>
      </w:r>
      <w:r w:rsidR="00C37789" w:rsidRPr="00593501">
        <w:instrText>-</w:instrText>
      </w:r>
      <w:r w:rsidR="00C37789" w:rsidRPr="000322E4">
        <w:rPr>
          <w:lang w:val="en-US"/>
        </w:rPr>
        <w:instrText>grade</w:instrText>
      </w:r>
      <w:r w:rsidR="00C37789" w:rsidRPr="00593501">
        <w:instrText xml:space="preserve"> </w:instrText>
      </w:r>
      <w:r w:rsidR="00C37789" w:rsidRPr="000322E4">
        <w:rPr>
          <w:lang w:val="en-US"/>
        </w:rPr>
        <w:instrText>non</w:instrText>
      </w:r>
      <w:r w:rsidR="00C37789" w:rsidRPr="00593501">
        <w:instrText>-</w:instrText>
      </w:r>
      <w:r w:rsidR="00C37789" w:rsidRPr="000322E4">
        <w:rPr>
          <w:lang w:val="en-US"/>
        </w:rPr>
        <w:instrText>Hodgkin</w:instrText>
      </w:r>
      <w:r w:rsidR="00C37789" w:rsidRPr="00593501">
        <w:instrText>'</w:instrText>
      </w:r>
      <w:r w:rsidR="00C37789" w:rsidRPr="000322E4">
        <w:rPr>
          <w:lang w:val="en-US"/>
        </w:rPr>
        <w:instrText>s</w:instrText>
      </w:r>
      <w:r w:rsidR="00C37789" w:rsidRPr="00593501">
        <w:instrText xml:space="preserve"> </w:instrText>
      </w:r>
      <w:r w:rsidR="00C37789" w:rsidRPr="000322E4">
        <w:rPr>
          <w:lang w:val="en-US"/>
        </w:rPr>
        <w:instrText>lymphoma</w:instrText>
      </w:r>
      <w:r w:rsidR="00C37789" w:rsidRPr="00593501">
        <w:instrText>","</w:instrText>
      </w:r>
      <w:r w:rsidR="00C37789" w:rsidRPr="000322E4">
        <w:rPr>
          <w:lang w:val="en-US"/>
        </w:rPr>
        <w:instrText>type</w:instrText>
      </w:r>
      <w:r w:rsidR="00C37789" w:rsidRPr="00593501">
        <w:instrText>":"</w:instrText>
      </w:r>
      <w:r w:rsidR="00C37789" w:rsidRPr="000322E4">
        <w:rPr>
          <w:lang w:val="en-US"/>
        </w:rPr>
        <w:instrText>article</w:instrText>
      </w:r>
      <w:r w:rsidR="00C37789" w:rsidRPr="00593501">
        <w:instrText>-</w:instrText>
      </w:r>
      <w:r w:rsidR="00C37789" w:rsidRPr="000322E4">
        <w:rPr>
          <w:lang w:val="en-US"/>
        </w:rPr>
        <w:instrText>journal</w:instrText>
      </w:r>
      <w:r w:rsidR="00C37789" w:rsidRPr="00593501">
        <w:instrText>","</w:instrText>
      </w:r>
      <w:r w:rsidR="00C37789" w:rsidRPr="000322E4">
        <w:rPr>
          <w:lang w:val="en-US"/>
        </w:rPr>
        <w:instrText>volume</w:instrText>
      </w:r>
      <w:r w:rsidR="00C37789" w:rsidRPr="00593501">
        <w:instrText>":"115"},"</w:instrText>
      </w:r>
      <w:r w:rsidR="00C37789" w:rsidRPr="000322E4">
        <w:rPr>
          <w:lang w:val="en-US"/>
        </w:rPr>
        <w:instrText>uris</w:instrText>
      </w:r>
      <w:r w:rsidR="00C37789" w:rsidRPr="00593501">
        <w:instrText>":["</w:instrText>
      </w:r>
      <w:r w:rsidR="00C37789" w:rsidRPr="000322E4">
        <w:rPr>
          <w:lang w:val="en-US"/>
        </w:rPr>
        <w:instrText>http</w:instrText>
      </w:r>
      <w:r w:rsidR="00C37789" w:rsidRPr="00593501">
        <w:instrText>://</w:instrText>
      </w:r>
      <w:r w:rsidR="00C37789" w:rsidRPr="000322E4">
        <w:rPr>
          <w:lang w:val="en-US"/>
        </w:rPr>
        <w:instrText>www</w:instrText>
      </w:r>
      <w:r w:rsidR="00C37789" w:rsidRPr="00593501">
        <w:instrText>.</w:instrText>
      </w:r>
      <w:r w:rsidR="00C37789" w:rsidRPr="000322E4">
        <w:rPr>
          <w:lang w:val="en-US"/>
        </w:rPr>
        <w:instrText>mendeley</w:instrText>
      </w:r>
      <w:r w:rsidR="00C37789" w:rsidRPr="00593501">
        <w:instrText>.</w:instrText>
      </w:r>
      <w:r w:rsidR="00C37789" w:rsidRPr="000322E4">
        <w:rPr>
          <w:lang w:val="en-US"/>
        </w:rPr>
        <w:instrText>com</w:instrText>
      </w:r>
      <w:r w:rsidR="00C37789" w:rsidRPr="00593501">
        <w:instrText>/</w:instrText>
      </w:r>
      <w:r w:rsidR="00C37789" w:rsidRPr="000322E4">
        <w:rPr>
          <w:lang w:val="en-US"/>
        </w:rPr>
        <w:instrText>documents</w:instrText>
      </w:r>
      <w:r w:rsidR="00C37789" w:rsidRPr="00593501">
        <w:instrText>/?</w:instrText>
      </w:r>
      <w:r w:rsidR="00C37789" w:rsidRPr="000322E4">
        <w:rPr>
          <w:lang w:val="en-US"/>
        </w:rPr>
        <w:instrText>uuid</w:instrText>
      </w:r>
      <w:r w:rsidR="00C37789" w:rsidRPr="00593501">
        <w:instrText>=</w:instrText>
      </w:r>
      <w:r w:rsidR="00C37789" w:rsidRPr="000322E4">
        <w:rPr>
          <w:lang w:val="en-US"/>
        </w:rPr>
        <w:instrText>f</w:instrText>
      </w:r>
      <w:r w:rsidR="00C37789" w:rsidRPr="00593501">
        <w:instrText>4</w:instrText>
      </w:r>
      <w:r w:rsidR="00C37789" w:rsidRPr="000322E4">
        <w:rPr>
          <w:lang w:val="en-US"/>
        </w:rPr>
        <w:instrText>c</w:instrText>
      </w:r>
      <w:r w:rsidR="00C37789" w:rsidRPr="00593501">
        <w:instrText>05131-9586-3</w:instrText>
      </w:r>
      <w:r w:rsidR="00C37789" w:rsidRPr="000322E4">
        <w:rPr>
          <w:lang w:val="en-US"/>
        </w:rPr>
        <w:instrText>f</w:instrText>
      </w:r>
      <w:r w:rsidR="00C37789" w:rsidRPr="00593501">
        <w:instrText>40-</w:instrText>
      </w:r>
      <w:r w:rsidR="00C37789" w:rsidRPr="000322E4">
        <w:rPr>
          <w:lang w:val="en-US"/>
        </w:rPr>
        <w:instrText>ad</w:instrText>
      </w:r>
      <w:r w:rsidR="00C37789" w:rsidRPr="00593501">
        <w:instrText>46-6</w:instrText>
      </w:r>
      <w:r w:rsidR="00C37789" w:rsidRPr="000322E4">
        <w:rPr>
          <w:lang w:val="en-US"/>
        </w:rPr>
        <w:instrText>e</w:instrText>
      </w:r>
      <w:r w:rsidR="00C37789" w:rsidRPr="00593501">
        <w:instrText>84</w:instrText>
      </w:r>
      <w:r w:rsidR="00C37789" w:rsidRPr="000322E4">
        <w:rPr>
          <w:lang w:val="en-US"/>
        </w:rPr>
        <w:instrText>e</w:instrText>
      </w:r>
      <w:r w:rsidR="00C37789" w:rsidRPr="00593501">
        <w:instrText>6</w:instrText>
      </w:r>
      <w:r w:rsidR="00C37789" w:rsidRPr="000322E4">
        <w:rPr>
          <w:lang w:val="en-US"/>
        </w:rPr>
        <w:instrText>b</w:instrText>
      </w:r>
      <w:r w:rsidR="00C37789" w:rsidRPr="00593501">
        <w:instrText>61</w:instrText>
      </w:r>
      <w:r w:rsidR="00C37789" w:rsidRPr="000322E4">
        <w:rPr>
          <w:lang w:val="en-US"/>
        </w:rPr>
        <w:instrText>c</w:instrText>
      </w:r>
      <w:r w:rsidR="00C37789" w:rsidRPr="00593501">
        <w:instrText>46"]}],"</w:instrText>
      </w:r>
      <w:r w:rsidR="00C37789" w:rsidRPr="000322E4">
        <w:rPr>
          <w:lang w:val="en-US"/>
        </w:rPr>
        <w:instrText>mendeley</w:instrText>
      </w:r>
      <w:r w:rsidR="00C37789" w:rsidRPr="00593501">
        <w:instrText>":{"</w:instrText>
      </w:r>
      <w:r w:rsidR="00C37789" w:rsidRPr="000322E4">
        <w:rPr>
          <w:lang w:val="en-US"/>
        </w:rPr>
        <w:instrText>formattedCitation</w:instrText>
      </w:r>
      <w:r w:rsidR="00C37789" w:rsidRPr="00593501">
        <w:instrText>":"[99]","</w:instrText>
      </w:r>
      <w:r w:rsidR="00C37789" w:rsidRPr="000322E4">
        <w:rPr>
          <w:lang w:val="en-US"/>
        </w:rPr>
        <w:instrText>plainTextFormattedCitation</w:instrText>
      </w:r>
      <w:r w:rsidR="00C37789" w:rsidRPr="00593501">
        <w:instrText>":"[99]","</w:instrText>
      </w:r>
      <w:r w:rsidR="00C37789" w:rsidRPr="000322E4">
        <w:rPr>
          <w:lang w:val="en-US"/>
        </w:rPr>
        <w:instrText>previouslyFormattedCitation</w:instrText>
      </w:r>
      <w:r w:rsidR="00C37789" w:rsidRPr="00593501">
        <w:instrText>":"[99]"},"</w:instrText>
      </w:r>
      <w:r w:rsidR="00C37789" w:rsidRPr="000322E4">
        <w:rPr>
          <w:lang w:val="en-US"/>
        </w:rPr>
        <w:instrText>properties</w:instrText>
      </w:r>
      <w:r w:rsidR="00C37789" w:rsidRPr="00593501">
        <w:instrText>":{"</w:instrText>
      </w:r>
      <w:r w:rsidR="00C37789" w:rsidRPr="000322E4">
        <w:rPr>
          <w:lang w:val="en-US"/>
        </w:rPr>
        <w:instrText>noteIndex</w:instrText>
      </w:r>
      <w:r w:rsidR="00C37789" w:rsidRPr="00593501">
        <w:instrText>":0},"</w:instrText>
      </w:r>
      <w:r w:rsidR="00C37789" w:rsidRPr="000322E4">
        <w:rPr>
          <w:lang w:val="en-US"/>
        </w:rPr>
        <w:instrText>schema</w:instrText>
      </w:r>
      <w:r w:rsidR="00C37789" w:rsidRPr="00593501">
        <w:instrText>":"</w:instrText>
      </w:r>
      <w:r w:rsidR="00C37789" w:rsidRPr="000322E4">
        <w:rPr>
          <w:lang w:val="en-US"/>
        </w:rPr>
        <w:instrText>https</w:instrText>
      </w:r>
      <w:r w:rsidR="00C37789" w:rsidRPr="00593501">
        <w:instrText>://</w:instrText>
      </w:r>
      <w:r w:rsidR="00C37789" w:rsidRPr="000322E4">
        <w:rPr>
          <w:lang w:val="en-US"/>
        </w:rPr>
        <w:instrText>github</w:instrText>
      </w:r>
      <w:r w:rsidR="00C37789" w:rsidRPr="00593501">
        <w:instrText>.</w:instrText>
      </w:r>
      <w:r w:rsidR="00C37789" w:rsidRPr="000322E4">
        <w:rPr>
          <w:lang w:val="en-US"/>
        </w:rPr>
        <w:instrText>com</w:instrText>
      </w:r>
      <w:r w:rsidR="00C37789" w:rsidRPr="00593501">
        <w:instrText>/</w:instrText>
      </w:r>
      <w:r w:rsidR="00C37789" w:rsidRPr="000322E4">
        <w:rPr>
          <w:lang w:val="en-US"/>
        </w:rPr>
        <w:instrText>citation</w:instrText>
      </w:r>
      <w:r w:rsidR="00C37789" w:rsidRPr="00593501">
        <w:instrText>-</w:instrText>
      </w:r>
      <w:r w:rsidR="00C37789" w:rsidRPr="000322E4">
        <w:rPr>
          <w:lang w:val="en-US"/>
        </w:rPr>
        <w:instrText>style</w:instrText>
      </w:r>
      <w:r w:rsidR="00C37789" w:rsidRPr="00593501">
        <w:instrText>-</w:instrText>
      </w:r>
      <w:r w:rsidR="00C37789" w:rsidRPr="000322E4">
        <w:rPr>
          <w:lang w:val="en-US"/>
        </w:rPr>
        <w:instrText>language</w:instrText>
      </w:r>
      <w:r w:rsidR="00C37789" w:rsidRPr="00593501">
        <w:instrText>/</w:instrText>
      </w:r>
      <w:r w:rsidR="00C37789" w:rsidRPr="000322E4">
        <w:rPr>
          <w:lang w:val="en-US"/>
        </w:rPr>
        <w:instrText>schema</w:instrText>
      </w:r>
      <w:r w:rsidR="00C37789" w:rsidRPr="00593501">
        <w:instrText>/</w:instrText>
      </w:r>
      <w:r w:rsidR="00C37789" w:rsidRPr="000322E4">
        <w:rPr>
          <w:lang w:val="en-US"/>
        </w:rPr>
        <w:instrText>raw</w:instrText>
      </w:r>
      <w:r w:rsidR="00C37789" w:rsidRPr="00593501">
        <w:instrText>/</w:instrText>
      </w:r>
      <w:r w:rsidR="00C37789" w:rsidRPr="000322E4">
        <w:rPr>
          <w:lang w:val="en-US"/>
        </w:rPr>
        <w:instrText>master</w:instrText>
      </w:r>
      <w:r w:rsidR="00C37789" w:rsidRPr="00593501">
        <w:instrText>/</w:instrText>
      </w:r>
      <w:r w:rsidR="00C37789" w:rsidRPr="000322E4">
        <w:rPr>
          <w:lang w:val="en-US"/>
        </w:rPr>
        <w:instrText>csl</w:instrText>
      </w:r>
      <w:r w:rsidR="00C37789" w:rsidRPr="00593501">
        <w:instrText>-</w:instrText>
      </w:r>
      <w:r w:rsidR="00C37789" w:rsidRPr="000322E4">
        <w:rPr>
          <w:lang w:val="en-US"/>
        </w:rPr>
        <w:instrText>citation</w:instrText>
      </w:r>
      <w:r w:rsidR="00C37789" w:rsidRPr="00593501">
        <w:instrText>.</w:instrText>
      </w:r>
      <w:r w:rsidR="00C37789" w:rsidRPr="000322E4">
        <w:rPr>
          <w:lang w:val="en-US"/>
        </w:rPr>
        <w:instrText>json</w:instrText>
      </w:r>
      <w:r w:rsidR="00C37789" w:rsidRPr="00593501">
        <w:instrText>"}</w:instrText>
      </w:r>
      <w:r w:rsidRPr="000322E4">
        <w:rPr>
          <w:lang w:val="en-US"/>
        </w:rPr>
        <w:fldChar w:fldCharType="separate"/>
      </w:r>
      <w:r w:rsidR="00C37789" w:rsidRPr="000322E4">
        <w:rPr>
          <w:noProof/>
        </w:rPr>
        <w:t>[99]</w:t>
      </w:r>
      <w:r w:rsidRPr="000322E4">
        <w:rPr>
          <w:lang w:val="en-US"/>
        </w:rPr>
        <w:fldChar w:fldCharType="end"/>
      </w:r>
    </w:p>
    <w:p w14:paraId="7CD5ED91" w14:textId="77777777" w:rsidR="00666D68" w:rsidRPr="000322E4" w:rsidRDefault="00666D68" w:rsidP="008E3584">
      <w:pPr>
        <w:numPr>
          <w:ilvl w:val="0"/>
          <w:numId w:val="46"/>
        </w:numPr>
      </w:pPr>
      <w:r w:rsidRPr="000322E4">
        <w:t>Дексаметазон</w:t>
      </w:r>
      <w:r w:rsidRPr="000322E4">
        <w:rPr>
          <w:bCs/>
        </w:rPr>
        <w:t>**</w:t>
      </w:r>
      <w:r w:rsidRPr="000322E4">
        <w:t xml:space="preserve"> 40 мг в/в, дни 1-4</w:t>
      </w:r>
    </w:p>
    <w:p w14:paraId="3607DED2" w14:textId="77777777" w:rsidR="00666D68" w:rsidRPr="000322E4" w:rsidRDefault="00666D68" w:rsidP="008E3584">
      <w:pPr>
        <w:numPr>
          <w:ilvl w:val="0"/>
          <w:numId w:val="46"/>
        </w:numPr>
      </w:pPr>
      <w:r w:rsidRPr="000322E4">
        <w:t>#Оксалиплатин</w:t>
      </w:r>
      <w:r w:rsidRPr="000322E4">
        <w:rPr>
          <w:bCs/>
        </w:rPr>
        <w:t>**</w:t>
      </w:r>
      <w:r w:rsidRPr="000322E4">
        <w:t xml:space="preserve"> 130 мг/м</w:t>
      </w:r>
      <w:r w:rsidRPr="000322E4">
        <w:rPr>
          <w:vertAlign w:val="superscript"/>
        </w:rPr>
        <w:t>2</w:t>
      </w:r>
      <w:r w:rsidRPr="000322E4">
        <w:t xml:space="preserve"> в/в кап., день 1 </w:t>
      </w:r>
    </w:p>
    <w:p w14:paraId="66FBDD9A" w14:textId="77777777" w:rsidR="00666D68" w:rsidRPr="000322E4" w:rsidRDefault="00666D68" w:rsidP="008E3584">
      <w:pPr>
        <w:numPr>
          <w:ilvl w:val="0"/>
          <w:numId w:val="46"/>
        </w:numPr>
      </w:pPr>
      <w:r w:rsidRPr="000322E4">
        <w:t>Цитарабин</w:t>
      </w:r>
      <w:r w:rsidRPr="000322E4">
        <w:rPr>
          <w:bCs/>
        </w:rPr>
        <w:t>**</w:t>
      </w:r>
      <w:r w:rsidRPr="000322E4">
        <w:t xml:space="preserve"> 2 г/м</w:t>
      </w:r>
      <w:r w:rsidRPr="000322E4">
        <w:rPr>
          <w:vertAlign w:val="superscript"/>
        </w:rPr>
        <w:t>2</w:t>
      </w:r>
      <w:r w:rsidRPr="000322E4">
        <w:t xml:space="preserve"> в/в кап., дни 2, 3</w:t>
      </w:r>
    </w:p>
    <w:p w14:paraId="67714970" w14:textId="77777777" w:rsidR="00666D68" w:rsidRPr="000322E4" w:rsidRDefault="00666D68" w:rsidP="008E3584"/>
    <w:p w14:paraId="001B4E7E" w14:textId="77777777" w:rsidR="00666D68" w:rsidRPr="000322E4" w:rsidRDefault="00666D68" w:rsidP="008E3584">
      <w:pPr>
        <w:rPr>
          <w:b/>
        </w:rPr>
      </w:pPr>
      <w:r w:rsidRPr="000322E4">
        <w:rPr>
          <w:b/>
          <w:lang w:val="en-US"/>
        </w:rPr>
        <w:t>MINE</w:t>
      </w:r>
      <w:r w:rsidRPr="000322E4">
        <w:rPr>
          <w:b/>
        </w:rPr>
        <w:t xml:space="preserve"> </w:t>
      </w:r>
      <w:r w:rsidRPr="000322E4">
        <w:rPr>
          <w:lang w:val="en-US"/>
        </w:rPr>
        <w:fldChar w:fldCharType="begin" w:fldLock="1"/>
      </w:r>
      <w:r w:rsidR="00C37789" w:rsidRPr="000322E4">
        <w:rPr>
          <w:lang w:val="en-US"/>
        </w:rPr>
        <w:instrText>ADDIN</w:instrText>
      </w:r>
      <w:r w:rsidR="00C37789" w:rsidRPr="00593501">
        <w:instrText xml:space="preserve"> </w:instrText>
      </w:r>
      <w:r w:rsidR="00C37789" w:rsidRPr="000322E4">
        <w:rPr>
          <w:lang w:val="en-US"/>
        </w:rPr>
        <w:instrText>CSL</w:instrText>
      </w:r>
      <w:r w:rsidR="00C37789" w:rsidRPr="00593501">
        <w:instrText>_</w:instrText>
      </w:r>
      <w:r w:rsidR="00C37789" w:rsidRPr="000322E4">
        <w:rPr>
          <w:lang w:val="en-US"/>
        </w:rPr>
        <w:instrText>CITATION</w:instrText>
      </w:r>
      <w:r w:rsidR="00C37789" w:rsidRPr="00593501">
        <w:instrText xml:space="preserve"> {"</w:instrText>
      </w:r>
      <w:r w:rsidR="00C37789" w:rsidRPr="000322E4">
        <w:rPr>
          <w:lang w:val="en-US"/>
        </w:rPr>
        <w:instrText>citationItems</w:instrText>
      </w:r>
      <w:r w:rsidR="00C37789" w:rsidRPr="00593501">
        <w:instrText>":[{"</w:instrText>
      </w:r>
      <w:r w:rsidR="00C37789" w:rsidRPr="000322E4">
        <w:rPr>
          <w:lang w:val="en-US"/>
        </w:rPr>
        <w:instrText>id</w:instrText>
      </w:r>
      <w:r w:rsidR="00C37789" w:rsidRPr="00593501">
        <w:instrText>":"</w:instrText>
      </w:r>
      <w:r w:rsidR="00C37789" w:rsidRPr="000322E4">
        <w:rPr>
          <w:lang w:val="en-US"/>
        </w:rPr>
        <w:instrText>ITEM</w:instrText>
      </w:r>
      <w:r w:rsidR="00C37789" w:rsidRPr="00593501">
        <w:instrText>-1","</w:instrText>
      </w:r>
      <w:r w:rsidR="00C37789" w:rsidRPr="000322E4">
        <w:rPr>
          <w:lang w:val="en-US"/>
        </w:rPr>
        <w:instrText>itemData</w:instrText>
      </w:r>
      <w:r w:rsidR="00C37789" w:rsidRPr="00593501">
        <w:instrText>":{"</w:instrText>
      </w:r>
      <w:r w:rsidR="00C37789" w:rsidRPr="000322E4">
        <w:rPr>
          <w:lang w:val="en-US"/>
        </w:rPr>
        <w:instrText>DOI</w:instrText>
      </w:r>
      <w:r w:rsidR="00C37789" w:rsidRPr="00593501">
        <w:instrText>":"10.3109/10428194.2015.1135437","</w:instrText>
      </w:r>
      <w:r w:rsidR="00C37789" w:rsidRPr="000322E4">
        <w:rPr>
          <w:lang w:val="en-US"/>
        </w:rPr>
        <w:instrText>ISSN</w:instrText>
      </w:r>
      <w:r w:rsidR="00C37789" w:rsidRPr="00593501">
        <w:instrText>":"10292403","</w:instrText>
      </w:r>
      <w:r w:rsidR="00C37789" w:rsidRPr="000322E4">
        <w:rPr>
          <w:lang w:val="en-US"/>
        </w:rPr>
        <w:instrText>author</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family</w:instrText>
      </w:r>
      <w:r w:rsidR="00C37789" w:rsidRPr="00593501">
        <w:instrText>":"</w:instrText>
      </w:r>
      <w:r w:rsidR="00C37789" w:rsidRPr="000322E4">
        <w:rPr>
          <w:lang w:val="en-US"/>
        </w:rPr>
        <w:instrText>Amorim</w:instrText>
      </w:r>
      <w:r w:rsidR="00C37789" w:rsidRPr="00593501">
        <w:instrText>","</w:instrText>
      </w:r>
      <w:r w:rsidR="00C37789" w:rsidRPr="000322E4">
        <w:rPr>
          <w:lang w:val="en-US"/>
        </w:rPr>
        <w:instrText>given</w:instrText>
      </w:r>
      <w:r w:rsidR="00C37789" w:rsidRPr="00593501">
        <w:instrText>":"</w:instrText>
      </w:r>
      <w:r w:rsidR="00C37789" w:rsidRPr="000322E4">
        <w:rPr>
          <w:lang w:val="en-US"/>
        </w:rPr>
        <w:instrText>Sandy</w:instrText>
      </w:r>
      <w:r w:rsidR="00C37789" w:rsidRPr="00593501">
        <w:instrText>","</w:instrText>
      </w:r>
      <w:r w:rsidR="00C37789" w:rsidRPr="000322E4">
        <w:rPr>
          <w:lang w:val="en-US"/>
        </w:rPr>
        <w:instrText>non</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parse</w:instrText>
      </w:r>
      <w:r w:rsidR="00C37789" w:rsidRPr="00593501">
        <w:instrText>-</w:instrText>
      </w:r>
      <w:r w:rsidR="00C37789" w:rsidRPr="000322E4">
        <w:rPr>
          <w:lang w:val="en-US"/>
        </w:rPr>
        <w:instrText>names</w:instrText>
      </w:r>
      <w:r w:rsidR="00C37789" w:rsidRPr="00593501">
        <w:instrText>":</w:instrText>
      </w:r>
      <w:r w:rsidR="00C37789" w:rsidRPr="000322E4">
        <w:rPr>
          <w:lang w:val="en-US"/>
        </w:rPr>
        <w:instrText>false</w:instrText>
      </w:r>
      <w:r w:rsidR="00C37789" w:rsidRPr="00593501">
        <w:instrText>,"</w:instrText>
      </w:r>
      <w:r w:rsidR="00C37789" w:rsidRPr="000322E4">
        <w:rPr>
          <w:lang w:val="en-US"/>
        </w:rPr>
        <w:instrText>suffix</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family</w:instrText>
      </w:r>
      <w:r w:rsidR="00C37789" w:rsidRPr="00593501">
        <w:instrText>":"</w:instrText>
      </w:r>
      <w:r w:rsidR="00C37789" w:rsidRPr="000322E4">
        <w:rPr>
          <w:lang w:val="en-US"/>
        </w:rPr>
        <w:instrText>Fleury</w:instrText>
      </w:r>
      <w:r w:rsidR="00C37789" w:rsidRPr="00593501">
        <w:instrText>","</w:instrText>
      </w:r>
      <w:r w:rsidR="00C37789" w:rsidRPr="000322E4">
        <w:rPr>
          <w:lang w:val="en-US"/>
        </w:rPr>
        <w:instrText>given</w:instrText>
      </w:r>
      <w:r w:rsidR="00C37789" w:rsidRPr="00593501">
        <w:instrText>":"</w:instrText>
      </w:r>
      <w:r w:rsidR="00C37789" w:rsidRPr="000322E4">
        <w:rPr>
          <w:lang w:val="en-US"/>
        </w:rPr>
        <w:instrText>Isabelle</w:instrText>
      </w:r>
      <w:r w:rsidR="00C37789" w:rsidRPr="00593501">
        <w:instrText>","</w:instrText>
      </w:r>
      <w:r w:rsidR="00C37789" w:rsidRPr="000322E4">
        <w:rPr>
          <w:lang w:val="en-US"/>
        </w:rPr>
        <w:instrText>non</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parse</w:instrText>
      </w:r>
      <w:r w:rsidR="00C37789" w:rsidRPr="00593501">
        <w:instrText>-</w:instrText>
      </w:r>
      <w:r w:rsidR="00C37789" w:rsidRPr="000322E4">
        <w:rPr>
          <w:lang w:val="en-US"/>
        </w:rPr>
        <w:instrText>names</w:instrText>
      </w:r>
      <w:r w:rsidR="00C37789" w:rsidRPr="00593501">
        <w:instrText>":</w:instrText>
      </w:r>
      <w:r w:rsidR="00C37789" w:rsidRPr="000322E4">
        <w:rPr>
          <w:lang w:val="en-US"/>
        </w:rPr>
        <w:instrText>false</w:instrText>
      </w:r>
      <w:r w:rsidR="00C37789" w:rsidRPr="00593501">
        <w:instrText>,"</w:instrText>
      </w:r>
      <w:r w:rsidR="00C37789" w:rsidRPr="000322E4">
        <w:rPr>
          <w:lang w:val="en-US"/>
        </w:rPr>
        <w:instrText>suffix</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family</w:instrText>
      </w:r>
      <w:r w:rsidR="00C37789" w:rsidRPr="00593501">
        <w:instrText>":"</w:instrText>
      </w:r>
      <w:r w:rsidR="00C37789" w:rsidRPr="000322E4">
        <w:rPr>
          <w:lang w:val="en-US"/>
        </w:rPr>
        <w:instrText>Mounier</w:instrText>
      </w:r>
      <w:r w:rsidR="00C37789" w:rsidRPr="00593501">
        <w:instrText>","</w:instrText>
      </w:r>
      <w:r w:rsidR="00C37789" w:rsidRPr="000322E4">
        <w:rPr>
          <w:lang w:val="en-US"/>
        </w:rPr>
        <w:instrText>given</w:instrText>
      </w:r>
      <w:r w:rsidR="00C37789" w:rsidRPr="00593501">
        <w:instrText>":"</w:instrText>
      </w:r>
      <w:r w:rsidR="00C37789" w:rsidRPr="000322E4">
        <w:rPr>
          <w:lang w:val="en-US"/>
        </w:rPr>
        <w:instrText>Nicolas</w:instrText>
      </w:r>
      <w:r w:rsidR="00C37789" w:rsidRPr="00593501">
        <w:instrText>","</w:instrText>
      </w:r>
      <w:r w:rsidR="00C37789" w:rsidRPr="000322E4">
        <w:rPr>
          <w:lang w:val="en-US"/>
        </w:rPr>
        <w:instrText>non</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parse</w:instrText>
      </w:r>
      <w:r w:rsidR="00C37789" w:rsidRPr="00593501">
        <w:instrText>-</w:instrText>
      </w:r>
      <w:r w:rsidR="00C37789" w:rsidRPr="000322E4">
        <w:rPr>
          <w:lang w:val="en-US"/>
        </w:rPr>
        <w:instrText>names</w:instrText>
      </w:r>
      <w:r w:rsidR="00C37789" w:rsidRPr="00593501">
        <w:instrText>":</w:instrText>
      </w:r>
      <w:r w:rsidR="00C37789" w:rsidRPr="000322E4">
        <w:rPr>
          <w:lang w:val="en-US"/>
        </w:rPr>
        <w:instrText>false</w:instrText>
      </w:r>
      <w:r w:rsidR="00C37789" w:rsidRPr="00593501">
        <w:instrText>,"</w:instrText>
      </w:r>
      <w:r w:rsidR="00C37789" w:rsidRPr="000322E4">
        <w:rPr>
          <w:lang w:val="en-US"/>
        </w:rPr>
        <w:instrText>suffix</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family</w:instrText>
      </w:r>
      <w:r w:rsidR="00C37789" w:rsidRPr="00593501">
        <w:instrText>":"</w:instrText>
      </w:r>
      <w:r w:rsidR="00C37789" w:rsidRPr="000322E4">
        <w:rPr>
          <w:lang w:val="en-US"/>
        </w:rPr>
        <w:instrText>Harel</w:instrText>
      </w:r>
      <w:r w:rsidR="00C37789" w:rsidRPr="00593501">
        <w:instrText>","</w:instrText>
      </w:r>
      <w:r w:rsidR="00C37789" w:rsidRPr="000322E4">
        <w:rPr>
          <w:lang w:val="en-US"/>
        </w:rPr>
        <w:instrText>given</w:instrText>
      </w:r>
      <w:r w:rsidR="00C37789" w:rsidRPr="00593501">
        <w:instrText>":"</w:instrText>
      </w:r>
      <w:r w:rsidR="00C37789" w:rsidRPr="000322E4">
        <w:rPr>
          <w:lang w:val="en-US"/>
        </w:rPr>
        <w:instrText>St</w:instrText>
      </w:r>
      <w:r w:rsidR="00C37789" w:rsidRPr="00593501">
        <w:instrText>é</w:instrText>
      </w:r>
      <w:r w:rsidR="00C37789" w:rsidRPr="000322E4">
        <w:rPr>
          <w:lang w:val="en-US"/>
        </w:rPr>
        <w:instrText>phanie</w:instrText>
      </w:r>
      <w:r w:rsidR="00C37789" w:rsidRPr="00593501">
        <w:instrText>","</w:instrText>
      </w:r>
      <w:r w:rsidR="00C37789" w:rsidRPr="000322E4">
        <w:rPr>
          <w:lang w:val="en-US"/>
        </w:rPr>
        <w:instrText>non</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parse</w:instrText>
      </w:r>
      <w:r w:rsidR="00C37789" w:rsidRPr="00593501">
        <w:instrText>-</w:instrText>
      </w:r>
      <w:r w:rsidR="00C37789" w:rsidRPr="000322E4">
        <w:rPr>
          <w:lang w:val="en-US"/>
        </w:rPr>
        <w:instrText>names</w:instrText>
      </w:r>
      <w:r w:rsidR="00C37789" w:rsidRPr="00593501">
        <w:instrText>":</w:instrText>
      </w:r>
      <w:r w:rsidR="00C37789" w:rsidRPr="000322E4">
        <w:rPr>
          <w:lang w:val="en-US"/>
        </w:rPr>
        <w:instrText>false</w:instrText>
      </w:r>
      <w:r w:rsidR="00C37789" w:rsidRPr="00593501">
        <w:instrText>,"</w:instrText>
      </w:r>
      <w:r w:rsidR="00C37789" w:rsidRPr="000322E4">
        <w:rPr>
          <w:lang w:val="en-US"/>
        </w:rPr>
        <w:instrText>suffix</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family</w:instrText>
      </w:r>
      <w:r w:rsidR="00C37789" w:rsidRPr="00593501">
        <w:instrText>":"</w:instrText>
      </w:r>
      <w:r w:rsidR="00C37789" w:rsidRPr="000322E4">
        <w:rPr>
          <w:lang w:val="en-US"/>
        </w:rPr>
        <w:instrText>Brice</w:instrText>
      </w:r>
      <w:r w:rsidR="00C37789" w:rsidRPr="00593501">
        <w:instrText>","</w:instrText>
      </w:r>
      <w:r w:rsidR="00C37789" w:rsidRPr="000322E4">
        <w:rPr>
          <w:lang w:val="en-US"/>
        </w:rPr>
        <w:instrText>given</w:instrText>
      </w:r>
      <w:r w:rsidR="00C37789" w:rsidRPr="00593501">
        <w:instrText>":"</w:instrText>
      </w:r>
      <w:r w:rsidR="00C37789" w:rsidRPr="000322E4">
        <w:rPr>
          <w:lang w:val="en-US"/>
        </w:rPr>
        <w:instrText>Pauline</w:instrText>
      </w:r>
      <w:r w:rsidR="00C37789" w:rsidRPr="00593501">
        <w:instrText>","</w:instrText>
      </w:r>
      <w:r w:rsidR="00C37789" w:rsidRPr="000322E4">
        <w:rPr>
          <w:lang w:val="en-US"/>
        </w:rPr>
        <w:instrText>non</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parse</w:instrText>
      </w:r>
      <w:r w:rsidR="00C37789" w:rsidRPr="00593501">
        <w:instrText>-</w:instrText>
      </w:r>
      <w:r w:rsidR="00C37789" w:rsidRPr="000322E4">
        <w:rPr>
          <w:lang w:val="en-US"/>
        </w:rPr>
        <w:instrText>names</w:instrText>
      </w:r>
      <w:r w:rsidR="00C37789" w:rsidRPr="00593501">
        <w:instrText>":</w:instrText>
      </w:r>
      <w:r w:rsidR="00C37789" w:rsidRPr="000322E4">
        <w:rPr>
          <w:lang w:val="en-US"/>
        </w:rPr>
        <w:instrText>false</w:instrText>
      </w:r>
      <w:r w:rsidR="00C37789" w:rsidRPr="00593501">
        <w:instrText>,"</w:instrText>
      </w:r>
      <w:r w:rsidR="00C37789" w:rsidRPr="000322E4">
        <w:rPr>
          <w:lang w:val="en-US"/>
        </w:rPr>
        <w:instrText>suffix</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family</w:instrText>
      </w:r>
      <w:r w:rsidR="00C37789" w:rsidRPr="00593501">
        <w:instrText>":"</w:instrText>
      </w:r>
      <w:r w:rsidR="00C37789" w:rsidRPr="000322E4">
        <w:rPr>
          <w:lang w:val="en-US"/>
        </w:rPr>
        <w:instrText>Thieblemont</w:instrText>
      </w:r>
      <w:r w:rsidR="00C37789" w:rsidRPr="00593501">
        <w:instrText>","</w:instrText>
      </w:r>
      <w:r w:rsidR="00C37789" w:rsidRPr="000322E4">
        <w:rPr>
          <w:lang w:val="en-US"/>
        </w:rPr>
        <w:instrText>given</w:instrText>
      </w:r>
      <w:r w:rsidR="00C37789" w:rsidRPr="00593501">
        <w:instrText>":"</w:instrText>
      </w:r>
      <w:r w:rsidR="00C37789" w:rsidRPr="000322E4">
        <w:rPr>
          <w:lang w:val="en-US"/>
        </w:rPr>
        <w:instrText>Catherine</w:instrText>
      </w:r>
      <w:r w:rsidR="00C37789" w:rsidRPr="00593501">
        <w:instrText>","</w:instrText>
      </w:r>
      <w:r w:rsidR="00C37789" w:rsidRPr="000322E4">
        <w:rPr>
          <w:lang w:val="en-US"/>
        </w:rPr>
        <w:instrText>non</w:instrText>
      </w:r>
      <w:r w:rsidR="00C37789" w:rsidRPr="00593501">
        <w:instrText>-</w:instrText>
      </w:r>
      <w:r w:rsidR="00C37789" w:rsidRPr="000322E4">
        <w:rPr>
          <w:lang w:val="en-US"/>
        </w:rPr>
        <w:instrText>dropping</w:instrText>
      </w:r>
      <w:r w:rsidR="00C37789" w:rsidRPr="00593501">
        <w:instrText>-</w:instrText>
      </w:r>
      <w:r w:rsidR="00C37789" w:rsidRPr="000322E4">
        <w:rPr>
          <w:lang w:val="en-US"/>
        </w:rPr>
        <w:instrText>particle</w:instrText>
      </w:r>
      <w:r w:rsidR="00C37789" w:rsidRPr="00593501">
        <w:instrText>":"","</w:instrText>
      </w:r>
      <w:r w:rsidR="00C37789" w:rsidRPr="000322E4">
        <w:rPr>
          <w:lang w:val="en-US"/>
        </w:rPr>
        <w:instrText>parse</w:instrText>
      </w:r>
      <w:r w:rsidR="00C37789" w:rsidRPr="00593501">
        <w:instrText>-</w:instrText>
      </w:r>
      <w:r w:rsidR="00C37789" w:rsidRPr="000322E4">
        <w:rPr>
          <w:lang w:val="en-US"/>
        </w:rPr>
        <w:instrText>names</w:instrText>
      </w:r>
      <w:r w:rsidR="00C37789" w:rsidRPr="00593501">
        <w:instrText>":</w:instrText>
      </w:r>
      <w:r w:rsidR="00C37789" w:rsidRPr="000322E4">
        <w:rPr>
          <w:lang w:val="en-US"/>
        </w:rPr>
        <w:instrText>false</w:instrText>
      </w:r>
      <w:r w:rsidR="00C37789" w:rsidRPr="00593501">
        <w:instrText>,"</w:instrText>
      </w:r>
      <w:r w:rsidR="00C37789" w:rsidRPr="000322E4">
        <w:rPr>
          <w:lang w:val="en-US"/>
        </w:rPr>
        <w:instrText>suffix</w:instrText>
      </w:r>
      <w:r w:rsidR="00C37789" w:rsidRPr="00593501">
        <w:instrText>":""}],"</w:instrText>
      </w:r>
      <w:r w:rsidR="00C37789" w:rsidRPr="000322E4">
        <w:rPr>
          <w:lang w:val="en-US"/>
        </w:rPr>
        <w:instrText>container</w:instrText>
      </w:r>
      <w:r w:rsidR="00C37789" w:rsidRPr="00593501">
        <w:instrText>-</w:instrText>
      </w:r>
      <w:r w:rsidR="00C37789" w:rsidRPr="000322E4">
        <w:rPr>
          <w:lang w:val="en-US"/>
        </w:rPr>
        <w:instrText>title</w:instrText>
      </w:r>
      <w:r w:rsidR="00C37789" w:rsidRPr="00593501">
        <w:instrText>":"</w:instrText>
      </w:r>
      <w:r w:rsidR="00C37789" w:rsidRPr="000322E4">
        <w:rPr>
          <w:lang w:val="en-US"/>
        </w:rPr>
        <w:instrText>Leukemia</w:instrText>
      </w:r>
      <w:r w:rsidR="00C37789" w:rsidRPr="00593501">
        <w:instrText xml:space="preserve"> </w:instrText>
      </w:r>
      <w:r w:rsidR="00C37789" w:rsidRPr="000322E4">
        <w:rPr>
          <w:lang w:val="en-US"/>
        </w:rPr>
        <w:instrText>and</w:instrText>
      </w:r>
      <w:r w:rsidR="00C37789" w:rsidRPr="00593501">
        <w:instrText xml:space="preserve"> </w:instrText>
      </w:r>
      <w:r w:rsidR="00C37789" w:rsidRPr="000322E4">
        <w:rPr>
          <w:lang w:val="en-US"/>
        </w:rPr>
        <w:instrText>Lymphoma</w:instrText>
      </w:r>
      <w:r w:rsidR="00C37789" w:rsidRPr="00593501">
        <w:instrText>","</w:instrText>
      </w:r>
      <w:r w:rsidR="00C37789" w:rsidRPr="000322E4">
        <w:rPr>
          <w:lang w:val="en-US"/>
        </w:rPr>
        <w:instrText>id</w:instrText>
      </w:r>
      <w:r w:rsidR="00C37789" w:rsidRPr="00593501">
        <w:instrText>":"</w:instrText>
      </w:r>
      <w:r w:rsidR="00C37789" w:rsidRPr="000322E4">
        <w:rPr>
          <w:lang w:val="en-US"/>
        </w:rPr>
        <w:instrText>ITEM</w:instrText>
      </w:r>
      <w:r w:rsidR="00C37789" w:rsidRPr="00593501">
        <w:instrText>-1","</w:instrText>
      </w:r>
      <w:r w:rsidR="00C37789" w:rsidRPr="000322E4">
        <w:rPr>
          <w:lang w:val="en-US"/>
        </w:rPr>
        <w:instrText>issue</w:instrText>
      </w:r>
      <w:r w:rsidR="00C37789" w:rsidRPr="00593501">
        <w:instrText>":"10","</w:instrText>
      </w:r>
      <w:r w:rsidR="00C37789" w:rsidRPr="000322E4">
        <w:rPr>
          <w:lang w:val="en-US"/>
        </w:rPr>
        <w:instrText>issued</w:instrText>
      </w:r>
      <w:r w:rsidR="00C37789" w:rsidRPr="00593501">
        <w:instrText>":{"</w:instrText>
      </w:r>
      <w:r w:rsidR="00C37789" w:rsidRPr="000322E4">
        <w:rPr>
          <w:lang w:val="en-US"/>
        </w:rPr>
        <w:instrText>date</w:instrText>
      </w:r>
      <w:r w:rsidR="00C37789" w:rsidRPr="00593501">
        <w:instrText>-</w:instrText>
      </w:r>
      <w:r w:rsidR="00C37789" w:rsidRPr="000322E4">
        <w:rPr>
          <w:lang w:val="en-US"/>
        </w:rPr>
        <w:instrText>parts</w:instrText>
      </w:r>
      <w:r w:rsidR="00C37789" w:rsidRPr="00593501">
        <w:instrText>":[["2016","10","2"]]},"</w:instrText>
      </w:r>
      <w:r w:rsidR="00C37789" w:rsidRPr="000322E4">
        <w:rPr>
          <w:lang w:val="en-US"/>
        </w:rPr>
        <w:instrText>page</w:instrText>
      </w:r>
      <w:r w:rsidR="00C37789" w:rsidRPr="00593501">
        <w:instrText>":"2425-2428","</w:instrText>
      </w:r>
      <w:r w:rsidR="00C37789" w:rsidRPr="000322E4">
        <w:rPr>
          <w:lang w:val="en-US"/>
        </w:rPr>
        <w:instrText>publisher</w:instrText>
      </w:r>
      <w:r w:rsidR="00C37789" w:rsidRPr="00593501">
        <w:instrText>":"</w:instrText>
      </w:r>
      <w:r w:rsidR="00C37789" w:rsidRPr="000322E4">
        <w:rPr>
          <w:lang w:val="en-US"/>
        </w:rPr>
        <w:instrText>Taylor</w:instrText>
      </w:r>
      <w:r w:rsidR="00C37789" w:rsidRPr="00593501">
        <w:instrText xml:space="preserve"> </w:instrText>
      </w:r>
      <w:r w:rsidR="00C37789" w:rsidRPr="000322E4">
        <w:rPr>
          <w:lang w:val="en-US"/>
        </w:rPr>
        <w:instrText>and</w:instrText>
      </w:r>
      <w:r w:rsidR="00C37789" w:rsidRPr="00593501">
        <w:instrText xml:space="preserve"> </w:instrText>
      </w:r>
      <w:r w:rsidR="00C37789" w:rsidRPr="000322E4">
        <w:rPr>
          <w:lang w:val="en-US"/>
        </w:rPr>
        <w:instrText>Francis</w:instrText>
      </w:r>
      <w:r w:rsidR="00C37789" w:rsidRPr="00593501">
        <w:instrText xml:space="preserve"> </w:instrText>
      </w:r>
      <w:r w:rsidR="00C37789" w:rsidRPr="000322E4">
        <w:rPr>
          <w:lang w:val="en-US"/>
        </w:rPr>
        <w:instrText>Ltd</w:instrText>
      </w:r>
      <w:r w:rsidR="00C37789" w:rsidRPr="00593501">
        <w:instrText>","</w:instrText>
      </w:r>
      <w:r w:rsidR="00C37789" w:rsidRPr="000322E4">
        <w:rPr>
          <w:lang w:val="en-US"/>
        </w:rPr>
        <w:instrText>title</w:instrText>
      </w:r>
      <w:r w:rsidR="00C37789" w:rsidRPr="00593501">
        <w:instrText>":"</w:instrText>
      </w:r>
      <w:r w:rsidR="00C37789" w:rsidRPr="000322E4">
        <w:rPr>
          <w:lang w:val="en-US"/>
        </w:rPr>
        <w:instrText>Consolidation</w:instrText>
      </w:r>
      <w:r w:rsidR="00C37789" w:rsidRPr="00593501">
        <w:instrText xml:space="preserve"> </w:instrText>
      </w:r>
      <w:r w:rsidR="00C37789" w:rsidRPr="000322E4">
        <w:rPr>
          <w:lang w:val="en-US"/>
        </w:rPr>
        <w:instrText>therapy</w:instrText>
      </w:r>
      <w:r w:rsidR="00C37789" w:rsidRPr="00593501">
        <w:instrText xml:space="preserve"> </w:instrText>
      </w:r>
      <w:r w:rsidR="00C37789" w:rsidRPr="000322E4">
        <w:rPr>
          <w:lang w:val="en-US"/>
        </w:rPr>
        <w:instrText>with</w:instrText>
      </w:r>
      <w:r w:rsidR="00C37789" w:rsidRPr="00593501">
        <w:instrText xml:space="preserve"> </w:instrText>
      </w:r>
      <w:r w:rsidR="00C37789" w:rsidRPr="000322E4">
        <w:rPr>
          <w:lang w:val="en-US"/>
        </w:rPr>
        <w:instrText>mitoxantrone</w:instrText>
      </w:r>
      <w:r w:rsidR="00C37789" w:rsidRPr="00593501">
        <w:instrText xml:space="preserve">, </w:instrText>
      </w:r>
      <w:r w:rsidR="00C37789" w:rsidRPr="000322E4">
        <w:rPr>
          <w:lang w:val="en-US"/>
        </w:rPr>
        <w:instrText>ifosfamide</w:instrText>
      </w:r>
      <w:r w:rsidR="00C37789" w:rsidRPr="00593501">
        <w:instrText xml:space="preserve"> </w:instrText>
      </w:r>
      <w:r w:rsidR="00C37789" w:rsidRPr="000322E4">
        <w:rPr>
          <w:lang w:val="en-US"/>
        </w:rPr>
        <w:instrText>and</w:instrText>
      </w:r>
      <w:r w:rsidR="00C37789" w:rsidRPr="00593501">
        <w:instrText xml:space="preserve"> </w:instrText>
      </w:r>
      <w:r w:rsidR="00C37789" w:rsidRPr="000322E4">
        <w:rPr>
          <w:lang w:val="en-US"/>
        </w:rPr>
        <w:instrText>etoposide</w:instrText>
      </w:r>
      <w:r w:rsidR="00C37789" w:rsidRPr="00593501">
        <w:instrText xml:space="preserve"> </w:instrText>
      </w:r>
      <w:r w:rsidR="00C37789" w:rsidRPr="000322E4">
        <w:rPr>
          <w:lang w:val="en-US"/>
        </w:rPr>
        <w:instrText>with</w:instrText>
      </w:r>
      <w:r w:rsidR="00C37789" w:rsidRPr="00593501">
        <w:instrText xml:space="preserve"> </w:instrText>
      </w:r>
      <w:r w:rsidR="00C37789" w:rsidRPr="000322E4">
        <w:rPr>
          <w:lang w:val="en-US"/>
        </w:rPr>
        <w:instrText>or</w:instrText>
      </w:r>
      <w:r w:rsidR="00C37789" w:rsidRPr="00593501">
        <w:instrText xml:space="preserve"> </w:instrText>
      </w:r>
      <w:r w:rsidR="00C37789" w:rsidRPr="000322E4">
        <w:rPr>
          <w:lang w:val="en-US"/>
        </w:rPr>
        <w:instrText>without</w:instrText>
      </w:r>
      <w:r w:rsidR="00C37789" w:rsidRPr="00593501">
        <w:instrText xml:space="preserve"> </w:instrText>
      </w:r>
      <w:r w:rsidR="00C37789" w:rsidRPr="000322E4">
        <w:rPr>
          <w:lang w:val="en-US"/>
        </w:rPr>
        <w:instrText>rituximab</w:instrText>
      </w:r>
      <w:r w:rsidR="00C37789" w:rsidRPr="00593501">
        <w:instrText xml:space="preserve"> </w:instrText>
      </w:r>
      <w:r w:rsidR="00C37789" w:rsidRPr="000322E4">
        <w:rPr>
          <w:lang w:val="en-US"/>
        </w:rPr>
        <w:instrText>before</w:instrText>
      </w:r>
      <w:r w:rsidR="00C37789" w:rsidRPr="00593501">
        <w:instrText xml:space="preserve"> </w:instrText>
      </w:r>
      <w:r w:rsidR="00C37789" w:rsidRPr="000322E4">
        <w:rPr>
          <w:lang w:val="en-US"/>
        </w:rPr>
        <w:instrText>stem</w:instrText>
      </w:r>
      <w:r w:rsidR="00C37789" w:rsidRPr="00593501">
        <w:instrText xml:space="preserve"> </w:instrText>
      </w:r>
      <w:r w:rsidR="00C37789" w:rsidRPr="000322E4">
        <w:rPr>
          <w:lang w:val="en-US"/>
        </w:rPr>
        <w:instrText>cell</w:instrText>
      </w:r>
      <w:r w:rsidR="00C37789" w:rsidRPr="00593501">
        <w:instrText xml:space="preserve"> </w:instrText>
      </w:r>
      <w:r w:rsidR="00C37789" w:rsidRPr="000322E4">
        <w:rPr>
          <w:lang w:val="en-US"/>
        </w:rPr>
        <w:instrText>transplantation</w:instrText>
      </w:r>
      <w:r w:rsidR="00C37789" w:rsidRPr="00593501">
        <w:instrText xml:space="preserve"> </w:instrText>
      </w:r>
      <w:r w:rsidR="00C37789" w:rsidRPr="000322E4">
        <w:rPr>
          <w:lang w:val="en-US"/>
        </w:rPr>
        <w:instrText>in</w:instrText>
      </w:r>
      <w:r w:rsidR="00C37789" w:rsidRPr="00593501">
        <w:instrText xml:space="preserve"> </w:instrText>
      </w:r>
      <w:r w:rsidR="00C37789" w:rsidRPr="000322E4">
        <w:rPr>
          <w:lang w:val="en-US"/>
        </w:rPr>
        <w:instrText>relapsed</w:instrText>
      </w:r>
      <w:r w:rsidR="00C37789" w:rsidRPr="00593501">
        <w:instrText xml:space="preserve"> </w:instrText>
      </w:r>
      <w:r w:rsidR="00C37789" w:rsidRPr="000322E4">
        <w:rPr>
          <w:lang w:val="en-US"/>
        </w:rPr>
        <w:instrText>diffuse</w:instrText>
      </w:r>
      <w:r w:rsidR="00C37789" w:rsidRPr="00593501">
        <w:instrText xml:space="preserve"> </w:instrText>
      </w:r>
      <w:r w:rsidR="00C37789" w:rsidRPr="000322E4">
        <w:rPr>
          <w:lang w:val="en-US"/>
        </w:rPr>
        <w:instrText>large</w:instrText>
      </w:r>
      <w:r w:rsidR="00C37789" w:rsidRPr="00593501">
        <w:instrText xml:space="preserve"> </w:instrText>
      </w:r>
      <w:r w:rsidR="00C37789" w:rsidRPr="000322E4">
        <w:rPr>
          <w:lang w:val="en-US"/>
        </w:rPr>
        <w:instrText>B</w:instrText>
      </w:r>
      <w:r w:rsidR="00C37789" w:rsidRPr="00593501">
        <w:instrText>-</w:instrText>
      </w:r>
      <w:r w:rsidR="00C37789" w:rsidRPr="000322E4">
        <w:rPr>
          <w:lang w:val="en-US"/>
        </w:rPr>
        <w:instrText>cell</w:instrText>
      </w:r>
      <w:r w:rsidR="00C37789" w:rsidRPr="00593501">
        <w:instrText xml:space="preserve"> </w:instrText>
      </w:r>
      <w:r w:rsidR="00C37789" w:rsidRPr="000322E4">
        <w:rPr>
          <w:lang w:val="en-US"/>
        </w:rPr>
        <w:instrText>lymphoma</w:instrText>
      </w:r>
      <w:r w:rsidR="00C37789" w:rsidRPr="00593501">
        <w:instrText xml:space="preserve"> </w:instrText>
      </w:r>
      <w:r w:rsidR="00C37789" w:rsidRPr="000322E4">
        <w:rPr>
          <w:lang w:val="en-US"/>
        </w:rPr>
        <w:instrText>patients</w:instrText>
      </w:r>
      <w:r w:rsidR="00C37789" w:rsidRPr="00593501">
        <w:instrText xml:space="preserve"> </w:instrText>
      </w:r>
      <w:r w:rsidR="00C37789" w:rsidRPr="000322E4">
        <w:rPr>
          <w:lang w:val="en-US"/>
        </w:rPr>
        <w:instrText>failing</w:instrText>
      </w:r>
      <w:r w:rsidR="00C37789" w:rsidRPr="00593501">
        <w:instrText xml:space="preserve"> </w:instrText>
      </w:r>
      <w:r w:rsidR="00C37789" w:rsidRPr="000322E4">
        <w:rPr>
          <w:lang w:val="en-US"/>
        </w:rPr>
        <w:instrText>second</w:instrText>
      </w:r>
      <w:r w:rsidR="00C37789" w:rsidRPr="00593501">
        <w:instrText>-</w:instrText>
      </w:r>
      <w:r w:rsidR="00C37789" w:rsidRPr="000322E4">
        <w:rPr>
          <w:lang w:val="en-US"/>
        </w:rPr>
        <w:instrText>line</w:instrText>
      </w:r>
      <w:r w:rsidR="00C37789" w:rsidRPr="00593501">
        <w:instrText xml:space="preserve"> </w:instrText>
      </w:r>
      <w:r w:rsidR="00C37789" w:rsidRPr="000322E4">
        <w:rPr>
          <w:lang w:val="en-US"/>
        </w:rPr>
        <w:instrText>treatment</w:instrText>
      </w:r>
      <w:r w:rsidR="00C37789" w:rsidRPr="00593501">
        <w:instrText>","</w:instrText>
      </w:r>
      <w:r w:rsidR="00C37789" w:rsidRPr="000322E4">
        <w:rPr>
          <w:lang w:val="en-US"/>
        </w:rPr>
        <w:instrText>type</w:instrText>
      </w:r>
      <w:r w:rsidR="00C37789" w:rsidRPr="00593501">
        <w:instrText>":"</w:instrText>
      </w:r>
      <w:r w:rsidR="00C37789" w:rsidRPr="000322E4">
        <w:rPr>
          <w:lang w:val="en-US"/>
        </w:rPr>
        <w:instrText>article</w:instrText>
      </w:r>
      <w:r w:rsidR="00C37789" w:rsidRPr="00593501">
        <w:instrText>","</w:instrText>
      </w:r>
      <w:r w:rsidR="00C37789" w:rsidRPr="000322E4">
        <w:rPr>
          <w:lang w:val="en-US"/>
        </w:rPr>
        <w:instrText>volume</w:instrText>
      </w:r>
      <w:r w:rsidR="00C37789" w:rsidRPr="00593501">
        <w:instrText>":"57"},"</w:instrText>
      </w:r>
      <w:r w:rsidR="00C37789" w:rsidRPr="000322E4">
        <w:rPr>
          <w:lang w:val="en-US"/>
        </w:rPr>
        <w:instrText>uris</w:instrText>
      </w:r>
      <w:r w:rsidR="00C37789" w:rsidRPr="00593501">
        <w:instrText>":["</w:instrText>
      </w:r>
      <w:r w:rsidR="00C37789" w:rsidRPr="000322E4">
        <w:rPr>
          <w:lang w:val="en-US"/>
        </w:rPr>
        <w:instrText>http</w:instrText>
      </w:r>
      <w:r w:rsidR="00C37789" w:rsidRPr="00593501">
        <w:instrText>://</w:instrText>
      </w:r>
      <w:r w:rsidR="00C37789" w:rsidRPr="000322E4">
        <w:rPr>
          <w:lang w:val="en-US"/>
        </w:rPr>
        <w:instrText>www</w:instrText>
      </w:r>
      <w:r w:rsidR="00C37789" w:rsidRPr="00593501">
        <w:instrText>.</w:instrText>
      </w:r>
      <w:r w:rsidR="00C37789" w:rsidRPr="000322E4">
        <w:rPr>
          <w:lang w:val="en-US"/>
        </w:rPr>
        <w:instrText>mendeley</w:instrText>
      </w:r>
      <w:r w:rsidR="00C37789" w:rsidRPr="00593501">
        <w:instrText>.</w:instrText>
      </w:r>
      <w:r w:rsidR="00C37789" w:rsidRPr="000322E4">
        <w:rPr>
          <w:lang w:val="en-US"/>
        </w:rPr>
        <w:instrText>com</w:instrText>
      </w:r>
      <w:r w:rsidR="00C37789" w:rsidRPr="00593501">
        <w:instrText>/</w:instrText>
      </w:r>
      <w:r w:rsidR="00C37789" w:rsidRPr="000322E4">
        <w:rPr>
          <w:lang w:val="en-US"/>
        </w:rPr>
        <w:instrText>documents</w:instrText>
      </w:r>
      <w:r w:rsidR="00C37789" w:rsidRPr="00593501">
        <w:instrText>/?</w:instrText>
      </w:r>
      <w:r w:rsidR="00C37789" w:rsidRPr="000322E4">
        <w:rPr>
          <w:lang w:val="en-US"/>
        </w:rPr>
        <w:instrText>uuid</w:instrText>
      </w:r>
      <w:r w:rsidR="00C37789" w:rsidRPr="00593501">
        <w:instrText>=</w:instrText>
      </w:r>
      <w:r w:rsidR="00C37789" w:rsidRPr="000322E4">
        <w:rPr>
          <w:lang w:val="en-US"/>
        </w:rPr>
        <w:instrText>ba</w:instrText>
      </w:r>
      <w:r w:rsidR="00C37789" w:rsidRPr="00593501">
        <w:instrText>15</w:instrText>
      </w:r>
      <w:r w:rsidR="00C37789" w:rsidRPr="000322E4">
        <w:rPr>
          <w:lang w:val="en-US"/>
        </w:rPr>
        <w:instrText>de</w:instrText>
      </w:r>
      <w:r w:rsidR="00C37789" w:rsidRPr="00593501">
        <w:instrText>37-26</w:instrText>
      </w:r>
      <w:r w:rsidR="00C37789" w:rsidRPr="000322E4">
        <w:rPr>
          <w:lang w:val="en-US"/>
        </w:rPr>
        <w:instrText>c</w:instrText>
      </w:r>
      <w:r w:rsidR="00C37789" w:rsidRPr="00593501">
        <w:instrText>3-3642-</w:instrText>
      </w:r>
      <w:r w:rsidR="00C37789" w:rsidRPr="000322E4">
        <w:rPr>
          <w:lang w:val="en-US"/>
        </w:rPr>
        <w:instrText>b</w:instrText>
      </w:r>
      <w:r w:rsidR="00C37789" w:rsidRPr="00593501">
        <w:instrText>509-</w:instrText>
      </w:r>
      <w:r w:rsidR="00C37789" w:rsidRPr="000322E4">
        <w:rPr>
          <w:lang w:val="en-US"/>
        </w:rPr>
        <w:instrText>b</w:instrText>
      </w:r>
      <w:r w:rsidR="00C37789" w:rsidRPr="00593501">
        <w:instrText>49</w:instrText>
      </w:r>
      <w:r w:rsidR="00C37789" w:rsidRPr="000322E4">
        <w:rPr>
          <w:lang w:val="en-US"/>
        </w:rPr>
        <w:instrText>ecb</w:instrText>
      </w:r>
      <w:r w:rsidR="00C37789" w:rsidRPr="00593501">
        <w:instrText>260</w:instrText>
      </w:r>
      <w:r w:rsidR="00C37789" w:rsidRPr="000322E4">
        <w:rPr>
          <w:lang w:val="en-US"/>
        </w:rPr>
        <w:instrText>e</w:instrText>
      </w:r>
      <w:r w:rsidR="00C37789" w:rsidRPr="00593501">
        <w:instrText>3</w:instrText>
      </w:r>
      <w:r w:rsidR="00C37789" w:rsidRPr="000322E4">
        <w:rPr>
          <w:lang w:val="en-US"/>
        </w:rPr>
        <w:instrText>c</w:instrText>
      </w:r>
      <w:r w:rsidR="00C37789" w:rsidRPr="00593501">
        <w:instrText>"]}],"</w:instrText>
      </w:r>
      <w:r w:rsidR="00C37789" w:rsidRPr="000322E4">
        <w:rPr>
          <w:lang w:val="en-US"/>
        </w:rPr>
        <w:instrText>mendeley":{"formattedCitation":"[100]","plainTextFormattedCitation":"[100]","previouslyFormattedCitation":"[100]"},"properties":{"noteIndex":0},"schema":"https://github.com/citation-style-language/schema/raw/master/csl-citation.json"}</w:instrText>
      </w:r>
      <w:r w:rsidRPr="000322E4">
        <w:rPr>
          <w:lang w:val="en-US"/>
        </w:rPr>
        <w:fldChar w:fldCharType="separate"/>
      </w:r>
      <w:r w:rsidR="00C37789" w:rsidRPr="000322E4">
        <w:rPr>
          <w:noProof/>
          <w:lang w:val="en-US"/>
        </w:rPr>
        <w:t>[100]</w:t>
      </w:r>
      <w:r w:rsidRPr="000322E4">
        <w:rPr>
          <w:lang w:val="en-US"/>
        </w:rPr>
        <w:fldChar w:fldCharType="end"/>
      </w:r>
    </w:p>
    <w:p w14:paraId="329EF477" w14:textId="77777777" w:rsidR="00666D68" w:rsidRPr="000322E4" w:rsidRDefault="00666D68" w:rsidP="008E3584">
      <w:pPr>
        <w:numPr>
          <w:ilvl w:val="0"/>
          <w:numId w:val="47"/>
        </w:numPr>
      </w:pPr>
      <w:r w:rsidRPr="000322E4">
        <w:t>Ифосфамид** 1500 мг/м</w:t>
      </w:r>
      <w:r w:rsidRPr="000322E4">
        <w:rPr>
          <w:vertAlign w:val="superscript"/>
        </w:rPr>
        <w:t>2</w:t>
      </w:r>
      <w:r w:rsidRPr="000322E4">
        <w:t xml:space="preserve"> в/в кап., день 1</w:t>
      </w:r>
    </w:p>
    <w:p w14:paraId="17155805" w14:textId="77777777" w:rsidR="00666D68" w:rsidRPr="000322E4" w:rsidRDefault="00666D68" w:rsidP="008E3584">
      <w:pPr>
        <w:numPr>
          <w:ilvl w:val="0"/>
          <w:numId w:val="47"/>
        </w:numPr>
      </w:pPr>
      <w:r w:rsidRPr="000322E4">
        <w:t>Месна** 1000 мг/м</w:t>
      </w:r>
      <w:r w:rsidRPr="000322E4">
        <w:rPr>
          <w:vertAlign w:val="superscript"/>
        </w:rPr>
        <w:t>2</w:t>
      </w:r>
      <w:r w:rsidRPr="000322E4">
        <w:t xml:space="preserve"> в/в кап., дни 1-3</w:t>
      </w:r>
    </w:p>
    <w:p w14:paraId="28DE7110" w14:textId="77777777" w:rsidR="00666D68" w:rsidRPr="000322E4" w:rsidRDefault="00666D68" w:rsidP="008E3584">
      <w:pPr>
        <w:numPr>
          <w:ilvl w:val="0"/>
          <w:numId w:val="47"/>
        </w:numPr>
      </w:pPr>
      <w:r w:rsidRPr="000322E4">
        <w:t>Этопозид** 150 мг/м</w:t>
      </w:r>
      <w:r w:rsidRPr="000322E4">
        <w:rPr>
          <w:vertAlign w:val="superscript"/>
        </w:rPr>
        <w:t>2</w:t>
      </w:r>
      <w:r w:rsidRPr="000322E4">
        <w:t xml:space="preserve"> в/в кап., дни 1-3</w:t>
      </w:r>
    </w:p>
    <w:p w14:paraId="78A443F5" w14:textId="77777777" w:rsidR="00666D68" w:rsidRPr="000322E4" w:rsidRDefault="00666D68" w:rsidP="008E3584">
      <w:pPr>
        <w:numPr>
          <w:ilvl w:val="0"/>
          <w:numId w:val="47"/>
        </w:numPr>
      </w:pPr>
      <w:r w:rsidRPr="000322E4">
        <w:t>Митоксантрон** 12 мг/м</w:t>
      </w:r>
      <w:r w:rsidRPr="000322E4">
        <w:rPr>
          <w:vertAlign w:val="superscript"/>
        </w:rPr>
        <w:t>2</w:t>
      </w:r>
      <w:r w:rsidRPr="000322E4">
        <w:t xml:space="preserve"> в/в кап., день 1</w:t>
      </w:r>
    </w:p>
    <w:p w14:paraId="50D00357" w14:textId="77777777" w:rsidR="00666D68" w:rsidRPr="000322E4" w:rsidRDefault="00666D68" w:rsidP="008E3584">
      <w:pPr>
        <w:rPr>
          <w:b/>
          <w:bCs/>
        </w:rPr>
      </w:pPr>
    </w:p>
    <w:p w14:paraId="571D0BD4" w14:textId="77777777" w:rsidR="00666D68" w:rsidRPr="000322E4" w:rsidRDefault="00666D68" w:rsidP="008E3584">
      <w:pPr>
        <w:rPr>
          <w:b/>
          <w:bCs/>
        </w:rPr>
      </w:pPr>
      <w:r w:rsidRPr="000322E4">
        <w:rPr>
          <w:b/>
          <w:bCs/>
          <w:lang w:val="en-US"/>
        </w:rPr>
        <w:t>BR</w:t>
      </w:r>
      <w:r w:rsidRPr="000322E4">
        <w:rPr>
          <w:b/>
          <w:bCs/>
        </w:rPr>
        <w:t xml:space="preserve"> </w:t>
      </w:r>
      <w:r w:rsidRPr="000322E4">
        <w:rPr>
          <w:lang w:val="en-US"/>
        </w:rPr>
        <w:fldChar w:fldCharType="begin" w:fldLock="1"/>
      </w:r>
      <w:r w:rsidR="00C37789" w:rsidRPr="000322E4">
        <w:rPr>
          <w:lang w:val="en-US"/>
        </w:rPr>
        <w:instrText>ADDIN CSL_CITATION {"citationItems":[{"id":"ITEM-1","itemData":{"DOI":"10.1007/s00277-013-1879-x","ISSN":"09395555","abstract":"Patients with relapsed or refractory diffuse large B cell lymphoma (DLBCL) are treated with salvage regimens and may be considered for high-dose chemotherapy and autologous stem cell transplantation if disease is chemosensitive. Bendamustine is active in indolent B cell lymphomas and chronic lymphocytic leukemia but has not been extensively studied in aggressive lymphomas. This trial examines the combination of bendamustine and rituximab in patients with relapsed and refractory DLBCL. Patients received bendamustine at 90 mg/m2 (n = 2) or 120 mg/m2 (n = 57) on days 1 and 2 and rituximab at 375 mg/m2 on day 1 every 28 days for up to 6 cycles. The study evaluated objective response rate (ORR), duration of response (DOR), progression-free survival (PFS), and treatment safety. Fifty-nine patients were treated, and 48 were evaluable for response. Median age was 74; 89 % had stage III or IV disease, and 63 % had high revised International Prognostic Index scores; the median number of prior therapies was 1. Based on analysis using the intent-to-treat population, the ORR was 45.8 % (complete response, 15.3 %; partial response, 30.5 %). The median DOR was 17.3 months, and the median PFS was 3.6 months. Grade 3 or 4 hematological toxicities included neutropenia (36 %), leukopenia (29 %), thrombocytopenia (22 %), and anemia (12 %). The combination of bendamustine and rituximab showed modest activity in patients with relapsed and refractory DLBCL and has an acceptable toxicity profile. © 2013 The Author(s).","author":[{"dropping-particle":"","family":"Vacirca","given":"Jeffrey L.","non-dropping-particle":"","parse-names":false,"suffix":""},{"dropping-particle":"","family":"Acs","given":"Peter I.","non-dropping-particle":"","parse-names":false,"suffix":""},{"dropping-particle":"","family":"Tabbara","given":"Imad A.","non-dropping-particle":"","parse-names":false,"suffix":""},{"dropping-particle":"","family":"Rosen","given":"Peter J.","non-dropping-particle":"","parse-names":false,"suffix":""},{"dropping-particle":"","family":"Lee","given":"Peter","non-dropping-particle":"","parse-names":false,"suffix":""},{"dropping-particle":"","family":"Lynam","given":"Eric","non-dropping-particle":"","parse-names":false,"suffix":""}],"container-title":"Annals of Hematology","id":"ITEM-1","issue":"3","issued":{"date-parts":[["2014","3"]]},"page":"403-409","title":"Bendamustine combined with rituximab for patients with relapsed or refractory diffuse large B cell lymphoma","type":"article-journal","volume":"93"},"uris":["http://www.mendeley.com/documents/?uuid=0070ae13-9af0-3b16-960e-b2b285b056da"]},{"id":"ITEM-2","itemData":{"DOI":"10.1200/JCO.2012.46.5203","ISSN":"15277755","abstract":"Purpose Effective and less aggressive therapies are required for patients with relapsed or refractory diffuse large B-cell lymphoma (DLBCL) who are not eligible for or have undergone autologous stem-cell transplantation (ASCT). The present phase II study assessed the efficacy and safety of bendamustine plus rituximab (BR) in this population. Patients and Methods Patients with relapsed or refractory DLBCL treated with one to three prior chemotherapy regimens received rituximab 375 mg/m2 intravenous (IV) infusion on day 1 and bendamustine 120 mg/m2 by IV infusion on days 2 and 3 of each 21-day cycle for up to six cycles. The primary end point was overall response rate (ORR), and the secondary end points were complete response (CR) rate, progression-free survival (PFS), and safety. Results Sixty-Three patients were enrolled, and 59 received BR. The median age was 67 years (range, 36 to 75 years), and 62.7% of patients were 65 years of age or older. Fifty-seven patients (96.6%) were previously treated with rituximab-containing chemotherapy. The ORR was 62.7% (95% CI, 49.1% to 75.0%), with a CR rate of 37.3% (95% CI, 25.0% to 50.9%). The ORRs were comparable between patients - 65 years of age and less than 65 years (62.2% and 63.6%, respectively). The median PFS was 6.7 months (95% CI, 3.6 to 13.7 months). The most frequently observed grade 3 or 4 adverse events were hematologic: lymphopenia (78.0%), neutropenia (76.3%), leukopenia (72.9%), CD4 lymphopenia (66.1%), and thrombocytopenia (22.0%). Conclusion BR is a promising salvage regimen for patients with relapsed or refractory DLBCL after rituximab-containing chemotherapy, warranting further investigation.","author":[{"dropping-particle":"","family":"Ohmachi","given":"Ken","non-dropping-particle":"","parse-names":false,"suffix":""},{"dropping-particle":"","family":"Niitsu","given":"Nozomi","non-dropping-particle":"","parse-names":false,"suffix":""},{"dropping-particle":"","family":"Uchida","given":"Toshiki","non-dropping-particle":"","parse-names":false,"suffix":""},{"dropping-particle":"","family":"Kim","given":"Seok Jin","non-dropping-particle":"","parse-names":false,"suffix":""},{"dropping-particle":"","family":"Ando","given":"Kiyoshi","non-dropping-particle":"","parse-names":false,"suffix":""},{"dropping-particle":"","family":"Takahashi","given":"Naoki","non-dropping-particle":"","parse-names":false,"suffix":""},{"dropping-particle":"","family":"Takahashi","given":"Naoto","non-dropping-particle":"","parse-names":false,"suffix":""},{"dropping-particle":"","family":"Uike","given":"Naokuni","non-dropping-particle":"","parse-names":false,"suffix":""},{"dropping-particle":"","family":"Eom","given":"Hyeon Seok","non-dropping-particle":"","parse-names":false,"suffix":""},{"dropping-particle":"","family":"Chae","given":"Yee Soo","non-dropping-particle":"","parse-names":false,"suffix":""},{"dropping-particle":"","family":"Terauchi","given":</w:instrText>
      </w:r>
      <w:r w:rsidR="00C37789" w:rsidRPr="000322E4">
        <w:instrText>"</w:instrText>
      </w:r>
      <w:r w:rsidR="00C37789" w:rsidRPr="000322E4">
        <w:rPr>
          <w:lang w:val="en-US"/>
        </w:rPr>
        <w:instrText>Takashi</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Tateishi</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Ukihide</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Tatsumi</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Mitsuaki</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Kim</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Won</w:instrText>
      </w:r>
      <w:r w:rsidR="00C37789" w:rsidRPr="000322E4">
        <w:instrText xml:space="preserve"> </w:instrText>
      </w:r>
      <w:r w:rsidR="00C37789" w:rsidRPr="000322E4">
        <w:rPr>
          <w:lang w:val="en-US"/>
        </w:rPr>
        <w:instrText>Seog</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Tobinai</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Kensei</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Suh</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Cheolwon</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Ogura</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Michinori</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container</w:instrText>
      </w:r>
      <w:r w:rsidR="00C37789" w:rsidRPr="000322E4">
        <w:instrText>-</w:instrText>
      </w:r>
      <w:r w:rsidR="00C37789" w:rsidRPr="000322E4">
        <w:rPr>
          <w:lang w:val="en-US"/>
        </w:rPr>
        <w:instrText>title</w:instrText>
      </w:r>
      <w:r w:rsidR="00C37789" w:rsidRPr="000322E4">
        <w:instrText>":"</w:instrText>
      </w:r>
      <w:r w:rsidR="00C37789" w:rsidRPr="000322E4">
        <w:rPr>
          <w:lang w:val="en-US"/>
        </w:rPr>
        <w:instrText>Journal</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Clinical</w:instrText>
      </w:r>
      <w:r w:rsidR="00C37789" w:rsidRPr="000322E4">
        <w:instrText xml:space="preserve"> </w:instrText>
      </w:r>
      <w:r w:rsidR="00C37789" w:rsidRPr="000322E4">
        <w:rPr>
          <w:lang w:val="en-US"/>
        </w:rPr>
        <w:instrText>Oncology</w:instrText>
      </w:r>
      <w:r w:rsidR="00C37789" w:rsidRPr="000322E4">
        <w:instrText>","</w:instrText>
      </w:r>
      <w:r w:rsidR="00C37789" w:rsidRPr="000322E4">
        <w:rPr>
          <w:lang w:val="en-US"/>
        </w:rPr>
        <w:instrText>id</w:instrText>
      </w:r>
      <w:r w:rsidR="00C37789" w:rsidRPr="000322E4">
        <w:instrText>":"</w:instrText>
      </w:r>
      <w:r w:rsidR="00C37789" w:rsidRPr="000322E4">
        <w:rPr>
          <w:lang w:val="en-US"/>
        </w:rPr>
        <w:instrText>ITEM</w:instrText>
      </w:r>
      <w:r w:rsidR="00C37789" w:rsidRPr="000322E4">
        <w:instrText>-2","</w:instrText>
      </w:r>
      <w:r w:rsidR="00C37789" w:rsidRPr="000322E4">
        <w:rPr>
          <w:lang w:val="en-US"/>
        </w:rPr>
        <w:instrText>issue</w:instrText>
      </w:r>
      <w:r w:rsidR="00C37789" w:rsidRPr="000322E4">
        <w:instrText>":"17","</w:instrText>
      </w:r>
      <w:r w:rsidR="00C37789" w:rsidRPr="000322E4">
        <w:rPr>
          <w:lang w:val="en-US"/>
        </w:rPr>
        <w:instrText>issued</w:instrText>
      </w:r>
      <w:r w:rsidR="00C37789" w:rsidRPr="000322E4">
        <w:instrText>":{"</w:instrText>
      </w:r>
      <w:r w:rsidR="00C37789" w:rsidRPr="000322E4">
        <w:rPr>
          <w:lang w:val="en-US"/>
        </w:rPr>
        <w:instrText>date</w:instrText>
      </w:r>
      <w:r w:rsidR="00C37789" w:rsidRPr="000322E4">
        <w:instrText>-</w:instrText>
      </w:r>
      <w:r w:rsidR="00C37789" w:rsidRPr="000322E4">
        <w:rPr>
          <w:lang w:val="en-US"/>
        </w:rPr>
        <w:instrText>parts</w:instrText>
      </w:r>
      <w:r w:rsidR="00C37789" w:rsidRPr="000322E4">
        <w:instrText>":[["2013","6","10"]]},"</w:instrText>
      </w:r>
      <w:r w:rsidR="00C37789" w:rsidRPr="000322E4">
        <w:rPr>
          <w:lang w:val="en-US"/>
        </w:rPr>
        <w:instrText>page</w:instrText>
      </w:r>
      <w:r w:rsidR="00C37789" w:rsidRPr="000322E4">
        <w:instrText>":"2103-2109","</w:instrText>
      </w:r>
      <w:r w:rsidR="00C37789" w:rsidRPr="000322E4">
        <w:rPr>
          <w:lang w:val="en-US"/>
        </w:rPr>
        <w:instrText>publisher</w:instrText>
      </w:r>
      <w:r w:rsidR="00C37789" w:rsidRPr="000322E4">
        <w:instrText>":"</w:instrText>
      </w:r>
      <w:r w:rsidR="00C37789" w:rsidRPr="000322E4">
        <w:rPr>
          <w:lang w:val="en-US"/>
        </w:rPr>
        <w:instrText>American</w:instrText>
      </w:r>
      <w:r w:rsidR="00C37789" w:rsidRPr="000322E4">
        <w:instrText xml:space="preserve"> </w:instrText>
      </w:r>
      <w:r w:rsidR="00C37789" w:rsidRPr="000322E4">
        <w:rPr>
          <w:lang w:val="en-US"/>
        </w:rPr>
        <w:instrText>Society</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Clinical</w:instrText>
      </w:r>
      <w:r w:rsidR="00C37789" w:rsidRPr="000322E4">
        <w:instrText xml:space="preserve"> </w:instrText>
      </w:r>
      <w:r w:rsidR="00C37789" w:rsidRPr="000322E4">
        <w:rPr>
          <w:lang w:val="en-US"/>
        </w:rPr>
        <w:instrText>Oncology</w:instrText>
      </w:r>
      <w:r w:rsidR="00C37789" w:rsidRPr="000322E4">
        <w:instrText>","</w:instrText>
      </w:r>
      <w:r w:rsidR="00C37789" w:rsidRPr="000322E4">
        <w:rPr>
          <w:lang w:val="en-US"/>
        </w:rPr>
        <w:instrText>title</w:instrText>
      </w:r>
      <w:r w:rsidR="00C37789" w:rsidRPr="000322E4">
        <w:instrText>":"</w:instrText>
      </w:r>
      <w:r w:rsidR="00C37789" w:rsidRPr="000322E4">
        <w:rPr>
          <w:lang w:val="en-US"/>
        </w:rPr>
        <w:instrText>Multicenter</w:instrText>
      </w:r>
      <w:r w:rsidR="00C37789" w:rsidRPr="000322E4">
        <w:instrText xml:space="preserve"> </w:instrText>
      </w:r>
      <w:r w:rsidR="00C37789" w:rsidRPr="000322E4">
        <w:rPr>
          <w:lang w:val="en-US"/>
        </w:rPr>
        <w:instrText>phase</w:instrText>
      </w:r>
      <w:r w:rsidR="00C37789" w:rsidRPr="000322E4">
        <w:instrText xml:space="preserve"> </w:instrText>
      </w:r>
      <w:r w:rsidR="00C37789" w:rsidRPr="000322E4">
        <w:rPr>
          <w:lang w:val="en-US"/>
        </w:rPr>
        <w:instrText>II</w:instrText>
      </w:r>
      <w:r w:rsidR="00C37789" w:rsidRPr="000322E4">
        <w:instrText xml:space="preserve"> </w:instrText>
      </w:r>
      <w:r w:rsidR="00C37789" w:rsidRPr="000322E4">
        <w:rPr>
          <w:lang w:val="en-US"/>
        </w:rPr>
        <w:instrText>study</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bendamustine</w:instrText>
      </w:r>
      <w:r w:rsidR="00C37789" w:rsidRPr="000322E4">
        <w:instrText xml:space="preserve"> </w:instrText>
      </w:r>
      <w:r w:rsidR="00C37789" w:rsidRPr="000322E4">
        <w:rPr>
          <w:lang w:val="en-US"/>
        </w:rPr>
        <w:instrText>plus</w:instrText>
      </w:r>
      <w:r w:rsidR="00C37789" w:rsidRPr="000322E4">
        <w:instrText xml:space="preserve"> </w:instrText>
      </w:r>
      <w:r w:rsidR="00C37789" w:rsidRPr="000322E4">
        <w:rPr>
          <w:lang w:val="en-US"/>
        </w:rPr>
        <w:instrText>rituximab</w:instrText>
      </w:r>
      <w:r w:rsidR="00C37789" w:rsidRPr="000322E4">
        <w:instrText xml:space="preserve"> </w:instrText>
      </w:r>
      <w:r w:rsidR="00C37789" w:rsidRPr="000322E4">
        <w:rPr>
          <w:lang w:val="en-US"/>
        </w:rPr>
        <w:instrText>in</w:instrText>
      </w:r>
      <w:r w:rsidR="00C37789" w:rsidRPr="000322E4">
        <w:instrText xml:space="preserve"> </w:instrText>
      </w:r>
      <w:r w:rsidR="00C37789" w:rsidRPr="000322E4">
        <w:rPr>
          <w:lang w:val="en-US"/>
        </w:rPr>
        <w:instrText>patients</w:instrText>
      </w:r>
      <w:r w:rsidR="00C37789" w:rsidRPr="000322E4">
        <w:instrText xml:space="preserve"> </w:instrText>
      </w:r>
      <w:r w:rsidR="00C37789" w:rsidRPr="000322E4">
        <w:rPr>
          <w:lang w:val="en-US"/>
        </w:rPr>
        <w:instrText>with</w:instrText>
      </w:r>
      <w:r w:rsidR="00C37789" w:rsidRPr="000322E4">
        <w:instrText xml:space="preserve"> </w:instrText>
      </w:r>
      <w:r w:rsidR="00C37789" w:rsidRPr="000322E4">
        <w:rPr>
          <w:lang w:val="en-US"/>
        </w:rPr>
        <w:instrText>relapsed</w:instrText>
      </w:r>
      <w:r w:rsidR="00C37789" w:rsidRPr="000322E4">
        <w:instrText xml:space="preserve"> </w:instrText>
      </w:r>
      <w:r w:rsidR="00C37789" w:rsidRPr="000322E4">
        <w:rPr>
          <w:lang w:val="en-US"/>
        </w:rPr>
        <w:instrText>or</w:instrText>
      </w:r>
      <w:r w:rsidR="00C37789" w:rsidRPr="000322E4">
        <w:instrText xml:space="preserve"> </w:instrText>
      </w:r>
      <w:r w:rsidR="00C37789" w:rsidRPr="000322E4">
        <w:rPr>
          <w:lang w:val="en-US"/>
        </w:rPr>
        <w:instrText>refractory</w:instrText>
      </w:r>
      <w:r w:rsidR="00C37789" w:rsidRPr="000322E4">
        <w:instrText xml:space="preserve"> </w:instrText>
      </w:r>
      <w:r w:rsidR="00C37789" w:rsidRPr="000322E4">
        <w:rPr>
          <w:lang w:val="en-US"/>
        </w:rPr>
        <w:instrText>diffuse</w:instrText>
      </w:r>
      <w:r w:rsidR="00C37789" w:rsidRPr="000322E4">
        <w:instrText xml:space="preserve"> </w:instrText>
      </w:r>
      <w:r w:rsidR="00C37789" w:rsidRPr="000322E4">
        <w:rPr>
          <w:lang w:val="en-US"/>
        </w:rPr>
        <w:instrText>large</w:instrText>
      </w:r>
      <w:r w:rsidR="00C37789" w:rsidRPr="000322E4">
        <w:instrText xml:space="preserve"> </w:instrText>
      </w:r>
      <w:r w:rsidR="00C37789" w:rsidRPr="000322E4">
        <w:rPr>
          <w:lang w:val="en-US"/>
        </w:rPr>
        <w:instrText>B</w:instrText>
      </w:r>
      <w:r w:rsidR="00C37789" w:rsidRPr="000322E4">
        <w:instrText>-</w:instrText>
      </w:r>
      <w:r w:rsidR="00C37789" w:rsidRPr="000322E4">
        <w:rPr>
          <w:lang w:val="en-US"/>
        </w:rPr>
        <w:instrText>cell</w:instrText>
      </w:r>
      <w:r w:rsidR="00C37789" w:rsidRPr="000322E4">
        <w:instrText xml:space="preserve"> </w:instrText>
      </w:r>
      <w:r w:rsidR="00C37789" w:rsidRPr="000322E4">
        <w:rPr>
          <w:lang w:val="en-US"/>
        </w:rPr>
        <w:instrText>lymphoma</w:instrText>
      </w:r>
      <w:r w:rsidR="00C37789" w:rsidRPr="000322E4">
        <w:instrText>","</w:instrText>
      </w:r>
      <w:r w:rsidR="00C37789" w:rsidRPr="000322E4">
        <w:rPr>
          <w:lang w:val="en-US"/>
        </w:rPr>
        <w:instrText>type</w:instrText>
      </w:r>
      <w:r w:rsidR="00C37789" w:rsidRPr="000322E4">
        <w:instrText>":"</w:instrText>
      </w:r>
      <w:r w:rsidR="00C37789" w:rsidRPr="000322E4">
        <w:rPr>
          <w:lang w:val="en-US"/>
        </w:rPr>
        <w:instrText>paper</w:instrText>
      </w:r>
      <w:r w:rsidR="00C37789" w:rsidRPr="000322E4">
        <w:instrText>-</w:instrText>
      </w:r>
      <w:r w:rsidR="00C37789" w:rsidRPr="000322E4">
        <w:rPr>
          <w:lang w:val="en-US"/>
        </w:rPr>
        <w:instrText>conference</w:instrText>
      </w:r>
      <w:r w:rsidR="00C37789" w:rsidRPr="000322E4">
        <w:instrText>","</w:instrText>
      </w:r>
      <w:r w:rsidR="00C37789" w:rsidRPr="000322E4">
        <w:rPr>
          <w:lang w:val="en-US"/>
        </w:rPr>
        <w:instrText>volume</w:instrText>
      </w:r>
      <w:r w:rsidR="00C37789" w:rsidRPr="000322E4">
        <w:instrText>":"31"},"</w:instrText>
      </w:r>
      <w:r w:rsidR="00C37789" w:rsidRPr="000322E4">
        <w:rPr>
          <w:lang w:val="en-US"/>
        </w:rPr>
        <w:instrText>uris</w:instrText>
      </w:r>
      <w:r w:rsidR="00C37789" w:rsidRPr="000322E4">
        <w:instrText>":["</w:instrText>
      </w:r>
      <w:r w:rsidR="00C37789" w:rsidRPr="000322E4">
        <w:rPr>
          <w:lang w:val="en-US"/>
        </w:rPr>
        <w:instrText>http</w:instrText>
      </w:r>
      <w:r w:rsidR="00C37789" w:rsidRPr="000322E4">
        <w:instrText>://</w:instrText>
      </w:r>
      <w:r w:rsidR="00C37789" w:rsidRPr="000322E4">
        <w:rPr>
          <w:lang w:val="en-US"/>
        </w:rPr>
        <w:instrText>www</w:instrText>
      </w:r>
      <w:r w:rsidR="00C37789" w:rsidRPr="000322E4">
        <w:instrText>.</w:instrText>
      </w:r>
      <w:r w:rsidR="00C37789" w:rsidRPr="000322E4">
        <w:rPr>
          <w:lang w:val="en-US"/>
        </w:rPr>
        <w:instrText>mendeley</w:instrText>
      </w:r>
      <w:r w:rsidR="00C37789" w:rsidRPr="000322E4">
        <w:instrText>.</w:instrText>
      </w:r>
      <w:r w:rsidR="00C37789" w:rsidRPr="000322E4">
        <w:rPr>
          <w:lang w:val="en-US"/>
        </w:rPr>
        <w:instrText>com</w:instrText>
      </w:r>
      <w:r w:rsidR="00C37789" w:rsidRPr="000322E4">
        <w:instrText>/</w:instrText>
      </w:r>
      <w:r w:rsidR="00C37789" w:rsidRPr="000322E4">
        <w:rPr>
          <w:lang w:val="en-US"/>
        </w:rPr>
        <w:instrText>documents</w:instrText>
      </w:r>
      <w:r w:rsidR="00C37789" w:rsidRPr="000322E4">
        <w:instrText>/?</w:instrText>
      </w:r>
      <w:r w:rsidR="00C37789" w:rsidRPr="000322E4">
        <w:rPr>
          <w:lang w:val="en-US"/>
        </w:rPr>
        <w:instrText>uuid</w:instrText>
      </w:r>
      <w:r w:rsidR="00C37789" w:rsidRPr="000322E4">
        <w:instrText>=11818781-861</w:instrText>
      </w:r>
      <w:r w:rsidR="00C37789" w:rsidRPr="000322E4">
        <w:rPr>
          <w:lang w:val="en-US"/>
        </w:rPr>
        <w:instrText>b</w:instrText>
      </w:r>
      <w:r w:rsidR="00C37789" w:rsidRPr="000322E4">
        <w:instrText>-36</w:instrText>
      </w:r>
      <w:r w:rsidR="00C37789" w:rsidRPr="000322E4">
        <w:rPr>
          <w:lang w:val="en-US"/>
        </w:rPr>
        <w:instrText>f</w:instrText>
      </w:r>
      <w:r w:rsidR="00C37789" w:rsidRPr="000322E4">
        <w:instrText>3-</w:instrText>
      </w:r>
      <w:r w:rsidR="00C37789" w:rsidRPr="000322E4">
        <w:rPr>
          <w:lang w:val="en-US"/>
        </w:rPr>
        <w:instrText>aa</w:instrText>
      </w:r>
      <w:r w:rsidR="00C37789" w:rsidRPr="000322E4">
        <w:instrText>08-86</w:instrText>
      </w:r>
      <w:r w:rsidR="00C37789" w:rsidRPr="000322E4">
        <w:rPr>
          <w:lang w:val="en-US"/>
        </w:rPr>
        <w:instrText>cabb</w:instrText>
      </w:r>
      <w:r w:rsidR="00C37789" w:rsidRPr="000322E4">
        <w:instrText>13</w:instrText>
      </w:r>
      <w:r w:rsidR="00C37789" w:rsidRPr="000322E4">
        <w:rPr>
          <w:lang w:val="en-US"/>
        </w:rPr>
        <w:instrText>c</w:instrText>
      </w:r>
      <w:r w:rsidR="00C37789" w:rsidRPr="000322E4">
        <w:instrText>19</w:instrText>
      </w:r>
      <w:r w:rsidR="00C37789" w:rsidRPr="000322E4">
        <w:rPr>
          <w:lang w:val="en-US"/>
        </w:rPr>
        <w:instrText>e</w:instrText>
      </w:r>
      <w:r w:rsidR="00C37789" w:rsidRPr="000322E4">
        <w:instrText>"]}],"</w:instrText>
      </w:r>
      <w:r w:rsidR="00C37789" w:rsidRPr="000322E4">
        <w:rPr>
          <w:lang w:val="en-US"/>
        </w:rPr>
        <w:instrText>mendeley</w:instrText>
      </w:r>
      <w:r w:rsidR="00C37789" w:rsidRPr="000322E4">
        <w:instrText>":{"</w:instrText>
      </w:r>
      <w:r w:rsidR="00C37789" w:rsidRPr="000322E4">
        <w:rPr>
          <w:lang w:val="en-US"/>
        </w:rPr>
        <w:instrText>formattedCitation</w:instrText>
      </w:r>
      <w:r w:rsidR="00C37789" w:rsidRPr="000322E4">
        <w:instrText>":"[103,104]","</w:instrText>
      </w:r>
      <w:r w:rsidR="00C37789" w:rsidRPr="000322E4">
        <w:rPr>
          <w:lang w:val="en-US"/>
        </w:rPr>
        <w:instrText>plainTextFormattedCitation</w:instrText>
      </w:r>
      <w:r w:rsidR="00C37789" w:rsidRPr="000322E4">
        <w:instrText>":"[103,104]","</w:instrText>
      </w:r>
      <w:r w:rsidR="00C37789" w:rsidRPr="000322E4">
        <w:rPr>
          <w:lang w:val="en-US"/>
        </w:rPr>
        <w:instrText>previouslyFormattedCitation</w:instrText>
      </w:r>
      <w:r w:rsidR="00C37789" w:rsidRPr="000322E4">
        <w:instrText>":"[103,104]"},"</w:instrText>
      </w:r>
      <w:r w:rsidR="00C37789" w:rsidRPr="000322E4">
        <w:rPr>
          <w:lang w:val="en-US"/>
        </w:rPr>
        <w:instrText>properties</w:instrText>
      </w:r>
      <w:r w:rsidR="00C37789" w:rsidRPr="000322E4">
        <w:instrText>":{"</w:instrText>
      </w:r>
      <w:r w:rsidR="00C37789" w:rsidRPr="000322E4">
        <w:rPr>
          <w:lang w:val="en-US"/>
        </w:rPr>
        <w:instrText>noteIndex</w:instrText>
      </w:r>
      <w:r w:rsidR="00C37789" w:rsidRPr="000322E4">
        <w:instrText>":0},"</w:instrText>
      </w:r>
      <w:r w:rsidR="00C37789" w:rsidRPr="000322E4">
        <w:rPr>
          <w:lang w:val="en-US"/>
        </w:rPr>
        <w:instrText>schema</w:instrText>
      </w:r>
      <w:r w:rsidR="00C37789" w:rsidRPr="000322E4">
        <w:instrText>":"</w:instrText>
      </w:r>
      <w:r w:rsidR="00C37789" w:rsidRPr="000322E4">
        <w:rPr>
          <w:lang w:val="en-US"/>
        </w:rPr>
        <w:instrText>https</w:instrText>
      </w:r>
      <w:r w:rsidR="00C37789" w:rsidRPr="000322E4">
        <w:instrText>://</w:instrText>
      </w:r>
      <w:r w:rsidR="00C37789" w:rsidRPr="000322E4">
        <w:rPr>
          <w:lang w:val="en-US"/>
        </w:rPr>
        <w:instrText>github</w:instrText>
      </w:r>
      <w:r w:rsidR="00C37789" w:rsidRPr="000322E4">
        <w:instrText>.</w:instrText>
      </w:r>
      <w:r w:rsidR="00C37789" w:rsidRPr="000322E4">
        <w:rPr>
          <w:lang w:val="en-US"/>
        </w:rPr>
        <w:instrText>com</w:instrText>
      </w:r>
      <w:r w:rsidR="00C37789" w:rsidRPr="000322E4">
        <w:instrText>/</w:instrText>
      </w:r>
      <w:r w:rsidR="00C37789" w:rsidRPr="000322E4">
        <w:rPr>
          <w:lang w:val="en-US"/>
        </w:rPr>
        <w:instrText>citation</w:instrText>
      </w:r>
      <w:r w:rsidR="00C37789" w:rsidRPr="000322E4">
        <w:instrText>-</w:instrText>
      </w:r>
      <w:r w:rsidR="00C37789" w:rsidRPr="000322E4">
        <w:rPr>
          <w:lang w:val="en-US"/>
        </w:rPr>
        <w:instrText>style</w:instrText>
      </w:r>
      <w:r w:rsidR="00C37789" w:rsidRPr="000322E4">
        <w:instrText>-</w:instrText>
      </w:r>
      <w:r w:rsidR="00C37789" w:rsidRPr="000322E4">
        <w:rPr>
          <w:lang w:val="en-US"/>
        </w:rPr>
        <w:instrText>language</w:instrText>
      </w:r>
      <w:r w:rsidR="00C37789" w:rsidRPr="000322E4">
        <w:instrText>/</w:instrText>
      </w:r>
      <w:r w:rsidR="00C37789" w:rsidRPr="000322E4">
        <w:rPr>
          <w:lang w:val="en-US"/>
        </w:rPr>
        <w:instrText>schema</w:instrText>
      </w:r>
      <w:r w:rsidR="00C37789" w:rsidRPr="000322E4">
        <w:instrText>/</w:instrText>
      </w:r>
      <w:r w:rsidR="00C37789" w:rsidRPr="000322E4">
        <w:rPr>
          <w:lang w:val="en-US"/>
        </w:rPr>
        <w:instrText>raw</w:instrText>
      </w:r>
      <w:r w:rsidR="00C37789" w:rsidRPr="000322E4">
        <w:instrText>/</w:instrText>
      </w:r>
      <w:r w:rsidR="00C37789" w:rsidRPr="000322E4">
        <w:rPr>
          <w:lang w:val="en-US"/>
        </w:rPr>
        <w:instrText>master</w:instrText>
      </w:r>
      <w:r w:rsidR="00C37789" w:rsidRPr="000322E4">
        <w:instrText>/</w:instrText>
      </w:r>
      <w:r w:rsidR="00C37789" w:rsidRPr="000322E4">
        <w:rPr>
          <w:lang w:val="en-US"/>
        </w:rPr>
        <w:instrText>csl</w:instrText>
      </w:r>
      <w:r w:rsidR="00C37789" w:rsidRPr="000322E4">
        <w:instrText>-</w:instrText>
      </w:r>
      <w:r w:rsidR="00C37789" w:rsidRPr="000322E4">
        <w:rPr>
          <w:lang w:val="en-US"/>
        </w:rPr>
        <w:instrText>citation</w:instrText>
      </w:r>
      <w:r w:rsidR="00C37789" w:rsidRPr="000322E4">
        <w:instrText>.</w:instrText>
      </w:r>
      <w:r w:rsidR="00C37789" w:rsidRPr="000322E4">
        <w:rPr>
          <w:lang w:val="en-US"/>
        </w:rPr>
        <w:instrText>json</w:instrText>
      </w:r>
      <w:r w:rsidR="00C37789" w:rsidRPr="000322E4">
        <w:instrText>"}</w:instrText>
      </w:r>
      <w:r w:rsidRPr="000322E4">
        <w:rPr>
          <w:lang w:val="en-US"/>
        </w:rPr>
        <w:fldChar w:fldCharType="separate"/>
      </w:r>
      <w:r w:rsidR="00C37789" w:rsidRPr="000322E4">
        <w:rPr>
          <w:noProof/>
        </w:rPr>
        <w:t>[103,104]</w:t>
      </w:r>
      <w:r w:rsidRPr="000322E4">
        <w:rPr>
          <w:lang w:val="en-US"/>
        </w:rPr>
        <w:fldChar w:fldCharType="end"/>
      </w:r>
      <w:r w:rsidRPr="000322E4">
        <w:rPr>
          <w:b/>
          <w:bCs/>
        </w:rPr>
        <w:t xml:space="preserve"> </w:t>
      </w:r>
    </w:p>
    <w:p w14:paraId="105B9B16" w14:textId="77777777" w:rsidR="00666D68" w:rsidRPr="000322E4" w:rsidRDefault="00666D68" w:rsidP="008E3584">
      <w:pPr>
        <w:numPr>
          <w:ilvl w:val="0"/>
          <w:numId w:val="40"/>
        </w:numPr>
      </w:pPr>
      <w:r w:rsidRPr="000322E4">
        <w:t>Ритуксимаб</w:t>
      </w:r>
      <w:r w:rsidRPr="000322E4">
        <w:rPr>
          <w:bCs/>
        </w:rPr>
        <w:t>**</w:t>
      </w:r>
      <w:r w:rsidRPr="000322E4">
        <w:t xml:space="preserve"> </w:t>
      </w:r>
    </w:p>
    <w:p w14:paraId="25595104" w14:textId="77777777" w:rsidR="00666D68" w:rsidRPr="000322E4" w:rsidRDefault="00666D68" w:rsidP="008E3584">
      <w:pPr>
        <w:numPr>
          <w:ilvl w:val="1"/>
          <w:numId w:val="40"/>
        </w:numPr>
      </w:pPr>
      <w:r w:rsidRPr="000322E4">
        <w:t>375 мг/м</w:t>
      </w:r>
      <w:r w:rsidRPr="000322E4">
        <w:rPr>
          <w:vertAlign w:val="superscript"/>
        </w:rPr>
        <w:t>2</w:t>
      </w:r>
      <w:r w:rsidRPr="000322E4">
        <w:t xml:space="preserve"> в/в кап., день 1 все циклы курса</w:t>
      </w:r>
    </w:p>
    <w:p w14:paraId="6E85DEDE" w14:textId="77777777" w:rsidR="00666D68" w:rsidRPr="000322E4" w:rsidRDefault="00666D68" w:rsidP="008E3584">
      <w:pPr>
        <w:ind w:left="1080" w:firstLine="336"/>
      </w:pPr>
      <w:r w:rsidRPr="000322E4">
        <w:t>или</w:t>
      </w:r>
    </w:p>
    <w:p w14:paraId="20C3D161" w14:textId="0B8E9C55" w:rsidR="00666D68" w:rsidRPr="000322E4" w:rsidRDefault="00666D68" w:rsidP="008E3584">
      <w:pPr>
        <w:numPr>
          <w:ilvl w:val="1"/>
          <w:numId w:val="40"/>
        </w:numPr>
      </w:pPr>
      <w:r w:rsidRPr="000322E4">
        <w:lastRenderedPageBreak/>
        <w:t>375 мг/м</w:t>
      </w:r>
      <w:r w:rsidRPr="000322E4">
        <w:rPr>
          <w:vertAlign w:val="superscript"/>
        </w:rPr>
        <w:t>2</w:t>
      </w:r>
      <w:r w:rsidRPr="000322E4">
        <w:t xml:space="preserve"> в/в кап. 1 цикл, далее ритуксимаб 1400 мг п/к, день 1 </w:t>
      </w:r>
      <w:r w:rsidRPr="000322E4">
        <w:rPr>
          <w:lang w:val="en-US"/>
        </w:rPr>
        <w:fldChar w:fldCharType="begin" w:fldLock="1"/>
      </w:r>
      <w:r w:rsidR="00E974B2">
        <w:rPr>
          <w:lang w:val="en-US"/>
        </w:rPr>
        <w:instrText>ADDIN</w:instrText>
      </w:r>
      <w:r w:rsidR="00E974B2" w:rsidRPr="006C476A">
        <w:instrText xml:space="preserve"> </w:instrText>
      </w:r>
      <w:r w:rsidR="00E974B2">
        <w:rPr>
          <w:lang w:val="en-US"/>
        </w:rPr>
        <w:instrText>CSL</w:instrText>
      </w:r>
      <w:r w:rsidR="00E974B2" w:rsidRPr="006C476A">
        <w:instrText>_</w:instrText>
      </w:r>
      <w:r w:rsidR="00E974B2">
        <w:rPr>
          <w:lang w:val="en-US"/>
        </w:rPr>
        <w:instrText>CITATION</w:instrText>
      </w:r>
      <w:r w:rsidR="00E974B2" w:rsidRPr="006C476A">
        <w:instrText xml:space="preserve"> {"</w:instrText>
      </w:r>
      <w:r w:rsidR="00E974B2">
        <w:rPr>
          <w:lang w:val="en-US"/>
        </w:rPr>
        <w:instrText>citationItems</w:instrText>
      </w:r>
      <w:r w:rsidR="00E974B2" w:rsidRPr="006C476A">
        <w:instrText>":[{"</w:instrText>
      </w:r>
      <w:r w:rsidR="00E974B2">
        <w:rPr>
          <w:lang w:val="en-US"/>
        </w:rPr>
        <w:instrText>id</w:instrText>
      </w:r>
      <w:r w:rsidR="00E974B2" w:rsidRPr="006C476A">
        <w:instrText>":"</w:instrText>
      </w:r>
      <w:r w:rsidR="00E974B2">
        <w:rPr>
          <w:lang w:val="en-US"/>
        </w:rPr>
        <w:instrText>ITEM</w:instrText>
      </w:r>
      <w:r w:rsidR="00E974B2" w:rsidRPr="006C476A">
        <w:instrText>-1","</w:instrText>
      </w:r>
      <w:r w:rsidR="00E974B2">
        <w:rPr>
          <w:lang w:val="en-US"/>
        </w:rPr>
        <w:instrText>itemData</w:instrText>
      </w:r>
      <w:r w:rsidR="00E974B2" w:rsidRPr="006C476A">
        <w:instrText>":{"</w:instrText>
      </w:r>
      <w:r w:rsidR="00E974B2">
        <w:rPr>
          <w:lang w:val="en-US"/>
        </w:rPr>
        <w:instrText>ISSN</w:instrText>
      </w:r>
      <w:r w:rsidR="00E974B2" w:rsidRPr="006C476A">
        <w:instrText>":"2150-0878","</w:instrText>
      </w:r>
      <w:r w:rsidR="00E974B2">
        <w:rPr>
          <w:lang w:val="en-US"/>
        </w:rPr>
        <w:instrText>PMID</w:instrText>
      </w:r>
      <w:r w:rsidR="00E974B2" w:rsidRPr="006C476A">
        <w:instrText>":"31086689","</w:instrText>
      </w:r>
      <w:r w:rsidR="00E974B2">
        <w:rPr>
          <w:lang w:val="en-US"/>
        </w:rPr>
        <w:instrText>abstract</w:instrText>
      </w:r>
      <w:r w:rsidR="00E974B2" w:rsidRPr="006C476A">
        <w:instrText>":"</w:instrText>
      </w:r>
      <w:r w:rsidR="00E974B2">
        <w:rPr>
          <w:lang w:val="en-US"/>
        </w:rPr>
        <w:instrText>Rituximab</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hyaluronidase</w:instrText>
      </w:r>
      <w:r w:rsidR="00E974B2" w:rsidRPr="006C476A">
        <w:instrText xml:space="preserve"> </w:instrText>
      </w:r>
      <w:r w:rsidR="00E974B2">
        <w:rPr>
          <w:lang w:val="en-US"/>
        </w:rPr>
        <w:instrText>human</w:instrText>
      </w:r>
      <w:r w:rsidR="00E974B2" w:rsidRPr="006C476A">
        <w:instrText xml:space="preserve"> </w:instrText>
      </w:r>
      <w:r w:rsidR="00E974B2">
        <w:rPr>
          <w:lang w:val="en-US"/>
        </w:rPr>
        <w:instrText>is</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new</w:instrText>
      </w:r>
      <w:r w:rsidR="00E974B2" w:rsidRPr="006C476A">
        <w:instrText xml:space="preserve"> </w:instrText>
      </w:r>
      <w:r w:rsidR="00E974B2">
        <w:rPr>
          <w:lang w:val="en-US"/>
        </w:rPr>
        <w:instrText>subcutaneous</w:instrText>
      </w:r>
      <w:r w:rsidR="00E974B2" w:rsidRPr="006C476A">
        <w:instrText xml:space="preserve"> </w:instrText>
      </w:r>
      <w:r w:rsidR="00E974B2">
        <w:rPr>
          <w:lang w:val="en-US"/>
        </w:rPr>
        <w:instrText>formulation</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that</w:instrText>
      </w:r>
      <w:r w:rsidR="00E974B2" w:rsidRPr="006C476A">
        <w:instrText xml:space="preserve"> </w:instrText>
      </w:r>
      <w:r w:rsidR="00E974B2">
        <w:rPr>
          <w:lang w:val="en-US"/>
        </w:rPr>
        <w:instrText>was</w:instrText>
      </w:r>
      <w:r w:rsidR="00E974B2" w:rsidRPr="006C476A">
        <w:instrText xml:space="preserve"> </w:instrText>
      </w:r>
      <w:r w:rsidR="00E974B2">
        <w:rPr>
          <w:lang w:val="en-US"/>
        </w:rPr>
        <w:instrText>recently</w:instrText>
      </w:r>
      <w:r w:rsidR="00E974B2" w:rsidRPr="006C476A">
        <w:instrText xml:space="preserve"> </w:instrText>
      </w:r>
      <w:r w:rsidR="00E974B2">
        <w:rPr>
          <w:lang w:val="en-US"/>
        </w:rPr>
        <w:instrText>approved</w:instrText>
      </w:r>
      <w:r w:rsidR="00E974B2" w:rsidRPr="006C476A">
        <w:instrText xml:space="preserve"> </w:instrText>
      </w:r>
      <w:r w:rsidR="00E974B2">
        <w:rPr>
          <w:lang w:val="en-US"/>
        </w:rPr>
        <w:instrText>by</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US</w:instrText>
      </w:r>
      <w:r w:rsidR="00E974B2" w:rsidRPr="006C476A">
        <w:instrText xml:space="preserve"> </w:instrText>
      </w:r>
      <w:r w:rsidR="00E974B2">
        <w:rPr>
          <w:lang w:val="en-US"/>
        </w:rPr>
        <w:instrText>Food</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Drug</w:instrText>
      </w:r>
      <w:r w:rsidR="00E974B2" w:rsidRPr="006C476A">
        <w:instrText xml:space="preserve"> </w:instrText>
      </w:r>
      <w:r w:rsidR="00E974B2">
        <w:rPr>
          <w:lang w:val="en-US"/>
        </w:rPr>
        <w:instrText>Administration</w:instrText>
      </w:r>
      <w:r w:rsidR="00E974B2" w:rsidRPr="006C476A">
        <w:instrText xml:space="preserve"> </w:instrText>
      </w:r>
      <w:r w:rsidR="00E974B2">
        <w:rPr>
          <w:lang w:val="en-US"/>
        </w:rPr>
        <w:instrText>for</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treatment</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adults</w:instrText>
      </w:r>
      <w:r w:rsidR="00E974B2" w:rsidRPr="006C476A">
        <w:instrText xml:space="preserve"> </w:instrText>
      </w:r>
      <w:r w:rsidR="00E974B2">
        <w:rPr>
          <w:lang w:val="en-US"/>
        </w:rPr>
        <w:instrText>with</w:instrText>
      </w:r>
      <w:r w:rsidR="00E974B2" w:rsidRPr="006C476A">
        <w:instrText xml:space="preserve"> </w:instrText>
      </w:r>
      <w:r w:rsidR="00E974B2">
        <w:rPr>
          <w:lang w:val="en-US"/>
        </w:rPr>
        <w:instrText>follicular</w:instrText>
      </w:r>
      <w:r w:rsidR="00E974B2" w:rsidRPr="006C476A">
        <w:instrText xml:space="preserve"> </w:instrText>
      </w:r>
      <w:r w:rsidR="00E974B2">
        <w:rPr>
          <w:lang w:val="en-US"/>
        </w:rPr>
        <w:instrText>lymphoma</w:instrText>
      </w:r>
      <w:r w:rsidR="00E974B2" w:rsidRPr="006C476A">
        <w:instrText xml:space="preserve">, </w:instrText>
      </w:r>
      <w:r w:rsidR="00E974B2">
        <w:rPr>
          <w:lang w:val="en-US"/>
        </w:rPr>
        <w:instrText>diffuse</w:instrText>
      </w:r>
      <w:r w:rsidR="00E974B2" w:rsidRPr="006C476A">
        <w:instrText xml:space="preserve"> </w:instrText>
      </w:r>
      <w:r w:rsidR="00E974B2">
        <w:rPr>
          <w:lang w:val="en-US"/>
        </w:rPr>
        <w:instrText>large</w:instrText>
      </w:r>
      <w:r w:rsidR="00E974B2" w:rsidRPr="006C476A">
        <w:instrText xml:space="preserve"> </w:instrText>
      </w:r>
      <w:r w:rsidR="00E974B2">
        <w:rPr>
          <w:lang w:val="en-US"/>
        </w:rPr>
        <w:instrText>B</w:instrText>
      </w:r>
      <w:r w:rsidR="00E974B2" w:rsidRPr="006C476A">
        <w:instrText>-</w:instrText>
      </w:r>
      <w:r w:rsidR="00E974B2">
        <w:rPr>
          <w:lang w:val="en-US"/>
        </w:rPr>
        <w:instrText>cell</w:instrText>
      </w:r>
      <w:r w:rsidR="00E974B2" w:rsidRPr="006C476A">
        <w:instrText xml:space="preserve"> </w:instrText>
      </w:r>
      <w:r w:rsidR="00E974B2">
        <w:rPr>
          <w:lang w:val="en-US"/>
        </w:rPr>
        <w:instrText>lymphoma</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chronic</w:instrText>
      </w:r>
      <w:r w:rsidR="00E974B2" w:rsidRPr="006C476A">
        <w:instrText xml:space="preserve"> </w:instrText>
      </w:r>
      <w:r w:rsidR="00E974B2">
        <w:rPr>
          <w:lang w:val="en-US"/>
        </w:rPr>
        <w:instrText>lymphocytic</w:instrText>
      </w:r>
      <w:r w:rsidR="00E974B2" w:rsidRPr="006C476A">
        <w:instrText xml:space="preserve"> </w:instrText>
      </w:r>
      <w:r w:rsidR="00E974B2">
        <w:rPr>
          <w:lang w:val="en-US"/>
        </w:rPr>
        <w:instrText>leukemia</w:instrText>
      </w:r>
      <w:r w:rsidR="00E974B2" w:rsidRPr="006C476A">
        <w:instrText xml:space="preserve">. </w:instrText>
      </w:r>
      <w:r w:rsidR="00E974B2">
        <w:rPr>
          <w:lang w:val="en-US"/>
        </w:rPr>
        <w:instrText>With</w:instrText>
      </w:r>
      <w:r w:rsidR="00E974B2" w:rsidRPr="006C476A">
        <w:instrText xml:space="preserve"> </w:instrText>
      </w:r>
      <w:r w:rsidR="00E974B2">
        <w:rPr>
          <w:lang w:val="en-US"/>
        </w:rPr>
        <w:instrText>data</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support</w:instrText>
      </w:r>
      <w:r w:rsidR="00E974B2" w:rsidRPr="006C476A">
        <w:instrText xml:space="preserve"> </w:instrText>
      </w:r>
      <w:r w:rsidR="00E974B2">
        <w:rPr>
          <w:lang w:val="en-US"/>
        </w:rPr>
        <w:instrText>noninferior</w:instrText>
      </w:r>
      <w:r w:rsidR="00E974B2" w:rsidRPr="006C476A">
        <w:instrText xml:space="preserve"> </w:instrText>
      </w:r>
      <w:r w:rsidR="00E974B2">
        <w:rPr>
          <w:lang w:val="en-US"/>
        </w:rPr>
        <w:instrText>pharmacokinetics</w:instrText>
      </w:r>
      <w:r w:rsidR="00E974B2" w:rsidRPr="006C476A">
        <w:instrText xml:space="preserve">, </w:instrText>
      </w:r>
      <w:r w:rsidR="00E974B2">
        <w:rPr>
          <w:lang w:val="en-US"/>
        </w:rPr>
        <w:instrText>similar</w:instrText>
      </w:r>
      <w:r w:rsidR="00E974B2" w:rsidRPr="006C476A">
        <w:instrText xml:space="preserve"> </w:instrText>
      </w:r>
      <w:r w:rsidR="00E974B2">
        <w:rPr>
          <w:lang w:val="en-US"/>
        </w:rPr>
        <w:instrText>outcomes</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comparable</w:instrText>
      </w:r>
      <w:r w:rsidR="00E974B2" w:rsidRPr="006C476A">
        <w:instrText xml:space="preserve"> </w:instrText>
      </w:r>
      <w:r w:rsidR="00E974B2">
        <w:rPr>
          <w:lang w:val="en-US"/>
        </w:rPr>
        <w:instrText>adverse</w:instrText>
      </w:r>
      <w:r w:rsidR="00E974B2" w:rsidRPr="006C476A">
        <w:instrText xml:space="preserve"> </w:instrText>
      </w:r>
      <w:r w:rsidR="00E974B2">
        <w:rPr>
          <w:lang w:val="en-US"/>
        </w:rPr>
        <w:instrText>events</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hyaluronidase</w:instrText>
      </w:r>
      <w:r w:rsidR="00E974B2" w:rsidRPr="006C476A">
        <w:instrText xml:space="preserve"> </w:instrText>
      </w:r>
      <w:r w:rsidR="00E974B2">
        <w:rPr>
          <w:lang w:val="en-US"/>
        </w:rPr>
        <w:instrText>human</w:instrText>
      </w:r>
      <w:r w:rsidR="00E974B2" w:rsidRPr="006C476A">
        <w:instrText xml:space="preserve"> </w:instrText>
      </w:r>
      <w:r w:rsidR="00E974B2">
        <w:rPr>
          <w:lang w:val="en-US"/>
        </w:rPr>
        <w:instrText>may</w:instrText>
      </w:r>
      <w:r w:rsidR="00E974B2" w:rsidRPr="006C476A">
        <w:instrText xml:space="preserve"> </w:instrText>
      </w:r>
      <w:r w:rsidR="00E974B2">
        <w:rPr>
          <w:lang w:val="en-US"/>
        </w:rPr>
        <w:instrText>offer</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suitable</w:instrText>
      </w:r>
      <w:r w:rsidR="00E974B2" w:rsidRPr="006C476A">
        <w:instrText xml:space="preserve"> </w:instrText>
      </w:r>
      <w:r w:rsidR="00E974B2">
        <w:rPr>
          <w:lang w:val="en-US"/>
        </w:rPr>
        <w:instrText>alternative</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intravenous</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that</w:instrText>
      </w:r>
      <w:r w:rsidR="00E974B2" w:rsidRPr="006C476A">
        <w:instrText xml:space="preserve"> </w:instrText>
      </w:r>
      <w:r w:rsidR="00E974B2">
        <w:rPr>
          <w:lang w:val="en-US"/>
        </w:rPr>
        <w:instrText>could</w:instrText>
      </w:r>
      <w:r w:rsidR="00E974B2" w:rsidRPr="006C476A">
        <w:instrText xml:space="preserve"> </w:instrText>
      </w:r>
      <w:r w:rsidR="00E974B2">
        <w:rPr>
          <w:lang w:val="en-US"/>
        </w:rPr>
        <w:instrText>improve</w:instrText>
      </w:r>
      <w:r w:rsidR="00E974B2" w:rsidRPr="006C476A">
        <w:instrText xml:space="preserve"> </w:instrText>
      </w:r>
      <w:r w:rsidR="00E974B2">
        <w:rPr>
          <w:lang w:val="en-US"/>
        </w:rPr>
        <w:instrText>convenience</w:instrText>
      </w:r>
      <w:r w:rsidR="00E974B2" w:rsidRPr="006C476A">
        <w:instrText xml:space="preserve"> </w:instrText>
      </w:r>
      <w:r w:rsidR="00E974B2">
        <w:rPr>
          <w:lang w:val="en-US"/>
        </w:rPr>
        <w:instrText>for</w:instrText>
      </w:r>
      <w:r w:rsidR="00E974B2" w:rsidRPr="006C476A">
        <w:instrText xml:space="preserve"> </w:instrText>
      </w:r>
      <w:r w:rsidR="00E974B2">
        <w:rPr>
          <w:lang w:val="en-US"/>
        </w:rPr>
        <w:instrText>patients</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better</w:instrText>
      </w:r>
      <w:r w:rsidR="00E974B2" w:rsidRPr="006C476A">
        <w:instrText xml:space="preserve"> </w:instrText>
      </w:r>
      <w:r w:rsidR="00E974B2">
        <w:rPr>
          <w:lang w:val="en-US"/>
        </w:rPr>
        <w:instrText>utilize</w:instrText>
      </w:r>
      <w:r w:rsidR="00E974B2" w:rsidRPr="006C476A">
        <w:instrText xml:space="preserve"> </w:instrText>
      </w:r>
      <w:r w:rsidR="00E974B2">
        <w:rPr>
          <w:lang w:val="en-US"/>
        </w:rPr>
        <w:instrText>health</w:instrText>
      </w:r>
      <w:r w:rsidR="00E974B2" w:rsidRPr="006C476A">
        <w:instrText>-</w:instrText>
      </w:r>
      <w:r w:rsidR="00E974B2">
        <w:rPr>
          <w:lang w:val="en-US"/>
        </w:rPr>
        <w:instrText>care</w:instrText>
      </w:r>
      <w:r w:rsidR="00E974B2" w:rsidRPr="006C476A">
        <w:instrText xml:space="preserve"> </w:instrText>
      </w:r>
      <w:r w:rsidR="00E974B2">
        <w:rPr>
          <w:lang w:val="en-US"/>
        </w:rPr>
        <w:instrText>resources</w:instrText>
      </w:r>
      <w:r w:rsidR="00E974B2" w:rsidRPr="006C476A">
        <w:instrText>.","</w:instrText>
      </w:r>
      <w:r w:rsidR="00E974B2">
        <w:rPr>
          <w:lang w:val="en-US"/>
        </w:rPr>
        <w:instrText>author</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Yelvington</w:instrText>
      </w:r>
      <w:r w:rsidR="00E974B2" w:rsidRPr="006C476A">
        <w:instrText>","</w:instrText>
      </w:r>
      <w:r w:rsidR="00E974B2">
        <w:rPr>
          <w:lang w:val="en-US"/>
        </w:rPr>
        <w:instrText>given</w:instrText>
      </w:r>
      <w:r w:rsidR="00E974B2" w:rsidRPr="006C476A">
        <w:instrText>":"</w:instrText>
      </w:r>
      <w:r w:rsidR="00E974B2">
        <w:rPr>
          <w:lang w:val="en-US"/>
        </w:rPr>
        <w:instrText>Bradley</w:instrText>
      </w:r>
      <w:r w:rsidR="00E974B2" w:rsidRPr="006C476A">
        <w:instrText xml:space="preserve"> </w:instrText>
      </w:r>
      <w:r w:rsidR="00E974B2">
        <w:rPr>
          <w:lang w:val="en-US"/>
        </w:rPr>
        <w:instrText>J</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container</w:instrText>
      </w:r>
      <w:r w:rsidR="00E974B2" w:rsidRPr="006C476A">
        <w:instrText>-</w:instrText>
      </w:r>
      <w:r w:rsidR="00E974B2">
        <w:rPr>
          <w:lang w:val="en-US"/>
        </w:rPr>
        <w:instrText>title</w:instrText>
      </w:r>
      <w:r w:rsidR="00E974B2" w:rsidRPr="006C476A">
        <w:instrText>":"</w:instrText>
      </w:r>
      <w:r w:rsidR="00E974B2">
        <w:rPr>
          <w:lang w:val="en-US"/>
        </w:rPr>
        <w:instrText>Journal</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advanced</w:instrText>
      </w:r>
      <w:r w:rsidR="00E974B2" w:rsidRPr="006C476A">
        <w:instrText xml:space="preserve"> </w:instrText>
      </w:r>
      <w:r w:rsidR="00E974B2">
        <w:rPr>
          <w:lang w:val="en-US"/>
        </w:rPr>
        <w:instrText>practitioner</w:instrText>
      </w:r>
      <w:r w:rsidR="00E974B2" w:rsidRPr="006C476A">
        <w:instrText xml:space="preserve"> </w:instrText>
      </w:r>
      <w:r w:rsidR="00E974B2">
        <w:rPr>
          <w:lang w:val="en-US"/>
        </w:rPr>
        <w:instrText>in</w:instrText>
      </w:r>
      <w:r w:rsidR="00E974B2" w:rsidRPr="006C476A">
        <w:instrText xml:space="preserve"> </w:instrText>
      </w:r>
      <w:r w:rsidR="00E974B2">
        <w:rPr>
          <w:lang w:val="en-US"/>
        </w:rPr>
        <w:instrText>oncology</w:instrText>
      </w:r>
      <w:r w:rsidR="00E974B2" w:rsidRPr="006C476A">
        <w:instrText>","</w:instrText>
      </w:r>
      <w:r w:rsidR="00E974B2">
        <w:rPr>
          <w:lang w:val="en-US"/>
        </w:rPr>
        <w:instrText>id</w:instrText>
      </w:r>
      <w:r w:rsidR="00E974B2" w:rsidRPr="006C476A">
        <w:instrText>":"</w:instrText>
      </w:r>
      <w:r w:rsidR="00E974B2">
        <w:rPr>
          <w:lang w:val="en-US"/>
        </w:rPr>
        <w:instrText>ITEM</w:instrText>
      </w:r>
      <w:r w:rsidR="00E974B2" w:rsidRPr="006C476A">
        <w:instrText>-1","</w:instrText>
      </w:r>
      <w:r w:rsidR="00E974B2">
        <w:rPr>
          <w:lang w:val="en-US"/>
        </w:rPr>
        <w:instrText>issue</w:instrText>
      </w:r>
      <w:r w:rsidR="00E974B2" w:rsidRPr="006C476A">
        <w:instrText>":"5","</w:instrText>
      </w:r>
      <w:r w:rsidR="00E974B2">
        <w:rPr>
          <w:lang w:val="en-US"/>
        </w:rPr>
        <w:instrText>issued</w:instrText>
      </w:r>
      <w:r w:rsidR="00E974B2" w:rsidRPr="006C476A">
        <w:instrText>":{"</w:instrText>
      </w:r>
      <w:r w:rsidR="00E974B2">
        <w:rPr>
          <w:lang w:val="en-US"/>
        </w:rPr>
        <w:instrText>date</w:instrText>
      </w:r>
      <w:r w:rsidR="00E974B2" w:rsidRPr="006C476A">
        <w:instrText>-</w:instrText>
      </w:r>
      <w:r w:rsidR="00E974B2">
        <w:rPr>
          <w:lang w:val="en-US"/>
        </w:rPr>
        <w:instrText>parts</w:instrText>
      </w:r>
      <w:r w:rsidR="00E974B2" w:rsidRPr="006C476A">
        <w:instrText>":[["2018"]]},"</w:instrText>
      </w:r>
      <w:r w:rsidR="00E974B2">
        <w:rPr>
          <w:lang w:val="en-US"/>
        </w:rPr>
        <w:instrText>page</w:instrText>
      </w:r>
      <w:r w:rsidR="00E974B2" w:rsidRPr="006C476A">
        <w:instrText>":"530-534","</w:instrText>
      </w:r>
      <w:r w:rsidR="00E974B2">
        <w:rPr>
          <w:lang w:val="en-US"/>
        </w:rPr>
        <w:instrText>publisher</w:instrText>
      </w:r>
      <w:r w:rsidR="00E974B2" w:rsidRPr="006C476A">
        <w:instrText>":"</w:instrText>
      </w:r>
      <w:r w:rsidR="00E974B2">
        <w:rPr>
          <w:lang w:val="en-US"/>
        </w:rPr>
        <w:instrText>Harborside</w:instrText>
      </w:r>
      <w:r w:rsidR="00E974B2" w:rsidRPr="006C476A">
        <w:instrText xml:space="preserve"> </w:instrText>
      </w:r>
      <w:r w:rsidR="00E974B2">
        <w:rPr>
          <w:lang w:val="en-US"/>
        </w:rPr>
        <w:instrText>Press</w:instrText>
      </w:r>
      <w:r w:rsidR="00E974B2" w:rsidRPr="006C476A">
        <w:instrText>","</w:instrText>
      </w:r>
      <w:r w:rsidR="00E974B2">
        <w:rPr>
          <w:lang w:val="en-US"/>
        </w:rPr>
        <w:instrText>title</w:instrText>
      </w:r>
      <w:r w:rsidR="00E974B2" w:rsidRPr="006C476A">
        <w:instrText>":"</w:instrText>
      </w:r>
      <w:r w:rsidR="00E974B2">
        <w:rPr>
          <w:lang w:val="en-US"/>
        </w:rPr>
        <w:instrText>Subcutaneous</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in</w:instrText>
      </w:r>
      <w:r w:rsidR="00E974B2" w:rsidRPr="006C476A">
        <w:instrText xml:space="preserve"> </w:instrText>
      </w:r>
      <w:r w:rsidR="00E974B2">
        <w:rPr>
          <w:lang w:val="en-US"/>
        </w:rPr>
        <w:instrText>Follicular</w:instrText>
      </w:r>
      <w:r w:rsidR="00E974B2" w:rsidRPr="006C476A">
        <w:instrText xml:space="preserve"> </w:instrText>
      </w:r>
      <w:r w:rsidR="00E974B2">
        <w:rPr>
          <w:lang w:val="en-US"/>
        </w:rPr>
        <w:instrText>Lymphoma</w:instrText>
      </w:r>
      <w:r w:rsidR="00E974B2" w:rsidRPr="006C476A">
        <w:instrText xml:space="preserve">, </w:instrText>
      </w:r>
      <w:r w:rsidR="00E974B2">
        <w:rPr>
          <w:lang w:val="en-US"/>
        </w:rPr>
        <w:instrText>Chronic</w:instrText>
      </w:r>
      <w:r w:rsidR="00E974B2" w:rsidRPr="006C476A">
        <w:instrText xml:space="preserve"> </w:instrText>
      </w:r>
      <w:r w:rsidR="00E974B2">
        <w:rPr>
          <w:lang w:val="en-US"/>
        </w:rPr>
        <w:instrText>Lymphocytic</w:instrText>
      </w:r>
      <w:r w:rsidR="00E974B2" w:rsidRPr="006C476A">
        <w:instrText xml:space="preserve"> </w:instrText>
      </w:r>
      <w:r w:rsidR="00E974B2">
        <w:rPr>
          <w:lang w:val="en-US"/>
        </w:rPr>
        <w:instrText>Leukemia</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Diffuse</w:instrText>
      </w:r>
      <w:r w:rsidR="00E974B2" w:rsidRPr="006C476A">
        <w:instrText xml:space="preserve"> </w:instrText>
      </w:r>
      <w:r w:rsidR="00E974B2">
        <w:rPr>
          <w:lang w:val="en-US"/>
        </w:rPr>
        <w:instrText>Large</w:instrText>
      </w:r>
      <w:r w:rsidR="00E974B2" w:rsidRPr="006C476A">
        <w:instrText xml:space="preserve"> </w:instrText>
      </w:r>
      <w:r w:rsidR="00E974B2">
        <w:rPr>
          <w:lang w:val="en-US"/>
        </w:rPr>
        <w:instrText>B</w:instrText>
      </w:r>
      <w:r w:rsidR="00E974B2" w:rsidRPr="006C476A">
        <w:instrText>-</w:instrText>
      </w:r>
      <w:r w:rsidR="00E974B2">
        <w:rPr>
          <w:lang w:val="en-US"/>
        </w:rPr>
        <w:instrText>Cell</w:instrText>
      </w:r>
      <w:r w:rsidR="00E974B2" w:rsidRPr="006C476A">
        <w:instrText xml:space="preserve"> </w:instrText>
      </w:r>
      <w:r w:rsidR="00E974B2">
        <w:rPr>
          <w:lang w:val="en-US"/>
        </w:rPr>
        <w:instrText>Lymphoma</w:instrText>
      </w:r>
      <w:r w:rsidR="00E974B2" w:rsidRPr="006C476A">
        <w:instrText>.","</w:instrText>
      </w:r>
      <w:r w:rsidR="00E974B2">
        <w:rPr>
          <w:lang w:val="en-US"/>
        </w:rPr>
        <w:instrText>type</w:instrText>
      </w:r>
      <w:r w:rsidR="00E974B2" w:rsidRPr="006C476A">
        <w:instrText>":"</w:instrText>
      </w:r>
      <w:r w:rsidR="00E974B2">
        <w:rPr>
          <w:lang w:val="en-US"/>
        </w:rPr>
        <w:instrText>article</w:instrText>
      </w:r>
      <w:r w:rsidR="00E974B2" w:rsidRPr="006C476A">
        <w:instrText>-</w:instrText>
      </w:r>
      <w:r w:rsidR="00E974B2">
        <w:rPr>
          <w:lang w:val="en-US"/>
        </w:rPr>
        <w:instrText>journal</w:instrText>
      </w:r>
      <w:r w:rsidR="00E974B2" w:rsidRPr="006C476A">
        <w:instrText>","</w:instrText>
      </w:r>
      <w:r w:rsidR="00E974B2">
        <w:rPr>
          <w:lang w:val="en-US"/>
        </w:rPr>
        <w:instrText>volume</w:instrText>
      </w:r>
      <w:r w:rsidR="00E974B2" w:rsidRPr="006C476A">
        <w:instrText>":"9"},"</w:instrText>
      </w:r>
      <w:r w:rsidR="00E974B2">
        <w:rPr>
          <w:lang w:val="en-US"/>
        </w:rPr>
        <w:instrText>uris</w:instrText>
      </w:r>
      <w:r w:rsidR="00E974B2" w:rsidRPr="006C476A">
        <w:instrText>":["</w:instrText>
      </w:r>
      <w:r w:rsidR="00E974B2">
        <w:rPr>
          <w:lang w:val="en-US"/>
        </w:rPr>
        <w:instrText>http</w:instrText>
      </w:r>
      <w:r w:rsidR="00E974B2" w:rsidRPr="006C476A">
        <w:instrText>://</w:instrText>
      </w:r>
      <w:r w:rsidR="00E974B2">
        <w:rPr>
          <w:lang w:val="en-US"/>
        </w:rPr>
        <w:instrText>www</w:instrText>
      </w:r>
      <w:r w:rsidR="00E974B2" w:rsidRPr="006C476A">
        <w:instrText>.</w:instrText>
      </w:r>
      <w:r w:rsidR="00E974B2">
        <w:rPr>
          <w:lang w:val="en-US"/>
        </w:rPr>
        <w:instrText>mendeley</w:instrText>
      </w:r>
      <w:r w:rsidR="00E974B2" w:rsidRPr="006C476A">
        <w:instrText>.</w:instrText>
      </w:r>
      <w:r w:rsidR="00E974B2">
        <w:rPr>
          <w:lang w:val="en-US"/>
        </w:rPr>
        <w:instrText>com</w:instrText>
      </w:r>
      <w:r w:rsidR="00E974B2" w:rsidRPr="006C476A">
        <w:instrText>/</w:instrText>
      </w:r>
      <w:r w:rsidR="00E974B2">
        <w:rPr>
          <w:lang w:val="en-US"/>
        </w:rPr>
        <w:instrText>documents</w:instrText>
      </w:r>
      <w:r w:rsidR="00E974B2" w:rsidRPr="006C476A">
        <w:instrText>/?</w:instrText>
      </w:r>
      <w:r w:rsidR="00E974B2">
        <w:rPr>
          <w:lang w:val="en-US"/>
        </w:rPr>
        <w:instrText>uuid</w:instrText>
      </w:r>
      <w:r w:rsidR="00E974B2" w:rsidRPr="006C476A">
        <w:instrText>=</w:instrText>
      </w:r>
      <w:r w:rsidR="00E974B2">
        <w:rPr>
          <w:lang w:val="en-US"/>
        </w:rPr>
        <w:instrText>fbb</w:instrText>
      </w:r>
      <w:r w:rsidR="00E974B2" w:rsidRPr="006C476A">
        <w:instrText>0</w:instrText>
      </w:r>
      <w:r w:rsidR="00E974B2">
        <w:rPr>
          <w:lang w:val="en-US"/>
        </w:rPr>
        <w:instrText>b</w:instrText>
      </w:r>
      <w:r w:rsidR="00E974B2" w:rsidRPr="006C476A">
        <w:instrText>8</w:instrText>
      </w:r>
      <w:r w:rsidR="00E974B2">
        <w:rPr>
          <w:lang w:val="en-US"/>
        </w:rPr>
        <w:instrText>f</w:instrText>
      </w:r>
      <w:r w:rsidR="00E974B2" w:rsidRPr="006C476A">
        <w:instrText>4-6</w:instrText>
      </w:r>
      <w:r w:rsidR="00E974B2">
        <w:rPr>
          <w:lang w:val="en-US"/>
        </w:rPr>
        <w:instrText>b</w:instrText>
      </w:r>
      <w:r w:rsidR="00E974B2" w:rsidRPr="006C476A">
        <w:instrText>58-3</w:instrText>
      </w:r>
      <w:r w:rsidR="00E974B2">
        <w:rPr>
          <w:lang w:val="en-US"/>
        </w:rPr>
        <w:instrText>a</w:instrText>
      </w:r>
      <w:r w:rsidR="00E974B2" w:rsidRPr="006C476A">
        <w:instrText>10-</w:instrText>
      </w:r>
      <w:r w:rsidR="00E974B2">
        <w:rPr>
          <w:lang w:val="en-US"/>
        </w:rPr>
        <w:instrText>b</w:instrText>
      </w:r>
      <w:r w:rsidR="00E974B2" w:rsidRPr="006C476A">
        <w:instrText>7</w:instrText>
      </w:r>
      <w:r w:rsidR="00E974B2">
        <w:rPr>
          <w:lang w:val="en-US"/>
        </w:rPr>
        <w:instrText>d</w:instrText>
      </w:r>
      <w:r w:rsidR="00E974B2" w:rsidRPr="006C476A">
        <w:instrText>6-</w:instrText>
      </w:r>
      <w:r w:rsidR="00E974B2">
        <w:rPr>
          <w:lang w:val="en-US"/>
        </w:rPr>
        <w:instrText>af</w:instrText>
      </w:r>
      <w:r w:rsidR="00E974B2" w:rsidRPr="006C476A">
        <w:instrText>3854030</w:instrText>
      </w:r>
      <w:r w:rsidR="00E974B2">
        <w:rPr>
          <w:lang w:val="en-US"/>
        </w:rPr>
        <w:instrText>be</w:instrText>
      </w:r>
      <w:r w:rsidR="00E974B2" w:rsidRPr="006C476A">
        <w:instrText>8"]},{"</w:instrText>
      </w:r>
      <w:r w:rsidR="00E974B2">
        <w:rPr>
          <w:lang w:val="en-US"/>
        </w:rPr>
        <w:instrText>id</w:instrText>
      </w:r>
      <w:r w:rsidR="00E974B2" w:rsidRPr="006C476A">
        <w:instrText>":"</w:instrText>
      </w:r>
      <w:r w:rsidR="00E974B2">
        <w:rPr>
          <w:lang w:val="en-US"/>
        </w:rPr>
        <w:instrText>ITEM</w:instrText>
      </w:r>
      <w:r w:rsidR="00E974B2" w:rsidRPr="006C476A">
        <w:instrText>-2","</w:instrText>
      </w:r>
      <w:r w:rsidR="00E974B2">
        <w:rPr>
          <w:lang w:val="en-US"/>
        </w:rPr>
        <w:instrText>itemData</w:instrText>
      </w:r>
      <w:r w:rsidR="00E974B2" w:rsidRPr="006C476A">
        <w:instrText>":{"</w:instrText>
      </w:r>
      <w:r w:rsidR="00E974B2">
        <w:rPr>
          <w:lang w:val="en-US"/>
        </w:rPr>
        <w:instrText>DOI</w:instrText>
      </w:r>
      <w:r w:rsidR="00E974B2" w:rsidRPr="006C476A">
        <w:instrText>":"10.1007/</w:instrText>
      </w:r>
      <w:r w:rsidR="00E974B2">
        <w:rPr>
          <w:lang w:val="en-US"/>
        </w:rPr>
        <w:instrText>s</w:instrText>
      </w:r>
      <w:r w:rsidR="00E974B2" w:rsidRPr="006C476A">
        <w:instrText>12325-017-0610-</w:instrText>
      </w:r>
      <w:r w:rsidR="00E974B2">
        <w:rPr>
          <w:lang w:val="en-US"/>
        </w:rPr>
        <w:instrText>z</w:instrText>
      </w:r>
      <w:r w:rsidR="00E974B2" w:rsidRPr="006C476A">
        <w:instrText>","</w:instrText>
      </w:r>
      <w:r w:rsidR="00E974B2">
        <w:rPr>
          <w:lang w:val="en-US"/>
        </w:rPr>
        <w:instrText>ISSN</w:instrText>
      </w:r>
      <w:r w:rsidR="00E974B2" w:rsidRPr="006C476A">
        <w:instrText>":"18658652","</w:instrText>
      </w:r>
      <w:r w:rsidR="00E974B2">
        <w:rPr>
          <w:lang w:val="en-US"/>
        </w:rPr>
        <w:instrText>abstract</w:instrText>
      </w:r>
      <w:r w:rsidR="00E974B2" w:rsidRPr="006C476A">
        <w:instrText>":"</w:instrText>
      </w:r>
      <w:r w:rsidR="00E974B2">
        <w:rPr>
          <w:lang w:val="en-US"/>
        </w:rPr>
        <w:instrText>Abstract</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MabThera</w:instrText>
      </w:r>
      <w:r w:rsidR="00E974B2" w:rsidRPr="006C476A">
        <w:instrText>®/</w:instrText>
      </w:r>
      <w:r w:rsidR="00E974B2">
        <w:rPr>
          <w:lang w:val="en-US"/>
        </w:rPr>
        <w:instrText>Rituxan</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chimeric</w:instrText>
      </w:r>
      <w:r w:rsidR="00E974B2" w:rsidRPr="006447F6">
        <w:instrText xml:space="preserve"> </w:instrText>
      </w:r>
      <w:r w:rsidR="00E974B2">
        <w:rPr>
          <w:lang w:val="en-US"/>
        </w:rPr>
        <w:instrText>murine</w:instrText>
      </w:r>
      <w:r w:rsidR="00E974B2" w:rsidRPr="006447F6">
        <w:instrText>/</w:instrText>
      </w:r>
      <w:r w:rsidR="00E974B2">
        <w:rPr>
          <w:lang w:val="en-US"/>
        </w:rPr>
        <w:instrText>human</w:instrText>
      </w:r>
      <w:r w:rsidR="00E974B2" w:rsidRPr="006447F6">
        <w:instrText xml:space="preserve"> </w:instrText>
      </w:r>
      <w:r w:rsidR="00E974B2">
        <w:rPr>
          <w:lang w:val="en-US"/>
        </w:rPr>
        <w:instrText>monoclonal</w:instrText>
      </w:r>
      <w:r w:rsidR="00E974B2" w:rsidRPr="006447F6">
        <w:instrText xml:space="preserve"> </w:instrText>
      </w:r>
      <w:r w:rsidR="00E974B2">
        <w:rPr>
          <w:lang w:val="en-US"/>
        </w:rPr>
        <w:instrText>antibody</w:instrText>
      </w:r>
      <w:r w:rsidR="00E974B2" w:rsidRPr="006447F6">
        <w:instrText xml:space="preserve"> </w:instrText>
      </w:r>
      <w:r w:rsidR="00E974B2">
        <w:rPr>
          <w:lang w:val="en-US"/>
        </w:rPr>
        <w:instrText>that</w:instrText>
      </w:r>
      <w:r w:rsidR="00E974B2" w:rsidRPr="006447F6">
        <w:instrText xml:space="preserve"> </w:instrText>
      </w:r>
      <w:r w:rsidR="00E974B2">
        <w:rPr>
          <w:lang w:val="en-US"/>
        </w:rPr>
        <w:instrText>binds</w:instrText>
      </w:r>
      <w:r w:rsidR="00E974B2" w:rsidRPr="006447F6">
        <w:instrText xml:space="preserve"> </w:instrText>
      </w:r>
      <w:r w:rsidR="00E974B2">
        <w:rPr>
          <w:lang w:val="en-US"/>
        </w:rPr>
        <w:instrText>specifically</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transmembrane</w:instrText>
      </w:r>
      <w:r w:rsidR="00E974B2" w:rsidRPr="006447F6">
        <w:instrText xml:space="preserve"> </w:instrText>
      </w:r>
      <w:r w:rsidR="00E974B2">
        <w:rPr>
          <w:lang w:val="en-US"/>
        </w:rPr>
        <w:instrText>antigen</w:instrText>
      </w:r>
      <w:r w:rsidR="00E974B2" w:rsidRPr="006447F6">
        <w:instrText xml:space="preserve"> </w:instrText>
      </w:r>
      <w:r w:rsidR="00E974B2">
        <w:rPr>
          <w:lang w:val="en-US"/>
        </w:rPr>
        <w:instrText>CD</w:instrText>
      </w:r>
      <w:r w:rsidR="00E974B2" w:rsidRPr="006447F6">
        <w:instrText xml:space="preserve">20, </w:instrText>
      </w:r>
      <w:r w:rsidR="00E974B2">
        <w:rPr>
          <w:lang w:val="en-US"/>
        </w:rPr>
        <w:instrText>was</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first</w:instrText>
      </w:r>
      <w:r w:rsidR="00E974B2" w:rsidRPr="006447F6">
        <w:instrText xml:space="preserve"> </w:instrText>
      </w:r>
      <w:r w:rsidR="00E974B2">
        <w:rPr>
          <w:lang w:val="en-US"/>
        </w:rPr>
        <w:instrText>therapeutic</w:instrText>
      </w:r>
      <w:r w:rsidR="00E974B2" w:rsidRPr="006447F6">
        <w:instrText xml:space="preserve"> </w:instrText>
      </w:r>
      <w:r w:rsidR="00E974B2">
        <w:rPr>
          <w:lang w:val="en-US"/>
        </w:rPr>
        <w:instrText>antibody</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enter</w:instrText>
      </w:r>
      <w:r w:rsidR="00E974B2" w:rsidRPr="006447F6">
        <w:instrText xml:space="preserve"> </w:instrText>
      </w:r>
      <w:r w:rsidR="00E974B2">
        <w:rPr>
          <w:lang w:val="en-US"/>
        </w:rPr>
        <w:instrText>clinical</w:instrText>
      </w:r>
      <w:r w:rsidR="00E974B2" w:rsidRPr="006447F6">
        <w:instrText xml:space="preserve"> </w:instrText>
      </w:r>
      <w:r w:rsidR="00E974B2">
        <w:rPr>
          <w:lang w:val="en-US"/>
        </w:rPr>
        <w:instrText>practice</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treatment</w:instrText>
      </w:r>
      <w:r w:rsidR="00E974B2" w:rsidRPr="006447F6">
        <w:instrText xml:space="preserve"> </w:instrText>
      </w:r>
      <w:r w:rsidR="00E974B2">
        <w:rPr>
          <w:lang w:val="en-US"/>
        </w:rPr>
        <w:instrText>of</w:instrText>
      </w:r>
      <w:r w:rsidR="00E974B2" w:rsidRPr="006447F6">
        <w:instrText xml:space="preserve"> </w:instrText>
      </w:r>
      <w:r w:rsidR="00E974B2">
        <w:rPr>
          <w:lang w:val="en-US"/>
        </w:rPr>
        <w:instrText>cancer</w:instrText>
      </w:r>
      <w:r w:rsidR="00E974B2" w:rsidRPr="006447F6">
        <w:instrText xml:space="preserve">. </w:instrText>
      </w:r>
      <w:r w:rsidR="00E974B2">
        <w:rPr>
          <w:lang w:val="en-US"/>
        </w:rPr>
        <w:instrText>As</w:instrText>
      </w:r>
      <w:r w:rsidR="00E974B2" w:rsidRPr="006447F6">
        <w:instrText xml:space="preserve"> </w:instrText>
      </w:r>
      <w:r w:rsidR="00E974B2">
        <w:rPr>
          <w:lang w:val="en-US"/>
        </w:rPr>
        <w:instrText>monotherapy</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combination</w:instrText>
      </w:r>
      <w:r w:rsidR="00E974B2" w:rsidRPr="006447F6">
        <w:instrText xml:space="preserve"> </w:instrText>
      </w:r>
      <w:r w:rsidR="00E974B2">
        <w:rPr>
          <w:lang w:val="en-US"/>
        </w:rPr>
        <w:instrText>with</w:instrText>
      </w:r>
      <w:r w:rsidR="00E974B2" w:rsidRPr="006447F6">
        <w:instrText xml:space="preserve"> </w:instrText>
      </w:r>
      <w:r w:rsidR="00E974B2">
        <w:rPr>
          <w:lang w:val="en-US"/>
        </w:rPr>
        <w:instrText>chemotherapy</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has</w:instrText>
      </w:r>
      <w:r w:rsidR="00E974B2" w:rsidRPr="006447F6">
        <w:instrText xml:space="preserve"> </w:instrText>
      </w:r>
      <w:r w:rsidR="00E974B2">
        <w:rPr>
          <w:lang w:val="en-US"/>
        </w:rPr>
        <w:instrText>been</w:instrText>
      </w:r>
      <w:r w:rsidR="00E974B2" w:rsidRPr="006447F6">
        <w:instrText xml:space="preserve"> </w:instrText>
      </w:r>
      <w:r w:rsidR="00E974B2">
        <w:rPr>
          <w:lang w:val="en-US"/>
        </w:rPr>
        <w:instrText>shown</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prolong</w:instrText>
      </w:r>
      <w:r w:rsidR="00E974B2" w:rsidRPr="006447F6">
        <w:instrText xml:space="preserve"> </w:instrText>
      </w:r>
      <w:r w:rsidR="00E974B2">
        <w:rPr>
          <w:lang w:val="en-US"/>
        </w:rPr>
        <w:instrText>progression</w:instrText>
      </w:r>
      <w:r w:rsidR="00E974B2" w:rsidRPr="006447F6">
        <w:instrText>-</w:instrText>
      </w:r>
      <w:r w:rsidR="00E974B2">
        <w:rPr>
          <w:lang w:val="en-US"/>
        </w:rPr>
        <w:instrText>free</w:instrText>
      </w:r>
      <w:r w:rsidR="00E974B2" w:rsidRPr="006447F6">
        <w:instrText xml:space="preserve"> </w:instrText>
      </w:r>
      <w:r w:rsidR="00E974B2">
        <w:rPr>
          <w:lang w:val="en-US"/>
        </w:rPr>
        <w:instrText>survival</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some</w:instrText>
      </w:r>
      <w:r w:rsidR="00E974B2" w:rsidRPr="006447F6">
        <w:instrText xml:space="preserve"> </w:instrText>
      </w:r>
      <w:r w:rsidR="00E974B2">
        <w:rPr>
          <w:lang w:val="en-US"/>
        </w:rPr>
        <w:instrText>indications</w:instrText>
      </w:r>
      <w:r w:rsidR="00E974B2" w:rsidRPr="006447F6">
        <w:instrText xml:space="preserve"> </w:instrText>
      </w:r>
      <w:r w:rsidR="00E974B2">
        <w:rPr>
          <w:lang w:val="en-US"/>
        </w:rPr>
        <w:instrText>overall</w:instrText>
      </w:r>
      <w:r w:rsidR="00E974B2" w:rsidRPr="006447F6">
        <w:instrText xml:space="preserve"> </w:instrText>
      </w:r>
      <w:r w:rsidR="00E974B2">
        <w:rPr>
          <w:lang w:val="en-US"/>
        </w:rPr>
        <w:instrText>survival</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patients</w:instrText>
      </w:r>
      <w:r w:rsidR="00E974B2" w:rsidRPr="006447F6">
        <w:instrText xml:space="preserve"> </w:instrText>
      </w:r>
      <w:r w:rsidR="00E974B2">
        <w:rPr>
          <w:lang w:val="en-US"/>
        </w:rPr>
        <w:instrText>with</w:instrText>
      </w:r>
      <w:r w:rsidR="00E974B2" w:rsidRPr="006447F6">
        <w:instrText xml:space="preserve"> </w:instrText>
      </w:r>
      <w:r w:rsidR="00E974B2">
        <w:rPr>
          <w:lang w:val="en-US"/>
        </w:rPr>
        <w:instrText>various</w:instrText>
      </w:r>
      <w:r w:rsidR="00E974B2" w:rsidRPr="006447F6">
        <w:instrText xml:space="preserve"> </w:instrText>
      </w:r>
      <w:r w:rsidR="00E974B2">
        <w:rPr>
          <w:lang w:val="en-US"/>
        </w:rPr>
        <w:instrText>B</w:instrText>
      </w:r>
      <w:r w:rsidR="00E974B2" w:rsidRPr="006447F6">
        <w:instrText>-</w:instrText>
      </w:r>
      <w:r w:rsidR="00E974B2">
        <w:rPr>
          <w:lang w:val="en-US"/>
        </w:rPr>
        <w:instrText>cell</w:instrText>
      </w:r>
      <w:r w:rsidR="00E974B2" w:rsidRPr="006447F6">
        <w:instrText xml:space="preserve"> </w:instrText>
      </w:r>
      <w:r w:rsidR="00E974B2">
        <w:rPr>
          <w:lang w:val="en-US"/>
        </w:rPr>
        <w:instrText>malignancies</w:instrText>
      </w:r>
      <w:r w:rsidR="00E974B2" w:rsidRPr="006447F6">
        <w:instrText xml:space="preserve">, </w:instrText>
      </w:r>
      <w:r w:rsidR="00E974B2">
        <w:rPr>
          <w:lang w:val="en-US"/>
        </w:rPr>
        <w:instrText>while</w:instrText>
      </w:r>
      <w:r w:rsidR="00E974B2" w:rsidRPr="006447F6">
        <w:instrText xml:space="preserve"> </w:instrText>
      </w:r>
      <w:r w:rsidR="00E974B2">
        <w:rPr>
          <w:lang w:val="en-US"/>
        </w:rPr>
        <w:instrText>having</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well</w:instrText>
      </w:r>
      <w:r w:rsidR="00E974B2" w:rsidRPr="006447F6">
        <w:instrText>-</w:instrText>
      </w:r>
      <w:r w:rsidR="00E974B2">
        <w:rPr>
          <w:lang w:val="en-US"/>
        </w:rPr>
        <w:instrText>established</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manageable</w:instrText>
      </w:r>
      <w:r w:rsidR="00E974B2" w:rsidRPr="006447F6">
        <w:instrText xml:space="preserve"> </w:instrText>
      </w:r>
      <w:r w:rsidR="00E974B2">
        <w:rPr>
          <w:lang w:val="en-US"/>
        </w:rPr>
        <w:instrText>safety</w:instrText>
      </w:r>
      <w:r w:rsidR="00E974B2" w:rsidRPr="006447F6">
        <w:instrText xml:space="preserve"> </w:instrText>
      </w:r>
      <w:r w:rsidR="00E974B2">
        <w:rPr>
          <w:lang w:val="en-US"/>
        </w:rPr>
        <w:instrText>profile</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wide</w:instrText>
      </w:r>
      <w:r w:rsidR="00E974B2" w:rsidRPr="006447F6">
        <w:instrText xml:space="preserve"> </w:instrText>
      </w:r>
      <w:r w:rsidR="00E974B2">
        <w:rPr>
          <w:lang w:val="en-US"/>
        </w:rPr>
        <w:instrText>therapeutic</w:instrText>
      </w:r>
      <w:r w:rsidR="00E974B2" w:rsidRPr="006447F6">
        <w:instrText xml:space="preserve"> </w:instrText>
      </w:r>
      <w:r w:rsidR="00E974B2">
        <w:rPr>
          <w:lang w:val="en-US"/>
        </w:rPr>
        <w:instrText>window</w:instrText>
      </w:r>
      <w:r w:rsidR="00E974B2" w:rsidRPr="006447F6">
        <w:instrText xml:space="preserve">. </w:instrText>
      </w:r>
      <w:r w:rsidR="00E974B2">
        <w:rPr>
          <w:lang w:val="en-US"/>
        </w:rPr>
        <w:instrText>As</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result</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is</w:instrText>
      </w:r>
      <w:r w:rsidR="00E974B2" w:rsidRPr="006447F6">
        <w:instrText xml:space="preserve"> </w:instrText>
      </w:r>
      <w:r w:rsidR="00E974B2">
        <w:rPr>
          <w:lang w:val="en-US"/>
        </w:rPr>
        <w:instrText>considered</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have</w:instrText>
      </w:r>
      <w:r w:rsidR="00E974B2" w:rsidRPr="006447F6">
        <w:instrText xml:space="preserve"> </w:instrText>
      </w:r>
      <w:r w:rsidR="00E974B2">
        <w:rPr>
          <w:lang w:val="en-US"/>
        </w:rPr>
        <w:instrText>revolutionized</w:instrText>
      </w:r>
      <w:r w:rsidR="00E974B2" w:rsidRPr="006447F6">
        <w:instrText xml:space="preserve"> </w:instrText>
      </w:r>
      <w:r w:rsidR="00E974B2">
        <w:rPr>
          <w:lang w:val="en-US"/>
        </w:rPr>
        <w:instrText>treatment</w:instrText>
      </w:r>
      <w:r w:rsidR="00E974B2" w:rsidRPr="006447F6">
        <w:instrText xml:space="preserve"> </w:instrText>
      </w:r>
      <w:r w:rsidR="00E974B2">
        <w:rPr>
          <w:lang w:val="en-US"/>
        </w:rPr>
        <w:instrText>practices</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patients</w:instrText>
      </w:r>
      <w:r w:rsidR="00E974B2" w:rsidRPr="006447F6">
        <w:instrText xml:space="preserve"> </w:instrText>
      </w:r>
      <w:r w:rsidR="00E974B2">
        <w:rPr>
          <w:lang w:val="en-US"/>
        </w:rPr>
        <w:instrText>with</w:instrText>
      </w:r>
      <w:r w:rsidR="00E974B2" w:rsidRPr="006447F6">
        <w:instrText xml:space="preserve"> </w:instrText>
      </w:r>
      <w:r w:rsidR="00E974B2">
        <w:rPr>
          <w:lang w:val="en-US"/>
        </w:rPr>
        <w:instrText>B</w:instrText>
      </w:r>
      <w:r w:rsidR="00E974B2" w:rsidRPr="006447F6">
        <w:instrText>-</w:instrText>
      </w:r>
      <w:r w:rsidR="00E974B2">
        <w:rPr>
          <w:lang w:val="en-US"/>
        </w:rPr>
        <w:instrText>cell</w:instrText>
      </w:r>
      <w:r w:rsidR="00E974B2" w:rsidRPr="006447F6">
        <w:instrText xml:space="preserve"> </w:instrText>
      </w:r>
      <w:r w:rsidR="00E974B2">
        <w:rPr>
          <w:lang w:val="en-US"/>
        </w:rPr>
        <w:instrText>malignancies</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subcutaneous</w:instrText>
      </w:r>
      <w:r w:rsidR="00E974B2" w:rsidRPr="006447F6">
        <w:instrText xml:space="preserve"> (</w:instrText>
      </w:r>
      <w:r w:rsidR="00E974B2">
        <w:rPr>
          <w:lang w:val="en-US"/>
        </w:rPr>
        <w:instrText>SC</w:instrText>
      </w:r>
      <w:r w:rsidR="00E974B2" w:rsidRPr="006447F6">
        <w:instrText xml:space="preserve">) </w:instrText>
      </w:r>
      <w:r w:rsidR="00E974B2">
        <w:rPr>
          <w:lang w:val="en-US"/>
        </w:rPr>
        <w:instrText>formulation</w:instrText>
      </w:r>
      <w:r w:rsidR="00E974B2" w:rsidRPr="006447F6">
        <w:instrText xml:space="preserve"> </w:instrText>
      </w:r>
      <w:r w:rsidR="00E974B2">
        <w:rPr>
          <w:lang w:val="en-US"/>
        </w:rPr>
        <w:instrText>of</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has</w:instrText>
      </w:r>
      <w:r w:rsidR="00E974B2" w:rsidRPr="006447F6">
        <w:instrText xml:space="preserve"> </w:instrText>
      </w:r>
      <w:r w:rsidR="00E974B2">
        <w:rPr>
          <w:lang w:val="en-US"/>
        </w:rPr>
        <w:instrText>been</w:instrText>
      </w:r>
      <w:r w:rsidR="00E974B2" w:rsidRPr="006447F6">
        <w:instrText xml:space="preserve"> </w:instrText>
      </w:r>
      <w:r w:rsidR="00E974B2">
        <w:rPr>
          <w:lang w:val="en-US"/>
        </w:rPr>
        <w:instrText>developed</w:instrText>
      </w:r>
      <w:r w:rsidR="00E974B2" w:rsidRPr="006447F6">
        <w:instrText xml:space="preserve">, </w:instrText>
      </w:r>
      <w:r w:rsidR="00E974B2">
        <w:rPr>
          <w:lang w:val="en-US"/>
        </w:rPr>
        <w:instrText>comprising</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same</w:instrText>
      </w:r>
      <w:r w:rsidR="00E974B2" w:rsidRPr="006447F6">
        <w:instrText xml:space="preserve"> </w:instrText>
      </w:r>
      <w:r w:rsidR="00E974B2">
        <w:rPr>
          <w:lang w:val="en-US"/>
        </w:rPr>
        <w:instrText>monoclonal</w:instrText>
      </w:r>
      <w:r w:rsidR="00E974B2" w:rsidRPr="006447F6">
        <w:instrText xml:space="preserve"> </w:instrText>
      </w:r>
      <w:r w:rsidR="00E974B2">
        <w:rPr>
          <w:lang w:val="en-US"/>
        </w:rPr>
        <w:instrText>antibody</w:instrText>
      </w:r>
      <w:r w:rsidR="00E974B2" w:rsidRPr="006447F6">
        <w:instrText xml:space="preserve"> </w:instrText>
      </w:r>
      <w:r w:rsidR="00E974B2">
        <w:rPr>
          <w:lang w:val="en-US"/>
        </w:rPr>
        <w:instrText>as</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originally</w:instrText>
      </w:r>
      <w:r w:rsidR="00E974B2" w:rsidRPr="006447F6">
        <w:instrText xml:space="preserve"> </w:instrText>
      </w:r>
      <w:r w:rsidR="00E974B2">
        <w:rPr>
          <w:lang w:val="en-US"/>
        </w:rPr>
        <w:instrText>marketed</w:instrText>
      </w:r>
      <w:r w:rsidR="00E974B2" w:rsidRPr="006447F6">
        <w:instrText xml:space="preserve"> </w:instrText>
      </w:r>
      <w:r w:rsidR="00E974B2">
        <w:rPr>
          <w:lang w:val="en-US"/>
        </w:rPr>
        <w:instrText>formulation</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concentrate</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solution</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intravenous</w:instrText>
      </w:r>
      <w:r w:rsidR="00E974B2" w:rsidRPr="006447F6">
        <w:instrText xml:space="preserve"> (</w:instrText>
      </w:r>
      <w:r w:rsidR="00E974B2">
        <w:rPr>
          <w:lang w:val="en-US"/>
        </w:rPr>
        <w:instrText>IV</w:instrText>
      </w:r>
      <w:r w:rsidR="00E974B2" w:rsidRPr="006447F6">
        <w:instrText xml:space="preserve">) </w:instrText>
      </w:r>
      <w:r w:rsidR="00E974B2">
        <w:rPr>
          <w:lang w:val="en-US"/>
        </w:rPr>
        <w:instrText>infusion</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has</w:instrText>
      </w:r>
      <w:r w:rsidR="00E974B2" w:rsidRPr="006447F6">
        <w:instrText xml:space="preserve"> </w:instrText>
      </w:r>
      <w:r w:rsidR="00E974B2">
        <w:rPr>
          <w:lang w:val="en-US"/>
        </w:rPr>
        <w:instrText>undergone</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detailed</w:instrText>
      </w:r>
      <w:r w:rsidR="00E974B2" w:rsidRPr="006447F6">
        <w:instrText xml:space="preserve">, </w:instrText>
      </w:r>
      <w:r w:rsidR="00E974B2">
        <w:rPr>
          <w:lang w:val="en-US"/>
        </w:rPr>
        <w:instrText>sequential</w:instrText>
      </w:r>
      <w:r w:rsidR="00E974B2" w:rsidRPr="006447F6">
        <w:instrText xml:space="preserve"> </w:instrText>
      </w:r>
      <w:r w:rsidR="00E974B2">
        <w:rPr>
          <w:lang w:val="en-US"/>
        </w:rPr>
        <w:instrText>clinical</w:instrText>
      </w:r>
      <w:r w:rsidR="00E974B2" w:rsidRPr="006447F6">
        <w:instrText xml:space="preserve"> </w:instrText>
      </w:r>
      <w:r w:rsidR="00E974B2">
        <w:rPr>
          <w:lang w:val="en-US"/>
        </w:rPr>
        <w:instrText>development</w:instrText>
      </w:r>
      <w:r w:rsidR="00E974B2" w:rsidRPr="006447F6">
        <w:instrText xml:space="preserve"> </w:instrText>
      </w:r>
      <w:r w:rsidR="00E974B2">
        <w:rPr>
          <w:lang w:val="en-US"/>
        </w:rPr>
        <w:instrText>program</w:instrText>
      </w:r>
      <w:r w:rsidR="00E974B2" w:rsidRPr="006447F6">
        <w:instrText xml:space="preserve">. </w:instrText>
      </w:r>
      <w:r w:rsidR="00E974B2">
        <w:rPr>
          <w:lang w:val="en-US"/>
        </w:rPr>
        <w:instrText>This</w:instrText>
      </w:r>
      <w:r w:rsidR="00E974B2" w:rsidRPr="006447F6">
        <w:instrText xml:space="preserve"> </w:instrText>
      </w:r>
      <w:r w:rsidR="00E974B2">
        <w:rPr>
          <w:lang w:val="en-US"/>
        </w:rPr>
        <w:instrText>program</w:instrText>
      </w:r>
      <w:r w:rsidR="00E974B2" w:rsidRPr="006447F6">
        <w:instrText xml:space="preserve"> </w:instrText>
      </w:r>
      <w:r w:rsidR="00E974B2">
        <w:rPr>
          <w:lang w:val="en-US"/>
        </w:rPr>
        <w:instrText>demonstrated</w:instrText>
      </w:r>
      <w:r w:rsidR="00E974B2" w:rsidRPr="006447F6">
        <w:instrText xml:space="preserve"> </w:instrText>
      </w:r>
      <w:r w:rsidR="00E974B2">
        <w:rPr>
          <w:lang w:val="en-US"/>
        </w:rPr>
        <w:instrText>that</w:instrText>
      </w:r>
      <w:r w:rsidR="00E974B2" w:rsidRPr="006447F6">
        <w:instrText xml:space="preserve">, </w:instrText>
      </w:r>
      <w:r w:rsidR="00E974B2">
        <w:rPr>
          <w:lang w:val="en-US"/>
        </w:rPr>
        <w:instrText>at</w:instrText>
      </w:r>
      <w:r w:rsidR="00E974B2" w:rsidRPr="006447F6">
        <w:instrText xml:space="preserve"> </w:instrText>
      </w:r>
      <w:r w:rsidR="00E974B2">
        <w:rPr>
          <w:lang w:val="en-US"/>
        </w:rPr>
        <w:instrText>fixed</w:instrText>
      </w:r>
      <w:r w:rsidR="00E974B2" w:rsidRPr="006447F6">
        <w:instrText xml:space="preserve"> </w:instrText>
      </w:r>
      <w:r w:rsidR="00E974B2">
        <w:rPr>
          <w:lang w:val="en-US"/>
        </w:rPr>
        <w:instrText>doses</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SC</w:instrText>
      </w:r>
      <w:r w:rsidR="00E974B2" w:rsidRPr="006447F6">
        <w:instrText xml:space="preserve"> </w:instrText>
      </w:r>
      <w:r w:rsidR="00E974B2">
        <w:rPr>
          <w:lang w:val="en-US"/>
        </w:rPr>
        <w:instrText>achieves</w:instrText>
      </w:r>
      <w:r w:rsidR="00E974B2" w:rsidRPr="006447F6">
        <w:instrText xml:space="preserve"> </w:instrText>
      </w:r>
      <w:r w:rsidR="00E974B2">
        <w:rPr>
          <w:lang w:val="en-US"/>
        </w:rPr>
        <w:instrText>non</w:instrText>
      </w:r>
      <w:r w:rsidR="00E974B2" w:rsidRPr="006447F6">
        <w:instrText>-</w:instrText>
      </w:r>
      <w:r w:rsidR="00E974B2">
        <w:rPr>
          <w:lang w:val="en-US"/>
        </w:rPr>
        <w:instrText>inferior</w:instrText>
      </w:r>
      <w:r w:rsidR="00E974B2" w:rsidRPr="006447F6">
        <w:instrText xml:space="preserve"> </w:instrText>
      </w:r>
      <w:r w:rsidR="00E974B2">
        <w:rPr>
          <w:lang w:val="en-US"/>
        </w:rPr>
        <w:instrText>serum</w:instrText>
      </w:r>
      <w:r w:rsidR="00E974B2" w:rsidRPr="006447F6">
        <w:instrText xml:space="preserve"> </w:instrText>
      </w:r>
      <w:r w:rsidR="00E974B2">
        <w:rPr>
          <w:lang w:val="en-US"/>
        </w:rPr>
        <w:instrText>trough</w:instrText>
      </w:r>
      <w:r w:rsidR="00E974B2" w:rsidRPr="006447F6">
        <w:instrText xml:space="preserve"> </w:instrText>
      </w:r>
      <w:r w:rsidR="00E974B2">
        <w:rPr>
          <w:lang w:val="en-US"/>
        </w:rPr>
        <w:instrText>concentrations</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patients</w:instrText>
      </w:r>
      <w:r w:rsidR="00E974B2" w:rsidRPr="006447F6">
        <w:instrText xml:space="preserve"> </w:instrText>
      </w:r>
      <w:r w:rsidR="00E974B2">
        <w:rPr>
          <w:lang w:val="en-US"/>
        </w:rPr>
        <w:instrText>with</w:instrText>
      </w:r>
      <w:r w:rsidR="00E974B2" w:rsidRPr="006447F6">
        <w:instrText xml:space="preserve"> </w:instrText>
      </w:r>
      <w:r w:rsidR="00E974B2">
        <w:rPr>
          <w:lang w:val="en-US"/>
        </w:rPr>
        <w:instrText>non</w:instrText>
      </w:r>
      <w:r w:rsidR="00E974B2" w:rsidRPr="006447F6">
        <w:instrText>-</w:instrText>
      </w:r>
      <w:r w:rsidR="00E974B2">
        <w:rPr>
          <w:lang w:val="en-US"/>
        </w:rPr>
        <w:instrText>Hodgkin</w:instrText>
      </w:r>
      <w:r w:rsidR="00E974B2" w:rsidRPr="006447F6">
        <w:instrText xml:space="preserve"> </w:instrText>
      </w:r>
      <w:r w:rsidR="00E974B2">
        <w:rPr>
          <w:lang w:val="en-US"/>
        </w:rPr>
        <w:instrText>lymphoma</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chronic</w:instrText>
      </w:r>
      <w:r w:rsidR="00E974B2" w:rsidRPr="006447F6">
        <w:instrText xml:space="preserve"> </w:instrText>
      </w:r>
      <w:r w:rsidR="00E974B2">
        <w:rPr>
          <w:lang w:val="en-US"/>
        </w:rPr>
        <w:instrText>lymphocytic</w:instrText>
      </w:r>
      <w:r w:rsidR="00E974B2" w:rsidRPr="006447F6">
        <w:instrText xml:space="preserve"> </w:instrText>
      </w:r>
      <w:r w:rsidR="00E974B2">
        <w:rPr>
          <w:lang w:val="en-US"/>
        </w:rPr>
        <w:instrText>leukemia</w:instrText>
      </w:r>
      <w:r w:rsidR="00E974B2" w:rsidRPr="006447F6">
        <w:instrText xml:space="preserve">, </w:instrText>
      </w:r>
      <w:r w:rsidR="00E974B2">
        <w:rPr>
          <w:lang w:val="en-US"/>
        </w:rPr>
        <w:instrText>with</w:instrText>
      </w:r>
      <w:r w:rsidR="00E974B2" w:rsidRPr="006447F6">
        <w:instrText xml:space="preserve"> </w:instrText>
      </w:r>
      <w:r w:rsidR="00E974B2">
        <w:rPr>
          <w:lang w:val="en-US"/>
        </w:rPr>
        <w:instrText>comparable</w:instrText>
      </w:r>
      <w:r w:rsidR="00E974B2" w:rsidRPr="006447F6">
        <w:instrText xml:space="preserve"> </w:instrText>
      </w:r>
      <w:r w:rsidR="00E974B2">
        <w:rPr>
          <w:lang w:val="en-US"/>
        </w:rPr>
        <w:instrText>efficacy</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safety</w:instrText>
      </w:r>
      <w:r w:rsidR="00E974B2" w:rsidRPr="006447F6">
        <w:instrText xml:space="preserve"> </w:instrText>
      </w:r>
      <w:r w:rsidR="00E974B2">
        <w:rPr>
          <w:lang w:val="en-US"/>
        </w:rPr>
        <w:instrText>relative</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IV</w:instrText>
      </w:r>
      <w:r w:rsidR="00E974B2" w:rsidRPr="006447F6">
        <w:instrText xml:space="preserve"> </w:instrText>
      </w:r>
      <w:r w:rsidR="00E974B2">
        <w:rPr>
          <w:lang w:val="en-US"/>
        </w:rPr>
        <w:instrText>formulation</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added</w:instrText>
      </w:r>
      <w:r w:rsidR="00E974B2" w:rsidRPr="006447F6">
        <w:instrText xml:space="preserve"> </w:instrText>
      </w:r>
      <w:r w:rsidR="00E974B2">
        <w:rPr>
          <w:lang w:val="en-US"/>
        </w:rPr>
        <w:instrText>benefit</w:instrText>
      </w:r>
      <w:r w:rsidR="00E974B2" w:rsidRPr="006447F6">
        <w:instrText xml:space="preserve"> </w:instrText>
      </w:r>
      <w:r w:rsidR="00E974B2">
        <w:rPr>
          <w:lang w:val="en-US"/>
        </w:rPr>
        <w:instrText>of</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SC</w:instrText>
      </w:r>
      <w:r w:rsidR="00E974B2" w:rsidRPr="006447F6">
        <w:instrText xml:space="preserve"> </w:instrText>
      </w:r>
      <w:r w:rsidR="00E974B2">
        <w:rPr>
          <w:lang w:val="en-US"/>
        </w:rPr>
        <w:instrText>was</w:instrText>
      </w:r>
      <w:r w:rsidR="00E974B2" w:rsidRPr="006447F6">
        <w:instrText xml:space="preserve"> </w:instrText>
      </w:r>
      <w:r w:rsidR="00E974B2">
        <w:rPr>
          <w:lang w:val="en-US"/>
        </w:rPr>
        <w:instrText>demonstrated</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dedicated</w:instrText>
      </w:r>
      <w:r w:rsidR="00E974B2" w:rsidRPr="006447F6">
        <w:instrText xml:space="preserve"> </w:instrText>
      </w:r>
      <w:r w:rsidR="00E974B2">
        <w:rPr>
          <w:lang w:val="en-US"/>
        </w:rPr>
        <w:instrText>studies</w:instrText>
      </w:r>
      <w:r w:rsidR="00E974B2" w:rsidRPr="006447F6">
        <w:instrText xml:space="preserve"> </w:instrText>
      </w:r>
      <w:r w:rsidR="00E974B2">
        <w:rPr>
          <w:lang w:val="en-US"/>
        </w:rPr>
        <w:instrText>showing</w:instrText>
      </w:r>
      <w:r w:rsidR="00E974B2" w:rsidRPr="006447F6">
        <w:instrText xml:space="preserve"> </w:instrText>
      </w:r>
      <w:r w:rsidR="00E974B2">
        <w:rPr>
          <w:lang w:val="en-US"/>
        </w:rPr>
        <w:instrText>that</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SC</w:instrText>
      </w:r>
      <w:r w:rsidR="00E974B2" w:rsidRPr="006447F6">
        <w:instrText xml:space="preserve"> </w:instrText>
      </w:r>
      <w:r w:rsidR="00E974B2">
        <w:rPr>
          <w:lang w:val="en-US"/>
        </w:rPr>
        <w:instrText>allows</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simplified</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shortened</w:instrText>
      </w:r>
      <w:r w:rsidR="00E974B2" w:rsidRPr="006447F6">
        <w:instrText xml:space="preserve"> </w:instrText>
      </w:r>
      <w:r w:rsidR="00E974B2">
        <w:rPr>
          <w:lang w:val="en-US"/>
        </w:rPr>
        <w:instrText>drug</w:instrText>
      </w:r>
      <w:r w:rsidR="00E974B2" w:rsidRPr="006447F6">
        <w:instrText xml:space="preserve"> </w:instrText>
      </w:r>
      <w:r w:rsidR="00E974B2">
        <w:rPr>
          <w:lang w:val="en-US"/>
        </w:rPr>
        <w:instrText>preparation</w:instrText>
      </w:r>
      <w:r w:rsidR="00E974B2" w:rsidRPr="006447F6">
        <w:instrText xml:space="preserve"> </w:instrText>
      </w:r>
      <w:r w:rsidR="00E974B2">
        <w:rPr>
          <w:lang w:val="en-US"/>
        </w:rPr>
        <w:instrText>and</w:instrText>
      </w:r>
      <w:r w:rsidR="00E974B2" w:rsidRPr="006447F6">
        <w:instrText xml:space="preserve"> </w:instrText>
      </w:r>
      <w:r w:rsidR="00E974B2">
        <w:rPr>
          <w:lang w:val="en-US"/>
        </w:rPr>
        <w:instrText>administration</w:instrText>
      </w:r>
      <w:r w:rsidR="00E974B2" w:rsidRPr="006447F6">
        <w:instrText xml:space="preserve"> </w:instrText>
      </w:r>
      <w:r w:rsidR="00E974B2">
        <w:rPr>
          <w:lang w:val="en-US"/>
        </w:rPr>
        <w:instrText>times</w:instrText>
      </w:r>
      <w:r w:rsidR="00E974B2" w:rsidRPr="006447F6">
        <w:instrText xml:space="preserve"> </w:instrText>
      </w:r>
      <w:r w:rsidR="00E974B2">
        <w:rPr>
          <w:lang w:val="en-US"/>
        </w:rPr>
        <w:instrText>resulting</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a</w:instrText>
      </w:r>
      <w:r w:rsidR="00E974B2" w:rsidRPr="006447F6">
        <w:instrText xml:space="preserve"> </w:instrText>
      </w:r>
      <w:r w:rsidR="00E974B2">
        <w:rPr>
          <w:lang w:val="en-US"/>
        </w:rPr>
        <w:instrText>reduced</w:instrText>
      </w:r>
      <w:r w:rsidR="00E974B2" w:rsidRPr="006447F6">
        <w:instrText xml:space="preserve"> </w:instrText>
      </w:r>
      <w:r w:rsidR="00E974B2">
        <w:rPr>
          <w:lang w:val="en-US"/>
        </w:rPr>
        <w:instrText>treatment</w:instrText>
      </w:r>
      <w:r w:rsidR="00E974B2" w:rsidRPr="006447F6">
        <w:instrText xml:space="preserve"> </w:instrText>
      </w:r>
      <w:r w:rsidR="00E974B2">
        <w:rPr>
          <w:lang w:val="en-US"/>
        </w:rPr>
        <w:instrText>burden</w:instrText>
      </w:r>
      <w:r w:rsidR="00E974B2" w:rsidRPr="006447F6">
        <w:instrText xml:space="preserve"> </w:instrText>
      </w:r>
      <w:r w:rsidR="00E974B2">
        <w:rPr>
          <w:lang w:val="en-US"/>
        </w:rPr>
        <w:instrText>for</w:instrText>
      </w:r>
      <w:r w:rsidR="00E974B2" w:rsidRPr="006447F6">
        <w:instrText xml:space="preserve"> </w:instrText>
      </w:r>
      <w:r w:rsidR="00E974B2">
        <w:rPr>
          <w:lang w:val="en-US"/>
        </w:rPr>
        <w:instrText>patients</w:instrText>
      </w:r>
      <w:r w:rsidR="00E974B2" w:rsidRPr="006447F6">
        <w:instrText xml:space="preserve"> </w:instrText>
      </w:r>
      <w:r w:rsidR="00E974B2">
        <w:rPr>
          <w:lang w:val="en-US"/>
        </w:rPr>
        <w:instrText>as</w:instrText>
      </w:r>
      <w:r w:rsidR="00E974B2" w:rsidRPr="006447F6">
        <w:instrText xml:space="preserve"> </w:instrText>
      </w:r>
      <w:r w:rsidR="00E974B2">
        <w:rPr>
          <w:lang w:val="en-US"/>
        </w:rPr>
        <w:instrText>well</w:instrText>
      </w:r>
      <w:r w:rsidR="00E974B2" w:rsidRPr="006447F6">
        <w:instrText xml:space="preserve"> </w:instrText>
      </w:r>
      <w:r w:rsidR="00E974B2">
        <w:rPr>
          <w:lang w:val="en-US"/>
        </w:rPr>
        <w:instrText>as</w:instrText>
      </w:r>
      <w:r w:rsidR="00E974B2" w:rsidRPr="006447F6">
        <w:instrText xml:space="preserve"> </w:instrText>
      </w:r>
      <w:r w:rsidR="00E974B2">
        <w:rPr>
          <w:lang w:val="en-US"/>
        </w:rPr>
        <w:instrText>improved</w:instrText>
      </w:r>
      <w:r w:rsidR="00E974B2" w:rsidRPr="006447F6">
        <w:instrText xml:space="preserve"> </w:instrText>
      </w:r>
      <w:r w:rsidR="00E974B2">
        <w:rPr>
          <w:lang w:val="en-US"/>
        </w:rPr>
        <w:instrText>resource</w:instrText>
      </w:r>
      <w:r w:rsidR="00E974B2" w:rsidRPr="006447F6">
        <w:instrText xml:space="preserve"> </w:instrText>
      </w:r>
      <w:r w:rsidR="00E974B2">
        <w:rPr>
          <w:lang w:val="en-US"/>
        </w:rPr>
        <w:instrText>utilization</w:instrText>
      </w:r>
      <w:r w:rsidR="00E974B2" w:rsidRPr="006447F6">
        <w:instrText xml:space="preserve"> (</w:instrText>
      </w:r>
      <w:r w:rsidR="00E974B2">
        <w:rPr>
          <w:lang w:val="en-US"/>
        </w:rPr>
        <w:instrText>efficiency</w:instrText>
      </w:r>
      <w:r w:rsidR="00E974B2" w:rsidRPr="006447F6">
        <w:instrText xml:space="preserve">) </w:instrText>
      </w:r>
      <w:r w:rsidR="00E974B2">
        <w:rPr>
          <w:lang w:val="en-US"/>
        </w:rPr>
        <w:instrText>at</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treatment</w:instrText>
      </w:r>
      <w:r w:rsidR="00E974B2" w:rsidRPr="006447F6">
        <w:instrText xml:space="preserve"> </w:instrText>
      </w:r>
      <w:r w:rsidR="00E974B2">
        <w:rPr>
          <w:lang w:val="en-US"/>
        </w:rPr>
        <w:instrText>facility</w:instrText>
      </w:r>
      <w:r w:rsidR="00E974B2" w:rsidRPr="006447F6">
        <w:instrText xml:space="preserve">. </w:instrText>
      </w:r>
      <w:r w:rsidR="00E974B2">
        <w:rPr>
          <w:lang w:val="en-US"/>
        </w:rPr>
        <w:instrText>The</w:instrText>
      </w:r>
      <w:r w:rsidR="00E974B2" w:rsidRPr="006447F6">
        <w:instrText xml:space="preserve"> </w:instrText>
      </w:r>
      <w:r w:rsidR="00E974B2">
        <w:rPr>
          <w:lang w:val="en-US"/>
        </w:rPr>
        <w:instrText>improved</w:instrText>
      </w:r>
      <w:r w:rsidR="00E974B2" w:rsidRPr="006447F6">
        <w:instrText xml:space="preserve"> </w:instrText>
      </w:r>
      <w:r w:rsidR="00E974B2">
        <w:rPr>
          <w:lang w:val="en-US"/>
        </w:rPr>
        <w:instrText>efficiency</w:instrText>
      </w:r>
      <w:r w:rsidR="00E974B2" w:rsidRPr="006447F6">
        <w:instrText xml:space="preserve"> </w:instrText>
      </w:r>
      <w:r w:rsidR="00E974B2">
        <w:rPr>
          <w:lang w:val="en-US"/>
        </w:rPr>
        <w:instrText>of</w:instrText>
      </w:r>
      <w:r w:rsidR="00E974B2" w:rsidRPr="006447F6">
        <w:instrText xml:space="preserve"> </w:instrText>
      </w:r>
      <w:r w:rsidR="00E974B2">
        <w:rPr>
          <w:lang w:val="en-US"/>
        </w:rPr>
        <w:instrText>delivering</w:instrText>
      </w:r>
      <w:r w:rsidR="00E974B2" w:rsidRPr="006447F6">
        <w:instrText xml:space="preserve"> </w:instrText>
      </w:r>
      <w:r w:rsidR="00E974B2">
        <w:rPr>
          <w:lang w:val="en-US"/>
        </w:rPr>
        <w:instrText>rituximab</w:instrText>
      </w:r>
      <w:r w:rsidR="00E974B2" w:rsidRPr="006447F6">
        <w:instrText>’</w:instrText>
      </w:r>
      <w:r w:rsidR="00E974B2">
        <w:rPr>
          <w:lang w:val="en-US"/>
        </w:rPr>
        <w:instrText>s</w:instrText>
      </w:r>
      <w:r w:rsidR="00E974B2" w:rsidRPr="006447F6">
        <w:instrText xml:space="preserve"> </w:instrText>
      </w:r>
      <w:r w:rsidR="00E974B2">
        <w:rPr>
          <w:lang w:val="en-US"/>
        </w:rPr>
        <w:instrText>benefit</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patients</w:instrText>
      </w:r>
      <w:r w:rsidR="00E974B2" w:rsidRPr="006447F6">
        <w:instrText xml:space="preserve"> </w:instrText>
      </w:r>
      <w:r w:rsidR="00E974B2">
        <w:rPr>
          <w:lang w:val="en-US"/>
        </w:rPr>
        <w:instrText>may</w:instrText>
      </w:r>
      <w:r w:rsidR="00E974B2" w:rsidRPr="006447F6">
        <w:instrText xml:space="preserve"> </w:instrText>
      </w:r>
      <w:r w:rsidR="00E974B2">
        <w:rPr>
          <w:lang w:val="en-US"/>
        </w:rPr>
        <w:instrText>broaden</w:instrText>
      </w:r>
      <w:r w:rsidR="00E974B2" w:rsidRPr="006447F6">
        <w:instrText xml:space="preserve"> </w:instrText>
      </w:r>
      <w:r w:rsidR="00E974B2">
        <w:rPr>
          <w:lang w:val="en-US"/>
        </w:rPr>
        <w:instrText>patient</w:instrText>
      </w:r>
      <w:r w:rsidR="00E974B2" w:rsidRPr="006447F6">
        <w:instrText xml:space="preserve"> </w:instrText>
      </w:r>
      <w:r w:rsidR="00E974B2">
        <w:rPr>
          <w:lang w:val="en-US"/>
        </w:rPr>
        <w:instrText>access</w:instrText>
      </w:r>
      <w:r w:rsidR="00E974B2" w:rsidRPr="006447F6">
        <w:instrText xml:space="preserve"> </w:instrText>
      </w:r>
      <w:r w:rsidR="00E974B2">
        <w:rPr>
          <w:lang w:val="en-US"/>
        </w:rPr>
        <w:instrText>to</w:instrText>
      </w:r>
      <w:r w:rsidR="00E974B2" w:rsidRPr="006447F6">
        <w:instrText xml:space="preserve"> </w:instrText>
      </w:r>
      <w:r w:rsidR="00E974B2">
        <w:rPr>
          <w:lang w:val="en-US"/>
        </w:rPr>
        <w:instrText>rituximab</w:instrText>
      </w:r>
      <w:r w:rsidR="00E974B2" w:rsidRPr="006447F6">
        <w:instrText xml:space="preserve"> </w:instrText>
      </w:r>
      <w:r w:rsidR="00E974B2">
        <w:rPr>
          <w:lang w:val="en-US"/>
        </w:rPr>
        <w:instrText>therapy</w:instrText>
      </w:r>
      <w:r w:rsidR="00E974B2" w:rsidRPr="006447F6">
        <w:instrText xml:space="preserve"> </w:instrText>
      </w:r>
      <w:r w:rsidR="00E974B2">
        <w:rPr>
          <w:lang w:val="en-US"/>
        </w:rPr>
        <w:instrText>in</w:instrText>
      </w:r>
      <w:r w:rsidR="00E974B2" w:rsidRPr="006447F6">
        <w:instrText xml:space="preserve"> </w:instrText>
      </w:r>
      <w:r w:rsidR="00E974B2">
        <w:rPr>
          <w:lang w:val="en-US"/>
        </w:rPr>
        <w:instrText>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w:instrText>
      </w:r>
      <w:r w:rsidR="00E974B2" w:rsidRPr="006C476A">
        <w:instrText xml:space="preserve">, </w:instrText>
      </w:r>
      <w:r w:rsidR="00E974B2">
        <w:rPr>
          <w:lang w:val="en-US"/>
        </w:rPr>
        <w:instrText>correct</w:instrText>
      </w:r>
      <w:r w:rsidR="00E974B2" w:rsidRPr="006C476A">
        <w:instrText xml:space="preserve"> </w:instrText>
      </w:r>
      <w:r w:rsidR="00E974B2">
        <w:rPr>
          <w:lang w:val="en-US"/>
        </w:rPr>
        <w:instrText>administration</w:instrText>
      </w:r>
      <w:r w:rsidR="00E974B2" w:rsidRPr="006C476A">
        <w:instrText xml:space="preserve"> </w:instrText>
      </w:r>
      <w:r w:rsidR="00E974B2">
        <w:rPr>
          <w:lang w:val="en-US"/>
        </w:rPr>
        <w:instrText>is</w:instrText>
      </w:r>
      <w:r w:rsidR="00E974B2" w:rsidRPr="006C476A">
        <w:instrText xml:space="preserve"> </w:instrText>
      </w:r>
      <w:r w:rsidR="00E974B2">
        <w:rPr>
          <w:lang w:val="en-US"/>
        </w:rPr>
        <w:instrText>needed</w:instrText>
      </w:r>
      <w:r w:rsidR="00E974B2" w:rsidRPr="006C476A">
        <w:instrText xml:space="preserve"> </w:instrText>
      </w:r>
      <w:r w:rsidR="00E974B2">
        <w:rPr>
          <w:lang w:val="en-US"/>
        </w:rPr>
        <w:instrText>to</w:instrText>
      </w:r>
      <w:r w:rsidR="00E974B2" w:rsidRPr="006C476A">
        <w:instrText xml:space="preserve"> </w:instrText>
      </w:r>
      <w:r w:rsidR="00E974B2">
        <w:rPr>
          <w:lang w:val="en-US"/>
        </w:rPr>
        <w:instrText>reduce</w:instrText>
      </w:r>
      <w:r w:rsidR="00E974B2" w:rsidRPr="006C476A">
        <w:instrText xml:space="preserve"> </w:instrText>
      </w:r>
      <w:r w:rsidR="00E974B2">
        <w:rPr>
          <w:lang w:val="en-US"/>
        </w:rPr>
        <w:instrText>administration</w:instrText>
      </w:r>
      <w:r w:rsidR="00E974B2" w:rsidRPr="006C476A">
        <w:instrText>-</w:instrText>
      </w:r>
      <w:r w:rsidR="00E974B2">
        <w:rPr>
          <w:lang w:val="en-US"/>
        </w:rPr>
        <w:instrText>related</w:instrText>
      </w:r>
      <w:r w:rsidR="00E974B2" w:rsidRPr="006C476A">
        <w:instrText xml:space="preserve"> </w:instrText>
      </w:r>
      <w:r w:rsidR="00E974B2">
        <w:rPr>
          <w:lang w:val="en-US"/>
        </w:rPr>
        <w:instrText>reactions</w:instrText>
      </w:r>
      <w:r w:rsidR="00E974B2" w:rsidRPr="006C476A">
        <w:instrText xml:space="preserve">. </w:instrText>
      </w:r>
      <w:r w:rsidR="00E974B2">
        <w:rPr>
          <w:lang w:val="en-US"/>
        </w:rPr>
        <w:instrText>By</w:instrText>
      </w:r>
      <w:r w:rsidR="00E974B2" w:rsidRPr="006C476A">
        <w:instrText xml:space="preserve"> </w:instrText>
      </w:r>
      <w:r w:rsidR="00E974B2">
        <w:rPr>
          <w:lang w:val="en-US"/>
        </w:rPr>
        <w:instrText>using</w:instrText>
      </w:r>
      <w:r w:rsidR="00E974B2" w:rsidRPr="006C476A">
        <w:instrText xml:space="preserve"> </w:instrText>
      </w:r>
      <w:r w:rsidR="00E974B2">
        <w:rPr>
          <w:lang w:val="en-US"/>
        </w:rPr>
        <w:instrText>a</w:instrText>
      </w:r>
      <w:r w:rsidR="00E974B2" w:rsidRPr="006C476A">
        <w:instrText xml:space="preserve"> </w:instrText>
      </w:r>
      <w:r w:rsidR="00E974B2">
        <w:rPr>
          <w:lang w:val="en-US"/>
        </w:rPr>
        <w:instrText>careful</w:instrText>
      </w:r>
      <w:r w:rsidR="00E974B2" w:rsidRPr="006C476A">
        <w:instrText xml:space="preserve"> </w:instrText>
      </w:r>
      <w:r w:rsidR="00E974B2">
        <w:rPr>
          <w:lang w:val="en-US"/>
        </w:rPr>
        <w:instrText>procedure</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sc</w:instrText>
      </w:r>
      <w:r w:rsidR="00E974B2" w:rsidRPr="006C476A">
        <w:instrText xml:space="preserve"> </w:instrText>
      </w:r>
      <w:r w:rsidR="00E974B2">
        <w:rPr>
          <w:lang w:val="en-US"/>
        </w:rPr>
        <w:instrText>formulation</w:instrText>
      </w:r>
      <w:r w:rsidR="00E974B2" w:rsidRPr="006C476A">
        <w:instrText xml:space="preserve"> </w:instrText>
      </w:r>
      <w:r w:rsidR="00E974B2">
        <w:rPr>
          <w:lang w:val="en-US"/>
        </w:rPr>
        <w:instrText>can</w:instrText>
      </w:r>
      <w:r w:rsidR="00E974B2" w:rsidRPr="006C476A">
        <w:instrText xml:space="preserve"> </w:instrText>
      </w:r>
      <w:r w:rsidR="00E974B2">
        <w:rPr>
          <w:lang w:val="en-US"/>
        </w:rPr>
        <w:instrText>be</w:instrText>
      </w:r>
      <w:r w:rsidR="00E974B2" w:rsidRPr="006C476A">
        <w:instrText xml:space="preserve"> </w:instrText>
      </w:r>
      <w:r w:rsidR="00E974B2">
        <w:rPr>
          <w:lang w:val="en-US"/>
        </w:rPr>
        <w:instrText>given</w:instrText>
      </w:r>
      <w:r w:rsidR="00E974B2" w:rsidRPr="006C476A">
        <w:instrText xml:space="preserve"> </w:instrText>
      </w:r>
      <w:r w:rsidR="00E974B2">
        <w:rPr>
          <w:lang w:val="en-US"/>
        </w:rPr>
        <w:instrText>safely</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effectively</w:instrText>
      </w:r>
      <w:r w:rsidR="00E974B2" w:rsidRPr="006C476A">
        <w:instrText xml:space="preserve">, </w:instrText>
      </w:r>
      <w:r w:rsidR="00E974B2">
        <w:rPr>
          <w:lang w:val="en-US"/>
        </w:rPr>
        <w:instrText>potentially</w:instrText>
      </w:r>
      <w:r w:rsidR="00E974B2" w:rsidRPr="006C476A">
        <w:instrText xml:space="preserve"> </w:instrText>
      </w:r>
      <w:r w:rsidR="00E974B2">
        <w:rPr>
          <w:lang w:val="en-US"/>
        </w:rPr>
        <w:instrText>reducing</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burden</w:instrText>
      </w:r>
      <w:r w:rsidR="00E974B2" w:rsidRPr="006C476A">
        <w:instrText xml:space="preserve"> </w:instrText>
      </w:r>
      <w:r w:rsidR="00E974B2">
        <w:rPr>
          <w:lang w:val="en-US"/>
        </w:rPr>
        <w:instrText>on</w:instrText>
      </w:r>
      <w:r w:rsidR="00E974B2" w:rsidRPr="006C476A">
        <w:instrText xml:space="preserve"> </w:instrText>
      </w:r>
      <w:r w:rsidR="00E974B2">
        <w:rPr>
          <w:lang w:val="en-US"/>
        </w:rPr>
        <w:instrText>health</w:instrText>
      </w:r>
      <w:r w:rsidR="00E974B2" w:rsidRPr="006C476A">
        <w:instrText xml:space="preserve"> </w:instrText>
      </w:r>
      <w:r w:rsidR="00E974B2">
        <w:rPr>
          <w:lang w:val="en-US"/>
        </w:rPr>
        <w:instrText>care</w:instrText>
      </w:r>
      <w:r w:rsidR="00E974B2" w:rsidRPr="006C476A">
        <w:instrText xml:space="preserve"> </w:instrText>
      </w:r>
      <w:r w:rsidR="00E974B2">
        <w:rPr>
          <w:lang w:val="en-US"/>
        </w:rPr>
        <w:instrText>resources</w:instrText>
      </w:r>
      <w:r w:rsidR="00E974B2" w:rsidRPr="006C476A">
        <w:instrText xml:space="preserve"> </w:instrText>
      </w:r>
      <w:r w:rsidR="00E974B2">
        <w:rPr>
          <w:lang w:val="en-US"/>
        </w:rPr>
        <w:instrText>and</w:instrText>
      </w:r>
      <w:r w:rsidR="00E974B2" w:rsidRPr="006C476A">
        <w:instrText xml:space="preserve"> </w:instrText>
      </w:r>
      <w:r w:rsidR="00E974B2">
        <w:rPr>
          <w:lang w:val="en-US"/>
        </w:rPr>
        <w:instrText>improving</w:instrText>
      </w:r>
      <w:r w:rsidR="00E974B2" w:rsidRPr="006C476A">
        <w:instrText xml:space="preserve"> </w:instrText>
      </w:r>
      <w:r w:rsidR="00E974B2">
        <w:rPr>
          <w:lang w:val="en-US"/>
        </w:rPr>
        <w:instrText>quality</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life</w:instrText>
      </w:r>
      <w:r w:rsidR="00E974B2" w:rsidRPr="006C476A">
        <w:instrText xml:space="preserve"> </w:instrText>
      </w:r>
      <w:r w:rsidR="00E974B2">
        <w:rPr>
          <w:lang w:val="en-US"/>
        </w:rPr>
        <w:instrText>for</w:instrText>
      </w:r>
      <w:r w:rsidR="00E974B2" w:rsidRPr="006C476A">
        <w:instrText xml:space="preserve"> </w:instrText>
      </w:r>
      <w:r w:rsidR="00E974B2">
        <w:rPr>
          <w:lang w:val="en-US"/>
        </w:rPr>
        <w:instrText>patients</w:instrText>
      </w:r>
      <w:r w:rsidR="00E974B2" w:rsidRPr="006C476A">
        <w:instrText>.","</w:instrText>
      </w:r>
      <w:r w:rsidR="00E974B2">
        <w:rPr>
          <w:lang w:val="en-US"/>
        </w:rPr>
        <w:instrText>author</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Macdonald</w:instrText>
      </w:r>
      <w:r w:rsidR="00E974B2" w:rsidRPr="006C476A">
        <w:instrText>","</w:instrText>
      </w:r>
      <w:r w:rsidR="00E974B2">
        <w:rPr>
          <w:lang w:val="en-US"/>
        </w:rPr>
        <w:instrText>given</w:instrText>
      </w:r>
      <w:r w:rsidR="00E974B2" w:rsidRPr="006C476A">
        <w:instrText>":"</w:instrText>
      </w:r>
      <w:r w:rsidR="00E974B2">
        <w:rPr>
          <w:lang w:val="en-US"/>
        </w:rPr>
        <w:instrText>David</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Crosbie</w:instrText>
      </w:r>
      <w:r w:rsidR="00E974B2" w:rsidRPr="006C476A">
        <w:instrText>","</w:instrText>
      </w:r>
      <w:r w:rsidR="00E974B2">
        <w:rPr>
          <w:lang w:val="en-US"/>
        </w:rPr>
        <w:instrText>given</w:instrText>
      </w:r>
      <w:r w:rsidR="00E974B2" w:rsidRPr="006C476A">
        <w:instrText>":"</w:instrText>
      </w:r>
      <w:r w:rsidR="00E974B2">
        <w:rPr>
          <w:lang w:val="en-US"/>
        </w:rPr>
        <w:instrText>T</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Christofides</w:instrText>
      </w:r>
      <w:r w:rsidR="00E974B2" w:rsidRPr="006C476A">
        <w:instrText>","</w:instrText>
      </w:r>
      <w:r w:rsidR="00E974B2">
        <w:rPr>
          <w:lang w:val="en-US"/>
        </w:rPr>
        <w:instrText>given</w:instrText>
      </w:r>
      <w:r w:rsidR="00E974B2" w:rsidRPr="006C476A">
        <w:instrText>":"</w:instrText>
      </w:r>
      <w:r w:rsidR="00E974B2">
        <w:rPr>
          <w:lang w:val="en-US"/>
        </w:rPr>
        <w:instrText>A</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Assaily</w:instrText>
      </w:r>
      <w:r w:rsidR="00E974B2" w:rsidRPr="006C476A">
        <w:instrText>","</w:instrText>
      </w:r>
      <w:r w:rsidR="00E974B2">
        <w:rPr>
          <w:lang w:val="en-US"/>
        </w:rPr>
        <w:instrText>given</w:instrText>
      </w:r>
      <w:r w:rsidR="00E974B2" w:rsidRPr="006C476A">
        <w:instrText>":"</w:instrText>
      </w:r>
      <w:r w:rsidR="00E974B2">
        <w:rPr>
          <w:lang w:val="en-US"/>
        </w:rPr>
        <w:instrText>W</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family</w:instrText>
      </w:r>
      <w:r w:rsidR="00E974B2" w:rsidRPr="006C476A">
        <w:instrText>":"</w:instrText>
      </w:r>
      <w:r w:rsidR="00E974B2">
        <w:rPr>
          <w:lang w:val="en-US"/>
        </w:rPr>
        <w:instrText>Wiernikowski</w:instrText>
      </w:r>
      <w:r w:rsidR="00E974B2" w:rsidRPr="006C476A">
        <w:instrText>","</w:instrText>
      </w:r>
      <w:r w:rsidR="00E974B2">
        <w:rPr>
          <w:lang w:val="en-US"/>
        </w:rPr>
        <w:instrText>given</w:instrText>
      </w:r>
      <w:r w:rsidR="00E974B2" w:rsidRPr="006C476A">
        <w:instrText>":"</w:instrText>
      </w:r>
      <w:r w:rsidR="00E974B2">
        <w:rPr>
          <w:lang w:val="en-US"/>
        </w:rPr>
        <w:instrText>J</w:instrText>
      </w:r>
      <w:r w:rsidR="00E974B2" w:rsidRPr="006C476A">
        <w:instrText>.","</w:instrText>
      </w:r>
      <w:r w:rsidR="00E974B2">
        <w:rPr>
          <w:lang w:val="en-US"/>
        </w:rPr>
        <w:instrText>non</w:instrText>
      </w:r>
      <w:r w:rsidR="00E974B2" w:rsidRPr="006C476A">
        <w:instrText>-</w:instrText>
      </w:r>
      <w:r w:rsidR="00E974B2">
        <w:rPr>
          <w:lang w:val="en-US"/>
        </w:rPr>
        <w:instrText>dropping</w:instrText>
      </w:r>
      <w:r w:rsidR="00E974B2" w:rsidRPr="006C476A">
        <w:instrText>-</w:instrText>
      </w:r>
      <w:r w:rsidR="00E974B2">
        <w:rPr>
          <w:lang w:val="en-US"/>
        </w:rPr>
        <w:instrText>particle</w:instrText>
      </w:r>
      <w:r w:rsidR="00E974B2" w:rsidRPr="006C476A">
        <w:instrText>":"","</w:instrText>
      </w:r>
      <w:r w:rsidR="00E974B2">
        <w:rPr>
          <w:lang w:val="en-US"/>
        </w:rPr>
        <w:instrText>parse</w:instrText>
      </w:r>
      <w:r w:rsidR="00E974B2" w:rsidRPr="006C476A">
        <w:instrText>-</w:instrText>
      </w:r>
      <w:r w:rsidR="00E974B2">
        <w:rPr>
          <w:lang w:val="en-US"/>
        </w:rPr>
        <w:instrText>names</w:instrText>
      </w:r>
      <w:r w:rsidR="00E974B2" w:rsidRPr="006C476A">
        <w:instrText>":</w:instrText>
      </w:r>
      <w:r w:rsidR="00E974B2">
        <w:rPr>
          <w:lang w:val="en-US"/>
        </w:rPr>
        <w:instrText>false</w:instrText>
      </w:r>
      <w:r w:rsidR="00E974B2" w:rsidRPr="006C476A">
        <w:instrText>,"</w:instrText>
      </w:r>
      <w:r w:rsidR="00E974B2">
        <w:rPr>
          <w:lang w:val="en-US"/>
        </w:rPr>
        <w:instrText>suffix</w:instrText>
      </w:r>
      <w:r w:rsidR="00E974B2" w:rsidRPr="006C476A">
        <w:instrText>":""}],"</w:instrText>
      </w:r>
      <w:r w:rsidR="00E974B2">
        <w:rPr>
          <w:lang w:val="en-US"/>
        </w:rPr>
        <w:instrText>container</w:instrText>
      </w:r>
      <w:r w:rsidR="00E974B2" w:rsidRPr="006C476A">
        <w:instrText>-</w:instrText>
      </w:r>
      <w:r w:rsidR="00E974B2">
        <w:rPr>
          <w:lang w:val="en-US"/>
        </w:rPr>
        <w:instrText>title</w:instrText>
      </w:r>
      <w:r w:rsidR="00E974B2" w:rsidRPr="006C476A">
        <w:instrText>":"</w:instrText>
      </w:r>
      <w:r w:rsidR="00E974B2">
        <w:rPr>
          <w:lang w:val="en-US"/>
        </w:rPr>
        <w:instrText>Current</w:instrText>
      </w:r>
      <w:r w:rsidR="00E974B2" w:rsidRPr="006C476A">
        <w:instrText xml:space="preserve"> </w:instrText>
      </w:r>
      <w:r w:rsidR="00E974B2">
        <w:rPr>
          <w:lang w:val="en-US"/>
        </w:rPr>
        <w:instrText>Oncology</w:instrText>
      </w:r>
      <w:r w:rsidR="00E974B2" w:rsidRPr="006C476A">
        <w:instrText>","</w:instrText>
      </w:r>
      <w:r w:rsidR="00E974B2">
        <w:rPr>
          <w:lang w:val="en-US"/>
        </w:rPr>
        <w:instrText>id</w:instrText>
      </w:r>
      <w:r w:rsidR="00E974B2" w:rsidRPr="006C476A">
        <w:instrText>":"</w:instrText>
      </w:r>
      <w:r w:rsidR="00E974B2">
        <w:rPr>
          <w:lang w:val="en-US"/>
        </w:rPr>
        <w:instrText>ITEM</w:instrText>
      </w:r>
      <w:r w:rsidR="00E974B2" w:rsidRPr="006C476A">
        <w:instrText>-4","</w:instrText>
      </w:r>
      <w:r w:rsidR="00E974B2">
        <w:rPr>
          <w:lang w:val="en-US"/>
        </w:rPr>
        <w:instrText>issue</w:instrText>
      </w:r>
      <w:r w:rsidR="00E974B2" w:rsidRPr="006C476A">
        <w:instrText>":"1","</w:instrText>
      </w:r>
      <w:r w:rsidR="00E974B2">
        <w:rPr>
          <w:lang w:val="en-US"/>
        </w:rPr>
        <w:instrText>issued</w:instrText>
      </w:r>
      <w:r w:rsidR="00E974B2" w:rsidRPr="006C476A">
        <w:instrText>":{"</w:instrText>
      </w:r>
      <w:r w:rsidR="00E974B2">
        <w:rPr>
          <w:lang w:val="en-US"/>
        </w:rPr>
        <w:instrText>date</w:instrText>
      </w:r>
      <w:r w:rsidR="00E974B2" w:rsidRPr="006C476A">
        <w:instrText>-</w:instrText>
      </w:r>
      <w:r w:rsidR="00E974B2">
        <w:rPr>
          <w:lang w:val="en-US"/>
        </w:rPr>
        <w:instrText>parts</w:instrText>
      </w:r>
      <w:r w:rsidR="00E974B2" w:rsidRPr="006C476A">
        <w:instrText>":[["2017"]]},"</w:instrText>
      </w:r>
      <w:r w:rsidR="00E974B2">
        <w:rPr>
          <w:lang w:val="en-US"/>
        </w:rPr>
        <w:instrText>page</w:instrText>
      </w:r>
      <w:r w:rsidR="00E974B2" w:rsidRPr="006C476A">
        <w:instrText>":"33-39","</w:instrText>
      </w:r>
      <w:r w:rsidR="00E974B2">
        <w:rPr>
          <w:lang w:val="en-US"/>
        </w:rPr>
        <w:instrText>publisher</w:instrText>
      </w:r>
      <w:r w:rsidR="00E974B2" w:rsidRPr="006C476A">
        <w:instrText>":"</w:instrText>
      </w:r>
      <w:r w:rsidR="00E974B2">
        <w:rPr>
          <w:lang w:val="en-US"/>
        </w:rPr>
        <w:instrText>Multimed</w:instrText>
      </w:r>
      <w:r w:rsidR="00E974B2" w:rsidRPr="006C476A">
        <w:instrText xml:space="preserve"> </w:instrText>
      </w:r>
      <w:r w:rsidR="00E974B2">
        <w:rPr>
          <w:lang w:val="en-US"/>
        </w:rPr>
        <w:instrText>Inc</w:instrText>
      </w:r>
      <w:r w:rsidR="00E974B2" w:rsidRPr="006C476A">
        <w:instrText>.","</w:instrText>
      </w:r>
      <w:r w:rsidR="00E974B2">
        <w:rPr>
          <w:lang w:val="en-US"/>
        </w:rPr>
        <w:instrText>title</w:instrText>
      </w:r>
      <w:r w:rsidR="00E974B2" w:rsidRPr="006C476A">
        <w:instrText>":"</w:instrText>
      </w:r>
      <w:r w:rsidR="00E974B2">
        <w:rPr>
          <w:lang w:val="en-US"/>
        </w:rPr>
        <w:instrText>A</w:instrText>
      </w:r>
      <w:r w:rsidR="00E974B2" w:rsidRPr="006C476A">
        <w:instrText xml:space="preserve"> </w:instrText>
      </w:r>
      <w:r w:rsidR="00E974B2">
        <w:rPr>
          <w:lang w:val="en-US"/>
        </w:rPr>
        <w:instrText>canadian</w:instrText>
      </w:r>
      <w:r w:rsidR="00E974B2" w:rsidRPr="006C476A">
        <w:instrText xml:space="preserve"> </w:instrText>
      </w:r>
      <w:r w:rsidR="00E974B2">
        <w:rPr>
          <w:lang w:val="en-US"/>
        </w:rPr>
        <w:instrText>perspective</w:instrText>
      </w:r>
      <w:r w:rsidR="00E974B2" w:rsidRPr="006C476A">
        <w:instrText xml:space="preserve"> </w:instrText>
      </w:r>
      <w:r w:rsidR="00E974B2">
        <w:rPr>
          <w:lang w:val="en-US"/>
        </w:rPr>
        <w:instrText>on</w:instrText>
      </w:r>
      <w:r w:rsidR="00E974B2" w:rsidRPr="006C476A">
        <w:instrText xml:space="preserve"> </w:instrText>
      </w:r>
      <w:r w:rsidR="00E974B2">
        <w:rPr>
          <w:lang w:val="en-US"/>
        </w:rPr>
        <w:instrText>the</w:instrText>
      </w:r>
      <w:r w:rsidR="00E974B2" w:rsidRPr="006C476A">
        <w:instrText xml:space="preserve"> </w:instrText>
      </w:r>
      <w:r w:rsidR="00E974B2">
        <w:rPr>
          <w:lang w:val="en-US"/>
        </w:rPr>
        <w:instrText>subcutaneous</w:instrText>
      </w:r>
      <w:r w:rsidR="00E974B2" w:rsidRPr="006C476A">
        <w:instrText xml:space="preserve"> </w:instrText>
      </w:r>
      <w:r w:rsidR="00E974B2">
        <w:rPr>
          <w:lang w:val="en-US"/>
        </w:rPr>
        <w:instrText>administration</w:instrText>
      </w:r>
      <w:r w:rsidR="00E974B2" w:rsidRPr="006C476A">
        <w:instrText xml:space="preserve"> </w:instrText>
      </w:r>
      <w:r w:rsidR="00E974B2">
        <w:rPr>
          <w:lang w:val="en-US"/>
        </w:rPr>
        <w:instrText>of</w:instrText>
      </w:r>
      <w:r w:rsidR="00E974B2" w:rsidRPr="006C476A">
        <w:instrText xml:space="preserve"> </w:instrText>
      </w:r>
      <w:r w:rsidR="00E974B2">
        <w:rPr>
          <w:lang w:val="en-US"/>
        </w:rPr>
        <w:instrText>rituximab</w:instrText>
      </w:r>
      <w:r w:rsidR="00E974B2" w:rsidRPr="006C476A">
        <w:instrText xml:space="preserve"> </w:instrText>
      </w:r>
      <w:r w:rsidR="00E974B2">
        <w:rPr>
          <w:lang w:val="en-US"/>
        </w:rPr>
        <w:instrText>in</w:instrText>
      </w:r>
      <w:r w:rsidR="00E974B2" w:rsidRPr="006C476A">
        <w:instrText xml:space="preserve"> </w:instrText>
      </w:r>
      <w:r w:rsidR="00E974B2">
        <w:rPr>
          <w:lang w:val="en-US"/>
        </w:rPr>
        <w:instrText>non</w:instrText>
      </w:r>
      <w:r w:rsidR="00E974B2" w:rsidRPr="006C476A">
        <w:instrText>-</w:instrText>
      </w:r>
      <w:r w:rsidR="00E974B2">
        <w:rPr>
          <w:lang w:val="en-US"/>
        </w:rPr>
        <w:instrText>Hodgkin</w:instrText>
      </w:r>
      <w:r w:rsidR="00E974B2" w:rsidRPr="006C476A">
        <w:instrText xml:space="preserve"> </w:instrText>
      </w:r>
      <w:r w:rsidR="00E974B2">
        <w:rPr>
          <w:lang w:val="en-US"/>
        </w:rPr>
        <w:instrText>lymphoma</w:instrText>
      </w:r>
      <w:r w:rsidR="00E974B2" w:rsidRPr="006C476A">
        <w:instrText>","</w:instrText>
      </w:r>
      <w:r w:rsidR="00E974B2">
        <w:rPr>
          <w:lang w:val="en-US"/>
        </w:rPr>
        <w:instrText>type</w:instrText>
      </w:r>
      <w:r w:rsidR="00E974B2" w:rsidRPr="006C476A">
        <w:instrText>":"</w:instrText>
      </w:r>
      <w:r w:rsidR="00E974B2">
        <w:rPr>
          <w:lang w:val="en-US"/>
        </w:rPr>
        <w:instrText>article</w:instrText>
      </w:r>
      <w:r w:rsidR="00E974B2" w:rsidRPr="006C476A">
        <w:instrText>","</w:instrText>
      </w:r>
      <w:r w:rsidR="00E974B2">
        <w:rPr>
          <w:lang w:val="en-US"/>
        </w:rPr>
        <w:instrText>volume</w:instrText>
      </w:r>
      <w:r w:rsidR="00E974B2" w:rsidRPr="006C476A">
        <w:instrText>":"24"},"</w:instrText>
      </w:r>
      <w:r w:rsidR="00E974B2">
        <w:rPr>
          <w:lang w:val="en-US"/>
        </w:rPr>
        <w:instrText>uris</w:instrText>
      </w:r>
      <w:r w:rsidR="00E974B2" w:rsidRPr="006C476A">
        <w:instrText>":["</w:instrText>
      </w:r>
      <w:r w:rsidR="00E974B2">
        <w:rPr>
          <w:lang w:val="en-US"/>
        </w:rPr>
        <w:instrText>http</w:instrText>
      </w:r>
      <w:r w:rsidR="00E974B2" w:rsidRPr="006C476A">
        <w:instrText>://</w:instrText>
      </w:r>
      <w:r w:rsidR="00E974B2">
        <w:rPr>
          <w:lang w:val="en-US"/>
        </w:rPr>
        <w:instrText>www</w:instrText>
      </w:r>
      <w:r w:rsidR="00E974B2" w:rsidRPr="006C476A">
        <w:instrText>.</w:instrText>
      </w:r>
      <w:r w:rsidR="00E974B2">
        <w:rPr>
          <w:lang w:val="en-US"/>
        </w:rPr>
        <w:instrText>mendeley</w:instrText>
      </w:r>
      <w:r w:rsidR="00E974B2" w:rsidRPr="006C476A">
        <w:instrText>.</w:instrText>
      </w:r>
      <w:r w:rsidR="00E974B2">
        <w:rPr>
          <w:lang w:val="en-US"/>
        </w:rPr>
        <w:instrText>com</w:instrText>
      </w:r>
      <w:r w:rsidR="00E974B2" w:rsidRPr="006C476A">
        <w:instrText>/</w:instrText>
      </w:r>
      <w:r w:rsidR="00E974B2">
        <w:rPr>
          <w:lang w:val="en-US"/>
        </w:rPr>
        <w:instrText>documents</w:instrText>
      </w:r>
      <w:r w:rsidR="00E974B2" w:rsidRPr="006C476A">
        <w:instrText>/?</w:instrText>
      </w:r>
      <w:r w:rsidR="00E974B2">
        <w:rPr>
          <w:lang w:val="en-US"/>
        </w:rPr>
        <w:instrText>uuid</w:instrText>
      </w:r>
      <w:r w:rsidR="00E974B2" w:rsidRPr="006C476A">
        <w:instrText>=0</w:instrText>
      </w:r>
      <w:r w:rsidR="00E974B2">
        <w:rPr>
          <w:lang w:val="en-US"/>
        </w:rPr>
        <w:instrText>dec</w:instrText>
      </w:r>
      <w:r w:rsidR="00E974B2" w:rsidRPr="006C476A">
        <w:instrText>225</w:instrText>
      </w:r>
      <w:r w:rsidR="00E974B2">
        <w:rPr>
          <w:lang w:val="en-US"/>
        </w:rPr>
        <w:instrText>e</w:instrText>
      </w:r>
      <w:r w:rsidR="00E974B2" w:rsidRPr="006C476A">
        <w:instrText>-8</w:instrText>
      </w:r>
      <w:r w:rsidR="00E974B2">
        <w:rPr>
          <w:lang w:val="en-US"/>
        </w:rPr>
        <w:instrText>a</w:instrText>
      </w:r>
      <w:r w:rsidR="00E974B2" w:rsidRPr="006C476A">
        <w:instrText>47-3680-</w:instrText>
      </w:r>
      <w:r w:rsidR="00E974B2">
        <w:rPr>
          <w:lang w:val="en-US"/>
        </w:rPr>
        <w:instrText>ba</w:instrText>
      </w:r>
      <w:r w:rsidR="00E974B2" w:rsidRPr="006C476A">
        <w:instrText>4</w:instrText>
      </w:r>
      <w:r w:rsidR="00E974B2">
        <w:rPr>
          <w:lang w:val="en-US"/>
        </w:rPr>
        <w:instrText>d</w:instrText>
      </w:r>
      <w:r w:rsidR="00E974B2" w:rsidRPr="006C476A">
        <w:instrText>-891955</w:instrText>
      </w:r>
      <w:r w:rsidR="00E974B2">
        <w:rPr>
          <w:lang w:val="en-US"/>
        </w:rPr>
        <w:instrText>a</w:instrText>
      </w:r>
      <w:r w:rsidR="00E974B2" w:rsidRPr="006C476A">
        <w:instrText>938</w:instrText>
      </w:r>
      <w:r w:rsidR="00E974B2">
        <w:rPr>
          <w:lang w:val="en-US"/>
        </w:rPr>
        <w:instrText>a</w:instrText>
      </w:r>
      <w:r w:rsidR="00E974B2" w:rsidRPr="006C476A">
        <w:instrText>1"]}],"</w:instrText>
      </w:r>
      <w:r w:rsidR="00E974B2">
        <w:rPr>
          <w:lang w:val="en-US"/>
        </w:rPr>
        <w:instrText>mendeley</w:instrText>
      </w:r>
      <w:r w:rsidR="00E974B2" w:rsidRPr="006C476A">
        <w:instrText>":{"</w:instrText>
      </w:r>
      <w:r w:rsidR="00E974B2">
        <w:rPr>
          <w:lang w:val="en-US"/>
        </w:rPr>
        <w:instrText>formattedCitation</w:instrText>
      </w:r>
      <w:r w:rsidR="00E974B2" w:rsidRPr="006C476A">
        <w:instrText>":"[180–183]","</w:instrText>
      </w:r>
      <w:r w:rsidR="00E974B2">
        <w:rPr>
          <w:lang w:val="en-US"/>
        </w:rPr>
        <w:instrText>plainTextFormattedCitation</w:instrText>
      </w:r>
      <w:r w:rsidR="00E974B2" w:rsidRPr="006C476A">
        <w:instrText>":"[180–183]","</w:instrText>
      </w:r>
      <w:r w:rsidR="00E974B2">
        <w:rPr>
          <w:lang w:val="en-US"/>
        </w:rPr>
        <w:instrText>previouslyFormattedCitation</w:instrText>
      </w:r>
      <w:r w:rsidR="00E974B2" w:rsidRPr="006C476A">
        <w:instrText>":"[180–183]"},"</w:instrText>
      </w:r>
      <w:r w:rsidR="00E974B2">
        <w:rPr>
          <w:lang w:val="en-US"/>
        </w:rPr>
        <w:instrText>properties</w:instrText>
      </w:r>
      <w:r w:rsidR="00E974B2" w:rsidRPr="006C476A">
        <w:instrText>":{"</w:instrText>
      </w:r>
      <w:r w:rsidR="00E974B2">
        <w:rPr>
          <w:lang w:val="en-US"/>
        </w:rPr>
        <w:instrText>noteIndex</w:instrText>
      </w:r>
      <w:r w:rsidR="00E974B2" w:rsidRPr="006C476A">
        <w:instrText>":0},"</w:instrText>
      </w:r>
      <w:r w:rsidR="00E974B2">
        <w:rPr>
          <w:lang w:val="en-US"/>
        </w:rPr>
        <w:instrText>schema</w:instrText>
      </w:r>
      <w:r w:rsidR="00E974B2" w:rsidRPr="006C476A">
        <w:instrText>":"</w:instrText>
      </w:r>
      <w:r w:rsidR="00E974B2">
        <w:rPr>
          <w:lang w:val="en-US"/>
        </w:rPr>
        <w:instrText>https</w:instrText>
      </w:r>
      <w:r w:rsidR="00E974B2" w:rsidRPr="006C476A">
        <w:instrText>://</w:instrText>
      </w:r>
      <w:r w:rsidR="00E974B2">
        <w:rPr>
          <w:lang w:val="en-US"/>
        </w:rPr>
        <w:instrText>github</w:instrText>
      </w:r>
      <w:r w:rsidR="00E974B2" w:rsidRPr="006C476A">
        <w:instrText>.</w:instrText>
      </w:r>
      <w:r w:rsidR="00E974B2">
        <w:rPr>
          <w:lang w:val="en-US"/>
        </w:rPr>
        <w:instrText>com</w:instrText>
      </w:r>
      <w:r w:rsidR="00E974B2" w:rsidRPr="006C476A">
        <w:instrText>/</w:instrText>
      </w:r>
      <w:r w:rsidR="00E974B2">
        <w:rPr>
          <w:lang w:val="en-US"/>
        </w:rPr>
        <w:instrText>citation</w:instrText>
      </w:r>
      <w:r w:rsidR="00E974B2" w:rsidRPr="006C476A">
        <w:instrText>-</w:instrText>
      </w:r>
      <w:r w:rsidR="00E974B2">
        <w:rPr>
          <w:lang w:val="en-US"/>
        </w:rPr>
        <w:instrText>style</w:instrText>
      </w:r>
      <w:r w:rsidR="00E974B2" w:rsidRPr="006C476A">
        <w:instrText>-</w:instrText>
      </w:r>
      <w:r w:rsidR="00E974B2">
        <w:rPr>
          <w:lang w:val="en-US"/>
        </w:rPr>
        <w:instrText>language</w:instrText>
      </w:r>
      <w:r w:rsidR="00E974B2" w:rsidRPr="006C476A">
        <w:instrText>/</w:instrText>
      </w:r>
      <w:r w:rsidR="00E974B2">
        <w:rPr>
          <w:lang w:val="en-US"/>
        </w:rPr>
        <w:instrText>schema</w:instrText>
      </w:r>
      <w:r w:rsidR="00E974B2" w:rsidRPr="006C476A">
        <w:instrText>/</w:instrText>
      </w:r>
      <w:r w:rsidR="00E974B2">
        <w:rPr>
          <w:lang w:val="en-US"/>
        </w:rPr>
        <w:instrText>raw</w:instrText>
      </w:r>
      <w:r w:rsidR="00E974B2" w:rsidRPr="006C476A">
        <w:instrText>/</w:instrText>
      </w:r>
      <w:r w:rsidR="00E974B2">
        <w:rPr>
          <w:lang w:val="en-US"/>
        </w:rPr>
        <w:instrText>master</w:instrText>
      </w:r>
      <w:r w:rsidR="00E974B2" w:rsidRPr="006C476A">
        <w:instrText>/</w:instrText>
      </w:r>
      <w:r w:rsidR="00E974B2">
        <w:rPr>
          <w:lang w:val="en-US"/>
        </w:rPr>
        <w:instrText>csl</w:instrText>
      </w:r>
      <w:r w:rsidR="00E974B2" w:rsidRPr="006C476A">
        <w:instrText>-</w:instrText>
      </w:r>
      <w:r w:rsidR="00E974B2">
        <w:rPr>
          <w:lang w:val="en-US"/>
        </w:rPr>
        <w:instrText>citation</w:instrText>
      </w:r>
      <w:r w:rsidR="00E974B2" w:rsidRPr="006C476A">
        <w:instrText>.</w:instrText>
      </w:r>
      <w:r w:rsidR="00E974B2">
        <w:rPr>
          <w:lang w:val="en-US"/>
        </w:rPr>
        <w:instrText>json</w:instrText>
      </w:r>
      <w:r w:rsidR="00E974B2" w:rsidRPr="006C476A">
        <w:instrText>"}</w:instrText>
      </w:r>
      <w:r w:rsidRPr="000322E4">
        <w:rPr>
          <w:lang w:val="en-US"/>
        </w:rPr>
        <w:fldChar w:fldCharType="separate"/>
      </w:r>
      <w:r w:rsidR="004C51FF" w:rsidRPr="004C51FF">
        <w:rPr>
          <w:noProof/>
        </w:rPr>
        <w:t>[180–183]</w:t>
      </w:r>
      <w:r w:rsidRPr="000322E4">
        <w:rPr>
          <w:lang w:val="en-US"/>
        </w:rPr>
        <w:fldChar w:fldCharType="end"/>
      </w:r>
    </w:p>
    <w:p w14:paraId="13442AEA" w14:textId="77777777" w:rsidR="00666D68" w:rsidRPr="000322E4" w:rsidRDefault="00666D68" w:rsidP="008E3584">
      <w:pPr>
        <w:numPr>
          <w:ilvl w:val="0"/>
          <w:numId w:val="40"/>
        </w:numPr>
      </w:pPr>
      <w:r w:rsidRPr="000322E4">
        <w:t>Бендамустин</w:t>
      </w:r>
      <w:r w:rsidRPr="000322E4">
        <w:rPr>
          <w:bCs/>
        </w:rPr>
        <w:t>**</w:t>
      </w:r>
      <w:r w:rsidRPr="000322E4">
        <w:t xml:space="preserve"> </w:t>
      </w:r>
      <w:r w:rsidR="001B6771" w:rsidRPr="000322E4">
        <w:t>120</w:t>
      </w:r>
      <w:r w:rsidRPr="000322E4">
        <w:t xml:space="preserve"> мг/м</w:t>
      </w:r>
      <w:r w:rsidRPr="000322E4">
        <w:rPr>
          <w:vertAlign w:val="superscript"/>
        </w:rPr>
        <w:t>2</w:t>
      </w:r>
      <w:r w:rsidRPr="000322E4">
        <w:t xml:space="preserve"> в/в кап., дни </w:t>
      </w:r>
      <w:r w:rsidR="001B6771" w:rsidRPr="000322E4">
        <w:t>2</w:t>
      </w:r>
      <w:r w:rsidRPr="000322E4">
        <w:t xml:space="preserve">, </w:t>
      </w:r>
      <w:r w:rsidR="001B6771" w:rsidRPr="000322E4">
        <w:t>3</w:t>
      </w:r>
    </w:p>
    <w:p w14:paraId="392F2115" w14:textId="77777777" w:rsidR="00666D68" w:rsidRPr="000322E4" w:rsidRDefault="00666D68" w:rsidP="008E3584">
      <w:pPr>
        <w:ind w:left="360"/>
      </w:pPr>
      <w:r w:rsidRPr="000322E4">
        <w:t>Лечение возобновляется на 21 день</w:t>
      </w:r>
    </w:p>
    <w:p w14:paraId="601506CE" w14:textId="77777777" w:rsidR="00666D68" w:rsidRPr="000322E4" w:rsidRDefault="00666D68" w:rsidP="008E3584"/>
    <w:p w14:paraId="21B3076C" w14:textId="77777777" w:rsidR="00666D68" w:rsidRPr="000322E4" w:rsidRDefault="00666D68" w:rsidP="008E3584">
      <w:pPr>
        <w:rPr>
          <w:b/>
          <w:bCs/>
        </w:rPr>
      </w:pPr>
      <w:r w:rsidRPr="000322E4">
        <w:rPr>
          <w:b/>
          <w:bCs/>
          <w:lang w:val="en-US"/>
        </w:rPr>
        <w:t>CEPP</w:t>
      </w:r>
      <w:r w:rsidRPr="000322E4">
        <w:rPr>
          <w:b/>
          <w:bCs/>
        </w:rPr>
        <w:t xml:space="preserve"> </w:t>
      </w:r>
      <w:r w:rsidRPr="000322E4">
        <w:rPr>
          <w:lang w:val="en-US"/>
        </w:rPr>
        <w:fldChar w:fldCharType="begin" w:fldLock="1"/>
      </w:r>
      <w:r w:rsidR="00C37789" w:rsidRPr="000322E4">
        <w:rPr>
          <w:lang w:val="en-US"/>
        </w:rPr>
        <w:instrText>ADDIN</w:instrText>
      </w:r>
      <w:r w:rsidR="00C37789" w:rsidRPr="000322E4">
        <w:instrText xml:space="preserve"> </w:instrText>
      </w:r>
      <w:r w:rsidR="00C37789" w:rsidRPr="000322E4">
        <w:rPr>
          <w:lang w:val="en-US"/>
        </w:rPr>
        <w:instrText>CSL</w:instrText>
      </w:r>
      <w:r w:rsidR="00C37789" w:rsidRPr="000322E4">
        <w:instrText>_</w:instrText>
      </w:r>
      <w:r w:rsidR="00C37789" w:rsidRPr="000322E4">
        <w:rPr>
          <w:lang w:val="en-US"/>
        </w:rPr>
        <w:instrText>CITATION</w:instrText>
      </w:r>
      <w:r w:rsidR="00C37789" w:rsidRPr="000322E4">
        <w:instrText xml:space="preserve"> {"</w:instrText>
      </w:r>
      <w:r w:rsidR="00C37789" w:rsidRPr="000322E4">
        <w:rPr>
          <w:lang w:val="en-US"/>
        </w:rPr>
        <w:instrText>citationItems</w:instrText>
      </w:r>
      <w:r w:rsidR="00C37789" w:rsidRPr="000322E4">
        <w:instrText>":[{"</w:instrText>
      </w:r>
      <w:r w:rsidR="00C37789" w:rsidRPr="000322E4">
        <w:rPr>
          <w:lang w:val="en-US"/>
        </w:rPr>
        <w:instrText>id</w:instrText>
      </w:r>
      <w:r w:rsidR="00C37789" w:rsidRPr="000322E4">
        <w:instrText>":"</w:instrText>
      </w:r>
      <w:r w:rsidR="00C37789" w:rsidRPr="000322E4">
        <w:rPr>
          <w:lang w:val="en-US"/>
        </w:rPr>
        <w:instrText>ITEM</w:instrText>
      </w:r>
      <w:r w:rsidR="00C37789" w:rsidRPr="000322E4">
        <w:instrText>-1","</w:instrText>
      </w:r>
      <w:r w:rsidR="00C37789" w:rsidRPr="000322E4">
        <w:rPr>
          <w:lang w:val="en-US"/>
        </w:rPr>
        <w:instrText>itemData</w:instrText>
      </w:r>
      <w:r w:rsidR="00C37789" w:rsidRPr="000322E4">
        <w:instrText>":{"</w:instrText>
      </w:r>
      <w:r w:rsidR="00C37789" w:rsidRPr="000322E4">
        <w:rPr>
          <w:lang w:val="en-US"/>
        </w:rPr>
        <w:instrText>DOI</w:instrText>
      </w:r>
      <w:r w:rsidR="00C37789" w:rsidRPr="000322E4">
        <w:instrText>":"10.1182/</w:instrText>
      </w:r>
      <w:r w:rsidR="00C37789" w:rsidRPr="000322E4">
        <w:rPr>
          <w:lang w:val="en-US"/>
        </w:rPr>
        <w:instrText>blood</w:instrText>
      </w:r>
      <w:r w:rsidR="00C37789" w:rsidRPr="000322E4">
        <w:instrText>.</w:instrText>
      </w:r>
      <w:r w:rsidR="00C37789" w:rsidRPr="000322E4">
        <w:rPr>
          <w:lang w:val="en-US"/>
        </w:rPr>
        <w:instrText>v</w:instrText>
      </w:r>
      <w:r w:rsidR="00C37789" w:rsidRPr="000322E4">
        <w:instrText>76.7.1293.</w:instrText>
      </w:r>
      <w:r w:rsidR="00C37789" w:rsidRPr="000322E4">
        <w:rPr>
          <w:lang w:val="en-US"/>
        </w:rPr>
        <w:instrText>bloodjournal</w:instrText>
      </w:r>
      <w:r w:rsidR="00C37789" w:rsidRPr="000322E4">
        <w:instrText>7671293","</w:instrText>
      </w:r>
      <w:r w:rsidR="00C37789" w:rsidRPr="000322E4">
        <w:rPr>
          <w:lang w:val="en-US"/>
        </w:rPr>
        <w:instrText>ISSN</w:instrText>
      </w:r>
      <w:r w:rsidR="00C37789" w:rsidRPr="000322E4">
        <w:instrText>":"00064971","</w:instrText>
      </w:r>
      <w:r w:rsidR="00C37789" w:rsidRPr="000322E4">
        <w:rPr>
          <w:lang w:val="en-US"/>
        </w:rPr>
        <w:instrText>PMID</w:instrText>
      </w:r>
      <w:r w:rsidR="00C37789" w:rsidRPr="000322E4">
        <w:instrText>":"2207307","</w:instrText>
      </w:r>
      <w:r w:rsidR="00C37789" w:rsidRPr="000322E4">
        <w:rPr>
          <w:lang w:val="en-US"/>
        </w:rPr>
        <w:instrText>abstract</w:instrText>
      </w:r>
      <w:r w:rsidR="00C37789" w:rsidRPr="000322E4">
        <w:instrText>":"</w:instrText>
      </w:r>
      <w:r w:rsidR="00C37789" w:rsidRPr="000322E4">
        <w:rPr>
          <w:lang w:val="en-US"/>
        </w:rPr>
        <w:instrText>Eighty</w:instrText>
      </w:r>
      <w:r w:rsidR="00C37789" w:rsidRPr="000322E4">
        <w:instrText>-</w:instrText>
      </w:r>
      <w:r w:rsidR="00C37789" w:rsidRPr="000322E4">
        <w:rPr>
          <w:lang w:val="en-US"/>
        </w:rPr>
        <w:instrText>three</w:instrText>
      </w:r>
      <w:r w:rsidR="00C37789" w:rsidRPr="000322E4">
        <w:instrText xml:space="preserve"> </w:instrText>
      </w:r>
      <w:r w:rsidR="00C37789" w:rsidRPr="000322E4">
        <w:rPr>
          <w:lang w:val="en-US"/>
        </w:rPr>
        <w:instrText>patients</w:instrText>
      </w:r>
      <w:r w:rsidR="00C37789" w:rsidRPr="000322E4">
        <w:instrText xml:space="preserve"> </w:instrText>
      </w:r>
      <w:r w:rsidR="00C37789" w:rsidRPr="000322E4">
        <w:rPr>
          <w:lang w:val="en-US"/>
        </w:rPr>
        <w:instrText>with</w:instrText>
      </w:r>
      <w:r w:rsidR="00C37789" w:rsidRPr="000322E4">
        <w:instrText xml:space="preserve"> </w:instrText>
      </w:r>
      <w:r w:rsidR="00C37789" w:rsidRPr="000322E4">
        <w:rPr>
          <w:lang w:val="en-US"/>
        </w:rPr>
        <w:instrText>intermediate</w:instrText>
      </w:r>
      <w:r w:rsidR="00C37789" w:rsidRPr="000322E4">
        <w:instrText xml:space="preserve">- </w:instrText>
      </w:r>
      <w:r w:rsidR="00C37789" w:rsidRPr="000322E4">
        <w:rPr>
          <w:lang w:val="en-US"/>
        </w:rPr>
        <w:instrText>or</w:instrText>
      </w:r>
      <w:r w:rsidR="00C37789" w:rsidRPr="000322E4">
        <w:instrText xml:space="preserve"> </w:instrText>
      </w:r>
      <w:r w:rsidR="00C37789" w:rsidRPr="000322E4">
        <w:rPr>
          <w:lang w:val="en-US"/>
        </w:rPr>
        <w:instrText>high</w:instrText>
      </w:r>
      <w:r w:rsidR="00C37789" w:rsidRPr="000322E4">
        <w:instrText>-</w:instrText>
      </w:r>
      <w:r w:rsidR="00C37789" w:rsidRPr="000322E4">
        <w:rPr>
          <w:lang w:val="en-US"/>
        </w:rPr>
        <w:instrText>grade</w:instrText>
      </w:r>
      <w:r w:rsidR="00C37789" w:rsidRPr="000322E4">
        <w:instrText xml:space="preserve"> </w:instrText>
      </w:r>
      <w:r w:rsidR="00C37789" w:rsidRPr="000322E4">
        <w:rPr>
          <w:lang w:val="en-US"/>
        </w:rPr>
        <w:instrText>non</w:instrText>
      </w:r>
      <w:r w:rsidR="00C37789" w:rsidRPr="000322E4">
        <w:instrText>-</w:instrText>
      </w:r>
      <w:r w:rsidR="00C37789" w:rsidRPr="000322E4">
        <w:rPr>
          <w:lang w:val="en-US"/>
        </w:rPr>
        <w:instrText>Hodgkin</w:instrText>
      </w:r>
      <w:r w:rsidR="00C37789" w:rsidRPr="000322E4">
        <w:instrText>'</w:instrText>
      </w:r>
      <w:r w:rsidR="00C37789" w:rsidRPr="000322E4">
        <w:rPr>
          <w:lang w:val="en-US"/>
        </w:rPr>
        <w:instrText>s</w:instrText>
      </w:r>
      <w:r w:rsidR="00C37789" w:rsidRPr="000322E4">
        <w:instrText xml:space="preserve"> </w:instrText>
      </w:r>
      <w:r w:rsidR="00C37789" w:rsidRPr="000322E4">
        <w:rPr>
          <w:lang w:val="en-US"/>
        </w:rPr>
        <w:instrText>lymphoma</w:instrText>
      </w:r>
      <w:r w:rsidR="00C37789" w:rsidRPr="000322E4">
        <w:instrText xml:space="preserve"> </w:instrText>
      </w:r>
      <w:r w:rsidR="00C37789" w:rsidRPr="000322E4">
        <w:rPr>
          <w:lang w:val="en-US"/>
        </w:rPr>
        <w:instrText>were</w:instrText>
      </w:r>
      <w:r w:rsidR="00C37789" w:rsidRPr="000322E4">
        <w:instrText xml:space="preserve"> </w:instrText>
      </w:r>
      <w:r w:rsidR="00C37789" w:rsidRPr="000322E4">
        <w:rPr>
          <w:lang w:val="en-US"/>
        </w:rPr>
        <w:instrText>treated</w:instrText>
      </w:r>
      <w:r w:rsidR="00C37789" w:rsidRPr="000322E4">
        <w:instrText xml:space="preserve"> </w:instrText>
      </w:r>
      <w:r w:rsidR="00C37789" w:rsidRPr="000322E4">
        <w:rPr>
          <w:lang w:val="en-US"/>
        </w:rPr>
        <w:instrText>with</w:instrText>
      </w:r>
      <w:r w:rsidR="00C37789" w:rsidRPr="000322E4">
        <w:instrText xml:space="preserve"> </w:instrText>
      </w:r>
      <w:r w:rsidR="00C37789" w:rsidRPr="000322E4">
        <w:rPr>
          <w:lang w:val="en-US"/>
        </w:rPr>
        <w:instrText>CEPP</w:instrText>
      </w:r>
      <w:r w:rsidR="00C37789" w:rsidRPr="000322E4">
        <w:instrText>(</w:instrText>
      </w:r>
      <w:r w:rsidR="00C37789" w:rsidRPr="000322E4">
        <w:rPr>
          <w:lang w:val="en-US"/>
        </w:rPr>
        <w:instrText>B</w:instrText>
      </w:r>
      <w:r w:rsidR="00C37789" w:rsidRPr="000322E4">
        <w:instrText>) (</w:instrText>
      </w:r>
      <w:r w:rsidR="00C37789" w:rsidRPr="000322E4">
        <w:rPr>
          <w:lang w:val="en-US"/>
        </w:rPr>
        <w:instrText>cyclophosphamide</w:instrText>
      </w:r>
      <w:r w:rsidR="00C37789" w:rsidRPr="000322E4">
        <w:instrText xml:space="preserve">, </w:instrText>
      </w:r>
      <w:r w:rsidR="00C37789" w:rsidRPr="000322E4">
        <w:rPr>
          <w:lang w:val="en-US"/>
        </w:rPr>
        <w:instrText>etoposide</w:instrText>
      </w:r>
      <w:r w:rsidR="00C37789" w:rsidRPr="000322E4">
        <w:instrText xml:space="preserve"> [</w:instrText>
      </w:r>
      <w:r w:rsidR="00C37789" w:rsidRPr="000322E4">
        <w:rPr>
          <w:lang w:val="en-US"/>
        </w:rPr>
        <w:instrText>VP</w:instrText>
      </w:r>
      <w:r w:rsidR="00C37789" w:rsidRPr="000322E4">
        <w:instrText xml:space="preserve">-16], </w:instrText>
      </w:r>
      <w:r w:rsidR="00C37789" w:rsidRPr="000322E4">
        <w:rPr>
          <w:lang w:val="en-US"/>
        </w:rPr>
        <w:instrText>procarbazine</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prednisone</w:instrText>
      </w:r>
      <w:r w:rsidR="00C37789" w:rsidRPr="000322E4">
        <w:instrText xml:space="preserve"> </w:instrText>
      </w:r>
      <w:r w:rsidR="00C37789" w:rsidRPr="000322E4">
        <w:rPr>
          <w:lang w:val="en-US"/>
        </w:rPr>
        <w:instrText>with</w:instrText>
      </w:r>
      <w:r w:rsidR="00C37789" w:rsidRPr="000322E4">
        <w:instrText xml:space="preserve"> </w:instrText>
      </w:r>
      <w:r w:rsidR="00C37789" w:rsidRPr="000322E4">
        <w:rPr>
          <w:lang w:val="en-US"/>
        </w:rPr>
        <w:instrText>or</w:instrText>
      </w:r>
      <w:r w:rsidR="00C37789" w:rsidRPr="000322E4">
        <w:instrText xml:space="preserve"> </w:instrText>
      </w:r>
      <w:r w:rsidR="00C37789" w:rsidRPr="000322E4">
        <w:rPr>
          <w:lang w:val="en-US"/>
        </w:rPr>
        <w:instrText>without</w:instrText>
      </w:r>
      <w:r w:rsidR="00C37789" w:rsidRPr="000322E4">
        <w:instrText xml:space="preserve"> </w:instrText>
      </w:r>
      <w:r w:rsidR="00C37789" w:rsidRPr="000322E4">
        <w:rPr>
          <w:lang w:val="en-US"/>
        </w:rPr>
        <w:instrText>bleomycin</w:instrText>
      </w:r>
      <w:r w:rsidR="00C37789" w:rsidRPr="000322E4">
        <w:instrText xml:space="preserve">) </w:instrText>
      </w:r>
      <w:r w:rsidR="00C37789" w:rsidRPr="000322E4">
        <w:rPr>
          <w:lang w:val="en-US"/>
        </w:rPr>
        <w:instrText>chemotherapy</w:instrText>
      </w:r>
      <w:r w:rsidR="00C37789" w:rsidRPr="000322E4">
        <w:instrText xml:space="preserve"> </w:instrText>
      </w:r>
      <w:r w:rsidR="00C37789" w:rsidRPr="000322E4">
        <w:rPr>
          <w:lang w:val="en-US"/>
        </w:rPr>
        <w:instrText>at</w:instrText>
      </w:r>
      <w:r w:rsidR="00C37789" w:rsidRPr="000322E4">
        <w:instrText xml:space="preserve"> </w:instrText>
      </w:r>
      <w:r w:rsidR="00C37789" w:rsidRPr="000322E4">
        <w:rPr>
          <w:lang w:val="en-US"/>
        </w:rPr>
        <w:instrText>Stanford</w:instrText>
      </w:r>
      <w:r w:rsidR="00C37789" w:rsidRPr="000322E4">
        <w:instrText xml:space="preserve"> </w:instrText>
      </w:r>
      <w:r w:rsidR="00C37789" w:rsidRPr="000322E4">
        <w:rPr>
          <w:lang w:val="en-US"/>
        </w:rPr>
        <w:instrText>University</w:instrText>
      </w:r>
      <w:r w:rsidR="00C37789" w:rsidRPr="000322E4">
        <w:instrText xml:space="preserve"> </w:instrText>
      </w:r>
      <w:r w:rsidR="00C37789" w:rsidRPr="000322E4">
        <w:rPr>
          <w:lang w:val="en-US"/>
        </w:rPr>
        <w:instrText>Medical</w:instrText>
      </w:r>
      <w:r w:rsidR="00C37789" w:rsidRPr="000322E4">
        <w:instrText xml:space="preserve"> </w:instrText>
      </w:r>
      <w:r w:rsidR="00C37789" w:rsidRPr="000322E4">
        <w:rPr>
          <w:lang w:val="en-US"/>
        </w:rPr>
        <w:instrText>Center</w:instrText>
      </w:r>
      <w:r w:rsidR="00C37789" w:rsidRPr="000322E4">
        <w:instrText xml:space="preserve"> (</w:instrText>
      </w:r>
      <w:r w:rsidR="00C37789" w:rsidRPr="000322E4">
        <w:rPr>
          <w:lang w:val="en-US"/>
        </w:rPr>
        <w:instrText>Stanford</w:instrText>
      </w:r>
      <w:r w:rsidR="00C37789" w:rsidRPr="000322E4">
        <w:instrText xml:space="preserve">, </w:instrText>
      </w:r>
      <w:r w:rsidR="00C37789" w:rsidRPr="000322E4">
        <w:rPr>
          <w:lang w:val="en-US"/>
        </w:rPr>
        <w:instrText>CA</w:instrText>
      </w:r>
      <w:r w:rsidR="00C37789" w:rsidRPr="000322E4">
        <w:instrText xml:space="preserve">) </w:instrText>
      </w:r>
      <w:r w:rsidR="00C37789" w:rsidRPr="000322E4">
        <w:rPr>
          <w:lang w:val="en-US"/>
        </w:rPr>
        <w:instrText>from</w:instrText>
      </w:r>
      <w:r w:rsidR="00C37789" w:rsidRPr="000322E4">
        <w:instrText xml:space="preserve"> </w:instrText>
      </w:r>
      <w:r w:rsidR="00C37789" w:rsidRPr="000322E4">
        <w:rPr>
          <w:lang w:val="en-US"/>
        </w:rPr>
        <w:instrText>January</w:instrText>
      </w:r>
      <w:r w:rsidR="00C37789" w:rsidRPr="000322E4">
        <w:instrText xml:space="preserve"> 1982 </w:instrText>
      </w:r>
      <w:r w:rsidR="00C37789" w:rsidRPr="000322E4">
        <w:rPr>
          <w:lang w:val="en-US"/>
        </w:rPr>
        <w:instrText>through</w:instrText>
      </w:r>
      <w:r w:rsidR="00C37789" w:rsidRPr="000322E4">
        <w:instrText xml:space="preserve"> </w:instrText>
      </w:r>
      <w:r w:rsidR="00C37789" w:rsidRPr="000322E4">
        <w:rPr>
          <w:lang w:val="en-US"/>
        </w:rPr>
        <w:instrText>June</w:instrText>
      </w:r>
      <w:r w:rsidR="00C37789" w:rsidRPr="000322E4">
        <w:instrText xml:space="preserve"> 1989. </w:instrText>
      </w:r>
      <w:r w:rsidR="00C37789" w:rsidRPr="000322E4">
        <w:rPr>
          <w:lang w:val="en-US"/>
        </w:rPr>
        <w:instrText>Sixty</w:instrText>
      </w:r>
      <w:r w:rsidR="00C37789" w:rsidRPr="000322E4">
        <w:instrText>-</w:instrText>
      </w:r>
      <w:r w:rsidR="00C37789" w:rsidRPr="000322E4">
        <w:rPr>
          <w:lang w:val="en-US"/>
        </w:rPr>
        <w:instrText>nine</w:instrText>
      </w:r>
      <w:r w:rsidR="00C37789" w:rsidRPr="000322E4">
        <w:instrText xml:space="preserve"> </w:instrText>
      </w:r>
      <w:r w:rsidR="00C37789" w:rsidRPr="000322E4">
        <w:rPr>
          <w:lang w:val="en-US"/>
        </w:rPr>
        <w:instrText>received</w:instrText>
      </w:r>
      <w:r w:rsidR="00C37789" w:rsidRPr="000322E4">
        <w:instrText xml:space="preserve"> </w:instrText>
      </w:r>
      <w:r w:rsidR="00C37789" w:rsidRPr="000322E4">
        <w:rPr>
          <w:lang w:val="en-US"/>
        </w:rPr>
        <w:instrText>CEPP</w:instrText>
      </w:r>
      <w:r w:rsidR="00C37789" w:rsidRPr="000322E4">
        <w:instrText>(</w:instrText>
      </w:r>
      <w:r w:rsidR="00C37789" w:rsidRPr="000322E4">
        <w:rPr>
          <w:lang w:val="en-US"/>
        </w:rPr>
        <w:instrText>B</w:instrText>
      </w:r>
      <w:r w:rsidR="00C37789" w:rsidRPr="000322E4">
        <w:instrText xml:space="preserve">) </w:instrText>
      </w:r>
      <w:r w:rsidR="00C37789" w:rsidRPr="000322E4">
        <w:rPr>
          <w:lang w:val="en-US"/>
        </w:rPr>
        <w:instrText>as</w:instrText>
      </w:r>
      <w:r w:rsidR="00C37789" w:rsidRPr="000322E4">
        <w:instrText xml:space="preserve"> </w:instrText>
      </w:r>
      <w:r w:rsidR="00C37789" w:rsidRPr="000322E4">
        <w:rPr>
          <w:lang w:val="en-US"/>
        </w:rPr>
        <w:instrText>second</w:instrText>
      </w:r>
      <w:r w:rsidR="00C37789" w:rsidRPr="000322E4">
        <w:instrText>-</w:instrText>
      </w:r>
      <w:r w:rsidR="00C37789" w:rsidRPr="000322E4">
        <w:rPr>
          <w:lang w:val="en-US"/>
        </w:rPr>
        <w:instrText>line</w:instrText>
      </w:r>
      <w:r w:rsidR="00C37789" w:rsidRPr="000322E4">
        <w:instrText xml:space="preserve"> </w:instrText>
      </w:r>
      <w:r w:rsidR="00C37789" w:rsidRPr="000322E4">
        <w:rPr>
          <w:lang w:val="en-US"/>
        </w:rPr>
        <w:instrText>or</w:instrText>
      </w:r>
      <w:r w:rsidR="00C37789" w:rsidRPr="000322E4">
        <w:instrText xml:space="preserve"> </w:instrText>
      </w:r>
      <w:r w:rsidR="00C37789" w:rsidRPr="000322E4">
        <w:rPr>
          <w:lang w:val="en-US"/>
        </w:rPr>
        <w:instrText>subsequent</w:instrText>
      </w:r>
      <w:r w:rsidR="00C37789" w:rsidRPr="000322E4">
        <w:instrText xml:space="preserve"> </w:instrText>
      </w:r>
      <w:r w:rsidR="00C37789" w:rsidRPr="000322E4">
        <w:rPr>
          <w:lang w:val="en-US"/>
        </w:rPr>
        <w:instrText>therapy</w:instrText>
      </w:r>
      <w:r w:rsidR="00C37789" w:rsidRPr="000322E4">
        <w:instrText xml:space="preserve"> </w:instrText>
      </w:r>
      <w:r w:rsidR="00C37789" w:rsidRPr="000322E4">
        <w:rPr>
          <w:lang w:val="en-US"/>
        </w:rPr>
        <w:instrText>after</w:instrText>
      </w:r>
      <w:r w:rsidR="00C37789" w:rsidRPr="000322E4">
        <w:instrText xml:space="preserve"> </w:instrText>
      </w:r>
      <w:r w:rsidR="00C37789" w:rsidRPr="000322E4">
        <w:rPr>
          <w:lang w:val="en-US"/>
        </w:rPr>
        <w:instrText>relapse</w:instrText>
      </w:r>
      <w:r w:rsidR="00C37789" w:rsidRPr="000322E4">
        <w:instrText xml:space="preserve"> </w:instrText>
      </w:r>
      <w:r w:rsidR="00C37789" w:rsidRPr="000322E4">
        <w:rPr>
          <w:lang w:val="en-US"/>
        </w:rPr>
        <w:instrText>from</w:instrText>
      </w:r>
      <w:r w:rsidR="00C37789" w:rsidRPr="000322E4">
        <w:instrText xml:space="preserve"> </w:instrText>
      </w:r>
      <w:r w:rsidR="00C37789" w:rsidRPr="000322E4">
        <w:rPr>
          <w:lang w:val="en-US"/>
        </w:rPr>
        <w:instrText>previous</w:instrText>
      </w:r>
      <w:r w:rsidR="00C37789" w:rsidRPr="000322E4">
        <w:instrText xml:space="preserve"> </w:instrText>
      </w:r>
      <w:r w:rsidR="00C37789" w:rsidRPr="000322E4">
        <w:rPr>
          <w:lang w:val="en-US"/>
        </w:rPr>
        <w:instrText>combination</w:instrText>
      </w:r>
      <w:r w:rsidR="00C37789" w:rsidRPr="000322E4">
        <w:instrText xml:space="preserve"> </w:instrText>
      </w:r>
      <w:r w:rsidR="00C37789" w:rsidRPr="000322E4">
        <w:rPr>
          <w:lang w:val="en-US"/>
        </w:rPr>
        <w:instrText>chemotherapy</w:instrText>
      </w:r>
      <w:r w:rsidR="00C37789" w:rsidRPr="000322E4">
        <w:instrText xml:space="preserve">, </w:instrText>
      </w:r>
      <w:r w:rsidR="00C37789" w:rsidRPr="000322E4">
        <w:rPr>
          <w:lang w:val="en-US"/>
        </w:rPr>
        <w:instrText>and</w:instrText>
      </w:r>
      <w:r w:rsidR="00C37789" w:rsidRPr="000322E4">
        <w:instrText xml:space="preserve"> 14 </w:instrText>
      </w:r>
      <w:r w:rsidR="00C37789" w:rsidRPr="000322E4">
        <w:rPr>
          <w:lang w:val="en-US"/>
        </w:rPr>
        <w:instrText>patients</w:instrText>
      </w:r>
      <w:r w:rsidR="00C37789" w:rsidRPr="000322E4">
        <w:instrText xml:space="preserve"> </w:instrText>
      </w:r>
      <w:r w:rsidR="00C37789" w:rsidRPr="000322E4">
        <w:rPr>
          <w:lang w:val="en-US"/>
        </w:rPr>
        <w:instrText>received</w:instrText>
      </w:r>
      <w:r w:rsidR="00C37789" w:rsidRPr="000322E4">
        <w:instrText xml:space="preserve"> </w:instrText>
      </w:r>
      <w:r w:rsidR="00C37789" w:rsidRPr="000322E4">
        <w:rPr>
          <w:lang w:val="en-US"/>
        </w:rPr>
        <w:instrText>CEPP</w:instrText>
      </w:r>
      <w:r w:rsidR="00C37789" w:rsidRPr="000322E4">
        <w:instrText>(</w:instrText>
      </w:r>
      <w:r w:rsidR="00C37789" w:rsidRPr="000322E4">
        <w:rPr>
          <w:lang w:val="en-US"/>
        </w:rPr>
        <w:instrText>B</w:instrText>
      </w:r>
      <w:r w:rsidR="00C37789" w:rsidRPr="000322E4">
        <w:instrText xml:space="preserve">) </w:instrText>
      </w:r>
      <w:r w:rsidR="00C37789" w:rsidRPr="000322E4">
        <w:rPr>
          <w:lang w:val="en-US"/>
        </w:rPr>
        <w:instrText>as</w:instrText>
      </w:r>
      <w:r w:rsidR="00C37789" w:rsidRPr="000322E4">
        <w:instrText xml:space="preserve"> </w:instrText>
      </w:r>
      <w:r w:rsidR="00C37789" w:rsidRPr="000322E4">
        <w:rPr>
          <w:lang w:val="en-US"/>
        </w:rPr>
        <w:instrText>first</w:instrText>
      </w:r>
      <w:r w:rsidR="00C37789" w:rsidRPr="000322E4">
        <w:instrText>-</w:instrText>
      </w:r>
      <w:r w:rsidR="00C37789" w:rsidRPr="000322E4">
        <w:rPr>
          <w:lang w:val="en-US"/>
        </w:rPr>
        <w:instrText>line</w:instrText>
      </w:r>
      <w:r w:rsidR="00C37789" w:rsidRPr="000322E4">
        <w:instrText xml:space="preserve"> </w:instrText>
      </w:r>
      <w:r w:rsidR="00C37789" w:rsidRPr="000322E4">
        <w:rPr>
          <w:lang w:val="en-US"/>
        </w:rPr>
        <w:instrText>therapy</w:instrText>
      </w:r>
      <w:r w:rsidR="00C37789" w:rsidRPr="000322E4">
        <w:instrText xml:space="preserve">. </w:instrText>
      </w:r>
      <w:r w:rsidR="00C37789" w:rsidRPr="000322E4">
        <w:rPr>
          <w:lang w:val="en-US"/>
        </w:rPr>
        <w:instrText>Of</w:instrText>
      </w:r>
      <w:r w:rsidR="00C37789" w:rsidRPr="000322E4">
        <w:instrText xml:space="preserve"> 75 </w:instrText>
      </w:r>
      <w:r w:rsidR="00C37789" w:rsidRPr="000322E4">
        <w:rPr>
          <w:lang w:val="en-US"/>
        </w:rPr>
        <w:instrText>patients</w:instrText>
      </w:r>
      <w:r w:rsidR="00C37789" w:rsidRPr="000322E4">
        <w:instrText xml:space="preserve"> </w:instrText>
      </w:r>
      <w:r w:rsidR="00C37789" w:rsidRPr="000322E4">
        <w:rPr>
          <w:lang w:val="en-US"/>
        </w:rPr>
        <w:instrText>evaluable</w:instrText>
      </w:r>
      <w:r w:rsidR="00C37789" w:rsidRPr="000322E4">
        <w:instrText xml:space="preserve"> </w:instrText>
      </w:r>
      <w:r w:rsidR="00C37789" w:rsidRPr="000322E4">
        <w:rPr>
          <w:lang w:val="en-US"/>
        </w:rPr>
        <w:instrText>for</w:instrText>
      </w:r>
      <w:r w:rsidR="00C37789" w:rsidRPr="000322E4">
        <w:instrText xml:space="preserve"> </w:instrText>
      </w:r>
      <w:r w:rsidR="00C37789" w:rsidRPr="000322E4">
        <w:rPr>
          <w:lang w:val="en-US"/>
        </w:rPr>
        <w:instrText>response</w:instrText>
      </w:r>
      <w:r w:rsidR="00C37789" w:rsidRPr="000322E4">
        <w:instrText xml:space="preserve">, 30 </w:instrText>
      </w:r>
      <w:r w:rsidR="00C37789" w:rsidRPr="000322E4">
        <w:rPr>
          <w:lang w:val="en-US"/>
        </w:rPr>
        <w:instrText>patients</w:instrText>
      </w:r>
      <w:r w:rsidR="00C37789" w:rsidRPr="000322E4">
        <w:instrText xml:space="preserve"> (40%) </w:instrText>
      </w:r>
      <w:r w:rsidR="00C37789" w:rsidRPr="000322E4">
        <w:rPr>
          <w:lang w:val="en-US"/>
        </w:rPr>
        <w:instrText>achieved</w:instrText>
      </w:r>
      <w:r w:rsidR="00C37789" w:rsidRPr="000322E4">
        <w:instrText xml:space="preserve"> </w:instrText>
      </w:r>
      <w:r w:rsidR="00C37789" w:rsidRPr="000322E4">
        <w:rPr>
          <w:lang w:val="en-US"/>
        </w:rPr>
        <w:instrText>a</w:instrText>
      </w:r>
      <w:r w:rsidR="00C37789" w:rsidRPr="000322E4">
        <w:instrText xml:space="preserve"> </w:instrText>
      </w:r>
      <w:r w:rsidR="00C37789" w:rsidRPr="000322E4">
        <w:rPr>
          <w:lang w:val="en-US"/>
        </w:rPr>
        <w:instrText>complete</w:instrText>
      </w:r>
      <w:r w:rsidR="00C37789" w:rsidRPr="000322E4">
        <w:instrText xml:space="preserve"> </w:instrText>
      </w:r>
      <w:r w:rsidR="00C37789" w:rsidRPr="000322E4">
        <w:rPr>
          <w:lang w:val="en-US"/>
        </w:rPr>
        <w:instrText>response</w:instrText>
      </w:r>
      <w:r w:rsidR="00C37789" w:rsidRPr="000322E4">
        <w:instrText xml:space="preserve"> (</w:instrText>
      </w:r>
      <w:r w:rsidR="00C37789" w:rsidRPr="000322E4">
        <w:rPr>
          <w:lang w:val="en-US"/>
        </w:rPr>
        <w:instrText>CR</w:instrText>
      </w:r>
      <w:r w:rsidR="00C37789" w:rsidRPr="000322E4">
        <w:instrText xml:space="preserve">) </w:instrText>
      </w:r>
      <w:r w:rsidR="00C37789" w:rsidRPr="000322E4">
        <w:rPr>
          <w:lang w:val="en-US"/>
        </w:rPr>
        <w:instrText>and</w:instrText>
      </w:r>
      <w:r w:rsidR="00C37789" w:rsidRPr="000322E4">
        <w:instrText xml:space="preserve"> 24 </w:instrText>
      </w:r>
      <w:r w:rsidR="00C37789" w:rsidRPr="000322E4">
        <w:rPr>
          <w:lang w:val="en-US"/>
        </w:rPr>
        <w:instrText>patients</w:instrText>
      </w:r>
      <w:r w:rsidR="00C37789" w:rsidRPr="000322E4">
        <w:instrText xml:space="preserve"> (32%) </w:instrText>
      </w:r>
      <w:r w:rsidR="00C37789" w:rsidRPr="000322E4">
        <w:rPr>
          <w:lang w:val="en-US"/>
        </w:rPr>
        <w:instrText>achieved</w:instrText>
      </w:r>
      <w:r w:rsidR="00C37789" w:rsidRPr="000322E4">
        <w:instrText xml:space="preserve"> </w:instrText>
      </w:r>
      <w:r w:rsidR="00C37789" w:rsidRPr="000322E4">
        <w:rPr>
          <w:lang w:val="en-US"/>
        </w:rPr>
        <w:instrText>a</w:instrText>
      </w:r>
      <w:r w:rsidR="00C37789" w:rsidRPr="000322E4">
        <w:instrText xml:space="preserve"> </w:instrText>
      </w:r>
      <w:r w:rsidR="00C37789" w:rsidRPr="000322E4">
        <w:rPr>
          <w:lang w:val="en-US"/>
        </w:rPr>
        <w:instrText>partial</w:instrText>
      </w:r>
      <w:r w:rsidR="00C37789" w:rsidRPr="000322E4">
        <w:instrText xml:space="preserve"> </w:instrText>
      </w:r>
      <w:r w:rsidR="00C37789" w:rsidRPr="000322E4">
        <w:rPr>
          <w:lang w:val="en-US"/>
        </w:rPr>
        <w:instrText>response</w:instrText>
      </w:r>
      <w:r w:rsidR="00C37789" w:rsidRPr="000322E4">
        <w:instrText xml:space="preserve"> (</w:instrText>
      </w:r>
      <w:r w:rsidR="00C37789" w:rsidRPr="000322E4">
        <w:rPr>
          <w:lang w:val="en-US"/>
        </w:rPr>
        <w:instrText>PR</w:instrText>
      </w:r>
      <w:r w:rsidR="00C37789" w:rsidRPr="000322E4">
        <w:instrText xml:space="preserve">), </w:instrText>
      </w:r>
      <w:r w:rsidR="00C37789" w:rsidRPr="000322E4">
        <w:rPr>
          <w:lang w:val="en-US"/>
        </w:rPr>
        <w:instrText>providing</w:instrText>
      </w:r>
      <w:r w:rsidR="00C37789" w:rsidRPr="000322E4">
        <w:instrText xml:space="preserve"> </w:instrText>
      </w:r>
      <w:r w:rsidR="00C37789" w:rsidRPr="000322E4">
        <w:rPr>
          <w:lang w:val="en-US"/>
        </w:rPr>
        <w:instrText>an</w:instrText>
      </w:r>
      <w:r w:rsidR="00C37789" w:rsidRPr="000322E4">
        <w:instrText xml:space="preserve"> </w:instrText>
      </w:r>
      <w:r w:rsidR="00C37789" w:rsidRPr="000322E4">
        <w:rPr>
          <w:lang w:val="en-US"/>
        </w:rPr>
        <w:instrText>overall</w:instrText>
      </w:r>
      <w:r w:rsidR="00C37789" w:rsidRPr="000322E4">
        <w:instrText xml:space="preserve"> </w:instrText>
      </w:r>
      <w:r w:rsidR="00C37789" w:rsidRPr="000322E4">
        <w:rPr>
          <w:lang w:val="en-US"/>
        </w:rPr>
        <w:instrText>response</w:instrText>
      </w:r>
      <w:r w:rsidR="00C37789" w:rsidRPr="000322E4">
        <w:instrText xml:space="preserve"> </w:instrText>
      </w:r>
      <w:r w:rsidR="00C37789" w:rsidRPr="000322E4">
        <w:rPr>
          <w:lang w:val="en-US"/>
        </w:rPr>
        <w:instrText>rate</w:instrText>
      </w:r>
      <w:r w:rsidR="00C37789" w:rsidRPr="000322E4">
        <w:instrText xml:space="preserve"> </w:instrText>
      </w:r>
      <w:r w:rsidR="00C37789" w:rsidRPr="000322E4">
        <w:rPr>
          <w:lang w:val="en-US"/>
        </w:rPr>
        <w:instrText>of</w:instrText>
      </w:r>
      <w:r w:rsidR="00C37789" w:rsidRPr="000322E4">
        <w:instrText xml:space="preserve"> 72%. </w:instrText>
      </w:r>
      <w:r w:rsidR="00C37789" w:rsidRPr="000322E4">
        <w:rPr>
          <w:lang w:val="en-US"/>
        </w:rPr>
        <w:instrText>Complete</w:instrText>
      </w:r>
      <w:r w:rsidR="00C37789" w:rsidRPr="000322E4">
        <w:instrText xml:space="preserve"> </w:instrText>
      </w:r>
      <w:r w:rsidR="00C37789" w:rsidRPr="000322E4">
        <w:rPr>
          <w:lang w:val="en-US"/>
        </w:rPr>
        <w:instrText>responses</w:instrText>
      </w:r>
      <w:r w:rsidR="00C37789" w:rsidRPr="000322E4">
        <w:instrText xml:space="preserve"> </w:instrText>
      </w:r>
      <w:r w:rsidR="00C37789" w:rsidRPr="000322E4">
        <w:rPr>
          <w:lang w:val="en-US"/>
        </w:rPr>
        <w:instrText>were</w:instrText>
      </w:r>
      <w:r w:rsidR="00C37789" w:rsidRPr="000322E4">
        <w:instrText xml:space="preserve"> </w:instrText>
      </w:r>
      <w:r w:rsidR="00C37789" w:rsidRPr="000322E4">
        <w:rPr>
          <w:lang w:val="en-US"/>
        </w:rPr>
        <w:instrText>recorded</w:instrText>
      </w:r>
      <w:r w:rsidR="00C37789" w:rsidRPr="000322E4">
        <w:instrText xml:space="preserve"> </w:instrText>
      </w:r>
      <w:r w:rsidR="00C37789" w:rsidRPr="000322E4">
        <w:rPr>
          <w:lang w:val="en-US"/>
        </w:rPr>
        <w:instrText>on</w:instrText>
      </w:r>
      <w:r w:rsidR="00C37789" w:rsidRPr="000322E4">
        <w:instrText xml:space="preserve"> 21 </w:instrText>
      </w:r>
      <w:r w:rsidR="00C37789" w:rsidRPr="000322E4">
        <w:rPr>
          <w:lang w:val="en-US"/>
        </w:rPr>
        <w:instrText>of</w:instrText>
      </w:r>
      <w:r w:rsidR="00C37789" w:rsidRPr="000322E4">
        <w:instrText xml:space="preserve"> 61 (34%) </w:instrText>
      </w:r>
      <w:r w:rsidR="00C37789" w:rsidRPr="000322E4">
        <w:rPr>
          <w:lang w:val="en-US"/>
        </w:rPr>
        <w:instrText>patients</w:instrText>
      </w:r>
      <w:r w:rsidR="00C37789" w:rsidRPr="000322E4">
        <w:instrText xml:space="preserve"> </w:instrText>
      </w:r>
      <w:r w:rsidR="00C37789" w:rsidRPr="000322E4">
        <w:rPr>
          <w:lang w:val="en-US"/>
        </w:rPr>
        <w:instrText>with</w:instrText>
      </w:r>
      <w:r w:rsidR="00C37789" w:rsidRPr="000322E4">
        <w:instrText xml:space="preserve"> </w:instrText>
      </w:r>
      <w:r w:rsidR="00C37789" w:rsidRPr="000322E4">
        <w:rPr>
          <w:lang w:val="en-US"/>
        </w:rPr>
        <w:instrText>recurrent</w:instrText>
      </w:r>
      <w:r w:rsidR="00C37789" w:rsidRPr="000322E4">
        <w:instrText xml:space="preserve"> </w:instrText>
      </w:r>
      <w:r w:rsidR="00C37789" w:rsidRPr="000322E4">
        <w:rPr>
          <w:lang w:val="en-US"/>
        </w:rPr>
        <w:instrText>disease</w:instrText>
      </w:r>
      <w:r w:rsidR="00C37789" w:rsidRPr="000322E4">
        <w:instrText xml:space="preserve"> </w:instrText>
      </w:r>
      <w:r w:rsidR="00C37789" w:rsidRPr="000322E4">
        <w:rPr>
          <w:lang w:val="en-US"/>
        </w:rPr>
        <w:instrText>and</w:instrText>
      </w:r>
      <w:r w:rsidR="00C37789" w:rsidRPr="000322E4">
        <w:instrText xml:space="preserve"> 9 </w:instrText>
      </w:r>
      <w:r w:rsidR="00C37789" w:rsidRPr="000322E4">
        <w:rPr>
          <w:lang w:val="en-US"/>
        </w:rPr>
        <w:instrText>of</w:instrText>
      </w:r>
      <w:r w:rsidR="00C37789" w:rsidRPr="000322E4">
        <w:instrText xml:space="preserve"> </w:instrText>
      </w:r>
      <w:r w:rsidR="00C37789" w:rsidRPr="000322E4">
        <w:rPr>
          <w:lang w:val="en-US"/>
        </w:rPr>
        <w:instrText>the</w:instrText>
      </w:r>
      <w:r w:rsidR="00C37789" w:rsidRPr="000322E4">
        <w:instrText xml:space="preserve"> 14 </w:instrText>
      </w:r>
      <w:r w:rsidR="00C37789" w:rsidRPr="000322E4">
        <w:rPr>
          <w:lang w:val="en-US"/>
        </w:rPr>
        <w:instrText>patients</w:instrText>
      </w:r>
      <w:r w:rsidR="00C37789" w:rsidRPr="000322E4">
        <w:instrText xml:space="preserve"> </w:instrText>
      </w:r>
      <w:r w:rsidR="00C37789" w:rsidRPr="000322E4">
        <w:rPr>
          <w:lang w:val="en-US"/>
        </w:rPr>
        <w:instrText>who</w:instrText>
      </w:r>
      <w:r w:rsidR="00C37789" w:rsidRPr="000322E4">
        <w:instrText xml:space="preserve"> </w:instrText>
      </w:r>
      <w:r w:rsidR="00C37789" w:rsidRPr="000322E4">
        <w:rPr>
          <w:lang w:val="en-US"/>
        </w:rPr>
        <w:instrText>received</w:instrText>
      </w:r>
      <w:r w:rsidR="00C37789" w:rsidRPr="000322E4">
        <w:instrText xml:space="preserve"> </w:instrText>
      </w:r>
      <w:r w:rsidR="00C37789" w:rsidRPr="000322E4">
        <w:rPr>
          <w:lang w:val="en-US"/>
        </w:rPr>
        <w:instrText>CEPP</w:instrText>
      </w:r>
      <w:r w:rsidR="00C37789" w:rsidRPr="000322E4">
        <w:instrText>(</w:instrText>
      </w:r>
      <w:r w:rsidR="00C37789" w:rsidRPr="000322E4">
        <w:rPr>
          <w:lang w:val="en-US"/>
        </w:rPr>
        <w:instrText>B</w:instrText>
      </w:r>
      <w:r w:rsidR="00C37789" w:rsidRPr="000322E4">
        <w:instrText xml:space="preserve">) </w:instrText>
      </w:r>
      <w:r w:rsidR="00C37789" w:rsidRPr="000322E4">
        <w:rPr>
          <w:lang w:val="en-US"/>
        </w:rPr>
        <w:instrText>as</w:instrText>
      </w:r>
      <w:r w:rsidR="00C37789" w:rsidRPr="000322E4">
        <w:instrText xml:space="preserve"> </w:instrText>
      </w:r>
      <w:r w:rsidR="00C37789" w:rsidRPr="000322E4">
        <w:rPr>
          <w:lang w:val="en-US"/>
        </w:rPr>
        <w:instrText>first</w:instrText>
      </w:r>
      <w:r w:rsidR="00C37789" w:rsidRPr="000322E4">
        <w:instrText xml:space="preserve"> </w:instrText>
      </w:r>
      <w:r w:rsidR="00C37789" w:rsidRPr="000322E4">
        <w:rPr>
          <w:lang w:val="en-US"/>
        </w:rPr>
        <w:instrText>line</w:instrText>
      </w:r>
      <w:r w:rsidR="00C37789" w:rsidRPr="000322E4">
        <w:instrText xml:space="preserve"> </w:instrText>
      </w:r>
      <w:r w:rsidR="00C37789" w:rsidRPr="000322E4">
        <w:rPr>
          <w:lang w:val="en-US"/>
        </w:rPr>
        <w:instrText>therapy</w:instrText>
      </w:r>
      <w:r w:rsidR="00C37789" w:rsidRPr="000322E4">
        <w:instrText xml:space="preserve"> (64%). </w:instrText>
      </w:r>
      <w:r w:rsidR="00C37789" w:rsidRPr="000322E4">
        <w:rPr>
          <w:lang w:val="en-US"/>
        </w:rPr>
        <w:instrText>Myelosuppression</w:instrText>
      </w:r>
      <w:r w:rsidR="00C37789" w:rsidRPr="000322E4">
        <w:instrText xml:space="preserve"> </w:instrText>
      </w:r>
      <w:r w:rsidR="00C37789" w:rsidRPr="000322E4">
        <w:rPr>
          <w:lang w:val="en-US"/>
        </w:rPr>
        <w:instrText>was</w:instrText>
      </w:r>
      <w:r w:rsidR="00C37789" w:rsidRPr="000322E4">
        <w:instrText xml:space="preserve"> </w:instrText>
      </w:r>
      <w:r w:rsidR="00C37789" w:rsidRPr="000322E4">
        <w:rPr>
          <w:lang w:val="en-US"/>
        </w:rPr>
        <w:instrText>the</w:instrText>
      </w:r>
      <w:r w:rsidR="00C37789" w:rsidRPr="000322E4">
        <w:instrText xml:space="preserve"> </w:instrText>
      </w:r>
      <w:r w:rsidR="00C37789" w:rsidRPr="000322E4">
        <w:rPr>
          <w:lang w:val="en-US"/>
        </w:rPr>
        <w:instrText>major</w:instrText>
      </w:r>
      <w:r w:rsidR="00C37789" w:rsidRPr="000322E4">
        <w:instrText xml:space="preserve"> </w:instrText>
      </w:r>
      <w:r w:rsidR="00C37789" w:rsidRPr="000322E4">
        <w:rPr>
          <w:lang w:val="en-US"/>
        </w:rPr>
        <w:instrText>side</w:instrText>
      </w:r>
      <w:r w:rsidR="00C37789" w:rsidRPr="000322E4">
        <w:instrText xml:space="preserve"> </w:instrText>
      </w:r>
      <w:r w:rsidR="00C37789" w:rsidRPr="000322E4">
        <w:rPr>
          <w:lang w:val="en-US"/>
        </w:rPr>
        <w:instrText>effect</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treatment</w:instrText>
      </w:r>
      <w:r w:rsidR="00C37789" w:rsidRPr="000322E4">
        <w:instrText xml:space="preserve">, </w:instrText>
      </w:r>
      <w:r w:rsidR="00C37789" w:rsidRPr="000322E4">
        <w:rPr>
          <w:lang w:val="en-US"/>
        </w:rPr>
        <w:instrText>resulting</w:instrText>
      </w:r>
      <w:r w:rsidR="00C37789" w:rsidRPr="000322E4">
        <w:instrText xml:space="preserve"> </w:instrText>
      </w:r>
      <w:r w:rsidR="00C37789" w:rsidRPr="000322E4">
        <w:rPr>
          <w:lang w:val="en-US"/>
        </w:rPr>
        <w:instrText>in</w:instrText>
      </w:r>
      <w:r w:rsidR="00C37789" w:rsidRPr="000322E4">
        <w:instrText xml:space="preserve"> </w:instrText>
      </w:r>
      <w:r w:rsidR="00C37789" w:rsidRPr="000322E4">
        <w:rPr>
          <w:lang w:val="en-US"/>
        </w:rPr>
        <w:instrText>eight</w:instrText>
      </w:r>
      <w:r w:rsidR="00C37789" w:rsidRPr="000322E4">
        <w:instrText xml:space="preserve"> </w:instrText>
      </w:r>
      <w:r w:rsidR="00C37789" w:rsidRPr="000322E4">
        <w:rPr>
          <w:lang w:val="en-US"/>
        </w:rPr>
        <w:instrText>neutropenic</w:instrText>
      </w:r>
      <w:r w:rsidR="00C37789" w:rsidRPr="000322E4">
        <w:instrText>-</w:instrText>
      </w:r>
      <w:r w:rsidR="00C37789" w:rsidRPr="000322E4">
        <w:rPr>
          <w:lang w:val="en-US"/>
        </w:rPr>
        <w:instrText>febrile</w:instrText>
      </w:r>
      <w:r w:rsidR="00C37789" w:rsidRPr="000322E4">
        <w:instrText xml:space="preserve"> </w:instrText>
      </w:r>
      <w:r w:rsidR="00C37789" w:rsidRPr="000322E4">
        <w:rPr>
          <w:lang w:val="en-US"/>
        </w:rPr>
        <w:instrText>episodes</w:instrText>
      </w:r>
      <w:r w:rsidR="00C37789" w:rsidRPr="000322E4">
        <w:instrText xml:space="preserve"> </w:instrText>
      </w:r>
      <w:r w:rsidR="00C37789" w:rsidRPr="000322E4">
        <w:rPr>
          <w:lang w:val="en-US"/>
        </w:rPr>
        <w:instrText>from</w:instrText>
      </w:r>
      <w:r w:rsidR="00C37789" w:rsidRPr="000322E4">
        <w:instrText xml:space="preserve"> </w:instrText>
      </w:r>
      <w:r w:rsidR="00C37789" w:rsidRPr="000322E4">
        <w:rPr>
          <w:lang w:val="en-US"/>
        </w:rPr>
        <w:instrText>a</w:instrText>
      </w:r>
      <w:r w:rsidR="00C37789" w:rsidRPr="000322E4">
        <w:instrText xml:space="preserve"> </w:instrText>
      </w:r>
      <w:r w:rsidR="00C37789" w:rsidRPr="000322E4">
        <w:rPr>
          <w:lang w:val="en-US"/>
        </w:rPr>
        <w:instrText>total</w:instrText>
      </w:r>
      <w:r w:rsidR="00C37789" w:rsidRPr="000322E4">
        <w:instrText xml:space="preserve"> </w:instrText>
      </w:r>
      <w:r w:rsidR="00C37789" w:rsidRPr="000322E4">
        <w:rPr>
          <w:lang w:val="en-US"/>
        </w:rPr>
        <w:instrText>of</w:instrText>
      </w:r>
      <w:r w:rsidR="00C37789" w:rsidRPr="000322E4">
        <w:instrText xml:space="preserve"> 253 </w:instrText>
      </w:r>
      <w:r w:rsidR="00C37789" w:rsidRPr="000322E4">
        <w:rPr>
          <w:lang w:val="en-US"/>
        </w:rPr>
        <w:instrText>courses</w:instrText>
      </w:r>
      <w:r w:rsidR="00C37789" w:rsidRPr="000322E4">
        <w:instrText xml:space="preserve">. </w:instrText>
      </w:r>
      <w:r w:rsidR="00C37789" w:rsidRPr="000322E4">
        <w:rPr>
          <w:lang w:val="en-US"/>
        </w:rPr>
        <w:instrText>A</w:instrText>
      </w:r>
      <w:r w:rsidR="00C37789" w:rsidRPr="000322E4">
        <w:instrText xml:space="preserve"> </w:instrText>
      </w:r>
      <w:r w:rsidR="00C37789" w:rsidRPr="000322E4">
        <w:rPr>
          <w:lang w:val="en-US"/>
        </w:rPr>
        <w:instrText>single</w:instrText>
      </w:r>
      <w:r w:rsidR="00C37789" w:rsidRPr="000322E4">
        <w:instrText xml:space="preserve"> </w:instrText>
      </w:r>
      <w:r w:rsidR="00C37789" w:rsidRPr="000322E4">
        <w:rPr>
          <w:lang w:val="en-US"/>
        </w:rPr>
        <w:instrText>fatal</w:instrText>
      </w:r>
      <w:r w:rsidR="00C37789" w:rsidRPr="000322E4">
        <w:instrText xml:space="preserve"> </w:instrText>
      </w:r>
      <w:r w:rsidR="00C37789" w:rsidRPr="000322E4">
        <w:rPr>
          <w:lang w:val="en-US"/>
        </w:rPr>
        <w:instrText>toxic</w:instrText>
      </w:r>
      <w:r w:rsidR="00C37789" w:rsidRPr="000322E4">
        <w:instrText xml:space="preserve"> </w:instrText>
      </w:r>
      <w:r w:rsidR="00C37789" w:rsidRPr="000322E4">
        <w:rPr>
          <w:lang w:val="en-US"/>
        </w:rPr>
        <w:instrText>event</w:instrText>
      </w:r>
      <w:r w:rsidR="00C37789" w:rsidRPr="000322E4">
        <w:instrText xml:space="preserve"> </w:instrText>
      </w:r>
      <w:r w:rsidR="00C37789" w:rsidRPr="000322E4">
        <w:rPr>
          <w:lang w:val="en-US"/>
        </w:rPr>
        <w:instrText>occurred</w:instrText>
      </w:r>
      <w:r w:rsidR="00C37789" w:rsidRPr="000322E4">
        <w:instrText xml:space="preserve"> </w:instrText>
      </w:r>
      <w:r w:rsidR="00C37789" w:rsidRPr="000322E4">
        <w:rPr>
          <w:lang w:val="en-US"/>
        </w:rPr>
        <w:instrText>on</w:instrText>
      </w:r>
      <w:r w:rsidR="00C37789" w:rsidRPr="000322E4">
        <w:instrText xml:space="preserve"> </w:instrText>
      </w:r>
      <w:r w:rsidR="00C37789" w:rsidRPr="000322E4">
        <w:rPr>
          <w:lang w:val="en-US"/>
        </w:rPr>
        <w:instrText>a</w:instrText>
      </w:r>
      <w:r w:rsidR="00C37789" w:rsidRPr="000322E4">
        <w:instrText xml:space="preserve"> </w:instrText>
      </w:r>
      <w:r w:rsidR="00C37789" w:rsidRPr="000322E4">
        <w:rPr>
          <w:lang w:val="en-US"/>
        </w:rPr>
        <w:instrText>patient</w:instrText>
      </w:r>
      <w:r w:rsidR="00C37789" w:rsidRPr="000322E4">
        <w:instrText xml:space="preserve"> </w:instrText>
      </w:r>
      <w:r w:rsidR="00C37789" w:rsidRPr="000322E4">
        <w:rPr>
          <w:lang w:val="en-US"/>
        </w:rPr>
        <w:instrText>who</w:instrText>
      </w:r>
      <w:r w:rsidR="00C37789" w:rsidRPr="000322E4">
        <w:instrText xml:space="preserve"> </w:instrText>
      </w:r>
      <w:r w:rsidR="00C37789" w:rsidRPr="000322E4">
        <w:rPr>
          <w:lang w:val="en-US"/>
        </w:rPr>
        <w:instrText>developed</w:instrText>
      </w:r>
      <w:r w:rsidR="00C37789" w:rsidRPr="000322E4">
        <w:instrText xml:space="preserve"> </w:instrText>
      </w:r>
      <w:r w:rsidR="00C37789" w:rsidRPr="000322E4">
        <w:rPr>
          <w:lang w:val="en-US"/>
        </w:rPr>
        <w:instrText>adult</w:instrText>
      </w:r>
      <w:r w:rsidR="00C37789" w:rsidRPr="000322E4">
        <w:instrText xml:space="preserve"> </w:instrText>
      </w:r>
      <w:r w:rsidR="00C37789" w:rsidRPr="000322E4">
        <w:rPr>
          <w:lang w:val="en-US"/>
        </w:rPr>
        <w:instrText>respiratory</w:instrText>
      </w:r>
      <w:r w:rsidR="00C37789" w:rsidRPr="000322E4">
        <w:instrText xml:space="preserve"> </w:instrText>
      </w:r>
      <w:r w:rsidR="00C37789" w:rsidRPr="000322E4">
        <w:rPr>
          <w:lang w:val="en-US"/>
        </w:rPr>
        <w:instrText>distress</w:instrText>
      </w:r>
      <w:r w:rsidR="00C37789" w:rsidRPr="000322E4">
        <w:instrText xml:space="preserve"> </w:instrText>
      </w:r>
      <w:r w:rsidR="00C37789" w:rsidRPr="000322E4">
        <w:rPr>
          <w:lang w:val="en-US"/>
        </w:rPr>
        <w:instrText>syndrome</w:instrText>
      </w:r>
      <w:r w:rsidR="00C37789" w:rsidRPr="000322E4">
        <w:instrText xml:space="preserve">. </w:instrText>
      </w:r>
      <w:r w:rsidR="00C37789" w:rsidRPr="000322E4">
        <w:rPr>
          <w:lang w:val="en-US"/>
        </w:rPr>
        <w:instrText>Overall</w:instrText>
      </w:r>
      <w:r w:rsidR="00C37789" w:rsidRPr="000322E4">
        <w:instrText xml:space="preserve">, </w:instrText>
      </w:r>
      <w:r w:rsidR="00C37789" w:rsidRPr="000322E4">
        <w:rPr>
          <w:lang w:val="en-US"/>
        </w:rPr>
        <w:instrText>CEPP</w:instrText>
      </w:r>
      <w:r w:rsidR="00C37789" w:rsidRPr="000322E4">
        <w:instrText>(</w:instrText>
      </w:r>
      <w:r w:rsidR="00C37789" w:rsidRPr="000322E4">
        <w:rPr>
          <w:lang w:val="en-US"/>
        </w:rPr>
        <w:instrText>B</w:instrText>
      </w:r>
      <w:r w:rsidR="00C37789" w:rsidRPr="000322E4">
        <w:instrText xml:space="preserve">) </w:instrText>
      </w:r>
      <w:r w:rsidR="00C37789" w:rsidRPr="000322E4">
        <w:rPr>
          <w:lang w:val="en-US"/>
        </w:rPr>
        <w:instrText>was</w:instrText>
      </w:r>
      <w:r w:rsidR="00C37789" w:rsidRPr="000322E4">
        <w:instrText xml:space="preserve"> </w:instrText>
      </w:r>
      <w:r w:rsidR="00C37789" w:rsidRPr="000322E4">
        <w:rPr>
          <w:lang w:val="en-US"/>
        </w:rPr>
        <w:instrText>well</w:instrText>
      </w:r>
      <w:r w:rsidR="00C37789" w:rsidRPr="000322E4">
        <w:instrText>-</w:instrText>
      </w:r>
      <w:r w:rsidR="00C37789" w:rsidRPr="000322E4">
        <w:rPr>
          <w:lang w:val="en-US"/>
        </w:rPr>
        <w:instrText>tolerated</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proved</w:instrText>
      </w:r>
      <w:r w:rsidR="00C37789" w:rsidRPr="000322E4">
        <w:instrText xml:space="preserve"> </w:instrText>
      </w:r>
      <w:r w:rsidR="00C37789" w:rsidRPr="000322E4">
        <w:rPr>
          <w:lang w:val="en-US"/>
        </w:rPr>
        <w:instrText>to</w:instrText>
      </w:r>
      <w:r w:rsidR="00C37789" w:rsidRPr="000322E4">
        <w:instrText xml:space="preserve"> </w:instrText>
      </w:r>
      <w:r w:rsidR="00C37789" w:rsidRPr="000322E4">
        <w:rPr>
          <w:lang w:val="en-US"/>
        </w:rPr>
        <w:instrText>be</w:instrText>
      </w:r>
      <w:r w:rsidR="00C37789" w:rsidRPr="000322E4">
        <w:instrText xml:space="preserve"> </w:instrText>
      </w:r>
      <w:r w:rsidR="00C37789" w:rsidRPr="000322E4">
        <w:rPr>
          <w:lang w:val="en-US"/>
        </w:rPr>
        <w:instrText>effective</w:instrText>
      </w:r>
      <w:r w:rsidR="00C37789" w:rsidRPr="000322E4">
        <w:instrText xml:space="preserve"> </w:instrText>
      </w:r>
      <w:r w:rsidR="00C37789" w:rsidRPr="000322E4">
        <w:rPr>
          <w:lang w:val="en-US"/>
        </w:rPr>
        <w:instrText>palliative</w:instrText>
      </w:r>
      <w:r w:rsidR="00C37789" w:rsidRPr="000322E4">
        <w:instrText xml:space="preserve"> </w:instrText>
      </w:r>
      <w:r w:rsidR="00C37789" w:rsidRPr="000322E4">
        <w:rPr>
          <w:lang w:val="en-US"/>
        </w:rPr>
        <w:instrText>therapy</w:instrText>
      </w:r>
      <w:r w:rsidR="00C37789" w:rsidRPr="000322E4">
        <w:instrText xml:space="preserve"> </w:instrText>
      </w:r>
      <w:r w:rsidR="00C37789" w:rsidRPr="000322E4">
        <w:rPr>
          <w:lang w:val="en-US"/>
        </w:rPr>
        <w:instrText>for</w:instrText>
      </w:r>
      <w:r w:rsidR="00C37789" w:rsidRPr="000322E4">
        <w:instrText xml:space="preserve"> </w:instrText>
      </w:r>
      <w:r w:rsidR="00C37789" w:rsidRPr="000322E4">
        <w:rPr>
          <w:lang w:val="en-US"/>
        </w:rPr>
        <w:instrText>patients</w:instrText>
      </w:r>
      <w:r w:rsidR="00C37789" w:rsidRPr="000322E4">
        <w:instrText xml:space="preserve"> </w:instrText>
      </w:r>
      <w:r w:rsidR="00C37789" w:rsidRPr="000322E4">
        <w:rPr>
          <w:lang w:val="en-US"/>
        </w:rPr>
        <w:instrText>with</w:instrText>
      </w:r>
      <w:r w:rsidR="00C37789" w:rsidRPr="000322E4">
        <w:instrText xml:space="preserve"> </w:instrText>
      </w:r>
      <w:r w:rsidR="00C37789" w:rsidRPr="000322E4">
        <w:rPr>
          <w:lang w:val="en-US"/>
        </w:rPr>
        <w:instrText>non</w:instrText>
      </w:r>
      <w:r w:rsidR="00C37789" w:rsidRPr="000322E4">
        <w:instrText>-</w:instrText>
      </w:r>
      <w:r w:rsidR="00C37789" w:rsidRPr="000322E4">
        <w:rPr>
          <w:lang w:val="en-US"/>
        </w:rPr>
        <w:instrText>Hodgkin</w:instrText>
      </w:r>
      <w:r w:rsidR="00C37789" w:rsidRPr="000322E4">
        <w:instrText>'</w:instrText>
      </w:r>
      <w:r w:rsidR="00C37789" w:rsidRPr="000322E4">
        <w:rPr>
          <w:lang w:val="en-US"/>
        </w:rPr>
        <w:instrText>s</w:instrText>
      </w:r>
      <w:r w:rsidR="00C37789" w:rsidRPr="000322E4">
        <w:instrText xml:space="preserve"> </w:instrText>
      </w:r>
      <w:r w:rsidR="00C37789" w:rsidRPr="000322E4">
        <w:rPr>
          <w:lang w:val="en-US"/>
        </w:rPr>
        <w:instrText>lymphoma</w:instrText>
      </w:r>
      <w:r w:rsidR="00C37789" w:rsidRPr="000322E4">
        <w:instrText xml:space="preserve"> </w:instrText>
      </w:r>
      <w:r w:rsidR="00C37789" w:rsidRPr="000322E4">
        <w:rPr>
          <w:lang w:val="en-US"/>
        </w:rPr>
        <w:instrText>after</w:instrText>
      </w:r>
      <w:r w:rsidR="00C37789" w:rsidRPr="000322E4">
        <w:instrText xml:space="preserve"> </w:instrText>
      </w:r>
      <w:r w:rsidR="00C37789" w:rsidRPr="000322E4">
        <w:rPr>
          <w:lang w:val="en-US"/>
        </w:rPr>
        <w:instrText>relapse</w:instrText>
      </w:r>
      <w:r w:rsidR="00C37789" w:rsidRPr="000322E4">
        <w:instrText xml:space="preserve">. </w:instrText>
      </w:r>
      <w:r w:rsidR="00C37789" w:rsidRPr="000322E4">
        <w:rPr>
          <w:lang w:val="en-US"/>
        </w:rPr>
        <w:instrText>As</w:instrText>
      </w:r>
      <w:r w:rsidR="00C37789" w:rsidRPr="000322E4">
        <w:instrText xml:space="preserve"> </w:instrText>
      </w:r>
      <w:r w:rsidR="00C37789" w:rsidRPr="000322E4">
        <w:rPr>
          <w:lang w:val="en-US"/>
        </w:rPr>
        <w:instrText>such</w:instrText>
      </w:r>
      <w:r w:rsidR="00C37789" w:rsidRPr="000322E4">
        <w:instrText xml:space="preserve">, </w:instrText>
      </w:r>
      <w:r w:rsidR="00C37789" w:rsidRPr="000322E4">
        <w:rPr>
          <w:lang w:val="en-US"/>
        </w:rPr>
        <w:instrText>CEPP</w:instrText>
      </w:r>
      <w:r w:rsidR="00C37789" w:rsidRPr="000322E4">
        <w:instrText>(</w:instrText>
      </w:r>
      <w:r w:rsidR="00C37789" w:rsidRPr="000322E4">
        <w:rPr>
          <w:lang w:val="en-US"/>
        </w:rPr>
        <w:instrText>B</w:instrText>
      </w:r>
      <w:r w:rsidR="00C37789" w:rsidRPr="000322E4">
        <w:instrText xml:space="preserve">) </w:instrText>
      </w:r>
      <w:r w:rsidR="00C37789" w:rsidRPr="000322E4">
        <w:rPr>
          <w:lang w:val="en-US"/>
        </w:rPr>
        <w:instrText>may</w:instrText>
      </w:r>
      <w:r w:rsidR="00C37789" w:rsidRPr="000322E4">
        <w:instrText xml:space="preserve"> </w:instrText>
      </w:r>
      <w:r w:rsidR="00C37789" w:rsidRPr="000322E4">
        <w:rPr>
          <w:lang w:val="en-US"/>
        </w:rPr>
        <w:instrText>be</w:instrText>
      </w:r>
      <w:r w:rsidR="00C37789" w:rsidRPr="000322E4">
        <w:instrText xml:space="preserve"> </w:instrText>
      </w:r>
      <w:r w:rsidR="00C37789" w:rsidRPr="000322E4">
        <w:rPr>
          <w:lang w:val="en-US"/>
        </w:rPr>
        <w:instrText>considered</w:instrText>
      </w:r>
      <w:r w:rsidR="00C37789" w:rsidRPr="000322E4">
        <w:instrText xml:space="preserve"> </w:instrText>
      </w:r>
      <w:r w:rsidR="00C37789" w:rsidRPr="000322E4">
        <w:rPr>
          <w:lang w:val="en-US"/>
        </w:rPr>
        <w:instrText>for</w:instrText>
      </w:r>
      <w:r w:rsidR="00C37789" w:rsidRPr="000322E4">
        <w:instrText xml:space="preserve"> </w:instrText>
      </w:r>
      <w:r w:rsidR="00C37789" w:rsidRPr="000322E4">
        <w:rPr>
          <w:lang w:val="en-US"/>
        </w:rPr>
        <w:instrText>cytoreduction</w:instrText>
      </w:r>
      <w:r w:rsidR="00C37789" w:rsidRPr="000322E4">
        <w:instrText xml:space="preserve"> </w:instrText>
      </w:r>
      <w:r w:rsidR="00C37789" w:rsidRPr="000322E4">
        <w:rPr>
          <w:lang w:val="en-US"/>
        </w:rPr>
        <w:instrText>before</w:instrText>
      </w:r>
      <w:r w:rsidR="00C37789" w:rsidRPr="000322E4">
        <w:instrText xml:space="preserve"> </w:instrText>
      </w:r>
      <w:r w:rsidR="00C37789" w:rsidRPr="000322E4">
        <w:rPr>
          <w:lang w:val="en-US"/>
        </w:rPr>
        <w:instrText>ablative</w:instrText>
      </w:r>
      <w:r w:rsidR="00C37789" w:rsidRPr="000322E4">
        <w:instrText xml:space="preserve"> </w:instrText>
      </w:r>
      <w:r w:rsidR="00C37789" w:rsidRPr="000322E4">
        <w:rPr>
          <w:lang w:val="en-US"/>
        </w:rPr>
        <w:instrText>therapy</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bone</w:instrText>
      </w:r>
      <w:r w:rsidR="00C37789" w:rsidRPr="000322E4">
        <w:instrText xml:space="preserve"> </w:instrText>
      </w:r>
      <w:r w:rsidR="00C37789" w:rsidRPr="000322E4">
        <w:rPr>
          <w:lang w:val="en-US"/>
        </w:rPr>
        <w:instrText>marrow</w:instrText>
      </w:r>
      <w:r w:rsidR="00C37789" w:rsidRPr="000322E4">
        <w:instrText xml:space="preserve"> </w:instrText>
      </w:r>
      <w:r w:rsidR="00C37789" w:rsidRPr="000322E4">
        <w:rPr>
          <w:lang w:val="en-US"/>
        </w:rPr>
        <w:instrText>transplantation</w:instrText>
      </w:r>
      <w:r w:rsidR="00C37789" w:rsidRPr="000322E4">
        <w:instrText xml:space="preserve">. </w:instrText>
      </w:r>
      <w:r w:rsidR="00C37789" w:rsidRPr="000322E4">
        <w:rPr>
          <w:lang w:val="en-US"/>
        </w:rPr>
        <w:instrText>CEPP</w:instrText>
      </w:r>
      <w:r w:rsidR="00C37789" w:rsidRPr="000322E4">
        <w:instrText>(</w:instrText>
      </w:r>
      <w:r w:rsidR="00C37789" w:rsidRPr="000322E4">
        <w:rPr>
          <w:lang w:val="en-US"/>
        </w:rPr>
        <w:instrText>B</w:instrText>
      </w:r>
      <w:r w:rsidR="00C37789" w:rsidRPr="000322E4">
        <w:instrText xml:space="preserve">) </w:instrText>
      </w:r>
      <w:r w:rsidR="00C37789" w:rsidRPr="000322E4">
        <w:rPr>
          <w:lang w:val="en-US"/>
        </w:rPr>
        <w:instrText>may</w:instrText>
      </w:r>
      <w:r w:rsidR="00C37789" w:rsidRPr="000322E4">
        <w:instrText xml:space="preserve"> </w:instrText>
      </w:r>
      <w:r w:rsidR="00C37789" w:rsidRPr="000322E4">
        <w:rPr>
          <w:lang w:val="en-US"/>
        </w:rPr>
        <w:instrText>also</w:instrText>
      </w:r>
      <w:r w:rsidR="00C37789" w:rsidRPr="000322E4">
        <w:instrText xml:space="preserve"> </w:instrText>
      </w:r>
      <w:r w:rsidR="00C37789" w:rsidRPr="000322E4">
        <w:rPr>
          <w:lang w:val="en-US"/>
        </w:rPr>
        <w:instrText>be</w:instrText>
      </w:r>
      <w:r w:rsidR="00C37789" w:rsidRPr="000322E4">
        <w:instrText xml:space="preserve"> </w:instrText>
      </w:r>
      <w:r w:rsidR="00C37789" w:rsidRPr="000322E4">
        <w:rPr>
          <w:lang w:val="en-US"/>
        </w:rPr>
        <w:instrText>considered</w:instrText>
      </w:r>
      <w:r w:rsidR="00C37789" w:rsidRPr="000322E4">
        <w:instrText xml:space="preserve"> </w:instrText>
      </w:r>
      <w:r w:rsidR="00C37789" w:rsidRPr="000322E4">
        <w:rPr>
          <w:lang w:val="en-US"/>
        </w:rPr>
        <w:instrText>for</w:instrText>
      </w:r>
      <w:r w:rsidR="00C37789" w:rsidRPr="000322E4">
        <w:instrText xml:space="preserve"> </w:instrText>
      </w:r>
      <w:r w:rsidR="00C37789" w:rsidRPr="000322E4">
        <w:rPr>
          <w:lang w:val="en-US"/>
        </w:rPr>
        <w:instrText>initial</w:instrText>
      </w:r>
      <w:r w:rsidR="00C37789" w:rsidRPr="000322E4">
        <w:instrText xml:space="preserve"> </w:instrText>
      </w:r>
      <w:r w:rsidR="00C37789" w:rsidRPr="000322E4">
        <w:rPr>
          <w:lang w:val="en-US"/>
        </w:rPr>
        <w:instrText>therapy</w:instrText>
      </w:r>
      <w:r w:rsidR="00C37789" w:rsidRPr="000322E4">
        <w:instrText xml:space="preserve"> </w:instrText>
      </w:r>
      <w:r w:rsidR="00C37789" w:rsidRPr="000322E4">
        <w:rPr>
          <w:lang w:val="en-US"/>
        </w:rPr>
        <w:instrText>in</w:instrText>
      </w:r>
      <w:r w:rsidR="00C37789" w:rsidRPr="000322E4">
        <w:instrText xml:space="preserve"> </w:instrText>
      </w:r>
      <w:r w:rsidR="00C37789" w:rsidRPr="000322E4">
        <w:rPr>
          <w:lang w:val="en-US"/>
        </w:rPr>
        <w:instrText>selected</w:instrText>
      </w:r>
      <w:r w:rsidR="00C37789" w:rsidRPr="000322E4">
        <w:instrText xml:space="preserve"> </w:instrText>
      </w:r>
      <w:r w:rsidR="00C37789" w:rsidRPr="000322E4">
        <w:rPr>
          <w:lang w:val="en-US"/>
        </w:rPr>
        <w:instrText>patients</w:instrText>
      </w:r>
      <w:r w:rsidR="00C37789" w:rsidRPr="000322E4">
        <w:instrText xml:space="preserve"> </w:instrText>
      </w:r>
      <w:r w:rsidR="00C37789" w:rsidRPr="000322E4">
        <w:rPr>
          <w:lang w:val="en-US"/>
        </w:rPr>
        <w:instrText>who</w:instrText>
      </w:r>
      <w:r w:rsidR="00C37789" w:rsidRPr="000322E4">
        <w:instrText xml:space="preserve"> </w:instrText>
      </w:r>
      <w:r w:rsidR="00C37789" w:rsidRPr="000322E4">
        <w:rPr>
          <w:lang w:val="en-US"/>
        </w:rPr>
        <w:instrText>cannot</w:instrText>
      </w:r>
      <w:r w:rsidR="00C37789" w:rsidRPr="000322E4">
        <w:instrText xml:space="preserve"> </w:instrText>
      </w:r>
      <w:r w:rsidR="00C37789" w:rsidRPr="000322E4">
        <w:rPr>
          <w:lang w:val="en-US"/>
        </w:rPr>
        <w:instrText>tolerate</w:instrText>
      </w:r>
      <w:r w:rsidR="00C37789" w:rsidRPr="000322E4">
        <w:instrText xml:space="preserve"> </w:instrText>
      </w:r>
      <w:r w:rsidR="00C37789" w:rsidRPr="000322E4">
        <w:rPr>
          <w:lang w:val="en-US"/>
        </w:rPr>
        <w:instrText>doxorubicin</w:instrText>
      </w:r>
      <w:r w:rsidR="00C37789" w:rsidRPr="000322E4">
        <w:instrText>-</w:instrText>
      </w:r>
      <w:r w:rsidR="00C37789" w:rsidRPr="000322E4">
        <w:rPr>
          <w:lang w:val="en-US"/>
        </w:rPr>
        <w:instrText>containing</w:instrText>
      </w:r>
      <w:r w:rsidR="00C37789" w:rsidRPr="000322E4">
        <w:instrText xml:space="preserve"> </w:instrText>
      </w:r>
      <w:r w:rsidR="00C37789" w:rsidRPr="000322E4">
        <w:rPr>
          <w:lang w:val="en-US"/>
        </w:rPr>
        <w:instrText>regimens</w:instrText>
      </w:r>
      <w:r w:rsidR="00C37789" w:rsidRPr="000322E4">
        <w:instrText>.","</w:instrText>
      </w:r>
      <w:r w:rsidR="00C37789" w:rsidRPr="000322E4">
        <w:rPr>
          <w:lang w:val="en-US"/>
        </w:rPr>
        <w:instrText>author</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Chao</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N</w:instrText>
      </w:r>
      <w:r w:rsidR="00C37789" w:rsidRPr="000322E4">
        <w:instrText xml:space="preserve">. </w:instrText>
      </w:r>
      <w:r w:rsidR="00C37789" w:rsidRPr="000322E4">
        <w:rPr>
          <w:lang w:val="en-US"/>
        </w:rPr>
        <w:instrText>J</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Rosenberg</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S</w:instrText>
      </w:r>
      <w:r w:rsidR="00C37789" w:rsidRPr="000322E4">
        <w:instrText xml:space="preserve">. </w:instrText>
      </w:r>
      <w:r w:rsidR="00C37789" w:rsidRPr="000322E4">
        <w:rPr>
          <w:lang w:val="en-US"/>
        </w:rPr>
        <w:instrText>A</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Horning</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S</w:instrText>
      </w:r>
      <w:r w:rsidR="00C37789" w:rsidRPr="000322E4">
        <w:instrText xml:space="preserve">. </w:instrText>
      </w:r>
      <w:r w:rsidR="00C37789" w:rsidRPr="000322E4">
        <w:rPr>
          <w:lang w:val="en-US"/>
        </w:rPr>
        <w:instrText>J</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container</w:instrText>
      </w:r>
      <w:r w:rsidR="00C37789" w:rsidRPr="000322E4">
        <w:instrText>-</w:instrText>
      </w:r>
      <w:r w:rsidR="00C37789" w:rsidRPr="000322E4">
        <w:rPr>
          <w:lang w:val="en-US"/>
        </w:rPr>
        <w:instrText>title</w:instrText>
      </w:r>
      <w:r w:rsidR="00C37789" w:rsidRPr="000322E4">
        <w:instrText>":"</w:instrText>
      </w:r>
      <w:r w:rsidR="00C37789" w:rsidRPr="000322E4">
        <w:rPr>
          <w:lang w:val="en-US"/>
        </w:rPr>
        <w:instrText>Blood</w:instrText>
      </w:r>
      <w:r w:rsidR="00C37789" w:rsidRPr="000322E4">
        <w:instrText>","</w:instrText>
      </w:r>
      <w:r w:rsidR="00C37789" w:rsidRPr="000322E4">
        <w:rPr>
          <w:lang w:val="en-US"/>
        </w:rPr>
        <w:instrText>id</w:instrText>
      </w:r>
      <w:r w:rsidR="00C37789" w:rsidRPr="000322E4">
        <w:instrText>":"</w:instrText>
      </w:r>
      <w:r w:rsidR="00C37789" w:rsidRPr="000322E4">
        <w:rPr>
          <w:lang w:val="en-US"/>
        </w:rPr>
        <w:instrText>ITEM</w:instrText>
      </w:r>
      <w:r w:rsidR="00C37789" w:rsidRPr="000322E4">
        <w:instrText>-1","</w:instrText>
      </w:r>
      <w:r w:rsidR="00C37789" w:rsidRPr="000322E4">
        <w:rPr>
          <w:lang w:val="en-US"/>
        </w:rPr>
        <w:instrText>issue</w:instrText>
      </w:r>
      <w:r w:rsidR="00C37789" w:rsidRPr="000322E4">
        <w:instrText>":"7","</w:instrText>
      </w:r>
      <w:r w:rsidR="00C37789" w:rsidRPr="000322E4">
        <w:rPr>
          <w:lang w:val="en-US"/>
        </w:rPr>
        <w:instrText>issued</w:instrText>
      </w:r>
      <w:r w:rsidR="00C37789" w:rsidRPr="000322E4">
        <w:instrText>":{"</w:instrText>
      </w:r>
      <w:r w:rsidR="00C37789" w:rsidRPr="000322E4">
        <w:rPr>
          <w:lang w:val="en-US"/>
        </w:rPr>
        <w:instrText>date</w:instrText>
      </w:r>
      <w:r w:rsidR="00C37789" w:rsidRPr="000322E4">
        <w:instrText>-</w:instrText>
      </w:r>
      <w:r w:rsidR="00C37789" w:rsidRPr="000322E4">
        <w:rPr>
          <w:lang w:val="en-US"/>
        </w:rPr>
        <w:instrText>parts</w:instrText>
      </w:r>
      <w:r w:rsidR="00C37789" w:rsidRPr="000322E4">
        <w:instrText>":[["1990"]]},"</w:instrText>
      </w:r>
      <w:r w:rsidR="00C37789" w:rsidRPr="000322E4">
        <w:rPr>
          <w:lang w:val="en-US"/>
        </w:rPr>
        <w:instrText>page</w:instrText>
      </w:r>
      <w:r w:rsidR="00C37789" w:rsidRPr="000322E4">
        <w:instrText>":"1293-1298","</w:instrText>
      </w:r>
      <w:r w:rsidR="00C37789" w:rsidRPr="000322E4">
        <w:rPr>
          <w:lang w:val="en-US"/>
        </w:rPr>
        <w:instrText>title</w:instrText>
      </w:r>
      <w:r w:rsidR="00C37789" w:rsidRPr="000322E4">
        <w:instrText>":"</w:instrText>
      </w:r>
      <w:r w:rsidR="00C37789" w:rsidRPr="000322E4">
        <w:rPr>
          <w:lang w:val="en-US"/>
        </w:rPr>
        <w:instrText>CEPP</w:instrText>
      </w:r>
      <w:r w:rsidR="00C37789" w:rsidRPr="000322E4">
        <w:instrText>(</w:instrText>
      </w:r>
      <w:r w:rsidR="00C37789" w:rsidRPr="000322E4">
        <w:rPr>
          <w:lang w:val="en-US"/>
        </w:rPr>
        <w:instrText>B</w:instrText>
      </w:r>
      <w:r w:rsidR="00C37789" w:rsidRPr="000322E4">
        <w:instrText xml:space="preserve">): </w:instrText>
      </w:r>
      <w:r w:rsidR="00C37789" w:rsidRPr="000322E4">
        <w:rPr>
          <w:lang w:val="en-US"/>
        </w:rPr>
        <w:instrText>An</w:instrText>
      </w:r>
      <w:r w:rsidR="00C37789" w:rsidRPr="000322E4">
        <w:instrText xml:space="preserve"> </w:instrText>
      </w:r>
      <w:r w:rsidR="00C37789" w:rsidRPr="000322E4">
        <w:rPr>
          <w:lang w:val="en-US"/>
        </w:rPr>
        <w:instrText>effective</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well</w:instrText>
      </w:r>
      <w:r w:rsidR="00C37789" w:rsidRPr="000322E4">
        <w:instrText>-</w:instrText>
      </w:r>
      <w:r w:rsidR="00C37789" w:rsidRPr="000322E4">
        <w:rPr>
          <w:lang w:val="en-US"/>
        </w:rPr>
        <w:instrText>tolerated</w:instrText>
      </w:r>
      <w:r w:rsidR="00C37789" w:rsidRPr="000322E4">
        <w:instrText xml:space="preserve"> </w:instrText>
      </w:r>
      <w:r w:rsidR="00C37789" w:rsidRPr="000322E4">
        <w:rPr>
          <w:lang w:val="en-US"/>
        </w:rPr>
        <w:instrText>regimen</w:instrText>
      </w:r>
      <w:r w:rsidR="00C37789" w:rsidRPr="000322E4">
        <w:instrText xml:space="preserve"> </w:instrText>
      </w:r>
      <w:r w:rsidR="00C37789" w:rsidRPr="000322E4">
        <w:rPr>
          <w:lang w:val="en-US"/>
        </w:rPr>
        <w:instrText>in</w:instrText>
      </w:r>
      <w:r w:rsidR="00C37789" w:rsidRPr="000322E4">
        <w:instrText xml:space="preserve"> </w:instrText>
      </w:r>
      <w:r w:rsidR="00C37789" w:rsidRPr="000322E4">
        <w:rPr>
          <w:lang w:val="en-US"/>
        </w:rPr>
        <w:instrText>poor</w:instrText>
      </w:r>
      <w:r w:rsidR="00C37789" w:rsidRPr="000322E4">
        <w:instrText>-</w:instrText>
      </w:r>
      <w:r w:rsidR="00C37789" w:rsidRPr="000322E4">
        <w:rPr>
          <w:lang w:val="en-US"/>
        </w:rPr>
        <w:instrText>risk</w:instrText>
      </w:r>
      <w:r w:rsidR="00C37789" w:rsidRPr="000322E4">
        <w:instrText xml:space="preserve">, </w:instrText>
      </w:r>
      <w:r w:rsidR="00C37789" w:rsidRPr="000322E4">
        <w:rPr>
          <w:lang w:val="en-US"/>
        </w:rPr>
        <w:instrText>aggressive</w:instrText>
      </w:r>
      <w:r w:rsidR="00C37789" w:rsidRPr="000322E4">
        <w:instrText xml:space="preserve"> </w:instrText>
      </w:r>
      <w:r w:rsidR="00C37789" w:rsidRPr="000322E4">
        <w:rPr>
          <w:lang w:val="en-US"/>
        </w:rPr>
        <w:instrText>non</w:instrText>
      </w:r>
      <w:r w:rsidR="00C37789" w:rsidRPr="000322E4">
        <w:instrText>-</w:instrText>
      </w:r>
      <w:r w:rsidR="00C37789" w:rsidRPr="000322E4">
        <w:rPr>
          <w:lang w:val="en-US"/>
        </w:rPr>
        <w:instrText>Hodgkin</w:instrText>
      </w:r>
      <w:r w:rsidR="00C37789" w:rsidRPr="000322E4">
        <w:instrText>'</w:instrText>
      </w:r>
      <w:r w:rsidR="00C37789" w:rsidRPr="000322E4">
        <w:rPr>
          <w:lang w:val="en-US"/>
        </w:rPr>
        <w:instrText>s</w:instrText>
      </w:r>
      <w:r w:rsidR="00C37789" w:rsidRPr="000322E4">
        <w:instrText xml:space="preserve"> </w:instrText>
      </w:r>
      <w:r w:rsidR="00C37789" w:rsidRPr="000322E4">
        <w:rPr>
          <w:lang w:val="en-US"/>
        </w:rPr>
        <w:instrText>lymphoma</w:instrText>
      </w:r>
      <w:r w:rsidR="00C37789" w:rsidRPr="000322E4">
        <w:instrText>","</w:instrText>
      </w:r>
      <w:r w:rsidR="00C37789" w:rsidRPr="000322E4">
        <w:rPr>
          <w:lang w:val="en-US"/>
        </w:rPr>
        <w:instrText>type</w:instrText>
      </w:r>
      <w:r w:rsidR="00C37789" w:rsidRPr="000322E4">
        <w:instrText>":"</w:instrText>
      </w:r>
      <w:r w:rsidR="00C37789" w:rsidRPr="000322E4">
        <w:rPr>
          <w:lang w:val="en-US"/>
        </w:rPr>
        <w:instrText>article</w:instrText>
      </w:r>
      <w:r w:rsidR="00C37789" w:rsidRPr="000322E4">
        <w:instrText>-</w:instrText>
      </w:r>
      <w:r w:rsidR="00C37789" w:rsidRPr="000322E4">
        <w:rPr>
          <w:lang w:val="en-US"/>
        </w:rPr>
        <w:instrText>journal</w:instrText>
      </w:r>
      <w:r w:rsidR="00C37789" w:rsidRPr="000322E4">
        <w:instrText>","</w:instrText>
      </w:r>
      <w:r w:rsidR="00C37789" w:rsidRPr="000322E4">
        <w:rPr>
          <w:lang w:val="en-US"/>
        </w:rPr>
        <w:instrText>volume</w:instrText>
      </w:r>
      <w:r w:rsidR="00C37789" w:rsidRPr="000322E4">
        <w:instrText>":"76"},"</w:instrText>
      </w:r>
      <w:r w:rsidR="00C37789" w:rsidRPr="000322E4">
        <w:rPr>
          <w:lang w:val="en-US"/>
        </w:rPr>
        <w:instrText>uris</w:instrText>
      </w:r>
      <w:r w:rsidR="00C37789" w:rsidRPr="000322E4">
        <w:instrText>":["</w:instrText>
      </w:r>
      <w:r w:rsidR="00C37789" w:rsidRPr="000322E4">
        <w:rPr>
          <w:lang w:val="en-US"/>
        </w:rPr>
        <w:instrText>http</w:instrText>
      </w:r>
      <w:r w:rsidR="00C37789" w:rsidRPr="000322E4">
        <w:instrText>://</w:instrText>
      </w:r>
      <w:r w:rsidR="00C37789" w:rsidRPr="000322E4">
        <w:rPr>
          <w:lang w:val="en-US"/>
        </w:rPr>
        <w:instrText>www</w:instrText>
      </w:r>
      <w:r w:rsidR="00C37789" w:rsidRPr="000322E4">
        <w:instrText>.</w:instrText>
      </w:r>
      <w:r w:rsidR="00C37789" w:rsidRPr="000322E4">
        <w:rPr>
          <w:lang w:val="en-US"/>
        </w:rPr>
        <w:instrText>mendeley</w:instrText>
      </w:r>
      <w:r w:rsidR="00C37789" w:rsidRPr="000322E4">
        <w:instrText>.</w:instrText>
      </w:r>
      <w:r w:rsidR="00C37789" w:rsidRPr="000322E4">
        <w:rPr>
          <w:lang w:val="en-US"/>
        </w:rPr>
        <w:instrText>com</w:instrText>
      </w:r>
      <w:r w:rsidR="00C37789" w:rsidRPr="000322E4">
        <w:instrText>/</w:instrText>
      </w:r>
      <w:r w:rsidR="00C37789" w:rsidRPr="000322E4">
        <w:rPr>
          <w:lang w:val="en-US"/>
        </w:rPr>
        <w:instrText>documents</w:instrText>
      </w:r>
      <w:r w:rsidR="00C37789" w:rsidRPr="000322E4">
        <w:instrText>/?</w:instrText>
      </w:r>
      <w:r w:rsidR="00C37789" w:rsidRPr="000322E4">
        <w:rPr>
          <w:lang w:val="en-US"/>
        </w:rPr>
        <w:instrText>uuid</w:instrText>
      </w:r>
      <w:r w:rsidR="00C37789" w:rsidRPr="000322E4">
        <w:instrText>=8</w:instrText>
      </w:r>
      <w:r w:rsidR="00C37789" w:rsidRPr="000322E4">
        <w:rPr>
          <w:lang w:val="en-US"/>
        </w:rPr>
        <w:instrText>a</w:instrText>
      </w:r>
      <w:r w:rsidR="00C37789" w:rsidRPr="000322E4">
        <w:instrText>216</w:instrText>
      </w:r>
      <w:r w:rsidR="00C37789" w:rsidRPr="000322E4">
        <w:rPr>
          <w:lang w:val="en-US"/>
        </w:rPr>
        <w:instrText>bfd</w:instrText>
      </w:r>
      <w:r w:rsidR="00C37789" w:rsidRPr="000322E4">
        <w:instrText>-7651-3</w:instrText>
      </w:r>
      <w:r w:rsidR="00C37789" w:rsidRPr="000322E4">
        <w:rPr>
          <w:lang w:val="en-US"/>
        </w:rPr>
        <w:instrText>d</w:instrText>
      </w:r>
      <w:r w:rsidR="00C37789" w:rsidRPr="000322E4">
        <w:instrText>0</w:instrText>
      </w:r>
      <w:r w:rsidR="00C37789" w:rsidRPr="000322E4">
        <w:rPr>
          <w:lang w:val="en-US"/>
        </w:rPr>
        <w:instrText>e</w:instrText>
      </w:r>
      <w:r w:rsidR="00C37789" w:rsidRPr="000322E4">
        <w:instrText>-</w:instrText>
      </w:r>
      <w:r w:rsidR="00C37789" w:rsidRPr="000322E4">
        <w:rPr>
          <w:lang w:val="en-US"/>
        </w:rPr>
        <w:instrText>b</w:instrText>
      </w:r>
      <w:r w:rsidR="00C37789" w:rsidRPr="000322E4">
        <w:instrText>380-02003</w:instrText>
      </w:r>
      <w:r w:rsidR="00C37789" w:rsidRPr="000322E4">
        <w:rPr>
          <w:lang w:val="en-US"/>
        </w:rPr>
        <w:instrText>a</w:instrText>
      </w:r>
      <w:r w:rsidR="00C37789" w:rsidRPr="000322E4">
        <w:instrText>5766</w:instrText>
      </w:r>
      <w:r w:rsidR="00C37789" w:rsidRPr="000322E4">
        <w:rPr>
          <w:lang w:val="en-US"/>
        </w:rPr>
        <w:instrText>a</w:instrText>
      </w:r>
      <w:r w:rsidR="00C37789" w:rsidRPr="000322E4">
        <w:instrText>8"]}],"</w:instrText>
      </w:r>
      <w:r w:rsidR="00C37789" w:rsidRPr="000322E4">
        <w:rPr>
          <w:lang w:val="en-US"/>
        </w:rPr>
        <w:instrText>mendeley</w:instrText>
      </w:r>
      <w:r w:rsidR="00C37789" w:rsidRPr="000322E4">
        <w:instrText>":{"</w:instrText>
      </w:r>
      <w:r w:rsidR="00C37789" w:rsidRPr="000322E4">
        <w:rPr>
          <w:lang w:val="en-US"/>
        </w:rPr>
        <w:instrText>formattedCitation</w:instrText>
      </w:r>
      <w:r w:rsidR="00C37789" w:rsidRPr="000322E4">
        <w:instrText>":"[105]","</w:instrText>
      </w:r>
      <w:r w:rsidR="00C37789" w:rsidRPr="000322E4">
        <w:rPr>
          <w:lang w:val="en-US"/>
        </w:rPr>
        <w:instrText>plainTextFormattedCitation</w:instrText>
      </w:r>
      <w:r w:rsidR="00C37789" w:rsidRPr="000322E4">
        <w:instrText>":"[105]","</w:instrText>
      </w:r>
      <w:r w:rsidR="00C37789" w:rsidRPr="000322E4">
        <w:rPr>
          <w:lang w:val="en-US"/>
        </w:rPr>
        <w:instrText>previouslyFormattedCitation</w:instrText>
      </w:r>
      <w:r w:rsidR="00C37789" w:rsidRPr="000322E4">
        <w:instrText>":"[105]"},"</w:instrText>
      </w:r>
      <w:r w:rsidR="00C37789" w:rsidRPr="000322E4">
        <w:rPr>
          <w:lang w:val="en-US"/>
        </w:rPr>
        <w:instrText>properties</w:instrText>
      </w:r>
      <w:r w:rsidR="00C37789" w:rsidRPr="000322E4">
        <w:instrText>":{"</w:instrText>
      </w:r>
      <w:r w:rsidR="00C37789" w:rsidRPr="000322E4">
        <w:rPr>
          <w:lang w:val="en-US"/>
        </w:rPr>
        <w:instrText>noteIndex</w:instrText>
      </w:r>
      <w:r w:rsidR="00C37789" w:rsidRPr="000322E4">
        <w:instrText>":0},"</w:instrText>
      </w:r>
      <w:r w:rsidR="00C37789" w:rsidRPr="000322E4">
        <w:rPr>
          <w:lang w:val="en-US"/>
        </w:rPr>
        <w:instrText>schema</w:instrText>
      </w:r>
      <w:r w:rsidR="00C37789" w:rsidRPr="000322E4">
        <w:instrText>":"</w:instrText>
      </w:r>
      <w:r w:rsidR="00C37789" w:rsidRPr="000322E4">
        <w:rPr>
          <w:lang w:val="en-US"/>
        </w:rPr>
        <w:instrText>https</w:instrText>
      </w:r>
      <w:r w:rsidR="00C37789" w:rsidRPr="000322E4">
        <w:instrText>://</w:instrText>
      </w:r>
      <w:r w:rsidR="00C37789" w:rsidRPr="000322E4">
        <w:rPr>
          <w:lang w:val="en-US"/>
        </w:rPr>
        <w:instrText>github</w:instrText>
      </w:r>
      <w:r w:rsidR="00C37789" w:rsidRPr="000322E4">
        <w:instrText>.</w:instrText>
      </w:r>
      <w:r w:rsidR="00C37789" w:rsidRPr="000322E4">
        <w:rPr>
          <w:lang w:val="en-US"/>
        </w:rPr>
        <w:instrText>com</w:instrText>
      </w:r>
      <w:r w:rsidR="00C37789" w:rsidRPr="000322E4">
        <w:instrText>/</w:instrText>
      </w:r>
      <w:r w:rsidR="00C37789" w:rsidRPr="000322E4">
        <w:rPr>
          <w:lang w:val="en-US"/>
        </w:rPr>
        <w:instrText>citation</w:instrText>
      </w:r>
      <w:r w:rsidR="00C37789" w:rsidRPr="000322E4">
        <w:instrText>-</w:instrText>
      </w:r>
      <w:r w:rsidR="00C37789" w:rsidRPr="000322E4">
        <w:rPr>
          <w:lang w:val="en-US"/>
        </w:rPr>
        <w:instrText>style</w:instrText>
      </w:r>
      <w:r w:rsidR="00C37789" w:rsidRPr="000322E4">
        <w:instrText>-</w:instrText>
      </w:r>
      <w:r w:rsidR="00C37789" w:rsidRPr="000322E4">
        <w:rPr>
          <w:lang w:val="en-US"/>
        </w:rPr>
        <w:instrText>language</w:instrText>
      </w:r>
      <w:r w:rsidR="00C37789" w:rsidRPr="000322E4">
        <w:instrText>/</w:instrText>
      </w:r>
      <w:r w:rsidR="00C37789" w:rsidRPr="000322E4">
        <w:rPr>
          <w:lang w:val="en-US"/>
        </w:rPr>
        <w:instrText>schema</w:instrText>
      </w:r>
      <w:r w:rsidR="00C37789" w:rsidRPr="000322E4">
        <w:instrText>/</w:instrText>
      </w:r>
      <w:r w:rsidR="00C37789" w:rsidRPr="000322E4">
        <w:rPr>
          <w:lang w:val="en-US"/>
        </w:rPr>
        <w:instrText>raw</w:instrText>
      </w:r>
      <w:r w:rsidR="00C37789" w:rsidRPr="000322E4">
        <w:instrText>/</w:instrText>
      </w:r>
      <w:r w:rsidR="00C37789" w:rsidRPr="000322E4">
        <w:rPr>
          <w:lang w:val="en-US"/>
        </w:rPr>
        <w:instrText>master</w:instrText>
      </w:r>
      <w:r w:rsidR="00C37789" w:rsidRPr="000322E4">
        <w:instrText>/</w:instrText>
      </w:r>
      <w:r w:rsidR="00C37789" w:rsidRPr="000322E4">
        <w:rPr>
          <w:lang w:val="en-US"/>
        </w:rPr>
        <w:instrText>csl</w:instrText>
      </w:r>
      <w:r w:rsidR="00C37789" w:rsidRPr="000322E4">
        <w:instrText>-</w:instrText>
      </w:r>
      <w:r w:rsidR="00C37789" w:rsidRPr="000322E4">
        <w:rPr>
          <w:lang w:val="en-US"/>
        </w:rPr>
        <w:instrText>citation</w:instrText>
      </w:r>
      <w:r w:rsidR="00C37789" w:rsidRPr="000322E4">
        <w:instrText>.</w:instrText>
      </w:r>
      <w:r w:rsidR="00C37789" w:rsidRPr="000322E4">
        <w:rPr>
          <w:lang w:val="en-US"/>
        </w:rPr>
        <w:instrText>json</w:instrText>
      </w:r>
      <w:r w:rsidR="00C37789" w:rsidRPr="000322E4">
        <w:instrText>"}</w:instrText>
      </w:r>
      <w:r w:rsidRPr="000322E4">
        <w:rPr>
          <w:lang w:val="en-US"/>
        </w:rPr>
        <w:fldChar w:fldCharType="separate"/>
      </w:r>
      <w:r w:rsidR="00C37789" w:rsidRPr="000322E4">
        <w:rPr>
          <w:noProof/>
        </w:rPr>
        <w:t>[105]</w:t>
      </w:r>
      <w:r w:rsidRPr="000322E4">
        <w:rPr>
          <w:lang w:val="en-US"/>
        </w:rPr>
        <w:fldChar w:fldCharType="end"/>
      </w:r>
    </w:p>
    <w:p w14:paraId="6C307400" w14:textId="77777777" w:rsidR="00666D68" w:rsidRPr="000322E4" w:rsidRDefault="00666D68" w:rsidP="008E3584">
      <w:pPr>
        <w:pStyle w:val="afe"/>
        <w:numPr>
          <w:ilvl w:val="0"/>
          <w:numId w:val="45"/>
        </w:numPr>
        <w:contextualSpacing w:val="0"/>
      </w:pPr>
      <w:r w:rsidRPr="000322E4">
        <w:t>Циклофосфамид** 600 мг/м</w:t>
      </w:r>
      <w:r w:rsidRPr="000322E4">
        <w:rPr>
          <w:vertAlign w:val="superscript"/>
        </w:rPr>
        <w:t>2</w:t>
      </w:r>
      <w:r w:rsidRPr="000322E4">
        <w:t xml:space="preserve"> в/в кап., дни 1, 8</w:t>
      </w:r>
    </w:p>
    <w:p w14:paraId="19DF25EE" w14:textId="77777777" w:rsidR="00666D68" w:rsidRPr="000322E4" w:rsidRDefault="00666D68" w:rsidP="008E3584">
      <w:pPr>
        <w:pStyle w:val="afe"/>
        <w:numPr>
          <w:ilvl w:val="0"/>
          <w:numId w:val="45"/>
        </w:numPr>
        <w:contextualSpacing w:val="0"/>
      </w:pPr>
      <w:r w:rsidRPr="000322E4">
        <w:t>Этопозид** 70 мг/м</w:t>
      </w:r>
      <w:r w:rsidRPr="000322E4">
        <w:rPr>
          <w:vertAlign w:val="superscript"/>
        </w:rPr>
        <w:t>2</w:t>
      </w:r>
      <w:r w:rsidRPr="000322E4">
        <w:t xml:space="preserve"> в/в кап., дни 1-3</w:t>
      </w:r>
    </w:p>
    <w:p w14:paraId="20BECDBD" w14:textId="77777777" w:rsidR="00666D68" w:rsidRPr="000322E4" w:rsidRDefault="00666D68" w:rsidP="008E3584">
      <w:pPr>
        <w:pStyle w:val="afe"/>
        <w:numPr>
          <w:ilvl w:val="0"/>
          <w:numId w:val="45"/>
        </w:numPr>
        <w:contextualSpacing w:val="0"/>
      </w:pPr>
      <w:r w:rsidRPr="000322E4">
        <w:t>Прокарбазин** 60 мг/м</w:t>
      </w:r>
      <w:r w:rsidRPr="000322E4">
        <w:rPr>
          <w:vertAlign w:val="superscript"/>
        </w:rPr>
        <w:t>2</w:t>
      </w:r>
      <w:r w:rsidRPr="000322E4">
        <w:t xml:space="preserve"> внутрь, дни 1-10</w:t>
      </w:r>
    </w:p>
    <w:p w14:paraId="52E7A0ED" w14:textId="77777777" w:rsidR="00666D68" w:rsidRPr="000322E4" w:rsidRDefault="00666D68" w:rsidP="008E3584">
      <w:pPr>
        <w:pStyle w:val="afe"/>
        <w:numPr>
          <w:ilvl w:val="0"/>
          <w:numId w:val="45"/>
        </w:numPr>
        <w:contextualSpacing w:val="0"/>
      </w:pPr>
      <w:r w:rsidRPr="000322E4">
        <w:t>Преднизолон** 60 мг/м</w:t>
      </w:r>
      <w:r w:rsidRPr="000322E4">
        <w:rPr>
          <w:vertAlign w:val="superscript"/>
        </w:rPr>
        <w:t>2</w:t>
      </w:r>
      <w:r w:rsidRPr="000322E4">
        <w:t xml:space="preserve"> внутрь, дни 1-10</w:t>
      </w:r>
    </w:p>
    <w:p w14:paraId="1B159910" w14:textId="77777777" w:rsidR="00666D68" w:rsidRPr="000322E4" w:rsidRDefault="00666D68" w:rsidP="008E3584">
      <w:r w:rsidRPr="000322E4">
        <w:t>Начало курса на 28 день</w:t>
      </w:r>
    </w:p>
    <w:p w14:paraId="269DC30C" w14:textId="77777777" w:rsidR="00666D68" w:rsidRPr="000322E4" w:rsidRDefault="00666D68" w:rsidP="008E3584"/>
    <w:p w14:paraId="0D505ABC" w14:textId="77777777" w:rsidR="00666D68" w:rsidRPr="000322E4" w:rsidRDefault="00D2304E" w:rsidP="008E3584">
      <w:r w:rsidRPr="005C347F">
        <w:rPr>
          <w:b/>
          <w:bCs/>
        </w:rPr>
        <w:t>#</w:t>
      </w:r>
      <w:r w:rsidR="00666D68" w:rsidRPr="000322E4">
        <w:rPr>
          <w:b/>
          <w:bCs/>
        </w:rPr>
        <w:t xml:space="preserve">Гемцитабин** + </w:t>
      </w:r>
      <w:r w:rsidRPr="005C347F">
        <w:rPr>
          <w:b/>
          <w:bCs/>
        </w:rPr>
        <w:t>#</w:t>
      </w:r>
      <w:r w:rsidR="00666D68" w:rsidRPr="000322E4">
        <w:rPr>
          <w:b/>
          <w:bCs/>
        </w:rPr>
        <w:t xml:space="preserve">винорелбин** </w:t>
      </w:r>
      <w:r w:rsidR="00666D68" w:rsidRPr="000322E4">
        <w:rPr>
          <w:lang w:val="en-US"/>
        </w:rPr>
        <w:fldChar w:fldCharType="begin" w:fldLock="1"/>
      </w:r>
      <w:r w:rsidR="00C37789" w:rsidRPr="000322E4">
        <w:rPr>
          <w:lang w:val="en-US"/>
        </w:rPr>
        <w:instrText>ADDIN</w:instrText>
      </w:r>
      <w:r w:rsidR="00C37789" w:rsidRPr="000322E4">
        <w:instrText xml:space="preserve"> </w:instrText>
      </w:r>
      <w:r w:rsidR="00C37789" w:rsidRPr="000322E4">
        <w:rPr>
          <w:lang w:val="en-US"/>
        </w:rPr>
        <w:instrText>CSL</w:instrText>
      </w:r>
      <w:r w:rsidR="00C37789" w:rsidRPr="000322E4">
        <w:instrText>_</w:instrText>
      </w:r>
      <w:r w:rsidR="00C37789" w:rsidRPr="000322E4">
        <w:rPr>
          <w:lang w:val="en-US"/>
        </w:rPr>
        <w:instrText>CITATION</w:instrText>
      </w:r>
      <w:r w:rsidR="00C37789" w:rsidRPr="000322E4">
        <w:instrText xml:space="preserve"> {"</w:instrText>
      </w:r>
      <w:r w:rsidR="00C37789" w:rsidRPr="000322E4">
        <w:rPr>
          <w:lang w:val="en-US"/>
        </w:rPr>
        <w:instrText>citationItems</w:instrText>
      </w:r>
      <w:r w:rsidR="00C37789" w:rsidRPr="000322E4">
        <w:instrText>":[{"</w:instrText>
      </w:r>
      <w:r w:rsidR="00C37789" w:rsidRPr="000322E4">
        <w:rPr>
          <w:lang w:val="en-US"/>
        </w:rPr>
        <w:instrText>id</w:instrText>
      </w:r>
      <w:r w:rsidR="00C37789" w:rsidRPr="000322E4">
        <w:instrText>":"</w:instrText>
      </w:r>
      <w:r w:rsidR="00C37789" w:rsidRPr="000322E4">
        <w:rPr>
          <w:lang w:val="en-US"/>
        </w:rPr>
        <w:instrText>ITEM</w:instrText>
      </w:r>
      <w:r w:rsidR="00C37789" w:rsidRPr="000322E4">
        <w:instrText>-1","</w:instrText>
      </w:r>
      <w:r w:rsidR="00C37789" w:rsidRPr="000322E4">
        <w:rPr>
          <w:lang w:val="en-US"/>
        </w:rPr>
        <w:instrText>itemData</w:instrText>
      </w:r>
      <w:r w:rsidR="00C37789" w:rsidRPr="000322E4">
        <w:instrText>":{"</w:instrText>
      </w:r>
      <w:r w:rsidR="00C37789" w:rsidRPr="000322E4">
        <w:rPr>
          <w:lang w:val="en-US"/>
        </w:rPr>
        <w:instrText>DOI</w:instrText>
      </w:r>
      <w:r w:rsidR="00C37789" w:rsidRPr="000322E4">
        <w:instrText>":"10.1111/</w:instrText>
      </w:r>
      <w:r w:rsidR="00C37789" w:rsidRPr="000322E4">
        <w:rPr>
          <w:lang w:val="en-US"/>
        </w:rPr>
        <w:instrText>j</w:instrText>
      </w:r>
      <w:r w:rsidR="00C37789" w:rsidRPr="000322E4">
        <w:instrText>.1600-0609.2005.00482.</w:instrText>
      </w:r>
      <w:r w:rsidR="00C37789" w:rsidRPr="000322E4">
        <w:rPr>
          <w:lang w:val="en-US"/>
        </w:rPr>
        <w:instrText>x</w:instrText>
      </w:r>
      <w:r w:rsidR="00C37789" w:rsidRPr="000322E4">
        <w:instrText>","</w:instrText>
      </w:r>
      <w:r w:rsidR="00C37789" w:rsidRPr="000322E4">
        <w:rPr>
          <w:lang w:val="en-US"/>
        </w:rPr>
        <w:instrText>ISSN</w:instrText>
      </w:r>
      <w:r w:rsidR="00C37789" w:rsidRPr="000322E4">
        <w:instrText>":"09024441","</w:instrText>
      </w:r>
      <w:r w:rsidR="00C37789" w:rsidRPr="000322E4">
        <w:rPr>
          <w:lang w:val="en-US"/>
        </w:rPr>
        <w:instrText>abstract</w:instrText>
      </w:r>
      <w:r w:rsidR="00C37789" w:rsidRPr="000322E4">
        <w:instrText>":"</w:instrText>
      </w:r>
      <w:r w:rsidR="00C37789" w:rsidRPr="000322E4">
        <w:rPr>
          <w:lang w:val="en-US"/>
        </w:rPr>
        <w:instrText>To</w:instrText>
      </w:r>
      <w:r w:rsidR="00C37789" w:rsidRPr="000322E4">
        <w:instrText xml:space="preserve"> </w:instrText>
      </w:r>
      <w:r w:rsidR="00C37789" w:rsidRPr="000322E4">
        <w:rPr>
          <w:lang w:val="en-US"/>
        </w:rPr>
        <w:instrText>investigate</w:instrText>
      </w:r>
      <w:r w:rsidR="00C37789" w:rsidRPr="000322E4">
        <w:instrText xml:space="preserve"> </w:instrText>
      </w:r>
      <w:r w:rsidR="00C37789" w:rsidRPr="000322E4">
        <w:rPr>
          <w:lang w:val="en-US"/>
        </w:rPr>
        <w:instrText>the</w:instrText>
      </w:r>
      <w:r w:rsidR="00C37789" w:rsidRPr="000322E4">
        <w:instrText xml:space="preserve"> </w:instrText>
      </w:r>
      <w:r w:rsidR="00C37789" w:rsidRPr="000322E4">
        <w:rPr>
          <w:lang w:val="en-US"/>
        </w:rPr>
        <w:instrText>efficacy</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toxicity</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the</w:instrText>
      </w:r>
      <w:r w:rsidR="00C37789" w:rsidRPr="000322E4">
        <w:instrText xml:space="preserve"> </w:instrText>
      </w:r>
      <w:r w:rsidR="00C37789" w:rsidRPr="000322E4">
        <w:rPr>
          <w:lang w:val="en-US"/>
        </w:rPr>
        <w:instrText>combination</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gemcitabine</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vinorelbine</w:instrText>
      </w:r>
      <w:r w:rsidR="00C37789" w:rsidRPr="000322E4">
        <w:instrText xml:space="preserve"> </w:instrText>
      </w:r>
      <w:r w:rsidR="00C37789" w:rsidRPr="000322E4">
        <w:rPr>
          <w:lang w:val="en-US"/>
        </w:rPr>
        <w:instrText>in</w:instrText>
      </w:r>
      <w:r w:rsidR="00C37789" w:rsidRPr="000322E4">
        <w:instrText xml:space="preserve"> </w:instrText>
      </w:r>
      <w:r w:rsidR="00C37789" w:rsidRPr="000322E4">
        <w:rPr>
          <w:lang w:val="en-US"/>
        </w:rPr>
        <w:instrText>patients</w:instrText>
      </w:r>
      <w:r w:rsidR="00C37789" w:rsidRPr="000322E4">
        <w:instrText xml:space="preserve"> </w:instrText>
      </w:r>
      <w:r w:rsidR="00C37789" w:rsidRPr="000322E4">
        <w:rPr>
          <w:lang w:val="en-US"/>
        </w:rPr>
        <w:instrText>with</w:instrText>
      </w:r>
      <w:r w:rsidR="00C37789" w:rsidRPr="000322E4">
        <w:instrText xml:space="preserve"> </w:instrText>
      </w:r>
      <w:r w:rsidR="00C37789" w:rsidRPr="000322E4">
        <w:rPr>
          <w:lang w:val="en-US"/>
        </w:rPr>
        <w:instrText>relapsed</w:instrText>
      </w:r>
      <w:r w:rsidR="00C37789" w:rsidRPr="000322E4">
        <w:instrText xml:space="preserve"> </w:instrText>
      </w:r>
      <w:r w:rsidR="00C37789" w:rsidRPr="000322E4">
        <w:rPr>
          <w:lang w:val="en-US"/>
        </w:rPr>
        <w:instrText>or</w:instrText>
      </w:r>
      <w:r w:rsidR="00C37789" w:rsidRPr="000322E4">
        <w:instrText xml:space="preserve"> </w:instrText>
      </w:r>
      <w:r w:rsidR="00C37789" w:rsidRPr="000322E4">
        <w:rPr>
          <w:lang w:val="en-US"/>
        </w:rPr>
        <w:instrText>refractory</w:instrText>
      </w:r>
      <w:r w:rsidR="00C37789" w:rsidRPr="000322E4">
        <w:instrText xml:space="preserve"> </w:instrText>
      </w:r>
      <w:r w:rsidR="00C37789" w:rsidRPr="000322E4">
        <w:rPr>
          <w:lang w:val="en-US"/>
        </w:rPr>
        <w:instrText>diffuse</w:instrText>
      </w:r>
      <w:r w:rsidR="00C37789" w:rsidRPr="000322E4">
        <w:instrText xml:space="preserve"> </w:instrText>
      </w:r>
      <w:r w:rsidR="00C37789" w:rsidRPr="000322E4">
        <w:rPr>
          <w:lang w:val="en-US"/>
        </w:rPr>
        <w:instrText>large</w:instrText>
      </w:r>
      <w:r w:rsidR="00C37789" w:rsidRPr="000322E4">
        <w:instrText xml:space="preserve"> </w:instrText>
      </w:r>
      <w:r w:rsidR="00C37789" w:rsidRPr="000322E4">
        <w:rPr>
          <w:lang w:val="en-US"/>
        </w:rPr>
        <w:instrText>B</w:instrText>
      </w:r>
      <w:r w:rsidR="00C37789" w:rsidRPr="000322E4">
        <w:instrText>-</w:instrText>
      </w:r>
      <w:r w:rsidR="00C37789" w:rsidRPr="000322E4">
        <w:rPr>
          <w:lang w:val="en-US"/>
        </w:rPr>
        <w:instrText>cell</w:instrText>
      </w:r>
      <w:r w:rsidR="00C37789" w:rsidRPr="000322E4">
        <w:instrText xml:space="preserve"> </w:instrText>
      </w:r>
      <w:r w:rsidR="00C37789" w:rsidRPr="000322E4">
        <w:rPr>
          <w:lang w:val="en-US"/>
        </w:rPr>
        <w:instrText>lymphoma</w:instrText>
      </w:r>
      <w:r w:rsidR="00C37789" w:rsidRPr="000322E4">
        <w:instrText xml:space="preserve"> (</w:instrText>
      </w:r>
      <w:r w:rsidR="00C37789" w:rsidRPr="000322E4">
        <w:rPr>
          <w:lang w:val="en-US"/>
        </w:rPr>
        <w:instrText>DLBL</w:instrText>
      </w:r>
      <w:r w:rsidR="00C37789" w:rsidRPr="000322E4">
        <w:instrText xml:space="preserve">), 22 </w:instrText>
      </w:r>
      <w:r w:rsidR="00C37789" w:rsidRPr="000322E4">
        <w:rPr>
          <w:lang w:val="en-US"/>
        </w:rPr>
        <w:instrText>patients</w:instrText>
      </w:r>
      <w:r w:rsidR="00C37789" w:rsidRPr="000322E4">
        <w:instrText xml:space="preserve"> </w:instrText>
      </w:r>
      <w:r w:rsidR="00C37789" w:rsidRPr="000322E4">
        <w:rPr>
          <w:lang w:val="en-US"/>
        </w:rPr>
        <w:instrText>with</w:instrText>
      </w:r>
      <w:r w:rsidR="00C37789" w:rsidRPr="000322E4">
        <w:instrText xml:space="preserve"> </w:instrText>
      </w:r>
      <w:r w:rsidR="00C37789" w:rsidRPr="000322E4">
        <w:rPr>
          <w:lang w:val="en-US"/>
        </w:rPr>
        <w:instrText>relapsed</w:instrText>
      </w:r>
      <w:r w:rsidR="00C37789" w:rsidRPr="000322E4">
        <w:instrText xml:space="preserve"> </w:instrText>
      </w:r>
      <w:r w:rsidR="00C37789" w:rsidRPr="000322E4">
        <w:rPr>
          <w:lang w:val="en-US"/>
        </w:rPr>
        <w:instrText>or</w:instrText>
      </w:r>
      <w:r w:rsidR="00C37789" w:rsidRPr="000322E4">
        <w:instrText xml:space="preserve"> </w:instrText>
      </w:r>
      <w:r w:rsidR="00C37789" w:rsidRPr="000322E4">
        <w:rPr>
          <w:lang w:val="en-US"/>
        </w:rPr>
        <w:instrText>refractory</w:instrText>
      </w:r>
      <w:r w:rsidR="00C37789" w:rsidRPr="000322E4">
        <w:instrText xml:space="preserve"> </w:instrText>
      </w:r>
      <w:r w:rsidR="00C37789" w:rsidRPr="000322E4">
        <w:rPr>
          <w:lang w:val="en-US"/>
        </w:rPr>
        <w:instrText>DLBL</w:instrText>
      </w:r>
      <w:r w:rsidR="00C37789" w:rsidRPr="000322E4">
        <w:instrText xml:space="preserve"> </w:instrText>
      </w:r>
      <w:r w:rsidR="00C37789" w:rsidRPr="000322E4">
        <w:rPr>
          <w:lang w:val="en-US"/>
        </w:rPr>
        <w:instrText>were</w:instrText>
      </w:r>
      <w:r w:rsidR="00C37789" w:rsidRPr="000322E4">
        <w:instrText xml:space="preserve"> </w:instrText>
      </w:r>
      <w:r w:rsidR="00C37789" w:rsidRPr="000322E4">
        <w:rPr>
          <w:lang w:val="en-US"/>
        </w:rPr>
        <w:instrText>treated</w:instrText>
      </w:r>
      <w:r w:rsidR="00C37789" w:rsidRPr="000322E4">
        <w:instrText xml:space="preserve"> </w:instrText>
      </w:r>
      <w:r w:rsidR="00C37789" w:rsidRPr="000322E4">
        <w:rPr>
          <w:lang w:val="en-US"/>
        </w:rPr>
        <w:instrText>with</w:instrText>
      </w:r>
      <w:r w:rsidR="00C37789" w:rsidRPr="000322E4">
        <w:instrText xml:space="preserve"> </w:instrText>
      </w:r>
      <w:r w:rsidR="00C37789" w:rsidRPr="000322E4">
        <w:rPr>
          <w:lang w:val="en-US"/>
        </w:rPr>
        <w:instrText>gemcitabine</w:instrText>
      </w:r>
      <w:r w:rsidR="00C37789" w:rsidRPr="000322E4">
        <w:instrText xml:space="preserve"> 1000 </w:instrText>
      </w:r>
      <w:r w:rsidR="00C37789" w:rsidRPr="000322E4">
        <w:rPr>
          <w:lang w:val="en-US"/>
        </w:rPr>
        <w:instrText>mg</w:instrText>
      </w:r>
      <w:r w:rsidR="00C37789" w:rsidRPr="000322E4">
        <w:instrText>/</w:instrText>
      </w:r>
      <w:r w:rsidR="00C37789" w:rsidRPr="000322E4">
        <w:rPr>
          <w:lang w:val="en-US"/>
        </w:rPr>
        <w:instrText>m</w:instrText>
      </w:r>
      <w:r w:rsidR="00C37789" w:rsidRPr="000322E4">
        <w:instrText xml:space="preserve">2 </w:instrText>
      </w:r>
      <w:r w:rsidR="00C37789" w:rsidRPr="000322E4">
        <w:rPr>
          <w:lang w:val="en-US"/>
        </w:rPr>
        <w:instrText>and</w:instrText>
      </w:r>
      <w:r w:rsidR="00C37789" w:rsidRPr="000322E4">
        <w:instrText xml:space="preserve"> </w:instrText>
      </w:r>
      <w:r w:rsidR="00C37789" w:rsidRPr="000322E4">
        <w:rPr>
          <w:lang w:val="en-US"/>
        </w:rPr>
        <w:instrText>vinorelbine</w:instrText>
      </w:r>
      <w:r w:rsidR="00C37789" w:rsidRPr="000322E4">
        <w:instrText xml:space="preserve"> 30 </w:instrText>
      </w:r>
      <w:r w:rsidR="00C37789" w:rsidRPr="000322E4">
        <w:rPr>
          <w:lang w:val="en-US"/>
        </w:rPr>
        <w:instrText>mg</w:instrText>
      </w:r>
      <w:r w:rsidR="00C37789" w:rsidRPr="000322E4">
        <w:instrText>/</w:instrText>
      </w:r>
      <w:r w:rsidR="00C37789" w:rsidRPr="000322E4">
        <w:rPr>
          <w:lang w:val="en-US"/>
        </w:rPr>
        <w:instrText>m</w:instrText>
      </w:r>
      <w:r w:rsidR="00C37789" w:rsidRPr="000322E4">
        <w:instrText xml:space="preserve">2 </w:instrText>
      </w:r>
      <w:r w:rsidR="00C37789" w:rsidRPr="000322E4">
        <w:rPr>
          <w:lang w:val="en-US"/>
        </w:rPr>
        <w:instrText>on</w:instrText>
      </w:r>
      <w:r w:rsidR="00C37789" w:rsidRPr="000322E4">
        <w:instrText xml:space="preserve"> </w:instrText>
      </w:r>
      <w:r w:rsidR="00C37789" w:rsidRPr="000322E4">
        <w:rPr>
          <w:lang w:val="en-US"/>
        </w:rPr>
        <w:instrText>days</w:instrText>
      </w:r>
      <w:r w:rsidR="00C37789" w:rsidRPr="000322E4">
        <w:instrText xml:space="preserve"> 1 </w:instrText>
      </w:r>
      <w:r w:rsidR="00C37789" w:rsidRPr="000322E4">
        <w:rPr>
          <w:lang w:val="en-US"/>
        </w:rPr>
        <w:instrText>and</w:instrText>
      </w:r>
      <w:r w:rsidR="00C37789" w:rsidRPr="000322E4">
        <w:instrText xml:space="preserve"> 8 </w:instrText>
      </w:r>
      <w:r w:rsidR="00C37789" w:rsidRPr="000322E4">
        <w:rPr>
          <w:lang w:val="en-US"/>
        </w:rPr>
        <w:instrText>every</w:instrText>
      </w:r>
      <w:r w:rsidR="00C37789" w:rsidRPr="000322E4">
        <w:instrText xml:space="preserve"> 3 </w:instrText>
      </w:r>
      <w:r w:rsidR="00C37789" w:rsidRPr="000322E4">
        <w:rPr>
          <w:lang w:val="en-US"/>
        </w:rPr>
        <w:instrText>wk</w:instrText>
      </w:r>
      <w:r w:rsidR="00C37789" w:rsidRPr="000322E4">
        <w:instrText xml:space="preserve"> </w:instrText>
      </w:r>
      <w:r w:rsidR="00C37789" w:rsidRPr="000322E4">
        <w:rPr>
          <w:lang w:val="en-US"/>
        </w:rPr>
        <w:instrText>for</w:instrText>
      </w:r>
      <w:r w:rsidR="00C37789" w:rsidRPr="000322E4">
        <w:instrText xml:space="preserve"> </w:instrText>
      </w:r>
      <w:r w:rsidR="00C37789" w:rsidRPr="000322E4">
        <w:rPr>
          <w:lang w:val="en-US"/>
        </w:rPr>
        <w:instrText>a</w:instrText>
      </w:r>
      <w:r w:rsidR="00C37789" w:rsidRPr="000322E4">
        <w:instrText xml:space="preserve"> </w:instrText>
      </w:r>
      <w:r w:rsidR="00C37789" w:rsidRPr="000322E4">
        <w:rPr>
          <w:lang w:val="en-US"/>
        </w:rPr>
        <w:instrText>maximum</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six</w:instrText>
      </w:r>
      <w:r w:rsidR="00C37789" w:rsidRPr="000322E4">
        <w:instrText xml:space="preserve"> </w:instrText>
      </w:r>
      <w:r w:rsidR="00C37789" w:rsidRPr="000322E4">
        <w:rPr>
          <w:lang w:val="en-US"/>
        </w:rPr>
        <w:instrText>cycles</w:instrText>
      </w:r>
      <w:r w:rsidR="00C37789" w:rsidRPr="000322E4">
        <w:instrText xml:space="preserve">. </w:instrText>
      </w:r>
      <w:r w:rsidR="00C37789" w:rsidRPr="000322E4">
        <w:rPr>
          <w:lang w:val="en-US"/>
        </w:rPr>
        <w:instrText>Fourteen</w:instrText>
      </w:r>
      <w:r w:rsidR="00C37789" w:rsidRPr="000322E4">
        <w:instrText xml:space="preserve"> </w:instrText>
      </w:r>
      <w:r w:rsidR="00C37789" w:rsidRPr="000322E4">
        <w:rPr>
          <w:lang w:val="en-US"/>
        </w:rPr>
        <w:instrText>patients</w:instrText>
      </w:r>
      <w:r w:rsidR="00C37789" w:rsidRPr="000322E4">
        <w:instrText xml:space="preserve"> </w:instrText>
      </w:r>
      <w:r w:rsidR="00C37789" w:rsidRPr="000322E4">
        <w:rPr>
          <w:lang w:val="en-US"/>
        </w:rPr>
        <w:instrText>were</w:instrText>
      </w:r>
      <w:r w:rsidR="00C37789" w:rsidRPr="000322E4">
        <w:instrText xml:space="preserve"> </w:instrText>
      </w:r>
      <w:r w:rsidR="00C37789" w:rsidRPr="000322E4">
        <w:rPr>
          <w:lang w:val="en-US"/>
        </w:rPr>
        <w:instrText>considered</w:instrText>
      </w:r>
      <w:r w:rsidR="00C37789" w:rsidRPr="000322E4">
        <w:instrText xml:space="preserve"> </w:instrText>
      </w:r>
      <w:r w:rsidR="00C37789" w:rsidRPr="000322E4">
        <w:rPr>
          <w:lang w:val="en-US"/>
        </w:rPr>
        <w:instrText>chemosensitive</w:instrText>
      </w:r>
      <w:r w:rsidR="00C37789" w:rsidRPr="000322E4">
        <w:instrText xml:space="preserve"> </w:instrText>
      </w:r>
      <w:r w:rsidR="00C37789" w:rsidRPr="000322E4">
        <w:rPr>
          <w:lang w:val="en-US"/>
        </w:rPr>
        <w:instrText>while</w:instrText>
      </w:r>
      <w:r w:rsidR="00C37789" w:rsidRPr="000322E4">
        <w:instrText xml:space="preserve"> </w:instrText>
      </w:r>
      <w:r w:rsidR="00C37789" w:rsidRPr="000322E4">
        <w:rPr>
          <w:lang w:val="en-US"/>
        </w:rPr>
        <w:instrText>eight</w:instrText>
      </w:r>
      <w:r w:rsidR="00C37789" w:rsidRPr="000322E4">
        <w:instrText xml:space="preserve"> </w:instrText>
      </w:r>
      <w:r w:rsidR="00C37789" w:rsidRPr="000322E4">
        <w:rPr>
          <w:lang w:val="en-US"/>
        </w:rPr>
        <w:instrText>patients</w:instrText>
      </w:r>
      <w:r w:rsidR="00C37789" w:rsidRPr="000322E4">
        <w:instrText xml:space="preserve"> </w:instrText>
      </w:r>
      <w:r w:rsidR="00C37789" w:rsidRPr="000322E4">
        <w:rPr>
          <w:lang w:val="en-US"/>
        </w:rPr>
        <w:instrText>were</w:instrText>
      </w:r>
      <w:r w:rsidR="00C37789" w:rsidRPr="000322E4">
        <w:instrText xml:space="preserve"> </w:instrText>
      </w:r>
      <w:r w:rsidR="00C37789" w:rsidRPr="000322E4">
        <w:rPr>
          <w:lang w:val="en-US"/>
        </w:rPr>
        <w:instrText>considered</w:instrText>
      </w:r>
      <w:r w:rsidR="00C37789" w:rsidRPr="000322E4">
        <w:instrText xml:space="preserve"> </w:instrText>
      </w:r>
      <w:r w:rsidR="00C37789" w:rsidRPr="000322E4">
        <w:rPr>
          <w:lang w:val="en-US"/>
        </w:rPr>
        <w:instrText>chemoresistant</w:instrText>
      </w:r>
      <w:r w:rsidR="00C37789" w:rsidRPr="000322E4">
        <w:instrText xml:space="preserve"> </w:instrText>
      </w:r>
      <w:r w:rsidR="00C37789" w:rsidRPr="000322E4">
        <w:rPr>
          <w:lang w:val="en-US"/>
        </w:rPr>
        <w:instrText>to</w:instrText>
      </w:r>
      <w:r w:rsidR="00C37789" w:rsidRPr="000322E4">
        <w:instrText xml:space="preserve"> </w:instrText>
      </w:r>
      <w:r w:rsidR="00C37789" w:rsidRPr="000322E4">
        <w:rPr>
          <w:lang w:val="en-US"/>
        </w:rPr>
        <w:instrText>the</w:instrText>
      </w:r>
      <w:r w:rsidR="00C37789" w:rsidRPr="000322E4">
        <w:instrText xml:space="preserve"> </w:instrText>
      </w:r>
      <w:r w:rsidR="00C37789" w:rsidRPr="000322E4">
        <w:rPr>
          <w:lang w:val="en-US"/>
        </w:rPr>
        <w:instrText>last</w:instrText>
      </w:r>
      <w:r w:rsidR="00C37789" w:rsidRPr="000322E4">
        <w:instrText xml:space="preserve"> </w:instrText>
      </w:r>
      <w:r w:rsidR="00C37789" w:rsidRPr="000322E4">
        <w:rPr>
          <w:lang w:val="en-US"/>
        </w:rPr>
        <w:instrText>treatment</w:instrText>
      </w:r>
      <w:r w:rsidR="00C37789" w:rsidRPr="000322E4">
        <w:instrText xml:space="preserve"> </w:instrText>
      </w:r>
      <w:r w:rsidR="00C37789" w:rsidRPr="000322E4">
        <w:rPr>
          <w:lang w:val="en-US"/>
        </w:rPr>
        <w:instrText>regimen</w:instrText>
      </w:r>
      <w:r w:rsidR="00C37789" w:rsidRPr="000322E4">
        <w:instrText xml:space="preserve">. </w:instrText>
      </w:r>
      <w:r w:rsidR="00C37789" w:rsidRPr="000322E4">
        <w:rPr>
          <w:lang w:val="en-US"/>
        </w:rPr>
        <w:instrText>All</w:instrText>
      </w:r>
      <w:r w:rsidR="00C37789" w:rsidRPr="000322E4">
        <w:instrText xml:space="preserve"> 22 </w:instrText>
      </w:r>
      <w:r w:rsidR="00C37789" w:rsidRPr="000322E4">
        <w:rPr>
          <w:lang w:val="en-US"/>
        </w:rPr>
        <w:instrText>patients</w:instrText>
      </w:r>
      <w:r w:rsidR="00C37789" w:rsidRPr="000322E4">
        <w:instrText xml:space="preserve"> </w:instrText>
      </w:r>
      <w:r w:rsidR="00C37789" w:rsidRPr="000322E4">
        <w:rPr>
          <w:lang w:val="en-US"/>
        </w:rPr>
        <w:instrText>were</w:instrText>
      </w:r>
      <w:r w:rsidR="00C37789" w:rsidRPr="000322E4">
        <w:instrText xml:space="preserve"> </w:instrText>
      </w:r>
      <w:r w:rsidR="00C37789" w:rsidRPr="000322E4">
        <w:rPr>
          <w:lang w:val="en-US"/>
        </w:rPr>
        <w:instrText>assessed</w:instrText>
      </w:r>
      <w:r w:rsidR="00C37789" w:rsidRPr="000322E4">
        <w:instrText xml:space="preserve"> </w:instrText>
      </w:r>
      <w:r w:rsidR="00C37789" w:rsidRPr="000322E4">
        <w:rPr>
          <w:lang w:val="en-US"/>
        </w:rPr>
        <w:instrText>for</w:instrText>
      </w:r>
      <w:r w:rsidR="00C37789" w:rsidRPr="000322E4">
        <w:instrText xml:space="preserve"> </w:instrText>
      </w:r>
      <w:r w:rsidR="00C37789" w:rsidRPr="000322E4">
        <w:rPr>
          <w:lang w:val="en-US"/>
        </w:rPr>
        <w:instrText>response</w:instrText>
      </w:r>
      <w:r w:rsidR="00C37789" w:rsidRPr="000322E4">
        <w:instrText xml:space="preserve"> </w:instrText>
      </w:r>
      <w:r w:rsidR="00C37789" w:rsidRPr="000322E4">
        <w:rPr>
          <w:lang w:val="en-US"/>
        </w:rPr>
        <w:instrText>to</w:instrText>
      </w:r>
      <w:r w:rsidR="00C37789" w:rsidRPr="000322E4">
        <w:instrText xml:space="preserve"> </w:instrText>
      </w:r>
      <w:r w:rsidR="00C37789" w:rsidRPr="000322E4">
        <w:rPr>
          <w:lang w:val="en-US"/>
        </w:rPr>
        <w:instrText>treatment</w:instrText>
      </w:r>
      <w:r w:rsidR="00C37789" w:rsidRPr="000322E4">
        <w:instrText xml:space="preserve">. </w:instrText>
      </w:r>
      <w:r w:rsidR="00C37789" w:rsidRPr="000322E4">
        <w:rPr>
          <w:lang w:val="en-US"/>
        </w:rPr>
        <w:instrText>Three</w:instrText>
      </w:r>
      <w:r w:rsidR="00C37789" w:rsidRPr="000322E4">
        <w:instrText xml:space="preserve"> </w:instrText>
      </w:r>
      <w:r w:rsidR="00C37789" w:rsidRPr="000322E4">
        <w:rPr>
          <w:lang w:val="en-US"/>
        </w:rPr>
        <w:instrText>patients</w:instrText>
      </w:r>
      <w:r w:rsidR="00C37789" w:rsidRPr="000322E4">
        <w:instrText xml:space="preserve"> (14%) </w:instrText>
      </w:r>
      <w:r w:rsidR="00C37789" w:rsidRPr="000322E4">
        <w:rPr>
          <w:lang w:val="en-US"/>
        </w:rPr>
        <w:instrText>achieved</w:instrText>
      </w:r>
      <w:r w:rsidR="00C37789" w:rsidRPr="000322E4">
        <w:instrText xml:space="preserve"> </w:instrText>
      </w:r>
      <w:r w:rsidR="00C37789" w:rsidRPr="000322E4">
        <w:rPr>
          <w:lang w:val="en-US"/>
        </w:rPr>
        <w:instrText>complete</w:instrText>
      </w:r>
      <w:r w:rsidR="00C37789" w:rsidRPr="000322E4">
        <w:instrText xml:space="preserve"> </w:instrText>
      </w:r>
      <w:r w:rsidR="00C37789" w:rsidRPr="000322E4">
        <w:rPr>
          <w:lang w:val="en-US"/>
        </w:rPr>
        <w:instrText>remission</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eight</w:instrText>
      </w:r>
      <w:r w:rsidR="00C37789" w:rsidRPr="000322E4">
        <w:instrText xml:space="preserve"> </w:instrText>
      </w:r>
      <w:r w:rsidR="00C37789" w:rsidRPr="000322E4">
        <w:rPr>
          <w:lang w:val="en-US"/>
        </w:rPr>
        <w:instrText>patients</w:instrText>
      </w:r>
      <w:r w:rsidR="00C37789" w:rsidRPr="000322E4">
        <w:instrText xml:space="preserve"> (36%) </w:instrText>
      </w:r>
      <w:r w:rsidR="00C37789" w:rsidRPr="000322E4">
        <w:rPr>
          <w:lang w:val="en-US"/>
        </w:rPr>
        <w:instrText>had</w:instrText>
      </w:r>
      <w:r w:rsidR="00C37789" w:rsidRPr="000322E4">
        <w:instrText xml:space="preserve"> </w:instrText>
      </w:r>
      <w:r w:rsidR="00C37789" w:rsidRPr="000322E4">
        <w:rPr>
          <w:lang w:val="en-US"/>
        </w:rPr>
        <w:instrText>partial</w:instrText>
      </w:r>
      <w:r w:rsidR="00C37789" w:rsidRPr="000322E4">
        <w:instrText xml:space="preserve"> </w:instrText>
      </w:r>
      <w:r w:rsidR="00C37789" w:rsidRPr="000322E4">
        <w:rPr>
          <w:lang w:val="en-US"/>
        </w:rPr>
        <w:instrText>remission</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their</w:instrText>
      </w:r>
      <w:r w:rsidR="00C37789" w:rsidRPr="000322E4">
        <w:instrText xml:space="preserve"> </w:instrText>
      </w:r>
      <w:r w:rsidR="00C37789" w:rsidRPr="000322E4">
        <w:rPr>
          <w:lang w:val="en-US"/>
        </w:rPr>
        <w:instrText>disease</w:instrText>
      </w:r>
      <w:r w:rsidR="00C37789" w:rsidRPr="000322E4">
        <w:instrText xml:space="preserve">, </w:instrText>
      </w:r>
      <w:r w:rsidR="00C37789" w:rsidRPr="000322E4">
        <w:rPr>
          <w:lang w:val="en-US"/>
        </w:rPr>
        <w:instrText>with</w:instrText>
      </w:r>
      <w:r w:rsidR="00C37789" w:rsidRPr="000322E4">
        <w:instrText xml:space="preserve"> </w:instrText>
      </w:r>
      <w:r w:rsidR="00C37789" w:rsidRPr="000322E4">
        <w:rPr>
          <w:lang w:val="en-US"/>
        </w:rPr>
        <w:instrText>an</w:instrText>
      </w:r>
      <w:r w:rsidR="00C37789" w:rsidRPr="000322E4">
        <w:instrText xml:space="preserve"> </w:instrText>
      </w:r>
      <w:r w:rsidR="00C37789" w:rsidRPr="000322E4">
        <w:rPr>
          <w:lang w:val="en-US"/>
        </w:rPr>
        <w:instrText>overall</w:instrText>
      </w:r>
      <w:r w:rsidR="00C37789" w:rsidRPr="000322E4">
        <w:instrText xml:space="preserve"> </w:instrText>
      </w:r>
      <w:r w:rsidR="00C37789" w:rsidRPr="000322E4">
        <w:rPr>
          <w:lang w:val="en-US"/>
        </w:rPr>
        <w:instrText>response</w:instrText>
      </w:r>
      <w:r w:rsidR="00C37789" w:rsidRPr="000322E4">
        <w:instrText xml:space="preserve"> </w:instrText>
      </w:r>
      <w:r w:rsidR="00C37789" w:rsidRPr="000322E4">
        <w:rPr>
          <w:lang w:val="en-US"/>
        </w:rPr>
        <w:instrText>rate</w:instrText>
      </w:r>
      <w:r w:rsidR="00C37789" w:rsidRPr="000322E4">
        <w:instrText xml:space="preserve"> </w:instrText>
      </w:r>
      <w:r w:rsidR="00C37789" w:rsidRPr="000322E4">
        <w:rPr>
          <w:lang w:val="en-US"/>
        </w:rPr>
        <w:instrText>of</w:instrText>
      </w:r>
      <w:r w:rsidR="00C37789" w:rsidRPr="000322E4">
        <w:instrText xml:space="preserve"> 50%. </w:instrText>
      </w:r>
      <w:r w:rsidR="00C37789" w:rsidRPr="000322E4">
        <w:rPr>
          <w:lang w:val="en-US"/>
        </w:rPr>
        <w:instrText>With</w:instrText>
      </w:r>
      <w:r w:rsidR="00C37789" w:rsidRPr="000322E4">
        <w:instrText xml:space="preserve"> </w:instrText>
      </w:r>
      <w:r w:rsidR="00C37789" w:rsidRPr="000322E4">
        <w:rPr>
          <w:lang w:val="en-US"/>
        </w:rPr>
        <w:instrText>a</w:instrText>
      </w:r>
      <w:r w:rsidR="00C37789" w:rsidRPr="000322E4">
        <w:instrText xml:space="preserve"> </w:instrText>
      </w:r>
      <w:r w:rsidR="00C37789" w:rsidRPr="000322E4">
        <w:rPr>
          <w:lang w:val="en-US"/>
        </w:rPr>
        <w:instrText>median</w:instrText>
      </w:r>
      <w:r w:rsidR="00C37789" w:rsidRPr="000322E4">
        <w:instrText xml:space="preserve"> </w:instrText>
      </w:r>
      <w:r w:rsidR="00C37789" w:rsidRPr="000322E4">
        <w:rPr>
          <w:lang w:val="en-US"/>
        </w:rPr>
        <w:instrText>follow</w:instrText>
      </w:r>
      <w:r w:rsidR="00C37789" w:rsidRPr="000322E4">
        <w:instrText xml:space="preserve"> </w:instrText>
      </w:r>
      <w:r w:rsidR="00C37789" w:rsidRPr="000322E4">
        <w:rPr>
          <w:lang w:val="en-US"/>
        </w:rPr>
        <w:instrText>up</w:instrText>
      </w:r>
      <w:r w:rsidR="00C37789" w:rsidRPr="000322E4">
        <w:instrText xml:space="preserve"> </w:instrText>
      </w:r>
      <w:r w:rsidR="00C37789" w:rsidRPr="000322E4">
        <w:rPr>
          <w:lang w:val="en-US"/>
        </w:rPr>
        <w:instrText>of</w:instrText>
      </w:r>
      <w:r w:rsidR="00C37789" w:rsidRPr="000322E4">
        <w:instrText xml:space="preserve"> 44 </w:instrText>
      </w:r>
      <w:r w:rsidR="00C37789" w:rsidRPr="000322E4">
        <w:rPr>
          <w:lang w:val="en-US"/>
        </w:rPr>
        <w:instrText>months</w:instrText>
      </w:r>
      <w:r w:rsidR="00C37789" w:rsidRPr="000322E4">
        <w:instrText xml:space="preserve">, </w:instrText>
      </w:r>
      <w:r w:rsidR="00C37789" w:rsidRPr="000322E4">
        <w:rPr>
          <w:lang w:val="en-US"/>
        </w:rPr>
        <w:instrText>the</w:instrText>
      </w:r>
      <w:r w:rsidR="00C37789" w:rsidRPr="000322E4">
        <w:instrText xml:space="preserve"> </w:instrText>
      </w:r>
      <w:r w:rsidR="00C37789" w:rsidRPr="000322E4">
        <w:rPr>
          <w:lang w:val="en-US"/>
        </w:rPr>
        <w:instrText>median</w:instrText>
      </w:r>
      <w:r w:rsidR="00C37789" w:rsidRPr="000322E4">
        <w:instrText xml:space="preserve"> </w:instrText>
      </w:r>
      <w:r w:rsidR="00C37789" w:rsidRPr="000322E4">
        <w:rPr>
          <w:lang w:val="en-US"/>
        </w:rPr>
        <w:instrText>time</w:instrText>
      </w:r>
      <w:r w:rsidR="00C37789" w:rsidRPr="000322E4">
        <w:instrText xml:space="preserve"> </w:instrText>
      </w:r>
      <w:r w:rsidR="00C37789" w:rsidRPr="000322E4">
        <w:rPr>
          <w:lang w:val="en-US"/>
        </w:rPr>
        <w:instrText>to</w:instrText>
      </w:r>
      <w:r w:rsidR="00C37789" w:rsidRPr="000322E4">
        <w:instrText xml:space="preserve"> </w:instrText>
      </w:r>
      <w:r w:rsidR="00C37789" w:rsidRPr="000322E4">
        <w:rPr>
          <w:lang w:val="en-US"/>
        </w:rPr>
        <w:instrText>progression</w:instrText>
      </w:r>
      <w:r w:rsidR="00C37789" w:rsidRPr="000322E4">
        <w:instrText xml:space="preserve"> (</w:instrText>
      </w:r>
      <w:r w:rsidR="00C37789" w:rsidRPr="000322E4">
        <w:rPr>
          <w:lang w:val="en-US"/>
        </w:rPr>
        <w:instrText>TTP</w:instrText>
      </w:r>
      <w:r w:rsidR="00C37789" w:rsidRPr="000322E4">
        <w:instrText xml:space="preserve">) </w:instrText>
      </w:r>
      <w:r w:rsidR="00C37789" w:rsidRPr="000322E4">
        <w:rPr>
          <w:lang w:val="en-US"/>
        </w:rPr>
        <w:instrText>for</w:instrText>
      </w:r>
      <w:r w:rsidR="00C37789" w:rsidRPr="000322E4">
        <w:instrText xml:space="preserve"> </w:instrText>
      </w:r>
      <w:r w:rsidR="00C37789" w:rsidRPr="000322E4">
        <w:rPr>
          <w:lang w:val="en-US"/>
        </w:rPr>
        <w:instrText>all</w:instrText>
      </w:r>
      <w:r w:rsidR="00C37789" w:rsidRPr="000322E4">
        <w:instrText xml:space="preserve"> </w:instrText>
      </w:r>
      <w:r w:rsidR="00C37789" w:rsidRPr="000322E4">
        <w:rPr>
          <w:lang w:val="en-US"/>
        </w:rPr>
        <w:instrText>patients</w:instrText>
      </w:r>
      <w:r w:rsidR="00C37789" w:rsidRPr="000322E4">
        <w:instrText xml:space="preserve"> </w:instrText>
      </w:r>
      <w:r w:rsidR="00C37789" w:rsidRPr="000322E4">
        <w:rPr>
          <w:lang w:val="en-US"/>
        </w:rPr>
        <w:instrText>was</w:instrText>
      </w:r>
      <w:r w:rsidR="00C37789" w:rsidRPr="000322E4">
        <w:instrText xml:space="preserve"> 8.1 </w:instrText>
      </w:r>
      <w:r w:rsidR="00C37789" w:rsidRPr="000322E4">
        <w:rPr>
          <w:lang w:val="en-US"/>
        </w:rPr>
        <w:instrText>months</w:instrText>
      </w:r>
      <w:r w:rsidR="00C37789" w:rsidRPr="000322E4">
        <w:instrText xml:space="preserve"> </w:instrText>
      </w:r>
      <w:r w:rsidR="00C37789" w:rsidRPr="000322E4">
        <w:rPr>
          <w:lang w:val="en-US"/>
        </w:rPr>
        <w:instrText>while</w:instrText>
      </w:r>
      <w:r w:rsidR="00C37789" w:rsidRPr="000322E4">
        <w:instrText xml:space="preserve"> </w:instrText>
      </w:r>
      <w:r w:rsidR="00C37789" w:rsidRPr="000322E4">
        <w:rPr>
          <w:lang w:val="en-US"/>
        </w:rPr>
        <w:instrText>the</w:instrText>
      </w:r>
      <w:r w:rsidR="00C37789" w:rsidRPr="000322E4">
        <w:instrText xml:space="preserve"> </w:instrText>
      </w:r>
      <w:r w:rsidR="00C37789" w:rsidRPr="000322E4">
        <w:rPr>
          <w:lang w:val="en-US"/>
        </w:rPr>
        <w:instrText>median</w:instrText>
      </w:r>
      <w:r w:rsidR="00C37789" w:rsidRPr="000322E4">
        <w:instrText xml:space="preserve"> </w:instrText>
      </w:r>
      <w:r w:rsidR="00C37789" w:rsidRPr="000322E4">
        <w:rPr>
          <w:lang w:val="en-US"/>
        </w:rPr>
        <w:instrText>overall</w:instrText>
      </w:r>
      <w:r w:rsidR="00C37789" w:rsidRPr="000322E4">
        <w:instrText xml:space="preserve"> </w:instrText>
      </w:r>
      <w:r w:rsidR="00C37789" w:rsidRPr="000322E4">
        <w:rPr>
          <w:lang w:val="en-US"/>
        </w:rPr>
        <w:instrText>survival</w:instrText>
      </w:r>
      <w:r w:rsidR="00C37789" w:rsidRPr="000322E4">
        <w:instrText xml:space="preserve"> (</w:instrText>
      </w:r>
      <w:r w:rsidR="00C37789" w:rsidRPr="000322E4">
        <w:rPr>
          <w:lang w:val="en-US"/>
        </w:rPr>
        <w:instrText>OS</w:instrText>
      </w:r>
      <w:r w:rsidR="00C37789" w:rsidRPr="000322E4">
        <w:instrText xml:space="preserve">) </w:instrText>
      </w:r>
      <w:r w:rsidR="00C37789" w:rsidRPr="000322E4">
        <w:rPr>
          <w:lang w:val="en-US"/>
        </w:rPr>
        <w:instrText>was</w:instrText>
      </w:r>
      <w:r w:rsidR="00C37789" w:rsidRPr="000322E4">
        <w:instrText xml:space="preserve"> 12.9 </w:instrText>
      </w:r>
      <w:r w:rsidR="00C37789" w:rsidRPr="000322E4">
        <w:rPr>
          <w:lang w:val="en-US"/>
        </w:rPr>
        <w:instrText>months</w:instrText>
      </w:r>
      <w:r w:rsidR="00C37789" w:rsidRPr="000322E4">
        <w:instrText xml:space="preserve">. </w:instrText>
      </w:r>
      <w:r w:rsidR="00C37789" w:rsidRPr="000322E4">
        <w:rPr>
          <w:lang w:val="en-US"/>
        </w:rPr>
        <w:instrText>Toxicity</w:instrText>
      </w:r>
      <w:r w:rsidR="00C37789" w:rsidRPr="000322E4">
        <w:instrText xml:space="preserve"> </w:instrText>
      </w:r>
      <w:r w:rsidR="00C37789" w:rsidRPr="000322E4">
        <w:rPr>
          <w:lang w:val="en-US"/>
        </w:rPr>
        <w:instrText>was</w:instrText>
      </w:r>
      <w:r w:rsidR="00C37789" w:rsidRPr="000322E4">
        <w:instrText xml:space="preserve"> </w:instrText>
      </w:r>
      <w:r w:rsidR="00C37789" w:rsidRPr="000322E4">
        <w:rPr>
          <w:lang w:val="en-US"/>
        </w:rPr>
        <w:instrText>minimal</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all</w:instrText>
      </w:r>
      <w:r w:rsidR="00C37789" w:rsidRPr="000322E4">
        <w:instrText xml:space="preserve"> </w:instrText>
      </w:r>
      <w:r w:rsidR="00C37789" w:rsidRPr="000322E4">
        <w:rPr>
          <w:lang w:val="en-US"/>
        </w:rPr>
        <w:instrText>patients</w:instrText>
      </w:r>
      <w:r w:rsidR="00C37789" w:rsidRPr="000322E4">
        <w:instrText xml:space="preserve"> </w:instrText>
      </w:r>
      <w:r w:rsidR="00C37789" w:rsidRPr="000322E4">
        <w:rPr>
          <w:lang w:val="en-US"/>
        </w:rPr>
        <w:instrText>were</w:instrText>
      </w:r>
      <w:r w:rsidR="00C37789" w:rsidRPr="000322E4">
        <w:instrText xml:space="preserve"> </w:instrText>
      </w:r>
      <w:r w:rsidR="00C37789" w:rsidRPr="000322E4">
        <w:rPr>
          <w:lang w:val="en-US"/>
        </w:rPr>
        <w:instrText>treated</w:instrText>
      </w:r>
      <w:r w:rsidR="00C37789" w:rsidRPr="000322E4">
        <w:instrText xml:space="preserve"> </w:instrText>
      </w:r>
      <w:r w:rsidR="00C37789" w:rsidRPr="000322E4">
        <w:rPr>
          <w:lang w:val="en-US"/>
        </w:rPr>
        <w:instrText>on</w:instrText>
      </w:r>
      <w:r w:rsidR="00C37789" w:rsidRPr="000322E4">
        <w:instrText xml:space="preserve"> </w:instrText>
      </w:r>
      <w:r w:rsidR="00C37789" w:rsidRPr="000322E4">
        <w:rPr>
          <w:lang w:val="en-US"/>
        </w:rPr>
        <w:instrText>an</w:instrText>
      </w:r>
      <w:r w:rsidR="00C37789" w:rsidRPr="000322E4">
        <w:instrText xml:space="preserve"> </w:instrText>
      </w:r>
      <w:r w:rsidR="00C37789" w:rsidRPr="000322E4">
        <w:rPr>
          <w:lang w:val="en-US"/>
        </w:rPr>
        <w:instrText>outpatient</w:instrText>
      </w:r>
      <w:r w:rsidR="00C37789" w:rsidRPr="000322E4">
        <w:instrText xml:space="preserve"> </w:instrText>
      </w:r>
      <w:r w:rsidR="00C37789" w:rsidRPr="000322E4">
        <w:rPr>
          <w:lang w:val="en-US"/>
        </w:rPr>
        <w:instrText>basis</w:instrText>
      </w:r>
      <w:r w:rsidR="00C37789" w:rsidRPr="000322E4">
        <w:instrText xml:space="preserve">. </w:instrText>
      </w:r>
      <w:r w:rsidR="00C37789" w:rsidRPr="000322E4">
        <w:rPr>
          <w:lang w:val="en-US"/>
        </w:rPr>
        <w:instrText>The</w:instrText>
      </w:r>
      <w:r w:rsidR="00C37789" w:rsidRPr="000322E4">
        <w:instrText xml:space="preserve"> </w:instrText>
      </w:r>
      <w:r w:rsidR="00C37789" w:rsidRPr="000322E4">
        <w:rPr>
          <w:lang w:val="en-US"/>
        </w:rPr>
        <w:instrText>combination</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gemcitabine</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vinorelbine</w:instrText>
      </w:r>
      <w:r w:rsidR="00C37789" w:rsidRPr="000322E4">
        <w:instrText xml:space="preserve"> </w:instrText>
      </w:r>
      <w:r w:rsidR="00C37789" w:rsidRPr="000322E4">
        <w:rPr>
          <w:lang w:val="en-US"/>
        </w:rPr>
        <w:instrText>is</w:instrText>
      </w:r>
      <w:r w:rsidR="00C37789" w:rsidRPr="000322E4">
        <w:instrText xml:space="preserve"> </w:instrText>
      </w:r>
      <w:r w:rsidR="00C37789" w:rsidRPr="000322E4">
        <w:rPr>
          <w:lang w:val="en-US"/>
        </w:rPr>
        <w:instrText>an</w:instrText>
      </w:r>
      <w:r w:rsidR="00C37789" w:rsidRPr="000322E4">
        <w:instrText xml:space="preserve"> </w:instrText>
      </w:r>
      <w:r w:rsidR="00C37789" w:rsidRPr="000322E4">
        <w:rPr>
          <w:lang w:val="en-US"/>
        </w:rPr>
        <w:instrText>effective</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well</w:instrText>
      </w:r>
      <w:r w:rsidR="00C37789" w:rsidRPr="000322E4">
        <w:instrText>-</w:instrText>
      </w:r>
      <w:r w:rsidR="00C37789" w:rsidRPr="000322E4">
        <w:rPr>
          <w:lang w:val="en-US"/>
        </w:rPr>
        <w:instrText>tolerated</w:instrText>
      </w:r>
      <w:r w:rsidR="00C37789" w:rsidRPr="000322E4">
        <w:instrText xml:space="preserve"> </w:instrText>
      </w:r>
      <w:r w:rsidR="00C37789" w:rsidRPr="000322E4">
        <w:rPr>
          <w:lang w:val="en-US"/>
        </w:rPr>
        <w:instrText>regimen</w:instrText>
      </w:r>
      <w:r w:rsidR="00C37789" w:rsidRPr="000322E4">
        <w:instrText xml:space="preserve"> </w:instrText>
      </w:r>
      <w:r w:rsidR="00C37789" w:rsidRPr="000322E4">
        <w:rPr>
          <w:lang w:val="en-US"/>
        </w:rPr>
        <w:instrText>for</w:instrText>
      </w:r>
      <w:r w:rsidR="00C37789" w:rsidRPr="000322E4">
        <w:instrText xml:space="preserve"> </w:instrText>
      </w:r>
      <w:r w:rsidR="00C37789" w:rsidRPr="000322E4">
        <w:rPr>
          <w:lang w:val="en-US"/>
        </w:rPr>
        <w:instrText>patients</w:instrText>
      </w:r>
      <w:r w:rsidR="00C37789" w:rsidRPr="000322E4">
        <w:instrText xml:space="preserve"> </w:instrText>
      </w:r>
      <w:r w:rsidR="00C37789" w:rsidRPr="000322E4">
        <w:rPr>
          <w:lang w:val="en-US"/>
        </w:rPr>
        <w:instrText>with</w:instrText>
      </w:r>
      <w:r w:rsidR="00C37789" w:rsidRPr="000322E4">
        <w:instrText xml:space="preserve"> </w:instrText>
      </w:r>
      <w:r w:rsidR="00C37789" w:rsidRPr="000322E4">
        <w:rPr>
          <w:lang w:val="en-US"/>
        </w:rPr>
        <w:instrText>relapsed</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refractory</w:instrText>
      </w:r>
      <w:r w:rsidR="00C37789" w:rsidRPr="000322E4">
        <w:instrText xml:space="preserve"> </w:instrText>
      </w:r>
      <w:r w:rsidR="00C37789" w:rsidRPr="000322E4">
        <w:rPr>
          <w:lang w:val="en-US"/>
        </w:rPr>
        <w:instrText>DLBL</w:instrText>
      </w:r>
      <w:r w:rsidR="00C37789" w:rsidRPr="000322E4">
        <w:instrText xml:space="preserve">. © </w:instrText>
      </w:r>
      <w:r w:rsidR="00C37789" w:rsidRPr="000322E4">
        <w:rPr>
          <w:lang w:val="en-US"/>
        </w:rPr>
        <w:instrText>Blackwell</w:instrText>
      </w:r>
      <w:r w:rsidR="00C37789" w:rsidRPr="000322E4">
        <w:instrText xml:space="preserve"> </w:instrText>
      </w:r>
      <w:r w:rsidR="00C37789" w:rsidRPr="000322E4">
        <w:rPr>
          <w:lang w:val="en-US"/>
        </w:rPr>
        <w:instrText>Munksgaard</w:instrText>
      </w:r>
      <w:r w:rsidR="00C37789" w:rsidRPr="000322E4">
        <w:instrText xml:space="preserve"> 2005.","</w:instrText>
      </w:r>
      <w:r w:rsidR="00C37789" w:rsidRPr="000322E4">
        <w:rPr>
          <w:lang w:val="en-US"/>
        </w:rPr>
        <w:instrText>author</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Papageorgiou</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Efstathios</w:instrText>
      </w:r>
      <w:r w:rsidR="00C37789" w:rsidRPr="000322E4">
        <w:instrText xml:space="preserve"> </w:instrText>
      </w:r>
      <w:r w:rsidR="00C37789" w:rsidRPr="000322E4">
        <w:rPr>
          <w:lang w:val="en-US"/>
        </w:rPr>
        <w:instrText>S</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Tsirigotis</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Panagiotis</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Dimopoulos</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Meletios</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Pavlidis</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Nikolaos</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Fountzilas</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George</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Papageorgiou</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Sotirios</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family</w:instrText>
      </w:r>
      <w:r w:rsidR="00C37789" w:rsidRPr="000322E4">
        <w:instrText>":"</w:instrText>
      </w:r>
      <w:r w:rsidR="00C37789" w:rsidRPr="000322E4">
        <w:rPr>
          <w:lang w:val="en-US"/>
        </w:rPr>
        <w:instrText>Economopoulos</w:instrText>
      </w:r>
      <w:r w:rsidR="00C37789" w:rsidRPr="000322E4">
        <w:instrText>","</w:instrText>
      </w:r>
      <w:r w:rsidR="00C37789" w:rsidRPr="000322E4">
        <w:rPr>
          <w:lang w:val="en-US"/>
        </w:rPr>
        <w:instrText>given</w:instrText>
      </w:r>
      <w:r w:rsidR="00C37789" w:rsidRPr="000322E4">
        <w:instrText>":"</w:instrText>
      </w:r>
      <w:r w:rsidR="00C37789" w:rsidRPr="000322E4">
        <w:rPr>
          <w:lang w:val="en-US"/>
        </w:rPr>
        <w:instrText>Theofanis</w:instrText>
      </w:r>
      <w:r w:rsidR="00C37789" w:rsidRPr="000322E4">
        <w:instrText>","</w:instrText>
      </w:r>
      <w:r w:rsidR="00C37789" w:rsidRPr="000322E4">
        <w:rPr>
          <w:lang w:val="en-US"/>
        </w:rPr>
        <w:instrText>non</w:instrText>
      </w:r>
      <w:r w:rsidR="00C37789" w:rsidRPr="000322E4">
        <w:instrText>-</w:instrText>
      </w:r>
      <w:r w:rsidR="00C37789" w:rsidRPr="000322E4">
        <w:rPr>
          <w:lang w:val="en-US"/>
        </w:rPr>
        <w:instrText>dropping</w:instrText>
      </w:r>
      <w:r w:rsidR="00C37789" w:rsidRPr="000322E4">
        <w:instrText>-</w:instrText>
      </w:r>
      <w:r w:rsidR="00C37789" w:rsidRPr="000322E4">
        <w:rPr>
          <w:lang w:val="en-US"/>
        </w:rPr>
        <w:instrText>particle</w:instrText>
      </w:r>
      <w:r w:rsidR="00C37789" w:rsidRPr="000322E4">
        <w:instrText>":"","</w:instrText>
      </w:r>
      <w:r w:rsidR="00C37789" w:rsidRPr="000322E4">
        <w:rPr>
          <w:lang w:val="en-US"/>
        </w:rPr>
        <w:instrText>parse</w:instrText>
      </w:r>
      <w:r w:rsidR="00C37789" w:rsidRPr="000322E4">
        <w:instrText>-</w:instrText>
      </w:r>
      <w:r w:rsidR="00C37789" w:rsidRPr="000322E4">
        <w:rPr>
          <w:lang w:val="en-US"/>
        </w:rPr>
        <w:instrText>names</w:instrText>
      </w:r>
      <w:r w:rsidR="00C37789" w:rsidRPr="000322E4">
        <w:instrText>":</w:instrText>
      </w:r>
      <w:r w:rsidR="00C37789" w:rsidRPr="000322E4">
        <w:rPr>
          <w:lang w:val="en-US"/>
        </w:rPr>
        <w:instrText>false</w:instrText>
      </w:r>
      <w:r w:rsidR="00C37789" w:rsidRPr="000322E4">
        <w:instrText>,"</w:instrText>
      </w:r>
      <w:r w:rsidR="00C37789" w:rsidRPr="000322E4">
        <w:rPr>
          <w:lang w:val="en-US"/>
        </w:rPr>
        <w:instrText>suffix</w:instrText>
      </w:r>
      <w:r w:rsidR="00C37789" w:rsidRPr="000322E4">
        <w:instrText>":""}],"</w:instrText>
      </w:r>
      <w:r w:rsidR="00C37789" w:rsidRPr="000322E4">
        <w:rPr>
          <w:lang w:val="en-US"/>
        </w:rPr>
        <w:instrText>container</w:instrText>
      </w:r>
      <w:r w:rsidR="00C37789" w:rsidRPr="000322E4">
        <w:instrText>-</w:instrText>
      </w:r>
      <w:r w:rsidR="00C37789" w:rsidRPr="000322E4">
        <w:rPr>
          <w:lang w:val="en-US"/>
        </w:rPr>
        <w:instrText>title</w:instrText>
      </w:r>
      <w:r w:rsidR="00C37789" w:rsidRPr="000322E4">
        <w:instrText>":"</w:instrText>
      </w:r>
      <w:r w:rsidR="00C37789" w:rsidRPr="000322E4">
        <w:rPr>
          <w:lang w:val="en-US"/>
        </w:rPr>
        <w:instrText>European</w:instrText>
      </w:r>
      <w:r w:rsidR="00C37789" w:rsidRPr="000322E4">
        <w:instrText xml:space="preserve"> </w:instrText>
      </w:r>
      <w:r w:rsidR="00C37789" w:rsidRPr="000322E4">
        <w:rPr>
          <w:lang w:val="en-US"/>
        </w:rPr>
        <w:instrText>Journal</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Haematology</w:instrText>
      </w:r>
      <w:r w:rsidR="00C37789" w:rsidRPr="000322E4">
        <w:instrText>","</w:instrText>
      </w:r>
      <w:r w:rsidR="00C37789" w:rsidRPr="000322E4">
        <w:rPr>
          <w:lang w:val="en-US"/>
        </w:rPr>
        <w:instrText>id</w:instrText>
      </w:r>
      <w:r w:rsidR="00C37789" w:rsidRPr="000322E4">
        <w:instrText>":"</w:instrText>
      </w:r>
      <w:r w:rsidR="00C37789" w:rsidRPr="000322E4">
        <w:rPr>
          <w:lang w:val="en-US"/>
        </w:rPr>
        <w:instrText>ITEM</w:instrText>
      </w:r>
      <w:r w:rsidR="00C37789" w:rsidRPr="000322E4">
        <w:instrText>-1","</w:instrText>
      </w:r>
      <w:r w:rsidR="00C37789" w:rsidRPr="000322E4">
        <w:rPr>
          <w:lang w:val="en-US"/>
        </w:rPr>
        <w:instrText>issue</w:instrText>
      </w:r>
      <w:r w:rsidR="00C37789" w:rsidRPr="000322E4">
        <w:instrText>":"2","</w:instrText>
      </w:r>
      <w:r w:rsidR="00C37789" w:rsidRPr="000322E4">
        <w:rPr>
          <w:lang w:val="en-US"/>
        </w:rPr>
        <w:instrText>issued</w:instrText>
      </w:r>
      <w:r w:rsidR="00C37789" w:rsidRPr="000322E4">
        <w:instrText>":{"</w:instrText>
      </w:r>
      <w:r w:rsidR="00C37789" w:rsidRPr="000322E4">
        <w:rPr>
          <w:lang w:val="en-US"/>
        </w:rPr>
        <w:instrText>date</w:instrText>
      </w:r>
      <w:r w:rsidR="00C37789" w:rsidRPr="000322E4">
        <w:instrText>-</w:instrText>
      </w:r>
      <w:r w:rsidR="00C37789" w:rsidRPr="000322E4">
        <w:rPr>
          <w:lang w:val="en-US"/>
        </w:rPr>
        <w:instrText>parts</w:instrText>
      </w:r>
      <w:r w:rsidR="00C37789" w:rsidRPr="000322E4">
        <w:instrText>":[["2005","8"]]},"</w:instrText>
      </w:r>
      <w:r w:rsidR="00C37789" w:rsidRPr="000322E4">
        <w:rPr>
          <w:lang w:val="en-US"/>
        </w:rPr>
        <w:instrText>page</w:instrText>
      </w:r>
      <w:r w:rsidR="00C37789" w:rsidRPr="000322E4">
        <w:instrText>":"124-129","</w:instrText>
      </w:r>
      <w:r w:rsidR="00C37789" w:rsidRPr="000322E4">
        <w:rPr>
          <w:lang w:val="en-US"/>
        </w:rPr>
        <w:instrText>title</w:instrText>
      </w:r>
      <w:r w:rsidR="00C37789" w:rsidRPr="000322E4">
        <w:instrText>":"</w:instrText>
      </w:r>
      <w:r w:rsidR="00C37789" w:rsidRPr="000322E4">
        <w:rPr>
          <w:lang w:val="en-US"/>
        </w:rPr>
        <w:instrText>Combination</w:instrText>
      </w:r>
      <w:r w:rsidR="00C37789" w:rsidRPr="000322E4">
        <w:instrText xml:space="preserve"> </w:instrText>
      </w:r>
      <w:r w:rsidR="00C37789" w:rsidRPr="000322E4">
        <w:rPr>
          <w:lang w:val="en-US"/>
        </w:rPr>
        <w:instrText>chemotherapy</w:instrText>
      </w:r>
      <w:r w:rsidR="00C37789" w:rsidRPr="000322E4">
        <w:instrText xml:space="preserve"> </w:instrText>
      </w:r>
      <w:r w:rsidR="00C37789" w:rsidRPr="000322E4">
        <w:rPr>
          <w:lang w:val="en-US"/>
        </w:rPr>
        <w:instrText>with</w:instrText>
      </w:r>
      <w:r w:rsidR="00C37789" w:rsidRPr="000322E4">
        <w:instrText xml:space="preserve"> </w:instrText>
      </w:r>
      <w:r w:rsidR="00C37789" w:rsidRPr="000322E4">
        <w:rPr>
          <w:lang w:val="en-US"/>
        </w:rPr>
        <w:instrText>gemcitabine</w:instrText>
      </w:r>
      <w:r w:rsidR="00C37789" w:rsidRPr="000322E4">
        <w:instrText xml:space="preserve"> </w:instrText>
      </w:r>
      <w:r w:rsidR="00C37789" w:rsidRPr="000322E4">
        <w:rPr>
          <w:lang w:val="en-US"/>
        </w:rPr>
        <w:instrText>and</w:instrText>
      </w:r>
      <w:r w:rsidR="00C37789" w:rsidRPr="000322E4">
        <w:instrText xml:space="preserve"> </w:instrText>
      </w:r>
      <w:r w:rsidR="00C37789" w:rsidRPr="000322E4">
        <w:rPr>
          <w:lang w:val="en-US"/>
        </w:rPr>
        <w:instrText>vinorelbine</w:instrText>
      </w:r>
      <w:r w:rsidR="00C37789" w:rsidRPr="000322E4">
        <w:instrText xml:space="preserve"> </w:instrText>
      </w:r>
      <w:r w:rsidR="00C37789" w:rsidRPr="000322E4">
        <w:rPr>
          <w:lang w:val="en-US"/>
        </w:rPr>
        <w:instrText>in</w:instrText>
      </w:r>
      <w:r w:rsidR="00C37789" w:rsidRPr="000322E4">
        <w:instrText xml:space="preserve"> </w:instrText>
      </w:r>
      <w:r w:rsidR="00C37789" w:rsidRPr="000322E4">
        <w:rPr>
          <w:lang w:val="en-US"/>
        </w:rPr>
        <w:instrText>the</w:instrText>
      </w:r>
      <w:r w:rsidR="00C37789" w:rsidRPr="000322E4">
        <w:instrText xml:space="preserve"> </w:instrText>
      </w:r>
      <w:r w:rsidR="00C37789" w:rsidRPr="000322E4">
        <w:rPr>
          <w:lang w:val="en-US"/>
        </w:rPr>
        <w:instrText>treatment</w:instrText>
      </w:r>
      <w:r w:rsidR="00C37789" w:rsidRPr="000322E4">
        <w:instrText xml:space="preserve"> </w:instrText>
      </w:r>
      <w:r w:rsidR="00C37789" w:rsidRPr="000322E4">
        <w:rPr>
          <w:lang w:val="en-US"/>
        </w:rPr>
        <w:instrText>of</w:instrText>
      </w:r>
      <w:r w:rsidR="00C37789" w:rsidRPr="000322E4">
        <w:instrText xml:space="preserve"> </w:instrText>
      </w:r>
      <w:r w:rsidR="00C37789" w:rsidRPr="000322E4">
        <w:rPr>
          <w:lang w:val="en-US"/>
        </w:rPr>
        <w:instrText>relapsed</w:instrText>
      </w:r>
      <w:r w:rsidR="00C37789" w:rsidRPr="000322E4">
        <w:instrText xml:space="preserve"> </w:instrText>
      </w:r>
      <w:r w:rsidR="00C37789" w:rsidRPr="000322E4">
        <w:rPr>
          <w:lang w:val="en-US"/>
        </w:rPr>
        <w:instrText>or</w:instrText>
      </w:r>
      <w:r w:rsidR="00C37789" w:rsidRPr="000322E4">
        <w:instrText xml:space="preserve"> </w:instrText>
      </w:r>
      <w:r w:rsidR="00C37789" w:rsidRPr="000322E4">
        <w:rPr>
          <w:lang w:val="en-US"/>
        </w:rPr>
        <w:instrText>refractory</w:instrText>
      </w:r>
      <w:r w:rsidR="00C37789" w:rsidRPr="000322E4">
        <w:instrText xml:space="preserve"> </w:instrText>
      </w:r>
      <w:r w:rsidR="00C37789" w:rsidRPr="000322E4">
        <w:rPr>
          <w:lang w:val="en-US"/>
        </w:rPr>
        <w:instrText>diffuse</w:instrText>
      </w:r>
      <w:r w:rsidR="00C37789" w:rsidRPr="000322E4">
        <w:instrText xml:space="preserve"> </w:instrText>
      </w:r>
      <w:r w:rsidR="00C37789" w:rsidRPr="000322E4">
        <w:rPr>
          <w:lang w:val="en-US"/>
        </w:rPr>
        <w:instrText>large</w:instrText>
      </w:r>
      <w:r w:rsidR="00C37789" w:rsidRPr="000322E4">
        <w:instrText xml:space="preserve"> </w:instrText>
      </w:r>
      <w:r w:rsidR="00C37789" w:rsidRPr="000322E4">
        <w:rPr>
          <w:lang w:val="en-US"/>
        </w:rPr>
        <w:instrText>B</w:instrText>
      </w:r>
      <w:r w:rsidR="00C37789" w:rsidRPr="000322E4">
        <w:instrText>-</w:instrText>
      </w:r>
      <w:r w:rsidR="00C37789" w:rsidRPr="000322E4">
        <w:rPr>
          <w:lang w:val="en-US"/>
        </w:rPr>
        <w:instrText>cell</w:instrText>
      </w:r>
      <w:r w:rsidR="00C37789" w:rsidRPr="000322E4">
        <w:instrText xml:space="preserve"> </w:instrText>
      </w:r>
      <w:r w:rsidR="00C37789" w:rsidRPr="000322E4">
        <w:rPr>
          <w:lang w:val="en-US"/>
        </w:rPr>
        <w:instrText>lymphoma</w:instrText>
      </w:r>
      <w:r w:rsidR="00C37789" w:rsidRPr="000322E4">
        <w:instrText xml:space="preserve">: </w:instrText>
      </w:r>
      <w:r w:rsidR="00C37789" w:rsidRPr="000322E4">
        <w:rPr>
          <w:lang w:val="en-US"/>
        </w:rPr>
        <w:instrText>A</w:instrText>
      </w:r>
      <w:r w:rsidR="00C37789" w:rsidRPr="000322E4">
        <w:instrText xml:space="preserve"> </w:instrText>
      </w:r>
      <w:r w:rsidR="00C37789" w:rsidRPr="000322E4">
        <w:rPr>
          <w:lang w:val="en-US"/>
        </w:rPr>
        <w:instrText>phase</w:instrText>
      </w:r>
      <w:r w:rsidR="00C37789" w:rsidRPr="000322E4">
        <w:instrText>-</w:instrText>
      </w:r>
      <w:r w:rsidR="00C37789" w:rsidRPr="000322E4">
        <w:rPr>
          <w:lang w:val="en-US"/>
        </w:rPr>
        <w:instrText>II</w:instrText>
      </w:r>
      <w:r w:rsidR="00C37789" w:rsidRPr="000322E4">
        <w:instrText xml:space="preserve"> </w:instrText>
      </w:r>
      <w:r w:rsidR="00C37789" w:rsidRPr="000322E4">
        <w:rPr>
          <w:lang w:val="en-US"/>
        </w:rPr>
        <w:instrText>trial</w:instrText>
      </w:r>
      <w:r w:rsidR="00C37789" w:rsidRPr="000322E4">
        <w:instrText xml:space="preserve"> </w:instrText>
      </w:r>
      <w:r w:rsidR="00C37789" w:rsidRPr="000322E4">
        <w:rPr>
          <w:lang w:val="en-US"/>
        </w:rPr>
        <w:instrText>by</w:instrText>
      </w:r>
      <w:r w:rsidR="00C37789" w:rsidRPr="000322E4">
        <w:instrText xml:space="preserve"> </w:instrText>
      </w:r>
      <w:r w:rsidR="00C37789" w:rsidRPr="000322E4">
        <w:rPr>
          <w:lang w:val="en-US"/>
        </w:rPr>
        <w:instrText>the</w:instrText>
      </w:r>
      <w:r w:rsidR="00C37789" w:rsidRPr="000322E4">
        <w:instrText xml:space="preserve"> </w:instrText>
      </w:r>
      <w:r w:rsidR="00C37789" w:rsidRPr="000322E4">
        <w:rPr>
          <w:lang w:val="en-US"/>
        </w:rPr>
        <w:instrText>Hellenic</w:instrText>
      </w:r>
      <w:r w:rsidR="00C37789" w:rsidRPr="000322E4">
        <w:instrText xml:space="preserve"> </w:instrText>
      </w:r>
      <w:r w:rsidR="00C37789" w:rsidRPr="000322E4">
        <w:rPr>
          <w:lang w:val="en-US"/>
        </w:rPr>
        <w:instrText>Cooperative</w:instrText>
      </w:r>
      <w:r w:rsidR="00C37789" w:rsidRPr="000322E4">
        <w:instrText xml:space="preserve"> </w:instrText>
      </w:r>
      <w:r w:rsidR="00C37789" w:rsidRPr="000322E4">
        <w:rPr>
          <w:lang w:val="en-US"/>
        </w:rPr>
        <w:instrText>Oncology</w:instrText>
      </w:r>
      <w:r w:rsidR="00C37789" w:rsidRPr="000322E4">
        <w:instrText xml:space="preserve"> </w:instrText>
      </w:r>
      <w:r w:rsidR="00C37789" w:rsidRPr="000322E4">
        <w:rPr>
          <w:lang w:val="en-US"/>
        </w:rPr>
        <w:instrText>Group</w:instrText>
      </w:r>
      <w:r w:rsidR="00C37789" w:rsidRPr="000322E4">
        <w:instrText>","</w:instrText>
      </w:r>
      <w:r w:rsidR="00C37789" w:rsidRPr="000322E4">
        <w:rPr>
          <w:lang w:val="en-US"/>
        </w:rPr>
        <w:instrText>type</w:instrText>
      </w:r>
      <w:r w:rsidR="00C37789" w:rsidRPr="000322E4">
        <w:instrText>":"</w:instrText>
      </w:r>
      <w:r w:rsidR="00C37789" w:rsidRPr="000322E4">
        <w:rPr>
          <w:lang w:val="en-US"/>
        </w:rPr>
        <w:instrText>article</w:instrText>
      </w:r>
      <w:r w:rsidR="00C37789" w:rsidRPr="000322E4">
        <w:instrText>-</w:instrText>
      </w:r>
      <w:r w:rsidR="00C37789" w:rsidRPr="000322E4">
        <w:rPr>
          <w:lang w:val="en-US"/>
        </w:rPr>
        <w:instrText>journal</w:instrText>
      </w:r>
      <w:r w:rsidR="00C37789" w:rsidRPr="000322E4">
        <w:instrText>","</w:instrText>
      </w:r>
      <w:r w:rsidR="00C37789" w:rsidRPr="000322E4">
        <w:rPr>
          <w:lang w:val="en-US"/>
        </w:rPr>
        <w:instrText>volume</w:instrText>
      </w:r>
      <w:r w:rsidR="00C37789" w:rsidRPr="000322E4">
        <w:instrText>":"75"},"</w:instrText>
      </w:r>
      <w:r w:rsidR="00C37789" w:rsidRPr="000322E4">
        <w:rPr>
          <w:lang w:val="en-US"/>
        </w:rPr>
        <w:instrText>uris</w:instrText>
      </w:r>
      <w:r w:rsidR="00C37789" w:rsidRPr="000322E4">
        <w:instrText>":["</w:instrText>
      </w:r>
      <w:r w:rsidR="00C37789" w:rsidRPr="000322E4">
        <w:rPr>
          <w:lang w:val="en-US"/>
        </w:rPr>
        <w:instrText>http</w:instrText>
      </w:r>
      <w:r w:rsidR="00C37789" w:rsidRPr="000322E4">
        <w:instrText>://</w:instrText>
      </w:r>
      <w:r w:rsidR="00C37789" w:rsidRPr="000322E4">
        <w:rPr>
          <w:lang w:val="en-US"/>
        </w:rPr>
        <w:instrText>www</w:instrText>
      </w:r>
      <w:r w:rsidR="00C37789" w:rsidRPr="000322E4">
        <w:instrText>.</w:instrText>
      </w:r>
      <w:r w:rsidR="00C37789" w:rsidRPr="000322E4">
        <w:rPr>
          <w:lang w:val="en-US"/>
        </w:rPr>
        <w:instrText>mendeley</w:instrText>
      </w:r>
      <w:r w:rsidR="00C37789" w:rsidRPr="000322E4">
        <w:instrText>.</w:instrText>
      </w:r>
      <w:r w:rsidR="00C37789" w:rsidRPr="000322E4">
        <w:rPr>
          <w:lang w:val="en-US"/>
        </w:rPr>
        <w:instrText>com</w:instrText>
      </w:r>
      <w:r w:rsidR="00C37789" w:rsidRPr="000322E4">
        <w:instrText>/</w:instrText>
      </w:r>
      <w:r w:rsidR="00C37789" w:rsidRPr="000322E4">
        <w:rPr>
          <w:lang w:val="en-US"/>
        </w:rPr>
        <w:instrText>documents</w:instrText>
      </w:r>
      <w:r w:rsidR="00C37789" w:rsidRPr="000322E4">
        <w:instrText>/?</w:instrText>
      </w:r>
      <w:r w:rsidR="00C37789" w:rsidRPr="000322E4">
        <w:rPr>
          <w:lang w:val="en-US"/>
        </w:rPr>
        <w:instrText>uuid</w:instrText>
      </w:r>
      <w:r w:rsidR="00C37789" w:rsidRPr="000322E4">
        <w:instrText>=1</w:instrText>
      </w:r>
      <w:r w:rsidR="00C37789" w:rsidRPr="000322E4">
        <w:rPr>
          <w:lang w:val="en-US"/>
        </w:rPr>
        <w:instrText>c</w:instrText>
      </w:r>
      <w:r w:rsidR="00C37789" w:rsidRPr="000322E4">
        <w:instrText>1506</w:instrText>
      </w:r>
      <w:r w:rsidR="00C37789" w:rsidRPr="000322E4">
        <w:rPr>
          <w:lang w:val="en-US"/>
        </w:rPr>
        <w:instrText>a</w:instrText>
      </w:r>
      <w:r w:rsidR="00C37789" w:rsidRPr="000322E4">
        <w:instrText>1-5</w:instrText>
      </w:r>
      <w:r w:rsidR="00C37789" w:rsidRPr="000322E4">
        <w:rPr>
          <w:lang w:val="en-US"/>
        </w:rPr>
        <w:instrText>edd</w:instrText>
      </w:r>
      <w:r w:rsidR="00C37789" w:rsidRPr="000322E4">
        <w:instrText>-3390-84</w:instrText>
      </w:r>
      <w:r w:rsidR="00C37789" w:rsidRPr="000322E4">
        <w:rPr>
          <w:lang w:val="en-US"/>
        </w:rPr>
        <w:instrText>b</w:instrText>
      </w:r>
      <w:r w:rsidR="00C37789" w:rsidRPr="000322E4">
        <w:instrText>3-4</w:instrText>
      </w:r>
      <w:r w:rsidR="00C37789" w:rsidRPr="000322E4">
        <w:rPr>
          <w:lang w:val="en-US"/>
        </w:rPr>
        <w:instrText>cf</w:instrText>
      </w:r>
      <w:r w:rsidR="00C37789" w:rsidRPr="000322E4">
        <w:instrText>10928</w:instrText>
      </w:r>
      <w:r w:rsidR="00C37789" w:rsidRPr="000322E4">
        <w:rPr>
          <w:lang w:val="en-US"/>
        </w:rPr>
        <w:instrText>adb</w:instrText>
      </w:r>
      <w:r w:rsidR="00C37789" w:rsidRPr="000322E4">
        <w:instrText>2"]}],"</w:instrText>
      </w:r>
      <w:r w:rsidR="00C37789" w:rsidRPr="000322E4">
        <w:rPr>
          <w:lang w:val="en-US"/>
        </w:rPr>
        <w:instrText>mendeley</w:instrText>
      </w:r>
      <w:r w:rsidR="00C37789" w:rsidRPr="000322E4">
        <w:instrText>":{"</w:instrText>
      </w:r>
      <w:r w:rsidR="00C37789" w:rsidRPr="000322E4">
        <w:rPr>
          <w:lang w:val="en-US"/>
        </w:rPr>
        <w:instrText>formattedCitation</w:instrText>
      </w:r>
      <w:r w:rsidR="00C37789" w:rsidRPr="000322E4">
        <w:instrText>":"[107]","</w:instrText>
      </w:r>
      <w:r w:rsidR="00C37789" w:rsidRPr="000322E4">
        <w:rPr>
          <w:lang w:val="en-US"/>
        </w:rPr>
        <w:instrText>plainTextFormattedCitation</w:instrText>
      </w:r>
      <w:r w:rsidR="00C37789" w:rsidRPr="000322E4">
        <w:instrText>":"[107]","</w:instrText>
      </w:r>
      <w:r w:rsidR="00C37789" w:rsidRPr="000322E4">
        <w:rPr>
          <w:lang w:val="en-US"/>
        </w:rPr>
        <w:instrText>previouslyFormattedCitation</w:instrText>
      </w:r>
      <w:r w:rsidR="00C37789" w:rsidRPr="000322E4">
        <w:instrText>":"[107]"},"</w:instrText>
      </w:r>
      <w:r w:rsidR="00C37789" w:rsidRPr="000322E4">
        <w:rPr>
          <w:lang w:val="en-US"/>
        </w:rPr>
        <w:instrText>properties</w:instrText>
      </w:r>
      <w:r w:rsidR="00C37789" w:rsidRPr="000322E4">
        <w:instrText>":{"</w:instrText>
      </w:r>
      <w:r w:rsidR="00C37789" w:rsidRPr="000322E4">
        <w:rPr>
          <w:lang w:val="en-US"/>
        </w:rPr>
        <w:instrText>noteIndex</w:instrText>
      </w:r>
      <w:r w:rsidR="00C37789" w:rsidRPr="000322E4">
        <w:instrText>":0},"</w:instrText>
      </w:r>
      <w:r w:rsidR="00C37789" w:rsidRPr="000322E4">
        <w:rPr>
          <w:lang w:val="en-US"/>
        </w:rPr>
        <w:instrText>schema</w:instrText>
      </w:r>
      <w:r w:rsidR="00C37789" w:rsidRPr="000322E4">
        <w:instrText>":"</w:instrText>
      </w:r>
      <w:r w:rsidR="00C37789" w:rsidRPr="000322E4">
        <w:rPr>
          <w:lang w:val="en-US"/>
        </w:rPr>
        <w:instrText>https</w:instrText>
      </w:r>
      <w:r w:rsidR="00C37789" w:rsidRPr="000322E4">
        <w:instrText>://</w:instrText>
      </w:r>
      <w:r w:rsidR="00C37789" w:rsidRPr="000322E4">
        <w:rPr>
          <w:lang w:val="en-US"/>
        </w:rPr>
        <w:instrText>github</w:instrText>
      </w:r>
      <w:r w:rsidR="00C37789" w:rsidRPr="000322E4">
        <w:instrText>.</w:instrText>
      </w:r>
      <w:r w:rsidR="00C37789" w:rsidRPr="000322E4">
        <w:rPr>
          <w:lang w:val="en-US"/>
        </w:rPr>
        <w:instrText>com</w:instrText>
      </w:r>
      <w:r w:rsidR="00C37789" w:rsidRPr="000322E4">
        <w:instrText>/</w:instrText>
      </w:r>
      <w:r w:rsidR="00C37789" w:rsidRPr="000322E4">
        <w:rPr>
          <w:lang w:val="en-US"/>
        </w:rPr>
        <w:instrText>citation</w:instrText>
      </w:r>
      <w:r w:rsidR="00C37789" w:rsidRPr="000322E4">
        <w:instrText>-</w:instrText>
      </w:r>
      <w:r w:rsidR="00C37789" w:rsidRPr="000322E4">
        <w:rPr>
          <w:lang w:val="en-US"/>
        </w:rPr>
        <w:instrText>style</w:instrText>
      </w:r>
      <w:r w:rsidR="00C37789" w:rsidRPr="000322E4">
        <w:instrText>-</w:instrText>
      </w:r>
      <w:r w:rsidR="00C37789" w:rsidRPr="000322E4">
        <w:rPr>
          <w:lang w:val="en-US"/>
        </w:rPr>
        <w:instrText>language</w:instrText>
      </w:r>
      <w:r w:rsidR="00C37789" w:rsidRPr="000322E4">
        <w:instrText>/</w:instrText>
      </w:r>
      <w:r w:rsidR="00C37789" w:rsidRPr="000322E4">
        <w:rPr>
          <w:lang w:val="en-US"/>
        </w:rPr>
        <w:instrText>schema</w:instrText>
      </w:r>
      <w:r w:rsidR="00C37789" w:rsidRPr="000322E4">
        <w:instrText>/</w:instrText>
      </w:r>
      <w:r w:rsidR="00C37789" w:rsidRPr="000322E4">
        <w:rPr>
          <w:lang w:val="en-US"/>
        </w:rPr>
        <w:instrText>raw</w:instrText>
      </w:r>
      <w:r w:rsidR="00C37789" w:rsidRPr="000322E4">
        <w:instrText>/</w:instrText>
      </w:r>
      <w:r w:rsidR="00C37789" w:rsidRPr="000322E4">
        <w:rPr>
          <w:lang w:val="en-US"/>
        </w:rPr>
        <w:instrText>master</w:instrText>
      </w:r>
      <w:r w:rsidR="00C37789" w:rsidRPr="000322E4">
        <w:instrText>/</w:instrText>
      </w:r>
      <w:r w:rsidR="00C37789" w:rsidRPr="000322E4">
        <w:rPr>
          <w:lang w:val="en-US"/>
        </w:rPr>
        <w:instrText>csl</w:instrText>
      </w:r>
      <w:r w:rsidR="00C37789" w:rsidRPr="000322E4">
        <w:instrText>-</w:instrText>
      </w:r>
      <w:r w:rsidR="00C37789" w:rsidRPr="000322E4">
        <w:rPr>
          <w:lang w:val="en-US"/>
        </w:rPr>
        <w:instrText>citation</w:instrText>
      </w:r>
      <w:r w:rsidR="00C37789" w:rsidRPr="000322E4">
        <w:instrText>.</w:instrText>
      </w:r>
      <w:r w:rsidR="00C37789" w:rsidRPr="000322E4">
        <w:rPr>
          <w:lang w:val="en-US"/>
        </w:rPr>
        <w:instrText>json</w:instrText>
      </w:r>
      <w:r w:rsidR="00C37789" w:rsidRPr="000322E4">
        <w:instrText>"}</w:instrText>
      </w:r>
      <w:r w:rsidR="00666D68" w:rsidRPr="000322E4">
        <w:rPr>
          <w:lang w:val="en-US"/>
        </w:rPr>
        <w:fldChar w:fldCharType="separate"/>
      </w:r>
      <w:r w:rsidR="00C37789" w:rsidRPr="000322E4">
        <w:rPr>
          <w:noProof/>
        </w:rPr>
        <w:t>[107]</w:t>
      </w:r>
      <w:r w:rsidR="00666D68" w:rsidRPr="000322E4">
        <w:rPr>
          <w:lang w:val="en-US"/>
        </w:rPr>
        <w:fldChar w:fldCharType="end"/>
      </w:r>
    </w:p>
    <w:p w14:paraId="5EB59AB0" w14:textId="77777777" w:rsidR="00666D68" w:rsidRPr="000322E4" w:rsidRDefault="00D2304E" w:rsidP="008E3584">
      <w:pPr>
        <w:numPr>
          <w:ilvl w:val="0"/>
          <w:numId w:val="49"/>
        </w:numPr>
      </w:pPr>
      <w:r w:rsidRPr="00D2304E">
        <w:t>#</w:t>
      </w:r>
      <w:r w:rsidR="00666D68" w:rsidRPr="000322E4">
        <w:t>Гемцитабин** 1000 мг/м</w:t>
      </w:r>
      <w:r w:rsidR="00666D68" w:rsidRPr="000322E4">
        <w:rPr>
          <w:vertAlign w:val="superscript"/>
        </w:rPr>
        <w:t>2</w:t>
      </w:r>
      <w:r w:rsidR="00666D68" w:rsidRPr="000322E4">
        <w:t xml:space="preserve"> в/в кап., дни 1 и 8 </w:t>
      </w:r>
    </w:p>
    <w:p w14:paraId="77FC3B35" w14:textId="77777777" w:rsidR="00666D68" w:rsidRPr="000322E4" w:rsidRDefault="00290650" w:rsidP="008E3584">
      <w:pPr>
        <w:numPr>
          <w:ilvl w:val="0"/>
          <w:numId w:val="49"/>
        </w:numPr>
      </w:pPr>
      <w:r w:rsidRPr="00290650">
        <w:t>#</w:t>
      </w:r>
      <w:r w:rsidR="00666D68" w:rsidRPr="000322E4">
        <w:t>Винорелбин** 30 мг/м</w:t>
      </w:r>
      <w:r w:rsidR="00666D68" w:rsidRPr="000322E4">
        <w:rPr>
          <w:vertAlign w:val="superscript"/>
        </w:rPr>
        <w:t>2</w:t>
      </w:r>
      <w:r w:rsidR="00666D68" w:rsidRPr="000322E4">
        <w:t xml:space="preserve"> в/в, дни 1 и 8</w:t>
      </w:r>
    </w:p>
    <w:p w14:paraId="22786853" w14:textId="77777777" w:rsidR="00666D68" w:rsidRPr="000322E4" w:rsidRDefault="00666D68" w:rsidP="008E3584">
      <w:pPr>
        <w:numPr>
          <w:ilvl w:val="0"/>
          <w:numId w:val="49"/>
        </w:numPr>
      </w:pPr>
      <w:r w:rsidRPr="000322E4">
        <w:t>Лечение возобновляется на 22 день. Всего не более 6 циклов</w:t>
      </w:r>
    </w:p>
    <w:p w14:paraId="00470C9A" w14:textId="77777777" w:rsidR="00666D68" w:rsidRPr="000322E4" w:rsidRDefault="00666D68" w:rsidP="008E3584">
      <w:pPr>
        <w:rPr>
          <w:b/>
          <w:bCs/>
        </w:rPr>
      </w:pPr>
    </w:p>
    <w:p w14:paraId="40BB1842" w14:textId="77777777" w:rsidR="00666D68" w:rsidRPr="000322E4" w:rsidRDefault="00666D68" w:rsidP="008E3584">
      <w:pPr>
        <w:pStyle w:val="afd"/>
        <w:spacing w:beforeAutospacing="0" w:afterAutospacing="0" w:line="360" w:lineRule="auto"/>
        <w:ind w:firstLine="0"/>
        <w:rPr>
          <w:b/>
          <w:bCs/>
          <w:u w:val="single"/>
        </w:rPr>
      </w:pPr>
      <w:r w:rsidRPr="000322E4">
        <w:rPr>
          <w:b/>
          <w:bCs/>
          <w:u w:val="single"/>
          <w:lang w:val="en-US"/>
        </w:rPr>
        <w:t>A</w:t>
      </w:r>
      <w:r w:rsidRPr="000322E4">
        <w:rPr>
          <w:b/>
          <w:bCs/>
          <w:u w:val="single"/>
        </w:rPr>
        <w:t xml:space="preserve">3.1.5 Схемы лечения пациентов </w:t>
      </w:r>
      <w:r w:rsidRPr="000322E4">
        <w:rPr>
          <w:b/>
          <w:bCs/>
          <w:u w:val="single"/>
          <w:lang w:val="en-US"/>
        </w:rPr>
        <w:t>c</w:t>
      </w:r>
      <w:r w:rsidRPr="000322E4">
        <w:rPr>
          <w:b/>
          <w:bCs/>
          <w:u w:val="single"/>
        </w:rPr>
        <w:t xml:space="preserve"> ПЛЦНС</w:t>
      </w:r>
    </w:p>
    <w:p w14:paraId="649E6B2D" w14:textId="3A6A59C4" w:rsidR="00666D68" w:rsidRPr="000322E4" w:rsidRDefault="00666D68" w:rsidP="008E3584">
      <w:pPr>
        <w:rPr>
          <w:b/>
          <w:bCs/>
        </w:rPr>
      </w:pPr>
      <w:r w:rsidRPr="000322E4">
        <w:rPr>
          <w:b/>
          <w:bCs/>
        </w:rPr>
        <w:t xml:space="preserve">Монотерапия высокими дозами метотрексата </w:t>
      </w:r>
      <w:r w:rsidRPr="000322E4">
        <w:rPr>
          <w:b/>
          <w:bCs/>
        </w:rPr>
        <w:fldChar w:fldCharType="begin" w:fldLock="1"/>
      </w:r>
      <w:r w:rsidR="00E974B2">
        <w:rPr>
          <w:b/>
          <w:bCs/>
        </w:rPr>
        <w:instrText>ADDIN CSL_CITATION {"citationItems":[{"id":"ITEM-1","itemData":{"DOI":"10.1200/JCO.2003.03.036","ISSN":"0732-183X","abstract":"&lt;p&gt;Purpose: A multicenter, phase II study of single-agent, intravenous methotrexate in newly diagnosed non-AIDS-related primary CNS lymphoma was conducted in the New Approaches to Brain Tumor Therapy (NABTT) CNS Consortium.&lt;/p&gt;","author":[{"dropping-particle":"","family":"Batchelor","given":"Tracy","non-dropping-particle":"","parse-names":false,"suffix":""},{"dropping-particle":"","family":"Carson","given":"Kathryn","non-dropping-particle":"","parse-names":false,"suffix":""},{"dropping-particle":"","family":"O’Neill","given":"Alison","non-dropping-particle":"","parse-names":false,"suffix":""},{"dropping-particle":"","family":"Grossman","given":"Stuart A.","non-dropping-particle":"","parse-names":false,"suffix":""},{"dropping-particle":"","family":"Alavi","given":"Jane","non-dropping-particle":"","parse-names":false,"suffix":""},{"dropping-particle":"","family":"New","given":"Pamela","non-dropping-particle":"","parse-names":false,"suffix":""},{"dropping-particle":"","family":"Hochberg","given":"Fred","non-dropping-particle":"","parse-names":false,"suffix":""},{"dropping-particle":"","family":"Priet","given":"Regina","non-dropping-particle":"","parse-names":false,"suffix":""}],"container-title":"Journal of Clinical Oncology","id":"ITEM-1","issue":"6","issued":{"date-parts":[["2003","3","15"]]},"page":"1044-1049","publisher":"American Society of Clinical Oncology","title":"Treatment of Primary CNS Lymphoma With Methotrexate and Deferred Radiotherapy: A Report of NABTT 96–07","type":"article-journal","volume":"21"},"uris":["http://www.mendeley.com/documents/?uuid=90a727b8-e20a-33d7-8950-7b27e3db26c5"]},{"id":"ITEM-2","itemData":{"DOI":"10.1215/15228517-2008-067","ISSN":"1522-8517","abstract":"The introduction of methotrexate (MTX)-based chemotherapy has improved median survival for patients with primary CNS lymphoma (PCNSL). Older age is a negative prognostic marker in patients with PCNSL and may increase the likelihood of MTX toxicity. We studied the response and adverse effects of intravenous high-dose MTX in patients who were 70 or more years of age at the time of diagnosis. We identified 31 patients at our institution diagnosed with PCNSL at age &gt; or =70 years (median, 74 years) who were treated with high-dose MTX (3.5-8 g/m(2)) as initial therapy from 1992 through 2006. The best response to MTX was determined by contrast-enhanced MRI. Toxicity was analyzed by chart review. These 31 patients received a total of 303 cycles of MTX (median, eight cycles per patient). Overall, 87.9% of the cycles required dose reduction because of impaired creatinine clearance. In 30 evaluable patients, the overall radiographic response rate was 96.7%, with 18 complete responses (60%) and 11 partial responses (36.7%). Progression-free survival and overall survival were 7.1 months and 37 months, respectively. Grade I-IV toxicities were observed in 27 of 31 patients and included gastrointestinal disturbances in 58% (3.2% grade III), hematological complications in 80.6% (6.5% grade III), and renal toxicity in 29% (0% grade III/IV). High-dose MTX is associated with a high proportion of radiographic responses and a low proportion of grade III/IV toxicity in patients 70 or more years of age. High-dose MTX should be considered as a feasible treatment option in elderly patients with PCNSL.","author":[{"dropping-particle":"","family":"Zhu","given":"Jay-Jiguang","non-dropping-particle":"","parse-names":false,"suffix":""},{"dropping-particle":"","family":"Gerstner","given":"Elizabeth R.","non-dropping-particle":"","parse-names":false,"suffix":""},{"dropping-particle":"","family":"Engler","given":"David A.","non-dropping-particle":"","parse-names":false,"suffix":""},{"dropping-particle":"","family":"Mrugala","given":"Maciej M.","non-dropping-particle":"","parse-names":false,"suffix":""},{"dropping-particle":"","family":"Nugent","given":"Whitney","non-dropping-particle":"","parse-names":false,"suffix":""},{"dropping-particle":"","family":"Nierenberg","given":"Kristin","non-dropping-particle":"","parse-names":false,"suffix":""},{"dropping-particle":"","family":"Hochberg","given":"Fred H.","non-dropping-particle":"","parse-names":false,"suffix":""},{"dropping-particle":"","family":"Betensky","given":"Rebecca A.","non-dropping-particle":"","parse-names":false,"suffix":""},{"dropping-particle":"","family":"Batchelor","given":"Tracy T.","non-dropping-particle":"","parse-names":false,"suffix":""}],"container-title":"Neuro-Oncology","id":"ITEM-2","issue":"2","issued":{"date-parts":[["2009","4","1"]]},"page":"211-215","publisher":"Oxford University Press (OUP)","title":"High-dose methotrexate for elderly patients with primary CNS lymphoma","type":"article-journal","volume":"11"},"uris":["http://www.mendeley.com/documents/?uuid=a25fea46-d826-34da-82ab-5772b959d509"]}],"mendeley":{"formattedCitation":"[186,187]","plainTextFormattedCitation":"[186,187]","previouslyFormattedCitation":"[186,187]"},"properties":{"noteIndex":0},"schema":"https://github.com/citation-style-language/schema/raw/master/csl-citation.json"}</w:instrText>
      </w:r>
      <w:r w:rsidRPr="000322E4">
        <w:rPr>
          <w:b/>
          <w:bCs/>
        </w:rPr>
        <w:fldChar w:fldCharType="separate"/>
      </w:r>
      <w:r w:rsidR="004C51FF" w:rsidRPr="004C51FF">
        <w:rPr>
          <w:bCs/>
          <w:noProof/>
        </w:rPr>
        <w:t>[186,187]</w:t>
      </w:r>
      <w:r w:rsidRPr="000322E4">
        <w:rPr>
          <w:b/>
          <w:bCs/>
        </w:rPr>
        <w:fldChar w:fldCharType="end"/>
      </w:r>
      <w:r w:rsidRPr="000322E4">
        <w:rPr>
          <w:b/>
          <w:bCs/>
        </w:rPr>
        <w:t>:</w:t>
      </w:r>
    </w:p>
    <w:p w14:paraId="2C82855A" w14:textId="77777777" w:rsidR="00666D68" w:rsidRPr="000322E4" w:rsidRDefault="00666D68" w:rsidP="008E3584">
      <w:pPr>
        <w:numPr>
          <w:ilvl w:val="0"/>
          <w:numId w:val="52"/>
        </w:numPr>
      </w:pPr>
      <w:r w:rsidRPr="000322E4">
        <w:t>Метотрексат** 8000 мг/м</w:t>
      </w:r>
      <w:r w:rsidRPr="000322E4">
        <w:rPr>
          <w:vertAlign w:val="superscript"/>
        </w:rPr>
        <w:t>2</w:t>
      </w:r>
      <w:r w:rsidRPr="000322E4">
        <w:t xml:space="preserve"> в/в кап. в течение 4 часов.       </w:t>
      </w:r>
    </w:p>
    <w:p w14:paraId="264285AB" w14:textId="77777777" w:rsidR="00666D68" w:rsidRPr="000322E4" w:rsidRDefault="00666D68" w:rsidP="008E3584">
      <w:pPr>
        <w:ind w:left="720"/>
      </w:pPr>
      <w:r w:rsidRPr="000322E4">
        <w:t xml:space="preserve">Возобновление лечения на 15 день, всего 8 циклов  </w:t>
      </w:r>
    </w:p>
    <w:p w14:paraId="610EBEE5" w14:textId="77777777" w:rsidR="00666D68" w:rsidRPr="000322E4" w:rsidRDefault="00666D68" w:rsidP="008E3584">
      <w:pPr>
        <w:ind w:left="720"/>
      </w:pPr>
      <w:r w:rsidRPr="000322E4">
        <w:t>или</w:t>
      </w:r>
    </w:p>
    <w:p w14:paraId="0DBE45DD" w14:textId="77777777" w:rsidR="00666D68" w:rsidRPr="000322E4" w:rsidRDefault="00666D68" w:rsidP="008E3584">
      <w:pPr>
        <w:numPr>
          <w:ilvl w:val="0"/>
          <w:numId w:val="52"/>
        </w:numPr>
      </w:pPr>
      <w:r w:rsidRPr="000322E4">
        <w:t>Метотрексат</w:t>
      </w:r>
      <w:r w:rsidRPr="000322E4">
        <w:rPr>
          <w:bCs/>
        </w:rPr>
        <w:t>**</w:t>
      </w:r>
      <w:r w:rsidRPr="000322E4">
        <w:t xml:space="preserve"> 3500 мг/м</w:t>
      </w:r>
      <w:r w:rsidRPr="000322E4">
        <w:rPr>
          <w:vertAlign w:val="superscript"/>
        </w:rPr>
        <w:t>2</w:t>
      </w:r>
      <w:r w:rsidRPr="000322E4">
        <w:t xml:space="preserve"> в/в кап.  Возобновление лечения на 22 день, всего 4 цикла, с последующей лучевой терапией</w:t>
      </w:r>
    </w:p>
    <w:p w14:paraId="578AEDA0" w14:textId="77777777" w:rsidR="00666D68" w:rsidRPr="000322E4" w:rsidRDefault="00666D68" w:rsidP="008E3584">
      <w:pPr>
        <w:pStyle w:val="TableParagraph"/>
        <w:tabs>
          <w:tab w:val="left" w:pos="580"/>
          <w:tab w:val="left" w:pos="581"/>
        </w:tabs>
        <w:autoSpaceDE w:val="0"/>
        <w:ind w:left="158"/>
        <w:rPr>
          <w:szCs w:val="24"/>
          <w:lang w:val="ru-RU"/>
        </w:rPr>
      </w:pPr>
    </w:p>
    <w:p w14:paraId="07CAF1C3" w14:textId="77777777" w:rsidR="00666D68" w:rsidRPr="000322E4" w:rsidRDefault="00666D68" w:rsidP="008E3584">
      <w:pPr>
        <w:rPr>
          <w:b/>
          <w:bCs/>
        </w:rPr>
      </w:pPr>
      <w:r w:rsidRPr="000322E4">
        <w:rPr>
          <w:b/>
          <w:bCs/>
        </w:rPr>
        <w:t xml:space="preserve">MT-R </w:t>
      </w:r>
      <w:r w:rsidRPr="000322E4">
        <w:rPr>
          <w:b/>
          <w:bCs/>
        </w:rPr>
        <w:fldChar w:fldCharType="begin" w:fldLock="1"/>
      </w:r>
      <w:r w:rsidR="00C37789" w:rsidRPr="000322E4">
        <w:rPr>
          <w:b/>
          <w:bCs/>
        </w:rPr>
        <w:instrText>ADDIN CSL_CITATION {"citationItems":[{"id":"ITEM-1","itemData":{"DOI":"10.1200/JCO.2012.46.9957","ISSN":"0732183X","abstract":"Purpose Concerns regarding neurocognitive toxicity of whole-brain radiotherapy (WBRT) have motivated development of alternative, dose-intensive chemotherapeutic strategies as consolidation in primary CNS lymphoma (PCNSL). We performed a multicenter study of high-dose consolidation, without WBRT, in PCNSL. Objectives were to determine: one, rate of complete response (CR) after remission induction therapy with methotrexate, temozolomide, and rituximab (MT-R); two, feasibility of a two-step approach using high-dose consolidation with etoposide plus cytarabine (EA); three, progression-free survival (PFS); and four, correlation between clinical and molecular prognostic factors and outcome. Patients and Methods Forty-four patients with newly diagnosed PCNSL were treated with induction MT-R, and patients who achieved CR received EA consolidation. We performed a prospective analysis of molecular prognostic biomarkers in PCNSL in the setting of a clinical trial. Results The rate of CR to MT-R was 66%. The overall 2-year PFS was 0.57, with median follow-up of 4.9 years. The 2-year time to progression was 0.59, and for patients who completed consolidation, it was 0.77. Patients age &gt; 60 years did as well as younger patients, and the most significant clinical prognostic variable was treatment delay. High BCL6 expression correlated with shorter survival. Conclusion CALGB 50202 demonstrates for the first time to our knowledge that dose-intensive consolidation for PCNSL is feasible in the multicenter setting and yields rates of PFS and OS at least comparable to those of regimens involving WBRT. On the basis of these encouraging results, an intergroup study has been activated comparing EA consolidation with myeloablative chemotherapy in this randomized trial in PCNSL, in which neither arm involves WBRT. Copyright © 2013 American Society of Clinical Oncology. All rights reserved.","author":[{"dropping-particle":"","family":"Rubenstein","given":"James L.","non-dropping-particle":"","parse-names":false,"suffix":""},{"dropping-particle":"","family":"Hsi","given":"Eric D.","non-dropping-particle":"","parse-names":false,"suffix":""},{"dropping-particle":"","family":"Johnson","given":"Jeffrey L.","non-dropping-particle":"","parse-names":false,"suffix":""},{"dropping-particle":"","family":"Jung","given":"Sin Ho","non-dropping-particle":"","parse-names":false,"suffix":""},{"dropping-particle":"","family":"Nakashima","given":"Megan O.","non-dropping-particle":"","parse-names":false,"suffix":""},{"dropping-particle":"","family":"Grant","given":"Barbara","non-dropping-particle":"","parse-names":false,"suffix":""},{"dropping-particle":"","family":"Cheson","given":"Bruce D.","non-dropping-particle":"","parse-names":false,"suffix":""},{"dropping-particle":"","family":"Kaplan","given":"Lawrence D.","non-dropping-particle":"","parse-names":false,"suffix":""}],"container-title":"Journal of Clinical Oncology","id":"ITEM-1","issue":"25","issued":{"date-parts":[["2013","9","1"]]},"page":"3061-3068","title":"Intensive chemotherapy and immunotherapy in patients with newly diagnosed primary CNS lymphoma: CALGB 50202 (Alliance 50202)","type":"article-journal","volume":"31"},"uris":["http://www.mendeley.com/documents/?uuid=7fd13872-59f9-3663-b3dd-f3fd86080132"]}],"mendeley":{"formattedCitation":"[74]","plainTextFormattedCitation":"[74]","previouslyFormattedCitation":"[74]"},"properties":{"noteIndex":0},"schema":"https://github.com/citation-style-language/schema/raw/master/csl-citation.json"}</w:instrText>
      </w:r>
      <w:r w:rsidRPr="000322E4">
        <w:rPr>
          <w:b/>
          <w:bCs/>
        </w:rPr>
        <w:fldChar w:fldCharType="separate"/>
      </w:r>
      <w:r w:rsidR="00C37789" w:rsidRPr="000322E4">
        <w:rPr>
          <w:bCs/>
          <w:noProof/>
        </w:rPr>
        <w:t>[74]</w:t>
      </w:r>
      <w:r w:rsidRPr="000322E4">
        <w:rPr>
          <w:b/>
          <w:bCs/>
        </w:rPr>
        <w:fldChar w:fldCharType="end"/>
      </w:r>
    </w:p>
    <w:p w14:paraId="0FA98921" w14:textId="77777777" w:rsidR="00666D68" w:rsidRPr="000322E4" w:rsidRDefault="00666D68" w:rsidP="008E3584">
      <w:pPr>
        <w:numPr>
          <w:ilvl w:val="0"/>
          <w:numId w:val="52"/>
        </w:numPr>
      </w:pPr>
      <w:r w:rsidRPr="000322E4">
        <w:t>Метотрексат</w:t>
      </w:r>
      <w:r w:rsidRPr="000322E4">
        <w:rPr>
          <w:bCs/>
        </w:rPr>
        <w:t>**</w:t>
      </w:r>
      <w:r w:rsidRPr="000322E4">
        <w:t xml:space="preserve"> 8000 мг/м</w:t>
      </w:r>
      <w:r w:rsidRPr="000322E4">
        <w:rPr>
          <w:vertAlign w:val="superscript"/>
        </w:rPr>
        <w:t>2</w:t>
      </w:r>
      <w:r w:rsidRPr="000322E4">
        <w:t xml:space="preserve"> в/в кап. в течение 4 часов, день 1</w:t>
      </w:r>
    </w:p>
    <w:p w14:paraId="75FE6ECF" w14:textId="77777777" w:rsidR="00666D68" w:rsidRPr="000322E4" w:rsidRDefault="00666D68" w:rsidP="008E3584">
      <w:pPr>
        <w:numPr>
          <w:ilvl w:val="0"/>
          <w:numId w:val="52"/>
        </w:numPr>
      </w:pPr>
      <w:r w:rsidRPr="000322E4">
        <w:t>Ритуксимаб</w:t>
      </w:r>
      <w:r w:rsidRPr="000322E4">
        <w:rPr>
          <w:bCs/>
        </w:rPr>
        <w:t>**</w:t>
      </w:r>
      <w:r w:rsidRPr="000322E4">
        <w:t xml:space="preserve"> 375 мг/м</w:t>
      </w:r>
      <w:r w:rsidRPr="000322E4">
        <w:rPr>
          <w:vertAlign w:val="superscript"/>
        </w:rPr>
        <w:t>2</w:t>
      </w:r>
      <w:r w:rsidRPr="000322E4">
        <w:t xml:space="preserve"> в/в кап., день 3</w:t>
      </w:r>
    </w:p>
    <w:p w14:paraId="3CEDE167" w14:textId="77777777" w:rsidR="00666D68" w:rsidRPr="000322E4" w:rsidRDefault="001E7C83" w:rsidP="008E3584">
      <w:pPr>
        <w:numPr>
          <w:ilvl w:val="0"/>
          <w:numId w:val="52"/>
        </w:numPr>
      </w:pPr>
      <w:r w:rsidRPr="001E7C83">
        <w:t>#</w:t>
      </w:r>
      <w:r w:rsidR="00666D68" w:rsidRPr="000322E4">
        <w:t>Темозоломид</w:t>
      </w:r>
      <w:r w:rsidR="00666D68" w:rsidRPr="000322E4">
        <w:rPr>
          <w:bCs/>
        </w:rPr>
        <w:t>**</w:t>
      </w:r>
      <w:r w:rsidR="00666D68" w:rsidRPr="000322E4">
        <w:t xml:space="preserve"> 150 мг/м</w:t>
      </w:r>
      <w:r w:rsidR="00666D68" w:rsidRPr="000322E4">
        <w:rPr>
          <w:vertAlign w:val="superscript"/>
        </w:rPr>
        <w:t>2</w:t>
      </w:r>
      <w:r w:rsidR="00666D68" w:rsidRPr="000322E4">
        <w:t xml:space="preserve"> внутрь, дни 7-11  </w:t>
      </w:r>
    </w:p>
    <w:p w14:paraId="0CECFCF8" w14:textId="77777777" w:rsidR="00666D68" w:rsidRPr="000322E4" w:rsidRDefault="00666D68" w:rsidP="008E3584">
      <w:pPr>
        <w:ind w:left="720"/>
      </w:pPr>
      <w:r w:rsidRPr="000322E4">
        <w:t>Возобновление лечения на 15 день Всего 6</w:t>
      </w:r>
      <w:r w:rsidRPr="000322E4">
        <w:rPr>
          <w:spacing w:val="1"/>
        </w:rPr>
        <w:t xml:space="preserve"> </w:t>
      </w:r>
      <w:r w:rsidRPr="000322E4">
        <w:t>циклов</w:t>
      </w:r>
    </w:p>
    <w:p w14:paraId="7AB173AE" w14:textId="77777777" w:rsidR="00666D68" w:rsidRPr="000322E4" w:rsidRDefault="00666D68" w:rsidP="008E3584">
      <w:pPr>
        <w:rPr>
          <w:b/>
        </w:rPr>
      </w:pPr>
    </w:p>
    <w:p w14:paraId="04AFE642" w14:textId="77777777" w:rsidR="005F44A0" w:rsidRPr="000322E4" w:rsidRDefault="005F44A0" w:rsidP="005F44A0">
      <w:pPr>
        <w:rPr>
          <w:b/>
          <w:bCs/>
        </w:rPr>
      </w:pPr>
      <w:r w:rsidRPr="000322E4">
        <w:rPr>
          <w:b/>
          <w:bCs/>
        </w:rPr>
        <w:t xml:space="preserve">Метотрексат** + цитарабин** </w:t>
      </w:r>
      <w:r w:rsidRPr="000322E4">
        <w:fldChar w:fldCharType="begin" w:fldLock="1"/>
      </w:r>
      <w:r w:rsidR="00C37789" w:rsidRPr="000322E4">
        <w:instrText>ADDIN CSL_CITATION {"citationItems":[{"id":"ITEM-1","itemData":{"DOI":"10.1016/S0140-6736(09)61416-1","ISSN":"01406736","abstract":"Background: Chemotherapy with high-dose methotrexate is the conventional approach to treat primary CNS lymphomas, but superiority of polychemotherapy compared with high-dose methotrexate alone is unproven. We assessed the effect of adding high-dose cytarabine to methotrexate in patients with newly diagnosed primary CNS lymphoma. Methods: This open, randomised, phase 2 trial was undertaken in 24 centres in six countries. 79 patients with non-Hodgkin lymphoma exclusively localised into the CNS, cranial nerves, or eyes, aged 18-75 years, and with Eastern Cooperative Oncology Group performance status of 3 or lower and measurable disease were centrally randomly assigned by computer to receive four courses of either methotrexate 3·5 g/m2 on day 1 (n=40) or methotrexate 3·5 g/m2 on day 1 plus cytarabine 2 g/m2 twice a day on days 2-3 (n=39). Both regimens were administered every 3 weeks and were followed by whole-brain irradiation. The primary endpoint was complete remission rate after chemotherapy. Analysis was by intention to treat. This study is registered with ClinicalTrials.gov, number NCT00210314. Findings: All randomly assigned participants were analysed. After chemotherapy, seven patients given methotrexate and 18 given methotrexate plus cytarabine achieved a complete remission, with a complete remission rate of 18% (95% CI 6-30) and 46% (31-61), respectively, (p=0·006). Nine patients receiving methotrexate and nine receiving methotrexate plus cytarabine achieved a partial response, with an overall response rate of 40% (25-55) and 69% (55-83), respectively, (p=0·009). Grade 3-4 haematological toxicity was more common in the methotrexate plus cytarabine group than in the methotrexate group (36 [92%] vs six [15%]). Four patients died of toxic effects (three vs one). Interpretation: In patients aged 75 years and younger with primary CNS lymphoma, the addition of high-dose cytarabine to high-dose methotrexate provides improved outcome with acceptable toxicity compared with high-dose methotrexate alone. Funding: Swiss Cancer League. © 2009 Elsevier Ltd. All rights reserved.","author":[{"dropping-particle":"","family":"Ferreri","given":"Andrés JM","non-dropping-particle":"","parse-names":false,"suffix":""},{"dropping-particle":"","family":"Reni","given":"Michele","non-dropping-particle":"","parse-names":false,"suffix":""},{"dropping-particle":"","family":"Foppoli","given":"Marco","non-dropping-particle":"","parse-names":false,"suffix":""},{"dropping-particle":"","family":"Martelli","given":"Maurizio","non-dropping-particle":"","parse-names":false,"suffix":""},{"dropping-particle":"","family":"Pangalis","given":"Gerasimus A.","non-dropping-particle":"","parse-names":false,"suffix":""},{"dropping-particle":"","family":"Frezzato","given":"Maurizio","non-dropping-particle":"","parse-names":false,"suffix":""},{"dropping-particle":"","family":"Cabras","given":"Maria Giuseppina","non-dropping-particle":"","parse-names":false,"suffix":""},{"dropping-particle":"","family":"Fabbri","given":"Alberto","non-dropping-particle":"","parse-names":false,"suffix":""},{"dropping-particle":"","family":"Corazzelli","given":"Gaetano","non-dropping-particle":"","parse-names":false,"suffix":""},{"dropping-particle":"","family":"Ilariucci","given":"Fiorella","non-dropping-particle":"","parse-names":false,"suffix":""},{"dropping-particle":"","family":"Rossi","given":"Giuseppe","non-dropping-particle":"","parse-names":false,"suffix":""},{"dropping-particle":"","family":"Soffietti","given":"Riccardo","non-dropping-particle":"","parse-names":false,"suffix":""},{"dropping-particle":"","family":"Stelitano","given":"Caterina","non-dropping-particle":"","parse-names":false,"suffix":""},{"dropping-particle":"","family":"Vallisa","given":"Daniele","non-dropping-particle":"","parse-names":false,"suffix":""},{"dropping-particle":"","family":"Zaja","given":"Francesco","non-dropping-particle":"","parse-names":false,"suffix":""},{"dropping-particle":"","family":"Zoppegno","given":"Lucía","non-dropping-particle":"","parse-names":false,"suffix":""},{"dropping-particle":"","family":"Aondio","given":"Gian Marco","non-dropping-particle":"","parse-names":false,"suffix":""},{"dropping-particle":"","family":"Avvisati","given":"Giuseppe","non-dropping-particle":"","parse-names":false,"suffix":""},{"dropping-particle":"","family":"Balzarotti","given":"Monica","non-dropping-particle":"","parse-names":false,"suffix":""},{"dropping-particle":"","family":"Brandes","given":"Alba A.","non-dropping-particle":"","parse-names":false,"suffix":""},{"dropping-particle":"","family":"Fajardo","given":"José","non-dropping-particle":"","parse-names":false,"suffix":""},{"dropping-particle":"","family":"Gomez","given":"Henry","non-dropping-particle":"","parse-names":false,"suffix":""},{"dropping-particle":"","family":"Guarini","given":"Attilio","non-dropping-particle":"","parse-names":false,"suffix":""},{"dropping-particle":"","family":"Pinotti","given":"Graziella","non-dropping-particle":"","parse-names":false,"suffix":""},{"dropping-particle":"","family":"Rigacci","given":"Luigi","non-dropping-particle":"","parse-names":false,"suffix":""},{"dropping-particle":"","family":"Uhlmann","given":"Catrina","non-dropping-particle":"","parse-names":false,"suffix":""},{"dropping-particle":"","family":"Picozzi","given":"Piero","non-dropping-particle":"","parse-names":false,"suffix":""},{"dropping-particle":"","family":"Vezzulli","given":"Paolo","non-dropping-particle":"","parse-names":false,"suffix":""},{"dropping-particle":"","family":"Ponzoni","given":"Maurilio","non-dropping-particle":"","parse-names":false,"suffix":""},{"dropping-particle":"","family":"Zucca","given":"Emanuele","non-dropping-particle":"","parse-names":false,"suffix":""},{"dropping-particle":"","family":"Caligaris-Cappio","given":"Federico","non-dropping-particle":"","parse-names":false,"suffix":""},{"dropping-particle":"","family":"Cavalli","given":"Franco","non-dropping-particle":"","parse-names":false,"suffix":""}],"container-title":"The Lancet","id":"ITEM-1","issue":"9700","issued":{"date-parts":[["2009"]]},"page":"1512-1520","title":"High-dose cytarabine plus high-dose methotrexate versus high-dose methotrexate alone in patients with primary CNS lymphoma: a randomised phase 2 trial","type":"article-journal","volume":"374"},"uris":["http://www.mendeley.com/documents/?uuid=ff6c34eb-65ed-333e-878d-5d30c9dd2ebd"]}],"mendeley":{"formattedCitation":"[73]","plainTextFormattedCitation":"[73]","previouslyFormattedCitation":"[73]"},"properties":{"noteIndex":0},"schema":"https://github.com/citation-style-language/schema/raw/master/csl-citation.json"}</w:instrText>
      </w:r>
      <w:r w:rsidRPr="000322E4">
        <w:fldChar w:fldCharType="separate"/>
      </w:r>
      <w:r w:rsidR="00C37789" w:rsidRPr="000322E4">
        <w:rPr>
          <w:noProof/>
        </w:rPr>
        <w:t>[73]</w:t>
      </w:r>
      <w:r w:rsidRPr="000322E4">
        <w:fldChar w:fldCharType="end"/>
      </w:r>
    </w:p>
    <w:p w14:paraId="6B2111D2" w14:textId="77777777" w:rsidR="005F44A0" w:rsidRPr="000322E4" w:rsidRDefault="005F44A0" w:rsidP="005F44A0">
      <w:pPr>
        <w:numPr>
          <w:ilvl w:val="0"/>
          <w:numId w:val="52"/>
        </w:numPr>
      </w:pPr>
      <w:r w:rsidRPr="000322E4">
        <w:t>Метотрексат</w:t>
      </w:r>
      <w:r w:rsidRPr="000322E4">
        <w:rPr>
          <w:bCs/>
        </w:rPr>
        <w:t>**</w:t>
      </w:r>
      <w:r w:rsidRPr="000322E4">
        <w:t xml:space="preserve"> 3500 мг/м</w:t>
      </w:r>
      <w:r w:rsidRPr="000322E4">
        <w:rPr>
          <w:vertAlign w:val="superscript"/>
        </w:rPr>
        <w:t>2</w:t>
      </w:r>
      <w:r w:rsidRPr="000322E4">
        <w:t xml:space="preserve"> в/в кап., день 1</w:t>
      </w:r>
    </w:p>
    <w:p w14:paraId="6EB586B1" w14:textId="77777777" w:rsidR="005F44A0" w:rsidRPr="000322E4" w:rsidRDefault="005F44A0" w:rsidP="005F44A0">
      <w:pPr>
        <w:numPr>
          <w:ilvl w:val="0"/>
          <w:numId w:val="52"/>
        </w:numPr>
      </w:pPr>
      <w:r w:rsidRPr="000322E4">
        <w:t>Цитарабин</w:t>
      </w:r>
      <w:r w:rsidRPr="000322E4">
        <w:rPr>
          <w:bCs/>
        </w:rPr>
        <w:t>**</w:t>
      </w:r>
      <w:r w:rsidRPr="000322E4">
        <w:t xml:space="preserve"> 2000 мг/м</w:t>
      </w:r>
      <w:r w:rsidRPr="000322E4">
        <w:rPr>
          <w:vertAlign w:val="superscript"/>
        </w:rPr>
        <w:t>2</w:t>
      </w:r>
      <w:r w:rsidRPr="000322E4">
        <w:t xml:space="preserve"> в/в кап. 2 раза в день, дни 2-3</w:t>
      </w:r>
    </w:p>
    <w:p w14:paraId="44FD3999" w14:textId="77777777" w:rsidR="005F44A0" w:rsidRPr="000322E4" w:rsidRDefault="005F44A0" w:rsidP="005F44A0">
      <w:pPr>
        <w:ind w:left="720"/>
      </w:pPr>
      <w:r w:rsidRPr="000322E4">
        <w:t xml:space="preserve">Возобновление на 22 день Всего 4 циклов </w:t>
      </w:r>
    </w:p>
    <w:p w14:paraId="419781D1" w14:textId="77777777" w:rsidR="005F44A0" w:rsidRPr="000322E4" w:rsidRDefault="005F44A0" w:rsidP="008E3584">
      <w:pPr>
        <w:rPr>
          <w:b/>
          <w:bCs/>
        </w:rPr>
      </w:pPr>
    </w:p>
    <w:p w14:paraId="6C5C0398" w14:textId="77777777" w:rsidR="00666D68" w:rsidRPr="000322E4" w:rsidRDefault="00666D68" w:rsidP="008E3584">
      <w:pPr>
        <w:rPr>
          <w:b/>
          <w:bCs/>
        </w:rPr>
      </w:pPr>
      <w:r w:rsidRPr="000322E4">
        <w:rPr>
          <w:b/>
          <w:bCs/>
        </w:rPr>
        <w:t xml:space="preserve">MATRix </w:t>
      </w:r>
      <w:r w:rsidRPr="000322E4">
        <w:rPr>
          <w:b/>
          <w:bCs/>
          <w:lang w:val="en-US"/>
        </w:rPr>
        <w:fldChar w:fldCharType="begin" w:fldLock="1"/>
      </w:r>
      <w:r w:rsidR="00C37789" w:rsidRPr="000322E4">
        <w:rPr>
          <w:b/>
          <w:bCs/>
          <w:lang w:val="en-US"/>
        </w:rPr>
        <w:instrText>ADDIN</w:instrText>
      </w:r>
      <w:r w:rsidR="00C37789" w:rsidRPr="000322E4">
        <w:rPr>
          <w:b/>
          <w:bCs/>
        </w:rPr>
        <w:instrText xml:space="preserve"> </w:instrText>
      </w:r>
      <w:r w:rsidR="00C37789" w:rsidRPr="000322E4">
        <w:rPr>
          <w:b/>
          <w:bCs/>
          <w:lang w:val="en-US"/>
        </w:rPr>
        <w:instrText>CSL</w:instrText>
      </w:r>
      <w:r w:rsidR="00C37789" w:rsidRPr="000322E4">
        <w:rPr>
          <w:b/>
          <w:bCs/>
        </w:rPr>
        <w:instrText>_</w:instrText>
      </w:r>
      <w:r w:rsidR="00C37789" w:rsidRPr="000322E4">
        <w:rPr>
          <w:b/>
          <w:bCs/>
          <w:lang w:val="en-US"/>
        </w:rPr>
        <w:instrText>CITATION</w:instrText>
      </w:r>
      <w:r w:rsidR="00C37789" w:rsidRPr="000322E4">
        <w:rPr>
          <w:b/>
          <w:bCs/>
        </w:rPr>
        <w:instrText xml:space="preserve"> {"</w:instrText>
      </w:r>
      <w:r w:rsidR="00C37789" w:rsidRPr="000322E4">
        <w:rPr>
          <w:b/>
          <w:bCs/>
          <w:lang w:val="en-US"/>
        </w:rPr>
        <w:instrText>citationItems</w:instrText>
      </w:r>
      <w:r w:rsidR="00C37789" w:rsidRPr="000322E4">
        <w:rPr>
          <w:b/>
          <w:bCs/>
        </w:rPr>
        <w:instrText>":[{"</w:instrText>
      </w:r>
      <w:r w:rsidR="00C37789" w:rsidRPr="000322E4">
        <w:rPr>
          <w:b/>
          <w:bCs/>
          <w:lang w:val="en-US"/>
        </w:rPr>
        <w:instrText>id</w:instrText>
      </w:r>
      <w:r w:rsidR="00C37789" w:rsidRPr="000322E4">
        <w:rPr>
          <w:b/>
          <w:bCs/>
        </w:rPr>
        <w:instrText>":"</w:instrText>
      </w:r>
      <w:r w:rsidR="00C37789" w:rsidRPr="000322E4">
        <w:rPr>
          <w:b/>
          <w:bCs/>
          <w:lang w:val="en-US"/>
        </w:rPr>
        <w:instrText>ITEM</w:instrText>
      </w:r>
      <w:r w:rsidR="00C37789" w:rsidRPr="000322E4">
        <w:rPr>
          <w:b/>
          <w:bCs/>
        </w:rPr>
        <w:instrText>-1","</w:instrText>
      </w:r>
      <w:r w:rsidR="00C37789" w:rsidRPr="000322E4">
        <w:rPr>
          <w:b/>
          <w:bCs/>
          <w:lang w:val="en-US"/>
        </w:rPr>
        <w:instrText>itemData</w:instrText>
      </w:r>
      <w:r w:rsidR="00C37789" w:rsidRPr="000322E4">
        <w:rPr>
          <w:b/>
          <w:bCs/>
        </w:rPr>
        <w:instrText>":{"</w:instrText>
      </w:r>
      <w:r w:rsidR="00C37789" w:rsidRPr="000322E4">
        <w:rPr>
          <w:b/>
          <w:bCs/>
          <w:lang w:val="en-US"/>
        </w:rPr>
        <w:instrText>DOI</w:instrText>
      </w:r>
      <w:r w:rsidR="00C37789" w:rsidRPr="000322E4">
        <w:rPr>
          <w:b/>
          <w:bCs/>
        </w:rPr>
        <w:instrText>":"10.1016/</w:instrText>
      </w:r>
      <w:r w:rsidR="00C37789" w:rsidRPr="000322E4">
        <w:rPr>
          <w:b/>
          <w:bCs/>
          <w:lang w:val="en-US"/>
        </w:rPr>
        <w:instrText>S</w:instrText>
      </w:r>
      <w:r w:rsidR="00C37789" w:rsidRPr="000322E4">
        <w:rPr>
          <w:b/>
          <w:bCs/>
        </w:rPr>
        <w:instrText>2352-3026(16)00036-3","</w:instrText>
      </w:r>
      <w:r w:rsidR="00C37789" w:rsidRPr="000322E4">
        <w:rPr>
          <w:b/>
          <w:bCs/>
          <w:lang w:val="en-US"/>
        </w:rPr>
        <w:instrText>ISSN</w:instrText>
      </w:r>
      <w:r w:rsidR="00C37789" w:rsidRPr="000322E4">
        <w:rPr>
          <w:b/>
          <w:bCs/>
        </w:rPr>
        <w:instrText>":"23523026","</w:instrText>
      </w:r>
      <w:r w:rsidR="00C37789" w:rsidRPr="000322E4">
        <w:rPr>
          <w:b/>
          <w:bCs/>
          <w:lang w:val="en-US"/>
        </w:rPr>
        <w:instrText>abstract</w:instrText>
      </w:r>
      <w:r w:rsidR="00C37789" w:rsidRPr="000322E4">
        <w:rPr>
          <w:b/>
          <w:bCs/>
        </w:rPr>
        <w:instrText>":"</w:instrText>
      </w:r>
      <w:r w:rsidR="00C37789" w:rsidRPr="000322E4">
        <w:rPr>
          <w:b/>
          <w:bCs/>
          <w:lang w:val="en-US"/>
        </w:rPr>
        <w:instrText>Background</w:instrText>
      </w:r>
      <w:r w:rsidR="00C37789" w:rsidRPr="000322E4">
        <w:rPr>
          <w:b/>
          <w:bCs/>
        </w:rPr>
        <w:instrText xml:space="preserve">: </w:instrText>
      </w:r>
      <w:r w:rsidR="00C37789" w:rsidRPr="000322E4">
        <w:rPr>
          <w:b/>
          <w:bCs/>
          <w:lang w:val="en-US"/>
        </w:rPr>
        <w:instrText>Standard</w:instrText>
      </w:r>
      <w:r w:rsidR="00C37789" w:rsidRPr="000322E4">
        <w:rPr>
          <w:b/>
          <w:bCs/>
        </w:rPr>
        <w:instrText xml:space="preserve"> </w:instrText>
      </w:r>
      <w:r w:rsidR="00C37789" w:rsidRPr="000322E4">
        <w:rPr>
          <w:b/>
          <w:bCs/>
          <w:lang w:val="en-US"/>
        </w:rPr>
        <w:instrText>treatment</w:instrText>
      </w:r>
      <w:r w:rsidR="00C37789" w:rsidRPr="000322E4">
        <w:rPr>
          <w:b/>
          <w:bCs/>
        </w:rPr>
        <w:instrText xml:space="preserve"> </w:instrText>
      </w:r>
      <w:r w:rsidR="00C37789" w:rsidRPr="000322E4">
        <w:rPr>
          <w:b/>
          <w:bCs/>
          <w:lang w:val="en-US"/>
        </w:rPr>
        <w:instrText>for</w:instrText>
      </w:r>
      <w:r w:rsidR="00C37789" w:rsidRPr="000322E4">
        <w:rPr>
          <w:b/>
          <w:bCs/>
        </w:rPr>
        <w:instrText xml:space="preserve">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primary</w:instrText>
      </w:r>
      <w:r w:rsidR="00C37789" w:rsidRPr="000322E4">
        <w:rPr>
          <w:b/>
          <w:bCs/>
        </w:rPr>
        <w:instrText xml:space="preserve"> </w:instrText>
      </w:r>
      <w:r w:rsidR="00C37789" w:rsidRPr="000322E4">
        <w:rPr>
          <w:b/>
          <w:bCs/>
          <w:lang w:val="en-US"/>
        </w:rPr>
        <w:instrText>CNS</w:instrText>
      </w:r>
      <w:r w:rsidR="00C37789" w:rsidRPr="000322E4">
        <w:rPr>
          <w:b/>
          <w:bCs/>
        </w:rPr>
        <w:instrText xml:space="preserve"> </w:instrText>
      </w:r>
      <w:r w:rsidR="00C37789" w:rsidRPr="000322E4">
        <w:rPr>
          <w:b/>
          <w:bCs/>
          <w:lang w:val="en-US"/>
        </w:rPr>
        <w:instrText>lymphoma</w:instrText>
      </w:r>
      <w:r w:rsidR="00C37789" w:rsidRPr="000322E4">
        <w:rPr>
          <w:b/>
          <w:bCs/>
        </w:rPr>
        <w:instrText xml:space="preserve"> </w:instrText>
      </w:r>
      <w:r w:rsidR="00C37789" w:rsidRPr="000322E4">
        <w:rPr>
          <w:b/>
          <w:bCs/>
          <w:lang w:val="en-US"/>
        </w:rPr>
        <w:instrText>remains</w:instrText>
      </w:r>
      <w:r w:rsidR="00C37789" w:rsidRPr="000322E4">
        <w:rPr>
          <w:b/>
          <w:bCs/>
        </w:rPr>
        <w:instrText xml:space="preserve"> </w:instrText>
      </w:r>
      <w:r w:rsidR="00C37789" w:rsidRPr="000322E4">
        <w:rPr>
          <w:b/>
          <w:bCs/>
          <w:lang w:val="en-US"/>
        </w:rPr>
        <w:instrText>to</w:instrText>
      </w:r>
      <w:r w:rsidR="00C37789" w:rsidRPr="000322E4">
        <w:rPr>
          <w:b/>
          <w:bCs/>
        </w:rPr>
        <w:instrText xml:space="preserve"> </w:instrText>
      </w:r>
      <w:r w:rsidR="00C37789" w:rsidRPr="000322E4">
        <w:rPr>
          <w:b/>
          <w:bCs/>
          <w:lang w:val="en-US"/>
        </w:rPr>
        <w:instrText>be</w:instrText>
      </w:r>
      <w:r w:rsidR="00C37789" w:rsidRPr="000322E4">
        <w:rPr>
          <w:b/>
          <w:bCs/>
        </w:rPr>
        <w:instrText xml:space="preserve"> </w:instrText>
      </w:r>
      <w:r w:rsidR="00C37789" w:rsidRPr="000322E4">
        <w:rPr>
          <w:b/>
          <w:bCs/>
          <w:lang w:val="en-US"/>
        </w:rPr>
        <w:instrText>defined</w:instrText>
      </w:r>
      <w:r w:rsidR="00C37789" w:rsidRPr="000322E4">
        <w:rPr>
          <w:b/>
          <w:bCs/>
        </w:rPr>
        <w:instrText xml:space="preserve">. </w:instrText>
      </w:r>
      <w:r w:rsidR="00C37789" w:rsidRPr="000322E4">
        <w:rPr>
          <w:b/>
          <w:bCs/>
          <w:lang w:val="en-US"/>
        </w:rPr>
        <w:instrText>Active</w:instrText>
      </w:r>
      <w:r w:rsidR="00C37789" w:rsidRPr="000322E4">
        <w:rPr>
          <w:b/>
          <w:bCs/>
        </w:rPr>
        <w:instrText xml:space="preserve"> </w:instrText>
      </w:r>
      <w:r w:rsidR="00C37789" w:rsidRPr="000322E4">
        <w:rPr>
          <w:b/>
          <w:bCs/>
          <w:lang w:val="en-US"/>
        </w:rPr>
        <w:instrText>therapies</w:instrText>
      </w:r>
      <w:r w:rsidR="00C37789" w:rsidRPr="000322E4">
        <w:rPr>
          <w:b/>
          <w:bCs/>
        </w:rPr>
        <w:instrText xml:space="preserve"> </w:instrText>
      </w:r>
      <w:r w:rsidR="00C37789" w:rsidRPr="000322E4">
        <w:rPr>
          <w:b/>
          <w:bCs/>
          <w:lang w:val="en-US"/>
        </w:rPr>
        <w:instrText>are</w:instrText>
      </w:r>
      <w:r w:rsidR="00C37789" w:rsidRPr="000322E4">
        <w:rPr>
          <w:b/>
          <w:bCs/>
        </w:rPr>
        <w:instrText xml:space="preserve"> </w:instrText>
      </w:r>
      <w:r w:rsidR="00C37789" w:rsidRPr="000322E4">
        <w:rPr>
          <w:b/>
          <w:bCs/>
          <w:lang w:val="en-US"/>
        </w:rPr>
        <w:instrText>often</w:instrText>
      </w:r>
      <w:r w:rsidR="00C37789" w:rsidRPr="000322E4">
        <w:rPr>
          <w:b/>
          <w:bCs/>
        </w:rPr>
        <w:instrText xml:space="preserve"> </w:instrText>
      </w:r>
      <w:r w:rsidR="00C37789" w:rsidRPr="000322E4">
        <w:rPr>
          <w:b/>
          <w:bCs/>
          <w:lang w:val="en-US"/>
        </w:rPr>
        <w:instrText>associated</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increased</w:instrText>
      </w:r>
      <w:r w:rsidR="00C37789" w:rsidRPr="000322E4">
        <w:rPr>
          <w:b/>
          <w:bCs/>
        </w:rPr>
        <w:instrText xml:space="preserve"> </w:instrText>
      </w:r>
      <w:r w:rsidR="00C37789" w:rsidRPr="000322E4">
        <w:rPr>
          <w:b/>
          <w:bCs/>
          <w:lang w:val="en-US"/>
        </w:rPr>
        <w:instrText>risk</w:instrText>
      </w:r>
      <w:r w:rsidR="00C37789" w:rsidRPr="000322E4">
        <w:rPr>
          <w:b/>
          <w:bCs/>
        </w:rPr>
        <w:instrText xml:space="preserve"> </w:instrText>
      </w:r>
      <w:r w:rsidR="00C37789" w:rsidRPr="000322E4">
        <w:rPr>
          <w:b/>
          <w:bCs/>
          <w:lang w:val="en-US"/>
        </w:rPr>
        <w:instrText>of</w:instrText>
      </w:r>
      <w:r w:rsidR="00C37789" w:rsidRPr="000322E4">
        <w:rPr>
          <w:b/>
          <w:bCs/>
        </w:rPr>
        <w:instrText xml:space="preserve"> </w:instrText>
      </w:r>
      <w:r w:rsidR="00C37789" w:rsidRPr="000322E4">
        <w:rPr>
          <w:b/>
          <w:bCs/>
          <w:lang w:val="en-US"/>
        </w:rPr>
        <w:instrText>haematological</w:instrText>
      </w:r>
      <w:r w:rsidR="00C37789" w:rsidRPr="000322E4">
        <w:rPr>
          <w:b/>
          <w:bCs/>
        </w:rPr>
        <w:instrText xml:space="preserve"> </w:instrText>
      </w:r>
      <w:r w:rsidR="00C37789" w:rsidRPr="000322E4">
        <w:rPr>
          <w:b/>
          <w:bCs/>
          <w:lang w:val="en-US"/>
        </w:rPr>
        <w:instrText>or</w:instrText>
      </w:r>
      <w:r w:rsidR="00C37789" w:rsidRPr="000322E4">
        <w:rPr>
          <w:b/>
          <w:bCs/>
        </w:rPr>
        <w:instrText xml:space="preserve"> </w:instrText>
      </w:r>
      <w:r w:rsidR="00C37789" w:rsidRPr="000322E4">
        <w:rPr>
          <w:b/>
          <w:bCs/>
          <w:lang w:val="en-US"/>
        </w:rPr>
        <w:instrText>neurological</w:instrText>
      </w:r>
      <w:r w:rsidR="00C37789" w:rsidRPr="000322E4">
        <w:rPr>
          <w:b/>
          <w:bCs/>
        </w:rPr>
        <w:instrText xml:space="preserve"> </w:instrText>
      </w:r>
      <w:r w:rsidR="00C37789" w:rsidRPr="000322E4">
        <w:rPr>
          <w:b/>
          <w:bCs/>
          <w:lang w:val="en-US"/>
        </w:rPr>
        <w:instrText>toxicity</w:instrText>
      </w:r>
      <w:r w:rsidR="00C37789" w:rsidRPr="000322E4">
        <w:rPr>
          <w:b/>
          <w:bCs/>
        </w:rPr>
        <w:instrText xml:space="preserve">. </w:instrText>
      </w:r>
      <w:r w:rsidR="00C37789" w:rsidRPr="000322E4">
        <w:rPr>
          <w:b/>
          <w:bCs/>
          <w:lang w:val="en-US"/>
        </w:rPr>
        <w:instrText>In</w:instrText>
      </w:r>
      <w:r w:rsidR="00C37789" w:rsidRPr="000322E4">
        <w:rPr>
          <w:b/>
          <w:bCs/>
        </w:rPr>
        <w:instrText xml:space="preserve"> </w:instrText>
      </w:r>
      <w:r w:rsidR="00C37789" w:rsidRPr="000322E4">
        <w:rPr>
          <w:b/>
          <w:bCs/>
          <w:lang w:val="en-US"/>
        </w:rPr>
        <w:instrText>this</w:instrText>
      </w:r>
      <w:r w:rsidR="00C37789" w:rsidRPr="000322E4">
        <w:rPr>
          <w:b/>
          <w:bCs/>
        </w:rPr>
        <w:instrText xml:space="preserve"> </w:instrText>
      </w:r>
      <w:r w:rsidR="00C37789" w:rsidRPr="000322E4">
        <w:rPr>
          <w:b/>
          <w:bCs/>
          <w:lang w:val="en-US"/>
        </w:rPr>
        <w:instrText>trial</w:instrText>
      </w:r>
      <w:r w:rsidR="00C37789" w:rsidRPr="000322E4">
        <w:rPr>
          <w:b/>
          <w:bCs/>
        </w:rPr>
        <w:instrText xml:space="preserve">, </w:instrText>
      </w:r>
      <w:r w:rsidR="00C37789" w:rsidRPr="000322E4">
        <w:rPr>
          <w:b/>
          <w:bCs/>
          <w:lang w:val="en-US"/>
        </w:rPr>
        <w:instrText>we</w:instrText>
      </w:r>
      <w:r w:rsidR="00C37789" w:rsidRPr="000322E4">
        <w:rPr>
          <w:b/>
          <w:bCs/>
        </w:rPr>
        <w:instrText xml:space="preserve"> </w:instrText>
      </w:r>
      <w:r w:rsidR="00C37789" w:rsidRPr="000322E4">
        <w:rPr>
          <w:b/>
          <w:bCs/>
          <w:lang w:val="en-US"/>
        </w:rPr>
        <w:instrText>addressed</w:instrText>
      </w:r>
      <w:r w:rsidR="00C37789" w:rsidRPr="000322E4">
        <w:rPr>
          <w:b/>
          <w:bCs/>
        </w:rPr>
        <w:instrText xml:space="preserve"> </w:instrText>
      </w:r>
      <w:r w:rsidR="00C37789" w:rsidRPr="000322E4">
        <w:rPr>
          <w:b/>
          <w:bCs/>
          <w:lang w:val="en-US"/>
        </w:rPr>
        <w:instrText>the</w:instrText>
      </w:r>
      <w:r w:rsidR="00C37789" w:rsidRPr="000322E4">
        <w:rPr>
          <w:b/>
          <w:bCs/>
        </w:rPr>
        <w:instrText xml:space="preserve"> </w:instrText>
      </w:r>
      <w:r w:rsidR="00C37789" w:rsidRPr="000322E4">
        <w:rPr>
          <w:b/>
          <w:bCs/>
          <w:lang w:val="en-US"/>
        </w:rPr>
        <w:instrText>tolerability</w:instrText>
      </w:r>
      <w:r w:rsidR="00C37789" w:rsidRPr="000322E4">
        <w:rPr>
          <w:b/>
          <w:bCs/>
        </w:rPr>
        <w:instrText xml:space="preserve"> </w:instrText>
      </w:r>
      <w:r w:rsidR="00C37789" w:rsidRPr="000322E4">
        <w:rPr>
          <w:b/>
          <w:bCs/>
          <w:lang w:val="en-US"/>
        </w:rPr>
        <w:instrText>and</w:instrText>
      </w:r>
      <w:r w:rsidR="00C37789" w:rsidRPr="000322E4">
        <w:rPr>
          <w:b/>
          <w:bCs/>
        </w:rPr>
        <w:instrText xml:space="preserve"> </w:instrText>
      </w:r>
      <w:r w:rsidR="00C37789" w:rsidRPr="000322E4">
        <w:rPr>
          <w:b/>
          <w:bCs/>
          <w:lang w:val="en-US"/>
        </w:rPr>
        <w:instrText>efficacy</w:instrText>
      </w:r>
      <w:r w:rsidR="00C37789" w:rsidRPr="000322E4">
        <w:rPr>
          <w:b/>
          <w:bCs/>
        </w:rPr>
        <w:instrText xml:space="preserve"> </w:instrText>
      </w:r>
      <w:r w:rsidR="00C37789" w:rsidRPr="000322E4">
        <w:rPr>
          <w:b/>
          <w:bCs/>
          <w:lang w:val="en-US"/>
        </w:rPr>
        <w:instrText>of</w:instrText>
      </w:r>
      <w:r w:rsidR="00C37789" w:rsidRPr="000322E4">
        <w:rPr>
          <w:b/>
          <w:bCs/>
        </w:rPr>
        <w:instrText xml:space="preserve"> </w:instrText>
      </w:r>
      <w:r w:rsidR="00C37789" w:rsidRPr="000322E4">
        <w:rPr>
          <w:b/>
          <w:bCs/>
          <w:lang w:val="en-US"/>
        </w:rPr>
        <w:instrText>adding</w:instrText>
      </w:r>
      <w:r w:rsidR="00C37789" w:rsidRPr="000322E4">
        <w:rPr>
          <w:b/>
          <w:bCs/>
        </w:rPr>
        <w:instrText xml:space="preserve"> </w:instrText>
      </w:r>
      <w:r w:rsidR="00C37789" w:rsidRPr="000322E4">
        <w:rPr>
          <w:b/>
          <w:bCs/>
          <w:lang w:val="en-US"/>
        </w:rPr>
        <w:instrText>rituximab</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or</w:instrText>
      </w:r>
      <w:r w:rsidR="00C37789" w:rsidRPr="000322E4">
        <w:rPr>
          <w:b/>
          <w:bCs/>
        </w:rPr>
        <w:instrText xml:space="preserve"> </w:instrText>
      </w:r>
      <w:r w:rsidR="00C37789" w:rsidRPr="000322E4">
        <w:rPr>
          <w:b/>
          <w:bCs/>
          <w:lang w:val="en-US"/>
        </w:rPr>
        <w:instrText>without</w:instrText>
      </w:r>
      <w:r w:rsidR="00C37789" w:rsidRPr="000322E4">
        <w:rPr>
          <w:b/>
          <w:bCs/>
        </w:rPr>
        <w:instrText xml:space="preserve"> </w:instrText>
      </w:r>
      <w:r w:rsidR="00C37789" w:rsidRPr="000322E4">
        <w:rPr>
          <w:b/>
          <w:bCs/>
          <w:lang w:val="en-US"/>
        </w:rPr>
        <w:instrText>thiotepa</w:instrText>
      </w:r>
      <w:r w:rsidR="00C37789" w:rsidRPr="000322E4">
        <w:rPr>
          <w:b/>
          <w:bCs/>
        </w:rPr>
        <w:instrText xml:space="preserve"> </w:instrText>
      </w:r>
      <w:r w:rsidR="00C37789" w:rsidRPr="000322E4">
        <w:rPr>
          <w:b/>
          <w:bCs/>
          <w:lang w:val="en-US"/>
        </w:rPr>
        <w:instrText>to</w:instrText>
      </w:r>
      <w:r w:rsidR="00C37789" w:rsidRPr="000322E4">
        <w:rPr>
          <w:b/>
          <w:bCs/>
        </w:rPr>
        <w:instrText xml:space="preserve"> </w:instrText>
      </w:r>
      <w:r w:rsidR="00C37789" w:rsidRPr="000322E4">
        <w:rPr>
          <w:b/>
          <w:bCs/>
          <w:lang w:val="en-US"/>
        </w:rPr>
        <w:instrText>methotrexate</w:instrText>
      </w:r>
      <w:r w:rsidR="00C37789" w:rsidRPr="000322E4">
        <w:rPr>
          <w:b/>
          <w:bCs/>
        </w:rPr>
        <w:instrText>-</w:instrText>
      </w:r>
      <w:r w:rsidR="00C37789" w:rsidRPr="000322E4">
        <w:rPr>
          <w:b/>
          <w:bCs/>
          <w:lang w:val="en-US"/>
        </w:rPr>
        <w:instrText>cytarabine</w:instrText>
      </w:r>
      <w:r w:rsidR="00C37789" w:rsidRPr="000322E4">
        <w:rPr>
          <w:b/>
          <w:bCs/>
        </w:rPr>
        <w:instrText xml:space="preserve"> </w:instrText>
      </w:r>
      <w:r w:rsidR="00C37789" w:rsidRPr="000322E4">
        <w:rPr>
          <w:b/>
          <w:bCs/>
          <w:lang w:val="en-US"/>
        </w:rPr>
        <w:instrText>combination</w:instrText>
      </w:r>
      <w:r w:rsidR="00C37789" w:rsidRPr="000322E4">
        <w:rPr>
          <w:b/>
          <w:bCs/>
        </w:rPr>
        <w:instrText xml:space="preserve"> </w:instrText>
      </w:r>
      <w:r w:rsidR="00C37789" w:rsidRPr="000322E4">
        <w:rPr>
          <w:b/>
          <w:bCs/>
          <w:lang w:val="en-US"/>
        </w:rPr>
        <w:instrText>therapy</w:instrText>
      </w:r>
      <w:r w:rsidR="00C37789" w:rsidRPr="000322E4">
        <w:rPr>
          <w:b/>
          <w:bCs/>
        </w:rPr>
        <w:instrText xml:space="preserve"> (</w:instrText>
      </w:r>
      <w:r w:rsidR="00C37789" w:rsidRPr="000322E4">
        <w:rPr>
          <w:b/>
          <w:bCs/>
          <w:lang w:val="en-US"/>
        </w:rPr>
        <w:instrText>the</w:instrText>
      </w:r>
      <w:r w:rsidR="00C37789" w:rsidRPr="000322E4">
        <w:rPr>
          <w:b/>
          <w:bCs/>
        </w:rPr>
        <w:instrText xml:space="preserve"> </w:instrText>
      </w:r>
      <w:r w:rsidR="00C37789" w:rsidRPr="000322E4">
        <w:rPr>
          <w:b/>
          <w:bCs/>
          <w:lang w:val="en-US"/>
        </w:rPr>
        <w:instrText>MATRix</w:instrText>
      </w:r>
      <w:r w:rsidR="00C37789" w:rsidRPr="000322E4">
        <w:rPr>
          <w:b/>
          <w:bCs/>
        </w:rPr>
        <w:instrText xml:space="preserve"> </w:instrText>
      </w:r>
      <w:r w:rsidR="00C37789" w:rsidRPr="000322E4">
        <w:rPr>
          <w:b/>
          <w:bCs/>
          <w:lang w:val="en-US"/>
        </w:rPr>
        <w:instrText>regimen</w:instrText>
      </w:r>
      <w:r w:rsidR="00C37789" w:rsidRPr="000322E4">
        <w:rPr>
          <w:b/>
          <w:bCs/>
        </w:rPr>
        <w:instrText xml:space="preserve">), </w:instrText>
      </w:r>
      <w:r w:rsidR="00C37789" w:rsidRPr="000322E4">
        <w:rPr>
          <w:b/>
          <w:bCs/>
          <w:lang w:val="en-US"/>
        </w:rPr>
        <w:instrText>followed</w:instrText>
      </w:r>
      <w:r w:rsidR="00C37789" w:rsidRPr="000322E4">
        <w:rPr>
          <w:b/>
          <w:bCs/>
        </w:rPr>
        <w:instrText xml:space="preserve"> </w:instrText>
      </w:r>
      <w:r w:rsidR="00C37789" w:rsidRPr="000322E4">
        <w:rPr>
          <w:b/>
          <w:bCs/>
          <w:lang w:val="en-US"/>
        </w:rPr>
        <w:instrText>by</w:instrText>
      </w:r>
      <w:r w:rsidR="00C37789" w:rsidRPr="000322E4">
        <w:rPr>
          <w:b/>
          <w:bCs/>
        </w:rPr>
        <w:instrText xml:space="preserve"> </w:instrText>
      </w:r>
      <w:r w:rsidR="00C37789" w:rsidRPr="000322E4">
        <w:rPr>
          <w:b/>
          <w:bCs/>
          <w:lang w:val="en-US"/>
        </w:rPr>
        <w:instrText>a</w:instrText>
      </w:r>
      <w:r w:rsidR="00C37789" w:rsidRPr="000322E4">
        <w:rPr>
          <w:b/>
          <w:bCs/>
        </w:rPr>
        <w:instrText xml:space="preserve"> </w:instrText>
      </w:r>
      <w:r w:rsidR="00C37789" w:rsidRPr="000322E4">
        <w:rPr>
          <w:b/>
          <w:bCs/>
          <w:lang w:val="en-US"/>
        </w:rPr>
        <w:instrText>second</w:instrText>
      </w:r>
      <w:r w:rsidR="00C37789" w:rsidRPr="000322E4">
        <w:rPr>
          <w:b/>
          <w:bCs/>
        </w:rPr>
        <w:instrText xml:space="preserve"> </w:instrText>
      </w:r>
      <w:r w:rsidR="00C37789" w:rsidRPr="000322E4">
        <w:rPr>
          <w:b/>
          <w:bCs/>
          <w:lang w:val="en-US"/>
        </w:rPr>
        <w:instrText>randomisation</w:instrText>
      </w:r>
      <w:r w:rsidR="00C37789" w:rsidRPr="000322E4">
        <w:rPr>
          <w:b/>
          <w:bCs/>
        </w:rPr>
        <w:instrText xml:space="preserve"> </w:instrText>
      </w:r>
      <w:r w:rsidR="00C37789" w:rsidRPr="000322E4">
        <w:rPr>
          <w:b/>
          <w:bCs/>
          <w:lang w:val="en-US"/>
        </w:rPr>
        <w:instrText>comparing</w:instrText>
      </w:r>
      <w:r w:rsidR="00C37789" w:rsidRPr="000322E4">
        <w:rPr>
          <w:b/>
          <w:bCs/>
        </w:rPr>
        <w:instrText xml:space="preserve"> </w:instrText>
      </w:r>
      <w:r w:rsidR="00C37789" w:rsidRPr="000322E4">
        <w:rPr>
          <w:b/>
          <w:bCs/>
          <w:lang w:val="en-US"/>
        </w:rPr>
        <w:instrText>consolidation</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whole</w:instrText>
      </w:r>
      <w:r w:rsidR="00C37789" w:rsidRPr="000322E4">
        <w:rPr>
          <w:b/>
          <w:bCs/>
        </w:rPr>
        <w:instrText>-</w:instrText>
      </w:r>
      <w:r w:rsidR="00C37789" w:rsidRPr="000322E4">
        <w:rPr>
          <w:b/>
          <w:bCs/>
          <w:lang w:val="en-US"/>
        </w:rPr>
        <w:instrText>brain</w:instrText>
      </w:r>
      <w:r w:rsidR="00C37789" w:rsidRPr="000322E4">
        <w:rPr>
          <w:b/>
          <w:bCs/>
        </w:rPr>
        <w:instrText xml:space="preserve"> </w:instrText>
      </w:r>
      <w:r w:rsidR="00C37789" w:rsidRPr="000322E4">
        <w:rPr>
          <w:b/>
          <w:bCs/>
          <w:lang w:val="en-US"/>
        </w:rPr>
        <w:instrText>radiotherapy</w:instrText>
      </w:r>
      <w:r w:rsidR="00C37789" w:rsidRPr="000322E4">
        <w:rPr>
          <w:b/>
          <w:bCs/>
        </w:rPr>
        <w:instrText xml:space="preserve"> </w:instrText>
      </w:r>
      <w:r w:rsidR="00C37789" w:rsidRPr="000322E4">
        <w:rPr>
          <w:b/>
          <w:bCs/>
          <w:lang w:val="en-US"/>
        </w:rPr>
        <w:instrText>or</w:instrText>
      </w:r>
      <w:r w:rsidR="00C37789" w:rsidRPr="000322E4">
        <w:rPr>
          <w:b/>
          <w:bCs/>
        </w:rPr>
        <w:instrText xml:space="preserve"> </w:instrText>
      </w:r>
      <w:r w:rsidR="00C37789" w:rsidRPr="000322E4">
        <w:rPr>
          <w:b/>
          <w:bCs/>
          <w:lang w:val="en-US"/>
        </w:rPr>
        <w:instrText>autologous</w:instrText>
      </w:r>
      <w:r w:rsidR="00C37789" w:rsidRPr="000322E4">
        <w:rPr>
          <w:b/>
          <w:bCs/>
        </w:rPr>
        <w:instrText xml:space="preserve"> </w:instrText>
      </w:r>
      <w:r w:rsidR="00C37789" w:rsidRPr="000322E4">
        <w:rPr>
          <w:b/>
          <w:bCs/>
          <w:lang w:val="en-US"/>
        </w:rPr>
        <w:instrText>stem</w:instrText>
      </w:r>
      <w:r w:rsidR="00C37789" w:rsidRPr="000322E4">
        <w:rPr>
          <w:b/>
          <w:bCs/>
        </w:rPr>
        <w:instrText xml:space="preserve"> </w:instrText>
      </w:r>
      <w:r w:rsidR="00C37789" w:rsidRPr="000322E4">
        <w:rPr>
          <w:b/>
          <w:bCs/>
          <w:lang w:val="en-US"/>
        </w:rPr>
        <w:instrText>cell</w:instrText>
      </w:r>
      <w:r w:rsidR="00C37789" w:rsidRPr="000322E4">
        <w:rPr>
          <w:b/>
          <w:bCs/>
        </w:rPr>
        <w:instrText xml:space="preserve"> </w:instrText>
      </w:r>
      <w:r w:rsidR="00C37789" w:rsidRPr="000322E4">
        <w:rPr>
          <w:b/>
          <w:bCs/>
          <w:lang w:val="en-US"/>
        </w:rPr>
        <w:instrText>transplantation</w:instrText>
      </w:r>
      <w:r w:rsidR="00C37789" w:rsidRPr="000322E4">
        <w:rPr>
          <w:b/>
          <w:bCs/>
        </w:rPr>
        <w:instrText xml:space="preserve"> </w:instrText>
      </w:r>
      <w:r w:rsidR="00C37789" w:rsidRPr="000322E4">
        <w:rPr>
          <w:b/>
          <w:bCs/>
          <w:lang w:val="en-US"/>
        </w:rPr>
        <w:instrText>in</w:instrText>
      </w:r>
      <w:r w:rsidR="00C37789" w:rsidRPr="000322E4">
        <w:rPr>
          <w:b/>
          <w:bCs/>
        </w:rPr>
        <w:instrText xml:space="preserve">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primary</w:instrText>
      </w:r>
      <w:r w:rsidR="00C37789" w:rsidRPr="000322E4">
        <w:rPr>
          <w:b/>
          <w:bCs/>
        </w:rPr>
        <w:instrText xml:space="preserve"> </w:instrText>
      </w:r>
      <w:r w:rsidR="00C37789" w:rsidRPr="000322E4">
        <w:rPr>
          <w:b/>
          <w:bCs/>
          <w:lang w:val="en-US"/>
        </w:rPr>
        <w:instrText>CNS</w:instrText>
      </w:r>
      <w:r w:rsidR="00C37789" w:rsidRPr="000322E4">
        <w:rPr>
          <w:b/>
          <w:bCs/>
        </w:rPr>
        <w:instrText xml:space="preserve"> </w:instrText>
      </w:r>
      <w:r w:rsidR="00C37789" w:rsidRPr="000322E4">
        <w:rPr>
          <w:b/>
          <w:bCs/>
          <w:lang w:val="en-US"/>
        </w:rPr>
        <w:instrText>lymphoma</w:instrText>
      </w:r>
      <w:r w:rsidR="00C37789" w:rsidRPr="000322E4">
        <w:rPr>
          <w:b/>
          <w:bCs/>
        </w:rPr>
        <w:instrText xml:space="preserve">. </w:instrText>
      </w:r>
      <w:r w:rsidR="00C37789" w:rsidRPr="000322E4">
        <w:rPr>
          <w:b/>
          <w:bCs/>
          <w:lang w:val="en-US"/>
        </w:rPr>
        <w:instrText>We</w:instrText>
      </w:r>
      <w:r w:rsidR="00C37789" w:rsidRPr="000322E4">
        <w:rPr>
          <w:b/>
          <w:bCs/>
        </w:rPr>
        <w:instrText xml:space="preserve"> </w:instrText>
      </w:r>
      <w:r w:rsidR="00C37789" w:rsidRPr="000322E4">
        <w:rPr>
          <w:b/>
          <w:bCs/>
          <w:lang w:val="en-US"/>
        </w:rPr>
        <w:instrText>report</w:instrText>
      </w:r>
      <w:r w:rsidR="00C37789" w:rsidRPr="000322E4">
        <w:rPr>
          <w:b/>
          <w:bCs/>
        </w:rPr>
        <w:instrText xml:space="preserve"> </w:instrText>
      </w:r>
      <w:r w:rsidR="00C37789" w:rsidRPr="000322E4">
        <w:rPr>
          <w:b/>
          <w:bCs/>
          <w:lang w:val="en-US"/>
        </w:rPr>
        <w:instrText>the</w:instrText>
      </w:r>
      <w:r w:rsidR="00C37789" w:rsidRPr="000322E4">
        <w:rPr>
          <w:b/>
          <w:bCs/>
        </w:rPr>
        <w:instrText xml:space="preserve"> </w:instrText>
      </w:r>
      <w:r w:rsidR="00C37789" w:rsidRPr="000322E4">
        <w:rPr>
          <w:b/>
          <w:bCs/>
          <w:lang w:val="en-US"/>
        </w:rPr>
        <w:instrText>results</w:instrText>
      </w:r>
      <w:r w:rsidR="00C37789" w:rsidRPr="000322E4">
        <w:rPr>
          <w:b/>
          <w:bCs/>
        </w:rPr>
        <w:instrText xml:space="preserve"> </w:instrText>
      </w:r>
      <w:r w:rsidR="00C37789" w:rsidRPr="000322E4">
        <w:rPr>
          <w:b/>
          <w:bCs/>
          <w:lang w:val="en-US"/>
        </w:rPr>
        <w:instrText>of</w:instrText>
      </w:r>
      <w:r w:rsidR="00C37789" w:rsidRPr="000322E4">
        <w:rPr>
          <w:b/>
          <w:bCs/>
        </w:rPr>
        <w:instrText xml:space="preserve"> </w:instrText>
      </w:r>
      <w:r w:rsidR="00C37789" w:rsidRPr="000322E4">
        <w:rPr>
          <w:b/>
          <w:bCs/>
          <w:lang w:val="en-US"/>
        </w:rPr>
        <w:instrText>the</w:instrText>
      </w:r>
      <w:r w:rsidR="00C37789" w:rsidRPr="000322E4">
        <w:rPr>
          <w:b/>
          <w:bCs/>
        </w:rPr>
        <w:instrText xml:space="preserve"> </w:instrText>
      </w:r>
      <w:r w:rsidR="00C37789" w:rsidRPr="000322E4">
        <w:rPr>
          <w:b/>
          <w:bCs/>
          <w:lang w:val="en-US"/>
        </w:rPr>
        <w:instrText>first</w:instrText>
      </w:r>
      <w:r w:rsidR="00C37789" w:rsidRPr="000322E4">
        <w:rPr>
          <w:b/>
          <w:bCs/>
        </w:rPr>
        <w:instrText xml:space="preserve"> </w:instrText>
      </w:r>
      <w:r w:rsidR="00C37789" w:rsidRPr="000322E4">
        <w:rPr>
          <w:b/>
          <w:bCs/>
          <w:lang w:val="en-US"/>
        </w:rPr>
        <w:instrText>randomisation</w:instrText>
      </w:r>
      <w:r w:rsidR="00C37789" w:rsidRPr="000322E4">
        <w:rPr>
          <w:b/>
          <w:bCs/>
        </w:rPr>
        <w:instrText xml:space="preserve"> </w:instrText>
      </w:r>
      <w:r w:rsidR="00C37789" w:rsidRPr="000322E4">
        <w:rPr>
          <w:b/>
          <w:bCs/>
          <w:lang w:val="en-US"/>
        </w:rPr>
        <w:instrText>in</w:instrText>
      </w:r>
      <w:r w:rsidR="00C37789" w:rsidRPr="000322E4">
        <w:rPr>
          <w:b/>
          <w:bCs/>
        </w:rPr>
        <w:instrText xml:space="preserve"> </w:instrText>
      </w:r>
      <w:r w:rsidR="00C37789" w:rsidRPr="000322E4">
        <w:rPr>
          <w:b/>
          <w:bCs/>
          <w:lang w:val="en-US"/>
        </w:rPr>
        <w:instrText>this</w:instrText>
      </w:r>
      <w:r w:rsidR="00C37789" w:rsidRPr="000322E4">
        <w:rPr>
          <w:b/>
          <w:bCs/>
        </w:rPr>
        <w:instrText xml:space="preserve"> </w:instrText>
      </w:r>
      <w:r w:rsidR="00C37789" w:rsidRPr="000322E4">
        <w:rPr>
          <w:b/>
          <w:bCs/>
          <w:lang w:val="en-US"/>
        </w:rPr>
        <w:instrText>Article</w:instrText>
      </w:r>
      <w:r w:rsidR="00C37789" w:rsidRPr="000322E4">
        <w:rPr>
          <w:b/>
          <w:bCs/>
        </w:rPr>
        <w:instrText xml:space="preserve">. </w:instrText>
      </w:r>
      <w:r w:rsidR="00C37789" w:rsidRPr="000322E4">
        <w:rPr>
          <w:b/>
          <w:bCs/>
          <w:lang w:val="en-US"/>
        </w:rPr>
        <w:instrText>Methods</w:instrText>
      </w:r>
      <w:r w:rsidR="00C37789" w:rsidRPr="000322E4">
        <w:rPr>
          <w:b/>
          <w:bCs/>
        </w:rPr>
        <w:instrText xml:space="preserve">: </w:instrText>
      </w:r>
      <w:r w:rsidR="00C37789" w:rsidRPr="000322E4">
        <w:rPr>
          <w:b/>
          <w:bCs/>
          <w:lang w:val="en-US"/>
        </w:rPr>
        <w:instrText>For</w:instrText>
      </w:r>
      <w:r w:rsidR="00C37789" w:rsidRPr="000322E4">
        <w:rPr>
          <w:b/>
          <w:bCs/>
        </w:rPr>
        <w:instrText xml:space="preserve"> </w:instrText>
      </w:r>
      <w:r w:rsidR="00C37789" w:rsidRPr="000322E4">
        <w:rPr>
          <w:b/>
          <w:bCs/>
          <w:lang w:val="en-US"/>
        </w:rPr>
        <w:instrText>the</w:instrText>
      </w:r>
      <w:r w:rsidR="00C37789" w:rsidRPr="000322E4">
        <w:rPr>
          <w:b/>
          <w:bCs/>
        </w:rPr>
        <w:instrText xml:space="preserve"> </w:instrText>
      </w:r>
      <w:r w:rsidR="00C37789" w:rsidRPr="000322E4">
        <w:rPr>
          <w:b/>
          <w:bCs/>
          <w:lang w:val="en-US"/>
        </w:rPr>
        <w:instrText>international</w:instrText>
      </w:r>
      <w:r w:rsidR="00C37789" w:rsidRPr="000322E4">
        <w:rPr>
          <w:b/>
          <w:bCs/>
        </w:rPr>
        <w:instrText xml:space="preserve"> </w:instrText>
      </w:r>
      <w:r w:rsidR="00C37789" w:rsidRPr="000322E4">
        <w:rPr>
          <w:b/>
          <w:bCs/>
          <w:lang w:val="en-US"/>
        </w:rPr>
        <w:instrText>randomised</w:instrText>
      </w:r>
      <w:r w:rsidR="00C37789" w:rsidRPr="000322E4">
        <w:rPr>
          <w:b/>
          <w:bCs/>
        </w:rPr>
        <w:instrText xml:space="preserve"> </w:instrText>
      </w:r>
      <w:r w:rsidR="00C37789" w:rsidRPr="000322E4">
        <w:rPr>
          <w:b/>
          <w:bCs/>
          <w:lang w:val="en-US"/>
        </w:rPr>
        <w:instrText>phase</w:instrText>
      </w:r>
      <w:r w:rsidR="00C37789" w:rsidRPr="000322E4">
        <w:rPr>
          <w:b/>
          <w:bCs/>
        </w:rPr>
        <w:instrText xml:space="preserve"> 2 </w:instrText>
      </w:r>
      <w:r w:rsidR="00C37789" w:rsidRPr="000322E4">
        <w:rPr>
          <w:b/>
          <w:bCs/>
          <w:lang w:val="en-US"/>
        </w:rPr>
        <w:instrText>International</w:instrText>
      </w:r>
      <w:r w:rsidR="00C37789" w:rsidRPr="000322E4">
        <w:rPr>
          <w:b/>
          <w:bCs/>
        </w:rPr>
        <w:instrText xml:space="preserve"> </w:instrText>
      </w:r>
      <w:r w:rsidR="00C37789" w:rsidRPr="000322E4">
        <w:rPr>
          <w:b/>
          <w:bCs/>
          <w:lang w:val="en-US"/>
        </w:rPr>
        <w:instrText>Extranodal</w:instrText>
      </w:r>
      <w:r w:rsidR="00C37789" w:rsidRPr="000322E4">
        <w:rPr>
          <w:b/>
          <w:bCs/>
        </w:rPr>
        <w:instrText xml:space="preserve"> </w:instrText>
      </w:r>
      <w:r w:rsidR="00C37789" w:rsidRPr="000322E4">
        <w:rPr>
          <w:b/>
          <w:bCs/>
          <w:lang w:val="en-US"/>
        </w:rPr>
        <w:instrText>Lymphoma</w:instrText>
      </w:r>
      <w:r w:rsidR="00C37789" w:rsidRPr="000322E4">
        <w:rPr>
          <w:b/>
          <w:bCs/>
        </w:rPr>
        <w:instrText xml:space="preserve"> </w:instrText>
      </w:r>
      <w:r w:rsidR="00C37789" w:rsidRPr="000322E4">
        <w:rPr>
          <w:b/>
          <w:bCs/>
          <w:lang w:val="en-US"/>
        </w:rPr>
        <w:instrText>Study</w:instrText>
      </w:r>
      <w:r w:rsidR="00C37789" w:rsidRPr="000322E4">
        <w:rPr>
          <w:b/>
          <w:bCs/>
        </w:rPr>
        <w:instrText xml:space="preserve"> </w:instrText>
      </w:r>
      <w:r w:rsidR="00C37789" w:rsidRPr="000322E4">
        <w:rPr>
          <w:b/>
          <w:bCs/>
          <w:lang w:val="en-US"/>
        </w:rPr>
        <w:instrText>Group</w:instrText>
      </w:r>
      <w:r w:rsidR="00C37789" w:rsidRPr="000322E4">
        <w:rPr>
          <w:b/>
          <w:bCs/>
        </w:rPr>
        <w:instrText>-32 (</w:instrText>
      </w:r>
      <w:r w:rsidR="00C37789" w:rsidRPr="000322E4">
        <w:rPr>
          <w:b/>
          <w:bCs/>
          <w:lang w:val="en-US"/>
        </w:rPr>
        <w:instrText>IELSG</w:instrText>
      </w:r>
      <w:r w:rsidR="00C37789" w:rsidRPr="000322E4">
        <w:rPr>
          <w:b/>
          <w:bCs/>
        </w:rPr>
        <w:instrText xml:space="preserve">32) </w:instrText>
      </w:r>
      <w:r w:rsidR="00C37789" w:rsidRPr="000322E4">
        <w:rPr>
          <w:b/>
          <w:bCs/>
          <w:lang w:val="en-US"/>
        </w:rPr>
        <w:instrText>trial</w:instrText>
      </w:r>
      <w:r w:rsidR="00C37789" w:rsidRPr="000322E4">
        <w:rPr>
          <w:b/>
          <w:bCs/>
        </w:rPr>
        <w:instrText xml:space="preserve">, </w:instrText>
      </w:r>
      <w:r w:rsidR="00C37789" w:rsidRPr="000322E4">
        <w:rPr>
          <w:b/>
          <w:bCs/>
          <w:lang w:val="en-US"/>
        </w:rPr>
        <w:instrText>HIV</w:instrText>
      </w:r>
      <w:r w:rsidR="00C37789" w:rsidRPr="000322E4">
        <w:rPr>
          <w:b/>
          <w:bCs/>
        </w:rPr>
        <w:instrText>-</w:instrText>
      </w:r>
      <w:r w:rsidR="00C37789" w:rsidRPr="000322E4">
        <w:rPr>
          <w:b/>
          <w:bCs/>
          <w:lang w:val="en-US"/>
        </w:rPr>
        <w:instrText>negative</w:instrText>
      </w:r>
      <w:r w:rsidR="00C37789" w:rsidRPr="000322E4">
        <w:rPr>
          <w:b/>
          <w:bCs/>
        </w:rPr>
        <w:instrText xml:space="preserve">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aged</w:instrText>
      </w:r>
      <w:r w:rsidR="00C37789" w:rsidRPr="000322E4">
        <w:rPr>
          <w:b/>
          <w:bCs/>
        </w:rPr>
        <w:instrText xml:space="preserve"> 18-70 </w:instrText>
      </w:r>
      <w:r w:rsidR="00C37789" w:rsidRPr="000322E4">
        <w:rPr>
          <w:b/>
          <w:bCs/>
          <w:lang w:val="en-US"/>
        </w:rPr>
        <w:instrText>years</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newly</w:instrText>
      </w:r>
      <w:r w:rsidR="00C37789" w:rsidRPr="000322E4">
        <w:rPr>
          <w:b/>
          <w:bCs/>
        </w:rPr>
        <w:instrText xml:space="preserve"> </w:instrText>
      </w:r>
      <w:r w:rsidR="00C37789" w:rsidRPr="000322E4">
        <w:rPr>
          <w:b/>
          <w:bCs/>
          <w:lang w:val="en-US"/>
        </w:rPr>
        <w:instrText>diagnosed</w:instrText>
      </w:r>
      <w:r w:rsidR="00C37789" w:rsidRPr="000322E4">
        <w:rPr>
          <w:b/>
          <w:bCs/>
        </w:rPr>
        <w:instrText xml:space="preserve"> </w:instrText>
      </w:r>
      <w:r w:rsidR="00C37789" w:rsidRPr="000322E4">
        <w:rPr>
          <w:b/>
          <w:bCs/>
          <w:lang w:val="en-US"/>
        </w:rPr>
        <w:instrText>primary</w:instrText>
      </w:r>
      <w:r w:rsidR="00C37789" w:rsidRPr="000322E4">
        <w:rPr>
          <w:b/>
          <w:bCs/>
        </w:rPr>
        <w:instrText xml:space="preserve"> </w:instrText>
      </w:r>
      <w:r w:rsidR="00C37789" w:rsidRPr="000322E4">
        <w:rPr>
          <w:b/>
          <w:bCs/>
          <w:lang w:val="en-US"/>
        </w:rPr>
        <w:instrText>CNS</w:instrText>
      </w:r>
      <w:r w:rsidR="00C37789" w:rsidRPr="000322E4">
        <w:rPr>
          <w:b/>
          <w:bCs/>
        </w:rPr>
        <w:instrText xml:space="preserve"> </w:instrText>
      </w:r>
      <w:r w:rsidR="00C37789" w:rsidRPr="000322E4">
        <w:rPr>
          <w:b/>
          <w:bCs/>
          <w:lang w:val="en-US"/>
        </w:rPr>
        <w:instrText>lymphoma</w:instrText>
      </w:r>
      <w:r w:rsidR="00C37789" w:rsidRPr="000322E4">
        <w:rPr>
          <w:b/>
          <w:bCs/>
        </w:rPr>
        <w:instrText xml:space="preserve"> </w:instrText>
      </w:r>
      <w:r w:rsidR="00C37789" w:rsidRPr="000322E4">
        <w:rPr>
          <w:b/>
          <w:bCs/>
          <w:lang w:val="en-US"/>
        </w:rPr>
        <w:instrText>and</w:instrText>
      </w:r>
      <w:r w:rsidR="00C37789" w:rsidRPr="000322E4">
        <w:rPr>
          <w:b/>
          <w:bCs/>
        </w:rPr>
        <w:instrText xml:space="preserve"> </w:instrText>
      </w:r>
      <w:r w:rsidR="00C37789" w:rsidRPr="000322E4">
        <w:rPr>
          <w:b/>
          <w:bCs/>
          <w:lang w:val="en-US"/>
        </w:rPr>
        <w:instrText>measurable</w:instrText>
      </w:r>
      <w:r w:rsidR="00C37789" w:rsidRPr="000322E4">
        <w:rPr>
          <w:b/>
          <w:bCs/>
        </w:rPr>
        <w:instrText xml:space="preserve"> </w:instrText>
      </w:r>
      <w:r w:rsidR="00C37789" w:rsidRPr="000322E4">
        <w:rPr>
          <w:b/>
          <w:bCs/>
          <w:lang w:val="en-US"/>
        </w:rPr>
        <w:instrText>disease</w:instrText>
      </w:r>
      <w:r w:rsidR="00C37789" w:rsidRPr="000322E4">
        <w:rPr>
          <w:b/>
          <w:bCs/>
        </w:rPr>
        <w:instrText xml:space="preserve"> </w:instrText>
      </w:r>
      <w:r w:rsidR="00C37789" w:rsidRPr="000322E4">
        <w:rPr>
          <w:b/>
          <w:bCs/>
          <w:lang w:val="en-US"/>
        </w:rPr>
        <w:instrText>were</w:instrText>
      </w:r>
      <w:r w:rsidR="00C37789" w:rsidRPr="000322E4">
        <w:rPr>
          <w:b/>
          <w:bCs/>
        </w:rPr>
        <w:instrText xml:space="preserve"> </w:instrText>
      </w:r>
      <w:r w:rsidR="00C37789" w:rsidRPr="000322E4">
        <w:rPr>
          <w:b/>
          <w:bCs/>
          <w:lang w:val="en-US"/>
        </w:rPr>
        <w:instrText>enrolled</w:instrText>
      </w:r>
      <w:r w:rsidR="00C37789" w:rsidRPr="000322E4">
        <w:rPr>
          <w:b/>
          <w:bCs/>
        </w:rPr>
        <w:instrText xml:space="preserve"> </w:instrText>
      </w:r>
      <w:r w:rsidR="00C37789" w:rsidRPr="000322E4">
        <w:rPr>
          <w:b/>
          <w:bCs/>
          <w:lang w:val="en-US"/>
        </w:rPr>
        <w:instrText>from</w:instrText>
      </w:r>
      <w:r w:rsidR="00C37789" w:rsidRPr="000322E4">
        <w:rPr>
          <w:b/>
          <w:bCs/>
        </w:rPr>
        <w:instrText xml:space="preserve"> 53 </w:instrText>
      </w:r>
      <w:r w:rsidR="00C37789" w:rsidRPr="000322E4">
        <w:rPr>
          <w:b/>
          <w:bCs/>
          <w:lang w:val="en-US"/>
        </w:rPr>
        <w:instrText>cancer</w:instrText>
      </w:r>
      <w:r w:rsidR="00C37789" w:rsidRPr="000322E4">
        <w:rPr>
          <w:b/>
          <w:bCs/>
        </w:rPr>
        <w:instrText xml:space="preserve"> </w:instrText>
      </w:r>
      <w:r w:rsidR="00C37789" w:rsidRPr="000322E4">
        <w:rPr>
          <w:b/>
          <w:bCs/>
          <w:lang w:val="en-US"/>
        </w:rPr>
        <w:instrText>centres</w:instrText>
      </w:r>
      <w:r w:rsidR="00C37789" w:rsidRPr="000322E4">
        <w:rPr>
          <w:b/>
          <w:bCs/>
        </w:rPr>
        <w:instrText xml:space="preserve"> </w:instrText>
      </w:r>
      <w:r w:rsidR="00C37789" w:rsidRPr="000322E4">
        <w:rPr>
          <w:b/>
          <w:bCs/>
          <w:lang w:val="en-US"/>
        </w:rPr>
        <w:instrText>in</w:instrText>
      </w:r>
      <w:r w:rsidR="00C37789" w:rsidRPr="000322E4">
        <w:rPr>
          <w:b/>
          <w:bCs/>
        </w:rPr>
        <w:instrText xml:space="preserve"> </w:instrText>
      </w:r>
      <w:r w:rsidR="00C37789" w:rsidRPr="000322E4">
        <w:rPr>
          <w:b/>
          <w:bCs/>
          <w:lang w:val="en-US"/>
        </w:rPr>
        <w:instrText>five</w:instrText>
      </w:r>
      <w:r w:rsidR="00C37789" w:rsidRPr="000322E4">
        <w:rPr>
          <w:b/>
          <w:bCs/>
        </w:rPr>
        <w:instrText xml:space="preserve"> </w:instrText>
      </w:r>
      <w:r w:rsidR="00C37789" w:rsidRPr="000322E4">
        <w:rPr>
          <w:b/>
          <w:bCs/>
          <w:lang w:val="en-US"/>
        </w:rPr>
        <w:instrText>European</w:instrText>
      </w:r>
      <w:r w:rsidR="00C37789" w:rsidRPr="000322E4">
        <w:rPr>
          <w:b/>
          <w:bCs/>
        </w:rPr>
        <w:instrText xml:space="preserve"> </w:instrText>
      </w:r>
      <w:r w:rsidR="00C37789" w:rsidRPr="000322E4">
        <w:rPr>
          <w:b/>
          <w:bCs/>
          <w:lang w:val="en-US"/>
        </w:rPr>
        <w:instrText>countries</w:instrText>
      </w:r>
      <w:r w:rsidR="00C37789" w:rsidRPr="000322E4">
        <w:rPr>
          <w:b/>
          <w:bCs/>
        </w:rPr>
        <w:instrText xml:space="preserve"> (</w:instrText>
      </w:r>
      <w:r w:rsidR="00C37789" w:rsidRPr="000322E4">
        <w:rPr>
          <w:b/>
          <w:bCs/>
          <w:lang w:val="en-US"/>
        </w:rPr>
        <w:instrText>Denmark</w:instrText>
      </w:r>
      <w:r w:rsidR="00C37789" w:rsidRPr="000322E4">
        <w:rPr>
          <w:b/>
          <w:bCs/>
        </w:rPr>
        <w:instrText xml:space="preserve">, </w:instrText>
      </w:r>
      <w:r w:rsidR="00C37789" w:rsidRPr="000322E4">
        <w:rPr>
          <w:b/>
          <w:bCs/>
          <w:lang w:val="en-US"/>
        </w:rPr>
        <w:instrText>Germany</w:instrText>
      </w:r>
      <w:r w:rsidR="00C37789" w:rsidRPr="000322E4">
        <w:rPr>
          <w:b/>
          <w:bCs/>
        </w:rPr>
        <w:instrText xml:space="preserve">, </w:instrText>
      </w:r>
      <w:r w:rsidR="00C37789" w:rsidRPr="000322E4">
        <w:rPr>
          <w:b/>
          <w:bCs/>
          <w:lang w:val="en-US"/>
        </w:rPr>
        <w:instrText>Italy</w:instrText>
      </w:r>
      <w:r w:rsidR="00C37789" w:rsidRPr="000322E4">
        <w:rPr>
          <w:b/>
          <w:bCs/>
        </w:rPr>
        <w:instrText xml:space="preserve">, </w:instrText>
      </w:r>
      <w:r w:rsidR="00C37789" w:rsidRPr="000322E4">
        <w:rPr>
          <w:b/>
          <w:bCs/>
          <w:lang w:val="en-US"/>
        </w:rPr>
        <w:instrText>Switzerland</w:instrText>
      </w:r>
      <w:r w:rsidR="00C37789" w:rsidRPr="000322E4">
        <w:rPr>
          <w:b/>
          <w:bCs/>
        </w:rPr>
        <w:instrText xml:space="preserve">, </w:instrText>
      </w:r>
      <w:r w:rsidR="00C37789" w:rsidRPr="000322E4">
        <w:rPr>
          <w:b/>
          <w:bCs/>
          <w:lang w:val="en-US"/>
        </w:rPr>
        <w:instrText>and</w:instrText>
      </w:r>
      <w:r w:rsidR="00C37789" w:rsidRPr="000322E4">
        <w:rPr>
          <w:b/>
          <w:bCs/>
        </w:rPr>
        <w:instrText xml:space="preserve"> </w:instrText>
      </w:r>
      <w:r w:rsidR="00C37789" w:rsidRPr="000322E4">
        <w:rPr>
          <w:b/>
          <w:bCs/>
          <w:lang w:val="en-US"/>
        </w:rPr>
        <w:instrText>the</w:instrText>
      </w:r>
      <w:r w:rsidR="00C37789" w:rsidRPr="000322E4">
        <w:rPr>
          <w:b/>
          <w:bCs/>
        </w:rPr>
        <w:instrText xml:space="preserve"> </w:instrText>
      </w:r>
      <w:r w:rsidR="00C37789" w:rsidRPr="000322E4">
        <w:rPr>
          <w:b/>
          <w:bCs/>
          <w:lang w:val="en-US"/>
        </w:rPr>
        <w:instrText>UK</w:instrText>
      </w:r>
      <w:r w:rsidR="00C37789" w:rsidRPr="000322E4">
        <w:rPr>
          <w:b/>
          <w:bCs/>
        </w:rPr>
        <w:instrText xml:space="preserve">) </w:instrText>
      </w:r>
      <w:r w:rsidR="00C37789" w:rsidRPr="000322E4">
        <w:rPr>
          <w:b/>
          <w:bCs/>
          <w:lang w:val="en-US"/>
        </w:rPr>
        <w:instrText>and</w:instrText>
      </w:r>
      <w:r w:rsidR="00C37789" w:rsidRPr="000322E4">
        <w:rPr>
          <w:b/>
          <w:bCs/>
        </w:rPr>
        <w:instrText xml:space="preserve"> </w:instrText>
      </w:r>
      <w:r w:rsidR="00C37789" w:rsidRPr="000322E4">
        <w:rPr>
          <w:b/>
          <w:bCs/>
          <w:lang w:val="en-US"/>
        </w:rPr>
        <w:instrText>randomly</w:instrText>
      </w:r>
      <w:r w:rsidR="00C37789" w:rsidRPr="000322E4">
        <w:rPr>
          <w:b/>
          <w:bCs/>
        </w:rPr>
        <w:instrText xml:space="preserve"> </w:instrText>
      </w:r>
      <w:r w:rsidR="00C37789" w:rsidRPr="000322E4">
        <w:rPr>
          <w:b/>
          <w:bCs/>
          <w:lang w:val="en-US"/>
        </w:rPr>
        <w:instrText>assigned</w:instrText>
      </w:r>
      <w:r w:rsidR="00C37789" w:rsidRPr="000322E4">
        <w:rPr>
          <w:b/>
          <w:bCs/>
        </w:rPr>
        <w:instrText xml:space="preserve"> (1:1:1) </w:instrText>
      </w:r>
      <w:r w:rsidR="00C37789" w:rsidRPr="000322E4">
        <w:rPr>
          <w:b/>
          <w:bCs/>
          <w:lang w:val="en-US"/>
        </w:rPr>
        <w:instrText>to</w:instrText>
      </w:r>
      <w:r w:rsidR="00C37789" w:rsidRPr="000322E4">
        <w:rPr>
          <w:b/>
          <w:bCs/>
        </w:rPr>
        <w:instrText xml:space="preserve"> </w:instrText>
      </w:r>
      <w:r w:rsidR="00C37789" w:rsidRPr="000322E4">
        <w:rPr>
          <w:b/>
          <w:bCs/>
          <w:lang w:val="en-US"/>
        </w:rPr>
        <w:instrText>receive</w:instrText>
      </w:r>
      <w:r w:rsidR="00C37789" w:rsidRPr="000322E4">
        <w:rPr>
          <w:b/>
          <w:bCs/>
        </w:rPr>
        <w:instrText xml:space="preserve"> </w:instrText>
      </w:r>
      <w:r w:rsidR="00C37789" w:rsidRPr="000322E4">
        <w:rPr>
          <w:b/>
          <w:bCs/>
          <w:lang w:val="en-US"/>
        </w:rPr>
        <w:instrText>four</w:instrText>
      </w:r>
      <w:r w:rsidR="00C37789" w:rsidRPr="000322E4">
        <w:rPr>
          <w:b/>
          <w:bCs/>
        </w:rPr>
        <w:instrText xml:space="preserve"> </w:instrText>
      </w:r>
      <w:r w:rsidR="00C37789" w:rsidRPr="000322E4">
        <w:rPr>
          <w:b/>
          <w:bCs/>
          <w:lang w:val="en-US"/>
        </w:rPr>
        <w:instrText>courses</w:instrText>
      </w:r>
      <w:r w:rsidR="00C37789" w:rsidRPr="000322E4">
        <w:rPr>
          <w:b/>
          <w:bCs/>
        </w:rPr>
        <w:instrText xml:space="preserve"> </w:instrText>
      </w:r>
      <w:r w:rsidR="00C37789" w:rsidRPr="000322E4">
        <w:rPr>
          <w:b/>
          <w:bCs/>
          <w:lang w:val="en-US"/>
        </w:rPr>
        <w:instrText>of</w:instrText>
      </w:r>
      <w:r w:rsidR="00C37789" w:rsidRPr="000322E4">
        <w:rPr>
          <w:b/>
          <w:bCs/>
        </w:rPr>
        <w:instrText xml:space="preserve"> </w:instrText>
      </w:r>
      <w:r w:rsidR="00C37789" w:rsidRPr="000322E4">
        <w:rPr>
          <w:b/>
          <w:bCs/>
          <w:lang w:val="en-US"/>
        </w:rPr>
        <w:instrText>methotrexate</w:instrText>
      </w:r>
      <w:r w:rsidR="00C37789" w:rsidRPr="000322E4">
        <w:rPr>
          <w:b/>
          <w:bCs/>
        </w:rPr>
        <w:instrText xml:space="preserve"> 3·5 </w:instrText>
      </w:r>
      <w:r w:rsidR="00C37789" w:rsidRPr="000322E4">
        <w:rPr>
          <w:b/>
          <w:bCs/>
          <w:lang w:val="en-US"/>
        </w:rPr>
        <w:instrText>g</w:instrText>
      </w:r>
      <w:r w:rsidR="00C37789" w:rsidRPr="000322E4">
        <w:rPr>
          <w:b/>
          <w:bCs/>
        </w:rPr>
        <w:instrText>/</w:instrText>
      </w:r>
      <w:r w:rsidR="00C37789" w:rsidRPr="000322E4">
        <w:rPr>
          <w:b/>
          <w:bCs/>
          <w:lang w:val="en-US"/>
        </w:rPr>
        <w:instrText>m</w:instrText>
      </w:r>
      <w:r w:rsidR="00C37789" w:rsidRPr="000322E4">
        <w:rPr>
          <w:b/>
          <w:bCs/>
        </w:rPr>
        <w:instrText xml:space="preserve">2 </w:instrText>
      </w:r>
      <w:r w:rsidR="00C37789" w:rsidRPr="000322E4">
        <w:rPr>
          <w:b/>
          <w:bCs/>
          <w:lang w:val="en-US"/>
        </w:rPr>
        <w:instrText>on</w:instrText>
      </w:r>
      <w:r w:rsidR="00C37789" w:rsidRPr="000322E4">
        <w:rPr>
          <w:b/>
          <w:bCs/>
        </w:rPr>
        <w:instrText xml:space="preserve"> </w:instrText>
      </w:r>
      <w:r w:rsidR="00C37789" w:rsidRPr="000322E4">
        <w:rPr>
          <w:b/>
          <w:bCs/>
          <w:lang w:val="en-US"/>
        </w:rPr>
        <w:instrText>day</w:instrText>
      </w:r>
      <w:r w:rsidR="00C37789" w:rsidRPr="000322E4">
        <w:rPr>
          <w:b/>
          <w:bCs/>
        </w:rPr>
        <w:instrText xml:space="preserve"> 1 </w:instrText>
      </w:r>
      <w:r w:rsidR="00C37789" w:rsidRPr="000322E4">
        <w:rPr>
          <w:b/>
          <w:bCs/>
          <w:lang w:val="en-US"/>
        </w:rPr>
        <w:instrText>plus</w:instrText>
      </w:r>
      <w:r w:rsidR="00C37789" w:rsidRPr="000322E4">
        <w:rPr>
          <w:b/>
          <w:bCs/>
        </w:rPr>
        <w:instrText xml:space="preserve"> </w:instrText>
      </w:r>
      <w:r w:rsidR="00C37789" w:rsidRPr="000322E4">
        <w:rPr>
          <w:b/>
          <w:bCs/>
          <w:lang w:val="en-US"/>
        </w:rPr>
        <w:instrText>cytarabine</w:instrText>
      </w:r>
      <w:r w:rsidR="00C37789" w:rsidRPr="000322E4">
        <w:rPr>
          <w:b/>
          <w:bCs/>
        </w:rPr>
        <w:instrText xml:space="preserve"> 2 </w:instrText>
      </w:r>
      <w:r w:rsidR="00C37789" w:rsidRPr="000322E4">
        <w:rPr>
          <w:b/>
          <w:bCs/>
          <w:lang w:val="en-US"/>
        </w:rPr>
        <w:instrText>g</w:instrText>
      </w:r>
      <w:r w:rsidR="00C37789" w:rsidRPr="000322E4">
        <w:rPr>
          <w:b/>
          <w:bCs/>
        </w:rPr>
        <w:instrText>/</w:instrText>
      </w:r>
      <w:r w:rsidR="00C37789" w:rsidRPr="000322E4">
        <w:rPr>
          <w:b/>
          <w:bCs/>
          <w:lang w:val="en-US"/>
        </w:rPr>
        <w:instrText>m</w:instrText>
      </w:r>
      <w:r w:rsidR="00C37789" w:rsidRPr="000322E4">
        <w:rPr>
          <w:b/>
          <w:bCs/>
        </w:rPr>
        <w:instrText xml:space="preserve">2 </w:instrText>
      </w:r>
      <w:r w:rsidR="00C37789" w:rsidRPr="000322E4">
        <w:rPr>
          <w:b/>
          <w:bCs/>
          <w:lang w:val="en-US"/>
        </w:rPr>
        <w:instrText>twice</w:instrText>
      </w:r>
      <w:r w:rsidR="00C37789" w:rsidRPr="000322E4">
        <w:rPr>
          <w:b/>
          <w:bCs/>
        </w:rPr>
        <w:instrText xml:space="preserve"> </w:instrText>
      </w:r>
      <w:r w:rsidR="00C37789" w:rsidRPr="000322E4">
        <w:rPr>
          <w:b/>
          <w:bCs/>
          <w:lang w:val="en-US"/>
        </w:rPr>
        <w:instrText>daily</w:instrText>
      </w:r>
      <w:r w:rsidR="00C37789" w:rsidRPr="000322E4">
        <w:rPr>
          <w:b/>
          <w:bCs/>
        </w:rPr>
        <w:instrText xml:space="preserve"> </w:instrText>
      </w:r>
      <w:r w:rsidR="00C37789" w:rsidRPr="000322E4">
        <w:rPr>
          <w:b/>
          <w:bCs/>
          <w:lang w:val="en-US"/>
        </w:rPr>
        <w:instrText>on</w:instrText>
      </w:r>
      <w:r w:rsidR="00C37789" w:rsidRPr="000322E4">
        <w:rPr>
          <w:b/>
          <w:bCs/>
        </w:rPr>
        <w:instrText xml:space="preserve"> </w:instrText>
      </w:r>
      <w:r w:rsidR="00C37789" w:rsidRPr="000322E4">
        <w:rPr>
          <w:b/>
          <w:bCs/>
          <w:lang w:val="en-US"/>
        </w:rPr>
        <w:instrText>days</w:instrText>
      </w:r>
      <w:r w:rsidR="00C37789" w:rsidRPr="000322E4">
        <w:rPr>
          <w:b/>
          <w:bCs/>
        </w:rPr>
        <w:instrText xml:space="preserve"> 2 </w:instrText>
      </w:r>
      <w:r w:rsidR="00C37789" w:rsidRPr="000322E4">
        <w:rPr>
          <w:b/>
          <w:bCs/>
          <w:lang w:val="en-US"/>
        </w:rPr>
        <w:instrText>and</w:instrText>
      </w:r>
      <w:r w:rsidR="00C37789" w:rsidRPr="000322E4">
        <w:rPr>
          <w:b/>
          <w:bCs/>
        </w:rPr>
        <w:instrText xml:space="preserve"> 3 (</w:instrText>
      </w:r>
      <w:r w:rsidR="00C37789" w:rsidRPr="000322E4">
        <w:rPr>
          <w:b/>
          <w:bCs/>
          <w:lang w:val="en-US"/>
        </w:rPr>
        <w:instrText>group</w:instrText>
      </w:r>
      <w:r w:rsidR="00C37789" w:rsidRPr="000322E4">
        <w:rPr>
          <w:b/>
          <w:bCs/>
        </w:rPr>
        <w:instrText xml:space="preserve"> </w:instrText>
      </w:r>
      <w:r w:rsidR="00C37789" w:rsidRPr="000322E4">
        <w:rPr>
          <w:b/>
          <w:bCs/>
          <w:lang w:val="en-US"/>
        </w:rPr>
        <w:instrText>A</w:instrText>
      </w:r>
      <w:r w:rsidR="00C37789" w:rsidRPr="000322E4">
        <w:rPr>
          <w:b/>
          <w:bCs/>
        </w:rPr>
        <w:instrText xml:space="preserve">); </w:instrText>
      </w:r>
      <w:r w:rsidR="00C37789" w:rsidRPr="000322E4">
        <w:rPr>
          <w:b/>
          <w:bCs/>
          <w:lang w:val="en-US"/>
        </w:rPr>
        <w:instrText>or</w:instrText>
      </w:r>
      <w:r w:rsidR="00C37789" w:rsidRPr="000322E4">
        <w:rPr>
          <w:b/>
          <w:bCs/>
        </w:rPr>
        <w:instrText xml:space="preserve"> </w:instrText>
      </w:r>
      <w:r w:rsidR="00C37789" w:rsidRPr="000322E4">
        <w:rPr>
          <w:b/>
          <w:bCs/>
          <w:lang w:val="en-US"/>
        </w:rPr>
        <w:instrText>the</w:instrText>
      </w:r>
      <w:r w:rsidR="00C37789" w:rsidRPr="000322E4">
        <w:rPr>
          <w:b/>
          <w:bCs/>
        </w:rPr>
        <w:instrText xml:space="preserve"> </w:instrText>
      </w:r>
      <w:r w:rsidR="00C37789" w:rsidRPr="000322E4">
        <w:rPr>
          <w:b/>
          <w:bCs/>
          <w:lang w:val="en-US"/>
        </w:rPr>
        <w:instrText>same</w:instrText>
      </w:r>
      <w:r w:rsidR="00C37789" w:rsidRPr="000322E4">
        <w:rPr>
          <w:b/>
          <w:bCs/>
        </w:rPr>
        <w:instrText xml:space="preserve"> </w:instrText>
      </w:r>
      <w:r w:rsidR="00C37789" w:rsidRPr="000322E4">
        <w:rPr>
          <w:b/>
          <w:bCs/>
          <w:lang w:val="en-US"/>
        </w:rPr>
        <w:instrText>combination</w:instrText>
      </w:r>
      <w:r w:rsidR="00C37789" w:rsidRPr="000322E4">
        <w:rPr>
          <w:b/>
          <w:bCs/>
        </w:rPr>
        <w:instrText xml:space="preserve"> </w:instrText>
      </w:r>
      <w:r w:rsidR="00C37789" w:rsidRPr="000322E4">
        <w:rPr>
          <w:b/>
          <w:bCs/>
          <w:lang w:val="en-US"/>
        </w:rPr>
        <w:instrText>plus</w:instrText>
      </w:r>
      <w:r w:rsidR="00C37789" w:rsidRPr="000322E4">
        <w:rPr>
          <w:b/>
          <w:bCs/>
        </w:rPr>
        <w:instrText xml:space="preserve"> </w:instrText>
      </w:r>
      <w:r w:rsidR="00C37789" w:rsidRPr="000322E4">
        <w:rPr>
          <w:b/>
          <w:bCs/>
          <w:lang w:val="en-US"/>
        </w:rPr>
        <w:instrText>two</w:instrText>
      </w:r>
      <w:r w:rsidR="00C37789" w:rsidRPr="000322E4">
        <w:rPr>
          <w:b/>
          <w:bCs/>
        </w:rPr>
        <w:instrText xml:space="preserve"> </w:instrText>
      </w:r>
      <w:r w:rsidR="00C37789" w:rsidRPr="000322E4">
        <w:rPr>
          <w:b/>
          <w:bCs/>
          <w:lang w:val="en-US"/>
        </w:rPr>
        <w:instrText>doses</w:instrText>
      </w:r>
      <w:r w:rsidR="00C37789" w:rsidRPr="000322E4">
        <w:rPr>
          <w:b/>
          <w:bCs/>
        </w:rPr>
        <w:instrText xml:space="preserve"> </w:instrText>
      </w:r>
      <w:r w:rsidR="00C37789" w:rsidRPr="000322E4">
        <w:rPr>
          <w:b/>
          <w:bCs/>
          <w:lang w:val="en-US"/>
        </w:rPr>
        <w:instrText>of</w:instrText>
      </w:r>
      <w:r w:rsidR="00C37789" w:rsidRPr="000322E4">
        <w:rPr>
          <w:b/>
          <w:bCs/>
        </w:rPr>
        <w:instrText xml:space="preserve"> </w:instrText>
      </w:r>
      <w:r w:rsidR="00C37789" w:rsidRPr="000322E4">
        <w:rPr>
          <w:b/>
          <w:bCs/>
          <w:lang w:val="en-US"/>
        </w:rPr>
        <w:instrText>rituximab</w:instrText>
      </w:r>
      <w:r w:rsidR="00C37789" w:rsidRPr="000322E4">
        <w:rPr>
          <w:b/>
          <w:bCs/>
        </w:rPr>
        <w:instrText xml:space="preserve"> 375 </w:instrText>
      </w:r>
      <w:r w:rsidR="00C37789" w:rsidRPr="000322E4">
        <w:rPr>
          <w:b/>
          <w:bCs/>
          <w:lang w:val="en-US"/>
        </w:rPr>
        <w:instrText>mg</w:instrText>
      </w:r>
      <w:r w:rsidR="00C37789" w:rsidRPr="000322E4">
        <w:rPr>
          <w:b/>
          <w:bCs/>
        </w:rPr>
        <w:instrText>/</w:instrText>
      </w:r>
      <w:r w:rsidR="00C37789" w:rsidRPr="000322E4">
        <w:rPr>
          <w:b/>
          <w:bCs/>
          <w:lang w:val="en-US"/>
        </w:rPr>
        <w:instrText>m</w:instrText>
      </w:r>
      <w:r w:rsidR="00C37789" w:rsidRPr="000322E4">
        <w:rPr>
          <w:b/>
          <w:bCs/>
        </w:rPr>
        <w:instrText xml:space="preserve">2 </w:instrText>
      </w:r>
      <w:r w:rsidR="00C37789" w:rsidRPr="000322E4">
        <w:rPr>
          <w:b/>
          <w:bCs/>
          <w:lang w:val="en-US"/>
        </w:rPr>
        <w:instrText>on</w:instrText>
      </w:r>
      <w:r w:rsidR="00C37789" w:rsidRPr="000322E4">
        <w:rPr>
          <w:b/>
          <w:bCs/>
        </w:rPr>
        <w:instrText xml:space="preserve"> </w:instrText>
      </w:r>
      <w:r w:rsidR="00C37789" w:rsidRPr="000322E4">
        <w:rPr>
          <w:b/>
          <w:bCs/>
          <w:lang w:val="en-US"/>
        </w:rPr>
        <w:instrText>days</w:instrText>
      </w:r>
      <w:r w:rsidR="00C37789" w:rsidRPr="000322E4">
        <w:rPr>
          <w:b/>
          <w:bCs/>
        </w:rPr>
        <w:instrText xml:space="preserve"> -5 </w:instrText>
      </w:r>
      <w:r w:rsidR="00C37789" w:rsidRPr="000322E4">
        <w:rPr>
          <w:b/>
          <w:bCs/>
          <w:lang w:val="en-US"/>
        </w:rPr>
        <w:instrText>and</w:instrText>
      </w:r>
      <w:r w:rsidR="00C37789" w:rsidRPr="000322E4">
        <w:rPr>
          <w:b/>
          <w:bCs/>
        </w:rPr>
        <w:instrText xml:space="preserve"> 0 (</w:instrText>
      </w:r>
      <w:r w:rsidR="00C37789" w:rsidRPr="000322E4">
        <w:rPr>
          <w:b/>
          <w:bCs/>
          <w:lang w:val="en-US"/>
        </w:rPr>
        <w:instrText>group</w:instrText>
      </w:r>
      <w:r w:rsidR="00C37789" w:rsidRPr="000322E4">
        <w:rPr>
          <w:b/>
          <w:bCs/>
        </w:rPr>
        <w:instrText xml:space="preserve"> </w:instrText>
      </w:r>
      <w:r w:rsidR="00C37789" w:rsidRPr="000322E4">
        <w:rPr>
          <w:b/>
          <w:bCs/>
          <w:lang w:val="en-US"/>
        </w:rPr>
        <w:instrText>B</w:instrText>
      </w:r>
      <w:r w:rsidR="00C37789" w:rsidRPr="000322E4">
        <w:rPr>
          <w:b/>
          <w:bCs/>
        </w:rPr>
        <w:instrText xml:space="preserve">); </w:instrText>
      </w:r>
      <w:r w:rsidR="00C37789" w:rsidRPr="000322E4">
        <w:rPr>
          <w:b/>
          <w:bCs/>
          <w:lang w:val="en-US"/>
        </w:rPr>
        <w:instrText>or</w:instrText>
      </w:r>
      <w:r w:rsidR="00C37789" w:rsidRPr="000322E4">
        <w:rPr>
          <w:b/>
          <w:bCs/>
        </w:rPr>
        <w:instrText xml:space="preserve"> </w:instrText>
      </w:r>
      <w:r w:rsidR="00C37789" w:rsidRPr="000322E4">
        <w:rPr>
          <w:b/>
          <w:bCs/>
          <w:lang w:val="en-US"/>
        </w:rPr>
        <w:instrText>the</w:instrText>
      </w:r>
      <w:r w:rsidR="00C37789" w:rsidRPr="000322E4">
        <w:rPr>
          <w:b/>
          <w:bCs/>
        </w:rPr>
        <w:instrText xml:space="preserve"> </w:instrText>
      </w:r>
      <w:r w:rsidR="00C37789" w:rsidRPr="000322E4">
        <w:rPr>
          <w:b/>
          <w:bCs/>
          <w:lang w:val="en-US"/>
        </w:rPr>
        <w:instrText>same</w:instrText>
      </w:r>
      <w:r w:rsidR="00C37789" w:rsidRPr="000322E4">
        <w:rPr>
          <w:b/>
          <w:bCs/>
        </w:rPr>
        <w:instrText xml:space="preserve"> </w:instrText>
      </w:r>
      <w:r w:rsidR="00C37789" w:rsidRPr="000322E4">
        <w:rPr>
          <w:b/>
          <w:bCs/>
          <w:lang w:val="en-US"/>
        </w:rPr>
        <w:instrText>methotrexate</w:instrText>
      </w:r>
      <w:r w:rsidR="00C37789" w:rsidRPr="000322E4">
        <w:rPr>
          <w:b/>
          <w:bCs/>
        </w:rPr>
        <w:instrText>-</w:instrText>
      </w:r>
      <w:r w:rsidR="00C37789" w:rsidRPr="000322E4">
        <w:rPr>
          <w:b/>
          <w:bCs/>
          <w:lang w:val="en-US"/>
        </w:rPr>
        <w:instrText>cytarabine</w:instrText>
      </w:r>
      <w:r w:rsidR="00C37789" w:rsidRPr="000322E4">
        <w:rPr>
          <w:b/>
          <w:bCs/>
        </w:rPr>
        <w:instrText>-</w:instrText>
      </w:r>
      <w:r w:rsidR="00C37789" w:rsidRPr="000322E4">
        <w:rPr>
          <w:b/>
          <w:bCs/>
          <w:lang w:val="en-US"/>
        </w:rPr>
        <w:instrText>rituximab</w:instrText>
      </w:r>
      <w:r w:rsidR="00C37789" w:rsidRPr="000322E4">
        <w:rPr>
          <w:b/>
          <w:bCs/>
        </w:rPr>
        <w:instrText xml:space="preserve"> </w:instrText>
      </w:r>
      <w:r w:rsidR="00C37789" w:rsidRPr="000322E4">
        <w:rPr>
          <w:b/>
          <w:bCs/>
          <w:lang w:val="en-US"/>
        </w:rPr>
        <w:instrText>combination</w:instrText>
      </w:r>
      <w:r w:rsidR="00C37789" w:rsidRPr="000322E4">
        <w:rPr>
          <w:b/>
          <w:bCs/>
        </w:rPr>
        <w:instrText xml:space="preserve"> </w:instrText>
      </w:r>
      <w:r w:rsidR="00C37789" w:rsidRPr="000322E4">
        <w:rPr>
          <w:b/>
          <w:bCs/>
          <w:lang w:val="en-US"/>
        </w:rPr>
        <w:instrText>plus</w:instrText>
      </w:r>
      <w:r w:rsidR="00C37789" w:rsidRPr="000322E4">
        <w:rPr>
          <w:b/>
          <w:bCs/>
        </w:rPr>
        <w:instrText xml:space="preserve"> </w:instrText>
      </w:r>
      <w:r w:rsidR="00C37789" w:rsidRPr="000322E4">
        <w:rPr>
          <w:b/>
          <w:bCs/>
          <w:lang w:val="en-US"/>
        </w:rPr>
        <w:instrText>thiotepa</w:instrText>
      </w:r>
      <w:r w:rsidR="00C37789" w:rsidRPr="000322E4">
        <w:rPr>
          <w:b/>
          <w:bCs/>
        </w:rPr>
        <w:instrText xml:space="preserve"> 30 </w:instrText>
      </w:r>
      <w:r w:rsidR="00C37789" w:rsidRPr="000322E4">
        <w:rPr>
          <w:b/>
          <w:bCs/>
          <w:lang w:val="en-US"/>
        </w:rPr>
        <w:instrText>mg</w:instrText>
      </w:r>
      <w:r w:rsidR="00C37789" w:rsidRPr="000322E4">
        <w:rPr>
          <w:b/>
          <w:bCs/>
        </w:rPr>
        <w:instrText>/</w:instrText>
      </w:r>
      <w:r w:rsidR="00C37789" w:rsidRPr="000322E4">
        <w:rPr>
          <w:b/>
          <w:bCs/>
          <w:lang w:val="en-US"/>
        </w:rPr>
        <w:instrText>m</w:instrText>
      </w:r>
      <w:r w:rsidR="00C37789" w:rsidRPr="000322E4">
        <w:rPr>
          <w:b/>
          <w:bCs/>
        </w:rPr>
        <w:instrText xml:space="preserve">2 </w:instrText>
      </w:r>
      <w:r w:rsidR="00C37789" w:rsidRPr="000322E4">
        <w:rPr>
          <w:b/>
          <w:bCs/>
          <w:lang w:val="en-US"/>
        </w:rPr>
        <w:instrText>on</w:instrText>
      </w:r>
      <w:r w:rsidR="00C37789" w:rsidRPr="000322E4">
        <w:rPr>
          <w:b/>
          <w:bCs/>
        </w:rPr>
        <w:instrText xml:space="preserve"> </w:instrText>
      </w:r>
      <w:r w:rsidR="00C37789" w:rsidRPr="000322E4">
        <w:rPr>
          <w:b/>
          <w:bCs/>
          <w:lang w:val="en-US"/>
        </w:rPr>
        <w:instrText>day</w:instrText>
      </w:r>
      <w:r w:rsidR="00C37789" w:rsidRPr="000322E4">
        <w:rPr>
          <w:b/>
          <w:bCs/>
        </w:rPr>
        <w:instrText xml:space="preserve"> 4 (</w:instrText>
      </w:r>
      <w:r w:rsidR="00C37789" w:rsidRPr="000322E4">
        <w:rPr>
          <w:b/>
          <w:bCs/>
          <w:lang w:val="en-US"/>
        </w:rPr>
        <w:instrText>group</w:instrText>
      </w:r>
      <w:r w:rsidR="00C37789" w:rsidRPr="000322E4">
        <w:rPr>
          <w:b/>
          <w:bCs/>
        </w:rPr>
        <w:instrText xml:space="preserve"> </w:instrText>
      </w:r>
      <w:r w:rsidR="00C37789" w:rsidRPr="000322E4">
        <w:rPr>
          <w:b/>
          <w:bCs/>
          <w:lang w:val="en-US"/>
        </w:rPr>
        <w:instrText>C</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the</w:instrText>
      </w:r>
      <w:r w:rsidR="00C37789" w:rsidRPr="000322E4">
        <w:rPr>
          <w:b/>
          <w:bCs/>
        </w:rPr>
        <w:instrText xml:space="preserve"> </w:instrText>
      </w:r>
      <w:r w:rsidR="00C37789" w:rsidRPr="000322E4">
        <w:rPr>
          <w:b/>
          <w:bCs/>
          <w:lang w:val="en-US"/>
        </w:rPr>
        <w:instrText>three</w:instrText>
      </w:r>
      <w:r w:rsidR="00C37789" w:rsidRPr="000322E4">
        <w:rPr>
          <w:b/>
          <w:bCs/>
        </w:rPr>
        <w:instrText xml:space="preserve"> </w:instrText>
      </w:r>
      <w:r w:rsidR="00C37789" w:rsidRPr="000322E4">
        <w:rPr>
          <w:b/>
          <w:bCs/>
          <w:lang w:val="en-US"/>
        </w:rPr>
        <w:instrText>groups</w:instrText>
      </w:r>
      <w:r w:rsidR="00C37789" w:rsidRPr="000322E4">
        <w:rPr>
          <w:b/>
          <w:bCs/>
        </w:rPr>
        <w:instrText xml:space="preserve"> </w:instrText>
      </w:r>
      <w:r w:rsidR="00C37789" w:rsidRPr="000322E4">
        <w:rPr>
          <w:b/>
          <w:bCs/>
          <w:lang w:val="en-US"/>
        </w:rPr>
        <w:instrText>repeating</w:instrText>
      </w:r>
      <w:r w:rsidR="00C37789" w:rsidRPr="000322E4">
        <w:rPr>
          <w:b/>
          <w:bCs/>
        </w:rPr>
        <w:instrText xml:space="preserve"> </w:instrText>
      </w:r>
      <w:r w:rsidR="00C37789" w:rsidRPr="000322E4">
        <w:rPr>
          <w:b/>
          <w:bCs/>
          <w:lang w:val="en-US"/>
        </w:rPr>
        <w:instrText>treatment</w:instrText>
      </w:r>
      <w:r w:rsidR="00C37789" w:rsidRPr="000322E4">
        <w:rPr>
          <w:b/>
          <w:bCs/>
        </w:rPr>
        <w:instrText xml:space="preserve"> </w:instrText>
      </w:r>
      <w:r w:rsidR="00C37789" w:rsidRPr="000322E4">
        <w:rPr>
          <w:b/>
          <w:bCs/>
          <w:lang w:val="en-US"/>
        </w:rPr>
        <w:instrText>every</w:instrText>
      </w:r>
      <w:r w:rsidR="00C37789" w:rsidRPr="000322E4">
        <w:rPr>
          <w:b/>
          <w:bCs/>
        </w:rPr>
        <w:instrText xml:space="preserve"> 3 </w:instrText>
      </w:r>
      <w:r w:rsidR="00C37789" w:rsidRPr="000322E4">
        <w:rPr>
          <w:b/>
          <w:bCs/>
          <w:lang w:val="en-US"/>
        </w:rPr>
        <w:instrText>weeks</w:instrText>
      </w:r>
      <w:r w:rsidR="00C37789" w:rsidRPr="000322E4">
        <w:rPr>
          <w:b/>
          <w:bCs/>
        </w:rPr>
        <w:instrText xml:space="preserve">.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responsive</w:instrText>
      </w:r>
      <w:r w:rsidR="00C37789" w:rsidRPr="000322E4">
        <w:rPr>
          <w:b/>
          <w:bCs/>
        </w:rPr>
        <w:instrText xml:space="preserve"> </w:instrText>
      </w:r>
      <w:r w:rsidR="00C37789" w:rsidRPr="000322E4">
        <w:rPr>
          <w:b/>
          <w:bCs/>
          <w:lang w:val="en-US"/>
        </w:rPr>
        <w:instrText>or</w:instrText>
      </w:r>
      <w:r w:rsidR="00C37789" w:rsidRPr="000322E4">
        <w:rPr>
          <w:b/>
          <w:bCs/>
        </w:rPr>
        <w:instrText xml:space="preserve"> </w:instrText>
      </w:r>
      <w:r w:rsidR="00C37789" w:rsidRPr="000322E4">
        <w:rPr>
          <w:b/>
          <w:bCs/>
          <w:lang w:val="en-US"/>
        </w:rPr>
        <w:instrText>stable</w:instrText>
      </w:r>
      <w:r w:rsidR="00C37789" w:rsidRPr="000322E4">
        <w:rPr>
          <w:b/>
          <w:bCs/>
        </w:rPr>
        <w:instrText xml:space="preserve"> </w:instrText>
      </w:r>
      <w:r w:rsidR="00C37789" w:rsidRPr="000322E4">
        <w:rPr>
          <w:b/>
          <w:bCs/>
          <w:lang w:val="en-US"/>
        </w:rPr>
        <w:instrText>disease</w:instrText>
      </w:r>
      <w:r w:rsidR="00C37789" w:rsidRPr="000322E4">
        <w:rPr>
          <w:b/>
          <w:bCs/>
        </w:rPr>
        <w:instrText xml:space="preserve"> </w:instrText>
      </w:r>
      <w:r w:rsidR="00C37789" w:rsidRPr="000322E4">
        <w:rPr>
          <w:b/>
          <w:bCs/>
          <w:lang w:val="en-US"/>
        </w:rPr>
        <w:instrText>after</w:instrText>
      </w:r>
      <w:r w:rsidR="00C37789" w:rsidRPr="000322E4">
        <w:rPr>
          <w:b/>
          <w:bCs/>
        </w:rPr>
        <w:instrText xml:space="preserve"> </w:instrText>
      </w:r>
      <w:r w:rsidR="00C37789" w:rsidRPr="000322E4">
        <w:rPr>
          <w:b/>
          <w:bCs/>
          <w:lang w:val="en-US"/>
        </w:rPr>
        <w:instrText>the</w:instrText>
      </w:r>
      <w:r w:rsidR="00C37789" w:rsidRPr="000322E4">
        <w:rPr>
          <w:b/>
          <w:bCs/>
        </w:rPr>
        <w:instrText xml:space="preserve"> </w:instrText>
      </w:r>
      <w:r w:rsidR="00C37789" w:rsidRPr="000322E4">
        <w:rPr>
          <w:b/>
          <w:bCs/>
          <w:lang w:val="en-US"/>
        </w:rPr>
        <w:instrText>first</w:instrText>
      </w:r>
      <w:r w:rsidR="00C37789" w:rsidRPr="000322E4">
        <w:rPr>
          <w:b/>
          <w:bCs/>
        </w:rPr>
        <w:instrText xml:space="preserve"> </w:instrText>
      </w:r>
      <w:r w:rsidR="00C37789" w:rsidRPr="000322E4">
        <w:rPr>
          <w:b/>
          <w:bCs/>
          <w:lang w:val="en-US"/>
        </w:rPr>
        <w:instrText>stage</w:instrText>
      </w:r>
      <w:r w:rsidR="00C37789" w:rsidRPr="000322E4">
        <w:rPr>
          <w:b/>
          <w:bCs/>
        </w:rPr>
        <w:instrText xml:space="preserve"> </w:instrText>
      </w:r>
      <w:r w:rsidR="00C37789" w:rsidRPr="000322E4">
        <w:rPr>
          <w:b/>
          <w:bCs/>
          <w:lang w:val="en-US"/>
        </w:rPr>
        <w:instrText>were</w:instrText>
      </w:r>
      <w:r w:rsidR="00C37789" w:rsidRPr="000322E4">
        <w:rPr>
          <w:b/>
          <w:bCs/>
        </w:rPr>
        <w:instrText xml:space="preserve"> </w:instrText>
      </w:r>
      <w:r w:rsidR="00C37789" w:rsidRPr="000322E4">
        <w:rPr>
          <w:b/>
          <w:bCs/>
          <w:lang w:val="en-US"/>
        </w:rPr>
        <w:instrText>then</w:instrText>
      </w:r>
      <w:r w:rsidR="00C37789" w:rsidRPr="000322E4">
        <w:rPr>
          <w:b/>
          <w:bCs/>
        </w:rPr>
        <w:instrText xml:space="preserve"> </w:instrText>
      </w:r>
      <w:r w:rsidR="00C37789" w:rsidRPr="000322E4">
        <w:rPr>
          <w:b/>
          <w:bCs/>
          <w:lang w:val="en-US"/>
        </w:rPr>
        <w:instrText>randomly</w:instrText>
      </w:r>
      <w:r w:rsidR="00C37789" w:rsidRPr="000322E4">
        <w:rPr>
          <w:b/>
          <w:bCs/>
        </w:rPr>
        <w:instrText xml:space="preserve"> </w:instrText>
      </w:r>
      <w:r w:rsidR="00C37789" w:rsidRPr="000322E4">
        <w:rPr>
          <w:b/>
          <w:bCs/>
          <w:lang w:val="en-US"/>
        </w:rPr>
        <w:instrText>allocated</w:instrText>
      </w:r>
      <w:r w:rsidR="00C37789" w:rsidRPr="000322E4">
        <w:rPr>
          <w:b/>
          <w:bCs/>
        </w:rPr>
        <w:instrText xml:space="preserve"> </w:instrText>
      </w:r>
      <w:r w:rsidR="00C37789" w:rsidRPr="000322E4">
        <w:rPr>
          <w:b/>
          <w:bCs/>
          <w:lang w:val="en-US"/>
        </w:rPr>
        <w:instrText>between</w:instrText>
      </w:r>
      <w:r w:rsidR="00C37789" w:rsidRPr="000322E4">
        <w:rPr>
          <w:b/>
          <w:bCs/>
        </w:rPr>
        <w:instrText xml:space="preserve"> </w:instrText>
      </w:r>
      <w:r w:rsidR="00C37789" w:rsidRPr="000322E4">
        <w:rPr>
          <w:b/>
          <w:bCs/>
          <w:lang w:val="en-US"/>
        </w:rPr>
        <w:instrText>whole</w:instrText>
      </w:r>
      <w:r w:rsidR="00C37789" w:rsidRPr="000322E4">
        <w:rPr>
          <w:b/>
          <w:bCs/>
        </w:rPr>
        <w:instrText>-</w:instrText>
      </w:r>
      <w:r w:rsidR="00C37789" w:rsidRPr="000322E4">
        <w:rPr>
          <w:b/>
          <w:bCs/>
          <w:lang w:val="en-US"/>
        </w:rPr>
        <w:instrText>brain</w:instrText>
      </w:r>
      <w:r w:rsidR="00C37789" w:rsidRPr="000322E4">
        <w:rPr>
          <w:b/>
          <w:bCs/>
        </w:rPr>
        <w:instrText xml:space="preserve"> </w:instrText>
      </w:r>
      <w:r w:rsidR="00C37789" w:rsidRPr="000322E4">
        <w:rPr>
          <w:b/>
          <w:bCs/>
          <w:lang w:val="en-US"/>
        </w:rPr>
        <w:instrText>radiotherapy</w:instrText>
      </w:r>
      <w:r w:rsidR="00C37789" w:rsidRPr="000322E4">
        <w:rPr>
          <w:b/>
          <w:bCs/>
        </w:rPr>
        <w:instrText xml:space="preserve"> </w:instrText>
      </w:r>
      <w:r w:rsidR="00C37789" w:rsidRPr="000322E4">
        <w:rPr>
          <w:b/>
          <w:bCs/>
          <w:lang w:val="en-US"/>
        </w:rPr>
        <w:instrText>and</w:instrText>
      </w:r>
      <w:r w:rsidR="00C37789" w:rsidRPr="000322E4">
        <w:rPr>
          <w:b/>
          <w:bCs/>
        </w:rPr>
        <w:instrText xml:space="preserve"> </w:instrText>
      </w:r>
      <w:r w:rsidR="00C37789" w:rsidRPr="000322E4">
        <w:rPr>
          <w:b/>
          <w:bCs/>
          <w:lang w:val="en-US"/>
        </w:rPr>
        <w:instrText>autologous</w:instrText>
      </w:r>
      <w:r w:rsidR="00C37789" w:rsidRPr="000322E4">
        <w:rPr>
          <w:b/>
          <w:bCs/>
        </w:rPr>
        <w:instrText xml:space="preserve"> </w:instrText>
      </w:r>
      <w:r w:rsidR="00C37789" w:rsidRPr="000322E4">
        <w:rPr>
          <w:b/>
          <w:bCs/>
          <w:lang w:val="en-US"/>
        </w:rPr>
        <w:instrText>stem</w:instrText>
      </w:r>
      <w:r w:rsidR="00C37789" w:rsidRPr="000322E4">
        <w:rPr>
          <w:b/>
          <w:bCs/>
        </w:rPr>
        <w:instrText xml:space="preserve"> </w:instrText>
      </w:r>
      <w:r w:rsidR="00C37789" w:rsidRPr="000322E4">
        <w:rPr>
          <w:b/>
          <w:bCs/>
          <w:lang w:val="en-US"/>
        </w:rPr>
        <w:instrText>cell</w:instrText>
      </w:r>
      <w:r w:rsidR="00C37789" w:rsidRPr="000322E4">
        <w:rPr>
          <w:b/>
          <w:bCs/>
        </w:rPr>
        <w:instrText xml:space="preserve"> </w:instrText>
      </w:r>
      <w:r w:rsidR="00C37789" w:rsidRPr="000322E4">
        <w:rPr>
          <w:b/>
          <w:bCs/>
          <w:lang w:val="en-US"/>
        </w:rPr>
        <w:instrText>transplantation</w:instrText>
      </w:r>
      <w:r w:rsidR="00C37789" w:rsidRPr="000322E4">
        <w:rPr>
          <w:b/>
          <w:bCs/>
        </w:rPr>
        <w:instrText xml:space="preserve">. </w:instrText>
      </w:r>
      <w:r w:rsidR="00C37789" w:rsidRPr="000322E4">
        <w:rPr>
          <w:b/>
          <w:bCs/>
          <w:lang w:val="en-US"/>
        </w:rPr>
        <w:instrText>A</w:instrText>
      </w:r>
      <w:r w:rsidR="00C37789" w:rsidRPr="000322E4">
        <w:rPr>
          <w:b/>
          <w:bCs/>
        </w:rPr>
        <w:instrText xml:space="preserve"> </w:instrText>
      </w:r>
      <w:r w:rsidR="00C37789" w:rsidRPr="000322E4">
        <w:rPr>
          <w:b/>
          <w:bCs/>
          <w:lang w:val="en-US"/>
        </w:rPr>
        <w:instrText>permuted</w:instrText>
      </w:r>
      <w:r w:rsidR="00C37789" w:rsidRPr="000322E4">
        <w:rPr>
          <w:b/>
          <w:bCs/>
        </w:rPr>
        <w:instrText xml:space="preserve"> </w:instrText>
      </w:r>
      <w:r w:rsidR="00C37789" w:rsidRPr="000322E4">
        <w:rPr>
          <w:b/>
          <w:bCs/>
          <w:lang w:val="en-US"/>
        </w:rPr>
        <w:instrText>blocks</w:instrText>
      </w:r>
      <w:r w:rsidR="00C37789" w:rsidRPr="000322E4">
        <w:rPr>
          <w:b/>
          <w:bCs/>
        </w:rPr>
        <w:instrText xml:space="preserve"> </w:instrText>
      </w:r>
      <w:r w:rsidR="00C37789" w:rsidRPr="000322E4">
        <w:rPr>
          <w:b/>
          <w:bCs/>
          <w:lang w:val="en-US"/>
        </w:rPr>
        <w:instrText>randomised</w:instrText>
      </w:r>
      <w:r w:rsidR="00C37789" w:rsidRPr="000322E4">
        <w:rPr>
          <w:b/>
          <w:bCs/>
        </w:rPr>
        <w:instrText xml:space="preserve"> </w:instrText>
      </w:r>
      <w:r w:rsidR="00C37789" w:rsidRPr="000322E4">
        <w:rPr>
          <w:b/>
          <w:bCs/>
          <w:lang w:val="en-US"/>
        </w:rPr>
        <w:instrText>design</w:instrText>
      </w:r>
      <w:r w:rsidR="00C37789" w:rsidRPr="000322E4">
        <w:rPr>
          <w:b/>
          <w:bCs/>
        </w:rPr>
        <w:instrText xml:space="preserve"> (</w:instrText>
      </w:r>
      <w:r w:rsidR="00C37789" w:rsidRPr="000322E4">
        <w:rPr>
          <w:b/>
          <w:bCs/>
          <w:lang w:val="en-US"/>
        </w:rPr>
        <w:instrText>block</w:instrText>
      </w:r>
      <w:r w:rsidR="00C37789" w:rsidRPr="000322E4">
        <w:rPr>
          <w:b/>
          <w:bCs/>
        </w:rPr>
        <w:instrText xml:space="preserve"> </w:instrText>
      </w:r>
      <w:r w:rsidR="00C37789" w:rsidRPr="000322E4">
        <w:rPr>
          <w:b/>
          <w:bCs/>
          <w:lang w:val="en-US"/>
        </w:rPr>
        <w:instrText>size</w:instrText>
      </w:r>
      <w:r w:rsidR="00C37789" w:rsidRPr="000322E4">
        <w:rPr>
          <w:b/>
          <w:bCs/>
        </w:rPr>
        <w:instrText xml:space="preserve"> </w:instrText>
      </w:r>
      <w:r w:rsidR="00C37789" w:rsidRPr="000322E4">
        <w:rPr>
          <w:b/>
          <w:bCs/>
          <w:lang w:val="en-US"/>
        </w:rPr>
        <w:instrText>four</w:instrText>
      </w:r>
      <w:r w:rsidR="00C37789" w:rsidRPr="000322E4">
        <w:rPr>
          <w:b/>
          <w:bCs/>
        </w:rPr>
        <w:instrText xml:space="preserve">) </w:instrText>
      </w:r>
      <w:r w:rsidR="00C37789" w:rsidRPr="000322E4">
        <w:rPr>
          <w:b/>
          <w:bCs/>
          <w:lang w:val="en-US"/>
        </w:rPr>
        <w:instrText>was</w:instrText>
      </w:r>
      <w:r w:rsidR="00C37789" w:rsidRPr="000322E4">
        <w:rPr>
          <w:b/>
          <w:bCs/>
        </w:rPr>
        <w:instrText xml:space="preserve"> </w:instrText>
      </w:r>
      <w:r w:rsidR="00C37789" w:rsidRPr="000322E4">
        <w:rPr>
          <w:b/>
          <w:bCs/>
          <w:lang w:val="en-US"/>
        </w:rPr>
        <w:instrText>used</w:instrText>
      </w:r>
      <w:r w:rsidR="00C37789" w:rsidRPr="000322E4">
        <w:rPr>
          <w:b/>
          <w:bCs/>
        </w:rPr>
        <w:instrText xml:space="preserve"> </w:instrText>
      </w:r>
      <w:r w:rsidR="00C37789" w:rsidRPr="000322E4">
        <w:rPr>
          <w:b/>
          <w:bCs/>
          <w:lang w:val="en-US"/>
        </w:rPr>
        <w:instrText>for</w:instrText>
      </w:r>
      <w:r w:rsidR="00C37789" w:rsidRPr="000322E4">
        <w:rPr>
          <w:b/>
          <w:bCs/>
        </w:rPr>
        <w:instrText xml:space="preserve"> </w:instrText>
      </w:r>
      <w:r w:rsidR="00C37789" w:rsidRPr="000322E4">
        <w:rPr>
          <w:b/>
          <w:bCs/>
          <w:lang w:val="en-US"/>
        </w:rPr>
        <w:instrText>both</w:instrText>
      </w:r>
      <w:r w:rsidR="00C37789" w:rsidRPr="000322E4">
        <w:rPr>
          <w:b/>
          <w:bCs/>
        </w:rPr>
        <w:instrText xml:space="preserve"> </w:instrText>
      </w:r>
      <w:r w:rsidR="00C37789" w:rsidRPr="000322E4">
        <w:rPr>
          <w:b/>
          <w:bCs/>
          <w:lang w:val="en-US"/>
        </w:rPr>
        <w:instrText>randomisations</w:instrText>
      </w:r>
      <w:r w:rsidR="00C37789" w:rsidRPr="000322E4">
        <w:rPr>
          <w:b/>
          <w:bCs/>
        </w:rPr>
        <w:instrText xml:space="preserve">, </w:instrText>
      </w:r>
      <w:r w:rsidR="00C37789" w:rsidRPr="000322E4">
        <w:rPr>
          <w:b/>
          <w:bCs/>
          <w:lang w:val="en-US"/>
        </w:rPr>
        <w:instrText>and</w:instrText>
      </w:r>
      <w:r w:rsidR="00C37789" w:rsidRPr="000322E4">
        <w:rPr>
          <w:b/>
          <w:bCs/>
        </w:rPr>
        <w:instrText xml:space="preserve"> </w:instrText>
      </w:r>
      <w:r w:rsidR="00C37789" w:rsidRPr="000322E4">
        <w:rPr>
          <w:b/>
          <w:bCs/>
          <w:lang w:val="en-US"/>
        </w:rPr>
        <w:instrText>a</w:instrText>
      </w:r>
      <w:r w:rsidR="00C37789" w:rsidRPr="000322E4">
        <w:rPr>
          <w:b/>
          <w:bCs/>
        </w:rPr>
        <w:instrText xml:space="preserve"> </w:instrText>
      </w:r>
      <w:r w:rsidR="00C37789" w:rsidRPr="000322E4">
        <w:rPr>
          <w:b/>
          <w:bCs/>
          <w:lang w:val="en-US"/>
        </w:rPr>
        <w:instrText>computer</w:instrText>
      </w:r>
      <w:r w:rsidR="00C37789" w:rsidRPr="000322E4">
        <w:rPr>
          <w:b/>
          <w:bCs/>
        </w:rPr>
        <w:instrText>-</w:instrText>
      </w:r>
      <w:r w:rsidR="00C37789" w:rsidRPr="000322E4">
        <w:rPr>
          <w:b/>
          <w:bCs/>
          <w:lang w:val="en-US"/>
        </w:rPr>
        <w:instrText>generated</w:instrText>
      </w:r>
      <w:r w:rsidR="00C37789" w:rsidRPr="000322E4">
        <w:rPr>
          <w:b/>
          <w:bCs/>
        </w:rPr>
        <w:instrText xml:space="preserve"> </w:instrText>
      </w:r>
      <w:r w:rsidR="00C37789" w:rsidRPr="000322E4">
        <w:rPr>
          <w:b/>
          <w:bCs/>
          <w:lang w:val="en-US"/>
        </w:rPr>
        <w:instrText>randomisation</w:instrText>
      </w:r>
      <w:r w:rsidR="00C37789" w:rsidRPr="000322E4">
        <w:rPr>
          <w:b/>
          <w:bCs/>
        </w:rPr>
        <w:instrText xml:space="preserve"> </w:instrText>
      </w:r>
      <w:r w:rsidR="00C37789" w:rsidRPr="000322E4">
        <w:rPr>
          <w:b/>
          <w:bCs/>
          <w:lang w:val="en-US"/>
        </w:rPr>
        <w:instrText>list</w:instrText>
      </w:r>
      <w:r w:rsidR="00C37789" w:rsidRPr="000322E4">
        <w:rPr>
          <w:b/>
          <w:bCs/>
        </w:rPr>
        <w:instrText xml:space="preserve"> </w:instrText>
      </w:r>
      <w:r w:rsidR="00C37789" w:rsidRPr="000322E4">
        <w:rPr>
          <w:b/>
          <w:bCs/>
          <w:lang w:val="en-US"/>
        </w:rPr>
        <w:instrText>was</w:instrText>
      </w:r>
      <w:r w:rsidR="00C37789" w:rsidRPr="000322E4">
        <w:rPr>
          <w:b/>
          <w:bCs/>
        </w:rPr>
        <w:instrText xml:space="preserve"> </w:instrText>
      </w:r>
      <w:r w:rsidR="00C37789" w:rsidRPr="000322E4">
        <w:rPr>
          <w:b/>
          <w:bCs/>
          <w:lang w:val="en-US"/>
        </w:rPr>
        <w:instrText>used</w:instrText>
      </w:r>
      <w:r w:rsidR="00C37789" w:rsidRPr="000322E4">
        <w:rPr>
          <w:b/>
          <w:bCs/>
        </w:rPr>
        <w:instrText xml:space="preserve"> </w:instrText>
      </w:r>
      <w:r w:rsidR="00C37789" w:rsidRPr="000322E4">
        <w:rPr>
          <w:b/>
          <w:bCs/>
          <w:lang w:val="en-US"/>
        </w:rPr>
        <w:instrText>within</w:instrText>
      </w:r>
      <w:r w:rsidR="00C37789" w:rsidRPr="000322E4">
        <w:rPr>
          <w:b/>
          <w:bCs/>
        </w:rPr>
        <w:instrText xml:space="preserve"> </w:instrText>
      </w:r>
      <w:r w:rsidR="00C37789" w:rsidRPr="000322E4">
        <w:rPr>
          <w:b/>
          <w:bCs/>
          <w:lang w:val="en-US"/>
        </w:rPr>
        <w:instrText>each</w:instrText>
      </w:r>
      <w:r w:rsidR="00C37789" w:rsidRPr="000322E4">
        <w:rPr>
          <w:b/>
          <w:bCs/>
        </w:rPr>
        <w:instrText xml:space="preserve"> </w:instrText>
      </w:r>
      <w:r w:rsidR="00C37789" w:rsidRPr="000322E4">
        <w:rPr>
          <w:b/>
          <w:bCs/>
          <w:lang w:val="en-US"/>
        </w:rPr>
        <w:instrText>stratum</w:instrText>
      </w:r>
      <w:r w:rsidR="00C37789" w:rsidRPr="000322E4">
        <w:rPr>
          <w:b/>
          <w:bCs/>
        </w:rPr>
        <w:instrText xml:space="preserve"> </w:instrText>
      </w:r>
      <w:r w:rsidR="00C37789" w:rsidRPr="000322E4">
        <w:rPr>
          <w:b/>
          <w:bCs/>
          <w:lang w:val="en-US"/>
        </w:rPr>
        <w:instrText>to</w:instrText>
      </w:r>
      <w:r w:rsidR="00C37789" w:rsidRPr="000322E4">
        <w:rPr>
          <w:b/>
          <w:bCs/>
        </w:rPr>
        <w:instrText xml:space="preserve"> </w:instrText>
      </w:r>
      <w:r w:rsidR="00C37789" w:rsidRPr="000322E4">
        <w:rPr>
          <w:b/>
          <w:bCs/>
          <w:lang w:val="en-US"/>
        </w:rPr>
        <w:instrText>preserve</w:instrText>
      </w:r>
      <w:r w:rsidR="00C37789" w:rsidRPr="000322E4">
        <w:rPr>
          <w:b/>
          <w:bCs/>
        </w:rPr>
        <w:instrText xml:space="preserve"> </w:instrText>
      </w:r>
      <w:r w:rsidR="00C37789" w:rsidRPr="000322E4">
        <w:rPr>
          <w:b/>
          <w:bCs/>
          <w:lang w:val="en-US"/>
        </w:rPr>
        <w:instrText>allocation</w:instrText>
      </w:r>
      <w:r w:rsidR="00C37789" w:rsidRPr="000322E4">
        <w:rPr>
          <w:b/>
          <w:bCs/>
        </w:rPr>
        <w:instrText xml:space="preserve"> </w:instrText>
      </w:r>
      <w:r w:rsidR="00C37789" w:rsidRPr="000322E4">
        <w:rPr>
          <w:b/>
          <w:bCs/>
          <w:lang w:val="en-US"/>
        </w:rPr>
        <w:instrText>concealment</w:instrText>
      </w:r>
      <w:r w:rsidR="00C37789" w:rsidRPr="000322E4">
        <w:rPr>
          <w:b/>
          <w:bCs/>
        </w:rPr>
        <w:instrText xml:space="preserve">. </w:instrText>
      </w:r>
      <w:r w:rsidR="00C37789" w:rsidRPr="000322E4">
        <w:rPr>
          <w:b/>
          <w:bCs/>
          <w:lang w:val="en-US"/>
        </w:rPr>
        <w:instrText>Randomisation</w:instrText>
      </w:r>
      <w:r w:rsidR="00C37789" w:rsidRPr="000322E4">
        <w:rPr>
          <w:b/>
          <w:bCs/>
        </w:rPr>
        <w:instrText xml:space="preserve"> </w:instrText>
      </w:r>
      <w:r w:rsidR="00C37789" w:rsidRPr="000322E4">
        <w:rPr>
          <w:b/>
          <w:bCs/>
          <w:lang w:val="en-US"/>
        </w:rPr>
        <w:instrText>was</w:instrText>
      </w:r>
      <w:r w:rsidR="00C37789" w:rsidRPr="000322E4">
        <w:rPr>
          <w:b/>
          <w:bCs/>
        </w:rPr>
        <w:instrText xml:space="preserve"> </w:instrText>
      </w:r>
      <w:r w:rsidR="00C37789" w:rsidRPr="000322E4">
        <w:rPr>
          <w:b/>
          <w:bCs/>
          <w:lang w:val="en-US"/>
        </w:rPr>
        <w:instrText>stratified</w:instrText>
      </w:r>
      <w:r w:rsidR="00C37789" w:rsidRPr="000322E4">
        <w:rPr>
          <w:b/>
          <w:bCs/>
        </w:rPr>
        <w:instrText xml:space="preserve"> </w:instrText>
      </w:r>
      <w:r w:rsidR="00C37789" w:rsidRPr="000322E4">
        <w:rPr>
          <w:b/>
          <w:bCs/>
          <w:lang w:val="en-US"/>
        </w:rPr>
        <w:instrText>by</w:instrText>
      </w:r>
      <w:r w:rsidR="00C37789" w:rsidRPr="000322E4">
        <w:rPr>
          <w:b/>
          <w:bCs/>
        </w:rPr>
        <w:instrText xml:space="preserve"> </w:instrText>
      </w:r>
      <w:r w:rsidR="00C37789" w:rsidRPr="000322E4">
        <w:rPr>
          <w:b/>
          <w:bCs/>
          <w:lang w:val="en-US"/>
        </w:rPr>
        <w:instrText>IELSG</w:instrText>
      </w:r>
      <w:r w:rsidR="00C37789" w:rsidRPr="000322E4">
        <w:rPr>
          <w:b/>
          <w:bCs/>
        </w:rPr>
        <w:instrText xml:space="preserve"> </w:instrText>
      </w:r>
      <w:r w:rsidR="00C37789" w:rsidRPr="000322E4">
        <w:rPr>
          <w:b/>
          <w:bCs/>
          <w:lang w:val="en-US"/>
        </w:rPr>
        <w:instrText>risk</w:instrText>
      </w:r>
      <w:r w:rsidR="00C37789" w:rsidRPr="000322E4">
        <w:rPr>
          <w:b/>
          <w:bCs/>
        </w:rPr>
        <w:instrText xml:space="preserve"> </w:instrText>
      </w:r>
      <w:r w:rsidR="00C37789" w:rsidRPr="000322E4">
        <w:rPr>
          <w:b/>
          <w:bCs/>
          <w:lang w:val="en-US"/>
        </w:rPr>
        <w:instrText>score</w:instrText>
      </w:r>
      <w:r w:rsidR="00C37789" w:rsidRPr="000322E4">
        <w:rPr>
          <w:b/>
          <w:bCs/>
        </w:rPr>
        <w:instrText xml:space="preserve"> (</w:instrText>
      </w:r>
      <w:r w:rsidR="00C37789" w:rsidRPr="000322E4">
        <w:rPr>
          <w:b/>
          <w:bCs/>
          <w:lang w:val="en-US"/>
        </w:rPr>
        <w:instrText>low</w:instrText>
      </w:r>
      <w:r w:rsidR="00C37789" w:rsidRPr="000322E4">
        <w:rPr>
          <w:b/>
          <w:bCs/>
        </w:rPr>
        <w:instrText xml:space="preserve"> </w:instrText>
      </w:r>
      <w:r w:rsidR="00C37789" w:rsidRPr="000322E4">
        <w:rPr>
          <w:b/>
          <w:bCs/>
          <w:lang w:val="en-US"/>
        </w:rPr>
        <w:instrText>vs</w:instrText>
      </w:r>
      <w:r w:rsidR="00C37789" w:rsidRPr="000322E4">
        <w:rPr>
          <w:b/>
          <w:bCs/>
        </w:rPr>
        <w:instrText xml:space="preserve"> </w:instrText>
      </w:r>
      <w:r w:rsidR="00C37789" w:rsidRPr="000322E4">
        <w:rPr>
          <w:b/>
          <w:bCs/>
          <w:lang w:val="en-US"/>
        </w:rPr>
        <w:instrText>intermediate</w:instrText>
      </w:r>
      <w:r w:rsidR="00C37789" w:rsidRPr="000322E4">
        <w:rPr>
          <w:b/>
          <w:bCs/>
        </w:rPr>
        <w:instrText xml:space="preserve"> </w:instrText>
      </w:r>
      <w:r w:rsidR="00C37789" w:rsidRPr="000322E4">
        <w:rPr>
          <w:b/>
          <w:bCs/>
          <w:lang w:val="en-US"/>
        </w:rPr>
        <w:instrText>vs</w:instrText>
      </w:r>
      <w:r w:rsidR="00C37789" w:rsidRPr="000322E4">
        <w:rPr>
          <w:b/>
          <w:bCs/>
        </w:rPr>
        <w:instrText xml:space="preserve"> </w:instrText>
      </w:r>
      <w:r w:rsidR="00C37789" w:rsidRPr="000322E4">
        <w:rPr>
          <w:b/>
          <w:bCs/>
          <w:lang w:val="en-US"/>
        </w:rPr>
        <w:instrText>high</w:instrText>
      </w:r>
      <w:r w:rsidR="00C37789" w:rsidRPr="000322E4">
        <w:rPr>
          <w:b/>
          <w:bCs/>
        </w:rPr>
        <w:instrText xml:space="preserve">). </w:instrText>
      </w:r>
      <w:r w:rsidR="00C37789" w:rsidRPr="000322E4">
        <w:rPr>
          <w:b/>
          <w:bCs/>
          <w:lang w:val="en-US"/>
        </w:rPr>
        <w:instrText>No</w:instrText>
      </w:r>
      <w:r w:rsidR="00C37789" w:rsidRPr="000322E4">
        <w:rPr>
          <w:b/>
          <w:bCs/>
        </w:rPr>
        <w:instrText xml:space="preserve"> </w:instrText>
      </w:r>
      <w:r w:rsidR="00C37789" w:rsidRPr="000322E4">
        <w:rPr>
          <w:b/>
          <w:bCs/>
          <w:lang w:val="en-US"/>
        </w:rPr>
        <w:instrText>masking</w:instrText>
      </w:r>
      <w:r w:rsidR="00C37789" w:rsidRPr="000322E4">
        <w:rPr>
          <w:b/>
          <w:bCs/>
        </w:rPr>
        <w:instrText xml:space="preserve"> </w:instrText>
      </w:r>
      <w:r w:rsidR="00C37789" w:rsidRPr="000322E4">
        <w:rPr>
          <w:b/>
          <w:bCs/>
          <w:lang w:val="en-US"/>
        </w:rPr>
        <w:instrText>after</w:instrText>
      </w:r>
      <w:r w:rsidR="00C37789" w:rsidRPr="000322E4">
        <w:rPr>
          <w:b/>
          <w:bCs/>
        </w:rPr>
        <w:instrText xml:space="preserve"> </w:instrText>
      </w:r>
      <w:r w:rsidR="00C37789" w:rsidRPr="000322E4">
        <w:rPr>
          <w:b/>
          <w:bCs/>
          <w:lang w:val="en-US"/>
        </w:rPr>
        <w:instrText>assignment</w:instrText>
      </w:r>
      <w:r w:rsidR="00C37789" w:rsidRPr="000322E4">
        <w:rPr>
          <w:b/>
          <w:bCs/>
        </w:rPr>
        <w:instrText xml:space="preserve"> </w:instrText>
      </w:r>
      <w:r w:rsidR="00C37789" w:rsidRPr="000322E4">
        <w:rPr>
          <w:b/>
          <w:bCs/>
          <w:lang w:val="en-US"/>
        </w:rPr>
        <w:instrText>to</w:instrText>
      </w:r>
      <w:r w:rsidR="00C37789" w:rsidRPr="000322E4">
        <w:rPr>
          <w:b/>
          <w:bCs/>
        </w:rPr>
        <w:instrText xml:space="preserve"> </w:instrText>
      </w:r>
      <w:r w:rsidR="00C37789" w:rsidRPr="000322E4">
        <w:rPr>
          <w:b/>
          <w:bCs/>
          <w:lang w:val="en-US"/>
        </w:rPr>
        <w:instrText>intervention</w:instrText>
      </w:r>
      <w:r w:rsidR="00C37789" w:rsidRPr="000322E4">
        <w:rPr>
          <w:b/>
          <w:bCs/>
        </w:rPr>
        <w:instrText xml:space="preserve"> </w:instrText>
      </w:r>
      <w:r w:rsidR="00C37789" w:rsidRPr="000322E4">
        <w:rPr>
          <w:b/>
          <w:bCs/>
          <w:lang w:val="en-US"/>
        </w:rPr>
        <w:instrText>was</w:instrText>
      </w:r>
      <w:r w:rsidR="00C37789" w:rsidRPr="000322E4">
        <w:rPr>
          <w:b/>
          <w:bCs/>
        </w:rPr>
        <w:instrText xml:space="preserve"> </w:instrText>
      </w:r>
      <w:r w:rsidR="00C37789" w:rsidRPr="000322E4">
        <w:rPr>
          <w:b/>
          <w:bCs/>
          <w:lang w:val="en-US"/>
        </w:rPr>
        <w:instrText>used</w:instrText>
      </w:r>
      <w:r w:rsidR="00C37789" w:rsidRPr="000322E4">
        <w:rPr>
          <w:b/>
          <w:bCs/>
        </w:rPr>
        <w:instrText xml:space="preserve">. </w:instrText>
      </w:r>
      <w:r w:rsidR="00C37789" w:rsidRPr="000322E4">
        <w:rPr>
          <w:b/>
          <w:bCs/>
          <w:lang w:val="en-US"/>
        </w:rPr>
        <w:instrText>The</w:instrText>
      </w:r>
      <w:r w:rsidR="00C37789" w:rsidRPr="000322E4">
        <w:rPr>
          <w:b/>
          <w:bCs/>
        </w:rPr>
        <w:instrText xml:space="preserve"> </w:instrText>
      </w:r>
      <w:r w:rsidR="00C37789" w:rsidRPr="000322E4">
        <w:rPr>
          <w:b/>
          <w:bCs/>
          <w:lang w:val="en-US"/>
        </w:rPr>
        <w:instrText>primary</w:instrText>
      </w:r>
      <w:r w:rsidR="00C37789" w:rsidRPr="000322E4">
        <w:rPr>
          <w:b/>
          <w:bCs/>
        </w:rPr>
        <w:instrText xml:space="preserve"> </w:instrText>
      </w:r>
      <w:r w:rsidR="00C37789" w:rsidRPr="000322E4">
        <w:rPr>
          <w:b/>
          <w:bCs/>
          <w:lang w:val="en-US"/>
        </w:rPr>
        <w:instrText>endpoint</w:instrText>
      </w:r>
      <w:r w:rsidR="00C37789" w:rsidRPr="000322E4">
        <w:rPr>
          <w:b/>
          <w:bCs/>
        </w:rPr>
        <w:instrText xml:space="preserve"> </w:instrText>
      </w:r>
      <w:r w:rsidR="00C37789" w:rsidRPr="000322E4">
        <w:rPr>
          <w:b/>
          <w:bCs/>
          <w:lang w:val="en-US"/>
        </w:rPr>
        <w:instrText>of</w:instrText>
      </w:r>
      <w:r w:rsidR="00C37789" w:rsidRPr="000322E4">
        <w:rPr>
          <w:b/>
          <w:bCs/>
        </w:rPr>
        <w:instrText xml:space="preserve"> </w:instrText>
      </w:r>
      <w:r w:rsidR="00C37789" w:rsidRPr="000322E4">
        <w:rPr>
          <w:b/>
          <w:bCs/>
          <w:lang w:val="en-US"/>
        </w:rPr>
        <w:instrText>the</w:instrText>
      </w:r>
      <w:r w:rsidR="00C37789" w:rsidRPr="000322E4">
        <w:rPr>
          <w:b/>
          <w:bCs/>
        </w:rPr>
        <w:instrText xml:space="preserve"> </w:instrText>
      </w:r>
      <w:r w:rsidR="00C37789" w:rsidRPr="000322E4">
        <w:rPr>
          <w:b/>
          <w:bCs/>
          <w:lang w:val="en-US"/>
        </w:rPr>
        <w:instrText>first</w:instrText>
      </w:r>
      <w:r w:rsidR="00C37789" w:rsidRPr="000322E4">
        <w:rPr>
          <w:b/>
          <w:bCs/>
        </w:rPr>
        <w:instrText xml:space="preserve"> </w:instrText>
      </w:r>
      <w:r w:rsidR="00C37789" w:rsidRPr="000322E4">
        <w:rPr>
          <w:b/>
          <w:bCs/>
          <w:lang w:val="en-US"/>
        </w:rPr>
        <w:instrText>randomisation</w:instrText>
      </w:r>
      <w:r w:rsidR="00C37789" w:rsidRPr="000322E4">
        <w:rPr>
          <w:b/>
          <w:bCs/>
        </w:rPr>
        <w:instrText xml:space="preserve"> </w:instrText>
      </w:r>
      <w:r w:rsidR="00C37789" w:rsidRPr="000322E4">
        <w:rPr>
          <w:b/>
          <w:bCs/>
          <w:lang w:val="en-US"/>
        </w:rPr>
        <w:instrText>was</w:instrText>
      </w:r>
      <w:r w:rsidR="00C37789" w:rsidRPr="000322E4">
        <w:rPr>
          <w:b/>
          <w:bCs/>
        </w:rPr>
        <w:instrText xml:space="preserve"> </w:instrText>
      </w:r>
      <w:r w:rsidR="00C37789" w:rsidRPr="000322E4">
        <w:rPr>
          <w:b/>
          <w:bCs/>
          <w:lang w:val="en-US"/>
        </w:rPr>
        <w:instrText>the</w:instrText>
      </w:r>
      <w:r w:rsidR="00C37789" w:rsidRPr="000322E4">
        <w:rPr>
          <w:b/>
          <w:bCs/>
        </w:rPr>
        <w:instrText xml:space="preserve"> </w:instrText>
      </w:r>
      <w:r w:rsidR="00C37789" w:rsidRPr="000322E4">
        <w:rPr>
          <w:b/>
          <w:bCs/>
          <w:lang w:val="en-US"/>
        </w:rPr>
        <w:instrText>complete</w:instrText>
      </w:r>
      <w:r w:rsidR="00C37789" w:rsidRPr="000322E4">
        <w:rPr>
          <w:b/>
          <w:bCs/>
        </w:rPr>
        <w:instrText xml:space="preserve"> </w:instrText>
      </w:r>
      <w:r w:rsidR="00C37789" w:rsidRPr="000322E4">
        <w:rPr>
          <w:b/>
          <w:bCs/>
          <w:lang w:val="en-US"/>
        </w:rPr>
        <w:instrText>remission</w:instrText>
      </w:r>
      <w:r w:rsidR="00C37789" w:rsidRPr="000322E4">
        <w:rPr>
          <w:b/>
          <w:bCs/>
        </w:rPr>
        <w:instrText xml:space="preserve"> </w:instrText>
      </w:r>
      <w:r w:rsidR="00C37789" w:rsidRPr="000322E4">
        <w:rPr>
          <w:b/>
          <w:bCs/>
          <w:lang w:val="en-US"/>
        </w:rPr>
        <w:instrText>rate</w:instrText>
      </w:r>
      <w:r w:rsidR="00C37789" w:rsidRPr="000322E4">
        <w:rPr>
          <w:b/>
          <w:bCs/>
        </w:rPr>
        <w:instrText xml:space="preserve">, </w:instrText>
      </w:r>
      <w:r w:rsidR="00C37789" w:rsidRPr="000322E4">
        <w:rPr>
          <w:b/>
          <w:bCs/>
          <w:lang w:val="en-US"/>
        </w:rPr>
        <w:instrText>analysed</w:instrText>
      </w:r>
      <w:r w:rsidR="00C37789" w:rsidRPr="000322E4">
        <w:rPr>
          <w:b/>
          <w:bCs/>
        </w:rPr>
        <w:instrText xml:space="preserve"> </w:instrText>
      </w:r>
      <w:r w:rsidR="00C37789" w:rsidRPr="000322E4">
        <w:rPr>
          <w:b/>
          <w:bCs/>
          <w:lang w:val="en-US"/>
        </w:rPr>
        <w:instrText>by</w:instrText>
      </w:r>
      <w:r w:rsidR="00C37789" w:rsidRPr="000322E4">
        <w:rPr>
          <w:b/>
          <w:bCs/>
        </w:rPr>
        <w:instrText xml:space="preserve"> </w:instrText>
      </w:r>
      <w:r w:rsidR="00C37789" w:rsidRPr="000322E4">
        <w:rPr>
          <w:b/>
          <w:bCs/>
          <w:lang w:val="en-US"/>
        </w:rPr>
        <w:instrText>modified</w:instrText>
      </w:r>
      <w:r w:rsidR="00C37789" w:rsidRPr="000322E4">
        <w:rPr>
          <w:b/>
          <w:bCs/>
        </w:rPr>
        <w:instrText xml:space="preserve"> </w:instrText>
      </w:r>
      <w:r w:rsidR="00C37789" w:rsidRPr="000322E4">
        <w:rPr>
          <w:b/>
          <w:bCs/>
          <w:lang w:val="en-US"/>
        </w:rPr>
        <w:instrText>intention</w:instrText>
      </w:r>
      <w:r w:rsidR="00C37789" w:rsidRPr="000322E4">
        <w:rPr>
          <w:b/>
          <w:bCs/>
        </w:rPr>
        <w:instrText xml:space="preserve"> </w:instrText>
      </w:r>
      <w:r w:rsidR="00C37789" w:rsidRPr="000322E4">
        <w:rPr>
          <w:b/>
          <w:bCs/>
          <w:lang w:val="en-US"/>
        </w:rPr>
        <w:instrText>to</w:instrText>
      </w:r>
      <w:r w:rsidR="00C37789" w:rsidRPr="000322E4">
        <w:rPr>
          <w:b/>
          <w:bCs/>
        </w:rPr>
        <w:instrText xml:space="preserve"> </w:instrText>
      </w:r>
      <w:r w:rsidR="00C37789" w:rsidRPr="000322E4">
        <w:rPr>
          <w:b/>
          <w:bCs/>
          <w:lang w:val="en-US"/>
        </w:rPr>
        <w:instrText>treat</w:instrText>
      </w:r>
      <w:r w:rsidR="00C37789" w:rsidRPr="000322E4">
        <w:rPr>
          <w:b/>
          <w:bCs/>
        </w:rPr>
        <w:instrText xml:space="preserve">. </w:instrText>
      </w:r>
      <w:r w:rsidR="00C37789" w:rsidRPr="000322E4">
        <w:rPr>
          <w:b/>
          <w:bCs/>
          <w:lang w:val="en-US"/>
        </w:rPr>
        <w:instrText>This</w:instrText>
      </w:r>
      <w:r w:rsidR="00C37789" w:rsidRPr="000322E4">
        <w:rPr>
          <w:b/>
          <w:bCs/>
        </w:rPr>
        <w:instrText xml:space="preserve"> </w:instrText>
      </w:r>
      <w:r w:rsidR="00C37789" w:rsidRPr="000322E4">
        <w:rPr>
          <w:b/>
          <w:bCs/>
          <w:lang w:val="en-US"/>
        </w:rPr>
        <w:instrText>study</w:instrText>
      </w:r>
      <w:r w:rsidR="00C37789" w:rsidRPr="000322E4">
        <w:rPr>
          <w:b/>
          <w:bCs/>
        </w:rPr>
        <w:instrText xml:space="preserve"> </w:instrText>
      </w:r>
      <w:r w:rsidR="00C37789" w:rsidRPr="000322E4">
        <w:rPr>
          <w:b/>
          <w:bCs/>
          <w:lang w:val="en-US"/>
        </w:rPr>
        <w:instrText>is</w:instrText>
      </w:r>
      <w:r w:rsidR="00C37789" w:rsidRPr="000322E4">
        <w:rPr>
          <w:b/>
          <w:bCs/>
        </w:rPr>
        <w:instrText xml:space="preserve"> </w:instrText>
      </w:r>
      <w:r w:rsidR="00C37789" w:rsidRPr="000322E4">
        <w:rPr>
          <w:b/>
          <w:bCs/>
          <w:lang w:val="en-US"/>
        </w:rPr>
        <w:instrText>registered</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ClinicalTrials</w:instrText>
      </w:r>
      <w:r w:rsidR="00C37789" w:rsidRPr="000322E4">
        <w:rPr>
          <w:b/>
          <w:bCs/>
        </w:rPr>
        <w:instrText>.</w:instrText>
      </w:r>
      <w:r w:rsidR="00C37789" w:rsidRPr="000322E4">
        <w:rPr>
          <w:b/>
          <w:bCs/>
          <w:lang w:val="en-US"/>
        </w:rPr>
        <w:instrText>gov</w:instrText>
      </w:r>
      <w:r w:rsidR="00C37789" w:rsidRPr="000322E4">
        <w:rPr>
          <w:b/>
          <w:bCs/>
        </w:rPr>
        <w:instrText xml:space="preserve">, </w:instrText>
      </w:r>
      <w:r w:rsidR="00C37789" w:rsidRPr="000322E4">
        <w:rPr>
          <w:b/>
          <w:bCs/>
          <w:lang w:val="en-US"/>
        </w:rPr>
        <w:instrText>number</w:instrText>
      </w:r>
      <w:r w:rsidR="00C37789" w:rsidRPr="000322E4">
        <w:rPr>
          <w:b/>
          <w:bCs/>
        </w:rPr>
        <w:instrText xml:space="preserve"> </w:instrText>
      </w:r>
      <w:r w:rsidR="00C37789" w:rsidRPr="000322E4">
        <w:rPr>
          <w:b/>
          <w:bCs/>
          <w:lang w:val="en-US"/>
        </w:rPr>
        <w:instrText>NCT</w:instrText>
      </w:r>
      <w:r w:rsidR="00C37789" w:rsidRPr="000322E4">
        <w:rPr>
          <w:b/>
          <w:bCs/>
        </w:rPr>
        <w:instrText xml:space="preserve">01011920. </w:instrText>
      </w:r>
      <w:r w:rsidR="00C37789" w:rsidRPr="000322E4">
        <w:rPr>
          <w:b/>
          <w:bCs/>
          <w:lang w:val="en-US"/>
        </w:rPr>
        <w:instrText>Findings</w:instrText>
      </w:r>
      <w:r w:rsidR="00C37789" w:rsidRPr="000322E4">
        <w:rPr>
          <w:b/>
          <w:bCs/>
        </w:rPr>
        <w:instrText xml:space="preserve">: </w:instrText>
      </w:r>
      <w:r w:rsidR="00C37789" w:rsidRPr="000322E4">
        <w:rPr>
          <w:b/>
          <w:bCs/>
          <w:lang w:val="en-US"/>
        </w:rPr>
        <w:instrText>Between</w:instrText>
      </w:r>
      <w:r w:rsidR="00C37789" w:rsidRPr="000322E4">
        <w:rPr>
          <w:b/>
          <w:bCs/>
        </w:rPr>
        <w:instrText xml:space="preserve"> </w:instrText>
      </w:r>
      <w:r w:rsidR="00C37789" w:rsidRPr="000322E4">
        <w:rPr>
          <w:b/>
          <w:bCs/>
          <w:lang w:val="en-US"/>
        </w:rPr>
        <w:instrText>Feb</w:instrText>
      </w:r>
      <w:r w:rsidR="00C37789" w:rsidRPr="000322E4">
        <w:rPr>
          <w:b/>
          <w:bCs/>
        </w:rPr>
        <w:instrText xml:space="preserve"> 19, 2010, </w:instrText>
      </w:r>
      <w:r w:rsidR="00C37789" w:rsidRPr="000322E4">
        <w:rPr>
          <w:b/>
          <w:bCs/>
          <w:lang w:val="en-US"/>
        </w:rPr>
        <w:instrText>and</w:instrText>
      </w:r>
      <w:r w:rsidR="00C37789" w:rsidRPr="000322E4">
        <w:rPr>
          <w:b/>
          <w:bCs/>
        </w:rPr>
        <w:instrText xml:space="preserve"> </w:instrText>
      </w:r>
      <w:r w:rsidR="00C37789" w:rsidRPr="000322E4">
        <w:rPr>
          <w:b/>
          <w:bCs/>
          <w:lang w:val="en-US"/>
        </w:rPr>
        <w:instrText>Aug</w:instrText>
      </w:r>
      <w:r w:rsidR="00C37789" w:rsidRPr="000322E4">
        <w:rPr>
          <w:b/>
          <w:bCs/>
        </w:rPr>
        <w:instrText xml:space="preserve"> 27, 2014, 227 </w:instrText>
      </w:r>
      <w:r w:rsidR="00C37789" w:rsidRPr="000322E4">
        <w:rPr>
          <w:b/>
          <w:bCs/>
          <w:lang w:val="en-US"/>
        </w:rPr>
        <w:instrText>eligible</w:instrText>
      </w:r>
      <w:r w:rsidR="00C37789" w:rsidRPr="000322E4">
        <w:rPr>
          <w:b/>
          <w:bCs/>
        </w:rPr>
        <w:instrText xml:space="preserve">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were</w:instrText>
      </w:r>
      <w:r w:rsidR="00C37789" w:rsidRPr="000322E4">
        <w:rPr>
          <w:b/>
          <w:bCs/>
        </w:rPr>
        <w:instrText xml:space="preserve"> </w:instrText>
      </w:r>
      <w:r w:rsidR="00C37789" w:rsidRPr="000322E4">
        <w:rPr>
          <w:b/>
          <w:bCs/>
          <w:lang w:val="en-US"/>
        </w:rPr>
        <w:instrText>recruited</w:instrText>
      </w:r>
      <w:r w:rsidR="00C37789" w:rsidRPr="000322E4">
        <w:rPr>
          <w:b/>
          <w:bCs/>
        </w:rPr>
        <w:instrText xml:space="preserve">. 219 </w:instrText>
      </w:r>
      <w:r w:rsidR="00C37789" w:rsidRPr="000322E4">
        <w:rPr>
          <w:b/>
          <w:bCs/>
          <w:lang w:val="en-US"/>
        </w:rPr>
        <w:instrText>of</w:instrText>
      </w:r>
      <w:r w:rsidR="00C37789" w:rsidRPr="000322E4">
        <w:rPr>
          <w:b/>
          <w:bCs/>
        </w:rPr>
        <w:instrText xml:space="preserve"> </w:instrText>
      </w:r>
      <w:r w:rsidR="00C37789" w:rsidRPr="000322E4">
        <w:rPr>
          <w:b/>
          <w:bCs/>
          <w:lang w:val="en-US"/>
        </w:rPr>
        <w:instrText>these</w:instrText>
      </w:r>
      <w:r w:rsidR="00C37789" w:rsidRPr="000322E4">
        <w:rPr>
          <w:b/>
          <w:bCs/>
        </w:rPr>
        <w:instrText xml:space="preserve"> 227 </w:instrText>
      </w:r>
      <w:r w:rsidR="00C37789" w:rsidRPr="000322E4">
        <w:rPr>
          <w:b/>
          <w:bCs/>
          <w:lang w:val="en-US"/>
        </w:rPr>
        <w:instrText>enrolled</w:instrText>
      </w:r>
      <w:r w:rsidR="00C37789" w:rsidRPr="000322E4">
        <w:rPr>
          <w:b/>
          <w:bCs/>
        </w:rPr>
        <w:instrText xml:space="preserve">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were</w:instrText>
      </w:r>
      <w:r w:rsidR="00C37789" w:rsidRPr="000322E4">
        <w:rPr>
          <w:b/>
          <w:bCs/>
        </w:rPr>
        <w:instrText xml:space="preserve"> </w:instrText>
      </w:r>
      <w:r w:rsidR="00C37789" w:rsidRPr="000322E4">
        <w:rPr>
          <w:b/>
          <w:bCs/>
          <w:lang w:val="en-US"/>
        </w:rPr>
        <w:instrText>assessable</w:instrText>
      </w:r>
      <w:r w:rsidR="00C37789" w:rsidRPr="000322E4">
        <w:rPr>
          <w:b/>
          <w:bCs/>
        </w:rPr>
        <w:instrText xml:space="preserve">. </w:instrText>
      </w:r>
      <w:r w:rsidR="00C37789" w:rsidRPr="000322E4">
        <w:rPr>
          <w:b/>
          <w:bCs/>
          <w:lang w:val="en-US"/>
        </w:rPr>
        <w:instrText>At</w:instrText>
      </w:r>
      <w:r w:rsidR="00C37789" w:rsidRPr="000322E4">
        <w:rPr>
          <w:b/>
          <w:bCs/>
        </w:rPr>
        <w:instrText xml:space="preserve"> </w:instrText>
      </w:r>
      <w:r w:rsidR="00C37789" w:rsidRPr="000322E4">
        <w:rPr>
          <w:b/>
          <w:bCs/>
          <w:lang w:val="en-US"/>
        </w:rPr>
        <w:instrText>median</w:instrText>
      </w:r>
      <w:r w:rsidR="00C37789" w:rsidRPr="000322E4">
        <w:rPr>
          <w:b/>
          <w:bCs/>
        </w:rPr>
        <w:instrText xml:space="preserve"> </w:instrText>
      </w:r>
      <w:r w:rsidR="00C37789" w:rsidRPr="000322E4">
        <w:rPr>
          <w:b/>
          <w:bCs/>
          <w:lang w:val="en-US"/>
        </w:rPr>
        <w:instrText>follow</w:instrText>
      </w:r>
      <w:r w:rsidR="00C37789" w:rsidRPr="000322E4">
        <w:rPr>
          <w:b/>
          <w:bCs/>
        </w:rPr>
        <w:instrText>-</w:instrText>
      </w:r>
      <w:r w:rsidR="00C37789" w:rsidRPr="000322E4">
        <w:rPr>
          <w:b/>
          <w:bCs/>
          <w:lang w:val="en-US"/>
        </w:rPr>
        <w:instrText>up</w:instrText>
      </w:r>
      <w:r w:rsidR="00C37789" w:rsidRPr="000322E4">
        <w:rPr>
          <w:b/>
          <w:bCs/>
        </w:rPr>
        <w:instrText xml:space="preserve"> </w:instrText>
      </w:r>
      <w:r w:rsidR="00C37789" w:rsidRPr="000322E4">
        <w:rPr>
          <w:b/>
          <w:bCs/>
          <w:lang w:val="en-US"/>
        </w:rPr>
        <w:instrText>of</w:instrText>
      </w:r>
      <w:r w:rsidR="00C37789" w:rsidRPr="000322E4">
        <w:rPr>
          <w:b/>
          <w:bCs/>
        </w:rPr>
        <w:instrText xml:space="preserve"> 30 </w:instrText>
      </w:r>
      <w:r w:rsidR="00C37789" w:rsidRPr="000322E4">
        <w:rPr>
          <w:b/>
          <w:bCs/>
          <w:lang w:val="en-US"/>
        </w:rPr>
        <w:instrText>months</w:instrText>
      </w:r>
      <w:r w:rsidR="00C37789" w:rsidRPr="000322E4">
        <w:rPr>
          <w:b/>
          <w:bCs/>
        </w:rPr>
        <w:instrText xml:space="preserve"> (</w:instrText>
      </w:r>
      <w:r w:rsidR="00C37789" w:rsidRPr="000322E4">
        <w:rPr>
          <w:b/>
          <w:bCs/>
          <w:lang w:val="en-US"/>
        </w:rPr>
        <w:instrText>IQR</w:instrText>
      </w:r>
      <w:r w:rsidR="00C37789" w:rsidRPr="000322E4">
        <w:rPr>
          <w:b/>
          <w:bCs/>
        </w:rPr>
        <w:instrText xml:space="preserve"> 22-38),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treated</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rituximab</w:instrText>
      </w:r>
      <w:r w:rsidR="00C37789" w:rsidRPr="000322E4">
        <w:rPr>
          <w:b/>
          <w:bCs/>
        </w:rPr>
        <w:instrText xml:space="preserve"> </w:instrText>
      </w:r>
      <w:r w:rsidR="00C37789" w:rsidRPr="000322E4">
        <w:rPr>
          <w:b/>
          <w:bCs/>
          <w:lang w:val="en-US"/>
        </w:rPr>
        <w:instrText>and</w:instrText>
      </w:r>
      <w:r w:rsidR="00C37789" w:rsidRPr="000322E4">
        <w:rPr>
          <w:b/>
          <w:bCs/>
        </w:rPr>
        <w:instrText xml:space="preserve"> </w:instrText>
      </w:r>
      <w:r w:rsidR="00C37789" w:rsidRPr="000322E4">
        <w:rPr>
          <w:b/>
          <w:bCs/>
          <w:lang w:val="en-US"/>
        </w:rPr>
        <w:instrText>thiotepa</w:instrText>
      </w:r>
      <w:r w:rsidR="00C37789" w:rsidRPr="000322E4">
        <w:rPr>
          <w:b/>
          <w:bCs/>
        </w:rPr>
        <w:instrText xml:space="preserve"> </w:instrText>
      </w:r>
      <w:r w:rsidR="00C37789" w:rsidRPr="000322E4">
        <w:rPr>
          <w:b/>
          <w:bCs/>
          <w:lang w:val="en-US"/>
        </w:rPr>
        <w:instrText>had</w:instrText>
      </w:r>
      <w:r w:rsidR="00C37789" w:rsidRPr="000322E4">
        <w:rPr>
          <w:b/>
          <w:bCs/>
        </w:rPr>
        <w:instrText xml:space="preserve"> </w:instrText>
      </w:r>
      <w:r w:rsidR="00C37789" w:rsidRPr="000322E4">
        <w:rPr>
          <w:b/>
          <w:bCs/>
          <w:lang w:val="en-US"/>
        </w:rPr>
        <w:instrText>a</w:instrText>
      </w:r>
      <w:r w:rsidR="00C37789" w:rsidRPr="000322E4">
        <w:rPr>
          <w:b/>
          <w:bCs/>
        </w:rPr>
        <w:instrText xml:space="preserve"> </w:instrText>
      </w:r>
      <w:r w:rsidR="00C37789" w:rsidRPr="000322E4">
        <w:rPr>
          <w:b/>
          <w:bCs/>
          <w:lang w:val="en-US"/>
        </w:rPr>
        <w:instrText>complete</w:instrText>
      </w:r>
      <w:r w:rsidR="00C37789" w:rsidRPr="000322E4">
        <w:rPr>
          <w:b/>
          <w:bCs/>
        </w:rPr>
        <w:instrText xml:space="preserve"> </w:instrText>
      </w:r>
      <w:r w:rsidR="00C37789" w:rsidRPr="000322E4">
        <w:rPr>
          <w:b/>
          <w:bCs/>
          <w:lang w:val="en-US"/>
        </w:rPr>
        <w:instrText>remission</w:instrText>
      </w:r>
      <w:r w:rsidR="00C37789" w:rsidRPr="000322E4">
        <w:rPr>
          <w:b/>
          <w:bCs/>
        </w:rPr>
        <w:instrText xml:space="preserve"> </w:instrText>
      </w:r>
      <w:r w:rsidR="00C37789" w:rsidRPr="000322E4">
        <w:rPr>
          <w:b/>
          <w:bCs/>
          <w:lang w:val="en-US"/>
        </w:rPr>
        <w:instrText>rate</w:instrText>
      </w:r>
      <w:r w:rsidR="00C37789" w:rsidRPr="000322E4">
        <w:rPr>
          <w:b/>
          <w:bCs/>
        </w:rPr>
        <w:instrText xml:space="preserve"> </w:instrText>
      </w:r>
      <w:r w:rsidR="00C37789" w:rsidRPr="000322E4">
        <w:rPr>
          <w:b/>
          <w:bCs/>
          <w:lang w:val="en-US"/>
        </w:rPr>
        <w:instrText>of</w:instrText>
      </w:r>
      <w:r w:rsidR="00C37789" w:rsidRPr="000322E4">
        <w:rPr>
          <w:b/>
          <w:bCs/>
        </w:rPr>
        <w:instrText xml:space="preserve"> 49% (95% </w:instrText>
      </w:r>
      <w:r w:rsidR="00C37789" w:rsidRPr="000322E4">
        <w:rPr>
          <w:b/>
          <w:bCs/>
          <w:lang w:val="en-US"/>
        </w:rPr>
        <w:instrText>CI</w:instrText>
      </w:r>
      <w:r w:rsidR="00C37789" w:rsidRPr="000322E4">
        <w:rPr>
          <w:b/>
          <w:bCs/>
        </w:rPr>
        <w:instrText xml:space="preserve"> 38-60), </w:instrText>
      </w:r>
      <w:r w:rsidR="00C37789" w:rsidRPr="000322E4">
        <w:rPr>
          <w:b/>
          <w:bCs/>
          <w:lang w:val="en-US"/>
        </w:rPr>
        <w:instrText>compared</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23% (14-31) </w:instrText>
      </w:r>
      <w:r w:rsidR="00C37789" w:rsidRPr="000322E4">
        <w:rPr>
          <w:b/>
          <w:bCs/>
          <w:lang w:val="en-US"/>
        </w:rPr>
        <w:instrText>of</w:instrText>
      </w:r>
      <w:r w:rsidR="00C37789" w:rsidRPr="000322E4">
        <w:rPr>
          <w:b/>
          <w:bCs/>
        </w:rPr>
        <w:instrText xml:space="preserve"> </w:instrText>
      </w:r>
      <w:r w:rsidR="00C37789" w:rsidRPr="000322E4">
        <w:rPr>
          <w:b/>
          <w:bCs/>
          <w:lang w:val="en-US"/>
        </w:rPr>
        <w:instrText>those</w:instrText>
      </w:r>
      <w:r w:rsidR="00C37789" w:rsidRPr="000322E4">
        <w:rPr>
          <w:b/>
          <w:bCs/>
        </w:rPr>
        <w:instrText xml:space="preserve"> </w:instrText>
      </w:r>
      <w:r w:rsidR="00C37789" w:rsidRPr="000322E4">
        <w:rPr>
          <w:b/>
          <w:bCs/>
          <w:lang w:val="en-US"/>
        </w:rPr>
        <w:instrText>treated</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methotrexate</w:instrText>
      </w:r>
      <w:r w:rsidR="00C37789" w:rsidRPr="000322E4">
        <w:rPr>
          <w:b/>
          <w:bCs/>
        </w:rPr>
        <w:instrText>-</w:instrText>
      </w:r>
      <w:r w:rsidR="00C37789" w:rsidRPr="000322E4">
        <w:rPr>
          <w:b/>
          <w:bCs/>
          <w:lang w:val="en-US"/>
        </w:rPr>
        <w:instrText>cytarabine</w:instrText>
      </w:r>
      <w:r w:rsidR="00C37789" w:rsidRPr="000322E4">
        <w:rPr>
          <w:b/>
          <w:bCs/>
        </w:rPr>
        <w:instrText xml:space="preserve"> </w:instrText>
      </w:r>
      <w:r w:rsidR="00C37789" w:rsidRPr="000322E4">
        <w:rPr>
          <w:b/>
          <w:bCs/>
          <w:lang w:val="en-US"/>
        </w:rPr>
        <w:instrText>alone</w:instrText>
      </w:r>
      <w:r w:rsidR="00C37789" w:rsidRPr="000322E4">
        <w:rPr>
          <w:b/>
          <w:bCs/>
        </w:rPr>
        <w:instrText xml:space="preserve"> (</w:instrText>
      </w:r>
      <w:r w:rsidR="00C37789" w:rsidRPr="000322E4">
        <w:rPr>
          <w:b/>
          <w:bCs/>
          <w:lang w:val="en-US"/>
        </w:rPr>
        <w:instrText>hazard</w:instrText>
      </w:r>
      <w:r w:rsidR="00C37789" w:rsidRPr="000322E4">
        <w:rPr>
          <w:b/>
          <w:bCs/>
        </w:rPr>
        <w:instrText xml:space="preserve"> </w:instrText>
      </w:r>
      <w:r w:rsidR="00C37789" w:rsidRPr="000322E4">
        <w:rPr>
          <w:b/>
          <w:bCs/>
          <w:lang w:val="en-US"/>
        </w:rPr>
        <w:instrText>ratio</w:instrText>
      </w:r>
      <w:r w:rsidR="00C37789" w:rsidRPr="000322E4">
        <w:rPr>
          <w:b/>
          <w:bCs/>
        </w:rPr>
        <w:instrText xml:space="preserve"> 0·46, 95% </w:instrText>
      </w:r>
      <w:r w:rsidR="00C37789" w:rsidRPr="000322E4">
        <w:rPr>
          <w:b/>
          <w:bCs/>
          <w:lang w:val="en-US"/>
        </w:rPr>
        <w:instrText>CI</w:instrText>
      </w:r>
      <w:r w:rsidR="00C37789" w:rsidRPr="000322E4">
        <w:rPr>
          <w:b/>
          <w:bCs/>
        </w:rPr>
        <w:instrText xml:space="preserve"> 0·28-0·74) </w:instrText>
      </w:r>
      <w:r w:rsidR="00C37789" w:rsidRPr="000322E4">
        <w:rPr>
          <w:b/>
          <w:bCs/>
          <w:lang w:val="en-US"/>
        </w:rPr>
        <w:instrText>and</w:instrText>
      </w:r>
      <w:r w:rsidR="00C37789" w:rsidRPr="000322E4">
        <w:rPr>
          <w:b/>
          <w:bCs/>
        </w:rPr>
        <w:instrText xml:space="preserve"> 30% (21-42) </w:instrText>
      </w:r>
      <w:r w:rsidR="00C37789" w:rsidRPr="000322E4">
        <w:rPr>
          <w:b/>
          <w:bCs/>
          <w:lang w:val="en-US"/>
        </w:rPr>
        <w:instrText>of</w:instrText>
      </w:r>
      <w:r w:rsidR="00C37789" w:rsidRPr="000322E4">
        <w:rPr>
          <w:b/>
          <w:bCs/>
        </w:rPr>
        <w:instrText xml:space="preserve"> </w:instrText>
      </w:r>
      <w:r w:rsidR="00C37789" w:rsidRPr="000322E4">
        <w:rPr>
          <w:b/>
          <w:bCs/>
          <w:lang w:val="en-US"/>
        </w:rPr>
        <w:instrText>those</w:instrText>
      </w:r>
      <w:r w:rsidR="00C37789" w:rsidRPr="000322E4">
        <w:rPr>
          <w:b/>
          <w:bCs/>
        </w:rPr>
        <w:instrText xml:space="preserve"> </w:instrText>
      </w:r>
      <w:r w:rsidR="00C37789" w:rsidRPr="000322E4">
        <w:rPr>
          <w:b/>
          <w:bCs/>
          <w:lang w:val="en-US"/>
        </w:rPr>
        <w:instrText>treated</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methotrexate</w:instrText>
      </w:r>
      <w:r w:rsidR="00C37789" w:rsidRPr="000322E4">
        <w:rPr>
          <w:b/>
          <w:bCs/>
        </w:rPr>
        <w:instrText>-</w:instrText>
      </w:r>
      <w:r w:rsidR="00C37789" w:rsidRPr="000322E4">
        <w:rPr>
          <w:b/>
          <w:bCs/>
          <w:lang w:val="en-US"/>
        </w:rPr>
        <w:instrText>cytarabine</w:instrText>
      </w:r>
      <w:r w:rsidR="00C37789" w:rsidRPr="000322E4">
        <w:rPr>
          <w:b/>
          <w:bCs/>
        </w:rPr>
        <w:instrText xml:space="preserve"> </w:instrText>
      </w:r>
      <w:r w:rsidR="00C37789" w:rsidRPr="000322E4">
        <w:rPr>
          <w:b/>
          <w:bCs/>
          <w:lang w:val="en-US"/>
        </w:rPr>
        <w:instrText>plus</w:instrText>
      </w:r>
      <w:r w:rsidR="00C37789" w:rsidRPr="000322E4">
        <w:rPr>
          <w:b/>
          <w:bCs/>
        </w:rPr>
        <w:instrText xml:space="preserve"> </w:instrText>
      </w:r>
      <w:r w:rsidR="00C37789" w:rsidRPr="000322E4">
        <w:rPr>
          <w:b/>
          <w:bCs/>
          <w:lang w:val="en-US"/>
        </w:rPr>
        <w:instrText>ri</w:instrText>
      </w:r>
      <w:r w:rsidR="00C37789" w:rsidRPr="000322E4">
        <w:rPr>
          <w:b/>
          <w:bCs/>
        </w:rPr>
        <w:instrText>…","</w:instrText>
      </w:r>
      <w:r w:rsidR="00C37789" w:rsidRPr="000322E4">
        <w:rPr>
          <w:b/>
          <w:bCs/>
          <w:lang w:val="en-US"/>
        </w:rPr>
        <w:instrText>author</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Ferreri</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Andr</w:instrText>
      </w:r>
      <w:r w:rsidR="00C37789" w:rsidRPr="000322E4">
        <w:rPr>
          <w:b/>
          <w:bCs/>
        </w:rPr>
        <w:instrText>é</w:instrText>
      </w:r>
      <w:r w:rsidR="00C37789" w:rsidRPr="000322E4">
        <w:rPr>
          <w:b/>
          <w:bCs/>
          <w:lang w:val="en-US"/>
        </w:rPr>
        <w:instrText>s</w:instrText>
      </w:r>
      <w:r w:rsidR="00C37789" w:rsidRPr="000322E4">
        <w:rPr>
          <w:b/>
          <w:bCs/>
        </w:rPr>
        <w:instrText xml:space="preserve"> </w:instrText>
      </w:r>
      <w:r w:rsidR="00C37789" w:rsidRPr="000322E4">
        <w:rPr>
          <w:b/>
          <w:bCs/>
          <w:lang w:val="en-US"/>
        </w:rPr>
        <w:instrText>J</w:instrText>
      </w:r>
      <w:r w:rsidR="00C37789" w:rsidRPr="000322E4">
        <w:rPr>
          <w:b/>
          <w:bCs/>
        </w:rPr>
        <w:instrText>.</w:instrText>
      </w:r>
      <w:r w:rsidR="00C37789" w:rsidRPr="000322E4">
        <w:rPr>
          <w:b/>
          <w:bCs/>
          <w:lang w:val="en-US"/>
        </w:rPr>
        <w:instrText>M</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Cwynarski</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Kate</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Pulczynski</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Elisa</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suffix":""},{"dropping-particle":"","family":"Ponzoni","given":"Maurilio","non-dropping-particle":"","parse-names":false,"suffix":""},{"dropping-particle":"","family":"Deckert","given":"Martina","non-dropping-particle":"","parse-names":false,"suffix":""},{"dropping-particle":"","family":"Politi","given":"Letterio S.","non-dropping-particle":"","parse-names":false,"suffix":""},{"dropping-particle":"","family":"Torri","given":"Valter","non-dropping-particle":"","parse-names":false,"suffix":""},{"dropping-particle":"","family":"Fox","given":"Christopher P.","non-dropping-particle":"","parse-names":false,"suffix":""},{"dropping-particle":"La","family":"Rosée","given":"Paul","non-dropping-particle":"","parse-names":false,"suffix":""},{"dropping-particle":"","family":"Schorb","given":"Elisabeth","non-dropping-particle":"","parse-names":false,"suffix":""},{"dropping-particle":"","family":"Ambrosetti","given":"Achille","non-dropping-particle":"","parse-names":false,"suffix":""},{"dropping-particle":"","family":"Roth","given":"Alexander","non-dropping-particle":"","parse-names":false,"suffix":""},{"dropping-particle":"","family":"Hemmaway","given":"Claire","non-dropping-particle":"","parse-names":false,"suffix":""},{"dropping-particle":"","family":"Ferrari","given":"Angela","non-dropping-particle":"","parse-names":false,"suffix":""},{"dropping-particle":"","family":"Linton","given":"Kim M.","non-dropping-particle":"","parse-names":false,"suffix":""},{"dropping-particle":"","family":"Rudà","given":"Roberta","non-dropping-particle":"","parse-names":false,"suffix":""},{"dropping-particle":"","family":"Binder","given":"Mascha","non-dropping-particle":"","parse-names":false,"suffix":""},{"dropping-particle":"","family":"Pukrop","given":"Tobias","non-dropping-particle":"","parse-names":false,"suffix":""},{"dropping-particle":"","family":"Balzarotti","given":"Monica","non-dropping-particle":"","parse-names":false,"suffix":""},{"dropping-particle":"","family":"Fabbri","given":"Alberto","non-dropping-particle":"","parse-names":false,"suffix":""},{"dropping-particle":"","family":"Johnson","given":"Peter","non-dropping-particle":"","parse-names":false,"suffix":""},{"dropping-particle":"","family":"Gørløv","given":"Jette Sønderskov","non-dropping-particle":"","parse-names":false,"suffix":""},{"dropping-particle":"","family":"Hess","given":"Georg","non-dropping-particle":"","parse-names":false,"suffix":""},{"dropping-particle":"","family":"Panse","given":"Jens","non-dropping-particle":"","parse-names":false,"suffix":""},{"dropping-particle":"","family":"Pisani","given":"Francesco","non-dropping-particle":"","parse-names":false,"suffix":""},{"dropping-particle":"","family":"Tucci","given":"Alessandra","non-dropping-particle":"","parse-names":false,"suffix":""},{"dropping-particle":"","family":"Stilgenbauer","given":"Stephan","non-dropping-particle":"","parse-names":false,"suffix":""},{"dropping-particle":"","family":"Hertenstein","given":"Bernd","non-dropping-particle":"","parse-names":false,"suffix":""},{"dropping-particle":"","family":"Keller","given":"Ulrich","non-dropping-particle":"","parse-names":false,"suffix":""},{"dropping-particle":"","family":"Krause","given":"Stefan W.","non-dropping-particle":"","parse-names":false,"suffix":""},{"dropping-particle":"","family":"Levis","given":"Alessandro","non-dropping-particle":"","parse-names":false,"suffix"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Schmoll</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Hans</w:instrText>
      </w:r>
      <w:r w:rsidR="00C37789" w:rsidRPr="000322E4">
        <w:rPr>
          <w:b/>
          <w:bCs/>
        </w:rPr>
        <w:instrText xml:space="preserve"> </w:instrText>
      </w:r>
      <w:r w:rsidR="00C37789" w:rsidRPr="000322E4">
        <w:rPr>
          <w:b/>
          <w:bCs/>
          <w:lang w:val="en-US"/>
        </w:rPr>
        <w:instrText>J</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Cavalli</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Franco</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Finke</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J</w:instrText>
      </w:r>
      <w:r w:rsidR="00C37789" w:rsidRPr="000322E4">
        <w:rPr>
          <w:b/>
          <w:bCs/>
        </w:rPr>
        <w:instrText>ü</w:instrText>
      </w:r>
      <w:r w:rsidR="00C37789" w:rsidRPr="000322E4">
        <w:rPr>
          <w:b/>
          <w:bCs/>
          <w:lang w:val="en-US"/>
        </w:rPr>
        <w:instrText>rgen</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Reni</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Michele</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Zucca</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Emanuele</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family</w:instrText>
      </w:r>
      <w:r w:rsidR="00C37789" w:rsidRPr="000322E4">
        <w:rPr>
          <w:b/>
          <w:bCs/>
        </w:rPr>
        <w:instrText>":"</w:instrText>
      </w:r>
      <w:r w:rsidR="00C37789" w:rsidRPr="000322E4">
        <w:rPr>
          <w:b/>
          <w:bCs/>
          <w:lang w:val="en-US"/>
        </w:rPr>
        <w:instrText>Illerhaus</w:instrText>
      </w:r>
      <w:r w:rsidR="00C37789" w:rsidRPr="000322E4">
        <w:rPr>
          <w:b/>
          <w:bCs/>
        </w:rPr>
        <w:instrText>","</w:instrText>
      </w:r>
      <w:r w:rsidR="00C37789" w:rsidRPr="000322E4">
        <w:rPr>
          <w:b/>
          <w:bCs/>
          <w:lang w:val="en-US"/>
        </w:rPr>
        <w:instrText>given</w:instrText>
      </w:r>
      <w:r w:rsidR="00C37789" w:rsidRPr="000322E4">
        <w:rPr>
          <w:b/>
          <w:bCs/>
        </w:rPr>
        <w:instrText>":"</w:instrText>
      </w:r>
      <w:r w:rsidR="00C37789" w:rsidRPr="000322E4">
        <w:rPr>
          <w:b/>
          <w:bCs/>
          <w:lang w:val="en-US"/>
        </w:rPr>
        <w:instrText>Gerald</w:instrText>
      </w:r>
      <w:r w:rsidR="00C37789" w:rsidRPr="000322E4">
        <w:rPr>
          <w:b/>
          <w:bCs/>
        </w:rPr>
        <w:instrText>","</w:instrText>
      </w:r>
      <w:r w:rsidR="00C37789" w:rsidRPr="000322E4">
        <w:rPr>
          <w:b/>
          <w:bCs/>
          <w:lang w:val="en-US"/>
        </w:rPr>
        <w:instrText>non</w:instrText>
      </w:r>
      <w:r w:rsidR="00C37789" w:rsidRPr="000322E4">
        <w:rPr>
          <w:b/>
          <w:bCs/>
        </w:rPr>
        <w:instrText>-</w:instrText>
      </w:r>
      <w:r w:rsidR="00C37789" w:rsidRPr="000322E4">
        <w:rPr>
          <w:b/>
          <w:bCs/>
          <w:lang w:val="en-US"/>
        </w:rPr>
        <w:instrText>dropping</w:instrText>
      </w:r>
      <w:r w:rsidR="00C37789" w:rsidRPr="000322E4">
        <w:rPr>
          <w:b/>
          <w:bCs/>
        </w:rPr>
        <w:instrText>-</w:instrText>
      </w:r>
      <w:r w:rsidR="00C37789" w:rsidRPr="000322E4">
        <w:rPr>
          <w:b/>
          <w:bCs/>
          <w:lang w:val="en-US"/>
        </w:rPr>
        <w:instrText>particle</w:instrText>
      </w:r>
      <w:r w:rsidR="00C37789" w:rsidRPr="000322E4">
        <w:rPr>
          <w:b/>
          <w:bCs/>
        </w:rPr>
        <w:instrText>":"","</w:instrText>
      </w:r>
      <w:r w:rsidR="00C37789" w:rsidRPr="000322E4">
        <w:rPr>
          <w:b/>
          <w:bCs/>
          <w:lang w:val="en-US"/>
        </w:rPr>
        <w:instrText>parse</w:instrText>
      </w:r>
      <w:r w:rsidR="00C37789" w:rsidRPr="000322E4">
        <w:rPr>
          <w:b/>
          <w:bCs/>
        </w:rPr>
        <w:instrText>-</w:instrText>
      </w:r>
      <w:r w:rsidR="00C37789" w:rsidRPr="000322E4">
        <w:rPr>
          <w:b/>
          <w:bCs/>
          <w:lang w:val="en-US"/>
        </w:rPr>
        <w:instrText>names</w:instrText>
      </w:r>
      <w:r w:rsidR="00C37789" w:rsidRPr="000322E4">
        <w:rPr>
          <w:b/>
          <w:bCs/>
        </w:rPr>
        <w:instrText>":</w:instrText>
      </w:r>
      <w:r w:rsidR="00C37789" w:rsidRPr="000322E4">
        <w:rPr>
          <w:b/>
          <w:bCs/>
          <w:lang w:val="en-US"/>
        </w:rPr>
        <w:instrText>false</w:instrText>
      </w:r>
      <w:r w:rsidR="00C37789" w:rsidRPr="000322E4">
        <w:rPr>
          <w:b/>
          <w:bCs/>
        </w:rPr>
        <w:instrText>,"</w:instrText>
      </w:r>
      <w:r w:rsidR="00C37789" w:rsidRPr="000322E4">
        <w:rPr>
          <w:b/>
          <w:bCs/>
          <w:lang w:val="en-US"/>
        </w:rPr>
        <w:instrText>suffix</w:instrText>
      </w:r>
      <w:r w:rsidR="00C37789" w:rsidRPr="000322E4">
        <w:rPr>
          <w:b/>
          <w:bCs/>
        </w:rPr>
        <w:instrText>":""}],"</w:instrText>
      </w:r>
      <w:r w:rsidR="00C37789" w:rsidRPr="000322E4">
        <w:rPr>
          <w:b/>
          <w:bCs/>
          <w:lang w:val="en-US"/>
        </w:rPr>
        <w:instrText>container</w:instrText>
      </w:r>
      <w:r w:rsidR="00C37789" w:rsidRPr="000322E4">
        <w:rPr>
          <w:b/>
          <w:bCs/>
        </w:rPr>
        <w:instrText>-</w:instrText>
      </w:r>
      <w:r w:rsidR="00C37789" w:rsidRPr="000322E4">
        <w:rPr>
          <w:b/>
          <w:bCs/>
          <w:lang w:val="en-US"/>
        </w:rPr>
        <w:instrText>title</w:instrText>
      </w:r>
      <w:r w:rsidR="00C37789" w:rsidRPr="000322E4">
        <w:rPr>
          <w:b/>
          <w:bCs/>
        </w:rPr>
        <w:instrText>":"</w:instrText>
      </w:r>
      <w:r w:rsidR="00C37789" w:rsidRPr="000322E4">
        <w:rPr>
          <w:b/>
          <w:bCs/>
          <w:lang w:val="en-US"/>
        </w:rPr>
        <w:instrText>The</w:instrText>
      </w:r>
      <w:r w:rsidR="00C37789" w:rsidRPr="000322E4">
        <w:rPr>
          <w:b/>
          <w:bCs/>
        </w:rPr>
        <w:instrText xml:space="preserve"> </w:instrText>
      </w:r>
      <w:r w:rsidR="00C37789" w:rsidRPr="000322E4">
        <w:rPr>
          <w:b/>
          <w:bCs/>
          <w:lang w:val="en-US"/>
        </w:rPr>
        <w:instrText>Lancet</w:instrText>
      </w:r>
      <w:r w:rsidR="00C37789" w:rsidRPr="000322E4">
        <w:rPr>
          <w:b/>
          <w:bCs/>
        </w:rPr>
        <w:instrText xml:space="preserve"> </w:instrText>
      </w:r>
      <w:r w:rsidR="00C37789" w:rsidRPr="000322E4">
        <w:rPr>
          <w:b/>
          <w:bCs/>
          <w:lang w:val="en-US"/>
        </w:rPr>
        <w:instrText>Haematology</w:instrText>
      </w:r>
      <w:r w:rsidR="00C37789" w:rsidRPr="000322E4">
        <w:rPr>
          <w:b/>
          <w:bCs/>
        </w:rPr>
        <w:instrText>","</w:instrText>
      </w:r>
      <w:r w:rsidR="00C37789" w:rsidRPr="000322E4">
        <w:rPr>
          <w:b/>
          <w:bCs/>
          <w:lang w:val="en-US"/>
        </w:rPr>
        <w:instrText>id</w:instrText>
      </w:r>
      <w:r w:rsidR="00C37789" w:rsidRPr="000322E4">
        <w:rPr>
          <w:b/>
          <w:bCs/>
        </w:rPr>
        <w:instrText>":"</w:instrText>
      </w:r>
      <w:r w:rsidR="00C37789" w:rsidRPr="000322E4">
        <w:rPr>
          <w:b/>
          <w:bCs/>
          <w:lang w:val="en-US"/>
        </w:rPr>
        <w:instrText>ITEM</w:instrText>
      </w:r>
      <w:r w:rsidR="00C37789" w:rsidRPr="000322E4">
        <w:rPr>
          <w:b/>
          <w:bCs/>
        </w:rPr>
        <w:instrText>-1","</w:instrText>
      </w:r>
      <w:r w:rsidR="00C37789" w:rsidRPr="000322E4">
        <w:rPr>
          <w:b/>
          <w:bCs/>
          <w:lang w:val="en-US"/>
        </w:rPr>
        <w:instrText>issue</w:instrText>
      </w:r>
      <w:r w:rsidR="00C37789" w:rsidRPr="000322E4">
        <w:rPr>
          <w:b/>
          <w:bCs/>
        </w:rPr>
        <w:instrText>":"5","</w:instrText>
      </w:r>
      <w:r w:rsidR="00C37789" w:rsidRPr="000322E4">
        <w:rPr>
          <w:b/>
          <w:bCs/>
          <w:lang w:val="en-US"/>
        </w:rPr>
        <w:instrText>issued</w:instrText>
      </w:r>
      <w:r w:rsidR="00C37789" w:rsidRPr="000322E4">
        <w:rPr>
          <w:b/>
          <w:bCs/>
        </w:rPr>
        <w:instrText>":{"</w:instrText>
      </w:r>
      <w:r w:rsidR="00C37789" w:rsidRPr="000322E4">
        <w:rPr>
          <w:b/>
          <w:bCs/>
          <w:lang w:val="en-US"/>
        </w:rPr>
        <w:instrText>date</w:instrText>
      </w:r>
      <w:r w:rsidR="00C37789" w:rsidRPr="000322E4">
        <w:rPr>
          <w:b/>
          <w:bCs/>
        </w:rPr>
        <w:instrText>-</w:instrText>
      </w:r>
      <w:r w:rsidR="00C37789" w:rsidRPr="000322E4">
        <w:rPr>
          <w:b/>
          <w:bCs/>
          <w:lang w:val="en-US"/>
        </w:rPr>
        <w:instrText>parts</w:instrText>
      </w:r>
      <w:r w:rsidR="00C37789" w:rsidRPr="000322E4">
        <w:rPr>
          <w:b/>
          <w:bCs/>
        </w:rPr>
        <w:instrText>":[["2016","5","1"]]},"</w:instrText>
      </w:r>
      <w:r w:rsidR="00C37789" w:rsidRPr="000322E4">
        <w:rPr>
          <w:b/>
          <w:bCs/>
          <w:lang w:val="en-US"/>
        </w:rPr>
        <w:instrText>page</w:instrText>
      </w:r>
      <w:r w:rsidR="00C37789" w:rsidRPr="000322E4">
        <w:rPr>
          <w:b/>
          <w:bCs/>
        </w:rPr>
        <w:instrText>":"</w:instrText>
      </w:r>
      <w:r w:rsidR="00C37789" w:rsidRPr="000322E4">
        <w:rPr>
          <w:b/>
          <w:bCs/>
          <w:lang w:val="en-US"/>
        </w:rPr>
        <w:instrText>e</w:instrText>
      </w:r>
      <w:r w:rsidR="00C37789" w:rsidRPr="000322E4">
        <w:rPr>
          <w:b/>
          <w:bCs/>
        </w:rPr>
        <w:instrText>217-</w:instrText>
      </w:r>
      <w:r w:rsidR="00C37789" w:rsidRPr="000322E4">
        <w:rPr>
          <w:b/>
          <w:bCs/>
          <w:lang w:val="en-US"/>
        </w:rPr>
        <w:instrText>e</w:instrText>
      </w:r>
      <w:r w:rsidR="00C37789" w:rsidRPr="000322E4">
        <w:rPr>
          <w:b/>
          <w:bCs/>
        </w:rPr>
        <w:instrText>227","</w:instrText>
      </w:r>
      <w:r w:rsidR="00C37789" w:rsidRPr="000322E4">
        <w:rPr>
          <w:b/>
          <w:bCs/>
          <w:lang w:val="en-US"/>
        </w:rPr>
        <w:instrText>publisher</w:instrText>
      </w:r>
      <w:r w:rsidR="00C37789" w:rsidRPr="000322E4">
        <w:rPr>
          <w:b/>
          <w:bCs/>
        </w:rPr>
        <w:instrText>":"</w:instrText>
      </w:r>
      <w:r w:rsidR="00C37789" w:rsidRPr="000322E4">
        <w:rPr>
          <w:b/>
          <w:bCs/>
          <w:lang w:val="en-US"/>
        </w:rPr>
        <w:instrText>Elsevier</w:instrText>
      </w:r>
      <w:r w:rsidR="00C37789" w:rsidRPr="000322E4">
        <w:rPr>
          <w:b/>
          <w:bCs/>
        </w:rPr>
        <w:instrText xml:space="preserve"> </w:instrText>
      </w:r>
      <w:r w:rsidR="00C37789" w:rsidRPr="000322E4">
        <w:rPr>
          <w:b/>
          <w:bCs/>
          <w:lang w:val="en-US"/>
        </w:rPr>
        <w:instrText>Ltd</w:instrText>
      </w:r>
      <w:r w:rsidR="00C37789" w:rsidRPr="000322E4">
        <w:rPr>
          <w:b/>
          <w:bCs/>
        </w:rPr>
        <w:instrText>","</w:instrText>
      </w:r>
      <w:r w:rsidR="00C37789" w:rsidRPr="000322E4">
        <w:rPr>
          <w:b/>
          <w:bCs/>
          <w:lang w:val="en-US"/>
        </w:rPr>
        <w:instrText>title</w:instrText>
      </w:r>
      <w:r w:rsidR="00C37789" w:rsidRPr="000322E4">
        <w:rPr>
          <w:b/>
          <w:bCs/>
        </w:rPr>
        <w:instrText>":"</w:instrText>
      </w:r>
      <w:r w:rsidR="00C37789" w:rsidRPr="000322E4">
        <w:rPr>
          <w:b/>
          <w:bCs/>
          <w:lang w:val="en-US"/>
        </w:rPr>
        <w:instrText>Chemoimmunotherapy</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methotrexate</w:instrText>
      </w:r>
      <w:r w:rsidR="00C37789" w:rsidRPr="000322E4">
        <w:rPr>
          <w:b/>
          <w:bCs/>
        </w:rPr>
        <w:instrText xml:space="preserve">, </w:instrText>
      </w:r>
      <w:r w:rsidR="00C37789" w:rsidRPr="000322E4">
        <w:rPr>
          <w:b/>
          <w:bCs/>
          <w:lang w:val="en-US"/>
        </w:rPr>
        <w:instrText>cytarabine</w:instrText>
      </w:r>
      <w:r w:rsidR="00C37789" w:rsidRPr="000322E4">
        <w:rPr>
          <w:b/>
          <w:bCs/>
        </w:rPr>
        <w:instrText xml:space="preserve">, </w:instrText>
      </w:r>
      <w:r w:rsidR="00C37789" w:rsidRPr="000322E4">
        <w:rPr>
          <w:b/>
          <w:bCs/>
          <w:lang w:val="en-US"/>
        </w:rPr>
        <w:instrText>thiotepa</w:instrText>
      </w:r>
      <w:r w:rsidR="00C37789" w:rsidRPr="000322E4">
        <w:rPr>
          <w:b/>
          <w:bCs/>
        </w:rPr>
        <w:instrText xml:space="preserve">, </w:instrText>
      </w:r>
      <w:r w:rsidR="00C37789" w:rsidRPr="000322E4">
        <w:rPr>
          <w:b/>
          <w:bCs/>
          <w:lang w:val="en-US"/>
        </w:rPr>
        <w:instrText>and</w:instrText>
      </w:r>
      <w:r w:rsidR="00C37789" w:rsidRPr="000322E4">
        <w:rPr>
          <w:b/>
          <w:bCs/>
        </w:rPr>
        <w:instrText xml:space="preserve"> </w:instrText>
      </w:r>
      <w:r w:rsidR="00C37789" w:rsidRPr="000322E4">
        <w:rPr>
          <w:b/>
          <w:bCs/>
          <w:lang w:val="en-US"/>
        </w:rPr>
        <w:instrText>rituximab</w:instrText>
      </w:r>
      <w:r w:rsidR="00C37789" w:rsidRPr="000322E4">
        <w:rPr>
          <w:b/>
          <w:bCs/>
        </w:rPr>
        <w:instrText xml:space="preserve"> (</w:instrText>
      </w:r>
      <w:r w:rsidR="00C37789" w:rsidRPr="000322E4">
        <w:rPr>
          <w:b/>
          <w:bCs/>
          <w:lang w:val="en-US"/>
        </w:rPr>
        <w:instrText>MATRix</w:instrText>
      </w:r>
      <w:r w:rsidR="00C37789" w:rsidRPr="000322E4">
        <w:rPr>
          <w:b/>
          <w:bCs/>
        </w:rPr>
        <w:instrText xml:space="preserve"> </w:instrText>
      </w:r>
      <w:r w:rsidR="00C37789" w:rsidRPr="000322E4">
        <w:rPr>
          <w:b/>
          <w:bCs/>
          <w:lang w:val="en-US"/>
        </w:rPr>
        <w:instrText>regimen</w:instrText>
      </w:r>
      <w:r w:rsidR="00C37789" w:rsidRPr="000322E4">
        <w:rPr>
          <w:b/>
          <w:bCs/>
        </w:rPr>
        <w:instrText xml:space="preserve">) </w:instrText>
      </w:r>
      <w:r w:rsidR="00C37789" w:rsidRPr="000322E4">
        <w:rPr>
          <w:b/>
          <w:bCs/>
          <w:lang w:val="en-US"/>
        </w:rPr>
        <w:instrText>in</w:instrText>
      </w:r>
      <w:r w:rsidR="00C37789" w:rsidRPr="000322E4">
        <w:rPr>
          <w:b/>
          <w:bCs/>
        </w:rPr>
        <w:instrText xml:space="preserve"> </w:instrText>
      </w:r>
      <w:r w:rsidR="00C37789" w:rsidRPr="000322E4">
        <w:rPr>
          <w:b/>
          <w:bCs/>
          <w:lang w:val="en-US"/>
        </w:rPr>
        <w:instrText>patients</w:instrText>
      </w:r>
      <w:r w:rsidR="00C37789" w:rsidRPr="000322E4">
        <w:rPr>
          <w:b/>
          <w:bCs/>
        </w:rPr>
        <w:instrText xml:space="preserve"> </w:instrText>
      </w:r>
      <w:r w:rsidR="00C37789" w:rsidRPr="000322E4">
        <w:rPr>
          <w:b/>
          <w:bCs/>
          <w:lang w:val="en-US"/>
        </w:rPr>
        <w:instrText>with</w:instrText>
      </w:r>
      <w:r w:rsidR="00C37789" w:rsidRPr="000322E4">
        <w:rPr>
          <w:b/>
          <w:bCs/>
        </w:rPr>
        <w:instrText xml:space="preserve"> </w:instrText>
      </w:r>
      <w:r w:rsidR="00C37789" w:rsidRPr="000322E4">
        <w:rPr>
          <w:b/>
          <w:bCs/>
          <w:lang w:val="en-US"/>
        </w:rPr>
        <w:instrText>primary</w:instrText>
      </w:r>
      <w:r w:rsidR="00C37789" w:rsidRPr="000322E4">
        <w:rPr>
          <w:b/>
          <w:bCs/>
        </w:rPr>
        <w:instrText xml:space="preserve"> </w:instrText>
      </w:r>
      <w:r w:rsidR="00C37789" w:rsidRPr="000322E4">
        <w:rPr>
          <w:b/>
          <w:bCs/>
          <w:lang w:val="en-US"/>
        </w:rPr>
        <w:instrText>CNS</w:instrText>
      </w:r>
      <w:r w:rsidR="00C37789" w:rsidRPr="000322E4">
        <w:rPr>
          <w:b/>
          <w:bCs/>
        </w:rPr>
        <w:instrText xml:space="preserve"> </w:instrText>
      </w:r>
      <w:r w:rsidR="00C37789" w:rsidRPr="000322E4">
        <w:rPr>
          <w:b/>
          <w:bCs/>
          <w:lang w:val="en-US"/>
        </w:rPr>
        <w:instrText>lymphoma</w:instrText>
      </w:r>
      <w:r w:rsidR="00C37789" w:rsidRPr="000322E4">
        <w:rPr>
          <w:b/>
          <w:bCs/>
        </w:rPr>
        <w:instrText xml:space="preserve">: </w:instrText>
      </w:r>
      <w:r w:rsidR="00C37789" w:rsidRPr="000322E4">
        <w:rPr>
          <w:b/>
          <w:bCs/>
          <w:lang w:val="en-US"/>
        </w:rPr>
        <w:instrText>Results</w:instrText>
      </w:r>
      <w:r w:rsidR="00C37789" w:rsidRPr="000322E4">
        <w:rPr>
          <w:b/>
          <w:bCs/>
        </w:rPr>
        <w:instrText xml:space="preserve"> </w:instrText>
      </w:r>
      <w:r w:rsidR="00C37789" w:rsidRPr="000322E4">
        <w:rPr>
          <w:b/>
          <w:bCs/>
          <w:lang w:val="en-US"/>
        </w:rPr>
        <w:instrText>of</w:instrText>
      </w:r>
      <w:r w:rsidR="00C37789" w:rsidRPr="000322E4">
        <w:rPr>
          <w:b/>
          <w:bCs/>
        </w:rPr>
        <w:instrText xml:space="preserve"> </w:instrText>
      </w:r>
      <w:r w:rsidR="00C37789" w:rsidRPr="000322E4">
        <w:rPr>
          <w:b/>
          <w:bCs/>
          <w:lang w:val="en-US"/>
        </w:rPr>
        <w:instrText>the</w:instrText>
      </w:r>
      <w:r w:rsidR="00C37789" w:rsidRPr="000322E4">
        <w:rPr>
          <w:b/>
          <w:bCs/>
        </w:rPr>
        <w:instrText xml:space="preserve"> </w:instrText>
      </w:r>
      <w:r w:rsidR="00C37789" w:rsidRPr="000322E4">
        <w:rPr>
          <w:b/>
          <w:bCs/>
          <w:lang w:val="en-US"/>
        </w:rPr>
        <w:instrText>first</w:instrText>
      </w:r>
      <w:r w:rsidR="00C37789" w:rsidRPr="000322E4">
        <w:rPr>
          <w:b/>
          <w:bCs/>
        </w:rPr>
        <w:instrText xml:space="preserve"> </w:instrText>
      </w:r>
      <w:r w:rsidR="00C37789" w:rsidRPr="000322E4">
        <w:rPr>
          <w:b/>
          <w:bCs/>
          <w:lang w:val="en-US"/>
        </w:rPr>
        <w:instrText>randomisation</w:instrText>
      </w:r>
      <w:r w:rsidR="00C37789" w:rsidRPr="000322E4">
        <w:rPr>
          <w:b/>
          <w:bCs/>
        </w:rPr>
        <w:instrText xml:space="preserve"> </w:instrText>
      </w:r>
      <w:r w:rsidR="00C37789" w:rsidRPr="000322E4">
        <w:rPr>
          <w:b/>
          <w:bCs/>
          <w:lang w:val="en-US"/>
        </w:rPr>
        <w:instrText>of</w:instrText>
      </w:r>
      <w:r w:rsidR="00C37789" w:rsidRPr="000322E4">
        <w:rPr>
          <w:b/>
          <w:bCs/>
        </w:rPr>
        <w:instrText xml:space="preserve"> </w:instrText>
      </w:r>
      <w:r w:rsidR="00C37789" w:rsidRPr="000322E4">
        <w:rPr>
          <w:b/>
          <w:bCs/>
          <w:lang w:val="en-US"/>
        </w:rPr>
        <w:instrText>the</w:instrText>
      </w:r>
      <w:r w:rsidR="00C37789" w:rsidRPr="000322E4">
        <w:rPr>
          <w:b/>
          <w:bCs/>
        </w:rPr>
        <w:instrText xml:space="preserve"> </w:instrText>
      </w:r>
      <w:r w:rsidR="00C37789" w:rsidRPr="000322E4">
        <w:rPr>
          <w:b/>
          <w:bCs/>
          <w:lang w:val="en-US"/>
        </w:rPr>
        <w:instrText>International</w:instrText>
      </w:r>
      <w:r w:rsidR="00C37789" w:rsidRPr="000322E4">
        <w:rPr>
          <w:b/>
          <w:bCs/>
        </w:rPr>
        <w:instrText xml:space="preserve"> </w:instrText>
      </w:r>
      <w:r w:rsidR="00C37789" w:rsidRPr="000322E4">
        <w:rPr>
          <w:b/>
          <w:bCs/>
          <w:lang w:val="en-US"/>
        </w:rPr>
        <w:instrText>Extranodal</w:instrText>
      </w:r>
      <w:r w:rsidR="00C37789" w:rsidRPr="000322E4">
        <w:rPr>
          <w:b/>
          <w:bCs/>
        </w:rPr>
        <w:instrText xml:space="preserve"> </w:instrText>
      </w:r>
      <w:r w:rsidR="00C37789" w:rsidRPr="000322E4">
        <w:rPr>
          <w:b/>
          <w:bCs/>
          <w:lang w:val="en-US"/>
        </w:rPr>
        <w:instrText>Lymphoma</w:instrText>
      </w:r>
      <w:r w:rsidR="00C37789" w:rsidRPr="000322E4">
        <w:rPr>
          <w:b/>
          <w:bCs/>
        </w:rPr>
        <w:instrText xml:space="preserve"> </w:instrText>
      </w:r>
      <w:r w:rsidR="00C37789" w:rsidRPr="000322E4">
        <w:rPr>
          <w:b/>
          <w:bCs/>
          <w:lang w:val="en-US"/>
        </w:rPr>
        <w:instrText>Study</w:instrText>
      </w:r>
      <w:r w:rsidR="00C37789" w:rsidRPr="000322E4">
        <w:rPr>
          <w:b/>
          <w:bCs/>
        </w:rPr>
        <w:instrText xml:space="preserve"> </w:instrText>
      </w:r>
      <w:r w:rsidR="00C37789" w:rsidRPr="000322E4">
        <w:rPr>
          <w:b/>
          <w:bCs/>
          <w:lang w:val="en-US"/>
        </w:rPr>
        <w:instrText>Group</w:instrText>
      </w:r>
      <w:r w:rsidR="00C37789" w:rsidRPr="000322E4">
        <w:rPr>
          <w:b/>
          <w:bCs/>
        </w:rPr>
        <w:instrText>-32 (</w:instrText>
      </w:r>
      <w:r w:rsidR="00C37789" w:rsidRPr="000322E4">
        <w:rPr>
          <w:b/>
          <w:bCs/>
          <w:lang w:val="en-US"/>
        </w:rPr>
        <w:instrText>IELSG</w:instrText>
      </w:r>
      <w:r w:rsidR="00C37789" w:rsidRPr="000322E4">
        <w:rPr>
          <w:b/>
          <w:bCs/>
        </w:rPr>
        <w:instrText xml:space="preserve">32) </w:instrText>
      </w:r>
      <w:r w:rsidR="00C37789" w:rsidRPr="000322E4">
        <w:rPr>
          <w:b/>
          <w:bCs/>
          <w:lang w:val="en-US"/>
        </w:rPr>
        <w:instrText>phase</w:instrText>
      </w:r>
      <w:r w:rsidR="00C37789" w:rsidRPr="000322E4">
        <w:rPr>
          <w:b/>
          <w:bCs/>
        </w:rPr>
        <w:instrText xml:space="preserve"> 2 </w:instrText>
      </w:r>
      <w:r w:rsidR="00C37789" w:rsidRPr="000322E4">
        <w:rPr>
          <w:b/>
          <w:bCs/>
          <w:lang w:val="en-US"/>
        </w:rPr>
        <w:instrText>trial</w:instrText>
      </w:r>
      <w:r w:rsidR="00C37789" w:rsidRPr="000322E4">
        <w:rPr>
          <w:b/>
          <w:bCs/>
        </w:rPr>
        <w:instrText>","</w:instrText>
      </w:r>
      <w:r w:rsidR="00C37789" w:rsidRPr="000322E4">
        <w:rPr>
          <w:b/>
          <w:bCs/>
          <w:lang w:val="en-US"/>
        </w:rPr>
        <w:instrText>type</w:instrText>
      </w:r>
      <w:r w:rsidR="00C37789" w:rsidRPr="000322E4">
        <w:rPr>
          <w:b/>
          <w:bCs/>
        </w:rPr>
        <w:instrText>":"</w:instrText>
      </w:r>
      <w:r w:rsidR="00C37789" w:rsidRPr="000322E4">
        <w:rPr>
          <w:b/>
          <w:bCs/>
          <w:lang w:val="en-US"/>
        </w:rPr>
        <w:instrText>article</w:instrText>
      </w:r>
      <w:r w:rsidR="00C37789" w:rsidRPr="000322E4">
        <w:rPr>
          <w:b/>
          <w:bCs/>
        </w:rPr>
        <w:instrText>-</w:instrText>
      </w:r>
      <w:r w:rsidR="00C37789" w:rsidRPr="000322E4">
        <w:rPr>
          <w:b/>
          <w:bCs/>
          <w:lang w:val="en-US"/>
        </w:rPr>
        <w:instrText>journal</w:instrText>
      </w:r>
      <w:r w:rsidR="00C37789" w:rsidRPr="000322E4">
        <w:rPr>
          <w:b/>
          <w:bCs/>
        </w:rPr>
        <w:instrText>","</w:instrText>
      </w:r>
      <w:r w:rsidR="00C37789" w:rsidRPr="000322E4">
        <w:rPr>
          <w:b/>
          <w:bCs/>
          <w:lang w:val="en-US"/>
        </w:rPr>
        <w:instrText>volume</w:instrText>
      </w:r>
      <w:r w:rsidR="00C37789" w:rsidRPr="000322E4">
        <w:rPr>
          <w:b/>
          <w:bCs/>
        </w:rPr>
        <w:instrText>":"3"},"</w:instrText>
      </w:r>
      <w:r w:rsidR="00C37789" w:rsidRPr="000322E4">
        <w:rPr>
          <w:b/>
          <w:bCs/>
          <w:lang w:val="en-US"/>
        </w:rPr>
        <w:instrText>uris</w:instrText>
      </w:r>
      <w:r w:rsidR="00C37789" w:rsidRPr="000322E4">
        <w:rPr>
          <w:b/>
          <w:bCs/>
        </w:rPr>
        <w:instrText>":["</w:instrText>
      </w:r>
      <w:r w:rsidR="00C37789" w:rsidRPr="000322E4">
        <w:rPr>
          <w:b/>
          <w:bCs/>
          <w:lang w:val="en-US"/>
        </w:rPr>
        <w:instrText>http</w:instrText>
      </w:r>
      <w:r w:rsidR="00C37789" w:rsidRPr="000322E4">
        <w:rPr>
          <w:b/>
          <w:bCs/>
        </w:rPr>
        <w:instrText>://</w:instrText>
      </w:r>
      <w:r w:rsidR="00C37789" w:rsidRPr="000322E4">
        <w:rPr>
          <w:b/>
          <w:bCs/>
          <w:lang w:val="en-US"/>
        </w:rPr>
        <w:instrText>www</w:instrText>
      </w:r>
      <w:r w:rsidR="00C37789" w:rsidRPr="000322E4">
        <w:rPr>
          <w:b/>
          <w:bCs/>
        </w:rPr>
        <w:instrText>.</w:instrText>
      </w:r>
      <w:r w:rsidR="00C37789" w:rsidRPr="000322E4">
        <w:rPr>
          <w:b/>
          <w:bCs/>
          <w:lang w:val="en-US"/>
        </w:rPr>
        <w:instrText>mendeley</w:instrText>
      </w:r>
      <w:r w:rsidR="00C37789" w:rsidRPr="000322E4">
        <w:rPr>
          <w:b/>
          <w:bCs/>
        </w:rPr>
        <w:instrText>.</w:instrText>
      </w:r>
      <w:r w:rsidR="00C37789" w:rsidRPr="000322E4">
        <w:rPr>
          <w:b/>
          <w:bCs/>
          <w:lang w:val="en-US"/>
        </w:rPr>
        <w:instrText>com</w:instrText>
      </w:r>
      <w:r w:rsidR="00C37789" w:rsidRPr="000322E4">
        <w:rPr>
          <w:b/>
          <w:bCs/>
        </w:rPr>
        <w:instrText>/</w:instrText>
      </w:r>
      <w:r w:rsidR="00C37789" w:rsidRPr="000322E4">
        <w:rPr>
          <w:b/>
          <w:bCs/>
          <w:lang w:val="en-US"/>
        </w:rPr>
        <w:instrText>documents</w:instrText>
      </w:r>
      <w:r w:rsidR="00C37789" w:rsidRPr="000322E4">
        <w:rPr>
          <w:b/>
          <w:bCs/>
        </w:rPr>
        <w:instrText>/?</w:instrText>
      </w:r>
      <w:r w:rsidR="00C37789" w:rsidRPr="000322E4">
        <w:rPr>
          <w:b/>
          <w:bCs/>
          <w:lang w:val="en-US"/>
        </w:rPr>
        <w:instrText>uuid</w:instrText>
      </w:r>
      <w:r w:rsidR="00C37789" w:rsidRPr="000322E4">
        <w:rPr>
          <w:b/>
          <w:bCs/>
        </w:rPr>
        <w:instrText>=</w:instrText>
      </w:r>
      <w:r w:rsidR="00C37789" w:rsidRPr="000322E4">
        <w:rPr>
          <w:b/>
          <w:bCs/>
          <w:lang w:val="en-US"/>
        </w:rPr>
        <w:instrText>dba</w:instrText>
      </w:r>
      <w:r w:rsidR="00C37789" w:rsidRPr="000322E4">
        <w:rPr>
          <w:b/>
          <w:bCs/>
        </w:rPr>
        <w:instrText>9195</w:instrText>
      </w:r>
      <w:r w:rsidR="00C37789" w:rsidRPr="000322E4">
        <w:rPr>
          <w:b/>
          <w:bCs/>
          <w:lang w:val="en-US"/>
        </w:rPr>
        <w:instrText>b</w:instrText>
      </w:r>
      <w:r w:rsidR="00C37789" w:rsidRPr="000322E4">
        <w:rPr>
          <w:b/>
          <w:bCs/>
        </w:rPr>
        <w:instrText>-19</w:instrText>
      </w:r>
      <w:r w:rsidR="00C37789" w:rsidRPr="000322E4">
        <w:rPr>
          <w:b/>
          <w:bCs/>
          <w:lang w:val="en-US"/>
        </w:rPr>
        <w:instrText>f</w:instrText>
      </w:r>
      <w:r w:rsidR="00C37789" w:rsidRPr="000322E4">
        <w:rPr>
          <w:b/>
          <w:bCs/>
        </w:rPr>
        <w:instrText>7-3</w:instrText>
      </w:r>
      <w:r w:rsidR="00C37789" w:rsidRPr="000322E4">
        <w:rPr>
          <w:b/>
          <w:bCs/>
          <w:lang w:val="en-US"/>
        </w:rPr>
        <w:instrText>b</w:instrText>
      </w:r>
      <w:r w:rsidR="00C37789" w:rsidRPr="000322E4">
        <w:rPr>
          <w:b/>
          <w:bCs/>
        </w:rPr>
        <w:instrText>8</w:instrText>
      </w:r>
      <w:r w:rsidR="00C37789" w:rsidRPr="000322E4">
        <w:rPr>
          <w:b/>
          <w:bCs/>
          <w:lang w:val="en-US"/>
        </w:rPr>
        <w:instrText>c</w:instrText>
      </w:r>
      <w:r w:rsidR="00C37789" w:rsidRPr="000322E4">
        <w:rPr>
          <w:b/>
          <w:bCs/>
        </w:rPr>
        <w:instrText>-</w:instrText>
      </w:r>
      <w:r w:rsidR="00C37789" w:rsidRPr="000322E4">
        <w:rPr>
          <w:b/>
          <w:bCs/>
          <w:lang w:val="en-US"/>
        </w:rPr>
        <w:instrText>bc</w:instrText>
      </w:r>
      <w:r w:rsidR="00C37789" w:rsidRPr="000322E4">
        <w:rPr>
          <w:b/>
          <w:bCs/>
        </w:rPr>
        <w:instrText>61-</w:instrText>
      </w:r>
      <w:r w:rsidR="00C37789" w:rsidRPr="000322E4">
        <w:rPr>
          <w:b/>
          <w:bCs/>
          <w:lang w:val="en-US"/>
        </w:rPr>
        <w:instrText>a</w:instrText>
      </w:r>
      <w:r w:rsidR="00C37789" w:rsidRPr="000322E4">
        <w:rPr>
          <w:b/>
          <w:bCs/>
        </w:rPr>
        <w:instrText>75828657</w:instrText>
      </w:r>
      <w:r w:rsidR="00C37789" w:rsidRPr="000322E4">
        <w:rPr>
          <w:b/>
          <w:bCs/>
          <w:lang w:val="en-US"/>
        </w:rPr>
        <w:instrText>f</w:instrText>
      </w:r>
      <w:r w:rsidR="00C37789" w:rsidRPr="000322E4">
        <w:rPr>
          <w:b/>
          <w:bCs/>
        </w:rPr>
        <w:instrText>4</w:instrText>
      </w:r>
      <w:r w:rsidR="00C37789" w:rsidRPr="000322E4">
        <w:rPr>
          <w:b/>
          <w:bCs/>
          <w:lang w:val="en-US"/>
        </w:rPr>
        <w:instrText>a</w:instrText>
      </w:r>
      <w:r w:rsidR="00C37789" w:rsidRPr="000322E4">
        <w:rPr>
          <w:b/>
          <w:bCs/>
        </w:rPr>
        <w:instrText>"]}],"</w:instrText>
      </w:r>
      <w:r w:rsidR="00C37789" w:rsidRPr="000322E4">
        <w:rPr>
          <w:b/>
          <w:bCs/>
          <w:lang w:val="en-US"/>
        </w:rPr>
        <w:instrText>mendeley</w:instrText>
      </w:r>
      <w:r w:rsidR="00C37789" w:rsidRPr="000322E4">
        <w:rPr>
          <w:b/>
          <w:bCs/>
        </w:rPr>
        <w:instrText>":{"</w:instrText>
      </w:r>
      <w:r w:rsidR="00C37789" w:rsidRPr="000322E4">
        <w:rPr>
          <w:b/>
          <w:bCs/>
          <w:lang w:val="en-US"/>
        </w:rPr>
        <w:instrText>formattedCitation</w:instrText>
      </w:r>
      <w:r w:rsidR="00C37789" w:rsidRPr="000322E4">
        <w:rPr>
          <w:b/>
          <w:bCs/>
        </w:rPr>
        <w:instrText>":"[83]","</w:instrText>
      </w:r>
      <w:r w:rsidR="00C37789" w:rsidRPr="000322E4">
        <w:rPr>
          <w:b/>
          <w:bCs/>
          <w:lang w:val="en-US"/>
        </w:rPr>
        <w:instrText>plainTextFormattedCitation</w:instrText>
      </w:r>
      <w:r w:rsidR="00C37789" w:rsidRPr="000322E4">
        <w:rPr>
          <w:b/>
          <w:bCs/>
        </w:rPr>
        <w:instrText>":"[83]","</w:instrText>
      </w:r>
      <w:r w:rsidR="00C37789" w:rsidRPr="000322E4">
        <w:rPr>
          <w:b/>
          <w:bCs/>
          <w:lang w:val="en-US"/>
        </w:rPr>
        <w:instrText>previouslyFormattedCitation</w:instrText>
      </w:r>
      <w:r w:rsidR="00C37789" w:rsidRPr="000322E4">
        <w:rPr>
          <w:b/>
          <w:bCs/>
        </w:rPr>
        <w:instrText>":"[83]"},"</w:instrText>
      </w:r>
      <w:r w:rsidR="00C37789" w:rsidRPr="000322E4">
        <w:rPr>
          <w:b/>
          <w:bCs/>
          <w:lang w:val="en-US"/>
        </w:rPr>
        <w:instrText>properties</w:instrText>
      </w:r>
      <w:r w:rsidR="00C37789" w:rsidRPr="000322E4">
        <w:rPr>
          <w:b/>
          <w:bCs/>
        </w:rPr>
        <w:instrText>":{"</w:instrText>
      </w:r>
      <w:r w:rsidR="00C37789" w:rsidRPr="000322E4">
        <w:rPr>
          <w:b/>
          <w:bCs/>
          <w:lang w:val="en-US"/>
        </w:rPr>
        <w:instrText>noteIndex</w:instrText>
      </w:r>
      <w:r w:rsidR="00C37789" w:rsidRPr="000322E4">
        <w:rPr>
          <w:b/>
          <w:bCs/>
        </w:rPr>
        <w:instrText>":0},"</w:instrText>
      </w:r>
      <w:r w:rsidR="00C37789" w:rsidRPr="000322E4">
        <w:rPr>
          <w:b/>
          <w:bCs/>
          <w:lang w:val="en-US"/>
        </w:rPr>
        <w:instrText>schema</w:instrText>
      </w:r>
      <w:r w:rsidR="00C37789" w:rsidRPr="000322E4">
        <w:rPr>
          <w:b/>
          <w:bCs/>
        </w:rPr>
        <w:instrText>":"</w:instrText>
      </w:r>
      <w:r w:rsidR="00C37789" w:rsidRPr="000322E4">
        <w:rPr>
          <w:b/>
          <w:bCs/>
          <w:lang w:val="en-US"/>
        </w:rPr>
        <w:instrText>https</w:instrText>
      </w:r>
      <w:r w:rsidR="00C37789" w:rsidRPr="000322E4">
        <w:rPr>
          <w:b/>
          <w:bCs/>
        </w:rPr>
        <w:instrText>://</w:instrText>
      </w:r>
      <w:r w:rsidR="00C37789" w:rsidRPr="000322E4">
        <w:rPr>
          <w:b/>
          <w:bCs/>
          <w:lang w:val="en-US"/>
        </w:rPr>
        <w:instrText>github</w:instrText>
      </w:r>
      <w:r w:rsidR="00C37789" w:rsidRPr="000322E4">
        <w:rPr>
          <w:b/>
          <w:bCs/>
        </w:rPr>
        <w:instrText>.</w:instrText>
      </w:r>
      <w:r w:rsidR="00C37789" w:rsidRPr="000322E4">
        <w:rPr>
          <w:b/>
          <w:bCs/>
          <w:lang w:val="en-US"/>
        </w:rPr>
        <w:instrText>com</w:instrText>
      </w:r>
      <w:r w:rsidR="00C37789" w:rsidRPr="000322E4">
        <w:rPr>
          <w:b/>
          <w:bCs/>
        </w:rPr>
        <w:instrText>/</w:instrText>
      </w:r>
      <w:r w:rsidR="00C37789" w:rsidRPr="000322E4">
        <w:rPr>
          <w:b/>
          <w:bCs/>
          <w:lang w:val="en-US"/>
        </w:rPr>
        <w:instrText>citation</w:instrText>
      </w:r>
      <w:r w:rsidR="00C37789" w:rsidRPr="000322E4">
        <w:rPr>
          <w:b/>
          <w:bCs/>
        </w:rPr>
        <w:instrText>-</w:instrText>
      </w:r>
      <w:r w:rsidR="00C37789" w:rsidRPr="000322E4">
        <w:rPr>
          <w:b/>
          <w:bCs/>
          <w:lang w:val="en-US"/>
        </w:rPr>
        <w:instrText>style</w:instrText>
      </w:r>
      <w:r w:rsidR="00C37789" w:rsidRPr="000322E4">
        <w:rPr>
          <w:b/>
          <w:bCs/>
        </w:rPr>
        <w:instrText>-</w:instrText>
      </w:r>
      <w:r w:rsidR="00C37789" w:rsidRPr="000322E4">
        <w:rPr>
          <w:b/>
          <w:bCs/>
          <w:lang w:val="en-US"/>
        </w:rPr>
        <w:instrText>language</w:instrText>
      </w:r>
      <w:r w:rsidR="00C37789" w:rsidRPr="000322E4">
        <w:rPr>
          <w:b/>
          <w:bCs/>
        </w:rPr>
        <w:instrText>/</w:instrText>
      </w:r>
      <w:r w:rsidR="00C37789" w:rsidRPr="000322E4">
        <w:rPr>
          <w:b/>
          <w:bCs/>
          <w:lang w:val="en-US"/>
        </w:rPr>
        <w:instrText>schema</w:instrText>
      </w:r>
      <w:r w:rsidR="00C37789" w:rsidRPr="000322E4">
        <w:rPr>
          <w:b/>
          <w:bCs/>
        </w:rPr>
        <w:instrText>/</w:instrText>
      </w:r>
      <w:r w:rsidR="00C37789" w:rsidRPr="000322E4">
        <w:rPr>
          <w:b/>
          <w:bCs/>
          <w:lang w:val="en-US"/>
        </w:rPr>
        <w:instrText>raw</w:instrText>
      </w:r>
      <w:r w:rsidR="00C37789" w:rsidRPr="000322E4">
        <w:rPr>
          <w:b/>
          <w:bCs/>
        </w:rPr>
        <w:instrText>/</w:instrText>
      </w:r>
      <w:r w:rsidR="00C37789" w:rsidRPr="000322E4">
        <w:rPr>
          <w:b/>
          <w:bCs/>
          <w:lang w:val="en-US"/>
        </w:rPr>
        <w:instrText>master</w:instrText>
      </w:r>
      <w:r w:rsidR="00C37789" w:rsidRPr="000322E4">
        <w:rPr>
          <w:b/>
          <w:bCs/>
        </w:rPr>
        <w:instrText>/</w:instrText>
      </w:r>
      <w:r w:rsidR="00C37789" w:rsidRPr="000322E4">
        <w:rPr>
          <w:b/>
          <w:bCs/>
          <w:lang w:val="en-US"/>
        </w:rPr>
        <w:instrText>csl</w:instrText>
      </w:r>
      <w:r w:rsidR="00C37789" w:rsidRPr="000322E4">
        <w:rPr>
          <w:b/>
          <w:bCs/>
        </w:rPr>
        <w:instrText>-</w:instrText>
      </w:r>
      <w:r w:rsidR="00C37789" w:rsidRPr="000322E4">
        <w:rPr>
          <w:b/>
          <w:bCs/>
          <w:lang w:val="en-US"/>
        </w:rPr>
        <w:instrText>citation</w:instrText>
      </w:r>
      <w:r w:rsidR="00C37789" w:rsidRPr="000322E4">
        <w:rPr>
          <w:b/>
          <w:bCs/>
        </w:rPr>
        <w:instrText>.</w:instrText>
      </w:r>
      <w:r w:rsidR="00C37789" w:rsidRPr="000322E4">
        <w:rPr>
          <w:b/>
          <w:bCs/>
          <w:lang w:val="en-US"/>
        </w:rPr>
        <w:instrText>json</w:instrText>
      </w:r>
      <w:r w:rsidR="00C37789" w:rsidRPr="000322E4">
        <w:rPr>
          <w:b/>
          <w:bCs/>
        </w:rPr>
        <w:instrText>"}</w:instrText>
      </w:r>
      <w:r w:rsidRPr="000322E4">
        <w:rPr>
          <w:b/>
          <w:bCs/>
          <w:lang w:val="en-US"/>
        </w:rPr>
        <w:fldChar w:fldCharType="separate"/>
      </w:r>
      <w:r w:rsidR="00C37789" w:rsidRPr="000322E4">
        <w:rPr>
          <w:bCs/>
          <w:noProof/>
        </w:rPr>
        <w:t>[83]</w:t>
      </w:r>
      <w:r w:rsidRPr="000322E4">
        <w:rPr>
          <w:b/>
          <w:bCs/>
          <w:lang w:val="en-US"/>
        </w:rPr>
        <w:fldChar w:fldCharType="end"/>
      </w:r>
    </w:p>
    <w:p w14:paraId="2102C1CD" w14:textId="77777777" w:rsidR="00666D68" w:rsidRPr="000322E4" w:rsidRDefault="00666D68" w:rsidP="008E3584">
      <w:pPr>
        <w:numPr>
          <w:ilvl w:val="0"/>
          <w:numId w:val="52"/>
        </w:numPr>
      </w:pPr>
      <w:r w:rsidRPr="000322E4">
        <w:t>Ритуксимаб</w:t>
      </w:r>
      <w:r w:rsidRPr="000322E4">
        <w:rPr>
          <w:bCs/>
        </w:rPr>
        <w:t>**</w:t>
      </w:r>
      <w:r w:rsidRPr="000322E4">
        <w:t xml:space="preserve"> 375 мг/м</w:t>
      </w:r>
      <w:r w:rsidRPr="000322E4">
        <w:rPr>
          <w:vertAlign w:val="superscript"/>
        </w:rPr>
        <w:t>2</w:t>
      </w:r>
      <w:r w:rsidRPr="000322E4">
        <w:t xml:space="preserve"> в/в кап., день -5 и 0</w:t>
      </w:r>
    </w:p>
    <w:p w14:paraId="01D19863" w14:textId="77777777" w:rsidR="00666D68" w:rsidRPr="000322E4" w:rsidRDefault="00666D68" w:rsidP="008E3584">
      <w:pPr>
        <w:numPr>
          <w:ilvl w:val="0"/>
          <w:numId w:val="52"/>
        </w:numPr>
      </w:pPr>
      <w:r w:rsidRPr="000322E4">
        <w:t>Метотрексат</w:t>
      </w:r>
      <w:r w:rsidRPr="000322E4">
        <w:rPr>
          <w:bCs/>
        </w:rPr>
        <w:t>**</w:t>
      </w:r>
      <w:r w:rsidRPr="000322E4">
        <w:t xml:space="preserve"> 3500 мг/м</w:t>
      </w:r>
      <w:r w:rsidRPr="000322E4">
        <w:rPr>
          <w:vertAlign w:val="superscript"/>
        </w:rPr>
        <w:t>2</w:t>
      </w:r>
      <w:r w:rsidRPr="000322E4">
        <w:t xml:space="preserve"> в/в кап., день 1</w:t>
      </w:r>
    </w:p>
    <w:p w14:paraId="60CFC94E" w14:textId="77777777" w:rsidR="00666D68" w:rsidRPr="000322E4" w:rsidRDefault="00666D68" w:rsidP="008E3584">
      <w:pPr>
        <w:numPr>
          <w:ilvl w:val="0"/>
          <w:numId w:val="52"/>
        </w:numPr>
      </w:pPr>
      <w:r w:rsidRPr="000322E4">
        <w:t>Цитарабин</w:t>
      </w:r>
      <w:r w:rsidRPr="000322E4">
        <w:rPr>
          <w:bCs/>
        </w:rPr>
        <w:t>**</w:t>
      </w:r>
      <w:r w:rsidRPr="000322E4">
        <w:t xml:space="preserve"> 2000 мг/м</w:t>
      </w:r>
      <w:r w:rsidRPr="000322E4">
        <w:rPr>
          <w:vertAlign w:val="superscript"/>
        </w:rPr>
        <w:t>2</w:t>
      </w:r>
      <w:r w:rsidRPr="000322E4">
        <w:t xml:space="preserve"> в/в кап. 2 раза в день, дни 2-3</w:t>
      </w:r>
    </w:p>
    <w:p w14:paraId="1E6AB026" w14:textId="77777777" w:rsidR="00666D68" w:rsidRPr="000322E4" w:rsidRDefault="00666D68" w:rsidP="008E3584">
      <w:pPr>
        <w:numPr>
          <w:ilvl w:val="0"/>
          <w:numId w:val="52"/>
        </w:numPr>
      </w:pPr>
      <w:r w:rsidRPr="000322E4">
        <w:t>Тиотепа</w:t>
      </w:r>
      <w:r w:rsidRPr="000322E4">
        <w:rPr>
          <w:bCs/>
        </w:rPr>
        <w:t>**</w:t>
      </w:r>
      <w:r w:rsidRPr="000322E4">
        <w:t xml:space="preserve"> 30 мг/м</w:t>
      </w:r>
      <w:r w:rsidRPr="000322E4">
        <w:rPr>
          <w:vertAlign w:val="superscript"/>
        </w:rPr>
        <w:t>2</w:t>
      </w:r>
      <w:r w:rsidRPr="000322E4">
        <w:t xml:space="preserve"> в/в, день 4   </w:t>
      </w:r>
    </w:p>
    <w:p w14:paraId="7DF4611E" w14:textId="77777777" w:rsidR="00666D68" w:rsidRPr="000322E4" w:rsidRDefault="00666D68" w:rsidP="008E3584">
      <w:pPr>
        <w:ind w:left="720"/>
      </w:pPr>
      <w:r w:rsidRPr="000322E4">
        <w:t xml:space="preserve">Возобновление на 22 день Всего 4 циклов </w:t>
      </w:r>
    </w:p>
    <w:p w14:paraId="233EA866" w14:textId="77777777" w:rsidR="00666D68" w:rsidRPr="000322E4" w:rsidRDefault="00666D68" w:rsidP="008E3584"/>
    <w:p w14:paraId="35CF0521" w14:textId="77777777" w:rsidR="00666D68" w:rsidRPr="000322E4" w:rsidRDefault="00D2304E" w:rsidP="008E3584">
      <w:pPr>
        <w:rPr>
          <w:b/>
          <w:bCs/>
        </w:rPr>
      </w:pPr>
      <w:r w:rsidRPr="005C347F">
        <w:rPr>
          <w:b/>
          <w:bCs/>
        </w:rPr>
        <w:t>#</w:t>
      </w:r>
      <w:r w:rsidR="00666D68" w:rsidRPr="000322E4">
        <w:rPr>
          <w:b/>
          <w:bCs/>
        </w:rPr>
        <w:t>Темозоломид** + ритуксимаб**</w:t>
      </w:r>
      <w:r w:rsidR="003D6DE3" w:rsidRPr="000322E4">
        <w:rPr>
          <w:b/>
          <w:bCs/>
        </w:rPr>
        <w:t xml:space="preserve"> </w:t>
      </w:r>
      <w:r w:rsidR="003D6DE3" w:rsidRPr="000322E4">
        <w:fldChar w:fldCharType="begin" w:fldLock="1"/>
      </w:r>
      <w:r w:rsidR="00C37789" w:rsidRPr="000322E4">
        <w:instrText>ADDIN CSL_CITATION {"citationItems":[{"id":"ITEM-1","itemData":{"DOI":"10.1002/cncr.20339","ISSN":"0008-543X","abstract":"BACKGROUND. Methotrexate-based and alkylator-based chemotherapy regimens are associated with renal and bone marrow toxicities, which limit their use in patients with central nervous system (CNS) lymphomas. The authors report their experience with an immunochemotherapy regimen consisting of rituximab and temozolomide in patients with primary or metastatic CNS lymphoma. METHODS. Seven patients who had received rituximab and temozolomide were identified from the database of the brain tumor clinic at the authors' institution: three patients had developed recurrent primary CNS lymphoma (PCNSL), one patient had newly diagnosed PCNSL but had poor renal function, and three other patients with systemic non-Hodgkin lymphoma developed recurrent lymphoma in the brain only. Patients were scheduled to receive 4 cycles of induction rituximab on Day 1 and temozolomide on Days 1-5 of a 28-day cycle. Thereafter, their treatment included a total of up to 8 maintenance cycles of temozolomide alone on Days 1-5 of a 28-day cycle. A gadolinium-enhanced magnetic resonance image of the head was obtained after every two cycles of treatment. RESULTS. All patients received rituximab without toxicity. Of the 4 patients who received induction temozolomide at doses &gt; 150 mg/m2 daily on Days 1-5, 2 experienced Grade 2 leukopenia and thrombocytopenia. Five patients achieved a radiographic complete response, and two patients had partial responses after induction treatment. The median response duration was 6 months (range 3-12+ months), and the median survival was 8 months (range 3+-12+ months). CONCLUSIONS. Although median survival was short, immunochemotherapy with rituximab and temozolomide was well tolerated and exhibited efficacy in this elderly and heavily pretreated cohort. The data obtained in the current study suggest that the optimal induction dose combination consists of rituximab 375 mg/m2 on Day 1 and temozolomide 150 mg/m2 daily on Days 1-5. © 2004 American Cancer Society.","author":[{"dropping-particle":"","family":"Wong","given":"Eric T.","non-dropping-particle":"","parse-names":false,"suffix":""},{"dropping-particle":"","family":"Tishler","given":"Roy","non-dropping-particle":"","parse-names":false,"suffix":""},{"dropping-particle":"","family":"Barron","given":"Loretta","non-dropping-particle":"","parse-names":false,"suffix":""},{"dropping-particle":"","family":"Wu","given":"Julian K.","non-dropping-particle":"","parse-names":false,"suffix":""}],"container-title":"Cancer","id":"ITEM-1","issue":"1","issued":{"date-parts":[["2004","7","1"]]},"page":"139-145","title":"Immunochemotherapy with rituximab and temozolomide for central nervous system lymphomas","type":"article-journal","volume":"101"},"uris":["http://www.mendeley.com/documents/?uuid=d5d8adba-c9a5-3b37-a941-79d220a16009"]}],"mendeley":{"formattedCitation":"[80]","plainTextFormattedCitation":"[80]","previouslyFormattedCitation":"[80]"},"properties":{"noteIndex":0},"schema":"https://github.com/citation-style-language/schema/raw/master/csl-citation.json"}</w:instrText>
      </w:r>
      <w:r w:rsidR="003D6DE3" w:rsidRPr="000322E4">
        <w:fldChar w:fldCharType="separate"/>
      </w:r>
      <w:r w:rsidR="00C37789" w:rsidRPr="000322E4">
        <w:rPr>
          <w:noProof/>
        </w:rPr>
        <w:t>[80]</w:t>
      </w:r>
      <w:r w:rsidR="003D6DE3" w:rsidRPr="000322E4">
        <w:fldChar w:fldCharType="end"/>
      </w:r>
    </w:p>
    <w:p w14:paraId="6204A60B" w14:textId="77777777" w:rsidR="00666D68" w:rsidRPr="000322E4" w:rsidRDefault="00666D68" w:rsidP="008E3584">
      <w:pPr>
        <w:numPr>
          <w:ilvl w:val="0"/>
          <w:numId w:val="52"/>
        </w:numPr>
      </w:pPr>
      <w:r w:rsidRPr="000322E4">
        <w:t>Ритуксимаб</w:t>
      </w:r>
      <w:r w:rsidRPr="000322E4">
        <w:rPr>
          <w:bCs/>
        </w:rPr>
        <w:t>**</w:t>
      </w:r>
      <w:r w:rsidRPr="000322E4">
        <w:t xml:space="preserve"> </w:t>
      </w:r>
      <w:r w:rsidR="00B85809" w:rsidRPr="000322E4">
        <w:t>375</w:t>
      </w:r>
      <w:r w:rsidRPr="000322E4">
        <w:t xml:space="preserve"> мг/м</w:t>
      </w:r>
      <w:r w:rsidRPr="000322E4">
        <w:rPr>
          <w:vertAlign w:val="superscript"/>
        </w:rPr>
        <w:t>2</w:t>
      </w:r>
      <w:r w:rsidRPr="000322E4">
        <w:t xml:space="preserve"> в/в кап., д</w:t>
      </w:r>
      <w:r w:rsidR="00B85809" w:rsidRPr="000322E4">
        <w:t xml:space="preserve">ень </w:t>
      </w:r>
      <w:r w:rsidRPr="000322E4">
        <w:t>1</w:t>
      </w:r>
      <w:r w:rsidR="005B7DE0" w:rsidRPr="000322E4">
        <w:t xml:space="preserve"> (1-4 циклы)</w:t>
      </w:r>
    </w:p>
    <w:p w14:paraId="6762D2C7" w14:textId="77777777" w:rsidR="005B7DE0" w:rsidRPr="000322E4" w:rsidRDefault="001E7C83" w:rsidP="008E3584">
      <w:pPr>
        <w:numPr>
          <w:ilvl w:val="0"/>
          <w:numId w:val="52"/>
        </w:numPr>
      </w:pPr>
      <w:r w:rsidRPr="001E7C83">
        <w:t>#</w:t>
      </w:r>
      <w:r w:rsidR="00666D68" w:rsidRPr="000322E4">
        <w:t>Темозоломид</w:t>
      </w:r>
      <w:r w:rsidR="00666D68" w:rsidRPr="000322E4">
        <w:rPr>
          <w:bCs/>
        </w:rPr>
        <w:t>**</w:t>
      </w:r>
      <w:r w:rsidR="00666D68" w:rsidRPr="000322E4">
        <w:t xml:space="preserve"> 150 мг/м</w:t>
      </w:r>
      <w:r w:rsidR="00666D68" w:rsidRPr="000322E4">
        <w:rPr>
          <w:vertAlign w:val="superscript"/>
        </w:rPr>
        <w:t>2</w:t>
      </w:r>
      <w:r w:rsidR="00666D68" w:rsidRPr="000322E4">
        <w:t xml:space="preserve"> внутрь, дни 1-</w:t>
      </w:r>
      <w:r w:rsidR="005B7DE0" w:rsidRPr="000322E4">
        <w:t>5</w:t>
      </w:r>
      <w:r w:rsidR="00666D68" w:rsidRPr="000322E4">
        <w:t xml:space="preserve"> </w:t>
      </w:r>
    </w:p>
    <w:p w14:paraId="553D13E1" w14:textId="77777777" w:rsidR="00666D68" w:rsidRPr="000322E4" w:rsidRDefault="00666D68" w:rsidP="008E3584">
      <w:pPr>
        <w:numPr>
          <w:ilvl w:val="0"/>
          <w:numId w:val="52"/>
        </w:numPr>
      </w:pPr>
      <w:r w:rsidRPr="000322E4">
        <w:t>Возобновление лечения на 2</w:t>
      </w:r>
      <w:r w:rsidR="005B7DE0" w:rsidRPr="000322E4">
        <w:t>9</w:t>
      </w:r>
      <w:r w:rsidRPr="000322E4">
        <w:t xml:space="preserve"> день.  Всего </w:t>
      </w:r>
      <w:r w:rsidR="005B7DE0" w:rsidRPr="000322E4">
        <w:t>до 12</w:t>
      </w:r>
      <w:r w:rsidRPr="000322E4">
        <w:t xml:space="preserve"> циклов</w:t>
      </w:r>
    </w:p>
    <w:p w14:paraId="233074AF" w14:textId="77777777" w:rsidR="00666D68" w:rsidRPr="000322E4" w:rsidRDefault="00666D68" w:rsidP="008E3584"/>
    <w:p w14:paraId="14F91E2A" w14:textId="77777777" w:rsidR="00666D68" w:rsidRPr="000322E4" w:rsidRDefault="00666D68" w:rsidP="008E3584">
      <w:pPr>
        <w:pStyle w:val="afd"/>
        <w:spacing w:beforeAutospacing="0" w:afterAutospacing="0" w:line="360" w:lineRule="auto"/>
        <w:ind w:firstLine="0"/>
        <w:rPr>
          <w:b/>
          <w:bCs/>
          <w:u w:val="single"/>
        </w:rPr>
      </w:pPr>
      <w:r w:rsidRPr="000322E4">
        <w:rPr>
          <w:b/>
          <w:bCs/>
          <w:u w:val="single"/>
        </w:rPr>
        <w:t>3.1.6 Схема терапии агрессивных нефолликулярных В-клеточных лимфом у пациентов до 18 лет</w:t>
      </w:r>
    </w:p>
    <w:p w14:paraId="3406FAC3" w14:textId="5D634CE7" w:rsidR="00666D68" w:rsidRPr="000322E4" w:rsidRDefault="00666D68" w:rsidP="008E3584">
      <w:pPr>
        <w:pStyle w:val="afd"/>
        <w:spacing w:beforeAutospacing="0" w:afterAutospacing="0" w:line="360" w:lineRule="auto"/>
        <w:rPr>
          <w:b/>
          <w:bCs/>
        </w:rPr>
      </w:pPr>
      <w:r w:rsidRPr="000322E4">
        <w:rPr>
          <w:b/>
          <w:bCs/>
        </w:rPr>
        <w:t xml:space="preserve">Протокол </w:t>
      </w:r>
      <w:r w:rsidRPr="000322E4">
        <w:rPr>
          <w:b/>
          <w:bCs/>
          <w:lang w:val="en-US"/>
        </w:rPr>
        <w:t>B</w:t>
      </w:r>
      <w:r w:rsidRPr="000322E4">
        <w:rPr>
          <w:b/>
          <w:bCs/>
        </w:rPr>
        <w:t>-</w:t>
      </w:r>
      <w:r w:rsidRPr="000322E4">
        <w:rPr>
          <w:b/>
          <w:bCs/>
          <w:lang w:val="en-US"/>
        </w:rPr>
        <w:t>NHL</w:t>
      </w:r>
      <w:r w:rsidRPr="000322E4">
        <w:rPr>
          <w:b/>
          <w:bCs/>
        </w:rPr>
        <w:t>-2010</w:t>
      </w:r>
      <w:r w:rsidRPr="000322E4">
        <w:rPr>
          <w:b/>
          <w:bCs/>
          <w:lang w:val="en-US"/>
        </w:rPr>
        <w:t>M</w:t>
      </w:r>
      <w:r w:rsidRPr="000322E4">
        <w:rPr>
          <w:b/>
          <w:bCs/>
        </w:rPr>
        <w:t xml:space="preserve"> </w:t>
      </w:r>
      <w:r w:rsidRPr="000322E4">
        <w:rPr>
          <w:b/>
          <w:bCs/>
          <w:lang w:val="en-US"/>
        </w:rPr>
        <w:fldChar w:fldCharType="begin" w:fldLock="1"/>
      </w:r>
      <w:r w:rsidR="00E974B2">
        <w:rPr>
          <w:b/>
          <w:bCs/>
          <w:lang w:val="en-US"/>
        </w:rPr>
        <w:instrText>ADDIN</w:instrText>
      </w:r>
      <w:r w:rsidR="00E974B2" w:rsidRPr="006C476A">
        <w:rPr>
          <w:b/>
          <w:bCs/>
        </w:rPr>
        <w:instrText xml:space="preserve"> </w:instrText>
      </w:r>
      <w:r w:rsidR="00E974B2">
        <w:rPr>
          <w:b/>
          <w:bCs/>
          <w:lang w:val="en-US"/>
        </w:rPr>
        <w:instrText>CSL</w:instrText>
      </w:r>
      <w:r w:rsidR="00E974B2" w:rsidRPr="006C476A">
        <w:rPr>
          <w:b/>
          <w:bCs/>
        </w:rPr>
        <w:instrText>_</w:instrText>
      </w:r>
      <w:r w:rsidR="00E974B2">
        <w:rPr>
          <w:b/>
          <w:bCs/>
          <w:lang w:val="en-US"/>
        </w:rPr>
        <w:instrText>CITATION</w:instrText>
      </w:r>
      <w:r w:rsidR="00E974B2" w:rsidRPr="006C476A">
        <w:rPr>
          <w:b/>
          <w:bCs/>
        </w:rPr>
        <w:instrText xml:space="preserve"> {"</w:instrText>
      </w:r>
      <w:r w:rsidR="00E974B2">
        <w:rPr>
          <w:b/>
          <w:bCs/>
          <w:lang w:val="en-US"/>
        </w:rPr>
        <w:instrText>citationItems</w:instrText>
      </w:r>
      <w:r w:rsidR="00E974B2" w:rsidRPr="006C476A">
        <w:rPr>
          <w:b/>
          <w:bCs/>
        </w:rPr>
        <w:instrText>":[{"</w:instrText>
      </w:r>
      <w:r w:rsidR="00E974B2">
        <w:rPr>
          <w:b/>
          <w:bCs/>
          <w:lang w:val="en-US"/>
        </w:rPr>
        <w:instrText>id</w:instrText>
      </w:r>
      <w:r w:rsidR="00E974B2" w:rsidRPr="006C476A">
        <w:rPr>
          <w:b/>
          <w:bCs/>
        </w:rPr>
        <w:instrText>":"</w:instrText>
      </w:r>
      <w:r w:rsidR="00E974B2">
        <w:rPr>
          <w:b/>
          <w:bCs/>
          <w:lang w:val="en-US"/>
        </w:rPr>
        <w:instrText>ITEM</w:instrText>
      </w:r>
      <w:r w:rsidR="00E974B2" w:rsidRPr="006C476A">
        <w:rPr>
          <w:b/>
          <w:bCs/>
        </w:rPr>
        <w:instrText>-1","</w:instrText>
      </w:r>
      <w:r w:rsidR="00E974B2">
        <w:rPr>
          <w:b/>
          <w:bCs/>
          <w:lang w:val="en-US"/>
        </w:rPr>
        <w:instrText>itemData</w:instrText>
      </w:r>
      <w:r w:rsidR="00E974B2" w:rsidRPr="006C476A">
        <w:rPr>
          <w:b/>
          <w:bCs/>
        </w:rPr>
        <w:instrText>":{"</w:instrText>
      </w:r>
      <w:r w:rsidR="00E974B2">
        <w:rPr>
          <w:b/>
          <w:bCs/>
          <w:lang w:val="en-US"/>
        </w:rPr>
        <w:instrText>DOI</w:instrText>
      </w:r>
      <w:r w:rsidR="00E974B2" w:rsidRPr="006C476A">
        <w:rPr>
          <w:b/>
          <w:bCs/>
        </w:rPr>
        <w:instrText>":"10.1111/</w:instrText>
      </w:r>
      <w:r w:rsidR="00E974B2">
        <w:rPr>
          <w:b/>
          <w:bCs/>
          <w:lang w:val="en-US"/>
        </w:rPr>
        <w:instrText>bjh</w:instrText>
      </w:r>
      <w:r w:rsidR="00E974B2" w:rsidRPr="006C476A">
        <w:rPr>
          <w:b/>
          <w:bCs/>
        </w:rPr>
        <w:instrText>.15944","</w:instrText>
      </w:r>
      <w:r w:rsidR="00E974B2">
        <w:rPr>
          <w:b/>
          <w:bCs/>
          <w:lang w:val="en-US"/>
        </w:rPr>
        <w:instrText>ISSN</w:instrText>
      </w:r>
      <w:r w:rsidR="00E974B2" w:rsidRPr="006C476A">
        <w:rPr>
          <w:b/>
          <w:bCs/>
        </w:rPr>
        <w:instrText>":"13652141","</w:instrText>
      </w:r>
      <w:r w:rsidR="00E974B2">
        <w:rPr>
          <w:b/>
          <w:bCs/>
          <w:lang w:val="en-US"/>
        </w:rPr>
        <w:instrText>abstract</w:instrText>
      </w:r>
      <w:r w:rsidR="00E974B2" w:rsidRPr="006C476A">
        <w:rPr>
          <w:b/>
          <w:bCs/>
        </w:rPr>
        <w:instrText>":"</w:instrText>
      </w:r>
      <w:r w:rsidR="00E974B2">
        <w:rPr>
          <w:b/>
          <w:bCs/>
          <w:lang w:val="en-US"/>
        </w:rPr>
        <w:instrText>The</w:instrText>
      </w:r>
      <w:r w:rsidR="00E974B2" w:rsidRPr="006C476A">
        <w:rPr>
          <w:b/>
          <w:bCs/>
        </w:rPr>
        <w:instrText xml:space="preserve"> </w:instrText>
      </w:r>
      <w:r w:rsidR="00E974B2">
        <w:rPr>
          <w:b/>
          <w:bCs/>
          <w:lang w:val="en-US"/>
        </w:rPr>
        <w:instrText>value</w:instrText>
      </w:r>
      <w:r w:rsidR="00E974B2" w:rsidRPr="006C476A">
        <w:rPr>
          <w:b/>
          <w:bCs/>
        </w:rPr>
        <w:instrText xml:space="preserve"> </w:instrText>
      </w:r>
      <w:r w:rsidR="00E974B2">
        <w:rPr>
          <w:b/>
          <w:bCs/>
          <w:lang w:val="en-US"/>
        </w:rPr>
        <w:instrText>of</w:instrText>
      </w:r>
      <w:r w:rsidR="00E974B2" w:rsidRPr="006C476A">
        <w:rPr>
          <w:b/>
          <w:bCs/>
        </w:rPr>
        <w:instrText xml:space="preserve"> </w:instrText>
      </w:r>
      <w:r w:rsidR="00E974B2">
        <w:rPr>
          <w:b/>
          <w:bCs/>
          <w:lang w:val="en-US"/>
        </w:rPr>
        <w:instrText>adding</w:instrText>
      </w:r>
      <w:r w:rsidR="00E974B2" w:rsidRPr="006C476A">
        <w:rPr>
          <w:b/>
          <w:bCs/>
        </w:rPr>
        <w:instrText xml:space="preserve"> </w:instrText>
      </w:r>
      <w:r w:rsidR="00E974B2">
        <w:rPr>
          <w:b/>
          <w:bCs/>
          <w:lang w:val="en-US"/>
        </w:rPr>
        <w:instrText>rituximab</w:instrText>
      </w:r>
      <w:r w:rsidR="00E974B2" w:rsidRPr="006C476A">
        <w:rPr>
          <w:b/>
          <w:bCs/>
        </w:rPr>
        <w:instrText xml:space="preserve"> </w:instrText>
      </w:r>
      <w:r w:rsidR="00E974B2">
        <w:rPr>
          <w:b/>
          <w:bCs/>
          <w:lang w:val="en-US"/>
        </w:rPr>
        <w:instrText>to</w:instrText>
      </w:r>
      <w:r w:rsidR="00E974B2" w:rsidRPr="006C476A">
        <w:rPr>
          <w:b/>
          <w:bCs/>
        </w:rPr>
        <w:instrText xml:space="preserve"> </w:instrText>
      </w:r>
      <w:r w:rsidR="00E974B2">
        <w:rPr>
          <w:b/>
          <w:bCs/>
          <w:lang w:val="en-US"/>
        </w:rPr>
        <w:instrText>chemotherapy</w:instrText>
      </w:r>
      <w:r w:rsidR="00E974B2" w:rsidRPr="006C476A">
        <w:rPr>
          <w:b/>
          <w:bCs/>
        </w:rPr>
        <w:instrText xml:space="preserve"> </w:instrText>
      </w:r>
      <w:r w:rsidR="00E974B2">
        <w:rPr>
          <w:b/>
          <w:bCs/>
          <w:lang w:val="en-US"/>
        </w:rPr>
        <w:instrText>in</w:instrText>
      </w:r>
      <w:r w:rsidR="00E974B2" w:rsidRPr="006C476A">
        <w:rPr>
          <w:b/>
          <w:bCs/>
        </w:rPr>
        <w:instrText xml:space="preserve"> </w:instrText>
      </w:r>
      <w:r w:rsidR="00E974B2">
        <w:rPr>
          <w:b/>
          <w:bCs/>
          <w:lang w:val="en-US"/>
        </w:rPr>
        <w:instrText>children</w:instrText>
      </w:r>
      <w:r w:rsidR="00E974B2" w:rsidRPr="006C476A">
        <w:rPr>
          <w:b/>
          <w:bCs/>
        </w:rPr>
        <w:instrText xml:space="preserve"> </w:instrText>
      </w:r>
      <w:r w:rsidR="00E974B2">
        <w:rPr>
          <w:b/>
          <w:bCs/>
          <w:lang w:val="en-US"/>
        </w:rPr>
        <w:instrText>with</w:instrText>
      </w:r>
      <w:r w:rsidR="00E974B2" w:rsidRPr="006C476A">
        <w:rPr>
          <w:b/>
          <w:bCs/>
        </w:rPr>
        <w:instrText xml:space="preserve"> </w:instrText>
      </w:r>
      <w:r w:rsidR="00E974B2">
        <w:rPr>
          <w:b/>
          <w:bCs/>
          <w:lang w:val="en-US"/>
        </w:rPr>
        <w:instrText>aggressive</w:instrText>
      </w:r>
      <w:r w:rsidR="00E974B2" w:rsidRPr="006C476A">
        <w:rPr>
          <w:b/>
          <w:bCs/>
        </w:rPr>
        <w:instrText xml:space="preserve"> </w:instrText>
      </w:r>
      <w:r w:rsidR="00E974B2">
        <w:rPr>
          <w:b/>
          <w:bCs/>
          <w:lang w:val="en-US"/>
        </w:rPr>
        <w:instrText>B</w:instrText>
      </w:r>
      <w:r w:rsidR="00E974B2" w:rsidRPr="006C476A">
        <w:rPr>
          <w:b/>
          <w:bCs/>
        </w:rPr>
        <w:instrText>-</w:instrText>
      </w:r>
      <w:r w:rsidR="00E974B2">
        <w:rPr>
          <w:b/>
          <w:bCs/>
          <w:lang w:val="en-US"/>
        </w:rPr>
        <w:instrText>cell</w:instrText>
      </w:r>
      <w:r w:rsidR="00E974B2" w:rsidRPr="006C476A">
        <w:rPr>
          <w:b/>
          <w:bCs/>
        </w:rPr>
        <w:instrText xml:space="preserve"> </w:instrText>
      </w:r>
      <w:r w:rsidR="00E974B2">
        <w:rPr>
          <w:b/>
          <w:bCs/>
          <w:lang w:val="en-US"/>
        </w:rPr>
        <w:instrText>non</w:instrText>
      </w:r>
      <w:r w:rsidR="00E974B2" w:rsidRPr="006C476A">
        <w:rPr>
          <w:b/>
          <w:bCs/>
        </w:rPr>
        <w:instrText>-</w:instrText>
      </w:r>
      <w:r w:rsidR="00E974B2">
        <w:rPr>
          <w:b/>
          <w:bCs/>
          <w:lang w:val="en-US"/>
        </w:rPr>
        <w:instrText>Hodgkin</w:instrText>
      </w:r>
      <w:r w:rsidR="00E974B2" w:rsidRPr="006C476A">
        <w:rPr>
          <w:b/>
          <w:bCs/>
        </w:rPr>
        <w:instrText xml:space="preserve"> </w:instrText>
      </w:r>
      <w:r w:rsidR="00E974B2">
        <w:rPr>
          <w:b/>
          <w:bCs/>
          <w:lang w:val="en-US"/>
        </w:rPr>
        <w:instrText>lymphoma</w:instrText>
      </w:r>
      <w:r w:rsidR="00E974B2" w:rsidRPr="006C476A">
        <w:rPr>
          <w:b/>
          <w:bCs/>
        </w:rPr>
        <w:instrText xml:space="preserve"> (</w:instrText>
      </w:r>
      <w:r w:rsidR="00E974B2">
        <w:rPr>
          <w:b/>
          <w:bCs/>
          <w:lang w:val="en-US"/>
        </w:rPr>
        <w:instrText>B</w:instrText>
      </w:r>
      <w:r w:rsidR="00E974B2" w:rsidRPr="006C476A">
        <w:rPr>
          <w:b/>
          <w:bCs/>
        </w:rPr>
        <w:instrText>-</w:instrText>
      </w:r>
      <w:r w:rsidR="00E974B2">
        <w:rPr>
          <w:b/>
          <w:bCs/>
          <w:lang w:val="en-US"/>
        </w:rPr>
        <w:instrText>NHL</w:instrText>
      </w:r>
      <w:r w:rsidR="00E974B2" w:rsidRPr="006C476A">
        <w:rPr>
          <w:b/>
          <w:bCs/>
        </w:rPr>
        <w:instrText xml:space="preserve">) </w:instrText>
      </w:r>
      <w:r w:rsidR="00E974B2">
        <w:rPr>
          <w:b/>
          <w:bCs/>
          <w:lang w:val="en-US"/>
        </w:rPr>
        <w:instrText>is</w:instrText>
      </w:r>
      <w:r w:rsidR="00E974B2" w:rsidRPr="006C476A">
        <w:rPr>
          <w:b/>
          <w:bCs/>
        </w:rPr>
        <w:instrText xml:space="preserve"> </w:instrText>
      </w:r>
      <w:r w:rsidR="00E974B2">
        <w:rPr>
          <w:b/>
          <w:bCs/>
          <w:lang w:val="en-US"/>
        </w:rPr>
        <w:instrText>still</w:instrText>
      </w:r>
      <w:r w:rsidR="00E974B2" w:rsidRPr="006C476A">
        <w:rPr>
          <w:b/>
          <w:bCs/>
        </w:rPr>
        <w:instrText xml:space="preserve"> </w:instrText>
      </w:r>
      <w:r w:rsidR="00E974B2">
        <w:rPr>
          <w:b/>
          <w:bCs/>
          <w:lang w:val="en-US"/>
        </w:rPr>
        <w:instrText>insufficiently</w:instrText>
      </w:r>
      <w:r w:rsidR="00E974B2" w:rsidRPr="006C476A">
        <w:rPr>
          <w:b/>
          <w:bCs/>
        </w:rPr>
        <w:instrText xml:space="preserve"> </w:instrText>
      </w:r>
      <w:r w:rsidR="00E974B2">
        <w:rPr>
          <w:b/>
          <w:bCs/>
          <w:lang w:val="en-US"/>
        </w:rPr>
        <w:instrText>studied</w:instrText>
      </w:r>
      <w:r w:rsidR="00E974B2" w:rsidRPr="006C476A">
        <w:rPr>
          <w:b/>
          <w:bCs/>
        </w:rPr>
        <w:instrText xml:space="preserve">. </w:instrText>
      </w:r>
      <w:r w:rsidR="00E974B2">
        <w:rPr>
          <w:b/>
          <w:bCs/>
          <w:lang w:val="en-US"/>
        </w:rPr>
        <w:instrText>We</w:instrText>
      </w:r>
      <w:r w:rsidR="00E974B2" w:rsidRPr="006C476A">
        <w:rPr>
          <w:b/>
          <w:bCs/>
        </w:rPr>
        <w:instrText xml:space="preserve"> </w:instrText>
      </w:r>
      <w:r w:rsidR="00E974B2">
        <w:rPr>
          <w:b/>
          <w:bCs/>
          <w:lang w:val="en-US"/>
        </w:rPr>
        <w:instrText>enrolled</w:instrText>
      </w:r>
      <w:r w:rsidR="00E974B2" w:rsidRPr="006C476A">
        <w:rPr>
          <w:b/>
          <w:bCs/>
        </w:rPr>
        <w:instrText xml:space="preserve"> 231 </w:instrText>
      </w:r>
      <w:r w:rsidR="00E974B2">
        <w:rPr>
          <w:b/>
          <w:bCs/>
          <w:lang w:val="en-US"/>
        </w:rPr>
        <w:instrText>patients</w:instrText>
      </w:r>
      <w:r w:rsidR="00E974B2" w:rsidRPr="006C476A">
        <w:rPr>
          <w:b/>
          <w:bCs/>
        </w:rPr>
        <w:instrText xml:space="preserve"> [</w:instrText>
      </w:r>
      <w:r w:rsidR="00E974B2">
        <w:rPr>
          <w:b/>
          <w:bCs/>
          <w:lang w:val="en-US"/>
        </w:rPr>
        <w:instrText>mean</w:instrText>
      </w:r>
      <w:r w:rsidR="00E974B2" w:rsidRPr="006C476A">
        <w:rPr>
          <w:b/>
          <w:bCs/>
        </w:rPr>
        <w:instrText xml:space="preserve"> </w:instrText>
      </w:r>
      <w:r w:rsidR="00E974B2">
        <w:rPr>
          <w:b/>
          <w:bCs/>
          <w:lang w:val="en-US"/>
        </w:rPr>
        <w:instrText>age</w:instrText>
      </w:r>
      <w:r w:rsidR="00E974B2" w:rsidRPr="006C476A">
        <w:rPr>
          <w:b/>
          <w:bCs/>
        </w:rPr>
        <w:instrText xml:space="preserve"> 9</w:instrText>
      </w:r>
      <w:r w:rsidR="00E974B2">
        <w:rPr>
          <w:b/>
          <w:bCs/>
          <w:lang w:val="en-US"/>
        </w:rPr>
        <w:instrText> years</w:instrText>
      </w:r>
      <w:r w:rsidR="00E974B2" w:rsidRPr="006C476A">
        <w:rPr>
          <w:b/>
          <w:bCs/>
        </w:rPr>
        <w:instrText xml:space="preserve"> </w:instrText>
      </w:r>
      <w:r w:rsidR="00E974B2">
        <w:rPr>
          <w:b/>
          <w:bCs/>
          <w:lang w:val="en-US"/>
        </w:rPr>
        <w:instrText>old</w:instrText>
      </w:r>
      <w:r w:rsidR="00E974B2" w:rsidRPr="006C476A">
        <w:rPr>
          <w:b/>
          <w:bCs/>
        </w:rPr>
        <w:instrText xml:space="preserve"> (</w:instrText>
      </w:r>
      <w:r w:rsidR="00E974B2">
        <w:rPr>
          <w:b/>
          <w:bCs/>
          <w:lang w:val="en-US"/>
        </w:rPr>
        <w:instrText>range</w:instrText>
      </w:r>
      <w:r w:rsidR="00E974B2" w:rsidRPr="006C476A">
        <w:rPr>
          <w:b/>
          <w:bCs/>
        </w:rPr>
        <w:instrText xml:space="preserve"> 2–17); </w:instrText>
      </w:r>
      <w:r w:rsidR="00E974B2">
        <w:rPr>
          <w:b/>
          <w:bCs/>
          <w:lang w:val="en-US"/>
        </w:rPr>
        <w:instrText>male</w:instrText>
      </w:r>
      <w:r w:rsidR="00E974B2" w:rsidRPr="006C476A">
        <w:rPr>
          <w:b/>
          <w:bCs/>
        </w:rPr>
        <w:instrText>:</w:instrText>
      </w:r>
      <w:r w:rsidR="00E974B2">
        <w:rPr>
          <w:b/>
          <w:bCs/>
          <w:lang w:val="en-US"/>
        </w:rPr>
        <w:instrText>female</w:instrText>
      </w:r>
      <w:r w:rsidR="00E974B2" w:rsidRPr="006C476A">
        <w:rPr>
          <w:b/>
          <w:bCs/>
        </w:rPr>
        <w:instrText xml:space="preserve"> </w:instrText>
      </w:r>
      <w:r w:rsidR="00E974B2">
        <w:rPr>
          <w:b/>
          <w:bCs/>
          <w:lang w:val="en-US"/>
        </w:rPr>
        <w:instrText>ratio</w:instrText>
      </w:r>
      <w:r w:rsidR="00E974B2" w:rsidRPr="006C476A">
        <w:rPr>
          <w:b/>
          <w:bCs/>
        </w:rPr>
        <w:instrText xml:space="preserve"> 3·4:1] </w:instrText>
      </w:r>
      <w:r w:rsidR="00E974B2">
        <w:rPr>
          <w:b/>
          <w:bCs/>
          <w:lang w:val="en-US"/>
        </w:rPr>
        <w:instrText>with</w:instrText>
      </w:r>
      <w:r w:rsidR="00E974B2" w:rsidRPr="006C476A">
        <w:rPr>
          <w:b/>
          <w:bCs/>
        </w:rPr>
        <w:instrText xml:space="preserve"> </w:instrText>
      </w:r>
      <w:r w:rsidR="00E974B2">
        <w:rPr>
          <w:b/>
          <w:bCs/>
          <w:lang w:val="en-US"/>
        </w:rPr>
        <w:instrText>Burkitt</w:instrText>
      </w:r>
      <w:r w:rsidR="00E974B2" w:rsidRPr="006C476A">
        <w:rPr>
          <w:b/>
          <w:bCs/>
        </w:rPr>
        <w:instrText xml:space="preserve"> (</w:instrText>
      </w:r>
      <w:r w:rsidR="00E974B2">
        <w:rPr>
          <w:b/>
          <w:bCs/>
          <w:lang w:val="en-US"/>
        </w:rPr>
        <w:instrText>BL</w:instrText>
      </w:r>
      <w:r w:rsidR="00E974B2" w:rsidRPr="006C476A">
        <w:rPr>
          <w:b/>
          <w:bCs/>
        </w:rPr>
        <w:instrText xml:space="preserve">, 179 </w:instrText>
      </w:r>
      <w:r w:rsidR="00E974B2">
        <w:rPr>
          <w:b/>
          <w:bCs/>
          <w:lang w:val="en-US"/>
        </w:rPr>
        <w:instrText>patients</w:instrText>
      </w:r>
      <w:r w:rsidR="00E974B2" w:rsidRPr="006C476A">
        <w:rPr>
          <w:b/>
          <w:bCs/>
        </w:rPr>
        <w:instrText xml:space="preserve">, 76·7%), </w:instrText>
      </w:r>
      <w:r w:rsidR="00E974B2">
        <w:rPr>
          <w:b/>
          <w:bCs/>
          <w:lang w:val="en-US"/>
        </w:rPr>
        <w:instrText>diffuse</w:instrText>
      </w:r>
      <w:r w:rsidR="00E974B2" w:rsidRPr="006C476A">
        <w:rPr>
          <w:b/>
          <w:bCs/>
        </w:rPr>
        <w:instrText xml:space="preserve"> </w:instrText>
      </w:r>
      <w:r w:rsidR="00E974B2">
        <w:rPr>
          <w:b/>
          <w:bCs/>
          <w:lang w:val="en-US"/>
        </w:rPr>
        <w:instrText>large</w:instrText>
      </w:r>
      <w:r w:rsidR="00E974B2" w:rsidRPr="006C476A">
        <w:rPr>
          <w:b/>
          <w:bCs/>
        </w:rPr>
        <w:instrText xml:space="preserve"> </w:instrText>
      </w:r>
      <w:r w:rsidR="00E974B2">
        <w:rPr>
          <w:b/>
          <w:bCs/>
          <w:lang w:val="en-US"/>
        </w:rPr>
        <w:instrText>B</w:instrText>
      </w:r>
      <w:r w:rsidR="00E974B2" w:rsidRPr="006C476A">
        <w:rPr>
          <w:b/>
          <w:bCs/>
        </w:rPr>
        <w:instrText>-</w:instrText>
      </w:r>
      <w:r w:rsidR="00E974B2">
        <w:rPr>
          <w:b/>
          <w:bCs/>
          <w:lang w:val="en-US"/>
        </w:rPr>
        <w:instrText>cell</w:instrText>
      </w:r>
      <w:r w:rsidR="00E974B2" w:rsidRPr="006C476A">
        <w:rPr>
          <w:b/>
          <w:bCs/>
        </w:rPr>
        <w:instrText xml:space="preserve"> (32 </w:instrText>
      </w:r>
      <w:r w:rsidR="00E974B2">
        <w:rPr>
          <w:b/>
          <w:bCs/>
          <w:lang w:val="en-US"/>
        </w:rPr>
        <w:instrText>patients</w:instrText>
      </w:r>
      <w:r w:rsidR="00E974B2" w:rsidRPr="006C476A">
        <w:rPr>
          <w:b/>
          <w:bCs/>
        </w:rPr>
        <w:instrText xml:space="preserve">, 14%), </w:instrText>
      </w:r>
      <w:r w:rsidR="00E974B2">
        <w:rPr>
          <w:b/>
          <w:bCs/>
          <w:lang w:val="en-US"/>
        </w:rPr>
        <w:instrText>primary</w:instrText>
      </w:r>
      <w:r w:rsidR="00E974B2" w:rsidRPr="006C476A">
        <w:rPr>
          <w:b/>
          <w:bCs/>
        </w:rPr>
        <w:instrText xml:space="preserve"> </w:instrText>
      </w:r>
      <w:r w:rsidR="00E974B2">
        <w:rPr>
          <w:b/>
          <w:bCs/>
          <w:lang w:val="en-US"/>
        </w:rPr>
        <w:instrText>mediastinal</w:instrText>
      </w:r>
      <w:r w:rsidR="00E974B2" w:rsidRPr="006C476A">
        <w:rPr>
          <w:b/>
          <w:bCs/>
        </w:rPr>
        <w:instrText xml:space="preserve"> </w:instrText>
      </w:r>
      <w:r w:rsidR="00E974B2">
        <w:rPr>
          <w:b/>
          <w:bCs/>
          <w:lang w:val="en-US"/>
        </w:rPr>
        <w:instrText>B</w:instrText>
      </w:r>
      <w:r w:rsidR="00E974B2" w:rsidRPr="006C476A">
        <w:rPr>
          <w:b/>
          <w:bCs/>
        </w:rPr>
        <w:instrText>-</w:instrText>
      </w:r>
      <w:r w:rsidR="00E974B2">
        <w:rPr>
          <w:b/>
          <w:bCs/>
          <w:lang w:val="en-US"/>
        </w:rPr>
        <w:instrText>cell</w:instrText>
      </w:r>
      <w:r w:rsidR="00E974B2" w:rsidRPr="006C476A">
        <w:rPr>
          <w:b/>
          <w:bCs/>
        </w:rPr>
        <w:instrText xml:space="preserve"> (14 </w:instrText>
      </w:r>
      <w:r w:rsidR="00E974B2">
        <w:rPr>
          <w:b/>
          <w:bCs/>
          <w:lang w:val="en-US"/>
        </w:rPr>
        <w:instrText>patients</w:instrText>
      </w:r>
      <w:r w:rsidR="00E974B2" w:rsidRPr="006C476A">
        <w:rPr>
          <w:b/>
          <w:bCs/>
        </w:rPr>
        <w:instrText xml:space="preserve">, 6%), </w:instrText>
      </w:r>
      <w:r w:rsidR="00E974B2">
        <w:rPr>
          <w:b/>
          <w:bCs/>
          <w:lang w:val="en-US"/>
        </w:rPr>
        <w:instrText>and</w:instrText>
      </w:r>
      <w:r w:rsidR="00E974B2" w:rsidRPr="006C476A">
        <w:rPr>
          <w:b/>
          <w:bCs/>
        </w:rPr>
        <w:instrText xml:space="preserve"> </w:instrText>
      </w:r>
      <w:r w:rsidR="00E974B2">
        <w:rPr>
          <w:b/>
          <w:bCs/>
          <w:lang w:val="en-US"/>
        </w:rPr>
        <w:instrText>other</w:instrText>
      </w:r>
      <w:r w:rsidR="00E974B2" w:rsidRPr="006C476A">
        <w:rPr>
          <w:b/>
          <w:bCs/>
        </w:rPr>
        <w:instrText xml:space="preserve"> (6 </w:instrText>
      </w:r>
      <w:r w:rsidR="00E974B2">
        <w:rPr>
          <w:b/>
          <w:bCs/>
          <w:lang w:val="en-US"/>
        </w:rPr>
        <w:instrText>patients</w:instrText>
      </w:r>
      <w:r w:rsidR="00E974B2" w:rsidRPr="006C476A">
        <w:rPr>
          <w:b/>
          <w:bCs/>
        </w:rPr>
        <w:instrText xml:space="preserve">, 2·6%) </w:instrText>
      </w:r>
      <w:r w:rsidR="00E974B2">
        <w:rPr>
          <w:b/>
          <w:bCs/>
          <w:lang w:val="en-US"/>
        </w:rPr>
        <w:instrText>B</w:instrText>
      </w:r>
      <w:r w:rsidR="00E974B2" w:rsidRPr="006C476A">
        <w:rPr>
          <w:b/>
          <w:bCs/>
        </w:rPr>
        <w:instrText>-</w:instrText>
      </w:r>
      <w:r w:rsidR="00E974B2">
        <w:rPr>
          <w:b/>
          <w:bCs/>
          <w:lang w:val="en-US"/>
        </w:rPr>
        <w:instrText>cell</w:instrText>
      </w:r>
      <w:r w:rsidR="00E974B2" w:rsidRPr="006C476A">
        <w:rPr>
          <w:b/>
          <w:bCs/>
        </w:rPr>
        <w:instrText xml:space="preserve"> </w:instrText>
      </w:r>
      <w:r w:rsidR="00E974B2">
        <w:rPr>
          <w:b/>
          <w:bCs/>
          <w:lang w:val="en-US"/>
        </w:rPr>
        <w:instrText>lymphomas</w:instrText>
      </w:r>
      <w:r w:rsidR="00E974B2" w:rsidRPr="006C476A">
        <w:rPr>
          <w:b/>
          <w:bCs/>
        </w:rPr>
        <w:instrText xml:space="preserve"> </w:instrText>
      </w:r>
      <w:r w:rsidR="00E974B2">
        <w:rPr>
          <w:b/>
          <w:bCs/>
          <w:lang w:val="en-US"/>
        </w:rPr>
        <w:instrText>in</w:instrText>
      </w:r>
      <w:r w:rsidR="00E974B2" w:rsidRPr="006C476A">
        <w:rPr>
          <w:b/>
          <w:bCs/>
        </w:rPr>
        <w:instrText xml:space="preserve"> </w:instrText>
      </w:r>
      <w:r w:rsidR="00E974B2">
        <w:rPr>
          <w:b/>
          <w:bCs/>
          <w:lang w:val="en-US"/>
        </w:rPr>
        <w:instrText>a</w:instrText>
      </w:r>
      <w:r w:rsidR="00E974B2" w:rsidRPr="006C476A">
        <w:rPr>
          <w:b/>
          <w:bCs/>
        </w:rPr>
        <w:instrText xml:space="preserve"> </w:instrText>
      </w:r>
      <w:r w:rsidR="00E974B2">
        <w:rPr>
          <w:b/>
          <w:bCs/>
          <w:lang w:val="en-US"/>
        </w:rPr>
        <w:instrText>prospective</w:instrText>
      </w:r>
      <w:r w:rsidR="00E974B2" w:rsidRPr="006C476A">
        <w:rPr>
          <w:b/>
          <w:bCs/>
        </w:rPr>
        <w:instrText xml:space="preserve"> </w:instrText>
      </w:r>
      <w:r w:rsidR="00E974B2">
        <w:rPr>
          <w:b/>
          <w:bCs/>
          <w:lang w:val="en-US"/>
        </w:rPr>
        <w:instrText>study</w:instrText>
      </w:r>
      <w:r w:rsidR="00E974B2" w:rsidRPr="006C476A">
        <w:rPr>
          <w:b/>
          <w:bCs/>
        </w:rPr>
        <w:instrText xml:space="preserve"> </w:instrText>
      </w:r>
      <w:r w:rsidR="00E974B2">
        <w:rPr>
          <w:b/>
          <w:bCs/>
          <w:lang w:val="en-US"/>
        </w:rPr>
        <w:instrText>of</w:instrText>
      </w:r>
      <w:r w:rsidR="00E974B2" w:rsidRPr="006C476A">
        <w:rPr>
          <w:b/>
          <w:bCs/>
        </w:rPr>
        <w:instrText xml:space="preserve"> </w:instrText>
      </w:r>
      <w:r w:rsidR="00E974B2">
        <w:rPr>
          <w:b/>
          <w:bCs/>
          <w:lang w:val="en-US"/>
        </w:rPr>
        <w:instrText>immuno</w:instrText>
      </w:r>
      <w:r w:rsidR="00E974B2" w:rsidRPr="006C476A">
        <w:rPr>
          <w:b/>
          <w:bCs/>
        </w:rPr>
        <w:instrText>-</w:instrText>
      </w:r>
      <w:r w:rsidR="00E974B2">
        <w:rPr>
          <w:b/>
          <w:bCs/>
          <w:lang w:val="en-US"/>
        </w:rPr>
        <w:instrText>chemotherapy</w:instrText>
      </w:r>
      <w:r w:rsidR="00E974B2" w:rsidRPr="006C476A">
        <w:rPr>
          <w:b/>
          <w:bCs/>
        </w:rPr>
        <w:instrText xml:space="preserve">. </w:instrText>
      </w:r>
      <w:r w:rsidR="00E974B2">
        <w:rPr>
          <w:b/>
          <w:bCs/>
          <w:lang w:val="en-US"/>
        </w:rPr>
        <w:instrText>Stages</w:instrText>
      </w:r>
      <w:r w:rsidR="00E974B2" w:rsidRPr="006C476A">
        <w:rPr>
          <w:b/>
          <w:bCs/>
        </w:rPr>
        <w:instrText xml:space="preserve"> </w:instrText>
      </w:r>
      <w:r w:rsidR="00E974B2">
        <w:rPr>
          <w:b/>
          <w:bCs/>
          <w:lang w:val="en-US"/>
        </w:rPr>
        <w:instrText>were</w:instrText>
      </w:r>
      <w:r w:rsidR="00E974B2" w:rsidRPr="006C476A">
        <w:rPr>
          <w:b/>
          <w:bCs/>
        </w:rPr>
        <w:instrText xml:space="preserve"> </w:instrText>
      </w:r>
      <w:r w:rsidR="00E974B2">
        <w:rPr>
          <w:b/>
          <w:bCs/>
          <w:lang w:val="en-US"/>
        </w:rPr>
        <w:instrText>I</w:instrText>
      </w:r>
      <w:r w:rsidR="00E974B2" w:rsidRPr="006C476A">
        <w:rPr>
          <w:b/>
          <w:bCs/>
        </w:rPr>
        <w:instrText>–</w:instrText>
      </w:r>
      <w:r w:rsidR="00E974B2">
        <w:rPr>
          <w:b/>
          <w:bCs/>
          <w:lang w:val="en-US"/>
        </w:rPr>
        <w:instrText>II</w:instrText>
      </w:r>
      <w:r w:rsidR="00E974B2" w:rsidRPr="006C476A">
        <w:rPr>
          <w:b/>
          <w:bCs/>
        </w:rPr>
        <w:instrText xml:space="preserve"> </w:instrText>
      </w:r>
      <w:r w:rsidR="00E974B2">
        <w:rPr>
          <w:b/>
          <w:bCs/>
          <w:lang w:val="en-US"/>
        </w:rPr>
        <w:instrText>in</w:instrText>
      </w:r>
      <w:r w:rsidR="00E974B2" w:rsidRPr="006C476A">
        <w:rPr>
          <w:b/>
          <w:bCs/>
        </w:rPr>
        <w:instrText xml:space="preserve"> 32% </w:instrText>
      </w:r>
      <w:r w:rsidR="00E974B2">
        <w:rPr>
          <w:b/>
          <w:bCs/>
          <w:lang w:val="en-US"/>
        </w:rPr>
        <w:instrText>and</w:instrText>
      </w:r>
      <w:r w:rsidR="00E974B2" w:rsidRPr="006C476A">
        <w:rPr>
          <w:b/>
          <w:bCs/>
        </w:rPr>
        <w:instrText xml:space="preserve"> </w:instrText>
      </w:r>
      <w:r w:rsidR="00E974B2">
        <w:rPr>
          <w:b/>
          <w:bCs/>
          <w:lang w:val="en-US"/>
        </w:rPr>
        <w:instrText>III</w:instrText>
      </w:r>
      <w:r w:rsidR="00E974B2" w:rsidRPr="006C476A">
        <w:rPr>
          <w:b/>
          <w:bCs/>
        </w:rPr>
        <w:instrText>–</w:instrText>
      </w:r>
      <w:r w:rsidR="00E974B2">
        <w:rPr>
          <w:b/>
          <w:bCs/>
          <w:lang w:val="en-US"/>
        </w:rPr>
        <w:instrText>IV</w:instrText>
      </w:r>
      <w:r w:rsidR="00E974B2" w:rsidRPr="006C476A">
        <w:rPr>
          <w:b/>
          <w:bCs/>
        </w:rPr>
        <w:instrText xml:space="preserve"> </w:instrText>
      </w:r>
      <w:r w:rsidR="00E974B2">
        <w:rPr>
          <w:b/>
          <w:bCs/>
          <w:lang w:val="en-US"/>
        </w:rPr>
        <w:instrText>in</w:instrText>
      </w:r>
      <w:r w:rsidR="00E974B2" w:rsidRPr="006C476A">
        <w:rPr>
          <w:b/>
          <w:bCs/>
        </w:rPr>
        <w:instrText xml:space="preserve"> 68% </w:instrText>
      </w:r>
      <w:r w:rsidR="00E974B2">
        <w:rPr>
          <w:b/>
          <w:bCs/>
          <w:lang w:val="en-US"/>
        </w:rPr>
        <w:instrText>of</w:instrText>
      </w:r>
      <w:r w:rsidR="00E974B2" w:rsidRPr="006C476A">
        <w:rPr>
          <w:b/>
          <w:bCs/>
        </w:rPr>
        <w:instrText xml:space="preserve"> </w:instrText>
      </w:r>
      <w:r w:rsidR="00E974B2">
        <w:rPr>
          <w:b/>
          <w:bCs/>
          <w:lang w:val="en-US"/>
        </w:rPr>
        <w:instrText>the</w:instrText>
      </w:r>
      <w:r w:rsidR="00E974B2" w:rsidRPr="006C476A">
        <w:rPr>
          <w:b/>
          <w:bCs/>
        </w:rPr>
        <w:instrText xml:space="preserve"> </w:instrText>
      </w:r>
      <w:r w:rsidR="00E974B2">
        <w:rPr>
          <w:b/>
          <w:bCs/>
          <w:lang w:val="en-US"/>
        </w:rPr>
        <w:instrText>patients</w:instrText>
      </w:r>
      <w:r w:rsidR="00E974B2" w:rsidRPr="006C476A">
        <w:rPr>
          <w:b/>
          <w:bCs/>
        </w:rPr>
        <w:instrText xml:space="preserve">. </w:instrText>
      </w:r>
      <w:r w:rsidR="00E974B2">
        <w:rPr>
          <w:b/>
          <w:bCs/>
          <w:lang w:val="en-US"/>
        </w:rPr>
        <w:instrText>Four</w:instrText>
      </w:r>
      <w:r w:rsidR="00E974B2" w:rsidRPr="006C476A">
        <w:rPr>
          <w:b/>
          <w:bCs/>
        </w:rPr>
        <w:instrText xml:space="preserve"> </w:instrText>
      </w:r>
      <w:r w:rsidR="00E974B2">
        <w:rPr>
          <w:b/>
          <w:bCs/>
          <w:lang w:val="en-US"/>
        </w:rPr>
        <w:instrText>doses</w:instrText>
      </w:r>
      <w:r w:rsidR="00E974B2" w:rsidRPr="006C476A">
        <w:rPr>
          <w:b/>
          <w:bCs/>
        </w:rPr>
        <w:instrText xml:space="preserve"> </w:instrText>
      </w:r>
      <w:r w:rsidR="00E974B2">
        <w:rPr>
          <w:b/>
          <w:bCs/>
          <w:lang w:val="en-US"/>
        </w:rPr>
        <w:instrText>of</w:instrText>
      </w:r>
      <w:r w:rsidR="00E974B2" w:rsidRPr="006C476A">
        <w:rPr>
          <w:b/>
          <w:bCs/>
        </w:rPr>
        <w:instrText xml:space="preserve"> 375</w:instrText>
      </w:r>
      <w:r w:rsidR="00E974B2">
        <w:rPr>
          <w:b/>
          <w:bCs/>
          <w:lang w:val="en-US"/>
        </w:rPr>
        <w:instrText> mg</w:instrText>
      </w:r>
      <w:r w:rsidR="00E974B2" w:rsidRPr="006C476A">
        <w:rPr>
          <w:b/>
          <w:bCs/>
        </w:rPr>
        <w:instrText>/</w:instrText>
      </w:r>
      <w:r w:rsidR="00E974B2">
        <w:rPr>
          <w:b/>
          <w:bCs/>
          <w:lang w:val="en-US"/>
        </w:rPr>
        <w:instrText>m</w:instrText>
      </w:r>
      <w:r w:rsidR="00E974B2" w:rsidRPr="006C476A">
        <w:rPr>
          <w:b/>
          <w:bCs/>
        </w:rPr>
        <w:instrText xml:space="preserve">2 </w:instrText>
      </w:r>
      <w:r w:rsidR="00E974B2">
        <w:rPr>
          <w:b/>
          <w:bCs/>
          <w:lang w:val="en-US"/>
        </w:rPr>
        <w:instrText>rituximab</w:instrText>
      </w:r>
      <w:r w:rsidR="00E974B2" w:rsidRPr="006C476A">
        <w:rPr>
          <w:b/>
          <w:bCs/>
        </w:rPr>
        <w:instrText xml:space="preserve"> </w:instrText>
      </w:r>
      <w:r w:rsidR="00E974B2">
        <w:rPr>
          <w:b/>
          <w:bCs/>
          <w:lang w:val="en-US"/>
        </w:rPr>
        <w:instrText>were</w:instrText>
      </w:r>
      <w:r w:rsidR="00E974B2" w:rsidRPr="006C476A">
        <w:rPr>
          <w:b/>
          <w:bCs/>
        </w:rPr>
        <w:instrText xml:space="preserve"> </w:instrText>
      </w:r>
      <w:r w:rsidR="00E974B2">
        <w:rPr>
          <w:b/>
          <w:bCs/>
          <w:lang w:val="en-US"/>
        </w:rPr>
        <w:instrText>added</w:instrText>
      </w:r>
      <w:r w:rsidR="00E974B2" w:rsidRPr="006C476A">
        <w:rPr>
          <w:b/>
          <w:bCs/>
        </w:rPr>
        <w:instrText xml:space="preserve"> </w:instrText>
      </w:r>
      <w:r w:rsidR="00E974B2">
        <w:rPr>
          <w:b/>
          <w:bCs/>
          <w:lang w:val="en-US"/>
        </w:rPr>
        <w:instrText>to</w:instrText>
      </w:r>
      <w:r w:rsidR="00E974B2" w:rsidRPr="006C476A">
        <w:rPr>
          <w:b/>
          <w:bCs/>
        </w:rPr>
        <w:instrText xml:space="preserve"> </w:instrText>
      </w:r>
      <w:r w:rsidR="00E974B2">
        <w:rPr>
          <w:b/>
          <w:bCs/>
          <w:lang w:val="en-US"/>
        </w:rPr>
        <w:instrText>the</w:instrText>
      </w:r>
      <w:r w:rsidR="00E974B2" w:rsidRPr="006C476A">
        <w:rPr>
          <w:b/>
          <w:bCs/>
        </w:rPr>
        <w:instrText xml:space="preserve"> </w:instrText>
      </w:r>
      <w:r w:rsidR="00E974B2">
        <w:rPr>
          <w:b/>
          <w:bCs/>
          <w:lang w:val="en-US"/>
        </w:rPr>
        <w:instrText>Berlin</w:instrText>
      </w:r>
      <w:r w:rsidR="00E974B2" w:rsidRPr="006C476A">
        <w:rPr>
          <w:b/>
          <w:bCs/>
        </w:rPr>
        <w:instrText>-</w:instrText>
      </w:r>
      <w:r w:rsidR="00E974B2">
        <w:rPr>
          <w:b/>
          <w:bCs/>
          <w:lang w:val="en-US"/>
        </w:rPr>
        <w:instrText>Frankfurt</w:instrText>
      </w:r>
      <w:r w:rsidR="00E974B2" w:rsidRPr="006C476A">
        <w:rPr>
          <w:b/>
          <w:bCs/>
        </w:rPr>
        <w:instrText>-</w:instrText>
      </w:r>
      <w:r w:rsidR="00E974B2">
        <w:rPr>
          <w:b/>
          <w:bCs/>
          <w:lang w:val="en-US"/>
        </w:rPr>
        <w:instrText>Munster</w:instrText>
      </w:r>
      <w:r w:rsidR="00E974B2" w:rsidRPr="006C476A">
        <w:rPr>
          <w:b/>
          <w:bCs/>
        </w:rPr>
        <w:instrText>-</w:instrText>
      </w:r>
      <w:r w:rsidR="00E974B2">
        <w:rPr>
          <w:b/>
          <w:bCs/>
          <w:lang w:val="en-US"/>
        </w:rPr>
        <w:instrText>NHL</w:instrText>
      </w:r>
      <w:r w:rsidR="00E974B2" w:rsidRPr="006C476A">
        <w:rPr>
          <w:b/>
          <w:bCs/>
        </w:rPr>
        <w:instrText>-90-</w:instrText>
      </w:r>
      <w:r w:rsidR="00E974B2">
        <w:rPr>
          <w:b/>
          <w:bCs/>
          <w:lang w:val="en-US"/>
        </w:rPr>
        <w:instrText>like</w:instrText>
      </w:r>
      <w:r w:rsidR="00E974B2" w:rsidRPr="006C476A">
        <w:rPr>
          <w:b/>
          <w:bCs/>
        </w:rPr>
        <w:instrText xml:space="preserve"> </w:instrText>
      </w:r>
      <w:r w:rsidR="00E974B2">
        <w:rPr>
          <w:b/>
          <w:bCs/>
          <w:lang w:val="en-US"/>
        </w:rPr>
        <w:instrText>chemotherapy</w:instrText>
      </w:r>
      <w:r w:rsidR="00E974B2" w:rsidRPr="006C476A">
        <w:rPr>
          <w:b/>
          <w:bCs/>
        </w:rPr>
        <w:instrText xml:space="preserve">, </w:instrText>
      </w:r>
      <w:r w:rsidR="00E974B2">
        <w:rPr>
          <w:b/>
          <w:bCs/>
          <w:lang w:val="en-US"/>
        </w:rPr>
        <w:instrText>with</w:instrText>
      </w:r>
      <w:r w:rsidR="00E974B2" w:rsidRPr="006C476A">
        <w:rPr>
          <w:b/>
          <w:bCs/>
        </w:rPr>
        <w:instrText xml:space="preserve"> </w:instrText>
      </w:r>
      <w:r w:rsidR="00E974B2">
        <w:rPr>
          <w:b/>
          <w:bCs/>
          <w:lang w:val="en-US"/>
        </w:rPr>
        <w:instrText>methotrexate</w:instrText>
      </w:r>
      <w:r w:rsidR="00E974B2" w:rsidRPr="006C476A">
        <w:rPr>
          <w:b/>
          <w:bCs/>
        </w:rPr>
        <w:instrText xml:space="preserve"> </w:instrText>
      </w:r>
      <w:r w:rsidR="00E974B2">
        <w:rPr>
          <w:b/>
          <w:bCs/>
          <w:lang w:val="en-US"/>
        </w:rPr>
        <w:instrText>being</w:instrText>
      </w:r>
      <w:r w:rsidR="00E974B2" w:rsidRPr="006C476A">
        <w:rPr>
          <w:b/>
          <w:bCs/>
        </w:rPr>
        <w:instrText xml:space="preserve"> </w:instrText>
      </w:r>
      <w:r w:rsidR="00E974B2">
        <w:rPr>
          <w:b/>
          <w:bCs/>
          <w:lang w:val="en-US"/>
        </w:rPr>
        <w:instrText>reduced</w:instrText>
      </w:r>
      <w:r w:rsidR="00E974B2" w:rsidRPr="006C476A">
        <w:rPr>
          <w:b/>
          <w:bCs/>
        </w:rPr>
        <w:instrText xml:space="preserve"> </w:instrText>
      </w:r>
      <w:r w:rsidR="00E974B2">
        <w:rPr>
          <w:b/>
          <w:bCs/>
          <w:lang w:val="en-US"/>
        </w:rPr>
        <w:instrText>or</w:instrText>
      </w:r>
      <w:r w:rsidR="00E974B2" w:rsidRPr="006C476A">
        <w:rPr>
          <w:b/>
          <w:bCs/>
        </w:rPr>
        <w:instrText xml:space="preserve"> </w:instrText>
      </w:r>
      <w:r w:rsidR="00E974B2">
        <w:rPr>
          <w:b/>
          <w:bCs/>
          <w:lang w:val="en-US"/>
        </w:rPr>
        <w:instrText>omitted</w:instrText>
      </w:r>
      <w:r w:rsidR="00E974B2" w:rsidRPr="006C476A">
        <w:rPr>
          <w:b/>
          <w:bCs/>
        </w:rPr>
        <w:instrText xml:space="preserve"> </w:instrText>
      </w:r>
      <w:r w:rsidR="00E974B2">
        <w:rPr>
          <w:b/>
          <w:bCs/>
          <w:lang w:val="en-US"/>
        </w:rPr>
        <w:instrText>in</w:instrText>
      </w:r>
      <w:r w:rsidR="00E974B2" w:rsidRPr="006C476A">
        <w:rPr>
          <w:b/>
          <w:bCs/>
        </w:rPr>
        <w:instrText xml:space="preserve"> </w:instrText>
      </w:r>
      <w:r w:rsidR="00E974B2">
        <w:rPr>
          <w:b/>
          <w:bCs/>
          <w:lang w:val="en-US"/>
        </w:rPr>
        <w:instrText>the</w:instrText>
      </w:r>
      <w:r w:rsidR="00E974B2" w:rsidRPr="006C476A">
        <w:rPr>
          <w:b/>
          <w:bCs/>
        </w:rPr>
        <w:instrText xml:space="preserve"> </w:instrText>
      </w:r>
      <w:r w:rsidR="00E974B2">
        <w:rPr>
          <w:b/>
          <w:bCs/>
          <w:lang w:val="en-US"/>
        </w:rPr>
        <w:instrText>first</w:instrText>
      </w:r>
      <w:r w:rsidR="00E974B2" w:rsidRPr="006C476A">
        <w:rPr>
          <w:b/>
          <w:bCs/>
        </w:rPr>
        <w:instrText xml:space="preserve"> 2 </w:instrText>
      </w:r>
      <w:r w:rsidR="00E974B2">
        <w:rPr>
          <w:b/>
          <w:bCs/>
          <w:lang w:val="en-US"/>
        </w:rPr>
        <w:instrText>induction</w:instrText>
      </w:r>
      <w:r w:rsidR="00E974B2" w:rsidRPr="006C476A">
        <w:rPr>
          <w:b/>
          <w:bCs/>
        </w:rPr>
        <w:instrText xml:space="preserve"> </w:instrText>
      </w:r>
      <w:r w:rsidR="00E974B2">
        <w:rPr>
          <w:b/>
          <w:bCs/>
          <w:lang w:val="en-US"/>
        </w:rPr>
        <w:instrText>blocks</w:instrText>
      </w:r>
      <w:r w:rsidR="00E974B2" w:rsidRPr="006C476A">
        <w:rPr>
          <w:b/>
          <w:bCs/>
        </w:rPr>
        <w:instrText xml:space="preserve">. </w:instrText>
      </w:r>
      <w:r w:rsidR="00E974B2">
        <w:rPr>
          <w:b/>
          <w:bCs/>
          <w:lang w:val="en-US"/>
        </w:rPr>
        <w:instrText>The</w:instrText>
      </w:r>
      <w:r w:rsidR="00E974B2" w:rsidRPr="006C476A">
        <w:rPr>
          <w:b/>
          <w:bCs/>
        </w:rPr>
        <w:instrText xml:space="preserve"> </w:instrText>
      </w:r>
      <w:r w:rsidR="00E974B2">
        <w:rPr>
          <w:b/>
          <w:bCs/>
          <w:lang w:val="en-US"/>
        </w:rPr>
        <w:instrText>complete</w:instrText>
      </w:r>
      <w:r w:rsidR="00E974B2" w:rsidRPr="006C476A">
        <w:rPr>
          <w:b/>
          <w:bCs/>
        </w:rPr>
        <w:instrText xml:space="preserve"> </w:instrText>
      </w:r>
      <w:r w:rsidR="00E974B2">
        <w:rPr>
          <w:b/>
          <w:bCs/>
          <w:lang w:val="en-US"/>
        </w:rPr>
        <w:instrText>remission</w:instrText>
      </w:r>
      <w:r w:rsidR="00E974B2" w:rsidRPr="006C476A">
        <w:rPr>
          <w:b/>
          <w:bCs/>
        </w:rPr>
        <w:instrText xml:space="preserve"> </w:instrText>
      </w:r>
      <w:r w:rsidR="00E974B2">
        <w:rPr>
          <w:b/>
          <w:bCs/>
          <w:lang w:val="en-US"/>
        </w:rPr>
        <w:instrText>rate</w:instrText>
      </w:r>
      <w:r w:rsidR="00E974B2" w:rsidRPr="006C476A">
        <w:rPr>
          <w:b/>
          <w:bCs/>
        </w:rPr>
        <w:instrText xml:space="preserve"> </w:instrText>
      </w:r>
      <w:r w:rsidR="00E974B2">
        <w:rPr>
          <w:b/>
          <w:bCs/>
          <w:lang w:val="en-US"/>
        </w:rPr>
        <w:instrText>was</w:instrText>
      </w:r>
      <w:r w:rsidR="00E974B2" w:rsidRPr="006C476A">
        <w:rPr>
          <w:b/>
          <w:bCs/>
        </w:rPr>
        <w:instrText xml:space="preserve"> 100% </w:instrText>
      </w:r>
      <w:r w:rsidR="00E974B2">
        <w:rPr>
          <w:b/>
          <w:bCs/>
          <w:lang w:val="en-US"/>
        </w:rPr>
        <w:instrText>in</w:instrText>
      </w:r>
      <w:r w:rsidR="00E974B2" w:rsidRPr="006C476A">
        <w:rPr>
          <w:b/>
          <w:bCs/>
        </w:rPr>
        <w:instrText xml:space="preserve"> </w:instrText>
      </w:r>
      <w:r w:rsidR="00E974B2">
        <w:rPr>
          <w:b/>
          <w:bCs/>
          <w:lang w:val="en-US"/>
        </w:rPr>
        <w:instrText>limited</w:instrText>
      </w:r>
      <w:r w:rsidR="00E974B2" w:rsidRPr="006C476A">
        <w:rPr>
          <w:b/>
          <w:bCs/>
        </w:rPr>
        <w:instrText>-</w:instrText>
      </w:r>
      <w:r w:rsidR="00E974B2">
        <w:rPr>
          <w:b/>
          <w:bCs/>
          <w:lang w:val="en-US"/>
        </w:rPr>
        <w:instrText>stage</w:instrText>
      </w:r>
      <w:r w:rsidR="00E974B2" w:rsidRPr="006C476A">
        <w:rPr>
          <w:b/>
          <w:bCs/>
        </w:rPr>
        <w:instrText xml:space="preserve"> </w:instrText>
      </w:r>
      <w:r w:rsidR="00E974B2">
        <w:rPr>
          <w:b/>
          <w:bCs/>
          <w:lang w:val="en-US"/>
        </w:rPr>
        <w:instrText>and</w:instrText>
      </w:r>
      <w:r w:rsidR="00E974B2" w:rsidRPr="006C476A">
        <w:rPr>
          <w:b/>
          <w:bCs/>
        </w:rPr>
        <w:instrText xml:space="preserve"> 91·4% </w:instrText>
      </w:r>
      <w:r w:rsidR="00E974B2">
        <w:rPr>
          <w:b/>
          <w:bCs/>
          <w:lang w:val="en-US"/>
        </w:rPr>
        <w:instrText>in</w:instrText>
      </w:r>
      <w:r w:rsidR="00E974B2" w:rsidRPr="006C476A">
        <w:rPr>
          <w:b/>
          <w:bCs/>
        </w:rPr>
        <w:instrText xml:space="preserve"> </w:instrText>
      </w:r>
      <w:r w:rsidR="00E974B2">
        <w:rPr>
          <w:b/>
          <w:bCs/>
          <w:lang w:val="en-US"/>
        </w:rPr>
        <w:instrText>advanced</w:instrText>
      </w:r>
      <w:r w:rsidR="00E974B2" w:rsidRPr="006C476A">
        <w:rPr>
          <w:b/>
          <w:bCs/>
        </w:rPr>
        <w:instrText>-</w:instrText>
      </w:r>
      <w:r w:rsidR="00E974B2">
        <w:rPr>
          <w:b/>
          <w:bCs/>
          <w:lang w:val="en-US"/>
        </w:rPr>
        <w:instrText>stage</w:instrText>
      </w:r>
      <w:r w:rsidR="00E974B2" w:rsidRPr="006C476A">
        <w:rPr>
          <w:b/>
          <w:bCs/>
        </w:rPr>
        <w:instrText xml:space="preserve"> </w:instrText>
      </w:r>
      <w:r w:rsidR="00E974B2">
        <w:rPr>
          <w:b/>
          <w:bCs/>
          <w:lang w:val="en-US"/>
        </w:rPr>
        <w:instrText>patients</w:instrText>
      </w:r>
      <w:r w:rsidR="00E974B2" w:rsidRPr="006C476A">
        <w:rPr>
          <w:b/>
          <w:bCs/>
        </w:rPr>
        <w:instrText xml:space="preserve">. </w:instrText>
      </w:r>
      <w:r w:rsidR="00E974B2">
        <w:rPr>
          <w:b/>
          <w:bCs/>
          <w:lang w:val="en-US"/>
        </w:rPr>
        <w:instrText>Five</w:instrText>
      </w:r>
      <w:r w:rsidR="00E974B2" w:rsidRPr="006C476A">
        <w:rPr>
          <w:b/>
          <w:bCs/>
        </w:rPr>
        <w:instrText xml:space="preserve"> </w:instrText>
      </w:r>
      <w:r w:rsidR="00E974B2">
        <w:rPr>
          <w:b/>
          <w:bCs/>
          <w:lang w:val="en-US"/>
        </w:rPr>
        <w:instrText>advanced</w:instrText>
      </w:r>
      <w:r w:rsidR="00E974B2" w:rsidRPr="006C476A">
        <w:rPr>
          <w:b/>
          <w:bCs/>
        </w:rPr>
        <w:instrText>-</w:instrText>
      </w:r>
      <w:r w:rsidR="00E974B2">
        <w:rPr>
          <w:b/>
          <w:bCs/>
          <w:lang w:val="en-US"/>
        </w:rPr>
        <w:instrText>stage</w:instrText>
      </w:r>
      <w:r w:rsidR="00E974B2" w:rsidRPr="006C476A">
        <w:rPr>
          <w:b/>
          <w:bCs/>
        </w:rPr>
        <w:instrText xml:space="preserve"> </w:instrText>
      </w:r>
      <w:r w:rsidR="00E974B2">
        <w:rPr>
          <w:b/>
          <w:bCs/>
          <w:lang w:val="en-US"/>
        </w:rPr>
        <w:instrText>patients</w:instrText>
      </w:r>
      <w:r w:rsidR="00E974B2" w:rsidRPr="006C476A">
        <w:rPr>
          <w:b/>
          <w:bCs/>
        </w:rPr>
        <w:instrText xml:space="preserve"> (2·2%) </w:instrText>
      </w:r>
      <w:r w:rsidR="00E974B2">
        <w:rPr>
          <w:b/>
          <w:bCs/>
          <w:lang w:val="en-US"/>
        </w:rPr>
        <w:instrText>died</w:instrText>
      </w:r>
      <w:r w:rsidR="00E974B2" w:rsidRPr="006C476A">
        <w:rPr>
          <w:b/>
          <w:bCs/>
        </w:rPr>
        <w:instrText xml:space="preserve"> </w:instrText>
      </w:r>
      <w:r w:rsidR="00E974B2">
        <w:rPr>
          <w:b/>
          <w:bCs/>
          <w:lang w:val="en-US"/>
        </w:rPr>
        <w:instrText>in</w:instrText>
      </w:r>
      <w:r w:rsidR="00E974B2" w:rsidRPr="006C476A">
        <w:rPr>
          <w:b/>
          <w:bCs/>
        </w:rPr>
        <w:instrText xml:space="preserve"> </w:instrText>
      </w:r>
      <w:r w:rsidR="00E974B2">
        <w:rPr>
          <w:b/>
          <w:bCs/>
          <w:lang w:val="en-US"/>
        </w:rPr>
        <w:instrText>induction</w:instrText>
      </w:r>
      <w:r w:rsidR="00E974B2" w:rsidRPr="006C476A">
        <w:rPr>
          <w:b/>
          <w:bCs/>
        </w:rPr>
        <w:instrText xml:space="preserve"> </w:instrText>
      </w:r>
      <w:r w:rsidR="00E974B2">
        <w:rPr>
          <w:b/>
          <w:bCs/>
          <w:lang w:val="en-US"/>
        </w:rPr>
        <w:instrText>and</w:instrText>
      </w:r>
      <w:r w:rsidR="00E974B2" w:rsidRPr="006C476A">
        <w:rPr>
          <w:b/>
          <w:bCs/>
        </w:rPr>
        <w:instrText xml:space="preserve"> 1 </w:instrText>
      </w:r>
      <w:r w:rsidR="00E974B2">
        <w:rPr>
          <w:b/>
          <w:bCs/>
          <w:lang w:val="en-US"/>
        </w:rPr>
        <w:instrText>patient</w:instrText>
      </w:r>
      <w:r w:rsidR="00E974B2" w:rsidRPr="006C476A">
        <w:rPr>
          <w:b/>
          <w:bCs/>
        </w:rPr>
        <w:instrText xml:space="preserve"> </w:instrText>
      </w:r>
      <w:r w:rsidR="00E974B2">
        <w:rPr>
          <w:b/>
          <w:bCs/>
          <w:lang w:val="en-US"/>
        </w:rPr>
        <w:instrText>with</w:instrText>
      </w:r>
      <w:r w:rsidR="00E974B2" w:rsidRPr="006C476A">
        <w:rPr>
          <w:b/>
          <w:bCs/>
        </w:rPr>
        <w:instrText xml:space="preserve"> </w:instrText>
      </w:r>
      <w:r w:rsidR="00E974B2">
        <w:rPr>
          <w:b/>
          <w:bCs/>
          <w:lang w:val="en-US"/>
        </w:rPr>
        <w:instrText>stage</w:instrText>
      </w:r>
      <w:r w:rsidR="00E974B2" w:rsidRPr="006C476A">
        <w:rPr>
          <w:b/>
          <w:bCs/>
        </w:rPr>
        <w:instrText xml:space="preserve"> 2 </w:instrText>
      </w:r>
      <w:r w:rsidR="00E974B2">
        <w:rPr>
          <w:b/>
          <w:bCs/>
          <w:lang w:val="en-US"/>
        </w:rPr>
        <w:instrText>B</w:instrText>
      </w:r>
      <w:r w:rsidR="00E974B2" w:rsidRPr="006C476A">
        <w:rPr>
          <w:b/>
          <w:bCs/>
        </w:rPr>
        <w:instrText>-</w:instrText>
      </w:r>
      <w:r w:rsidR="00E974B2">
        <w:rPr>
          <w:b/>
          <w:bCs/>
          <w:lang w:val="en-US"/>
        </w:rPr>
        <w:instrText>NHL</w:instrText>
      </w:r>
      <w:r w:rsidR="00E974B2" w:rsidRPr="006C476A">
        <w:rPr>
          <w:b/>
          <w:bCs/>
        </w:rPr>
        <w:instrText xml:space="preserve"> </w:instrText>
      </w:r>
      <w:r w:rsidR="00E974B2">
        <w:rPr>
          <w:b/>
          <w:bCs/>
          <w:lang w:val="en-US"/>
        </w:rPr>
        <w:instrText>died</w:instrText>
      </w:r>
      <w:r w:rsidR="00E974B2" w:rsidRPr="006C476A">
        <w:rPr>
          <w:b/>
          <w:bCs/>
        </w:rPr>
        <w:instrText xml:space="preserve"> </w:instrText>
      </w:r>
      <w:r w:rsidR="00E974B2">
        <w:rPr>
          <w:b/>
          <w:bCs/>
          <w:lang w:val="en-US"/>
        </w:rPr>
        <w:instrText>in</w:instrText>
      </w:r>
      <w:r w:rsidR="00E974B2" w:rsidRPr="006C476A">
        <w:rPr>
          <w:b/>
          <w:bCs/>
        </w:rPr>
        <w:instrText xml:space="preserve"> </w:instrText>
      </w:r>
      <w:r w:rsidR="00E974B2">
        <w:rPr>
          <w:b/>
          <w:bCs/>
          <w:lang w:val="en-US"/>
        </w:rPr>
        <w:instrText>remission</w:instrText>
      </w:r>
      <w:r w:rsidR="00E974B2" w:rsidRPr="006C476A">
        <w:rPr>
          <w:b/>
          <w:bCs/>
        </w:rPr>
        <w:instrText xml:space="preserve">; 11 </w:instrText>
      </w:r>
      <w:r w:rsidR="00E974B2">
        <w:rPr>
          <w:b/>
          <w:bCs/>
          <w:lang w:val="en-US"/>
        </w:rPr>
        <w:instrText>patients</w:instrText>
      </w:r>
      <w:r w:rsidR="00E974B2" w:rsidRPr="006C476A">
        <w:rPr>
          <w:b/>
          <w:bCs/>
        </w:rPr>
        <w:instrText xml:space="preserve"> </w:instrText>
      </w:r>
      <w:r w:rsidR="00E974B2">
        <w:rPr>
          <w:b/>
          <w:bCs/>
          <w:lang w:val="en-US"/>
        </w:rPr>
        <w:instrText>in</w:instrText>
      </w:r>
      <w:r w:rsidR="00E974B2" w:rsidRPr="006C476A">
        <w:rPr>
          <w:b/>
          <w:bCs/>
        </w:rPr>
        <w:instrText xml:space="preserve"> </w:instrText>
      </w:r>
      <w:r w:rsidR="00E974B2">
        <w:rPr>
          <w:b/>
          <w:bCs/>
          <w:lang w:val="en-US"/>
        </w:rPr>
        <w:instrText>the</w:instrText>
      </w:r>
      <w:r w:rsidR="00E974B2" w:rsidRPr="006C476A">
        <w:rPr>
          <w:b/>
          <w:bCs/>
        </w:rPr>
        <w:instrText xml:space="preserve"> </w:instrText>
      </w:r>
      <w:r w:rsidR="00E974B2">
        <w:rPr>
          <w:b/>
          <w:bCs/>
          <w:lang w:val="en-US"/>
        </w:rPr>
        <w:instrText>high</w:instrText>
      </w:r>
      <w:r w:rsidR="00E974B2" w:rsidRPr="006C476A">
        <w:rPr>
          <w:b/>
          <w:bCs/>
        </w:rPr>
        <w:instrText>-</w:instrText>
      </w:r>
      <w:r w:rsidR="00E974B2">
        <w:rPr>
          <w:b/>
          <w:bCs/>
          <w:lang w:val="en-US"/>
        </w:rPr>
        <w:instrText>risk</w:instrText>
      </w:r>
      <w:r w:rsidR="00E974B2" w:rsidRPr="006C476A">
        <w:rPr>
          <w:b/>
          <w:bCs/>
        </w:rPr>
        <w:instrText xml:space="preserve"> </w:instrText>
      </w:r>
      <w:r w:rsidR="00E974B2">
        <w:rPr>
          <w:b/>
          <w:bCs/>
          <w:lang w:val="en-US"/>
        </w:rPr>
        <w:instrText>group</w:instrText>
      </w:r>
      <w:r w:rsidR="00E974B2" w:rsidRPr="006C476A">
        <w:rPr>
          <w:b/>
          <w:bCs/>
        </w:rPr>
        <w:instrText xml:space="preserve"> </w:instrText>
      </w:r>
      <w:r w:rsidR="00E974B2">
        <w:rPr>
          <w:b/>
          <w:bCs/>
          <w:lang w:val="en-US"/>
        </w:rPr>
        <w:instrText>progressed</w:instrText>
      </w:r>
      <w:r w:rsidR="00E974B2" w:rsidRPr="006C476A">
        <w:rPr>
          <w:b/>
          <w:bCs/>
        </w:rPr>
        <w:instrText xml:space="preserve"> </w:instrText>
      </w:r>
      <w:r w:rsidR="00E974B2">
        <w:rPr>
          <w:b/>
          <w:bCs/>
          <w:lang w:val="en-US"/>
        </w:rPr>
        <w:instrText>on</w:instrText>
      </w:r>
      <w:r w:rsidR="00E974B2" w:rsidRPr="006C476A">
        <w:rPr>
          <w:b/>
          <w:bCs/>
        </w:rPr>
        <w:instrText xml:space="preserve"> </w:instrText>
      </w:r>
      <w:r w:rsidR="00E974B2">
        <w:rPr>
          <w:b/>
          <w:bCs/>
          <w:lang w:val="en-US"/>
        </w:rPr>
        <w:instrText>therapy</w:instrText>
      </w:r>
      <w:r w:rsidR="00E974B2" w:rsidRPr="006C476A">
        <w:rPr>
          <w:b/>
          <w:bCs/>
        </w:rPr>
        <w:instrText xml:space="preserve"> (3 </w:instrText>
      </w:r>
      <w:r w:rsidR="00E974B2">
        <w:rPr>
          <w:b/>
          <w:bCs/>
          <w:lang w:val="en-US"/>
        </w:rPr>
        <w:instrText>non</w:instrText>
      </w:r>
      <w:r w:rsidR="00E974B2" w:rsidRPr="006C476A">
        <w:rPr>
          <w:b/>
          <w:bCs/>
        </w:rPr>
        <w:instrText>-</w:instrText>
      </w:r>
      <w:r w:rsidR="00E974B2">
        <w:rPr>
          <w:b/>
          <w:bCs/>
          <w:lang w:val="en-US"/>
        </w:rPr>
        <w:instrText>BL</w:instrText>
      </w:r>
      <w:r w:rsidR="00E974B2" w:rsidRPr="006C476A">
        <w:rPr>
          <w:b/>
          <w:bCs/>
        </w:rPr>
        <w:instrText xml:space="preserve"> </w:instrText>
      </w:r>
      <w:r w:rsidR="00E974B2">
        <w:rPr>
          <w:b/>
          <w:bCs/>
          <w:lang w:val="en-US"/>
        </w:rPr>
        <w:instrText>are</w:instrText>
      </w:r>
      <w:r w:rsidR="00E974B2" w:rsidRPr="006C476A">
        <w:rPr>
          <w:b/>
          <w:bCs/>
        </w:rPr>
        <w:instrText xml:space="preserve"> </w:instrText>
      </w:r>
      <w:r w:rsidR="00E974B2">
        <w:rPr>
          <w:b/>
          <w:bCs/>
          <w:lang w:val="en-US"/>
        </w:rPr>
        <w:instrText>alive</w:instrText>
      </w:r>
      <w:r w:rsidR="00E974B2" w:rsidRPr="006C476A">
        <w:rPr>
          <w:b/>
          <w:bCs/>
        </w:rPr>
        <w:instrText xml:space="preserve"> </w:instrText>
      </w:r>
      <w:r w:rsidR="00E974B2">
        <w:rPr>
          <w:b/>
          <w:bCs/>
          <w:lang w:val="en-US"/>
        </w:rPr>
        <w:instrText>after</w:instrText>
      </w:r>
      <w:r w:rsidR="00E974B2" w:rsidRPr="006C476A">
        <w:rPr>
          <w:b/>
          <w:bCs/>
        </w:rPr>
        <w:instrText xml:space="preserve"> </w:instrText>
      </w:r>
      <w:r w:rsidR="00E974B2">
        <w:rPr>
          <w:b/>
          <w:bCs/>
          <w:lang w:val="en-US"/>
        </w:rPr>
        <w:instrText>salvage</w:instrText>
      </w:r>
      <w:r w:rsidR="00E974B2" w:rsidRPr="006C476A">
        <w:rPr>
          <w:b/>
          <w:bCs/>
        </w:rPr>
        <w:instrText xml:space="preserve">) </w:instrText>
      </w:r>
      <w:r w:rsidR="00E974B2">
        <w:rPr>
          <w:b/>
          <w:bCs/>
          <w:lang w:val="en-US"/>
        </w:rPr>
        <w:instrText>and</w:instrText>
      </w:r>
      <w:r w:rsidR="00E974B2" w:rsidRPr="006C476A">
        <w:rPr>
          <w:b/>
          <w:bCs/>
        </w:rPr>
        <w:instrText xml:space="preserve"> 5 </w:instrText>
      </w:r>
      <w:r w:rsidR="00E974B2">
        <w:rPr>
          <w:b/>
          <w:bCs/>
          <w:lang w:val="en-US"/>
        </w:rPr>
        <w:instrText>relapsed</w:instrText>
      </w:r>
      <w:r w:rsidR="00E974B2" w:rsidRPr="006C476A">
        <w:rPr>
          <w:b/>
          <w:bCs/>
        </w:rPr>
        <w:instrText xml:space="preserve">. </w:instrText>
      </w:r>
      <w:r w:rsidR="00E974B2">
        <w:rPr>
          <w:b/>
          <w:bCs/>
          <w:lang w:val="en-US"/>
        </w:rPr>
        <w:instrText>Sixteen</w:instrText>
      </w:r>
      <w:r w:rsidR="00E974B2" w:rsidRPr="006C476A">
        <w:rPr>
          <w:b/>
          <w:bCs/>
        </w:rPr>
        <w:instrText xml:space="preserve"> </w:instrText>
      </w:r>
      <w:r w:rsidR="00E974B2">
        <w:rPr>
          <w:b/>
          <w:bCs/>
          <w:lang w:val="en-US"/>
        </w:rPr>
        <w:instrText>patients</w:instrText>
      </w:r>
      <w:r w:rsidR="00E974B2" w:rsidRPr="006C476A">
        <w:rPr>
          <w:b/>
          <w:bCs/>
        </w:rPr>
        <w:instrText xml:space="preserve"> (9·7%) </w:instrText>
      </w:r>
      <w:r w:rsidR="00E974B2">
        <w:rPr>
          <w:b/>
          <w:bCs/>
          <w:lang w:val="en-US"/>
        </w:rPr>
        <w:instrText>with</w:instrText>
      </w:r>
      <w:r w:rsidR="00E974B2" w:rsidRPr="006C476A">
        <w:rPr>
          <w:b/>
          <w:bCs/>
        </w:rPr>
        <w:instrText xml:space="preserve"> </w:instrText>
      </w:r>
      <w:r w:rsidR="00E974B2">
        <w:rPr>
          <w:b/>
          <w:bCs/>
          <w:lang w:val="en-US"/>
        </w:rPr>
        <w:instrText>advanced</w:instrText>
      </w:r>
      <w:r w:rsidR="00E974B2" w:rsidRPr="006C476A">
        <w:rPr>
          <w:b/>
          <w:bCs/>
        </w:rPr>
        <w:instrText xml:space="preserve"> </w:instrText>
      </w:r>
      <w:r w:rsidR="00E974B2">
        <w:rPr>
          <w:b/>
          <w:bCs/>
          <w:lang w:val="en-US"/>
        </w:rPr>
        <w:instrText>stage</w:instrText>
      </w:r>
      <w:r w:rsidR="00E974B2" w:rsidRPr="006C476A">
        <w:rPr>
          <w:b/>
          <w:bCs/>
        </w:rPr>
        <w:instrText xml:space="preserve"> </w:instrText>
      </w:r>
      <w:r w:rsidR="00E974B2">
        <w:rPr>
          <w:b/>
          <w:bCs/>
          <w:lang w:val="en-US"/>
        </w:rPr>
        <w:instrText>disease</w:instrText>
      </w:r>
      <w:r w:rsidR="00E974B2" w:rsidRPr="006C476A">
        <w:rPr>
          <w:b/>
          <w:bCs/>
        </w:rPr>
        <w:instrText xml:space="preserve"> </w:instrText>
      </w:r>
      <w:r w:rsidR="00E974B2">
        <w:rPr>
          <w:b/>
          <w:bCs/>
          <w:lang w:val="en-US"/>
        </w:rPr>
        <w:instrText>proceeded</w:instrText>
      </w:r>
      <w:r w:rsidR="00E974B2" w:rsidRPr="006C476A">
        <w:rPr>
          <w:b/>
          <w:bCs/>
        </w:rPr>
        <w:instrText xml:space="preserve"> </w:instrText>
      </w:r>
      <w:r w:rsidR="00E974B2">
        <w:rPr>
          <w:b/>
          <w:bCs/>
          <w:lang w:val="en-US"/>
        </w:rPr>
        <w:instrText>to</w:instrText>
      </w:r>
      <w:r w:rsidR="00E974B2" w:rsidRPr="006C476A">
        <w:rPr>
          <w:b/>
          <w:bCs/>
        </w:rPr>
        <w:instrText xml:space="preserve"> </w:instrText>
      </w:r>
      <w:r w:rsidR="00E974B2">
        <w:rPr>
          <w:b/>
          <w:bCs/>
          <w:lang w:val="en-US"/>
        </w:rPr>
        <w:instrText>transplant</w:instrText>
      </w:r>
      <w:r w:rsidR="00E974B2" w:rsidRPr="006C476A">
        <w:rPr>
          <w:b/>
          <w:bCs/>
        </w:rPr>
        <w:instrText xml:space="preserve">. </w:instrText>
      </w:r>
      <w:r w:rsidR="00E974B2">
        <w:rPr>
          <w:b/>
          <w:bCs/>
          <w:lang w:val="en-US"/>
        </w:rPr>
        <w:instrText>With</w:instrText>
      </w:r>
      <w:r w:rsidR="00E974B2" w:rsidRPr="006C476A">
        <w:rPr>
          <w:b/>
          <w:bCs/>
        </w:rPr>
        <w:instrText xml:space="preserve"> </w:instrText>
      </w:r>
      <w:r w:rsidR="00E974B2">
        <w:rPr>
          <w:b/>
          <w:bCs/>
          <w:lang w:val="en-US"/>
        </w:rPr>
        <w:instrText>a</w:instrText>
      </w:r>
      <w:r w:rsidR="00E974B2" w:rsidRPr="006C476A">
        <w:rPr>
          <w:b/>
          <w:bCs/>
        </w:rPr>
        <w:instrText xml:space="preserve"> </w:instrText>
      </w:r>
      <w:r w:rsidR="00E974B2">
        <w:rPr>
          <w:b/>
          <w:bCs/>
          <w:lang w:val="en-US"/>
        </w:rPr>
        <w:instrText>median</w:instrText>
      </w:r>
      <w:r w:rsidR="00E974B2" w:rsidRPr="006C476A">
        <w:rPr>
          <w:b/>
          <w:bCs/>
        </w:rPr>
        <w:instrText xml:space="preserve"> </w:instrText>
      </w:r>
      <w:r w:rsidR="00E974B2">
        <w:rPr>
          <w:b/>
          <w:bCs/>
          <w:lang w:val="en-US"/>
        </w:rPr>
        <w:instrText>follow</w:instrText>
      </w:r>
      <w:r w:rsidR="00E974B2" w:rsidRPr="006C476A">
        <w:rPr>
          <w:b/>
          <w:bCs/>
        </w:rPr>
        <w:instrText>-</w:instrText>
      </w:r>
      <w:r w:rsidR="00E974B2">
        <w:rPr>
          <w:b/>
          <w:bCs/>
          <w:lang w:val="en-US"/>
        </w:rPr>
        <w:instrText>up</w:instrText>
      </w:r>
      <w:r w:rsidR="00E974B2" w:rsidRPr="006C476A">
        <w:rPr>
          <w:b/>
          <w:bCs/>
        </w:rPr>
        <w:instrText xml:space="preserve"> </w:instrText>
      </w:r>
      <w:r w:rsidR="00E974B2">
        <w:rPr>
          <w:b/>
          <w:bCs/>
          <w:lang w:val="en-US"/>
        </w:rPr>
        <w:instrText>of</w:instrText>
      </w:r>
      <w:r w:rsidR="00E974B2" w:rsidRPr="006C476A">
        <w:rPr>
          <w:b/>
          <w:bCs/>
        </w:rPr>
        <w:instrText xml:space="preserve"> 46</w:instrText>
      </w:r>
      <w:r w:rsidR="00E974B2">
        <w:rPr>
          <w:b/>
          <w:bCs/>
          <w:lang w:val="en-US"/>
        </w:rPr>
        <w:instrText> months</w:instrText>
      </w:r>
      <w:r w:rsidR="00E974B2" w:rsidRPr="006C476A">
        <w:rPr>
          <w:b/>
          <w:bCs/>
        </w:rPr>
        <w:instrText>, 98·5</w:instrText>
      </w:r>
      <w:r w:rsidR="00E974B2">
        <w:rPr>
          <w:b/>
          <w:bCs/>
          <w:lang w:val="en-US"/>
        </w:rPr>
        <w:instrText> </w:instrText>
      </w:r>
      <w:r w:rsidR="00E974B2" w:rsidRPr="006C476A">
        <w:rPr>
          <w:b/>
          <w:bCs/>
        </w:rPr>
        <w:instrText>±</w:instrText>
      </w:r>
      <w:r w:rsidR="00E974B2">
        <w:rPr>
          <w:b/>
          <w:bCs/>
          <w:lang w:val="en-US"/>
        </w:rPr>
        <w:instrText> 1% of patients with limited disease and 88·1 ± 2% (88·1% in Risk Group 3; 82·6% in Risk Group 4) in advanced stages are alive. This study confirmed that combined immunochemotherapy for B-lymphomas is highly effective in children, despite reducing the intensity of the induction blocks.","author":[{"dropping-particle":"","family":"Maschan","given":"Alexey","non-dropping-particle":"","parse-names":false,"suffix":""},{"dropping-particle":"","family":"Myakova","given":"Natalia","non-dropping-particle":"","parse-names":false,"suffix":""},{"dropping-particle":"","family":"Aleinikova","given":"Olga","non-dropping-particle":"","parse-names":false,"suffix":""},{"dropping-particle":"","family":"Abugova","given":"Yulia","non-dropping-particle":"","parse-names":false,"suffix":""},{"dropping-particle":"","family":"Ponomareva","given":"Natalia","non-dropping-particle":"","parse-names":false,"suffix":""},{"dropping-particle":"","family":"Belogurova","given":"Margarita","non-dropping-particle":"","parse-names":false,"suffix":""},{"dropping-particle":"","family":"Fechina","given":"Larisa","non-dropping-particle":"","parse-names":false,"suffix":""},{"dropping-particle":"","family":"Fedorova","given":"Alina","non-dropping-particle":"","parse-names":false,"suffix":""},{"dropping-particle":"","family":"Grigor'eva","given":"Natalia","non-dropping-particle":"","parse-names":false,"suffix":""},{"dropping-particle":"","family":"Lebedev","given":"Vladimir","non-dropping-particle":"","parse-names":false,"suffix":""},{"dropping-particle":"","family":"Nikonova","given":"Olga","non-dropping-particle":"","parse-names":false,"suffix":""},{"dropping-particle":"","family":"Shamardina","given":"Anastassia","non-dropping-particle":"","parse-names":false,"suffix":""},{"dropping-particle":"","family":"Sharapova","given":"Guzel","non-dropping-particle":"","parse-names":false,"suffix":""},{"dropping-particle":"","family":"Smirnova","given":"Nadezhda","non-dropping-particle":"","parse-names":false,"suffix":""},{"dropping-particle":"","family":"Rudneva","given":"Anastassia","non-dropping-particle":"","parse-names":false,"suffix":""},{"dropping-particle":"","family":"Volchkov","given":"Egor","non-dropping-particle":"","parse-names":false,"suffix":""},{"dropping-particle":"","family":"Samochatova","given":"Elena","non-dropping-particle":"","parse-names":false,"suffix":""}],"container-title":"British Journal of Haematology","id":"ITEM-1","issue":"3","issued":{"date-parts":[["2019","8","1"]]},"page":"477-483","publisher":"Blackwell Publishing Ltd","title":"Rituximab and reduced-intensity chemotherapy in children and adolescents with mature B-cell lymphoma: interim results for 231 patients enrolled in the second Russian-Belorussian multicentre study B-NHL-2010M","type":"article-journal","volume":"186"},"uris":["http://www.mendeley.com/documents/?uuid=d785740a-3410-3e67-a0c7-4d516bcdcf16"]},{"id":"ITEM-2","itemData":{"DOI":"10.1097/MPH.0b013e31829d4900","ISSN":"15363678","abstract":"Pediatric mature B-cell non-Hodgkin lymphomas (B-NHLs) are highly aggressive malignant tumors that are curable with chemotherapy (ChT). High-dose methotrexate (MTX) is considered indispensable for successful treatment, but this therapy frequently induces severe mucositis and infectious complications, especially in induction, which can cause treatment failure. A prospective multicenter trial of combined immunochemotherapy for advanced-stage B-NHL with rituximab and the modified NHL-BFM-90 protocol was conducted. The major differences from the original protocol were a decrease in the dose of MTX from 5000 to 1000 mg/m2/24 h in the first 2 ChT blocks and the addition of rituximab at 375 mg/m2 to each of the first 4 blocks of ChT. Eighty-three newly diagnosed patients with a median age of 8.84 years with Burkitt lymphoma/leukemia and diffuse large B-cell lymphomas stage III to IV were included. Four patients died during induction ChT due to tumor lysis syndrome and infection. Two additional patients died subsequently due to tumor resistance. Complete remission was achieved in 77 (92.8%) patients; 2 patients relapsed at 1 and 3 months, and 2 developed secondary malignancies at 1 and 6.5 years, respectively, after the completion of therapy. The overall survival probability was 82%±8% with a median follow-up of 65.2 months. Combined therapy with rituximab and intensive ChT with a reduced MTX dose of 1 g/m in the 2 induction courses was feasible and produced high cure rates in patients with pediatric advanced-stage mature B-NHL. Copyright © 2014 by Lippincott Williams &amp; Wilkins.","author":[{"dropping-particle":"V.","family":"Samochatova","given":"Elena","non-dropping-particle":"","parse-names":false,"suffix":""},{"dropping-particle":"","family":"Maschan","given":"Alexey A.","non-dropping-particle":"","parse-names":false,"suffix":""},{"dropping-particle":"","family":"Shelikhova","given":"Larisa N.","non-dropping-particle":"","parse-names":false,"suffix":""},{"dropping-particle":"V.","family":"Myakova","given":"Natalia","non-dropping-particle":"","parse-names":false,"suffix":""},{"dropping-particle":"","family":"Belogurova","given":"Margarita B.","non-dropping-particle":"","parse-names":false,"suffix":""},{"dropping-particle":"","family":"Khlebnikova","given":"Olga P.","non-dropping-particle":"","parse-names":false,"suffix":""},{"dropping-particle":"V.","family":"Shamardina</w:instrText>
      </w:r>
      <w:r w:rsidR="00E974B2" w:rsidRPr="006C476A">
        <w:rPr>
          <w:b/>
          <w:bCs/>
        </w:rPr>
        <w:instrText>","</w:instrText>
      </w:r>
      <w:r w:rsidR="00E974B2">
        <w:rPr>
          <w:b/>
          <w:bCs/>
          <w:lang w:val="en-US"/>
        </w:rPr>
        <w:instrText>given</w:instrText>
      </w:r>
      <w:r w:rsidR="00E974B2" w:rsidRPr="006C476A">
        <w:rPr>
          <w:b/>
          <w:bCs/>
        </w:rPr>
        <w:instrText>":"</w:instrText>
      </w:r>
      <w:r w:rsidR="00E974B2">
        <w:rPr>
          <w:b/>
          <w:bCs/>
          <w:lang w:val="en-US"/>
        </w:rPr>
        <w:instrText>Anastasia</w:instrText>
      </w:r>
      <w:r w:rsidR="00E974B2" w:rsidRPr="006C476A">
        <w:rPr>
          <w:b/>
          <w:bCs/>
        </w:rPr>
        <w:instrText>","</w:instrText>
      </w:r>
      <w:r w:rsidR="00E974B2">
        <w:rPr>
          <w:b/>
          <w:bCs/>
          <w:lang w:val="en-US"/>
        </w:rPr>
        <w:instrText>non</w:instrText>
      </w:r>
      <w:r w:rsidR="00E974B2" w:rsidRPr="006C476A">
        <w:rPr>
          <w:b/>
          <w:bCs/>
        </w:rPr>
        <w:instrText>-</w:instrText>
      </w:r>
      <w:r w:rsidR="00E974B2">
        <w:rPr>
          <w:b/>
          <w:bCs/>
          <w:lang w:val="en-US"/>
        </w:rPr>
        <w:instrText>dropping</w:instrText>
      </w:r>
      <w:r w:rsidR="00E974B2" w:rsidRPr="006C476A">
        <w:rPr>
          <w:b/>
          <w:bCs/>
        </w:rPr>
        <w:instrText>-</w:instrText>
      </w:r>
      <w:r w:rsidR="00E974B2">
        <w:rPr>
          <w:b/>
          <w:bCs/>
          <w:lang w:val="en-US"/>
        </w:rPr>
        <w:instrText>particle</w:instrText>
      </w:r>
      <w:r w:rsidR="00E974B2" w:rsidRPr="006C476A">
        <w:rPr>
          <w:b/>
          <w:bCs/>
        </w:rPr>
        <w:instrText>":"","</w:instrText>
      </w:r>
      <w:r w:rsidR="00E974B2">
        <w:rPr>
          <w:b/>
          <w:bCs/>
          <w:lang w:val="en-US"/>
        </w:rPr>
        <w:instrText>parse</w:instrText>
      </w:r>
      <w:r w:rsidR="00E974B2" w:rsidRPr="006C476A">
        <w:rPr>
          <w:b/>
          <w:bCs/>
        </w:rPr>
        <w:instrText>-</w:instrText>
      </w:r>
      <w:r w:rsidR="00E974B2">
        <w:rPr>
          <w:b/>
          <w:bCs/>
          <w:lang w:val="en-US"/>
        </w:rPr>
        <w:instrText>names</w:instrText>
      </w:r>
      <w:r w:rsidR="00E974B2" w:rsidRPr="006C476A">
        <w:rPr>
          <w:b/>
          <w:bCs/>
        </w:rPr>
        <w:instrText>":</w:instrText>
      </w:r>
      <w:r w:rsidR="00E974B2">
        <w:rPr>
          <w:b/>
          <w:bCs/>
          <w:lang w:val="en-US"/>
        </w:rPr>
        <w:instrText>false</w:instrText>
      </w:r>
      <w:r w:rsidR="00E974B2" w:rsidRPr="006C476A">
        <w:rPr>
          <w:b/>
          <w:bCs/>
        </w:rPr>
        <w:instrText>,"</w:instrText>
      </w:r>
      <w:r w:rsidR="00E974B2">
        <w:rPr>
          <w:b/>
          <w:bCs/>
          <w:lang w:val="en-US"/>
        </w:rPr>
        <w:instrText>suffix</w:instrText>
      </w:r>
      <w:r w:rsidR="00E974B2" w:rsidRPr="006C476A">
        <w:rPr>
          <w:b/>
          <w:bCs/>
        </w:rPr>
        <w:instrText>":""},{"</w:instrText>
      </w:r>
      <w:r w:rsidR="00E974B2">
        <w:rPr>
          <w:b/>
          <w:bCs/>
          <w:lang w:val="en-US"/>
        </w:rPr>
        <w:instrText>dropping</w:instrText>
      </w:r>
      <w:r w:rsidR="00E974B2" w:rsidRPr="006C476A">
        <w:rPr>
          <w:b/>
          <w:bCs/>
        </w:rPr>
        <w:instrText>-</w:instrText>
      </w:r>
      <w:r w:rsidR="00E974B2">
        <w:rPr>
          <w:b/>
          <w:bCs/>
          <w:lang w:val="en-US"/>
        </w:rPr>
        <w:instrText>particle</w:instrText>
      </w:r>
      <w:r w:rsidR="00E974B2" w:rsidRPr="006C476A">
        <w:rPr>
          <w:b/>
          <w:bCs/>
        </w:rPr>
        <w:instrText>":"</w:instrText>
      </w:r>
      <w:r w:rsidR="00E974B2">
        <w:rPr>
          <w:b/>
          <w:bCs/>
          <w:lang w:val="en-US"/>
        </w:rPr>
        <w:instrText>V</w:instrText>
      </w:r>
      <w:r w:rsidR="00E974B2" w:rsidRPr="006C476A">
        <w:rPr>
          <w:b/>
          <w:bCs/>
        </w:rPr>
        <w:instrText>.","</w:instrText>
      </w:r>
      <w:r w:rsidR="00E974B2">
        <w:rPr>
          <w:b/>
          <w:bCs/>
          <w:lang w:val="en-US"/>
        </w:rPr>
        <w:instrText>family</w:instrText>
      </w:r>
      <w:r w:rsidR="00E974B2" w:rsidRPr="006C476A">
        <w:rPr>
          <w:b/>
          <w:bCs/>
        </w:rPr>
        <w:instrText>":"</w:instrText>
      </w:r>
      <w:r w:rsidR="00E974B2">
        <w:rPr>
          <w:b/>
          <w:bCs/>
          <w:lang w:val="en-US"/>
        </w:rPr>
        <w:instrText>Ryskal</w:instrText>
      </w:r>
      <w:r w:rsidR="00E974B2" w:rsidRPr="006C476A">
        <w:rPr>
          <w:b/>
          <w:bCs/>
        </w:rPr>
        <w:instrText>","</w:instrText>
      </w:r>
      <w:r w:rsidR="00E974B2">
        <w:rPr>
          <w:b/>
          <w:bCs/>
          <w:lang w:val="en-US"/>
        </w:rPr>
        <w:instrText>given</w:instrText>
      </w:r>
      <w:r w:rsidR="00E974B2" w:rsidRPr="006C476A">
        <w:rPr>
          <w:b/>
          <w:bCs/>
        </w:rPr>
        <w:instrText>":"</w:instrText>
      </w:r>
      <w:r w:rsidR="00E974B2">
        <w:rPr>
          <w:b/>
          <w:bCs/>
          <w:lang w:val="en-US"/>
        </w:rPr>
        <w:instrText>Olga</w:instrText>
      </w:r>
      <w:r w:rsidR="00E974B2" w:rsidRPr="006C476A">
        <w:rPr>
          <w:b/>
          <w:bCs/>
        </w:rPr>
        <w:instrText>","</w:instrText>
      </w:r>
      <w:r w:rsidR="00E974B2">
        <w:rPr>
          <w:b/>
          <w:bCs/>
          <w:lang w:val="en-US"/>
        </w:rPr>
        <w:instrText>non</w:instrText>
      </w:r>
      <w:r w:rsidR="00E974B2" w:rsidRPr="006C476A">
        <w:rPr>
          <w:b/>
          <w:bCs/>
        </w:rPr>
        <w:instrText>-</w:instrText>
      </w:r>
      <w:r w:rsidR="00E974B2">
        <w:rPr>
          <w:b/>
          <w:bCs/>
          <w:lang w:val="en-US"/>
        </w:rPr>
        <w:instrText>dropping</w:instrText>
      </w:r>
      <w:r w:rsidR="00E974B2" w:rsidRPr="006C476A">
        <w:rPr>
          <w:b/>
          <w:bCs/>
        </w:rPr>
        <w:instrText>-</w:instrText>
      </w:r>
      <w:r w:rsidR="00E974B2">
        <w:rPr>
          <w:b/>
          <w:bCs/>
          <w:lang w:val="en-US"/>
        </w:rPr>
        <w:instrText>particle</w:instrText>
      </w:r>
      <w:r w:rsidR="00E974B2" w:rsidRPr="006C476A">
        <w:rPr>
          <w:b/>
          <w:bCs/>
        </w:rPr>
        <w:instrText>":"","</w:instrText>
      </w:r>
      <w:r w:rsidR="00E974B2">
        <w:rPr>
          <w:b/>
          <w:bCs/>
          <w:lang w:val="en-US"/>
        </w:rPr>
        <w:instrText>parse</w:instrText>
      </w:r>
      <w:r w:rsidR="00E974B2" w:rsidRPr="006C476A">
        <w:rPr>
          <w:b/>
          <w:bCs/>
        </w:rPr>
        <w:instrText>-</w:instrText>
      </w:r>
      <w:r w:rsidR="00E974B2">
        <w:rPr>
          <w:b/>
          <w:bCs/>
          <w:lang w:val="en-US"/>
        </w:rPr>
        <w:instrText>names</w:instrText>
      </w:r>
      <w:r w:rsidR="00E974B2" w:rsidRPr="006C476A">
        <w:rPr>
          <w:b/>
          <w:bCs/>
        </w:rPr>
        <w:instrText>":</w:instrText>
      </w:r>
      <w:r w:rsidR="00E974B2">
        <w:rPr>
          <w:b/>
          <w:bCs/>
          <w:lang w:val="en-US"/>
        </w:rPr>
        <w:instrText>false</w:instrText>
      </w:r>
      <w:r w:rsidR="00E974B2" w:rsidRPr="006C476A">
        <w:rPr>
          <w:b/>
          <w:bCs/>
        </w:rPr>
        <w:instrText>,"</w:instrText>
      </w:r>
      <w:r w:rsidR="00E974B2">
        <w:rPr>
          <w:b/>
          <w:bCs/>
          <w:lang w:val="en-US"/>
        </w:rPr>
        <w:instrText>suffix</w:instrText>
      </w:r>
      <w:r w:rsidR="00E974B2" w:rsidRPr="006C476A">
        <w:rPr>
          <w:b/>
          <w:bCs/>
        </w:rPr>
        <w:instrText>":""},{"</w:instrText>
      </w:r>
      <w:r w:rsidR="00E974B2">
        <w:rPr>
          <w:b/>
          <w:bCs/>
          <w:lang w:val="en-US"/>
        </w:rPr>
        <w:instrText>dropping</w:instrText>
      </w:r>
      <w:r w:rsidR="00E974B2" w:rsidRPr="006C476A">
        <w:rPr>
          <w:b/>
          <w:bCs/>
        </w:rPr>
        <w:instrText>-</w:instrText>
      </w:r>
      <w:r w:rsidR="00E974B2">
        <w:rPr>
          <w:b/>
          <w:bCs/>
          <w:lang w:val="en-US"/>
        </w:rPr>
        <w:instrText>particle</w:instrText>
      </w:r>
      <w:r w:rsidR="00E974B2" w:rsidRPr="006C476A">
        <w:rPr>
          <w:b/>
          <w:bCs/>
        </w:rPr>
        <w:instrText>":"</w:instrText>
      </w:r>
      <w:r w:rsidR="00E974B2">
        <w:rPr>
          <w:b/>
          <w:bCs/>
          <w:lang w:val="en-US"/>
        </w:rPr>
        <w:instrText>V</w:instrText>
      </w:r>
      <w:r w:rsidR="00E974B2" w:rsidRPr="006C476A">
        <w:rPr>
          <w:b/>
          <w:bCs/>
        </w:rPr>
        <w:instrText>.","</w:instrText>
      </w:r>
      <w:r w:rsidR="00E974B2">
        <w:rPr>
          <w:b/>
          <w:bCs/>
          <w:lang w:val="en-US"/>
        </w:rPr>
        <w:instrText>family</w:instrText>
      </w:r>
      <w:r w:rsidR="00E974B2" w:rsidRPr="006C476A">
        <w:rPr>
          <w:b/>
          <w:bCs/>
        </w:rPr>
        <w:instrText>":"</w:instrText>
      </w:r>
      <w:r w:rsidR="00E974B2">
        <w:rPr>
          <w:b/>
          <w:bCs/>
          <w:lang w:val="en-US"/>
        </w:rPr>
        <w:instrText>Roumiantseva</w:instrText>
      </w:r>
      <w:r w:rsidR="00E974B2" w:rsidRPr="006C476A">
        <w:rPr>
          <w:b/>
          <w:bCs/>
        </w:rPr>
        <w:instrText>","</w:instrText>
      </w:r>
      <w:r w:rsidR="00E974B2">
        <w:rPr>
          <w:b/>
          <w:bCs/>
          <w:lang w:val="en-US"/>
        </w:rPr>
        <w:instrText>given</w:instrText>
      </w:r>
      <w:r w:rsidR="00E974B2" w:rsidRPr="006C476A">
        <w:rPr>
          <w:b/>
          <w:bCs/>
        </w:rPr>
        <w:instrText>":"</w:instrText>
      </w:r>
      <w:r w:rsidR="00E974B2">
        <w:rPr>
          <w:b/>
          <w:bCs/>
          <w:lang w:val="en-US"/>
        </w:rPr>
        <w:instrText>Julia</w:instrText>
      </w:r>
      <w:r w:rsidR="00E974B2" w:rsidRPr="006C476A">
        <w:rPr>
          <w:b/>
          <w:bCs/>
        </w:rPr>
        <w:instrText>","</w:instrText>
      </w:r>
      <w:r w:rsidR="00E974B2">
        <w:rPr>
          <w:b/>
          <w:bCs/>
          <w:lang w:val="en-US"/>
        </w:rPr>
        <w:instrText>non</w:instrText>
      </w:r>
      <w:r w:rsidR="00E974B2" w:rsidRPr="006C476A">
        <w:rPr>
          <w:b/>
          <w:bCs/>
        </w:rPr>
        <w:instrText>-</w:instrText>
      </w:r>
      <w:r w:rsidR="00E974B2">
        <w:rPr>
          <w:b/>
          <w:bCs/>
          <w:lang w:val="en-US"/>
        </w:rPr>
        <w:instrText>dropping</w:instrText>
      </w:r>
      <w:r w:rsidR="00E974B2" w:rsidRPr="006C476A">
        <w:rPr>
          <w:b/>
          <w:bCs/>
        </w:rPr>
        <w:instrText>-</w:instrText>
      </w:r>
      <w:r w:rsidR="00E974B2">
        <w:rPr>
          <w:b/>
          <w:bCs/>
          <w:lang w:val="en-US"/>
        </w:rPr>
        <w:instrText>particle</w:instrText>
      </w:r>
      <w:r w:rsidR="00E974B2" w:rsidRPr="006C476A">
        <w:rPr>
          <w:b/>
          <w:bCs/>
        </w:rPr>
        <w:instrText>":"","</w:instrText>
      </w:r>
      <w:r w:rsidR="00E974B2">
        <w:rPr>
          <w:b/>
          <w:bCs/>
          <w:lang w:val="en-US"/>
        </w:rPr>
        <w:instrText>parse</w:instrText>
      </w:r>
      <w:r w:rsidR="00E974B2" w:rsidRPr="006C476A">
        <w:rPr>
          <w:b/>
          <w:bCs/>
        </w:rPr>
        <w:instrText>-</w:instrText>
      </w:r>
      <w:r w:rsidR="00E974B2">
        <w:rPr>
          <w:b/>
          <w:bCs/>
          <w:lang w:val="en-US"/>
        </w:rPr>
        <w:instrText>names</w:instrText>
      </w:r>
      <w:r w:rsidR="00E974B2" w:rsidRPr="006C476A">
        <w:rPr>
          <w:b/>
          <w:bCs/>
        </w:rPr>
        <w:instrText>":</w:instrText>
      </w:r>
      <w:r w:rsidR="00E974B2">
        <w:rPr>
          <w:b/>
          <w:bCs/>
          <w:lang w:val="en-US"/>
        </w:rPr>
        <w:instrText>false</w:instrText>
      </w:r>
      <w:r w:rsidR="00E974B2" w:rsidRPr="006C476A">
        <w:rPr>
          <w:b/>
          <w:bCs/>
        </w:rPr>
        <w:instrText>,"</w:instrText>
      </w:r>
      <w:r w:rsidR="00E974B2">
        <w:rPr>
          <w:b/>
          <w:bCs/>
          <w:lang w:val="en-US"/>
        </w:rPr>
        <w:instrText>suffix</w:instrText>
      </w:r>
      <w:r w:rsidR="00E974B2" w:rsidRPr="006C476A">
        <w:rPr>
          <w:b/>
          <w:bCs/>
        </w:rPr>
        <w:instrText>":""},{"</w:instrText>
      </w:r>
      <w:r w:rsidR="00E974B2">
        <w:rPr>
          <w:b/>
          <w:bCs/>
          <w:lang w:val="en-US"/>
        </w:rPr>
        <w:instrText>dropping</w:instrText>
      </w:r>
      <w:r w:rsidR="00E974B2" w:rsidRPr="006C476A">
        <w:rPr>
          <w:b/>
          <w:bCs/>
        </w:rPr>
        <w:instrText>-</w:instrText>
      </w:r>
      <w:r w:rsidR="00E974B2">
        <w:rPr>
          <w:b/>
          <w:bCs/>
          <w:lang w:val="en-US"/>
        </w:rPr>
        <w:instrText>particle</w:instrText>
      </w:r>
      <w:r w:rsidR="00E974B2" w:rsidRPr="006C476A">
        <w:rPr>
          <w:b/>
          <w:bCs/>
        </w:rPr>
        <w:instrText>":"","</w:instrText>
      </w:r>
      <w:r w:rsidR="00E974B2">
        <w:rPr>
          <w:b/>
          <w:bCs/>
          <w:lang w:val="en-US"/>
        </w:rPr>
        <w:instrText>family</w:instrText>
      </w:r>
      <w:r w:rsidR="00E974B2" w:rsidRPr="006C476A">
        <w:rPr>
          <w:b/>
          <w:bCs/>
        </w:rPr>
        <w:instrText>":"</w:instrText>
      </w:r>
      <w:r w:rsidR="00E974B2">
        <w:rPr>
          <w:b/>
          <w:bCs/>
          <w:lang w:val="en-US"/>
        </w:rPr>
        <w:instrText>Konovalov</w:instrText>
      </w:r>
      <w:r w:rsidR="00E974B2" w:rsidRPr="006C476A">
        <w:rPr>
          <w:b/>
          <w:bCs/>
        </w:rPr>
        <w:instrText>","</w:instrText>
      </w:r>
      <w:r w:rsidR="00E974B2">
        <w:rPr>
          <w:b/>
          <w:bCs/>
          <w:lang w:val="en-US"/>
        </w:rPr>
        <w:instrText>given</w:instrText>
      </w:r>
      <w:r w:rsidR="00E974B2" w:rsidRPr="006C476A">
        <w:rPr>
          <w:b/>
          <w:bCs/>
        </w:rPr>
        <w:instrText>":"</w:instrText>
      </w:r>
      <w:r w:rsidR="00E974B2">
        <w:rPr>
          <w:b/>
          <w:bCs/>
          <w:lang w:val="en-US"/>
        </w:rPr>
        <w:instrText>Dmitriy</w:instrText>
      </w:r>
      <w:r w:rsidR="00E974B2" w:rsidRPr="006C476A">
        <w:rPr>
          <w:b/>
          <w:bCs/>
        </w:rPr>
        <w:instrText xml:space="preserve"> </w:instrText>
      </w:r>
      <w:r w:rsidR="00E974B2">
        <w:rPr>
          <w:b/>
          <w:bCs/>
          <w:lang w:val="en-US"/>
        </w:rPr>
        <w:instrText>M</w:instrText>
      </w:r>
      <w:r w:rsidR="00E974B2" w:rsidRPr="006C476A">
        <w:rPr>
          <w:b/>
          <w:bCs/>
        </w:rPr>
        <w:instrText>.","</w:instrText>
      </w:r>
      <w:r w:rsidR="00E974B2">
        <w:rPr>
          <w:b/>
          <w:bCs/>
          <w:lang w:val="en-US"/>
        </w:rPr>
        <w:instrText>non</w:instrText>
      </w:r>
      <w:r w:rsidR="00E974B2" w:rsidRPr="006C476A">
        <w:rPr>
          <w:b/>
          <w:bCs/>
        </w:rPr>
        <w:instrText>-</w:instrText>
      </w:r>
      <w:r w:rsidR="00E974B2">
        <w:rPr>
          <w:b/>
          <w:bCs/>
          <w:lang w:val="en-US"/>
        </w:rPr>
        <w:instrText>dropping</w:instrText>
      </w:r>
      <w:r w:rsidR="00E974B2" w:rsidRPr="006C476A">
        <w:rPr>
          <w:b/>
          <w:bCs/>
        </w:rPr>
        <w:instrText>-</w:instrText>
      </w:r>
      <w:r w:rsidR="00E974B2">
        <w:rPr>
          <w:b/>
          <w:bCs/>
          <w:lang w:val="en-US"/>
        </w:rPr>
        <w:instrText>particle</w:instrText>
      </w:r>
      <w:r w:rsidR="00E974B2" w:rsidRPr="006C476A">
        <w:rPr>
          <w:b/>
          <w:bCs/>
        </w:rPr>
        <w:instrText>":"","</w:instrText>
      </w:r>
      <w:r w:rsidR="00E974B2">
        <w:rPr>
          <w:b/>
          <w:bCs/>
          <w:lang w:val="en-US"/>
        </w:rPr>
        <w:instrText>parse</w:instrText>
      </w:r>
      <w:r w:rsidR="00E974B2" w:rsidRPr="006C476A">
        <w:rPr>
          <w:b/>
          <w:bCs/>
        </w:rPr>
        <w:instrText>-</w:instrText>
      </w:r>
      <w:r w:rsidR="00E974B2">
        <w:rPr>
          <w:b/>
          <w:bCs/>
          <w:lang w:val="en-US"/>
        </w:rPr>
        <w:instrText>names</w:instrText>
      </w:r>
      <w:r w:rsidR="00E974B2" w:rsidRPr="006C476A">
        <w:rPr>
          <w:b/>
          <w:bCs/>
        </w:rPr>
        <w:instrText>":</w:instrText>
      </w:r>
      <w:r w:rsidR="00E974B2">
        <w:rPr>
          <w:b/>
          <w:bCs/>
          <w:lang w:val="en-US"/>
        </w:rPr>
        <w:instrText>false</w:instrText>
      </w:r>
      <w:r w:rsidR="00E974B2" w:rsidRPr="006C476A">
        <w:rPr>
          <w:b/>
          <w:bCs/>
        </w:rPr>
        <w:instrText>,"</w:instrText>
      </w:r>
      <w:r w:rsidR="00E974B2">
        <w:rPr>
          <w:b/>
          <w:bCs/>
          <w:lang w:val="en-US"/>
        </w:rPr>
        <w:instrText>suffix</w:instrText>
      </w:r>
      <w:r w:rsidR="00E974B2" w:rsidRPr="006C476A">
        <w:rPr>
          <w:b/>
          <w:bCs/>
        </w:rPr>
        <w:instrText>":""},{"</w:instrText>
      </w:r>
      <w:r w:rsidR="00E974B2">
        <w:rPr>
          <w:b/>
          <w:bCs/>
          <w:lang w:val="en-US"/>
        </w:rPr>
        <w:instrText>dropping</w:instrText>
      </w:r>
      <w:r w:rsidR="00E974B2" w:rsidRPr="006C476A">
        <w:rPr>
          <w:b/>
          <w:bCs/>
        </w:rPr>
        <w:instrText>-</w:instrText>
      </w:r>
      <w:r w:rsidR="00E974B2">
        <w:rPr>
          <w:b/>
          <w:bCs/>
          <w:lang w:val="en-US"/>
        </w:rPr>
        <w:instrText>particle</w:instrText>
      </w:r>
      <w:r w:rsidR="00E974B2" w:rsidRPr="006C476A">
        <w:rPr>
          <w:b/>
          <w:bCs/>
        </w:rPr>
        <w:instrText>":"","</w:instrText>
      </w:r>
      <w:r w:rsidR="00E974B2">
        <w:rPr>
          <w:b/>
          <w:bCs/>
          <w:lang w:val="en-US"/>
        </w:rPr>
        <w:instrText>family</w:instrText>
      </w:r>
      <w:r w:rsidR="00E974B2" w:rsidRPr="006C476A">
        <w:rPr>
          <w:b/>
          <w:bCs/>
        </w:rPr>
        <w:instrText>":"</w:instrText>
      </w:r>
      <w:r w:rsidR="00E974B2">
        <w:rPr>
          <w:b/>
          <w:bCs/>
          <w:lang w:val="en-US"/>
        </w:rPr>
        <w:instrText>Dubrovina</w:instrText>
      </w:r>
      <w:r w:rsidR="00E974B2" w:rsidRPr="006C476A">
        <w:rPr>
          <w:b/>
          <w:bCs/>
        </w:rPr>
        <w:instrText>","</w:instrText>
      </w:r>
      <w:r w:rsidR="00E974B2">
        <w:rPr>
          <w:b/>
          <w:bCs/>
          <w:lang w:val="en-US"/>
        </w:rPr>
        <w:instrText>given</w:instrText>
      </w:r>
      <w:r w:rsidR="00E974B2" w:rsidRPr="006C476A">
        <w:rPr>
          <w:b/>
          <w:bCs/>
        </w:rPr>
        <w:instrText>":"</w:instrText>
      </w:r>
      <w:r w:rsidR="00E974B2">
        <w:rPr>
          <w:b/>
          <w:bCs/>
          <w:lang w:val="en-US"/>
        </w:rPr>
        <w:instrText>Maria</w:instrText>
      </w:r>
      <w:r w:rsidR="00E974B2" w:rsidRPr="006C476A">
        <w:rPr>
          <w:b/>
          <w:bCs/>
        </w:rPr>
        <w:instrText xml:space="preserve"> </w:instrText>
      </w:r>
      <w:r w:rsidR="00E974B2">
        <w:rPr>
          <w:b/>
          <w:bCs/>
          <w:lang w:val="en-US"/>
        </w:rPr>
        <w:instrText>E</w:instrText>
      </w:r>
      <w:r w:rsidR="00E974B2" w:rsidRPr="006C476A">
        <w:rPr>
          <w:b/>
          <w:bCs/>
        </w:rPr>
        <w:instrText>.","</w:instrText>
      </w:r>
      <w:r w:rsidR="00E974B2">
        <w:rPr>
          <w:b/>
          <w:bCs/>
          <w:lang w:val="en-US"/>
        </w:rPr>
        <w:instrText>non</w:instrText>
      </w:r>
      <w:r w:rsidR="00E974B2" w:rsidRPr="006C476A">
        <w:rPr>
          <w:b/>
          <w:bCs/>
        </w:rPr>
        <w:instrText>-</w:instrText>
      </w:r>
      <w:r w:rsidR="00E974B2">
        <w:rPr>
          <w:b/>
          <w:bCs/>
          <w:lang w:val="en-US"/>
        </w:rPr>
        <w:instrText>dropping</w:instrText>
      </w:r>
      <w:r w:rsidR="00E974B2" w:rsidRPr="006C476A">
        <w:rPr>
          <w:b/>
          <w:bCs/>
        </w:rPr>
        <w:instrText>-</w:instrText>
      </w:r>
      <w:r w:rsidR="00E974B2">
        <w:rPr>
          <w:b/>
          <w:bCs/>
          <w:lang w:val="en-US"/>
        </w:rPr>
        <w:instrText>particle</w:instrText>
      </w:r>
      <w:r w:rsidR="00E974B2" w:rsidRPr="006C476A">
        <w:rPr>
          <w:b/>
          <w:bCs/>
        </w:rPr>
        <w:instrText>":"","</w:instrText>
      </w:r>
      <w:r w:rsidR="00E974B2">
        <w:rPr>
          <w:b/>
          <w:bCs/>
          <w:lang w:val="en-US"/>
        </w:rPr>
        <w:instrText>parse</w:instrText>
      </w:r>
      <w:r w:rsidR="00E974B2" w:rsidRPr="006C476A">
        <w:rPr>
          <w:b/>
          <w:bCs/>
        </w:rPr>
        <w:instrText>-</w:instrText>
      </w:r>
      <w:r w:rsidR="00E974B2">
        <w:rPr>
          <w:b/>
          <w:bCs/>
          <w:lang w:val="en-US"/>
        </w:rPr>
        <w:instrText>names</w:instrText>
      </w:r>
      <w:r w:rsidR="00E974B2" w:rsidRPr="006C476A">
        <w:rPr>
          <w:b/>
          <w:bCs/>
        </w:rPr>
        <w:instrText>":</w:instrText>
      </w:r>
      <w:r w:rsidR="00E974B2">
        <w:rPr>
          <w:b/>
          <w:bCs/>
          <w:lang w:val="en-US"/>
        </w:rPr>
        <w:instrText>false</w:instrText>
      </w:r>
      <w:r w:rsidR="00E974B2" w:rsidRPr="006C476A">
        <w:rPr>
          <w:b/>
          <w:bCs/>
        </w:rPr>
        <w:instrText>,"</w:instrText>
      </w:r>
      <w:r w:rsidR="00E974B2">
        <w:rPr>
          <w:b/>
          <w:bCs/>
          <w:lang w:val="en-US"/>
        </w:rPr>
        <w:instrText>suffix</w:instrText>
      </w:r>
      <w:r w:rsidR="00E974B2" w:rsidRPr="006C476A">
        <w:rPr>
          <w:b/>
          <w:bCs/>
        </w:rPr>
        <w:instrText>":""},{"</w:instrText>
      </w:r>
      <w:r w:rsidR="00E974B2">
        <w:rPr>
          <w:b/>
          <w:bCs/>
          <w:lang w:val="en-US"/>
        </w:rPr>
        <w:instrText>dropping</w:instrText>
      </w:r>
      <w:r w:rsidR="00E974B2" w:rsidRPr="006C476A">
        <w:rPr>
          <w:b/>
          <w:bCs/>
        </w:rPr>
        <w:instrText>-</w:instrText>
      </w:r>
      <w:r w:rsidR="00E974B2">
        <w:rPr>
          <w:b/>
          <w:bCs/>
          <w:lang w:val="en-US"/>
        </w:rPr>
        <w:instrText>particle</w:instrText>
      </w:r>
      <w:r w:rsidR="00E974B2" w:rsidRPr="006C476A">
        <w:rPr>
          <w:b/>
          <w:bCs/>
        </w:rPr>
        <w:instrText>":"","</w:instrText>
      </w:r>
      <w:r w:rsidR="00E974B2">
        <w:rPr>
          <w:b/>
          <w:bCs/>
          <w:lang w:val="en-US"/>
        </w:rPr>
        <w:instrText>family</w:instrText>
      </w:r>
      <w:r w:rsidR="00E974B2" w:rsidRPr="006C476A">
        <w:rPr>
          <w:b/>
          <w:bCs/>
        </w:rPr>
        <w:instrText>":"</w:instrText>
      </w:r>
      <w:r w:rsidR="00E974B2">
        <w:rPr>
          <w:b/>
          <w:bCs/>
          <w:lang w:val="en-US"/>
        </w:rPr>
        <w:instrText>Rumyantsev</w:instrText>
      </w:r>
      <w:r w:rsidR="00E974B2" w:rsidRPr="006C476A">
        <w:rPr>
          <w:b/>
          <w:bCs/>
        </w:rPr>
        <w:instrText>","</w:instrText>
      </w:r>
      <w:r w:rsidR="00E974B2">
        <w:rPr>
          <w:b/>
          <w:bCs/>
          <w:lang w:val="en-US"/>
        </w:rPr>
        <w:instrText>given</w:instrText>
      </w:r>
      <w:r w:rsidR="00E974B2" w:rsidRPr="006C476A">
        <w:rPr>
          <w:b/>
          <w:bCs/>
        </w:rPr>
        <w:instrText>":"</w:instrText>
      </w:r>
      <w:r w:rsidR="00E974B2">
        <w:rPr>
          <w:b/>
          <w:bCs/>
          <w:lang w:val="en-US"/>
        </w:rPr>
        <w:instrText>Alexander</w:instrText>
      </w:r>
      <w:r w:rsidR="00E974B2" w:rsidRPr="006C476A">
        <w:rPr>
          <w:b/>
          <w:bCs/>
        </w:rPr>
        <w:instrText xml:space="preserve"> </w:instrText>
      </w:r>
      <w:r w:rsidR="00E974B2">
        <w:rPr>
          <w:b/>
          <w:bCs/>
          <w:lang w:val="en-US"/>
        </w:rPr>
        <w:instrText>G</w:instrText>
      </w:r>
      <w:r w:rsidR="00E974B2" w:rsidRPr="006C476A">
        <w:rPr>
          <w:b/>
          <w:bCs/>
        </w:rPr>
        <w:instrText>.","</w:instrText>
      </w:r>
      <w:r w:rsidR="00E974B2">
        <w:rPr>
          <w:b/>
          <w:bCs/>
          <w:lang w:val="en-US"/>
        </w:rPr>
        <w:instrText>non</w:instrText>
      </w:r>
      <w:r w:rsidR="00E974B2" w:rsidRPr="006C476A">
        <w:rPr>
          <w:b/>
          <w:bCs/>
        </w:rPr>
        <w:instrText>-</w:instrText>
      </w:r>
      <w:r w:rsidR="00E974B2">
        <w:rPr>
          <w:b/>
          <w:bCs/>
          <w:lang w:val="en-US"/>
        </w:rPr>
        <w:instrText>dropping</w:instrText>
      </w:r>
      <w:r w:rsidR="00E974B2" w:rsidRPr="006C476A">
        <w:rPr>
          <w:b/>
          <w:bCs/>
        </w:rPr>
        <w:instrText>-</w:instrText>
      </w:r>
      <w:r w:rsidR="00E974B2">
        <w:rPr>
          <w:b/>
          <w:bCs/>
          <w:lang w:val="en-US"/>
        </w:rPr>
        <w:instrText>particle</w:instrText>
      </w:r>
      <w:r w:rsidR="00E974B2" w:rsidRPr="006C476A">
        <w:rPr>
          <w:b/>
          <w:bCs/>
        </w:rPr>
        <w:instrText>":"","</w:instrText>
      </w:r>
      <w:r w:rsidR="00E974B2">
        <w:rPr>
          <w:b/>
          <w:bCs/>
          <w:lang w:val="en-US"/>
        </w:rPr>
        <w:instrText>parse</w:instrText>
      </w:r>
      <w:r w:rsidR="00E974B2" w:rsidRPr="006C476A">
        <w:rPr>
          <w:b/>
          <w:bCs/>
        </w:rPr>
        <w:instrText>-</w:instrText>
      </w:r>
      <w:r w:rsidR="00E974B2">
        <w:rPr>
          <w:b/>
          <w:bCs/>
          <w:lang w:val="en-US"/>
        </w:rPr>
        <w:instrText>names</w:instrText>
      </w:r>
      <w:r w:rsidR="00E974B2" w:rsidRPr="006C476A">
        <w:rPr>
          <w:b/>
          <w:bCs/>
        </w:rPr>
        <w:instrText>":</w:instrText>
      </w:r>
      <w:r w:rsidR="00E974B2">
        <w:rPr>
          <w:b/>
          <w:bCs/>
          <w:lang w:val="en-US"/>
        </w:rPr>
        <w:instrText>false</w:instrText>
      </w:r>
      <w:r w:rsidR="00E974B2" w:rsidRPr="006C476A">
        <w:rPr>
          <w:b/>
          <w:bCs/>
        </w:rPr>
        <w:instrText>,"</w:instrText>
      </w:r>
      <w:r w:rsidR="00E974B2">
        <w:rPr>
          <w:b/>
          <w:bCs/>
          <w:lang w:val="en-US"/>
        </w:rPr>
        <w:instrText>suffix</w:instrText>
      </w:r>
      <w:r w:rsidR="00E974B2" w:rsidRPr="006C476A">
        <w:rPr>
          <w:b/>
          <w:bCs/>
        </w:rPr>
        <w:instrText>":""}],"</w:instrText>
      </w:r>
      <w:r w:rsidR="00E974B2">
        <w:rPr>
          <w:b/>
          <w:bCs/>
          <w:lang w:val="en-US"/>
        </w:rPr>
        <w:instrText>container</w:instrText>
      </w:r>
      <w:r w:rsidR="00E974B2" w:rsidRPr="006C476A">
        <w:rPr>
          <w:b/>
          <w:bCs/>
        </w:rPr>
        <w:instrText>-</w:instrText>
      </w:r>
      <w:r w:rsidR="00E974B2">
        <w:rPr>
          <w:b/>
          <w:bCs/>
          <w:lang w:val="en-US"/>
        </w:rPr>
        <w:instrText>title</w:instrText>
      </w:r>
      <w:r w:rsidR="00E974B2" w:rsidRPr="006C476A">
        <w:rPr>
          <w:b/>
          <w:bCs/>
        </w:rPr>
        <w:instrText>":"</w:instrText>
      </w:r>
      <w:r w:rsidR="00E974B2">
        <w:rPr>
          <w:b/>
          <w:bCs/>
          <w:lang w:val="en-US"/>
        </w:rPr>
        <w:instrText>Journal</w:instrText>
      </w:r>
      <w:r w:rsidR="00E974B2" w:rsidRPr="006C476A">
        <w:rPr>
          <w:b/>
          <w:bCs/>
        </w:rPr>
        <w:instrText xml:space="preserve"> </w:instrText>
      </w:r>
      <w:r w:rsidR="00E974B2">
        <w:rPr>
          <w:b/>
          <w:bCs/>
          <w:lang w:val="en-US"/>
        </w:rPr>
        <w:instrText>of</w:instrText>
      </w:r>
      <w:r w:rsidR="00E974B2" w:rsidRPr="006C476A">
        <w:rPr>
          <w:b/>
          <w:bCs/>
        </w:rPr>
        <w:instrText xml:space="preserve"> </w:instrText>
      </w:r>
      <w:r w:rsidR="00E974B2">
        <w:rPr>
          <w:b/>
          <w:bCs/>
          <w:lang w:val="en-US"/>
        </w:rPr>
        <w:instrText>Pediatric</w:instrText>
      </w:r>
      <w:r w:rsidR="00E974B2" w:rsidRPr="006C476A">
        <w:rPr>
          <w:b/>
          <w:bCs/>
        </w:rPr>
        <w:instrText xml:space="preserve"> </w:instrText>
      </w:r>
      <w:r w:rsidR="00E974B2">
        <w:rPr>
          <w:b/>
          <w:bCs/>
          <w:lang w:val="en-US"/>
        </w:rPr>
        <w:instrText>Hematology</w:instrText>
      </w:r>
      <w:r w:rsidR="00E974B2" w:rsidRPr="006C476A">
        <w:rPr>
          <w:b/>
          <w:bCs/>
        </w:rPr>
        <w:instrText>/</w:instrText>
      </w:r>
      <w:r w:rsidR="00E974B2">
        <w:rPr>
          <w:b/>
          <w:bCs/>
          <w:lang w:val="en-US"/>
        </w:rPr>
        <w:instrText>Oncology</w:instrText>
      </w:r>
      <w:r w:rsidR="00E974B2" w:rsidRPr="006C476A">
        <w:rPr>
          <w:b/>
          <w:bCs/>
        </w:rPr>
        <w:instrText>","</w:instrText>
      </w:r>
      <w:r w:rsidR="00E974B2">
        <w:rPr>
          <w:b/>
          <w:bCs/>
          <w:lang w:val="en-US"/>
        </w:rPr>
        <w:instrText>id</w:instrText>
      </w:r>
      <w:r w:rsidR="00E974B2" w:rsidRPr="006C476A">
        <w:rPr>
          <w:b/>
          <w:bCs/>
        </w:rPr>
        <w:instrText>":"</w:instrText>
      </w:r>
      <w:r w:rsidR="00E974B2">
        <w:rPr>
          <w:b/>
          <w:bCs/>
          <w:lang w:val="en-US"/>
        </w:rPr>
        <w:instrText>ITEM</w:instrText>
      </w:r>
      <w:r w:rsidR="00E974B2" w:rsidRPr="006C476A">
        <w:rPr>
          <w:b/>
          <w:bCs/>
        </w:rPr>
        <w:instrText>-2","</w:instrText>
      </w:r>
      <w:r w:rsidR="00E974B2">
        <w:rPr>
          <w:b/>
          <w:bCs/>
          <w:lang w:val="en-US"/>
        </w:rPr>
        <w:instrText>issue</w:instrText>
      </w:r>
      <w:r w:rsidR="00E974B2" w:rsidRPr="006C476A">
        <w:rPr>
          <w:b/>
          <w:bCs/>
        </w:rPr>
        <w:instrText>":"5","</w:instrText>
      </w:r>
      <w:r w:rsidR="00E974B2">
        <w:rPr>
          <w:b/>
          <w:bCs/>
          <w:lang w:val="en-US"/>
        </w:rPr>
        <w:instrText>issued</w:instrText>
      </w:r>
      <w:r w:rsidR="00E974B2" w:rsidRPr="006C476A">
        <w:rPr>
          <w:b/>
          <w:bCs/>
        </w:rPr>
        <w:instrText>":{"</w:instrText>
      </w:r>
      <w:r w:rsidR="00E974B2">
        <w:rPr>
          <w:b/>
          <w:bCs/>
          <w:lang w:val="en-US"/>
        </w:rPr>
        <w:instrText>date</w:instrText>
      </w:r>
      <w:r w:rsidR="00E974B2" w:rsidRPr="006C476A">
        <w:rPr>
          <w:b/>
          <w:bCs/>
        </w:rPr>
        <w:instrText>-</w:instrText>
      </w:r>
      <w:r w:rsidR="00E974B2">
        <w:rPr>
          <w:b/>
          <w:bCs/>
          <w:lang w:val="en-US"/>
        </w:rPr>
        <w:instrText>parts</w:instrText>
      </w:r>
      <w:r w:rsidR="00E974B2" w:rsidRPr="006C476A">
        <w:rPr>
          <w:b/>
          <w:bCs/>
        </w:rPr>
        <w:instrText>":[["2014","7"]]},"</w:instrText>
      </w:r>
      <w:r w:rsidR="00E974B2">
        <w:rPr>
          <w:b/>
          <w:bCs/>
          <w:lang w:val="en-US"/>
        </w:rPr>
        <w:instrText>page</w:instrText>
      </w:r>
      <w:r w:rsidR="00E974B2" w:rsidRPr="006C476A">
        <w:rPr>
          <w:b/>
          <w:bCs/>
        </w:rPr>
        <w:instrText>":"395-401","</w:instrText>
      </w:r>
      <w:r w:rsidR="00E974B2">
        <w:rPr>
          <w:b/>
          <w:bCs/>
          <w:lang w:val="en-US"/>
        </w:rPr>
        <w:instrText>publisher</w:instrText>
      </w:r>
      <w:r w:rsidR="00E974B2" w:rsidRPr="006C476A">
        <w:rPr>
          <w:b/>
          <w:bCs/>
        </w:rPr>
        <w:instrText>":"</w:instrText>
      </w:r>
      <w:r w:rsidR="00E974B2">
        <w:rPr>
          <w:b/>
          <w:bCs/>
          <w:lang w:val="en-US"/>
        </w:rPr>
        <w:instrText>Lippincott</w:instrText>
      </w:r>
      <w:r w:rsidR="00E974B2" w:rsidRPr="006C476A">
        <w:rPr>
          <w:b/>
          <w:bCs/>
        </w:rPr>
        <w:instrText xml:space="preserve"> </w:instrText>
      </w:r>
      <w:r w:rsidR="00E974B2">
        <w:rPr>
          <w:b/>
          <w:bCs/>
          <w:lang w:val="en-US"/>
        </w:rPr>
        <w:instrText>Williams</w:instrText>
      </w:r>
      <w:r w:rsidR="00E974B2" w:rsidRPr="006C476A">
        <w:rPr>
          <w:b/>
          <w:bCs/>
        </w:rPr>
        <w:instrText xml:space="preserve"> </w:instrText>
      </w:r>
      <w:r w:rsidR="00E974B2">
        <w:rPr>
          <w:b/>
          <w:bCs/>
          <w:lang w:val="en-US"/>
        </w:rPr>
        <w:instrText>and</w:instrText>
      </w:r>
      <w:r w:rsidR="00E974B2" w:rsidRPr="006C476A">
        <w:rPr>
          <w:b/>
          <w:bCs/>
        </w:rPr>
        <w:instrText xml:space="preserve"> </w:instrText>
      </w:r>
      <w:r w:rsidR="00E974B2">
        <w:rPr>
          <w:b/>
          <w:bCs/>
          <w:lang w:val="en-US"/>
        </w:rPr>
        <w:instrText>Wilkins</w:instrText>
      </w:r>
      <w:r w:rsidR="00E974B2" w:rsidRPr="006C476A">
        <w:rPr>
          <w:b/>
          <w:bCs/>
        </w:rPr>
        <w:instrText>","</w:instrText>
      </w:r>
      <w:r w:rsidR="00E974B2">
        <w:rPr>
          <w:b/>
          <w:bCs/>
          <w:lang w:val="en-US"/>
        </w:rPr>
        <w:instrText>title</w:instrText>
      </w:r>
      <w:r w:rsidR="00E974B2" w:rsidRPr="006C476A">
        <w:rPr>
          <w:b/>
          <w:bCs/>
        </w:rPr>
        <w:instrText>":"</w:instrText>
      </w:r>
      <w:r w:rsidR="00E974B2">
        <w:rPr>
          <w:b/>
          <w:bCs/>
          <w:lang w:val="en-US"/>
        </w:rPr>
        <w:instrText>Therapy</w:instrText>
      </w:r>
      <w:r w:rsidR="00E974B2" w:rsidRPr="006C476A">
        <w:rPr>
          <w:b/>
          <w:bCs/>
        </w:rPr>
        <w:instrText xml:space="preserve"> </w:instrText>
      </w:r>
      <w:r w:rsidR="00E974B2">
        <w:rPr>
          <w:b/>
          <w:bCs/>
          <w:lang w:val="en-US"/>
        </w:rPr>
        <w:instrText>of</w:instrText>
      </w:r>
      <w:r w:rsidR="00E974B2" w:rsidRPr="006C476A">
        <w:rPr>
          <w:b/>
          <w:bCs/>
        </w:rPr>
        <w:instrText xml:space="preserve"> </w:instrText>
      </w:r>
      <w:r w:rsidR="00E974B2">
        <w:rPr>
          <w:b/>
          <w:bCs/>
          <w:lang w:val="en-US"/>
        </w:rPr>
        <w:instrText>advanced</w:instrText>
      </w:r>
      <w:r w:rsidR="00E974B2" w:rsidRPr="006C476A">
        <w:rPr>
          <w:b/>
          <w:bCs/>
        </w:rPr>
        <w:instrText>-</w:instrText>
      </w:r>
      <w:r w:rsidR="00E974B2">
        <w:rPr>
          <w:b/>
          <w:bCs/>
          <w:lang w:val="en-US"/>
        </w:rPr>
        <w:instrText>stage</w:instrText>
      </w:r>
      <w:r w:rsidR="00E974B2" w:rsidRPr="006C476A">
        <w:rPr>
          <w:b/>
          <w:bCs/>
        </w:rPr>
        <w:instrText xml:space="preserve"> </w:instrText>
      </w:r>
      <w:r w:rsidR="00E974B2">
        <w:rPr>
          <w:b/>
          <w:bCs/>
          <w:lang w:val="en-US"/>
        </w:rPr>
        <w:instrText>mature</w:instrText>
      </w:r>
      <w:r w:rsidR="00E974B2" w:rsidRPr="006C476A">
        <w:rPr>
          <w:b/>
          <w:bCs/>
        </w:rPr>
        <w:instrText xml:space="preserve"> </w:instrText>
      </w:r>
      <w:r w:rsidR="00E974B2">
        <w:rPr>
          <w:b/>
          <w:bCs/>
          <w:lang w:val="en-US"/>
        </w:rPr>
        <w:instrText>b</w:instrText>
      </w:r>
      <w:r w:rsidR="00E974B2" w:rsidRPr="006C476A">
        <w:rPr>
          <w:b/>
          <w:bCs/>
        </w:rPr>
        <w:instrText>-</w:instrText>
      </w:r>
      <w:r w:rsidR="00E974B2">
        <w:rPr>
          <w:b/>
          <w:bCs/>
          <w:lang w:val="en-US"/>
        </w:rPr>
        <w:instrText>cell</w:instrText>
      </w:r>
      <w:r w:rsidR="00E974B2" w:rsidRPr="006C476A">
        <w:rPr>
          <w:b/>
          <w:bCs/>
        </w:rPr>
        <w:instrText xml:space="preserve"> </w:instrText>
      </w:r>
      <w:r w:rsidR="00E974B2">
        <w:rPr>
          <w:b/>
          <w:bCs/>
          <w:lang w:val="en-US"/>
        </w:rPr>
        <w:instrText>lymphoma</w:instrText>
      </w:r>
      <w:r w:rsidR="00E974B2" w:rsidRPr="006C476A">
        <w:rPr>
          <w:b/>
          <w:bCs/>
        </w:rPr>
        <w:instrText xml:space="preserve"> </w:instrText>
      </w:r>
      <w:r w:rsidR="00E974B2">
        <w:rPr>
          <w:b/>
          <w:bCs/>
          <w:lang w:val="en-US"/>
        </w:rPr>
        <w:instrText>and</w:instrText>
      </w:r>
      <w:r w:rsidR="00E974B2" w:rsidRPr="006C476A">
        <w:rPr>
          <w:b/>
          <w:bCs/>
        </w:rPr>
        <w:instrText xml:space="preserve"> </w:instrText>
      </w:r>
      <w:r w:rsidR="00E974B2">
        <w:rPr>
          <w:b/>
          <w:bCs/>
          <w:lang w:val="en-US"/>
        </w:rPr>
        <w:instrText>leukemia</w:instrText>
      </w:r>
      <w:r w:rsidR="00E974B2" w:rsidRPr="006C476A">
        <w:rPr>
          <w:b/>
          <w:bCs/>
        </w:rPr>
        <w:instrText xml:space="preserve"> </w:instrText>
      </w:r>
      <w:r w:rsidR="00E974B2">
        <w:rPr>
          <w:b/>
          <w:bCs/>
          <w:lang w:val="en-US"/>
        </w:rPr>
        <w:instrText>in</w:instrText>
      </w:r>
      <w:r w:rsidR="00E974B2" w:rsidRPr="006C476A">
        <w:rPr>
          <w:b/>
          <w:bCs/>
        </w:rPr>
        <w:instrText xml:space="preserve"> </w:instrText>
      </w:r>
      <w:r w:rsidR="00E974B2">
        <w:rPr>
          <w:b/>
          <w:bCs/>
          <w:lang w:val="en-US"/>
        </w:rPr>
        <w:instrText>children</w:instrText>
      </w:r>
      <w:r w:rsidR="00E974B2" w:rsidRPr="006C476A">
        <w:rPr>
          <w:b/>
          <w:bCs/>
        </w:rPr>
        <w:instrText xml:space="preserve"> </w:instrText>
      </w:r>
      <w:r w:rsidR="00E974B2">
        <w:rPr>
          <w:b/>
          <w:bCs/>
          <w:lang w:val="en-US"/>
        </w:rPr>
        <w:instrText>and</w:instrText>
      </w:r>
      <w:r w:rsidR="00E974B2" w:rsidRPr="006C476A">
        <w:rPr>
          <w:b/>
          <w:bCs/>
        </w:rPr>
        <w:instrText xml:space="preserve"> </w:instrText>
      </w:r>
      <w:r w:rsidR="00E974B2">
        <w:rPr>
          <w:b/>
          <w:bCs/>
          <w:lang w:val="en-US"/>
        </w:rPr>
        <w:instrText>adolescents</w:instrText>
      </w:r>
      <w:r w:rsidR="00E974B2" w:rsidRPr="006C476A">
        <w:rPr>
          <w:b/>
          <w:bCs/>
        </w:rPr>
        <w:instrText xml:space="preserve"> </w:instrText>
      </w:r>
      <w:r w:rsidR="00E974B2">
        <w:rPr>
          <w:b/>
          <w:bCs/>
          <w:lang w:val="en-US"/>
        </w:rPr>
        <w:instrText>with</w:instrText>
      </w:r>
      <w:r w:rsidR="00E974B2" w:rsidRPr="006C476A">
        <w:rPr>
          <w:b/>
          <w:bCs/>
        </w:rPr>
        <w:instrText xml:space="preserve"> </w:instrText>
      </w:r>
      <w:r w:rsidR="00E974B2">
        <w:rPr>
          <w:b/>
          <w:bCs/>
          <w:lang w:val="en-US"/>
        </w:rPr>
        <w:instrText>rituximab</w:instrText>
      </w:r>
      <w:r w:rsidR="00E974B2" w:rsidRPr="006C476A">
        <w:rPr>
          <w:b/>
          <w:bCs/>
        </w:rPr>
        <w:instrText xml:space="preserve"> </w:instrText>
      </w:r>
      <w:r w:rsidR="00E974B2">
        <w:rPr>
          <w:b/>
          <w:bCs/>
          <w:lang w:val="en-US"/>
        </w:rPr>
        <w:instrText>and</w:instrText>
      </w:r>
      <w:r w:rsidR="00E974B2" w:rsidRPr="006C476A">
        <w:rPr>
          <w:b/>
          <w:bCs/>
        </w:rPr>
        <w:instrText xml:space="preserve"> </w:instrText>
      </w:r>
      <w:r w:rsidR="00E974B2">
        <w:rPr>
          <w:b/>
          <w:bCs/>
          <w:lang w:val="en-US"/>
        </w:rPr>
        <w:instrText>reduced</w:instrText>
      </w:r>
      <w:r w:rsidR="00E974B2" w:rsidRPr="006C476A">
        <w:rPr>
          <w:b/>
          <w:bCs/>
        </w:rPr>
        <w:instrText xml:space="preserve"> </w:instrText>
      </w:r>
      <w:r w:rsidR="00E974B2">
        <w:rPr>
          <w:b/>
          <w:bCs/>
          <w:lang w:val="en-US"/>
        </w:rPr>
        <w:instrText>intensity</w:instrText>
      </w:r>
      <w:r w:rsidR="00E974B2" w:rsidRPr="006C476A">
        <w:rPr>
          <w:b/>
          <w:bCs/>
        </w:rPr>
        <w:instrText xml:space="preserve"> </w:instrText>
      </w:r>
      <w:r w:rsidR="00E974B2">
        <w:rPr>
          <w:b/>
          <w:bCs/>
          <w:lang w:val="en-US"/>
        </w:rPr>
        <w:instrText>induction</w:instrText>
      </w:r>
      <w:r w:rsidR="00E974B2" w:rsidRPr="006C476A">
        <w:rPr>
          <w:b/>
          <w:bCs/>
        </w:rPr>
        <w:instrText xml:space="preserve"> </w:instrText>
      </w:r>
      <w:r w:rsidR="00E974B2">
        <w:rPr>
          <w:b/>
          <w:bCs/>
          <w:lang w:val="en-US"/>
        </w:rPr>
        <w:instrText>chemotherapy</w:instrText>
      </w:r>
      <w:r w:rsidR="00E974B2" w:rsidRPr="006C476A">
        <w:rPr>
          <w:b/>
          <w:bCs/>
        </w:rPr>
        <w:instrText xml:space="preserve"> (</w:instrText>
      </w:r>
      <w:r w:rsidR="00E974B2">
        <w:rPr>
          <w:b/>
          <w:bCs/>
          <w:lang w:val="en-US"/>
        </w:rPr>
        <w:instrText>B</w:instrText>
      </w:r>
      <w:r w:rsidR="00E974B2" w:rsidRPr="006C476A">
        <w:rPr>
          <w:b/>
          <w:bCs/>
        </w:rPr>
        <w:instrText>-</w:instrText>
      </w:r>
      <w:r w:rsidR="00E974B2">
        <w:rPr>
          <w:b/>
          <w:bCs/>
          <w:lang w:val="en-US"/>
        </w:rPr>
        <w:instrText>NHL</w:instrText>
      </w:r>
      <w:r w:rsidR="00E974B2" w:rsidRPr="006C476A">
        <w:rPr>
          <w:b/>
          <w:bCs/>
        </w:rPr>
        <w:instrText xml:space="preserve"> 2004</w:instrText>
      </w:r>
      <w:r w:rsidR="00E974B2">
        <w:rPr>
          <w:b/>
          <w:bCs/>
          <w:lang w:val="en-US"/>
        </w:rPr>
        <w:instrText>M</w:instrText>
      </w:r>
      <w:r w:rsidR="00E974B2" w:rsidRPr="006C476A">
        <w:rPr>
          <w:b/>
          <w:bCs/>
        </w:rPr>
        <w:instrText xml:space="preserve"> </w:instrText>
      </w:r>
      <w:r w:rsidR="00E974B2">
        <w:rPr>
          <w:b/>
          <w:bCs/>
          <w:lang w:val="en-US"/>
        </w:rPr>
        <w:instrText>protocol</w:instrText>
      </w:r>
      <w:r w:rsidR="00E974B2" w:rsidRPr="006C476A">
        <w:rPr>
          <w:b/>
          <w:bCs/>
        </w:rPr>
        <w:instrText xml:space="preserve">): </w:instrText>
      </w:r>
      <w:r w:rsidR="00E974B2">
        <w:rPr>
          <w:b/>
          <w:bCs/>
          <w:lang w:val="en-US"/>
        </w:rPr>
        <w:instrText>The</w:instrText>
      </w:r>
      <w:r w:rsidR="00E974B2" w:rsidRPr="006C476A">
        <w:rPr>
          <w:b/>
          <w:bCs/>
        </w:rPr>
        <w:instrText xml:space="preserve"> </w:instrText>
      </w:r>
      <w:r w:rsidR="00E974B2">
        <w:rPr>
          <w:b/>
          <w:bCs/>
          <w:lang w:val="en-US"/>
        </w:rPr>
        <w:instrText>results</w:instrText>
      </w:r>
      <w:r w:rsidR="00E974B2" w:rsidRPr="006C476A">
        <w:rPr>
          <w:b/>
          <w:bCs/>
        </w:rPr>
        <w:instrText xml:space="preserve"> </w:instrText>
      </w:r>
      <w:r w:rsidR="00E974B2">
        <w:rPr>
          <w:b/>
          <w:bCs/>
          <w:lang w:val="en-US"/>
        </w:rPr>
        <w:instrText>of</w:instrText>
      </w:r>
      <w:r w:rsidR="00E974B2" w:rsidRPr="006C476A">
        <w:rPr>
          <w:b/>
          <w:bCs/>
        </w:rPr>
        <w:instrText xml:space="preserve"> </w:instrText>
      </w:r>
      <w:r w:rsidR="00E974B2">
        <w:rPr>
          <w:b/>
          <w:bCs/>
          <w:lang w:val="en-US"/>
        </w:rPr>
        <w:instrText>a</w:instrText>
      </w:r>
      <w:r w:rsidR="00E974B2" w:rsidRPr="006C476A">
        <w:rPr>
          <w:b/>
          <w:bCs/>
        </w:rPr>
        <w:instrText xml:space="preserve"> </w:instrText>
      </w:r>
      <w:r w:rsidR="00E974B2">
        <w:rPr>
          <w:b/>
          <w:bCs/>
          <w:lang w:val="en-US"/>
        </w:rPr>
        <w:instrText>multicenter</w:instrText>
      </w:r>
      <w:r w:rsidR="00E974B2" w:rsidRPr="006C476A">
        <w:rPr>
          <w:b/>
          <w:bCs/>
        </w:rPr>
        <w:instrText xml:space="preserve"> </w:instrText>
      </w:r>
      <w:r w:rsidR="00E974B2">
        <w:rPr>
          <w:b/>
          <w:bCs/>
          <w:lang w:val="en-US"/>
        </w:rPr>
        <w:instrText>study</w:instrText>
      </w:r>
      <w:r w:rsidR="00E974B2" w:rsidRPr="006C476A">
        <w:rPr>
          <w:b/>
          <w:bCs/>
        </w:rPr>
        <w:instrText>","</w:instrText>
      </w:r>
      <w:r w:rsidR="00E974B2">
        <w:rPr>
          <w:b/>
          <w:bCs/>
          <w:lang w:val="en-US"/>
        </w:rPr>
        <w:instrText>type</w:instrText>
      </w:r>
      <w:r w:rsidR="00E974B2" w:rsidRPr="006C476A">
        <w:rPr>
          <w:b/>
          <w:bCs/>
        </w:rPr>
        <w:instrText>":"</w:instrText>
      </w:r>
      <w:r w:rsidR="00E974B2">
        <w:rPr>
          <w:b/>
          <w:bCs/>
          <w:lang w:val="en-US"/>
        </w:rPr>
        <w:instrText>article</w:instrText>
      </w:r>
      <w:r w:rsidR="00E974B2" w:rsidRPr="006C476A">
        <w:rPr>
          <w:b/>
          <w:bCs/>
        </w:rPr>
        <w:instrText>-</w:instrText>
      </w:r>
      <w:r w:rsidR="00E974B2">
        <w:rPr>
          <w:b/>
          <w:bCs/>
          <w:lang w:val="en-US"/>
        </w:rPr>
        <w:instrText>journal</w:instrText>
      </w:r>
      <w:r w:rsidR="00E974B2" w:rsidRPr="006C476A">
        <w:rPr>
          <w:b/>
          <w:bCs/>
        </w:rPr>
        <w:instrText>","</w:instrText>
      </w:r>
      <w:r w:rsidR="00E974B2">
        <w:rPr>
          <w:b/>
          <w:bCs/>
          <w:lang w:val="en-US"/>
        </w:rPr>
        <w:instrText>volume</w:instrText>
      </w:r>
      <w:r w:rsidR="00E974B2" w:rsidRPr="006C476A">
        <w:rPr>
          <w:b/>
          <w:bCs/>
        </w:rPr>
        <w:instrText>":"36"},"</w:instrText>
      </w:r>
      <w:r w:rsidR="00E974B2">
        <w:rPr>
          <w:b/>
          <w:bCs/>
          <w:lang w:val="en-US"/>
        </w:rPr>
        <w:instrText>uris</w:instrText>
      </w:r>
      <w:r w:rsidR="00E974B2" w:rsidRPr="006C476A">
        <w:rPr>
          <w:b/>
          <w:bCs/>
        </w:rPr>
        <w:instrText>":["</w:instrText>
      </w:r>
      <w:r w:rsidR="00E974B2">
        <w:rPr>
          <w:b/>
          <w:bCs/>
          <w:lang w:val="en-US"/>
        </w:rPr>
        <w:instrText>http</w:instrText>
      </w:r>
      <w:r w:rsidR="00E974B2" w:rsidRPr="006C476A">
        <w:rPr>
          <w:b/>
          <w:bCs/>
        </w:rPr>
        <w:instrText>://</w:instrText>
      </w:r>
      <w:r w:rsidR="00E974B2">
        <w:rPr>
          <w:b/>
          <w:bCs/>
          <w:lang w:val="en-US"/>
        </w:rPr>
        <w:instrText>www</w:instrText>
      </w:r>
      <w:r w:rsidR="00E974B2" w:rsidRPr="006C476A">
        <w:rPr>
          <w:b/>
          <w:bCs/>
        </w:rPr>
        <w:instrText>.</w:instrText>
      </w:r>
      <w:r w:rsidR="00E974B2">
        <w:rPr>
          <w:b/>
          <w:bCs/>
          <w:lang w:val="en-US"/>
        </w:rPr>
        <w:instrText>mendeley</w:instrText>
      </w:r>
      <w:r w:rsidR="00E974B2" w:rsidRPr="006C476A">
        <w:rPr>
          <w:b/>
          <w:bCs/>
        </w:rPr>
        <w:instrText>.</w:instrText>
      </w:r>
      <w:r w:rsidR="00E974B2">
        <w:rPr>
          <w:b/>
          <w:bCs/>
          <w:lang w:val="en-US"/>
        </w:rPr>
        <w:instrText>com</w:instrText>
      </w:r>
      <w:r w:rsidR="00E974B2" w:rsidRPr="006C476A">
        <w:rPr>
          <w:b/>
          <w:bCs/>
        </w:rPr>
        <w:instrText>/</w:instrText>
      </w:r>
      <w:r w:rsidR="00E974B2">
        <w:rPr>
          <w:b/>
          <w:bCs/>
          <w:lang w:val="en-US"/>
        </w:rPr>
        <w:instrText>documents</w:instrText>
      </w:r>
      <w:r w:rsidR="00E974B2" w:rsidRPr="006C476A">
        <w:rPr>
          <w:b/>
          <w:bCs/>
        </w:rPr>
        <w:instrText>/?</w:instrText>
      </w:r>
      <w:r w:rsidR="00E974B2">
        <w:rPr>
          <w:b/>
          <w:bCs/>
          <w:lang w:val="en-US"/>
        </w:rPr>
        <w:instrText>uuid</w:instrText>
      </w:r>
      <w:r w:rsidR="00E974B2" w:rsidRPr="006C476A">
        <w:rPr>
          <w:b/>
          <w:bCs/>
        </w:rPr>
        <w:instrText>=90</w:instrText>
      </w:r>
      <w:r w:rsidR="00E974B2">
        <w:rPr>
          <w:b/>
          <w:bCs/>
          <w:lang w:val="en-US"/>
        </w:rPr>
        <w:instrText>ee</w:instrText>
      </w:r>
      <w:r w:rsidR="00E974B2" w:rsidRPr="006C476A">
        <w:rPr>
          <w:b/>
          <w:bCs/>
        </w:rPr>
        <w:instrText>3</w:instrText>
      </w:r>
      <w:r w:rsidR="00E974B2">
        <w:rPr>
          <w:b/>
          <w:bCs/>
          <w:lang w:val="en-US"/>
        </w:rPr>
        <w:instrText>a</w:instrText>
      </w:r>
      <w:r w:rsidR="00E974B2" w:rsidRPr="006C476A">
        <w:rPr>
          <w:b/>
          <w:bCs/>
        </w:rPr>
        <w:instrText>65-</w:instrText>
      </w:r>
      <w:r w:rsidR="00E974B2">
        <w:rPr>
          <w:b/>
          <w:bCs/>
          <w:lang w:val="en-US"/>
        </w:rPr>
        <w:instrText>a</w:instrText>
      </w:r>
      <w:r w:rsidR="00E974B2" w:rsidRPr="006C476A">
        <w:rPr>
          <w:b/>
          <w:bCs/>
        </w:rPr>
        <w:instrText>097-317</w:instrText>
      </w:r>
      <w:r w:rsidR="00E974B2">
        <w:rPr>
          <w:b/>
          <w:bCs/>
          <w:lang w:val="en-US"/>
        </w:rPr>
        <w:instrText>a</w:instrText>
      </w:r>
      <w:r w:rsidR="00E974B2" w:rsidRPr="006C476A">
        <w:rPr>
          <w:b/>
          <w:bCs/>
        </w:rPr>
        <w:instrText>-8</w:instrText>
      </w:r>
      <w:r w:rsidR="00E974B2">
        <w:rPr>
          <w:b/>
          <w:bCs/>
          <w:lang w:val="en-US"/>
        </w:rPr>
        <w:instrText>e</w:instrText>
      </w:r>
      <w:r w:rsidR="00E974B2" w:rsidRPr="006C476A">
        <w:rPr>
          <w:b/>
          <w:bCs/>
        </w:rPr>
        <w:instrText>02-011967</w:instrText>
      </w:r>
      <w:r w:rsidR="00E974B2">
        <w:rPr>
          <w:b/>
          <w:bCs/>
          <w:lang w:val="en-US"/>
        </w:rPr>
        <w:instrText>dfc</w:instrText>
      </w:r>
      <w:r w:rsidR="00E974B2" w:rsidRPr="006C476A">
        <w:rPr>
          <w:b/>
          <w:bCs/>
        </w:rPr>
        <w:instrText>794"]}],"</w:instrText>
      </w:r>
      <w:r w:rsidR="00E974B2">
        <w:rPr>
          <w:b/>
          <w:bCs/>
          <w:lang w:val="en-US"/>
        </w:rPr>
        <w:instrText>mendeley</w:instrText>
      </w:r>
      <w:r w:rsidR="00E974B2" w:rsidRPr="006C476A">
        <w:rPr>
          <w:b/>
          <w:bCs/>
        </w:rPr>
        <w:instrText>":{"</w:instrText>
      </w:r>
      <w:r w:rsidR="00E974B2">
        <w:rPr>
          <w:b/>
          <w:bCs/>
          <w:lang w:val="en-US"/>
        </w:rPr>
        <w:instrText>formattedCitation</w:instrText>
      </w:r>
      <w:r w:rsidR="00E974B2" w:rsidRPr="006C476A">
        <w:rPr>
          <w:b/>
          <w:bCs/>
        </w:rPr>
        <w:instrText>":"[84,188]","</w:instrText>
      </w:r>
      <w:r w:rsidR="00E974B2">
        <w:rPr>
          <w:b/>
          <w:bCs/>
          <w:lang w:val="en-US"/>
        </w:rPr>
        <w:instrText>plainTextFormattedCitation</w:instrText>
      </w:r>
      <w:r w:rsidR="00E974B2" w:rsidRPr="006C476A">
        <w:rPr>
          <w:b/>
          <w:bCs/>
        </w:rPr>
        <w:instrText>":"[84,188]","</w:instrText>
      </w:r>
      <w:r w:rsidR="00E974B2">
        <w:rPr>
          <w:b/>
          <w:bCs/>
          <w:lang w:val="en-US"/>
        </w:rPr>
        <w:instrText>previouslyFormattedCitation</w:instrText>
      </w:r>
      <w:r w:rsidR="00E974B2" w:rsidRPr="006C476A">
        <w:rPr>
          <w:b/>
          <w:bCs/>
        </w:rPr>
        <w:instrText>":"[84,188]"},"</w:instrText>
      </w:r>
      <w:r w:rsidR="00E974B2">
        <w:rPr>
          <w:b/>
          <w:bCs/>
          <w:lang w:val="en-US"/>
        </w:rPr>
        <w:instrText>properties</w:instrText>
      </w:r>
      <w:r w:rsidR="00E974B2" w:rsidRPr="006C476A">
        <w:rPr>
          <w:b/>
          <w:bCs/>
        </w:rPr>
        <w:instrText>":{"</w:instrText>
      </w:r>
      <w:r w:rsidR="00E974B2">
        <w:rPr>
          <w:b/>
          <w:bCs/>
          <w:lang w:val="en-US"/>
        </w:rPr>
        <w:instrText>noteIndex</w:instrText>
      </w:r>
      <w:r w:rsidR="00E974B2" w:rsidRPr="006C476A">
        <w:rPr>
          <w:b/>
          <w:bCs/>
        </w:rPr>
        <w:instrText>":0},"</w:instrText>
      </w:r>
      <w:r w:rsidR="00E974B2">
        <w:rPr>
          <w:b/>
          <w:bCs/>
          <w:lang w:val="en-US"/>
        </w:rPr>
        <w:instrText>schema</w:instrText>
      </w:r>
      <w:r w:rsidR="00E974B2" w:rsidRPr="006C476A">
        <w:rPr>
          <w:b/>
          <w:bCs/>
        </w:rPr>
        <w:instrText>":"</w:instrText>
      </w:r>
      <w:r w:rsidR="00E974B2">
        <w:rPr>
          <w:b/>
          <w:bCs/>
          <w:lang w:val="en-US"/>
        </w:rPr>
        <w:instrText>https</w:instrText>
      </w:r>
      <w:r w:rsidR="00E974B2" w:rsidRPr="006C476A">
        <w:rPr>
          <w:b/>
          <w:bCs/>
        </w:rPr>
        <w:instrText>://</w:instrText>
      </w:r>
      <w:r w:rsidR="00E974B2">
        <w:rPr>
          <w:b/>
          <w:bCs/>
          <w:lang w:val="en-US"/>
        </w:rPr>
        <w:instrText>github</w:instrText>
      </w:r>
      <w:r w:rsidR="00E974B2" w:rsidRPr="006C476A">
        <w:rPr>
          <w:b/>
          <w:bCs/>
        </w:rPr>
        <w:instrText>.</w:instrText>
      </w:r>
      <w:r w:rsidR="00E974B2">
        <w:rPr>
          <w:b/>
          <w:bCs/>
          <w:lang w:val="en-US"/>
        </w:rPr>
        <w:instrText>com</w:instrText>
      </w:r>
      <w:r w:rsidR="00E974B2" w:rsidRPr="006C476A">
        <w:rPr>
          <w:b/>
          <w:bCs/>
        </w:rPr>
        <w:instrText>/</w:instrText>
      </w:r>
      <w:r w:rsidR="00E974B2">
        <w:rPr>
          <w:b/>
          <w:bCs/>
          <w:lang w:val="en-US"/>
        </w:rPr>
        <w:instrText>citation</w:instrText>
      </w:r>
      <w:r w:rsidR="00E974B2" w:rsidRPr="006C476A">
        <w:rPr>
          <w:b/>
          <w:bCs/>
        </w:rPr>
        <w:instrText>-</w:instrText>
      </w:r>
      <w:r w:rsidR="00E974B2">
        <w:rPr>
          <w:b/>
          <w:bCs/>
          <w:lang w:val="en-US"/>
        </w:rPr>
        <w:instrText>style</w:instrText>
      </w:r>
      <w:r w:rsidR="00E974B2" w:rsidRPr="006C476A">
        <w:rPr>
          <w:b/>
          <w:bCs/>
        </w:rPr>
        <w:instrText>-</w:instrText>
      </w:r>
      <w:r w:rsidR="00E974B2">
        <w:rPr>
          <w:b/>
          <w:bCs/>
          <w:lang w:val="en-US"/>
        </w:rPr>
        <w:instrText>language</w:instrText>
      </w:r>
      <w:r w:rsidR="00E974B2" w:rsidRPr="006C476A">
        <w:rPr>
          <w:b/>
          <w:bCs/>
        </w:rPr>
        <w:instrText>/</w:instrText>
      </w:r>
      <w:r w:rsidR="00E974B2">
        <w:rPr>
          <w:b/>
          <w:bCs/>
          <w:lang w:val="en-US"/>
        </w:rPr>
        <w:instrText>schema</w:instrText>
      </w:r>
      <w:r w:rsidR="00E974B2" w:rsidRPr="006C476A">
        <w:rPr>
          <w:b/>
          <w:bCs/>
        </w:rPr>
        <w:instrText>/</w:instrText>
      </w:r>
      <w:r w:rsidR="00E974B2">
        <w:rPr>
          <w:b/>
          <w:bCs/>
          <w:lang w:val="en-US"/>
        </w:rPr>
        <w:instrText>raw</w:instrText>
      </w:r>
      <w:r w:rsidR="00E974B2" w:rsidRPr="006C476A">
        <w:rPr>
          <w:b/>
          <w:bCs/>
        </w:rPr>
        <w:instrText>/</w:instrText>
      </w:r>
      <w:r w:rsidR="00E974B2">
        <w:rPr>
          <w:b/>
          <w:bCs/>
          <w:lang w:val="en-US"/>
        </w:rPr>
        <w:instrText>master</w:instrText>
      </w:r>
      <w:r w:rsidR="00E974B2" w:rsidRPr="006C476A">
        <w:rPr>
          <w:b/>
          <w:bCs/>
        </w:rPr>
        <w:instrText>/</w:instrText>
      </w:r>
      <w:r w:rsidR="00E974B2">
        <w:rPr>
          <w:b/>
          <w:bCs/>
          <w:lang w:val="en-US"/>
        </w:rPr>
        <w:instrText>csl</w:instrText>
      </w:r>
      <w:r w:rsidR="00E974B2" w:rsidRPr="006C476A">
        <w:rPr>
          <w:b/>
          <w:bCs/>
        </w:rPr>
        <w:instrText>-</w:instrText>
      </w:r>
      <w:r w:rsidR="00E974B2">
        <w:rPr>
          <w:b/>
          <w:bCs/>
          <w:lang w:val="en-US"/>
        </w:rPr>
        <w:instrText>citation</w:instrText>
      </w:r>
      <w:r w:rsidR="00E974B2" w:rsidRPr="006C476A">
        <w:rPr>
          <w:b/>
          <w:bCs/>
        </w:rPr>
        <w:instrText>.</w:instrText>
      </w:r>
      <w:r w:rsidR="00E974B2">
        <w:rPr>
          <w:b/>
          <w:bCs/>
          <w:lang w:val="en-US"/>
        </w:rPr>
        <w:instrText>json</w:instrText>
      </w:r>
      <w:r w:rsidR="00E974B2" w:rsidRPr="006C476A">
        <w:rPr>
          <w:b/>
          <w:bCs/>
        </w:rPr>
        <w:instrText>"}</w:instrText>
      </w:r>
      <w:r w:rsidRPr="000322E4">
        <w:rPr>
          <w:b/>
          <w:bCs/>
          <w:lang w:val="en-US"/>
        </w:rPr>
        <w:fldChar w:fldCharType="separate"/>
      </w:r>
      <w:r w:rsidR="004C51FF" w:rsidRPr="004C51FF">
        <w:rPr>
          <w:bCs/>
          <w:noProof/>
        </w:rPr>
        <w:t>[84,188]</w:t>
      </w:r>
      <w:r w:rsidRPr="000322E4">
        <w:rPr>
          <w:b/>
          <w:bCs/>
          <w:lang w:val="en-US"/>
        </w:rPr>
        <w:fldChar w:fldCharType="end"/>
      </w:r>
    </w:p>
    <w:p w14:paraId="0ACEEBF3" w14:textId="77777777" w:rsidR="00666D68" w:rsidRPr="000322E4" w:rsidRDefault="00666D68" w:rsidP="008E3584">
      <w:pPr>
        <w:contextualSpacing/>
        <w:rPr>
          <w:bCs/>
        </w:rPr>
      </w:pPr>
      <w:r w:rsidRPr="000322E4">
        <w:rPr>
          <w:bCs/>
          <w:noProof/>
        </w:rPr>
        <w:drawing>
          <wp:inline distT="0" distB="0" distL="0" distR="0" wp14:anchorId="22EF560D" wp14:editId="52C4E82B">
            <wp:extent cx="5581015" cy="2078355"/>
            <wp:effectExtent l="0" t="0" r="0" b="4445"/>
            <wp:docPr id="29" name="Рисунок 29" descr="Изображение выглядит как клавиату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Снимок экрана 2020-03-25 в 15.30.32.png"/>
                    <pic:cNvPicPr/>
                  </pic:nvPicPr>
                  <pic:blipFill>
                    <a:blip r:embed="rId11"/>
                    <a:stretch>
                      <a:fillRect/>
                    </a:stretch>
                  </pic:blipFill>
                  <pic:spPr>
                    <a:xfrm>
                      <a:off x="0" y="0"/>
                      <a:ext cx="5581015" cy="2078355"/>
                    </a:xfrm>
                    <a:prstGeom prst="rect">
                      <a:avLst/>
                    </a:prstGeom>
                  </pic:spPr>
                </pic:pic>
              </a:graphicData>
            </a:graphic>
          </wp:inline>
        </w:drawing>
      </w:r>
    </w:p>
    <w:p w14:paraId="3F3E8C57" w14:textId="77777777" w:rsidR="00666D68" w:rsidRPr="000322E4" w:rsidRDefault="00666D68" w:rsidP="008E3584">
      <w:pPr>
        <w:contextualSpacing/>
        <w:rPr>
          <w:bCs/>
        </w:rPr>
      </w:pPr>
      <w:r w:rsidRPr="000322E4">
        <w:rPr>
          <w:bCs/>
          <w:lang w:val="en-US"/>
        </w:rPr>
        <w:t>RG</w:t>
      </w:r>
      <w:r w:rsidRPr="000322E4">
        <w:rPr>
          <w:bCs/>
        </w:rPr>
        <w:t xml:space="preserve"> – группа риска (см. раздел 7.5), </w:t>
      </w:r>
      <w:r w:rsidRPr="000322E4">
        <w:rPr>
          <w:bCs/>
          <w:lang w:val="en-US"/>
        </w:rPr>
        <w:t>Cred</w:t>
      </w:r>
      <w:r w:rsidRPr="000322E4">
        <w:rPr>
          <w:bCs/>
        </w:rPr>
        <w:t xml:space="preserve"> – циторедукция, </w:t>
      </w:r>
      <w:r w:rsidRPr="000322E4">
        <w:rPr>
          <w:bCs/>
          <w:lang w:val="en-US"/>
        </w:rPr>
        <w:t>r</w:t>
      </w:r>
      <w:r w:rsidRPr="000322E4">
        <w:rPr>
          <w:bCs/>
        </w:rPr>
        <w:t xml:space="preserve"> – ритуксимаб, </w:t>
      </w:r>
      <w:r w:rsidRPr="000322E4">
        <w:rPr>
          <w:bCs/>
          <w:lang w:val="en-US"/>
        </w:rPr>
        <w:t>RT</w:t>
      </w:r>
      <w:r w:rsidRPr="000322E4">
        <w:rPr>
          <w:bCs/>
        </w:rPr>
        <w:t xml:space="preserve"> – остаточная опухолевая масса (подтвержденная ПЭТ/КТ и/или биопсией), </w:t>
      </w:r>
      <w:r w:rsidRPr="000322E4">
        <w:rPr>
          <w:bCs/>
          <w:lang w:val="en-US"/>
        </w:rPr>
        <w:t>noRT</w:t>
      </w:r>
      <w:r w:rsidRPr="000322E4">
        <w:rPr>
          <w:bCs/>
        </w:rPr>
        <w:t xml:space="preserve"> – отсутствие остаточной опухолевой массы, </w:t>
      </w:r>
      <w:r w:rsidRPr="000322E4">
        <w:rPr>
          <w:bCs/>
          <w:lang w:val="en-US"/>
        </w:rPr>
        <w:t>SCT</w:t>
      </w:r>
      <w:r w:rsidRPr="000322E4">
        <w:rPr>
          <w:bCs/>
        </w:rPr>
        <w:t xml:space="preserve"> – трансплантация аутологичных гемопоэтических стволовых клеток</w:t>
      </w:r>
    </w:p>
    <w:p w14:paraId="5D9AAEE2" w14:textId="77777777" w:rsidR="00666D68" w:rsidRPr="000322E4" w:rsidRDefault="00666D68" w:rsidP="008E3584">
      <w:pPr>
        <w:contextualSpacing/>
        <w:rPr>
          <w:b/>
          <w:bCs/>
          <w:u w:val="single"/>
        </w:rPr>
      </w:pPr>
    </w:p>
    <w:tbl>
      <w:tblPr>
        <w:tblStyle w:val="aff9"/>
        <w:tblW w:w="6516" w:type="dxa"/>
        <w:tblLook w:val="04A0" w:firstRow="1" w:lastRow="0" w:firstColumn="1" w:lastColumn="0" w:noHBand="0" w:noVBand="1"/>
      </w:tblPr>
      <w:tblGrid>
        <w:gridCol w:w="6516"/>
      </w:tblGrid>
      <w:tr w:rsidR="00666D68" w:rsidRPr="000322E4" w14:paraId="70F09D8B" w14:textId="77777777" w:rsidTr="00CA64E2">
        <w:tc>
          <w:tcPr>
            <w:tcW w:w="6516" w:type="dxa"/>
          </w:tcPr>
          <w:p w14:paraId="123406AC" w14:textId="77777777" w:rsidR="00666D68" w:rsidRPr="000322E4" w:rsidRDefault="00666D68" w:rsidP="008E3584">
            <w:pPr>
              <w:contextualSpacing/>
              <w:rPr>
                <w:b/>
              </w:rPr>
            </w:pPr>
            <w:r w:rsidRPr="000322E4">
              <w:rPr>
                <w:b/>
              </w:rPr>
              <w:t>Циторедукция</w:t>
            </w:r>
          </w:p>
        </w:tc>
      </w:tr>
      <w:tr w:rsidR="00666D68" w:rsidRPr="000322E4" w14:paraId="0712E24A" w14:textId="77777777" w:rsidTr="00CA64E2">
        <w:trPr>
          <w:trHeight w:val="838"/>
        </w:trPr>
        <w:tc>
          <w:tcPr>
            <w:tcW w:w="6516" w:type="dxa"/>
          </w:tcPr>
          <w:p w14:paraId="59D8CC04" w14:textId="77777777" w:rsidR="00666D68" w:rsidRPr="000322E4" w:rsidRDefault="00666D68" w:rsidP="008E3584">
            <w:pPr>
              <w:contextualSpacing/>
            </w:pPr>
            <w:r w:rsidRPr="000322E4">
              <w:t>Дексаметозон** внутрь 10 мг/м</w:t>
            </w:r>
            <w:r w:rsidRPr="000322E4">
              <w:rPr>
                <w:vertAlign w:val="superscript"/>
              </w:rPr>
              <w:t xml:space="preserve">2  </w:t>
            </w:r>
            <w:r w:rsidRPr="000322E4">
              <w:t>1-5 дни</w:t>
            </w:r>
          </w:p>
          <w:p w14:paraId="6D178C4B" w14:textId="77777777" w:rsidR="00666D68" w:rsidRPr="000322E4" w:rsidRDefault="00666D68" w:rsidP="008E3584">
            <w:pPr>
              <w:contextualSpacing/>
            </w:pPr>
            <w:r w:rsidRPr="000322E4">
              <w:t>Циклофосфамид** в/в 1 ч 200 мг/м</w:t>
            </w:r>
            <w:r w:rsidRPr="000322E4">
              <w:rPr>
                <w:vertAlign w:val="superscript"/>
              </w:rPr>
              <w:t>2</w:t>
            </w:r>
            <w:r w:rsidRPr="000322E4">
              <w:t xml:space="preserve"> 1, 2 дни</w:t>
            </w:r>
          </w:p>
          <w:p w14:paraId="3B6E0717" w14:textId="77777777" w:rsidR="00666D68" w:rsidRPr="000322E4" w:rsidRDefault="00666D68" w:rsidP="008E3584">
            <w:pPr>
              <w:contextualSpacing/>
            </w:pPr>
            <w:r w:rsidRPr="000322E4">
              <w:rPr>
                <w:lang w:val="en-US"/>
              </w:rPr>
              <w:t>Mtx</w:t>
            </w:r>
            <w:r w:rsidRPr="000322E4">
              <w:t>/</w:t>
            </w:r>
            <w:r w:rsidRPr="000322E4">
              <w:rPr>
                <w:lang w:val="en-US"/>
              </w:rPr>
              <w:t>AraC</w:t>
            </w:r>
            <w:r w:rsidRPr="000322E4">
              <w:t>/</w:t>
            </w:r>
            <w:r w:rsidRPr="000322E4">
              <w:rPr>
                <w:lang w:val="en-US"/>
              </w:rPr>
              <w:t>Pred</w:t>
            </w:r>
            <w:r w:rsidRPr="000322E4">
              <w:rPr>
                <w:vertAlign w:val="superscript"/>
              </w:rPr>
              <w:t>†</w:t>
            </w:r>
            <w:r w:rsidRPr="000322E4">
              <w:t xml:space="preserve"> э/л в возрастных дозах</w:t>
            </w:r>
          </w:p>
        </w:tc>
      </w:tr>
    </w:tbl>
    <w:p w14:paraId="7A7FD7B1" w14:textId="77777777" w:rsidR="00666D68" w:rsidRPr="000322E4" w:rsidRDefault="00666D68" w:rsidP="008E3584">
      <w:pPr>
        <w:contextualSpacing/>
        <w:rPr>
          <w:bCs/>
        </w:rPr>
      </w:pPr>
    </w:p>
    <w:tbl>
      <w:tblPr>
        <w:tblStyle w:val="aff9"/>
        <w:tblW w:w="6516" w:type="dxa"/>
        <w:tblLook w:val="04A0" w:firstRow="1" w:lastRow="0" w:firstColumn="1" w:lastColumn="0" w:noHBand="0" w:noVBand="1"/>
      </w:tblPr>
      <w:tblGrid>
        <w:gridCol w:w="6516"/>
      </w:tblGrid>
      <w:tr w:rsidR="00666D68" w:rsidRPr="000322E4" w14:paraId="4FFEDDA9" w14:textId="77777777" w:rsidTr="00CA64E2">
        <w:tc>
          <w:tcPr>
            <w:tcW w:w="6516" w:type="dxa"/>
          </w:tcPr>
          <w:p w14:paraId="1582A4F4" w14:textId="77777777" w:rsidR="00666D68" w:rsidRPr="000322E4" w:rsidRDefault="00666D68" w:rsidP="008E3584">
            <w:pPr>
              <w:contextualSpacing/>
              <w:rPr>
                <w:b/>
              </w:rPr>
            </w:pPr>
            <w:r w:rsidRPr="000322E4">
              <w:rPr>
                <w:b/>
              </w:rPr>
              <w:lastRenderedPageBreak/>
              <w:t>Ритуксимаб**</w:t>
            </w:r>
          </w:p>
        </w:tc>
      </w:tr>
      <w:tr w:rsidR="00666D68" w:rsidRPr="000322E4" w14:paraId="7F36FE56" w14:textId="77777777" w:rsidTr="00CA64E2">
        <w:trPr>
          <w:trHeight w:val="838"/>
        </w:trPr>
        <w:tc>
          <w:tcPr>
            <w:tcW w:w="6516" w:type="dxa"/>
          </w:tcPr>
          <w:p w14:paraId="7F8A7EFF" w14:textId="77777777" w:rsidR="00666D68" w:rsidRPr="000322E4" w:rsidRDefault="00666D68" w:rsidP="008E3584">
            <w:pPr>
              <w:contextualSpacing/>
              <w:rPr>
                <w:bCs/>
              </w:rPr>
            </w:pPr>
            <w:r w:rsidRPr="000322E4">
              <w:t xml:space="preserve">Ритуксимаб 375 </w:t>
            </w:r>
            <w:r w:rsidRPr="000322E4">
              <w:rPr>
                <w:bCs/>
              </w:rPr>
              <w:t>мг/м</w:t>
            </w:r>
            <w:r w:rsidRPr="000322E4">
              <w:rPr>
                <w:bCs/>
                <w:vertAlign w:val="superscript"/>
              </w:rPr>
              <w:t>2</w:t>
            </w:r>
            <w:r w:rsidRPr="000322E4">
              <w:rPr>
                <w:bCs/>
              </w:rPr>
              <w:t xml:space="preserve"> в/в </w:t>
            </w:r>
            <w:r w:rsidRPr="000322E4">
              <w:t xml:space="preserve">в течение 4 часов: 1 введение за 24 часа до блока </w:t>
            </w:r>
            <w:r w:rsidRPr="000322E4">
              <w:rPr>
                <w:lang w:val="en-US"/>
              </w:rPr>
              <w:t>A</w:t>
            </w:r>
            <w:r w:rsidRPr="000322E4">
              <w:t xml:space="preserve">0 или </w:t>
            </w:r>
            <w:r w:rsidRPr="000322E4">
              <w:rPr>
                <w:lang w:val="en-US"/>
              </w:rPr>
              <w:t>A</w:t>
            </w:r>
            <w:r w:rsidRPr="000322E4">
              <w:t xml:space="preserve">1, далее – каждые 2 недели, независимо от проводимой цитостатической терапии – 2 введения для групп </w:t>
            </w:r>
            <w:r w:rsidRPr="000322E4">
              <w:rPr>
                <w:lang w:val="en-US"/>
              </w:rPr>
              <w:t>RG</w:t>
            </w:r>
            <w:r w:rsidRPr="000322E4">
              <w:t xml:space="preserve">1 и </w:t>
            </w:r>
            <w:r w:rsidRPr="000322E4">
              <w:rPr>
                <w:lang w:val="en-US"/>
              </w:rPr>
              <w:t>RG</w:t>
            </w:r>
            <w:r w:rsidRPr="000322E4">
              <w:t xml:space="preserve">2, четыре введения для групп </w:t>
            </w:r>
            <w:r w:rsidRPr="000322E4">
              <w:rPr>
                <w:lang w:val="en-US"/>
              </w:rPr>
              <w:t>RG</w:t>
            </w:r>
            <w:r w:rsidRPr="000322E4">
              <w:t xml:space="preserve">3 и </w:t>
            </w:r>
            <w:r w:rsidRPr="000322E4">
              <w:rPr>
                <w:lang w:val="en-US"/>
              </w:rPr>
              <w:t>RG</w:t>
            </w:r>
            <w:r w:rsidRPr="000322E4">
              <w:t>4</w:t>
            </w:r>
          </w:p>
        </w:tc>
      </w:tr>
    </w:tbl>
    <w:p w14:paraId="7BC81343" w14:textId="77777777" w:rsidR="00666D68" w:rsidRPr="000322E4" w:rsidRDefault="00666D68" w:rsidP="008E3584">
      <w:pPr>
        <w:contextualSpacing/>
        <w:rPr>
          <w:b/>
          <w:u w:val="single"/>
        </w:rPr>
      </w:pPr>
    </w:p>
    <w:tbl>
      <w:tblPr>
        <w:tblStyle w:val="aff9"/>
        <w:tblW w:w="6516" w:type="dxa"/>
        <w:tblLook w:val="04A0" w:firstRow="1" w:lastRow="0" w:firstColumn="1" w:lastColumn="0" w:noHBand="0" w:noVBand="1"/>
      </w:tblPr>
      <w:tblGrid>
        <w:gridCol w:w="6516"/>
      </w:tblGrid>
      <w:tr w:rsidR="00666D68" w:rsidRPr="000322E4" w14:paraId="713CB1B0" w14:textId="77777777" w:rsidTr="00CA64E2">
        <w:tc>
          <w:tcPr>
            <w:tcW w:w="6516" w:type="dxa"/>
          </w:tcPr>
          <w:p w14:paraId="4597F271" w14:textId="77777777" w:rsidR="00666D68" w:rsidRPr="000322E4" w:rsidRDefault="00666D68" w:rsidP="008E3584">
            <w:pPr>
              <w:contextualSpacing/>
              <w:rPr>
                <w:b/>
              </w:rPr>
            </w:pPr>
            <w:r w:rsidRPr="000322E4">
              <w:rPr>
                <w:b/>
                <w:lang w:val="en-US"/>
              </w:rPr>
              <w:t>A</w:t>
            </w:r>
            <w:r w:rsidRPr="000322E4">
              <w:rPr>
                <w:b/>
              </w:rPr>
              <w:t>0</w:t>
            </w:r>
          </w:p>
        </w:tc>
      </w:tr>
      <w:tr w:rsidR="00666D68" w:rsidRPr="000322E4" w14:paraId="08836CC8" w14:textId="77777777" w:rsidTr="00CA64E2">
        <w:tc>
          <w:tcPr>
            <w:tcW w:w="6516" w:type="dxa"/>
          </w:tcPr>
          <w:p w14:paraId="4079A892" w14:textId="77777777" w:rsidR="00666D68" w:rsidRPr="000322E4" w:rsidRDefault="00666D68" w:rsidP="008E3584">
            <w:pPr>
              <w:contextualSpacing/>
            </w:pPr>
            <w:r w:rsidRPr="000322E4">
              <w:t>Дексаметазон** внутрь 10 мг/м</w:t>
            </w:r>
            <w:r w:rsidRPr="000322E4">
              <w:rPr>
                <w:vertAlign w:val="superscript"/>
              </w:rPr>
              <w:t xml:space="preserve">2 </w:t>
            </w:r>
            <w:r w:rsidRPr="000322E4">
              <w:t>1-5 дни</w:t>
            </w:r>
          </w:p>
          <w:p w14:paraId="1644B7CB" w14:textId="77777777" w:rsidR="00666D68" w:rsidRPr="000322E4" w:rsidRDefault="00666D68" w:rsidP="008E3584">
            <w:pPr>
              <w:contextualSpacing/>
            </w:pPr>
            <w:r w:rsidRPr="000322E4">
              <w:t>Ифосфамид** 1 ч в/в 800 мг/м</w:t>
            </w:r>
            <w:r w:rsidRPr="000322E4">
              <w:rPr>
                <w:vertAlign w:val="superscript"/>
              </w:rPr>
              <w:t>2</w:t>
            </w:r>
            <w:r w:rsidRPr="000322E4">
              <w:t xml:space="preserve"> 1-5 дни</w:t>
            </w:r>
          </w:p>
          <w:p w14:paraId="654B968C" w14:textId="77777777" w:rsidR="00666D68" w:rsidRPr="000322E4" w:rsidRDefault="00666D68" w:rsidP="008E3584">
            <w:pPr>
              <w:contextualSpacing/>
            </w:pPr>
            <w:r w:rsidRPr="000322E4">
              <w:t>Винкристин** в/в 1,5 мг/м</w:t>
            </w:r>
            <w:r w:rsidRPr="000322E4">
              <w:rPr>
                <w:vertAlign w:val="superscript"/>
              </w:rPr>
              <w:t>2</w:t>
            </w:r>
            <w:r w:rsidRPr="000322E4">
              <w:t xml:space="preserve"> 1 день</w:t>
            </w:r>
          </w:p>
          <w:p w14:paraId="1FDB74B8" w14:textId="77777777" w:rsidR="00666D68" w:rsidRPr="000322E4" w:rsidRDefault="00666D68" w:rsidP="008E3584">
            <w:pPr>
              <w:contextualSpacing/>
            </w:pPr>
            <w:r w:rsidRPr="000322E4">
              <w:t>Цитарабин** 1 ч в/в 150 мг/м</w:t>
            </w:r>
            <w:r w:rsidRPr="000322E4">
              <w:rPr>
                <w:vertAlign w:val="superscript"/>
              </w:rPr>
              <w:t>2</w:t>
            </w:r>
            <w:r w:rsidRPr="000322E4">
              <w:t xml:space="preserve"> 2 р/д 4, 5 дни</w:t>
            </w:r>
          </w:p>
          <w:p w14:paraId="411973FC" w14:textId="77777777" w:rsidR="00666D68" w:rsidRPr="000322E4" w:rsidRDefault="00666D68" w:rsidP="008E3584">
            <w:pPr>
              <w:contextualSpacing/>
            </w:pPr>
            <w:r w:rsidRPr="000322E4">
              <w:t>Этопозид** 1 ч в/в 100 мг/м</w:t>
            </w:r>
            <w:r w:rsidRPr="000322E4">
              <w:rPr>
                <w:vertAlign w:val="superscript"/>
              </w:rPr>
              <w:t>2</w:t>
            </w:r>
            <w:r w:rsidRPr="000322E4">
              <w:t xml:space="preserve"> 4, 5        </w:t>
            </w:r>
          </w:p>
        </w:tc>
      </w:tr>
      <w:tr w:rsidR="00666D68" w:rsidRPr="000322E4" w14:paraId="19C6C95C" w14:textId="77777777" w:rsidTr="00CA64E2">
        <w:tc>
          <w:tcPr>
            <w:tcW w:w="6516" w:type="dxa"/>
          </w:tcPr>
          <w:p w14:paraId="34F0ED27" w14:textId="77777777" w:rsidR="00666D68" w:rsidRPr="000322E4" w:rsidRDefault="00666D68" w:rsidP="008E3584">
            <w:pPr>
              <w:contextualSpacing/>
            </w:pPr>
            <w:r w:rsidRPr="000322E4">
              <w:rPr>
                <w:lang w:val="en-US"/>
              </w:rPr>
              <w:t>Mtx</w:t>
            </w:r>
            <w:r w:rsidRPr="000322E4">
              <w:t>/</w:t>
            </w:r>
            <w:r w:rsidRPr="000322E4">
              <w:rPr>
                <w:lang w:val="en-US"/>
              </w:rPr>
              <w:t>AraC</w:t>
            </w:r>
            <w:r w:rsidRPr="000322E4">
              <w:t>/</w:t>
            </w:r>
            <w:r w:rsidRPr="000322E4">
              <w:rPr>
                <w:lang w:val="en-US"/>
              </w:rPr>
              <w:t>Pred</w:t>
            </w:r>
            <w:r w:rsidRPr="000322E4">
              <w:rPr>
                <w:vertAlign w:val="superscript"/>
              </w:rPr>
              <w:t>†</w:t>
            </w:r>
            <w:r w:rsidRPr="000322E4">
              <w:t xml:space="preserve"> э/л в возрастных дозах</w:t>
            </w:r>
          </w:p>
        </w:tc>
      </w:tr>
    </w:tbl>
    <w:p w14:paraId="7A27A03E" w14:textId="77777777" w:rsidR="00666D68" w:rsidRPr="000322E4" w:rsidRDefault="00666D68" w:rsidP="008E3584">
      <w:pPr>
        <w:contextualSpacing/>
        <w:rPr>
          <w:bCs/>
        </w:rPr>
      </w:pPr>
    </w:p>
    <w:tbl>
      <w:tblPr>
        <w:tblStyle w:val="aff9"/>
        <w:tblW w:w="6516" w:type="dxa"/>
        <w:tblLook w:val="04A0" w:firstRow="1" w:lastRow="0" w:firstColumn="1" w:lastColumn="0" w:noHBand="0" w:noVBand="1"/>
      </w:tblPr>
      <w:tblGrid>
        <w:gridCol w:w="6516"/>
      </w:tblGrid>
      <w:tr w:rsidR="00666D68" w:rsidRPr="000322E4" w14:paraId="47BFDE41" w14:textId="77777777" w:rsidTr="00CA64E2">
        <w:tc>
          <w:tcPr>
            <w:tcW w:w="6516" w:type="dxa"/>
          </w:tcPr>
          <w:p w14:paraId="5D3B51D9" w14:textId="77777777" w:rsidR="00666D68" w:rsidRPr="000322E4" w:rsidRDefault="00666D68" w:rsidP="008E3584">
            <w:pPr>
              <w:contextualSpacing/>
              <w:rPr>
                <w:b/>
              </w:rPr>
            </w:pPr>
            <w:r w:rsidRPr="000322E4">
              <w:rPr>
                <w:b/>
                <w:lang w:val="en-US"/>
              </w:rPr>
              <w:t>A</w:t>
            </w:r>
            <w:r w:rsidRPr="000322E4">
              <w:rPr>
                <w:b/>
              </w:rPr>
              <w:t>1</w:t>
            </w:r>
          </w:p>
        </w:tc>
      </w:tr>
      <w:tr w:rsidR="00666D68" w:rsidRPr="000322E4" w14:paraId="1E4D9976" w14:textId="77777777" w:rsidTr="00CA64E2">
        <w:tc>
          <w:tcPr>
            <w:tcW w:w="6516" w:type="dxa"/>
          </w:tcPr>
          <w:p w14:paraId="26BE3716" w14:textId="77777777" w:rsidR="00666D68" w:rsidRPr="000322E4" w:rsidRDefault="00666D68" w:rsidP="008E3584">
            <w:pPr>
              <w:contextualSpacing/>
            </w:pPr>
            <w:r w:rsidRPr="000322E4">
              <w:t>Дексаметазон** внутрь 10 мг/м</w:t>
            </w:r>
            <w:r w:rsidRPr="000322E4">
              <w:rPr>
                <w:vertAlign w:val="superscript"/>
              </w:rPr>
              <w:t xml:space="preserve">2 </w:t>
            </w:r>
            <w:r w:rsidRPr="000322E4">
              <w:t xml:space="preserve"> 1-5 дни</w:t>
            </w:r>
          </w:p>
          <w:p w14:paraId="6A5407CE" w14:textId="77777777" w:rsidR="00666D68" w:rsidRPr="000322E4" w:rsidRDefault="00666D68" w:rsidP="008E3584">
            <w:pPr>
              <w:contextualSpacing/>
            </w:pPr>
            <w:r w:rsidRPr="000322E4">
              <w:t>Ифосфамид** 1 ч в/в 800 мг/м</w:t>
            </w:r>
            <w:r w:rsidRPr="000322E4">
              <w:rPr>
                <w:vertAlign w:val="superscript"/>
              </w:rPr>
              <w:t>2</w:t>
            </w:r>
            <w:r w:rsidRPr="000322E4">
              <w:t xml:space="preserve"> 1-5 дни</w:t>
            </w:r>
          </w:p>
          <w:p w14:paraId="34BC483F" w14:textId="77777777" w:rsidR="00666D68" w:rsidRPr="000322E4" w:rsidRDefault="00666D68" w:rsidP="008E3584">
            <w:pPr>
              <w:contextualSpacing/>
            </w:pPr>
            <w:r w:rsidRPr="000322E4">
              <w:t>Винкристин** в/в 1,5 мг/м</w:t>
            </w:r>
            <w:r w:rsidRPr="000322E4">
              <w:rPr>
                <w:vertAlign w:val="superscript"/>
              </w:rPr>
              <w:t>2</w:t>
            </w:r>
            <w:r w:rsidRPr="000322E4">
              <w:t xml:space="preserve"> 1 день</w:t>
            </w:r>
          </w:p>
          <w:p w14:paraId="362C6DA2" w14:textId="77777777" w:rsidR="00666D68" w:rsidRPr="000322E4" w:rsidRDefault="00666D68" w:rsidP="008E3584">
            <w:pPr>
              <w:contextualSpacing/>
            </w:pPr>
            <w:r w:rsidRPr="000322E4">
              <w:t>Метотрексат** 24 ч. в/в 1 г/м</w:t>
            </w:r>
            <w:r w:rsidRPr="000322E4">
              <w:rPr>
                <w:vertAlign w:val="superscript"/>
              </w:rPr>
              <w:t>2</w:t>
            </w:r>
            <w:r w:rsidRPr="000322E4">
              <w:t xml:space="preserve"> 1 день</w:t>
            </w:r>
          </w:p>
          <w:p w14:paraId="6176A409" w14:textId="77777777" w:rsidR="00666D68" w:rsidRPr="000322E4" w:rsidRDefault="00666D68" w:rsidP="008E3584">
            <w:pPr>
              <w:contextualSpacing/>
            </w:pPr>
            <w:r w:rsidRPr="000322E4">
              <w:t>Кальция фолинат**</w:t>
            </w:r>
            <w:r w:rsidRPr="000322E4">
              <w:rPr>
                <w:vertAlign w:val="superscript"/>
              </w:rPr>
              <w:t>‡</w:t>
            </w:r>
            <w:r w:rsidRPr="000322E4">
              <w:t xml:space="preserve"> в/в 15 мг/м</w:t>
            </w:r>
            <w:r w:rsidRPr="000322E4">
              <w:rPr>
                <w:vertAlign w:val="superscript"/>
              </w:rPr>
              <w:t>2</w:t>
            </w:r>
            <w:r w:rsidRPr="000322E4">
              <w:t xml:space="preserve">  через 42, 48, 54 час от начала инфузии метотрексата**</w:t>
            </w:r>
          </w:p>
          <w:p w14:paraId="1F7FD25A" w14:textId="77777777" w:rsidR="00666D68" w:rsidRPr="000322E4" w:rsidRDefault="00666D68" w:rsidP="008E3584">
            <w:pPr>
              <w:contextualSpacing/>
            </w:pPr>
            <w:r w:rsidRPr="000322E4">
              <w:t>Цитарабин** 1 ч в/в 150 мг/м</w:t>
            </w:r>
            <w:r w:rsidRPr="000322E4">
              <w:rPr>
                <w:vertAlign w:val="superscript"/>
              </w:rPr>
              <w:t>2</w:t>
            </w:r>
            <w:r w:rsidRPr="000322E4">
              <w:t xml:space="preserve"> 2 р/д  4, 5 дни</w:t>
            </w:r>
          </w:p>
          <w:p w14:paraId="05B57B73" w14:textId="77777777" w:rsidR="00666D68" w:rsidRPr="000322E4" w:rsidRDefault="00666D68" w:rsidP="008E3584">
            <w:pPr>
              <w:contextualSpacing/>
            </w:pPr>
            <w:r w:rsidRPr="000322E4">
              <w:t>Этопозид** 1 ч в/в 100 мг/м</w:t>
            </w:r>
            <w:r w:rsidRPr="000322E4">
              <w:rPr>
                <w:vertAlign w:val="superscript"/>
              </w:rPr>
              <w:t>2</w:t>
            </w:r>
            <w:r w:rsidRPr="000322E4">
              <w:t xml:space="preserve"> 4, 5        </w:t>
            </w:r>
          </w:p>
        </w:tc>
      </w:tr>
      <w:tr w:rsidR="00666D68" w:rsidRPr="000322E4" w14:paraId="348051E8" w14:textId="77777777" w:rsidTr="00CA64E2">
        <w:tc>
          <w:tcPr>
            <w:tcW w:w="6516" w:type="dxa"/>
          </w:tcPr>
          <w:p w14:paraId="2204FD90" w14:textId="77777777" w:rsidR="00666D68" w:rsidRPr="000322E4" w:rsidRDefault="00666D68" w:rsidP="008E3584">
            <w:pPr>
              <w:contextualSpacing/>
            </w:pPr>
            <w:r w:rsidRPr="000322E4">
              <w:rPr>
                <w:lang w:val="en-US"/>
              </w:rPr>
              <w:t>Mtx</w:t>
            </w:r>
            <w:r w:rsidRPr="000322E4">
              <w:t>/</w:t>
            </w:r>
            <w:r w:rsidRPr="000322E4">
              <w:rPr>
                <w:lang w:val="en-US"/>
              </w:rPr>
              <w:t>AraC</w:t>
            </w:r>
            <w:r w:rsidRPr="000322E4">
              <w:t>/</w:t>
            </w:r>
            <w:r w:rsidRPr="000322E4">
              <w:rPr>
                <w:lang w:val="en-US"/>
              </w:rPr>
              <w:t>Pred</w:t>
            </w:r>
            <w:r w:rsidRPr="000322E4">
              <w:rPr>
                <w:vertAlign w:val="superscript"/>
              </w:rPr>
              <w:t>†</w:t>
            </w:r>
            <w:r w:rsidRPr="000322E4">
              <w:t xml:space="preserve"> э/л в возрастных дозах</w:t>
            </w:r>
          </w:p>
        </w:tc>
      </w:tr>
    </w:tbl>
    <w:p w14:paraId="39D30DE5" w14:textId="77777777" w:rsidR="00666D68" w:rsidRPr="000322E4" w:rsidRDefault="00666D68" w:rsidP="008E3584">
      <w:pPr>
        <w:contextualSpacing/>
        <w:rPr>
          <w:bCs/>
        </w:rPr>
      </w:pPr>
    </w:p>
    <w:tbl>
      <w:tblPr>
        <w:tblStyle w:val="aff9"/>
        <w:tblW w:w="6516" w:type="dxa"/>
        <w:tblLook w:val="04A0" w:firstRow="1" w:lastRow="0" w:firstColumn="1" w:lastColumn="0" w:noHBand="0" w:noVBand="1"/>
      </w:tblPr>
      <w:tblGrid>
        <w:gridCol w:w="6516"/>
      </w:tblGrid>
      <w:tr w:rsidR="00666D68" w:rsidRPr="000322E4" w14:paraId="630C792B" w14:textId="77777777" w:rsidTr="00CA64E2">
        <w:tc>
          <w:tcPr>
            <w:tcW w:w="6516" w:type="dxa"/>
          </w:tcPr>
          <w:p w14:paraId="70C8D125" w14:textId="77777777" w:rsidR="00666D68" w:rsidRPr="000322E4" w:rsidRDefault="00666D68" w:rsidP="008E3584">
            <w:pPr>
              <w:contextualSpacing/>
              <w:rPr>
                <w:b/>
              </w:rPr>
            </w:pPr>
            <w:r w:rsidRPr="000322E4">
              <w:rPr>
                <w:b/>
                <w:lang w:val="en-US"/>
              </w:rPr>
              <w:t>AA</w:t>
            </w:r>
          </w:p>
        </w:tc>
      </w:tr>
      <w:tr w:rsidR="00666D68" w:rsidRPr="000322E4" w14:paraId="7C811B70" w14:textId="77777777" w:rsidTr="00CA64E2">
        <w:tc>
          <w:tcPr>
            <w:tcW w:w="6516" w:type="dxa"/>
          </w:tcPr>
          <w:p w14:paraId="709142DB" w14:textId="77777777" w:rsidR="00666D68" w:rsidRPr="000322E4" w:rsidRDefault="00666D68" w:rsidP="008E3584">
            <w:pPr>
              <w:contextualSpacing/>
            </w:pPr>
            <w:r w:rsidRPr="000322E4">
              <w:t>Дексаметазон** внутрь 10 мг/м</w:t>
            </w:r>
            <w:r w:rsidRPr="000322E4">
              <w:rPr>
                <w:vertAlign w:val="superscript"/>
              </w:rPr>
              <w:t xml:space="preserve">2 </w:t>
            </w:r>
            <w:r w:rsidRPr="000322E4">
              <w:t xml:space="preserve"> 1-5 дни</w:t>
            </w:r>
          </w:p>
          <w:p w14:paraId="0FBEBC67" w14:textId="77777777" w:rsidR="00666D68" w:rsidRPr="000322E4" w:rsidRDefault="00666D68" w:rsidP="008E3584">
            <w:pPr>
              <w:contextualSpacing/>
            </w:pPr>
            <w:r w:rsidRPr="000322E4">
              <w:t>Ифосфамид** 1 ч в/в 800 мг/м</w:t>
            </w:r>
            <w:r w:rsidRPr="000322E4">
              <w:rPr>
                <w:vertAlign w:val="superscript"/>
              </w:rPr>
              <w:t>2</w:t>
            </w:r>
            <w:r w:rsidRPr="000322E4">
              <w:t xml:space="preserve"> 1-5 дни</w:t>
            </w:r>
          </w:p>
          <w:p w14:paraId="234E842D" w14:textId="77777777" w:rsidR="00666D68" w:rsidRPr="000322E4" w:rsidRDefault="00666D68" w:rsidP="008E3584">
            <w:pPr>
              <w:contextualSpacing/>
            </w:pPr>
            <w:r w:rsidRPr="000322E4">
              <w:t>Винкристин** в/в 1,5 мг/м</w:t>
            </w:r>
            <w:r w:rsidRPr="000322E4">
              <w:rPr>
                <w:vertAlign w:val="superscript"/>
              </w:rPr>
              <w:t>2</w:t>
            </w:r>
            <w:r w:rsidRPr="000322E4">
              <w:t xml:space="preserve"> 1 день</w:t>
            </w:r>
          </w:p>
          <w:p w14:paraId="16317423" w14:textId="77777777" w:rsidR="00666D68" w:rsidRPr="000322E4" w:rsidRDefault="00666D68" w:rsidP="008E3584">
            <w:pPr>
              <w:contextualSpacing/>
            </w:pPr>
            <w:r w:rsidRPr="000322E4">
              <w:t>Метотрексат** 24 ч. в/в 5 г/м</w:t>
            </w:r>
            <w:r w:rsidRPr="000322E4">
              <w:rPr>
                <w:vertAlign w:val="superscript"/>
              </w:rPr>
              <w:t>2</w:t>
            </w:r>
            <w:r w:rsidRPr="000322E4">
              <w:t xml:space="preserve"> 1 день</w:t>
            </w:r>
          </w:p>
          <w:p w14:paraId="024128A1" w14:textId="77777777" w:rsidR="00666D68" w:rsidRPr="000322E4" w:rsidRDefault="00666D68" w:rsidP="008E3584">
            <w:pPr>
              <w:contextualSpacing/>
            </w:pPr>
            <w:r w:rsidRPr="000322E4">
              <w:t>Кальция фолинат**</w:t>
            </w:r>
            <w:r w:rsidRPr="000322E4">
              <w:rPr>
                <w:vertAlign w:val="superscript"/>
              </w:rPr>
              <w:t>‡</w:t>
            </w:r>
            <w:r w:rsidRPr="000322E4">
              <w:t xml:space="preserve"> в/в 15 мг/м</w:t>
            </w:r>
            <w:r w:rsidRPr="000322E4">
              <w:rPr>
                <w:vertAlign w:val="superscript"/>
              </w:rPr>
              <w:t>2</w:t>
            </w:r>
            <w:r w:rsidRPr="000322E4">
              <w:t xml:space="preserve">  через 42, 48, 54 час от начала инфузии метотрексата**</w:t>
            </w:r>
          </w:p>
          <w:p w14:paraId="18C047A9" w14:textId="77777777" w:rsidR="00666D68" w:rsidRPr="000322E4" w:rsidRDefault="00666D68" w:rsidP="008E3584">
            <w:pPr>
              <w:contextualSpacing/>
            </w:pPr>
            <w:r w:rsidRPr="000322E4">
              <w:t>Цитарабин** 1 ч в/в 150 мг/м</w:t>
            </w:r>
            <w:r w:rsidRPr="000322E4">
              <w:rPr>
                <w:vertAlign w:val="superscript"/>
              </w:rPr>
              <w:t>2</w:t>
            </w:r>
            <w:r w:rsidRPr="000322E4">
              <w:t xml:space="preserve"> 2 р/д  4, 5 дни</w:t>
            </w:r>
          </w:p>
          <w:p w14:paraId="2389E774" w14:textId="77777777" w:rsidR="00666D68" w:rsidRPr="000322E4" w:rsidRDefault="00666D68" w:rsidP="008E3584">
            <w:pPr>
              <w:contextualSpacing/>
            </w:pPr>
            <w:r w:rsidRPr="000322E4">
              <w:lastRenderedPageBreak/>
              <w:t>Этопозид** 1 ч в/в 100 мг/м</w:t>
            </w:r>
            <w:r w:rsidRPr="000322E4">
              <w:rPr>
                <w:vertAlign w:val="superscript"/>
              </w:rPr>
              <w:t>2</w:t>
            </w:r>
            <w:r w:rsidRPr="000322E4">
              <w:t xml:space="preserve"> 4, 5        </w:t>
            </w:r>
          </w:p>
        </w:tc>
      </w:tr>
      <w:tr w:rsidR="00666D68" w:rsidRPr="000322E4" w14:paraId="16ECC3CA" w14:textId="77777777" w:rsidTr="00CA64E2">
        <w:tc>
          <w:tcPr>
            <w:tcW w:w="6516" w:type="dxa"/>
          </w:tcPr>
          <w:p w14:paraId="000690C7" w14:textId="77777777" w:rsidR="00666D68" w:rsidRPr="000322E4" w:rsidRDefault="00666D68" w:rsidP="008E3584">
            <w:pPr>
              <w:contextualSpacing/>
            </w:pPr>
            <w:r w:rsidRPr="000322E4">
              <w:rPr>
                <w:lang w:val="en-US"/>
              </w:rPr>
              <w:lastRenderedPageBreak/>
              <w:t>Mtx</w:t>
            </w:r>
            <w:r w:rsidRPr="000322E4">
              <w:t>/</w:t>
            </w:r>
            <w:r w:rsidRPr="000322E4">
              <w:rPr>
                <w:lang w:val="en-US"/>
              </w:rPr>
              <w:t>AraC</w:t>
            </w:r>
            <w:r w:rsidRPr="000322E4">
              <w:t>/</w:t>
            </w:r>
            <w:r w:rsidRPr="000322E4">
              <w:rPr>
                <w:lang w:val="en-US"/>
              </w:rPr>
              <w:t>Pred</w:t>
            </w:r>
            <w:r w:rsidRPr="000322E4">
              <w:rPr>
                <w:vertAlign w:val="superscript"/>
              </w:rPr>
              <w:t>†</w:t>
            </w:r>
            <w:r w:rsidRPr="000322E4">
              <w:t xml:space="preserve"> э/л в возрастных дозах</w:t>
            </w:r>
          </w:p>
        </w:tc>
      </w:tr>
    </w:tbl>
    <w:p w14:paraId="141FD748" w14:textId="77777777" w:rsidR="00666D68" w:rsidRPr="000322E4" w:rsidRDefault="00666D68" w:rsidP="008E3584">
      <w:pPr>
        <w:contextualSpacing/>
        <w:rPr>
          <w:b/>
          <w:u w:val="single"/>
        </w:rPr>
      </w:pPr>
    </w:p>
    <w:tbl>
      <w:tblPr>
        <w:tblStyle w:val="aff9"/>
        <w:tblW w:w="6516" w:type="dxa"/>
        <w:tblLook w:val="04A0" w:firstRow="1" w:lastRow="0" w:firstColumn="1" w:lastColumn="0" w:noHBand="0" w:noVBand="1"/>
      </w:tblPr>
      <w:tblGrid>
        <w:gridCol w:w="6516"/>
      </w:tblGrid>
      <w:tr w:rsidR="00666D68" w:rsidRPr="000322E4" w14:paraId="27AF0037" w14:textId="77777777" w:rsidTr="00CA64E2">
        <w:tc>
          <w:tcPr>
            <w:tcW w:w="6516" w:type="dxa"/>
          </w:tcPr>
          <w:p w14:paraId="24929D73" w14:textId="77777777" w:rsidR="00666D68" w:rsidRPr="000322E4" w:rsidRDefault="00666D68" w:rsidP="008E3584">
            <w:pPr>
              <w:contextualSpacing/>
              <w:rPr>
                <w:b/>
              </w:rPr>
            </w:pPr>
            <w:r w:rsidRPr="000322E4">
              <w:rPr>
                <w:b/>
              </w:rPr>
              <w:t>В1</w:t>
            </w:r>
          </w:p>
        </w:tc>
      </w:tr>
      <w:tr w:rsidR="00666D68" w:rsidRPr="000322E4" w14:paraId="1C70EDB9" w14:textId="77777777" w:rsidTr="00CA64E2">
        <w:tc>
          <w:tcPr>
            <w:tcW w:w="6516" w:type="dxa"/>
          </w:tcPr>
          <w:p w14:paraId="7FA81186" w14:textId="77777777" w:rsidR="00666D68" w:rsidRPr="000322E4" w:rsidRDefault="00666D68" w:rsidP="008E3584">
            <w:pPr>
              <w:contextualSpacing/>
            </w:pPr>
            <w:r w:rsidRPr="000322E4">
              <w:t>Дексаметазон** внутрь 10 мг/м</w:t>
            </w:r>
            <w:r w:rsidRPr="000322E4">
              <w:rPr>
                <w:vertAlign w:val="superscript"/>
              </w:rPr>
              <w:t xml:space="preserve">2 </w:t>
            </w:r>
            <w:r w:rsidRPr="000322E4">
              <w:t>1-5 дни</w:t>
            </w:r>
          </w:p>
          <w:p w14:paraId="6DB52FD2" w14:textId="77777777" w:rsidR="00666D68" w:rsidRPr="000322E4" w:rsidRDefault="00666D68" w:rsidP="008E3584">
            <w:pPr>
              <w:contextualSpacing/>
            </w:pPr>
            <w:r w:rsidRPr="000322E4">
              <w:t>Циклофосфамид** в/в 200 мг/м</w:t>
            </w:r>
            <w:r w:rsidRPr="000322E4">
              <w:rPr>
                <w:vertAlign w:val="superscript"/>
              </w:rPr>
              <w:t xml:space="preserve">2 </w:t>
            </w:r>
            <w:r w:rsidRPr="000322E4">
              <w:t xml:space="preserve">1-5 дни </w:t>
            </w:r>
          </w:p>
          <w:p w14:paraId="5AF88C17" w14:textId="77777777" w:rsidR="00666D68" w:rsidRPr="000322E4" w:rsidRDefault="00666D68" w:rsidP="008E3584">
            <w:pPr>
              <w:contextualSpacing/>
            </w:pPr>
            <w:r w:rsidRPr="000322E4">
              <w:t>Винкристин** в/в 1,5 мг/м</w:t>
            </w:r>
            <w:r w:rsidRPr="000322E4">
              <w:rPr>
                <w:vertAlign w:val="superscript"/>
              </w:rPr>
              <w:t>2</w:t>
            </w:r>
            <w:r w:rsidRPr="000322E4">
              <w:t xml:space="preserve"> 1 день</w:t>
            </w:r>
          </w:p>
          <w:p w14:paraId="0C23317D" w14:textId="77777777" w:rsidR="00666D68" w:rsidRPr="000322E4" w:rsidRDefault="00666D68" w:rsidP="008E3584">
            <w:pPr>
              <w:contextualSpacing/>
            </w:pPr>
            <w:r w:rsidRPr="000322E4">
              <w:t>Метотрексат**  24 ч в/в 1 г/м</w:t>
            </w:r>
            <w:r w:rsidRPr="000322E4">
              <w:rPr>
                <w:vertAlign w:val="superscript"/>
              </w:rPr>
              <w:t>2</w:t>
            </w:r>
            <w:r w:rsidRPr="000322E4">
              <w:t xml:space="preserve"> 1 день</w:t>
            </w:r>
          </w:p>
          <w:p w14:paraId="3D2E47CD" w14:textId="77777777" w:rsidR="00666D68" w:rsidRPr="000322E4" w:rsidRDefault="00666D68" w:rsidP="008E3584">
            <w:pPr>
              <w:contextualSpacing/>
            </w:pPr>
            <w:r w:rsidRPr="000322E4">
              <w:t>Кальция фолинат**</w:t>
            </w:r>
            <w:r w:rsidRPr="000322E4">
              <w:rPr>
                <w:vertAlign w:val="superscript"/>
              </w:rPr>
              <w:t>‡</w:t>
            </w:r>
            <w:r w:rsidRPr="000322E4">
              <w:t xml:space="preserve">  в/в 15 мг/м</w:t>
            </w:r>
            <w:r w:rsidRPr="000322E4">
              <w:rPr>
                <w:vertAlign w:val="superscript"/>
              </w:rPr>
              <w:t>2</w:t>
            </w:r>
            <w:r w:rsidRPr="000322E4">
              <w:t xml:space="preserve"> через 42, 48, 54 час от начала инфузии метотрексата</w:t>
            </w:r>
            <w:r w:rsidRPr="000322E4">
              <w:rPr>
                <w:bCs/>
              </w:rPr>
              <w:t>**</w:t>
            </w:r>
          </w:p>
          <w:p w14:paraId="33855093" w14:textId="77777777" w:rsidR="00666D68" w:rsidRPr="000322E4" w:rsidRDefault="00666D68" w:rsidP="008E3584">
            <w:pPr>
              <w:contextualSpacing/>
            </w:pPr>
            <w:r w:rsidRPr="000322E4">
              <w:t>Доксорубицин** в/в 25 мг/м</w:t>
            </w:r>
            <w:r w:rsidRPr="000322E4">
              <w:rPr>
                <w:vertAlign w:val="superscript"/>
              </w:rPr>
              <w:t xml:space="preserve">2 </w:t>
            </w:r>
            <w:r w:rsidRPr="000322E4">
              <w:t>4, 5 дни</w:t>
            </w:r>
          </w:p>
        </w:tc>
      </w:tr>
      <w:tr w:rsidR="00666D68" w:rsidRPr="000322E4" w14:paraId="00F14BB2" w14:textId="77777777" w:rsidTr="00CA64E2">
        <w:tc>
          <w:tcPr>
            <w:tcW w:w="6516" w:type="dxa"/>
          </w:tcPr>
          <w:p w14:paraId="335C8F46" w14:textId="77777777" w:rsidR="00666D68" w:rsidRPr="000322E4" w:rsidRDefault="00666D68" w:rsidP="008E3584">
            <w:pPr>
              <w:contextualSpacing/>
            </w:pPr>
            <w:r w:rsidRPr="000322E4">
              <w:rPr>
                <w:lang w:val="en-US"/>
              </w:rPr>
              <w:t>Mtx</w:t>
            </w:r>
            <w:r w:rsidRPr="000322E4">
              <w:t>/</w:t>
            </w:r>
            <w:r w:rsidRPr="000322E4">
              <w:rPr>
                <w:lang w:val="en-US"/>
              </w:rPr>
              <w:t>AraC</w:t>
            </w:r>
            <w:r w:rsidRPr="000322E4">
              <w:t>/</w:t>
            </w:r>
            <w:r w:rsidRPr="000322E4">
              <w:rPr>
                <w:lang w:val="en-US"/>
              </w:rPr>
              <w:t>Pred</w:t>
            </w:r>
            <w:r w:rsidRPr="000322E4">
              <w:rPr>
                <w:vertAlign w:val="superscript"/>
              </w:rPr>
              <w:t>†</w:t>
            </w:r>
            <w:r w:rsidRPr="000322E4">
              <w:t xml:space="preserve"> э/л в возрастных дозах</w:t>
            </w:r>
          </w:p>
        </w:tc>
      </w:tr>
    </w:tbl>
    <w:p w14:paraId="43F1A848" w14:textId="77777777" w:rsidR="00666D68" w:rsidRPr="000322E4" w:rsidRDefault="00666D68" w:rsidP="008E3584">
      <w:pPr>
        <w:contextualSpacing/>
      </w:pPr>
    </w:p>
    <w:tbl>
      <w:tblPr>
        <w:tblStyle w:val="aff9"/>
        <w:tblW w:w="6516" w:type="dxa"/>
        <w:tblLook w:val="04A0" w:firstRow="1" w:lastRow="0" w:firstColumn="1" w:lastColumn="0" w:noHBand="0" w:noVBand="1"/>
      </w:tblPr>
      <w:tblGrid>
        <w:gridCol w:w="6516"/>
      </w:tblGrid>
      <w:tr w:rsidR="00666D68" w:rsidRPr="000322E4" w14:paraId="0E729645" w14:textId="77777777" w:rsidTr="00CA64E2">
        <w:tc>
          <w:tcPr>
            <w:tcW w:w="6516" w:type="dxa"/>
          </w:tcPr>
          <w:p w14:paraId="28D1A9FA" w14:textId="77777777" w:rsidR="00666D68" w:rsidRPr="000322E4" w:rsidRDefault="00666D68" w:rsidP="008E3584">
            <w:pPr>
              <w:contextualSpacing/>
              <w:rPr>
                <w:b/>
              </w:rPr>
            </w:pPr>
            <w:r w:rsidRPr="000322E4">
              <w:rPr>
                <w:b/>
              </w:rPr>
              <w:t>В2</w:t>
            </w:r>
          </w:p>
        </w:tc>
      </w:tr>
      <w:tr w:rsidR="00666D68" w:rsidRPr="000322E4" w14:paraId="7A40347C" w14:textId="77777777" w:rsidTr="00CA64E2">
        <w:tc>
          <w:tcPr>
            <w:tcW w:w="6516" w:type="dxa"/>
          </w:tcPr>
          <w:p w14:paraId="5CFB7C41" w14:textId="77777777" w:rsidR="00666D68" w:rsidRPr="000322E4" w:rsidRDefault="00666D68" w:rsidP="008E3584">
            <w:pPr>
              <w:contextualSpacing/>
            </w:pPr>
            <w:r w:rsidRPr="000322E4">
              <w:t>Дексаметазон** внутрь 10 мг/м</w:t>
            </w:r>
            <w:r w:rsidRPr="000322E4">
              <w:rPr>
                <w:vertAlign w:val="superscript"/>
              </w:rPr>
              <w:t xml:space="preserve">2 </w:t>
            </w:r>
            <w:r w:rsidRPr="000322E4">
              <w:t>1-5 дни</w:t>
            </w:r>
          </w:p>
          <w:p w14:paraId="36DAA361" w14:textId="77777777" w:rsidR="00666D68" w:rsidRPr="000322E4" w:rsidRDefault="00666D68" w:rsidP="008E3584">
            <w:pPr>
              <w:contextualSpacing/>
            </w:pPr>
            <w:r w:rsidRPr="000322E4">
              <w:t>Циклофосфамид** в/в 200 мг/м</w:t>
            </w:r>
            <w:r w:rsidRPr="000322E4">
              <w:rPr>
                <w:vertAlign w:val="superscript"/>
              </w:rPr>
              <w:t xml:space="preserve">2 </w:t>
            </w:r>
            <w:r w:rsidRPr="000322E4">
              <w:t xml:space="preserve">1-5 дни </w:t>
            </w:r>
          </w:p>
          <w:p w14:paraId="7CBA8AF0" w14:textId="77777777" w:rsidR="00666D68" w:rsidRPr="000322E4" w:rsidRDefault="00666D68" w:rsidP="008E3584">
            <w:pPr>
              <w:contextualSpacing/>
            </w:pPr>
            <w:r w:rsidRPr="000322E4">
              <w:t>Винкристин** в/в 1,5 мг/м</w:t>
            </w:r>
            <w:r w:rsidRPr="000322E4">
              <w:rPr>
                <w:vertAlign w:val="superscript"/>
              </w:rPr>
              <w:t>2</w:t>
            </w:r>
            <w:r w:rsidRPr="000322E4">
              <w:t xml:space="preserve"> 1 день</w:t>
            </w:r>
          </w:p>
          <w:p w14:paraId="1B711D10" w14:textId="77777777" w:rsidR="00666D68" w:rsidRPr="000322E4" w:rsidRDefault="00666D68" w:rsidP="008E3584">
            <w:pPr>
              <w:contextualSpacing/>
            </w:pPr>
            <w:r w:rsidRPr="000322E4">
              <w:t>Метотрексат**  24 ч в/в 2 г/м</w:t>
            </w:r>
            <w:r w:rsidRPr="000322E4">
              <w:rPr>
                <w:vertAlign w:val="superscript"/>
              </w:rPr>
              <w:t>2</w:t>
            </w:r>
            <w:r w:rsidRPr="000322E4">
              <w:t xml:space="preserve"> 1 день</w:t>
            </w:r>
          </w:p>
          <w:p w14:paraId="5D74BCA9" w14:textId="77777777" w:rsidR="00666D68" w:rsidRPr="000322E4" w:rsidRDefault="00666D68" w:rsidP="008E3584">
            <w:pPr>
              <w:contextualSpacing/>
            </w:pPr>
            <w:r w:rsidRPr="000322E4">
              <w:t>Кальция фолинат**</w:t>
            </w:r>
            <w:r w:rsidRPr="000322E4">
              <w:rPr>
                <w:vertAlign w:val="superscript"/>
              </w:rPr>
              <w:t>‡</w:t>
            </w:r>
            <w:r w:rsidRPr="000322E4">
              <w:t xml:space="preserve">  в/в 15 мг/м</w:t>
            </w:r>
            <w:r w:rsidRPr="000322E4">
              <w:rPr>
                <w:vertAlign w:val="superscript"/>
              </w:rPr>
              <w:t>2</w:t>
            </w:r>
            <w:r w:rsidRPr="000322E4">
              <w:t xml:space="preserve"> через 42, 48, 54 час от начала инфузии метотрексата</w:t>
            </w:r>
            <w:r w:rsidRPr="000322E4">
              <w:rPr>
                <w:bCs/>
              </w:rPr>
              <w:t>**</w:t>
            </w:r>
          </w:p>
          <w:p w14:paraId="62769508" w14:textId="77777777" w:rsidR="00666D68" w:rsidRPr="000322E4" w:rsidRDefault="00666D68" w:rsidP="008E3584">
            <w:pPr>
              <w:contextualSpacing/>
            </w:pPr>
            <w:r w:rsidRPr="000322E4">
              <w:t>Доксорубицин** в/в 25 мг/м</w:t>
            </w:r>
            <w:r w:rsidRPr="000322E4">
              <w:rPr>
                <w:vertAlign w:val="superscript"/>
              </w:rPr>
              <w:t xml:space="preserve">2 </w:t>
            </w:r>
            <w:r w:rsidRPr="000322E4">
              <w:t>4, 5 дни</w:t>
            </w:r>
          </w:p>
        </w:tc>
      </w:tr>
      <w:tr w:rsidR="00666D68" w:rsidRPr="000322E4" w14:paraId="5540B4FF" w14:textId="77777777" w:rsidTr="00CA64E2">
        <w:tc>
          <w:tcPr>
            <w:tcW w:w="6516" w:type="dxa"/>
          </w:tcPr>
          <w:p w14:paraId="0C2A7E6C" w14:textId="77777777" w:rsidR="00666D68" w:rsidRPr="000322E4" w:rsidRDefault="00666D68" w:rsidP="008E3584">
            <w:pPr>
              <w:contextualSpacing/>
            </w:pPr>
            <w:r w:rsidRPr="000322E4">
              <w:rPr>
                <w:lang w:val="en-US"/>
              </w:rPr>
              <w:t>Mtx</w:t>
            </w:r>
            <w:r w:rsidRPr="000322E4">
              <w:t>/</w:t>
            </w:r>
            <w:r w:rsidRPr="000322E4">
              <w:rPr>
                <w:lang w:val="en-US"/>
              </w:rPr>
              <w:t>AraC</w:t>
            </w:r>
            <w:r w:rsidRPr="000322E4">
              <w:t>/</w:t>
            </w:r>
            <w:r w:rsidRPr="000322E4">
              <w:rPr>
                <w:lang w:val="en-US"/>
              </w:rPr>
              <w:t>Pred</w:t>
            </w:r>
            <w:r w:rsidRPr="000322E4">
              <w:rPr>
                <w:vertAlign w:val="superscript"/>
              </w:rPr>
              <w:t>†</w:t>
            </w:r>
            <w:r w:rsidRPr="000322E4">
              <w:t xml:space="preserve"> э/л в возрастных дозах</w:t>
            </w:r>
          </w:p>
        </w:tc>
      </w:tr>
    </w:tbl>
    <w:p w14:paraId="2E6C8A95" w14:textId="77777777" w:rsidR="00666D68" w:rsidRPr="000322E4" w:rsidRDefault="00666D68" w:rsidP="008E3584">
      <w:pPr>
        <w:contextualSpacing/>
      </w:pPr>
    </w:p>
    <w:tbl>
      <w:tblPr>
        <w:tblStyle w:val="aff9"/>
        <w:tblW w:w="6516" w:type="dxa"/>
        <w:tblLook w:val="04A0" w:firstRow="1" w:lastRow="0" w:firstColumn="1" w:lastColumn="0" w:noHBand="0" w:noVBand="1"/>
      </w:tblPr>
      <w:tblGrid>
        <w:gridCol w:w="6516"/>
      </w:tblGrid>
      <w:tr w:rsidR="00666D68" w:rsidRPr="000322E4" w14:paraId="37241869" w14:textId="77777777" w:rsidTr="00CA64E2">
        <w:tc>
          <w:tcPr>
            <w:tcW w:w="6516" w:type="dxa"/>
          </w:tcPr>
          <w:p w14:paraId="150D37D8" w14:textId="77777777" w:rsidR="00666D68" w:rsidRPr="000322E4" w:rsidRDefault="00666D68" w:rsidP="008E3584">
            <w:pPr>
              <w:contextualSpacing/>
              <w:rPr>
                <w:b/>
                <w:lang w:val="en-US"/>
              </w:rPr>
            </w:pPr>
            <w:r w:rsidRPr="000322E4">
              <w:rPr>
                <w:b/>
              </w:rPr>
              <w:t>В</w:t>
            </w:r>
            <w:r w:rsidRPr="000322E4">
              <w:rPr>
                <w:b/>
                <w:lang w:val="en-US"/>
              </w:rPr>
              <w:t>B</w:t>
            </w:r>
          </w:p>
        </w:tc>
      </w:tr>
      <w:tr w:rsidR="00666D68" w:rsidRPr="000322E4" w14:paraId="2483F33B" w14:textId="77777777" w:rsidTr="00CA64E2">
        <w:tc>
          <w:tcPr>
            <w:tcW w:w="6516" w:type="dxa"/>
          </w:tcPr>
          <w:p w14:paraId="7EC93DCC" w14:textId="77777777" w:rsidR="00666D68" w:rsidRPr="000322E4" w:rsidRDefault="00666D68" w:rsidP="008E3584">
            <w:pPr>
              <w:contextualSpacing/>
            </w:pPr>
            <w:r w:rsidRPr="000322E4">
              <w:t>Дексаметазон** внутрь 10 мг/м</w:t>
            </w:r>
            <w:r w:rsidRPr="000322E4">
              <w:rPr>
                <w:vertAlign w:val="superscript"/>
              </w:rPr>
              <w:t xml:space="preserve">2 </w:t>
            </w:r>
            <w:r w:rsidRPr="000322E4">
              <w:t>1-5 дни</w:t>
            </w:r>
          </w:p>
          <w:p w14:paraId="0954AA28" w14:textId="77777777" w:rsidR="00666D68" w:rsidRPr="000322E4" w:rsidRDefault="00666D68" w:rsidP="008E3584">
            <w:pPr>
              <w:contextualSpacing/>
            </w:pPr>
            <w:r w:rsidRPr="000322E4">
              <w:t>Циклофосфамид** в/в 200 мг/м</w:t>
            </w:r>
            <w:r w:rsidRPr="000322E4">
              <w:rPr>
                <w:vertAlign w:val="superscript"/>
              </w:rPr>
              <w:t xml:space="preserve">2 </w:t>
            </w:r>
            <w:r w:rsidRPr="000322E4">
              <w:t xml:space="preserve">1-5 дни </w:t>
            </w:r>
          </w:p>
          <w:p w14:paraId="10107B81" w14:textId="77777777" w:rsidR="00666D68" w:rsidRPr="000322E4" w:rsidRDefault="00666D68" w:rsidP="008E3584">
            <w:pPr>
              <w:contextualSpacing/>
            </w:pPr>
            <w:r w:rsidRPr="000322E4">
              <w:t>Винкристин** в/в 1,5 мг/м</w:t>
            </w:r>
            <w:r w:rsidRPr="000322E4">
              <w:rPr>
                <w:vertAlign w:val="superscript"/>
              </w:rPr>
              <w:t>2</w:t>
            </w:r>
            <w:r w:rsidRPr="000322E4">
              <w:t xml:space="preserve"> 1 день</w:t>
            </w:r>
          </w:p>
          <w:p w14:paraId="635EB577" w14:textId="77777777" w:rsidR="00666D68" w:rsidRPr="000322E4" w:rsidRDefault="00666D68" w:rsidP="008E3584">
            <w:pPr>
              <w:contextualSpacing/>
            </w:pPr>
            <w:r w:rsidRPr="000322E4">
              <w:t>Метотрексат**  24 ч в/в 5 г/м</w:t>
            </w:r>
            <w:r w:rsidRPr="000322E4">
              <w:rPr>
                <w:vertAlign w:val="superscript"/>
              </w:rPr>
              <w:t>2</w:t>
            </w:r>
            <w:r w:rsidRPr="000322E4">
              <w:t xml:space="preserve"> 1 день</w:t>
            </w:r>
          </w:p>
          <w:p w14:paraId="43647983" w14:textId="77777777" w:rsidR="00666D68" w:rsidRPr="000322E4" w:rsidRDefault="00666D68" w:rsidP="008E3584">
            <w:pPr>
              <w:contextualSpacing/>
            </w:pPr>
            <w:r w:rsidRPr="000322E4">
              <w:t>Кальция фолинат**</w:t>
            </w:r>
            <w:r w:rsidRPr="000322E4">
              <w:rPr>
                <w:vertAlign w:val="superscript"/>
              </w:rPr>
              <w:t>‡</w:t>
            </w:r>
            <w:r w:rsidRPr="000322E4">
              <w:t xml:space="preserve">  в/в 15 мг/м</w:t>
            </w:r>
            <w:r w:rsidRPr="000322E4">
              <w:rPr>
                <w:vertAlign w:val="superscript"/>
              </w:rPr>
              <w:t>2</w:t>
            </w:r>
            <w:r w:rsidRPr="000322E4">
              <w:t xml:space="preserve"> через 42, 48, 54 час от начала инфузии метотрексата</w:t>
            </w:r>
            <w:r w:rsidRPr="000322E4">
              <w:rPr>
                <w:bCs/>
              </w:rPr>
              <w:t>**</w:t>
            </w:r>
          </w:p>
          <w:p w14:paraId="009663EC" w14:textId="77777777" w:rsidR="00666D68" w:rsidRPr="000322E4" w:rsidRDefault="00666D68" w:rsidP="008E3584">
            <w:pPr>
              <w:contextualSpacing/>
            </w:pPr>
            <w:r w:rsidRPr="000322E4">
              <w:t>Доксорубицин** в/в 25 мг/м</w:t>
            </w:r>
            <w:r w:rsidRPr="000322E4">
              <w:rPr>
                <w:vertAlign w:val="superscript"/>
              </w:rPr>
              <w:t xml:space="preserve">2 </w:t>
            </w:r>
            <w:r w:rsidRPr="000322E4">
              <w:t>4, 5 дни</w:t>
            </w:r>
          </w:p>
        </w:tc>
      </w:tr>
      <w:tr w:rsidR="00666D68" w:rsidRPr="000322E4" w14:paraId="0CD51764" w14:textId="77777777" w:rsidTr="00CA64E2">
        <w:tc>
          <w:tcPr>
            <w:tcW w:w="6516" w:type="dxa"/>
          </w:tcPr>
          <w:p w14:paraId="7516F580" w14:textId="77777777" w:rsidR="00666D68" w:rsidRPr="000322E4" w:rsidRDefault="00666D68" w:rsidP="008E3584">
            <w:pPr>
              <w:contextualSpacing/>
            </w:pPr>
            <w:r w:rsidRPr="000322E4">
              <w:rPr>
                <w:lang w:val="en-US"/>
              </w:rPr>
              <w:t>Mtx</w:t>
            </w:r>
            <w:r w:rsidRPr="000322E4">
              <w:t>/</w:t>
            </w:r>
            <w:r w:rsidRPr="000322E4">
              <w:rPr>
                <w:lang w:val="en-US"/>
              </w:rPr>
              <w:t>AraC</w:t>
            </w:r>
            <w:r w:rsidRPr="000322E4">
              <w:t>/</w:t>
            </w:r>
            <w:r w:rsidRPr="000322E4">
              <w:rPr>
                <w:lang w:val="en-US"/>
              </w:rPr>
              <w:t>Pred</w:t>
            </w:r>
            <w:r w:rsidRPr="000322E4">
              <w:rPr>
                <w:vertAlign w:val="superscript"/>
              </w:rPr>
              <w:t>†</w:t>
            </w:r>
            <w:r w:rsidRPr="000322E4">
              <w:t xml:space="preserve"> э/л в возрастных дозах</w:t>
            </w:r>
          </w:p>
        </w:tc>
      </w:tr>
    </w:tbl>
    <w:p w14:paraId="65EF1824" w14:textId="77777777" w:rsidR="00666D68" w:rsidRPr="000322E4" w:rsidRDefault="00666D68" w:rsidP="008E3584">
      <w:pPr>
        <w:contextualSpacing/>
        <w:rPr>
          <w:b/>
          <w:u w:val="single"/>
        </w:rPr>
      </w:pPr>
    </w:p>
    <w:tbl>
      <w:tblPr>
        <w:tblStyle w:val="aff9"/>
        <w:tblW w:w="6516" w:type="dxa"/>
        <w:tblLayout w:type="fixed"/>
        <w:tblLook w:val="04A0" w:firstRow="1" w:lastRow="0" w:firstColumn="1" w:lastColumn="0" w:noHBand="0" w:noVBand="1"/>
      </w:tblPr>
      <w:tblGrid>
        <w:gridCol w:w="6516"/>
      </w:tblGrid>
      <w:tr w:rsidR="00666D68" w:rsidRPr="000322E4" w14:paraId="1C25BF28" w14:textId="77777777" w:rsidTr="00CA64E2">
        <w:tc>
          <w:tcPr>
            <w:tcW w:w="6516" w:type="dxa"/>
          </w:tcPr>
          <w:p w14:paraId="207DFB7D" w14:textId="77777777" w:rsidR="00666D68" w:rsidRPr="000322E4" w:rsidRDefault="00666D68" w:rsidP="008E3584">
            <w:pPr>
              <w:contextualSpacing/>
              <w:rPr>
                <w:b/>
                <w:lang w:val="en-US"/>
              </w:rPr>
            </w:pPr>
            <w:r w:rsidRPr="000322E4">
              <w:rPr>
                <w:b/>
                <w:lang w:val="en-US"/>
              </w:rPr>
              <w:t>CC</w:t>
            </w:r>
          </w:p>
        </w:tc>
      </w:tr>
      <w:tr w:rsidR="00666D68" w:rsidRPr="000322E4" w14:paraId="7F0E4881" w14:textId="77777777" w:rsidTr="00CA64E2">
        <w:tc>
          <w:tcPr>
            <w:tcW w:w="6516" w:type="dxa"/>
          </w:tcPr>
          <w:p w14:paraId="6F2325B7" w14:textId="77777777" w:rsidR="00666D68" w:rsidRPr="000322E4" w:rsidRDefault="00666D68" w:rsidP="008E3584">
            <w:pPr>
              <w:contextualSpacing/>
            </w:pPr>
            <w:r w:rsidRPr="000322E4">
              <w:lastRenderedPageBreak/>
              <w:t>Дексаметазон</w:t>
            </w:r>
            <w:r w:rsidRPr="000322E4">
              <w:rPr>
                <w:bCs/>
              </w:rPr>
              <w:t xml:space="preserve">** внутрь </w:t>
            </w:r>
            <w:r w:rsidRPr="000322E4">
              <w:t>20 мг/м</w:t>
            </w:r>
            <w:r w:rsidRPr="000322E4">
              <w:rPr>
                <w:vertAlign w:val="superscript"/>
              </w:rPr>
              <w:t xml:space="preserve">2 </w:t>
            </w:r>
            <w:r w:rsidRPr="000322E4">
              <w:t>1 день</w:t>
            </w:r>
          </w:p>
          <w:p w14:paraId="326AC28F" w14:textId="77777777" w:rsidR="00666D68" w:rsidRPr="000322E4" w:rsidRDefault="00666D68" w:rsidP="008E3584">
            <w:pPr>
              <w:contextualSpacing/>
            </w:pPr>
            <w:r w:rsidRPr="000322E4">
              <w:t>Винкристин</w:t>
            </w:r>
            <w:r w:rsidRPr="000322E4">
              <w:rPr>
                <w:bCs/>
              </w:rPr>
              <w:t>**</w:t>
            </w:r>
            <w:r w:rsidRPr="000322E4">
              <w:t xml:space="preserve"> в/в 1,5 мг/м</w:t>
            </w:r>
            <w:r w:rsidRPr="000322E4">
              <w:rPr>
                <w:vertAlign w:val="superscript"/>
              </w:rPr>
              <w:t>2</w:t>
            </w:r>
            <w:r w:rsidRPr="000322E4">
              <w:t xml:space="preserve"> 1 день</w:t>
            </w:r>
          </w:p>
          <w:p w14:paraId="44B6C323" w14:textId="77777777" w:rsidR="00666D68" w:rsidRPr="000322E4" w:rsidRDefault="00666D68" w:rsidP="008E3584">
            <w:pPr>
              <w:contextualSpacing/>
            </w:pPr>
            <w:r w:rsidRPr="000322E4">
              <w:t>Цитарабин</w:t>
            </w:r>
            <w:r w:rsidRPr="000322E4">
              <w:rPr>
                <w:bCs/>
              </w:rPr>
              <w:t>**</w:t>
            </w:r>
            <w:r w:rsidRPr="000322E4">
              <w:t xml:space="preserve"> в/в 3 ч 2000 мг/м</w:t>
            </w:r>
            <w:r w:rsidRPr="000322E4">
              <w:rPr>
                <w:vertAlign w:val="superscript"/>
              </w:rPr>
              <w:t>2</w:t>
            </w:r>
            <w:r w:rsidRPr="000322E4">
              <w:t xml:space="preserve"> 2 р/д 1, 2 дни</w:t>
            </w:r>
          </w:p>
          <w:p w14:paraId="3268F1BA" w14:textId="77777777" w:rsidR="00666D68" w:rsidRPr="000322E4" w:rsidRDefault="00666D68" w:rsidP="008E3584">
            <w:pPr>
              <w:contextualSpacing/>
            </w:pPr>
            <w:r w:rsidRPr="000322E4">
              <w:t>Этопозид</w:t>
            </w:r>
            <w:r w:rsidRPr="000322E4">
              <w:rPr>
                <w:bCs/>
              </w:rPr>
              <w:t>**</w:t>
            </w:r>
            <w:r w:rsidRPr="000322E4">
              <w:t xml:space="preserve"> в/в 1 ч  </w:t>
            </w:r>
            <w:r w:rsidR="003D6DE3" w:rsidRPr="000322E4">
              <w:t xml:space="preserve">100 </w:t>
            </w:r>
            <w:r w:rsidRPr="000322E4">
              <w:t>мг/м</w:t>
            </w:r>
            <w:r w:rsidRPr="000322E4">
              <w:rPr>
                <w:vertAlign w:val="superscript"/>
              </w:rPr>
              <w:t>2</w:t>
            </w:r>
            <w:r w:rsidRPr="000322E4">
              <w:t xml:space="preserve">  3, 4, 5 дни</w:t>
            </w:r>
          </w:p>
        </w:tc>
      </w:tr>
      <w:tr w:rsidR="00666D68" w:rsidRPr="000322E4" w14:paraId="470FEF67" w14:textId="77777777" w:rsidTr="00CA64E2">
        <w:tc>
          <w:tcPr>
            <w:tcW w:w="6516" w:type="dxa"/>
          </w:tcPr>
          <w:p w14:paraId="62007832" w14:textId="77777777" w:rsidR="00666D68" w:rsidRPr="000322E4" w:rsidRDefault="00666D68" w:rsidP="008E3584">
            <w:pPr>
              <w:contextualSpacing/>
            </w:pPr>
            <w:r w:rsidRPr="000322E4">
              <w:rPr>
                <w:lang w:val="en-US"/>
              </w:rPr>
              <w:t>Mtx</w:t>
            </w:r>
            <w:r w:rsidRPr="000322E4">
              <w:t>/</w:t>
            </w:r>
            <w:r w:rsidRPr="000322E4">
              <w:rPr>
                <w:lang w:val="en-US"/>
              </w:rPr>
              <w:t>AraC</w:t>
            </w:r>
            <w:r w:rsidRPr="000322E4">
              <w:t>/</w:t>
            </w:r>
            <w:r w:rsidRPr="000322E4">
              <w:rPr>
                <w:lang w:val="en-US"/>
              </w:rPr>
              <w:t>Pred</w:t>
            </w:r>
            <w:r w:rsidRPr="000322E4">
              <w:rPr>
                <w:vertAlign w:val="superscript"/>
              </w:rPr>
              <w:t>†</w:t>
            </w:r>
            <w:r w:rsidRPr="000322E4">
              <w:t xml:space="preserve"> э/л в возрастных дозах</w:t>
            </w:r>
          </w:p>
        </w:tc>
      </w:tr>
    </w:tbl>
    <w:p w14:paraId="49602912" w14:textId="77777777" w:rsidR="00666D68" w:rsidRPr="000322E4" w:rsidRDefault="00666D68" w:rsidP="008E3584">
      <w:pPr>
        <w:contextualSpacing/>
        <w:rPr>
          <w:vertAlign w:val="superscript"/>
        </w:rPr>
      </w:pPr>
    </w:p>
    <w:tbl>
      <w:tblPr>
        <w:tblStyle w:val="aff9"/>
        <w:tblW w:w="6516" w:type="dxa"/>
        <w:tblLayout w:type="fixed"/>
        <w:tblLook w:val="04A0" w:firstRow="1" w:lastRow="0" w:firstColumn="1" w:lastColumn="0" w:noHBand="0" w:noVBand="1"/>
      </w:tblPr>
      <w:tblGrid>
        <w:gridCol w:w="6516"/>
      </w:tblGrid>
      <w:tr w:rsidR="00666D68" w:rsidRPr="000322E4" w14:paraId="6F6E31FF" w14:textId="77777777" w:rsidTr="00CA64E2">
        <w:tc>
          <w:tcPr>
            <w:tcW w:w="6516" w:type="dxa"/>
          </w:tcPr>
          <w:p w14:paraId="09146B8A" w14:textId="77777777" w:rsidR="00666D68" w:rsidRPr="000322E4" w:rsidRDefault="00666D68" w:rsidP="008E3584">
            <w:pPr>
              <w:contextualSpacing/>
              <w:rPr>
                <w:b/>
                <w:lang w:val="en-US"/>
              </w:rPr>
            </w:pPr>
            <w:r w:rsidRPr="000322E4">
              <w:rPr>
                <w:b/>
                <w:lang w:val="en-US"/>
              </w:rPr>
              <w:t>ICE</w:t>
            </w:r>
          </w:p>
        </w:tc>
      </w:tr>
      <w:tr w:rsidR="00666D68" w:rsidRPr="000322E4" w14:paraId="589B0EF0" w14:textId="77777777" w:rsidTr="00CA64E2">
        <w:tc>
          <w:tcPr>
            <w:tcW w:w="6516" w:type="dxa"/>
          </w:tcPr>
          <w:p w14:paraId="7180EB8F" w14:textId="77777777" w:rsidR="00666D68" w:rsidRPr="000322E4" w:rsidRDefault="00666D68" w:rsidP="008E3584">
            <w:pPr>
              <w:contextualSpacing/>
            </w:pPr>
            <w:r w:rsidRPr="000322E4">
              <w:t>Ифосфамид** 1800 мг/м</w:t>
            </w:r>
            <w:r w:rsidRPr="000322E4">
              <w:rPr>
                <w:vertAlign w:val="superscript"/>
              </w:rPr>
              <w:t>2</w:t>
            </w:r>
            <w:r w:rsidRPr="000322E4">
              <w:t>/сут, дни 1-5</w:t>
            </w:r>
          </w:p>
          <w:p w14:paraId="79D9CAC0" w14:textId="77777777" w:rsidR="00666D68" w:rsidRPr="000322E4" w:rsidRDefault="00666D68" w:rsidP="008E3584">
            <w:pPr>
              <w:contextualSpacing/>
            </w:pPr>
            <w:r w:rsidRPr="000322E4">
              <w:t>#Карбоплатин** 500 мг/м</w:t>
            </w:r>
            <w:r w:rsidRPr="000322E4">
              <w:rPr>
                <w:vertAlign w:val="superscript"/>
              </w:rPr>
              <w:t>2</w:t>
            </w:r>
            <w:r w:rsidRPr="000322E4">
              <w:t>, день 1</w:t>
            </w:r>
          </w:p>
          <w:p w14:paraId="3344270E" w14:textId="77777777" w:rsidR="00666D68" w:rsidRPr="000322E4" w:rsidRDefault="00666D68" w:rsidP="008E3584">
            <w:pPr>
              <w:contextualSpacing/>
            </w:pPr>
            <w:r w:rsidRPr="000322E4">
              <w:t>Этопозид** 150 мг/м</w:t>
            </w:r>
            <w:r w:rsidRPr="000322E4">
              <w:rPr>
                <w:vertAlign w:val="superscript"/>
              </w:rPr>
              <w:t>2</w:t>
            </w:r>
            <w:r w:rsidRPr="000322E4">
              <w:t>, дни 1-3</w:t>
            </w:r>
          </w:p>
        </w:tc>
      </w:tr>
      <w:tr w:rsidR="00666D68" w:rsidRPr="000322E4" w14:paraId="3A874AD3" w14:textId="77777777" w:rsidTr="00CA64E2">
        <w:tc>
          <w:tcPr>
            <w:tcW w:w="6516" w:type="dxa"/>
          </w:tcPr>
          <w:p w14:paraId="4F98F8A2" w14:textId="77777777" w:rsidR="00666D68" w:rsidRPr="000322E4" w:rsidRDefault="00666D68" w:rsidP="008E3584">
            <w:pPr>
              <w:contextualSpacing/>
            </w:pPr>
            <w:r w:rsidRPr="000322E4">
              <w:rPr>
                <w:lang w:val="en-US"/>
              </w:rPr>
              <w:t>Mtx</w:t>
            </w:r>
            <w:r w:rsidRPr="000322E4">
              <w:t>/</w:t>
            </w:r>
            <w:r w:rsidRPr="000322E4">
              <w:rPr>
                <w:lang w:val="en-US"/>
              </w:rPr>
              <w:t>AraC</w:t>
            </w:r>
            <w:r w:rsidRPr="000322E4">
              <w:t>/</w:t>
            </w:r>
            <w:r w:rsidRPr="000322E4">
              <w:rPr>
                <w:lang w:val="en-US"/>
              </w:rPr>
              <w:t>Pred</w:t>
            </w:r>
            <w:r w:rsidRPr="000322E4">
              <w:rPr>
                <w:vertAlign w:val="superscript"/>
              </w:rPr>
              <w:t>†</w:t>
            </w:r>
            <w:r w:rsidRPr="000322E4">
              <w:t xml:space="preserve"> э/л в возрастных дозах</w:t>
            </w:r>
          </w:p>
        </w:tc>
      </w:tr>
    </w:tbl>
    <w:p w14:paraId="734E50AC" w14:textId="77777777" w:rsidR="00666D68" w:rsidRPr="000322E4" w:rsidRDefault="00666D68" w:rsidP="008E3584">
      <w:pPr>
        <w:contextualSpacing/>
        <w:rPr>
          <w:vertAlign w:val="superscript"/>
        </w:rPr>
      </w:pPr>
    </w:p>
    <w:p w14:paraId="1E79D664" w14:textId="77777777" w:rsidR="00666D68" w:rsidRPr="000322E4" w:rsidRDefault="00666D68" w:rsidP="008E3584">
      <w:pPr>
        <w:contextualSpacing/>
      </w:pPr>
      <w:r w:rsidRPr="000322E4">
        <w:rPr>
          <w:vertAlign w:val="superscript"/>
        </w:rPr>
        <w:t>†</w:t>
      </w:r>
      <w:r w:rsidRPr="000322E4">
        <w:t xml:space="preserve">    метотрексат</w:t>
      </w:r>
      <w:r w:rsidRPr="000322E4">
        <w:rPr>
          <w:bCs/>
        </w:rPr>
        <w:t>**</w:t>
      </w:r>
      <w:r w:rsidRPr="000322E4">
        <w:t>/цитарабин</w:t>
      </w:r>
      <w:r w:rsidRPr="000322E4">
        <w:rPr>
          <w:bCs/>
        </w:rPr>
        <w:t>**</w:t>
      </w:r>
      <w:r w:rsidRPr="000322E4">
        <w:t>/преднизолон</w:t>
      </w:r>
      <w:r w:rsidRPr="000322E4">
        <w:rPr>
          <w:bCs/>
        </w:rPr>
        <w:t>**</w:t>
      </w:r>
      <w:r w:rsidRPr="000322E4">
        <w:t>, обычно 1 раз на блоке или 2 раза при инициальном поражении ЦНС.</w:t>
      </w:r>
    </w:p>
    <w:p w14:paraId="43227034" w14:textId="77777777" w:rsidR="00666D68" w:rsidRPr="000322E4" w:rsidRDefault="00666D68" w:rsidP="008E3584">
      <w:pPr>
        <w:contextualSpacing/>
      </w:pPr>
      <w:r w:rsidRPr="000322E4">
        <w:rPr>
          <w:vertAlign w:val="superscript"/>
        </w:rPr>
        <w:t>‡</w:t>
      </w:r>
      <w:r w:rsidRPr="000322E4">
        <w:t xml:space="preserve">  доза кальция фолината</w:t>
      </w:r>
      <w:r w:rsidRPr="000322E4">
        <w:rPr>
          <w:bCs/>
        </w:rPr>
        <w:t>**</w:t>
      </w:r>
      <w:r w:rsidRPr="000322E4">
        <w:t xml:space="preserve"> определяется по концентрации метотрексата</w:t>
      </w:r>
      <w:r w:rsidRPr="000322E4">
        <w:rPr>
          <w:bCs/>
        </w:rPr>
        <w:t>**</w:t>
      </w:r>
      <w:r w:rsidRPr="000322E4">
        <w:t xml:space="preserve"> в сыворотке</w:t>
      </w:r>
    </w:p>
    <w:p w14:paraId="1B37455F" w14:textId="77777777" w:rsidR="00666D68" w:rsidRPr="000322E4" w:rsidRDefault="00666D68" w:rsidP="008E3584">
      <w:pPr>
        <w:contextualSpacing/>
      </w:pPr>
      <w:r w:rsidRPr="000322E4">
        <w:t xml:space="preserve">Интервалы между началом курсов (блоков) не должны быть больше 18-21 дня. Для выполнения интервалов можно использовать Г-КСФ </w:t>
      </w:r>
    </w:p>
    <w:bookmarkEnd w:id="104"/>
    <w:p w14:paraId="326D161E" w14:textId="77777777" w:rsidR="00666D68" w:rsidRPr="000322E4" w:rsidRDefault="00666D68" w:rsidP="008E3584"/>
    <w:p w14:paraId="1DF6571D" w14:textId="77777777" w:rsidR="00A519D4" w:rsidRPr="000322E4" w:rsidRDefault="00A519D4" w:rsidP="008E3584">
      <w:pPr>
        <w:pStyle w:val="2"/>
        <w:spacing w:before="0"/>
      </w:pPr>
      <w:bookmarkStart w:id="108" w:name="_Toc66096860"/>
      <w:bookmarkEnd w:id="105"/>
      <w:r w:rsidRPr="000322E4">
        <w:t>Приложение А3.</w:t>
      </w:r>
      <w:r w:rsidR="00CF74E8" w:rsidRPr="000322E4">
        <w:t>2</w:t>
      </w:r>
      <w:r w:rsidRPr="000322E4">
        <w:t>. Рекомендации по редукции доз или увеличению промежутков при проведении миелосупрессивной цитостатической терапии</w:t>
      </w:r>
      <w:bookmarkEnd w:id="106"/>
      <w:bookmarkEnd w:id="108"/>
    </w:p>
    <w:p w14:paraId="0E78C1B0" w14:textId="77777777" w:rsidR="00A519D4" w:rsidRPr="000322E4" w:rsidRDefault="004957AB" w:rsidP="008E3584">
      <w:pPr>
        <w:ind w:firstLine="567"/>
        <w:rPr>
          <w:rFonts w:cstheme="minorHAnsi"/>
          <w:b/>
        </w:rPr>
      </w:pPr>
      <w:r w:rsidRPr="000322E4">
        <w:t>Миелосупрессивную цитостатическую терапиию</w:t>
      </w:r>
      <w:r w:rsidRPr="000322E4">
        <w:rPr>
          <w:rFonts w:cstheme="minorHAnsi"/>
          <w:bCs/>
        </w:rPr>
        <w:t xml:space="preserve"> </w:t>
      </w:r>
      <w:r w:rsidR="00A519D4" w:rsidRPr="000322E4">
        <w:rPr>
          <w:rFonts w:cstheme="minorHAnsi"/>
          <w:bCs/>
        </w:rPr>
        <w:t xml:space="preserve">следует проводить в полных дозах в соответствии со схемой, если в день введения </w:t>
      </w:r>
      <w:r w:rsidR="00CE3F35" w:rsidRPr="000322E4">
        <w:rPr>
          <w:rFonts w:cstheme="minorHAnsi"/>
          <w:bCs/>
        </w:rPr>
        <w:t>цитостатических</w:t>
      </w:r>
      <w:r w:rsidRPr="000322E4">
        <w:rPr>
          <w:rFonts w:cstheme="minorHAnsi"/>
          <w:bCs/>
        </w:rPr>
        <w:t xml:space="preserve"> препаратов </w:t>
      </w:r>
      <w:r w:rsidR="00A519D4" w:rsidRPr="000322E4">
        <w:rPr>
          <w:rFonts w:cstheme="minorHAnsi"/>
          <w:bCs/>
        </w:rPr>
        <w:t>уровень нейтрофилов &gt;1 </w:t>
      </w:r>
      <w:r w:rsidR="00A519D4" w:rsidRPr="000322E4">
        <w:t>× 10</w:t>
      </w:r>
      <w:r w:rsidR="00A519D4" w:rsidRPr="000322E4">
        <w:rPr>
          <w:vertAlign w:val="superscript"/>
        </w:rPr>
        <w:t>9</w:t>
      </w:r>
      <w:r w:rsidR="00A519D4" w:rsidRPr="000322E4">
        <w:t>/л</w:t>
      </w:r>
      <w:r w:rsidR="00A519D4" w:rsidRPr="000322E4">
        <w:rPr>
          <w:rFonts w:cstheme="minorHAnsi"/>
          <w:bCs/>
        </w:rPr>
        <w:t xml:space="preserve"> и тромбоцитов &gt;100</w:t>
      </w:r>
      <w:r w:rsidR="00A519D4" w:rsidRPr="000322E4">
        <w:rPr>
          <w:lang w:val="en-US"/>
        </w:rPr>
        <w:t> </w:t>
      </w:r>
      <w:r w:rsidR="00A519D4" w:rsidRPr="000322E4">
        <w:t>×</w:t>
      </w:r>
      <w:r w:rsidR="00A519D4" w:rsidRPr="000322E4">
        <w:rPr>
          <w:lang w:val="en-US"/>
        </w:rPr>
        <w:t> </w:t>
      </w:r>
      <w:r w:rsidR="00A519D4" w:rsidRPr="000322E4">
        <w:t>10</w:t>
      </w:r>
      <w:r w:rsidR="00A519D4" w:rsidRPr="000322E4">
        <w:rPr>
          <w:vertAlign w:val="superscript"/>
        </w:rPr>
        <w:t>9</w:t>
      </w:r>
      <w:r w:rsidR="00A519D4" w:rsidRPr="000322E4">
        <w:rPr>
          <w:rFonts w:cstheme="minorHAnsi"/>
          <w:bCs/>
        </w:rPr>
        <w:t>, но только в том случае, если пик падения уже пройден.</w:t>
      </w:r>
    </w:p>
    <w:p w14:paraId="49AB41B9" w14:textId="77777777" w:rsidR="00A519D4" w:rsidRPr="000322E4" w:rsidRDefault="00A519D4" w:rsidP="008E3584">
      <w:pPr>
        <w:ind w:firstLine="567"/>
        <w:rPr>
          <w:rFonts w:cstheme="minorHAnsi"/>
        </w:rPr>
      </w:pPr>
      <w:r w:rsidRPr="000322E4">
        <w:rPr>
          <w:rFonts w:cstheme="minorHAnsi"/>
        </w:rPr>
        <w:t xml:space="preserve">Если необходимый уровень нейтрофилов не достигается к плановому дню введения </w:t>
      </w:r>
      <w:r w:rsidR="004957AB" w:rsidRPr="000322E4">
        <w:rPr>
          <w:rFonts w:cstheme="minorHAnsi"/>
          <w:bCs/>
        </w:rPr>
        <w:t>лекарственных препаратов</w:t>
      </w:r>
      <w:r w:rsidRPr="000322E4">
        <w:rPr>
          <w:rFonts w:cstheme="minorHAnsi"/>
        </w:rPr>
        <w:t xml:space="preserve">, введение колониестимулирующих факторов продолжается в прежних дозах до достижения уровня нейтрофилов </w:t>
      </w:r>
      <w:r w:rsidRPr="000322E4">
        <w:rPr>
          <w:rFonts w:cstheme="minorHAnsi"/>
          <w:bCs/>
        </w:rPr>
        <w:t>&gt;1</w:t>
      </w:r>
      <w:r w:rsidRPr="000322E4">
        <w:rPr>
          <w:lang w:val="en-US"/>
        </w:rPr>
        <w:t> </w:t>
      </w:r>
      <w:r w:rsidRPr="000322E4">
        <w:t>×</w:t>
      </w:r>
      <w:r w:rsidRPr="000322E4">
        <w:rPr>
          <w:lang w:val="en-US"/>
        </w:rPr>
        <w:t> </w:t>
      </w:r>
      <w:r w:rsidRPr="000322E4">
        <w:t>10</w:t>
      </w:r>
      <w:r w:rsidRPr="000322E4">
        <w:rPr>
          <w:vertAlign w:val="superscript"/>
        </w:rPr>
        <w:t>9</w:t>
      </w:r>
      <w:r w:rsidRPr="000322E4">
        <w:rPr>
          <w:rFonts w:cstheme="minorHAnsi"/>
          <w:bCs/>
        </w:rPr>
        <w:t xml:space="preserve"> </w:t>
      </w:r>
      <w:r w:rsidRPr="000322E4">
        <w:rPr>
          <w:rFonts w:cstheme="minorHAnsi"/>
        </w:rPr>
        <w:t xml:space="preserve">при ежедневном контроле анализов крови, </w:t>
      </w:r>
      <w:r w:rsidRPr="000322E4">
        <w:rPr>
          <w:rFonts w:cstheme="minorHAnsi"/>
          <w:bCs/>
        </w:rPr>
        <w:t xml:space="preserve">далее </w:t>
      </w:r>
      <w:r w:rsidRPr="000322E4">
        <w:rPr>
          <w:rFonts w:cstheme="minorHAnsi"/>
        </w:rPr>
        <w:t>исследование крови повторяется через день. Лечение возобновляется при достижении вышеуказанных параметров.</w:t>
      </w:r>
    </w:p>
    <w:p w14:paraId="4A05264E" w14:textId="77777777" w:rsidR="00A519D4" w:rsidRPr="000322E4" w:rsidRDefault="00A519D4" w:rsidP="008E3584">
      <w:pPr>
        <w:ind w:firstLine="567"/>
        <w:rPr>
          <w:rFonts w:cstheme="minorHAnsi"/>
        </w:rPr>
      </w:pPr>
      <w:r w:rsidRPr="000322E4">
        <w:rPr>
          <w:rFonts w:cstheme="minorHAnsi"/>
        </w:rPr>
        <w:t>В том случае, если показатели крови восстанавливаются в течение последующих 14 дней, следующий цикл проводится в полных дозах.</w:t>
      </w:r>
    </w:p>
    <w:p w14:paraId="429B5ED8" w14:textId="77777777" w:rsidR="00A519D4" w:rsidRPr="000322E4" w:rsidRDefault="00A519D4" w:rsidP="008E3584">
      <w:pPr>
        <w:ind w:firstLine="567"/>
        <w:rPr>
          <w:rFonts w:cstheme="minorHAnsi"/>
        </w:rPr>
      </w:pPr>
      <w:r w:rsidRPr="000322E4">
        <w:rPr>
          <w:rFonts w:cstheme="minorHAnsi"/>
        </w:rPr>
        <w:t>В случае, если показатели крови не восстанавливаются дольше дополнительных 14 дней, а также в случае повторной отсрочки курса вследствие миелотоксичности более 10 дней, проводится снижение доз препаратов до 75% от исходной дозы (кроме доз винкристина, блеомицина и преднизолона).</w:t>
      </w:r>
    </w:p>
    <w:p w14:paraId="5D925C82" w14:textId="702F5AFC" w:rsidR="00A519D4" w:rsidRDefault="00A519D4" w:rsidP="008E3584">
      <w:pPr>
        <w:ind w:firstLine="567"/>
        <w:rPr>
          <w:rFonts w:cstheme="minorHAnsi"/>
        </w:rPr>
      </w:pPr>
      <w:r w:rsidRPr="000322E4">
        <w:rPr>
          <w:rFonts w:cstheme="minorHAnsi"/>
        </w:rPr>
        <w:lastRenderedPageBreak/>
        <w:t xml:space="preserve">Если к плановому дню введения </w:t>
      </w:r>
      <w:r w:rsidR="00CE3F35" w:rsidRPr="000322E4">
        <w:rPr>
          <w:rFonts w:cstheme="minorHAnsi"/>
        </w:rPr>
        <w:t xml:space="preserve">цитостатических </w:t>
      </w:r>
      <w:r w:rsidRPr="000322E4">
        <w:rPr>
          <w:rFonts w:cstheme="minorHAnsi"/>
        </w:rPr>
        <w:t>препаратов необходимый уровень тромбоцитов не достигается, в дальнейшем исследование крови повторяется на 3, 7, 10 и 14 дни; лечение возобновляется при достижении вышеуказанных параметров. Если показатели крови восстанавливаются в течение дополнительных 14 дней, цикл проводится в полных дозах. В случае, если показатели крови не восстанавливаются дольше дополнительных 14 дней, в следующем цикле производится редукция доз по той же схеме, как и при длительной нейтропении.</w:t>
      </w:r>
    </w:p>
    <w:p w14:paraId="63C266C3" w14:textId="3D1ABEDA" w:rsidR="0059540F" w:rsidRDefault="0059540F" w:rsidP="008E3584">
      <w:pPr>
        <w:ind w:firstLine="567"/>
        <w:rPr>
          <w:rFonts w:cstheme="minorHAnsi"/>
        </w:rPr>
      </w:pPr>
    </w:p>
    <w:p w14:paraId="2A976FF8" w14:textId="69A66BD1" w:rsidR="00510F53" w:rsidRPr="00510F53" w:rsidRDefault="0059540F" w:rsidP="00510F53">
      <w:pPr>
        <w:pStyle w:val="2"/>
        <w:spacing w:before="0"/>
      </w:pPr>
      <w:bookmarkStart w:id="109" w:name="_Toc66096861"/>
      <w:r w:rsidRPr="000322E4">
        <w:t>Приложение А3.</w:t>
      </w:r>
      <w:r>
        <w:t xml:space="preserve">3. </w:t>
      </w:r>
      <w:bookmarkStart w:id="110" w:name="_Toc64479235"/>
      <w:r w:rsidR="000A6C7F">
        <w:t>Порядок применения ритуксимаба**</w:t>
      </w:r>
      <w:bookmarkEnd w:id="109"/>
      <w:r w:rsidR="000A6C7F">
        <w:t xml:space="preserve"> </w:t>
      </w:r>
      <w:bookmarkEnd w:id="110"/>
    </w:p>
    <w:p w14:paraId="0796B263" w14:textId="77777777" w:rsidR="00510F53" w:rsidRPr="000A6C7F" w:rsidRDefault="00510F53" w:rsidP="000A6C7F">
      <w:pPr>
        <w:ind w:firstLine="709"/>
        <w:rPr>
          <w:i/>
          <w:color w:val="000000" w:themeColor="text1"/>
        </w:rPr>
      </w:pPr>
      <w:r w:rsidRPr="000A6C7F">
        <w:rPr>
          <w:i/>
          <w:color w:val="000000" w:themeColor="text1"/>
        </w:rPr>
        <w:t xml:space="preserve">Внутривенное применение: </w:t>
      </w:r>
    </w:p>
    <w:p w14:paraId="3B4633E4" w14:textId="77777777" w:rsidR="00510F53" w:rsidRPr="00CB3251" w:rsidRDefault="00510F53" w:rsidP="00510F53">
      <w:pPr>
        <w:tabs>
          <w:tab w:val="left" w:pos="0"/>
        </w:tabs>
        <w:ind w:firstLine="709"/>
        <w:rPr>
          <w:color w:val="000000" w:themeColor="text1"/>
        </w:rPr>
      </w:pPr>
      <w:r w:rsidRPr="00CB3251">
        <w:rPr>
          <w:color w:val="000000" w:themeColor="text1"/>
        </w:rPr>
        <w:t>Стандартная дозировка препарата на разовое введение составляет 375 мг/м</w:t>
      </w:r>
      <w:r w:rsidRPr="00CB3251">
        <w:rPr>
          <w:color w:val="000000" w:themeColor="text1"/>
          <w:vertAlign w:val="superscript"/>
        </w:rPr>
        <w:t>2</w:t>
      </w:r>
      <w:r w:rsidRPr="00CB3251">
        <w:rPr>
          <w:color w:val="000000" w:themeColor="text1"/>
        </w:rPr>
        <w:t>. Необходимое количество препарата набирают в асептических условиях и разводят до расчетной концентрации (1–4 мг/мл) в инфузионном флаконе (пакете) с 0,9% раствором натрия хлорида для инъекции или 5% раствором декстрозы (растворы должны быть стерильными и апирогенными). Приготовленный инфузионный раствор стабилен в течение 12 ч при комнатной температуре или в течение не более 24 ч при температуре от 2 до 8 °C. Препарат вводят внутривенно, инфузионно (медленно), через отдельный катетер.   Препарат нельзя вводить в/в болюсно или в виде в/в инъекций.</w:t>
      </w:r>
    </w:p>
    <w:p w14:paraId="0F4186F3" w14:textId="77777777" w:rsidR="00510F53" w:rsidRPr="00CB3251" w:rsidRDefault="00510F53" w:rsidP="00510F53">
      <w:pPr>
        <w:tabs>
          <w:tab w:val="left" w:pos="0"/>
        </w:tabs>
        <w:ind w:firstLine="709"/>
        <w:rPr>
          <w:color w:val="000000" w:themeColor="text1"/>
        </w:rPr>
      </w:pPr>
      <w:r w:rsidRPr="00CB3251">
        <w:rPr>
          <w:color w:val="000000" w:themeColor="text1"/>
        </w:rPr>
        <w:t>Рекомендуемая начальная скорость первой инфузии — 50 мг/ч, в дальнейшем ее можно увеличивать на 50 мг/ч каждые 30 мин, доводя до максимальной скорости — 400 мг/ч. Последующие инфузии можно начинать со скорости 100 мг/ч и увеличивать ее на 100 мг/ч каждые 30 мин до максимальной скорости 400 мг/ч.</w:t>
      </w:r>
    </w:p>
    <w:p w14:paraId="5FE2D8F0" w14:textId="77777777" w:rsidR="00510F53" w:rsidRPr="00CB3251" w:rsidRDefault="00510F53" w:rsidP="00510F53">
      <w:pPr>
        <w:tabs>
          <w:tab w:val="left" w:pos="0"/>
        </w:tabs>
        <w:ind w:firstLine="709"/>
        <w:rPr>
          <w:color w:val="000000" w:themeColor="text1"/>
        </w:rPr>
      </w:pPr>
      <w:r w:rsidRPr="00CB3251">
        <w:rPr>
          <w:color w:val="000000" w:themeColor="text1"/>
        </w:rPr>
        <w:t>Перед каждой инфузией ритуксимаба за 30-60 мин до введения необходимо проводить премедикацию (анальгетик/антипиретик, например парацетамол или кетопрофен; антигистаминный препарат, например дифенгидрамин или клемастин; глюкокортикоид, например, дексаметазон). Стандартной премедикацией является введение кетопрофен 100 мг в/в капельно на 100 мл физ.раствора + клемастин 2 мг в/в капельно на 100 мл физ.раствора + дексаметазон 8 мг в/в капельно на 50 мл физ. раствора.</w:t>
      </w:r>
    </w:p>
    <w:p w14:paraId="1CA96607" w14:textId="77777777" w:rsidR="00510F53" w:rsidRPr="00CB3251" w:rsidRDefault="00510F53" w:rsidP="00510F53">
      <w:pPr>
        <w:tabs>
          <w:tab w:val="left" w:pos="0"/>
        </w:tabs>
        <w:ind w:firstLine="709"/>
        <w:rPr>
          <w:color w:val="000000" w:themeColor="text1"/>
        </w:rPr>
      </w:pPr>
      <w:r w:rsidRPr="00CB3251">
        <w:rPr>
          <w:color w:val="000000" w:themeColor="text1"/>
        </w:rPr>
        <w:t xml:space="preserve">У большинства больных в ходе первой инфузии отмечается инфузионный симптомокомплекс от легкой до умеренной степени выраженности, заключающийся в появлении лихорадки и озноба/дрожи. Другими часто наблюдающимися инфузионными симптомами являются тошнота, зуд, ангионевротический отек, астения, гипотензия, головная боль, бронхоспазм, раздражение в горле, ринит, крапивница, сыпь, рвота, миалгия, головокружение, гипертензия. Как правило, эти реакции возникают в пределах 30–120 мин после начала первой инфузии и исчезают после замедления или прерывания введения </w:t>
      </w:r>
      <w:r w:rsidRPr="00CB3251">
        <w:rPr>
          <w:color w:val="000000" w:themeColor="text1"/>
        </w:rPr>
        <w:lastRenderedPageBreak/>
        <w:t>препарата и проведения поддерживающих мероприятий (</w:t>
      </w:r>
      <w:r w:rsidRPr="00CB3251">
        <w:rPr>
          <w:rStyle w:val="sokr"/>
          <w:color w:val="000000" w:themeColor="text1"/>
        </w:rPr>
        <w:t>в т.ч.</w:t>
      </w:r>
      <w:r w:rsidRPr="00CB3251">
        <w:rPr>
          <w:color w:val="000000" w:themeColor="text1"/>
        </w:rPr>
        <w:t xml:space="preserve"> </w:t>
      </w:r>
      <w:r w:rsidRPr="00CB3251">
        <w:rPr>
          <w:rStyle w:val="sokr"/>
          <w:color w:val="000000" w:themeColor="text1"/>
        </w:rPr>
        <w:t>в/в</w:t>
      </w:r>
      <w:r w:rsidRPr="00CB3251">
        <w:rPr>
          <w:color w:val="000000" w:themeColor="text1"/>
        </w:rPr>
        <w:t xml:space="preserve"> введений физиологического раствора, клемастина/ дифенгидрамина, кетонала/парацетамола). Легкие или умеренно выраженные реакции могут быть устранены уменьшением скорости введения, которую можно вновь увеличить после исчезновения симптоматики. Пациентам, у которых развились инфузионные реакции 1-3 степени, следует снизить скорость введения при возобновлении инфузии. При развитии анафилактической реакции или жизнеугрожающей инфузионной реакции 4-й степени необходимо окончательно прекратить введение ритуксимаба и оказать необходимую экстренную помощь.</w:t>
      </w:r>
    </w:p>
    <w:p w14:paraId="29BBD12B" w14:textId="77777777" w:rsidR="00510F53" w:rsidRPr="00CB3251" w:rsidRDefault="00510F53" w:rsidP="00510F53">
      <w:pPr>
        <w:tabs>
          <w:tab w:val="left" w:pos="0"/>
        </w:tabs>
        <w:ind w:firstLine="709"/>
        <w:rPr>
          <w:color w:val="000000" w:themeColor="text1"/>
        </w:rPr>
      </w:pPr>
      <w:r w:rsidRPr="00CB3251">
        <w:rPr>
          <w:color w:val="000000" w:themeColor="text1"/>
        </w:rPr>
        <w:t>В связи с опасностью развития гипотензии рекомендуется отмена антигипертензивных препаратов за 12 ч до начала и на протяжении всего времени инфузии ритуксимаба.</w:t>
      </w:r>
    </w:p>
    <w:p w14:paraId="2554220F" w14:textId="776CC1AE" w:rsidR="00510F53" w:rsidRPr="00C90650" w:rsidRDefault="00C90650" w:rsidP="00C90650">
      <w:pPr>
        <w:tabs>
          <w:tab w:val="left" w:pos="0"/>
        </w:tabs>
        <w:rPr>
          <w:i/>
          <w:color w:val="000000" w:themeColor="text1"/>
        </w:rPr>
      </w:pPr>
      <w:r>
        <w:rPr>
          <w:i/>
          <w:color w:val="000000" w:themeColor="text1"/>
        </w:rPr>
        <w:tab/>
      </w:r>
      <w:r w:rsidR="00510F53" w:rsidRPr="00C90650">
        <w:rPr>
          <w:i/>
          <w:color w:val="000000" w:themeColor="text1"/>
        </w:rPr>
        <w:t>Подкожное применение</w:t>
      </w:r>
    </w:p>
    <w:p w14:paraId="27AB5F36" w14:textId="53DE7A38" w:rsidR="00510F53" w:rsidRPr="00CB3251" w:rsidRDefault="00510F53" w:rsidP="00510F53">
      <w:pPr>
        <w:tabs>
          <w:tab w:val="left" w:pos="0"/>
        </w:tabs>
        <w:ind w:firstLine="709"/>
        <w:rPr>
          <w:color w:val="000000" w:themeColor="text1"/>
        </w:rPr>
      </w:pPr>
      <w:r w:rsidRPr="00CB3251">
        <w:rPr>
          <w:color w:val="000000" w:themeColor="text1"/>
        </w:rPr>
        <w:t>Ритуксимаб в лекарственной форме «раствор для подкожного введения» в дозировке 1400</w:t>
      </w:r>
      <w:r w:rsidR="00C90650">
        <w:rPr>
          <w:color w:val="000000" w:themeColor="text1"/>
        </w:rPr>
        <w:t> </w:t>
      </w:r>
      <w:r w:rsidRPr="00CB3251">
        <w:rPr>
          <w:color w:val="000000" w:themeColor="text1"/>
        </w:rPr>
        <w:t>мг может применяться после внутривенного ведения полной первой дозы препараты, в том числе у пациентов с затрудненным венозным доступом. Игла для подкожного введения должна быть присоединена к шприцу непосредственно перед введением препарата для предотвращения возможной закупорки иглы. Препарат вводится в течение 5 минут подкожно в переднюю брюшную стенку, исключая места гематом, уплотнений, повышенной чувствительности, покраснений, родимые пятна, ткани рубцов. В случае прерывания инъекции ее можно возобновить в том же самом месте или, при необходимости, изменить место инъекции. Препарат в лекарственной форме «раствор для подкожного введения» и другие препараты, также предназначенные для п/к введения, по возможности, следует вводить в разные места. Перед каждым применением препарата необходимо проводить премедикацию (анальгетик/антипиретик, например, парацетамол/кетопрофен; антигистаминный препарат, например, дифенгидрамин/клемастин). Если препарат применяется не в комбинации с химиотерапией, содержащей глюкокортикостероиды, то в состав премедикации также входят глюкокортикостероиды.</w:t>
      </w:r>
    </w:p>
    <w:p w14:paraId="74705236" w14:textId="1903ABAF" w:rsidR="00510F53" w:rsidRDefault="00510F53" w:rsidP="00510F53">
      <w:pPr>
        <w:tabs>
          <w:tab w:val="left" w:pos="0"/>
        </w:tabs>
        <w:ind w:firstLine="709"/>
        <w:rPr>
          <w:color w:val="000000" w:themeColor="text1"/>
        </w:rPr>
      </w:pPr>
    </w:p>
    <w:p w14:paraId="21A9BCEF" w14:textId="08ED2367" w:rsidR="00A1176C" w:rsidRDefault="00C90650" w:rsidP="00A1176C">
      <w:pPr>
        <w:pStyle w:val="2"/>
        <w:spacing w:before="0"/>
      </w:pPr>
      <w:bookmarkStart w:id="111" w:name="_Toc66096862"/>
      <w:r w:rsidRPr="000322E4">
        <w:t>Приложение А3.</w:t>
      </w:r>
      <w:r>
        <w:t xml:space="preserve">4. </w:t>
      </w:r>
      <w:r w:rsidR="00A1176C" w:rsidRPr="005E31D3">
        <w:rPr>
          <w:lang w:eastAsia="ru-RU"/>
        </w:rPr>
        <w:t>Профилактика и лечение тошноты и рвоты</w:t>
      </w:r>
      <w:bookmarkEnd w:id="111"/>
      <w:r w:rsidR="00A1176C" w:rsidRPr="009600FA">
        <w:rPr>
          <w:lang w:eastAsia="ru-RU"/>
        </w:rPr>
        <w:t xml:space="preserve"> </w:t>
      </w:r>
    </w:p>
    <w:p w14:paraId="351580F8" w14:textId="0CDE10AC" w:rsidR="00A1176C" w:rsidRPr="001957E3" w:rsidRDefault="00A1176C" w:rsidP="00A1176C">
      <w:pPr>
        <w:ind w:firstLine="709"/>
      </w:pPr>
      <w:r w:rsidRPr="001957E3">
        <w:t xml:space="preserve">Одним из частых клинически значимых побочных эффектов </w:t>
      </w:r>
      <w:r>
        <w:t>П</w:t>
      </w:r>
      <w:r w:rsidRPr="001957E3">
        <w:t xml:space="preserve">ХТ является тошнота и рвота. Эти побочные явления приводят не только к ухудшению самочувствия пациента, снижению качества жизни, но и препятствуют применению лекарственных препаратов в пероральной форме, а также приему пищи. Появление новых комбинаций противоопухолевых средств приводит к улучшению результатов терапии онкогематологических больных, однако выраженная тошнота и рвота могут ограничивать </w:t>
      </w:r>
      <w:r w:rsidRPr="001957E3">
        <w:lastRenderedPageBreak/>
        <w:t>применение химиопрепаратов в полных дозах, отрицательно влиять на приверженность больных лечению. В связи с этим контроль тошноты и рвоты играет жизненно важную роль в сопроводительной терапии больных гемобластозами</w:t>
      </w:r>
      <w:r>
        <w:t xml:space="preserve"> </w:t>
      </w:r>
      <w:r>
        <w:fldChar w:fldCharType="begin" w:fldLock="1"/>
      </w:r>
      <w:r w:rsidR="00FC25DA">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[114,189–194]","plainTextFormattedCitation":"[114,189–194]","previouslyFormattedCitation":"[114,189–194]"},"properties":{"noteIndex":0},"schema":"https://github.com/citation-style-language/schema/raw/master/csl-citation.json"}</w:instrText>
      </w:r>
      <w:r>
        <w:fldChar w:fldCharType="separate"/>
      </w:r>
      <w:r w:rsidR="00E974B2" w:rsidRPr="00E974B2">
        <w:rPr>
          <w:noProof/>
        </w:rPr>
        <w:t>[114,189–194]</w:t>
      </w:r>
      <w:r>
        <w:fldChar w:fldCharType="end"/>
      </w:r>
      <w:r w:rsidRPr="001957E3">
        <w:t xml:space="preserve">. </w:t>
      </w:r>
    </w:p>
    <w:p w14:paraId="15017241" w14:textId="77777777" w:rsidR="00A1176C" w:rsidRPr="001957E3" w:rsidRDefault="00A1176C" w:rsidP="00A1176C">
      <w:pPr>
        <w:ind w:firstLine="709"/>
      </w:pPr>
      <w:r w:rsidRPr="001957E3">
        <w:t>Тошнота и рвота развиваются при возбуждении рвотного центра несколькими путями - при воздействии нейротрансмиттеров на его рецепторы, или при поступлении в него импульсов от хеморецепторов триггерной зоны. Химическими веществами, вызывающими активацию рвотного центра, являются дофамин, серотонин, гистамин, ацетилхолин и субстанция Р (нейрокинин-1 - NK-1). Противорвотные препараты избирательно блокируют какой-либо из перечисленных нейротрансмиттеров.</w:t>
      </w:r>
    </w:p>
    <w:p w14:paraId="7388D804" w14:textId="77777777" w:rsidR="00A1176C" w:rsidRDefault="00A1176C" w:rsidP="00A1176C">
      <w:pPr>
        <w:pStyle w:val="Normal11"/>
        <w:tabs>
          <w:tab w:val="left" w:pos="0"/>
        </w:tabs>
        <w:spacing w:line="360" w:lineRule="auto"/>
        <w:ind w:firstLine="699"/>
        <w:jc w:val="both"/>
        <w:rPr>
          <w:bCs/>
          <w:i/>
          <w:iCs/>
          <w:u w:val="single"/>
          <w:shd w:val="clear" w:color="auto" w:fill="FFFFFF"/>
        </w:rPr>
      </w:pPr>
    </w:p>
    <w:p w14:paraId="63D3F854" w14:textId="77777777" w:rsidR="00A1176C" w:rsidRPr="00733870" w:rsidRDefault="00A1176C" w:rsidP="00A1176C">
      <w:pPr>
        <w:pStyle w:val="Normal11"/>
        <w:tabs>
          <w:tab w:val="left" w:pos="0"/>
        </w:tabs>
        <w:spacing w:line="360" w:lineRule="auto"/>
        <w:ind w:firstLine="699"/>
        <w:jc w:val="both"/>
        <w:rPr>
          <w:bCs/>
          <w:i/>
          <w:iCs/>
          <w:u w:val="single"/>
          <w:shd w:val="clear" w:color="auto" w:fill="FFFFFF"/>
        </w:rPr>
      </w:pPr>
      <w:r w:rsidRPr="00733870">
        <w:rPr>
          <w:bCs/>
          <w:i/>
          <w:iCs/>
          <w:u w:val="single"/>
          <w:shd w:val="clear" w:color="auto" w:fill="FFFFFF"/>
        </w:rPr>
        <w:t>Типы тошноты и рвоты</w:t>
      </w:r>
    </w:p>
    <w:p w14:paraId="55EA977D" w14:textId="77777777" w:rsidR="00A1176C" w:rsidRPr="001957E3" w:rsidRDefault="00A1176C" w:rsidP="00A1176C">
      <w:pPr>
        <w:pStyle w:val="afe"/>
        <w:numPr>
          <w:ilvl w:val="0"/>
          <w:numId w:val="125"/>
        </w:numPr>
        <w:contextualSpacing w:val="0"/>
      </w:pPr>
      <w:r w:rsidRPr="001957E3">
        <w:t xml:space="preserve">Острая рвота – развивается в первые 24 ч после </w:t>
      </w:r>
      <w:r>
        <w:t>П</w:t>
      </w:r>
      <w:r w:rsidRPr="001957E3">
        <w:t>ХТ; отличается высокой интенсивностью; редко сопровождается тошнотой.</w:t>
      </w:r>
    </w:p>
    <w:p w14:paraId="23C2829C" w14:textId="77777777" w:rsidR="00A1176C" w:rsidRPr="001957E3" w:rsidRDefault="00A1176C" w:rsidP="00A1176C">
      <w:pPr>
        <w:pStyle w:val="afe"/>
        <w:numPr>
          <w:ilvl w:val="0"/>
          <w:numId w:val="125"/>
        </w:numPr>
        <w:contextualSpacing w:val="0"/>
      </w:pPr>
      <w:r w:rsidRPr="001957E3">
        <w:t xml:space="preserve">Отсроченная рвота – развивается на 2-5 сутки после начала </w:t>
      </w:r>
      <w:r>
        <w:t>П</w:t>
      </w:r>
      <w:r w:rsidRPr="001957E3">
        <w:t>ХТ; менее интенсивна, чем острая; часто сопровождается постоянной тошнотой.</w:t>
      </w:r>
    </w:p>
    <w:p w14:paraId="7819593C" w14:textId="77777777" w:rsidR="00A1176C" w:rsidRPr="001957E3" w:rsidRDefault="00A1176C" w:rsidP="00A1176C">
      <w:pPr>
        <w:pStyle w:val="afe"/>
        <w:numPr>
          <w:ilvl w:val="0"/>
          <w:numId w:val="125"/>
        </w:numPr>
        <w:contextualSpacing w:val="0"/>
      </w:pPr>
      <w:r w:rsidRPr="001957E3">
        <w:t xml:space="preserve">Условно-рефлекторная рвота – развивается как условный рефлекс на </w:t>
      </w:r>
      <w:r>
        <w:t>П</w:t>
      </w:r>
      <w:r w:rsidRPr="001957E3">
        <w:t xml:space="preserve">ХТ и/или сопутствующие ей манипуляции и окружающую обстановку; риск ее развития увеличивается с количеством курсов </w:t>
      </w:r>
      <w:r>
        <w:t>П</w:t>
      </w:r>
      <w:r w:rsidRPr="001957E3">
        <w:t xml:space="preserve">ХТ; может сохраняться в течение длительного времени после окончания </w:t>
      </w:r>
      <w:r>
        <w:t>П</w:t>
      </w:r>
      <w:r w:rsidRPr="001957E3">
        <w:t>ХТ.</w:t>
      </w:r>
    </w:p>
    <w:p w14:paraId="7F814655" w14:textId="77777777" w:rsidR="00A1176C" w:rsidRPr="001957E3" w:rsidRDefault="00A1176C" w:rsidP="00A1176C">
      <w:pPr>
        <w:pStyle w:val="afe"/>
        <w:numPr>
          <w:ilvl w:val="0"/>
          <w:numId w:val="125"/>
        </w:numPr>
        <w:contextualSpacing w:val="0"/>
      </w:pPr>
      <w:r w:rsidRPr="001957E3">
        <w:t>Неконтролируемая тошнота и рвота – развивается на фоне адекватной антиэметической профилактики и требует дополнительной коррекции.</w:t>
      </w:r>
    </w:p>
    <w:p w14:paraId="1D742EAE" w14:textId="77777777" w:rsidR="00A1176C" w:rsidRPr="001957E3" w:rsidRDefault="00A1176C" w:rsidP="00A1176C">
      <w:pPr>
        <w:pStyle w:val="afe"/>
        <w:numPr>
          <w:ilvl w:val="0"/>
          <w:numId w:val="125"/>
        </w:numPr>
        <w:contextualSpacing w:val="0"/>
      </w:pPr>
      <w:r w:rsidRPr="001957E3">
        <w:t xml:space="preserve">Рефрактерная рвота – возникает на последующих курсах </w:t>
      </w:r>
      <w:r>
        <w:t>П</w:t>
      </w:r>
      <w:r w:rsidRPr="001957E3">
        <w:t>ХТ при неэффективности противорвотной профилактики и / или препаратов резерва на предыдущих курсах лечения.</w:t>
      </w:r>
    </w:p>
    <w:p w14:paraId="0D2F902C" w14:textId="77777777" w:rsidR="00A1176C" w:rsidRDefault="00A1176C" w:rsidP="00A1176C">
      <w:pPr>
        <w:pStyle w:val="Normal11"/>
        <w:tabs>
          <w:tab w:val="left" w:pos="0"/>
        </w:tabs>
        <w:spacing w:line="360" w:lineRule="auto"/>
        <w:ind w:left="0" w:firstLine="0"/>
        <w:jc w:val="both"/>
        <w:rPr>
          <w:b/>
          <w:shd w:val="clear" w:color="auto" w:fill="FFFFFF"/>
        </w:rPr>
      </w:pPr>
    </w:p>
    <w:p w14:paraId="74BA9BFB" w14:textId="77777777" w:rsidR="00A1176C" w:rsidRPr="00733870" w:rsidRDefault="00A1176C" w:rsidP="00A1176C">
      <w:pPr>
        <w:pStyle w:val="Normal11"/>
        <w:tabs>
          <w:tab w:val="left" w:pos="426"/>
        </w:tabs>
        <w:spacing w:line="360" w:lineRule="auto"/>
        <w:ind w:left="0" w:firstLine="426"/>
        <w:jc w:val="both"/>
        <w:rPr>
          <w:bCs/>
          <w:i/>
          <w:iCs/>
          <w:u w:val="single"/>
          <w:shd w:val="clear" w:color="auto" w:fill="FFFFFF"/>
        </w:rPr>
      </w:pPr>
      <w:r w:rsidRPr="00733870">
        <w:rPr>
          <w:bCs/>
          <w:i/>
          <w:iCs/>
          <w:u w:val="single"/>
          <w:shd w:val="clear" w:color="auto" w:fill="FFFFFF"/>
        </w:rPr>
        <w:t>Эметогенный потенциал противоопухолевых препаратов</w:t>
      </w:r>
    </w:p>
    <w:p w14:paraId="35FEEEA2" w14:textId="62A824B3" w:rsidR="00A1176C" w:rsidRPr="001957E3" w:rsidRDefault="00A1176C" w:rsidP="00A1176C">
      <w:pPr>
        <w:ind w:firstLine="709"/>
      </w:pPr>
      <w:r w:rsidRPr="001957E3">
        <w:t>Эметогенность – это риск развития рвоты у больных, получающих противоопухолевый препарат (в монорежиме, без противорвотной терапии). Выделено 4 градации эметогенного потенциала</w:t>
      </w:r>
      <w:r>
        <w:t xml:space="preserve"> (см. таблицу 1) </w:t>
      </w:r>
      <w:r>
        <w:fldChar w:fldCharType="begin" w:fldLock="1"/>
      </w:r>
      <w:r w:rsidR="00FC25DA">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[114,189–194]","plainTextFormattedCitation":"[114,189–194]","previouslyFormattedCitation":"[114,189–194]"},"properties":{"noteIndex":0},"schema":"https://github.com/citation-style-language/schema/raw/master/csl-citation.json"}</w:instrText>
      </w:r>
      <w:r>
        <w:fldChar w:fldCharType="separate"/>
      </w:r>
      <w:r w:rsidR="00E974B2" w:rsidRPr="00E974B2">
        <w:rPr>
          <w:noProof/>
        </w:rPr>
        <w:t>[114,189–194]</w:t>
      </w:r>
      <w:r>
        <w:fldChar w:fldCharType="end"/>
      </w:r>
      <w:r w:rsidRPr="001957E3">
        <w:t>:</w:t>
      </w:r>
    </w:p>
    <w:p w14:paraId="10159FD6" w14:textId="77777777" w:rsidR="00A1176C" w:rsidRPr="001957E3" w:rsidRDefault="00A1176C" w:rsidP="00A1176C">
      <w:pPr>
        <w:pStyle w:val="afe"/>
        <w:numPr>
          <w:ilvl w:val="0"/>
          <w:numId w:val="126"/>
        </w:numPr>
        <w:contextualSpacing w:val="0"/>
      </w:pPr>
      <w:r w:rsidRPr="001957E3">
        <w:t xml:space="preserve">минимальный </w:t>
      </w:r>
      <w:r>
        <w:t>–</w:t>
      </w:r>
      <w:r w:rsidRPr="001957E3">
        <w:t xml:space="preserve"> развитие рвоты менее чем у 10% </w:t>
      </w:r>
      <w:r>
        <w:t>пациентов</w:t>
      </w:r>
      <w:r w:rsidRPr="001957E3">
        <w:t>;</w:t>
      </w:r>
    </w:p>
    <w:p w14:paraId="28A18632" w14:textId="77777777" w:rsidR="00A1176C" w:rsidRPr="001957E3" w:rsidRDefault="00A1176C" w:rsidP="00A1176C">
      <w:pPr>
        <w:pStyle w:val="afe"/>
        <w:numPr>
          <w:ilvl w:val="0"/>
          <w:numId w:val="126"/>
        </w:numPr>
        <w:contextualSpacing w:val="0"/>
      </w:pPr>
      <w:r w:rsidRPr="001957E3">
        <w:t xml:space="preserve">низкий </w:t>
      </w:r>
      <w:r>
        <w:t>–</w:t>
      </w:r>
      <w:r w:rsidRPr="001957E3">
        <w:t xml:space="preserve"> развитие рвоты у 10 - 30% </w:t>
      </w:r>
      <w:r>
        <w:t>пациентов</w:t>
      </w:r>
      <w:r w:rsidRPr="001957E3">
        <w:t>;</w:t>
      </w:r>
    </w:p>
    <w:p w14:paraId="57A60182" w14:textId="77777777" w:rsidR="00A1176C" w:rsidRPr="001957E3" w:rsidRDefault="00A1176C" w:rsidP="00A1176C">
      <w:pPr>
        <w:pStyle w:val="afe"/>
        <w:numPr>
          <w:ilvl w:val="0"/>
          <w:numId w:val="126"/>
        </w:numPr>
        <w:contextualSpacing w:val="0"/>
      </w:pPr>
      <w:r w:rsidRPr="001957E3">
        <w:t xml:space="preserve">средний </w:t>
      </w:r>
      <w:r>
        <w:t>–</w:t>
      </w:r>
      <w:r w:rsidRPr="001957E3">
        <w:t xml:space="preserve"> развитие рвоты у 30 - 90% </w:t>
      </w:r>
      <w:r>
        <w:t>пациентов</w:t>
      </w:r>
      <w:r w:rsidRPr="001957E3">
        <w:t>;</w:t>
      </w:r>
    </w:p>
    <w:p w14:paraId="1694ADCC" w14:textId="77777777" w:rsidR="00A1176C" w:rsidRDefault="00A1176C" w:rsidP="00A1176C">
      <w:pPr>
        <w:pStyle w:val="afe"/>
        <w:numPr>
          <w:ilvl w:val="0"/>
          <w:numId w:val="126"/>
        </w:numPr>
        <w:contextualSpacing w:val="0"/>
      </w:pPr>
      <w:r w:rsidRPr="001957E3">
        <w:t xml:space="preserve">высокий </w:t>
      </w:r>
      <w:r>
        <w:t>–</w:t>
      </w:r>
      <w:r w:rsidRPr="001957E3">
        <w:t xml:space="preserve"> развитие рвоты более чем у 90% </w:t>
      </w:r>
      <w:r>
        <w:t>пациентов</w:t>
      </w:r>
      <w:r w:rsidRPr="001957E3">
        <w:t>.</w:t>
      </w:r>
    </w:p>
    <w:p w14:paraId="60DC2F38" w14:textId="77777777" w:rsidR="00A1176C" w:rsidRDefault="00A1176C" w:rsidP="00A1176C"/>
    <w:p w14:paraId="7A0C5573" w14:textId="77777777" w:rsidR="00A1176C" w:rsidRPr="001957E3" w:rsidRDefault="00A1176C" w:rsidP="00A1176C">
      <w:r>
        <w:t>Таблица 1. Уровень эметогенности основных противоопухолевых препаратов</w:t>
      </w:r>
    </w:p>
    <w:tbl>
      <w:tblPr>
        <w:tblStyle w:val="aff9"/>
        <w:tblW w:w="0" w:type="auto"/>
        <w:tblInd w:w="10" w:type="dxa"/>
        <w:tblLook w:val="04A0" w:firstRow="1" w:lastRow="0" w:firstColumn="1" w:lastColumn="0" w:noHBand="0" w:noVBand="1"/>
      </w:tblPr>
      <w:tblGrid>
        <w:gridCol w:w="1837"/>
        <w:gridCol w:w="3746"/>
        <w:gridCol w:w="3746"/>
      </w:tblGrid>
      <w:tr w:rsidR="00A1176C" w14:paraId="4682DCFE" w14:textId="77777777" w:rsidTr="002D3EBF">
        <w:trPr>
          <w:trHeight w:val="692"/>
        </w:trPr>
        <w:tc>
          <w:tcPr>
            <w:tcW w:w="1837" w:type="dxa"/>
          </w:tcPr>
          <w:p w14:paraId="46372260" w14:textId="77777777" w:rsidR="00A1176C" w:rsidRPr="00DE20E4" w:rsidRDefault="00A1176C" w:rsidP="002D3EBF">
            <w:pPr>
              <w:pStyle w:val="Normal11"/>
              <w:shd w:val="clear" w:color="auto" w:fill="auto"/>
              <w:tabs>
                <w:tab w:val="left" w:pos="0"/>
              </w:tabs>
              <w:spacing w:line="360" w:lineRule="auto"/>
              <w:ind w:left="57" w:right="57" w:firstLine="0"/>
              <w:jc w:val="both"/>
              <w:rPr>
                <w:b/>
                <w:sz w:val="22"/>
                <w:szCs w:val="22"/>
                <w:shd w:val="clear" w:color="auto" w:fill="FFFFFF"/>
              </w:rPr>
            </w:pPr>
            <w:r w:rsidRPr="00DE20E4">
              <w:rPr>
                <w:b/>
                <w:sz w:val="22"/>
                <w:szCs w:val="22"/>
                <w:shd w:val="clear" w:color="auto" w:fill="FFFFFF"/>
              </w:rPr>
              <w:lastRenderedPageBreak/>
              <w:t>Уровень эметогенности</w:t>
            </w:r>
          </w:p>
        </w:tc>
        <w:tc>
          <w:tcPr>
            <w:tcW w:w="3746" w:type="dxa"/>
          </w:tcPr>
          <w:p w14:paraId="4C2E919E" w14:textId="77777777" w:rsidR="00A1176C" w:rsidRPr="00DE20E4" w:rsidRDefault="00A1176C" w:rsidP="002D3EBF">
            <w:pPr>
              <w:pStyle w:val="Normal11"/>
              <w:shd w:val="clear" w:color="auto" w:fill="auto"/>
              <w:tabs>
                <w:tab w:val="left" w:pos="0"/>
              </w:tabs>
              <w:spacing w:line="360" w:lineRule="auto"/>
              <w:ind w:left="57" w:right="57" w:firstLine="0"/>
              <w:rPr>
                <w:b/>
                <w:sz w:val="22"/>
                <w:szCs w:val="22"/>
                <w:shd w:val="clear" w:color="auto" w:fill="FFFFFF"/>
              </w:rPr>
            </w:pPr>
            <w:r w:rsidRPr="00DE20E4">
              <w:rPr>
                <w:b/>
                <w:sz w:val="22"/>
                <w:szCs w:val="22"/>
                <w:shd w:val="clear" w:color="auto" w:fill="FFFFFF"/>
              </w:rPr>
              <w:t>Противоопухолевые препараты для внутривенного введения</w:t>
            </w:r>
          </w:p>
        </w:tc>
        <w:tc>
          <w:tcPr>
            <w:tcW w:w="3746" w:type="dxa"/>
          </w:tcPr>
          <w:p w14:paraId="319544F3" w14:textId="77777777" w:rsidR="00A1176C" w:rsidRPr="00DE20E4" w:rsidRDefault="00A1176C" w:rsidP="002D3EBF">
            <w:pPr>
              <w:pStyle w:val="Normal11"/>
              <w:shd w:val="clear" w:color="auto" w:fill="auto"/>
              <w:tabs>
                <w:tab w:val="left" w:pos="0"/>
              </w:tabs>
              <w:spacing w:line="360" w:lineRule="auto"/>
              <w:ind w:left="57" w:right="57" w:firstLine="0"/>
              <w:rPr>
                <w:b/>
                <w:sz w:val="22"/>
                <w:szCs w:val="22"/>
                <w:shd w:val="clear" w:color="auto" w:fill="FFFFFF"/>
              </w:rPr>
            </w:pPr>
            <w:r w:rsidRPr="00DE20E4">
              <w:rPr>
                <w:b/>
                <w:sz w:val="22"/>
                <w:szCs w:val="22"/>
                <w:shd w:val="clear" w:color="auto" w:fill="FFFFFF"/>
              </w:rPr>
              <w:t xml:space="preserve">Противоопухолевые препараты для перорального приема </w:t>
            </w:r>
          </w:p>
        </w:tc>
      </w:tr>
      <w:tr w:rsidR="00A1176C" w14:paraId="2E70C316" w14:textId="77777777" w:rsidTr="002D3EBF">
        <w:trPr>
          <w:trHeight w:val="692"/>
        </w:trPr>
        <w:tc>
          <w:tcPr>
            <w:tcW w:w="1837" w:type="dxa"/>
          </w:tcPr>
          <w:p w14:paraId="2564D763" w14:textId="77777777" w:rsidR="00A1176C" w:rsidRDefault="00A1176C" w:rsidP="002D3EBF">
            <w:pPr>
              <w:pStyle w:val="Normal11"/>
              <w:shd w:val="clear" w:color="auto" w:fill="auto"/>
              <w:tabs>
                <w:tab w:val="left" w:pos="0"/>
              </w:tabs>
              <w:spacing w:line="360" w:lineRule="auto"/>
              <w:ind w:left="57" w:right="57" w:firstLine="0"/>
              <w:jc w:val="both"/>
              <w:rPr>
                <w:sz w:val="22"/>
                <w:szCs w:val="22"/>
              </w:rPr>
            </w:pPr>
            <w:r w:rsidRPr="00DE20E4">
              <w:rPr>
                <w:sz w:val="22"/>
                <w:szCs w:val="22"/>
              </w:rPr>
              <w:t xml:space="preserve">Высокий </w:t>
            </w:r>
          </w:p>
          <w:p w14:paraId="28A7C603" w14:textId="77777777" w:rsidR="00A1176C" w:rsidRPr="00DE20E4" w:rsidRDefault="00A1176C" w:rsidP="002D3EBF">
            <w:pPr>
              <w:pStyle w:val="Normal11"/>
              <w:shd w:val="clear" w:color="auto" w:fill="auto"/>
              <w:tabs>
                <w:tab w:val="left" w:pos="0"/>
              </w:tabs>
              <w:spacing w:line="360" w:lineRule="auto"/>
              <w:ind w:left="57" w:right="57" w:firstLine="0"/>
              <w:jc w:val="both"/>
              <w:rPr>
                <w:sz w:val="22"/>
                <w:szCs w:val="22"/>
                <w:shd w:val="clear" w:color="auto" w:fill="FFFFFF"/>
              </w:rPr>
            </w:pPr>
            <w:r w:rsidRPr="00DE20E4">
              <w:rPr>
                <w:sz w:val="22"/>
                <w:szCs w:val="22"/>
              </w:rPr>
              <w:t>(</w:t>
            </w:r>
            <w:r w:rsidRPr="00DE20E4">
              <w:rPr>
                <w:sz w:val="22"/>
                <w:szCs w:val="22"/>
                <w:shd w:val="clear" w:color="auto" w:fill="FFFFFF"/>
              </w:rPr>
              <w:t>&gt;</w:t>
            </w:r>
            <w:r>
              <w:rPr>
                <w:sz w:val="22"/>
                <w:szCs w:val="22"/>
              </w:rPr>
              <w:t>90 %</w:t>
            </w:r>
            <w:r w:rsidRPr="00DE20E4">
              <w:rPr>
                <w:sz w:val="22"/>
                <w:szCs w:val="22"/>
              </w:rPr>
              <w:t>)</w:t>
            </w:r>
          </w:p>
        </w:tc>
        <w:tc>
          <w:tcPr>
            <w:tcW w:w="3746" w:type="dxa"/>
          </w:tcPr>
          <w:p w14:paraId="47641AC9" w14:textId="77777777" w:rsidR="00A1176C" w:rsidRPr="00DE20E4" w:rsidRDefault="00A1176C" w:rsidP="00A1176C">
            <w:pPr>
              <w:pStyle w:val="Normal11"/>
              <w:numPr>
                <w:ilvl w:val="0"/>
                <w:numId w:val="121"/>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 xml:space="preserve">комбинация антрациклин / циклофосфамид </w:t>
            </w:r>
          </w:p>
          <w:p w14:paraId="6664659D" w14:textId="77777777" w:rsidR="00A1176C" w:rsidRPr="00DE20E4" w:rsidRDefault="00A1176C" w:rsidP="00A1176C">
            <w:pPr>
              <w:pStyle w:val="Normal11"/>
              <w:numPr>
                <w:ilvl w:val="0"/>
                <w:numId w:val="121"/>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дакарбазин</w:t>
            </w:r>
          </w:p>
          <w:p w14:paraId="349B14A6" w14:textId="77777777" w:rsidR="00A1176C" w:rsidRPr="00DE20E4" w:rsidRDefault="00A1176C" w:rsidP="00A1176C">
            <w:pPr>
              <w:pStyle w:val="Normal11"/>
              <w:numPr>
                <w:ilvl w:val="0"/>
                <w:numId w:val="121"/>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кармустин</w:t>
            </w:r>
          </w:p>
          <w:p w14:paraId="3C73EB43" w14:textId="77777777" w:rsidR="00A1176C" w:rsidRPr="00DE20E4" w:rsidRDefault="00A1176C" w:rsidP="00A1176C">
            <w:pPr>
              <w:pStyle w:val="Normal11"/>
              <w:numPr>
                <w:ilvl w:val="0"/>
                <w:numId w:val="121"/>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мехлорэтамин</w:t>
            </w:r>
          </w:p>
          <w:p w14:paraId="461543B4" w14:textId="77777777" w:rsidR="00A1176C" w:rsidRPr="00DE20E4" w:rsidRDefault="00A1176C" w:rsidP="00A1176C">
            <w:pPr>
              <w:pStyle w:val="Normal11"/>
              <w:numPr>
                <w:ilvl w:val="0"/>
                <w:numId w:val="121"/>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стрептозоцин</w:t>
            </w:r>
          </w:p>
          <w:p w14:paraId="38D32C7A" w14:textId="77777777" w:rsidR="00A1176C" w:rsidRPr="00DE20E4" w:rsidRDefault="00A1176C" w:rsidP="00A1176C">
            <w:pPr>
              <w:pStyle w:val="Normal11"/>
              <w:numPr>
                <w:ilvl w:val="0"/>
                <w:numId w:val="121"/>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циклофосфамид ≥ 1500 мг / м</w:t>
            </w:r>
            <w:r w:rsidRPr="00046796">
              <w:rPr>
                <w:sz w:val="22"/>
                <w:szCs w:val="22"/>
                <w:shd w:val="clear" w:color="auto" w:fill="FFFFFF"/>
                <w:vertAlign w:val="superscript"/>
              </w:rPr>
              <w:t>2</w:t>
            </w:r>
          </w:p>
          <w:p w14:paraId="185E273A" w14:textId="77777777" w:rsidR="00A1176C" w:rsidRPr="00DE20E4" w:rsidRDefault="00A1176C" w:rsidP="00A1176C">
            <w:pPr>
              <w:pStyle w:val="Normal11"/>
              <w:numPr>
                <w:ilvl w:val="0"/>
                <w:numId w:val="121"/>
              </w:numPr>
              <w:shd w:val="clear" w:color="auto" w:fill="auto"/>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цисплатин</w:t>
            </w:r>
          </w:p>
        </w:tc>
        <w:tc>
          <w:tcPr>
            <w:tcW w:w="3746" w:type="dxa"/>
          </w:tcPr>
          <w:p w14:paraId="6F13ACEA" w14:textId="77777777" w:rsidR="00A1176C" w:rsidRPr="00DE20E4" w:rsidRDefault="00A1176C" w:rsidP="00A1176C">
            <w:pPr>
              <w:pStyle w:val="Normal11"/>
              <w:numPr>
                <w:ilvl w:val="0"/>
                <w:numId w:val="121"/>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гексаметилмеламин</w:t>
            </w:r>
          </w:p>
          <w:p w14:paraId="60DD8CD5" w14:textId="77777777" w:rsidR="00A1176C" w:rsidRPr="00DE20E4" w:rsidRDefault="00A1176C" w:rsidP="00A1176C">
            <w:pPr>
              <w:pStyle w:val="Normal11"/>
              <w:numPr>
                <w:ilvl w:val="0"/>
                <w:numId w:val="121"/>
              </w:numPr>
              <w:shd w:val="clear" w:color="auto" w:fill="auto"/>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прокарбазин</w:t>
            </w:r>
          </w:p>
        </w:tc>
      </w:tr>
      <w:tr w:rsidR="00A1176C" w14:paraId="68ABAE87" w14:textId="77777777" w:rsidTr="002D3EBF">
        <w:trPr>
          <w:trHeight w:val="692"/>
        </w:trPr>
        <w:tc>
          <w:tcPr>
            <w:tcW w:w="1837" w:type="dxa"/>
          </w:tcPr>
          <w:p w14:paraId="36F8F890" w14:textId="77777777" w:rsidR="00A1176C" w:rsidRPr="00DE20E4" w:rsidRDefault="00A1176C" w:rsidP="002D3EBF">
            <w:pPr>
              <w:pStyle w:val="Normal11"/>
              <w:shd w:val="clear" w:color="auto" w:fill="auto"/>
              <w:tabs>
                <w:tab w:val="left" w:pos="0"/>
              </w:tabs>
              <w:spacing w:line="360" w:lineRule="auto"/>
              <w:ind w:left="57" w:right="57" w:firstLine="0"/>
              <w:jc w:val="both"/>
              <w:rPr>
                <w:sz w:val="22"/>
                <w:szCs w:val="22"/>
                <w:shd w:val="clear" w:color="auto" w:fill="FFFFFF"/>
              </w:rPr>
            </w:pPr>
            <w:r w:rsidRPr="00DE20E4">
              <w:rPr>
                <w:sz w:val="22"/>
                <w:szCs w:val="22"/>
              </w:rPr>
              <w:t>Умеренный (30–90 %)</w:t>
            </w:r>
          </w:p>
        </w:tc>
        <w:tc>
          <w:tcPr>
            <w:tcW w:w="3746" w:type="dxa"/>
          </w:tcPr>
          <w:p w14:paraId="0864706D" w14:textId="77777777" w:rsidR="00A1176C" w:rsidRPr="00DE20E4" w:rsidRDefault="00A1176C" w:rsidP="00A1176C">
            <w:pPr>
              <w:pStyle w:val="Normal11"/>
              <w:numPr>
                <w:ilvl w:val="0"/>
                <w:numId w:val="12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азацитидин</w:t>
            </w:r>
          </w:p>
          <w:p w14:paraId="1039BD59" w14:textId="77777777" w:rsidR="00A1176C" w:rsidRPr="00DE20E4" w:rsidRDefault="00A1176C" w:rsidP="00A1176C">
            <w:pPr>
              <w:pStyle w:val="Normal11"/>
              <w:numPr>
                <w:ilvl w:val="0"/>
                <w:numId w:val="12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алемтузумаб</w:t>
            </w:r>
          </w:p>
          <w:p w14:paraId="1221B835" w14:textId="77777777" w:rsidR="00A1176C" w:rsidRPr="00DE20E4" w:rsidRDefault="00A1176C" w:rsidP="00A1176C">
            <w:pPr>
              <w:pStyle w:val="Normal11"/>
              <w:numPr>
                <w:ilvl w:val="0"/>
                <w:numId w:val="12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бендамустин</w:t>
            </w:r>
          </w:p>
          <w:p w14:paraId="32A47790" w14:textId="77777777" w:rsidR="00A1176C" w:rsidRPr="00DE20E4" w:rsidRDefault="00A1176C" w:rsidP="00A1176C">
            <w:pPr>
              <w:pStyle w:val="Normal11"/>
              <w:numPr>
                <w:ilvl w:val="0"/>
                <w:numId w:val="12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бусульфан</w:t>
            </w:r>
          </w:p>
          <w:p w14:paraId="6A8B8C87" w14:textId="77777777" w:rsidR="00A1176C" w:rsidRPr="00DE20E4" w:rsidRDefault="00A1176C" w:rsidP="00A1176C">
            <w:pPr>
              <w:pStyle w:val="Normal11"/>
              <w:numPr>
                <w:ilvl w:val="0"/>
                <w:numId w:val="12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даунорубицин</w:t>
            </w:r>
          </w:p>
          <w:p w14:paraId="069B003F" w14:textId="77777777" w:rsidR="00A1176C" w:rsidRPr="00DE20E4" w:rsidRDefault="00A1176C" w:rsidP="00A1176C">
            <w:pPr>
              <w:pStyle w:val="Normal11"/>
              <w:numPr>
                <w:ilvl w:val="0"/>
                <w:numId w:val="12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доксорубицин</w:t>
            </w:r>
          </w:p>
          <w:p w14:paraId="03652544" w14:textId="77777777" w:rsidR="00A1176C" w:rsidRPr="00DE20E4" w:rsidRDefault="00A1176C" w:rsidP="00A1176C">
            <w:pPr>
              <w:pStyle w:val="Normal11"/>
              <w:numPr>
                <w:ilvl w:val="0"/>
                <w:numId w:val="12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идарубицин</w:t>
            </w:r>
          </w:p>
          <w:p w14:paraId="5A5353E7" w14:textId="77777777" w:rsidR="00A1176C" w:rsidRPr="00DE20E4" w:rsidRDefault="00A1176C" w:rsidP="00A1176C">
            <w:pPr>
              <w:pStyle w:val="Normal11"/>
              <w:numPr>
                <w:ilvl w:val="0"/>
                <w:numId w:val="12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иринотекан</w:t>
            </w:r>
          </w:p>
          <w:p w14:paraId="49C6B995" w14:textId="77777777" w:rsidR="00A1176C" w:rsidRPr="002C441B" w:rsidRDefault="00A1176C" w:rsidP="00A1176C">
            <w:pPr>
              <w:pStyle w:val="Normal11"/>
              <w:numPr>
                <w:ilvl w:val="0"/>
                <w:numId w:val="12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 xml:space="preserve">иринотекан </w:t>
            </w:r>
            <w:r w:rsidRPr="002C441B">
              <w:rPr>
                <w:sz w:val="22"/>
                <w:szCs w:val="22"/>
                <w:shd w:val="clear" w:color="auto" w:fill="FFFFFF"/>
              </w:rPr>
              <w:t>[</w:t>
            </w:r>
            <w:r w:rsidRPr="00DE20E4">
              <w:rPr>
                <w:sz w:val="22"/>
                <w:szCs w:val="22"/>
                <w:shd w:val="clear" w:color="auto" w:fill="FFFFFF"/>
              </w:rPr>
              <w:t>липосомальная форма</w:t>
            </w:r>
            <w:r w:rsidRPr="002C441B">
              <w:rPr>
                <w:sz w:val="22"/>
                <w:szCs w:val="22"/>
                <w:shd w:val="clear" w:color="auto" w:fill="FFFFFF"/>
              </w:rPr>
              <w:t>]</w:t>
            </w:r>
          </w:p>
          <w:p w14:paraId="67CA5BD9" w14:textId="77777777" w:rsidR="00A1176C" w:rsidRPr="00DE20E4" w:rsidRDefault="00A1176C" w:rsidP="00A1176C">
            <w:pPr>
              <w:pStyle w:val="Normal11"/>
              <w:numPr>
                <w:ilvl w:val="0"/>
                <w:numId w:val="12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ифосфамид</w:t>
            </w:r>
          </w:p>
          <w:p w14:paraId="5932820D" w14:textId="77777777" w:rsidR="00A1176C" w:rsidRPr="00DE20E4" w:rsidRDefault="00A1176C" w:rsidP="00A1176C">
            <w:pPr>
              <w:pStyle w:val="Normal11"/>
              <w:numPr>
                <w:ilvl w:val="0"/>
                <w:numId w:val="12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карбоплатин</w:t>
            </w:r>
          </w:p>
          <w:p w14:paraId="01B40DFC" w14:textId="77777777" w:rsidR="00A1176C" w:rsidRPr="00DE20E4" w:rsidRDefault="00A1176C" w:rsidP="00A1176C">
            <w:pPr>
              <w:pStyle w:val="Normal11"/>
              <w:numPr>
                <w:ilvl w:val="0"/>
                <w:numId w:val="12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клофарабин</w:t>
            </w:r>
          </w:p>
          <w:p w14:paraId="7389272E" w14:textId="77777777" w:rsidR="00A1176C" w:rsidRPr="00DE20E4" w:rsidRDefault="00A1176C" w:rsidP="00A1176C">
            <w:pPr>
              <w:pStyle w:val="Normal11"/>
              <w:numPr>
                <w:ilvl w:val="0"/>
                <w:numId w:val="12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оксалиплатин</w:t>
            </w:r>
          </w:p>
          <w:p w14:paraId="6FB0F71D" w14:textId="77777777" w:rsidR="00A1176C" w:rsidRPr="00DE20E4" w:rsidRDefault="00A1176C" w:rsidP="00A1176C">
            <w:pPr>
              <w:pStyle w:val="Normal11"/>
              <w:numPr>
                <w:ilvl w:val="0"/>
                <w:numId w:val="12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 xml:space="preserve">ромидепсин </w:t>
            </w:r>
          </w:p>
          <w:p w14:paraId="7304F790" w14:textId="77777777" w:rsidR="00A1176C" w:rsidRPr="00DE20E4" w:rsidRDefault="00A1176C" w:rsidP="00A1176C">
            <w:pPr>
              <w:pStyle w:val="Normal11"/>
              <w:numPr>
                <w:ilvl w:val="0"/>
                <w:numId w:val="12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темозоломид</w:t>
            </w:r>
          </w:p>
          <w:p w14:paraId="209A3C09" w14:textId="77777777" w:rsidR="00A1176C" w:rsidRPr="00DE20E4" w:rsidRDefault="00A1176C" w:rsidP="00A1176C">
            <w:pPr>
              <w:pStyle w:val="Normal11"/>
              <w:numPr>
                <w:ilvl w:val="0"/>
                <w:numId w:val="12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тиотепа</w:t>
            </w:r>
          </w:p>
          <w:p w14:paraId="57FDEE53" w14:textId="77777777" w:rsidR="00A1176C" w:rsidRPr="00DE20E4" w:rsidRDefault="00A1176C" w:rsidP="00A1176C">
            <w:pPr>
              <w:pStyle w:val="Normal11"/>
              <w:numPr>
                <w:ilvl w:val="0"/>
                <w:numId w:val="12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трабектедин</w:t>
            </w:r>
          </w:p>
          <w:p w14:paraId="43ACC3D0" w14:textId="77777777" w:rsidR="00A1176C" w:rsidRPr="00DE20E4" w:rsidRDefault="00A1176C" w:rsidP="00A1176C">
            <w:pPr>
              <w:pStyle w:val="Normal11"/>
              <w:numPr>
                <w:ilvl w:val="0"/>
                <w:numId w:val="12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циклофосфамид &lt;1500 мг / м</w:t>
            </w:r>
            <w:r w:rsidRPr="00046796">
              <w:rPr>
                <w:sz w:val="22"/>
                <w:szCs w:val="22"/>
                <w:shd w:val="clear" w:color="auto" w:fill="FFFFFF"/>
                <w:vertAlign w:val="superscript"/>
              </w:rPr>
              <w:t>2</w:t>
            </w:r>
          </w:p>
          <w:p w14:paraId="55E0DE59" w14:textId="77777777" w:rsidR="00A1176C" w:rsidRPr="00DE20E4" w:rsidRDefault="00A1176C" w:rsidP="00A1176C">
            <w:pPr>
              <w:pStyle w:val="Normal11"/>
              <w:numPr>
                <w:ilvl w:val="0"/>
                <w:numId w:val="12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цитарабин</w:t>
            </w:r>
            <w:r>
              <w:rPr>
                <w:sz w:val="22"/>
                <w:szCs w:val="22"/>
                <w:shd w:val="clear" w:color="auto" w:fill="FFFFFF"/>
              </w:rPr>
              <w:t xml:space="preserve"> </w:t>
            </w:r>
            <w:r w:rsidRPr="00DE20E4">
              <w:rPr>
                <w:sz w:val="22"/>
                <w:szCs w:val="22"/>
                <w:shd w:val="clear" w:color="auto" w:fill="FFFFFF"/>
              </w:rPr>
              <w:t>&gt;1000 мг / м</w:t>
            </w:r>
            <w:r w:rsidRPr="00046796">
              <w:rPr>
                <w:sz w:val="22"/>
                <w:szCs w:val="22"/>
                <w:shd w:val="clear" w:color="auto" w:fill="FFFFFF"/>
                <w:vertAlign w:val="superscript"/>
              </w:rPr>
              <w:t>2</w:t>
            </w:r>
          </w:p>
          <w:p w14:paraId="2EBEE9BB" w14:textId="77777777" w:rsidR="00A1176C" w:rsidRPr="00DE20E4" w:rsidRDefault="00A1176C" w:rsidP="00A1176C">
            <w:pPr>
              <w:pStyle w:val="Normal11"/>
              <w:numPr>
                <w:ilvl w:val="0"/>
                <w:numId w:val="122"/>
              </w:numPr>
              <w:shd w:val="clear" w:color="auto" w:fill="auto"/>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эпирубицин</w:t>
            </w:r>
          </w:p>
        </w:tc>
        <w:tc>
          <w:tcPr>
            <w:tcW w:w="3746" w:type="dxa"/>
          </w:tcPr>
          <w:p w14:paraId="6D1965E6" w14:textId="77777777" w:rsidR="00A1176C" w:rsidRPr="00DE20E4" w:rsidRDefault="00A1176C" w:rsidP="00A1176C">
            <w:pPr>
              <w:pStyle w:val="Normal11"/>
              <w:numPr>
                <w:ilvl w:val="0"/>
                <w:numId w:val="122"/>
              </w:numPr>
              <w:tabs>
                <w:tab w:val="left" w:pos="0"/>
              </w:tabs>
              <w:overflowPunct/>
              <w:autoSpaceDE/>
              <w:autoSpaceDN/>
              <w:adjustRightInd/>
              <w:spacing w:line="360" w:lineRule="auto"/>
              <w:ind w:left="57" w:right="57"/>
              <w:textAlignment w:val="auto"/>
              <w:rPr>
                <w:sz w:val="22"/>
                <w:szCs w:val="22"/>
                <w:shd w:val="clear" w:color="auto" w:fill="FFFFFF"/>
              </w:rPr>
            </w:pPr>
            <w:r>
              <w:rPr>
                <w:sz w:val="22"/>
                <w:szCs w:val="22"/>
                <w:shd w:val="clear" w:color="auto" w:fill="FFFFFF"/>
              </w:rPr>
              <w:t>б</w:t>
            </w:r>
            <w:r w:rsidRPr="00DE20E4">
              <w:rPr>
                <w:sz w:val="22"/>
                <w:szCs w:val="22"/>
                <w:shd w:val="clear" w:color="auto" w:fill="FFFFFF"/>
              </w:rPr>
              <w:t>осутиниб</w:t>
            </w:r>
          </w:p>
          <w:p w14:paraId="026726E3" w14:textId="77777777" w:rsidR="00A1176C" w:rsidRPr="00DE20E4" w:rsidRDefault="00A1176C" w:rsidP="00A1176C">
            <w:pPr>
              <w:pStyle w:val="Normal11"/>
              <w:numPr>
                <w:ilvl w:val="0"/>
                <w:numId w:val="12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винорельбин</w:t>
            </w:r>
          </w:p>
          <w:p w14:paraId="4A4B8F88" w14:textId="77777777" w:rsidR="00A1176C" w:rsidRDefault="00A1176C" w:rsidP="00A1176C">
            <w:pPr>
              <w:pStyle w:val="Normal11"/>
              <w:numPr>
                <w:ilvl w:val="0"/>
                <w:numId w:val="122"/>
              </w:numPr>
              <w:shd w:val="clear" w:color="auto" w:fill="auto"/>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иматиниб</w:t>
            </w:r>
          </w:p>
          <w:p w14:paraId="4FCE2FAC" w14:textId="77777777" w:rsidR="00A1176C" w:rsidRPr="00DE20E4" w:rsidRDefault="00A1176C" w:rsidP="00A1176C">
            <w:pPr>
              <w:pStyle w:val="Normal11"/>
              <w:numPr>
                <w:ilvl w:val="0"/>
                <w:numId w:val="122"/>
              </w:numPr>
              <w:shd w:val="clear" w:color="auto" w:fill="auto"/>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кабозантиниб</w:t>
            </w:r>
          </w:p>
          <w:p w14:paraId="3407AD1B" w14:textId="77777777" w:rsidR="00A1176C" w:rsidRPr="00DE20E4" w:rsidRDefault="00A1176C" w:rsidP="00A1176C">
            <w:pPr>
              <w:pStyle w:val="Normal11"/>
              <w:numPr>
                <w:ilvl w:val="0"/>
                <w:numId w:val="12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кризотиниб</w:t>
            </w:r>
          </w:p>
          <w:p w14:paraId="2588B38F" w14:textId="77777777" w:rsidR="00A1176C" w:rsidRPr="00DE20E4" w:rsidRDefault="00A1176C" w:rsidP="00A1176C">
            <w:pPr>
              <w:pStyle w:val="Normal11"/>
              <w:numPr>
                <w:ilvl w:val="0"/>
                <w:numId w:val="12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ленватиниб</w:t>
            </w:r>
          </w:p>
          <w:p w14:paraId="085D4B1F" w14:textId="77777777" w:rsidR="00A1176C" w:rsidRDefault="00A1176C" w:rsidP="00A1176C">
            <w:pPr>
              <w:pStyle w:val="Normal11"/>
              <w:numPr>
                <w:ilvl w:val="0"/>
                <w:numId w:val="12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темозоломид</w:t>
            </w:r>
          </w:p>
          <w:p w14:paraId="7E179363" w14:textId="77777777" w:rsidR="00A1176C" w:rsidRPr="00DE20E4" w:rsidRDefault="00A1176C" w:rsidP="00A1176C">
            <w:pPr>
              <w:pStyle w:val="Normal11"/>
              <w:numPr>
                <w:ilvl w:val="0"/>
                <w:numId w:val="122"/>
              </w:numPr>
              <w:tabs>
                <w:tab w:val="left" w:pos="0"/>
              </w:tabs>
              <w:overflowPunct/>
              <w:autoSpaceDE/>
              <w:autoSpaceDN/>
              <w:adjustRightInd/>
              <w:spacing w:line="360" w:lineRule="auto"/>
              <w:ind w:left="57" w:right="57"/>
              <w:textAlignment w:val="auto"/>
              <w:rPr>
                <w:sz w:val="22"/>
                <w:szCs w:val="22"/>
                <w:shd w:val="clear" w:color="auto" w:fill="FFFFFF"/>
              </w:rPr>
            </w:pPr>
            <w:r>
              <w:rPr>
                <w:sz w:val="22"/>
                <w:szCs w:val="22"/>
                <w:shd w:val="clear" w:color="auto" w:fill="FFFFFF"/>
              </w:rPr>
              <w:t>трифлуридин-типирацил</w:t>
            </w:r>
          </w:p>
          <w:p w14:paraId="697E46D5" w14:textId="77777777" w:rsidR="00A1176C" w:rsidRPr="00DE20E4" w:rsidRDefault="00A1176C" w:rsidP="00A1176C">
            <w:pPr>
              <w:pStyle w:val="Normal11"/>
              <w:numPr>
                <w:ilvl w:val="0"/>
                <w:numId w:val="12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церитиниб</w:t>
            </w:r>
          </w:p>
          <w:p w14:paraId="2C703B9D" w14:textId="77777777" w:rsidR="00A1176C" w:rsidRPr="00DE20E4" w:rsidRDefault="00A1176C" w:rsidP="00A1176C">
            <w:pPr>
              <w:pStyle w:val="Normal11"/>
              <w:numPr>
                <w:ilvl w:val="0"/>
                <w:numId w:val="122"/>
              </w:numPr>
              <w:shd w:val="clear" w:color="auto" w:fill="auto"/>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циклофосфамид</w:t>
            </w:r>
          </w:p>
        </w:tc>
      </w:tr>
      <w:tr w:rsidR="00A1176C" w14:paraId="72D1F8C3" w14:textId="77777777" w:rsidTr="002D3EBF">
        <w:trPr>
          <w:trHeight w:val="692"/>
        </w:trPr>
        <w:tc>
          <w:tcPr>
            <w:tcW w:w="1837" w:type="dxa"/>
          </w:tcPr>
          <w:p w14:paraId="1D536F99" w14:textId="77777777" w:rsidR="00A1176C" w:rsidRDefault="00A1176C" w:rsidP="002D3EBF">
            <w:pPr>
              <w:pStyle w:val="Normal11"/>
              <w:shd w:val="clear" w:color="auto" w:fill="auto"/>
              <w:tabs>
                <w:tab w:val="left" w:pos="0"/>
              </w:tabs>
              <w:spacing w:line="360" w:lineRule="auto"/>
              <w:ind w:left="57" w:right="57" w:firstLine="0"/>
              <w:jc w:val="both"/>
              <w:rPr>
                <w:sz w:val="22"/>
                <w:szCs w:val="22"/>
              </w:rPr>
            </w:pPr>
            <w:r w:rsidRPr="00DE20E4">
              <w:rPr>
                <w:sz w:val="22"/>
                <w:szCs w:val="22"/>
              </w:rPr>
              <w:t xml:space="preserve">Низкий </w:t>
            </w:r>
          </w:p>
          <w:p w14:paraId="24ED1268" w14:textId="77777777" w:rsidR="00A1176C" w:rsidRPr="00DE20E4" w:rsidRDefault="00A1176C" w:rsidP="002D3EBF">
            <w:pPr>
              <w:pStyle w:val="Normal11"/>
              <w:shd w:val="clear" w:color="auto" w:fill="auto"/>
              <w:tabs>
                <w:tab w:val="left" w:pos="0"/>
              </w:tabs>
              <w:spacing w:line="360" w:lineRule="auto"/>
              <w:ind w:left="57" w:right="57" w:firstLine="0"/>
              <w:jc w:val="both"/>
              <w:rPr>
                <w:sz w:val="22"/>
                <w:szCs w:val="22"/>
                <w:shd w:val="clear" w:color="auto" w:fill="FFFFFF"/>
              </w:rPr>
            </w:pPr>
            <w:r w:rsidRPr="00DE20E4">
              <w:rPr>
                <w:sz w:val="22"/>
                <w:szCs w:val="22"/>
              </w:rPr>
              <w:t>(10–30 %)</w:t>
            </w:r>
          </w:p>
        </w:tc>
        <w:tc>
          <w:tcPr>
            <w:tcW w:w="3746" w:type="dxa"/>
          </w:tcPr>
          <w:p w14:paraId="35E7E0BF"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Pr>
                <w:sz w:val="22"/>
                <w:szCs w:val="22"/>
                <w:shd w:val="clear" w:color="auto" w:fill="FFFFFF"/>
              </w:rPr>
              <w:t>а</w:t>
            </w:r>
            <w:r w:rsidRPr="00DE20E4">
              <w:rPr>
                <w:sz w:val="22"/>
                <w:szCs w:val="22"/>
                <w:shd w:val="clear" w:color="auto" w:fill="FFFFFF"/>
              </w:rPr>
              <w:t>тезолизумаб</w:t>
            </w:r>
          </w:p>
          <w:p w14:paraId="1BA5C55F"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Pr>
                <w:sz w:val="22"/>
                <w:szCs w:val="22"/>
                <w:shd w:val="clear" w:color="auto" w:fill="FFFFFF"/>
              </w:rPr>
              <w:t>а</w:t>
            </w:r>
            <w:r w:rsidRPr="00DE20E4">
              <w:rPr>
                <w:sz w:val="22"/>
                <w:szCs w:val="22"/>
                <w:shd w:val="clear" w:color="auto" w:fill="FFFFFF"/>
              </w:rPr>
              <w:t>флиберцепт</w:t>
            </w:r>
          </w:p>
          <w:p w14:paraId="41919A04"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Pr>
                <w:sz w:val="22"/>
                <w:szCs w:val="22"/>
                <w:shd w:val="clear" w:color="auto" w:fill="FFFFFF"/>
              </w:rPr>
              <w:t>б</w:t>
            </w:r>
            <w:r w:rsidRPr="00DE20E4">
              <w:rPr>
                <w:sz w:val="22"/>
                <w:szCs w:val="22"/>
                <w:shd w:val="clear" w:color="auto" w:fill="FFFFFF"/>
              </w:rPr>
              <w:t>елиностат</w:t>
            </w:r>
          </w:p>
          <w:p w14:paraId="09CE5064"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блинатумомаб</w:t>
            </w:r>
          </w:p>
          <w:p w14:paraId="4AEEC400"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бортезомиб</w:t>
            </w:r>
          </w:p>
          <w:p w14:paraId="44E20C44"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lastRenderedPageBreak/>
              <w:t>брентуксимаб</w:t>
            </w:r>
          </w:p>
          <w:p w14:paraId="2EFD657F"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винфлунин</w:t>
            </w:r>
          </w:p>
          <w:p w14:paraId="4A2B75FA"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гемцитабин</w:t>
            </w:r>
          </w:p>
          <w:p w14:paraId="0059E48C"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доксорубици</w:t>
            </w:r>
            <w:r>
              <w:rPr>
                <w:sz w:val="22"/>
                <w:szCs w:val="22"/>
                <w:shd w:val="clear" w:color="auto" w:fill="FFFFFF"/>
              </w:rPr>
              <w:t xml:space="preserve">н </w:t>
            </w:r>
            <w:r w:rsidRPr="00DE20E4">
              <w:rPr>
                <w:sz w:val="22"/>
                <w:szCs w:val="22"/>
                <w:shd w:val="clear" w:color="auto" w:fill="FFFFFF"/>
              </w:rPr>
              <w:t>пегилированный</w:t>
            </w:r>
            <w:r>
              <w:rPr>
                <w:sz w:val="22"/>
                <w:szCs w:val="22"/>
                <w:shd w:val="clear" w:color="auto" w:fill="FFFFFF"/>
              </w:rPr>
              <w:t xml:space="preserve"> </w:t>
            </w:r>
            <w:r w:rsidRPr="00DE20E4">
              <w:rPr>
                <w:sz w:val="22"/>
                <w:szCs w:val="22"/>
                <w:shd w:val="clear" w:color="auto" w:fill="FFFFFF"/>
              </w:rPr>
              <w:t>липосомальный</w:t>
            </w:r>
          </w:p>
          <w:p w14:paraId="13A1717B"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доцетаксел</w:t>
            </w:r>
          </w:p>
          <w:p w14:paraId="338B2C04"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иксабепилон</w:t>
            </w:r>
          </w:p>
          <w:p w14:paraId="7D245D5D"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ипилимумаб</w:t>
            </w:r>
          </w:p>
          <w:p w14:paraId="771EA8E0"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кабазитаксел</w:t>
            </w:r>
          </w:p>
          <w:p w14:paraId="6E418F62"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карфилзомиб</w:t>
            </w:r>
          </w:p>
          <w:p w14:paraId="6426A619"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катумаксумаб</w:t>
            </w:r>
          </w:p>
          <w:p w14:paraId="39BF04E5"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метотрексат</w:t>
            </w:r>
          </w:p>
          <w:p w14:paraId="702B89AC"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митоксантрон</w:t>
            </w:r>
          </w:p>
          <w:p w14:paraId="514D8C6F"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митомицин</w:t>
            </w:r>
          </w:p>
          <w:p w14:paraId="27116F65"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наб-паклитаксел</w:t>
            </w:r>
          </w:p>
          <w:p w14:paraId="62EB2CD6"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нецитумумаб</w:t>
            </w:r>
          </w:p>
          <w:p w14:paraId="732401F4"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паклитаксел</w:t>
            </w:r>
          </w:p>
          <w:p w14:paraId="476BE347"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панитумумаб</w:t>
            </w:r>
          </w:p>
          <w:p w14:paraId="10FAFB87"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пеметрексед</w:t>
            </w:r>
          </w:p>
          <w:p w14:paraId="079030A1"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пертузумаб</w:t>
            </w:r>
          </w:p>
          <w:p w14:paraId="41A64803"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темсиролимус</w:t>
            </w:r>
          </w:p>
          <w:p w14:paraId="2325656C"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топотекан</w:t>
            </w:r>
          </w:p>
          <w:p w14:paraId="6CB09AE7"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трастузумаб-эмтанзин</w:t>
            </w:r>
          </w:p>
          <w:p w14:paraId="4E337260"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цетуксимаб</w:t>
            </w:r>
          </w:p>
          <w:p w14:paraId="26B79A6D"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цитарабин ≤ 1000 мг / м</w:t>
            </w:r>
            <w:r w:rsidRPr="00046796">
              <w:rPr>
                <w:sz w:val="22"/>
                <w:szCs w:val="22"/>
                <w:shd w:val="clear" w:color="auto" w:fill="FFFFFF"/>
                <w:vertAlign w:val="superscript"/>
              </w:rPr>
              <w:t>2</w:t>
            </w:r>
          </w:p>
          <w:p w14:paraId="6CAC215C"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элотузумаб</w:t>
            </w:r>
          </w:p>
          <w:p w14:paraId="2288B77E" w14:textId="77777777" w:rsidR="00A1176C" w:rsidRPr="00DE20E4" w:rsidRDefault="00A1176C" w:rsidP="00A1176C">
            <w:pPr>
              <w:pStyle w:val="Normal11"/>
              <w:numPr>
                <w:ilvl w:val="0"/>
                <w:numId w:val="123"/>
              </w:numPr>
              <w:tabs>
                <w:tab w:val="left" w:pos="0"/>
                <w:tab w:val="left" w:pos="1515"/>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эрибулин</w:t>
            </w:r>
            <w:r w:rsidRPr="00DE20E4">
              <w:rPr>
                <w:sz w:val="22"/>
                <w:szCs w:val="22"/>
                <w:shd w:val="clear" w:color="auto" w:fill="FFFFFF"/>
              </w:rPr>
              <w:tab/>
            </w:r>
          </w:p>
          <w:p w14:paraId="71F413FE"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этопозид</w:t>
            </w:r>
          </w:p>
          <w:p w14:paraId="3BAFF275" w14:textId="77777777" w:rsidR="00A1176C" w:rsidRPr="00DE20E4" w:rsidRDefault="00A1176C" w:rsidP="00A1176C">
            <w:pPr>
              <w:pStyle w:val="Normal11"/>
              <w:numPr>
                <w:ilvl w:val="0"/>
                <w:numId w:val="123"/>
              </w:numPr>
              <w:shd w:val="clear" w:color="auto" w:fill="auto"/>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5</w:t>
            </w:r>
            <w:r w:rsidRPr="00DE20E4">
              <w:rPr>
                <w:rFonts w:ascii="MS Mincho" w:eastAsia="MS Mincho" w:hAnsi="MS Mincho" w:cs="MS Mincho" w:hint="eastAsia"/>
                <w:sz w:val="22"/>
                <w:szCs w:val="22"/>
                <w:shd w:val="clear" w:color="auto" w:fill="FFFFFF"/>
              </w:rPr>
              <w:t>‑</w:t>
            </w:r>
            <w:r w:rsidRPr="00DE20E4">
              <w:rPr>
                <w:sz w:val="22"/>
                <w:szCs w:val="22"/>
                <w:shd w:val="clear" w:color="auto" w:fill="FFFFFF"/>
              </w:rPr>
              <w:t>фторурацил</w:t>
            </w:r>
          </w:p>
        </w:tc>
        <w:tc>
          <w:tcPr>
            <w:tcW w:w="3746" w:type="dxa"/>
          </w:tcPr>
          <w:p w14:paraId="67F53DA8"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Pr>
                <w:sz w:val="22"/>
                <w:szCs w:val="22"/>
                <w:shd w:val="clear" w:color="auto" w:fill="FFFFFF"/>
              </w:rPr>
              <w:lastRenderedPageBreak/>
              <w:t>а</w:t>
            </w:r>
            <w:r w:rsidRPr="00DE20E4">
              <w:rPr>
                <w:sz w:val="22"/>
                <w:szCs w:val="22"/>
                <w:shd w:val="clear" w:color="auto" w:fill="FFFFFF"/>
              </w:rPr>
              <w:t>ксатиниб</w:t>
            </w:r>
          </w:p>
          <w:p w14:paraId="464B36FD" w14:textId="77777777" w:rsidR="00A1176C" w:rsidRPr="00015EAB"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Pr>
                <w:sz w:val="22"/>
                <w:szCs w:val="22"/>
                <w:shd w:val="clear" w:color="auto" w:fill="FFFFFF"/>
              </w:rPr>
              <w:t>а</w:t>
            </w:r>
            <w:r w:rsidRPr="00015EAB">
              <w:rPr>
                <w:sz w:val="22"/>
                <w:szCs w:val="22"/>
                <w:shd w:val="clear" w:color="auto" w:fill="FFFFFF"/>
              </w:rPr>
              <w:t xml:space="preserve">лектиниб </w:t>
            </w:r>
          </w:p>
          <w:p w14:paraId="4E896366" w14:textId="77777777" w:rsidR="00A1176C" w:rsidRPr="00015EAB"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афатиниб</w:t>
            </w:r>
          </w:p>
          <w:p w14:paraId="07B71195" w14:textId="77777777" w:rsidR="00A1176C" w:rsidRPr="00015EAB"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вандетаниб</w:t>
            </w:r>
          </w:p>
          <w:p w14:paraId="152A2639" w14:textId="77777777" w:rsidR="00A1176C" w:rsidRPr="00015EAB"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венетоклакс</w:t>
            </w:r>
          </w:p>
          <w:p w14:paraId="0D0908D0" w14:textId="77777777" w:rsidR="00A1176C" w:rsidRPr="00015EAB"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lastRenderedPageBreak/>
              <w:t>вориностат</w:t>
            </w:r>
          </w:p>
          <w:p w14:paraId="2EA3DE91" w14:textId="77777777" w:rsidR="00A1176C" w:rsidRPr="00015EAB"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дабрафениб</w:t>
            </w:r>
          </w:p>
          <w:p w14:paraId="5F9E33B2" w14:textId="77777777" w:rsidR="00A1176C" w:rsidRPr="00015EAB"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дазатиниб</w:t>
            </w:r>
          </w:p>
          <w:p w14:paraId="53321765" w14:textId="77777777" w:rsidR="00A1176C" w:rsidRPr="00015EAB"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ибрутиниб</w:t>
            </w:r>
          </w:p>
          <w:p w14:paraId="43B84E77" w14:textId="77777777" w:rsidR="00A1176C" w:rsidRPr="00015EAB"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 xml:space="preserve">иделалисиб </w:t>
            </w:r>
          </w:p>
          <w:p w14:paraId="10A6FDBB" w14:textId="77777777" w:rsidR="00A1176C" w:rsidRPr="00015EAB"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иксазомиб</w:t>
            </w:r>
          </w:p>
          <w:p w14:paraId="7160A1E2" w14:textId="77777777" w:rsidR="00A1176C" w:rsidRPr="00015EAB"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капецитабин</w:t>
            </w:r>
          </w:p>
          <w:p w14:paraId="232F48B9" w14:textId="77777777" w:rsidR="00A1176C" w:rsidRPr="00015EAB"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кобиметиниб</w:t>
            </w:r>
          </w:p>
          <w:p w14:paraId="6805B127" w14:textId="77777777" w:rsidR="00A1176C" w:rsidRPr="00015EAB"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лапатиниб</w:t>
            </w:r>
          </w:p>
          <w:p w14:paraId="3D6A1E1A" w14:textId="77777777" w:rsidR="00A1176C" w:rsidRPr="00015EAB"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леналидомид</w:t>
            </w:r>
          </w:p>
          <w:p w14:paraId="2B11ABBB" w14:textId="77777777" w:rsidR="00A1176C" w:rsidRPr="00015EAB"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нилотиниб</w:t>
            </w:r>
          </w:p>
          <w:p w14:paraId="5FF5E811" w14:textId="77777777" w:rsidR="00A1176C" w:rsidRPr="00015EAB"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олапариб</w:t>
            </w:r>
          </w:p>
          <w:p w14:paraId="77D4CAC9" w14:textId="77777777" w:rsidR="00A1176C" w:rsidRPr="00015EAB"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осимертиниб</w:t>
            </w:r>
          </w:p>
          <w:p w14:paraId="39746F77" w14:textId="77777777" w:rsidR="00A1176C" w:rsidRPr="00015EAB"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пазопаниб</w:t>
            </w:r>
          </w:p>
          <w:p w14:paraId="42E4F82E" w14:textId="77777777" w:rsidR="00A1176C" w:rsidRPr="00015EAB"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палбоциклиб</w:t>
            </w:r>
          </w:p>
          <w:p w14:paraId="6511CF48" w14:textId="77777777" w:rsidR="00A1176C" w:rsidRPr="00015EAB"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панобиностат</w:t>
            </w:r>
          </w:p>
          <w:p w14:paraId="7749DD70" w14:textId="77777777" w:rsidR="00A1176C" w:rsidRPr="00015EAB"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понатиниб</w:t>
            </w:r>
          </w:p>
          <w:p w14:paraId="67C0FB2F" w14:textId="77777777" w:rsidR="00A1176C" w:rsidRPr="00015EAB"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регорафениб</w:t>
            </w:r>
          </w:p>
          <w:p w14:paraId="717130AF" w14:textId="77777777" w:rsidR="00A1176C" w:rsidRPr="00015EAB"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сонидегиб</w:t>
            </w:r>
          </w:p>
          <w:p w14:paraId="1E659805"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сунитиниб</w:t>
            </w:r>
          </w:p>
          <w:p w14:paraId="3A85C7C4"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талидомид</w:t>
            </w:r>
          </w:p>
          <w:p w14:paraId="394D7CC6"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тегафур-урацил</w:t>
            </w:r>
          </w:p>
          <w:p w14:paraId="6CB89836"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траметиниб</w:t>
            </w:r>
          </w:p>
          <w:p w14:paraId="00B4391F" w14:textId="77777777" w:rsidR="00A1176C" w:rsidRPr="00DE20E4" w:rsidRDefault="00A1176C" w:rsidP="00A1176C">
            <w:pPr>
              <w:pStyle w:val="Normal11"/>
              <w:numPr>
                <w:ilvl w:val="0"/>
                <w:numId w:val="12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флударабин</w:t>
            </w:r>
          </w:p>
          <w:p w14:paraId="1D000426" w14:textId="77777777" w:rsidR="00A1176C" w:rsidRPr="00DE20E4" w:rsidRDefault="00A1176C" w:rsidP="00A1176C">
            <w:pPr>
              <w:pStyle w:val="Normal11"/>
              <w:numPr>
                <w:ilvl w:val="0"/>
                <w:numId w:val="123"/>
              </w:numPr>
              <w:shd w:val="clear" w:color="auto" w:fill="auto"/>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эверолимус</w:t>
            </w:r>
          </w:p>
          <w:p w14:paraId="24ABEDE4" w14:textId="77777777" w:rsidR="00A1176C" w:rsidRPr="00DE20E4" w:rsidRDefault="00A1176C" w:rsidP="00A1176C">
            <w:pPr>
              <w:pStyle w:val="Normal11"/>
              <w:numPr>
                <w:ilvl w:val="0"/>
                <w:numId w:val="123"/>
              </w:numPr>
              <w:shd w:val="clear" w:color="auto" w:fill="auto"/>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 xml:space="preserve">этопозид </w:t>
            </w:r>
          </w:p>
        </w:tc>
      </w:tr>
      <w:tr w:rsidR="00A1176C" w14:paraId="4C8F4660" w14:textId="77777777" w:rsidTr="002D3EBF">
        <w:trPr>
          <w:trHeight w:val="692"/>
        </w:trPr>
        <w:tc>
          <w:tcPr>
            <w:tcW w:w="1837" w:type="dxa"/>
          </w:tcPr>
          <w:p w14:paraId="7C414A7C" w14:textId="77777777" w:rsidR="00A1176C" w:rsidRPr="00DE20E4" w:rsidRDefault="00A1176C" w:rsidP="002D3EBF">
            <w:pPr>
              <w:pStyle w:val="Normal11"/>
              <w:shd w:val="clear" w:color="auto" w:fill="auto"/>
              <w:tabs>
                <w:tab w:val="left" w:pos="0"/>
              </w:tabs>
              <w:spacing w:line="360" w:lineRule="auto"/>
              <w:ind w:left="57" w:right="57" w:firstLine="0"/>
              <w:jc w:val="both"/>
              <w:rPr>
                <w:sz w:val="22"/>
                <w:szCs w:val="22"/>
                <w:shd w:val="clear" w:color="auto" w:fill="FFFFFF"/>
              </w:rPr>
            </w:pPr>
            <w:r w:rsidRPr="00DE20E4">
              <w:rPr>
                <w:sz w:val="22"/>
                <w:szCs w:val="22"/>
              </w:rPr>
              <w:lastRenderedPageBreak/>
              <w:t>Минимальный (&lt;10 %)</w:t>
            </w:r>
          </w:p>
        </w:tc>
        <w:tc>
          <w:tcPr>
            <w:tcW w:w="3746" w:type="dxa"/>
          </w:tcPr>
          <w:p w14:paraId="6FD36005" w14:textId="77777777" w:rsidR="00A1176C" w:rsidRPr="00DE20E4" w:rsidRDefault="00A1176C" w:rsidP="00A1176C">
            <w:pPr>
              <w:pStyle w:val="Normal11"/>
              <w:numPr>
                <w:ilvl w:val="0"/>
                <w:numId w:val="124"/>
              </w:numPr>
              <w:tabs>
                <w:tab w:val="left" w:pos="0"/>
              </w:tabs>
              <w:overflowPunct/>
              <w:autoSpaceDE/>
              <w:autoSpaceDN/>
              <w:adjustRightInd/>
              <w:spacing w:line="360" w:lineRule="auto"/>
              <w:ind w:left="57" w:right="57"/>
              <w:textAlignment w:val="auto"/>
              <w:rPr>
                <w:sz w:val="22"/>
                <w:szCs w:val="22"/>
                <w:shd w:val="clear" w:color="auto" w:fill="FFFFFF"/>
              </w:rPr>
            </w:pPr>
            <w:r>
              <w:rPr>
                <w:sz w:val="22"/>
                <w:szCs w:val="22"/>
                <w:shd w:val="clear" w:color="auto" w:fill="FFFFFF"/>
              </w:rPr>
              <w:t>б</w:t>
            </w:r>
            <w:r w:rsidRPr="00DE20E4">
              <w:rPr>
                <w:sz w:val="22"/>
                <w:szCs w:val="22"/>
                <w:shd w:val="clear" w:color="auto" w:fill="FFFFFF"/>
              </w:rPr>
              <w:t>евацизумаб</w:t>
            </w:r>
          </w:p>
          <w:p w14:paraId="1B178C17" w14:textId="77777777" w:rsidR="00A1176C" w:rsidRPr="00DE20E4" w:rsidRDefault="00A1176C" w:rsidP="00A1176C">
            <w:pPr>
              <w:pStyle w:val="Normal11"/>
              <w:numPr>
                <w:ilvl w:val="0"/>
                <w:numId w:val="124"/>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блеомицин</w:t>
            </w:r>
          </w:p>
          <w:p w14:paraId="716613F6" w14:textId="77777777" w:rsidR="00A1176C" w:rsidRPr="00DE20E4" w:rsidRDefault="00A1176C" w:rsidP="00A1176C">
            <w:pPr>
              <w:pStyle w:val="Normal11"/>
              <w:numPr>
                <w:ilvl w:val="0"/>
                <w:numId w:val="124"/>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винбластин</w:t>
            </w:r>
          </w:p>
          <w:p w14:paraId="7418BAC0" w14:textId="77777777" w:rsidR="00A1176C" w:rsidRPr="00DE20E4" w:rsidRDefault="00A1176C" w:rsidP="00A1176C">
            <w:pPr>
              <w:pStyle w:val="Normal11"/>
              <w:numPr>
                <w:ilvl w:val="0"/>
                <w:numId w:val="124"/>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винкристин</w:t>
            </w:r>
          </w:p>
          <w:p w14:paraId="73C157A6" w14:textId="77777777" w:rsidR="00A1176C" w:rsidRPr="00DE20E4" w:rsidRDefault="00A1176C" w:rsidP="00A1176C">
            <w:pPr>
              <w:pStyle w:val="Normal11"/>
              <w:numPr>
                <w:ilvl w:val="0"/>
                <w:numId w:val="124"/>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винорельбин</w:t>
            </w:r>
          </w:p>
          <w:p w14:paraId="5B4C7DE7" w14:textId="77777777" w:rsidR="00A1176C" w:rsidRPr="00DE20E4" w:rsidRDefault="00A1176C" w:rsidP="00A1176C">
            <w:pPr>
              <w:pStyle w:val="Normal11"/>
              <w:numPr>
                <w:ilvl w:val="0"/>
                <w:numId w:val="124"/>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даратумумаб</w:t>
            </w:r>
          </w:p>
          <w:p w14:paraId="2086F7D6" w14:textId="77777777" w:rsidR="00A1176C" w:rsidRPr="00DE20E4" w:rsidRDefault="00A1176C" w:rsidP="00A1176C">
            <w:pPr>
              <w:pStyle w:val="Normal11"/>
              <w:numPr>
                <w:ilvl w:val="0"/>
                <w:numId w:val="124"/>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кладрибин</w:t>
            </w:r>
          </w:p>
          <w:p w14:paraId="74DE9C50" w14:textId="77777777" w:rsidR="00A1176C" w:rsidRPr="00DE20E4" w:rsidRDefault="00A1176C" w:rsidP="00A1176C">
            <w:pPr>
              <w:pStyle w:val="Normal11"/>
              <w:numPr>
                <w:ilvl w:val="0"/>
                <w:numId w:val="124"/>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lastRenderedPageBreak/>
              <w:t>ниволумаб</w:t>
            </w:r>
          </w:p>
          <w:p w14:paraId="1B1FA585" w14:textId="77777777" w:rsidR="00A1176C" w:rsidRPr="00DE20E4" w:rsidRDefault="00A1176C" w:rsidP="00A1176C">
            <w:pPr>
              <w:pStyle w:val="Normal11"/>
              <w:numPr>
                <w:ilvl w:val="0"/>
                <w:numId w:val="124"/>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обинутузумаб</w:t>
            </w:r>
          </w:p>
          <w:p w14:paraId="281DADEB" w14:textId="77777777" w:rsidR="00A1176C" w:rsidRPr="00DE20E4" w:rsidRDefault="00A1176C" w:rsidP="00A1176C">
            <w:pPr>
              <w:pStyle w:val="Normal11"/>
              <w:numPr>
                <w:ilvl w:val="0"/>
                <w:numId w:val="124"/>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офатумумаб</w:t>
            </w:r>
          </w:p>
          <w:p w14:paraId="15A5D89B" w14:textId="77777777" w:rsidR="00A1176C" w:rsidRPr="00DE20E4" w:rsidRDefault="00A1176C" w:rsidP="00A1176C">
            <w:pPr>
              <w:pStyle w:val="Normal11"/>
              <w:numPr>
                <w:ilvl w:val="0"/>
                <w:numId w:val="124"/>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пембролизумаб</w:t>
            </w:r>
          </w:p>
          <w:p w14:paraId="167369AF" w14:textId="77777777" w:rsidR="00A1176C" w:rsidRPr="00DE20E4" w:rsidRDefault="00A1176C" w:rsidP="00A1176C">
            <w:pPr>
              <w:pStyle w:val="Normal11"/>
              <w:numPr>
                <w:ilvl w:val="0"/>
                <w:numId w:val="124"/>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пиксантрон</w:t>
            </w:r>
          </w:p>
          <w:p w14:paraId="64AA1AF7" w14:textId="77777777" w:rsidR="00A1176C" w:rsidRPr="00DE20E4" w:rsidRDefault="00A1176C" w:rsidP="00A1176C">
            <w:pPr>
              <w:pStyle w:val="Normal11"/>
              <w:numPr>
                <w:ilvl w:val="0"/>
                <w:numId w:val="124"/>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пралатрексат</w:t>
            </w:r>
          </w:p>
          <w:p w14:paraId="6CD95F01" w14:textId="77777777" w:rsidR="00A1176C" w:rsidRPr="00DE20E4" w:rsidRDefault="00A1176C" w:rsidP="00A1176C">
            <w:pPr>
              <w:pStyle w:val="Normal11"/>
              <w:numPr>
                <w:ilvl w:val="0"/>
                <w:numId w:val="124"/>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рамуцирумаб</w:t>
            </w:r>
          </w:p>
          <w:p w14:paraId="6A1E8B11" w14:textId="77777777" w:rsidR="00A1176C" w:rsidRPr="00FA793D" w:rsidRDefault="00A1176C" w:rsidP="00A1176C">
            <w:pPr>
              <w:pStyle w:val="Normal11"/>
              <w:numPr>
                <w:ilvl w:val="0"/>
                <w:numId w:val="124"/>
              </w:numPr>
              <w:tabs>
                <w:tab w:val="left" w:pos="0"/>
              </w:tabs>
              <w:overflowPunct/>
              <w:autoSpaceDE/>
              <w:autoSpaceDN/>
              <w:adjustRightInd/>
              <w:spacing w:line="360" w:lineRule="auto"/>
              <w:ind w:left="57" w:right="57"/>
              <w:textAlignment w:val="auto"/>
              <w:rPr>
                <w:sz w:val="22"/>
                <w:szCs w:val="22"/>
                <w:shd w:val="clear" w:color="auto" w:fill="FFFFFF"/>
              </w:rPr>
            </w:pPr>
            <w:r w:rsidRPr="00FA793D">
              <w:rPr>
                <w:sz w:val="22"/>
                <w:szCs w:val="22"/>
                <w:shd w:val="clear" w:color="auto" w:fill="FFFFFF"/>
              </w:rPr>
              <w:t>ритуксимаб</w:t>
            </w:r>
          </w:p>
          <w:p w14:paraId="30CA05FC" w14:textId="77777777" w:rsidR="00A1176C" w:rsidRPr="00FA793D" w:rsidRDefault="00A1176C" w:rsidP="00A1176C">
            <w:pPr>
              <w:pStyle w:val="Normal11"/>
              <w:numPr>
                <w:ilvl w:val="0"/>
                <w:numId w:val="124"/>
              </w:numPr>
              <w:tabs>
                <w:tab w:val="left" w:pos="0"/>
              </w:tabs>
              <w:overflowPunct/>
              <w:autoSpaceDE/>
              <w:autoSpaceDN/>
              <w:adjustRightInd/>
              <w:spacing w:line="360" w:lineRule="auto"/>
              <w:ind w:left="57" w:right="57"/>
              <w:textAlignment w:val="auto"/>
              <w:rPr>
                <w:sz w:val="22"/>
                <w:szCs w:val="22"/>
                <w:shd w:val="clear" w:color="auto" w:fill="FFFFFF"/>
              </w:rPr>
            </w:pPr>
            <w:r w:rsidRPr="00FA793D">
              <w:rPr>
                <w:sz w:val="22"/>
                <w:szCs w:val="22"/>
                <w:shd w:val="clear" w:color="auto" w:fill="FFFFFF"/>
              </w:rPr>
              <w:t>трастузумаб</w:t>
            </w:r>
          </w:p>
          <w:p w14:paraId="51546339" w14:textId="77777777" w:rsidR="00A1176C" w:rsidRPr="00FA793D" w:rsidRDefault="00A1176C" w:rsidP="00A1176C">
            <w:pPr>
              <w:pStyle w:val="Normal11"/>
              <w:numPr>
                <w:ilvl w:val="0"/>
                <w:numId w:val="124"/>
              </w:numPr>
              <w:shd w:val="clear" w:color="auto" w:fill="auto"/>
              <w:tabs>
                <w:tab w:val="left" w:pos="0"/>
              </w:tabs>
              <w:overflowPunct/>
              <w:autoSpaceDE/>
              <w:autoSpaceDN/>
              <w:adjustRightInd/>
              <w:spacing w:line="360" w:lineRule="auto"/>
              <w:ind w:left="57" w:right="57"/>
              <w:textAlignment w:val="auto"/>
              <w:rPr>
                <w:sz w:val="22"/>
                <w:szCs w:val="22"/>
                <w:shd w:val="clear" w:color="auto" w:fill="FFFFFF"/>
              </w:rPr>
            </w:pPr>
            <w:r w:rsidRPr="00FA793D">
              <w:rPr>
                <w:sz w:val="22"/>
                <w:szCs w:val="22"/>
                <w:shd w:val="clear" w:color="auto" w:fill="FFFFFF"/>
              </w:rPr>
              <w:t>флударабин</w:t>
            </w:r>
          </w:p>
          <w:p w14:paraId="2D6F50E8" w14:textId="77777777" w:rsidR="00A1176C" w:rsidRPr="00DE20E4" w:rsidRDefault="00A1176C" w:rsidP="00A1176C">
            <w:pPr>
              <w:pStyle w:val="Normal11"/>
              <w:numPr>
                <w:ilvl w:val="0"/>
                <w:numId w:val="124"/>
              </w:numPr>
              <w:shd w:val="clear" w:color="auto" w:fill="auto"/>
              <w:tabs>
                <w:tab w:val="left" w:pos="0"/>
              </w:tabs>
              <w:overflowPunct/>
              <w:autoSpaceDE/>
              <w:autoSpaceDN/>
              <w:adjustRightInd/>
              <w:spacing w:line="360" w:lineRule="auto"/>
              <w:ind w:left="57" w:right="57"/>
              <w:textAlignment w:val="auto"/>
              <w:rPr>
                <w:sz w:val="22"/>
                <w:szCs w:val="22"/>
                <w:shd w:val="clear" w:color="auto" w:fill="FFFFFF"/>
              </w:rPr>
            </w:pPr>
            <w:r w:rsidRPr="00FA793D">
              <w:rPr>
                <w:sz w:val="22"/>
                <w:szCs w:val="22"/>
                <w:shd w:val="clear" w:color="auto" w:fill="FFFFFF"/>
              </w:rPr>
              <w:t>2-хлордеоксиаденозин</w:t>
            </w:r>
          </w:p>
        </w:tc>
        <w:tc>
          <w:tcPr>
            <w:tcW w:w="3746" w:type="dxa"/>
          </w:tcPr>
          <w:p w14:paraId="227FADE6" w14:textId="77777777" w:rsidR="00A1176C" w:rsidRPr="00DE20E4" w:rsidRDefault="00A1176C" w:rsidP="00A1176C">
            <w:pPr>
              <w:pStyle w:val="Normal11"/>
              <w:numPr>
                <w:ilvl w:val="0"/>
                <w:numId w:val="124"/>
              </w:numPr>
              <w:tabs>
                <w:tab w:val="left" w:pos="0"/>
              </w:tabs>
              <w:overflowPunct/>
              <w:autoSpaceDE/>
              <w:autoSpaceDN/>
              <w:adjustRightInd/>
              <w:spacing w:line="360" w:lineRule="auto"/>
              <w:ind w:left="57" w:right="57"/>
              <w:textAlignment w:val="auto"/>
              <w:rPr>
                <w:sz w:val="22"/>
                <w:szCs w:val="22"/>
                <w:shd w:val="clear" w:color="auto" w:fill="FFFFFF"/>
              </w:rPr>
            </w:pPr>
            <w:r>
              <w:rPr>
                <w:sz w:val="22"/>
                <w:szCs w:val="22"/>
                <w:shd w:val="clear" w:color="auto" w:fill="FFFFFF"/>
              </w:rPr>
              <w:lastRenderedPageBreak/>
              <w:t>б</w:t>
            </w:r>
            <w:r w:rsidRPr="00DE20E4">
              <w:rPr>
                <w:sz w:val="22"/>
                <w:szCs w:val="22"/>
                <w:shd w:val="clear" w:color="auto" w:fill="FFFFFF"/>
              </w:rPr>
              <w:t>усульфан</w:t>
            </w:r>
          </w:p>
          <w:p w14:paraId="173F0D53" w14:textId="77777777" w:rsidR="00A1176C" w:rsidRPr="00DE20E4" w:rsidRDefault="00A1176C" w:rsidP="00A1176C">
            <w:pPr>
              <w:pStyle w:val="Normal11"/>
              <w:numPr>
                <w:ilvl w:val="0"/>
                <w:numId w:val="124"/>
              </w:numPr>
              <w:tabs>
                <w:tab w:val="left" w:pos="0"/>
              </w:tabs>
              <w:overflowPunct/>
              <w:autoSpaceDE/>
              <w:autoSpaceDN/>
              <w:adjustRightInd/>
              <w:spacing w:line="360" w:lineRule="auto"/>
              <w:ind w:left="57" w:right="57"/>
              <w:textAlignment w:val="auto"/>
              <w:rPr>
                <w:sz w:val="22"/>
                <w:szCs w:val="22"/>
                <w:shd w:val="clear" w:color="auto" w:fill="FFFFFF"/>
              </w:rPr>
            </w:pPr>
            <w:r>
              <w:rPr>
                <w:sz w:val="22"/>
                <w:szCs w:val="22"/>
                <w:shd w:val="clear" w:color="auto" w:fill="FFFFFF"/>
              </w:rPr>
              <w:t>в</w:t>
            </w:r>
            <w:r w:rsidRPr="00DE20E4">
              <w:rPr>
                <w:sz w:val="22"/>
                <w:szCs w:val="22"/>
                <w:shd w:val="clear" w:color="auto" w:fill="FFFFFF"/>
              </w:rPr>
              <w:t>емурафениб</w:t>
            </w:r>
          </w:p>
          <w:p w14:paraId="68EEE88A" w14:textId="77777777" w:rsidR="00A1176C" w:rsidRPr="00DE20E4" w:rsidRDefault="00A1176C" w:rsidP="00A1176C">
            <w:pPr>
              <w:pStyle w:val="Normal11"/>
              <w:numPr>
                <w:ilvl w:val="0"/>
                <w:numId w:val="124"/>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висмодегиб</w:t>
            </w:r>
          </w:p>
          <w:p w14:paraId="305BE999" w14:textId="77777777" w:rsidR="00A1176C" w:rsidRPr="00DE20E4" w:rsidRDefault="00A1176C" w:rsidP="00A1176C">
            <w:pPr>
              <w:pStyle w:val="Normal11"/>
              <w:numPr>
                <w:ilvl w:val="0"/>
                <w:numId w:val="124"/>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гефитиниб</w:t>
            </w:r>
          </w:p>
          <w:p w14:paraId="511D68E6" w14:textId="77777777" w:rsidR="00A1176C" w:rsidRPr="00DE20E4" w:rsidRDefault="00A1176C" w:rsidP="00A1176C">
            <w:pPr>
              <w:pStyle w:val="Normal11"/>
              <w:numPr>
                <w:ilvl w:val="0"/>
                <w:numId w:val="124"/>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гидроксиуреа</w:t>
            </w:r>
          </w:p>
          <w:p w14:paraId="704E22FB" w14:textId="77777777" w:rsidR="00A1176C" w:rsidRPr="00DE20E4" w:rsidRDefault="00A1176C" w:rsidP="00A1176C">
            <w:pPr>
              <w:pStyle w:val="Normal11"/>
              <w:numPr>
                <w:ilvl w:val="0"/>
                <w:numId w:val="124"/>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мелфалан</w:t>
            </w:r>
          </w:p>
          <w:p w14:paraId="00A0F8D0" w14:textId="77777777" w:rsidR="00A1176C" w:rsidRPr="00DE20E4" w:rsidRDefault="00A1176C" w:rsidP="00A1176C">
            <w:pPr>
              <w:pStyle w:val="Normal11"/>
              <w:numPr>
                <w:ilvl w:val="0"/>
                <w:numId w:val="124"/>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метотрексат</w:t>
            </w:r>
          </w:p>
          <w:p w14:paraId="3A760054" w14:textId="77777777" w:rsidR="00A1176C" w:rsidRPr="00DE20E4" w:rsidRDefault="00A1176C" w:rsidP="00A1176C">
            <w:pPr>
              <w:pStyle w:val="Normal11"/>
              <w:numPr>
                <w:ilvl w:val="0"/>
                <w:numId w:val="124"/>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lastRenderedPageBreak/>
              <w:t>помалидомид</w:t>
            </w:r>
          </w:p>
          <w:p w14:paraId="5BF77C45" w14:textId="77777777" w:rsidR="00A1176C" w:rsidRPr="00DE20E4" w:rsidRDefault="00A1176C" w:rsidP="00A1176C">
            <w:pPr>
              <w:pStyle w:val="Normal11"/>
              <w:numPr>
                <w:ilvl w:val="0"/>
                <w:numId w:val="124"/>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руксолитиниб</w:t>
            </w:r>
          </w:p>
          <w:p w14:paraId="40673BA2" w14:textId="77777777" w:rsidR="00A1176C" w:rsidRPr="00DE20E4" w:rsidRDefault="00A1176C" w:rsidP="00A1176C">
            <w:pPr>
              <w:pStyle w:val="Normal11"/>
              <w:numPr>
                <w:ilvl w:val="0"/>
                <w:numId w:val="124"/>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сорафениб</w:t>
            </w:r>
          </w:p>
          <w:p w14:paraId="53678427" w14:textId="77777777" w:rsidR="00A1176C" w:rsidRPr="00DE20E4" w:rsidRDefault="00A1176C" w:rsidP="00A1176C">
            <w:pPr>
              <w:pStyle w:val="Normal11"/>
              <w:numPr>
                <w:ilvl w:val="0"/>
                <w:numId w:val="124"/>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хлорамбуцил</w:t>
            </w:r>
          </w:p>
          <w:p w14:paraId="45459EE4" w14:textId="77777777" w:rsidR="00A1176C" w:rsidRPr="00DE20E4" w:rsidRDefault="00A1176C" w:rsidP="00A1176C">
            <w:pPr>
              <w:pStyle w:val="Normal11"/>
              <w:numPr>
                <w:ilvl w:val="0"/>
                <w:numId w:val="124"/>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эрлотиниб</w:t>
            </w:r>
          </w:p>
          <w:p w14:paraId="1AED58B0" w14:textId="77777777" w:rsidR="00A1176C" w:rsidRPr="00DE20E4" w:rsidRDefault="00A1176C" w:rsidP="00A1176C">
            <w:pPr>
              <w:pStyle w:val="Normal11"/>
              <w:numPr>
                <w:ilvl w:val="0"/>
                <w:numId w:val="124"/>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6</w:t>
            </w:r>
            <w:r w:rsidRPr="00DE20E4">
              <w:rPr>
                <w:rFonts w:ascii="MS Mincho" w:eastAsia="MS Mincho" w:hAnsi="MS Mincho" w:cs="MS Mincho" w:hint="eastAsia"/>
                <w:sz w:val="22"/>
                <w:szCs w:val="22"/>
                <w:shd w:val="clear" w:color="auto" w:fill="FFFFFF"/>
              </w:rPr>
              <w:t>‑</w:t>
            </w:r>
            <w:r w:rsidRPr="00DE20E4">
              <w:rPr>
                <w:sz w:val="22"/>
                <w:szCs w:val="22"/>
                <w:shd w:val="clear" w:color="auto" w:fill="FFFFFF"/>
              </w:rPr>
              <w:t>тиогуанин</w:t>
            </w:r>
          </w:p>
          <w:p w14:paraId="1E7012D5" w14:textId="77777777" w:rsidR="00A1176C" w:rsidRPr="00DE20E4" w:rsidRDefault="00A1176C" w:rsidP="002D3EBF">
            <w:pPr>
              <w:pStyle w:val="Normal11"/>
              <w:shd w:val="clear" w:color="auto" w:fill="auto"/>
              <w:tabs>
                <w:tab w:val="left" w:pos="0"/>
              </w:tabs>
              <w:spacing w:line="360" w:lineRule="auto"/>
              <w:ind w:left="57" w:right="57" w:firstLine="0"/>
              <w:rPr>
                <w:sz w:val="22"/>
                <w:szCs w:val="22"/>
                <w:shd w:val="clear" w:color="auto" w:fill="FFFFFF"/>
              </w:rPr>
            </w:pPr>
          </w:p>
        </w:tc>
      </w:tr>
    </w:tbl>
    <w:p w14:paraId="2F8BB847" w14:textId="77777777" w:rsidR="00A1176C" w:rsidRDefault="00A1176C" w:rsidP="00A1176C"/>
    <w:p w14:paraId="1E2948BF" w14:textId="56C1F4A5" w:rsidR="00A1176C" w:rsidRDefault="00A1176C" w:rsidP="00A1176C">
      <w:pPr>
        <w:ind w:firstLine="709"/>
      </w:pPr>
      <w:r w:rsidRPr="001957E3">
        <w:t>Рекомендации экспертов по принципам противорвотного (антиэметогенного) лечения основываются на том, в какую категорию эметогенного потенциала входит цитостатик</w:t>
      </w:r>
      <w:r>
        <w:t xml:space="preserve"> </w:t>
      </w:r>
      <w:r>
        <w:fldChar w:fldCharType="begin" w:fldLock="1"/>
      </w:r>
      <w:r w:rsidR="00FC25DA">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[114,189–194]","plainTextFormattedCitation":"[114,189–194]","previouslyFormattedCitation":"[114,189–194]"},"properties":{"noteIndex":0},"schema":"https://github.com/citation-style-language/schema/raw/master/csl-citation.json"}</w:instrText>
      </w:r>
      <w:r>
        <w:fldChar w:fldCharType="separate"/>
      </w:r>
      <w:r w:rsidR="00E974B2" w:rsidRPr="00E974B2">
        <w:rPr>
          <w:noProof/>
        </w:rPr>
        <w:t>[114,189–194]</w:t>
      </w:r>
      <w:r>
        <w:fldChar w:fldCharType="end"/>
      </w:r>
      <w:r w:rsidRPr="001957E3">
        <w:t xml:space="preserve">. Эметогенный потенциал препаратов для внутривенного введения определяется, как правило, для режима однодневного введения, то есть определяется эметогенность разовой дозы. В основу эметогенной классификации таблетированных препаратов положен учет эметогенности полного курса лечения. Эметогенность комбинированного режима </w:t>
      </w:r>
      <w:r>
        <w:t>П</w:t>
      </w:r>
      <w:r w:rsidRPr="001957E3">
        <w:t>ХТ определяется, как правило, препаратом, обладающим наибольшим эметогенным потенциалом. Это положение является абсолютно верным для режимов, включающих высокоэметогенные цитостатики. Комбинация средне-эметогенных цитостатиков может повышать эметогенность режима в целом.</w:t>
      </w:r>
    </w:p>
    <w:p w14:paraId="30D88FC5" w14:textId="77777777" w:rsidR="00A1176C" w:rsidRPr="001957E3" w:rsidRDefault="00A1176C" w:rsidP="00A1176C"/>
    <w:p w14:paraId="7F103DDF" w14:textId="77777777" w:rsidR="00A1176C" w:rsidRPr="00376A77" w:rsidRDefault="00A1176C" w:rsidP="00A1176C">
      <w:pPr>
        <w:pStyle w:val="Normal11"/>
        <w:tabs>
          <w:tab w:val="left" w:pos="0"/>
        </w:tabs>
        <w:spacing w:line="360" w:lineRule="auto"/>
        <w:ind w:firstLine="699"/>
        <w:jc w:val="both"/>
        <w:rPr>
          <w:bCs/>
          <w:i/>
          <w:iCs/>
          <w:u w:val="single"/>
          <w:shd w:val="clear" w:color="auto" w:fill="FFFFFF"/>
        </w:rPr>
      </w:pPr>
      <w:r w:rsidRPr="00376A77">
        <w:rPr>
          <w:bCs/>
          <w:i/>
          <w:iCs/>
          <w:u w:val="single"/>
          <w:shd w:val="clear" w:color="auto" w:fill="FFFFFF"/>
        </w:rPr>
        <w:t>Противорвотные препараты</w:t>
      </w:r>
    </w:p>
    <w:p w14:paraId="2D2294E4" w14:textId="73B46B06" w:rsidR="00A1176C" w:rsidRPr="0030741F" w:rsidRDefault="00A1176C" w:rsidP="00A1176C">
      <w:pPr>
        <w:ind w:firstLine="709"/>
      </w:pPr>
      <w:r w:rsidRPr="0030741F">
        <w:t>Для клинического применения используется 5 групп препаратов, обладающих противорвотным действием</w:t>
      </w:r>
      <w:r>
        <w:t xml:space="preserve"> </w:t>
      </w:r>
      <w:r>
        <w:fldChar w:fldCharType="begin" w:fldLock="1"/>
      </w:r>
      <w:r w:rsidR="00FC25DA">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[114,189–194]","plainTextFormattedCitation":"[114,189–194]","previouslyFormattedCitation":"[114,189–194]"},"properties":{"noteIndex":0},"schema":"https://github.com/citation-style-language/schema/raw/master/csl-citation.json"}</w:instrText>
      </w:r>
      <w:r>
        <w:fldChar w:fldCharType="separate"/>
      </w:r>
      <w:r w:rsidR="00E974B2" w:rsidRPr="00E974B2">
        <w:rPr>
          <w:noProof/>
        </w:rPr>
        <w:t>[114,189–194]</w:t>
      </w:r>
      <w:r>
        <w:fldChar w:fldCharType="end"/>
      </w:r>
      <w:r w:rsidRPr="0030741F">
        <w:t>:</w:t>
      </w:r>
    </w:p>
    <w:p w14:paraId="22B6B27E" w14:textId="68C21C77" w:rsidR="00A1176C" w:rsidRDefault="00A1176C" w:rsidP="00A1176C">
      <w:pPr>
        <w:pStyle w:val="afe"/>
        <w:numPr>
          <w:ilvl w:val="0"/>
          <w:numId w:val="127"/>
        </w:numPr>
        <w:contextualSpacing w:val="0"/>
      </w:pPr>
      <w:r w:rsidRPr="00340360">
        <w:rPr>
          <w:i/>
          <w:iCs/>
        </w:rPr>
        <w:t>Антагонисты 5-HT3-рецепторов (HT - гидрокситриптамин)</w:t>
      </w:r>
      <w:r>
        <w:t xml:space="preserve">. </w:t>
      </w:r>
      <w:r w:rsidRPr="00376A77">
        <w:t xml:space="preserve">Эта группа препаратов включает ондансетрон, гранисетрон, трописетрон, палоносетрон. Механизм действия препаратов обусловлен способностью селективно блокировать серотониновые 5-HT3-рецепторы, предупреждая возникновение рвотного рефлекса вследствие стимуляции афферентных волокон блуждающего нерва серотонином, выделяющимся из энтерохромаффинных клеток слизистой оболочки ЖКТ. Антагонисты 5-HT3-рецепторов также угнетают центральные звенья рвотного рефлекса, блокируя 5-HT3-рецепторы дна IV желудочка головного мозга. Препараты назначаются за 30-60 минут до ХТ. В таблице </w:t>
      </w:r>
      <w:r>
        <w:t>2</w:t>
      </w:r>
      <w:r w:rsidRPr="00376A77">
        <w:t xml:space="preserve"> </w:t>
      </w:r>
      <w:r w:rsidRPr="00376A77">
        <w:lastRenderedPageBreak/>
        <w:t>указан режим дозирования антагонистов 5-HT3-рецепторов.</w:t>
      </w:r>
      <w:r>
        <w:t xml:space="preserve"> Необходим</w:t>
      </w:r>
      <w:r w:rsidRPr="00F4328A">
        <w:t xml:space="preserve"> мониторинг ЭКГ, электролитов у больных с признаками кардиальных нарушений. Антагонисты 5-HT3-рецепторов могут удлинять интервал QT, в связи с чем у пациентов с синдромом удлинения QT следует избегать применения 5-HT3-антагонистов, за исключением палоносетрона, который не оказывает влияния на интервал QT. Палоносетрон – высокоселективный антагонист серотониновых рецепторов, имеющий самый длительный период полувыведения (до 40 часов). Применяется однократно с 1-го дня 1-го цикла при однодневном курсе </w:t>
      </w:r>
      <w:r>
        <w:t>П</w:t>
      </w:r>
      <w:r w:rsidRPr="00F4328A">
        <w:t xml:space="preserve">ХТ и через день - при многодневном курсе </w:t>
      </w:r>
      <w:r>
        <w:t>П</w:t>
      </w:r>
      <w:r w:rsidRPr="00F4328A">
        <w:t>ХТ.</w:t>
      </w:r>
    </w:p>
    <w:p w14:paraId="55EA4013" w14:textId="77777777" w:rsidR="00A1176C" w:rsidRDefault="00A1176C" w:rsidP="00A1176C">
      <w:pPr>
        <w:pStyle w:val="Normal11"/>
        <w:tabs>
          <w:tab w:val="left" w:pos="0"/>
        </w:tabs>
        <w:spacing w:line="360" w:lineRule="auto"/>
        <w:jc w:val="both"/>
        <w:rPr>
          <w:bCs/>
        </w:rPr>
      </w:pPr>
    </w:p>
    <w:p w14:paraId="16A8EA81" w14:textId="6CE83A33" w:rsidR="00A1176C" w:rsidRPr="0070602A" w:rsidRDefault="00A1176C" w:rsidP="00A1176C">
      <w:pPr>
        <w:pStyle w:val="Normal11"/>
        <w:tabs>
          <w:tab w:val="left" w:pos="0"/>
        </w:tabs>
        <w:spacing w:line="360" w:lineRule="auto"/>
        <w:jc w:val="both"/>
        <w:rPr>
          <w:bCs/>
        </w:rPr>
      </w:pPr>
      <w:r w:rsidRPr="0070602A">
        <w:rPr>
          <w:bCs/>
        </w:rPr>
        <w:t xml:space="preserve">Таблица 2. Режим дозирования антагонистов 5-HT3-рецепторов </w:t>
      </w:r>
    </w:p>
    <w:tbl>
      <w:tblPr>
        <w:tblStyle w:val="aff9"/>
        <w:tblW w:w="0" w:type="auto"/>
        <w:jc w:val="center"/>
        <w:tblLook w:val="04A0" w:firstRow="1" w:lastRow="0" w:firstColumn="1" w:lastColumn="0" w:noHBand="0" w:noVBand="1"/>
      </w:tblPr>
      <w:tblGrid>
        <w:gridCol w:w="2220"/>
        <w:gridCol w:w="2756"/>
        <w:gridCol w:w="3557"/>
      </w:tblGrid>
      <w:tr w:rsidR="00A1176C" w:rsidRPr="0079248E" w14:paraId="4790633A" w14:textId="77777777" w:rsidTr="002D3EBF">
        <w:trPr>
          <w:jc w:val="center"/>
        </w:trPr>
        <w:tc>
          <w:tcPr>
            <w:tcW w:w="2220" w:type="dxa"/>
          </w:tcPr>
          <w:p w14:paraId="693902EB" w14:textId="77777777" w:rsidR="00A1176C" w:rsidRPr="0079248E" w:rsidRDefault="00A1176C" w:rsidP="002D3EBF">
            <w:pPr>
              <w:tabs>
                <w:tab w:val="left" w:pos="0"/>
              </w:tabs>
              <w:ind w:left="57" w:right="57"/>
              <w:jc w:val="center"/>
            </w:pPr>
            <w:r w:rsidRPr="0079248E">
              <w:t>Препарат</w:t>
            </w:r>
          </w:p>
        </w:tc>
        <w:tc>
          <w:tcPr>
            <w:tcW w:w="2756" w:type="dxa"/>
          </w:tcPr>
          <w:p w14:paraId="4B31EA15" w14:textId="77777777" w:rsidR="00A1176C" w:rsidRPr="0079248E" w:rsidRDefault="00A1176C" w:rsidP="002D3EBF">
            <w:pPr>
              <w:tabs>
                <w:tab w:val="left" w:pos="0"/>
              </w:tabs>
              <w:ind w:left="57" w:right="57"/>
              <w:jc w:val="center"/>
            </w:pPr>
            <w:r w:rsidRPr="0079248E">
              <w:t>Разовая доза, мг</w:t>
            </w:r>
          </w:p>
        </w:tc>
        <w:tc>
          <w:tcPr>
            <w:tcW w:w="3557" w:type="dxa"/>
          </w:tcPr>
          <w:p w14:paraId="54EDF301" w14:textId="77777777" w:rsidR="00A1176C" w:rsidRPr="0079248E" w:rsidRDefault="00A1176C" w:rsidP="002D3EBF">
            <w:pPr>
              <w:tabs>
                <w:tab w:val="left" w:pos="0"/>
              </w:tabs>
              <w:ind w:left="57" w:right="57"/>
              <w:jc w:val="center"/>
            </w:pPr>
            <w:r w:rsidRPr="00835D9B">
              <w:t>Способ применения</w:t>
            </w:r>
            <w:r>
              <w:t xml:space="preserve"> </w:t>
            </w:r>
          </w:p>
        </w:tc>
      </w:tr>
      <w:tr w:rsidR="00A1176C" w:rsidRPr="0030741F" w14:paraId="50AA0463" w14:textId="77777777" w:rsidTr="002D3EBF">
        <w:trPr>
          <w:jc w:val="center"/>
        </w:trPr>
        <w:tc>
          <w:tcPr>
            <w:tcW w:w="2220" w:type="dxa"/>
          </w:tcPr>
          <w:p w14:paraId="093B7733" w14:textId="77777777" w:rsidR="00A1176C" w:rsidRPr="0030741F" w:rsidRDefault="00A1176C" w:rsidP="002D3EBF">
            <w:pPr>
              <w:tabs>
                <w:tab w:val="left" w:pos="0"/>
              </w:tabs>
              <w:ind w:left="57" w:right="57"/>
            </w:pPr>
            <w:r w:rsidRPr="0030741F">
              <w:t>Ондансетрон</w:t>
            </w:r>
          </w:p>
        </w:tc>
        <w:tc>
          <w:tcPr>
            <w:tcW w:w="2756" w:type="dxa"/>
          </w:tcPr>
          <w:p w14:paraId="49588BCF" w14:textId="77777777" w:rsidR="00A1176C" w:rsidRPr="0030741F" w:rsidRDefault="00A1176C" w:rsidP="002D3EBF">
            <w:pPr>
              <w:tabs>
                <w:tab w:val="left" w:pos="0"/>
              </w:tabs>
              <w:ind w:left="57" w:right="57"/>
            </w:pPr>
            <w:r w:rsidRPr="0030741F">
              <w:t>8</w:t>
            </w:r>
          </w:p>
          <w:p w14:paraId="64F86B73" w14:textId="77777777" w:rsidR="00A1176C" w:rsidRDefault="00A1176C" w:rsidP="002D3EBF">
            <w:pPr>
              <w:tabs>
                <w:tab w:val="left" w:pos="0"/>
              </w:tabs>
              <w:ind w:left="57" w:right="57"/>
            </w:pPr>
            <w:r w:rsidRPr="0030741F">
              <w:t xml:space="preserve">16 </w:t>
            </w:r>
          </w:p>
          <w:p w14:paraId="293F0028" w14:textId="77777777" w:rsidR="00A1176C" w:rsidRPr="0030741F" w:rsidRDefault="00A1176C" w:rsidP="002D3EBF">
            <w:pPr>
              <w:tabs>
                <w:tab w:val="left" w:pos="0"/>
              </w:tabs>
              <w:ind w:left="57" w:right="57"/>
            </w:pPr>
            <w:r>
              <w:t>8</w:t>
            </w:r>
          </w:p>
        </w:tc>
        <w:tc>
          <w:tcPr>
            <w:tcW w:w="3557" w:type="dxa"/>
          </w:tcPr>
          <w:p w14:paraId="70F5CF27" w14:textId="77777777" w:rsidR="00A1176C" w:rsidRPr="00C36F88" w:rsidRDefault="00A1176C" w:rsidP="002D3EBF">
            <w:pPr>
              <w:tabs>
                <w:tab w:val="left" w:pos="0"/>
              </w:tabs>
              <w:ind w:left="57" w:right="57"/>
            </w:pPr>
            <w:r w:rsidRPr="00C36F88">
              <w:t xml:space="preserve">в/в </w:t>
            </w:r>
          </w:p>
          <w:p w14:paraId="2118F618" w14:textId="77777777" w:rsidR="00A1176C" w:rsidRPr="00C36F88" w:rsidRDefault="00A1176C" w:rsidP="002D3EBF">
            <w:pPr>
              <w:tabs>
                <w:tab w:val="left" w:pos="0"/>
              </w:tabs>
              <w:ind w:left="57" w:right="57"/>
            </w:pPr>
            <w:r w:rsidRPr="00C36F88">
              <w:t>внутрь</w:t>
            </w:r>
          </w:p>
          <w:p w14:paraId="55A5B1FC" w14:textId="77777777" w:rsidR="00A1176C" w:rsidRPr="00C36F88" w:rsidRDefault="00A1176C" w:rsidP="002D3EBF">
            <w:pPr>
              <w:tabs>
                <w:tab w:val="left" w:pos="0"/>
              </w:tabs>
              <w:ind w:left="57" w:right="57"/>
            </w:pPr>
            <w:r w:rsidRPr="00C36F88">
              <w:t>суппозитории ректальные</w:t>
            </w:r>
          </w:p>
        </w:tc>
      </w:tr>
      <w:tr w:rsidR="00A1176C" w:rsidRPr="0030741F" w14:paraId="19709141" w14:textId="77777777" w:rsidTr="002D3EBF">
        <w:trPr>
          <w:jc w:val="center"/>
        </w:trPr>
        <w:tc>
          <w:tcPr>
            <w:tcW w:w="2220" w:type="dxa"/>
          </w:tcPr>
          <w:p w14:paraId="25771CC3" w14:textId="77777777" w:rsidR="00A1176C" w:rsidRPr="0030741F" w:rsidRDefault="00A1176C" w:rsidP="002D3EBF">
            <w:pPr>
              <w:tabs>
                <w:tab w:val="left" w:pos="0"/>
              </w:tabs>
              <w:ind w:left="57" w:right="57"/>
            </w:pPr>
            <w:r w:rsidRPr="0030741F">
              <w:t>Гранисетрон</w:t>
            </w:r>
          </w:p>
        </w:tc>
        <w:tc>
          <w:tcPr>
            <w:tcW w:w="2756" w:type="dxa"/>
          </w:tcPr>
          <w:p w14:paraId="659733AA" w14:textId="77777777" w:rsidR="00A1176C" w:rsidRPr="0030741F" w:rsidRDefault="00A1176C" w:rsidP="002D3EBF">
            <w:pPr>
              <w:tabs>
                <w:tab w:val="left" w:pos="0"/>
              </w:tabs>
              <w:ind w:left="57" w:right="57"/>
            </w:pPr>
            <w:r w:rsidRPr="0030741F">
              <w:t>1-3</w:t>
            </w:r>
          </w:p>
          <w:p w14:paraId="74A5DDE4" w14:textId="77777777" w:rsidR="00A1176C" w:rsidRPr="0030741F" w:rsidRDefault="00A1176C" w:rsidP="002D3EBF">
            <w:pPr>
              <w:tabs>
                <w:tab w:val="left" w:pos="0"/>
              </w:tabs>
              <w:ind w:left="57" w:right="57"/>
            </w:pPr>
            <w:r w:rsidRPr="0030741F">
              <w:t>2</w:t>
            </w:r>
          </w:p>
        </w:tc>
        <w:tc>
          <w:tcPr>
            <w:tcW w:w="3557" w:type="dxa"/>
          </w:tcPr>
          <w:p w14:paraId="1A3E6B91" w14:textId="77777777" w:rsidR="00A1176C" w:rsidRPr="0030741F" w:rsidRDefault="00A1176C" w:rsidP="002D3EBF">
            <w:pPr>
              <w:tabs>
                <w:tab w:val="left" w:pos="0"/>
              </w:tabs>
              <w:ind w:left="57" w:right="57"/>
            </w:pPr>
            <w:r w:rsidRPr="0030741F">
              <w:t xml:space="preserve">в/в  </w:t>
            </w:r>
          </w:p>
          <w:p w14:paraId="67B15757" w14:textId="77777777" w:rsidR="00A1176C" w:rsidRPr="0030741F" w:rsidRDefault="00A1176C" w:rsidP="002D3EBF">
            <w:pPr>
              <w:ind w:left="57" w:right="57"/>
            </w:pPr>
            <w:r w:rsidRPr="0030741F">
              <w:t>внутрь</w:t>
            </w:r>
          </w:p>
        </w:tc>
      </w:tr>
      <w:tr w:rsidR="00A1176C" w:rsidRPr="0030741F" w14:paraId="5EFE9162" w14:textId="77777777" w:rsidTr="002D3EBF">
        <w:trPr>
          <w:jc w:val="center"/>
        </w:trPr>
        <w:tc>
          <w:tcPr>
            <w:tcW w:w="2220" w:type="dxa"/>
          </w:tcPr>
          <w:p w14:paraId="0E812CA1" w14:textId="77777777" w:rsidR="00A1176C" w:rsidRPr="0030741F" w:rsidRDefault="00A1176C" w:rsidP="002D3EBF">
            <w:pPr>
              <w:tabs>
                <w:tab w:val="left" w:pos="0"/>
              </w:tabs>
              <w:ind w:left="57" w:right="57"/>
            </w:pPr>
            <w:r w:rsidRPr="0030741F">
              <w:t>Трописетрон</w:t>
            </w:r>
          </w:p>
        </w:tc>
        <w:tc>
          <w:tcPr>
            <w:tcW w:w="2756" w:type="dxa"/>
          </w:tcPr>
          <w:p w14:paraId="0C99D0F1" w14:textId="77777777" w:rsidR="00A1176C" w:rsidRPr="0030741F" w:rsidRDefault="00A1176C" w:rsidP="002D3EBF">
            <w:pPr>
              <w:tabs>
                <w:tab w:val="left" w:pos="0"/>
              </w:tabs>
              <w:ind w:left="57" w:right="57"/>
            </w:pPr>
            <w:r w:rsidRPr="0030741F">
              <w:t xml:space="preserve">5 </w:t>
            </w:r>
          </w:p>
        </w:tc>
        <w:tc>
          <w:tcPr>
            <w:tcW w:w="3557" w:type="dxa"/>
          </w:tcPr>
          <w:p w14:paraId="03F166BA" w14:textId="77777777" w:rsidR="00A1176C" w:rsidRPr="0030741F" w:rsidRDefault="00A1176C" w:rsidP="002D3EBF">
            <w:pPr>
              <w:ind w:left="57" w:right="57"/>
            </w:pPr>
            <w:r w:rsidRPr="0030741F">
              <w:t>в/в или внутрь</w:t>
            </w:r>
          </w:p>
        </w:tc>
      </w:tr>
      <w:tr w:rsidR="00A1176C" w:rsidRPr="0030741F" w14:paraId="7F31C95F" w14:textId="77777777" w:rsidTr="002D3EBF">
        <w:trPr>
          <w:jc w:val="center"/>
        </w:trPr>
        <w:tc>
          <w:tcPr>
            <w:tcW w:w="2220" w:type="dxa"/>
          </w:tcPr>
          <w:p w14:paraId="671C560F" w14:textId="77777777" w:rsidR="00A1176C" w:rsidRPr="0030741F" w:rsidRDefault="00A1176C" w:rsidP="002D3EBF">
            <w:pPr>
              <w:tabs>
                <w:tab w:val="left" w:pos="0"/>
              </w:tabs>
              <w:ind w:left="57" w:right="57"/>
            </w:pPr>
            <w:r w:rsidRPr="0030741F">
              <w:t>Палоносетрон</w:t>
            </w:r>
          </w:p>
        </w:tc>
        <w:tc>
          <w:tcPr>
            <w:tcW w:w="2756" w:type="dxa"/>
          </w:tcPr>
          <w:p w14:paraId="451E6826" w14:textId="77777777" w:rsidR="00A1176C" w:rsidRPr="0030741F" w:rsidRDefault="00A1176C" w:rsidP="002D3EBF">
            <w:pPr>
              <w:tabs>
                <w:tab w:val="left" w:pos="0"/>
              </w:tabs>
              <w:ind w:left="57" w:right="57"/>
            </w:pPr>
            <w:r w:rsidRPr="0030741F">
              <w:t>0,25</w:t>
            </w:r>
          </w:p>
        </w:tc>
        <w:tc>
          <w:tcPr>
            <w:tcW w:w="3557" w:type="dxa"/>
          </w:tcPr>
          <w:p w14:paraId="3A8E4675" w14:textId="77777777" w:rsidR="00A1176C" w:rsidRPr="0030741F" w:rsidRDefault="00A1176C" w:rsidP="002D3EBF">
            <w:pPr>
              <w:ind w:left="57" w:right="57"/>
            </w:pPr>
            <w:r w:rsidRPr="0030741F">
              <w:t>в/в</w:t>
            </w:r>
          </w:p>
        </w:tc>
      </w:tr>
    </w:tbl>
    <w:p w14:paraId="34073DAB" w14:textId="77777777" w:rsidR="00A1176C" w:rsidRPr="0030741F" w:rsidRDefault="00A1176C" w:rsidP="00A1176C"/>
    <w:p w14:paraId="14D5A237" w14:textId="77777777" w:rsidR="00A1176C" w:rsidRPr="0030741F" w:rsidRDefault="00A1176C" w:rsidP="00A1176C">
      <w:pPr>
        <w:pStyle w:val="afe"/>
        <w:numPr>
          <w:ilvl w:val="0"/>
          <w:numId w:val="127"/>
        </w:numPr>
        <w:contextualSpacing w:val="0"/>
      </w:pPr>
      <w:r w:rsidRPr="00E04057">
        <w:rPr>
          <w:i/>
          <w:iCs/>
        </w:rPr>
        <w:t>Кортикостероиды</w:t>
      </w:r>
      <w:r>
        <w:t>.</w:t>
      </w:r>
      <w:r w:rsidRPr="00E04057">
        <w:t xml:space="preserve"> </w:t>
      </w:r>
      <w:r>
        <w:t>Если схема ХТ содержит кортикостероиды, дополнительного назначения дексаметазона с противорвотной целью не требуется. Добавление дексаметазона к антагонистам серотониновых рецепторов позволяет уменьшить риск появления острой тошноты и рвоты и предотвращает развитие отсроченной тошноты и рвоты. Кроме того, он обладает самостоятельной противорвотной активностью и может использоваться в монотерапии для профилактики острой рвоты после введения низкоэметогенных цитостатиков. Препарат назначается в дозе 12 мг внутривенно однократно за 30–60 минут до ХТ. В случае высокоэметогенной терапии в последующие дни назначается внутрь в дозе 8 мг два раза в сутки, продолжительностью до 5 дней.</w:t>
      </w:r>
    </w:p>
    <w:p w14:paraId="62BCCA55" w14:textId="30AB8537" w:rsidR="00A1176C" w:rsidRDefault="00A1176C" w:rsidP="00A1176C">
      <w:pPr>
        <w:pStyle w:val="afe"/>
        <w:numPr>
          <w:ilvl w:val="0"/>
          <w:numId w:val="127"/>
        </w:numPr>
        <w:contextualSpacing w:val="0"/>
      </w:pPr>
      <w:r w:rsidRPr="00E04057">
        <w:rPr>
          <w:i/>
          <w:iCs/>
        </w:rPr>
        <w:t>Антагонисты рецепторов нейрокинина-1 (NK-1)</w:t>
      </w:r>
      <w:r>
        <w:t xml:space="preserve">. В эту группу препаратов входят апрепитант и фосапрепитант. Апрепитант – селективный высокоаффинный антагонист рецепторов NK-1 центрального механизма действия (за счет связывания с NK1-рецепторами головного мозга). Центральное действие апрепитанта обладает большой продолжительностью, причем он </w:t>
      </w:r>
      <w:r>
        <w:lastRenderedPageBreak/>
        <w:t>ингибирует как острую, так и отсроченную фазы рвоты, а также повышает противорвотную активность антагонистов 5-НТ3-рецепторов (например, ондансетрона) и глюкокортикостероидов (дексаметазона).  Антагонисты NK1-рецепторов являются умеренными ингибиторами CYP3A4, что необходимо учитывать при одновременном использовании препаратов, метаболизируемых этой же системой (так, апрепитант снижает эффективность гормональных контрацептивов, в связи с чем, необходимо использовать альтернативные методы контрацепции; апрепитант повышает концентрацию кортикостероидов, в связи с чем в комбинации с апрепитантом доза дексаметазона должна быть снижена приблизительно на 50%; у пациентов, поручающих варфарин, необходимо дополнительно контролировать уровень международного нормализованного отношения). Антагонисты NK1-рецепторов применяют в комбинации с кортикостероидами и антагонистами серотониновых 5-НТ3-рецепторов. Апрепитант принимается за час до ХТ, фосапрепитант вводится за 30 минут до ХТ в дозах, представленных в таблице 3.</w:t>
      </w:r>
    </w:p>
    <w:p w14:paraId="7FAAFB1D" w14:textId="77777777" w:rsidR="00A1176C" w:rsidRDefault="00A1176C" w:rsidP="00A1176C">
      <w:pPr>
        <w:rPr>
          <w:bCs/>
        </w:rPr>
      </w:pPr>
    </w:p>
    <w:p w14:paraId="5D707860" w14:textId="35159A1F" w:rsidR="00A1176C" w:rsidRPr="008578C0" w:rsidRDefault="00A1176C" w:rsidP="00A1176C">
      <w:pPr>
        <w:rPr>
          <w:bCs/>
        </w:rPr>
      </w:pPr>
      <w:r w:rsidRPr="008578C0">
        <w:rPr>
          <w:bCs/>
        </w:rPr>
        <w:t xml:space="preserve">Таблица </w:t>
      </w:r>
      <w:r>
        <w:rPr>
          <w:bCs/>
        </w:rPr>
        <w:t>3</w:t>
      </w:r>
      <w:r w:rsidRPr="008578C0">
        <w:rPr>
          <w:bCs/>
        </w:rPr>
        <w:t>. Режим дозирования антагонистов NK1-рецепторов</w:t>
      </w:r>
    </w:p>
    <w:tbl>
      <w:tblPr>
        <w:tblStyle w:val="aff9"/>
        <w:tblW w:w="0" w:type="auto"/>
        <w:jc w:val="center"/>
        <w:tblLook w:val="04A0" w:firstRow="1" w:lastRow="0" w:firstColumn="1" w:lastColumn="0" w:noHBand="0" w:noVBand="1"/>
      </w:tblPr>
      <w:tblGrid>
        <w:gridCol w:w="2263"/>
        <w:gridCol w:w="2103"/>
        <w:gridCol w:w="4701"/>
      </w:tblGrid>
      <w:tr w:rsidR="00A1176C" w:rsidRPr="003F4776" w14:paraId="550F65C4" w14:textId="77777777" w:rsidTr="002D3EBF">
        <w:trPr>
          <w:jc w:val="center"/>
        </w:trPr>
        <w:tc>
          <w:tcPr>
            <w:tcW w:w="2263" w:type="dxa"/>
          </w:tcPr>
          <w:p w14:paraId="3EC6E9FE" w14:textId="77777777" w:rsidR="00A1176C" w:rsidRPr="003F4776" w:rsidRDefault="00A1176C" w:rsidP="002D3EBF">
            <w:pPr>
              <w:tabs>
                <w:tab w:val="left" w:pos="0"/>
              </w:tabs>
              <w:ind w:left="57" w:right="57"/>
              <w:rPr>
                <w:bCs/>
              </w:rPr>
            </w:pPr>
            <w:r w:rsidRPr="003F4776">
              <w:rPr>
                <w:bCs/>
              </w:rPr>
              <w:t>Препарат</w:t>
            </w:r>
          </w:p>
        </w:tc>
        <w:tc>
          <w:tcPr>
            <w:tcW w:w="2103" w:type="dxa"/>
          </w:tcPr>
          <w:p w14:paraId="700B9D6C" w14:textId="77777777" w:rsidR="00A1176C" w:rsidRPr="003F4776" w:rsidRDefault="00A1176C" w:rsidP="002D3EBF">
            <w:pPr>
              <w:tabs>
                <w:tab w:val="left" w:pos="0"/>
              </w:tabs>
              <w:ind w:left="57" w:right="57"/>
              <w:rPr>
                <w:bCs/>
              </w:rPr>
            </w:pPr>
            <w:r w:rsidRPr="003F4776">
              <w:rPr>
                <w:bCs/>
              </w:rPr>
              <w:t>Разовая доза, мг</w:t>
            </w:r>
          </w:p>
        </w:tc>
        <w:tc>
          <w:tcPr>
            <w:tcW w:w="4701" w:type="dxa"/>
          </w:tcPr>
          <w:p w14:paraId="08A32482" w14:textId="77777777" w:rsidR="00A1176C" w:rsidRPr="003F4776" w:rsidRDefault="00A1176C" w:rsidP="002D3EBF">
            <w:pPr>
              <w:tabs>
                <w:tab w:val="left" w:pos="0"/>
              </w:tabs>
              <w:ind w:left="57" w:right="57"/>
              <w:rPr>
                <w:bCs/>
              </w:rPr>
            </w:pPr>
            <w:r w:rsidRPr="003F4776">
              <w:rPr>
                <w:bCs/>
              </w:rPr>
              <w:t xml:space="preserve">Способ применения  / </w:t>
            </w:r>
          </w:p>
          <w:p w14:paraId="75BC54D5" w14:textId="77777777" w:rsidR="00A1176C" w:rsidRPr="003F4776" w:rsidRDefault="00A1176C" w:rsidP="002D3EBF">
            <w:pPr>
              <w:tabs>
                <w:tab w:val="left" w:pos="0"/>
              </w:tabs>
              <w:ind w:left="57" w:right="57"/>
              <w:rPr>
                <w:bCs/>
              </w:rPr>
            </w:pPr>
            <w:r w:rsidRPr="003F4776">
              <w:rPr>
                <w:bCs/>
              </w:rPr>
              <w:t>Режим дозирования</w:t>
            </w:r>
          </w:p>
        </w:tc>
      </w:tr>
      <w:tr w:rsidR="00A1176C" w:rsidRPr="0030741F" w14:paraId="3DC8A990" w14:textId="77777777" w:rsidTr="002D3EBF">
        <w:trPr>
          <w:jc w:val="center"/>
        </w:trPr>
        <w:tc>
          <w:tcPr>
            <w:tcW w:w="2263" w:type="dxa"/>
          </w:tcPr>
          <w:p w14:paraId="4ABFE9BE" w14:textId="77777777" w:rsidR="00A1176C" w:rsidRPr="0030741F" w:rsidRDefault="00A1176C" w:rsidP="002D3EBF">
            <w:pPr>
              <w:tabs>
                <w:tab w:val="left" w:pos="0"/>
              </w:tabs>
              <w:ind w:left="57" w:right="57"/>
            </w:pPr>
            <w:r w:rsidRPr="0030741F">
              <w:t>Апрепитант</w:t>
            </w:r>
          </w:p>
        </w:tc>
        <w:tc>
          <w:tcPr>
            <w:tcW w:w="2103" w:type="dxa"/>
          </w:tcPr>
          <w:p w14:paraId="3F76FA30" w14:textId="77777777" w:rsidR="00A1176C" w:rsidRPr="0030741F" w:rsidRDefault="00A1176C" w:rsidP="002D3EBF">
            <w:pPr>
              <w:tabs>
                <w:tab w:val="left" w:pos="0"/>
              </w:tabs>
              <w:ind w:left="57" w:right="57"/>
            </w:pPr>
            <w:r w:rsidRPr="0030741F">
              <w:t xml:space="preserve">125  </w:t>
            </w:r>
          </w:p>
          <w:p w14:paraId="5268C6F2" w14:textId="77777777" w:rsidR="00A1176C" w:rsidRPr="0030741F" w:rsidRDefault="00A1176C" w:rsidP="002D3EBF">
            <w:pPr>
              <w:tabs>
                <w:tab w:val="left" w:pos="0"/>
              </w:tabs>
              <w:ind w:left="57" w:right="57"/>
            </w:pPr>
            <w:r w:rsidRPr="0030741F">
              <w:t xml:space="preserve">80 </w:t>
            </w:r>
          </w:p>
        </w:tc>
        <w:tc>
          <w:tcPr>
            <w:tcW w:w="4701" w:type="dxa"/>
          </w:tcPr>
          <w:p w14:paraId="18A52502" w14:textId="77777777" w:rsidR="00A1176C" w:rsidRPr="0030741F" w:rsidRDefault="00A1176C" w:rsidP="002D3EBF">
            <w:pPr>
              <w:tabs>
                <w:tab w:val="left" w:pos="0"/>
              </w:tabs>
              <w:ind w:left="57" w:right="57"/>
            </w:pPr>
            <w:r w:rsidRPr="0030741F">
              <w:t>Внутрь в 1 день</w:t>
            </w:r>
          </w:p>
          <w:p w14:paraId="12897135" w14:textId="77777777" w:rsidR="00A1176C" w:rsidRPr="0030741F" w:rsidRDefault="00A1176C" w:rsidP="002D3EBF">
            <w:pPr>
              <w:tabs>
                <w:tab w:val="left" w:pos="0"/>
              </w:tabs>
              <w:ind w:left="57" w:right="57"/>
            </w:pPr>
            <w:r w:rsidRPr="0030741F">
              <w:t xml:space="preserve">Внутрь во 2 и </w:t>
            </w:r>
            <w:r>
              <w:t>3</w:t>
            </w:r>
            <w:r w:rsidRPr="0030741F">
              <w:t xml:space="preserve"> дни </w:t>
            </w:r>
            <w:r>
              <w:t>П</w:t>
            </w:r>
            <w:r w:rsidRPr="0030741F">
              <w:t>ХТ</w:t>
            </w:r>
          </w:p>
        </w:tc>
      </w:tr>
      <w:tr w:rsidR="00A1176C" w:rsidRPr="0030741F" w14:paraId="1B13F226" w14:textId="77777777" w:rsidTr="002D3EBF">
        <w:trPr>
          <w:jc w:val="center"/>
        </w:trPr>
        <w:tc>
          <w:tcPr>
            <w:tcW w:w="2263" w:type="dxa"/>
          </w:tcPr>
          <w:p w14:paraId="561DD2B3" w14:textId="77777777" w:rsidR="00A1176C" w:rsidRPr="0030741F" w:rsidRDefault="00A1176C" w:rsidP="002D3EBF">
            <w:pPr>
              <w:tabs>
                <w:tab w:val="left" w:pos="0"/>
              </w:tabs>
              <w:ind w:left="57" w:right="57"/>
            </w:pPr>
            <w:r w:rsidRPr="0030741F">
              <w:rPr>
                <w:bCs/>
              </w:rPr>
              <w:t>Фосапрепитант</w:t>
            </w:r>
          </w:p>
        </w:tc>
        <w:tc>
          <w:tcPr>
            <w:tcW w:w="2103" w:type="dxa"/>
          </w:tcPr>
          <w:p w14:paraId="5129119D" w14:textId="77777777" w:rsidR="00A1176C" w:rsidRPr="0030741F" w:rsidRDefault="00A1176C" w:rsidP="002D3EBF">
            <w:pPr>
              <w:tabs>
                <w:tab w:val="left" w:pos="0"/>
              </w:tabs>
              <w:ind w:left="57" w:right="57"/>
            </w:pPr>
            <w:r w:rsidRPr="0030741F">
              <w:t>150</w:t>
            </w:r>
          </w:p>
        </w:tc>
        <w:tc>
          <w:tcPr>
            <w:tcW w:w="4701" w:type="dxa"/>
          </w:tcPr>
          <w:p w14:paraId="2F95A627" w14:textId="77777777" w:rsidR="00A1176C" w:rsidRPr="0030741F" w:rsidRDefault="00A1176C" w:rsidP="002D3EBF">
            <w:pPr>
              <w:tabs>
                <w:tab w:val="left" w:pos="0"/>
              </w:tabs>
              <w:ind w:left="57" w:right="57"/>
            </w:pPr>
            <w:r w:rsidRPr="0030741F">
              <w:t>В/в однократно</w:t>
            </w:r>
          </w:p>
        </w:tc>
      </w:tr>
    </w:tbl>
    <w:p w14:paraId="673D5652" w14:textId="77777777" w:rsidR="00A1176C" w:rsidRPr="0030741F" w:rsidRDefault="00A1176C" w:rsidP="00A1176C">
      <w:pPr>
        <w:pStyle w:val="afe"/>
        <w:ind w:left="1069" w:firstLine="0"/>
      </w:pPr>
    </w:p>
    <w:p w14:paraId="372582AC" w14:textId="77777777" w:rsidR="00A1176C" w:rsidRPr="0030741F" w:rsidRDefault="00A1176C" w:rsidP="00A1176C">
      <w:pPr>
        <w:pStyle w:val="afe"/>
        <w:numPr>
          <w:ilvl w:val="0"/>
          <w:numId w:val="127"/>
        </w:numPr>
        <w:contextualSpacing w:val="0"/>
      </w:pPr>
      <w:r w:rsidRPr="003F4776">
        <w:rPr>
          <w:i/>
          <w:iCs/>
        </w:rPr>
        <w:t>Блокаторы рецепторов допамина</w:t>
      </w:r>
      <w:r>
        <w:t xml:space="preserve">. В эту группу входят бензамиды (метоклопрамид, итоприд), фенотиазины (хлорпромазин или аминазин, прометазин, метопемазин), бутирофеноны (дроперидол, галоперидол), бензодиазепины (диазепам, лоразепам, альпрозолам). Препараты обладают седативными и анксиолитическими свойствами. Метоклопрамид, широко использовавшийся ранее в высоких дозах для профилактики острой тошноты и рвоты после высоко- и среднеэметогенной ПХТ, в настоящее время применяется реже, так как при сопоставимой эффективности с антагонистами серотониновых рецепторов имеет значительное количество выраженных побочных эффектов. Согласно международным рекомендациям, использование метоклопрамида допустимо в стандартных дозах для профилактики острой тошноты и рвоты после низкоэметогенной химиотерапии, для профилактики отсроченной рвоты в </w:t>
      </w:r>
      <w:r>
        <w:lastRenderedPageBreak/>
        <w:t>комбинации с дексаметазоном. Режим дозирования – 10 мг 1 - 4 раза в сутки внутривенно или внутрь. Добавление блокаторов рецепторов допамина к схеме противорвотной терапии проводится по показаниям на усмотрение лечащего врача.</w:t>
      </w:r>
    </w:p>
    <w:p w14:paraId="3512D621" w14:textId="77777777" w:rsidR="00A1176C" w:rsidRDefault="00A1176C" w:rsidP="00A1176C">
      <w:pPr>
        <w:pStyle w:val="afe"/>
        <w:numPr>
          <w:ilvl w:val="0"/>
          <w:numId w:val="127"/>
        </w:numPr>
        <w:contextualSpacing w:val="0"/>
      </w:pPr>
      <w:r w:rsidRPr="000F06CA">
        <w:rPr>
          <w:i/>
          <w:iCs/>
        </w:rPr>
        <w:t>Нейролептики</w:t>
      </w:r>
      <w:r>
        <w:t xml:space="preserve">. </w:t>
      </w:r>
      <w:r w:rsidRPr="00B328AA">
        <w:t xml:space="preserve">Добавление нейролептиков к схеме противорвотной терапии проводится по показаниям на усмотрение лечащего врача (например, при возникновении неконтролируемой тошноты и рвоты – оланзапин 5–10 мг в сутки внутрь). </w:t>
      </w:r>
    </w:p>
    <w:p w14:paraId="2EAD7B11" w14:textId="77777777" w:rsidR="00A1176C" w:rsidRPr="00B328AA" w:rsidRDefault="00A1176C" w:rsidP="00A1176C"/>
    <w:p w14:paraId="5057152A" w14:textId="77777777" w:rsidR="00A1176C" w:rsidRPr="00F10383" w:rsidRDefault="00A1176C" w:rsidP="00A1176C">
      <w:pPr>
        <w:pStyle w:val="Normal11"/>
        <w:tabs>
          <w:tab w:val="left" w:pos="0"/>
        </w:tabs>
        <w:spacing w:line="360" w:lineRule="auto"/>
        <w:ind w:firstLine="699"/>
        <w:jc w:val="both"/>
        <w:rPr>
          <w:bCs/>
          <w:i/>
          <w:iCs/>
          <w:u w:val="single"/>
          <w:shd w:val="clear" w:color="auto" w:fill="FFFFFF"/>
        </w:rPr>
      </w:pPr>
      <w:r w:rsidRPr="00F10383">
        <w:rPr>
          <w:bCs/>
          <w:i/>
          <w:iCs/>
          <w:u w:val="single"/>
          <w:shd w:val="clear" w:color="auto" w:fill="FFFFFF"/>
        </w:rPr>
        <w:t xml:space="preserve">Принципы профилактики и терапии тошноты и рвоты. </w:t>
      </w:r>
    </w:p>
    <w:p w14:paraId="37D3CBDE" w14:textId="1981B483" w:rsidR="00A1176C" w:rsidRPr="00B328AA" w:rsidRDefault="00A1176C" w:rsidP="00CC3F7E">
      <w:pPr>
        <w:ind w:firstLine="709"/>
      </w:pPr>
      <w:r w:rsidRPr="00B328AA">
        <w:t>Эксперты Международной ассоциации по поддерживающему лечению в онкологии (MASCC) разработали принципы антиэметической терапии, согласно которым используются следующие алогритм и методы профилактики тошноты и рвоты</w:t>
      </w:r>
      <w:r>
        <w:t xml:space="preserve"> </w:t>
      </w:r>
      <w:r>
        <w:fldChar w:fldCharType="begin" w:fldLock="1"/>
      </w:r>
      <w:r w:rsidR="00FC25DA">
        <w:instrText>ADDIN CSL_CITATION {"citationItems":[{"id":"ITEM-1","itemData":{"DOI":"10.1007/s00520-018-4464-y","ISSN":"14337339","PMID":"30284039","abstract":"Chemotherapy-induced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Cancer","id":"ITEM-1","issue":"1","issued":{"date-parts":[["2019","1","1"]]},"page":"87-95","publisher":"Springer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-2","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онкологии.","id":"ITEM-2","issued":{"date-parts":[["2018"]]},"page":"502-511","title":"Практические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[114,194]","plainTextFormattedCitation":"[114,194]","previouslyFormattedCitation":"[114,194]"},"properties":{"noteIndex":0},"schema":"https://github.com/citation-style-language/schema/raw/master/csl-citation.json"}</w:instrText>
      </w:r>
      <w:r>
        <w:fldChar w:fldCharType="separate"/>
      </w:r>
      <w:r w:rsidR="00E974B2" w:rsidRPr="00E974B2">
        <w:rPr>
          <w:noProof/>
        </w:rPr>
        <w:t>[114,194]</w:t>
      </w:r>
      <w:r>
        <w:fldChar w:fldCharType="end"/>
      </w:r>
      <w:r w:rsidRPr="00B328AA">
        <w:t xml:space="preserve">. </w:t>
      </w:r>
    </w:p>
    <w:p w14:paraId="5340D4CC" w14:textId="77777777" w:rsidR="00A1176C" w:rsidRPr="00FB3FAC" w:rsidRDefault="00A1176C" w:rsidP="00CC3F7E">
      <w:pPr>
        <w:tabs>
          <w:tab w:val="left" w:pos="0"/>
        </w:tabs>
        <w:ind w:firstLine="709"/>
        <w:rPr>
          <w:bCs/>
        </w:rPr>
      </w:pPr>
      <w:r w:rsidRPr="00FB3FAC">
        <w:rPr>
          <w:bCs/>
        </w:rPr>
        <w:t>Алгоритм профилактики и терапии тошноты и рвоты:</w:t>
      </w:r>
    </w:p>
    <w:p w14:paraId="79306515" w14:textId="77777777" w:rsidR="00A1176C" w:rsidRPr="00B328AA" w:rsidRDefault="00A1176C" w:rsidP="00A1176C">
      <w:pPr>
        <w:pStyle w:val="afe"/>
        <w:numPr>
          <w:ilvl w:val="0"/>
          <w:numId w:val="127"/>
        </w:numPr>
        <w:contextualSpacing w:val="0"/>
      </w:pPr>
      <w:r w:rsidRPr="00B328AA">
        <w:t xml:space="preserve">Определить эметогенный потенциал назначенного режима ХТ </w:t>
      </w:r>
    </w:p>
    <w:p w14:paraId="50A2C1B3" w14:textId="77777777" w:rsidR="00A1176C" w:rsidRPr="00B328AA" w:rsidRDefault="00A1176C" w:rsidP="00A1176C">
      <w:pPr>
        <w:pStyle w:val="afe"/>
        <w:numPr>
          <w:ilvl w:val="0"/>
          <w:numId w:val="127"/>
        </w:numPr>
        <w:contextualSpacing w:val="0"/>
      </w:pPr>
      <w:r w:rsidRPr="00B328AA">
        <w:t>Назначить профилактическую терапию, исходя из эметогенности режима ХТ, начиная с первого курса</w:t>
      </w:r>
    </w:p>
    <w:p w14:paraId="0EEDDF99" w14:textId="77777777" w:rsidR="00A1176C" w:rsidRPr="00B328AA" w:rsidRDefault="00A1176C" w:rsidP="00A1176C">
      <w:pPr>
        <w:pStyle w:val="afe"/>
        <w:numPr>
          <w:ilvl w:val="0"/>
          <w:numId w:val="127"/>
        </w:numPr>
        <w:contextualSpacing w:val="0"/>
      </w:pPr>
      <w:r w:rsidRPr="00B328AA">
        <w:t>Назначить лечение в случае развития тошноты и рвоты на фоне профилактической терапии</w:t>
      </w:r>
    </w:p>
    <w:p w14:paraId="56A7B5D1" w14:textId="77777777" w:rsidR="00A1176C" w:rsidRPr="00B328AA" w:rsidRDefault="00A1176C" w:rsidP="00A1176C">
      <w:pPr>
        <w:pStyle w:val="afe"/>
        <w:numPr>
          <w:ilvl w:val="0"/>
          <w:numId w:val="127"/>
        </w:numPr>
        <w:contextualSpacing w:val="0"/>
      </w:pPr>
      <w:r w:rsidRPr="00B328AA">
        <w:t>В случае развития тошноты и рвоты внести изменения в профилактическую терапию на последующих циклах ХТ</w:t>
      </w:r>
    </w:p>
    <w:p w14:paraId="7AF6E678" w14:textId="77777777" w:rsidR="00A1176C" w:rsidRPr="00B328AA" w:rsidRDefault="00A1176C" w:rsidP="00A1176C">
      <w:pPr>
        <w:pStyle w:val="afe"/>
        <w:numPr>
          <w:ilvl w:val="0"/>
          <w:numId w:val="127"/>
        </w:numPr>
        <w:contextualSpacing w:val="0"/>
      </w:pPr>
      <w:r w:rsidRPr="00B328AA">
        <w:t>Критерием эффективности противорвотной терапии является полное отсутствие (полный контроль) рвоты и тошноты в течение 24 часов (период развития острой рвоты) с момента введения противоопухолевых препаратов.</w:t>
      </w:r>
    </w:p>
    <w:p w14:paraId="6CF477BC" w14:textId="77777777" w:rsidR="00A1176C" w:rsidRDefault="00A1176C" w:rsidP="00A1176C">
      <w:pPr>
        <w:tabs>
          <w:tab w:val="left" w:pos="0"/>
        </w:tabs>
        <w:rPr>
          <w:b/>
        </w:rPr>
      </w:pPr>
    </w:p>
    <w:p w14:paraId="79A26818" w14:textId="77777777" w:rsidR="00A1176C" w:rsidRPr="00FB3FAC" w:rsidRDefault="00A1176C" w:rsidP="00A1176C">
      <w:pPr>
        <w:pStyle w:val="Normal11"/>
        <w:tabs>
          <w:tab w:val="left" w:pos="0"/>
        </w:tabs>
        <w:spacing w:line="360" w:lineRule="auto"/>
        <w:ind w:firstLine="699"/>
        <w:jc w:val="both"/>
        <w:rPr>
          <w:bCs/>
          <w:i/>
          <w:iCs/>
          <w:u w:val="single"/>
          <w:shd w:val="clear" w:color="auto" w:fill="FFFFFF"/>
        </w:rPr>
      </w:pPr>
      <w:r w:rsidRPr="00FB3FAC">
        <w:rPr>
          <w:bCs/>
          <w:i/>
          <w:iCs/>
          <w:u w:val="single"/>
          <w:shd w:val="clear" w:color="auto" w:fill="FFFFFF"/>
        </w:rPr>
        <w:t>Профилактика острой и отсроченной тошноты и рвоты при высоко-эметогенной ХТ</w:t>
      </w:r>
    </w:p>
    <w:p w14:paraId="66806A36" w14:textId="65C05E59" w:rsidR="00A1176C" w:rsidRPr="00B328AA" w:rsidRDefault="00A1176C" w:rsidP="00CC3F7E">
      <w:pPr>
        <w:ind w:firstLine="709"/>
      </w:pPr>
      <w:r w:rsidRPr="00B328AA">
        <w:t xml:space="preserve">Профилактика тошноты и рвоты должна начинаться до начала ХТ и проводиться не менее 2-3 дней после ее окончания. Антиэметики назначают во все дни ХТ ежедневно (исключение: палоносетрон – через день) на основе эметогенного потенциала цитостатиков, вводимых в тот или иной день. Выбор противорвотной комбинации осуществляется на основе компонента ХТ, обладающего наибольшей эметогенностью. В настоящее время наиболее эффективной антиэметической комбинацией является комбинация противорвотных препаратов, включающая антагонист NK1-рецепторов + антагонист рецепторов серотонина (5-HT3) + дексаметазон (не добавляют при наличии дексаметазона </w:t>
      </w:r>
      <w:r w:rsidRPr="00B328AA">
        <w:lastRenderedPageBreak/>
        <w:t>в схеме ХТ). Дополнительно по показаниям на усмотрение лечащего врача могут применяться бензодиазепины, блокаторы H2-рецепторов гистамина, ингибиторы протонной помпы. Может быть назначен апрепитант в дозе 125 мг в 1 день и 80 мг в последующие дни</w:t>
      </w:r>
      <w:r>
        <w:t xml:space="preserve"> </w:t>
      </w:r>
      <w:r>
        <w:fldChar w:fldCharType="begin" w:fldLock="1"/>
      </w:r>
      <w:r w:rsidR="00FC25DA">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[114,189–194]","plainTextFormattedCitation":"[114,189–194]","previouslyFormattedCitation":"[114,189–194]"},"properties":{"noteIndex":0},"schema":"https://github.com/citation-style-language/schema/raw/master/csl-citation.json"}</w:instrText>
      </w:r>
      <w:r>
        <w:fldChar w:fldCharType="separate"/>
      </w:r>
      <w:r w:rsidR="00E974B2" w:rsidRPr="00E974B2">
        <w:rPr>
          <w:noProof/>
        </w:rPr>
        <w:t>[114,189–194]</w:t>
      </w:r>
      <w:r>
        <w:fldChar w:fldCharType="end"/>
      </w:r>
      <w:r w:rsidRPr="00B328AA">
        <w:t>.</w:t>
      </w:r>
    </w:p>
    <w:p w14:paraId="67777F71" w14:textId="77777777" w:rsidR="00A1176C" w:rsidRPr="0030741F" w:rsidRDefault="00A1176C" w:rsidP="00A1176C">
      <w:pPr>
        <w:tabs>
          <w:tab w:val="left" w:pos="0"/>
        </w:tabs>
      </w:pPr>
    </w:p>
    <w:p w14:paraId="6E610C7B" w14:textId="77777777" w:rsidR="00A1176C" w:rsidRPr="00FB3FAC" w:rsidRDefault="00A1176C" w:rsidP="00A1176C">
      <w:pPr>
        <w:pStyle w:val="Normal11"/>
        <w:tabs>
          <w:tab w:val="left" w:pos="0"/>
        </w:tabs>
        <w:spacing w:line="360" w:lineRule="auto"/>
        <w:ind w:firstLine="699"/>
        <w:jc w:val="both"/>
        <w:rPr>
          <w:bCs/>
          <w:i/>
          <w:iCs/>
          <w:u w:val="single"/>
          <w:shd w:val="clear" w:color="auto" w:fill="FFFFFF"/>
        </w:rPr>
      </w:pPr>
      <w:r w:rsidRPr="00FB3FAC">
        <w:rPr>
          <w:bCs/>
          <w:i/>
          <w:iCs/>
          <w:u w:val="single"/>
          <w:shd w:val="clear" w:color="auto" w:fill="FFFFFF"/>
        </w:rPr>
        <w:t>Профилактика острой и отсроченной тошноты и рвоты при умеренно-эметогенной ХТ</w:t>
      </w:r>
    </w:p>
    <w:p w14:paraId="1C28C33F" w14:textId="421301AC" w:rsidR="00A1176C" w:rsidRPr="00B328AA" w:rsidRDefault="00A1176C" w:rsidP="00CC3F7E">
      <w:pPr>
        <w:ind w:firstLine="709"/>
      </w:pPr>
      <w:r w:rsidRPr="00B328AA">
        <w:t>Профилактика тошноты и рвоты должна начинаться до начала ХТ и проводиться при необходимости еще 2-3 дня после ее окончания. В настоящее время наиболее эффективной антиэметической комбинацией является комбинация противорвотных препаратов, включающая антагонист рецепторов серотонина (5-HT3) + дексаметазон. При некоторых умеренно-эметогенных режимах, включающих карбоплатин, рекомендовано назначение апрепитанта/фосапрепитанта в комбинации с 5-НТ3-антагонистом и дексаметазоном</w:t>
      </w:r>
      <w:r>
        <w:t xml:space="preserve"> </w:t>
      </w:r>
      <w:r>
        <w:fldChar w:fldCharType="begin" w:fldLock="1"/>
      </w:r>
      <w:r w:rsidR="00FC25DA">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[114,189–194]","plainTextFormattedCitation":"[114,189–194]","previouslyFormattedCitation":"[114,189–194]"},"properties":{"noteIndex":0},"schema":"https://github.com/citation-style-language/schema/raw/master/csl-citation.json"}</w:instrText>
      </w:r>
      <w:r>
        <w:fldChar w:fldCharType="separate"/>
      </w:r>
      <w:r w:rsidR="00E974B2" w:rsidRPr="00E974B2">
        <w:rPr>
          <w:noProof/>
        </w:rPr>
        <w:t>[114,189–194]</w:t>
      </w:r>
      <w:r>
        <w:fldChar w:fldCharType="end"/>
      </w:r>
      <w:r w:rsidRPr="00B328AA">
        <w:t>.</w:t>
      </w:r>
    </w:p>
    <w:p w14:paraId="62D70567" w14:textId="77777777" w:rsidR="00A1176C" w:rsidRDefault="00A1176C" w:rsidP="00A1176C">
      <w:pPr>
        <w:pStyle w:val="Normal11"/>
        <w:tabs>
          <w:tab w:val="left" w:pos="0"/>
        </w:tabs>
        <w:spacing w:line="360" w:lineRule="auto"/>
        <w:ind w:firstLine="699"/>
        <w:jc w:val="both"/>
        <w:rPr>
          <w:bCs/>
          <w:i/>
          <w:iCs/>
          <w:u w:val="single"/>
          <w:shd w:val="clear" w:color="auto" w:fill="FFFFFF"/>
        </w:rPr>
      </w:pPr>
    </w:p>
    <w:p w14:paraId="6DF71F20" w14:textId="77777777" w:rsidR="00A1176C" w:rsidRPr="00FB3FAC" w:rsidRDefault="00A1176C" w:rsidP="00A1176C">
      <w:pPr>
        <w:pStyle w:val="Normal11"/>
        <w:tabs>
          <w:tab w:val="left" w:pos="0"/>
        </w:tabs>
        <w:spacing w:line="360" w:lineRule="auto"/>
        <w:ind w:firstLine="699"/>
        <w:jc w:val="both"/>
        <w:rPr>
          <w:bCs/>
          <w:i/>
          <w:iCs/>
          <w:u w:val="single"/>
          <w:shd w:val="clear" w:color="auto" w:fill="FFFFFF"/>
        </w:rPr>
      </w:pPr>
      <w:r w:rsidRPr="00FB3FAC">
        <w:rPr>
          <w:bCs/>
          <w:i/>
          <w:iCs/>
          <w:u w:val="single"/>
          <w:shd w:val="clear" w:color="auto" w:fill="FFFFFF"/>
        </w:rPr>
        <w:t>Профилактика острой и отсроченной тошноты и рвоты при низко-эметогенной и минимально-эметогенной ХТ</w:t>
      </w:r>
    </w:p>
    <w:p w14:paraId="3C71FF3E" w14:textId="509CC91B" w:rsidR="00A1176C" w:rsidRPr="00B328AA" w:rsidRDefault="00A1176C" w:rsidP="00CC3F7E">
      <w:pPr>
        <w:ind w:firstLine="709"/>
      </w:pPr>
      <w:r w:rsidRPr="00B328AA">
        <w:t>Для профилактики тошноты и рвоты при химиотерапии с низкой эметогенностью следует использовать только один из препаратов: дексаметазон, антагонист 5-HT3-рецепторов или антагонист рецепторов допамина (например, метоклопрамид). При минимально-эметогенной ХТ профилактика тошноты и рвоты не требуется</w:t>
      </w:r>
      <w:r>
        <w:t xml:space="preserve"> </w:t>
      </w:r>
      <w:r>
        <w:fldChar w:fldCharType="begin" w:fldLock="1"/>
      </w:r>
      <w:r w:rsidR="00FC25DA">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[114,189–194]","plainTextFormattedCitation":"[114,189–194]","previouslyFormattedCitation":"[114,189–194]"},"properties":{"noteIndex":0},"schema":"https://github.com/citation-style-language/schema/raw/master/csl-citation.json"}</w:instrText>
      </w:r>
      <w:r>
        <w:fldChar w:fldCharType="separate"/>
      </w:r>
      <w:r w:rsidR="00E974B2" w:rsidRPr="00E974B2">
        <w:rPr>
          <w:noProof/>
        </w:rPr>
        <w:t>[114,189–194]</w:t>
      </w:r>
      <w:r>
        <w:fldChar w:fldCharType="end"/>
      </w:r>
      <w:r w:rsidRPr="00B328AA">
        <w:t>.</w:t>
      </w:r>
    </w:p>
    <w:p w14:paraId="7C59C7A9" w14:textId="77777777" w:rsidR="00A1176C" w:rsidRDefault="00A1176C" w:rsidP="00A1176C">
      <w:pPr>
        <w:pStyle w:val="Normal11"/>
        <w:tabs>
          <w:tab w:val="left" w:pos="0"/>
        </w:tabs>
        <w:spacing w:line="360" w:lineRule="auto"/>
        <w:ind w:firstLine="699"/>
        <w:jc w:val="both"/>
        <w:rPr>
          <w:bCs/>
          <w:i/>
          <w:iCs/>
          <w:u w:val="single"/>
          <w:shd w:val="clear" w:color="auto" w:fill="FFFFFF"/>
        </w:rPr>
      </w:pPr>
    </w:p>
    <w:p w14:paraId="1B4D8BF1" w14:textId="77777777" w:rsidR="00A1176C" w:rsidRPr="00FB3FAC" w:rsidRDefault="00A1176C" w:rsidP="00A1176C">
      <w:pPr>
        <w:pStyle w:val="Normal11"/>
        <w:tabs>
          <w:tab w:val="left" w:pos="0"/>
        </w:tabs>
        <w:spacing w:line="360" w:lineRule="auto"/>
        <w:ind w:firstLine="699"/>
        <w:jc w:val="both"/>
        <w:rPr>
          <w:bCs/>
          <w:i/>
          <w:iCs/>
          <w:u w:val="single"/>
          <w:shd w:val="clear" w:color="auto" w:fill="FFFFFF"/>
        </w:rPr>
      </w:pPr>
      <w:r w:rsidRPr="00FB3FAC">
        <w:rPr>
          <w:bCs/>
          <w:i/>
          <w:iCs/>
          <w:u w:val="single"/>
          <w:shd w:val="clear" w:color="auto" w:fill="FFFFFF"/>
        </w:rPr>
        <w:t xml:space="preserve">Профилактика тошноты и рвоты при лучевой терапии </w:t>
      </w:r>
    </w:p>
    <w:p w14:paraId="08FE659C" w14:textId="644687B6" w:rsidR="00A1176C" w:rsidRPr="00B328AA" w:rsidRDefault="00A1176C" w:rsidP="00CC3F7E">
      <w:pPr>
        <w:ind w:firstLine="709"/>
      </w:pPr>
      <w:r w:rsidRPr="00B328AA">
        <w:t>При облучении верхней половины туловища и конечностей в большинстве случаев антиэметическая терапия не требуется. При необходимости назначения антиэметиков эметогенный потенциал определяется по максимально эметогенному воздействию (по зоне лучевой нагрузки или по лекарственному препарату, в случае сочетания лучевой терапии и ХТ) и с учетом зоны облучения. Антиэметики (в основном антагонисты 5-НТ3-рецепторов) чаще применяют неивазивным путем (перорально, ректально) за 30-60 мин до облучения. При недостаточной эффективности антагонистов 5-НТ3-рецепторов в монотерапии возможно присоединение глюкокортикоидов</w:t>
      </w:r>
      <w:r>
        <w:t xml:space="preserve"> </w:t>
      </w:r>
      <w:r>
        <w:fldChar w:fldCharType="begin" w:fldLock="1"/>
      </w:r>
      <w:r w:rsidR="00FC25DA">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[114,189–194]","plainTextFormattedCitation":"[114,189–194]","previouslyFormattedCitation":"[114,189–194]"},"properties":{"noteIndex":0},"schema":"https://github.com/citation-style-language/schema/raw/master/csl-citation.json"}</w:instrText>
      </w:r>
      <w:r>
        <w:fldChar w:fldCharType="separate"/>
      </w:r>
      <w:r w:rsidR="00E974B2" w:rsidRPr="00E974B2">
        <w:rPr>
          <w:noProof/>
        </w:rPr>
        <w:t>[114,189–194]</w:t>
      </w:r>
      <w:r>
        <w:fldChar w:fldCharType="end"/>
      </w:r>
      <w:r w:rsidRPr="00B328AA">
        <w:t>.</w:t>
      </w:r>
    </w:p>
    <w:p w14:paraId="228CC8F9" w14:textId="77777777" w:rsidR="00A1176C" w:rsidRDefault="00A1176C" w:rsidP="00A1176C">
      <w:pPr>
        <w:pStyle w:val="Normal11"/>
        <w:tabs>
          <w:tab w:val="left" w:pos="0"/>
        </w:tabs>
        <w:spacing w:line="360" w:lineRule="auto"/>
        <w:ind w:firstLine="699"/>
        <w:jc w:val="both"/>
        <w:rPr>
          <w:bCs/>
          <w:i/>
          <w:iCs/>
          <w:u w:val="single"/>
          <w:shd w:val="clear" w:color="auto" w:fill="FFFFFF"/>
        </w:rPr>
      </w:pPr>
    </w:p>
    <w:p w14:paraId="0E06ADE2" w14:textId="77777777" w:rsidR="00A1176C" w:rsidRPr="00FB3FAC" w:rsidRDefault="00A1176C" w:rsidP="00A1176C">
      <w:pPr>
        <w:pStyle w:val="Normal11"/>
        <w:tabs>
          <w:tab w:val="left" w:pos="0"/>
        </w:tabs>
        <w:spacing w:line="360" w:lineRule="auto"/>
        <w:ind w:firstLine="699"/>
        <w:jc w:val="both"/>
        <w:rPr>
          <w:bCs/>
          <w:i/>
          <w:iCs/>
          <w:u w:val="single"/>
          <w:shd w:val="clear" w:color="auto" w:fill="FFFFFF"/>
        </w:rPr>
      </w:pPr>
      <w:r w:rsidRPr="00FB3FAC">
        <w:rPr>
          <w:bCs/>
          <w:i/>
          <w:iCs/>
          <w:u w:val="single"/>
          <w:shd w:val="clear" w:color="auto" w:fill="FFFFFF"/>
        </w:rPr>
        <w:t>Терапия неконтролируемой тошноты и рвоты</w:t>
      </w:r>
    </w:p>
    <w:p w14:paraId="31497E23" w14:textId="5A832206" w:rsidR="00A1176C" w:rsidRPr="00B328AA" w:rsidRDefault="00A1176C" w:rsidP="00CC3F7E">
      <w:pPr>
        <w:ind w:firstLine="709"/>
      </w:pPr>
      <w:r w:rsidRPr="00B328AA">
        <w:t xml:space="preserve">При возникновении неконтролируемой тошноты и рвоты, несмотря на плановое назначение стандартной для эметогенности данного режима ХТ антиэметической схемы, </w:t>
      </w:r>
      <w:r w:rsidRPr="00B328AA">
        <w:lastRenderedPageBreak/>
        <w:t>необходимо исключить причины, не связанные с непосредственным назначением цитостатиков (патология ЖКТ, электролитные нарушения, гипергликемия, уремия, метастазы в головной мозг, побочное действие опиоидных анальгетиков, психофизиологические причины). В случае их исключения необходимо перевести пациента на схему профилактики с низко-эметогенного потенциала на умеренно-эметогенный и с умеренно-эметогенного на высоко-эметогенный. При возникновении неконтролируемой тошноты и рвоты на фоне стандартных противорвотных схем (без использования апрепитанта или фосапрепитанта) необходимо при последующих курсах ввести в противорвотный режим апрепитант или фосапрепитант</w:t>
      </w:r>
      <w:r>
        <w:t xml:space="preserve"> </w:t>
      </w:r>
      <w:r>
        <w:fldChar w:fldCharType="begin" w:fldLock="1"/>
      </w:r>
      <w:r w:rsidR="00FC25DA">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[114,189–194]","plainTextFormattedCitation":"[114,189–194]","previouslyFormattedCitation":"[114,189–194]"},"properties":{"noteIndex":0},"schema":"https://github.com/citation-style-language/schema/raw/master/csl-citation.json"}</w:instrText>
      </w:r>
      <w:r>
        <w:fldChar w:fldCharType="separate"/>
      </w:r>
      <w:r w:rsidR="00E974B2" w:rsidRPr="00E974B2">
        <w:rPr>
          <w:noProof/>
        </w:rPr>
        <w:t>[114,189–194]</w:t>
      </w:r>
      <w:r>
        <w:fldChar w:fldCharType="end"/>
      </w:r>
      <w:r w:rsidRPr="00B328AA">
        <w:t xml:space="preserve">. </w:t>
      </w:r>
    </w:p>
    <w:p w14:paraId="6B78BFAE" w14:textId="77777777" w:rsidR="00A1176C" w:rsidRPr="00B328AA" w:rsidRDefault="00A1176C" w:rsidP="00CC3F7E">
      <w:pPr>
        <w:ind w:firstLine="709"/>
      </w:pPr>
      <w:r w:rsidRPr="00B328AA">
        <w:t>Развитие неконтролируемой или рефрактерной рвоты может развиться у пациентов с так называемым сверхбыстрым метаболическим фенотипом (ускоренный метаболизм антагонистов 5-HT3-рецепторов в печени). В таком случае целесообразна смена 5-HT3-блокатора на другой антиэметик данного класса препаратов.</w:t>
      </w:r>
    </w:p>
    <w:p w14:paraId="125E748B" w14:textId="77777777" w:rsidR="00A1176C" w:rsidRPr="00B328AA" w:rsidRDefault="00A1176C" w:rsidP="00CC3F7E">
      <w:pPr>
        <w:ind w:firstLine="709"/>
      </w:pPr>
      <w:r w:rsidRPr="00B328AA">
        <w:t>Кроме того, следует выполнять ряд общих принципов профилактики и лечения тошноты и рвоты:</w:t>
      </w:r>
    </w:p>
    <w:p w14:paraId="4CA9B590" w14:textId="77777777" w:rsidR="00A1176C" w:rsidRPr="00B328AA" w:rsidRDefault="00A1176C" w:rsidP="00A1176C">
      <w:pPr>
        <w:pStyle w:val="afe"/>
        <w:numPr>
          <w:ilvl w:val="0"/>
          <w:numId w:val="127"/>
        </w:numPr>
        <w:contextualSpacing w:val="0"/>
      </w:pPr>
      <w:r w:rsidRPr="00B328AA">
        <w:t>Назначать антиэметики строго по часам, а не при появлении тошноты или рвоты.</w:t>
      </w:r>
    </w:p>
    <w:p w14:paraId="25A73094" w14:textId="77777777" w:rsidR="00A1176C" w:rsidRPr="00B328AA" w:rsidRDefault="00A1176C" w:rsidP="00A1176C">
      <w:pPr>
        <w:pStyle w:val="afe"/>
        <w:numPr>
          <w:ilvl w:val="0"/>
          <w:numId w:val="127"/>
        </w:numPr>
        <w:contextualSpacing w:val="0"/>
      </w:pPr>
      <w:r w:rsidRPr="00B328AA">
        <w:t xml:space="preserve">Оценивать предпочтительный путь введения препаратов (парентерально, в ректальных суппозиториях, или внутрь). </w:t>
      </w:r>
    </w:p>
    <w:p w14:paraId="19FF5A63" w14:textId="77777777" w:rsidR="00A1176C" w:rsidRPr="00B328AA" w:rsidRDefault="00A1176C" w:rsidP="00A1176C">
      <w:pPr>
        <w:pStyle w:val="afe"/>
        <w:numPr>
          <w:ilvl w:val="0"/>
          <w:numId w:val="127"/>
        </w:numPr>
        <w:contextualSpacing w:val="0"/>
      </w:pPr>
      <w:r w:rsidRPr="00B328AA">
        <w:t>Осуществлять адекватную гидратацию и коррекцию электролитов.</w:t>
      </w:r>
    </w:p>
    <w:p w14:paraId="743B396A" w14:textId="77777777" w:rsidR="00A1176C" w:rsidRPr="00B328AA" w:rsidRDefault="00A1176C" w:rsidP="00A1176C">
      <w:pPr>
        <w:pStyle w:val="afe"/>
        <w:numPr>
          <w:ilvl w:val="0"/>
          <w:numId w:val="127"/>
        </w:numPr>
        <w:contextualSpacing w:val="0"/>
      </w:pPr>
      <w:r w:rsidRPr="00B328AA">
        <w:t>Добавлять при диспепсии Н2-блокаторы или блокаторы протонной помпы.</w:t>
      </w:r>
    </w:p>
    <w:p w14:paraId="1F169337" w14:textId="77777777" w:rsidR="00A1176C" w:rsidRPr="0006238A" w:rsidRDefault="00A1176C" w:rsidP="00CC3F7E">
      <w:pPr>
        <w:ind w:firstLine="709"/>
        <w:rPr>
          <w:rFonts w:eastAsia="GaramondC-Light"/>
          <w:color w:val="000000"/>
        </w:rPr>
      </w:pPr>
      <w:r w:rsidRPr="0006238A">
        <w:rPr>
          <w:rFonts w:eastAsia="GaramondC-Light"/>
          <w:color w:val="000000"/>
        </w:rPr>
        <w:t>При возникновении неконтролируемой тошноты и рвоты на фоне трехкомпонентной противорвотной схемы стандартного подхода нет</w:t>
      </w:r>
      <w:r>
        <w:rPr>
          <w:rFonts w:eastAsia="GaramondC-Light"/>
          <w:color w:val="000000"/>
        </w:rPr>
        <w:t>, с</w:t>
      </w:r>
      <w:r w:rsidRPr="0006238A">
        <w:rPr>
          <w:rFonts w:eastAsia="GaramondC-Light"/>
          <w:color w:val="000000"/>
        </w:rPr>
        <w:t xml:space="preserve">ледует рассмотреть добавление препаратов иного класса из </w:t>
      </w:r>
      <w:r>
        <w:rPr>
          <w:rFonts w:eastAsia="GaramondC-Light"/>
          <w:color w:val="000000"/>
        </w:rPr>
        <w:t xml:space="preserve">группы </w:t>
      </w:r>
      <w:r w:rsidRPr="0006238A">
        <w:rPr>
          <w:rFonts w:eastAsia="GaramondC-Light"/>
          <w:color w:val="000000"/>
        </w:rPr>
        <w:t>резерва:</w:t>
      </w:r>
      <w:r>
        <w:rPr>
          <w:rFonts w:eastAsia="GaramondC-Light"/>
          <w:color w:val="000000"/>
        </w:rPr>
        <w:t xml:space="preserve"> </w:t>
      </w:r>
    </w:p>
    <w:p w14:paraId="401A7AA0" w14:textId="77777777" w:rsidR="00A1176C" w:rsidRPr="00B328AA" w:rsidRDefault="00A1176C" w:rsidP="00A1176C">
      <w:pPr>
        <w:pStyle w:val="afe"/>
        <w:numPr>
          <w:ilvl w:val="0"/>
          <w:numId w:val="127"/>
        </w:numPr>
        <w:contextualSpacing w:val="0"/>
      </w:pPr>
      <w:r w:rsidRPr="00B328AA">
        <w:t>бензодиазепины (например, лоразепам по 0,5–2 мг каждые 4–6 ч);</w:t>
      </w:r>
    </w:p>
    <w:p w14:paraId="52DF1734" w14:textId="77777777" w:rsidR="00A1176C" w:rsidRPr="00B328AA" w:rsidRDefault="00A1176C" w:rsidP="00A1176C">
      <w:pPr>
        <w:pStyle w:val="afe"/>
        <w:numPr>
          <w:ilvl w:val="0"/>
          <w:numId w:val="127"/>
        </w:numPr>
        <w:contextualSpacing w:val="0"/>
      </w:pPr>
      <w:r w:rsidRPr="00B328AA">
        <w:t>блокаторы рецепторов допамина (например, метоклопрамид по 20 мг каждые 6 ч);</w:t>
      </w:r>
    </w:p>
    <w:p w14:paraId="5389FFE1" w14:textId="77777777" w:rsidR="00A1176C" w:rsidRPr="00B328AA" w:rsidRDefault="00A1176C" w:rsidP="00A1176C">
      <w:pPr>
        <w:pStyle w:val="afe"/>
        <w:numPr>
          <w:ilvl w:val="0"/>
          <w:numId w:val="127"/>
        </w:numPr>
        <w:contextualSpacing w:val="0"/>
      </w:pPr>
      <w:r w:rsidRPr="00B328AA">
        <w:t>фенотиазины (например, аминазин 25 мг 4 раза в сутки);</w:t>
      </w:r>
    </w:p>
    <w:p w14:paraId="702A3A58" w14:textId="77777777" w:rsidR="00A1176C" w:rsidRPr="00B328AA" w:rsidRDefault="00A1176C" w:rsidP="00A1176C">
      <w:pPr>
        <w:pStyle w:val="afe"/>
        <w:numPr>
          <w:ilvl w:val="0"/>
          <w:numId w:val="127"/>
        </w:numPr>
        <w:contextualSpacing w:val="0"/>
      </w:pPr>
      <w:r w:rsidRPr="00B328AA">
        <w:t>бутирофеноны (например, галоперидол 1–2 мг каждые 4–6 ч).</w:t>
      </w:r>
    </w:p>
    <w:p w14:paraId="1F0D397B" w14:textId="77777777" w:rsidR="00A1176C" w:rsidRPr="00B328AA" w:rsidRDefault="00A1176C" w:rsidP="00CC3F7E">
      <w:pPr>
        <w:ind w:firstLine="709"/>
      </w:pPr>
      <w:r w:rsidRPr="00B328AA">
        <w:t>Возможно также использование альтернативного варианта профилактики тошноты и рвоты:</w:t>
      </w:r>
    </w:p>
    <w:p w14:paraId="5962F2BB" w14:textId="77777777" w:rsidR="00A1176C" w:rsidRPr="00B53E48" w:rsidRDefault="00A1176C" w:rsidP="00A1176C">
      <w:pPr>
        <w:pStyle w:val="afe"/>
        <w:numPr>
          <w:ilvl w:val="0"/>
          <w:numId w:val="127"/>
        </w:numPr>
        <w:contextualSpacing w:val="0"/>
      </w:pPr>
      <w:r w:rsidRPr="00B53E48">
        <w:t>оланзапин 5–10 мг в сутки внутрь с 1 по 3 дни;</w:t>
      </w:r>
    </w:p>
    <w:p w14:paraId="4406E1F9" w14:textId="77777777" w:rsidR="00A1176C" w:rsidRPr="00B53E48" w:rsidRDefault="00A1176C" w:rsidP="00A1176C">
      <w:pPr>
        <w:pStyle w:val="afe"/>
        <w:numPr>
          <w:ilvl w:val="0"/>
          <w:numId w:val="127"/>
        </w:numPr>
        <w:contextualSpacing w:val="0"/>
      </w:pPr>
      <w:r w:rsidRPr="00B53E48">
        <w:t>палоносетрон 0,25 мг в/в за 60 минут до ХТ в 1 день однократно;</w:t>
      </w:r>
    </w:p>
    <w:p w14:paraId="5717F8D4" w14:textId="77777777" w:rsidR="00A1176C" w:rsidRPr="00B53E48" w:rsidRDefault="00A1176C" w:rsidP="00A1176C">
      <w:pPr>
        <w:pStyle w:val="afe"/>
        <w:numPr>
          <w:ilvl w:val="0"/>
          <w:numId w:val="127"/>
        </w:numPr>
        <w:contextualSpacing w:val="0"/>
      </w:pPr>
      <w:r w:rsidRPr="00B53E48">
        <w:t>дексаметазон 20 мг в/в за 30 минут до ХТ в 1 день.</w:t>
      </w:r>
    </w:p>
    <w:p w14:paraId="4DB1C205" w14:textId="77777777" w:rsidR="00A1176C" w:rsidRDefault="00A1176C" w:rsidP="00A1176C">
      <w:pPr>
        <w:pStyle w:val="Normal11"/>
        <w:tabs>
          <w:tab w:val="left" w:pos="0"/>
        </w:tabs>
        <w:spacing w:line="360" w:lineRule="auto"/>
        <w:ind w:firstLine="699"/>
        <w:jc w:val="both"/>
        <w:rPr>
          <w:bCs/>
          <w:i/>
          <w:iCs/>
          <w:u w:val="single"/>
          <w:shd w:val="clear" w:color="auto" w:fill="FFFFFF"/>
        </w:rPr>
      </w:pPr>
    </w:p>
    <w:p w14:paraId="376D0DF6" w14:textId="77777777" w:rsidR="00A1176C" w:rsidRPr="00FB3FAC" w:rsidRDefault="00A1176C" w:rsidP="00A1176C">
      <w:pPr>
        <w:pStyle w:val="Normal11"/>
        <w:tabs>
          <w:tab w:val="left" w:pos="0"/>
        </w:tabs>
        <w:spacing w:line="360" w:lineRule="auto"/>
        <w:ind w:firstLine="699"/>
        <w:jc w:val="both"/>
        <w:rPr>
          <w:bCs/>
          <w:i/>
          <w:iCs/>
          <w:u w:val="single"/>
          <w:shd w:val="clear" w:color="auto" w:fill="FFFFFF"/>
        </w:rPr>
      </w:pPr>
      <w:r w:rsidRPr="00FB3FAC">
        <w:rPr>
          <w:bCs/>
          <w:i/>
          <w:iCs/>
          <w:u w:val="single"/>
          <w:shd w:val="clear" w:color="auto" w:fill="FFFFFF"/>
        </w:rPr>
        <w:t>Профилактика и терапия условно-рефлекторной рвоты</w:t>
      </w:r>
    </w:p>
    <w:p w14:paraId="6DBD6F88" w14:textId="1F9F4656" w:rsidR="00A1176C" w:rsidRDefault="00A1176C" w:rsidP="00CC3F7E">
      <w:pPr>
        <w:ind w:firstLine="709"/>
      </w:pPr>
      <w:r w:rsidRPr="00B328AA">
        <w:lastRenderedPageBreak/>
        <w:t>Для профилактики и лечения условно-рефлекторной тошноты и рвоты, в первую очередь, важна оптимальная профилактика тошноты и рвоты в каждом цикле ХТ. Также, с учетом психогенного механизма, применяют бензодиазепины (например, лоразепам по 0,5-2 мг на ночь накануне и утром перед ХТ), и нефармакологические методы – психотерапия, гипноз, системная десенсибилизация</w:t>
      </w:r>
      <w:r>
        <w:t xml:space="preserve"> </w:t>
      </w:r>
      <w:r>
        <w:fldChar w:fldCharType="begin" w:fldLock="1"/>
      </w:r>
      <w:r w:rsidR="00FC25DA">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[114,189–194]","plainTextFormattedCitation":"[114,189–194]","previouslyFormattedCitation":"[114,189–194]"},"properties":{"noteIndex":0},"schema":"https://github.com/citation-style-language/schema/raw/master/csl-citation.json"}</w:instrText>
      </w:r>
      <w:r>
        <w:fldChar w:fldCharType="separate"/>
      </w:r>
      <w:r w:rsidR="00E974B2" w:rsidRPr="00E974B2">
        <w:rPr>
          <w:noProof/>
        </w:rPr>
        <w:t>[114,189–194]</w:t>
      </w:r>
      <w:r>
        <w:fldChar w:fldCharType="end"/>
      </w:r>
      <w:r w:rsidRPr="00B328AA">
        <w:t>.</w:t>
      </w:r>
    </w:p>
    <w:p w14:paraId="176C9418" w14:textId="0FE244A3" w:rsidR="00A1176C" w:rsidRDefault="00A1176C" w:rsidP="00A1176C">
      <w:pPr>
        <w:pStyle w:val="Normal11"/>
        <w:tabs>
          <w:tab w:val="left" w:pos="0"/>
        </w:tabs>
        <w:spacing w:line="360" w:lineRule="auto"/>
        <w:ind w:firstLine="699"/>
        <w:jc w:val="both"/>
        <w:rPr>
          <w:noProof/>
        </w:rPr>
      </w:pPr>
    </w:p>
    <w:p w14:paraId="1987EDE4" w14:textId="2E005682" w:rsidR="00623BAE" w:rsidRPr="003C1AEB" w:rsidRDefault="00CC3F7E" w:rsidP="00623BAE">
      <w:pPr>
        <w:pStyle w:val="2"/>
        <w:spacing w:before="0"/>
      </w:pPr>
      <w:bookmarkStart w:id="112" w:name="_Toc66096863"/>
      <w:r w:rsidRPr="000322E4">
        <w:t>Приложение А3.</w:t>
      </w:r>
      <w:r>
        <w:t xml:space="preserve">5. </w:t>
      </w:r>
      <w:bookmarkStart w:id="113" w:name="_Toc64295967"/>
      <w:bookmarkStart w:id="114" w:name="_Toc64479399"/>
      <w:r w:rsidR="00623BAE" w:rsidRPr="003C1AEB">
        <w:rPr>
          <w:u w:color="000000"/>
          <w:lang w:eastAsia="ru-RU"/>
        </w:rPr>
        <w:t>Профилактика язвенной болезни желудка и 12-перстной кишки на фоне терапии глюкокортикостероидами</w:t>
      </w:r>
      <w:bookmarkEnd w:id="112"/>
      <w:bookmarkEnd w:id="113"/>
      <w:bookmarkEnd w:id="114"/>
    </w:p>
    <w:p w14:paraId="2B96BC8C" w14:textId="5C5D60C4" w:rsidR="00623BAE" w:rsidRDefault="00623BAE" w:rsidP="00623BAE">
      <w:pPr>
        <w:ind w:firstLine="709"/>
      </w:pPr>
      <w:r w:rsidRPr="00C96416">
        <w:t xml:space="preserve">В абсолютное большинство протоколов противоопухолевого лечения </w:t>
      </w:r>
      <w:r>
        <w:t>онко</w:t>
      </w:r>
      <w:r w:rsidRPr="003A77F4">
        <w:t>гематологических заболеваний</w:t>
      </w:r>
      <w:r w:rsidRPr="00C96416">
        <w:t xml:space="preserve"> включены высокие дозы глюкокортикостероидов (ГКС). Язва желудка или двенадцатиперстной кишки является одним из серьёзных побочных эффектов терапии ГКС. Механизм ульцерогенного действия ГКС заключается в повышении секреции соляной кислоты в желудке, изменении качественного состава слизи, торможении регенерации поверхностного эпителия. При сочетанном применении </w:t>
      </w:r>
      <w:r>
        <w:t xml:space="preserve">ГКС с </w:t>
      </w:r>
      <w:r w:rsidRPr="00C96416">
        <w:t>нестероидны</w:t>
      </w:r>
      <w:r>
        <w:t>ми</w:t>
      </w:r>
      <w:r w:rsidRPr="00C96416">
        <w:t xml:space="preserve"> противовоспалительны</w:t>
      </w:r>
      <w:r>
        <w:t>ми</w:t>
      </w:r>
      <w:r w:rsidRPr="00C96416">
        <w:t xml:space="preserve"> средств</w:t>
      </w:r>
      <w:r>
        <w:t xml:space="preserve">ами и антикоагулянтами </w:t>
      </w:r>
      <w:r w:rsidRPr="00C96416">
        <w:t>риск развития стероидных язв возрастает.</w:t>
      </w:r>
      <w:r>
        <w:t xml:space="preserve"> В связи с ульцерогенностью, при использовании ГКС необходимо проводить антисекреторную терапию с целью профилактики стероидных язв </w:t>
      </w:r>
      <w:r>
        <w:fldChar w:fldCharType="begin" w:fldLock="1"/>
      </w:r>
      <w:r w:rsidR="00855E45">
        <w:instrText>ADDIN CSL_CITATION {"citationItems":[{"id":"ITEM-1","itemData":{"DOI":"10.1136/bmjopen-2013-004587","ISSN":"20446055","PMID":"24833682","abstract":"Objective: To assess whether corticosteroids are associated with increased risk of gastrointestinal bleeding or perforation. Design: Systematic review and meta-analysis of randomised, double-blind, controlled trials comparing a corticosteroid to placebo for any medical condition or in healthy participants. Studies with steroids given either locally, as a single dose, or in crossover studies were excluded. Data sources: Literature search using MEDLINE, EMBASE and Cochrane Database of Systematic Reviews between 1983 and 22 May 2013. Outcome measure: Outcome measures were the occurrence of gastrointestinal bleeding or perforation. Predefined subgroup analyses were carried out for disease severity, use of non-steroidal anti-inflammatory drugs (NSAIDs) or gastroprotective drugs, and history of peptic ulcer. Results: 159 studies (N=33 253) were included. In total, 804 (2.4%) patients had a gastrointestinal bleeding or perforation (2.9% and 2.0% for corticosteroids and placebo). Corticosteroids increased the risk of gastrointestinal bleeding or perforation by 40% (OR 1.43, 95% CI 1.22 to 1.66). The risk was increased for hospitalised patients (OR 1.42, 95% CI 1.22 to 1.66). For patients in ambulatory care, the increased risk was not statistically significant (OR 1.63, 95% CI 0.42 to 6.34). Only 11 gastrointestinal bleeds or perforations occurred among 8651 patients in ambulatory care (0.13%). Increased risk was still present in subgroup analyses (studies with NSAID use excluded; OR 1.44, 95% CI 1.20 to 1.71, peptic ulcer as an exclusion criterion excluded; OR 1.47, 95% CI 1.21 to 1.78, and use of gastroprotective drugs excluded; OR 1.42, 95% CI 1.21 to 1.67). Conclusions: Corticosteroid use was associated with increased risk of gastrointestinal bleeding and perforation. The increased risk was statistically significant for hospitalised patients only. For patients in ambulatory care, the total occurrence of bleeding or perforation was very low, and the increased risk was not statistically significant.","author":[{"dropping-particle":"","family":"Narum","given":"Sigrid","non-dropping-particle":"","parse-names":false,"suffix":""},{"dropping-particle":"","family":"Westergren","given":"Tone","non-dropping-particle":"","parse-names":false,"suffix":""},{"dropping-particle":"","family":"Klemp","given":"Marianne","non-dropping-particle":"","parse-names":false,"suffix":""}],"container-title":"BMJ Open","id":"ITEM-1","issue":"5","issued":{"date-parts":[["2014"]]},"publisher":"BMJ Publishing Group","title":"Corticosteroids and risk of gastrointestinal bleeding: A systematic review and meta-analysis","type":"article-journal","volume":"4"},"uris":["http://www.mendeley.com/documents/?uuid=e701298a-dc65-3059-b1f1-21f394625ffe"]},{"id":"ITEM-2","itemData":{"DOI":"10.1111/j.1365-2796.1994.tb00855.x","ISSN":"0954-6820","PMID":"7989897","abstract":"OBJECTIVES This meta-analysis was performed to determine whether corticosteroid therapy induces the development of peptic ulcer and other putative complications of steroid therapy. DESIGN A retrospective investigation in which we analysed all the randomized, double-blind, controlled trials (RDBCT) in which steroids had been administered that we were able to identify. The number of episodes of peptic ulcer, dermatological effects, sepsis, diabetes, hypertension, osteoporosis, psychosis and tuberculosis reported in both the placebo and steroid groups were compared. SETTING The international medical literature was analysed for any RDBCT in which any steroid or ACTH had been administered in any dosage for any duration, and any putative complication of steroid therapy was reported. SUBJECTS Of 1857 articles, 93 satisfied our requirements and were analysed by the meta-analytic techniques of Peto, DerSimonian and Laird. A total of 6602 patients were included. MAIN OUTCOME MEASURES The relative frequencies of each of these eight 'complications' were compared in the placebo and steroid groups using conventional statistics and meta-analysis. The relative frequencies of 'annualized' subgroups of patients who received treatment for 1 to 7 days, 1 week to 1 month, 1 to 3 months and more than 3 months, were similarly analysed. RESULTS Nine of 3267 patients in the placebo group (0.3%) and 13 of 3335 patients in the steroid group (0.4%) were reported to develop peptic ulcer (P &gt; 0.05). The dermatological cosmetic effects of steroid therapy were observed more frequently in the steroid group (P &lt; 0.001), as was diabetes (P &lt; 0.001), hypertension (P &lt; 0.01) and psychosis (P &lt; 0.001). Sepsis, osteoporosis and tuberculosis all occurred more frequently in the steroid than in the placebo group, but the differences are not statistically significant. CONCLUSIONS Peptic ulcer is a rare complication of corticosteroid therapy that should not be considered a contraindication when steroid therapy is indicated.","author":[{"dropping-particle":"","family":"Conn","given":"H O","non-dropping-particle":"","parse-names":false,"suffix":""},{"dropping-particle":"","family":"Poynard","given":"T","non-dropping-particle":"","parse-names":false,"suffix":""}],"container-title":"Journal of internal medicine","id":"ITEM-2","issue":"6","issued":{"date-parts":[["1994","12"]]},"page":"619-32","publisher":"J Intern Med","title":"Corticosteroids and peptic ulcer: meta-analysis of adverse events during steroid therapy.","type":"article-journal","volume":"236"},"uris":["http://www.mendeley.com/documents/?uuid=84af1729-7cf0-45a4-828e-6c0ee9132476"]}],"mendeley":{"formattedCitation":"[195,196]","plainTextFormattedCitation":"[195,196]","previouslyFormattedCitation":"[195,196]"},"properties":{"noteIndex":0},"schema":"https://github.com/citation-style-language/schema/raw/master/csl-citation.json"}</w:instrText>
      </w:r>
      <w:r>
        <w:fldChar w:fldCharType="separate"/>
      </w:r>
      <w:r w:rsidR="00FC25DA" w:rsidRPr="00FC25DA">
        <w:rPr>
          <w:noProof/>
        </w:rPr>
        <w:t>[195,196]</w:t>
      </w:r>
      <w:r>
        <w:fldChar w:fldCharType="end"/>
      </w:r>
      <w:r>
        <w:t>.</w:t>
      </w:r>
    </w:p>
    <w:p w14:paraId="50CC21AC" w14:textId="77777777" w:rsidR="00623BAE" w:rsidRDefault="00623BAE" w:rsidP="00623BAE"/>
    <w:p w14:paraId="4234A305" w14:textId="77777777" w:rsidR="00623BAE" w:rsidRPr="00A56C81" w:rsidRDefault="00623BAE" w:rsidP="00623BAE">
      <w:pPr>
        <w:pStyle w:val="Normal11"/>
        <w:tabs>
          <w:tab w:val="left" w:pos="0"/>
        </w:tabs>
        <w:spacing w:line="360" w:lineRule="auto"/>
        <w:ind w:firstLine="0"/>
        <w:jc w:val="both"/>
        <w:rPr>
          <w:bCs/>
          <w:i/>
          <w:iCs/>
          <w:u w:val="single"/>
          <w:shd w:val="clear" w:color="auto" w:fill="FFFFFF"/>
        </w:rPr>
      </w:pPr>
      <w:r w:rsidRPr="00A56C81">
        <w:rPr>
          <w:bCs/>
          <w:i/>
          <w:iCs/>
          <w:u w:val="single"/>
          <w:shd w:val="clear" w:color="auto" w:fill="FFFFFF"/>
        </w:rPr>
        <w:t>Диагностика язвенной болезни желудка и 12-перстной кишки при применении ГСК</w:t>
      </w:r>
    </w:p>
    <w:p w14:paraId="785EC0FE" w14:textId="77777777" w:rsidR="00623BAE" w:rsidRDefault="00623BAE" w:rsidP="00623BAE">
      <w:pPr>
        <w:ind w:firstLine="709"/>
      </w:pPr>
      <w:r w:rsidRPr="00C96416">
        <w:t xml:space="preserve">Формирование язв </w:t>
      </w:r>
      <w:r>
        <w:t xml:space="preserve">ЖКТ </w:t>
      </w:r>
      <w:r w:rsidRPr="00C96416">
        <w:t xml:space="preserve">может проявляться диспепсическими явлениями и </w:t>
      </w:r>
      <w:r>
        <w:t xml:space="preserve">абдоминальными </w:t>
      </w:r>
      <w:r w:rsidRPr="00C96416">
        <w:t>болями, но нередко протекает и бессимптомно, манифестируя кровотечением или пер</w:t>
      </w:r>
      <w:r>
        <w:t xml:space="preserve">форацией. </w:t>
      </w:r>
    </w:p>
    <w:p w14:paraId="661EC9BB" w14:textId="77777777" w:rsidR="00623BAE" w:rsidRPr="003A77F4" w:rsidRDefault="00623BAE" w:rsidP="00623BAE">
      <w:pPr>
        <w:ind w:firstLine="709"/>
      </w:pPr>
      <w:r>
        <w:t>Для диагностики язвенного поражения ЖКТ применяется э</w:t>
      </w:r>
      <w:r w:rsidRPr="006252FA">
        <w:t>зофагодуоденоскопия</w:t>
      </w:r>
      <w:r>
        <w:t xml:space="preserve">, при необходимости </w:t>
      </w:r>
      <w:r w:rsidRPr="003A77F4">
        <w:t xml:space="preserve">с биопсийным исследованием и тестом на наличие </w:t>
      </w:r>
      <w:r w:rsidRPr="003A77F4">
        <w:rPr>
          <w:lang w:val="en-US"/>
        </w:rPr>
        <w:t>H</w:t>
      </w:r>
      <w:r w:rsidRPr="003A77F4">
        <w:t xml:space="preserve">. </w:t>
      </w:r>
      <w:r w:rsidRPr="003A77F4">
        <w:rPr>
          <w:lang w:val="en-US"/>
        </w:rPr>
        <w:t>Pylori</w:t>
      </w:r>
      <w:r w:rsidRPr="003A77F4">
        <w:t>.</w:t>
      </w:r>
    </w:p>
    <w:p w14:paraId="462DF5B5" w14:textId="77777777" w:rsidR="00623BAE" w:rsidRDefault="00623BAE" w:rsidP="00623BAE">
      <w:pPr>
        <w:pStyle w:val="Normal11"/>
        <w:tabs>
          <w:tab w:val="left" w:pos="0"/>
        </w:tabs>
        <w:spacing w:line="360" w:lineRule="auto"/>
        <w:ind w:firstLine="699"/>
        <w:jc w:val="both"/>
        <w:rPr>
          <w:bCs/>
          <w:i/>
          <w:iCs/>
          <w:u w:val="single"/>
          <w:shd w:val="clear" w:color="auto" w:fill="FFFFFF"/>
        </w:rPr>
      </w:pPr>
    </w:p>
    <w:p w14:paraId="6C37F45F" w14:textId="77777777" w:rsidR="00623BAE" w:rsidRPr="00A56C81" w:rsidRDefault="00623BAE" w:rsidP="00623BAE">
      <w:pPr>
        <w:pStyle w:val="Normal11"/>
        <w:tabs>
          <w:tab w:val="left" w:pos="0"/>
        </w:tabs>
        <w:spacing w:line="360" w:lineRule="auto"/>
        <w:ind w:firstLine="0"/>
        <w:jc w:val="both"/>
        <w:rPr>
          <w:bCs/>
          <w:i/>
          <w:iCs/>
          <w:u w:val="single"/>
          <w:shd w:val="clear" w:color="auto" w:fill="FFFFFF"/>
        </w:rPr>
      </w:pPr>
      <w:r w:rsidRPr="00A56C81">
        <w:rPr>
          <w:bCs/>
          <w:i/>
          <w:iCs/>
          <w:u w:val="single"/>
          <w:shd w:val="clear" w:color="auto" w:fill="FFFFFF"/>
        </w:rPr>
        <w:t>Профилактика язвенной болезни желудка и 12-перстной кишки при применении ГКС.</w:t>
      </w:r>
    </w:p>
    <w:p w14:paraId="39A6D5A0" w14:textId="6470E5B1" w:rsidR="00623BAE" w:rsidRDefault="00623BAE" w:rsidP="00FC25DA">
      <w:pPr>
        <w:ind w:firstLine="709"/>
      </w:pPr>
      <w:r w:rsidRPr="00A56C81">
        <w:t xml:space="preserve">По результатам </w:t>
      </w:r>
      <w:r w:rsidRPr="00C96416">
        <w:t>мета</w:t>
      </w:r>
      <w:r>
        <w:t>-</w:t>
      </w:r>
      <w:r w:rsidRPr="00C96416">
        <w:t>анализа 300 работ</w:t>
      </w:r>
      <w:r>
        <w:fldChar w:fldCharType="begin" w:fldLock="1"/>
      </w:r>
      <w:r w:rsidR="00855E45">
        <w:instrText>ADDIN CSL_CITATION {"citationItems":[{"id":"ITEM-1","itemData":{"DOI":"10.1016/0016-5085(90)91015-X","ISSN":"00165085","PMID":"2142113","abstract":"The optimal degree and duration of suppression of gastric acidity required for the healing of peptic ulcers has never been established. Although very potent inhibitors of acid secretion are now available, the need for this degree of suppression has not been shown, and there is a possibility of adverse effects because of pronounced acid inhibition. Therefore, a model has been constructed that defines the relationship between duodenal ulcer healing and antisecretory therapy. Acid suppression data were obtained directly from investigators as raw data from 24-hour studies of acid secretion. Twenty-one experiments from seven investigators provided 490 24-hour studies using 19 different treatment regimens. Healing data were collected from a metaanalysis of published clinical trials of duodenal ulcer healing. A total of 144 published trials in 14,208 patients provided healing data at several endoscopic endpoints for the 19 drug regimens for which acidity data were provided. Weighted least-squares polynomial regression analysis was used to define those parameters of antisecretory therapy that contributed most to duodenal ulcer healing and to define the shape of the response surface. A highly significant correlation (r = 0.9814) was found between healing and the degree of acid suppression, the duration of acid suppression, and the length of therapy. The shape of the contour expressing this relationship shows that healing increases as the duration of suppression increases and as gastric pH increases. However, suppression that increased pH beyond 3.0 was not found to increase ulcer healing further. It is concluded that a longer duration of antisecretory effect and/or a longer duration of therapy are of greater importance than potency for duodenal ulcer healing. © 1990.","author":[{"dropping-particle":"","family":"Burget","given":"Douglas W.","non-dropping-particle":"","parse-names":false,"suffix":""},{"dropping-particle":"","family":"Chiverton","given":"Stephen G.","non-dropping-particle":"","parse-names":false,"suffix":""},{"dropping-particle":"","family":"Hunt","given":"Richard H.","non-dropping-particle":"","parse-names":false,"suffix":""}],"container-title":"Gastroenterology","id":"ITEM-1","issue":"2","issued":{"date-parts":[["1990","8"]]},"page":"345-351","publisher":"Gastroenterology","title":"Is there an optimal degree of acid suppression for healing of duodenal ulcers? A model of the relationship between ulcer healing and acid suppression","type":"article-journal","volume":"99"},"uris":["http://www.mendeley.com/documents/?uuid=55c5fe56-6faa-4e55-bfe2-e8e5c51854a2"]}],"mendeley":{"formattedCitation":"[197]","plainTextFormattedCitation":"[197]","previouslyFormattedCitation":"[197]"},"properties":{"noteIndex":0},"schema":"https://github.com/citation-style-language/schema/raw/master/csl-citation.json"}</w:instrText>
      </w:r>
      <w:r>
        <w:fldChar w:fldCharType="separate"/>
      </w:r>
      <w:r w:rsidR="00FC25DA" w:rsidRPr="00FC25DA">
        <w:rPr>
          <w:noProof/>
        </w:rPr>
        <w:t>[197]</w:t>
      </w:r>
      <w:r>
        <w:fldChar w:fldCharType="end"/>
      </w:r>
      <w:r>
        <w:t xml:space="preserve">, </w:t>
      </w:r>
      <w:r w:rsidRPr="00C96416">
        <w:t>язвы желудка и двенадцатиперстной кишки рубцуются практически во всех случаях, если рН внутрижелудочного содержимого поддерживается более 3</w:t>
      </w:r>
      <w:r>
        <w:t xml:space="preserve"> </w:t>
      </w:r>
      <w:r w:rsidRPr="00C96416">
        <w:t xml:space="preserve">в течение суток </w:t>
      </w:r>
      <w:r>
        <w:t>на протяжении</w:t>
      </w:r>
      <w:r w:rsidRPr="00C96416">
        <w:t xml:space="preserve"> 18 часо</w:t>
      </w:r>
      <w:r>
        <w:t>в</w:t>
      </w:r>
      <w:r w:rsidRPr="00C96416">
        <w:t xml:space="preserve">. С учетом указанного правила в качестве противоязвенной терапии в настоящее время могут рассматриваться антациды, блокаторы Н2-гистаминовых рецепторов и ингибиторы протонной помпы </w:t>
      </w:r>
      <w:r>
        <w:t>(</w:t>
      </w:r>
      <w:r w:rsidRPr="00C96416">
        <w:t>ИПП</w:t>
      </w:r>
      <w:r>
        <w:t>)</w:t>
      </w:r>
      <w:r w:rsidRPr="00C96416">
        <w:t>. Согласно одному из последних мета</w:t>
      </w:r>
      <w:r>
        <w:t>-</w:t>
      </w:r>
      <w:r w:rsidRPr="00C96416">
        <w:t xml:space="preserve">анализов, при использовании </w:t>
      </w:r>
      <w:r>
        <w:t xml:space="preserve">ИПП </w:t>
      </w:r>
      <w:r w:rsidRPr="00C96416">
        <w:t>и</w:t>
      </w:r>
      <w:r>
        <w:t>ли</w:t>
      </w:r>
      <w:r w:rsidRPr="00C96416">
        <w:t xml:space="preserve"> блокатор</w:t>
      </w:r>
      <w:r>
        <w:t>ов</w:t>
      </w:r>
      <w:r w:rsidRPr="00C96416">
        <w:t xml:space="preserve"> Н2-гистаминовых рецепторов достоверно эффективнее достигается рубцевание язвенного дефекта, а также снижается риск повторного крово</w:t>
      </w:r>
      <w:r>
        <w:t>течения</w:t>
      </w:r>
      <w:r w:rsidRPr="00C96416">
        <w:t xml:space="preserve">. Лишь препараты этих </w:t>
      </w:r>
      <w:r w:rsidRPr="00C96416">
        <w:lastRenderedPageBreak/>
        <w:t xml:space="preserve">двух групп позволяют достигать и поддерживать необходимую рН-среду желудка, при которой происходит заживление гастродуоденальных язв. </w:t>
      </w:r>
    </w:p>
    <w:p w14:paraId="505E315E" w14:textId="7EA0C86D" w:rsidR="00623BAE" w:rsidRPr="00C96416" w:rsidRDefault="00623BAE" w:rsidP="00FC25DA">
      <w:pPr>
        <w:ind w:firstLine="709"/>
      </w:pPr>
      <w:r w:rsidRPr="00A56C81">
        <w:t>В настоящее время с антисекреторной целью для п</w:t>
      </w:r>
      <w:r w:rsidRPr="00294C11">
        <w:t>рофилактик</w:t>
      </w:r>
      <w:r>
        <w:t xml:space="preserve">и </w:t>
      </w:r>
      <w:r w:rsidRPr="00294C11">
        <w:t>язвенной болезни желудка и двенадцатиперстной кишки, в том числе на фоне терапии глюкокортикостероидами</w:t>
      </w:r>
      <w:r>
        <w:t xml:space="preserve">, </w:t>
      </w:r>
      <w:r w:rsidRPr="00A56C81">
        <w:t>применяются два класса п</w:t>
      </w:r>
      <w:r w:rsidRPr="00C96416">
        <w:t>репаратов: ингибиторы протонной помпы и блокаторы Н2-гистаминовых рецепторов</w:t>
      </w:r>
      <w:r>
        <w:t xml:space="preserve"> </w:t>
      </w:r>
      <w:r>
        <w:fldChar w:fldCharType="begin" w:fldLock="1"/>
      </w:r>
      <w:r w:rsidR="00855E45">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общества).","type":"article-journal","volume":"30"},"uris":["http://www.mendeley.com/documents/?uuid=858a1835-2f3b-419a-91b4-8a8e3ef10cc9"]},{"id":"ITEM-2","itemData":{"DOI":"10.1016/S2468-1253(18)30037-2","ISSN":"24681253","PMID":"29475806","abstract":"Background: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Hepatology","id":"ITEM-2","issue":"4","issued":{"date-parts":[["2018","4","1"]]},"page":"231-241","publisher":"Elsevier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[198,199]","plainTextFormattedCitation":"[198,199]","previouslyFormattedCitation":"[198,199]"},"properties":{"noteIndex":0},"schema":"https://github.com/citation-style-language/schema/raw/master/csl-citation.json"}</w:instrText>
      </w:r>
      <w:r>
        <w:fldChar w:fldCharType="separate"/>
      </w:r>
      <w:r w:rsidR="00FC25DA" w:rsidRPr="00FC25DA">
        <w:rPr>
          <w:noProof/>
        </w:rPr>
        <w:t>[198,199]</w:t>
      </w:r>
      <w:r>
        <w:fldChar w:fldCharType="end"/>
      </w:r>
      <w:r w:rsidRPr="00C96416">
        <w:t>.</w:t>
      </w:r>
    </w:p>
    <w:p w14:paraId="4898BF9C" w14:textId="77777777" w:rsidR="00623BAE" w:rsidRDefault="00623BAE" w:rsidP="00623BAE">
      <w:pPr>
        <w:pStyle w:val="Normal11"/>
        <w:tabs>
          <w:tab w:val="left" w:pos="0"/>
        </w:tabs>
        <w:spacing w:line="360" w:lineRule="auto"/>
        <w:ind w:firstLine="699"/>
        <w:jc w:val="both"/>
        <w:rPr>
          <w:bCs/>
          <w:i/>
          <w:iCs/>
          <w:u w:val="single"/>
          <w:shd w:val="clear" w:color="auto" w:fill="FFFFFF"/>
        </w:rPr>
      </w:pPr>
    </w:p>
    <w:p w14:paraId="26FBA30F" w14:textId="77777777" w:rsidR="00623BAE" w:rsidRPr="00A56C81" w:rsidRDefault="00623BAE" w:rsidP="00FC25DA">
      <w:pPr>
        <w:pStyle w:val="Normal11"/>
        <w:tabs>
          <w:tab w:val="clear" w:pos="394"/>
        </w:tabs>
        <w:spacing w:line="360" w:lineRule="auto"/>
        <w:jc w:val="both"/>
        <w:rPr>
          <w:bCs/>
          <w:i/>
          <w:iCs/>
          <w:u w:val="single"/>
          <w:shd w:val="clear" w:color="auto" w:fill="FFFFFF"/>
        </w:rPr>
      </w:pPr>
      <w:r w:rsidRPr="00A56C81">
        <w:rPr>
          <w:bCs/>
          <w:i/>
          <w:iCs/>
          <w:u w:val="single"/>
          <w:shd w:val="clear" w:color="auto" w:fill="FFFFFF"/>
        </w:rPr>
        <w:t>Ингибиторы протонной помпы (ИПП)</w:t>
      </w:r>
    </w:p>
    <w:p w14:paraId="1EAB32B2" w14:textId="04664CA7" w:rsidR="00623BAE" w:rsidRDefault="00623BAE" w:rsidP="00FC25DA">
      <w:pPr>
        <w:ind w:firstLine="709"/>
      </w:pPr>
      <w:r w:rsidRPr="00C96416">
        <w:t xml:space="preserve">Ингибиторы протоновой помпы (ингибиторы протонового насоса, блокаторы протонного насоса, блокаторы Н+/К+-АТФазы, блокаторы водородной помпы) — антисекреторные лекарственные </w:t>
      </w:r>
      <w:r>
        <w:t xml:space="preserve">препараты, </w:t>
      </w:r>
      <w:r w:rsidRPr="00C96416">
        <w:t>блокир</w:t>
      </w:r>
      <w:r>
        <w:t>ующие Н+/К+-АТФазу</w:t>
      </w:r>
      <w:r w:rsidRPr="00C96416">
        <w:t xml:space="preserve"> обкладочных (париетальных) клеток слизистой оболочки желудка</w:t>
      </w:r>
      <w:r>
        <w:t xml:space="preserve"> и уменьшающие </w:t>
      </w:r>
      <w:r w:rsidRPr="00C96416">
        <w:t>секреци</w:t>
      </w:r>
      <w:r>
        <w:t>ю</w:t>
      </w:r>
      <w:r w:rsidRPr="00C96416">
        <w:t xml:space="preserve"> соляной кислоты</w:t>
      </w:r>
      <w:r>
        <w:t xml:space="preserve">, путем </w:t>
      </w:r>
      <w:r w:rsidRPr="00C96416">
        <w:t>проник</w:t>
      </w:r>
      <w:r>
        <w:t>новения</w:t>
      </w:r>
      <w:r w:rsidRPr="00C96416">
        <w:t xml:space="preserve"> в париетальные клетки слизистой оболочки желудка</w:t>
      </w:r>
      <w:r>
        <w:t xml:space="preserve">, </w:t>
      </w:r>
      <w:r w:rsidRPr="00C96416">
        <w:t>концентр</w:t>
      </w:r>
      <w:r>
        <w:t>ации</w:t>
      </w:r>
      <w:r w:rsidRPr="00C96416">
        <w:t xml:space="preserve"> в секреторных канальцах</w:t>
      </w:r>
      <w:r>
        <w:t>, и активации</w:t>
      </w:r>
      <w:r w:rsidRPr="00C96416">
        <w:t xml:space="preserve"> при кислом значении рН. </w:t>
      </w:r>
      <w:r>
        <w:t xml:space="preserve">При активации </w:t>
      </w:r>
      <w:r w:rsidRPr="00C96416">
        <w:t>ИПП образуют прочные ковалентные связи с меркаптогруппами цистеиновых остатков Н+/К+-АТФазы, блокиру</w:t>
      </w:r>
      <w:r>
        <w:t>я</w:t>
      </w:r>
      <w:r w:rsidRPr="00C96416">
        <w:t xml:space="preserve"> действие протонной помпы</w:t>
      </w:r>
      <w:r>
        <w:t xml:space="preserve"> так</w:t>
      </w:r>
      <w:r w:rsidRPr="00C96416">
        <w:t xml:space="preserve">, </w:t>
      </w:r>
      <w:r>
        <w:t xml:space="preserve">что </w:t>
      </w:r>
      <w:r w:rsidRPr="00C96416">
        <w:t xml:space="preserve">она </w:t>
      </w:r>
      <w:r>
        <w:t>необратимо исключается</w:t>
      </w:r>
      <w:r w:rsidRPr="00C96416">
        <w:t xml:space="preserve"> из процесса секреции соляной кислоты. Влияние ИПП на последнюю стадию процесса образования соляной кислоты в желудке является дозозависимым и обеспечивает высокоэффективное ингибирование базальной и стимулированной секреции</w:t>
      </w:r>
      <w:r>
        <w:t xml:space="preserve"> соляной кислоты независимо от</w:t>
      </w:r>
      <w:r w:rsidRPr="00C96416">
        <w:t xml:space="preserve"> фактора</w:t>
      </w:r>
      <w:r>
        <w:t xml:space="preserve"> его вызывающего</w:t>
      </w:r>
      <w:r w:rsidRPr="00C96416">
        <w:t>.</w:t>
      </w:r>
      <w:r>
        <w:t xml:space="preserve"> В группу препаратов ИПП входят о</w:t>
      </w:r>
      <w:r w:rsidRPr="00C96416">
        <w:t>мепразол</w:t>
      </w:r>
      <w:r>
        <w:t>, лансопразол, п</w:t>
      </w:r>
      <w:r w:rsidRPr="00C96416">
        <w:t>антопразол</w:t>
      </w:r>
      <w:r>
        <w:t xml:space="preserve">, рабепразол, </w:t>
      </w:r>
      <w:r w:rsidRPr="00C96416">
        <w:t>зомепразол</w:t>
      </w:r>
      <w:r>
        <w:t xml:space="preserve">, применяемые во время проведения курсов специфической противоопухолевой терапии, включающей системные ГКС, в указанных в таблице 1 дозах </w:t>
      </w:r>
      <w:r>
        <w:fldChar w:fldCharType="begin" w:fldLock="1"/>
      </w:r>
      <w:r w:rsidR="00855E45">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общества).","type":"article-journal","volume":"30"},"uris":["http://www.mendeley.com/documents/?uuid=858a1835-2f3b-419a-91b4-8a8e3ef10cc9"]},{"id":"ITEM-2","itemData":{"DOI":"10.1016/S2468-1253(18)30037-2","ISSN":"24681253","PMID":"29475806","abstract":"Background: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Hepatology","id":"ITEM-2","issue":"4","issued":{"date-parts":[["2018","4","1"]]},"page":"231-241","publisher":"Elsevier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trials","type":"article-journal","volume":"3"},"uris":["http://www.mendeley.com/documents/?uuid=f1962b3a-e3e6-3474-95a8-4fc5245efa04"]},{"id":"ITEM-3","itemData":{"DOI":"10.4103/1319-3767.199117","ISSN":"1319-3767","abstract":"Background/Aim: To compare the efficacy and tolerance of different proton pump inhibitors (PPIs) in different doses for patients with duodenal ulcers. Materials and Methods: An electronic database was searched to collect all randomized clinical trials (RCTs), and a pairwise and network meta-analysis were performed. Results: A total of 24 RCTs involving 6188 patients were included. The network meta-analysis showed that there were no significant differences for the 4-week healing rate of duodenal ulcer treated with different PPI regimens except pantoprazle 40 mg/d versus lansoprazole 15 mg/d [Relative risk (RR) = 3.57; 95% confidence interval (CI) = 1.36-10.31)] and lansoprazole 30 mg/d versus lansoprazole 15 mg/d (RR = 2.45; 95% CI = 1.01-6.14). In comparison with H2receptor antagonists (H2RA), pantoprazole 40 mg/d and lansoprazole 30 mg/d significantly increase the healing rate (RR = 2.96; 95% CI = 1.78-5.14 and RR = 2.04; 95% CI = 1.13-3.53, respectively). There was no significant difference for the rate of adverse events between different regimens, including H2RA for a duration of 4-week of follow up. Conclusion: There was no significant difference for the efficacy and tolerance between the ordinary doses of different PPIs with the exception of lansoprazle 15 mg/d.","author":[{"dropping-particle":"","family":"Hu","given":"Zhan-Hong","non-dropping-particle":"","parse-names":false,"suffix":""},{"dropping-particle":"","family":"Shi","given":"Ai-Ming","non-dropping-particle":"","parse-names":false,"suffix":""},{"dropping-particle":"","family":"Hu","given":"Duan-Min","non-dropping-particle":"","parse-names":false,"suffix":""},{"dropping-particle":"","family":"Bao","given":"Jun-Jie","non-dropping-particle":"","parse-names":false,"suffix":""}],"container-title":"Saudi Journal of Gastroenterology","id":"ITEM-3","issue":"1","issued":{"date-parts":[["2017","1","1"]]},"page":"11","publisher":"Medknow Publications","title":"Efficacy of proton pump inhibitors for patients with duodenal ulcers: A pairwise and network meta-analysis of randomized controlled trials","type":"article-journal","volume":"23"},"uris":["http://www.mendeley.com/documents/?uuid=d523d0fc-026a-365d-b2ac-773ed8aed036"]}],"mendeley":{"formattedCitation":"[198–200]","plainTextFormattedCitation":"[198–200]","previouslyFormattedCitation":"[198–200]"},"properties":{"noteIndex":0},"schema":"https://github.com/citation-style-language/schema/raw/master/csl-citation.json"}</w:instrText>
      </w:r>
      <w:r>
        <w:fldChar w:fldCharType="separate"/>
      </w:r>
      <w:r w:rsidR="00FC25DA" w:rsidRPr="00FC25DA">
        <w:rPr>
          <w:noProof/>
        </w:rPr>
        <w:t>[198–200]</w:t>
      </w:r>
      <w:r>
        <w:fldChar w:fldCharType="end"/>
      </w:r>
      <w:r>
        <w:t xml:space="preserve">. </w:t>
      </w:r>
    </w:p>
    <w:p w14:paraId="28C48BA4" w14:textId="77777777" w:rsidR="00623BAE" w:rsidRDefault="00623BAE" w:rsidP="00623BAE">
      <w:pPr>
        <w:rPr>
          <w:b/>
        </w:rPr>
      </w:pPr>
    </w:p>
    <w:p w14:paraId="172DD62B" w14:textId="77777777" w:rsidR="00623BAE" w:rsidRPr="005B1687" w:rsidRDefault="00623BAE" w:rsidP="00623BAE">
      <w:pPr>
        <w:rPr>
          <w:bCs/>
        </w:rPr>
      </w:pPr>
      <w:r w:rsidRPr="005B1687">
        <w:rPr>
          <w:bCs/>
        </w:rPr>
        <w:t>Таблица 1. Режим дозирования ИПП с целью профилактики язвенной болезни</w:t>
      </w:r>
    </w:p>
    <w:tbl>
      <w:tblPr>
        <w:tblStyle w:val="aff9"/>
        <w:tblW w:w="0" w:type="auto"/>
        <w:jc w:val="center"/>
        <w:tblLook w:val="04A0" w:firstRow="1" w:lastRow="0" w:firstColumn="1" w:lastColumn="0" w:noHBand="0" w:noVBand="1"/>
      </w:tblPr>
      <w:tblGrid>
        <w:gridCol w:w="2220"/>
        <w:gridCol w:w="2344"/>
        <w:gridCol w:w="3713"/>
      </w:tblGrid>
      <w:tr w:rsidR="00623BAE" w:rsidRPr="00C96416" w14:paraId="2137828A" w14:textId="77777777" w:rsidTr="002D3EBF">
        <w:trPr>
          <w:jc w:val="center"/>
        </w:trPr>
        <w:tc>
          <w:tcPr>
            <w:tcW w:w="2220" w:type="dxa"/>
          </w:tcPr>
          <w:p w14:paraId="547DDCF4" w14:textId="77777777" w:rsidR="00623BAE" w:rsidRPr="00C96416" w:rsidRDefault="00623BAE" w:rsidP="002D3EBF">
            <w:pPr>
              <w:tabs>
                <w:tab w:val="left" w:pos="0"/>
              </w:tabs>
              <w:ind w:left="57" w:right="57"/>
              <w:rPr>
                <w:b/>
              </w:rPr>
            </w:pPr>
            <w:r>
              <w:rPr>
                <w:b/>
              </w:rPr>
              <w:t>Препарат</w:t>
            </w:r>
          </w:p>
        </w:tc>
        <w:tc>
          <w:tcPr>
            <w:tcW w:w="2344" w:type="dxa"/>
          </w:tcPr>
          <w:p w14:paraId="7B92525B" w14:textId="77777777" w:rsidR="00623BAE" w:rsidRPr="00C96416" w:rsidRDefault="00623BAE" w:rsidP="002D3EBF">
            <w:pPr>
              <w:tabs>
                <w:tab w:val="left" w:pos="0"/>
              </w:tabs>
              <w:ind w:left="57" w:right="57"/>
              <w:rPr>
                <w:b/>
              </w:rPr>
            </w:pPr>
            <w:r w:rsidRPr="00C96416">
              <w:rPr>
                <w:b/>
              </w:rPr>
              <w:t xml:space="preserve">Суточная </w:t>
            </w:r>
            <w:r>
              <w:rPr>
                <w:b/>
              </w:rPr>
              <w:t>д</w:t>
            </w:r>
            <w:r w:rsidRPr="00C96416">
              <w:rPr>
                <w:b/>
              </w:rPr>
              <w:t>оза, мг</w:t>
            </w:r>
          </w:p>
        </w:tc>
        <w:tc>
          <w:tcPr>
            <w:tcW w:w="3713" w:type="dxa"/>
          </w:tcPr>
          <w:p w14:paraId="376E6578" w14:textId="77777777" w:rsidR="00623BAE" w:rsidRPr="00C96416" w:rsidRDefault="00623BAE" w:rsidP="002D3EBF">
            <w:pPr>
              <w:tabs>
                <w:tab w:val="left" w:pos="0"/>
              </w:tabs>
              <w:ind w:left="57" w:right="57"/>
              <w:rPr>
                <w:b/>
              </w:rPr>
            </w:pPr>
            <w:r>
              <w:rPr>
                <w:b/>
              </w:rPr>
              <w:t>Способ применения и р</w:t>
            </w:r>
            <w:r w:rsidRPr="00C96416">
              <w:rPr>
                <w:b/>
              </w:rPr>
              <w:t>ежим дозирования</w:t>
            </w:r>
          </w:p>
        </w:tc>
      </w:tr>
      <w:tr w:rsidR="00623BAE" w:rsidRPr="00C96416" w14:paraId="52ED510E" w14:textId="77777777" w:rsidTr="002D3EBF">
        <w:trPr>
          <w:jc w:val="center"/>
        </w:trPr>
        <w:tc>
          <w:tcPr>
            <w:tcW w:w="2220" w:type="dxa"/>
          </w:tcPr>
          <w:p w14:paraId="6997A8B8" w14:textId="77777777" w:rsidR="00623BAE" w:rsidRPr="00C96416" w:rsidRDefault="00623BAE" w:rsidP="002D3EBF">
            <w:pPr>
              <w:tabs>
                <w:tab w:val="left" w:pos="0"/>
              </w:tabs>
              <w:ind w:left="57" w:right="57"/>
            </w:pPr>
            <w:r w:rsidRPr="00C96416">
              <w:t>Омепразол</w:t>
            </w:r>
          </w:p>
        </w:tc>
        <w:tc>
          <w:tcPr>
            <w:tcW w:w="2344" w:type="dxa"/>
          </w:tcPr>
          <w:p w14:paraId="7A308AB5" w14:textId="77777777" w:rsidR="00623BAE" w:rsidRDefault="00623BAE" w:rsidP="002D3EBF">
            <w:pPr>
              <w:tabs>
                <w:tab w:val="left" w:pos="0"/>
              </w:tabs>
              <w:ind w:left="57" w:right="57"/>
            </w:pPr>
            <w:r w:rsidRPr="00C96416">
              <w:t>20</w:t>
            </w:r>
          </w:p>
          <w:p w14:paraId="3346493A" w14:textId="77777777" w:rsidR="00623BAE" w:rsidRPr="00C96416" w:rsidRDefault="00623BAE" w:rsidP="002D3EBF">
            <w:pPr>
              <w:tabs>
                <w:tab w:val="left" w:pos="0"/>
              </w:tabs>
              <w:ind w:left="57" w:right="57"/>
            </w:pPr>
            <w:r>
              <w:t>40</w:t>
            </w:r>
          </w:p>
        </w:tc>
        <w:tc>
          <w:tcPr>
            <w:tcW w:w="3713" w:type="dxa"/>
          </w:tcPr>
          <w:p w14:paraId="2A73F922" w14:textId="77777777" w:rsidR="00623BAE" w:rsidRPr="00B56E4C" w:rsidRDefault="00623BAE" w:rsidP="002D3EBF">
            <w:pPr>
              <w:tabs>
                <w:tab w:val="left" w:pos="0"/>
              </w:tabs>
              <w:ind w:left="57" w:right="57"/>
            </w:pPr>
            <w:r>
              <w:t>Внутрь, 1 раз в сутки;</w:t>
            </w:r>
          </w:p>
          <w:p w14:paraId="3E2956A2" w14:textId="77777777" w:rsidR="00623BAE" w:rsidRPr="00D221D8" w:rsidRDefault="00623BAE" w:rsidP="002D3EBF">
            <w:pPr>
              <w:tabs>
                <w:tab w:val="left" w:pos="0"/>
              </w:tabs>
              <w:ind w:left="57" w:right="57"/>
            </w:pPr>
            <w:r>
              <w:t xml:space="preserve"> в/в, 1 раз в сутки</w:t>
            </w:r>
          </w:p>
        </w:tc>
      </w:tr>
      <w:tr w:rsidR="00623BAE" w:rsidRPr="00C96416" w14:paraId="658196EA" w14:textId="77777777" w:rsidTr="002D3EBF">
        <w:trPr>
          <w:jc w:val="center"/>
        </w:trPr>
        <w:tc>
          <w:tcPr>
            <w:tcW w:w="2220" w:type="dxa"/>
          </w:tcPr>
          <w:p w14:paraId="754B5582" w14:textId="77777777" w:rsidR="00623BAE" w:rsidRPr="00C96416" w:rsidRDefault="00623BAE" w:rsidP="002D3EBF">
            <w:pPr>
              <w:tabs>
                <w:tab w:val="left" w:pos="0"/>
              </w:tabs>
              <w:ind w:left="57" w:right="57"/>
            </w:pPr>
            <w:r w:rsidRPr="00C96416">
              <w:t>Лансопразол</w:t>
            </w:r>
          </w:p>
        </w:tc>
        <w:tc>
          <w:tcPr>
            <w:tcW w:w="2344" w:type="dxa"/>
          </w:tcPr>
          <w:p w14:paraId="661C4ABE" w14:textId="77777777" w:rsidR="00623BAE" w:rsidRPr="00C96416" w:rsidRDefault="00623BAE" w:rsidP="002D3EBF">
            <w:pPr>
              <w:tabs>
                <w:tab w:val="left" w:pos="0"/>
              </w:tabs>
              <w:ind w:left="57" w:right="57"/>
            </w:pPr>
            <w:r w:rsidRPr="00C96416">
              <w:t>30</w:t>
            </w:r>
          </w:p>
        </w:tc>
        <w:tc>
          <w:tcPr>
            <w:tcW w:w="3713" w:type="dxa"/>
          </w:tcPr>
          <w:p w14:paraId="666C583A" w14:textId="77777777" w:rsidR="00623BAE" w:rsidRDefault="00623BAE" w:rsidP="002D3EBF">
            <w:pPr>
              <w:ind w:left="57" w:right="57"/>
            </w:pPr>
            <w:r w:rsidRPr="00826EC3">
              <w:t>Внутрь, 1 раз в сутки</w:t>
            </w:r>
          </w:p>
        </w:tc>
      </w:tr>
      <w:tr w:rsidR="00623BAE" w:rsidRPr="00C96416" w14:paraId="2E1C8D72" w14:textId="77777777" w:rsidTr="002D3EBF">
        <w:trPr>
          <w:jc w:val="center"/>
        </w:trPr>
        <w:tc>
          <w:tcPr>
            <w:tcW w:w="2220" w:type="dxa"/>
          </w:tcPr>
          <w:p w14:paraId="378773CA" w14:textId="77777777" w:rsidR="00623BAE" w:rsidRPr="00C96416" w:rsidRDefault="00623BAE" w:rsidP="002D3EBF">
            <w:pPr>
              <w:tabs>
                <w:tab w:val="left" w:pos="0"/>
              </w:tabs>
              <w:ind w:left="57" w:right="57"/>
            </w:pPr>
            <w:r>
              <w:t>П</w:t>
            </w:r>
            <w:r w:rsidRPr="00C96416">
              <w:t>антопразол</w:t>
            </w:r>
          </w:p>
        </w:tc>
        <w:tc>
          <w:tcPr>
            <w:tcW w:w="2344" w:type="dxa"/>
          </w:tcPr>
          <w:p w14:paraId="6271CB9F" w14:textId="77777777" w:rsidR="00623BAE" w:rsidRPr="00C96416" w:rsidRDefault="00623BAE" w:rsidP="002D3EBF">
            <w:pPr>
              <w:tabs>
                <w:tab w:val="left" w:pos="0"/>
              </w:tabs>
              <w:ind w:left="57" w:right="57"/>
            </w:pPr>
            <w:r w:rsidRPr="00C96416">
              <w:t>40</w:t>
            </w:r>
          </w:p>
        </w:tc>
        <w:tc>
          <w:tcPr>
            <w:tcW w:w="3713" w:type="dxa"/>
          </w:tcPr>
          <w:p w14:paraId="429D784A" w14:textId="77777777" w:rsidR="00623BAE" w:rsidRDefault="00623BAE" w:rsidP="002D3EBF">
            <w:pPr>
              <w:ind w:left="57" w:right="57"/>
            </w:pPr>
            <w:r w:rsidRPr="00826EC3">
              <w:t>Внутрь, 1 раз в сутки</w:t>
            </w:r>
          </w:p>
        </w:tc>
      </w:tr>
      <w:tr w:rsidR="00623BAE" w:rsidRPr="00C96416" w14:paraId="2DD75CFB" w14:textId="77777777" w:rsidTr="002D3EBF">
        <w:trPr>
          <w:jc w:val="center"/>
        </w:trPr>
        <w:tc>
          <w:tcPr>
            <w:tcW w:w="2220" w:type="dxa"/>
          </w:tcPr>
          <w:p w14:paraId="186B0ABC" w14:textId="77777777" w:rsidR="00623BAE" w:rsidRPr="00C96416" w:rsidRDefault="00623BAE" w:rsidP="002D3EBF">
            <w:pPr>
              <w:tabs>
                <w:tab w:val="left" w:pos="0"/>
              </w:tabs>
              <w:ind w:left="57" w:right="57"/>
            </w:pPr>
            <w:r>
              <w:t>Р</w:t>
            </w:r>
            <w:r w:rsidRPr="00C96416">
              <w:t>абепразол</w:t>
            </w:r>
          </w:p>
        </w:tc>
        <w:tc>
          <w:tcPr>
            <w:tcW w:w="2344" w:type="dxa"/>
          </w:tcPr>
          <w:p w14:paraId="5D878A3D" w14:textId="77777777" w:rsidR="00623BAE" w:rsidRPr="00C96416" w:rsidRDefault="00623BAE" w:rsidP="002D3EBF">
            <w:pPr>
              <w:tabs>
                <w:tab w:val="left" w:pos="0"/>
              </w:tabs>
              <w:ind w:left="57" w:right="57"/>
            </w:pPr>
            <w:r w:rsidRPr="00C96416">
              <w:t>20</w:t>
            </w:r>
          </w:p>
        </w:tc>
        <w:tc>
          <w:tcPr>
            <w:tcW w:w="3713" w:type="dxa"/>
          </w:tcPr>
          <w:p w14:paraId="33CF2BFD" w14:textId="77777777" w:rsidR="00623BAE" w:rsidRDefault="00623BAE" w:rsidP="002D3EBF">
            <w:pPr>
              <w:ind w:left="57" w:right="57"/>
            </w:pPr>
            <w:r w:rsidRPr="00826EC3">
              <w:t>Внутрь, 1 раз в сутки</w:t>
            </w:r>
          </w:p>
        </w:tc>
      </w:tr>
      <w:tr w:rsidR="00623BAE" w:rsidRPr="00C96416" w14:paraId="6F866608" w14:textId="77777777" w:rsidTr="002D3EBF">
        <w:trPr>
          <w:jc w:val="center"/>
        </w:trPr>
        <w:tc>
          <w:tcPr>
            <w:tcW w:w="2220" w:type="dxa"/>
          </w:tcPr>
          <w:p w14:paraId="3A16DB61" w14:textId="77777777" w:rsidR="00623BAE" w:rsidRPr="00C96416" w:rsidRDefault="00623BAE" w:rsidP="002D3EBF">
            <w:pPr>
              <w:tabs>
                <w:tab w:val="left" w:pos="0"/>
              </w:tabs>
              <w:ind w:left="57" w:right="57"/>
            </w:pPr>
            <w:r>
              <w:t>Э</w:t>
            </w:r>
            <w:r w:rsidRPr="00C96416">
              <w:t>зомепразол</w:t>
            </w:r>
          </w:p>
        </w:tc>
        <w:tc>
          <w:tcPr>
            <w:tcW w:w="2344" w:type="dxa"/>
          </w:tcPr>
          <w:p w14:paraId="19EAFC0C" w14:textId="77777777" w:rsidR="00623BAE" w:rsidRPr="00C96416" w:rsidRDefault="00623BAE" w:rsidP="002D3EBF">
            <w:pPr>
              <w:tabs>
                <w:tab w:val="left" w:pos="0"/>
              </w:tabs>
              <w:ind w:left="57" w:right="57"/>
            </w:pPr>
            <w:r w:rsidRPr="00C96416">
              <w:t>20</w:t>
            </w:r>
          </w:p>
        </w:tc>
        <w:tc>
          <w:tcPr>
            <w:tcW w:w="3713" w:type="dxa"/>
          </w:tcPr>
          <w:p w14:paraId="66D409BC" w14:textId="77777777" w:rsidR="00623BAE" w:rsidRDefault="00623BAE" w:rsidP="002D3EBF">
            <w:pPr>
              <w:ind w:left="57" w:right="57"/>
            </w:pPr>
            <w:r w:rsidRPr="00826EC3">
              <w:t>Внутрь</w:t>
            </w:r>
            <w:r>
              <w:t xml:space="preserve"> или в/в</w:t>
            </w:r>
            <w:r w:rsidRPr="00826EC3">
              <w:t>, 1 раз в сутки</w:t>
            </w:r>
          </w:p>
        </w:tc>
      </w:tr>
    </w:tbl>
    <w:p w14:paraId="120540F6" w14:textId="77777777" w:rsidR="00623BAE" w:rsidRDefault="00623BAE" w:rsidP="00623BAE">
      <w:pPr>
        <w:pStyle w:val="Normal11"/>
        <w:tabs>
          <w:tab w:val="left" w:pos="0"/>
        </w:tabs>
        <w:spacing w:line="360" w:lineRule="auto"/>
        <w:ind w:left="0" w:firstLine="0"/>
        <w:jc w:val="both"/>
      </w:pPr>
    </w:p>
    <w:p w14:paraId="6E99E12D" w14:textId="77777777" w:rsidR="00623BAE" w:rsidRPr="00C96416" w:rsidRDefault="00623BAE" w:rsidP="00FC25DA">
      <w:pPr>
        <w:ind w:firstLine="709"/>
      </w:pPr>
      <w:r>
        <w:lastRenderedPageBreak/>
        <w:t>Время суток и прием пищи не влияют на активность ИПП. Коррекции дозы при почечной недостаточности не требуется. При невозможности перорального приема ИПП вводятся внутривенно.</w:t>
      </w:r>
    </w:p>
    <w:p w14:paraId="206063F3" w14:textId="77777777" w:rsidR="00623BAE" w:rsidRDefault="00623BAE" w:rsidP="00623BAE">
      <w:pPr>
        <w:pStyle w:val="Normal11"/>
        <w:tabs>
          <w:tab w:val="left" w:pos="0"/>
        </w:tabs>
        <w:spacing w:line="360" w:lineRule="auto"/>
        <w:ind w:firstLine="699"/>
        <w:jc w:val="both"/>
        <w:rPr>
          <w:bCs/>
          <w:i/>
          <w:iCs/>
          <w:u w:val="single"/>
          <w:shd w:val="clear" w:color="auto" w:fill="FFFFFF"/>
        </w:rPr>
      </w:pPr>
    </w:p>
    <w:p w14:paraId="2CE72AA2" w14:textId="77777777" w:rsidR="00623BAE" w:rsidRPr="00A56C81" w:rsidRDefault="00623BAE" w:rsidP="00FC25DA">
      <w:pPr>
        <w:pStyle w:val="Normal11"/>
        <w:tabs>
          <w:tab w:val="clear" w:pos="394"/>
        </w:tabs>
        <w:spacing w:line="360" w:lineRule="auto"/>
        <w:jc w:val="both"/>
        <w:rPr>
          <w:bCs/>
          <w:i/>
          <w:iCs/>
          <w:u w:val="single"/>
          <w:shd w:val="clear" w:color="auto" w:fill="FFFFFF"/>
        </w:rPr>
      </w:pPr>
      <w:r w:rsidRPr="00A56C81">
        <w:rPr>
          <w:bCs/>
          <w:i/>
          <w:iCs/>
          <w:u w:val="single"/>
          <w:shd w:val="clear" w:color="auto" w:fill="FFFFFF"/>
        </w:rPr>
        <w:t xml:space="preserve">Блокаторы Н2-гистаминовых рецепторов </w:t>
      </w:r>
    </w:p>
    <w:p w14:paraId="3B5B5C06" w14:textId="77777777" w:rsidR="00623BAE" w:rsidRPr="00A56C81" w:rsidRDefault="00623BAE" w:rsidP="00FC25DA">
      <w:pPr>
        <w:ind w:firstLine="709"/>
      </w:pPr>
      <w:r w:rsidRPr="00A56C81">
        <w:t xml:space="preserve">Секреторные реакции желудка при действии экзогенного или эндогенного гистамина реализуются через Н2-гистаминорецепторы. Блокаторы гистаминовых Н2-рецепторов являются конкурентными антагонистами гистамина и подавляют вызванную различными раздражителями секрецию соляной кислоты за счет вытеснения гистамина из связи с Н2-рецепторами париетальных клеток. Препараты этой группы поддерживают показатели внутрижелудочного рН &gt; 3 на протяжении суток. Применение Н2-блокаторов в течение 1-1,5 месяца приводит к рубцеванию язвенного дефекта у 70–80 % пациентов с дуоденальными язвами и у 55–60 % пациентов с язвами желудка. Тем не менее, после внедрения ИПП в клиническую практику в качестве базисной антисекреторной терапии, Н2-блокаторы применяются реже, главным образом при невозможности применения ИПП. </w:t>
      </w:r>
    </w:p>
    <w:p w14:paraId="3AE61D7C" w14:textId="372C49FE" w:rsidR="00623BAE" w:rsidRDefault="00623BAE" w:rsidP="00FC25DA">
      <w:pPr>
        <w:ind w:firstLine="709"/>
      </w:pPr>
      <w:r w:rsidRPr="00A56C81">
        <w:t xml:space="preserve">В группу препаратов – блокаторов Н2-гистаминовых рецепторов входят ранитидин, фамотидин, применяемые во время проведения курсов противоопухолевой терапии, включающей системные ГКС, в указанных в таблице </w:t>
      </w:r>
      <w:r>
        <w:t>А3.3.</w:t>
      </w:r>
      <w:r w:rsidRPr="00A56C81">
        <w:t>2 дозах</w:t>
      </w:r>
      <w:r w:rsidRPr="0016000A">
        <w:t xml:space="preserve"> </w:t>
      </w:r>
      <w:r>
        <w:t xml:space="preserve"> </w:t>
      </w:r>
      <w:r>
        <w:fldChar w:fldCharType="begin" w:fldLock="1"/>
      </w:r>
      <w:r w:rsidR="00855E45">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общества).","type":"article-journal","volume":"30"},"uris":["http://www.mendeley.com/documents/?uuid=858a1835-2f3b-419a-91b4-8a8e3ef10cc9"]},{"id":"ITEM-2","itemData":{"DOI":"10.1016/S2468-1253(18)30037-2","ISSN":"24681253","PMID":"29475806","abstract":"Background: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Hepatology","id":"ITEM-2","issue":"4","issued":{"date-parts":[["2018","4","1"]]},"page":"231-241","publisher":"Elsevier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id":"ITEM-3","itemData":{"author":[{"dropping-particle":"","family":"Poynard","given":"T.","non-dropping-particle":"","parse-names":false,"suffix":""},{"dropping-particle":"","family":"Lemaire","given":"M.","non-dropping-particle":"","parse-names":false,"suffix":""},{"dropping-particle":"","family":"Agostini","given":"H.","non-dropping-particle":"","parse-names":false,"suffix":""}],"container-title":"European Journal of Gastroenterology and Hepatology","id":"ITEM-3","issue":"7","issued":{"date-parts":[["1995"]]},"page":"661-665","title":"Meta-analysis of randomized clinical trials comparing lansoprazole with ranitidine or famotidine in the treatment of acute duodenal ulcer","type":"article-journal","volume":"7"},"uris":["http://www.mendeley.com/documents/?uuid=5db0b11d-6521-4aed-b5ed-29192f1bbc07"]}],"mendeley":{"formattedCitation":"[198,199,201]","plainTextFormattedCitation":"[198,199,201]","previouslyFormattedCitation":"[198,199,201]"},"properties":{"noteIndex":0},"schema":"https://github.com/citation-style-language/schema/raw/master/csl-citation.json"}</w:instrText>
      </w:r>
      <w:r>
        <w:fldChar w:fldCharType="separate"/>
      </w:r>
      <w:r w:rsidR="00FC25DA" w:rsidRPr="00FC25DA">
        <w:rPr>
          <w:noProof/>
        </w:rPr>
        <w:t>[198,199,201]</w:t>
      </w:r>
      <w:r>
        <w:fldChar w:fldCharType="end"/>
      </w:r>
      <w:r w:rsidRPr="00A56C81">
        <w:t>.</w:t>
      </w:r>
    </w:p>
    <w:p w14:paraId="2905E694" w14:textId="77777777" w:rsidR="00623BAE" w:rsidRDefault="00623BAE" w:rsidP="00623BAE">
      <w:pPr>
        <w:rPr>
          <w:b/>
        </w:rPr>
      </w:pPr>
    </w:p>
    <w:p w14:paraId="626B8F02" w14:textId="77777777" w:rsidR="00623BAE" w:rsidRPr="00F76AD4" w:rsidRDefault="00623BAE" w:rsidP="00623BAE">
      <w:pPr>
        <w:rPr>
          <w:bCs/>
        </w:rPr>
      </w:pPr>
      <w:r w:rsidRPr="00F76AD4">
        <w:rPr>
          <w:bCs/>
        </w:rPr>
        <w:t xml:space="preserve">Таблица 2 . Режим дозирования блокаторов Н2-гистаминовых рецепторов </w:t>
      </w:r>
    </w:p>
    <w:tbl>
      <w:tblPr>
        <w:tblStyle w:val="aff9"/>
        <w:tblW w:w="0" w:type="auto"/>
        <w:jc w:val="center"/>
        <w:tblLook w:val="04A0" w:firstRow="1" w:lastRow="0" w:firstColumn="1" w:lastColumn="0" w:noHBand="0" w:noVBand="1"/>
      </w:tblPr>
      <w:tblGrid>
        <w:gridCol w:w="1942"/>
        <w:gridCol w:w="2268"/>
        <w:gridCol w:w="3358"/>
      </w:tblGrid>
      <w:tr w:rsidR="00623BAE" w:rsidRPr="00C96416" w14:paraId="04F0C6C6" w14:textId="77777777" w:rsidTr="002D3EBF">
        <w:trPr>
          <w:jc w:val="center"/>
        </w:trPr>
        <w:tc>
          <w:tcPr>
            <w:tcW w:w="1942" w:type="dxa"/>
          </w:tcPr>
          <w:p w14:paraId="535A385C" w14:textId="77777777" w:rsidR="00623BAE" w:rsidRPr="00C96416" w:rsidRDefault="00623BAE" w:rsidP="002D3EBF">
            <w:pPr>
              <w:tabs>
                <w:tab w:val="left" w:pos="0"/>
              </w:tabs>
              <w:rPr>
                <w:b/>
              </w:rPr>
            </w:pPr>
            <w:r w:rsidRPr="00C96416">
              <w:rPr>
                <w:b/>
              </w:rPr>
              <w:t>Препараты</w:t>
            </w:r>
          </w:p>
        </w:tc>
        <w:tc>
          <w:tcPr>
            <w:tcW w:w="2268" w:type="dxa"/>
          </w:tcPr>
          <w:p w14:paraId="47310C32" w14:textId="77777777" w:rsidR="00623BAE" w:rsidRPr="00C96416" w:rsidRDefault="00623BAE" w:rsidP="002D3EBF">
            <w:pPr>
              <w:tabs>
                <w:tab w:val="left" w:pos="0"/>
              </w:tabs>
              <w:rPr>
                <w:b/>
              </w:rPr>
            </w:pPr>
            <w:r w:rsidRPr="00C96416">
              <w:rPr>
                <w:b/>
              </w:rPr>
              <w:t xml:space="preserve">Суточная </w:t>
            </w:r>
            <w:r>
              <w:rPr>
                <w:b/>
              </w:rPr>
              <w:t>д</w:t>
            </w:r>
            <w:r w:rsidRPr="00C96416">
              <w:rPr>
                <w:b/>
              </w:rPr>
              <w:t>оза, мг</w:t>
            </w:r>
          </w:p>
        </w:tc>
        <w:tc>
          <w:tcPr>
            <w:tcW w:w="3358" w:type="dxa"/>
          </w:tcPr>
          <w:p w14:paraId="3FADADC9" w14:textId="77777777" w:rsidR="00623BAE" w:rsidRPr="00C96416" w:rsidRDefault="00623BAE" w:rsidP="002D3EBF">
            <w:pPr>
              <w:tabs>
                <w:tab w:val="left" w:pos="0"/>
              </w:tabs>
              <w:rPr>
                <w:b/>
              </w:rPr>
            </w:pPr>
            <w:r w:rsidRPr="00C96416">
              <w:rPr>
                <w:b/>
              </w:rPr>
              <w:t>Режим дозирования</w:t>
            </w:r>
          </w:p>
        </w:tc>
      </w:tr>
      <w:tr w:rsidR="00623BAE" w:rsidRPr="00C96416" w14:paraId="01E2A4B3" w14:textId="77777777" w:rsidTr="002D3EBF">
        <w:trPr>
          <w:jc w:val="center"/>
        </w:trPr>
        <w:tc>
          <w:tcPr>
            <w:tcW w:w="1942" w:type="dxa"/>
          </w:tcPr>
          <w:p w14:paraId="240649BC" w14:textId="77777777" w:rsidR="00623BAE" w:rsidRPr="00C96416" w:rsidRDefault="00623BAE" w:rsidP="002D3EBF">
            <w:pPr>
              <w:tabs>
                <w:tab w:val="left" w:pos="0"/>
              </w:tabs>
            </w:pPr>
            <w:r>
              <w:t>Ранитидин</w:t>
            </w:r>
          </w:p>
        </w:tc>
        <w:tc>
          <w:tcPr>
            <w:tcW w:w="2268" w:type="dxa"/>
          </w:tcPr>
          <w:p w14:paraId="204786CB" w14:textId="77777777" w:rsidR="00623BAE" w:rsidRPr="00C96416" w:rsidRDefault="00623BAE" w:rsidP="002D3EBF">
            <w:pPr>
              <w:tabs>
                <w:tab w:val="left" w:pos="0"/>
              </w:tabs>
            </w:pPr>
            <w:r>
              <w:t>150</w:t>
            </w:r>
          </w:p>
        </w:tc>
        <w:tc>
          <w:tcPr>
            <w:tcW w:w="3358" w:type="dxa"/>
          </w:tcPr>
          <w:p w14:paraId="730AD6E3" w14:textId="77777777" w:rsidR="00623BAE" w:rsidRPr="00C96416" w:rsidRDefault="00623BAE" w:rsidP="002D3EBF">
            <w:pPr>
              <w:tabs>
                <w:tab w:val="left" w:pos="0"/>
              </w:tabs>
            </w:pPr>
            <w:r>
              <w:t>Внутрь, 1 раз в сутки, на ночь</w:t>
            </w:r>
          </w:p>
        </w:tc>
      </w:tr>
      <w:tr w:rsidR="00623BAE" w:rsidRPr="00C96416" w14:paraId="45192E14" w14:textId="77777777" w:rsidTr="002D3EBF">
        <w:trPr>
          <w:jc w:val="center"/>
        </w:trPr>
        <w:tc>
          <w:tcPr>
            <w:tcW w:w="1942" w:type="dxa"/>
          </w:tcPr>
          <w:p w14:paraId="6ED51F98" w14:textId="77777777" w:rsidR="00623BAE" w:rsidRPr="00C96416" w:rsidRDefault="00623BAE" w:rsidP="002D3EBF">
            <w:pPr>
              <w:tabs>
                <w:tab w:val="left" w:pos="0"/>
              </w:tabs>
            </w:pPr>
            <w:r>
              <w:t>Фамотидин</w:t>
            </w:r>
          </w:p>
        </w:tc>
        <w:tc>
          <w:tcPr>
            <w:tcW w:w="2268" w:type="dxa"/>
          </w:tcPr>
          <w:p w14:paraId="012A0FBF" w14:textId="77777777" w:rsidR="00623BAE" w:rsidRPr="00C96416" w:rsidRDefault="00623BAE" w:rsidP="002D3EBF">
            <w:pPr>
              <w:tabs>
                <w:tab w:val="left" w:pos="0"/>
              </w:tabs>
            </w:pPr>
            <w:r>
              <w:t>2</w:t>
            </w:r>
            <w:r w:rsidRPr="00C96416">
              <w:t xml:space="preserve">0 </w:t>
            </w:r>
          </w:p>
        </w:tc>
        <w:tc>
          <w:tcPr>
            <w:tcW w:w="3358" w:type="dxa"/>
          </w:tcPr>
          <w:p w14:paraId="45AAD0CD" w14:textId="77777777" w:rsidR="00623BAE" w:rsidRDefault="00623BAE" w:rsidP="002D3EBF">
            <w:r w:rsidRPr="00826EC3">
              <w:t>Внутрь, 1 раз в сутки</w:t>
            </w:r>
            <w:r>
              <w:t>, на ночь</w:t>
            </w:r>
          </w:p>
        </w:tc>
      </w:tr>
    </w:tbl>
    <w:p w14:paraId="72097FE4" w14:textId="4E192E92" w:rsidR="00623BAE" w:rsidRDefault="00623BAE" w:rsidP="00623BAE">
      <w:pPr>
        <w:pStyle w:val="afe"/>
        <w:tabs>
          <w:tab w:val="left" w:pos="0"/>
        </w:tabs>
        <w:ind w:left="0" w:firstLine="567"/>
        <w:rPr>
          <w:szCs w:val="24"/>
        </w:rPr>
      </w:pPr>
    </w:p>
    <w:p w14:paraId="5ED516EC" w14:textId="533E41D8" w:rsidR="00972FD1" w:rsidRPr="00972FD1" w:rsidRDefault="00FC25DA" w:rsidP="00972FD1">
      <w:pPr>
        <w:pStyle w:val="2"/>
        <w:spacing w:before="0"/>
      </w:pPr>
      <w:bookmarkStart w:id="115" w:name="_Toc66096864"/>
      <w:bookmarkStart w:id="116" w:name="OLE_LINK3"/>
      <w:bookmarkStart w:id="117" w:name="OLE_LINK4"/>
      <w:r w:rsidRPr="000322E4">
        <w:t>Приложение А3.</w:t>
      </w:r>
      <w:r>
        <w:t xml:space="preserve">6. </w:t>
      </w:r>
      <w:r w:rsidR="00972FD1" w:rsidRPr="00CC66C1">
        <w:t>Инфузионная терапия у гематологических пациентов</w:t>
      </w:r>
      <w:bookmarkEnd w:id="115"/>
    </w:p>
    <w:bookmarkEnd w:id="116"/>
    <w:bookmarkEnd w:id="117"/>
    <w:p w14:paraId="57BE5325" w14:textId="77777777" w:rsidR="00972FD1" w:rsidRPr="00CC66C1" w:rsidRDefault="00972FD1" w:rsidP="00972FD1">
      <w:pPr>
        <w:ind w:firstLine="709"/>
      </w:pPr>
      <w:r w:rsidRPr="00CC66C1">
        <w:t>Особое место в сопроводительной терапии пациентов с онкогематологическими заболеваниями занимает инфузионная терапия (ИТ). Она используется почти у всех пациентов, находящихся на стационарном лечении. Однако некорректное ее применение может приводить к тяжелым осложнениям. Инфузионные растворы должны рассматриваться как лекарственные препараты со своими показаниями и противопоказаниями. Необходим обоснованный выбор типа раствора, его количества и темпа введения. Несмотря на накопленный опыт использования ИТ (первое сообщение о применении внутривенной инфузии раствора солей у больных холерой появилось почти 200 лет назад), концепции и схемы ИТ продолжают развиваться.</w:t>
      </w:r>
    </w:p>
    <w:p w14:paraId="3B88A562" w14:textId="77777777" w:rsidR="00972FD1" w:rsidRPr="00CC66C1" w:rsidRDefault="00972FD1" w:rsidP="00972FD1">
      <w:pPr>
        <w:ind w:firstLine="709"/>
      </w:pPr>
      <w:r w:rsidRPr="00CC66C1">
        <w:lastRenderedPageBreak/>
        <w:t>ИТ в гематологии используется для решения таких задач, как создание гемоделюции и форсированного диуреза для профилактики синдрома лизиса опухоли, возмещение жидкостных потерь в результате диареи, лихорадки, сепсиса, кровотечения, депонирования в полостях организма и коррекция электролитных расстройств.</w:t>
      </w:r>
    </w:p>
    <w:p w14:paraId="043D6C82" w14:textId="77777777" w:rsidR="00972FD1" w:rsidRDefault="00972FD1" w:rsidP="00972FD1">
      <w:pPr>
        <w:ind w:firstLine="709"/>
        <w:rPr>
          <w:i/>
        </w:rPr>
      </w:pPr>
    </w:p>
    <w:p w14:paraId="43786AC7" w14:textId="77777777" w:rsidR="00972FD1" w:rsidRPr="00CC66C1" w:rsidRDefault="00972FD1" w:rsidP="00972FD1">
      <w:pPr>
        <w:rPr>
          <w:i/>
          <w:u w:val="single"/>
        </w:rPr>
      </w:pPr>
      <w:r w:rsidRPr="00CC66C1">
        <w:rPr>
          <w:i/>
          <w:u w:val="single"/>
        </w:rPr>
        <w:t>Виды инфузионных растворов</w:t>
      </w:r>
    </w:p>
    <w:p w14:paraId="7DA52CEE" w14:textId="77777777" w:rsidR="00972FD1" w:rsidRPr="00CC66C1" w:rsidRDefault="00972FD1" w:rsidP="00972FD1">
      <w:pPr>
        <w:ind w:firstLine="709"/>
      </w:pPr>
      <w:r w:rsidRPr="00CC66C1">
        <w:t xml:space="preserve">Кристаллоиды и коллоиды – два основных типа растворов, которые используются для ИТ в медицине. Кристаллоиды – это растворы солей и глюкозы, которые могут легко премещаться за пределы сосудистого русла посредством диффузии в отличие от коллоидов, представляющие собой растворы крупных молекул (гидроксиэтилкрахмала (ГЭК), альбумина), благодаря которым после инфузии преимущественно остаются в русле и увеличивают коллоидно-осмотическое давление, тем самым удерживая жидкость в просвете сосуда. Однако коллоидные растворы (в частности растворы ГЭК первого и второго поколения) обладают более широким спектром побочных эффектов: нефротоксичность, способность вызывать гипокоагуляцию. Поэтому высокая способность удерживать жидкость в сосудистом русле в сочетании с потенциальной опасностью у коллоидов против низкой коллоидно-осмотической способности и относительной безопасности кристаллоидов являются предметом спора в выборе наилучшего типа раствора для инфузии. Но коллоиды и кристаллоиды не являются взаимоисключающими растворами, а используются в различных клинических ситуациях. Преимущественно для поддерживающей ИТ и при коррекции </w:t>
      </w:r>
      <w:r w:rsidRPr="00CC66C1">
        <w:rPr>
          <w:i/>
        </w:rPr>
        <w:t>дегидратации</w:t>
      </w:r>
      <w:r w:rsidRPr="00CC66C1">
        <w:t xml:space="preserve"> в результате потери жидкости с перспирацией, лихорадкой, диареей, когда обезвоживаются все жидкостные пространства организма (сосудистое русло, интерстиций, внутриклеточная жидкость) используют сбалансированные кристаллоидные растворы. В экстренных ситуациях, например при массивном кровотечении (</w:t>
      </w:r>
      <w:r w:rsidRPr="00CC66C1">
        <w:rPr>
          <w:i/>
        </w:rPr>
        <w:t>гиповолемия</w:t>
      </w:r>
      <w:r w:rsidRPr="00CC66C1">
        <w:t>), когда требуется быстрое восполнение объема циркулирующей крови для поддержания гемодинамики и, соответственно, доставки кислорода тканям, используют комбинацию коллоидных и кристаллоидных растворов.</w:t>
      </w:r>
    </w:p>
    <w:p w14:paraId="44B9A218" w14:textId="0F9A35B1" w:rsidR="00972FD1" w:rsidRPr="00CC66C1" w:rsidRDefault="00972FD1" w:rsidP="00972FD1">
      <w:pPr>
        <w:ind w:firstLine="709"/>
      </w:pPr>
      <w:r w:rsidRPr="00CC66C1">
        <w:rPr>
          <w:i/>
        </w:rPr>
        <w:t xml:space="preserve">Изотонический 0,9% раствор натрия хлорида (0,9% </w:t>
      </w:r>
      <w:r w:rsidRPr="00CC66C1">
        <w:rPr>
          <w:i/>
          <w:lang w:val="en-US"/>
        </w:rPr>
        <w:t>NaCl</w:t>
      </w:r>
      <w:r w:rsidRPr="00CC66C1">
        <w:rPr>
          <w:i/>
        </w:rPr>
        <w:t>),</w:t>
      </w:r>
      <w:r w:rsidRPr="00CC66C1">
        <w:t xml:space="preserve"> который исторически принято было называть физиологическим, таковым не является. Это связано с его высокой концентрацией ионов натрия 154 ммоль/л и хлорида 154 ммоль/л, что выше, чем в плазме здорового человека (см. таб. 1), и с отсутствием буфера. Поэтому инфузия изотонического раствора хлорида натрия может привести к гиперхлоремическому метаболическому ацидозу с развитием хлорид-индуцированного спазма почечных капилляров с последующей острой почечной недостаточностью</w:t>
      </w:r>
      <w:r w:rsidRPr="0048699E">
        <w:t xml:space="preserve"> </w:t>
      </w:r>
      <w:r w:rsidRPr="00CC66C1">
        <w:fldChar w:fldCharType="begin" w:fldLock="1"/>
      </w:r>
      <w:r w:rsidR="006C476A">
        <w:instrText>ADDIN CSL_CITATION {"citationItems":[{"id":"ITEM-1","itemData":{"DOI":"10.1001/jama.2015.12334","ISSN":"15383598","abstract":"IMPORTANCE: Saline (0.9% sodium chloride) is the most commonly administered intravenous fluid; however, its use may be associated with acute kidney injury (AKI) and increased mortality. OBJECTIVE: To determine the effect of a buffered crystalloid compared with saline on renal complications in patients admitted to the intensive care unit (ICU). DESIGN AND SETTING: Double-blind, cluster randomized, double-crossover trial conducted in 4 ICUs in New Zealand from April 2014 through October 2014. Three ICUs were general medical and surgical ICUs; 1ICU had a predominance of cardiothoracic and vascular surgical patients. PARTICIPANTS: All patients admitted to the ICU requiring crystalloid fluid therapy were eligible for inclusion. Patients with established AKI requiring renal replacement therapy (RRT) were excluded. All 2278 eligible patients were enrolled; 1152 of 1162 patients (99.1%) receiving buffered crystalloid and 1110 of 1116 patients (99.5%) receiving saline were analyzed. INTERVENTIONS: Participating ICUs were assigned a masked study fluid, either saline or a buffered crystalloid, for alternating 7-week treatment blocks. Two ICUs commenced using 1 fluid and the other 2 commenced using the alternative fluid. Two crossovers occurred so that each ICU used each fluid twice over the 28 weeks of the study. The treating clinician determined the rate and frequency of fluid administration. MAIN OUTCOMES AND MEASURES: The primary outcome was proportion of patients with AKI (defined as a rise in serum creatinine level of at least 2-fold or a serum creatinine level of ≥3.96 mg/dL with an increase of ≥0.5 mg/dL); main secondary outcomes were incidence of RRT use and in-hospital mortality. RESULTS: In the buffered crystalloid group, 102 of 1067 patients (9.6%) developed AKI within 90 days after enrollment compared with 94 of 1025 patients (9.2%) in the saline group (absolute difference, 0.4% [95% CI, -2.1% to 2.9%]; relative risk [RR], 1.04 [95% CI, 0.80 to 1.36]; P =.77). In the buffered crystalloid group, RRT was used in 38 of 1152 patients (3.3%) compared with 38 of 1110 patients (3.4%) in the saline group (absolute difference, -0.1% [95% CI, -1.6% to 1.4%]; RR, 0.96 [95% CI, 0.62 to 1.50]; P =.91). Overall, 87 of 1152 patients (7.6%) in the buffered crystalloid group and 95 of 1110 patients (8.6%) in the saline group died in the hospital (absolute difference, -1.0% [95% CI, -3.3% to 1.2%]; RR, 0.88 [95% CI, 0.67 to 1.17]; P=.40). CONCLUSIONS AND RELEVANCE: Amon…","author":[{"dropping-particle":"","family":"Young","given":"Paul","non-dropping-particle":"","parse-names":false,"suffix":""},{"dropping-particle":"","family":"Bailey","given":"Michael","non-dropping-particle":"","parse-names":false,"suffix":""},{"dropping-particle":"","family":"Beasley","given":"Richard","non-dropping-particle":"","parse-names":false,"suffix":""},{"dropping-particle":"","family":"Henderson","given":"Seton","non-dropping-particle":"","parse-names":false,"suffix":""},{"dropping-particle":"","family":"Mackle","given":"Diane","non-dropping-particle":"","parse-names":false,"suffix":""},{"dropping-particle":"","family":"McArthur","given":"Colin","non-dropping-particle":"","parse-names":false,"suffix":""},{"dropping-particle":"","family":"McGuinness","given":"Shay","non-dropping-particle":"","parse-names":false,"suffix":""},{"dropping-particle":"","family":"Mehrtens","given":"Jan","non-dropping-particle":"","parse-names":false,"suffix":""},{"dropping-particle":"","family":"Myburgh","given":"John","non-dropping-particle":"","parse-names":false,"suffix":""},{"dropping-particle":"","family":"Psirides","given":"Alex","non-dropping-particle":"","parse-names":false,"suffix":""},{"dropping-particle":"","family":"Reddy","given":"Sumeet","non-dropping-particle":"","parse-names":false,"suffix":""},{"dropping-particle":"","family":"Bellomo","given":"Rinaldo","non-dropping-particle":"","parse-names":false,"suffix":""},{"dropping-particle":"","family":"Hunt","given":"Anna","non-dropping-particle":"","parse-names":false,"suffix":""},{"dropping-particle":"","family":"Hurford","given":"Sally","non-dropping-particle":"","parse-names":false,"suffix":""},{"dropping-particle":"","family":"Navarra","given":"Leanlove","non-dropping-particle":"","parse-names":false,"suffix":""},{"dropping-particle":"","family":"Jason-Smith","given":"Adelaide","non-dropping-particle":"","parse-names":false,"suffix":""},{"dropping-particle":"","family":"Andrews","given":"Lynn","non-dropping-particle":"","parse-names":false,"suffix":""},{"dropping-particle":"","family":"Hitchings","given":"Louise","non-dropping-particle":"","parse-names":false,"suffix":""},{"dropping-particle":"","family":"Closey","given":"David","non-dropping-particle":"","parse-names":false,"suffix":""},{"dropping-particle":"","family":"Parker","given":"Kim","non-dropping-particle":"","parse-names":false,"suffix":""},{"dropping-particle":"","family":"Minto","given":"Emmeline","non-dropping-particle":"","parse-names":false,"suffix":""},{"dropping-particle":"","family":"Morris","given":"Anna","non-dropping-particle":"","parse-names":false,"suffix":""},{"dropping-particle":"","family":"McConnochie","given":"Rachael","non-dropping-particle":"","parse-names":false,"suffix":""},{"dropping-particle":"","family":"Chen","given":"Yan","non-dropping-particle":"","parse-names":false,"suffix":""},{"dropping-particle":"","family":"Newby","given":"Lynette","non-dropping-particle":"","parse-names":false,"suffix":""},{"dropping-particle":"","family":"Parke","given":"Rachael","non-dropping-particle":"","parse-names":false,"suffix":""},{"dropping-particle":"","family":"McCarthy","given":"Lianne","non-dropping-particle":"","parse-names":false,"suffix":""},{"dropping-particle":"","family":"Gilder","given":"Eileen","non-dropping-particle":"","parse-names":false,"suffix":""},{"dropping-particle":"","family":"Lammert","given":"Andrea","non-dropping-particle":"","parse-names":false,"suffix":""},{"dropping-particle":"","family":"Long","given":"Stephanie","non-dropping-particle":"","parse-names":false,"suffix":""},{"dropping-particle":"","family":"Cowdrey","given":"Keri Anne","non-dropping-particle":"","parse-names":false,"suffix":""},{"dropping-particle":"","family":"Perner","given":"Anders","non-dropping-particle":"","parse-names":false,"suffix":""},{"dropping-particle":"","family":"Morgan","given":"John","non-dropping-particle":"","parse-names":false,"suffix":""},{"dropping-particle":"","family":"Forbes","given":"Andrew","non-dropping-particle":"","parse-names":false,"suffix":""}],"container-title":"JAMA - Journal of the American Medical Association","id":"ITEM-1","issue":"16","issued":{"date-parts":[["2015","10"]]},"page":"1701-1710","publisher":"American Medical Association","title":"Effect of a buffered crystalloid solution vs saline on acute kidney injury among patients in the intensive care unit: The SPLIT randomized clinical trial","type":"article-journal","volume":"314"},"uris":["http://www.mendeley.com/documents/?uuid=2c88c5d9-bfcc-3520-b6bd-db50c835be5e","http://www.mendeley.com/documents/?uuid=14481e58-7f37-4980-972f-c16576e0318f"]}],"mendeley":{"formattedCitation":"[202]","plainTextFormattedCitation":"[202]","previouslyFormattedCitation":"[202]"},"properties":{"noteIndex":0},"schema":"https://github.com/citation-style-language/schema/raw/master/csl-citation.json"}</w:instrText>
      </w:r>
      <w:r w:rsidRPr="00CC66C1">
        <w:fldChar w:fldCharType="end"/>
      </w:r>
      <w:r w:rsidR="002736BA">
        <w:t>[202]</w:t>
      </w:r>
      <w:r w:rsidR="006E1ADA">
        <w:t>[202]</w:t>
      </w:r>
      <w:r w:rsidR="00B96A78">
        <w:t>[202]</w:t>
      </w:r>
      <w:r w:rsidR="00872B84">
        <w:t>[202]</w:t>
      </w:r>
      <w:r w:rsidR="00953640">
        <w:t>[202]</w:t>
      </w:r>
      <w:r w:rsidR="000E123F">
        <w:t>[202]</w:t>
      </w:r>
      <w:r w:rsidR="006C476A">
        <w:t>[202]</w:t>
      </w:r>
      <w:r w:rsidR="00855E45">
        <w:t>[202]</w:t>
      </w:r>
      <w:r>
        <w:t>[1]</w:t>
      </w:r>
      <w:r w:rsidRPr="00CC66C1">
        <w:t xml:space="preserve">. </w:t>
      </w:r>
    </w:p>
    <w:p w14:paraId="208C4178" w14:textId="77777777" w:rsidR="00972FD1" w:rsidRPr="00CC66C1" w:rsidRDefault="00972FD1" w:rsidP="00972FD1">
      <w:pPr>
        <w:ind w:firstLine="709"/>
      </w:pPr>
      <w:r w:rsidRPr="00CC66C1">
        <w:lastRenderedPageBreak/>
        <w:t xml:space="preserve">Введение 1000 мл 0,9% натрия хлорида увеличивает объем плазмы на 275 мл, а интерстициальной жидкости на 875 мл,  суммарно 1100 мл  (на 100 мл больше за счет диффузии воды из внутриклеточного пространства в интерстиций под действием концентрационного градиента, который создается ионами </w:t>
      </w:r>
      <w:r w:rsidRPr="00CC66C1">
        <w:rPr>
          <w:lang w:val="en-US"/>
        </w:rPr>
        <w:t>Na</w:t>
      </w:r>
      <w:r w:rsidRPr="00CC66C1">
        <w:t xml:space="preserve">).   Принимая во внимание побочные эффекты, следует избегать использования 0,9% </w:t>
      </w:r>
      <w:r w:rsidRPr="00CC66C1">
        <w:rPr>
          <w:lang w:val="en-US"/>
        </w:rPr>
        <w:t>NaCl</w:t>
      </w:r>
      <w:r w:rsidRPr="00CC66C1">
        <w:t xml:space="preserve"> для ИТ и применять его в качестве растворителя для фармакологических препаратов. </w:t>
      </w:r>
    </w:p>
    <w:p w14:paraId="3FB86EC3" w14:textId="77777777" w:rsidR="00972FD1" w:rsidRPr="00CC66C1" w:rsidRDefault="00972FD1" w:rsidP="00972FD1">
      <w:pPr>
        <w:ind w:firstLine="709"/>
      </w:pPr>
      <w:r w:rsidRPr="00CC66C1">
        <w:rPr>
          <w:i/>
        </w:rPr>
        <w:t>Сбалансированные кристаллоидные растворы (Стерофундин, Плазмалит, Рингер-лактат (таб.1))</w:t>
      </w:r>
      <w:r w:rsidRPr="00CC66C1">
        <w:t xml:space="preserve"> обладают меньшим количеством побочных эффектов за счет снижения концентрации ионов натрия и добавления буфера в раствор, что частично решает проблемы периферических отеков: низкая концентрация ионов натрия в растворе не создает градиент для диффузии воды из внутриклеточного пространства, как это происходит при использовании 0,9% натрия хлорида, а находящийся в растворе  буфер предотвращает развитие ацидоза. Однако раствор Рингер-лактата</w:t>
      </w:r>
      <w:r w:rsidRPr="00CC66C1">
        <w:rPr>
          <w:i/>
        </w:rPr>
        <w:t xml:space="preserve"> </w:t>
      </w:r>
      <w:r w:rsidRPr="00CC66C1">
        <w:t xml:space="preserve">является гипоосмолярным – 256 ммоль/л, что делает его непригодным для использования у пациентов с отеком головного мозга. В настоящее время раствор Рингер-лактата успешно применяется для коррекции гипернатриемии, инфузионной терапии во время лечения сепсиса, панкреатита и др. </w:t>
      </w:r>
    </w:p>
    <w:p w14:paraId="217E0456" w14:textId="77777777" w:rsidR="00972FD1" w:rsidRPr="00CC66C1" w:rsidRDefault="00972FD1" w:rsidP="00972FD1">
      <w:pPr>
        <w:ind w:firstLine="709"/>
      </w:pPr>
      <w:r w:rsidRPr="00CC66C1">
        <w:t xml:space="preserve">Следует помнить, что у пациентов с циркуляторным шоком (тканевой гипоксией) и с заболеваниями печени лактат из раствора не будет метаболизироваться в анаэробных условиях до бикарбоната, что может приводить к гиперлактатаемии. Следует ограничивать проведение ИТ раствором Рингер-лактата у пациентов с циркуляторным шоком. Необходимо с осторожностью использовать раствор Рингер – Лактата для разведения эритроцитарной массы, так как находящийся в растворе кальций может связать цитрат (антикоагулянт для компонентов крови) и вызвать образование сгустков крови в пакете с компонентами крови.  </w:t>
      </w:r>
    </w:p>
    <w:p w14:paraId="7A791461" w14:textId="21DF3832" w:rsidR="00972FD1" w:rsidRPr="00CC66C1" w:rsidRDefault="00972FD1" w:rsidP="00972FD1">
      <w:pPr>
        <w:ind w:firstLine="708"/>
      </w:pPr>
      <w:r w:rsidRPr="00CC66C1">
        <w:t xml:space="preserve">Современные растворы, такие как </w:t>
      </w:r>
      <w:r w:rsidRPr="00CC66C1">
        <w:rPr>
          <w:i/>
        </w:rPr>
        <w:t>Стерофундин, Плазмалит</w:t>
      </w:r>
      <w:r w:rsidRPr="00CC66C1">
        <w:t xml:space="preserve"> и др.,  содержат в себе меньшую концентрацию кальция за счет добавления ионов магния, а в качестве буфера – ацетат. Таким образом, у этих растворов также имеется ряд преимуществ перед изотоническим раствором натрия и раствором Рингер-лактат: более низкая концентрация хлорида уменьшает риск развития гиперхлоремического ацидоза, а применение ацетата в качестве буфера дает возможность применять эти растворы у больных с печеночной недостаточностью и циркуляторным шоком без риска ятрогенной гиперлактатемии. Эти растворы также подходят для проведения регидратации при снижении объема жидкости при</w:t>
      </w:r>
      <w:r w:rsidR="000B247A">
        <w:t xml:space="preserve"> </w:t>
      </w:r>
      <w:r w:rsidRPr="00CC66C1">
        <w:t>диаре</w:t>
      </w:r>
      <w:r w:rsidR="000B247A">
        <w:t>е</w:t>
      </w:r>
      <w:r w:rsidRPr="00CC66C1">
        <w:t xml:space="preserve">, рвоте, лихорадке. </w:t>
      </w:r>
    </w:p>
    <w:p w14:paraId="120FD5D6" w14:textId="0B7BA2F8" w:rsidR="00972FD1" w:rsidRPr="00CC66C1" w:rsidRDefault="00972FD1" w:rsidP="00972FD1">
      <w:pPr>
        <w:ind w:firstLine="709"/>
      </w:pPr>
      <w:r w:rsidRPr="00CC66C1">
        <w:t xml:space="preserve">Не рекомендуется использование изотонического раствора натрия хлорида у пациентов с гиперкалиемией и почечной недостаточностью (например, при синдроме </w:t>
      </w:r>
      <w:r w:rsidRPr="00CC66C1">
        <w:lastRenderedPageBreak/>
        <w:t xml:space="preserve">лизиса опухоли) вместо сбалансированных кристаллоидных растворов, несмотря на наличие в составе последних ионов калия, так как ацидоз, возникающий при использовании 0,9% раствора натрия хлорида, может усугубить гиперкалиемию за счет трансклеточного сдвига калия, который происходит для поддержания электронейтральности плазмы во время ацидоза. Введение же сбалансированного кристаллоидного инфузионного раствора с концентрацией калия 4 ммоль/л больному с гиперкалиемией будет уменьшать концентрацию калия в сторону значения концентрации калия в вводимом растворе.     </w:t>
      </w:r>
    </w:p>
    <w:p w14:paraId="048B2B51" w14:textId="77777777" w:rsidR="00972FD1" w:rsidRPr="00CC66C1" w:rsidRDefault="00972FD1" w:rsidP="00972FD1">
      <w:pPr>
        <w:ind w:firstLine="709"/>
      </w:pPr>
      <w:r w:rsidRPr="00CC66C1">
        <w:t xml:space="preserve">Растворы глюкозы в настоящее время для инфузионной терапии практически не применяются. Это связано как с побочными эффектами – гипергликемия  и повышение концентрации лактата крови, так и с низкой волемической активностью 5% раствора глюкозы: при инфузии 1000 мл 5% раствора глюкозы только 100 мл остается в сосудистом русле, объем жидкости в интерстициальном пространстве увеличивается на 250 мл, 650 мл раствора перемещается во внутриклеточное пространство. </w:t>
      </w:r>
    </w:p>
    <w:p w14:paraId="6A097B38" w14:textId="77777777" w:rsidR="00972FD1" w:rsidRDefault="00972FD1" w:rsidP="00972FD1">
      <w:pPr>
        <w:ind w:firstLine="709"/>
      </w:pPr>
    </w:p>
    <w:p w14:paraId="08C90769" w14:textId="77777777" w:rsidR="00972FD1" w:rsidRPr="00CC66C1" w:rsidRDefault="00972FD1" w:rsidP="000B247A">
      <w:r w:rsidRPr="00CC66C1">
        <w:t>Таблица 1. Кристаллоидные растворы</w:t>
      </w:r>
    </w:p>
    <w:tbl>
      <w:tblPr>
        <w:tblStyle w:val="aff9"/>
        <w:tblW w:w="0" w:type="auto"/>
        <w:tblLook w:val="04A0" w:firstRow="1" w:lastRow="0" w:firstColumn="1" w:lastColumn="0" w:noHBand="0" w:noVBand="1"/>
      </w:tblPr>
      <w:tblGrid>
        <w:gridCol w:w="1900"/>
        <w:gridCol w:w="1859"/>
        <w:gridCol w:w="1841"/>
        <w:gridCol w:w="1861"/>
        <w:gridCol w:w="1885"/>
      </w:tblGrid>
      <w:tr w:rsidR="00972FD1" w:rsidRPr="00CC66C1" w14:paraId="3BF217E5" w14:textId="77777777" w:rsidTr="002D3EBF">
        <w:tc>
          <w:tcPr>
            <w:tcW w:w="1914" w:type="dxa"/>
          </w:tcPr>
          <w:p w14:paraId="232E087C" w14:textId="77777777" w:rsidR="00972FD1" w:rsidRPr="00CC66C1" w:rsidRDefault="00972FD1" w:rsidP="002D3EBF">
            <w:pPr>
              <w:jc w:val="center"/>
              <w:rPr>
                <w:b/>
              </w:rPr>
            </w:pPr>
            <w:r w:rsidRPr="00CC66C1">
              <w:rPr>
                <w:b/>
              </w:rPr>
              <w:t>Компоненты</w:t>
            </w:r>
          </w:p>
        </w:tc>
        <w:tc>
          <w:tcPr>
            <w:tcW w:w="1914" w:type="dxa"/>
          </w:tcPr>
          <w:p w14:paraId="38083F82" w14:textId="77777777" w:rsidR="00972FD1" w:rsidRPr="00CC66C1" w:rsidRDefault="00972FD1" w:rsidP="002D3EBF">
            <w:pPr>
              <w:jc w:val="center"/>
              <w:rPr>
                <w:b/>
              </w:rPr>
            </w:pPr>
            <w:r w:rsidRPr="00CC66C1">
              <w:rPr>
                <w:b/>
              </w:rPr>
              <w:t>Плазма</w:t>
            </w:r>
          </w:p>
        </w:tc>
        <w:tc>
          <w:tcPr>
            <w:tcW w:w="1914" w:type="dxa"/>
          </w:tcPr>
          <w:p w14:paraId="2F793C7D" w14:textId="77777777" w:rsidR="00972FD1" w:rsidRPr="00CC66C1" w:rsidRDefault="00972FD1" w:rsidP="002D3EBF">
            <w:pPr>
              <w:jc w:val="center"/>
              <w:rPr>
                <w:b/>
                <w:lang w:val="en-US"/>
              </w:rPr>
            </w:pPr>
            <w:r w:rsidRPr="00CC66C1">
              <w:rPr>
                <w:b/>
              </w:rPr>
              <w:t xml:space="preserve">0,9% </w:t>
            </w:r>
            <w:r w:rsidRPr="00CC66C1">
              <w:rPr>
                <w:b/>
                <w:lang w:val="en-US"/>
              </w:rPr>
              <w:t>NaCl</w:t>
            </w:r>
          </w:p>
        </w:tc>
        <w:tc>
          <w:tcPr>
            <w:tcW w:w="1914" w:type="dxa"/>
          </w:tcPr>
          <w:p w14:paraId="59124E37" w14:textId="77777777" w:rsidR="00972FD1" w:rsidRPr="00CC66C1" w:rsidRDefault="00972FD1" w:rsidP="002D3EBF">
            <w:pPr>
              <w:jc w:val="center"/>
              <w:rPr>
                <w:b/>
              </w:rPr>
            </w:pPr>
            <w:r w:rsidRPr="00CC66C1">
              <w:rPr>
                <w:b/>
              </w:rPr>
              <w:t>Рингер-лактат</w:t>
            </w:r>
          </w:p>
        </w:tc>
        <w:tc>
          <w:tcPr>
            <w:tcW w:w="1915" w:type="dxa"/>
          </w:tcPr>
          <w:p w14:paraId="2E4F86C6" w14:textId="77777777" w:rsidR="00972FD1" w:rsidRPr="00CC66C1" w:rsidRDefault="00972FD1" w:rsidP="002D3EBF">
            <w:pPr>
              <w:jc w:val="center"/>
              <w:rPr>
                <w:b/>
              </w:rPr>
            </w:pPr>
            <w:r w:rsidRPr="00CC66C1">
              <w:rPr>
                <w:b/>
              </w:rPr>
              <w:t>Плазмалит</w:t>
            </w:r>
          </w:p>
        </w:tc>
      </w:tr>
      <w:tr w:rsidR="00972FD1" w:rsidRPr="00CC66C1" w14:paraId="57BBED06" w14:textId="77777777" w:rsidTr="002D3EBF">
        <w:tc>
          <w:tcPr>
            <w:tcW w:w="1914" w:type="dxa"/>
          </w:tcPr>
          <w:p w14:paraId="518B8E59" w14:textId="77777777" w:rsidR="00972FD1" w:rsidRPr="00CC66C1" w:rsidRDefault="00972FD1" w:rsidP="002D3EBF">
            <w:pPr>
              <w:jc w:val="center"/>
            </w:pPr>
            <w:r w:rsidRPr="00CC66C1">
              <w:t>Натрий (ммоль/л)</w:t>
            </w:r>
          </w:p>
        </w:tc>
        <w:tc>
          <w:tcPr>
            <w:tcW w:w="1914" w:type="dxa"/>
          </w:tcPr>
          <w:p w14:paraId="71E0C438" w14:textId="77777777" w:rsidR="00972FD1" w:rsidRPr="00CC66C1" w:rsidRDefault="00972FD1" w:rsidP="002D3EBF">
            <w:pPr>
              <w:jc w:val="center"/>
            </w:pPr>
            <w:r w:rsidRPr="00CC66C1">
              <w:t>135-145</w:t>
            </w:r>
          </w:p>
        </w:tc>
        <w:tc>
          <w:tcPr>
            <w:tcW w:w="1914" w:type="dxa"/>
          </w:tcPr>
          <w:p w14:paraId="56D49B05" w14:textId="77777777" w:rsidR="00972FD1" w:rsidRPr="00CC66C1" w:rsidRDefault="00972FD1" w:rsidP="002D3EBF">
            <w:pPr>
              <w:jc w:val="center"/>
              <w:rPr>
                <w:lang w:val="en-US"/>
              </w:rPr>
            </w:pPr>
            <w:r w:rsidRPr="00CC66C1">
              <w:rPr>
                <w:lang w:val="en-US"/>
              </w:rPr>
              <w:t>154</w:t>
            </w:r>
          </w:p>
        </w:tc>
        <w:tc>
          <w:tcPr>
            <w:tcW w:w="1914" w:type="dxa"/>
          </w:tcPr>
          <w:p w14:paraId="354BE044" w14:textId="77777777" w:rsidR="00972FD1" w:rsidRPr="00CC66C1" w:rsidRDefault="00972FD1" w:rsidP="002D3EBF">
            <w:pPr>
              <w:jc w:val="center"/>
              <w:rPr>
                <w:lang w:val="en-US"/>
              </w:rPr>
            </w:pPr>
            <w:r w:rsidRPr="00CC66C1">
              <w:rPr>
                <w:lang w:val="en-US"/>
              </w:rPr>
              <w:t>130</w:t>
            </w:r>
          </w:p>
        </w:tc>
        <w:tc>
          <w:tcPr>
            <w:tcW w:w="1915" w:type="dxa"/>
          </w:tcPr>
          <w:p w14:paraId="3AE75530" w14:textId="77777777" w:rsidR="00972FD1" w:rsidRPr="00CC66C1" w:rsidRDefault="00972FD1" w:rsidP="002D3EBF">
            <w:pPr>
              <w:jc w:val="center"/>
            </w:pPr>
            <w:r w:rsidRPr="00CC66C1">
              <w:t>140</w:t>
            </w:r>
          </w:p>
        </w:tc>
      </w:tr>
      <w:tr w:rsidR="00972FD1" w:rsidRPr="00CC66C1" w14:paraId="6D6620A7" w14:textId="77777777" w:rsidTr="002D3EBF">
        <w:tc>
          <w:tcPr>
            <w:tcW w:w="1914" w:type="dxa"/>
          </w:tcPr>
          <w:p w14:paraId="5F80F02C" w14:textId="77777777" w:rsidR="00972FD1" w:rsidRPr="00CC66C1" w:rsidRDefault="00972FD1" w:rsidP="002D3EBF">
            <w:pPr>
              <w:jc w:val="center"/>
            </w:pPr>
            <w:r w:rsidRPr="00CC66C1">
              <w:t>Хлорид (ммоль/л)</w:t>
            </w:r>
          </w:p>
        </w:tc>
        <w:tc>
          <w:tcPr>
            <w:tcW w:w="1914" w:type="dxa"/>
          </w:tcPr>
          <w:p w14:paraId="708A9E86" w14:textId="77777777" w:rsidR="00972FD1" w:rsidRPr="00CC66C1" w:rsidRDefault="00972FD1" w:rsidP="002D3EBF">
            <w:pPr>
              <w:jc w:val="center"/>
            </w:pPr>
            <w:r w:rsidRPr="00CC66C1">
              <w:t>98-106</w:t>
            </w:r>
          </w:p>
        </w:tc>
        <w:tc>
          <w:tcPr>
            <w:tcW w:w="1914" w:type="dxa"/>
          </w:tcPr>
          <w:p w14:paraId="10F07305" w14:textId="77777777" w:rsidR="00972FD1" w:rsidRPr="00CC66C1" w:rsidRDefault="00972FD1" w:rsidP="002D3EBF">
            <w:pPr>
              <w:jc w:val="center"/>
              <w:rPr>
                <w:lang w:val="en-US"/>
              </w:rPr>
            </w:pPr>
            <w:r w:rsidRPr="00CC66C1">
              <w:rPr>
                <w:lang w:val="en-US"/>
              </w:rPr>
              <w:t>154</w:t>
            </w:r>
          </w:p>
        </w:tc>
        <w:tc>
          <w:tcPr>
            <w:tcW w:w="1914" w:type="dxa"/>
          </w:tcPr>
          <w:p w14:paraId="73792F80" w14:textId="77777777" w:rsidR="00972FD1" w:rsidRPr="00CC66C1" w:rsidRDefault="00972FD1" w:rsidP="002D3EBF">
            <w:pPr>
              <w:jc w:val="center"/>
              <w:rPr>
                <w:lang w:val="en-US"/>
              </w:rPr>
            </w:pPr>
            <w:r w:rsidRPr="00CC66C1">
              <w:rPr>
                <w:lang w:val="en-US"/>
              </w:rPr>
              <w:t>109</w:t>
            </w:r>
          </w:p>
        </w:tc>
        <w:tc>
          <w:tcPr>
            <w:tcW w:w="1915" w:type="dxa"/>
          </w:tcPr>
          <w:p w14:paraId="0B20338B" w14:textId="77777777" w:rsidR="00972FD1" w:rsidRPr="00CC66C1" w:rsidRDefault="00972FD1" w:rsidP="002D3EBF">
            <w:pPr>
              <w:jc w:val="center"/>
            </w:pPr>
            <w:r w:rsidRPr="00CC66C1">
              <w:t>98</w:t>
            </w:r>
          </w:p>
        </w:tc>
      </w:tr>
      <w:tr w:rsidR="00972FD1" w:rsidRPr="00CC66C1" w14:paraId="3D259E30" w14:textId="77777777" w:rsidTr="002D3EBF">
        <w:tc>
          <w:tcPr>
            <w:tcW w:w="1914" w:type="dxa"/>
          </w:tcPr>
          <w:p w14:paraId="01FF999D" w14:textId="77777777" w:rsidR="00972FD1" w:rsidRPr="00CC66C1" w:rsidRDefault="00972FD1" w:rsidP="002D3EBF">
            <w:pPr>
              <w:jc w:val="center"/>
            </w:pPr>
            <w:r w:rsidRPr="00CC66C1">
              <w:t>Калий (ммоль/л)</w:t>
            </w:r>
          </w:p>
        </w:tc>
        <w:tc>
          <w:tcPr>
            <w:tcW w:w="1914" w:type="dxa"/>
          </w:tcPr>
          <w:p w14:paraId="45B4C1B9" w14:textId="77777777" w:rsidR="00972FD1" w:rsidRPr="00CC66C1" w:rsidRDefault="00972FD1" w:rsidP="002D3EBF">
            <w:pPr>
              <w:jc w:val="center"/>
            </w:pPr>
            <w:r w:rsidRPr="00CC66C1">
              <w:t>3,5-5,0</w:t>
            </w:r>
          </w:p>
        </w:tc>
        <w:tc>
          <w:tcPr>
            <w:tcW w:w="1914" w:type="dxa"/>
          </w:tcPr>
          <w:p w14:paraId="4278BE0F" w14:textId="77777777" w:rsidR="00972FD1" w:rsidRPr="00CC66C1" w:rsidRDefault="00972FD1" w:rsidP="002D3EBF">
            <w:pPr>
              <w:jc w:val="center"/>
              <w:rPr>
                <w:lang w:val="en-US"/>
              </w:rPr>
            </w:pPr>
            <w:r w:rsidRPr="00CC66C1">
              <w:rPr>
                <w:lang w:val="en-US"/>
              </w:rPr>
              <w:t>-</w:t>
            </w:r>
          </w:p>
        </w:tc>
        <w:tc>
          <w:tcPr>
            <w:tcW w:w="1914" w:type="dxa"/>
          </w:tcPr>
          <w:p w14:paraId="2D202CDA" w14:textId="77777777" w:rsidR="00972FD1" w:rsidRPr="00CC66C1" w:rsidRDefault="00972FD1" w:rsidP="002D3EBF">
            <w:pPr>
              <w:jc w:val="center"/>
              <w:rPr>
                <w:lang w:val="en-US"/>
              </w:rPr>
            </w:pPr>
            <w:r w:rsidRPr="00CC66C1">
              <w:rPr>
                <w:lang w:val="en-US"/>
              </w:rPr>
              <w:t>4</w:t>
            </w:r>
          </w:p>
        </w:tc>
        <w:tc>
          <w:tcPr>
            <w:tcW w:w="1915" w:type="dxa"/>
          </w:tcPr>
          <w:p w14:paraId="46657426" w14:textId="77777777" w:rsidR="00972FD1" w:rsidRPr="00CC66C1" w:rsidRDefault="00972FD1" w:rsidP="002D3EBF">
            <w:pPr>
              <w:jc w:val="center"/>
            </w:pPr>
            <w:r w:rsidRPr="00CC66C1">
              <w:t>5</w:t>
            </w:r>
          </w:p>
        </w:tc>
      </w:tr>
      <w:tr w:rsidR="00972FD1" w:rsidRPr="00CC66C1" w14:paraId="7A131B2F" w14:textId="77777777" w:rsidTr="002D3EBF">
        <w:tc>
          <w:tcPr>
            <w:tcW w:w="1914" w:type="dxa"/>
          </w:tcPr>
          <w:p w14:paraId="67325CBE" w14:textId="77777777" w:rsidR="00972FD1" w:rsidRPr="00CC66C1" w:rsidRDefault="00972FD1" w:rsidP="002D3EBF">
            <w:pPr>
              <w:jc w:val="center"/>
            </w:pPr>
            <w:r w:rsidRPr="00CC66C1">
              <w:t>Кальций (мг/дл)</w:t>
            </w:r>
          </w:p>
        </w:tc>
        <w:tc>
          <w:tcPr>
            <w:tcW w:w="1914" w:type="dxa"/>
          </w:tcPr>
          <w:p w14:paraId="121CE5E7" w14:textId="77777777" w:rsidR="00972FD1" w:rsidRPr="00CC66C1" w:rsidRDefault="00972FD1" w:rsidP="002D3EBF">
            <w:pPr>
              <w:jc w:val="center"/>
            </w:pPr>
            <w:r w:rsidRPr="00CC66C1">
              <w:t>3,0-4,5</w:t>
            </w:r>
          </w:p>
        </w:tc>
        <w:tc>
          <w:tcPr>
            <w:tcW w:w="1914" w:type="dxa"/>
          </w:tcPr>
          <w:p w14:paraId="79AC9293" w14:textId="77777777" w:rsidR="00972FD1" w:rsidRPr="00CC66C1" w:rsidRDefault="00972FD1" w:rsidP="002D3EBF">
            <w:pPr>
              <w:jc w:val="center"/>
              <w:rPr>
                <w:lang w:val="en-US"/>
              </w:rPr>
            </w:pPr>
            <w:r w:rsidRPr="00CC66C1">
              <w:rPr>
                <w:lang w:val="en-US"/>
              </w:rPr>
              <w:t>-</w:t>
            </w:r>
          </w:p>
        </w:tc>
        <w:tc>
          <w:tcPr>
            <w:tcW w:w="1914" w:type="dxa"/>
          </w:tcPr>
          <w:p w14:paraId="6C80126D" w14:textId="77777777" w:rsidR="00972FD1" w:rsidRPr="00CC66C1" w:rsidRDefault="00972FD1" w:rsidP="002D3EBF">
            <w:pPr>
              <w:jc w:val="center"/>
              <w:rPr>
                <w:lang w:val="en-US"/>
              </w:rPr>
            </w:pPr>
            <w:r w:rsidRPr="00CC66C1">
              <w:rPr>
                <w:lang w:val="en-US"/>
              </w:rPr>
              <w:t>4</w:t>
            </w:r>
          </w:p>
        </w:tc>
        <w:tc>
          <w:tcPr>
            <w:tcW w:w="1915" w:type="dxa"/>
          </w:tcPr>
          <w:p w14:paraId="084FD7B6" w14:textId="77777777" w:rsidR="00972FD1" w:rsidRPr="00CC66C1" w:rsidRDefault="00972FD1" w:rsidP="002D3EBF">
            <w:pPr>
              <w:jc w:val="center"/>
            </w:pPr>
            <w:r w:rsidRPr="00CC66C1">
              <w:t>-</w:t>
            </w:r>
          </w:p>
        </w:tc>
      </w:tr>
      <w:tr w:rsidR="00972FD1" w:rsidRPr="00CC66C1" w14:paraId="4B39BFB7" w14:textId="77777777" w:rsidTr="002D3EBF">
        <w:tc>
          <w:tcPr>
            <w:tcW w:w="1914" w:type="dxa"/>
          </w:tcPr>
          <w:p w14:paraId="4A06D182" w14:textId="77777777" w:rsidR="00972FD1" w:rsidRPr="00CC66C1" w:rsidRDefault="00972FD1" w:rsidP="002D3EBF">
            <w:pPr>
              <w:jc w:val="center"/>
            </w:pPr>
            <w:r w:rsidRPr="00CC66C1">
              <w:t>Магний (ммоль/л)</w:t>
            </w:r>
          </w:p>
        </w:tc>
        <w:tc>
          <w:tcPr>
            <w:tcW w:w="1914" w:type="dxa"/>
          </w:tcPr>
          <w:p w14:paraId="02A056C0" w14:textId="77777777" w:rsidR="00972FD1" w:rsidRPr="00CC66C1" w:rsidRDefault="00972FD1" w:rsidP="002D3EBF">
            <w:pPr>
              <w:jc w:val="center"/>
            </w:pPr>
            <w:r w:rsidRPr="00CC66C1">
              <w:t>0,7-1,2</w:t>
            </w:r>
          </w:p>
        </w:tc>
        <w:tc>
          <w:tcPr>
            <w:tcW w:w="1914" w:type="dxa"/>
          </w:tcPr>
          <w:p w14:paraId="5C2CB427" w14:textId="77777777" w:rsidR="00972FD1" w:rsidRPr="00CC66C1" w:rsidRDefault="00972FD1" w:rsidP="002D3EBF">
            <w:pPr>
              <w:jc w:val="center"/>
              <w:rPr>
                <w:lang w:val="en-US"/>
              </w:rPr>
            </w:pPr>
            <w:r w:rsidRPr="00CC66C1">
              <w:rPr>
                <w:lang w:val="en-US"/>
              </w:rPr>
              <w:t>-</w:t>
            </w:r>
          </w:p>
        </w:tc>
        <w:tc>
          <w:tcPr>
            <w:tcW w:w="1914" w:type="dxa"/>
          </w:tcPr>
          <w:p w14:paraId="3A08230C" w14:textId="77777777" w:rsidR="00972FD1" w:rsidRPr="00CC66C1" w:rsidRDefault="00972FD1" w:rsidP="002D3EBF">
            <w:pPr>
              <w:jc w:val="center"/>
              <w:rPr>
                <w:lang w:val="en-US"/>
              </w:rPr>
            </w:pPr>
            <w:r w:rsidRPr="00CC66C1">
              <w:rPr>
                <w:lang w:val="en-US"/>
              </w:rPr>
              <w:t>-</w:t>
            </w:r>
          </w:p>
        </w:tc>
        <w:tc>
          <w:tcPr>
            <w:tcW w:w="1915" w:type="dxa"/>
          </w:tcPr>
          <w:p w14:paraId="65355CE6" w14:textId="77777777" w:rsidR="00972FD1" w:rsidRPr="00CC66C1" w:rsidRDefault="00972FD1" w:rsidP="002D3EBF">
            <w:pPr>
              <w:jc w:val="center"/>
            </w:pPr>
            <w:r w:rsidRPr="00CC66C1">
              <w:t>3</w:t>
            </w:r>
          </w:p>
        </w:tc>
      </w:tr>
      <w:tr w:rsidR="00972FD1" w:rsidRPr="00CC66C1" w14:paraId="2C1944C4" w14:textId="77777777" w:rsidTr="002D3EBF">
        <w:tc>
          <w:tcPr>
            <w:tcW w:w="1914" w:type="dxa"/>
          </w:tcPr>
          <w:p w14:paraId="017CB95C" w14:textId="77777777" w:rsidR="00972FD1" w:rsidRPr="00CC66C1" w:rsidRDefault="00972FD1" w:rsidP="002D3EBF">
            <w:pPr>
              <w:jc w:val="center"/>
            </w:pPr>
            <w:r w:rsidRPr="00CC66C1">
              <w:t>Буфер (ммоль/л)</w:t>
            </w:r>
          </w:p>
        </w:tc>
        <w:tc>
          <w:tcPr>
            <w:tcW w:w="1914" w:type="dxa"/>
          </w:tcPr>
          <w:p w14:paraId="28DFA4C9" w14:textId="77777777" w:rsidR="00972FD1" w:rsidRPr="00CC66C1" w:rsidRDefault="00972FD1" w:rsidP="002D3EBF">
            <w:pPr>
              <w:jc w:val="center"/>
              <w:rPr>
                <w:vertAlign w:val="subscript"/>
                <w:lang w:val="en-US"/>
              </w:rPr>
            </w:pPr>
            <w:r w:rsidRPr="00CC66C1">
              <w:rPr>
                <w:lang w:val="en-US"/>
              </w:rPr>
              <w:t>HCO</w:t>
            </w:r>
            <w:r w:rsidRPr="00CC66C1">
              <w:rPr>
                <w:vertAlign w:val="superscript"/>
                <w:lang w:val="en-US"/>
              </w:rPr>
              <w:t>-</w:t>
            </w:r>
            <w:r w:rsidRPr="00CC66C1">
              <w:rPr>
                <w:vertAlign w:val="subscript"/>
                <w:lang w:val="en-US"/>
              </w:rPr>
              <w:t>3</w:t>
            </w:r>
          </w:p>
          <w:p w14:paraId="26C18CDD" w14:textId="77777777" w:rsidR="00972FD1" w:rsidRPr="00CC66C1" w:rsidRDefault="00972FD1" w:rsidP="002D3EBF">
            <w:pPr>
              <w:jc w:val="center"/>
              <w:rPr>
                <w:lang w:val="en-US"/>
              </w:rPr>
            </w:pPr>
            <w:r w:rsidRPr="00CC66C1">
              <w:rPr>
                <w:lang w:val="en-US"/>
              </w:rPr>
              <w:t>(22-28)</w:t>
            </w:r>
          </w:p>
        </w:tc>
        <w:tc>
          <w:tcPr>
            <w:tcW w:w="1914" w:type="dxa"/>
          </w:tcPr>
          <w:p w14:paraId="6A45B118" w14:textId="77777777" w:rsidR="00972FD1" w:rsidRPr="00CC66C1" w:rsidRDefault="00972FD1" w:rsidP="002D3EBF">
            <w:pPr>
              <w:jc w:val="center"/>
              <w:rPr>
                <w:lang w:val="en-US"/>
              </w:rPr>
            </w:pPr>
            <w:r w:rsidRPr="00CC66C1">
              <w:rPr>
                <w:lang w:val="en-US"/>
              </w:rPr>
              <w:t>-</w:t>
            </w:r>
          </w:p>
        </w:tc>
        <w:tc>
          <w:tcPr>
            <w:tcW w:w="1914" w:type="dxa"/>
          </w:tcPr>
          <w:p w14:paraId="0EA7CDC3" w14:textId="77777777" w:rsidR="00972FD1" w:rsidRPr="00CC66C1" w:rsidRDefault="00972FD1" w:rsidP="002D3EBF">
            <w:pPr>
              <w:jc w:val="center"/>
            </w:pPr>
            <w:r w:rsidRPr="00CC66C1">
              <w:t>Лактат (28)</w:t>
            </w:r>
          </w:p>
        </w:tc>
        <w:tc>
          <w:tcPr>
            <w:tcW w:w="1915" w:type="dxa"/>
          </w:tcPr>
          <w:p w14:paraId="568D5A26" w14:textId="77777777" w:rsidR="00972FD1" w:rsidRPr="00CC66C1" w:rsidRDefault="00972FD1" w:rsidP="002D3EBF">
            <w:pPr>
              <w:jc w:val="center"/>
            </w:pPr>
            <w:r w:rsidRPr="00CC66C1">
              <w:t>Ацетат (27)</w:t>
            </w:r>
          </w:p>
          <w:p w14:paraId="07C8595F" w14:textId="77777777" w:rsidR="00972FD1" w:rsidRPr="00CC66C1" w:rsidRDefault="00972FD1" w:rsidP="002D3EBF">
            <w:pPr>
              <w:jc w:val="center"/>
            </w:pPr>
            <w:r w:rsidRPr="00CC66C1">
              <w:t>Глюканат (23)</w:t>
            </w:r>
          </w:p>
        </w:tc>
      </w:tr>
      <w:tr w:rsidR="00972FD1" w:rsidRPr="00CC66C1" w14:paraId="048B147E" w14:textId="77777777" w:rsidTr="002D3EBF">
        <w:tc>
          <w:tcPr>
            <w:tcW w:w="1914" w:type="dxa"/>
          </w:tcPr>
          <w:p w14:paraId="606FCFF8" w14:textId="77777777" w:rsidR="00972FD1" w:rsidRPr="00CC66C1" w:rsidRDefault="00972FD1" w:rsidP="002D3EBF">
            <w:pPr>
              <w:jc w:val="center"/>
            </w:pPr>
            <w:r w:rsidRPr="00CC66C1">
              <w:t>Осмолярность  (мОсм/л)</w:t>
            </w:r>
          </w:p>
        </w:tc>
        <w:tc>
          <w:tcPr>
            <w:tcW w:w="1914" w:type="dxa"/>
          </w:tcPr>
          <w:p w14:paraId="3C8A42D9" w14:textId="77777777" w:rsidR="00972FD1" w:rsidRPr="00CC66C1" w:rsidRDefault="00972FD1" w:rsidP="002D3EBF">
            <w:pPr>
              <w:jc w:val="center"/>
              <w:rPr>
                <w:lang w:val="en-US"/>
              </w:rPr>
            </w:pPr>
            <w:r w:rsidRPr="00CC66C1">
              <w:rPr>
                <w:lang w:val="en-US"/>
              </w:rPr>
              <w:t>290</w:t>
            </w:r>
          </w:p>
        </w:tc>
        <w:tc>
          <w:tcPr>
            <w:tcW w:w="1914" w:type="dxa"/>
          </w:tcPr>
          <w:p w14:paraId="1F334BF0" w14:textId="77777777" w:rsidR="00972FD1" w:rsidRPr="00CC66C1" w:rsidRDefault="00972FD1" w:rsidP="002D3EBF">
            <w:pPr>
              <w:jc w:val="center"/>
              <w:rPr>
                <w:lang w:val="en-US"/>
              </w:rPr>
            </w:pPr>
            <w:r w:rsidRPr="00CC66C1">
              <w:rPr>
                <w:lang w:val="en-US"/>
              </w:rPr>
              <w:t>308</w:t>
            </w:r>
          </w:p>
        </w:tc>
        <w:tc>
          <w:tcPr>
            <w:tcW w:w="1914" w:type="dxa"/>
          </w:tcPr>
          <w:p w14:paraId="0DF4E625" w14:textId="77777777" w:rsidR="00972FD1" w:rsidRPr="00CC66C1" w:rsidRDefault="00972FD1" w:rsidP="002D3EBF">
            <w:pPr>
              <w:jc w:val="center"/>
            </w:pPr>
            <w:r w:rsidRPr="00CC66C1">
              <w:t>273</w:t>
            </w:r>
          </w:p>
        </w:tc>
        <w:tc>
          <w:tcPr>
            <w:tcW w:w="1915" w:type="dxa"/>
          </w:tcPr>
          <w:p w14:paraId="072DD683" w14:textId="77777777" w:rsidR="00972FD1" w:rsidRPr="00CC66C1" w:rsidRDefault="00972FD1" w:rsidP="002D3EBF">
            <w:pPr>
              <w:jc w:val="center"/>
            </w:pPr>
            <w:r w:rsidRPr="00CC66C1">
              <w:t>295</w:t>
            </w:r>
          </w:p>
        </w:tc>
      </w:tr>
    </w:tbl>
    <w:p w14:paraId="669DE263" w14:textId="77777777" w:rsidR="00972FD1" w:rsidRPr="00CC66C1" w:rsidRDefault="00972FD1" w:rsidP="00972FD1">
      <w:pPr>
        <w:ind w:firstLine="709"/>
      </w:pPr>
    </w:p>
    <w:p w14:paraId="5202EE25" w14:textId="77777777" w:rsidR="00972FD1" w:rsidRPr="00CC66C1" w:rsidRDefault="00972FD1" w:rsidP="000B247A">
      <w:pPr>
        <w:rPr>
          <w:i/>
          <w:u w:val="single"/>
        </w:rPr>
      </w:pPr>
      <w:r w:rsidRPr="00CC66C1">
        <w:rPr>
          <w:i/>
          <w:u w:val="single"/>
        </w:rPr>
        <w:t>Показания к проведению инфузионной терапии</w:t>
      </w:r>
    </w:p>
    <w:p w14:paraId="5576D6C9" w14:textId="77777777" w:rsidR="00972FD1" w:rsidRPr="00CC66C1" w:rsidRDefault="00972FD1" w:rsidP="00972FD1">
      <w:pPr>
        <w:ind w:firstLine="709"/>
      </w:pPr>
      <w:r w:rsidRPr="00CC66C1">
        <w:t>Основными показаниями для инфузионной терапии у пацментов с онкогематологическими заболеваниями (лейкозы, лимфомы) являются:</w:t>
      </w:r>
    </w:p>
    <w:p w14:paraId="4B1AB296" w14:textId="77777777" w:rsidR="00972FD1" w:rsidRPr="00CC66C1" w:rsidRDefault="00972FD1" w:rsidP="00972FD1">
      <w:pPr>
        <w:pStyle w:val="afe"/>
        <w:numPr>
          <w:ilvl w:val="0"/>
          <w:numId w:val="128"/>
        </w:numPr>
        <w:rPr>
          <w:rFonts w:cs="Times New Roman"/>
          <w:szCs w:val="24"/>
        </w:rPr>
      </w:pPr>
      <w:r w:rsidRPr="00CC66C1">
        <w:rPr>
          <w:rFonts w:cs="Times New Roman"/>
          <w:szCs w:val="24"/>
        </w:rPr>
        <w:t>Дегидратация,</w:t>
      </w:r>
      <w:r w:rsidRPr="00CC66C1">
        <w:rPr>
          <w:rFonts w:cs="Times New Roman"/>
          <w:i/>
          <w:szCs w:val="24"/>
        </w:rPr>
        <w:t xml:space="preserve"> </w:t>
      </w:r>
      <w:r w:rsidRPr="00CC66C1">
        <w:rPr>
          <w:rFonts w:cs="Times New Roman"/>
          <w:szCs w:val="24"/>
        </w:rPr>
        <w:t>причинами которой могут быть диарея, перспирация (вследствие лихорадки), рвота, алиментарная недостаточность.</w:t>
      </w:r>
    </w:p>
    <w:p w14:paraId="5A420EF7" w14:textId="77777777" w:rsidR="00972FD1" w:rsidRPr="00CC66C1" w:rsidRDefault="00972FD1" w:rsidP="00972FD1">
      <w:pPr>
        <w:pStyle w:val="afe"/>
        <w:numPr>
          <w:ilvl w:val="0"/>
          <w:numId w:val="128"/>
        </w:numPr>
        <w:rPr>
          <w:rFonts w:cs="Times New Roman"/>
          <w:szCs w:val="24"/>
        </w:rPr>
      </w:pPr>
      <w:r w:rsidRPr="00CC66C1">
        <w:rPr>
          <w:rFonts w:cs="Times New Roman"/>
          <w:szCs w:val="24"/>
        </w:rPr>
        <w:lastRenderedPageBreak/>
        <w:t>Гиповолемия или дефицит объема циркулирующей крови (например, при кровотечении у гематологических пациентов).</w:t>
      </w:r>
    </w:p>
    <w:p w14:paraId="3344F7D7" w14:textId="77777777" w:rsidR="00972FD1" w:rsidRPr="00CC66C1" w:rsidRDefault="00972FD1" w:rsidP="00972FD1">
      <w:pPr>
        <w:pStyle w:val="afe"/>
        <w:numPr>
          <w:ilvl w:val="0"/>
          <w:numId w:val="128"/>
        </w:numPr>
        <w:rPr>
          <w:rFonts w:cs="Times New Roman"/>
          <w:szCs w:val="24"/>
        </w:rPr>
      </w:pPr>
      <w:r w:rsidRPr="00CC66C1">
        <w:rPr>
          <w:rFonts w:cs="Times New Roman"/>
          <w:szCs w:val="24"/>
        </w:rPr>
        <w:t xml:space="preserve">Проведение форсированного диуреза для профилактики синдрома лизиса опухоли. </w:t>
      </w:r>
    </w:p>
    <w:p w14:paraId="77E4D256" w14:textId="77777777" w:rsidR="00972FD1" w:rsidRPr="00CC66C1" w:rsidRDefault="00972FD1" w:rsidP="00972FD1">
      <w:pPr>
        <w:pStyle w:val="afe"/>
        <w:numPr>
          <w:ilvl w:val="0"/>
          <w:numId w:val="128"/>
        </w:numPr>
        <w:rPr>
          <w:rFonts w:cs="Times New Roman"/>
          <w:szCs w:val="24"/>
        </w:rPr>
      </w:pPr>
      <w:r w:rsidRPr="00CC66C1">
        <w:rPr>
          <w:rFonts w:cs="Times New Roman"/>
          <w:szCs w:val="24"/>
        </w:rPr>
        <w:t xml:space="preserve">Проведение терапевтической гемоделюции (для лечения ишемических и тромботических осложнений). </w:t>
      </w:r>
    </w:p>
    <w:p w14:paraId="20662847" w14:textId="77777777" w:rsidR="00972FD1" w:rsidRPr="00CC66C1" w:rsidRDefault="00972FD1" w:rsidP="00972FD1">
      <w:pPr>
        <w:pStyle w:val="afe"/>
        <w:numPr>
          <w:ilvl w:val="0"/>
          <w:numId w:val="128"/>
        </w:numPr>
        <w:rPr>
          <w:rFonts w:cs="Times New Roman"/>
          <w:szCs w:val="24"/>
        </w:rPr>
      </w:pPr>
      <w:r w:rsidRPr="00CC66C1">
        <w:rPr>
          <w:rFonts w:cs="Times New Roman"/>
          <w:szCs w:val="24"/>
        </w:rPr>
        <w:t xml:space="preserve">Коррекция электролитных нарушений. </w:t>
      </w:r>
    </w:p>
    <w:p w14:paraId="0A23E92A" w14:textId="77777777" w:rsidR="00972FD1" w:rsidRPr="00CC66C1" w:rsidRDefault="00972FD1" w:rsidP="00972FD1">
      <w:pPr>
        <w:pStyle w:val="afe"/>
        <w:numPr>
          <w:ilvl w:val="0"/>
          <w:numId w:val="128"/>
        </w:numPr>
        <w:rPr>
          <w:rFonts w:cs="Times New Roman"/>
          <w:szCs w:val="24"/>
        </w:rPr>
      </w:pPr>
      <w:r w:rsidRPr="00CC66C1">
        <w:rPr>
          <w:rFonts w:cs="Times New Roman"/>
          <w:szCs w:val="24"/>
        </w:rPr>
        <w:t xml:space="preserve">Дезинтоксикационная терапия. </w:t>
      </w:r>
    </w:p>
    <w:p w14:paraId="1EB49AAB" w14:textId="77777777" w:rsidR="00972FD1" w:rsidRDefault="00972FD1" w:rsidP="00972FD1">
      <w:pPr>
        <w:ind w:firstLine="709"/>
        <w:rPr>
          <w:b/>
        </w:rPr>
      </w:pPr>
    </w:p>
    <w:p w14:paraId="119E649F" w14:textId="2CBD5B55" w:rsidR="00972FD1" w:rsidRPr="0048699E" w:rsidRDefault="00972FD1" w:rsidP="000B247A">
      <w:pPr>
        <w:rPr>
          <w:i/>
          <w:u w:val="single"/>
          <w:lang w:val="en-US"/>
        </w:rPr>
      </w:pPr>
      <w:r w:rsidRPr="00CC66C1">
        <w:rPr>
          <w:i/>
          <w:u w:val="single"/>
        </w:rPr>
        <w:t>Выбор инфузионных растворов</w:t>
      </w:r>
      <w:r>
        <w:rPr>
          <w:i/>
          <w:u w:val="single"/>
        </w:rPr>
        <w:t xml:space="preserve"> </w:t>
      </w:r>
      <w:r>
        <w:rPr>
          <w:i/>
          <w:u w:val="single"/>
        </w:rPr>
        <w:fldChar w:fldCharType="begin" w:fldLock="1"/>
      </w:r>
      <w:r w:rsidR="006C476A">
        <w:rPr>
          <w:i/>
          <w:u w:val="single"/>
        </w:rPr>
        <w:instrText>ADDIN CSL_CITATION {"citationItems":[{"id":"ITEM-1","itemData":{"DOI":"10.1007/s40620-016-0363-9","ISSN":"17246059","PMID":"27900717","abstract":"The topic of intravenous (IV) fluids may be regarded as “reverse nephrology”, because nephrologists usually treat to remove fluids rather than to infuse them. However, because nephrology is deeply rooted in fluid, electrolyte, and acid-base balance, IV fluids belong in the realm of our specialty. The field of IV fluid therapy is in motion due to the increasing use of balanced crystalloids, partly fueled by the advent of new solutions. This review aims to capture these recent developments by critically evaluating the current evidence base. It will review both indications and complications of IV fluid therapy, including the characteristics of the currently available solutions. It will also cover the use of IV fluids in specific settings such as kidney transplantation and pediatrics. Finally, this review will address the pathogenesis of saline-induced hyperchloremic acidosis, its potential effect on outcomes, and the question if this should lead to a definitive switch to balanced solutions.","author":[{"dropping-particle":"","family":"Hoorn","given":"Ewout J.","non-dropping-particle":"","parse-names":false,"suffix":""}],"container-title":"Journal of Nephrology","id":"ITEM-1","issue":"4","issued":{"date-parts":[["2017","8","1"]]},"page":"485-492","publisher":"Springer New York LLC","title":"Intravenous fluids: balancing solutions","type":"article","volume":"30"},"uris":["http://www.mendeley.com/documents/?uuid=5b8712a4-69fa-3f35-a7d0-5673405bd845"]}],"mendeley":{"formattedCitation":"[203]","plainTextFormattedCitation":"[203]","previouslyFormattedCitation":"[203]"},"properties":{"noteIndex":0},"schema":"https://github.com/citation-style-language/schema/raw/master/csl-citation.json"}</w:instrText>
      </w:r>
      <w:r>
        <w:rPr>
          <w:i/>
          <w:u w:val="single"/>
        </w:rPr>
        <w:fldChar w:fldCharType="separate"/>
      </w:r>
      <w:r w:rsidR="00855E45" w:rsidRPr="00855E45">
        <w:rPr>
          <w:noProof/>
        </w:rPr>
        <w:t>[203]</w:t>
      </w:r>
      <w:r>
        <w:rPr>
          <w:i/>
          <w:u w:val="single"/>
        </w:rPr>
        <w:fldChar w:fldCharType="end"/>
      </w:r>
    </w:p>
    <w:p w14:paraId="0486DAB8" w14:textId="77777777" w:rsidR="00972FD1" w:rsidRPr="00CC66C1" w:rsidRDefault="00972FD1" w:rsidP="00972FD1">
      <w:pPr>
        <w:ind w:firstLine="709"/>
      </w:pPr>
      <w:r w:rsidRPr="00CC66C1">
        <w:t>Сбалансированные полиэлектролитные растворы применяются для коррекции дегидратации, форсированного диуреза, терапевтической гемоделюции.</w:t>
      </w:r>
    </w:p>
    <w:p w14:paraId="448165BD" w14:textId="77777777" w:rsidR="00972FD1" w:rsidRPr="00CC66C1" w:rsidRDefault="00972FD1" w:rsidP="00972FD1">
      <w:pPr>
        <w:ind w:firstLine="709"/>
      </w:pPr>
      <w:r w:rsidRPr="00CC66C1">
        <w:t>Коллоидные растворы (такие как раствор альбумина), используются в сочетании с кристаллоидными для коррекции гиповолемии. Допустимо использовать только кристаллоидные растворы для коррекции гиповолемии легкой степени.</w:t>
      </w:r>
    </w:p>
    <w:p w14:paraId="3328D389" w14:textId="77777777" w:rsidR="00972FD1" w:rsidRPr="00CC66C1" w:rsidRDefault="00972FD1" w:rsidP="00972FD1">
      <w:pPr>
        <w:ind w:firstLine="709"/>
      </w:pPr>
      <w:r w:rsidRPr="00CC66C1">
        <w:t>Для разведения лекарственных препаратов используется 0,9% раствор натрия хлорида, что исключает выпадения солей кальция в приготовленном растворе.</w:t>
      </w:r>
    </w:p>
    <w:p w14:paraId="4047FA5F" w14:textId="77777777" w:rsidR="00972FD1" w:rsidRPr="00CC66C1" w:rsidRDefault="00972FD1" w:rsidP="00972FD1">
      <w:pPr>
        <w:ind w:firstLine="709"/>
      </w:pPr>
      <w:r w:rsidRPr="00CC66C1">
        <w:t xml:space="preserve">Объем инфузионной терапии определяется клиническими показаниями. </w:t>
      </w:r>
    </w:p>
    <w:p w14:paraId="245CF2EB" w14:textId="77777777" w:rsidR="00972FD1" w:rsidRDefault="00972FD1" w:rsidP="00972FD1">
      <w:pPr>
        <w:ind w:firstLine="709"/>
        <w:rPr>
          <w:b/>
        </w:rPr>
      </w:pPr>
    </w:p>
    <w:p w14:paraId="1CDFE422" w14:textId="77777777" w:rsidR="00972FD1" w:rsidRPr="00CC66C1" w:rsidRDefault="00972FD1" w:rsidP="000B247A">
      <w:pPr>
        <w:rPr>
          <w:i/>
          <w:u w:val="single"/>
        </w:rPr>
      </w:pPr>
      <w:r w:rsidRPr="00CC66C1">
        <w:rPr>
          <w:i/>
          <w:u w:val="single"/>
        </w:rPr>
        <w:t>Алгоритм действия врача</w:t>
      </w:r>
    </w:p>
    <w:p w14:paraId="543FC01F" w14:textId="77777777" w:rsidR="00972FD1" w:rsidRPr="00CC66C1" w:rsidRDefault="00972FD1" w:rsidP="00972FD1">
      <w:pPr>
        <w:pStyle w:val="afe"/>
        <w:numPr>
          <w:ilvl w:val="0"/>
          <w:numId w:val="129"/>
        </w:numPr>
        <w:rPr>
          <w:rFonts w:cs="Times New Roman"/>
          <w:szCs w:val="24"/>
        </w:rPr>
      </w:pPr>
      <w:r w:rsidRPr="00CC66C1">
        <w:rPr>
          <w:rFonts w:cs="Times New Roman"/>
          <w:szCs w:val="24"/>
        </w:rPr>
        <w:t>Определение показаний для инфузионная терапии.</w:t>
      </w:r>
    </w:p>
    <w:p w14:paraId="2CBA41F3" w14:textId="77777777" w:rsidR="00972FD1" w:rsidRPr="00CC66C1" w:rsidRDefault="00972FD1" w:rsidP="00972FD1">
      <w:pPr>
        <w:pStyle w:val="afe"/>
        <w:numPr>
          <w:ilvl w:val="0"/>
          <w:numId w:val="129"/>
        </w:numPr>
        <w:rPr>
          <w:rFonts w:cs="Times New Roman"/>
          <w:szCs w:val="24"/>
        </w:rPr>
      </w:pPr>
      <w:r w:rsidRPr="00CC66C1">
        <w:rPr>
          <w:rFonts w:cs="Times New Roman"/>
          <w:szCs w:val="24"/>
        </w:rPr>
        <w:t>Выбор инфузионного раствора в зависимости от показаний.</w:t>
      </w:r>
    </w:p>
    <w:p w14:paraId="0080D535" w14:textId="77777777" w:rsidR="00972FD1" w:rsidRPr="00CC66C1" w:rsidRDefault="00972FD1" w:rsidP="00972FD1">
      <w:pPr>
        <w:pStyle w:val="afe"/>
        <w:numPr>
          <w:ilvl w:val="0"/>
          <w:numId w:val="129"/>
        </w:numPr>
        <w:rPr>
          <w:rFonts w:cs="Times New Roman"/>
          <w:szCs w:val="24"/>
        </w:rPr>
      </w:pPr>
      <w:r w:rsidRPr="00CC66C1">
        <w:rPr>
          <w:rFonts w:cs="Times New Roman"/>
          <w:szCs w:val="24"/>
        </w:rPr>
        <w:t>Оценка волемического статуса пациента (оценка частоты сердечных сокращений, артериального давления, тургора кожи, влажности слизистых, темпа диуреза и др.). Центральное венозное давление (ЦВД) не является единственным показателем волемического статуса больного и часто может не отражать истинное состояние. Так, у больного с легочной гипертензией и гиповолемией ЦВД может превышать нормальные значения.</w:t>
      </w:r>
    </w:p>
    <w:p w14:paraId="69800222" w14:textId="77777777" w:rsidR="00972FD1" w:rsidRPr="00CC66C1" w:rsidRDefault="00972FD1" w:rsidP="00972FD1">
      <w:pPr>
        <w:pStyle w:val="afe"/>
        <w:numPr>
          <w:ilvl w:val="0"/>
          <w:numId w:val="129"/>
        </w:numPr>
        <w:rPr>
          <w:rFonts w:cs="Times New Roman"/>
          <w:szCs w:val="24"/>
        </w:rPr>
      </w:pPr>
      <w:r w:rsidRPr="00CC66C1">
        <w:rPr>
          <w:rFonts w:cs="Times New Roman"/>
          <w:szCs w:val="24"/>
        </w:rPr>
        <w:t>Обеспечение сосудистого доступа. Проведение инфузионной терапии и оценка ее эффекта (частота сердечных сокращений, артериальное давление, тургор кожи, влажность слизистых, темп диуреза и др.).</w:t>
      </w:r>
    </w:p>
    <w:p w14:paraId="6EDEAED0" w14:textId="0CC581B0" w:rsidR="00972FD1" w:rsidRDefault="00972FD1" w:rsidP="00972FD1">
      <w:pPr>
        <w:widowControl w:val="0"/>
        <w:autoSpaceDE w:val="0"/>
        <w:autoSpaceDN w:val="0"/>
        <w:adjustRightInd w:val="0"/>
      </w:pPr>
    </w:p>
    <w:p w14:paraId="56236360" w14:textId="5FD3DC80" w:rsidR="002C2CFC" w:rsidRDefault="000B247A" w:rsidP="002C2CFC">
      <w:pPr>
        <w:pStyle w:val="2"/>
        <w:spacing w:before="0"/>
      </w:pPr>
      <w:bookmarkStart w:id="118" w:name="_Toc66096865"/>
      <w:r w:rsidRPr="000322E4">
        <w:t>Приложение А3.</w:t>
      </w:r>
      <w:r>
        <w:t xml:space="preserve">7. </w:t>
      </w:r>
      <w:bookmarkStart w:id="119" w:name="_Toc64477951"/>
      <w:r w:rsidR="002C2CFC">
        <w:t>Применение</w:t>
      </w:r>
      <w:r w:rsidR="002C2CFC" w:rsidRPr="009848E0">
        <w:t xml:space="preserve"> компонентов донорской крови у </w:t>
      </w:r>
      <w:r w:rsidR="002C2CFC">
        <w:t xml:space="preserve">гематологических </w:t>
      </w:r>
      <w:r w:rsidR="002C2CFC" w:rsidRPr="009848E0">
        <w:t>пациентов</w:t>
      </w:r>
      <w:bookmarkEnd w:id="118"/>
      <w:bookmarkEnd w:id="119"/>
    </w:p>
    <w:p w14:paraId="1E983C5C" w14:textId="77777777" w:rsidR="002C2CFC" w:rsidRPr="00106C1D" w:rsidRDefault="002C2CFC" w:rsidP="002C2CFC">
      <w:pPr>
        <w:ind w:firstLine="708"/>
        <w:contextualSpacing/>
      </w:pPr>
      <w:r w:rsidRPr="004C7AAC">
        <w:t xml:space="preserve">Основным медицинским </w:t>
      </w:r>
      <w:r w:rsidRPr="00E74023">
        <w:t xml:space="preserve">показанием к трансфузии эритроцитов у </w:t>
      </w:r>
      <w:r>
        <w:t xml:space="preserve">гематологических </w:t>
      </w:r>
      <w:r w:rsidRPr="00E74023">
        <w:t xml:space="preserve">пациентов является неадекватная оксигенация </w:t>
      </w:r>
      <w:r>
        <w:t xml:space="preserve">органов и тканей </w:t>
      </w:r>
      <w:r w:rsidRPr="00E74023">
        <w:t xml:space="preserve">и связанный с этим риск </w:t>
      </w:r>
      <w:r w:rsidRPr="00E74023">
        <w:lastRenderedPageBreak/>
        <w:t>осложнений.</w:t>
      </w:r>
      <w:r>
        <w:t xml:space="preserve"> </w:t>
      </w:r>
      <w:r w:rsidRPr="00E74023">
        <w:t xml:space="preserve">Переливание донорских тромбоцитов гематологическим </w:t>
      </w:r>
      <w:r>
        <w:t>пациента</w:t>
      </w:r>
      <w:r w:rsidRPr="00E74023">
        <w:t xml:space="preserve">м проводят </w:t>
      </w:r>
      <w:r w:rsidRPr="00E74023">
        <w:rPr>
          <w:lang w:val="en-US"/>
        </w:rPr>
        <w:t>c</w:t>
      </w:r>
      <w:r w:rsidRPr="00E74023">
        <w:t xml:space="preserve"> целью профилактики спонтанных геморрагических осложнений на фоне глубокой тромбоцитопении, индуцированной проведением интенсивной химиотерапии, или с лечебной целью пациентам с уже имеющимися геморрагическими осложнениями.</w:t>
      </w:r>
      <w:r>
        <w:t xml:space="preserve"> При необходимости </w:t>
      </w:r>
      <w:r w:rsidRPr="00E74023">
        <w:t>восполнения дефицита факторов свертывания</w:t>
      </w:r>
      <w:r>
        <w:t xml:space="preserve"> </w:t>
      </w:r>
      <w:r w:rsidRPr="00E74023">
        <w:t>универсальным препаратом</w:t>
      </w:r>
      <w:r w:rsidRPr="009848E0">
        <w:t xml:space="preserve"> </w:t>
      </w:r>
      <w:r w:rsidRPr="00E74023">
        <w:t xml:space="preserve">на сегодняшний день является </w:t>
      </w:r>
      <w:r>
        <w:t>с</w:t>
      </w:r>
      <w:r w:rsidRPr="00E74023">
        <w:t>вежезамороженная плазма (СЗП</w:t>
      </w:r>
      <w:r>
        <w:t>)</w:t>
      </w:r>
      <w:r w:rsidRPr="00E74023">
        <w:t xml:space="preserve">. Показаниями для ее применения при острой кровопотере являются удлинение хронометрических показателей коагулограммы более чем в 1,8 раз; изолированное снижение уровня одного из факторов свертывания на 20% и более или комплекса факторов на 40% и более. Кроме СЗП для коррекции нарушений гемостаза при острой кровопотере применяются криопреципитат, очищенные или генноинженерные препараты факторов свертывания или их комплексов, ингибиторы протеаз, ингибиторы фибринолиза, десмопрессин. Трансфузии СЗП показаны </w:t>
      </w:r>
      <w:r>
        <w:t xml:space="preserve">также </w:t>
      </w:r>
      <w:r w:rsidRPr="00E74023">
        <w:t xml:space="preserve">для </w:t>
      </w:r>
      <w:r w:rsidRPr="00E74023">
        <w:rPr>
          <w:color w:val="000000"/>
        </w:rPr>
        <w:t>возмещения объема при проведении</w:t>
      </w:r>
      <w:r w:rsidRPr="004C7AAC">
        <w:rPr>
          <w:color w:val="000000"/>
        </w:rPr>
        <w:t xml:space="preserve"> </w:t>
      </w:r>
      <w:r w:rsidRPr="004C7AAC">
        <w:t xml:space="preserve">процедур плазмафереза при гиперлейкоцитозе, </w:t>
      </w:r>
      <w:r>
        <w:t>Выбор конкретного вида компонента крови для гемотрансфузии (тип эритроцитосодержащего компонента</w:t>
      </w:r>
      <w:r w:rsidRPr="003B52EE">
        <w:t xml:space="preserve"> крови</w:t>
      </w:r>
      <w:r>
        <w:t xml:space="preserve">, тип </w:t>
      </w:r>
      <w:r w:rsidRPr="003B52EE">
        <w:rPr>
          <w:bCs/>
          <w:iCs/>
        </w:rPr>
        <w:t>концентрата тромбоцитов</w:t>
      </w:r>
      <w:r>
        <w:rPr>
          <w:bCs/>
          <w:iCs/>
        </w:rPr>
        <w:t xml:space="preserve">, тип препарата </w:t>
      </w:r>
      <w:r w:rsidRPr="003B52EE">
        <w:rPr>
          <w:iCs/>
        </w:rPr>
        <w:t>плазмы</w:t>
      </w:r>
      <w:r>
        <w:rPr>
          <w:iCs/>
        </w:rPr>
        <w:t xml:space="preserve">) осуществляется лечащим врачом или врачом-трансфузиологом в соответствии с клинической ситуаций и на основании </w:t>
      </w:r>
      <w:r w:rsidRPr="00EE003B">
        <w:t>Приказа Минздрава России от 28.10.2020 N 1170н</w:t>
      </w:r>
      <w:r w:rsidRPr="00EE003B">
        <w:br/>
        <w:t xml:space="preserve">"Об утверждении порядка оказания медицинской помощи населению по профилю "трансфузиология", Приказа Минздрава России от 20.10.2020 </w:t>
      </w:r>
      <w:r w:rsidRPr="00EE003B">
        <w:rPr>
          <w:lang w:val="en-US"/>
        </w:rPr>
        <w:t>N</w:t>
      </w:r>
      <w:r w:rsidRPr="00EE003B">
        <w:t xml:space="preserve"> 1134н «О порядке медицинского обследования реципиента, проведения проб на индивидуальную совместимость, включая биологическую пробу, при трансфузии донорской крови и (или) ее компонентов»</w:t>
      </w:r>
      <w:r>
        <w:t>, рекомендациями «Клиническое использование эритроцитсодержащих компонентов крови»  (2018</w:t>
      </w:r>
      <w:r w:rsidRPr="00360841">
        <w:t xml:space="preserve"> </w:t>
      </w:r>
      <w:r>
        <w:t>г</w:t>
      </w:r>
      <w:r w:rsidRPr="00360841">
        <w:t>.</w:t>
      </w:r>
      <w:r>
        <w:t xml:space="preserve">), </w:t>
      </w:r>
      <w:r w:rsidRPr="00106C1D">
        <w:t xml:space="preserve">Постановления от 22.06.2019 г. </w:t>
      </w:r>
      <w:r w:rsidRPr="00106C1D">
        <w:rPr>
          <w:lang w:val="en-US"/>
        </w:rPr>
        <w:t>N</w:t>
      </w:r>
      <w:r w:rsidRPr="00106C1D">
        <w:t xml:space="preserve"> 797 «Об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  другими нормативными актами.</w:t>
      </w:r>
    </w:p>
    <w:p w14:paraId="5150631F" w14:textId="77777777" w:rsidR="002C2CFC" w:rsidRDefault="002C2CFC" w:rsidP="002C2CFC">
      <w:pPr>
        <w:contextualSpacing/>
        <w:rPr>
          <w:b/>
        </w:rPr>
      </w:pPr>
    </w:p>
    <w:p w14:paraId="13F783F7" w14:textId="77777777" w:rsidR="002C2CFC" w:rsidRPr="00360841" w:rsidRDefault="002C2CFC" w:rsidP="002C2CFC">
      <w:pPr>
        <w:contextualSpacing/>
        <w:rPr>
          <w:i/>
          <w:u w:val="single"/>
        </w:rPr>
      </w:pPr>
      <w:r w:rsidRPr="00360841">
        <w:rPr>
          <w:i/>
          <w:u w:val="single"/>
        </w:rPr>
        <w:t>Трансфузии эритроцитосодержащих компонентов крови (ЭСК)</w:t>
      </w:r>
    </w:p>
    <w:p w14:paraId="198E5D32" w14:textId="77777777" w:rsidR="002C2CFC" w:rsidRPr="00FA3E28" w:rsidRDefault="002C2CFC" w:rsidP="002C2CFC">
      <w:pPr>
        <w:ind w:firstLine="708"/>
        <w:rPr>
          <w:u w:val="single"/>
        </w:rPr>
      </w:pPr>
      <w:r w:rsidRPr="00FA3E28">
        <w:rPr>
          <w:bCs/>
          <w:u w:val="single"/>
        </w:rPr>
        <w:t>Необходимые исследования до трансфузии</w:t>
      </w:r>
    </w:p>
    <w:p w14:paraId="0599FF11" w14:textId="77777777" w:rsidR="002C2CFC" w:rsidRDefault="002C2CFC" w:rsidP="002C2CFC">
      <w:pPr>
        <w:ind w:firstLine="708"/>
      </w:pPr>
      <w:r>
        <w:t xml:space="preserve">Всем гематологическим пациентам при поступлении в медицинскую организацию необходимо осуществить первичное определение группы крови в клиническом отделении по системе AB0 и резус-принадлежности с внесением результатов определения в медицинскую документацию. После первичного определения группы крови образец крови больного направляется в клинико-диагностическую лабораторию организации, осуществляющей клиническое использование донорской крови и ее компонентов, где </w:t>
      </w:r>
      <w:r>
        <w:lastRenderedPageBreak/>
        <w:t xml:space="preserve">проводят следующие подтверждающие исследования, c внесением в медицинскую документацию: </w:t>
      </w:r>
    </w:p>
    <w:p w14:paraId="7FDACF9E" w14:textId="77777777" w:rsidR="002C2CFC" w:rsidRPr="00360841" w:rsidRDefault="002C2CFC" w:rsidP="00077D58">
      <w:pPr>
        <w:pStyle w:val="afe"/>
        <w:numPr>
          <w:ilvl w:val="0"/>
          <w:numId w:val="142"/>
        </w:numPr>
        <w:rPr>
          <w:szCs w:val="24"/>
        </w:rPr>
      </w:pPr>
      <w:r w:rsidRPr="00360841">
        <w:rPr>
          <w:rFonts w:eastAsia="Times New Roman"/>
          <w:szCs w:val="24"/>
        </w:rPr>
        <w:t>определение группы крови по системе AB0 и резус-принадлежности;</w:t>
      </w:r>
    </w:p>
    <w:p w14:paraId="085BD331" w14:textId="77777777" w:rsidR="002C2CFC" w:rsidRPr="00360841" w:rsidRDefault="002C2CFC" w:rsidP="00077D58">
      <w:pPr>
        <w:pStyle w:val="afe"/>
        <w:numPr>
          <w:ilvl w:val="0"/>
          <w:numId w:val="142"/>
        </w:numPr>
        <w:rPr>
          <w:szCs w:val="24"/>
        </w:rPr>
      </w:pPr>
      <w:r w:rsidRPr="00360841">
        <w:rPr>
          <w:rFonts w:eastAsia="Times New Roman"/>
          <w:szCs w:val="24"/>
        </w:rPr>
        <w:t>определение антигена K;</w:t>
      </w:r>
    </w:p>
    <w:p w14:paraId="45C1BCC4" w14:textId="77777777" w:rsidR="002C2CFC" w:rsidRPr="00360841" w:rsidRDefault="002C2CFC" w:rsidP="00077D58">
      <w:pPr>
        <w:pStyle w:val="afe"/>
        <w:numPr>
          <w:ilvl w:val="0"/>
          <w:numId w:val="142"/>
        </w:numPr>
        <w:rPr>
          <w:szCs w:val="24"/>
        </w:rPr>
      </w:pPr>
      <w:r w:rsidRPr="00360841">
        <w:rPr>
          <w:rFonts w:eastAsia="Times New Roman"/>
          <w:szCs w:val="24"/>
        </w:rPr>
        <w:t>скрининг аллоиммунных антител с использованием не менее 3 образцов тест-эритроцитов;</w:t>
      </w:r>
    </w:p>
    <w:p w14:paraId="34738D5C" w14:textId="77777777" w:rsidR="002C2CFC" w:rsidRPr="00360841" w:rsidRDefault="002C2CFC" w:rsidP="00077D58">
      <w:pPr>
        <w:pStyle w:val="afe"/>
        <w:numPr>
          <w:ilvl w:val="0"/>
          <w:numId w:val="142"/>
        </w:numPr>
        <w:rPr>
          <w:szCs w:val="24"/>
        </w:rPr>
      </w:pPr>
      <w:r w:rsidRPr="00360841">
        <w:rPr>
          <w:rFonts w:eastAsia="Times New Roman"/>
          <w:szCs w:val="24"/>
        </w:rPr>
        <w:t>определение антигенов эритроцитов C, c, E, e. При совпадении результатов определения антигенов эритроцитов C, c, E, e, K, проведенных дважды в организации, осуществляющей клиническое использование донорской крови и ее компонентов, антигены эритроцитов C, c, E, e, K  считаются установленными и в дальнейшем не определяются.</w:t>
      </w:r>
    </w:p>
    <w:p w14:paraId="5002DA50" w14:textId="77777777" w:rsidR="002C2CFC" w:rsidRDefault="002C2CFC" w:rsidP="002C2CFC">
      <w:pPr>
        <w:ind w:firstLine="708"/>
      </w:pPr>
      <w:r>
        <w:t>Не допускается внесение в медицинскую документацию результатов указанных выше исследований на основании данных медицинской документации, оформленной иными медицинскими организациями, в которых больному ранее была оказана медицинская помощь или проводилось медицинское обследование.</w:t>
      </w:r>
    </w:p>
    <w:p w14:paraId="187E0B60" w14:textId="77777777" w:rsidR="002C2CFC" w:rsidRDefault="002C2CFC" w:rsidP="002C2CFC">
      <w:pPr>
        <w:ind w:firstLine="708"/>
      </w:pPr>
      <w:r>
        <w:t>В целях профилактики реакций и осложнений в связи с трансфузией используются ЭСК, идентичные или совместимые по системе AB0, резус-принадлежности и K. При плановых трансфузиях ЭСК дополнительно учитывают совместимость донора и реципиента по антигенам эритроцитов C, c, E, e, С</w:t>
      </w:r>
      <w:r>
        <w:rPr>
          <w:vertAlign w:val="superscript"/>
          <w:lang w:val="en-US"/>
        </w:rPr>
        <w:t>W</w:t>
      </w:r>
      <w:r>
        <w:t>.</w:t>
      </w:r>
    </w:p>
    <w:p w14:paraId="36873353" w14:textId="77777777" w:rsidR="002C2CFC" w:rsidRDefault="002C2CFC" w:rsidP="002C2CFC">
      <w:pPr>
        <w:ind w:firstLine="708"/>
      </w:pPr>
      <w:r>
        <w:t xml:space="preserve">Индивидуальный подбор компонентов крови осуществляется реципиентам, имеющим: </w:t>
      </w:r>
    </w:p>
    <w:p w14:paraId="7BC8BBA2" w14:textId="77777777" w:rsidR="002C2CFC" w:rsidRPr="00360841" w:rsidRDefault="002C2CFC" w:rsidP="00077D58">
      <w:pPr>
        <w:pStyle w:val="afe"/>
        <w:numPr>
          <w:ilvl w:val="0"/>
          <w:numId w:val="143"/>
        </w:numPr>
        <w:rPr>
          <w:rFonts w:eastAsia="Times New Roman"/>
          <w:szCs w:val="24"/>
        </w:rPr>
      </w:pPr>
      <w:r w:rsidRPr="00360841">
        <w:rPr>
          <w:rFonts w:eastAsia="Times New Roman"/>
          <w:szCs w:val="24"/>
          <w:lang w:eastAsia="ru-RU"/>
        </w:rPr>
        <w:t>посттрансфузионные осложнения в анамнезе</w:t>
      </w:r>
    </w:p>
    <w:p w14:paraId="5ED336CD" w14:textId="77777777" w:rsidR="002C2CFC" w:rsidRPr="00360841" w:rsidRDefault="002C2CFC" w:rsidP="00077D58">
      <w:pPr>
        <w:pStyle w:val="afe"/>
        <w:numPr>
          <w:ilvl w:val="0"/>
          <w:numId w:val="143"/>
        </w:numPr>
        <w:rPr>
          <w:rFonts w:eastAsia="Times New Roman"/>
          <w:szCs w:val="24"/>
          <w:lang w:eastAsia="ru-RU"/>
        </w:rPr>
      </w:pPr>
      <w:r w:rsidRPr="00360841">
        <w:rPr>
          <w:rFonts w:eastAsia="Times New Roman"/>
          <w:szCs w:val="24"/>
          <w:lang w:eastAsia="ru-RU"/>
        </w:rPr>
        <w:t>беременность</w:t>
      </w:r>
    </w:p>
    <w:p w14:paraId="67EA478A" w14:textId="77777777" w:rsidR="002C2CFC" w:rsidRPr="00360841" w:rsidRDefault="002C2CFC" w:rsidP="00077D58">
      <w:pPr>
        <w:pStyle w:val="afe"/>
        <w:numPr>
          <w:ilvl w:val="0"/>
          <w:numId w:val="143"/>
        </w:numPr>
        <w:rPr>
          <w:rFonts w:eastAsia="Times New Roman"/>
          <w:szCs w:val="24"/>
          <w:lang w:eastAsia="ru-RU"/>
        </w:rPr>
      </w:pPr>
      <w:r w:rsidRPr="00360841">
        <w:rPr>
          <w:rFonts w:eastAsia="Times New Roman"/>
          <w:szCs w:val="24"/>
          <w:lang w:eastAsia="ru-RU"/>
        </w:rPr>
        <w:t>рождение детей с гемолитической болезнью новорожденного в анамнезе</w:t>
      </w:r>
    </w:p>
    <w:p w14:paraId="21C756A5" w14:textId="77777777" w:rsidR="002C2CFC" w:rsidRPr="00360841" w:rsidRDefault="002C2CFC" w:rsidP="00077D58">
      <w:pPr>
        <w:pStyle w:val="afe"/>
        <w:numPr>
          <w:ilvl w:val="0"/>
          <w:numId w:val="143"/>
        </w:numPr>
        <w:rPr>
          <w:rFonts w:eastAsia="Times New Roman"/>
          <w:szCs w:val="24"/>
        </w:rPr>
      </w:pPr>
      <w:r w:rsidRPr="00360841">
        <w:rPr>
          <w:rFonts w:eastAsia="Times New Roman"/>
          <w:szCs w:val="24"/>
          <w:lang w:eastAsia="ru-RU"/>
        </w:rPr>
        <w:t xml:space="preserve">аллоиммунные антитела. </w:t>
      </w:r>
    </w:p>
    <w:p w14:paraId="7753C5CA" w14:textId="77777777" w:rsidR="002C2CFC" w:rsidRDefault="002C2CFC" w:rsidP="002C2CFC">
      <w:pPr>
        <w:ind w:firstLine="708"/>
      </w:pPr>
      <w:r w:rsidRPr="001A5953">
        <w:t>Индивидуальный подбор не отменяет постановку пробы на совместимость на плоскости</w:t>
      </w:r>
      <w:r>
        <w:t xml:space="preserve"> при комнатной температуре</w:t>
      </w:r>
      <w:r w:rsidRPr="001A5953">
        <w:t xml:space="preserve"> и биологическую пробу врачом, проводящим трансфузию.</w:t>
      </w:r>
    </w:p>
    <w:p w14:paraId="63D7CC05" w14:textId="77777777" w:rsidR="002C2CFC" w:rsidRDefault="002C2CFC" w:rsidP="002C2CFC">
      <w:pPr>
        <w:ind w:firstLine="708"/>
      </w:pPr>
      <w:r>
        <w:t>При определении показаний к трансфузиям компонентов донорской крови обязательно проводятся следующие лабораторные исследования:</w:t>
      </w:r>
    </w:p>
    <w:p w14:paraId="68BABC8C" w14:textId="77777777" w:rsidR="002C2CFC" w:rsidRPr="00360841" w:rsidRDefault="002C2CFC" w:rsidP="00077D58">
      <w:pPr>
        <w:pStyle w:val="afe"/>
        <w:numPr>
          <w:ilvl w:val="0"/>
          <w:numId w:val="144"/>
        </w:numPr>
        <w:rPr>
          <w:rFonts w:eastAsia="Times New Roman"/>
          <w:szCs w:val="24"/>
        </w:rPr>
      </w:pPr>
      <w:r w:rsidRPr="00360841">
        <w:rPr>
          <w:rFonts w:eastAsia="Times New Roman"/>
          <w:szCs w:val="24"/>
        </w:rPr>
        <w:t>Перед трансфузией клеточных компонентов донорской крови (эритроцитная взвесь, концентрат тромбоцитов) - общий (клинический) анализ крови</w:t>
      </w:r>
    </w:p>
    <w:p w14:paraId="5EE033CE" w14:textId="77777777" w:rsidR="002C2CFC" w:rsidRPr="00360841" w:rsidRDefault="002C2CFC" w:rsidP="00077D58">
      <w:pPr>
        <w:pStyle w:val="afe"/>
        <w:numPr>
          <w:ilvl w:val="0"/>
          <w:numId w:val="144"/>
        </w:numPr>
        <w:rPr>
          <w:szCs w:val="24"/>
        </w:rPr>
      </w:pPr>
      <w:r w:rsidRPr="00360841">
        <w:rPr>
          <w:rFonts w:eastAsia="Times New Roman"/>
          <w:szCs w:val="24"/>
        </w:rPr>
        <w:t>Перед трансфузией СЗП, криопреципитата и криосупернатантной плазмы - коагулограмма.</w:t>
      </w:r>
    </w:p>
    <w:p w14:paraId="5A3043B8" w14:textId="77777777" w:rsidR="002C2CFC" w:rsidRPr="00360841" w:rsidRDefault="002C2CFC" w:rsidP="00077D58">
      <w:pPr>
        <w:pStyle w:val="afe"/>
        <w:numPr>
          <w:ilvl w:val="0"/>
          <w:numId w:val="144"/>
        </w:numPr>
        <w:rPr>
          <w:szCs w:val="24"/>
        </w:rPr>
      </w:pPr>
      <w:r w:rsidRPr="00360841">
        <w:rPr>
          <w:rFonts w:eastAsia="Times New Roman"/>
          <w:szCs w:val="24"/>
        </w:rPr>
        <w:t>После трансфузии компонентов крови</w:t>
      </w:r>
    </w:p>
    <w:p w14:paraId="08A2DA8A" w14:textId="77777777" w:rsidR="002C2CFC" w:rsidRPr="004E4312" w:rsidRDefault="002C2CFC" w:rsidP="002C2CFC">
      <w:pPr>
        <w:rPr>
          <w:b/>
          <w:u w:val="single"/>
        </w:rPr>
      </w:pPr>
      <w:r w:rsidRPr="004E4312">
        <w:rPr>
          <w:u w:val="single"/>
        </w:rPr>
        <w:lastRenderedPageBreak/>
        <w:t>Показания к переливанию ЭСК</w:t>
      </w:r>
    </w:p>
    <w:p w14:paraId="6AA69ACD" w14:textId="77777777" w:rsidR="002C2CFC" w:rsidRPr="003E19FB" w:rsidRDefault="002C2CFC" w:rsidP="00077D58">
      <w:pPr>
        <w:pStyle w:val="FitzBullet"/>
        <w:numPr>
          <w:ilvl w:val="0"/>
          <w:numId w:val="145"/>
        </w:numPr>
        <w:tabs>
          <w:tab w:val="clear" w:pos="317"/>
          <w:tab w:val="left" w:pos="144"/>
        </w:tabs>
        <w:spacing w:before="0" w:after="0" w:line="360" w:lineRule="auto"/>
        <w:jc w:val="both"/>
      </w:pPr>
      <w:r w:rsidRPr="003E19FB">
        <w:t>Пациентам с хронической анемией переливание показано при уровне гемоглобина &lt; 60 г/л. В данном случае переливание донорских эритроцитов проводится только для коррекции важнейших симптомов, обусловленных анемией и не поддающихся основной патогенетической терапии.</w:t>
      </w:r>
    </w:p>
    <w:p w14:paraId="148D8CEE" w14:textId="77777777" w:rsidR="002C2CFC" w:rsidRPr="003E19FB" w:rsidRDefault="002C2CFC" w:rsidP="00077D58">
      <w:pPr>
        <w:pStyle w:val="FitzBullet"/>
        <w:numPr>
          <w:ilvl w:val="0"/>
          <w:numId w:val="145"/>
        </w:numPr>
        <w:tabs>
          <w:tab w:val="clear" w:pos="317"/>
          <w:tab w:val="left" w:pos="144"/>
        </w:tabs>
        <w:spacing w:before="0" w:after="0" w:line="360" w:lineRule="auto"/>
        <w:jc w:val="both"/>
      </w:pPr>
      <w:r w:rsidRPr="003E19FB">
        <w:t>Пациентам с сепсисом, ишемической болезнью сердца (в том числе, инфарктом миокарда, стенокардией напряжения), миокардитом и другими кардиопатиями трансфузии эритроцитов рекомендованы при уровне гемоглобина &lt; 100 г/л.</w:t>
      </w:r>
    </w:p>
    <w:p w14:paraId="156453DD" w14:textId="77777777" w:rsidR="002C2CFC" w:rsidRPr="003E19FB" w:rsidRDefault="002C2CFC" w:rsidP="00077D58">
      <w:pPr>
        <w:pStyle w:val="FitzBullet"/>
        <w:numPr>
          <w:ilvl w:val="0"/>
          <w:numId w:val="145"/>
        </w:numPr>
        <w:tabs>
          <w:tab w:val="clear" w:pos="317"/>
          <w:tab w:val="left" w:pos="144"/>
        </w:tabs>
        <w:spacing w:before="0" w:after="0" w:line="360" w:lineRule="auto"/>
        <w:jc w:val="both"/>
      </w:pPr>
      <w:r w:rsidRPr="003E19FB">
        <w:t>Пациентам старше 60 лет трансфузии эритроцитов показаны при уровне гемоглобина &lt; 100 г/л.</w:t>
      </w:r>
    </w:p>
    <w:p w14:paraId="44F2111D" w14:textId="77777777" w:rsidR="002C2CFC" w:rsidRPr="003E19FB" w:rsidRDefault="002C2CFC" w:rsidP="00077D58">
      <w:pPr>
        <w:pStyle w:val="FitzBullet"/>
        <w:numPr>
          <w:ilvl w:val="0"/>
          <w:numId w:val="145"/>
        </w:numPr>
        <w:tabs>
          <w:tab w:val="clear" w:pos="317"/>
          <w:tab w:val="left" w:pos="144"/>
        </w:tabs>
        <w:spacing w:before="0" w:after="0" w:line="360" w:lineRule="auto"/>
        <w:jc w:val="both"/>
      </w:pPr>
      <w:r w:rsidRPr="003E19FB">
        <w:t>Беременным пациенткам с заболеваниями системы крови рекомендовано обеспечивать уровень гемоглобина в крови не менее 80 г/л.</w:t>
      </w:r>
    </w:p>
    <w:p w14:paraId="1587587C" w14:textId="77777777" w:rsidR="002C2CFC" w:rsidRPr="004E4312" w:rsidRDefault="002C2CFC" w:rsidP="002C2CFC">
      <w:pPr>
        <w:rPr>
          <w:b/>
          <w:u w:val="single"/>
        </w:rPr>
      </w:pPr>
      <w:r w:rsidRPr="004E4312">
        <w:rPr>
          <w:u w:val="single"/>
        </w:rPr>
        <w:t>Показания к ЭСК при острой анемии вследствие массивной кровопотери</w:t>
      </w:r>
    </w:p>
    <w:p w14:paraId="045A4373" w14:textId="77777777" w:rsidR="002C2CFC" w:rsidRPr="003E19FB" w:rsidRDefault="002C2CFC" w:rsidP="00077D58">
      <w:pPr>
        <w:pStyle w:val="FitzBullet"/>
        <w:numPr>
          <w:ilvl w:val="0"/>
          <w:numId w:val="145"/>
        </w:numPr>
        <w:tabs>
          <w:tab w:val="clear" w:pos="317"/>
          <w:tab w:val="left" w:pos="144"/>
        </w:tabs>
        <w:spacing w:before="0" w:after="0" w:line="360" w:lineRule="auto"/>
        <w:jc w:val="both"/>
      </w:pPr>
      <w:r w:rsidRPr="003E19FB">
        <w:t>Кровопотеря, составляющая 15—30% от объема циркулирующей крови при наличии предшествующей анемии или сопутствующих кардиологических или пульмонологических заболеваниях.</w:t>
      </w:r>
    </w:p>
    <w:p w14:paraId="15DA4150" w14:textId="77777777" w:rsidR="002C2CFC" w:rsidRPr="003E19FB" w:rsidRDefault="002C2CFC" w:rsidP="00077D58">
      <w:pPr>
        <w:pStyle w:val="FitzBullet"/>
        <w:numPr>
          <w:ilvl w:val="0"/>
          <w:numId w:val="145"/>
        </w:numPr>
        <w:tabs>
          <w:tab w:val="clear" w:pos="317"/>
          <w:tab w:val="left" w:pos="144"/>
        </w:tabs>
        <w:spacing w:before="0" w:after="0" w:line="360" w:lineRule="auto"/>
        <w:jc w:val="both"/>
      </w:pPr>
      <w:r w:rsidRPr="003E19FB">
        <w:t>Уровень гемоглобина ниже 70—90 г/л при активном кровотечении.</w:t>
      </w:r>
    </w:p>
    <w:p w14:paraId="710845D1" w14:textId="77777777" w:rsidR="002C2CFC" w:rsidRPr="003E19FB" w:rsidRDefault="002C2CFC" w:rsidP="00077D58">
      <w:pPr>
        <w:pStyle w:val="FitzBullet"/>
        <w:numPr>
          <w:ilvl w:val="0"/>
          <w:numId w:val="145"/>
        </w:numPr>
        <w:tabs>
          <w:tab w:val="clear" w:pos="317"/>
          <w:tab w:val="left" w:pos="144"/>
        </w:tabs>
        <w:spacing w:before="0" w:after="0" w:line="360" w:lineRule="auto"/>
        <w:jc w:val="both"/>
      </w:pPr>
      <w:r w:rsidRPr="003E19FB">
        <w:t>Уровень гемоглобина &lt; 100 г/л у пациентов с черепно-мозговой травмой, субарахноидальным кровоизлиянием, хронической дыхательной недостаточностью, ишемической болезнью сердца, кардиохирургических пациентов, пожилых пациентов </w:t>
      </w:r>
    </w:p>
    <w:p w14:paraId="656B6620" w14:textId="77777777" w:rsidR="002C2CFC" w:rsidRDefault="002C2CFC" w:rsidP="00077D58">
      <w:pPr>
        <w:pStyle w:val="FitzBullet"/>
        <w:numPr>
          <w:ilvl w:val="0"/>
          <w:numId w:val="145"/>
        </w:numPr>
        <w:tabs>
          <w:tab w:val="clear" w:pos="317"/>
          <w:tab w:val="left" w:pos="144"/>
        </w:tabs>
        <w:spacing w:before="0" w:after="0" w:line="360" w:lineRule="auto"/>
        <w:jc w:val="both"/>
      </w:pPr>
      <w:r w:rsidRPr="003E19FB">
        <w:t>Рекомендуется соблюдение формулы 1:1:1, обозначающей должное соотношение эритроцитов, СЗП и тромбоцитов.</w:t>
      </w:r>
    </w:p>
    <w:p w14:paraId="6439B58F" w14:textId="77777777" w:rsidR="002C2CFC" w:rsidRPr="003E19FB" w:rsidRDefault="002C2CFC" w:rsidP="002C2CFC">
      <w:pPr>
        <w:pStyle w:val="FitzBullet"/>
        <w:spacing w:before="0" w:after="0" w:line="360" w:lineRule="auto"/>
        <w:ind w:left="720" w:firstLine="0"/>
      </w:pPr>
    </w:p>
    <w:p w14:paraId="14F72A49" w14:textId="77777777" w:rsidR="002C2CFC" w:rsidRPr="00360841" w:rsidRDefault="002C2CFC" w:rsidP="002C2CFC">
      <w:pPr>
        <w:rPr>
          <w:bCs/>
          <w:i/>
          <w:iCs/>
          <w:u w:val="single"/>
        </w:rPr>
      </w:pPr>
      <w:r w:rsidRPr="00360841">
        <w:rPr>
          <w:bCs/>
          <w:i/>
          <w:iCs/>
          <w:u w:val="single"/>
        </w:rPr>
        <w:t>Трансфузии концентрата тромбоцитов</w:t>
      </w:r>
    </w:p>
    <w:p w14:paraId="691DE53E" w14:textId="77777777" w:rsidR="002C2CFC" w:rsidRPr="003E19FB" w:rsidRDefault="002C2CFC" w:rsidP="002C2CFC">
      <w:pPr>
        <w:ind w:firstLine="709"/>
        <w:contextualSpacing/>
        <w:rPr>
          <w:color w:val="333333"/>
        </w:rPr>
      </w:pPr>
      <w:r>
        <w:rPr>
          <w:color w:val="373838"/>
        </w:rPr>
        <w:t xml:space="preserve">Считается, что </w:t>
      </w:r>
      <w:r w:rsidRPr="003E19FB">
        <w:rPr>
          <w:color w:val="333333"/>
        </w:rPr>
        <w:t>пороговый уровень тромбоцитов у пациентов в стационаре, при котором проводятся профилактические трансфузии концентрата тромбоцитов, составляет 10</w:t>
      </w:r>
      <w:r>
        <w:rPr>
          <w:color w:val="333333"/>
        </w:rPr>
        <w:t>х</w:t>
      </w:r>
      <w:r w:rsidRPr="003E19FB">
        <w:rPr>
          <w:color w:val="333333"/>
        </w:rPr>
        <w:t>10</w:t>
      </w:r>
      <w:r w:rsidRPr="003E19FB">
        <w:rPr>
          <w:color w:val="333333"/>
          <w:vertAlign w:val="superscript"/>
        </w:rPr>
        <w:t>9</w:t>
      </w:r>
      <w:r w:rsidRPr="003E19FB">
        <w:rPr>
          <w:color w:val="333333"/>
        </w:rPr>
        <w:t>/л при условии отсутствия факторов риска кровотечения. Для амбулаторных пациентов это значение может быть увеличено. Медицинские манипуляции, например, установка центрального венозного катетера (ЦВК), являются условием к проведению профилактических трансфузий концентрата тромбоцитов при количестве тромбоцитов в периферической крови 20</w:t>
      </w:r>
      <w:r>
        <w:rPr>
          <w:color w:val="333333"/>
        </w:rPr>
        <w:t>-30</w:t>
      </w:r>
      <w:r>
        <w:t>х</w:t>
      </w:r>
      <w:r w:rsidRPr="003E19FB">
        <w:rPr>
          <w:color w:val="333333"/>
        </w:rPr>
        <w:t>10</w:t>
      </w:r>
      <w:r w:rsidRPr="003E19FB">
        <w:rPr>
          <w:color w:val="333333"/>
          <w:vertAlign w:val="superscript"/>
        </w:rPr>
        <w:t>9</w:t>
      </w:r>
      <w:r w:rsidRPr="003E19FB">
        <w:rPr>
          <w:color w:val="333333"/>
        </w:rPr>
        <w:t>/л и ниже, а перед люмбальной пункцией или объемной операцией пороговый уровень тромбоцитов повышается до 50</w:t>
      </w:r>
      <w:r>
        <w:rPr>
          <w:color w:val="333333"/>
        </w:rPr>
        <w:t>х</w:t>
      </w:r>
      <w:r w:rsidRPr="003E19FB">
        <w:rPr>
          <w:color w:val="333333"/>
        </w:rPr>
        <w:t>10</w:t>
      </w:r>
      <w:r w:rsidRPr="003E19FB">
        <w:rPr>
          <w:color w:val="333333"/>
          <w:vertAlign w:val="superscript"/>
        </w:rPr>
        <w:t>9</w:t>
      </w:r>
      <w:r w:rsidRPr="003E19FB">
        <w:rPr>
          <w:color w:val="333333"/>
        </w:rPr>
        <w:t>/л</w:t>
      </w:r>
      <w:r>
        <w:rPr>
          <w:color w:val="333333"/>
        </w:rPr>
        <w:t>.</w:t>
      </w:r>
      <w:r>
        <w:t xml:space="preserve"> </w:t>
      </w:r>
    </w:p>
    <w:p w14:paraId="3AF07A9A" w14:textId="77777777" w:rsidR="002C2CFC" w:rsidRDefault="002C2CFC" w:rsidP="002C2CFC">
      <w:pPr>
        <w:ind w:firstLine="709"/>
        <w:contextualSpacing/>
        <w:rPr>
          <w:bCs/>
        </w:rPr>
      </w:pPr>
      <w:r>
        <w:t xml:space="preserve">При некоторых гематологических заболеваниях, ассоциированных с повышенным риском геморрагических осложнений, пороговый уровень тромбоцитов должен быть </w:t>
      </w:r>
      <w:r>
        <w:lastRenderedPageBreak/>
        <w:t>увеличен. Так,  у  всех пациентов</w:t>
      </w:r>
      <w:r w:rsidRPr="003E19FB">
        <w:t xml:space="preserve"> с острым промиелоцитарным лейкозом (ОПЛ)</w:t>
      </w:r>
      <w:r>
        <w:t xml:space="preserve"> пороговый уровень тромбоцитов увеличен до </w:t>
      </w:r>
      <w:r w:rsidRPr="003E19FB">
        <w:rPr>
          <w:color w:val="333333"/>
        </w:rPr>
        <w:t>50</w:t>
      </w:r>
      <w:r>
        <w:rPr>
          <w:color w:val="333333"/>
        </w:rPr>
        <w:t>х</w:t>
      </w:r>
      <w:r w:rsidRPr="003E19FB">
        <w:rPr>
          <w:color w:val="333333"/>
        </w:rPr>
        <w:t>10</w:t>
      </w:r>
      <w:r w:rsidRPr="003E19FB">
        <w:rPr>
          <w:color w:val="333333"/>
          <w:vertAlign w:val="superscript"/>
        </w:rPr>
        <w:t>9</w:t>
      </w:r>
      <w:r w:rsidRPr="003E19FB">
        <w:rPr>
          <w:color w:val="333333"/>
        </w:rPr>
        <w:t>/л</w:t>
      </w:r>
      <w:r>
        <w:t>,</w:t>
      </w:r>
      <w:r w:rsidRPr="003E19FB">
        <w:t xml:space="preserve"> </w:t>
      </w:r>
      <w:r w:rsidRPr="003E19FB">
        <w:rPr>
          <w:bCs/>
        </w:rPr>
        <w:t>поскольку ОПЛ характеризуется тяжелым геморрагическим синдромом и избыточным активированным фибринолизом</w:t>
      </w:r>
      <w:r>
        <w:rPr>
          <w:bCs/>
        </w:rPr>
        <w:t xml:space="preserve">; у  </w:t>
      </w:r>
      <w:r w:rsidRPr="003E19FB">
        <w:t>беременны</w:t>
      </w:r>
      <w:r>
        <w:t>х</w:t>
      </w:r>
      <w:r w:rsidRPr="003E19FB">
        <w:t xml:space="preserve"> пациент</w:t>
      </w:r>
      <w:r>
        <w:t>ок</w:t>
      </w:r>
      <w:r w:rsidRPr="003E19FB">
        <w:t xml:space="preserve"> с </w:t>
      </w:r>
      <w:r>
        <w:t xml:space="preserve">другими </w:t>
      </w:r>
      <w:r w:rsidRPr="003E19FB">
        <w:t xml:space="preserve">опухолевыми </w:t>
      </w:r>
      <w:r>
        <w:t>гематологическими заболеваниями</w:t>
      </w:r>
      <w:r w:rsidRPr="003E19FB">
        <w:rPr>
          <w:bCs/>
        </w:rPr>
        <w:t xml:space="preserve"> пороговый уровень тромбоцитов составляет 30</w:t>
      </w:r>
      <w:r>
        <w:rPr>
          <w:bCs/>
        </w:rPr>
        <w:t>х</w:t>
      </w:r>
      <w:r w:rsidRPr="003E19FB">
        <w:rPr>
          <w:bCs/>
        </w:rPr>
        <w:t>10</w:t>
      </w:r>
      <w:r w:rsidRPr="003E19FB">
        <w:rPr>
          <w:bCs/>
          <w:vertAlign w:val="superscript"/>
        </w:rPr>
        <w:t>9</w:t>
      </w:r>
      <w:r w:rsidRPr="003E19FB">
        <w:rPr>
          <w:bCs/>
        </w:rPr>
        <w:t>/л.</w:t>
      </w:r>
    </w:p>
    <w:p w14:paraId="369C422F" w14:textId="77777777" w:rsidR="002C2CFC" w:rsidRPr="003E19FB" w:rsidRDefault="002C2CFC" w:rsidP="002C2CFC">
      <w:pPr>
        <w:ind w:firstLine="709"/>
        <w:contextualSpacing/>
      </w:pPr>
      <w:r w:rsidRPr="003E19FB">
        <w:t>Переливание тромбоцитов не показано при тромбоцитопении иммунного генеза, за исключением случаев, когда оно необходимо по жизненным показаниям при развивш</w:t>
      </w:r>
      <w:r>
        <w:t>е</w:t>
      </w:r>
      <w:r w:rsidRPr="003E19FB">
        <w:t>мся кровотечении.</w:t>
      </w:r>
      <w:r>
        <w:t xml:space="preserve"> </w:t>
      </w:r>
      <w:r w:rsidRPr="003E19FB">
        <w:t xml:space="preserve">При тромбоцитопатиях трансфузия тромбоцитов также </w:t>
      </w:r>
      <w:r>
        <w:t xml:space="preserve">рутинно не показана, и </w:t>
      </w:r>
      <w:r w:rsidRPr="003E19FB">
        <w:t>осуществляется только в неотложных ситуациях: при массивных кровотечениях, операциях, родах.</w:t>
      </w:r>
    </w:p>
    <w:p w14:paraId="23A3CF8E" w14:textId="77777777" w:rsidR="002C2CFC" w:rsidRDefault="002C2CFC" w:rsidP="002C2CFC">
      <w:pPr>
        <w:ind w:firstLine="709"/>
        <w:contextualSpacing/>
      </w:pPr>
      <w:r w:rsidRPr="002A1C4D">
        <w:rPr>
          <w:u w:val="single"/>
        </w:rPr>
        <w:t>Показания к переливанию концентрата тромбоцитов с профилактической целью</w:t>
      </w:r>
      <w:r w:rsidRPr="00BA458B">
        <w:t xml:space="preserve"> приведены в табл. 1.</w:t>
      </w:r>
    </w:p>
    <w:p w14:paraId="5E5E4331" w14:textId="77777777" w:rsidR="002C2CFC" w:rsidRDefault="002C2CFC" w:rsidP="002C2CFC">
      <w:pPr>
        <w:contextualSpacing/>
        <w:rPr>
          <w:bCs/>
        </w:rPr>
      </w:pPr>
    </w:p>
    <w:p w14:paraId="61448903" w14:textId="77777777" w:rsidR="002C2CFC" w:rsidRPr="0008195A" w:rsidRDefault="002C2CFC" w:rsidP="002C2CFC">
      <w:pPr>
        <w:contextualSpacing/>
      </w:pPr>
      <w:r w:rsidRPr="0008195A">
        <w:rPr>
          <w:bCs/>
        </w:rPr>
        <w:t>Таблица 1. Показания к переливанию концентрата тромбоцитов</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7"/>
        <w:gridCol w:w="2663"/>
        <w:gridCol w:w="3690"/>
      </w:tblGrid>
      <w:tr w:rsidR="002C2CFC" w:rsidRPr="004C7AAC" w14:paraId="03E60D70" w14:textId="77777777" w:rsidTr="002D3EBF">
        <w:tc>
          <w:tcPr>
            <w:tcW w:w="3007" w:type="dxa"/>
            <w:vAlign w:val="center"/>
          </w:tcPr>
          <w:p w14:paraId="1D492C9B" w14:textId="77777777" w:rsidR="002C2CFC" w:rsidRPr="00BA458B" w:rsidRDefault="002C2CFC" w:rsidP="002D3EBF">
            <w:pPr>
              <w:pStyle w:val="Table-head-italic"/>
              <w:spacing w:line="360" w:lineRule="auto"/>
              <w:jc w:val="center"/>
              <w:rPr>
                <w:i w:val="0"/>
                <w:sz w:val="22"/>
                <w:szCs w:val="22"/>
                <w:lang w:val="ru-RU"/>
              </w:rPr>
            </w:pPr>
            <w:r w:rsidRPr="00BA458B">
              <w:rPr>
                <w:i w:val="0"/>
                <w:sz w:val="22"/>
                <w:szCs w:val="22"/>
                <w:lang w:val="ru-RU"/>
              </w:rPr>
              <w:t>Показание</w:t>
            </w:r>
          </w:p>
        </w:tc>
        <w:tc>
          <w:tcPr>
            <w:tcW w:w="2663" w:type="dxa"/>
            <w:vAlign w:val="center"/>
          </w:tcPr>
          <w:p w14:paraId="1B40FB18" w14:textId="77777777" w:rsidR="002C2CFC" w:rsidRPr="00BA458B" w:rsidRDefault="002C2CFC" w:rsidP="002D3EBF">
            <w:pPr>
              <w:pStyle w:val="Table-head-italic"/>
              <w:spacing w:line="360" w:lineRule="auto"/>
              <w:jc w:val="center"/>
              <w:rPr>
                <w:i w:val="0"/>
                <w:sz w:val="22"/>
                <w:szCs w:val="22"/>
                <w:lang w:val="ru-RU"/>
              </w:rPr>
            </w:pPr>
            <w:r w:rsidRPr="00BA458B">
              <w:rPr>
                <w:i w:val="0"/>
                <w:sz w:val="22"/>
                <w:szCs w:val="22"/>
                <w:lang w:val="ru-RU"/>
              </w:rPr>
              <w:t>Количество тромбоцитов в периферической крови</w:t>
            </w:r>
          </w:p>
        </w:tc>
        <w:tc>
          <w:tcPr>
            <w:tcW w:w="3690" w:type="dxa"/>
            <w:vAlign w:val="center"/>
          </w:tcPr>
          <w:p w14:paraId="26ED97D2" w14:textId="77777777" w:rsidR="002C2CFC" w:rsidRPr="00BA458B" w:rsidRDefault="002C2CFC" w:rsidP="002D3EBF">
            <w:pPr>
              <w:pStyle w:val="Table-head-italic"/>
              <w:spacing w:line="360" w:lineRule="auto"/>
              <w:jc w:val="center"/>
              <w:rPr>
                <w:i w:val="0"/>
                <w:sz w:val="22"/>
                <w:szCs w:val="22"/>
                <w:lang w:val="ru-RU"/>
              </w:rPr>
            </w:pPr>
            <w:r w:rsidRPr="00BA458B">
              <w:rPr>
                <w:i w:val="0"/>
                <w:sz w:val="22"/>
                <w:szCs w:val="22"/>
                <w:lang w:val="ru-RU"/>
              </w:rPr>
              <w:t>Примечания</w:t>
            </w:r>
          </w:p>
        </w:tc>
      </w:tr>
      <w:tr w:rsidR="002C2CFC" w:rsidRPr="004C7AAC" w14:paraId="444390A1" w14:textId="77777777" w:rsidTr="002D3EBF">
        <w:tc>
          <w:tcPr>
            <w:tcW w:w="3007" w:type="dxa"/>
          </w:tcPr>
          <w:p w14:paraId="2B9E335E" w14:textId="77777777" w:rsidR="002C2CFC" w:rsidRPr="00BA458B" w:rsidRDefault="002C2CFC" w:rsidP="002D3EBF">
            <w:pPr>
              <w:pStyle w:val="table-text-0"/>
              <w:spacing w:before="0" w:line="360" w:lineRule="auto"/>
              <w:ind w:firstLine="0"/>
              <w:rPr>
                <w:sz w:val="22"/>
                <w:szCs w:val="22"/>
                <w:lang w:val="ru-RU"/>
              </w:rPr>
            </w:pPr>
            <w:r w:rsidRPr="00BA458B">
              <w:rPr>
                <w:sz w:val="22"/>
                <w:szCs w:val="22"/>
                <w:lang w:val="ru-RU"/>
              </w:rPr>
              <w:t>Во время или после химиотерапии, в период миелотоксического агранулоцитоза</w:t>
            </w:r>
          </w:p>
        </w:tc>
        <w:tc>
          <w:tcPr>
            <w:tcW w:w="2663" w:type="dxa"/>
            <w:vAlign w:val="center"/>
          </w:tcPr>
          <w:p w14:paraId="6F256108" w14:textId="77777777" w:rsidR="002C2CFC" w:rsidRPr="00BA458B" w:rsidRDefault="002C2CFC" w:rsidP="002D3EBF">
            <w:pPr>
              <w:pStyle w:val="table-text-0"/>
              <w:spacing w:before="0" w:line="360" w:lineRule="auto"/>
              <w:ind w:firstLine="0"/>
              <w:rPr>
                <w:sz w:val="22"/>
                <w:szCs w:val="22"/>
                <w:lang w:val="ru-RU"/>
              </w:rPr>
            </w:pPr>
            <w:r>
              <w:rPr>
                <w:sz w:val="22"/>
                <w:szCs w:val="22"/>
                <w:lang w:val="ru-RU"/>
              </w:rPr>
              <w:t>М</w:t>
            </w:r>
            <w:r w:rsidRPr="00BA458B">
              <w:rPr>
                <w:sz w:val="22"/>
                <w:szCs w:val="22"/>
                <w:lang w:val="ru-RU"/>
              </w:rPr>
              <w:t>енее 10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08085F7A" w14:textId="77777777" w:rsidR="002C2CFC" w:rsidRPr="00A83EB7" w:rsidRDefault="002C2CFC" w:rsidP="002D3EBF">
            <w:pPr>
              <w:pStyle w:val="table-text-0"/>
              <w:spacing w:before="0" w:line="360" w:lineRule="auto"/>
              <w:ind w:firstLine="0"/>
              <w:rPr>
                <w:sz w:val="22"/>
                <w:szCs w:val="22"/>
                <w:lang w:val="ru-RU"/>
              </w:rPr>
            </w:pPr>
            <w:r w:rsidRPr="00A83EB7">
              <w:rPr>
                <w:sz w:val="22"/>
                <w:szCs w:val="22"/>
                <w:lang w:val="ru-RU"/>
              </w:rPr>
              <w:t>При синдроме повышенного потребления тромбоцитов* данный порог необходимо повысить</w:t>
            </w:r>
          </w:p>
        </w:tc>
      </w:tr>
      <w:tr w:rsidR="002C2CFC" w:rsidRPr="004C7AAC" w14:paraId="0C7E00F1" w14:textId="77777777" w:rsidTr="002D3EBF">
        <w:tc>
          <w:tcPr>
            <w:tcW w:w="3007" w:type="dxa"/>
          </w:tcPr>
          <w:p w14:paraId="6F104B00" w14:textId="77777777" w:rsidR="002C2CFC" w:rsidRPr="00BA458B" w:rsidRDefault="002C2CFC" w:rsidP="002D3EBF">
            <w:pPr>
              <w:pStyle w:val="table-text-0"/>
              <w:spacing w:before="0" w:line="360" w:lineRule="auto"/>
              <w:ind w:firstLine="0"/>
              <w:rPr>
                <w:sz w:val="22"/>
                <w:szCs w:val="22"/>
                <w:lang w:val="ru-RU"/>
              </w:rPr>
            </w:pPr>
            <w:r w:rsidRPr="00BA458B">
              <w:rPr>
                <w:sz w:val="22"/>
                <w:szCs w:val="22"/>
                <w:lang w:val="ru-RU"/>
              </w:rPr>
              <w:t>Установка ЦВК</w:t>
            </w:r>
          </w:p>
        </w:tc>
        <w:tc>
          <w:tcPr>
            <w:tcW w:w="2663" w:type="dxa"/>
            <w:vAlign w:val="center"/>
          </w:tcPr>
          <w:p w14:paraId="5F1A2906" w14:textId="77777777" w:rsidR="002C2CFC" w:rsidRPr="00BA458B" w:rsidRDefault="002C2CFC" w:rsidP="002D3EBF">
            <w:pPr>
              <w:pStyle w:val="table-text-0"/>
              <w:spacing w:before="0" w:line="360" w:lineRule="auto"/>
              <w:ind w:firstLine="0"/>
              <w:rPr>
                <w:sz w:val="22"/>
                <w:szCs w:val="22"/>
                <w:lang w:val="ru-RU"/>
              </w:rPr>
            </w:pPr>
            <w:r>
              <w:rPr>
                <w:sz w:val="22"/>
                <w:szCs w:val="22"/>
                <w:lang w:val="ru-RU"/>
              </w:rPr>
              <w:t>М</w:t>
            </w:r>
            <w:r w:rsidRPr="00BA458B">
              <w:rPr>
                <w:sz w:val="22"/>
                <w:szCs w:val="22"/>
                <w:lang w:val="ru-RU"/>
              </w:rPr>
              <w:t>енее 30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09A4A5EC" w14:textId="77777777" w:rsidR="002C2CFC" w:rsidRPr="00A83EB7" w:rsidRDefault="002C2CFC" w:rsidP="002D3EBF">
            <w:pPr>
              <w:pStyle w:val="table-text-0"/>
              <w:spacing w:before="0" w:line="360" w:lineRule="auto"/>
              <w:ind w:firstLine="0"/>
              <w:jc w:val="center"/>
              <w:rPr>
                <w:sz w:val="22"/>
                <w:szCs w:val="22"/>
                <w:lang w:val="ru-RU"/>
              </w:rPr>
            </w:pPr>
            <w:r>
              <w:rPr>
                <w:sz w:val="22"/>
                <w:szCs w:val="22"/>
                <w:lang w:val="ru-RU"/>
              </w:rPr>
              <w:t>-</w:t>
            </w:r>
          </w:p>
        </w:tc>
      </w:tr>
      <w:tr w:rsidR="002C2CFC" w:rsidRPr="004C7AAC" w14:paraId="07298984" w14:textId="77777777" w:rsidTr="002D3EBF">
        <w:tc>
          <w:tcPr>
            <w:tcW w:w="3007" w:type="dxa"/>
          </w:tcPr>
          <w:p w14:paraId="58F6C57D" w14:textId="77777777" w:rsidR="002C2CFC" w:rsidRPr="00BA458B" w:rsidRDefault="002C2CFC" w:rsidP="002D3EBF">
            <w:pPr>
              <w:pStyle w:val="table-text-0"/>
              <w:spacing w:before="0" w:line="360" w:lineRule="auto"/>
              <w:ind w:firstLine="0"/>
              <w:rPr>
                <w:sz w:val="22"/>
                <w:szCs w:val="22"/>
                <w:lang w:val="ru-RU"/>
              </w:rPr>
            </w:pPr>
            <w:r w:rsidRPr="00BA458B">
              <w:rPr>
                <w:sz w:val="22"/>
                <w:szCs w:val="22"/>
                <w:lang w:val="ru-RU"/>
              </w:rPr>
              <w:t>Люмбальная пункция</w:t>
            </w:r>
          </w:p>
        </w:tc>
        <w:tc>
          <w:tcPr>
            <w:tcW w:w="2663" w:type="dxa"/>
            <w:vAlign w:val="center"/>
          </w:tcPr>
          <w:p w14:paraId="0E031F22" w14:textId="77777777" w:rsidR="002C2CFC" w:rsidRPr="00BA458B" w:rsidRDefault="002C2CFC" w:rsidP="002D3EBF">
            <w:pPr>
              <w:pStyle w:val="table-text-0"/>
              <w:spacing w:before="0" w:line="360" w:lineRule="auto"/>
              <w:ind w:firstLine="0"/>
              <w:rPr>
                <w:sz w:val="22"/>
                <w:szCs w:val="22"/>
                <w:lang w:val="ru-RU"/>
              </w:rPr>
            </w:pPr>
            <w:r>
              <w:rPr>
                <w:sz w:val="22"/>
                <w:szCs w:val="22"/>
                <w:lang w:val="ru-RU"/>
              </w:rPr>
              <w:t>М</w:t>
            </w:r>
            <w:r w:rsidRPr="00BA458B">
              <w:rPr>
                <w:sz w:val="22"/>
                <w:szCs w:val="22"/>
                <w:lang w:val="ru-RU"/>
              </w:rPr>
              <w:t>енее 50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28CE2336" w14:textId="77777777" w:rsidR="002C2CFC" w:rsidRPr="00A83EB7" w:rsidRDefault="002C2CFC" w:rsidP="002D3EBF">
            <w:pPr>
              <w:pStyle w:val="table-text-0"/>
              <w:spacing w:before="0" w:line="360" w:lineRule="auto"/>
              <w:ind w:firstLine="0"/>
              <w:jc w:val="center"/>
              <w:rPr>
                <w:sz w:val="22"/>
                <w:szCs w:val="22"/>
                <w:lang w:val="ru-RU"/>
              </w:rPr>
            </w:pPr>
            <w:r>
              <w:rPr>
                <w:sz w:val="22"/>
                <w:szCs w:val="22"/>
                <w:lang w:val="ru-RU"/>
              </w:rPr>
              <w:t>-</w:t>
            </w:r>
          </w:p>
        </w:tc>
      </w:tr>
      <w:tr w:rsidR="002C2CFC" w:rsidRPr="004C7AAC" w14:paraId="4BC275D2" w14:textId="77777777" w:rsidTr="002D3EBF">
        <w:tc>
          <w:tcPr>
            <w:tcW w:w="3007" w:type="dxa"/>
          </w:tcPr>
          <w:p w14:paraId="5F8D3796" w14:textId="77777777" w:rsidR="002C2CFC" w:rsidRPr="00BA458B" w:rsidRDefault="002C2CFC" w:rsidP="002D3EBF">
            <w:pPr>
              <w:pStyle w:val="table-text-0"/>
              <w:spacing w:before="0" w:line="360" w:lineRule="auto"/>
              <w:ind w:firstLine="0"/>
              <w:rPr>
                <w:sz w:val="22"/>
                <w:szCs w:val="22"/>
                <w:lang w:val="ru-RU"/>
              </w:rPr>
            </w:pPr>
            <w:r w:rsidRPr="00BA458B">
              <w:rPr>
                <w:sz w:val="22"/>
                <w:szCs w:val="22"/>
                <w:lang w:val="ru-RU"/>
              </w:rPr>
              <w:t>Объемные операции и малообъемные инвазивные вмешательства</w:t>
            </w:r>
          </w:p>
        </w:tc>
        <w:tc>
          <w:tcPr>
            <w:tcW w:w="2663" w:type="dxa"/>
            <w:vAlign w:val="center"/>
          </w:tcPr>
          <w:p w14:paraId="479A5CE5" w14:textId="77777777" w:rsidR="002C2CFC" w:rsidRPr="00BA458B" w:rsidRDefault="002C2CFC" w:rsidP="002D3EBF">
            <w:pPr>
              <w:pStyle w:val="table-text-0"/>
              <w:spacing w:before="0" w:line="360" w:lineRule="auto"/>
              <w:ind w:firstLine="0"/>
              <w:rPr>
                <w:sz w:val="22"/>
                <w:szCs w:val="22"/>
                <w:lang w:val="ru-RU"/>
              </w:rPr>
            </w:pPr>
            <w:r>
              <w:rPr>
                <w:sz w:val="22"/>
                <w:szCs w:val="22"/>
                <w:lang w:val="ru-RU"/>
              </w:rPr>
              <w:t>М</w:t>
            </w:r>
            <w:r w:rsidRPr="00BA458B">
              <w:rPr>
                <w:sz w:val="22"/>
                <w:szCs w:val="22"/>
                <w:lang w:val="ru-RU"/>
              </w:rPr>
              <w:t>енее 50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07EA8A26" w14:textId="77777777" w:rsidR="002C2CFC" w:rsidRPr="00A83EB7" w:rsidRDefault="002C2CFC" w:rsidP="002D3EBF">
            <w:pPr>
              <w:pStyle w:val="table-text-0"/>
              <w:spacing w:before="0" w:line="360" w:lineRule="auto"/>
              <w:ind w:firstLine="0"/>
              <w:rPr>
                <w:sz w:val="22"/>
                <w:szCs w:val="22"/>
                <w:lang w:val="ru-RU"/>
              </w:rPr>
            </w:pPr>
            <w:r w:rsidRPr="00A83EB7">
              <w:rPr>
                <w:sz w:val="22"/>
                <w:szCs w:val="22"/>
                <w:lang w:val="ru-RU"/>
              </w:rPr>
              <w:t>Помимо профилактической трансфузии, необходимо резервирование концентрата тромбоцитов для проведения операции. Доза определяется массой тела пациента, а количество трансфузий — объемом операции</w:t>
            </w:r>
          </w:p>
        </w:tc>
      </w:tr>
      <w:tr w:rsidR="002C2CFC" w:rsidRPr="004C7AAC" w14:paraId="032EB382" w14:textId="77777777" w:rsidTr="002D3EBF">
        <w:tc>
          <w:tcPr>
            <w:tcW w:w="3007" w:type="dxa"/>
          </w:tcPr>
          <w:p w14:paraId="7E2EE4F5" w14:textId="77777777" w:rsidR="002C2CFC" w:rsidRPr="00BA458B" w:rsidRDefault="002C2CFC" w:rsidP="002D3EBF">
            <w:pPr>
              <w:pStyle w:val="table-text-0"/>
              <w:spacing w:before="0" w:line="360" w:lineRule="auto"/>
              <w:ind w:firstLine="0"/>
              <w:rPr>
                <w:sz w:val="22"/>
                <w:szCs w:val="22"/>
                <w:lang w:val="ru-RU"/>
              </w:rPr>
            </w:pPr>
            <w:r w:rsidRPr="00BA458B">
              <w:rPr>
                <w:sz w:val="22"/>
                <w:szCs w:val="22"/>
                <w:lang w:val="ru-RU"/>
              </w:rPr>
              <w:t>Беременные</w:t>
            </w:r>
          </w:p>
        </w:tc>
        <w:tc>
          <w:tcPr>
            <w:tcW w:w="2663" w:type="dxa"/>
          </w:tcPr>
          <w:p w14:paraId="68128BE1" w14:textId="77777777" w:rsidR="002C2CFC" w:rsidRPr="00BA458B" w:rsidRDefault="002C2CFC" w:rsidP="002D3EBF">
            <w:pPr>
              <w:pStyle w:val="table-text-0"/>
              <w:spacing w:before="0" w:line="360" w:lineRule="auto"/>
              <w:ind w:firstLine="0"/>
              <w:rPr>
                <w:sz w:val="22"/>
                <w:szCs w:val="22"/>
                <w:lang w:val="ru-RU"/>
              </w:rPr>
            </w:pPr>
            <w:r>
              <w:rPr>
                <w:sz w:val="22"/>
                <w:szCs w:val="22"/>
                <w:lang w:val="ru-RU"/>
              </w:rPr>
              <w:t xml:space="preserve">Менее </w:t>
            </w:r>
            <w:r w:rsidRPr="00BA458B">
              <w:rPr>
                <w:sz w:val="22"/>
                <w:szCs w:val="22"/>
                <w:lang w:val="ru-RU"/>
              </w:rPr>
              <w:t>30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2A8D20C3" w14:textId="77777777" w:rsidR="002C2CFC" w:rsidRPr="00A83EB7" w:rsidRDefault="002C2CFC" w:rsidP="002D3EBF">
            <w:pPr>
              <w:pStyle w:val="table-text-0"/>
              <w:spacing w:before="0" w:line="360" w:lineRule="auto"/>
              <w:ind w:firstLine="0"/>
              <w:jc w:val="center"/>
              <w:rPr>
                <w:sz w:val="22"/>
                <w:szCs w:val="22"/>
                <w:lang w:val="ru-RU"/>
              </w:rPr>
            </w:pPr>
            <w:r>
              <w:rPr>
                <w:sz w:val="22"/>
                <w:szCs w:val="22"/>
                <w:lang w:val="ru-RU"/>
              </w:rPr>
              <w:t>-</w:t>
            </w:r>
          </w:p>
        </w:tc>
      </w:tr>
      <w:tr w:rsidR="002C2CFC" w:rsidRPr="004C7AAC" w14:paraId="4C73EA1C" w14:textId="77777777" w:rsidTr="002D3EBF">
        <w:tc>
          <w:tcPr>
            <w:tcW w:w="3007" w:type="dxa"/>
          </w:tcPr>
          <w:p w14:paraId="31A92D76" w14:textId="77777777" w:rsidR="002C2CFC" w:rsidRPr="00BA458B" w:rsidRDefault="002C2CFC" w:rsidP="002D3EBF">
            <w:pPr>
              <w:pStyle w:val="table-text-0"/>
              <w:spacing w:before="0" w:line="360" w:lineRule="auto"/>
              <w:ind w:firstLine="0"/>
              <w:rPr>
                <w:sz w:val="22"/>
                <w:szCs w:val="22"/>
                <w:lang w:val="ru-RU"/>
              </w:rPr>
            </w:pPr>
            <w:r>
              <w:rPr>
                <w:sz w:val="22"/>
                <w:szCs w:val="22"/>
                <w:lang w:val="ru-RU"/>
              </w:rPr>
              <w:t>Пациенты с</w:t>
            </w:r>
            <w:r w:rsidRPr="00BA458B">
              <w:rPr>
                <w:sz w:val="22"/>
                <w:szCs w:val="22"/>
                <w:lang w:val="ru-RU"/>
              </w:rPr>
              <w:t xml:space="preserve"> ОПЛ</w:t>
            </w:r>
          </w:p>
        </w:tc>
        <w:tc>
          <w:tcPr>
            <w:tcW w:w="2663" w:type="dxa"/>
          </w:tcPr>
          <w:p w14:paraId="4241DA4A" w14:textId="77777777" w:rsidR="002C2CFC" w:rsidRPr="00BA458B" w:rsidRDefault="002C2CFC" w:rsidP="002D3EBF">
            <w:pPr>
              <w:pStyle w:val="table-text-0"/>
              <w:spacing w:before="0" w:line="360" w:lineRule="auto"/>
              <w:ind w:firstLine="0"/>
              <w:rPr>
                <w:sz w:val="22"/>
                <w:szCs w:val="22"/>
                <w:lang w:val="ru-RU"/>
              </w:rPr>
            </w:pPr>
            <w:r>
              <w:rPr>
                <w:sz w:val="22"/>
                <w:szCs w:val="22"/>
                <w:lang w:val="ru-RU"/>
              </w:rPr>
              <w:t>Менее</w:t>
            </w:r>
            <w:r w:rsidRPr="00BA458B">
              <w:rPr>
                <w:sz w:val="22"/>
                <w:szCs w:val="22"/>
                <w:lang w:val="ru-RU"/>
              </w:rPr>
              <w:t xml:space="preserve"> 50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7360323B" w14:textId="77777777" w:rsidR="002C2CFC" w:rsidRPr="00A83EB7" w:rsidRDefault="002C2CFC" w:rsidP="002D3EBF">
            <w:pPr>
              <w:pStyle w:val="table-text-0"/>
              <w:spacing w:before="0" w:line="360" w:lineRule="auto"/>
              <w:ind w:firstLine="0"/>
              <w:jc w:val="center"/>
              <w:rPr>
                <w:sz w:val="22"/>
                <w:szCs w:val="22"/>
                <w:lang w:val="ru-RU"/>
              </w:rPr>
            </w:pPr>
            <w:r>
              <w:rPr>
                <w:sz w:val="22"/>
                <w:szCs w:val="22"/>
                <w:lang w:val="ru-RU"/>
              </w:rPr>
              <w:t>-</w:t>
            </w:r>
          </w:p>
        </w:tc>
      </w:tr>
      <w:tr w:rsidR="002C2CFC" w:rsidRPr="004C7AAC" w14:paraId="6796601C" w14:textId="77777777" w:rsidTr="002D3EBF">
        <w:tc>
          <w:tcPr>
            <w:tcW w:w="3007" w:type="dxa"/>
          </w:tcPr>
          <w:p w14:paraId="15E90493" w14:textId="77777777" w:rsidR="002C2CFC" w:rsidRPr="00BA458B" w:rsidRDefault="002C2CFC" w:rsidP="002D3EBF">
            <w:pPr>
              <w:pStyle w:val="table-text-0"/>
              <w:spacing w:before="0" w:line="360" w:lineRule="auto"/>
              <w:ind w:firstLine="0"/>
              <w:rPr>
                <w:sz w:val="22"/>
                <w:szCs w:val="22"/>
                <w:lang w:val="ru-RU"/>
              </w:rPr>
            </w:pPr>
            <w:r w:rsidRPr="00BA458B">
              <w:rPr>
                <w:sz w:val="22"/>
                <w:szCs w:val="22"/>
                <w:lang w:val="ru-RU"/>
              </w:rPr>
              <w:t>ДВС</w:t>
            </w:r>
            <w:r>
              <w:rPr>
                <w:sz w:val="22"/>
                <w:szCs w:val="22"/>
                <w:lang w:val="ru-RU"/>
              </w:rPr>
              <w:t>-</w:t>
            </w:r>
            <w:r w:rsidRPr="00BA458B">
              <w:rPr>
                <w:sz w:val="22"/>
                <w:szCs w:val="22"/>
                <w:lang w:val="ru-RU"/>
              </w:rPr>
              <w:t>синдром</w:t>
            </w:r>
          </w:p>
        </w:tc>
        <w:tc>
          <w:tcPr>
            <w:tcW w:w="2663" w:type="dxa"/>
          </w:tcPr>
          <w:p w14:paraId="27612B0F" w14:textId="77777777" w:rsidR="002C2CFC" w:rsidRPr="00BA458B" w:rsidRDefault="002C2CFC" w:rsidP="002D3EBF">
            <w:pPr>
              <w:pStyle w:val="table-text-0"/>
              <w:spacing w:before="0" w:line="360" w:lineRule="auto"/>
              <w:ind w:firstLine="0"/>
              <w:rPr>
                <w:sz w:val="22"/>
                <w:szCs w:val="22"/>
                <w:lang w:val="ru-RU"/>
              </w:rPr>
            </w:pPr>
            <w:r>
              <w:rPr>
                <w:sz w:val="22"/>
                <w:szCs w:val="22"/>
                <w:lang w:val="ru-RU"/>
              </w:rPr>
              <w:t>Менее</w:t>
            </w:r>
            <w:r w:rsidRPr="00BA458B">
              <w:rPr>
                <w:sz w:val="22"/>
                <w:szCs w:val="22"/>
                <w:lang w:val="ru-RU"/>
              </w:rPr>
              <w:t xml:space="preserve"> 50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55BDA601" w14:textId="77777777" w:rsidR="002C2CFC" w:rsidRPr="00A83EB7" w:rsidRDefault="002C2CFC" w:rsidP="002D3EBF">
            <w:pPr>
              <w:pStyle w:val="table-text-0"/>
              <w:spacing w:before="0" w:line="360" w:lineRule="auto"/>
              <w:ind w:firstLine="0"/>
              <w:rPr>
                <w:sz w:val="22"/>
                <w:szCs w:val="22"/>
                <w:lang w:val="ru-RU"/>
              </w:rPr>
            </w:pPr>
            <w:r w:rsidRPr="00A83EB7">
              <w:rPr>
                <w:sz w:val="22"/>
                <w:szCs w:val="22"/>
                <w:lang w:val="ru-RU"/>
              </w:rPr>
              <w:t>Как часть основной терапии ДВС- синдрома</w:t>
            </w:r>
          </w:p>
        </w:tc>
      </w:tr>
    </w:tbl>
    <w:p w14:paraId="0EF1F3A8" w14:textId="77777777" w:rsidR="002C2CFC" w:rsidRPr="0008195A" w:rsidRDefault="002C2CFC" w:rsidP="002C2CFC">
      <w:pPr>
        <w:rPr>
          <w:b/>
        </w:rPr>
      </w:pPr>
      <w:r w:rsidRPr="0008195A">
        <w:t>* Сепсис, пульмонологические заболевания, лихорадка.</w:t>
      </w:r>
    </w:p>
    <w:p w14:paraId="731D3391" w14:textId="77777777" w:rsidR="002C2CFC" w:rsidRDefault="002C2CFC" w:rsidP="002C2CFC">
      <w:pPr>
        <w:pStyle w:val="3"/>
        <w:spacing w:before="0"/>
        <w:ind w:firstLine="708"/>
        <w:rPr>
          <w:rFonts w:ascii="Times New Roman" w:hAnsi="Times New Roman" w:cs="Times New Roman"/>
          <w:b/>
          <w:u w:val="single"/>
        </w:rPr>
      </w:pPr>
    </w:p>
    <w:p w14:paraId="42504314" w14:textId="77777777" w:rsidR="002C2CFC" w:rsidRPr="00287E25" w:rsidRDefault="002C2CFC" w:rsidP="002C2CFC">
      <w:pPr>
        <w:ind w:firstLine="708"/>
        <w:rPr>
          <w:b/>
          <w:u w:val="single"/>
        </w:rPr>
      </w:pPr>
      <w:r w:rsidRPr="00287E25">
        <w:rPr>
          <w:u w:val="single"/>
        </w:rPr>
        <w:t>Показания к переливанию концентрата тромбоцитов с лечебной целью.</w:t>
      </w:r>
    </w:p>
    <w:p w14:paraId="1C2A246B" w14:textId="77777777" w:rsidR="002C2CFC" w:rsidRDefault="002C2CFC" w:rsidP="002C2CFC">
      <w:pPr>
        <w:ind w:firstLine="708"/>
      </w:pPr>
      <w:r w:rsidRPr="004C7AAC">
        <w:rPr>
          <w:bCs/>
        </w:rPr>
        <w:lastRenderedPageBreak/>
        <w:t>Наличие у пациента геморрагического синдрома</w:t>
      </w:r>
      <w:r>
        <w:rPr>
          <w:bCs/>
        </w:rPr>
        <w:t xml:space="preserve"> — </w:t>
      </w:r>
      <w:r w:rsidRPr="00A83EB7">
        <w:rPr>
          <w:bCs/>
        </w:rPr>
        <w:t>прямое показание к переливанию концентрата тромбоцитов независимо от лабораторных показателей. Оценка тяжести</w:t>
      </w:r>
      <w:r>
        <w:rPr>
          <w:bCs/>
        </w:rPr>
        <w:t xml:space="preserve"> </w:t>
      </w:r>
      <w:r w:rsidRPr="004C7AAC">
        <w:rPr>
          <w:bCs/>
        </w:rPr>
        <w:t>геморрагического синдрома проводится по шкале ВОЗ</w:t>
      </w:r>
      <w:r>
        <w:rPr>
          <w:bCs/>
        </w:rPr>
        <w:t xml:space="preserve"> (табл. 2)</w:t>
      </w:r>
      <w:r w:rsidRPr="004C7AAC">
        <w:t>.</w:t>
      </w:r>
    </w:p>
    <w:p w14:paraId="17C3E1A8" w14:textId="77777777" w:rsidR="002C2CFC" w:rsidRDefault="002C2CFC" w:rsidP="002C2CFC">
      <w:pPr>
        <w:rPr>
          <w:bCs/>
        </w:rPr>
      </w:pPr>
    </w:p>
    <w:p w14:paraId="50B4BA21" w14:textId="77777777" w:rsidR="002C2CFC" w:rsidRPr="002A1C4D" w:rsidRDefault="002C2CFC" w:rsidP="002C2CFC">
      <w:r w:rsidRPr="002A1C4D">
        <w:rPr>
          <w:bCs/>
        </w:rPr>
        <w:t>Таблица 2. Шкала кровотечений по ВОЗ</w:t>
      </w: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6"/>
      </w:tblGrid>
      <w:tr w:rsidR="002C2CFC" w:rsidRPr="004C7AAC" w14:paraId="26FD342E" w14:textId="77777777" w:rsidTr="002D3EBF">
        <w:tc>
          <w:tcPr>
            <w:tcW w:w="9121" w:type="dxa"/>
            <w:shd w:val="clear" w:color="auto" w:fill="auto"/>
          </w:tcPr>
          <w:p w14:paraId="4055647F" w14:textId="77777777" w:rsidR="002C2CFC" w:rsidRPr="004C7AAC" w:rsidRDefault="002C2CFC" w:rsidP="002D3EBF">
            <w:pPr>
              <w:pStyle w:val="table-text-1"/>
              <w:spacing w:before="0" w:after="0" w:line="360" w:lineRule="auto"/>
              <w:rPr>
                <w:b/>
                <w:i/>
                <w:sz w:val="24"/>
                <w:szCs w:val="24"/>
              </w:rPr>
            </w:pPr>
            <w:r w:rsidRPr="002E0659">
              <w:rPr>
                <w:sz w:val="22"/>
                <w:szCs w:val="22"/>
              </w:rPr>
              <w:t>1 степень (не требует трансфузии)</w:t>
            </w:r>
          </w:p>
        </w:tc>
      </w:tr>
      <w:tr w:rsidR="002C2CFC" w:rsidRPr="004C7AAC" w14:paraId="2A70F457" w14:textId="77777777" w:rsidTr="002D3EBF">
        <w:tc>
          <w:tcPr>
            <w:tcW w:w="9121" w:type="dxa"/>
            <w:shd w:val="clear" w:color="auto" w:fill="auto"/>
          </w:tcPr>
          <w:p w14:paraId="5AC78C98" w14:textId="77777777" w:rsidR="002C2CFC" w:rsidRPr="002E0659" w:rsidRDefault="002C2CFC" w:rsidP="002D3EBF">
            <w:pPr>
              <w:pStyle w:val="table-text-0"/>
              <w:spacing w:before="0" w:line="360" w:lineRule="auto"/>
              <w:ind w:firstLine="0"/>
              <w:rPr>
                <w:sz w:val="22"/>
                <w:szCs w:val="22"/>
                <w:lang w:val="ru-RU"/>
              </w:rPr>
            </w:pPr>
            <w:r w:rsidRPr="002E0659">
              <w:rPr>
                <w:sz w:val="22"/>
                <w:szCs w:val="22"/>
                <w:lang w:val="ru-RU"/>
              </w:rPr>
              <w:t xml:space="preserve">Кровоточивость кожи и слизистых, включая </w:t>
            </w:r>
            <w:r>
              <w:rPr>
                <w:sz w:val="22"/>
                <w:szCs w:val="22"/>
                <w:lang w:val="ru-RU"/>
              </w:rPr>
              <w:t>полость рта</w:t>
            </w:r>
          </w:p>
          <w:p w14:paraId="346992CA" w14:textId="77777777" w:rsidR="002C2CFC" w:rsidRPr="002E0659" w:rsidRDefault="002C2CFC" w:rsidP="002D3EBF">
            <w:pPr>
              <w:pStyle w:val="table-text-0"/>
              <w:spacing w:before="0" w:line="360" w:lineRule="auto"/>
              <w:ind w:firstLine="0"/>
              <w:rPr>
                <w:sz w:val="22"/>
                <w:szCs w:val="22"/>
                <w:lang w:val="ru-RU"/>
              </w:rPr>
            </w:pPr>
            <w:r w:rsidRPr="002E0659">
              <w:rPr>
                <w:sz w:val="22"/>
                <w:szCs w:val="22"/>
                <w:lang w:val="ru-RU"/>
              </w:rPr>
              <w:t>Петехии менее 2</w:t>
            </w:r>
            <w:r>
              <w:rPr>
                <w:sz w:val="22"/>
                <w:szCs w:val="22"/>
                <w:lang w:val="ru-RU"/>
              </w:rPr>
              <w:t> </w:t>
            </w:r>
            <w:r w:rsidRPr="002E0659">
              <w:rPr>
                <w:sz w:val="22"/>
                <w:szCs w:val="22"/>
                <w:lang w:val="ru-RU"/>
              </w:rPr>
              <w:t>мм</w:t>
            </w:r>
          </w:p>
          <w:p w14:paraId="5131149E" w14:textId="77777777" w:rsidR="002C2CFC" w:rsidRPr="002E0659" w:rsidRDefault="002C2CFC" w:rsidP="002D3EBF">
            <w:pPr>
              <w:pStyle w:val="table-text-0"/>
              <w:spacing w:before="0" w:line="360" w:lineRule="auto"/>
              <w:ind w:firstLine="0"/>
              <w:rPr>
                <w:sz w:val="22"/>
                <w:szCs w:val="22"/>
                <w:lang w:val="ru-RU"/>
              </w:rPr>
            </w:pPr>
            <w:r>
              <w:rPr>
                <w:sz w:val="22"/>
                <w:szCs w:val="22"/>
                <w:lang w:val="ru-RU"/>
              </w:rPr>
              <w:t>Пурпура менее 2,54 </w:t>
            </w:r>
            <w:r w:rsidRPr="002E0659">
              <w:rPr>
                <w:sz w:val="22"/>
                <w:szCs w:val="22"/>
                <w:lang w:val="ru-RU"/>
              </w:rPr>
              <w:t>см в диаметре</w:t>
            </w:r>
          </w:p>
          <w:p w14:paraId="62F0C4F1" w14:textId="77777777" w:rsidR="002C2CFC" w:rsidRPr="002E0659" w:rsidRDefault="002C2CFC" w:rsidP="002D3EBF">
            <w:pPr>
              <w:pStyle w:val="table-text-0"/>
              <w:spacing w:before="0" w:line="360" w:lineRule="auto"/>
              <w:ind w:firstLine="0"/>
              <w:rPr>
                <w:sz w:val="22"/>
                <w:szCs w:val="22"/>
                <w:lang w:val="ru-RU"/>
              </w:rPr>
            </w:pPr>
            <w:r>
              <w:rPr>
                <w:sz w:val="22"/>
                <w:szCs w:val="22"/>
                <w:lang w:val="ru-RU"/>
              </w:rPr>
              <w:t>Экхимозы (очаги менее 10 </w:t>
            </w:r>
            <w:r w:rsidRPr="002E0659">
              <w:rPr>
                <w:sz w:val="22"/>
                <w:szCs w:val="22"/>
                <w:lang w:val="ru-RU"/>
              </w:rPr>
              <w:t>см в диаметре)</w:t>
            </w:r>
          </w:p>
          <w:p w14:paraId="49C03FB2" w14:textId="77777777" w:rsidR="002C2CFC" w:rsidRPr="002E0659" w:rsidRDefault="002C2CFC" w:rsidP="002D3EBF">
            <w:pPr>
              <w:pStyle w:val="table-text-0"/>
              <w:spacing w:before="0" w:line="360" w:lineRule="auto"/>
              <w:ind w:firstLine="0"/>
              <w:rPr>
                <w:sz w:val="22"/>
                <w:szCs w:val="22"/>
                <w:lang w:val="ru-RU"/>
              </w:rPr>
            </w:pPr>
            <w:r w:rsidRPr="002E0659">
              <w:rPr>
                <w:sz w:val="22"/>
                <w:szCs w:val="22"/>
                <w:lang w:val="ru-RU"/>
              </w:rPr>
              <w:t>Ротоглоточные кровотечения</w:t>
            </w:r>
          </w:p>
          <w:p w14:paraId="6F5869F3" w14:textId="77777777" w:rsidR="002C2CFC" w:rsidRPr="002E0659" w:rsidRDefault="002C2CFC" w:rsidP="002D3EBF">
            <w:pPr>
              <w:pStyle w:val="table-text-0"/>
              <w:spacing w:before="0" w:line="360" w:lineRule="auto"/>
              <w:ind w:firstLine="0"/>
              <w:rPr>
                <w:sz w:val="22"/>
                <w:szCs w:val="22"/>
                <w:lang w:val="ru-RU"/>
              </w:rPr>
            </w:pPr>
            <w:r w:rsidRPr="002E0659">
              <w:rPr>
                <w:sz w:val="22"/>
                <w:szCs w:val="22"/>
                <w:lang w:val="ru-RU"/>
              </w:rPr>
              <w:t>Кровоизлияния в конъюнктиву</w:t>
            </w:r>
          </w:p>
          <w:p w14:paraId="2DE58AC3" w14:textId="77777777" w:rsidR="002C2CFC" w:rsidRPr="002E0659" w:rsidRDefault="002C2CFC" w:rsidP="002D3EBF">
            <w:pPr>
              <w:pStyle w:val="table-text-0"/>
              <w:spacing w:before="0" w:line="360" w:lineRule="auto"/>
              <w:ind w:firstLine="0"/>
              <w:rPr>
                <w:sz w:val="22"/>
                <w:szCs w:val="22"/>
                <w:lang w:val="ru-RU"/>
              </w:rPr>
            </w:pPr>
            <w:r w:rsidRPr="002E0659">
              <w:rPr>
                <w:sz w:val="22"/>
                <w:szCs w:val="22"/>
                <w:lang w:val="ru-RU"/>
              </w:rPr>
              <w:t>Носовые кровотечения продолжительностью менее 1</w:t>
            </w:r>
            <w:r>
              <w:rPr>
                <w:sz w:val="22"/>
                <w:szCs w:val="22"/>
                <w:lang w:val="ru-RU"/>
              </w:rPr>
              <w:t> </w:t>
            </w:r>
            <w:r w:rsidRPr="002E0659">
              <w:rPr>
                <w:sz w:val="22"/>
                <w:szCs w:val="22"/>
                <w:lang w:val="ru-RU"/>
              </w:rPr>
              <w:t>часа</w:t>
            </w:r>
            <w:r>
              <w:rPr>
                <w:sz w:val="22"/>
                <w:szCs w:val="22"/>
                <w:lang w:val="ru-RU"/>
              </w:rPr>
              <w:t>,</w:t>
            </w:r>
            <w:r w:rsidRPr="002E0659">
              <w:rPr>
                <w:sz w:val="22"/>
                <w:szCs w:val="22"/>
                <w:lang w:val="ru-RU"/>
              </w:rPr>
              <w:t xml:space="preserve"> не требующие вмешательства</w:t>
            </w:r>
          </w:p>
          <w:p w14:paraId="5A091B80" w14:textId="77777777" w:rsidR="002C2CFC" w:rsidRPr="002E0659" w:rsidRDefault="002C2CFC" w:rsidP="002D3EBF">
            <w:pPr>
              <w:pStyle w:val="table-text-0"/>
              <w:spacing w:before="0" w:line="360" w:lineRule="auto"/>
              <w:ind w:firstLine="0"/>
              <w:rPr>
                <w:sz w:val="22"/>
                <w:szCs w:val="22"/>
                <w:lang w:val="ru-RU"/>
              </w:rPr>
            </w:pPr>
            <w:r w:rsidRPr="002E0659">
              <w:rPr>
                <w:sz w:val="22"/>
                <w:szCs w:val="22"/>
                <w:lang w:val="ru-RU"/>
              </w:rPr>
              <w:t xml:space="preserve">Аномальные ациклические маточные кровотечения (менее </w:t>
            </w:r>
            <w:r>
              <w:rPr>
                <w:sz w:val="22"/>
                <w:szCs w:val="22"/>
                <w:lang w:val="ru-RU"/>
              </w:rPr>
              <w:t xml:space="preserve">двух </w:t>
            </w:r>
            <w:r w:rsidRPr="002E0659">
              <w:rPr>
                <w:sz w:val="22"/>
                <w:szCs w:val="22"/>
                <w:lang w:val="ru-RU"/>
              </w:rPr>
              <w:t xml:space="preserve">прокладок в </w:t>
            </w:r>
            <w:r>
              <w:rPr>
                <w:sz w:val="22"/>
                <w:szCs w:val="22"/>
                <w:lang w:val="ru-RU"/>
              </w:rPr>
              <w:t>сутки</w:t>
            </w:r>
            <w:r w:rsidRPr="002E0659">
              <w:rPr>
                <w:sz w:val="22"/>
                <w:szCs w:val="22"/>
                <w:lang w:val="ru-RU"/>
              </w:rPr>
              <w:t>)</w:t>
            </w:r>
          </w:p>
        </w:tc>
      </w:tr>
      <w:tr w:rsidR="002C2CFC" w:rsidRPr="004C7AAC" w14:paraId="08C3EEDF" w14:textId="77777777" w:rsidTr="002D3EBF">
        <w:tc>
          <w:tcPr>
            <w:tcW w:w="9121" w:type="dxa"/>
            <w:shd w:val="clear" w:color="auto" w:fill="auto"/>
          </w:tcPr>
          <w:p w14:paraId="4A5A643A" w14:textId="77777777" w:rsidR="002C2CFC" w:rsidRPr="002E0659" w:rsidRDefault="002C2CFC" w:rsidP="002D3EBF">
            <w:pPr>
              <w:pStyle w:val="table-text-1"/>
              <w:spacing w:before="0" w:after="0" w:line="360" w:lineRule="auto"/>
              <w:rPr>
                <w:sz w:val="22"/>
                <w:szCs w:val="22"/>
              </w:rPr>
            </w:pPr>
            <w:r w:rsidRPr="002E0659">
              <w:rPr>
                <w:sz w:val="22"/>
                <w:szCs w:val="22"/>
              </w:rPr>
              <w:t>2 степень (</w:t>
            </w:r>
            <w:r>
              <w:rPr>
                <w:sz w:val="22"/>
                <w:szCs w:val="22"/>
              </w:rPr>
              <w:t xml:space="preserve">в основном </w:t>
            </w:r>
            <w:r w:rsidRPr="002E0659">
              <w:rPr>
                <w:sz w:val="22"/>
                <w:szCs w:val="22"/>
              </w:rPr>
              <w:t>не требуют трансфузии)</w:t>
            </w:r>
          </w:p>
        </w:tc>
      </w:tr>
      <w:tr w:rsidR="002C2CFC" w:rsidRPr="004C7AAC" w14:paraId="3A87E78B" w14:textId="77777777" w:rsidTr="002D3EBF">
        <w:tc>
          <w:tcPr>
            <w:tcW w:w="9121" w:type="dxa"/>
            <w:shd w:val="clear" w:color="auto" w:fill="auto"/>
          </w:tcPr>
          <w:p w14:paraId="5FAFA6C5" w14:textId="77777777" w:rsidR="002C2CFC" w:rsidRPr="002E0659" w:rsidRDefault="002C2CFC" w:rsidP="002D3EBF">
            <w:pPr>
              <w:pStyle w:val="table-text-0"/>
              <w:spacing w:before="0" w:line="360" w:lineRule="auto"/>
              <w:ind w:firstLine="0"/>
              <w:rPr>
                <w:sz w:val="22"/>
                <w:szCs w:val="22"/>
                <w:lang w:val="ru-RU"/>
              </w:rPr>
            </w:pPr>
            <w:r w:rsidRPr="002E0659">
              <w:rPr>
                <w:sz w:val="22"/>
                <w:szCs w:val="22"/>
                <w:lang w:val="ru-RU"/>
              </w:rPr>
              <w:t>Экхимозы (более 10</w:t>
            </w:r>
            <w:r>
              <w:rPr>
                <w:sz w:val="22"/>
                <w:szCs w:val="22"/>
                <w:lang w:val="ru-RU"/>
              </w:rPr>
              <w:t> </w:t>
            </w:r>
            <w:r w:rsidRPr="002E0659">
              <w:rPr>
                <w:sz w:val="22"/>
                <w:szCs w:val="22"/>
                <w:lang w:val="ru-RU"/>
              </w:rPr>
              <w:t>см в диаметре)</w:t>
            </w:r>
          </w:p>
          <w:p w14:paraId="709DB186" w14:textId="77777777" w:rsidR="002C2CFC" w:rsidRPr="002E0659" w:rsidRDefault="002C2CFC" w:rsidP="002D3EBF">
            <w:pPr>
              <w:pStyle w:val="table-text-0"/>
              <w:spacing w:before="0" w:line="360" w:lineRule="auto"/>
              <w:ind w:firstLine="0"/>
              <w:rPr>
                <w:sz w:val="22"/>
                <w:szCs w:val="22"/>
                <w:lang w:val="ru-RU"/>
              </w:rPr>
            </w:pPr>
            <w:r w:rsidRPr="002E0659">
              <w:rPr>
                <w:sz w:val="22"/>
                <w:szCs w:val="22"/>
                <w:lang w:val="ru-RU"/>
              </w:rPr>
              <w:t>Гематомы</w:t>
            </w:r>
          </w:p>
          <w:p w14:paraId="6CB05956" w14:textId="77777777" w:rsidR="002C2CFC" w:rsidRPr="002E0659" w:rsidRDefault="002C2CFC" w:rsidP="002D3EBF">
            <w:pPr>
              <w:pStyle w:val="table-text-0"/>
              <w:spacing w:before="0" w:line="360" w:lineRule="auto"/>
              <w:ind w:firstLine="0"/>
              <w:rPr>
                <w:sz w:val="22"/>
                <w:szCs w:val="22"/>
                <w:lang w:val="ru-RU"/>
              </w:rPr>
            </w:pPr>
            <w:r w:rsidRPr="002E0659">
              <w:rPr>
                <w:sz w:val="22"/>
                <w:szCs w:val="22"/>
                <w:lang w:val="ru-RU"/>
              </w:rPr>
              <w:t>Носовые кровотечения продолжительностью более 1</w:t>
            </w:r>
            <w:r>
              <w:rPr>
                <w:sz w:val="22"/>
                <w:szCs w:val="22"/>
                <w:lang w:val="ru-RU"/>
              </w:rPr>
              <w:t> </w:t>
            </w:r>
            <w:r w:rsidRPr="002E0659">
              <w:rPr>
                <w:sz w:val="22"/>
                <w:szCs w:val="22"/>
                <w:lang w:val="ru-RU"/>
              </w:rPr>
              <w:t>часа или требующие тампонады</w:t>
            </w:r>
          </w:p>
          <w:p w14:paraId="44603B97" w14:textId="77777777" w:rsidR="002C2CFC" w:rsidRPr="002E0659" w:rsidRDefault="002C2CFC" w:rsidP="002D3EBF">
            <w:pPr>
              <w:pStyle w:val="table-text-0"/>
              <w:spacing w:before="0" w:line="360" w:lineRule="auto"/>
              <w:ind w:firstLine="0"/>
              <w:rPr>
                <w:sz w:val="22"/>
                <w:szCs w:val="22"/>
                <w:lang w:val="ru-RU"/>
              </w:rPr>
            </w:pPr>
            <w:r w:rsidRPr="002E0659">
              <w:rPr>
                <w:sz w:val="22"/>
                <w:szCs w:val="22"/>
                <w:lang w:val="ru-RU"/>
              </w:rPr>
              <w:t>Кровоизлияния в сетчатку без ухудшения зрения</w:t>
            </w:r>
          </w:p>
          <w:p w14:paraId="3ADAF9BB" w14:textId="77777777" w:rsidR="002C2CFC" w:rsidRPr="002E0659" w:rsidRDefault="002C2CFC" w:rsidP="002D3EBF">
            <w:pPr>
              <w:pStyle w:val="table-text-0"/>
              <w:spacing w:before="0" w:line="360" w:lineRule="auto"/>
              <w:ind w:firstLine="0"/>
              <w:rPr>
                <w:sz w:val="22"/>
                <w:szCs w:val="22"/>
                <w:lang w:val="ru-RU"/>
              </w:rPr>
            </w:pPr>
            <w:r w:rsidRPr="002E0659">
              <w:rPr>
                <w:sz w:val="22"/>
                <w:szCs w:val="22"/>
                <w:lang w:val="ru-RU"/>
              </w:rPr>
              <w:t xml:space="preserve">Аномальные ациклические маточные кровотечения (более </w:t>
            </w:r>
            <w:r>
              <w:rPr>
                <w:sz w:val="22"/>
                <w:szCs w:val="22"/>
                <w:lang w:val="ru-RU"/>
              </w:rPr>
              <w:t xml:space="preserve">двух </w:t>
            </w:r>
            <w:r w:rsidRPr="002E0659">
              <w:rPr>
                <w:sz w:val="22"/>
                <w:szCs w:val="22"/>
                <w:lang w:val="ru-RU"/>
              </w:rPr>
              <w:t xml:space="preserve">прокладок в </w:t>
            </w:r>
            <w:r>
              <w:rPr>
                <w:sz w:val="22"/>
                <w:szCs w:val="22"/>
                <w:lang w:val="ru-RU"/>
              </w:rPr>
              <w:t>сутки</w:t>
            </w:r>
            <w:r w:rsidRPr="002E0659">
              <w:rPr>
                <w:sz w:val="22"/>
                <w:szCs w:val="22"/>
                <w:lang w:val="ru-RU"/>
              </w:rPr>
              <w:t>)</w:t>
            </w:r>
          </w:p>
          <w:p w14:paraId="7DAB47A8" w14:textId="77777777" w:rsidR="002C2CFC" w:rsidRPr="002E0659" w:rsidRDefault="002C2CFC" w:rsidP="002D3EBF">
            <w:pPr>
              <w:pStyle w:val="table-text-0"/>
              <w:spacing w:before="0" w:line="360" w:lineRule="auto"/>
              <w:ind w:firstLine="0"/>
              <w:rPr>
                <w:sz w:val="22"/>
                <w:szCs w:val="22"/>
                <w:lang w:val="ru-RU"/>
              </w:rPr>
            </w:pPr>
            <w:r w:rsidRPr="002E0659">
              <w:rPr>
                <w:sz w:val="22"/>
                <w:szCs w:val="22"/>
                <w:lang w:val="ru-RU"/>
              </w:rPr>
              <w:t>Мелена, рвота с кровью, кровохарканье, гематурия, стул с кровью</w:t>
            </w:r>
          </w:p>
          <w:p w14:paraId="2EE8F83C" w14:textId="77777777" w:rsidR="002C2CFC" w:rsidRPr="00360841" w:rsidRDefault="002C2CFC" w:rsidP="002D3EBF">
            <w:pPr>
              <w:pStyle w:val="table-text-0"/>
              <w:spacing w:before="0" w:line="360" w:lineRule="auto"/>
              <w:ind w:firstLine="0"/>
              <w:rPr>
                <w:sz w:val="24"/>
                <w:szCs w:val="24"/>
                <w:lang w:val="ru-RU"/>
              </w:rPr>
            </w:pPr>
            <w:r w:rsidRPr="002E0659">
              <w:rPr>
                <w:sz w:val="22"/>
                <w:szCs w:val="22"/>
                <w:lang w:val="ru-RU"/>
              </w:rPr>
              <w:t>Кровотечения после инвазивных вмешательств, мышечно-суставные кровоизлияния</w:t>
            </w:r>
          </w:p>
        </w:tc>
      </w:tr>
      <w:tr w:rsidR="002C2CFC" w:rsidRPr="004C7AAC" w14:paraId="1A635EAA" w14:textId="77777777" w:rsidTr="002D3EBF">
        <w:tc>
          <w:tcPr>
            <w:tcW w:w="9121" w:type="dxa"/>
            <w:shd w:val="clear" w:color="auto" w:fill="auto"/>
          </w:tcPr>
          <w:p w14:paraId="0ACA9FDC" w14:textId="77777777" w:rsidR="002C2CFC" w:rsidRPr="004C7AAC" w:rsidRDefault="002C2CFC" w:rsidP="002D3EBF">
            <w:pPr>
              <w:pStyle w:val="table-text-1"/>
              <w:spacing w:before="0" w:after="0" w:line="360" w:lineRule="auto"/>
              <w:rPr>
                <w:b/>
                <w:i/>
                <w:sz w:val="24"/>
                <w:szCs w:val="24"/>
              </w:rPr>
            </w:pPr>
            <w:r w:rsidRPr="002E0659">
              <w:rPr>
                <w:sz w:val="22"/>
                <w:szCs w:val="22"/>
              </w:rPr>
              <w:t>3 степень (требуют трансфузии)</w:t>
            </w:r>
          </w:p>
        </w:tc>
      </w:tr>
      <w:tr w:rsidR="002C2CFC" w:rsidRPr="004C7AAC" w14:paraId="2AB70E62" w14:textId="77777777" w:rsidTr="002D3EBF">
        <w:tc>
          <w:tcPr>
            <w:tcW w:w="9121" w:type="dxa"/>
            <w:shd w:val="clear" w:color="auto" w:fill="auto"/>
          </w:tcPr>
          <w:p w14:paraId="71336BE2" w14:textId="77777777" w:rsidR="002C2CFC" w:rsidRPr="002E0659" w:rsidRDefault="002C2CFC" w:rsidP="002D3EBF">
            <w:pPr>
              <w:pStyle w:val="table-text-0"/>
              <w:spacing w:before="0" w:line="360" w:lineRule="auto"/>
              <w:ind w:firstLine="0"/>
              <w:rPr>
                <w:sz w:val="22"/>
                <w:szCs w:val="22"/>
                <w:lang w:val="ru-RU"/>
              </w:rPr>
            </w:pPr>
            <w:r w:rsidRPr="002E0659">
              <w:rPr>
                <w:sz w:val="22"/>
                <w:szCs w:val="22"/>
                <w:lang w:val="ru-RU"/>
              </w:rPr>
              <w:t>Мелена</w:t>
            </w:r>
          </w:p>
          <w:p w14:paraId="5CBEABEB" w14:textId="77777777" w:rsidR="002C2CFC" w:rsidRPr="002E0659" w:rsidRDefault="002C2CFC" w:rsidP="002D3EBF">
            <w:pPr>
              <w:pStyle w:val="table-text-0"/>
              <w:spacing w:before="0" w:line="360" w:lineRule="auto"/>
              <w:ind w:firstLine="0"/>
              <w:rPr>
                <w:sz w:val="22"/>
                <w:szCs w:val="22"/>
                <w:lang w:val="ru-RU"/>
              </w:rPr>
            </w:pPr>
            <w:r w:rsidRPr="002E0659">
              <w:rPr>
                <w:sz w:val="22"/>
                <w:szCs w:val="22"/>
                <w:lang w:val="ru-RU"/>
              </w:rPr>
              <w:t>Рвота с кровью</w:t>
            </w:r>
          </w:p>
          <w:p w14:paraId="19D64917" w14:textId="77777777" w:rsidR="002C2CFC" w:rsidRPr="002E0659" w:rsidRDefault="002C2CFC" w:rsidP="002D3EBF">
            <w:pPr>
              <w:pStyle w:val="table-text-0"/>
              <w:spacing w:before="0" w:line="360" w:lineRule="auto"/>
              <w:ind w:firstLine="0"/>
              <w:rPr>
                <w:sz w:val="22"/>
                <w:szCs w:val="22"/>
                <w:lang w:val="ru-RU"/>
              </w:rPr>
            </w:pPr>
            <w:r w:rsidRPr="002E0659">
              <w:rPr>
                <w:sz w:val="22"/>
                <w:szCs w:val="22"/>
                <w:lang w:val="ru-RU"/>
              </w:rPr>
              <w:t>Кровохарканье</w:t>
            </w:r>
          </w:p>
          <w:p w14:paraId="4CBEAE5A" w14:textId="77777777" w:rsidR="002C2CFC" w:rsidRPr="002E0659" w:rsidRDefault="002C2CFC" w:rsidP="002D3EBF">
            <w:pPr>
              <w:pStyle w:val="table-text-0"/>
              <w:spacing w:before="0" w:line="360" w:lineRule="auto"/>
              <w:ind w:firstLine="0"/>
              <w:rPr>
                <w:sz w:val="22"/>
                <w:szCs w:val="22"/>
                <w:lang w:val="ru-RU"/>
              </w:rPr>
            </w:pPr>
            <w:r w:rsidRPr="002E0659">
              <w:rPr>
                <w:sz w:val="22"/>
                <w:szCs w:val="22"/>
                <w:lang w:val="ru-RU"/>
              </w:rPr>
              <w:t>Гематурия</w:t>
            </w:r>
            <w:r>
              <w:rPr>
                <w:sz w:val="22"/>
                <w:szCs w:val="22"/>
                <w:lang w:val="ru-RU"/>
              </w:rPr>
              <w:t>,</w:t>
            </w:r>
            <w:r w:rsidRPr="002E0659">
              <w:rPr>
                <w:sz w:val="22"/>
                <w:szCs w:val="22"/>
                <w:lang w:val="ru-RU"/>
              </w:rPr>
              <w:t xml:space="preserve"> включая непрекращающееся кровотечение без свертывания </w:t>
            </w:r>
          </w:p>
          <w:p w14:paraId="4A3398F9" w14:textId="77777777" w:rsidR="002C2CFC" w:rsidRPr="002E0659" w:rsidRDefault="002C2CFC" w:rsidP="002D3EBF">
            <w:pPr>
              <w:pStyle w:val="table-text-0"/>
              <w:spacing w:before="0" w:line="360" w:lineRule="auto"/>
              <w:ind w:firstLine="0"/>
              <w:rPr>
                <w:sz w:val="22"/>
                <w:szCs w:val="22"/>
                <w:lang w:val="ru-RU"/>
              </w:rPr>
            </w:pPr>
            <w:r w:rsidRPr="002E0659">
              <w:rPr>
                <w:sz w:val="22"/>
                <w:szCs w:val="22"/>
                <w:lang w:val="ru-RU"/>
              </w:rPr>
              <w:t>Аномальные маточные кровотечения</w:t>
            </w:r>
          </w:p>
          <w:p w14:paraId="38805FF9" w14:textId="77777777" w:rsidR="002C2CFC" w:rsidRPr="002E0659" w:rsidRDefault="002C2CFC" w:rsidP="002D3EBF">
            <w:pPr>
              <w:pStyle w:val="table-text-0"/>
              <w:spacing w:before="0" w:line="360" w:lineRule="auto"/>
              <w:ind w:firstLine="0"/>
              <w:rPr>
                <w:sz w:val="22"/>
                <w:szCs w:val="22"/>
                <w:lang w:val="ru-RU"/>
              </w:rPr>
            </w:pPr>
            <w:r w:rsidRPr="002E0659">
              <w:rPr>
                <w:sz w:val="22"/>
                <w:szCs w:val="22"/>
                <w:lang w:val="ru-RU"/>
              </w:rPr>
              <w:t>Стул с кровью</w:t>
            </w:r>
          </w:p>
          <w:p w14:paraId="2FEEB34B" w14:textId="77777777" w:rsidR="002C2CFC" w:rsidRPr="002E0659" w:rsidRDefault="002C2CFC" w:rsidP="002D3EBF">
            <w:pPr>
              <w:pStyle w:val="table-text-0"/>
              <w:spacing w:before="0" w:line="360" w:lineRule="auto"/>
              <w:ind w:firstLine="0"/>
              <w:rPr>
                <w:sz w:val="22"/>
                <w:szCs w:val="22"/>
                <w:lang w:val="ru-RU"/>
              </w:rPr>
            </w:pPr>
            <w:r w:rsidRPr="002E0659">
              <w:rPr>
                <w:sz w:val="22"/>
                <w:szCs w:val="22"/>
                <w:lang w:val="ru-RU"/>
              </w:rPr>
              <w:t xml:space="preserve">Носовое кровотечение </w:t>
            </w:r>
          </w:p>
          <w:p w14:paraId="736103EF" w14:textId="77777777" w:rsidR="002C2CFC" w:rsidRPr="002E0659" w:rsidRDefault="002C2CFC" w:rsidP="002D3EBF">
            <w:pPr>
              <w:pStyle w:val="table-text-0"/>
              <w:spacing w:before="0" w:line="360" w:lineRule="auto"/>
              <w:ind w:firstLine="0"/>
              <w:rPr>
                <w:sz w:val="22"/>
                <w:szCs w:val="22"/>
                <w:lang w:val="ru-RU"/>
              </w:rPr>
            </w:pPr>
            <w:r w:rsidRPr="00A83EB7">
              <w:rPr>
                <w:sz w:val="22"/>
                <w:szCs w:val="22"/>
                <w:lang w:val="ru-RU"/>
              </w:rPr>
              <w:t>Ротоглоточное кровотечение</w:t>
            </w:r>
          </w:p>
          <w:p w14:paraId="6BE0D0CC" w14:textId="77777777" w:rsidR="002C2CFC" w:rsidRPr="00360841" w:rsidRDefault="002C2CFC" w:rsidP="002D3EBF">
            <w:pPr>
              <w:pStyle w:val="table-text-0"/>
              <w:spacing w:before="0" w:line="360" w:lineRule="auto"/>
              <w:ind w:firstLine="0"/>
              <w:rPr>
                <w:sz w:val="24"/>
                <w:szCs w:val="24"/>
                <w:lang w:val="ru-RU"/>
              </w:rPr>
            </w:pPr>
            <w:r w:rsidRPr="002E0659">
              <w:rPr>
                <w:sz w:val="22"/>
                <w:szCs w:val="22"/>
                <w:lang w:val="ru-RU"/>
              </w:rPr>
              <w:t>Кровотечения после инвазивных вмешательств, мышечно-суставные кровоизлияния или кровоизлияния в мягкие ткани</w:t>
            </w:r>
          </w:p>
        </w:tc>
      </w:tr>
      <w:tr w:rsidR="002C2CFC" w:rsidRPr="004C7AAC" w14:paraId="287C66A4" w14:textId="77777777" w:rsidTr="002D3EBF">
        <w:tc>
          <w:tcPr>
            <w:tcW w:w="9121" w:type="dxa"/>
            <w:shd w:val="clear" w:color="auto" w:fill="auto"/>
          </w:tcPr>
          <w:p w14:paraId="4BAF8B36" w14:textId="77777777" w:rsidR="002C2CFC" w:rsidRPr="004C7AAC" w:rsidRDefault="002C2CFC" w:rsidP="002D3EBF">
            <w:pPr>
              <w:pStyle w:val="table-text-1"/>
              <w:spacing w:before="0" w:after="0" w:line="360" w:lineRule="auto"/>
              <w:rPr>
                <w:b/>
                <w:i/>
                <w:sz w:val="24"/>
                <w:szCs w:val="24"/>
              </w:rPr>
            </w:pPr>
            <w:r w:rsidRPr="002E0659">
              <w:rPr>
                <w:sz w:val="22"/>
                <w:szCs w:val="22"/>
              </w:rPr>
              <w:t>4 степень (требуют трансфузии)</w:t>
            </w:r>
          </w:p>
        </w:tc>
      </w:tr>
      <w:tr w:rsidR="002C2CFC" w:rsidRPr="004C7AAC" w14:paraId="1BFCFBE2" w14:textId="77777777" w:rsidTr="002D3EBF">
        <w:tc>
          <w:tcPr>
            <w:tcW w:w="9121" w:type="dxa"/>
            <w:shd w:val="clear" w:color="auto" w:fill="auto"/>
          </w:tcPr>
          <w:p w14:paraId="477A7B1E" w14:textId="77777777" w:rsidR="002C2CFC" w:rsidRPr="002E0659" w:rsidRDefault="002C2CFC" w:rsidP="002D3EBF">
            <w:pPr>
              <w:pStyle w:val="table-text-0"/>
              <w:spacing w:before="0" w:line="360" w:lineRule="auto"/>
              <w:ind w:firstLine="0"/>
              <w:rPr>
                <w:sz w:val="22"/>
                <w:szCs w:val="22"/>
                <w:lang w:val="ru-RU"/>
              </w:rPr>
            </w:pPr>
            <w:r w:rsidRPr="002E0659">
              <w:rPr>
                <w:sz w:val="22"/>
                <w:szCs w:val="22"/>
                <w:lang w:val="ru-RU"/>
              </w:rPr>
              <w:t>Кровоизлияния в сетчатку с нарушением зрения</w:t>
            </w:r>
          </w:p>
          <w:p w14:paraId="40D20A0F" w14:textId="77777777" w:rsidR="002C2CFC" w:rsidRPr="002E0659" w:rsidRDefault="002C2CFC" w:rsidP="002D3EBF">
            <w:pPr>
              <w:pStyle w:val="table-text-0"/>
              <w:spacing w:before="0" w:line="360" w:lineRule="auto"/>
              <w:ind w:firstLine="0"/>
              <w:rPr>
                <w:sz w:val="22"/>
                <w:szCs w:val="22"/>
                <w:lang w:val="ru-RU"/>
              </w:rPr>
            </w:pPr>
            <w:r w:rsidRPr="002E0659">
              <w:rPr>
                <w:sz w:val="22"/>
                <w:szCs w:val="22"/>
                <w:lang w:val="ru-RU"/>
              </w:rPr>
              <w:t xml:space="preserve">Нефатальные кровоизлияния в </w:t>
            </w:r>
            <w:r>
              <w:rPr>
                <w:sz w:val="22"/>
                <w:szCs w:val="22"/>
                <w:lang w:val="ru-RU"/>
              </w:rPr>
              <w:t>ЦНС</w:t>
            </w:r>
            <w:r w:rsidRPr="002E0659">
              <w:rPr>
                <w:sz w:val="22"/>
                <w:szCs w:val="22"/>
                <w:lang w:val="ru-RU"/>
              </w:rPr>
              <w:t xml:space="preserve"> с невро</w:t>
            </w:r>
            <w:r>
              <w:rPr>
                <w:sz w:val="22"/>
                <w:szCs w:val="22"/>
                <w:lang w:val="ru-RU"/>
              </w:rPr>
              <w:t>логической симптоматикой</w:t>
            </w:r>
          </w:p>
          <w:p w14:paraId="54D8CB52" w14:textId="77777777" w:rsidR="002C2CFC" w:rsidRPr="00360841" w:rsidRDefault="002C2CFC" w:rsidP="002D3EBF">
            <w:pPr>
              <w:pStyle w:val="table-text-0"/>
              <w:spacing w:before="0" w:line="360" w:lineRule="auto"/>
              <w:ind w:firstLine="0"/>
              <w:rPr>
                <w:sz w:val="24"/>
                <w:szCs w:val="24"/>
                <w:lang w:val="ru-RU"/>
              </w:rPr>
            </w:pPr>
            <w:r w:rsidRPr="002E0659">
              <w:rPr>
                <w:sz w:val="22"/>
                <w:szCs w:val="22"/>
                <w:lang w:val="ru-RU"/>
              </w:rPr>
              <w:t>Фатальные кровотечения вне зависимости от источника</w:t>
            </w:r>
          </w:p>
        </w:tc>
      </w:tr>
    </w:tbl>
    <w:p w14:paraId="5357C094" w14:textId="77777777" w:rsidR="002C2CFC" w:rsidRDefault="002C2CFC" w:rsidP="002C2CFC">
      <w:pPr>
        <w:pStyle w:val="3"/>
        <w:spacing w:before="0"/>
        <w:ind w:firstLine="708"/>
        <w:rPr>
          <w:rFonts w:ascii="Times New Roman" w:hAnsi="Times New Roman" w:cs="Times New Roman"/>
          <w:b/>
          <w:u w:val="single"/>
        </w:rPr>
      </w:pPr>
    </w:p>
    <w:p w14:paraId="6883BF6F" w14:textId="77777777" w:rsidR="002C2CFC" w:rsidRPr="00287E25" w:rsidRDefault="002C2CFC" w:rsidP="002C2CFC">
      <w:pPr>
        <w:ind w:firstLine="708"/>
        <w:rPr>
          <w:b/>
          <w:u w:val="single"/>
        </w:rPr>
      </w:pPr>
      <w:r w:rsidRPr="00287E25">
        <w:rPr>
          <w:u w:val="single"/>
        </w:rPr>
        <w:t>Расчет дозы концентрата тромбоцитов для трансфузий</w:t>
      </w:r>
    </w:p>
    <w:p w14:paraId="21540514" w14:textId="77777777" w:rsidR="002C2CFC" w:rsidRPr="001A1BC0" w:rsidRDefault="002C2CFC" w:rsidP="002C2CFC">
      <w:pPr>
        <w:ind w:firstLine="708"/>
      </w:pPr>
      <w:r w:rsidRPr="001A5953">
        <w:t>Количество концентрата тромбоцитов для трансфузии необходимо использовать из расчета 50-70х10</w:t>
      </w:r>
      <w:r>
        <w:rPr>
          <w:vertAlign w:val="superscript"/>
        </w:rPr>
        <w:t>9</w:t>
      </w:r>
      <w:r w:rsidRPr="001A5953">
        <w:t xml:space="preserve"> тромбоцитов на 10</w:t>
      </w:r>
      <w:r>
        <w:t xml:space="preserve"> </w:t>
      </w:r>
      <w:r w:rsidRPr="001A5953">
        <w:t>кг массы тела реципиента или 200-250х10</w:t>
      </w:r>
      <w:r>
        <w:rPr>
          <w:vertAlign w:val="superscript"/>
        </w:rPr>
        <w:t>9</w:t>
      </w:r>
      <w:r w:rsidRPr="001A5953">
        <w:t xml:space="preserve"> тромбоцитов на 1м</w:t>
      </w:r>
      <w:r w:rsidRPr="00A17D81">
        <w:rPr>
          <w:vertAlign w:val="superscript"/>
        </w:rPr>
        <w:t>2</w:t>
      </w:r>
      <w:r w:rsidRPr="001A5953">
        <w:t xml:space="preserve"> поверхности тела реципиента.</w:t>
      </w:r>
    </w:p>
    <w:p w14:paraId="2F539E7E" w14:textId="77777777" w:rsidR="002C2CFC" w:rsidRDefault="002C2CFC" w:rsidP="002C2CFC">
      <w:pPr>
        <w:ind w:firstLine="708"/>
      </w:pPr>
      <w:r>
        <w:t>О</w:t>
      </w:r>
      <w:r w:rsidRPr="001A1BC0">
        <w:t xml:space="preserve">птимальная доза для лечебных трансфузий — спорный вопрос; на основании общего консенсуса, терапевтические трансфузии должны увеличить количество тромбоцитов до уровня, обеспечивающего адекватный гемостаз. </w:t>
      </w:r>
    </w:p>
    <w:p w14:paraId="35F41387" w14:textId="77777777" w:rsidR="002C2CFC" w:rsidRDefault="002C2CFC" w:rsidP="002C2CFC">
      <w:pPr>
        <w:ind w:firstLine="708"/>
        <w:rPr>
          <w:u w:val="single"/>
        </w:rPr>
      </w:pPr>
    </w:p>
    <w:p w14:paraId="6F9DEE05" w14:textId="77777777" w:rsidR="002C2CFC" w:rsidRPr="00287E25" w:rsidRDefault="002C2CFC" w:rsidP="002C2CFC">
      <w:pPr>
        <w:ind w:firstLine="708"/>
        <w:rPr>
          <w:b/>
          <w:u w:val="single"/>
        </w:rPr>
      </w:pPr>
      <w:r w:rsidRPr="00287E25">
        <w:rPr>
          <w:u w:val="single"/>
        </w:rPr>
        <w:t>Критерии эффективности трансфузий концентрата тромбоцитов</w:t>
      </w:r>
    </w:p>
    <w:p w14:paraId="18C116B4" w14:textId="77777777" w:rsidR="002C2CFC" w:rsidRPr="00A17D81" w:rsidRDefault="002C2CFC" w:rsidP="002C2CFC">
      <w:pPr>
        <w:ind w:firstLine="708"/>
        <w:contextualSpacing/>
      </w:pPr>
      <w:r w:rsidRPr="003B6BB6">
        <w:rPr>
          <w:i/>
        </w:rPr>
        <w:t xml:space="preserve">Клиническими критериями </w:t>
      </w:r>
      <w:r w:rsidRPr="00A17D81">
        <w:t xml:space="preserve">эффективности трансфузии </w:t>
      </w:r>
      <w:r>
        <w:t xml:space="preserve">концентрата </w:t>
      </w:r>
      <w:r w:rsidRPr="00A17D81">
        <w:t>тромбоцитов являются прекращение или уменьшение выраженности спонтанной кровоточивости, отсутствие свежих геморрагий на коже и видимых слизистых.</w:t>
      </w:r>
    </w:p>
    <w:p w14:paraId="4290A59F" w14:textId="77777777" w:rsidR="002C2CFC" w:rsidRPr="00A17D81" w:rsidRDefault="002C2CFC" w:rsidP="002C2CFC">
      <w:pPr>
        <w:ind w:firstLine="708"/>
        <w:contextualSpacing/>
      </w:pPr>
      <w:r w:rsidRPr="003B6BB6">
        <w:rPr>
          <w:i/>
        </w:rPr>
        <w:t xml:space="preserve">Лабораторными </w:t>
      </w:r>
      <w:r>
        <w:rPr>
          <w:i/>
        </w:rPr>
        <w:t>критериями</w:t>
      </w:r>
      <w:r w:rsidRPr="00A17D81">
        <w:t xml:space="preserve"> эффективности переливания тромбоцитов являются увеличение количества циркулирующих тромбоцитов — абсолютный прирост тромбоцитов (АПТ) или скорректированный прирост тромбоцитов (СПТ) через 1 час и 18—24 ч после окончания трансфузии, а также показатели максимальной амплитуды на тромбоэластограмме.</w:t>
      </w:r>
    </w:p>
    <w:p w14:paraId="422EA160" w14:textId="77777777" w:rsidR="002C2CFC" w:rsidRPr="00A17D81" w:rsidRDefault="002C2CFC" w:rsidP="002C2CFC">
      <w:pPr>
        <w:ind w:firstLine="708"/>
        <w:contextualSpacing/>
        <w:rPr>
          <w:bCs/>
        </w:rPr>
      </w:pPr>
      <w:r w:rsidRPr="00A17D81">
        <w:rPr>
          <w:color w:val="000000"/>
        </w:rPr>
        <w:t xml:space="preserve">Трансфузию считают эффективной, если абсолютный прирост тромбоцитов через 1 час составил </w:t>
      </w:r>
      <w:r w:rsidRPr="00A17D81">
        <w:t>10</w:t>
      </w:r>
      <w:r>
        <w:t>х</w:t>
      </w:r>
      <w:r w:rsidRPr="00A17D81">
        <w:t>10</w:t>
      </w:r>
      <w:r w:rsidRPr="00A17D81">
        <w:rPr>
          <w:vertAlign w:val="superscript"/>
        </w:rPr>
        <w:t>9</w:t>
      </w:r>
      <w:r w:rsidRPr="00A17D81">
        <w:t>/л от исходного уровня.</w:t>
      </w:r>
      <w:r>
        <w:t xml:space="preserve"> </w:t>
      </w:r>
      <w:r w:rsidRPr="00A17D81">
        <w:rPr>
          <w:bCs/>
        </w:rPr>
        <w:t>Для стандартизации оценки эффективности трансфузий скорректированный прирост тромбоцитов рассчитывается по формуле и выража</w:t>
      </w:r>
      <w:r>
        <w:rPr>
          <w:bCs/>
        </w:rPr>
        <w:t>ется в расчетных единицах (РЕ)</w:t>
      </w:r>
      <w:r w:rsidRPr="00A17D81">
        <w:rPr>
          <w:bCs/>
        </w:rPr>
        <w:t>:</w:t>
      </w:r>
    </w:p>
    <w:p w14:paraId="11F1A6D6" w14:textId="77777777" w:rsidR="002C2CFC" w:rsidRPr="00A17D81" w:rsidRDefault="002C2CFC" w:rsidP="002C2CFC">
      <w:pPr>
        <w:pStyle w:val="formula"/>
        <w:spacing w:before="0" w:after="0" w:line="360" w:lineRule="auto"/>
        <w:rPr>
          <w:sz w:val="24"/>
          <w:szCs w:val="24"/>
        </w:rPr>
      </w:pPr>
      <w:r w:rsidRPr="00A17D81">
        <w:rPr>
          <w:sz w:val="24"/>
          <w:szCs w:val="24"/>
        </w:rPr>
        <w:t>СПТ = (АПТ </w:t>
      </w:r>
      <w:r>
        <w:rPr>
          <w:sz w:val="24"/>
          <w:szCs w:val="24"/>
        </w:rPr>
        <w:t xml:space="preserve">х </w:t>
      </w:r>
      <w:r w:rsidRPr="00A17D81">
        <w:rPr>
          <w:sz w:val="24"/>
          <w:szCs w:val="24"/>
        </w:rPr>
        <w:t>площадь поверхности тела, м</w:t>
      </w:r>
      <w:r w:rsidRPr="00A17D81">
        <w:rPr>
          <w:sz w:val="24"/>
          <w:szCs w:val="24"/>
          <w:vertAlign w:val="superscript"/>
        </w:rPr>
        <w:t>2</w:t>
      </w:r>
      <w:r w:rsidRPr="00A17D81">
        <w:rPr>
          <w:sz w:val="24"/>
          <w:szCs w:val="24"/>
        </w:rPr>
        <w:t xml:space="preserve">) / количество перелитых тромбоцитов </w:t>
      </w:r>
      <w:r>
        <w:rPr>
          <w:sz w:val="24"/>
          <w:szCs w:val="24"/>
        </w:rPr>
        <w:t>х</w:t>
      </w:r>
      <w:r w:rsidRPr="00A17D81">
        <w:rPr>
          <w:sz w:val="24"/>
          <w:szCs w:val="24"/>
        </w:rPr>
        <w:t> 10</w:t>
      </w:r>
      <w:r w:rsidRPr="00A17D81">
        <w:rPr>
          <w:sz w:val="24"/>
          <w:szCs w:val="24"/>
          <w:vertAlign w:val="superscript"/>
        </w:rPr>
        <w:t>11</w:t>
      </w:r>
    </w:p>
    <w:p w14:paraId="7E9A13BD" w14:textId="77777777" w:rsidR="002C2CFC" w:rsidRPr="00D77CA7" w:rsidRDefault="002C2CFC" w:rsidP="002C2CFC">
      <w:pPr>
        <w:ind w:firstLine="227"/>
        <w:contextualSpacing/>
      </w:pPr>
      <w:r w:rsidRPr="00A17D81">
        <w:t>Трансфузию считают эффективной, если СПТ через 1 час составил &gt; 7,5 РЕ, а СПТ через 24 ч &gt; 4,5 РЕ.</w:t>
      </w:r>
      <w:r>
        <w:t xml:space="preserve"> </w:t>
      </w:r>
      <w:r w:rsidRPr="00A17D81">
        <w:t>В случае неэффективности трансфузий необходимо определить возможные причины. При возникновении рефрактерности к трансфузиям или наличия в анамнезе посттрансфузионных реакций и осложнений показан индивидуал</w:t>
      </w:r>
      <w:r>
        <w:t xml:space="preserve">ьный подбор тромбоцитов донора, применение плазмафереза (см. Приложение </w:t>
      </w:r>
      <w:r w:rsidRPr="00D77CA7">
        <w:t>«Лечебный цитаферез и плазмаферез при гематологических заболеваниях»).</w:t>
      </w:r>
    </w:p>
    <w:p w14:paraId="77F43C1B" w14:textId="77777777" w:rsidR="002C2CFC" w:rsidRDefault="002C2CFC" w:rsidP="002C2CFC">
      <w:pPr>
        <w:rPr>
          <w:i/>
          <w:iCs/>
          <w:u w:val="single"/>
        </w:rPr>
      </w:pPr>
    </w:p>
    <w:p w14:paraId="6FB2E126" w14:textId="77777777" w:rsidR="002C2CFC" w:rsidRPr="00287E25" w:rsidRDefault="002C2CFC" w:rsidP="002C2CFC">
      <w:pPr>
        <w:rPr>
          <w:b/>
          <w:i/>
          <w:iCs/>
          <w:u w:val="single"/>
        </w:rPr>
      </w:pPr>
      <w:r w:rsidRPr="00287E25">
        <w:rPr>
          <w:i/>
          <w:iCs/>
          <w:u w:val="single"/>
        </w:rPr>
        <w:t>Трансфузии СЗП</w:t>
      </w:r>
    </w:p>
    <w:p w14:paraId="3C746D0F" w14:textId="77777777" w:rsidR="002C2CFC" w:rsidRPr="00287E25" w:rsidRDefault="002C2CFC" w:rsidP="002C2CFC">
      <w:pPr>
        <w:ind w:firstLine="349"/>
        <w:rPr>
          <w:b/>
          <w:u w:val="single"/>
        </w:rPr>
      </w:pPr>
      <w:r w:rsidRPr="00287E25">
        <w:rPr>
          <w:u w:val="single"/>
        </w:rPr>
        <w:t>Показания к переливанию СЗП:</w:t>
      </w:r>
    </w:p>
    <w:p w14:paraId="5988B4D6" w14:textId="77777777" w:rsidR="002C2CFC" w:rsidRPr="003B52EE" w:rsidRDefault="002C2CFC" w:rsidP="00077D58">
      <w:pPr>
        <w:pStyle w:val="FitzBullet"/>
        <w:numPr>
          <w:ilvl w:val="0"/>
          <w:numId w:val="146"/>
        </w:numPr>
        <w:tabs>
          <w:tab w:val="clear" w:pos="317"/>
          <w:tab w:val="left" w:pos="144"/>
        </w:tabs>
        <w:spacing w:before="0" w:after="0" w:line="360" w:lineRule="auto"/>
        <w:ind w:left="709"/>
        <w:jc w:val="both"/>
      </w:pPr>
      <w:r w:rsidRPr="003B52EE">
        <w:t xml:space="preserve">Экстренная реверсия действия непрямых антикоагулянтов (варфарин); переливают </w:t>
      </w:r>
      <w:r>
        <w:t xml:space="preserve">СЗП из расчета </w:t>
      </w:r>
      <w:r w:rsidRPr="003B52EE">
        <w:t>5—8 мл/кг.</w:t>
      </w:r>
    </w:p>
    <w:p w14:paraId="6C8E4E28" w14:textId="77777777" w:rsidR="002C2CFC" w:rsidRPr="003B52EE" w:rsidRDefault="002C2CFC" w:rsidP="00077D58">
      <w:pPr>
        <w:pStyle w:val="FitzBullet"/>
        <w:numPr>
          <w:ilvl w:val="0"/>
          <w:numId w:val="146"/>
        </w:numPr>
        <w:tabs>
          <w:tab w:val="clear" w:pos="317"/>
          <w:tab w:val="left" w:pos="144"/>
        </w:tabs>
        <w:spacing w:before="0" w:after="0" w:line="360" w:lineRule="auto"/>
        <w:ind w:left="709"/>
        <w:jc w:val="both"/>
      </w:pPr>
      <w:r w:rsidRPr="003B52EE">
        <w:lastRenderedPageBreak/>
        <w:t>Коррекция дефицита известного фактора свертывания, для которого нет в наличии специфического концентрата. Для достижения 30% концентрации факторов в плазме необходимо переливать СЗП в количестве 10—15 мл/кг.</w:t>
      </w:r>
    </w:p>
    <w:p w14:paraId="2A593B42" w14:textId="77777777" w:rsidR="002C2CFC" w:rsidRPr="003B52EE" w:rsidRDefault="002C2CFC" w:rsidP="00077D58">
      <w:pPr>
        <w:pStyle w:val="FitzBullet"/>
        <w:numPr>
          <w:ilvl w:val="0"/>
          <w:numId w:val="146"/>
        </w:numPr>
        <w:tabs>
          <w:tab w:val="clear" w:pos="317"/>
          <w:tab w:val="left" w:pos="144"/>
        </w:tabs>
        <w:spacing w:before="0" w:after="0" w:line="360" w:lineRule="auto"/>
        <w:ind w:left="709"/>
        <w:jc w:val="both"/>
      </w:pPr>
      <w:r w:rsidRPr="003B52EE">
        <w:t>Коррекция геморрагического синдрома при увеличении (&gt; 1,5 раз по сравнению с нормой) ПВ или АЧТВ.</w:t>
      </w:r>
    </w:p>
    <w:p w14:paraId="3C432E04" w14:textId="77777777" w:rsidR="002C2CFC" w:rsidRPr="003B52EE" w:rsidRDefault="002C2CFC" w:rsidP="00077D58">
      <w:pPr>
        <w:pStyle w:val="FitzBullet"/>
        <w:numPr>
          <w:ilvl w:val="0"/>
          <w:numId w:val="146"/>
        </w:numPr>
        <w:tabs>
          <w:tab w:val="clear" w:pos="317"/>
          <w:tab w:val="left" w:pos="144"/>
        </w:tabs>
        <w:spacing w:before="0" w:after="0" w:line="360" w:lineRule="auto"/>
        <w:ind w:left="709"/>
        <w:jc w:val="both"/>
      </w:pPr>
      <w:r>
        <w:t>В</w:t>
      </w:r>
      <w:r w:rsidRPr="003B52EE">
        <w:t>озмещени</w:t>
      </w:r>
      <w:r>
        <w:t>е</w:t>
      </w:r>
      <w:r w:rsidRPr="003B52EE">
        <w:t xml:space="preserve"> объема при проведении плазмафереза.</w:t>
      </w:r>
    </w:p>
    <w:p w14:paraId="78491D86" w14:textId="77777777" w:rsidR="002C2CFC" w:rsidRPr="003B52EE" w:rsidRDefault="002C2CFC" w:rsidP="00077D58">
      <w:pPr>
        <w:pStyle w:val="FitzBullet"/>
        <w:numPr>
          <w:ilvl w:val="0"/>
          <w:numId w:val="146"/>
        </w:numPr>
        <w:tabs>
          <w:tab w:val="clear" w:pos="317"/>
          <w:tab w:val="left" w:pos="144"/>
        </w:tabs>
        <w:spacing w:before="0" w:after="0" w:line="360" w:lineRule="auto"/>
        <w:ind w:left="709"/>
        <w:jc w:val="both"/>
      </w:pPr>
      <w:r>
        <w:t>Д</w:t>
      </w:r>
      <w:r w:rsidRPr="003B52EE">
        <w:t>ефицит антитромбина III в ходе терапии аспарагиназой. СЗП вводят в дозе 3—3,5 мл/кг/сут.</w:t>
      </w:r>
    </w:p>
    <w:p w14:paraId="27FEA839" w14:textId="77777777" w:rsidR="002C2CFC" w:rsidRPr="003B52EE" w:rsidRDefault="002C2CFC" w:rsidP="00077D58">
      <w:pPr>
        <w:pStyle w:val="FitzBullet"/>
        <w:numPr>
          <w:ilvl w:val="0"/>
          <w:numId w:val="146"/>
        </w:numPr>
        <w:tabs>
          <w:tab w:val="clear" w:pos="317"/>
          <w:tab w:val="left" w:pos="144"/>
        </w:tabs>
        <w:spacing w:before="0" w:after="0" w:line="360" w:lineRule="auto"/>
        <w:ind w:left="709"/>
        <w:jc w:val="both"/>
      </w:pPr>
      <w:r>
        <w:t>И</w:t>
      </w:r>
      <w:r w:rsidRPr="003B52EE">
        <w:t>нгибиторн</w:t>
      </w:r>
      <w:r>
        <w:t>ая</w:t>
      </w:r>
      <w:r w:rsidRPr="003B52EE">
        <w:t xml:space="preserve"> форм</w:t>
      </w:r>
      <w:r>
        <w:t>а</w:t>
      </w:r>
      <w:r w:rsidRPr="003B52EE">
        <w:t xml:space="preserve"> гемофилии </w:t>
      </w:r>
      <w:r w:rsidRPr="003B52EE">
        <w:rPr>
          <w:lang w:val="en-US"/>
        </w:rPr>
        <w:t>A</w:t>
      </w:r>
      <w:r w:rsidRPr="003B52EE">
        <w:t xml:space="preserve"> и массивны</w:t>
      </w:r>
      <w:r>
        <w:t>е</w:t>
      </w:r>
      <w:r w:rsidRPr="003B52EE">
        <w:t xml:space="preserve"> кровопотер</w:t>
      </w:r>
      <w:r>
        <w:t>и. П</w:t>
      </w:r>
      <w:r w:rsidRPr="003B52EE">
        <w:t>оказано переливание криосупернатантной плазмы (плазма со сниженной концентрацией фактора VIII).</w:t>
      </w:r>
    </w:p>
    <w:p w14:paraId="6F886700" w14:textId="77777777" w:rsidR="002C2CFC" w:rsidRPr="00287E25" w:rsidRDefault="002C2CFC" w:rsidP="002C2CFC">
      <w:pPr>
        <w:ind w:firstLine="349"/>
        <w:rPr>
          <w:b/>
          <w:u w:val="single"/>
        </w:rPr>
      </w:pPr>
      <w:r w:rsidRPr="00287E25">
        <w:rPr>
          <w:u w:val="single"/>
        </w:rPr>
        <w:t>Показания к переливанию криопреципитата</w:t>
      </w:r>
    </w:p>
    <w:p w14:paraId="5EE4521A" w14:textId="77777777" w:rsidR="002C2CFC" w:rsidRPr="003B52EE" w:rsidRDefault="002C2CFC" w:rsidP="00077D58">
      <w:pPr>
        <w:pStyle w:val="FitzBullet"/>
        <w:numPr>
          <w:ilvl w:val="0"/>
          <w:numId w:val="147"/>
        </w:numPr>
        <w:tabs>
          <w:tab w:val="clear" w:pos="317"/>
          <w:tab w:val="left" w:pos="144"/>
        </w:tabs>
        <w:spacing w:before="0" w:after="0" w:line="360" w:lineRule="auto"/>
        <w:ind w:left="709"/>
        <w:jc w:val="both"/>
      </w:pPr>
      <w:r w:rsidRPr="003B52EE">
        <w:t xml:space="preserve">Операции или роды у </w:t>
      </w:r>
      <w:r>
        <w:t>пациентов с</w:t>
      </w:r>
      <w:r w:rsidRPr="003B52EE">
        <w:t xml:space="preserve"> болезнью Виллебранда (при отсутствии эффекта десмопрессина).</w:t>
      </w:r>
    </w:p>
    <w:p w14:paraId="782E86E2" w14:textId="77777777" w:rsidR="002C2CFC" w:rsidRPr="003B52EE" w:rsidRDefault="002C2CFC" w:rsidP="00077D58">
      <w:pPr>
        <w:pStyle w:val="FitzBullet"/>
        <w:numPr>
          <w:ilvl w:val="0"/>
          <w:numId w:val="147"/>
        </w:numPr>
        <w:tabs>
          <w:tab w:val="clear" w:pos="317"/>
          <w:tab w:val="left" w:pos="144"/>
        </w:tabs>
        <w:spacing w:before="0" w:after="0" w:line="360" w:lineRule="auto"/>
        <w:ind w:left="709"/>
        <w:jc w:val="both"/>
      </w:pPr>
      <w:r w:rsidRPr="003B52EE">
        <w:t>Гипофибриногенемия (&lt; 1 г/л).</w:t>
      </w:r>
    </w:p>
    <w:p w14:paraId="2BF98B55" w14:textId="77777777" w:rsidR="002C2CFC" w:rsidRPr="003B52EE" w:rsidRDefault="002C2CFC" w:rsidP="00077D58">
      <w:pPr>
        <w:pStyle w:val="FitzBullet"/>
        <w:numPr>
          <w:ilvl w:val="0"/>
          <w:numId w:val="147"/>
        </w:numPr>
        <w:tabs>
          <w:tab w:val="clear" w:pos="317"/>
          <w:tab w:val="left" w:pos="144"/>
        </w:tabs>
        <w:spacing w:before="0" w:after="0" w:line="360" w:lineRule="auto"/>
        <w:ind w:left="709"/>
        <w:jc w:val="both"/>
      </w:pPr>
      <w:r w:rsidRPr="003B52EE">
        <w:t>Болезнь Виллебранда с геморрагическими осложнениями.</w:t>
      </w:r>
    </w:p>
    <w:p w14:paraId="1F62FFD7" w14:textId="77777777" w:rsidR="002C2CFC" w:rsidRPr="003B52EE" w:rsidRDefault="002C2CFC" w:rsidP="00077D58">
      <w:pPr>
        <w:pStyle w:val="FitzBullet"/>
        <w:numPr>
          <w:ilvl w:val="0"/>
          <w:numId w:val="147"/>
        </w:numPr>
        <w:tabs>
          <w:tab w:val="clear" w:pos="317"/>
          <w:tab w:val="left" w:pos="144"/>
        </w:tabs>
        <w:spacing w:before="0" w:after="0" w:line="360" w:lineRule="auto"/>
        <w:ind w:left="709"/>
        <w:jc w:val="both"/>
      </w:pPr>
      <w:r>
        <w:t>П</w:t>
      </w:r>
      <w:r w:rsidRPr="003B52EE">
        <w:t>ериоперационн</w:t>
      </w:r>
      <w:r>
        <w:t>ый</w:t>
      </w:r>
      <w:r w:rsidRPr="003B52EE">
        <w:t xml:space="preserve"> период или массивны</w:t>
      </w:r>
      <w:r>
        <w:t>е</w:t>
      </w:r>
      <w:r w:rsidRPr="003B52EE">
        <w:t xml:space="preserve"> </w:t>
      </w:r>
      <w:r>
        <w:t>кровотечения при</w:t>
      </w:r>
      <w:r w:rsidRPr="003B52EE">
        <w:t xml:space="preserve"> уровне фибриногена &lt; 1,5 г/л.</w:t>
      </w:r>
    </w:p>
    <w:p w14:paraId="33FDAB48" w14:textId="77777777" w:rsidR="002C2CFC" w:rsidRPr="003B52EE" w:rsidRDefault="002C2CFC" w:rsidP="002C2CFC">
      <w:pPr>
        <w:ind w:firstLine="708"/>
      </w:pPr>
      <w:r w:rsidRPr="003B52EE">
        <w:t xml:space="preserve">Расчетная доза </w:t>
      </w:r>
      <w:r w:rsidRPr="00C019E2">
        <w:rPr>
          <w:iCs/>
        </w:rPr>
        <w:t>криопреципитата</w:t>
      </w:r>
      <w:r w:rsidRPr="003B52EE">
        <w:t xml:space="preserve"> составляет 1 ед на 5 кг массы тела </w:t>
      </w:r>
      <w:r>
        <w:t>пациента</w:t>
      </w:r>
      <w:r w:rsidRPr="003B52EE">
        <w:t xml:space="preserve"> или 15</w:t>
      </w:r>
      <w:r>
        <w:t>—20 ед при массе тела 70 кг</w:t>
      </w:r>
      <w:r w:rsidRPr="003B52EE">
        <w:t>. В 1 единице содержится: фибриногена не менее 140 мг, FVIII — не менее 70 МЕ.</w:t>
      </w:r>
    </w:p>
    <w:p w14:paraId="25A0AA45" w14:textId="77777777" w:rsidR="002C2CFC" w:rsidRDefault="002C2CFC" w:rsidP="002C2CFC">
      <w:pPr>
        <w:ind w:firstLine="708"/>
        <w:rPr>
          <w:u w:val="single"/>
        </w:rPr>
      </w:pPr>
    </w:p>
    <w:p w14:paraId="1FB0ECFD" w14:textId="77777777" w:rsidR="002C2CFC" w:rsidRPr="00287E25" w:rsidRDefault="002C2CFC" w:rsidP="002C2CFC">
      <w:pPr>
        <w:ind w:firstLine="708"/>
        <w:rPr>
          <w:b/>
          <w:u w:val="single"/>
        </w:rPr>
      </w:pPr>
      <w:r w:rsidRPr="00287E25">
        <w:rPr>
          <w:u w:val="single"/>
        </w:rPr>
        <w:t xml:space="preserve">Качество компонентов крови, применяемых при сопроводительной терапии гематологических пациентов </w:t>
      </w:r>
    </w:p>
    <w:p w14:paraId="61806A2B" w14:textId="77777777" w:rsidR="002C2CFC" w:rsidRPr="003B52EE" w:rsidRDefault="002C2CFC" w:rsidP="002C2CFC">
      <w:pPr>
        <w:ind w:firstLine="709"/>
      </w:pPr>
      <w:r>
        <w:t xml:space="preserve">При </w:t>
      </w:r>
      <w:r w:rsidRPr="003B52EE">
        <w:t>гематологически</w:t>
      </w:r>
      <w:r>
        <w:t>х заболеваниях с известными показаниями</w:t>
      </w:r>
      <w:r w:rsidRPr="003B52EE">
        <w:t xml:space="preserve"> </w:t>
      </w:r>
      <w:r>
        <w:t>к неоднократным</w:t>
      </w:r>
      <w:r w:rsidRPr="003B52EE">
        <w:t xml:space="preserve"> трансфузия</w:t>
      </w:r>
      <w:r>
        <w:t>м</w:t>
      </w:r>
      <w:r w:rsidRPr="003B52EE">
        <w:t xml:space="preserve"> компонентов крови</w:t>
      </w:r>
      <w:r>
        <w:t xml:space="preserve"> (лейкозы, лимфомы, миелодиспластические синдромы, апластическая анемия и др), </w:t>
      </w:r>
      <w:r w:rsidRPr="003B52EE">
        <w:t xml:space="preserve">с целью профилактики нежелательных реакций и осложнений, связанных с трансфузиями, </w:t>
      </w:r>
      <w:r>
        <w:t>рекомендуется</w:t>
      </w:r>
      <w:r w:rsidRPr="003B52EE">
        <w:t xml:space="preserve"> использование компонентов крови со следующими характеристиками:</w:t>
      </w:r>
    </w:p>
    <w:p w14:paraId="1675DFAC" w14:textId="77777777" w:rsidR="002C2CFC" w:rsidRPr="003B52EE" w:rsidRDefault="002C2CFC" w:rsidP="00077D58">
      <w:pPr>
        <w:pStyle w:val="FitzBullet"/>
        <w:numPr>
          <w:ilvl w:val="0"/>
          <w:numId w:val="148"/>
        </w:numPr>
        <w:tabs>
          <w:tab w:val="clear" w:pos="317"/>
          <w:tab w:val="left" w:pos="144"/>
        </w:tabs>
        <w:spacing w:before="0" w:after="0" w:line="360" w:lineRule="auto"/>
        <w:ind w:left="709"/>
        <w:jc w:val="both"/>
      </w:pPr>
      <w:r w:rsidRPr="003B52EE">
        <w:t>Лейкоредуцированные — содержание лейкоцитов в дозе переливаемой среды снижено до 1 </w:t>
      </w:r>
      <w:r>
        <w:t>х</w:t>
      </w:r>
      <w:r w:rsidRPr="003B52EE">
        <w:t xml:space="preserve"> 10</w:t>
      </w:r>
      <w:r w:rsidRPr="003B52EE">
        <w:rPr>
          <w:vertAlign w:val="superscript"/>
        </w:rPr>
        <w:t>6</w:t>
      </w:r>
      <w:r w:rsidRPr="003B52EE">
        <w:t> клеток.</w:t>
      </w:r>
    </w:p>
    <w:p w14:paraId="43127A1D" w14:textId="77777777" w:rsidR="002C2CFC" w:rsidRPr="003B52EE" w:rsidRDefault="002C2CFC" w:rsidP="00077D58">
      <w:pPr>
        <w:pStyle w:val="FitzBullet"/>
        <w:numPr>
          <w:ilvl w:val="0"/>
          <w:numId w:val="148"/>
        </w:numPr>
        <w:tabs>
          <w:tab w:val="clear" w:pos="317"/>
          <w:tab w:val="left" w:pos="144"/>
        </w:tabs>
        <w:spacing w:before="0" w:after="0" w:line="360" w:lineRule="auto"/>
        <w:ind w:left="709"/>
        <w:jc w:val="both"/>
      </w:pPr>
      <w:r w:rsidRPr="003B52EE">
        <w:t>Облученные эритроциты и тромбоциты (гамма-излучение или рентегновское излучение в дозе 25—50 Гр).</w:t>
      </w:r>
    </w:p>
    <w:p w14:paraId="36E37FF4" w14:textId="77777777" w:rsidR="002C2CFC" w:rsidRPr="003B52EE" w:rsidRDefault="002C2CFC" w:rsidP="00077D58">
      <w:pPr>
        <w:pStyle w:val="FitzBullet"/>
        <w:numPr>
          <w:ilvl w:val="0"/>
          <w:numId w:val="148"/>
        </w:numPr>
        <w:tabs>
          <w:tab w:val="clear" w:pos="317"/>
          <w:tab w:val="left" w:pos="144"/>
        </w:tabs>
        <w:spacing w:before="0" w:after="0" w:line="360" w:lineRule="auto"/>
        <w:ind w:left="709"/>
        <w:jc w:val="both"/>
      </w:pPr>
      <w:r w:rsidRPr="003B52EE">
        <w:t>Ограничение использования донорской плазмы путем использования взвешивающих растворов для эритроцитов.</w:t>
      </w:r>
    </w:p>
    <w:p w14:paraId="50B0902D" w14:textId="77777777" w:rsidR="002C2CFC" w:rsidRPr="003B52EE" w:rsidRDefault="002C2CFC" w:rsidP="00077D58">
      <w:pPr>
        <w:pStyle w:val="FitzBullet"/>
        <w:numPr>
          <w:ilvl w:val="0"/>
          <w:numId w:val="148"/>
        </w:numPr>
        <w:tabs>
          <w:tab w:val="clear" w:pos="317"/>
          <w:tab w:val="left" w:pos="144"/>
        </w:tabs>
        <w:spacing w:before="0" w:after="0" w:line="360" w:lineRule="auto"/>
        <w:ind w:left="709"/>
        <w:jc w:val="both"/>
      </w:pPr>
      <w:r w:rsidRPr="003B52EE">
        <w:lastRenderedPageBreak/>
        <w:t>После исследования донорской крови на маркеры вирусных инфекций посредством молекулярно-биологических методов.</w:t>
      </w:r>
    </w:p>
    <w:p w14:paraId="2097F4B4" w14:textId="77777777" w:rsidR="002C2CFC" w:rsidRPr="00360841" w:rsidRDefault="002C2CFC" w:rsidP="00077D58">
      <w:pPr>
        <w:pStyle w:val="afe"/>
        <w:numPr>
          <w:ilvl w:val="0"/>
          <w:numId w:val="148"/>
        </w:numPr>
        <w:ind w:left="709"/>
        <w:rPr>
          <w:szCs w:val="24"/>
        </w:rPr>
      </w:pPr>
      <w:r w:rsidRPr="00360841">
        <w:rPr>
          <w:szCs w:val="24"/>
        </w:rPr>
        <w:t>С целью повышения безопасности трансфузий дополнительно могут применяться следующие технологии:</w:t>
      </w:r>
    </w:p>
    <w:p w14:paraId="00935584" w14:textId="77777777" w:rsidR="002C2CFC" w:rsidRPr="003B52EE" w:rsidRDefault="002C2CFC" w:rsidP="00077D58">
      <w:pPr>
        <w:pStyle w:val="FitzBullet"/>
        <w:numPr>
          <w:ilvl w:val="0"/>
          <w:numId w:val="148"/>
        </w:numPr>
        <w:tabs>
          <w:tab w:val="clear" w:pos="317"/>
          <w:tab w:val="left" w:pos="144"/>
        </w:tabs>
        <w:spacing w:before="0" w:after="0" w:line="360" w:lineRule="auto"/>
        <w:ind w:left="709"/>
        <w:jc w:val="both"/>
      </w:pPr>
      <w:r w:rsidRPr="003B52EE">
        <w:t>Инактивация патогенов в концентрате тромбоцитов.</w:t>
      </w:r>
    </w:p>
    <w:p w14:paraId="2F445E4E" w14:textId="77777777" w:rsidR="002C2CFC" w:rsidRPr="003B52EE" w:rsidRDefault="002C2CFC" w:rsidP="00077D58">
      <w:pPr>
        <w:pStyle w:val="FitzBullet"/>
        <w:numPr>
          <w:ilvl w:val="0"/>
          <w:numId w:val="148"/>
        </w:numPr>
        <w:tabs>
          <w:tab w:val="clear" w:pos="317"/>
          <w:tab w:val="left" w:pos="144"/>
        </w:tabs>
        <w:spacing w:before="0" w:after="0" w:line="360" w:lineRule="auto"/>
        <w:ind w:left="709"/>
        <w:jc w:val="both"/>
      </w:pPr>
      <w:r w:rsidRPr="003B52EE">
        <w:t>Применение добавочных растворов для замещения донорской плазмы в концентрате тромбоцитов.</w:t>
      </w:r>
    </w:p>
    <w:p w14:paraId="6CE29666" w14:textId="77777777" w:rsidR="002C2CFC" w:rsidRPr="003B52EE" w:rsidRDefault="002C2CFC" w:rsidP="00077D58">
      <w:pPr>
        <w:pStyle w:val="FitzBullet"/>
        <w:numPr>
          <w:ilvl w:val="0"/>
          <w:numId w:val="148"/>
        </w:numPr>
        <w:tabs>
          <w:tab w:val="clear" w:pos="317"/>
          <w:tab w:val="left" w:pos="144"/>
        </w:tabs>
        <w:spacing w:before="0" w:after="0" w:line="360" w:lineRule="auto"/>
        <w:ind w:left="709"/>
        <w:jc w:val="both"/>
      </w:pPr>
      <w:r w:rsidRPr="003B52EE">
        <w:t>Расширение спектра тестируемых маркеров вирусных инфекций (цитомегаловирус, вирус гепатита </w:t>
      </w:r>
      <w:r w:rsidRPr="003B52EE">
        <w:rPr>
          <w:lang w:val="en-US"/>
        </w:rPr>
        <w:t>B</w:t>
      </w:r>
      <w:r w:rsidRPr="003B52EE">
        <w:t xml:space="preserve">, </w:t>
      </w:r>
      <w:r w:rsidRPr="003B52EE">
        <w:rPr>
          <w:lang w:val="en-US"/>
        </w:rPr>
        <w:t>T</w:t>
      </w:r>
      <w:r w:rsidRPr="003B52EE">
        <w:t>-лимфотропный вирус человека и другие).</w:t>
      </w:r>
    </w:p>
    <w:p w14:paraId="4BB0B802" w14:textId="77777777" w:rsidR="002C2CFC" w:rsidRDefault="002C2CFC" w:rsidP="002C2CFC">
      <w:pPr>
        <w:ind w:firstLine="709"/>
      </w:pPr>
      <w:r w:rsidRPr="003B52EE">
        <w:t>Основные реакции и осложнения, связанные с трансфузией приведены в табл. 3.</w:t>
      </w:r>
    </w:p>
    <w:p w14:paraId="55900B01" w14:textId="77777777" w:rsidR="002C2CFC" w:rsidRDefault="002C2CFC" w:rsidP="002C2CFC">
      <w:pPr>
        <w:rPr>
          <w:bCs/>
        </w:rPr>
      </w:pPr>
    </w:p>
    <w:p w14:paraId="1202FCE2" w14:textId="77777777" w:rsidR="002C2CFC" w:rsidRPr="008E43BE" w:rsidRDefault="002C2CFC" w:rsidP="002C2CFC">
      <w:r w:rsidRPr="008E43BE">
        <w:rPr>
          <w:bCs/>
        </w:rPr>
        <w:t>Таблица 3. Основные реакции и осложнения, связанные с трансфузией (переливанием) компонентов донорской крови</w:t>
      </w:r>
    </w:p>
    <w:tbl>
      <w:tblPr>
        <w:tblW w:w="9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10"/>
        <w:gridCol w:w="2340"/>
        <w:gridCol w:w="2520"/>
        <w:gridCol w:w="2284"/>
      </w:tblGrid>
      <w:tr w:rsidR="002C2CFC" w:rsidRPr="004C7AAC" w14:paraId="22824E0C" w14:textId="77777777" w:rsidTr="002D3EBF">
        <w:trPr>
          <w:jc w:val="center"/>
        </w:trPr>
        <w:tc>
          <w:tcPr>
            <w:tcW w:w="2110" w:type="dxa"/>
          </w:tcPr>
          <w:p w14:paraId="17AC2393" w14:textId="77777777" w:rsidR="002C2CFC" w:rsidRPr="00CA11E8" w:rsidRDefault="002C2CFC" w:rsidP="002D3EBF">
            <w:pPr>
              <w:pStyle w:val="Table-head-italic"/>
              <w:spacing w:line="360" w:lineRule="auto"/>
              <w:jc w:val="center"/>
              <w:rPr>
                <w:i w:val="0"/>
                <w:sz w:val="22"/>
                <w:szCs w:val="22"/>
                <w:lang w:val="ru-RU"/>
              </w:rPr>
            </w:pPr>
            <w:r w:rsidRPr="00CA11E8">
              <w:rPr>
                <w:i w:val="0"/>
                <w:sz w:val="22"/>
                <w:szCs w:val="22"/>
                <w:lang w:val="ru-RU"/>
              </w:rPr>
              <w:t>Реакция (осложнение)</w:t>
            </w:r>
          </w:p>
        </w:tc>
        <w:tc>
          <w:tcPr>
            <w:tcW w:w="2340" w:type="dxa"/>
          </w:tcPr>
          <w:p w14:paraId="41DD7E17" w14:textId="77777777" w:rsidR="002C2CFC" w:rsidRPr="00CA11E8" w:rsidRDefault="002C2CFC" w:rsidP="002D3EBF">
            <w:pPr>
              <w:pStyle w:val="Table-head-italic"/>
              <w:spacing w:line="360" w:lineRule="auto"/>
              <w:jc w:val="center"/>
              <w:rPr>
                <w:i w:val="0"/>
                <w:sz w:val="22"/>
                <w:szCs w:val="22"/>
                <w:lang w:val="ru-RU"/>
              </w:rPr>
            </w:pPr>
            <w:r w:rsidRPr="00CA11E8">
              <w:rPr>
                <w:i w:val="0"/>
                <w:sz w:val="22"/>
                <w:szCs w:val="22"/>
                <w:lang w:val="ru-RU"/>
              </w:rPr>
              <w:t>Причина</w:t>
            </w:r>
          </w:p>
        </w:tc>
        <w:tc>
          <w:tcPr>
            <w:tcW w:w="2520" w:type="dxa"/>
          </w:tcPr>
          <w:p w14:paraId="693B2154" w14:textId="77777777" w:rsidR="002C2CFC" w:rsidRPr="00CA11E8" w:rsidRDefault="002C2CFC" w:rsidP="002D3EBF">
            <w:pPr>
              <w:pStyle w:val="Table-head-italic"/>
              <w:spacing w:line="360" w:lineRule="auto"/>
              <w:jc w:val="center"/>
              <w:rPr>
                <w:i w:val="0"/>
                <w:sz w:val="22"/>
                <w:szCs w:val="22"/>
                <w:lang w:val="ru-RU"/>
              </w:rPr>
            </w:pPr>
            <w:r w:rsidRPr="00CA11E8">
              <w:rPr>
                <w:i w:val="0"/>
                <w:sz w:val="22"/>
                <w:szCs w:val="22"/>
                <w:lang w:val="ru-RU"/>
              </w:rPr>
              <w:t>Лечение</w:t>
            </w:r>
          </w:p>
        </w:tc>
        <w:tc>
          <w:tcPr>
            <w:tcW w:w="2284" w:type="dxa"/>
          </w:tcPr>
          <w:p w14:paraId="1C7A7FB7" w14:textId="77777777" w:rsidR="002C2CFC" w:rsidRPr="00CA11E8" w:rsidRDefault="002C2CFC" w:rsidP="002D3EBF">
            <w:pPr>
              <w:pStyle w:val="Table-head-italic"/>
              <w:spacing w:line="360" w:lineRule="auto"/>
              <w:jc w:val="center"/>
              <w:rPr>
                <w:i w:val="0"/>
                <w:sz w:val="22"/>
                <w:szCs w:val="22"/>
                <w:lang w:val="ru-RU"/>
              </w:rPr>
            </w:pPr>
            <w:r w:rsidRPr="00CA11E8">
              <w:rPr>
                <w:i w:val="0"/>
                <w:sz w:val="22"/>
                <w:szCs w:val="22"/>
                <w:lang w:val="ru-RU"/>
              </w:rPr>
              <w:t>Обязательные и дополнительные лабораторные и инструментальные исследования*</w:t>
            </w:r>
          </w:p>
        </w:tc>
      </w:tr>
      <w:tr w:rsidR="002C2CFC" w:rsidRPr="004C7AAC" w14:paraId="7A0AF5DD" w14:textId="77777777" w:rsidTr="002D3EBF">
        <w:trPr>
          <w:jc w:val="center"/>
        </w:trPr>
        <w:tc>
          <w:tcPr>
            <w:tcW w:w="2110" w:type="dxa"/>
            <w:vAlign w:val="center"/>
          </w:tcPr>
          <w:p w14:paraId="7BF8EF88"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 xml:space="preserve">Острая сердечно-сосудистая недостаточность, отек легких (синдром </w:t>
            </w:r>
            <w:r w:rsidRPr="00CA11E8">
              <w:rPr>
                <w:sz w:val="22"/>
                <w:szCs w:val="22"/>
              </w:rPr>
              <w:t>TACO</w:t>
            </w:r>
            <w:r w:rsidRPr="00CA11E8">
              <w:rPr>
                <w:sz w:val="22"/>
                <w:szCs w:val="22"/>
                <w:lang w:val="ru-RU"/>
              </w:rPr>
              <w:t xml:space="preserve">, от </w:t>
            </w:r>
            <w:r w:rsidRPr="00CA11E8">
              <w:rPr>
                <w:sz w:val="22"/>
                <w:szCs w:val="22"/>
              </w:rPr>
              <w:t>t</w:t>
            </w:r>
            <w:r w:rsidRPr="00CA11E8">
              <w:rPr>
                <w:sz w:val="22"/>
                <w:szCs w:val="22"/>
                <w:lang w:val="ru-RU"/>
              </w:rPr>
              <w:t>ransfusion associated circulatory overload)</w:t>
            </w:r>
          </w:p>
        </w:tc>
        <w:tc>
          <w:tcPr>
            <w:tcW w:w="2340" w:type="dxa"/>
          </w:tcPr>
          <w:p w14:paraId="180A380F"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Перегрузка объемом</w:t>
            </w:r>
          </w:p>
        </w:tc>
        <w:tc>
          <w:tcPr>
            <w:tcW w:w="2520" w:type="dxa"/>
          </w:tcPr>
          <w:p w14:paraId="5B155078"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 xml:space="preserve">Симптоматическая терапия отека легких </w:t>
            </w:r>
          </w:p>
        </w:tc>
        <w:tc>
          <w:tcPr>
            <w:tcW w:w="2284" w:type="dxa"/>
          </w:tcPr>
          <w:p w14:paraId="5BBCEE33" w14:textId="77777777" w:rsidR="002C2CFC" w:rsidRPr="00CA11E8" w:rsidRDefault="002C2CFC" w:rsidP="002D3EBF">
            <w:pPr>
              <w:pStyle w:val="table-text-0"/>
              <w:spacing w:before="0" w:line="360" w:lineRule="auto"/>
              <w:ind w:firstLine="0"/>
              <w:rPr>
                <w:sz w:val="22"/>
                <w:szCs w:val="22"/>
                <w:lang w:val="ru-RU"/>
              </w:rPr>
            </w:pPr>
          </w:p>
        </w:tc>
      </w:tr>
      <w:tr w:rsidR="002C2CFC" w:rsidRPr="004C7AAC" w14:paraId="69454364" w14:textId="77777777" w:rsidTr="002D3EBF">
        <w:trPr>
          <w:jc w:val="center"/>
        </w:trPr>
        <w:tc>
          <w:tcPr>
            <w:tcW w:w="2110" w:type="dxa"/>
          </w:tcPr>
          <w:p w14:paraId="1187093D"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 xml:space="preserve">Острое обусловленное трансфузией повреждение легких (синдром TRALI, от </w:t>
            </w:r>
            <w:r w:rsidRPr="00CA11E8">
              <w:rPr>
                <w:sz w:val="22"/>
                <w:szCs w:val="22"/>
              </w:rPr>
              <w:t>t</w:t>
            </w:r>
            <w:r w:rsidRPr="00CA11E8">
              <w:rPr>
                <w:sz w:val="22"/>
                <w:szCs w:val="22"/>
                <w:lang w:val="ru-RU"/>
              </w:rPr>
              <w:t>ransfusion-related acute lung injury)</w:t>
            </w:r>
          </w:p>
        </w:tc>
        <w:tc>
          <w:tcPr>
            <w:tcW w:w="2340" w:type="dxa"/>
          </w:tcPr>
          <w:p w14:paraId="047A16A5"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Наличие донорских антилейкоцитарных антител в крови реципиента</w:t>
            </w:r>
          </w:p>
        </w:tc>
        <w:tc>
          <w:tcPr>
            <w:tcW w:w="2520" w:type="dxa"/>
          </w:tcPr>
          <w:p w14:paraId="5AC3753B"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Глюкокортикоиды (преднизолон, 30—60 мг, или дексаметазон, по 4—8 мг)</w:t>
            </w:r>
          </w:p>
          <w:p w14:paraId="1775489B"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Симптоматическая терапия отека легких</w:t>
            </w:r>
          </w:p>
        </w:tc>
        <w:tc>
          <w:tcPr>
            <w:tcW w:w="2284" w:type="dxa"/>
          </w:tcPr>
          <w:p w14:paraId="096F1291"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Обязательные: рентгенография органов грудной клетки</w:t>
            </w:r>
          </w:p>
          <w:p w14:paraId="0527F742"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 xml:space="preserve">Дополнительные: тесты на антилейкоцитарные антитела и антитела </w:t>
            </w:r>
            <w:r w:rsidRPr="00CA11E8">
              <w:rPr>
                <w:sz w:val="22"/>
                <w:szCs w:val="22"/>
                <w:lang w:val="ru-RU"/>
              </w:rPr>
              <w:lastRenderedPageBreak/>
              <w:t>к нейтрофилам в сыворотке</w:t>
            </w:r>
          </w:p>
        </w:tc>
      </w:tr>
      <w:tr w:rsidR="002C2CFC" w:rsidRPr="004C7AAC" w14:paraId="61A3F233" w14:textId="77777777" w:rsidTr="002D3EBF">
        <w:trPr>
          <w:jc w:val="center"/>
        </w:trPr>
        <w:tc>
          <w:tcPr>
            <w:tcW w:w="2110" w:type="dxa"/>
          </w:tcPr>
          <w:p w14:paraId="213737CF"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lastRenderedPageBreak/>
              <w:t>Одышка, связанная с трансфузией (синдром TAD, от transfusion-associated dyspnea)</w:t>
            </w:r>
          </w:p>
        </w:tc>
        <w:tc>
          <w:tcPr>
            <w:tcW w:w="2340" w:type="dxa"/>
          </w:tcPr>
          <w:p w14:paraId="5E64C9ED"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Острый респираторный дистресс-синдром, развивающийся в течение 24 часов после трансфузии</w:t>
            </w:r>
          </w:p>
        </w:tc>
        <w:tc>
          <w:tcPr>
            <w:tcW w:w="2520" w:type="dxa"/>
          </w:tcPr>
          <w:p w14:paraId="5BA37F1C"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Симптоматическая терапия</w:t>
            </w:r>
          </w:p>
        </w:tc>
        <w:tc>
          <w:tcPr>
            <w:tcW w:w="2284" w:type="dxa"/>
          </w:tcPr>
          <w:p w14:paraId="2A50323C" w14:textId="77777777" w:rsidR="002C2CFC" w:rsidRPr="00CA11E8" w:rsidRDefault="002C2CFC" w:rsidP="002D3EBF">
            <w:pPr>
              <w:pStyle w:val="table-text-0"/>
              <w:spacing w:before="0" w:line="360" w:lineRule="auto"/>
              <w:ind w:firstLine="0"/>
              <w:rPr>
                <w:sz w:val="22"/>
                <w:szCs w:val="22"/>
                <w:lang w:val="ru-RU"/>
              </w:rPr>
            </w:pPr>
          </w:p>
        </w:tc>
      </w:tr>
      <w:tr w:rsidR="002C2CFC" w:rsidRPr="004C7AAC" w14:paraId="70E5562D" w14:textId="77777777" w:rsidTr="002D3EBF">
        <w:trPr>
          <w:jc w:val="center"/>
        </w:trPr>
        <w:tc>
          <w:tcPr>
            <w:tcW w:w="2110" w:type="dxa"/>
            <w:vMerge w:val="restart"/>
          </w:tcPr>
          <w:p w14:paraId="698F7687"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Аллергические реакции (крапивница, анафилактический шок и др.)</w:t>
            </w:r>
          </w:p>
        </w:tc>
        <w:tc>
          <w:tcPr>
            <w:tcW w:w="2340" w:type="dxa"/>
          </w:tcPr>
          <w:p w14:paraId="3FC2F761"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Крапивница: наличие антител к белкам плазмы</w:t>
            </w:r>
          </w:p>
        </w:tc>
        <w:tc>
          <w:tcPr>
            <w:tcW w:w="2520" w:type="dxa"/>
          </w:tcPr>
          <w:p w14:paraId="35991204"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Антигистаминные препараты (клемастин, 2%, 2 мг, или другой препарат с аналогичным действием)</w:t>
            </w:r>
          </w:p>
        </w:tc>
        <w:tc>
          <w:tcPr>
            <w:tcW w:w="2284" w:type="dxa"/>
          </w:tcPr>
          <w:p w14:paraId="4C54EBC2" w14:textId="77777777" w:rsidR="002C2CFC" w:rsidRPr="00CA11E8" w:rsidRDefault="002C2CFC" w:rsidP="002D3EBF">
            <w:pPr>
              <w:pStyle w:val="table-text-0"/>
              <w:spacing w:before="0" w:line="360" w:lineRule="auto"/>
              <w:ind w:firstLine="0"/>
              <w:rPr>
                <w:sz w:val="22"/>
                <w:szCs w:val="22"/>
                <w:lang w:val="ru-RU"/>
              </w:rPr>
            </w:pPr>
          </w:p>
        </w:tc>
      </w:tr>
      <w:tr w:rsidR="002C2CFC" w:rsidRPr="004C7AAC" w14:paraId="0C3E2073" w14:textId="77777777" w:rsidTr="002D3EBF">
        <w:trPr>
          <w:jc w:val="center"/>
        </w:trPr>
        <w:tc>
          <w:tcPr>
            <w:tcW w:w="2110" w:type="dxa"/>
            <w:vMerge/>
            <w:vAlign w:val="center"/>
          </w:tcPr>
          <w:p w14:paraId="29280159" w14:textId="77777777" w:rsidR="002C2CFC" w:rsidRPr="00CA11E8" w:rsidRDefault="002C2CFC" w:rsidP="002D3EBF">
            <w:pPr>
              <w:pStyle w:val="table-text-0"/>
              <w:spacing w:before="0" w:line="360" w:lineRule="auto"/>
              <w:ind w:firstLine="0"/>
              <w:rPr>
                <w:sz w:val="22"/>
                <w:szCs w:val="22"/>
                <w:lang w:val="ru-RU"/>
              </w:rPr>
            </w:pPr>
          </w:p>
        </w:tc>
        <w:tc>
          <w:tcPr>
            <w:tcW w:w="2340" w:type="dxa"/>
          </w:tcPr>
          <w:p w14:paraId="7EC876B0"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Анафилактический шок: первичный иммунодефицит IgA у реципиента</w:t>
            </w:r>
          </w:p>
        </w:tc>
        <w:tc>
          <w:tcPr>
            <w:tcW w:w="2520" w:type="dxa"/>
          </w:tcPr>
          <w:p w14:paraId="6B7E4974"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Противошоковая терапия</w:t>
            </w:r>
          </w:p>
        </w:tc>
        <w:tc>
          <w:tcPr>
            <w:tcW w:w="2284" w:type="dxa"/>
          </w:tcPr>
          <w:p w14:paraId="66D4C95F"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Дополнительные: оценка уровня сывороточного IgA у реципиента</w:t>
            </w:r>
          </w:p>
        </w:tc>
      </w:tr>
      <w:tr w:rsidR="002C2CFC" w:rsidRPr="004C7AAC" w14:paraId="7B4724F6" w14:textId="77777777" w:rsidTr="002D3EBF">
        <w:trPr>
          <w:jc w:val="center"/>
        </w:trPr>
        <w:tc>
          <w:tcPr>
            <w:tcW w:w="2110" w:type="dxa"/>
          </w:tcPr>
          <w:p w14:paraId="466F9493"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 xml:space="preserve">Пострансфузионная артериальная гипотония (HTR, от </w:t>
            </w:r>
            <w:r w:rsidRPr="00CA11E8">
              <w:rPr>
                <w:sz w:val="22"/>
                <w:szCs w:val="22"/>
              </w:rPr>
              <w:t>post</w:t>
            </w:r>
            <w:r w:rsidRPr="00CA11E8">
              <w:rPr>
                <w:sz w:val="22"/>
                <w:szCs w:val="22"/>
                <w:lang w:val="ru-RU"/>
              </w:rPr>
              <w:t>-</w:t>
            </w:r>
            <w:r w:rsidRPr="00CA11E8">
              <w:rPr>
                <w:sz w:val="22"/>
                <w:szCs w:val="22"/>
              </w:rPr>
              <w:t>transfusion</w:t>
            </w:r>
            <w:r w:rsidRPr="00CA11E8">
              <w:rPr>
                <w:sz w:val="22"/>
                <w:szCs w:val="22"/>
                <w:lang w:val="ru-RU"/>
              </w:rPr>
              <w:t xml:space="preserve"> </w:t>
            </w:r>
            <w:r w:rsidRPr="00CA11E8">
              <w:rPr>
                <w:sz w:val="22"/>
                <w:szCs w:val="22"/>
              </w:rPr>
              <w:t>hypotension</w:t>
            </w:r>
            <w:r w:rsidRPr="00CA11E8">
              <w:rPr>
                <w:sz w:val="22"/>
                <w:szCs w:val="22"/>
                <w:lang w:val="ru-RU"/>
              </w:rPr>
              <w:t>)</w:t>
            </w:r>
          </w:p>
        </w:tc>
        <w:tc>
          <w:tcPr>
            <w:tcW w:w="2340" w:type="dxa"/>
          </w:tcPr>
          <w:p w14:paraId="41A3991A"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Сосудистая реакция, обусловленная выбросом брадикинина</w:t>
            </w:r>
          </w:p>
        </w:tc>
        <w:tc>
          <w:tcPr>
            <w:tcW w:w="2520" w:type="dxa"/>
          </w:tcPr>
          <w:p w14:paraId="3C356226"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 xml:space="preserve">Симптоматическая терапия, в тяжелых случаях — применение вазопрессоров </w:t>
            </w:r>
          </w:p>
        </w:tc>
        <w:tc>
          <w:tcPr>
            <w:tcW w:w="2284" w:type="dxa"/>
          </w:tcPr>
          <w:p w14:paraId="67030E44" w14:textId="77777777" w:rsidR="002C2CFC" w:rsidRPr="00CA11E8" w:rsidRDefault="002C2CFC" w:rsidP="002D3EBF">
            <w:pPr>
              <w:pStyle w:val="table-text-0"/>
              <w:spacing w:before="0" w:line="360" w:lineRule="auto"/>
              <w:ind w:firstLine="0"/>
              <w:rPr>
                <w:sz w:val="22"/>
                <w:szCs w:val="22"/>
                <w:lang w:val="ru-RU"/>
              </w:rPr>
            </w:pPr>
          </w:p>
        </w:tc>
      </w:tr>
      <w:tr w:rsidR="002C2CFC" w:rsidRPr="004C7AAC" w14:paraId="7F727CF9" w14:textId="77777777" w:rsidTr="002D3EBF">
        <w:trPr>
          <w:jc w:val="center"/>
        </w:trPr>
        <w:tc>
          <w:tcPr>
            <w:tcW w:w="2110" w:type="dxa"/>
          </w:tcPr>
          <w:p w14:paraId="7361DE89"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Гипертермическая (фебрильная) негемолитическая реакция (FNHTR, от febrile non-hemolytic transfusion reaction)</w:t>
            </w:r>
          </w:p>
        </w:tc>
        <w:tc>
          <w:tcPr>
            <w:tcW w:w="2340" w:type="dxa"/>
          </w:tcPr>
          <w:p w14:paraId="0CA320A3"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Секреция цитокинов иммунокомпетентными клетками, сопровождающаяся повышением температуры тела реципиента выше 38</w:t>
            </w:r>
            <w:r w:rsidRPr="00CA11E8">
              <w:rPr>
                <w:rFonts w:ascii="Symbol" w:hAnsi="Symbol" w:cs="Symbol"/>
              </w:rPr>
              <w:t></w:t>
            </w:r>
            <w:r w:rsidRPr="00CA11E8">
              <w:rPr>
                <w:sz w:val="22"/>
                <w:szCs w:val="22"/>
                <w:lang w:val="ru-RU"/>
              </w:rPr>
              <w:t>С</w:t>
            </w:r>
          </w:p>
        </w:tc>
        <w:tc>
          <w:tcPr>
            <w:tcW w:w="2520" w:type="dxa"/>
          </w:tcPr>
          <w:p w14:paraId="6927D239"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Антигистаминные препараты (клемастин 2%, 2 мг, или другой препарат с аналогичным действием)</w:t>
            </w:r>
          </w:p>
          <w:p w14:paraId="37B8B9B6"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Наркотические анальгетики (промедол 2%, 2 мл)</w:t>
            </w:r>
          </w:p>
          <w:p w14:paraId="44B94F43"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Глюкокортикоиды (преднизолон, 30—</w:t>
            </w:r>
            <w:r w:rsidRPr="00CA11E8">
              <w:rPr>
                <w:sz w:val="22"/>
                <w:szCs w:val="22"/>
                <w:lang w:val="ru-RU"/>
              </w:rPr>
              <w:lastRenderedPageBreak/>
              <w:t>60 мг, или дексаметазон, 4—8 мг)</w:t>
            </w:r>
          </w:p>
        </w:tc>
        <w:tc>
          <w:tcPr>
            <w:tcW w:w="2284" w:type="dxa"/>
          </w:tcPr>
          <w:p w14:paraId="14229682"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lastRenderedPageBreak/>
              <w:t>Обязательные: бактериологическое исследование крови</w:t>
            </w:r>
          </w:p>
          <w:p w14:paraId="0DF4B28D"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Дополнительные: определение антилейкоцитарных антител, антитромбоцитарных антител, антител к нейтрофилам в сыворотке</w:t>
            </w:r>
          </w:p>
        </w:tc>
      </w:tr>
      <w:tr w:rsidR="002C2CFC" w:rsidRPr="004C7AAC" w14:paraId="4CF4405D" w14:textId="77777777" w:rsidTr="002D3EBF">
        <w:trPr>
          <w:jc w:val="center"/>
        </w:trPr>
        <w:tc>
          <w:tcPr>
            <w:tcW w:w="2110" w:type="dxa"/>
            <w:vMerge w:val="restart"/>
          </w:tcPr>
          <w:p w14:paraId="66314DAC" w14:textId="77777777" w:rsidR="002C2CFC" w:rsidRPr="00360841" w:rsidRDefault="002C2CFC" w:rsidP="002D3EBF">
            <w:pPr>
              <w:pStyle w:val="table-text-0"/>
              <w:spacing w:before="0" w:line="360" w:lineRule="auto"/>
              <w:ind w:firstLine="0"/>
              <w:rPr>
                <w:sz w:val="22"/>
                <w:szCs w:val="22"/>
              </w:rPr>
            </w:pPr>
            <w:r w:rsidRPr="00CA11E8">
              <w:rPr>
                <w:sz w:val="22"/>
                <w:szCs w:val="22"/>
                <w:lang w:val="ru-RU"/>
              </w:rPr>
              <w:t>Острый</w:t>
            </w:r>
            <w:r w:rsidRPr="00360841">
              <w:rPr>
                <w:sz w:val="22"/>
                <w:szCs w:val="22"/>
              </w:rPr>
              <w:t xml:space="preserve"> </w:t>
            </w:r>
            <w:r w:rsidRPr="00CA11E8">
              <w:rPr>
                <w:sz w:val="22"/>
                <w:szCs w:val="22"/>
                <w:lang w:val="ru-RU"/>
              </w:rPr>
              <w:t>гемолиз</w:t>
            </w:r>
            <w:r w:rsidRPr="00360841">
              <w:rPr>
                <w:sz w:val="22"/>
                <w:szCs w:val="22"/>
              </w:rPr>
              <w:t xml:space="preserve"> (AHTR, </w:t>
            </w:r>
            <w:r w:rsidRPr="00CA11E8">
              <w:rPr>
                <w:sz w:val="22"/>
                <w:szCs w:val="22"/>
                <w:lang w:val="ru-RU"/>
              </w:rPr>
              <w:t>от</w:t>
            </w:r>
            <w:r w:rsidRPr="00360841">
              <w:rPr>
                <w:sz w:val="22"/>
                <w:szCs w:val="22"/>
              </w:rPr>
              <w:t xml:space="preserve"> acute hemolytic transfusion reaction)</w:t>
            </w:r>
          </w:p>
        </w:tc>
        <w:tc>
          <w:tcPr>
            <w:tcW w:w="2340" w:type="dxa"/>
          </w:tcPr>
          <w:p w14:paraId="0C7DAB03"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 xml:space="preserve">Иммунная реакция: наличие у реципиента антител к аллоантигенам эритроцитов донора (ABO, резус-фактор и другая несовместимость) </w:t>
            </w:r>
          </w:p>
        </w:tc>
        <w:tc>
          <w:tcPr>
            <w:tcW w:w="2520" w:type="dxa"/>
            <w:vMerge w:val="restart"/>
          </w:tcPr>
          <w:p w14:paraId="4C16384E"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Глюкокортикоиды (преднизолон, 30—60 мг, или дексаметазон, 4—8 мг)</w:t>
            </w:r>
          </w:p>
          <w:p w14:paraId="0B7AD43E"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Форсированный диурез (NaCl 0,9%, 2000—3000 мл; фуросемид, 20—40 мг); проводится до купирования клинических проявлений гемолиза</w:t>
            </w:r>
          </w:p>
          <w:p w14:paraId="022D0214"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Контроль АД, ЦВД, объема и цвет мочи</w:t>
            </w:r>
          </w:p>
          <w:p w14:paraId="13B56B8C"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При неэффективности консервативной терапии или анурии —плазмаферез и гемодиализ</w:t>
            </w:r>
          </w:p>
        </w:tc>
        <w:tc>
          <w:tcPr>
            <w:tcW w:w="2284" w:type="dxa"/>
          </w:tcPr>
          <w:p w14:paraId="31EB88C5"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Обязательные: определение в сыворотке свободного гемоглобина, билирубина; анализ мочи на гемоглобинурию, гемосидеринурию</w:t>
            </w:r>
          </w:p>
          <w:p w14:paraId="33EAACCF"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Дополнительные: прямая проба Кумбса, оценка химеризма эритроцитов в периферической крови реципиента</w:t>
            </w:r>
          </w:p>
        </w:tc>
      </w:tr>
      <w:tr w:rsidR="002C2CFC" w:rsidRPr="004C7AAC" w14:paraId="54FED53C" w14:textId="77777777" w:rsidTr="002D3EBF">
        <w:trPr>
          <w:jc w:val="center"/>
        </w:trPr>
        <w:tc>
          <w:tcPr>
            <w:tcW w:w="2110" w:type="dxa"/>
            <w:vMerge/>
          </w:tcPr>
          <w:p w14:paraId="51560E58" w14:textId="77777777" w:rsidR="002C2CFC" w:rsidRPr="00CA11E8" w:rsidRDefault="002C2CFC" w:rsidP="002D3EBF">
            <w:pPr>
              <w:pStyle w:val="table-text-0"/>
              <w:spacing w:before="0" w:line="360" w:lineRule="auto"/>
              <w:ind w:firstLine="0"/>
              <w:rPr>
                <w:sz w:val="22"/>
                <w:szCs w:val="22"/>
                <w:lang w:val="ru-RU"/>
              </w:rPr>
            </w:pPr>
          </w:p>
        </w:tc>
        <w:tc>
          <w:tcPr>
            <w:tcW w:w="2340" w:type="dxa"/>
          </w:tcPr>
          <w:p w14:paraId="6D7128A6"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Неиммунная реакция: разрушение эритроцитов донора вследствие нарушения температурного режима или сроков хранения, несоблюдения правил подготовки к переливанию, смешивания с гипотоническим или гипертоническим растворами</w:t>
            </w:r>
          </w:p>
        </w:tc>
        <w:tc>
          <w:tcPr>
            <w:tcW w:w="2520" w:type="dxa"/>
            <w:vMerge/>
          </w:tcPr>
          <w:p w14:paraId="29314A9D" w14:textId="77777777" w:rsidR="002C2CFC" w:rsidRPr="00CA11E8" w:rsidRDefault="002C2CFC" w:rsidP="002D3EBF">
            <w:pPr>
              <w:pStyle w:val="table-text-0"/>
              <w:spacing w:before="0" w:line="360" w:lineRule="auto"/>
              <w:ind w:firstLine="0"/>
              <w:rPr>
                <w:sz w:val="22"/>
                <w:szCs w:val="22"/>
                <w:lang w:val="ru-RU"/>
              </w:rPr>
            </w:pPr>
          </w:p>
        </w:tc>
        <w:tc>
          <w:tcPr>
            <w:tcW w:w="2284" w:type="dxa"/>
          </w:tcPr>
          <w:p w14:paraId="6308287F"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Обязательные: определение в сыворотке свободного гемоглобина, билирубина; анализ мочи на гемоглобинурию, гемосидеринурию</w:t>
            </w:r>
          </w:p>
          <w:p w14:paraId="4B068A92" w14:textId="77777777" w:rsidR="002C2CFC" w:rsidRPr="00CA11E8" w:rsidRDefault="002C2CFC" w:rsidP="002D3EBF">
            <w:pPr>
              <w:pStyle w:val="table-text-0"/>
              <w:spacing w:before="0" w:line="360" w:lineRule="auto"/>
              <w:ind w:firstLine="0"/>
              <w:rPr>
                <w:sz w:val="22"/>
                <w:szCs w:val="22"/>
                <w:lang w:val="ru-RU"/>
              </w:rPr>
            </w:pPr>
          </w:p>
        </w:tc>
      </w:tr>
      <w:tr w:rsidR="002C2CFC" w:rsidRPr="004C7AAC" w14:paraId="79217FCD" w14:textId="77777777" w:rsidTr="002D3EBF">
        <w:trPr>
          <w:jc w:val="center"/>
        </w:trPr>
        <w:tc>
          <w:tcPr>
            <w:tcW w:w="2110" w:type="dxa"/>
          </w:tcPr>
          <w:p w14:paraId="4F47429A" w14:textId="77777777" w:rsidR="002C2CFC" w:rsidRPr="00360841" w:rsidRDefault="002C2CFC" w:rsidP="002D3EBF">
            <w:pPr>
              <w:pStyle w:val="table-text-0"/>
              <w:spacing w:before="0" w:line="360" w:lineRule="auto"/>
              <w:ind w:firstLine="0"/>
              <w:rPr>
                <w:sz w:val="22"/>
                <w:szCs w:val="22"/>
              </w:rPr>
            </w:pPr>
            <w:r w:rsidRPr="00CA11E8">
              <w:rPr>
                <w:sz w:val="22"/>
                <w:szCs w:val="22"/>
                <w:lang w:val="ru-RU"/>
              </w:rPr>
              <w:t>Отсроченный</w:t>
            </w:r>
            <w:r w:rsidRPr="00360841">
              <w:rPr>
                <w:sz w:val="22"/>
                <w:szCs w:val="22"/>
              </w:rPr>
              <w:t xml:space="preserve"> </w:t>
            </w:r>
            <w:r w:rsidRPr="00CA11E8">
              <w:rPr>
                <w:sz w:val="22"/>
                <w:szCs w:val="22"/>
                <w:lang w:val="ru-RU"/>
              </w:rPr>
              <w:t>гемолиз</w:t>
            </w:r>
            <w:r w:rsidRPr="00360841">
              <w:rPr>
                <w:sz w:val="22"/>
                <w:szCs w:val="22"/>
              </w:rPr>
              <w:t xml:space="preserve"> (DHTR, </w:t>
            </w:r>
            <w:r w:rsidRPr="00CA11E8">
              <w:rPr>
                <w:sz w:val="22"/>
                <w:szCs w:val="22"/>
                <w:lang w:val="ru-RU"/>
              </w:rPr>
              <w:t>от</w:t>
            </w:r>
            <w:r w:rsidRPr="00360841">
              <w:rPr>
                <w:sz w:val="22"/>
                <w:szCs w:val="22"/>
              </w:rPr>
              <w:t xml:space="preserve"> </w:t>
            </w:r>
            <w:r w:rsidRPr="00360841">
              <w:rPr>
                <w:sz w:val="22"/>
                <w:szCs w:val="22"/>
              </w:rPr>
              <w:lastRenderedPageBreak/>
              <w:t>delayed hemolytic transfusion reaction)</w:t>
            </w:r>
          </w:p>
        </w:tc>
        <w:tc>
          <w:tcPr>
            <w:tcW w:w="2340" w:type="dxa"/>
          </w:tcPr>
          <w:p w14:paraId="7BD2E5AF"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lastRenderedPageBreak/>
              <w:t xml:space="preserve">Внутриклеточный (тканевый) гемолиз в результате </w:t>
            </w:r>
            <w:r w:rsidRPr="00CA11E8">
              <w:rPr>
                <w:sz w:val="22"/>
                <w:szCs w:val="22"/>
                <w:lang w:val="ru-RU"/>
              </w:rPr>
              <w:lastRenderedPageBreak/>
              <w:t>трансфузии несовместимых по аллоантигенам эритроцитов донора</w:t>
            </w:r>
          </w:p>
          <w:p w14:paraId="64C25F50"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Аллоиммунизация отмечается в период от 24 часов до 28 дней после трансфузии</w:t>
            </w:r>
          </w:p>
        </w:tc>
        <w:tc>
          <w:tcPr>
            <w:tcW w:w="2520" w:type="dxa"/>
          </w:tcPr>
          <w:p w14:paraId="0FCF59E8"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lastRenderedPageBreak/>
              <w:t xml:space="preserve"> Глюкокортикоиды (преднизолон, 30—</w:t>
            </w:r>
            <w:r w:rsidRPr="00CA11E8">
              <w:rPr>
                <w:sz w:val="22"/>
                <w:szCs w:val="22"/>
                <w:lang w:val="ru-RU"/>
              </w:rPr>
              <w:lastRenderedPageBreak/>
              <w:t>60 мг, или дексаметазон, 4—8 мг)</w:t>
            </w:r>
          </w:p>
          <w:p w14:paraId="20B8C498"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Форсированный диурез (NaCl 0,9%, 2000—3000 мл; фуросемид, 20—40 мг); проводится до купирования клинических проявлений гемолиза</w:t>
            </w:r>
          </w:p>
          <w:p w14:paraId="6B5AAE3E"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Контроль АД, ЦВД, объема и цвет мочи</w:t>
            </w:r>
          </w:p>
          <w:p w14:paraId="10DB751D"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При неэффективности консервативной терапии или анурии —плазмаферез и гемодиализ</w:t>
            </w:r>
          </w:p>
        </w:tc>
        <w:tc>
          <w:tcPr>
            <w:tcW w:w="2284" w:type="dxa"/>
          </w:tcPr>
          <w:p w14:paraId="4E28A54A"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lastRenderedPageBreak/>
              <w:t xml:space="preserve">Обязательные: определение в сыворотке </w:t>
            </w:r>
            <w:r w:rsidRPr="00CA11E8">
              <w:rPr>
                <w:sz w:val="22"/>
                <w:szCs w:val="22"/>
                <w:lang w:val="ru-RU"/>
              </w:rPr>
              <w:lastRenderedPageBreak/>
              <w:t>свободного гемоглобина, билирубина; анализ мочи на гемоглобинурию, гемосидеринурию; прямая проба Кумбса</w:t>
            </w:r>
          </w:p>
          <w:p w14:paraId="0859D3DD"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Дополнительные: выявление антиэритроцитарных аллоантител с новой специфичностью</w:t>
            </w:r>
          </w:p>
        </w:tc>
      </w:tr>
      <w:tr w:rsidR="002C2CFC" w:rsidRPr="004C7AAC" w14:paraId="431E86BD" w14:textId="77777777" w:rsidTr="002D3EBF">
        <w:trPr>
          <w:jc w:val="center"/>
        </w:trPr>
        <w:tc>
          <w:tcPr>
            <w:tcW w:w="2110" w:type="dxa"/>
          </w:tcPr>
          <w:p w14:paraId="1530D65C"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lastRenderedPageBreak/>
              <w:t>Отсроченная серологическая трансфузионная реакция (DSTR, от delayed serologic transfusion reaction)</w:t>
            </w:r>
          </w:p>
        </w:tc>
        <w:tc>
          <w:tcPr>
            <w:tcW w:w="2340" w:type="dxa"/>
          </w:tcPr>
          <w:p w14:paraId="0D9C36B4"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Непосредственно после трансфузии признаки гемолиза отсутствуют; в срок от 24 ч до 28 дней после трансфузии у реципиента выявляются новые антиэритроцитарные аллоантитела</w:t>
            </w:r>
          </w:p>
        </w:tc>
        <w:tc>
          <w:tcPr>
            <w:tcW w:w="2520" w:type="dxa"/>
          </w:tcPr>
          <w:p w14:paraId="3CEB6278" w14:textId="77777777" w:rsidR="002C2CFC" w:rsidRPr="00CA11E8" w:rsidRDefault="002C2CFC" w:rsidP="002D3EBF">
            <w:pPr>
              <w:pStyle w:val="table-text-0"/>
              <w:spacing w:before="0" w:line="360" w:lineRule="auto"/>
              <w:ind w:firstLine="0"/>
              <w:rPr>
                <w:sz w:val="22"/>
                <w:szCs w:val="22"/>
                <w:lang w:val="ru-RU"/>
              </w:rPr>
            </w:pPr>
          </w:p>
        </w:tc>
        <w:tc>
          <w:tcPr>
            <w:tcW w:w="2284" w:type="dxa"/>
          </w:tcPr>
          <w:p w14:paraId="2D2D6F96"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Обязательные: прямая проба Кумбса</w:t>
            </w:r>
          </w:p>
        </w:tc>
      </w:tr>
      <w:tr w:rsidR="002C2CFC" w:rsidRPr="004C7AAC" w14:paraId="13343ED4" w14:textId="77777777" w:rsidTr="002D3EBF">
        <w:trPr>
          <w:jc w:val="center"/>
        </w:trPr>
        <w:tc>
          <w:tcPr>
            <w:tcW w:w="2110" w:type="dxa"/>
          </w:tcPr>
          <w:p w14:paraId="0523D1D0"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Посттрансфузионная реакция «трансплантат против хозяина» (TA-GVHD, от transfusion-associated graft-versus-host-disease)</w:t>
            </w:r>
          </w:p>
        </w:tc>
        <w:tc>
          <w:tcPr>
            <w:tcW w:w="2340" w:type="dxa"/>
          </w:tcPr>
          <w:p w14:paraId="4A34C12C"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Введение иммунокомпетентных клеток донора (</w:t>
            </w:r>
            <w:r w:rsidRPr="00CA11E8">
              <w:rPr>
                <w:sz w:val="22"/>
                <w:szCs w:val="22"/>
              </w:rPr>
              <w:t>T</w:t>
            </w:r>
            <w:r w:rsidRPr="00CA11E8">
              <w:rPr>
                <w:sz w:val="22"/>
                <w:szCs w:val="22"/>
                <w:lang w:val="ru-RU"/>
              </w:rPr>
              <w:t xml:space="preserve">-лимфоцитов) иммунокомпрометированному реципиенту приводит к их пролиферации и дифференцировке в организме </w:t>
            </w:r>
            <w:r w:rsidRPr="00CA11E8">
              <w:rPr>
                <w:sz w:val="22"/>
                <w:szCs w:val="22"/>
                <w:lang w:val="ru-RU"/>
              </w:rPr>
              <w:lastRenderedPageBreak/>
              <w:t xml:space="preserve">реципиента, что вызывает повреждение клеток реципиента, экспрессирующих HLA-антигены </w:t>
            </w:r>
            <w:r w:rsidRPr="00CA11E8">
              <w:rPr>
                <w:sz w:val="22"/>
                <w:szCs w:val="22"/>
              </w:rPr>
              <w:t>I</w:t>
            </w:r>
            <w:r w:rsidRPr="00CA11E8">
              <w:rPr>
                <w:sz w:val="22"/>
                <w:szCs w:val="22"/>
                <w:lang w:val="ru-RU"/>
              </w:rPr>
              <w:t xml:space="preserve"> и </w:t>
            </w:r>
            <w:r w:rsidRPr="00CA11E8">
              <w:rPr>
                <w:sz w:val="22"/>
                <w:szCs w:val="22"/>
              </w:rPr>
              <w:t>II</w:t>
            </w:r>
            <w:r w:rsidRPr="00CA11E8">
              <w:rPr>
                <w:sz w:val="22"/>
                <w:szCs w:val="22"/>
                <w:lang w:val="ru-RU"/>
              </w:rPr>
              <w:t> классов (кожа, ЖКТ, печень, селезенка, костный мозг)</w:t>
            </w:r>
          </w:p>
          <w:p w14:paraId="64E3A00E"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Характерны кожная эритема, диарея, поражение печени с гепатомегалией</w:t>
            </w:r>
          </w:p>
          <w:p w14:paraId="0B802895"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Синдром может развиваться в сроки от 2 дней до 6 недель после трансфузии</w:t>
            </w:r>
          </w:p>
        </w:tc>
        <w:tc>
          <w:tcPr>
            <w:tcW w:w="2520" w:type="dxa"/>
          </w:tcPr>
          <w:p w14:paraId="4EA19A65"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lastRenderedPageBreak/>
              <w:t>Глюкокортикоиды</w:t>
            </w:r>
          </w:p>
        </w:tc>
        <w:tc>
          <w:tcPr>
            <w:tcW w:w="2284" w:type="dxa"/>
          </w:tcPr>
          <w:p w14:paraId="28ACEC5C"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 xml:space="preserve">Обязательные: общий и биохимический (активность АЛТ, АСТ, ЩФ, уровень билирубина) анализ крови, коагулограмма (уровень фибриногена), </w:t>
            </w:r>
            <w:r w:rsidRPr="00CA11E8">
              <w:rPr>
                <w:sz w:val="22"/>
                <w:szCs w:val="22"/>
                <w:lang w:val="ru-RU"/>
              </w:rPr>
              <w:lastRenderedPageBreak/>
              <w:t>биопсия кожи с гистологическим исследованием (при наличии кожной эритемы)</w:t>
            </w:r>
          </w:p>
          <w:p w14:paraId="0CF44CD5"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Дополнительные: исследование химеризма лейкоцитов; УЗИ брюшной полости</w:t>
            </w:r>
          </w:p>
        </w:tc>
      </w:tr>
      <w:tr w:rsidR="002C2CFC" w:rsidRPr="004C7AAC" w14:paraId="7D1AC994" w14:textId="77777777" w:rsidTr="002D3EBF">
        <w:trPr>
          <w:jc w:val="center"/>
        </w:trPr>
        <w:tc>
          <w:tcPr>
            <w:tcW w:w="2110" w:type="dxa"/>
          </w:tcPr>
          <w:p w14:paraId="565B0E60"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lastRenderedPageBreak/>
              <w:t>Пострансфузионная пурпура (PTP, от post-transfusion purpura)</w:t>
            </w:r>
          </w:p>
        </w:tc>
        <w:tc>
          <w:tcPr>
            <w:tcW w:w="2340" w:type="dxa"/>
          </w:tcPr>
          <w:p w14:paraId="7E435E06"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Образование антител к тромбоцитам или лейкоцитам (анти-HLA, анти-HPA) через 5—12 дней после трансфузии, проявляющееся выраженной тромбоцитопенией и геморрагическим синдромом</w:t>
            </w:r>
          </w:p>
        </w:tc>
        <w:tc>
          <w:tcPr>
            <w:tcW w:w="2520" w:type="dxa"/>
          </w:tcPr>
          <w:p w14:paraId="797B149F"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 xml:space="preserve">Глюкокортикоиды </w:t>
            </w:r>
          </w:p>
        </w:tc>
        <w:tc>
          <w:tcPr>
            <w:tcW w:w="2284" w:type="dxa"/>
          </w:tcPr>
          <w:p w14:paraId="01D30F20"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Обязательные: общий анализ крови, выявление антилейкоцитарных аллоантител (анти-HLA) в сыворотке</w:t>
            </w:r>
          </w:p>
          <w:p w14:paraId="18F7FFBE"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Дополнительные: выявление антитромбоцитарных антител (анти-HPA) в сыворотке</w:t>
            </w:r>
          </w:p>
        </w:tc>
      </w:tr>
      <w:tr w:rsidR="002C2CFC" w:rsidRPr="004C7AAC" w14:paraId="0A7C4FA9" w14:textId="77777777" w:rsidTr="002D3EBF">
        <w:trPr>
          <w:jc w:val="center"/>
        </w:trPr>
        <w:tc>
          <w:tcPr>
            <w:tcW w:w="2110" w:type="dxa"/>
            <w:vMerge w:val="restart"/>
          </w:tcPr>
          <w:p w14:paraId="07B43465"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Другие</w:t>
            </w:r>
          </w:p>
        </w:tc>
        <w:tc>
          <w:tcPr>
            <w:tcW w:w="2340" w:type="dxa"/>
          </w:tcPr>
          <w:p w14:paraId="274AC376"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Септический шок при переливании инфицированного компонента крови</w:t>
            </w:r>
          </w:p>
        </w:tc>
        <w:tc>
          <w:tcPr>
            <w:tcW w:w="2520" w:type="dxa"/>
          </w:tcPr>
          <w:p w14:paraId="7A394541"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Антибактериальная терапия широкого спектра действия, противошоковая терапия</w:t>
            </w:r>
          </w:p>
        </w:tc>
        <w:tc>
          <w:tcPr>
            <w:tcW w:w="2284" w:type="dxa"/>
          </w:tcPr>
          <w:p w14:paraId="0222C215"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Обязательные: бактериологическое исследование крови</w:t>
            </w:r>
          </w:p>
        </w:tc>
      </w:tr>
      <w:tr w:rsidR="002C2CFC" w:rsidRPr="004C7AAC" w14:paraId="2F36EFD2" w14:textId="77777777" w:rsidTr="002D3EBF">
        <w:trPr>
          <w:jc w:val="center"/>
        </w:trPr>
        <w:tc>
          <w:tcPr>
            <w:tcW w:w="2110" w:type="dxa"/>
            <w:vMerge/>
          </w:tcPr>
          <w:p w14:paraId="5E08CA6E" w14:textId="77777777" w:rsidR="002C2CFC" w:rsidRPr="00CA11E8" w:rsidRDefault="002C2CFC" w:rsidP="002D3EBF">
            <w:pPr>
              <w:pStyle w:val="table-text-0"/>
              <w:spacing w:before="0" w:line="360" w:lineRule="auto"/>
              <w:ind w:firstLine="0"/>
              <w:rPr>
                <w:sz w:val="22"/>
                <w:szCs w:val="22"/>
                <w:lang w:val="ru-RU"/>
              </w:rPr>
            </w:pPr>
          </w:p>
        </w:tc>
        <w:tc>
          <w:tcPr>
            <w:tcW w:w="2340" w:type="dxa"/>
          </w:tcPr>
          <w:p w14:paraId="124ACC19"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 xml:space="preserve">Перегрузка железом (гемосидероз) </w:t>
            </w:r>
            <w:r w:rsidRPr="00CA11E8">
              <w:rPr>
                <w:sz w:val="22"/>
                <w:szCs w:val="22"/>
                <w:lang w:val="ru-RU"/>
              </w:rPr>
              <w:lastRenderedPageBreak/>
              <w:t>органов в результате множественных переливаний эритроцитов</w:t>
            </w:r>
          </w:p>
        </w:tc>
        <w:tc>
          <w:tcPr>
            <w:tcW w:w="2520" w:type="dxa"/>
          </w:tcPr>
          <w:p w14:paraId="5A84A615"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lastRenderedPageBreak/>
              <w:t xml:space="preserve">Комплексообразующие средства (деферазирокс, </w:t>
            </w:r>
            <w:r w:rsidRPr="00CA11E8">
              <w:rPr>
                <w:sz w:val="22"/>
                <w:szCs w:val="22"/>
                <w:lang w:val="ru-RU"/>
              </w:rPr>
              <w:lastRenderedPageBreak/>
              <w:t>15—20 мг/кг или другой препарат с аналогичным действием)</w:t>
            </w:r>
          </w:p>
        </w:tc>
        <w:tc>
          <w:tcPr>
            <w:tcW w:w="2284" w:type="dxa"/>
          </w:tcPr>
          <w:p w14:paraId="2DE46D04"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lastRenderedPageBreak/>
              <w:t xml:space="preserve">Обязательные: определение уровня </w:t>
            </w:r>
            <w:r w:rsidRPr="00CA11E8">
              <w:rPr>
                <w:sz w:val="22"/>
                <w:szCs w:val="22"/>
                <w:lang w:val="ru-RU"/>
              </w:rPr>
              <w:lastRenderedPageBreak/>
              <w:t>ферритина в сыворотке (не должен превышать 1000 мкг/л)</w:t>
            </w:r>
          </w:p>
        </w:tc>
      </w:tr>
    </w:tbl>
    <w:p w14:paraId="699B1C0F" w14:textId="77777777" w:rsidR="002C2CFC" w:rsidRPr="008E43BE" w:rsidRDefault="002C2CFC" w:rsidP="002C2CFC">
      <w:pPr>
        <w:rPr>
          <w:sz w:val="20"/>
          <w:szCs w:val="20"/>
        </w:rPr>
      </w:pPr>
      <w:r w:rsidRPr="008E43BE">
        <w:rPr>
          <w:sz w:val="20"/>
          <w:szCs w:val="20"/>
        </w:rPr>
        <w:lastRenderedPageBreak/>
        <w:t>* Контейнер с компонентом крови, при трансфузии которого возникла реакция или осложнение, передается в установленном порядке для оценки параметров качества и безопасности.</w:t>
      </w:r>
    </w:p>
    <w:p w14:paraId="7E90644E" w14:textId="77777777" w:rsidR="002C2CFC" w:rsidRDefault="002C2CFC" w:rsidP="002C2CFC">
      <w:pPr>
        <w:ind w:firstLine="708"/>
      </w:pPr>
    </w:p>
    <w:p w14:paraId="04650405" w14:textId="77777777" w:rsidR="002C2CFC" w:rsidRDefault="002C2CFC" w:rsidP="002C2CFC">
      <w:pPr>
        <w:ind w:firstLine="708"/>
      </w:pPr>
      <w:r w:rsidRPr="002D194B">
        <w:t>Степень тяжести посттрансфузионных реакции и осложнений можно определить по шкале</w:t>
      </w:r>
      <w:r>
        <w:t>,</w:t>
      </w:r>
      <w:r w:rsidRPr="002D194B">
        <w:t xml:space="preserve"> приведенной в табл</w:t>
      </w:r>
      <w:r>
        <w:t>. </w:t>
      </w:r>
      <w:r w:rsidRPr="002D194B">
        <w:t>4.</w:t>
      </w:r>
    </w:p>
    <w:p w14:paraId="3257D4B6" w14:textId="77777777" w:rsidR="002C2CFC" w:rsidRDefault="002C2CFC" w:rsidP="002C2CFC">
      <w:pPr>
        <w:rPr>
          <w:bCs/>
        </w:rPr>
      </w:pPr>
    </w:p>
    <w:p w14:paraId="6E8819FD" w14:textId="77777777" w:rsidR="002C2CFC" w:rsidRPr="008E43BE" w:rsidRDefault="002C2CFC" w:rsidP="002C2CFC">
      <w:r w:rsidRPr="008E43BE">
        <w:rPr>
          <w:bCs/>
        </w:rPr>
        <w:t>Таблица 4. Шкала степени тяжести реакции или осложнения</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0"/>
        <w:gridCol w:w="7380"/>
      </w:tblGrid>
      <w:tr w:rsidR="002C2CFC" w:rsidRPr="004C7AAC" w14:paraId="43398C5D" w14:textId="77777777" w:rsidTr="002D3EBF">
        <w:tc>
          <w:tcPr>
            <w:tcW w:w="1800" w:type="dxa"/>
          </w:tcPr>
          <w:p w14:paraId="7659F0E0" w14:textId="77777777" w:rsidR="002C2CFC" w:rsidRPr="002F2E09" w:rsidRDefault="002C2CFC" w:rsidP="002D3EBF">
            <w:pPr>
              <w:pStyle w:val="Table-head-italic"/>
              <w:spacing w:line="360" w:lineRule="auto"/>
              <w:rPr>
                <w:i w:val="0"/>
                <w:sz w:val="22"/>
                <w:szCs w:val="22"/>
                <w:lang w:val="ru-RU"/>
              </w:rPr>
            </w:pPr>
            <w:r w:rsidRPr="002F2E09">
              <w:rPr>
                <w:i w:val="0"/>
                <w:sz w:val="22"/>
                <w:szCs w:val="22"/>
                <w:lang w:val="ru-RU"/>
              </w:rPr>
              <w:t>Категори</w:t>
            </w:r>
            <w:r>
              <w:rPr>
                <w:i w:val="0"/>
                <w:sz w:val="22"/>
                <w:szCs w:val="22"/>
                <w:lang w:val="ru-RU"/>
              </w:rPr>
              <w:t>я</w:t>
            </w:r>
          </w:p>
        </w:tc>
        <w:tc>
          <w:tcPr>
            <w:tcW w:w="7380" w:type="dxa"/>
          </w:tcPr>
          <w:p w14:paraId="737AA5DA" w14:textId="77777777" w:rsidR="002C2CFC" w:rsidRPr="002F2E09" w:rsidRDefault="002C2CFC" w:rsidP="002D3EBF">
            <w:pPr>
              <w:pStyle w:val="Table-head-italic"/>
              <w:spacing w:line="360" w:lineRule="auto"/>
              <w:rPr>
                <w:i w:val="0"/>
                <w:sz w:val="22"/>
                <w:szCs w:val="22"/>
                <w:lang w:val="ru-RU"/>
              </w:rPr>
            </w:pPr>
            <w:r>
              <w:rPr>
                <w:i w:val="0"/>
                <w:sz w:val="22"/>
                <w:szCs w:val="22"/>
                <w:lang w:val="ru-RU"/>
              </w:rPr>
              <w:t>Определение</w:t>
            </w:r>
          </w:p>
        </w:tc>
      </w:tr>
      <w:tr w:rsidR="002C2CFC" w:rsidRPr="004C7AAC" w14:paraId="050A5818" w14:textId="77777777" w:rsidTr="002D3EBF">
        <w:tc>
          <w:tcPr>
            <w:tcW w:w="1800" w:type="dxa"/>
          </w:tcPr>
          <w:p w14:paraId="11CAA27B" w14:textId="77777777" w:rsidR="002C2CFC" w:rsidRPr="002F2E09" w:rsidRDefault="002C2CFC" w:rsidP="002D3EBF">
            <w:pPr>
              <w:pStyle w:val="table-text-0"/>
              <w:spacing w:before="0" w:line="360" w:lineRule="auto"/>
              <w:ind w:firstLine="0"/>
              <w:rPr>
                <w:sz w:val="22"/>
                <w:szCs w:val="22"/>
                <w:lang w:val="ru-RU"/>
              </w:rPr>
            </w:pPr>
            <w:r w:rsidRPr="002F2E09">
              <w:rPr>
                <w:sz w:val="22"/>
                <w:szCs w:val="22"/>
                <w:lang w:val="ru-RU"/>
              </w:rPr>
              <w:t>0</w:t>
            </w:r>
          </w:p>
        </w:tc>
        <w:tc>
          <w:tcPr>
            <w:tcW w:w="7380" w:type="dxa"/>
          </w:tcPr>
          <w:p w14:paraId="25C8023B" w14:textId="77777777" w:rsidR="002C2CFC" w:rsidRPr="002F2E09" w:rsidRDefault="002C2CFC" w:rsidP="002D3EBF">
            <w:pPr>
              <w:pStyle w:val="table-text-0"/>
              <w:spacing w:before="0" w:line="360" w:lineRule="auto"/>
              <w:ind w:firstLine="0"/>
              <w:rPr>
                <w:sz w:val="22"/>
                <w:szCs w:val="22"/>
                <w:lang w:val="ru-RU"/>
              </w:rPr>
            </w:pPr>
            <w:r w:rsidRPr="002F2E09">
              <w:rPr>
                <w:sz w:val="22"/>
                <w:szCs w:val="22"/>
                <w:lang w:val="ru-RU"/>
              </w:rPr>
              <w:t>Реакци</w:t>
            </w:r>
            <w:r>
              <w:rPr>
                <w:sz w:val="22"/>
                <w:szCs w:val="22"/>
                <w:lang w:val="ru-RU"/>
              </w:rPr>
              <w:t>и</w:t>
            </w:r>
            <w:r w:rsidRPr="002F2E09">
              <w:rPr>
                <w:sz w:val="22"/>
                <w:szCs w:val="22"/>
                <w:lang w:val="ru-RU"/>
              </w:rPr>
              <w:t xml:space="preserve"> и осложнений нет</w:t>
            </w:r>
          </w:p>
        </w:tc>
      </w:tr>
      <w:tr w:rsidR="002C2CFC" w:rsidRPr="004C7AAC" w14:paraId="7991D022" w14:textId="77777777" w:rsidTr="002D3EBF">
        <w:tc>
          <w:tcPr>
            <w:tcW w:w="1800" w:type="dxa"/>
          </w:tcPr>
          <w:p w14:paraId="78E24F35" w14:textId="77777777" w:rsidR="002C2CFC" w:rsidRPr="002F2E09" w:rsidRDefault="002C2CFC" w:rsidP="002D3EBF">
            <w:pPr>
              <w:pStyle w:val="table-text-0"/>
              <w:spacing w:before="0" w:line="360" w:lineRule="auto"/>
              <w:ind w:firstLine="0"/>
              <w:rPr>
                <w:sz w:val="22"/>
                <w:szCs w:val="22"/>
                <w:lang w:val="ru-RU"/>
              </w:rPr>
            </w:pPr>
            <w:r w:rsidRPr="002F2E09">
              <w:rPr>
                <w:sz w:val="22"/>
                <w:szCs w:val="22"/>
                <w:lang w:val="ru-RU"/>
              </w:rPr>
              <w:t>1</w:t>
            </w:r>
          </w:p>
        </w:tc>
        <w:tc>
          <w:tcPr>
            <w:tcW w:w="7380" w:type="dxa"/>
          </w:tcPr>
          <w:p w14:paraId="1D0590D4" w14:textId="77777777" w:rsidR="002C2CFC" w:rsidRPr="002F2E09" w:rsidRDefault="002C2CFC" w:rsidP="002D3EBF">
            <w:pPr>
              <w:pStyle w:val="table-text-0"/>
              <w:spacing w:before="0" w:line="360" w:lineRule="auto"/>
              <w:ind w:firstLine="0"/>
              <w:rPr>
                <w:sz w:val="22"/>
                <w:szCs w:val="22"/>
                <w:lang w:val="ru-RU"/>
              </w:rPr>
            </w:pPr>
            <w:r w:rsidRPr="002F2E09">
              <w:rPr>
                <w:sz w:val="22"/>
                <w:szCs w:val="22"/>
                <w:lang w:val="ru-RU"/>
              </w:rPr>
              <w:t>Легкой степени: температура &lt;</w:t>
            </w:r>
            <w:r>
              <w:rPr>
                <w:sz w:val="22"/>
                <w:szCs w:val="22"/>
                <w:lang w:val="ru-RU"/>
              </w:rPr>
              <w:t> </w:t>
            </w:r>
            <w:r w:rsidRPr="002F2E09">
              <w:rPr>
                <w:sz w:val="22"/>
                <w:szCs w:val="22"/>
                <w:lang w:val="ru-RU"/>
              </w:rPr>
              <w:t>38</w:t>
            </w:r>
            <w:r w:rsidRPr="003511FE">
              <w:rPr>
                <w:rFonts w:ascii="Symbol" w:hAnsi="Symbol" w:cs="Symbol"/>
              </w:rPr>
              <w:t></w:t>
            </w:r>
            <w:r>
              <w:rPr>
                <w:sz w:val="22"/>
                <w:szCs w:val="22"/>
              </w:rPr>
              <w:t>C</w:t>
            </w:r>
            <w:r w:rsidRPr="002F2E09">
              <w:rPr>
                <w:sz w:val="22"/>
                <w:szCs w:val="22"/>
                <w:lang w:val="ru-RU"/>
              </w:rPr>
              <w:t xml:space="preserve">, другие незначительные симптомы, без долгосрочных </w:t>
            </w:r>
            <w:r>
              <w:rPr>
                <w:sz w:val="22"/>
                <w:szCs w:val="22"/>
                <w:lang w:val="ru-RU"/>
              </w:rPr>
              <w:t xml:space="preserve">патологических </w:t>
            </w:r>
            <w:r w:rsidRPr="002F2E09">
              <w:rPr>
                <w:sz w:val="22"/>
                <w:szCs w:val="22"/>
                <w:lang w:val="ru-RU"/>
              </w:rPr>
              <w:t xml:space="preserve">последствий. </w:t>
            </w:r>
            <w:r w:rsidRPr="002F2E09">
              <w:rPr>
                <w:sz w:val="22"/>
                <w:szCs w:val="22"/>
                <w:u w:val="single"/>
                <w:lang w:val="ru-RU"/>
              </w:rPr>
              <w:t>Не требует</w:t>
            </w:r>
            <w:r>
              <w:rPr>
                <w:sz w:val="22"/>
                <w:szCs w:val="22"/>
                <w:u w:val="single"/>
                <w:lang w:val="ru-RU"/>
              </w:rPr>
              <w:t xml:space="preserve"> </w:t>
            </w:r>
            <w:r w:rsidRPr="002F2E09">
              <w:rPr>
                <w:sz w:val="22"/>
                <w:szCs w:val="22"/>
                <w:u w:val="single"/>
                <w:lang w:val="ru-RU"/>
              </w:rPr>
              <w:t>терапевтического вмешательства</w:t>
            </w:r>
          </w:p>
        </w:tc>
      </w:tr>
      <w:tr w:rsidR="002C2CFC" w:rsidRPr="004C7AAC" w14:paraId="12EA8ABF" w14:textId="77777777" w:rsidTr="002D3EBF">
        <w:tc>
          <w:tcPr>
            <w:tcW w:w="1800" w:type="dxa"/>
          </w:tcPr>
          <w:p w14:paraId="69EA8E40" w14:textId="77777777" w:rsidR="002C2CFC" w:rsidRPr="002F2E09" w:rsidRDefault="002C2CFC" w:rsidP="002D3EBF">
            <w:pPr>
              <w:pStyle w:val="table-text-0"/>
              <w:spacing w:before="0" w:line="360" w:lineRule="auto"/>
              <w:ind w:firstLine="0"/>
              <w:rPr>
                <w:sz w:val="22"/>
                <w:szCs w:val="22"/>
                <w:lang w:val="ru-RU"/>
              </w:rPr>
            </w:pPr>
            <w:r w:rsidRPr="002F2E09">
              <w:rPr>
                <w:sz w:val="22"/>
                <w:szCs w:val="22"/>
                <w:lang w:val="ru-RU"/>
              </w:rPr>
              <w:t>2</w:t>
            </w:r>
          </w:p>
        </w:tc>
        <w:tc>
          <w:tcPr>
            <w:tcW w:w="7380" w:type="dxa"/>
          </w:tcPr>
          <w:p w14:paraId="66602EA6" w14:textId="77777777" w:rsidR="002C2CFC" w:rsidRPr="002F2E09" w:rsidRDefault="002C2CFC" w:rsidP="002D3EBF">
            <w:pPr>
              <w:pStyle w:val="table-text-0"/>
              <w:spacing w:before="0" w:line="360" w:lineRule="auto"/>
              <w:ind w:firstLine="0"/>
              <w:rPr>
                <w:sz w:val="22"/>
                <w:szCs w:val="22"/>
                <w:lang w:val="ru-RU"/>
              </w:rPr>
            </w:pPr>
            <w:r w:rsidRPr="002F2E09">
              <w:rPr>
                <w:sz w:val="22"/>
                <w:szCs w:val="22"/>
                <w:lang w:val="ru-RU"/>
              </w:rPr>
              <w:t>Средней степени: симптомы, требующие терапевтического вмешательства, стабильные гемодинамические и вентиляционные показатели, возможны долгосрочные последствия (например</w:t>
            </w:r>
            <w:r>
              <w:rPr>
                <w:sz w:val="22"/>
                <w:szCs w:val="22"/>
                <w:lang w:val="ru-RU"/>
              </w:rPr>
              <w:t>,</w:t>
            </w:r>
            <w:r w:rsidRPr="002F2E09">
              <w:rPr>
                <w:sz w:val="22"/>
                <w:szCs w:val="22"/>
                <w:lang w:val="ru-RU"/>
              </w:rPr>
              <w:t xml:space="preserve"> аллосенсибилизация в качестве причины рефрактерности к трансфузиям)</w:t>
            </w:r>
          </w:p>
        </w:tc>
      </w:tr>
      <w:tr w:rsidR="002C2CFC" w:rsidRPr="004C7AAC" w14:paraId="19B08C4F" w14:textId="77777777" w:rsidTr="002D3EBF">
        <w:tc>
          <w:tcPr>
            <w:tcW w:w="1800" w:type="dxa"/>
          </w:tcPr>
          <w:p w14:paraId="4AD97F34" w14:textId="77777777" w:rsidR="002C2CFC" w:rsidRPr="002F2E09" w:rsidRDefault="002C2CFC" w:rsidP="002D3EBF">
            <w:pPr>
              <w:pStyle w:val="table-text-0"/>
              <w:spacing w:before="0" w:line="360" w:lineRule="auto"/>
              <w:ind w:firstLine="0"/>
              <w:rPr>
                <w:sz w:val="22"/>
                <w:szCs w:val="22"/>
                <w:lang w:val="ru-RU"/>
              </w:rPr>
            </w:pPr>
            <w:r w:rsidRPr="002F2E09">
              <w:rPr>
                <w:sz w:val="22"/>
                <w:szCs w:val="22"/>
                <w:lang w:val="ru-RU"/>
              </w:rPr>
              <w:t>3</w:t>
            </w:r>
          </w:p>
        </w:tc>
        <w:tc>
          <w:tcPr>
            <w:tcW w:w="7380" w:type="dxa"/>
          </w:tcPr>
          <w:p w14:paraId="14F1C21D" w14:textId="77777777" w:rsidR="002C2CFC" w:rsidRPr="002F2E09" w:rsidRDefault="002C2CFC" w:rsidP="002D3EBF">
            <w:pPr>
              <w:pStyle w:val="table-text-0"/>
              <w:spacing w:before="0" w:line="360" w:lineRule="auto"/>
              <w:ind w:firstLine="0"/>
              <w:rPr>
                <w:sz w:val="22"/>
                <w:szCs w:val="22"/>
                <w:lang w:val="ru-RU"/>
              </w:rPr>
            </w:pPr>
            <w:r w:rsidRPr="002F2E09">
              <w:rPr>
                <w:sz w:val="22"/>
                <w:szCs w:val="22"/>
                <w:lang w:val="ru-RU"/>
              </w:rPr>
              <w:t>Тяжелой степени (непосредственная угроза жизни реципиента): нестабильные гемодинамичес</w:t>
            </w:r>
            <w:r>
              <w:rPr>
                <w:sz w:val="22"/>
                <w:szCs w:val="22"/>
                <w:lang w:val="ru-RU"/>
              </w:rPr>
              <w:t>кие и вентиляционные показатели</w:t>
            </w:r>
          </w:p>
        </w:tc>
      </w:tr>
      <w:tr w:rsidR="002C2CFC" w:rsidRPr="00CA11E8" w14:paraId="6CD582B0" w14:textId="77777777" w:rsidTr="002D3EBF">
        <w:tc>
          <w:tcPr>
            <w:tcW w:w="1800" w:type="dxa"/>
          </w:tcPr>
          <w:p w14:paraId="250367E6"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4</w:t>
            </w:r>
          </w:p>
        </w:tc>
        <w:tc>
          <w:tcPr>
            <w:tcW w:w="7380" w:type="dxa"/>
          </w:tcPr>
          <w:p w14:paraId="0EB5BB0C" w14:textId="77777777" w:rsidR="002C2CFC" w:rsidRPr="00CA11E8" w:rsidRDefault="002C2CFC" w:rsidP="002D3EBF">
            <w:pPr>
              <w:pStyle w:val="table-text-0"/>
              <w:spacing w:before="0" w:line="360" w:lineRule="auto"/>
              <w:ind w:firstLine="0"/>
              <w:rPr>
                <w:sz w:val="22"/>
                <w:szCs w:val="22"/>
                <w:lang w:val="ru-RU"/>
              </w:rPr>
            </w:pPr>
            <w:r w:rsidRPr="00CA11E8">
              <w:rPr>
                <w:sz w:val="22"/>
                <w:szCs w:val="22"/>
                <w:lang w:val="ru-RU"/>
              </w:rPr>
              <w:t>Смерть от осложнения, выявленного в первые 24 часов после трансфузии</w:t>
            </w:r>
          </w:p>
        </w:tc>
      </w:tr>
    </w:tbl>
    <w:p w14:paraId="56039724" w14:textId="77777777" w:rsidR="002C2CFC" w:rsidRDefault="002C2CFC" w:rsidP="002C2CFC">
      <w:pPr>
        <w:jc w:val="center"/>
        <w:rPr>
          <w:b/>
          <w:bCs/>
        </w:rPr>
      </w:pPr>
    </w:p>
    <w:p w14:paraId="62CA2DFF" w14:textId="77777777" w:rsidR="002C2CFC" w:rsidRPr="00360841" w:rsidRDefault="002C2CFC" w:rsidP="002C2CFC">
      <w:pPr>
        <w:rPr>
          <w:bCs/>
          <w:i/>
          <w:u w:val="single"/>
        </w:rPr>
      </w:pPr>
      <w:r w:rsidRPr="00360841">
        <w:rPr>
          <w:bCs/>
          <w:i/>
          <w:u w:val="single"/>
        </w:rPr>
        <w:t>Премедикация перед проведением трансфузии компонентов донорской крови</w:t>
      </w:r>
    </w:p>
    <w:p w14:paraId="01537B63" w14:textId="77777777" w:rsidR="002C2CFC" w:rsidRDefault="002C2CFC" w:rsidP="002C2CFC">
      <w:pPr>
        <w:ind w:firstLine="709"/>
        <w:rPr>
          <w:bCs/>
        </w:rPr>
      </w:pPr>
      <w:r>
        <w:rPr>
          <w:bCs/>
        </w:rPr>
        <w:t xml:space="preserve">Для профилактики нежелательных реакций на трансфузию при неоднократном проведении трансфузий компонентов крови может потребоваться премедикация. </w:t>
      </w:r>
      <w:r w:rsidRPr="00BC3659">
        <w:rPr>
          <w:bCs/>
        </w:rPr>
        <w:t>Алгоритм выбора премедикации перед проведением трансфузии компонентов донорской крови</w:t>
      </w:r>
      <w:r>
        <w:rPr>
          <w:bCs/>
        </w:rPr>
        <w:t xml:space="preserve"> приведен в табл.5.</w:t>
      </w:r>
    </w:p>
    <w:p w14:paraId="7AB14014" w14:textId="77777777" w:rsidR="002C2CFC" w:rsidRDefault="002C2CFC" w:rsidP="002C2CFC">
      <w:pPr>
        <w:rPr>
          <w:bCs/>
        </w:rPr>
      </w:pPr>
    </w:p>
    <w:p w14:paraId="7CF44B87" w14:textId="77777777" w:rsidR="002C2CFC" w:rsidRPr="00BC3659" w:rsidRDefault="002C2CFC" w:rsidP="002C2CFC">
      <w:pPr>
        <w:rPr>
          <w:bCs/>
        </w:rPr>
      </w:pPr>
      <w:r>
        <w:rPr>
          <w:bCs/>
        </w:rPr>
        <w:t>Таблица 5. В</w:t>
      </w:r>
      <w:r w:rsidRPr="00BC3659">
        <w:rPr>
          <w:bCs/>
        </w:rPr>
        <w:t>ыбор премедикации перед проведением трансфузии компонентов донорской крови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2550"/>
        <w:gridCol w:w="4525"/>
      </w:tblGrid>
      <w:tr w:rsidR="002C2CFC" w:rsidRPr="00915AAD" w14:paraId="699B8330" w14:textId="77777777" w:rsidTr="002D3EBF">
        <w:tc>
          <w:tcPr>
            <w:tcW w:w="3208" w:type="dxa"/>
            <w:shd w:val="clear" w:color="auto" w:fill="auto"/>
          </w:tcPr>
          <w:p w14:paraId="430286FC" w14:textId="77777777" w:rsidR="002C2CFC" w:rsidRPr="007A2B03" w:rsidRDefault="002C2CFC" w:rsidP="002D3EBF">
            <w:pPr>
              <w:jc w:val="center"/>
              <w:rPr>
                <w:bCs/>
              </w:rPr>
            </w:pPr>
            <w:r w:rsidRPr="007A2B03">
              <w:rPr>
                <w:bCs/>
              </w:rPr>
              <w:t xml:space="preserve">Вид реакции или осложнения, связанный с переливанием </w:t>
            </w:r>
            <w:r w:rsidRPr="007A2B03">
              <w:rPr>
                <w:bCs/>
              </w:rPr>
              <w:lastRenderedPageBreak/>
              <w:t>донорской крови и/или её компонентов, зафиксированных при предыдущих трансфузиях</w:t>
            </w:r>
          </w:p>
        </w:tc>
        <w:tc>
          <w:tcPr>
            <w:tcW w:w="3082" w:type="dxa"/>
            <w:shd w:val="clear" w:color="auto" w:fill="auto"/>
          </w:tcPr>
          <w:p w14:paraId="53013EA6" w14:textId="77777777" w:rsidR="002C2CFC" w:rsidRPr="007A2B03" w:rsidRDefault="002C2CFC" w:rsidP="002D3EBF">
            <w:pPr>
              <w:jc w:val="center"/>
              <w:rPr>
                <w:bCs/>
              </w:rPr>
            </w:pPr>
            <w:r w:rsidRPr="007A2B03">
              <w:rPr>
                <w:bCs/>
              </w:rPr>
              <w:lastRenderedPageBreak/>
              <w:t xml:space="preserve">Наименование компонента донорской крови, показанного для </w:t>
            </w:r>
            <w:r w:rsidRPr="007A2B03">
              <w:rPr>
                <w:bCs/>
              </w:rPr>
              <w:lastRenderedPageBreak/>
              <w:t>предстоящей трансфузии</w:t>
            </w:r>
          </w:p>
        </w:tc>
        <w:tc>
          <w:tcPr>
            <w:tcW w:w="8270" w:type="dxa"/>
            <w:shd w:val="clear" w:color="auto" w:fill="auto"/>
          </w:tcPr>
          <w:p w14:paraId="71CD3C9F" w14:textId="77777777" w:rsidR="002C2CFC" w:rsidRPr="007A2B03" w:rsidRDefault="002C2CFC" w:rsidP="002D3EBF">
            <w:pPr>
              <w:jc w:val="center"/>
              <w:rPr>
                <w:bCs/>
              </w:rPr>
            </w:pPr>
            <w:r w:rsidRPr="007A2B03">
              <w:rPr>
                <w:bCs/>
              </w:rPr>
              <w:lastRenderedPageBreak/>
              <w:t>Премедикация перед предстоящей трансфузией</w:t>
            </w:r>
          </w:p>
        </w:tc>
      </w:tr>
      <w:tr w:rsidR="002C2CFC" w:rsidRPr="00915AAD" w14:paraId="68CB8AA9" w14:textId="77777777" w:rsidTr="002D3EBF">
        <w:tc>
          <w:tcPr>
            <w:tcW w:w="14560" w:type="dxa"/>
            <w:gridSpan w:val="3"/>
            <w:shd w:val="clear" w:color="auto" w:fill="auto"/>
          </w:tcPr>
          <w:p w14:paraId="0E04CA24" w14:textId="77777777" w:rsidR="002C2CFC" w:rsidRPr="007A2B03" w:rsidRDefault="002C2CFC" w:rsidP="002D3EBF">
            <w:pPr>
              <w:jc w:val="center"/>
              <w:rPr>
                <w:b/>
                <w:bCs/>
              </w:rPr>
            </w:pPr>
            <w:r w:rsidRPr="007A2B03">
              <w:rPr>
                <w:b/>
                <w:bCs/>
              </w:rPr>
              <w:t>А. Пациент без трансфузий донорской крови и/или её компонентов в анамнезе</w:t>
            </w:r>
          </w:p>
        </w:tc>
      </w:tr>
      <w:tr w:rsidR="002C2CFC" w:rsidRPr="00915AAD" w14:paraId="06975EF7" w14:textId="77777777" w:rsidTr="002D3EBF">
        <w:tc>
          <w:tcPr>
            <w:tcW w:w="3208" w:type="dxa"/>
            <w:shd w:val="clear" w:color="auto" w:fill="auto"/>
          </w:tcPr>
          <w:p w14:paraId="63936F73" w14:textId="77777777" w:rsidR="002C2CFC" w:rsidRPr="007A2B03" w:rsidRDefault="002C2CFC" w:rsidP="002D3EBF">
            <w:r w:rsidRPr="007A2B03">
              <w:t>-</w:t>
            </w:r>
          </w:p>
        </w:tc>
        <w:tc>
          <w:tcPr>
            <w:tcW w:w="3082" w:type="dxa"/>
            <w:shd w:val="clear" w:color="auto" w:fill="auto"/>
          </w:tcPr>
          <w:p w14:paraId="2A278ADC" w14:textId="77777777" w:rsidR="002C2CFC" w:rsidRPr="007A2B03" w:rsidRDefault="002C2CFC" w:rsidP="002D3EBF">
            <w:r w:rsidRPr="007A2B03">
              <w:t>Любой компонент донорской крови</w:t>
            </w:r>
          </w:p>
        </w:tc>
        <w:tc>
          <w:tcPr>
            <w:tcW w:w="8270" w:type="dxa"/>
            <w:shd w:val="clear" w:color="auto" w:fill="auto"/>
          </w:tcPr>
          <w:p w14:paraId="4A06EBF8" w14:textId="77777777" w:rsidR="002C2CFC" w:rsidRPr="007A2B03" w:rsidRDefault="002C2CFC" w:rsidP="002D3EBF">
            <w:r w:rsidRPr="007A2B03">
              <w:t>10 мл 10% кальция глюконата в 100 мл 0,9% раствора NaC</w:t>
            </w:r>
            <w:r w:rsidRPr="007A2B03">
              <w:rPr>
                <w:lang w:val="en-US"/>
              </w:rPr>
              <w:t>l</w:t>
            </w:r>
            <w:r w:rsidRPr="007A2B03">
              <w:t xml:space="preserve"> в/в капельно</w:t>
            </w:r>
          </w:p>
        </w:tc>
      </w:tr>
      <w:tr w:rsidR="002C2CFC" w:rsidRPr="00915AAD" w14:paraId="6D78C152" w14:textId="77777777" w:rsidTr="002D3EBF">
        <w:tc>
          <w:tcPr>
            <w:tcW w:w="14560" w:type="dxa"/>
            <w:gridSpan w:val="3"/>
            <w:shd w:val="clear" w:color="auto" w:fill="auto"/>
          </w:tcPr>
          <w:p w14:paraId="7822E359" w14:textId="77777777" w:rsidR="002C2CFC" w:rsidRPr="007A2B03" w:rsidRDefault="002C2CFC" w:rsidP="002D3EBF">
            <w:pPr>
              <w:jc w:val="center"/>
              <w:rPr>
                <w:b/>
                <w:bCs/>
              </w:rPr>
            </w:pPr>
            <w:r w:rsidRPr="007A2B03">
              <w:rPr>
                <w:b/>
                <w:bCs/>
              </w:rPr>
              <w:t>Б. Пациент с трансфузией донорской крови и/или её компонентов без реакций или осложнений в анамнезе*</w:t>
            </w:r>
          </w:p>
        </w:tc>
      </w:tr>
      <w:tr w:rsidR="002C2CFC" w:rsidRPr="00915AAD" w14:paraId="1E23834B" w14:textId="77777777" w:rsidTr="002D3EBF">
        <w:tc>
          <w:tcPr>
            <w:tcW w:w="3208" w:type="dxa"/>
            <w:shd w:val="clear" w:color="auto" w:fill="auto"/>
          </w:tcPr>
          <w:p w14:paraId="4C9D4785" w14:textId="77777777" w:rsidR="002C2CFC" w:rsidRPr="007A2B03" w:rsidRDefault="002C2CFC" w:rsidP="002D3EBF">
            <w:r w:rsidRPr="007A2B03">
              <w:t>-</w:t>
            </w:r>
          </w:p>
        </w:tc>
        <w:tc>
          <w:tcPr>
            <w:tcW w:w="3082" w:type="dxa"/>
            <w:shd w:val="clear" w:color="auto" w:fill="auto"/>
          </w:tcPr>
          <w:p w14:paraId="48CDA656" w14:textId="77777777" w:rsidR="002C2CFC" w:rsidRPr="007A2B03" w:rsidRDefault="002C2CFC" w:rsidP="002D3EBF">
            <w:r w:rsidRPr="007A2B03">
              <w:t>Любой компонент донорской крови</w:t>
            </w:r>
          </w:p>
        </w:tc>
        <w:tc>
          <w:tcPr>
            <w:tcW w:w="8270" w:type="dxa"/>
            <w:shd w:val="clear" w:color="auto" w:fill="auto"/>
          </w:tcPr>
          <w:p w14:paraId="14731619" w14:textId="77777777" w:rsidR="002C2CFC" w:rsidRPr="007A2B03" w:rsidRDefault="002C2CFC" w:rsidP="002D3EBF">
            <w:r w:rsidRPr="007A2B03">
              <w:t>10 мл 10% кальция глюконата в 100 мл 0,9% раствора NaC</w:t>
            </w:r>
            <w:r w:rsidRPr="007A2B03">
              <w:rPr>
                <w:lang w:val="en-US"/>
              </w:rPr>
              <w:t>l</w:t>
            </w:r>
            <w:r w:rsidRPr="007A2B03">
              <w:t xml:space="preserve"> в/в капельно</w:t>
            </w:r>
          </w:p>
        </w:tc>
      </w:tr>
      <w:tr w:rsidR="002C2CFC" w:rsidRPr="00915AAD" w14:paraId="2035E8D2" w14:textId="77777777" w:rsidTr="002D3EBF">
        <w:tc>
          <w:tcPr>
            <w:tcW w:w="14560" w:type="dxa"/>
            <w:gridSpan w:val="3"/>
            <w:shd w:val="clear" w:color="auto" w:fill="auto"/>
          </w:tcPr>
          <w:p w14:paraId="53708F4A" w14:textId="77777777" w:rsidR="002C2CFC" w:rsidRPr="007A2B03" w:rsidRDefault="002C2CFC" w:rsidP="002D3EBF">
            <w:pPr>
              <w:jc w:val="center"/>
              <w:rPr>
                <w:b/>
                <w:bCs/>
              </w:rPr>
            </w:pPr>
            <w:r w:rsidRPr="007A2B03">
              <w:rPr>
                <w:b/>
                <w:bCs/>
              </w:rPr>
              <w:t>В. Пациент с трансфузией донорской крови и/или её компонентов с реакциями или осложнениями на в анамнезе</w:t>
            </w:r>
          </w:p>
        </w:tc>
      </w:tr>
      <w:tr w:rsidR="002C2CFC" w:rsidRPr="00915AAD" w14:paraId="37FF0EB2" w14:textId="77777777" w:rsidTr="002D3EBF">
        <w:tc>
          <w:tcPr>
            <w:tcW w:w="14560" w:type="dxa"/>
            <w:gridSpan w:val="3"/>
            <w:shd w:val="clear" w:color="auto" w:fill="auto"/>
          </w:tcPr>
          <w:p w14:paraId="4F317916" w14:textId="77777777" w:rsidR="002C2CFC" w:rsidRPr="007A2B03" w:rsidRDefault="002C2CFC" w:rsidP="00077D58">
            <w:pPr>
              <w:pStyle w:val="afe"/>
              <w:numPr>
                <w:ilvl w:val="0"/>
                <w:numId w:val="137"/>
              </w:numPr>
              <w:rPr>
                <w:b/>
                <w:bCs/>
              </w:rPr>
            </w:pPr>
            <w:r w:rsidRPr="007A2B03">
              <w:rPr>
                <w:b/>
                <w:bCs/>
              </w:rPr>
              <w:t>Аллергические реакции (крапивница, бронхоспазм, отек Квинке, анафилактический шок и др.) в зависимости от степени тяжести</w:t>
            </w:r>
          </w:p>
        </w:tc>
      </w:tr>
      <w:tr w:rsidR="002C2CFC" w:rsidRPr="00915AAD" w14:paraId="0D4BE15B" w14:textId="77777777" w:rsidTr="002D3EBF">
        <w:tc>
          <w:tcPr>
            <w:tcW w:w="3208" w:type="dxa"/>
            <w:shd w:val="clear" w:color="auto" w:fill="auto"/>
          </w:tcPr>
          <w:p w14:paraId="4EE38400" w14:textId="77777777" w:rsidR="002C2CFC" w:rsidRPr="007A2B03" w:rsidRDefault="002C2CFC" w:rsidP="00077D58">
            <w:pPr>
              <w:pStyle w:val="afe"/>
              <w:numPr>
                <w:ilvl w:val="0"/>
                <w:numId w:val="131"/>
              </w:numPr>
              <w:ind w:left="0"/>
            </w:pPr>
            <w:r w:rsidRPr="007A2B03">
              <w:t>Аллергические реакции легкой степени</w:t>
            </w:r>
          </w:p>
          <w:p w14:paraId="094BDCD4" w14:textId="77777777" w:rsidR="002C2CFC" w:rsidRPr="007A2B03" w:rsidRDefault="002C2CFC" w:rsidP="002D3EBF"/>
        </w:tc>
        <w:tc>
          <w:tcPr>
            <w:tcW w:w="3082" w:type="dxa"/>
            <w:shd w:val="clear" w:color="auto" w:fill="auto"/>
          </w:tcPr>
          <w:p w14:paraId="3E6368EA" w14:textId="77777777" w:rsidR="002C2CFC" w:rsidRPr="007A2B03" w:rsidRDefault="002C2CFC" w:rsidP="002D3EBF">
            <w:r w:rsidRPr="007A2B03">
              <w:t>Любой компонент донорской крови</w:t>
            </w:r>
          </w:p>
        </w:tc>
        <w:tc>
          <w:tcPr>
            <w:tcW w:w="8270" w:type="dxa"/>
            <w:shd w:val="clear" w:color="auto" w:fill="auto"/>
          </w:tcPr>
          <w:p w14:paraId="06BC9FD2" w14:textId="77777777" w:rsidR="002C2CFC" w:rsidRPr="007A2B03" w:rsidRDefault="002C2CFC" w:rsidP="002D3EBF">
            <w:r w:rsidRPr="007A2B03">
              <w:t>10 мл 10% кальция глюконата в 100 мл 0,9% раствора NaC</w:t>
            </w:r>
            <w:r w:rsidRPr="007A2B03">
              <w:rPr>
                <w:lang w:val="en-US"/>
              </w:rPr>
              <w:t>l</w:t>
            </w:r>
            <w:r w:rsidRPr="007A2B03">
              <w:t xml:space="preserve"> в/в капельно</w:t>
            </w:r>
          </w:p>
        </w:tc>
      </w:tr>
      <w:tr w:rsidR="002C2CFC" w:rsidRPr="00915AAD" w14:paraId="006C81AB" w14:textId="77777777" w:rsidTr="002D3EBF">
        <w:tc>
          <w:tcPr>
            <w:tcW w:w="3208" w:type="dxa"/>
            <w:vMerge w:val="restart"/>
            <w:shd w:val="clear" w:color="auto" w:fill="auto"/>
          </w:tcPr>
          <w:p w14:paraId="33111E07" w14:textId="77777777" w:rsidR="002C2CFC" w:rsidRPr="007A2B03" w:rsidRDefault="002C2CFC" w:rsidP="00077D58">
            <w:pPr>
              <w:pStyle w:val="afe"/>
              <w:numPr>
                <w:ilvl w:val="0"/>
                <w:numId w:val="131"/>
              </w:numPr>
              <w:ind w:left="0"/>
            </w:pPr>
            <w:r w:rsidRPr="007A2B03">
              <w:t>Аллергические реакции средней тяжести (протекающие без нарушений гемодинамических и вентиляционных показателей)</w:t>
            </w:r>
          </w:p>
        </w:tc>
        <w:tc>
          <w:tcPr>
            <w:tcW w:w="3082" w:type="dxa"/>
            <w:shd w:val="clear" w:color="auto" w:fill="auto"/>
          </w:tcPr>
          <w:p w14:paraId="32B9AE56" w14:textId="77777777" w:rsidR="002C2CFC" w:rsidRPr="007A2B03" w:rsidRDefault="002C2CFC" w:rsidP="002D3EBF">
            <w:r w:rsidRPr="007A2B03">
              <w:t>Компонент донорской крови, вызвавший реакцию ранее</w:t>
            </w:r>
          </w:p>
        </w:tc>
        <w:tc>
          <w:tcPr>
            <w:tcW w:w="8270" w:type="dxa"/>
            <w:shd w:val="clear" w:color="auto" w:fill="auto"/>
          </w:tcPr>
          <w:p w14:paraId="1861F123" w14:textId="77777777" w:rsidR="002C2CFC" w:rsidRPr="007A2B03" w:rsidRDefault="002C2CFC" w:rsidP="002D3EBF">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tc>
      </w:tr>
      <w:tr w:rsidR="002C2CFC" w:rsidRPr="00915AAD" w14:paraId="13286C18" w14:textId="77777777" w:rsidTr="002D3EBF">
        <w:tc>
          <w:tcPr>
            <w:tcW w:w="3208" w:type="dxa"/>
            <w:vMerge/>
            <w:shd w:val="clear" w:color="auto" w:fill="auto"/>
          </w:tcPr>
          <w:p w14:paraId="5DB72834" w14:textId="77777777" w:rsidR="002C2CFC" w:rsidRPr="007A2B03" w:rsidRDefault="002C2CFC" w:rsidP="00077D58">
            <w:pPr>
              <w:pStyle w:val="afe"/>
              <w:numPr>
                <w:ilvl w:val="0"/>
                <w:numId w:val="131"/>
              </w:numPr>
              <w:ind w:left="0"/>
            </w:pPr>
          </w:p>
        </w:tc>
        <w:tc>
          <w:tcPr>
            <w:tcW w:w="3082" w:type="dxa"/>
            <w:shd w:val="clear" w:color="auto" w:fill="auto"/>
          </w:tcPr>
          <w:p w14:paraId="568E3DBD" w14:textId="77777777" w:rsidR="002C2CFC" w:rsidRPr="007A2B03" w:rsidRDefault="002C2CFC" w:rsidP="002D3EBF">
            <w:r w:rsidRPr="007A2B03">
              <w:t>Другие компоненты донорской крови (не вызывавшие реакции ранее)</w:t>
            </w:r>
          </w:p>
        </w:tc>
        <w:tc>
          <w:tcPr>
            <w:tcW w:w="8270" w:type="dxa"/>
            <w:shd w:val="clear" w:color="auto" w:fill="auto"/>
          </w:tcPr>
          <w:p w14:paraId="29E361B7" w14:textId="77777777" w:rsidR="002C2CFC" w:rsidRPr="007A2B03" w:rsidRDefault="002C2CFC" w:rsidP="002D3EBF">
            <w:r w:rsidRPr="007A2B03">
              <w:t>10 мл 10% кальция глюконата в 100 мл 0,9% раствора NaC</w:t>
            </w:r>
            <w:r w:rsidRPr="007A2B03">
              <w:rPr>
                <w:lang w:val="en-US"/>
              </w:rPr>
              <w:t>l</w:t>
            </w:r>
            <w:r w:rsidRPr="007A2B03">
              <w:t xml:space="preserve"> в/в капельно</w:t>
            </w:r>
          </w:p>
        </w:tc>
      </w:tr>
      <w:tr w:rsidR="002C2CFC" w:rsidRPr="00915AAD" w14:paraId="7BF6AB3D" w14:textId="77777777" w:rsidTr="002D3EBF">
        <w:tc>
          <w:tcPr>
            <w:tcW w:w="3208" w:type="dxa"/>
            <w:shd w:val="clear" w:color="auto" w:fill="auto"/>
          </w:tcPr>
          <w:p w14:paraId="10C79A8E" w14:textId="77777777" w:rsidR="002C2CFC" w:rsidRPr="007A2B03" w:rsidRDefault="002C2CFC" w:rsidP="00077D58">
            <w:pPr>
              <w:pStyle w:val="afe"/>
              <w:numPr>
                <w:ilvl w:val="0"/>
                <w:numId w:val="131"/>
              </w:numPr>
              <w:ind w:left="0"/>
            </w:pPr>
            <w:r w:rsidRPr="007A2B03">
              <w:t xml:space="preserve">Тяжелые аллергические реакции (протекающие с </w:t>
            </w:r>
            <w:r w:rsidRPr="007A2B03">
              <w:lastRenderedPageBreak/>
              <w:t>нарушением гемодинамических и вентиляционных показателей)</w:t>
            </w:r>
          </w:p>
        </w:tc>
        <w:tc>
          <w:tcPr>
            <w:tcW w:w="3082" w:type="dxa"/>
            <w:shd w:val="clear" w:color="auto" w:fill="auto"/>
          </w:tcPr>
          <w:p w14:paraId="5480F826" w14:textId="77777777" w:rsidR="002C2CFC" w:rsidRPr="007A2B03" w:rsidRDefault="002C2CFC" w:rsidP="002D3EBF">
            <w:r w:rsidRPr="007A2B03">
              <w:lastRenderedPageBreak/>
              <w:t>Любой компонент донорской крови</w:t>
            </w:r>
          </w:p>
        </w:tc>
        <w:tc>
          <w:tcPr>
            <w:tcW w:w="8270" w:type="dxa"/>
            <w:shd w:val="clear" w:color="auto" w:fill="auto"/>
          </w:tcPr>
          <w:p w14:paraId="72BCBD57" w14:textId="77777777" w:rsidR="002C2CFC" w:rsidRPr="007A2B03" w:rsidRDefault="002C2CFC" w:rsidP="002D3EBF">
            <w:r w:rsidRPr="007A2B03">
              <w:t xml:space="preserve">10 мл 10% кальция глюконата и 2 мл клемастина гидрофумарата 1 мг/мл (либо 1 мл дифенгидрамина 10 мг/мл, либо 1 мл </w:t>
            </w:r>
            <w:r w:rsidRPr="007A2B03">
              <w:lastRenderedPageBreak/>
              <w:t>хлоропирамина 20 мг/мл) в 100 мл 0,9% раствора NaC</w:t>
            </w:r>
            <w:r w:rsidRPr="007A2B03">
              <w:rPr>
                <w:lang w:val="en-US"/>
              </w:rPr>
              <w:t>l</w:t>
            </w:r>
            <w:r w:rsidRPr="007A2B03">
              <w:t xml:space="preserve"> в/в капельно.</w:t>
            </w:r>
          </w:p>
          <w:p w14:paraId="4DB8B641" w14:textId="77777777" w:rsidR="002C2CFC" w:rsidRPr="007A2B03" w:rsidRDefault="002C2CFC" w:rsidP="002D3EBF">
            <w:pPr>
              <w:pStyle w:val="afe"/>
              <w:ind w:left="0"/>
            </w:pPr>
            <w:r w:rsidRPr="007A2B03">
              <w:t>Возможно разовое применение глюкокортикостероидов** (</w:t>
            </w:r>
            <w:r w:rsidRPr="007A2B03">
              <w:rPr>
                <w:shd w:val="clear" w:color="auto" w:fill="FFFFFF"/>
              </w:rPr>
              <w:t>следует </w:t>
            </w:r>
            <w:r w:rsidRPr="007A2B03">
              <w:rPr>
                <w:rStyle w:val="affc"/>
                <w:shd w:val="clear" w:color="auto" w:fill="FFFFFF"/>
              </w:rPr>
              <w:t>соотнести</w:t>
            </w:r>
            <w:r w:rsidRPr="007A2B03">
              <w:rPr>
                <w:shd w:val="clear" w:color="auto" w:fill="FFFFFF"/>
              </w:rPr>
              <w:t> потенциальные </w:t>
            </w:r>
            <w:r w:rsidRPr="007A2B03">
              <w:rPr>
                <w:rStyle w:val="affc"/>
                <w:shd w:val="clear" w:color="auto" w:fill="FFFFFF"/>
              </w:rPr>
              <w:t>риски</w:t>
            </w:r>
            <w:r w:rsidRPr="007A2B03">
              <w:rPr>
                <w:shd w:val="clear" w:color="auto" w:fill="FFFFFF"/>
              </w:rPr>
              <w:t> и ожидаемую </w:t>
            </w:r>
            <w:r w:rsidRPr="007A2B03">
              <w:rPr>
                <w:rStyle w:val="affc"/>
                <w:shd w:val="clear" w:color="auto" w:fill="FFFFFF"/>
              </w:rPr>
              <w:t>пользу</w:t>
            </w:r>
            <w:r w:rsidRPr="007A2B03">
              <w:t>).</w:t>
            </w:r>
          </w:p>
          <w:p w14:paraId="4234BAFF" w14:textId="77777777" w:rsidR="002C2CFC" w:rsidRPr="007A2B03" w:rsidRDefault="002C2CFC" w:rsidP="002D3EBF">
            <w:r w:rsidRPr="007A2B03">
              <w:t>Уменьшение скорости трансфузии.</w:t>
            </w:r>
          </w:p>
        </w:tc>
      </w:tr>
      <w:tr w:rsidR="002C2CFC" w:rsidRPr="00915AAD" w14:paraId="41A295F2" w14:textId="77777777" w:rsidTr="002D3EBF">
        <w:tc>
          <w:tcPr>
            <w:tcW w:w="14560" w:type="dxa"/>
            <w:gridSpan w:val="3"/>
            <w:shd w:val="clear" w:color="auto" w:fill="auto"/>
          </w:tcPr>
          <w:p w14:paraId="411444DC" w14:textId="77777777" w:rsidR="002C2CFC" w:rsidRPr="007A2B03" w:rsidRDefault="002C2CFC" w:rsidP="00077D58">
            <w:pPr>
              <w:pStyle w:val="afe"/>
              <w:numPr>
                <w:ilvl w:val="0"/>
                <w:numId w:val="136"/>
              </w:numPr>
              <w:jc w:val="center"/>
              <w:rPr>
                <w:b/>
                <w:bCs/>
              </w:rPr>
            </w:pPr>
            <w:r w:rsidRPr="007A2B03">
              <w:rPr>
                <w:b/>
                <w:bCs/>
              </w:rPr>
              <w:lastRenderedPageBreak/>
              <w:t>Однократная гипертермическая фебрильная негемолитическая реакция (ФНР) в анамнезе</w:t>
            </w:r>
          </w:p>
        </w:tc>
      </w:tr>
      <w:tr w:rsidR="002C2CFC" w:rsidRPr="00915AAD" w14:paraId="136AAF9B" w14:textId="77777777" w:rsidTr="002D3EBF">
        <w:tc>
          <w:tcPr>
            <w:tcW w:w="3208" w:type="dxa"/>
            <w:shd w:val="clear" w:color="auto" w:fill="auto"/>
          </w:tcPr>
          <w:p w14:paraId="155F3F95" w14:textId="77777777" w:rsidR="002C2CFC" w:rsidRPr="007A2B03" w:rsidRDefault="002C2CFC" w:rsidP="00077D58">
            <w:pPr>
              <w:pStyle w:val="afe"/>
              <w:numPr>
                <w:ilvl w:val="0"/>
                <w:numId w:val="131"/>
              </w:numPr>
              <w:ind w:left="0"/>
            </w:pPr>
            <w:r w:rsidRPr="007A2B03">
              <w:t>Однократная ФНР в анамнезе</w:t>
            </w:r>
          </w:p>
        </w:tc>
        <w:tc>
          <w:tcPr>
            <w:tcW w:w="3082" w:type="dxa"/>
            <w:shd w:val="clear" w:color="auto" w:fill="auto"/>
          </w:tcPr>
          <w:p w14:paraId="0216E25E" w14:textId="77777777" w:rsidR="002C2CFC" w:rsidRPr="007A2B03" w:rsidRDefault="002C2CFC" w:rsidP="002D3EBF">
            <w:r w:rsidRPr="007A2B03">
              <w:t>Любой компонент донорской крови</w:t>
            </w:r>
          </w:p>
        </w:tc>
        <w:tc>
          <w:tcPr>
            <w:tcW w:w="8270" w:type="dxa"/>
            <w:shd w:val="clear" w:color="auto" w:fill="auto"/>
          </w:tcPr>
          <w:p w14:paraId="42F6DC35" w14:textId="77777777" w:rsidR="002C2CFC" w:rsidRPr="007A2B03" w:rsidRDefault="002C2CFC" w:rsidP="002D3EBF">
            <w:r w:rsidRPr="007A2B03">
              <w:t>10 мл 10% кальция глюконата в 100 мл 0,9% раствора NaC</w:t>
            </w:r>
            <w:r w:rsidRPr="007A2B03">
              <w:rPr>
                <w:lang w:val="en-US"/>
              </w:rPr>
              <w:t>l</w:t>
            </w:r>
            <w:r w:rsidRPr="007A2B03">
              <w:t xml:space="preserve"> в/в капельно</w:t>
            </w:r>
          </w:p>
        </w:tc>
      </w:tr>
      <w:tr w:rsidR="002C2CFC" w:rsidRPr="00915AAD" w14:paraId="60A421F2" w14:textId="77777777" w:rsidTr="002D3EBF">
        <w:tc>
          <w:tcPr>
            <w:tcW w:w="14560" w:type="dxa"/>
            <w:gridSpan w:val="3"/>
            <w:shd w:val="clear" w:color="auto" w:fill="auto"/>
          </w:tcPr>
          <w:p w14:paraId="7EDF8953" w14:textId="77777777" w:rsidR="002C2CFC" w:rsidRPr="007A2B03" w:rsidRDefault="002C2CFC" w:rsidP="00077D58">
            <w:pPr>
              <w:pStyle w:val="afe"/>
              <w:numPr>
                <w:ilvl w:val="0"/>
                <w:numId w:val="136"/>
              </w:numPr>
              <w:jc w:val="center"/>
              <w:rPr>
                <w:b/>
                <w:bCs/>
              </w:rPr>
            </w:pPr>
            <w:r w:rsidRPr="007A2B03">
              <w:rPr>
                <w:b/>
                <w:bCs/>
              </w:rPr>
              <w:t>Многократные (≥2) гипертермические фебрильные негемолитические реакции (ФНР) в анамнезе</w:t>
            </w:r>
          </w:p>
        </w:tc>
      </w:tr>
      <w:tr w:rsidR="002C2CFC" w:rsidRPr="00915AAD" w14:paraId="0BF75D6F" w14:textId="77777777" w:rsidTr="002D3EBF">
        <w:tc>
          <w:tcPr>
            <w:tcW w:w="3208" w:type="dxa"/>
            <w:vMerge w:val="restart"/>
            <w:shd w:val="clear" w:color="auto" w:fill="auto"/>
          </w:tcPr>
          <w:p w14:paraId="13B7373B" w14:textId="77777777" w:rsidR="002C2CFC" w:rsidRPr="007A2B03" w:rsidRDefault="002C2CFC" w:rsidP="00077D58">
            <w:pPr>
              <w:pStyle w:val="afe"/>
              <w:numPr>
                <w:ilvl w:val="0"/>
                <w:numId w:val="133"/>
              </w:numPr>
              <w:ind w:left="0"/>
            </w:pPr>
            <w:r w:rsidRPr="007A2B03">
              <w:t>Протекающие без потрясающего озноба</w:t>
            </w:r>
          </w:p>
        </w:tc>
        <w:tc>
          <w:tcPr>
            <w:tcW w:w="3082" w:type="dxa"/>
            <w:shd w:val="clear" w:color="auto" w:fill="auto"/>
          </w:tcPr>
          <w:p w14:paraId="76CE7EA3" w14:textId="77777777" w:rsidR="002C2CFC" w:rsidRPr="007A2B03" w:rsidRDefault="002C2CFC" w:rsidP="002D3EBF">
            <w:r w:rsidRPr="007A2B03">
              <w:t>Компонент донорской крови, вызвавший реакцию ранее</w:t>
            </w:r>
          </w:p>
        </w:tc>
        <w:tc>
          <w:tcPr>
            <w:tcW w:w="8270" w:type="dxa"/>
            <w:shd w:val="clear" w:color="auto" w:fill="auto"/>
          </w:tcPr>
          <w:p w14:paraId="6ADD39DC" w14:textId="77777777" w:rsidR="002C2CFC" w:rsidRPr="007A2B03" w:rsidRDefault="002C2CFC" w:rsidP="002D3EBF">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p w14:paraId="4401967F" w14:textId="77777777" w:rsidR="002C2CFC" w:rsidRPr="007A2B03" w:rsidRDefault="002C2CFC" w:rsidP="002D3EBF">
            <w:r w:rsidRPr="007A2B03">
              <w:t>При сохраняющихся ФНР, несмотря на добавление антигистаминных препаратов, дополнительно за 60 минут до трансфузии ввести 250-650 мг парацетамола в 250 мл 0,9% раствора NaC</w:t>
            </w:r>
            <w:r w:rsidRPr="007A2B03">
              <w:rPr>
                <w:lang w:val="en-US"/>
              </w:rPr>
              <w:t>l</w:t>
            </w:r>
            <w:r w:rsidRPr="007A2B03">
              <w:t xml:space="preserve"> в/в капельно (не рекомендовано у пациентов с нейтропенией, глубокой тромбоцитопенией).</w:t>
            </w:r>
          </w:p>
        </w:tc>
      </w:tr>
      <w:tr w:rsidR="002C2CFC" w:rsidRPr="00915AAD" w14:paraId="77CAA540" w14:textId="77777777" w:rsidTr="002D3EBF">
        <w:tc>
          <w:tcPr>
            <w:tcW w:w="3208" w:type="dxa"/>
            <w:vMerge/>
            <w:shd w:val="clear" w:color="auto" w:fill="auto"/>
          </w:tcPr>
          <w:p w14:paraId="2BC80FE4" w14:textId="77777777" w:rsidR="002C2CFC" w:rsidRPr="007A2B03" w:rsidRDefault="002C2CFC" w:rsidP="00077D58">
            <w:pPr>
              <w:pStyle w:val="afe"/>
              <w:numPr>
                <w:ilvl w:val="0"/>
                <w:numId w:val="133"/>
              </w:numPr>
              <w:ind w:left="0"/>
            </w:pPr>
          </w:p>
        </w:tc>
        <w:tc>
          <w:tcPr>
            <w:tcW w:w="3082" w:type="dxa"/>
            <w:shd w:val="clear" w:color="auto" w:fill="auto"/>
          </w:tcPr>
          <w:p w14:paraId="351669E2" w14:textId="77777777" w:rsidR="002C2CFC" w:rsidRPr="007A2B03" w:rsidRDefault="002C2CFC" w:rsidP="002D3EBF">
            <w:r w:rsidRPr="007A2B03">
              <w:t>Другие компоненты донорской крови (не вызывавшие реакции ранее)</w:t>
            </w:r>
          </w:p>
        </w:tc>
        <w:tc>
          <w:tcPr>
            <w:tcW w:w="8270" w:type="dxa"/>
            <w:shd w:val="clear" w:color="auto" w:fill="auto"/>
          </w:tcPr>
          <w:p w14:paraId="37E8C497" w14:textId="77777777" w:rsidR="002C2CFC" w:rsidRPr="007A2B03" w:rsidRDefault="002C2CFC" w:rsidP="002D3EBF">
            <w:r w:rsidRPr="007A2B03">
              <w:t>10 мл 10% кальция глюконата в 100 мл 0,9% раствора NaC</w:t>
            </w:r>
            <w:r w:rsidRPr="007A2B03">
              <w:rPr>
                <w:lang w:val="en-US"/>
              </w:rPr>
              <w:t>l</w:t>
            </w:r>
            <w:r w:rsidRPr="007A2B03">
              <w:t xml:space="preserve"> в/в капельно</w:t>
            </w:r>
          </w:p>
        </w:tc>
      </w:tr>
      <w:tr w:rsidR="002C2CFC" w:rsidRPr="00915AAD" w14:paraId="12D2242B" w14:textId="77777777" w:rsidTr="002D3EBF">
        <w:tc>
          <w:tcPr>
            <w:tcW w:w="3208" w:type="dxa"/>
            <w:vMerge w:val="restart"/>
            <w:shd w:val="clear" w:color="auto" w:fill="auto"/>
          </w:tcPr>
          <w:p w14:paraId="343284A2" w14:textId="77777777" w:rsidR="002C2CFC" w:rsidRPr="007A2B03" w:rsidRDefault="002C2CFC" w:rsidP="00077D58">
            <w:pPr>
              <w:pStyle w:val="afe"/>
              <w:numPr>
                <w:ilvl w:val="0"/>
                <w:numId w:val="133"/>
              </w:numPr>
              <w:ind w:left="0"/>
            </w:pPr>
            <w:r w:rsidRPr="007A2B03">
              <w:t>Протекающие с потрясающим ознобом</w:t>
            </w:r>
          </w:p>
        </w:tc>
        <w:tc>
          <w:tcPr>
            <w:tcW w:w="3082" w:type="dxa"/>
            <w:shd w:val="clear" w:color="auto" w:fill="auto"/>
          </w:tcPr>
          <w:p w14:paraId="11170269" w14:textId="77777777" w:rsidR="002C2CFC" w:rsidRPr="007A2B03" w:rsidRDefault="002C2CFC" w:rsidP="002D3EBF">
            <w:r w:rsidRPr="007A2B03">
              <w:t>Компонент донорской крови, вызвавший реакцию ранее</w:t>
            </w:r>
          </w:p>
        </w:tc>
        <w:tc>
          <w:tcPr>
            <w:tcW w:w="8270" w:type="dxa"/>
            <w:shd w:val="clear" w:color="auto" w:fill="auto"/>
          </w:tcPr>
          <w:p w14:paraId="3AC43B87" w14:textId="77777777" w:rsidR="002C2CFC" w:rsidRPr="007A2B03" w:rsidRDefault="002C2CFC" w:rsidP="002D3EBF">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 В случае </w:t>
            </w:r>
            <w:r w:rsidRPr="007A2B03">
              <w:lastRenderedPageBreak/>
              <w:t>сохранения тяжелых реакций возможно дополнительное введение 0,5-1 мл 2% промедола в 100 мл 0,9% раствора NaC</w:t>
            </w:r>
            <w:r w:rsidRPr="007A2B03">
              <w:rPr>
                <w:lang w:val="en-US"/>
              </w:rPr>
              <w:t>l</w:t>
            </w:r>
            <w:r w:rsidRPr="007A2B03">
              <w:t xml:space="preserve"> в/в капельно (до или параллельно с трансфузией).</w:t>
            </w:r>
          </w:p>
          <w:p w14:paraId="152C8B87" w14:textId="77777777" w:rsidR="002C2CFC" w:rsidRPr="007A2B03" w:rsidRDefault="002C2CFC" w:rsidP="002D3EBF">
            <w:pPr>
              <w:pStyle w:val="afe"/>
              <w:ind w:left="0"/>
            </w:pPr>
            <w:r w:rsidRPr="007A2B03">
              <w:t>Возможно разовое применение глюкокортикостероидов** (</w:t>
            </w:r>
            <w:r w:rsidRPr="007A2B03">
              <w:rPr>
                <w:shd w:val="clear" w:color="auto" w:fill="FFFFFF"/>
              </w:rPr>
              <w:t>следует </w:t>
            </w:r>
            <w:r w:rsidRPr="007A2B03">
              <w:rPr>
                <w:rStyle w:val="affc"/>
                <w:shd w:val="clear" w:color="auto" w:fill="FFFFFF"/>
              </w:rPr>
              <w:t>соотнести</w:t>
            </w:r>
            <w:r w:rsidRPr="007A2B03">
              <w:rPr>
                <w:shd w:val="clear" w:color="auto" w:fill="FFFFFF"/>
              </w:rPr>
              <w:t> потенциальные </w:t>
            </w:r>
            <w:r w:rsidRPr="007A2B03">
              <w:rPr>
                <w:rStyle w:val="affc"/>
                <w:shd w:val="clear" w:color="auto" w:fill="FFFFFF"/>
              </w:rPr>
              <w:t>риски</w:t>
            </w:r>
            <w:r w:rsidRPr="007A2B03">
              <w:rPr>
                <w:shd w:val="clear" w:color="auto" w:fill="FFFFFF"/>
              </w:rPr>
              <w:t> и ожидаемую </w:t>
            </w:r>
            <w:r w:rsidRPr="007A2B03">
              <w:rPr>
                <w:rStyle w:val="affc"/>
                <w:shd w:val="clear" w:color="auto" w:fill="FFFFFF"/>
              </w:rPr>
              <w:t>пользу</w:t>
            </w:r>
            <w:r w:rsidRPr="007A2B03">
              <w:t>).</w:t>
            </w:r>
          </w:p>
          <w:p w14:paraId="68F17994" w14:textId="77777777" w:rsidR="002C2CFC" w:rsidRPr="007A2B03" w:rsidRDefault="002C2CFC" w:rsidP="002D3EBF">
            <w:r w:rsidRPr="007A2B03">
              <w:t>Уменьшение скорости трансфузии.</w:t>
            </w:r>
          </w:p>
        </w:tc>
      </w:tr>
      <w:tr w:rsidR="002C2CFC" w:rsidRPr="00915AAD" w14:paraId="0F021913" w14:textId="77777777" w:rsidTr="002D3EBF">
        <w:tc>
          <w:tcPr>
            <w:tcW w:w="3208" w:type="dxa"/>
            <w:vMerge/>
            <w:shd w:val="clear" w:color="auto" w:fill="auto"/>
          </w:tcPr>
          <w:p w14:paraId="22C253B3" w14:textId="77777777" w:rsidR="002C2CFC" w:rsidRPr="007A2B03" w:rsidRDefault="002C2CFC" w:rsidP="00077D58">
            <w:pPr>
              <w:pStyle w:val="afe"/>
              <w:numPr>
                <w:ilvl w:val="0"/>
                <w:numId w:val="133"/>
              </w:numPr>
              <w:ind w:left="0"/>
            </w:pPr>
          </w:p>
        </w:tc>
        <w:tc>
          <w:tcPr>
            <w:tcW w:w="3082" w:type="dxa"/>
            <w:shd w:val="clear" w:color="auto" w:fill="auto"/>
          </w:tcPr>
          <w:p w14:paraId="1411B7D9" w14:textId="77777777" w:rsidR="002C2CFC" w:rsidRPr="007A2B03" w:rsidRDefault="002C2CFC" w:rsidP="002D3EBF">
            <w:r w:rsidRPr="007A2B03">
              <w:t>Другие компоненты донорской крови (не вызывавшие реакции ранее)</w:t>
            </w:r>
          </w:p>
        </w:tc>
        <w:tc>
          <w:tcPr>
            <w:tcW w:w="8270" w:type="dxa"/>
            <w:shd w:val="clear" w:color="auto" w:fill="auto"/>
          </w:tcPr>
          <w:p w14:paraId="06C6ADB1" w14:textId="77777777" w:rsidR="002C2CFC" w:rsidRPr="007A2B03" w:rsidRDefault="002C2CFC" w:rsidP="002D3EBF">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tc>
      </w:tr>
      <w:tr w:rsidR="002C2CFC" w:rsidRPr="00915AAD" w14:paraId="22F26285" w14:textId="77777777" w:rsidTr="002D3EBF">
        <w:tc>
          <w:tcPr>
            <w:tcW w:w="14560" w:type="dxa"/>
            <w:gridSpan w:val="3"/>
            <w:shd w:val="clear" w:color="auto" w:fill="auto"/>
          </w:tcPr>
          <w:p w14:paraId="5E88A31A" w14:textId="77777777" w:rsidR="002C2CFC" w:rsidRPr="007A2B03" w:rsidRDefault="002C2CFC" w:rsidP="00077D58">
            <w:pPr>
              <w:pStyle w:val="afe"/>
              <w:numPr>
                <w:ilvl w:val="0"/>
                <w:numId w:val="136"/>
              </w:numPr>
              <w:jc w:val="center"/>
              <w:rPr>
                <w:b/>
                <w:bCs/>
              </w:rPr>
            </w:pPr>
            <w:r w:rsidRPr="007A2B03">
              <w:rPr>
                <w:b/>
                <w:bCs/>
              </w:rPr>
              <w:t>Отсроченная серологическая трансфузионная реакция:</w:t>
            </w:r>
          </w:p>
          <w:p w14:paraId="3AE5F4F0" w14:textId="77777777" w:rsidR="002C2CFC" w:rsidRPr="007A2B03" w:rsidRDefault="002C2CFC" w:rsidP="002D3EBF">
            <w:pPr>
              <w:ind w:left="360"/>
              <w:rPr>
                <w:b/>
                <w:bCs/>
              </w:rPr>
            </w:pPr>
            <w:r w:rsidRPr="007A2B03">
              <w:t>установленное наличие антиэритроцитарных антител: положительная непрямая проба Кумбса при определении индивидуальной совместимости крови донора и реципиента в лаборатории иммуногематологии или если таковая не проводилась, ЛИБО предполагаемое - при эритроцитарном химеризме</w:t>
            </w:r>
          </w:p>
        </w:tc>
      </w:tr>
      <w:tr w:rsidR="002C2CFC" w:rsidRPr="00915AAD" w14:paraId="1C8BDE46" w14:textId="77777777" w:rsidTr="002D3EBF">
        <w:tc>
          <w:tcPr>
            <w:tcW w:w="3208" w:type="dxa"/>
            <w:shd w:val="clear" w:color="auto" w:fill="auto"/>
          </w:tcPr>
          <w:p w14:paraId="47BA5F28" w14:textId="77777777" w:rsidR="002C2CFC" w:rsidRPr="007A2B03" w:rsidRDefault="002C2CFC" w:rsidP="002D3EBF">
            <w:r w:rsidRPr="007A2B03">
              <w:t xml:space="preserve">Отсроченная серологическая трансфузионная реакция </w:t>
            </w:r>
          </w:p>
        </w:tc>
        <w:tc>
          <w:tcPr>
            <w:tcW w:w="3082" w:type="dxa"/>
            <w:shd w:val="clear" w:color="auto" w:fill="auto"/>
          </w:tcPr>
          <w:p w14:paraId="53E16F60" w14:textId="77777777" w:rsidR="002C2CFC" w:rsidRPr="007A2B03" w:rsidRDefault="002C2CFC" w:rsidP="002D3EBF">
            <w:r w:rsidRPr="007A2B03">
              <w:t>Любой компонент донорской крови</w:t>
            </w:r>
          </w:p>
        </w:tc>
        <w:tc>
          <w:tcPr>
            <w:tcW w:w="8270" w:type="dxa"/>
            <w:shd w:val="clear" w:color="auto" w:fill="auto"/>
          </w:tcPr>
          <w:p w14:paraId="0A7A9AA8" w14:textId="77777777" w:rsidR="002C2CFC" w:rsidRPr="007A2B03" w:rsidRDefault="002C2CFC" w:rsidP="002D3EBF">
            <w:r w:rsidRPr="007A2B03">
              <w:t>10 мл 10% кальция глюконата в 100 мл 0,9% раствора NaC</w:t>
            </w:r>
            <w:r w:rsidRPr="007A2B03">
              <w:rPr>
                <w:lang w:val="en-US"/>
              </w:rPr>
              <w:t>l</w:t>
            </w:r>
            <w:r w:rsidRPr="007A2B03">
              <w:t xml:space="preserve"> в/в капельно.</w:t>
            </w:r>
          </w:p>
        </w:tc>
      </w:tr>
      <w:tr w:rsidR="002C2CFC" w:rsidRPr="00915AAD" w14:paraId="3433BFC8" w14:textId="77777777" w:rsidTr="002D3EBF">
        <w:tc>
          <w:tcPr>
            <w:tcW w:w="14560" w:type="dxa"/>
            <w:gridSpan w:val="3"/>
            <w:shd w:val="clear" w:color="auto" w:fill="auto"/>
          </w:tcPr>
          <w:p w14:paraId="3CDAE298" w14:textId="77777777" w:rsidR="002C2CFC" w:rsidRPr="007A2B03" w:rsidRDefault="002C2CFC" w:rsidP="00077D58">
            <w:pPr>
              <w:pStyle w:val="afe"/>
              <w:numPr>
                <w:ilvl w:val="0"/>
                <w:numId w:val="136"/>
              </w:numPr>
              <w:jc w:val="center"/>
              <w:rPr>
                <w:b/>
                <w:bCs/>
              </w:rPr>
            </w:pPr>
            <w:r w:rsidRPr="007A2B03">
              <w:rPr>
                <w:b/>
                <w:bCs/>
              </w:rPr>
              <w:t>Острый или отсроченный иммунный гемолиз</w:t>
            </w:r>
          </w:p>
        </w:tc>
      </w:tr>
      <w:tr w:rsidR="002C2CFC" w:rsidRPr="00915AAD" w14:paraId="01C80F32" w14:textId="77777777" w:rsidTr="002D3EBF">
        <w:tc>
          <w:tcPr>
            <w:tcW w:w="3208" w:type="dxa"/>
            <w:shd w:val="clear" w:color="auto" w:fill="auto"/>
          </w:tcPr>
          <w:p w14:paraId="405117F9" w14:textId="77777777" w:rsidR="002C2CFC" w:rsidRPr="007A2B03" w:rsidRDefault="002C2CFC" w:rsidP="00077D58">
            <w:pPr>
              <w:pStyle w:val="afe"/>
              <w:numPr>
                <w:ilvl w:val="0"/>
                <w:numId w:val="134"/>
              </w:numPr>
              <w:ind w:left="0"/>
            </w:pPr>
            <w:r w:rsidRPr="007A2B03">
              <w:t>Гемолиз в анамнезе (клинических признаков гемолиза в настоящее время нет)</w:t>
            </w:r>
          </w:p>
        </w:tc>
        <w:tc>
          <w:tcPr>
            <w:tcW w:w="3082" w:type="dxa"/>
            <w:shd w:val="clear" w:color="auto" w:fill="auto"/>
          </w:tcPr>
          <w:p w14:paraId="02118DC4" w14:textId="77777777" w:rsidR="002C2CFC" w:rsidRPr="007A2B03" w:rsidRDefault="002C2CFC" w:rsidP="002D3EBF">
            <w:r w:rsidRPr="007A2B03">
              <w:t>Любой компонент донорской крови</w:t>
            </w:r>
          </w:p>
        </w:tc>
        <w:tc>
          <w:tcPr>
            <w:tcW w:w="8270" w:type="dxa"/>
            <w:shd w:val="clear" w:color="auto" w:fill="auto"/>
          </w:tcPr>
          <w:p w14:paraId="767857AA" w14:textId="77777777" w:rsidR="002C2CFC" w:rsidRPr="007A2B03" w:rsidRDefault="002C2CFC" w:rsidP="002D3EBF">
            <w:r w:rsidRPr="007A2B03">
              <w:t>10 мл 10% кальция глюконата в 100 мл 0,9% раствора NaC</w:t>
            </w:r>
            <w:r w:rsidRPr="007A2B03">
              <w:rPr>
                <w:lang w:val="en-US"/>
              </w:rPr>
              <w:t>l</w:t>
            </w:r>
            <w:r w:rsidRPr="007A2B03">
              <w:t xml:space="preserve"> в/в капельно</w:t>
            </w:r>
          </w:p>
        </w:tc>
      </w:tr>
      <w:tr w:rsidR="002C2CFC" w:rsidRPr="00915AAD" w14:paraId="07A868EE" w14:textId="77777777" w:rsidTr="002D3EBF">
        <w:tc>
          <w:tcPr>
            <w:tcW w:w="3208" w:type="dxa"/>
            <w:vMerge w:val="restart"/>
            <w:shd w:val="clear" w:color="auto" w:fill="auto"/>
          </w:tcPr>
          <w:p w14:paraId="72FBB412" w14:textId="77777777" w:rsidR="002C2CFC" w:rsidRPr="007A2B03" w:rsidRDefault="002C2CFC" w:rsidP="00077D58">
            <w:pPr>
              <w:pStyle w:val="afe"/>
              <w:numPr>
                <w:ilvl w:val="0"/>
                <w:numId w:val="134"/>
              </w:numPr>
              <w:ind w:left="0"/>
            </w:pPr>
            <w:r w:rsidRPr="007A2B03">
              <w:t>Активный гемолиз (признаки гемолиза сохраняются)</w:t>
            </w:r>
          </w:p>
        </w:tc>
        <w:tc>
          <w:tcPr>
            <w:tcW w:w="3082" w:type="dxa"/>
            <w:shd w:val="clear" w:color="auto" w:fill="auto"/>
          </w:tcPr>
          <w:p w14:paraId="3D381E9D" w14:textId="77777777" w:rsidR="002C2CFC" w:rsidRPr="007A2B03" w:rsidRDefault="002C2CFC" w:rsidP="002D3EBF">
            <w:r w:rsidRPr="007A2B03">
              <w:t>Эритроцитсодержащие компоненты донорской крови</w:t>
            </w:r>
          </w:p>
        </w:tc>
        <w:tc>
          <w:tcPr>
            <w:tcW w:w="8270" w:type="dxa"/>
            <w:shd w:val="clear" w:color="auto" w:fill="auto"/>
          </w:tcPr>
          <w:p w14:paraId="2CFB3232" w14:textId="77777777" w:rsidR="002C2CFC" w:rsidRPr="007A2B03" w:rsidRDefault="002C2CFC" w:rsidP="002D3EBF">
            <w:r w:rsidRPr="007A2B03">
              <w:t>10 мл 10% кальция глюконата в 250-500 мл 0,9% раствора NaC</w:t>
            </w:r>
            <w:r w:rsidRPr="007A2B03">
              <w:rPr>
                <w:lang w:val="en-US"/>
              </w:rPr>
              <w:t>l</w:t>
            </w:r>
            <w:r w:rsidRPr="007A2B03">
              <w:t xml:space="preserve"> в/в капельно.</w:t>
            </w:r>
          </w:p>
          <w:p w14:paraId="3BC174BE" w14:textId="77777777" w:rsidR="002C2CFC" w:rsidRPr="007A2B03" w:rsidRDefault="002C2CFC" w:rsidP="002D3EBF">
            <w:r w:rsidRPr="007A2B03">
              <w:t xml:space="preserve">При высоком риске дальнейшего усиления иммунного гемолиза следует индивидуально рассмотреть возможность </w:t>
            </w:r>
            <w:r w:rsidRPr="007A2B03">
              <w:lastRenderedPageBreak/>
              <w:t>введения глюкокортикостероидов**, ритуксимаба.</w:t>
            </w:r>
          </w:p>
        </w:tc>
      </w:tr>
      <w:tr w:rsidR="002C2CFC" w:rsidRPr="00915AAD" w14:paraId="59F3C97D" w14:textId="77777777" w:rsidTr="002D3EBF">
        <w:tc>
          <w:tcPr>
            <w:tcW w:w="3208" w:type="dxa"/>
            <w:vMerge/>
            <w:shd w:val="clear" w:color="auto" w:fill="auto"/>
          </w:tcPr>
          <w:p w14:paraId="62CE2603" w14:textId="77777777" w:rsidR="002C2CFC" w:rsidRPr="007A2B03" w:rsidRDefault="002C2CFC" w:rsidP="002D3EBF"/>
        </w:tc>
        <w:tc>
          <w:tcPr>
            <w:tcW w:w="3082" w:type="dxa"/>
            <w:shd w:val="clear" w:color="auto" w:fill="auto"/>
          </w:tcPr>
          <w:p w14:paraId="199519BC" w14:textId="77777777" w:rsidR="002C2CFC" w:rsidRPr="007A2B03" w:rsidRDefault="002C2CFC" w:rsidP="002D3EBF">
            <w:r w:rsidRPr="007A2B03">
              <w:t>Концентрат тромбоцитов, свежезамороженная плазма, криопреципитат, криосупернатант</w:t>
            </w:r>
          </w:p>
        </w:tc>
        <w:tc>
          <w:tcPr>
            <w:tcW w:w="8270" w:type="dxa"/>
            <w:shd w:val="clear" w:color="auto" w:fill="auto"/>
          </w:tcPr>
          <w:p w14:paraId="0808F035" w14:textId="77777777" w:rsidR="002C2CFC" w:rsidRPr="007A2B03" w:rsidRDefault="002C2CFC" w:rsidP="002D3EBF">
            <w:r w:rsidRPr="007A2B03">
              <w:t>10 мл 10% кальция глюконата в 500 мл 0,9% раствора NaC</w:t>
            </w:r>
            <w:r w:rsidRPr="007A2B03">
              <w:rPr>
                <w:lang w:val="en-US"/>
              </w:rPr>
              <w:t>l</w:t>
            </w:r>
            <w:r w:rsidRPr="007A2B03">
              <w:t xml:space="preserve"> в/в капельно</w:t>
            </w:r>
          </w:p>
        </w:tc>
      </w:tr>
      <w:tr w:rsidR="002C2CFC" w:rsidRPr="00915AAD" w14:paraId="3B979719" w14:textId="77777777" w:rsidTr="002D3EBF">
        <w:tc>
          <w:tcPr>
            <w:tcW w:w="14560" w:type="dxa"/>
            <w:gridSpan w:val="3"/>
            <w:shd w:val="clear" w:color="auto" w:fill="auto"/>
          </w:tcPr>
          <w:p w14:paraId="7885AF00" w14:textId="77777777" w:rsidR="002C2CFC" w:rsidRPr="007A2B03" w:rsidRDefault="002C2CFC" w:rsidP="00077D58">
            <w:pPr>
              <w:pStyle w:val="afe"/>
              <w:numPr>
                <w:ilvl w:val="0"/>
                <w:numId w:val="136"/>
              </w:numPr>
              <w:jc w:val="center"/>
              <w:rPr>
                <w:b/>
                <w:bCs/>
              </w:rPr>
            </w:pPr>
            <w:r w:rsidRPr="007A2B03">
              <w:rPr>
                <w:b/>
                <w:bCs/>
              </w:rPr>
              <w:t>Посттрансфузионная болезнь «трансплантат против хозяина»</w:t>
            </w:r>
          </w:p>
        </w:tc>
      </w:tr>
      <w:tr w:rsidR="002C2CFC" w:rsidRPr="00915AAD" w14:paraId="7FC5778A" w14:textId="77777777" w:rsidTr="002D3EBF">
        <w:tc>
          <w:tcPr>
            <w:tcW w:w="3208" w:type="dxa"/>
            <w:shd w:val="clear" w:color="auto" w:fill="auto"/>
          </w:tcPr>
          <w:p w14:paraId="418C7CEA" w14:textId="77777777" w:rsidR="002C2CFC" w:rsidRPr="007A2B03" w:rsidRDefault="002C2CFC" w:rsidP="002D3EBF">
            <w:r w:rsidRPr="007A2B03">
              <w:t>Посттрансфузионная болезнь «трансплантат против хозяина»</w:t>
            </w:r>
          </w:p>
        </w:tc>
        <w:tc>
          <w:tcPr>
            <w:tcW w:w="3082" w:type="dxa"/>
            <w:shd w:val="clear" w:color="auto" w:fill="auto"/>
          </w:tcPr>
          <w:p w14:paraId="45A0E6E3" w14:textId="77777777" w:rsidR="002C2CFC" w:rsidRPr="007A2B03" w:rsidRDefault="002C2CFC" w:rsidP="002D3EBF">
            <w:r w:rsidRPr="007A2B03">
              <w:t>Любой компонент донорской крови</w:t>
            </w:r>
          </w:p>
        </w:tc>
        <w:tc>
          <w:tcPr>
            <w:tcW w:w="8270" w:type="dxa"/>
            <w:shd w:val="clear" w:color="auto" w:fill="auto"/>
          </w:tcPr>
          <w:p w14:paraId="48C6700D" w14:textId="77777777" w:rsidR="002C2CFC" w:rsidRPr="007A2B03" w:rsidRDefault="002C2CFC" w:rsidP="002D3EBF">
            <w:r w:rsidRPr="007A2B03">
              <w:t>10 мл 10% кальция глюконата в 100 мл 0,9% раствора NaC</w:t>
            </w:r>
            <w:r w:rsidRPr="007A2B03">
              <w:rPr>
                <w:lang w:val="en-US"/>
              </w:rPr>
              <w:t>l</w:t>
            </w:r>
            <w:r w:rsidRPr="007A2B03">
              <w:t xml:space="preserve"> в/в капельно</w:t>
            </w:r>
          </w:p>
        </w:tc>
      </w:tr>
      <w:tr w:rsidR="002C2CFC" w:rsidRPr="00915AAD" w14:paraId="2C130CB3" w14:textId="77777777" w:rsidTr="002D3EBF">
        <w:tc>
          <w:tcPr>
            <w:tcW w:w="14560" w:type="dxa"/>
            <w:gridSpan w:val="3"/>
            <w:shd w:val="clear" w:color="auto" w:fill="auto"/>
          </w:tcPr>
          <w:p w14:paraId="5587DAA6" w14:textId="77777777" w:rsidR="002C2CFC" w:rsidRPr="007A2B03" w:rsidRDefault="002C2CFC" w:rsidP="00077D58">
            <w:pPr>
              <w:pStyle w:val="afe"/>
              <w:numPr>
                <w:ilvl w:val="0"/>
                <w:numId w:val="136"/>
              </w:numPr>
              <w:jc w:val="center"/>
              <w:rPr>
                <w:b/>
                <w:bCs/>
              </w:rPr>
            </w:pPr>
            <w:r w:rsidRPr="007A2B03">
              <w:rPr>
                <w:b/>
                <w:bCs/>
              </w:rPr>
              <w:t xml:space="preserve">Посттрансфузионная пурпура: </w:t>
            </w:r>
          </w:p>
          <w:p w14:paraId="57DBF356" w14:textId="77777777" w:rsidR="002C2CFC" w:rsidRPr="007A2B03" w:rsidRDefault="002C2CFC" w:rsidP="002D3EBF">
            <w:pPr>
              <w:rPr>
                <w:b/>
                <w:bCs/>
              </w:rPr>
            </w:pPr>
            <w:r w:rsidRPr="007A2B03">
              <w:t>наличие антилейкоцитарных и (или) специфических антитромбоцитарных антител, рефрактерность к трансфузиям тромбоцитсодержащих сред</w:t>
            </w:r>
          </w:p>
        </w:tc>
      </w:tr>
      <w:tr w:rsidR="002C2CFC" w:rsidRPr="00915AAD" w14:paraId="41DFD65A" w14:textId="77777777" w:rsidTr="002D3EBF">
        <w:tc>
          <w:tcPr>
            <w:tcW w:w="3208" w:type="dxa"/>
            <w:vMerge w:val="restart"/>
            <w:shd w:val="clear" w:color="auto" w:fill="auto"/>
          </w:tcPr>
          <w:p w14:paraId="71DAFC6D" w14:textId="77777777" w:rsidR="002C2CFC" w:rsidRPr="007A2B03" w:rsidRDefault="002C2CFC" w:rsidP="002D3EBF">
            <w:r w:rsidRPr="007A2B03">
              <w:t xml:space="preserve">Посттрансфузионная пурпура </w:t>
            </w:r>
          </w:p>
        </w:tc>
        <w:tc>
          <w:tcPr>
            <w:tcW w:w="3082" w:type="dxa"/>
            <w:shd w:val="clear" w:color="auto" w:fill="auto"/>
          </w:tcPr>
          <w:p w14:paraId="7912D3C9" w14:textId="77777777" w:rsidR="002C2CFC" w:rsidRPr="007A2B03" w:rsidRDefault="002C2CFC" w:rsidP="002D3EBF">
            <w:r w:rsidRPr="007A2B03">
              <w:t>Индивидуально подобранный концентрат тромбоцитов методом адгезии на твердой фазе / в лимфоцитотоксическом тесте</w:t>
            </w:r>
          </w:p>
        </w:tc>
        <w:tc>
          <w:tcPr>
            <w:tcW w:w="8270" w:type="dxa"/>
            <w:shd w:val="clear" w:color="auto" w:fill="auto"/>
          </w:tcPr>
          <w:p w14:paraId="6253BF54" w14:textId="77777777" w:rsidR="002C2CFC" w:rsidRPr="007A2B03" w:rsidRDefault="002C2CFC" w:rsidP="002D3EBF">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tc>
      </w:tr>
      <w:tr w:rsidR="002C2CFC" w:rsidRPr="00915AAD" w14:paraId="4B9DF41F" w14:textId="77777777" w:rsidTr="002D3EBF">
        <w:tc>
          <w:tcPr>
            <w:tcW w:w="3208" w:type="dxa"/>
            <w:vMerge/>
            <w:shd w:val="clear" w:color="auto" w:fill="auto"/>
          </w:tcPr>
          <w:p w14:paraId="432F168F" w14:textId="77777777" w:rsidR="002C2CFC" w:rsidRPr="007A2B03" w:rsidRDefault="002C2CFC" w:rsidP="002D3EBF"/>
        </w:tc>
        <w:tc>
          <w:tcPr>
            <w:tcW w:w="3082" w:type="dxa"/>
            <w:shd w:val="clear" w:color="auto" w:fill="auto"/>
          </w:tcPr>
          <w:p w14:paraId="008139F4" w14:textId="77777777" w:rsidR="002C2CFC" w:rsidRPr="007A2B03" w:rsidRDefault="002C2CFC" w:rsidP="002D3EBF">
            <w:r w:rsidRPr="007A2B03">
              <w:t>Концентрат тромбоцитов с невозможностью проведения индивидуального подбора</w:t>
            </w:r>
          </w:p>
        </w:tc>
        <w:tc>
          <w:tcPr>
            <w:tcW w:w="8270" w:type="dxa"/>
            <w:shd w:val="clear" w:color="auto" w:fill="auto"/>
          </w:tcPr>
          <w:p w14:paraId="7898FC7C" w14:textId="77777777" w:rsidR="002C2CFC" w:rsidRPr="007A2B03" w:rsidRDefault="002C2CFC" w:rsidP="002D3EBF">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p w14:paraId="201B1FC1" w14:textId="77777777" w:rsidR="002C2CFC" w:rsidRPr="007A2B03" w:rsidRDefault="002C2CFC" w:rsidP="002D3EBF">
            <w:r w:rsidRPr="007A2B03">
              <w:t xml:space="preserve">Индивидуально рассмотреть возможность разового введения глюкокортикостероидов** с целью снижения дальнейшей аллоиммунизации и уменьшения выраженности возможной посттрансфузионной реакции или </w:t>
            </w:r>
            <w:r w:rsidRPr="007A2B03">
              <w:lastRenderedPageBreak/>
              <w:t>осложнений на данную трансфузию (</w:t>
            </w:r>
            <w:r w:rsidRPr="007A2B03">
              <w:rPr>
                <w:shd w:val="clear" w:color="auto" w:fill="FFFFFF"/>
              </w:rPr>
              <w:t>следует </w:t>
            </w:r>
            <w:r w:rsidRPr="007A2B03">
              <w:rPr>
                <w:rStyle w:val="affc"/>
                <w:rFonts w:eastAsiaTheme="majorEastAsia"/>
                <w:shd w:val="clear" w:color="auto" w:fill="FFFFFF"/>
              </w:rPr>
              <w:t>соотнести</w:t>
            </w:r>
            <w:r w:rsidRPr="007A2B03">
              <w:rPr>
                <w:shd w:val="clear" w:color="auto" w:fill="FFFFFF"/>
              </w:rPr>
              <w:t> потенциальные </w:t>
            </w:r>
            <w:r w:rsidRPr="007A2B03">
              <w:rPr>
                <w:rStyle w:val="affc"/>
                <w:rFonts w:eastAsiaTheme="majorEastAsia"/>
                <w:shd w:val="clear" w:color="auto" w:fill="FFFFFF"/>
              </w:rPr>
              <w:t>риски</w:t>
            </w:r>
            <w:r w:rsidRPr="007A2B03">
              <w:rPr>
                <w:shd w:val="clear" w:color="auto" w:fill="FFFFFF"/>
              </w:rPr>
              <w:t> и ожидаемую </w:t>
            </w:r>
            <w:r w:rsidRPr="007A2B03">
              <w:rPr>
                <w:rStyle w:val="affc"/>
                <w:rFonts w:eastAsiaTheme="majorEastAsia"/>
                <w:shd w:val="clear" w:color="auto" w:fill="FFFFFF"/>
              </w:rPr>
              <w:t>пользу</w:t>
            </w:r>
            <w:r w:rsidRPr="007A2B03">
              <w:t>).</w:t>
            </w:r>
          </w:p>
        </w:tc>
      </w:tr>
      <w:tr w:rsidR="002C2CFC" w:rsidRPr="00915AAD" w14:paraId="37C9E952" w14:textId="77777777" w:rsidTr="002D3EBF">
        <w:tc>
          <w:tcPr>
            <w:tcW w:w="3208" w:type="dxa"/>
            <w:vMerge/>
            <w:shd w:val="clear" w:color="auto" w:fill="auto"/>
          </w:tcPr>
          <w:p w14:paraId="05AB2E45" w14:textId="77777777" w:rsidR="002C2CFC" w:rsidRPr="007A2B03" w:rsidRDefault="002C2CFC" w:rsidP="002D3EBF"/>
        </w:tc>
        <w:tc>
          <w:tcPr>
            <w:tcW w:w="3082" w:type="dxa"/>
            <w:shd w:val="clear" w:color="auto" w:fill="auto"/>
          </w:tcPr>
          <w:p w14:paraId="131ABADA" w14:textId="77777777" w:rsidR="002C2CFC" w:rsidRPr="007A2B03" w:rsidRDefault="002C2CFC" w:rsidP="002D3EBF">
            <w:r w:rsidRPr="007A2B03">
              <w:t>Другие компоненты донорской крови</w:t>
            </w:r>
          </w:p>
        </w:tc>
        <w:tc>
          <w:tcPr>
            <w:tcW w:w="8270" w:type="dxa"/>
            <w:shd w:val="clear" w:color="auto" w:fill="auto"/>
          </w:tcPr>
          <w:p w14:paraId="037EF000" w14:textId="77777777" w:rsidR="002C2CFC" w:rsidRPr="007A2B03" w:rsidRDefault="002C2CFC" w:rsidP="002D3EBF">
            <w:r w:rsidRPr="007A2B03">
              <w:t>10 мл 10% кальция глюконата в 100 мл 0,9% раствора NaC</w:t>
            </w:r>
            <w:r w:rsidRPr="007A2B03">
              <w:rPr>
                <w:lang w:val="en-US"/>
              </w:rPr>
              <w:t>l</w:t>
            </w:r>
            <w:r w:rsidRPr="007A2B03">
              <w:t xml:space="preserve"> в/в капельно</w:t>
            </w:r>
          </w:p>
        </w:tc>
      </w:tr>
    </w:tbl>
    <w:p w14:paraId="5808C6E7" w14:textId="77777777" w:rsidR="002C2CFC" w:rsidRPr="00BC3659" w:rsidRDefault="002C2CFC" w:rsidP="002C2CFC">
      <w:pPr>
        <w:rPr>
          <w:sz w:val="20"/>
          <w:szCs w:val="20"/>
        </w:rPr>
      </w:pPr>
      <w:r w:rsidRPr="00915AAD">
        <w:t xml:space="preserve">* </w:t>
      </w:r>
      <w:r w:rsidRPr="00BC3659">
        <w:rPr>
          <w:sz w:val="20"/>
          <w:szCs w:val="20"/>
        </w:rPr>
        <w:t>Предшествующие реакции и осложнения, связанные с трансфузией донорской крови и (или) ее компонентов, не влияющие на объем последующей премедикации при проведении трансфузионной терапии:</w:t>
      </w:r>
    </w:p>
    <w:p w14:paraId="63C37D22" w14:textId="77777777" w:rsidR="002C2CFC" w:rsidRPr="00BC3659" w:rsidRDefault="002C2CFC" w:rsidP="00077D58">
      <w:pPr>
        <w:pStyle w:val="afe"/>
        <w:numPr>
          <w:ilvl w:val="0"/>
          <w:numId w:val="135"/>
        </w:numPr>
        <w:rPr>
          <w:sz w:val="20"/>
          <w:szCs w:val="20"/>
        </w:rPr>
      </w:pPr>
      <w:r w:rsidRPr="00BC3659">
        <w:rPr>
          <w:sz w:val="20"/>
          <w:szCs w:val="20"/>
        </w:rPr>
        <w:t>Иммунные:</w:t>
      </w:r>
    </w:p>
    <w:p w14:paraId="5DA46CCC" w14:textId="77777777" w:rsidR="002C2CFC" w:rsidRPr="00BC3659" w:rsidRDefault="002C2CFC" w:rsidP="00077D58">
      <w:pPr>
        <w:pStyle w:val="afe"/>
        <w:numPr>
          <w:ilvl w:val="0"/>
          <w:numId w:val="130"/>
        </w:numPr>
        <w:rPr>
          <w:sz w:val="20"/>
          <w:szCs w:val="20"/>
        </w:rPr>
      </w:pPr>
      <w:r w:rsidRPr="00BC3659">
        <w:rPr>
          <w:sz w:val="20"/>
          <w:szCs w:val="20"/>
        </w:rPr>
        <w:t>Обусловленное трансфузией острое повреждение легких</w:t>
      </w:r>
    </w:p>
    <w:p w14:paraId="07EEBA16" w14:textId="77777777" w:rsidR="002C2CFC" w:rsidRPr="00BC3659" w:rsidRDefault="002C2CFC" w:rsidP="00077D58">
      <w:pPr>
        <w:pStyle w:val="afe"/>
        <w:numPr>
          <w:ilvl w:val="0"/>
          <w:numId w:val="130"/>
        </w:numPr>
        <w:rPr>
          <w:sz w:val="20"/>
          <w:szCs w:val="20"/>
        </w:rPr>
      </w:pPr>
      <w:r w:rsidRPr="00BC3659">
        <w:rPr>
          <w:sz w:val="20"/>
          <w:szCs w:val="20"/>
        </w:rPr>
        <w:t>Обусловленная трансфузией одышка</w:t>
      </w:r>
    </w:p>
    <w:p w14:paraId="6C6587A6" w14:textId="77777777" w:rsidR="002C2CFC" w:rsidRPr="00BC3659" w:rsidRDefault="002C2CFC" w:rsidP="00077D58">
      <w:pPr>
        <w:pStyle w:val="afe"/>
        <w:numPr>
          <w:ilvl w:val="0"/>
          <w:numId w:val="135"/>
        </w:numPr>
        <w:rPr>
          <w:sz w:val="20"/>
          <w:szCs w:val="20"/>
        </w:rPr>
      </w:pPr>
      <w:r w:rsidRPr="00BC3659">
        <w:rPr>
          <w:sz w:val="20"/>
          <w:szCs w:val="20"/>
        </w:rPr>
        <w:t>Неиммуные:</w:t>
      </w:r>
    </w:p>
    <w:p w14:paraId="0E11EB36" w14:textId="77777777" w:rsidR="002C2CFC" w:rsidRPr="00BC3659" w:rsidRDefault="002C2CFC" w:rsidP="00077D58">
      <w:pPr>
        <w:pStyle w:val="afe"/>
        <w:numPr>
          <w:ilvl w:val="0"/>
          <w:numId w:val="132"/>
        </w:numPr>
        <w:rPr>
          <w:sz w:val="20"/>
          <w:szCs w:val="20"/>
        </w:rPr>
      </w:pPr>
      <w:r w:rsidRPr="00BC3659">
        <w:rPr>
          <w:sz w:val="20"/>
          <w:szCs w:val="20"/>
        </w:rPr>
        <w:t>Обусловленная трансфузией циркуляторная перегрузка</w:t>
      </w:r>
    </w:p>
    <w:p w14:paraId="60792C7D" w14:textId="77777777" w:rsidR="002C2CFC" w:rsidRPr="00BC3659" w:rsidRDefault="002C2CFC" w:rsidP="00077D58">
      <w:pPr>
        <w:pStyle w:val="afe"/>
        <w:numPr>
          <w:ilvl w:val="0"/>
          <w:numId w:val="132"/>
        </w:numPr>
        <w:rPr>
          <w:sz w:val="20"/>
          <w:szCs w:val="20"/>
        </w:rPr>
      </w:pPr>
      <w:r w:rsidRPr="00BC3659">
        <w:rPr>
          <w:sz w:val="20"/>
          <w:szCs w:val="20"/>
        </w:rPr>
        <w:t>Посттрансфузионная гипертензия</w:t>
      </w:r>
    </w:p>
    <w:p w14:paraId="23ACA841" w14:textId="77777777" w:rsidR="002C2CFC" w:rsidRPr="00BC3659" w:rsidRDefault="002C2CFC" w:rsidP="00077D58">
      <w:pPr>
        <w:pStyle w:val="afe"/>
        <w:numPr>
          <w:ilvl w:val="0"/>
          <w:numId w:val="132"/>
        </w:numPr>
        <w:rPr>
          <w:sz w:val="20"/>
          <w:szCs w:val="20"/>
        </w:rPr>
      </w:pPr>
      <w:r w:rsidRPr="00BC3659">
        <w:rPr>
          <w:sz w:val="20"/>
          <w:szCs w:val="20"/>
        </w:rPr>
        <w:t>Острый неиммунный гемолиз</w:t>
      </w:r>
    </w:p>
    <w:p w14:paraId="31BF8E38" w14:textId="77777777" w:rsidR="002C2CFC" w:rsidRPr="00BC3659" w:rsidRDefault="002C2CFC" w:rsidP="00077D58">
      <w:pPr>
        <w:pStyle w:val="afe"/>
        <w:numPr>
          <w:ilvl w:val="0"/>
          <w:numId w:val="132"/>
        </w:numPr>
        <w:rPr>
          <w:sz w:val="20"/>
          <w:szCs w:val="20"/>
        </w:rPr>
      </w:pPr>
      <w:r w:rsidRPr="00BC3659">
        <w:rPr>
          <w:sz w:val="20"/>
          <w:szCs w:val="20"/>
        </w:rPr>
        <w:t>Септический шок</w:t>
      </w:r>
    </w:p>
    <w:p w14:paraId="1CBFD48F" w14:textId="77777777" w:rsidR="002C2CFC" w:rsidRPr="00BC3659" w:rsidRDefault="002C2CFC" w:rsidP="00077D58">
      <w:pPr>
        <w:pStyle w:val="afe"/>
        <w:numPr>
          <w:ilvl w:val="0"/>
          <w:numId w:val="132"/>
        </w:numPr>
        <w:rPr>
          <w:sz w:val="20"/>
          <w:szCs w:val="20"/>
        </w:rPr>
      </w:pPr>
      <w:r w:rsidRPr="00BC3659">
        <w:rPr>
          <w:sz w:val="20"/>
          <w:szCs w:val="20"/>
        </w:rPr>
        <w:t>Хроническая перегрузка железом</w:t>
      </w:r>
    </w:p>
    <w:p w14:paraId="064A401A" w14:textId="77777777" w:rsidR="002C2CFC" w:rsidRPr="00BC3659" w:rsidRDefault="002C2CFC" w:rsidP="002C2CFC">
      <w:pPr>
        <w:rPr>
          <w:sz w:val="20"/>
          <w:szCs w:val="20"/>
        </w:rPr>
      </w:pPr>
      <w:r w:rsidRPr="00BC3659">
        <w:rPr>
          <w:sz w:val="20"/>
          <w:szCs w:val="20"/>
        </w:rPr>
        <w:t xml:space="preserve">** Решение вопроса о введении глюкокортикостероидов и выбор дозы зависит от выраженности посттрансфузионной реакции или осложнения в анамнезе, степени тяжести сопутствующей патологии – инфекционные осложнения (особенно в период глубокой нейтропении), сахарный диабет, артериальная гипертензия и другие. Глюкокортикостероидные препараты в эквивалентных дозировках, применяемые в качестве премедикации перед трансфузией: 10-50 мг преднизолона, либо 2-6 мг дексаметазона, либо 25-100 мг гидрокортизона, либо 62,5-250 мг метилпреднизолона. </w:t>
      </w:r>
    </w:p>
    <w:p w14:paraId="6989EA3A" w14:textId="77777777" w:rsidR="002C2CFC" w:rsidRDefault="002C2CFC" w:rsidP="002C2CFC">
      <w:pPr>
        <w:rPr>
          <w:b/>
        </w:rPr>
      </w:pPr>
    </w:p>
    <w:p w14:paraId="6AEBA988" w14:textId="77777777" w:rsidR="002C2CFC" w:rsidRPr="00360841" w:rsidRDefault="002C2CFC" w:rsidP="002C2CFC">
      <w:pPr>
        <w:rPr>
          <w:i/>
          <w:u w:val="single"/>
        </w:rPr>
      </w:pPr>
      <w:r w:rsidRPr="00360841">
        <w:rPr>
          <w:i/>
          <w:u w:val="single"/>
        </w:rPr>
        <w:t xml:space="preserve">Лечебный плазмаферез в терапии рефрактерности к трансфузиям тромбоцитов </w:t>
      </w:r>
    </w:p>
    <w:p w14:paraId="6DD3A6E9" w14:textId="5FE00288" w:rsidR="002C2CFC" w:rsidRPr="003A7159" w:rsidRDefault="002C2CFC" w:rsidP="002C2CFC">
      <w:pPr>
        <w:pStyle w:val="afe"/>
        <w:ind w:left="0"/>
        <w:rPr>
          <w:szCs w:val="24"/>
        </w:rPr>
      </w:pPr>
      <w:r w:rsidRPr="003A7159">
        <w:rPr>
          <w:szCs w:val="24"/>
        </w:rPr>
        <w:t xml:space="preserve">Если с помощью индивидуального подбора донорских </w:t>
      </w:r>
      <w:r>
        <w:rPr>
          <w:szCs w:val="24"/>
        </w:rPr>
        <w:t>т</w:t>
      </w:r>
      <w:r w:rsidRPr="003A7159">
        <w:rPr>
          <w:szCs w:val="24"/>
        </w:rPr>
        <w:t xml:space="preserve">ромбоцитов не удаётся получить достаточный прирост тромбоцитов и клинический эффект от трансфузий </w:t>
      </w:r>
      <w:r>
        <w:rPr>
          <w:szCs w:val="24"/>
        </w:rPr>
        <w:t>концентрата тромбоцитов</w:t>
      </w:r>
      <w:r w:rsidRPr="003A7159">
        <w:rPr>
          <w:szCs w:val="24"/>
        </w:rPr>
        <w:t xml:space="preserve">, то для улучшения эффективности индивидуального подбора пары «донор-реципиент» к терапии добавляют процедуры плазмафереза. В основе развивающейся рефрактерности к трансфузиям </w:t>
      </w:r>
      <w:r>
        <w:rPr>
          <w:szCs w:val="24"/>
        </w:rPr>
        <w:t>концентрата тромбоцитов</w:t>
      </w:r>
      <w:r w:rsidRPr="003A7159">
        <w:rPr>
          <w:szCs w:val="24"/>
        </w:rPr>
        <w:t xml:space="preserve"> лежит аллосенсибилизация реципиента лейкоцитарными и тромбоцитарными антигенами донорских клеток крови. </w:t>
      </w:r>
      <w:r>
        <w:rPr>
          <w:szCs w:val="24"/>
        </w:rPr>
        <w:t>В этом случае ц</w:t>
      </w:r>
      <w:r w:rsidRPr="003A7159">
        <w:rPr>
          <w:szCs w:val="24"/>
        </w:rPr>
        <w:t>елью проведения ПА является уменьшение концентрации циркулирующих аллоантител и иммунных комплексов.</w:t>
      </w:r>
    </w:p>
    <w:p w14:paraId="6BB7370C" w14:textId="77777777" w:rsidR="002C2CFC" w:rsidRPr="003A7159" w:rsidRDefault="002C2CFC" w:rsidP="002C2CFC">
      <w:pPr>
        <w:pStyle w:val="afe"/>
        <w:ind w:left="0"/>
        <w:rPr>
          <w:szCs w:val="24"/>
        </w:rPr>
      </w:pPr>
      <w:r w:rsidRPr="003A7159">
        <w:rPr>
          <w:szCs w:val="24"/>
        </w:rPr>
        <w:t>Для преод</w:t>
      </w:r>
      <w:r>
        <w:rPr>
          <w:szCs w:val="24"/>
        </w:rPr>
        <w:t>о</w:t>
      </w:r>
      <w:r w:rsidRPr="003A7159">
        <w:rPr>
          <w:szCs w:val="24"/>
        </w:rPr>
        <w:t xml:space="preserve">ления рефрактерности к трансфузиям </w:t>
      </w:r>
      <w:r>
        <w:rPr>
          <w:szCs w:val="24"/>
        </w:rPr>
        <w:t>концентрата тромбоцитов</w:t>
      </w:r>
      <w:r w:rsidRPr="003A7159">
        <w:rPr>
          <w:szCs w:val="24"/>
        </w:rPr>
        <w:t xml:space="preserve"> в большинстве случаев достаточно провести 5-6 процедур (от 2 до 15 процедур) ПА в сочетании с индивидуальным подбором тромбоцитов. </w:t>
      </w:r>
    </w:p>
    <w:p w14:paraId="6EC7B1AE" w14:textId="77777777" w:rsidR="002C2CFC" w:rsidRPr="00736DDC" w:rsidRDefault="002C2CFC" w:rsidP="00077D58">
      <w:pPr>
        <w:pStyle w:val="afe"/>
        <w:numPr>
          <w:ilvl w:val="0"/>
          <w:numId w:val="138"/>
        </w:numPr>
        <w:rPr>
          <w:szCs w:val="24"/>
        </w:rPr>
      </w:pPr>
      <w:r w:rsidRPr="00736DDC">
        <w:rPr>
          <w:szCs w:val="24"/>
        </w:rPr>
        <w:t xml:space="preserve">ПА проводятся 2-3 раза в неделю с интервалом 2-3 дня. </w:t>
      </w:r>
    </w:p>
    <w:p w14:paraId="7DF856D2" w14:textId="77777777" w:rsidR="002C2CFC" w:rsidRPr="00736DDC" w:rsidRDefault="002C2CFC" w:rsidP="00077D58">
      <w:pPr>
        <w:pStyle w:val="afe"/>
        <w:numPr>
          <w:ilvl w:val="0"/>
          <w:numId w:val="138"/>
        </w:numPr>
        <w:rPr>
          <w:szCs w:val="24"/>
        </w:rPr>
      </w:pPr>
      <w:r w:rsidRPr="00736DDC">
        <w:rPr>
          <w:szCs w:val="24"/>
        </w:rPr>
        <w:lastRenderedPageBreak/>
        <w:t>Объём удаляемой плазмы:</w:t>
      </w:r>
      <w:r>
        <w:rPr>
          <w:szCs w:val="24"/>
        </w:rPr>
        <w:t xml:space="preserve"> </w:t>
      </w:r>
      <w:r w:rsidRPr="00736DDC">
        <w:rPr>
          <w:szCs w:val="24"/>
        </w:rPr>
        <w:t xml:space="preserve">за одну процедуру удаляется 0,5 </w:t>
      </w:r>
      <w:r>
        <w:rPr>
          <w:szCs w:val="24"/>
        </w:rPr>
        <w:t>ОЦП</w:t>
      </w:r>
      <w:r w:rsidRPr="00736DDC">
        <w:rPr>
          <w:szCs w:val="24"/>
        </w:rPr>
        <w:t>, в среднем 1500</w:t>
      </w:r>
      <w:r>
        <w:rPr>
          <w:szCs w:val="24"/>
        </w:rPr>
        <w:t xml:space="preserve"> </w:t>
      </w:r>
      <w:r w:rsidRPr="00736DDC">
        <w:rPr>
          <w:szCs w:val="24"/>
        </w:rPr>
        <w:t>мл</w:t>
      </w:r>
      <w:r>
        <w:rPr>
          <w:szCs w:val="24"/>
        </w:rPr>
        <w:t xml:space="preserve"> (1000 – </w:t>
      </w:r>
      <w:r w:rsidRPr="00736DDC">
        <w:rPr>
          <w:szCs w:val="24"/>
        </w:rPr>
        <w:t>2000</w:t>
      </w:r>
      <w:r>
        <w:rPr>
          <w:szCs w:val="24"/>
        </w:rPr>
        <w:t xml:space="preserve"> </w:t>
      </w:r>
      <w:r w:rsidRPr="00736DDC">
        <w:rPr>
          <w:szCs w:val="24"/>
        </w:rPr>
        <w:t>мл)</w:t>
      </w:r>
      <w:r>
        <w:rPr>
          <w:szCs w:val="24"/>
        </w:rPr>
        <w:t>.</w:t>
      </w:r>
    </w:p>
    <w:p w14:paraId="3B27A4CF" w14:textId="77777777" w:rsidR="002C2CFC" w:rsidRPr="003A7159" w:rsidRDefault="002C2CFC" w:rsidP="002C2CFC">
      <w:pPr>
        <w:ind w:firstLine="709"/>
      </w:pPr>
      <w:r w:rsidRPr="003A7159">
        <w:t>С целью предупреждения  дополнительной аллоиммунизации антигенами донорских клеток крови и белками донорской плазмы замещение объёма удалённой плазмы проводится 5%, 10%, 20% раствором альбумина и раствором</w:t>
      </w:r>
      <w:r>
        <w:t xml:space="preserve"> натрия хлорида 0,9%</w:t>
      </w:r>
      <w:r w:rsidRPr="003A7159">
        <w:t>.</w:t>
      </w:r>
    </w:p>
    <w:p w14:paraId="7AEA700A" w14:textId="77777777" w:rsidR="002C2CFC" w:rsidRDefault="002C2CFC" w:rsidP="002C2CFC">
      <w:pPr>
        <w:ind w:firstLine="709"/>
      </w:pPr>
      <w:r w:rsidRPr="003A7159">
        <w:t xml:space="preserve">Соотношение раствора 5% альбумина и </w:t>
      </w:r>
      <w:r>
        <w:t>р</w:t>
      </w:r>
      <w:r w:rsidRPr="00623297">
        <w:t>аствор</w:t>
      </w:r>
      <w:r>
        <w:t>а</w:t>
      </w:r>
      <w:r w:rsidRPr="00623297">
        <w:t xml:space="preserve"> </w:t>
      </w:r>
      <w:r>
        <w:t xml:space="preserve">натрия хлорида 0,9% </w:t>
      </w:r>
      <w:r w:rsidRPr="003A7159">
        <w:t>1:1 при уровне общего белка ≥ 65г/л</w:t>
      </w:r>
      <w:r>
        <w:t xml:space="preserve">: </w:t>
      </w:r>
    </w:p>
    <w:p w14:paraId="0ED91D7B" w14:textId="77777777" w:rsidR="002C2CFC" w:rsidRPr="009A1835" w:rsidRDefault="002C2CFC" w:rsidP="00077D58">
      <w:pPr>
        <w:pStyle w:val="afe"/>
        <w:numPr>
          <w:ilvl w:val="0"/>
          <w:numId w:val="139"/>
        </w:numPr>
        <w:rPr>
          <w:szCs w:val="24"/>
        </w:rPr>
      </w:pPr>
      <w:r w:rsidRPr="009A1835">
        <w:rPr>
          <w:szCs w:val="24"/>
        </w:rPr>
        <w:t xml:space="preserve">Альбумин 5% - (500мл – 1000мл) в среднем 800 мл; </w:t>
      </w:r>
    </w:p>
    <w:p w14:paraId="3A4CB640" w14:textId="77777777" w:rsidR="002C2CFC" w:rsidRPr="009A1835" w:rsidRDefault="002C2CFC" w:rsidP="00077D58">
      <w:pPr>
        <w:pStyle w:val="afe"/>
        <w:numPr>
          <w:ilvl w:val="0"/>
          <w:numId w:val="139"/>
        </w:numPr>
        <w:rPr>
          <w:szCs w:val="24"/>
        </w:rPr>
      </w:pPr>
      <w:r>
        <w:rPr>
          <w:szCs w:val="24"/>
        </w:rPr>
        <w:t>Р</w:t>
      </w:r>
      <w:r w:rsidRPr="00623297">
        <w:rPr>
          <w:szCs w:val="24"/>
        </w:rPr>
        <w:t xml:space="preserve">аствор </w:t>
      </w:r>
      <w:r>
        <w:rPr>
          <w:szCs w:val="24"/>
        </w:rPr>
        <w:t xml:space="preserve">натрия хлорида 0,9% </w:t>
      </w:r>
      <w:r w:rsidRPr="009A1835">
        <w:rPr>
          <w:szCs w:val="24"/>
        </w:rPr>
        <w:t>в среднем 800 мл (500 – 1000 мл).</w:t>
      </w:r>
    </w:p>
    <w:p w14:paraId="2BF8826D" w14:textId="77777777" w:rsidR="002C2CFC" w:rsidRDefault="002C2CFC" w:rsidP="002C2CFC">
      <w:pPr>
        <w:rPr>
          <w:u w:val="single"/>
        </w:rPr>
      </w:pPr>
    </w:p>
    <w:p w14:paraId="77B06CE1" w14:textId="77777777" w:rsidR="002C2CFC" w:rsidRDefault="002C2CFC" w:rsidP="002C2CFC">
      <w:pPr>
        <w:ind w:firstLine="709"/>
        <w:rPr>
          <w:u w:val="single"/>
        </w:rPr>
      </w:pPr>
      <w:r w:rsidRPr="00623297">
        <w:rPr>
          <w:u w:val="single"/>
        </w:rPr>
        <w:t>Методические аспекты проведения ПА при тромбоцитопении, рефрактерной к трансфузиям концентрата тромбоцитов:</w:t>
      </w:r>
      <w:r>
        <w:rPr>
          <w:u w:val="single"/>
        </w:rPr>
        <w:t xml:space="preserve"> </w:t>
      </w:r>
    </w:p>
    <w:p w14:paraId="464DF969" w14:textId="77777777" w:rsidR="002C2CFC" w:rsidRPr="00623297" w:rsidRDefault="002C2CFC" w:rsidP="00077D58">
      <w:pPr>
        <w:pStyle w:val="afe"/>
        <w:numPr>
          <w:ilvl w:val="0"/>
          <w:numId w:val="140"/>
        </w:numPr>
        <w:rPr>
          <w:szCs w:val="24"/>
          <w:u w:val="single"/>
        </w:rPr>
      </w:pPr>
      <w:r w:rsidRPr="00623297">
        <w:rPr>
          <w:szCs w:val="24"/>
        </w:rPr>
        <w:t>При наличии глубокой  тромбоцитопении (≤ 20х10</w:t>
      </w:r>
      <w:r w:rsidRPr="00623297">
        <w:rPr>
          <w:szCs w:val="24"/>
          <w:vertAlign w:val="superscript"/>
        </w:rPr>
        <w:t>9</w:t>
      </w:r>
      <w:r w:rsidRPr="00623297">
        <w:rPr>
          <w:szCs w:val="24"/>
        </w:rPr>
        <w:t>/л) перед началом  проведения процедуры ПА необходимо провести трансфузию 4 – 6 доз тромбоцитов, заказать концентрат тромбоцитов для трансфузии после окончания процедуры ПА.</w:t>
      </w:r>
    </w:p>
    <w:p w14:paraId="38660CC8" w14:textId="77777777" w:rsidR="002C2CFC" w:rsidRPr="00C62ED8" w:rsidRDefault="002C2CFC" w:rsidP="00077D58">
      <w:pPr>
        <w:pStyle w:val="afe"/>
        <w:numPr>
          <w:ilvl w:val="0"/>
          <w:numId w:val="140"/>
        </w:numPr>
        <w:rPr>
          <w:szCs w:val="24"/>
        </w:rPr>
      </w:pPr>
      <w:r w:rsidRPr="00C62ED8">
        <w:rPr>
          <w:szCs w:val="24"/>
        </w:rPr>
        <w:t>После проведённой процедуры ПА уровень общего белка плазмы должен быть ≥ 50г/л; если уровень общего белка плазмы будет меньше, то требуется дополнительное введение альбумина.</w:t>
      </w:r>
    </w:p>
    <w:p w14:paraId="3E05341E" w14:textId="2FCE10F8" w:rsidR="002C2CFC" w:rsidRDefault="002C2CFC" w:rsidP="00077D58">
      <w:pPr>
        <w:pStyle w:val="afe"/>
        <w:numPr>
          <w:ilvl w:val="0"/>
          <w:numId w:val="140"/>
        </w:numPr>
        <w:rPr>
          <w:szCs w:val="24"/>
        </w:rPr>
      </w:pPr>
      <w:r w:rsidRPr="00623297">
        <w:rPr>
          <w:szCs w:val="24"/>
        </w:rPr>
        <w:t xml:space="preserve">После каждых 2 – 3 процедур ПА необходим контроль уровня сывороточного белка и коагулограммы для исключения дефицита факторов свёртывания крови и развития геморрагического синдрома. При сохранении дефицита факторов свёртывания крови замещение объёма удалённой плазмы надо проводить СЗП + р-ром 5% альбумина и </w:t>
      </w:r>
      <w:r>
        <w:rPr>
          <w:szCs w:val="24"/>
        </w:rPr>
        <w:t>р</w:t>
      </w:r>
      <w:r w:rsidRPr="00623297">
        <w:rPr>
          <w:szCs w:val="24"/>
        </w:rPr>
        <w:t>аствор</w:t>
      </w:r>
      <w:r>
        <w:rPr>
          <w:szCs w:val="24"/>
        </w:rPr>
        <w:t>ом</w:t>
      </w:r>
      <w:r w:rsidRPr="00623297">
        <w:rPr>
          <w:szCs w:val="24"/>
        </w:rPr>
        <w:t xml:space="preserve"> </w:t>
      </w:r>
      <w:r>
        <w:rPr>
          <w:szCs w:val="24"/>
        </w:rPr>
        <w:t>натрия хлорида 0,9%</w:t>
      </w:r>
      <w:r w:rsidRPr="00623297">
        <w:rPr>
          <w:szCs w:val="24"/>
        </w:rPr>
        <w:t xml:space="preserve">. </w:t>
      </w:r>
    </w:p>
    <w:p w14:paraId="68AD261B" w14:textId="77777777" w:rsidR="002C2CFC" w:rsidRPr="00623297" w:rsidRDefault="002C2CFC" w:rsidP="00077D58">
      <w:pPr>
        <w:pStyle w:val="afe"/>
        <w:numPr>
          <w:ilvl w:val="0"/>
          <w:numId w:val="140"/>
        </w:numPr>
        <w:rPr>
          <w:szCs w:val="24"/>
        </w:rPr>
      </w:pPr>
      <w:r w:rsidRPr="00623297">
        <w:rPr>
          <w:szCs w:val="24"/>
        </w:rPr>
        <w:t xml:space="preserve">Соотношение СЗП + раствора 5% альбумина и </w:t>
      </w:r>
      <w:r>
        <w:rPr>
          <w:szCs w:val="24"/>
        </w:rPr>
        <w:t>р</w:t>
      </w:r>
      <w:r w:rsidRPr="00623297">
        <w:rPr>
          <w:szCs w:val="24"/>
        </w:rPr>
        <w:t>аствор</w:t>
      </w:r>
      <w:r>
        <w:rPr>
          <w:szCs w:val="24"/>
        </w:rPr>
        <w:t>а</w:t>
      </w:r>
      <w:r w:rsidRPr="00623297">
        <w:rPr>
          <w:szCs w:val="24"/>
        </w:rPr>
        <w:t xml:space="preserve"> </w:t>
      </w:r>
      <w:r>
        <w:rPr>
          <w:szCs w:val="24"/>
        </w:rPr>
        <w:t xml:space="preserve">натрия хлорида 0,9% </w:t>
      </w:r>
      <w:r w:rsidRPr="00623297">
        <w:rPr>
          <w:szCs w:val="24"/>
        </w:rPr>
        <w:t xml:space="preserve">1:1 при уровне общего белка ≥ 65г/л </w:t>
      </w:r>
    </w:p>
    <w:p w14:paraId="559BD763" w14:textId="77777777" w:rsidR="002C2CFC" w:rsidRPr="00623297" w:rsidRDefault="002C2CFC" w:rsidP="00077D58">
      <w:pPr>
        <w:pStyle w:val="afe"/>
        <w:numPr>
          <w:ilvl w:val="0"/>
          <w:numId w:val="141"/>
        </w:numPr>
        <w:rPr>
          <w:szCs w:val="24"/>
        </w:rPr>
      </w:pPr>
      <w:r w:rsidRPr="00623297">
        <w:rPr>
          <w:szCs w:val="24"/>
        </w:rPr>
        <w:t>СЗП –  в среднем 500</w:t>
      </w:r>
      <w:r>
        <w:rPr>
          <w:szCs w:val="24"/>
        </w:rPr>
        <w:t xml:space="preserve"> </w:t>
      </w:r>
      <w:r w:rsidRPr="00623297">
        <w:rPr>
          <w:szCs w:val="24"/>
        </w:rPr>
        <w:t>мл</w:t>
      </w:r>
      <w:r>
        <w:rPr>
          <w:szCs w:val="24"/>
        </w:rPr>
        <w:t xml:space="preserve"> (500 – </w:t>
      </w:r>
      <w:r w:rsidRPr="00623297">
        <w:rPr>
          <w:szCs w:val="24"/>
        </w:rPr>
        <w:t>1000</w:t>
      </w:r>
      <w:r>
        <w:rPr>
          <w:szCs w:val="24"/>
        </w:rPr>
        <w:t xml:space="preserve"> </w:t>
      </w:r>
      <w:r w:rsidRPr="00623297">
        <w:rPr>
          <w:szCs w:val="24"/>
        </w:rPr>
        <w:t>мл);</w:t>
      </w:r>
    </w:p>
    <w:p w14:paraId="56A2DB49" w14:textId="77777777" w:rsidR="002C2CFC" w:rsidRPr="00623297" w:rsidRDefault="002C2CFC" w:rsidP="00077D58">
      <w:pPr>
        <w:pStyle w:val="afe"/>
        <w:numPr>
          <w:ilvl w:val="0"/>
          <w:numId w:val="141"/>
        </w:numPr>
        <w:rPr>
          <w:szCs w:val="24"/>
        </w:rPr>
      </w:pPr>
      <w:r>
        <w:rPr>
          <w:szCs w:val="24"/>
        </w:rPr>
        <w:t xml:space="preserve">Альбумин 5%  200 – </w:t>
      </w:r>
      <w:r w:rsidRPr="00623297">
        <w:rPr>
          <w:szCs w:val="24"/>
        </w:rPr>
        <w:t>300мл (10 - 15г);</w:t>
      </w:r>
    </w:p>
    <w:p w14:paraId="40C3760E" w14:textId="77777777" w:rsidR="002C2CFC" w:rsidRPr="00623297" w:rsidRDefault="002C2CFC" w:rsidP="00077D58">
      <w:pPr>
        <w:pStyle w:val="afe"/>
        <w:numPr>
          <w:ilvl w:val="0"/>
          <w:numId w:val="141"/>
        </w:numPr>
        <w:rPr>
          <w:szCs w:val="24"/>
        </w:rPr>
      </w:pPr>
      <w:r>
        <w:rPr>
          <w:szCs w:val="24"/>
        </w:rPr>
        <w:t>Р</w:t>
      </w:r>
      <w:r w:rsidRPr="00623297">
        <w:rPr>
          <w:szCs w:val="24"/>
        </w:rPr>
        <w:t xml:space="preserve">аствор </w:t>
      </w:r>
      <w:r>
        <w:rPr>
          <w:szCs w:val="24"/>
        </w:rPr>
        <w:t xml:space="preserve">натрия хлорида 0,9% </w:t>
      </w:r>
      <w:r w:rsidRPr="00623297">
        <w:rPr>
          <w:szCs w:val="24"/>
        </w:rPr>
        <w:t>в среднем 800</w:t>
      </w:r>
      <w:r>
        <w:rPr>
          <w:szCs w:val="24"/>
        </w:rPr>
        <w:t xml:space="preserve"> </w:t>
      </w:r>
      <w:r w:rsidRPr="00623297">
        <w:rPr>
          <w:szCs w:val="24"/>
        </w:rPr>
        <w:t>мл</w:t>
      </w:r>
      <w:r>
        <w:rPr>
          <w:szCs w:val="24"/>
        </w:rPr>
        <w:t xml:space="preserve"> </w:t>
      </w:r>
      <w:r w:rsidRPr="003A7159">
        <w:rPr>
          <w:szCs w:val="24"/>
        </w:rPr>
        <w:t>(500 – 1000</w:t>
      </w:r>
      <w:r>
        <w:rPr>
          <w:szCs w:val="24"/>
        </w:rPr>
        <w:t xml:space="preserve"> </w:t>
      </w:r>
      <w:r w:rsidRPr="003A7159">
        <w:rPr>
          <w:szCs w:val="24"/>
        </w:rPr>
        <w:t>мл)</w:t>
      </w:r>
      <w:r>
        <w:rPr>
          <w:szCs w:val="24"/>
        </w:rPr>
        <w:t>.</w:t>
      </w:r>
      <w:r w:rsidRPr="00623297">
        <w:rPr>
          <w:szCs w:val="24"/>
        </w:rPr>
        <w:t xml:space="preserve"> </w:t>
      </w:r>
    </w:p>
    <w:p w14:paraId="2594DE90" w14:textId="77777777" w:rsidR="002C2CFC" w:rsidRPr="003A7159" w:rsidRDefault="002C2CFC" w:rsidP="002C2CFC">
      <w:pPr>
        <w:ind w:firstLine="709"/>
      </w:pPr>
      <w:r w:rsidRPr="003A7159">
        <w:t>Соотношение СЗП + раствора 5% альбумина и раствора</w:t>
      </w:r>
      <w:r>
        <w:t xml:space="preserve"> натрия хлорида 0,9% </w:t>
      </w:r>
      <w:r w:rsidRPr="003A7159">
        <w:t xml:space="preserve"> </w:t>
      </w:r>
      <w:r>
        <w:t xml:space="preserve">составляет </w:t>
      </w:r>
      <w:r w:rsidRPr="003A7159">
        <w:t xml:space="preserve">2:1 при уровне общего белка </w:t>
      </w:r>
      <w:r>
        <w:t xml:space="preserve"> ≤ 55г/л:</w:t>
      </w:r>
    </w:p>
    <w:p w14:paraId="5B2B0E3B" w14:textId="77777777" w:rsidR="002C2CFC" w:rsidRPr="00767D08" w:rsidRDefault="002C2CFC" w:rsidP="00077D58">
      <w:pPr>
        <w:pStyle w:val="afe"/>
        <w:numPr>
          <w:ilvl w:val="0"/>
          <w:numId w:val="141"/>
        </w:numPr>
        <w:rPr>
          <w:szCs w:val="24"/>
        </w:rPr>
      </w:pPr>
      <w:r w:rsidRPr="00C02A00">
        <w:rPr>
          <w:szCs w:val="24"/>
        </w:rPr>
        <w:t xml:space="preserve">СЗП </w:t>
      </w:r>
      <w:r>
        <w:rPr>
          <w:szCs w:val="24"/>
        </w:rPr>
        <w:t>–</w:t>
      </w:r>
      <w:r w:rsidRPr="00C02A00">
        <w:rPr>
          <w:szCs w:val="24"/>
        </w:rPr>
        <w:t xml:space="preserve"> </w:t>
      </w:r>
      <w:r w:rsidRPr="00767D08">
        <w:rPr>
          <w:szCs w:val="24"/>
        </w:rPr>
        <w:t>в среднем 800</w:t>
      </w:r>
      <w:r>
        <w:rPr>
          <w:szCs w:val="24"/>
        </w:rPr>
        <w:t xml:space="preserve"> </w:t>
      </w:r>
      <w:r w:rsidRPr="00767D08">
        <w:rPr>
          <w:szCs w:val="24"/>
        </w:rPr>
        <w:t>мл</w:t>
      </w:r>
      <w:r>
        <w:rPr>
          <w:szCs w:val="24"/>
        </w:rPr>
        <w:t xml:space="preserve"> </w:t>
      </w:r>
      <w:r w:rsidRPr="00C02A00">
        <w:rPr>
          <w:szCs w:val="24"/>
        </w:rPr>
        <w:t>(500 – 1000мл)</w:t>
      </w:r>
      <w:r w:rsidRPr="00767D08">
        <w:rPr>
          <w:szCs w:val="24"/>
        </w:rPr>
        <w:t xml:space="preserve">; </w:t>
      </w:r>
    </w:p>
    <w:p w14:paraId="1DCDD80F" w14:textId="77777777" w:rsidR="002C2CFC" w:rsidRPr="00767D08" w:rsidRDefault="002C2CFC" w:rsidP="00077D58">
      <w:pPr>
        <w:pStyle w:val="afe"/>
        <w:numPr>
          <w:ilvl w:val="0"/>
          <w:numId w:val="141"/>
        </w:numPr>
        <w:rPr>
          <w:szCs w:val="24"/>
        </w:rPr>
      </w:pPr>
      <w:r>
        <w:rPr>
          <w:szCs w:val="24"/>
        </w:rPr>
        <w:t>Альбумин 5%</w:t>
      </w:r>
      <w:r w:rsidRPr="00C02A00">
        <w:rPr>
          <w:szCs w:val="24"/>
        </w:rPr>
        <w:t xml:space="preserve"> 200</w:t>
      </w:r>
      <w:r>
        <w:rPr>
          <w:szCs w:val="24"/>
        </w:rPr>
        <w:t xml:space="preserve"> – </w:t>
      </w:r>
      <w:r w:rsidRPr="00767D08">
        <w:rPr>
          <w:szCs w:val="24"/>
        </w:rPr>
        <w:t>300мл  (10-15г);</w:t>
      </w:r>
    </w:p>
    <w:p w14:paraId="7CE67D21" w14:textId="77777777" w:rsidR="002C2CFC" w:rsidRPr="00C02A00" w:rsidRDefault="002C2CFC" w:rsidP="00077D58">
      <w:pPr>
        <w:pStyle w:val="afe"/>
        <w:numPr>
          <w:ilvl w:val="0"/>
          <w:numId w:val="141"/>
        </w:numPr>
        <w:rPr>
          <w:szCs w:val="24"/>
        </w:rPr>
      </w:pPr>
      <w:r w:rsidRPr="00C02A00">
        <w:rPr>
          <w:szCs w:val="24"/>
        </w:rPr>
        <w:t>Раствор натрия хлорида 0,9% –</w:t>
      </w:r>
      <w:r>
        <w:rPr>
          <w:szCs w:val="24"/>
        </w:rPr>
        <w:t xml:space="preserve"> </w:t>
      </w:r>
      <w:r w:rsidRPr="00C02A00">
        <w:rPr>
          <w:szCs w:val="24"/>
        </w:rPr>
        <w:t>в среднем 500мл (500 – 1000мл)</w:t>
      </w:r>
      <w:r>
        <w:rPr>
          <w:szCs w:val="24"/>
        </w:rPr>
        <w:t>.</w:t>
      </w:r>
      <w:r w:rsidRPr="00C02A00">
        <w:rPr>
          <w:szCs w:val="24"/>
        </w:rPr>
        <w:t xml:space="preserve">   </w:t>
      </w:r>
    </w:p>
    <w:p w14:paraId="315B5858" w14:textId="77777777" w:rsidR="002C2CFC" w:rsidRPr="003A7159" w:rsidRDefault="002C2CFC" w:rsidP="002C2CFC">
      <w:pPr>
        <w:pStyle w:val="afe"/>
        <w:ind w:left="0"/>
        <w:rPr>
          <w:szCs w:val="24"/>
        </w:rPr>
      </w:pPr>
      <w:r w:rsidRPr="003A7159">
        <w:rPr>
          <w:szCs w:val="24"/>
        </w:rPr>
        <w:t xml:space="preserve">С целью профилактики цитратной реакции на каждый 1л СЗП вводится </w:t>
      </w:r>
      <w:r>
        <w:rPr>
          <w:szCs w:val="24"/>
        </w:rPr>
        <w:t>внутривенно 5мл раствора к</w:t>
      </w:r>
      <w:r w:rsidRPr="003A7159">
        <w:rPr>
          <w:szCs w:val="24"/>
        </w:rPr>
        <w:t xml:space="preserve">альция глюконата 10% или 5мл раствора </w:t>
      </w:r>
      <w:r>
        <w:rPr>
          <w:szCs w:val="24"/>
        </w:rPr>
        <w:t>к</w:t>
      </w:r>
      <w:r w:rsidRPr="003A7159">
        <w:rPr>
          <w:szCs w:val="24"/>
        </w:rPr>
        <w:t>альция хлорида 10%.</w:t>
      </w:r>
    </w:p>
    <w:p w14:paraId="1858FD77" w14:textId="5DB470EC" w:rsidR="002C2CFC" w:rsidRDefault="002C2CFC" w:rsidP="002C2CFC">
      <w:pPr>
        <w:pStyle w:val="afe"/>
        <w:ind w:left="0"/>
        <w:rPr>
          <w:szCs w:val="24"/>
        </w:rPr>
      </w:pPr>
      <w:r w:rsidRPr="003A7159">
        <w:rPr>
          <w:szCs w:val="24"/>
        </w:rPr>
        <w:lastRenderedPageBreak/>
        <w:t xml:space="preserve">При наличии негемолитической посттрансфузионной реакции на трансфузии СЗП перед процедурой необходима премедикация (антигистаминные препараты, 10% раствор </w:t>
      </w:r>
      <w:r>
        <w:rPr>
          <w:szCs w:val="24"/>
        </w:rPr>
        <w:t>к</w:t>
      </w:r>
      <w:r w:rsidRPr="003A7159">
        <w:rPr>
          <w:szCs w:val="24"/>
        </w:rPr>
        <w:t>альция глюконата 10</w:t>
      </w:r>
      <w:r>
        <w:rPr>
          <w:szCs w:val="24"/>
        </w:rPr>
        <w:t xml:space="preserve"> </w:t>
      </w:r>
      <w:r w:rsidRPr="003A7159">
        <w:rPr>
          <w:szCs w:val="24"/>
        </w:rPr>
        <w:t>мл).</w:t>
      </w:r>
    </w:p>
    <w:p w14:paraId="6E5D040B" w14:textId="017112EF" w:rsidR="00F100D2" w:rsidRDefault="00F100D2" w:rsidP="002C2CFC">
      <w:pPr>
        <w:pStyle w:val="afe"/>
        <w:ind w:left="0"/>
        <w:rPr>
          <w:szCs w:val="24"/>
        </w:rPr>
      </w:pPr>
    </w:p>
    <w:p w14:paraId="66F21DDD" w14:textId="080528DC" w:rsidR="006C476A" w:rsidRPr="006C476A" w:rsidRDefault="00F100D2" w:rsidP="006C476A">
      <w:pPr>
        <w:pStyle w:val="2"/>
        <w:spacing w:before="0"/>
      </w:pPr>
      <w:bookmarkStart w:id="120" w:name="_Toc66096866"/>
      <w:r w:rsidRPr="000322E4">
        <w:t>Приложение А3.</w:t>
      </w:r>
      <w:r>
        <w:t xml:space="preserve">8. </w:t>
      </w:r>
      <w:r w:rsidR="006C476A" w:rsidRPr="00427075">
        <w:t>Парентеральное питание у гематологических пациентов</w:t>
      </w:r>
      <w:bookmarkEnd w:id="120"/>
    </w:p>
    <w:p w14:paraId="08C8043E" w14:textId="77777777" w:rsidR="006C476A" w:rsidRPr="00427075" w:rsidRDefault="006C476A" w:rsidP="006C476A">
      <w:pPr>
        <w:ind w:firstLine="709"/>
      </w:pPr>
      <w:r w:rsidRPr="00427075">
        <w:t xml:space="preserve">Химиотерапевтическое лечение гематологических пациентов ассоциировано с развитием цитостатического поражения эпителия желудочно-кишечного тракта (ЖКТ) с тяжёлым эмитическим синдромом, который часто делает невозможным проведение традиционного перорального или энтерального питания и приводят к тяжелым метаболическим нарушениям и выраженной мальобсорбции. При развитии жизнеугрожающих состояний проведение перорального питания иногда технически не выполнимо. Потребность же в нутритивной поддержке в период лечения гематологических заболеваний, особенно гемобластозов, возрастает. Это связано с катаболическими процессами, активированными опухолевыми цитокинами, системным воспалительным ответом с лихорадкой. Таким образом, развивается истощение организма, связанное с одной стороны с повышенными потребностями в энергии на фоне опухолевого процесса и с другой стороны, ассоциированные с лечением поражения ЖКТ, ограничивают поступление питательных веществ в организм больного. </w:t>
      </w:r>
    </w:p>
    <w:p w14:paraId="7C57754B" w14:textId="77777777" w:rsidR="006C476A" w:rsidRPr="00427075" w:rsidRDefault="006C476A" w:rsidP="006C476A">
      <w:pPr>
        <w:ind w:firstLine="709"/>
      </w:pPr>
      <w:r w:rsidRPr="00427075">
        <w:t>Дефицит питания на разных стадиях лечения гематологических заболеваний (например, индукционноя химиотерапия, трансплантация гемопоэтических стволовых клеток крови (ТГСК)) негативно сказывается на исходах лечения. Так, пациенты с острым миелоидным лейкозом с признаками нутритивного дефицита характеризуются более длительной госпитализацией во время индукции ремиссии и имеют более низкую 12 – месячную общую выживаемость в сравнении с больными без признаков истощения, 39 дней и 31 день, 58,3% и 89,9% (p&lt;0.05) соответственно. Пациенты с острым лимфобластным лейкозом с дефицитом массы тела также находятся в стационаре дольше во время индукции ремиссии по сравнению с больными в нормальном метаболическом статусе.</w:t>
      </w:r>
    </w:p>
    <w:p w14:paraId="423BB5FB" w14:textId="77777777" w:rsidR="006C476A" w:rsidRPr="00427075" w:rsidRDefault="006C476A" w:rsidP="006C476A">
      <w:pPr>
        <w:ind w:firstLine="708"/>
      </w:pPr>
      <w:r w:rsidRPr="00427075">
        <w:t>Для предотвращения негативных эффектов гипотрофии больных, при невозможности перорального или энтерального питания альтернативным источником питательных веществ остается парентеральное питание (ПП) – введение нутриентов внутривенно (минуя ЖКТ).</w:t>
      </w:r>
    </w:p>
    <w:p w14:paraId="07C14237" w14:textId="77777777" w:rsidR="006C476A" w:rsidRPr="00427075" w:rsidRDefault="006C476A" w:rsidP="006C476A">
      <w:pPr>
        <w:ind w:firstLine="708"/>
      </w:pPr>
      <w:r w:rsidRPr="00427075">
        <w:t xml:space="preserve">Пациенты после ТГСК могут испытывать алиментарную нутритивную недостаточность в связи с прекращением приема пищи при наличии выраженного болевого синдрома слизистой полости рта (мукозит) или развитием реакции трансплантат против хозяина (РТПХ) с поражением кишки и выраженным диарейным синдромом. В этих </w:t>
      </w:r>
      <w:r w:rsidRPr="00427075">
        <w:lastRenderedPageBreak/>
        <w:t xml:space="preserve">случаях пероральное и энтеральное питание противопоказано или затруднено и ПП является основным источником доставки нутриентов. Аналогичные изменения и показания к ПП могут так же наблюдаться при проведении химиотерапии и иммуносупрессивной терапии, в период миелотоксического агаранулоцитоза или гранулоцитопении при развитии язвенно-некротического стоматита или некротической энтеропатии. </w:t>
      </w:r>
    </w:p>
    <w:p w14:paraId="1C15FE44" w14:textId="77777777" w:rsidR="006C476A" w:rsidRPr="00427075" w:rsidRDefault="006C476A" w:rsidP="006C476A">
      <w:pPr>
        <w:ind w:firstLine="708"/>
      </w:pPr>
      <w:r w:rsidRPr="00427075">
        <w:t xml:space="preserve">Однако необходимо помнить о негативных аспектах парентерального питания: ассоциированные с ПП поражения печени, желчного пузыря (холестаз) и атрофия кишечника, катетер–ассоциированные инфекционные осложнения и гипергликемия – лишь немногие из них. </w:t>
      </w:r>
    </w:p>
    <w:p w14:paraId="12C838B8" w14:textId="5FAA4A3E" w:rsidR="006C476A" w:rsidRPr="00427075" w:rsidRDefault="006C476A" w:rsidP="006C476A">
      <w:pPr>
        <w:ind w:firstLine="708"/>
      </w:pPr>
      <w:r w:rsidRPr="00427075">
        <w:t xml:space="preserve">Гипергликемия у больных после ТГСК связана с развитием ассоциированного с трансплантацией сахарного диабета, инфекционных </w:t>
      </w:r>
      <w:r>
        <w:t>осложнений, а</w:t>
      </w:r>
      <w:r w:rsidRPr="00427075">
        <w:t xml:space="preserve"> двухлетняя безрецидивная выживаемость больных с нормогликемией в раннем посттрансплантационном периоде выше чем у больных с гипергликемией. При введении нутриентов парентерально снижается стимуляция островков Лангерганса поджелудочной железы так как не вырабатывается инкретин (глюкагон-подобный пептид-1), который стимулирует выработку инсулина при пероральном питании, что ведет к развитию гипергликемии при ПП. Сам по себе стресс во время критического состояния за счет катехоламинов вызывает резистентность периферических тканей к инсулину и увеличивает продукцию глюкозы печенью. Дефицит витамина </w:t>
      </w:r>
      <w:r w:rsidRPr="00427075">
        <w:rPr>
          <w:lang w:val="en-US"/>
        </w:rPr>
        <w:t>D</w:t>
      </w:r>
      <w:r w:rsidRPr="00427075">
        <w:t xml:space="preserve"> и применение глюкокортикостероидных препаратов также вносят свой вклад в развитие гипергликемии у больных после ТГСК. Для коррекции гипергликемии</w:t>
      </w:r>
      <w:r>
        <w:t>,</w:t>
      </w:r>
      <w:r w:rsidRPr="00427075">
        <w:t xml:space="preserve"> ассоциированной с парентеральным питанием, используется постоянна инфузия инсулина с регулярным контролем концентрации глюкозы и последующей коррекцией скорости введения инсулина.</w:t>
      </w:r>
    </w:p>
    <w:p w14:paraId="26349F4C" w14:textId="07ABAA20" w:rsidR="006C476A" w:rsidRPr="00427075" w:rsidRDefault="006C476A" w:rsidP="006C476A">
      <w:r w:rsidRPr="00427075">
        <w:tab/>
        <w:t xml:space="preserve">Другим, потенциально опасным для жизни, осложнением ПП является рефидинг-синдром. Это метаболические нарушения, которые возникают вскоре после возобновления питания у длительно (более 3 суток) голодавшего пациента. Так как истощенный пациент испытывает потребность в нутриентах для поддержания функционирования жизненно важных органов, в том числе головного мозга,  то по мере истощения гликогена печени активно начинает мобилизироваться жировая ткань с последующим кетогенезом для  восполнения пула нутриентов. Развивается кето-ацидоз, который опосредует  транклеточный сдвиг ионов калия наружу клетки, при чем его общие запасы в организме истощены предшествующим голоданием. При возобновлении питания кетоацидоз регрессирует в связи с поступлением глюкозы, которая вместе с вырабатывающимся инсулином вызывает обратный ток ионов калия внутри клетки, вызывая гипокалиемию и жизнеугрожающие аритмии.  Следовательно, начало ПП должно быть постепенным, с </w:t>
      </w:r>
      <w:r w:rsidRPr="00427075">
        <w:lastRenderedPageBreak/>
        <w:t xml:space="preserve">увеличивающейся скоростью инфузии и под контролем электролитного состава крови. Помимо гипогликемии у больных, требующих начала парентерального питания, часто наблюдается истощение запасов магния, что требует своевременного восполнения во время начала ПП. </w:t>
      </w:r>
    </w:p>
    <w:p w14:paraId="4BCFDFC7" w14:textId="77777777" w:rsidR="006C476A" w:rsidRPr="00427075" w:rsidRDefault="006C476A" w:rsidP="006C476A">
      <w:r w:rsidRPr="00427075">
        <w:tab/>
        <w:t>Проведение длительного парентерального питания требует регулярного контроля функции печени (концентрация трансаминаз, липидный профиль, коагулограмма), водно-электролитного баланса и креатинина, концентрации лактата, который может повышаться вследствие синдрома Вернике (дефицит витамина В1). Гипокоагуляция может развиваться в связи с алиментарной недостаточностью витамина К, восполнение которого также необходимо при проведении парентерального питания .</w:t>
      </w:r>
    </w:p>
    <w:p w14:paraId="00C8C5D7" w14:textId="77777777" w:rsidR="006C476A" w:rsidRPr="00427075" w:rsidRDefault="006C476A" w:rsidP="006C476A">
      <w:r w:rsidRPr="00427075">
        <w:tab/>
        <w:t>Длительность периода ПП увеличивает риск развития вышеуказанных осложнений. Возврат к энтеральному (пероральному) питанию возможен после регресса причин, которые потребовали начать ПП. Возобновление перорального питания производят постепенно параллельно с уменьшением объема вводимого парентерального питания, но без потерь в калорийности суточной диеты.</w:t>
      </w:r>
    </w:p>
    <w:p w14:paraId="315A75D7" w14:textId="77777777" w:rsidR="006C476A" w:rsidRDefault="006C476A" w:rsidP="006C476A">
      <w:pPr>
        <w:ind w:firstLine="708"/>
        <w:rPr>
          <w:i/>
          <w:u w:val="single"/>
        </w:rPr>
      </w:pPr>
    </w:p>
    <w:p w14:paraId="76677D70" w14:textId="77777777" w:rsidR="006C476A" w:rsidRPr="00427075" w:rsidRDefault="006C476A" w:rsidP="006C476A">
      <w:pPr>
        <w:ind w:firstLine="708"/>
        <w:rPr>
          <w:i/>
          <w:u w:val="single"/>
        </w:rPr>
      </w:pPr>
      <w:r w:rsidRPr="00427075">
        <w:rPr>
          <w:i/>
          <w:u w:val="single"/>
        </w:rPr>
        <w:t>Компоненты парентерального питания</w:t>
      </w:r>
    </w:p>
    <w:p w14:paraId="7B443033" w14:textId="77777777" w:rsidR="006C476A" w:rsidRPr="00427075" w:rsidRDefault="006C476A" w:rsidP="006C476A">
      <w:r w:rsidRPr="00427075">
        <w:tab/>
        <w:t xml:space="preserve">Основными питательными веществами для ПП являются белки, жиры и углеводы. В одном грамме белка или углеводов, содержится 4 ккал, жиры наиболее энергоемкие носители и содержат в одном грамме 9 ккал. Их смеси в различных пропорциях используются для осуществления нутритивной поддержки. В настоящее время наиболее распространена схема  введения в следующей пропорции: белки 10-15%, жиры 40-45%, углеводы 40-55%, что в отличии от схемы с доминантным введением глюкозы помогает избежать тяжелую гипергликемию и гиперпродукцию углекислого газа.  </w:t>
      </w:r>
    </w:p>
    <w:p w14:paraId="01FA1C87" w14:textId="77777777" w:rsidR="006C476A" w:rsidRPr="00427075" w:rsidRDefault="006C476A" w:rsidP="006C476A">
      <w:pPr>
        <w:ind w:firstLine="708"/>
      </w:pPr>
      <w:r w:rsidRPr="00427075">
        <w:t xml:space="preserve">Ежедневная потребность в водорастворимых и жирорастворимых витаминах, микроэлементах также восполняется при помощи внутривенного введения вместе с ПП. Для этих целей применяются адъювантные (во флаконах по 10-20 мл) комплексы витаминов и микроэлементов с учетом суточной потребности, которые могут добавляться непосредственно в питательные среды. Как правило комплекс жирорастворимых витаминов (A,D,E,K1) добавляется в жировую эмульсию, а во флаконы с аминокислотами и углеводами вводятся адъюванты с микроэлементами (Se, Zn, Fe, Cu, Cr, I, F, Mn, Mo) и водорастворимыми витаминами, однако существуют препараты с сочетанием водо- и жирорасторимых витаминов. </w:t>
      </w:r>
    </w:p>
    <w:p w14:paraId="73250E3A" w14:textId="77777777" w:rsidR="006C476A" w:rsidRPr="00427075" w:rsidRDefault="006C476A" w:rsidP="006C476A">
      <w:pPr>
        <w:ind w:firstLine="708"/>
      </w:pPr>
      <w:r w:rsidRPr="00427075">
        <w:t xml:space="preserve">ПП может быть как полным, то есть обеспечивать все энергетические и нутритивные потребности пациента, так и неполным (смешанным), когда потребность в питании </w:t>
      </w:r>
      <w:r w:rsidRPr="00427075">
        <w:lastRenderedPageBreak/>
        <w:t>удовлетворяется как пероральным, так и парентеральным питанием, например во время восстановления после перерыва в приеме пищи.</w:t>
      </w:r>
    </w:p>
    <w:p w14:paraId="6F9FC733" w14:textId="77777777" w:rsidR="006C476A" w:rsidRPr="00427075" w:rsidRDefault="006C476A" w:rsidP="006C476A">
      <w:r w:rsidRPr="00427075">
        <w:tab/>
        <w:t>Существует две схемы парентерального питания:</w:t>
      </w:r>
    </w:p>
    <w:p w14:paraId="5FA9D14F" w14:textId="77777777" w:rsidR="006C476A" w:rsidRPr="00427075" w:rsidRDefault="006C476A" w:rsidP="006C476A">
      <w:r w:rsidRPr="00427075">
        <w:tab/>
        <w:t>– «модульная», «раздельная» или «флаконная», когда рассчитываются потребности и отдельно вводятся растворы аминокислот («Аминоплазмаль», «Аминовен» и др.) глюкоза 10% или 20% и жировая эмульсия («Интралипид», «Липофундин» 10% и 20%;  и др.).</w:t>
      </w:r>
    </w:p>
    <w:p w14:paraId="10CF9F31" w14:textId="77777777" w:rsidR="006C476A" w:rsidRPr="00427075" w:rsidRDefault="006C476A" w:rsidP="006C476A">
      <w:r w:rsidRPr="00427075">
        <w:tab/>
        <w:t>– «все в одном» или «три в одном» - это вариант, когда все необходимые нутриенты в стандартном соотношении вводятся из одного пакета. До начала инфузии растворы аминокислот, глюкозы и жировая эмульсия разделены перегородками. Перед началом инфузии медицинский персонал разрывает перегородки в пакете, не нарушая его внешнюю целостность. Таким образом данная методика уменьшает риск инфицирования за счет уменьшения количества инфузионных линий и процедур с отдельными флаконами, сокращается временные затраты медицинского персонала, поэтому является преимущественной в использовании. Препараты «три в одном» («Кабивен периферический ицентральный», «Оликлиномель», «Нутрифлекс Липид 70/180» и др.) различаются между собой по соотношению компонентов, что может быть учтено при назначении этих смесей больным с имеющимися метаболическими нарушениями. Соотношение глюкоза/липиды 55/45% у препарата «Кабивен центральный», 62/38% - «Оликлиномель №7». Не следует назначать больным с сахарным диабетом питание с относительно большим содержанием глюкозы.</w:t>
      </w:r>
    </w:p>
    <w:p w14:paraId="081AC5F7" w14:textId="77777777" w:rsidR="006C476A" w:rsidRDefault="006C476A" w:rsidP="006C476A">
      <w:r w:rsidRPr="00427075">
        <w:tab/>
      </w:r>
    </w:p>
    <w:p w14:paraId="062939D3" w14:textId="77777777" w:rsidR="006C476A" w:rsidRPr="00427075" w:rsidRDefault="006C476A" w:rsidP="006C476A">
      <w:pPr>
        <w:ind w:firstLine="709"/>
        <w:rPr>
          <w:i/>
          <w:u w:val="single"/>
        </w:rPr>
      </w:pPr>
      <w:r w:rsidRPr="00427075">
        <w:rPr>
          <w:i/>
          <w:u w:val="single"/>
        </w:rPr>
        <w:t>Методика проведения ПП:</w:t>
      </w:r>
    </w:p>
    <w:p w14:paraId="769C03C1" w14:textId="77777777" w:rsidR="006C476A" w:rsidRPr="00427075" w:rsidRDefault="006C476A" w:rsidP="00077D58">
      <w:pPr>
        <w:pStyle w:val="afe"/>
        <w:numPr>
          <w:ilvl w:val="0"/>
          <w:numId w:val="156"/>
        </w:numPr>
        <w:rPr>
          <w:rFonts w:cs="Times New Roman"/>
          <w:szCs w:val="24"/>
        </w:rPr>
      </w:pPr>
      <w:r w:rsidRPr="00427075">
        <w:rPr>
          <w:rFonts w:cs="Times New Roman"/>
          <w:szCs w:val="24"/>
        </w:rPr>
        <w:t>круглосуточная, преимущественно используется в круглосуточных стационарах и лучше переносится пациентами, так как суточный объем поступает постепенно и равномерно;</w:t>
      </w:r>
    </w:p>
    <w:p w14:paraId="5A48F47A" w14:textId="77777777" w:rsidR="006C476A" w:rsidRPr="00427075" w:rsidRDefault="006C476A" w:rsidP="00077D58">
      <w:pPr>
        <w:pStyle w:val="afe"/>
        <w:numPr>
          <w:ilvl w:val="0"/>
          <w:numId w:val="156"/>
        </w:numPr>
        <w:rPr>
          <w:rFonts w:cs="Times New Roman"/>
          <w:szCs w:val="24"/>
        </w:rPr>
      </w:pPr>
      <w:r w:rsidRPr="00427075">
        <w:rPr>
          <w:rFonts w:cs="Times New Roman"/>
          <w:szCs w:val="24"/>
        </w:rPr>
        <w:t>продленная  инфузия</w:t>
      </w:r>
      <w:r>
        <w:rPr>
          <w:rFonts w:cs="Times New Roman"/>
          <w:szCs w:val="24"/>
        </w:rPr>
        <w:t xml:space="preserve"> </w:t>
      </w:r>
      <w:r w:rsidRPr="00427075">
        <w:rPr>
          <w:rFonts w:cs="Times New Roman"/>
          <w:szCs w:val="24"/>
        </w:rPr>
        <w:t>(18-20 часов);</w:t>
      </w:r>
    </w:p>
    <w:p w14:paraId="3BD7E5C8" w14:textId="77777777" w:rsidR="006C476A" w:rsidRPr="00427075" w:rsidRDefault="006C476A" w:rsidP="00077D58">
      <w:pPr>
        <w:pStyle w:val="afe"/>
        <w:numPr>
          <w:ilvl w:val="0"/>
          <w:numId w:val="156"/>
        </w:numPr>
        <w:rPr>
          <w:rFonts w:cs="Times New Roman"/>
          <w:szCs w:val="24"/>
        </w:rPr>
      </w:pPr>
      <w:r w:rsidRPr="00427075">
        <w:rPr>
          <w:rFonts w:cs="Times New Roman"/>
          <w:szCs w:val="24"/>
        </w:rPr>
        <w:t>циклический режим (8-12 часов) для стационаров с дневным пребыванием или для домашнего применения.</w:t>
      </w:r>
    </w:p>
    <w:p w14:paraId="6496EDFD" w14:textId="77777777" w:rsidR="006C476A" w:rsidRDefault="006C476A" w:rsidP="006C476A">
      <w:pPr>
        <w:ind w:firstLine="709"/>
        <w:rPr>
          <w:i/>
          <w:u w:val="single"/>
        </w:rPr>
      </w:pPr>
    </w:p>
    <w:p w14:paraId="0D34F5EE" w14:textId="77777777" w:rsidR="006C476A" w:rsidRPr="00427075" w:rsidRDefault="006C476A" w:rsidP="006C476A">
      <w:pPr>
        <w:ind w:firstLine="709"/>
        <w:rPr>
          <w:i/>
          <w:u w:val="single"/>
        </w:rPr>
      </w:pPr>
      <w:r w:rsidRPr="00427075">
        <w:rPr>
          <w:i/>
          <w:u w:val="single"/>
        </w:rPr>
        <w:t>Принятие решения о начале ПП.</w:t>
      </w:r>
    </w:p>
    <w:p w14:paraId="43CB57F8" w14:textId="77777777" w:rsidR="006C476A" w:rsidRPr="00427075" w:rsidRDefault="006C476A" w:rsidP="006C476A">
      <w:r w:rsidRPr="00427075">
        <w:tab/>
        <w:t xml:space="preserve">Перед началом ПП необходимо убедиться, что причины, побуждающие начать нутритивную поддержку, не могут быть устранены в первые сутки. К ним относятся: рвота, как побочный эффект химиотерапии; умеренный болевой синдром при мукозите, который может быть устранен анальгетической терапией; диарея, не связанная с некротической энтеропатией, или РТПХ с поражением кишечника. Перед началом ПП должны быть </w:t>
      </w:r>
      <w:r w:rsidRPr="00427075">
        <w:lastRenderedPageBreak/>
        <w:t>предприняты попытки медикаментозной коррекции данных состояний с целью возобновления перорального приема пищи. Следующим этапом следует оценить возможность начала энтерального (зондового) питания, например, у больных в отделении реанимации и интенсивной терапии в условиях искусственной вентиляции легких (ИВЛ). При отсутствии альтернатив и наличии показаний начинают ПП, предварительно оценив метаболический статус пациента (определение индекса массы тела, оценка жидкости в плевральных, перитонеальной полостях, отечного синдрома с целью определения истинного веса без учета избыточной жидкости в организме) и определив исходные показатели общего белка, альбумина, липидного профиля, электролитный состав крови, концентрацию глюкозы, функции почек и печени. На основании этого рассчитывается суточная потребность в калориях из расчета 25-30 ккал/кг (вес без учета жидкости в полостях)/ сутки. Более точно потребность в калориях можно рассчитать с учетом потери массы тела и суточным азотистым балансом (см. табл.1).</w:t>
      </w:r>
    </w:p>
    <w:p w14:paraId="6AFA9AE2" w14:textId="77777777" w:rsidR="006C476A" w:rsidRDefault="006C476A" w:rsidP="006C476A">
      <w:pPr>
        <w:ind w:firstLine="709"/>
        <w:rPr>
          <w:i/>
          <w:u w:val="single"/>
        </w:rPr>
      </w:pPr>
    </w:p>
    <w:p w14:paraId="2B14CF7B" w14:textId="199574D7" w:rsidR="006C476A" w:rsidRPr="00427075" w:rsidRDefault="006C476A" w:rsidP="006C476A">
      <w:pPr>
        <w:ind w:firstLine="709"/>
        <w:rPr>
          <w:i/>
          <w:u w:val="single"/>
        </w:rPr>
      </w:pPr>
      <w:r w:rsidRPr="00427075">
        <w:rPr>
          <w:i/>
          <w:u w:val="single"/>
        </w:rPr>
        <w:t>Показания для проведения ПП</w:t>
      </w:r>
      <w:r>
        <w:rPr>
          <w:i/>
          <w:u w:val="single"/>
        </w:rPr>
        <w:t xml:space="preserve"> </w:t>
      </w:r>
      <w:r>
        <w:rPr>
          <w:i/>
          <w:u w:val="single"/>
        </w:rPr>
        <w:fldChar w:fldCharType="begin" w:fldLock="1"/>
      </w:r>
      <w:r w:rsidR="000E123F">
        <w:rPr>
          <w:i/>
          <w:u w:val="single"/>
        </w:rPr>
        <w:instrText>ADDIN CSL_CITATION {"citationItems":[{"id":"ITEM-1","itemData":{"DOI":"10.1016/j.clnu.2016.07.015","ISSN":"15321983","PMID":"27637832","abstract":"Cancers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Nutrition","id":"ITEM-1","issue":"1","issued":{"date-parts":[["2017"]]},"page":"11-48","publisher":"Churchill Livingstone","title":"ESPEN guidelines on nutrition in cancer patients","type":"article-journal","volume":"36"},"uris":["http://www.mendeley.com/documents/?uuid=2586b0c4-9eb6-4463-a0ba-87fe84fbad8f"]}],"mendeley":{"formattedCitation":"[204]","plainTextFormattedCitation":"[204]","previouslyFormattedCitation":"[204]"},"properties":{"noteIndex":0},"schema":"https://github.com/citation-style-language/schema/raw/master/csl-citation.json"}</w:instrText>
      </w:r>
      <w:r>
        <w:rPr>
          <w:i/>
          <w:u w:val="single"/>
        </w:rPr>
        <w:fldChar w:fldCharType="separate"/>
      </w:r>
      <w:r w:rsidRPr="006C476A">
        <w:rPr>
          <w:noProof/>
        </w:rPr>
        <w:t>[204]</w:t>
      </w:r>
      <w:r>
        <w:rPr>
          <w:i/>
          <w:u w:val="single"/>
        </w:rPr>
        <w:fldChar w:fldCharType="end"/>
      </w:r>
      <w:r w:rsidRPr="00427075">
        <w:rPr>
          <w:i/>
          <w:u w:val="single"/>
        </w:rPr>
        <w:t>:</w:t>
      </w:r>
    </w:p>
    <w:p w14:paraId="5868736E" w14:textId="77777777" w:rsidR="006C476A" w:rsidRPr="00427075" w:rsidRDefault="006C476A" w:rsidP="00077D58">
      <w:pPr>
        <w:pStyle w:val="afe"/>
        <w:numPr>
          <w:ilvl w:val="0"/>
          <w:numId w:val="149"/>
        </w:numPr>
        <w:rPr>
          <w:rFonts w:cs="Times New Roman"/>
          <w:szCs w:val="24"/>
        </w:rPr>
      </w:pPr>
      <w:r w:rsidRPr="00427075">
        <w:rPr>
          <w:rFonts w:cs="Times New Roman"/>
          <w:szCs w:val="24"/>
        </w:rPr>
        <w:t>Невозможность проведения перорального или энтерального питания более 72 часов;</w:t>
      </w:r>
    </w:p>
    <w:p w14:paraId="3A212352" w14:textId="77777777" w:rsidR="006C476A" w:rsidRPr="00427075" w:rsidRDefault="006C476A" w:rsidP="00077D58">
      <w:pPr>
        <w:pStyle w:val="afe"/>
        <w:numPr>
          <w:ilvl w:val="0"/>
          <w:numId w:val="149"/>
        </w:numPr>
        <w:rPr>
          <w:rFonts w:cs="Times New Roman"/>
          <w:szCs w:val="24"/>
        </w:rPr>
      </w:pPr>
      <w:r w:rsidRPr="00427075">
        <w:rPr>
          <w:rFonts w:cs="Times New Roman"/>
          <w:szCs w:val="24"/>
        </w:rPr>
        <w:t>Тяжелая белково-энергетическая недостаточность (индекс массы тела менее 19 кг/м</w:t>
      </w:r>
      <w:r w:rsidRPr="00427075">
        <w:rPr>
          <w:rFonts w:cs="Times New Roman"/>
          <w:szCs w:val="24"/>
          <w:vertAlign w:val="superscript"/>
        </w:rPr>
        <w:t>2</w:t>
      </w:r>
      <w:r w:rsidRPr="00427075">
        <w:rPr>
          <w:rFonts w:cs="Times New Roman"/>
          <w:szCs w:val="24"/>
        </w:rPr>
        <w:t>), которая не может быть полностью корригирована  пероральным или энтеральным питанием;</w:t>
      </w:r>
    </w:p>
    <w:p w14:paraId="2454CAE5" w14:textId="77777777" w:rsidR="006C476A" w:rsidRPr="00427075" w:rsidRDefault="006C476A" w:rsidP="00077D58">
      <w:pPr>
        <w:pStyle w:val="afe"/>
        <w:numPr>
          <w:ilvl w:val="0"/>
          <w:numId w:val="149"/>
        </w:numPr>
        <w:rPr>
          <w:rFonts w:cs="Times New Roman"/>
          <w:szCs w:val="24"/>
        </w:rPr>
      </w:pPr>
      <w:r w:rsidRPr="00427075">
        <w:rPr>
          <w:rFonts w:cs="Times New Roman"/>
          <w:szCs w:val="24"/>
        </w:rPr>
        <w:t>Кишечная недостаточность или тяжелая диарея (&gt; 500 мл/сут</w:t>
      </w:r>
      <w:r w:rsidRPr="00427075">
        <w:rPr>
          <w:rFonts w:cs="Times New Roman"/>
          <w:i/>
          <w:szCs w:val="24"/>
        </w:rPr>
        <w:t xml:space="preserve"> </w:t>
      </w:r>
      <w:r w:rsidRPr="00427075">
        <w:rPr>
          <w:rFonts w:cs="Times New Roman"/>
          <w:szCs w:val="24"/>
        </w:rPr>
        <w:t>более 3 суток);</w:t>
      </w:r>
    </w:p>
    <w:p w14:paraId="63F87F51" w14:textId="77777777" w:rsidR="006C476A" w:rsidRPr="00427075" w:rsidRDefault="006C476A" w:rsidP="00077D58">
      <w:pPr>
        <w:pStyle w:val="afe"/>
        <w:numPr>
          <w:ilvl w:val="0"/>
          <w:numId w:val="149"/>
        </w:numPr>
        <w:rPr>
          <w:rFonts w:cs="Times New Roman"/>
          <w:szCs w:val="24"/>
        </w:rPr>
      </w:pPr>
      <w:r w:rsidRPr="00427075">
        <w:rPr>
          <w:rFonts w:cs="Times New Roman"/>
          <w:szCs w:val="24"/>
        </w:rPr>
        <w:t>Реакция трансплантат против хозяина с поражением кишечника с признаками тяжелой энтеропатии (диарея, кровоточивость);</w:t>
      </w:r>
    </w:p>
    <w:p w14:paraId="4F39353E" w14:textId="77777777" w:rsidR="006C476A" w:rsidRPr="00427075" w:rsidRDefault="006C476A" w:rsidP="00077D58">
      <w:pPr>
        <w:pStyle w:val="afe"/>
        <w:numPr>
          <w:ilvl w:val="0"/>
          <w:numId w:val="149"/>
        </w:numPr>
        <w:rPr>
          <w:rFonts w:cs="Times New Roman"/>
          <w:szCs w:val="24"/>
        </w:rPr>
      </w:pPr>
      <w:r w:rsidRPr="00427075">
        <w:rPr>
          <w:rFonts w:cs="Times New Roman"/>
          <w:szCs w:val="24"/>
        </w:rPr>
        <w:t>Тяжелый мукозит (с прекращением перорального питания);</w:t>
      </w:r>
    </w:p>
    <w:p w14:paraId="60BC7E29" w14:textId="77777777" w:rsidR="006C476A" w:rsidRPr="00427075" w:rsidRDefault="006C476A" w:rsidP="00077D58">
      <w:pPr>
        <w:pStyle w:val="afe"/>
        <w:numPr>
          <w:ilvl w:val="0"/>
          <w:numId w:val="149"/>
        </w:numPr>
        <w:rPr>
          <w:rFonts w:cs="Times New Roman"/>
          <w:szCs w:val="24"/>
        </w:rPr>
      </w:pPr>
      <w:r w:rsidRPr="00427075">
        <w:rPr>
          <w:rFonts w:cs="Times New Roman"/>
          <w:szCs w:val="24"/>
        </w:rPr>
        <w:t>Тяжелый панкреатит;</w:t>
      </w:r>
    </w:p>
    <w:p w14:paraId="3A40E7A7" w14:textId="77777777" w:rsidR="006C476A" w:rsidRPr="00427075" w:rsidRDefault="006C476A" w:rsidP="00077D58">
      <w:pPr>
        <w:pStyle w:val="afe"/>
        <w:numPr>
          <w:ilvl w:val="0"/>
          <w:numId w:val="149"/>
        </w:numPr>
        <w:rPr>
          <w:rFonts w:cs="Times New Roman"/>
          <w:szCs w:val="24"/>
        </w:rPr>
      </w:pPr>
      <w:r w:rsidRPr="00427075">
        <w:rPr>
          <w:rFonts w:cs="Times New Roman"/>
          <w:szCs w:val="24"/>
        </w:rPr>
        <w:t>Кишечная непроходимость;</w:t>
      </w:r>
    </w:p>
    <w:p w14:paraId="6703B5B3" w14:textId="77777777" w:rsidR="006C476A" w:rsidRPr="00427075" w:rsidRDefault="006C476A" w:rsidP="00077D58">
      <w:pPr>
        <w:pStyle w:val="afe"/>
        <w:numPr>
          <w:ilvl w:val="0"/>
          <w:numId w:val="149"/>
        </w:numPr>
        <w:rPr>
          <w:rFonts w:cs="Times New Roman"/>
          <w:szCs w:val="24"/>
        </w:rPr>
      </w:pPr>
      <w:r w:rsidRPr="00427075">
        <w:rPr>
          <w:rFonts w:cs="Times New Roman"/>
          <w:szCs w:val="24"/>
        </w:rPr>
        <w:t xml:space="preserve">Гастростаз или обструкция пилорического отдела желудка; </w:t>
      </w:r>
    </w:p>
    <w:p w14:paraId="145E9189" w14:textId="77777777" w:rsidR="006C476A" w:rsidRPr="00427075" w:rsidRDefault="006C476A" w:rsidP="00077D58">
      <w:pPr>
        <w:pStyle w:val="afe"/>
        <w:numPr>
          <w:ilvl w:val="0"/>
          <w:numId w:val="149"/>
        </w:numPr>
        <w:rPr>
          <w:rFonts w:cs="Times New Roman"/>
          <w:szCs w:val="24"/>
        </w:rPr>
      </w:pPr>
      <w:r w:rsidRPr="00427075">
        <w:rPr>
          <w:rFonts w:cs="Times New Roman"/>
          <w:szCs w:val="24"/>
        </w:rPr>
        <w:t>Критические состояния (шок, острая дыхательная недостаточность, проведение ИВЛ), когда невозможно проводить парентеральное питание;</w:t>
      </w:r>
    </w:p>
    <w:p w14:paraId="0B01F1C4" w14:textId="77777777" w:rsidR="006C476A" w:rsidRPr="00427075" w:rsidRDefault="006C476A" w:rsidP="00077D58">
      <w:pPr>
        <w:pStyle w:val="afe"/>
        <w:numPr>
          <w:ilvl w:val="0"/>
          <w:numId w:val="149"/>
        </w:numPr>
        <w:rPr>
          <w:rFonts w:cs="Times New Roman"/>
          <w:szCs w:val="24"/>
        </w:rPr>
      </w:pPr>
      <w:r w:rsidRPr="00427075">
        <w:rPr>
          <w:rFonts w:cs="Times New Roman"/>
          <w:szCs w:val="24"/>
        </w:rPr>
        <w:t>Наружный свищ тонкой кишки.</w:t>
      </w:r>
    </w:p>
    <w:p w14:paraId="64A49A22" w14:textId="77777777" w:rsidR="006C476A" w:rsidRPr="00427075" w:rsidRDefault="006C476A" w:rsidP="006C476A">
      <w:pPr>
        <w:pStyle w:val="afe"/>
        <w:ind w:left="0"/>
        <w:rPr>
          <w:rFonts w:cs="Times New Roman"/>
          <w:szCs w:val="24"/>
        </w:rPr>
      </w:pPr>
      <w:r w:rsidRPr="00427075">
        <w:rPr>
          <w:rFonts w:cs="Times New Roman"/>
          <w:szCs w:val="24"/>
        </w:rPr>
        <w:t>У гематологических пациентов</w:t>
      </w:r>
      <w:r w:rsidRPr="00427075">
        <w:rPr>
          <w:rFonts w:cs="Times New Roman"/>
          <w:i/>
          <w:color w:val="FF0000"/>
          <w:szCs w:val="24"/>
        </w:rPr>
        <w:t xml:space="preserve"> </w:t>
      </w:r>
      <w:r w:rsidRPr="00427075">
        <w:rPr>
          <w:rFonts w:cs="Times New Roman"/>
          <w:szCs w:val="24"/>
        </w:rPr>
        <w:t>чаще всего начало ПП связано с развитием тяжелой диареи, тяжелой РТПХ с поражением кишечника, мукозитом.</w:t>
      </w:r>
    </w:p>
    <w:p w14:paraId="19B9F175" w14:textId="77777777" w:rsidR="006C476A" w:rsidRDefault="006C476A" w:rsidP="006C476A">
      <w:pPr>
        <w:ind w:firstLine="709"/>
        <w:rPr>
          <w:i/>
          <w:u w:val="single"/>
        </w:rPr>
      </w:pPr>
    </w:p>
    <w:p w14:paraId="0D70C696" w14:textId="518327A4" w:rsidR="006C476A" w:rsidRPr="00427075" w:rsidRDefault="006C476A" w:rsidP="006C476A">
      <w:pPr>
        <w:ind w:firstLine="709"/>
        <w:rPr>
          <w:i/>
          <w:u w:val="single"/>
        </w:rPr>
      </w:pPr>
      <w:r w:rsidRPr="00427075">
        <w:rPr>
          <w:i/>
          <w:u w:val="single"/>
        </w:rPr>
        <w:t>Противопоказания для ПП</w:t>
      </w:r>
      <w:r>
        <w:rPr>
          <w:i/>
          <w:u w:val="single"/>
        </w:rPr>
        <w:fldChar w:fldCharType="begin" w:fldLock="1"/>
      </w:r>
      <w:r w:rsidR="000E123F">
        <w:rPr>
          <w:i/>
          <w:u w:val="single"/>
        </w:rPr>
        <w:instrText>ADDIN CSL_CITATION {"citationItems":[{"id":"ITEM-1","itemData":{"DOI":"10.1016/j.clnu.2016.07.015","ISSN":"15321983","PMID":"27637832","abstract":"Cancers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Nutrition","id":"ITEM-1","issue":"1","issued":{"date-parts":[["2017"]]},"page":"11-48","publisher":"Churchill Livingstone","title":"ESPEN guidelines on nutrition in cancer patients","type":"article-journal","volume":"36"},"uris":["http://www.mendeley.com/documents/?uuid=2586b0c4-9eb6-4463-a0ba-87fe84fbad8f"]}],"mendeley":{"formattedCitation":"[204]","plainTextFormattedCitation":"[204]","previouslyFormattedCitation":"[204]"},"properties":{"noteIndex":0},"schema":"https://github.com/citation-style-language/schema/raw/master/csl-citation.json"}</w:instrText>
      </w:r>
      <w:r>
        <w:rPr>
          <w:i/>
          <w:u w:val="single"/>
        </w:rPr>
        <w:fldChar w:fldCharType="separate"/>
      </w:r>
      <w:r w:rsidRPr="006C476A">
        <w:rPr>
          <w:noProof/>
        </w:rPr>
        <w:t>[204]</w:t>
      </w:r>
      <w:r>
        <w:rPr>
          <w:i/>
          <w:u w:val="single"/>
        </w:rPr>
        <w:fldChar w:fldCharType="end"/>
      </w:r>
      <w:r w:rsidRPr="00427075">
        <w:rPr>
          <w:i/>
          <w:u w:val="single"/>
        </w:rPr>
        <w:t>:</w:t>
      </w:r>
    </w:p>
    <w:p w14:paraId="3A7F1AFF" w14:textId="77777777" w:rsidR="006C476A" w:rsidRPr="00427075" w:rsidRDefault="006C476A" w:rsidP="00077D58">
      <w:pPr>
        <w:pStyle w:val="afe"/>
        <w:numPr>
          <w:ilvl w:val="0"/>
          <w:numId w:val="150"/>
        </w:numPr>
        <w:rPr>
          <w:rFonts w:cs="Times New Roman"/>
          <w:szCs w:val="24"/>
        </w:rPr>
      </w:pPr>
      <w:r w:rsidRPr="00427075">
        <w:rPr>
          <w:rFonts w:cs="Times New Roman"/>
          <w:szCs w:val="24"/>
        </w:rPr>
        <w:t>Возможность полноценного восполнения нутритивного дефицита перорально или энтерально;</w:t>
      </w:r>
    </w:p>
    <w:p w14:paraId="393B6C73" w14:textId="77777777" w:rsidR="006C476A" w:rsidRPr="00427075" w:rsidRDefault="006C476A" w:rsidP="00077D58">
      <w:pPr>
        <w:pStyle w:val="afe"/>
        <w:numPr>
          <w:ilvl w:val="0"/>
          <w:numId w:val="150"/>
        </w:numPr>
        <w:rPr>
          <w:rFonts w:cs="Times New Roman"/>
          <w:szCs w:val="24"/>
        </w:rPr>
      </w:pPr>
      <w:r w:rsidRPr="00427075">
        <w:rPr>
          <w:rFonts w:cs="Times New Roman"/>
          <w:szCs w:val="24"/>
        </w:rPr>
        <w:lastRenderedPageBreak/>
        <w:t>Терминальное состояние пациента (относительное противопоказание);</w:t>
      </w:r>
    </w:p>
    <w:p w14:paraId="37BC3A04" w14:textId="77777777" w:rsidR="006C476A" w:rsidRPr="00427075" w:rsidRDefault="006C476A" w:rsidP="00077D58">
      <w:pPr>
        <w:pStyle w:val="afe"/>
        <w:numPr>
          <w:ilvl w:val="0"/>
          <w:numId w:val="150"/>
        </w:numPr>
        <w:rPr>
          <w:rFonts w:cs="Times New Roman"/>
          <w:szCs w:val="24"/>
        </w:rPr>
      </w:pPr>
      <w:r w:rsidRPr="00427075">
        <w:rPr>
          <w:rFonts w:cs="Times New Roman"/>
          <w:szCs w:val="24"/>
        </w:rPr>
        <w:t xml:space="preserve">Рекомендуется воздержаться в первые 48 часов после развития септического шока от парентерального питания. </w:t>
      </w:r>
    </w:p>
    <w:p w14:paraId="4B0A74CF" w14:textId="77777777" w:rsidR="006C476A" w:rsidRPr="00427075" w:rsidRDefault="006C476A" w:rsidP="006C476A">
      <w:pPr>
        <w:ind w:left="360" w:firstLine="348"/>
      </w:pPr>
      <w:r w:rsidRPr="00427075">
        <w:t>Наличие острой почечной недостаточности у больных не может быть противопоказанием для проведения парентерального питания.</w:t>
      </w:r>
    </w:p>
    <w:p w14:paraId="6B2FFC5E" w14:textId="77777777" w:rsidR="006C476A" w:rsidRDefault="006C476A" w:rsidP="006C476A">
      <w:pPr>
        <w:ind w:left="142" w:firstLine="348"/>
      </w:pPr>
    </w:p>
    <w:p w14:paraId="2AF193D1" w14:textId="77777777" w:rsidR="006C476A" w:rsidRPr="00427075" w:rsidRDefault="006C476A" w:rsidP="006C476A">
      <w:pPr>
        <w:ind w:firstLine="709"/>
        <w:rPr>
          <w:i/>
          <w:u w:val="single"/>
        </w:rPr>
      </w:pPr>
      <w:r w:rsidRPr="00427075">
        <w:rPr>
          <w:i/>
          <w:u w:val="single"/>
        </w:rPr>
        <w:t>Осложнения проведения ПП:</w:t>
      </w:r>
    </w:p>
    <w:p w14:paraId="10C08189" w14:textId="77777777" w:rsidR="006C476A" w:rsidRPr="00427075" w:rsidRDefault="006C476A" w:rsidP="006C476A">
      <w:pPr>
        <w:ind w:left="709" w:hanging="283"/>
      </w:pPr>
      <w:r w:rsidRPr="00427075">
        <w:t xml:space="preserve">1. Осложнения связанные с катетеризацией центральных вен: </w:t>
      </w:r>
    </w:p>
    <w:p w14:paraId="4436189F" w14:textId="77777777" w:rsidR="006C476A" w:rsidRPr="00427075" w:rsidRDefault="006C476A" w:rsidP="00077D58">
      <w:pPr>
        <w:pStyle w:val="afe"/>
        <w:numPr>
          <w:ilvl w:val="1"/>
          <w:numId w:val="151"/>
        </w:numPr>
        <w:tabs>
          <w:tab w:val="left" w:pos="1134"/>
        </w:tabs>
        <w:rPr>
          <w:rFonts w:cs="Times New Roman"/>
          <w:szCs w:val="24"/>
        </w:rPr>
      </w:pPr>
      <w:r w:rsidRPr="00427075">
        <w:rPr>
          <w:rFonts w:cs="Times New Roman"/>
          <w:szCs w:val="24"/>
        </w:rPr>
        <w:t>Инфекционные;</w:t>
      </w:r>
    </w:p>
    <w:p w14:paraId="6A5B59E9" w14:textId="77777777" w:rsidR="006C476A" w:rsidRPr="00427075" w:rsidRDefault="006C476A" w:rsidP="00077D58">
      <w:pPr>
        <w:pStyle w:val="afe"/>
        <w:numPr>
          <w:ilvl w:val="1"/>
          <w:numId w:val="151"/>
        </w:numPr>
        <w:tabs>
          <w:tab w:val="left" w:pos="1134"/>
        </w:tabs>
        <w:rPr>
          <w:rFonts w:cs="Times New Roman"/>
          <w:szCs w:val="24"/>
        </w:rPr>
      </w:pPr>
      <w:r w:rsidRPr="00427075">
        <w:rPr>
          <w:rFonts w:cs="Times New Roman"/>
          <w:szCs w:val="24"/>
        </w:rPr>
        <w:t>Тромботические;</w:t>
      </w:r>
    </w:p>
    <w:p w14:paraId="4D952ACB" w14:textId="77777777" w:rsidR="006C476A" w:rsidRPr="00427075" w:rsidRDefault="006C476A" w:rsidP="00077D58">
      <w:pPr>
        <w:pStyle w:val="afe"/>
        <w:numPr>
          <w:ilvl w:val="1"/>
          <w:numId w:val="151"/>
        </w:numPr>
        <w:tabs>
          <w:tab w:val="left" w:pos="1134"/>
        </w:tabs>
        <w:rPr>
          <w:rFonts w:cs="Times New Roman"/>
          <w:szCs w:val="24"/>
        </w:rPr>
      </w:pPr>
      <w:r w:rsidRPr="00427075">
        <w:rPr>
          <w:rFonts w:cs="Times New Roman"/>
          <w:szCs w:val="24"/>
        </w:rPr>
        <w:t xml:space="preserve">Геморрагические; </w:t>
      </w:r>
    </w:p>
    <w:p w14:paraId="6E977DD8" w14:textId="77777777" w:rsidR="006C476A" w:rsidRPr="00427075" w:rsidRDefault="006C476A" w:rsidP="00077D58">
      <w:pPr>
        <w:pStyle w:val="afe"/>
        <w:numPr>
          <w:ilvl w:val="1"/>
          <w:numId w:val="151"/>
        </w:numPr>
        <w:tabs>
          <w:tab w:val="left" w:pos="1134"/>
        </w:tabs>
        <w:rPr>
          <w:rFonts w:cs="Times New Roman"/>
          <w:szCs w:val="24"/>
        </w:rPr>
      </w:pPr>
      <w:r w:rsidRPr="00427075">
        <w:rPr>
          <w:rFonts w:cs="Times New Roman"/>
          <w:szCs w:val="24"/>
        </w:rPr>
        <w:t xml:space="preserve">Воздушная эмболия; </w:t>
      </w:r>
    </w:p>
    <w:p w14:paraId="44C3A7FA" w14:textId="77777777" w:rsidR="006C476A" w:rsidRPr="00427075" w:rsidRDefault="006C476A" w:rsidP="00077D58">
      <w:pPr>
        <w:pStyle w:val="afe"/>
        <w:numPr>
          <w:ilvl w:val="1"/>
          <w:numId w:val="151"/>
        </w:numPr>
        <w:tabs>
          <w:tab w:val="left" w:pos="1134"/>
        </w:tabs>
        <w:rPr>
          <w:rFonts w:cs="Times New Roman"/>
          <w:szCs w:val="24"/>
        </w:rPr>
      </w:pPr>
      <w:r w:rsidRPr="00427075">
        <w:rPr>
          <w:rFonts w:cs="Times New Roman"/>
          <w:szCs w:val="24"/>
        </w:rPr>
        <w:t>Пневмоторакс.</w:t>
      </w:r>
    </w:p>
    <w:p w14:paraId="210FF9DD" w14:textId="77777777" w:rsidR="006C476A" w:rsidRPr="00427075" w:rsidRDefault="006C476A" w:rsidP="006C476A">
      <w:pPr>
        <w:tabs>
          <w:tab w:val="left" w:pos="284"/>
        </w:tabs>
        <w:ind w:left="993" w:hanging="567"/>
      </w:pPr>
      <w:r w:rsidRPr="00427075">
        <w:t xml:space="preserve">2. Метаболические осложнения: </w:t>
      </w:r>
    </w:p>
    <w:p w14:paraId="7CF1572B" w14:textId="77777777" w:rsidR="006C476A" w:rsidRPr="00427075" w:rsidRDefault="006C476A" w:rsidP="00077D58">
      <w:pPr>
        <w:pStyle w:val="afe"/>
        <w:numPr>
          <w:ilvl w:val="0"/>
          <w:numId w:val="152"/>
        </w:numPr>
        <w:tabs>
          <w:tab w:val="left" w:pos="1134"/>
          <w:tab w:val="left" w:pos="1276"/>
        </w:tabs>
        <w:rPr>
          <w:rFonts w:cs="Times New Roman"/>
          <w:szCs w:val="24"/>
        </w:rPr>
      </w:pPr>
      <w:r w:rsidRPr="00427075">
        <w:rPr>
          <w:rFonts w:cs="Times New Roman"/>
          <w:szCs w:val="24"/>
        </w:rPr>
        <w:t>Гипергликемия;</w:t>
      </w:r>
    </w:p>
    <w:p w14:paraId="51A9FC30" w14:textId="77777777" w:rsidR="006C476A" w:rsidRPr="00427075" w:rsidRDefault="006C476A" w:rsidP="00077D58">
      <w:pPr>
        <w:pStyle w:val="afe"/>
        <w:numPr>
          <w:ilvl w:val="0"/>
          <w:numId w:val="152"/>
        </w:numPr>
        <w:tabs>
          <w:tab w:val="left" w:pos="1134"/>
          <w:tab w:val="left" w:pos="1276"/>
        </w:tabs>
        <w:rPr>
          <w:rFonts w:cs="Times New Roman"/>
          <w:szCs w:val="24"/>
        </w:rPr>
      </w:pPr>
      <w:r w:rsidRPr="00427075">
        <w:rPr>
          <w:rFonts w:cs="Times New Roman"/>
          <w:szCs w:val="24"/>
        </w:rPr>
        <w:t>Водно-электролитные нарушения;</w:t>
      </w:r>
    </w:p>
    <w:p w14:paraId="013CA91D" w14:textId="77777777" w:rsidR="006C476A" w:rsidRPr="00427075" w:rsidRDefault="006C476A" w:rsidP="00077D58">
      <w:pPr>
        <w:pStyle w:val="afe"/>
        <w:numPr>
          <w:ilvl w:val="0"/>
          <w:numId w:val="152"/>
        </w:numPr>
        <w:tabs>
          <w:tab w:val="left" w:pos="1134"/>
          <w:tab w:val="left" w:pos="1276"/>
        </w:tabs>
        <w:rPr>
          <w:rFonts w:cs="Times New Roman"/>
          <w:szCs w:val="24"/>
        </w:rPr>
      </w:pPr>
      <w:r w:rsidRPr="00427075">
        <w:rPr>
          <w:rFonts w:cs="Times New Roman"/>
          <w:szCs w:val="24"/>
        </w:rPr>
        <w:t>Гипертриглицеридемия;</w:t>
      </w:r>
    </w:p>
    <w:p w14:paraId="0F3071B0" w14:textId="77777777" w:rsidR="006C476A" w:rsidRPr="00427075" w:rsidRDefault="006C476A" w:rsidP="00077D58">
      <w:pPr>
        <w:pStyle w:val="afe"/>
        <w:numPr>
          <w:ilvl w:val="0"/>
          <w:numId w:val="152"/>
        </w:numPr>
        <w:tabs>
          <w:tab w:val="left" w:pos="1134"/>
          <w:tab w:val="left" w:pos="1276"/>
        </w:tabs>
        <w:rPr>
          <w:rFonts w:cs="Times New Roman"/>
          <w:szCs w:val="24"/>
        </w:rPr>
      </w:pPr>
      <w:r w:rsidRPr="00427075">
        <w:rPr>
          <w:rFonts w:cs="Times New Roman"/>
          <w:szCs w:val="24"/>
        </w:rPr>
        <w:t>Повышения концентрации азота мочевины;</w:t>
      </w:r>
    </w:p>
    <w:p w14:paraId="50863099" w14:textId="77777777" w:rsidR="006C476A" w:rsidRPr="00427075" w:rsidRDefault="006C476A" w:rsidP="00077D58">
      <w:pPr>
        <w:pStyle w:val="afe"/>
        <w:numPr>
          <w:ilvl w:val="0"/>
          <w:numId w:val="152"/>
        </w:numPr>
        <w:tabs>
          <w:tab w:val="left" w:pos="1134"/>
          <w:tab w:val="left" w:pos="1276"/>
        </w:tabs>
        <w:rPr>
          <w:rFonts w:cs="Times New Roman"/>
          <w:szCs w:val="24"/>
        </w:rPr>
      </w:pPr>
      <w:r w:rsidRPr="00427075">
        <w:rPr>
          <w:rFonts w:cs="Times New Roman"/>
          <w:szCs w:val="24"/>
        </w:rPr>
        <w:t>Повышение активности печеночных трансаминаз.</w:t>
      </w:r>
    </w:p>
    <w:p w14:paraId="470343BF" w14:textId="77777777" w:rsidR="006C476A" w:rsidRPr="00427075" w:rsidRDefault="006C476A" w:rsidP="006C476A">
      <w:pPr>
        <w:tabs>
          <w:tab w:val="left" w:pos="1134"/>
        </w:tabs>
        <w:ind w:left="993" w:hanging="567"/>
      </w:pPr>
      <w:r w:rsidRPr="00427075">
        <w:t>3. Дисфункция органов пищеварительной системы:</w:t>
      </w:r>
    </w:p>
    <w:p w14:paraId="634AD698" w14:textId="77777777" w:rsidR="006C476A" w:rsidRPr="00427075" w:rsidRDefault="006C476A" w:rsidP="00077D58">
      <w:pPr>
        <w:pStyle w:val="afe"/>
        <w:numPr>
          <w:ilvl w:val="0"/>
          <w:numId w:val="153"/>
        </w:numPr>
        <w:tabs>
          <w:tab w:val="left" w:pos="1134"/>
        </w:tabs>
        <w:rPr>
          <w:rFonts w:cs="Times New Roman"/>
          <w:szCs w:val="24"/>
        </w:rPr>
      </w:pPr>
      <w:r w:rsidRPr="00427075">
        <w:rPr>
          <w:rFonts w:cs="Times New Roman"/>
          <w:szCs w:val="24"/>
        </w:rPr>
        <w:t>Холестаз, холецистит;</w:t>
      </w:r>
    </w:p>
    <w:p w14:paraId="491767C0" w14:textId="77777777" w:rsidR="006C476A" w:rsidRPr="00427075" w:rsidRDefault="006C476A" w:rsidP="00077D58">
      <w:pPr>
        <w:pStyle w:val="afe"/>
        <w:numPr>
          <w:ilvl w:val="0"/>
          <w:numId w:val="153"/>
        </w:numPr>
        <w:tabs>
          <w:tab w:val="left" w:pos="1134"/>
        </w:tabs>
        <w:rPr>
          <w:rFonts w:cs="Times New Roman"/>
          <w:szCs w:val="24"/>
        </w:rPr>
      </w:pPr>
      <w:r w:rsidRPr="00427075">
        <w:rPr>
          <w:rFonts w:cs="Times New Roman"/>
          <w:szCs w:val="24"/>
        </w:rPr>
        <w:t>Гипотрофия стенки кишечника;</w:t>
      </w:r>
    </w:p>
    <w:p w14:paraId="21F4051F" w14:textId="77777777" w:rsidR="006C476A" w:rsidRPr="00427075" w:rsidRDefault="006C476A" w:rsidP="00077D58">
      <w:pPr>
        <w:pStyle w:val="afe"/>
        <w:numPr>
          <w:ilvl w:val="0"/>
          <w:numId w:val="153"/>
        </w:numPr>
        <w:tabs>
          <w:tab w:val="left" w:pos="1134"/>
        </w:tabs>
        <w:rPr>
          <w:rFonts w:cs="Times New Roman"/>
          <w:szCs w:val="24"/>
        </w:rPr>
      </w:pPr>
      <w:r w:rsidRPr="00427075">
        <w:rPr>
          <w:rFonts w:cs="Times New Roman"/>
          <w:szCs w:val="24"/>
        </w:rPr>
        <w:t>Жировой стеатоз печени;</w:t>
      </w:r>
    </w:p>
    <w:p w14:paraId="29753DF8" w14:textId="77777777" w:rsidR="006C476A" w:rsidRPr="00427075" w:rsidRDefault="006C476A" w:rsidP="00077D58">
      <w:pPr>
        <w:pStyle w:val="afe"/>
        <w:numPr>
          <w:ilvl w:val="0"/>
          <w:numId w:val="153"/>
        </w:numPr>
        <w:tabs>
          <w:tab w:val="left" w:pos="1134"/>
        </w:tabs>
        <w:rPr>
          <w:rFonts w:cs="Times New Roman"/>
          <w:szCs w:val="24"/>
        </w:rPr>
      </w:pPr>
      <w:r w:rsidRPr="00427075">
        <w:rPr>
          <w:rFonts w:cs="Times New Roman"/>
          <w:szCs w:val="24"/>
        </w:rPr>
        <w:t>Острый панкреатит (особенно в случае с сочетанием с врожденной гипертриглицеридемией)</w:t>
      </w:r>
    </w:p>
    <w:p w14:paraId="11D7266B" w14:textId="77777777" w:rsidR="006C476A" w:rsidRPr="00427075" w:rsidRDefault="006C476A" w:rsidP="006C476A">
      <w:pPr>
        <w:ind w:firstLine="426"/>
      </w:pPr>
      <w:r w:rsidRPr="00427075">
        <w:t>4. Аллергические реакции на компоненты парентерального питания.</w:t>
      </w:r>
    </w:p>
    <w:p w14:paraId="05E989C0" w14:textId="77777777" w:rsidR="006C476A" w:rsidRPr="00427075" w:rsidRDefault="006C476A" w:rsidP="006C476A">
      <w:pPr>
        <w:ind w:firstLine="426"/>
      </w:pPr>
      <w:r w:rsidRPr="00427075">
        <w:t xml:space="preserve">5. Образование преципитатов (солей) в случае несовместимых инфузий с ПП. </w:t>
      </w:r>
    </w:p>
    <w:p w14:paraId="6B564B09" w14:textId="77777777" w:rsidR="006C476A" w:rsidRPr="00427075" w:rsidRDefault="006C476A" w:rsidP="006C476A">
      <w:pPr>
        <w:ind w:firstLine="426"/>
      </w:pPr>
      <w:r w:rsidRPr="00427075">
        <w:t xml:space="preserve">6. Токсические эффекты витаминных комплексов (аккумуляция жирорастворимых витаминов </w:t>
      </w:r>
      <w:r w:rsidRPr="00427075">
        <w:rPr>
          <w:lang w:val="en-US"/>
        </w:rPr>
        <w:t>A</w:t>
      </w:r>
      <w:r w:rsidRPr="00427075">
        <w:t>,</w:t>
      </w:r>
      <w:r w:rsidRPr="00427075">
        <w:rPr>
          <w:lang w:val="en-US"/>
        </w:rPr>
        <w:t>D</w:t>
      </w:r>
      <w:r w:rsidRPr="00427075">
        <w:t>,</w:t>
      </w:r>
      <w:r w:rsidRPr="00427075">
        <w:rPr>
          <w:lang w:val="en-US"/>
        </w:rPr>
        <w:t>E</w:t>
      </w:r>
      <w:r w:rsidRPr="00427075">
        <w:t>,</w:t>
      </w:r>
      <w:r w:rsidRPr="00427075">
        <w:rPr>
          <w:lang w:val="en-US"/>
        </w:rPr>
        <w:t>K</w:t>
      </w:r>
      <w:r w:rsidRPr="00427075">
        <w:t>).</w:t>
      </w:r>
    </w:p>
    <w:p w14:paraId="688992A0" w14:textId="77777777" w:rsidR="006C476A" w:rsidRPr="00427075" w:rsidRDefault="006C476A" w:rsidP="006C476A">
      <w:pPr>
        <w:ind w:firstLine="426"/>
      </w:pPr>
      <w:r w:rsidRPr="00427075">
        <w:t>7. Синдром возобновления питания или рефидинг-синдром.</w:t>
      </w:r>
    </w:p>
    <w:p w14:paraId="00CAF5CC" w14:textId="77777777" w:rsidR="006C476A" w:rsidRDefault="006C476A" w:rsidP="006C476A">
      <w:pPr>
        <w:pStyle w:val="afe"/>
        <w:rPr>
          <w:rFonts w:cs="Times New Roman"/>
          <w:b/>
          <w:szCs w:val="24"/>
        </w:rPr>
      </w:pPr>
    </w:p>
    <w:p w14:paraId="05443548" w14:textId="4458CDC1" w:rsidR="006C476A" w:rsidRPr="00427075" w:rsidRDefault="006C476A" w:rsidP="006C476A">
      <w:pPr>
        <w:ind w:firstLine="709"/>
        <w:rPr>
          <w:i/>
          <w:u w:val="single"/>
        </w:rPr>
      </w:pPr>
      <w:r w:rsidRPr="00427075">
        <w:rPr>
          <w:i/>
          <w:u w:val="single"/>
        </w:rPr>
        <w:t>Алгоритм действия врача</w:t>
      </w:r>
      <w:r>
        <w:rPr>
          <w:i/>
          <w:u w:val="single"/>
        </w:rPr>
        <w:t xml:space="preserve"> </w:t>
      </w:r>
      <w:r>
        <w:rPr>
          <w:i/>
          <w:u w:val="single"/>
        </w:rPr>
        <w:fldChar w:fldCharType="begin" w:fldLock="1"/>
      </w:r>
      <w:r w:rsidR="000E123F">
        <w:rPr>
          <w:i/>
          <w:u w:val="single"/>
        </w:rPr>
        <w:instrText>ADDIN CSL_CITATION {"citationItems":[{"id":"ITEM-1","itemData":{"DOI":"10.1016/j.clnu.2016.07.015","ISSN":"15321983","PMID":"27637832","abstract":"Cancers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Nutrition","id":"ITEM-1","issue":"1","issued":{"date-parts":[["2017"]]},"page":"11-48","publisher":"Churchill Livingstone","title":"ESPEN guidelines on nutrition in cancer patients","type":"article-journal","volume":"36"},"uris":["http://www.mendeley.com/documents/?uuid=2586b0c4-9eb6-4463-a0ba-87fe84fbad8f"]}],"mendeley":{"formattedCitation":"[204]","plainTextFormattedCitation":"[204]","previouslyFormattedCitation":"[204]"},"properties":{"noteIndex":0},"schema":"https://github.com/citation-style-language/schema/raw/master/csl-citation.json"}</w:instrText>
      </w:r>
      <w:r>
        <w:rPr>
          <w:i/>
          <w:u w:val="single"/>
        </w:rPr>
        <w:fldChar w:fldCharType="separate"/>
      </w:r>
      <w:r w:rsidRPr="006C476A">
        <w:rPr>
          <w:noProof/>
        </w:rPr>
        <w:t>[204]</w:t>
      </w:r>
      <w:r>
        <w:rPr>
          <w:i/>
          <w:u w:val="single"/>
        </w:rPr>
        <w:fldChar w:fldCharType="end"/>
      </w:r>
      <w:r w:rsidRPr="00427075">
        <w:rPr>
          <w:i/>
          <w:u w:val="single"/>
        </w:rPr>
        <w:t>:</w:t>
      </w:r>
    </w:p>
    <w:p w14:paraId="24BCB80B" w14:textId="77777777" w:rsidR="006C476A" w:rsidRPr="00427075" w:rsidRDefault="006C476A" w:rsidP="006C476A">
      <w:pPr>
        <w:ind w:firstLine="708"/>
      </w:pPr>
      <w:r w:rsidRPr="00427075">
        <w:t xml:space="preserve">1. </w:t>
      </w:r>
      <w:r w:rsidRPr="00427075">
        <w:rPr>
          <w:i/>
        </w:rPr>
        <w:t>Сосудистый доступ.</w:t>
      </w:r>
      <w:r w:rsidRPr="00427075">
        <w:t xml:space="preserve">  После принятия решения о начала ПП с учетом показаний и противопоказаний решается вопрос об обеспечении сосудистого доступа </w:t>
      </w:r>
      <w:r w:rsidRPr="00427075">
        <w:rPr>
          <w:i/>
        </w:rPr>
        <w:t xml:space="preserve">(см. Приложение </w:t>
      </w:r>
      <w:r w:rsidRPr="00427075">
        <w:rPr>
          <w:i/>
        </w:rPr>
        <w:lastRenderedPageBreak/>
        <w:t xml:space="preserve">«Сосудистый доступ у гематологических пациентов»), </w:t>
      </w:r>
      <w:r w:rsidRPr="00427075">
        <w:t>который</w:t>
      </w:r>
      <w:r w:rsidRPr="00427075">
        <w:rPr>
          <w:i/>
        </w:rPr>
        <w:t xml:space="preserve"> </w:t>
      </w:r>
      <w:r w:rsidRPr="00427075">
        <w:t xml:space="preserve">устанавливается врачом-реаниматологом. При планировании ПП более 5 дней рекомендуется установка центрального венозного катетера. При проведении ПП менее 5 дней, при наличии смесей для парентерального питания с осмолярностью менее 900мОсмоль/л, возможно использование периферического сосудистого доступа. </w:t>
      </w:r>
    </w:p>
    <w:p w14:paraId="76ED3566" w14:textId="77777777" w:rsidR="006C476A" w:rsidRPr="00427075" w:rsidRDefault="006C476A" w:rsidP="006C476A">
      <w:pPr>
        <w:ind w:firstLine="708"/>
      </w:pPr>
      <w:r w:rsidRPr="00427075">
        <w:t>2</w:t>
      </w:r>
      <w:r w:rsidRPr="00427075">
        <w:rPr>
          <w:i/>
        </w:rPr>
        <w:t>. Рассчитывается требуемая суточная калорийность</w:t>
      </w:r>
      <w:r w:rsidRPr="00427075">
        <w:t xml:space="preserve"> в зависимости от степени катаболизма (см. табл 1):</w:t>
      </w:r>
    </w:p>
    <w:p w14:paraId="05267BD6" w14:textId="77777777" w:rsidR="006C476A" w:rsidRDefault="006C476A" w:rsidP="006C476A"/>
    <w:p w14:paraId="306980A8" w14:textId="77777777" w:rsidR="006C476A" w:rsidRPr="00427075" w:rsidRDefault="006C476A" w:rsidP="006C476A">
      <w:r w:rsidRPr="00427075">
        <w:t>Таблица 1. Расчет энергетических потребностей в зависимости от степени катаболизма.</w:t>
      </w:r>
    </w:p>
    <w:tbl>
      <w:tblPr>
        <w:tblStyle w:val="aff9"/>
        <w:tblW w:w="9571" w:type="dxa"/>
        <w:tblLook w:val="04A0" w:firstRow="1" w:lastRow="0" w:firstColumn="1" w:lastColumn="0" w:noHBand="0" w:noVBand="1"/>
      </w:tblPr>
      <w:tblGrid>
        <w:gridCol w:w="2109"/>
        <w:gridCol w:w="1532"/>
        <w:gridCol w:w="1618"/>
        <w:gridCol w:w="1261"/>
        <w:gridCol w:w="1330"/>
        <w:gridCol w:w="1721"/>
      </w:tblGrid>
      <w:tr w:rsidR="006C476A" w:rsidRPr="00427075" w14:paraId="4AA54C55" w14:textId="77777777" w:rsidTr="002D3EBF">
        <w:trPr>
          <w:trHeight w:val="1164"/>
        </w:trPr>
        <w:tc>
          <w:tcPr>
            <w:tcW w:w="2117" w:type="dxa"/>
          </w:tcPr>
          <w:p w14:paraId="5A79848C" w14:textId="77777777" w:rsidR="006C476A" w:rsidRPr="00427075" w:rsidRDefault="006C476A" w:rsidP="002D3EBF">
            <w:pPr>
              <w:jc w:val="center"/>
            </w:pPr>
            <w:r w:rsidRPr="00427075">
              <w:t>Недостаточность</w:t>
            </w:r>
          </w:p>
          <w:p w14:paraId="02DECEB2" w14:textId="77777777" w:rsidR="006C476A" w:rsidRPr="00427075" w:rsidRDefault="006C476A" w:rsidP="002D3EBF">
            <w:pPr>
              <w:jc w:val="center"/>
            </w:pPr>
            <w:r w:rsidRPr="00427075">
              <w:t>питания</w:t>
            </w:r>
          </w:p>
        </w:tc>
        <w:tc>
          <w:tcPr>
            <w:tcW w:w="1545" w:type="dxa"/>
          </w:tcPr>
          <w:p w14:paraId="38AC425B" w14:textId="77777777" w:rsidR="006C476A" w:rsidRPr="00427075" w:rsidRDefault="006C476A" w:rsidP="002D3EBF">
            <w:pPr>
              <w:jc w:val="center"/>
            </w:pPr>
            <w:r w:rsidRPr="00427075">
              <w:t>Потеря массы тела (за последние 3 мес.)</w:t>
            </w:r>
          </w:p>
        </w:tc>
        <w:tc>
          <w:tcPr>
            <w:tcW w:w="1628" w:type="dxa"/>
          </w:tcPr>
          <w:p w14:paraId="437A5FAC" w14:textId="77777777" w:rsidR="006C476A" w:rsidRPr="00427075" w:rsidRDefault="006C476A" w:rsidP="002D3EBF">
            <w:pPr>
              <w:jc w:val="center"/>
            </w:pPr>
            <w:r w:rsidRPr="00427075">
              <w:t>Потери азота, г/сут (Азотистый баланс)</w:t>
            </w:r>
          </w:p>
        </w:tc>
        <w:tc>
          <w:tcPr>
            <w:tcW w:w="1277" w:type="dxa"/>
          </w:tcPr>
          <w:p w14:paraId="48B52652" w14:textId="77777777" w:rsidR="006C476A" w:rsidRPr="00427075" w:rsidRDefault="006C476A" w:rsidP="002D3EBF">
            <w:pPr>
              <w:jc w:val="center"/>
            </w:pPr>
            <w:r w:rsidRPr="00427075">
              <w:t>Общий белок, г/л</w:t>
            </w:r>
          </w:p>
        </w:tc>
        <w:tc>
          <w:tcPr>
            <w:tcW w:w="1277" w:type="dxa"/>
          </w:tcPr>
          <w:p w14:paraId="688BF3A6" w14:textId="77777777" w:rsidR="006C476A" w:rsidRPr="00427075" w:rsidRDefault="006C476A" w:rsidP="002D3EBF">
            <w:pPr>
              <w:jc w:val="center"/>
            </w:pPr>
            <w:r w:rsidRPr="00427075">
              <w:t>Альбумин, г/л</w:t>
            </w:r>
          </w:p>
        </w:tc>
        <w:tc>
          <w:tcPr>
            <w:tcW w:w="1727" w:type="dxa"/>
          </w:tcPr>
          <w:p w14:paraId="5C0F1BAB" w14:textId="77777777" w:rsidR="006C476A" w:rsidRPr="00427075" w:rsidRDefault="006C476A" w:rsidP="002D3EBF">
            <w:pPr>
              <w:jc w:val="center"/>
              <w:rPr>
                <w:b/>
              </w:rPr>
            </w:pPr>
            <w:r w:rsidRPr="00427075">
              <w:rPr>
                <w:b/>
              </w:rPr>
              <w:t>Потребность энергии в сутки, ккал/кг</w:t>
            </w:r>
          </w:p>
        </w:tc>
      </w:tr>
      <w:tr w:rsidR="006C476A" w:rsidRPr="00427075" w14:paraId="0DC47921" w14:textId="77777777" w:rsidTr="002D3EBF">
        <w:trPr>
          <w:trHeight w:val="329"/>
        </w:trPr>
        <w:tc>
          <w:tcPr>
            <w:tcW w:w="2117" w:type="dxa"/>
          </w:tcPr>
          <w:p w14:paraId="426E3138" w14:textId="77777777" w:rsidR="006C476A" w:rsidRPr="00427075" w:rsidRDefault="006C476A" w:rsidP="002D3EBF">
            <w:pPr>
              <w:jc w:val="center"/>
            </w:pPr>
            <w:r w:rsidRPr="00427075">
              <w:t>Нет</w:t>
            </w:r>
          </w:p>
        </w:tc>
        <w:tc>
          <w:tcPr>
            <w:tcW w:w="1545" w:type="dxa"/>
          </w:tcPr>
          <w:p w14:paraId="1863111B" w14:textId="77777777" w:rsidR="006C476A" w:rsidRPr="00427075" w:rsidRDefault="006C476A" w:rsidP="002D3EBF">
            <w:pPr>
              <w:jc w:val="center"/>
            </w:pPr>
            <w:r w:rsidRPr="00427075">
              <w:t>&lt; 2%</w:t>
            </w:r>
          </w:p>
        </w:tc>
        <w:tc>
          <w:tcPr>
            <w:tcW w:w="1628" w:type="dxa"/>
          </w:tcPr>
          <w:p w14:paraId="2B93F188" w14:textId="77777777" w:rsidR="006C476A" w:rsidRPr="00427075" w:rsidRDefault="006C476A" w:rsidP="002D3EBF">
            <w:pPr>
              <w:jc w:val="center"/>
            </w:pPr>
            <w:r w:rsidRPr="00427075">
              <w:t>0-6</w:t>
            </w:r>
          </w:p>
        </w:tc>
        <w:tc>
          <w:tcPr>
            <w:tcW w:w="1277" w:type="dxa"/>
          </w:tcPr>
          <w:p w14:paraId="65A5B523" w14:textId="77777777" w:rsidR="006C476A" w:rsidRPr="00427075" w:rsidRDefault="006C476A" w:rsidP="002D3EBF">
            <w:pPr>
              <w:jc w:val="center"/>
            </w:pPr>
            <w:r w:rsidRPr="00427075">
              <w:t>&gt;65</w:t>
            </w:r>
          </w:p>
        </w:tc>
        <w:tc>
          <w:tcPr>
            <w:tcW w:w="1277" w:type="dxa"/>
          </w:tcPr>
          <w:p w14:paraId="2122EB8A" w14:textId="77777777" w:rsidR="006C476A" w:rsidRPr="00427075" w:rsidRDefault="006C476A" w:rsidP="002D3EBF">
            <w:pPr>
              <w:jc w:val="center"/>
            </w:pPr>
            <w:r w:rsidRPr="00427075">
              <w:t>&gt;35</w:t>
            </w:r>
          </w:p>
        </w:tc>
        <w:tc>
          <w:tcPr>
            <w:tcW w:w="1727" w:type="dxa"/>
          </w:tcPr>
          <w:p w14:paraId="53B2CF38" w14:textId="77777777" w:rsidR="006C476A" w:rsidRPr="00427075" w:rsidRDefault="006C476A" w:rsidP="002D3EBF">
            <w:pPr>
              <w:jc w:val="center"/>
              <w:rPr>
                <w:b/>
              </w:rPr>
            </w:pPr>
            <w:r w:rsidRPr="00427075">
              <w:rPr>
                <w:b/>
              </w:rPr>
              <w:t>20 – 25</w:t>
            </w:r>
          </w:p>
        </w:tc>
      </w:tr>
      <w:tr w:rsidR="006C476A" w:rsidRPr="00427075" w14:paraId="3B3EFB00" w14:textId="77777777" w:rsidTr="002D3EBF">
        <w:trPr>
          <w:trHeight w:val="313"/>
        </w:trPr>
        <w:tc>
          <w:tcPr>
            <w:tcW w:w="2117" w:type="dxa"/>
          </w:tcPr>
          <w:p w14:paraId="45679C0A" w14:textId="77777777" w:rsidR="006C476A" w:rsidRPr="00427075" w:rsidRDefault="006C476A" w:rsidP="002D3EBF">
            <w:pPr>
              <w:jc w:val="center"/>
            </w:pPr>
            <w:r w:rsidRPr="00427075">
              <w:t>Легкая</w:t>
            </w:r>
          </w:p>
        </w:tc>
        <w:tc>
          <w:tcPr>
            <w:tcW w:w="1545" w:type="dxa"/>
          </w:tcPr>
          <w:p w14:paraId="32D9F630" w14:textId="77777777" w:rsidR="006C476A" w:rsidRPr="00427075" w:rsidRDefault="006C476A" w:rsidP="002D3EBF">
            <w:pPr>
              <w:jc w:val="center"/>
            </w:pPr>
            <w:r w:rsidRPr="00427075">
              <w:t>2-5%</w:t>
            </w:r>
          </w:p>
        </w:tc>
        <w:tc>
          <w:tcPr>
            <w:tcW w:w="1628" w:type="dxa"/>
          </w:tcPr>
          <w:p w14:paraId="6EC65F02" w14:textId="77777777" w:rsidR="006C476A" w:rsidRPr="00427075" w:rsidRDefault="006C476A" w:rsidP="002D3EBF">
            <w:pPr>
              <w:jc w:val="center"/>
            </w:pPr>
            <w:r w:rsidRPr="00427075">
              <w:t>6-12</w:t>
            </w:r>
          </w:p>
        </w:tc>
        <w:tc>
          <w:tcPr>
            <w:tcW w:w="1277" w:type="dxa"/>
          </w:tcPr>
          <w:p w14:paraId="4B37CC2F" w14:textId="77777777" w:rsidR="006C476A" w:rsidRPr="00427075" w:rsidRDefault="006C476A" w:rsidP="002D3EBF">
            <w:pPr>
              <w:jc w:val="center"/>
            </w:pPr>
            <w:r w:rsidRPr="00427075">
              <w:t>65-55</w:t>
            </w:r>
          </w:p>
        </w:tc>
        <w:tc>
          <w:tcPr>
            <w:tcW w:w="1277" w:type="dxa"/>
          </w:tcPr>
          <w:p w14:paraId="36A0F5AD" w14:textId="77777777" w:rsidR="006C476A" w:rsidRPr="00427075" w:rsidRDefault="006C476A" w:rsidP="002D3EBF">
            <w:pPr>
              <w:jc w:val="center"/>
            </w:pPr>
            <w:r w:rsidRPr="00427075">
              <w:t>35-30</w:t>
            </w:r>
          </w:p>
        </w:tc>
        <w:tc>
          <w:tcPr>
            <w:tcW w:w="1727" w:type="dxa"/>
          </w:tcPr>
          <w:p w14:paraId="57FDB614" w14:textId="77777777" w:rsidR="006C476A" w:rsidRPr="00427075" w:rsidRDefault="006C476A" w:rsidP="002D3EBF">
            <w:pPr>
              <w:jc w:val="center"/>
              <w:rPr>
                <w:b/>
              </w:rPr>
            </w:pPr>
            <w:r w:rsidRPr="00427075">
              <w:rPr>
                <w:b/>
              </w:rPr>
              <w:t>25 – 30</w:t>
            </w:r>
          </w:p>
        </w:tc>
      </w:tr>
      <w:tr w:rsidR="006C476A" w:rsidRPr="00427075" w14:paraId="4AABBEFE" w14:textId="77777777" w:rsidTr="002D3EBF">
        <w:trPr>
          <w:trHeight w:val="313"/>
        </w:trPr>
        <w:tc>
          <w:tcPr>
            <w:tcW w:w="2117" w:type="dxa"/>
          </w:tcPr>
          <w:p w14:paraId="7A3011C1" w14:textId="77777777" w:rsidR="006C476A" w:rsidRPr="00427075" w:rsidRDefault="006C476A" w:rsidP="002D3EBF">
            <w:pPr>
              <w:jc w:val="center"/>
            </w:pPr>
            <w:r w:rsidRPr="00427075">
              <w:t>Средняя</w:t>
            </w:r>
          </w:p>
        </w:tc>
        <w:tc>
          <w:tcPr>
            <w:tcW w:w="1545" w:type="dxa"/>
          </w:tcPr>
          <w:p w14:paraId="21260264" w14:textId="77777777" w:rsidR="006C476A" w:rsidRPr="00427075" w:rsidRDefault="006C476A" w:rsidP="002D3EBF">
            <w:pPr>
              <w:jc w:val="center"/>
            </w:pPr>
            <w:r w:rsidRPr="00427075">
              <w:t>6-10%</w:t>
            </w:r>
          </w:p>
        </w:tc>
        <w:tc>
          <w:tcPr>
            <w:tcW w:w="1628" w:type="dxa"/>
          </w:tcPr>
          <w:p w14:paraId="4A3671BF" w14:textId="77777777" w:rsidR="006C476A" w:rsidRPr="00427075" w:rsidRDefault="006C476A" w:rsidP="002D3EBF">
            <w:pPr>
              <w:jc w:val="center"/>
            </w:pPr>
            <w:r w:rsidRPr="00427075">
              <w:t>6-12</w:t>
            </w:r>
          </w:p>
        </w:tc>
        <w:tc>
          <w:tcPr>
            <w:tcW w:w="1277" w:type="dxa"/>
          </w:tcPr>
          <w:p w14:paraId="25B687CD" w14:textId="77777777" w:rsidR="006C476A" w:rsidRPr="00427075" w:rsidRDefault="006C476A" w:rsidP="002D3EBF">
            <w:pPr>
              <w:jc w:val="center"/>
            </w:pPr>
            <w:r w:rsidRPr="00427075">
              <w:t>55-45</w:t>
            </w:r>
          </w:p>
        </w:tc>
        <w:tc>
          <w:tcPr>
            <w:tcW w:w="1277" w:type="dxa"/>
          </w:tcPr>
          <w:p w14:paraId="66848E06" w14:textId="77777777" w:rsidR="006C476A" w:rsidRPr="00427075" w:rsidRDefault="006C476A" w:rsidP="002D3EBF">
            <w:pPr>
              <w:jc w:val="center"/>
            </w:pPr>
            <w:r w:rsidRPr="00427075">
              <w:t>30-25</w:t>
            </w:r>
          </w:p>
        </w:tc>
        <w:tc>
          <w:tcPr>
            <w:tcW w:w="1727" w:type="dxa"/>
          </w:tcPr>
          <w:p w14:paraId="0649721F" w14:textId="77777777" w:rsidR="006C476A" w:rsidRPr="00427075" w:rsidRDefault="006C476A" w:rsidP="002D3EBF">
            <w:pPr>
              <w:jc w:val="center"/>
              <w:rPr>
                <w:b/>
              </w:rPr>
            </w:pPr>
            <w:r w:rsidRPr="00427075">
              <w:rPr>
                <w:b/>
              </w:rPr>
              <w:t>25 – 35</w:t>
            </w:r>
          </w:p>
        </w:tc>
      </w:tr>
      <w:tr w:rsidR="006C476A" w:rsidRPr="00427075" w14:paraId="758FB3C0" w14:textId="77777777" w:rsidTr="002D3EBF">
        <w:trPr>
          <w:trHeight w:val="329"/>
        </w:trPr>
        <w:tc>
          <w:tcPr>
            <w:tcW w:w="2117" w:type="dxa"/>
          </w:tcPr>
          <w:p w14:paraId="39CAE4CD" w14:textId="77777777" w:rsidR="006C476A" w:rsidRPr="00427075" w:rsidRDefault="006C476A" w:rsidP="002D3EBF">
            <w:pPr>
              <w:jc w:val="center"/>
            </w:pPr>
            <w:r w:rsidRPr="00427075">
              <w:t>Тяжелая</w:t>
            </w:r>
          </w:p>
        </w:tc>
        <w:tc>
          <w:tcPr>
            <w:tcW w:w="1545" w:type="dxa"/>
          </w:tcPr>
          <w:p w14:paraId="37B84DBC" w14:textId="77777777" w:rsidR="006C476A" w:rsidRPr="00427075" w:rsidRDefault="006C476A" w:rsidP="002D3EBF">
            <w:pPr>
              <w:jc w:val="center"/>
            </w:pPr>
            <w:r w:rsidRPr="00427075">
              <w:t>&lt;10 %</w:t>
            </w:r>
          </w:p>
        </w:tc>
        <w:tc>
          <w:tcPr>
            <w:tcW w:w="1628" w:type="dxa"/>
          </w:tcPr>
          <w:p w14:paraId="348B0727" w14:textId="77777777" w:rsidR="006C476A" w:rsidRPr="00427075" w:rsidRDefault="006C476A" w:rsidP="002D3EBF">
            <w:pPr>
              <w:jc w:val="center"/>
            </w:pPr>
            <w:r w:rsidRPr="00427075">
              <w:t>&gt;12</w:t>
            </w:r>
          </w:p>
        </w:tc>
        <w:tc>
          <w:tcPr>
            <w:tcW w:w="1277" w:type="dxa"/>
          </w:tcPr>
          <w:p w14:paraId="549E458C" w14:textId="77777777" w:rsidR="006C476A" w:rsidRPr="00427075" w:rsidRDefault="006C476A" w:rsidP="002D3EBF">
            <w:pPr>
              <w:jc w:val="center"/>
            </w:pPr>
            <w:r w:rsidRPr="00427075">
              <w:t>&lt;45</w:t>
            </w:r>
          </w:p>
        </w:tc>
        <w:tc>
          <w:tcPr>
            <w:tcW w:w="1277" w:type="dxa"/>
          </w:tcPr>
          <w:p w14:paraId="56DEF8A7" w14:textId="77777777" w:rsidR="006C476A" w:rsidRPr="00427075" w:rsidRDefault="006C476A" w:rsidP="002D3EBF">
            <w:pPr>
              <w:jc w:val="center"/>
            </w:pPr>
            <w:r w:rsidRPr="00427075">
              <w:t>&lt;25</w:t>
            </w:r>
          </w:p>
        </w:tc>
        <w:tc>
          <w:tcPr>
            <w:tcW w:w="1727" w:type="dxa"/>
          </w:tcPr>
          <w:p w14:paraId="42F614FB" w14:textId="77777777" w:rsidR="006C476A" w:rsidRPr="00427075" w:rsidRDefault="006C476A" w:rsidP="002D3EBF">
            <w:pPr>
              <w:jc w:val="center"/>
              <w:rPr>
                <w:b/>
              </w:rPr>
            </w:pPr>
            <w:r w:rsidRPr="00427075">
              <w:rPr>
                <w:b/>
              </w:rPr>
              <w:t>30 – 45</w:t>
            </w:r>
          </w:p>
        </w:tc>
      </w:tr>
    </w:tbl>
    <w:p w14:paraId="24EFD366" w14:textId="77777777" w:rsidR="006C476A" w:rsidRPr="00427075" w:rsidRDefault="006C476A" w:rsidP="006C476A">
      <w:r w:rsidRPr="00427075">
        <w:tab/>
        <w:t xml:space="preserve">Азотистый баланс  (АБ) можно рассчитать по формуле: </w:t>
      </w:r>
    </w:p>
    <w:p w14:paraId="1F8DB345" w14:textId="77777777" w:rsidR="006C476A" w:rsidRDefault="006C476A" w:rsidP="006C476A">
      <w:pPr>
        <w:rPr>
          <w:i/>
        </w:rPr>
      </w:pPr>
      <w:r w:rsidRPr="00427075">
        <w:rPr>
          <w:i/>
        </w:rPr>
        <w:t>АБ =  введенный белок (г)/6,25 – азот мочи (г) -4 9внепочечные потери.</w:t>
      </w:r>
    </w:p>
    <w:p w14:paraId="1A230EEC" w14:textId="77777777" w:rsidR="006C476A" w:rsidRPr="00427075" w:rsidRDefault="006C476A" w:rsidP="006C476A">
      <w:pPr>
        <w:rPr>
          <w:i/>
        </w:rPr>
      </w:pPr>
    </w:p>
    <w:p w14:paraId="4E0037B2" w14:textId="77777777" w:rsidR="006C476A" w:rsidRPr="00427075" w:rsidRDefault="006C476A" w:rsidP="006C476A">
      <w:r w:rsidRPr="00427075">
        <w:rPr>
          <w:i/>
        </w:rPr>
        <w:tab/>
      </w:r>
      <w:r w:rsidRPr="00427075">
        <w:t xml:space="preserve">3. </w:t>
      </w:r>
      <w:r w:rsidRPr="00427075">
        <w:rPr>
          <w:i/>
        </w:rPr>
        <w:t>Расчет скорости введения</w:t>
      </w:r>
      <w:r w:rsidRPr="00427075">
        <w:t xml:space="preserve">. После определения суточной потребности в калориях производится расчет скорости введения. Например, больному массой 70 кг при легкой степени недостаточности питания (потеря массы тела менее 5% за последние 3 месяца, АБ от 6 до 12 г/сут) требуется от 25 до 30 ккал/кг/сут или от 1750 до 2100 ккал. В стандартных смесях для ПП («Кабивен центральный», «Оликлиномель </w:t>
      </w:r>
      <w:r w:rsidRPr="00427075">
        <w:rPr>
          <w:lang w:val="en-US"/>
        </w:rPr>
        <w:t>N</w:t>
      </w:r>
      <w:r w:rsidRPr="00427075">
        <w:t xml:space="preserve">7», «Нутрифлекс липид 70/180») содержится в среднем 2000 ккал в полном объеме смеси. Данный расчет выполнен преднамеренно, чтобы один пакет «три в одном» удовлетворял энергетическим потребностям большинства больных и что удобно для ежесуточной смены инфузионной линии. Скорость введения в данном случае равняется объем (в мл)/24, выраженной в мл/час. </w:t>
      </w:r>
    </w:p>
    <w:p w14:paraId="796577D6" w14:textId="77777777" w:rsidR="006C476A" w:rsidRPr="00427075" w:rsidRDefault="006C476A" w:rsidP="006C476A">
      <w:pPr>
        <w:ind w:firstLine="708"/>
      </w:pPr>
      <w:r w:rsidRPr="00427075">
        <w:t xml:space="preserve">4. </w:t>
      </w:r>
      <w:r w:rsidRPr="00427075">
        <w:rPr>
          <w:i/>
        </w:rPr>
        <w:t>Начало введения ПП в первые сутки</w:t>
      </w:r>
      <w:r w:rsidRPr="00427075">
        <w:t xml:space="preserve">. При нахождении больного в круглосуточном стационаре ПП вводится непрерывно в течении 24 часов. В первые сутки вводят 50% объема от требуемой пациенту калорийности с увеличением на 25% в последующие 2 суток. Для нутритивной поддержки больных в дневных стационарах возможен циклический режим: введение 8-12 часов (не более 50% объема от требуемой пациенту калорийности). </w:t>
      </w:r>
      <w:r w:rsidRPr="00427075">
        <w:lastRenderedPageBreak/>
        <w:t>Производители парентерального питания также рекомендуют постепенно увеличивать скорость до целевой в первые 30 минут введения ПП.</w:t>
      </w:r>
    </w:p>
    <w:p w14:paraId="44B33438" w14:textId="77777777" w:rsidR="006C476A" w:rsidRPr="00427075" w:rsidRDefault="006C476A" w:rsidP="006C476A">
      <w:pPr>
        <w:ind w:firstLine="708"/>
      </w:pPr>
      <w:r w:rsidRPr="00427075">
        <w:t xml:space="preserve">5. </w:t>
      </w:r>
      <w:r w:rsidRPr="00427075">
        <w:rPr>
          <w:i/>
        </w:rPr>
        <w:t>Контроль возможных осложнений</w:t>
      </w:r>
      <w:r w:rsidRPr="00427075">
        <w:t xml:space="preserve"> осуществляется лечащим врачом. Оценивается реакция на введение парентеральной смеси как в первые минуты на наличие анафилактической реакции, так и в последующие часы и дни на наличие прочих аллергических реакций. Необходим ежедневный осмотр растворов и инфузионных линий  на предмет образования преципитатов.  Своевременный контроль лабораторных анализов (см. ниже), позволяет предотвращать и корректировать метаболические осложнения ПП. Необходимо в течение первых 48 часов дважды фиксировать ЭКГ и контролировать электролиты крови с целью предотвращения рефидинг-синдрома.</w:t>
      </w:r>
    </w:p>
    <w:p w14:paraId="29E71C57" w14:textId="77777777" w:rsidR="006C476A" w:rsidRPr="00427075" w:rsidRDefault="006C476A" w:rsidP="006C476A">
      <w:pPr>
        <w:ind w:firstLine="708"/>
      </w:pPr>
      <w:r w:rsidRPr="00427075">
        <w:t xml:space="preserve">6. </w:t>
      </w:r>
      <w:r w:rsidRPr="00427075">
        <w:rPr>
          <w:i/>
        </w:rPr>
        <w:t>Включение в схему питания адъювантных витаминных комплексов</w:t>
      </w:r>
      <w:r w:rsidRPr="00427075">
        <w:t xml:space="preserve">. С целью дифференцировки причины развития аллергической реакции, витаминные комплексы следует добавлять не ранее, чем через 48 часов после начала ПП. </w:t>
      </w:r>
    </w:p>
    <w:p w14:paraId="223700D6" w14:textId="77777777" w:rsidR="006C476A" w:rsidRPr="00427075" w:rsidRDefault="006C476A" w:rsidP="006C476A">
      <w:pPr>
        <w:ind w:firstLine="708"/>
      </w:pPr>
      <w:r w:rsidRPr="00427075">
        <w:t xml:space="preserve">7. </w:t>
      </w:r>
      <w:r w:rsidRPr="00427075">
        <w:rPr>
          <w:i/>
        </w:rPr>
        <w:t>Оценка эффективности ПП</w:t>
      </w:r>
      <w:r w:rsidRPr="00427075">
        <w:t xml:space="preserve">. Врачом после начала ПП проводится оценка его эффективности и диагностика возможных осложнений. Эффективность оценивается с учетом анализа прироста  массы тела, оптимальным считается увеличение массы за 7 дней на 0,5 – 1 кг при изначально умеренном или тяжелом дефиците. Также еженедельно оцениваются ИМТ, расчет азотистого баланса, концентрация альбумина и общего белка. При уменьшении степени катаболизма (см. табл. 1) производится перерасчёт суточной потребности больного в калориях. </w:t>
      </w:r>
    </w:p>
    <w:p w14:paraId="3327D34E" w14:textId="77777777" w:rsidR="006C476A" w:rsidRPr="00427075" w:rsidRDefault="006C476A" w:rsidP="006C476A">
      <w:pPr>
        <w:pStyle w:val="afe"/>
        <w:ind w:left="0"/>
        <w:rPr>
          <w:rFonts w:cs="Times New Roman"/>
          <w:i/>
          <w:szCs w:val="24"/>
        </w:rPr>
      </w:pPr>
      <w:r w:rsidRPr="00427075">
        <w:rPr>
          <w:rFonts w:cs="Times New Roman"/>
          <w:i/>
          <w:szCs w:val="24"/>
        </w:rPr>
        <w:t>8.Лабораторные исследования во время проведения ПП:</w:t>
      </w:r>
    </w:p>
    <w:p w14:paraId="19E22EB4" w14:textId="77777777" w:rsidR="006C476A" w:rsidRPr="00427075" w:rsidRDefault="006C476A" w:rsidP="00077D58">
      <w:pPr>
        <w:pStyle w:val="afe"/>
        <w:numPr>
          <w:ilvl w:val="0"/>
          <w:numId w:val="154"/>
        </w:numPr>
        <w:rPr>
          <w:rFonts w:cs="Times New Roman"/>
          <w:szCs w:val="24"/>
        </w:rPr>
      </w:pPr>
      <w:r w:rsidRPr="00427075">
        <w:rPr>
          <w:rFonts w:cs="Times New Roman"/>
          <w:szCs w:val="24"/>
        </w:rPr>
        <w:t xml:space="preserve">Концентрация глюкозы – 2 – 4 р/сут; </w:t>
      </w:r>
    </w:p>
    <w:p w14:paraId="1526814A" w14:textId="77777777" w:rsidR="006C476A" w:rsidRPr="00427075" w:rsidRDefault="006C476A" w:rsidP="00077D58">
      <w:pPr>
        <w:pStyle w:val="afe"/>
        <w:numPr>
          <w:ilvl w:val="0"/>
          <w:numId w:val="154"/>
        </w:numPr>
        <w:rPr>
          <w:rFonts w:cs="Times New Roman"/>
          <w:szCs w:val="24"/>
        </w:rPr>
      </w:pPr>
      <w:r w:rsidRPr="00427075">
        <w:rPr>
          <w:rFonts w:cs="Times New Roman"/>
          <w:szCs w:val="24"/>
        </w:rPr>
        <w:t>Электролитный состав крови – 1 р/сут;</w:t>
      </w:r>
    </w:p>
    <w:p w14:paraId="013ABBD1" w14:textId="77777777" w:rsidR="006C476A" w:rsidRPr="00427075" w:rsidRDefault="006C476A" w:rsidP="00077D58">
      <w:pPr>
        <w:pStyle w:val="afe"/>
        <w:numPr>
          <w:ilvl w:val="0"/>
          <w:numId w:val="154"/>
        </w:numPr>
        <w:rPr>
          <w:rFonts w:cs="Times New Roman"/>
          <w:szCs w:val="24"/>
        </w:rPr>
      </w:pPr>
      <w:r w:rsidRPr="00427075">
        <w:rPr>
          <w:rFonts w:cs="Times New Roman"/>
          <w:szCs w:val="24"/>
        </w:rPr>
        <w:t>Биохимический анализ крови (дважды в неделю) с исследованием концентрации печеночных трансаминаз, общий белок, альбумин, триглицериды, липаза, амилаза;</w:t>
      </w:r>
    </w:p>
    <w:p w14:paraId="454402CA" w14:textId="77777777" w:rsidR="006C476A" w:rsidRPr="00427075" w:rsidRDefault="006C476A" w:rsidP="00077D58">
      <w:pPr>
        <w:pStyle w:val="afe"/>
        <w:numPr>
          <w:ilvl w:val="0"/>
          <w:numId w:val="154"/>
        </w:numPr>
        <w:rPr>
          <w:rFonts w:cs="Times New Roman"/>
          <w:szCs w:val="24"/>
        </w:rPr>
      </w:pPr>
      <w:r w:rsidRPr="00427075">
        <w:rPr>
          <w:rFonts w:cs="Times New Roman"/>
          <w:szCs w:val="24"/>
        </w:rPr>
        <w:t xml:space="preserve">Контроль концентрации витаминов </w:t>
      </w:r>
      <w:r w:rsidRPr="00427075">
        <w:rPr>
          <w:rFonts w:cs="Times New Roman"/>
          <w:i/>
          <w:szCs w:val="24"/>
        </w:rPr>
        <w:t>(тиамин)</w:t>
      </w:r>
      <w:r w:rsidRPr="00427075">
        <w:rPr>
          <w:rFonts w:cs="Times New Roman"/>
          <w:szCs w:val="24"/>
        </w:rPr>
        <w:t xml:space="preserve">  и микроэлементов </w:t>
      </w:r>
      <w:r w:rsidRPr="00427075">
        <w:rPr>
          <w:rFonts w:cs="Times New Roman"/>
          <w:i/>
          <w:szCs w:val="24"/>
        </w:rPr>
        <w:t>(калий, натрий, кальций, хлориды магний)</w:t>
      </w:r>
      <w:r w:rsidRPr="00427075">
        <w:rPr>
          <w:rFonts w:cs="Times New Roman"/>
          <w:szCs w:val="24"/>
        </w:rPr>
        <w:t xml:space="preserve">  при длительном парентеральном питании (более 1 месяца).</w:t>
      </w:r>
    </w:p>
    <w:p w14:paraId="5D2BCC42" w14:textId="77777777" w:rsidR="006C476A" w:rsidRPr="00427075" w:rsidRDefault="006C476A" w:rsidP="006C476A">
      <w:pPr>
        <w:pStyle w:val="afe"/>
        <w:ind w:left="0"/>
        <w:rPr>
          <w:rFonts w:cs="Times New Roman"/>
          <w:i/>
          <w:szCs w:val="24"/>
        </w:rPr>
      </w:pPr>
      <w:r w:rsidRPr="00427075">
        <w:rPr>
          <w:rFonts w:cs="Times New Roman"/>
          <w:i/>
          <w:szCs w:val="24"/>
        </w:rPr>
        <w:t>9.Регулярные обследования во время проведения ПП:</w:t>
      </w:r>
    </w:p>
    <w:p w14:paraId="7447F337" w14:textId="77777777" w:rsidR="006C476A" w:rsidRPr="00427075" w:rsidRDefault="006C476A" w:rsidP="00077D58">
      <w:pPr>
        <w:pStyle w:val="afe"/>
        <w:numPr>
          <w:ilvl w:val="0"/>
          <w:numId w:val="155"/>
        </w:numPr>
        <w:rPr>
          <w:rFonts w:cs="Times New Roman"/>
          <w:szCs w:val="24"/>
        </w:rPr>
      </w:pPr>
      <w:r w:rsidRPr="00427075">
        <w:rPr>
          <w:rFonts w:cs="Times New Roman"/>
          <w:szCs w:val="24"/>
        </w:rPr>
        <w:t>Суточный баланс жидкости – ежедневно;</w:t>
      </w:r>
    </w:p>
    <w:p w14:paraId="074A6CC3" w14:textId="77777777" w:rsidR="006C476A" w:rsidRPr="00427075" w:rsidRDefault="006C476A" w:rsidP="00077D58">
      <w:pPr>
        <w:pStyle w:val="afe"/>
        <w:numPr>
          <w:ilvl w:val="0"/>
          <w:numId w:val="155"/>
        </w:numPr>
        <w:rPr>
          <w:rFonts w:cs="Times New Roman"/>
          <w:szCs w:val="24"/>
        </w:rPr>
      </w:pPr>
      <w:r w:rsidRPr="00427075">
        <w:rPr>
          <w:rFonts w:cs="Times New Roman"/>
          <w:szCs w:val="24"/>
        </w:rPr>
        <w:t>Динамика массы тела – ежедневно (стремительная прибавка в весе, более 2 кг в неделю, вероятнее всего связана с задержкой жидкости);</w:t>
      </w:r>
    </w:p>
    <w:p w14:paraId="4D3B17FB" w14:textId="77777777" w:rsidR="006C476A" w:rsidRPr="00427075" w:rsidRDefault="006C476A" w:rsidP="00077D58">
      <w:pPr>
        <w:pStyle w:val="afe"/>
        <w:numPr>
          <w:ilvl w:val="0"/>
          <w:numId w:val="155"/>
        </w:numPr>
        <w:rPr>
          <w:rFonts w:cs="Times New Roman"/>
          <w:szCs w:val="24"/>
        </w:rPr>
      </w:pPr>
      <w:r w:rsidRPr="00427075">
        <w:rPr>
          <w:rFonts w:cs="Times New Roman"/>
          <w:szCs w:val="24"/>
        </w:rPr>
        <w:t>Азотистый баланс и оценка трофического статуса (ИМТ) – один раз в неделю.</w:t>
      </w:r>
    </w:p>
    <w:p w14:paraId="6F13D94A" w14:textId="77777777" w:rsidR="006C476A" w:rsidRPr="00427075" w:rsidRDefault="006C476A" w:rsidP="006C476A">
      <w:r w:rsidRPr="00427075">
        <w:lastRenderedPageBreak/>
        <w:tab/>
        <w:t xml:space="preserve"> 10. </w:t>
      </w:r>
      <w:r w:rsidRPr="00427075">
        <w:rPr>
          <w:i/>
        </w:rPr>
        <w:t>Завершение ПП.</w:t>
      </w:r>
      <w:r w:rsidRPr="00427075">
        <w:t xml:space="preserve"> После разрешения причин, потребовавших проведения ПП, скорость инфузии питательной смеси уменьшается на количество калорий, употребляемых пациентом перорально. </w:t>
      </w:r>
    </w:p>
    <w:p w14:paraId="6783D54E" w14:textId="77777777" w:rsidR="006C476A" w:rsidRPr="00427075" w:rsidRDefault="006C476A" w:rsidP="006C476A">
      <w:pPr>
        <w:ind w:firstLine="708"/>
      </w:pPr>
      <w:r w:rsidRPr="00427075">
        <w:t>При возникновении любых аллергических реакций необходимо прекратить ввдение препарата. В случае развития уртикарной сыпи обосновано применение антигистаминных препаратов, таких как дифенгидрамин, супрастин, тавегил. При развитии анафилактического шока первым вводится адреналин и инфузионная нагрузка с последующим введением дексаметазона или преднизолона.</w:t>
      </w:r>
    </w:p>
    <w:p w14:paraId="479B010E" w14:textId="77777777" w:rsidR="006C476A" w:rsidRDefault="006C476A" w:rsidP="006C476A">
      <w:pPr>
        <w:ind w:firstLine="709"/>
        <w:rPr>
          <w:b/>
        </w:rPr>
      </w:pPr>
    </w:p>
    <w:p w14:paraId="20844942" w14:textId="77777777" w:rsidR="006C476A" w:rsidRPr="00427075" w:rsidRDefault="006C476A" w:rsidP="006C476A">
      <w:pPr>
        <w:ind w:firstLine="709"/>
        <w:rPr>
          <w:i/>
          <w:u w:val="single"/>
        </w:rPr>
      </w:pPr>
      <w:r w:rsidRPr="00427075">
        <w:rPr>
          <w:i/>
          <w:u w:val="single"/>
        </w:rPr>
        <w:t>Особые указания</w:t>
      </w:r>
    </w:p>
    <w:p w14:paraId="0DFB3448" w14:textId="77777777" w:rsidR="006C476A" w:rsidRPr="00427075" w:rsidRDefault="006C476A" w:rsidP="006C476A">
      <w:pPr>
        <w:ind w:firstLine="709"/>
      </w:pPr>
      <w:r w:rsidRPr="00427075">
        <w:t>Противопоказано одновременное введение цефтриаксона и смесей ПП из-за риска образования цефтриаксон-кальциевой соли. Описаны случаи образования преципитата фосфата кальция при проведении ПП. Дестабилизация липидной эмульсии может быть вызвана введением иных препаратов в камеру с парентеральным питанием. Дестабилизация липидов и образование преципитатов может вести к нарушению микроциркуляции, что проявляется развитием острой дыхательной недостаточности, неврологическими нарушениями. В данном случае необходимо остановить проведение ПП.</w:t>
      </w:r>
    </w:p>
    <w:p w14:paraId="791176AF" w14:textId="77777777" w:rsidR="006C476A" w:rsidRPr="00427075" w:rsidRDefault="006C476A" w:rsidP="006C476A">
      <w:pPr>
        <w:ind w:firstLine="709"/>
      </w:pPr>
      <w:r w:rsidRPr="00427075">
        <w:t xml:space="preserve">При выполнении анализа на свободный гемоглобин (методом измерения оптической плотности), необходимо прекратить введение жировой эмульсии минимум за 6 часов до набора пробы крови с целью исключения ошибок определения концентрации свободного гемоглобина плазмы.  </w:t>
      </w:r>
    </w:p>
    <w:p w14:paraId="2E03112F" w14:textId="68498EDD" w:rsidR="006C476A" w:rsidRDefault="006C476A" w:rsidP="006C476A">
      <w:pPr>
        <w:widowControl w:val="0"/>
        <w:autoSpaceDE w:val="0"/>
        <w:autoSpaceDN w:val="0"/>
        <w:adjustRightInd w:val="0"/>
        <w:ind w:left="640" w:hanging="640"/>
      </w:pPr>
    </w:p>
    <w:p w14:paraId="7B2888C4" w14:textId="66C4FFFD" w:rsidR="000E123F" w:rsidRPr="000E123F" w:rsidRDefault="00EF53E3" w:rsidP="000E123F">
      <w:pPr>
        <w:pStyle w:val="2"/>
        <w:spacing w:before="0"/>
      </w:pPr>
      <w:bookmarkStart w:id="121" w:name="_Toc66096867"/>
      <w:r w:rsidRPr="000322E4">
        <w:t>Приложение А3.</w:t>
      </w:r>
      <w:r>
        <w:t xml:space="preserve">9. </w:t>
      </w:r>
      <w:bookmarkStart w:id="122" w:name="_Toc64477555"/>
      <w:r w:rsidR="000E123F" w:rsidRPr="002C6FFD">
        <w:rPr>
          <w:rFonts w:eastAsia="Arial Unicode MS"/>
        </w:rPr>
        <w:t>Протоколы выполнения аспирационного и биопсийного исследования костного мозга</w:t>
      </w:r>
      <w:bookmarkEnd w:id="121"/>
      <w:bookmarkEnd w:id="122"/>
    </w:p>
    <w:p w14:paraId="596E62C4" w14:textId="77777777" w:rsidR="000E123F" w:rsidRPr="002C6FFD" w:rsidRDefault="000E123F" w:rsidP="000E123F">
      <w:pPr>
        <w:pStyle w:val="Normal11"/>
        <w:spacing w:before="0" w:line="360" w:lineRule="auto"/>
        <w:ind w:left="0" w:firstLine="699"/>
        <w:jc w:val="both"/>
        <w:rPr>
          <w:spacing w:val="0"/>
        </w:rPr>
      </w:pPr>
      <w:r w:rsidRPr="002C6FFD">
        <w:rPr>
          <w:spacing w:val="0"/>
          <w:shd w:val="clear" w:color="auto" w:fill="FFFFFF"/>
        </w:rPr>
        <w:t>Пункционное (стернальная пункция, аспирация костного мозга) и биопсийное (трепанобиопсия, биопсия костного мозга) исследования костного мозга — это диагностические методы, позволяющие получить образец тканей костного мозга из грудины или костей таза, путем аспирации и чрескожной трепанобиопсии.</w:t>
      </w:r>
    </w:p>
    <w:p w14:paraId="7ACFF0EF" w14:textId="77777777" w:rsidR="000E123F" w:rsidRPr="002C6FFD" w:rsidRDefault="000E123F" w:rsidP="000E123F">
      <w:pPr>
        <w:ind w:firstLine="699"/>
      </w:pPr>
      <w:r w:rsidRPr="002C6FFD">
        <w:t xml:space="preserve">С помощью аспирационной биопсии (пункции) получают образцы костного мозга для морфологической оценки клеточного состава и, при необходимости, дополнительных исследований – иммунофенотипический анализ методом проточной цитометрии, цитогенетические, молекулярные и другие исследования. Биопсия костного мозга (трепанобиопсия) дополнительно позволяет получить при гистологическом исследовании более подробную информацию о клеточности костного мозга, его морфологическом </w:t>
      </w:r>
      <w:r w:rsidRPr="002C6FFD">
        <w:lastRenderedPageBreak/>
        <w:t xml:space="preserve">составе, особенностях стромы, детально охарактеризовать клеточные популяции, в том числе, с помощью иммуногистохимического исследования. </w:t>
      </w:r>
    </w:p>
    <w:p w14:paraId="165B0B12" w14:textId="77777777" w:rsidR="000E123F" w:rsidRPr="002C6FFD" w:rsidRDefault="000E123F" w:rsidP="000E123F">
      <w:pPr>
        <w:ind w:firstLine="699"/>
      </w:pPr>
      <w:r w:rsidRPr="002C6FFD">
        <w:t xml:space="preserve">Процедуры аспирационного и биопсийного исследования костного мозга являются рутинными и проводятся в амбулаторных и стационарных условиях. Для выполнения пункции костного мозга применяются одноразовые или многоразовые стерилизуемые иглы. </w:t>
      </w:r>
      <w:r w:rsidRPr="002C6FFD">
        <w:rPr>
          <w:color w:val="212121"/>
        </w:rPr>
        <w:t xml:space="preserve">Трепанобиопсия костного мозга </w:t>
      </w:r>
      <w:r w:rsidRPr="002C6FFD">
        <w:t xml:space="preserve">выполняется одноразовой или многоразовой стерелизуемой иглой Jamshidi или иглой сходной с ней конструкции. </w:t>
      </w:r>
    </w:p>
    <w:p w14:paraId="3DC469F6" w14:textId="77777777" w:rsidR="000E123F" w:rsidRDefault="000E123F" w:rsidP="000E123F">
      <w:pPr>
        <w:ind w:firstLine="699"/>
      </w:pPr>
      <w:r w:rsidRPr="002C6FFD">
        <w:t xml:space="preserve">При выполнении процедур взятия костного мозга для исследований редко возможны осложнения. Так, частота возникновения осложнений биопсии костного мозга по данным Британского общества гематологов за период 7 лет (1995—2001 гг.) составила 0,05% (26 / 54890, в том числе, 2 фатальных – сепсис, массивное кровотечение). В спектре осложнений наиболее частыми были: кровотечения (в том числе развитие массивных ретроперитонеальных гематом), поломка инструмента, инфекционные осложнения. Факторами риска развития кровотечения являлись проводимая больному терапия антикоагулянтами и антиагрегантами, миелопролиферативный или миелодиспластический синдромы, сопровождающиеся дисфункцией тромбоцитов, коагулологические нарушения, тромбоцитопения.  </w:t>
      </w:r>
    </w:p>
    <w:p w14:paraId="3321D397" w14:textId="77777777" w:rsidR="000E123F" w:rsidRPr="002C6FFD" w:rsidRDefault="000E123F" w:rsidP="000E123F">
      <w:pPr>
        <w:ind w:firstLine="699"/>
      </w:pPr>
    </w:p>
    <w:p w14:paraId="33BF1DCD" w14:textId="61C4F6F4" w:rsidR="000E123F" w:rsidRPr="00F30696" w:rsidRDefault="000E123F" w:rsidP="000E123F">
      <w:pPr>
        <w:rPr>
          <w:b/>
          <w:i/>
          <w:iCs/>
          <w:u w:val="single"/>
          <w:shd w:val="clear" w:color="auto" w:fill="FFFFFF"/>
        </w:rPr>
      </w:pPr>
      <w:r w:rsidRPr="00F30696">
        <w:rPr>
          <w:i/>
          <w:iCs/>
          <w:u w:val="single"/>
          <w:shd w:val="clear" w:color="auto" w:fill="FFFFFF"/>
        </w:rPr>
        <w:t xml:space="preserve">Показания к выполнению пункционного (аспирационного) исследования костного мозга </w:t>
      </w:r>
      <w:r w:rsidRPr="00F30696">
        <w:rPr>
          <w:b/>
          <w:i/>
          <w:iCs/>
          <w:u w:val="single"/>
          <w:shd w:val="clear" w:color="auto" w:fill="FFFFFF"/>
        </w:rPr>
        <w:fldChar w:fldCharType="begin" w:fldLock="1"/>
      </w:r>
      <w:r w:rsidR="00953640">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[205]","plainTextFormattedCitation":"[205]","previouslyFormattedCitation":"[205]"},"properties":{"noteIndex":0},"schema":"https://github.com/citation-style-language/schema/raw/master/csl-citation.json"}</w:instrText>
      </w:r>
      <w:r w:rsidRPr="00F30696">
        <w:rPr>
          <w:b/>
          <w:i/>
          <w:iCs/>
          <w:u w:val="single"/>
          <w:shd w:val="clear" w:color="auto" w:fill="FFFFFF"/>
        </w:rPr>
        <w:fldChar w:fldCharType="separate"/>
      </w:r>
      <w:r w:rsidRPr="000E123F">
        <w:rPr>
          <w:iCs/>
          <w:noProof/>
          <w:shd w:val="clear" w:color="auto" w:fill="FFFFFF"/>
        </w:rPr>
        <w:t>[205]</w:t>
      </w:r>
      <w:r w:rsidRPr="00F30696">
        <w:rPr>
          <w:b/>
          <w:i/>
          <w:iCs/>
          <w:u w:val="single"/>
          <w:shd w:val="clear" w:color="auto" w:fill="FFFFFF"/>
        </w:rPr>
        <w:fldChar w:fldCharType="end"/>
      </w:r>
      <w:r w:rsidRPr="00F30696">
        <w:rPr>
          <w:i/>
          <w:iCs/>
          <w:u w:val="single"/>
          <w:shd w:val="clear" w:color="auto" w:fill="FFFFFF"/>
        </w:rPr>
        <w:t xml:space="preserve"> </w:t>
      </w:r>
    </w:p>
    <w:p w14:paraId="45E70210" w14:textId="77777777" w:rsidR="000E123F" w:rsidRPr="002C6FFD" w:rsidRDefault="000E123F" w:rsidP="00077D58">
      <w:pPr>
        <w:pStyle w:val="bullet"/>
        <w:numPr>
          <w:ilvl w:val="0"/>
          <w:numId w:val="157"/>
        </w:numPr>
        <w:spacing w:line="360" w:lineRule="auto"/>
        <w:jc w:val="both"/>
        <w:rPr>
          <w:rFonts w:cs="Times New Roman"/>
          <w:spacing w:val="0"/>
          <w:shd w:val="clear" w:color="auto" w:fill="FFFFFF"/>
        </w:rPr>
      </w:pPr>
      <w:r w:rsidRPr="002C6FFD">
        <w:rPr>
          <w:rFonts w:cs="Times New Roman"/>
          <w:spacing w:val="0"/>
          <w:shd w:val="clear" w:color="auto" w:fill="FFFFFF"/>
        </w:rPr>
        <w:t>Дифференциальная диагностика гематологических заболеваний: острых и хронических лейкозов</w:t>
      </w:r>
      <w:r w:rsidRPr="002C6FFD">
        <w:rPr>
          <w:rFonts w:cs="Times New Roman"/>
          <w:spacing w:val="0"/>
        </w:rPr>
        <w:t xml:space="preserve">, </w:t>
      </w:r>
      <w:r w:rsidRPr="002C6FFD">
        <w:rPr>
          <w:rFonts w:cs="Times New Roman"/>
          <w:spacing w:val="0"/>
          <w:shd w:val="clear" w:color="auto" w:fill="FFFFFF"/>
        </w:rPr>
        <w:t>миелодиспластических синдромов, миелопролиферативных и лимфопролиферативных заболеваний, множественной миеломы и других плазмоклеточных заболеваний, апластической анемии, идиопатической тромбоцитопенической пурпуры.</w:t>
      </w:r>
    </w:p>
    <w:p w14:paraId="4A46E951" w14:textId="77777777" w:rsidR="000E123F" w:rsidRPr="002C6FFD" w:rsidRDefault="000E123F" w:rsidP="00077D58">
      <w:pPr>
        <w:pStyle w:val="bullet"/>
        <w:numPr>
          <w:ilvl w:val="0"/>
          <w:numId w:val="157"/>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при цитопении (одно-, двухростковой или панцитопении) невыясненной этиологии.</w:t>
      </w:r>
    </w:p>
    <w:p w14:paraId="1D71A989" w14:textId="77777777" w:rsidR="000E123F" w:rsidRPr="002C6FFD" w:rsidRDefault="000E123F" w:rsidP="00077D58">
      <w:pPr>
        <w:pStyle w:val="bullet"/>
        <w:numPr>
          <w:ilvl w:val="0"/>
          <w:numId w:val="157"/>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при наличии незрелых клеток в периферической крови, особенно бластов; при лейкоцитозе невыясненной этиологии; при моноклональной гаммапатии.</w:t>
      </w:r>
    </w:p>
    <w:p w14:paraId="2C81AFD5" w14:textId="77777777" w:rsidR="000E123F" w:rsidRPr="002C6FFD" w:rsidRDefault="000E123F" w:rsidP="00077D58">
      <w:pPr>
        <w:pStyle w:val="bullet"/>
        <w:numPr>
          <w:ilvl w:val="0"/>
          <w:numId w:val="157"/>
        </w:numPr>
        <w:spacing w:line="360" w:lineRule="auto"/>
        <w:jc w:val="both"/>
        <w:rPr>
          <w:rFonts w:cs="Times New Roman"/>
          <w:spacing w:val="0"/>
          <w:shd w:val="clear" w:color="auto" w:fill="FFFFFF"/>
        </w:rPr>
      </w:pPr>
      <w:r w:rsidRPr="002C6FFD">
        <w:rPr>
          <w:rFonts w:cs="Times New Roman"/>
          <w:spacing w:val="0"/>
          <w:shd w:val="clear" w:color="auto" w:fill="FFFFFF"/>
        </w:rPr>
        <w:t>Оценка миелопоэза при макроцитарной анемии (вследствие недостаточного поступления или нарушения всасывания таких веществ как медь, цинк, витамин B</w:t>
      </w:r>
      <w:r w:rsidRPr="002C6FFD">
        <w:rPr>
          <w:rFonts w:cs="Times New Roman"/>
          <w:spacing w:val="0"/>
          <w:shd w:val="clear" w:color="auto" w:fill="FFFFFF"/>
          <w:vertAlign w:val="subscript"/>
        </w:rPr>
        <w:t>12</w:t>
      </w:r>
      <w:r w:rsidRPr="002C6FFD">
        <w:rPr>
          <w:rFonts w:cs="Times New Roman"/>
          <w:spacing w:val="0"/>
          <w:shd w:val="clear" w:color="auto" w:fill="FFFFFF"/>
        </w:rPr>
        <w:t xml:space="preserve"> или фолиевая кислота).</w:t>
      </w:r>
    </w:p>
    <w:p w14:paraId="064347AA" w14:textId="77777777" w:rsidR="000E123F" w:rsidRPr="002C6FFD" w:rsidRDefault="000E123F" w:rsidP="00077D58">
      <w:pPr>
        <w:pStyle w:val="bullet"/>
        <w:numPr>
          <w:ilvl w:val="0"/>
          <w:numId w:val="157"/>
        </w:numPr>
        <w:spacing w:line="360" w:lineRule="auto"/>
        <w:jc w:val="both"/>
        <w:rPr>
          <w:rFonts w:cs="Times New Roman"/>
          <w:spacing w:val="0"/>
          <w:shd w:val="clear" w:color="auto" w:fill="FFFFFF"/>
        </w:rPr>
      </w:pPr>
      <w:r w:rsidRPr="002C6FFD">
        <w:rPr>
          <w:rFonts w:cs="Times New Roman"/>
          <w:spacing w:val="0"/>
          <w:shd w:val="clear" w:color="auto" w:fill="FFFFFF"/>
        </w:rPr>
        <w:t xml:space="preserve">Дифференциальная диагностика при лихорадке неясного генеза в сочетании с увеличением </w:t>
      </w:r>
      <w:r w:rsidRPr="002C6FFD">
        <w:rPr>
          <w:rFonts w:cs="Times New Roman"/>
          <w:color w:val="auto"/>
          <w:spacing w:val="0"/>
          <w:shd w:val="clear" w:color="auto" w:fill="FFFFFF"/>
        </w:rPr>
        <w:t>размеров</w:t>
      </w:r>
      <w:r w:rsidRPr="002C6FFD">
        <w:rPr>
          <w:rFonts w:cs="Times New Roman"/>
          <w:spacing w:val="0"/>
          <w:shd w:val="clear" w:color="auto" w:fill="FFFFFF"/>
        </w:rPr>
        <w:t xml:space="preserve"> селезенки и/или лимфоузлов или без их увеличения.</w:t>
      </w:r>
    </w:p>
    <w:p w14:paraId="5E20EA98" w14:textId="77777777" w:rsidR="000E123F" w:rsidRPr="002C6FFD" w:rsidRDefault="000E123F" w:rsidP="00077D58">
      <w:pPr>
        <w:pStyle w:val="bullet"/>
        <w:numPr>
          <w:ilvl w:val="0"/>
          <w:numId w:val="157"/>
        </w:numPr>
        <w:spacing w:line="360" w:lineRule="auto"/>
        <w:jc w:val="both"/>
        <w:rPr>
          <w:rFonts w:cs="Times New Roman"/>
          <w:spacing w:val="0"/>
          <w:shd w:val="clear" w:color="auto" w:fill="FFFFFF"/>
        </w:rPr>
      </w:pPr>
      <w:r w:rsidRPr="002C6FFD">
        <w:rPr>
          <w:rFonts w:cs="Times New Roman"/>
          <w:spacing w:val="0"/>
          <w:shd w:val="clear" w:color="auto" w:fill="FFFFFF"/>
        </w:rPr>
        <w:lastRenderedPageBreak/>
        <w:t>Мониторинг эффективности лечения различных заболеваний системы крови.</w:t>
      </w:r>
    </w:p>
    <w:p w14:paraId="2FD4BF02" w14:textId="77777777" w:rsidR="000E123F" w:rsidRPr="002C6FFD" w:rsidRDefault="000E123F" w:rsidP="00077D58">
      <w:pPr>
        <w:pStyle w:val="bullet"/>
        <w:numPr>
          <w:ilvl w:val="0"/>
          <w:numId w:val="157"/>
        </w:numPr>
        <w:spacing w:line="360" w:lineRule="auto"/>
        <w:jc w:val="both"/>
        <w:rPr>
          <w:rFonts w:cs="Times New Roman"/>
          <w:spacing w:val="0"/>
          <w:shd w:val="clear" w:color="auto" w:fill="FFFFFF"/>
        </w:rPr>
      </w:pPr>
      <w:r w:rsidRPr="002C6FFD">
        <w:rPr>
          <w:rFonts w:cs="Times New Roman"/>
          <w:spacing w:val="0"/>
          <w:shd w:val="clear" w:color="auto" w:fill="FFFFFF"/>
        </w:rPr>
        <w:t>Оценка восстановления гемопоэза после трансплантации гемопоэтический стволовых клеток (ТГСК).</w:t>
      </w:r>
    </w:p>
    <w:p w14:paraId="0FB077E3" w14:textId="77777777" w:rsidR="000E123F" w:rsidRPr="002C6FFD" w:rsidRDefault="000E123F" w:rsidP="00077D58">
      <w:pPr>
        <w:pStyle w:val="bullet"/>
        <w:numPr>
          <w:ilvl w:val="0"/>
          <w:numId w:val="157"/>
        </w:numPr>
        <w:spacing w:line="360" w:lineRule="auto"/>
        <w:jc w:val="both"/>
        <w:rPr>
          <w:rFonts w:cs="Times New Roman"/>
          <w:spacing w:val="0"/>
          <w:shd w:val="clear" w:color="auto" w:fill="FFFFFF"/>
        </w:rPr>
      </w:pPr>
      <w:r w:rsidRPr="002C6FFD">
        <w:rPr>
          <w:rFonts w:cs="Times New Roman"/>
          <w:spacing w:val="0"/>
          <w:shd w:val="clear" w:color="auto" w:fill="FFFFFF"/>
        </w:rPr>
        <w:t xml:space="preserve">В составе комплексного обследования при негематологических заболеваниях, например, у больных с </w:t>
      </w:r>
      <w:r w:rsidRPr="002C6FFD">
        <w:rPr>
          <w:rFonts w:cs="Times New Roman"/>
          <w:spacing w:val="0"/>
        </w:rPr>
        <w:t xml:space="preserve">ВИЧ-инфекцией </w:t>
      </w:r>
      <w:r w:rsidRPr="002C6FFD">
        <w:rPr>
          <w:rFonts w:cs="Times New Roman"/>
          <w:spacing w:val="0"/>
          <w:shd w:val="clear" w:color="auto" w:fill="FFFFFF"/>
        </w:rPr>
        <w:t>и СПИДом.</w:t>
      </w:r>
    </w:p>
    <w:p w14:paraId="7FF3EFDD" w14:textId="77777777" w:rsidR="000E123F" w:rsidRPr="002C6FFD" w:rsidRDefault="000E123F" w:rsidP="00077D58">
      <w:pPr>
        <w:pStyle w:val="bullet"/>
        <w:numPr>
          <w:ilvl w:val="0"/>
          <w:numId w:val="157"/>
        </w:numPr>
        <w:spacing w:line="360" w:lineRule="auto"/>
        <w:jc w:val="both"/>
        <w:rPr>
          <w:rFonts w:cs="Times New Roman"/>
          <w:spacing w:val="0"/>
          <w:shd w:val="clear" w:color="auto" w:fill="FFFFFF"/>
        </w:rPr>
      </w:pPr>
      <w:r w:rsidRPr="002C6FFD">
        <w:rPr>
          <w:rFonts w:cs="Times New Roman"/>
          <w:spacing w:val="0"/>
          <w:shd w:val="clear" w:color="auto" w:fill="FFFFFF"/>
        </w:rPr>
        <w:t>Дифференциальная диагностика болезней накопления и других метаболических заболеваний.</w:t>
      </w:r>
    </w:p>
    <w:p w14:paraId="4C45FE86" w14:textId="77777777" w:rsidR="000E123F" w:rsidRPr="002C6FFD" w:rsidRDefault="000E123F" w:rsidP="00077D58">
      <w:pPr>
        <w:pStyle w:val="bullet"/>
        <w:numPr>
          <w:ilvl w:val="0"/>
          <w:numId w:val="157"/>
        </w:numPr>
        <w:spacing w:line="360" w:lineRule="auto"/>
        <w:jc w:val="both"/>
        <w:rPr>
          <w:rFonts w:cs="Times New Roman"/>
          <w:spacing w:val="0"/>
          <w:shd w:val="clear" w:color="auto" w:fill="FFFFFF"/>
        </w:rPr>
      </w:pPr>
      <w:r w:rsidRPr="002C6FFD">
        <w:rPr>
          <w:rFonts w:cs="Times New Roman"/>
          <w:spacing w:val="0"/>
        </w:rPr>
        <w:t>Определение степени повреждения костного мозга у пациентов, подвергшихся воздействию радиации, наркотиков, химических веществ и других миелотоксических веществ (в том числе лекарственных средств).</w:t>
      </w:r>
    </w:p>
    <w:p w14:paraId="344243A8" w14:textId="77777777" w:rsidR="000E123F" w:rsidRPr="002C6FFD" w:rsidRDefault="000E123F" w:rsidP="00077D58">
      <w:pPr>
        <w:pStyle w:val="bullet"/>
        <w:numPr>
          <w:ilvl w:val="0"/>
          <w:numId w:val="157"/>
        </w:numPr>
        <w:spacing w:line="360" w:lineRule="auto"/>
        <w:jc w:val="both"/>
        <w:rPr>
          <w:rFonts w:cs="Times New Roman"/>
          <w:spacing w:val="0"/>
          <w:shd w:val="clear" w:color="auto" w:fill="FFFFFF"/>
        </w:rPr>
      </w:pPr>
      <w:r w:rsidRPr="002C6FFD">
        <w:rPr>
          <w:rFonts w:cs="Times New Roman"/>
          <w:spacing w:val="0"/>
          <w:shd w:val="clear" w:color="auto" w:fill="FFFFFF"/>
        </w:rPr>
        <w:t>Диагностика (иногда, в составе комплексной диагностики) железодефицитной анемии, полицитемии, тромбоцитозов и инфекционного мононуклеоза.</w:t>
      </w:r>
    </w:p>
    <w:p w14:paraId="6D2A49DD" w14:textId="77777777" w:rsidR="000E123F" w:rsidRPr="002C6FFD" w:rsidRDefault="000E123F" w:rsidP="000E123F">
      <w:pPr>
        <w:ind w:firstLine="709"/>
      </w:pPr>
      <w:r w:rsidRPr="002C6FFD">
        <w:t>При невозможности получить при пункции костного мозга адекватный диагностический материал («сухой» аспират), после повторной попытки показано выполнение трепанобиопсии костного мозга с приготовление отпечатков трепанобиоптата.</w:t>
      </w:r>
    </w:p>
    <w:p w14:paraId="0A608838" w14:textId="77777777" w:rsidR="000E123F" w:rsidRDefault="000E123F" w:rsidP="000E123F">
      <w:pPr>
        <w:pStyle w:val="2"/>
        <w:spacing w:before="0"/>
        <w:rPr>
          <w:rFonts w:eastAsia="Arial Unicode MS"/>
          <w:shd w:val="clear" w:color="auto" w:fill="FFFFFF"/>
        </w:rPr>
      </w:pPr>
    </w:p>
    <w:p w14:paraId="3456733C" w14:textId="7CB25CEE" w:rsidR="000E123F" w:rsidRPr="00F30696" w:rsidRDefault="000E123F" w:rsidP="000E123F">
      <w:pPr>
        <w:rPr>
          <w:b/>
          <w:i/>
          <w:iCs/>
          <w:u w:val="single"/>
          <w:shd w:val="clear" w:color="auto" w:fill="FFFFFF"/>
        </w:rPr>
      </w:pPr>
      <w:r w:rsidRPr="00F30696">
        <w:rPr>
          <w:i/>
          <w:iCs/>
          <w:u w:val="single"/>
          <w:shd w:val="clear" w:color="auto" w:fill="FFFFFF"/>
        </w:rPr>
        <w:t xml:space="preserve">Показания к выполнению биопсийного исследования костного мозга (трепанобиопсии) </w:t>
      </w:r>
      <w:r w:rsidRPr="00F30696">
        <w:rPr>
          <w:b/>
          <w:i/>
          <w:iCs/>
          <w:u w:val="single"/>
          <w:shd w:val="clear" w:color="auto" w:fill="FFFFFF"/>
        </w:rPr>
        <w:fldChar w:fldCharType="begin" w:fldLock="1"/>
      </w:r>
      <w:r w:rsidR="00953640">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[205]","plainTextFormattedCitation":"[205]","previouslyFormattedCitation":"[205]"},"properties":{"noteIndex":0},"schema":"https://github.com/citation-style-language/schema/raw/master/csl-citation.json"}</w:instrText>
      </w:r>
      <w:r w:rsidRPr="00F30696">
        <w:rPr>
          <w:b/>
          <w:i/>
          <w:iCs/>
          <w:u w:val="single"/>
          <w:shd w:val="clear" w:color="auto" w:fill="FFFFFF"/>
        </w:rPr>
        <w:fldChar w:fldCharType="separate"/>
      </w:r>
      <w:r w:rsidRPr="000E123F">
        <w:rPr>
          <w:iCs/>
          <w:noProof/>
          <w:shd w:val="clear" w:color="auto" w:fill="FFFFFF"/>
        </w:rPr>
        <w:t>[205]</w:t>
      </w:r>
      <w:r w:rsidRPr="00F30696">
        <w:rPr>
          <w:b/>
          <w:i/>
          <w:iCs/>
          <w:u w:val="single"/>
          <w:shd w:val="clear" w:color="auto" w:fill="FFFFFF"/>
        </w:rPr>
        <w:fldChar w:fldCharType="end"/>
      </w:r>
    </w:p>
    <w:p w14:paraId="738F82AF" w14:textId="77777777" w:rsidR="000E123F" w:rsidRPr="002C6FFD" w:rsidRDefault="000E123F" w:rsidP="00077D58">
      <w:pPr>
        <w:pStyle w:val="bullet"/>
        <w:numPr>
          <w:ilvl w:val="0"/>
          <w:numId w:val="157"/>
        </w:numPr>
        <w:spacing w:line="360" w:lineRule="auto"/>
        <w:jc w:val="both"/>
        <w:rPr>
          <w:rFonts w:cs="Times New Roman"/>
          <w:spacing w:val="0"/>
          <w:shd w:val="clear" w:color="auto" w:fill="FFFFFF"/>
        </w:rPr>
      </w:pPr>
      <w:r w:rsidRPr="002C6FFD">
        <w:rPr>
          <w:rFonts w:cs="Times New Roman"/>
          <w:spacing w:val="0"/>
          <w:shd w:val="clear" w:color="auto" w:fill="FFFFFF"/>
        </w:rPr>
        <w:t xml:space="preserve">Диагностика и </w:t>
      </w:r>
      <w:r w:rsidRPr="002C6FFD">
        <w:rPr>
          <w:rFonts w:cs="Times New Roman"/>
          <w:spacing w:val="0"/>
        </w:rPr>
        <w:t>определение распространенности (стадии) при первичной диагностике и/или при рецидиве заболевания</w:t>
      </w:r>
      <w:r w:rsidRPr="002C6FFD">
        <w:rPr>
          <w:rFonts w:cs="Times New Roman"/>
          <w:spacing w:val="0"/>
          <w:shd w:val="clear" w:color="auto" w:fill="FFFFFF"/>
        </w:rPr>
        <w:t xml:space="preserve">, а также оценка эффективности терапии при  различных онкогематологических заболеваниях (лимфопролиферативные заболевания, в том числе хронический лимфолейкоз, лимфома Ходжкина и неходжкинские лимфомы, волосатоклеточный лейкоз; хронические миелопролиферативные заболевания, в том числе </w:t>
      </w:r>
      <w:r w:rsidRPr="002C6FFD">
        <w:rPr>
          <w:rFonts w:cs="Times New Roman"/>
          <w:spacing w:val="0"/>
        </w:rPr>
        <w:t xml:space="preserve">истинная полицитемия, эссенциальная тромбоцитемия, первичный миелофиброз, системный мастоцитоз;  </w:t>
      </w:r>
      <w:r w:rsidRPr="002C6FFD">
        <w:rPr>
          <w:rFonts w:cs="Times New Roman"/>
          <w:spacing w:val="0"/>
          <w:shd w:val="clear" w:color="auto" w:fill="FFFFFF"/>
        </w:rPr>
        <w:t>множественная миелома и прочие плазмоклеточноые неоплазии).</w:t>
      </w:r>
    </w:p>
    <w:p w14:paraId="63957520" w14:textId="77777777" w:rsidR="000E123F" w:rsidRPr="002C6FFD" w:rsidRDefault="000E123F" w:rsidP="00077D58">
      <w:pPr>
        <w:pStyle w:val="bullet"/>
        <w:numPr>
          <w:ilvl w:val="0"/>
          <w:numId w:val="157"/>
        </w:numPr>
        <w:spacing w:line="360" w:lineRule="auto"/>
        <w:jc w:val="both"/>
        <w:rPr>
          <w:rFonts w:cs="Times New Roman"/>
          <w:spacing w:val="0"/>
          <w:shd w:val="clear" w:color="auto" w:fill="FFFFFF"/>
        </w:rPr>
      </w:pPr>
      <w:r w:rsidRPr="002C6FFD">
        <w:rPr>
          <w:rFonts w:cs="Times New Roman"/>
          <w:spacing w:val="0"/>
          <w:shd w:val="clear" w:color="auto" w:fill="FFFFFF"/>
        </w:rPr>
        <w:t>Диагностика и оценка эффективности лечения апластической анемии, миелодиспластических синдромов, идиопатической тромбоцитопенической пурпуры, острых лейкозов и при других гематологических заболеваниях/состояниях.</w:t>
      </w:r>
    </w:p>
    <w:p w14:paraId="77BB28B5" w14:textId="77777777" w:rsidR="000E123F" w:rsidRPr="002C6FFD" w:rsidRDefault="000E123F" w:rsidP="00077D58">
      <w:pPr>
        <w:pStyle w:val="bullet"/>
        <w:numPr>
          <w:ilvl w:val="0"/>
          <w:numId w:val="157"/>
        </w:numPr>
        <w:spacing w:line="360" w:lineRule="auto"/>
        <w:jc w:val="both"/>
        <w:rPr>
          <w:rFonts w:cs="Times New Roman"/>
          <w:spacing w:val="0"/>
        </w:rPr>
      </w:pPr>
      <w:r w:rsidRPr="002C6FFD">
        <w:rPr>
          <w:rFonts w:cs="Times New Roman"/>
          <w:spacing w:val="0"/>
        </w:rPr>
        <w:t>Диагностика, определение распространенности (стадии),</w:t>
      </w:r>
      <w:r w:rsidRPr="002C6FFD">
        <w:rPr>
          <w:rFonts w:cs="Times New Roman"/>
          <w:spacing w:val="0"/>
          <w:shd w:val="clear" w:color="auto" w:fill="FFFFFF"/>
        </w:rPr>
        <w:t xml:space="preserve"> оценка метастатического поражения</w:t>
      </w:r>
      <w:r w:rsidRPr="002C6FFD">
        <w:rPr>
          <w:rFonts w:cs="Times New Roman"/>
          <w:spacing w:val="0"/>
        </w:rPr>
        <w:t xml:space="preserve"> и эффекта лечения солидных опухолей (нейробластома, рабдомиосаркома, примитивные нейроэктодермальные опухоли, саркома Юинга и другие).</w:t>
      </w:r>
    </w:p>
    <w:p w14:paraId="6215B105" w14:textId="77777777" w:rsidR="000E123F" w:rsidRPr="002C6FFD" w:rsidRDefault="000E123F" w:rsidP="00077D58">
      <w:pPr>
        <w:pStyle w:val="bullet"/>
        <w:numPr>
          <w:ilvl w:val="0"/>
          <w:numId w:val="157"/>
        </w:numPr>
        <w:spacing w:line="360" w:lineRule="auto"/>
        <w:jc w:val="both"/>
        <w:rPr>
          <w:rFonts w:cs="Times New Roman"/>
          <w:spacing w:val="0"/>
          <w:shd w:val="clear" w:color="auto" w:fill="FFFFFF"/>
        </w:rPr>
      </w:pPr>
      <w:r w:rsidRPr="002C6FFD">
        <w:rPr>
          <w:rFonts w:cs="Times New Roman"/>
          <w:spacing w:val="0"/>
          <w:shd w:val="clear" w:color="auto" w:fill="FFFFFF"/>
        </w:rPr>
        <w:lastRenderedPageBreak/>
        <w:t>Мониторинг эффективности лечения или оценки прогрессирования заболеваний системы крови.</w:t>
      </w:r>
    </w:p>
    <w:p w14:paraId="75350406" w14:textId="77777777" w:rsidR="000E123F" w:rsidRPr="002C6FFD" w:rsidRDefault="000E123F" w:rsidP="00077D58">
      <w:pPr>
        <w:pStyle w:val="bullet"/>
        <w:numPr>
          <w:ilvl w:val="0"/>
          <w:numId w:val="157"/>
        </w:numPr>
        <w:spacing w:line="360" w:lineRule="auto"/>
        <w:jc w:val="both"/>
        <w:rPr>
          <w:rFonts w:cs="Times New Roman"/>
          <w:spacing w:val="0"/>
          <w:shd w:val="clear" w:color="auto" w:fill="FFFFFF"/>
        </w:rPr>
      </w:pPr>
      <w:r w:rsidRPr="002C6FFD">
        <w:rPr>
          <w:rFonts w:cs="Times New Roman"/>
          <w:spacing w:val="0"/>
          <w:shd w:val="clear" w:color="auto" w:fill="FFFFFF"/>
        </w:rPr>
        <w:t xml:space="preserve">Оценка миелопоэза до и после выполнения трансплантации костного мозга / гемопоэтических стволовых клеток (ТКМ / ТГСК). </w:t>
      </w:r>
    </w:p>
    <w:p w14:paraId="0DE85A03" w14:textId="77777777" w:rsidR="000E123F" w:rsidRPr="002C6FFD" w:rsidRDefault="000E123F" w:rsidP="00077D58">
      <w:pPr>
        <w:pStyle w:val="bullet"/>
        <w:numPr>
          <w:ilvl w:val="0"/>
          <w:numId w:val="157"/>
        </w:numPr>
        <w:spacing w:line="360" w:lineRule="auto"/>
        <w:jc w:val="both"/>
        <w:rPr>
          <w:rFonts w:cs="Times New Roman"/>
          <w:spacing w:val="0"/>
          <w:shd w:val="clear" w:color="auto" w:fill="FFFFFF"/>
        </w:rPr>
      </w:pPr>
      <w:r w:rsidRPr="002C6FFD">
        <w:rPr>
          <w:rFonts w:cs="Times New Roman"/>
          <w:spacing w:val="0"/>
        </w:rPr>
        <w:t>Обследование больных с предполагаемым первичным амилоидозом и заболеваниями костной ткани.</w:t>
      </w:r>
    </w:p>
    <w:p w14:paraId="25D1D412" w14:textId="77777777" w:rsidR="000E123F" w:rsidRPr="002C6FFD" w:rsidRDefault="000E123F" w:rsidP="00077D58">
      <w:pPr>
        <w:pStyle w:val="bullet"/>
        <w:numPr>
          <w:ilvl w:val="0"/>
          <w:numId w:val="157"/>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при цитопении, тромбоцитозе, лейкоцитозе, анемии, изменениях состава лейкоцитов (лейкоцитарная формула), и для диагностики перегрузки железом.</w:t>
      </w:r>
    </w:p>
    <w:p w14:paraId="7DC18C1B" w14:textId="77777777" w:rsidR="000E123F" w:rsidRPr="002C6FFD" w:rsidRDefault="000E123F" w:rsidP="00077D58">
      <w:pPr>
        <w:pStyle w:val="bullet"/>
        <w:numPr>
          <w:ilvl w:val="0"/>
          <w:numId w:val="157"/>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и вовлечения костного мозга при инфекционных заболеваниях (например, при грибковых, микобактериальных инфекциях, в том числе при туберкулезе и других гранулематозных процессах, в также при гистоплазмозе и лейшманиозе).</w:t>
      </w:r>
    </w:p>
    <w:p w14:paraId="0528D249" w14:textId="77777777" w:rsidR="000E123F" w:rsidRPr="002C6FFD" w:rsidRDefault="000E123F" w:rsidP="00077D58">
      <w:pPr>
        <w:pStyle w:val="bullet"/>
        <w:numPr>
          <w:ilvl w:val="0"/>
          <w:numId w:val="157"/>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и вовлечения костного мозга при болезнях накопления (например, болезнь Нимана—Пика и болезнь Гоше) и гранулематозных заболеваниях (например, саркоидоз).</w:t>
      </w:r>
    </w:p>
    <w:p w14:paraId="0A17F258" w14:textId="77777777" w:rsidR="000E123F" w:rsidRDefault="000E123F" w:rsidP="000E123F">
      <w:pPr>
        <w:pStyle w:val="2"/>
        <w:spacing w:before="0"/>
        <w:rPr>
          <w:rFonts w:eastAsia="Arial Unicode MS"/>
        </w:rPr>
      </w:pPr>
    </w:p>
    <w:p w14:paraId="53B8D9CF" w14:textId="62B09963" w:rsidR="000E123F" w:rsidRPr="00F30696" w:rsidRDefault="000E123F" w:rsidP="000E123F">
      <w:pPr>
        <w:rPr>
          <w:b/>
          <w:i/>
          <w:iCs/>
          <w:u w:val="single"/>
          <w:shd w:val="clear" w:color="auto" w:fill="FFFFFF"/>
        </w:rPr>
      </w:pPr>
      <w:r w:rsidRPr="00F30696">
        <w:rPr>
          <w:i/>
          <w:iCs/>
          <w:u w:val="single"/>
          <w:shd w:val="clear" w:color="auto" w:fill="FFFFFF"/>
        </w:rPr>
        <w:t xml:space="preserve">Противопоказания для выполнения биопсийного исследования костного мозга </w:t>
      </w:r>
      <w:r w:rsidRPr="00F30696">
        <w:rPr>
          <w:b/>
          <w:i/>
          <w:iCs/>
          <w:u w:val="single"/>
          <w:shd w:val="clear" w:color="auto" w:fill="FFFFFF"/>
        </w:rPr>
        <w:fldChar w:fldCharType="begin" w:fldLock="1"/>
      </w:r>
      <w:r w:rsidR="00953640">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[205]","plainTextFormattedCitation":"[205]","previouslyFormattedCitation":"[205]"},"properties":{"noteIndex":0},"schema":"https://github.com/citation-style-language/schema/raw/master/csl-citation.json"}</w:instrText>
      </w:r>
      <w:r w:rsidRPr="00F30696">
        <w:rPr>
          <w:b/>
          <w:i/>
          <w:iCs/>
          <w:u w:val="single"/>
          <w:shd w:val="clear" w:color="auto" w:fill="FFFFFF"/>
        </w:rPr>
        <w:fldChar w:fldCharType="separate"/>
      </w:r>
      <w:r w:rsidRPr="000E123F">
        <w:rPr>
          <w:iCs/>
          <w:noProof/>
          <w:shd w:val="clear" w:color="auto" w:fill="FFFFFF"/>
        </w:rPr>
        <w:t>[205]</w:t>
      </w:r>
      <w:r w:rsidRPr="00F30696">
        <w:rPr>
          <w:b/>
          <w:i/>
          <w:iCs/>
          <w:u w:val="single"/>
          <w:shd w:val="clear" w:color="auto" w:fill="FFFFFF"/>
        </w:rPr>
        <w:fldChar w:fldCharType="end"/>
      </w:r>
    </w:p>
    <w:p w14:paraId="7588AABF" w14:textId="77777777" w:rsidR="000E123F" w:rsidRPr="002C6FFD" w:rsidRDefault="000E123F" w:rsidP="000E123F">
      <w:pPr>
        <w:pStyle w:val="Normal11"/>
        <w:spacing w:before="0" w:line="360" w:lineRule="auto"/>
        <w:ind w:firstLine="699"/>
        <w:jc w:val="both"/>
        <w:rPr>
          <w:spacing w:val="0"/>
        </w:rPr>
      </w:pPr>
      <w:r w:rsidRPr="002C6FFD">
        <w:rPr>
          <w:spacing w:val="0"/>
        </w:rPr>
        <w:t>Аспирация костного мозга и биопсия не имеют абсолютных противопоказаний, но могут быть относительные противопоказания, связанные с общим состоянием пациента:</w:t>
      </w:r>
    </w:p>
    <w:p w14:paraId="170B4558" w14:textId="77777777" w:rsidR="000E123F" w:rsidRPr="002C6FFD" w:rsidRDefault="000E123F" w:rsidP="00077D58">
      <w:pPr>
        <w:pStyle w:val="bullet"/>
        <w:numPr>
          <w:ilvl w:val="0"/>
          <w:numId w:val="157"/>
        </w:numPr>
        <w:spacing w:line="360" w:lineRule="auto"/>
        <w:jc w:val="both"/>
        <w:rPr>
          <w:rFonts w:cs="Times New Roman"/>
          <w:spacing w:val="0"/>
        </w:rPr>
      </w:pPr>
      <w:r w:rsidRPr="002C6FFD">
        <w:rPr>
          <w:rFonts w:cs="Times New Roman"/>
          <w:spacing w:val="0"/>
        </w:rPr>
        <w:t>Раневая поверхность кожи и подлежащих тканей с признаками воспаления в месте проведения процедуры.</w:t>
      </w:r>
    </w:p>
    <w:p w14:paraId="2670006F" w14:textId="77777777" w:rsidR="000E123F" w:rsidRPr="002C6FFD" w:rsidRDefault="000E123F" w:rsidP="00077D58">
      <w:pPr>
        <w:pStyle w:val="bullet"/>
        <w:numPr>
          <w:ilvl w:val="0"/>
          <w:numId w:val="157"/>
        </w:numPr>
        <w:spacing w:line="360" w:lineRule="auto"/>
        <w:jc w:val="both"/>
        <w:rPr>
          <w:rFonts w:cs="Times New Roman"/>
          <w:spacing w:val="0"/>
        </w:rPr>
      </w:pPr>
      <w:r w:rsidRPr="002C6FFD">
        <w:rPr>
          <w:rFonts w:cs="Times New Roman"/>
          <w:spacing w:val="0"/>
        </w:rPr>
        <w:t>Тромбоцитопения и другие коагулопатии, геморрагический синдром (выполнение процедуры возможно после купирования нарушений гемостаза и коррекции тромбоцитопении).</w:t>
      </w:r>
    </w:p>
    <w:p w14:paraId="31CD7665" w14:textId="77777777" w:rsidR="000E123F" w:rsidRPr="002C6FFD" w:rsidRDefault="000E123F" w:rsidP="00077D58">
      <w:pPr>
        <w:pStyle w:val="bullet"/>
        <w:numPr>
          <w:ilvl w:val="0"/>
          <w:numId w:val="157"/>
        </w:numPr>
        <w:spacing w:line="360" w:lineRule="auto"/>
        <w:jc w:val="both"/>
        <w:rPr>
          <w:rFonts w:cs="Times New Roman"/>
          <w:spacing w:val="0"/>
          <w:shd w:val="clear" w:color="auto" w:fill="FFFFFF"/>
        </w:rPr>
      </w:pPr>
      <w:r w:rsidRPr="002C6FFD">
        <w:rPr>
          <w:rFonts w:cs="Times New Roman"/>
          <w:spacing w:val="0"/>
          <w:shd w:val="clear" w:color="auto" w:fill="FFFFFF"/>
        </w:rPr>
        <w:t xml:space="preserve">При терапии антикоагулянтами и антиагрегантами, перед выполнением процедуры должны учитываться показатели коагулологических тестов. </w:t>
      </w:r>
    </w:p>
    <w:p w14:paraId="3243D2E4" w14:textId="77777777" w:rsidR="000E123F" w:rsidRPr="002C6FFD" w:rsidRDefault="000E123F" w:rsidP="00077D58">
      <w:pPr>
        <w:pStyle w:val="bullet"/>
        <w:numPr>
          <w:ilvl w:val="0"/>
          <w:numId w:val="157"/>
        </w:numPr>
        <w:spacing w:line="360" w:lineRule="auto"/>
        <w:jc w:val="both"/>
        <w:rPr>
          <w:rFonts w:cs="Times New Roman"/>
          <w:spacing w:val="0"/>
          <w:shd w:val="clear" w:color="auto" w:fill="FFFFFF"/>
        </w:rPr>
      </w:pPr>
      <w:r w:rsidRPr="002C6FFD">
        <w:rPr>
          <w:rFonts w:cs="Times New Roman"/>
          <w:spacing w:val="0"/>
          <w:shd w:val="clear" w:color="auto" w:fill="FFFFFF"/>
        </w:rPr>
        <w:t xml:space="preserve">Наличие признаков резорбции кости </w:t>
      </w:r>
      <w:r w:rsidRPr="002C6FFD">
        <w:rPr>
          <w:rFonts w:cs="Times New Roman"/>
          <w:spacing w:val="0"/>
        </w:rPr>
        <w:t>в месте проведения процедуры</w:t>
      </w:r>
      <w:r w:rsidRPr="002C6FFD">
        <w:rPr>
          <w:rFonts w:cs="Times New Roman"/>
          <w:spacing w:val="0"/>
          <w:shd w:val="clear" w:color="auto" w:fill="FFFFFF"/>
        </w:rPr>
        <w:t>.</w:t>
      </w:r>
    </w:p>
    <w:p w14:paraId="6EFE3244" w14:textId="77777777" w:rsidR="000E123F" w:rsidRPr="002C6FFD" w:rsidRDefault="000E123F" w:rsidP="000E123F">
      <w:pPr>
        <w:pStyle w:val="bullet"/>
        <w:spacing w:line="360" w:lineRule="auto"/>
        <w:ind w:firstLine="709"/>
        <w:jc w:val="both"/>
        <w:rPr>
          <w:rFonts w:cs="Times New Roman"/>
          <w:spacing w:val="0"/>
          <w:shd w:val="clear" w:color="auto" w:fill="FFFFFF"/>
        </w:rPr>
      </w:pPr>
      <w:r w:rsidRPr="002C6FFD">
        <w:rPr>
          <w:rFonts w:cs="Times New Roman"/>
          <w:spacing w:val="0"/>
          <w:shd w:val="clear" w:color="auto" w:fill="FFFFFF"/>
        </w:rPr>
        <w:t>При соматически тяжелом состоянии пациента и повышенном риске развития осложнений при амбулаторном проведении процедуры, трепанобиопсию возможно выполнить в условиях стационара.</w:t>
      </w:r>
    </w:p>
    <w:p w14:paraId="28DB58CF" w14:textId="77777777" w:rsidR="000E123F" w:rsidRDefault="000E123F" w:rsidP="000E123F">
      <w:pPr>
        <w:pStyle w:val="2"/>
        <w:spacing w:before="0"/>
        <w:rPr>
          <w:rFonts w:eastAsia="Arial Unicode MS"/>
        </w:rPr>
      </w:pPr>
    </w:p>
    <w:p w14:paraId="01EACBA7" w14:textId="1F76B71B" w:rsidR="000E123F" w:rsidRPr="00F30696" w:rsidRDefault="000E123F" w:rsidP="000E123F">
      <w:pPr>
        <w:rPr>
          <w:b/>
          <w:i/>
          <w:iCs/>
          <w:u w:val="single"/>
          <w:shd w:val="clear" w:color="auto" w:fill="FFFFFF"/>
        </w:rPr>
      </w:pPr>
      <w:r w:rsidRPr="00F30696">
        <w:rPr>
          <w:i/>
          <w:iCs/>
          <w:u w:val="single"/>
          <w:shd w:val="clear" w:color="auto" w:fill="FFFFFF"/>
        </w:rPr>
        <w:t xml:space="preserve">Возможные технические трудности выполнения пункционного и биопсийного исследований костного мозга </w:t>
      </w:r>
      <w:r w:rsidRPr="00F30696">
        <w:rPr>
          <w:b/>
          <w:i/>
          <w:iCs/>
          <w:u w:val="single"/>
          <w:shd w:val="clear" w:color="auto" w:fill="FFFFFF"/>
        </w:rPr>
        <w:fldChar w:fldCharType="begin" w:fldLock="1"/>
      </w:r>
      <w:r w:rsidR="00953640">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[205]","plainTextFormattedCitation":"[205]","previouslyFormattedCitation":"[205]"},"properties":{"noteIndex":0},"schema":"https://github.com/citation-style-language/schema/raw/master/csl-citation.json"}</w:instrText>
      </w:r>
      <w:r w:rsidRPr="00F30696">
        <w:rPr>
          <w:b/>
          <w:i/>
          <w:iCs/>
          <w:u w:val="single"/>
          <w:shd w:val="clear" w:color="auto" w:fill="FFFFFF"/>
        </w:rPr>
        <w:fldChar w:fldCharType="separate"/>
      </w:r>
      <w:r w:rsidRPr="000E123F">
        <w:rPr>
          <w:iCs/>
          <w:noProof/>
          <w:shd w:val="clear" w:color="auto" w:fill="FFFFFF"/>
        </w:rPr>
        <w:t>[205]</w:t>
      </w:r>
      <w:r w:rsidRPr="00F30696">
        <w:rPr>
          <w:b/>
          <w:i/>
          <w:iCs/>
          <w:u w:val="single"/>
          <w:shd w:val="clear" w:color="auto" w:fill="FFFFFF"/>
        </w:rPr>
        <w:fldChar w:fldCharType="end"/>
      </w:r>
    </w:p>
    <w:p w14:paraId="27937FF7" w14:textId="77777777" w:rsidR="000E123F" w:rsidRPr="002C6FFD" w:rsidRDefault="000E123F" w:rsidP="00077D58">
      <w:pPr>
        <w:pStyle w:val="bullet"/>
        <w:numPr>
          <w:ilvl w:val="0"/>
          <w:numId w:val="157"/>
        </w:numPr>
        <w:spacing w:line="360" w:lineRule="auto"/>
        <w:jc w:val="both"/>
        <w:rPr>
          <w:rFonts w:cs="Times New Roman"/>
          <w:spacing w:val="0"/>
          <w:shd w:val="clear" w:color="auto" w:fill="FFFFFF"/>
        </w:rPr>
      </w:pPr>
      <w:r w:rsidRPr="002C6FFD">
        <w:rPr>
          <w:rFonts w:cs="Times New Roman"/>
          <w:spacing w:val="0"/>
          <w:shd w:val="clear" w:color="auto" w:fill="FFFFFF"/>
        </w:rPr>
        <w:t>Плохое качество инструментария.</w:t>
      </w:r>
    </w:p>
    <w:p w14:paraId="60A0E658" w14:textId="77777777" w:rsidR="000E123F" w:rsidRPr="002C6FFD" w:rsidRDefault="000E123F" w:rsidP="00077D58">
      <w:pPr>
        <w:pStyle w:val="bullet"/>
        <w:numPr>
          <w:ilvl w:val="0"/>
          <w:numId w:val="157"/>
        </w:numPr>
        <w:spacing w:line="360" w:lineRule="auto"/>
        <w:jc w:val="both"/>
        <w:rPr>
          <w:rFonts w:cs="Times New Roman"/>
          <w:spacing w:val="0"/>
          <w:shd w:val="clear" w:color="auto" w:fill="FFFFFF"/>
        </w:rPr>
      </w:pPr>
      <w:r w:rsidRPr="002C6FFD">
        <w:rPr>
          <w:rFonts w:cs="Times New Roman"/>
          <w:spacing w:val="0"/>
          <w:shd w:val="clear" w:color="auto" w:fill="FFFFFF"/>
        </w:rPr>
        <w:lastRenderedPageBreak/>
        <w:t>Избыточный вес больного или большая толщина подкожно-жировой клетчатки и анатомические особенности строения грудной клетки и костей таза.</w:t>
      </w:r>
    </w:p>
    <w:p w14:paraId="17B1B6FB" w14:textId="77777777" w:rsidR="000E123F" w:rsidRPr="002C6FFD" w:rsidRDefault="000E123F" w:rsidP="00077D58">
      <w:pPr>
        <w:pStyle w:val="bullet"/>
        <w:numPr>
          <w:ilvl w:val="0"/>
          <w:numId w:val="157"/>
        </w:numPr>
        <w:spacing w:line="360" w:lineRule="auto"/>
        <w:jc w:val="both"/>
        <w:rPr>
          <w:rFonts w:cs="Times New Roman"/>
          <w:spacing w:val="0"/>
          <w:shd w:val="clear" w:color="auto" w:fill="FFFFFF"/>
        </w:rPr>
      </w:pPr>
      <w:r w:rsidRPr="002C6FFD">
        <w:rPr>
          <w:rFonts w:cs="Times New Roman"/>
          <w:spacing w:val="0"/>
          <w:shd w:val="clear" w:color="auto" w:fill="FFFFFF"/>
        </w:rPr>
        <w:t>Остеопороз.</w:t>
      </w:r>
    </w:p>
    <w:p w14:paraId="17C57C13" w14:textId="77777777" w:rsidR="000E123F" w:rsidRPr="002C6FFD" w:rsidRDefault="000E123F" w:rsidP="00077D58">
      <w:pPr>
        <w:pStyle w:val="bullet"/>
        <w:numPr>
          <w:ilvl w:val="0"/>
          <w:numId w:val="157"/>
        </w:numPr>
        <w:spacing w:line="360" w:lineRule="auto"/>
        <w:jc w:val="both"/>
        <w:rPr>
          <w:rFonts w:cs="Times New Roman"/>
          <w:spacing w:val="0"/>
          <w:shd w:val="clear" w:color="auto" w:fill="FFFFFF"/>
        </w:rPr>
      </w:pPr>
      <w:r w:rsidRPr="002C6FFD">
        <w:rPr>
          <w:rFonts w:cs="Times New Roman"/>
          <w:spacing w:val="0"/>
          <w:shd w:val="clear" w:color="auto" w:fill="FFFFFF"/>
        </w:rPr>
        <w:t>Фиброз стромы.</w:t>
      </w:r>
    </w:p>
    <w:p w14:paraId="0E35A3EC" w14:textId="77777777" w:rsidR="000E123F" w:rsidRDefault="000E123F" w:rsidP="000E123F">
      <w:pPr>
        <w:pStyle w:val="2"/>
        <w:spacing w:before="0"/>
        <w:rPr>
          <w:rFonts w:eastAsia="Arial Unicode MS"/>
        </w:rPr>
      </w:pPr>
    </w:p>
    <w:p w14:paraId="3ADE3EFF" w14:textId="470E9220" w:rsidR="000E123F" w:rsidRPr="00F30696" w:rsidRDefault="000E123F" w:rsidP="000E123F">
      <w:pPr>
        <w:rPr>
          <w:b/>
          <w:i/>
          <w:iCs/>
          <w:u w:val="single"/>
          <w:shd w:val="clear" w:color="auto" w:fill="FFFFFF"/>
        </w:rPr>
      </w:pPr>
      <w:r w:rsidRPr="00F30696">
        <w:rPr>
          <w:i/>
          <w:iCs/>
          <w:u w:val="single"/>
          <w:shd w:val="clear" w:color="auto" w:fill="FFFFFF"/>
        </w:rPr>
        <w:t xml:space="preserve">Возможные осложнения пункционного и биопсийного исследований костного мозга и способы их профилактики </w:t>
      </w:r>
      <w:r w:rsidRPr="00F30696">
        <w:rPr>
          <w:b/>
          <w:i/>
          <w:iCs/>
          <w:u w:val="single"/>
          <w:shd w:val="clear" w:color="auto" w:fill="FFFFFF"/>
        </w:rPr>
        <w:fldChar w:fldCharType="begin" w:fldLock="1"/>
      </w:r>
      <w:r w:rsidR="00953640">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[205]","plainTextFormattedCitation":"[205]","previouslyFormattedCitation":"[205]"},"properties":{"noteIndex":0},"schema":"https://github.com/citation-style-language/schema/raw/master/csl-citation.json"}</w:instrText>
      </w:r>
      <w:r w:rsidRPr="00F30696">
        <w:rPr>
          <w:b/>
          <w:i/>
          <w:iCs/>
          <w:u w:val="single"/>
          <w:shd w:val="clear" w:color="auto" w:fill="FFFFFF"/>
        </w:rPr>
        <w:fldChar w:fldCharType="separate"/>
      </w:r>
      <w:r w:rsidRPr="000E123F">
        <w:rPr>
          <w:iCs/>
          <w:noProof/>
          <w:shd w:val="clear" w:color="auto" w:fill="FFFFFF"/>
        </w:rPr>
        <w:t>[205]</w:t>
      </w:r>
      <w:r w:rsidRPr="00F30696">
        <w:rPr>
          <w:b/>
          <w:i/>
          <w:iCs/>
          <w:u w:val="single"/>
          <w:shd w:val="clear" w:color="auto" w:fill="FFFFFF"/>
        </w:rPr>
        <w:fldChar w:fldCharType="end"/>
      </w:r>
    </w:p>
    <w:p w14:paraId="7B238131" w14:textId="77777777" w:rsidR="000E123F" w:rsidRPr="002C6FFD" w:rsidRDefault="000E123F" w:rsidP="00077D58">
      <w:pPr>
        <w:pStyle w:val="bullet"/>
        <w:numPr>
          <w:ilvl w:val="0"/>
          <w:numId w:val="157"/>
        </w:numPr>
        <w:spacing w:line="360" w:lineRule="auto"/>
        <w:jc w:val="both"/>
        <w:rPr>
          <w:rFonts w:cs="Times New Roman"/>
          <w:spacing w:val="0"/>
          <w:shd w:val="clear" w:color="auto" w:fill="FFFFFF"/>
        </w:rPr>
      </w:pPr>
      <w:r w:rsidRPr="002C6FFD">
        <w:rPr>
          <w:rFonts w:cs="Times New Roman"/>
          <w:spacing w:val="0"/>
          <w:shd w:val="clear" w:color="auto" w:fill="FFFFFF"/>
        </w:rPr>
        <w:t>Кровотечение (раннее и/или отсроченное), особенно при тромбоцитопении и/или наличии нарушений свертывания крови.</w:t>
      </w:r>
    </w:p>
    <w:p w14:paraId="1C203CB9" w14:textId="77777777" w:rsidR="000E123F" w:rsidRPr="002C6FFD" w:rsidRDefault="000E123F" w:rsidP="00077D58">
      <w:pPr>
        <w:pStyle w:val="bullet"/>
        <w:numPr>
          <w:ilvl w:val="0"/>
          <w:numId w:val="157"/>
        </w:numPr>
        <w:spacing w:line="360" w:lineRule="auto"/>
        <w:jc w:val="both"/>
        <w:rPr>
          <w:rFonts w:cs="Times New Roman"/>
          <w:spacing w:val="0"/>
          <w:shd w:val="clear" w:color="auto" w:fill="FFFFFF"/>
        </w:rPr>
      </w:pPr>
      <w:r w:rsidRPr="002C6FFD">
        <w:rPr>
          <w:rFonts w:cs="Times New Roman"/>
          <w:spacing w:val="0"/>
          <w:shd w:val="clear" w:color="auto" w:fill="FFFFFF"/>
        </w:rPr>
        <w:t>Инфекция, особенно в условиях иммунодефицита и нейтропении.</w:t>
      </w:r>
    </w:p>
    <w:p w14:paraId="1BC64BDE" w14:textId="77777777" w:rsidR="000E123F" w:rsidRPr="002C6FFD" w:rsidRDefault="000E123F" w:rsidP="00077D58">
      <w:pPr>
        <w:pStyle w:val="bullet"/>
        <w:numPr>
          <w:ilvl w:val="0"/>
          <w:numId w:val="157"/>
        </w:numPr>
        <w:spacing w:line="360" w:lineRule="auto"/>
        <w:jc w:val="both"/>
        <w:rPr>
          <w:rFonts w:cs="Times New Roman"/>
          <w:spacing w:val="0"/>
          <w:shd w:val="clear" w:color="auto" w:fill="FFFFFF"/>
        </w:rPr>
      </w:pPr>
      <w:r w:rsidRPr="002C6FFD">
        <w:rPr>
          <w:rFonts w:cs="Times New Roman"/>
          <w:spacing w:val="0"/>
          <w:shd w:val="clear" w:color="auto" w:fill="FFFFFF"/>
        </w:rPr>
        <w:t>Длительный болевой синдром и дискомфорт в месте биопсии.</w:t>
      </w:r>
    </w:p>
    <w:p w14:paraId="21594224" w14:textId="77777777" w:rsidR="000E123F" w:rsidRPr="002C6FFD" w:rsidRDefault="000E123F" w:rsidP="00077D58">
      <w:pPr>
        <w:pStyle w:val="bullet"/>
        <w:numPr>
          <w:ilvl w:val="0"/>
          <w:numId w:val="157"/>
        </w:numPr>
        <w:spacing w:line="360" w:lineRule="auto"/>
        <w:jc w:val="both"/>
        <w:rPr>
          <w:rFonts w:cs="Times New Roman"/>
          <w:spacing w:val="0"/>
          <w:shd w:val="clear" w:color="auto" w:fill="FFFFFF"/>
        </w:rPr>
      </w:pPr>
      <w:r w:rsidRPr="002C6FFD">
        <w:rPr>
          <w:rFonts w:cs="Times New Roman"/>
          <w:spacing w:val="0"/>
          <w:shd w:val="clear" w:color="auto" w:fill="FFFFFF"/>
        </w:rPr>
        <w:t>Переломы кости.</w:t>
      </w:r>
    </w:p>
    <w:p w14:paraId="784B2548" w14:textId="77777777" w:rsidR="000E123F" w:rsidRPr="002C6FFD" w:rsidRDefault="000E123F" w:rsidP="00077D58">
      <w:pPr>
        <w:pStyle w:val="bullet"/>
        <w:numPr>
          <w:ilvl w:val="0"/>
          <w:numId w:val="157"/>
        </w:numPr>
        <w:spacing w:line="360" w:lineRule="auto"/>
        <w:jc w:val="both"/>
        <w:rPr>
          <w:rFonts w:cs="Times New Roman"/>
          <w:spacing w:val="0"/>
          <w:shd w:val="clear" w:color="auto" w:fill="FFFFFF"/>
        </w:rPr>
      </w:pPr>
      <w:r w:rsidRPr="002C6FFD">
        <w:rPr>
          <w:rFonts w:cs="Times New Roman"/>
          <w:spacing w:val="0"/>
          <w:shd w:val="clear" w:color="auto" w:fill="FFFFFF"/>
        </w:rPr>
        <w:t>Поломка инструмента.</w:t>
      </w:r>
    </w:p>
    <w:p w14:paraId="75E242EC" w14:textId="77777777" w:rsidR="000E123F" w:rsidRPr="002C6FFD" w:rsidRDefault="000E123F" w:rsidP="00077D58">
      <w:pPr>
        <w:pStyle w:val="bullet"/>
        <w:numPr>
          <w:ilvl w:val="0"/>
          <w:numId w:val="157"/>
        </w:numPr>
        <w:spacing w:line="360" w:lineRule="auto"/>
        <w:jc w:val="both"/>
        <w:rPr>
          <w:rFonts w:cs="Times New Roman"/>
          <w:spacing w:val="0"/>
          <w:shd w:val="clear" w:color="auto" w:fill="FFFFFF"/>
        </w:rPr>
      </w:pPr>
      <w:r w:rsidRPr="002C6FFD">
        <w:rPr>
          <w:rFonts w:cs="Times New Roman"/>
          <w:spacing w:val="0"/>
          <w:shd w:val="clear" w:color="auto" w:fill="FFFFFF"/>
        </w:rPr>
        <w:t>Сквозное ранение органов средостения при выполнение стернальной пункции.</w:t>
      </w:r>
    </w:p>
    <w:p w14:paraId="042E5D09" w14:textId="77777777" w:rsidR="000E123F" w:rsidRPr="002C6FFD" w:rsidRDefault="000E123F" w:rsidP="00077D58">
      <w:pPr>
        <w:pStyle w:val="bullet"/>
        <w:numPr>
          <w:ilvl w:val="0"/>
          <w:numId w:val="157"/>
        </w:numPr>
        <w:spacing w:line="360" w:lineRule="auto"/>
        <w:jc w:val="both"/>
        <w:rPr>
          <w:rFonts w:cs="Times New Roman"/>
          <w:spacing w:val="0"/>
          <w:shd w:val="clear" w:color="auto" w:fill="FFFFFF"/>
        </w:rPr>
      </w:pPr>
      <w:r w:rsidRPr="002C6FFD">
        <w:rPr>
          <w:rFonts w:cs="Times New Roman"/>
          <w:spacing w:val="0"/>
          <w:shd w:val="clear" w:color="auto" w:fill="FFFFFF"/>
        </w:rPr>
        <w:t>Анафилактические реакции (на анестетики).</w:t>
      </w:r>
    </w:p>
    <w:p w14:paraId="01B3DB25" w14:textId="77777777" w:rsidR="000E123F" w:rsidRPr="002C6FFD" w:rsidRDefault="000E123F" w:rsidP="000E123F">
      <w:pPr>
        <w:ind w:firstLine="708"/>
      </w:pPr>
    </w:p>
    <w:p w14:paraId="6BEAC8BF" w14:textId="77777777" w:rsidR="000E123F" w:rsidRPr="002C6FFD" w:rsidRDefault="000E123F" w:rsidP="000E123F">
      <w:pPr>
        <w:ind w:firstLine="708"/>
      </w:pPr>
      <w:r w:rsidRPr="002C6FFD">
        <w:t>При выполнении стернальной пункции, из-за тонкой структуры кости грудины в области пункции (толщина ~ 1 см у взрослых), возможно сквозное проникновение в средостение с возможным повреждением органов средостения и развитием медиастинита, пневмоторакса, травмы и тампонады сердца. Для профилактики данного осложнения необходимо использовать стернальные иглы с ограничителем.</w:t>
      </w:r>
    </w:p>
    <w:p w14:paraId="29242AF8" w14:textId="77777777" w:rsidR="000E123F" w:rsidRPr="002C6FFD" w:rsidRDefault="000E123F" w:rsidP="000E123F">
      <w:pPr>
        <w:ind w:firstLine="708"/>
        <w:rPr>
          <w:color w:val="1A1718"/>
        </w:rPr>
      </w:pPr>
      <w:r w:rsidRPr="002C6FFD">
        <w:rPr>
          <w:color w:val="212121"/>
        </w:rPr>
        <w:t xml:space="preserve">Ряд осложнений может быть обусловлен некоторыми анатомическими особенностями больного. </w:t>
      </w:r>
      <w:r w:rsidRPr="002C6FFD">
        <w:t>Так у больных с ожирением выше вероятность развития осложнений, т</w:t>
      </w:r>
      <w:r w:rsidRPr="002C6FFD">
        <w:rPr>
          <w:color w:val="212121"/>
        </w:rPr>
        <w:t xml:space="preserve">акже осложнять проведение процедуры могут сопутствующие заболевания, влияющие на плотность костной ткани (например, остеопороз и резорбция </w:t>
      </w:r>
      <w:r w:rsidRPr="002C6FFD">
        <w:t xml:space="preserve">кости). Для минимизации риска развития локальных и генерализованных инфекций, необходимо использовать только стерильный инструмент и строго соблюдать все правила асептики и антисептики. </w:t>
      </w:r>
      <w:r w:rsidRPr="002C6FFD">
        <w:rPr>
          <w:color w:val="1A1718"/>
        </w:rPr>
        <w:t>Основными способами профилактики геморрагических осложнений является коррекция тромбоцитопении и коагулологических нарушений перед выполнением процедуры и контроль параметров гемостаза и состояния больного в раннем периоде после биопсии. При своевременном грамотном вмешательстве осложнения процедур исследования костного мозга (пункция, биопсия) курабельны.</w:t>
      </w:r>
    </w:p>
    <w:p w14:paraId="6B9145EE" w14:textId="77777777" w:rsidR="000E123F" w:rsidRPr="002C6FFD" w:rsidRDefault="000E123F" w:rsidP="000E123F">
      <w:pPr>
        <w:ind w:firstLine="708"/>
        <w:rPr>
          <w:color w:val="000000"/>
        </w:rPr>
      </w:pPr>
      <w:r w:rsidRPr="002C6FFD">
        <w:t xml:space="preserve">При развитии осложнений биопсийного исследования необходимо связаться с врачом, выполнившим процедуру, тактика терапии осложнения должна быть согласована с гематологом. </w:t>
      </w:r>
    </w:p>
    <w:p w14:paraId="3F34B37F" w14:textId="77777777" w:rsidR="000E123F" w:rsidRDefault="000E123F" w:rsidP="000E123F">
      <w:pPr>
        <w:pStyle w:val="2"/>
        <w:spacing w:before="0"/>
        <w:rPr>
          <w:rFonts w:eastAsia="Arial Unicode MS"/>
        </w:rPr>
      </w:pPr>
    </w:p>
    <w:p w14:paraId="63D6E8AD" w14:textId="77777777" w:rsidR="000E123F" w:rsidRPr="00F30696" w:rsidRDefault="000E123F" w:rsidP="000E123F">
      <w:pPr>
        <w:rPr>
          <w:b/>
          <w:i/>
          <w:iCs/>
          <w:u w:val="single"/>
          <w:shd w:val="clear" w:color="auto" w:fill="FFFFFF"/>
        </w:rPr>
      </w:pPr>
      <w:r w:rsidRPr="00F30696">
        <w:rPr>
          <w:i/>
          <w:iCs/>
          <w:u w:val="single"/>
          <w:shd w:val="clear" w:color="auto" w:fill="FFFFFF"/>
        </w:rPr>
        <w:t>Односторонняя и двусторонняя биопсия подвздошной кости</w:t>
      </w:r>
    </w:p>
    <w:p w14:paraId="46A91102" w14:textId="04173E2E" w:rsidR="000E123F" w:rsidRPr="002C6FFD" w:rsidRDefault="000E123F" w:rsidP="000E123F">
      <w:pPr>
        <w:pStyle w:val="Normal11"/>
        <w:spacing w:before="0" w:line="360" w:lineRule="auto"/>
        <w:ind w:left="0" w:firstLine="699"/>
        <w:jc w:val="both"/>
        <w:rPr>
          <w:spacing w:val="0"/>
        </w:rPr>
      </w:pPr>
      <w:r w:rsidRPr="002C6FFD">
        <w:rPr>
          <w:spacing w:val="0"/>
        </w:rPr>
        <w:t>Выполнение двусторонней биопсии подвздошной кости увеличивает вероятность выявления очаговых поражений костного мозга при подозрении на метастатическое поражение при солидных опухолях, лимфопролиферативных заболеваниях, которые при односторонней биопсии могут быть не выявлены. Выполнение билатерального биопсийного исследования костного мозга также показано для более детальной оценки клеточности и наличия фиброза стромы при диагностике апластической анемии и миелодиспластических синдромов</w:t>
      </w:r>
      <w:r>
        <w:rPr>
          <w:spacing w:val="0"/>
        </w:rPr>
        <w:t xml:space="preserve"> </w:t>
      </w:r>
      <w:r>
        <w:rPr>
          <w:spacing w:val="0"/>
        </w:rPr>
        <w:fldChar w:fldCharType="begin" w:fldLock="1"/>
      </w:r>
      <w:r w:rsidR="00953640">
        <w:rPr>
          <w:spacing w:val="0"/>
        </w:rPr>
        <w:instrText>ADDIN CSL_CITATION {"citationItems":[{"id":"ITEM-1","itemData":{"DOI":"10.1002/cncr.10364","ISSN":"0008543X","PMID":"11920510","abstract":"BACKGROUND. To retrospectively evaluate the significance of morphologic examination and ancillary studies performed on bilateral bone marrow biopsy specimens, 1864 bone marrow samples were studied. METHODS. Bilateral bone marrow biopsy specimens included 883 specimens that were evaluated for involvement by non-Hodgkin lymphoma (NHL); 381 specimens that were evaluated for involvement by carcinoma (CA); 362 specimens that were evaluated for involvement by Hodgkin disease (HD); 94 specimens that were evaluated for involvement by sarcoma (SA); 56 specimens that were evaluated for involvement by multiple myeloma (MM); 53 specimens that were evaluated for involvement by acute and chronic leukemia, myelodysplasia, and/or myeloproliferative disorders (LEUK); and 35 specimens that were evaluated for other reasons. RESULTS. Of all 1864 specimens, 410 samples (22.0%) were positive for disease, including 77% of MM samples, 58% of LEUK samples, 29.6% of NHL samples, 14% of SA samples, 9.9% of HD samples, and 6.8% of CA samples. A discrepancy between the left and right sides was identified in 48 specimens (11.7% of positive samples). The discrepancy rate was 39% for HD samples, 29% for SA samples, 23% for CA samples, and 9.2% for NHL samples. No morphologic discrepancies between bilateral samples were found in MM samples or LEUK samples. Bilateral flow cytometric studies (n = 113 samples) were positive in 11 samples (9.7%; all morphologically positive), with two discrepancies detected between bilateral samples. Bilateral cytogenetic studies (n = 74 samples) were positive in 5 samples (7%), and there were no discrepancies. Bilateral molecular studies (n = 16 samples)were positive in 7 samples (44%), and there were 3 discrepancies. CONCLUSIONS. Bilateral morphologic evaluation is useful in the evaluation of patients with NHL, HD, CA, and SA and is not indicated for patients with acute or chronic leukemia, myelodysplasia, MM, and other diseases. Bilateral flow cytomettic or cytogenetic studies of bone marrow did not provide additional information in this population to justify bilateral samples. The role of bilateral molecular analysis needs to be defined further, but pooled samples for molecular studies may be adequate. © 2002 American Cancer Society.","author":[{"dropping-particle":"","family":"Wang","given":"Jun","non-dropping-particle":"","parse-names":false,"suffix":""},{"dropping-particle":"","family":"Weiss","given":"Lawrence M.","non-dropping-particle":"","parse-names":false,"suffix":""},{"dropping-particle":"","family":"Chang","given":"Karen L.","non-dropping-particle":"","parse-names":false,"suffix":""},{"dropping-particle":"","family":"Slovak","given":"Marilyn L.","non-dropping-particle":"","parse-names":false,"suffix":""},{"dropping-particle":"","family":"Gaal","given":"Karl","non-dropping-particle":"","parse-names":false,"suffix":""},{"dropping-particle":"","family":"Forman","given":"Stephen J.","non-dropping-particle":"","parse-names":false,"suffix":""},{"dropping-particle":"","family":"Arber","given":"Daniel A.","non-dropping-particle":"","parse-names":false,"suffix":""}],"container-title":"Cancer","id":"ITEM-1","issue":"5","issued":{"date-parts":[["2002","3","1"]]},"page":"1522-1531","publisher":"Cancer","title":"Diagnostic utility of bilateral bone marrow examination: Significance of morphologic and ancillary technique study in malignancy","type":"article-journal","volume":"94"},"uris":["http://www.mendeley.com/documents/?uuid=a4dddfa3-ad50-3935-9640-ea89d6a1fc11"]}],"mendeley":{"formattedCitation":"[206]","plainTextFormattedCitation":"[206]","previouslyFormattedCitation":"[206]"},"properties":{"noteIndex":0},"schema":"https://github.com/citation-style-language/schema/raw/master/csl-citation.json"}</w:instrText>
      </w:r>
      <w:r>
        <w:rPr>
          <w:spacing w:val="0"/>
        </w:rPr>
        <w:fldChar w:fldCharType="separate"/>
      </w:r>
      <w:r w:rsidRPr="000E123F">
        <w:rPr>
          <w:noProof/>
          <w:spacing w:val="0"/>
        </w:rPr>
        <w:t>[206]</w:t>
      </w:r>
      <w:r>
        <w:rPr>
          <w:spacing w:val="0"/>
        </w:rPr>
        <w:fldChar w:fldCharType="end"/>
      </w:r>
      <w:r w:rsidRPr="002C6FFD">
        <w:rPr>
          <w:spacing w:val="0"/>
        </w:rPr>
        <w:t xml:space="preserve">. </w:t>
      </w:r>
    </w:p>
    <w:p w14:paraId="5EFE6399" w14:textId="77777777" w:rsidR="000E123F" w:rsidRPr="002C6FFD" w:rsidRDefault="000E123F" w:rsidP="000E123F">
      <w:pPr>
        <w:pStyle w:val="Normal11"/>
        <w:spacing w:before="0" w:line="360" w:lineRule="auto"/>
        <w:ind w:left="0" w:firstLine="699"/>
        <w:jc w:val="both"/>
        <w:rPr>
          <w:spacing w:val="0"/>
        </w:rPr>
      </w:pPr>
      <w:r w:rsidRPr="002C6FFD">
        <w:rPr>
          <w:spacing w:val="0"/>
        </w:rPr>
        <w:t>Выполнение одностороннего биопсийного исследования подвздошной кости считался достаточным в большинстве случаев при множественной миеломе и хронических миелопролиферативных заболеваниях.</w:t>
      </w:r>
    </w:p>
    <w:p w14:paraId="603FD7AC" w14:textId="77777777" w:rsidR="000E123F" w:rsidRPr="002C6FFD" w:rsidRDefault="000E123F" w:rsidP="000E123F">
      <w:pPr>
        <w:ind w:firstLine="699"/>
      </w:pPr>
      <w:r w:rsidRPr="002C6FFD">
        <w:t xml:space="preserve">В настоящее время, с учетом применения в диагностике и стадировании лимфом позитронно-эмиссионной томографии (ПЭТ), с возможностью оценки ПЭТ-позитивного вовлечения костной ткани, указывающего на наличие поражения костного мозга, билатеральная биопсия при лимфомах, возможно, будет выполняться реже. </w:t>
      </w:r>
    </w:p>
    <w:p w14:paraId="0C41BB54" w14:textId="77777777" w:rsidR="000E123F" w:rsidRDefault="000E123F" w:rsidP="000E123F">
      <w:pPr>
        <w:pStyle w:val="2"/>
        <w:spacing w:before="0"/>
        <w:rPr>
          <w:rFonts w:eastAsia="Arial Unicode MS"/>
        </w:rPr>
      </w:pPr>
    </w:p>
    <w:p w14:paraId="50BC30D3" w14:textId="77777777" w:rsidR="000E123F" w:rsidRPr="008E213C" w:rsidRDefault="000E123F" w:rsidP="000E123F">
      <w:pPr>
        <w:rPr>
          <w:b/>
          <w:i/>
          <w:iCs/>
          <w:u w:val="single"/>
          <w:shd w:val="clear" w:color="auto" w:fill="FFFFFF"/>
        </w:rPr>
      </w:pPr>
      <w:r w:rsidRPr="008E213C">
        <w:rPr>
          <w:i/>
          <w:iCs/>
          <w:u w:val="single"/>
          <w:shd w:val="clear" w:color="auto" w:fill="FFFFFF"/>
        </w:rPr>
        <w:t>Необходимая документация</w:t>
      </w:r>
    </w:p>
    <w:p w14:paraId="5EA9E80A" w14:textId="77777777" w:rsidR="000E123F" w:rsidRPr="002C6FFD" w:rsidRDefault="000E123F" w:rsidP="000E123F">
      <w:pPr>
        <w:pStyle w:val="Normal11"/>
        <w:spacing w:before="0" w:line="360" w:lineRule="auto"/>
        <w:ind w:firstLine="699"/>
        <w:jc w:val="both"/>
        <w:rPr>
          <w:color w:val="212121"/>
          <w:spacing w:val="0"/>
        </w:rPr>
      </w:pPr>
      <w:r w:rsidRPr="002C6FFD">
        <w:rPr>
          <w:spacing w:val="0"/>
        </w:rPr>
        <w:t>Перед началом выполнения процедуры пациенту (доверенному лицу или опекуну) врач объясняет показания для ее выполнения, ожидаемые результаты и возможные осложнения</w:t>
      </w:r>
      <w:r w:rsidRPr="002C6FFD">
        <w:rPr>
          <w:color w:val="212121"/>
          <w:spacing w:val="0"/>
        </w:rPr>
        <w:t xml:space="preserve"> и риски (включая риск инфицирования, кровотечения, болевого синдрома, образования рубцов и вероятность получения неинформативного материала)</w:t>
      </w:r>
      <w:r w:rsidRPr="002C6FFD">
        <w:rPr>
          <w:spacing w:val="0"/>
        </w:rPr>
        <w:t xml:space="preserve">, отвечает на возникающие у больного вопросы. После этого пациент (доверенное лицо или опекун) подписывает информированное согласие, которое прилагается к медицинской документации и протоколу выполнения процедуры. </w:t>
      </w:r>
      <w:r w:rsidRPr="002C6FFD">
        <w:rPr>
          <w:color w:val="212121"/>
          <w:spacing w:val="0"/>
        </w:rPr>
        <w:t xml:space="preserve">Факт выполнения процедуры фиксируется в процедурном журнале за подписью врача, выполнявшего процедуру с указанием даты, времени, вида и </w:t>
      </w:r>
      <w:r w:rsidRPr="002C6FFD">
        <w:rPr>
          <w:spacing w:val="0"/>
        </w:rPr>
        <w:t xml:space="preserve">локуса </w:t>
      </w:r>
      <w:r w:rsidRPr="002C6FFD">
        <w:rPr>
          <w:color w:val="212121"/>
          <w:spacing w:val="0"/>
        </w:rPr>
        <w:t>биопсийного исследования и возникших осложнений процедуры.</w:t>
      </w:r>
    </w:p>
    <w:p w14:paraId="3737BC39" w14:textId="77777777" w:rsidR="000E123F" w:rsidRDefault="000E123F" w:rsidP="000E123F">
      <w:pPr>
        <w:pStyle w:val="2"/>
        <w:spacing w:before="0"/>
        <w:rPr>
          <w:rFonts w:eastAsia="Arial Unicode MS"/>
        </w:rPr>
      </w:pPr>
    </w:p>
    <w:p w14:paraId="703CA275" w14:textId="16885432" w:rsidR="000E123F" w:rsidRPr="008E213C" w:rsidRDefault="000E123F" w:rsidP="000E123F">
      <w:pPr>
        <w:rPr>
          <w:b/>
          <w:i/>
          <w:iCs/>
          <w:u w:val="single"/>
          <w:shd w:val="clear" w:color="auto" w:fill="FFFFFF"/>
        </w:rPr>
      </w:pPr>
      <w:r w:rsidRPr="008E213C">
        <w:rPr>
          <w:i/>
          <w:iCs/>
          <w:u w:val="single"/>
          <w:shd w:val="clear" w:color="auto" w:fill="FFFFFF"/>
        </w:rPr>
        <w:t xml:space="preserve">Техника выполнения пункции (аспирации) костного мозга из грудины (стернальной пункции) </w:t>
      </w:r>
      <w:r w:rsidRPr="008E213C">
        <w:rPr>
          <w:b/>
          <w:i/>
          <w:iCs/>
          <w:u w:val="single"/>
          <w:shd w:val="clear" w:color="auto" w:fill="FFFFFF"/>
        </w:rPr>
        <w:fldChar w:fldCharType="begin" w:fldLock="1"/>
      </w:r>
      <w:r w:rsidR="00953640">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[205]","plainTextFormattedCitation":"[205]","previouslyFormattedCitation":"[205]"},"properties":{"noteIndex":0},"schema":"https://github.com/citation-style-language/schema/raw/master/csl-citation.json"}</w:instrText>
      </w:r>
      <w:r w:rsidRPr="008E213C">
        <w:rPr>
          <w:b/>
          <w:i/>
          <w:iCs/>
          <w:u w:val="single"/>
          <w:shd w:val="clear" w:color="auto" w:fill="FFFFFF"/>
        </w:rPr>
        <w:fldChar w:fldCharType="separate"/>
      </w:r>
      <w:r w:rsidRPr="000E123F">
        <w:rPr>
          <w:iCs/>
          <w:noProof/>
          <w:shd w:val="clear" w:color="auto" w:fill="FFFFFF"/>
        </w:rPr>
        <w:t>[205]</w:t>
      </w:r>
      <w:r w:rsidRPr="008E213C">
        <w:rPr>
          <w:b/>
          <w:i/>
          <w:iCs/>
          <w:u w:val="single"/>
          <w:shd w:val="clear" w:color="auto" w:fill="FFFFFF"/>
        </w:rPr>
        <w:fldChar w:fldCharType="end"/>
      </w:r>
    </w:p>
    <w:p w14:paraId="613154D8" w14:textId="77777777" w:rsidR="000E123F" w:rsidRPr="002C6FFD" w:rsidRDefault="000E123F" w:rsidP="00077D58">
      <w:pPr>
        <w:pStyle w:val="Number1"/>
        <w:numPr>
          <w:ilvl w:val="0"/>
          <w:numId w:val="158"/>
        </w:numPr>
        <w:overflowPunct/>
        <w:autoSpaceDE/>
        <w:autoSpaceDN/>
        <w:adjustRightInd/>
        <w:spacing w:before="0" w:line="360" w:lineRule="auto"/>
        <w:jc w:val="both"/>
        <w:textAlignment w:val="auto"/>
        <w:rPr>
          <w:spacing w:val="0"/>
        </w:rPr>
      </w:pPr>
      <w:r w:rsidRPr="002C6FFD">
        <w:rPr>
          <w:spacing w:val="0"/>
          <w:shd w:val="clear" w:color="auto" w:fill="FFFFFF"/>
        </w:rPr>
        <w:t xml:space="preserve">Врач перед началом выполнения процедуры обязательно выясняет наличие и вид аллергических реакций на лекарственные средства, включая анестетики, перечень принимаемых больным препаратов (антикоагулянты и антиагреганты), наличие сопутствующих заболеваний, остеопороза. При невозможности выполнения </w:t>
      </w:r>
      <w:r w:rsidRPr="002C6FFD">
        <w:rPr>
          <w:spacing w:val="0"/>
          <w:shd w:val="clear" w:color="auto" w:fill="FFFFFF"/>
        </w:rPr>
        <w:lastRenderedPageBreak/>
        <w:t xml:space="preserve">местной анестезии, пункция может быть выполнена как без анестезии, так и под общей анестезией. </w:t>
      </w:r>
    </w:p>
    <w:p w14:paraId="3C90C380" w14:textId="77777777" w:rsidR="000E123F" w:rsidRPr="002C6FFD" w:rsidRDefault="000E123F" w:rsidP="00077D58">
      <w:pPr>
        <w:pStyle w:val="Number1"/>
        <w:numPr>
          <w:ilvl w:val="0"/>
          <w:numId w:val="158"/>
        </w:numPr>
        <w:overflowPunct/>
        <w:autoSpaceDE/>
        <w:autoSpaceDN/>
        <w:adjustRightInd/>
        <w:spacing w:before="0" w:line="360" w:lineRule="auto"/>
        <w:jc w:val="both"/>
        <w:textAlignment w:val="auto"/>
        <w:rPr>
          <w:spacing w:val="0"/>
        </w:rPr>
      </w:pPr>
      <w:r w:rsidRPr="002C6FFD">
        <w:rPr>
          <w:spacing w:val="0"/>
          <w:shd w:val="clear" w:color="auto" w:fill="FFFFFF"/>
        </w:rPr>
        <w:t xml:space="preserve">Тромбоцитопения не является противопоказанием для проведения пункции костного мозга, однако при наличии развернутого геморрагического синдрома желательно предварительно выполнить заместительные трансфузии тромбоконцентратов и, при необходимости, свежезамороженной плазмы и/или криопреципитата. </w:t>
      </w:r>
    </w:p>
    <w:p w14:paraId="18A8E7F5" w14:textId="77777777" w:rsidR="000E123F" w:rsidRPr="002C6FFD" w:rsidRDefault="000E123F" w:rsidP="00077D58">
      <w:pPr>
        <w:pStyle w:val="Number1"/>
        <w:numPr>
          <w:ilvl w:val="0"/>
          <w:numId w:val="158"/>
        </w:numPr>
        <w:overflowPunct/>
        <w:autoSpaceDE/>
        <w:autoSpaceDN/>
        <w:adjustRightInd/>
        <w:spacing w:before="0" w:line="360" w:lineRule="auto"/>
        <w:jc w:val="both"/>
        <w:textAlignment w:val="auto"/>
        <w:rPr>
          <w:spacing w:val="0"/>
        </w:rPr>
      </w:pPr>
      <w:r w:rsidRPr="002C6FFD">
        <w:rPr>
          <w:spacing w:val="0"/>
        </w:rPr>
        <w:t xml:space="preserve">Аспирация костного мозга может выполняться из </w:t>
      </w:r>
      <w:r w:rsidRPr="002C6FFD">
        <w:rPr>
          <w:spacing w:val="0"/>
          <w:shd w:val="clear" w:color="auto" w:fill="FFFFFF"/>
        </w:rPr>
        <w:t>области рукоятки грудины или тела грудины на уровне III—IV ребра, избегая область сочленения рукоятки и тела грудины (</w:t>
      </w:r>
      <w:r w:rsidRPr="002C6FFD">
        <w:rPr>
          <w:spacing w:val="0"/>
        </w:rPr>
        <w:t>по методу Аринкина</w:t>
      </w:r>
      <w:r w:rsidRPr="002C6FFD">
        <w:rPr>
          <w:spacing w:val="0"/>
          <w:shd w:val="clear" w:color="auto" w:fill="FFFFFF"/>
        </w:rPr>
        <w:t>), или из гребня подвздошной кости</w:t>
      </w:r>
      <w:r w:rsidRPr="002C6FFD">
        <w:rPr>
          <w:spacing w:val="0"/>
        </w:rPr>
        <w:t xml:space="preserve">. </w:t>
      </w:r>
    </w:p>
    <w:p w14:paraId="22D76F68" w14:textId="77777777" w:rsidR="000E123F" w:rsidRPr="002C6FFD" w:rsidRDefault="000E123F" w:rsidP="00077D58">
      <w:pPr>
        <w:pStyle w:val="Number1"/>
        <w:numPr>
          <w:ilvl w:val="0"/>
          <w:numId w:val="158"/>
        </w:numPr>
        <w:overflowPunct/>
        <w:autoSpaceDE/>
        <w:autoSpaceDN/>
        <w:adjustRightInd/>
        <w:spacing w:before="0" w:line="360" w:lineRule="auto"/>
        <w:jc w:val="both"/>
        <w:textAlignment w:val="auto"/>
        <w:rPr>
          <w:color w:val="212121"/>
          <w:spacing w:val="0"/>
        </w:rPr>
      </w:pPr>
      <w:r w:rsidRPr="002C6FFD">
        <w:rPr>
          <w:spacing w:val="0"/>
        </w:rPr>
        <w:t>При выполнении стернальной пункции (по методу Аринкина) больного укладывают на манипуляционный стол на спину.</w:t>
      </w:r>
      <w:r w:rsidRPr="002C6FFD">
        <w:rPr>
          <w:spacing w:val="0"/>
          <w:shd w:val="clear" w:color="auto" w:fill="FFFFFF"/>
        </w:rPr>
        <w:t xml:space="preserve"> Для облегчения выполнения процедуры можно приподнять грудную клетку, поместив под лопатки больного валик.</w:t>
      </w:r>
    </w:p>
    <w:p w14:paraId="3DD9B49C" w14:textId="77777777" w:rsidR="000E123F" w:rsidRPr="002C6FFD" w:rsidRDefault="000E123F" w:rsidP="00077D58">
      <w:pPr>
        <w:pStyle w:val="Number1"/>
        <w:numPr>
          <w:ilvl w:val="0"/>
          <w:numId w:val="158"/>
        </w:numPr>
        <w:overflowPunct/>
        <w:autoSpaceDE/>
        <w:autoSpaceDN/>
        <w:adjustRightInd/>
        <w:spacing w:before="0" w:line="360" w:lineRule="auto"/>
        <w:jc w:val="both"/>
        <w:textAlignment w:val="auto"/>
        <w:rPr>
          <w:spacing w:val="0"/>
        </w:rPr>
      </w:pPr>
      <w:r w:rsidRPr="002C6FFD">
        <w:rPr>
          <w:spacing w:val="0"/>
        </w:rPr>
        <w:t xml:space="preserve">При применении инфильтрационной анестезии выполняется обезболивание кожи («лимонная корочка») с дальнейшей послойной инфильтративной анестезией вплоть до надкостницы и под надкостницу — </w:t>
      </w:r>
      <w:r w:rsidRPr="002C6FFD">
        <w:rPr>
          <w:color w:val="212121"/>
          <w:spacing w:val="0"/>
          <w:shd w:val="clear" w:color="auto" w:fill="FFFFFF"/>
        </w:rPr>
        <w:t>2,0% раствором лидокаина или 0,25—0,5% раствором новокаина</w:t>
      </w:r>
      <w:r w:rsidRPr="002C6FFD">
        <w:rPr>
          <w:spacing w:val="0"/>
        </w:rPr>
        <w:t xml:space="preserve"> (анестетик выбирается с учетом аллергологического анамнеза) 1,0—2,0 мл. Использование 10% лидокаина недопустимо для местной анестезии в виду возможности некротизирования тканей. </w:t>
      </w:r>
    </w:p>
    <w:p w14:paraId="63F2979E" w14:textId="77777777" w:rsidR="000E123F" w:rsidRPr="002C6FFD" w:rsidRDefault="000E123F" w:rsidP="00077D58">
      <w:pPr>
        <w:pStyle w:val="Number1"/>
        <w:numPr>
          <w:ilvl w:val="0"/>
          <w:numId w:val="158"/>
        </w:numPr>
        <w:overflowPunct/>
        <w:autoSpaceDE/>
        <w:autoSpaceDN/>
        <w:adjustRightInd/>
        <w:spacing w:before="0" w:line="360" w:lineRule="auto"/>
        <w:jc w:val="both"/>
        <w:textAlignment w:val="auto"/>
        <w:rPr>
          <w:color w:val="222222"/>
          <w:spacing w:val="0"/>
        </w:rPr>
      </w:pPr>
      <w:r w:rsidRPr="002C6FFD">
        <w:rPr>
          <w:spacing w:val="0"/>
        </w:rPr>
        <w:t xml:space="preserve">Пункция костного мозга выполняется иглой Кассирского или иглой сходной с ней конструкции. </w:t>
      </w:r>
    </w:p>
    <w:p w14:paraId="6CAF6528" w14:textId="77777777" w:rsidR="000E123F" w:rsidRPr="002C6FFD" w:rsidRDefault="000E123F" w:rsidP="00077D58">
      <w:pPr>
        <w:pStyle w:val="Number1"/>
        <w:numPr>
          <w:ilvl w:val="0"/>
          <w:numId w:val="158"/>
        </w:numPr>
        <w:overflowPunct/>
        <w:autoSpaceDE/>
        <w:autoSpaceDN/>
        <w:adjustRightInd/>
        <w:spacing w:before="0" w:line="360" w:lineRule="auto"/>
        <w:jc w:val="both"/>
        <w:textAlignment w:val="auto"/>
        <w:rPr>
          <w:color w:val="222222"/>
          <w:spacing w:val="0"/>
        </w:rPr>
      </w:pPr>
      <w:r w:rsidRPr="002C6FFD">
        <w:rPr>
          <w:spacing w:val="0"/>
        </w:rPr>
        <w:t xml:space="preserve">Ограничитель </w:t>
      </w:r>
      <w:r w:rsidRPr="002C6FFD">
        <w:rPr>
          <w:color w:val="222222"/>
          <w:spacing w:val="0"/>
        </w:rPr>
        <w:t xml:space="preserve">устанавливается с учетом </w:t>
      </w:r>
      <w:r w:rsidRPr="002C6FFD">
        <w:rPr>
          <w:spacing w:val="0"/>
        </w:rPr>
        <w:t xml:space="preserve">возраста, выраженности подкожно-жировой клетчатки пациента из расчета, </w:t>
      </w:r>
      <w:r w:rsidRPr="002C6FFD">
        <w:rPr>
          <w:color w:val="222222"/>
          <w:spacing w:val="0"/>
        </w:rPr>
        <w:t>чтобы игла, пройдя мягкие ткани, продвинулась на 5 мм</w:t>
      </w:r>
      <w:r w:rsidRPr="002C6FFD">
        <w:rPr>
          <w:spacing w:val="0"/>
        </w:rPr>
        <w:t xml:space="preserve">. </w:t>
      </w:r>
      <w:r w:rsidRPr="002C6FFD">
        <w:rPr>
          <w:color w:val="222222"/>
          <w:spacing w:val="0"/>
        </w:rPr>
        <w:t xml:space="preserve">При этом конец иглы, проколов наружную пластинку грудины, окажется в полости грудины. </w:t>
      </w:r>
    </w:p>
    <w:p w14:paraId="1FC8AACA" w14:textId="77777777" w:rsidR="000E123F" w:rsidRPr="002C6FFD" w:rsidRDefault="000E123F" w:rsidP="00077D58">
      <w:pPr>
        <w:pStyle w:val="Number1"/>
        <w:numPr>
          <w:ilvl w:val="0"/>
          <w:numId w:val="158"/>
        </w:numPr>
        <w:overflowPunct/>
        <w:autoSpaceDE/>
        <w:autoSpaceDN/>
        <w:adjustRightInd/>
        <w:spacing w:before="0" w:line="360" w:lineRule="auto"/>
        <w:jc w:val="both"/>
        <w:textAlignment w:val="auto"/>
        <w:rPr>
          <w:color w:val="222222"/>
          <w:spacing w:val="0"/>
        </w:rPr>
      </w:pPr>
      <w:r w:rsidRPr="002C6FFD">
        <w:rPr>
          <w:spacing w:val="0"/>
          <w:shd w:val="clear" w:color="auto" w:fill="FFFFFF"/>
        </w:rPr>
        <w:t xml:space="preserve">Игла направляется перпендикулярно поверхности кости и вкалывается быстрым и четким движением на уровне одного из межреберий (I—III). </w:t>
      </w:r>
      <w:r w:rsidRPr="002C6FFD">
        <w:rPr>
          <w:color w:val="222222"/>
          <w:spacing w:val="0"/>
        </w:rPr>
        <w:t>Это момент ощущается врачом как «провал».</w:t>
      </w:r>
    </w:p>
    <w:p w14:paraId="704CD994" w14:textId="77777777" w:rsidR="000E123F" w:rsidRPr="002C6FFD" w:rsidRDefault="000E123F" w:rsidP="00077D58">
      <w:pPr>
        <w:pStyle w:val="Number1"/>
        <w:numPr>
          <w:ilvl w:val="0"/>
          <w:numId w:val="158"/>
        </w:numPr>
        <w:overflowPunct/>
        <w:autoSpaceDE/>
        <w:autoSpaceDN/>
        <w:adjustRightInd/>
        <w:spacing w:before="0" w:line="360" w:lineRule="auto"/>
        <w:jc w:val="both"/>
        <w:textAlignment w:val="auto"/>
        <w:rPr>
          <w:color w:val="222222"/>
          <w:spacing w:val="0"/>
        </w:rPr>
      </w:pPr>
      <w:r w:rsidRPr="002C6FFD">
        <w:rPr>
          <w:spacing w:val="0"/>
          <w:shd w:val="clear" w:color="auto" w:fill="FFFFFF"/>
        </w:rPr>
        <w:t xml:space="preserve">Игла должна быть неподвижно фиксирована в грудине. </w:t>
      </w:r>
    </w:p>
    <w:p w14:paraId="4F43E692" w14:textId="77777777" w:rsidR="000E123F" w:rsidRPr="002C6FFD" w:rsidRDefault="000E123F" w:rsidP="00077D58">
      <w:pPr>
        <w:pStyle w:val="Number1"/>
        <w:numPr>
          <w:ilvl w:val="0"/>
          <w:numId w:val="158"/>
        </w:numPr>
        <w:overflowPunct/>
        <w:autoSpaceDE/>
        <w:autoSpaceDN/>
        <w:adjustRightInd/>
        <w:spacing w:before="0" w:line="360" w:lineRule="auto"/>
        <w:jc w:val="both"/>
        <w:textAlignment w:val="auto"/>
        <w:rPr>
          <w:color w:val="222222"/>
          <w:spacing w:val="0"/>
        </w:rPr>
      </w:pPr>
      <w:r w:rsidRPr="002C6FFD">
        <w:rPr>
          <w:color w:val="222222"/>
          <w:spacing w:val="0"/>
        </w:rPr>
        <w:t xml:space="preserve">После извлечения мандрена к игле присоединяют шприц и производят аспирацию костного мозга. </w:t>
      </w:r>
    </w:p>
    <w:p w14:paraId="7AF146C7" w14:textId="77777777" w:rsidR="000E123F" w:rsidRPr="002C6FFD" w:rsidRDefault="000E123F" w:rsidP="00077D58">
      <w:pPr>
        <w:pStyle w:val="Number1"/>
        <w:numPr>
          <w:ilvl w:val="0"/>
          <w:numId w:val="158"/>
        </w:numPr>
        <w:overflowPunct/>
        <w:autoSpaceDE/>
        <w:autoSpaceDN/>
        <w:adjustRightInd/>
        <w:spacing w:before="0" w:line="360" w:lineRule="auto"/>
        <w:jc w:val="both"/>
        <w:textAlignment w:val="auto"/>
        <w:rPr>
          <w:color w:val="222222"/>
          <w:spacing w:val="0"/>
        </w:rPr>
      </w:pPr>
      <w:r w:rsidRPr="002C6FFD">
        <w:rPr>
          <w:color w:val="222222"/>
          <w:spacing w:val="0"/>
        </w:rPr>
        <w:t>Из полученного пунктата готовят мазки и направляют материал на различные исследования.</w:t>
      </w:r>
    </w:p>
    <w:p w14:paraId="15353509" w14:textId="77777777" w:rsidR="000E123F" w:rsidRDefault="000E123F" w:rsidP="00077D58">
      <w:pPr>
        <w:pStyle w:val="Number1"/>
        <w:numPr>
          <w:ilvl w:val="0"/>
          <w:numId w:val="158"/>
        </w:numPr>
        <w:overflowPunct/>
        <w:autoSpaceDE/>
        <w:autoSpaceDN/>
        <w:adjustRightInd/>
        <w:spacing w:before="0" w:line="360" w:lineRule="auto"/>
        <w:jc w:val="both"/>
        <w:textAlignment w:val="auto"/>
        <w:rPr>
          <w:color w:val="222222"/>
          <w:spacing w:val="0"/>
        </w:rPr>
      </w:pPr>
      <w:r w:rsidRPr="002C6FFD">
        <w:rPr>
          <w:color w:val="222222"/>
          <w:spacing w:val="0"/>
        </w:rPr>
        <w:t>Первые 0,5 мл костномозговой взвеси используют для приготовления мазков, которые направляются на:</w:t>
      </w:r>
    </w:p>
    <w:p w14:paraId="35404DBF" w14:textId="77777777" w:rsidR="000E123F" w:rsidRPr="002C6FFD" w:rsidRDefault="000E123F" w:rsidP="00077D58">
      <w:pPr>
        <w:pStyle w:val="Number1"/>
        <w:numPr>
          <w:ilvl w:val="1"/>
          <w:numId w:val="158"/>
        </w:numPr>
        <w:overflowPunct/>
        <w:autoSpaceDE/>
        <w:autoSpaceDN/>
        <w:adjustRightInd/>
        <w:spacing w:before="0" w:line="360" w:lineRule="auto"/>
        <w:jc w:val="both"/>
        <w:textAlignment w:val="auto"/>
        <w:rPr>
          <w:color w:val="222222"/>
          <w:spacing w:val="0"/>
        </w:rPr>
      </w:pPr>
      <w:r w:rsidRPr="002C6FFD">
        <w:rPr>
          <w:spacing w:val="0"/>
        </w:rPr>
        <w:lastRenderedPageBreak/>
        <w:t>цитологическое исследование;</w:t>
      </w:r>
    </w:p>
    <w:p w14:paraId="7EF36A0E" w14:textId="77777777" w:rsidR="000E123F" w:rsidRDefault="000E123F" w:rsidP="00077D58">
      <w:pPr>
        <w:pStyle w:val="Number1"/>
        <w:numPr>
          <w:ilvl w:val="1"/>
          <w:numId w:val="158"/>
        </w:numPr>
        <w:overflowPunct/>
        <w:autoSpaceDE/>
        <w:autoSpaceDN/>
        <w:adjustRightInd/>
        <w:spacing w:before="0" w:line="360" w:lineRule="auto"/>
        <w:jc w:val="both"/>
        <w:textAlignment w:val="auto"/>
        <w:rPr>
          <w:color w:val="222222"/>
          <w:spacing w:val="0"/>
        </w:rPr>
      </w:pPr>
      <w:r w:rsidRPr="002C6FFD">
        <w:rPr>
          <w:spacing w:val="0"/>
        </w:rPr>
        <w:t>цитохимическое исследование.</w:t>
      </w:r>
    </w:p>
    <w:p w14:paraId="5B389AD6" w14:textId="77777777" w:rsidR="000E123F" w:rsidRPr="002C6FFD" w:rsidRDefault="000E123F" w:rsidP="00077D58">
      <w:pPr>
        <w:pStyle w:val="Number1"/>
        <w:numPr>
          <w:ilvl w:val="0"/>
          <w:numId w:val="158"/>
        </w:numPr>
        <w:overflowPunct/>
        <w:autoSpaceDE/>
        <w:autoSpaceDN/>
        <w:adjustRightInd/>
        <w:spacing w:before="0" w:line="360" w:lineRule="auto"/>
        <w:jc w:val="both"/>
        <w:textAlignment w:val="auto"/>
        <w:rPr>
          <w:color w:val="222222"/>
          <w:spacing w:val="0"/>
        </w:rPr>
      </w:pPr>
      <w:r w:rsidRPr="002C6FFD">
        <w:rPr>
          <w:spacing w:val="0"/>
        </w:rPr>
        <w:t>При необходимости остальную костномозговую взвесь помещают</w:t>
      </w:r>
      <w:r>
        <w:rPr>
          <w:spacing w:val="0"/>
        </w:rPr>
        <w:t>:</w:t>
      </w:r>
      <w:r w:rsidRPr="002C6FFD">
        <w:rPr>
          <w:spacing w:val="0"/>
        </w:rPr>
        <w:t xml:space="preserve"> </w:t>
      </w:r>
    </w:p>
    <w:p w14:paraId="2598F868" w14:textId="77777777" w:rsidR="000E123F" w:rsidRPr="002C6FFD" w:rsidRDefault="000E123F" w:rsidP="00077D58">
      <w:pPr>
        <w:pStyle w:val="Number1"/>
        <w:numPr>
          <w:ilvl w:val="1"/>
          <w:numId w:val="158"/>
        </w:numPr>
        <w:overflowPunct/>
        <w:autoSpaceDE/>
        <w:autoSpaceDN/>
        <w:adjustRightInd/>
        <w:spacing w:before="0" w:line="360" w:lineRule="auto"/>
        <w:jc w:val="both"/>
        <w:textAlignment w:val="auto"/>
        <w:rPr>
          <w:color w:val="222222"/>
          <w:spacing w:val="0"/>
        </w:rPr>
      </w:pPr>
      <w:r w:rsidRPr="002C6FFD">
        <w:rPr>
          <w:spacing w:val="0"/>
        </w:rPr>
        <w:t>в пробирки с консервантом ЭДТА для проведения исследований:</w:t>
      </w:r>
    </w:p>
    <w:p w14:paraId="787E8080" w14:textId="77777777" w:rsidR="000E123F" w:rsidRPr="002C6FFD" w:rsidRDefault="000E123F" w:rsidP="00077D58">
      <w:pPr>
        <w:pStyle w:val="Number1"/>
        <w:numPr>
          <w:ilvl w:val="2"/>
          <w:numId w:val="158"/>
        </w:numPr>
        <w:overflowPunct/>
        <w:autoSpaceDE/>
        <w:autoSpaceDN/>
        <w:adjustRightInd/>
        <w:spacing w:before="0" w:line="360" w:lineRule="auto"/>
        <w:jc w:val="both"/>
        <w:textAlignment w:val="auto"/>
        <w:rPr>
          <w:color w:val="222222"/>
          <w:spacing w:val="0"/>
        </w:rPr>
      </w:pPr>
      <w:r w:rsidRPr="002C6FFD">
        <w:rPr>
          <w:spacing w:val="0"/>
        </w:rPr>
        <w:t>иммунофенотипическое исследование;</w:t>
      </w:r>
    </w:p>
    <w:p w14:paraId="28149CB9" w14:textId="77777777" w:rsidR="000E123F" w:rsidRDefault="000E123F" w:rsidP="00077D58">
      <w:pPr>
        <w:pStyle w:val="Number1"/>
        <w:numPr>
          <w:ilvl w:val="2"/>
          <w:numId w:val="158"/>
        </w:numPr>
        <w:overflowPunct/>
        <w:autoSpaceDE/>
        <w:autoSpaceDN/>
        <w:adjustRightInd/>
        <w:spacing w:before="0" w:line="360" w:lineRule="auto"/>
        <w:jc w:val="both"/>
        <w:textAlignment w:val="auto"/>
        <w:rPr>
          <w:color w:val="222222"/>
          <w:spacing w:val="0"/>
        </w:rPr>
      </w:pPr>
      <w:r w:rsidRPr="002C6FFD">
        <w:rPr>
          <w:spacing w:val="0"/>
        </w:rPr>
        <w:t>молекулярное исследование (методом ПЦР).</w:t>
      </w:r>
    </w:p>
    <w:p w14:paraId="39CD202D" w14:textId="77777777" w:rsidR="000E123F" w:rsidRPr="002C6FFD" w:rsidRDefault="000E123F" w:rsidP="00077D58">
      <w:pPr>
        <w:pStyle w:val="Number1"/>
        <w:numPr>
          <w:ilvl w:val="1"/>
          <w:numId w:val="158"/>
        </w:numPr>
        <w:overflowPunct/>
        <w:autoSpaceDE/>
        <w:autoSpaceDN/>
        <w:adjustRightInd/>
        <w:spacing w:before="0" w:line="360" w:lineRule="auto"/>
        <w:jc w:val="both"/>
        <w:textAlignment w:val="auto"/>
        <w:rPr>
          <w:color w:val="222222"/>
          <w:spacing w:val="0"/>
        </w:rPr>
      </w:pPr>
      <w:r w:rsidRPr="002C6FFD">
        <w:rPr>
          <w:spacing w:val="0"/>
        </w:rPr>
        <w:t>в пробирки с литиевой солью гепарина для цитогенетического (кариологического) исследования.</w:t>
      </w:r>
    </w:p>
    <w:p w14:paraId="0D583651" w14:textId="77777777" w:rsidR="000E123F" w:rsidRPr="002C6FFD" w:rsidRDefault="000E123F" w:rsidP="00077D58">
      <w:pPr>
        <w:pStyle w:val="Number1"/>
        <w:numPr>
          <w:ilvl w:val="0"/>
          <w:numId w:val="158"/>
        </w:numPr>
        <w:overflowPunct/>
        <w:autoSpaceDE/>
        <w:autoSpaceDN/>
        <w:adjustRightInd/>
        <w:spacing w:before="0" w:line="360" w:lineRule="auto"/>
        <w:jc w:val="both"/>
        <w:textAlignment w:val="auto"/>
        <w:rPr>
          <w:spacing w:val="0"/>
        </w:rPr>
      </w:pPr>
      <w:r w:rsidRPr="002C6FFD">
        <w:rPr>
          <w:spacing w:val="0"/>
        </w:rPr>
        <w:t>После окончания процедуры аспирации иглу извлекают из грудины и на место пункции накладывают асептическую повязку.</w:t>
      </w:r>
    </w:p>
    <w:p w14:paraId="0C287E59" w14:textId="77777777" w:rsidR="000E123F" w:rsidRPr="002C6FFD" w:rsidRDefault="000E123F" w:rsidP="00077D58">
      <w:pPr>
        <w:pStyle w:val="Number1"/>
        <w:numPr>
          <w:ilvl w:val="0"/>
          <w:numId w:val="158"/>
        </w:numPr>
        <w:overflowPunct/>
        <w:autoSpaceDE/>
        <w:autoSpaceDN/>
        <w:adjustRightInd/>
        <w:spacing w:before="0" w:line="360" w:lineRule="auto"/>
        <w:jc w:val="both"/>
        <w:textAlignment w:val="auto"/>
        <w:rPr>
          <w:spacing w:val="0"/>
        </w:rPr>
      </w:pPr>
      <w:r w:rsidRPr="002C6FFD">
        <w:rPr>
          <w:spacing w:val="0"/>
        </w:rPr>
        <w:t xml:space="preserve">Возможно приготовление гистологического препарата из аспирата костного мозга («крошка») – это так называемый clot (сверток, сгусток) аспирата, содержащий частицы костного мозга. Сформировавшийся сгусток помещают в 10% раствор формалина и направляют на гистологическое исследование, которое может быть выполнено в более короткие сроки, чем исследование трепанобиоптата, поскольку не требует выполнения декальцинации кости. </w:t>
      </w:r>
    </w:p>
    <w:p w14:paraId="0883C34C" w14:textId="77777777" w:rsidR="000E123F" w:rsidRDefault="000E123F" w:rsidP="000E123F">
      <w:pPr>
        <w:pStyle w:val="2"/>
        <w:spacing w:before="0"/>
        <w:rPr>
          <w:rFonts w:eastAsia="Arial Unicode MS"/>
        </w:rPr>
      </w:pPr>
    </w:p>
    <w:p w14:paraId="41E7FF78" w14:textId="7509D3EB" w:rsidR="000E123F" w:rsidRPr="008E213C" w:rsidRDefault="000E123F" w:rsidP="000E123F">
      <w:pPr>
        <w:rPr>
          <w:b/>
          <w:i/>
          <w:iCs/>
          <w:u w:val="single"/>
          <w:shd w:val="clear" w:color="auto" w:fill="FFFFFF"/>
        </w:rPr>
      </w:pPr>
      <w:r w:rsidRPr="008E213C">
        <w:rPr>
          <w:i/>
          <w:iCs/>
          <w:u w:val="single"/>
          <w:shd w:val="clear" w:color="auto" w:fill="FFFFFF"/>
        </w:rPr>
        <w:t xml:space="preserve">Техника выполнения процедуры трепанобиопсии костного мозга </w:t>
      </w:r>
      <w:r w:rsidRPr="008E213C">
        <w:rPr>
          <w:b/>
          <w:i/>
          <w:iCs/>
          <w:u w:val="single"/>
          <w:shd w:val="clear" w:color="auto" w:fill="FFFFFF"/>
        </w:rPr>
        <w:fldChar w:fldCharType="begin" w:fldLock="1"/>
      </w:r>
      <w:r w:rsidR="00953640">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[205]","plainTextFormattedCitation":"[205]","previouslyFormattedCitation":"[205]"},"properties":{"noteIndex":0},"schema":"https://github.com/citation-style-language/schema/raw/master/csl-citation.json"}</w:instrText>
      </w:r>
      <w:r w:rsidRPr="008E213C">
        <w:rPr>
          <w:b/>
          <w:i/>
          <w:iCs/>
          <w:u w:val="single"/>
          <w:shd w:val="clear" w:color="auto" w:fill="FFFFFF"/>
        </w:rPr>
        <w:fldChar w:fldCharType="separate"/>
      </w:r>
      <w:r w:rsidRPr="000E123F">
        <w:rPr>
          <w:iCs/>
          <w:noProof/>
          <w:shd w:val="clear" w:color="auto" w:fill="FFFFFF"/>
        </w:rPr>
        <w:t>[205]</w:t>
      </w:r>
      <w:r w:rsidRPr="008E213C">
        <w:rPr>
          <w:b/>
          <w:i/>
          <w:iCs/>
          <w:u w:val="single"/>
          <w:shd w:val="clear" w:color="auto" w:fill="FFFFFF"/>
        </w:rPr>
        <w:fldChar w:fldCharType="end"/>
      </w:r>
    </w:p>
    <w:p w14:paraId="7C4075A8" w14:textId="77777777" w:rsidR="000E123F" w:rsidRPr="002C6FFD" w:rsidRDefault="000E123F" w:rsidP="00077D58">
      <w:pPr>
        <w:pStyle w:val="Number1"/>
        <w:numPr>
          <w:ilvl w:val="0"/>
          <w:numId w:val="159"/>
        </w:numPr>
        <w:overflowPunct/>
        <w:autoSpaceDE/>
        <w:autoSpaceDN/>
        <w:adjustRightInd/>
        <w:spacing w:before="0" w:line="360" w:lineRule="auto"/>
        <w:jc w:val="both"/>
        <w:textAlignment w:val="auto"/>
        <w:rPr>
          <w:spacing w:val="0"/>
        </w:rPr>
      </w:pPr>
      <w:r w:rsidRPr="002C6FFD">
        <w:rPr>
          <w:spacing w:val="0"/>
        </w:rPr>
        <w:t xml:space="preserve">Во время проведения процедуры врач должен комментировать все свои действия и предупреждать пациента обо всех ощущениях, которые могут ее сопровождать. </w:t>
      </w:r>
    </w:p>
    <w:p w14:paraId="4FEEB0C8" w14:textId="77777777" w:rsidR="000E123F" w:rsidRPr="002C6FFD" w:rsidRDefault="000E123F" w:rsidP="00077D58">
      <w:pPr>
        <w:pStyle w:val="Number1"/>
        <w:numPr>
          <w:ilvl w:val="0"/>
          <w:numId w:val="159"/>
        </w:numPr>
        <w:overflowPunct/>
        <w:autoSpaceDE/>
        <w:autoSpaceDN/>
        <w:adjustRightInd/>
        <w:spacing w:before="0" w:line="360" w:lineRule="auto"/>
        <w:jc w:val="both"/>
        <w:textAlignment w:val="auto"/>
        <w:rPr>
          <w:spacing w:val="0"/>
        </w:rPr>
      </w:pPr>
      <w:r w:rsidRPr="002C6FFD">
        <w:rPr>
          <w:color w:val="252525"/>
          <w:spacing w:val="0"/>
          <w:shd w:val="clear" w:color="auto" w:fill="FFFFFF"/>
        </w:rPr>
        <w:t>Врач перед началом выполнения процедуры обязательно выясняет наличие и вид аллергических реакций на лекарственные средства, включая анестетики, перечень принимаемых препаратов (антикоагулянты и антиагреганты), наличие сопутствующих заболеваний, остеопороза. При невозможности выполнения местной анестезии, трепанобиопсия может быть выполнена под общей анестезией.</w:t>
      </w:r>
    </w:p>
    <w:p w14:paraId="1300C126" w14:textId="77777777" w:rsidR="000E123F" w:rsidRPr="002C6FFD" w:rsidRDefault="000E123F" w:rsidP="00077D58">
      <w:pPr>
        <w:pStyle w:val="Number1"/>
        <w:numPr>
          <w:ilvl w:val="0"/>
          <w:numId w:val="159"/>
        </w:numPr>
        <w:overflowPunct/>
        <w:autoSpaceDE/>
        <w:autoSpaceDN/>
        <w:adjustRightInd/>
        <w:spacing w:before="0" w:line="360" w:lineRule="auto"/>
        <w:jc w:val="both"/>
        <w:textAlignment w:val="auto"/>
        <w:rPr>
          <w:spacing w:val="0"/>
        </w:rPr>
      </w:pPr>
      <w:r w:rsidRPr="002C6FFD">
        <w:rPr>
          <w:color w:val="252525"/>
          <w:spacing w:val="0"/>
          <w:shd w:val="clear" w:color="auto" w:fill="FFFFFF"/>
        </w:rPr>
        <w:t xml:space="preserve">При наличии тромбоцитопении, коагулологических нарушений и геморрагического синдрома перед началом процедуры необходимо выполнить трансфузии тромбоконцентратов и скорректировать коагулологические нарушения трансфузиями СЗП и/или криопреципитата. </w:t>
      </w:r>
    </w:p>
    <w:p w14:paraId="1EFE9624" w14:textId="77777777" w:rsidR="000E123F" w:rsidRPr="002C6FFD" w:rsidRDefault="000E123F" w:rsidP="00077D58">
      <w:pPr>
        <w:pStyle w:val="Number1"/>
        <w:numPr>
          <w:ilvl w:val="0"/>
          <w:numId w:val="159"/>
        </w:numPr>
        <w:overflowPunct/>
        <w:autoSpaceDE/>
        <w:autoSpaceDN/>
        <w:adjustRightInd/>
        <w:spacing w:before="0" w:line="360" w:lineRule="auto"/>
        <w:jc w:val="both"/>
        <w:textAlignment w:val="auto"/>
        <w:rPr>
          <w:spacing w:val="0"/>
        </w:rPr>
      </w:pPr>
      <w:r w:rsidRPr="002C6FFD">
        <w:rPr>
          <w:color w:val="212121"/>
          <w:spacing w:val="0"/>
        </w:rPr>
        <w:t xml:space="preserve">Трепанобиопсия костного мозга </w:t>
      </w:r>
      <w:r w:rsidRPr="002C6FFD">
        <w:rPr>
          <w:spacing w:val="0"/>
        </w:rPr>
        <w:t xml:space="preserve">выполняется иглой Jamshidi — цилиндрической иглой длиной не более 15 см, дистальная часть которой имеет коническое сужение наружного контура и внутренней полости. Игла заканчивается остро заточенным срезом. Внутрь иглы помещается стилет-обтуратор, имеющий срез, плоскость которого совпадает со срезом иглы Jamshidi. </w:t>
      </w:r>
    </w:p>
    <w:p w14:paraId="27D2938F" w14:textId="77777777" w:rsidR="000E123F" w:rsidRPr="002C6FFD" w:rsidRDefault="000E123F" w:rsidP="00077D58">
      <w:pPr>
        <w:pStyle w:val="Number1"/>
        <w:numPr>
          <w:ilvl w:val="0"/>
          <w:numId w:val="159"/>
        </w:numPr>
        <w:overflowPunct/>
        <w:autoSpaceDE/>
        <w:autoSpaceDN/>
        <w:adjustRightInd/>
        <w:spacing w:before="0" w:line="360" w:lineRule="auto"/>
        <w:jc w:val="both"/>
        <w:textAlignment w:val="auto"/>
        <w:rPr>
          <w:spacing w:val="0"/>
        </w:rPr>
      </w:pPr>
      <w:r w:rsidRPr="002C6FFD">
        <w:rPr>
          <w:spacing w:val="0"/>
        </w:rPr>
        <w:lastRenderedPageBreak/>
        <w:t>Трепанобиопсию проводят в области задней верхней ости правой и/или левой подвздошных костей (spina iliaca posterior superior). В особых случаях (см. ниже) — в области передней верхней ости правой и/или левой подвздошных костей.</w:t>
      </w:r>
    </w:p>
    <w:p w14:paraId="54739C6E" w14:textId="77777777" w:rsidR="000E123F" w:rsidRDefault="000E123F" w:rsidP="00077D58">
      <w:pPr>
        <w:pStyle w:val="Number1"/>
        <w:numPr>
          <w:ilvl w:val="0"/>
          <w:numId w:val="159"/>
        </w:numPr>
        <w:overflowPunct/>
        <w:autoSpaceDE/>
        <w:autoSpaceDN/>
        <w:adjustRightInd/>
        <w:spacing w:before="0" w:line="360" w:lineRule="auto"/>
        <w:jc w:val="both"/>
        <w:textAlignment w:val="auto"/>
        <w:rPr>
          <w:spacing w:val="0"/>
        </w:rPr>
      </w:pPr>
      <w:r w:rsidRPr="002C6FFD">
        <w:rPr>
          <w:spacing w:val="0"/>
        </w:rPr>
        <w:t xml:space="preserve">Пациента располагают в одном из положений: </w:t>
      </w:r>
    </w:p>
    <w:p w14:paraId="72450CBD" w14:textId="77777777" w:rsidR="000E123F" w:rsidRDefault="000E123F" w:rsidP="00077D58">
      <w:pPr>
        <w:pStyle w:val="Number1"/>
        <w:numPr>
          <w:ilvl w:val="1"/>
          <w:numId w:val="159"/>
        </w:numPr>
        <w:overflowPunct/>
        <w:autoSpaceDE/>
        <w:autoSpaceDN/>
        <w:adjustRightInd/>
        <w:spacing w:before="0" w:line="360" w:lineRule="auto"/>
        <w:jc w:val="both"/>
        <w:textAlignment w:val="auto"/>
        <w:rPr>
          <w:spacing w:val="0"/>
        </w:rPr>
      </w:pPr>
      <w:r w:rsidRPr="002C6FFD">
        <w:rPr>
          <w:spacing w:val="0"/>
        </w:rPr>
        <w:t xml:space="preserve">лежа на животе; </w:t>
      </w:r>
    </w:p>
    <w:p w14:paraId="5E069443" w14:textId="77777777" w:rsidR="000E123F" w:rsidRDefault="000E123F" w:rsidP="00077D58">
      <w:pPr>
        <w:pStyle w:val="Number1"/>
        <w:numPr>
          <w:ilvl w:val="1"/>
          <w:numId w:val="159"/>
        </w:numPr>
        <w:overflowPunct/>
        <w:autoSpaceDE/>
        <w:autoSpaceDN/>
        <w:adjustRightInd/>
        <w:spacing w:before="0" w:line="360" w:lineRule="auto"/>
        <w:jc w:val="both"/>
        <w:textAlignment w:val="auto"/>
        <w:rPr>
          <w:spacing w:val="0"/>
        </w:rPr>
      </w:pPr>
      <w:r w:rsidRPr="002C6FFD">
        <w:rPr>
          <w:spacing w:val="0"/>
        </w:rPr>
        <w:t xml:space="preserve">сидя спиной к врачу, туловище несколько приведено к бедрам, для упора на колени можно положить подушку, ноги пациента стоят на скамейке; </w:t>
      </w:r>
    </w:p>
    <w:p w14:paraId="3D72B3DE" w14:textId="77777777" w:rsidR="000E123F" w:rsidRDefault="000E123F" w:rsidP="00077D58">
      <w:pPr>
        <w:pStyle w:val="Number1"/>
        <w:numPr>
          <w:ilvl w:val="1"/>
          <w:numId w:val="159"/>
        </w:numPr>
        <w:overflowPunct/>
        <w:autoSpaceDE/>
        <w:autoSpaceDN/>
        <w:adjustRightInd/>
        <w:spacing w:before="0" w:line="360" w:lineRule="auto"/>
        <w:jc w:val="both"/>
        <w:textAlignment w:val="auto"/>
        <w:rPr>
          <w:spacing w:val="0"/>
        </w:rPr>
      </w:pPr>
      <w:r w:rsidRPr="002C6FFD">
        <w:rPr>
          <w:spacing w:val="0"/>
        </w:rPr>
        <w:t>лежа на боку, ноги согнуты в коленях и приведены к груди, спина несколько согнута</w:t>
      </w:r>
      <w:r>
        <w:rPr>
          <w:spacing w:val="0"/>
        </w:rPr>
        <w:t>;</w:t>
      </w:r>
    </w:p>
    <w:p w14:paraId="746B2A34" w14:textId="77777777" w:rsidR="000E123F" w:rsidRPr="002C6FFD" w:rsidRDefault="000E123F" w:rsidP="00077D58">
      <w:pPr>
        <w:pStyle w:val="Number1"/>
        <w:numPr>
          <w:ilvl w:val="1"/>
          <w:numId w:val="159"/>
        </w:numPr>
        <w:overflowPunct/>
        <w:autoSpaceDE/>
        <w:autoSpaceDN/>
        <w:adjustRightInd/>
        <w:spacing w:before="0" w:line="360" w:lineRule="auto"/>
        <w:jc w:val="both"/>
        <w:textAlignment w:val="auto"/>
        <w:rPr>
          <w:spacing w:val="0"/>
        </w:rPr>
      </w:pPr>
      <w:r w:rsidRPr="002C6FFD">
        <w:rPr>
          <w:spacing w:val="0"/>
        </w:rPr>
        <w:t xml:space="preserve">в исключительных случаях (крайне тяжелое состояние пациента, искусственная вентиляция легких, поздние сроки беременности, ожирение и др.), когда ни одно из этих положений невозможно, манипуляцию выполняют в положении лежа на спине и трепанобиопсию проводят в переднюю верхнюю ость подвздошной кости. </w:t>
      </w:r>
    </w:p>
    <w:p w14:paraId="4E3F15EF" w14:textId="77777777" w:rsidR="000E123F" w:rsidRPr="002C6FFD" w:rsidRDefault="000E123F" w:rsidP="00077D58">
      <w:pPr>
        <w:pStyle w:val="Number1"/>
        <w:numPr>
          <w:ilvl w:val="0"/>
          <w:numId w:val="159"/>
        </w:numPr>
        <w:overflowPunct/>
        <w:autoSpaceDE/>
        <w:autoSpaceDN/>
        <w:adjustRightInd/>
        <w:spacing w:before="0" w:line="360" w:lineRule="auto"/>
        <w:jc w:val="both"/>
        <w:textAlignment w:val="auto"/>
        <w:rPr>
          <w:spacing w:val="0"/>
        </w:rPr>
      </w:pPr>
      <w:r w:rsidRPr="002C6FFD">
        <w:rPr>
          <w:spacing w:val="0"/>
        </w:rPr>
        <w:t xml:space="preserve">Чаще всего при выполнении трепанобиопсии пациент находится в сознании. </w:t>
      </w:r>
      <w:r w:rsidRPr="002C6FFD">
        <w:rPr>
          <w:spacing w:val="0"/>
          <w:shd w:val="clear" w:color="auto" w:fill="FFFFFF"/>
        </w:rPr>
        <w:t xml:space="preserve">При невозможности выполнения местной анестезии пункция может быть выполнена под общей анестезией. </w:t>
      </w:r>
      <w:r w:rsidRPr="002C6FFD">
        <w:rPr>
          <w:spacing w:val="0"/>
        </w:rPr>
        <w:t xml:space="preserve">В педиатрической практике манипуляцию проводят под наркозом. </w:t>
      </w:r>
    </w:p>
    <w:p w14:paraId="65395434" w14:textId="77777777" w:rsidR="000E123F" w:rsidRPr="002C6FFD" w:rsidRDefault="000E123F" w:rsidP="00077D58">
      <w:pPr>
        <w:pStyle w:val="Number1"/>
        <w:numPr>
          <w:ilvl w:val="0"/>
          <w:numId w:val="159"/>
        </w:numPr>
        <w:overflowPunct/>
        <w:autoSpaceDE/>
        <w:autoSpaceDN/>
        <w:adjustRightInd/>
        <w:spacing w:before="0" w:line="360" w:lineRule="auto"/>
        <w:jc w:val="both"/>
        <w:textAlignment w:val="auto"/>
        <w:rPr>
          <w:spacing w:val="0"/>
        </w:rPr>
      </w:pPr>
      <w:r w:rsidRPr="002C6FFD">
        <w:rPr>
          <w:spacing w:val="0"/>
        </w:rPr>
        <w:t xml:space="preserve">Пальпацией гребня задней верхней ости подвздошной кости и крестцово-подвздошного сочленения выполняется выбор места трепанобиопсии. </w:t>
      </w:r>
    </w:p>
    <w:p w14:paraId="63603BAF" w14:textId="77777777" w:rsidR="000E123F" w:rsidRPr="002C6FFD" w:rsidRDefault="000E123F" w:rsidP="00077D58">
      <w:pPr>
        <w:pStyle w:val="Number1"/>
        <w:numPr>
          <w:ilvl w:val="0"/>
          <w:numId w:val="159"/>
        </w:numPr>
        <w:overflowPunct/>
        <w:autoSpaceDE/>
        <w:autoSpaceDN/>
        <w:adjustRightInd/>
        <w:spacing w:before="0" w:line="360" w:lineRule="auto"/>
        <w:jc w:val="both"/>
        <w:textAlignment w:val="auto"/>
        <w:rPr>
          <w:spacing w:val="0"/>
        </w:rPr>
      </w:pPr>
      <w:r w:rsidRPr="002C6FFD">
        <w:rPr>
          <w:spacing w:val="0"/>
        </w:rPr>
        <w:t xml:space="preserve">Обработка кожи растворами антисептиков, как для оперативного вмешательства. </w:t>
      </w:r>
    </w:p>
    <w:p w14:paraId="7DDE9EE2" w14:textId="77777777" w:rsidR="000E123F" w:rsidRPr="002C6FFD" w:rsidRDefault="000E123F" w:rsidP="00077D58">
      <w:pPr>
        <w:pStyle w:val="Number1"/>
        <w:numPr>
          <w:ilvl w:val="0"/>
          <w:numId w:val="159"/>
        </w:numPr>
        <w:overflowPunct/>
        <w:autoSpaceDE/>
        <w:autoSpaceDN/>
        <w:adjustRightInd/>
        <w:spacing w:before="0" w:line="360" w:lineRule="auto"/>
        <w:jc w:val="both"/>
        <w:textAlignment w:val="auto"/>
        <w:rPr>
          <w:spacing w:val="0"/>
        </w:rPr>
      </w:pPr>
      <w:r w:rsidRPr="002C6FFD">
        <w:rPr>
          <w:spacing w:val="0"/>
        </w:rPr>
        <w:t xml:space="preserve">Обезболивание кожи («лимонная корочка») и далее послойная анестезия тканей вплоть до надкостницы и поднадкостнично — </w:t>
      </w:r>
      <w:r w:rsidRPr="002C6FFD">
        <w:rPr>
          <w:spacing w:val="0"/>
          <w:shd w:val="clear" w:color="auto" w:fill="FFFFFF"/>
        </w:rPr>
        <w:t>2% раствор лидокаина или 0,25—0,5% раствор новокаина</w:t>
      </w:r>
      <w:r w:rsidRPr="002C6FFD">
        <w:rPr>
          <w:spacing w:val="0"/>
        </w:rPr>
        <w:t xml:space="preserve"> (выбранным с учетом аллергологического анамнеза) 4,0—6,0 мл. Использование 10% лидокаина недопустимо для местной анестезии в виду возможности некротизирования тканей. </w:t>
      </w:r>
    </w:p>
    <w:p w14:paraId="60823D09" w14:textId="77777777" w:rsidR="000E123F" w:rsidRPr="002C6FFD" w:rsidRDefault="000E123F" w:rsidP="00077D58">
      <w:pPr>
        <w:pStyle w:val="Number1"/>
        <w:numPr>
          <w:ilvl w:val="0"/>
          <w:numId w:val="159"/>
        </w:numPr>
        <w:overflowPunct/>
        <w:autoSpaceDE/>
        <w:autoSpaceDN/>
        <w:adjustRightInd/>
        <w:spacing w:before="0" w:line="360" w:lineRule="auto"/>
        <w:jc w:val="both"/>
        <w:textAlignment w:val="auto"/>
        <w:rPr>
          <w:spacing w:val="0"/>
        </w:rPr>
      </w:pPr>
      <w:r w:rsidRPr="002C6FFD">
        <w:rPr>
          <w:spacing w:val="0"/>
        </w:rPr>
        <w:t xml:space="preserve">Анестезия наступает не ранее через 1 мин после инфильтрации надкостницы раствором анестетика. </w:t>
      </w:r>
    </w:p>
    <w:p w14:paraId="7F6C62B3" w14:textId="77777777" w:rsidR="000E123F" w:rsidRPr="002C6FFD" w:rsidRDefault="000E123F" w:rsidP="00077D58">
      <w:pPr>
        <w:pStyle w:val="Number1"/>
        <w:numPr>
          <w:ilvl w:val="0"/>
          <w:numId w:val="159"/>
        </w:numPr>
        <w:overflowPunct/>
        <w:autoSpaceDE/>
        <w:autoSpaceDN/>
        <w:adjustRightInd/>
        <w:spacing w:before="0" w:line="360" w:lineRule="auto"/>
        <w:jc w:val="both"/>
        <w:textAlignment w:val="auto"/>
        <w:rPr>
          <w:spacing w:val="0"/>
        </w:rPr>
      </w:pPr>
      <w:r w:rsidRPr="002C6FFD">
        <w:rPr>
          <w:spacing w:val="0"/>
        </w:rPr>
        <w:t xml:space="preserve">Выполняют разрез кожи длиной около 3 мм скальпелем с узким лезвием, однако возможно прохождение кожи и тканей до надкостницы иглой для трепанобиопсии с вставленным стилетом-обтуратором без выполнения кожного разреза. </w:t>
      </w:r>
    </w:p>
    <w:p w14:paraId="7C136476" w14:textId="77777777" w:rsidR="000E123F" w:rsidRPr="002C6FFD" w:rsidRDefault="000E123F" w:rsidP="00077D58">
      <w:pPr>
        <w:pStyle w:val="Number1"/>
        <w:numPr>
          <w:ilvl w:val="0"/>
          <w:numId w:val="159"/>
        </w:numPr>
        <w:overflowPunct/>
        <w:autoSpaceDE/>
        <w:autoSpaceDN/>
        <w:adjustRightInd/>
        <w:spacing w:before="0" w:line="360" w:lineRule="auto"/>
        <w:jc w:val="both"/>
        <w:textAlignment w:val="auto"/>
        <w:rPr>
          <w:spacing w:val="0"/>
        </w:rPr>
      </w:pPr>
      <w:r w:rsidRPr="002C6FFD">
        <w:rPr>
          <w:spacing w:val="0"/>
        </w:rPr>
        <w:t xml:space="preserve">Через кожный разрез / прокол вводят иглу Jamshidi со стилетом-обтуратором, зафиксированным внутри иглы, и продвигают сквозь мягкие ткани до надкостницы. Игла вращательно-поступательными движениями с некоторым усилием должна быть направлена с небольшим отклонением латерально и кзади. Одноразовые иглы </w:t>
      </w:r>
      <w:r w:rsidRPr="002C6FFD">
        <w:rPr>
          <w:spacing w:val="0"/>
        </w:rPr>
        <w:lastRenderedPageBreak/>
        <w:t>исключительно острые и не требуют прикладывания усилий. Вращательные движения вокруг оси иглы должны совершаться попеременно по и против часовой стрелки не более чем на 120</w:t>
      </w:r>
      <w:r w:rsidRPr="002C6FFD">
        <w:rPr>
          <w:color w:val="auto"/>
          <w:spacing w:val="0"/>
        </w:rPr>
        <w:sym w:font="Symbol" w:char="F0B0"/>
      </w:r>
      <w:r w:rsidRPr="002C6FFD">
        <w:rPr>
          <w:spacing w:val="0"/>
        </w:rPr>
        <w:t xml:space="preserve"> в ту и другую сторону. Проникновение через кортикальную пластинку воспринимается врачом как ощущение «провала» в ткань меньшей плотности. </w:t>
      </w:r>
    </w:p>
    <w:p w14:paraId="0F01F164" w14:textId="77777777" w:rsidR="000E123F" w:rsidRPr="002C6FFD" w:rsidRDefault="000E123F" w:rsidP="00077D58">
      <w:pPr>
        <w:pStyle w:val="Number1"/>
        <w:numPr>
          <w:ilvl w:val="0"/>
          <w:numId w:val="159"/>
        </w:numPr>
        <w:overflowPunct/>
        <w:autoSpaceDE/>
        <w:autoSpaceDN/>
        <w:adjustRightInd/>
        <w:spacing w:before="0" w:line="360" w:lineRule="auto"/>
        <w:jc w:val="both"/>
        <w:textAlignment w:val="auto"/>
        <w:rPr>
          <w:spacing w:val="0"/>
        </w:rPr>
      </w:pPr>
      <w:r w:rsidRPr="002C6FFD">
        <w:rPr>
          <w:spacing w:val="0"/>
        </w:rPr>
        <w:t xml:space="preserve">После того как кортикальная пластинка пройдена, вынимается из иглы Jamshidi стилет-обтуратор и вращательно-поступательным движением углубляется в кость на 3—4 см. Продвижение иглы Jamshidi в толще губчатой кости может сопровождаться для больного неприятными ощущениями с иррадиацией в бедро, о чем необходимо предупредить пациента. </w:t>
      </w:r>
    </w:p>
    <w:p w14:paraId="589639CE" w14:textId="77777777" w:rsidR="000E123F" w:rsidRPr="002C6FFD" w:rsidRDefault="000E123F" w:rsidP="00077D58">
      <w:pPr>
        <w:pStyle w:val="Number1"/>
        <w:numPr>
          <w:ilvl w:val="0"/>
          <w:numId w:val="159"/>
        </w:numPr>
        <w:overflowPunct/>
        <w:autoSpaceDE/>
        <w:autoSpaceDN/>
        <w:adjustRightInd/>
        <w:spacing w:before="0" w:line="360" w:lineRule="auto"/>
        <w:jc w:val="both"/>
        <w:textAlignment w:val="auto"/>
        <w:rPr>
          <w:spacing w:val="0"/>
        </w:rPr>
      </w:pPr>
      <w:r w:rsidRPr="002C6FFD">
        <w:rPr>
          <w:spacing w:val="0"/>
        </w:rPr>
        <w:t xml:space="preserve">Для отделения от костного массива столбика, вырезанного иглой и находящегося в ее просвете, его основание необходимо «подрезать». Чтобы это сделать, нужно несколько раз повернуть иглу в одном и другом направлении вокруг оси. Далее иглу медленно извлекают вращательно-поступательными движениями. </w:t>
      </w:r>
    </w:p>
    <w:p w14:paraId="163481AF" w14:textId="77777777" w:rsidR="000E123F" w:rsidRPr="002C6FFD" w:rsidRDefault="000E123F" w:rsidP="00077D58">
      <w:pPr>
        <w:pStyle w:val="Number1"/>
        <w:numPr>
          <w:ilvl w:val="0"/>
          <w:numId w:val="159"/>
        </w:numPr>
        <w:overflowPunct/>
        <w:autoSpaceDE/>
        <w:autoSpaceDN/>
        <w:adjustRightInd/>
        <w:spacing w:before="0" w:line="360" w:lineRule="auto"/>
        <w:jc w:val="both"/>
        <w:textAlignment w:val="auto"/>
        <w:rPr>
          <w:spacing w:val="0"/>
        </w:rPr>
      </w:pPr>
      <w:r w:rsidRPr="002C6FFD">
        <w:rPr>
          <w:spacing w:val="0"/>
        </w:rPr>
        <w:t xml:space="preserve">После извлечения иглы стержнем-толкателем трепанобиоптат длиной 3—4 см (из передней верхней ости подвздошной кости) и более, иногда до 5–6 см (из задней верхней ости подвздошной кости)  выталкивается в обратном направлении от острия к рукоятке, то есть через отверстие рукоятки инструмента. </w:t>
      </w:r>
    </w:p>
    <w:p w14:paraId="775FD4FD" w14:textId="77777777" w:rsidR="000E123F" w:rsidRPr="002C6FFD" w:rsidRDefault="000E123F" w:rsidP="00077D58">
      <w:pPr>
        <w:pStyle w:val="Number1"/>
        <w:numPr>
          <w:ilvl w:val="0"/>
          <w:numId w:val="159"/>
        </w:numPr>
        <w:overflowPunct/>
        <w:autoSpaceDE/>
        <w:autoSpaceDN/>
        <w:adjustRightInd/>
        <w:spacing w:before="0" w:line="360" w:lineRule="auto"/>
        <w:jc w:val="both"/>
        <w:textAlignment w:val="auto"/>
        <w:rPr>
          <w:spacing w:val="0"/>
        </w:rPr>
      </w:pPr>
      <w:r w:rsidRPr="002C6FFD">
        <w:rPr>
          <w:spacing w:val="0"/>
        </w:rPr>
        <w:t xml:space="preserve">После выполнения трепанобиопсии через этот же кожный разрез можно получить аспират костного мозга, пропунктировав заднюю верхнюю ость подвздошной кости в стороне от трепанационного отверстия. Практически все иглы для трепанобиопсии костного мозга имеют со стороны рукоятки коническую втулку, которая позволяет присоединить шприц для создания разрежения в просвете иглы и аспирации костного мозга. Пользоваться иглой Jamshidi для аспирации не очень удобно, лучше применять специальные, более тонкие и короткие иглы. Для этого необходимо через уже существующий разрез кожи пройти аспирационной иглой до кости и, сместив иглу вместе с мягкими тканями, снова выполнить пункцию кортикальной пластинки на некотором удалении (1,5 см) от первого сделанного отверстия, после чего аспирировать костный мозг для исследований, как указано выше. </w:t>
      </w:r>
    </w:p>
    <w:p w14:paraId="327AD384" w14:textId="77777777" w:rsidR="000E123F" w:rsidRPr="002C6FFD" w:rsidRDefault="000E123F" w:rsidP="00077D58">
      <w:pPr>
        <w:pStyle w:val="Number1"/>
        <w:numPr>
          <w:ilvl w:val="0"/>
          <w:numId w:val="159"/>
        </w:numPr>
        <w:overflowPunct/>
        <w:autoSpaceDE/>
        <w:autoSpaceDN/>
        <w:adjustRightInd/>
        <w:spacing w:before="0" w:line="360" w:lineRule="auto"/>
        <w:jc w:val="both"/>
        <w:textAlignment w:val="auto"/>
        <w:rPr>
          <w:spacing w:val="0"/>
        </w:rPr>
      </w:pPr>
      <w:r w:rsidRPr="002C6FFD">
        <w:rPr>
          <w:spacing w:val="0"/>
        </w:rPr>
        <w:t xml:space="preserve">В случае невозможности получения аспирата костного мозга выполняют отпечатки трепанобиоптата методом «прокатывания» столбика между двумя предметными стеклами. </w:t>
      </w:r>
    </w:p>
    <w:p w14:paraId="2D112E1F" w14:textId="77777777" w:rsidR="000E123F" w:rsidRPr="002C6FFD" w:rsidRDefault="000E123F" w:rsidP="00077D58">
      <w:pPr>
        <w:pStyle w:val="Number1"/>
        <w:numPr>
          <w:ilvl w:val="0"/>
          <w:numId w:val="159"/>
        </w:numPr>
        <w:overflowPunct/>
        <w:autoSpaceDE/>
        <w:autoSpaceDN/>
        <w:adjustRightInd/>
        <w:spacing w:before="0" w:line="360" w:lineRule="auto"/>
        <w:jc w:val="both"/>
        <w:textAlignment w:val="auto"/>
        <w:rPr>
          <w:spacing w:val="0"/>
        </w:rPr>
      </w:pPr>
      <w:r w:rsidRPr="002C6FFD">
        <w:rPr>
          <w:spacing w:val="0"/>
        </w:rPr>
        <w:t>Столбик трепанобиоптата помещают в емкость с физиологическим раствором или 10% раствором формалина и направляют в лабораторию на гистологическое и, при необходимости, иммуногистохимическое исследования.</w:t>
      </w:r>
    </w:p>
    <w:p w14:paraId="07231376" w14:textId="77777777" w:rsidR="000E123F" w:rsidRPr="002C6FFD" w:rsidRDefault="000E123F" w:rsidP="00077D58">
      <w:pPr>
        <w:pStyle w:val="Number1"/>
        <w:numPr>
          <w:ilvl w:val="0"/>
          <w:numId w:val="159"/>
        </w:numPr>
        <w:overflowPunct/>
        <w:autoSpaceDE/>
        <w:autoSpaceDN/>
        <w:adjustRightInd/>
        <w:spacing w:before="0" w:line="360" w:lineRule="auto"/>
        <w:jc w:val="both"/>
        <w:textAlignment w:val="auto"/>
        <w:rPr>
          <w:spacing w:val="0"/>
        </w:rPr>
      </w:pPr>
      <w:r w:rsidRPr="002C6FFD">
        <w:rPr>
          <w:spacing w:val="0"/>
        </w:rPr>
        <w:lastRenderedPageBreak/>
        <w:t xml:space="preserve">По окончании манипуляции на кожу накладывают асептическую повязку (наклейку), рекомендуется приложить хладоэлемент на 10-15мин во избежание образования гематомы. </w:t>
      </w:r>
    </w:p>
    <w:p w14:paraId="67AE522F" w14:textId="77777777" w:rsidR="000E123F" w:rsidRPr="002C6FFD" w:rsidRDefault="000E123F" w:rsidP="00077D58">
      <w:pPr>
        <w:pStyle w:val="Number1"/>
        <w:numPr>
          <w:ilvl w:val="0"/>
          <w:numId w:val="159"/>
        </w:numPr>
        <w:overflowPunct/>
        <w:autoSpaceDE/>
        <w:autoSpaceDN/>
        <w:adjustRightInd/>
        <w:spacing w:before="0" w:line="360" w:lineRule="auto"/>
        <w:jc w:val="both"/>
        <w:textAlignment w:val="auto"/>
        <w:rPr>
          <w:spacing w:val="0"/>
        </w:rPr>
      </w:pPr>
      <w:r w:rsidRPr="002C6FFD">
        <w:rPr>
          <w:spacing w:val="0"/>
        </w:rPr>
        <w:t xml:space="preserve">Пациент должен провести под наблюдением медицинского персонала 2—3 часа после процедуры. </w:t>
      </w:r>
    </w:p>
    <w:p w14:paraId="2593B762" w14:textId="77777777" w:rsidR="000E123F" w:rsidRPr="002C6FFD" w:rsidRDefault="000E123F" w:rsidP="00077D58">
      <w:pPr>
        <w:pStyle w:val="Number1"/>
        <w:numPr>
          <w:ilvl w:val="0"/>
          <w:numId w:val="159"/>
        </w:numPr>
        <w:overflowPunct/>
        <w:autoSpaceDE/>
        <w:autoSpaceDN/>
        <w:adjustRightInd/>
        <w:spacing w:before="0" w:line="360" w:lineRule="auto"/>
        <w:jc w:val="both"/>
        <w:textAlignment w:val="auto"/>
        <w:rPr>
          <w:spacing w:val="0"/>
        </w:rPr>
      </w:pPr>
      <w:r w:rsidRPr="002C6FFD">
        <w:rPr>
          <w:spacing w:val="0"/>
        </w:rPr>
        <w:t>В первые сутки после выполнения трепанобиопсии больному необходимо избегать физических нагрузок и выполнения работ, связанных с повышенным вниманием (в том числе управление автотранспортным средством). Повязку необходимо сохранять в течение 1-2 суток, при необходимости осуществляется замена повязки с обработкой кожи вокруг места биопсии антисептиками. При гигиенических процедурах пациент должен избегать намокания повязки.</w:t>
      </w:r>
    </w:p>
    <w:p w14:paraId="2EEEEA11" w14:textId="77777777" w:rsidR="000E123F" w:rsidRPr="002C6FFD" w:rsidRDefault="000E123F" w:rsidP="00077D58">
      <w:pPr>
        <w:pStyle w:val="Number1"/>
        <w:numPr>
          <w:ilvl w:val="0"/>
          <w:numId w:val="159"/>
        </w:numPr>
        <w:overflowPunct/>
        <w:autoSpaceDE/>
        <w:autoSpaceDN/>
        <w:adjustRightInd/>
        <w:spacing w:before="0" w:line="360" w:lineRule="auto"/>
        <w:jc w:val="both"/>
        <w:textAlignment w:val="auto"/>
        <w:rPr>
          <w:color w:val="auto"/>
          <w:spacing w:val="0"/>
        </w:rPr>
      </w:pPr>
      <w:r w:rsidRPr="002C6FFD">
        <w:rPr>
          <w:spacing w:val="0"/>
        </w:rPr>
        <w:t>На следующий день после выполнения манипуляции медицинскому персоналу необходимо проконтролировать состояние пациента (</w:t>
      </w:r>
      <w:r w:rsidRPr="002C6FFD">
        <w:rPr>
          <w:color w:val="auto"/>
          <w:spacing w:val="0"/>
        </w:rPr>
        <w:t xml:space="preserve">при выполнении манипуляции в амбулаторных условиях - возможно по телефону). </w:t>
      </w:r>
    </w:p>
    <w:p w14:paraId="1E96623F" w14:textId="77777777" w:rsidR="000E123F" w:rsidRPr="00F30696" w:rsidRDefault="000E123F" w:rsidP="000E123F"/>
    <w:p w14:paraId="3343E6C6" w14:textId="7198CAEB" w:rsidR="00C1789B" w:rsidRPr="0038078F" w:rsidRDefault="00722E18" w:rsidP="0007206A">
      <w:pPr>
        <w:pStyle w:val="2"/>
        <w:spacing w:before="0"/>
      </w:pPr>
      <w:bookmarkStart w:id="123" w:name="_Toc66096868"/>
      <w:r w:rsidRPr="000322E4">
        <w:t>Приложение А3.</w:t>
      </w:r>
      <w:r>
        <w:t xml:space="preserve">10. </w:t>
      </w:r>
      <w:r w:rsidR="00C1789B" w:rsidRPr="00B611F7">
        <w:rPr>
          <w:bCs/>
        </w:rPr>
        <w:t xml:space="preserve">Протокол выполнения спиномозговой (люмбальной) </w:t>
      </w:r>
      <w:r w:rsidR="00C1789B" w:rsidRPr="0038078F">
        <w:rPr>
          <w:bCs/>
        </w:rPr>
        <w:t>пункции у гематологических пациентов</w:t>
      </w:r>
      <w:bookmarkEnd w:id="123"/>
    </w:p>
    <w:p w14:paraId="44306179" w14:textId="77777777" w:rsidR="00C1789B" w:rsidRPr="0038078F" w:rsidRDefault="00C1789B" w:rsidP="0007206A">
      <w:pPr>
        <w:ind w:firstLine="709"/>
        <w:rPr>
          <w:b/>
          <w:color w:val="000000" w:themeColor="text1"/>
        </w:rPr>
      </w:pPr>
      <w:r w:rsidRPr="0038078F">
        <w:t xml:space="preserve">Спинномозговая пункция (люмбальная пункция, ЛП) у гематологических пациентов проводится как планово, в рамках протоколов лечения острых лейкозов и агрессивных лимфом, так и экстренно – при возникновении клинических ситуаций, требующих исключения поражения центральной нервной системы. ЛП рекомендуется выполнять после применения методов нейровизуализации (КТ и/или МРТ головного мозга), особенно в диагностических случаях. КТ и/или МРТ головного мозга выполняется с целью выявления изменений головного мозга, признаков внутричерепной гипертензии (например, расширенный третий желудочек) и избежать дислокации/вклинения мозга при выполнении манипуляции. </w:t>
      </w:r>
      <w:r w:rsidRPr="0038078F">
        <w:rPr>
          <w:iCs/>
        </w:rPr>
        <w:t>ЛП не рекомендуется выполнять по дежурству, в ночное время, если отсутствует необходимая лабораторная служба – диагностическая ценность ЛП в условиях, когда нельзя полноценно исследовать ликвор, мала.</w:t>
      </w:r>
    </w:p>
    <w:p w14:paraId="0F182C49" w14:textId="77777777" w:rsidR="00C1789B" w:rsidRPr="0038078F" w:rsidRDefault="00C1789B" w:rsidP="0007206A">
      <w:pPr>
        <w:pStyle w:val="2"/>
        <w:spacing w:before="0"/>
        <w:ind w:firstLine="0"/>
      </w:pPr>
    </w:p>
    <w:p w14:paraId="2D67B161" w14:textId="496D0DF0" w:rsidR="00C1789B" w:rsidRPr="0038078F" w:rsidRDefault="00C1789B" w:rsidP="0007206A">
      <w:pPr>
        <w:rPr>
          <w:b/>
          <w:bCs/>
          <w:i/>
          <w:iCs/>
          <w:u w:val="single"/>
        </w:rPr>
      </w:pPr>
      <w:r w:rsidRPr="0038078F">
        <w:rPr>
          <w:i/>
          <w:iCs/>
          <w:u w:val="single"/>
        </w:rPr>
        <w:t xml:space="preserve">Проведение спинномозговой (люмбальной) пункции (ЛП) </w:t>
      </w:r>
      <w:r w:rsidRPr="0038078F">
        <w:rPr>
          <w:b/>
          <w:bCs/>
          <w:i/>
          <w:iCs/>
          <w:u w:val="single"/>
        </w:rPr>
        <w:fldChar w:fldCharType="begin" w:fldLock="1"/>
      </w:r>
      <w:r w:rsidR="00872B84">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[207]","plainTextFormattedCitation":"[207]","previouslyFormattedCitation":"[207]"},"properties":{"noteIndex":0},"schema":"https://github.com/citation-style-language/schema/raw/master/csl-citation.json"}</w:instrText>
      </w:r>
      <w:r w:rsidRPr="0038078F">
        <w:rPr>
          <w:b/>
          <w:bCs/>
          <w:i/>
          <w:iCs/>
          <w:u w:val="single"/>
        </w:rPr>
        <w:fldChar w:fldCharType="separate"/>
      </w:r>
      <w:r w:rsidR="00953640" w:rsidRPr="0038078F">
        <w:rPr>
          <w:iCs/>
          <w:noProof/>
        </w:rPr>
        <w:t>[207]</w:t>
      </w:r>
      <w:r w:rsidRPr="0038078F">
        <w:rPr>
          <w:b/>
          <w:bCs/>
          <w:i/>
          <w:iCs/>
          <w:u w:val="single"/>
        </w:rPr>
        <w:fldChar w:fldCharType="end"/>
      </w:r>
    </w:p>
    <w:p w14:paraId="7E0CAD4D" w14:textId="77777777" w:rsidR="00C1789B" w:rsidRPr="0038078F" w:rsidRDefault="00C1789B" w:rsidP="0007206A">
      <w:pPr>
        <w:ind w:firstLine="708"/>
        <w:rPr>
          <w:b/>
          <w:bCs/>
          <w:u w:val="single"/>
        </w:rPr>
      </w:pPr>
      <w:r w:rsidRPr="0038078F">
        <w:rPr>
          <w:u w:val="single"/>
        </w:rPr>
        <w:t>Показания:</w:t>
      </w:r>
    </w:p>
    <w:p w14:paraId="476165B9" w14:textId="77777777" w:rsidR="00C1789B" w:rsidRPr="0038078F" w:rsidRDefault="00C1789B" w:rsidP="0007206A">
      <w:pPr>
        <w:pStyle w:val="FitzBullet"/>
        <w:widowControl w:val="0"/>
        <w:numPr>
          <w:ilvl w:val="0"/>
          <w:numId w:val="161"/>
        </w:numPr>
        <w:spacing w:before="0" w:after="0" w:line="360" w:lineRule="auto"/>
        <w:jc w:val="both"/>
      </w:pPr>
      <w:r w:rsidRPr="0038078F">
        <w:t>Диагностическая ЛП по протоколу</w:t>
      </w:r>
    </w:p>
    <w:p w14:paraId="7E8842B2" w14:textId="77777777" w:rsidR="00C1789B" w:rsidRPr="0038078F" w:rsidRDefault="00C1789B" w:rsidP="0007206A">
      <w:pPr>
        <w:pStyle w:val="FitzBullet"/>
        <w:widowControl w:val="0"/>
        <w:numPr>
          <w:ilvl w:val="0"/>
          <w:numId w:val="161"/>
        </w:numPr>
        <w:spacing w:before="0" w:after="0" w:line="360" w:lineRule="auto"/>
        <w:jc w:val="both"/>
      </w:pPr>
      <w:r w:rsidRPr="0038078F">
        <w:t>Подозрение на нейролейкемию.</w:t>
      </w:r>
    </w:p>
    <w:p w14:paraId="4C73945C" w14:textId="77777777" w:rsidR="00C1789B" w:rsidRPr="0038078F" w:rsidRDefault="00C1789B" w:rsidP="0007206A">
      <w:pPr>
        <w:pStyle w:val="FitzBullet"/>
        <w:widowControl w:val="0"/>
        <w:numPr>
          <w:ilvl w:val="0"/>
          <w:numId w:val="161"/>
        </w:numPr>
        <w:spacing w:before="0" w:after="0" w:line="360" w:lineRule="auto"/>
        <w:jc w:val="both"/>
      </w:pPr>
      <w:r w:rsidRPr="0038078F">
        <w:t>Лечение нейролейкемии по протоколу.</w:t>
      </w:r>
    </w:p>
    <w:p w14:paraId="090F6444" w14:textId="77777777" w:rsidR="00C1789B" w:rsidRPr="0038078F" w:rsidRDefault="00C1789B" w:rsidP="0007206A">
      <w:pPr>
        <w:pStyle w:val="FitzBullet"/>
        <w:widowControl w:val="0"/>
        <w:numPr>
          <w:ilvl w:val="0"/>
          <w:numId w:val="161"/>
        </w:numPr>
        <w:spacing w:before="0" w:after="0" w:line="360" w:lineRule="auto"/>
        <w:jc w:val="both"/>
      </w:pPr>
      <w:r w:rsidRPr="0038078F">
        <w:t>Подозрение на нейроинфекцию (вирусную, бактериальную, грибковую).</w:t>
      </w:r>
    </w:p>
    <w:p w14:paraId="2E864C30" w14:textId="77777777" w:rsidR="00C1789B" w:rsidRPr="0038078F" w:rsidRDefault="00C1789B" w:rsidP="0007206A">
      <w:pPr>
        <w:pStyle w:val="FitzBullet"/>
        <w:widowControl w:val="0"/>
        <w:numPr>
          <w:ilvl w:val="0"/>
          <w:numId w:val="161"/>
        </w:numPr>
        <w:spacing w:before="0" w:after="0" w:line="360" w:lineRule="auto"/>
        <w:jc w:val="both"/>
      </w:pPr>
      <w:r w:rsidRPr="0038078F">
        <w:lastRenderedPageBreak/>
        <w:t>Подозрение на субарахноидальное кровоизлияние (ЛП должна быть выполнена, если имеется подозрение, но данные магнитно-резонансной томографии (МРТ) или спиральная компъютерная томография (СКТ) головного мозга отрицательные)</w:t>
      </w:r>
    </w:p>
    <w:p w14:paraId="71258BDA" w14:textId="77777777" w:rsidR="00C1789B" w:rsidRPr="0038078F" w:rsidRDefault="00C1789B" w:rsidP="0007206A">
      <w:pPr>
        <w:pStyle w:val="FitzBullet"/>
        <w:widowControl w:val="0"/>
        <w:numPr>
          <w:ilvl w:val="0"/>
          <w:numId w:val="161"/>
        </w:numPr>
        <w:spacing w:before="0" w:after="0" w:line="360" w:lineRule="auto"/>
        <w:jc w:val="both"/>
      </w:pPr>
      <w:r w:rsidRPr="0038078F">
        <w:t>Внезапные нарушения сознания.</w:t>
      </w:r>
    </w:p>
    <w:p w14:paraId="48730FCC" w14:textId="77777777" w:rsidR="00C1789B" w:rsidRPr="0038078F" w:rsidRDefault="00C1789B" w:rsidP="0007206A">
      <w:pPr>
        <w:pStyle w:val="2"/>
        <w:spacing w:before="0"/>
        <w:ind w:firstLine="708"/>
        <w:rPr>
          <w:b w:val="0"/>
          <w:bCs/>
          <w:i/>
          <w:iCs/>
        </w:rPr>
      </w:pPr>
    </w:p>
    <w:p w14:paraId="0131EAA4" w14:textId="77777777" w:rsidR="00C1789B" w:rsidRPr="0038078F" w:rsidRDefault="00C1789B" w:rsidP="0007206A">
      <w:pPr>
        <w:ind w:firstLine="708"/>
        <w:rPr>
          <w:b/>
          <w:bCs/>
          <w:u w:val="single"/>
        </w:rPr>
      </w:pPr>
      <w:r w:rsidRPr="0038078F">
        <w:rPr>
          <w:u w:val="single"/>
        </w:rPr>
        <w:t>Противопоказания:</w:t>
      </w:r>
    </w:p>
    <w:p w14:paraId="73034DC6" w14:textId="77777777" w:rsidR="00C1789B" w:rsidRPr="0038078F" w:rsidRDefault="00C1789B" w:rsidP="0007206A">
      <w:pPr>
        <w:pStyle w:val="FitzBullet"/>
        <w:widowControl w:val="0"/>
        <w:numPr>
          <w:ilvl w:val="0"/>
          <w:numId w:val="162"/>
        </w:numPr>
        <w:spacing w:before="0" w:after="0" w:line="360" w:lineRule="auto"/>
        <w:jc w:val="both"/>
      </w:pPr>
      <w:r w:rsidRPr="0038078F">
        <w:t>Внутричерепная гипертензия — из-за опасности дислокации (вклинения) мозга. Исключение составляют случаи, когда ЛП выполняется с целью уменьшения внутричерепной гипертензии. Для исключения внутричерепной гипертензии необходима СКТ или МРТ головного мозга. Отсутствие отека диска зрительного нерва не исключает внутричерепной гипертензии, так как для развития отека диска зрительного нерва необходимо, чтобы внутричерепная гипертензия продолжалась не менее 48 ч.</w:t>
      </w:r>
    </w:p>
    <w:p w14:paraId="60CB879C" w14:textId="77777777" w:rsidR="00C1789B" w:rsidRPr="0038078F" w:rsidRDefault="00C1789B" w:rsidP="0007206A">
      <w:pPr>
        <w:pStyle w:val="FitzBullet"/>
        <w:widowControl w:val="0"/>
        <w:numPr>
          <w:ilvl w:val="0"/>
          <w:numId w:val="162"/>
        </w:numPr>
        <w:spacing w:before="0" w:after="0" w:line="360" w:lineRule="auto"/>
        <w:jc w:val="both"/>
      </w:pPr>
      <w:r w:rsidRPr="0038078F">
        <w:t>Кожная инфекция в месте предполагаемого выполнения ЛП.</w:t>
      </w:r>
    </w:p>
    <w:p w14:paraId="7B1E5997" w14:textId="77777777" w:rsidR="00C1789B" w:rsidRPr="0038078F" w:rsidRDefault="00C1789B" w:rsidP="0007206A">
      <w:pPr>
        <w:pStyle w:val="FitzBullet"/>
        <w:widowControl w:val="0"/>
        <w:numPr>
          <w:ilvl w:val="0"/>
          <w:numId w:val="162"/>
        </w:numPr>
        <w:spacing w:before="0" w:after="0" w:line="360" w:lineRule="auto"/>
        <w:jc w:val="both"/>
      </w:pPr>
      <w:r w:rsidRPr="0038078F">
        <w:t xml:space="preserve">Антикоагулянтная терапия и терапия дезагрегантами, фибринолитиками, тромболитиками (таб. 1). </w:t>
      </w:r>
    </w:p>
    <w:p w14:paraId="565FE19A" w14:textId="77777777" w:rsidR="00C1789B" w:rsidRPr="0038078F" w:rsidRDefault="00C1789B" w:rsidP="0007206A">
      <w:pPr>
        <w:pStyle w:val="FitzBullet"/>
        <w:spacing w:before="0" w:after="0" w:line="360" w:lineRule="auto"/>
        <w:ind w:firstLine="0"/>
      </w:pPr>
    </w:p>
    <w:p w14:paraId="375EB294" w14:textId="0125CFD1" w:rsidR="00C1789B" w:rsidRPr="0038078F" w:rsidRDefault="00C1789B" w:rsidP="0007206A">
      <w:pPr>
        <w:pStyle w:val="table-name"/>
        <w:spacing w:before="0" w:line="360" w:lineRule="auto"/>
        <w:ind w:hanging="10"/>
        <w:rPr>
          <w:sz w:val="24"/>
          <w:szCs w:val="24"/>
          <w:lang w:val="ru-RU"/>
        </w:rPr>
      </w:pPr>
      <w:r w:rsidRPr="0038078F">
        <w:rPr>
          <w:sz w:val="24"/>
          <w:szCs w:val="24"/>
          <w:lang w:val="ru-RU"/>
        </w:rPr>
        <w:t xml:space="preserve">Таблица 1. Подготовка больного к ЛП при проведении терапии антикоагулянтами, дезагрегантами и тромболитиками </w:t>
      </w:r>
      <w:r w:rsidRPr="0038078F">
        <w:rPr>
          <w:i/>
          <w:iCs/>
          <w:sz w:val="24"/>
          <w:szCs w:val="24"/>
          <w:u w:val="single"/>
          <w:lang w:val="ru-RU"/>
        </w:rPr>
        <w:fldChar w:fldCharType="begin" w:fldLock="1"/>
      </w:r>
      <w:r w:rsidR="00872B84">
        <w:rPr>
          <w:i/>
          <w:iCs/>
          <w:sz w:val="24"/>
          <w:szCs w:val="24"/>
          <w:u w:val="single"/>
          <w:lang w:val="ru-RU"/>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[207]","plainTextFormattedCitation":"[207]","previouslyFormattedCitation":"[207]"},"properties":{"noteIndex":0},"schema":"https://github.com/citation-style-language/schema/raw/master/csl-citation.json"}</w:instrText>
      </w:r>
      <w:r w:rsidRPr="0038078F">
        <w:rPr>
          <w:i/>
          <w:iCs/>
          <w:sz w:val="24"/>
          <w:szCs w:val="24"/>
          <w:u w:val="single"/>
          <w:lang w:val="ru-RU"/>
        </w:rPr>
        <w:fldChar w:fldCharType="separate"/>
      </w:r>
      <w:r w:rsidR="00953640" w:rsidRPr="0038078F">
        <w:rPr>
          <w:b w:val="0"/>
          <w:iCs/>
          <w:noProof/>
          <w:sz w:val="24"/>
          <w:szCs w:val="24"/>
          <w:lang w:val="ru-RU"/>
        </w:rPr>
        <w:t>[207]</w:t>
      </w:r>
      <w:r w:rsidRPr="0038078F">
        <w:rPr>
          <w:i/>
          <w:iCs/>
          <w:sz w:val="24"/>
          <w:szCs w:val="24"/>
          <w:u w:val="single"/>
          <w:lang w:val="ru-RU"/>
        </w:rPr>
        <w:fldChar w:fldCharType="end"/>
      </w:r>
    </w:p>
    <w:tbl>
      <w:tblPr>
        <w:tblW w:w="95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3420"/>
        <w:gridCol w:w="6151"/>
      </w:tblGrid>
      <w:tr w:rsidR="00C1789B" w:rsidRPr="0038078F" w14:paraId="671F2E9D" w14:textId="77777777" w:rsidTr="002D3EBF">
        <w:trPr>
          <w:trHeight w:val="300"/>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F5A53E" w14:textId="77777777" w:rsidR="00C1789B" w:rsidRPr="0038078F" w:rsidRDefault="00C1789B" w:rsidP="0007206A">
            <w:pPr>
              <w:pStyle w:val="table-head-left"/>
              <w:spacing w:before="0" w:after="0"/>
              <w:jc w:val="center"/>
              <w:rPr>
                <w:sz w:val="24"/>
                <w:szCs w:val="24"/>
              </w:rPr>
            </w:pPr>
            <w:r w:rsidRPr="0038078F">
              <w:rPr>
                <w:sz w:val="24"/>
                <w:szCs w:val="24"/>
              </w:rPr>
              <w:t>Препарат</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D10E51" w14:textId="77777777" w:rsidR="00C1789B" w:rsidRPr="0038078F" w:rsidRDefault="00C1789B" w:rsidP="0007206A">
            <w:pPr>
              <w:pStyle w:val="table-head-left"/>
              <w:spacing w:before="0" w:after="0"/>
              <w:jc w:val="center"/>
              <w:rPr>
                <w:sz w:val="24"/>
                <w:szCs w:val="24"/>
              </w:rPr>
            </w:pPr>
            <w:r w:rsidRPr="0038078F">
              <w:rPr>
                <w:sz w:val="24"/>
                <w:szCs w:val="24"/>
              </w:rPr>
              <w:t>Рекомендации</w:t>
            </w:r>
          </w:p>
        </w:tc>
      </w:tr>
      <w:tr w:rsidR="00C1789B" w:rsidRPr="0038078F" w14:paraId="65B015F0" w14:textId="77777777" w:rsidTr="002D3EBF">
        <w:trPr>
          <w:trHeight w:val="1735"/>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4C1A2C" w14:textId="77777777" w:rsidR="00C1789B" w:rsidRPr="0038078F" w:rsidRDefault="00C1789B" w:rsidP="0007206A">
            <w:pPr>
              <w:pStyle w:val="table-text-0"/>
              <w:spacing w:before="0" w:line="360" w:lineRule="auto"/>
              <w:rPr>
                <w:sz w:val="24"/>
                <w:szCs w:val="24"/>
              </w:rPr>
            </w:pPr>
            <w:r w:rsidRPr="0038078F">
              <w:rPr>
                <w:sz w:val="24"/>
                <w:szCs w:val="24"/>
              </w:rPr>
              <w:t>Варфарин</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94DB5C" w14:textId="77777777" w:rsidR="00C1789B" w:rsidRPr="0038078F" w:rsidRDefault="00C1789B" w:rsidP="0007206A">
            <w:pPr>
              <w:pStyle w:val="table-text-0"/>
              <w:spacing w:before="0" w:line="360" w:lineRule="auto"/>
              <w:rPr>
                <w:sz w:val="24"/>
                <w:szCs w:val="24"/>
                <w:lang w:val="ru-RU"/>
              </w:rPr>
            </w:pPr>
            <w:r w:rsidRPr="0038078F">
              <w:rPr>
                <w:sz w:val="24"/>
                <w:szCs w:val="24"/>
                <w:lang w:val="ru-RU"/>
              </w:rPr>
              <w:t>Прекращение приема препарата за 4—5 сут и контроль МНО, которое должно быть в пределах нормы (1—1,2). Для ускорения нормализации МНО могут добавляться переливания СЗП 10—15 мл/кг, фитоменадион 10—20 мг/сут, Протромплекс 600 (согласно расчету по формуле 1500—3000 МЕ)</w:t>
            </w:r>
          </w:p>
        </w:tc>
      </w:tr>
      <w:tr w:rsidR="00C1789B" w:rsidRPr="0038078F" w14:paraId="2C6D2244" w14:textId="77777777" w:rsidTr="002D3EBF">
        <w:trPr>
          <w:trHeight w:val="1110"/>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4676E6" w14:textId="77777777" w:rsidR="00C1789B" w:rsidRPr="0038078F" w:rsidRDefault="00C1789B" w:rsidP="0007206A">
            <w:pPr>
              <w:pStyle w:val="table-text-0"/>
              <w:spacing w:before="0" w:line="360" w:lineRule="auto"/>
              <w:rPr>
                <w:sz w:val="24"/>
                <w:szCs w:val="24"/>
              </w:rPr>
            </w:pPr>
            <w:r w:rsidRPr="0038078F">
              <w:rPr>
                <w:sz w:val="24"/>
                <w:szCs w:val="24"/>
              </w:rPr>
              <w:t>Низкомолекулярные гепарины</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4C1FCF" w14:textId="77777777" w:rsidR="00C1789B" w:rsidRPr="0038078F" w:rsidRDefault="00C1789B" w:rsidP="0007206A">
            <w:pPr>
              <w:pStyle w:val="table-text-0"/>
              <w:spacing w:before="0" w:line="360" w:lineRule="auto"/>
              <w:rPr>
                <w:sz w:val="24"/>
                <w:szCs w:val="24"/>
                <w:lang w:val="ru-RU"/>
              </w:rPr>
            </w:pPr>
            <w:r w:rsidRPr="0038078F">
              <w:rPr>
                <w:sz w:val="24"/>
                <w:szCs w:val="24"/>
                <w:lang w:val="ru-RU"/>
              </w:rPr>
              <w:t>При профилактических дозах последнее введение НМГ должно быть за 12 ч до ЛП, при лечебных дозах НМГ — за 24 ч. После выполнения пункции НМГ не должны вводиться в течение 24 ч</w:t>
            </w:r>
          </w:p>
        </w:tc>
      </w:tr>
      <w:tr w:rsidR="00C1789B" w:rsidRPr="0038078F" w14:paraId="0709A668" w14:textId="77777777" w:rsidTr="002D3EBF">
        <w:trPr>
          <w:trHeight w:val="643"/>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C84AEA" w14:textId="77777777" w:rsidR="00C1789B" w:rsidRPr="0038078F" w:rsidRDefault="00C1789B" w:rsidP="0007206A">
            <w:pPr>
              <w:pStyle w:val="table-text-0"/>
              <w:spacing w:before="0" w:line="360" w:lineRule="auto"/>
              <w:rPr>
                <w:sz w:val="24"/>
                <w:szCs w:val="24"/>
              </w:rPr>
            </w:pPr>
            <w:r w:rsidRPr="0038078F">
              <w:rPr>
                <w:sz w:val="24"/>
                <w:szCs w:val="24"/>
              </w:rPr>
              <w:t xml:space="preserve">Нефракционированный гепарин </w:t>
            </w:r>
            <w:r w:rsidRPr="0038078F">
              <w:rPr>
                <w:bCs/>
                <w:sz w:val="24"/>
                <w:szCs w:val="24"/>
              </w:rPr>
              <w:t>подкожно</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EEE666" w14:textId="77777777" w:rsidR="00C1789B" w:rsidRPr="0038078F" w:rsidRDefault="00C1789B" w:rsidP="0007206A">
            <w:pPr>
              <w:pStyle w:val="table-text-0"/>
              <w:spacing w:before="0" w:line="360" w:lineRule="auto"/>
              <w:rPr>
                <w:sz w:val="24"/>
                <w:szCs w:val="24"/>
                <w:lang w:val="ru-RU"/>
              </w:rPr>
            </w:pPr>
            <w:r w:rsidRPr="0038078F">
              <w:rPr>
                <w:sz w:val="24"/>
                <w:szCs w:val="24"/>
                <w:lang w:val="ru-RU"/>
              </w:rPr>
              <w:t>Нет противопоказаний при суточной дозе &lt; 10</w:t>
            </w:r>
            <w:r w:rsidRPr="0038078F">
              <w:rPr>
                <w:sz w:val="24"/>
                <w:szCs w:val="24"/>
              </w:rPr>
              <w:t> </w:t>
            </w:r>
            <w:r w:rsidRPr="0038078F">
              <w:rPr>
                <w:sz w:val="24"/>
                <w:szCs w:val="24"/>
                <w:lang w:val="ru-RU"/>
              </w:rPr>
              <w:t>000 МЕ, в остальных случаях см. рекомендации для в/в гепарина</w:t>
            </w:r>
          </w:p>
        </w:tc>
      </w:tr>
      <w:tr w:rsidR="00C1789B" w:rsidRPr="0038078F" w14:paraId="4693BBAF" w14:textId="77777777" w:rsidTr="002D3EBF">
        <w:trPr>
          <w:trHeight w:val="928"/>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41A4F9" w14:textId="77777777" w:rsidR="00C1789B" w:rsidRPr="0038078F" w:rsidRDefault="00C1789B" w:rsidP="0007206A">
            <w:pPr>
              <w:pStyle w:val="table-text-0"/>
              <w:spacing w:before="0" w:line="360" w:lineRule="auto"/>
              <w:rPr>
                <w:sz w:val="24"/>
                <w:szCs w:val="24"/>
              </w:rPr>
            </w:pPr>
            <w:r w:rsidRPr="0038078F">
              <w:rPr>
                <w:sz w:val="24"/>
                <w:szCs w:val="24"/>
              </w:rPr>
              <w:lastRenderedPageBreak/>
              <w:t xml:space="preserve">Нефракционированный гепарин </w:t>
            </w:r>
            <w:r w:rsidRPr="0038078F">
              <w:rPr>
                <w:bCs/>
                <w:sz w:val="24"/>
                <w:szCs w:val="24"/>
              </w:rPr>
              <w:t>внутривенно</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6298FC" w14:textId="77777777" w:rsidR="00C1789B" w:rsidRPr="0038078F" w:rsidRDefault="00C1789B" w:rsidP="0007206A">
            <w:pPr>
              <w:pStyle w:val="table-text-0"/>
              <w:spacing w:before="0" w:line="360" w:lineRule="auto"/>
              <w:rPr>
                <w:sz w:val="24"/>
                <w:szCs w:val="24"/>
                <w:lang w:val="ru-RU"/>
              </w:rPr>
            </w:pPr>
            <w:r w:rsidRPr="0038078F">
              <w:rPr>
                <w:sz w:val="24"/>
                <w:szCs w:val="24"/>
                <w:lang w:val="ru-RU"/>
              </w:rPr>
              <w:t>Прекратить введение за 4</w:t>
            </w:r>
            <w:r w:rsidRPr="0038078F">
              <w:rPr>
                <w:sz w:val="24"/>
                <w:szCs w:val="24"/>
              </w:rPr>
              <w:t> </w:t>
            </w:r>
            <w:r w:rsidRPr="0038078F">
              <w:rPr>
                <w:sz w:val="24"/>
                <w:szCs w:val="24"/>
                <w:lang w:val="ru-RU"/>
              </w:rPr>
              <w:t>ч до ЛП, подтвердить нормальным АЧТВ. Повторное начало гепаринотерапии — через 1 ч после ЛП</w:t>
            </w:r>
          </w:p>
        </w:tc>
      </w:tr>
      <w:tr w:rsidR="00C1789B" w:rsidRPr="0038078F" w14:paraId="4F1F48FC" w14:textId="77777777" w:rsidTr="002D3EBF">
        <w:trPr>
          <w:trHeight w:val="882"/>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9414FF" w14:textId="77777777" w:rsidR="00C1789B" w:rsidRPr="0038078F" w:rsidRDefault="00C1789B" w:rsidP="0007206A">
            <w:pPr>
              <w:pStyle w:val="table-text-0"/>
              <w:spacing w:before="0" w:line="360" w:lineRule="auto"/>
              <w:rPr>
                <w:sz w:val="24"/>
                <w:szCs w:val="24"/>
              </w:rPr>
            </w:pPr>
            <w:r w:rsidRPr="0038078F">
              <w:rPr>
                <w:sz w:val="24"/>
                <w:szCs w:val="24"/>
              </w:rPr>
              <w:t xml:space="preserve">Дезагреганты </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F64E1B" w14:textId="77777777" w:rsidR="00C1789B" w:rsidRPr="0038078F" w:rsidRDefault="00C1789B" w:rsidP="0007206A">
            <w:pPr>
              <w:pStyle w:val="table-text-0"/>
              <w:spacing w:before="0" w:line="360" w:lineRule="auto"/>
              <w:rPr>
                <w:sz w:val="24"/>
                <w:szCs w:val="24"/>
                <w:lang w:val="ru-RU"/>
              </w:rPr>
            </w:pPr>
            <w:r w:rsidRPr="0038078F">
              <w:rPr>
                <w:sz w:val="24"/>
                <w:szCs w:val="24"/>
                <w:lang w:val="ru-RU"/>
              </w:rPr>
              <w:t>Нет противопоказаний при приеме аспирина или НПВП. Клопидогрель (Плавикс) и тиклопидин (Тиклид) должны быть отменены за 7 и 14 сут до ЛП, соответственно</w:t>
            </w:r>
          </w:p>
        </w:tc>
      </w:tr>
      <w:tr w:rsidR="00C1789B" w:rsidRPr="0038078F" w14:paraId="0544DA03" w14:textId="77777777" w:rsidTr="002D3EBF">
        <w:trPr>
          <w:trHeight w:val="643"/>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3FC9F4" w14:textId="77777777" w:rsidR="00C1789B" w:rsidRPr="0038078F" w:rsidRDefault="00C1789B" w:rsidP="0007206A">
            <w:pPr>
              <w:pStyle w:val="table-text-0"/>
              <w:spacing w:before="0" w:line="360" w:lineRule="auto"/>
              <w:rPr>
                <w:sz w:val="24"/>
                <w:szCs w:val="24"/>
              </w:rPr>
            </w:pPr>
            <w:r w:rsidRPr="0038078F">
              <w:rPr>
                <w:sz w:val="24"/>
                <w:szCs w:val="24"/>
              </w:rPr>
              <w:t>Тромболитики/фибринолитики</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3390BF" w14:textId="77777777" w:rsidR="00C1789B" w:rsidRPr="0038078F" w:rsidRDefault="00C1789B" w:rsidP="0007206A">
            <w:pPr>
              <w:pStyle w:val="table-text-0"/>
              <w:spacing w:before="0" w:line="360" w:lineRule="auto"/>
              <w:rPr>
                <w:sz w:val="24"/>
                <w:szCs w:val="24"/>
              </w:rPr>
            </w:pPr>
            <w:r w:rsidRPr="0038078F">
              <w:rPr>
                <w:sz w:val="24"/>
                <w:szCs w:val="24"/>
                <w:lang w:val="ru-RU"/>
              </w:rPr>
              <w:t xml:space="preserve">Нет данных о безопасном интервале. </w:t>
            </w:r>
            <w:r w:rsidRPr="0038078F">
              <w:rPr>
                <w:sz w:val="24"/>
                <w:szCs w:val="24"/>
              </w:rPr>
              <w:t>Следить за уровнем фибриногена</w:t>
            </w:r>
          </w:p>
        </w:tc>
      </w:tr>
    </w:tbl>
    <w:p w14:paraId="3D6C6AD9" w14:textId="77777777" w:rsidR="00C1789B" w:rsidRPr="0038078F" w:rsidRDefault="00C1789B" w:rsidP="0007206A">
      <w:pPr>
        <w:autoSpaceDE w:val="0"/>
        <w:autoSpaceDN w:val="0"/>
        <w:adjustRightInd w:val="0"/>
      </w:pPr>
    </w:p>
    <w:p w14:paraId="034BE4CC" w14:textId="77777777" w:rsidR="00C1789B" w:rsidRPr="0038078F" w:rsidRDefault="00C1789B" w:rsidP="0007206A">
      <w:pPr>
        <w:autoSpaceDE w:val="0"/>
        <w:autoSpaceDN w:val="0"/>
        <w:adjustRightInd w:val="0"/>
        <w:ind w:firstLine="709"/>
      </w:pPr>
      <w:r w:rsidRPr="0038078F">
        <w:t>У пациентов с коагулологическими нарушениями необходимо предусмотреть условия, минимизирующие опасность геморрагических осложнений:</w:t>
      </w:r>
    </w:p>
    <w:p w14:paraId="1195110C" w14:textId="77777777" w:rsidR="00C1789B" w:rsidRPr="0038078F" w:rsidRDefault="00C1789B" w:rsidP="0007206A">
      <w:pPr>
        <w:pStyle w:val="FitzBullet"/>
        <w:widowControl w:val="0"/>
        <w:numPr>
          <w:ilvl w:val="0"/>
          <w:numId w:val="163"/>
        </w:numPr>
        <w:spacing w:before="0" w:after="0" w:line="360" w:lineRule="auto"/>
        <w:jc w:val="both"/>
      </w:pPr>
      <w:r w:rsidRPr="0038078F">
        <w:t>Гемофилия А и В — для проведения ЛП достаточно повышение уровня дефицитного фактора &gt; 40%.</w:t>
      </w:r>
    </w:p>
    <w:p w14:paraId="1EBBAFE9" w14:textId="77777777" w:rsidR="00C1789B" w:rsidRPr="0038078F" w:rsidRDefault="00C1789B" w:rsidP="0007206A">
      <w:pPr>
        <w:pStyle w:val="FitzBullet"/>
        <w:widowControl w:val="0"/>
        <w:numPr>
          <w:ilvl w:val="0"/>
          <w:numId w:val="163"/>
        </w:numPr>
        <w:spacing w:before="0" w:after="0" w:line="360" w:lineRule="auto"/>
        <w:jc w:val="both"/>
      </w:pPr>
      <w:r w:rsidRPr="0038078F">
        <w:t>Тромбоцитопения — противопоказанием служит уровень тромбоцитов ниже 20 х 10</w:t>
      </w:r>
      <w:r w:rsidRPr="0038078F">
        <w:rPr>
          <w:vertAlign w:val="superscript"/>
        </w:rPr>
        <w:t>9</w:t>
      </w:r>
      <w:r w:rsidRPr="0038078F">
        <w:t>/л.</w:t>
      </w:r>
    </w:p>
    <w:p w14:paraId="2158511E" w14:textId="77777777" w:rsidR="00C1789B" w:rsidRPr="0038078F" w:rsidRDefault="00C1789B" w:rsidP="0007206A">
      <w:pPr>
        <w:pStyle w:val="FitzBullet"/>
        <w:widowControl w:val="0"/>
        <w:numPr>
          <w:ilvl w:val="0"/>
          <w:numId w:val="163"/>
        </w:numPr>
        <w:spacing w:before="0" w:after="0" w:line="360" w:lineRule="auto"/>
        <w:jc w:val="both"/>
      </w:pPr>
      <w:r w:rsidRPr="0038078F">
        <w:t>Болезнь Виллебранда — ЛП можно выполнять при плазменной активности фактора Виллебранда &gt; 50%.</w:t>
      </w:r>
    </w:p>
    <w:p w14:paraId="542CACB6" w14:textId="77777777" w:rsidR="00C1789B" w:rsidRPr="0038078F" w:rsidRDefault="00C1789B" w:rsidP="0007206A">
      <w:pPr>
        <w:pStyle w:val="2"/>
        <w:spacing w:before="0"/>
        <w:rPr>
          <w:b w:val="0"/>
        </w:rPr>
      </w:pPr>
    </w:p>
    <w:p w14:paraId="50EAA087" w14:textId="01D950B8" w:rsidR="00C1789B" w:rsidRPr="0038078F" w:rsidRDefault="00C1789B" w:rsidP="0007206A">
      <w:pPr>
        <w:ind w:firstLine="708"/>
        <w:rPr>
          <w:b/>
          <w:bCs/>
          <w:u w:val="single"/>
        </w:rPr>
      </w:pPr>
      <w:r w:rsidRPr="0038078F">
        <w:rPr>
          <w:u w:val="single"/>
        </w:rPr>
        <w:t xml:space="preserve">Обработка кожи перед ЛП </w:t>
      </w:r>
      <w:r w:rsidRPr="0038078F">
        <w:rPr>
          <w:b/>
          <w:bCs/>
          <w:u w:val="single"/>
        </w:rPr>
        <w:fldChar w:fldCharType="begin" w:fldLock="1"/>
      </w:r>
      <w:r w:rsidR="00872B84">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[207]","plainTextFormattedCitation":"[207]","previouslyFormattedCitation":"[207]"},"properties":{"noteIndex":0},"schema":"https://github.com/citation-style-language/schema/raw/master/csl-citation.json"}</w:instrText>
      </w:r>
      <w:r w:rsidRPr="0038078F">
        <w:rPr>
          <w:b/>
          <w:bCs/>
          <w:u w:val="single"/>
        </w:rPr>
        <w:fldChar w:fldCharType="separate"/>
      </w:r>
      <w:r w:rsidR="00953640" w:rsidRPr="0038078F">
        <w:rPr>
          <w:noProof/>
        </w:rPr>
        <w:t>[207]</w:t>
      </w:r>
      <w:r w:rsidRPr="0038078F">
        <w:rPr>
          <w:b/>
          <w:bCs/>
          <w:u w:val="single"/>
        </w:rPr>
        <w:fldChar w:fldCharType="end"/>
      </w:r>
    </w:p>
    <w:p w14:paraId="541D2FC9" w14:textId="77777777" w:rsidR="00C1789B" w:rsidRPr="0038078F" w:rsidRDefault="00C1789B" w:rsidP="0007206A">
      <w:pPr>
        <w:ind w:firstLine="709"/>
      </w:pPr>
      <w:r w:rsidRPr="0038078F">
        <w:t xml:space="preserve">Для обработки кожи могут использоваться раствор хлоргексидина или водные растворы йода. При обработке необходимо выполнять круговые движения от центра (места пункции) к периферии. </w:t>
      </w:r>
    </w:p>
    <w:p w14:paraId="7EBF1C90" w14:textId="77777777" w:rsidR="00C1789B" w:rsidRPr="0038078F" w:rsidRDefault="00C1789B" w:rsidP="0007206A">
      <w:pPr>
        <w:ind w:firstLine="709"/>
      </w:pPr>
      <w:r w:rsidRPr="0038078F">
        <w:t>Если используются растворы, содержащие йод, стерильной салфеткой дополнительно необходимо протереть поле перед введением анестетиков, так как йод обладает нейротоксичностью.</w:t>
      </w:r>
    </w:p>
    <w:p w14:paraId="04B7CBC2" w14:textId="77777777" w:rsidR="00C1789B" w:rsidRPr="0038078F" w:rsidRDefault="00C1789B" w:rsidP="0007206A">
      <w:pPr>
        <w:pStyle w:val="2"/>
        <w:spacing w:before="0"/>
        <w:rPr>
          <w:b w:val="0"/>
        </w:rPr>
      </w:pPr>
    </w:p>
    <w:p w14:paraId="1A10864E" w14:textId="7D84C353" w:rsidR="00C1789B" w:rsidRPr="0038078F" w:rsidRDefault="00C1789B" w:rsidP="0007206A">
      <w:pPr>
        <w:ind w:left="1" w:firstLine="708"/>
        <w:rPr>
          <w:b/>
          <w:bCs/>
          <w:u w:val="single"/>
        </w:rPr>
      </w:pPr>
      <w:r w:rsidRPr="0038078F">
        <w:rPr>
          <w:u w:val="single"/>
        </w:rPr>
        <w:t xml:space="preserve">Позиционирование поля для выполнения ЛП </w:t>
      </w:r>
      <w:r w:rsidRPr="0038078F">
        <w:rPr>
          <w:b/>
          <w:bCs/>
          <w:u w:val="single"/>
        </w:rPr>
        <w:fldChar w:fldCharType="begin" w:fldLock="1"/>
      </w:r>
      <w:r w:rsidR="00872B84">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[207]","plainTextFormattedCitation":"[207]","previouslyFormattedCitation":"[207]"},"properties":{"noteIndex":0},"schema":"https://github.com/citation-style-language/schema/raw/master/csl-citation.json"}</w:instrText>
      </w:r>
      <w:r w:rsidRPr="0038078F">
        <w:rPr>
          <w:b/>
          <w:bCs/>
          <w:u w:val="single"/>
        </w:rPr>
        <w:fldChar w:fldCharType="separate"/>
      </w:r>
      <w:r w:rsidR="00953640" w:rsidRPr="0038078F">
        <w:rPr>
          <w:noProof/>
        </w:rPr>
        <w:t>[207]</w:t>
      </w:r>
      <w:r w:rsidRPr="0038078F">
        <w:rPr>
          <w:b/>
          <w:bCs/>
          <w:u w:val="single"/>
        </w:rPr>
        <w:fldChar w:fldCharType="end"/>
      </w:r>
    </w:p>
    <w:p w14:paraId="06FD13FD" w14:textId="77777777" w:rsidR="00C1789B" w:rsidRPr="0038078F" w:rsidRDefault="00C1789B" w:rsidP="0007206A">
      <w:pPr>
        <w:ind w:firstLine="709"/>
      </w:pPr>
      <w:r w:rsidRPr="0038078F">
        <w:t xml:space="preserve">Пункция выполняется между L3—L4, что соответствует пересечению позвоночного столба с линией, проведенной между гребнями двух подвздошных костей </w:t>
      </w:r>
    </w:p>
    <w:p w14:paraId="35F4867C" w14:textId="77777777" w:rsidR="00C1789B" w:rsidRPr="0038078F" w:rsidRDefault="00C1789B" w:rsidP="0007206A">
      <w:pPr>
        <w:ind w:firstLine="709"/>
      </w:pPr>
      <w:r w:rsidRPr="0038078F">
        <w:t>У взрослых спинной мозг оканчивается на нижнем крае L1, поэтому игла, введенная в субарахноидальное пространство ниже этого уровня, окажется в мешке, содержащем «конский хвост», «плавающий» в спиномозговой жидкости (СМЖ).</w:t>
      </w:r>
    </w:p>
    <w:p w14:paraId="00D81805" w14:textId="77777777" w:rsidR="00C1789B" w:rsidRPr="0038078F" w:rsidRDefault="00C1789B" w:rsidP="0007206A">
      <w:pPr>
        <w:ind w:firstLine="709"/>
      </w:pPr>
      <w:r w:rsidRPr="0038078F">
        <w:lastRenderedPageBreak/>
        <w:t>У больных с ожирением выбрать место пункции в 100% помогает ультразвуковой контроль.</w:t>
      </w:r>
    </w:p>
    <w:p w14:paraId="7D1E2A8A" w14:textId="77777777" w:rsidR="00C1789B" w:rsidRPr="0038078F" w:rsidRDefault="00C1789B" w:rsidP="0007206A">
      <w:pPr>
        <w:pStyle w:val="2"/>
        <w:spacing w:before="0"/>
        <w:rPr>
          <w:b w:val="0"/>
        </w:rPr>
      </w:pPr>
    </w:p>
    <w:p w14:paraId="0952EF37" w14:textId="0E9D7E81" w:rsidR="00C1789B" w:rsidRPr="0038078F" w:rsidRDefault="00C1789B" w:rsidP="0007206A">
      <w:pPr>
        <w:ind w:left="1" w:firstLine="708"/>
        <w:rPr>
          <w:b/>
          <w:bCs/>
          <w:u w:val="single"/>
        </w:rPr>
      </w:pPr>
      <w:r w:rsidRPr="0038078F">
        <w:rPr>
          <w:u w:val="single"/>
        </w:rPr>
        <w:t xml:space="preserve">Локальная анестезия </w:t>
      </w:r>
      <w:r w:rsidRPr="0038078F">
        <w:rPr>
          <w:b/>
          <w:bCs/>
          <w:u w:val="single"/>
        </w:rPr>
        <w:fldChar w:fldCharType="begin" w:fldLock="1"/>
      </w:r>
      <w:r w:rsidR="00872B84">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[207]","plainTextFormattedCitation":"[207]","previouslyFormattedCitation":"[207]"},"properties":{"noteIndex":0},"schema":"https://github.com/citation-style-language/schema/raw/master/csl-citation.json"}</w:instrText>
      </w:r>
      <w:r w:rsidRPr="0038078F">
        <w:rPr>
          <w:b/>
          <w:bCs/>
          <w:u w:val="single"/>
        </w:rPr>
        <w:fldChar w:fldCharType="separate"/>
      </w:r>
      <w:r w:rsidR="00953640" w:rsidRPr="0038078F">
        <w:rPr>
          <w:noProof/>
        </w:rPr>
        <w:t>[207]</w:t>
      </w:r>
      <w:r w:rsidRPr="0038078F">
        <w:rPr>
          <w:b/>
          <w:bCs/>
          <w:u w:val="single"/>
        </w:rPr>
        <w:fldChar w:fldCharType="end"/>
      </w:r>
    </w:p>
    <w:p w14:paraId="4DAFD264" w14:textId="77777777" w:rsidR="00C1789B" w:rsidRPr="0038078F" w:rsidRDefault="00C1789B" w:rsidP="0007206A">
      <w:pPr>
        <w:ind w:firstLine="709"/>
      </w:pPr>
      <w:r w:rsidRPr="0038078F">
        <w:t>Для анестезии кожи и нижележащих тканей применяется локальная (местная) анестезия. Может быть использовано до 5 мл 2% лидокаина для инфильтрации (внутрикожно, подкожно, затем глубже). Необходимо постоянно подтягивать поршень шприца, чтобы убедиться, что в шприц не поступает кровь или СМЖ (особенно у худых пациентов).</w:t>
      </w:r>
    </w:p>
    <w:p w14:paraId="6D27361E" w14:textId="3358CCFB" w:rsidR="00C1789B" w:rsidRPr="0038078F" w:rsidRDefault="00C1789B" w:rsidP="0007206A">
      <w:pPr>
        <w:ind w:left="1" w:firstLine="708"/>
        <w:rPr>
          <w:b/>
          <w:bCs/>
          <w:u w:val="single"/>
        </w:rPr>
      </w:pPr>
      <w:r w:rsidRPr="0038078F">
        <w:rPr>
          <w:u w:val="single"/>
        </w:rPr>
        <w:t xml:space="preserve">Выполнение ЛП </w:t>
      </w:r>
      <w:r w:rsidRPr="0038078F">
        <w:rPr>
          <w:b/>
          <w:bCs/>
          <w:u w:val="single"/>
        </w:rPr>
        <w:fldChar w:fldCharType="begin" w:fldLock="1"/>
      </w:r>
      <w:r w:rsidR="00872B84">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[207]","plainTextFormattedCitation":"[207]","previouslyFormattedCitation":"[207]"},"properties":{"noteIndex":0},"schema":"https://github.com/citation-style-language/schema/raw/master/csl-citation.json"}</w:instrText>
      </w:r>
      <w:r w:rsidRPr="0038078F">
        <w:rPr>
          <w:b/>
          <w:bCs/>
          <w:u w:val="single"/>
        </w:rPr>
        <w:fldChar w:fldCharType="separate"/>
      </w:r>
      <w:r w:rsidR="00953640" w:rsidRPr="0038078F">
        <w:rPr>
          <w:noProof/>
        </w:rPr>
        <w:t>[207]</w:t>
      </w:r>
      <w:r w:rsidRPr="0038078F">
        <w:rPr>
          <w:b/>
          <w:bCs/>
          <w:u w:val="single"/>
        </w:rPr>
        <w:fldChar w:fldCharType="end"/>
      </w:r>
    </w:p>
    <w:p w14:paraId="14541D67" w14:textId="77777777" w:rsidR="00C1789B" w:rsidRPr="0038078F" w:rsidRDefault="00C1789B" w:rsidP="0007206A">
      <w:pPr>
        <w:ind w:firstLine="709"/>
      </w:pPr>
      <w:r w:rsidRPr="0038078F">
        <w:t xml:space="preserve">Пункцию спинномозгового пространства проводят в положении больного сидя или лежа на боку с хорошо согнутым позвоночником, прижатыми к животу бедрами и пригнутой к груди головой. </w:t>
      </w:r>
    </w:p>
    <w:p w14:paraId="79F8BFAC" w14:textId="77777777" w:rsidR="00C1789B" w:rsidRPr="0038078F" w:rsidRDefault="00C1789B" w:rsidP="0007206A">
      <w:pPr>
        <w:ind w:firstLine="709"/>
      </w:pPr>
      <w:r w:rsidRPr="0038078F">
        <w:t xml:space="preserve">Поскольку сама игла для ЛП (Spinocan 22G) тонкая и может изгибаться при прохождении через кожу, межостистую связку и желтую связку, в качестве интродьюсера при ЛП используется короткая игла размером 18G с розовым павильоном. После обезболивания области пункции иглой 18G прокалывают кожу. Игла проводится строго по средней линии между остистыми отростками позвонков под небольшим углом (не более 150 градусов) в соответствии с наклоном остистых отростков позвонков. Игла проводится на глубину не более 2—3 см (кожа, межостистая связка). Затем в нее вставляется игла для спинномозговой пункции (Spinocan 22G) со вставленным мандреном. Иглу продвигают в том же направлении. Сопротивление плотных тканей внезапно исчезает после прокола желтой связки. После этого извлекают мандрен и продвигают иглу на 2—3 мм, прокалывая твердую мозговую оболочку. Мандрен сохраняют в стерильном виде. </w:t>
      </w:r>
    </w:p>
    <w:p w14:paraId="56DE1FB8" w14:textId="77777777" w:rsidR="00C1789B" w:rsidRPr="0038078F" w:rsidRDefault="00C1789B" w:rsidP="0007206A">
      <w:pPr>
        <w:ind w:firstLine="709"/>
      </w:pPr>
      <w:r w:rsidRPr="0038078F">
        <w:t xml:space="preserve">Истечение ликвора из павильона иглы — признак ее локализации в субарахноидальном пространстве. При низком давлении ликвора по тонкой игле 22G ликвор может самостоятельно не поступать, в этих случаях получить верифицировать положение иглы и получить ликвор можно с помощью активной осторожной аспирации небольшим шприцем (2 мл). С помощью осторожной аспирации набирается 4 шприца по 2 мл. Суммарно получают 8 мл СМЖ, направляемую на необходимые исследования. </w:t>
      </w:r>
    </w:p>
    <w:p w14:paraId="2273C7F6" w14:textId="77777777" w:rsidR="00C1789B" w:rsidRPr="0038078F" w:rsidRDefault="00C1789B" w:rsidP="0007206A">
      <w:pPr>
        <w:ind w:firstLine="709"/>
      </w:pPr>
      <w:r w:rsidRPr="0038078F">
        <w:t xml:space="preserve">После завершения ЛП и получения материала на исследование </w:t>
      </w:r>
      <w:r w:rsidRPr="0038078F">
        <w:rPr>
          <w:bCs/>
        </w:rPr>
        <w:t>вставляют мандрен обратно в иглу и удаляют иглу вместе с мандреном.</w:t>
      </w:r>
      <w:r w:rsidRPr="0038078F">
        <w:t xml:space="preserve"> Это позволяет уменьшить частоту возникновения головных болей после ЛП. </w:t>
      </w:r>
    </w:p>
    <w:p w14:paraId="4ECAF458" w14:textId="77777777" w:rsidR="00C1789B" w:rsidRPr="0038078F" w:rsidRDefault="00C1789B" w:rsidP="0007206A">
      <w:pPr>
        <w:ind w:firstLine="709"/>
        <w:rPr>
          <w:u w:val="single"/>
        </w:rPr>
      </w:pPr>
    </w:p>
    <w:p w14:paraId="5B0CB4DA" w14:textId="1B9432AB" w:rsidR="00C1789B" w:rsidRPr="0038078F" w:rsidRDefault="00C1789B" w:rsidP="0007206A">
      <w:pPr>
        <w:ind w:firstLine="709"/>
        <w:rPr>
          <w:i/>
          <w:iCs/>
          <w:u w:val="single"/>
        </w:rPr>
      </w:pPr>
      <w:r w:rsidRPr="0038078F">
        <w:rPr>
          <w:i/>
          <w:iCs/>
          <w:u w:val="single"/>
        </w:rPr>
        <w:t xml:space="preserve">Исследования СМЖ </w:t>
      </w:r>
      <w:r w:rsidRPr="0038078F">
        <w:rPr>
          <w:i/>
          <w:iCs/>
          <w:u w:val="single"/>
        </w:rPr>
        <w:fldChar w:fldCharType="begin" w:fldLock="1"/>
      </w:r>
      <w:r w:rsidR="00872B84">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[207]","plainTextFormattedCitation":"[207]","previouslyFormattedCitation":"[207]"},"properties":{"noteIndex":0},"schema":"https://github.com/citation-style-language/schema/raw/master/csl-citation.json"}</w:instrText>
      </w:r>
      <w:r w:rsidRPr="0038078F">
        <w:rPr>
          <w:i/>
          <w:iCs/>
          <w:u w:val="single"/>
        </w:rPr>
        <w:fldChar w:fldCharType="separate"/>
      </w:r>
      <w:r w:rsidR="00953640" w:rsidRPr="0038078F">
        <w:rPr>
          <w:iCs/>
          <w:noProof/>
        </w:rPr>
        <w:t>[207]</w:t>
      </w:r>
      <w:r w:rsidRPr="0038078F">
        <w:rPr>
          <w:i/>
          <w:iCs/>
          <w:u w:val="single"/>
        </w:rPr>
        <w:fldChar w:fldCharType="end"/>
      </w:r>
      <w:r w:rsidRPr="0038078F">
        <w:rPr>
          <w:i/>
          <w:iCs/>
          <w:u w:val="single"/>
        </w:rPr>
        <w:t>:</w:t>
      </w:r>
    </w:p>
    <w:p w14:paraId="1182E3B8" w14:textId="77777777" w:rsidR="00C1789B" w:rsidRPr="0038078F" w:rsidRDefault="00C1789B" w:rsidP="0007206A">
      <w:pPr>
        <w:pStyle w:val="afe"/>
        <w:widowControl w:val="0"/>
        <w:numPr>
          <w:ilvl w:val="0"/>
          <w:numId w:val="160"/>
        </w:numPr>
        <w:rPr>
          <w:rFonts w:cs="Times New Roman"/>
          <w:szCs w:val="24"/>
        </w:rPr>
      </w:pPr>
      <w:r w:rsidRPr="0038078F">
        <w:rPr>
          <w:rFonts w:cs="Times New Roman"/>
          <w:szCs w:val="24"/>
        </w:rPr>
        <w:lastRenderedPageBreak/>
        <w:t xml:space="preserve">Общий (клинический) анализ спинномозговой жидкости </w:t>
      </w:r>
    </w:p>
    <w:p w14:paraId="6566B91F" w14:textId="77777777" w:rsidR="00C1789B" w:rsidRPr="0038078F" w:rsidRDefault="00C1789B" w:rsidP="0007206A">
      <w:pPr>
        <w:pStyle w:val="afe"/>
        <w:widowControl w:val="0"/>
        <w:numPr>
          <w:ilvl w:val="0"/>
          <w:numId w:val="160"/>
        </w:numPr>
        <w:rPr>
          <w:rFonts w:cs="Times New Roman"/>
          <w:szCs w:val="24"/>
        </w:rPr>
      </w:pPr>
      <w:r w:rsidRPr="0038078F">
        <w:rPr>
          <w:rFonts w:cs="Times New Roman"/>
          <w:szCs w:val="24"/>
        </w:rPr>
        <w:t>Цитологическое исследование клеток спинномозговой жидкости</w:t>
      </w:r>
    </w:p>
    <w:p w14:paraId="30D8CBB4" w14:textId="77777777" w:rsidR="00C1789B" w:rsidRPr="0038078F" w:rsidRDefault="00C1789B" w:rsidP="0007206A">
      <w:pPr>
        <w:pStyle w:val="afe"/>
        <w:widowControl w:val="0"/>
        <w:numPr>
          <w:ilvl w:val="0"/>
          <w:numId w:val="160"/>
        </w:numPr>
        <w:rPr>
          <w:rFonts w:cs="Times New Roman"/>
          <w:szCs w:val="24"/>
        </w:rPr>
      </w:pPr>
      <w:r w:rsidRPr="0038078F">
        <w:rPr>
          <w:rFonts w:cs="Times New Roman"/>
          <w:szCs w:val="24"/>
        </w:rPr>
        <w:t>Определение крови в спинномозговой жидкости</w:t>
      </w:r>
    </w:p>
    <w:p w14:paraId="080B9262" w14:textId="77777777" w:rsidR="00C1789B" w:rsidRPr="0038078F" w:rsidRDefault="00C1789B" w:rsidP="0007206A">
      <w:pPr>
        <w:pStyle w:val="afe"/>
        <w:widowControl w:val="0"/>
        <w:numPr>
          <w:ilvl w:val="0"/>
          <w:numId w:val="160"/>
        </w:numPr>
        <w:rPr>
          <w:rFonts w:cs="Times New Roman"/>
          <w:szCs w:val="24"/>
        </w:rPr>
      </w:pPr>
      <w:r w:rsidRPr="0038078F">
        <w:rPr>
          <w:rFonts w:cs="Times New Roman"/>
          <w:szCs w:val="24"/>
        </w:rPr>
        <w:t>Исследование уровня белка в спинномозговой жидкости</w:t>
      </w:r>
    </w:p>
    <w:p w14:paraId="3EFB72D9" w14:textId="77777777" w:rsidR="00C1789B" w:rsidRPr="0038078F" w:rsidRDefault="00C1789B" w:rsidP="0007206A">
      <w:pPr>
        <w:pStyle w:val="afe"/>
        <w:widowControl w:val="0"/>
        <w:numPr>
          <w:ilvl w:val="0"/>
          <w:numId w:val="160"/>
        </w:numPr>
        <w:rPr>
          <w:rFonts w:cs="Times New Roman"/>
          <w:szCs w:val="24"/>
        </w:rPr>
      </w:pPr>
      <w:r w:rsidRPr="0038078F">
        <w:rPr>
          <w:rFonts w:cs="Times New Roman"/>
          <w:szCs w:val="24"/>
        </w:rPr>
        <w:t>Тесты на аномальный белок в спинномозговой жидкости</w:t>
      </w:r>
    </w:p>
    <w:p w14:paraId="4F71BFFB" w14:textId="77777777" w:rsidR="00C1789B" w:rsidRPr="0038078F" w:rsidRDefault="00C1789B" w:rsidP="0007206A">
      <w:pPr>
        <w:pStyle w:val="afe"/>
        <w:widowControl w:val="0"/>
        <w:numPr>
          <w:ilvl w:val="0"/>
          <w:numId w:val="160"/>
        </w:numPr>
        <w:rPr>
          <w:rFonts w:cs="Times New Roman"/>
          <w:szCs w:val="24"/>
        </w:rPr>
      </w:pPr>
      <w:r w:rsidRPr="0038078F">
        <w:rPr>
          <w:rFonts w:cs="Times New Roman"/>
          <w:szCs w:val="24"/>
        </w:rPr>
        <w:t>Исследование физических свойств спинномозговой жидкости</w:t>
      </w:r>
    </w:p>
    <w:p w14:paraId="59DECF28" w14:textId="77777777" w:rsidR="00C1789B" w:rsidRPr="0038078F" w:rsidRDefault="00C1789B" w:rsidP="0007206A">
      <w:pPr>
        <w:pStyle w:val="afe"/>
        <w:widowControl w:val="0"/>
        <w:numPr>
          <w:ilvl w:val="0"/>
          <w:numId w:val="160"/>
        </w:numPr>
        <w:rPr>
          <w:rFonts w:cs="Times New Roman"/>
          <w:szCs w:val="24"/>
        </w:rPr>
      </w:pPr>
      <w:r w:rsidRPr="0038078F">
        <w:rPr>
          <w:rFonts w:cs="Times New Roman"/>
          <w:szCs w:val="24"/>
        </w:rPr>
        <w:t>Исследование уровня лактата в спинномозговой жидкости</w:t>
      </w:r>
    </w:p>
    <w:p w14:paraId="53BE1C9A" w14:textId="77777777" w:rsidR="00C1789B" w:rsidRPr="0038078F" w:rsidRDefault="00C1789B" w:rsidP="0007206A">
      <w:pPr>
        <w:pStyle w:val="afe"/>
        <w:widowControl w:val="0"/>
        <w:numPr>
          <w:ilvl w:val="0"/>
          <w:numId w:val="160"/>
        </w:numPr>
        <w:rPr>
          <w:rFonts w:cs="Times New Roman"/>
          <w:szCs w:val="24"/>
        </w:rPr>
      </w:pPr>
      <w:r w:rsidRPr="0038078F">
        <w:rPr>
          <w:rFonts w:cs="Times New Roman"/>
          <w:szCs w:val="24"/>
        </w:rPr>
        <w:t>Исследование уровня глюкозы в спинномозговой жидкости</w:t>
      </w:r>
    </w:p>
    <w:p w14:paraId="3F5C2F70" w14:textId="77777777" w:rsidR="00C1789B" w:rsidRPr="0038078F" w:rsidRDefault="00C1789B" w:rsidP="0007206A">
      <w:pPr>
        <w:pStyle w:val="afe"/>
        <w:widowControl w:val="0"/>
        <w:numPr>
          <w:ilvl w:val="0"/>
          <w:numId w:val="160"/>
        </w:numPr>
        <w:rPr>
          <w:rFonts w:cs="Times New Roman"/>
          <w:szCs w:val="24"/>
        </w:rPr>
      </w:pPr>
      <w:r w:rsidRPr="0038078F">
        <w:rPr>
          <w:rFonts w:cs="Times New Roman"/>
          <w:szCs w:val="24"/>
        </w:rPr>
        <w:t>Микроскопическое исследование спинномозговой жидкости, подсчет клеток в счетной камере (определение цитоза)</w:t>
      </w:r>
    </w:p>
    <w:p w14:paraId="4E94C051" w14:textId="77777777" w:rsidR="00C1789B" w:rsidRPr="0038078F" w:rsidRDefault="00C1789B" w:rsidP="0007206A">
      <w:pPr>
        <w:pStyle w:val="afe"/>
        <w:widowControl w:val="0"/>
        <w:numPr>
          <w:ilvl w:val="0"/>
          <w:numId w:val="160"/>
        </w:numPr>
        <w:rPr>
          <w:rFonts w:cs="Times New Roman"/>
          <w:szCs w:val="24"/>
        </w:rPr>
      </w:pPr>
      <w:r w:rsidRPr="0038078F">
        <w:rPr>
          <w:rFonts w:cs="Times New Roman"/>
          <w:szCs w:val="24"/>
        </w:rPr>
        <w:t xml:space="preserve">При показаниях проводятся исследования для идентификации возбудителя нейроинфекций: </w:t>
      </w:r>
    </w:p>
    <w:p w14:paraId="3BA2BB18" w14:textId="77777777" w:rsidR="00C1789B" w:rsidRPr="0038078F" w:rsidRDefault="00C1789B" w:rsidP="0007206A">
      <w:pPr>
        <w:pStyle w:val="afe"/>
        <w:widowControl w:val="0"/>
        <w:numPr>
          <w:ilvl w:val="1"/>
          <w:numId w:val="160"/>
        </w:numPr>
        <w:rPr>
          <w:rFonts w:cs="Times New Roman"/>
          <w:szCs w:val="24"/>
        </w:rPr>
      </w:pPr>
      <w:r w:rsidRPr="0038078F">
        <w:rPr>
          <w:rFonts w:cs="Times New Roman"/>
          <w:szCs w:val="24"/>
        </w:rPr>
        <w:t xml:space="preserve">Микроскопическое и микробиологическое (культуральное) исследование (посев) спинномозговой жидкости на менингококк, микобактерии туберкулеза, листерии, аэробные и факультативно-анаэробные условно-патогенные микроорганизмы, неспорообразующие анаэробные микроорганизмы, криптококк, дрожжевые и мицелярные грибы,   другие возбудители, с окраской  по Граму, по Цилю-Нильсону, определением галактоманнана, глюкуроноксиломанна. </w:t>
      </w:r>
    </w:p>
    <w:p w14:paraId="6CF04F1F" w14:textId="77777777" w:rsidR="00C1789B" w:rsidRPr="0038078F" w:rsidRDefault="00C1789B" w:rsidP="0007206A">
      <w:pPr>
        <w:pStyle w:val="table-text-0"/>
        <w:widowControl w:val="0"/>
        <w:numPr>
          <w:ilvl w:val="1"/>
          <w:numId w:val="160"/>
        </w:numPr>
        <w:shd w:val="clear" w:color="auto" w:fill="FFFFFF"/>
        <w:tabs>
          <w:tab w:val="left" w:pos="394"/>
        </w:tabs>
        <w:overflowPunct w:val="0"/>
        <w:spacing w:before="0" w:line="360" w:lineRule="auto"/>
        <w:jc w:val="both"/>
        <w:textAlignment w:val="baseline"/>
        <w:rPr>
          <w:sz w:val="24"/>
          <w:szCs w:val="24"/>
          <w:lang w:val="ru-RU"/>
        </w:rPr>
      </w:pPr>
      <w:r w:rsidRPr="0038078F">
        <w:rPr>
          <w:vanish/>
          <w:sz w:val="24"/>
          <w:szCs w:val="24"/>
          <w:lang w:val="ru-RU"/>
        </w:rPr>
        <w:t>М</w:t>
      </w:r>
      <w:r w:rsidRPr="0038078F">
        <w:rPr>
          <w:sz w:val="24"/>
          <w:szCs w:val="24"/>
          <w:lang w:val="ru-RU"/>
        </w:rPr>
        <w:t>олекулярно-биологическое исследование спинномозговой жидкости на вирусы герпетической группы – простого герпеса 1 и 2 типов (</w:t>
      </w:r>
      <w:r w:rsidRPr="0038078F">
        <w:rPr>
          <w:sz w:val="24"/>
          <w:szCs w:val="24"/>
        </w:rPr>
        <w:t>Herpes</w:t>
      </w:r>
      <w:r w:rsidRPr="0038078F">
        <w:rPr>
          <w:sz w:val="24"/>
          <w:szCs w:val="24"/>
          <w:lang w:val="ru-RU"/>
        </w:rPr>
        <w:t xml:space="preserve"> </w:t>
      </w:r>
      <w:r w:rsidRPr="0038078F">
        <w:rPr>
          <w:sz w:val="24"/>
          <w:szCs w:val="24"/>
        </w:rPr>
        <w:t>simplex</w:t>
      </w:r>
      <w:r w:rsidRPr="0038078F">
        <w:rPr>
          <w:sz w:val="24"/>
          <w:szCs w:val="24"/>
          <w:lang w:val="ru-RU"/>
        </w:rPr>
        <w:t xml:space="preserve"> </w:t>
      </w:r>
      <w:r w:rsidRPr="0038078F">
        <w:rPr>
          <w:sz w:val="24"/>
          <w:szCs w:val="24"/>
        </w:rPr>
        <w:t>virus</w:t>
      </w:r>
      <w:r w:rsidRPr="0038078F">
        <w:rPr>
          <w:sz w:val="24"/>
          <w:szCs w:val="24"/>
          <w:lang w:val="ru-RU"/>
        </w:rPr>
        <w:t xml:space="preserve"> </w:t>
      </w:r>
      <w:r w:rsidRPr="0038078F">
        <w:rPr>
          <w:sz w:val="24"/>
          <w:szCs w:val="24"/>
        </w:rPr>
        <w:t>types</w:t>
      </w:r>
      <w:r w:rsidRPr="0038078F">
        <w:rPr>
          <w:sz w:val="24"/>
          <w:szCs w:val="24"/>
          <w:lang w:val="ru-RU"/>
        </w:rPr>
        <w:t xml:space="preserve"> 1, 2), вирус герпеса 6 типа (</w:t>
      </w:r>
      <w:r w:rsidRPr="0038078F">
        <w:rPr>
          <w:sz w:val="24"/>
          <w:szCs w:val="24"/>
        </w:rPr>
        <w:t>HHV</w:t>
      </w:r>
      <w:r w:rsidRPr="0038078F">
        <w:rPr>
          <w:sz w:val="24"/>
          <w:szCs w:val="24"/>
          <w:lang w:val="ru-RU"/>
        </w:rPr>
        <w:t>6), цитомегаловирус (</w:t>
      </w:r>
      <w:r w:rsidRPr="0038078F">
        <w:rPr>
          <w:sz w:val="24"/>
          <w:szCs w:val="24"/>
        </w:rPr>
        <w:t>Cytomegalovirus</w:t>
      </w:r>
      <w:r w:rsidRPr="0038078F">
        <w:rPr>
          <w:sz w:val="24"/>
          <w:szCs w:val="24"/>
          <w:lang w:val="ru-RU"/>
        </w:rPr>
        <w:t>); вирус Эпштейна-Барр, вирус ветряной оспы и опоясывающего лишая (</w:t>
      </w:r>
      <w:r w:rsidRPr="0038078F">
        <w:rPr>
          <w:sz w:val="24"/>
          <w:szCs w:val="24"/>
        </w:rPr>
        <w:t>Varicella</w:t>
      </w:r>
      <w:r w:rsidRPr="0038078F">
        <w:rPr>
          <w:sz w:val="24"/>
          <w:szCs w:val="24"/>
          <w:lang w:val="ru-RU"/>
        </w:rPr>
        <w:t>-</w:t>
      </w:r>
      <w:r w:rsidRPr="0038078F">
        <w:rPr>
          <w:sz w:val="24"/>
          <w:szCs w:val="24"/>
        </w:rPr>
        <w:t>Zoster</w:t>
      </w:r>
      <w:r w:rsidRPr="0038078F">
        <w:rPr>
          <w:sz w:val="24"/>
          <w:szCs w:val="24"/>
          <w:lang w:val="ru-RU"/>
        </w:rPr>
        <w:t xml:space="preserve"> </w:t>
      </w:r>
      <w:r w:rsidRPr="0038078F">
        <w:rPr>
          <w:sz w:val="24"/>
          <w:szCs w:val="24"/>
        </w:rPr>
        <w:t>virus</w:t>
      </w:r>
      <w:r w:rsidRPr="0038078F">
        <w:rPr>
          <w:sz w:val="24"/>
          <w:szCs w:val="24"/>
          <w:lang w:val="ru-RU"/>
        </w:rPr>
        <w:t xml:space="preserve">); на парвовирус </w:t>
      </w:r>
      <w:r w:rsidRPr="0038078F">
        <w:rPr>
          <w:sz w:val="24"/>
          <w:szCs w:val="24"/>
        </w:rPr>
        <w:t>B</w:t>
      </w:r>
      <w:r w:rsidRPr="0038078F">
        <w:rPr>
          <w:sz w:val="24"/>
          <w:szCs w:val="24"/>
          <w:lang w:val="ru-RU"/>
        </w:rPr>
        <w:t>19 (</w:t>
      </w:r>
      <w:r w:rsidRPr="0038078F">
        <w:rPr>
          <w:sz w:val="24"/>
          <w:szCs w:val="24"/>
        </w:rPr>
        <w:t>Parvovirus</w:t>
      </w:r>
      <w:r w:rsidRPr="0038078F">
        <w:rPr>
          <w:sz w:val="24"/>
          <w:szCs w:val="24"/>
          <w:lang w:val="ru-RU"/>
        </w:rPr>
        <w:t xml:space="preserve"> </w:t>
      </w:r>
      <w:r w:rsidRPr="0038078F">
        <w:rPr>
          <w:sz w:val="24"/>
          <w:szCs w:val="24"/>
        </w:rPr>
        <w:t>B</w:t>
      </w:r>
      <w:r w:rsidRPr="0038078F">
        <w:rPr>
          <w:sz w:val="24"/>
          <w:szCs w:val="24"/>
          <w:lang w:val="ru-RU"/>
        </w:rPr>
        <w:t xml:space="preserve">19); вирус краснухи, на листерии, на синегнойную палочку </w:t>
      </w:r>
      <w:r w:rsidRPr="0038078F">
        <w:rPr>
          <w:sz w:val="24"/>
          <w:szCs w:val="24"/>
        </w:rPr>
        <w:t>Pseudomonas</w:t>
      </w:r>
      <w:r w:rsidRPr="0038078F">
        <w:rPr>
          <w:sz w:val="24"/>
          <w:szCs w:val="24"/>
          <w:lang w:val="ru-RU"/>
        </w:rPr>
        <w:t xml:space="preserve"> </w:t>
      </w:r>
      <w:r w:rsidRPr="0038078F">
        <w:rPr>
          <w:sz w:val="24"/>
          <w:szCs w:val="24"/>
        </w:rPr>
        <w:t>aeruginosa</w:t>
      </w:r>
      <w:r w:rsidRPr="0038078F">
        <w:rPr>
          <w:sz w:val="24"/>
          <w:szCs w:val="24"/>
          <w:lang w:val="ru-RU"/>
        </w:rPr>
        <w:t xml:space="preserve">; на пиогенный стрептококк </w:t>
      </w:r>
      <w:r w:rsidRPr="0038078F">
        <w:rPr>
          <w:sz w:val="24"/>
          <w:szCs w:val="24"/>
        </w:rPr>
        <w:t>Streptococcus</w:t>
      </w:r>
      <w:r w:rsidRPr="0038078F">
        <w:rPr>
          <w:sz w:val="24"/>
          <w:szCs w:val="24"/>
          <w:lang w:val="ru-RU"/>
        </w:rPr>
        <w:t xml:space="preserve"> </w:t>
      </w:r>
      <w:r w:rsidRPr="0038078F">
        <w:rPr>
          <w:sz w:val="24"/>
          <w:szCs w:val="24"/>
        </w:rPr>
        <w:t>pyogenes</w:t>
      </w:r>
      <w:r w:rsidRPr="0038078F">
        <w:rPr>
          <w:sz w:val="24"/>
          <w:szCs w:val="24"/>
          <w:lang w:val="ru-RU"/>
        </w:rPr>
        <w:t xml:space="preserve">, на метициллин-чувствительные и метициллин-резистентные </w:t>
      </w:r>
      <w:r w:rsidRPr="0038078F">
        <w:rPr>
          <w:sz w:val="24"/>
          <w:szCs w:val="24"/>
        </w:rPr>
        <w:t>Staphylococcus</w:t>
      </w:r>
      <w:r w:rsidRPr="0038078F">
        <w:rPr>
          <w:sz w:val="24"/>
          <w:szCs w:val="24"/>
          <w:lang w:val="ru-RU"/>
        </w:rPr>
        <w:t xml:space="preserve"> </w:t>
      </w:r>
      <w:r w:rsidRPr="0038078F">
        <w:rPr>
          <w:sz w:val="24"/>
          <w:szCs w:val="24"/>
        </w:rPr>
        <w:t>aureus</w:t>
      </w:r>
      <w:r w:rsidRPr="0038078F">
        <w:rPr>
          <w:sz w:val="24"/>
          <w:szCs w:val="24"/>
          <w:lang w:val="ru-RU"/>
        </w:rPr>
        <w:t xml:space="preserve">, метициллин-резистентные коагулазонегативные </w:t>
      </w:r>
      <w:r w:rsidRPr="0038078F">
        <w:rPr>
          <w:sz w:val="24"/>
          <w:szCs w:val="24"/>
        </w:rPr>
        <w:t>Staphylococcus</w:t>
      </w:r>
      <w:r w:rsidRPr="0038078F">
        <w:rPr>
          <w:sz w:val="24"/>
          <w:szCs w:val="24"/>
          <w:lang w:val="ru-RU"/>
        </w:rPr>
        <w:t xml:space="preserve"> </w:t>
      </w:r>
      <w:r w:rsidRPr="0038078F">
        <w:rPr>
          <w:sz w:val="24"/>
          <w:szCs w:val="24"/>
        </w:rPr>
        <w:t>spp</w:t>
      </w:r>
      <w:r w:rsidRPr="0038078F">
        <w:rPr>
          <w:sz w:val="24"/>
          <w:szCs w:val="24"/>
          <w:lang w:val="ru-RU"/>
        </w:rPr>
        <w:t>.; на токсоплазмы (</w:t>
      </w:r>
      <w:r w:rsidRPr="0038078F">
        <w:rPr>
          <w:sz w:val="24"/>
          <w:szCs w:val="24"/>
        </w:rPr>
        <w:t>Toxoplasma</w:t>
      </w:r>
      <w:r w:rsidRPr="0038078F">
        <w:rPr>
          <w:sz w:val="24"/>
          <w:szCs w:val="24"/>
          <w:lang w:val="ru-RU"/>
        </w:rPr>
        <w:t xml:space="preserve"> </w:t>
      </w:r>
      <w:r w:rsidRPr="0038078F">
        <w:rPr>
          <w:sz w:val="24"/>
          <w:szCs w:val="24"/>
        </w:rPr>
        <w:t>gondii</w:t>
      </w:r>
      <w:r w:rsidRPr="0038078F">
        <w:rPr>
          <w:sz w:val="24"/>
          <w:szCs w:val="24"/>
          <w:lang w:val="ru-RU"/>
        </w:rPr>
        <w:t>); пневмококк; на бореллиоз; на лептоспироз, и другие возбудители, в том числе, методом ПЦР.</w:t>
      </w:r>
    </w:p>
    <w:p w14:paraId="5A185C6F" w14:textId="77777777" w:rsidR="00C1789B" w:rsidRPr="0038078F" w:rsidRDefault="00C1789B" w:rsidP="0007206A">
      <w:pPr>
        <w:pStyle w:val="afe"/>
        <w:widowControl w:val="0"/>
        <w:numPr>
          <w:ilvl w:val="0"/>
          <w:numId w:val="160"/>
        </w:numPr>
        <w:rPr>
          <w:rFonts w:cs="Times New Roman"/>
          <w:szCs w:val="24"/>
        </w:rPr>
      </w:pPr>
      <w:r w:rsidRPr="0038078F">
        <w:rPr>
          <w:rFonts w:cs="Times New Roman"/>
          <w:szCs w:val="24"/>
        </w:rPr>
        <w:t>По показаниям – исследование уровня электролитов (натрия, калия, кальция, хлоридов) в спинномозговой жидкости</w:t>
      </w:r>
    </w:p>
    <w:p w14:paraId="739EF80C" w14:textId="77777777" w:rsidR="00C1789B" w:rsidRPr="0038078F" w:rsidRDefault="00C1789B" w:rsidP="0007206A">
      <w:pPr>
        <w:pStyle w:val="afe"/>
        <w:ind w:left="1145"/>
        <w:rPr>
          <w:rFonts w:cs="Times New Roman"/>
          <w:szCs w:val="24"/>
        </w:rPr>
      </w:pPr>
    </w:p>
    <w:p w14:paraId="349EC983" w14:textId="7A28B1A1" w:rsidR="00C1789B" w:rsidRPr="0038078F" w:rsidRDefault="00C1789B" w:rsidP="0007206A">
      <w:pPr>
        <w:ind w:firstLine="709"/>
        <w:rPr>
          <w:i/>
          <w:iCs/>
          <w:u w:val="single"/>
        </w:rPr>
      </w:pPr>
      <w:r w:rsidRPr="0038078F">
        <w:rPr>
          <w:i/>
          <w:iCs/>
          <w:u w:val="single"/>
        </w:rPr>
        <w:t xml:space="preserve">Интерпретация данных исследований спинномозговой жидкости </w:t>
      </w:r>
      <w:r w:rsidRPr="0038078F">
        <w:rPr>
          <w:i/>
          <w:iCs/>
          <w:u w:val="single"/>
        </w:rPr>
        <w:fldChar w:fldCharType="begin" w:fldLock="1"/>
      </w:r>
      <w:r w:rsidR="00872B84">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[207]","plainTextFormattedCitation":"[207]","previouslyFormattedCitation":"[207]"},"properties":{"noteIndex":0},"schema":"https://github.com/citation-style-language/schema/raw/master/csl-citation.json"}</w:instrText>
      </w:r>
      <w:r w:rsidRPr="0038078F">
        <w:rPr>
          <w:i/>
          <w:iCs/>
          <w:u w:val="single"/>
        </w:rPr>
        <w:fldChar w:fldCharType="separate"/>
      </w:r>
      <w:r w:rsidR="00953640" w:rsidRPr="0038078F">
        <w:rPr>
          <w:iCs/>
          <w:noProof/>
        </w:rPr>
        <w:t>[207]</w:t>
      </w:r>
      <w:r w:rsidRPr="0038078F">
        <w:rPr>
          <w:i/>
          <w:iCs/>
          <w:u w:val="single"/>
        </w:rPr>
        <w:fldChar w:fldCharType="end"/>
      </w:r>
    </w:p>
    <w:p w14:paraId="4AA588D2" w14:textId="77777777" w:rsidR="00C1789B" w:rsidRPr="0038078F" w:rsidRDefault="00C1789B" w:rsidP="0007206A">
      <w:pPr>
        <w:pBdr>
          <w:top w:val="none" w:sz="96" w:space="0" w:color="FFFFFF" w:frame="1"/>
        </w:pBdr>
        <w:ind w:firstLine="709"/>
        <w:rPr>
          <w:u w:val="single"/>
        </w:rPr>
      </w:pPr>
      <w:r w:rsidRPr="0038078F">
        <w:rPr>
          <w:u w:val="single"/>
        </w:rPr>
        <w:lastRenderedPageBreak/>
        <w:t>Результаты исследований для идентификации возбудителя нейроинфекции в СМЖ</w:t>
      </w:r>
    </w:p>
    <w:p w14:paraId="4B7EBF26" w14:textId="77777777" w:rsidR="00C1789B" w:rsidRPr="0038078F" w:rsidRDefault="00C1789B" w:rsidP="0007206A">
      <w:pPr>
        <w:pBdr>
          <w:top w:val="none" w:sz="96" w:space="0" w:color="FFFFFF" w:frame="1"/>
        </w:pBdr>
        <w:ind w:firstLine="709"/>
      </w:pPr>
      <w:r w:rsidRPr="0038078F">
        <w:t xml:space="preserve">Бактериоскопия с окраской по Граму является обязательным условием исследования СМЖ, поскольку рост культуры микроорганизмов получить удается не всегда. Предварительная терапия антибиотиками снижает чувствительность культурального исследования. Для получения роста микобактерий туберкулеза рекомендуется брать большие объемы СМЖ — не менее 15 мл, а предпочтительно 40—50 мл. Диагностический порог галактоманнана в СМЖ, подтверждающий диагноз церебрального аспергиллеза, составляет 0,5. Диагноз вирусного менингита устанавливается по обнаружению ДНК вируса в СМЖ. При выявлении методом ПЦР ДНК вирусов герпес-группы (ВПГ 1, 2, 6 типов, ЦМВ, ЭБВ) необходимо количественным методом определять число копий для контроля за терапией в динамике. В сомнительных случаях установке диагноза вирусной инфекции может помочь исследование методом ПЦР вирусов в крови, антител к вирусам.  Выявление глюкуроноксиломаннана подтверждает диагноз криптококкоза. </w:t>
      </w:r>
    </w:p>
    <w:p w14:paraId="5877ECFE" w14:textId="77777777" w:rsidR="00C1789B" w:rsidRPr="0038078F" w:rsidRDefault="00C1789B" w:rsidP="0007206A">
      <w:pPr>
        <w:pBdr>
          <w:top w:val="none" w:sz="96" w:space="0" w:color="FFFFFF" w:frame="1"/>
        </w:pBdr>
        <w:ind w:firstLine="709"/>
        <w:rPr>
          <w:u w:val="single"/>
        </w:rPr>
      </w:pPr>
    </w:p>
    <w:p w14:paraId="0BCBC476" w14:textId="77777777" w:rsidR="00C1789B" w:rsidRPr="0038078F" w:rsidRDefault="00C1789B" w:rsidP="0007206A">
      <w:pPr>
        <w:pBdr>
          <w:top w:val="none" w:sz="96" w:space="0" w:color="FFFFFF" w:frame="1"/>
        </w:pBdr>
        <w:ind w:firstLine="709"/>
        <w:rPr>
          <w:u w:val="single"/>
        </w:rPr>
      </w:pPr>
      <w:r w:rsidRPr="0038078F">
        <w:rPr>
          <w:u w:val="single"/>
        </w:rPr>
        <w:t>Давление ликвора</w:t>
      </w:r>
    </w:p>
    <w:p w14:paraId="233CA3D5" w14:textId="77777777" w:rsidR="00C1789B" w:rsidRPr="0038078F" w:rsidRDefault="00C1789B" w:rsidP="0007206A">
      <w:pPr>
        <w:pBdr>
          <w:top w:val="none" w:sz="96" w:space="0" w:color="FFFFFF" w:frame="1"/>
        </w:pBdr>
        <w:ind w:firstLine="709"/>
      </w:pPr>
      <w:r w:rsidRPr="0038078F">
        <w:t xml:space="preserve">При необходимости в конце процедуры (только в положении лежа!) измеряется давление ликвора присоединением в мандрен иглы вертикального столбика (капельницы). Измерение давления ликвора следует проводить тотчас же после изъятия мандрена из иглы, так как выпускание даже 1 мл жидкости приводит к падению ее давления на 10—15 мм вод. ст. В норме давление ликвора составляет 4—18 см вод. ст., а у людей с ожирением может достигать 25 см вод. ст. Давление выше 25 см вод. ст. является диагностическим для внутричерепной гипертензии и характерно для многих состояний: менингита, внутричерепного кровоизлияния, опухоли. При выявлении повышенного давления ликвора СМЖ должна удаляться медленно и мониторироваться давление. Нельзя дополнительно удалять ликвор, если его давление достигнет 50% от исходного. </w:t>
      </w:r>
    </w:p>
    <w:p w14:paraId="6865E85C" w14:textId="77777777" w:rsidR="00C1789B" w:rsidRPr="0038078F" w:rsidRDefault="00C1789B" w:rsidP="0007206A">
      <w:pPr>
        <w:pBdr>
          <w:top w:val="none" w:sz="96" w:space="0" w:color="FFFFFF" w:frame="1"/>
        </w:pBdr>
        <w:ind w:firstLine="709"/>
        <w:rPr>
          <w:u w:val="single"/>
        </w:rPr>
      </w:pPr>
    </w:p>
    <w:p w14:paraId="2890044A" w14:textId="3F8A475F" w:rsidR="00C1789B" w:rsidRPr="0038078F" w:rsidRDefault="00C1789B" w:rsidP="0007206A">
      <w:pPr>
        <w:pBdr>
          <w:top w:val="none" w:sz="96" w:space="0" w:color="FFFFFF" w:frame="1"/>
        </w:pBdr>
        <w:ind w:firstLine="709"/>
        <w:rPr>
          <w:u w:val="single"/>
        </w:rPr>
      </w:pPr>
      <w:r w:rsidRPr="0038078F">
        <w:rPr>
          <w:u w:val="single"/>
        </w:rPr>
        <w:t xml:space="preserve">Цитоз и содержание белка в СМЖ </w:t>
      </w:r>
      <w:r w:rsidRPr="0038078F">
        <w:rPr>
          <w:i/>
          <w:iCs/>
          <w:u w:val="single"/>
        </w:rPr>
        <w:fldChar w:fldCharType="begin" w:fldLock="1"/>
      </w:r>
      <w:r w:rsidR="00872B84">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[207]","plainTextFormattedCitation":"[207]","previouslyFormattedCitation":"[207]"},"properties":{"noteIndex":0},"schema":"https://github.com/citation-style-language/schema/raw/master/csl-citation.json"}</w:instrText>
      </w:r>
      <w:r w:rsidRPr="0038078F">
        <w:rPr>
          <w:i/>
          <w:iCs/>
          <w:u w:val="single"/>
        </w:rPr>
        <w:fldChar w:fldCharType="separate"/>
      </w:r>
      <w:r w:rsidR="00953640" w:rsidRPr="0038078F">
        <w:rPr>
          <w:iCs/>
          <w:noProof/>
        </w:rPr>
        <w:t>[207]</w:t>
      </w:r>
      <w:r w:rsidRPr="0038078F">
        <w:rPr>
          <w:i/>
          <w:iCs/>
          <w:u w:val="single"/>
        </w:rPr>
        <w:fldChar w:fldCharType="end"/>
      </w:r>
    </w:p>
    <w:p w14:paraId="38014FD1" w14:textId="77777777" w:rsidR="00C1789B" w:rsidRPr="0038078F" w:rsidRDefault="00C1789B" w:rsidP="0007206A">
      <w:pPr>
        <w:pBdr>
          <w:top w:val="none" w:sz="96" w:space="0" w:color="FFFFFF" w:frame="1"/>
        </w:pBdr>
        <w:ind w:firstLine="709"/>
      </w:pPr>
      <w:r w:rsidRPr="0038078F">
        <w:t>При подсчете в камере Фукса—Розенталя, объем которой 3 мм</w:t>
      </w:r>
      <w:r w:rsidRPr="0038078F">
        <w:rPr>
          <w:vertAlign w:val="superscript"/>
        </w:rPr>
        <w:t>3</w:t>
      </w:r>
      <w:r w:rsidRPr="0038078F">
        <w:t>, подсчитывают общее количество клеток и результат указывают в виде дроби со знаменателем 3. Цитоз, например, 6/3 = 2 в 1 мкл или 2х10</w:t>
      </w:r>
      <w:r w:rsidRPr="0038078F">
        <w:rPr>
          <w:vertAlign w:val="superscript"/>
        </w:rPr>
        <w:t>6</w:t>
      </w:r>
      <w:r w:rsidRPr="0038078F">
        <w:t xml:space="preserve">/л. </w:t>
      </w:r>
    </w:p>
    <w:p w14:paraId="255FE2F6" w14:textId="77777777" w:rsidR="00C1789B" w:rsidRPr="0038078F" w:rsidRDefault="00C1789B" w:rsidP="0007206A">
      <w:pPr>
        <w:pBdr>
          <w:top w:val="none" w:sz="96" w:space="0" w:color="FFFFFF" w:frame="1"/>
        </w:pBdr>
        <w:ind w:firstLine="709"/>
      </w:pPr>
      <w:r w:rsidRPr="0038078F">
        <w:t>Содержание в СМЖ 1 г белка соответствует 1000 клеток в 1мкл (1х109/л). При преобладании белка говорят о белково-клеточной диссоциации, при обратном соотношении — клеточно-белковой диссоциации. Белково-клеточная диссоциация свидетельствует о преобладании деструктивных над воспалительными процессами (опухолевые заболевания ЦНС, абсцесс головного мозга).</w:t>
      </w:r>
    </w:p>
    <w:p w14:paraId="6A92CFA1" w14:textId="77777777" w:rsidR="00C1789B" w:rsidRPr="0038078F" w:rsidRDefault="00C1789B" w:rsidP="0007206A">
      <w:pPr>
        <w:pBdr>
          <w:top w:val="none" w:sz="96" w:space="0" w:color="FFFFFF" w:frame="1"/>
        </w:pBdr>
        <w:ind w:firstLine="709"/>
      </w:pPr>
      <w:r w:rsidRPr="0038078F">
        <w:lastRenderedPageBreak/>
        <w:t xml:space="preserve">Нормальные параметры СМЖ приведены в таб.2. </w:t>
      </w:r>
    </w:p>
    <w:p w14:paraId="1D3452A5" w14:textId="77777777" w:rsidR="00C1789B" w:rsidRPr="0038078F" w:rsidRDefault="00C1789B" w:rsidP="0007206A">
      <w:pPr>
        <w:pBdr>
          <w:top w:val="none" w:sz="96" w:space="0" w:color="FFFFFF" w:frame="1"/>
        </w:pBdr>
      </w:pPr>
    </w:p>
    <w:p w14:paraId="7B5340C8" w14:textId="58E961C5" w:rsidR="00C1789B" w:rsidRPr="0038078F" w:rsidRDefault="00C1789B" w:rsidP="0007206A">
      <w:pPr>
        <w:pBdr>
          <w:top w:val="none" w:sz="96" w:space="0" w:color="FFFFFF" w:frame="1"/>
        </w:pBdr>
      </w:pPr>
      <w:r w:rsidRPr="0038078F">
        <w:t xml:space="preserve">Таблица 2. Характеристика СМЖ в норме </w:t>
      </w:r>
      <w:r w:rsidRPr="0038078F">
        <w:rPr>
          <w:i/>
          <w:iCs/>
          <w:u w:val="single"/>
        </w:rPr>
        <w:fldChar w:fldCharType="begin" w:fldLock="1"/>
      </w:r>
      <w:r w:rsidR="00872B84">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[207]","plainTextFormattedCitation":"[207]","previouslyFormattedCitation":"[207]"},"properties":{"noteIndex":0},"schema":"https://github.com/citation-style-language/schema/raw/master/csl-citation.json"}</w:instrText>
      </w:r>
      <w:r w:rsidRPr="0038078F">
        <w:rPr>
          <w:i/>
          <w:iCs/>
          <w:u w:val="single"/>
        </w:rPr>
        <w:fldChar w:fldCharType="separate"/>
      </w:r>
      <w:r w:rsidR="00953640" w:rsidRPr="0038078F">
        <w:rPr>
          <w:iCs/>
          <w:noProof/>
        </w:rPr>
        <w:t>[207]</w:t>
      </w:r>
      <w:r w:rsidRPr="0038078F">
        <w:rPr>
          <w:i/>
          <w:iCs/>
          <w:u w:val="single"/>
        </w:rPr>
        <w:fldChar w:fldCharType="end"/>
      </w:r>
    </w:p>
    <w:tbl>
      <w:tblPr>
        <w:tblW w:w="6770" w:type="dxa"/>
        <w:tblInd w:w="7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93"/>
        <w:gridCol w:w="4677"/>
      </w:tblGrid>
      <w:tr w:rsidR="00C1789B" w:rsidRPr="0038078F" w14:paraId="0F8FF1E9" w14:textId="77777777" w:rsidTr="002D3EBF">
        <w:tc>
          <w:tcPr>
            <w:tcW w:w="2093" w:type="dxa"/>
          </w:tcPr>
          <w:p w14:paraId="43E92561" w14:textId="77777777" w:rsidR="00C1789B" w:rsidRPr="0038078F" w:rsidRDefault="00C1789B" w:rsidP="0007206A">
            <w:pPr>
              <w:pStyle w:val="table-head-bold"/>
              <w:numPr>
                <w:ilvl w:val="12"/>
                <w:numId w:val="0"/>
              </w:numPr>
              <w:spacing w:before="0"/>
              <w:rPr>
                <w:b w:val="0"/>
                <w:sz w:val="24"/>
                <w:szCs w:val="24"/>
              </w:rPr>
            </w:pPr>
            <w:r w:rsidRPr="0038078F">
              <w:rPr>
                <w:b w:val="0"/>
                <w:sz w:val="24"/>
                <w:szCs w:val="24"/>
              </w:rPr>
              <w:t>Параметр</w:t>
            </w:r>
          </w:p>
        </w:tc>
        <w:tc>
          <w:tcPr>
            <w:tcW w:w="4677" w:type="dxa"/>
          </w:tcPr>
          <w:p w14:paraId="624BC34B" w14:textId="77777777" w:rsidR="00C1789B" w:rsidRPr="0038078F" w:rsidRDefault="00C1789B" w:rsidP="0007206A">
            <w:pPr>
              <w:pStyle w:val="table-head-bold"/>
              <w:numPr>
                <w:ilvl w:val="12"/>
                <w:numId w:val="0"/>
              </w:numPr>
              <w:spacing w:before="0"/>
              <w:rPr>
                <w:b w:val="0"/>
                <w:sz w:val="24"/>
                <w:szCs w:val="24"/>
              </w:rPr>
            </w:pPr>
            <w:r w:rsidRPr="0038078F">
              <w:rPr>
                <w:b w:val="0"/>
                <w:sz w:val="24"/>
                <w:szCs w:val="24"/>
              </w:rPr>
              <w:t>Нормальные величины</w:t>
            </w:r>
          </w:p>
        </w:tc>
      </w:tr>
      <w:tr w:rsidR="00C1789B" w:rsidRPr="0038078F" w14:paraId="02540C60" w14:textId="77777777" w:rsidTr="002D3EBF">
        <w:tc>
          <w:tcPr>
            <w:tcW w:w="2093" w:type="dxa"/>
          </w:tcPr>
          <w:p w14:paraId="20402D12" w14:textId="77777777" w:rsidR="00C1789B" w:rsidRPr="0038078F" w:rsidRDefault="00C1789B" w:rsidP="0007206A">
            <w:pPr>
              <w:pStyle w:val="table-head-bold"/>
              <w:numPr>
                <w:ilvl w:val="12"/>
                <w:numId w:val="0"/>
              </w:numPr>
              <w:spacing w:before="0"/>
              <w:rPr>
                <w:b w:val="0"/>
                <w:sz w:val="24"/>
                <w:szCs w:val="24"/>
              </w:rPr>
            </w:pPr>
            <w:r w:rsidRPr="0038078F">
              <w:rPr>
                <w:b w:val="0"/>
                <w:sz w:val="24"/>
                <w:szCs w:val="24"/>
              </w:rPr>
              <w:t>Цвет</w:t>
            </w:r>
          </w:p>
        </w:tc>
        <w:tc>
          <w:tcPr>
            <w:tcW w:w="4677" w:type="dxa"/>
          </w:tcPr>
          <w:p w14:paraId="590DD292"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Бесцветный</w:t>
            </w:r>
          </w:p>
        </w:tc>
      </w:tr>
      <w:tr w:rsidR="00C1789B" w:rsidRPr="0038078F" w14:paraId="60E38746" w14:textId="77777777" w:rsidTr="002D3EBF">
        <w:tc>
          <w:tcPr>
            <w:tcW w:w="2093" w:type="dxa"/>
          </w:tcPr>
          <w:p w14:paraId="6D6B707A" w14:textId="77777777" w:rsidR="00C1789B" w:rsidRPr="0038078F" w:rsidRDefault="00C1789B" w:rsidP="0007206A">
            <w:pPr>
              <w:pStyle w:val="table-head-bold"/>
              <w:numPr>
                <w:ilvl w:val="12"/>
                <w:numId w:val="0"/>
              </w:numPr>
              <w:spacing w:before="0"/>
              <w:rPr>
                <w:b w:val="0"/>
                <w:sz w:val="24"/>
                <w:szCs w:val="24"/>
              </w:rPr>
            </w:pPr>
            <w:r w:rsidRPr="0038078F">
              <w:rPr>
                <w:b w:val="0"/>
                <w:sz w:val="24"/>
                <w:szCs w:val="24"/>
              </w:rPr>
              <w:t>Давление</w:t>
            </w:r>
          </w:p>
        </w:tc>
        <w:tc>
          <w:tcPr>
            <w:tcW w:w="4677" w:type="dxa"/>
          </w:tcPr>
          <w:p w14:paraId="4DC6DB9A"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4—18 см вод. ст.</w:t>
            </w:r>
          </w:p>
        </w:tc>
      </w:tr>
      <w:tr w:rsidR="00C1789B" w:rsidRPr="0038078F" w14:paraId="07828FEB" w14:textId="77777777" w:rsidTr="002D3EBF">
        <w:tc>
          <w:tcPr>
            <w:tcW w:w="2093" w:type="dxa"/>
          </w:tcPr>
          <w:p w14:paraId="13C96A97" w14:textId="77777777" w:rsidR="00C1789B" w:rsidRPr="0038078F" w:rsidRDefault="00C1789B" w:rsidP="0007206A">
            <w:pPr>
              <w:pStyle w:val="table-head-bold"/>
              <w:numPr>
                <w:ilvl w:val="12"/>
                <w:numId w:val="0"/>
              </w:numPr>
              <w:spacing w:before="0"/>
              <w:rPr>
                <w:b w:val="0"/>
                <w:sz w:val="24"/>
                <w:szCs w:val="24"/>
              </w:rPr>
            </w:pPr>
            <w:r w:rsidRPr="0038078F">
              <w:rPr>
                <w:b w:val="0"/>
                <w:sz w:val="24"/>
                <w:szCs w:val="24"/>
              </w:rPr>
              <w:t>Цитоз</w:t>
            </w:r>
          </w:p>
        </w:tc>
        <w:tc>
          <w:tcPr>
            <w:tcW w:w="4677" w:type="dxa"/>
          </w:tcPr>
          <w:p w14:paraId="310AD462" w14:textId="77777777" w:rsidR="00C1789B" w:rsidRPr="0038078F" w:rsidRDefault="00C1789B" w:rsidP="0007206A">
            <w:pPr>
              <w:pStyle w:val="table-text-0"/>
              <w:numPr>
                <w:ilvl w:val="12"/>
                <w:numId w:val="0"/>
              </w:numPr>
              <w:spacing w:before="0" w:line="360" w:lineRule="auto"/>
              <w:rPr>
                <w:sz w:val="24"/>
                <w:szCs w:val="24"/>
                <w:lang w:val="ru-RU"/>
              </w:rPr>
            </w:pPr>
            <w:r w:rsidRPr="0038078F">
              <w:rPr>
                <w:sz w:val="24"/>
                <w:szCs w:val="24"/>
                <w:lang w:val="ru-RU"/>
              </w:rPr>
              <w:t>0—6</w:t>
            </w:r>
            <w:r w:rsidRPr="0038078F">
              <w:rPr>
                <w:sz w:val="24"/>
                <w:szCs w:val="24"/>
              </w:rPr>
              <w:t> </w:t>
            </w:r>
            <w:r w:rsidRPr="0038078F">
              <w:rPr>
                <w:sz w:val="24"/>
                <w:szCs w:val="24"/>
                <w:lang w:val="ru-RU"/>
              </w:rPr>
              <w:t>х</w:t>
            </w:r>
            <w:r w:rsidRPr="0038078F">
              <w:rPr>
                <w:sz w:val="24"/>
                <w:szCs w:val="24"/>
              </w:rPr>
              <w:t> </w:t>
            </w:r>
            <w:r w:rsidRPr="0038078F">
              <w:rPr>
                <w:sz w:val="24"/>
                <w:szCs w:val="24"/>
                <w:lang w:val="ru-RU"/>
              </w:rPr>
              <w:t>10</w:t>
            </w:r>
            <w:r w:rsidRPr="0038078F">
              <w:rPr>
                <w:sz w:val="24"/>
                <w:szCs w:val="24"/>
                <w:vertAlign w:val="superscript"/>
                <w:lang w:val="ru-RU"/>
              </w:rPr>
              <w:t>6</w:t>
            </w:r>
            <w:r w:rsidRPr="0038078F">
              <w:rPr>
                <w:sz w:val="24"/>
                <w:szCs w:val="24"/>
                <w:lang w:val="ru-RU"/>
              </w:rPr>
              <w:t>/л (клеточный состав</w:t>
            </w:r>
            <w:r w:rsidRPr="0038078F">
              <w:rPr>
                <w:sz w:val="24"/>
                <w:szCs w:val="24"/>
              </w:rPr>
              <w:t> </w:t>
            </w:r>
            <w:r w:rsidRPr="0038078F">
              <w:rPr>
                <w:sz w:val="24"/>
                <w:szCs w:val="24"/>
                <w:lang w:val="ru-RU"/>
              </w:rPr>
              <w:t>— лимфоциты)</w:t>
            </w:r>
          </w:p>
        </w:tc>
      </w:tr>
      <w:tr w:rsidR="00C1789B" w:rsidRPr="0038078F" w14:paraId="47339D80" w14:textId="77777777" w:rsidTr="002D3EBF">
        <w:tc>
          <w:tcPr>
            <w:tcW w:w="2093" w:type="dxa"/>
          </w:tcPr>
          <w:p w14:paraId="36D7D575" w14:textId="77777777" w:rsidR="00C1789B" w:rsidRPr="0038078F" w:rsidRDefault="00C1789B" w:rsidP="0007206A">
            <w:pPr>
              <w:pStyle w:val="table-head-bold"/>
              <w:numPr>
                <w:ilvl w:val="12"/>
                <w:numId w:val="0"/>
              </w:numPr>
              <w:spacing w:before="0"/>
              <w:rPr>
                <w:b w:val="0"/>
                <w:sz w:val="24"/>
                <w:szCs w:val="24"/>
              </w:rPr>
            </w:pPr>
            <w:r w:rsidRPr="0038078F">
              <w:rPr>
                <w:b w:val="0"/>
                <w:sz w:val="24"/>
                <w:szCs w:val="24"/>
              </w:rPr>
              <w:t>Белок</w:t>
            </w:r>
          </w:p>
        </w:tc>
        <w:tc>
          <w:tcPr>
            <w:tcW w:w="4677" w:type="dxa"/>
          </w:tcPr>
          <w:p w14:paraId="1124ADFE"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0,1—0,33 г/л</w:t>
            </w:r>
          </w:p>
        </w:tc>
      </w:tr>
      <w:tr w:rsidR="00C1789B" w:rsidRPr="0038078F" w14:paraId="5FE06D60" w14:textId="77777777" w:rsidTr="002D3EBF">
        <w:tc>
          <w:tcPr>
            <w:tcW w:w="2093" w:type="dxa"/>
          </w:tcPr>
          <w:p w14:paraId="222E0221" w14:textId="77777777" w:rsidR="00C1789B" w:rsidRPr="0038078F" w:rsidRDefault="00C1789B" w:rsidP="0007206A">
            <w:pPr>
              <w:pStyle w:val="table-head-bold"/>
              <w:numPr>
                <w:ilvl w:val="12"/>
                <w:numId w:val="0"/>
              </w:numPr>
              <w:spacing w:before="0"/>
              <w:rPr>
                <w:b w:val="0"/>
                <w:sz w:val="24"/>
                <w:szCs w:val="24"/>
              </w:rPr>
            </w:pPr>
            <w:r w:rsidRPr="0038078F">
              <w:rPr>
                <w:b w:val="0"/>
                <w:sz w:val="24"/>
                <w:szCs w:val="24"/>
              </w:rPr>
              <w:t>Глюкоза</w:t>
            </w:r>
          </w:p>
        </w:tc>
        <w:tc>
          <w:tcPr>
            <w:tcW w:w="4677" w:type="dxa"/>
          </w:tcPr>
          <w:p w14:paraId="5A148287"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2,5—4,4 ммоль/л (&gt; 60% глюкозы крови)</w:t>
            </w:r>
          </w:p>
        </w:tc>
      </w:tr>
      <w:tr w:rsidR="00C1789B" w:rsidRPr="0038078F" w14:paraId="4DC8D88A" w14:textId="77777777" w:rsidTr="002D3EBF">
        <w:tc>
          <w:tcPr>
            <w:tcW w:w="2093" w:type="dxa"/>
          </w:tcPr>
          <w:p w14:paraId="3FD0F123" w14:textId="77777777" w:rsidR="00C1789B" w:rsidRPr="0038078F" w:rsidRDefault="00C1789B" w:rsidP="0007206A">
            <w:pPr>
              <w:pStyle w:val="table-head-bold"/>
              <w:numPr>
                <w:ilvl w:val="12"/>
                <w:numId w:val="0"/>
              </w:numPr>
              <w:spacing w:before="0"/>
              <w:rPr>
                <w:b w:val="0"/>
                <w:sz w:val="24"/>
                <w:szCs w:val="24"/>
              </w:rPr>
            </w:pPr>
            <w:r w:rsidRPr="0038078F">
              <w:rPr>
                <w:b w:val="0"/>
                <w:sz w:val="24"/>
                <w:szCs w:val="24"/>
              </w:rPr>
              <w:t>Лактат</w:t>
            </w:r>
          </w:p>
        </w:tc>
        <w:tc>
          <w:tcPr>
            <w:tcW w:w="4677" w:type="dxa"/>
          </w:tcPr>
          <w:p w14:paraId="4DBFAFD2"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&lt; 2,8 ммоль/л</w:t>
            </w:r>
          </w:p>
        </w:tc>
      </w:tr>
    </w:tbl>
    <w:p w14:paraId="2D280A63" w14:textId="77777777" w:rsidR="00C1789B" w:rsidRPr="0038078F" w:rsidRDefault="00C1789B" w:rsidP="0007206A">
      <w:pPr>
        <w:pStyle w:val="3"/>
        <w:spacing w:before="0"/>
        <w:rPr>
          <w:rFonts w:ascii="Times New Roman" w:hAnsi="Times New Roman" w:cs="Times New Roman"/>
          <w:b/>
          <w:u w:val="single"/>
        </w:rPr>
      </w:pPr>
    </w:p>
    <w:p w14:paraId="74235326" w14:textId="6ABD1D25" w:rsidR="00C1789B" w:rsidRPr="0038078F" w:rsidRDefault="00C1789B" w:rsidP="0007206A">
      <w:pPr>
        <w:ind w:left="1" w:firstLine="708"/>
        <w:rPr>
          <w:b/>
          <w:u w:val="single"/>
        </w:rPr>
      </w:pPr>
      <w:r w:rsidRPr="0038078F">
        <w:rPr>
          <w:u w:val="single"/>
        </w:rPr>
        <w:t xml:space="preserve">Концентрация лактата в СМЖ </w:t>
      </w:r>
      <w:r w:rsidRPr="0038078F">
        <w:rPr>
          <w:b/>
          <w:bCs/>
          <w:u w:val="single"/>
        </w:rPr>
        <w:fldChar w:fldCharType="begin" w:fldLock="1"/>
      </w:r>
      <w:r w:rsidR="00872B84">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[207]","plainTextFormattedCitation":"[207]","previouslyFormattedCitation":"[207]"},"properties":{"noteIndex":0},"schema":"https://github.com/citation-style-language/schema/raw/master/csl-citation.json"}</w:instrText>
      </w:r>
      <w:r w:rsidRPr="0038078F">
        <w:rPr>
          <w:b/>
          <w:bCs/>
          <w:u w:val="single"/>
        </w:rPr>
        <w:fldChar w:fldCharType="separate"/>
      </w:r>
      <w:r w:rsidR="00953640" w:rsidRPr="0038078F">
        <w:rPr>
          <w:noProof/>
        </w:rPr>
        <w:t>[207]</w:t>
      </w:r>
      <w:r w:rsidRPr="0038078F">
        <w:rPr>
          <w:b/>
          <w:bCs/>
          <w:u w:val="single"/>
        </w:rPr>
        <w:fldChar w:fldCharType="end"/>
      </w:r>
    </w:p>
    <w:p w14:paraId="0A39DB2F" w14:textId="77777777" w:rsidR="00C1789B" w:rsidRPr="0038078F" w:rsidRDefault="00C1789B" w:rsidP="0007206A">
      <w:pPr>
        <w:ind w:firstLine="709"/>
      </w:pPr>
      <w:r w:rsidRPr="0038078F">
        <w:t>Пороговая величина (Cut-off) лактата в СМЖ составляет 2—4 ммоль/л. Диагностическая точность измерения лактата в СМЖ выше, чем других принятых маркеров (глюкозы, отношения глюкозы СМЖ к глюкозе крови, белка СМЖ, цитоза). При бактериальном менингите лактат &gt; 6 ммоль/л; при бактериальном менингите в процессе лечения лактат составляет 4—6 ммоль/л; при асептическом (вирусном) менингите лактат &lt; 2 ммоль/л. Механизм повышения концентрации лактата при бактериальном менингите окончательно не известен; вероятные механизмы – анаэробный гликолиз в мозговой ткани вследствие снижения кровотока и повышенного потребления кислорода; поступление лактата через гематоэнцефалический барьер из сыворотки крови. Другие возможные причины повышения лактата в СМЖ: инсульт (2—8 ммоль/л); судорожный синдром (2—4 ммоль/л); черепно-мозговая травма (2—9 ммоль/л); гипогликемическая кома (2—6 ммоль/л).</w:t>
      </w:r>
    </w:p>
    <w:p w14:paraId="689A4FA5" w14:textId="77777777" w:rsidR="00C1789B" w:rsidRPr="0038078F" w:rsidRDefault="00C1789B" w:rsidP="0007206A">
      <w:pPr>
        <w:ind w:firstLine="709"/>
      </w:pPr>
      <w:r w:rsidRPr="0038078F">
        <w:t>Основные изменения состава СМЖ при поражении центральной нервной системы различной природы приведены в таб.3</w:t>
      </w:r>
    </w:p>
    <w:p w14:paraId="02EE6847" w14:textId="77777777" w:rsidR="00C1789B" w:rsidRPr="0038078F" w:rsidRDefault="00C1789B" w:rsidP="0007206A">
      <w:pPr>
        <w:pStyle w:val="table-name"/>
        <w:numPr>
          <w:ilvl w:val="12"/>
          <w:numId w:val="0"/>
        </w:numPr>
        <w:spacing w:before="0" w:line="360" w:lineRule="auto"/>
        <w:ind w:left="57" w:hanging="57"/>
        <w:rPr>
          <w:sz w:val="24"/>
          <w:szCs w:val="24"/>
          <w:lang w:val="ru-RU"/>
        </w:rPr>
      </w:pPr>
    </w:p>
    <w:p w14:paraId="0F231E86" w14:textId="1C608261" w:rsidR="00C1789B" w:rsidRPr="0038078F" w:rsidRDefault="00C1789B" w:rsidP="0007206A">
      <w:pPr>
        <w:pStyle w:val="table-name"/>
        <w:numPr>
          <w:ilvl w:val="12"/>
          <w:numId w:val="0"/>
        </w:numPr>
        <w:spacing w:before="0" w:line="360" w:lineRule="auto"/>
        <w:ind w:left="57" w:hanging="57"/>
        <w:jc w:val="both"/>
        <w:rPr>
          <w:sz w:val="24"/>
          <w:szCs w:val="24"/>
          <w:lang w:val="ru-RU"/>
        </w:rPr>
      </w:pPr>
      <w:r w:rsidRPr="0007206A">
        <w:rPr>
          <w:b w:val="0"/>
          <w:bCs w:val="0"/>
          <w:sz w:val="24"/>
          <w:szCs w:val="24"/>
          <w:lang w:val="ru-RU"/>
        </w:rPr>
        <w:t>Таблица 3. Изменения СМЖ при различных поражениях центральной нервной системы</w:t>
      </w:r>
      <w:r w:rsidRPr="0038078F">
        <w:rPr>
          <w:sz w:val="24"/>
          <w:szCs w:val="24"/>
          <w:lang w:val="ru-RU"/>
        </w:rPr>
        <w:t xml:space="preserve"> </w:t>
      </w:r>
      <w:r w:rsidRPr="0038078F">
        <w:rPr>
          <w:i/>
          <w:iCs/>
          <w:sz w:val="24"/>
          <w:szCs w:val="24"/>
          <w:u w:val="single"/>
          <w:lang w:val="ru-RU"/>
        </w:rPr>
        <w:fldChar w:fldCharType="begin" w:fldLock="1"/>
      </w:r>
      <w:r w:rsidR="00872B84">
        <w:rPr>
          <w:i/>
          <w:iCs/>
          <w:sz w:val="24"/>
          <w:szCs w:val="24"/>
          <w:u w:val="single"/>
          <w:lang w:val="ru-RU"/>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[207]","plainTextFormattedCitation":"[207]","previouslyFormattedCitation":"[207]"},"properties":{"noteIndex":0},"schema":"https://github.com/citation-style-language/schema/raw/master/csl-citation.json"}</w:instrText>
      </w:r>
      <w:r w:rsidRPr="0038078F">
        <w:rPr>
          <w:i/>
          <w:iCs/>
          <w:sz w:val="24"/>
          <w:szCs w:val="24"/>
          <w:u w:val="single"/>
          <w:lang w:val="ru-RU"/>
        </w:rPr>
        <w:fldChar w:fldCharType="separate"/>
      </w:r>
      <w:r w:rsidR="00953640" w:rsidRPr="0038078F">
        <w:rPr>
          <w:b w:val="0"/>
          <w:iCs/>
          <w:noProof/>
          <w:sz w:val="24"/>
          <w:szCs w:val="24"/>
          <w:lang w:val="ru-RU"/>
        </w:rPr>
        <w:t>[207]</w:t>
      </w:r>
      <w:r w:rsidRPr="0038078F">
        <w:rPr>
          <w:i/>
          <w:iCs/>
          <w:sz w:val="24"/>
          <w:szCs w:val="24"/>
          <w:u w:val="single"/>
          <w:lang w:val="ru-RU"/>
        </w:rPr>
        <w:fldChar w:fldCharType="end"/>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51"/>
        <w:gridCol w:w="1949"/>
        <w:gridCol w:w="1530"/>
        <w:gridCol w:w="1253"/>
        <w:gridCol w:w="1530"/>
        <w:gridCol w:w="1358"/>
      </w:tblGrid>
      <w:tr w:rsidR="00C1789B" w:rsidRPr="0038078F" w14:paraId="01FD841E" w14:textId="77777777" w:rsidTr="002D3EBF">
        <w:tc>
          <w:tcPr>
            <w:tcW w:w="1951" w:type="dxa"/>
          </w:tcPr>
          <w:p w14:paraId="5156AD08" w14:textId="77777777" w:rsidR="00C1789B" w:rsidRPr="0038078F" w:rsidRDefault="00C1789B" w:rsidP="0007206A">
            <w:pPr>
              <w:pStyle w:val="table-head-bold"/>
              <w:numPr>
                <w:ilvl w:val="12"/>
                <w:numId w:val="0"/>
              </w:numPr>
              <w:spacing w:before="0"/>
              <w:jc w:val="center"/>
              <w:rPr>
                <w:b w:val="0"/>
                <w:sz w:val="24"/>
                <w:szCs w:val="24"/>
              </w:rPr>
            </w:pPr>
            <w:r w:rsidRPr="0038078F">
              <w:rPr>
                <w:b w:val="0"/>
                <w:sz w:val="24"/>
                <w:szCs w:val="24"/>
              </w:rPr>
              <w:t>Поражение</w:t>
            </w:r>
          </w:p>
        </w:tc>
        <w:tc>
          <w:tcPr>
            <w:tcW w:w="1949" w:type="dxa"/>
          </w:tcPr>
          <w:p w14:paraId="0538FF26" w14:textId="77777777" w:rsidR="00C1789B" w:rsidRPr="0038078F" w:rsidRDefault="00C1789B" w:rsidP="0007206A">
            <w:pPr>
              <w:pStyle w:val="table-head-bold"/>
              <w:numPr>
                <w:ilvl w:val="12"/>
                <w:numId w:val="0"/>
              </w:numPr>
              <w:spacing w:before="0"/>
              <w:jc w:val="center"/>
              <w:rPr>
                <w:b w:val="0"/>
                <w:sz w:val="24"/>
                <w:szCs w:val="24"/>
              </w:rPr>
            </w:pPr>
            <w:r w:rsidRPr="0038078F">
              <w:rPr>
                <w:b w:val="0"/>
                <w:sz w:val="24"/>
                <w:szCs w:val="24"/>
              </w:rPr>
              <w:t>Цитоз, х10</w:t>
            </w:r>
            <w:r w:rsidRPr="0038078F">
              <w:rPr>
                <w:b w:val="0"/>
                <w:sz w:val="24"/>
                <w:szCs w:val="24"/>
                <w:vertAlign w:val="superscript"/>
              </w:rPr>
              <w:t>6</w:t>
            </w:r>
            <w:r w:rsidRPr="0038078F">
              <w:rPr>
                <w:b w:val="0"/>
                <w:sz w:val="24"/>
                <w:szCs w:val="24"/>
              </w:rPr>
              <w:t>/л (трети)</w:t>
            </w:r>
          </w:p>
        </w:tc>
        <w:tc>
          <w:tcPr>
            <w:tcW w:w="1530" w:type="dxa"/>
          </w:tcPr>
          <w:p w14:paraId="76A11637" w14:textId="77777777" w:rsidR="00C1789B" w:rsidRPr="0038078F" w:rsidRDefault="00C1789B" w:rsidP="0007206A">
            <w:pPr>
              <w:pStyle w:val="table-head-bold"/>
              <w:numPr>
                <w:ilvl w:val="12"/>
                <w:numId w:val="0"/>
              </w:numPr>
              <w:spacing w:before="0"/>
              <w:jc w:val="center"/>
              <w:rPr>
                <w:b w:val="0"/>
                <w:sz w:val="24"/>
                <w:szCs w:val="24"/>
              </w:rPr>
            </w:pPr>
            <w:r w:rsidRPr="0038078F">
              <w:rPr>
                <w:b w:val="0"/>
                <w:sz w:val="24"/>
                <w:szCs w:val="24"/>
              </w:rPr>
              <w:t>Тип клеток</w:t>
            </w:r>
          </w:p>
        </w:tc>
        <w:tc>
          <w:tcPr>
            <w:tcW w:w="1253" w:type="dxa"/>
          </w:tcPr>
          <w:p w14:paraId="1CDE2BC7" w14:textId="77777777" w:rsidR="00C1789B" w:rsidRPr="0038078F" w:rsidRDefault="00C1789B" w:rsidP="0007206A">
            <w:pPr>
              <w:pStyle w:val="table-head-bold"/>
              <w:numPr>
                <w:ilvl w:val="12"/>
                <w:numId w:val="0"/>
              </w:numPr>
              <w:spacing w:before="0"/>
              <w:jc w:val="center"/>
              <w:rPr>
                <w:b w:val="0"/>
                <w:sz w:val="24"/>
                <w:szCs w:val="24"/>
              </w:rPr>
            </w:pPr>
            <w:r w:rsidRPr="0038078F">
              <w:rPr>
                <w:b w:val="0"/>
                <w:sz w:val="24"/>
                <w:szCs w:val="24"/>
              </w:rPr>
              <w:t>Белок, г/л</w:t>
            </w:r>
          </w:p>
        </w:tc>
        <w:tc>
          <w:tcPr>
            <w:tcW w:w="1530" w:type="dxa"/>
          </w:tcPr>
          <w:p w14:paraId="12422512" w14:textId="77777777" w:rsidR="00C1789B" w:rsidRPr="0038078F" w:rsidRDefault="00C1789B" w:rsidP="0007206A">
            <w:pPr>
              <w:pStyle w:val="table-head-bold"/>
              <w:numPr>
                <w:ilvl w:val="12"/>
                <w:numId w:val="0"/>
              </w:numPr>
              <w:spacing w:before="0"/>
              <w:jc w:val="center"/>
              <w:rPr>
                <w:b w:val="0"/>
                <w:sz w:val="24"/>
                <w:szCs w:val="24"/>
              </w:rPr>
            </w:pPr>
            <w:r w:rsidRPr="0038078F">
              <w:rPr>
                <w:b w:val="0"/>
                <w:sz w:val="24"/>
                <w:szCs w:val="24"/>
              </w:rPr>
              <w:t>Глюкоза, ммоль/л</w:t>
            </w:r>
          </w:p>
        </w:tc>
        <w:tc>
          <w:tcPr>
            <w:tcW w:w="1358" w:type="dxa"/>
          </w:tcPr>
          <w:p w14:paraId="0E94EAB9" w14:textId="77777777" w:rsidR="00C1789B" w:rsidRPr="0038078F" w:rsidRDefault="00C1789B" w:rsidP="0007206A">
            <w:pPr>
              <w:pStyle w:val="table-head-bold"/>
              <w:numPr>
                <w:ilvl w:val="12"/>
                <w:numId w:val="0"/>
              </w:numPr>
              <w:spacing w:before="0"/>
              <w:jc w:val="center"/>
              <w:rPr>
                <w:b w:val="0"/>
                <w:sz w:val="24"/>
                <w:szCs w:val="24"/>
              </w:rPr>
            </w:pPr>
            <w:r w:rsidRPr="0038078F">
              <w:rPr>
                <w:b w:val="0"/>
                <w:sz w:val="24"/>
                <w:szCs w:val="24"/>
              </w:rPr>
              <w:t>Лактат, ммоль/л</w:t>
            </w:r>
          </w:p>
        </w:tc>
      </w:tr>
      <w:tr w:rsidR="00C1789B" w:rsidRPr="0038078F" w14:paraId="05CB2784" w14:textId="77777777" w:rsidTr="002D3EBF">
        <w:tc>
          <w:tcPr>
            <w:tcW w:w="1951" w:type="dxa"/>
          </w:tcPr>
          <w:p w14:paraId="75C21C42"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lastRenderedPageBreak/>
              <w:t>Бактериальный менингит</w:t>
            </w:r>
          </w:p>
        </w:tc>
        <w:tc>
          <w:tcPr>
            <w:tcW w:w="1949" w:type="dxa"/>
          </w:tcPr>
          <w:p w14:paraId="32C2F402" w14:textId="77777777" w:rsidR="00C1789B" w:rsidRPr="0038078F" w:rsidRDefault="00C1789B" w:rsidP="0007206A">
            <w:pPr>
              <w:pStyle w:val="table-text-0"/>
              <w:numPr>
                <w:ilvl w:val="12"/>
                <w:numId w:val="0"/>
              </w:numPr>
              <w:spacing w:before="0" w:line="360" w:lineRule="auto"/>
              <w:rPr>
                <w:sz w:val="24"/>
                <w:szCs w:val="24"/>
                <w:lang w:val="ru-RU"/>
              </w:rPr>
            </w:pPr>
            <w:r w:rsidRPr="0038078F">
              <w:rPr>
                <w:sz w:val="24"/>
                <w:szCs w:val="24"/>
                <w:lang w:val="ru-RU"/>
              </w:rPr>
              <w:t>1000—5000 (3000/3—15000/3)</w:t>
            </w:r>
          </w:p>
          <w:p w14:paraId="7C17CE02" w14:textId="77777777" w:rsidR="00C1789B" w:rsidRPr="0038078F" w:rsidRDefault="00C1789B" w:rsidP="0007206A">
            <w:pPr>
              <w:pStyle w:val="table-text-0"/>
              <w:numPr>
                <w:ilvl w:val="12"/>
                <w:numId w:val="0"/>
              </w:numPr>
              <w:spacing w:before="0" w:line="360" w:lineRule="auto"/>
              <w:rPr>
                <w:sz w:val="24"/>
                <w:szCs w:val="24"/>
                <w:lang w:val="ru-RU"/>
              </w:rPr>
            </w:pPr>
            <w:r w:rsidRPr="0038078F">
              <w:rPr>
                <w:sz w:val="24"/>
                <w:szCs w:val="24"/>
                <w:lang w:val="ru-RU"/>
              </w:rPr>
              <w:t>При агранулоцитозе цитоз может отсутствовать либо быть минимальным</w:t>
            </w:r>
          </w:p>
        </w:tc>
        <w:tc>
          <w:tcPr>
            <w:tcW w:w="1530" w:type="dxa"/>
          </w:tcPr>
          <w:p w14:paraId="38472866"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Нейтрофилы</w:t>
            </w:r>
          </w:p>
        </w:tc>
        <w:tc>
          <w:tcPr>
            <w:tcW w:w="1253" w:type="dxa"/>
          </w:tcPr>
          <w:p w14:paraId="1CE5ACB2"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1—2,5</w:t>
            </w:r>
          </w:p>
        </w:tc>
        <w:tc>
          <w:tcPr>
            <w:tcW w:w="1530" w:type="dxa"/>
          </w:tcPr>
          <w:p w14:paraId="321EE1C3" w14:textId="77777777" w:rsidR="00C1789B" w:rsidRPr="0038078F" w:rsidRDefault="00C1789B" w:rsidP="0007206A">
            <w:pPr>
              <w:pStyle w:val="table-text-0"/>
              <w:numPr>
                <w:ilvl w:val="12"/>
                <w:numId w:val="0"/>
              </w:numPr>
              <w:spacing w:before="0" w:line="360" w:lineRule="auto"/>
              <w:rPr>
                <w:sz w:val="24"/>
                <w:szCs w:val="24"/>
                <w:lang w:val="ru-RU"/>
              </w:rPr>
            </w:pPr>
            <w:r w:rsidRPr="0038078F">
              <w:rPr>
                <w:sz w:val="24"/>
                <w:szCs w:val="24"/>
                <w:lang w:val="ru-RU"/>
              </w:rPr>
              <w:t>&lt;</w:t>
            </w:r>
            <w:r w:rsidRPr="0038078F">
              <w:rPr>
                <w:sz w:val="24"/>
                <w:szCs w:val="24"/>
              </w:rPr>
              <w:t> </w:t>
            </w:r>
            <w:r w:rsidRPr="0038078F">
              <w:rPr>
                <w:sz w:val="24"/>
                <w:szCs w:val="24"/>
                <w:lang w:val="ru-RU"/>
              </w:rPr>
              <w:t>1,9 (или соотношение концентраций глюкозы в СМЖ и крови &lt;</w:t>
            </w:r>
            <w:r w:rsidRPr="0038078F">
              <w:rPr>
                <w:sz w:val="24"/>
                <w:szCs w:val="24"/>
              </w:rPr>
              <w:t> </w:t>
            </w:r>
            <w:r w:rsidRPr="0038078F">
              <w:rPr>
                <w:sz w:val="24"/>
                <w:szCs w:val="24"/>
                <w:lang w:val="ru-RU"/>
              </w:rPr>
              <w:t>0,5)</w:t>
            </w:r>
          </w:p>
        </w:tc>
        <w:tc>
          <w:tcPr>
            <w:tcW w:w="1358" w:type="dxa"/>
          </w:tcPr>
          <w:p w14:paraId="65C7B90C"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&gt; 6</w:t>
            </w:r>
          </w:p>
          <w:p w14:paraId="3A12FEF1"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Частично леченный: 2—4</w:t>
            </w:r>
          </w:p>
        </w:tc>
      </w:tr>
      <w:tr w:rsidR="00C1789B" w:rsidRPr="0038078F" w14:paraId="3876A35A" w14:textId="77777777" w:rsidTr="002D3EBF">
        <w:tc>
          <w:tcPr>
            <w:tcW w:w="1951" w:type="dxa"/>
          </w:tcPr>
          <w:p w14:paraId="5DB79CC3"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Вирусный менингит</w:t>
            </w:r>
          </w:p>
        </w:tc>
        <w:tc>
          <w:tcPr>
            <w:tcW w:w="1949" w:type="dxa"/>
          </w:tcPr>
          <w:p w14:paraId="6805CC50"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50—1000</w:t>
            </w:r>
          </w:p>
          <w:p w14:paraId="417C1359"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(150/3—3000/3)</w:t>
            </w:r>
          </w:p>
        </w:tc>
        <w:tc>
          <w:tcPr>
            <w:tcW w:w="1530" w:type="dxa"/>
          </w:tcPr>
          <w:p w14:paraId="4FFF0197"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Лимфоциты</w:t>
            </w:r>
          </w:p>
        </w:tc>
        <w:tc>
          <w:tcPr>
            <w:tcW w:w="1253" w:type="dxa"/>
          </w:tcPr>
          <w:p w14:paraId="04ECE9E8"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0,5—2</w:t>
            </w:r>
          </w:p>
        </w:tc>
        <w:tc>
          <w:tcPr>
            <w:tcW w:w="1530" w:type="dxa"/>
          </w:tcPr>
          <w:p w14:paraId="0FD619EA"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Норма или снижение</w:t>
            </w:r>
          </w:p>
        </w:tc>
        <w:tc>
          <w:tcPr>
            <w:tcW w:w="1358" w:type="dxa"/>
          </w:tcPr>
          <w:p w14:paraId="23ACD511"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&lt; 2,8</w:t>
            </w:r>
          </w:p>
        </w:tc>
      </w:tr>
      <w:tr w:rsidR="00C1789B" w:rsidRPr="0038078F" w14:paraId="64DEDA1A" w14:textId="77777777" w:rsidTr="002D3EBF">
        <w:tc>
          <w:tcPr>
            <w:tcW w:w="1951" w:type="dxa"/>
          </w:tcPr>
          <w:p w14:paraId="3A6573AF"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Криптококковый менингит</w:t>
            </w:r>
          </w:p>
        </w:tc>
        <w:tc>
          <w:tcPr>
            <w:tcW w:w="1949" w:type="dxa"/>
          </w:tcPr>
          <w:p w14:paraId="6113DF0F"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0—100</w:t>
            </w:r>
          </w:p>
          <w:p w14:paraId="52611E29"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(0/3—300/3)</w:t>
            </w:r>
          </w:p>
        </w:tc>
        <w:tc>
          <w:tcPr>
            <w:tcW w:w="1530" w:type="dxa"/>
          </w:tcPr>
          <w:p w14:paraId="72CEF152"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Лимфоциты</w:t>
            </w:r>
          </w:p>
        </w:tc>
        <w:tc>
          <w:tcPr>
            <w:tcW w:w="1253" w:type="dxa"/>
          </w:tcPr>
          <w:p w14:paraId="080CBC3F"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Норма или повышение</w:t>
            </w:r>
          </w:p>
        </w:tc>
        <w:tc>
          <w:tcPr>
            <w:tcW w:w="1530" w:type="dxa"/>
          </w:tcPr>
          <w:p w14:paraId="6B9E6E43"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Норма или снижение</w:t>
            </w:r>
          </w:p>
        </w:tc>
        <w:tc>
          <w:tcPr>
            <w:tcW w:w="1358" w:type="dxa"/>
          </w:tcPr>
          <w:p w14:paraId="37F8F514"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&lt; 4</w:t>
            </w:r>
          </w:p>
        </w:tc>
      </w:tr>
      <w:tr w:rsidR="00C1789B" w:rsidRPr="0038078F" w14:paraId="702E7D09" w14:textId="77777777" w:rsidTr="002D3EBF">
        <w:tc>
          <w:tcPr>
            <w:tcW w:w="1951" w:type="dxa"/>
          </w:tcPr>
          <w:p w14:paraId="54620F7B"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Туберкулезный менингит</w:t>
            </w:r>
          </w:p>
        </w:tc>
        <w:tc>
          <w:tcPr>
            <w:tcW w:w="1949" w:type="dxa"/>
          </w:tcPr>
          <w:p w14:paraId="50F8BB13"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&gt; 25</w:t>
            </w:r>
          </w:p>
          <w:p w14:paraId="712D9620"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(&gt; 75/3)</w:t>
            </w:r>
          </w:p>
        </w:tc>
        <w:tc>
          <w:tcPr>
            <w:tcW w:w="1530" w:type="dxa"/>
          </w:tcPr>
          <w:p w14:paraId="7CE53BBD"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Лимфоциты</w:t>
            </w:r>
          </w:p>
        </w:tc>
        <w:tc>
          <w:tcPr>
            <w:tcW w:w="1253" w:type="dxa"/>
          </w:tcPr>
          <w:p w14:paraId="0131B414"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1—10</w:t>
            </w:r>
          </w:p>
        </w:tc>
        <w:tc>
          <w:tcPr>
            <w:tcW w:w="1530" w:type="dxa"/>
          </w:tcPr>
          <w:p w14:paraId="6AD624D3" w14:textId="77777777" w:rsidR="00C1789B" w:rsidRPr="0038078F" w:rsidRDefault="00C1789B" w:rsidP="0007206A">
            <w:pPr>
              <w:pStyle w:val="table-text-0"/>
              <w:numPr>
                <w:ilvl w:val="12"/>
                <w:numId w:val="0"/>
              </w:numPr>
              <w:spacing w:before="0" w:line="360" w:lineRule="auto"/>
              <w:rPr>
                <w:sz w:val="24"/>
                <w:szCs w:val="24"/>
                <w:lang w:val="ru-RU"/>
              </w:rPr>
            </w:pPr>
            <w:r w:rsidRPr="0038078F">
              <w:rPr>
                <w:sz w:val="24"/>
                <w:szCs w:val="24"/>
                <w:lang w:val="ru-RU"/>
              </w:rPr>
              <w:t>&lt;</w:t>
            </w:r>
            <w:r w:rsidRPr="0038078F">
              <w:rPr>
                <w:sz w:val="24"/>
                <w:szCs w:val="24"/>
              </w:rPr>
              <w:t> </w:t>
            </w:r>
            <w:r w:rsidRPr="0038078F">
              <w:rPr>
                <w:sz w:val="24"/>
                <w:szCs w:val="24"/>
                <w:lang w:val="ru-RU"/>
              </w:rPr>
              <w:t>1,9 (или соотношение концентраций глюкозы в СМЖ и крови &lt;</w:t>
            </w:r>
            <w:r w:rsidRPr="0038078F">
              <w:rPr>
                <w:sz w:val="24"/>
                <w:szCs w:val="24"/>
              </w:rPr>
              <w:t> </w:t>
            </w:r>
            <w:r w:rsidRPr="0038078F">
              <w:rPr>
                <w:sz w:val="24"/>
                <w:szCs w:val="24"/>
                <w:lang w:val="ru-RU"/>
              </w:rPr>
              <w:t>0,5)</w:t>
            </w:r>
          </w:p>
        </w:tc>
        <w:tc>
          <w:tcPr>
            <w:tcW w:w="1358" w:type="dxa"/>
          </w:tcPr>
          <w:p w14:paraId="344FB062"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&gt; 3</w:t>
            </w:r>
          </w:p>
        </w:tc>
      </w:tr>
      <w:tr w:rsidR="00C1789B" w:rsidRPr="0038078F" w14:paraId="5A770BCD" w14:textId="77777777" w:rsidTr="002D3EBF">
        <w:tc>
          <w:tcPr>
            <w:tcW w:w="1951" w:type="dxa"/>
          </w:tcPr>
          <w:p w14:paraId="427FAF84"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Субарахноидальное кровоизлияние</w:t>
            </w:r>
          </w:p>
        </w:tc>
        <w:tc>
          <w:tcPr>
            <w:tcW w:w="1949" w:type="dxa"/>
          </w:tcPr>
          <w:p w14:paraId="377D2E80"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Эритроциты</w:t>
            </w:r>
          </w:p>
        </w:tc>
        <w:tc>
          <w:tcPr>
            <w:tcW w:w="1530" w:type="dxa"/>
          </w:tcPr>
          <w:p w14:paraId="586DAC48"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Эритроциты</w:t>
            </w:r>
          </w:p>
        </w:tc>
        <w:tc>
          <w:tcPr>
            <w:tcW w:w="1253" w:type="dxa"/>
          </w:tcPr>
          <w:p w14:paraId="02772073"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0,6—1,5</w:t>
            </w:r>
          </w:p>
        </w:tc>
        <w:tc>
          <w:tcPr>
            <w:tcW w:w="1530" w:type="dxa"/>
          </w:tcPr>
          <w:p w14:paraId="2F248A89"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Норма</w:t>
            </w:r>
          </w:p>
        </w:tc>
        <w:tc>
          <w:tcPr>
            <w:tcW w:w="1358" w:type="dxa"/>
          </w:tcPr>
          <w:p w14:paraId="27E36A70"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&lt; 2,8</w:t>
            </w:r>
          </w:p>
        </w:tc>
      </w:tr>
      <w:tr w:rsidR="00C1789B" w:rsidRPr="0038078F" w14:paraId="2A46ECDC" w14:textId="77777777" w:rsidTr="002D3EBF">
        <w:tc>
          <w:tcPr>
            <w:tcW w:w="1951" w:type="dxa"/>
          </w:tcPr>
          <w:p w14:paraId="240C8B65"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Норма</w:t>
            </w:r>
          </w:p>
        </w:tc>
        <w:tc>
          <w:tcPr>
            <w:tcW w:w="1949" w:type="dxa"/>
          </w:tcPr>
          <w:p w14:paraId="104C65F4"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&lt; 6 (&lt; 18/3)</w:t>
            </w:r>
          </w:p>
        </w:tc>
        <w:tc>
          <w:tcPr>
            <w:tcW w:w="1530" w:type="dxa"/>
          </w:tcPr>
          <w:p w14:paraId="5DF00753"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Только лимфоциты</w:t>
            </w:r>
          </w:p>
        </w:tc>
        <w:tc>
          <w:tcPr>
            <w:tcW w:w="1253" w:type="dxa"/>
          </w:tcPr>
          <w:p w14:paraId="5C55D225"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&lt; 0,33</w:t>
            </w:r>
          </w:p>
        </w:tc>
        <w:tc>
          <w:tcPr>
            <w:tcW w:w="1530" w:type="dxa"/>
          </w:tcPr>
          <w:p w14:paraId="636BAADC" w14:textId="77777777" w:rsidR="00C1789B" w:rsidRPr="0038078F" w:rsidRDefault="00C1789B" w:rsidP="0007206A">
            <w:pPr>
              <w:pStyle w:val="table-text-0"/>
              <w:numPr>
                <w:ilvl w:val="12"/>
                <w:numId w:val="0"/>
              </w:numPr>
              <w:spacing w:before="0" w:line="360" w:lineRule="auto"/>
              <w:rPr>
                <w:sz w:val="24"/>
                <w:szCs w:val="24"/>
                <w:lang w:val="ru-RU"/>
              </w:rPr>
            </w:pPr>
            <w:r w:rsidRPr="0038078F">
              <w:rPr>
                <w:sz w:val="24"/>
                <w:szCs w:val="24"/>
                <w:lang w:val="ru-RU"/>
              </w:rPr>
              <w:t xml:space="preserve">Соотношение концентраций глюкозы в СМЖ и крови </w:t>
            </w:r>
            <w:r w:rsidRPr="0038078F">
              <w:rPr>
                <w:sz w:val="24"/>
                <w:szCs w:val="24"/>
              </w:rPr>
              <w:t></w:t>
            </w:r>
            <w:r w:rsidRPr="0038078F">
              <w:rPr>
                <w:sz w:val="24"/>
                <w:szCs w:val="24"/>
                <w:lang w:val="ru-RU"/>
              </w:rPr>
              <w:t xml:space="preserve"> 0,5</w:t>
            </w:r>
          </w:p>
        </w:tc>
        <w:tc>
          <w:tcPr>
            <w:tcW w:w="1358" w:type="dxa"/>
          </w:tcPr>
          <w:p w14:paraId="34869676" w14:textId="77777777" w:rsidR="00C1789B" w:rsidRPr="0038078F" w:rsidRDefault="00C1789B" w:rsidP="0007206A">
            <w:pPr>
              <w:pStyle w:val="table-text-0"/>
              <w:numPr>
                <w:ilvl w:val="12"/>
                <w:numId w:val="0"/>
              </w:numPr>
              <w:spacing w:before="0" w:line="360" w:lineRule="auto"/>
              <w:rPr>
                <w:sz w:val="24"/>
                <w:szCs w:val="24"/>
              </w:rPr>
            </w:pPr>
            <w:r w:rsidRPr="0038078F">
              <w:rPr>
                <w:sz w:val="24"/>
                <w:szCs w:val="24"/>
              </w:rPr>
              <w:t>&lt; 2,8</w:t>
            </w:r>
          </w:p>
        </w:tc>
      </w:tr>
    </w:tbl>
    <w:p w14:paraId="7DF96C0A" w14:textId="77777777" w:rsidR="00C1789B" w:rsidRPr="0038078F" w:rsidRDefault="00C1789B" w:rsidP="0007206A">
      <w:pPr>
        <w:ind w:firstLine="283"/>
      </w:pPr>
    </w:p>
    <w:p w14:paraId="64B2BDB5" w14:textId="17D9AAFD" w:rsidR="00C1789B" w:rsidRPr="0038078F" w:rsidRDefault="00C1789B" w:rsidP="0007206A">
      <w:pPr>
        <w:ind w:firstLine="708"/>
        <w:rPr>
          <w:b/>
          <w:bCs/>
          <w:i/>
          <w:iCs/>
          <w:u w:val="single"/>
        </w:rPr>
      </w:pPr>
      <w:r w:rsidRPr="0038078F">
        <w:rPr>
          <w:i/>
          <w:iCs/>
          <w:u w:val="single"/>
        </w:rPr>
        <w:t xml:space="preserve">Осложнения ЛП </w:t>
      </w:r>
      <w:r w:rsidRPr="0038078F">
        <w:rPr>
          <w:b/>
          <w:bCs/>
          <w:i/>
          <w:iCs/>
          <w:u w:val="single"/>
        </w:rPr>
        <w:fldChar w:fldCharType="begin" w:fldLock="1"/>
      </w:r>
      <w:r w:rsidR="00872B84">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[207]","plainTextFormattedCitation":"[207]","previouslyFormattedCitation":"[207]"},"properties":{"noteIndex":0},"schema":"https://github.com/citation-style-language/schema/raw/master/csl-citation.json"}</w:instrText>
      </w:r>
      <w:r w:rsidRPr="0038078F">
        <w:rPr>
          <w:b/>
          <w:bCs/>
          <w:i/>
          <w:iCs/>
          <w:u w:val="single"/>
        </w:rPr>
        <w:fldChar w:fldCharType="separate"/>
      </w:r>
      <w:r w:rsidR="00953640" w:rsidRPr="0038078F">
        <w:rPr>
          <w:iCs/>
          <w:noProof/>
        </w:rPr>
        <w:t>[207]</w:t>
      </w:r>
      <w:r w:rsidRPr="0038078F">
        <w:rPr>
          <w:b/>
          <w:bCs/>
          <w:i/>
          <w:iCs/>
          <w:u w:val="single"/>
        </w:rPr>
        <w:fldChar w:fldCharType="end"/>
      </w:r>
    </w:p>
    <w:p w14:paraId="3824AF2F" w14:textId="77777777" w:rsidR="00C1789B" w:rsidRPr="0038078F" w:rsidRDefault="00C1789B" w:rsidP="0007206A">
      <w:pPr>
        <w:ind w:firstLine="708"/>
        <w:rPr>
          <w:b/>
          <w:u w:val="single"/>
        </w:rPr>
      </w:pPr>
      <w:r w:rsidRPr="0038078F">
        <w:rPr>
          <w:u w:val="single"/>
        </w:rPr>
        <w:t>Травматическая пункция</w:t>
      </w:r>
    </w:p>
    <w:p w14:paraId="72615D29" w14:textId="77777777" w:rsidR="00C1789B" w:rsidRPr="0038078F" w:rsidRDefault="00C1789B" w:rsidP="0007206A">
      <w:pPr>
        <w:ind w:firstLine="709"/>
      </w:pPr>
      <w:r w:rsidRPr="0038078F">
        <w:lastRenderedPageBreak/>
        <w:t>При травматической пункции возможна примесь крови в ликворе. Частота травматической пункции с примесью крови в среднем 20%. Для ее выявления измеряется клеточный состав в 3 порциях СМЖ. Если число эритроцитов постоянно во всех порциях, то вероятно внутричерепное кровоизлияние. Уменьшение числа эритроцитов в последующих порциях свидетельствует о травматической пункции. При травматической пункции рекомендуется повторить пункцию на более высоком уровне. При травматической пункции (примеси эритроцитов в СМЖ) наличие бластных клеток может быть обусловлено не нейролейкемией, а контаминацией ликвора кровью.</w:t>
      </w:r>
    </w:p>
    <w:p w14:paraId="1C3FEBDA" w14:textId="77777777" w:rsidR="00C1789B" w:rsidRPr="0038078F" w:rsidRDefault="00C1789B" w:rsidP="0007206A"/>
    <w:p w14:paraId="5B47CAB5" w14:textId="77777777" w:rsidR="00C1789B" w:rsidRPr="0038078F" w:rsidRDefault="00C1789B" w:rsidP="0007206A">
      <w:pPr>
        <w:ind w:firstLine="709"/>
        <w:rPr>
          <w:u w:val="single"/>
        </w:rPr>
      </w:pPr>
      <w:r w:rsidRPr="0038078F">
        <w:rPr>
          <w:u w:val="single"/>
        </w:rPr>
        <w:t>Основные осложнения, встречающимися при проведении ЛП</w:t>
      </w:r>
    </w:p>
    <w:p w14:paraId="6C386AA7" w14:textId="77777777" w:rsidR="00C1789B" w:rsidRPr="0038078F" w:rsidRDefault="00C1789B" w:rsidP="0007206A">
      <w:pPr>
        <w:pStyle w:val="FitzBullet"/>
        <w:widowControl w:val="0"/>
        <w:numPr>
          <w:ilvl w:val="0"/>
          <w:numId w:val="164"/>
        </w:numPr>
        <w:spacing w:before="0" w:after="0" w:line="360" w:lineRule="auto"/>
        <w:jc w:val="both"/>
      </w:pPr>
      <w:r w:rsidRPr="0038078F">
        <w:t>Головные боли.</w:t>
      </w:r>
    </w:p>
    <w:p w14:paraId="4B606DE5" w14:textId="77777777" w:rsidR="00C1789B" w:rsidRPr="0038078F" w:rsidRDefault="00C1789B" w:rsidP="0007206A">
      <w:pPr>
        <w:pStyle w:val="FitzBullet"/>
        <w:widowControl w:val="0"/>
        <w:numPr>
          <w:ilvl w:val="0"/>
          <w:numId w:val="164"/>
        </w:numPr>
        <w:spacing w:before="0" w:after="0" w:line="360" w:lineRule="auto"/>
        <w:jc w:val="both"/>
      </w:pPr>
      <w:r w:rsidRPr="0038078F">
        <w:t>Боли в спине.</w:t>
      </w:r>
    </w:p>
    <w:p w14:paraId="4D64D351" w14:textId="77777777" w:rsidR="00C1789B" w:rsidRPr="0038078F" w:rsidRDefault="00C1789B" w:rsidP="0007206A">
      <w:pPr>
        <w:pStyle w:val="FitzBullet"/>
        <w:widowControl w:val="0"/>
        <w:numPr>
          <w:ilvl w:val="0"/>
          <w:numId w:val="164"/>
        </w:numPr>
        <w:spacing w:before="0" w:after="0" w:line="360" w:lineRule="auto"/>
        <w:jc w:val="both"/>
      </w:pPr>
      <w:r w:rsidRPr="0038078F">
        <w:t>Инфекция.</w:t>
      </w:r>
    </w:p>
    <w:p w14:paraId="300B9E32" w14:textId="77777777" w:rsidR="00C1789B" w:rsidRPr="0038078F" w:rsidRDefault="00C1789B" w:rsidP="0007206A">
      <w:pPr>
        <w:pStyle w:val="FitzBullet"/>
        <w:widowControl w:val="0"/>
        <w:numPr>
          <w:ilvl w:val="0"/>
          <w:numId w:val="164"/>
        </w:numPr>
        <w:spacing w:before="0" w:after="0" w:line="360" w:lineRule="auto"/>
        <w:jc w:val="both"/>
      </w:pPr>
      <w:r w:rsidRPr="0038078F">
        <w:t>Субарахноидальная или эпидуральная гематома.</w:t>
      </w:r>
    </w:p>
    <w:p w14:paraId="48C0C0DA" w14:textId="77777777" w:rsidR="00C1789B" w:rsidRPr="0038078F" w:rsidRDefault="00C1789B" w:rsidP="0007206A">
      <w:pPr>
        <w:pStyle w:val="FitzBullet"/>
        <w:widowControl w:val="0"/>
        <w:numPr>
          <w:ilvl w:val="0"/>
          <w:numId w:val="164"/>
        </w:numPr>
        <w:spacing w:before="0" w:after="0" w:line="360" w:lineRule="auto"/>
        <w:jc w:val="both"/>
      </w:pPr>
      <w:r w:rsidRPr="0038078F">
        <w:t>Парез/паралич краниальных нервов.</w:t>
      </w:r>
    </w:p>
    <w:p w14:paraId="25B3391F" w14:textId="77777777" w:rsidR="00C1789B" w:rsidRPr="0038078F" w:rsidRDefault="00C1789B" w:rsidP="0007206A">
      <w:pPr>
        <w:pStyle w:val="FitzBullet"/>
        <w:widowControl w:val="0"/>
        <w:numPr>
          <w:ilvl w:val="0"/>
          <w:numId w:val="164"/>
        </w:numPr>
        <w:spacing w:before="0" w:after="0" w:line="360" w:lineRule="auto"/>
        <w:jc w:val="both"/>
      </w:pPr>
      <w:r w:rsidRPr="0038078F">
        <w:t>Вклинение/дислокация мозга при внутричерепной гипертензии.</w:t>
      </w:r>
    </w:p>
    <w:p w14:paraId="67A33081" w14:textId="77777777" w:rsidR="00C1789B" w:rsidRPr="0038078F" w:rsidRDefault="00C1789B" w:rsidP="0007206A">
      <w:pPr>
        <w:pStyle w:val="3"/>
        <w:spacing w:before="0"/>
        <w:rPr>
          <w:rFonts w:ascii="Times New Roman" w:hAnsi="Times New Roman" w:cs="Times New Roman"/>
          <w:b/>
          <w:u w:val="single"/>
        </w:rPr>
      </w:pPr>
    </w:p>
    <w:p w14:paraId="7A88A152" w14:textId="77777777" w:rsidR="00C1789B" w:rsidRPr="0038078F" w:rsidRDefault="00C1789B" w:rsidP="0007206A">
      <w:pPr>
        <w:ind w:firstLine="708"/>
        <w:rPr>
          <w:b/>
          <w:u w:val="single"/>
        </w:rPr>
      </w:pPr>
      <w:r w:rsidRPr="0038078F">
        <w:rPr>
          <w:u w:val="single"/>
        </w:rPr>
        <w:t>Постпункционная головная боль</w:t>
      </w:r>
    </w:p>
    <w:p w14:paraId="66A1CC89" w14:textId="77777777" w:rsidR="00C1789B" w:rsidRPr="0038078F" w:rsidRDefault="00C1789B" w:rsidP="0007206A">
      <w:pPr>
        <w:ind w:firstLine="709"/>
      </w:pPr>
      <w:r w:rsidRPr="0038078F">
        <w:t>Главную роль в развитии постпункционной головной боли играет постоянное истечение СМЖ из места пункции. Частота встречаемости — до 32%. Постпункционная головная боль в 4 раза чаще встречается у молодых людей, чем у пожилых в возрасте от 60 до 69 лет; этот факт объясняется тем, что у пожилых из-за атеросклероза ниже эластичность чувствительных к боли структур и из-за возрастных изменений эпидурального пространства. У молодых женщин постпункционная головная боль возникает вдвое чаще, чем у молодых мужчин.</w:t>
      </w:r>
    </w:p>
    <w:p w14:paraId="68308673" w14:textId="77777777" w:rsidR="00C1789B" w:rsidRPr="0038078F" w:rsidRDefault="00C1789B" w:rsidP="0007206A">
      <w:pPr>
        <w:ind w:firstLine="709"/>
      </w:pPr>
      <w:r w:rsidRPr="0038078F">
        <w:t>Постпункционная головная боль возникает через 24—48 после пункции, но известны случаи, когда она возникала и через 12 дней после процедуры. Симптоматика обычно регрессирует спонтанно. Консервативное лечение приводит к исчезновению боли у 50% больных через 4 дня, у 75% — через 7 дней и у 95% — через 6 недель. Самая большая описанная продолжительность постпункционной головной боли составила 19 месяцев. Более раннее начала постпункционной головной боли коррелирует с плохим прогнозом.</w:t>
      </w:r>
    </w:p>
    <w:p w14:paraId="28A2CC16" w14:textId="77777777" w:rsidR="00C1789B" w:rsidRPr="0038078F" w:rsidRDefault="00C1789B" w:rsidP="0007206A">
      <w:pPr>
        <w:ind w:firstLine="709"/>
      </w:pPr>
      <w:r w:rsidRPr="0038078F">
        <w:t xml:space="preserve">Постпункционную головную боль описывают как тупую или пульсирующую по характеру, локализуется она в лобной или затылочной области, может иррадиировать в другие участки головы. Патогномоничный признак — ее зависимость от положения тела: в вертикальном положении боль максимальна, в горизонтальном — значительно </w:t>
      </w:r>
      <w:r w:rsidRPr="0038078F">
        <w:lastRenderedPageBreak/>
        <w:t>уменьшается или проходит совсем. Движения головы, кашель, сдавление яремных вен усиливают боль. Постпункционная головная боль может сопровождаться болью и ригидностью в шее, болью в пояснице, диплопией, звоном в ушах, тошнотой и рвотой.</w:t>
      </w:r>
    </w:p>
    <w:p w14:paraId="087C2776" w14:textId="77777777" w:rsidR="00C1789B" w:rsidRPr="0038078F" w:rsidRDefault="00C1789B" w:rsidP="0007206A">
      <w:pPr>
        <w:pStyle w:val="4"/>
        <w:spacing w:line="360" w:lineRule="auto"/>
        <w:rPr>
          <w:b w:val="0"/>
          <w:sz w:val="24"/>
          <w:szCs w:val="24"/>
          <w:u w:val="single"/>
          <w:lang w:val="ru-RU"/>
        </w:rPr>
      </w:pPr>
    </w:p>
    <w:p w14:paraId="1E028793" w14:textId="77777777" w:rsidR="00C1789B" w:rsidRPr="0038078F" w:rsidRDefault="00C1789B" w:rsidP="0007206A">
      <w:pPr>
        <w:ind w:firstLine="708"/>
        <w:rPr>
          <w:b/>
          <w:u w:val="single"/>
        </w:rPr>
      </w:pPr>
      <w:r w:rsidRPr="0038078F">
        <w:rPr>
          <w:u w:val="single"/>
        </w:rPr>
        <w:t>Профилактика постпункционной головной боли</w:t>
      </w:r>
    </w:p>
    <w:p w14:paraId="6217E499" w14:textId="77777777" w:rsidR="00C1789B" w:rsidRPr="0038078F" w:rsidRDefault="00C1789B" w:rsidP="0007206A">
      <w:pPr>
        <w:pStyle w:val="Number"/>
        <w:widowControl w:val="0"/>
        <w:numPr>
          <w:ilvl w:val="0"/>
          <w:numId w:val="165"/>
        </w:numPr>
        <w:spacing w:before="0"/>
      </w:pPr>
      <w:r w:rsidRPr="0038078F">
        <w:t>Использование игл меньшего диаметра. Чем меньше диаметр иглы, тем меньше частота возникновения головной боли. Тонкая игла оставляет маленькое отверстие, которое быстро закрывается.</w:t>
      </w:r>
    </w:p>
    <w:p w14:paraId="49A9A563" w14:textId="77777777" w:rsidR="00C1789B" w:rsidRPr="0038078F" w:rsidRDefault="00C1789B" w:rsidP="0007206A">
      <w:pPr>
        <w:pStyle w:val="Number"/>
        <w:widowControl w:val="0"/>
        <w:numPr>
          <w:ilvl w:val="0"/>
          <w:numId w:val="165"/>
        </w:numPr>
        <w:spacing w:before="0"/>
      </w:pPr>
      <w:r w:rsidRPr="0038078F">
        <w:t>Применение иглы со срезом, параллельным волокнам твердой мозговой оболочки.</w:t>
      </w:r>
    </w:p>
    <w:p w14:paraId="0C3A9EB6" w14:textId="77777777" w:rsidR="00C1789B" w:rsidRPr="0038078F" w:rsidRDefault="00C1789B" w:rsidP="0007206A">
      <w:pPr>
        <w:pStyle w:val="Number"/>
        <w:widowControl w:val="0"/>
        <w:numPr>
          <w:ilvl w:val="0"/>
          <w:numId w:val="165"/>
        </w:numPr>
        <w:spacing w:before="0"/>
      </w:pPr>
      <w:r w:rsidRPr="0038078F">
        <w:t>Использование игл с тупым концом снижает частоту возникновения боли. Острая игла разрезает волокна твердой мозговой оболочки, а тупая раздвигает их, что способствует более быстрому закрытию пункционного отверстия.</w:t>
      </w:r>
    </w:p>
    <w:p w14:paraId="3FE75421" w14:textId="77777777" w:rsidR="00C1789B" w:rsidRPr="0038078F" w:rsidRDefault="00C1789B" w:rsidP="0007206A">
      <w:pPr>
        <w:pStyle w:val="Number"/>
        <w:widowControl w:val="0"/>
        <w:numPr>
          <w:ilvl w:val="0"/>
          <w:numId w:val="165"/>
        </w:numPr>
        <w:spacing w:before="0"/>
      </w:pPr>
      <w:r w:rsidRPr="0038078F">
        <w:t>Угол направления иглы по отношению к дуральному мешку: при направлении под более острым углом твердая мозговая оболочка и паутинная мозговая оболочка прокалываются в разных местах, что способствует их рассоединению при извлечении иглы и предотвращает утечку СМЖ.</w:t>
      </w:r>
    </w:p>
    <w:p w14:paraId="28934FAE" w14:textId="77777777" w:rsidR="00C1789B" w:rsidRPr="0038078F" w:rsidRDefault="00C1789B" w:rsidP="0007206A">
      <w:pPr>
        <w:pStyle w:val="4"/>
        <w:spacing w:line="360" w:lineRule="auto"/>
        <w:rPr>
          <w:b w:val="0"/>
          <w:sz w:val="24"/>
          <w:szCs w:val="24"/>
          <w:u w:val="single"/>
          <w:lang w:val="ru-RU"/>
        </w:rPr>
      </w:pPr>
    </w:p>
    <w:p w14:paraId="366489F2" w14:textId="77777777" w:rsidR="00C1789B" w:rsidRPr="0038078F" w:rsidRDefault="00C1789B" w:rsidP="0007206A">
      <w:pPr>
        <w:pStyle w:val="4"/>
        <w:spacing w:line="360" w:lineRule="auto"/>
        <w:ind w:firstLine="709"/>
        <w:rPr>
          <w:b w:val="0"/>
          <w:sz w:val="24"/>
          <w:szCs w:val="24"/>
          <w:u w:val="single"/>
          <w:lang w:val="ru-RU"/>
        </w:rPr>
      </w:pPr>
      <w:r w:rsidRPr="0038078F">
        <w:rPr>
          <w:b w:val="0"/>
          <w:sz w:val="24"/>
          <w:szCs w:val="24"/>
          <w:u w:val="single"/>
          <w:lang w:val="ru-RU"/>
        </w:rPr>
        <w:t>Лечение постпункционной боли</w:t>
      </w:r>
    </w:p>
    <w:p w14:paraId="4A0CEA8C" w14:textId="77777777" w:rsidR="00C1789B" w:rsidRPr="0038078F" w:rsidRDefault="00C1789B" w:rsidP="0007206A">
      <w:pPr>
        <w:pStyle w:val="Number"/>
        <w:widowControl w:val="0"/>
        <w:numPr>
          <w:ilvl w:val="0"/>
          <w:numId w:val="166"/>
        </w:numPr>
        <w:spacing w:before="0"/>
      </w:pPr>
      <w:r w:rsidRPr="0038078F">
        <w:t>Постельный режим устраняет воздействие гравитации на утечку СМЖ, а водная нагрузка способствует ее секреции.</w:t>
      </w:r>
    </w:p>
    <w:p w14:paraId="6C8ECA55" w14:textId="77777777" w:rsidR="00C1789B" w:rsidRPr="0038078F" w:rsidRDefault="00C1789B" w:rsidP="0007206A">
      <w:pPr>
        <w:pStyle w:val="Number"/>
        <w:widowControl w:val="0"/>
        <w:numPr>
          <w:ilvl w:val="0"/>
          <w:numId w:val="166"/>
        </w:numPr>
        <w:spacing w:before="0"/>
      </w:pPr>
      <w:r w:rsidRPr="0038078F">
        <w:t>Анальгетики и кофеин (кофеин — 500 мг в 500 мл физиологического раствора в течение 2 ч).</w:t>
      </w:r>
    </w:p>
    <w:p w14:paraId="3CF5180A" w14:textId="77777777" w:rsidR="00C1789B" w:rsidRPr="0038078F" w:rsidRDefault="00C1789B" w:rsidP="0007206A">
      <w:pPr>
        <w:pStyle w:val="Number"/>
        <w:widowControl w:val="0"/>
        <w:numPr>
          <w:ilvl w:val="0"/>
          <w:numId w:val="166"/>
        </w:numPr>
        <w:spacing w:before="0"/>
      </w:pPr>
      <w:r w:rsidRPr="0038078F">
        <w:t>Пломбировка эпидурального</w:t>
      </w:r>
      <w:r w:rsidRPr="0038078F">
        <w:rPr>
          <w:b/>
          <w:bCs/>
        </w:rPr>
        <w:t xml:space="preserve"> </w:t>
      </w:r>
      <w:r w:rsidRPr="0038078F">
        <w:t>пространства аутокровью. Для пломбировки из периферической вены пациента набирают 10—20 мл крови, которую затем медленно вводят в эпидуральное пространство. Нет необходимости вводить кровь в то же самое место, где была выполнена пункция, потому что введенная кровь мигрирует на протяжении нескольких сегментов вверх и вниз. После пломбировки пациент должен лежать в течение 6 часов.</w:t>
      </w:r>
    </w:p>
    <w:p w14:paraId="21A80689" w14:textId="77777777" w:rsidR="00C1789B" w:rsidRPr="0038078F" w:rsidRDefault="00C1789B" w:rsidP="0007206A">
      <w:pPr>
        <w:pStyle w:val="Number"/>
        <w:widowControl w:val="0"/>
        <w:numPr>
          <w:ilvl w:val="0"/>
          <w:numId w:val="166"/>
        </w:numPr>
        <w:spacing w:before="0"/>
      </w:pPr>
      <w:r w:rsidRPr="0038078F">
        <w:t>Альтернатива пломбировки кровью — эпидуральное введение декстрана 40. Этот метод может иметь большое значение, если нужно лечить свидетеля Иеговы, который отказывается от введения крови.</w:t>
      </w:r>
    </w:p>
    <w:p w14:paraId="460F7383" w14:textId="77777777" w:rsidR="00C1789B" w:rsidRPr="0038078F" w:rsidRDefault="00C1789B" w:rsidP="0007206A">
      <w:pPr>
        <w:pStyle w:val="Number"/>
        <w:widowControl w:val="0"/>
        <w:numPr>
          <w:ilvl w:val="0"/>
          <w:numId w:val="166"/>
        </w:numPr>
        <w:spacing w:before="0"/>
      </w:pPr>
      <w:r w:rsidRPr="0038078F">
        <w:t>Хирургическое ушивание дефекта твердой мозговой оболочки.</w:t>
      </w:r>
    </w:p>
    <w:p w14:paraId="59CF35D7" w14:textId="77777777" w:rsidR="00C1789B" w:rsidRPr="0038078F" w:rsidRDefault="00C1789B" w:rsidP="0007206A">
      <w:pPr>
        <w:pStyle w:val="2"/>
        <w:spacing w:before="0"/>
      </w:pPr>
    </w:p>
    <w:p w14:paraId="7D515D5B" w14:textId="063ABE7A" w:rsidR="00C1789B" w:rsidRPr="0038078F" w:rsidRDefault="00C1789B" w:rsidP="0007206A">
      <w:pPr>
        <w:ind w:firstLine="708"/>
        <w:rPr>
          <w:b/>
          <w:bCs/>
          <w:i/>
          <w:iCs/>
          <w:u w:val="single"/>
        </w:rPr>
      </w:pPr>
      <w:r w:rsidRPr="0038078F">
        <w:rPr>
          <w:i/>
          <w:iCs/>
          <w:u w:val="single"/>
        </w:rPr>
        <w:t xml:space="preserve">Лечение и профилактика нейролейкемии </w:t>
      </w:r>
      <w:r w:rsidRPr="0038078F">
        <w:rPr>
          <w:b/>
          <w:bCs/>
          <w:i/>
          <w:iCs/>
          <w:u w:val="single"/>
        </w:rPr>
        <w:fldChar w:fldCharType="begin" w:fldLock="1"/>
      </w:r>
      <w:r w:rsidR="00872B84">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[207]","plainTextFormattedCitation":"[207]","previouslyFormattedCitation":"[207]"},"properties":{"noteIndex":0},"schema":"https://github.com/citation-style-language/schema/raw/master/csl-citation.json"}</w:instrText>
      </w:r>
      <w:r w:rsidRPr="0038078F">
        <w:rPr>
          <w:b/>
          <w:bCs/>
          <w:i/>
          <w:iCs/>
          <w:u w:val="single"/>
        </w:rPr>
        <w:fldChar w:fldCharType="separate"/>
      </w:r>
      <w:r w:rsidR="00953640" w:rsidRPr="0038078F">
        <w:rPr>
          <w:iCs/>
          <w:noProof/>
        </w:rPr>
        <w:t>[207]</w:t>
      </w:r>
      <w:r w:rsidRPr="0038078F">
        <w:rPr>
          <w:b/>
          <w:bCs/>
          <w:i/>
          <w:iCs/>
          <w:u w:val="single"/>
        </w:rPr>
        <w:fldChar w:fldCharType="end"/>
      </w:r>
    </w:p>
    <w:p w14:paraId="35776D9C" w14:textId="77777777" w:rsidR="00C1789B" w:rsidRPr="0038078F" w:rsidRDefault="00C1789B" w:rsidP="0007206A">
      <w:pPr>
        <w:ind w:firstLine="709"/>
      </w:pPr>
      <w:r w:rsidRPr="0038078F">
        <w:lastRenderedPageBreak/>
        <w:t>Лечение и профилактика нейролейкемии заключается во введении интратекально лекарственных препаратов метотрексат, цитарабина глюкокортикоидных гормонов. Препараты вводятся в различных шприцах. Для разведения используется дистиллированная вода. Для интратекального введения используют лишь те препараты, в состав которых не входят консерванты, в частности бензиловый спирт.</w:t>
      </w:r>
    </w:p>
    <w:p w14:paraId="41B4D5C2" w14:textId="77777777" w:rsidR="00C1789B" w:rsidRPr="0038078F" w:rsidRDefault="00C1789B" w:rsidP="0007206A">
      <w:pPr>
        <w:ind w:firstLine="709"/>
      </w:pPr>
      <w:r w:rsidRPr="0038078F">
        <w:t>Метотрексат вводится в дозе 12,5 мг/м</w:t>
      </w:r>
      <w:r w:rsidRPr="0038078F">
        <w:rPr>
          <w:vertAlign w:val="superscript"/>
        </w:rPr>
        <w:t>2</w:t>
      </w:r>
      <w:r w:rsidRPr="0038078F">
        <w:t>, максимальная доза — 15 мг. Концентрация его в растворе должна быть 1,5 мг/мл, то есть объем раствора должен составлять 10 мл.</w:t>
      </w:r>
    </w:p>
    <w:p w14:paraId="51795662" w14:textId="77777777" w:rsidR="00C1789B" w:rsidRPr="0038078F" w:rsidRDefault="00C1789B" w:rsidP="0007206A">
      <w:pPr>
        <w:ind w:firstLine="709"/>
      </w:pPr>
      <w:r w:rsidRPr="0038078F">
        <w:t>Доза цитарабина — 20 мг/м</w:t>
      </w:r>
      <w:r w:rsidRPr="0038078F">
        <w:rPr>
          <w:vertAlign w:val="superscript"/>
        </w:rPr>
        <w:t>2</w:t>
      </w:r>
      <w:r w:rsidRPr="0038078F">
        <w:t>, объем раствора должен составлять 3 мл.</w:t>
      </w:r>
    </w:p>
    <w:p w14:paraId="36F3BE73" w14:textId="77777777" w:rsidR="00C1789B" w:rsidRPr="0038078F" w:rsidRDefault="00C1789B" w:rsidP="0007206A">
      <w:pPr>
        <w:ind w:firstLine="709"/>
      </w:pPr>
      <w:r w:rsidRPr="0038078F">
        <w:t>Доза дексаметазона — 4 мг объем раствора должен составлять 3 мл.</w:t>
      </w:r>
    </w:p>
    <w:p w14:paraId="3FDE1B3E" w14:textId="77777777" w:rsidR="00C1789B" w:rsidRPr="0038078F" w:rsidRDefault="00C1789B" w:rsidP="0007206A">
      <w:pPr>
        <w:ind w:firstLine="709"/>
      </w:pPr>
    </w:p>
    <w:p w14:paraId="46C7EEB8" w14:textId="77777777" w:rsidR="00C1789B" w:rsidRPr="0038078F" w:rsidRDefault="00C1789B" w:rsidP="0007206A">
      <w:pPr>
        <w:ind w:firstLine="709"/>
      </w:pPr>
      <w:r w:rsidRPr="0038078F">
        <w:t>Лечение нейролейкемии может сопровождаться нейротоксичностью.</w:t>
      </w:r>
    </w:p>
    <w:p w14:paraId="7F1DD079" w14:textId="77777777" w:rsidR="00C1789B" w:rsidRPr="0038078F" w:rsidRDefault="00C1789B" w:rsidP="0007206A">
      <w:pPr>
        <w:ind w:firstLine="709"/>
      </w:pPr>
      <w:r w:rsidRPr="0038078F">
        <w:rPr>
          <w:u w:val="single"/>
        </w:rPr>
        <w:t>Нейротоксичность метотрексата</w:t>
      </w:r>
      <w:r w:rsidRPr="0038078F">
        <w:t xml:space="preserve"> может проявляется одним из трех синдромов:</w:t>
      </w:r>
    </w:p>
    <w:p w14:paraId="35D3A4AC" w14:textId="77777777" w:rsidR="00C1789B" w:rsidRPr="0038078F" w:rsidRDefault="00C1789B" w:rsidP="0007206A">
      <w:pPr>
        <w:pStyle w:val="Number"/>
        <w:widowControl w:val="0"/>
        <w:numPr>
          <w:ilvl w:val="1"/>
          <w:numId w:val="165"/>
        </w:numPr>
        <w:spacing w:before="0"/>
      </w:pPr>
      <w:r w:rsidRPr="0038078F">
        <w:rPr>
          <w:bCs/>
          <w:iCs/>
        </w:rPr>
        <w:t>Острый химический арахноидит</w:t>
      </w:r>
      <w:r w:rsidRPr="0038078F">
        <w:t xml:space="preserve"> — сильная головная боль, ригидность затылочных мышц, тошнота, лихорадка, сонливость, заторможенность, наличие воспалительных клеток в ЦСЖ. Этот синдром редок, начинается через 2—4 ч после инъекции и продолжается 12—72 ч. Тяжесть проявлений уменьшается после назначения дексаметазона. Выраженность этих симптомов может быть уменьшена в будущем снижением дозы метотрексата или его заменой на альтернативный препарат. </w:t>
      </w:r>
    </w:p>
    <w:p w14:paraId="136137EC" w14:textId="77777777" w:rsidR="00C1789B" w:rsidRPr="0038078F" w:rsidRDefault="00C1789B" w:rsidP="0007206A">
      <w:pPr>
        <w:pStyle w:val="Number"/>
        <w:widowControl w:val="0"/>
        <w:numPr>
          <w:ilvl w:val="1"/>
          <w:numId w:val="165"/>
        </w:numPr>
        <w:spacing w:before="0"/>
      </w:pPr>
      <w:r w:rsidRPr="0038078F">
        <w:rPr>
          <w:bCs/>
          <w:iCs/>
        </w:rPr>
        <w:t>Подострый химический арахноидит</w:t>
      </w:r>
      <w:r w:rsidRPr="0038078F">
        <w:t xml:space="preserve"> — наблюдается у 10% пациентовх после 3—4-й интратекальной инъекции метотрексата. Проявляется моторным параличом, парезом черепно-мозговых нервов судорогами, комой. Абсолютно показано изменение терапии, поскольку продолжение лечения метотрексатом может привести к летальному исходу. </w:t>
      </w:r>
    </w:p>
    <w:p w14:paraId="13AB1F9F" w14:textId="77777777" w:rsidR="00C1789B" w:rsidRPr="0038078F" w:rsidRDefault="00C1789B" w:rsidP="0007206A">
      <w:pPr>
        <w:pStyle w:val="Number"/>
        <w:widowControl w:val="0"/>
        <w:numPr>
          <w:ilvl w:val="1"/>
          <w:numId w:val="165"/>
        </w:numPr>
        <w:spacing w:before="0"/>
      </w:pPr>
      <w:r w:rsidRPr="0038078F">
        <w:t>Х</w:t>
      </w:r>
      <w:r w:rsidRPr="0038078F">
        <w:rPr>
          <w:bCs/>
          <w:iCs/>
        </w:rPr>
        <w:t>роническая демиелинизирующая энцефалопатия</w:t>
      </w:r>
      <w:r w:rsidRPr="0038078F">
        <w:t xml:space="preserve"> — наблюдается через месяцы (до года) после интратекального введения метотрексата. </w:t>
      </w:r>
    </w:p>
    <w:p w14:paraId="26E8C3CC" w14:textId="77777777" w:rsidR="00C1789B" w:rsidRPr="0038078F" w:rsidRDefault="00C1789B" w:rsidP="0007206A">
      <w:pPr>
        <w:ind w:firstLine="709"/>
      </w:pPr>
      <w:r w:rsidRPr="0038078F">
        <w:rPr>
          <w:u w:val="single"/>
        </w:rPr>
        <w:t>Нейротоксичность цитарабина</w:t>
      </w:r>
      <w:r w:rsidRPr="0038078F">
        <w:t xml:space="preserve"> – может развиться острый </w:t>
      </w:r>
      <w:r w:rsidRPr="0038078F">
        <w:rPr>
          <w:bCs/>
          <w:iCs/>
        </w:rPr>
        <w:t>химический</w:t>
      </w:r>
      <w:r w:rsidRPr="0038078F">
        <w:t xml:space="preserve"> арахноидит.</w:t>
      </w:r>
    </w:p>
    <w:p w14:paraId="4AAC22F4" w14:textId="77777777" w:rsidR="00C1789B" w:rsidRPr="0038078F" w:rsidRDefault="00C1789B" w:rsidP="0007206A">
      <w:pPr>
        <w:ind w:firstLine="709"/>
      </w:pPr>
      <w:r w:rsidRPr="0038078F">
        <w:rPr>
          <w:u w:val="single"/>
        </w:rPr>
        <w:t>Системная токсичность метотрексата</w:t>
      </w:r>
      <w:r w:rsidRPr="0038078F">
        <w:t xml:space="preserve"> – адсорбция метотрексата из спинномозгового канала может привести к нейтропении. </w:t>
      </w:r>
    </w:p>
    <w:p w14:paraId="17ABC226" w14:textId="77777777" w:rsidR="00C1789B" w:rsidRPr="000E123F" w:rsidRDefault="00C1789B" w:rsidP="00722E18">
      <w:pPr>
        <w:pStyle w:val="2"/>
        <w:spacing w:before="0"/>
      </w:pPr>
    </w:p>
    <w:p w14:paraId="4AA0164B" w14:textId="29965083" w:rsidR="0007206A" w:rsidRPr="0007206A" w:rsidRDefault="00953640" w:rsidP="0007206A">
      <w:pPr>
        <w:pStyle w:val="2"/>
        <w:spacing w:before="0"/>
      </w:pPr>
      <w:bookmarkStart w:id="124" w:name="_Toc66096869"/>
      <w:r w:rsidRPr="000322E4">
        <w:t>Приложение А3.</w:t>
      </w:r>
      <w:r>
        <w:t xml:space="preserve">11. </w:t>
      </w:r>
      <w:r w:rsidR="0007206A" w:rsidRPr="00365626">
        <w:t>Спленэктомия у пациентов с гематологическими заболеваниями</w:t>
      </w:r>
      <w:bookmarkEnd w:id="124"/>
    </w:p>
    <w:p w14:paraId="7A840798" w14:textId="744744F9" w:rsidR="0007206A" w:rsidRPr="00365626" w:rsidRDefault="0007206A" w:rsidP="0007206A">
      <w:pPr>
        <w:ind w:firstLine="709"/>
        <w:rPr>
          <w:i/>
        </w:rPr>
      </w:pPr>
      <w:r w:rsidRPr="00365626">
        <w:t>Спленэктомия – наиболее частое оперативное вмешательство в гематологической хирургии</w:t>
      </w:r>
      <w:r>
        <w:t xml:space="preserve"> </w:t>
      </w:r>
      <w:r>
        <w:fldChar w:fldCharType="begin" w:fldLock="1"/>
      </w:r>
      <w:r w:rsidR="00B96A78">
        <w:instrText>ADDIN CSL_CITATION {"citationItems":[{"id":"ITEM-1","itemData":{"author":[{"dropping-particle":"","family":"Карагюлян","given":"С.Р.","non-dropping-particle":"","parse-names":false,"suffix":""},{"dropping-particle":"","family":"Данишян","given":"К.И.","non-dropping-particle":"","parse-names":false,"suffix":""},{"dropping-particle":"","family":"Шутов","given":"С.А.","non-dropping-particle":"","parse-names":false,"suffix":""},{"dropping-particle":"","family":"Силаев","given":"М.А.","non-dropping-particle":"","parse-names":false,"suffix":""}],"container-title":"Клиническая онкогематология","id":"ITEM-1","issue":"1","issued":{"date-parts":[["2017"]]},"page":"101-107","title":"Технические сложности выполнения спленэктомии при заболеваниях системы крови","type":"article-journal","volume":"10"},"uris":["http://www.mendeley.com/documents/?uuid=1758182b-493b-4a43-bda6-135a50dad214"]}],"mendeley":{"formattedCitation":"[208]","plainTextFormattedCitation":"[208]","previouslyFormattedCitation":"[208]"},"properties":{"noteIndex":0},"schema":"https://github.com/citation-style-language/schema/raw/master/csl-citation.json"}</w:instrText>
      </w:r>
      <w:r>
        <w:fldChar w:fldCharType="separate"/>
      </w:r>
      <w:r w:rsidR="00872B84" w:rsidRPr="00872B84">
        <w:rPr>
          <w:noProof/>
        </w:rPr>
        <w:t>[208]</w:t>
      </w:r>
      <w:r>
        <w:fldChar w:fldCharType="end"/>
      </w:r>
      <w:r w:rsidRPr="00365626">
        <w:t>.</w:t>
      </w:r>
      <w:r w:rsidRPr="00365626">
        <w:rPr>
          <w:i/>
        </w:rPr>
        <w:t xml:space="preserve"> </w:t>
      </w:r>
    </w:p>
    <w:p w14:paraId="362455F2" w14:textId="77777777" w:rsidR="0007206A" w:rsidRDefault="0007206A" w:rsidP="0007206A">
      <w:pPr>
        <w:rPr>
          <w:i/>
        </w:rPr>
      </w:pPr>
    </w:p>
    <w:p w14:paraId="2B01E4FB" w14:textId="04252139" w:rsidR="0007206A" w:rsidRPr="00365626" w:rsidRDefault="0007206A" w:rsidP="0007206A">
      <w:pPr>
        <w:rPr>
          <w:i/>
        </w:rPr>
      </w:pPr>
      <w:r w:rsidRPr="00365626">
        <w:rPr>
          <w:i/>
        </w:rPr>
        <w:lastRenderedPageBreak/>
        <w:t>Основные показания к спленэктомии</w:t>
      </w:r>
      <w:r>
        <w:rPr>
          <w:i/>
        </w:rPr>
        <w:t xml:space="preserve"> </w:t>
      </w:r>
      <w:r>
        <w:fldChar w:fldCharType="begin" w:fldLock="1"/>
      </w:r>
      <w:r w:rsidR="00B96A78">
        <w:instrText>ADDIN CSL_CITATION {"citationItems":[{"id":"ITEM-1","itemData":{"author":[{"dropping-particle":"","family":"Карагюлян","given":"С.Р.","non-dropping-particle":"","parse-names":false,"suffix":""},{"dropping-particle":"","family":"Данишян","given":"К.И.","non-dropping-particle":"","parse-names":false,"suffix":""},{"dropping-particle":"","family":"Шутов","given":"С.А.","non-dropping-particle":"","parse-names":false,"suffix":""},{"dropping-particle":"","family":"Силаев","given":"М.А.","non-dropping-particle":"","parse-names":false,"suffix":""}],"container-title":"Клиническая онкогематология","id":"ITEM-1","issue":"1","issued":{"date-parts":[["2017"]]},"page":"101-107","title":"Технические сложности выполнения спленэктомии при заболеваниях системы крови","type":"article-journal","volume":"10"},"uris":["http://www.mendeley.com/documents/?uuid=1758182b-493b-4a43-bda6-135a50dad214"]}],"mendeley":{"formattedCitation":"[208]","plainTextFormattedCitation":"[208]","previouslyFormattedCitation":"[208]"},"properties":{"noteIndex":0},"schema":"https://github.com/citation-style-language/schema/raw/master/csl-citation.json"}</w:instrText>
      </w:r>
      <w:r>
        <w:fldChar w:fldCharType="separate"/>
      </w:r>
      <w:r w:rsidR="00872B84" w:rsidRPr="00872B84">
        <w:rPr>
          <w:noProof/>
        </w:rPr>
        <w:t>[208]</w:t>
      </w:r>
      <w:r>
        <w:fldChar w:fldCharType="end"/>
      </w:r>
      <w:r w:rsidRPr="00365626">
        <w:rPr>
          <w:i/>
        </w:rPr>
        <w:t xml:space="preserve">: </w:t>
      </w:r>
    </w:p>
    <w:p w14:paraId="02BA3047" w14:textId="77777777" w:rsidR="0007206A" w:rsidRPr="00365626" w:rsidRDefault="0007206A" w:rsidP="0007206A">
      <w:pPr>
        <w:pStyle w:val="afe"/>
        <w:numPr>
          <w:ilvl w:val="0"/>
          <w:numId w:val="167"/>
        </w:numPr>
        <w:rPr>
          <w:rFonts w:cs="Times New Roman"/>
          <w:szCs w:val="24"/>
        </w:rPr>
      </w:pPr>
      <w:r w:rsidRPr="00365626">
        <w:rPr>
          <w:rFonts w:cs="Times New Roman"/>
          <w:szCs w:val="24"/>
        </w:rPr>
        <w:t>идиопатическая тромбоцитопеническая пурпура (иммунная тромбоцитопения);</w:t>
      </w:r>
    </w:p>
    <w:p w14:paraId="3BDAC505" w14:textId="77777777" w:rsidR="0007206A" w:rsidRPr="00365626" w:rsidRDefault="0007206A" w:rsidP="0007206A">
      <w:pPr>
        <w:pStyle w:val="afe"/>
        <w:numPr>
          <w:ilvl w:val="0"/>
          <w:numId w:val="167"/>
        </w:numPr>
        <w:rPr>
          <w:rFonts w:cs="Times New Roman"/>
          <w:szCs w:val="24"/>
        </w:rPr>
      </w:pPr>
      <w:r w:rsidRPr="00365626">
        <w:rPr>
          <w:rFonts w:cs="Times New Roman"/>
          <w:szCs w:val="24"/>
        </w:rPr>
        <w:t>гемолитическая анемия (врожденная и приобретенная формы);</w:t>
      </w:r>
    </w:p>
    <w:p w14:paraId="52C5379F" w14:textId="77777777" w:rsidR="0007206A" w:rsidRPr="00365626" w:rsidRDefault="0007206A" w:rsidP="0007206A">
      <w:pPr>
        <w:pStyle w:val="afe"/>
        <w:numPr>
          <w:ilvl w:val="0"/>
          <w:numId w:val="167"/>
        </w:numPr>
        <w:rPr>
          <w:rFonts w:cs="Times New Roman"/>
          <w:szCs w:val="24"/>
        </w:rPr>
      </w:pPr>
      <w:r w:rsidRPr="00365626">
        <w:rPr>
          <w:rFonts w:cs="Times New Roman"/>
          <w:szCs w:val="24"/>
        </w:rPr>
        <w:t>лимфопролиферативные заболевания (лейкозы и лимфомы) с преимущественным поражением селезенки;</w:t>
      </w:r>
    </w:p>
    <w:p w14:paraId="72F3A154" w14:textId="77777777" w:rsidR="0007206A" w:rsidRPr="00365626" w:rsidRDefault="0007206A" w:rsidP="0007206A">
      <w:pPr>
        <w:pStyle w:val="afe"/>
        <w:numPr>
          <w:ilvl w:val="0"/>
          <w:numId w:val="167"/>
        </w:numPr>
        <w:rPr>
          <w:rFonts w:cs="Times New Roman"/>
          <w:szCs w:val="24"/>
        </w:rPr>
      </w:pPr>
      <w:r w:rsidRPr="00365626">
        <w:rPr>
          <w:rFonts w:cs="Times New Roman"/>
          <w:szCs w:val="24"/>
        </w:rPr>
        <w:t>резидуальная спленомегалия (остаточная спленомегалия или остаточное очаговое поражение селезенки при достижении ремиссии лимфом);</w:t>
      </w:r>
    </w:p>
    <w:p w14:paraId="07811A2A" w14:textId="77777777" w:rsidR="0007206A" w:rsidRPr="00365626" w:rsidRDefault="0007206A" w:rsidP="0007206A">
      <w:pPr>
        <w:pStyle w:val="afe"/>
        <w:numPr>
          <w:ilvl w:val="0"/>
          <w:numId w:val="167"/>
        </w:numPr>
        <w:rPr>
          <w:rFonts w:cs="Times New Roman"/>
          <w:szCs w:val="24"/>
        </w:rPr>
      </w:pPr>
      <w:r w:rsidRPr="00365626">
        <w:rPr>
          <w:rFonts w:cs="Times New Roman"/>
          <w:szCs w:val="24"/>
        </w:rPr>
        <w:t>обширный инфаркт селезенки, угроза разрыва селезенки;</w:t>
      </w:r>
    </w:p>
    <w:p w14:paraId="7ED58077" w14:textId="77777777" w:rsidR="0007206A" w:rsidRPr="00365626" w:rsidRDefault="0007206A" w:rsidP="0007206A">
      <w:pPr>
        <w:pStyle w:val="afe"/>
        <w:numPr>
          <w:ilvl w:val="0"/>
          <w:numId w:val="167"/>
        </w:numPr>
        <w:rPr>
          <w:rFonts w:cs="Times New Roman"/>
          <w:szCs w:val="24"/>
        </w:rPr>
      </w:pPr>
      <w:r w:rsidRPr="00365626">
        <w:rPr>
          <w:rFonts w:cs="Times New Roman"/>
          <w:szCs w:val="24"/>
        </w:rPr>
        <w:t>абсцессы селезенки;</w:t>
      </w:r>
    </w:p>
    <w:p w14:paraId="5FAE52CF" w14:textId="77777777" w:rsidR="0007206A" w:rsidRPr="00365626" w:rsidRDefault="0007206A" w:rsidP="0007206A">
      <w:pPr>
        <w:pStyle w:val="afe"/>
        <w:numPr>
          <w:ilvl w:val="0"/>
          <w:numId w:val="167"/>
        </w:numPr>
        <w:rPr>
          <w:rFonts w:cs="Times New Roman"/>
          <w:szCs w:val="24"/>
        </w:rPr>
      </w:pPr>
      <w:r w:rsidRPr="00365626">
        <w:rPr>
          <w:rFonts w:cs="Times New Roman"/>
          <w:szCs w:val="24"/>
        </w:rPr>
        <w:t>вторичные цитопении (нейтропения, тромбоцитопения);</w:t>
      </w:r>
    </w:p>
    <w:p w14:paraId="3DABB986" w14:textId="77777777" w:rsidR="0007206A" w:rsidRPr="00365626" w:rsidRDefault="0007206A" w:rsidP="0007206A">
      <w:pPr>
        <w:pStyle w:val="afe"/>
        <w:numPr>
          <w:ilvl w:val="0"/>
          <w:numId w:val="167"/>
        </w:numPr>
        <w:rPr>
          <w:rFonts w:cs="Times New Roman"/>
          <w:szCs w:val="24"/>
        </w:rPr>
      </w:pPr>
      <w:r w:rsidRPr="00365626">
        <w:rPr>
          <w:rFonts w:cs="Times New Roman"/>
          <w:szCs w:val="24"/>
        </w:rPr>
        <w:t>диагностическая спленэктомия при спленомегалии и/или очаговом поражении селезенки неуточненного генеза;</w:t>
      </w:r>
    </w:p>
    <w:p w14:paraId="7FF919D9" w14:textId="77777777" w:rsidR="0007206A" w:rsidRPr="00365626" w:rsidRDefault="0007206A" w:rsidP="0007206A">
      <w:pPr>
        <w:pStyle w:val="afe"/>
        <w:numPr>
          <w:ilvl w:val="0"/>
          <w:numId w:val="167"/>
        </w:numPr>
        <w:rPr>
          <w:rFonts w:cs="Times New Roman"/>
          <w:szCs w:val="24"/>
        </w:rPr>
      </w:pPr>
      <w:r w:rsidRPr="00365626">
        <w:rPr>
          <w:rFonts w:cs="Times New Roman"/>
          <w:szCs w:val="24"/>
        </w:rPr>
        <w:t>этап иммуносупрессивной терапии при апластической анемии, миелодиспластическом синдроме (МДС) и апластических синдромах.</w:t>
      </w:r>
    </w:p>
    <w:p w14:paraId="1261A7AD" w14:textId="77777777" w:rsidR="0007206A" w:rsidRPr="00365626" w:rsidRDefault="0007206A" w:rsidP="0007206A">
      <w:pPr>
        <w:ind w:firstLine="709"/>
      </w:pPr>
      <w:r w:rsidRPr="00365626">
        <w:t>Выбор доступа (лапароскопический или лапаротомный) определяется размерами селезенки, топографо-анатомическими соотношениями с другими органами, наличием выраженных сращений с окружающими органами и тканями (прорастание опухоли селезенки).</w:t>
      </w:r>
    </w:p>
    <w:p w14:paraId="476A457B" w14:textId="50D614C8" w:rsidR="0007206A" w:rsidRPr="00365626" w:rsidRDefault="0007206A" w:rsidP="0007206A">
      <w:pPr>
        <w:ind w:firstLine="709"/>
      </w:pPr>
      <w:r w:rsidRPr="00365626">
        <w:t>Лапароскопический доступ к селезенке позволяет снизить количество интра- и послеоперационных осложнений, уменьшить выраженность послеоперационной боли, сократить сроки госпитализации, улучшить косметический результат  и повысить качество жизни пациентов</w:t>
      </w:r>
      <w:r>
        <w:t xml:space="preserve"> </w:t>
      </w:r>
      <w:r>
        <w:fldChar w:fldCharType="begin" w:fldLock="1"/>
      </w:r>
      <w:r w:rsidR="00B96A78">
        <w:instrText>ADDIN CSL_CITATION {"citationItems":[{"id":"ITEM-1","itemData":{"author":[{"dropping-particle":"","family":"Карагюлян","given":"С.Р.","non-dropping-particle":"","parse-names":false,"suffix":""},{"dropping-particle":"","family":"Данишян","given":"К.И.","non-dropping-particle":"","parse-names":false,"suffix":""},{"dropping-particle":"","family":"Шутов","given":"С.А.","non-dropping-particle":"","parse-names":false,"suffix":""},{"dropping-particle":"","family":"Силаев","given":"М.А.","non-dropping-particle":"","parse-names":false,"suffix":""}],"container-title":"Клиническая онкогематология","id":"ITEM-1","issue":"1","issued":{"date-parts":[["2017"]]},"page":"101-107","title":"Технические сложности выполнения спленэктомии при заболеваниях системы крови","type":"article-journal","volume":"10"},"uris":["http://www.mendeley.com/documents/?uuid=1758182b-493b-4a43-bda6-135a50dad214"]}],"mendeley":{"formattedCitation":"[208]","plainTextFormattedCitation":"[208]","previouslyFormattedCitation":"[208]"},"properties":{"noteIndex":0},"schema":"https://github.com/citation-style-language/schema/raw/master/csl-citation.json"}</w:instrText>
      </w:r>
      <w:r>
        <w:fldChar w:fldCharType="separate"/>
      </w:r>
      <w:r w:rsidR="00872B84" w:rsidRPr="00872B84">
        <w:rPr>
          <w:noProof/>
        </w:rPr>
        <w:t>[208]</w:t>
      </w:r>
      <w:r>
        <w:fldChar w:fldCharType="end"/>
      </w:r>
      <w:r w:rsidRPr="00365626">
        <w:t>.</w:t>
      </w:r>
    </w:p>
    <w:p w14:paraId="52F84AE9" w14:textId="045852E1" w:rsidR="0007206A" w:rsidRPr="00365626" w:rsidRDefault="0007206A" w:rsidP="0007206A">
      <w:pPr>
        <w:ind w:firstLine="709"/>
      </w:pPr>
      <w:r w:rsidRPr="00365626">
        <w:t>Факторы, осложняющие выполнение спленэктомии лапароскопическим доступом: портальная гипертензия, периспленит, большие размеры селезенки, наличие предшествующих операций</w:t>
      </w:r>
      <w:r>
        <w:t xml:space="preserve"> </w:t>
      </w:r>
      <w:r>
        <w:fldChar w:fldCharType="begin" w:fldLock="1"/>
      </w:r>
      <w:r w:rsidR="00B96A78">
        <w:instrText>ADDIN CSL_CITATION {"citationItems":[{"id":"ITEM-1","itemData":{"author":[{"dropping-particle":"","family":"Карагюлян","given":"С.Р.","non-dropping-particle":"","parse-names":false,"suffix":""},{"dropping-particle":"","family":"Данишян","given":"К.И.","non-dropping-particle":"","parse-names":false,"suffix":""},{"dropping-particle":"","family":"Шутов","given":"С.А.","non-dropping-particle":"","parse-names":false,"suffix":""},{"dropping-particle":"","family":"Силаев","given":"М.А.","non-dropping-particle":"","parse-names":false,"suffix":""}],"container-title":"Клиническая онкогематология","id":"ITEM-1","issue":"1","issued":{"date-parts":[["2017"]]},"page":"101-107","title":"Технические сложности выполнения спленэктомии при заболеваниях системы крови","type":"article-journal","volume":"10"},"uris":["http://www.mendeley.com/documents/?uuid=1758182b-493b-4a43-bda6-135a50dad214"]}],"mendeley":{"formattedCitation":"[208]","plainTextFormattedCitation":"[208]","previouslyFormattedCitation":"[208]"},"properties":{"noteIndex":0},"schema":"https://github.com/citation-style-language/schema/raw/master/csl-citation.json"}</w:instrText>
      </w:r>
      <w:r>
        <w:fldChar w:fldCharType="separate"/>
      </w:r>
      <w:r w:rsidR="00872B84" w:rsidRPr="00872B84">
        <w:rPr>
          <w:noProof/>
        </w:rPr>
        <w:t>[208]</w:t>
      </w:r>
      <w:r>
        <w:fldChar w:fldCharType="end"/>
      </w:r>
      <w:r w:rsidRPr="00365626">
        <w:t>.</w:t>
      </w:r>
    </w:p>
    <w:p w14:paraId="1A5EB493" w14:textId="77777777" w:rsidR="0007206A" w:rsidRDefault="0007206A" w:rsidP="0007206A">
      <w:pPr>
        <w:rPr>
          <w:bCs/>
          <w:i/>
          <w:iCs/>
          <w:u w:val="single"/>
        </w:rPr>
      </w:pPr>
    </w:p>
    <w:p w14:paraId="3E421C68" w14:textId="77777777" w:rsidR="0007206A" w:rsidRPr="00E74B7B" w:rsidRDefault="0007206A" w:rsidP="0007206A">
      <w:pPr>
        <w:rPr>
          <w:bCs/>
          <w:i/>
          <w:iCs/>
          <w:u w:val="single"/>
        </w:rPr>
      </w:pPr>
      <w:r w:rsidRPr="00E74B7B">
        <w:rPr>
          <w:bCs/>
          <w:i/>
          <w:iCs/>
          <w:u w:val="single"/>
        </w:rPr>
        <w:t>Предоперационное обследование:</w:t>
      </w:r>
    </w:p>
    <w:p w14:paraId="094893AE" w14:textId="0A1E08A4" w:rsidR="0007206A" w:rsidRPr="00365626" w:rsidRDefault="0007206A" w:rsidP="0007206A">
      <w:pPr>
        <w:rPr>
          <w:i/>
        </w:rPr>
      </w:pPr>
      <w:r w:rsidRPr="00365626">
        <w:rPr>
          <w:i/>
        </w:rPr>
        <w:t>Лабораторные исследования</w:t>
      </w:r>
      <w:r>
        <w:rPr>
          <w:i/>
        </w:rPr>
        <w:t xml:space="preserve"> </w:t>
      </w:r>
      <w:r>
        <w:fldChar w:fldCharType="begin" w:fldLock="1"/>
      </w:r>
      <w:r w:rsidR="00B96A78">
        <w:instrText>ADDIN CSL_CITATION {"citationItems":[{"id":"ITEM-1","itemData":{"author":[{"dropping-particle":"","family":"Карагюлян","given":"С.Р.","non-dropping-particle":"","parse-names":false,"suffix":""},{"dropping-particle":"","family":"Данишян","given":"К.И.","non-dropping-particle":"","parse-names":false,"suffix":""},{"dropping-particle":"","family":"Шутов","given":"С.А.","non-dropping-particle":"","parse-names":false,"suffix":""},{"dropping-particle":"","family":"Силаев","given":"М.А.","non-dropping-particle":"","parse-names":false,"suffix":""}],"container-title":"Клиническая онкогематология","id":"ITEM-1","issue":"1","issued":{"date-parts":[["2017"]]},"page":"101-107","title":"Технические сложности выполнения спленэктомии при заболеваниях системы крови","type":"article-journal","volume":"10"},"uris":["http://www.mendeley.com/documents/?uuid=1758182b-493b-4a43-bda6-135a50dad214"]}],"mendeley":{"formattedCitation":"[208]","plainTextFormattedCitation":"[208]","previouslyFormattedCitation":"[208]"},"properties":{"noteIndex":0},"schema":"https://github.com/citation-style-language/schema/raw/master/csl-citation.json"}</w:instrText>
      </w:r>
      <w:r>
        <w:fldChar w:fldCharType="separate"/>
      </w:r>
      <w:r w:rsidR="00872B84" w:rsidRPr="00872B84">
        <w:rPr>
          <w:noProof/>
        </w:rPr>
        <w:t>[208]</w:t>
      </w:r>
      <w:r>
        <w:fldChar w:fldCharType="end"/>
      </w:r>
      <w:r w:rsidRPr="00365626">
        <w:rPr>
          <w:i/>
        </w:rPr>
        <w:t xml:space="preserve">: </w:t>
      </w:r>
    </w:p>
    <w:p w14:paraId="40564224" w14:textId="77777777" w:rsidR="0007206A" w:rsidRPr="00365626" w:rsidRDefault="0007206A" w:rsidP="0007206A">
      <w:pPr>
        <w:pStyle w:val="afe"/>
        <w:numPr>
          <w:ilvl w:val="0"/>
          <w:numId w:val="168"/>
        </w:numPr>
        <w:rPr>
          <w:rFonts w:cs="Times New Roman"/>
          <w:szCs w:val="24"/>
        </w:rPr>
      </w:pPr>
      <w:r w:rsidRPr="00365626">
        <w:rPr>
          <w:rFonts w:cs="Times New Roman"/>
          <w:szCs w:val="24"/>
        </w:rPr>
        <w:t xml:space="preserve">клинический анализ крови с определением количества тромбоцитов, в том числе и в окрашенном мазке крови по Фонио; </w:t>
      </w:r>
    </w:p>
    <w:p w14:paraId="4834474E" w14:textId="77777777" w:rsidR="0007206A" w:rsidRPr="00365626" w:rsidRDefault="0007206A" w:rsidP="0007206A">
      <w:pPr>
        <w:pStyle w:val="afe"/>
        <w:numPr>
          <w:ilvl w:val="0"/>
          <w:numId w:val="168"/>
        </w:numPr>
        <w:rPr>
          <w:rFonts w:cs="Times New Roman"/>
          <w:szCs w:val="24"/>
        </w:rPr>
      </w:pPr>
      <w:r w:rsidRPr="00365626">
        <w:rPr>
          <w:rFonts w:cs="Times New Roman"/>
          <w:szCs w:val="24"/>
        </w:rPr>
        <w:t>общий анализ мочи;</w:t>
      </w:r>
    </w:p>
    <w:p w14:paraId="18A04837" w14:textId="77777777" w:rsidR="0007206A" w:rsidRPr="00365626" w:rsidRDefault="0007206A" w:rsidP="0007206A">
      <w:pPr>
        <w:pStyle w:val="afe"/>
        <w:numPr>
          <w:ilvl w:val="0"/>
          <w:numId w:val="168"/>
        </w:numPr>
        <w:rPr>
          <w:rFonts w:cs="Times New Roman"/>
          <w:szCs w:val="24"/>
        </w:rPr>
      </w:pPr>
      <w:r w:rsidRPr="00365626">
        <w:rPr>
          <w:rFonts w:cs="Times New Roman"/>
          <w:szCs w:val="24"/>
        </w:rPr>
        <w:t>биохимический анализ крови: общий белок, альбумин, глобулин, мочевая кислота, мочевина, креатинин, билирубин непрямой, билирубин прямой, калий, натрий, кальций, хлор, щелочная фосфатаза, АСТ, АЛТ, ЛДГ, ГГТ, железо, глюкоза;</w:t>
      </w:r>
    </w:p>
    <w:p w14:paraId="57FF2764" w14:textId="77777777" w:rsidR="0007206A" w:rsidRPr="00365626" w:rsidRDefault="0007206A" w:rsidP="0007206A">
      <w:pPr>
        <w:pStyle w:val="afe"/>
        <w:numPr>
          <w:ilvl w:val="0"/>
          <w:numId w:val="168"/>
        </w:numPr>
        <w:rPr>
          <w:rFonts w:cs="Times New Roman"/>
          <w:szCs w:val="24"/>
        </w:rPr>
      </w:pPr>
      <w:r w:rsidRPr="00365626">
        <w:rPr>
          <w:rFonts w:cs="Times New Roman"/>
          <w:szCs w:val="24"/>
        </w:rPr>
        <w:lastRenderedPageBreak/>
        <w:t xml:space="preserve">коагулограмма: АЧТВ, ПВ, ТВ, фибриноген, антитромбин </w:t>
      </w:r>
      <w:r w:rsidRPr="00365626">
        <w:rPr>
          <w:rFonts w:cs="Times New Roman"/>
          <w:szCs w:val="24"/>
          <w:lang w:val="en-US"/>
        </w:rPr>
        <w:t>III</w:t>
      </w:r>
      <w:r w:rsidRPr="00365626">
        <w:rPr>
          <w:rFonts w:cs="Times New Roman"/>
          <w:szCs w:val="24"/>
        </w:rPr>
        <w:t xml:space="preserve">, протеин С (по показаниям), протеин </w:t>
      </w:r>
      <w:r w:rsidRPr="00365626">
        <w:rPr>
          <w:rFonts w:cs="Times New Roman"/>
          <w:szCs w:val="24"/>
          <w:lang w:val="en-US"/>
        </w:rPr>
        <w:t>S</w:t>
      </w:r>
      <w:r w:rsidRPr="00365626">
        <w:rPr>
          <w:rFonts w:cs="Times New Roman"/>
          <w:szCs w:val="24"/>
        </w:rPr>
        <w:t xml:space="preserve"> (по показаниям), агрегация тромбоцитов (</w:t>
      </w:r>
      <w:r w:rsidRPr="00365626">
        <w:rPr>
          <w:rFonts w:cs="Times New Roman"/>
          <w:color w:val="000000" w:themeColor="text1"/>
          <w:szCs w:val="24"/>
        </w:rPr>
        <w:t xml:space="preserve">по показаниям и </w:t>
      </w:r>
      <w:r w:rsidRPr="00365626">
        <w:rPr>
          <w:rFonts w:cs="Times New Roman"/>
          <w:szCs w:val="24"/>
        </w:rPr>
        <w:t>при приеме антиагрегантных препаратов), волчаночный антикоагулянт (по показаниям);</w:t>
      </w:r>
    </w:p>
    <w:p w14:paraId="7297171E" w14:textId="77777777" w:rsidR="0007206A" w:rsidRPr="00365626" w:rsidRDefault="0007206A" w:rsidP="0007206A">
      <w:pPr>
        <w:pStyle w:val="afe"/>
        <w:numPr>
          <w:ilvl w:val="0"/>
          <w:numId w:val="168"/>
        </w:numPr>
        <w:rPr>
          <w:rFonts w:cs="Times New Roman"/>
          <w:szCs w:val="24"/>
        </w:rPr>
      </w:pPr>
      <w:r w:rsidRPr="00365626">
        <w:rPr>
          <w:rFonts w:cs="Times New Roman"/>
          <w:szCs w:val="24"/>
        </w:rPr>
        <w:t xml:space="preserve">определение группы крови, резус-фактора с  фенотипом; </w:t>
      </w:r>
    </w:p>
    <w:p w14:paraId="295EDA67" w14:textId="77777777" w:rsidR="0007206A" w:rsidRPr="00365626" w:rsidRDefault="0007206A" w:rsidP="0007206A">
      <w:pPr>
        <w:pStyle w:val="afe"/>
        <w:numPr>
          <w:ilvl w:val="0"/>
          <w:numId w:val="168"/>
        </w:numPr>
        <w:rPr>
          <w:rFonts w:cs="Times New Roman"/>
          <w:szCs w:val="24"/>
        </w:rPr>
      </w:pPr>
      <w:r w:rsidRPr="00365626">
        <w:rPr>
          <w:rFonts w:cs="Times New Roman"/>
          <w:szCs w:val="24"/>
        </w:rPr>
        <w:t>подбор трансфузионных сред (индивидуальный подбор трансфузионных сред при наличии показаний);</w:t>
      </w:r>
    </w:p>
    <w:p w14:paraId="36ED68AD" w14:textId="77777777" w:rsidR="0007206A" w:rsidRPr="00365626" w:rsidRDefault="0007206A" w:rsidP="0007206A">
      <w:pPr>
        <w:pStyle w:val="afe"/>
        <w:numPr>
          <w:ilvl w:val="0"/>
          <w:numId w:val="168"/>
        </w:numPr>
        <w:rPr>
          <w:rFonts w:cs="Times New Roman"/>
          <w:szCs w:val="24"/>
        </w:rPr>
      </w:pPr>
      <w:r w:rsidRPr="00365626">
        <w:rPr>
          <w:rFonts w:cs="Times New Roman"/>
          <w:szCs w:val="24"/>
        </w:rPr>
        <w:t>исследования крови на наличие гепатитов, сифилиса, ВИЧ (</w:t>
      </w:r>
      <w:r w:rsidRPr="00365626">
        <w:rPr>
          <w:rFonts w:cs="Times New Roman"/>
          <w:bCs/>
          <w:szCs w:val="24"/>
        </w:rPr>
        <w:t>HBsAg</w:t>
      </w:r>
      <w:r w:rsidRPr="00365626">
        <w:rPr>
          <w:rFonts w:cs="Times New Roman"/>
          <w:szCs w:val="24"/>
        </w:rPr>
        <w:t>, анти-</w:t>
      </w:r>
      <w:r w:rsidRPr="00365626">
        <w:rPr>
          <w:rFonts w:cs="Times New Roman"/>
          <w:szCs w:val="24"/>
          <w:lang w:val="en-US"/>
        </w:rPr>
        <w:t>HCV</w:t>
      </w:r>
      <w:r w:rsidRPr="00365626">
        <w:rPr>
          <w:rFonts w:cs="Times New Roman"/>
          <w:szCs w:val="24"/>
        </w:rPr>
        <w:t xml:space="preserve">, ВИЧ, определение антигена/антител комбинированным тестом, сифилис (метод РМП, ИФА), ПЦР ДНК ВГВ (при положительном </w:t>
      </w:r>
      <w:r w:rsidRPr="00365626">
        <w:rPr>
          <w:rFonts w:cs="Times New Roman"/>
          <w:bCs/>
          <w:szCs w:val="24"/>
        </w:rPr>
        <w:t>HBsAg)</w:t>
      </w:r>
      <w:r w:rsidRPr="00365626">
        <w:rPr>
          <w:rFonts w:cs="Times New Roman"/>
          <w:szCs w:val="24"/>
        </w:rPr>
        <w:t>, ПЦР РНК ВГС (при положительном анти-</w:t>
      </w:r>
      <w:r w:rsidRPr="00365626">
        <w:rPr>
          <w:rFonts w:cs="Times New Roman"/>
          <w:szCs w:val="24"/>
          <w:lang w:val="en-US"/>
        </w:rPr>
        <w:t>HCV</w:t>
      </w:r>
      <w:r w:rsidRPr="00365626">
        <w:rPr>
          <w:rFonts w:cs="Times New Roman"/>
          <w:szCs w:val="24"/>
        </w:rPr>
        <w:t>).</w:t>
      </w:r>
    </w:p>
    <w:p w14:paraId="4CD584B9" w14:textId="77777777" w:rsidR="0007206A" w:rsidRDefault="0007206A" w:rsidP="0007206A">
      <w:pPr>
        <w:rPr>
          <w:i/>
        </w:rPr>
      </w:pPr>
    </w:p>
    <w:p w14:paraId="365178D0" w14:textId="1C7992F9" w:rsidR="0007206A" w:rsidRPr="00365626" w:rsidRDefault="0007206A" w:rsidP="0007206A">
      <w:pPr>
        <w:rPr>
          <w:i/>
        </w:rPr>
      </w:pPr>
      <w:r w:rsidRPr="00365626">
        <w:rPr>
          <w:i/>
        </w:rPr>
        <w:t>Инструментальные исследования</w:t>
      </w:r>
      <w:r>
        <w:fldChar w:fldCharType="begin" w:fldLock="1"/>
      </w:r>
      <w:r w:rsidR="00B96A78">
        <w:instrText>ADDIN CSL_CITATION {"citationItems":[{"id":"ITEM-1","itemData":{"author":[{"dropping-particle":"","family":"Карагюлян","given":"С.Р.","non-dropping-particle":"","parse-names":false,"suffix":""},{"dropping-particle":"","family":"Данишян","given":"К.И.","non-dropping-particle":"","parse-names":false,"suffix":""},{"dropping-particle":"","family":"Шутов","given":"С.А.","non-dropping-particle":"","parse-names":false,"suffix":""},{"dropping-particle":"","family":"Силаев","given":"М.А.","non-dropping-particle":"","parse-names":false,"suffix":""}],"container-title":"Клиническая онкогематология","id":"ITEM-1","issue":"1","issued":{"date-parts":[["2017"]]},"page":"101-107","title":"Технические сложности выполнения спленэктомии при заболеваниях системы крови","type":"article-journal","volume":"10"},"uris":["http://www.mendeley.com/documents/?uuid=1758182b-493b-4a43-bda6-135a50dad214"]}],"mendeley":{"formattedCitation":"[208]","plainTextFormattedCitation":"[208]","previouslyFormattedCitation":"[208]"},"properties":{"noteIndex":0},"schema":"https://github.com/citation-style-language/schema/raw/master/csl-citation.json"}</w:instrText>
      </w:r>
      <w:r>
        <w:fldChar w:fldCharType="separate"/>
      </w:r>
      <w:r w:rsidR="00872B84" w:rsidRPr="00872B84">
        <w:rPr>
          <w:noProof/>
        </w:rPr>
        <w:t>[208]</w:t>
      </w:r>
      <w:r>
        <w:fldChar w:fldCharType="end"/>
      </w:r>
      <w:r w:rsidRPr="00365626">
        <w:rPr>
          <w:i/>
        </w:rPr>
        <w:t xml:space="preserve">: </w:t>
      </w:r>
    </w:p>
    <w:p w14:paraId="6E94819A" w14:textId="77777777" w:rsidR="0007206A" w:rsidRPr="00365626" w:rsidRDefault="0007206A" w:rsidP="0007206A">
      <w:pPr>
        <w:pStyle w:val="afe"/>
        <w:numPr>
          <w:ilvl w:val="0"/>
          <w:numId w:val="169"/>
        </w:numPr>
        <w:rPr>
          <w:rFonts w:cs="Times New Roman"/>
          <w:szCs w:val="24"/>
        </w:rPr>
      </w:pPr>
      <w:r w:rsidRPr="00365626">
        <w:rPr>
          <w:rFonts w:cs="Times New Roman"/>
          <w:szCs w:val="24"/>
        </w:rPr>
        <w:t>ультразвуковое исследование (УЗИ) брюшной полости и малого таза: при выявлении сопутствующей патологии, требующей хирургического лечения (желчно-каменная болезнь, гинекологическая патология, грыжи передней брюшной стенки) целесообразно проведение сочетанного оперативного вмешательства;</w:t>
      </w:r>
    </w:p>
    <w:p w14:paraId="523CDA12" w14:textId="77777777" w:rsidR="0007206A" w:rsidRPr="00365626" w:rsidRDefault="0007206A" w:rsidP="0007206A">
      <w:pPr>
        <w:pStyle w:val="afe"/>
        <w:numPr>
          <w:ilvl w:val="0"/>
          <w:numId w:val="169"/>
        </w:numPr>
        <w:rPr>
          <w:rFonts w:cs="Times New Roman"/>
          <w:color w:val="000000" w:themeColor="text1"/>
          <w:szCs w:val="24"/>
        </w:rPr>
      </w:pPr>
      <w:r w:rsidRPr="00365626">
        <w:rPr>
          <w:rFonts w:cs="Times New Roman"/>
          <w:szCs w:val="24"/>
        </w:rPr>
        <w:t xml:space="preserve">эзофагодуоденоскопия (ЭГДС) </w:t>
      </w:r>
      <w:r w:rsidRPr="00365626">
        <w:rPr>
          <w:rFonts w:cs="Times New Roman"/>
          <w:color w:val="000000" w:themeColor="text1"/>
          <w:szCs w:val="24"/>
        </w:rPr>
        <w:t xml:space="preserve">(при наличии показаний - выполнение биопсии </w:t>
      </w:r>
      <w:r w:rsidRPr="00365626">
        <w:rPr>
          <w:rFonts w:cs="Times New Roman"/>
          <w:szCs w:val="24"/>
        </w:rPr>
        <w:t xml:space="preserve">и комплексного исследования биоптата (цитологическое,  гистологическое, иммуногистохимическое, молекулярное, бактериологическое, цитогенетическое и т.д.), а так же </w:t>
      </w:r>
      <w:r w:rsidRPr="00365626">
        <w:rPr>
          <w:rFonts w:cs="Times New Roman"/>
          <w:color w:val="000000" w:themeColor="text1"/>
          <w:szCs w:val="24"/>
        </w:rPr>
        <w:t xml:space="preserve">уреазного теста на </w:t>
      </w:r>
      <w:r w:rsidRPr="00365626">
        <w:rPr>
          <w:rFonts w:cs="Times New Roman"/>
          <w:szCs w:val="24"/>
          <w:lang w:val="en-US"/>
        </w:rPr>
        <w:t>Helicobacter</w:t>
      </w:r>
      <w:r w:rsidRPr="00365626">
        <w:rPr>
          <w:rFonts w:cs="Times New Roman"/>
          <w:szCs w:val="24"/>
        </w:rPr>
        <w:t xml:space="preserve"> </w:t>
      </w:r>
      <w:r w:rsidRPr="00365626">
        <w:rPr>
          <w:rFonts w:cs="Times New Roman"/>
          <w:szCs w:val="24"/>
          <w:lang w:val="en-US"/>
        </w:rPr>
        <w:t>Pylori</w:t>
      </w:r>
      <w:r w:rsidRPr="00365626">
        <w:rPr>
          <w:rFonts w:cs="Times New Roman"/>
          <w:color w:val="000000" w:themeColor="text1"/>
          <w:szCs w:val="24"/>
        </w:rPr>
        <w:t>);</w:t>
      </w:r>
    </w:p>
    <w:p w14:paraId="0386B863" w14:textId="77777777" w:rsidR="0007206A" w:rsidRPr="00365626" w:rsidRDefault="0007206A" w:rsidP="0007206A">
      <w:pPr>
        <w:pStyle w:val="afe"/>
        <w:numPr>
          <w:ilvl w:val="0"/>
          <w:numId w:val="169"/>
        </w:numPr>
        <w:rPr>
          <w:rFonts w:cs="Times New Roman"/>
          <w:color w:val="000000" w:themeColor="text1"/>
          <w:szCs w:val="24"/>
        </w:rPr>
      </w:pPr>
      <w:r w:rsidRPr="00365626">
        <w:rPr>
          <w:rFonts w:cs="Times New Roman"/>
          <w:color w:val="000000" w:themeColor="text1"/>
          <w:szCs w:val="24"/>
        </w:rPr>
        <w:t>колоноскопия (при наличии показаний - выполнение биопсии</w:t>
      </w:r>
      <w:r w:rsidRPr="00365626">
        <w:rPr>
          <w:rFonts w:cs="Times New Roman"/>
          <w:szCs w:val="24"/>
        </w:rPr>
        <w:t xml:space="preserve"> и комплексного исследования боптата</w:t>
      </w:r>
      <w:r w:rsidRPr="00365626">
        <w:rPr>
          <w:rFonts w:cs="Times New Roman"/>
          <w:strike/>
          <w:szCs w:val="24"/>
        </w:rPr>
        <w:t>та</w:t>
      </w:r>
      <w:r w:rsidRPr="00365626">
        <w:rPr>
          <w:rFonts w:cs="Times New Roman"/>
          <w:szCs w:val="24"/>
        </w:rPr>
        <w:t xml:space="preserve"> (цитологическое,  гистологическое, иммуногистохимическое, молекулярное, бактериологическое, цитогенетическое и т.д.</w:t>
      </w:r>
      <w:r w:rsidRPr="00365626">
        <w:rPr>
          <w:rFonts w:cs="Times New Roman"/>
          <w:color w:val="000000" w:themeColor="text1"/>
          <w:szCs w:val="24"/>
        </w:rPr>
        <w:t>);</w:t>
      </w:r>
    </w:p>
    <w:p w14:paraId="625C6B41" w14:textId="77777777" w:rsidR="0007206A" w:rsidRPr="00365626" w:rsidRDefault="0007206A" w:rsidP="0007206A">
      <w:pPr>
        <w:pStyle w:val="afe"/>
        <w:numPr>
          <w:ilvl w:val="0"/>
          <w:numId w:val="169"/>
        </w:numPr>
        <w:rPr>
          <w:rFonts w:cs="Times New Roman"/>
          <w:szCs w:val="24"/>
        </w:rPr>
      </w:pPr>
      <w:r w:rsidRPr="00365626">
        <w:rPr>
          <w:rFonts w:cs="Times New Roman"/>
          <w:szCs w:val="24"/>
        </w:rPr>
        <w:t>компьютерная томография (КТ) грудной клетки;</w:t>
      </w:r>
    </w:p>
    <w:p w14:paraId="0E8B8CC9" w14:textId="77777777" w:rsidR="0007206A" w:rsidRPr="00365626" w:rsidRDefault="0007206A" w:rsidP="0007206A">
      <w:pPr>
        <w:pStyle w:val="afe"/>
        <w:numPr>
          <w:ilvl w:val="0"/>
          <w:numId w:val="169"/>
        </w:numPr>
        <w:rPr>
          <w:rFonts w:cs="Times New Roman"/>
          <w:szCs w:val="24"/>
        </w:rPr>
      </w:pPr>
      <w:r w:rsidRPr="00365626">
        <w:rPr>
          <w:rFonts w:cs="Times New Roman"/>
          <w:szCs w:val="24"/>
        </w:rPr>
        <w:t>КТ брюшной полости с пероральным и болюсным контрастным усилением и/или магнитно-резонансная томография (МРТ) брюшной полости для исключения сопутствующей, в том числе онкологической патологии и выявления добавочных селезенок.</w:t>
      </w:r>
    </w:p>
    <w:p w14:paraId="1AA4AB47" w14:textId="77777777" w:rsidR="0007206A" w:rsidRDefault="0007206A" w:rsidP="0007206A">
      <w:pPr>
        <w:rPr>
          <w:i/>
        </w:rPr>
      </w:pPr>
    </w:p>
    <w:p w14:paraId="3A4B755F" w14:textId="77777777" w:rsidR="0007206A" w:rsidRPr="00365626" w:rsidRDefault="0007206A" w:rsidP="0007206A">
      <w:pPr>
        <w:rPr>
          <w:i/>
        </w:rPr>
      </w:pPr>
      <w:r w:rsidRPr="00365626">
        <w:rPr>
          <w:i/>
        </w:rPr>
        <w:t xml:space="preserve">Консультации специалистов: </w:t>
      </w:r>
    </w:p>
    <w:p w14:paraId="7BE28849" w14:textId="77777777" w:rsidR="0007206A" w:rsidRPr="00365626" w:rsidRDefault="0007206A" w:rsidP="0007206A">
      <w:pPr>
        <w:pStyle w:val="afe"/>
        <w:numPr>
          <w:ilvl w:val="0"/>
          <w:numId w:val="173"/>
        </w:numPr>
        <w:rPr>
          <w:rFonts w:cs="Times New Roman"/>
          <w:szCs w:val="24"/>
        </w:rPr>
      </w:pPr>
      <w:r w:rsidRPr="00365626">
        <w:rPr>
          <w:rFonts w:cs="Times New Roman"/>
          <w:szCs w:val="24"/>
        </w:rPr>
        <w:t>гинеколог (у женщин);</w:t>
      </w:r>
    </w:p>
    <w:p w14:paraId="3C93635D" w14:textId="77777777" w:rsidR="0007206A" w:rsidRPr="00365626" w:rsidRDefault="0007206A" w:rsidP="0007206A">
      <w:pPr>
        <w:pStyle w:val="afe"/>
        <w:numPr>
          <w:ilvl w:val="0"/>
          <w:numId w:val="173"/>
        </w:numPr>
        <w:rPr>
          <w:rFonts w:cs="Times New Roman"/>
          <w:szCs w:val="24"/>
        </w:rPr>
      </w:pPr>
      <w:r w:rsidRPr="00365626">
        <w:rPr>
          <w:rFonts w:cs="Times New Roman"/>
          <w:szCs w:val="24"/>
        </w:rPr>
        <w:t>анестезиолог-реаниматолог;</w:t>
      </w:r>
    </w:p>
    <w:p w14:paraId="7D57B096" w14:textId="77777777" w:rsidR="0007206A" w:rsidRPr="00365626" w:rsidRDefault="0007206A" w:rsidP="0007206A">
      <w:pPr>
        <w:pStyle w:val="afe"/>
        <w:numPr>
          <w:ilvl w:val="0"/>
          <w:numId w:val="173"/>
        </w:numPr>
        <w:rPr>
          <w:rFonts w:cs="Times New Roman"/>
          <w:szCs w:val="24"/>
        </w:rPr>
      </w:pPr>
      <w:r w:rsidRPr="00365626">
        <w:rPr>
          <w:rFonts w:cs="Times New Roman"/>
          <w:szCs w:val="24"/>
        </w:rPr>
        <w:t>эндокринолог (при наличии сопутствующей патологии);</w:t>
      </w:r>
    </w:p>
    <w:p w14:paraId="281E6779" w14:textId="77777777" w:rsidR="0007206A" w:rsidRPr="00365626" w:rsidRDefault="0007206A" w:rsidP="0007206A">
      <w:pPr>
        <w:pStyle w:val="afe"/>
        <w:numPr>
          <w:ilvl w:val="0"/>
          <w:numId w:val="173"/>
        </w:numPr>
        <w:rPr>
          <w:rFonts w:cs="Times New Roman"/>
          <w:szCs w:val="24"/>
        </w:rPr>
      </w:pPr>
      <w:r w:rsidRPr="00365626">
        <w:rPr>
          <w:rFonts w:cs="Times New Roman"/>
          <w:szCs w:val="24"/>
        </w:rPr>
        <w:lastRenderedPageBreak/>
        <w:t>кардиолог (при наличии сопутствующей патологии);</w:t>
      </w:r>
    </w:p>
    <w:p w14:paraId="317465E6" w14:textId="77777777" w:rsidR="0007206A" w:rsidRPr="00365626" w:rsidRDefault="0007206A" w:rsidP="0007206A">
      <w:pPr>
        <w:pStyle w:val="afe"/>
        <w:numPr>
          <w:ilvl w:val="0"/>
          <w:numId w:val="173"/>
        </w:numPr>
        <w:rPr>
          <w:rFonts w:cs="Times New Roman"/>
          <w:szCs w:val="24"/>
        </w:rPr>
      </w:pPr>
      <w:r w:rsidRPr="00365626">
        <w:rPr>
          <w:rFonts w:cs="Times New Roman"/>
          <w:szCs w:val="24"/>
        </w:rPr>
        <w:t>невролог (при наличии сопутствующей патологии);</w:t>
      </w:r>
    </w:p>
    <w:p w14:paraId="5975F355" w14:textId="77777777" w:rsidR="0007206A" w:rsidRPr="00365626" w:rsidRDefault="0007206A" w:rsidP="0007206A">
      <w:pPr>
        <w:pStyle w:val="afe"/>
        <w:numPr>
          <w:ilvl w:val="0"/>
          <w:numId w:val="173"/>
        </w:numPr>
        <w:rPr>
          <w:rFonts w:cs="Times New Roman"/>
          <w:szCs w:val="24"/>
        </w:rPr>
      </w:pPr>
      <w:r w:rsidRPr="00365626">
        <w:rPr>
          <w:rFonts w:cs="Times New Roman"/>
          <w:szCs w:val="24"/>
        </w:rPr>
        <w:t>проктолог (при наличии сопутствующей патологии);</w:t>
      </w:r>
    </w:p>
    <w:p w14:paraId="1D04E85C" w14:textId="77777777" w:rsidR="0007206A" w:rsidRPr="00365626" w:rsidRDefault="0007206A" w:rsidP="0007206A">
      <w:pPr>
        <w:pStyle w:val="afe"/>
        <w:numPr>
          <w:ilvl w:val="0"/>
          <w:numId w:val="173"/>
        </w:numPr>
        <w:rPr>
          <w:rFonts w:cs="Times New Roman"/>
          <w:szCs w:val="24"/>
        </w:rPr>
      </w:pPr>
      <w:r w:rsidRPr="00365626">
        <w:rPr>
          <w:rFonts w:cs="Times New Roman"/>
          <w:szCs w:val="24"/>
        </w:rPr>
        <w:t>уролог (при наличии сопутствующей патологии).</w:t>
      </w:r>
    </w:p>
    <w:p w14:paraId="6052DB26" w14:textId="77777777" w:rsidR="0007206A" w:rsidRPr="00365626" w:rsidRDefault="0007206A" w:rsidP="0007206A">
      <w:pPr>
        <w:pStyle w:val="afe"/>
        <w:rPr>
          <w:rFonts w:cs="Times New Roman"/>
          <w:b/>
          <w:szCs w:val="24"/>
        </w:rPr>
      </w:pPr>
    </w:p>
    <w:p w14:paraId="65AE36D1" w14:textId="77777777" w:rsidR="0007206A" w:rsidRPr="00740D71" w:rsidRDefault="0007206A" w:rsidP="0007206A">
      <w:pPr>
        <w:rPr>
          <w:bCs/>
          <w:i/>
          <w:iCs/>
          <w:u w:val="single"/>
        </w:rPr>
      </w:pPr>
      <w:r w:rsidRPr="00740D71">
        <w:rPr>
          <w:bCs/>
          <w:i/>
          <w:iCs/>
          <w:u w:val="single"/>
        </w:rPr>
        <w:t>Спленэктомия</w:t>
      </w:r>
    </w:p>
    <w:p w14:paraId="6779CCFC" w14:textId="74B0F4D6" w:rsidR="0007206A" w:rsidRPr="00CC2C88" w:rsidRDefault="0007206A" w:rsidP="0007206A">
      <w:pPr>
        <w:rPr>
          <w:i/>
        </w:rPr>
      </w:pPr>
      <w:r w:rsidRPr="00365626">
        <w:rPr>
          <w:i/>
        </w:rPr>
        <w:t>Планирование спленэктоми</w:t>
      </w:r>
      <w:r>
        <w:rPr>
          <w:i/>
        </w:rPr>
        <w:t>и</w:t>
      </w:r>
      <w:r w:rsidRPr="00CC2C88">
        <w:rPr>
          <w:i/>
        </w:rPr>
        <w:t xml:space="preserve"> </w:t>
      </w:r>
      <w:r>
        <w:fldChar w:fldCharType="begin" w:fldLock="1"/>
      </w:r>
      <w:r w:rsidR="00B96A78">
        <w:instrText>ADDIN CSL_CITATION {"citationItems":[{"id":"ITEM-1","itemData":{"author":[{"dropping-particle":"","family":"Карагюлян","given":"С.Р.","non-dropping-particle":"","parse-names":false,"suffix":""},{"dropping-particle":"","family":"Данишян","given":"К.И.","non-dropping-particle":"","parse-names":false,"suffix":""},{"dropping-particle":"","family":"Шутов","given":"С.А.","non-dropping-particle":"","parse-names":false,"suffix":""},{"dropping-particle":"","family":"Силаев","given":"М.А.","non-dropping-particle":"","parse-names":false,"suffix":""}],"container-title":"Клиническая онкогематология","id":"ITEM-1","issue":"1","issued":{"date-parts":[["2017"]]},"page":"101-107","title":"Технические сложности выполнения спленэктомии при заболеваниях системы крови","type":"article-journal","volume":"10"},"uris":["http://www.mendeley.com/documents/?uuid=1758182b-493b-4a43-bda6-135a50dad214"]}],"mendeley":{"formattedCitation":"[208]","plainTextFormattedCitation":"[208]","previouslyFormattedCitation":"[208]"},"properties":{"noteIndex":0},"schema":"https://github.com/citation-style-language/schema/raw/master/csl-citation.json"}</w:instrText>
      </w:r>
      <w:r>
        <w:fldChar w:fldCharType="separate"/>
      </w:r>
      <w:r w:rsidR="00872B84" w:rsidRPr="00872B84">
        <w:rPr>
          <w:noProof/>
        </w:rPr>
        <w:t>[208]</w:t>
      </w:r>
      <w:r>
        <w:fldChar w:fldCharType="end"/>
      </w:r>
    </w:p>
    <w:p w14:paraId="46B9D050" w14:textId="77777777" w:rsidR="0007206A" w:rsidRPr="00365626" w:rsidRDefault="0007206A" w:rsidP="0007206A">
      <w:r w:rsidRPr="00365626">
        <w:t>Гематолог определяет показания к спленэктомии.</w:t>
      </w:r>
    </w:p>
    <w:p w14:paraId="61797510" w14:textId="77777777" w:rsidR="0007206A" w:rsidRPr="00365626" w:rsidRDefault="0007206A" w:rsidP="0007206A">
      <w:r w:rsidRPr="00365626">
        <w:t>Возможность и сроки выполнения оперативного вмешательства, необходимые мероприятия по подготовке к операции, а также тактика ведения больного до и после оперативного вмешательства должны определяться совместно гематологом, хирургом, анестезиологом-реаниматологом и  трансфузиологом.</w:t>
      </w:r>
    </w:p>
    <w:p w14:paraId="0B8CC527" w14:textId="77777777" w:rsidR="0007206A" w:rsidRPr="00365626" w:rsidRDefault="0007206A" w:rsidP="0007206A">
      <w:r w:rsidRPr="00365626">
        <w:t xml:space="preserve">Целесообразна вакцинация против </w:t>
      </w:r>
      <w:r w:rsidRPr="00365626">
        <w:rPr>
          <w:rFonts w:eastAsia="Arial Unicode MS"/>
          <w:i/>
          <w:lang w:val="en-US"/>
        </w:rPr>
        <w:t>Streptococcus</w:t>
      </w:r>
      <w:r w:rsidRPr="00365626">
        <w:rPr>
          <w:rFonts w:eastAsia="Arial Unicode MS"/>
          <w:i/>
        </w:rPr>
        <w:t xml:space="preserve"> </w:t>
      </w:r>
      <w:r w:rsidRPr="00365626">
        <w:rPr>
          <w:rFonts w:eastAsia="Arial Unicode MS"/>
          <w:i/>
          <w:lang w:val="en-US"/>
        </w:rPr>
        <w:t>pneumoniae</w:t>
      </w:r>
      <w:r w:rsidRPr="00365626">
        <w:rPr>
          <w:rFonts w:eastAsia="Arial Unicode MS"/>
          <w:i/>
        </w:rPr>
        <w:t xml:space="preserve">, </w:t>
      </w:r>
      <w:r w:rsidRPr="00365626">
        <w:rPr>
          <w:rFonts w:eastAsia="Arial Unicode MS"/>
          <w:i/>
          <w:lang w:val="en-US"/>
        </w:rPr>
        <w:t>Neisseria</w:t>
      </w:r>
      <w:r w:rsidRPr="00365626">
        <w:rPr>
          <w:rFonts w:eastAsia="Arial Unicode MS"/>
          <w:i/>
        </w:rPr>
        <w:t xml:space="preserve"> </w:t>
      </w:r>
      <w:r w:rsidRPr="00365626">
        <w:rPr>
          <w:rFonts w:eastAsia="Arial Unicode MS"/>
          <w:i/>
          <w:lang w:val="en-US"/>
        </w:rPr>
        <w:t>meningitidis</w:t>
      </w:r>
      <w:r w:rsidRPr="00365626">
        <w:rPr>
          <w:rFonts w:eastAsia="Arial Unicode MS"/>
          <w:i/>
        </w:rPr>
        <w:t xml:space="preserve"> и </w:t>
      </w:r>
      <w:r w:rsidRPr="00365626">
        <w:rPr>
          <w:rFonts w:eastAsia="Arial Unicode MS"/>
          <w:i/>
          <w:lang w:val="en-US"/>
        </w:rPr>
        <w:t>Haemophilus</w:t>
      </w:r>
      <w:r w:rsidRPr="00365626">
        <w:rPr>
          <w:rFonts w:eastAsia="Arial Unicode MS"/>
          <w:i/>
        </w:rPr>
        <w:t xml:space="preserve"> </w:t>
      </w:r>
      <w:r w:rsidRPr="00365626">
        <w:rPr>
          <w:rFonts w:eastAsia="Arial Unicode MS"/>
          <w:i/>
          <w:lang w:val="en-US"/>
        </w:rPr>
        <w:t>influenzae</w:t>
      </w:r>
      <w:r w:rsidRPr="00365626">
        <w:rPr>
          <w:rFonts w:eastAsia="Arial Unicode MS"/>
        </w:rPr>
        <w:t xml:space="preserve"> </w:t>
      </w:r>
      <w:r w:rsidRPr="00365626">
        <w:t>при отсутствии противопоказаний как минимум за 2 недели до оперативного вмешательства.</w:t>
      </w:r>
    </w:p>
    <w:p w14:paraId="32741095" w14:textId="77777777" w:rsidR="0007206A" w:rsidRDefault="0007206A" w:rsidP="0007206A">
      <w:pPr>
        <w:rPr>
          <w:i/>
        </w:rPr>
      </w:pPr>
    </w:p>
    <w:p w14:paraId="29ACEC70" w14:textId="70532992" w:rsidR="0007206A" w:rsidRPr="00740D71" w:rsidRDefault="0007206A" w:rsidP="0007206A">
      <w:pPr>
        <w:rPr>
          <w:i/>
        </w:rPr>
      </w:pPr>
      <w:r w:rsidRPr="00740D71">
        <w:rPr>
          <w:i/>
        </w:rPr>
        <w:t xml:space="preserve"> Подготовка к спленэктомии</w:t>
      </w:r>
      <w:r>
        <w:rPr>
          <w:i/>
        </w:rPr>
        <w:t xml:space="preserve"> </w:t>
      </w:r>
      <w:r>
        <w:fldChar w:fldCharType="begin" w:fldLock="1"/>
      </w:r>
      <w:r w:rsidR="00B96A78">
        <w:instrText>ADDIN CSL_CITATION {"citationItems":[{"id":"ITEM-1","itemData":{"author":[{"dropping-particle":"","family":"Карагюлян","given":"С.Р.","non-dropping-particle":"","parse-names":false,"suffix":""},{"dropping-particle":"","family":"Данишян","given":"К.И.","non-dropping-particle":"","parse-names":false,"suffix":""},{"dropping-particle":"","family":"Шутов","given":"С.А.","non-dropping-particle":"","parse-names":false,"suffix":""},{"dropping-particle":"","family":"Силаев","given":"М.А.","non-dropping-particle":"","parse-names":false,"suffix":""}],"container-title":"Клиническая онкогематология","id":"ITEM-1","issue":"1","issued":{"date-parts":[["2017"]]},"page":"101-107","title":"Технические сложности выполнения спленэктомии при заболеваниях системы крови","type":"article-journal","volume":"10"},"uris":["http://www.mendeley.com/documents/?uuid=1758182b-493b-4a43-bda6-135a50dad214"]}],"mendeley":{"formattedCitation":"[208]","plainTextFormattedCitation":"[208]","previouslyFormattedCitation":"[208]"},"properties":{"noteIndex":0},"schema":"https://github.com/citation-style-language/schema/raw/master/csl-citation.json"}</w:instrText>
      </w:r>
      <w:r>
        <w:fldChar w:fldCharType="separate"/>
      </w:r>
      <w:r w:rsidR="00872B84" w:rsidRPr="00872B84">
        <w:rPr>
          <w:noProof/>
        </w:rPr>
        <w:t>[208]</w:t>
      </w:r>
      <w:r>
        <w:fldChar w:fldCharType="end"/>
      </w:r>
    </w:p>
    <w:p w14:paraId="69F74307" w14:textId="77777777" w:rsidR="0007206A" w:rsidRPr="00740D71" w:rsidRDefault="0007206A" w:rsidP="0007206A">
      <w:pPr>
        <w:ind w:firstLine="709"/>
        <w:rPr>
          <w:iCs/>
          <w:u w:val="single"/>
        </w:rPr>
      </w:pPr>
      <w:r w:rsidRPr="00740D71">
        <w:rPr>
          <w:iCs/>
          <w:u w:val="single"/>
        </w:rPr>
        <w:t>Трансфузионная тактика:</w:t>
      </w:r>
    </w:p>
    <w:p w14:paraId="4DD3422D" w14:textId="77777777" w:rsidR="0007206A" w:rsidRPr="00365626" w:rsidRDefault="0007206A" w:rsidP="0007206A">
      <w:pPr>
        <w:ind w:firstLine="709"/>
      </w:pPr>
      <w:r w:rsidRPr="00365626">
        <w:t xml:space="preserve">При глубокой анемии показана трансфузия эритроцитсодержащих компонентов крови (ЭСК) с целевым уровнем </w:t>
      </w:r>
      <w:r w:rsidRPr="00365626">
        <w:rPr>
          <w:lang w:val="en-US"/>
        </w:rPr>
        <w:t>Hb</w:t>
      </w:r>
      <w:r w:rsidRPr="00365626">
        <w:t xml:space="preserve"> более 80 г/л. При невозможности компенсации анемии (острый гемолиз, трудности подбора ЭСК) выполнение спленэктомии возможно при более низких показателях гемоглобина.</w:t>
      </w:r>
    </w:p>
    <w:p w14:paraId="3C9EA1FF" w14:textId="77777777" w:rsidR="0007206A" w:rsidRPr="00365626" w:rsidRDefault="0007206A" w:rsidP="0007206A">
      <w:pPr>
        <w:ind w:firstLine="709"/>
      </w:pPr>
      <w:r w:rsidRPr="00365626">
        <w:t>Глубокая тромбоцитопения менее 20х10</w:t>
      </w:r>
      <w:r w:rsidRPr="00365626">
        <w:rPr>
          <w:vertAlign w:val="superscript"/>
        </w:rPr>
        <w:t>9</w:t>
      </w:r>
      <w:r w:rsidRPr="00365626">
        <w:t xml:space="preserve">/л не является противопоказанием для выполнения спленэктомии. </w:t>
      </w:r>
    </w:p>
    <w:p w14:paraId="2CB991D3" w14:textId="77777777" w:rsidR="0007206A" w:rsidRPr="00365626" w:rsidRDefault="0007206A" w:rsidP="0007206A">
      <w:pPr>
        <w:ind w:firstLine="709"/>
      </w:pPr>
      <w:r w:rsidRPr="00365626">
        <w:t>При первичной иммунной тромбоциопении до спленэктомии с целью повышения количества тромбоцитов  возможно проведение пульс-терапии глюкокортикостероидами (ГКС), внутривенным иммуноглобулином (ВВИГ), агонистами тромбопоэтина (ромиплостим).</w:t>
      </w:r>
    </w:p>
    <w:p w14:paraId="661C0B7D" w14:textId="77777777" w:rsidR="0007206A" w:rsidRPr="00365626" w:rsidRDefault="0007206A" w:rsidP="0007206A">
      <w:pPr>
        <w:ind w:firstLine="709"/>
      </w:pPr>
      <w:r w:rsidRPr="00365626">
        <w:t>При тромбоцитопении вследствие костно-мозговой недостаточности (апластическая анемия, МДС, первичный миелофиброз и т.д.) – трансфузии концентрата тромбоцитов целесообразно проводить в день оперативного вмешательства до интубации, интраоперациионно и при необходимости – в послеоперационном периоде. Количество переливаемых доз тромбоцитов зависит от показателей гемограммы, наличия геморрагического синдрома и инфекционного процесса, а так же от основного гематологического заболевания.</w:t>
      </w:r>
    </w:p>
    <w:p w14:paraId="5CF1B152" w14:textId="77777777" w:rsidR="0007206A" w:rsidRPr="00365626" w:rsidRDefault="0007206A" w:rsidP="0007206A">
      <w:pPr>
        <w:ind w:firstLine="709"/>
      </w:pPr>
      <w:r w:rsidRPr="00365626">
        <w:lastRenderedPageBreak/>
        <w:t>Для обеспечения гемостаза достаточным является количество тромбоцитов более 50х10</w:t>
      </w:r>
      <w:r w:rsidRPr="00365626">
        <w:rPr>
          <w:vertAlign w:val="superscript"/>
        </w:rPr>
        <w:t>9</w:t>
      </w:r>
      <w:r w:rsidRPr="00365626">
        <w:t xml:space="preserve">/л.  При таких показателях гемограммы трансфузии концентрата тромбоцитов обычно не проводятся, за исключением массивного интраоперационного кровотечения. </w:t>
      </w:r>
    </w:p>
    <w:p w14:paraId="3F2C7ABE" w14:textId="77777777" w:rsidR="0007206A" w:rsidRPr="00365626" w:rsidRDefault="0007206A" w:rsidP="0007206A">
      <w:pPr>
        <w:ind w:firstLine="709"/>
        <w:rPr>
          <w:color w:val="000000" w:themeColor="text1"/>
        </w:rPr>
      </w:pPr>
      <w:r w:rsidRPr="00365626">
        <w:rPr>
          <w:color w:val="000000" w:themeColor="text1"/>
        </w:rPr>
        <w:t xml:space="preserve">При дефиците плазменных факторов (протромбин, фибриноген, антитромбин </w:t>
      </w:r>
      <w:r w:rsidRPr="00365626">
        <w:rPr>
          <w:color w:val="000000" w:themeColor="text1"/>
          <w:lang w:val="en-US"/>
        </w:rPr>
        <w:t>III</w:t>
      </w:r>
      <w:r w:rsidRPr="00365626">
        <w:rPr>
          <w:color w:val="000000" w:themeColor="text1"/>
        </w:rPr>
        <w:t xml:space="preserve">) </w:t>
      </w:r>
      <w:r w:rsidRPr="00365626">
        <w:t xml:space="preserve">рекомендуется проведение </w:t>
      </w:r>
      <w:r w:rsidRPr="00365626">
        <w:rPr>
          <w:color w:val="000000" w:themeColor="text1"/>
        </w:rPr>
        <w:t xml:space="preserve">трансфузии </w:t>
      </w:r>
      <w:r w:rsidRPr="00365626">
        <w:t>свежезамороженной плазмы</w:t>
      </w:r>
      <w:r w:rsidRPr="00365626">
        <w:rPr>
          <w:color w:val="000000" w:themeColor="text1"/>
        </w:rPr>
        <w:t xml:space="preserve"> (СЗП), криопреципитата.</w:t>
      </w:r>
    </w:p>
    <w:p w14:paraId="286DB0B4" w14:textId="77777777" w:rsidR="0007206A" w:rsidRPr="00365626" w:rsidRDefault="0007206A" w:rsidP="0007206A">
      <w:pPr>
        <w:ind w:firstLine="709"/>
        <w:rPr>
          <w:color w:val="000000" w:themeColor="text1"/>
        </w:rPr>
      </w:pPr>
      <w:r w:rsidRPr="00365626">
        <w:rPr>
          <w:color w:val="000000" w:themeColor="text1"/>
        </w:rPr>
        <w:t>При дефиците витамин К-зависимых факторов (протромбин, факторы VII, IX, X, протеины С и S) рекомендуется предоперационная терапия препаратом витамина К с выполнением повторного коагулогического исследования.</w:t>
      </w:r>
    </w:p>
    <w:p w14:paraId="1320AF87" w14:textId="77777777" w:rsidR="0007206A" w:rsidRPr="006D3C55" w:rsidRDefault="0007206A" w:rsidP="0007206A">
      <w:pPr>
        <w:ind w:firstLine="708"/>
        <w:rPr>
          <w:iCs/>
          <w:u w:val="single"/>
        </w:rPr>
      </w:pPr>
      <w:r w:rsidRPr="006D3C55">
        <w:rPr>
          <w:iCs/>
          <w:u w:val="single"/>
        </w:rPr>
        <w:t>Профилактика тромботических осложнений:</w:t>
      </w:r>
    </w:p>
    <w:p w14:paraId="67FA821E" w14:textId="77777777" w:rsidR="0007206A" w:rsidRPr="00365626" w:rsidRDefault="0007206A" w:rsidP="0007206A">
      <w:pPr>
        <w:ind w:firstLine="709"/>
      </w:pPr>
      <w:r w:rsidRPr="00365626">
        <w:t xml:space="preserve">Эластическая компрессия нижних конечностей (эластичные бинты или чулки) проводится утром в день выполнения оперативного  вмешательства. </w:t>
      </w:r>
    </w:p>
    <w:p w14:paraId="105E9BF5" w14:textId="77777777" w:rsidR="0007206A" w:rsidRPr="00365626" w:rsidRDefault="0007206A" w:rsidP="0007206A">
      <w:pPr>
        <w:ind w:firstLine="709"/>
      </w:pPr>
      <w:r w:rsidRPr="00365626">
        <w:t>Рекомендуется назначение НМГ в профилактических дозах  у пациентов с повышенным риском развития периоперационных тромботических осложнений.</w:t>
      </w:r>
    </w:p>
    <w:p w14:paraId="1891BE6D" w14:textId="77777777" w:rsidR="0007206A" w:rsidRPr="008271E2" w:rsidRDefault="0007206A" w:rsidP="0007206A">
      <w:pPr>
        <w:ind w:firstLine="708"/>
        <w:rPr>
          <w:iCs/>
          <w:u w:val="single"/>
        </w:rPr>
      </w:pPr>
      <w:r w:rsidRPr="008271E2">
        <w:rPr>
          <w:iCs/>
          <w:u w:val="single"/>
        </w:rPr>
        <w:t xml:space="preserve">Накануне в вечернее время проводится очистительная клизма. </w:t>
      </w:r>
    </w:p>
    <w:p w14:paraId="2A432CD2" w14:textId="77777777" w:rsidR="0007206A" w:rsidRPr="008271E2" w:rsidRDefault="0007206A" w:rsidP="0007206A">
      <w:pPr>
        <w:ind w:firstLine="708"/>
        <w:rPr>
          <w:iCs/>
          <w:u w:val="single"/>
        </w:rPr>
      </w:pPr>
      <w:r w:rsidRPr="008271E2">
        <w:rPr>
          <w:iCs/>
          <w:u w:val="single"/>
        </w:rPr>
        <w:t>Премедикация накануне вечером по назначению анестезиолога.</w:t>
      </w:r>
    </w:p>
    <w:p w14:paraId="6E1B4A3B" w14:textId="00C92523" w:rsidR="0007206A" w:rsidRPr="00365626" w:rsidRDefault="0007206A" w:rsidP="0007206A">
      <w:pPr>
        <w:rPr>
          <w:i/>
        </w:rPr>
      </w:pPr>
      <w:r w:rsidRPr="00365626">
        <w:rPr>
          <w:i/>
        </w:rPr>
        <w:t>Интраоперационное ведение</w:t>
      </w:r>
      <w:r>
        <w:rPr>
          <w:i/>
        </w:rPr>
        <w:t xml:space="preserve"> </w:t>
      </w:r>
      <w:r>
        <w:fldChar w:fldCharType="begin" w:fldLock="1"/>
      </w:r>
      <w:r w:rsidR="00B96A78">
        <w:instrText>ADDIN CSL_CITATION {"citationItems":[{"id":"ITEM-1","itemData":{"author":[{"dropping-particle":"","family":"Карагюлян","given":"С.Р.","non-dropping-particle":"","parse-names":false,"suffix":""},{"dropping-particle":"","family":"Данишян","given":"К.И.","non-dropping-particle":"","parse-names":false,"suffix":""},{"dropping-particle":"","family":"Шутов","given":"С.А.","non-dropping-particle":"","parse-names":false,"suffix":""},{"dropping-particle":"","family":"Силаев","given":"М.А.","non-dropping-particle":"","parse-names":false,"suffix":""}],"container-title":"Клиническая онкогематология","id":"ITEM-1","issue":"1","issued":{"date-parts":[["2017"]]},"page":"101-107","title":"Технические сложности выполнения спленэктомии при заболеваниях системы крови","type":"article-journal","volume":"10"},"uris":["http://www.mendeley.com/documents/?uuid=1758182b-493b-4a43-bda6-135a50dad214"]}],"mendeley":{"formattedCitation":"[208]","plainTextFormattedCitation":"[208]","previouslyFormattedCitation":"[208]"},"properties":{"noteIndex":0},"schema":"https://github.com/citation-style-language/schema/raw/master/csl-citation.json"}</w:instrText>
      </w:r>
      <w:r>
        <w:fldChar w:fldCharType="separate"/>
      </w:r>
      <w:r w:rsidR="00872B84" w:rsidRPr="00872B84">
        <w:rPr>
          <w:noProof/>
        </w:rPr>
        <w:t>[208]</w:t>
      </w:r>
      <w:r>
        <w:fldChar w:fldCharType="end"/>
      </w:r>
      <w:r w:rsidRPr="00365626">
        <w:rPr>
          <w:i/>
        </w:rPr>
        <w:t>:</w:t>
      </w:r>
    </w:p>
    <w:p w14:paraId="27FBA063" w14:textId="77777777" w:rsidR="0007206A" w:rsidRPr="00365626" w:rsidRDefault="0007206A" w:rsidP="0007206A">
      <w:pPr>
        <w:ind w:firstLine="708"/>
      </w:pPr>
      <w:r w:rsidRPr="00365626">
        <w:t xml:space="preserve">Оперативное вмешательство выполняется в условиях комбинированной эндотрахеальной анестезии. На протяжении всей операции требуется глубокий уровень нейромышечного блока, что предусматривает проведение мониторинга нейромышечного проведения врачом-анестезиологом. </w:t>
      </w:r>
    </w:p>
    <w:p w14:paraId="7B44BF9E" w14:textId="77777777" w:rsidR="0007206A" w:rsidRPr="00365626" w:rsidRDefault="0007206A" w:rsidP="0007206A">
      <w:pPr>
        <w:ind w:firstLine="708"/>
      </w:pPr>
      <w:r w:rsidRPr="00365626">
        <w:t>Более 80% оперируемых пациентов имеют исходные нарушения в системе гемостаза. Наиболее тяжелые отклонения требуют предоперационной подготовки компонентами крови, у остальных коррекция гемостаза выполняется непосредственно во время оперативного вмешательства.</w:t>
      </w:r>
    </w:p>
    <w:p w14:paraId="1777FF72" w14:textId="77777777" w:rsidR="0007206A" w:rsidRPr="00365626" w:rsidRDefault="0007206A" w:rsidP="0007206A">
      <w:pPr>
        <w:ind w:firstLine="708"/>
        <w:rPr>
          <w:color w:val="C00000"/>
        </w:rPr>
      </w:pPr>
      <w:r w:rsidRPr="00365626">
        <w:t xml:space="preserve">Часто во время выполнения спленэктомии проводятся трансфузии компонентов крови (ЭСК, концентрат тромбоцитов, СЗП, криопреципитат). Объем трансфузионной терапии зависит от особенностей заболевания и течения интраоперационного периода. </w:t>
      </w:r>
      <w:r w:rsidRPr="00365626">
        <w:rPr>
          <w:color w:val="000000" w:themeColor="text1"/>
        </w:rPr>
        <w:t>При глубокой тромбоцитопении (количество тромбоцитов &lt; 20х10</w:t>
      </w:r>
      <w:r w:rsidRPr="00365626">
        <w:rPr>
          <w:color w:val="000000" w:themeColor="text1"/>
          <w:vertAlign w:val="superscript"/>
        </w:rPr>
        <w:t>9</w:t>
      </w:r>
      <w:r w:rsidRPr="00365626">
        <w:rPr>
          <w:color w:val="000000" w:themeColor="text1"/>
        </w:rPr>
        <w:t>/л) целесообразна трансфузия концентрата тромбоцитов до начала операции и интраоперационно в зависимости от выраженности геморрагического синдрома. При иммунной тромбоцитопении трансфузия концентрата тромбоцитов рутинно не применяется, ее проведение возможно только при выраженном интраоперационном геморрагическом синдроме (целесообразно сочетание с эптакогом альфа активированным).</w:t>
      </w:r>
      <w:r w:rsidRPr="00365626">
        <w:rPr>
          <w:color w:val="000000" w:themeColor="text1"/>
        </w:rPr>
        <w:tab/>
      </w:r>
    </w:p>
    <w:p w14:paraId="718F7361" w14:textId="77777777" w:rsidR="0007206A" w:rsidRPr="00365626" w:rsidRDefault="0007206A" w:rsidP="0007206A">
      <w:pPr>
        <w:ind w:firstLine="708"/>
      </w:pPr>
      <w:r w:rsidRPr="00365626">
        <w:lastRenderedPageBreak/>
        <w:t>Для пациентов без глубокой цитопении  (гемоглобин более 80 г/л, количество тромбоцитов более 50х10</w:t>
      </w:r>
      <w:r w:rsidRPr="00365626">
        <w:rPr>
          <w:vertAlign w:val="superscript"/>
        </w:rPr>
        <w:t>9</w:t>
      </w:r>
      <w:r w:rsidRPr="00365626">
        <w:t xml:space="preserve">/л) и тяжелых коагуляционных нарушений  все вышеперечисленные компоненты крови  необходимо иметь в резерве. </w:t>
      </w:r>
    </w:p>
    <w:p w14:paraId="274A4E92" w14:textId="77777777" w:rsidR="0007206A" w:rsidRPr="00365626" w:rsidRDefault="0007206A" w:rsidP="0007206A">
      <w:pPr>
        <w:ind w:firstLine="708"/>
      </w:pPr>
      <w:r w:rsidRPr="00365626">
        <w:t>При выполнении спленэктомии при любом гематологическом заболевании, вне зависимости от исходных показателей гемограммы и коагулограммы, целесообразно так же иметь в арсенале концентраты факторов свертывания крови:  эптаког альфа активированный (</w:t>
      </w:r>
      <w:r w:rsidRPr="00365626">
        <w:rPr>
          <w:lang w:val="en-US"/>
        </w:rPr>
        <w:t>rFVIIa</w:t>
      </w:r>
      <w:r w:rsidRPr="00365626">
        <w:t xml:space="preserve">) и концентрат протромбинового комплекса (факторы II, VII, IX, X или  </w:t>
      </w:r>
      <w:r w:rsidRPr="00365626">
        <w:rPr>
          <w:lang w:val="en-US"/>
        </w:rPr>
        <w:t>II</w:t>
      </w:r>
      <w:r w:rsidRPr="00365626">
        <w:t xml:space="preserve">, </w:t>
      </w:r>
      <w:r w:rsidRPr="00365626">
        <w:rPr>
          <w:lang w:val="en-US"/>
        </w:rPr>
        <w:t>IX</w:t>
      </w:r>
      <w:r w:rsidRPr="00365626">
        <w:t>,</w:t>
      </w:r>
      <w:r w:rsidRPr="00365626">
        <w:rPr>
          <w:lang w:val="en-US"/>
        </w:rPr>
        <w:t>X</w:t>
      </w:r>
      <w:r w:rsidRPr="00365626">
        <w:t xml:space="preserve">). </w:t>
      </w:r>
    </w:p>
    <w:p w14:paraId="68B4F41A" w14:textId="77777777" w:rsidR="0007206A" w:rsidRPr="00365626" w:rsidRDefault="0007206A" w:rsidP="0007206A">
      <w:pPr>
        <w:ind w:firstLine="708"/>
      </w:pPr>
      <w:r w:rsidRPr="00365626">
        <w:t>Для обеспечения интраоперационного гемостаза необходим мониторинг основных параметров коагулограммы, по возможности с одновременным использованием интегральных методов исследования системы гемостаза (тромбоэластография, ротационная тромбоэластометрия).</w:t>
      </w:r>
    </w:p>
    <w:p w14:paraId="01058B13" w14:textId="77777777" w:rsidR="0007206A" w:rsidRPr="00365626" w:rsidRDefault="0007206A" w:rsidP="0007206A">
      <w:pPr>
        <w:ind w:firstLine="708"/>
      </w:pPr>
      <w:r w:rsidRPr="00365626">
        <w:t>За час до начала оперативного вмешательства вводится антибактериальный препарат широкого спектра действия. Возможные варианты: цефазолин 2 г ± метронидазол 0,5 г, цефуроксим 1,5 г ± метронидазол 0,5 г амоксициллин/клавуланат 1,2 г, амоксициллин/сульбактам 3 г, эртапенем 1 г при коллонизации резистентными микроорганизмами. При аллергии к бета-лактамам: клиндамицин 0,9 г.</w:t>
      </w:r>
    </w:p>
    <w:p w14:paraId="4CB51485" w14:textId="77777777" w:rsidR="0007206A" w:rsidRPr="00365626" w:rsidRDefault="0007206A" w:rsidP="0007206A">
      <w:pPr>
        <w:ind w:firstLine="708"/>
        <w:rPr>
          <w:vertAlign w:val="superscript"/>
        </w:rPr>
      </w:pPr>
      <w:r w:rsidRPr="00365626">
        <w:t>При кровопотере более 1500 мл рекомендовано повторное введение антибактериального препарата. Далее антибактериальная терапия проводится только при выявлении инфекционных осложнений.</w:t>
      </w:r>
    </w:p>
    <w:p w14:paraId="59E10A22" w14:textId="77777777" w:rsidR="0007206A" w:rsidRDefault="0007206A" w:rsidP="0007206A">
      <w:pPr>
        <w:rPr>
          <w:b/>
        </w:rPr>
      </w:pPr>
    </w:p>
    <w:p w14:paraId="294E9B29" w14:textId="77777777" w:rsidR="0007206A" w:rsidRPr="008271E2" w:rsidRDefault="0007206A" w:rsidP="0007206A">
      <w:pPr>
        <w:rPr>
          <w:i/>
        </w:rPr>
      </w:pPr>
      <w:r w:rsidRPr="008271E2">
        <w:rPr>
          <w:i/>
        </w:rPr>
        <w:t>Лапароскопическая спленэктомия</w:t>
      </w:r>
    </w:p>
    <w:p w14:paraId="47A34172" w14:textId="7EE9E3D0" w:rsidR="0007206A" w:rsidRPr="007F6C2B" w:rsidRDefault="0007206A" w:rsidP="0007206A">
      <w:pPr>
        <w:rPr>
          <w:iCs/>
          <w:u w:val="single"/>
          <w:vertAlign w:val="superscript"/>
        </w:rPr>
      </w:pPr>
      <w:r w:rsidRPr="008271E2">
        <w:rPr>
          <w:iCs/>
          <w:u w:val="single"/>
        </w:rPr>
        <w:t>Техника выполнения вмешательства</w:t>
      </w:r>
      <w:r>
        <w:rPr>
          <w:iCs/>
          <w:u w:val="single"/>
        </w:rPr>
        <w:t xml:space="preserve"> </w:t>
      </w:r>
      <w:r>
        <w:rPr>
          <w:iCs/>
          <w:u w:val="single"/>
        </w:rPr>
        <w:fldChar w:fldCharType="begin" w:fldLock="1"/>
      </w:r>
      <w:r w:rsidR="00B96A78">
        <w:rPr>
          <w:iCs/>
          <w:u w:val="single"/>
        </w:rPr>
        <w:instrText>ADDIN CSL_CITATION {"citationItems":[{"id":"ITEM-1","itemData":{"DOI":"10.1007/s00464-007-9735-5","ISSN":"09302794","PMID":"18293036","abstract":"Background: Although laparoscopic splenectomy (LS) has become the standard approach for most splenectomy cases, some areas still remain controversial. To date, the indications that preclude laparoscopic splenectomy are not clearly defined. In view of this, the European Association for Endoscopic Surgery (EAES) has developed clinical practice guidelines for LS. Methods: An international expert panel was invited to appraise the current literature and to develop evidence-based recommendations. A consensus development conference using a nominal group process convened in May 2007. Its recommendations were presented at the annual EAES congress in Athens, Greece, on 5 July 2007 for discussion and further input. After a further Delphi process between the experts, the final recommendations were agreed upon. Results: Laparoscopic splenectomy is indicated for most benign and malignant hematologic diseases independently of the patient's age and body weight. Preoperative investigation is recommended for obtaining information on spleen size and volume as well as the presence of accessory splenic tissue. Preoperative vaccination against meningococcal, pneumococcal, and Haemophilus influenzae type B infections is recommended in elective cases. Perioperative anticoagulant prophylaxis with subcutaneous heparin should be administered to all patients and prolonged anticoagulant prophylaxis to high-risk patients. The choice of approach (supine [anterior], semilateral or lateral) is left to the surgeon's preference and concomitant conditions. In cases of massive splenomegaly, the hand-assisted technique should be considered to avoid conversion to open surgery and to reduce complication rates. The expert panel still considered portal hypertension and major medical comorbidities as contraindications to LS. Conclusion: Despite a lack of level 1 evidence, LS is a safe and advantageous procedure in experienced hands that has displaced open surgery for almost all indications. To support the clinical evidence, further randomized controlled trials on different issues are mandatory. © 2008 Springer Science+Business Media, LLC.","author":[{"dropping-particle":"","family":"Habermalz","given":"B.","non-dropping-particle":"","parse-names":false,"suffix":""},{"dropping-particle":"","family":"Sauerland","given":"S.","non-dropping-particle":"","parse-names":false,"suffix":""},{"dropping-particle":"","family":"Decker","given":"G.","non-dropping-particle":"","parse-names":false,"suffix":""},{"dropping-particle":"","family":"Delaitre","given":"B.","non-dropping-particle":"","parse-names":false,"suffix":""},{"dropping-particle":"","family":"Gigot","given":"J. F.","non-dropping-particle":"","parse-names":false,"suffix":""},{"dropping-particle":"","family":"Leandros","given":"E.","non-dropping-particle":"","parse-names":false,"suffix":""},{"dropping-particle":"","family":"Lechner","given":"K.","non-dropping-particle":"","parse-names":false,"suffix":""},{"dropping-particle":"","family":"Rhodes","given":"M.","non-dropping-particle":"","parse-names":false,"suffix":""},{"dropping-particle":"","family":"Silecchia","given":"G.","non-dropping-particle":"","parse-names":false,"suffix":""},{"dropping-particle":"","family":"Szold","given":"A.","non-dropping-particle":"","parse-names":false,"suffix":""},{"dropping-particle":"","family":"Targarona","given":"E.","non-dropping-particle":"","parse-names":false,"suffix":""},{"dropping-particle":"","family":"Torelli","given":"P.","non-dropping-particle":"","parse-names":false,"suffix":""},{"dropping-particle":"","family":"Neugebauer","given":"E.","non-dropping-particle":"","parse-names":false,"suffix":""}],"container-title":"Surgical Endoscopy and Other Interventional Techniques","id":"ITEM-1","issue":"4","issued":{"date-parts":[["2008","4"]]},"page":"821-848","publisher":"Surg Endosc","title":"Laparoscopic splenectomy: The clinical practice guidelines of the European Association for Endoscopic Surgery (EAES)","type":"paper-conference","volume":"22"},"uris":["http://www.mendeley.com/documents/?uuid=983b81b2-be55-354d-9ece-4e702d6423e1"]}],"mendeley":{"formattedCitation":"[209]","plainTextFormattedCitation":"[209]","previouslyFormattedCitation":"[209]"},"properties":{"noteIndex":0},"schema":"https://github.com/citation-style-language/schema/raw/master/csl-citation.json"}</w:instrText>
      </w:r>
      <w:r>
        <w:rPr>
          <w:iCs/>
          <w:u w:val="single"/>
        </w:rPr>
        <w:fldChar w:fldCharType="separate"/>
      </w:r>
      <w:r w:rsidR="00872B84" w:rsidRPr="00872B84">
        <w:rPr>
          <w:iCs/>
          <w:noProof/>
        </w:rPr>
        <w:t>[209]</w:t>
      </w:r>
      <w:r>
        <w:rPr>
          <w:iCs/>
          <w:u w:val="single"/>
        </w:rPr>
        <w:fldChar w:fldCharType="end"/>
      </w:r>
    </w:p>
    <w:p w14:paraId="5D128C2D" w14:textId="77777777" w:rsidR="0007206A" w:rsidRPr="00365626" w:rsidRDefault="0007206A" w:rsidP="0007206A">
      <w:pPr>
        <w:pStyle w:val="afe"/>
        <w:numPr>
          <w:ilvl w:val="0"/>
          <w:numId w:val="170"/>
        </w:numPr>
        <w:rPr>
          <w:rFonts w:cs="Times New Roman"/>
          <w:szCs w:val="24"/>
        </w:rPr>
      </w:pPr>
      <w:r w:rsidRPr="00365626">
        <w:rPr>
          <w:rFonts w:cs="Times New Roman"/>
          <w:szCs w:val="24"/>
        </w:rPr>
        <w:t>Создание карбоксиперитонеума, установка первого троакара, осмотр брюшной полости.</w:t>
      </w:r>
    </w:p>
    <w:p w14:paraId="2B988B6B" w14:textId="77777777" w:rsidR="0007206A" w:rsidRPr="00365626" w:rsidRDefault="0007206A" w:rsidP="0007206A">
      <w:pPr>
        <w:pStyle w:val="afe"/>
        <w:numPr>
          <w:ilvl w:val="0"/>
          <w:numId w:val="170"/>
        </w:numPr>
        <w:rPr>
          <w:rFonts w:cs="Times New Roman"/>
          <w:szCs w:val="24"/>
        </w:rPr>
      </w:pPr>
      <w:r w:rsidRPr="00365626">
        <w:rPr>
          <w:rFonts w:cs="Times New Roman"/>
          <w:szCs w:val="24"/>
        </w:rPr>
        <w:t>Позиционирование стола (положение пациента лежа на спине, позиция операционного стола: головной конец поднят на 30°, поворот направо на 20°).</w:t>
      </w:r>
    </w:p>
    <w:p w14:paraId="16293F05" w14:textId="77777777" w:rsidR="0007206A" w:rsidRPr="00365626" w:rsidRDefault="0007206A" w:rsidP="0007206A">
      <w:pPr>
        <w:pStyle w:val="afe"/>
        <w:numPr>
          <w:ilvl w:val="0"/>
          <w:numId w:val="170"/>
        </w:numPr>
        <w:rPr>
          <w:rFonts w:cs="Times New Roman"/>
          <w:szCs w:val="24"/>
        </w:rPr>
      </w:pPr>
      <w:r w:rsidRPr="00365626">
        <w:rPr>
          <w:rFonts w:cs="Times New Roman"/>
          <w:szCs w:val="24"/>
        </w:rPr>
        <w:t>Установка троакаров в зависимости от размера селезенки (расположение: 1 – выше пупка, 2 – под мечевидным отростком грудины, 3, 4 – по окружности с центром ориентировочно в области ножки селезенки. «Угол атаки» по отношению к сосудам селезенки должен быть близок к 90°, что оптимально для их выделения).</w:t>
      </w:r>
    </w:p>
    <w:p w14:paraId="476370AB" w14:textId="77777777" w:rsidR="0007206A" w:rsidRPr="00365626" w:rsidRDefault="0007206A" w:rsidP="0007206A">
      <w:pPr>
        <w:pStyle w:val="afe"/>
        <w:numPr>
          <w:ilvl w:val="0"/>
          <w:numId w:val="170"/>
        </w:numPr>
        <w:rPr>
          <w:rFonts w:cs="Times New Roman"/>
          <w:szCs w:val="24"/>
        </w:rPr>
      </w:pPr>
      <w:r w:rsidRPr="00365626">
        <w:rPr>
          <w:rFonts w:cs="Times New Roman"/>
          <w:szCs w:val="24"/>
        </w:rPr>
        <w:t>Мобилизация нижнего полюса селезенки</w:t>
      </w:r>
    </w:p>
    <w:p w14:paraId="4CE61F65" w14:textId="77777777" w:rsidR="0007206A" w:rsidRPr="00365626" w:rsidRDefault="0007206A" w:rsidP="0007206A">
      <w:pPr>
        <w:pStyle w:val="afe"/>
        <w:numPr>
          <w:ilvl w:val="0"/>
          <w:numId w:val="170"/>
        </w:numPr>
        <w:rPr>
          <w:rFonts w:cs="Times New Roman"/>
          <w:szCs w:val="24"/>
        </w:rPr>
      </w:pPr>
      <w:r w:rsidRPr="00365626">
        <w:rPr>
          <w:rFonts w:cs="Times New Roman"/>
          <w:szCs w:val="24"/>
        </w:rPr>
        <w:t>Пересечение желудочно-селезеночной связки</w:t>
      </w:r>
    </w:p>
    <w:p w14:paraId="334F4646" w14:textId="77777777" w:rsidR="0007206A" w:rsidRPr="00365626" w:rsidRDefault="0007206A" w:rsidP="0007206A">
      <w:pPr>
        <w:pStyle w:val="afe"/>
        <w:numPr>
          <w:ilvl w:val="0"/>
          <w:numId w:val="170"/>
        </w:numPr>
        <w:rPr>
          <w:rFonts w:cs="Times New Roman"/>
          <w:szCs w:val="24"/>
        </w:rPr>
      </w:pPr>
      <w:r w:rsidRPr="00365626">
        <w:rPr>
          <w:rFonts w:cs="Times New Roman"/>
          <w:szCs w:val="24"/>
        </w:rPr>
        <w:t>Пересечение сосудистой ножки селезенки</w:t>
      </w:r>
    </w:p>
    <w:p w14:paraId="0347CA71" w14:textId="77777777" w:rsidR="0007206A" w:rsidRPr="00365626" w:rsidRDefault="0007206A" w:rsidP="0007206A">
      <w:pPr>
        <w:pStyle w:val="afe"/>
        <w:numPr>
          <w:ilvl w:val="0"/>
          <w:numId w:val="170"/>
        </w:numPr>
        <w:rPr>
          <w:rFonts w:cs="Times New Roman"/>
          <w:szCs w:val="24"/>
        </w:rPr>
      </w:pPr>
      <w:r w:rsidRPr="00365626">
        <w:rPr>
          <w:rFonts w:cs="Times New Roman"/>
          <w:szCs w:val="24"/>
        </w:rPr>
        <w:t>Мобилизация верхнего полюса селезенки</w:t>
      </w:r>
    </w:p>
    <w:p w14:paraId="742E10D0" w14:textId="77777777" w:rsidR="0007206A" w:rsidRPr="00365626" w:rsidRDefault="0007206A" w:rsidP="0007206A">
      <w:pPr>
        <w:pStyle w:val="afe"/>
        <w:numPr>
          <w:ilvl w:val="0"/>
          <w:numId w:val="170"/>
        </w:numPr>
        <w:rPr>
          <w:rFonts w:cs="Times New Roman"/>
          <w:szCs w:val="24"/>
        </w:rPr>
      </w:pPr>
      <w:r w:rsidRPr="00365626">
        <w:rPr>
          <w:rFonts w:cs="Times New Roman"/>
          <w:szCs w:val="24"/>
        </w:rPr>
        <w:lastRenderedPageBreak/>
        <w:t>Извлечение селезенки из брюшной полости</w:t>
      </w:r>
    </w:p>
    <w:p w14:paraId="2647EB82" w14:textId="77777777" w:rsidR="0007206A" w:rsidRPr="00365626" w:rsidRDefault="0007206A" w:rsidP="0007206A">
      <w:pPr>
        <w:pStyle w:val="afe"/>
        <w:numPr>
          <w:ilvl w:val="0"/>
          <w:numId w:val="170"/>
        </w:numPr>
        <w:rPr>
          <w:rFonts w:cs="Times New Roman"/>
          <w:szCs w:val="24"/>
        </w:rPr>
      </w:pPr>
      <w:r w:rsidRPr="00365626">
        <w:rPr>
          <w:rFonts w:cs="Times New Roman"/>
          <w:szCs w:val="24"/>
        </w:rPr>
        <w:t>Гемостаз и дренирование</w:t>
      </w:r>
      <w:r w:rsidRPr="00365626">
        <w:rPr>
          <w:rFonts w:cs="Times New Roman"/>
          <w:i/>
          <w:szCs w:val="24"/>
        </w:rPr>
        <w:t xml:space="preserve">. </w:t>
      </w:r>
    </w:p>
    <w:p w14:paraId="3022B305" w14:textId="77777777" w:rsidR="0007206A" w:rsidRPr="00365626" w:rsidRDefault="0007206A" w:rsidP="0007206A">
      <w:pPr>
        <w:ind w:firstLine="709"/>
      </w:pPr>
      <w:r w:rsidRPr="00365626">
        <w:t xml:space="preserve">Для безопасного выполнения лапароскопической спленэктомии целесообразно применение электролигирующего устройства </w:t>
      </w:r>
      <w:r w:rsidRPr="00365626">
        <w:rPr>
          <w:lang w:val="en-US"/>
        </w:rPr>
        <w:t>LigaSure</w:t>
      </w:r>
      <w:r w:rsidRPr="00365626">
        <w:t>, позволяющего пересекать сосуды без применения клипатора.</w:t>
      </w:r>
    </w:p>
    <w:p w14:paraId="3E3A83A9" w14:textId="77777777" w:rsidR="0007206A" w:rsidRPr="00365626" w:rsidRDefault="0007206A" w:rsidP="0007206A">
      <w:pPr>
        <w:ind w:firstLine="709"/>
      </w:pPr>
      <w:r w:rsidRPr="00365626">
        <w:t>Извлечение удаленной селезенки производят в контейнере. Возможно измельчение органа и извлечение из пупочного доступа. При необходимости извлечения целого органа для гистологического исследования применяют доступ по Пфанненштилю.</w:t>
      </w:r>
    </w:p>
    <w:p w14:paraId="65D9B0C0" w14:textId="77777777" w:rsidR="0007206A" w:rsidRDefault="0007206A" w:rsidP="0007206A">
      <w:pPr>
        <w:rPr>
          <w:b/>
        </w:rPr>
      </w:pPr>
    </w:p>
    <w:p w14:paraId="6B5EA517" w14:textId="77777777" w:rsidR="0007206A" w:rsidRPr="008271E2" w:rsidRDefault="0007206A" w:rsidP="0007206A">
      <w:pPr>
        <w:rPr>
          <w:bCs/>
          <w:i/>
          <w:iCs/>
        </w:rPr>
      </w:pPr>
      <w:r w:rsidRPr="008271E2">
        <w:rPr>
          <w:bCs/>
          <w:i/>
          <w:iCs/>
        </w:rPr>
        <w:t>Спленэктомия лапаротомным доступом</w:t>
      </w:r>
    </w:p>
    <w:p w14:paraId="28F0606A" w14:textId="020DEAC5" w:rsidR="0007206A" w:rsidRPr="008271E2" w:rsidRDefault="0007206A" w:rsidP="0007206A">
      <w:pPr>
        <w:rPr>
          <w:iCs/>
          <w:u w:val="single"/>
        </w:rPr>
      </w:pPr>
      <w:r w:rsidRPr="008271E2">
        <w:rPr>
          <w:iCs/>
          <w:u w:val="single"/>
        </w:rPr>
        <w:t>Техника выполнения вмешательства</w:t>
      </w:r>
      <w:r>
        <w:rPr>
          <w:iCs/>
          <w:u w:val="single"/>
        </w:rPr>
        <w:t xml:space="preserve"> </w:t>
      </w:r>
      <w:r>
        <w:fldChar w:fldCharType="begin" w:fldLock="1"/>
      </w:r>
      <w:r w:rsidR="00B96A78">
        <w:instrText>ADDIN CSL_CITATION {"citationItems":[{"id":"ITEM-1","itemData":{"author":[{"dropping-particle":"","family":"Карагюлян","given":"С.Р.","non-dropping-particle":"","parse-names":false,"suffix":""},{"dropping-particle":"","family":"Данишян","given":"К.И.","non-dropping-particle":"","parse-names":false,"suffix":""},{"dropping-particle":"","family":"Шутов","given":"С.А.","non-dropping-particle":"","parse-names":false,"suffix":""},{"dropping-particle":"","family":"Силаев","given":"М.А.","non-dropping-particle":"","parse-names":false,"suffix":""}],"container-title":"Клиническая онкогематология","id":"ITEM-1","issue":"1","issued":{"date-parts":[["2017"]]},"page":"101-107","title":"Технические сложности выполнения спленэктомии при заболеваниях системы крови","type":"article-journal","volume":"10"},"uris":["http://www.mendeley.com/documents/?uuid=1758182b-493b-4a43-bda6-135a50dad214"]}],"mendeley":{"formattedCitation":"[208]","plainTextFormattedCitation":"[208]","previouslyFormattedCitation":"[208]"},"properties":{"noteIndex":0},"schema":"https://github.com/citation-style-language/schema/raw/master/csl-citation.json"}</w:instrText>
      </w:r>
      <w:r>
        <w:fldChar w:fldCharType="separate"/>
      </w:r>
      <w:r w:rsidR="00872B84" w:rsidRPr="00872B84">
        <w:rPr>
          <w:noProof/>
        </w:rPr>
        <w:t>[208]</w:t>
      </w:r>
      <w:r>
        <w:fldChar w:fldCharType="end"/>
      </w:r>
    </w:p>
    <w:p w14:paraId="28AF7C21" w14:textId="77777777" w:rsidR="0007206A" w:rsidRPr="00365626" w:rsidRDefault="0007206A" w:rsidP="0007206A">
      <w:pPr>
        <w:pStyle w:val="afe"/>
        <w:numPr>
          <w:ilvl w:val="0"/>
          <w:numId w:val="172"/>
        </w:numPr>
        <w:rPr>
          <w:rFonts w:cs="Times New Roman"/>
          <w:szCs w:val="24"/>
        </w:rPr>
      </w:pPr>
      <w:r w:rsidRPr="00365626">
        <w:rPr>
          <w:rFonts w:cs="Times New Roman"/>
          <w:szCs w:val="24"/>
        </w:rPr>
        <w:t>Срединный разрез от мечевидного отростка до пупка либо косой – в левом подреберье.</w:t>
      </w:r>
    </w:p>
    <w:p w14:paraId="6F39CB9D" w14:textId="77777777" w:rsidR="0007206A" w:rsidRPr="00365626" w:rsidRDefault="0007206A" w:rsidP="0007206A">
      <w:pPr>
        <w:pStyle w:val="afe"/>
        <w:numPr>
          <w:ilvl w:val="0"/>
          <w:numId w:val="172"/>
        </w:numPr>
        <w:rPr>
          <w:rFonts w:cs="Times New Roman"/>
          <w:szCs w:val="24"/>
        </w:rPr>
      </w:pPr>
      <w:r w:rsidRPr="00365626">
        <w:rPr>
          <w:rFonts w:cs="Times New Roman"/>
          <w:szCs w:val="24"/>
        </w:rPr>
        <w:t>Пересечение желудочно-селезеночной связки с лигированием сосудов.</w:t>
      </w:r>
    </w:p>
    <w:p w14:paraId="174526C5" w14:textId="77777777" w:rsidR="0007206A" w:rsidRPr="00365626" w:rsidRDefault="0007206A" w:rsidP="0007206A">
      <w:pPr>
        <w:pStyle w:val="afe"/>
        <w:numPr>
          <w:ilvl w:val="0"/>
          <w:numId w:val="172"/>
        </w:numPr>
        <w:rPr>
          <w:rFonts w:cs="Times New Roman"/>
          <w:szCs w:val="24"/>
        </w:rPr>
      </w:pPr>
      <w:r w:rsidRPr="00365626">
        <w:rPr>
          <w:rFonts w:cs="Times New Roman"/>
          <w:szCs w:val="24"/>
        </w:rPr>
        <w:t>Рассечение селезеночно-диафрагмальной связки и мобилизация верхнего полюса селезенки</w:t>
      </w:r>
    </w:p>
    <w:p w14:paraId="52ED1A39" w14:textId="77777777" w:rsidR="0007206A" w:rsidRPr="00365626" w:rsidRDefault="0007206A" w:rsidP="0007206A">
      <w:pPr>
        <w:pStyle w:val="afe"/>
        <w:numPr>
          <w:ilvl w:val="0"/>
          <w:numId w:val="171"/>
        </w:numPr>
        <w:rPr>
          <w:rFonts w:cs="Times New Roman"/>
          <w:szCs w:val="24"/>
        </w:rPr>
      </w:pPr>
      <w:r w:rsidRPr="00365626">
        <w:rPr>
          <w:rFonts w:cs="Times New Roman"/>
          <w:szCs w:val="24"/>
        </w:rPr>
        <w:t>Пересечение селезеночно</w:t>
      </w:r>
      <w:r w:rsidRPr="00365626">
        <w:rPr>
          <w:rFonts w:cs="Times New Roman"/>
          <w:szCs w:val="24"/>
        </w:rPr>
        <w:noBreakHyphen/>
        <w:t xml:space="preserve">толстокишечной связки у нижнего полюса. </w:t>
      </w:r>
    </w:p>
    <w:p w14:paraId="6D13E18F" w14:textId="77777777" w:rsidR="0007206A" w:rsidRPr="00365626" w:rsidRDefault="0007206A" w:rsidP="0007206A">
      <w:pPr>
        <w:pStyle w:val="afe"/>
        <w:numPr>
          <w:ilvl w:val="0"/>
          <w:numId w:val="171"/>
        </w:numPr>
        <w:rPr>
          <w:rFonts w:cs="Times New Roman"/>
          <w:szCs w:val="24"/>
        </w:rPr>
      </w:pPr>
      <w:r w:rsidRPr="00365626">
        <w:rPr>
          <w:rFonts w:cs="Times New Roman"/>
          <w:szCs w:val="24"/>
        </w:rPr>
        <w:t>Рассечение брюшины над сосудистой ножкой и перевязка сосудов селезенки in situ. Диссектором выделяют, раздельно лигируют и пересекают либо основной ствол артерии и вены, либо 2–3 ветви сосудов. Следует избегать контакта с хвостом поджелудочной железы.</w:t>
      </w:r>
    </w:p>
    <w:p w14:paraId="2EC11786" w14:textId="77777777" w:rsidR="0007206A" w:rsidRPr="00365626" w:rsidRDefault="0007206A" w:rsidP="0007206A">
      <w:pPr>
        <w:pStyle w:val="afe"/>
        <w:numPr>
          <w:ilvl w:val="0"/>
          <w:numId w:val="171"/>
        </w:numPr>
        <w:rPr>
          <w:rFonts w:cs="Times New Roman"/>
          <w:szCs w:val="24"/>
        </w:rPr>
      </w:pPr>
      <w:r w:rsidRPr="00365626">
        <w:rPr>
          <w:rFonts w:cs="Times New Roman"/>
          <w:szCs w:val="24"/>
        </w:rPr>
        <w:t>Разделение сращения наружной и задней поверхностей селезенки с париетальной брюшиной диафрагмы и боковой стенкой живота и удаление органа.</w:t>
      </w:r>
    </w:p>
    <w:p w14:paraId="40B02ACC" w14:textId="77777777" w:rsidR="0007206A" w:rsidRPr="00365626" w:rsidRDefault="0007206A" w:rsidP="0007206A">
      <w:pPr>
        <w:pStyle w:val="afe"/>
        <w:numPr>
          <w:ilvl w:val="0"/>
          <w:numId w:val="171"/>
        </w:numPr>
        <w:rPr>
          <w:rFonts w:cs="Times New Roman"/>
          <w:szCs w:val="24"/>
        </w:rPr>
      </w:pPr>
      <w:r w:rsidRPr="00365626">
        <w:rPr>
          <w:rFonts w:cs="Times New Roman"/>
          <w:szCs w:val="24"/>
        </w:rPr>
        <w:t>Гемостаз, дренирование брюшной полости.</w:t>
      </w:r>
    </w:p>
    <w:p w14:paraId="4166BA03" w14:textId="77777777" w:rsidR="0007206A" w:rsidRPr="00365626" w:rsidRDefault="0007206A" w:rsidP="0007206A">
      <w:pPr>
        <w:ind w:firstLine="709"/>
        <w:rPr>
          <w:color w:val="C00000"/>
        </w:rPr>
      </w:pPr>
      <w:r w:rsidRPr="00365626">
        <w:t>При больших размерах селезенки, перисплените и портальной гипертензии оперативное вмешательство может быть травматичным, возможна одномоментная массивная кровопотеря. Это необходимо предусмотреть при планировании и проведении анестезиологического пособия, используя трансфузиологические среды, аутогемотрансфузию с помощью аппарата Cell Saver. Чрезмерная тракция при выведении селезенки в лапаротомную рану может привести к надрыву хвоста поджелудочной железы, развитию кровотечения, послеоперационного панкреатита.  При интраоперационной травме поджелудочной железы возможно применение аналогов соматостатина.</w:t>
      </w:r>
    </w:p>
    <w:p w14:paraId="1CFAE021" w14:textId="77777777" w:rsidR="0007206A" w:rsidRPr="00365626" w:rsidRDefault="0007206A" w:rsidP="0007206A">
      <w:pPr>
        <w:ind w:firstLine="709"/>
      </w:pPr>
      <w:r w:rsidRPr="00365626">
        <w:t>Дренаж в левое поддиафрагмальное пространство устанавливают при травме хвоста поджелудочной железы, так как возможно формирование панкреатической фистулы.</w:t>
      </w:r>
    </w:p>
    <w:p w14:paraId="5F752010" w14:textId="77777777" w:rsidR="0007206A" w:rsidRDefault="0007206A" w:rsidP="0007206A">
      <w:pPr>
        <w:ind w:firstLine="709"/>
      </w:pPr>
      <w:r w:rsidRPr="00365626">
        <w:lastRenderedPageBreak/>
        <w:t xml:space="preserve">Необходим контроль активности амилазы в отделяемом по дренажу. При повышении активности амилазы дренирование продолжают до ее нормализации или прекращения  поступления отделяемого. </w:t>
      </w:r>
    </w:p>
    <w:p w14:paraId="2B5BE9FE" w14:textId="77777777" w:rsidR="0007206A" w:rsidRPr="00365626" w:rsidRDefault="0007206A" w:rsidP="0007206A">
      <w:pPr>
        <w:ind w:firstLine="709"/>
      </w:pPr>
    </w:p>
    <w:p w14:paraId="002C897F" w14:textId="77777777" w:rsidR="0007206A" w:rsidRPr="008271E2" w:rsidRDefault="0007206A" w:rsidP="0007206A">
      <w:pPr>
        <w:rPr>
          <w:bCs/>
          <w:i/>
          <w:iCs/>
        </w:rPr>
      </w:pPr>
      <w:r w:rsidRPr="008271E2">
        <w:rPr>
          <w:bCs/>
          <w:i/>
          <w:iCs/>
        </w:rPr>
        <w:t>Исследование удаленной селезенки, печени и лимфатического узла</w:t>
      </w:r>
    </w:p>
    <w:p w14:paraId="47A386E8" w14:textId="77777777" w:rsidR="0007206A" w:rsidRPr="00365626" w:rsidRDefault="0007206A" w:rsidP="0007206A">
      <w:pPr>
        <w:ind w:firstLine="708"/>
      </w:pPr>
      <w:r w:rsidRPr="00365626">
        <w:t>При выполнении спленэктомии для всех гематологических больных необходимо выполнять краевую биопсию печени для гистологической верификации патологического процесса, а так же при выявлении увеличенных лимфатических узлов и биопсию лимфатического узла.</w:t>
      </w:r>
    </w:p>
    <w:p w14:paraId="677B4DD8" w14:textId="77777777" w:rsidR="0007206A" w:rsidRPr="00365626" w:rsidRDefault="0007206A" w:rsidP="0007206A">
      <w:pPr>
        <w:ind w:firstLine="708"/>
      </w:pPr>
      <w:r w:rsidRPr="00365626">
        <w:t>Во всех случаях проводят исследования селезенки, биоптата печени и лимфатического узла:</w:t>
      </w:r>
    </w:p>
    <w:p w14:paraId="00663E59" w14:textId="77777777" w:rsidR="0007206A" w:rsidRPr="00365626" w:rsidRDefault="0007206A" w:rsidP="0007206A">
      <w:pPr>
        <w:pStyle w:val="afe"/>
        <w:numPr>
          <w:ilvl w:val="0"/>
          <w:numId w:val="176"/>
        </w:numPr>
        <w:rPr>
          <w:rFonts w:cs="Times New Roman"/>
          <w:szCs w:val="24"/>
        </w:rPr>
      </w:pPr>
      <w:r w:rsidRPr="00365626">
        <w:rPr>
          <w:rFonts w:cs="Times New Roman"/>
          <w:szCs w:val="24"/>
        </w:rPr>
        <w:t xml:space="preserve">гистологическое исследование; </w:t>
      </w:r>
    </w:p>
    <w:p w14:paraId="6D729EDE" w14:textId="77777777" w:rsidR="0007206A" w:rsidRPr="00365626" w:rsidRDefault="0007206A" w:rsidP="0007206A">
      <w:pPr>
        <w:pStyle w:val="afe"/>
        <w:numPr>
          <w:ilvl w:val="0"/>
          <w:numId w:val="176"/>
        </w:numPr>
        <w:rPr>
          <w:rFonts w:cs="Times New Roman"/>
          <w:szCs w:val="24"/>
        </w:rPr>
      </w:pPr>
      <w:r w:rsidRPr="00365626">
        <w:rPr>
          <w:rFonts w:cs="Times New Roman"/>
          <w:szCs w:val="24"/>
        </w:rPr>
        <w:t>цитологическое исследование (отпечатки)</w:t>
      </w:r>
    </w:p>
    <w:p w14:paraId="61458FE0" w14:textId="77777777" w:rsidR="0007206A" w:rsidRPr="00365626" w:rsidRDefault="0007206A" w:rsidP="0007206A">
      <w:pPr>
        <w:ind w:left="360"/>
      </w:pPr>
      <w:r w:rsidRPr="00365626">
        <w:t>при показаниях в зависимости от гематологического диагноза исследования биоптатов селезенки, печени, лимфоузла дополнительно выполняются:</w:t>
      </w:r>
    </w:p>
    <w:p w14:paraId="44AD7BE3" w14:textId="77777777" w:rsidR="0007206A" w:rsidRPr="00365626" w:rsidRDefault="0007206A" w:rsidP="0007206A">
      <w:pPr>
        <w:pStyle w:val="afe"/>
        <w:numPr>
          <w:ilvl w:val="0"/>
          <w:numId w:val="176"/>
        </w:numPr>
        <w:rPr>
          <w:rFonts w:cs="Times New Roman"/>
          <w:szCs w:val="24"/>
        </w:rPr>
      </w:pPr>
      <w:r w:rsidRPr="00365626">
        <w:rPr>
          <w:rFonts w:cs="Times New Roman"/>
          <w:szCs w:val="24"/>
        </w:rPr>
        <w:t>иммуногистохимическое исследование;</w:t>
      </w:r>
    </w:p>
    <w:p w14:paraId="4E768270" w14:textId="77777777" w:rsidR="0007206A" w:rsidRPr="00365626" w:rsidRDefault="0007206A" w:rsidP="0007206A">
      <w:pPr>
        <w:pStyle w:val="afe"/>
        <w:numPr>
          <w:ilvl w:val="0"/>
          <w:numId w:val="176"/>
        </w:numPr>
        <w:rPr>
          <w:rFonts w:cs="Times New Roman"/>
          <w:szCs w:val="24"/>
        </w:rPr>
      </w:pPr>
      <w:r w:rsidRPr="00365626">
        <w:rPr>
          <w:rFonts w:cs="Times New Roman"/>
          <w:szCs w:val="24"/>
        </w:rPr>
        <w:t>иммунофенотипическое исследование;</w:t>
      </w:r>
    </w:p>
    <w:p w14:paraId="3376EDC3" w14:textId="77777777" w:rsidR="0007206A" w:rsidRPr="00365626" w:rsidRDefault="0007206A" w:rsidP="0007206A">
      <w:pPr>
        <w:pStyle w:val="afe"/>
        <w:numPr>
          <w:ilvl w:val="0"/>
          <w:numId w:val="176"/>
        </w:numPr>
        <w:rPr>
          <w:rFonts w:cs="Times New Roman"/>
          <w:szCs w:val="24"/>
        </w:rPr>
      </w:pPr>
      <w:r w:rsidRPr="00365626">
        <w:rPr>
          <w:rFonts w:cs="Times New Roman"/>
          <w:szCs w:val="24"/>
        </w:rPr>
        <w:t>цитогенетическое исследование;</w:t>
      </w:r>
    </w:p>
    <w:p w14:paraId="748C1AF8" w14:textId="77777777" w:rsidR="0007206A" w:rsidRPr="00365626" w:rsidRDefault="0007206A" w:rsidP="0007206A">
      <w:pPr>
        <w:pStyle w:val="afe"/>
        <w:numPr>
          <w:ilvl w:val="0"/>
          <w:numId w:val="176"/>
        </w:numPr>
        <w:rPr>
          <w:rFonts w:cs="Times New Roman"/>
          <w:szCs w:val="24"/>
        </w:rPr>
      </w:pPr>
      <w:r w:rsidRPr="00365626">
        <w:rPr>
          <w:rFonts w:cs="Times New Roman"/>
          <w:szCs w:val="24"/>
        </w:rPr>
        <w:t>молекулярно-генетические / молекулярно-биологические исследования исследования: Т и В–клеточная клональность и другие (по показаниям);</w:t>
      </w:r>
    </w:p>
    <w:p w14:paraId="3DF380B9" w14:textId="77777777" w:rsidR="0007206A" w:rsidRPr="00365626" w:rsidRDefault="0007206A" w:rsidP="0007206A">
      <w:pPr>
        <w:pStyle w:val="afe"/>
        <w:numPr>
          <w:ilvl w:val="0"/>
          <w:numId w:val="176"/>
        </w:numPr>
        <w:rPr>
          <w:rFonts w:cs="Times New Roman"/>
          <w:szCs w:val="24"/>
        </w:rPr>
      </w:pPr>
      <w:r w:rsidRPr="00365626">
        <w:rPr>
          <w:rFonts w:cs="Times New Roman"/>
          <w:szCs w:val="24"/>
        </w:rPr>
        <w:t>вирусологические исследования – ПЦР ДНК вируса гепатита В, ПЦР РНК вируса гепатита С, ПЦР ДНК вирусов группы герпеса (ВПГ, ВЭБ, ЦМВ и т.д.) (по показаниям).</w:t>
      </w:r>
    </w:p>
    <w:p w14:paraId="419E10F3" w14:textId="77777777" w:rsidR="0007206A" w:rsidRDefault="0007206A" w:rsidP="0007206A">
      <w:pPr>
        <w:rPr>
          <w:b/>
        </w:rPr>
      </w:pPr>
    </w:p>
    <w:p w14:paraId="67FD08A6" w14:textId="491A7645" w:rsidR="0007206A" w:rsidRPr="008271E2" w:rsidRDefault="0007206A" w:rsidP="0007206A">
      <w:pPr>
        <w:rPr>
          <w:bCs/>
          <w:i/>
          <w:iCs/>
        </w:rPr>
      </w:pPr>
      <w:r w:rsidRPr="008271E2">
        <w:rPr>
          <w:bCs/>
          <w:i/>
          <w:iCs/>
        </w:rPr>
        <w:t>Послеоперационный период</w:t>
      </w:r>
      <w:r>
        <w:rPr>
          <w:bCs/>
          <w:i/>
          <w:iCs/>
        </w:rPr>
        <w:t xml:space="preserve"> </w:t>
      </w:r>
      <w:r>
        <w:fldChar w:fldCharType="begin" w:fldLock="1"/>
      </w:r>
      <w:r w:rsidR="00B96A78">
        <w:instrText>ADDIN CSL_CITATION {"citationItems":[{"id":"ITEM-1","itemData":{"author":[{"dropping-particle":"","family":"Карагюлян","given":"С.Р.","non-dropping-particle":"","parse-names":false,"suffix":""},{"dropping-particle":"","family":"Данишян","given":"К.И.","non-dropping-particle":"","parse-names":false,"suffix":""},{"dropping-particle":"","family":"Шутов","given":"С.А.","non-dropping-particle":"","parse-names":false,"suffix":""},{"dropping-particle":"","family":"Силаев","given":"М.А.","non-dropping-particle":"","parse-names":false,"suffix":""}],"container-title":"Клиническая онкогематология","id":"ITEM-1","issue":"1","issued":{"date-parts":[["2017"]]},"page":"101-107","title":"Технические сложности выполнения спленэктомии при заболеваниях системы крови","type":"article-journal","volume":"10"},"uris":["http://www.mendeley.com/documents/?uuid=1758182b-493b-4a43-bda6-135a50dad214"]}],"mendeley":{"formattedCitation":"[208]","plainTextFormattedCitation":"[208]","previouslyFormattedCitation":"[208]"},"properties":{"noteIndex":0},"schema":"https://github.com/citation-style-language/schema/raw/master/csl-citation.json"}</w:instrText>
      </w:r>
      <w:r>
        <w:fldChar w:fldCharType="separate"/>
      </w:r>
      <w:r w:rsidR="00872B84" w:rsidRPr="00872B84">
        <w:rPr>
          <w:noProof/>
        </w:rPr>
        <w:t>[208]</w:t>
      </w:r>
      <w:r>
        <w:fldChar w:fldCharType="end"/>
      </w:r>
    </w:p>
    <w:p w14:paraId="7141C85B" w14:textId="77777777" w:rsidR="0007206A" w:rsidRPr="00365626" w:rsidRDefault="0007206A" w:rsidP="0007206A">
      <w:pPr>
        <w:ind w:firstLine="709"/>
      </w:pPr>
      <w:r w:rsidRPr="00365626">
        <w:t>Ежедневное наблюдение должно осуществляться совместно хирургом и гематологом. Обязательно наблюдение в условиях реанимационного отделения (палаты интенсивной терапии) в течение 2 часов после операции. Дальнейшее пребывание в реанимационном отделении зависит от возраста и соматического статуса пациента, объема кровопотери и наличия инфекционных осложнений.</w:t>
      </w:r>
    </w:p>
    <w:p w14:paraId="03B03529" w14:textId="77777777" w:rsidR="0007206A" w:rsidRPr="00365626" w:rsidRDefault="0007206A" w:rsidP="0007206A">
      <w:pPr>
        <w:ind w:firstLine="709"/>
      </w:pPr>
      <w:r w:rsidRPr="00365626">
        <w:t xml:space="preserve">Проводятся мероприятия, направленные на раннюю активизацию пациента. Через 2-4 часа разрешается сидеть и стоять у постели, при отсутствии диспептических явлений разрешен прием жидкостей </w:t>
      </w:r>
      <w:r w:rsidRPr="00365626">
        <w:rPr>
          <w:lang w:val="en-US"/>
        </w:rPr>
        <w:t>per</w:t>
      </w:r>
      <w:r w:rsidRPr="00365626">
        <w:t xml:space="preserve"> </w:t>
      </w:r>
      <w:r w:rsidRPr="00365626">
        <w:rPr>
          <w:lang w:val="en-US"/>
        </w:rPr>
        <w:t>os</w:t>
      </w:r>
      <w:r w:rsidRPr="00365626">
        <w:t>, возобновление питания через 12-24 часа после операции.</w:t>
      </w:r>
    </w:p>
    <w:p w14:paraId="19F4212A" w14:textId="77777777" w:rsidR="0007206A" w:rsidRPr="00365626" w:rsidRDefault="0007206A" w:rsidP="0007206A">
      <w:pPr>
        <w:ind w:firstLine="709"/>
      </w:pPr>
      <w:r w:rsidRPr="00365626">
        <w:lastRenderedPageBreak/>
        <w:t>В раннем послеоперационном периоде необходим контроль клинического анализа крови, коагулограммы и при необходимости проведение профилактической антикоагулянтной /антиагрегантной терапии.</w:t>
      </w:r>
    </w:p>
    <w:p w14:paraId="45A915BC" w14:textId="77777777" w:rsidR="0007206A" w:rsidRDefault="0007206A" w:rsidP="0007206A">
      <w:pPr>
        <w:ind w:firstLine="709"/>
      </w:pPr>
      <w:r w:rsidRPr="00365626">
        <w:t>При наличии рисков тромботических осложнений (ожирение, гемобластозы, аутоиммунный гемолиз) – возможно назначение антикоагулянтной терапии в первые сутки после операции. Решение о назначении антикоагулянтной терапии принимается индивидуально в каждом конкретном случае. При назначении антикоагулянтной терапии следует учитывать количество тромбоцитов, темп прироста тромбоцитов, показатели гемограммы, выраженность геморрагического синдрома. Доза НМГ рассчитывается в зависимости от массы тела.</w:t>
      </w:r>
    </w:p>
    <w:p w14:paraId="02B3A019" w14:textId="77777777" w:rsidR="0007206A" w:rsidRPr="00365626" w:rsidRDefault="0007206A" w:rsidP="0007206A">
      <w:pPr>
        <w:ind w:firstLine="709"/>
      </w:pPr>
    </w:p>
    <w:p w14:paraId="4011878B" w14:textId="4F9DEFF8" w:rsidR="0007206A" w:rsidRPr="00573539" w:rsidRDefault="0007206A" w:rsidP="0007206A">
      <w:pPr>
        <w:rPr>
          <w:bCs/>
          <w:i/>
          <w:iCs/>
          <w:u w:val="single"/>
        </w:rPr>
      </w:pPr>
      <w:r w:rsidRPr="00573539">
        <w:rPr>
          <w:bCs/>
          <w:i/>
          <w:iCs/>
          <w:u w:val="single"/>
        </w:rPr>
        <w:t>Алгоритм действий при повышении температуры тела в раннем послеоперационном периоде после спленэктомии</w:t>
      </w:r>
      <w:r>
        <w:rPr>
          <w:bCs/>
          <w:i/>
          <w:iCs/>
          <w:u w:val="single"/>
        </w:rPr>
        <w:t xml:space="preserve"> </w:t>
      </w:r>
      <w:r>
        <w:fldChar w:fldCharType="begin" w:fldLock="1"/>
      </w:r>
      <w:r w:rsidR="00B96A78">
        <w:instrText>ADDIN CSL_CITATION {"citationItems":[{"id":"ITEM-1","itemData":{"author":[{"dropping-particle":"","family":"Карагюлян","given":"С.Р.","non-dropping-particle":"","parse-names":false,"suffix":""},{"dropping-particle":"","family":"Данишян","given":"К.И.","non-dropping-particle":"","parse-names":false,"suffix":""},{"dropping-particle":"","family":"Шутов","given":"С.А.","non-dropping-particle":"","parse-names":false,"suffix":""},{"dropping-particle":"","family":"Силаев","given":"М.А.","non-dropping-particle":"","parse-names":false,"suffix":""}],"container-title":"Клиническая онкогематология","id":"ITEM-1","issue":"1","issued":{"date-parts":[["2017"]]},"page":"101-107","title":"Технические сложности выполнения спленэктомии при заболеваниях системы крови","type":"article-journal","volume":"10"},"uris":["http://www.mendeley.com/documents/?uuid=1758182b-493b-4a43-bda6-135a50dad214"]}],"mendeley":{"formattedCitation":"[208]","plainTextFormattedCitation":"[208]","previouslyFormattedCitation":"[208]"},"properties":{"noteIndex":0},"schema":"https://github.com/citation-style-language/schema/raw/master/csl-citation.json"}</w:instrText>
      </w:r>
      <w:r>
        <w:fldChar w:fldCharType="separate"/>
      </w:r>
      <w:r w:rsidR="00872B84" w:rsidRPr="00872B84">
        <w:rPr>
          <w:noProof/>
        </w:rPr>
        <w:t>[208]</w:t>
      </w:r>
      <w:r>
        <w:fldChar w:fldCharType="end"/>
      </w:r>
    </w:p>
    <w:p w14:paraId="7B89BCA2" w14:textId="77777777" w:rsidR="0007206A" w:rsidRDefault="0007206A" w:rsidP="0007206A">
      <w:pPr>
        <w:ind w:firstLine="709"/>
      </w:pPr>
      <w:r w:rsidRPr="00365626">
        <w:rPr>
          <w:i/>
        </w:rPr>
        <w:t xml:space="preserve">Наиболее вероятные причины гипертермии в послеоперационном периоде: </w:t>
      </w:r>
      <w:r w:rsidRPr="00365626">
        <w:t xml:space="preserve">послеоперационная пневмония, тромбоз вен портальной системы, поддиафрагмальный абсцесс. </w:t>
      </w:r>
    </w:p>
    <w:p w14:paraId="6E167B39" w14:textId="77777777" w:rsidR="0007206A" w:rsidRPr="00365626" w:rsidRDefault="0007206A" w:rsidP="0007206A">
      <w:pPr>
        <w:ind w:firstLine="709"/>
        <w:rPr>
          <w:color w:val="C00000"/>
        </w:rPr>
      </w:pPr>
    </w:p>
    <w:p w14:paraId="6F823AF5" w14:textId="5546B3B3" w:rsidR="0007206A" w:rsidRPr="00365626" w:rsidRDefault="0007206A" w:rsidP="0007206A">
      <w:pPr>
        <w:ind w:firstLine="709"/>
      </w:pPr>
      <w:r w:rsidRPr="00365626">
        <w:rPr>
          <w:i/>
        </w:rPr>
        <w:t>Лабораторные исследования</w:t>
      </w:r>
      <w:r>
        <w:rPr>
          <w:i/>
        </w:rPr>
        <w:t xml:space="preserve"> </w:t>
      </w:r>
      <w:r>
        <w:fldChar w:fldCharType="begin" w:fldLock="1"/>
      </w:r>
      <w:r w:rsidR="00B96A78">
        <w:instrText>ADDIN CSL_CITATION {"citationItems":[{"id":"ITEM-1","itemData":{"author":[{"dropping-particle":"","family":"Карагюлян","given":"С.Р.","non-dropping-particle":"","parse-names":false,"suffix":""},{"dropping-particle":"","family":"Данишян","given":"К.И.","non-dropping-particle":"","parse-names":false,"suffix":""},{"dropping-particle":"","family":"Шутов","given":"С.А.","non-dropping-particle":"","parse-names":false,"suffix":""},{"dropping-particle":"","family":"Силаев","given":"М.А.","non-dropping-particle":"","parse-names":false,"suffix":""}],"container-title":"Клиническая онкогематология","id":"ITEM-1","issue":"1","issued":{"date-parts":[["2017"]]},"page":"101-107","title":"Технические сложности выполнения спленэктомии при заболеваниях системы крови","type":"article-journal","volume":"10"},"uris":["http://www.mendeley.com/documents/?uuid=1758182b-493b-4a43-bda6-135a50dad214"]}],"mendeley":{"formattedCitation":"[208]","plainTextFormattedCitation":"[208]","previouslyFormattedCitation":"[208]"},"properties":{"noteIndex":0},"schema":"https://github.com/citation-style-language/schema/raw/master/csl-citation.json"}</w:instrText>
      </w:r>
      <w:r>
        <w:fldChar w:fldCharType="separate"/>
      </w:r>
      <w:r w:rsidR="00872B84" w:rsidRPr="00872B84">
        <w:rPr>
          <w:noProof/>
        </w:rPr>
        <w:t>[208]</w:t>
      </w:r>
      <w:r>
        <w:fldChar w:fldCharType="end"/>
      </w:r>
      <w:r w:rsidRPr="00365626">
        <w:rPr>
          <w:i/>
        </w:rPr>
        <w:t>:</w:t>
      </w:r>
      <w:r w:rsidRPr="00365626">
        <w:t xml:space="preserve"> </w:t>
      </w:r>
    </w:p>
    <w:p w14:paraId="721CAF94" w14:textId="77777777" w:rsidR="0007206A" w:rsidRPr="00365626" w:rsidRDefault="0007206A" w:rsidP="0007206A">
      <w:pPr>
        <w:pStyle w:val="afe"/>
        <w:numPr>
          <w:ilvl w:val="0"/>
          <w:numId w:val="174"/>
        </w:numPr>
        <w:rPr>
          <w:rFonts w:cs="Times New Roman"/>
          <w:szCs w:val="24"/>
        </w:rPr>
      </w:pPr>
      <w:r w:rsidRPr="00365626">
        <w:rPr>
          <w:rFonts w:cs="Times New Roman"/>
          <w:szCs w:val="24"/>
        </w:rPr>
        <w:t xml:space="preserve">клинический анализ крови, </w:t>
      </w:r>
    </w:p>
    <w:p w14:paraId="5188B43B" w14:textId="77777777" w:rsidR="0007206A" w:rsidRPr="00365626" w:rsidRDefault="0007206A" w:rsidP="0007206A">
      <w:pPr>
        <w:pStyle w:val="afe"/>
        <w:numPr>
          <w:ilvl w:val="0"/>
          <w:numId w:val="174"/>
        </w:numPr>
        <w:rPr>
          <w:rFonts w:cs="Times New Roman"/>
          <w:szCs w:val="24"/>
        </w:rPr>
      </w:pPr>
      <w:r w:rsidRPr="00365626">
        <w:rPr>
          <w:rFonts w:cs="Times New Roman"/>
          <w:szCs w:val="24"/>
        </w:rPr>
        <w:t xml:space="preserve">коагулограмма (АЧТВ, ПВ, фибриноген), </w:t>
      </w:r>
    </w:p>
    <w:p w14:paraId="047711D4" w14:textId="77777777" w:rsidR="0007206A" w:rsidRPr="00365626" w:rsidRDefault="0007206A" w:rsidP="0007206A">
      <w:pPr>
        <w:pStyle w:val="afe"/>
        <w:numPr>
          <w:ilvl w:val="0"/>
          <w:numId w:val="174"/>
        </w:numPr>
        <w:rPr>
          <w:rFonts w:cs="Times New Roman"/>
          <w:szCs w:val="24"/>
        </w:rPr>
      </w:pPr>
      <w:r w:rsidRPr="00365626">
        <w:rPr>
          <w:rFonts w:cs="Times New Roman"/>
          <w:szCs w:val="24"/>
        </w:rPr>
        <w:t>биохимический анализ крови: калий, натрий, кальций, хлор, СРБ, прокальцитонин (по показаниям);</w:t>
      </w:r>
    </w:p>
    <w:p w14:paraId="66F3B60C" w14:textId="77777777" w:rsidR="0007206A" w:rsidRPr="00365626" w:rsidRDefault="0007206A" w:rsidP="0007206A">
      <w:pPr>
        <w:pStyle w:val="afe"/>
        <w:numPr>
          <w:ilvl w:val="0"/>
          <w:numId w:val="174"/>
        </w:numPr>
        <w:rPr>
          <w:rFonts w:cs="Times New Roman"/>
          <w:szCs w:val="24"/>
        </w:rPr>
      </w:pPr>
      <w:r w:rsidRPr="00365626">
        <w:rPr>
          <w:rFonts w:cs="Times New Roman"/>
          <w:szCs w:val="24"/>
        </w:rPr>
        <w:t>бактериологические исследования: посев крови на стерильность, посевы из нестерильных локусов (зев, прямая кишка);</w:t>
      </w:r>
    </w:p>
    <w:p w14:paraId="2E9BE7DE" w14:textId="77777777" w:rsidR="0007206A" w:rsidRPr="00573539" w:rsidRDefault="0007206A" w:rsidP="0007206A">
      <w:pPr>
        <w:pStyle w:val="afe"/>
        <w:numPr>
          <w:ilvl w:val="0"/>
          <w:numId w:val="174"/>
        </w:numPr>
        <w:rPr>
          <w:rFonts w:cs="Times New Roman"/>
          <w:i/>
          <w:szCs w:val="24"/>
        </w:rPr>
      </w:pPr>
      <w:r w:rsidRPr="00365626">
        <w:rPr>
          <w:rFonts w:cs="Times New Roman"/>
          <w:szCs w:val="24"/>
        </w:rPr>
        <w:t>при подозрении на вирусную инфекцию – определение наличия антител к вирусам группы герпеса и репликации методом ПЦР ДНК/РНК вирусов в крови, бронхоальвеолярном лаваже, слюне, мочи, других средах.</w:t>
      </w:r>
    </w:p>
    <w:p w14:paraId="2E1AECA4" w14:textId="77777777" w:rsidR="0007206A" w:rsidRPr="00365626" w:rsidRDefault="0007206A" w:rsidP="0007206A">
      <w:pPr>
        <w:pStyle w:val="afe"/>
        <w:rPr>
          <w:rFonts w:cs="Times New Roman"/>
          <w:i/>
          <w:szCs w:val="24"/>
        </w:rPr>
      </w:pPr>
    </w:p>
    <w:p w14:paraId="59F523DF" w14:textId="126BCFD5" w:rsidR="0007206A" w:rsidRPr="00365626" w:rsidRDefault="0007206A" w:rsidP="0007206A">
      <w:pPr>
        <w:ind w:firstLine="709"/>
        <w:rPr>
          <w:i/>
        </w:rPr>
      </w:pPr>
      <w:r w:rsidRPr="00365626">
        <w:rPr>
          <w:i/>
        </w:rPr>
        <w:t>Инструментальные исследования</w:t>
      </w:r>
      <w:r>
        <w:rPr>
          <w:i/>
        </w:rPr>
        <w:t xml:space="preserve"> </w:t>
      </w:r>
      <w:r>
        <w:fldChar w:fldCharType="begin" w:fldLock="1"/>
      </w:r>
      <w:r w:rsidR="00B96A78">
        <w:instrText>ADDIN CSL_CITATION {"citationItems":[{"id":"ITEM-1","itemData":{"author":[{"dropping-particle":"","family":"Карагюлян","given":"С.Р.","non-dropping-particle":"","parse-names":false,"suffix":""},{"dropping-particle":"","family":"Данишян","given":"К.И.","non-dropping-particle":"","parse-names":false,"suffix":""},{"dropping-particle":"","family":"Шутов","given":"С.А.","non-dropping-particle":"","parse-names":false,"suffix":""},{"dropping-particle":"","family":"Силаев","given":"М.А.","non-dropping-particle":"","parse-names":false,"suffix":""}],"container-title":"Клиническая онкогематология","id":"ITEM-1","issue":"1","issued":{"date-parts":[["2017"]]},"page":"101-107","title":"Технические сложности выполнения спленэктомии при заболеваниях системы крови","type":"article-journal","volume":"10"},"uris":["http://www.mendeley.com/documents/?uuid=1758182b-493b-4a43-bda6-135a50dad214"]}],"mendeley":{"formattedCitation":"[208]","plainTextFormattedCitation":"[208]","previouslyFormattedCitation":"[208]"},"properties":{"noteIndex":0},"schema":"https://github.com/citation-style-language/schema/raw/master/csl-citation.json"}</w:instrText>
      </w:r>
      <w:r>
        <w:fldChar w:fldCharType="separate"/>
      </w:r>
      <w:r w:rsidR="00872B84" w:rsidRPr="00872B84">
        <w:rPr>
          <w:noProof/>
        </w:rPr>
        <w:t>[208]</w:t>
      </w:r>
      <w:r>
        <w:fldChar w:fldCharType="end"/>
      </w:r>
      <w:r w:rsidRPr="00365626">
        <w:rPr>
          <w:i/>
        </w:rPr>
        <w:t>:</w:t>
      </w:r>
    </w:p>
    <w:p w14:paraId="2C6E091D" w14:textId="77777777" w:rsidR="0007206A" w:rsidRPr="00365626" w:rsidRDefault="0007206A" w:rsidP="0007206A">
      <w:pPr>
        <w:pStyle w:val="afe"/>
        <w:numPr>
          <w:ilvl w:val="0"/>
          <w:numId w:val="175"/>
        </w:numPr>
        <w:rPr>
          <w:rFonts w:cs="Times New Roman"/>
          <w:szCs w:val="24"/>
        </w:rPr>
      </w:pPr>
      <w:r w:rsidRPr="00365626">
        <w:rPr>
          <w:rFonts w:cs="Times New Roman"/>
          <w:szCs w:val="24"/>
        </w:rPr>
        <w:t xml:space="preserve">КТ грудной клетки, </w:t>
      </w:r>
    </w:p>
    <w:p w14:paraId="146074FB" w14:textId="77777777" w:rsidR="0007206A" w:rsidRPr="00365626" w:rsidRDefault="0007206A" w:rsidP="0007206A">
      <w:pPr>
        <w:pStyle w:val="afe"/>
        <w:numPr>
          <w:ilvl w:val="0"/>
          <w:numId w:val="175"/>
        </w:numPr>
        <w:rPr>
          <w:rFonts w:cs="Times New Roman"/>
          <w:szCs w:val="24"/>
        </w:rPr>
      </w:pPr>
      <w:r w:rsidRPr="00365626">
        <w:rPr>
          <w:rFonts w:cs="Times New Roman"/>
          <w:szCs w:val="24"/>
        </w:rPr>
        <w:t>КТ брюшной полости</w:t>
      </w:r>
    </w:p>
    <w:p w14:paraId="537473AF" w14:textId="77777777" w:rsidR="0007206A" w:rsidRPr="00365626" w:rsidRDefault="0007206A" w:rsidP="0007206A">
      <w:pPr>
        <w:pStyle w:val="afe"/>
        <w:numPr>
          <w:ilvl w:val="0"/>
          <w:numId w:val="175"/>
        </w:numPr>
        <w:rPr>
          <w:rFonts w:cs="Times New Roman"/>
          <w:szCs w:val="24"/>
        </w:rPr>
      </w:pPr>
      <w:r w:rsidRPr="00365626">
        <w:rPr>
          <w:rFonts w:cs="Times New Roman"/>
          <w:szCs w:val="24"/>
        </w:rPr>
        <w:t>УЗИ брюшной полости с допплерографией портальной системы</w:t>
      </w:r>
    </w:p>
    <w:p w14:paraId="3586EAC0" w14:textId="77777777" w:rsidR="0007206A" w:rsidRDefault="0007206A" w:rsidP="0007206A">
      <w:pPr>
        <w:ind w:firstLine="360"/>
      </w:pPr>
    </w:p>
    <w:p w14:paraId="13E889FD" w14:textId="77777777" w:rsidR="0007206A" w:rsidRPr="00365626" w:rsidRDefault="0007206A" w:rsidP="0007206A">
      <w:pPr>
        <w:ind w:firstLine="709"/>
      </w:pPr>
      <w:r w:rsidRPr="00365626">
        <w:t xml:space="preserve">Вне зависимости от причины повышения температуры целесообразно проведение эмпирической противомикробной терапии, при выявлении инфекционного агента и </w:t>
      </w:r>
      <w:r w:rsidRPr="00365626">
        <w:lastRenderedPageBreak/>
        <w:t>неэффективности антибактериальной терапии проводится коррекция антибактериальной терапии с учетом чувствительности к антибактериальным препаратам. При отсутствии эффекта от эмпирической антибактериальной терапии,  через 3 дня рекомендуется провести дополнительные бактериологические исследования: бактериологическое исследование мазка из зева, из прямой кишки, посев крови,  посев мочи, бронхоальвеолярный лаваж (по показаниям),  назначение антибактериальной терапии с учетом чувствительности выделенной микрофлоры (см. Приложения по диагностике и лечению инфекционных осложнений, вызванных бакте</w:t>
      </w:r>
      <w:r>
        <w:t>р</w:t>
      </w:r>
      <w:r w:rsidRPr="00365626">
        <w:t>иями, грибами. вирусами у пациентов с гематологическими заболеваниями).</w:t>
      </w:r>
    </w:p>
    <w:p w14:paraId="5B027843" w14:textId="77777777" w:rsidR="0007206A" w:rsidRPr="00365626" w:rsidRDefault="0007206A" w:rsidP="0007206A">
      <w:pPr>
        <w:ind w:firstLine="709"/>
        <w:rPr>
          <w:color w:val="C00000"/>
        </w:rPr>
      </w:pPr>
      <w:r w:rsidRPr="00365626">
        <w:t>Для всех пациентов после спленэктомии при проведении антибактериальной терапии необходимо выбирать препараты, обладающие активностью против пневмококковой инфекции</w:t>
      </w:r>
      <w:r>
        <w:t>,</w:t>
      </w:r>
      <w:r w:rsidRPr="00365626">
        <w:t xml:space="preserve"> вне зависимости от сроков развития инфекции. </w:t>
      </w:r>
    </w:p>
    <w:p w14:paraId="08CC9BE1" w14:textId="77777777" w:rsidR="0007206A" w:rsidRPr="00365626" w:rsidRDefault="0007206A" w:rsidP="0007206A">
      <w:pPr>
        <w:ind w:firstLine="709"/>
      </w:pPr>
      <w:r w:rsidRPr="00365626">
        <w:t>При выявлении тромбоза воротной вены - проведение эффективной антикоагулянтной терапии, направленной на достижение реканализации тромба.  Наиболее часто применяют: нефракционированный гепарин: непрерывная инфузия, начальная скорость 1000 ЕД/ч, дальнейшее титрование дозы с мониторингом АЧТВ (1,5-2 нормы) или терапия НМГ в лечебных дозах с контролем анти-Ха активности или тромбоэластографии для оценки эффекта по достижению требуемой гипокоагуляции. Необходимы контрольные исследования коагулограммы и УЗ-допплерография портальной системы в динамике.</w:t>
      </w:r>
    </w:p>
    <w:p w14:paraId="2C84ABAE" w14:textId="77777777" w:rsidR="0007206A" w:rsidRPr="00365626" w:rsidRDefault="0007206A" w:rsidP="0007206A">
      <w:pPr>
        <w:ind w:firstLine="709"/>
      </w:pPr>
      <w:r w:rsidRPr="00365626">
        <w:t xml:space="preserve">При формировании жидкостных скоплений панкреатического характера целесообразно наружное дренирование под УЗ-наведением. </w:t>
      </w:r>
    </w:p>
    <w:p w14:paraId="78BAFABD" w14:textId="77777777" w:rsidR="0007206A" w:rsidRDefault="0007206A" w:rsidP="0007206A">
      <w:pPr>
        <w:rPr>
          <w:b/>
        </w:rPr>
      </w:pPr>
    </w:p>
    <w:p w14:paraId="38321E45" w14:textId="6D9236F1" w:rsidR="0007206A" w:rsidRPr="00615B07" w:rsidRDefault="0007206A" w:rsidP="0007206A">
      <w:pPr>
        <w:rPr>
          <w:bCs/>
          <w:i/>
          <w:iCs/>
          <w:u w:val="single"/>
        </w:rPr>
      </w:pPr>
      <w:r w:rsidRPr="00615B07">
        <w:rPr>
          <w:bCs/>
          <w:i/>
          <w:iCs/>
          <w:u w:val="single"/>
        </w:rPr>
        <w:t>Критерии выписки из стационара</w:t>
      </w:r>
      <w:r>
        <w:rPr>
          <w:bCs/>
          <w:i/>
          <w:iCs/>
          <w:u w:val="single"/>
        </w:rPr>
        <w:t xml:space="preserve"> </w:t>
      </w:r>
      <w:r>
        <w:fldChar w:fldCharType="begin" w:fldLock="1"/>
      </w:r>
      <w:r w:rsidR="00B96A78">
        <w:instrText>ADDIN CSL_CITATION {"citationItems":[{"id":"ITEM-1","itemData":{"author":[{"dropping-particle":"","family":"Карагюлян","given":"С.Р.","non-dropping-particle":"","parse-names":false,"suffix":""},{"dropping-particle":"","family":"Данишян","given":"К.И.","non-dropping-particle":"","parse-names":false,"suffix":""},{"dropping-particle":"","family":"Шутов","given":"С.А.","non-dropping-particle":"","parse-names":false,"suffix":""},{"dropping-particle":"","family":"Силаев","given":"М.А.","non-dropping-particle":"","parse-names":false,"suffix":""}],"container-title":"Клиническая онкогематология","id":"ITEM-1","issue":"1","issued":{"date-parts":[["2017"]]},"page":"101-107","title":"Технические сложности выполнения спленэктомии при заболеваниях системы крови","type":"article-journal","volume":"10"},"uris":["http://www.mendeley.com/documents/?uuid=1758182b-493b-4a43-bda6-135a50dad214"]}],"mendeley":{"formattedCitation":"[208]","plainTextFormattedCitation":"[208]","previouslyFormattedCitation":"[208]"},"properties":{"noteIndex":0},"schema":"https://github.com/citation-style-language/schema/raw/master/csl-citation.json"}</w:instrText>
      </w:r>
      <w:r>
        <w:fldChar w:fldCharType="separate"/>
      </w:r>
      <w:r w:rsidR="00872B84" w:rsidRPr="00872B84">
        <w:rPr>
          <w:noProof/>
        </w:rPr>
        <w:t>[208]</w:t>
      </w:r>
      <w:r>
        <w:fldChar w:fldCharType="end"/>
      </w:r>
    </w:p>
    <w:p w14:paraId="75C00F69" w14:textId="77777777" w:rsidR="0007206A" w:rsidRPr="00365626" w:rsidRDefault="0007206A" w:rsidP="0007206A">
      <w:pPr>
        <w:ind w:firstLine="709"/>
      </w:pPr>
      <w:r w:rsidRPr="00365626">
        <w:t>Выписка из стационара производится при стабилизации состояния, отсутствия необходимости в круглосуточном хирургическом наблюдении и пособии, что определяется характером патологии, наличием или отсутствием осложнений и эффектом операции.</w:t>
      </w:r>
    </w:p>
    <w:p w14:paraId="641C20E2" w14:textId="77777777" w:rsidR="0007206A" w:rsidRPr="00365626" w:rsidRDefault="0007206A" w:rsidP="0007206A">
      <w:pPr>
        <w:ind w:firstLine="709"/>
      </w:pPr>
      <w:r w:rsidRPr="00365626">
        <w:t>Необходим амбулаторный контроль гемограммы и продолжение профилактики тромботических осложнений при наличии показаний.</w:t>
      </w:r>
    </w:p>
    <w:p w14:paraId="2626741E" w14:textId="77777777" w:rsidR="0007206A" w:rsidRPr="00365626" w:rsidRDefault="0007206A" w:rsidP="0007206A">
      <w:pPr>
        <w:ind w:firstLine="709"/>
      </w:pPr>
      <w:r w:rsidRPr="00365626">
        <w:t>Показания к началу специфическая терапия гематологического заболевания определяется гематологом и начинается в сроки, установленные в соответствии с клиническими рекомендациями в зависимости от клинических показаний.</w:t>
      </w:r>
    </w:p>
    <w:p w14:paraId="2C415999" w14:textId="77777777" w:rsidR="0007206A" w:rsidRPr="00365626" w:rsidRDefault="0007206A" w:rsidP="0007206A">
      <w:pPr>
        <w:ind w:firstLine="709"/>
      </w:pPr>
      <w:r w:rsidRPr="00365626">
        <w:t xml:space="preserve">Ревакцинацию против </w:t>
      </w:r>
      <w:r w:rsidRPr="00365626">
        <w:rPr>
          <w:rFonts w:eastAsia="Arial Unicode MS"/>
          <w:i/>
          <w:lang w:val="en-US"/>
        </w:rPr>
        <w:t>Streptococcus</w:t>
      </w:r>
      <w:r w:rsidRPr="00365626">
        <w:rPr>
          <w:rFonts w:eastAsia="Arial Unicode MS"/>
          <w:i/>
        </w:rPr>
        <w:t xml:space="preserve"> </w:t>
      </w:r>
      <w:r w:rsidRPr="00365626">
        <w:rPr>
          <w:rFonts w:eastAsia="Arial Unicode MS"/>
          <w:i/>
          <w:lang w:val="en-US"/>
        </w:rPr>
        <w:t>pneumoniae</w:t>
      </w:r>
      <w:r w:rsidRPr="00365626">
        <w:t xml:space="preserve"> рекомендуется проводить каждые 5 лет. </w:t>
      </w:r>
    </w:p>
    <w:p w14:paraId="62170CFC" w14:textId="63474D9E" w:rsidR="0007206A" w:rsidRDefault="0007206A" w:rsidP="0007206A">
      <w:pPr>
        <w:widowControl w:val="0"/>
        <w:autoSpaceDE w:val="0"/>
        <w:autoSpaceDN w:val="0"/>
        <w:adjustRightInd w:val="0"/>
      </w:pPr>
    </w:p>
    <w:p w14:paraId="038B43D2" w14:textId="6C5CD1DD" w:rsidR="00D43393" w:rsidRPr="00D43393" w:rsidRDefault="00872B84" w:rsidP="00D43393">
      <w:pPr>
        <w:pStyle w:val="2"/>
        <w:spacing w:before="0"/>
      </w:pPr>
      <w:bookmarkStart w:id="125" w:name="_Toc66096870"/>
      <w:r w:rsidRPr="000322E4">
        <w:lastRenderedPageBreak/>
        <w:t>Приложение А3.</w:t>
      </w:r>
      <w:r>
        <w:t xml:space="preserve">12. </w:t>
      </w:r>
      <w:r w:rsidR="00D43393" w:rsidRPr="008F721B">
        <w:t>Лечение гематологического пациента в отделении реанимации и интенсивной терапии</w:t>
      </w:r>
      <w:bookmarkEnd w:id="125"/>
    </w:p>
    <w:p w14:paraId="1CCB5D5F" w14:textId="77777777" w:rsidR="00D43393" w:rsidRPr="008F721B" w:rsidRDefault="00D43393" w:rsidP="00D43393">
      <w:pPr>
        <w:ind w:firstLine="709"/>
      </w:pPr>
      <w:r w:rsidRPr="008F721B">
        <w:t>У пациентов с гематологическими заболеваниями на этапах диагностики, лечения, наблюдения могут развиваться различные критические состояния вследствие разнообразных причин. Одна из наиболее частых причин, приводящих к этому – цитопения, которая возникает в результате опухолевой инфильтрации костного мозга или по причине проводимой химиотерапии, и может осложниться тяжелой инфекцией (пневмония, сепсис и др.) или жизнеугрожающими кровотечениями. Также при лечении впервые диагностированного онкогематологического заболевания может развиться синдром массивного лизиса</w:t>
      </w:r>
      <w:r w:rsidRPr="00B563E0">
        <w:t xml:space="preserve"> </w:t>
      </w:r>
      <w:r>
        <w:t>опухоли, сопровождающейся</w:t>
      </w:r>
      <w:r w:rsidRPr="008F721B">
        <w:t xml:space="preserve"> острой почечной недостаточностью (ОПН), метаболическими нарушениями, острой дыхательной недостаточностью (ОДН). Для лечения этих критических состояний и поддержания жизнеобеспечения требуется перевод пациентов в отделение реанимации и интенсивной</w:t>
      </w:r>
      <w:r>
        <w:t xml:space="preserve"> терапии (ОРИТ). </w:t>
      </w:r>
    </w:p>
    <w:p w14:paraId="40C9C666" w14:textId="77777777" w:rsidR="00D43393" w:rsidRPr="008F721B" w:rsidRDefault="00D43393" w:rsidP="00D43393">
      <w:pPr>
        <w:ind w:firstLine="708"/>
      </w:pPr>
      <w:r w:rsidRPr="008F721B">
        <w:t xml:space="preserve">Интенсивная терапия критических состояний, возникших у пациентов с онкогематологическими заболеваниями во время химиотерапии (ХТ), – это нередко единственный путь к их излечению, в ней нуждается почти четверть больных с гемобластозами, без нее невозможно полноценно реализовать индукционную химиотерапию у больных с жизнеугрожающими состояниями. </w:t>
      </w:r>
    </w:p>
    <w:p w14:paraId="49ADEC2E" w14:textId="3A38B150" w:rsidR="00D43393" w:rsidRPr="008F721B" w:rsidRDefault="00D43393" w:rsidP="00B96A78">
      <w:pPr>
        <w:ind w:firstLine="708"/>
      </w:pPr>
      <w:r w:rsidRPr="008F721B">
        <w:t xml:space="preserve">Необходимость создания специализированных ОРИТ для гематологических пациентов обусловлена как высокой частотой развития критических осложнений во время индукционных курсов ХТ, так и успешным лечением этих осложнений и последующей благоприятной долгосрочной перспективой при достижении ремиссии заболевания. Наличие критических синдромов и жизнеугрожающих состояний не является противопоказанием для проведения ХТ. </w:t>
      </w:r>
    </w:p>
    <w:p w14:paraId="304A70F6" w14:textId="4193D8D3" w:rsidR="00D43393" w:rsidRPr="003C0A4C" w:rsidRDefault="00D43393" w:rsidP="00D43393">
      <w:pPr>
        <w:ind w:firstLine="709"/>
      </w:pPr>
      <w:r w:rsidRPr="003C0A4C">
        <w:t xml:space="preserve">В ряде исследований (табл. </w:t>
      </w:r>
      <w:r w:rsidR="00B96A78">
        <w:t>1</w:t>
      </w:r>
      <w:r w:rsidRPr="003C0A4C">
        <w:t xml:space="preserve">) определены основные жизнеугрожающие синдромы, при которых требуется перевод больных гемобластозами в ОРИТ: ОДН в 30–51% случаев, сепсис и СШ в 8 – 42%, острая патология ЦНС - в 7 – 17%, кровотечения - в 1 – 22%, ОПН -  в 3,2 – 5%. Медиана пребывания в ОРИТ обычно составляет от 3 до 13 суток (0-97). Жизнеугрожающие состояния у этих больных развиваются преимущественно в начале лечения, а стоимость лечения от 2 до 20 раз выше по сравнению со стоимостью лечения пациентов в ОРИТ без онкогематологических заболеваний. </w:t>
      </w:r>
    </w:p>
    <w:p w14:paraId="32DC5573" w14:textId="77777777" w:rsidR="00D43393" w:rsidRPr="003C0A4C" w:rsidRDefault="00D43393" w:rsidP="00D43393"/>
    <w:p w14:paraId="49C6EC93" w14:textId="606A3A85" w:rsidR="00D43393" w:rsidRPr="008F721B" w:rsidRDefault="00D43393" w:rsidP="00D43393">
      <w:r w:rsidRPr="003C0A4C">
        <w:t xml:space="preserve">Таблица </w:t>
      </w:r>
      <w:r w:rsidR="00B96A78">
        <w:t>1</w:t>
      </w:r>
      <w:r w:rsidRPr="003C0A4C">
        <w:t>. Причины перевода в ОРИТ пациентов с гемобластозами</w:t>
      </w:r>
    </w:p>
    <w:tbl>
      <w:tblPr>
        <w:tblStyle w:val="aff9"/>
        <w:tblW w:w="5000" w:type="pct"/>
        <w:tblLayout w:type="fixed"/>
        <w:tblLook w:val="04A0" w:firstRow="1" w:lastRow="0" w:firstColumn="1" w:lastColumn="0" w:noHBand="0" w:noVBand="1"/>
      </w:tblPr>
      <w:tblGrid>
        <w:gridCol w:w="2392"/>
        <w:gridCol w:w="794"/>
        <w:gridCol w:w="916"/>
        <w:gridCol w:w="1138"/>
        <w:gridCol w:w="1284"/>
        <w:gridCol w:w="852"/>
        <w:gridCol w:w="963"/>
        <w:gridCol w:w="1007"/>
      </w:tblGrid>
      <w:tr w:rsidR="00D43393" w:rsidRPr="008F721B" w14:paraId="2A038198" w14:textId="77777777" w:rsidTr="002D3EBF">
        <w:trPr>
          <w:trHeight w:val="401"/>
        </w:trPr>
        <w:tc>
          <w:tcPr>
            <w:tcW w:w="1279" w:type="pct"/>
            <w:vMerge w:val="restart"/>
          </w:tcPr>
          <w:p w14:paraId="6F6EAE66" w14:textId="77777777" w:rsidR="00D43393" w:rsidRPr="008F721B" w:rsidRDefault="00D43393" w:rsidP="002D3EBF">
            <w:r w:rsidRPr="008F721B">
              <w:t>Источник</w:t>
            </w:r>
          </w:p>
        </w:tc>
        <w:tc>
          <w:tcPr>
            <w:tcW w:w="3721" w:type="pct"/>
            <w:gridSpan w:val="7"/>
          </w:tcPr>
          <w:p w14:paraId="04256795" w14:textId="77777777" w:rsidR="00D43393" w:rsidRPr="008F721B" w:rsidRDefault="00D43393" w:rsidP="002D3EBF">
            <w:pPr>
              <w:jc w:val="center"/>
            </w:pPr>
            <w:r w:rsidRPr="008F721B">
              <w:t>Причины перевода в ОРИТ</w:t>
            </w:r>
          </w:p>
        </w:tc>
      </w:tr>
      <w:tr w:rsidR="00D43393" w:rsidRPr="008F721B" w14:paraId="1B31BC36" w14:textId="77777777" w:rsidTr="002D3EBF">
        <w:trPr>
          <w:cantSplit/>
          <w:trHeight w:val="2544"/>
        </w:trPr>
        <w:tc>
          <w:tcPr>
            <w:tcW w:w="1279" w:type="pct"/>
            <w:vMerge/>
          </w:tcPr>
          <w:p w14:paraId="638F5C1D" w14:textId="77777777" w:rsidR="00D43393" w:rsidRPr="008F721B" w:rsidRDefault="00D43393" w:rsidP="002D3EBF"/>
        </w:tc>
        <w:tc>
          <w:tcPr>
            <w:tcW w:w="425" w:type="pct"/>
            <w:textDirection w:val="btLr"/>
          </w:tcPr>
          <w:p w14:paraId="0DCDB1B6" w14:textId="77777777" w:rsidR="00D43393" w:rsidRPr="008F721B" w:rsidRDefault="00D43393" w:rsidP="002D3EBF">
            <w:pPr>
              <w:ind w:left="113" w:right="113"/>
            </w:pPr>
            <w:r w:rsidRPr="008F721B">
              <w:t>ОДН, %</w:t>
            </w:r>
          </w:p>
        </w:tc>
        <w:tc>
          <w:tcPr>
            <w:tcW w:w="490" w:type="pct"/>
            <w:textDirection w:val="btLr"/>
          </w:tcPr>
          <w:p w14:paraId="2727392F" w14:textId="77777777" w:rsidR="00D43393" w:rsidRPr="008F721B" w:rsidRDefault="00D43393" w:rsidP="002D3EBF">
            <w:pPr>
              <w:ind w:left="113" w:right="113"/>
            </w:pPr>
            <w:r w:rsidRPr="008F721B">
              <w:t>Сепсис, СШ, %</w:t>
            </w:r>
          </w:p>
        </w:tc>
        <w:tc>
          <w:tcPr>
            <w:tcW w:w="609" w:type="pct"/>
            <w:textDirection w:val="btLr"/>
          </w:tcPr>
          <w:p w14:paraId="26C97E0B" w14:textId="77777777" w:rsidR="00D43393" w:rsidRPr="008F721B" w:rsidRDefault="00D43393" w:rsidP="002D3EBF">
            <w:pPr>
              <w:ind w:left="113" w:right="113"/>
            </w:pPr>
            <w:r w:rsidRPr="008F721B">
              <w:t>Острая патология</w:t>
            </w:r>
          </w:p>
          <w:p w14:paraId="1AF527CB" w14:textId="77777777" w:rsidR="00D43393" w:rsidRPr="008F721B" w:rsidRDefault="00D43393" w:rsidP="002D3EBF">
            <w:pPr>
              <w:ind w:left="113" w:right="113"/>
            </w:pPr>
            <w:r w:rsidRPr="008F721B">
              <w:t>ЦНС, %</w:t>
            </w:r>
          </w:p>
        </w:tc>
        <w:tc>
          <w:tcPr>
            <w:tcW w:w="687" w:type="pct"/>
            <w:textDirection w:val="btLr"/>
          </w:tcPr>
          <w:p w14:paraId="4A044846" w14:textId="77777777" w:rsidR="00D43393" w:rsidRPr="008F721B" w:rsidRDefault="00D43393" w:rsidP="002D3EBF">
            <w:pPr>
              <w:ind w:left="113" w:right="113"/>
            </w:pPr>
            <w:r w:rsidRPr="008F721B">
              <w:t>Нарушение ритма сердца, %</w:t>
            </w:r>
          </w:p>
        </w:tc>
        <w:tc>
          <w:tcPr>
            <w:tcW w:w="456" w:type="pct"/>
            <w:textDirection w:val="btLr"/>
          </w:tcPr>
          <w:p w14:paraId="215581BE" w14:textId="77777777" w:rsidR="00D43393" w:rsidRPr="008F721B" w:rsidRDefault="00D43393" w:rsidP="002D3EBF">
            <w:pPr>
              <w:ind w:left="113" w:right="113"/>
            </w:pPr>
            <w:r w:rsidRPr="008F721B">
              <w:t>ОПН, %</w:t>
            </w:r>
          </w:p>
        </w:tc>
        <w:tc>
          <w:tcPr>
            <w:tcW w:w="515" w:type="pct"/>
            <w:textDirection w:val="btLr"/>
          </w:tcPr>
          <w:p w14:paraId="685F2778" w14:textId="77777777" w:rsidR="00D43393" w:rsidRPr="008F721B" w:rsidRDefault="00D43393" w:rsidP="002D3EBF">
            <w:pPr>
              <w:ind w:left="113" w:right="113"/>
            </w:pPr>
            <w:r w:rsidRPr="008F721B">
              <w:t>Кровотечения, %</w:t>
            </w:r>
          </w:p>
        </w:tc>
        <w:tc>
          <w:tcPr>
            <w:tcW w:w="536" w:type="pct"/>
            <w:textDirection w:val="btLr"/>
          </w:tcPr>
          <w:p w14:paraId="257A1172" w14:textId="77777777" w:rsidR="00D43393" w:rsidRPr="008F721B" w:rsidRDefault="00D43393" w:rsidP="002D3EBF">
            <w:pPr>
              <w:ind w:left="113" w:right="113"/>
            </w:pPr>
            <w:r w:rsidRPr="008F721B">
              <w:t>Прочее,</w:t>
            </w:r>
          </w:p>
          <w:p w14:paraId="56FBF6A3" w14:textId="77777777" w:rsidR="00D43393" w:rsidRPr="008F721B" w:rsidRDefault="00D43393" w:rsidP="002D3EBF">
            <w:pPr>
              <w:ind w:left="113" w:right="113"/>
            </w:pPr>
            <w:r w:rsidRPr="008F721B">
              <w:t>%</w:t>
            </w:r>
          </w:p>
        </w:tc>
      </w:tr>
      <w:tr w:rsidR="00D43393" w:rsidRPr="008F721B" w14:paraId="37C40B6A" w14:textId="77777777" w:rsidTr="002D3EBF">
        <w:trPr>
          <w:trHeight w:val="802"/>
        </w:trPr>
        <w:tc>
          <w:tcPr>
            <w:tcW w:w="1279" w:type="pct"/>
          </w:tcPr>
          <w:p w14:paraId="5E0E13CB" w14:textId="01CDE1C6" w:rsidR="00D43393" w:rsidRPr="00B563E0" w:rsidRDefault="00D43393" w:rsidP="002D3EBF">
            <w:r w:rsidRPr="008F721B">
              <w:t>Воробьев А.И. и соавт.</w:t>
            </w:r>
            <w:r>
              <w:t>,</w:t>
            </w:r>
            <w:r w:rsidRPr="00B563E0">
              <w:t xml:space="preserve"> 1993 </w:t>
            </w:r>
            <w:r>
              <w:rPr>
                <w:lang w:val="en-US"/>
              </w:rPr>
              <w:fldChar w:fldCharType="begin" w:fldLock="1"/>
            </w:r>
            <w:r w:rsidR="006E1ADA">
              <w:rPr>
                <w:lang w:val="en-US"/>
              </w:rPr>
              <w:instrText>ADDIN</w:instrText>
            </w:r>
            <w:r w:rsidR="006E1ADA" w:rsidRPr="00E84AA6">
              <w:instrText xml:space="preserve"> </w:instrText>
            </w:r>
            <w:r w:rsidR="006E1ADA">
              <w:rPr>
                <w:lang w:val="en-US"/>
              </w:rPr>
              <w:instrText>CSL</w:instrText>
            </w:r>
            <w:r w:rsidR="006E1ADA" w:rsidRPr="00E84AA6">
              <w:instrText>_</w:instrText>
            </w:r>
            <w:r w:rsidR="006E1ADA">
              <w:rPr>
                <w:lang w:val="en-US"/>
              </w:rPr>
              <w:instrText>CITATION</w:instrText>
            </w:r>
            <w:r w:rsidR="006E1ADA" w:rsidRPr="00E84AA6">
              <w:instrText xml:space="preserve"> {"</w:instrText>
            </w:r>
            <w:r w:rsidR="006E1ADA">
              <w:rPr>
                <w:lang w:val="en-US"/>
              </w:rPr>
              <w:instrText>citationItems</w:instrText>
            </w:r>
            <w:r w:rsidR="006E1ADA" w:rsidRPr="00E84AA6">
              <w:instrText>":[{"</w:instrText>
            </w:r>
            <w:r w:rsidR="006E1ADA">
              <w:rPr>
                <w:lang w:val="en-US"/>
              </w:rPr>
              <w:instrText>id</w:instrText>
            </w:r>
            <w:r w:rsidR="006E1ADA" w:rsidRPr="00E84AA6">
              <w:instrText>":"</w:instrText>
            </w:r>
            <w:r w:rsidR="006E1ADA">
              <w:rPr>
                <w:lang w:val="en-US"/>
              </w:rPr>
              <w:instrText>ITEM</w:instrText>
            </w:r>
            <w:r w:rsidR="006E1ADA" w:rsidRPr="00E84AA6">
              <w:instrText>-1","</w:instrText>
            </w:r>
            <w:r w:rsidR="006E1ADA">
              <w:rPr>
                <w:lang w:val="en-US"/>
              </w:rPr>
              <w:instrText>itemData</w:instrText>
            </w:r>
            <w:r w:rsidR="006E1ADA" w:rsidRPr="00E84AA6">
              <w:instrText>":{"</w:instrText>
            </w:r>
            <w:r w:rsidR="006E1ADA">
              <w:rPr>
                <w:lang w:val="en-US"/>
              </w:rPr>
              <w:instrText>author</w:instrText>
            </w:r>
            <w:r w:rsidR="006E1ADA" w:rsidRPr="00E84AA6">
              <w:instrText>":[{"</w:instrText>
            </w:r>
            <w:r w:rsidR="006E1ADA">
              <w:rPr>
                <w:lang w:val="en-US"/>
              </w:rPr>
              <w:instrText>dropping</w:instrText>
            </w:r>
            <w:r w:rsidR="006E1ADA" w:rsidRPr="00E84AA6">
              <w:instrText>-</w:instrText>
            </w:r>
            <w:r w:rsidR="006E1ADA">
              <w:rPr>
                <w:lang w:val="en-US"/>
              </w:rPr>
              <w:instrText>particle</w:instrText>
            </w:r>
            <w:r w:rsidR="006E1ADA" w:rsidRPr="00E84AA6">
              <w:instrText>":"","</w:instrText>
            </w:r>
            <w:r w:rsidR="006E1ADA">
              <w:rPr>
                <w:lang w:val="en-US"/>
              </w:rPr>
              <w:instrText>family</w:instrText>
            </w:r>
            <w:r w:rsidR="006E1ADA" w:rsidRPr="00E84AA6">
              <w:instrText>":"Воробьев","</w:instrText>
            </w:r>
            <w:r w:rsidR="006E1ADA">
              <w:rPr>
                <w:lang w:val="en-US"/>
              </w:rPr>
              <w:instrText>given</w:instrText>
            </w:r>
            <w:r w:rsidR="006E1ADA" w:rsidRPr="00E84AA6">
              <w:instrText>":"А.И.","</w:instrText>
            </w:r>
            <w:r w:rsidR="006E1ADA">
              <w:rPr>
                <w:lang w:val="en-US"/>
              </w:rPr>
              <w:instrText>non</w:instrText>
            </w:r>
            <w:r w:rsidR="006E1ADA" w:rsidRPr="00E84AA6">
              <w:instrText>-</w:instrText>
            </w:r>
            <w:r w:rsidR="006E1ADA">
              <w:rPr>
                <w:lang w:val="en-US"/>
              </w:rPr>
              <w:instrText>dropping</w:instrText>
            </w:r>
            <w:r w:rsidR="006E1ADA" w:rsidRPr="00E84AA6">
              <w:instrText>-</w:instrText>
            </w:r>
            <w:r w:rsidR="006E1ADA">
              <w:rPr>
                <w:lang w:val="en-US"/>
              </w:rPr>
              <w:instrText>particle</w:instrText>
            </w:r>
            <w:r w:rsidR="006E1ADA" w:rsidRPr="00E84AA6">
              <w:instrText>":"","</w:instrText>
            </w:r>
            <w:r w:rsidR="006E1ADA">
              <w:rPr>
                <w:lang w:val="en-US"/>
              </w:rPr>
              <w:instrText>parse</w:instrText>
            </w:r>
            <w:r w:rsidR="006E1ADA" w:rsidRPr="00E84AA6">
              <w:instrText>-</w:instrText>
            </w:r>
            <w:r w:rsidR="006E1ADA">
              <w:rPr>
                <w:lang w:val="en-US"/>
              </w:rPr>
              <w:instrText>names</w:instrText>
            </w:r>
            <w:r w:rsidR="006E1ADA" w:rsidRPr="00E84AA6">
              <w:instrText>":</w:instrText>
            </w:r>
            <w:r w:rsidR="006E1ADA">
              <w:rPr>
                <w:lang w:val="en-US"/>
              </w:rPr>
              <w:instrText>false</w:instrText>
            </w:r>
            <w:r w:rsidR="006E1ADA" w:rsidRPr="00E84AA6">
              <w:instrText>,"</w:instrText>
            </w:r>
            <w:r w:rsidR="006E1ADA">
              <w:rPr>
                <w:lang w:val="en-US"/>
              </w:rPr>
              <w:instrText>suffix</w:instrText>
            </w:r>
            <w:r w:rsidR="006E1ADA" w:rsidRPr="00E84AA6">
              <w:instrText>":""},{"</w:instrText>
            </w:r>
            <w:r w:rsidR="006E1ADA">
              <w:rPr>
                <w:lang w:val="en-US"/>
              </w:rPr>
              <w:instrText>dropping</w:instrText>
            </w:r>
            <w:r w:rsidR="006E1ADA" w:rsidRPr="00E84AA6">
              <w:instrText>-</w:instrText>
            </w:r>
            <w:r w:rsidR="006E1ADA">
              <w:rPr>
                <w:lang w:val="en-US"/>
              </w:rPr>
              <w:instrText>particle</w:instrText>
            </w:r>
            <w:r w:rsidR="006E1ADA" w:rsidRPr="00E84AA6">
              <w:instrText>":"","</w:instrText>
            </w:r>
            <w:r w:rsidR="006E1ADA">
              <w:rPr>
                <w:lang w:val="en-US"/>
              </w:rPr>
              <w:instrText>family</w:instrText>
            </w:r>
            <w:r w:rsidR="006E1ADA" w:rsidRPr="00E84AA6">
              <w:instrText>":"Горелов","</w:instrText>
            </w:r>
            <w:r w:rsidR="006E1ADA">
              <w:rPr>
                <w:lang w:val="en-US"/>
              </w:rPr>
              <w:instrText>given</w:instrText>
            </w:r>
            <w:r w:rsidR="006E1ADA" w:rsidRPr="00E84AA6">
              <w:instrText>":"В.Г.","</w:instrText>
            </w:r>
            <w:r w:rsidR="006E1ADA">
              <w:rPr>
                <w:lang w:val="en-US"/>
              </w:rPr>
              <w:instrText>non</w:instrText>
            </w:r>
            <w:r w:rsidR="006E1ADA" w:rsidRPr="00E84AA6">
              <w:instrText>-</w:instrText>
            </w:r>
            <w:r w:rsidR="006E1ADA">
              <w:rPr>
                <w:lang w:val="en-US"/>
              </w:rPr>
              <w:instrText>dropping</w:instrText>
            </w:r>
            <w:r w:rsidR="006E1ADA" w:rsidRPr="00E84AA6">
              <w:instrText>-</w:instrText>
            </w:r>
            <w:r w:rsidR="006E1ADA">
              <w:rPr>
                <w:lang w:val="en-US"/>
              </w:rPr>
              <w:instrText>particle</w:instrText>
            </w:r>
            <w:r w:rsidR="006E1ADA" w:rsidRPr="00E84AA6">
              <w:instrText>":"","</w:instrText>
            </w:r>
            <w:r w:rsidR="006E1ADA">
              <w:rPr>
                <w:lang w:val="en-US"/>
              </w:rPr>
              <w:instrText>parse</w:instrText>
            </w:r>
            <w:r w:rsidR="006E1ADA" w:rsidRPr="00E84AA6">
              <w:instrText>-</w:instrText>
            </w:r>
            <w:r w:rsidR="006E1ADA">
              <w:rPr>
                <w:lang w:val="en-US"/>
              </w:rPr>
              <w:instrText>names</w:instrText>
            </w:r>
            <w:r w:rsidR="006E1ADA" w:rsidRPr="00E84AA6">
              <w:instrText>":</w:instrText>
            </w:r>
            <w:r w:rsidR="006E1ADA">
              <w:rPr>
                <w:lang w:val="en-US"/>
              </w:rPr>
              <w:instrText>false</w:instrText>
            </w:r>
            <w:r w:rsidR="006E1ADA" w:rsidRPr="00E84AA6">
              <w:instrText>,"</w:instrText>
            </w:r>
            <w:r w:rsidR="006E1ADA">
              <w:rPr>
                <w:lang w:val="en-US"/>
              </w:rPr>
              <w:instrText>suffix</w:instrText>
            </w:r>
            <w:r w:rsidR="006E1ADA" w:rsidRPr="00E84AA6">
              <w:instrText>":""},{"</w:instrText>
            </w:r>
            <w:r w:rsidR="006E1ADA">
              <w:rPr>
                <w:lang w:val="en-US"/>
              </w:rPr>
              <w:instrText>dropping</w:instrText>
            </w:r>
            <w:r w:rsidR="006E1ADA" w:rsidRPr="00E84AA6">
              <w:instrText>-</w:instrText>
            </w:r>
            <w:r w:rsidR="006E1ADA">
              <w:rPr>
                <w:lang w:val="en-US"/>
              </w:rPr>
              <w:instrText>particle</w:instrText>
            </w:r>
            <w:r w:rsidR="006E1ADA" w:rsidRPr="00E84AA6">
              <w:instrText>":"","</w:instrText>
            </w:r>
            <w:r w:rsidR="006E1ADA">
              <w:rPr>
                <w:lang w:val="en-US"/>
              </w:rPr>
              <w:instrText>family</w:instrText>
            </w:r>
            <w:r w:rsidR="006E1ADA" w:rsidRPr="00E84AA6">
              <w:instrText>":"Городецкий","</w:instrText>
            </w:r>
            <w:r w:rsidR="006E1ADA">
              <w:rPr>
                <w:lang w:val="en-US"/>
              </w:rPr>
              <w:instrText>given</w:instrText>
            </w:r>
            <w:r w:rsidR="006E1ADA" w:rsidRPr="00E84AA6">
              <w:instrText>":"В.М.","</w:instrText>
            </w:r>
            <w:r w:rsidR="006E1ADA">
              <w:rPr>
                <w:lang w:val="en-US"/>
              </w:rPr>
              <w:instrText>non</w:instrText>
            </w:r>
            <w:r w:rsidR="006E1ADA" w:rsidRPr="00E84AA6">
              <w:instrText>-</w:instrText>
            </w:r>
            <w:r w:rsidR="006E1ADA">
              <w:rPr>
                <w:lang w:val="en-US"/>
              </w:rPr>
              <w:instrText>dropping</w:instrText>
            </w:r>
            <w:r w:rsidR="006E1ADA" w:rsidRPr="00E84AA6">
              <w:instrText>-</w:instrText>
            </w:r>
            <w:r w:rsidR="006E1ADA">
              <w:rPr>
                <w:lang w:val="en-US"/>
              </w:rPr>
              <w:instrText>particle</w:instrText>
            </w:r>
            <w:r w:rsidR="006E1ADA" w:rsidRPr="00E84AA6">
              <w:instrText>":"","</w:instrText>
            </w:r>
            <w:r w:rsidR="006E1ADA">
              <w:rPr>
                <w:lang w:val="en-US"/>
              </w:rPr>
              <w:instrText>parse</w:instrText>
            </w:r>
            <w:r w:rsidR="006E1ADA" w:rsidRPr="00E84AA6">
              <w:instrText>-</w:instrText>
            </w:r>
            <w:r w:rsidR="006E1ADA">
              <w:rPr>
                <w:lang w:val="en-US"/>
              </w:rPr>
              <w:instrText>names</w:instrText>
            </w:r>
            <w:r w:rsidR="006E1ADA" w:rsidRPr="00E84AA6">
              <w:instrText>":</w:instrText>
            </w:r>
            <w:r w:rsidR="006E1ADA">
              <w:rPr>
                <w:lang w:val="en-US"/>
              </w:rPr>
              <w:instrText>false</w:instrText>
            </w:r>
            <w:r w:rsidR="006E1ADA" w:rsidRPr="00E84AA6">
              <w:instrText>,"</w:instrText>
            </w:r>
            <w:r w:rsidR="006E1ADA">
              <w:rPr>
                <w:lang w:val="en-US"/>
              </w:rPr>
              <w:instrText>suffix</w:instrText>
            </w:r>
            <w:r w:rsidR="006E1ADA" w:rsidRPr="00E84AA6">
              <w:instrText>":""},{"</w:instrText>
            </w:r>
            <w:r w:rsidR="006E1ADA">
              <w:rPr>
                <w:lang w:val="en-US"/>
              </w:rPr>
              <w:instrText>dropping</w:instrText>
            </w:r>
            <w:r w:rsidR="006E1ADA" w:rsidRPr="00E84AA6">
              <w:instrText>-</w:instrText>
            </w:r>
            <w:r w:rsidR="006E1ADA">
              <w:rPr>
                <w:lang w:val="en-US"/>
              </w:rPr>
              <w:instrText>particle</w:instrText>
            </w:r>
            <w:r w:rsidR="006E1ADA" w:rsidRPr="00E84AA6">
              <w:instrText>":"","</w:instrText>
            </w:r>
            <w:r w:rsidR="006E1ADA">
              <w:rPr>
                <w:lang w:val="en-US"/>
              </w:rPr>
              <w:instrText>family</w:instrText>
            </w:r>
            <w:r w:rsidR="006E1ADA" w:rsidRPr="00E84AA6">
              <w:instrText>":"Шулутко","</w:instrText>
            </w:r>
            <w:r w:rsidR="006E1ADA">
              <w:rPr>
                <w:lang w:val="en-US"/>
              </w:rPr>
              <w:instrText>given</w:instrText>
            </w:r>
            <w:r w:rsidR="006E1ADA" w:rsidRPr="00E84AA6">
              <w:instrText>":"Е.М.","</w:instrText>
            </w:r>
            <w:r w:rsidR="006E1ADA">
              <w:rPr>
                <w:lang w:val="en-US"/>
              </w:rPr>
              <w:instrText>non</w:instrText>
            </w:r>
            <w:r w:rsidR="006E1ADA" w:rsidRPr="00E84AA6">
              <w:instrText>-</w:instrText>
            </w:r>
            <w:r w:rsidR="006E1ADA">
              <w:rPr>
                <w:lang w:val="en-US"/>
              </w:rPr>
              <w:instrText>dropping</w:instrText>
            </w:r>
            <w:r w:rsidR="006E1ADA" w:rsidRPr="00E84AA6">
              <w:instrText>-</w:instrText>
            </w:r>
            <w:r w:rsidR="006E1ADA">
              <w:rPr>
                <w:lang w:val="en-US"/>
              </w:rPr>
              <w:instrText>particle</w:instrText>
            </w:r>
            <w:r w:rsidR="006E1ADA" w:rsidRPr="00E84AA6">
              <w:instrText>":"","</w:instrText>
            </w:r>
            <w:r w:rsidR="006E1ADA">
              <w:rPr>
                <w:lang w:val="en-US"/>
              </w:rPr>
              <w:instrText>parse</w:instrText>
            </w:r>
            <w:r w:rsidR="006E1ADA" w:rsidRPr="00E84AA6">
              <w:instrText>-</w:instrText>
            </w:r>
            <w:r w:rsidR="006E1ADA">
              <w:rPr>
                <w:lang w:val="en-US"/>
              </w:rPr>
              <w:instrText>names</w:instrText>
            </w:r>
            <w:r w:rsidR="006E1ADA" w:rsidRPr="00E84AA6">
              <w:instrText>":</w:instrText>
            </w:r>
            <w:r w:rsidR="006E1ADA">
              <w:rPr>
                <w:lang w:val="en-US"/>
              </w:rPr>
              <w:instrText>false</w:instrText>
            </w:r>
            <w:r w:rsidR="006E1ADA" w:rsidRPr="00E84AA6">
              <w:instrText>,"</w:instrText>
            </w:r>
            <w:r w:rsidR="006E1ADA">
              <w:rPr>
                <w:lang w:val="en-US"/>
              </w:rPr>
              <w:instrText>suffix</w:instrText>
            </w:r>
            <w:r w:rsidR="006E1ADA" w:rsidRPr="00E84AA6">
              <w:instrText>":""}],"</w:instrText>
            </w:r>
            <w:r w:rsidR="006E1ADA">
              <w:rPr>
                <w:lang w:val="en-US"/>
              </w:rPr>
              <w:instrText>container</w:instrText>
            </w:r>
            <w:r w:rsidR="006E1ADA" w:rsidRPr="00E84AA6">
              <w:instrText>-</w:instrText>
            </w:r>
            <w:r w:rsidR="006E1ADA">
              <w:rPr>
                <w:lang w:val="en-US"/>
              </w:rPr>
              <w:instrText>title</w:instrText>
            </w:r>
            <w:r w:rsidR="006E1ADA" w:rsidRPr="00E84AA6">
              <w:instrText>":"Терапевтический архив","</w:instrText>
            </w:r>
            <w:r w:rsidR="006E1ADA">
              <w:rPr>
                <w:lang w:val="en-US"/>
              </w:rPr>
              <w:instrText>id</w:instrText>
            </w:r>
            <w:r w:rsidR="006E1ADA" w:rsidRPr="00E84AA6">
              <w:instrText>":"</w:instrText>
            </w:r>
            <w:r w:rsidR="006E1ADA">
              <w:rPr>
                <w:lang w:val="en-US"/>
              </w:rPr>
              <w:instrText>ITEM</w:instrText>
            </w:r>
            <w:r w:rsidR="006E1ADA" w:rsidRPr="00E84AA6">
              <w:instrText>-1","</w:instrText>
            </w:r>
            <w:r w:rsidR="006E1ADA">
              <w:rPr>
                <w:lang w:val="en-US"/>
              </w:rPr>
              <w:instrText>issue</w:instrText>
            </w:r>
            <w:r w:rsidR="006E1ADA" w:rsidRPr="00E84AA6">
              <w:instrText>":"7","</w:instrText>
            </w:r>
            <w:r w:rsidR="006E1ADA">
              <w:rPr>
                <w:lang w:val="en-US"/>
              </w:rPr>
              <w:instrText>issued</w:instrText>
            </w:r>
            <w:r w:rsidR="006E1ADA" w:rsidRPr="00E84AA6">
              <w:instrText>":{"</w:instrText>
            </w:r>
            <w:r w:rsidR="006E1ADA">
              <w:rPr>
                <w:lang w:val="en-US"/>
              </w:rPr>
              <w:instrText>date</w:instrText>
            </w:r>
            <w:r w:rsidR="006E1ADA" w:rsidRPr="00E84AA6">
              <w:instrText>-</w:instrText>
            </w:r>
            <w:r w:rsidR="006E1ADA">
              <w:rPr>
                <w:lang w:val="en-US"/>
              </w:rPr>
              <w:instrText>parts</w:instrText>
            </w:r>
            <w:r w:rsidR="006E1ADA" w:rsidRPr="00E84AA6">
              <w:instrText>":[["1993"]]},"</w:instrText>
            </w:r>
            <w:r w:rsidR="006E1ADA">
              <w:rPr>
                <w:lang w:val="en-US"/>
              </w:rPr>
              <w:instrText>page</w:instrText>
            </w:r>
            <w:r w:rsidR="006E1ADA" w:rsidRPr="00E84AA6">
              <w:instrText>":"3-6","</w:instrText>
            </w:r>
            <w:r w:rsidR="006E1ADA">
              <w:rPr>
                <w:lang w:val="en-US"/>
              </w:rPr>
              <w:instrText>title</w:instrText>
            </w:r>
            <w:r w:rsidR="006E1ADA" w:rsidRPr="00E84AA6">
              <w:instrText>":"Критические состояния при гемобластозах (типичные формы и выживаемость в условиях отделения реанимации).","</w:instrText>
            </w:r>
            <w:r w:rsidR="006E1ADA">
              <w:rPr>
                <w:lang w:val="en-US"/>
              </w:rPr>
              <w:instrText>type</w:instrText>
            </w:r>
            <w:r w:rsidR="006E1ADA" w:rsidRPr="00E84AA6">
              <w:instrText>":"</w:instrText>
            </w:r>
            <w:r w:rsidR="006E1ADA">
              <w:rPr>
                <w:lang w:val="en-US"/>
              </w:rPr>
              <w:instrText>article</w:instrText>
            </w:r>
            <w:r w:rsidR="006E1ADA" w:rsidRPr="00E84AA6">
              <w:instrText>-</w:instrText>
            </w:r>
            <w:r w:rsidR="006E1ADA">
              <w:rPr>
                <w:lang w:val="en-US"/>
              </w:rPr>
              <w:instrText>journal</w:instrText>
            </w:r>
            <w:r w:rsidR="006E1ADA" w:rsidRPr="00E84AA6">
              <w:instrText>","</w:instrText>
            </w:r>
            <w:r w:rsidR="006E1ADA">
              <w:rPr>
                <w:lang w:val="en-US"/>
              </w:rPr>
              <w:instrText>volume</w:instrText>
            </w:r>
            <w:r w:rsidR="006E1ADA" w:rsidRPr="00E84AA6">
              <w:instrText>":"65"},"</w:instrText>
            </w:r>
            <w:r w:rsidR="006E1ADA">
              <w:rPr>
                <w:lang w:val="en-US"/>
              </w:rPr>
              <w:instrText>uris</w:instrText>
            </w:r>
            <w:r w:rsidR="006E1ADA" w:rsidRPr="00E84AA6">
              <w:instrText>":["</w:instrText>
            </w:r>
            <w:r w:rsidR="006E1ADA">
              <w:rPr>
                <w:lang w:val="en-US"/>
              </w:rPr>
              <w:instrText>http</w:instrText>
            </w:r>
            <w:r w:rsidR="006E1ADA" w:rsidRPr="00E84AA6">
              <w:instrText>://</w:instrText>
            </w:r>
            <w:r w:rsidR="006E1ADA">
              <w:rPr>
                <w:lang w:val="en-US"/>
              </w:rPr>
              <w:instrText>www</w:instrText>
            </w:r>
            <w:r w:rsidR="006E1ADA" w:rsidRPr="00E84AA6">
              <w:instrText>.</w:instrText>
            </w:r>
            <w:r w:rsidR="006E1ADA">
              <w:rPr>
                <w:lang w:val="en-US"/>
              </w:rPr>
              <w:instrText>mendeley</w:instrText>
            </w:r>
            <w:r w:rsidR="006E1ADA" w:rsidRPr="00E84AA6">
              <w:instrText>.</w:instrText>
            </w:r>
            <w:r w:rsidR="006E1ADA">
              <w:rPr>
                <w:lang w:val="en-US"/>
              </w:rPr>
              <w:instrText>com</w:instrText>
            </w:r>
            <w:r w:rsidR="006E1ADA" w:rsidRPr="00E84AA6">
              <w:instrText>/</w:instrText>
            </w:r>
            <w:r w:rsidR="006E1ADA">
              <w:rPr>
                <w:lang w:val="en-US"/>
              </w:rPr>
              <w:instrText>documents</w:instrText>
            </w:r>
            <w:r w:rsidR="006E1ADA" w:rsidRPr="00E84AA6">
              <w:instrText>/?</w:instrText>
            </w:r>
            <w:r w:rsidR="006E1ADA">
              <w:rPr>
                <w:lang w:val="en-US"/>
              </w:rPr>
              <w:instrText>uuid</w:instrText>
            </w:r>
            <w:r w:rsidR="006E1ADA" w:rsidRPr="00E84AA6">
              <w:instrText>=</w:instrText>
            </w:r>
            <w:r w:rsidR="006E1ADA">
              <w:rPr>
                <w:lang w:val="en-US"/>
              </w:rPr>
              <w:instrText>c</w:instrText>
            </w:r>
            <w:r w:rsidR="006E1ADA" w:rsidRPr="00E84AA6">
              <w:instrText>4</w:instrText>
            </w:r>
            <w:r w:rsidR="006E1ADA">
              <w:rPr>
                <w:lang w:val="en-US"/>
              </w:rPr>
              <w:instrText>b</w:instrText>
            </w:r>
            <w:r w:rsidR="006E1ADA" w:rsidRPr="00E84AA6">
              <w:instrText>05</w:instrText>
            </w:r>
            <w:r w:rsidR="006E1ADA">
              <w:rPr>
                <w:lang w:val="en-US"/>
              </w:rPr>
              <w:instrText>bf</w:instrText>
            </w:r>
            <w:r w:rsidR="006E1ADA" w:rsidRPr="00E84AA6">
              <w:instrText>5-</w:instrText>
            </w:r>
            <w:r w:rsidR="006E1ADA">
              <w:rPr>
                <w:lang w:val="en-US"/>
              </w:rPr>
              <w:instrText>f</w:instrText>
            </w:r>
            <w:r w:rsidR="006E1ADA" w:rsidRPr="00E84AA6">
              <w:instrText>5</w:instrText>
            </w:r>
            <w:r w:rsidR="006E1ADA">
              <w:rPr>
                <w:lang w:val="en-US"/>
              </w:rPr>
              <w:instrText>dc</w:instrText>
            </w:r>
            <w:r w:rsidR="006E1ADA" w:rsidRPr="00E84AA6">
              <w:instrText>-4551-</w:instrText>
            </w:r>
            <w:r w:rsidR="006E1ADA">
              <w:rPr>
                <w:lang w:val="en-US"/>
              </w:rPr>
              <w:instrText>a</w:instrText>
            </w:r>
            <w:r w:rsidR="006E1ADA" w:rsidRPr="00E84AA6">
              <w:instrText>590-5854</w:instrText>
            </w:r>
            <w:r w:rsidR="006E1ADA">
              <w:rPr>
                <w:lang w:val="en-US"/>
              </w:rPr>
              <w:instrText>faa</w:instrText>
            </w:r>
            <w:r w:rsidR="006E1ADA" w:rsidRPr="00E84AA6">
              <w:instrText>101</w:instrText>
            </w:r>
            <w:r w:rsidR="006E1ADA">
              <w:rPr>
                <w:lang w:val="en-US"/>
              </w:rPr>
              <w:instrText>d</w:instrText>
            </w:r>
            <w:r w:rsidR="006E1ADA" w:rsidRPr="00E84AA6">
              <w:instrText>0"]}],"</w:instrText>
            </w:r>
            <w:r w:rsidR="006E1ADA">
              <w:rPr>
                <w:lang w:val="en-US"/>
              </w:rPr>
              <w:instrText>mendeley</w:instrText>
            </w:r>
            <w:r w:rsidR="006E1ADA" w:rsidRPr="00E84AA6">
              <w:instrText>":{"</w:instrText>
            </w:r>
            <w:r w:rsidR="006E1ADA">
              <w:rPr>
                <w:lang w:val="en-US"/>
              </w:rPr>
              <w:instrText>formattedCitation</w:instrText>
            </w:r>
            <w:r w:rsidR="006E1ADA" w:rsidRPr="00E84AA6">
              <w:instrText>":"[210]","</w:instrText>
            </w:r>
            <w:r w:rsidR="006E1ADA">
              <w:rPr>
                <w:lang w:val="en-US"/>
              </w:rPr>
              <w:instrText>plainTextFormattedCitation</w:instrText>
            </w:r>
            <w:r w:rsidR="006E1ADA" w:rsidRPr="00E84AA6">
              <w:instrText>":"[210]","</w:instrText>
            </w:r>
            <w:r w:rsidR="006E1ADA">
              <w:rPr>
                <w:lang w:val="en-US"/>
              </w:rPr>
              <w:instrText>previouslyFormattedCitation</w:instrText>
            </w:r>
            <w:r w:rsidR="006E1ADA" w:rsidRPr="00E84AA6">
              <w:instrText>":"[210]"},"</w:instrText>
            </w:r>
            <w:r w:rsidR="006E1ADA">
              <w:rPr>
                <w:lang w:val="en-US"/>
              </w:rPr>
              <w:instrText>properties</w:instrText>
            </w:r>
            <w:r w:rsidR="006E1ADA" w:rsidRPr="00E84AA6">
              <w:instrText>":{"</w:instrText>
            </w:r>
            <w:r w:rsidR="006E1ADA">
              <w:rPr>
                <w:lang w:val="en-US"/>
              </w:rPr>
              <w:instrText>noteIndex</w:instrText>
            </w:r>
            <w:r w:rsidR="006E1ADA" w:rsidRPr="00E84AA6">
              <w:instrText>":0},"</w:instrText>
            </w:r>
            <w:r w:rsidR="006E1ADA">
              <w:rPr>
                <w:lang w:val="en-US"/>
              </w:rPr>
              <w:instrText>schema</w:instrText>
            </w:r>
            <w:r w:rsidR="006E1ADA" w:rsidRPr="00E84AA6">
              <w:instrText>":"</w:instrText>
            </w:r>
            <w:r w:rsidR="006E1ADA">
              <w:rPr>
                <w:lang w:val="en-US"/>
              </w:rPr>
              <w:instrText>https</w:instrText>
            </w:r>
            <w:r w:rsidR="006E1ADA" w:rsidRPr="00E84AA6">
              <w:instrText>://</w:instrText>
            </w:r>
            <w:r w:rsidR="006E1ADA">
              <w:rPr>
                <w:lang w:val="en-US"/>
              </w:rPr>
              <w:instrText>github</w:instrText>
            </w:r>
            <w:r w:rsidR="006E1ADA" w:rsidRPr="00E84AA6">
              <w:instrText>.</w:instrText>
            </w:r>
            <w:r w:rsidR="006E1ADA">
              <w:rPr>
                <w:lang w:val="en-US"/>
              </w:rPr>
              <w:instrText>com</w:instrText>
            </w:r>
            <w:r w:rsidR="006E1ADA" w:rsidRPr="00E84AA6">
              <w:instrText>/</w:instrText>
            </w:r>
            <w:r w:rsidR="006E1ADA">
              <w:rPr>
                <w:lang w:val="en-US"/>
              </w:rPr>
              <w:instrText>citation</w:instrText>
            </w:r>
            <w:r w:rsidR="006E1ADA" w:rsidRPr="00E84AA6">
              <w:instrText>-</w:instrText>
            </w:r>
            <w:r w:rsidR="006E1ADA">
              <w:rPr>
                <w:lang w:val="en-US"/>
              </w:rPr>
              <w:instrText>style</w:instrText>
            </w:r>
            <w:r w:rsidR="006E1ADA" w:rsidRPr="00E84AA6">
              <w:instrText>-</w:instrText>
            </w:r>
            <w:r w:rsidR="006E1ADA">
              <w:rPr>
                <w:lang w:val="en-US"/>
              </w:rPr>
              <w:instrText>language</w:instrText>
            </w:r>
            <w:r w:rsidR="006E1ADA" w:rsidRPr="00E84AA6">
              <w:instrText>/</w:instrText>
            </w:r>
            <w:r w:rsidR="006E1ADA">
              <w:rPr>
                <w:lang w:val="en-US"/>
              </w:rPr>
              <w:instrText>schema</w:instrText>
            </w:r>
            <w:r w:rsidR="006E1ADA" w:rsidRPr="00E84AA6">
              <w:instrText>/</w:instrText>
            </w:r>
            <w:r w:rsidR="006E1ADA">
              <w:rPr>
                <w:lang w:val="en-US"/>
              </w:rPr>
              <w:instrText>raw</w:instrText>
            </w:r>
            <w:r w:rsidR="006E1ADA" w:rsidRPr="00E84AA6">
              <w:instrText>/</w:instrText>
            </w:r>
            <w:r w:rsidR="006E1ADA">
              <w:rPr>
                <w:lang w:val="en-US"/>
              </w:rPr>
              <w:instrText>master</w:instrText>
            </w:r>
            <w:r w:rsidR="006E1ADA" w:rsidRPr="00E84AA6">
              <w:instrText>/</w:instrText>
            </w:r>
            <w:r w:rsidR="006E1ADA">
              <w:rPr>
                <w:lang w:val="en-US"/>
              </w:rPr>
              <w:instrText>csl</w:instrText>
            </w:r>
            <w:r w:rsidR="006E1ADA" w:rsidRPr="00E84AA6">
              <w:instrText>-</w:instrText>
            </w:r>
            <w:r w:rsidR="006E1ADA">
              <w:rPr>
                <w:lang w:val="en-US"/>
              </w:rPr>
              <w:instrText>citation</w:instrText>
            </w:r>
            <w:r w:rsidR="006E1ADA" w:rsidRPr="00E84AA6">
              <w:instrText>.</w:instrText>
            </w:r>
            <w:r w:rsidR="006E1ADA">
              <w:rPr>
                <w:lang w:val="en-US"/>
              </w:rPr>
              <w:instrText>json</w:instrText>
            </w:r>
            <w:r w:rsidR="006E1ADA" w:rsidRPr="00E84AA6">
              <w:instrText>"}</w:instrText>
            </w:r>
            <w:r>
              <w:rPr>
                <w:lang w:val="en-US"/>
              </w:rPr>
              <w:fldChar w:fldCharType="separate"/>
            </w:r>
            <w:r w:rsidR="00B96A78" w:rsidRPr="00B96A78">
              <w:rPr>
                <w:noProof/>
              </w:rPr>
              <w:t>[210]</w:t>
            </w:r>
            <w:r>
              <w:rPr>
                <w:lang w:val="en-US"/>
              </w:rPr>
              <w:fldChar w:fldCharType="end"/>
            </w:r>
          </w:p>
        </w:tc>
        <w:tc>
          <w:tcPr>
            <w:tcW w:w="425" w:type="pct"/>
          </w:tcPr>
          <w:p w14:paraId="5D1A4B14" w14:textId="77777777" w:rsidR="00D43393" w:rsidRPr="008F721B" w:rsidRDefault="00D43393" w:rsidP="002D3EBF">
            <w:pPr>
              <w:jc w:val="center"/>
            </w:pPr>
            <w:r w:rsidRPr="008F721B">
              <w:t>43</w:t>
            </w:r>
          </w:p>
        </w:tc>
        <w:tc>
          <w:tcPr>
            <w:tcW w:w="490" w:type="pct"/>
          </w:tcPr>
          <w:p w14:paraId="54BF3387" w14:textId="77777777" w:rsidR="00D43393" w:rsidRPr="008F721B" w:rsidRDefault="00D43393" w:rsidP="002D3EBF">
            <w:pPr>
              <w:jc w:val="center"/>
            </w:pPr>
            <w:r w:rsidRPr="008F721B">
              <w:t>16</w:t>
            </w:r>
          </w:p>
        </w:tc>
        <w:tc>
          <w:tcPr>
            <w:tcW w:w="609" w:type="pct"/>
          </w:tcPr>
          <w:p w14:paraId="4628A626" w14:textId="77777777" w:rsidR="00D43393" w:rsidRPr="008F721B" w:rsidRDefault="00D43393" w:rsidP="002D3EBF">
            <w:pPr>
              <w:jc w:val="center"/>
            </w:pPr>
            <w:r w:rsidRPr="008F721B">
              <w:t>н/д*</w:t>
            </w:r>
          </w:p>
        </w:tc>
        <w:tc>
          <w:tcPr>
            <w:tcW w:w="687" w:type="pct"/>
          </w:tcPr>
          <w:p w14:paraId="207ACD0F" w14:textId="77777777" w:rsidR="00D43393" w:rsidRPr="008F721B" w:rsidRDefault="00D43393" w:rsidP="002D3EBF">
            <w:pPr>
              <w:jc w:val="center"/>
            </w:pPr>
            <w:r w:rsidRPr="008F721B">
              <w:t>н/д</w:t>
            </w:r>
          </w:p>
        </w:tc>
        <w:tc>
          <w:tcPr>
            <w:tcW w:w="456" w:type="pct"/>
          </w:tcPr>
          <w:p w14:paraId="22197658" w14:textId="77777777" w:rsidR="00D43393" w:rsidRPr="008F721B" w:rsidRDefault="00D43393" w:rsidP="002D3EBF">
            <w:pPr>
              <w:jc w:val="center"/>
            </w:pPr>
            <w:r w:rsidRPr="008F721B">
              <w:t>5</w:t>
            </w:r>
          </w:p>
        </w:tc>
        <w:tc>
          <w:tcPr>
            <w:tcW w:w="515" w:type="pct"/>
          </w:tcPr>
          <w:p w14:paraId="45DDC2CB" w14:textId="77777777" w:rsidR="00D43393" w:rsidRPr="008F721B" w:rsidRDefault="00D43393" w:rsidP="002D3EBF">
            <w:pPr>
              <w:jc w:val="center"/>
            </w:pPr>
            <w:r w:rsidRPr="008F721B">
              <w:t>16</w:t>
            </w:r>
          </w:p>
        </w:tc>
        <w:tc>
          <w:tcPr>
            <w:tcW w:w="536" w:type="pct"/>
          </w:tcPr>
          <w:p w14:paraId="6786C1C2" w14:textId="77777777" w:rsidR="00D43393" w:rsidRPr="008F721B" w:rsidRDefault="00D43393" w:rsidP="002D3EBF">
            <w:pPr>
              <w:jc w:val="center"/>
            </w:pPr>
            <w:r w:rsidRPr="008F721B">
              <w:t>20</w:t>
            </w:r>
          </w:p>
        </w:tc>
      </w:tr>
      <w:tr w:rsidR="00D43393" w:rsidRPr="008F721B" w14:paraId="6A1F5999" w14:textId="77777777" w:rsidTr="002D3EBF">
        <w:trPr>
          <w:trHeight w:val="822"/>
        </w:trPr>
        <w:tc>
          <w:tcPr>
            <w:tcW w:w="1279" w:type="pct"/>
          </w:tcPr>
          <w:p w14:paraId="76F6B679" w14:textId="4B362B68" w:rsidR="00D43393" w:rsidRPr="008F721B" w:rsidRDefault="00D43393" w:rsidP="002D3EBF">
            <w:r w:rsidRPr="008F721B">
              <w:t>Галстян Г.М. и соавт.</w:t>
            </w:r>
            <w:r>
              <w:t xml:space="preserve">, 2011 </w:t>
            </w:r>
            <w:r>
              <w:fldChar w:fldCharType="begin" w:fldLock="1"/>
            </w:r>
            <w:r w:rsidR="006E1ADA">
              <w:instrText>ADDIN CSL_CITATION {"citationItems":[{"id":"ITEM-1","itemData":{"author":[{"dropping-particle":"","family":"Галстян","given":"Г.М.","non-dropping-particle":"","parse-names":false,"suffix":""},{"dropping-particle":"","family":"Городецкий","given":"В.М.","non-dropping-particle":"","parse-names":false,"suffix":""}],"container-title":"Клиническая онкогематология","id":"ITEM-1","issue":"1","issued":{"date-parts":[["2011"]]},"page":"75-78","title":"Опыт работы отделения реанимации и интенсивной терапии ФГБУ ГНЦ МЗиСР РФ","type":"article-journal","volume":"4"},"uris":["http://www.mendeley.com/documents/?uuid=7a2aad90-732f-4da0-a3ce-4939d049189b"]}],"mendeley":{"formattedCitation":"[211]","plainTextFormattedCitation":"[211]","previouslyFormattedCitation":"[211]"},"properties":{"noteIndex":0},"schema":"https://github.com/citation-style-language/schema/raw/master/csl-citation.json"}</w:instrText>
            </w:r>
            <w:r>
              <w:fldChar w:fldCharType="separate"/>
            </w:r>
            <w:r w:rsidR="00B96A78" w:rsidRPr="00B96A78">
              <w:rPr>
                <w:noProof/>
              </w:rPr>
              <w:t>[211]</w:t>
            </w:r>
            <w:r>
              <w:fldChar w:fldCharType="end"/>
            </w:r>
          </w:p>
        </w:tc>
        <w:tc>
          <w:tcPr>
            <w:tcW w:w="425" w:type="pct"/>
          </w:tcPr>
          <w:p w14:paraId="71C33F68" w14:textId="77777777" w:rsidR="00D43393" w:rsidRPr="008F721B" w:rsidRDefault="00D43393" w:rsidP="002D3EBF">
            <w:pPr>
              <w:jc w:val="center"/>
            </w:pPr>
            <w:r w:rsidRPr="008F721B">
              <w:t>30</w:t>
            </w:r>
          </w:p>
        </w:tc>
        <w:tc>
          <w:tcPr>
            <w:tcW w:w="490" w:type="pct"/>
          </w:tcPr>
          <w:p w14:paraId="6A6477EF" w14:textId="77777777" w:rsidR="00D43393" w:rsidRPr="008F721B" w:rsidRDefault="00D43393" w:rsidP="002D3EBF">
            <w:pPr>
              <w:jc w:val="center"/>
            </w:pPr>
            <w:r w:rsidRPr="008F721B">
              <w:t>22</w:t>
            </w:r>
          </w:p>
        </w:tc>
        <w:tc>
          <w:tcPr>
            <w:tcW w:w="609" w:type="pct"/>
          </w:tcPr>
          <w:p w14:paraId="2B59EF1B" w14:textId="77777777" w:rsidR="00D43393" w:rsidRPr="008F721B" w:rsidRDefault="00D43393" w:rsidP="002D3EBF">
            <w:pPr>
              <w:jc w:val="center"/>
            </w:pPr>
            <w:r w:rsidRPr="008F721B">
              <w:t>7</w:t>
            </w:r>
          </w:p>
        </w:tc>
        <w:tc>
          <w:tcPr>
            <w:tcW w:w="687" w:type="pct"/>
          </w:tcPr>
          <w:p w14:paraId="3436AC23" w14:textId="77777777" w:rsidR="00D43393" w:rsidRPr="008F721B" w:rsidRDefault="00D43393" w:rsidP="002D3EBF">
            <w:pPr>
              <w:jc w:val="center"/>
            </w:pPr>
            <w:r w:rsidRPr="008F721B">
              <w:t>11</w:t>
            </w:r>
          </w:p>
        </w:tc>
        <w:tc>
          <w:tcPr>
            <w:tcW w:w="456" w:type="pct"/>
          </w:tcPr>
          <w:p w14:paraId="30767F93" w14:textId="77777777" w:rsidR="00D43393" w:rsidRPr="008F721B" w:rsidRDefault="00D43393" w:rsidP="002D3EBF">
            <w:pPr>
              <w:jc w:val="center"/>
            </w:pPr>
            <w:r w:rsidRPr="008F721B">
              <w:t>н/д</w:t>
            </w:r>
          </w:p>
        </w:tc>
        <w:tc>
          <w:tcPr>
            <w:tcW w:w="515" w:type="pct"/>
          </w:tcPr>
          <w:p w14:paraId="4D090178" w14:textId="77777777" w:rsidR="00D43393" w:rsidRPr="008F721B" w:rsidRDefault="00D43393" w:rsidP="002D3EBF">
            <w:pPr>
              <w:jc w:val="center"/>
            </w:pPr>
            <w:r w:rsidRPr="008F721B">
              <w:t>н/д</w:t>
            </w:r>
          </w:p>
        </w:tc>
        <w:tc>
          <w:tcPr>
            <w:tcW w:w="536" w:type="pct"/>
          </w:tcPr>
          <w:p w14:paraId="6D8A34FA" w14:textId="77777777" w:rsidR="00D43393" w:rsidRPr="008F721B" w:rsidRDefault="00D43393" w:rsidP="002D3EBF">
            <w:pPr>
              <w:jc w:val="center"/>
            </w:pPr>
            <w:r w:rsidRPr="008F721B">
              <w:t>30</w:t>
            </w:r>
          </w:p>
        </w:tc>
      </w:tr>
      <w:tr w:rsidR="00D43393" w:rsidRPr="008F721B" w14:paraId="77EE0971" w14:textId="77777777" w:rsidTr="002D3EBF">
        <w:trPr>
          <w:trHeight w:val="822"/>
        </w:trPr>
        <w:tc>
          <w:tcPr>
            <w:tcW w:w="1279" w:type="pct"/>
          </w:tcPr>
          <w:p w14:paraId="4FBD294F" w14:textId="293140DE" w:rsidR="00D43393" w:rsidRPr="00B563E0" w:rsidRDefault="00D43393" w:rsidP="002D3EBF">
            <w:pPr>
              <w:rPr>
                <w:lang w:val="en-US"/>
              </w:rPr>
            </w:pPr>
            <w:r w:rsidRPr="008F721B">
              <w:t>Lamia E. и соавт.</w:t>
            </w:r>
            <w:r>
              <w:rPr>
                <w:lang w:val="en-US"/>
              </w:rPr>
              <w:t>, 2006</w:t>
            </w:r>
            <w:r w:rsidRPr="008F721B">
              <w:t xml:space="preserve"> </w:t>
            </w:r>
            <w:r>
              <w:fldChar w:fldCharType="begin" w:fldLock="1"/>
            </w:r>
            <w:r w:rsidR="006E1ADA">
              <w:instrText>ADDIN CSL_CITATION {"citationItems":[{"id":"ITEM-1","itemData":{"DOI":"10.1007/s00134-006-0286-3","ISSN":"03424642","PMID":"16896863","abstract":"Objective: To determine whether severity and organ failure scores over the first 3 days in an ICU predict in-hospital mortality in onco-hematological malignancy patients. Design and setting: Retrospective study in a 22-bed medical ICU. Patients: 92 consecutive patients with onco-hematological malignancies including 20 hematopoietic stem cell transplantation (HSCT) patients (11 with allogenic HSCT). Measurements: Simplified Acute Physiology Score (SAPS) II, Organ Dysfunction and/or Infection (ODIN) score, Logistic Organ Dysfunction System (LODS), and Sequential Organ Failure Assessment (SOFA) score were recorded on admission. The change in each score (Δ score) during the first 3 days in the ICU was calculated as follows: severity or organ failure score on day 3 minus severity or organ failure score on day 1, divided by severity or organ failure score on day 1. Results: In-hospital mortality was 58%. Using multivariate analysis in-hospital mortality was predicted by all scores on day 1 and all Δ scores. Areas under the receiver operating characteristics curves were similar for SAPS II (0.78), ODIN (0.78), LODS (0.83), and SOFA (0.78) scores at day 1. They were also similar for ΔSAPS II, ΔODIN, ΔLODS, and ΔSOFA. Similar results were observed when excluding patients with allogenic HSCT. Conclusion: Severity and three organ failure scores on day 1 and Δ scores perform similarly in predicting in-hospital mortality in ICU onco-hematological malignancy patients but do not predict individual outcome. Decision to admit such patients to the ICU or to forgo life-sustaining therapies should not be based on these scores. © 2006 Springer-Verlag.","author":[{"dropping-particle":"","family":"Lamia","given":"B.","non-dropping-particle":"","parse-names":false,"suffix":""},{"dropping-particle":"","family":"Hellot","given":"M. F.","non-dropping-particle":"","parse-names":false,"suffix":""},{"dropping-particle":"","family":"Girault","given":"C.","non-dropping-particle":"","parse-names":false,"suffix":""},{"dropping-particle":"","family":"Tamion","given":"F.","non-dropping-particle":"","parse-names":false,"suffix":""},{"dropping-particle":"","family":"Dachraoui","given":"F.","non-dropping-particle":"","parse-names":false,"suffix":""},{"dropping-particle":"","family":"Lenain","given":"P.","non-dropping-particle":"","parse-names":false,"suffix":""},{"dropping-particle":"","family":"Bonmarchand","given":"G.","non-dropping-particle":"","parse-names":false,"suffix":""}],"container-title":"Intensive Care Medicine","id":"ITEM-1","issue":"10","issued":{"date-parts":[["2006","10"]]},"page":"1560-1568","publisher":"Intensive Care Med","title":"Changes in severity and organ failure scores as prognostic factors in onco-hematological malignancy patients admitted to the ICU","type":"article-journal","volume":"32"},"uris":["http://www.mendeley.com/documents/?uuid=60d1cf7f-4ed6-3d0a-991e-cc8b33d27c7f"]}],"mendeley":{"formattedCitation":"[212]","plainTextFormattedCitation":"[212]","previouslyFormattedCitation":"[212]"},"properties":{"noteIndex":0},"schema":"https://github.com/citation-style-language/schema/raw/master/csl-citation.json"}</w:instrText>
            </w:r>
            <w:r>
              <w:fldChar w:fldCharType="separate"/>
            </w:r>
            <w:r w:rsidR="00B96A78" w:rsidRPr="00B96A78">
              <w:rPr>
                <w:noProof/>
              </w:rPr>
              <w:t>[212]</w:t>
            </w:r>
            <w:r>
              <w:fldChar w:fldCharType="end"/>
            </w:r>
          </w:p>
        </w:tc>
        <w:tc>
          <w:tcPr>
            <w:tcW w:w="425" w:type="pct"/>
          </w:tcPr>
          <w:p w14:paraId="26E696AA" w14:textId="77777777" w:rsidR="00D43393" w:rsidRPr="008F721B" w:rsidRDefault="00D43393" w:rsidP="002D3EBF">
            <w:pPr>
              <w:jc w:val="center"/>
            </w:pPr>
            <w:r w:rsidRPr="008F721B">
              <w:t>51</w:t>
            </w:r>
          </w:p>
        </w:tc>
        <w:tc>
          <w:tcPr>
            <w:tcW w:w="490" w:type="pct"/>
          </w:tcPr>
          <w:p w14:paraId="772EBEDD" w14:textId="77777777" w:rsidR="00D43393" w:rsidRPr="008F721B" w:rsidRDefault="00D43393" w:rsidP="002D3EBF">
            <w:pPr>
              <w:jc w:val="center"/>
            </w:pPr>
            <w:r w:rsidRPr="008F721B">
              <w:t>36</w:t>
            </w:r>
          </w:p>
        </w:tc>
        <w:tc>
          <w:tcPr>
            <w:tcW w:w="609" w:type="pct"/>
          </w:tcPr>
          <w:p w14:paraId="575D0C96" w14:textId="77777777" w:rsidR="00D43393" w:rsidRPr="008F721B" w:rsidRDefault="00D43393" w:rsidP="002D3EBF">
            <w:pPr>
              <w:jc w:val="center"/>
            </w:pPr>
            <w:r w:rsidRPr="008F721B">
              <w:t>13</w:t>
            </w:r>
          </w:p>
        </w:tc>
        <w:tc>
          <w:tcPr>
            <w:tcW w:w="687" w:type="pct"/>
          </w:tcPr>
          <w:p w14:paraId="27B8AA57" w14:textId="77777777" w:rsidR="00D43393" w:rsidRPr="008F721B" w:rsidRDefault="00D43393" w:rsidP="002D3EBF">
            <w:pPr>
              <w:jc w:val="center"/>
            </w:pPr>
            <w:r w:rsidRPr="008F721B">
              <w:t>н/д</w:t>
            </w:r>
          </w:p>
        </w:tc>
        <w:tc>
          <w:tcPr>
            <w:tcW w:w="456" w:type="pct"/>
          </w:tcPr>
          <w:p w14:paraId="726B88E5" w14:textId="77777777" w:rsidR="00D43393" w:rsidRPr="008F721B" w:rsidRDefault="00D43393" w:rsidP="002D3EBF">
            <w:pPr>
              <w:jc w:val="center"/>
            </w:pPr>
            <w:r w:rsidRPr="008F721B">
              <w:t>н/д</w:t>
            </w:r>
          </w:p>
        </w:tc>
        <w:tc>
          <w:tcPr>
            <w:tcW w:w="515" w:type="pct"/>
          </w:tcPr>
          <w:p w14:paraId="226FA95C" w14:textId="77777777" w:rsidR="00D43393" w:rsidRPr="008F721B" w:rsidRDefault="00D43393" w:rsidP="002D3EBF">
            <w:pPr>
              <w:jc w:val="center"/>
            </w:pPr>
            <w:r w:rsidRPr="008F721B">
              <w:t>н/д</w:t>
            </w:r>
          </w:p>
        </w:tc>
        <w:tc>
          <w:tcPr>
            <w:tcW w:w="536" w:type="pct"/>
          </w:tcPr>
          <w:p w14:paraId="30C1051D" w14:textId="77777777" w:rsidR="00D43393" w:rsidRPr="008F721B" w:rsidRDefault="00D43393" w:rsidP="002D3EBF">
            <w:pPr>
              <w:jc w:val="center"/>
            </w:pPr>
            <w:r w:rsidRPr="008F721B">
              <w:t>н/д</w:t>
            </w:r>
          </w:p>
        </w:tc>
      </w:tr>
      <w:tr w:rsidR="00D43393" w:rsidRPr="008F721B" w14:paraId="40BC79D0" w14:textId="77777777" w:rsidTr="002D3EBF">
        <w:trPr>
          <w:trHeight w:val="822"/>
        </w:trPr>
        <w:tc>
          <w:tcPr>
            <w:tcW w:w="1279" w:type="pct"/>
          </w:tcPr>
          <w:p w14:paraId="01ED2113" w14:textId="1E22E959" w:rsidR="00D43393" w:rsidRPr="008F721B" w:rsidRDefault="00D43393" w:rsidP="002D3EBF">
            <w:r w:rsidRPr="008F721B">
              <w:rPr>
                <w:iCs/>
              </w:rPr>
              <w:t xml:space="preserve">Evison K. </w:t>
            </w:r>
            <w:r w:rsidRPr="008F721B">
              <w:t>и соавт.</w:t>
            </w:r>
            <w:r>
              <w:rPr>
                <w:lang w:val="en-US"/>
              </w:rPr>
              <w:t xml:space="preserve">, 2001 </w:t>
            </w:r>
            <w:r>
              <w:rPr>
                <w:lang w:val="en-US"/>
              </w:rPr>
              <w:fldChar w:fldCharType="begin" w:fldLock="1"/>
            </w:r>
            <w:r w:rsidR="006E1ADA">
              <w:rPr>
                <w:lang w:val="en-US"/>
              </w:rPr>
              <w:instrText>ADDIN CSL_CITATION {"citationItems":[{"id":"ITEM-1","itemData":{"author":[{"dropping-particle":"","family":"Evison","given":"J M","non-dropping-particle":"","parse-names":false,"suffix":""},{"dropping-particle":"","family":"Rickenbacher","given":"P","non-dropping-particle":"","parse-names":false,"suffix":""},{"dropping-particle":"","family":"Ritz","given":"R","non-dropping-particle":"","parse-names":false,"suffix":""},{"dropping-particle":"","family":"Gratwohl","given":"A","non-dropping-particle":"","parse-names":false,"suffix":""},{"dropping-particle":"","family":"Haberthür","given":"Ch","non-dropping-particle":"","parse-names":false,"suffix":""},{"dropping-particle":"","family":"Elsasser","given":"S","non-dropping-particle":"","parse-names":false,"suffix":""},{"dropping-particle":"","family":"Passweg","given":"J R","non-dropping-particle":"","parse-names":false,"suffix":""}],"id":"ITEM-1","issued":{"date-parts":[["2001"]]},"title":"Intensive care unit admission in patients with haematological disease: incidence, outcome and prognostic factors","type":"report"},"uris":["http://www.mendeley.com/documents/?uuid=8277399e-d82b-32b3-af97-33e3d2b5e10b"]}],"mendeley":{"formattedCitation":"[213]","plainTextFormattedCitation":"[213]","previouslyFormattedCitation":"[213]"},"properties":{"noteIndex":0},"schema":"https://github.com/citation-style-language/schema/raw/master/csl-citation.json"}</w:instrText>
            </w:r>
            <w:r>
              <w:rPr>
                <w:lang w:val="en-US"/>
              </w:rPr>
              <w:fldChar w:fldCharType="separate"/>
            </w:r>
            <w:r w:rsidR="00B96A78" w:rsidRPr="00B96A78">
              <w:rPr>
                <w:noProof/>
                <w:lang w:val="en-US"/>
              </w:rPr>
              <w:t>[213]</w:t>
            </w:r>
            <w:r>
              <w:rPr>
                <w:lang w:val="en-US"/>
              </w:rPr>
              <w:fldChar w:fldCharType="end"/>
            </w:r>
            <w:r w:rsidRPr="008F721B">
              <w:t xml:space="preserve"> </w:t>
            </w:r>
          </w:p>
        </w:tc>
        <w:tc>
          <w:tcPr>
            <w:tcW w:w="425" w:type="pct"/>
          </w:tcPr>
          <w:p w14:paraId="011A9479" w14:textId="77777777" w:rsidR="00D43393" w:rsidRPr="008F721B" w:rsidRDefault="00D43393" w:rsidP="002D3EBF">
            <w:pPr>
              <w:jc w:val="center"/>
            </w:pPr>
            <w:r w:rsidRPr="008F721B">
              <w:t>31</w:t>
            </w:r>
          </w:p>
        </w:tc>
        <w:tc>
          <w:tcPr>
            <w:tcW w:w="490" w:type="pct"/>
          </w:tcPr>
          <w:p w14:paraId="73BE8CC5" w14:textId="77777777" w:rsidR="00D43393" w:rsidRPr="008F721B" w:rsidRDefault="00D43393" w:rsidP="002D3EBF">
            <w:pPr>
              <w:jc w:val="center"/>
            </w:pPr>
            <w:r w:rsidRPr="008F721B">
              <w:t>19</w:t>
            </w:r>
          </w:p>
        </w:tc>
        <w:tc>
          <w:tcPr>
            <w:tcW w:w="609" w:type="pct"/>
          </w:tcPr>
          <w:p w14:paraId="702B55D9" w14:textId="77777777" w:rsidR="00D43393" w:rsidRPr="008F721B" w:rsidRDefault="00D43393" w:rsidP="002D3EBF">
            <w:pPr>
              <w:jc w:val="center"/>
            </w:pPr>
            <w:r w:rsidRPr="008F721B">
              <w:t>8</w:t>
            </w:r>
          </w:p>
        </w:tc>
        <w:tc>
          <w:tcPr>
            <w:tcW w:w="687" w:type="pct"/>
          </w:tcPr>
          <w:p w14:paraId="49894F68" w14:textId="77777777" w:rsidR="00D43393" w:rsidRPr="008F721B" w:rsidRDefault="00D43393" w:rsidP="002D3EBF">
            <w:pPr>
              <w:jc w:val="center"/>
            </w:pPr>
            <w:r w:rsidRPr="008F721B">
              <w:t>10</w:t>
            </w:r>
          </w:p>
        </w:tc>
        <w:tc>
          <w:tcPr>
            <w:tcW w:w="456" w:type="pct"/>
          </w:tcPr>
          <w:p w14:paraId="33B82013" w14:textId="77777777" w:rsidR="00D43393" w:rsidRPr="008F721B" w:rsidRDefault="00D43393" w:rsidP="002D3EBF">
            <w:pPr>
              <w:jc w:val="center"/>
            </w:pPr>
            <w:r w:rsidRPr="008F721B">
              <w:t>н/д</w:t>
            </w:r>
          </w:p>
        </w:tc>
        <w:tc>
          <w:tcPr>
            <w:tcW w:w="515" w:type="pct"/>
          </w:tcPr>
          <w:p w14:paraId="39B343D5" w14:textId="77777777" w:rsidR="00D43393" w:rsidRPr="008F721B" w:rsidRDefault="00D43393" w:rsidP="002D3EBF">
            <w:pPr>
              <w:jc w:val="center"/>
            </w:pPr>
            <w:r w:rsidRPr="008F721B">
              <w:t>1</w:t>
            </w:r>
          </w:p>
        </w:tc>
        <w:tc>
          <w:tcPr>
            <w:tcW w:w="536" w:type="pct"/>
          </w:tcPr>
          <w:p w14:paraId="2D3E0E6F" w14:textId="77777777" w:rsidR="00D43393" w:rsidRPr="008F721B" w:rsidRDefault="00D43393" w:rsidP="002D3EBF">
            <w:pPr>
              <w:jc w:val="center"/>
            </w:pPr>
            <w:r w:rsidRPr="008F721B">
              <w:t>31</w:t>
            </w:r>
          </w:p>
        </w:tc>
      </w:tr>
      <w:tr w:rsidR="00D43393" w:rsidRPr="008F721B" w14:paraId="7C3E0CAC" w14:textId="77777777" w:rsidTr="002D3EBF">
        <w:trPr>
          <w:trHeight w:val="822"/>
        </w:trPr>
        <w:tc>
          <w:tcPr>
            <w:tcW w:w="1279" w:type="pct"/>
          </w:tcPr>
          <w:p w14:paraId="1999F0F7" w14:textId="1E7DB372" w:rsidR="00D43393" w:rsidRPr="008F721B" w:rsidRDefault="00D43393" w:rsidP="002D3EBF">
            <w:r w:rsidRPr="008F721B">
              <w:t>Silfvast D. и соавт.</w:t>
            </w:r>
            <w:r>
              <w:t>,</w:t>
            </w:r>
            <w:r>
              <w:rPr>
                <w:lang w:val="en-US"/>
              </w:rPr>
              <w:t xml:space="preserve"> 2003 </w:t>
            </w:r>
            <w:r>
              <w:rPr>
                <w:lang w:val="en-US"/>
              </w:rPr>
              <w:fldChar w:fldCharType="begin" w:fldLock="1"/>
            </w:r>
            <w:r w:rsidR="006E1ADA">
              <w:rPr>
                <w:lang w:val="en-US"/>
              </w:rPr>
              <w:instrText>ADDIN CSL_CITATION {"citationItems":[{"id":"ITEM-1","itemData":{"DOI":"10.1034/j.1399-6576.2003.00058.x","ISSN":"00015172","PMID":"12648196","abstract":"Background: The number of failing organs systems in ICU patients with haematological malignancy is associated with outcome. The objective of this study was to assess short and long-term survival in these patients with special reference to multiple organ failure reflected by the SOFA (Sequential Organ Failure Assessment) score. Methods: Retrospective chart review of haematological patients admitted to the 10-bed intensive care unit (ICU) of a tertiary level academic teaching hospital from 1994 to 1998. Of 31 admitted patients with the diagnosis of haematological malignancy, the charts of 30 were available for analysis. Results: Univariate logistic regression analysis of factors previously shown to influence survival revealed that only admission SOFA score and untreated status of haematological disease were significantly associated with survival (P &lt; 0.05). ICU, 3-month and one-year survival rates were 57% (17/30), 23% (7/30) and 20% (6/30), respectively. If maximal SOFA score during the ICU stay was included in a multivariate model comprising treatment status and effect, admission day SOFA and APACHE II scores, mechanical ventilation, renal replacement therapy and neutropenia, the maximal SOFA score became the only independent variable. All patients with an admission SOFA score exceeding 11 died in hospital. Leave-one-out method revealed that admission SOFA scores and the status of haematological disease (untreated or not) correctly classified 83% (25 of 30) of patients to survivors or non-survivors. Conclusions: Multiple organ failure assessed as SOFA score on admission and status of disease were associated with outcome in critically ill patients with haematological malignancy. © Acta Anaesthesiologica Scandinavica.","author":[{"dropping-particle":"","family":"Silfvast","given":"Tom","non-dropping-particle":"","parse-names":false,"suffix":""},{"dropping-particle":"","family":"Pettilä","given":"V.","non-dropping-particle":"","parse-names":false,"suffix":""},{"dropping-particle":"","family":"Ihalainen","given":"A.","non-dropping-particle":"","parse-names":false,"suffix":""},{"dropping-particle":"","family":"Elonen","given":"E.","non-dropping-particle":"","parse-names":false,"suffix":""}],"container-title":"Acta Anaesthesiologica Scandinavica","id":"ITEM-1","issue":"3","issued":{"date-parts":[["2003","3"]]},"page":"301-306","publisher":"Acta Anaesthesiol Scand","title":"Multiple organ failure and outcome of critically ill patients with haematological malignancy","type":"article-journal","volume":"47"},"uris":["http://www.mendeley.com/documents/?uuid=5fc24cc0-6c9a-3083-a5f5-1a250846badc"]}],"mendeley":{"formattedCitation":"[214]","plainTextFormattedCitation":"[214]","previouslyFormattedCitation":"[214]"},"properties":{"noteIndex":0},"schema":"https://github.com/citation-style-language/schema/raw/master/csl-citation.json"}</w:instrText>
            </w:r>
            <w:r>
              <w:rPr>
                <w:lang w:val="en-US"/>
              </w:rPr>
              <w:fldChar w:fldCharType="separate"/>
            </w:r>
            <w:r w:rsidR="00B96A78" w:rsidRPr="00B96A78">
              <w:rPr>
                <w:noProof/>
                <w:lang w:val="en-US"/>
              </w:rPr>
              <w:t>[214]</w:t>
            </w:r>
            <w:r>
              <w:rPr>
                <w:lang w:val="en-US"/>
              </w:rPr>
              <w:fldChar w:fldCharType="end"/>
            </w:r>
            <w:r w:rsidRPr="008F721B">
              <w:t xml:space="preserve"> </w:t>
            </w:r>
          </w:p>
        </w:tc>
        <w:tc>
          <w:tcPr>
            <w:tcW w:w="425" w:type="pct"/>
          </w:tcPr>
          <w:p w14:paraId="41BDE363" w14:textId="77777777" w:rsidR="00D43393" w:rsidRPr="008F721B" w:rsidRDefault="00D43393" w:rsidP="002D3EBF">
            <w:pPr>
              <w:jc w:val="center"/>
            </w:pPr>
            <w:r w:rsidRPr="008F721B">
              <w:t>50</w:t>
            </w:r>
          </w:p>
        </w:tc>
        <w:tc>
          <w:tcPr>
            <w:tcW w:w="490" w:type="pct"/>
          </w:tcPr>
          <w:p w14:paraId="2CC91486" w14:textId="77777777" w:rsidR="00D43393" w:rsidRPr="008F721B" w:rsidRDefault="00D43393" w:rsidP="002D3EBF">
            <w:pPr>
              <w:jc w:val="center"/>
            </w:pPr>
            <w:r w:rsidRPr="008F721B">
              <w:t>23</w:t>
            </w:r>
          </w:p>
        </w:tc>
        <w:tc>
          <w:tcPr>
            <w:tcW w:w="609" w:type="pct"/>
          </w:tcPr>
          <w:p w14:paraId="39251E10" w14:textId="77777777" w:rsidR="00D43393" w:rsidRPr="008F721B" w:rsidRDefault="00D43393" w:rsidP="002D3EBF">
            <w:pPr>
              <w:jc w:val="center"/>
            </w:pPr>
            <w:r w:rsidRPr="008F721B">
              <w:t>10</w:t>
            </w:r>
          </w:p>
        </w:tc>
        <w:tc>
          <w:tcPr>
            <w:tcW w:w="687" w:type="pct"/>
          </w:tcPr>
          <w:p w14:paraId="5FFF2D4B" w14:textId="77777777" w:rsidR="00D43393" w:rsidRPr="008F721B" w:rsidRDefault="00D43393" w:rsidP="002D3EBF">
            <w:pPr>
              <w:jc w:val="center"/>
            </w:pPr>
            <w:r w:rsidRPr="008F721B">
              <w:t>10</w:t>
            </w:r>
          </w:p>
        </w:tc>
        <w:tc>
          <w:tcPr>
            <w:tcW w:w="456" w:type="pct"/>
          </w:tcPr>
          <w:p w14:paraId="5B797C26" w14:textId="77777777" w:rsidR="00D43393" w:rsidRPr="008F721B" w:rsidRDefault="00D43393" w:rsidP="002D3EBF">
            <w:pPr>
              <w:jc w:val="center"/>
            </w:pPr>
            <w:r w:rsidRPr="008F721B">
              <w:t>н/д</w:t>
            </w:r>
          </w:p>
        </w:tc>
        <w:tc>
          <w:tcPr>
            <w:tcW w:w="515" w:type="pct"/>
          </w:tcPr>
          <w:p w14:paraId="5E9C98D7" w14:textId="77777777" w:rsidR="00D43393" w:rsidRPr="008F721B" w:rsidRDefault="00D43393" w:rsidP="002D3EBF">
            <w:pPr>
              <w:jc w:val="center"/>
            </w:pPr>
            <w:r w:rsidRPr="008F721B">
              <w:t>н/д</w:t>
            </w:r>
          </w:p>
        </w:tc>
        <w:tc>
          <w:tcPr>
            <w:tcW w:w="536" w:type="pct"/>
          </w:tcPr>
          <w:p w14:paraId="38A0648B" w14:textId="77777777" w:rsidR="00D43393" w:rsidRPr="008F721B" w:rsidRDefault="00D43393" w:rsidP="002D3EBF">
            <w:pPr>
              <w:jc w:val="center"/>
            </w:pPr>
            <w:r w:rsidRPr="008F721B">
              <w:t>7</w:t>
            </w:r>
          </w:p>
        </w:tc>
      </w:tr>
      <w:tr w:rsidR="00D43393" w:rsidRPr="008F721B" w14:paraId="06CD312C" w14:textId="77777777" w:rsidTr="002D3EBF">
        <w:trPr>
          <w:trHeight w:val="802"/>
        </w:trPr>
        <w:tc>
          <w:tcPr>
            <w:tcW w:w="1279" w:type="pct"/>
          </w:tcPr>
          <w:p w14:paraId="73791D10" w14:textId="1A99CF02" w:rsidR="00D43393" w:rsidRPr="008F721B" w:rsidRDefault="00D43393" w:rsidP="002D3EBF">
            <w:r w:rsidRPr="008F721B">
              <w:t>Benoit F. и соавт.</w:t>
            </w:r>
            <w:r>
              <w:rPr>
                <w:lang w:val="en-US"/>
              </w:rPr>
              <w:t xml:space="preserve">, 2003 </w:t>
            </w:r>
            <w:r>
              <w:rPr>
                <w:lang w:val="en-US"/>
              </w:rPr>
              <w:fldChar w:fldCharType="begin" w:fldLock="1"/>
            </w:r>
            <w:r w:rsidR="006E1ADA">
              <w:rPr>
                <w:lang w:val="en-US"/>
              </w:rPr>
              <w:instrText>ADDIN CSL_CITATION {"citationItems":[{"id":"ITEM-1","itemData":{"DOI":"10.1097/00003246-200301000-00017","ISSN":"00903493","PMID":"12545002","abstract":"Objectives: To assess the outcome and to identify early prognostic indicators in a global population of patients with hematologic malignancy admitted to the intensive care unit for a life-threatening complication. Design: Retrospective observational study. Setting: Medical intensive care unit at a tertiary university hospital. Patients: A total of 124 consecutive critically ill patients with a hematologic malignancy admitted to the intensive care unit during a 3.5-yr period. Measurements: We collected variables at admission and during admission and identified predictors of in-hospital mortality by stepwise logistic regression analysis. Main Results: Mean Acute Physiology and Chronic Health Evaluation II score was 26 ± 7.7. Sixty-one percent had a high-grade malignancy, and 27% had active disease. Thirty-five percent were leukopenic (leukocyte count, &lt;1.0 × 109/L) at admission. Respiratory failure (48%), sepsis (18.5%), and neurologic impairment (17%) were the major reasons for admission at the intensive care unit. Seventy-one percent of the patients required ventilatory support for a median duration of 6 (3-17) days, 46% received vasopressors at admission, and 26.6% needed renal replacement therapy during their intensive care unit stay. A recent bacteremia precipitating intensive care unit admission was found in 21.8% of the patients. Crude intensive care unit, in-hospital, and 6-month mortality rates were 42%, 54%, and 66%, respectively. Four variables were independently associated with outcome in a multivariate logistic regression analysis: leukopenia (odds ratio, 2.9; 95% confidence interval, 1.1-7.7), vasopressors (odds ratio, 3.74; 95% confidence interval, 1.4-9.8), and urea of &gt;0.75 g/L (&gt;12 mmol/L) (odds ratio, 9.4; 95% confidence interval, 4.2-26) at admission were associated with poor outcome, whereas recent bacteremia (odds ratio, 0.17; 95% confidence interval, 0.05-0.58) was associated with better prognosis. Using these variables, we arbitrarily categorized our population into three groups for survival analysis: a low-risk group (low urea with or without either leukopenia or vasopressors, n = 60), an intermediate-risk group (high urea or a combination of leukopenia and vasopressors, n = 34), and a high-risk group (high urea in combination with leukopenia or vasopressors, n = 27). Patients with a bacteremia prompting intensive care unit admission were allocated to a one-step-lower risk group. Survival probabilities at 30 days and 6 months were…","author":[{"dropping-particle":"","family":"Benoit","given":"Dominique D.","non-dropping-particle":"","parse-names":false,"suffix":""},{"dropping-particle":"","family":"Vandewoude","given":"Koenraad H.","non-dropping-particle":"","parse-names":false,"suffix":""},{"dropping-particle":"","family":"Decruyenaere","given":"Johan M.","non-dropping-particle":"","parse-names":false,"suffix":""},{"dropping-particle":"","family":"Hoste","given":"Eric A.","non-dropping-particle":"","parse-names":false,"suffix":""},{"dropping-particle":"","family":"Colardyn","given":"Francis A.","non-dropping-particle":"","parse-names":false,"suffix":""}],"container-title":"Critical Care Medicine","id":"ITEM-1","issue":"1","issued":{"date-parts":[["2003","1","1"]]},"page":"104-112","publisher":"Crit Care Med","title":"Outcome and early prognostic indicators in patients with a hematologic malignancy admitted to the intensive care unit for a life-threatening complication","type":"article-journal","volume":"31"},"uris":["http://www.mendeley.com/documents/?uuid=77f24265-1122-3e43-a99f-99e5c497051b"]}],"mendeley":{"formattedCitation":"[215]","plainTextFormattedCitation":"[215]","previouslyFormattedCitation":"[215]"},"properties":{"noteIndex":0},"schema":"https://github.com/citation-style-language/schema/raw/master/csl-citation.json"}</w:instrText>
            </w:r>
            <w:r>
              <w:rPr>
                <w:lang w:val="en-US"/>
              </w:rPr>
              <w:fldChar w:fldCharType="separate"/>
            </w:r>
            <w:r w:rsidR="00B96A78" w:rsidRPr="00B96A78">
              <w:rPr>
                <w:noProof/>
                <w:lang w:val="en-US"/>
              </w:rPr>
              <w:t>[215]</w:t>
            </w:r>
            <w:r>
              <w:rPr>
                <w:lang w:val="en-US"/>
              </w:rPr>
              <w:fldChar w:fldCharType="end"/>
            </w:r>
            <w:r w:rsidRPr="008F721B">
              <w:t xml:space="preserve"> </w:t>
            </w:r>
          </w:p>
        </w:tc>
        <w:tc>
          <w:tcPr>
            <w:tcW w:w="425" w:type="pct"/>
          </w:tcPr>
          <w:p w14:paraId="085CF550" w14:textId="77777777" w:rsidR="00D43393" w:rsidRPr="008F721B" w:rsidRDefault="00D43393" w:rsidP="002D3EBF">
            <w:pPr>
              <w:jc w:val="center"/>
            </w:pPr>
            <w:r w:rsidRPr="008F721B">
              <w:t>39,5</w:t>
            </w:r>
          </w:p>
        </w:tc>
        <w:tc>
          <w:tcPr>
            <w:tcW w:w="490" w:type="pct"/>
          </w:tcPr>
          <w:p w14:paraId="713BB355" w14:textId="77777777" w:rsidR="00D43393" w:rsidRPr="008F721B" w:rsidRDefault="00D43393" w:rsidP="002D3EBF">
            <w:pPr>
              <w:jc w:val="center"/>
            </w:pPr>
            <w:r w:rsidRPr="008F721B">
              <w:t>18,5</w:t>
            </w:r>
          </w:p>
        </w:tc>
        <w:tc>
          <w:tcPr>
            <w:tcW w:w="609" w:type="pct"/>
          </w:tcPr>
          <w:p w14:paraId="1A5BC9B4" w14:textId="77777777" w:rsidR="00D43393" w:rsidRPr="008F721B" w:rsidRDefault="00D43393" w:rsidP="002D3EBF">
            <w:pPr>
              <w:jc w:val="center"/>
            </w:pPr>
            <w:r w:rsidRPr="008F721B">
              <w:t>17</w:t>
            </w:r>
          </w:p>
        </w:tc>
        <w:tc>
          <w:tcPr>
            <w:tcW w:w="687" w:type="pct"/>
          </w:tcPr>
          <w:p w14:paraId="4E55C1C0" w14:textId="77777777" w:rsidR="00D43393" w:rsidRPr="008F721B" w:rsidRDefault="00D43393" w:rsidP="002D3EBF">
            <w:pPr>
              <w:jc w:val="center"/>
            </w:pPr>
            <w:r w:rsidRPr="008F721B">
              <w:t>13</w:t>
            </w:r>
          </w:p>
        </w:tc>
        <w:tc>
          <w:tcPr>
            <w:tcW w:w="456" w:type="pct"/>
          </w:tcPr>
          <w:p w14:paraId="4AF6C7E7" w14:textId="77777777" w:rsidR="00D43393" w:rsidRPr="008F721B" w:rsidRDefault="00D43393" w:rsidP="002D3EBF">
            <w:pPr>
              <w:jc w:val="center"/>
            </w:pPr>
            <w:r w:rsidRPr="008F721B">
              <w:t>н/д</w:t>
            </w:r>
          </w:p>
        </w:tc>
        <w:tc>
          <w:tcPr>
            <w:tcW w:w="515" w:type="pct"/>
          </w:tcPr>
          <w:p w14:paraId="785FCAFF" w14:textId="77777777" w:rsidR="00D43393" w:rsidRPr="008F721B" w:rsidRDefault="00D43393" w:rsidP="002D3EBF">
            <w:pPr>
              <w:jc w:val="center"/>
            </w:pPr>
            <w:r w:rsidRPr="008F721B">
              <w:t>2</w:t>
            </w:r>
          </w:p>
        </w:tc>
        <w:tc>
          <w:tcPr>
            <w:tcW w:w="536" w:type="pct"/>
          </w:tcPr>
          <w:p w14:paraId="0DFB8FED" w14:textId="77777777" w:rsidR="00D43393" w:rsidRPr="008F721B" w:rsidRDefault="00D43393" w:rsidP="002D3EBF">
            <w:pPr>
              <w:jc w:val="center"/>
            </w:pPr>
            <w:r w:rsidRPr="008F721B">
              <w:t>10</w:t>
            </w:r>
          </w:p>
        </w:tc>
      </w:tr>
      <w:tr w:rsidR="00D43393" w:rsidRPr="008F721B" w14:paraId="10F91A2F" w14:textId="77777777" w:rsidTr="002D3EBF">
        <w:trPr>
          <w:trHeight w:val="822"/>
        </w:trPr>
        <w:tc>
          <w:tcPr>
            <w:tcW w:w="1279" w:type="pct"/>
          </w:tcPr>
          <w:p w14:paraId="08E40FB2" w14:textId="487C6C3B" w:rsidR="00D43393" w:rsidRPr="008F721B" w:rsidRDefault="00D43393" w:rsidP="002D3EBF">
            <w:r w:rsidRPr="008F721B">
              <w:t xml:space="preserve"> Schellongowski P. и соавт.</w:t>
            </w:r>
            <w:r>
              <w:rPr>
                <w:lang w:val="en-US"/>
              </w:rPr>
              <w:t xml:space="preserve">, 2011 </w:t>
            </w:r>
            <w:r>
              <w:rPr>
                <w:lang w:val="en-US"/>
              </w:rPr>
              <w:fldChar w:fldCharType="begin" w:fldLock="1"/>
            </w:r>
            <w:r w:rsidR="006E1ADA">
              <w:rPr>
                <w:lang w:val="en-US"/>
              </w:rPr>
              <w:instrText>ADDIN CSL_CITATION {"citationItems":[{"id":"ITEM-1","itemData":{"DOI":"10.3324/haematol.2010.031583","ISBN":"1592-8721","ISSN":"03906078","PMID":"21071501","abstract":"Acute myeloid leukemia is a life-threatening disease associated with high mortality rates. A substantial number of patients require intensive care. This investigation analyzes risk factors predicting admission to the intensive care unit in patients with acute myeloid leukemia eligible for induction chemotherapy, the outcome of these patients, and prognostic factors predicting their survival.","author":[{"dropping-particle":"","family":"Schellongowski","given":"Peter","non-dropping-particle":"","parse-names":false,"suffix":""},{"dropping-particle":"","family":"Staudinger","given":"Thomas","non-dropping-particle":"","parse-names":false,"suffix":""},{"dropping-particle":"","family":"Kundi","given":"Michael","non-dropping-particle":"","parse-names":false,"suffix":""},{"dropping-particle":"","family":"Laczika","given":"Klaus","non-dropping-particle":"","parse-names":false,"suffix":""},{"dropping-particle":"","family":"Locker","given":"Gottfried J.","non-dropping-particle":"","parse-names":false,"suffix":""},{"dropping-particle":"","family":"Bojic","given":"Andja","non-dropping-particle":"","parse-names":false,"suffix":""},{"dropping-particle":"","family":"Robak","given":"Oliver","non-dropping-particle":"","parse-names":false,"suffix":""},{"dropping-particle":"","family":"Fuhrmann","given":"Valentin","non-dropping-particle":"","parse-names":false,"suffix":""},{"dropping-particle":"","family":"Jäger","given":"Ulrich","non-dropping-particle":"","parse-names":false,"suffix":""},{"dropping-particle":"","family":"Valent","given":"Peter","non-dropping-particle":"","parse-names":false,"suffix":""},{"dropping-particle":"","family":"Sperr","given":"Wolfgang R.","non-dropping-particle":"","parse-names":false,"suffix":""}],"container-title":"Haematologica","id":"ITEM-1","issue":"2","issued":{"date-parts":[["2011","2"]]},"page":"231-237","title":"Prognostic factors for intensive care unit admission, intensive care outcome, and post-intensive care survival in patients with de novo acute myeloid leukemia: a single center experience","type":"article-journal","volume":"96"},"uris":["http://www.mendeley.com/documents/?uuid=7251567b-1fba-40bf-b96a-3bcd8583314e"]}],"mendeley":{"formattedCitation":"[216]","plainTextFormattedCitation":"[216]","previouslyFormattedCitation":"[216]"},"properties":{"noteIndex":0},"schema":"https://github.com/citation-style-language/schema/raw/master/csl-citation.json"}</w:instrText>
            </w:r>
            <w:r>
              <w:rPr>
                <w:lang w:val="en-US"/>
              </w:rPr>
              <w:fldChar w:fldCharType="separate"/>
            </w:r>
            <w:r w:rsidR="00B96A78" w:rsidRPr="00B96A78">
              <w:rPr>
                <w:noProof/>
                <w:lang w:val="en-US"/>
              </w:rPr>
              <w:t>[216]</w:t>
            </w:r>
            <w:r>
              <w:rPr>
                <w:lang w:val="en-US"/>
              </w:rPr>
              <w:fldChar w:fldCharType="end"/>
            </w:r>
            <w:r w:rsidRPr="008F721B">
              <w:t xml:space="preserve"> </w:t>
            </w:r>
          </w:p>
        </w:tc>
        <w:tc>
          <w:tcPr>
            <w:tcW w:w="425" w:type="pct"/>
          </w:tcPr>
          <w:p w14:paraId="303AE7AC" w14:textId="77777777" w:rsidR="00D43393" w:rsidRPr="008F721B" w:rsidRDefault="00D43393" w:rsidP="002D3EBF">
            <w:pPr>
              <w:jc w:val="center"/>
            </w:pPr>
            <w:r w:rsidRPr="008F721B">
              <w:t>50</w:t>
            </w:r>
          </w:p>
        </w:tc>
        <w:tc>
          <w:tcPr>
            <w:tcW w:w="490" w:type="pct"/>
          </w:tcPr>
          <w:p w14:paraId="5ED67A50" w14:textId="77777777" w:rsidR="00D43393" w:rsidRPr="008F721B" w:rsidRDefault="00D43393" w:rsidP="002D3EBF">
            <w:pPr>
              <w:jc w:val="center"/>
            </w:pPr>
            <w:r w:rsidRPr="008F721B">
              <w:t>8</w:t>
            </w:r>
          </w:p>
        </w:tc>
        <w:tc>
          <w:tcPr>
            <w:tcW w:w="609" w:type="pct"/>
          </w:tcPr>
          <w:p w14:paraId="651F3E2E" w14:textId="77777777" w:rsidR="00D43393" w:rsidRPr="008F721B" w:rsidRDefault="00D43393" w:rsidP="002D3EBF">
            <w:pPr>
              <w:jc w:val="center"/>
            </w:pPr>
            <w:r w:rsidRPr="008F721B">
              <w:t>н/д</w:t>
            </w:r>
          </w:p>
        </w:tc>
        <w:tc>
          <w:tcPr>
            <w:tcW w:w="687" w:type="pct"/>
          </w:tcPr>
          <w:p w14:paraId="7AA152DC" w14:textId="77777777" w:rsidR="00D43393" w:rsidRPr="008F721B" w:rsidRDefault="00D43393" w:rsidP="002D3EBF">
            <w:pPr>
              <w:jc w:val="center"/>
            </w:pPr>
            <w:r w:rsidRPr="008F721B">
              <w:t>3,2</w:t>
            </w:r>
          </w:p>
        </w:tc>
        <w:tc>
          <w:tcPr>
            <w:tcW w:w="456" w:type="pct"/>
          </w:tcPr>
          <w:p w14:paraId="19F4AE32" w14:textId="77777777" w:rsidR="00D43393" w:rsidRPr="008F721B" w:rsidRDefault="00D43393" w:rsidP="002D3EBF">
            <w:pPr>
              <w:jc w:val="center"/>
            </w:pPr>
            <w:r w:rsidRPr="008F721B">
              <w:t>3,2</w:t>
            </w:r>
          </w:p>
        </w:tc>
        <w:tc>
          <w:tcPr>
            <w:tcW w:w="515" w:type="pct"/>
          </w:tcPr>
          <w:p w14:paraId="5ACB79C5" w14:textId="77777777" w:rsidR="00D43393" w:rsidRPr="008F721B" w:rsidRDefault="00D43393" w:rsidP="002D3EBF">
            <w:pPr>
              <w:jc w:val="center"/>
            </w:pPr>
            <w:r w:rsidRPr="008F721B">
              <w:t>22</w:t>
            </w:r>
          </w:p>
        </w:tc>
        <w:tc>
          <w:tcPr>
            <w:tcW w:w="536" w:type="pct"/>
          </w:tcPr>
          <w:p w14:paraId="4B0B70F4" w14:textId="77777777" w:rsidR="00D43393" w:rsidRPr="008F721B" w:rsidRDefault="00D43393" w:rsidP="002D3EBF">
            <w:pPr>
              <w:jc w:val="center"/>
            </w:pPr>
            <w:r w:rsidRPr="008F721B">
              <w:t>н/д</w:t>
            </w:r>
          </w:p>
        </w:tc>
      </w:tr>
      <w:tr w:rsidR="00D43393" w:rsidRPr="008F721B" w14:paraId="28B3D04A" w14:textId="77777777" w:rsidTr="002D3EBF">
        <w:trPr>
          <w:trHeight w:val="822"/>
        </w:trPr>
        <w:tc>
          <w:tcPr>
            <w:tcW w:w="1279" w:type="pct"/>
          </w:tcPr>
          <w:p w14:paraId="3F6E32E0" w14:textId="2EF0449D" w:rsidR="00D43393" w:rsidRPr="008F721B" w:rsidRDefault="00D43393" w:rsidP="002D3EBF">
            <w:r w:rsidRPr="008F721B">
              <w:t>Grgić M. и соавт.</w:t>
            </w:r>
            <w:r>
              <w:rPr>
                <w:lang w:val="en-US"/>
              </w:rPr>
              <w:t xml:space="preserve">, 2014 </w:t>
            </w:r>
            <w:r>
              <w:rPr>
                <w:lang w:val="en-US"/>
              </w:rPr>
              <w:fldChar w:fldCharType="begin" w:fldLock="1"/>
            </w:r>
            <w:r w:rsidR="006E1ADA">
              <w:rPr>
                <w:lang w:val="en-US"/>
              </w:rPr>
              <w:instrText>ADDIN CSL_CITATION {"citationItems":[{"id":"ITEM-1","itemData":{"DOI":"10.1179/1607845414Y.0000000206","ISSN":"16078454","PMID":"25310461","abstract":"Objectives: To analyze clinical characteristics, treatment, outcomes of critically ill patients with hematologic malignancies (HM) admitted to the medical intensive care unit (ICU) and to identify predictors of adverse outcome. Methods:We analyzed prospectively 170 patients. Data included: demographic characteristics, hematologic diagnosis, reasons for ICU admission, transplant status, the presence of neutropenia, acute physiology and chronic health evaluation-II and sequential organ failure assessment scores, and level of organ support. Predictors of ICU mortality were evaluated using univariate and multivariate analysis. Results: In total, 73% of patients had high-grade malignancy, 47.6% received intensive chemotherapy before admission, and 30% underwent hematologic stem cell transplantation procedure. In total, 116 (68.2%) of patients were mechanically ventilated; 88 (51.8%) required invasive mechanical ventilation (MV). Noninvasive ventilation started in 28 (16.5%) patients and was successful in 11 (6.5%). The ICU mortality rate was 53.5%, and the mortality of MV patients was 75.9%. Need for vasopressors at admission and MV were identified as independent predictors of fatal outcome. Conclusion: The ICU mortality of critically ill patients with HM is high, particularly in the group of MV. Need for vasopressors at admission and MV were independent predictors of ICU mortality. Majority of patients required invasive MV due to severe respiratory failure and non-invasive MV was sufficient only in small number of cases with favorable outcome.","author":[{"dropping-particle":"","family":"Medić","given":"Marijana Grgić","non-dropping-particle":"","parse-names":false,"suffix":""},{"dropping-particle":"","family":"Gornik","given":"Ivan","non-dropping-particle":"","parse-names":false,"suffix":""},{"dropping-particle":"","family":"Gornik","given":"Ivan","non-dropping-particle":"","parse-names":false,"suffix":""},{"dropping-particle":"","family":"Gašparović","given":"Vladimir","non-dropping-particle":"","parse-names":false,"suffix":""},{"dropping-particle":"","family":"Gašparović","given":"Vladimir","non-dropping-particle":"","parse-names":false,"suffix":""}],"container-title":"Hematology","id":"ITEM-1","issue":"5","issued":{"date-parts":[["2015"]]},"page":"247-253","publisher":"Maney Publishing","title":"Hematologic malignancies in the medical intensive care unit – Outcomes and prognostic factors","type":"article-journal","volume":"20"},"uris":["http://www.mendeley.com/documents/?uuid=fb502aa6-e4e8-3f2b-9965-ccaad23e1eee"]}],"mendeley":{"formattedCitation":"[217]","plainTextFormattedCitation":"[217]","previouslyFormattedCitation":"[217]"},"properties":{"noteIndex":0},"schema":"https://github.com/citation-style-language/schema/raw/master/csl-citation.json"}</w:instrText>
            </w:r>
            <w:r>
              <w:rPr>
                <w:lang w:val="en-US"/>
              </w:rPr>
              <w:fldChar w:fldCharType="separate"/>
            </w:r>
            <w:r w:rsidR="00B96A78" w:rsidRPr="00B96A78">
              <w:rPr>
                <w:noProof/>
                <w:lang w:val="en-US"/>
              </w:rPr>
              <w:t>[217]</w:t>
            </w:r>
            <w:r>
              <w:rPr>
                <w:lang w:val="en-US"/>
              </w:rPr>
              <w:fldChar w:fldCharType="end"/>
            </w:r>
            <w:r w:rsidRPr="008F721B">
              <w:t xml:space="preserve"> </w:t>
            </w:r>
          </w:p>
        </w:tc>
        <w:tc>
          <w:tcPr>
            <w:tcW w:w="425" w:type="pct"/>
          </w:tcPr>
          <w:p w14:paraId="01A27EE4" w14:textId="77777777" w:rsidR="00D43393" w:rsidRPr="008F721B" w:rsidRDefault="00D43393" w:rsidP="002D3EBF">
            <w:pPr>
              <w:jc w:val="center"/>
            </w:pPr>
            <w:r w:rsidRPr="008F721B">
              <w:t>45</w:t>
            </w:r>
          </w:p>
        </w:tc>
        <w:tc>
          <w:tcPr>
            <w:tcW w:w="490" w:type="pct"/>
          </w:tcPr>
          <w:p w14:paraId="51EA9731" w14:textId="77777777" w:rsidR="00D43393" w:rsidRPr="008F721B" w:rsidRDefault="00D43393" w:rsidP="002D3EBF">
            <w:pPr>
              <w:jc w:val="center"/>
            </w:pPr>
            <w:r w:rsidRPr="008F721B">
              <w:t>37</w:t>
            </w:r>
          </w:p>
        </w:tc>
        <w:tc>
          <w:tcPr>
            <w:tcW w:w="609" w:type="pct"/>
          </w:tcPr>
          <w:p w14:paraId="2FB70CA4" w14:textId="77777777" w:rsidR="00D43393" w:rsidRPr="008F721B" w:rsidRDefault="00D43393" w:rsidP="002D3EBF">
            <w:pPr>
              <w:jc w:val="center"/>
            </w:pPr>
            <w:r w:rsidRPr="008F721B">
              <w:t>5</w:t>
            </w:r>
          </w:p>
        </w:tc>
        <w:tc>
          <w:tcPr>
            <w:tcW w:w="687" w:type="pct"/>
          </w:tcPr>
          <w:p w14:paraId="1C6CCCB7" w14:textId="77777777" w:rsidR="00D43393" w:rsidRPr="008F721B" w:rsidRDefault="00D43393" w:rsidP="002D3EBF">
            <w:pPr>
              <w:jc w:val="center"/>
            </w:pPr>
            <w:r w:rsidRPr="008F721B">
              <w:t>н/д</w:t>
            </w:r>
          </w:p>
        </w:tc>
        <w:tc>
          <w:tcPr>
            <w:tcW w:w="456" w:type="pct"/>
          </w:tcPr>
          <w:p w14:paraId="14F659DB" w14:textId="77777777" w:rsidR="00D43393" w:rsidRPr="008F721B" w:rsidRDefault="00D43393" w:rsidP="002D3EBF">
            <w:pPr>
              <w:jc w:val="center"/>
            </w:pPr>
            <w:r w:rsidRPr="008F721B">
              <w:t>н/д</w:t>
            </w:r>
          </w:p>
        </w:tc>
        <w:tc>
          <w:tcPr>
            <w:tcW w:w="515" w:type="pct"/>
          </w:tcPr>
          <w:p w14:paraId="49E1E413" w14:textId="77777777" w:rsidR="00D43393" w:rsidRPr="008F721B" w:rsidRDefault="00D43393" w:rsidP="002D3EBF">
            <w:pPr>
              <w:jc w:val="center"/>
            </w:pPr>
            <w:r w:rsidRPr="008F721B">
              <w:t>н/д</w:t>
            </w:r>
          </w:p>
        </w:tc>
        <w:tc>
          <w:tcPr>
            <w:tcW w:w="536" w:type="pct"/>
          </w:tcPr>
          <w:p w14:paraId="79F78B9C" w14:textId="77777777" w:rsidR="00D43393" w:rsidRPr="008F721B" w:rsidRDefault="00D43393" w:rsidP="002D3EBF">
            <w:pPr>
              <w:jc w:val="center"/>
            </w:pPr>
            <w:r w:rsidRPr="008F721B">
              <w:t>13</w:t>
            </w:r>
          </w:p>
        </w:tc>
      </w:tr>
      <w:tr w:rsidR="00D43393" w:rsidRPr="008F721B" w14:paraId="374667F7" w14:textId="77777777" w:rsidTr="002D3EBF">
        <w:trPr>
          <w:trHeight w:val="401"/>
        </w:trPr>
        <w:tc>
          <w:tcPr>
            <w:tcW w:w="1279" w:type="pct"/>
          </w:tcPr>
          <w:p w14:paraId="154A8106" w14:textId="696E80D0" w:rsidR="00D43393" w:rsidRPr="008F721B" w:rsidRDefault="00D43393" w:rsidP="002D3EBF">
            <w:r w:rsidRPr="008F721B">
              <w:t>Jackson K. и соавт.</w:t>
            </w:r>
            <w:r>
              <w:t xml:space="preserve">, 2014 </w:t>
            </w:r>
            <w:r>
              <w:rPr>
                <w:lang w:val="en-US"/>
              </w:rPr>
              <w:fldChar w:fldCharType="begin" w:fldLock="1"/>
            </w:r>
            <w:r w:rsidR="006E1ADA">
              <w:rPr>
                <w:lang w:val="en-US"/>
              </w:rPr>
              <w:instrText>ADDIN CSL_CITATION {"citationItems":[{"id":"ITEM-1","itemData":{"DOI":"10.3109/10428194.2013.796045","ISBN":"6173176211","ISSN":"1029-2403","PMID":"23597137","abstract":"Patients receiving treatment for acute myeloid leukemia (AML) commonly experience life-threatening complications requiring intensive care unit (ICU) support. This is a retrospective study of 505 patients with newly diagnosed AML who were treated with intensive chemotherapy between January 1999 and December 2010. Eighty-three patients (16.4%) were identified who had required 92 ICU admissions. The indication for ICU admission was hemodynamic instability in 47.0% of patients and respiratory impairment in 42.2%. The underlying pathology was most commonly infection (77.1%). Vasopressors were required in 67.5% of admissions, mechanical ventilation in 60.2% and hemodialysis in 15.7%. Rates of survival to hospital discharge and 12 months were 59.0% and 41.3%, respectively. Mechanical ventilation use and higher fibrinogen were independently associated with mortality prior to hospital discharge, and mechanical ventilation use and AML cytogenetic risk group were predictive of mortality within 12 months of ICU admission. By providing a more accurate estimation of a patient's chance of recovery, such prognostic factors may contribute to decision-making about the appropriateness of admission to the ICU or continuation of intensive life-sustaining measures.","author":[{"dropping-particle":"","family":"Jackson","given":"Kathryn","non-dropping-particle":"","parse-names":false,"suffix":""},{"dropping-particle":"","family":"Mollee","given":"Peter","non-dropping-particle":"","parse-names":false,"suffix":""},{"dropping-particle":"","family":"Morris","given":"Kirk","non-dropping-particle":"","parse-names":false,"suffix":""},{"dropping-particle":"","family":"Butler","given":"Jason","non-dropping-particle":"","parse-names":false,"suffix":""},{"dropping-particle":"","family":"Jackson","given":"Dwane","non-dropping-particle":"","parse-names":false,"suffix":""},{"dropping-particle":"","family":"Kruger","given":"Peter","non-dropping-particle":"","parse-names":false,"suffix":""},{"dropping-particle":"","family":"Klein","given":"Kerenaftali","non-dropping-particle":"","parse-names":false,"suffix":""},{"dropping-particle":"","family":"Kennedy","given":"Glen","non-dropping-particle":"","parse-names":false,"suffix":""}],"container-title":"Leukemia &amp; lymphoma","id":"ITEM-1","issue":"April","issued":{"date-parts":[["2013","1"]]},"page":"1-8","publisher":"Leuk Lymphoma","title":"Outcomes and prognostic factors for patients with acute myeloid leukemia admitted to the intensive care unit","type":"article-journal","volume":"55"},"uris":["http://www.mendeley.com/documents/?uuid=af5715ea-f420-4629-9acb-36739876454f"]}],"mendeley":{"formattedCitation":"[218]","plainTextFormattedCitation":"[218]","previouslyFormattedCitation":"[218]"},"properties":{"noteIndex":0},"schema":"https://github.com/citation-style-language/schema/raw/master/csl-citation.json"}</w:instrText>
            </w:r>
            <w:r>
              <w:rPr>
                <w:lang w:val="en-US"/>
              </w:rPr>
              <w:fldChar w:fldCharType="separate"/>
            </w:r>
            <w:r w:rsidR="00B96A78" w:rsidRPr="00B96A78">
              <w:rPr>
                <w:noProof/>
                <w:lang w:val="en-US"/>
              </w:rPr>
              <w:t>[218]</w:t>
            </w:r>
            <w:r>
              <w:rPr>
                <w:lang w:val="en-US"/>
              </w:rPr>
              <w:fldChar w:fldCharType="end"/>
            </w:r>
            <w:r w:rsidRPr="008F721B">
              <w:t xml:space="preserve"> </w:t>
            </w:r>
          </w:p>
        </w:tc>
        <w:tc>
          <w:tcPr>
            <w:tcW w:w="425" w:type="pct"/>
          </w:tcPr>
          <w:p w14:paraId="66448A5C" w14:textId="77777777" w:rsidR="00D43393" w:rsidRPr="008F721B" w:rsidRDefault="00D43393" w:rsidP="002D3EBF">
            <w:pPr>
              <w:jc w:val="center"/>
            </w:pPr>
            <w:r w:rsidRPr="008F721B">
              <w:t>47</w:t>
            </w:r>
          </w:p>
        </w:tc>
        <w:tc>
          <w:tcPr>
            <w:tcW w:w="490" w:type="pct"/>
          </w:tcPr>
          <w:p w14:paraId="6E7CDAB0" w14:textId="77777777" w:rsidR="00D43393" w:rsidRPr="008F721B" w:rsidRDefault="00D43393" w:rsidP="002D3EBF">
            <w:pPr>
              <w:jc w:val="center"/>
            </w:pPr>
            <w:r w:rsidRPr="008F721B">
              <w:t>42</w:t>
            </w:r>
          </w:p>
        </w:tc>
        <w:tc>
          <w:tcPr>
            <w:tcW w:w="609" w:type="pct"/>
          </w:tcPr>
          <w:p w14:paraId="46DE8806" w14:textId="77777777" w:rsidR="00D43393" w:rsidRPr="008F721B" w:rsidRDefault="00D43393" w:rsidP="002D3EBF">
            <w:pPr>
              <w:jc w:val="center"/>
            </w:pPr>
            <w:r w:rsidRPr="008F721B">
              <w:t>н/д</w:t>
            </w:r>
          </w:p>
        </w:tc>
        <w:tc>
          <w:tcPr>
            <w:tcW w:w="687" w:type="pct"/>
          </w:tcPr>
          <w:p w14:paraId="62153235" w14:textId="77777777" w:rsidR="00D43393" w:rsidRPr="008F721B" w:rsidRDefault="00D43393" w:rsidP="002D3EBF">
            <w:pPr>
              <w:jc w:val="center"/>
            </w:pPr>
            <w:r w:rsidRPr="008F721B">
              <w:t>н/д</w:t>
            </w:r>
          </w:p>
        </w:tc>
        <w:tc>
          <w:tcPr>
            <w:tcW w:w="456" w:type="pct"/>
          </w:tcPr>
          <w:p w14:paraId="623407E6" w14:textId="77777777" w:rsidR="00D43393" w:rsidRPr="008F721B" w:rsidRDefault="00D43393" w:rsidP="002D3EBF">
            <w:pPr>
              <w:jc w:val="center"/>
            </w:pPr>
            <w:r w:rsidRPr="008F721B">
              <w:t>н/д</w:t>
            </w:r>
          </w:p>
        </w:tc>
        <w:tc>
          <w:tcPr>
            <w:tcW w:w="515" w:type="pct"/>
          </w:tcPr>
          <w:p w14:paraId="011FEAEF" w14:textId="77777777" w:rsidR="00D43393" w:rsidRPr="008F721B" w:rsidRDefault="00D43393" w:rsidP="002D3EBF">
            <w:pPr>
              <w:jc w:val="center"/>
            </w:pPr>
            <w:r w:rsidRPr="008F721B">
              <w:t>7,2</w:t>
            </w:r>
          </w:p>
        </w:tc>
        <w:tc>
          <w:tcPr>
            <w:tcW w:w="536" w:type="pct"/>
          </w:tcPr>
          <w:p w14:paraId="40848746" w14:textId="77777777" w:rsidR="00D43393" w:rsidRPr="008F721B" w:rsidRDefault="00D43393" w:rsidP="002D3EBF">
            <w:pPr>
              <w:jc w:val="center"/>
            </w:pPr>
            <w:r w:rsidRPr="008F721B">
              <w:t>н/д</w:t>
            </w:r>
          </w:p>
        </w:tc>
      </w:tr>
      <w:tr w:rsidR="00D43393" w:rsidRPr="008F721B" w14:paraId="50DF2759" w14:textId="77777777" w:rsidTr="002D3EBF">
        <w:trPr>
          <w:trHeight w:val="401"/>
        </w:trPr>
        <w:tc>
          <w:tcPr>
            <w:tcW w:w="1279" w:type="pct"/>
          </w:tcPr>
          <w:p w14:paraId="230F4460" w14:textId="74D387ED" w:rsidR="00D43393" w:rsidRPr="008F721B" w:rsidRDefault="00D43393" w:rsidP="002D3EBF">
            <w:r w:rsidRPr="008F721B">
              <w:t>Ahmed T. и соавт.</w:t>
            </w:r>
            <w:r>
              <w:rPr>
                <w:lang w:val="en-US"/>
              </w:rPr>
              <w:t>, 2017</w:t>
            </w:r>
            <w:r w:rsidRPr="008F721B">
              <w:t xml:space="preserve"> </w:t>
            </w:r>
            <w:r>
              <w:fldChar w:fldCharType="begin" w:fldLock="1"/>
            </w:r>
            <w:r w:rsidR="006E1ADA">
              <w:instrText>ADDIN CSL_CITATION {"citationItems":[{"id":"ITEM-1","itemData":{"DOI":"10.1016/j.leukres.2017.09.017","ISSN":"18735835","PMID":"28985622","abstract":"Patients with Acute Myeloid Leukemia (AML) have compromised marrow function and chemotherapy causes further suppression. As a result complications are frequent, and patients may require admission to the intensive care unit (ICU). How codes status changes when these events occur and how those changes influence outcome are largely unknown. Outcomes for adult patients with AML, undergoing induction chemotherapy, and transferred to the ICU between January 2000 and December 2013 were analyzed. 94 patients were included. Median survival was 1.3 months. At 3 and 6 months overall survival (OS) was 27% and 18% respectively. Respiratory failure was the most common reason for transfer to ICU (88%), with 63% requiring mechanical ventilation at transfer. Other reasons included: cardiac arrest (18%), septic shock (17%), hypotension (9%), and acute renal failure (9%). The most frequent interventions were mechanical ventilation in 85%, vasopressors in 62%, and hemodialysis in 30%. Following transfer 55 patients (58%) had a change in code status. Overall, 46 patients (49%) changed from Full Code (FC) to Comfort Care (CC), 7 (7%) from FC to Do Not Resuscitate (DNR), and 2 (2%) from DNR to CC. For the entire cohort, ICU mortality (IM) was 61% and hospital mortality (HM) was 71%. For FC or DNR patients, IM was 30% and HM was 41%. For CC patients, IM was 90% and HM was 100%. Overall, 27 patients (29%) survived to discharge. Of those discharged, 22 (81%) were alive at 3 months and 17 (63%) were alive at 6 months. In conclusion, patients that required ICU admission during induction chemotherapy have a poor prognosis. Code status changed during the ICU stay for the majority of patients and always to a less aggressive status.","author":[{"dropping-particle":"","family":"Ahmed","given":"Tamjeed","non-dropping-particle":"","parse-names":false,"suffix":""},{"dropping-particle":"","family":"Koch","given":"Abby L.","non-dropping-particle":"","parse-names":false,"suffix":""},{"dropping-particle":"","family":"Isom","given":"Scott","non-dropping-particle":"","parse-names":false,"suffix":""},{"dropping-particle":"","family":"Klepin","given":"Heidi D.","non-dropping-particle":"","parse-names":false,"suffix":""},{"dropping-particle":"","family":"Bishop","given":"Jonathan M.","non-dropping-particle":"","parse-names":false,"suffix":""},{"dropping-particle":"","family":"Ellis","given":"Leslie R.","non-dropping-particle":"","parse-names":false,"suffix":""},{"dropping-particle":"","family":"Berenzon","given":"Dmitriy","non-dropping-particle":"","parse-names":false,"suffix":""},{"dropping-particle":"","family":"Howard","given":"Dianna","non-dropping-particle":"","parse-names":false,"suffix":""},{"dropping-particle":"","family":"Lyerly","given":"Susan","non-dropping-particle":"","parse-names":false,"suffix":""},{"dropping-particle":"","family":"Powell","given":"Bayard L.","non-dropping-particle":"","parse-names":false,"suffix":""},{"dropping-particle":"","family":"Pardee","given":"Timothy S.","non-dropping-particle":"","parse-names":false,"suffix":""}],"container-title":"Leukemia Research","id":"ITEM-1","issued":{"date-parts":[["2017","11","1"]]},"page":"51-55","publisher":"Elsevier Ltd","title":"Outcomes and changes in code status of patients with acute myeloid leukemia undergoing induction chemotherapy who were transferred to the intensive care unit","type":"article-journal","volume":"62"},"uris":["http://www.mendeley.com/documents/?uuid=06d1336d-0ad4-3138-ba61-9709dde152aa"]}],"mendeley":{"formattedCitation":"[219]","plainTextFormattedCitation":"[219]","previouslyFormattedCitation":"[219]"},"properties":{"noteIndex":0},"schema":"https://github.com/citation-style-language/schema/raw/master/csl-citation.json"}</w:instrText>
            </w:r>
            <w:r>
              <w:fldChar w:fldCharType="separate"/>
            </w:r>
            <w:r w:rsidR="00B96A78" w:rsidRPr="00B96A78">
              <w:rPr>
                <w:noProof/>
              </w:rPr>
              <w:t>[219]</w:t>
            </w:r>
            <w:r>
              <w:fldChar w:fldCharType="end"/>
            </w:r>
          </w:p>
        </w:tc>
        <w:tc>
          <w:tcPr>
            <w:tcW w:w="425" w:type="pct"/>
          </w:tcPr>
          <w:p w14:paraId="1BBEE1F5" w14:textId="77777777" w:rsidR="00D43393" w:rsidRPr="008F721B" w:rsidRDefault="00D43393" w:rsidP="002D3EBF">
            <w:pPr>
              <w:jc w:val="center"/>
            </w:pPr>
            <w:r w:rsidRPr="008F721B">
              <w:t>88</w:t>
            </w:r>
          </w:p>
        </w:tc>
        <w:tc>
          <w:tcPr>
            <w:tcW w:w="490" w:type="pct"/>
          </w:tcPr>
          <w:p w14:paraId="04EF27A2" w14:textId="77777777" w:rsidR="00D43393" w:rsidRPr="008F721B" w:rsidRDefault="00D43393" w:rsidP="002D3EBF">
            <w:pPr>
              <w:jc w:val="center"/>
            </w:pPr>
            <w:r w:rsidRPr="008F721B">
              <w:t>17</w:t>
            </w:r>
          </w:p>
        </w:tc>
        <w:tc>
          <w:tcPr>
            <w:tcW w:w="609" w:type="pct"/>
          </w:tcPr>
          <w:p w14:paraId="65D02B18" w14:textId="77777777" w:rsidR="00D43393" w:rsidRPr="008F721B" w:rsidRDefault="00D43393" w:rsidP="002D3EBF">
            <w:pPr>
              <w:jc w:val="center"/>
            </w:pPr>
            <w:r w:rsidRPr="008F721B">
              <w:t>н/д</w:t>
            </w:r>
          </w:p>
        </w:tc>
        <w:tc>
          <w:tcPr>
            <w:tcW w:w="687" w:type="pct"/>
          </w:tcPr>
          <w:p w14:paraId="7E122F3A" w14:textId="77777777" w:rsidR="00D43393" w:rsidRPr="008F721B" w:rsidRDefault="00D43393" w:rsidP="002D3EBF">
            <w:pPr>
              <w:jc w:val="center"/>
            </w:pPr>
            <w:r w:rsidRPr="008F721B">
              <w:t>18</w:t>
            </w:r>
          </w:p>
        </w:tc>
        <w:tc>
          <w:tcPr>
            <w:tcW w:w="456" w:type="pct"/>
          </w:tcPr>
          <w:p w14:paraId="1AAAB969" w14:textId="77777777" w:rsidR="00D43393" w:rsidRPr="008F721B" w:rsidRDefault="00D43393" w:rsidP="002D3EBF">
            <w:pPr>
              <w:jc w:val="center"/>
            </w:pPr>
            <w:r w:rsidRPr="008F721B">
              <w:t>8,5</w:t>
            </w:r>
          </w:p>
        </w:tc>
        <w:tc>
          <w:tcPr>
            <w:tcW w:w="515" w:type="pct"/>
          </w:tcPr>
          <w:p w14:paraId="2297B601" w14:textId="77777777" w:rsidR="00D43393" w:rsidRPr="008F721B" w:rsidRDefault="00D43393" w:rsidP="002D3EBF">
            <w:pPr>
              <w:jc w:val="center"/>
            </w:pPr>
            <w:r w:rsidRPr="008F721B">
              <w:t>2,1</w:t>
            </w:r>
          </w:p>
        </w:tc>
        <w:tc>
          <w:tcPr>
            <w:tcW w:w="536" w:type="pct"/>
          </w:tcPr>
          <w:p w14:paraId="312E1B6E" w14:textId="77777777" w:rsidR="00D43393" w:rsidRPr="008F721B" w:rsidRDefault="00D43393" w:rsidP="002D3EBF">
            <w:pPr>
              <w:jc w:val="center"/>
            </w:pPr>
            <w:r w:rsidRPr="008F721B">
              <w:t>н/д</w:t>
            </w:r>
          </w:p>
        </w:tc>
      </w:tr>
    </w:tbl>
    <w:p w14:paraId="1BF559C0" w14:textId="77777777" w:rsidR="00D43393" w:rsidRPr="008F721B" w:rsidRDefault="00D43393" w:rsidP="00D43393">
      <w:pPr>
        <w:ind w:firstLine="709"/>
      </w:pPr>
      <w:r w:rsidRPr="008F721B">
        <w:t>* н/д – нет данных.</w:t>
      </w:r>
    </w:p>
    <w:p w14:paraId="2E80DB1D" w14:textId="77777777" w:rsidR="00D43393" w:rsidRDefault="00D43393" w:rsidP="00D43393">
      <w:pPr>
        <w:ind w:firstLine="709"/>
      </w:pPr>
    </w:p>
    <w:p w14:paraId="2062C280" w14:textId="77777777" w:rsidR="00D43393" w:rsidRPr="008F721B" w:rsidRDefault="00D43393" w:rsidP="00D43393">
      <w:pPr>
        <w:ind w:firstLine="709"/>
      </w:pPr>
      <w:r w:rsidRPr="008F721B">
        <w:t>Нередки иные причины перевода в ОРИТ гематологических пациентов – внезапно резвившиеся судороги в результате острой надпочечниковой недостаточности и гипонатриемии, отек головного</w:t>
      </w:r>
      <w:r w:rsidRPr="00B563E0">
        <w:t xml:space="preserve"> </w:t>
      </w:r>
      <w:r>
        <w:t>мозга, судорожный</w:t>
      </w:r>
      <w:r w:rsidRPr="008F721B">
        <w:t xml:space="preserve"> синдром в результате инфекции центральной нервной системы</w:t>
      </w:r>
      <w:r>
        <w:t xml:space="preserve"> (ЦНС), удлинение </w:t>
      </w:r>
      <w:r w:rsidRPr="008F721B">
        <w:t xml:space="preserve"> электрической систолы сердца и развитие желудочковой тахикардии по типу «torsades-de-puantes» и др. </w:t>
      </w:r>
    </w:p>
    <w:p w14:paraId="07CC6F9C" w14:textId="3D34FC0D" w:rsidR="00D43393" w:rsidRPr="009D0B15" w:rsidRDefault="00D43393" w:rsidP="00D43393">
      <w:pPr>
        <w:ind w:firstLine="709"/>
      </w:pPr>
      <w:r w:rsidRPr="008F721B">
        <w:t xml:space="preserve">Для лечения жизнеугрожающих осложнений у гематологических пациентов в ОРИТ чаще всего </w:t>
      </w:r>
      <w:r w:rsidRPr="009D0B15">
        <w:t xml:space="preserve">используют следующие методы поддержания жизнеобеспечения: ИВЛ у 50 – </w:t>
      </w:r>
      <w:r w:rsidRPr="009D0B15">
        <w:lastRenderedPageBreak/>
        <w:t xml:space="preserve">66% больных; вазопрессорная терапия у 8 – 75,6% больных, заместительная почечная терапия у 3,2 – 61% больных (таб. </w:t>
      </w:r>
      <w:r w:rsidR="00B96A78">
        <w:t>2</w:t>
      </w:r>
      <w:r w:rsidRPr="009D0B15">
        <w:t xml:space="preserve">). </w:t>
      </w:r>
    </w:p>
    <w:p w14:paraId="48E2759C" w14:textId="77777777" w:rsidR="00D43393" w:rsidRPr="009D0B15" w:rsidRDefault="00D43393" w:rsidP="00D43393"/>
    <w:p w14:paraId="32C6B585" w14:textId="54282A32" w:rsidR="00D43393" w:rsidRPr="008F721B" w:rsidRDefault="00D43393" w:rsidP="00D43393">
      <w:r w:rsidRPr="009D0B15">
        <w:t xml:space="preserve"> Таблица </w:t>
      </w:r>
      <w:r w:rsidR="00B96A78">
        <w:t>2</w:t>
      </w:r>
      <w:r w:rsidRPr="009D0B15">
        <w:t>. Потребность в</w:t>
      </w:r>
      <w:r w:rsidRPr="008F721B">
        <w:t xml:space="preserve"> различных методиках жизнеобеспечения у пациентов с с онкогематологическими заболеваниями</w:t>
      </w:r>
    </w:p>
    <w:tbl>
      <w:tblPr>
        <w:tblStyle w:val="aff9"/>
        <w:tblW w:w="9427" w:type="dxa"/>
        <w:tblLook w:val="04A0" w:firstRow="1" w:lastRow="0" w:firstColumn="1" w:lastColumn="0" w:noHBand="0" w:noVBand="1"/>
      </w:tblPr>
      <w:tblGrid>
        <w:gridCol w:w="2422"/>
        <w:gridCol w:w="2140"/>
        <w:gridCol w:w="2447"/>
        <w:gridCol w:w="2418"/>
      </w:tblGrid>
      <w:tr w:rsidR="00D43393" w:rsidRPr="008F721B" w14:paraId="6720D8C4" w14:textId="77777777" w:rsidTr="002D3EBF">
        <w:trPr>
          <w:trHeight w:val="1247"/>
        </w:trPr>
        <w:tc>
          <w:tcPr>
            <w:tcW w:w="2422" w:type="dxa"/>
          </w:tcPr>
          <w:p w14:paraId="0C2E6C9C" w14:textId="77777777" w:rsidR="00D43393" w:rsidRPr="008F721B" w:rsidRDefault="00D43393" w:rsidP="002D3EBF">
            <w:pPr>
              <w:jc w:val="center"/>
            </w:pPr>
            <w:r w:rsidRPr="008F721B">
              <w:t>Источник</w:t>
            </w:r>
          </w:p>
        </w:tc>
        <w:tc>
          <w:tcPr>
            <w:tcW w:w="2140" w:type="dxa"/>
          </w:tcPr>
          <w:p w14:paraId="6C096679" w14:textId="77777777" w:rsidR="00D43393" w:rsidRPr="008F721B" w:rsidRDefault="00D43393" w:rsidP="002D3EBF">
            <w:pPr>
              <w:jc w:val="center"/>
            </w:pPr>
            <w:r w:rsidRPr="008F721B">
              <w:t>ИВЛ, %</w:t>
            </w:r>
          </w:p>
        </w:tc>
        <w:tc>
          <w:tcPr>
            <w:tcW w:w="2447" w:type="dxa"/>
          </w:tcPr>
          <w:p w14:paraId="3FAD2CF0" w14:textId="77777777" w:rsidR="00D43393" w:rsidRPr="008F721B" w:rsidRDefault="00D43393" w:rsidP="002D3EBF">
            <w:pPr>
              <w:jc w:val="center"/>
            </w:pPr>
            <w:r w:rsidRPr="008F721B">
              <w:t>Заместительная почечная терапия, %</w:t>
            </w:r>
          </w:p>
        </w:tc>
        <w:tc>
          <w:tcPr>
            <w:tcW w:w="2418" w:type="dxa"/>
          </w:tcPr>
          <w:p w14:paraId="71A1CC20" w14:textId="77777777" w:rsidR="00D43393" w:rsidRPr="008F721B" w:rsidRDefault="00D43393" w:rsidP="002D3EBF">
            <w:pPr>
              <w:jc w:val="center"/>
            </w:pPr>
            <w:r w:rsidRPr="008F721B">
              <w:t>Вазопрессоры, %</w:t>
            </w:r>
          </w:p>
        </w:tc>
      </w:tr>
      <w:tr w:rsidR="00D43393" w:rsidRPr="008F721B" w14:paraId="78AE3E98" w14:textId="77777777" w:rsidTr="002D3EBF">
        <w:trPr>
          <w:trHeight w:val="805"/>
        </w:trPr>
        <w:tc>
          <w:tcPr>
            <w:tcW w:w="2422" w:type="dxa"/>
          </w:tcPr>
          <w:p w14:paraId="7228BBD4" w14:textId="6EC50BDF" w:rsidR="00D43393" w:rsidRPr="008F721B" w:rsidRDefault="00D43393" w:rsidP="002D3EBF">
            <w:pPr>
              <w:jc w:val="center"/>
            </w:pPr>
            <w:r w:rsidRPr="008F721B">
              <w:t>Jackson K. и соавт.</w:t>
            </w:r>
            <w:r w:rsidRPr="00854947">
              <w:t xml:space="preserve">, 2014 </w:t>
            </w:r>
            <w:r>
              <w:rPr>
                <w:lang w:val="en-US"/>
              </w:rPr>
              <w:fldChar w:fldCharType="begin" w:fldLock="1"/>
            </w:r>
            <w:r w:rsidR="006E1ADA">
              <w:rPr>
                <w:lang w:val="en-US"/>
              </w:rPr>
              <w:instrText>ADDIN</w:instrText>
            </w:r>
            <w:r w:rsidR="006E1ADA" w:rsidRPr="00E84AA6">
              <w:instrText xml:space="preserve"> </w:instrText>
            </w:r>
            <w:r w:rsidR="006E1ADA">
              <w:rPr>
                <w:lang w:val="en-US"/>
              </w:rPr>
              <w:instrText>CSL</w:instrText>
            </w:r>
            <w:r w:rsidR="006E1ADA" w:rsidRPr="00E84AA6">
              <w:instrText>_</w:instrText>
            </w:r>
            <w:r w:rsidR="006E1ADA">
              <w:rPr>
                <w:lang w:val="en-US"/>
              </w:rPr>
              <w:instrText>CITATION</w:instrText>
            </w:r>
            <w:r w:rsidR="006E1ADA" w:rsidRPr="00E84AA6">
              <w:instrText xml:space="preserve"> {"</w:instrText>
            </w:r>
            <w:r w:rsidR="006E1ADA">
              <w:rPr>
                <w:lang w:val="en-US"/>
              </w:rPr>
              <w:instrText>citationItems</w:instrText>
            </w:r>
            <w:r w:rsidR="006E1ADA" w:rsidRPr="00E84AA6">
              <w:instrText>":[{"</w:instrText>
            </w:r>
            <w:r w:rsidR="006E1ADA">
              <w:rPr>
                <w:lang w:val="en-US"/>
              </w:rPr>
              <w:instrText>id</w:instrText>
            </w:r>
            <w:r w:rsidR="006E1ADA" w:rsidRPr="00E84AA6">
              <w:instrText>":"</w:instrText>
            </w:r>
            <w:r w:rsidR="006E1ADA">
              <w:rPr>
                <w:lang w:val="en-US"/>
              </w:rPr>
              <w:instrText>ITEM</w:instrText>
            </w:r>
            <w:r w:rsidR="006E1ADA" w:rsidRPr="00E84AA6">
              <w:instrText>-1","</w:instrText>
            </w:r>
            <w:r w:rsidR="006E1ADA">
              <w:rPr>
                <w:lang w:val="en-US"/>
              </w:rPr>
              <w:instrText>itemData</w:instrText>
            </w:r>
            <w:r w:rsidR="006E1ADA" w:rsidRPr="00E84AA6">
              <w:instrText>":{"</w:instrText>
            </w:r>
            <w:r w:rsidR="006E1ADA">
              <w:rPr>
                <w:lang w:val="en-US"/>
              </w:rPr>
              <w:instrText>DOI</w:instrText>
            </w:r>
            <w:r w:rsidR="006E1ADA" w:rsidRPr="00E84AA6">
              <w:instrText>":"10.3109/10428194.2013.796045","</w:instrText>
            </w:r>
            <w:r w:rsidR="006E1ADA">
              <w:rPr>
                <w:lang w:val="en-US"/>
              </w:rPr>
              <w:instrText>ISBN</w:instrText>
            </w:r>
            <w:r w:rsidR="006E1ADA" w:rsidRPr="00E84AA6">
              <w:instrText>":"6173176211","</w:instrText>
            </w:r>
            <w:r w:rsidR="006E1ADA">
              <w:rPr>
                <w:lang w:val="en-US"/>
              </w:rPr>
              <w:instrText>ISSN</w:instrText>
            </w:r>
            <w:r w:rsidR="006E1ADA" w:rsidRPr="00E84AA6">
              <w:instrText>":"1029-2403","</w:instrText>
            </w:r>
            <w:r w:rsidR="006E1ADA">
              <w:rPr>
                <w:lang w:val="en-US"/>
              </w:rPr>
              <w:instrText>PMID</w:instrText>
            </w:r>
            <w:r w:rsidR="006E1ADA" w:rsidRPr="00E84AA6">
              <w:instrText>":"23597137","</w:instrText>
            </w:r>
            <w:r w:rsidR="006E1ADA">
              <w:rPr>
                <w:lang w:val="en-US"/>
              </w:rPr>
              <w:instrText>abstract</w:instrText>
            </w:r>
            <w:r w:rsidR="006E1ADA" w:rsidRPr="00E84AA6">
              <w:instrText>":"</w:instrText>
            </w:r>
            <w:r w:rsidR="006E1ADA">
              <w:rPr>
                <w:lang w:val="en-US"/>
              </w:rPr>
              <w:instrText>Patients</w:instrText>
            </w:r>
            <w:r w:rsidR="006E1ADA" w:rsidRPr="00E84AA6">
              <w:instrText xml:space="preserve"> </w:instrText>
            </w:r>
            <w:r w:rsidR="006E1ADA">
              <w:rPr>
                <w:lang w:val="en-US"/>
              </w:rPr>
              <w:instrText>receiving</w:instrText>
            </w:r>
            <w:r w:rsidR="006E1ADA" w:rsidRPr="00E84AA6">
              <w:instrText xml:space="preserve"> </w:instrText>
            </w:r>
            <w:r w:rsidR="006E1ADA">
              <w:rPr>
                <w:lang w:val="en-US"/>
              </w:rPr>
              <w:instrText>treatment</w:instrText>
            </w:r>
            <w:r w:rsidR="006E1ADA" w:rsidRPr="00E84AA6">
              <w:instrText xml:space="preserve"> </w:instrText>
            </w:r>
            <w:r w:rsidR="006E1ADA">
              <w:rPr>
                <w:lang w:val="en-US"/>
              </w:rPr>
              <w:instrText>for</w:instrText>
            </w:r>
            <w:r w:rsidR="006E1ADA" w:rsidRPr="00E84AA6">
              <w:instrText xml:space="preserve"> </w:instrText>
            </w:r>
            <w:r w:rsidR="006E1ADA">
              <w:rPr>
                <w:lang w:val="en-US"/>
              </w:rPr>
              <w:instrText>acute</w:instrText>
            </w:r>
            <w:r w:rsidR="006E1ADA" w:rsidRPr="00E84AA6">
              <w:instrText xml:space="preserve"> </w:instrText>
            </w:r>
            <w:r w:rsidR="006E1ADA">
              <w:rPr>
                <w:lang w:val="en-US"/>
              </w:rPr>
              <w:instrText>myeloid</w:instrText>
            </w:r>
            <w:r w:rsidR="006E1ADA" w:rsidRPr="00E84AA6">
              <w:instrText xml:space="preserve"> </w:instrText>
            </w:r>
            <w:r w:rsidR="006E1ADA">
              <w:rPr>
                <w:lang w:val="en-US"/>
              </w:rPr>
              <w:instrText>leukemia</w:instrText>
            </w:r>
            <w:r w:rsidR="006E1ADA" w:rsidRPr="00E84AA6">
              <w:instrText xml:space="preserve"> (</w:instrText>
            </w:r>
            <w:r w:rsidR="006E1ADA">
              <w:rPr>
                <w:lang w:val="en-US"/>
              </w:rPr>
              <w:instrText>AML</w:instrText>
            </w:r>
            <w:r w:rsidR="006E1ADA" w:rsidRPr="00E84AA6">
              <w:instrText xml:space="preserve">) </w:instrText>
            </w:r>
            <w:r w:rsidR="006E1ADA">
              <w:rPr>
                <w:lang w:val="en-US"/>
              </w:rPr>
              <w:instrText>commonly</w:instrText>
            </w:r>
            <w:r w:rsidR="006E1ADA" w:rsidRPr="00E84AA6">
              <w:instrText xml:space="preserve"> </w:instrText>
            </w:r>
            <w:r w:rsidR="006E1ADA">
              <w:rPr>
                <w:lang w:val="en-US"/>
              </w:rPr>
              <w:instrText>experience</w:instrText>
            </w:r>
            <w:r w:rsidR="006E1ADA" w:rsidRPr="00E84AA6">
              <w:instrText xml:space="preserve"> </w:instrText>
            </w:r>
            <w:r w:rsidR="006E1ADA">
              <w:rPr>
                <w:lang w:val="en-US"/>
              </w:rPr>
              <w:instrText>life</w:instrText>
            </w:r>
            <w:r w:rsidR="006E1ADA" w:rsidRPr="00E84AA6">
              <w:instrText>-</w:instrText>
            </w:r>
            <w:r w:rsidR="006E1ADA">
              <w:rPr>
                <w:lang w:val="en-US"/>
              </w:rPr>
              <w:instrText>threatening</w:instrText>
            </w:r>
            <w:r w:rsidR="006E1ADA" w:rsidRPr="00E84AA6">
              <w:instrText xml:space="preserve"> </w:instrText>
            </w:r>
            <w:r w:rsidR="006E1ADA">
              <w:rPr>
                <w:lang w:val="en-US"/>
              </w:rPr>
              <w:instrText>complications</w:instrText>
            </w:r>
            <w:r w:rsidR="006E1ADA" w:rsidRPr="00E84AA6">
              <w:instrText xml:space="preserve"> </w:instrText>
            </w:r>
            <w:r w:rsidR="006E1ADA">
              <w:rPr>
                <w:lang w:val="en-US"/>
              </w:rPr>
              <w:instrText>requiring</w:instrText>
            </w:r>
            <w:r w:rsidR="006E1ADA" w:rsidRPr="00E84AA6">
              <w:instrText xml:space="preserve"> </w:instrText>
            </w:r>
            <w:r w:rsidR="006E1ADA">
              <w:rPr>
                <w:lang w:val="en-US"/>
              </w:rPr>
              <w:instrText>intensive</w:instrText>
            </w:r>
            <w:r w:rsidR="006E1ADA" w:rsidRPr="00E84AA6">
              <w:instrText xml:space="preserve"> </w:instrText>
            </w:r>
            <w:r w:rsidR="006E1ADA">
              <w:rPr>
                <w:lang w:val="en-US"/>
              </w:rPr>
              <w:instrText>care</w:instrText>
            </w:r>
            <w:r w:rsidR="006E1ADA" w:rsidRPr="00E84AA6">
              <w:instrText xml:space="preserve"> </w:instrText>
            </w:r>
            <w:r w:rsidR="006E1ADA">
              <w:rPr>
                <w:lang w:val="en-US"/>
              </w:rPr>
              <w:instrText>unit</w:instrText>
            </w:r>
            <w:r w:rsidR="006E1ADA" w:rsidRPr="00E84AA6">
              <w:instrText xml:space="preserve"> (</w:instrText>
            </w:r>
            <w:r w:rsidR="006E1ADA">
              <w:rPr>
                <w:lang w:val="en-US"/>
              </w:rPr>
              <w:instrText>ICU</w:instrText>
            </w:r>
            <w:r w:rsidR="006E1ADA" w:rsidRPr="00E84AA6">
              <w:instrText xml:space="preserve">) </w:instrText>
            </w:r>
            <w:r w:rsidR="006E1ADA">
              <w:rPr>
                <w:lang w:val="en-US"/>
              </w:rPr>
              <w:instrText>support</w:instrText>
            </w:r>
            <w:r w:rsidR="006E1ADA" w:rsidRPr="00E84AA6">
              <w:instrText xml:space="preserve">. </w:instrText>
            </w:r>
            <w:r w:rsidR="006E1ADA">
              <w:rPr>
                <w:lang w:val="en-US"/>
              </w:rPr>
              <w:instrText>This</w:instrText>
            </w:r>
            <w:r w:rsidR="006E1ADA" w:rsidRPr="00E84AA6">
              <w:instrText xml:space="preserve"> </w:instrText>
            </w:r>
            <w:r w:rsidR="006E1ADA">
              <w:rPr>
                <w:lang w:val="en-US"/>
              </w:rPr>
              <w:instrText>is</w:instrText>
            </w:r>
            <w:r w:rsidR="006E1ADA" w:rsidRPr="00E84AA6">
              <w:instrText xml:space="preserve"> </w:instrText>
            </w:r>
            <w:r w:rsidR="006E1ADA">
              <w:rPr>
                <w:lang w:val="en-US"/>
              </w:rPr>
              <w:instrText>a</w:instrText>
            </w:r>
            <w:r w:rsidR="006E1ADA" w:rsidRPr="00E84AA6">
              <w:instrText xml:space="preserve"> </w:instrText>
            </w:r>
            <w:r w:rsidR="006E1ADA">
              <w:rPr>
                <w:lang w:val="en-US"/>
              </w:rPr>
              <w:instrText>retrospective</w:instrText>
            </w:r>
            <w:r w:rsidR="006E1ADA" w:rsidRPr="00E84AA6">
              <w:instrText xml:space="preserve"> </w:instrText>
            </w:r>
            <w:r w:rsidR="006E1ADA">
              <w:rPr>
                <w:lang w:val="en-US"/>
              </w:rPr>
              <w:instrText>study</w:instrText>
            </w:r>
            <w:r w:rsidR="006E1ADA" w:rsidRPr="00E84AA6">
              <w:instrText xml:space="preserve"> </w:instrText>
            </w:r>
            <w:r w:rsidR="006E1ADA">
              <w:rPr>
                <w:lang w:val="en-US"/>
              </w:rPr>
              <w:instrText>of</w:instrText>
            </w:r>
            <w:r w:rsidR="006E1ADA" w:rsidRPr="00E84AA6">
              <w:instrText xml:space="preserve"> 505 </w:instrText>
            </w:r>
            <w:r w:rsidR="006E1ADA">
              <w:rPr>
                <w:lang w:val="en-US"/>
              </w:rPr>
              <w:instrText>patients</w:instrText>
            </w:r>
            <w:r w:rsidR="006E1ADA" w:rsidRPr="00E84AA6">
              <w:instrText xml:space="preserve"> </w:instrText>
            </w:r>
            <w:r w:rsidR="006E1ADA">
              <w:rPr>
                <w:lang w:val="en-US"/>
              </w:rPr>
              <w:instrText>with</w:instrText>
            </w:r>
            <w:r w:rsidR="006E1ADA" w:rsidRPr="00E84AA6">
              <w:instrText xml:space="preserve"> </w:instrText>
            </w:r>
            <w:r w:rsidR="006E1ADA">
              <w:rPr>
                <w:lang w:val="en-US"/>
              </w:rPr>
              <w:instrText>newly</w:instrText>
            </w:r>
            <w:r w:rsidR="006E1ADA" w:rsidRPr="00E84AA6">
              <w:instrText xml:space="preserve"> </w:instrText>
            </w:r>
            <w:r w:rsidR="006E1ADA">
              <w:rPr>
                <w:lang w:val="en-US"/>
              </w:rPr>
              <w:instrText>diagnosed</w:instrText>
            </w:r>
            <w:r w:rsidR="006E1ADA" w:rsidRPr="00E84AA6">
              <w:instrText xml:space="preserve"> </w:instrText>
            </w:r>
            <w:r w:rsidR="006E1ADA">
              <w:rPr>
                <w:lang w:val="en-US"/>
              </w:rPr>
              <w:instrText>AML</w:instrText>
            </w:r>
            <w:r w:rsidR="006E1ADA" w:rsidRPr="00E84AA6">
              <w:instrText xml:space="preserve"> </w:instrText>
            </w:r>
            <w:r w:rsidR="006E1ADA">
              <w:rPr>
                <w:lang w:val="en-US"/>
              </w:rPr>
              <w:instrText>who</w:instrText>
            </w:r>
            <w:r w:rsidR="006E1ADA" w:rsidRPr="00E84AA6">
              <w:instrText xml:space="preserve"> </w:instrText>
            </w:r>
            <w:r w:rsidR="006E1ADA">
              <w:rPr>
                <w:lang w:val="en-US"/>
              </w:rPr>
              <w:instrText>were</w:instrText>
            </w:r>
            <w:r w:rsidR="006E1ADA" w:rsidRPr="00E84AA6">
              <w:instrText xml:space="preserve"> </w:instrText>
            </w:r>
            <w:r w:rsidR="006E1ADA">
              <w:rPr>
                <w:lang w:val="en-US"/>
              </w:rPr>
              <w:instrText>treated</w:instrText>
            </w:r>
            <w:r w:rsidR="006E1ADA" w:rsidRPr="00E84AA6">
              <w:instrText xml:space="preserve"> </w:instrText>
            </w:r>
            <w:r w:rsidR="006E1ADA">
              <w:rPr>
                <w:lang w:val="en-US"/>
              </w:rPr>
              <w:instrText>with</w:instrText>
            </w:r>
            <w:r w:rsidR="006E1ADA" w:rsidRPr="00E84AA6">
              <w:instrText xml:space="preserve"> </w:instrText>
            </w:r>
            <w:r w:rsidR="006E1ADA">
              <w:rPr>
                <w:lang w:val="en-US"/>
              </w:rPr>
              <w:instrText>intensive</w:instrText>
            </w:r>
            <w:r w:rsidR="006E1ADA" w:rsidRPr="00E84AA6">
              <w:instrText xml:space="preserve"> </w:instrText>
            </w:r>
            <w:r w:rsidR="006E1ADA">
              <w:rPr>
                <w:lang w:val="en-US"/>
              </w:rPr>
              <w:instrText>chemotherapy</w:instrText>
            </w:r>
            <w:r w:rsidR="006E1ADA" w:rsidRPr="00E84AA6">
              <w:instrText xml:space="preserve"> </w:instrText>
            </w:r>
            <w:r w:rsidR="006E1ADA">
              <w:rPr>
                <w:lang w:val="en-US"/>
              </w:rPr>
              <w:instrText>between</w:instrText>
            </w:r>
            <w:r w:rsidR="006E1ADA" w:rsidRPr="00E84AA6">
              <w:instrText xml:space="preserve"> </w:instrText>
            </w:r>
            <w:r w:rsidR="006E1ADA">
              <w:rPr>
                <w:lang w:val="en-US"/>
              </w:rPr>
              <w:instrText>January</w:instrText>
            </w:r>
            <w:r w:rsidR="006E1ADA" w:rsidRPr="00E84AA6">
              <w:instrText xml:space="preserve"> 1999 </w:instrText>
            </w:r>
            <w:r w:rsidR="006E1ADA">
              <w:rPr>
                <w:lang w:val="en-US"/>
              </w:rPr>
              <w:instrText>and</w:instrText>
            </w:r>
            <w:r w:rsidR="006E1ADA" w:rsidRPr="00E84AA6">
              <w:instrText xml:space="preserve"> </w:instrText>
            </w:r>
            <w:r w:rsidR="006E1ADA">
              <w:rPr>
                <w:lang w:val="en-US"/>
              </w:rPr>
              <w:instrText>December</w:instrText>
            </w:r>
            <w:r w:rsidR="006E1ADA" w:rsidRPr="00E84AA6">
              <w:instrText xml:space="preserve"> 2010. </w:instrText>
            </w:r>
            <w:r w:rsidR="006E1ADA">
              <w:rPr>
                <w:lang w:val="en-US"/>
              </w:rPr>
              <w:instrText>Eighty</w:instrText>
            </w:r>
            <w:r w:rsidR="006E1ADA" w:rsidRPr="00E84AA6">
              <w:instrText>-</w:instrText>
            </w:r>
            <w:r w:rsidR="006E1ADA">
              <w:rPr>
                <w:lang w:val="en-US"/>
              </w:rPr>
              <w:instrText>three</w:instrText>
            </w:r>
            <w:r w:rsidR="006E1ADA" w:rsidRPr="00E84AA6">
              <w:instrText xml:space="preserve"> </w:instrText>
            </w:r>
            <w:r w:rsidR="006E1ADA">
              <w:rPr>
                <w:lang w:val="en-US"/>
              </w:rPr>
              <w:instrText>patients</w:instrText>
            </w:r>
            <w:r w:rsidR="006E1ADA" w:rsidRPr="00E84AA6">
              <w:instrText xml:space="preserve"> (16.4%) </w:instrText>
            </w:r>
            <w:r w:rsidR="006E1ADA">
              <w:rPr>
                <w:lang w:val="en-US"/>
              </w:rPr>
              <w:instrText>were</w:instrText>
            </w:r>
            <w:r w:rsidR="006E1ADA" w:rsidRPr="00E84AA6">
              <w:instrText xml:space="preserve"> </w:instrText>
            </w:r>
            <w:r w:rsidR="006E1ADA">
              <w:rPr>
                <w:lang w:val="en-US"/>
              </w:rPr>
              <w:instrText>identified</w:instrText>
            </w:r>
            <w:r w:rsidR="006E1ADA" w:rsidRPr="00E84AA6">
              <w:instrText xml:space="preserve"> </w:instrText>
            </w:r>
            <w:r w:rsidR="006E1ADA">
              <w:rPr>
                <w:lang w:val="en-US"/>
              </w:rPr>
              <w:instrText>who</w:instrText>
            </w:r>
            <w:r w:rsidR="006E1ADA" w:rsidRPr="00E84AA6">
              <w:instrText xml:space="preserve"> </w:instrText>
            </w:r>
            <w:r w:rsidR="006E1ADA">
              <w:rPr>
                <w:lang w:val="en-US"/>
              </w:rPr>
              <w:instrText>had</w:instrText>
            </w:r>
            <w:r w:rsidR="006E1ADA" w:rsidRPr="00E84AA6">
              <w:instrText xml:space="preserve"> </w:instrText>
            </w:r>
            <w:r w:rsidR="006E1ADA">
              <w:rPr>
                <w:lang w:val="en-US"/>
              </w:rPr>
              <w:instrText>required</w:instrText>
            </w:r>
            <w:r w:rsidR="006E1ADA" w:rsidRPr="00E84AA6">
              <w:instrText xml:space="preserve"> 92 </w:instrText>
            </w:r>
            <w:r w:rsidR="006E1ADA">
              <w:rPr>
                <w:lang w:val="en-US"/>
              </w:rPr>
              <w:instrText>ICU</w:instrText>
            </w:r>
            <w:r w:rsidR="006E1ADA" w:rsidRPr="00E84AA6">
              <w:instrText xml:space="preserve"> </w:instrText>
            </w:r>
            <w:r w:rsidR="006E1ADA">
              <w:rPr>
                <w:lang w:val="en-US"/>
              </w:rPr>
              <w:instrText>admissions</w:instrText>
            </w:r>
            <w:r w:rsidR="006E1ADA" w:rsidRPr="00E84AA6">
              <w:instrText xml:space="preserve">. </w:instrText>
            </w:r>
            <w:r w:rsidR="006E1ADA">
              <w:rPr>
                <w:lang w:val="en-US"/>
              </w:rPr>
              <w:instrText>The</w:instrText>
            </w:r>
            <w:r w:rsidR="006E1ADA" w:rsidRPr="00E84AA6">
              <w:instrText xml:space="preserve"> </w:instrText>
            </w:r>
            <w:r w:rsidR="006E1ADA">
              <w:rPr>
                <w:lang w:val="en-US"/>
              </w:rPr>
              <w:instrText>indication</w:instrText>
            </w:r>
            <w:r w:rsidR="006E1ADA" w:rsidRPr="00E84AA6">
              <w:instrText xml:space="preserve"> </w:instrText>
            </w:r>
            <w:r w:rsidR="006E1ADA">
              <w:rPr>
                <w:lang w:val="en-US"/>
              </w:rPr>
              <w:instrText>for</w:instrText>
            </w:r>
            <w:r w:rsidR="006E1ADA" w:rsidRPr="00E84AA6">
              <w:instrText xml:space="preserve"> </w:instrText>
            </w:r>
            <w:r w:rsidR="006E1ADA">
              <w:rPr>
                <w:lang w:val="en-US"/>
              </w:rPr>
              <w:instrText>ICU admission was hemodynamic instability in 47.0% of patients and respiratory impairment in 42.2%. The underlying pathology was most commonly infection (77.1%). Vasopressors were required in 67.5% of admissions, mechanical ventilation in 60.2% and hemodialysis in 15.7%. Rates of survival to hospital discharge and 12 months were 59.0% and 41.3%, respectively. Mechanical ventilation use and higher fibrinogen were independently associated with mortality prior to hospital discharge, and mechanical ventilation use and AML cytogenetic risk group were predictive of mortality within 12 months of ICU admission. By providing a more accurate estimation of a patient's chance of recovery, such prognostic factors may contribute to decision-making about the appropriateness of admission to the ICU or continuation of intensive life-sustaining measures.","author":[{"dropping-particle":"","family":"Jackson","given":"Kathryn","non-dropping-particle":"","parse-names":false,"suffix":""},{"dropping-particle":"","family":"Mollee","given":"Peter","non-dropping-particle":"","parse-names":false,"suffix":""},{"dropping-particle":"","family":"Morris","given":"Kirk","non-dropping-particle":"","parse-names":false,"suffix":""},{"dropping-particle":"","family":"Butler","given":"Jason","non-dropping-particle":"","parse-names":false,"suffix":""},{"dropping-particle":"","family":"Jackson","given":"Dwane","non-dropping-particle":"","parse-names":false,"suffix":""},{"dropping-particle":"","family":"Kruger","given":"Peter","non-dropping-particle":"","parse-names":false,"suffix":""},{"dropping-particle":"","family":"Klein","given":"Kerenaftali","non-dropping-particle":"","parse-names":false,"suffix":""},{"dropping-particle":"","family":"Kennedy","given":"Glen","non-dropping-particle":"","parse-names":false,"suffix":""}],"container-title":"Leukemia &amp; lymphoma","id":"ITEM-1","issue":"April","issued":{"date-parts":[["2013","1"]]},"page":"1-8","publisher":"Leuk Lymphoma","title":"Outcomes and prognostic factors for patients with acute myeloid leukemia admitted to the intensive care unit","type":"article-journal","volume":"55"},"uris":["http://www.mendeley.com/documents/?uuid=af5715ea-f420-4629-9acb-36739876454f"]}],"mendeley":{"formattedCitation":"[218]","plainTextFormattedCitation":"[218]","previouslyFormattedCitation":"[218]"},"properties":{"noteIndex":0},"schema":"https://github.com/citation-style-language/schema/raw/master/csl-citation.json"}</w:instrText>
            </w:r>
            <w:r>
              <w:rPr>
                <w:lang w:val="en-US"/>
              </w:rPr>
              <w:fldChar w:fldCharType="separate"/>
            </w:r>
            <w:r w:rsidR="00B96A78" w:rsidRPr="00B96A78">
              <w:rPr>
                <w:noProof/>
                <w:lang w:val="en-US"/>
              </w:rPr>
              <w:t>[218]</w:t>
            </w:r>
            <w:r>
              <w:rPr>
                <w:lang w:val="en-US"/>
              </w:rPr>
              <w:fldChar w:fldCharType="end"/>
            </w:r>
            <w:r w:rsidRPr="008F721B">
              <w:t xml:space="preserve"> </w:t>
            </w:r>
          </w:p>
        </w:tc>
        <w:tc>
          <w:tcPr>
            <w:tcW w:w="2140" w:type="dxa"/>
          </w:tcPr>
          <w:p w14:paraId="1FBAB20C" w14:textId="77777777" w:rsidR="00D43393" w:rsidRPr="008F721B" w:rsidRDefault="00D43393" w:rsidP="002D3EBF">
            <w:pPr>
              <w:jc w:val="center"/>
            </w:pPr>
            <w:r w:rsidRPr="008F721B">
              <w:t>60</w:t>
            </w:r>
          </w:p>
        </w:tc>
        <w:tc>
          <w:tcPr>
            <w:tcW w:w="2447" w:type="dxa"/>
          </w:tcPr>
          <w:p w14:paraId="584D3DEA" w14:textId="77777777" w:rsidR="00D43393" w:rsidRPr="008F721B" w:rsidRDefault="00D43393" w:rsidP="002D3EBF">
            <w:pPr>
              <w:jc w:val="center"/>
            </w:pPr>
            <w:r w:rsidRPr="008F721B">
              <w:t>15,7</w:t>
            </w:r>
          </w:p>
        </w:tc>
        <w:tc>
          <w:tcPr>
            <w:tcW w:w="2418" w:type="dxa"/>
          </w:tcPr>
          <w:p w14:paraId="264D25C2" w14:textId="77777777" w:rsidR="00D43393" w:rsidRPr="008F721B" w:rsidRDefault="00D43393" w:rsidP="002D3EBF">
            <w:pPr>
              <w:jc w:val="center"/>
            </w:pPr>
            <w:r w:rsidRPr="008F721B">
              <w:t>67,5</w:t>
            </w:r>
          </w:p>
        </w:tc>
      </w:tr>
      <w:tr w:rsidR="00D43393" w:rsidRPr="008F721B" w14:paraId="2D96AD5B" w14:textId="77777777" w:rsidTr="002D3EBF">
        <w:trPr>
          <w:trHeight w:val="657"/>
        </w:trPr>
        <w:tc>
          <w:tcPr>
            <w:tcW w:w="2422" w:type="dxa"/>
          </w:tcPr>
          <w:p w14:paraId="4FA4331F" w14:textId="645FCD3B" w:rsidR="00D43393" w:rsidRPr="009D0B15" w:rsidRDefault="00D43393" w:rsidP="002D3EBF">
            <w:pPr>
              <w:jc w:val="center"/>
            </w:pPr>
            <w:r w:rsidRPr="008F721B">
              <w:rPr>
                <w:lang w:val="en-US"/>
              </w:rPr>
              <w:t xml:space="preserve">Roze des Ordons A. </w:t>
            </w:r>
            <w:r w:rsidRPr="008F721B">
              <w:t>и</w:t>
            </w:r>
            <w:r w:rsidRPr="008F721B">
              <w:rPr>
                <w:lang w:val="en-US"/>
              </w:rPr>
              <w:t xml:space="preserve"> </w:t>
            </w:r>
            <w:r w:rsidRPr="008F721B">
              <w:t>соавт</w:t>
            </w:r>
            <w:r w:rsidRPr="008F721B">
              <w:rPr>
                <w:lang w:val="en-US"/>
              </w:rPr>
              <w:t>.</w:t>
            </w:r>
            <w:r>
              <w:rPr>
                <w:lang w:val="en-US"/>
              </w:rPr>
              <w:t xml:space="preserve">, 2010 </w:t>
            </w:r>
            <w:r>
              <w:rPr>
                <w:lang w:val="en-US"/>
              </w:rPr>
              <w:fldChar w:fldCharType="begin" w:fldLock="1"/>
            </w:r>
            <w:r w:rsidR="006E1ADA">
              <w:rPr>
                <w:lang w:val="en-US"/>
              </w:rPr>
              <w:instrText>ADDIN CSL_CITATION {"citationItems":[{"id":"ITEM-1","itemData":{"DOI":"10.1186/1471-2407-10-516","ISSN":"14712407","PMID":"20920175","abstract":"Background: There is limited epidemiologic data on patients with acute myelogenous (myeloid) leukemia (AML) requiring life-sustaining therapies in the intensive care unit (ICU). Our objectives were to describe the clinical characteristics and outcomes in critically ill AML patients.Methods: This was a retrospective case-control study. Cases were defined as adult patients with a primary diagnosis of AML admitted to ICU at the University of Alberta Hospital between January 1st2002 and June 30th2008. Each case was matched by age, sex, and illness severity (ICU only) to two control groups: hospitalized AML controls, and non-AML ICU controls. Data were extracted on demographics, course of hospitalization, and clinical outcomes.Results: In total, 45 AML patients with available data were admitted to ICU. Mean (SD) age was 54.8 (13.1) years and 28.9% were female. Primary diagnoses were sepsis (32.6%) and respiratory failure (37.3%). Mean (SD) APACHE II score was 30.3 (10.3), SOFA score 12.6 (4.0) with 62.2% receiving mechanical ventilation, 55.6% vasoactive therapy, and 26.7% renal replacement therapy. Crude in-hospital, 90-day and 1-year mortality was 44.4%, 51.1% and 71.1%, respectively. AML cases had significantly higher adjusted-hazards of death (HR 2.23; 95% CI, 1.38-3.60, p = 0.001) compared to both non-AML ICU controls (HR 1.69; 95% CI, 1.11-2.58, p = 0.02) and hospitalized AML controls (OR 1.0, reference variable). Factors associated with ICU mortality by univariate analysis included older age, AML subtype, higher baseline SOFA score, no change or an increase in early SOFA score, shock, vasoactive therapy and mechanical ventilation. Active chemotherapy in ICU was associated with lower mortality.Conclusions: AML patients may represent a minority of all critically ill admissions; however, are not uncommonly supported in ICU. These AML patients are characterized by high illness severity, multi-organ dysfunction, and high treatment intensity and have a higher risk of death when compared with matched hospitalized AML or non-AML ICU controls. The absence of early improvement in organ failure may be a useful predictor for mortality for AML patients admitted to ICU. © 2010 Roze des Ordons et al; licensee BioMed Central Ltd.","author":[{"dropping-particle":"","family":"Roze des Ordons","given":"Amanda L.","non-dropping-particle":"","parse-names":false,"suffix":""},{"dropping-particle":"","family":"Chan","given":"Kris","non-dropping-particle":"","parse-names":false,"suffix":""},{"dropping-particle":"","family":"Mirza","given":"Imran","non-dropping-particle":"","parse-names":false,"suffix":""},{"dropping-particle":"","family":"Townsend","given":"Derek R.","non-dropping-particle":"","parse-names":false,"suffix":""},{"dropping-particle":"","family":"Bagshaw","given":"Sean M.","non-dropping-particle":"","parse-names":false,"suffix":""}],"container-title":"BMC Cancer","id":"ITEM-1","issued":{"date-parts":[["2010","9","28"]]},"page":"516","title":"Clinical characteristics and outcomes of patients with acute myelogenous leukemia admitted to intensive care: A case-control study","type":"article-journal","volume":"10"},"uris":["http://www.mendeley.com/documents/?uuid=de27b039-3812-4b08-96fa-07054eeb2151"]}],"mendeley":{"formattedCitation":"[220]","plainTextFormattedCitation":"[220]","previouslyFormattedCitation":"[220]"},"properties":{"noteIndex":0},"schema":"https://github.com/citation-style-language/schema/raw/master/csl-citation.json"}</w:instrText>
            </w:r>
            <w:r>
              <w:rPr>
                <w:lang w:val="en-US"/>
              </w:rPr>
              <w:fldChar w:fldCharType="separate"/>
            </w:r>
            <w:r w:rsidR="00B96A78" w:rsidRPr="00B96A78">
              <w:rPr>
                <w:noProof/>
              </w:rPr>
              <w:t>[220]</w:t>
            </w:r>
            <w:r>
              <w:rPr>
                <w:lang w:val="en-US"/>
              </w:rPr>
              <w:fldChar w:fldCharType="end"/>
            </w:r>
            <w:r w:rsidRPr="009D0B15">
              <w:t xml:space="preserve"> </w:t>
            </w:r>
          </w:p>
        </w:tc>
        <w:tc>
          <w:tcPr>
            <w:tcW w:w="2140" w:type="dxa"/>
          </w:tcPr>
          <w:p w14:paraId="694A074C" w14:textId="77777777" w:rsidR="00D43393" w:rsidRPr="008F721B" w:rsidRDefault="00D43393" w:rsidP="002D3EBF">
            <w:pPr>
              <w:jc w:val="center"/>
            </w:pPr>
            <w:r w:rsidRPr="008F721B">
              <w:t>66</w:t>
            </w:r>
          </w:p>
        </w:tc>
        <w:tc>
          <w:tcPr>
            <w:tcW w:w="2447" w:type="dxa"/>
          </w:tcPr>
          <w:p w14:paraId="5806E30C" w14:textId="77777777" w:rsidR="00D43393" w:rsidRPr="008F721B" w:rsidRDefault="00D43393" w:rsidP="002D3EBF">
            <w:pPr>
              <w:jc w:val="center"/>
            </w:pPr>
            <w:r w:rsidRPr="008F721B">
              <w:t>47,8</w:t>
            </w:r>
          </w:p>
        </w:tc>
        <w:tc>
          <w:tcPr>
            <w:tcW w:w="2418" w:type="dxa"/>
          </w:tcPr>
          <w:p w14:paraId="1B41278B" w14:textId="77777777" w:rsidR="00D43393" w:rsidRPr="008F721B" w:rsidRDefault="00D43393" w:rsidP="002D3EBF">
            <w:pPr>
              <w:jc w:val="center"/>
            </w:pPr>
            <w:r w:rsidRPr="008F721B">
              <w:t>75,6</w:t>
            </w:r>
          </w:p>
        </w:tc>
      </w:tr>
      <w:tr w:rsidR="00D43393" w:rsidRPr="008F721B" w14:paraId="6599C769" w14:textId="77777777" w:rsidTr="002D3EBF">
        <w:trPr>
          <w:trHeight w:val="825"/>
        </w:trPr>
        <w:tc>
          <w:tcPr>
            <w:tcW w:w="2422" w:type="dxa"/>
          </w:tcPr>
          <w:p w14:paraId="088535D5" w14:textId="24B707F9" w:rsidR="00D43393" w:rsidRPr="009D0B15" w:rsidRDefault="00D43393" w:rsidP="002D3EBF">
            <w:pPr>
              <w:jc w:val="center"/>
              <w:rPr>
                <w:lang w:val="en-US"/>
              </w:rPr>
            </w:pPr>
            <w:r w:rsidRPr="008F721B">
              <w:t>Wohlfarth P. и соавт.</w:t>
            </w:r>
            <w:r>
              <w:t>,</w:t>
            </w:r>
            <w:r>
              <w:rPr>
                <w:lang w:val="en-US"/>
              </w:rPr>
              <w:t xml:space="preserve"> 2014 </w:t>
            </w:r>
            <w:r>
              <w:rPr>
                <w:lang w:val="en-US"/>
              </w:rPr>
              <w:fldChar w:fldCharType="begin" w:fldLock="1"/>
            </w:r>
            <w:r w:rsidR="006E1ADA">
              <w:rPr>
                <w:lang w:val="en-US"/>
              </w:rPr>
              <w:instrText>ADDIN CSL_CITATION {"citationItems":[{"id":"ITEM-1","itemData":{"DOI":"10.1007/s00277-014-2141-x","ISSN":"14320584","PMID":"24997682","abstract":"Prognostic factors and outcomes of cancer patients with acute organ failure receiving chemotherapy (CT) in the intensive care unit (ICU) are still incompletely described. We therefore retrospectively studied all patients who received CT in any ICU of our institution between October 2006 and November 2013. Fifty-six patients with hematologic (n = 49; 87.5 %) or solid (n = 7; 12.5 %) malignancies, of which 20 (36 %) were diagnosed in the ICU, were analyzed [m/f ratio, 33:23; median age, 47 years (IQR 32 to 62); Charlson Comorbidity Index (CCI), 3 (2 to 5); Simplified Acute Physiology Score II (SAPS II), 50 (39 to 61)]. The main reasons for admission were acute respiratory failure, acute kidney failure, and septic shock. Mechanical ventilation and vasopressors were employed in 34 patients (61 %) respectively, hemofiltration in 22 (39 %), and extracorporeal life support in 7 (13 %). Twenty-seven patients (48 %) received their first CT in the ICU. Intention of therapy was cure in 46 patients (82 %). Tumor lysis syndrome (TLS) developed in 20 patients (36 %). ICU and hospital survival was 75 and 59 %. Hospital survivors were significantly younger; had lower CCI, SAPS II, and TLS risk scores; presented less often with septic shock; were less likely to develop TLS; and received vasopressors, hemofiltration, and thrombocyte transfusions in lower proportions. After discharge, 88 % continued CT and 69 % of 1-year survivors were in complete remission. Probability of 1- and 2-year survival was 41 and 38 %, respectively. Conclusively, administration of CT in selected ICU cancer patients was feasible and associated with considerable long-term survival as well as long-term disease-free survival. © 2014 Springer-Verlag.","author":[{"dropping-particle":"","family":"Wohlfarth","given":"Philipp","non-dropping-particle":"","parse-names":false,"suffix":""},{"dropping-particle":"","family":"Staudinger","given":"Thomas","non-dropping-particle":"","parse-names":false,"suffix":""},{"dropping-particle":"","family":"Sperr","given":"Wolfgang R.","non-dropping-particle":"","parse-names":false,"suffix":""},{"dropping-particle":"","family":"Bojic","given":"Andja","non-dropping-particle":"","parse-names":false,"suffix":""},{"dropping-particle":"","family":"Robak","given":"Oliver","non-dropping-particle":"","parse-names":false,"suffix":""},{"dropping-particle":"","family":"Hermann","given":"Alexander","non-dropping-particle":"","parse-names":false,"suffix":""},{"dropping-particle":"","family":"Laczika","given":"Klaus","non-dropping-particle":"","parse-names":false,"suffix":""},{"dropping-particle":"","family":"Carlström","given":"Alexander","non-dropping-particle":"","parse-names":false,"suffix":""},{"dropping-particle":"","family":"Riss","given":"Katharina","non-dropping-particle":"","parse-names":false,"suffix":""},{"dropping-particle":"","family":"Rabitsch","given":"Werner","non-dropping-particle":"","parse-names":false,"suffix":""},{"dropping-particle":"","family":"Bojic","given":"Marija","non-dropping-particle":"","parse-names":false,"suffix":""},{"dropping-particle":"","family":"Knoebl","given":"Paul","non-dropping-particle":"","parse-names":false,"suffix":""},{"dropping-particle":"","family":"Locker","given":"Gottfried J.","non-dropping-particle":"","parse-names":false,"suffix":""},{"dropping-particle":"","family":"Obiditsch","given":"Maria","non-dropping-particle":"","parse-names":false,"suffix":""},{"dropping-particle":"","family":"Fuhrmann","given":"Valentin","non-dropping-particle":"","parse-names":false,"suffix":""},{"dropping-particle":"","family":"Schellongowski","given":"Peter","non-dropping-particle":"","parse-names":false,"suffix":""}],"container-title":"Annals of Hematology","id":"ITEM-1","issue":"10","issued":{"date-parts":[["2014","10","1"]]},"page":"1629-1636","publisher":"Springer Verlag","title":"Prognostic factors, long-term survival, and outcome of cancer patients receiving chemotherapy in the intensive care unit","type":"article-journal","volume":"93"},"uris":["http://www.mendeley.com/documents/?uuid=0733d133-5580-3a03-ba29-b76fb0421e62"]}],"mendeley":{"formattedCitation":"[221]","plainTextFormattedCitation":"[221]","previouslyFormattedCitation":"[221]"},"properties":{"noteIndex":0},"schema":"https://github.com/citation-style-language/schema/raw/master/csl-citation.json"}</w:instrText>
            </w:r>
            <w:r>
              <w:rPr>
                <w:lang w:val="en-US"/>
              </w:rPr>
              <w:fldChar w:fldCharType="separate"/>
            </w:r>
            <w:r w:rsidR="00B96A78" w:rsidRPr="00B96A78">
              <w:rPr>
                <w:noProof/>
                <w:lang w:val="en-US"/>
              </w:rPr>
              <w:t>[221]</w:t>
            </w:r>
            <w:r>
              <w:rPr>
                <w:lang w:val="en-US"/>
              </w:rPr>
              <w:fldChar w:fldCharType="end"/>
            </w:r>
          </w:p>
        </w:tc>
        <w:tc>
          <w:tcPr>
            <w:tcW w:w="2140" w:type="dxa"/>
          </w:tcPr>
          <w:p w14:paraId="796EE193" w14:textId="77777777" w:rsidR="00D43393" w:rsidRPr="008F721B" w:rsidRDefault="00D43393" w:rsidP="002D3EBF">
            <w:pPr>
              <w:jc w:val="center"/>
            </w:pPr>
            <w:r w:rsidRPr="008F721B">
              <w:t>61</w:t>
            </w:r>
          </w:p>
        </w:tc>
        <w:tc>
          <w:tcPr>
            <w:tcW w:w="2447" w:type="dxa"/>
          </w:tcPr>
          <w:p w14:paraId="2DD0C342" w14:textId="77777777" w:rsidR="00D43393" w:rsidRPr="008F721B" w:rsidRDefault="00D43393" w:rsidP="002D3EBF">
            <w:pPr>
              <w:jc w:val="center"/>
            </w:pPr>
            <w:r w:rsidRPr="008F721B">
              <w:t>61</w:t>
            </w:r>
          </w:p>
        </w:tc>
        <w:tc>
          <w:tcPr>
            <w:tcW w:w="2418" w:type="dxa"/>
          </w:tcPr>
          <w:p w14:paraId="3CDF8262" w14:textId="77777777" w:rsidR="00D43393" w:rsidRPr="008F721B" w:rsidRDefault="00D43393" w:rsidP="002D3EBF">
            <w:pPr>
              <w:jc w:val="center"/>
            </w:pPr>
            <w:r w:rsidRPr="008F721B">
              <w:t>39</w:t>
            </w:r>
          </w:p>
        </w:tc>
      </w:tr>
      <w:tr w:rsidR="00D43393" w:rsidRPr="008F721B" w14:paraId="5D399A87" w14:textId="77777777" w:rsidTr="002D3EBF">
        <w:trPr>
          <w:trHeight w:val="840"/>
        </w:trPr>
        <w:tc>
          <w:tcPr>
            <w:tcW w:w="2422" w:type="dxa"/>
          </w:tcPr>
          <w:p w14:paraId="5783F0DE" w14:textId="087BE470" w:rsidR="00D43393" w:rsidRPr="008F721B" w:rsidRDefault="00D43393" w:rsidP="002D3EBF">
            <w:pPr>
              <w:jc w:val="center"/>
            </w:pPr>
            <w:r w:rsidRPr="008F721B">
              <w:t>Schellongowski P.и соавт.</w:t>
            </w:r>
            <w:r>
              <w:t>,</w:t>
            </w:r>
            <w:r>
              <w:rPr>
                <w:lang w:val="en-US"/>
              </w:rPr>
              <w:t xml:space="preserve"> 2010 </w:t>
            </w:r>
            <w:r>
              <w:rPr>
                <w:lang w:val="en-US"/>
              </w:rPr>
              <w:fldChar w:fldCharType="begin" w:fldLock="1"/>
            </w:r>
            <w:r w:rsidR="006E1ADA">
              <w:rPr>
                <w:lang w:val="en-US"/>
              </w:rPr>
              <w:instrText>ADDIN CSL_CITATION {"citationItems":[{"id":"ITEM-1","itemData":{"DOI":"10.3324/haematol.2010.031583","ISBN":"1592-8721","ISSN":"03906078","PMID":"21071501","abstract":"Acute myeloid leukemia is a life-threatening disease associated with high mortality rates. A substantial number of patients require intensive care. This investigation analyzes risk factors predicting admission to the intensive care unit in patients with acute myeloid leukemia eligible for induction chemotherapy, the outcome of these patients, and prognostic factors predicting their survival.","author":[{"dropping-particle":"","family":"Schellongowski","given":"Peter","non-dropping-particle":"","parse-names":false,"suffix":""},{"dropping-particle":"","family":"Staudinger","given":"Thomas","non-dropping-particle":"","parse-names":false,"suffix":""},{"dropping-particle":"","family":"Kundi","given":"Michael","non-dropping-particle":"","parse-names":false,"suffix":""},{"dropping-particle":"","family":"Laczika","given":"Klaus","non-dropping-particle":"","parse-names":false,"suffix":""},{"dropping-particle":"","family":"Locker","given":"Gottfried J.","non-dropping-particle":"","parse-names":false,"suffix":""},{"dropping-particle":"","family":"Bojic","given":"Andja","non-dropping-particle":"","parse-names":false,"suffix":""},{"dropping-particle":"","family":"Robak","given":"Oliver","non-dropping-particle":"","parse-names":false,"suffix":""},{"dropping-particle":"","family":"Fuhrmann","given":"Valentin","non-dropping-particle":"","parse-names":false,"suffix":""},{"dropping-particle":"","family":"Jäger","given":"Ulrich","non-dropping-particle":"","parse-names":false,"suffix":""},{"dropping-particle":"","family":"Valent","given":"Peter","non-dropping-particle":"","parse-names":false,"suffix":""},{"dropping-particle":"","family":"Sperr","given":"Wolfgang R.","non-dropping-particle":"","parse-names":false,"suffix":""}],"container-title":"Haematologica","id":"ITEM-1","issue":"2","issued":{"date-parts":[["2011","2"]]},"page":"231-237","title":"Prognostic factors for intensive care unit admission, intensive care outcome, and post-intensive care survival in patients with de novo acute myeloid leukemia: a single center experience","type":"article-journal","volume":"96"},"uris":["http://www.mendeley.com/documents/?uuid=7251567b-1fba-40bf-b96a-3bcd8583314e"]}],"mendeley":{"formattedCitation":"[216]","plainTextFormattedCitation":"[216]","previouslyFormattedCitation":"[216]"},"properties":{"noteIndex":0},"schema":"https://github.com/citation-style-language/schema/raw/master/csl-citation.json"}</w:instrText>
            </w:r>
            <w:r>
              <w:rPr>
                <w:lang w:val="en-US"/>
              </w:rPr>
              <w:fldChar w:fldCharType="separate"/>
            </w:r>
            <w:r w:rsidR="00B96A78" w:rsidRPr="00B96A78">
              <w:rPr>
                <w:noProof/>
                <w:lang w:val="en-US"/>
              </w:rPr>
              <w:t>[216]</w:t>
            </w:r>
            <w:r>
              <w:rPr>
                <w:lang w:val="en-US"/>
              </w:rPr>
              <w:fldChar w:fldCharType="end"/>
            </w:r>
            <w:r w:rsidRPr="008F721B">
              <w:t xml:space="preserve"> </w:t>
            </w:r>
          </w:p>
        </w:tc>
        <w:tc>
          <w:tcPr>
            <w:tcW w:w="2140" w:type="dxa"/>
          </w:tcPr>
          <w:p w14:paraId="7BBC59CC" w14:textId="77777777" w:rsidR="00D43393" w:rsidRPr="008F721B" w:rsidRDefault="00D43393" w:rsidP="002D3EBF">
            <w:pPr>
              <w:jc w:val="center"/>
            </w:pPr>
            <w:r w:rsidRPr="008F721B">
              <w:t>50</w:t>
            </w:r>
          </w:p>
        </w:tc>
        <w:tc>
          <w:tcPr>
            <w:tcW w:w="2447" w:type="dxa"/>
          </w:tcPr>
          <w:p w14:paraId="03CDEF8F" w14:textId="77777777" w:rsidR="00D43393" w:rsidRPr="008F721B" w:rsidRDefault="00D43393" w:rsidP="002D3EBF">
            <w:pPr>
              <w:jc w:val="center"/>
            </w:pPr>
            <w:r w:rsidRPr="008F721B">
              <w:t>3,2</w:t>
            </w:r>
          </w:p>
        </w:tc>
        <w:tc>
          <w:tcPr>
            <w:tcW w:w="2418" w:type="dxa"/>
          </w:tcPr>
          <w:p w14:paraId="0E6BEB96" w14:textId="77777777" w:rsidR="00D43393" w:rsidRPr="008F721B" w:rsidRDefault="00D43393" w:rsidP="002D3EBF">
            <w:pPr>
              <w:jc w:val="center"/>
            </w:pPr>
            <w:r w:rsidRPr="008F721B">
              <w:t>8</w:t>
            </w:r>
          </w:p>
        </w:tc>
      </w:tr>
      <w:tr w:rsidR="00D43393" w:rsidRPr="008F721B" w14:paraId="6806FBAA" w14:textId="77777777" w:rsidTr="002D3EBF">
        <w:trPr>
          <w:trHeight w:val="805"/>
        </w:trPr>
        <w:tc>
          <w:tcPr>
            <w:tcW w:w="2422" w:type="dxa"/>
          </w:tcPr>
          <w:p w14:paraId="05EA205D" w14:textId="050EE2E8" w:rsidR="00D43393" w:rsidRPr="008F721B" w:rsidRDefault="00D43393" w:rsidP="002D3EBF">
            <w:pPr>
              <w:jc w:val="center"/>
            </w:pPr>
            <w:r w:rsidRPr="008F721B">
              <w:t>Ahmed T. и соавт.</w:t>
            </w:r>
            <w:r>
              <w:t xml:space="preserve">, 2017 </w:t>
            </w:r>
            <w:r>
              <w:fldChar w:fldCharType="begin" w:fldLock="1"/>
            </w:r>
            <w:r w:rsidR="006E1ADA">
              <w:instrText>ADDIN CSL_CITATION {"citationItems":[{"id":"ITEM-1","itemData":{"DOI":"10.1016/j.leukres.2017.09.017","ISSN":"18735835","PMID":"28985622","abstract":"Patients with Acute Myeloid Leukemia (AML) have compromised marrow function and chemotherapy causes further suppression. As a result complications are frequent, and patients may require admission to the intensive care unit (ICU). How codes status changes when these events occur and how those changes influence outcome are largely unknown. Outcomes for adult patients with AML, undergoing induction chemotherapy, and transferred to the ICU between January 2000 and December 2013 were analyzed. 94 patients were included. Median survival was 1.3 months. At 3 and 6 months overall survival (OS) was 27% and 18% respectively. Respiratory failure was the most common reason for transfer to ICU (88%), with 63% requiring mechanical ventilation at transfer. Other reasons included: cardiac arrest (18%), septic shock (17%), hypotension (9%), and acute renal failure (9%). The most frequent interventions were mechanical ventilation in 85%, vasopressors in 62%, and hemodialysis in 30%. Following transfer 55 patients (58%) had a change in code status. Overall, 46 patients (49%) changed from Full Code (FC) to Comfort Care (CC), 7 (7%) from FC to Do Not Resuscitate (DNR), and 2 (2%) from DNR to CC. For the entire cohort, ICU mortality (IM) was 61% and hospital mortality (HM) was 71%. For FC or DNR patients, IM was 30% and HM was 41%. For CC patients, IM was 90% and HM was 100%. Overall, 27 patients (29%) survived to discharge. Of those discharged, 22 (81%) were alive at 3 months and 17 (63%) were alive at 6 months. In conclusion, patients that required ICU admission during induction chemotherapy have a poor prognosis. Code status changed during the ICU stay for the majority of patients and always to a less aggressive status.","author":[{"dropping-particle":"","family":"Ahmed","given":"Tamjeed","non-dropping-particle":"","parse-names":false,"suffix":""},{"dropping-particle":"","family":"Koch","given":"Abby L.","non-dropping-particle":"","parse-names":false,"suffix":""},{"dropping-particle":"","family":"Isom","given":"Scott","non-dropping-particle":"","parse-names":false,"suffix":""},{"dropping-particle":"","family":"Klepin","given":"Heidi D.","non-dropping-particle":"","parse-names":false,"suffix":""},{"dropping-particle":"","family":"Bishop","given":"Jonathan M.","non-dropping-particle":"","parse-names":false,"suffix":""},{"dropping-particle":"","family":"Ellis","given":"Leslie R.","non-dropping-particle":"","parse-names":false,"suffix":""},{"dropping-particle":"","family":"Berenzon","given":"Dmitriy","non-dropping-particle":"","parse-names":false,"suffix":""},{"dropping-particle":"","family":"Howard","given":"Dianna","non-dropping-particle":"","parse-names":false,"suffix":""},{"dropping-particle":"","family":"Lyerly","given":"Susan","non-dropping-particle":"","parse-names":false,"suffix":""},{"dropping-particle":"","family":"Powell","given":"Bayard L.","non-dropping-particle":"","parse-names":false,"suffix":""},{"dropping-particle":"","family":"Pardee","given":"Timothy S.","non-dropping-particle":"","parse-names":false,"suffix":""}],"container-title":"Leukemia Research","id":"ITEM-1","issued":{"date-parts":[["2017","11","1"]]},"page":"51-55","publisher":"Elsevier Ltd","title":"Outcomes and changes in code status of patients with acute myeloid leukemia undergoing induction chemotherapy who were transferred to the intensive care unit","type":"article-journal","volume":"62"},"uris":["http://www.mendeley.com/documents/?uuid=06d1336d-0ad4-3138-ba61-9709dde152aa"]}],"mendeley":{"formattedCitation":"[219]","plainTextFormattedCitation":"[219]","previouslyFormattedCitation":"[219]"},"properties":{"noteIndex":0},"schema":"https://github.com/citation-style-language/schema/raw/master/csl-citation.json"}</w:instrText>
            </w:r>
            <w:r>
              <w:fldChar w:fldCharType="separate"/>
            </w:r>
            <w:r w:rsidR="00B96A78" w:rsidRPr="00B96A78">
              <w:rPr>
                <w:noProof/>
              </w:rPr>
              <w:t>[219]</w:t>
            </w:r>
            <w:r>
              <w:fldChar w:fldCharType="end"/>
            </w:r>
            <w:r w:rsidRPr="008F721B">
              <w:t xml:space="preserve"> </w:t>
            </w:r>
          </w:p>
        </w:tc>
        <w:tc>
          <w:tcPr>
            <w:tcW w:w="2140" w:type="dxa"/>
          </w:tcPr>
          <w:p w14:paraId="01E831CF" w14:textId="77777777" w:rsidR="00D43393" w:rsidRPr="008F721B" w:rsidRDefault="00D43393" w:rsidP="002D3EBF">
            <w:pPr>
              <w:jc w:val="center"/>
            </w:pPr>
            <w:r w:rsidRPr="008F721B">
              <w:t>85</w:t>
            </w:r>
          </w:p>
        </w:tc>
        <w:tc>
          <w:tcPr>
            <w:tcW w:w="2447" w:type="dxa"/>
          </w:tcPr>
          <w:p w14:paraId="43CB7125" w14:textId="77777777" w:rsidR="00D43393" w:rsidRPr="008F721B" w:rsidRDefault="00D43393" w:rsidP="002D3EBF">
            <w:pPr>
              <w:jc w:val="center"/>
            </w:pPr>
            <w:r w:rsidRPr="008F721B">
              <w:t>30</w:t>
            </w:r>
          </w:p>
        </w:tc>
        <w:tc>
          <w:tcPr>
            <w:tcW w:w="2418" w:type="dxa"/>
          </w:tcPr>
          <w:p w14:paraId="6EC072F4" w14:textId="77777777" w:rsidR="00D43393" w:rsidRPr="008F721B" w:rsidRDefault="00D43393" w:rsidP="002D3EBF">
            <w:pPr>
              <w:jc w:val="center"/>
            </w:pPr>
            <w:r w:rsidRPr="008F721B">
              <w:t>62</w:t>
            </w:r>
          </w:p>
        </w:tc>
      </w:tr>
    </w:tbl>
    <w:p w14:paraId="6EF1A0DE" w14:textId="77777777" w:rsidR="00D43393" w:rsidRPr="008F721B" w:rsidRDefault="00D43393" w:rsidP="00D43393">
      <w:pPr>
        <w:ind w:firstLine="284"/>
      </w:pPr>
    </w:p>
    <w:p w14:paraId="46B54502" w14:textId="77777777" w:rsidR="00D43393" w:rsidRPr="008F721B" w:rsidRDefault="00D43393" w:rsidP="00D43393">
      <w:pPr>
        <w:ind w:firstLine="709"/>
      </w:pPr>
      <w:r w:rsidRPr="008F721B">
        <w:t>В тоже время, именно проведение интенсивной терапии в сочетании с программным лечением (в том числе, химиотерапией), несмотря на критические синдромы, в дальнейшем дает возможность достичь ремиссии гематологического заболевания, а не просто пережить критическое состояние.</w:t>
      </w:r>
    </w:p>
    <w:p w14:paraId="332527FB" w14:textId="77777777" w:rsidR="00D43393" w:rsidRDefault="00D43393" w:rsidP="00D43393">
      <w:pPr>
        <w:pStyle w:val="2"/>
        <w:spacing w:before="0"/>
        <w:ind w:firstLine="708"/>
      </w:pPr>
    </w:p>
    <w:p w14:paraId="337BA240" w14:textId="77777777" w:rsidR="00D43393" w:rsidRPr="00854947" w:rsidRDefault="00D43393" w:rsidP="00D43393">
      <w:pPr>
        <w:ind w:firstLine="708"/>
        <w:rPr>
          <w:u w:val="single"/>
        </w:rPr>
      </w:pPr>
      <w:r w:rsidRPr="00854947">
        <w:rPr>
          <w:u w:val="single"/>
        </w:rPr>
        <w:t>Показания к переводу в ОРИТ у гематологических пациентов</w:t>
      </w:r>
    </w:p>
    <w:p w14:paraId="290C3177" w14:textId="77777777" w:rsidR="00D43393" w:rsidRPr="008F721B" w:rsidRDefault="00D43393" w:rsidP="00D43393">
      <w:pPr>
        <w:ind w:firstLine="709"/>
      </w:pPr>
      <w:r w:rsidRPr="008F721B">
        <w:t>Критическими синдромами, требующими перевода в ОРИТ являются: сепсис, септический шок (СШ), ОДН, ОПН, острое нарушение мозгового кровообращения (ОНМК) по ишемическому или геморрагическому типу, синдром массивного лизиса опухоли, жизнеугрожающее нарушение сердечного ритма, массивное желудочно-кишечное кровотечение.</w:t>
      </w:r>
    </w:p>
    <w:p w14:paraId="53D26F42" w14:textId="77777777" w:rsidR="00D43393" w:rsidRPr="008F721B" w:rsidRDefault="00D43393" w:rsidP="00D43393">
      <w:pPr>
        <w:ind w:firstLine="709"/>
        <w:contextualSpacing/>
      </w:pPr>
      <w:r w:rsidRPr="008F721B">
        <w:t xml:space="preserve">Диагноз </w:t>
      </w:r>
      <w:r w:rsidRPr="008F721B">
        <w:rPr>
          <w:i/>
        </w:rPr>
        <w:t xml:space="preserve">сепсиса </w:t>
      </w:r>
      <w:r w:rsidRPr="008F721B">
        <w:t xml:space="preserve">устанавливается согласно критериям, которые приняты на 3 медународной конференции по согласованию определения сепсиса и СШ. Сепсисом считается жизнеугрожающее состояние с дисфункцией органов и систем в результате дизрегуляторного ответа организма на инфекционный процесс. В качестве диагностического критерия используют шкалу тяжести больных </w:t>
      </w:r>
      <w:r w:rsidRPr="008F721B">
        <w:rPr>
          <w:lang w:val="en-US"/>
        </w:rPr>
        <w:t>SOFA</w:t>
      </w:r>
      <w:r w:rsidRPr="008F721B">
        <w:t xml:space="preserve">. Резкое повышение </w:t>
      </w:r>
      <w:r w:rsidRPr="008F721B">
        <w:lastRenderedPageBreak/>
        <w:t xml:space="preserve">по шкале </w:t>
      </w:r>
      <w:r w:rsidRPr="008F721B">
        <w:rPr>
          <w:lang w:val="en-US"/>
        </w:rPr>
        <w:t>SOFA</w:t>
      </w:r>
      <w:r w:rsidRPr="008F721B">
        <w:t xml:space="preserve"> более чем на 2 балла по сравнению с предыдущим состоянием больного вместе с предполагаемым инфекционным процессом являются необходимыми критериями для установления диагноза сепсиса.</w:t>
      </w:r>
    </w:p>
    <w:p w14:paraId="4B030653" w14:textId="77777777" w:rsidR="00D43393" w:rsidRPr="008F721B" w:rsidRDefault="00D43393" w:rsidP="00D43393">
      <w:pPr>
        <w:ind w:firstLine="709"/>
        <w:contextualSpacing/>
      </w:pPr>
      <w:r w:rsidRPr="008F721B">
        <w:rPr>
          <w:i/>
        </w:rPr>
        <w:t>Диагноз СШ</w:t>
      </w:r>
      <w:r w:rsidRPr="008F721B">
        <w:t xml:space="preserve"> устанавливаливают при выявлении сепсиса, который протекает с органной дисфункцией, а именно с оценкой в более чем 2 балла по шкале SOFA и артериальной гипотензией, которая сохраняется после инфузии 2000 мл кристаллоидных растворов, и требует для своей коррекции введения инотропных и/или вазопрессорных препаратов, с повышением концентрации лактата артериальной крови более 2,0 ммоль/л. </w:t>
      </w:r>
    </w:p>
    <w:p w14:paraId="4E1685B4" w14:textId="0BD7CF1A" w:rsidR="00D43393" w:rsidRPr="008F721B" w:rsidRDefault="00D43393" w:rsidP="00D43393">
      <w:pPr>
        <w:ind w:firstLine="709"/>
        <w:contextualSpacing/>
      </w:pPr>
      <w:r w:rsidRPr="008F721B">
        <w:rPr>
          <w:i/>
        </w:rPr>
        <w:t>ОДН</w:t>
      </w:r>
      <w:r w:rsidRPr="008F721B">
        <w:t xml:space="preserve"> устанваливается при наличии следующих критериев (одного или нескольких): тахипноэ (число дыханий в покое более 30 в 1 мин), артериальная гипоксемия (парциальное давление кислорода в артериальной крови ниже 60 мм рт.ст. при дыхании воздухом или снижение PaO</w:t>
      </w:r>
      <w:r w:rsidRPr="008F721B">
        <w:rPr>
          <w:vertAlign w:val="subscript"/>
        </w:rPr>
        <w:t>2</w:t>
      </w:r>
      <w:r w:rsidRPr="008F721B">
        <w:t>/FiO</w:t>
      </w:r>
      <w:r w:rsidRPr="008F721B">
        <w:rPr>
          <w:vertAlign w:val="subscript"/>
        </w:rPr>
        <w:t>2</w:t>
      </w:r>
      <w:r w:rsidRPr="008F721B">
        <w:t xml:space="preserve"> менее 300); гиперкапния (повышение парциального давления углекислого газа в артериальной крови выше 50 мм рт.ст.) </w:t>
      </w:r>
      <w:r w:rsidRPr="008F721B">
        <w:fldChar w:fldCharType="begin" w:fldLock="1"/>
      </w:r>
      <w:r w:rsidR="006E1ADA">
        <w:instrText>ADDIN CSL_CITATION {"citationItems":[{"id":"ITEM-1","itemData":{"DOI":"10.1001/jama.2017.21907","ISSN":"0098-7484","abstract":"&lt;h3&gt;Importance&lt;/h3&gt;&lt;p&gt;Acute respiratory distress syndrome (ARDS) is a life-threatening form of respiratory failure that affects approximately 200 000 patients each year in the United States, resulting in nearly 75 000 deaths annually. Globally, ARDS accounts for 10% of intensive care unit admissions, representing more than 3 million patients with ARDS annually.&lt;/p&gt;&lt;h3&gt;Objective&lt;/h3&gt;&lt;p&gt;To review advances in diagnosis and treatment of ARDS over the last 5 years.&lt;/p&gt;&lt;h3&gt;Evidence Review&lt;/h3&gt;&lt;p&gt;We searched MEDLINE, EMBASE, and the Cochrane Database of Systematic Reviews from 2012 to 2017 focusing on randomized clinical trials, meta-analyses, systematic reviews, and clinical practice guidelines. Articles were identified for full text review with manual review of bibliographies generating additional references.&lt;/p&gt;&lt;h3&gt;Findings&lt;/h3&gt;&lt;p&gt;After screening 1662 citations, 31 articles detailing major advances in the diagnosis or treatment of ARDS were selected. The Berlin definition proposed 3 categories of ARDS based on the severity of hypoxemia: mild (200 mm Hg&amp;lt;Pao&lt;sub&gt;2&lt;/sub&gt;/Fio&lt;sub&gt;2&lt;/sub&gt;≤300 mm Hg), moderate (100 mm Hg&amp;lt;Pao&lt;sub&gt;2&lt;/sub&gt;/Fio&lt;sub&gt;2&lt;/sub&gt;≤200 mm Hg), and severe (Pao&lt;sub&gt;2&lt;/sub&gt;/Fio&lt;sub&gt;2&lt;/sub&gt;≤100 mm Hg), along with explicit criteria related to timing of the syndrome’s onset, origin of edema, and the chest radiograph findings. The Berlin definition has significantly greater predictive validity for mortality than the prior American-European Consensus Conference definition. Clinician interpretation of the origin of edema and chest radiograph criteria may be less reliable in making a diagnosis of ARDS. The cornerstone of management remains mechanical ventilation, with a goal to minimize ventilator-induced lung injury (VILI). Aspirin was not effective in preventing ARDS in patients at high-risk for the syndrome. Adjunctive interventions to further minimize VILI, such as prone positioning in patients with a Pao&lt;sub&gt;2&lt;/sub&gt;/Fio&lt;sub&gt;2&lt;/sub&gt;ratio less than 150 mm Hg, were associated with a significant mortality benefit whereas others (eg, extracorporeal carbon dioxide removal) remain experimental. Pharmacologic therapies such as β&lt;sub&gt;2&lt;/sub&gt;agonists, statins, and keratinocyte growth factor, which targeted pathophysiologic alterations in ARDS, were not beneficial and demonstrated possible harm. Recent guidelines on mechanical ventilation in ARDS provide evidence-based recommendations related to 6 interventions, including low tidal volume and inspirato…","author":[{"dropping-particle":"","family":"Fan","given":"Eddy","non-dropping-particle":"","parse-names":false,"suffix":""},{"dropping-particle":"","family":"Brodie","given":"Daniel","non-dropping-particle":"","parse-names":false,"suffix":""},{"dropping-particle":"","family":"Slutsky","given":"Arthur S.","non-dropping-particle":"","parse-names":false,"suffix":""}],"container-title":"JAMA","id":"ITEM-1","issue":"7","issued":{"date-parts":[["2018","2"]]},"page":"698","publisher":"American Medical Association","title":"Acute Respiratory Distress Syndrome","type":"article-journal","volume":"319"},"uris":["http://www.mendeley.com/documents/?uuid=37eba551-50b1-49af-8755-8b098396bb63"]}],"mendeley":{"formattedCitation":"[222]","plainTextFormattedCitation":"[222]","previouslyFormattedCitation":"[222]"},"properties":{"noteIndex":0},"schema":"https://github.com/citation-style-language/schema/raw/master/csl-citation.json"}</w:instrText>
      </w:r>
      <w:r w:rsidRPr="008F721B">
        <w:fldChar w:fldCharType="separate"/>
      </w:r>
      <w:r w:rsidR="00B96A78" w:rsidRPr="00B96A78">
        <w:rPr>
          <w:noProof/>
        </w:rPr>
        <w:t>[222]</w:t>
      </w:r>
      <w:r w:rsidRPr="008F721B">
        <w:fldChar w:fldCharType="end"/>
      </w:r>
      <w:r w:rsidRPr="008F721B">
        <w:t xml:space="preserve">. Для уточнения характера повреждения легких необходимо провести КТ исследования органов грудной клетки. Это необходимо как для наблюдения за динамикой так и для определения сегмента, где будет выполняться бронхоальвеолярный лаваж. </w:t>
      </w:r>
    </w:p>
    <w:p w14:paraId="51142547" w14:textId="77777777" w:rsidR="00D43393" w:rsidRPr="008F721B" w:rsidRDefault="00D43393" w:rsidP="00D43393">
      <w:pPr>
        <w:ind w:firstLine="709"/>
        <w:contextualSpacing/>
      </w:pPr>
      <w:r w:rsidRPr="008F721B">
        <w:rPr>
          <w:iCs/>
        </w:rPr>
        <w:t xml:space="preserve">Для </w:t>
      </w:r>
      <w:r w:rsidRPr="008F721B">
        <w:rPr>
          <w:i/>
        </w:rPr>
        <w:t>ОНМК</w:t>
      </w:r>
      <w:r w:rsidRPr="008F721B">
        <w:t xml:space="preserve"> типично внезапное появление очаговой неврологической симптоматики и/или общемозговых нарушений (угнетение сознания, головная боль, тошнота и/или рвота). Диагноз ОНМК подтверждается при проведении магнитно-резонансной томографии и/или компьютерной томографии головного мозга (по показаниям с контрастированием), по результатам которых выставляется вариант ОНМК: ишемический или геморрагический.</w:t>
      </w:r>
    </w:p>
    <w:p w14:paraId="0CE6FB4C" w14:textId="77777777" w:rsidR="00D43393" w:rsidRPr="008F721B" w:rsidRDefault="00D43393" w:rsidP="00D43393">
      <w:pPr>
        <w:ind w:firstLine="709"/>
        <w:contextualSpacing/>
      </w:pPr>
      <w:r w:rsidRPr="008F721B">
        <w:rPr>
          <w:i/>
        </w:rPr>
        <w:t xml:space="preserve"> ОПН</w:t>
      </w:r>
      <w:r w:rsidRPr="008F721B">
        <w:t xml:space="preserve"> принято считать повышение сывороточной концентрации креатинина более 200 мкмоль/л в двух последовательных исследованиях в течение 12часов и/или олигурию (диурез менее 0,5 мл/кг/час) за тот же промежуток времени.</w:t>
      </w:r>
    </w:p>
    <w:p w14:paraId="144358AC" w14:textId="77777777" w:rsidR="00D43393" w:rsidRPr="008F721B" w:rsidRDefault="00D43393" w:rsidP="00D43393">
      <w:pPr>
        <w:ind w:firstLine="709"/>
        <w:contextualSpacing/>
      </w:pPr>
      <w:r w:rsidRPr="008F721B">
        <w:t xml:space="preserve">К </w:t>
      </w:r>
      <w:r w:rsidRPr="008F721B">
        <w:rPr>
          <w:i/>
        </w:rPr>
        <w:t>жизнеугрожающими нарушениями сердечного ритма</w:t>
      </w:r>
      <w:r w:rsidRPr="008F721B">
        <w:t xml:space="preserve"> относят желудочковую тахикардию, фибрилляцию предсердий, сопровождающуюся снижением среднего артериального давления ниже 65 мм рт.ст. или систолического артериального давления ниже 80 мм рт.ст., атриовентрикулярную блокаду III степени. </w:t>
      </w:r>
    </w:p>
    <w:p w14:paraId="76AD6B97" w14:textId="77777777" w:rsidR="00D43393" w:rsidRPr="008F721B" w:rsidRDefault="00D43393" w:rsidP="00D43393">
      <w:pPr>
        <w:ind w:firstLine="709"/>
        <w:contextualSpacing/>
      </w:pPr>
      <w:r w:rsidRPr="008F721B">
        <w:t xml:space="preserve">При массивных желудочно-кишечных кровотечениях требуется перевод больных в ОРИТ для стабилизации состояния и проведения экстренных эндоскопических исследований. </w:t>
      </w:r>
    </w:p>
    <w:p w14:paraId="76056707" w14:textId="77777777" w:rsidR="00D43393" w:rsidRDefault="00D43393" w:rsidP="00D43393">
      <w:pPr>
        <w:ind w:firstLine="709"/>
        <w:contextualSpacing/>
        <w:rPr>
          <w:b/>
        </w:rPr>
      </w:pPr>
    </w:p>
    <w:p w14:paraId="484E7C64" w14:textId="77777777" w:rsidR="00D43393" w:rsidRPr="003C0A4C" w:rsidRDefault="00D43393" w:rsidP="00D43393">
      <w:pPr>
        <w:ind w:firstLine="709"/>
        <w:contextualSpacing/>
        <w:rPr>
          <w:i/>
          <w:u w:val="single"/>
        </w:rPr>
      </w:pPr>
      <w:r w:rsidRPr="003C0A4C">
        <w:rPr>
          <w:i/>
          <w:u w:val="single"/>
        </w:rPr>
        <w:t>Задачи врача – реаниматолога</w:t>
      </w:r>
    </w:p>
    <w:p w14:paraId="0606E41F" w14:textId="77777777" w:rsidR="00D43393" w:rsidRPr="008F721B" w:rsidRDefault="00D43393" w:rsidP="00D43393">
      <w:pPr>
        <w:ind w:firstLine="709"/>
        <w:contextualSpacing/>
      </w:pPr>
      <w:r w:rsidRPr="008F721B">
        <w:t>При поступлении в ОРИТ гематологического пациента врач – реаниматолог решает несколько задач:</w:t>
      </w:r>
    </w:p>
    <w:p w14:paraId="516A19EE" w14:textId="77777777" w:rsidR="00D43393" w:rsidRPr="003C0A4C" w:rsidRDefault="00D43393" w:rsidP="00D43393">
      <w:pPr>
        <w:pStyle w:val="afe"/>
        <w:numPr>
          <w:ilvl w:val="0"/>
          <w:numId w:val="177"/>
        </w:numPr>
        <w:rPr>
          <w:rFonts w:cs="Times New Roman"/>
          <w:szCs w:val="24"/>
        </w:rPr>
      </w:pPr>
      <w:r w:rsidRPr="003C0A4C">
        <w:rPr>
          <w:rFonts w:cs="Times New Roman"/>
          <w:szCs w:val="24"/>
        </w:rPr>
        <w:lastRenderedPageBreak/>
        <w:t>диагностика и установление этиологической причины развития жизнеугрожающего состояния (осмотр, опрос, анамнез, клинико-лабораторные и инструментальные методы);</w:t>
      </w:r>
    </w:p>
    <w:p w14:paraId="6E71A0CA" w14:textId="77777777" w:rsidR="00D43393" w:rsidRPr="003C0A4C" w:rsidRDefault="00D43393" w:rsidP="00D43393">
      <w:pPr>
        <w:pStyle w:val="afe"/>
        <w:numPr>
          <w:ilvl w:val="0"/>
          <w:numId w:val="177"/>
        </w:numPr>
        <w:rPr>
          <w:rFonts w:cs="Times New Roman"/>
          <w:szCs w:val="24"/>
        </w:rPr>
      </w:pPr>
      <w:r w:rsidRPr="003C0A4C">
        <w:rPr>
          <w:rFonts w:cs="Times New Roman"/>
          <w:szCs w:val="24"/>
        </w:rPr>
        <w:t>манипуляции, направленные на обеспечение сосудистого доступа (установка центрального венозного катетера, периферических венозных доступов), поддержание проходимости дыхательных путей (установка воздуховода, интубация трахеи), инвазивного мониторинга показателей гемодинамики (установка артериального катетера), декомпрессия желудка, катетеризация мочевого пузыря;</w:t>
      </w:r>
    </w:p>
    <w:p w14:paraId="183263B7" w14:textId="77777777" w:rsidR="00D43393" w:rsidRPr="003C0A4C" w:rsidRDefault="00D43393" w:rsidP="00D43393">
      <w:pPr>
        <w:pStyle w:val="afe"/>
        <w:numPr>
          <w:ilvl w:val="0"/>
          <w:numId w:val="177"/>
        </w:numPr>
        <w:rPr>
          <w:rFonts w:cs="Times New Roman"/>
          <w:szCs w:val="24"/>
        </w:rPr>
      </w:pPr>
      <w:r w:rsidRPr="003C0A4C">
        <w:rPr>
          <w:rFonts w:cs="Times New Roman"/>
          <w:szCs w:val="24"/>
        </w:rPr>
        <w:t>стабилизация состояния пациента с применением методик протезирования жизненно-важных органов (ИВЛ, вазопрессорная поддержка, заместительная почечная терапия);</w:t>
      </w:r>
    </w:p>
    <w:p w14:paraId="6028208C" w14:textId="77777777" w:rsidR="00D43393" w:rsidRPr="003C0A4C" w:rsidRDefault="00D43393" w:rsidP="00D43393">
      <w:pPr>
        <w:pStyle w:val="afe"/>
        <w:numPr>
          <w:ilvl w:val="0"/>
          <w:numId w:val="177"/>
        </w:numPr>
        <w:rPr>
          <w:rFonts w:cs="Times New Roman"/>
          <w:szCs w:val="24"/>
        </w:rPr>
      </w:pPr>
      <w:r w:rsidRPr="003C0A4C">
        <w:rPr>
          <w:rFonts w:cs="Times New Roman"/>
          <w:szCs w:val="24"/>
        </w:rPr>
        <w:t>проведение сопроводительной терапии, которая включает в себя антибиотическую (как противогрибковую, так и противовирусную) терапию, инфузионную, гемостатическую терапию, нутритивную поддержку и др.</w:t>
      </w:r>
    </w:p>
    <w:p w14:paraId="7E75761E" w14:textId="77777777" w:rsidR="00D43393" w:rsidRPr="003C0A4C" w:rsidRDefault="00D43393" w:rsidP="00D43393">
      <w:pPr>
        <w:pStyle w:val="afe"/>
        <w:numPr>
          <w:ilvl w:val="0"/>
          <w:numId w:val="177"/>
        </w:numPr>
        <w:rPr>
          <w:rFonts w:cs="Times New Roman"/>
          <w:szCs w:val="24"/>
        </w:rPr>
      </w:pPr>
      <w:r w:rsidRPr="003C0A4C">
        <w:rPr>
          <w:rFonts w:cs="Times New Roman"/>
          <w:szCs w:val="24"/>
        </w:rPr>
        <w:t>контроль лабораторных и витальных показателей пациента;</w:t>
      </w:r>
    </w:p>
    <w:p w14:paraId="7B41663D" w14:textId="77777777" w:rsidR="00D43393" w:rsidRPr="003C0A4C" w:rsidRDefault="00D43393" w:rsidP="00D43393">
      <w:pPr>
        <w:pStyle w:val="afe"/>
        <w:numPr>
          <w:ilvl w:val="0"/>
          <w:numId w:val="177"/>
        </w:numPr>
        <w:rPr>
          <w:rFonts w:cs="Times New Roman"/>
          <w:szCs w:val="24"/>
        </w:rPr>
      </w:pPr>
      <w:r w:rsidRPr="003C0A4C">
        <w:rPr>
          <w:rFonts w:cs="Times New Roman"/>
          <w:szCs w:val="24"/>
        </w:rPr>
        <w:t>организация консультаций специалистов при необходимости;</w:t>
      </w:r>
    </w:p>
    <w:p w14:paraId="16FC306B" w14:textId="77777777" w:rsidR="00D43393" w:rsidRPr="003C0A4C" w:rsidRDefault="00D43393" w:rsidP="00D43393">
      <w:pPr>
        <w:pStyle w:val="afe"/>
        <w:numPr>
          <w:ilvl w:val="0"/>
          <w:numId w:val="177"/>
        </w:numPr>
        <w:rPr>
          <w:rFonts w:cs="Times New Roman"/>
          <w:szCs w:val="24"/>
        </w:rPr>
      </w:pPr>
      <w:r w:rsidRPr="003C0A4C">
        <w:rPr>
          <w:rFonts w:cs="Times New Roman"/>
          <w:szCs w:val="24"/>
        </w:rPr>
        <w:t>выполнение диагностических и лечебных манипуляций и исследований (проведение спиннномозговой/люмбальной пункции, наложение дилятационной трахеостомы и/или гастростомы).</w:t>
      </w:r>
    </w:p>
    <w:p w14:paraId="63DA2EE4" w14:textId="77777777" w:rsidR="00D43393" w:rsidRPr="008F721B" w:rsidRDefault="00D43393" w:rsidP="00D43393">
      <w:pPr>
        <w:ind w:firstLine="709"/>
        <w:contextualSpacing/>
      </w:pPr>
    </w:p>
    <w:p w14:paraId="4445DF9B" w14:textId="77777777" w:rsidR="00D43393" w:rsidRPr="003C0A4C" w:rsidRDefault="00D43393" w:rsidP="00D43393">
      <w:pPr>
        <w:ind w:firstLine="709"/>
        <w:contextualSpacing/>
        <w:rPr>
          <w:i/>
          <w:u w:val="single"/>
        </w:rPr>
      </w:pPr>
      <w:r w:rsidRPr="003C0A4C">
        <w:rPr>
          <w:i/>
          <w:u w:val="single"/>
        </w:rPr>
        <w:t>Алгоритм действия врача при поступлении гематологического пациента в ОРИТ</w:t>
      </w:r>
    </w:p>
    <w:p w14:paraId="47A02409" w14:textId="77777777" w:rsidR="00D43393" w:rsidRPr="003C0A4C" w:rsidRDefault="00D43393" w:rsidP="00D43393">
      <w:pPr>
        <w:ind w:firstLine="709"/>
        <w:contextualSpacing/>
        <w:rPr>
          <w:u w:val="single"/>
        </w:rPr>
      </w:pPr>
      <w:r w:rsidRPr="003C0A4C">
        <w:rPr>
          <w:u w:val="single"/>
        </w:rPr>
        <w:t xml:space="preserve">Перечень основных диагностических исследований (лабораторные): </w:t>
      </w:r>
    </w:p>
    <w:p w14:paraId="6593483B" w14:textId="77777777" w:rsidR="00D43393" w:rsidRPr="008F721B" w:rsidRDefault="00D43393" w:rsidP="00D43393">
      <w:pPr>
        <w:pStyle w:val="afe"/>
        <w:numPr>
          <w:ilvl w:val="0"/>
          <w:numId w:val="177"/>
        </w:numPr>
        <w:rPr>
          <w:rFonts w:cs="Times New Roman"/>
          <w:szCs w:val="24"/>
        </w:rPr>
      </w:pPr>
      <w:r w:rsidRPr="008F721B">
        <w:rPr>
          <w:rFonts w:cs="Times New Roman"/>
          <w:szCs w:val="24"/>
        </w:rPr>
        <w:t>Общий (клинический) анализ крови развернутый;</w:t>
      </w:r>
    </w:p>
    <w:p w14:paraId="5E46ECE7" w14:textId="77777777" w:rsidR="00D43393" w:rsidRPr="008F721B" w:rsidRDefault="00D43393" w:rsidP="00D43393">
      <w:pPr>
        <w:pStyle w:val="afe"/>
        <w:numPr>
          <w:ilvl w:val="0"/>
          <w:numId w:val="177"/>
        </w:numPr>
        <w:rPr>
          <w:rFonts w:cs="Times New Roman"/>
          <w:szCs w:val="24"/>
        </w:rPr>
      </w:pPr>
      <w:r w:rsidRPr="008F721B">
        <w:rPr>
          <w:rFonts w:cs="Times New Roman"/>
          <w:szCs w:val="24"/>
        </w:rPr>
        <w:t>Анализ крови биохимический (мочевина, креатинин, билирубин (в том числе по фракциям), мочевая кислота, панкреатическая аимлаза, амилаза, липаза, альбумин, АЛТ/АСТ, КФК/КФК-МВ, глюкоза, калий, натрий, кальций ионизированный, хлор);</w:t>
      </w:r>
    </w:p>
    <w:p w14:paraId="61FB4237" w14:textId="77777777" w:rsidR="00D43393" w:rsidRPr="008F721B" w:rsidRDefault="00D43393" w:rsidP="00D43393">
      <w:pPr>
        <w:pStyle w:val="afe"/>
        <w:numPr>
          <w:ilvl w:val="0"/>
          <w:numId w:val="177"/>
        </w:numPr>
        <w:rPr>
          <w:rFonts w:cs="Times New Roman"/>
          <w:szCs w:val="24"/>
        </w:rPr>
      </w:pPr>
      <w:r w:rsidRPr="008F721B">
        <w:rPr>
          <w:rFonts w:cs="Times New Roman"/>
          <w:szCs w:val="24"/>
        </w:rPr>
        <w:t xml:space="preserve">Коагулограмма; (АЧТВ, протромбин по Квику, тромбиновое время, фибриноген, антитромбин </w:t>
      </w:r>
      <w:r w:rsidRPr="003C0A4C">
        <w:rPr>
          <w:rFonts w:cs="Times New Roman"/>
          <w:szCs w:val="24"/>
        </w:rPr>
        <w:t>III</w:t>
      </w:r>
      <w:r w:rsidRPr="008F721B">
        <w:rPr>
          <w:rFonts w:cs="Times New Roman"/>
          <w:szCs w:val="24"/>
        </w:rPr>
        <w:t>);</w:t>
      </w:r>
    </w:p>
    <w:p w14:paraId="7F28322F" w14:textId="77777777" w:rsidR="00D43393" w:rsidRPr="008F721B" w:rsidRDefault="00D43393" w:rsidP="00D43393">
      <w:pPr>
        <w:pStyle w:val="afe"/>
        <w:numPr>
          <w:ilvl w:val="0"/>
          <w:numId w:val="177"/>
        </w:numPr>
        <w:rPr>
          <w:rFonts w:cs="Times New Roman"/>
          <w:szCs w:val="24"/>
        </w:rPr>
      </w:pPr>
      <w:r w:rsidRPr="008F721B">
        <w:rPr>
          <w:rFonts w:cs="Times New Roman"/>
          <w:szCs w:val="24"/>
        </w:rPr>
        <w:t>Общий анализ мочи;</w:t>
      </w:r>
    </w:p>
    <w:p w14:paraId="441A3F18" w14:textId="77777777" w:rsidR="00D43393" w:rsidRPr="008F721B" w:rsidRDefault="00D43393" w:rsidP="00D43393">
      <w:pPr>
        <w:pStyle w:val="afe"/>
        <w:numPr>
          <w:ilvl w:val="0"/>
          <w:numId w:val="177"/>
        </w:numPr>
        <w:rPr>
          <w:rFonts w:cs="Times New Roman"/>
          <w:szCs w:val="24"/>
        </w:rPr>
      </w:pPr>
      <w:r w:rsidRPr="008F721B">
        <w:rPr>
          <w:rFonts w:cs="Times New Roman"/>
          <w:szCs w:val="24"/>
        </w:rPr>
        <w:t>Тромбоэластография;</w:t>
      </w:r>
    </w:p>
    <w:p w14:paraId="3DF345AC" w14:textId="77777777" w:rsidR="00D43393" w:rsidRPr="008F721B" w:rsidRDefault="00D43393" w:rsidP="00D43393">
      <w:pPr>
        <w:pStyle w:val="afe"/>
        <w:numPr>
          <w:ilvl w:val="0"/>
          <w:numId w:val="177"/>
        </w:numPr>
        <w:rPr>
          <w:rFonts w:cs="Times New Roman"/>
          <w:szCs w:val="24"/>
        </w:rPr>
      </w:pPr>
      <w:r w:rsidRPr="008F721B">
        <w:rPr>
          <w:rFonts w:cs="Times New Roman"/>
          <w:szCs w:val="24"/>
        </w:rPr>
        <w:t>Микробиологическое (культуральное) исследование крови на стерильность (вена/катетер);</w:t>
      </w:r>
    </w:p>
    <w:p w14:paraId="38C4BC0A" w14:textId="77777777" w:rsidR="00D43393" w:rsidRPr="008F721B" w:rsidRDefault="00D43393" w:rsidP="00D43393">
      <w:pPr>
        <w:pStyle w:val="afe"/>
        <w:numPr>
          <w:ilvl w:val="0"/>
          <w:numId w:val="177"/>
        </w:numPr>
        <w:rPr>
          <w:rFonts w:cs="Times New Roman"/>
          <w:szCs w:val="24"/>
        </w:rPr>
      </w:pPr>
      <w:r w:rsidRPr="008F721B">
        <w:rPr>
          <w:rFonts w:cs="Times New Roman"/>
          <w:szCs w:val="24"/>
        </w:rPr>
        <w:t>Микробиологическое (культуральное) исследование мочи на бактериальные патогены;</w:t>
      </w:r>
    </w:p>
    <w:p w14:paraId="6E6E9C54" w14:textId="77777777" w:rsidR="00D43393" w:rsidRPr="008F721B" w:rsidRDefault="00D43393" w:rsidP="00D43393">
      <w:pPr>
        <w:pStyle w:val="afe"/>
        <w:numPr>
          <w:ilvl w:val="0"/>
          <w:numId w:val="177"/>
        </w:numPr>
        <w:rPr>
          <w:rFonts w:cs="Times New Roman"/>
          <w:szCs w:val="24"/>
        </w:rPr>
      </w:pPr>
      <w:r w:rsidRPr="008F721B">
        <w:rPr>
          <w:rFonts w:cs="Times New Roman"/>
          <w:szCs w:val="24"/>
        </w:rPr>
        <w:lastRenderedPageBreak/>
        <w:t>Микробиологическое (культуральное) исследование кала на аэробные и факультативно – анаэробные микроорганизмы;</w:t>
      </w:r>
    </w:p>
    <w:p w14:paraId="24703469" w14:textId="77777777" w:rsidR="00D43393" w:rsidRPr="008F721B" w:rsidRDefault="00D43393" w:rsidP="00D43393">
      <w:pPr>
        <w:pStyle w:val="afe"/>
        <w:numPr>
          <w:ilvl w:val="0"/>
          <w:numId w:val="177"/>
        </w:numPr>
        <w:rPr>
          <w:rFonts w:cs="Times New Roman"/>
          <w:szCs w:val="24"/>
        </w:rPr>
      </w:pPr>
      <w:r w:rsidRPr="008F721B">
        <w:rPr>
          <w:rFonts w:cs="Times New Roman"/>
          <w:szCs w:val="24"/>
        </w:rPr>
        <w:t xml:space="preserve">Микробиологическое (культуральное) исследование бронхоальвеолярной лаважной жидкости (на пневмоцисты, грибы, бактериальные патогены); </w:t>
      </w:r>
    </w:p>
    <w:p w14:paraId="7F975737" w14:textId="77777777" w:rsidR="00D43393" w:rsidRPr="008F721B" w:rsidRDefault="00D43393" w:rsidP="00D43393">
      <w:pPr>
        <w:pStyle w:val="afe"/>
        <w:numPr>
          <w:ilvl w:val="0"/>
          <w:numId w:val="177"/>
        </w:numPr>
        <w:rPr>
          <w:rFonts w:cs="Times New Roman"/>
          <w:szCs w:val="24"/>
        </w:rPr>
      </w:pPr>
      <w:r w:rsidRPr="008F721B">
        <w:rPr>
          <w:rFonts w:cs="Times New Roman"/>
          <w:szCs w:val="24"/>
        </w:rPr>
        <w:t>Микроскопическое исследование лаважной жидкости;</w:t>
      </w:r>
    </w:p>
    <w:p w14:paraId="6BF9C639" w14:textId="77777777" w:rsidR="00D43393" w:rsidRPr="008F721B" w:rsidRDefault="00D43393" w:rsidP="00D43393">
      <w:pPr>
        <w:pStyle w:val="afe"/>
        <w:numPr>
          <w:ilvl w:val="0"/>
          <w:numId w:val="177"/>
        </w:numPr>
        <w:rPr>
          <w:rFonts w:cs="Times New Roman"/>
          <w:szCs w:val="24"/>
        </w:rPr>
      </w:pPr>
      <w:r w:rsidRPr="008F721B">
        <w:rPr>
          <w:rFonts w:cs="Times New Roman"/>
          <w:szCs w:val="24"/>
        </w:rPr>
        <w:t>Цитологическое исследование клеток спинномозговой жидкости;</w:t>
      </w:r>
    </w:p>
    <w:p w14:paraId="6836729D" w14:textId="77777777" w:rsidR="00D43393" w:rsidRPr="008F721B" w:rsidRDefault="00D43393" w:rsidP="00D43393">
      <w:pPr>
        <w:pStyle w:val="afe"/>
        <w:numPr>
          <w:ilvl w:val="0"/>
          <w:numId w:val="177"/>
        </w:numPr>
        <w:rPr>
          <w:rFonts w:cs="Times New Roman"/>
          <w:szCs w:val="24"/>
        </w:rPr>
      </w:pPr>
      <w:r w:rsidRPr="008F721B">
        <w:rPr>
          <w:rFonts w:cs="Times New Roman"/>
          <w:szCs w:val="24"/>
        </w:rPr>
        <w:t>Микроскопическое исследование спинномозговой жидкости, подсчет клеток в счетной камере (подсчет цитоза);</w:t>
      </w:r>
    </w:p>
    <w:p w14:paraId="0BD7DF42" w14:textId="77777777" w:rsidR="00D43393" w:rsidRPr="008F721B" w:rsidRDefault="00D43393" w:rsidP="00D43393">
      <w:pPr>
        <w:pStyle w:val="afe"/>
        <w:numPr>
          <w:ilvl w:val="0"/>
          <w:numId w:val="177"/>
        </w:numPr>
        <w:rPr>
          <w:rFonts w:cs="Times New Roman"/>
          <w:szCs w:val="24"/>
        </w:rPr>
      </w:pPr>
      <w:r w:rsidRPr="008F721B">
        <w:rPr>
          <w:rFonts w:cs="Times New Roman"/>
          <w:szCs w:val="24"/>
        </w:rPr>
        <w:t>Микробиологическое (культуральное) исследование спинномозговой жидкости на криптококк (</w:t>
      </w:r>
      <w:r w:rsidRPr="003C0A4C">
        <w:rPr>
          <w:rFonts w:cs="Times New Roman"/>
          <w:szCs w:val="24"/>
        </w:rPr>
        <w:t>Cryptococcus neoformans</w:t>
      </w:r>
      <w:r w:rsidRPr="008F721B">
        <w:rPr>
          <w:rFonts w:cs="Times New Roman"/>
          <w:szCs w:val="24"/>
        </w:rPr>
        <w:t>);</w:t>
      </w:r>
    </w:p>
    <w:p w14:paraId="739CA1DE" w14:textId="77777777" w:rsidR="00D43393" w:rsidRPr="008F721B" w:rsidRDefault="00D43393" w:rsidP="00D43393">
      <w:pPr>
        <w:pStyle w:val="afe"/>
        <w:numPr>
          <w:ilvl w:val="0"/>
          <w:numId w:val="177"/>
        </w:numPr>
        <w:rPr>
          <w:rFonts w:cs="Times New Roman"/>
          <w:szCs w:val="24"/>
        </w:rPr>
      </w:pPr>
      <w:r w:rsidRPr="008F721B">
        <w:rPr>
          <w:rFonts w:cs="Times New Roman"/>
          <w:szCs w:val="24"/>
        </w:rPr>
        <w:t>Определение ДНК вирусов простого герпеса, вируса герпеса 6 типа, цитомегалловируса и Эпштена-Барр (</w:t>
      </w:r>
      <w:r w:rsidRPr="003C0A4C">
        <w:rPr>
          <w:rFonts w:cs="Times New Roman"/>
          <w:szCs w:val="24"/>
        </w:rPr>
        <w:t>HSV</w:t>
      </w:r>
      <w:r w:rsidRPr="008F721B">
        <w:rPr>
          <w:rFonts w:cs="Times New Roman"/>
          <w:szCs w:val="24"/>
        </w:rPr>
        <w:t xml:space="preserve">–1,2; </w:t>
      </w:r>
      <w:r w:rsidRPr="003C0A4C">
        <w:rPr>
          <w:rFonts w:cs="Times New Roman"/>
          <w:szCs w:val="24"/>
        </w:rPr>
        <w:t>HHV</w:t>
      </w:r>
      <w:r w:rsidRPr="008F721B">
        <w:rPr>
          <w:rFonts w:cs="Times New Roman"/>
          <w:szCs w:val="24"/>
        </w:rPr>
        <w:t xml:space="preserve"> – 6; </w:t>
      </w:r>
      <w:r w:rsidRPr="003C0A4C">
        <w:rPr>
          <w:rFonts w:cs="Times New Roman"/>
          <w:szCs w:val="24"/>
        </w:rPr>
        <w:t>CMV</w:t>
      </w:r>
      <w:r w:rsidRPr="008F721B">
        <w:rPr>
          <w:rFonts w:cs="Times New Roman"/>
          <w:szCs w:val="24"/>
        </w:rPr>
        <w:t xml:space="preserve">, </w:t>
      </w:r>
      <w:r w:rsidRPr="003C0A4C">
        <w:rPr>
          <w:rFonts w:cs="Times New Roman"/>
          <w:szCs w:val="24"/>
        </w:rPr>
        <w:t>EBV</w:t>
      </w:r>
      <w:r w:rsidRPr="008F721B">
        <w:rPr>
          <w:rFonts w:cs="Times New Roman"/>
          <w:szCs w:val="24"/>
        </w:rPr>
        <w:t>)  в крови, спинномозговой и лаважной жидкости;</w:t>
      </w:r>
    </w:p>
    <w:p w14:paraId="5AFAB902" w14:textId="77777777" w:rsidR="00D43393" w:rsidRPr="008F721B" w:rsidRDefault="00D43393" w:rsidP="00D43393">
      <w:pPr>
        <w:pStyle w:val="afe"/>
        <w:numPr>
          <w:ilvl w:val="0"/>
          <w:numId w:val="177"/>
        </w:numPr>
        <w:rPr>
          <w:rFonts w:cs="Times New Roman"/>
          <w:szCs w:val="24"/>
        </w:rPr>
      </w:pPr>
      <w:r w:rsidRPr="008F721B">
        <w:rPr>
          <w:rFonts w:cs="Times New Roman"/>
          <w:szCs w:val="24"/>
        </w:rPr>
        <w:t>Определение антител (</w:t>
      </w:r>
      <w:r w:rsidRPr="003C0A4C">
        <w:rPr>
          <w:rFonts w:cs="Times New Roman"/>
          <w:szCs w:val="24"/>
        </w:rPr>
        <w:t>IgG</w:t>
      </w:r>
      <w:r w:rsidRPr="008F721B">
        <w:rPr>
          <w:rFonts w:cs="Times New Roman"/>
          <w:szCs w:val="24"/>
        </w:rPr>
        <w:t xml:space="preserve"> и </w:t>
      </w:r>
      <w:r w:rsidRPr="003C0A4C">
        <w:rPr>
          <w:rFonts w:cs="Times New Roman"/>
          <w:szCs w:val="24"/>
        </w:rPr>
        <w:t>IgM</w:t>
      </w:r>
      <w:r w:rsidRPr="008F721B">
        <w:rPr>
          <w:rFonts w:cs="Times New Roman"/>
          <w:szCs w:val="24"/>
        </w:rPr>
        <w:t xml:space="preserve">) к </w:t>
      </w:r>
      <w:r w:rsidRPr="003C0A4C">
        <w:rPr>
          <w:rFonts w:cs="Times New Roman"/>
          <w:szCs w:val="24"/>
        </w:rPr>
        <w:t>Mycoplasma pneumoniae, Legionella pneumophilia,  Chlamydia pneumoniae</w:t>
      </w:r>
      <w:r w:rsidRPr="008F721B">
        <w:rPr>
          <w:rFonts w:cs="Times New Roman"/>
          <w:szCs w:val="24"/>
        </w:rPr>
        <w:t xml:space="preserve"> в крови;</w:t>
      </w:r>
    </w:p>
    <w:p w14:paraId="5F986933" w14:textId="77777777" w:rsidR="00D43393" w:rsidRPr="00854947" w:rsidRDefault="00D43393" w:rsidP="00D43393">
      <w:pPr>
        <w:pStyle w:val="afe"/>
        <w:numPr>
          <w:ilvl w:val="0"/>
          <w:numId w:val="177"/>
        </w:numPr>
        <w:rPr>
          <w:rFonts w:cs="Times New Roman"/>
          <w:szCs w:val="24"/>
          <w:lang w:val="en-US"/>
        </w:rPr>
      </w:pPr>
      <w:r w:rsidRPr="008F721B">
        <w:rPr>
          <w:rFonts w:cs="Times New Roman"/>
          <w:szCs w:val="24"/>
        </w:rPr>
        <w:t>Антиген</w:t>
      </w:r>
      <w:r w:rsidRPr="00854947">
        <w:rPr>
          <w:rFonts w:cs="Times New Roman"/>
          <w:szCs w:val="24"/>
          <w:lang w:val="en-US"/>
        </w:rPr>
        <w:t xml:space="preserve"> Legionella pneumophilia </w:t>
      </w:r>
      <w:r w:rsidRPr="008F721B">
        <w:rPr>
          <w:rFonts w:cs="Times New Roman"/>
          <w:szCs w:val="24"/>
        </w:rPr>
        <w:t>в</w:t>
      </w:r>
      <w:r w:rsidRPr="00854947">
        <w:rPr>
          <w:rFonts w:cs="Times New Roman"/>
          <w:szCs w:val="24"/>
          <w:lang w:val="en-US"/>
        </w:rPr>
        <w:t xml:space="preserve"> </w:t>
      </w:r>
      <w:r w:rsidRPr="008F721B">
        <w:rPr>
          <w:rFonts w:cs="Times New Roman"/>
          <w:szCs w:val="24"/>
        </w:rPr>
        <w:t>моче</w:t>
      </w:r>
      <w:r w:rsidRPr="00854947">
        <w:rPr>
          <w:rFonts w:cs="Times New Roman"/>
          <w:szCs w:val="24"/>
          <w:lang w:val="en-US"/>
        </w:rPr>
        <w:t>.</w:t>
      </w:r>
    </w:p>
    <w:p w14:paraId="7508C3CF" w14:textId="77777777" w:rsidR="00D43393" w:rsidRPr="00854947" w:rsidRDefault="00D43393" w:rsidP="00D43393">
      <w:pPr>
        <w:ind w:firstLine="709"/>
        <w:contextualSpacing/>
        <w:rPr>
          <w:u w:val="single"/>
          <w:lang w:val="en-US"/>
        </w:rPr>
      </w:pPr>
    </w:p>
    <w:p w14:paraId="6C4CC6D2" w14:textId="77777777" w:rsidR="00D43393" w:rsidRPr="003C0A4C" w:rsidRDefault="00D43393" w:rsidP="00D43393">
      <w:pPr>
        <w:ind w:firstLine="709"/>
        <w:contextualSpacing/>
        <w:rPr>
          <w:u w:val="single"/>
        </w:rPr>
      </w:pPr>
      <w:r w:rsidRPr="003C0A4C">
        <w:rPr>
          <w:u w:val="single"/>
        </w:rPr>
        <w:t>Перечень основных диагностических исследований (инструментальные):</w:t>
      </w:r>
    </w:p>
    <w:p w14:paraId="58745269" w14:textId="77777777" w:rsidR="00D43393" w:rsidRPr="008F721B" w:rsidRDefault="00D43393" w:rsidP="00D43393">
      <w:pPr>
        <w:pStyle w:val="afe"/>
        <w:numPr>
          <w:ilvl w:val="0"/>
          <w:numId w:val="177"/>
        </w:numPr>
        <w:rPr>
          <w:rFonts w:cs="Times New Roman"/>
          <w:szCs w:val="24"/>
        </w:rPr>
      </w:pPr>
      <w:r w:rsidRPr="008F721B">
        <w:rPr>
          <w:rFonts w:cs="Times New Roman"/>
          <w:szCs w:val="24"/>
        </w:rPr>
        <w:t>Компьютерная томография органов грудной клетки, брюшной полости, головного мозга (с контрастным усилением);</w:t>
      </w:r>
    </w:p>
    <w:p w14:paraId="018A642F" w14:textId="77777777" w:rsidR="00D43393" w:rsidRPr="008F721B" w:rsidRDefault="00D43393" w:rsidP="00D43393">
      <w:pPr>
        <w:pStyle w:val="afe"/>
        <w:numPr>
          <w:ilvl w:val="0"/>
          <w:numId w:val="177"/>
        </w:numPr>
        <w:rPr>
          <w:rFonts w:cs="Times New Roman"/>
          <w:szCs w:val="24"/>
        </w:rPr>
      </w:pPr>
      <w:r w:rsidRPr="008F721B">
        <w:rPr>
          <w:rFonts w:cs="Times New Roman"/>
          <w:szCs w:val="24"/>
        </w:rPr>
        <w:t xml:space="preserve">Магнитно-резонансная томография головного мозга (с контрастным усиленеием); </w:t>
      </w:r>
    </w:p>
    <w:p w14:paraId="353210FA" w14:textId="77777777" w:rsidR="00D43393" w:rsidRPr="008F721B" w:rsidRDefault="00D43393" w:rsidP="00D43393">
      <w:pPr>
        <w:pStyle w:val="afe"/>
        <w:numPr>
          <w:ilvl w:val="0"/>
          <w:numId w:val="177"/>
        </w:numPr>
        <w:rPr>
          <w:rFonts w:cs="Times New Roman"/>
          <w:szCs w:val="24"/>
        </w:rPr>
      </w:pPr>
      <w:r w:rsidRPr="008F721B">
        <w:rPr>
          <w:rFonts w:cs="Times New Roman"/>
          <w:szCs w:val="24"/>
        </w:rPr>
        <w:t>Фибробронхосокпия с выполнением бронхоальвеолярного лаважа;</w:t>
      </w:r>
    </w:p>
    <w:p w14:paraId="5CC21F9C" w14:textId="77777777" w:rsidR="00D43393" w:rsidRPr="008F721B" w:rsidRDefault="00D43393" w:rsidP="00D43393">
      <w:pPr>
        <w:pStyle w:val="afe"/>
        <w:numPr>
          <w:ilvl w:val="0"/>
          <w:numId w:val="177"/>
        </w:numPr>
        <w:rPr>
          <w:rFonts w:cs="Times New Roman"/>
          <w:szCs w:val="24"/>
        </w:rPr>
      </w:pPr>
      <w:r w:rsidRPr="008F721B">
        <w:rPr>
          <w:rFonts w:cs="Times New Roman"/>
          <w:szCs w:val="24"/>
        </w:rPr>
        <w:t>Эзофагогастродуоденоскпия (диагностическая и/или лечебная);</w:t>
      </w:r>
    </w:p>
    <w:p w14:paraId="1E439261" w14:textId="77777777" w:rsidR="00D43393" w:rsidRPr="008F721B" w:rsidRDefault="00D43393" w:rsidP="00D43393">
      <w:pPr>
        <w:pStyle w:val="afe"/>
        <w:numPr>
          <w:ilvl w:val="0"/>
          <w:numId w:val="177"/>
        </w:numPr>
        <w:rPr>
          <w:rFonts w:cs="Times New Roman"/>
          <w:szCs w:val="24"/>
        </w:rPr>
      </w:pPr>
      <w:r w:rsidRPr="008F721B">
        <w:rPr>
          <w:rFonts w:cs="Times New Roman"/>
          <w:szCs w:val="24"/>
        </w:rPr>
        <w:t>Колоноскопия (диагностическая и/или лечебная);</w:t>
      </w:r>
    </w:p>
    <w:p w14:paraId="21536836" w14:textId="77777777" w:rsidR="00D43393" w:rsidRPr="008F721B" w:rsidRDefault="00D43393" w:rsidP="00D43393">
      <w:pPr>
        <w:pStyle w:val="afe"/>
        <w:numPr>
          <w:ilvl w:val="0"/>
          <w:numId w:val="177"/>
        </w:numPr>
        <w:rPr>
          <w:rFonts w:cs="Times New Roman"/>
          <w:szCs w:val="24"/>
        </w:rPr>
      </w:pPr>
      <w:r w:rsidRPr="008F721B">
        <w:rPr>
          <w:rFonts w:cs="Times New Roman"/>
          <w:szCs w:val="24"/>
        </w:rPr>
        <w:t>Ультразвуковое исследование сосудов нижних конечностей;</w:t>
      </w:r>
    </w:p>
    <w:p w14:paraId="17D19259" w14:textId="77777777" w:rsidR="00D43393" w:rsidRPr="008F721B" w:rsidRDefault="00D43393" w:rsidP="00D43393">
      <w:pPr>
        <w:pStyle w:val="afe"/>
        <w:numPr>
          <w:ilvl w:val="0"/>
          <w:numId w:val="177"/>
        </w:numPr>
        <w:rPr>
          <w:rFonts w:cs="Times New Roman"/>
          <w:szCs w:val="24"/>
        </w:rPr>
      </w:pPr>
      <w:r w:rsidRPr="008F721B">
        <w:rPr>
          <w:rFonts w:cs="Times New Roman"/>
          <w:szCs w:val="24"/>
        </w:rPr>
        <w:t>Электрокардиография;</w:t>
      </w:r>
    </w:p>
    <w:p w14:paraId="5DE812AF" w14:textId="77777777" w:rsidR="00D43393" w:rsidRPr="008F721B" w:rsidRDefault="00D43393" w:rsidP="00D43393">
      <w:pPr>
        <w:pStyle w:val="afe"/>
        <w:numPr>
          <w:ilvl w:val="0"/>
          <w:numId w:val="177"/>
        </w:numPr>
        <w:rPr>
          <w:rFonts w:cs="Times New Roman"/>
          <w:szCs w:val="24"/>
        </w:rPr>
      </w:pPr>
      <w:r w:rsidRPr="008F721B">
        <w:rPr>
          <w:rFonts w:cs="Times New Roman"/>
          <w:szCs w:val="24"/>
        </w:rPr>
        <w:t>Эхокардиография;</w:t>
      </w:r>
    </w:p>
    <w:p w14:paraId="2B219FD0" w14:textId="77777777" w:rsidR="00D43393" w:rsidRPr="008F721B" w:rsidRDefault="00D43393" w:rsidP="00D43393">
      <w:pPr>
        <w:pStyle w:val="afe"/>
        <w:numPr>
          <w:ilvl w:val="0"/>
          <w:numId w:val="177"/>
        </w:numPr>
        <w:rPr>
          <w:rFonts w:cs="Times New Roman"/>
          <w:szCs w:val="24"/>
        </w:rPr>
      </w:pPr>
      <w:r w:rsidRPr="008F721B">
        <w:rPr>
          <w:rFonts w:cs="Times New Roman"/>
          <w:szCs w:val="24"/>
        </w:rPr>
        <w:t>Электроэнцефалограмма;</w:t>
      </w:r>
    </w:p>
    <w:p w14:paraId="43FCB90B" w14:textId="77777777" w:rsidR="00D43393" w:rsidRPr="008F721B" w:rsidRDefault="00D43393" w:rsidP="00D43393">
      <w:pPr>
        <w:pStyle w:val="afe"/>
        <w:numPr>
          <w:ilvl w:val="0"/>
          <w:numId w:val="177"/>
        </w:numPr>
        <w:rPr>
          <w:rFonts w:cs="Times New Roman"/>
          <w:szCs w:val="24"/>
        </w:rPr>
      </w:pPr>
      <w:r w:rsidRPr="008F721B">
        <w:rPr>
          <w:rFonts w:cs="Times New Roman"/>
          <w:szCs w:val="24"/>
        </w:rPr>
        <w:t>Измерение центрального венозного давления;</w:t>
      </w:r>
    </w:p>
    <w:p w14:paraId="5153A39A" w14:textId="77777777" w:rsidR="00D43393" w:rsidRPr="008F721B" w:rsidRDefault="00D43393" w:rsidP="00D43393">
      <w:pPr>
        <w:pStyle w:val="afe"/>
        <w:numPr>
          <w:ilvl w:val="0"/>
          <w:numId w:val="177"/>
        </w:numPr>
        <w:rPr>
          <w:rFonts w:cs="Times New Roman"/>
          <w:szCs w:val="24"/>
        </w:rPr>
      </w:pPr>
      <w:r w:rsidRPr="008F721B">
        <w:rPr>
          <w:rFonts w:cs="Times New Roman"/>
          <w:szCs w:val="24"/>
        </w:rPr>
        <w:t>Инвазивный мониторинг гемодинамики;</w:t>
      </w:r>
    </w:p>
    <w:p w14:paraId="10B8252A" w14:textId="77777777" w:rsidR="00D43393" w:rsidRPr="008F721B" w:rsidRDefault="00D43393" w:rsidP="00D43393">
      <w:pPr>
        <w:pStyle w:val="afe"/>
        <w:numPr>
          <w:ilvl w:val="0"/>
          <w:numId w:val="177"/>
        </w:numPr>
        <w:rPr>
          <w:rFonts w:cs="Times New Roman"/>
          <w:szCs w:val="24"/>
        </w:rPr>
      </w:pPr>
      <w:r w:rsidRPr="008F721B">
        <w:rPr>
          <w:rFonts w:cs="Times New Roman"/>
          <w:szCs w:val="24"/>
        </w:rPr>
        <w:t xml:space="preserve">Прикроватный мониторинг (артериальное давление, ЧСС, </w:t>
      </w:r>
      <w:r w:rsidRPr="003C0A4C">
        <w:rPr>
          <w:rFonts w:cs="Times New Roman"/>
          <w:szCs w:val="24"/>
        </w:rPr>
        <w:t xml:space="preserve">SpO2, </w:t>
      </w:r>
      <w:r w:rsidRPr="008F721B">
        <w:rPr>
          <w:rFonts w:cs="Times New Roman"/>
          <w:szCs w:val="24"/>
        </w:rPr>
        <w:t>ЧД);</w:t>
      </w:r>
    </w:p>
    <w:p w14:paraId="0376640C" w14:textId="77777777" w:rsidR="00D43393" w:rsidRDefault="00D43393" w:rsidP="00D43393">
      <w:pPr>
        <w:ind w:firstLine="709"/>
        <w:contextualSpacing/>
        <w:rPr>
          <w:u w:val="single"/>
        </w:rPr>
      </w:pPr>
    </w:p>
    <w:p w14:paraId="6FE8E524" w14:textId="77777777" w:rsidR="00D43393" w:rsidRPr="003C0A4C" w:rsidRDefault="00D43393" w:rsidP="00D43393">
      <w:pPr>
        <w:ind w:firstLine="709"/>
        <w:contextualSpacing/>
        <w:rPr>
          <w:u w:val="single"/>
        </w:rPr>
      </w:pPr>
      <w:r w:rsidRPr="003C0A4C">
        <w:rPr>
          <w:u w:val="single"/>
        </w:rPr>
        <w:t>Манипуляции направленные на обеспечение жизнеподдержания, контроля состояния пациента:</w:t>
      </w:r>
    </w:p>
    <w:p w14:paraId="54AB8C8A" w14:textId="77777777" w:rsidR="00D43393" w:rsidRPr="008F721B" w:rsidRDefault="00D43393" w:rsidP="00D43393">
      <w:pPr>
        <w:pStyle w:val="afe"/>
        <w:numPr>
          <w:ilvl w:val="0"/>
          <w:numId w:val="177"/>
        </w:numPr>
        <w:rPr>
          <w:rFonts w:cs="Times New Roman"/>
          <w:szCs w:val="24"/>
        </w:rPr>
      </w:pPr>
      <w:r w:rsidRPr="008F721B">
        <w:rPr>
          <w:rFonts w:cs="Times New Roman"/>
          <w:szCs w:val="24"/>
        </w:rPr>
        <w:lastRenderedPageBreak/>
        <w:t>Катетеризация центральной (подключичной, яремной) вены;</w:t>
      </w:r>
    </w:p>
    <w:p w14:paraId="543B6AB7" w14:textId="77777777" w:rsidR="00D43393" w:rsidRPr="008F721B" w:rsidRDefault="00D43393" w:rsidP="00D43393">
      <w:pPr>
        <w:pStyle w:val="afe"/>
        <w:numPr>
          <w:ilvl w:val="0"/>
          <w:numId w:val="177"/>
        </w:numPr>
        <w:rPr>
          <w:rFonts w:cs="Times New Roman"/>
          <w:szCs w:val="24"/>
        </w:rPr>
      </w:pPr>
      <w:r w:rsidRPr="008F721B">
        <w:rPr>
          <w:rFonts w:cs="Times New Roman"/>
          <w:szCs w:val="24"/>
        </w:rPr>
        <w:t>Установка катетера для проведения заместительной почечной терапии, плазмафереза и лейкоцитафереза;</w:t>
      </w:r>
    </w:p>
    <w:p w14:paraId="0679CD7E" w14:textId="77777777" w:rsidR="00D43393" w:rsidRPr="008F721B" w:rsidRDefault="00D43393" w:rsidP="00D43393">
      <w:pPr>
        <w:pStyle w:val="afe"/>
        <w:numPr>
          <w:ilvl w:val="0"/>
          <w:numId w:val="177"/>
        </w:numPr>
        <w:rPr>
          <w:rFonts w:cs="Times New Roman"/>
          <w:szCs w:val="24"/>
        </w:rPr>
      </w:pPr>
      <w:r w:rsidRPr="008F721B">
        <w:rPr>
          <w:rFonts w:cs="Times New Roman"/>
          <w:szCs w:val="24"/>
        </w:rPr>
        <w:t>Установка артериального катетера для инвазивного мониторинга артериального давления и параметров оксигенации;</w:t>
      </w:r>
    </w:p>
    <w:p w14:paraId="09CD1A8B" w14:textId="77777777" w:rsidR="00D43393" w:rsidRPr="008F721B" w:rsidRDefault="00D43393" w:rsidP="00D43393">
      <w:pPr>
        <w:pStyle w:val="afe"/>
        <w:numPr>
          <w:ilvl w:val="0"/>
          <w:numId w:val="177"/>
        </w:numPr>
        <w:rPr>
          <w:rFonts w:cs="Times New Roman"/>
          <w:szCs w:val="24"/>
        </w:rPr>
      </w:pPr>
      <w:r w:rsidRPr="008F721B">
        <w:rPr>
          <w:rFonts w:cs="Times New Roman"/>
          <w:szCs w:val="24"/>
        </w:rPr>
        <w:t>Интубация трахеи, установка трахеостомы;</w:t>
      </w:r>
    </w:p>
    <w:p w14:paraId="1C7FE9B7" w14:textId="77777777" w:rsidR="00D43393" w:rsidRPr="008F721B" w:rsidRDefault="00D43393" w:rsidP="00D43393">
      <w:pPr>
        <w:pStyle w:val="afe"/>
        <w:numPr>
          <w:ilvl w:val="0"/>
          <w:numId w:val="177"/>
        </w:numPr>
        <w:rPr>
          <w:rFonts w:cs="Times New Roman"/>
          <w:szCs w:val="24"/>
        </w:rPr>
      </w:pPr>
      <w:r w:rsidRPr="008F721B">
        <w:rPr>
          <w:rFonts w:cs="Times New Roman"/>
          <w:szCs w:val="24"/>
        </w:rPr>
        <w:t>Выполнение дилятационной трахеостомии;</w:t>
      </w:r>
    </w:p>
    <w:p w14:paraId="7235D331" w14:textId="77777777" w:rsidR="00D43393" w:rsidRPr="008F721B" w:rsidRDefault="00D43393" w:rsidP="00D43393">
      <w:pPr>
        <w:pStyle w:val="afe"/>
        <w:numPr>
          <w:ilvl w:val="0"/>
          <w:numId w:val="177"/>
        </w:numPr>
        <w:rPr>
          <w:rFonts w:cs="Times New Roman"/>
          <w:szCs w:val="24"/>
        </w:rPr>
      </w:pPr>
      <w:r w:rsidRPr="008F721B">
        <w:rPr>
          <w:rFonts w:cs="Times New Roman"/>
          <w:szCs w:val="24"/>
        </w:rPr>
        <w:t>Дренирование плевральной полости;</w:t>
      </w:r>
    </w:p>
    <w:p w14:paraId="15F3E41B" w14:textId="77777777" w:rsidR="00D43393" w:rsidRPr="008F721B" w:rsidRDefault="00D43393" w:rsidP="00D43393">
      <w:pPr>
        <w:pStyle w:val="afe"/>
        <w:numPr>
          <w:ilvl w:val="0"/>
          <w:numId w:val="177"/>
        </w:numPr>
        <w:rPr>
          <w:rFonts w:cs="Times New Roman"/>
          <w:szCs w:val="24"/>
        </w:rPr>
      </w:pPr>
      <w:r w:rsidRPr="008F721B">
        <w:rPr>
          <w:rFonts w:cs="Times New Roman"/>
          <w:szCs w:val="24"/>
        </w:rPr>
        <w:t>Пункция и дренирование перикарда;</w:t>
      </w:r>
    </w:p>
    <w:p w14:paraId="4882A977" w14:textId="77777777" w:rsidR="00D43393" w:rsidRPr="008F721B" w:rsidRDefault="00D43393" w:rsidP="00D43393">
      <w:pPr>
        <w:pStyle w:val="afe"/>
        <w:numPr>
          <w:ilvl w:val="0"/>
          <w:numId w:val="177"/>
        </w:numPr>
        <w:rPr>
          <w:rFonts w:cs="Times New Roman"/>
          <w:szCs w:val="24"/>
        </w:rPr>
      </w:pPr>
      <w:r w:rsidRPr="008F721B">
        <w:rPr>
          <w:rFonts w:cs="Times New Roman"/>
          <w:szCs w:val="24"/>
        </w:rPr>
        <w:t>Установка мочевого катетера, желудочного зонда;</w:t>
      </w:r>
    </w:p>
    <w:p w14:paraId="57AC02E9" w14:textId="77777777" w:rsidR="00D43393" w:rsidRDefault="00D43393" w:rsidP="00D43393">
      <w:pPr>
        <w:ind w:firstLine="709"/>
        <w:contextualSpacing/>
        <w:rPr>
          <w:u w:val="single"/>
        </w:rPr>
      </w:pPr>
    </w:p>
    <w:p w14:paraId="7CF885D3" w14:textId="77777777" w:rsidR="00D43393" w:rsidRPr="003C0A4C" w:rsidRDefault="00D43393" w:rsidP="00D43393">
      <w:pPr>
        <w:ind w:firstLine="709"/>
        <w:contextualSpacing/>
        <w:rPr>
          <w:u w:val="single"/>
        </w:rPr>
      </w:pPr>
      <w:r w:rsidRPr="003C0A4C">
        <w:rPr>
          <w:u w:val="single"/>
        </w:rPr>
        <w:t>Основные методики жизнеобеспечения:</w:t>
      </w:r>
    </w:p>
    <w:p w14:paraId="6532E00B" w14:textId="77777777" w:rsidR="00D43393" w:rsidRPr="008F721B" w:rsidRDefault="00D43393" w:rsidP="00D43393">
      <w:pPr>
        <w:pStyle w:val="afe"/>
        <w:numPr>
          <w:ilvl w:val="0"/>
          <w:numId w:val="177"/>
        </w:numPr>
        <w:rPr>
          <w:rFonts w:cs="Times New Roman"/>
          <w:szCs w:val="24"/>
        </w:rPr>
      </w:pPr>
      <w:r w:rsidRPr="008F721B">
        <w:rPr>
          <w:rFonts w:cs="Times New Roman"/>
          <w:szCs w:val="24"/>
        </w:rPr>
        <w:t>Для оксигенотерапии используются носовые катетеры, маска, маска с резервуаром, высокопоточные носовые канюли;</w:t>
      </w:r>
    </w:p>
    <w:p w14:paraId="6BC9F184" w14:textId="77777777" w:rsidR="00D43393" w:rsidRPr="008F721B" w:rsidRDefault="00D43393" w:rsidP="00D43393">
      <w:pPr>
        <w:pStyle w:val="afe"/>
        <w:numPr>
          <w:ilvl w:val="0"/>
          <w:numId w:val="177"/>
        </w:numPr>
        <w:rPr>
          <w:rFonts w:cs="Times New Roman"/>
          <w:szCs w:val="24"/>
        </w:rPr>
      </w:pPr>
      <w:r w:rsidRPr="008F721B">
        <w:rPr>
          <w:rFonts w:cs="Times New Roman"/>
          <w:szCs w:val="24"/>
        </w:rPr>
        <w:t>Механическая вентиляция легких: неинвазивная вентиляция легких (НИВЛ), ИВЛ;</w:t>
      </w:r>
    </w:p>
    <w:p w14:paraId="3D4347E5" w14:textId="77777777" w:rsidR="00D43393" w:rsidRPr="008F721B" w:rsidRDefault="00D43393" w:rsidP="00D43393">
      <w:pPr>
        <w:pStyle w:val="afe"/>
        <w:numPr>
          <w:ilvl w:val="0"/>
          <w:numId w:val="177"/>
        </w:numPr>
        <w:rPr>
          <w:rFonts w:cs="Times New Roman"/>
          <w:szCs w:val="24"/>
        </w:rPr>
      </w:pPr>
      <w:r w:rsidRPr="008F721B">
        <w:rPr>
          <w:rFonts w:cs="Times New Roman"/>
          <w:szCs w:val="24"/>
        </w:rPr>
        <w:t>Плазмаферез и лейкоцитаферез;</w:t>
      </w:r>
    </w:p>
    <w:p w14:paraId="5929E83E" w14:textId="77777777" w:rsidR="00D43393" w:rsidRPr="008F721B" w:rsidRDefault="00D43393" w:rsidP="00D43393">
      <w:pPr>
        <w:pStyle w:val="afe"/>
        <w:numPr>
          <w:ilvl w:val="0"/>
          <w:numId w:val="177"/>
        </w:numPr>
        <w:rPr>
          <w:rFonts w:cs="Times New Roman"/>
          <w:szCs w:val="24"/>
        </w:rPr>
      </w:pPr>
      <w:r w:rsidRPr="008F721B">
        <w:rPr>
          <w:rFonts w:cs="Times New Roman"/>
          <w:szCs w:val="24"/>
        </w:rPr>
        <w:t>Заместительная почечная терапия (гемодиафильтрация  и гемодиализ);</w:t>
      </w:r>
    </w:p>
    <w:p w14:paraId="37BF7A60" w14:textId="77777777" w:rsidR="00D43393" w:rsidRDefault="00D43393" w:rsidP="00D43393">
      <w:pPr>
        <w:ind w:firstLine="709"/>
        <w:rPr>
          <w:b/>
        </w:rPr>
      </w:pPr>
    </w:p>
    <w:p w14:paraId="47C68546" w14:textId="77777777" w:rsidR="00D43393" w:rsidRPr="008F721B" w:rsidRDefault="00D43393" w:rsidP="00D43393">
      <w:pPr>
        <w:ind w:firstLine="709"/>
      </w:pPr>
      <w:r w:rsidRPr="003C0A4C">
        <w:rPr>
          <w:u w:val="single"/>
        </w:rPr>
        <w:t>Консультации специалистов:</w:t>
      </w:r>
      <w:r w:rsidRPr="008F721B">
        <w:rPr>
          <w:b/>
        </w:rPr>
        <w:t xml:space="preserve"> </w:t>
      </w:r>
      <w:r w:rsidRPr="008F721B">
        <w:t>невропатолога, кардиолога, эндокринолога, хирурга и др. по показаниям</w:t>
      </w:r>
    </w:p>
    <w:p w14:paraId="25F3A473" w14:textId="77777777" w:rsidR="00D43393" w:rsidRDefault="00D43393" w:rsidP="00D43393">
      <w:pPr>
        <w:ind w:firstLine="709"/>
        <w:rPr>
          <w:b/>
        </w:rPr>
      </w:pPr>
    </w:p>
    <w:p w14:paraId="0EF89756" w14:textId="77777777" w:rsidR="00D43393" w:rsidRPr="003C0A4C" w:rsidRDefault="00D43393" w:rsidP="00D43393">
      <w:pPr>
        <w:ind w:firstLine="709"/>
        <w:contextualSpacing/>
        <w:rPr>
          <w:u w:val="single"/>
        </w:rPr>
      </w:pPr>
      <w:r w:rsidRPr="003C0A4C">
        <w:rPr>
          <w:u w:val="single"/>
        </w:rPr>
        <w:t>Перечень основных медикаментозных препаратов, использующих в ОРИТ у пациентов с гематологическими заболеваниями.</w:t>
      </w:r>
    </w:p>
    <w:p w14:paraId="71D283A0" w14:textId="77777777" w:rsidR="00D43393" w:rsidRPr="008F721B" w:rsidRDefault="00D43393" w:rsidP="00D43393">
      <w:pPr>
        <w:pStyle w:val="afe"/>
        <w:numPr>
          <w:ilvl w:val="0"/>
          <w:numId w:val="177"/>
        </w:numPr>
        <w:rPr>
          <w:rFonts w:cs="Times New Roman"/>
          <w:szCs w:val="24"/>
        </w:rPr>
      </w:pPr>
      <w:r w:rsidRPr="008F721B">
        <w:rPr>
          <w:rFonts w:cs="Times New Roman"/>
          <w:szCs w:val="24"/>
        </w:rPr>
        <w:t>Антибактериальные, противогрибковые, противовирусные препараты (с примерной суточной дозировкой без перерасчета на вес и без поправок на скорость клубочковой фильтрации), внутривенные формы:</w:t>
      </w:r>
      <w:r w:rsidRPr="003C0A4C">
        <w:rPr>
          <w:rFonts w:cs="Times New Roman"/>
          <w:szCs w:val="24"/>
        </w:rPr>
        <w:t xml:space="preserve"> </w:t>
      </w:r>
    </w:p>
    <w:p w14:paraId="3410729C" w14:textId="77777777" w:rsidR="00D43393" w:rsidRPr="008F721B" w:rsidRDefault="00D43393" w:rsidP="00D43393">
      <w:pPr>
        <w:pStyle w:val="afe"/>
        <w:numPr>
          <w:ilvl w:val="0"/>
          <w:numId w:val="177"/>
        </w:numPr>
        <w:rPr>
          <w:rFonts w:cs="Times New Roman"/>
          <w:szCs w:val="24"/>
        </w:rPr>
      </w:pPr>
      <w:r w:rsidRPr="008F721B">
        <w:rPr>
          <w:rFonts w:cs="Times New Roman"/>
          <w:szCs w:val="24"/>
        </w:rPr>
        <w:t>меропенем 3 гр/сут, имипенем/циластатин 2000 мг/сут, дорипенем 1500 мг/сут полимиксин В 150 мг/сут, ванкомицин 2 гр/сут, линезолид 1200 мг/сут, даптомицин 500 мг/сут, амикацин 1500 мг, цефтазидим/авиабактам 5 гр/сут, тигециклин 100 мг/сут, метронидазол 1500 мг/сут, триметоприм/сульфаметаксозол (20 мг триметоприма на 1 кг), анидулафунгин 200 мг/сут, вориконазол 600 мг/сут, амфотерицин В (липосомальный комплекс) 350 мг/сут, ацикловир 750 мг/сут, ганцикловир 250 мг/сут, эритромицин 300 мг/сут (как прокинетическое средство).</w:t>
      </w:r>
    </w:p>
    <w:p w14:paraId="76098A48" w14:textId="77777777" w:rsidR="00D43393" w:rsidRPr="008F721B" w:rsidRDefault="00D43393" w:rsidP="00D43393">
      <w:pPr>
        <w:pStyle w:val="afe"/>
        <w:numPr>
          <w:ilvl w:val="0"/>
          <w:numId w:val="177"/>
        </w:numPr>
        <w:rPr>
          <w:rFonts w:cs="Times New Roman"/>
          <w:szCs w:val="24"/>
        </w:rPr>
      </w:pPr>
      <w:r w:rsidRPr="008F721B">
        <w:rPr>
          <w:rFonts w:cs="Times New Roman"/>
          <w:szCs w:val="24"/>
        </w:rPr>
        <w:lastRenderedPageBreak/>
        <w:t>Вазоактивные препараты (дозировка и скорость введения широко варьирует в зависимости от клинической ситуации), внутривенные формы:</w:t>
      </w:r>
    </w:p>
    <w:p w14:paraId="670AF486" w14:textId="77777777" w:rsidR="00D43393" w:rsidRPr="008F721B" w:rsidRDefault="00D43393" w:rsidP="00D43393">
      <w:pPr>
        <w:pStyle w:val="afe"/>
        <w:numPr>
          <w:ilvl w:val="0"/>
          <w:numId w:val="177"/>
        </w:numPr>
        <w:rPr>
          <w:rFonts w:cs="Times New Roman"/>
          <w:szCs w:val="24"/>
        </w:rPr>
      </w:pPr>
      <w:r w:rsidRPr="008F721B">
        <w:rPr>
          <w:rFonts w:cs="Times New Roman"/>
          <w:szCs w:val="24"/>
        </w:rPr>
        <w:t>норадреналин, адреналин, добутамин, допамин, фенилэфрин, атропин.</w:t>
      </w:r>
    </w:p>
    <w:p w14:paraId="2A53A900" w14:textId="77777777" w:rsidR="00D43393" w:rsidRPr="008F721B" w:rsidRDefault="00D43393" w:rsidP="00D43393">
      <w:pPr>
        <w:pStyle w:val="afe"/>
        <w:numPr>
          <w:ilvl w:val="0"/>
          <w:numId w:val="177"/>
        </w:numPr>
        <w:rPr>
          <w:rFonts w:cs="Times New Roman"/>
          <w:szCs w:val="24"/>
        </w:rPr>
      </w:pPr>
      <w:r w:rsidRPr="008F721B">
        <w:rPr>
          <w:rFonts w:cs="Times New Roman"/>
          <w:szCs w:val="24"/>
        </w:rPr>
        <w:t>Антиаритмические препараты, внутривенные формы:</w:t>
      </w:r>
      <w:r w:rsidRPr="003C0A4C">
        <w:rPr>
          <w:rFonts w:cs="Times New Roman"/>
          <w:szCs w:val="24"/>
        </w:rPr>
        <w:t xml:space="preserve"> </w:t>
      </w:r>
    </w:p>
    <w:p w14:paraId="66872330" w14:textId="77777777" w:rsidR="00D43393" w:rsidRPr="008F721B" w:rsidRDefault="00D43393" w:rsidP="00D43393">
      <w:pPr>
        <w:pStyle w:val="afe"/>
        <w:numPr>
          <w:ilvl w:val="0"/>
          <w:numId w:val="177"/>
        </w:numPr>
        <w:rPr>
          <w:rFonts w:cs="Times New Roman"/>
          <w:szCs w:val="24"/>
        </w:rPr>
      </w:pPr>
      <w:r w:rsidRPr="008F721B">
        <w:rPr>
          <w:rFonts w:cs="Times New Roman"/>
          <w:szCs w:val="24"/>
        </w:rPr>
        <w:t>амиодарон, лидокаин 10%, новокаинамид, метопролол, атропин.</w:t>
      </w:r>
    </w:p>
    <w:p w14:paraId="695DDF7F" w14:textId="77777777" w:rsidR="00D43393" w:rsidRPr="008F721B" w:rsidRDefault="00D43393" w:rsidP="00D43393">
      <w:pPr>
        <w:pStyle w:val="afe"/>
        <w:numPr>
          <w:ilvl w:val="0"/>
          <w:numId w:val="177"/>
        </w:numPr>
        <w:rPr>
          <w:rFonts w:cs="Times New Roman"/>
          <w:szCs w:val="24"/>
        </w:rPr>
      </w:pPr>
      <w:r w:rsidRPr="008F721B">
        <w:rPr>
          <w:rFonts w:cs="Times New Roman"/>
          <w:szCs w:val="24"/>
        </w:rPr>
        <w:t xml:space="preserve">Препараты, влияющие на нейромышечное проведение, седативные и противосудорожные, антипсихотические внутривенные формы: </w:t>
      </w:r>
    </w:p>
    <w:p w14:paraId="5153FD07" w14:textId="77777777" w:rsidR="00D43393" w:rsidRPr="008F721B" w:rsidRDefault="00D43393" w:rsidP="00D43393">
      <w:pPr>
        <w:pStyle w:val="afe"/>
        <w:numPr>
          <w:ilvl w:val="0"/>
          <w:numId w:val="177"/>
        </w:numPr>
        <w:rPr>
          <w:rFonts w:cs="Times New Roman"/>
          <w:szCs w:val="24"/>
        </w:rPr>
      </w:pPr>
      <w:r w:rsidRPr="008F721B">
        <w:rPr>
          <w:rFonts w:cs="Times New Roman"/>
          <w:szCs w:val="24"/>
        </w:rPr>
        <w:t>пипекурония бромид, цис-атракуриум, мидазолам, диазепам, феназепам, галоперидол, пропофол, кетамин, габапентин, левитерацитам, вальпроевая кислота.</w:t>
      </w:r>
    </w:p>
    <w:p w14:paraId="1E1ED2FB" w14:textId="77777777" w:rsidR="00D43393" w:rsidRPr="003C0A4C" w:rsidRDefault="00D43393" w:rsidP="00D43393">
      <w:pPr>
        <w:pStyle w:val="afe"/>
        <w:numPr>
          <w:ilvl w:val="0"/>
          <w:numId w:val="177"/>
        </w:numPr>
        <w:rPr>
          <w:rFonts w:cs="Times New Roman"/>
          <w:szCs w:val="24"/>
        </w:rPr>
      </w:pPr>
      <w:r w:rsidRPr="008F721B">
        <w:rPr>
          <w:rFonts w:cs="Times New Roman"/>
          <w:szCs w:val="24"/>
        </w:rPr>
        <w:t>Анальгетики:</w:t>
      </w:r>
      <w:r w:rsidRPr="003C0A4C">
        <w:rPr>
          <w:rFonts w:cs="Times New Roman"/>
          <w:szCs w:val="24"/>
        </w:rPr>
        <w:t xml:space="preserve"> </w:t>
      </w:r>
    </w:p>
    <w:p w14:paraId="1F90AE11" w14:textId="77777777" w:rsidR="00D43393" w:rsidRPr="003C0A4C" w:rsidRDefault="00D43393" w:rsidP="00D43393">
      <w:pPr>
        <w:pStyle w:val="afe"/>
        <w:numPr>
          <w:ilvl w:val="0"/>
          <w:numId w:val="177"/>
        </w:numPr>
        <w:rPr>
          <w:rFonts w:cs="Times New Roman"/>
          <w:szCs w:val="24"/>
        </w:rPr>
      </w:pPr>
      <w:r w:rsidRPr="008F721B">
        <w:rPr>
          <w:rFonts w:cs="Times New Roman"/>
          <w:szCs w:val="24"/>
        </w:rPr>
        <w:t>трансдермальная форма фентанила, в/в раствор фентнила, промедола, трамадола. Нефопам, парацетамол, кетанол.</w:t>
      </w:r>
    </w:p>
    <w:p w14:paraId="0C729593" w14:textId="77777777" w:rsidR="00D43393" w:rsidRPr="008F721B" w:rsidRDefault="00D43393" w:rsidP="00D43393">
      <w:pPr>
        <w:pStyle w:val="afe"/>
        <w:numPr>
          <w:ilvl w:val="0"/>
          <w:numId w:val="177"/>
        </w:numPr>
        <w:rPr>
          <w:rFonts w:cs="Times New Roman"/>
          <w:szCs w:val="24"/>
        </w:rPr>
      </w:pPr>
      <w:r w:rsidRPr="008F721B">
        <w:rPr>
          <w:rFonts w:cs="Times New Roman"/>
          <w:szCs w:val="24"/>
        </w:rPr>
        <w:t>Инфузионная терапия и парентеральное питание:</w:t>
      </w:r>
      <w:r w:rsidRPr="003C0A4C">
        <w:rPr>
          <w:rFonts w:cs="Times New Roman"/>
          <w:szCs w:val="24"/>
        </w:rPr>
        <w:t xml:space="preserve"> </w:t>
      </w:r>
    </w:p>
    <w:p w14:paraId="22E0E240" w14:textId="77777777" w:rsidR="00D43393" w:rsidRPr="008F721B" w:rsidRDefault="00D43393" w:rsidP="00D43393">
      <w:pPr>
        <w:pStyle w:val="afe"/>
        <w:numPr>
          <w:ilvl w:val="0"/>
          <w:numId w:val="177"/>
        </w:numPr>
        <w:rPr>
          <w:rFonts w:cs="Times New Roman"/>
          <w:szCs w:val="24"/>
        </w:rPr>
      </w:pPr>
      <w:r w:rsidRPr="008F721B">
        <w:rPr>
          <w:rFonts w:cs="Times New Roman"/>
          <w:szCs w:val="24"/>
        </w:rPr>
        <w:t xml:space="preserve">изотонический раствор натрия хлорида, сбалансированные кристаллоидные растворы (рингер-лактат, стерофундин), вольювен, раствор глюкозы 5% и 20%. Смеси для парентерального питания (3 в 1): оликлиномель </w:t>
      </w:r>
      <w:r w:rsidRPr="003C0A4C">
        <w:rPr>
          <w:rFonts w:cs="Times New Roman"/>
          <w:szCs w:val="24"/>
        </w:rPr>
        <w:t>N</w:t>
      </w:r>
      <w:r w:rsidRPr="008F721B">
        <w:rPr>
          <w:rFonts w:cs="Times New Roman"/>
          <w:szCs w:val="24"/>
        </w:rPr>
        <w:t>7, нутрифлекс140/80, кабивен центральный и периферический.</w:t>
      </w:r>
    </w:p>
    <w:p w14:paraId="28546D6B" w14:textId="77777777" w:rsidR="00D43393" w:rsidRPr="008F721B" w:rsidRDefault="00D43393" w:rsidP="00D43393">
      <w:pPr>
        <w:pStyle w:val="afe"/>
        <w:numPr>
          <w:ilvl w:val="0"/>
          <w:numId w:val="177"/>
        </w:numPr>
        <w:rPr>
          <w:rFonts w:cs="Times New Roman"/>
          <w:szCs w:val="24"/>
        </w:rPr>
      </w:pPr>
      <w:r w:rsidRPr="008F721B">
        <w:rPr>
          <w:rFonts w:cs="Times New Roman"/>
          <w:szCs w:val="24"/>
        </w:rPr>
        <w:t xml:space="preserve">Антигистаминные и противорвотные препараты, внутривенные формы: блокаторы </w:t>
      </w:r>
      <w:r w:rsidRPr="003C0A4C">
        <w:rPr>
          <w:rFonts w:cs="Times New Roman"/>
          <w:szCs w:val="24"/>
        </w:rPr>
        <w:t>H1</w:t>
      </w:r>
      <w:r w:rsidRPr="008F721B">
        <w:rPr>
          <w:rFonts w:cs="Times New Roman"/>
          <w:szCs w:val="24"/>
        </w:rPr>
        <w:t xml:space="preserve"> – первого поколения (дифенгидрамин), супрастин, метоклопрамид, ондансетрон.</w:t>
      </w:r>
    </w:p>
    <w:p w14:paraId="49F6763D" w14:textId="77777777" w:rsidR="00D43393" w:rsidRPr="008F721B" w:rsidRDefault="00D43393" w:rsidP="00D43393">
      <w:pPr>
        <w:pStyle w:val="afe"/>
        <w:numPr>
          <w:ilvl w:val="0"/>
          <w:numId w:val="177"/>
        </w:numPr>
        <w:rPr>
          <w:rFonts w:cs="Times New Roman"/>
          <w:szCs w:val="24"/>
        </w:rPr>
      </w:pPr>
      <w:r w:rsidRPr="008F721B">
        <w:rPr>
          <w:rFonts w:cs="Times New Roman"/>
          <w:szCs w:val="24"/>
        </w:rPr>
        <w:t xml:space="preserve">Прочие препараты, применяющиеся у гематологических пациентов, находящихся в ОРИТ, внутривенные формы: </w:t>
      </w:r>
    </w:p>
    <w:p w14:paraId="0F22F03C" w14:textId="77777777" w:rsidR="00D43393" w:rsidRPr="008F721B" w:rsidRDefault="00D43393" w:rsidP="00D43393">
      <w:pPr>
        <w:pStyle w:val="afe"/>
        <w:numPr>
          <w:ilvl w:val="0"/>
          <w:numId w:val="177"/>
        </w:numPr>
        <w:rPr>
          <w:rFonts w:cs="Times New Roman"/>
          <w:szCs w:val="24"/>
        </w:rPr>
      </w:pPr>
      <w:r w:rsidRPr="008F721B">
        <w:rPr>
          <w:rFonts w:cs="Times New Roman"/>
          <w:szCs w:val="24"/>
        </w:rPr>
        <w:t>фуросемид, маннитол, натрия гидрокарбонат, дексаметазон, метилпреднизолон, преднизолон, тиамин, цианкобаламин, витамин К1, пиридоксин, инсулин, транексамовая кислота, растворы солей кальция и калия.</w:t>
      </w:r>
    </w:p>
    <w:p w14:paraId="4A66DAC1" w14:textId="77777777" w:rsidR="00D43393" w:rsidRPr="008F721B" w:rsidRDefault="00D43393" w:rsidP="00D43393">
      <w:pPr>
        <w:pStyle w:val="afe"/>
        <w:numPr>
          <w:ilvl w:val="0"/>
          <w:numId w:val="177"/>
        </w:numPr>
        <w:rPr>
          <w:rFonts w:cs="Times New Roman"/>
          <w:szCs w:val="24"/>
        </w:rPr>
      </w:pPr>
      <w:r w:rsidRPr="008F721B">
        <w:rPr>
          <w:rFonts w:cs="Times New Roman"/>
          <w:szCs w:val="24"/>
        </w:rPr>
        <w:t>Цитостатики, иммунодепрессанты, иммуноглобулины и иная специфическая и сопроводительная терапия основного гематологического заболевания по клиническим показаниям в период пребывания пациента в ОРИТ.</w:t>
      </w:r>
    </w:p>
    <w:p w14:paraId="66E2F75A" w14:textId="77777777" w:rsidR="00D43393" w:rsidRPr="008F721B" w:rsidRDefault="00D43393" w:rsidP="00D43393">
      <w:pPr>
        <w:ind w:firstLine="709"/>
      </w:pPr>
      <w:r w:rsidRPr="008F721B">
        <w:t xml:space="preserve">Также у гематологических пациентов в ОРИТ производятся заместительные гемокомпонентные трансфузии при наличии показаний: </w:t>
      </w:r>
    </w:p>
    <w:p w14:paraId="2C381E59" w14:textId="77777777" w:rsidR="00D43393" w:rsidRPr="008F721B" w:rsidRDefault="00D43393" w:rsidP="00D43393">
      <w:pPr>
        <w:pStyle w:val="afe"/>
        <w:numPr>
          <w:ilvl w:val="0"/>
          <w:numId w:val="177"/>
        </w:numPr>
        <w:rPr>
          <w:rFonts w:cs="Times New Roman"/>
          <w:szCs w:val="24"/>
        </w:rPr>
      </w:pPr>
      <w:r w:rsidRPr="008F721B">
        <w:rPr>
          <w:rFonts w:cs="Times New Roman"/>
          <w:szCs w:val="24"/>
        </w:rPr>
        <w:t xml:space="preserve">трансфузия эритроцитсодержащих компонентов крови обычно проводится при снижении концентрации гемоглобина менее 60 г/л (у больных среднего возраста и без сопутствующей сердечной патологии; при наличии сердечно-сосудистой патологии и в пожилом возрасте трансфузии эритроцитсодержащих компонентов </w:t>
      </w:r>
      <w:r w:rsidRPr="008F721B">
        <w:rPr>
          <w:rFonts w:cs="Times New Roman"/>
          <w:szCs w:val="24"/>
        </w:rPr>
        <w:lastRenderedPageBreak/>
        <w:t>крови проводится при более высокой концентрации гемоглобина в крови, по клиническим показаниям);</w:t>
      </w:r>
    </w:p>
    <w:p w14:paraId="7FF11053" w14:textId="77777777" w:rsidR="00D43393" w:rsidRPr="008F721B" w:rsidRDefault="00D43393" w:rsidP="00D43393">
      <w:pPr>
        <w:pStyle w:val="afe"/>
        <w:numPr>
          <w:ilvl w:val="0"/>
          <w:numId w:val="177"/>
        </w:numPr>
        <w:rPr>
          <w:rFonts w:cs="Times New Roman"/>
          <w:szCs w:val="24"/>
        </w:rPr>
      </w:pPr>
      <w:r w:rsidRPr="008F721B">
        <w:rPr>
          <w:rFonts w:cs="Times New Roman"/>
          <w:szCs w:val="24"/>
        </w:rPr>
        <w:t>концентрат тромбоцитов в ОРИТ используется как с лечебной целью, так и с профилактической; обычно трансфузии концентрата тромбоцитов проводят при снижении концентрации тромбоцитов менее 20х10</w:t>
      </w:r>
      <w:r w:rsidRPr="009D0B15">
        <w:rPr>
          <w:rFonts w:cs="Times New Roman"/>
          <w:szCs w:val="24"/>
          <w:vertAlign w:val="superscript"/>
        </w:rPr>
        <w:t>9</w:t>
      </w:r>
      <w:r w:rsidRPr="008F721B">
        <w:rPr>
          <w:rFonts w:cs="Times New Roman"/>
          <w:szCs w:val="24"/>
        </w:rPr>
        <w:t>/л;</w:t>
      </w:r>
    </w:p>
    <w:p w14:paraId="5E0C31BE" w14:textId="77777777" w:rsidR="00D43393" w:rsidRPr="008F721B" w:rsidRDefault="00D43393" w:rsidP="00D43393">
      <w:pPr>
        <w:pStyle w:val="afe"/>
        <w:numPr>
          <w:ilvl w:val="0"/>
          <w:numId w:val="177"/>
        </w:numPr>
        <w:rPr>
          <w:rFonts w:cs="Times New Roman"/>
          <w:szCs w:val="24"/>
        </w:rPr>
      </w:pPr>
      <w:r w:rsidRPr="008F721B">
        <w:rPr>
          <w:rFonts w:cs="Times New Roman"/>
          <w:szCs w:val="24"/>
        </w:rPr>
        <w:t xml:space="preserve">показанием к трансфузии криопреципитата является снижение концентрации фибриногена менее 1,0 г/л при отсутствии геморрагического синдрома или при снижении менее 2,0 г/л при наличии геморрагического синдрома; </w:t>
      </w:r>
    </w:p>
    <w:p w14:paraId="14DD2DF4" w14:textId="77777777" w:rsidR="00D43393" w:rsidRPr="008F721B" w:rsidRDefault="00D43393" w:rsidP="00D43393">
      <w:pPr>
        <w:pStyle w:val="afe"/>
        <w:numPr>
          <w:ilvl w:val="0"/>
          <w:numId w:val="177"/>
        </w:numPr>
        <w:rPr>
          <w:rFonts w:cs="Times New Roman"/>
          <w:szCs w:val="24"/>
        </w:rPr>
      </w:pPr>
      <w:r w:rsidRPr="008F721B">
        <w:rPr>
          <w:rFonts w:cs="Times New Roman"/>
          <w:szCs w:val="24"/>
        </w:rPr>
        <w:t xml:space="preserve">трансфузию свежезамороженной плазмы (СЗП) производят при массивных кровотечениях в зависимости от клинико-лабораторных показателей. </w:t>
      </w:r>
    </w:p>
    <w:p w14:paraId="04389AA6" w14:textId="6CB521DB" w:rsidR="00D43393" w:rsidRDefault="00D43393" w:rsidP="00D43393">
      <w:pPr>
        <w:ind w:firstLine="708"/>
      </w:pPr>
    </w:p>
    <w:p w14:paraId="5C3765FA" w14:textId="1B3C2B1A" w:rsidR="001F2346" w:rsidRPr="001F2346" w:rsidRDefault="00A54B16" w:rsidP="001F2346">
      <w:pPr>
        <w:pStyle w:val="2"/>
        <w:spacing w:before="0"/>
      </w:pPr>
      <w:bookmarkStart w:id="126" w:name="_Toc66096871"/>
      <w:r w:rsidRPr="001F2346">
        <w:t>Приложение А3.13.</w:t>
      </w:r>
      <w:bookmarkStart w:id="127" w:name="_Toc64475918"/>
      <w:bookmarkStart w:id="128" w:name="_Toc44926599"/>
      <w:r w:rsidR="001F2346" w:rsidRPr="001F2346">
        <w:t xml:space="preserve"> Трансплантация аутологичных гемопоэтических стволовых клеток</w:t>
      </w:r>
      <w:bookmarkEnd w:id="126"/>
      <w:bookmarkEnd w:id="127"/>
    </w:p>
    <w:p w14:paraId="54500315" w14:textId="77777777" w:rsidR="001F2346" w:rsidRPr="00BA4F0F" w:rsidRDefault="001F2346" w:rsidP="001F2346">
      <w:pPr>
        <w:rPr>
          <w:i/>
          <w:u w:val="single"/>
        </w:rPr>
      </w:pPr>
      <w:r w:rsidRPr="00BA4F0F">
        <w:rPr>
          <w:i/>
          <w:u w:val="single"/>
        </w:rPr>
        <w:t>Мобилизация и сбор гемопоэтических стволовых клеток крови</w:t>
      </w:r>
      <w:bookmarkEnd w:id="128"/>
    </w:p>
    <w:p w14:paraId="1C931F9D" w14:textId="77777777" w:rsidR="001F2346" w:rsidRPr="00BA4F0F" w:rsidRDefault="001F2346" w:rsidP="001F2346">
      <w:pPr>
        <w:ind w:firstLine="567"/>
      </w:pPr>
      <w:r w:rsidRPr="00BA4F0F">
        <w:t>Мобилизация – резкое увеличение количества гемопоэтических стволовых клеток (ГСК) в периферической крови под воздействием ростовых факторов.</w:t>
      </w:r>
    </w:p>
    <w:p w14:paraId="53307B7D" w14:textId="509E8DB8" w:rsidR="001F2346" w:rsidRPr="00BA4F0F" w:rsidRDefault="001F2346" w:rsidP="001F2346">
      <w:pPr>
        <w:ind w:firstLine="567"/>
      </w:pPr>
      <w:r w:rsidRPr="00BA4F0F">
        <w:t xml:space="preserve">Исторически схемы мобилизации были основаны на применении химиотерапевтических препаратов, так как во время восстановления гемопоэза было замечено временное увеличение циркуляции стволовых клеток в крови. Однако результаты сбора ГСК были неудовлетворительными. Первые упоминания о присутствии в крови факторов, влияющих на кроветворение, относятся к началу прошлого столетия. В середине </w:t>
      </w:r>
      <w:r w:rsidRPr="00BA4F0F">
        <w:rPr>
          <w:lang w:val="en-US"/>
        </w:rPr>
        <w:t>XX</w:t>
      </w:r>
      <w:r w:rsidRPr="00BA4F0F">
        <w:t xml:space="preserve"> века две группы исследователей из США и Австралии разработали культуральную агаровую систему, в которой наблюдали рост колоний кроветворных клеток-предшественниц при добавлении определенных веществ. Эти вещества назвали колониестимулирующими факторами (КСФ). Дальнейшее их изучение позволило выделить несколько видов КСФ: гранулоцитарный (Г-КСФ), гранулоцитарно-макрофагальный (ГМ-КСФ), макрофагальный (М-КСФ), а также интерлейкин-3 (ИЛ-3) </w:t>
      </w:r>
      <w:r w:rsidRPr="00BA4F0F">
        <w:fldChar w:fldCharType="begin" w:fldLock="1"/>
      </w:r>
      <w:r w:rsidR="002736BA">
        <w:instrText>ADDIN CSL_CITATION {"citationItems":[{"id":"ITEM-1","itemData":{"DOI":"10.1073/pnas.82.5.1526","ISSN":"00278424","PMID":"3871951","abstract":"Pluripotent hematopoietic colony-stimulating factor (pluripotent CSF), a protein that is constitutively produced by the human bladder carcinoma cell line 5637, has been purified from low serum (0.2% fetal calf serum)-containing conditioned medium. The purification involved sequential ammonium sulfate precipitation, ion-exchange chromatography, gel filtration, and reversed-phase high-performance liquid chromatography. The purified protein has a molecular weight of 18,000 in NaDodSO4/polyacrylamide gel electrophoresis, both by the silver staining technique and by elution of biological activity from a corresponding gel slice, and has an isoelectric point of 5.5. Pluripotent CSF supports the growth of human mixed colonies, granulocyte-macrophage colonies, and early erythroid colonies and induces differentiation of the human promyelocytic leukemic cell line HL-60 and the murine myelomonocytic leukemic cell line WEHI-3B (D+). The specific activity of the purified pluripotent CSF in the granulocyte-macrophage colony assay is 1.5 x 108 units/mg of protein.","author":[{"dropping-particle":"","family":"Welte","given":"K.","non-dropping-particle":"","parse-names":false,"suffix":""},{"dropping-particle":"","family":"Platzer","given":"E.","non-dropping-particle":"","parse-names":false,"suffix":""},{"dropping-particle":"","family":"Lu","given":"L.","non-dropping-particle":"","parse-names":false,"suffix":""},{"dropping-particle":"","family":"Gabrilove","given":"J. L.","non-dropping-particle":"","parse-names":false,"suffix":""},{"dropping-particle":"","family":"Levi","given":"E.","non-dropping-particle":"","parse-names":false,"suffix":""},{"dropping-particle":"","family":"Mertelsmann","given":"R.","non-dropping-particle":"","parse-names":false,"suffix":""},{"dropping-particle":"","family":"Moore","given":"M. A.","non-dropping-particle":"","parse-names":false,"suffix":""}],"container-title":"Proceedings of the National Academy of Sciences of the United States of America","id":"ITEM-1","issue":"5","issued":{"date-parts":[["1985"]]},"page":"1526-1530","publisher":"Proc Natl Acad Sci U S A","title":"Purification and biochemical characterization of human pluripotent hematopoietic colony-stimulating factor","type":"article-journal","volume":"82"},"uris":["http://www.mendeley.com/documents/?uuid=5a57c90b-10d4-3d1e-84dc-5ac72b3ec78e","http://www.mendeley.com/documents/?uuid=41736d03-81c6-4c9d-9a68-05b29415ebd4","http://www.mendeley.com/documents/?uuid=8b38e00f-df77-4da9-9ba0-e5a98fa4faf8","http://www.mendeley.com/documents/?uuid=9ac7dafe-885b-40a2-b482-765fe36e21ca","http://www.mendeley.com/documents/?uuid=bc0e2586-6f76-47d1-901a-4feb252dd38c","http://www.mendeley.com/documents/?uuid=ce804cbb-1eb2-4746-a514-982ca9436e54","http://www.mendeley.com/documents/?uuid=b7e547dc-3d9b-40b2-b055-6d376790a636"]}],"mendeley":{"formattedCitation":"[223]","plainTextFormattedCitation":"[223]","previouslyFormattedCitation":"[223]"},"properties":{"noteIndex":0},"schema":"https://github.com/citation-style-language/schema/raw/master/csl-citation.json"}</w:instrText>
      </w:r>
      <w:r w:rsidRPr="00BA4F0F">
        <w:fldChar w:fldCharType="separate"/>
      </w:r>
      <w:r w:rsidR="006E1ADA" w:rsidRPr="006E1ADA">
        <w:rPr>
          <w:noProof/>
        </w:rPr>
        <w:t>[223]</w:t>
      </w:r>
      <w:r w:rsidRPr="00BA4F0F">
        <w:fldChar w:fldCharType="end"/>
      </w:r>
      <w:r w:rsidRPr="00BA4F0F">
        <w:t>.</w:t>
      </w:r>
    </w:p>
    <w:p w14:paraId="05FE3FC2" w14:textId="77777777" w:rsidR="001F2346" w:rsidRPr="00BA4F0F" w:rsidRDefault="001F2346" w:rsidP="001F2346">
      <w:pPr>
        <w:ind w:firstLine="567"/>
      </w:pPr>
      <w:r w:rsidRPr="00BA4F0F">
        <w:t xml:space="preserve">В клинической практике рекомбинантные препараты Г-КСФ получили наиболее широкое распространение в качестве стимуляторов лейкопоэза. В настоящее время применение Г-КСФ является стандартом при мобилизации ГСК . </w:t>
      </w:r>
    </w:p>
    <w:p w14:paraId="05E0A4AF" w14:textId="77777777" w:rsidR="001F2346" w:rsidRPr="00BA4F0F" w:rsidRDefault="001F2346" w:rsidP="001F2346">
      <w:pPr>
        <w:ind w:firstLine="567"/>
      </w:pPr>
      <w:r w:rsidRPr="00BA4F0F">
        <w:t xml:space="preserve">Разработано несколько схем мобилизации ГСК, используемых в онкогематологии, в каждой из которых применяется Г-КСФ. </w:t>
      </w:r>
    </w:p>
    <w:p w14:paraId="161A91B0" w14:textId="77777777" w:rsidR="001F2346" w:rsidRPr="00BA4F0F" w:rsidRDefault="001F2346" w:rsidP="001F2346">
      <w:pPr>
        <w:pStyle w:val="11"/>
        <w:spacing w:before="0"/>
      </w:pPr>
      <w:bookmarkStart w:id="129" w:name="_Toc44926601"/>
    </w:p>
    <w:p w14:paraId="1453C4B0" w14:textId="77777777" w:rsidR="001F2346" w:rsidRPr="00BA4F0F" w:rsidRDefault="001F2346" w:rsidP="001F2346">
      <w:pPr>
        <w:rPr>
          <w:b/>
        </w:rPr>
      </w:pPr>
      <w:r w:rsidRPr="00BA4F0F">
        <w:rPr>
          <w:b/>
        </w:rPr>
        <w:t>Алгоритм принятия решения перед мобилизацией ГСК</w:t>
      </w:r>
      <w:bookmarkEnd w:id="129"/>
    </w:p>
    <w:p w14:paraId="6CAD4CCE" w14:textId="77777777" w:rsidR="001F2346" w:rsidRPr="00BA4F0F" w:rsidRDefault="001F2346" w:rsidP="00DC0931">
      <w:pPr>
        <w:pStyle w:val="afe"/>
        <w:numPr>
          <w:ilvl w:val="0"/>
          <w:numId w:val="281"/>
        </w:numPr>
        <w:rPr>
          <w:rFonts w:cs="Times New Roman"/>
          <w:szCs w:val="24"/>
        </w:rPr>
      </w:pPr>
      <w:r w:rsidRPr="00BA4F0F">
        <w:rPr>
          <w:rFonts w:cs="Times New Roman"/>
          <w:szCs w:val="24"/>
        </w:rPr>
        <w:lastRenderedPageBreak/>
        <w:t>оценка статуса больного (наличие показаний для трансплантации аутологичных гемопоэтических стволовых клеток (ауто-ТГСК), стандартное обследование для исключения факторов, препятствующих проведению высокодозного лечения, коморбидность, согласие больного, изучение предшествующей терапии - количество курсов и сроки окончания лечения, использование лучевой терапии)</w:t>
      </w:r>
    </w:p>
    <w:p w14:paraId="4F6875DE" w14:textId="77777777" w:rsidR="001F2346" w:rsidRPr="00BA4F0F" w:rsidRDefault="001F2346" w:rsidP="00DC0931">
      <w:pPr>
        <w:pStyle w:val="afe"/>
        <w:numPr>
          <w:ilvl w:val="0"/>
          <w:numId w:val="281"/>
        </w:numPr>
        <w:rPr>
          <w:rFonts w:cs="Times New Roman"/>
          <w:szCs w:val="24"/>
        </w:rPr>
      </w:pPr>
      <w:r w:rsidRPr="00BA4F0F">
        <w:rPr>
          <w:rFonts w:cs="Times New Roman"/>
          <w:szCs w:val="24"/>
        </w:rPr>
        <w:t>оценка статуса болезни - глубина противоопухолевого ответа, наличие ремиссии, сроки ее достижения;</w:t>
      </w:r>
    </w:p>
    <w:p w14:paraId="757EA960" w14:textId="77777777" w:rsidR="001F2346" w:rsidRPr="00BA4F0F" w:rsidRDefault="001F2346" w:rsidP="00DC0931">
      <w:pPr>
        <w:pStyle w:val="afe"/>
        <w:numPr>
          <w:ilvl w:val="0"/>
          <w:numId w:val="281"/>
        </w:numPr>
        <w:rPr>
          <w:rFonts w:cs="Times New Roman"/>
          <w:szCs w:val="24"/>
        </w:rPr>
      </w:pPr>
      <w:r w:rsidRPr="00BA4F0F">
        <w:rPr>
          <w:rFonts w:cs="Times New Roman"/>
          <w:szCs w:val="24"/>
        </w:rPr>
        <w:t>оценка состояния кроветворения (гистологическое исследование костного мозга позволит выявить угнетение ростков кроветворения, а также инфильтрацию костного мозга опухолевыми клетками)</w:t>
      </w:r>
    </w:p>
    <w:p w14:paraId="1734BF04" w14:textId="77777777" w:rsidR="001F2346" w:rsidRPr="00BA4F0F" w:rsidRDefault="001F2346" w:rsidP="001F2346">
      <w:pPr>
        <w:ind w:firstLine="567"/>
      </w:pPr>
      <w:r w:rsidRPr="00BA4F0F">
        <w:t>Наиболее доступным иммунологическим маркером кроветворных предшественников является экспрессия антигена СD34. Эта молекула присутствует как на наиболее примитивных стволовых клетках, так и на дифференцированных предшественниках, однако на зрелых гемопоэтических клетках экспрессии CD34 нет.</w:t>
      </w:r>
    </w:p>
    <w:p w14:paraId="5D90A8BC" w14:textId="686329D8" w:rsidR="001F2346" w:rsidRPr="00BA4F0F" w:rsidRDefault="001F2346" w:rsidP="001F2346">
      <w:pPr>
        <w:ind w:firstLine="567"/>
      </w:pPr>
      <w:r w:rsidRPr="00BA4F0F">
        <w:t xml:space="preserve">Именно суммарный пул CD34+ клеток определяет сроки восстановления кроветворения после трансплантации </w:t>
      </w:r>
      <w:r w:rsidRPr="00BA4F0F">
        <w:fldChar w:fldCharType="begin" w:fldLock="1"/>
      </w:r>
      <w:r w:rsidR="002736BA">
        <w:instrText>ADDIN CSL_CITATION {"citationItems":[{"id":"ITEM-1","itemData":{"DOI":"10.1182/blood.v87.1.1.bloodjournal8711","ISSN":"00064971","PMID":"8547630","author":[{"dropping-particle":"","family":"Krause","given":"Diane S.","non-dropping-particle":"","parse-names":false,"suffix":""},{"dropping-particle":"","family":"Fackler","given":"Mary Jo","non-dropping-particle":"","parse-names":false,"suffix":""},{"dropping-particle":"","family":"Civin","given":"Curt I.","non-dropping-particle":"","parse-names":false,"suffix":""},{"dropping-particle":"","family":"May","given":"W. Stratford","non-dropping-particle":"","parse-names":false,"suffix":""}],"container-title":"Blood","id":"ITEM-1","issue":"1","issued":{"date-parts":[["1996","1"]]},"page":"1-13","publisher":"American Society of Hematology","title":"CD34: Structure, biology, and clinical utility","type":"article","volume":"87"},"uris":["http://www.mendeley.com/documents/?uuid=e4a53186-d5a2-35ce-9c02-67bfa05e0886","http://www.mendeley.com/documents/?uuid=1a71f447-44fb-4b59-ac8a-1da92d0990b3","http://www.mendeley.com/documents/?uuid=518c4307-6db7-4716-894c-8d6c14cf80db","http://www.mendeley.com/documents/?uuid=c05ac1ea-efeb-4341-9a99-2e75eb37db1e","http://www.mendeley.com/documents/?uuid=95496d3c-b097-411f-9ec4-45c1036c6a68","http://www.mendeley.com/documents/?uuid=f461ab1d-9e2e-41ce-99d7-7c0f5d907eb5","http://www.mendeley.com/documents/?uuid=6bac5d54-b1f3-4ac8-a201-bb7356545600"]},{"id":"ITEM-2","itemData":{"DOI":"10.1016/j.bbmt.2013.10.013","ISSN":"10838791","abstract":"Autologous hematopoietic stem cell transplantation (aHSCT) is a well-established treatment for malignancies such as multiple myeloma (MM) and lymphomas. Various changes in the field over the past decade, including the frequent use of tandem aHSCT in MM, the advent of novel therapies for the treatment of MM and lymphoma, and the addition of new stem cell mobilization techniques, have led to the need to reassess current stem cell mobilization strategies. Mobilization failures with traditional strategies are common and result in delays in treatment and increased cost and resource utilization. Recently, plerixafor-containing strategies have been shown to significantly reduce mobilization failure rates, but the ideal method to maximize stem cell yields and minimize costs associated with collection has not yet been determined. A panel of experts convened to discuss the currently available data on autologous hematopoietic stem cell mobilization and transplantation and to devise guidelines to optimize mobilization strategies. Herein is a summary of their discussion and consensus. © 2014 American Society for Blood and Marrow Transplantation.","author":[{"dropping-particle":"","family":"Giralt","given":"Sergio","non-dropping-particle":"","parse-names":false,"suffix":""},{"dropping-particle":"","family":"Costa","given":"Luciano","non-dropping-particle":"","parse-names":false,"suffix":""},{"dropping-particle":"","family":"Schriber","given":"Jeffrey","non-dropping-particle":"","parse-names":false,"suffix":""},{"dropping-particle":"","family":"DiPersio","given":"John","non-dropping-particle":"","parse-names":false,"suffix":""},{"dropping-particle":"","family":"Maziarz","given":"Richard","non-dropping-particle":"","parse-names":false,"suffix":""},{"dropping-particle":"","family":"McCarty","given":"John","non-dropping-particle":"","parse-names":false,"suffix":""},{"dropping-particle":"","family":"Shaughnessy","given":"Paul","non-dropping-particle":"","parse-names":false,"suffix":""},{"dropping-particle":"","family":"Snyder","given":"Edward","non-dropping-particle":"","parse-names":false,"suffix":""},{"dropping-particle":"","family":"Bensinger","given":"William","non-dropping-particle":"","parse-names":false,"suffix":""},{"dropping-particle":"","family":"Copelan","given":"Edward","non-dropping-particle":"","parse-names":false,"suffix":""},{"dropping-particle":"","family":"Hosing","given":"Chitra","non-dropping-particle":"","parse-names":false,"suffix":""},{"dropping-particle":"","family":"Negrin","given":"Robert","non-dropping-particle":"","parse-names":false,"suffix":""},{"dropping-particle":"","family":"Petersen","given":"Finn Bo","non-dropping-particle":"","parse-names":false,"suffix":""},{"dropping-particle":"","family":"Rondelli","given":"Damiano","non-dropping-particle":"","parse-names":false,"suffix":""},{"dropping-particle":"","family":"Soiffer","given":"Robert","non-dropping-particle":"","parse-names":false,"suffix":""},{"dropping-particle":"","family":"Leather","given":"Helen","non-dropping-particle":"","parse-names":false,"suffix":""},{"dropping-particle":"","family":"Pazzalia","given":"Amy","non-dropping-particle":"","parse-names":false,"suffix":""},{"dropping-particle":"","family":"Devine","given":"Steven","non-dropping-particle":"","parse-names":false,"suffix":""}],"container-title":"Biology of Blood and Marrow Transplantation","id":"ITEM-2","issue":"3","issued":{"date-parts":[["2014","3"]]},"page":"295-308","publisher":"Elsevier","title":"Optimizing autologous stem cell mobilization strategies to improve patient outcomes: Consensus guidelines and recommendations","type":"article","volume":"20"},"uris":["http://www.mendeley.com/documents/?uuid=f0ad3abd-ce55-3df5-b4f9-e8598b8d0fa8","http://www.mendeley.com/documents/?uuid=aa3272db-ed0f-40c1-949a-b78843f4ce67","http://www.mendeley.com/documents/?uuid=cf158ac3-8f92-4973-85ea-fed641e1f9aa","http://www.mendeley.com/documents/?uuid=312e78a3-0bac-4bd4-bc5d-4ab2db1ceb87","http://www.mendeley.com/documents/?uuid=e4bbc320-ed80-4839-8759-9919ec753098","http://www.mendeley.com/documents/?uuid=43c5883b-a94a-435d-a102-5bbe11f4e704","http://www.mendeley.com/documents/?uuid=43ce11fb-9802-4761-b036-0d546f3d6abf"]}],"mendeley":{"formattedCitation":"[224,225]","plainTextFormattedCitation":"[224,225]","previouslyFormattedCitation":"[224,225]"},"properties":{"noteIndex":0},"schema":"https://github.com/citation-style-language/schema/raw/master/csl-citation.json"}</w:instrText>
      </w:r>
      <w:r w:rsidRPr="00BA4F0F">
        <w:fldChar w:fldCharType="separate"/>
      </w:r>
      <w:r w:rsidR="006E1ADA" w:rsidRPr="006E1ADA">
        <w:rPr>
          <w:noProof/>
        </w:rPr>
        <w:t>[224,225]</w:t>
      </w:r>
      <w:r w:rsidRPr="00BA4F0F">
        <w:fldChar w:fldCharType="end"/>
      </w:r>
      <w:r w:rsidRPr="00BA4F0F">
        <w:t>. Неоднократно предпринимались попытки установить количество CD34+ клеток, необходимое для быстрого и успешного восстановления гемопоэза после трансплантации</w:t>
      </w:r>
      <w:r w:rsidRPr="00BA4F0F">
        <w:fldChar w:fldCharType="begin" w:fldLock="1"/>
      </w:r>
      <w:r w:rsidR="002736BA">
        <w:instrText>ADDIN CSL_CITATION {"citationItems":[{"id":"ITEM-1","itemData":{"DOI":"10.1016/j.bbmt.2010.11.021","ISSN":"10838791","abstract":"Autologous hematopoietic stem cell transplantation (ASCT) is an established treatment for patients with hematologic malignancies, yet the impact of transplanted CD34 + cell dose on clinical outcomes is unresolved. We conducted post hoc analyses of transplanted CD34 + cell dose and hematopoietic recovery following ASCT in 438 patients with non-Hodgkin lymphoma (NHL) or multiple myeloma (MM), using data from 2 multicenter phase 3 clinical studies that compared plerixafor plus granulocyte-colony stimulating factor (G-CSF) versus placebo plus G-CSF as stem cell mobilization regimens. Days to engraftment and the proportion of patients who reached predetermined blood count thresholds were compared across 3 CD34 + cell dose levels: 2-4 × 10 6 cells/kg, 4-6 × 10 6 cells/kg, and &gt;6 × 10 6 cells/kg, regardless of mobilization treatment. Short-term neutrophil and platelet engraftment times were similar regardless of cell dose. A significant linear trend was observed between transplanted CD34 + cell dose and the proportion of patients with platelet count &gt;150 × 10 9/L at 100 days (P &lt; .001), 6 months (P = 026), and 12 months (P = 020) in patients with NHL, and at 100 days in patients with MM (P = 004). A linear trend was also observed between transplanted cell dose and the proportion of patients with platelet count &gt;100 × 10 9/L at 100 days (P &lt; .001) and 6 months (P = 023) in patients with NHL. A higher cell dose was associated with a lower percentage of NHL patients requiring red blood cell transfusions (P = 006). Our analyses confirm previous findings that transplanted CD34 + cell dose may be associated with better long-term platelet recovery after ASCT. © 2011 American Society for Blood and Marrow Transplantation.","author":[{"dropping-particle":"","family":"Stiff","given":"Patrick J.","non-dropping-particle":"","parse-names":false,"suffix":""},{"dropping-particle":"","family":"Micallef","given":"Ivana","non-dropping-particle":"","parse-names":false,"suffix":""},{"dropping-particle":"","family":"Nademanee","given":"Auayporn P.","non-dropping-particle":"","parse-names":false,"suffix":""},{"dropping-particle":"","family":"Stadtmauer","given":"Edward A.","non-dropping-particle":"","parse-names":false,"suffix":""},{"dropping-particle":"","family":"Maziarz","given":"Richard T.","non-dropping-particle":"","parse-names":false,"suffix":""},{"dropping-particle":"","family":"Bolwell","given":"Brian J.","non-dropping-particle":"","parse-names":false,"suffix":""},{"dropping-particle":"","family":"Bridger","given":"Gary","non-dropping-particle":"","parse-names":false,"suffix":""},{"dropping-particle":"","family":"Marulkar","given":"Sachin","non-dropping-particle":"","parse-names":false,"suffix":""},{"dropping-particle":"","family":"Hsu","given":"Frank J.","non-dropping-particle":"","parse-names":false,"suffix":""},{"dropping-particle":"","family":"DiPersio","given":"John F.","non-dropping-particle":"","parse-names":false,"suffix":""}],"container-title":"Biology of Blood and Marrow Transplantation","id":"ITEM-1","issue":"8","issued":{"date-parts":[["2011","8"]]},"page":"1146-1153","publisher":"Biol Blood Marrow Transplant","title":"Transplanted CD34 + Cell Dose Is Associated with Long-Term Platelet Count Recovery following Autologous Peripheral Blood Stem Cell Transplant in Patients with Non-Hodgkin Lymphoma or Multiple Myeloma","type":"article-journal","volume":"17"},"uris":["http://www.mendeley.com/documents/?uuid=48a19164-f2f4-3c72-92ac-75035529f84f","http://www.mendeley.com/documents/?uuid=0a6d07c9-82c9-4733-a748-4fde4ac355bf","http://www.mendeley.com/documents/?uuid=bf0d8f8a-f914-4a58-91b3-f9ddad3e5687","http://www.mendeley.com/documents/?uuid=b1384089-6533-4d2c-bd79-0f7357070e64","http://www.mendeley.com/documents/?uuid=58d20dd0-b39a-406e-8082-76a20c05645c","http://www.mendeley.com/documents/?uuid=cfbf2990-7580-4b9a-af63-5c87bebbc637","http://www.mendeley.com/documents/?uuid=aeec743f-aab0-4ef2-b5a9-bcb8a120b592"]},{"id":"ITEM-2","itemData":{"DOI":"10.1200/JCO.1995.13.3.705","ISSN":"0732183X","abstract":"Purpose: (1) To study the ability of mobilized peripheral-blood progenitor cells (PBPC) collected in a single large-volume leukapheresis performed on a predetermined date to accelerate engraftment after high-dose cyclophosphamide and thiotepa; (2) to establish the minimum dose of PBPC associated with early engraftment; and (3) to identify parameters predictive of collection of large numbers of PBPC. Patients and Methods: Twenty-three patients with breast cancer received cyclophosphamide (4 g/m2) and granulocyte-macrophage colony- stimulating factor ([GM-CSF] 5 μg/kg/d x 15 days) for PBPC mobilization. A single leukapheresis was performed 15 days after cyclophosphamide administration. Then, patients received high-dose cyclophosphamide and thiotepa followed by reinfusion of PBPC and 4-hydroperoxycyclophosphamide (4HC)-purged bone marrow. PBPC concentration was measured in serial peripheral-blood samples and in the leukapheresis product. Correlation analysis between PBPC dose and engraftment and between leukapheresis yield and patient characteristics was attempted. Results: A single leukapheresis processed a median 36 L (range, 24 to 46) blood and collected 5 x 106 CD34+ cells/kg (&lt; 0.3 to 24) and 6.2 x 105 colony-forming units granulocyte- macrophage (CFU-GM)/kg (&lt; 0.001 to 29). All sixteen patients (70%) reinfused with ≥ 2.9 x 106 CD34+ cells/kg reached a level of greater than 1,000 leukocytes/μL by day 13 and greater than 50,000 platelets/μL by day 15. All of these patients had a percentage of peripheral-blood CD34+ cells ≥ 0.5%, and all but one, a level of greater than 100,000 platelets/μL, on the day of leukapheresis. The bone marrow CD34+ cell percentage at study entry predicted the number of CD34+ cells collected after PBPC mobilization (R2 = .42, P = .002). All patients with ≥ 2.5% bone marrow CD34+ cells experienced early engraftment. Conclusion: Reinfusion of PBPC collected in a single leukapheresis accelerates engraftment in the majority of patients. Pretreatment bone marrow CD34+ cell content determines PBPC mobilization capacity and may help select hematopoietic rescue strategies.","author":[{"dropping-particle":"","family":"Passos-Coelho","given":"J. L.","non-dropping-particle":"","parse-names":false,"suffix":""},{"dropping-particle":"","family":"Braine","given":"H. G.","non-dropping-particle":"","parse-names":false,"suffix":""},{"dropping-particle":"","family":"Davis","given":"J. M.","non-dropping-particle":"","parse-names":false,"suffix":""},{"dropping-particle":"","family":"Huelskamp","given":"A. M.","non-dropping-particle":"","parse-names":false,"suffix":""},{"dropping-particle":"","family":"Schepers","given":"K. G.","non-dropping-particle":"","parse-names":false,"suffix":""},{"dropping-particle":"","family":"Ohly","given":"K.","non-dropping-particle":"","parse-names":false,"suffix":""},{"dropping-particle":"","family":"Clarke","given":"B.","non-dropping-particle":"","parse-names":false,"suffix":""},{"dropping-particle":"","family":"Wright","given":"S. K.","non-dropping-particle":"","parse-names":false,"suffix":""},{"dropping-particle":"","family":"Noga","given":"S. J.","non-dropping-particle":"","parse-names":false,"suffix":""},{"dropping-particle":"","family":"Davidson","given":"N. E.","non-dropping-particle":"","parse-names":false,"suffix":""},{"dropping-particle":"","family":"Kennedy","given":"M. J.","non-dropping-particle":"","parse-names":false,"suffix":""}],"container-title":"Journal of Clinical Oncology","id":"ITEM-2","issue":"3","issued":{"date-parts":[["1995"]]},"page":"705-714","publisher":"American Society of Clinical Oncology","title":"Predictive factors for peripheral-blood progenitor-cell collections using a single large-volume leukapheresis after cyclophosphamide and granulocyte- macrophage colony-stimulating factor mobilization","type":"article-journal","volume":"13"},"uris":["http://www.mendeley.com/documents/?uuid=9f936e14-dfc0-3b69-9eaa-703ea91a9517","http://www.mendeley.com/documents/?uuid=9bed808d-d71c-46a0-b6d7-9d6ce13e9c7d","http://www.mendeley.com/documents/?uuid=3706d09b-9023-490d-be3b-1e194d3fc1e4","http://www.mendeley.com/documents/?uuid=b899bbef-369f-4f35-8bd0-80f8725dd530","http://www.mendeley.com/documents/?uuid=32153687-438a-4c6a-ac63-3b5dbfa89f35","http://www.mendeley.com/documents/?uuid=69a86837-0dbe-4f8c-a0e9-040b7ce7c64b","http://www.mendeley.com/documents/?uuid=0a886e27-4a35-4e92-a56e-e7808e952669"]},{"id":"ITEM-3","itemData":{"ISSN":"0301-472X","PMID":"7681782","abstract":"High-dose conditioning therapy followed by autografting with blood stem cells rather than bone marrow has become an increasingly used transplantation modality for patients with chemosensitive malignancies. We treated 10 patients with malignant lymphoma in sensitive relapse with recombinant human granulocyte colony-stimulating factor (rhG-CSF) following salvage therapy. rhG-CSF was given subcutaneously (5 micrograms/kg/day) starting 24 hours after chemotherapy and stem cell collection was performed by repeated leukaphereses during leukocyte recovery. The yield of myeloid progenitors varied between 0.79 and 38.36 x 10(4) CFU-GM/kg body weight (median 4.1 x 10(4). A strong correlation was found between the number of granulocyte-macrophage colony-forming cells (CFU-GM) plus blast-forming erythroid cells (BFU-E) and CD34-positive (CD34+) cells (R = 0.80; p &lt; 0.001). The majority of CD34+ cells (&gt; 95%) strongly coexpressed human lymphocyte antigen-DR (HLA-DR) and CD38, whereas CD33 varied between 20% and 94%. Costaining of CD34+ cells for CD19 above the control level could not be detected, suggesting that early B lymphoid progenitors are not expanded or released into the circulation by rhG-CSF. Following total body irradiation (TBI)/cyclophosphamide or the CBV regimen (cyclophosphamide, BCNU, VP-16), all patients achieved complete engraftment with a median of 14 days for 1.0 x 10(9)/L white blood cells (WBC), 15 days for 0.5 x 10(9)/L polymorphonuclear cells (PMN) and 22 days for 20 x 10(9)/L platelets. The quantity of CFU-GM/kg transplanted was predictive for neutrophil and platelet recovery. The strongest correlation, however, was found between the number of CD34+ cells/kg autografted and platelet recovery (R = -0.86; p &lt; 0.001). The patients transplanted with more than 5 x 10(6)/kg CD34+ cells reached an unsubstituted platelet count &gt; 20 x 10(9)/L within 8 to 12 days. Our data demonstrate that rapid and complete engraftment can be achieved following myeloablative conditioning therapy with rhG-CSF-exposed blood stem cells without the need for additional bone marrow support or growth factor administration posttransplantation.","author":[{"dropping-particle":"","family":"Hohaus","given":"S","non-dropping-particle":"","parse-names":false,"suffix":""},{"dropping-particle":"","family":"Goldschmidt","given":"H","non-dropping-particle":"","parse-names":false,"suffix":""},{"dropping-particle":"","family":"Ehrhardt","given":"R","non-dropping-particle":"","parse-names":false,"suffix":""},{"dropping-particle":"","family":"Haas","given":"R","non-dropping-particle":"","parse-names":false,"suffix":""}],"container-title":"Experimental hematology","id":"ITEM-3","issue":"4","issued":{"date-parts":[["1993","4"]]},"page":"508-14","title":"Successful autografting following myeloablative conditioning therapy with blood stem cells mobilized by chemotherapy plus rhG-CSF.","type":"article-journal","volume":"21"},"uris":["http://www.mendeley.com/documents/?uuid=93812be1-7e65-3951-a468-4e3845502bab","http://www.mendeley.com/documents/?uuid=5b122eed-6453-4084-bfc7-422828bb1ccd","http://www.mendeley.com/documents/?uuid=b7c9c36c-a1b4-443e-870d-da0340dfc5f8","http://www.mendeley.com/documents/?uuid=80050e51-5010-4c71-a36b-97f1521bf43a","http://www.mendeley.com/documents/?uuid=38148a1c-e077-4358-ba14-0dc030862937","http://www.mendeley.com/documents/?uuid=7bc7df1c-3342-4a37-b645-1fd9957bd694","http://www.mendeley.com/documents/?uuid=841a47c1-56d9-4183-95e4-12fced0a860d"]},{"id":"ITEM-4","itemData":{"DOI":"10.1016/j.bbmt.2013.10.013","ISSN":"10838791","abstract":"Autologous hematopoietic stem cell transplantation (aHSCT) is a well-established treatment for malignancies such as multiple myeloma (MM) and lymphomas. Various changes in the field over the past decade, including the frequent use of tandem aHSCT in MM, the advent of novel therapies for the treatment of MM and lymphoma, and the addition of new stem cell mobilization techniques, have led to the need to reassess current stem cell mobilization strategies. Mobilization failures with traditional strategies are common and result in delays in treatment and increased cost and resource utilization. Recently, plerixafor-containing strategies have been shown to significantly reduce mobilization failure rates, but the ideal method to maximize stem cell yields and minimize costs associated with collection has not yet been determined. A panel of experts convened to discuss the currently available data on autologous hematopoietic stem cell mobilization and transplantation and to devise guidelines to optimize mobilization strategies. Herein is a summary of their discussion and consensus. © 2014 American Society for Blood and Marrow Transplantation.","author":[{"dropping-particle":"","family":"Giralt","given":"Sergio","non-dropping-particle":"","parse-names":false,"suffix":""},{"dropping-particle":"","family":"Costa","given":"Luciano","non-dropping-particle":"","parse-names":false,"suffix":""},{"dropping-particle":"","family":"Schriber","given":"Jeffrey","non-dropping-particle":"","parse-names":false,"suffix":""},{"dropping-particle":"","family":"DiPersio","given":"John","non-dropping-particle":"","parse-names":false,"suffix":""},{"dropping-particle":"","family":"Maziarz","given":"Richard","non-dropping-particle":"","parse-names":false,"suffix":""},{"dropping-particle":"","family":"McCarty","given":"John","non-dropping-particle":"","parse-names":false,"suffix":""},{"dropping-particle":"","family":"Shaughnessy","given":"Paul","non-dropping-particle":"","parse-names":false,"suffix":""},{"dropping-particle":"","family":"Snyder","given":"Edward","non-dropping-particle":"","parse-names":false,"suffix":""},{"dropping-particle":"","family":"Bensinger","given":"William","non-dropping-particle":"","parse-names":false,"suffix":""},{"dropping-particle":"","family":"Copelan","given":"Edward","non-dropping-particle":"","parse-names":false,"suffix":""},{"dropping-particle":"","family":"Hosing","given":"Chitra","non-dropping-particle":"","parse-names":false,"suffix":""},{"dropping-particle":"","family":"Negrin","given":"Robert","non-dropping-particle":"","parse-names":false,"suffix":""},{"dropping-particle":"","family":"Petersen","given":"Finn Bo","non-dropping-particle":"","parse-names":false,"suffix":""},{"dropping-particle":"","family":"Rondelli","given":"Damiano","non-dropping-particle":"","parse-names":false,"suffix":""},{"dropping-particle":"","family":"Soiffer","given":"Robert","non-dropping-particle":"","parse-names":false,"suffix":""},{"dropping-particle":"","family":"Leather","given":"Helen","non-dropping-particle":"","parse-names":false,"suffix":""},{"dropping-particle":"","family":"Pazzalia","given":"Amy","non-dropping-particle":"","parse-names":false,"suffix":""},{"dropping-particle":"","family":"Devine","given":"Steven","non-dropping-particle":"","parse-names":false,"suffix":""}],"container-title":"Biology of Blood and Marrow Transplantation","id":"ITEM-4","issue":"3","issued":{"date-parts":[["2014","3"]]},"page":"295-308","publisher":"Elsevier","title":"Optimizing autologous stem cell mobilization strategies to improve patient outcomes: Consensus guidelines and recommendations","type":"article","volume":"20"},"uris":["http://www.mendeley.com/documents/?uuid=43ce11fb-9802-4761-b036-0d546f3d6abf","http://www.mendeley.com/documents/?uuid=43c5883b-a94a-435d-a102-5bbe11f4e704","http://www.mendeley.com/documents/?uuid=e4bbc320-ed80-4839-8759-9919ec753098","http://www.mendeley.com/documents/?uuid=312e78a3-0bac-4bd4-bc5d-4ab2db1ceb87","http://www.mendeley.com/documents/?uuid=cf158ac3-8f92-4973-85ea-fed641e1f9aa","http://www.mendeley.com/documents/?uuid=aa3272db-ed0f-40c1-949a-b78843f4ce67","http://www.mendeley.com/documents/?uuid=f0ad3abd-ce55-3df5-b4f9-e8598b8d0fa8"]}],"mendeley":{"formattedCitation":"[225–228]","plainTextFormattedCitation":"[225–228]","previouslyFormattedCitation":"[225–228]"},"properties":{"noteIndex":0},"schema":"https://github.com/citation-style-language/schema/raw/master/csl-citation.json"}</w:instrText>
      </w:r>
      <w:r w:rsidRPr="00BA4F0F">
        <w:fldChar w:fldCharType="separate"/>
      </w:r>
      <w:r w:rsidR="006E1ADA" w:rsidRPr="006E1ADA">
        <w:rPr>
          <w:noProof/>
        </w:rPr>
        <w:t>[225–228]</w:t>
      </w:r>
      <w:r w:rsidRPr="00BA4F0F">
        <w:fldChar w:fldCharType="end"/>
      </w:r>
      <w:r w:rsidRPr="00BA4F0F">
        <w:t xml:space="preserve">. </w:t>
      </w:r>
    </w:p>
    <w:p w14:paraId="11A61B8D" w14:textId="77777777" w:rsidR="001F2346" w:rsidRPr="00BA4F0F" w:rsidRDefault="001F2346" w:rsidP="001F2346">
      <w:pPr>
        <w:ind w:firstLine="567"/>
      </w:pPr>
      <w:r w:rsidRPr="00BA4F0F">
        <w:t>В настоящее время принято считать, что минимальным количеством клеток, необходимым для проведения одной аутологичной трансплантации, является 2×10</w:t>
      </w:r>
      <w:r w:rsidRPr="00BA4F0F">
        <w:rPr>
          <w:vertAlign w:val="superscript"/>
        </w:rPr>
        <w:t xml:space="preserve">6 </w:t>
      </w:r>
      <w:r w:rsidRPr="00BA4F0F">
        <w:t>CD34+ клеток/кг веса больного, а оптимальным количеством – значение 3 – 5 × 10</w:t>
      </w:r>
      <w:r w:rsidRPr="00BA4F0F">
        <w:rPr>
          <w:vertAlign w:val="superscript"/>
        </w:rPr>
        <w:t xml:space="preserve">6 </w:t>
      </w:r>
      <w:r w:rsidRPr="00BA4F0F">
        <w:t>CD34+ клеток/кг. В некоторых работах представлено, что при использовании трансплантата, содержащего более 5х10</w:t>
      </w:r>
      <w:r w:rsidRPr="00BA4F0F">
        <w:rPr>
          <w:vertAlign w:val="superscript"/>
        </w:rPr>
        <w:t xml:space="preserve">6 </w:t>
      </w:r>
      <w:r w:rsidRPr="00BA4F0F">
        <w:t xml:space="preserve">CD34+клеток/кг, отмечается меньшая длительность нейтропении и тромбоцитопении. </w:t>
      </w:r>
    </w:p>
    <w:p w14:paraId="2C7BAF3D" w14:textId="288D8346" w:rsidR="001F2346" w:rsidRPr="00BA4F0F" w:rsidRDefault="001F2346" w:rsidP="001F2346">
      <w:pPr>
        <w:ind w:firstLine="567"/>
      </w:pPr>
      <w:r w:rsidRPr="00BA4F0F">
        <w:t xml:space="preserve">Однако тщательно спланированных проспективных рандомизированных исследований не проводилось, поэтому определить влияние высоких доз CD34+ клеток на кинетику приживления не представляется возможным </w:t>
      </w:r>
      <w:r w:rsidRPr="00BA4F0F">
        <w:fldChar w:fldCharType="begin" w:fldLock="1"/>
      </w:r>
      <w:r w:rsidR="002736BA">
        <w:instrText>ADDIN CSL_CITATION {"citationItems":[{"id":"ITEM-1","itemData":{"DOI":"10.1016/j.bbmt.2013.10.013","ISSN":"10838791","abstract":"Autologous hematopoietic stem cell transplantation (aHSCT) is a well-established treatment for malignancies such as multiple myeloma (MM) and lymphomas. Various changes in the field over the past decade, including the frequent use of tandem aHSCT in MM, the advent of novel therapies for the treatment of MM and lymphoma, and the addition of new stem cell mobilization techniques, have led to the need to reassess current stem cell mobilization strategies. Mobilization failures with traditional strategies are common and result in delays in treatment and increased cost and resource utilization. Recently, plerixafor-containing strategies have been shown to significantly reduce mobilization failure rates, but the ideal method to maximize stem cell yields and minimize costs associated with collection has not yet been determined. A panel of experts convened to discuss the currently available data on autologous hematopoietic stem cell mobilization and transplantation and to devise guidelines to optimize mobilization strategies. Herein is a summary of their discussion and consensus. © 2014 American Society for Blood and Marrow Transplantation.","author":[{"dropping-particle":"","family":"Giralt","given":"Sergio","non-dropping-particle":"","parse-names":false,"suffix":""},{"dropping-particle":"","family":"Costa","given":"Luciano","non-dropping-particle":"","parse-names":false,"suffix":""},{"dropping-particle":"","family":"Schriber","given":"Jeffrey","non-dropping-particle":"","parse-names":false,"suffix":""},{"dropping-particle":"","family":"DiPersio","given":"John","non-dropping-particle":"","parse-names":false,"suffix":""},{"dropping-particle":"","family":"Maziarz","given":"Richard","non-dropping-particle":"","parse-names":false,"suffix":""},{"dropping-particle":"","family":"McCarty","given":"John","non-dropping-particle":"","parse-names":false,"suffix":""},{"dropping-particle":"","family":"Shaughnessy","given":"Paul","non-dropping-particle":"","parse-names":false,"suffix":""},{"dropping-particle":"","family":"Snyder","given":"Edward","non-dropping-particle":"","parse-names":false,"suffix":""},{"dropping-particle":"","family":"Bensinger","given":"William","non-dropping-particle":"","parse-names":false,"suffix":""},{"dropping-particle":"","family":"Copelan","given":"Edward","non-dropping-particle":"","parse-names":false,"suffix":""},{"dropping-particle":"","family":"Hosing","given":"Chitra","non-dropping-particle":"","parse-names":false,"suffix":""},{"dropping-particle":"","family":"Negrin","given":"Robert","non-dropping-particle":"","parse-names":false,"suffix":""},{"dropping-particle":"","family":"Petersen","given":"Finn Bo","non-dropping-particle":"","parse-names":false,"suffix":""},{"dropping-particle":"","family":"Rondelli","given":"Damiano","non-dropping-particle":"","parse-names":false,"suffix":""},{"dropping-particle":"","family":"Soiffer","given":"Robert","non-dropping-particle":"","parse-names":false,"suffix":""},{"dropping-particle":"","family":"Leather","given":"Helen","non-dropping-particle":"","parse-names":false,"suffix":""},{"dropping-particle":"","family":"Pazzalia","given":"Amy","non-dropping-particle":"","parse-names":false,"suffix":""},{"dropping-particle":"","family":"Devine","given":"Steven","non-dropping-particle":"","parse-names":false,"suffix":""}],"container-title":"Biology of Blood and Marrow Transplantation","id":"ITEM-1","issue":"3","issued":{"date-parts":[["2014","3"]]},"page":"295-308","publisher":"Elsevier","title":"Optimizing autologous stem cell mobilization strategies to improve patient outcomes: Consensus guidelines and recommendations","type":"article","volume":"20"},"uris":["http://www.mendeley.com/documents/?uuid=43ce11fb-9802-4761-b036-0d546f3d6abf","http://www.mendeley.com/documents/?uuid=43c5883b-a94a-435d-a102-5bbe11f4e704","http://www.mendeley.com/documents/?uuid=e4bbc320-ed80-4839-8759-9919ec753098","http://www.mendeley.com/documents/?uuid=312e78a3-0bac-4bd4-bc5d-4ab2db1ceb87","http://www.mendeley.com/documents/?uuid=cf158ac3-8f92-4973-85ea-fed641e1f9aa","http://www.mendeley.com/documents/?uuid=aa3272db-ed0f-40c1-949a-b78843f4ce67","http://www.mendeley.com/documents/?uuid=f0ad3abd-ce55-3df5-b4f9-e8598b8d0fa8"]}],"mendeley":{"formattedCitation":"[225]","plainTextFormattedCitation":"[225]","previouslyFormattedCitation":"[225]"},"properties":{"noteIndex":0},"schema":"https://github.com/citation-style-language/schema/raw/master/csl-citation.json"}</w:instrText>
      </w:r>
      <w:r w:rsidRPr="00BA4F0F">
        <w:fldChar w:fldCharType="separate"/>
      </w:r>
      <w:r w:rsidR="006E1ADA" w:rsidRPr="006E1ADA">
        <w:rPr>
          <w:noProof/>
        </w:rPr>
        <w:t>[225]</w:t>
      </w:r>
      <w:r w:rsidRPr="00BA4F0F">
        <w:fldChar w:fldCharType="end"/>
      </w:r>
      <w:r w:rsidRPr="00BA4F0F">
        <w:t>.</w:t>
      </w:r>
    </w:p>
    <w:p w14:paraId="1FFE87C9" w14:textId="77777777" w:rsidR="001F2346" w:rsidRPr="00BA4F0F" w:rsidRDefault="001F2346" w:rsidP="001F2346">
      <w:pPr>
        <w:pStyle w:val="11"/>
        <w:spacing w:before="0"/>
      </w:pPr>
      <w:bookmarkStart w:id="130" w:name="_Toc44926602"/>
    </w:p>
    <w:p w14:paraId="02ABEE95" w14:textId="77777777" w:rsidR="001F2346" w:rsidRPr="00BA4F0F" w:rsidRDefault="001F2346" w:rsidP="001F2346">
      <w:pPr>
        <w:rPr>
          <w:b/>
          <w:bCs/>
        </w:rPr>
      </w:pPr>
      <w:r w:rsidRPr="00BA4F0F">
        <w:rPr>
          <w:b/>
          <w:bCs/>
        </w:rPr>
        <w:t>Факторы риска неэффективной мобилизации ГСК</w:t>
      </w:r>
      <w:bookmarkEnd w:id="130"/>
    </w:p>
    <w:p w14:paraId="18EC8553" w14:textId="5EACD8A0" w:rsidR="001F2346" w:rsidRPr="00BA4F0F" w:rsidRDefault="001F2346" w:rsidP="001F2346">
      <w:pPr>
        <w:ind w:firstLine="567"/>
      </w:pPr>
      <w:r w:rsidRPr="00BA4F0F">
        <w:t xml:space="preserve">Несмотря на совершенствование методик и появление новых препаратов, неудача мобилизации ГСК остается проблемой для пациентов с онкогематологическими заболеваниями </w:t>
      </w:r>
      <w:r w:rsidRPr="00BA4F0F">
        <w:fldChar w:fldCharType="begin" w:fldLock="1"/>
      </w:r>
      <w:r w:rsidR="002736BA">
        <w:instrText>ADDIN CSL_CITATION {"citationItems":[{"id":"ITEM-1","itemData":{"author":[{"dropping-particle":"","family":"Покровская О.С., Менделеева Л.П., Гальцева И.В., Варламова Е.Ю., Капланская И.Б., Воробьев И.А., Грецов Е.М., Калинин Н.Н., Варламова С.В., Клясова Г.А., Тихонова Л.Ю.","given":"Савченко В.Г.","non-dropping-particle":"","parse-names":false,"suffix":""}],"container-title":"Проблемы гематологии и переливания","id":"ITEM-1","issued":{"date-parts":[["2003"]]},"page":"55-56","title":"Мобилизация гемопоэтических клеток крови у больных миеломной болезнью","type":"article-journal"},"uris":["http://www.mendeley.com/documents/?uuid=ffac3994-c2e2-36fa-a30d-0feb13f9a7fd","http://www.mendeley.com/documents/?uuid=8770f689-e379-4f05-bd8a-15cddd1006fb"]}],"mendeley":{"formattedCitation":"[229]","plainTextFormattedCitation":"[229]","previouslyFormattedCitation":"[229]"},"properties":{"noteIndex":0},"schema":"https://github.com/citation-style-language/schema/raw/master/csl-citation.json"}</w:instrText>
      </w:r>
      <w:r w:rsidRPr="00BA4F0F">
        <w:fldChar w:fldCharType="separate"/>
      </w:r>
      <w:r w:rsidR="006E1ADA" w:rsidRPr="006E1ADA">
        <w:rPr>
          <w:noProof/>
        </w:rPr>
        <w:t>[229]</w:t>
      </w:r>
      <w:r w:rsidRPr="00BA4F0F">
        <w:fldChar w:fldCharType="end"/>
      </w:r>
      <w:r w:rsidRPr="00BA4F0F">
        <w:t>. Группа итальянских исследователей GITIMO определила критерии доказанного и вероятного риска неудачи мобилизации ГСК у больных ММ и НХЛ.</w:t>
      </w:r>
    </w:p>
    <w:p w14:paraId="44C387AA" w14:textId="77777777" w:rsidR="001F2346" w:rsidRPr="00BA4F0F" w:rsidRDefault="001F2346" w:rsidP="001F2346">
      <w:pPr>
        <w:ind w:firstLine="567"/>
      </w:pPr>
      <w:r w:rsidRPr="00BA4F0F">
        <w:lastRenderedPageBreak/>
        <w:t>К факторам доказанного риска неудачи относятся два параметра: если показатели циркулирующих в крови СD34+ не достигают 20 клеток в 1 мкл. на 4-6-й дни после старта Г–КСФ или же заготовлено менее 2х10</w:t>
      </w:r>
      <w:r w:rsidRPr="00BA4F0F">
        <w:rPr>
          <w:vertAlign w:val="superscript"/>
        </w:rPr>
        <w:t xml:space="preserve">6 </w:t>
      </w:r>
      <w:r w:rsidRPr="00BA4F0F">
        <w:t>CD34+ клеток/кг за 3 лейкафереза.</w:t>
      </w:r>
    </w:p>
    <w:p w14:paraId="1C384C51" w14:textId="5CB42733" w:rsidR="001F2346" w:rsidRPr="00BA4F0F" w:rsidRDefault="001F2346" w:rsidP="001F2346">
      <w:pPr>
        <w:ind w:firstLine="567"/>
      </w:pPr>
      <w:r w:rsidRPr="00BA4F0F">
        <w:t xml:space="preserve">Критериями вероятного риска неудачи мобилизации ГСК является наличие предшествующей неэффективной мобилизации ГСК; длительной ХТ или лучевой терапии, использование флюдарабина, мелфалана, леналидомида на предыдущих этапах лечения; продвинутая фаза болезни, потребовавшая проведения как минимум двух линий ХТ. Клеточность костного мозга менее 30% на момент мобилизации и возраст старше 65 лет также являются факторами риска неэффективной мобилизации </w:t>
      </w:r>
      <w:r w:rsidRPr="00BA4F0F">
        <w:fldChar w:fldCharType="begin" w:fldLock="1"/>
      </w:r>
      <w:r w:rsidR="002736BA">
        <w:instrText>ADDIN CSL_CITATION {"citationItems":[{"id":"ITEM-1","itemData":{"DOI":"10.1038/bmt.2011.82","ISSN":"02683369","abstract":"Many lymphoma and myeloma patients fail to undergo ASCT owing to poor mobilization. Identification of poor mobilizers (PMs) would provide a tool for early intervention with new mobilization agents. The Gruppo italianoTrapianto di Midollo Osseo working group proposed a definition of PMs applicable to clinical trials and clinical practice. The analytic hierarchy process, a method for group decision making, was used in setting prioritized criteria. Lymphoma or myeloma patients were defined as 'proven PM' when: (1) after adequate mobilization (G-CSF 10 μg/kg if used alone or ≥5 μg/kg after chemotherapy) circulating CD34 + cell peak is &lt;20/μL up to 6 days after mobilization with G-CSF or up to 20 days after chemotherapy and G-CSF or (2) they yielded &lt;2.0 × 10 6 CD34 + cells per kg in ≤3 apheresis. Patients were defined as predicted PMs if: (1) they failed a previous collection attempt (not otherwise specified); (2) they previously received extensive radiotherapy or full courses of therapy affecting SC mobilization; and (3) they met two of the following criteria: advanced disease (≥2 lines of chemotherapy), refractory disease, extensive BM involvement or cellularity &lt;30% at the time of mobilization; age ≥65 years. This definition of proven and predicted PMs should be validated in clinical trials and common clinical practice. © 2012 Macmillan Publishers Limited All rights reserved.","author":[{"dropping-particle":"","family":"Olivieri","given":"A.","non-dropping-particle":"","parse-names":false,"suffix":""},{"dropping-particle":"","family":"Marchetti","given":"M.","non-dropping-particle":"","parse-names":false,"suffix":""},{"dropping-particle":"","family":"Lemoli","given":"R.","non-dropping-particle":"","parse-names":false,"suffix":""},{"dropping-particle":"","family":"Tarella","given":"C.","non-dropping-particle":"","parse-names":false,"suffix":""},{"dropping-particle":"","family":"Iacone","given":"A.","non-dropping-particle":"","parse-names":false,"suffix":""},{"dropping-particle":"","family":"Lanza","given":"F.","non-dropping-particle":"","parse-names":false,"suffix":""},{"dropping-particle":"","family":"Rambaldi","given":"A.","non-dropping-particle":"","parse-names":false,"suffix":""},{"dropping-particle":"","family":"Bosi","given":"A.","non-dropping-particle":"","parse-names":false,"suffix":""}],"container-title":"Bone Marrow Transplantation","id":"ITEM-1","issue":"3","issued":{"date-parts":[["2012","3"]]},"page":"342-351","publisher":"Bone Marrow Transplant","title":"Proposed definition of 'poor mobilizer' in lymphoma and multiple myeloma: An analytic hierarchy process by ad hoc working group Gruppo ItalianoTrapianto di Midollo Osseo","type":"article-journal","volume":"47"},"uris":["http://www.mendeley.com/documents/?uuid=ba171d2e-11ed-30e4-8419-628863ccc7d5","http://www.mendeley.com/documents/?uuid=889b327f-5a75-4546-9a08-eda1f05160e3","http://www.mendeley.com/documents/?uuid=8da75729-e2dd-4c45-a604-256ab831ad9d","http://www.mendeley.com/documents/?uuid=5f9c85d8-eabb-4b72-a615-ad332ceb6a28","http://www.mendeley.com/documents/?uuid=77a1aded-f417-40b5-92fe-c81e7ab18493","http://www.mendeley.com/documents/?uuid=8ccbbe36-8201-44c0-91bf-f8fc6344c830","http://www.mendeley.com/documents/?uuid=39d3b635-3780-462d-8abb-b71c080a2618"]}],"mendeley":{"formattedCitation":"[230]","plainTextFormattedCitation":"[230]","previouslyFormattedCitation":"[230]"},"properties":{"noteIndex":0},"schema":"https://github.com/citation-style-language/schema/raw/master/csl-citation.json"}</w:instrText>
      </w:r>
      <w:r w:rsidRPr="00BA4F0F">
        <w:fldChar w:fldCharType="separate"/>
      </w:r>
      <w:r w:rsidR="006E1ADA" w:rsidRPr="006E1ADA">
        <w:rPr>
          <w:noProof/>
        </w:rPr>
        <w:t>[230]</w:t>
      </w:r>
      <w:r w:rsidRPr="00BA4F0F">
        <w:fldChar w:fldCharType="end"/>
      </w:r>
      <w:r w:rsidRPr="00BA4F0F">
        <w:t>.</w:t>
      </w:r>
    </w:p>
    <w:p w14:paraId="36D484CF" w14:textId="77777777" w:rsidR="001F2346" w:rsidRPr="00BA4F0F" w:rsidRDefault="001F2346" w:rsidP="001F2346">
      <w:pPr>
        <w:ind w:firstLine="567"/>
      </w:pPr>
      <w:r w:rsidRPr="00BA4F0F">
        <w:t>В случае недостаточного количества заготовленных ГСК обсуждается вопрос об эскалации дозы ростового фактора, проведении повторной мобилизации по другой схеме, эксфузии костного мозга. В настоящее время трансплантация ГСК, полученных из периферической крови, вытесняет трансплантацию костного мозга. Это связанно с тем, что методы сбора клеток из периферической крови менее инвазивны, а восстановление гемопоэза после трансплантации ГСК происходит быстрее, чем после трансплантации костного мозга.</w:t>
      </w:r>
    </w:p>
    <w:p w14:paraId="11F7DAAF" w14:textId="77777777" w:rsidR="001F2346" w:rsidRPr="00BA4F0F" w:rsidRDefault="001F2346" w:rsidP="001F2346">
      <w:pPr>
        <w:ind w:firstLine="567"/>
      </w:pPr>
      <w:r w:rsidRPr="00BA4F0F">
        <w:t>Цель мобилизации – заготовка адекватного количества CD34+клеток, достаточного для выполнения одной или двух трансплантаций.</w:t>
      </w:r>
    </w:p>
    <w:p w14:paraId="6C8D2B1C" w14:textId="77777777" w:rsidR="001F2346" w:rsidRPr="00BA4F0F" w:rsidRDefault="001F2346" w:rsidP="001F2346">
      <w:pPr>
        <w:ind w:firstLine="567"/>
      </w:pPr>
      <w:r w:rsidRPr="00BA4F0F">
        <w:t>Далее представлена подробная характеристика препаратов, стимулирующих выброс ГСК в периферическую кровь.</w:t>
      </w:r>
    </w:p>
    <w:p w14:paraId="7EBBD292" w14:textId="77777777" w:rsidR="001F2346" w:rsidRPr="00BA4F0F" w:rsidRDefault="001F2346" w:rsidP="001F2346">
      <w:pPr>
        <w:pStyle w:val="11"/>
        <w:spacing w:before="0"/>
      </w:pPr>
      <w:bookmarkStart w:id="131" w:name="_Toc44926603"/>
    </w:p>
    <w:p w14:paraId="068A1F8E" w14:textId="77777777" w:rsidR="001F2346" w:rsidRPr="00BA4F0F" w:rsidRDefault="001F2346" w:rsidP="001F2346">
      <w:pPr>
        <w:rPr>
          <w:b/>
          <w:bCs/>
        </w:rPr>
      </w:pPr>
      <w:r w:rsidRPr="00BA4F0F">
        <w:rPr>
          <w:b/>
          <w:bCs/>
        </w:rPr>
        <w:t>Препараты, используемые для мобилизации ГСК.</w:t>
      </w:r>
      <w:bookmarkEnd w:id="131"/>
    </w:p>
    <w:p w14:paraId="7BE94F71" w14:textId="77777777" w:rsidR="001F2346" w:rsidRPr="00BA4F0F" w:rsidRDefault="001F2346" w:rsidP="001F2346">
      <w:pPr>
        <w:pStyle w:val="afe"/>
        <w:ind w:left="0"/>
        <w:rPr>
          <w:rFonts w:cs="Times New Roman"/>
          <w:szCs w:val="24"/>
          <w:u w:val="single"/>
        </w:rPr>
      </w:pPr>
      <w:r w:rsidRPr="00BA4F0F">
        <w:rPr>
          <w:rFonts w:cs="Times New Roman"/>
          <w:szCs w:val="24"/>
          <w:u w:val="single"/>
        </w:rPr>
        <w:t>Гранулоцитарный колониестимулирующий фактор</w:t>
      </w:r>
    </w:p>
    <w:p w14:paraId="40999F7B" w14:textId="77777777" w:rsidR="001F2346" w:rsidRPr="00BA4F0F" w:rsidRDefault="001F2346" w:rsidP="001F2346">
      <w:pPr>
        <w:ind w:firstLine="567"/>
      </w:pPr>
      <w:r w:rsidRPr="00BA4F0F">
        <w:t xml:space="preserve">Г-КСФ – гликопротеин, ускоряющий пролиферацию гранулоцитарных клеток-предшественников нейтрофильного ростка костного мозга, дифференцировку в направлении зрелых нейтрофилов и их выход из костного мозга в периферическую кровь. Применение Г-КСФ как после курса химиотерапии (ХТ), так и независимо от нее, приводит к мобилизации в периферическую кровь клеток-предшественниц гемопоэза. </w:t>
      </w:r>
    </w:p>
    <w:p w14:paraId="60880E38" w14:textId="77777777" w:rsidR="001F2346" w:rsidRPr="00BA4F0F" w:rsidRDefault="001F2346" w:rsidP="001F2346">
      <w:pPr>
        <w:ind w:firstLine="567"/>
      </w:pPr>
      <w:r w:rsidRPr="00BA4F0F">
        <w:t xml:space="preserve">Г-КСФ значительно увеличивает число нейтрофилов в периферической крови уже в первые 24 часа после введения. После окончания применения Г-КСФ число нейтрофилов в периферической крови снижается на 50% в течение 1-2 дней и возвращается к нормальным значениям в течение 1-7 дней. </w:t>
      </w:r>
    </w:p>
    <w:p w14:paraId="5E9660B2" w14:textId="72CA56E2" w:rsidR="001F2346" w:rsidRPr="00BA4F0F" w:rsidRDefault="001F2346" w:rsidP="001F2346">
      <w:pPr>
        <w:ind w:firstLine="567"/>
      </w:pPr>
      <w:r w:rsidRPr="00BA4F0F">
        <w:t xml:space="preserve">Изучение фармакокинетики Г-КСФ показало, что препарат быстро выводится из организма, что требует применения многократных инъекций. С целью пролонгации действия разработана иммобилизованная на полиэтиленгликоле (ПЭГ) форма Г-КСФ. В </w:t>
      </w:r>
      <w:r w:rsidRPr="00BA4F0F">
        <w:lastRenderedPageBreak/>
        <w:t xml:space="preserve">иммобилизованном препарате ПЭГ присоединяется ковалентной связью к N-концевому пептиду молекулы, увеличивая ее размер, что приводит к замедлению почечного клиренса. Время циркуляции в крови пэгилированной формы увеличивается с 3,5 ч. до 42ч. После одной инъекции препарата высокий уровень нейтрофилов поддерживается в крови в течение 9 дней </w:t>
      </w:r>
      <w:r w:rsidRPr="00BA4F0F">
        <w:fldChar w:fldCharType="begin" w:fldLock="1"/>
      </w:r>
      <w:r w:rsidR="002736BA">
        <w:instrText>ADDIN CSL_CITATION {"citationItems":[{"id":"ITEM-1","itemData":{"DOI":"10.2165/11586040-000000000-00000","ISSN":"03125963","abstract":"Pegfilgrastim is a sustained-duration form of filgrastim, a recombinant methionyl form of human granulocyte colony-stimulating factor (G-CSF), to which a 20kDa polyethylene glycol molecule is covalently bound to the N-terminal methionine residue. Similar to filgrastim, pegfilgrastim increases the proliferation and differentiation of neutrophils from committed progenitor cells, induces maturation, and enhances the survival and function of mature neutrophils, resulting in dose-dependent increases in neutrophils.After subcutaneous administration, pegfilgrastim exhibits nonlinear pharmacokinetics and exposure to pegfilgrastim increases in more than a dose-proportional manner, suggesting that the clearance of pegfilgrastim decreases with increased dosing. Filgrastim is primarily eliminated by the kidney and neutrophilsneutrophil precursors; the latter presumably involves binding of the growth factor to the G-CSF receptor on the cell surface, internalization of the growth factor-receptor complexes via endocytosis, and subsequent degradation inside the cells. Pegylation of filgrastim renders renal clearance insignificant, which was demonstrated in bilaterally nephrectomized rats and confirmed in subjects with renal impairment. As a result, the neutrophil-mediated clearance is the predominant elimination pathway for pegfilgrastim.During chemotherapy-induced neutropenia, the clearance of pegfilgrastim is significantly reduced and the concentration of pegfilgrastim is sustained until onset of neutrophil recovery. Pegfilgrastim concentrations are sustained longer in patients with profound neutropenia. Evidence supports the use of a postnadir absolute neutrophil count (ANC) of ≥1×109/L as a surrogate marker threshold for the clearance of pegfilgrastim to subtherapeutic levels. After repeated administration of pegfilgrastim, the peak concentrations of pegfilgrastim decrease, likely due to increased neutrophil and neutrophil precursor mass.A pharmacokinetic-pharmacodynamic model was developed to describe the pharmacokinetic and ANC profiles of pegfilgrastim; the analysis supported that 100μgkg was an adequate weight-based dose of pegfilgrastim and predicted that 6mg would be an optimal fixed dose of pegfilgrastim to simplify treatment. Data from a pivotal study confirmed that a once-per-chemotherapy-cycle injection of pegfilgrastim at 6mg was as safe and effective as 11 daily injections of filgrastim at 5μgkg in reducing neutropenia and its complications in patients …","author":[{"dropping-particle":"","family":"Yang","given":"Bing Bing","non-dropping-particle":"","parse-names":false,"suffix":""},{"dropping-particle":"","family":"Kido","given":"Anna","non-dropping-particle":"","parse-names":false,"suffix":""}],"container-title":"Clinical Pharmacokinetics","id":"ITEM-1","issue":"5","issued":{"date-parts":[["2011"]]},"page":"295-306","publisher":"Clin Pharmacokinet","title":"Pharmacokinetics and pharmacodynamics of pegfilgrastim","type":"article","volume":"50"},"uris":["http://www.mendeley.com/documents/?uuid=445b8605-4444-3286-9533-f890634da33f","http://www.mendeley.com/documents/?uuid=8c131309-d633-4467-9e52-e36f2f6739d8","http://www.mendeley.com/documents/?uuid=d0ae95d8-455a-466d-b2b7-1cf20c6911c3","http://www.mendeley.com/documents/?uuid=350f69c3-8670-4b28-9ce6-bbf7bbe95719","http://www.mendeley.com/documents/?uuid=aed192a7-bd44-4087-8c83-7bb80ed986b5","http://www.mendeley.com/documents/?uuid=4fb6ef40-750e-4e26-80f5-5d3e68016e6f","http://www.mendeley.com/documents/?uuid=ec9d7c0f-5da5-47cd-a932-c0af1a9d94a0"]}],"mendeley":{"formattedCitation":"[231]","plainTextFormattedCitation":"[231]","previouslyFormattedCitation":"[231]"},"properties":{"noteIndex":0},"schema":"https://github.com/citation-style-language/schema/raw/master/csl-citation.json"}</w:instrText>
      </w:r>
      <w:r w:rsidRPr="00BA4F0F">
        <w:fldChar w:fldCharType="separate"/>
      </w:r>
      <w:r w:rsidR="006E1ADA" w:rsidRPr="006E1ADA">
        <w:rPr>
          <w:noProof/>
        </w:rPr>
        <w:t>[231]</w:t>
      </w:r>
      <w:r w:rsidRPr="00BA4F0F">
        <w:fldChar w:fldCharType="end"/>
      </w:r>
      <w:r w:rsidRPr="00BA4F0F">
        <w:t>.</w:t>
      </w:r>
    </w:p>
    <w:p w14:paraId="4A086B26" w14:textId="77777777" w:rsidR="001F2346" w:rsidRPr="00BA4F0F" w:rsidRDefault="001F2346" w:rsidP="001F2346">
      <w:pPr>
        <w:rPr>
          <w:i/>
        </w:rPr>
      </w:pPr>
    </w:p>
    <w:p w14:paraId="40036C84" w14:textId="77777777" w:rsidR="001F2346" w:rsidRPr="00BA4F0F" w:rsidRDefault="001F2346" w:rsidP="001F2346">
      <w:pPr>
        <w:rPr>
          <w:b/>
          <w:i/>
        </w:rPr>
      </w:pPr>
      <w:r w:rsidRPr="00BA4F0F">
        <w:rPr>
          <w:b/>
          <w:i/>
          <w:lang w:val="en-US"/>
        </w:rPr>
        <w:t>P</w:t>
      </w:r>
      <w:r w:rsidRPr="00BA4F0F">
        <w:rPr>
          <w:b/>
          <w:i/>
        </w:rPr>
        <w:t xml:space="preserve">ежим дозирования Г-КСФ для мобилизации СКК </w:t>
      </w:r>
    </w:p>
    <w:p w14:paraId="5E66EA61" w14:textId="0DBF17B2" w:rsidR="001F2346" w:rsidRPr="00BA4F0F" w:rsidRDefault="001F2346" w:rsidP="001F2346">
      <w:pPr>
        <w:ind w:firstLine="567"/>
      </w:pPr>
      <w:r w:rsidRPr="00BA4F0F">
        <w:t xml:space="preserve">Г-КСФ вводится в дозе 5 или 10 мкг/кг/сутки подкожно в зависимости от режима мобилизации ГСК. Пегилированный Г-КСФ вводится однократно в дозе 12 мг подкожно </w:t>
      </w:r>
      <w:r w:rsidRPr="00BA4F0F">
        <w:fldChar w:fldCharType="begin" w:fldLock="1"/>
      </w:r>
      <w:r w:rsidR="002736BA">
        <w:instrText>ADDIN CSL_CITATION {"citationItems":[{"id":"ITEM-1","itemData":{"DOI":"10.1111/j.1537-2995.2012.03579.x","ISSN":"00411132","abstract":"Background: Plerixafor enhances the ability of filgrastim (FIL) to mobilize CD34+ cells but adds cost to the mobilization. We hypothesized that replacing weight-based FIL with flat-dose pegfilgrastim (PEG) in a validated cost-based mobilization algorithm for patient-adapted use of plerixafor would add convenience without increased cost. Study design and methods: A single-center retrospective analysis compared two consecutive cohorts undergoing FIL or PEG mobilization before autologous hematopoietic stem cell transplantation for multiple myeloma or lymphoma. FIL dose was 10 Âμg/kg/day continuing until completion of collection and a 12-mg flat dose of PEG. Peripheral blood CD34+ cells (PB-CD34+) enumeration was performed on the fourth day after initiation of growth factor. Subjects surpassing a certain target-specific threshold of PB-CD34+ started apheresis immediately while subjects with lower PB-CD34+ received plerixafor with apheresis starting on the fifth day. Results: Overall 68 of 74 in the FIL group and 52 of 57 patients in the PEG group met the mobilization target. Only one patient in each cohort required remobilization. Median PB-CD34+ on Day 4 was significantly higher in patients in the PEG group (18.1 × 106 vs. 28.7 × 106 cells/L, p = 0.01). Consequently, patients in the PEG group were less likely to require administration of plerixafor (67.5% vs. 45.6%, p = 0.01). Cohorts had near identical mean number of apheresis sessions and comparable CD34+ yield. The estimated cost associated with growth factor was higher in patients in the PEG group, but it was counterbalanced by lower cost associated with use of plerixafor. Conclusion: Single administration of 12 mg of PEG is associated with better CD34+ mobilization than FIL allowing for effective, convenient mobilization with less frequent use of plerixafor. © 2012 American Association of Blood Banks.","author":[{"dropping-particle":"","family":"Costa","given":"Luciano J.","non-dropping-particle":"","parse-names":false,"suffix":""},{"dropping-particle":"","family":"Kramer","given":"Cindy","non-dropping-particle":"","parse-names":false,"suffix":""},{"dropping-particle":"","family":"Hogan","given":"Kathy R.","non-dropping-particle":"","parse-names":false,"suffix":""},{"dropping-particle":"","family":"Butcher","given":"Coleen D.","non-dropping-particle":"","parse-names":false,"suffix":""},{"dropping-particle":"","family":"Littleton","given":"Amanda L.","non-dropping-particle":"","parse-names":false,"suffix":""},{"dropping-particle":"","family":"Shoptaw","given":"Katie B.","non-dropping-particle":"","parse-names":false,"suffix":""},{"dropping-particle":"","family":"Kang","given":"Yubin","non-dropping-particle":"","parse-names":false,"suffix":""},{"dropping-particle":"","family":"Stuart","given":"Robert K.","non-dropping-particle":"","parse-names":false,"suffix":""}],"container-title":"Transfusion","id":"ITEM-1","issue":"11","issued":{"date-parts":[["2012","11"]]},"page":"2375-2381","publisher":"Transfusion","title":"Pegfilgrastim-versus filgrastim-based autologous hematopoietic stem cell mobilization in the setting of preemptive use of plerixafor: Efficacy and cost analysis","type":"article-journal","volume":"52"},"uris":["http://www.mendeley.com/documents/?uuid=c9b6d466-e5cf-3a1f-9950-47a4a1f2595f","http://www.mendeley.com/documents/?uuid=5869ab33-84d0-4d40-9e0a-c68492375302","http://www.mendeley.com/documents/?uuid=da79130c-3245-4bb6-b0b1-d1a74f3c45ce","http://www.mendeley.com/documents/?uuid=23c5daaf-4836-423a-a293-5308de4b05a8","http://www.mendeley.com/documents/?uuid=5bc9223b-2a8e-4a1d-a5ea-925322f33fc0","http://www.mendeley.com/documents/?uuid=cfca06c2-6f99-4d09-bcd1-d6e958d0398f","http://www.mendeley.com/documents/?uuid=f71837f6-2c18-4b5c-aa96-74199fe38ec4"]}],"mendeley":{"formattedCitation":"[232]","plainTextFormattedCitation":"[232]","previouslyFormattedCitation":"[232]"},"properties":{"noteIndex":0},"schema":"https://github.com/citation-style-language/schema/raw/master/csl-citation.json"}</w:instrText>
      </w:r>
      <w:r w:rsidRPr="00BA4F0F">
        <w:fldChar w:fldCharType="separate"/>
      </w:r>
      <w:r w:rsidR="006E1ADA" w:rsidRPr="006E1ADA">
        <w:rPr>
          <w:noProof/>
        </w:rPr>
        <w:t>[232]</w:t>
      </w:r>
      <w:r w:rsidRPr="00BA4F0F">
        <w:fldChar w:fldCharType="end"/>
      </w:r>
      <w:r w:rsidRPr="00BA4F0F">
        <w:t>.</w:t>
      </w:r>
    </w:p>
    <w:p w14:paraId="2D3A70B1" w14:textId="77777777" w:rsidR="001F2346" w:rsidRPr="00BA4F0F" w:rsidRDefault="001F2346" w:rsidP="001F2346">
      <w:pPr>
        <w:rPr>
          <w:b/>
          <w:i/>
        </w:rPr>
      </w:pPr>
    </w:p>
    <w:p w14:paraId="36020DE5" w14:textId="77777777" w:rsidR="001F2346" w:rsidRPr="00BA4F0F" w:rsidRDefault="001F2346" w:rsidP="001F2346">
      <w:pPr>
        <w:rPr>
          <w:b/>
          <w:i/>
        </w:rPr>
      </w:pPr>
      <w:r w:rsidRPr="00BA4F0F">
        <w:rPr>
          <w:b/>
          <w:i/>
        </w:rPr>
        <w:t xml:space="preserve">Особые указания при применении Г-КСФ </w:t>
      </w:r>
    </w:p>
    <w:p w14:paraId="07DBCAA2" w14:textId="77777777" w:rsidR="001F2346" w:rsidRPr="00BA4F0F" w:rsidRDefault="001F2346" w:rsidP="001F2346">
      <w:pPr>
        <w:ind w:firstLine="567"/>
      </w:pPr>
      <w:r w:rsidRPr="00BA4F0F">
        <w:t>На фоне терапии Г-КСФ отмечается увеличение размеров селезенки. Во время клинических исследований у 31% больных с тяжелой хронической нейтропенией пальпаторно обнаруживалась спленомегалия. При рентгенографии увеличение селезенки выявлялось вскоре после назначения Г-КСФ и далее имело тенденцию к стабилизации. Установлено, что уменьшение дозы препарата останавливало спленомегалию; спленэктомия потребовалась 3% больных. Необходимо регулярно контролировать размеры селезенки при проведении мобилизации ГКС.</w:t>
      </w:r>
    </w:p>
    <w:p w14:paraId="15F9646C" w14:textId="19CBF69F" w:rsidR="001F2346" w:rsidRPr="00BA4F0F" w:rsidRDefault="001F2346" w:rsidP="001F2346">
      <w:pPr>
        <w:ind w:firstLine="567"/>
      </w:pPr>
      <w:r w:rsidRPr="00BA4F0F">
        <w:t xml:space="preserve">Эффективность и безопасность Г-КСФ у пациентов с тяжелыми нарушениями функции почек или печени не изучена, поэтому при использовании препарата у данной категории больных нужно соблюдать осторожность </w:t>
      </w:r>
      <w:r w:rsidRPr="00BA4F0F">
        <w:fldChar w:fldCharType="begin" w:fldLock="1"/>
      </w:r>
      <w:r w:rsidR="002736BA">
        <w:instrText>ADDIN CSL_CITATION {"citationItems":[{"id":"ITEM-1","itemData":{"DOI":"10.1007/s00520-017-3854-x","ISSN":"14337339","abstract":"Purpose: Filgrastim (NEUPOGEN®) is the originator recombinant human granulocyte colony-stimulating factor widely used for preventing neutropenia-related infections and mobilizing hematopoietic stem cells. This report presents findings of a systematic literature review and meta-analysis of efficacy and safety of originator filgrastim to update previous reports. Methods: A literature search of electronic databases, congress abstracts, and bibliographies of recent reviews was conducted to identify English-language reports of clinical trials and observational studies evaluating filgrastim in its US-approved indications up to February 2015. Two independent reviewers assessed titles/abstracts and full texts of publications, and extracted data from studies that compared originator filgrastim vs placebo or no treatment. For outcomes with sufficient homogeneous data reported across studies, meta-analysis was performed and relative risk (RR) determined. Data were summarized descriptively for all other evaluated outcomes. Results: A total of 1194 unique articles evaluating originator filgrastim were identified, with 25 meeting eligibility criteria for data extraction: 18 randomized controlled trials, 2 nonrandomized clinical trials, and 5 observational studies. In chemotherapy-induced neutropenia (CIN), filgrastim vs placebo or no treatment significantly reduced febrile neutropenia incidence (RR 0.63, 95% CI 0.53–0.75) and grade 3 or 4 neutropenia incidence (RR 0.50, 95% CI 0.37–0.68). The most commonly reported adverse event (AE) with filgrastim was bone pain (RR 2.61, 95% CI 1.29–5.27 in CIN). Additional efficacy and safety outcomes are described within indications. Conclusions: This systematic literature review and meta-analysis confirms and updates previous reports on the efficacy and safety of originator filgrastim. Bone pain was the commonly reported AE associated with filgrastim use.","author":[{"dropping-particle":"","family":"Dale","given":"David C.","non-dropping-particle":"","parse-names":false,"suffix":""},{"dropping-particle":"","family":"Crawford","given":"Jeffrey","non-dropping-particle":"","parse-names":false,"suffix":""},{"dropping-particle":"","family":"Klippel","given":"Zandra","non-dropping-particle":"","parse-names":false,"suffix":""},{"dropping-particle":"","family":"Reiner","given":"Maureen","non-dropping-particle":"","parse-names":false,"suffix":""},{"dropping-particle":"","family":"Osslund","given":"Timothy","non-dropping-particle":"","parse-names":false,"suffix":""},{"dropping-particle":"","family":"Fan","given":"Ellen","non-dropping-particle":"","parse-names":false,"suffix":""},{"dropping-particle":"","family":"Morrow","given":"Phuong Khanh","non-dropping-particle":"","parse-names":false,"suffix":""},{"dropping-particle":"","family":"Allcott","given":"Kim","non-dropping-particle":"","parse-names":false,"suffix":""},{"dropping-particle":"","family":"Lyman","given":"Gary H.","non-dropping-particle":"","parse-names":false,"suffix":""}],"container-title":"Supportive Care in Cancer","id":"ITEM-1","issue":"1","issued":{"date-parts":[["2018","1"]]},"page":"7-20","publisher":"Springer Verlag","title":"A systematic literature review of the efficacy, effectiveness, and safety of filgrastim","type":"article","volume":"26"},"uris":["http://www.mendeley.com/documents/?uuid=550ab93e-65c6-3635-bdec-ce1335957f6b","http://www.mendeley.com/documents/?uuid=81154266-ebc4-4411-a600-130a38d299b0","http://www.mendeley.com/documents/?uuid=c2be01fc-c6e8-4713-b92d-b16c6c5c4162","http://www.mendeley.com/documents/?uuid=51012d54-9729-4c59-8188-bd27dd02ced0","http://www.mendeley.com/documents/?uuid=7b228875-1c78-4dc7-aa5d-6018d173c1d5","http://www.mendeley.com/documents/?uuid=330cd959-497b-4a4c-b7a0-3a2c812989a6","http://www.mendeley.com/documents/?uuid=5ddce061-fa65-466f-9706-626067ecf30d"]}],"mendeley":{"formattedCitation":"[233]","plainTextFormattedCitation":"[233]","previouslyFormattedCitation":"[233]"},"properties":{"noteIndex":0},"schema":"https://github.com/citation-style-language/schema/raw/master/csl-citation.json"}</w:instrText>
      </w:r>
      <w:r w:rsidRPr="00BA4F0F">
        <w:fldChar w:fldCharType="separate"/>
      </w:r>
      <w:r w:rsidR="006E1ADA" w:rsidRPr="006E1ADA">
        <w:rPr>
          <w:noProof/>
        </w:rPr>
        <w:t>[233]</w:t>
      </w:r>
      <w:r w:rsidRPr="00BA4F0F">
        <w:fldChar w:fldCharType="end"/>
      </w:r>
      <w:r w:rsidRPr="00BA4F0F">
        <w:t xml:space="preserve">. </w:t>
      </w:r>
    </w:p>
    <w:p w14:paraId="1B8E4639" w14:textId="77777777" w:rsidR="001F2346" w:rsidRPr="00BA4F0F" w:rsidRDefault="001F2346" w:rsidP="001F2346">
      <w:pPr>
        <w:rPr>
          <w:b/>
          <w:i/>
        </w:rPr>
      </w:pPr>
    </w:p>
    <w:p w14:paraId="3C28BB05" w14:textId="77777777" w:rsidR="001F2346" w:rsidRPr="00BA4F0F" w:rsidRDefault="001F2346" w:rsidP="001F2346">
      <w:pPr>
        <w:rPr>
          <w:b/>
          <w:i/>
        </w:rPr>
      </w:pPr>
      <w:r w:rsidRPr="00BA4F0F">
        <w:rPr>
          <w:b/>
          <w:i/>
        </w:rPr>
        <w:t>Побочные эффекты Г-КСФ</w:t>
      </w:r>
    </w:p>
    <w:p w14:paraId="019B7F25" w14:textId="77777777" w:rsidR="001F2346" w:rsidRPr="00BA4F0F" w:rsidRDefault="001F2346" w:rsidP="001F2346">
      <w:pPr>
        <w:ind w:firstLine="567"/>
      </w:pPr>
      <w:r w:rsidRPr="00BA4F0F">
        <w:t>Нежелательные явления после назначения встречаются в 30% случаев, как у пациентов, так и у здоровых доноров.</w:t>
      </w:r>
    </w:p>
    <w:p w14:paraId="45695721" w14:textId="25A1FFF1" w:rsidR="001F2346" w:rsidRPr="00BA4F0F" w:rsidRDefault="001F2346" w:rsidP="001F2346">
      <w:pPr>
        <w:ind w:firstLine="567"/>
      </w:pPr>
      <w:r w:rsidRPr="00BA4F0F">
        <w:t xml:space="preserve">Наиболее частые осложнения: боли в костях, головные боли, общая слабость. Реже встречаются миалгии, тревога, бессонница, гипергидроз, лихорадка, тошнота, кожные реакции в месте введения </w:t>
      </w:r>
      <w:r w:rsidRPr="00BA4F0F">
        <w:fldChar w:fldCharType="begin" w:fldLock="1"/>
      </w:r>
      <w:r w:rsidR="002736BA">
        <w:instrText>ADDIN CSL_CITATION {"citationItems":[{"id":"ITEM-1","itemData":{"DOI":"10.1200/JCO.2015.62.3488","ISSN":"15277755","PMID":"26169616","abstract":"Purpose To update the 2006 American Society of Clinical Oncology guideline on the use of hematopoietic colony-stimulating factors (CSFs). Methods The American Society of Clinical Oncology convened an Update Committee and conducted a systematic review of randomized clinical trials, meta-analyses, and systematic reviews from October 2005 through September 2014. Guideline recommendations were based on the review of the evidence by the Update Committee. Results Changes to previous recommendations include the addition of tbo-filgrastim and filgrastim-sndz, moderation of the recommendation regarding routine use of CSFs in older patients with diffuse aggressive lymphoma, and addition of recommendations against routine dose-dense chemotherapy in lymphoma and in favor of high- dose-intensity chemotherapy in urothelial cancer. The Update Committee did not address recommendations regarding use of CSFs in acute myeloid leukemia or myelodysplastic syndromes in adults. Recommendations Prophylactic use of CSFs to reduce the risk of febrile neutropenia is warranted when the risk of febrile neutropenia is approximately 20% or higher and no other equally effective and safe regimen that does not require CSFs is available. Primary prophylaxis is recommended for the prevention of febrile neutropenia in patients who are at high risk on the basis of age, medical history, disease characteristics, and myelotoxicity of the chemotherapy regimen. Dose-dense regimens that require CSFs should only be used within an appropriately designed clinical trial or if supported by convincing efficacy data. Current recommendations for the management of patients exposed to lethal doses of total-body radiotherapy, but not doses high enough to lead to certain death as a result of injury to other organs, include the prompt administration of CSFs.","author":[{"dropping-particle":"","family":"Smith","given":"Thomas J.","non-dropping-particle":"","parse-names":false,"suffix":""},{"dropping-particle":"","family":"Bohlke","given":"Kari","non-dropping-particle":"","parse-names":false,"suffix":""},{"dropping-particle":"","family":"Lyman","given":"Gary H.","non-dropping-particle":"","parse-names":false,"suffix":""},{"dropping-particle":"","family":"Carson","given":"Kenneth R.","non-dropping-particle":"","parse-names":false,"suffix":""},{"dropping-particle":"","family":"Crawford","given":"Jeffrey","non-dropping-particle":"","parse-names":false,"suffix":""},{"dropping-particle":"","family":"Cross","given":"Scott J.","non-dropping-particle":"","parse-names":false,"suffix":""},{"dropping-particle":"","family":"Goldberg","given":"John M.","non-dropping-particle":"","parse-names":false,"suffix":""},{"dropping-particle":"","family":"Khatcheressian","given":"James L.","non-dropping-particle":"","parse-names":false,"suffix":""},{"dropping-particle":"","family":"Leighl","given":"Natasha B.","non-dropping-particle":"","parse-names":false,"suffix":""},{"dropping-particle":"","family":"Perkins","given":"Cheryl L.","non-dropping-particle":"","parse-names":false,"suffix":""},{"dropping-particle":"","family":"Somlo","given":"George","non-dropping-particle":"","parse-names":false,"suffix":""},{"dropping-particle":"","family":"Wade","given":"James L.","non-dropping-particle":"","parse-names":false,"suffix":""},{"dropping-particle":"","family":"Wozniak","given":"Antoinette J.","non-dropping-particle":"","parse-names":false,"suffix":""},{"dropping-particle":"","family":"Armitage","given":"James O.","non-dropping-particle":"","parse-names":false,"suffix":""}],"container-title":"Journal of Clinical Oncology","id":"ITEM-1","issue":"28","issued":{"date-parts":[["2015","10"]]},"page":"3199-3212","publisher":"American Society of Clinical Oncology","title":"Recommendations for the use of WBC growth factors: American society of clinical oncology clinical practice guideline update","type":"article-journal","volume":"33"},"uris":["http://www.mendeley.com/documents/?uuid=996f59f3-1fa6-3fdf-aac4-35481ffe75e2","http://www.mendeley.com/documents/?uuid=77b4204a-c7e8-425a-b269-9b71b8f10079","http://www.mendeley.com/documents/?uuid=baf8a5c7-f217-426b-bdd6-7823d15881a5","http://www.mendeley.com/documents/?uuid=029b05a4-3aab-45bc-848d-3c17ab334b1a","http://www.mendeley.com/documents/?uuid=c4b68753-8af0-43d3-9c09-5a220cdb4e31","http://www.mendeley.com/documents/?uuid=aea3c5b8-ada6-45f7-8bc1-f029c0318fdc","http://www.mendeley.com/documents/?uuid=0f204161-3323-434c-b1c0-eb5ffafca3ca"]}],"mendeley":{"formattedCitation":"[234]","plainTextFormattedCitation":"[234]","previouslyFormattedCitation":"[234]"},"properties":{"noteIndex":0},"schema":"https://github.com/citation-style-language/schema/raw/master/csl-citation.json"}</w:instrText>
      </w:r>
      <w:r w:rsidRPr="00BA4F0F">
        <w:fldChar w:fldCharType="separate"/>
      </w:r>
      <w:r w:rsidR="006E1ADA" w:rsidRPr="006E1ADA">
        <w:rPr>
          <w:noProof/>
        </w:rPr>
        <w:t>[234]</w:t>
      </w:r>
      <w:r w:rsidRPr="00BA4F0F">
        <w:fldChar w:fldCharType="end"/>
      </w:r>
      <w:r w:rsidRPr="00BA4F0F">
        <w:t xml:space="preserve">. </w:t>
      </w:r>
    </w:p>
    <w:p w14:paraId="754058AA" w14:textId="77777777" w:rsidR="001F2346" w:rsidRPr="00BA4F0F" w:rsidRDefault="001F2346" w:rsidP="001F2346">
      <w:pPr>
        <w:ind w:firstLine="567"/>
      </w:pPr>
      <w:r w:rsidRPr="00BA4F0F">
        <w:t>Оссалгии связаны с изменением метаболизма костной ткани под действием Г-КСФ. Боли могут быть интенсивными, пульсирующего характера, чаще локализованы в позвоночнике, костях таза. Выраженный болевой синдром в костях во время мобилизации ГСК требует адекватной аналгезии.</w:t>
      </w:r>
    </w:p>
    <w:p w14:paraId="40966898" w14:textId="77777777" w:rsidR="001F2346" w:rsidRPr="00BA4F0F" w:rsidRDefault="001F2346" w:rsidP="001F2346">
      <w:pPr>
        <w:pStyle w:val="afe"/>
        <w:ind w:left="0"/>
        <w:rPr>
          <w:rFonts w:cs="Times New Roman"/>
          <w:b/>
          <w:szCs w:val="24"/>
        </w:rPr>
      </w:pPr>
    </w:p>
    <w:p w14:paraId="65376C5A" w14:textId="77777777" w:rsidR="001F2346" w:rsidRPr="00BA4F0F" w:rsidRDefault="001F2346" w:rsidP="001F2346">
      <w:pPr>
        <w:pStyle w:val="afe"/>
        <w:ind w:left="0"/>
        <w:rPr>
          <w:rFonts w:cs="Times New Roman"/>
          <w:szCs w:val="24"/>
          <w:u w:val="single"/>
        </w:rPr>
      </w:pPr>
      <w:r w:rsidRPr="00BA4F0F">
        <w:rPr>
          <w:rFonts w:cs="Times New Roman"/>
          <w:szCs w:val="24"/>
          <w:u w:val="single"/>
        </w:rPr>
        <w:t>Плериксафор</w:t>
      </w:r>
    </w:p>
    <w:p w14:paraId="1A44B06F" w14:textId="77777777" w:rsidR="001F2346" w:rsidRPr="00BA4F0F" w:rsidRDefault="001F2346" w:rsidP="001F2346">
      <w:pPr>
        <w:ind w:firstLine="567"/>
      </w:pPr>
      <w:r w:rsidRPr="00BA4F0F">
        <w:lastRenderedPageBreak/>
        <w:t xml:space="preserve">Клетки стромы костного мозга секретируют стромальный фактор роста-1α (SDF-1α, CXCL12). Рецептором SDF-1α является CXCR4, который присутствует на поверхности ГСК. Взаимодействие между SDF-1α и его рецептором CXCR4 является необходимым для «удержания» стволовой клетки в костном мозге. </w:t>
      </w:r>
    </w:p>
    <w:p w14:paraId="58314FD7" w14:textId="77777777" w:rsidR="001F2346" w:rsidRPr="00BA4F0F" w:rsidRDefault="001F2346" w:rsidP="001F2346">
      <w:pPr>
        <w:ind w:firstLine="567"/>
      </w:pPr>
      <w:r w:rsidRPr="00BA4F0F">
        <w:t xml:space="preserve">Плериксафор –селективный обратимый антагонист хемокинового рецептора CXCR4. Он блокирует CXCR4 за счет связывания с фактором SDF-1α, в результате чего ГСК «отрывается» от стромы костного мозга и выходит в периферическую кровь. </w:t>
      </w:r>
    </w:p>
    <w:p w14:paraId="76D0C9D0" w14:textId="73CC463C" w:rsidR="001F2346" w:rsidRPr="00BA4F0F" w:rsidRDefault="001F2346" w:rsidP="001F2346">
      <w:pPr>
        <w:ind w:firstLine="567"/>
      </w:pPr>
      <w:r w:rsidRPr="00BA4F0F">
        <w:t xml:space="preserve">Считается, что индуцированный плериксафором лейкоцитоз и увеличение количества циркулирующих гемопоэтических прогениторных клеток является результатом нарушения связи между CXCR4 и его лигандом, которое приводит к появлению в системном кровотоке как зрелых, так и полипотентных клеток. CD34+ клетки, мобилизованные с помощью плериксафора, являются функциональными и способными к приживлению, с долгосрочным потенциалом восстановления популяции </w:t>
      </w:r>
      <w:r w:rsidRPr="00BA4F0F">
        <w:fldChar w:fldCharType="begin" w:fldLock="1"/>
      </w:r>
      <w:r w:rsidR="002736BA">
        <w:instrText>ADDIN CSL_CITATION {"citationItems":[{"id":"ITEM-1","itemData":{"DOI":"10.1097/MOH.0000000000000200","ISSN":"15317048","abstract":"Purpose of review Nowadays, plerixafor is approved for patients who fail to mobilize sufficient CD34+ cells for an autologous stem cell transplantation. Plerixafor is effective in the majority of these patients, who otherwise could not be treated adequately. We discussed in this review the current status of the optimal use of plerixafor in different clinical diagnoses and settings. Recent findings Plerixafor seems to be more effective in patients with multiple myeloma than in lymphoma. Even patients who had very low circulating CD34+ cells before administration of plerixafor have an important benefit. Several strategies in different clinical settings showed an effective response after administration of plerixafor, without the superiority of one strategy. Plerixafor is well tolerated with acceptable toxicity; however, it is an expensive drug. Summary Plerixafor is an effective drug in patients who fail to mobilize with conventional strategy. No strategy seems superior for the optimal use of plerixafor. More studies focusing on the kinetics and cost-effectiveness are needed.","author":[{"dropping-particle":"","family":"Bilgin","given":"Yavuz M.","non-dropping-particle":"","parse-names":false,"suffix":""},{"dropping-particle":"","family":"Greef","given":"Georgine E.","non-dropping-particle":"De","parse-names":false,"suffix":""}],"container-title":"Current Opinion in Hematology","id":"ITEM-1","issue":"1","issued":{"date-parts":[["2016"]]},"page":"67-71","publisher":"Lippincott Williams and Wilkins","title":"Plerixafor for stem cell mobilization: The current status","type":"article","volume":"23"},"uris":["http://www.mendeley.com/documents/?uuid=772496d3-3f49-3543-8e45-953927e66576","http://www.mendeley.com/documents/?uuid=0e6ef96a-3564-45dd-86c9-2dcce383b7dc","http://www.mendeley.com/documents/?uuid=80ac083b-a6cc-43ec-ac5c-5dd1106427cb","http://www.mendeley.com/documents/?uuid=d683afc4-05d3-4238-aa1a-cbd32aa0e13a","http://www.mendeley.com/documents/?uuid=b4dd41b8-108e-46be-ac3b-33a16d49ba72","http://www.mendeley.com/documents/?uuid=4631457b-a0e4-4adb-98c7-81b6f793c719","http://www.mendeley.com/documents/?uuid=2945107f-96a2-4ce6-a467-54c0b3287fab"]}],"mendeley":{"formattedCitation":"[235]","plainTextFormattedCitation":"[235]","previouslyFormattedCitation":"[235]"},"properties":{"noteIndex":0},"schema":"https://github.com/citation-style-language/schema/raw/master/csl-citation.json"}</w:instrText>
      </w:r>
      <w:r w:rsidRPr="00BA4F0F">
        <w:fldChar w:fldCharType="separate"/>
      </w:r>
      <w:r w:rsidR="006E1ADA" w:rsidRPr="006E1ADA">
        <w:rPr>
          <w:noProof/>
        </w:rPr>
        <w:t>[235]</w:t>
      </w:r>
      <w:r w:rsidRPr="00BA4F0F">
        <w:fldChar w:fldCharType="end"/>
      </w:r>
      <w:r w:rsidRPr="00BA4F0F">
        <w:t>.</w:t>
      </w:r>
    </w:p>
    <w:p w14:paraId="42DB212E" w14:textId="77777777" w:rsidR="001F2346" w:rsidRPr="00BA4F0F" w:rsidRDefault="001F2346" w:rsidP="001F2346">
      <w:pPr>
        <w:ind w:firstLine="567"/>
      </w:pPr>
      <w:r w:rsidRPr="00BA4F0F">
        <w:t>Плериксафор применяется для усиления мобилизации гемопоэтических стволовых клеток в периферический кровоток с целью их сбора и последующей ауто-ТГСК пациентам с лимфомой и множественной миеломой в сочетании с Г-КСФ.</w:t>
      </w:r>
    </w:p>
    <w:p w14:paraId="6B94BBD9" w14:textId="77777777" w:rsidR="001F2346" w:rsidRPr="00BA4F0F" w:rsidRDefault="001F2346" w:rsidP="001F2346">
      <w:pPr>
        <w:pStyle w:val="afe"/>
        <w:rPr>
          <w:rFonts w:cs="Times New Roman"/>
          <w:b/>
          <w:szCs w:val="24"/>
        </w:rPr>
      </w:pPr>
    </w:p>
    <w:p w14:paraId="43F76161" w14:textId="77777777" w:rsidR="001F2346" w:rsidRPr="00BA4F0F" w:rsidRDefault="001F2346" w:rsidP="001F2346">
      <w:pPr>
        <w:rPr>
          <w:b/>
          <w:i/>
        </w:rPr>
      </w:pPr>
      <w:r w:rsidRPr="00BA4F0F">
        <w:rPr>
          <w:b/>
          <w:i/>
          <w:lang w:val="en-US"/>
        </w:rPr>
        <w:t>P</w:t>
      </w:r>
      <w:r w:rsidRPr="00BA4F0F">
        <w:rPr>
          <w:b/>
          <w:i/>
        </w:rPr>
        <w:t>ежим дозирования плериксафора</w:t>
      </w:r>
    </w:p>
    <w:p w14:paraId="045F8F4C" w14:textId="77777777" w:rsidR="001F2346" w:rsidRPr="00BA4F0F" w:rsidRDefault="001F2346" w:rsidP="001F2346">
      <w:pPr>
        <w:ind w:firstLine="567"/>
      </w:pPr>
      <w:r w:rsidRPr="00BA4F0F">
        <w:t>Рекомендованная доза плериксафора составляет 0,24 мг/кг/сут. Препарат вводят подкожно за 6-11 ч до начала афереза после предварительной 4-дневной терапии Г-КСФ. В клинических исследованиях препарат обычно использовался в течение 2-4 дней подряд (до 7 дней непрерывного применения).</w:t>
      </w:r>
    </w:p>
    <w:p w14:paraId="61090DE8" w14:textId="77777777" w:rsidR="001F2346" w:rsidRPr="00BA4F0F" w:rsidRDefault="001F2346" w:rsidP="001F2346">
      <w:pPr>
        <w:ind w:firstLine="567"/>
      </w:pPr>
      <w:r w:rsidRPr="00BA4F0F">
        <w:t>У пациентов с нарушением функции почек при скорости клубочковой фильтрации (СКФ) менее 50 мл/мин дозу плериксафора следует уменьшить на 1/3 до 0,16 мг/кг/сут. Клинические данные по применению скорректированной дозы препарата ограничены. Имеющийся опыт клинического применения плериксафора не позволяет дать рекомендаций по дозированию препарата при СКФ менее 20 мл/мин.</w:t>
      </w:r>
    </w:p>
    <w:p w14:paraId="33675912" w14:textId="77777777" w:rsidR="001F2346" w:rsidRPr="00BA4F0F" w:rsidRDefault="001F2346" w:rsidP="001F2346">
      <w:pPr>
        <w:pStyle w:val="afe"/>
        <w:rPr>
          <w:rFonts w:cs="Times New Roman"/>
          <w:b/>
          <w:szCs w:val="24"/>
        </w:rPr>
      </w:pPr>
    </w:p>
    <w:p w14:paraId="1ED0CE93" w14:textId="77777777" w:rsidR="001F2346" w:rsidRPr="00BA4F0F" w:rsidRDefault="001F2346" w:rsidP="001F2346">
      <w:pPr>
        <w:rPr>
          <w:b/>
          <w:i/>
        </w:rPr>
      </w:pPr>
      <w:r w:rsidRPr="00BA4F0F">
        <w:rPr>
          <w:b/>
          <w:i/>
        </w:rPr>
        <w:t>Особые указания при применении плериксафора</w:t>
      </w:r>
    </w:p>
    <w:p w14:paraId="4B91985F" w14:textId="77777777" w:rsidR="001F2346" w:rsidRPr="00BA4F0F" w:rsidRDefault="001F2346" w:rsidP="001F2346">
      <w:pPr>
        <w:ind w:firstLine="567"/>
        <w:rPr>
          <w:i/>
        </w:rPr>
      </w:pPr>
      <w:r w:rsidRPr="00BA4F0F">
        <w:rPr>
          <w:i/>
        </w:rPr>
        <w:t>Мобилизация опухолевых клеток у пациентов с лейкозами.</w:t>
      </w:r>
    </w:p>
    <w:p w14:paraId="2B8F4C7B" w14:textId="77777777" w:rsidR="001F2346" w:rsidRPr="00BA4F0F" w:rsidRDefault="001F2346" w:rsidP="001F2346">
      <w:pPr>
        <w:ind w:firstLine="567"/>
      </w:pPr>
      <w:r w:rsidRPr="00BA4F0F">
        <w:t>Плериксафор и Г-КСФ назначали при остром миелоидном и плазмоцитарном лейкозах в рамках программы по применению исследуемого препарата в индивидуальном порядке. При этом в отдельных случаях наблюдалось увеличение числа циркулирующих лейкемических клеток. Поэтому плериксафор не рекомендуется применять при лейкозах для мобилизации гемопоэтических стволовых клеток и их последующего забора.</w:t>
      </w:r>
    </w:p>
    <w:p w14:paraId="3375C79A" w14:textId="77777777" w:rsidR="001F2346" w:rsidRPr="00BA4F0F" w:rsidRDefault="001F2346" w:rsidP="001F2346">
      <w:pPr>
        <w:ind w:firstLine="567"/>
        <w:rPr>
          <w:i/>
        </w:rPr>
      </w:pPr>
      <w:r w:rsidRPr="00BA4F0F">
        <w:rPr>
          <w:i/>
        </w:rPr>
        <w:lastRenderedPageBreak/>
        <w:t xml:space="preserve">Тромбоцитопения. </w:t>
      </w:r>
    </w:p>
    <w:p w14:paraId="48772C45" w14:textId="77777777" w:rsidR="001F2346" w:rsidRPr="00BA4F0F" w:rsidRDefault="001F2346" w:rsidP="001F2346">
      <w:pPr>
        <w:ind w:firstLine="567"/>
      </w:pPr>
      <w:r w:rsidRPr="00BA4F0F">
        <w:t xml:space="preserve">Тромбоцитопения является известным осложнением афереза и наблюдается у пациентов, получающих как Г-КСФ, так и плериксафор. </w:t>
      </w:r>
    </w:p>
    <w:p w14:paraId="1EEA3E4B" w14:textId="77777777" w:rsidR="001F2346" w:rsidRPr="00BA4F0F" w:rsidRDefault="001F2346" w:rsidP="001F2346">
      <w:pPr>
        <w:ind w:firstLine="567"/>
        <w:rPr>
          <w:i/>
        </w:rPr>
      </w:pPr>
      <w:r w:rsidRPr="00BA4F0F">
        <w:rPr>
          <w:i/>
        </w:rPr>
        <w:t>Возможность мобилизации опухолевых клеток у пациентов с лимфомой и множественной миеломой.</w:t>
      </w:r>
    </w:p>
    <w:p w14:paraId="1B6473F4" w14:textId="77777777" w:rsidR="001F2346" w:rsidRPr="00BA4F0F" w:rsidRDefault="001F2346" w:rsidP="001F2346">
      <w:pPr>
        <w:ind w:firstLine="567"/>
      </w:pPr>
      <w:r w:rsidRPr="00BA4F0F">
        <w:t>Последствия потенциальной реинфузии опухолевых клеток должным образом не изучены. При применении плериксафора в сочетании с Г-КСФ для мобилизации гемопоэтических стволовых клеток при лимфоме или множественной миеломе (ММ) возможно высвобождение опухолевых клеток из костного мозга и их последующий забор при лейкаферезе. Клиническое значение возможного риска мобилизации опухолевых клеток определено не полностью. В клинических исследованиях с участием пациентов с неходжкинской лимфомой и множественной миеломой не наблюдалось мобилизации клеток опухоли при применении плериксафора.</w:t>
      </w:r>
    </w:p>
    <w:p w14:paraId="77C10DA9" w14:textId="77777777" w:rsidR="001F2346" w:rsidRPr="00BA4F0F" w:rsidRDefault="001F2346" w:rsidP="001F2346">
      <w:pPr>
        <w:ind w:firstLine="567"/>
        <w:rPr>
          <w:i/>
        </w:rPr>
      </w:pPr>
      <w:r w:rsidRPr="00BA4F0F">
        <w:rPr>
          <w:i/>
        </w:rPr>
        <w:t>Вазовагальные реакции</w:t>
      </w:r>
    </w:p>
    <w:p w14:paraId="44360B2C" w14:textId="77777777" w:rsidR="001F2346" w:rsidRPr="00BA4F0F" w:rsidRDefault="001F2346" w:rsidP="001F2346">
      <w:pPr>
        <w:ind w:firstLine="567"/>
      </w:pPr>
      <w:r w:rsidRPr="00BA4F0F">
        <w:t>После подкожной инъекций препарата могут отмечаться вазовагальные реакции, ортостатическая гипотензия и/или синкопе.</w:t>
      </w:r>
    </w:p>
    <w:p w14:paraId="68577DB5" w14:textId="77777777" w:rsidR="001F2346" w:rsidRPr="00BA4F0F" w:rsidRDefault="001F2346" w:rsidP="001F2346">
      <w:pPr>
        <w:ind w:firstLine="567"/>
        <w:rPr>
          <w:i/>
        </w:rPr>
      </w:pPr>
      <w:r w:rsidRPr="00BA4F0F">
        <w:rPr>
          <w:i/>
        </w:rPr>
        <w:t>Спленомегалия</w:t>
      </w:r>
    </w:p>
    <w:p w14:paraId="7F7E8A14" w14:textId="77777777" w:rsidR="001F2346" w:rsidRPr="00BA4F0F" w:rsidRDefault="001F2346" w:rsidP="001F2346">
      <w:pPr>
        <w:ind w:firstLine="567"/>
      </w:pPr>
      <w:r w:rsidRPr="00BA4F0F">
        <w:t>В клинических исследованиях влияние плериксафора на размер селезенки специально не оценивалось. Учитывая, что использование Г-КСФ может провоцировать спленомегалию, а также сочетанное применение плериксафора и Г-КСФ, необходимо регулярно контролировать размеры селезенки.</w:t>
      </w:r>
    </w:p>
    <w:p w14:paraId="34840EBD" w14:textId="77777777" w:rsidR="001F2346" w:rsidRPr="00BA4F0F" w:rsidRDefault="001F2346" w:rsidP="001F2346">
      <w:pPr>
        <w:pStyle w:val="afe"/>
        <w:rPr>
          <w:rFonts w:cs="Times New Roman"/>
          <w:b/>
          <w:szCs w:val="24"/>
        </w:rPr>
      </w:pPr>
    </w:p>
    <w:p w14:paraId="49362AAC" w14:textId="77777777" w:rsidR="001F2346" w:rsidRPr="00BA4F0F" w:rsidRDefault="001F2346" w:rsidP="001F2346">
      <w:pPr>
        <w:rPr>
          <w:b/>
          <w:i/>
        </w:rPr>
      </w:pPr>
      <w:r w:rsidRPr="00BA4F0F">
        <w:rPr>
          <w:b/>
          <w:i/>
        </w:rPr>
        <w:t>Побочные эффекты плериксафора</w:t>
      </w:r>
    </w:p>
    <w:p w14:paraId="3E0FE34C" w14:textId="77777777" w:rsidR="001F2346" w:rsidRPr="00BA4F0F" w:rsidRDefault="001F2346" w:rsidP="001F2346">
      <w:pPr>
        <w:ind w:firstLine="567"/>
      </w:pPr>
      <w:r w:rsidRPr="00BA4F0F">
        <w:t>Наиболее частые осложнения: скелетно-мышечная боль, головные боли, головокружение, бессонница, общая слабость, диарея, тошнота. Также встречаются метеоризм, запор, сухость во рту, гипергидроз, кожные реакции в месте введения</w:t>
      </w:r>
    </w:p>
    <w:p w14:paraId="028FBA26" w14:textId="77777777" w:rsidR="001F2346" w:rsidRPr="00BA4F0F" w:rsidRDefault="001F2346" w:rsidP="001F2346">
      <w:pPr>
        <w:pStyle w:val="11"/>
        <w:spacing w:before="0"/>
        <w:ind w:left="480"/>
      </w:pPr>
      <w:bookmarkStart w:id="132" w:name="_Toc44926604"/>
    </w:p>
    <w:p w14:paraId="5EE4E79E" w14:textId="77777777" w:rsidR="001F2346" w:rsidRPr="00143DAF" w:rsidRDefault="001F2346" w:rsidP="00143DAF">
      <w:pPr>
        <w:pStyle w:val="1ff0"/>
        <w:spacing w:beforeAutospacing="0" w:afterAutospacing="0" w:line="360" w:lineRule="auto"/>
        <w:rPr>
          <w:rFonts w:eastAsiaTheme="minorHAnsi"/>
          <w:i/>
          <w:iCs/>
          <w:u w:val="single"/>
        </w:rPr>
      </w:pPr>
      <w:bookmarkStart w:id="133" w:name="_Toc64475919"/>
      <w:r w:rsidRPr="00143DAF">
        <w:rPr>
          <w:rFonts w:eastAsiaTheme="minorHAnsi"/>
          <w:i/>
          <w:iCs/>
          <w:u w:val="single"/>
        </w:rPr>
        <w:t>Режимы мобилизации ГСК</w:t>
      </w:r>
      <w:bookmarkEnd w:id="132"/>
      <w:bookmarkEnd w:id="133"/>
    </w:p>
    <w:p w14:paraId="0E9691DD" w14:textId="77777777" w:rsidR="001F2346" w:rsidRPr="00BA4F0F" w:rsidRDefault="001F2346" w:rsidP="001F2346">
      <w:pPr>
        <w:autoSpaceDE w:val="0"/>
        <w:autoSpaceDN w:val="0"/>
        <w:adjustRightInd w:val="0"/>
        <w:ind w:firstLine="567"/>
      </w:pPr>
      <w:r w:rsidRPr="00BA4F0F">
        <w:t>В настоящее время в онкогематологии широкое распространение получили следующие режимы мобилизации ГСК:</w:t>
      </w:r>
    </w:p>
    <w:p w14:paraId="41668042" w14:textId="77777777" w:rsidR="001F2346" w:rsidRPr="00BA4F0F" w:rsidRDefault="001F2346" w:rsidP="001F2346">
      <w:pPr>
        <w:numPr>
          <w:ilvl w:val="0"/>
          <w:numId w:val="178"/>
        </w:numPr>
        <w:contextualSpacing/>
      </w:pPr>
      <w:r w:rsidRPr="00BA4F0F">
        <w:t>Г-КСФ в монорежиме</w:t>
      </w:r>
    </w:p>
    <w:p w14:paraId="14534DEE" w14:textId="77777777" w:rsidR="001F2346" w:rsidRPr="00BA4F0F" w:rsidRDefault="001F2346" w:rsidP="001F2346">
      <w:pPr>
        <w:numPr>
          <w:ilvl w:val="0"/>
          <w:numId w:val="178"/>
        </w:numPr>
        <w:contextualSpacing/>
      </w:pPr>
      <w:r w:rsidRPr="00BA4F0F">
        <w:t>Г-КСФ после миелосупрессивной химиотерапии (ХТ + Г-КСФ)</w:t>
      </w:r>
    </w:p>
    <w:p w14:paraId="5AE150CB" w14:textId="77777777" w:rsidR="001F2346" w:rsidRPr="00BA4F0F" w:rsidRDefault="001F2346" w:rsidP="001F2346">
      <w:pPr>
        <w:numPr>
          <w:ilvl w:val="0"/>
          <w:numId w:val="178"/>
        </w:numPr>
        <w:contextualSpacing/>
      </w:pPr>
      <w:r w:rsidRPr="00BA4F0F">
        <w:t>Г-КСФ в сочетании с плериксафором</w:t>
      </w:r>
    </w:p>
    <w:p w14:paraId="10E55178" w14:textId="77777777" w:rsidR="001F2346" w:rsidRPr="00BA4F0F" w:rsidRDefault="001F2346" w:rsidP="001F2346">
      <w:pPr>
        <w:pStyle w:val="afe"/>
        <w:ind w:left="0"/>
        <w:rPr>
          <w:rFonts w:cs="Times New Roman"/>
          <w:szCs w:val="24"/>
          <w:u w:val="single"/>
        </w:rPr>
      </w:pPr>
      <w:bookmarkStart w:id="134" w:name="_Toc44926605"/>
    </w:p>
    <w:p w14:paraId="48731447" w14:textId="77777777" w:rsidR="001F2346" w:rsidRPr="00BA4F0F" w:rsidRDefault="001F2346" w:rsidP="001F2346">
      <w:pPr>
        <w:pStyle w:val="afe"/>
        <w:ind w:left="0"/>
        <w:rPr>
          <w:rFonts w:cs="Times New Roman"/>
          <w:szCs w:val="24"/>
          <w:u w:val="single"/>
        </w:rPr>
      </w:pPr>
      <w:r w:rsidRPr="00BA4F0F">
        <w:rPr>
          <w:rFonts w:cs="Times New Roman"/>
          <w:szCs w:val="24"/>
          <w:u w:val="single"/>
        </w:rPr>
        <w:t>Г-КСФ в монорежиме</w:t>
      </w:r>
      <w:bookmarkEnd w:id="134"/>
    </w:p>
    <w:p w14:paraId="01DDBDAA" w14:textId="77777777" w:rsidR="001F2346" w:rsidRPr="00BA4F0F" w:rsidRDefault="001F2346" w:rsidP="001F2346">
      <w:pPr>
        <w:ind w:firstLine="567"/>
      </w:pPr>
      <w:r w:rsidRPr="00BA4F0F">
        <w:lastRenderedPageBreak/>
        <w:t>Данный режим также называют «мобилизация на стабильном состоянии кроветворения», так как у пациента не развивается миелотоксический агранулоцитоз (МТА).</w:t>
      </w:r>
    </w:p>
    <w:p w14:paraId="32C1DC61" w14:textId="77777777" w:rsidR="001F2346" w:rsidRPr="00BA4F0F" w:rsidRDefault="001F2346" w:rsidP="001F2346">
      <w:pPr>
        <w:contextualSpacing/>
        <w:rPr>
          <w:b/>
        </w:rPr>
      </w:pPr>
      <w:r w:rsidRPr="00BA4F0F">
        <w:rPr>
          <w:b/>
        </w:rPr>
        <w:t xml:space="preserve">Показания </w:t>
      </w:r>
    </w:p>
    <w:p w14:paraId="523042DE" w14:textId="77777777" w:rsidR="001F2346" w:rsidRPr="00BA4F0F" w:rsidRDefault="001F2346" w:rsidP="00DC0931">
      <w:pPr>
        <w:numPr>
          <w:ilvl w:val="0"/>
          <w:numId w:val="270"/>
        </w:numPr>
        <w:ind w:left="426"/>
        <w:contextualSpacing/>
      </w:pPr>
      <w:r w:rsidRPr="00BA4F0F">
        <w:t>Мобилизация ГСК у здоровых доноров;</w:t>
      </w:r>
    </w:p>
    <w:p w14:paraId="20821006" w14:textId="77777777" w:rsidR="001F2346" w:rsidRPr="00BA4F0F" w:rsidRDefault="001F2346" w:rsidP="00DC0931">
      <w:pPr>
        <w:numPr>
          <w:ilvl w:val="0"/>
          <w:numId w:val="270"/>
        </w:numPr>
        <w:ind w:left="426"/>
        <w:contextualSpacing/>
      </w:pPr>
      <w:r w:rsidRPr="00BA4F0F">
        <w:t xml:space="preserve"> Мобилизация ГСК у пациентов с онкогематологическими заболеваниями;</w:t>
      </w:r>
    </w:p>
    <w:p w14:paraId="38AD73B2" w14:textId="77777777" w:rsidR="001F2346" w:rsidRPr="00BA4F0F" w:rsidRDefault="001F2346" w:rsidP="00DC0931">
      <w:pPr>
        <w:numPr>
          <w:ilvl w:val="0"/>
          <w:numId w:val="270"/>
        </w:numPr>
        <w:ind w:left="426"/>
        <w:contextualSpacing/>
      </w:pPr>
      <w:r w:rsidRPr="00BA4F0F">
        <w:t>Мобилизация ГСК у пациентов, проведение которым режима «ХТ+ Г-КСФ» не является безопасным (при наличии коморбидности, кардиальной патологии, диализ-зависимой почечной недостаточности);</w:t>
      </w:r>
    </w:p>
    <w:p w14:paraId="713C525F" w14:textId="77777777" w:rsidR="001F2346" w:rsidRPr="00BA4F0F" w:rsidRDefault="001F2346" w:rsidP="00DC0931">
      <w:pPr>
        <w:numPr>
          <w:ilvl w:val="0"/>
          <w:numId w:val="270"/>
        </w:numPr>
        <w:ind w:left="426"/>
        <w:contextualSpacing/>
      </w:pPr>
      <w:r w:rsidRPr="00BA4F0F">
        <w:t>Повторная мобилизация после неудачи первой мобилизации ГСК схемами, включающими миелосупрессивные препараты.</w:t>
      </w:r>
    </w:p>
    <w:p w14:paraId="3230F721" w14:textId="77777777" w:rsidR="001F2346" w:rsidRPr="00BA4F0F" w:rsidRDefault="001F2346" w:rsidP="001F2346">
      <w:pPr>
        <w:contextualSpacing/>
        <w:rPr>
          <w:b/>
        </w:rPr>
      </w:pPr>
      <w:r w:rsidRPr="00BA4F0F">
        <w:rPr>
          <w:b/>
        </w:rPr>
        <w:t>Схема мобилизации ГСК</w:t>
      </w:r>
    </w:p>
    <w:p w14:paraId="1B858721" w14:textId="77777777" w:rsidR="001F2346" w:rsidRPr="00BA4F0F" w:rsidRDefault="001F2346" w:rsidP="001F2346">
      <w:pPr>
        <w:ind w:firstLine="426"/>
      </w:pPr>
      <w:r w:rsidRPr="00BA4F0F">
        <w:t xml:space="preserve">Г-КСФ назначают в дозе 10 мкг/кг/сутки, вводят подкожно утром (или по 5 мкг 2 раза в сутки). Лейкаферез начинается на четвертый день введения Г-КСФ при наличии адекватного количества </w:t>
      </w:r>
      <w:r w:rsidRPr="00BA4F0F">
        <w:rPr>
          <w:lang w:val="en-US"/>
        </w:rPr>
        <w:t>CD</w:t>
      </w:r>
      <w:r w:rsidRPr="00BA4F0F">
        <w:t xml:space="preserve">34+ клеток в периферической крови. При их количестве более 10-20 клеток/мкл начинают сепарацию клеток. Если </w:t>
      </w:r>
      <w:r w:rsidRPr="00BA4F0F">
        <w:rPr>
          <w:lang w:val="en-US"/>
        </w:rPr>
        <w:t>CD</w:t>
      </w:r>
      <w:r w:rsidRPr="00BA4F0F">
        <w:t>34+ в периферической крови менее 10 клеток/мкл, необходимо отказаться от лейкафереза и повторить подсчет клеток на следующий день. Число сеансов лейкафереза зависит от результатов сбора ГСК, для заготовки оптимального  количества CD34+ клеток необходимо 2 - 4 процедуры (от 1 до 5). В заключительный день проведения лейкафереза Г-КСФ не вводится (таблица 1).</w:t>
      </w:r>
    </w:p>
    <w:p w14:paraId="6C9DC42B" w14:textId="77777777" w:rsidR="001F2346" w:rsidRPr="00BA4F0F" w:rsidRDefault="001F2346" w:rsidP="001F2346"/>
    <w:p w14:paraId="7B7B94E3" w14:textId="77777777" w:rsidR="001F2346" w:rsidRPr="00BA4F0F" w:rsidRDefault="001F2346" w:rsidP="001F2346">
      <w:r w:rsidRPr="00BA4F0F">
        <w:t xml:space="preserve">Таблица 1 . Схема мобилизации ГСК «Г-КСФ в монорежиме» </w:t>
      </w:r>
    </w:p>
    <w:tbl>
      <w:tblPr>
        <w:tblStyle w:val="1f3"/>
        <w:tblW w:w="8930" w:type="dxa"/>
        <w:tblInd w:w="108" w:type="dxa"/>
        <w:tblLook w:val="04A0" w:firstRow="1" w:lastRow="0" w:firstColumn="1" w:lastColumn="0" w:noHBand="0" w:noVBand="1"/>
      </w:tblPr>
      <w:tblGrid>
        <w:gridCol w:w="1583"/>
        <w:gridCol w:w="1142"/>
        <w:gridCol w:w="1139"/>
        <w:gridCol w:w="1139"/>
        <w:gridCol w:w="1142"/>
        <w:gridCol w:w="1143"/>
        <w:gridCol w:w="1642"/>
      </w:tblGrid>
      <w:tr w:rsidR="001F2346" w:rsidRPr="00BA4F0F" w14:paraId="6580F518" w14:textId="77777777" w:rsidTr="002D3EBF">
        <w:tc>
          <w:tcPr>
            <w:tcW w:w="1583" w:type="dxa"/>
          </w:tcPr>
          <w:p w14:paraId="4F0BBEA0" w14:textId="77777777" w:rsidR="001F2346" w:rsidRPr="00BA4F0F" w:rsidRDefault="001F2346" w:rsidP="002D3EBF">
            <w:r w:rsidRPr="00BA4F0F">
              <w:t>Дни</w:t>
            </w:r>
          </w:p>
        </w:tc>
        <w:tc>
          <w:tcPr>
            <w:tcW w:w="1142" w:type="dxa"/>
          </w:tcPr>
          <w:p w14:paraId="109CEB33" w14:textId="77777777" w:rsidR="001F2346" w:rsidRPr="00BA4F0F" w:rsidRDefault="001F2346" w:rsidP="002D3EBF">
            <w:r w:rsidRPr="00BA4F0F">
              <w:t>1</w:t>
            </w:r>
          </w:p>
        </w:tc>
        <w:tc>
          <w:tcPr>
            <w:tcW w:w="1139" w:type="dxa"/>
          </w:tcPr>
          <w:p w14:paraId="6EF7CCA8" w14:textId="77777777" w:rsidR="001F2346" w:rsidRPr="00BA4F0F" w:rsidRDefault="001F2346" w:rsidP="002D3EBF">
            <w:r w:rsidRPr="00BA4F0F">
              <w:t>2</w:t>
            </w:r>
          </w:p>
        </w:tc>
        <w:tc>
          <w:tcPr>
            <w:tcW w:w="1139" w:type="dxa"/>
          </w:tcPr>
          <w:p w14:paraId="33732DA9" w14:textId="77777777" w:rsidR="001F2346" w:rsidRPr="00BA4F0F" w:rsidRDefault="001F2346" w:rsidP="002D3EBF">
            <w:r w:rsidRPr="00BA4F0F">
              <w:t>3</w:t>
            </w:r>
          </w:p>
        </w:tc>
        <w:tc>
          <w:tcPr>
            <w:tcW w:w="1142" w:type="dxa"/>
          </w:tcPr>
          <w:p w14:paraId="64AB8422" w14:textId="77777777" w:rsidR="001F2346" w:rsidRPr="00BA4F0F" w:rsidRDefault="001F2346" w:rsidP="002D3EBF">
            <w:r w:rsidRPr="00BA4F0F">
              <w:t>4</w:t>
            </w:r>
          </w:p>
        </w:tc>
        <w:tc>
          <w:tcPr>
            <w:tcW w:w="1143" w:type="dxa"/>
          </w:tcPr>
          <w:p w14:paraId="22F90118" w14:textId="77777777" w:rsidR="001F2346" w:rsidRPr="00BA4F0F" w:rsidRDefault="001F2346" w:rsidP="002D3EBF">
            <w:r w:rsidRPr="00BA4F0F">
              <w:t>5</w:t>
            </w:r>
          </w:p>
        </w:tc>
        <w:tc>
          <w:tcPr>
            <w:tcW w:w="1642" w:type="dxa"/>
          </w:tcPr>
          <w:p w14:paraId="45ABA90B" w14:textId="77777777" w:rsidR="001F2346" w:rsidRPr="00BA4F0F" w:rsidRDefault="001F2346" w:rsidP="002D3EBF">
            <w:r w:rsidRPr="00BA4F0F">
              <w:t>6</w:t>
            </w:r>
          </w:p>
        </w:tc>
      </w:tr>
      <w:tr w:rsidR="001F2346" w:rsidRPr="00BA4F0F" w14:paraId="46EF7455" w14:textId="77777777" w:rsidTr="002D3EBF">
        <w:tc>
          <w:tcPr>
            <w:tcW w:w="1583" w:type="dxa"/>
          </w:tcPr>
          <w:p w14:paraId="1F477B5A" w14:textId="77777777" w:rsidR="001F2346" w:rsidRPr="00BA4F0F" w:rsidRDefault="001F2346" w:rsidP="002D3EBF">
            <w:r w:rsidRPr="00BA4F0F">
              <w:t xml:space="preserve">Г-КСФ, </w:t>
            </w:r>
          </w:p>
          <w:p w14:paraId="1453F92D" w14:textId="77777777" w:rsidR="001F2346" w:rsidRPr="00BA4F0F" w:rsidRDefault="001F2346" w:rsidP="002D3EBF">
            <w:r w:rsidRPr="00BA4F0F">
              <w:t>10 мкг/кг</w:t>
            </w:r>
          </w:p>
        </w:tc>
        <w:tc>
          <w:tcPr>
            <w:tcW w:w="1142" w:type="dxa"/>
          </w:tcPr>
          <w:p w14:paraId="748ADFC7" w14:textId="77777777" w:rsidR="001F2346" w:rsidRPr="00BA4F0F" w:rsidRDefault="001F2346" w:rsidP="002D3EBF">
            <w:r w:rsidRPr="00BA4F0F">
              <w:t>Х</w:t>
            </w:r>
          </w:p>
        </w:tc>
        <w:tc>
          <w:tcPr>
            <w:tcW w:w="1139" w:type="dxa"/>
          </w:tcPr>
          <w:p w14:paraId="0EB7CA7C" w14:textId="77777777" w:rsidR="001F2346" w:rsidRPr="00BA4F0F" w:rsidRDefault="001F2346" w:rsidP="002D3EBF">
            <w:r w:rsidRPr="00BA4F0F">
              <w:t>Х</w:t>
            </w:r>
          </w:p>
        </w:tc>
        <w:tc>
          <w:tcPr>
            <w:tcW w:w="1139" w:type="dxa"/>
          </w:tcPr>
          <w:p w14:paraId="3BDFADD2" w14:textId="77777777" w:rsidR="001F2346" w:rsidRPr="00BA4F0F" w:rsidRDefault="001F2346" w:rsidP="002D3EBF">
            <w:r w:rsidRPr="00BA4F0F">
              <w:t>Х</w:t>
            </w:r>
          </w:p>
        </w:tc>
        <w:tc>
          <w:tcPr>
            <w:tcW w:w="1142" w:type="dxa"/>
          </w:tcPr>
          <w:p w14:paraId="0F1C22AA" w14:textId="77777777" w:rsidR="001F2346" w:rsidRPr="00BA4F0F" w:rsidRDefault="001F2346" w:rsidP="002D3EBF">
            <w:r w:rsidRPr="00BA4F0F">
              <w:t>Х</w:t>
            </w:r>
          </w:p>
        </w:tc>
        <w:tc>
          <w:tcPr>
            <w:tcW w:w="1143" w:type="dxa"/>
          </w:tcPr>
          <w:p w14:paraId="456A9146" w14:textId="77777777" w:rsidR="001F2346" w:rsidRPr="00BA4F0F" w:rsidRDefault="001F2346" w:rsidP="002D3EBF">
            <w:r w:rsidRPr="00BA4F0F">
              <w:t>Х</w:t>
            </w:r>
          </w:p>
        </w:tc>
        <w:tc>
          <w:tcPr>
            <w:tcW w:w="1642" w:type="dxa"/>
          </w:tcPr>
          <w:p w14:paraId="24540924" w14:textId="77777777" w:rsidR="001F2346" w:rsidRPr="00BA4F0F" w:rsidRDefault="001F2346" w:rsidP="002D3EBF">
            <w:r w:rsidRPr="00BA4F0F">
              <w:t>отмена</w:t>
            </w:r>
          </w:p>
        </w:tc>
      </w:tr>
      <w:tr w:rsidR="001F2346" w:rsidRPr="00BA4F0F" w14:paraId="72C17758" w14:textId="77777777" w:rsidTr="002D3EBF">
        <w:tc>
          <w:tcPr>
            <w:tcW w:w="1583" w:type="dxa"/>
          </w:tcPr>
          <w:p w14:paraId="6B4EBAF1" w14:textId="77777777" w:rsidR="001F2346" w:rsidRPr="00BA4F0F" w:rsidRDefault="001F2346" w:rsidP="002D3EBF">
            <w:r w:rsidRPr="00BA4F0F">
              <w:t>Лейкаферез</w:t>
            </w:r>
          </w:p>
        </w:tc>
        <w:tc>
          <w:tcPr>
            <w:tcW w:w="1142" w:type="dxa"/>
          </w:tcPr>
          <w:p w14:paraId="46669621" w14:textId="77777777" w:rsidR="001F2346" w:rsidRPr="00BA4F0F" w:rsidRDefault="001F2346" w:rsidP="002D3EBF"/>
        </w:tc>
        <w:tc>
          <w:tcPr>
            <w:tcW w:w="1139" w:type="dxa"/>
          </w:tcPr>
          <w:p w14:paraId="689A3D16" w14:textId="77777777" w:rsidR="001F2346" w:rsidRPr="00BA4F0F" w:rsidRDefault="001F2346" w:rsidP="002D3EBF"/>
        </w:tc>
        <w:tc>
          <w:tcPr>
            <w:tcW w:w="1139" w:type="dxa"/>
          </w:tcPr>
          <w:p w14:paraId="002671AD" w14:textId="77777777" w:rsidR="001F2346" w:rsidRPr="00BA4F0F" w:rsidRDefault="001F2346" w:rsidP="002D3EBF"/>
        </w:tc>
        <w:tc>
          <w:tcPr>
            <w:tcW w:w="1142" w:type="dxa"/>
          </w:tcPr>
          <w:p w14:paraId="5DE3B6EA" w14:textId="77777777" w:rsidR="001F2346" w:rsidRPr="00BA4F0F" w:rsidRDefault="001F2346" w:rsidP="002D3EBF">
            <w:pPr>
              <w:rPr>
                <w:lang w:val="en-US"/>
              </w:rPr>
            </w:pPr>
            <w:r w:rsidRPr="00BA4F0F">
              <w:rPr>
                <w:lang w:val="en-US"/>
              </w:rPr>
              <w:t>V</w:t>
            </w:r>
          </w:p>
        </w:tc>
        <w:tc>
          <w:tcPr>
            <w:tcW w:w="1143" w:type="dxa"/>
          </w:tcPr>
          <w:p w14:paraId="03ED0A47" w14:textId="77777777" w:rsidR="001F2346" w:rsidRPr="00BA4F0F" w:rsidRDefault="001F2346" w:rsidP="002D3EBF">
            <w:pPr>
              <w:rPr>
                <w:lang w:val="en-US"/>
              </w:rPr>
            </w:pPr>
            <w:r w:rsidRPr="00BA4F0F">
              <w:rPr>
                <w:lang w:val="en-US"/>
              </w:rPr>
              <w:t>V</w:t>
            </w:r>
          </w:p>
        </w:tc>
        <w:tc>
          <w:tcPr>
            <w:tcW w:w="1642" w:type="dxa"/>
          </w:tcPr>
          <w:p w14:paraId="37AFEA6F" w14:textId="77777777" w:rsidR="001F2346" w:rsidRPr="00BA4F0F" w:rsidRDefault="001F2346" w:rsidP="002D3EBF">
            <w:pPr>
              <w:rPr>
                <w:lang w:val="en-US"/>
              </w:rPr>
            </w:pPr>
            <w:r w:rsidRPr="00BA4F0F">
              <w:rPr>
                <w:lang w:val="en-US"/>
              </w:rPr>
              <w:t>V</w:t>
            </w:r>
          </w:p>
        </w:tc>
      </w:tr>
    </w:tbl>
    <w:p w14:paraId="030C4EB4" w14:textId="77777777" w:rsidR="001F2346" w:rsidRPr="00BA4F0F" w:rsidRDefault="001F2346" w:rsidP="001F2346">
      <w:pPr>
        <w:pStyle w:val="11"/>
        <w:spacing w:before="0"/>
      </w:pPr>
      <w:bookmarkStart w:id="135" w:name="_Toc44926606"/>
    </w:p>
    <w:p w14:paraId="0A33F9E1" w14:textId="77777777" w:rsidR="001F2346" w:rsidRPr="00BA4F0F" w:rsidRDefault="001F2346" w:rsidP="001F2346">
      <w:pPr>
        <w:pStyle w:val="afe"/>
        <w:ind w:left="0"/>
        <w:rPr>
          <w:rFonts w:cs="Times New Roman"/>
          <w:szCs w:val="24"/>
          <w:u w:val="single"/>
        </w:rPr>
      </w:pPr>
      <w:r w:rsidRPr="00BA4F0F">
        <w:rPr>
          <w:rFonts w:cs="Times New Roman"/>
          <w:szCs w:val="24"/>
          <w:u w:val="single"/>
        </w:rPr>
        <w:t>Г-КСФ после миелосупрессивной химиотерапии</w:t>
      </w:r>
      <w:bookmarkEnd w:id="135"/>
    </w:p>
    <w:p w14:paraId="0705DFD8" w14:textId="77777777" w:rsidR="001F2346" w:rsidRPr="00BA4F0F" w:rsidRDefault="001F2346" w:rsidP="001F2346">
      <w:pPr>
        <w:rPr>
          <w:b/>
          <w:i/>
          <w:lang w:val="en-US"/>
        </w:rPr>
      </w:pPr>
      <w:r w:rsidRPr="00BA4F0F">
        <w:rPr>
          <w:b/>
          <w:i/>
          <w:lang w:val="en-US"/>
        </w:rPr>
        <w:t xml:space="preserve">Показания </w:t>
      </w:r>
    </w:p>
    <w:p w14:paraId="0769274C" w14:textId="77777777" w:rsidR="001F2346" w:rsidRPr="00BA4F0F" w:rsidRDefault="001F2346" w:rsidP="00DC0931">
      <w:pPr>
        <w:numPr>
          <w:ilvl w:val="0"/>
          <w:numId w:val="271"/>
        </w:numPr>
        <w:contextualSpacing/>
        <w:rPr>
          <w:b/>
        </w:rPr>
      </w:pPr>
      <w:r w:rsidRPr="00BA4F0F">
        <w:t>Мобилизация ГСК у пациентов с онкогематологическими заболеваниями</w:t>
      </w:r>
    </w:p>
    <w:p w14:paraId="68153DEA" w14:textId="77777777" w:rsidR="001F2346" w:rsidRPr="00BA4F0F" w:rsidRDefault="001F2346" w:rsidP="001F2346">
      <w:pPr>
        <w:rPr>
          <w:b/>
          <w:i/>
        </w:rPr>
      </w:pPr>
    </w:p>
    <w:p w14:paraId="11F532DC" w14:textId="77777777" w:rsidR="001F2346" w:rsidRPr="00BA4F0F" w:rsidRDefault="001F2346" w:rsidP="001F2346">
      <w:pPr>
        <w:rPr>
          <w:b/>
          <w:i/>
        </w:rPr>
      </w:pPr>
      <w:r w:rsidRPr="00BA4F0F">
        <w:rPr>
          <w:b/>
          <w:i/>
        </w:rPr>
        <w:t>Схема мобилизации ГСК «ХТ + Г-КСФ»</w:t>
      </w:r>
    </w:p>
    <w:p w14:paraId="06ACEBF4" w14:textId="77777777" w:rsidR="001F2346" w:rsidRPr="00BA4F0F" w:rsidRDefault="001F2346" w:rsidP="001F2346">
      <w:pPr>
        <w:ind w:firstLine="709"/>
      </w:pPr>
      <w:r w:rsidRPr="00BA4F0F">
        <w:t xml:space="preserve">Миелосупрессивная ХТ стимулирует пролиферацию стволовых клеток и клеток-предшественниц, что приводит к увеличению выброса ГСК из костного мозга в кровь. Принцип данного режима мобилизации ГСК: пациенту вводится химиопрепарат (или </w:t>
      </w:r>
      <w:r w:rsidRPr="00BA4F0F">
        <w:lastRenderedPageBreak/>
        <w:t>несколько препаратов) согласно соответствующему протоколу лечения, а затем, после развития МТА, начинается стимуляция лейкопоэза Г-КСФ в дозе 5 мг/кг/сут.</w:t>
      </w:r>
    </w:p>
    <w:p w14:paraId="32E4B4CD" w14:textId="77777777" w:rsidR="001F2346" w:rsidRPr="00BA4F0F" w:rsidRDefault="001F2346" w:rsidP="001F2346">
      <w:pPr>
        <w:ind w:firstLine="709"/>
      </w:pPr>
      <w:r w:rsidRPr="00BA4F0F">
        <w:t xml:space="preserve">При условии восстановления лейкоцитов периферической крови и адекватного количества среди них </w:t>
      </w:r>
      <w:r w:rsidRPr="00BA4F0F">
        <w:rPr>
          <w:lang w:val="en-US"/>
        </w:rPr>
        <w:t>CD</w:t>
      </w:r>
      <w:r w:rsidRPr="00BA4F0F">
        <w:t xml:space="preserve">34+ клеток начинаются процедуры сбора ГСК (как правило, на 6-8 день введения Г-КСФ). </w:t>
      </w:r>
    </w:p>
    <w:p w14:paraId="0AF8E90E" w14:textId="77777777" w:rsidR="001F2346" w:rsidRPr="00BA4F0F" w:rsidRDefault="001F2346" w:rsidP="001F2346">
      <w:pPr>
        <w:ind w:firstLine="709"/>
      </w:pPr>
      <w:r w:rsidRPr="00BA4F0F">
        <w:t xml:space="preserve">На рисунке 1 представлен алгоритм определения показаний к проведению первого лейкафереза. Количество лейкаферезов зависит от результата сбора ГСК (от 1 до 5). В заключительный день проведения лейкафереза Г-КСФ не вводится. </w:t>
      </w:r>
    </w:p>
    <w:p w14:paraId="0A1163A1" w14:textId="77777777" w:rsidR="001F2346" w:rsidRPr="00BA4F0F" w:rsidRDefault="001F2346" w:rsidP="001F2346">
      <w:pPr>
        <w:jc w:val="center"/>
      </w:pPr>
      <w:r w:rsidRPr="00BA4F0F">
        <w:rPr>
          <w:noProof/>
        </w:rPr>
        <w:drawing>
          <wp:inline distT="0" distB="0" distL="0" distR="0" wp14:anchorId="7C34F7DE" wp14:editId="17160BFE">
            <wp:extent cx="4177990" cy="2665737"/>
            <wp:effectExtent l="0" t="0" r="0" b="1270"/>
            <wp:docPr id="1" name="Picture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Изображение выглядит как текст&#10;&#10;Автоматически созданное описани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6702" cy="2664915"/>
                    </a:xfrm>
                    <a:prstGeom prst="rect">
                      <a:avLst/>
                    </a:prstGeom>
                    <a:noFill/>
                    <a:ln>
                      <a:noFill/>
                    </a:ln>
                    <a:effectLst/>
                  </pic:spPr>
                </pic:pic>
              </a:graphicData>
            </a:graphic>
          </wp:inline>
        </w:drawing>
      </w:r>
    </w:p>
    <w:p w14:paraId="5827CB0A" w14:textId="77777777" w:rsidR="001F2346" w:rsidRPr="00BA4F0F" w:rsidRDefault="001F2346" w:rsidP="001F2346">
      <w:pPr>
        <w:jc w:val="center"/>
        <w:rPr>
          <w:i/>
        </w:rPr>
      </w:pPr>
      <w:r w:rsidRPr="00BA4F0F">
        <w:t xml:space="preserve">Рисунок 1. Алгоритм определения показаний к проведению первого лейкафереза при мобилизации ГСК в режиме «ХТ+ Г-КСФ». </w:t>
      </w:r>
      <w:r w:rsidRPr="00BA4F0F">
        <w:rPr>
          <w:i/>
        </w:rPr>
        <w:t>ХТ – химиотерапия, МТА – миелотоксический агранулоцитоз</w:t>
      </w:r>
    </w:p>
    <w:p w14:paraId="09A51747" w14:textId="77777777" w:rsidR="001F2346" w:rsidRPr="00BA4F0F" w:rsidRDefault="001F2346" w:rsidP="001F2346">
      <w:pPr>
        <w:ind w:firstLine="709"/>
      </w:pPr>
    </w:p>
    <w:p w14:paraId="1D7AADB3" w14:textId="6FEC81E8" w:rsidR="001F2346" w:rsidRPr="00BA4F0F" w:rsidRDefault="001F2346" w:rsidP="001F2346">
      <w:pPr>
        <w:ind w:firstLine="709"/>
      </w:pPr>
      <w:r w:rsidRPr="00BA4F0F">
        <w:t xml:space="preserve">Данная схема мобилизации ГСК применяется в период индукции первой или второй ремиссии при ММ, НХЛ, лимфоме Ходжкина; при острых лейкозах в период ремиссии. Выбор химиотерапевтических препаратов зависит от конкретной нозологии и протокола терапии. Так, при ММ чаще используется циклофосфан, также возможны схемы </w:t>
      </w:r>
      <w:r w:rsidRPr="00BA4F0F">
        <w:rPr>
          <w:lang w:val="en-US"/>
        </w:rPr>
        <w:t>VD</w:t>
      </w:r>
      <w:r w:rsidRPr="00BA4F0F">
        <w:t>-</w:t>
      </w:r>
      <w:r w:rsidRPr="00BA4F0F">
        <w:rPr>
          <w:lang w:val="en-US"/>
        </w:rPr>
        <w:t>PACE</w:t>
      </w:r>
      <w:r w:rsidRPr="00BA4F0F">
        <w:t xml:space="preserve">, </w:t>
      </w:r>
      <w:r w:rsidRPr="00BA4F0F">
        <w:rPr>
          <w:lang w:val="en-US"/>
        </w:rPr>
        <w:t>DHAP</w:t>
      </w:r>
      <w:r w:rsidRPr="00BA4F0F">
        <w:t>, средние дозы цитарабина (1,6 мг/м</w:t>
      </w:r>
      <w:r w:rsidRPr="00BA4F0F">
        <w:rPr>
          <w:vertAlign w:val="superscript"/>
        </w:rPr>
        <w:t>2</w:t>
      </w:r>
      <w:r w:rsidRPr="00BA4F0F">
        <w:t xml:space="preserve">) </w:t>
      </w:r>
      <w:r w:rsidRPr="00BA4F0F">
        <w:fldChar w:fldCharType="begin" w:fldLock="1"/>
      </w:r>
      <w:r w:rsidR="002736BA">
        <w:instrText>ADDIN CSL_CITATION {"citationItems":[{"id":"ITEM-1","itemData":{"DOI":"http://dx.doi.org/10.18821/0234-5730-2017-62-4-180-187","author":[{"dropping-particle":"","family":"Бабенецкая Д.В., Моторин Д.В., Петров А.В., Алексеева Ю.А.","given":"Зарицкий А.Ю.","non-dropping-particle":"","parse-names":false,"suffix":""}],"container-title":"Гематология и трансфузиология.","id":"ITEM-1","issue":"62(4)","issued":{"date-parts":[["2017"]]},"page":"180-187.","title":"Мобилизация гемопоэтических стволовых клеток препаратами циклофосфамид и цитарабин в сочетании с колониестимулирующим фактором у больных множественной миеломой, кандидатов для проведения трансплантации аутологичных гемопоэтических стволовых клеток","type":"article-journal"},"uris":["http://www.mendeley.com/documents/?uuid=ac290ab9-3704-3deb-9ee1-a77054689a23","http://www.mendeley.com/documents/?uuid=18434bdd-f835-497e-85ae-9a174b52514e"]}],"mendeley":{"formattedCitation":"[236]","plainTextFormattedCitation":"[236]","previouslyFormattedCitation":"[236]"},"properties":{"noteIndex":0},"schema":"https://github.com/citation-style-language/schema/raw/master/csl-citation.json"}</w:instrText>
      </w:r>
      <w:r w:rsidRPr="00BA4F0F">
        <w:fldChar w:fldCharType="separate"/>
      </w:r>
      <w:r w:rsidR="006E1ADA" w:rsidRPr="006E1ADA">
        <w:rPr>
          <w:noProof/>
        </w:rPr>
        <w:t>[236]</w:t>
      </w:r>
      <w:r w:rsidRPr="00BA4F0F">
        <w:fldChar w:fldCharType="end"/>
      </w:r>
      <w:r w:rsidRPr="00BA4F0F">
        <w:t xml:space="preserve">. При агрессивных лимфопролиферативных заболеваниях мобилизация клеток осуществляется после блоков ЛБ-М-04, </w:t>
      </w:r>
      <w:r w:rsidRPr="00BA4F0F">
        <w:rPr>
          <w:lang w:val="en-US"/>
        </w:rPr>
        <w:t>DA</w:t>
      </w:r>
      <w:r w:rsidRPr="00BA4F0F">
        <w:t>-</w:t>
      </w:r>
      <w:r w:rsidRPr="00BA4F0F">
        <w:rPr>
          <w:lang w:val="en-US"/>
        </w:rPr>
        <w:t>R</w:t>
      </w:r>
      <w:r w:rsidRPr="00BA4F0F">
        <w:t>-</w:t>
      </w:r>
      <w:r w:rsidRPr="00BA4F0F">
        <w:rPr>
          <w:lang w:val="en-US"/>
        </w:rPr>
        <w:t>EPOCH</w:t>
      </w:r>
      <w:r w:rsidRPr="00BA4F0F">
        <w:t xml:space="preserve">, </w:t>
      </w:r>
      <w:r w:rsidRPr="00BA4F0F">
        <w:rPr>
          <w:lang w:val="en-US"/>
        </w:rPr>
        <w:t>ESGAP</w:t>
      </w:r>
      <w:r w:rsidRPr="00BA4F0F">
        <w:t xml:space="preserve">, </w:t>
      </w:r>
      <w:r w:rsidRPr="00BA4F0F">
        <w:rPr>
          <w:lang w:val="en-US"/>
        </w:rPr>
        <w:t>IGEV</w:t>
      </w:r>
      <w:r w:rsidRPr="00BA4F0F">
        <w:t xml:space="preserve">, </w:t>
      </w:r>
      <w:r w:rsidRPr="00BA4F0F">
        <w:rPr>
          <w:lang w:val="en-US"/>
        </w:rPr>
        <w:t>NHL</w:t>
      </w:r>
      <w:r w:rsidRPr="00BA4F0F">
        <w:t>-</w:t>
      </w:r>
      <w:r w:rsidRPr="00BA4F0F">
        <w:rPr>
          <w:lang w:val="en-US"/>
        </w:rPr>
        <w:t>BFM</w:t>
      </w:r>
      <w:r w:rsidRPr="00BA4F0F">
        <w:t xml:space="preserve">-90, </w:t>
      </w:r>
      <w:r w:rsidRPr="00BA4F0F">
        <w:rPr>
          <w:lang w:val="en-US"/>
        </w:rPr>
        <w:t>SMILE</w:t>
      </w:r>
      <w:r w:rsidRPr="00BA4F0F">
        <w:t xml:space="preserve">, </w:t>
      </w:r>
      <w:r w:rsidRPr="00BA4F0F">
        <w:rPr>
          <w:lang w:val="en-US"/>
        </w:rPr>
        <w:t>TL</w:t>
      </w:r>
      <w:r w:rsidRPr="00BA4F0F">
        <w:t>-</w:t>
      </w:r>
      <w:r w:rsidRPr="00BA4F0F">
        <w:rPr>
          <w:lang w:val="en-US"/>
        </w:rPr>
        <w:t>REZ</w:t>
      </w:r>
      <w:r w:rsidRPr="00BA4F0F">
        <w:t xml:space="preserve">-09, R-HМA, R-BAC, </w:t>
      </w:r>
      <w:r w:rsidRPr="00BA4F0F">
        <w:rPr>
          <w:lang w:val="en-US"/>
        </w:rPr>
        <w:t>DHAP</w:t>
      </w:r>
      <w:r w:rsidRPr="00BA4F0F">
        <w:t xml:space="preserve">, </w:t>
      </w:r>
      <w:r w:rsidRPr="00BA4F0F">
        <w:rPr>
          <w:lang w:val="en-US"/>
        </w:rPr>
        <w:t>R</w:t>
      </w:r>
      <w:r w:rsidRPr="00BA4F0F">
        <w:t>-</w:t>
      </w:r>
      <w:r w:rsidRPr="00BA4F0F">
        <w:rPr>
          <w:lang w:val="en-US"/>
        </w:rPr>
        <w:t>ICE</w:t>
      </w:r>
      <w:r w:rsidRPr="00BA4F0F">
        <w:t xml:space="preserve"> (приложение 1).</w:t>
      </w:r>
    </w:p>
    <w:p w14:paraId="06667AA2" w14:textId="77777777" w:rsidR="001F2346" w:rsidRPr="00BA4F0F" w:rsidRDefault="001F2346" w:rsidP="001F2346">
      <w:pPr>
        <w:ind w:firstLine="709"/>
      </w:pPr>
      <w:r w:rsidRPr="00BA4F0F">
        <w:t xml:space="preserve">При </w:t>
      </w:r>
      <w:r w:rsidRPr="00BA4F0F">
        <w:rPr>
          <w:lang w:val="en-US"/>
        </w:rPr>
        <w:t>Ph</w:t>
      </w:r>
      <w:r w:rsidRPr="00BA4F0F">
        <w:t>-позитивных острых лимфобластных лейкозах проведение мобилизации ГСК возможно после подтверждения полной молекулярной ремиссии, при остром промиелоцитарном лейкозе – при подтверждении второй полной молекулярной ремиссии на терапии по протоколу «Риск-адаптированная программа терапии больных ОПЛ (</w:t>
      </w:r>
      <w:r w:rsidRPr="00BA4F0F">
        <w:rPr>
          <w:lang w:val="en-US"/>
        </w:rPr>
        <w:t>ATRA</w:t>
      </w:r>
      <w:r w:rsidRPr="00BA4F0F">
        <w:t>-</w:t>
      </w:r>
      <w:r w:rsidRPr="00BA4F0F">
        <w:rPr>
          <w:lang w:val="en-US"/>
        </w:rPr>
        <w:t>ATO</w:t>
      </w:r>
      <w:r w:rsidRPr="00BA4F0F">
        <w:t>-</w:t>
      </w:r>
      <w:r w:rsidRPr="00BA4F0F">
        <w:rPr>
          <w:lang w:val="en-US"/>
        </w:rPr>
        <w:t>CT</w:t>
      </w:r>
      <w:r w:rsidRPr="00BA4F0F">
        <w:t xml:space="preserve">) с обязательным молекулярным мониторингом», при ОМЛ (благоприятный и </w:t>
      </w:r>
      <w:r w:rsidRPr="00BA4F0F">
        <w:lastRenderedPageBreak/>
        <w:t xml:space="preserve">промежуточный риск) в случае достижения МРБ негативной ремиссии в возрасте до 40 лет рассматривается вопрос о выполнении мобилизации с последующей ауто-ТГСК. </w:t>
      </w:r>
    </w:p>
    <w:p w14:paraId="247B3AB9" w14:textId="77777777" w:rsidR="001F2346" w:rsidRPr="00BA4F0F" w:rsidRDefault="001F2346" w:rsidP="001F2346">
      <w:pPr>
        <w:ind w:firstLine="709"/>
      </w:pPr>
      <w:r w:rsidRPr="00BA4F0F">
        <w:t>Если период МТА осложнился тяжелым инфекционным процессом и к моменту сбора ГСК сохраняются осложнения, угрожающие жизни, от лейкафереза следует воздержаться. Если состояние стабилизировано, мобилизация и сбор ГСК продолжаются.</w:t>
      </w:r>
    </w:p>
    <w:p w14:paraId="26888295" w14:textId="2A2BA28B" w:rsidR="001F2346" w:rsidRPr="00BA4F0F" w:rsidRDefault="001F2346" w:rsidP="001F2346">
      <w:pPr>
        <w:ind w:firstLine="709"/>
      </w:pPr>
      <w:r w:rsidRPr="00BA4F0F">
        <w:t>При ММ циклофосфамид применяется как в качестве противоопухолевого средства, так и для усиления эффекта мобилизации ГСК. Применяются высокие дозы циклофосфана (6-7 г/м</w:t>
      </w:r>
      <w:r w:rsidRPr="00BA4F0F">
        <w:rPr>
          <w:vertAlign w:val="superscript"/>
        </w:rPr>
        <w:t>2</w:t>
      </w:r>
      <w:r w:rsidRPr="00BA4F0F">
        <w:t>), промежуточные (3-4 г/м</w:t>
      </w:r>
      <w:r w:rsidRPr="00BA4F0F">
        <w:rPr>
          <w:vertAlign w:val="superscript"/>
        </w:rPr>
        <w:t>2</w:t>
      </w:r>
      <w:r w:rsidRPr="00BA4F0F">
        <w:t>), и низкие (1,2-2 г/м</w:t>
      </w:r>
      <w:r w:rsidRPr="00BA4F0F">
        <w:rPr>
          <w:vertAlign w:val="superscript"/>
        </w:rPr>
        <w:t>2</w:t>
      </w:r>
      <w:r w:rsidRPr="00BA4F0F">
        <w:t>). По данным ретроспективного исследования, сравнивающего эффективность и переносимость высоких и промежуточных доз циклофосфана, оказалось, что доза 4 г/м</w:t>
      </w:r>
      <w:r w:rsidRPr="00BA4F0F">
        <w:rPr>
          <w:vertAlign w:val="superscript"/>
        </w:rPr>
        <w:t>2</w:t>
      </w:r>
      <w:r w:rsidRPr="00BA4F0F">
        <w:t xml:space="preserve"> является оптимальной. При использовании данной дозы удавалось собрать необходимое для двух трансплантаций количество </w:t>
      </w:r>
      <w:r w:rsidRPr="00BA4F0F">
        <w:rPr>
          <w:lang w:val="en-US"/>
        </w:rPr>
        <w:t>CD</w:t>
      </w:r>
      <w:r w:rsidRPr="00BA4F0F">
        <w:t>34+ клеток, при этом тромбоцитопения была кратковременной, что способствовало меньшей потребности в заместительно</w:t>
      </w:r>
      <w:r w:rsidRPr="00BA4F0F">
        <w:tab/>
        <w:t xml:space="preserve">й трансфузионной терапии, по сравнению с применением высоких доз циклофосфана </w:t>
      </w:r>
      <w:r w:rsidRPr="00BA4F0F">
        <w:fldChar w:fldCharType="begin" w:fldLock="1"/>
      </w:r>
      <w:r w:rsidR="002736BA">
        <w:instrText>ADDIN CSL_CITATION {"citationItems":[{"id":"ITEM-1","itemData":{"author":[{"dropping-particle":"","family":"Покровская","given":"О.С.","non-dropping-particle":"","parse-names":false,"suffix":""}],"id":"ITEM-1","issued":{"date-parts":[["2011"]]},"number-of-pages":"29","title":"Кроветворная ткань и стромальное микроокружение в процессе интенсивной терапии и мобилизации гемопоэтических стволовых клеток у больных множественной миеломой: Автореф. дис.канд.мед.наук.","type":"book","volume":"153"},"uris":["http://www.mendeley.com/documents/?uuid=31091715-13d1-4b36-acd3-bca783c58345","http://www.mendeley.com/documents/?uuid=a016ab64-5d26-4905-b085-fc6d0ca143d0","http://www.mendeley.com/documents/?uuid=6158326c-b49e-4b3d-9638-c661a40fa88b","http://www.mendeley.com/documents/?uuid=4a2a3881-134d-4851-9770-aa58ad4c9728","http://www.mendeley.com/documents/?uuid=179afc56-227d-482c-af90-308ef68f889a","http://www.mendeley.com/documents/?uuid=171c99f1-9907-4fc7-9260-90f70ac873fa","http://www.mendeley.com/documents/?uuid=df9a843f-a2d8-42ee-9e40-dfba104520d3"]}],"mendeley":{"formattedCitation":"[237]","plainTextFormattedCitation":"[237]","previouslyFormattedCitation":"[237]"},"properties":{"noteIndex":0},"schema":"https://github.com/citation-style-language/schema/raw/master/csl-citation.json"}</w:instrText>
      </w:r>
      <w:r w:rsidRPr="00BA4F0F">
        <w:fldChar w:fldCharType="separate"/>
      </w:r>
      <w:r w:rsidR="006E1ADA" w:rsidRPr="006E1ADA">
        <w:rPr>
          <w:noProof/>
        </w:rPr>
        <w:t>[237]</w:t>
      </w:r>
      <w:r w:rsidRPr="00BA4F0F">
        <w:fldChar w:fldCharType="end"/>
      </w:r>
      <w:r w:rsidRPr="00BA4F0F">
        <w:t xml:space="preserve">. </w:t>
      </w:r>
    </w:p>
    <w:p w14:paraId="5E064A85" w14:textId="77777777" w:rsidR="001F2346" w:rsidRPr="00BA4F0F" w:rsidRDefault="001F2346" w:rsidP="001F2346">
      <w:pPr>
        <w:ind w:firstLine="709"/>
      </w:pPr>
      <w:r w:rsidRPr="00BA4F0F">
        <w:t>Стандартная схема мобилизации ГСК при ММ, применяемая в настоящее время: циклофосфан 4 г/м</w:t>
      </w:r>
      <w:r w:rsidRPr="00BA4F0F">
        <w:rPr>
          <w:vertAlign w:val="superscript"/>
        </w:rPr>
        <w:t>2</w:t>
      </w:r>
      <w:r w:rsidRPr="00BA4F0F">
        <w:t xml:space="preserve"> + Г-КСФ в дозе 5 мкг/кг/сут (табл. 2).</w:t>
      </w:r>
    </w:p>
    <w:p w14:paraId="3265B998" w14:textId="77777777" w:rsidR="001F2346" w:rsidRPr="00BA4F0F" w:rsidRDefault="001F2346" w:rsidP="001F2346">
      <w:pPr>
        <w:ind w:firstLine="709"/>
      </w:pPr>
      <w:r w:rsidRPr="00BA4F0F">
        <w:t>Ориентировочно через 7 дней после введения химиопрепарата отмечается развитие МТА, что является показанием для назначения Г-КСФ в дозе 5 мкг/кг/сут. В случае если МТА не развивается, доза Г-КСФ увеличивается до 10 мкг/кг/сут. На 6-8 день введения Г-КСФ начинаются процедуры лейкафереза. Медиана даты первого сбора ГСК – 15 день после введения циклофосфамида.</w:t>
      </w:r>
    </w:p>
    <w:p w14:paraId="038DB791" w14:textId="77777777" w:rsidR="001F2346" w:rsidRPr="00BA4F0F" w:rsidRDefault="001F2346" w:rsidP="001F2346">
      <w:pPr>
        <w:ind w:firstLine="709"/>
      </w:pPr>
    </w:p>
    <w:p w14:paraId="6EC7E3C1" w14:textId="77777777" w:rsidR="001F2346" w:rsidRPr="00BA4F0F" w:rsidRDefault="001F2346" w:rsidP="001F2346">
      <w:pPr>
        <w:rPr>
          <w:bCs/>
        </w:rPr>
      </w:pPr>
      <w:r w:rsidRPr="00BA4F0F">
        <w:rPr>
          <w:bCs/>
        </w:rPr>
        <w:t>Таблица 2. Высокодозный циклофосфамид 4 г/м</w:t>
      </w:r>
      <w:r w:rsidRPr="00BA4F0F">
        <w:rPr>
          <w:bCs/>
          <w:vertAlign w:val="superscript"/>
        </w:rPr>
        <w:t xml:space="preserve">2 </w:t>
      </w:r>
      <w:r w:rsidRPr="00BA4F0F">
        <w:rPr>
          <w:bCs/>
        </w:rPr>
        <w:t>+ Г-КСФ 5 мкг/кг с сопроводительной терапией.</w:t>
      </w:r>
    </w:p>
    <w:tbl>
      <w:tblPr>
        <w:tblStyle w:val="aff9"/>
        <w:tblW w:w="0" w:type="auto"/>
        <w:tblLook w:val="04A0" w:firstRow="1" w:lastRow="0" w:firstColumn="1" w:lastColumn="0" w:noHBand="0" w:noVBand="1"/>
      </w:tblPr>
      <w:tblGrid>
        <w:gridCol w:w="2911"/>
        <w:gridCol w:w="3568"/>
        <w:gridCol w:w="2867"/>
      </w:tblGrid>
      <w:tr w:rsidR="001F2346" w:rsidRPr="00BA4F0F" w14:paraId="600899C0" w14:textId="77777777" w:rsidTr="002D3EBF">
        <w:tc>
          <w:tcPr>
            <w:tcW w:w="2943" w:type="dxa"/>
          </w:tcPr>
          <w:p w14:paraId="05795828" w14:textId="77777777" w:rsidR="001F2346" w:rsidRPr="00BA4F0F" w:rsidRDefault="001F2346" w:rsidP="002D3EBF">
            <w:pPr>
              <w:rPr>
                <w:b/>
              </w:rPr>
            </w:pPr>
            <w:r w:rsidRPr="00BA4F0F">
              <w:rPr>
                <w:b/>
              </w:rPr>
              <w:t xml:space="preserve">Препарат </w:t>
            </w:r>
          </w:p>
        </w:tc>
        <w:tc>
          <w:tcPr>
            <w:tcW w:w="3686" w:type="dxa"/>
          </w:tcPr>
          <w:p w14:paraId="1B379F85" w14:textId="77777777" w:rsidR="001F2346" w:rsidRPr="00BA4F0F" w:rsidRDefault="001F2346" w:rsidP="002D3EBF">
            <w:pPr>
              <w:rPr>
                <w:b/>
              </w:rPr>
            </w:pPr>
            <w:r w:rsidRPr="00BA4F0F">
              <w:rPr>
                <w:b/>
              </w:rPr>
              <w:t>Дозировка, путь введения</w:t>
            </w:r>
          </w:p>
        </w:tc>
        <w:tc>
          <w:tcPr>
            <w:tcW w:w="2942" w:type="dxa"/>
          </w:tcPr>
          <w:p w14:paraId="3FEF7281" w14:textId="77777777" w:rsidR="001F2346" w:rsidRPr="00BA4F0F" w:rsidRDefault="001F2346" w:rsidP="002D3EBF">
            <w:pPr>
              <w:rPr>
                <w:b/>
              </w:rPr>
            </w:pPr>
            <w:r w:rsidRPr="00BA4F0F">
              <w:rPr>
                <w:b/>
              </w:rPr>
              <w:t>День введения</w:t>
            </w:r>
          </w:p>
        </w:tc>
      </w:tr>
      <w:tr w:rsidR="001F2346" w:rsidRPr="00BA4F0F" w14:paraId="682D39F4" w14:textId="77777777" w:rsidTr="002D3EBF">
        <w:tc>
          <w:tcPr>
            <w:tcW w:w="2943" w:type="dxa"/>
          </w:tcPr>
          <w:p w14:paraId="44FF4140" w14:textId="77777777" w:rsidR="001F2346" w:rsidRPr="00BA4F0F" w:rsidRDefault="001F2346" w:rsidP="002D3EBF">
            <w:r w:rsidRPr="00BA4F0F">
              <w:t>Внутривенные инфузии:</w:t>
            </w:r>
          </w:p>
        </w:tc>
        <w:tc>
          <w:tcPr>
            <w:tcW w:w="6628" w:type="dxa"/>
            <w:gridSpan w:val="2"/>
          </w:tcPr>
          <w:p w14:paraId="0F7720AD" w14:textId="77777777" w:rsidR="001F2346" w:rsidRPr="00BA4F0F" w:rsidRDefault="001F2346" w:rsidP="002D3EBF"/>
        </w:tc>
      </w:tr>
      <w:tr w:rsidR="001F2346" w:rsidRPr="00BA4F0F" w14:paraId="2A9FB519" w14:textId="77777777" w:rsidTr="002D3EBF">
        <w:tc>
          <w:tcPr>
            <w:tcW w:w="2943" w:type="dxa"/>
          </w:tcPr>
          <w:p w14:paraId="2A152CD2" w14:textId="77777777" w:rsidR="001F2346" w:rsidRPr="00BA4F0F" w:rsidRDefault="001F2346" w:rsidP="002D3EBF">
            <w:r w:rsidRPr="00BA4F0F">
              <w:t>Циклофосфамид</w:t>
            </w:r>
          </w:p>
        </w:tc>
        <w:tc>
          <w:tcPr>
            <w:tcW w:w="3686" w:type="dxa"/>
          </w:tcPr>
          <w:p w14:paraId="09652C57" w14:textId="77777777" w:rsidR="001F2346" w:rsidRPr="00BA4F0F" w:rsidRDefault="001F2346" w:rsidP="002D3EBF">
            <w:r w:rsidRPr="00BA4F0F">
              <w:t>4 г/м</w:t>
            </w:r>
            <w:r w:rsidRPr="00BA4F0F">
              <w:rPr>
                <w:vertAlign w:val="superscript"/>
              </w:rPr>
              <w:t>2</w:t>
            </w:r>
            <w:r w:rsidRPr="00BA4F0F">
              <w:t xml:space="preserve"> в/в капельно 5 раз в сутки (по 0,8 г/м</w:t>
            </w:r>
            <w:r w:rsidRPr="00BA4F0F">
              <w:rPr>
                <w:vertAlign w:val="superscript"/>
              </w:rPr>
              <w:t>2</w:t>
            </w:r>
            <w:r w:rsidRPr="00BA4F0F">
              <w:t>)</w:t>
            </w:r>
          </w:p>
        </w:tc>
        <w:tc>
          <w:tcPr>
            <w:tcW w:w="2942" w:type="dxa"/>
          </w:tcPr>
          <w:p w14:paraId="0962B3FD" w14:textId="77777777" w:rsidR="001F2346" w:rsidRPr="00BA4F0F" w:rsidRDefault="001F2346" w:rsidP="002D3EBF">
            <w:r w:rsidRPr="00BA4F0F">
              <w:t>+1</w:t>
            </w:r>
          </w:p>
        </w:tc>
      </w:tr>
      <w:tr w:rsidR="001F2346" w:rsidRPr="00BA4F0F" w14:paraId="73C8F3CE" w14:textId="77777777" w:rsidTr="002D3EBF">
        <w:tc>
          <w:tcPr>
            <w:tcW w:w="2943" w:type="dxa"/>
          </w:tcPr>
          <w:p w14:paraId="4BF33ECC" w14:textId="77777777" w:rsidR="001F2346" w:rsidRPr="00BA4F0F" w:rsidRDefault="001F2346" w:rsidP="002D3EBF">
            <w:r w:rsidRPr="00BA4F0F">
              <w:t>Уромитексан</w:t>
            </w:r>
          </w:p>
        </w:tc>
        <w:tc>
          <w:tcPr>
            <w:tcW w:w="3686" w:type="dxa"/>
          </w:tcPr>
          <w:p w14:paraId="4DBCF339" w14:textId="77777777" w:rsidR="001F2346" w:rsidRPr="00BA4F0F" w:rsidRDefault="001F2346" w:rsidP="002D3EBF">
            <w:r w:rsidRPr="00BA4F0F">
              <w:t>2,4 мг/м</w:t>
            </w:r>
            <w:r w:rsidRPr="00BA4F0F">
              <w:rPr>
                <w:vertAlign w:val="superscript"/>
              </w:rPr>
              <w:t>2</w:t>
            </w:r>
            <w:r w:rsidRPr="00BA4F0F">
              <w:t xml:space="preserve"> в/в через инфузомат на 24 часа</w:t>
            </w:r>
          </w:p>
        </w:tc>
        <w:tc>
          <w:tcPr>
            <w:tcW w:w="2942" w:type="dxa"/>
          </w:tcPr>
          <w:p w14:paraId="64CBA6C0" w14:textId="77777777" w:rsidR="001F2346" w:rsidRPr="00BA4F0F" w:rsidRDefault="001F2346" w:rsidP="002D3EBF">
            <w:r w:rsidRPr="00BA4F0F">
              <w:t>+1</w:t>
            </w:r>
          </w:p>
        </w:tc>
      </w:tr>
      <w:tr w:rsidR="001F2346" w:rsidRPr="00BA4F0F" w14:paraId="39C5255D" w14:textId="77777777" w:rsidTr="002D3EBF">
        <w:tc>
          <w:tcPr>
            <w:tcW w:w="2943" w:type="dxa"/>
          </w:tcPr>
          <w:p w14:paraId="7F3E20CA" w14:textId="77777777" w:rsidR="001F2346" w:rsidRPr="00BA4F0F" w:rsidRDefault="001F2346" w:rsidP="002D3EBF">
            <w:r w:rsidRPr="00BA4F0F">
              <w:t xml:space="preserve">Солевые растворы </w:t>
            </w:r>
          </w:p>
        </w:tc>
        <w:tc>
          <w:tcPr>
            <w:tcW w:w="3686" w:type="dxa"/>
          </w:tcPr>
          <w:p w14:paraId="0D7CE870" w14:textId="77777777" w:rsidR="001F2346" w:rsidRPr="00BA4F0F" w:rsidRDefault="001F2346" w:rsidP="002D3EBF">
            <w:r w:rsidRPr="00BA4F0F">
              <w:t>3л/м</w:t>
            </w:r>
            <w:r w:rsidRPr="00BA4F0F">
              <w:rPr>
                <w:vertAlign w:val="superscript"/>
              </w:rPr>
              <w:t xml:space="preserve">2 </w:t>
            </w:r>
            <w:r w:rsidRPr="00BA4F0F">
              <w:t>в/в капельно 4 раза в сутки</w:t>
            </w:r>
            <w:r w:rsidRPr="00BA4F0F">
              <w:rPr>
                <w:vertAlign w:val="superscript"/>
              </w:rPr>
              <w:t>*</w:t>
            </w:r>
          </w:p>
        </w:tc>
        <w:tc>
          <w:tcPr>
            <w:tcW w:w="2942" w:type="dxa"/>
          </w:tcPr>
          <w:p w14:paraId="0BEDB854" w14:textId="77777777" w:rsidR="001F2346" w:rsidRPr="00BA4F0F" w:rsidRDefault="001F2346" w:rsidP="002D3EBF">
            <w:r w:rsidRPr="00BA4F0F">
              <w:t>+1 - +5 (далее по показаниям)</w:t>
            </w:r>
          </w:p>
        </w:tc>
      </w:tr>
      <w:tr w:rsidR="001F2346" w:rsidRPr="00BA4F0F" w14:paraId="707397E3" w14:textId="77777777" w:rsidTr="002D3EBF">
        <w:tc>
          <w:tcPr>
            <w:tcW w:w="2943" w:type="dxa"/>
          </w:tcPr>
          <w:p w14:paraId="5B373920" w14:textId="77777777" w:rsidR="001F2346" w:rsidRPr="00BA4F0F" w:rsidRDefault="001F2346" w:rsidP="002D3EBF">
            <w:r w:rsidRPr="00BA4F0F">
              <w:t>Противорвотные средства:</w:t>
            </w:r>
          </w:p>
          <w:p w14:paraId="70976061" w14:textId="77777777" w:rsidR="001F2346" w:rsidRPr="00BA4F0F" w:rsidRDefault="001F2346" w:rsidP="002D3EBF">
            <w:r w:rsidRPr="00BA4F0F">
              <w:t xml:space="preserve">ондансетрон </w:t>
            </w:r>
          </w:p>
        </w:tc>
        <w:tc>
          <w:tcPr>
            <w:tcW w:w="3686" w:type="dxa"/>
          </w:tcPr>
          <w:p w14:paraId="7A596EAF" w14:textId="77777777" w:rsidR="001F2346" w:rsidRPr="00BA4F0F" w:rsidRDefault="001F2346" w:rsidP="002D3EBF">
            <w:r w:rsidRPr="00BA4F0F">
              <w:t xml:space="preserve">8 мг в/в капельно 3 раза в сутки </w:t>
            </w:r>
          </w:p>
        </w:tc>
        <w:tc>
          <w:tcPr>
            <w:tcW w:w="2942" w:type="dxa"/>
          </w:tcPr>
          <w:p w14:paraId="53F81CBE" w14:textId="77777777" w:rsidR="001F2346" w:rsidRPr="00BA4F0F" w:rsidRDefault="001F2346" w:rsidP="002D3EBF">
            <w:r w:rsidRPr="00BA4F0F">
              <w:t>-1 - +2 (далее по показаниям)</w:t>
            </w:r>
          </w:p>
        </w:tc>
      </w:tr>
      <w:tr w:rsidR="001F2346" w:rsidRPr="00BA4F0F" w14:paraId="0EA2C95F" w14:textId="77777777" w:rsidTr="002D3EBF">
        <w:tc>
          <w:tcPr>
            <w:tcW w:w="2943" w:type="dxa"/>
          </w:tcPr>
          <w:p w14:paraId="1D96CAC4" w14:textId="77777777" w:rsidR="001F2346" w:rsidRPr="00BA4F0F" w:rsidRDefault="001F2346" w:rsidP="002D3EBF">
            <w:r w:rsidRPr="00BA4F0F">
              <w:lastRenderedPageBreak/>
              <w:t>Гепарин</w:t>
            </w:r>
          </w:p>
        </w:tc>
        <w:tc>
          <w:tcPr>
            <w:tcW w:w="3686" w:type="dxa"/>
          </w:tcPr>
          <w:p w14:paraId="3CED78E0" w14:textId="77777777" w:rsidR="001F2346" w:rsidRPr="00BA4F0F" w:rsidRDefault="001F2346" w:rsidP="002D3EBF">
            <w:r w:rsidRPr="00BA4F0F">
              <w:t>12000 ЕД в/в через инфузомат на 24 часа</w:t>
            </w:r>
          </w:p>
        </w:tc>
        <w:tc>
          <w:tcPr>
            <w:tcW w:w="2942" w:type="dxa"/>
          </w:tcPr>
          <w:p w14:paraId="7D4301A3" w14:textId="77777777" w:rsidR="001F2346" w:rsidRPr="00BA4F0F" w:rsidRDefault="001F2346" w:rsidP="002D3EBF">
            <w:r w:rsidRPr="00BA4F0F">
              <w:t xml:space="preserve">-1 - +14 </w:t>
            </w:r>
          </w:p>
        </w:tc>
      </w:tr>
      <w:tr w:rsidR="001F2346" w:rsidRPr="00BA4F0F" w14:paraId="440D2617" w14:textId="77777777" w:rsidTr="002D3EBF">
        <w:tc>
          <w:tcPr>
            <w:tcW w:w="2943" w:type="dxa"/>
          </w:tcPr>
          <w:p w14:paraId="1613FE6E" w14:textId="77777777" w:rsidR="001F2346" w:rsidRPr="00BA4F0F" w:rsidRDefault="001F2346" w:rsidP="002D3EBF">
            <w:r w:rsidRPr="00BA4F0F">
              <w:t>Допамин 4%</w:t>
            </w:r>
          </w:p>
        </w:tc>
        <w:tc>
          <w:tcPr>
            <w:tcW w:w="3686" w:type="dxa"/>
          </w:tcPr>
          <w:p w14:paraId="18148F4A" w14:textId="77777777" w:rsidR="001F2346" w:rsidRPr="00BA4F0F" w:rsidRDefault="001F2346" w:rsidP="002D3EBF">
            <w:r w:rsidRPr="00BA4F0F">
              <w:t>0,5 мг в/в через инфузомат на 24 часа</w:t>
            </w:r>
          </w:p>
        </w:tc>
        <w:tc>
          <w:tcPr>
            <w:tcW w:w="2942" w:type="dxa"/>
          </w:tcPr>
          <w:p w14:paraId="67C9CEBD" w14:textId="77777777" w:rsidR="001F2346" w:rsidRPr="00BA4F0F" w:rsidRDefault="001F2346" w:rsidP="002D3EBF">
            <w:r w:rsidRPr="00BA4F0F">
              <w:t>-1 - +1</w:t>
            </w:r>
          </w:p>
        </w:tc>
      </w:tr>
      <w:tr w:rsidR="001F2346" w:rsidRPr="00BA4F0F" w14:paraId="47647578" w14:textId="77777777" w:rsidTr="002D3EBF">
        <w:tc>
          <w:tcPr>
            <w:tcW w:w="2943" w:type="dxa"/>
          </w:tcPr>
          <w:p w14:paraId="477B1CBE" w14:textId="77777777" w:rsidR="001F2346" w:rsidRPr="00BA4F0F" w:rsidRDefault="001F2346" w:rsidP="002D3EBF">
            <w:r w:rsidRPr="00BA4F0F">
              <w:t>Фуросемид</w:t>
            </w:r>
          </w:p>
        </w:tc>
        <w:tc>
          <w:tcPr>
            <w:tcW w:w="3686" w:type="dxa"/>
          </w:tcPr>
          <w:p w14:paraId="590A7D70" w14:textId="77777777" w:rsidR="001F2346" w:rsidRPr="00BA4F0F" w:rsidRDefault="001F2346" w:rsidP="002D3EBF">
            <w:r w:rsidRPr="00BA4F0F">
              <w:t>20 мг в/в струйно 3 раза в сутки</w:t>
            </w:r>
          </w:p>
        </w:tc>
        <w:tc>
          <w:tcPr>
            <w:tcW w:w="2942" w:type="dxa"/>
          </w:tcPr>
          <w:p w14:paraId="027B186B" w14:textId="77777777" w:rsidR="001F2346" w:rsidRPr="00BA4F0F" w:rsidRDefault="001F2346" w:rsidP="002D3EBF">
            <w:r w:rsidRPr="00BA4F0F">
              <w:t>+1 - +3</w:t>
            </w:r>
          </w:p>
        </w:tc>
      </w:tr>
      <w:tr w:rsidR="001F2346" w:rsidRPr="00BA4F0F" w14:paraId="7C4F34C0" w14:textId="77777777" w:rsidTr="002D3EBF">
        <w:tc>
          <w:tcPr>
            <w:tcW w:w="2943" w:type="dxa"/>
          </w:tcPr>
          <w:p w14:paraId="73FB6A10" w14:textId="77777777" w:rsidR="001F2346" w:rsidRPr="00BA4F0F" w:rsidRDefault="001F2346" w:rsidP="002D3EBF">
            <w:r w:rsidRPr="00BA4F0F">
              <w:t>Таблетированные препараты:</w:t>
            </w:r>
          </w:p>
        </w:tc>
        <w:tc>
          <w:tcPr>
            <w:tcW w:w="6628" w:type="dxa"/>
            <w:gridSpan w:val="2"/>
          </w:tcPr>
          <w:p w14:paraId="0F20E71E" w14:textId="77777777" w:rsidR="001F2346" w:rsidRPr="00BA4F0F" w:rsidRDefault="001F2346" w:rsidP="002D3EBF"/>
        </w:tc>
      </w:tr>
      <w:tr w:rsidR="001F2346" w:rsidRPr="00BA4F0F" w14:paraId="3E5038FB" w14:textId="77777777" w:rsidTr="002D3EBF">
        <w:tc>
          <w:tcPr>
            <w:tcW w:w="2943" w:type="dxa"/>
          </w:tcPr>
          <w:p w14:paraId="05A79533" w14:textId="77777777" w:rsidR="001F2346" w:rsidRPr="00BA4F0F" w:rsidRDefault="001F2346" w:rsidP="002D3EBF">
            <w:r w:rsidRPr="00BA4F0F">
              <w:t>Аллопуринол</w:t>
            </w:r>
          </w:p>
        </w:tc>
        <w:tc>
          <w:tcPr>
            <w:tcW w:w="3686" w:type="dxa"/>
          </w:tcPr>
          <w:p w14:paraId="09138B4A" w14:textId="77777777" w:rsidR="001F2346" w:rsidRPr="00BA4F0F" w:rsidRDefault="001F2346" w:rsidP="002D3EBF">
            <w:r w:rsidRPr="00BA4F0F">
              <w:t>200 мг/м</w:t>
            </w:r>
            <w:r w:rsidRPr="00BA4F0F">
              <w:rPr>
                <w:vertAlign w:val="superscript"/>
              </w:rPr>
              <w:t>2</w:t>
            </w:r>
            <w:r w:rsidRPr="00BA4F0F">
              <w:t xml:space="preserve"> внутрь </w:t>
            </w:r>
          </w:p>
        </w:tc>
        <w:tc>
          <w:tcPr>
            <w:tcW w:w="2942" w:type="dxa"/>
          </w:tcPr>
          <w:p w14:paraId="4DD34D7B" w14:textId="77777777" w:rsidR="001F2346" w:rsidRPr="00BA4F0F" w:rsidRDefault="001F2346" w:rsidP="002D3EBF">
            <w:r w:rsidRPr="00BA4F0F">
              <w:t xml:space="preserve">+1 - +3 </w:t>
            </w:r>
          </w:p>
        </w:tc>
      </w:tr>
      <w:tr w:rsidR="001F2346" w:rsidRPr="00BA4F0F" w14:paraId="159C94A7" w14:textId="77777777" w:rsidTr="002D3EBF">
        <w:tc>
          <w:tcPr>
            <w:tcW w:w="2943" w:type="dxa"/>
          </w:tcPr>
          <w:p w14:paraId="26A6D219" w14:textId="77777777" w:rsidR="001F2346" w:rsidRPr="00BA4F0F" w:rsidRDefault="001F2346" w:rsidP="002D3EBF">
            <w:r w:rsidRPr="00BA4F0F">
              <w:t>Противосудорожные средства:</w:t>
            </w:r>
          </w:p>
          <w:p w14:paraId="68D6C58C" w14:textId="77777777" w:rsidR="001F2346" w:rsidRPr="00BA4F0F" w:rsidRDefault="001F2346" w:rsidP="002D3EBF">
            <w:r w:rsidRPr="00BA4F0F">
              <w:t>карбамазепин</w:t>
            </w:r>
          </w:p>
        </w:tc>
        <w:tc>
          <w:tcPr>
            <w:tcW w:w="3686" w:type="dxa"/>
          </w:tcPr>
          <w:p w14:paraId="12657C1B" w14:textId="77777777" w:rsidR="001F2346" w:rsidRPr="00BA4F0F" w:rsidRDefault="001F2346" w:rsidP="002D3EBF"/>
          <w:p w14:paraId="5A56CF08" w14:textId="77777777" w:rsidR="001F2346" w:rsidRPr="00BA4F0F" w:rsidRDefault="001F2346" w:rsidP="002D3EBF"/>
          <w:p w14:paraId="4F513AB9" w14:textId="77777777" w:rsidR="001F2346" w:rsidRPr="00BA4F0F" w:rsidRDefault="001F2346" w:rsidP="002D3EBF">
            <w:r w:rsidRPr="00BA4F0F">
              <w:t xml:space="preserve">200 мг внутрь на ночь </w:t>
            </w:r>
          </w:p>
        </w:tc>
        <w:tc>
          <w:tcPr>
            <w:tcW w:w="2942" w:type="dxa"/>
          </w:tcPr>
          <w:p w14:paraId="7A46BCB8" w14:textId="77777777" w:rsidR="001F2346" w:rsidRPr="00BA4F0F" w:rsidRDefault="001F2346" w:rsidP="002D3EBF"/>
          <w:p w14:paraId="06C2E62B" w14:textId="77777777" w:rsidR="001F2346" w:rsidRPr="00BA4F0F" w:rsidRDefault="001F2346" w:rsidP="002D3EBF"/>
          <w:p w14:paraId="7E04B4E4" w14:textId="77777777" w:rsidR="001F2346" w:rsidRPr="00BA4F0F" w:rsidRDefault="001F2346" w:rsidP="002D3EBF">
            <w:r w:rsidRPr="00BA4F0F">
              <w:t>-1 - +1</w:t>
            </w:r>
          </w:p>
        </w:tc>
      </w:tr>
      <w:tr w:rsidR="001F2346" w:rsidRPr="00BA4F0F" w14:paraId="5F69054F" w14:textId="77777777" w:rsidTr="002D3EBF">
        <w:tc>
          <w:tcPr>
            <w:tcW w:w="2943" w:type="dxa"/>
          </w:tcPr>
          <w:p w14:paraId="32FF8E08" w14:textId="77777777" w:rsidR="001F2346" w:rsidRPr="00BA4F0F" w:rsidRDefault="001F2346" w:rsidP="002D3EBF">
            <w:r w:rsidRPr="00BA4F0F">
              <w:t xml:space="preserve">Обработка полости рта растворами антисептиков </w:t>
            </w:r>
          </w:p>
        </w:tc>
        <w:tc>
          <w:tcPr>
            <w:tcW w:w="3686" w:type="dxa"/>
          </w:tcPr>
          <w:p w14:paraId="10F887B3" w14:textId="77777777" w:rsidR="001F2346" w:rsidRPr="00BA4F0F" w:rsidRDefault="001F2346" w:rsidP="002D3EBF">
            <w:r w:rsidRPr="00BA4F0F">
              <w:t>многократно</w:t>
            </w:r>
          </w:p>
        </w:tc>
        <w:tc>
          <w:tcPr>
            <w:tcW w:w="2942" w:type="dxa"/>
          </w:tcPr>
          <w:p w14:paraId="297A99BF" w14:textId="77777777" w:rsidR="001F2346" w:rsidRPr="00BA4F0F" w:rsidRDefault="001F2346" w:rsidP="002D3EBF">
            <w:r w:rsidRPr="00BA4F0F">
              <w:t>весь период мобилизации</w:t>
            </w:r>
          </w:p>
        </w:tc>
      </w:tr>
      <w:tr w:rsidR="001F2346" w:rsidRPr="00BA4F0F" w14:paraId="2FAC8A9B" w14:textId="77777777" w:rsidTr="002D3EBF">
        <w:tc>
          <w:tcPr>
            <w:tcW w:w="2943" w:type="dxa"/>
          </w:tcPr>
          <w:p w14:paraId="5AFD8821" w14:textId="77777777" w:rsidR="001F2346" w:rsidRPr="00BA4F0F" w:rsidRDefault="001F2346" w:rsidP="002D3EBF">
            <w:r w:rsidRPr="00BA4F0F">
              <w:t>Стимуляция:</w:t>
            </w:r>
          </w:p>
        </w:tc>
        <w:tc>
          <w:tcPr>
            <w:tcW w:w="6628" w:type="dxa"/>
            <w:gridSpan w:val="2"/>
          </w:tcPr>
          <w:p w14:paraId="4B5C516C" w14:textId="77777777" w:rsidR="001F2346" w:rsidRPr="00BA4F0F" w:rsidRDefault="001F2346" w:rsidP="002D3EBF"/>
        </w:tc>
      </w:tr>
      <w:tr w:rsidR="001F2346" w:rsidRPr="00BA4F0F" w14:paraId="1BA8DC51" w14:textId="77777777" w:rsidTr="002D3EBF">
        <w:tc>
          <w:tcPr>
            <w:tcW w:w="2943" w:type="dxa"/>
          </w:tcPr>
          <w:p w14:paraId="094E2524" w14:textId="77777777" w:rsidR="001F2346" w:rsidRPr="00BA4F0F" w:rsidRDefault="001F2346" w:rsidP="002D3EBF">
            <w:r w:rsidRPr="00BA4F0F">
              <w:t>Г-КСФ</w:t>
            </w:r>
          </w:p>
        </w:tc>
        <w:tc>
          <w:tcPr>
            <w:tcW w:w="3686" w:type="dxa"/>
          </w:tcPr>
          <w:p w14:paraId="15F39ED6" w14:textId="77777777" w:rsidR="001F2346" w:rsidRPr="00BA4F0F" w:rsidRDefault="001F2346" w:rsidP="002D3EBF">
            <w:r w:rsidRPr="00BA4F0F">
              <w:t>5 мкг/кг в сутки подкожно</w:t>
            </w:r>
            <w:r w:rsidRPr="00BA4F0F">
              <w:rPr>
                <w:vertAlign w:val="superscript"/>
              </w:rPr>
              <w:t>**</w:t>
            </w:r>
          </w:p>
        </w:tc>
        <w:tc>
          <w:tcPr>
            <w:tcW w:w="2942" w:type="dxa"/>
          </w:tcPr>
          <w:p w14:paraId="3E213988" w14:textId="77777777" w:rsidR="001F2346" w:rsidRPr="00BA4F0F" w:rsidRDefault="001F2346" w:rsidP="002D3EBF">
            <w:r w:rsidRPr="00BA4F0F">
              <w:t>с момента снижения числа лейкоцитов менее 1х10</w:t>
            </w:r>
            <w:r w:rsidRPr="00BA4F0F">
              <w:rPr>
                <w:vertAlign w:val="superscript"/>
              </w:rPr>
              <w:t>9</w:t>
            </w:r>
            <w:r w:rsidRPr="00BA4F0F">
              <w:t>/л.</w:t>
            </w:r>
          </w:p>
        </w:tc>
      </w:tr>
    </w:tbl>
    <w:p w14:paraId="3818D4F6" w14:textId="77777777" w:rsidR="001F2346" w:rsidRPr="00BA4F0F" w:rsidRDefault="001F2346" w:rsidP="001F2346">
      <w:r w:rsidRPr="00BA4F0F">
        <w:rPr>
          <w:i/>
        </w:rPr>
        <w:t xml:space="preserve">Примечание: </w:t>
      </w:r>
      <w:r w:rsidRPr="00BA4F0F">
        <w:rPr>
          <w:i/>
          <w:vertAlign w:val="superscript"/>
        </w:rPr>
        <w:t>*</w:t>
      </w:r>
      <w:r w:rsidRPr="00BA4F0F">
        <w:rPr>
          <w:i/>
        </w:rPr>
        <w:t xml:space="preserve"> </w:t>
      </w:r>
      <w:r w:rsidRPr="00BA4F0F">
        <w:t xml:space="preserve">с +3 дня терапии объем вводимых растворов уменьшается в 2 раза. </w:t>
      </w:r>
    </w:p>
    <w:p w14:paraId="66CCCEE5" w14:textId="49D9D604" w:rsidR="001F2346" w:rsidRPr="00BA4F0F" w:rsidRDefault="001F2346" w:rsidP="001F2346">
      <w:r w:rsidRPr="00BA4F0F">
        <w:t xml:space="preserve">                       </w:t>
      </w:r>
      <w:r w:rsidRPr="00BA4F0F">
        <w:rPr>
          <w:vertAlign w:val="superscript"/>
        </w:rPr>
        <w:t>**</w:t>
      </w:r>
      <w:r w:rsidRPr="00BA4F0F">
        <w:t xml:space="preserve"> при отсутствии снижения числа лейкоцитов возможно увеличение дозы Г-КСФ до 10 мкг/кг/сут.</w:t>
      </w:r>
    </w:p>
    <w:p w14:paraId="5A2A02FA" w14:textId="77777777" w:rsidR="001F2346" w:rsidRPr="00BA4F0F" w:rsidRDefault="001F2346" w:rsidP="001F2346">
      <w:pPr>
        <w:rPr>
          <w:b/>
        </w:rPr>
      </w:pPr>
    </w:p>
    <w:p w14:paraId="18C11E38" w14:textId="77777777" w:rsidR="001F2346" w:rsidRPr="00BA4F0F" w:rsidRDefault="001F2346" w:rsidP="001F2346">
      <w:pPr>
        <w:pStyle w:val="afe"/>
        <w:ind w:left="0"/>
        <w:rPr>
          <w:rFonts w:cs="Times New Roman"/>
          <w:szCs w:val="24"/>
          <w:u w:val="single"/>
        </w:rPr>
      </w:pPr>
      <w:bookmarkStart w:id="136" w:name="_Toc44926607"/>
      <w:r w:rsidRPr="00BA4F0F">
        <w:rPr>
          <w:rFonts w:cs="Times New Roman"/>
          <w:szCs w:val="24"/>
          <w:u w:val="single"/>
        </w:rPr>
        <w:t>Г-КСФ в сочетании с плериксафором</w:t>
      </w:r>
      <w:bookmarkEnd w:id="136"/>
    </w:p>
    <w:p w14:paraId="43B10550" w14:textId="77777777" w:rsidR="001F2346" w:rsidRPr="00BA4F0F" w:rsidRDefault="001F2346" w:rsidP="001F2346">
      <w:pPr>
        <w:rPr>
          <w:b/>
          <w:i/>
          <w:lang w:val="en-US"/>
        </w:rPr>
      </w:pPr>
      <w:r w:rsidRPr="00BA4F0F">
        <w:rPr>
          <w:b/>
          <w:i/>
          <w:lang w:val="en-US"/>
        </w:rPr>
        <w:t>Показания</w:t>
      </w:r>
    </w:p>
    <w:p w14:paraId="7925A606" w14:textId="77777777" w:rsidR="001F2346" w:rsidRPr="00BA4F0F" w:rsidRDefault="001F2346" w:rsidP="00DC0931">
      <w:pPr>
        <w:numPr>
          <w:ilvl w:val="0"/>
          <w:numId w:val="271"/>
        </w:numPr>
        <w:ind w:left="0" w:firstLine="0"/>
        <w:contextualSpacing/>
      </w:pPr>
      <w:r w:rsidRPr="00BA4F0F">
        <w:t>Повторная мобилизация после неудачи первой мобилизации ГСК схемами, включающими миелосупрессивные препараты в сочетании с Г-КСФ или применения Г-КСФ в монорежиме у пациентов с лимфомами и ММ;</w:t>
      </w:r>
    </w:p>
    <w:p w14:paraId="345F3DD3" w14:textId="77777777" w:rsidR="001F2346" w:rsidRPr="00BA4F0F" w:rsidRDefault="001F2346" w:rsidP="00DC0931">
      <w:pPr>
        <w:numPr>
          <w:ilvl w:val="0"/>
          <w:numId w:val="271"/>
        </w:numPr>
        <w:ind w:left="0" w:firstLine="0"/>
        <w:contextualSpacing/>
      </w:pPr>
      <w:r w:rsidRPr="00BA4F0F">
        <w:t>Неудовлетворительные результаты текущей мобилизации у пациентов с лимфомами и ММ.</w:t>
      </w:r>
    </w:p>
    <w:p w14:paraId="44D3950E" w14:textId="77777777" w:rsidR="001F2346" w:rsidRPr="00BA4F0F" w:rsidRDefault="001F2346" w:rsidP="001F2346">
      <w:r w:rsidRPr="00BA4F0F">
        <w:t>Неудовлетворительные результаты текущей мобилизации:</w:t>
      </w:r>
    </w:p>
    <w:p w14:paraId="040A05EB" w14:textId="77777777" w:rsidR="001F2346" w:rsidRPr="00BA4F0F" w:rsidRDefault="001F2346" w:rsidP="001F2346">
      <w:r w:rsidRPr="00BA4F0F">
        <w:t>а) количество CD34+ клеток в периферической крови в день предполагаемого первого лейкафереза менее 10 клеток/мкл (при планируемой одной аутотрансплантации) и 10-20 клеток/мкл (при планируемой тандемной аутотрансплантации);</w:t>
      </w:r>
    </w:p>
    <w:p w14:paraId="0F91B4F5" w14:textId="77777777" w:rsidR="001F2346" w:rsidRPr="00BA4F0F" w:rsidRDefault="001F2346" w:rsidP="001F2346">
      <w:r w:rsidRPr="00BA4F0F">
        <w:t>б) за первый лейкаферез заготовлено менее 30-50% от необходимого количества CD34+ клеток.</w:t>
      </w:r>
    </w:p>
    <w:p w14:paraId="63D7D166" w14:textId="77777777" w:rsidR="001F2346" w:rsidRPr="00BA4F0F" w:rsidRDefault="001F2346" w:rsidP="001F2346">
      <w:pPr>
        <w:contextualSpacing/>
        <w:rPr>
          <w:b/>
        </w:rPr>
      </w:pPr>
    </w:p>
    <w:p w14:paraId="6989314F" w14:textId="77777777" w:rsidR="001F2346" w:rsidRPr="00BA4F0F" w:rsidRDefault="001F2346" w:rsidP="001F2346">
      <w:pPr>
        <w:rPr>
          <w:b/>
          <w:i/>
        </w:rPr>
      </w:pPr>
      <w:r w:rsidRPr="00BA4F0F">
        <w:rPr>
          <w:b/>
          <w:i/>
        </w:rPr>
        <w:lastRenderedPageBreak/>
        <w:t>Схема мобилизации ГСК</w:t>
      </w:r>
    </w:p>
    <w:p w14:paraId="4F359C2F" w14:textId="77777777" w:rsidR="001F2346" w:rsidRPr="00BA4F0F" w:rsidRDefault="001F2346" w:rsidP="001F2346">
      <w:pPr>
        <w:ind w:firstLine="709"/>
      </w:pPr>
      <w:r w:rsidRPr="00BA4F0F">
        <w:t>Г-КСФ назначают в дозе 10 мкг/кг/сутки, вводят подкожно утром. На четвертый день введения Г-КСФ плериксафор назначается за 12 часов до лейкафереза в дозе 240 мкг/кг подкожно. По результатам лейкафереза решается вопрос о необходимости повторного введения плериксафора (таблица 3). Возможно применение нескольких введений плериксафора.</w:t>
      </w:r>
    </w:p>
    <w:p w14:paraId="56B593E9" w14:textId="77777777" w:rsidR="001F2346" w:rsidRPr="00BA4F0F" w:rsidRDefault="001F2346" w:rsidP="001F2346">
      <w:pPr>
        <w:ind w:firstLine="709"/>
      </w:pPr>
    </w:p>
    <w:p w14:paraId="0EF82D83" w14:textId="77777777" w:rsidR="001F2346" w:rsidRPr="00BA4F0F" w:rsidRDefault="001F2346" w:rsidP="001F2346">
      <w:pPr>
        <w:ind w:firstLine="709"/>
      </w:pPr>
      <w:r w:rsidRPr="00BA4F0F">
        <w:t xml:space="preserve">Таблица 3. Схема мобилизации ГСК «Г-КСФ + плериксафор» </w:t>
      </w:r>
    </w:p>
    <w:tbl>
      <w:tblPr>
        <w:tblStyle w:val="1f3"/>
        <w:tblW w:w="0" w:type="auto"/>
        <w:jc w:val="center"/>
        <w:tblLook w:val="04A0" w:firstRow="1" w:lastRow="0" w:firstColumn="1" w:lastColumn="0" w:noHBand="0" w:noVBand="1"/>
      </w:tblPr>
      <w:tblGrid>
        <w:gridCol w:w="1651"/>
        <w:gridCol w:w="1133"/>
        <w:gridCol w:w="1129"/>
        <w:gridCol w:w="1129"/>
        <w:gridCol w:w="1132"/>
        <w:gridCol w:w="1133"/>
        <w:gridCol w:w="1133"/>
      </w:tblGrid>
      <w:tr w:rsidR="001F2346" w:rsidRPr="00BA4F0F" w14:paraId="2F27F663" w14:textId="77777777" w:rsidTr="002D3EBF">
        <w:trPr>
          <w:jc w:val="center"/>
        </w:trPr>
        <w:tc>
          <w:tcPr>
            <w:tcW w:w="1651" w:type="dxa"/>
          </w:tcPr>
          <w:p w14:paraId="61F6A23A" w14:textId="77777777" w:rsidR="001F2346" w:rsidRPr="00BA4F0F" w:rsidRDefault="001F2346" w:rsidP="002D3EBF">
            <w:r w:rsidRPr="00BA4F0F">
              <w:t>Дни</w:t>
            </w:r>
          </w:p>
        </w:tc>
        <w:tc>
          <w:tcPr>
            <w:tcW w:w="1133" w:type="dxa"/>
          </w:tcPr>
          <w:p w14:paraId="4DBA6848" w14:textId="77777777" w:rsidR="001F2346" w:rsidRPr="00BA4F0F" w:rsidRDefault="001F2346" w:rsidP="002D3EBF">
            <w:r w:rsidRPr="00BA4F0F">
              <w:t>1</w:t>
            </w:r>
          </w:p>
        </w:tc>
        <w:tc>
          <w:tcPr>
            <w:tcW w:w="1129" w:type="dxa"/>
          </w:tcPr>
          <w:p w14:paraId="033F6A80" w14:textId="77777777" w:rsidR="001F2346" w:rsidRPr="00BA4F0F" w:rsidRDefault="001F2346" w:rsidP="002D3EBF">
            <w:r w:rsidRPr="00BA4F0F">
              <w:t>2</w:t>
            </w:r>
          </w:p>
        </w:tc>
        <w:tc>
          <w:tcPr>
            <w:tcW w:w="1129" w:type="dxa"/>
          </w:tcPr>
          <w:p w14:paraId="32E569E5" w14:textId="77777777" w:rsidR="001F2346" w:rsidRPr="00BA4F0F" w:rsidRDefault="001F2346" w:rsidP="002D3EBF">
            <w:r w:rsidRPr="00BA4F0F">
              <w:t>3</w:t>
            </w:r>
          </w:p>
        </w:tc>
        <w:tc>
          <w:tcPr>
            <w:tcW w:w="1132" w:type="dxa"/>
          </w:tcPr>
          <w:p w14:paraId="261C5548" w14:textId="77777777" w:rsidR="001F2346" w:rsidRPr="00BA4F0F" w:rsidRDefault="001F2346" w:rsidP="002D3EBF">
            <w:r w:rsidRPr="00BA4F0F">
              <w:t>4</w:t>
            </w:r>
          </w:p>
        </w:tc>
        <w:tc>
          <w:tcPr>
            <w:tcW w:w="1133" w:type="dxa"/>
          </w:tcPr>
          <w:p w14:paraId="28006288" w14:textId="77777777" w:rsidR="001F2346" w:rsidRPr="00BA4F0F" w:rsidRDefault="001F2346" w:rsidP="002D3EBF">
            <w:r w:rsidRPr="00BA4F0F">
              <w:t>5</w:t>
            </w:r>
          </w:p>
        </w:tc>
        <w:tc>
          <w:tcPr>
            <w:tcW w:w="1133" w:type="dxa"/>
          </w:tcPr>
          <w:p w14:paraId="31D0B7CD" w14:textId="77777777" w:rsidR="001F2346" w:rsidRPr="00BA4F0F" w:rsidRDefault="001F2346" w:rsidP="002D3EBF">
            <w:r w:rsidRPr="00BA4F0F">
              <w:t>6</w:t>
            </w:r>
          </w:p>
        </w:tc>
      </w:tr>
      <w:tr w:rsidR="001F2346" w:rsidRPr="00BA4F0F" w14:paraId="7E49EB42" w14:textId="77777777" w:rsidTr="002D3EBF">
        <w:trPr>
          <w:jc w:val="center"/>
        </w:trPr>
        <w:tc>
          <w:tcPr>
            <w:tcW w:w="1651" w:type="dxa"/>
          </w:tcPr>
          <w:p w14:paraId="2B23EF4F" w14:textId="77777777" w:rsidR="001F2346" w:rsidRPr="00BA4F0F" w:rsidRDefault="001F2346" w:rsidP="002D3EBF">
            <w:r w:rsidRPr="00BA4F0F">
              <w:t xml:space="preserve">Г-КСФ, </w:t>
            </w:r>
          </w:p>
          <w:p w14:paraId="1CA07E25" w14:textId="77777777" w:rsidR="001F2346" w:rsidRPr="00BA4F0F" w:rsidRDefault="001F2346" w:rsidP="002D3EBF">
            <w:r w:rsidRPr="00BA4F0F">
              <w:t>10 мкг/кг</w:t>
            </w:r>
          </w:p>
        </w:tc>
        <w:tc>
          <w:tcPr>
            <w:tcW w:w="1133" w:type="dxa"/>
          </w:tcPr>
          <w:p w14:paraId="5414201D" w14:textId="77777777" w:rsidR="001F2346" w:rsidRPr="00BA4F0F" w:rsidRDefault="001F2346" w:rsidP="002D3EBF">
            <w:r w:rsidRPr="00BA4F0F">
              <w:t>Х</w:t>
            </w:r>
          </w:p>
        </w:tc>
        <w:tc>
          <w:tcPr>
            <w:tcW w:w="1129" w:type="dxa"/>
          </w:tcPr>
          <w:p w14:paraId="2320EE1A" w14:textId="77777777" w:rsidR="001F2346" w:rsidRPr="00BA4F0F" w:rsidRDefault="001F2346" w:rsidP="002D3EBF">
            <w:r w:rsidRPr="00BA4F0F">
              <w:t>Х</w:t>
            </w:r>
          </w:p>
        </w:tc>
        <w:tc>
          <w:tcPr>
            <w:tcW w:w="1129" w:type="dxa"/>
          </w:tcPr>
          <w:p w14:paraId="415B0EB2" w14:textId="77777777" w:rsidR="001F2346" w:rsidRPr="00BA4F0F" w:rsidRDefault="001F2346" w:rsidP="002D3EBF">
            <w:r w:rsidRPr="00BA4F0F">
              <w:t>Х</w:t>
            </w:r>
          </w:p>
        </w:tc>
        <w:tc>
          <w:tcPr>
            <w:tcW w:w="1132" w:type="dxa"/>
          </w:tcPr>
          <w:p w14:paraId="5D4FA5CB" w14:textId="77777777" w:rsidR="001F2346" w:rsidRPr="00BA4F0F" w:rsidRDefault="001F2346" w:rsidP="002D3EBF">
            <w:r w:rsidRPr="00BA4F0F">
              <w:t>Х</w:t>
            </w:r>
          </w:p>
        </w:tc>
        <w:tc>
          <w:tcPr>
            <w:tcW w:w="1133" w:type="dxa"/>
          </w:tcPr>
          <w:p w14:paraId="5398427F" w14:textId="77777777" w:rsidR="001F2346" w:rsidRPr="00BA4F0F" w:rsidRDefault="001F2346" w:rsidP="002D3EBF">
            <w:r w:rsidRPr="00BA4F0F">
              <w:t>Х</w:t>
            </w:r>
          </w:p>
        </w:tc>
        <w:tc>
          <w:tcPr>
            <w:tcW w:w="1133" w:type="dxa"/>
          </w:tcPr>
          <w:p w14:paraId="133BF59B" w14:textId="77777777" w:rsidR="001F2346" w:rsidRPr="00BA4F0F" w:rsidRDefault="001F2346" w:rsidP="002D3EBF"/>
        </w:tc>
      </w:tr>
      <w:tr w:rsidR="001F2346" w:rsidRPr="00BA4F0F" w14:paraId="61515B65" w14:textId="77777777" w:rsidTr="002D3EBF">
        <w:trPr>
          <w:jc w:val="center"/>
        </w:trPr>
        <w:tc>
          <w:tcPr>
            <w:tcW w:w="1651" w:type="dxa"/>
          </w:tcPr>
          <w:p w14:paraId="74D34CC4" w14:textId="77777777" w:rsidR="001F2346" w:rsidRPr="00BA4F0F" w:rsidRDefault="001F2346" w:rsidP="002D3EBF">
            <w:r w:rsidRPr="00BA4F0F">
              <w:t>Плериксафор, 240 мкг/кг</w:t>
            </w:r>
          </w:p>
        </w:tc>
        <w:tc>
          <w:tcPr>
            <w:tcW w:w="1133" w:type="dxa"/>
          </w:tcPr>
          <w:p w14:paraId="6934FCE7" w14:textId="77777777" w:rsidR="001F2346" w:rsidRPr="00BA4F0F" w:rsidRDefault="001F2346" w:rsidP="002D3EBF"/>
        </w:tc>
        <w:tc>
          <w:tcPr>
            <w:tcW w:w="1129" w:type="dxa"/>
          </w:tcPr>
          <w:p w14:paraId="30D713F1" w14:textId="77777777" w:rsidR="001F2346" w:rsidRPr="00BA4F0F" w:rsidRDefault="001F2346" w:rsidP="002D3EBF"/>
        </w:tc>
        <w:tc>
          <w:tcPr>
            <w:tcW w:w="1129" w:type="dxa"/>
          </w:tcPr>
          <w:p w14:paraId="4624DF37" w14:textId="77777777" w:rsidR="001F2346" w:rsidRPr="00BA4F0F" w:rsidRDefault="001F2346" w:rsidP="002D3EBF"/>
        </w:tc>
        <w:tc>
          <w:tcPr>
            <w:tcW w:w="1132" w:type="dxa"/>
          </w:tcPr>
          <w:p w14:paraId="0F941295" w14:textId="77777777" w:rsidR="001F2346" w:rsidRPr="00BA4F0F" w:rsidRDefault="001F2346" w:rsidP="002D3EBF">
            <w:r w:rsidRPr="00BA4F0F">
              <w:t>Х</w:t>
            </w:r>
          </w:p>
        </w:tc>
        <w:tc>
          <w:tcPr>
            <w:tcW w:w="1133" w:type="dxa"/>
          </w:tcPr>
          <w:p w14:paraId="3E998A30" w14:textId="77777777" w:rsidR="001F2346" w:rsidRPr="00BA4F0F" w:rsidRDefault="001F2346" w:rsidP="002D3EBF">
            <w:r w:rsidRPr="00BA4F0F">
              <w:t>(Х)</w:t>
            </w:r>
          </w:p>
        </w:tc>
        <w:tc>
          <w:tcPr>
            <w:tcW w:w="1133" w:type="dxa"/>
          </w:tcPr>
          <w:p w14:paraId="235725C9" w14:textId="77777777" w:rsidR="001F2346" w:rsidRPr="00BA4F0F" w:rsidRDefault="001F2346" w:rsidP="002D3EBF"/>
        </w:tc>
      </w:tr>
      <w:tr w:rsidR="001F2346" w:rsidRPr="00BA4F0F" w14:paraId="70F5A01D" w14:textId="77777777" w:rsidTr="002D3EBF">
        <w:trPr>
          <w:jc w:val="center"/>
        </w:trPr>
        <w:tc>
          <w:tcPr>
            <w:tcW w:w="1651" w:type="dxa"/>
          </w:tcPr>
          <w:p w14:paraId="092C278F" w14:textId="77777777" w:rsidR="001F2346" w:rsidRPr="00BA4F0F" w:rsidRDefault="001F2346" w:rsidP="002D3EBF">
            <w:r w:rsidRPr="00BA4F0F">
              <w:t>Лейкаферез</w:t>
            </w:r>
          </w:p>
        </w:tc>
        <w:tc>
          <w:tcPr>
            <w:tcW w:w="1133" w:type="dxa"/>
          </w:tcPr>
          <w:p w14:paraId="7DF641B5" w14:textId="77777777" w:rsidR="001F2346" w:rsidRPr="00BA4F0F" w:rsidRDefault="001F2346" w:rsidP="002D3EBF"/>
        </w:tc>
        <w:tc>
          <w:tcPr>
            <w:tcW w:w="1129" w:type="dxa"/>
          </w:tcPr>
          <w:p w14:paraId="6B43B5C3" w14:textId="77777777" w:rsidR="001F2346" w:rsidRPr="00BA4F0F" w:rsidRDefault="001F2346" w:rsidP="002D3EBF"/>
        </w:tc>
        <w:tc>
          <w:tcPr>
            <w:tcW w:w="1129" w:type="dxa"/>
          </w:tcPr>
          <w:p w14:paraId="1FA0E12B" w14:textId="77777777" w:rsidR="001F2346" w:rsidRPr="00BA4F0F" w:rsidRDefault="001F2346" w:rsidP="002D3EBF"/>
        </w:tc>
        <w:tc>
          <w:tcPr>
            <w:tcW w:w="1132" w:type="dxa"/>
          </w:tcPr>
          <w:p w14:paraId="79EAF4AD" w14:textId="77777777" w:rsidR="001F2346" w:rsidRPr="00BA4F0F" w:rsidRDefault="001F2346" w:rsidP="002D3EBF"/>
        </w:tc>
        <w:tc>
          <w:tcPr>
            <w:tcW w:w="1133" w:type="dxa"/>
          </w:tcPr>
          <w:p w14:paraId="45B98AAE" w14:textId="77777777" w:rsidR="001F2346" w:rsidRPr="00BA4F0F" w:rsidRDefault="001F2346" w:rsidP="002D3EBF">
            <w:pPr>
              <w:rPr>
                <w:lang w:val="en-US"/>
              </w:rPr>
            </w:pPr>
            <w:r w:rsidRPr="00BA4F0F">
              <w:rPr>
                <w:lang w:val="en-US"/>
              </w:rPr>
              <w:t>V</w:t>
            </w:r>
          </w:p>
        </w:tc>
        <w:tc>
          <w:tcPr>
            <w:tcW w:w="1133" w:type="dxa"/>
          </w:tcPr>
          <w:p w14:paraId="7A0A1C89" w14:textId="77777777" w:rsidR="001F2346" w:rsidRPr="00BA4F0F" w:rsidRDefault="001F2346" w:rsidP="002D3EBF">
            <w:pPr>
              <w:rPr>
                <w:lang w:val="en-US"/>
              </w:rPr>
            </w:pPr>
            <w:r w:rsidRPr="00BA4F0F">
              <w:rPr>
                <w:lang w:val="en-US"/>
              </w:rPr>
              <w:t>V</w:t>
            </w:r>
          </w:p>
        </w:tc>
      </w:tr>
    </w:tbl>
    <w:p w14:paraId="1A0C6B8D" w14:textId="77777777" w:rsidR="001F2346" w:rsidRPr="00BA4F0F" w:rsidRDefault="001F2346" w:rsidP="001F2346">
      <w:pPr>
        <w:pStyle w:val="11"/>
        <w:spacing w:before="0"/>
        <w:ind w:left="840"/>
      </w:pPr>
    </w:p>
    <w:p w14:paraId="6986D32B" w14:textId="77777777" w:rsidR="001F2346" w:rsidRPr="00BA4F0F" w:rsidRDefault="001F2346" w:rsidP="001F2346">
      <w:pPr>
        <w:pStyle w:val="afe"/>
        <w:ind w:left="0"/>
        <w:rPr>
          <w:rFonts w:cs="Times New Roman"/>
          <w:szCs w:val="24"/>
          <w:u w:val="single"/>
        </w:rPr>
      </w:pPr>
      <w:bookmarkStart w:id="137" w:name="_Toc44926608"/>
      <w:r w:rsidRPr="00BA4F0F">
        <w:rPr>
          <w:rFonts w:cs="Times New Roman"/>
          <w:szCs w:val="24"/>
          <w:u w:val="single"/>
        </w:rPr>
        <w:t>Сравнительная характеристика режимов мобилизации ГСК</w:t>
      </w:r>
      <w:bookmarkEnd w:id="137"/>
    </w:p>
    <w:p w14:paraId="745FF561" w14:textId="77777777" w:rsidR="001F2346" w:rsidRPr="00BA4F0F" w:rsidRDefault="001F2346" w:rsidP="001F2346">
      <w:pPr>
        <w:ind w:firstLine="709"/>
      </w:pPr>
      <w:r w:rsidRPr="00BA4F0F">
        <w:t xml:space="preserve">Проспективных рандомизированных исследований, сравнивающих методы мобилизации (только ростовой фактор или сочетание Г-КСФ с миелосупрессивной химиотерапией) на одном и том же контингенте больных не проводилось, а прямое сравнение различных исследований затруднено. В связи с этим оптимальный метод мобилизации ГСК определить невозможно. </w:t>
      </w:r>
    </w:p>
    <w:p w14:paraId="2055857F" w14:textId="77777777" w:rsidR="001F2346" w:rsidRPr="00BA4F0F" w:rsidRDefault="001F2346" w:rsidP="001F2346">
      <w:pPr>
        <w:ind w:firstLine="709"/>
      </w:pPr>
      <w:r w:rsidRPr="00BA4F0F">
        <w:t xml:space="preserve">У каждого режима мобилизации ГСК есть определенные преимущества и недостатки, поэтому существует индивидуальный подход в выборе лечебной схемы в каждой конкретной ситуации (таблица 4). Так, при использовании Г-КСФ в монорежиме уменьшаются сроки госпитализации, не наблюдаются осложнения, характерные для периода МТА, нет потребности в трансфузионной терапии. Применение этого режима является относительно безопасным у больных с диализ-зависимой почечной недостаточностью, пациентов с кардиальной патологией. </w:t>
      </w:r>
    </w:p>
    <w:p w14:paraId="0BEF2B56" w14:textId="77777777" w:rsidR="001F2346" w:rsidRPr="00BA4F0F" w:rsidRDefault="001F2346" w:rsidP="001F2346">
      <w:pPr>
        <w:ind w:firstLine="709"/>
      </w:pPr>
      <w:r w:rsidRPr="00BA4F0F">
        <w:t xml:space="preserve">Но у больных с длительным анамнезом лечения велика вероятность неудовлетворительного результата сбора ГСК. Использование режима «ХТ+ Г-КСФ» часто позволяет заготовить адекватное количество клеток, однако сопряжено с развитием инфекционных и токсических осложнений в период МТА, требует назначения массивной сопроводительной терапии, что удлиняет сроки госпитализации. </w:t>
      </w:r>
    </w:p>
    <w:p w14:paraId="715E3FAE" w14:textId="77777777" w:rsidR="001F2346" w:rsidRPr="00BA4F0F" w:rsidRDefault="001F2346" w:rsidP="001F2346"/>
    <w:p w14:paraId="47BDF451" w14:textId="77777777" w:rsidR="001F2346" w:rsidRPr="00BA4F0F" w:rsidRDefault="001F2346" w:rsidP="001F2346">
      <w:r w:rsidRPr="00BA4F0F">
        <w:t>Таблица 4. Сравнительная характеристика режимов мобилизации ГСК</w:t>
      </w:r>
    </w:p>
    <w:tbl>
      <w:tblPr>
        <w:tblStyle w:val="1f3"/>
        <w:tblW w:w="0" w:type="auto"/>
        <w:tblInd w:w="108" w:type="dxa"/>
        <w:tblLook w:val="04A0" w:firstRow="1" w:lastRow="0" w:firstColumn="1" w:lastColumn="0" w:noHBand="0" w:noVBand="1"/>
      </w:tblPr>
      <w:tblGrid>
        <w:gridCol w:w="1836"/>
        <w:gridCol w:w="3912"/>
        <w:gridCol w:w="3490"/>
      </w:tblGrid>
      <w:tr w:rsidR="001F2346" w:rsidRPr="00BA4F0F" w14:paraId="5C83E31B" w14:textId="77777777" w:rsidTr="002D3EBF">
        <w:trPr>
          <w:trHeight w:val="896"/>
        </w:trPr>
        <w:tc>
          <w:tcPr>
            <w:tcW w:w="1843" w:type="dxa"/>
          </w:tcPr>
          <w:p w14:paraId="5D5295E0" w14:textId="77777777" w:rsidR="001F2346" w:rsidRPr="00BA4F0F" w:rsidRDefault="001F2346" w:rsidP="002D3EBF">
            <w:r w:rsidRPr="00BA4F0F">
              <w:rPr>
                <w:b/>
                <w:bCs/>
              </w:rPr>
              <w:lastRenderedPageBreak/>
              <w:t>Режим мобилизации</w:t>
            </w:r>
          </w:p>
        </w:tc>
        <w:tc>
          <w:tcPr>
            <w:tcW w:w="3969" w:type="dxa"/>
          </w:tcPr>
          <w:p w14:paraId="444C9308" w14:textId="77777777" w:rsidR="001F2346" w:rsidRPr="00BA4F0F" w:rsidRDefault="001F2346" w:rsidP="002D3EBF">
            <w:pPr>
              <w:ind w:left="720"/>
              <w:contextualSpacing/>
            </w:pPr>
            <w:r w:rsidRPr="00BA4F0F">
              <w:rPr>
                <w:b/>
                <w:bCs/>
              </w:rPr>
              <w:t>Преимущества</w:t>
            </w:r>
          </w:p>
        </w:tc>
        <w:tc>
          <w:tcPr>
            <w:tcW w:w="3544" w:type="dxa"/>
          </w:tcPr>
          <w:p w14:paraId="48B17FE2" w14:textId="77777777" w:rsidR="001F2346" w:rsidRPr="00BA4F0F" w:rsidRDefault="001F2346" w:rsidP="002D3EBF">
            <w:pPr>
              <w:ind w:left="720"/>
              <w:contextualSpacing/>
            </w:pPr>
            <w:r w:rsidRPr="00BA4F0F">
              <w:rPr>
                <w:b/>
                <w:bCs/>
              </w:rPr>
              <w:t>Недостатки</w:t>
            </w:r>
          </w:p>
        </w:tc>
      </w:tr>
      <w:tr w:rsidR="001F2346" w:rsidRPr="00BA4F0F" w14:paraId="2C8F1EEC" w14:textId="77777777" w:rsidTr="002D3EBF">
        <w:tc>
          <w:tcPr>
            <w:tcW w:w="1843" w:type="dxa"/>
          </w:tcPr>
          <w:p w14:paraId="4AAC7320" w14:textId="77777777" w:rsidR="001F2346" w:rsidRPr="00BA4F0F" w:rsidRDefault="001F2346" w:rsidP="002D3EBF">
            <w:pPr>
              <w:rPr>
                <w:b/>
              </w:rPr>
            </w:pPr>
            <w:r w:rsidRPr="00BA4F0F">
              <w:rPr>
                <w:b/>
              </w:rPr>
              <w:t>Г-КСФ в монорежиме</w:t>
            </w:r>
          </w:p>
        </w:tc>
        <w:tc>
          <w:tcPr>
            <w:tcW w:w="3969" w:type="dxa"/>
          </w:tcPr>
          <w:p w14:paraId="54C9772E" w14:textId="77777777" w:rsidR="001F2346" w:rsidRPr="00BA4F0F" w:rsidRDefault="001F2346" w:rsidP="002D3EBF">
            <w:r w:rsidRPr="00BA4F0F">
              <w:t>Уменьшение сроков госпитализации, четко планируемые сроки лейкаферезов, отсутствие антибиотикотерапии, заместительной трансфузионной терапии</w:t>
            </w:r>
          </w:p>
          <w:p w14:paraId="4FEDF068" w14:textId="77777777" w:rsidR="001F2346" w:rsidRPr="00BA4F0F" w:rsidRDefault="001F2346" w:rsidP="002D3EBF"/>
        </w:tc>
        <w:tc>
          <w:tcPr>
            <w:tcW w:w="3544" w:type="dxa"/>
          </w:tcPr>
          <w:p w14:paraId="762CB7AB" w14:textId="77777777" w:rsidR="001F2346" w:rsidRPr="00BA4F0F" w:rsidRDefault="001F2346" w:rsidP="002D3EBF">
            <w:r w:rsidRPr="00BA4F0F">
              <w:t>Неэффективна у предлеченных больных</w:t>
            </w:r>
          </w:p>
        </w:tc>
      </w:tr>
      <w:tr w:rsidR="001F2346" w:rsidRPr="00BA4F0F" w14:paraId="1C747EA9" w14:textId="77777777" w:rsidTr="002D3EBF">
        <w:tc>
          <w:tcPr>
            <w:tcW w:w="1843" w:type="dxa"/>
          </w:tcPr>
          <w:p w14:paraId="09A20AB2" w14:textId="77777777" w:rsidR="001F2346" w:rsidRPr="00BA4F0F" w:rsidRDefault="001F2346" w:rsidP="002D3EBF">
            <w:pPr>
              <w:rPr>
                <w:b/>
              </w:rPr>
            </w:pPr>
            <w:r w:rsidRPr="00BA4F0F">
              <w:rPr>
                <w:b/>
              </w:rPr>
              <w:t>ХТ+ Г-КСФ</w:t>
            </w:r>
          </w:p>
        </w:tc>
        <w:tc>
          <w:tcPr>
            <w:tcW w:w="3969" w:type="dxa"/>
          </w:tcPr>
          <w:p w14:paraId="288102AB" w14:textId="77777777" w:rsidR="001F2346" w:rsidRPr="00BA4F0F" w:rsidRDefault="001F2346" w:rsidP="002D3EBF">
            <w:r w:rsidRPr="00BA4F0F">
              <w:t>Высокая эффективность  мобилизации</w:t>
            </w:r>
          </w:p>
        </w:tc>
        <w:tc>
          <w:tcPr>
            <w:tcW w:w="3544" w:type="dxa"/>
          </w:tcPr>
          <w:p w14:paraId="78500FD7" w14:textId="77777777" w:rsidR="001F2346" w:rsidRPr="00BA4F0F" w:rsidRDefault="001F2346" w:rsidP="002D3EBF">
            <w:r w:rsidRPr="00BA4F0F">
              <w:t>Цитопения</w:t>
            </w:r>
          </w:p>
          <w:p w14:paraId="327CB460" w14:textId="77777777" w:rsidR="001F2346" w:rsidRPr="00BA4F0F" w:rsidRDefault="001F2346" w:rsidP="002D3EBF">
            <w:r w:rsidRPr="00BA4F0F">
              <w:t xml:space="preserve">Инфекционные осложнения </w:t>
            </w:r>
          </w:p>
          <w:p w14:paraId="752097B8" w14:textId="77777777" w:rsidR="001F2346" w:rsidRPr="00BA4F0F" w:rsidRDefault="001F2346" w:rsidP="002D3EBF">
            <w:r w:rsidRPr="00BA4F0F">
              <w:t>Трансфузии компонентов крови</w:t>
            </w:r>
          </w:p>
          <w:p w14:paraId="7E696DAB" w14:textId="77777777" w:rsidR="001F2346" w:rsidRPr="00BA4F0F" w:rsidRDefault="001F2346" w:rsidP="002D3EBF">
            <w:r w:rsidRPr="00BA4F0F">
              <w:t>Нет четкого планирования сроков лейкаферезов</w:t>
            </w:r>
          </w:p>
          <w:p w14:paraId="2DA134D4" w14:textId="77777777" w:rsidR="001F2346" w:rsidRPr="00BA4F0F" w:rsidRDefault="001F2346" w:rsidP="002D3EBF">
            <w:r w:rsidRPr="00BA4F0F">
              <w:t>Небезопасна при коморбидности</w:t>
            </w:r>
          </w:p>
        </w:tc>
      </w:tr>
    </w:tbl>
    <w:p w14:paraId="3C2BE479" w14:textId="77777777" w:rsidR="001F2346" w:rsidRPr="00BA4F0F" w:rsidRDefault="001F2346" w:rsidP="001F2346">
      <w:pPr>
        <w:rPr>
          <w:i/>
        </w:rPr>
      </w:pPr>
      <w:r w:rsidRPr="00BA4F0F">
        <w:rPr>
          <w:i/>
        </w:rPr>
        <w:t>ХТ – химиотерапия, ЛЛТ – локальная лучевая терапия</w:t>
      </w:r>
    </w:p>
    <w:p w14:paraId="7AE8CFF1" w14:textId="77777777" w:rsidR="001F2346" w:rsidRPr="00BA4F0F" w:rsidRDefault="001F2346" w:rsidP="001F2346">
      <w:pPr>
        <w:ind w:firstLine="709"/>
      </w:pPr>
      <w:r w:rsidRPr="00BA4F0F">
        <w:t xml:space="preserve">Продолжаются многочисленные исследования, направленные на оптимизацию режимов мобилизации стволовых клеток, обсуждаются возможности применения новых ростовых факторов, апробируются различные дозы цитостатических препаратов. </w:t>
      </w:r>
    </w:p>
    <w:p w14:paraId="507E5686" w14:textId="77777777" w:rsidR="001F2346" w:rsidRPr="00BA4F0F" w:rsidRDefault="001F2346" w:rsidP="001F2346">
      <w:bookmarkStart w:id="138" w:name="_Toc44926609"/>
    </w:p>
    <w:p w14:paraId="19CA23D4" w14:textId="77777777" w:rsidR="001F2346" w:rsidRPr="00BA4F0F" w:rsidRDefault="001F2346" w:rsidP="001F2346">
      <w:pPr>
        <w:rPr>
          <w:b/>
        </w:rPr>
      </w:pPr>
      <w:r w:rsidRPr="00BA4F0F">
        <w:rPr>
          <w:b/>
        </w:rPr>
        <w:t>Особенности сопроводительной терапии при мобилизации ГСК</w:t>
      </w:r>
      <w:bookmarkEnd w:id="138"/>
    </w:p>
    <w:p w14:paraId="7ACD4AFD" w14:textId="77777777" w:rsidR="001F2346" w:rsidRPr="00BA4F0F" w:rsidRDefault="001F2346" w:rsidP="001F2346">
      <w:pPr>
        <w:pStyle w:val="afe"/>
        <w:ind w:left="0"/>
        <w:rPr>
          <w:rFonts w:cs="Times New Roman"/>
          <w:szCs w:val="24"/>
          <w:u w:val="single"/>
        </w:rPr>
      </w:pPr>
      <w:r w:rsidRPr="00BA4F0F">
        <w:rPr>
          <w:rFonts w:cs="Times New Roman"/>
          <w:szCs w:val="24"/>
          <w:u w:val="single"/>
        </w:rPr>
        <w:t>Г-КСФ в монорежиме и Г-КСФ в сочетании с плериксафором</w:t>
      </w:r>
    </w:p>
    <w:p w14:paraId="30C2B6FC" w14:textId="77777777" w:rsidR="001F2346" w:rsidRPr="00BA4F0F" w:rsidRDefault="001F2346" w:rsidP="00DC0931">
      <w:pPr>
        <w:numPr>
          <w:ilvl w:val="0"/>
          <w:numId w:val="269"/>
        </w:numPr>
        <w:ind w:left="0" w:firstLine="0"/>
      </w:pPr>
      <w:r w:rsidRPr="00BA4F0F">
        <w:t>Если есть сложности с доступом к периферическим венам, перед началом сбора ГСК устанавливается перфузионный катетер в центральную вену;</w:t>
      </w:r>
    </w:p>
    <w:p w14:paraId="38F2AAC1" w14:textId="77777777" w:rsidR="001F2346" w:rsidRPr="00BA4F0F" w:rsidRDefault="001F2346" w:rsidP="00DC0931">
      <w:pPr>
        <w:numPr>
          <w:ilvl w:val="0"/>
          <w:numId w:val="269"/>
        </w:numPr>
        <w:ind w:left="0" w:firstLine="0"/>
      </w:pPr>
      <w:r w:rsidRPr="00BA4F0F">
        <w:t>С целью профилактики тромботических осложнений проводится введение низкомолекулярных гепаринов (эноксапарин 40 мг или эквивалент) в профилактической дозе подкожно один раз в сутки на фоне введения Г-КСФ и в течение 2-3 суток после его отмены;</w:t>
      </w:r>
    </w:p>
    <w:p w14:paraId="508D7359" w14:textId="77777777" w:rsidR="001F2346" w:rsidRPr="00BA4F0F" w:rsidRDefault="001F2346" w:rsidP="00DC0931">
      <w:pPr>
        <w:numPr>
          <w:ilvl w:val="0"/>
          <w:numId w:val="269"/>
        </w:numPr>
        <w:ind w:left="0" w:firstLine="0"/>
      </w:pPr>
      <w:r w:rsidRPr="00BA4F0F">
        <w:t xml:space="preserve">Адекватное обезболивание при болевом синдроме в костях, вызванном введением Г-КСФ. Предпочтение отдается наркотическим аналгетикам (промедол 10 мг в/в, трамадол 100 мг в/в, фентанил 25 мкг/час трансдермально), при отсутствии миелотксического агранулоцитоза возможно использование нестероидных противовоспалительных препаратов. </w:t>
      </w:r>
    </w:p>
    <w:p w14:paraId="5D8EF0E0" w14:textId="77777777" w:rsidR="001F2346" w:rsidRPr="00BA4F0F" w:rsidRDefault="001F2346" w:rsidP="001F2346">
      <w:pPr>
        <w:rPr>
          <w:b/>
          <w:i/>
        </w:rPr>
      </w:pPr>
    </w:p>
    <w:p w14:paraId="4FBBAF85" w14:textId="77777777" w:rsidR="001F2346" w:rsidRPr="00BA4F0F" w:rsidRDefault="001F2346" w:rsidP="001F2346">
      <w:pPr>
        <w:pStyle w:val="afe"/>
        <w:ind w:left="0"/>
        <w:rPr>
          <w:rFonts w:cs="Times New Roman"/>
          <w:szCs w:val="24"/>
          <w:u w:val="single"/>
        </w:rPr>
      </w:pPr>
      <w:r w:rsidRPr="00BA4F0F">
        <w:rPr>
          <w:rFonts w:cs="Times New Roman"/>
          <w:szCs w:val="24"/>
          <w:u w:val="single"/>
        </w:rPr>
        <w:lastRenderedPageBreak/>
        <w:t>Режим «ХТ + Г-КСФ»</w:t>
      </w:r>
    </w:p>
    <w:p w14:paraId="6E495B9A" w14:textId="77777777" w:rsidR="001F2346" w:rsidRPr="00BA4F0F" w:rsidRDefault="001F2346" w:rsidP="00DC0931">
      <w:pPr>
        <w:numPr>
          <w:ilvl w:val="0"/>
          <w:numId w:val="269"/>
        </w:numPr>
        <w:ind w:left="0" w:firstLine="0"/>
      </w:pPr>
      <w:r w:rsidRPr="00BA4F0F">
        <w:t>Необходима установка центрального венозного катетера (ЦВК) для обеспечения сосудистого доступа. Если есть сложности с доступом к периферическим венам, перед началом сбора ГСК центральный катетер меняют на перфузионный;</w:t>
      </w:r>
    </w:p>
    <w:p w14:paraId="0F4C1E6E" w14:textId="77777777" w:rsidR="001F2346" w:rsidRPr="00BA4F0F" w:rsidRDefault="001F2346" w:rsidP="00DC0931">
      <w:pPr>
        <w:numPr>
          <w:ilvl w:val="0"/>
          <w:numId w:val="269"/>
        </w:numPr>
        <w:ind w:left="0" w:firstLine="0"/>
      </w:pPr>
      <w:r w:rsidRPr="00BA4F0F">
        <w:t>Круглосуточное введение гепарина с целью профилактики тромботических осложнений. Начальная доза гепарина 12 000 ЕД/сут., далее - под контролем АЧТВ (АЧТВ 1,5-2 нормы);</w:t>
      </w:r>
    </w:p>
    <w:p w14:paraId="7638229F" w14:textId="77777777" w:rsidR="001F2346" w:rsidRPr="00BA4F0F" w:rsidRDefault="001F2346" w:rsidP="00DC0931">
      <w:pPr>
        <w:numPr>
          <w:ilvl w:val="0"/>
          <w:numId w:val="269"/>
        </w:numPr>
        <w:ind w:left="0" w:firstLine="0"/>
      </w:pPr>
      <w:r w:rsidRPr="00BA4F0F">
        <w:t>Введение химиопрепаратов сопровождается массивной гидратацией из расчета 1,5-3 л/м</w:t>
      </w:r>
      <w:r w:rsidRPr="00BA4F0F">
        <w:rPr>
          <w:vertAlign w:val="superscript"/>
        </w:rPr>
        <w:t>2</w:t>
      </w:r>
      <w:r w:rsidRPr="00BA4F0F">
        <w:t>, гипоурикемической терапией аллопуринолом 400 - 600 мг/сут. (за исключением схем, содержащих метотрексат), диуретической терапией (фуросемид 20 мг болюсно 3 р/сут)</w:t>
      </w:r>
    </w:p>
    <w:p w14:paraId="62952499" w14:textId="77777777" w:rsidR="001F2346" w:rsidRPr="00BA4F0F" w:rsidRDefault="001F2346" w:rsidP="00DC0931">
      <w:pPr>
        <w:numPr>
          <w:ilvl w:val="0"/>
          <w:numId w:val="269"/>
        </w:numPr>
        <w:ind w:left="0" w:firstLine="0"/>
      </w:pPr>
      <w:r w:rsidRPr="00BA4F0F">
        <w:t>При наличии в схеме ХТ ифосфамида, циклофосфамида для защиты слизистой мочевого пузыря и мочевыводящих путей назначается уромитексан в дозе 2,4 г/м</w:t>
      </w:r>
      <w:r w:rsidRPr="00BA4F0F">
        <w:rPr>
          <w:vertAlign w:val="superscript"/>
        </w:rPr>
        <w:t>2</w:t>
      </w:r>
      <w:r w:rsidRPr="00BA4F0F">
        <w:t xml:space="preserve"> круглосуточно в день введения цитостатика;</w:t>
      </w:r>
    </w:p>
    <w:p w14:paraId="0EA9DEB9" w14:textId="77777777" w:rsidR="001F2346" w:rsidRPr="00BA4F0F" w:rsidRDefault="001F2346" w:rsidP="00DC0931">
      <w:pPr>
        <w:numPr>
          <w:ilvl w:val="0"/>
          <w:numId w:val="269"/>
        </w:numPr>
        <w:ind w:left="0" w:firstLine="0"/>
      </w:pPr>
      <w:r w:rsidRPr="00BA4F0F">
        <w:t>При наличии в схеме ХТ метотрексата через 12 ч. после окончания его введения назначается лейковорин в дозе 25 мг внутрь и внутривенно 6 раз в сутки 4 дня или до достижения концентрации метотрексата в крови менее 0,1 мкмоль/л.</w:t>
      </w:r>
    </w:p>
    <w:p w14:paraId="25D20A38" w14:textId="77777777" w:rsidR="001F2346" w:rsidRPr="00BA4F0F" w:rsidRDefault="001F2346" w:rsidP="00DC0931">
      <w:pPr>
        <w:numPr>
          <w:ilvl w:val="0"/>
          <w:numId w:val="269"/>
        </w:numPr>
        <w:ind w:left="0" w:firstLine="0"/>
      </w:pPr>
      <w:r w:rsidRPr="00BA4F0F">
        <w:t>Противосудорожная профилактика, если применяется бусульфан, циклофосфан (карбамазепин 200 мг+ диазепам 10 мг);</w:t>
      </w:r>
    </w:p>
    <w:p w14:paraId="05DEC3DD" w14:textId="77777777" w:rsidR="001F2346" w:rsidRPr="00BA4F0F" w:rsidRDefault="001F2346" w:rsidP="00DC0931">
      <w:pPr>
        <w:numPr>
          <w:ilvl w:val="0"/>
          <w:numId w:val="269"/>
        </w:numPr>
        <w:ind w:left="0" w:firstLine="0"/>
      </w:pPr>
      <w:r w:rsidRPr="00BA4F0F">
        <w:t>Противорвотная терапия по стандартным схемам (ондансетрон 8 мг, метоклопрамид 10 мг и тд.);</w:t>
      </w:r>
    </w:p>
    <w:p w14:paraId="4E0CADA1" w14:textId="77777777" w:rsidR="001F2346" w:rsidRPr="00BA4F0F" w:rsidRDefault="001F2346" w:rsidP="00DC0931">
      <w:pPr>
        <w:numPr>
          <w:ilvl w:val="0"/>
          <w:numId w:val="269"/>
        </w:numPr>
        <w:ind w:left="0" w:firstLine="0"/>
      </w:pPr>
      <w:r w:rsidRPr="00BA4F0F">
        <w:t xml:space="preserve">Противоязвенная терапия по стандартным схемам (омепразол 20 мг или ранитидин 150 мг) </w:t>
      </w:r>
    </w:p>
    <w:p w14:paraId="576DEA1B" w14:textId="77777777" w:rsidR="001F2346" w:rsidRPr="00BA4F0F" w:rsidRDefault="001F2346" w:rsidP="00DC0931">
      <w:pPr>
        <w:numPr>
          <w:ilvl w:val="0"/>
          <w:numId w:val="269"/>
        </w:numPr>
        <w:ind w:left="0" w:firstLine="0"/>
      </w:pPr>
      <w:r w:rsidRPr="00BA4F0F">
        <w:t>Овариопротекция проводится женщинам фертильного возраста по показаниям</w:t>
      </w:r>
    </w:p>
    <w:p w14:paraId="2EBAE7E0" w14:textId="77777777" w:rsidR="001F2346" w:rsidRPr="00BA4F0F" w:rsidRDefault="001F2346" w:rsidP="001F2346">
      <w:pPr>
        <w:rPr>
          <w:b/>
        </w:rPr>
      </w:pPr>
      <w:bookmarkStart w:id="139" w:name="_Toc44926610"/>
    </w:p>
    <w:p w14:paraId="535E3C96" w14:textId="77777777" w:rsidR="001F2346" w:rsidRPr="00BA4F0F" w:rsidRDefault="001F2346" w:rsidP="001F2346">
      <w:pPr>
        <w:rPr>
          <w:b/>
        </w:rPr>
      </w:pPr>
      <w:r w:rsidRPr="00BA4F0F">
        <w:rPr>
          <w:b/>
        </w:rPr>
        <w:t>Лейкаферез и криоконсервирование</w:t>
      </w:r>
      <w:bookmarkEnd w:id="139"/>
    </w:p>
    <w:p w14:paraId="614739E1" w14:textId="77777777" w:rsidR="001F2346" w:rsidRPr="00BA4F0F" w:rsidRDefault="001F2346" w:rsidP="001F2346">
      <w:pPr>
        <w:pStyle w:val="afe"/>
        <w:ind w:left="0"/>
        <w:rPr>
          <w:rFonts w:cs="Times New Roman"/>
          <w:szCs w:val="24"/>
          <w:u w:val="single"/>
        </w:rPr>
      </w:pPr>
      <w:bookmarkStart w:id="140" w:name="_Toc44926611"/>
      <w:r w:rsidRPr="00BA4F0F">
        <w:rPr>
          <w:rFonts w:cs="Times New Roman"/>
          <w:szCs w:val="24"/>
          <w:u w:val="single"/>
        </w:rPr>
        <w:t>Лейкоцитаферез</w:t>
      </w:r>
      <w:bookmarkEnd w:id="140"/>
    </w:p>
    <w:p w14:paraId="04846274" w14:textId="68C57DA9" w:rsidR="001F2346" w:rsidRPr="00BA4F0F" w:rsidRDefault="001F2346" w:rsidP="001F2346">
      <w:pPr>
        <w:ind w:firstLine="709"/>
      </w:pPr>
      <w:r w:rsidRPr="00BA4F0F">
        <w:t xml:space="preserve">Лейкаферез – полуселективный метод экстракорпоральной гемокоррекции, основанный на разделении плазмы и клеток крови под воздействием центробежной силы и выделении из крови фракции лейкоцитов </w:t>
      </w:r>
      <w:r w:rsidRPr="00BA4F0F">
        <w:fldChar w:fldCharType="begin" w:fldLock="1"/>
      </w:r>
      <w:r w:rsidR="002736BA">
        <w:instrText>ADDIN CSL_CITATION {"citationItems":[{"id":"ITEM-1","itemData":{"author":[{"dropping-particle":"","family":"Афанасьева О.И., Воинов В.А.","given":"Гольдфарб Ю.С.","non-dropping-particle":"","parse-names":false,"suffix":""}],"id":"ITEM-1","issued":{"date-parts":[["2016"]]},"page":"7-15","publisher-place":"СПб","title":"Экстракорпоральная гемокоррекция: терминология, языковые соответствия","type":"paper-conference"},"uris":["http://www.mendeley.com/documents/?uuid=dd794081-f883-4721-812b-15ca1118ea10","http://www.mendeley.com/documents/?uuid=e6fbe91e-84b6-4e21-8e03-046ee3f21147","http://www.mendeley.com/documents/?uuid=97018312-9d9b-48d4-8675-1e409d0ed713","http://www.mendeley.com/documents/?uuid=282ee115-b097-474e-a9bb-520be3f26e12","http://www.mendeley.com/documents/?uuid=27217d21-2275-40b2-ad81-407c9211ec51","http://www.mendeley.com/documents/?uuid=caa1a6ba-88e1-4c61-a222-974128ef3624","http://www.mendeley.com/documents/?uuid=3b79c5e9-e873-4ee1-a644-2cc9d177aaa6"]}],"mendeley":{"formattedCitation":"[238]","plainTextFormattedCitation":"[238]","previouslyFormattedCitation":"[238]"},"properties":{"noteIndex":0},"schema":"https://github.com/citation-style-language/schema/raw/master/csl-citation.json"}</w:instrText>
      </w:r>
      <w:r w:rsidRPr="00BA4F0F">
        <w:fldChar w:fldCharType="separate"/>
      </w:r>
      <w:r w:rsidR="006E1ADA" w:rsidRPr="006E1ADA">
        <w:rPr>
          <w:noProof/>
        </w:rPr>
        <w:t>[238]</w:t>
      </w:r>
      <w:r w:rsidRPr="00BA4F0F">
        <w:fldChar w:fldCharType="end"/>
      </w:r>
      <w:r w:rsidRPr="00BA4F0F">
        <w:t xml:space="preserve">. </w:t>
      </w:r>
    </w:p>
    <w:p w14:paraId="65C1BD54" w14:textId="0BCADAA8" w:rsidR="001F2346" w:rsidRPr="00BA4F0F" w:rsidRDefault="001F2346" w:rsidP="001F2346">
      <w:pPr>
        <w:ind w:firstLine="709"/>
      </w:pPr>
      <w:r w:rsidRPr="00BA4F0F">
        <w:t xml:space="preserve">Как уже упоминалось выше, основным критерием, позволяющим прогнозировать успешный сбор ГСК, является содержание СD34+ клеток в периферической крови в день проведения предполагаемого первого лейкафереза. Если сбор ГСК начат рано, потребуются большее количество процедур, что приводит к увеличению финансовых и трудозатрат. Кроме того, увеличение числа лейкаферезов приводит к возрастанию общего объема </w:t>
      </w:r>
      <w:r w:rsidRPr="00BA4F0F">
        <w:lastRenderedPageBreak/>
        <w:t xml:space="preserve">заготовленного продукта. Соответственно, применяется большее количество криопротектора (диметилсульфоксида – ДМСО), который при дальнейшем внутривенном введении во время ауто-ТГСК может вызывать побочные явления </w:t>
      </w:r>
      <w:r w:rsidRPr="00BA4F0F">
        <w:fldChar w:fldCharType="begin" w:fldLock="1"/>
      </w:r>
      <w:r w:rsidR="002736BA">
        <w:instrText>ADDIN CSL_CITATION {"citationItems":[{"id":"ITEM-1","itemData":{"DOI":"10.1016/j.tmrv.2018.05.005","ISSN":"15329496","abstract":"Adverse events (AEs) associated with blood transfusions, including component-specific red cell, platelet, and plasma products, have been extensively surveyed. In contrast, surveillance of AEs associated with hematopoietic stem cell (HSC) products in HSC transplantation (HSCT) has been less rigorous, even though HSC products include a diversity of immature and mature hematopoietic cells, substantial plasma, and dimethyl sulfoxide (DMSO) in the case of cryopreserved HSC products. HSC infusion-related AEs have been attributed to DMSO toxicity, but AEs associated with the infusion of noncryopreserved HSC products are not uncommon. To quantify the frequencies, types, and risk factors of HSC infusion-related AEs, we implemented national surveillance for AEs observed within 24 hours after infusion. Herein we report on 1125 HSCTs, including 570 peripheral blood stem cell transplantations (PBSCTs) (290 autologous [auto-] and 280 allogeneic [allo-]), 332 allo-bone marrow transplantations (allo-BMTs) and 223 allo-cord blood transplantations (allo-CBTs). Unexpectedly, incidences of grade ≥ 2 AEs were most frequent in allo-BMTs (37.7%) with no DMSO in any product compared with auto-/allo-PBSCTs (20.9%, P &lt;.001) and allo-CBTs (19.3%, P &lt;.001) typically cryopreserved with DMSO. Hypertension was most often noted in BMTs, whereas nausea/vomiting, fever, and allergic reactions were most frequent in allo-PBSCTs. In a multivariate analysis, a history of transfusion reactions was a risk factor for overall AEs in all HSCTs (odds ratio [OR] = 1.459, P =.045). For grade ≥ 2 AEs in allo-HSCTs, a history of transfusion reactions (OR = 1.551, P =.044) for overall AEs, and high infusion volume (OR = 7.544, P =.005) and allo-PBSCTs (versus BMTs, OR = 9.948, P =.002) for allergic reactions were identified as risk factors. These findings suggest that some factors unrelated to DMSO, such as allo-antigens, contribute to HSC infusion-related AEs. As severe AEs, a total of 117 grade ≥ 3 AEs were reported in 1125 HSCTs, including life-threatening complications in 3 (0.3%) HSCTs: 1 allo-CBT (anaphylaxis) and 2 allo-PBSCTs (hypoxia, kidney injury) with cryopreserved product. Our data show that HSC infusion risks vary by product, can be severe, and should be monitored with the same rigor as modern transfusion hemovigilance programs.","author":[{"dropping-particle":"","family":"Ikeda","given":"Kazuhiko","non-dropping-particle":"","parse-names":false,"suffix":""},{"dropping-particle":"","family":"Ohto","given":"Hitoshi","non-dropping-particle":"","parse-names":false,"suffix":""},{"dropping-particle":"","family":"Okuyama","given":"Yoshiki","non-dropping-particle":"","parse-names":false,"suffix":""},{"dropping-particle":"","family":"Yamada-Fujiwara","given":"Minami","non-dropping-particle":"","parse-names":false,"suffix":""},{"dropping-particle":"","family":"Kanamori","given":"Heiwa","non-dropping-particle":"","parse-names":false,"suffix":""},{"dropping-particle":"","family":"Fujiwara","given":"Shin ichiro","non-dropping-particle":"","parse-names":false,"suffix":""},{"dropping-particle":"","family":"Muroi","given":"Kazuo","non-dropping-particle":"","parse-names":false,"suffix":""},{"dropping-particle":"","family":"Mori","given":"Takehiko","non-dropping-particle":"","parse-names":false,"suffix":""},{"dropping-particle":"","family":"Kasama","given":"Kinuyo","non-dropping-particle":"","parse-names":false,"suffix":""},{"dropping-particle":"","family":"Iseki","given":"Tohru","non-dropping-particle":"","parse-names":false,"suffix":""},{"dropping-particle":"","family":"Nagamura-Inoue","given":"Tokiko","non-dropping-particle":"","parse-names":false,"suffix":""},{"dropping-particle":"","family":"Fujii","given":"Nobuharu","non-dropping-particle":"","parse-names":false,"suffix":""},{"dropping-particle":"","family":"Ashida","given":"Takashi","non-dropping-particle":"","parse-names":false,"suffix":""},{"dropping-particle":"","family":"Kameda","given":"Kazuaki","non-dropping-particle":"","parse-names":false,"suffix":""},{"dropping-particle":"","family":"Kanda","given":"Junya","non-dropping-particle":"","parse-names":false,"suffix":""},{"dropping-particle":"","family":"Hirose","given":"Asao","non-dropping-particle":"","parse-names":false,"suffix":""},{"dropping-particle":"","family":"Takahashi","given":"Tsutomu","non-dropping-particle":"","parse-names":false,"suffix":""},{"dropping-particle":"","family":"Nagai","given":"Kazuhiro","non-dropping-particle":"","parse-names":false,"suffix":""},{"dropping-particle":"","family":"Minakawa","given":"Keiji","non-dropping-particle":"","parse-names":false,"suffix":""},{"dropping-particle":"","family":"Tanosaki","given":"Ryuji","non-dropping-particle":"","parse-names":false,"suffix":""}],"container-title":"Transfusion Medicine Reviews","id":"ITEM-1","issue":"3","issued":{"date-parts":[["2018","7"]]},"page":"186-194","publisher":"W.B. Saunders","title":"Adverse Events Associated With Infusion of Hematopoietic Stem Cell Products: A Prospective and Multicenter Surveillance Study","type":"article","volume":"32"},"uris":["http://www.mendeley.com/documents/?uuid=2e13cd0a-f7bd-3f0b-9f56-84feb90b58e3","http://www.mendeley.com/documents/?uuid=a903b5b4-4cb1-456e-bc41-559a068a0277","http://www.mendeley.com/documents/?uuid=201cecad-134f-4334-bb07-0660edb2e18c","http://www.mendeley.com/documents/?uuid=cc644c52-3cf9-41a4-b48f-f140f5d4382f","http://www.mendeley.com/documents/?uuid=f5fc6f3f-947c-4a93-beef-6bc30e68b9fb","http://www.mendeley.com/documents/?uuid=6bcbd89e-0776-47b7-ab98-6c90c4abb14e","http://www.mendeley.com/documents/?uuid=bfeee95e-b93a-4f49-832f-3b7dd952e5b5"]}],"mendeley":{"formattedCitation":"[239]","plainTextFormattedCitation":"[239]","previouslyFormattedCitation":"[239]"},"properties":{"noteIndex":0},"schema":"https://github.com/citation-style-language/schema/raw/master/csl-citation.json"}</w:instrText>
      </w:r>
      <w:r w:rsidRPr="00BA4F0F">
        <w:fldChar w:fldCharType="separate"/>
      </w:r>
      <w:r w:rsidR="006E1ADA" w:rsidRPr="006E1ADA">
        <w:rPr>
          <w:noProof/>
        </w:rPr>
        <w:t>[239]</w:t>
      </w:r>
      <w:r w:rsidRPr="00BA4F0F">
        <w:fldChar w:fldCharType="end"/>
      </w:r>
      <w:r w:rsidRPr="00BA4F0F">
        <w:t>.</w:t>
      </w:r>
    </w:p>
    <w:p w14:paraId="54891A67" w14:textId="77777777" w:rsidR="001F2346" w:rsidRPr="00BA4F0F" w:rsidRDefault="001F2346" w:rsidP="001F2346">
      <w:pPr>
        <w:ind w:firstLine="709"/>
      </w:pPr>
      <w:r w:rsidRPr="00BA4F0F">
        <w:t>Оценивая число клеток-предшественников, следует уделить особое внимание методу количественного определения. Результаты проточного цитометрического анализа числа CD34+клеток различаются в зависимости от конкретной методологии, и следует с осторожностью относиться к рекомендациям по их числу, основанным на исследованиях, проведенных в других лабораториях.</w:t>
      </w:r>
    </w:p>
    <w:p w14:paraId="2AC6C7EC" w14:textId="77777777" w:rsidR="001F2346" w:rsidRPr="00BA4F0F" w:rsidRDefault="001F2346" w:rsidP="001F2346">
      <w:pPr>
        <w:ind w:firstLine="709"/>
      </w:pPr>
      <w:r w:rsidRPr="00BA4F0F">
        <w:t xml:space="preserve">В день первого предполагаемого сбора выполняется общий анализ крови и подсчет </w:t>
      </w:r>
      <w:r w:rsidRPr="00BA4F0F">
        <w:rPr>
          <w:lang w:val="en-US"/>
        </w:rPr>
        <w:t>CD</w:t>
      </w:r>
      <w:r w:rsidRPr="00BA4F0F">
        <w:t xml:space="preserve">34+ в крови методом проточной цитометрии. </w:t>
      </w:r>
    </w:p>
    <w:p w14:paraId="26F06ECB" w14:textId="77777777" w:rsidR="001F2346" w:rsidRPr="00BA4F0F" w:rsidRDefault="001F2346" w:rsidP="001F2346">
      <w:pPr>
        <w:ind w:firstLine="709"/>
      </w:pPr>
      <w:r w:rsidRPr="00BA4F0F">
        <w:t xml:space="preserve">Подсчет абсолютного количества </w:t>
      </w:r>
      <w:r w:rsidRPr="00BA4F0F">
        <w:rPr>
          <w:lang w:val="en-US"/>
        </w:rPr>
        <w:t>CD</w:t>
      </w:r>
      <w:r w:rsidRPr="00BA4F0F">
        <w:t xml:space="preserve">34+ ГСК в крови проводится по формуле: </w:t>
      </w:r>
    </w:p>
    <w:p w14:paraId="70D73537" w14:textId="77777777" w:rsidR="001F2346" w:rsidRPr="00BA4F0F" w:rsidRDefault="001F2346" w:rsidP="001F2346">
      <w:pPr>
        <w:ind w:firstLine="709"/>
        <w:jc w:val="center"/>
        <w:rPr>
          <w:i/>
        </w:rPr>
      </w:pPr>
      <w:r w:rsidRPr="00BA4F0F">
        <w:rPr>
          <w:i/>
        </w:rPr>
        <w:t xml:space="preserve">Абсолютное содержание </w:t>
      </w:r>
      <w:r w:rsidRPr="00BA4F0F">
        <w:rPr>
          <w:i/>
          <w:lang w:val="en-US"/>
        </w:rPr>
        <w:t>CD</w:t>
      </w:r>
      <w:r w:rsidRPr="00BA4F0F">
        <w:rPr>
          <w:i/>
        </w:rPr>
        <w:t>34+ клеток в крови (клеток/мкл) =</w:t>
      </w:r>
    </w:p>
    <w:p w14:paraId="0B216629" w14:textId="77777777" w:rsidR="001F2346" w:rsidRPr="00BA4F0F" w:rsidRDefault="001F2346" w:rsidP="001F2346">
      <w:pPr>
        <w:ind w:firstLine="709"/>
        <w:jc w:val="center"/>
        <w:rPr>
          <w:i/>
        </w:rPr>
      </w:pPr>
      <w:r w:rsidRPr="00BA4F0F">
        <w:rPr>
          <w:i/>
        </w:rPr>
        <w:t xml:space="preserve">доля </w:t>
      </w:r>
      <w:r w:rsidRPr="00BA4F0F">
        <w:rPr>
          <w:i/>
          <w:lang w:val="en-US"/>
        </w:rPr>
        <w:t>CD</w:t>
      </w:r>
      <w:r w:rsidRPr="00BA4F0F">
        <w:rPr>
          <w:i/>
        </w:rPr>
        <w:t>34+ клеток (%) × количество лейкоцитов (10</w:t>
      </w:r>
      <w:r w:rsidRPr="00BA4F0F">
        <w:rPr>
          <w:i/>
          <w:vertAlign w:val="superscript"/>
        </w:rPr>
        <w:t>9</w:t>
      </w:r>
      <w:r w:rsidRPr="00BA4F0F">
        <w:rPr>
          <w:i/>
        </w:rPr>
        <w:t>/л) × 10</w:t>
      </w:r>
    </w:p>
    <w:p w14:paraId="1B58EB05" w14:textId="77777777" w:rsidR="001F2346" w:rsidRPr="00BA4F0F" w:rsidRDefault="001F2346" w:rsidP="001F2346">
      <w:pPr>
        <w:ind w:firstLine="709"/>
      </w:pPr>
      <w:r w:rsidRPr="00BA4F0F">
        <w:t xml:space="preserve">При содержании </w:t>
      </w:r>
      <w:r w:rsidRPr="00BA4F0F">
        <w:rPr>
          <w:lang w:val="en-US"/>
        </w:rPr>
        <w:t>CD</w:t>
      </w:r>
      <w:r w:rsidRPr="00BA4F0F">
        <w:t>34+ клеток в периферической крови более 10-20 в 1 мкл. можно начинать первый лейкаферез.</w:t>
      </w:r>
    </w:p>
    <w:p w14:paraId="3D3CD42A" w14:textId="77777777" w:rsidR="001F2346" w:rsidRPr="00BA4F0F" w:rsidRDefault="001F2346" w:rsidP="001F2346">
      <w:pPr>
        <w:ind w:firstLine="709"/>
      </w:pPr>
      <w:r w:rsidRPr="00BA4F0F">
        <w:t xml:space="preserve">Если абсолютное количество </w:t>
      </w:r>
      <w:r w:rsidRPr="00BA4F0F">
        <w:rPr>
          <w:lang w:val="en-US"/>
        </w:rPr>
        <w:t>CD</w:t>
      </w:r>
      <w:r w:rsidRPr="00BA4F0F">
        <w:t>34+ клеток в крови более 20 в 1 мкл., высока вероятность заготовки трансплантата за 1-2 процедуры лейкафкереза.</w:t>
      </w:r>
    </w:p>
    <w:p w14:paraId="61A435AF" w14:textId="77777777" w:rsidR="001F2346" w:rsidRPr="00BA4F0F" w:rsidRDefault="001F2346" w:rsidP="001F2346">
      <w:pPr>
        <w:ind w:firstLine="709"/>
      </w:pPr>
      <w:r w:rsidRPr="00BA4F0F">
        <w:t xml:space="preserve">При обнаружении </w:t>
      </w:r>
      <w:r w:rsidRPr="00BA4F0F">
        <w:rPr>
          <w:lang w:val="en-US"/>
        </w:rPr>
        <w:t>CD</w:t>
      </w:r>
      <w:r w:rsidRPr="00BA4F0F">
        <w:t>34+ клеток в крови в количе</w:t>
      </w:r>
      <w:r w:rsidRPr="00BA4F0F">
        <w:rPr>
          <w:lang w:val="en-US"/>
        </w:rPr>
        <w:t>c</w:t>
      </w:r>
      <w:r w:rsidRPr="00BA4F0F">
        <w:t xml:space="preserve">тве 10-20 в 1 мкл. обычно необходимо 2-4 процедуры лейкафереза. </w:t>
      </w:r>
    </w:p>
    <w:p w14:paraId="73AC6006" w14:textId="77777777" w:rsidR="001F2346" w:rsidRPr="00BA4F0F" w:rsidRDefault="001F2346" w:rsidP="001F2346">
      <w:pPr>
        <w:ind w:firstLine="709"/>
      </w:pPr>
      <w:r w:rsidRPr="00BA4F0F">
        <w:t xml:space="preserve">Если содержание </w:t>
      </w:r>
      <w:r w:rsidRPr="00BA4F0F">
        <w:rPr>
          <w:lang w:val="en-US"/>
        </w:rPr>
        <w:t>CD</w:t>
      </w:r>
      <w:r w:rsidRPr="00BA4F0F">
        <w:t>34+ клеток менее 10 в 1 мкл., желательно воздержаться от сбора клеток в этот день и повторить анализ на следующий день.</w:t>
      </w:r>
    </w:p>
    <w:p w14:paraId="36ECC423" w14:textId="77777777" w:rsidR="001F2346" w:rsidRPr="00BA4F0F" w:rsidRDefault="001F2346" w:rsidP="001F2346">
      <w:pPr>
        <w:ind w:firstLine="709"/>
      </w:pPr>
      <w:r w:rsidRPr="00BA4F0F">
        <w:t xml:space="preserve">При содержании </w:t>
      </w:r>
      <w:r w:rsidRPr="00BA4F0F">
        <w:rPr>
          <w:lang w:val="en-US"/>
        </w:rPr>
        <w:t>CD</w:t>
      </w:r>
      <w:r w:rsidRPr="00BA4F0F">
        <w:t>34+ клеток менее 5 в 1 мкл. необходимо обсудить вопрос об отказе от продолжения мобилизации или же возможности применения плериксафора.</w:t>
      </w:r>
    </w:p>
    <w:p w14:paraId="342D333B" w14:textId="77777777" w:rsidR="001F2346" w:rsidRPr="00BA4F0F" w:rsidRDefault="001F2346" w:rsidP="001F2346">
      <w:pPr>
        <w:ind w:firstLine="709"/>
      </w:pPr>
      <w:r w:rsidRPr="00BA4F0F">
        <w:t>Процедура лейкафереза может осуществлятъся как в автоматическом, так и в полуавтоматическом режиме. При количестве лейкоцитов более 20 ×10</w:t>
      </w:r>
      <w:r w:rsidRPr="00BA4F0F">
        <w:rPr>
          <w:vertAlign w:val="superscript"/>
        </w:rPr>
        <w:t>9</w:t>
      </w:r>
      <w:r w:rsidRPr="00BA4F0F">
        <w:t xml:space="preserve">/л предпочтителен полуавтоматический режим для возможности ручной регулировки границы раздела сред. </w:t>
      </w:r>
    </w:p>
    <w:p w14:paraId="451320F8" w14:textId="77777777" w:rsidR="001F2346" w:rsidRPr="00BA4F0F" w:rsidRDefault="001F2346" w:rsidP="001F2346">
      <w:pPr>
        <w:ind w:firstLine="709"/>
      </w:pPr>
      <w:r w:rsidRPr="00BA4F0F">
        <w:t>Абсолютными противопоказаниями для проведения процедуры лейкафереза являются тяжелые соматические заболевания в стадии декомпенсации, угрожающие жизни состояния.</w:t>
      </w:r>
    </w:p>
    <w:p w14:paraId="09E4AF53" w14:textId="77777777" w:rsidR="001F2346" w:rsidRPr="00BA4F0F" w:rsidRDefault="001F2346" w:rsidP="001F2346">
      <w:pPr>
        <w:ind w:firstLine="709"/>
      </w:pPr>
      <w:r w:rsidRPr="00BA4F0F">
        <w:t>Примерами относительных противопоказаний может быть значимое снижение гемоглобина или тромбоцитов, что компенсируется трансфузионной поддержкой до процедуры. Непосредственно перед процедурой необходимо измерить артериальное давление, оценить общее состояние пациента, ознакомиться с результатами биохимического анализа крови и коагулограммы.</w:t>
      </w:r>
    </w:p>
    <w:p w14:paraId="2526C5D7" w14:textId="77777777" w:rsidR="001F2346" w:rsidRPr="00BA4F0F" w:rsidRDefault="001F2346" w:rsidP="001F2346">
      <w:pPr>
        <w:ind w:firstLine="709"/>
      </w:pPr>
      <w:r w:rsidRPr="00BA4F0F">
        <w:lastRenderedPageBreak/>
        <w:t>Процедура сбора ГСК длится около 3-4 часов. Во время проведения лейкафереза при развитии гипокальцемии (проявляется парестезией губ, языка, кончиков пальцев) необходимо замедлить скорость возврата крови. Для профилактики цитратной реакции рекомендуется введение 10 мл 10% раствора кальция глюконата или 5 мл 10% раствора кальция хлорида на каждые 200 мл цитратного раствора при массе тела пациента &lt; 60 кг или на каждые 400 мл при массе тела &gt; 70 кг.</w:t>
      </w:r>
    </w:p>
    <w:p w14:paraId="5B8095E8" w14:textId="2016CD05" w:rsidR="001F2346" w:rsidRPr="00BA4F0F" w:rsidRDefault="001F2346" w:rsidP="001F2346">
      <w:pPr>
        <w:ind w:firstLine="709"/>
      </w:pPr>
      <w:r w:rsidRPr="00BA4F0F">
        <w:t>Из полученного продукта берут пробу ГСК для определения содержания С</w:t>
      </w:r>
      <w:r w:rsidRPr="00BA4F0F">
        <w:rPr>
          <w:lang w:val="en-US"/>
        </w:rPr>
        <w:t>D</w:t>
      </w:r>
      <w:r w:rsidRPr="00BA4F0F">
        <w:t xml:space="preserve">34+ клеток при помощи проточного цитофлуориметра. Существует множество рекомендуемых схем по подсчету </w:t>
      </w:r>
      <w:r w:rsidRPr="00BA4F0F">
        <w:rPr>
          <w:lang w:val="en-US"/>
        </w:rPr>
        <w:t>CD</w:t>
      </w:r>
      <w:r w:rsidRPr="00BA4F0F">
        <w:t xml:space="preserve">34+ ГСК, наиболее известен </w:t>
      </w:r>
      <w:r w:rsidRPr="00BA4F0F">
        <w:rPr>
          <w:lang w:val="en-US"/>
        </w:rPr>
        <w:t>ISHAGE</w:t>
      </w:r>
      <w:r w:rsidRPr="00BA4F0F">
        <w:t xml:space="preserve">-протокол (International Society of Hematotherapy and Graft Engineering) </w:t>
      </w:r>
      <w:r w:rsidRPr="00BA4F0F">
        <w:fldChar w:fldCharType="begin" w:fldLock="1"/>
      </w:r>
      <w:r w:rsidR="002736BA">
        <w:instrText>ADDIN CSL_CITATION {"citationItems":[{"id":"ITEM-1","itemData":{"DOI":"10.1089/scd.1.1996.5.213","ISSN":"15258165","abstract":"The increased use of Peripheral Blood Stem Cells (PBSC) to reconstitute hematopoiesis in autotransplant and, more recently, allotransplant settings has not been associated with a consensus means to quality control the PBSC product. Since the small population of cells that bear the CD34 antigen are thought to be responsible for multilineage engraftment, graft assessment by flow cytometric quantitation of CD34+ cells should provide a rapid, reliable, and reproducible assay. Unfortunately, although a number of flow cytometric assays for CD34 enumeration have been described, the lack of a standardized method has led to the generation of widely divergent data. Furthermore, none of these assays has been validated as to interlaboratory reproducibility and suitability for widespread clinical application. In early 1995, the International Society of Hematotherapy and Graft Engineering (ISHAGE) established a Stem Cell Enumeration Committee, the mandate of which was to validate a simple, rapid, and sensitive flow cytometric method to quantitate CD34+ cells in peripheral blood and apheresis products. We also sought to establish its utility on a variety of flow cytometers in clinical laboratories and its reproducibility between transplant centers. Here, we describe the four-parameter flow methodology adopted by ISHAGE for validation in a multicenter study in North America.","author":[{"dropping-particle":"","family":"Sutherland","given":"D. Robert","non-dropping-particle":"","parse-names":false,"suffix":""},{"dropping-particle":"","family":"Anderson","given":"Lori","non-dropping-particle":"","parse-names":false,"suffix":""},{"dropping-particle":"","family":"Keeney","given":"Michael","non-dropping-particle":"","parse-names":false,"suffix":""},{"dropping-particle":"","family":"Nayar","given":"Rakash","non-dropping-particle":"","parse-names":false,"suffix":""},{"dropping-particle":"","family":"Chin-Yee","given":"Ian","non-dropping-particle":"","parse-names":false,"suffix":""}],"container-title":"Journal of Hematotherapy and Stem Cell Research","id":"ITEM-1","issue":"3","issued":{"date-parts":[["1996","6"]]},"page":"213-226","publisher":"J Hematother","title":"The ISHAGE guidelines for CD34+ cell determination by flow cytometry","type":"article","volume":"5"},"uris":["http://www.mendeley.com/documents/?uuid=af6aeaab-986b-3c29-a268-8b3298a087ff","http://www.mendeley.com/documents/?uuid=9e9b6059-b96a-40ee-8392-9fa21aa556d8","http://www.mendeley.com/documents/?uuid=396368c5-3715-4315-9d9f-b0f985c72f2e","http://www.mendeley.com/documents/?uuid=832a537d-2a1a-436d-b363-a2a1b60dd4aa","http://www.mendeley.com/documents/?uuid=d76426e4-3e5f-4355-ae7b-509de6e06dd4","http://www.mendeley.com/documents/?uuid=022d11d0-3e2a-46a4-9f7c-deed4443ec90","http://www.mendeley.com/documents/?uuid=3b63824f-4c14-4eba-b990-62e0bcaea90c"]}],"mendeley":{"formattedCitation":"[240]","plainTextFormattedCitation":"[240]","previouslyFormattedCitation":"[240]"},"properties":{"noteIndex":0},"schema":"https://github.com/citation-style-language/schema/raw/master/csl-citation.json"}</w:instrText>
      </w:r>
      <w:r w:rsidRPr="00BA4F0F">
        <w:fldChar w:fldCharType="separate"/>
      </w:r>
      <w:r w:rsidR="006E1ADA" w:rsidRPr="006E1ADA">
        <w:rPr>
          <w:noProof/>
        </w:rPr>
        <w:t>[240]</w:t>
      </w:r>
      <w:r w:rsidRPr="00BA4F0F">
        <w:fldChar w:fldCharType="end"/>
      </w:r>
      <w:r w:rsidRPr="00BA4F0F">
        <w:t xml:space="preserve">. </w:t>
      </w:r>
    </w:p>
    <w:p w14:paraId="6F03C616" w14:textId="77777777" w:rsidR="001F2346" w:rsidRPr="00BA4F0F" w:rsidRDefault="001F2346" w:rsidP="001F2346">
      <w:pPr>
        <w:ind w:firstLine="709"/>
      </w:pPr>
      <w:r w:rsidRPr="00BA4F0F">
        <w:t xml:space="preserve">Таким образом, для успешного сбора ГСК важны своевременное начало первой процедуры лейкафереза и отлаженная лабораторная методика, включающая цитофлуориметрический анализ. </w:t>
      </w:r>
    </w:p>
    <w:p w14:paraId="7ED32DE7" w14:textId="77777777" w:rsidR="001F2346" w:rsidRPr="00BA4F0F" w:rsidRDefault="001F2346" w:rsidP="001F2346">
      <w:pPr>
        <w:pStyle w:val="afe"/>
        <w:ind w:left="0"/>
        <w:rPr>
          <w:rFonts w:cs="Times New Roman"/>
          <w:szCs w:val="24"/>
          <w:u w:val="single"/>
        </w:rPr>
      </w:pPr>
      <w:bookmarkStart w:id="141" w:name="_Toc44926612"/>
    </w:p>
    <w:p w14:paraId="0694F720" w14:textId="77777777" w:rsidR="001F2346" w:rsidRPr="00BA4F0F" w:rsidRDefault="001F2346" w:rsidP="001F2346">
      <w:pPr>
        <w:pStyle w:val="afe"/>
        <w:ind w:left="0"/>
        <w:rPr>
          <w:rFonts w:cs="Times New Roman"/>
          <w:szCs w:val="24"/>
          <w:u w:val="single"/>
        </w:rPr>
      </w:pPr>
      <w:r w:rsidRPr="00BA4F0F">
        <w:rPr>
          <w:rFonts w:cs="Times New Roman"/>
          <w:szCs w:val="24"/>
          <w:u w:val="single"/>
        </w:rPr>
        <w:t>Криоконсервирование трансплантата</w:t>
      </w:r>
      <w:bookmarkEnd w:id="141"/>
    </w:p>
    <w:p w14:paraId="1BD93203" w14:textId="77777777" w:rsidR="001F2346" w:rsidRPr="00BA4F0F" w:rsidRDefault="001F2346" w:rsidP="001F2346">
      <w:pPr>
        <w:ind w:firstLine="709"/>
      </w:pPr>
      <w:r w:rsidRPr="00BA4F0F">
        <w:t xml:space="preserve">Параллельно с подсчетом CD34+ клеток проводится фракционирование полученного продукта лейкафереза. Сначала маркируют полимерный двухкамерный контейнер (первая камера - «плазма», вторая - «гемопоэтические стволовые клетки»), переносят лейкоконцентрат в контейнер для ГСК в асептических условиях и проводят центрифугирование (2000 об/мин) в течение 15 мин. </w:t>
      </w:r>
    </w:p>
    <w:p w14:paraId="76605715" w14:textId="77777777" w:rsidR="001F2346" w:rsidRPr="00BA4F0F" w:rsidRDefault="001F2346" w:rsidP="001F2346">
      <w:pPr>
        <w:ind w:firstLine="709"/>
      </w:pPr>
      <w:r w:rsidRPr="00BA4F0F">
        <w:t xml:space="preserve">Фракционирование проводят в асептических условиях, например, в условиях ламинарного шкафа биологической безопасности </w:t>
      </w:r>
      <w:r w:rsidRPr="00BA4F0F">
        <w:rPr>
          <w:lang w:val="en-US"/>
        </w:rPr>
        <w:t>II</w:t>
      </w:r>
      <w:r w:rsidRPr="00BA4F0F">
        <w:t xml:space="preserve"> класса. Далее осуществляется подсчет </w:t>
      </w:r>
      <w:r w:rsidRPr="00BA4F0F">
        <w:rPr>
          <w:lang w:val="en-US"/>
        </w:rPr>
        <w:t>CD</w:t>
      </w:r>
      <w:r w:rsidRPr="00BA4F0F">
        <w:t>34+ клеток в полученном лейкоконцентрате. Получив долю CD34+ клеток от всех лейкоцитов в лейкоконцентрате, подсчитывают количество CD34+ клеток на 1 кг массы тела пациента.</w:t>
      </w:r>
    </w:p>
    <w:p w14:paraId="68F9B118" w14:textId="77777777" w:rsidR="001F2346" w:rsidRPr="00BA4F0F" w:rsidRDefault="001F2346" w:rsidP="001F2346">
      <w:pPr>
        <w:ind w:firstLine="709"/>
      </w:pPr>
      <w:r w:rsidRPr="00BA4F0F">
        <w:t xml:space="preserve">Процесс криоконсервирования включает несколько этапов. Сначала проводят расчет необходимого количества раствора ДМСО, который нужно добавить к ГСК. Полученный биоматериал с криопротектором переносят в контейнер для криоконсервирования и тщательно удаляют пузыри воздуха. </w:t>
      </w:r>
    </w:p>
    <w:p w14:paraId="4E0BD849" w14:textId="77777777" w:rsidR="001F2346" w:rsidRPr="00BA4F0F" w:rsidRDefault="001F2346" w:rsidP="001F2346">
      <w:pPr>
        <w:ind w:firstLine="709"/>
      </w:pPr>
      <w:r w:rsidRPr="00BA4F0F">
        <w:t xml:space="preserve">Заморозку и хранение биоматериала производят в емкости с парами жидкого азота. </w:t>
      </w:r>
    </w:p>
    <w:p w14:paraId="377537F2" w14:textId="77777777" w:rsidR="001F2346" w:rsidRPr="00BA4F0F" w:rsidRDefault="001F2346" w:rsidP="001F2346">
      <w:pPr>
        <w:rPr>
          <w:b/>
        </w:rPr>
      </w:pPr>
      <w:bookmarkStart w:id="142" w:name="_Toc44926613"/>
    </w:p>
    <w:p w14:paraId="26F00712" w14:textId="77777777" w:rsidR="001F2346" w:rsidRPr="00BA4F0F" w:rsidRDefault="001F2346" w:rsidP="001F2346">
      <w:pPr>
        <w:rPr>
          <w:b/>
        </w:rPr>
      </w:pPr>
      <w:r w:rsidRPr="00BA4F0F">
        <w:rPr>
          <w:b/>
        </w:rPr>
        <w:t>Обследование пациентов перед мобилизацией и сбором ГСК</w:t>
      </w:r>
      <w:bookmarkEnd w:id="142"/>
    </w:p>
    <w:p w14:paraId="614C144E" w14:textId="77777777" w:rsidR="001F2346" w:rsidRPr="00BA4F0F" w:rsidRDefault="001F2346" w:rsidP="001F2346">
      <w:pPr>
        <w:ind w:firstLine="284"/>
      </w:pPr>
      <w:r w:rsidRPr="00BA4F0F">
        <w:t xml:space="preserve">Перед началом мобилизации гемопоэтических стволовых клеток необходимо определить фазу заболевания, оценить соматический статус пациента и состояние </w:t>
      </w:r>
      <w:r w:rsidRPr="00BA4F0F">
        <w:lastRenderedPageBreak/>
        <w:t>кроветворения. Для этого всем пациентам проводится рутинный комплекс обследования, включающий как лабораторные, так и инструментальные методы.</w:t>
      </w:r>
    </w:p>
    <w:p w14:paraId="3EB3DB36" w14:textId="77777777" w:rsidR="001F2346" w:rsidRPr="00BA4F0F" w:rsidRDefault="001F2346" w:rsidP="001F2346">
      <w:pPr>
        <w:pStyle w:val="afe"/>
        <w:ind w:left="0"/>
        <w:rPr>
          <w:rFonts w:cs="Times New Roman"/>
          <w:szCs w:val="24"/>
          <w:u w:val="single"/>
        </w:rPr>
      </w:pPr>
      <w:bookmarkStart w:id="143" w:name="_Toc44926614"/>
    </w:p>
    <w:p w14:paraId="14ED8F85" w14:textId="77777777" w:rsidR="001F2346" w:rsidRPr="00BA4F0F" w:rsidRDefault="001F2346" w:rsidP="001F2346">
      <w:pPr>
        <w:pStyle w:val="afe"/>
        <w:ind w:left="0"/>
        <w:rPr>
          <w:rFonts w:cs="Times New Roman"/>
          <w:szCs w:val="24"/>
          <w:u w:val="single"/>
        </w:rPr>
      </w:pPr>
      <w:r w:rsidRPr="00BA4F0F">
        <w:rPr>
          <w:rFonts w:cs="Times New Roman"/>
          <w:szCs w:val="24"/>
          <w:u w:val="single"/>
        </w:rPr>
        <w:t>Общие методы обследования</w:t>
      </w:r>
      <w:bookmarkEnd w:id="143"/>
    </w:p>
    <w:p w14:paraId="78A7A02E" w14:textId="77777777" w:rsidR="001F2346" w:rsidRPr="00BA4F0F" w:rsidRDefault="001F2346" w:rsidP="001F2346">
      <w:pPr>
        <w:pStyle w:val="Numlist"/>
        <w:numPr>
          <w:ilvl w:val="0"/>
          <w:numId w:val="179"/>
        </w:numPr>
        <w:tabs>
          <w:tab w:val="left" w:pos="284"/>
        </w:tabs>
        <w:autoSpaceDE w:val="0"/>
        <w:autoSpaceDN w:val="0"/>
        <w:adjustRightInd w:val="0"/>
        <w:spacing w:line="360" w:lineRule="auto"/>
        <w:ind w:left="0" w:firstLine="284"/>
        <w:jc w:val="both"/>
      </w:pPr>
      <w:r w:rsidRPr="00BA4F0F">
        <w:t>Развернутый анализ крови.</w:t>
      </w:r>
    </w:p>
    <w:p w14:paraId="51B8EDC2" w14:textId="77777777" w:rsidR="001F2346" w:rsidRPr="00BA4F0F" w:rsidRDefault="001F2346" w:rsidP="001F2346">
      <w:pPr>
        <w:pStyle w:val="Numlist"/>
        <w:numPr>
          <w:ilvl w:val="0"/>
          <w:numId w:val="179"/>
        </w:numPr>
        <w:tabs>
          <w:tab w:val="left" w:pos="284"/>
        </w:tabs>
        <w:autoSpaceDE w:val="0"/>
        <w:autoSpaceDN w:val="0"/>
        <w:adjustRightInd w:val="0"/>
        <w:spacing w:line="360" w:lineRule="auto"/>
        <w:ind w:left="0" w:firstLine="284"/>
        <w:jc w:val="both"/>
      </w:pPr>
      <w:r w:rsidRPr="00BA4F0F">
        <w:t>Биохимический анализ крови с обязательным определением: уровней общего белка, альбумина, креатинина, мочевой кислоты, калия, кальция, активности ЛДГ.</w:t>
      </w:r>
    </w:p>
    <w:p w14:paraId="3E861ECB" w14:textId="77777777" w:rsidR="001F2346" w:rsidRPr="00BA4F0F" w:rsidRDefault="001F2346" w:rsidP="001F2346">
      <w:pPr>
        <w:pStyle w:val="Numlist"/>
        <w:numPr>
          <w:ilvl w:val="0"/>
          <w:numId w:val="179"/>
        </w:numPr>
        <w:tabs>
          <w:tab w:val="left" w:pos="284"/>
        </w:tabs>
        <w:autoSpaceDE w:val="0"/>
        <w:autoSpaceDN w:val="0"/>
        <w:adjustRightInd w:val="0"/>
        <w:spacing w:line="360" w:lineRule="auto"/>
        <w:ind w:left="0" w:firstLine="284"/>
        <w:jc w:val="both"/>
      </w:pPr>
      <w:r w:rsidRPr="00BA4F0F">
        <w:t>Общий анализ мочи.</w:t>
      </w:r>
    </w:p>
    <w:p w14:paraId="3A581A21" w14:textId="77777777" w:rsidR="001F2346" w:rsidRPr="00BA4F0F" w:rsidRDefault="001F2346" w:rsidP="001F2346">
      <w:pPr>
        <w:pStyle w:val="Numlist"/>
        <w:numPr>
          <w:ilvl w:val="0"/>
          <w:numId w:val="179"/>
        </w:numPr>
        <w:tabs>
          <w:tab w:val="left" w:pos="284"/>
        </w:tabs>
        <w:autoSpaceDE w:val="0"/>
        <w:autoSpaceDN w:val="0"/>
        <w:adjustRightInd w:val="0"/>
        <w:spacing w:line="360" w:lineRule="auto"/>
        <w:ind w:left="0" w:firstLine="284"/>
        <w:jc w:val="both"/>
      </w:pPr>
      <w:r w:rsidRPr="00BA4F0F">
        <w:t>Глюкоза крови.</w:t>
      </w:r>
    </w:p>
    <w:p w14:paraId="60EF294C" w14:textId="77777777" w:rsidR="001F2346" w:rsidRPr="00BA4F0F" w:rsidRDefault="001F2346" w:rsidP="001F2346">
      <w:pPr>
        <w:pStyle w:val="Numlist"/>
        <w:numPr>
          <w:ilvl w:val="0"/>
          <w:numId w:val="179"/>
        </w:numPr>
        <w:tabs>
          <w:tab w:val="left" w:pos="284"/>
        </w:tabs>
        <w:autoSpaceDE w:val="0"/>
        <w:autoSpaceDN w:val="0"/>
        <w:adjustRightInd w:val="0"/>
        <w:spacing w:line="360" w:lineRule="auto"/>
        <w:ind w:left="0" w:firstLine="284"/>
        <w:jc w:val="both"/>
      </w:pPr>
      <w:r w:rsidRPr="00BA4F0F">
        <w:t>Определение скорости клубочковой фильтрации.</w:t>
      </w:r>
    </w:p>
    <w:p w14:paraId="5210231F" w14:textId="77777777" w:rsidR="001F2346" w:rsidRPr="00BA4F0F" w:rsidRDefault="001F2346" w:rsidP="001F2346">
      <w:pPr>
        <w:pStyle w:val="Numlist"/>
        <w:numPr>
          <w:ilvl w:val="0"/>
          <w:numId w:val="179"/>
        </w:numPr>
        <w:tabs>
          <w:tab w:val="left" w:pos="284"/>
        </w:tabs>
        <w:autoSpaceDE w:val="0"/>
        <w:autoSpaceDN w:val="0"/>
        <w:adjustRightInd w:val="0"/>
        <w:spacing w:line="360" w:lineRule="auto"/>
        <w:ind w:left="0" w:firstLine="284"/>
        <w:jc w:val="both"/>
      </w:pPr>
      <w:r w:rsidRPr="00BA4F0F">
        <w:t>Коагулограмма (протромбин, международное нормализованное отношение, активированное частичное тромбопластиновое время, фибриноген, тромбиновое время, антитромбин III, плазминоген).</w:t>
      </w:r>
    </w:p>
    <w:p w14:paraId="50204649" w14:textId="77777777" w:rsidR="001F2346" w:rsidRPr="00BA4F0F" w:rsidRDefault="001F2346" w:rsidP="001F2346">
      <w:pPr>
        <w:pStyle w:val="Numlist"/>
        <w:numPr>
          <w:ilvl w:val="0"/>
          <w:numId w:val="179"/>
        </w:numPr>
        <w:tabs>
          <w:tab w:val="left" w:pos="284"/>
        </w:tabs>
        <w:autoSpaceDE w:val="0"/>
        <w:autoSpaceDN w:val="0"/>
        <w:adjustRightInd w:val="0"/>
        <w:spacing w:line="360" w:lineRule="auto"/>
        <w:ind w:left="0" w:firstLine="284"/>
        <w:jc w:val="both"/>
      </w:pPr>
      <w:r w:rsidRPr="00BA4F0F">
        <w:t>Пункция костного мозга с подсчетом миелограммы.</w:t>
      </w:r>
    </w:p>
    <w:p w14:paraId="01353930" w14:textId="77777777" w:rsidR="001F2346" w:rsidRPr="00BA4F0F" w:rsidRDefault="001F2346" w:rsidP="001F2346">
      <w:pPr>
        <w:pStyle w:val="Numlist"/>
        <w:numPr>
          <w:ilvl w:val="0"/>
          <w:numId w:val="179"/>
        </w:numPr>
        <w:tabs>
          <w:tab w:val="left" w:pos="284"/>
        </w:tabs>
        <w:autoSpaceDE w:val="0"/>
        <w:autoSpaceDN w:val="0"/>
        <w:adjustRightInd w:val="0"/>
        <w:spacing w:line="360" w:lineRule="auto"/>
        <w:ind w:left="0" w:firstLine="284"/>
        <w:jc w:val="both"/>
      </w:pPr>
      <w:r w:rsidRPr="00BA4F0F">
        <w:t>Гистологическое исследование биопсийного материала костного мозга для оценки состояния кроветворения.</w:t>
      </w:r>
    </w:p>
    <w:p w14:paraId="71DF91AB" w14:textId="77777777" w:rsidR="001F2346" w:rsidRPr="00BA4F0F" w:rsidRDefault="001F2346" w:rsidP="001F2346">
      <w:pPr>
        <w:pStyle w:val="Numlist"/>
        <w:numPr>
          <w:ilvl w:val="0"/>
          <w:numId w:val="179"/>
        </w:numPr>
        <w:tabs>
          <w:tab w:val="left" w:pos="284"/>
        </w:tabs>
        <w:autoSpaceDE w:val="0"/>
        <w:autoSpaceDN w:val="0"/>
        <w:adjustRightInd w:val="0"/>
        <w:spacing w:line="360" w:lineRule="auto"/>
        <w:ind w:left="0" w:firstLine="284"/>
        <w:jc w:val="both"/>
      </w:pPr>
      <w:r w:rsidRPr="00BA4F0F">
        <w:t>Гистологическое исследование биопсийного материала костного мозга с применением иммуногистохимических методов для оценки состояния кроветворения и инфильтрации костного мозга опухолевыми клетками.</w:t>
      </w:r>
    </w:p>
    <w:p w14:paraId="28E445E9" w14:textId="77777777" w:rsidR="001F2346" w:rsidRPr="00BA4F0F" w:rsidRDefault="001F2346" w:rsidP="001F2346">
      <w:pPr>
        <w:pStyle w:val="Numlist"/>
        <w:numPr>
          <w:ilvl w:val="0"/>
          <w:numId w:val="179"/>
        </w:numPr>
        <w:tabs>
          <w:tab w:val="left" w:pos="284"/>
        </w:tabs>
        <w:autoSpaceDE w:val="0"/>
        <w:autoSpaceDN w:val="0"/>
        <w:adjustRightInd w:val="0"/>
        <w:spacing w:line="360" w:lineRule="auto"/>
        <w:ind w:left="0" w:firstLine="284"/>
        <w:jc w:val="both"/>
      </w:pPr>
      <w:r w:rsidRPr="00BA4F0F">
        <w:t>Иммунофенотипическое исследование костного мозга методом проточной цитометрии для определения маркеров минимальной остаточной болезни.</w:t>
      </w:r>
    </w:p>
    <w:p w14:paraId="585AB32A" w14:textId="77777777" w:rsidR="001F2346" w:rsidRPr="00BA4F0F" w:rsidRDefault="001F2346" w:rsidP="001F2346">
      <w:pPr>
        <w:pStyle w:val="Numlist"/>
        <w:numPr>
          <w:ilvl w:val="0"/>
          <w:numId w:val="179"/>
        </w:numPr>
        <w:tabs>
          <w:tab w:val="left" w:pos="284"/>
        </w:tabs>
        <w:autoSpaceDE w:val="0"/>
        <w:autoSpaceDN w:val="0"/>
        <w:adjustRightInd w:val="0"/>
        <w:spacing w:line="360" w:lineRule="auto"/>
        <w:ind w:left="0" w:firstLine="284"/>
        <w:jc w:val="both"/>
      </w:pPr>
      <w:r w:rsidRPr="00BA4F0F">
        <w:t>Определение группы крови (</w:t>
      </w:r>
      <w:r w:rsidRPr="00BA4F0F">
        <w:rPr>
          <w:lang w:val="en-US"/>
        </w:rPr>
        <w:t>ABO</w:t>
      </w:r>
      <w:r w:rsidRPr="00BA4F0F">
        <w:t>, Резус, фенотип по антигенам C, c, E, e, Cw, K, k, а также определение антиэритроцитарных антител).</w:t>
      </w:r>
    </w:p>
    <w:p w14:paraId="2A9842F4" w14:textId="77777777" w:rsidR="001F2346" w:rsidRPr="00BA4F0F" w:rsidRDefault="001F2346" w:rsidP="001F2346">
      <w:pPr>
        <w:pStyle w:val="Numlist"/>
        <w:numPr>
          <w:ilvl w:val="0"/>
          <w:numId w:val="179"/>
        </w:numPr>
        <w:tabs>
          <w:tab w:val="left" w:pos="284"/>
        </w:tabs>
        <w:autoSpaceDE w:val="0"/>
        <w:autoSpaceDN w:val="0"/>
        <w:adjustRightInd w:val="0"/>
        <w:spacing w:line="360" w:lineRule="auto"/>
        <w:ind w:left="0" w:firstLine="284"/>
        <w:jc w:val="both"/>
      </w:pPr>
      <w:r w:rsidRPr="00BA4F0F">
        <w:t>Исследование на маркеры вирусов гепатитов</w:t>
      </w:r>
      <w:r w:rsidRPr="00BA4F0F">
        <w:rPr>
          <w:lang w:val="en-US"/>
        </w:rPr>
        <w:t> B</w:t>
      </w:r>
      <w:r w:rsidRPr="00BA4F0F">
        <w:t xml:space="preserve"> и </w:t>
      </w:r>
      <w:r w:rsidRPr="00BA4F0F">
        <w:rPr>
          <w:lang w:val="en-US"/>
        </w:rPr>
        <w:t>C</w:t>
      </w:r>
      <w:r w:rsidRPr="00BA4F0F">
        <w:t xml:space="preserve">, ВИЧ, </w:t>
      </w:r>
      <w:r w:rsidRPr="00BA4F0F">
        <w:rPr>
          <w:lang w:val="en-US"/>
        </w:rPr>
        <w:t>RW</w:t>
      </w:r>
      <w:r w:rsidRPr="00BA4F0F">
        <w:t>.</w:t>
      </w:r>
    </w:p>
    <w:p w14:paraId="2E4D4550" w14:textId="77777777" w:rsidR="001F2346" w:rsidRPr="00BA4F0F" w:rsidRDefault="001F2346" w:rsidP="001F2346">
      <w:pPr>
        <w:pStyle w:val="Numlist"/>
        <w:numPr>
          <w:ilvl w:val="0"/>
          <w:numId w:val="179"/>
        </w:numPr>
        <w:tabs>
          <w:tab w:val="left" w:pos="284"/>
        </w:tabs>
        <w:autoSpaceDE w:val="0"/>
        <w:autoSpaceDN w:val="0"/>
        <w:adjustRightInd w:val="0"/>
        <w:spacing w:line="360" w:lineRule="auto"/>
        <w:ind w:left="0" w:firstLine="284"/>
        <w:jc w:val="both"/>
      </w:pPr>
      <w:r w:rsidRPr="00BA4F0F">
        <w:t>Электрокардиограмма.</w:t>
      </w:r>
    </w:p>
    <w:p w14:paraId="6568CA27" w14:textId="77777777" w:rsidR="001F2346" w:rsidRPr="00BA4F0F" w:rsidRDefault="001F2346" w:rsidP="001F2346">
      <w:pPr>
        <w:pStyle w:val="Numlist"/>
        <w:numPr>
          <w:ilvl w:val="0"/>
          <w:numId w:val="179"/>
        </w:numPr>
        <w:tabs>
          <w:tab w:val="left" w:pos="284"/>
        </w:tabs>
        <w:autoSpaceDE w:val="0"/>
        <w:autoSpaceDN w:val="0"/>
        <w:adjustRightInd w:val="0"/>
        <w:spacing w:line="360" w:lineRule="auto"/>
        <w:ind w:left="0" w:firstLine="284"/>
        <w:jc w:val="both"/>
      </w:pPr>
      <w:r w:rsidRPr="00BA4F0F">
        <w:t>Эхокардиография.</w:t>
      </w:r>
    </w:p>
    <w:p w14:paraId="00202DF0" w14:textId="77777777" w:rsidR="001F2346" w:rsidRPr="00BA4F0F" w:rsidRDefault="001F2346" w:rsidP="001F2346">
      <w:pPr>
        <w:pStyle w:val="Numlist"/>
        <w:numPr>
          <w:ilvl w:val="0"/>
          <w:numId w:val="179"/>
        </w:numPr>
        <w:tabs>
          <w:tab w:val="left" w:pos="284"/>
        </w:tabs>
        <w:autoSpaceDE w:val="0"/>
        <w:autoSpaceDN w:val="0"/>
        <w:adjustRightInd w:val="0"/>
        <w:spacing w:line="360" w:lineRule="auto"/>
        <w:ind w:left="0" w:firstLine="284"/>
        <w:jc w:val="both"/>
      </w:pPr>
      <w:r w:rsidRPr="00BA4F0F">
        <w:t>Холтеровское мониторирование сердечного ритма – при выявлении нарушений ритма и проводимости на ЭКГ.</w:t>
      </w:r>
    </w:p>
    <w:p w14:paraId="6D8EF5A6" w14:textId="77777777" w:rsidR="001F2346" w:rsidRPr="00BA4F0F" w:rsidRDefault="001F2346" w:rsidP="001F2346">
      <w:pPr>
        <w:pStyle w:val="Numlist"/>
        <w:numPr>
          <w:ilvl w:val="0"/>
          <w:numId w:val="179"/>
        </w:numPr>
        <w:tabs>
          <w:tab w:val="left" w:pos="284"/>
        </w:tabs>
        <w:autoSpaceDE w:val="0"/>
        <w:autoSpaceDN w:val="0"/>
        <w:adjustRightInd w:val="0"/>
        <w:spacing w:line="360" w:lineRule="auto"/>
        <w:ind w:left="0" w:firstLine="284"/>
        <w:jc w:val="both"/>
      </w:pPr>
      <w:r w:rsidRPr="00BA4F0F">
        <w:t>УЗИ брюшной полости (комплексное).</w:t>
      </w:r>
    </w:p>
    <w:p w14:paraId="2072DA9E" w14:textId="77777777" w:rsidR="001F2346" w:rsidRPr="00BA4F0F" w:rsidRDefault="001F2346" w:rsidP="001F2346">
      <w:pPr>
        <w:pStyle w:val="Numlist"/>
        <w:numPr>
          <w:ilvl w:val="0"/>
          <w:numId w:val="179"/>
        </w:numPr>
        <w:tabs>
          <w:tab w:val="left" w:pos="284"/>
        </w:tabs>
        <w:autoSpaceDE w:val="0"/>
        <w:autoSpaceDN w:val="0"/>
        <w:adjustRightInd w:val="0"/>
        <w:spacing w:line="360" w:lineRule="auto"/>
        <w:ind w:left="0" w:firstLine="284"/>
        <w:jc w:val="both"/>
      </w:pPr>
      <w:r w:rsidRPr="00BA4F0F">
        <w:t>Ультразвуковая допплерография сосудов (артерий и вен) нижних конечностей - при необходимости.</w:t>
      </w:r>
    </w:p>
    <w:p w14:paraId="7139A441" w14:textId="77777777" w:rsidR="001F2346" w:rsidRPr="00BA4F0F" w:rsidRDefault="001F2346" w:rsidP="001F2346">
      <w:pPr>
        <w:pStyle w:val="Numlist"/>
        <w:numPr>
          <w:ilvl w:val="0"/>
          <w:numId w:val="179"/>
        </w:numPr>
        <w:tabs>
          <w:tab w:val="left" w:pos="284"/>
        </w:tabs>
        <w:autoSpaceDE w:val="0"/>
        <w:autoSpaceDN w:val="0"/>
        <w:adjustRightInd w:val="0"/>
        <w:spacing w:line="360" w:lineRule="auto"/>
        <w:ind w:left="0" w:firstLine="284"/>
        <w:jc w:val="both"/>
      </w:pPr>
      <w:r w:rsidRPr="00BA4F0F">
        <w:t>Эзофагогастродуоденоскопия с биопсией – при наличии диспепсических расстройств или язвенной болезни желудка/ двенадцатиперстной кишки в анамнезе.</w:t>
      </w:r>
    </w:p>
    <w:p w14:paraId="4B5F4F0B" w14:textId="77777777" w:rsidR="001F2346" w:rsidRPr="00BA4F0F" w:rsidRDefault="001F2346" w:rsidP="001F2346">
      <w:pPr>
        <w:pStyle w:val="Numlist"/>
        <w:numPr>
          <w:ilvl w:val="0"/>
          <w:numId w:val="179"/>
        </w:numPr>
        <w:tabs>
          <w:tab w:val="left" w:pos="284"/>
        </w:tabs>
        <w:autoSpaceDE w:val="0"/>
        <w:autoSpaceDN w:val="0"/>
        <w:adjustRightInd w:val="0"/>
        <w:spacing w:line="360" w:lineRule="auto"/>
        <w:ind w:left="0" w:firstLine="284"/>
        <w:jc w:val="both"/>
      </w:pPr>
      <w:r w:rsidRPr="00BA4F0F">
        <w:t>МРТ головного мозга.</w:t>
      </w:r>
    </w:p>
    <w:p w14:paraId="22683589" w14:textId="77777777" w:rsidR="001F2346" w:rsidRPr="00BA4F0F" w:rsidRDefault="001F2346" w:rsidP="001F2346">
      <w:pPr>
        <w:pStyle w:val="Numlist"/>
        <w:numPr>
          <w:ilvl w:val="0"/>
          <w:numId w:val="179"/>
        </w:numPr>
        <w:tabs>
          <w:tab w:val="left" w:pos="284"/>
        </w:tabs>
        <w:autoSpaceDE w:val="0"/>
        <w:autoSpaceDN w:val="0"/>
        <w:adjustRightInd w:val="0"/>
        <w:spacing w:line="360" w:lineRule="auto"/>
        <w:ind w:left="0" w:firstLine="284"/>
        <w:jc w:val="both"/>
      </w:pPr>
      <w:r w:rsidRPr="00BA4F0F">
        <w:t>КТ органов грудной полости.</w:t>
      </w:r>
    </w:p>
    <w:p w14:paraId="12DA88C3" w14:textId="77777777" w:rsidR="001F2346" w:rsidRPr="00BA4F0F" w:rsidRDefault="001F2346" w:rsidP="001F2346">
      <w:pPr>
        <w:pStyle w:val="Numlist"/>
        <w:numPr>
          <w:ilvl w:val="0"/>
          <w:numId w:val="179"/>
        </w:numPr>
        <w:tabs>
          <w:tab w:val="left" w:pos="284"/>
        </w:tabs>
        <w:autoSpaceDE w:val="0"/>
        <w:autoSpaceDN w:val="0"/>
        <w:adjustRightInd w:val="0"/>
        <w:spacing w:line="360" w:lineRule="auto"/>
        <w:ind w:left="0" w:firstLine="284"/>
        <w:jc w:val="both"/>
      </w:pPr>
      <w:r w:rsidRPr="00BA4F0F">
        <w:lastRenderedPageBreak/>
        <w:t>Люмбальная пункция с последующим цитологическим, комплексным иммунохимическим и иммунофенотипическим исследованием ликвора при подозрении на вовлечение в патологический процесс центральной нервной системы.</w:t>
      </w:r>
    </w:p>
    <w:p w14:paraId="64BD58F6" w14:textId="77777777" w:rsidR="001F2346" w:rsidRPr="00BA4F0F" w:rsidRDefault="001F2346" w:rsidP="001F2346">
      <w:pPr>
        <w:pStyle w:val="Numlist"/>
        <w:numPr>
          <w:ilvl w:val="0"/>
          <w:numId w:val="179"/>
        </w:numPr>
        <w:tabs>
          <w:tab w:val="left" w:pos="284"/>
        </w:tabs>
        <w:autoSpaceDE w:val="0"/>
        <w:autoSpaceDN w:val="0"/>
        <w:adjustRightInd w:val="0"/>
        <w:spacing w:line="360" w:lineRule="auto"/>
        <w:ind w:left="0" w:firstLine="284"/>
        <w:jc w:val="both"/>
      </w:pPr>
      <w:r w:rsidRPr="00BA4F0F">
        <w:t>Осмотр гинеколога и УЗИ органов малого таза - для женщин.</w:t>
      </w:r>
    </w:p>
    <w:p w14:paraId="4F0AB114" w14:textId="22F03E92" w:rsidR="001F2346" w:rsidRPr="00BA4F0F" w:rsidRDefault="001F2346" w:rsidP="001F2346">
      <w:pPr>
        <w:pStyle w:val="afe"/>
        <w:ind w:left="0"/>
        <w:rPr>
          <w:rFonts w:cs="Times New Roman"/>
          <w:szCs w:val="24"/>
          <w:u w:val="single"/>
        </w:rPr>
      </w:pPr>
      <w:bookmarkStart w:id="144" w:name="_Toc44926615"/>
    </w:p>
    <w:p w14:paraId="683832B1" w14:textId="77777777" w:rsidR="001F2346" w:rsidRPr="00BA4F0F" w:rsidRDefault="001F2346" w:rsidP="001F2346">
      <w:pPr>
        <w:pStyle w:val="afe"/>
        <w:ind w:left="0"/>
        <w:rPr>
          <w:rFonts w:cs="Times New Roman"/>
          <w:szCs w:val="24"/>
          <w:u w:val="single"/>
        </w:rPr>
      </w:pPr>
      <w:r w:rsidRPr="00BA4F0F">
        <w:rPr>
          <w:rFonts w:cs="Times New Roman"/>
          <w:szCs w:val="24"/>
          <w:u w:val="single"/>
        </w:rPr>
        <w:t>Специальные методы обследования при различных вариантах гемобластозов</w:t>
      </w:r>
      <w:bookmarkEnd w:id="144"/>
    </w:p>
    <w:p w14:paraId="5D0A8C38" w14:textId="77777777" w:rsidR="001F2346" w:rsidRPr="00BA4F0F" w:rsidRDefault="001F2346" w:rsidP="001F2346">
      <w:pPr>
        <w:rPr>
          <w:b/>
          <w:i/>
          <w:lang w:val="en-US"/>
        </w:rPr>
      </w:pPr>
      <w:r w:rsidRPr="000638F3">
        <w:rPr>
          <w:b/>
          <w:i/>
          <w:lang w:val="en-US"/>
        </w:rPr>
        <w:t>Лимфопролиферативные заболевания</w:t>
      </w:r>
      <w:r w:rsidRPr="00BA4F0F">
        <w:rPr>
          <w:b/>
          <w:i/>
          <w:lang w:val="en-US"/>
        </w:rPr>
        <w:t xml:space="preserve"> </w:t>
      </w:r>
    </w:p>
    <w:p w14:paraId="78B225DE" w14:textId="77777777" w:rsidR="001F2346" w:rsidRPr="00BA4F0F" w:rsidRDefault="001F2346" w:rsidP="00DC0931">
      <w:pPr>
        <w:pStyle w:val="Numlist"/>
        <w:numPr>
          <w:ilvl w:val="0"/>
          <w:numId w:val="180"/>
        </w:numPr>
        <w:tabs>
          <w:tab w:val="left" w:pos="284"/>
        </w:tabs>
        <w:autoSpaceDE w:val="0"/>
        <w:autoSpaceDN w:val="0"/>
        <w:adjustRightInd w:val="0"/>
        <w:spacing w:line="360" w:lineRule="auto"/>
        <w:ind w:left="0" w:firstLine="284"/>
        <w:jc w:val="both"/>
      </w:pPr>
      <w:r w:rsidRPr="00BA4F0F">
        <w:t>Позитронно-эмиссионная томография, совмещенная с КТ.</w:t>
      </w:r>
    </w:p>
    <w:p w14:paraId="6563BA92" w14:textId="77777777" w:rsidR="001F2346" w:rsidRPr="00BA4F0F" w:rsidRDefault="001F2346" w:rsidP="00DC0931">
      <w:pPr>
        <w:pStyle w:val="Numlist"/>
        <w:numPr>
          <w:ilvl w:val="0"/>
          <w:numId w:val="180"/>
        </w:numPr>
        <w:tabs>
          <w:tab w:val="left" w:pos="284"/>
        </w:tabs>
        <w:autoSpaceDE w:val="0"/>
        <w:autoSpaceDN w:val="0"/>
        <w:adjustRightInd w:val="0"/>
        <w:spacing w:line="360" w:lineRule="auto"/>
        <w:ind w:left="0" w:firstLine="284"/>
        <w:jc w:val="both"/>
      </w:pPr>
      <w:r w:rsidRPr="00BA4F0F">
        <w:t>Исследование клональности (В/Т в зависимости от варианта заболевания) в периферической крови, костном мозге методом полимеразной цепной реакции.</w:t>
      </w:r>
    </w:p>
    <w:p w14:paraId="3DF955DF" w14:textId="77777777" w:rsidR="001F2346" w:rsidRPr="00BA4F0F" w:rsidRDefault="001F2346" w:rsidP="00DC0931">
      <w:pPr>
        <w:pStyle w:val="Numlist"/>
        <w:numPr>
          <w:ilvl w:val="0"/>
          <w:numId w:val="180"/>
        </w:numPr>
        <w:tabs>
          <w:tab w:val="left" w:pos="284"/>
        </w:tabs>
        <w:autoSpaceDE w:val="0"/>
        <w:autoSpaceDN w:val="0"/>
        <w:adjustRightInd w:val="0"/>
        <w:spacing w:line="360" w:lineRule="auto"/>
        <w:ind w:left="0" w:firstLine="284"/>
        <w:jc w:val="both"/>
      </w:pPr>
      <w:r w:rsidRPr="00BA4F0F">
        <w:t>Определение уровня поликлональных иммуноглобулинов (A, G,M).</w:t>
      </w:r>
    </w:p>
    <w:p w14:paraId="216015E5" w14:textId="77777777" w:rsidR="001F2346" w:rsidRPr="00BA4F0F" w:rsidRDefault="001F2346" w:rsidP="00DC0931">
      <w:pPr>
        <w:pStyle w:val="Numlist"/>
        <w:numPr>
          <w:ilvl w:val="0"/>
          <w:numId w:val="180"/>
        </w:numPr>
        <w:tabs>
          <w:tab w:val="left" w:pos="284"/>
        </w:tabs>
        <w:autoSpaceDE w:val="0"/>
        <w:autoSpaceDN w:val="0"/>
        <w:adjustRightInd w:val="0"/>
        <w:spacing w:line="360" w:lineRule="auto"/>
        <w:ind w:left="0" w:firstLine="284"/>
        <w:jc w:val="both"/>
      </w:pPr>
      <w:r w:rsidRPr="00BA4F0F">
        <w:t>КТ органов грудной полости с контрастированием при первичном вовлечении средостения.</w:t>
      </w:r>
    </w:p>
    <w:p w14:paraId="7E34A969" w14:textId="77777777" w:rsidR="001F2346" w:rsidRPr="00BA4F0F" w:rsidRDefault="001F2346" w:rsidP="00DC0931">
      <w:pPr>
        <w:pStyle w:val="Numlist"/>
        <w:numPr>
          <w:ilvl w:val="0"/>
          <w:numId w:val="180"/>
        </w:numPr>
        <w:tabs>
          <w:tab w:val="left" w:pos="284"/>
        </w:tabs>
        <w:autoSpaceDE w:val="0"/>
        <w:autoSpaceDN w:val="0"/>
        <w:adjustRightInd w:val="0"/>
        <w:spacing w:line="360" w:lineRule="auto"/>
        <w:ind w:left="0" w:firstLine="284"/>
        <w:jc w:val="both"/>
      </w:pPr>
      <w:r w:rsidRPr="00BA4F0F">
        <w:t>УЗИ периферических лимфоузлов.</w:t>
      </w:r>
    </w:p>
    <w:p w14:paraId="45541C54" w14:textId="77777777" w:rsidR="001F2346" w:rsidRPr="00BA4F0F" w:rsidRDefault="001F2346" w:rsidP="00DC0931">
      <w:pPr>
        <w:pStyle w:val="Numlist"/>
        <w:numPr>
          <w:ilvl w:val="0"/>
          <w:numId w:val="180"/>
        </w:numPr>
        <w:tabs>
          <w:tab w:val="left" w:pos="284"/>
        </w:tabs>
        <w:autoSpaceDE w:val="0"/>
        <w:autoSpaceDN w:val="0"/>
        <w:adjustRightInd w:val="0"/>
        <w:spacing w:line="360" w:lineRule="auto"/>
        <w:ind w:left="0" w:firstLine="284"/>
        <w:jc w:val="both"/>
      </w:pPr>
      <w:r w:rsidRPr="00BA4F0F">
        <w:t>Активность лактатдегидрогеназы.</w:t>
      </w:r>
    </w:p>
    <w:p w14:paraId="46CF8DAB" w14:textId="77777777" w:rsidR="001F2346" w:rsidRPr="00BA4F0F" w:rsidRDefault="001F2346" w:rsidP="00DC0931">
      <w:pPr>
        <w:pStyle w:val="Numlist"/>
        <w:numPr>
          <w:ilvl w:val="0"/>
          <w:numId w:val="180"/>
        </w:numPr>
        <w:tabs>
          <w:tab w:val="left" w:pos="284"/>
        </w:tabs>
        <w:autoSpaceDE w:val="0"/>
        <w:autoSpaceDN w:val="0"/>
        <w:adjustRightInd w:val="0"/>
        <w:spacing w:line="360" w:lineRule="auto"/>
        <w:ind w:left="0" w:firstLine="284"/>
        <w:jc w:val="both"/>
      </w:pPr>
      <w:r w:rsidRPr="00BA4F0F">
        <w:t>КТ грудной полости/ брюшной полости/ таза – для оценки противоопухолевого ответа при отсутствии возможности выполнить ПЭТ/КТ или наличии противопоказаний.</w:t>
      </w:r>
    </w:p>
    <w:p w14:paraId="237ABA15" w14:textId="77777777" w:rsidR="001F2346" w:rsidRPr="00BA4F0F" w:rsidRDefault="001F2346" w:rsidP="001F2346">
      <w:pPr>
        <w:ind w:firstLine="284"/>
        <w:rPr>
          <w:b/>
        </w:rPr>
      </w:pPr>
    </w:p>
    <w:p w14:paraId="58ECBEF5" w14:textId="77777777" w:rsidR="001F2346" w:rsidRPr="000638F3" w:rsidRDefault="001F2346" w:rsidP="001F2346">
      <w:pPr>
        <w:rPr>
          <w:b/>
          <w:i/>
        </w:rPr>
      </w:pPr>
      <w:r w:rsidRPr="000638F3">
        <w:rPr>
          <w:b/>
          <w:i/>
        </w:rPr>
        <w:t>Первичная лимфома центральной нервной системы</w:t>
      </w:r>
    </w:p>
    <w:p w14:paraId="0D66B39E" w14:textId="77777777" w:rsidR="001F2346" w:rsidRPr="00BA4F0F" w:rsidRDefault="001F2346" w:rsidP="00DC0931">
      <w:pPr>
        <w:pStyle w:val="Numlist"/>
        <w:numPr>
          <w:ilvl w:val="0"/>
          <w:numId w:val="278"/>
        </w:numPr>
        <w:tabs>
          <w:tab w:val="left" w:pos="709"/>
        </w:tabs>
        <w:autoSpaceDE w:val="0"/>
        <w:autoSpaceDN w:val="0"/>
        <w:adjustRightInd w:val="0"/>
        <w:spacing w:line="360" w:lineRule="auto"/>
        <w:ind w:left="284" w:firstLine="0"/>
        <w:jc w:val="both"/>
      </w:pPr>
      <w:r w:rsidRPr="00BA4F0F">
        <w:t>Электроэнцефалограмма.</w:t>
      </w:r>
    </w:p>
    <w:p w14:paraId="38057C7B" w14:textId="77777777" w:rsidR="001F2346" w:rsidRPr="00BA4F0F" w:rsidRDefault="001F2346" w:rsidP="00DC0931">
      <w:pPr>
        <w:pStyle w:val="Numlist"/>
        <w:numPr>
          <w:ilvl w:val="0"/>
          <w:numId w:val="278"/>
        </w:numPr>
        <w:tabs>
          <w:tab w:val="left" w:pos="709"/>
        </w:tabs>
        <w:autoSpaceDE w:val="0"/>
        <w:autoSpaceDN w:val="0"/>
        <w:adjustRightInd w:val="0"/>
        <w:spacing w:line="360" w:lineRule="auto"/>
        <w:ind w:left="284" w:firstLine="0"/>
        <w:jc w:val="both"/>
      </w:pPr>
      <w:r w:rsidRPr="00BA4F0F">
        <w:t>МРТ головного мозга с внутривенным контрастированием.</w:t>
      </w:r>
    </w:p>
    <w:p w14:paraId="45854A7B" w14:textId="77777777" w:rsidR="001F2346" w:rsidRPr="00BA4F0F" w:rsidRDefault="001F2346" w:rsidP="00DC0931">
      <w:pPr>
        <w:pStyle w:val="Numlist"/>
        <w:numPr>
          <w:ilvl w:val="0"/>
          <w:numId w:val="278"/>
        </w:numPr>
        <w:tabs>
          <w:tab w:val="left" w:pos="709"/>
        </w:tabs>
        <w:autoSpaceDE w:val="0"/>
        <w:autoSpaceDN w:val="0"/>
        <w:adjustRightInd w:val="0"/>
        <w:spacing w:line="360" w:lineRule="auto"/>
        <w:ind w:left="284" w:firstLine="0"/>
        <w:jc w:val="both"/>
      </w:pPr>
      <w:r w:rsidRPr="00BA4F0F">
        <w:t>Консультация невролога.</w:t>
      </w:r>
    </w:p>
    <w:p w14:paraId="25873BAF" w14:textId="77777777" w:rsidR="001F2346" w:rsidRPr="00BA4F0F" w:rsidRDefault="001F2346" w:rsidP="00DC0931">
      <w:pPr>
        <w:pStyle w:val="Numlist"/>
        <w:numPr>
          <w:ilvl w:val="0"/>
          <w:numId w:val="278"/>
        </w:numPr>
        <w:tabs>
          <w:tab w:val="left" w:pos="709"/>
        </w:tabs>
        <w:autoSpaceDE w:val="0"/>
        <w:autoSpaceDN w:val="0"/>
        <w:adjustRightInd w:val="0"/>
        <w:spacing w:line="360" w:lineRule="auto"/>
        <w:ind w:left="284" w:firstLine="0"/>
        <w:jc w:val="both"/>
      </w:pPr>
      <w:r w:rsidRPr="00BA4F0F">
        <w:t>Позитронно-эмиссионная томография, совмещенная с КТ.</w:t>
      </w:r>
    </w:p>
    <w:p w14:paraId="50096ABC" w14:textId="77777777" w:rsidR="001F2346" w:rsidRPr="00BA4F0F" w:rsidRDefault="001F2346" w:rsidP="001F2346">
      <w:pPr>
        <w:rPr>
          <w:i/>
          <w:u w:val="single"/>
        </w:rPr>
      </w:pPr>
      <w:bookmarkStart w:id="145" w:name="_Toc44926616"/>
    </w:p>
    <w:p w14:paraId="02E969CB" w14:textId="77777777" w:rsidR="001F2346" w:rsidRPr="00BA4F0F" w:rsidRDefault="001F2346" w:rsidP="001F2346">
      <w:pPr>
        <w:rPr>
          <w:b/>
        </w:rPr>
      </w:pPr>
      <w:bookmarkStart w:id="146" w:name="_Toc44926621"/>
      <w:bookmarkEnd w:id="145"/>
      <w:r w:rsidRPr="00BA4F0F">
        <w:rPr>
          <w:b/>
        </w:rPr>
        <w:t>Противопоказания к выполнению ауто-ТГСК</w:t>
      </w:r>
      <w:bookmarkEnd w:id="146"/>
    </w:p>
    <w:p w14:paraId="4F8C3C6E" w14:textId="77777777" w:rsidR="001F2346" w:rsidRPr="00BA4F0F" w:rsidRDefault="001F2346" w:rsidP="001F2346">
      <w:pPr>
        <w:pStyle w:val="afe"/>
        <w:ind w:left="0"/>
        <w:rPr>
          <w:rFonts w:cs="Times New Roman"/>
          <w:szCs w:val="24"/>
          <w:u w:val="single"/>
        </w:rPr>
      </w:pPr>
      <w:bookmarkStart w:id="147" w:name="_Toc44926622"/>
      <w:r w:rsidRPr="00BA4F0F">
        <w:rPr>
          <w:rFonts w:cs="Times New Roman"/>
          <w:szCs w:val="24"/>
          <w:u w:val="single"/>
        </w:rPr>
        <w:t>Абсолютные противопоказания к выполнению ауто-ТГСК</w:t>
      </w:r>
      <w:bookmarkEnd w:id="147"/>
    </w:p>
    <w:p w14:paraId="51F71DD5" w14:textId="77777777" w:rsidR="001F2346" w:rsidRPr="00BA4F0F" w:rsidRDefault="001F2346" w:rsidP="001F2346">
      <w:pPr>
        <w:ind w:firstLine="567"/>
      </w:pPr>
      <w:r w:rsidRPr="00BA4F0F">
        <w:t>- прогрессия/рецидив основного заболевания;</w:t>
      </w:r>
    </w:p>
    <w:p w14:paraId="10404501" w14:textId="77777777" w:rsidR="001F2346" w:rsidRPr="00BA4F0F" w:rsidRDefault="001F2346" w:rsidP="001F2346">
      <w:pPr>
        <w:ind w:firstLine="567"/>
      </w:pPr>
      <w:r w:rsidRPr="00BA4F0F">
        <w:t>- инфекционные заболевания в стадии обострения;</w:t>
      </w:r>
    </w:p>
    <w:p w14:paraId="0CA3FBED" w14:textId="77777777" w:rsidR="001F2346" w:rsidRPr="00BA4F0F" w:rsidRDefault="001F2346" w:rsidP="001F2346">
      <w:pPr>
        <w:ind w:firstLine="567"/>
      </w:pPr>
      <w:r w:rsidRPr="00BA4F0F">
        <w:t>- заболевания опорно-двигательного аппарата, системы кровообращения, органов пищеварения и дыхания, мочеполовой, эндокринной и нервной систем, а также заболевания других органов и систем в стадии обострения и сопровождающиеся стойким расстройством функций;</w:t>
      </w:r>
    </w:p>
    <w:p w14:paraId="0A046E4B" w14:textId="77777777" w:rsidR="001F2346" w:rsidRPr="00BA4F0F" w:rsidRDefault="001F2346" w:rsidP="001F2346">
      <w:pPr>
        <w:ind w:firstLine="567"/>
      </w:pPr>
      <w:r w:rsidRPr="00BA4F0F">
        <w:t>- наличие «вторых» злокачественных новообразований вне ремиссии;</w:t>
      </w:r>
    </w:p>
    <w:p w14:paraId="6707F9C0" w14:textId="77777777" w:rsidR="001F2346" w:rsidRPr="00BA4F0F" w:rsidRDefault="001F2346" w:rsidP="001F2346">
      <w:pPr>
        <w:ind w:firstLine="567"/>
      </w:pPr>
      <w:r w:rsidRPr="00BA4F0F">
        <w:lastRenderedPageBreak/>
        <w:t>- терапия иммуносупрессивными или иными лекарственными препаратами, которые могут повлиять на способность к самоподдержанию собственной популяции и полипотентность гемопоэтических стволовых клеток;</w:t>
      </w:r>
    </w:p>
    <w:p w14:paraId="38053808" w14:textId="77777777" w:rsidR="001F2346" w:rsidRPr="00BA4F0F" w:rsidRDefault="001F2346" w:rsidP="001F2346">
      <w:pPr>
        <w:ind w:firstLine="567"/>
      </w:pPr>
      <w:r w:rsidRPr="00BA4F0F">
        <w:t>- психические расстройства и расстройства поведения в состоянии обострения и (или) представляющие опасность для больного и окружающих;</w:t>
      </w:r>
    </w:p>
    <w:p w14:paraId="3B43595B" w14:textId="77777777" w:rsidR="001F2346" w:rsidRPr="00BA4F0F" w:rsidRDefault="001F2346" w:rsidP="001F2346">
      <w:pPr>
        <w:ind w:firstLine="567"/>
      </w:pPr>
      <w:r w:rsidRPr="00BA4F0F">
        <w:t>- психические расстройства и расстройства поведения, вызванные употреблением психоактивных веществ;</w:t>
      </w:r>
    </w:p>
    <w:p w14:paraId="21C7D8B8" w14:textId="77777777" w:rsidR="001F2346" w:rsidRPr="00BA4F0F" w:rsidRDefault="001F2346" w:rsidP="001F2346">
      <w:pPr>
        <w:ind w:firstLine="567"/>
      </w:pPr>
      <w:r w:rsidRPr="00BA4F0F">
        <w:t>- кахексия;</w:t>
      </w:r>
    </w:p>
    <w:p w14:paraId="0AD1CA76" w14:textId="77777777" w:rsidR="001F2346" w:rsidRPr="00BA4F0F" w:rsidRDefault="001F2346" w:rsidP="001F2346">
      <w:pPr>
        <w:ind w:firstLine="567"/>
      </w:pPr>
      <w:r w:rsidRPr="00BA4F0F">
        <w:t>- беременность;</w:t>
      </w:r>
    </w:p>
    <w:p w14:paraId="2D50CC83" w14:textId="77777777" w:rsidR="001F2346" w:rsidRPr="00BA4F0F" w:rsidRDefault="001F2346" w:rsidP="001F2346">
      <w:pPr>
        <w:ind w:firstLine="567"/>
      </w:pPr>
      <w:r w:rsidRPr="00BA4F0F">
        <w:t>- ранний послеоперационный период с наличием потенциальных рисков инфицирования послеоперационных ран в период миелотоксического агранулоцитоза.</w:t>
      </w:r>
    </w:p>
    <w:p w14:paraId="0FC2878C" w14:textId="77777777" w:rsidR="001F2346" w:rsidRPr="00BA4F0F" w:rsidRDefault="001F2346" w:rsidP="001F2346">
      <w:pPr>
        <w:ind w:firstLine="567"/>
      </w:pPr>
      <w:r w:rsidRPr="00BA4F0F">
        <w:t>- отсутствие подписанного информированного согласия на выполнение трансплантации.</w:t>
      </w:r>
    </w:p>
    <w:p w14:paraId="34D6C40D" w14:textId="77777777" w:rsidR="001F2346" w:rsidRPr="00BA4F0F" w:rsidRDefault="001F2346" w:rsidP="001F2346">
      <w:pPr>
        <w:pStyle w:val="11"/>
        <w:spacing w:before="0"/>
      </w:pPr>
      <w:bookmarkStart w:id="148" w:name="_Toc44926623"/>
    </w:p>
    <w:p w14:paraId="2E2BF76C" w14:textId="77777777" w:rsidR="001F2346" w:rsidRPr="00BA4F0F" w:rsidRDefault="001F2346" w:rsidP="001F2346">
      <w:pPr>
        <w:pStyle w:val="afe"/>
        <w:ind w:left="0"/>
        <w:rPr>
          <w:rFonts w:cs="Times New Roman"/>
          <w:szCs w:val="24"/>
          <w:u w:val="single"/>
        </w:rPr>
      </w:pPr>
      <w:r w:rsidRPr="00BA4F0F">
        <w:rPr>
          <w:rFonts w:cs="Times New Roman"/>
          <w:szCs w:val="24"/>
          <w:u w:val="single"/>
        </w:rPr>
        <w:t>Относительные противопоказания к выполнению ауто-ТГСК</w:t>
      </w:r>
      <w:bookmarkEnd w:id="148"/>
    </w:p>
    <w:p w14:paraId="67BFB5C3" w14:textId="77777777" w:rsidR="001F2346" w:rsidRPr="00BA4F0F" w:rsidRDefault="001F2346" w:rsidP="001F2346">
      <w:pPr>
        <w:ind w:firstLine="567"/>
      </w:pPr>
      <w:r w:rsidRPr="00BA4F0F">
        <w:t>- инфекционные заболевания вне обострения (очаги инфекций, требующие санации);</w:t>
      </w:r>
    </w:p>
    <w:p w14:paraId="40ACD747" w14:textId="77777777" w:rsidR="001F2346" w:rsidRPr="00BA4F0F" w:rsidRDefault="001F2346" w:rsidP="001F2346">
      <w:pPr>
        <w:ind w:firstLine="567"/>
      </w:pPr>
      <w:r w:rsidRPr="00BA4F0F">
        <w:t>- заболевания опорно-двигательного аппарата, системы кровообращения, органов пищеварения и дыхания, мочеполовой, эндокринной и нервной систем, а также заболевания других органов и систем в стадии компенсации;</w:t>
      </w:r>
    </w:p>
    <w:p w14:paraId="41CB85AD" w14:textId="77777777" w:rsidR="001F2346" w:rsidRPr="00BA4F0F" w:rsidRDefault="001F2346" w:rsidP="001F2346">
      <w:pPr>
        <w:ind w:firstLine="567"/>
      </w:pPr>
      <w:r w:rsidRPr="00BA4F0F">
        <w:t>- возраст старше 65 лет.</w:t>
      </w:r>
    </w:p>
    <w:p w14:paraId="37D4113E" w14:textId="77777777" w:rsidR="001F2346" w:rsidRPr="00BA4F0F" w:rsidRDefault="001F2346" w:rsidP="001F2346">
      <w:pPr>
        <w:ind w:firstLine="567"/>
      </w:pPr>
      <w:r w:rsidRPr="00BA4F0F">
        <w:t>- наличие в крови маркеров вируса иммунодефицита человека;</w:t>
      </w:r>
    </w:p>
    <w:p w14:paraId="5DA657BB" w14:textId="77777777" w:rsidR="001F2346" w:rsidRPr="00BA4F0F" w:rsidRDefault="001F2346" w:rsidP="001F2346">
      <w:pPr>
        <w:rPr>
          <w:b/>
        </w:rPr>
      </w:pPr>
      <w:bookmarkStart w:id="149" w:name="_Toc44926624"/>
    </w:p>
    <w:p w14:paraId="51808377" w14:textId="77777777" w:rsidR="001F2346" w:rsidRPr="00BA4F0F" w:rsidRDefault="001F2346" w:rsidP="001F2346">
      <w:pPr>
        <w:rPr>
          <w:b/>
        </w:rPr>
      </w:pPr>
      <w:r w:rsidRPr="00BA4F0F">
        <w:rPr>
          <w:b/>
        </w:rPr>
        <w:t>Обследование пациентов перед ауто-ТГСК</w:t>
      </w:r>
      <w:bookmarkEnd w:id="149"/>
    </w:p>
    <w:p w14:paraId="4A404099" w14:textId="77777777" w:rsidR="001F2346" w:rsidRPr="00BA4F0F" w:rsidRDefault="001F2346" w:rsidP="001F2346">
      <w:pPr>
        <w:ind w:firstLine="284"/>
      </w:pPr>
      <w:r w:rsidRPr="00BA4F0F">
        <w:t>Перед выполнением трансплантации аутологичных гемопоэтических стволовых клеток необходимо определить фазу заболевания, оценить соматический статус пациента и состояние кроветворения. Для этого всем пациентам проводится рутинный комплекс обследования, включающий как лабораторные, так и инструментальные методы.</w:t>
      </w:r>
    </w:p>
    <w:p w14:paraId="1DFB1BA7" w14:textId="77777777" w:rsidR="001F2346" w:rsidRPr="00BA4F0F" w:rsidRDefault="001F2346" w:rsidP="001F2346">
      <w:pPr>
        <w:pStyle w:val="afe"/>
        <w:ind w:left="0"/>
        <w:rPr>
          <w:rFonts w:cs="Times New Roman"/>
          <w:szCs w:val="24"/>
          <w:u w:val="single"/>
        </w:rPr>
      </w:pPr>
      <w:bookmarkStart w:id="150" w:name="_Toc44926625"/>
    </w:p>
    <w:p w14:paraId="4560A8FD" w14:textId="77777777" w:rsidR="001F2346" w:rsidRPr="00BA4F0F" w:rsidRDefault="001F2346" w:rsidP="001F2346">
      <w:pPr>
        <w:pStyle w:val="afe"/>
        <w:ind w:left="0"/>
        <w:rPr>
          <w:rFonts w:cs="Times New Roman"/>
          <w:szCs w:val="24"/>
          <w:u w:val="single"/>
        </w:rPr>
      </w:pPr>
      <w:r w:rsidRPr="00BA4F0F">
        <w:rPr>
          <w:rFonts w:cs="Times New Roman"/>
          <w:szCs w:val="24"/>
          <w:u w:val="single"/>
        </w:rPr>
        <w:t>Общие методы обследования</w:t>
      </w:r>
      <w:bookmarkEnd w:id="150"/>
    </w:p>
    <w:p w14:paraId="283FCB27" w14:textId="77777777" w:rsidR="001F2346" w:rsidRPr="00BA4F0F" w:rsidRDefault="001F2346" w:rsidP="00DC0931">
      <w:pPr>
        <w:pStyle w:val="Numlist"/>
        <w:numPr>
          <w:ilvl w:val="0"/>
          <w:numId w:val="181"/>
        </w:numPr>
        <w:tabs>
          <w:tab w:val="left" w:pos="284"/>
        </w:tabs>
        <w:autoSpaceDE w:val="0"/>
        <w:autoSpaceDN w:val="0"/>
        <w:adjustRightInd w:val="0"/>
        <w:spacing w:line="360" w:lineRule="auto"/>
        <w:ind w:left="0" w:firstLine="284"/>
        <w:jc w:val="both"/>
      </w:pPr>
      <w:r w:rsidRPr="00BA4F0F">
        <w:t>Развернутый анализ крови.</w:t>
      </w:r>
    </w:p>
    <w:p w14:paraId="32615775" w14:textId="77777777" w:rsidR="001F2346" w:rsidRPr="00BA4F0F" w:rsidRDefault="001F2346" w:rsidP="00DC0931">
      <w:pPr>
        <w:pStyle w:val="Numlist"/>
        <w:numPr>
          <w:ilvl w:val="0"/>
          <w:numId w:val="181"/>
        </w:numPr>
        <w:tabs>
          <w:tab w:val="left" w:pos="284"/>
        </w:tabs>
        <w:autoSpaceDE w:val="0"/>
        <w:autoSpaceDN w:val="0"/>
        <w:adjustRightInd w:val="0"/>
        <w:spacing w:line="360" w:lineRule="auto"/>
        <w:ind w:left="0" w:firstLine="284"/>
        <w:jc w:val="both"/>
      </w:pPr>
      <w:r w:rsidRPr="00BA4F0F">
        <w:t>Биохимический анализ крови с обязательным определением: уровней общего белка, альбумина, креатинина, мочевой кислоты, калия, кальция, активности ЛДГ.</w:t>
      </w:r>
    </w:p>
    <w:p w14:paraId="5B64F77F" w14:textId="77777777" w:rsidR="001F2346" w:rsidRPr="00BA4F0F" w:rsidRDefault="001F2346" w:rsidP="00DC0931">
      <w:pPr>
        <w:pStyle w:val="Numlist"/>
        <w:numPr>
          <w:ilvl w:val="0"/>
          <w:numId w:val="181"/>
        </w:numPr>
        <w:tabs>
          <w:tab w:val="left" w:pos="284"/>
        </w:tabs>
        <w:autoSpaceDE w:val="0"/>
        <w:autoSpaceDN w:val="0"/>
        <w:adjustRightInd w:val="0"/>
        <w:spacing w:line="360" w:lineRule="auto"/>
        <w:ind w:left="0" w:firstLine="284"/>
        <w:jc w:val="both"/>
      </w:pPr>
      <w:r w:rsidRPr="00BA4F0F">
        <w:t>Общий анализ мочи.</w:t>
      </w:r>
    </w:p>
    <w:p w14:paraId="4B77B4BA" w14:textId="77777777" w:rsidR="001F2346" w:rsidRPr="00BA4F0F" w:rsidRDefault="001F2346" w:rsidP="00DC0931">
      <w:pPr>
        <w:pStyle w:val="Numlist"/>
        <w:numPr>
          <w:ilvl w:val="0"/>
          <w:numId w:val="181"/>
        </w:numPr>
        <w:tabs>
          <w:tab w:val="left" w:pos="284"/>
        </w:tabs>
        <w:autoSpaceDE w:val="0"/>
        <w:autoSpaceDN w:val="0"/>
        <w:adjustRightInd w:val="0"/>
        <w:spacing w:line="360" w:lineRule="auto"/>
        <w:ind w:left="0" w:firstLine="284"/>
        <w:jc w:val="both"/>
      </w:pPr>
      <w:r w:rsidRPr="00BA4F0F">
        <w:t>Глюкоза крови.</w:t>
      </w:r>
    </w:p>
    <w:p w14:paraId="4A5D2B7F" w14:textId="77777777" w:rsidR="001F2346" w:rsidRPr="00BA4F0F" w:rsidRDefault="001F2346" w:rsidP="00DC0931">
      <w:pPr>
        <w:pStyle w:val="Numlist"/>
        <w:numPr>
          <w:ilvl w:val="0"/>
          <w:numId w:val="181"/>
        </w:numPr>
        <w:tabs>
          <w:tab w:val="left" w:pos="284"/>
        </w:tabs>
        <w:autoSpaceDE w:val="0"/>
        <w:autoSpaceDN w:val="0"/>
        <w:adjustRightInd w:val="0"/>
        <w:spacing w:line="360" w:lineRule="auto"/>
        <w:ind w:left="0" w:firstLine="284"/>
        <w:jc w:val="both"/>
      </w:pPr>
      <w:r w:rsidRPr="00BA4F0F">
        <w:t>Определение скорости клубочковой фильтрации.</w:t>
      </w:r>
    </w:p>
    <w:p w14:paraId="735A7E80" w14:textId="77777777" w:rsidR="001F2346" w:rsidRPr="00BA4F0F" w:rsidRDefault="001F2346" w:rsidP="00DC0931">
      <w:pPr>
        <w:pStyle w:val="Numlist"/>
        <w:numPr>
          <w:ilvl w:val="0"/>
          <w:numId w:val="181"/>
        </w:numPr>
        <w:tabs>
          <w:tab w:val="left" w:pos="284"/>
        </w:tabs>
        <w:autoSpaceDE w:val="0"/>
        <w:autoSpaceDN w:val="0"/>
        <w:adjustRightInd w:val="0"/>
        <w:spacing w:line="360" w:lineRule="auto"/>
        <w:ind w:left="0" w:firstLine="284"/>
        <w:jc w:val="both"/>
      </w:pPr>
      <w:r w:rsidRPr="00BA4F0F">
        <w:lastRenderedPageBreak/>
        <w:t>Коагулограмма (протромбин, международное нормализованное отношение, активированное частичное тромбопластиновое время, фибриноген, тромбиновое время, антитромбин III, плазминоген).</w:t>
      </w:r>
    </w:p>
    <w:p w14:paraId="71B3ECC2" w14:textId="77777777" w:rsidR="001F2346" w:rsidRPr="00BA4F0F" w:rsidRDefault="001F2346" w:rsidP="00DC0931">
      <w:pPr>
        <w:pStyle w:val="Numlist"/>
        <w:numPr>
          <w:ilvl w:val="0"/>
          <w:numId w:val="181"/>
        </w:numPr>
        <w:tabs>
          <w:tab w:val="left" w:pos="284"/>
        </w:tabs>
        <w:autoSpaceDE w:val="0"/>
        <w:autoSpaceDN w:val="0"/>
        <w:adjustRightInd w:val="0"/>
        <w:spacing w:line="360" w:lineRule="auto"/>
        <w:ind w:left="0" w:firstLine="284"/>
        <w:jc w:val="both"/>
      </w:pPr>
      <w:r w:rsidRPr="00BA4F0F">
        <w:t>Пункция костного мозга с подсчетом миелограммы.</w:t>
      </w:r>
    </w:p>
    <w:p w14:paraId="1E8EBCD9" w14:textId="77777777" w:rsidR="001F2346" w:rsidRPr="00BA4F0F" w:rsidRDefault="001F2346" w:rsidP="00DC0931">
      <w:pPr>
        <w:pStyle w:val="Numlist"/>
        <w:numPr>
          <w:ilvl w:val="0"/>
          <w:numId w:val="181"/>
        </w:numPr>
        <w:tabs>
          <w:tab w:val="left" w:pos="284"/>
        </w:tabs>
        <w:autoSpaceDE w:val="0"/>
        <w:autoSpaceDN w:val="0"/>
        <w:adjustRightInd w:val="0"/>
        <w:spacing w:line="360" w:lineRule="auto"/>
        <w:ind w:left="0" w:firstLine="284"/>
        <w:jc w:val="both"/>
      </w:pPr>
      <w:r w:rsidRPr="00BA4F0F">
        <w:t>Гистологическое исследование биопсийного материала костного мозга для оценки кроветворения.</w:t>
      </w:r>
    </w:p>
    <w:p w14:paraId="64EF99BC" w14:textId="77777777" w:rsidR="001F2346" w:rsidRPr="00BA4F0F" w:rsidRDefault="001F2346" w:rsidP="00DC0931">
      <w:pPr>
        <w:pStyle w:val="Numlist"/>
        <w:numPr>
          <w:ilvl w:val="0"/>
          <w:numId w:val="181"/>
        </w:numPr>
        <w:tabs>
          <w:tab w:val="left" w:pos="284"/>
        </w:tabs>
        <w:autoSpaceDE w:val="0"/>
        <w:autoSpaceDN w:val="0"/>
        <w:adjustRightInd w:val="0"/>
        <w:spacing w:line="360" w:lineRule="auto"/>
        <w:ind w:left="0" w:firstLine="284"/>
        <w:jc w:val="both"/>
      </w:pPr>
      <w:r w:rsidRPr="00BA4F0F">
        <w:t>Гистологическое исследование биопсийного материала костного мозга с применением иммуногистохимических методов для оценки состояния кроветворения и инфильтрации костного мозга опухолевыми клетками.</w:t>
      </w:r>
    </w:p>
    <w:p w14:paraId="56E9B762" w14:textId="77777777" w:rsidR="001F2346" w:rsidRPr="00BA4F0F" w:rsidRDefault="001F2346" w:rsidP="00DC0931">
      <w:pPr>
        <w:pStyle w:val="Numlist"/>
        <w:numPr>
          <w:ilvl w:val="0"/>
          <w:numId w:val="181"/>
        </w:numPr>
        <w:tabs>
          <w:tab w:val="left" w:pos="284"/>
        </w:tabs>
        <w:autoSpaceDE w:val="0"/>
        <w:autoSpaceDN w:val="0"/>
        <w:adjustRightInd w:val="0"/>
        <w:spacing w:line="360" w:lineRule="auto"/>
        <w:ind w:left="0" w:firstLine="284"/>
        <w:jc w:val="both"/>
      </w:pPr>
      <w:r w:rsidRPr="00BA4F0F">
        <w:t>Иммунофенотипическое исследование костного мозга методом проточной цитометрии для определения маркеров минимальной остаточной болезни.</w:t>
      </w:r>
    </w:p>
    <w:p w14:paraId="5F2D0EA1" w14:textId="77777777" w:rsidR="001F2346" w:rsidRPr="00BA4F0F" w:rsidRDefault="001F2346" w:rsidP="00DC0931">
      <w:pPr>
        <w:pStyle w:val="Numlist"/>
        <w:numPr>
          <w:ilvl w:val="0"/>
          <w:numId w:val="181"/>
        </w:numPr>
        <w:tabs>
          <w:tab w:val="left" w:pos="284"/>
        </w:tabs>
        <w:autoSpaceDE w:val="0"/>
        <w:autoSpaceDN w:val="0"/>
        <w:adjustRightInd w:val="0"/>
        <w:spacing w:line="360" w:lineRule="auto"/>
        <w:ind w:left="0" w:firstLine="284"/>
        <w:jc w:val="both"/>
      </w:pPr>
      <w:r w:rsidRPr="00BA4F0F">
        <w:t>Определение группы крови (</w:t>
      </w:r>
      <w:r w:rsidRPr="00BA4F0F">
        <w:rPr>
          <w:lang w:val="en-US"/>
        </w:rPr>
        <w:t>ABO</w:t>
      </w:r>
      <w:r w:rsidRPr="00BA4F0F">
        <w:t>, Резус, фенотип по антигенам C, c, E, e, Cw, K, k, а также определение антиэритроцитарных антител).</w:t>
      </w:r>
    </w:p>
    <w:p w14:paraId="5E972322" w14:textId="77777777" w:rsidR="001F2346" w:rsidRPr="00BA4F0F" w:rsidRDefault="001F2346" w:rsidP="00DC0931">
      <w:pPr>
        <w:pStyle w:val="Numlist"/>
        <w:numPr>
          <w:ilvl w:val="0"/>
          <w:numId w:val="181"/>
        </w:numPr>
        <w:tabs>
          <w:tab w:val="left" w:pos="284"/>
        </w:tabs>
        <w:autoSpaceDE w:val="0"/>
        <w:autoSpaceDN w:val="0"/>
        <w:adjustRightInd w:val="0"/>
        <w:spacing w:line="360" w:lineRule="auto"/>
        <w:ind w:left="0" w:firstLine="284"/>
        <w:jc w:val="both"/>
      </w:pPr>
      <w:r w:rsidRPr="00BA4F0F">
        <w:t>Исследование на маркеры вирусов гепатитов</w:t>
      </w:r>
      <w:r w:rsidRPr="00BA4F0F">
        <w:rPr>
          <w:lang w:val="en-US"/>
        </w:rPr>
        <w:t> B</w:t>
      </w:r>
      <w:r w:rsidRPr="00BA4F0F">
        <w:t xml:space="preserve"> и </w:t>
      </w:r>
      <w:r w:rsidRPr="00BA4F0F">
        <w:rPr>
          <w:lang w:val="en-US"/>
        </w:rPr>
        <w:t>C</w:t>
      </w:r>
      <w:r w:rsidRPr="00BA4F0F">
        <w:t xml:space="preserve">, ВИЧ, </w:t>
      </w:r>
      <w:r w:rsidRPr="00BA4F0F">
        <w:rPr>
          <w:lang w:val="en-US"/>
        </w:rPr>
        <w:t>RW</w:t>
      </w:r>
      <w:r w:rsidRPr="00BA4F0F">
        <w:t>, ЦМВ, ЭБВ, при возможности токсоплазмы.</w:t>
      </w:r>
    </w:p>
    <w:p w14:paraId="672BB7B9" w14:textId="77777777" w:rsidR="001F2346" w:rsidRPr="00BA4F0F" w:rsidRDefault="001F2346" w:rsidP="00DC0931">
      <w:pPr>
        <w:pStyle w:val="Numlist"/>
        <w:numPr>
          <w:ilvl w:val="0"/>
          <w:numId w:val="181"/>
        </w:numPr>
        <w:tabs>
          <w:tab w:val="left" w:pos="284"/>
        </w:tabs>
        <w:autoSpaceDE w:val="0"/>
        <w:autoSpaceDN w:val="0"/>
        <w:adjustRightInd w:val="0"/>
        <w:spacing w:line="360" w:lineRule="auto"/>
        <w:ind w:left="0" w:firstLine="284"/>
        <w:jc w:val="both"/>
      </w:pPr>
      <w:r w:rsidRPr="00BA4F0F">
        <w:t>Электрокардиограмма.</w:t>
      </w:r>
    </w:p>
    <w:p w14:paraId="13343563" w14:textId="77777777" w:rsidR="001F2346" w:rsidRPr="00BA4F0F" w:rsidRDefault="001F2346" w:rsidP="00DC0931">
      <w:pPr>
        <w:pStyle w:val="Numlist"/>
        <w:numPr>
          <w:ilvl w:val="0"/>
          <w:numId w:val="181"/>
        </w:numPr>
        <w:tabs>
          <w:tab w:val="left" w:pos="284"/>
        </w:tabs>
        <w:autoSpaceDE w:val="0"/>
        <w:autoSpaceDN w:val="0"/>
        <w:adjustRightInd w:val="0"/>
        <w:spacing w:line="360" w:lineRule="auto"/>
        <w:ind w:left="0" w:firstLine="284"/>
        <w:jc w:val="both"/>
      </w:pPr>
      <w:r w:rsidRPr="00BA4F0F">
        <w:t>Эхокардиография.</w:t>
      </w:r>
    </w:p>
    <w:p w14:paraId="54F0D022" w14:textId="77777777" w:rsidR="001F2346" w:rsidRPr="00BA4F0F" w:rsidRDefault="001F2346" w:rsidP="00DC0931">
      <w:pPr>
        <w:pStyle w:val="Numlist"/>
        <w:numPr>
          <w:ilvl w:val="0"/>
          <w:numId w:val="181"/>
        </w:numPr>
        <w:tabs>
          <w:tab w:val="left" w:pos="284"/>
        </w:tabs>
        <w:autoSpaceDE w:val="0"/>
        <w:autoSpaceDN w:val="0"/>
        <w:adjustRightInd w:val="0"/>
        <w:spacing w:line="360" w:lineRule="auto"/>
        <w:ind w:left="0" w:firstLine="284"/>
        <w:jc w:val="both"/>
      </w:pPr>
      <w:r w:rsidRPr="00BA4F0F">
        <w:t>Функция внешнего дыхания.</w:t>
      </w:r>
    </w:p>
    <w:p w14:paraId="356D98E5" w14:textId="77777777" w:rsidR="001F2346" w:rsidRPr="00BA4F0F" w:rsidRDefault="001F2346" w:rsidP="00DC0931">
      <w:pPr>
        <w:pStyle w:val="Numlist"/>
        <w:numPr>
          <w:ilvl w:val="0"/>
          <w:numId w:val="181"/>
        </w:numPr>
        <w:tabs>
          <w:tab w:val="left" w:pos="284"/>
        </w:tabs>
        <w:autoSpaceDE w:val="0"/>
        <w:autoSpaceDN w:val="0"/>
        <w:adjustRightInd w:val="0"/>
        <w:spacing w:line="360" w:lineRule="auto"/>
        <w:ind w:left="0" w:firstLine="284"/>
        <w:jc w:val="both"/>
      </w:pPr>
      <w:r w:rsidRPr="00BA4F0F">
        <w:t>Холтеровское мониторирование сердечного ритма – при выявлении нарушений ритма и проводимости на ЭКГ.</w:t>
      </w:r>
    </w:p>
    <w:p w14:paraId="488F5C49" w14:textId="77777777" w:rsidR="001F2346" w:rsidRPr="00BA4F0F" w:rsidRDefault="001F2346" w:rsidP="00DC0931">
      <w:pPr>
        <w:pStyle w:val="Numlist"/>
        <w:numPr>
          <w:ilvl w:val="0"/>
          <w:numId w:val="181"/>
        </w:numPr>
        <w:tabs>
          <w:tab w:val="left" w:pos="284"/>
        </w:tabs>
        <w:autoSpaceDE w:val="0"/>
        <w:autoSpaceDN w:val="0"/>
        <w:adjustRightInd w:val="0"/>
        <w:spacing w:line="360" w:lineRule="auto"/>
        <w:ind w:left="0" w:firstLine="284"/>
        <w:jc w:val="both"/>
      </w:pPr>
      <w:r w:rsidRPr="00BA4F0F">
        <w:t>УЗИ брюшной полости (комплексное).</w:t>
      </w:r>
    </w:p>
    <w:p w14:paraId="3ED44738" w14:textId="77777777" w:rsidR="001F2346" w:rsidRPr="00BA4F0F" w:rsidRDefault="001F2346" w:rsidP="00DC0931">
      <w:pPr>
        <w:pStyle w:val="Numlist"/>
        <w:numPr>
          <w:ilvl w:val="0"/>
          <w:numId w:val="181"/>
        </w:numPr>
        <w:tabs>
          <w:tab w:val="left" w:pos="284"/>
        </w:tabs>
        <w:autoSpaceDE w:val="0"/>
        <w:autoSpaceDN w:val="0"/>
        <w:adjustRightInd w:val="0"/>
        <w:spacing w:line="360" w:lineRule="auto"/>
        <w:ind w:left="0" w:firstLine="284"/>
        <w:jc w:val="both"/>
      </w:pPr>
      <w:r w:rsidRPr="00BA4F0F">
        <w:t>Ультразвуковая допплерография сосудов (артерий и вен) нижних конечностей - при необходимости.</w:t>
      </w:r>
    </w:p>
    <w:p w14:paraId="70BCFBFE" w14:textId="77777777" w:rsidR="001F2346" w:rsidRPr="00BA4F0F" w:rsidRDefault="001F2346" w:rsidP="00DC0931">
      <w:pPr>
        <w:pStyle w:val="Numlist"/>
        <w:numPr>
          <w:ilvl w:val="0"/>
          <w:numId w:val="181"/>
        </w:numPr>
        <w:tabs>
          <w:tab w:val="left" w:pos="284"/>
        </w:tabs>
        <w:autoSpaceDE w:val="0"/>
        <w:autoSpaceDN w:val="0"/>
        <w:adjustRightInd w:val="0"/>
        <w:spacing w:line="360" w:lineRule="auto"/>
        <w:ind w:left="0" w:firstLine="284"/>
        <w:jc w:val="both"/>
      </w:pPr>
      <w:r w:rsidRPr="00BA4F0F">
        <w:t>Эзофагогастродуоденоскопия с биопсией – при наличии диспепсических расстройств или язвенной болезни желудка/ двенадцатиперстной кишки в анамнезе.</w:t>
      </w:r>
    </w:p>
    <w:p w14:paraId="1D1C3883" w14:textId="77777777" w:rsidR="001F2346" w:rsidRPr="00BA4F0F" w:rsidRDefault="001F2346" w:rsidP="00DC0931">
      <w:pPr>
        <w:pStyle w:val="Numlist"/>
        <w:numPr>
          <w:ilvl w:val="0"/>
          <w:numId w:val="181"/>
        </w:numPr>
        <w:tabs>
          <w:tab w:val="left" w:pos="284"/>
        </w:tabs>
        <w:autoSpaceDE w:val="0"/>
        <w:autoSpaceDN w:val="0"/>
        <w:adjustRightInd w:val="0"/>
        <w:spacing w:line="360" w:lineRule="auto"/>
        <w:ind w:left="0" w:firstLine="284"/>
        <w:jc w:val="both"/>
      </w:pPr>
      <w:r w:rsidRPr="00BA4F0F">
        <w:t>МРТ головного мозга, придаточных пазух носа с целью выявления скрытых очагов инфекций.</w:t>
      </w:r>
    </w:p>
    <w:p w14:paraId="5EB0A92B" w14:textId="77777777" w:rsidR="001F2346" w:rsidRPr="00BA4F0F" w:rsidRDefault="001F2346" w:rsidP="00DC0931">
      <w:pPr>
        <w:pStyle w:val="Numlist"/>
        <w:numPr>
          <w:ilvl w:val="0"/>
          <w:numId w:val="181"/>
        </w:numPr>
        <w:tabs>
          <w:tab w:val="left" w:pos="284"/>
        </w:tabs>
        <w:autoSpaceDE w:val="0"/>
        <w:autoSpaceDN w:val="0"/>
        <w:adjustRightInd w:val="0"/>
        <w:spacing w:line="360" w:lineRule="auto"/>
        <w:ind w:left="0" w:firstLine="284"/>
        <w:jc w:val="both"/>
      </w:pPr>
      <w:r w:rsidRPr="00BA4F0F">
        <w:t>КТ органов грудной полости.</w:t>
      </w:r>
    </w:p>
    <w:p w14:paraId="3A56BD93" w14:textId="77777777" w:rsidR="001F2346" w:rsidRPr="00BA4F0F" w:rsidRDefault="001F2346" w:rsidP="00DC0931">
      <w:pPr>
        <w:pStyle w:val="Numlist"/>
        <w:numPr>
          <w:ilvl w:val="0"/>
          <w:numId w:val="181"/>
        </w:numPr>
        <w:tabs>
          <w:tab w:val="left" w:pos="284"/>
        </w:tabs>
        <w:autoSpaceDE w:val="0"/>
        <w:autoSpaceDN w:val="0"/>
        <w:adjustRightInd w:val="0"/>
        <w:spacing w:line="360" w:lineRule="auto"/>
        <w:ind w:left="0" w:firstLine="284"/>
        <w:jc w:val="both"/>
      </w:pPr>
      <w:r w:rsidRPr="00BA4F0F">
        <w:t>Люмбальная пункция с последующим цитологическим, комплексным иммунохимическим и иммунофенотипическим исследованием ликвора при подозрении на вовлечение в патологический процесс центральной нервной системы.</w:t>
      </w:r>
    </w:p>
    <w:p w14:paraId="2CB379E9" w14:textId="77777777" w:rsidR="001F2346" w:rsidRPr="00BA4F0F" w:rsidRDefault="001F2346" w:rsidP="00DC0931">
      <w:pPr>
        <w:pStyle w:val="Numlist"/>
        <w:numPr>
          <w:ilvl w:val="0"/>
          <w:numId w:val="181"/>
        </w:numPr>
        <w:tabs>
          <w:tab w:val="left" w:pos="284"/>
        </w:tabs>
        <w:autoSpaceDE w:val="0"/>
        <w:autoSpaceDN w:val="0"/>
        <w:adjustRightInd w:val="0"/>
        <w:spacing w:line="360" w:lineRule="auto"/>
        <w:ind w:left="0" w:firstLine="284"/>
        <w:jc w:val="both"/>
      </w:pPr>
      <w:r w:rsidRPr="00BA4F0F">
        <w:t>Осмотр стоматолога.</w:t>
      </w:r>
    </w:p>
    <w:p w14:paraId="7C589A63" w14:textId="77777777" w:rsidR="001F2346" w:rsidRPr="00BA4F0F" w:rsidRDefault="001F2346" w:rsidP="00DC0931">
      <w:pPr>
        <w:pStyle w:val="Numlist"/>
        <w:numPr>
          <w:ilvl w:val="0"/>
          <w:numId w:val="181"/>
        </w:numPr>
        <w:tabs>
          <w:tab w:val="left" w:pos="284"/>
        </w:tabs>
        <w:autoSpaceDE w:val="0"/>
        <w:autoSpaceDN w:val="0"/>
        <w:adjustRightInd w:val="0"/>
        <w:spacing w:line="360" w:lineRule="auto"/>
        <w:ind w:left="0" w:firstLine="284"/>
        <w:jc w:val="both"/>
      </w:pPr>
      <w:r w:rsidRPr="00BA4F0F">
        <w:t>Осмотр гинеколога и УЗИ органов малого таза - для женщин.</w:t>
      </w:r>
    </w:p>
    <w:p w14:paraId="6E27B163" w14:textId="77777777" w:rsidR="001F2346" w:rsidRPr="00BA4F0F" w:rsidRDefault="001F2346" w:rsidP="001F2346">
      <w:pPr>
        <w:pStyle w:val="afe"/>
        <w:ind w:left="0"/>
        <w:rPr>
          <w:rFonts w:cs="Times New Roman"/>
          <w:szCs w:val="24"/>
          <w:u w:val="single"/>
        </w:rPr>
      </w:pPr>
      <w:bookmarkStart w:id="151" w:name="_Toc44926626"/>
    </w:p>
    <w:p w14:paraId="03CD12B0" w14:textId="77777777" w:rsidR="001F2346" w:rsidRPr="00BA4F0F" w:rsidRDefault="001F2346" w:rsidP="001F2346">
      <w:pPr>
        <w:pStyle w:val="afe"/>
        <w:ind w:left="0"/>
        <w:rPr>
          <w:rFonts w:cs="Times New Roman"/>
          <w:szCs w:val="24"/>
          <w:u w:val="single"/>
        </w:rPr>
      </w:pPr>
      <w:r w:rsidRPr="00BA4F0F">
        <w:rPr>
          <w:rFonts w:cs="Times New Roman"/>
          <w:szCs w:val="24"/>
          <w:u w:val="single"/>
        </w:rPr>
        <w:t>Специальные методы обследования при различных вариантах гемобластозов</w:t>
      </w:r>
      <w:bookmarkEnd w:id="151"/>
    </w:p>
    <w:p w14:paraId="4F29B661" w14:textId="77777777" w:rsidR="001F2346" w:rsidRPr="00BA4F0F" w:rsidRDefault="001F2346" w:rsidP="001F2346">
      <w:pPr>
        <w:rPr>
          <w:b/>
          <w:i/>
          <w:lang w:val="en-US"/>
        </w:rPr>
      </w:pPr>
      <w:r w:rsidRPr="00193D82">
        <w:rPr>
          <w:b/>
          <w:i/>
          <w:lang w:val="en-US"/>
        </w:rPr>
        <w:lastRenderedPageBreak/>
        <w:t>Лимфопролиферативные заболевания</w:t>
      </w:r>
      <w:r w:rsidRPr="00BA4F0F">
        <w:rPr>
          <w:b/>
          <w:i/>
          <w:lang w:val="en-US"/>
        </w:rPr>
        <w:t xml:space="preserve"> </w:t>
      </w:r>
    </w:p>
    <w:p w14:paraId="0E467DA2" w14:textId="77777777" w:rsidR="001F2346" w:rsidRPr="00BA4F0F" w:rsidRDefault="001F2346" w:rsidP="00DC0931">
      <w:pPr>
        <w:pStyle w:val="Numlist"/>
        <w:numPr>
          <w:ilvl w:val="0"/>
          <w:numId w:val="182"/>
        </w:numPr>
        <w:tabs>
          <w:tab w:val="left" w:pos="284"/>
        </w:tabs>
        <w:autoSpaceDE w:val="0"/>
        <w:autoSpaceDN w:val="0"/>
        <w:adjustRightInd w:val="0"/>
        <w:spacing w:line="360" w:lineRule="auto"/>
        <w:ind w:left="0" w:firstLine="284"/>
        <w:jc w:val="both"/>
      </w:pPr>
      <w:r w:rsidRPr="00BA4F0F">
        <w:t>Позитронно-эмиссионная томография, совмещенная с КТ.</w:t>
      </w:r>
    </w:p>
    <w:p w14:paraId="414E73E3" w14:textId="77777777" w:rsidR="001F2346" w:rsidRPr="00BA4F0F" w:rsidRDefault="001F2346" w:rsidP="00DC0931">
      <w:pPr>
        <w:pStyle w:val="Numlist"/>
        <w:numPr>
          <w:ilvl w:val="0"/>
          <w:numId w:val="182"/>
        </w:numPr>
        <w:tabs>
          <w:tab w:val="left" w:pos="284"/>
        </w:tabs>
        <w:autoSpaceDE w:val="0"/>
        <w:autoSpaceDN w:val="0"/>
        <w:adjustRightInd w:val="0"/>
        <w:spacing w:line="360" w:lineRule="auto"/>
        <w:ind w:left="0" w:firstLine="284"/>
        <w:jc w:val="both"/>
      </w:pPr>
      <w:r w:rsidRPr="00BA4F0F">
        <w:t>Исследование клональности (В/Т в зависимости от варианта заболевания) в периферической крови, костном мозге методом полимеразной цепной реакции.</w:t>
      </w:r>
    </w:p>
    <w:p w14:paraId="79C0A29A" w14:textId="77777777" w:rsidR="001F2346" w:rsidRPr="00BA4F0F" w:rsidRDefault="001F2346" w:rsidP="00DC0931">
      <w:pPr>
        <w:pStyle w:val="Numlist"/>
        <w:numPr>
          <w:ilvl w:val="0"/>
          <w:numId w:val="182"/>
        </w:numPr>
        <w:tabs>
          <w:tab w:val="left" w:pos="284"/>
        </w:tabs>
        <w:autoSpaceDE w:val="0"/>
        <w:autoSpaceDN w:val="0"/>
        <w:adjustRightInd w:val="0"/>
        <w:spacing w:line="360" w:lineRule="auto"/>
        <w:ind w:left="0" w:firstLine="284"/>
        <w:jc w:val="both"/>
      </w:pPr>
      <w:r w:rsidRPr="00BA4F0F">
        <w:t>Определение уровня поликлональных иммуноглобулинов (A, G,M).</w:t>
      </w:r>
    </w:p>
    <w:p w14:paraId="6E2AF7A9" w14:textId="77777777" w:rsidR="001F2346" w:rsidRPr="00BA4F0F" w:rsidRDefault="001F2346" w:rsidP="00DC0931">
      <w:pPr>
        <w:pStyle w:val="Numlist"/>
        <w:numPr>
          <w:ilvl w:val="0"/>
          <w:numId w:val="182"/>
        </w:numPr>
        <w:tabs>
          <w:tab w:val="left" w:pos="284"/>
        </w:tabs>
        <w:autoSpaceDE w:val="0"/>
        <w:autoSpaceDN w:val="0"/>
        <w:adjustRightInd w:val="0"/>
        <w:spacing w:line="360" w:lineRule="auto"/>
        <w:ind w:left="0" w:firstLine="284"/>
        <w:jc w:val="both"/>
      </w:pPr>
      <w:r w:rsidRPr="00BA4F0F">
        <w:t>КТ органов грудной полости с контрастированием при первичном вовлечении средостения.</w:t>
      </w:r>
    </w:p>
    <w:p w14:paraId="016C0935" w14:textId="77777777" w:rsidR="001F2346" w:rsidRPr="00BA4F0F" w:rsidRDefault="001F2346" w:rsidP="00DC0931">
      <w:pPr>
        <w:pStyle w:val="Numlist"/>
        <w:numPr>
          <w:ilvl w:val="0"/>
          <w:numId w:val="182"/>
        </w:numPr>
        <w:tabs>
          <w:tab w:val="left" w:pos="284"/>
        </w:tabs>
        <w:autoSpaceDE w:val="0"/>
        <w:autoSpaceDN w:val="0"/>
        <w:adjustRightInd w:val="0"/>
        <w:spacing w:line="360" w:lineRule="auto"/>
        <w:ind w:left="0" w:firstLine="284"/>
        <w:jc w:val="both"/>
      </w:pPr>
      <w:r w:rsidRPr="00BA4F0F">
        <w:t>УЗИ периферических лимфоузлов.</w:t>
      </w:r>
    </w:p>
    <w:p w14:paraId="28A9DEA4" w14:textId="77777777" w:rsidR="001F2346" w:rsidRPr="00BA4F0F" w:rsidRDefault="001F2346" w:rsidP="00DC0931">
      <w:pPr>
        <w:pStyle w:val="Numlist"/>
        <w:numPr>
          <w:ilvl w:val="0"/>
          <w:numId w:val="182"/>
        </w:numPr>
        <w:tabs>
          <w:tab w:val="left" w:pos="284"/>
        </w:tabs>
        <w:autoSpaceDE w:val="0"/>
        <w:autoSpaceDN w:val="0"/>
        <w:adjustRightInd w:val="0"/>
        <w:spacing w:line="360" w:lineRule="auto"/>
        <w:ind w:left="0" w:firstLine="284"/>
        <w:jc w:val="both"/>
      </w:pPr>
      <w:r w:rsidRPr="00BA4F0F">
        <w:t>Активность лактатдегидрогеназы.</w:t>
      </w:r>
    </w:p>
    <w:p w14:paraId="17CF0FC0" w14:textId="77777777" w:rsidR="001F2346" w:rsidRPr="00BA4F0F" w:rsidRDefault="001F2346" w:rsidP="00DC0931">
      <w:pPr>
        <w:pStyle w:val="Numlist"/>
        <w:numPr>
          <w:ilvl w:val="0"/>
          <w:numId w:val="182"/>
        </w:numPr>
        <w:tabs>
          <w:tab w:val="left" w:pos="284"/>
        </w:tabs>
        <w:autoSpaceDE w:val="0"/>
        <w:autoSpaceDN w:val="0"/>
        <w:adjustRightInd w:val="0"/>
        <w:spacing w:line="360" w:lineRule="auto"/>
        <w:ind w:left="0" w:firstLine="284"/>
        <w:jc w:val="both"/>
      </w:pPr>
      <w:r w:rsidRPr="00BA4F0F">
        <w:t>КТ грудной полости/ брюшной полости/ таза – для оценки противоопухолевого ответа при отсутствии возможности выполнить ПЭТ/КТ или наличии противопоказаний.</w:t>
      </w:r>
    </w:p>
    <w:p w14:paraId="7D9BF361" w14:textId="77777777" w:rsidR="001F2346" w:rsidRPr="00BA4F0F" w:rsidRDefault="001F2346" w:rsidP="001F2346">
      <w:pPr>
        <w:rPr>
          <w:b/>
          <w:i/>
        </w:rPr>
      </w:pPr>
    </w:p>
    <w:p w14:paraId="4AED06EE" w14:textId="77777777" w:rsidR="001F2346" w:rsidRPr="00193D82" w:rsidRDefault="001F2346" w:rsidP="001F2346">
      <w:pPr>
        <w:rPr>
          <w:b/>
          <w:i/>
        </w:rPr>
      </w:pPr>
      <w:r w:rsidRPr="00193D82">
        <w:rPr>
          <w:b/>
          <w:i/>
        </w:rPr>
        <w:t>Первичная лимфома центральной нервной системы</w:t>
      </w:r>
    </w:p>
    <w:p w14:paraId="022FAEDB" w14:textId="77777777" w:rsidR="001F2346" w:rsidRPr="00BA4F0F" w:rsidRDefault="001F2346" w:rsidP="00DC0931">
      <w:pPr>
        <w:pStyle w:val="Numlist"/>
        <w:numPr>
          <w:ilvl w:val="0"/>
          <w:numId w:val="279"/>
        </w:numPr>
        <w:tabs>
          <w:tab w:val="left" w:pos="709"/>
        </w:tabs>
        <w:autoSpaceDE w:val="0"/>
        <w:autoSpaceDN w:val="0"/>
        <w:adjustRightInd w:val="0"/>
        <w:spacing w:line="360" w:lineRule="auto"/>
        <w:ind w:left="284" w:firstLine="0"/>
        <w:jc w:val="both"/>
      </w:pPr>
      <w:r w:rsidRPr="00BA4F0F">
        <w:t>Электроэнцефалограмма</w:t>
      </w:r>
    </w:p>
    <w:p w14:paraId="7A53CB97" w14:textId="77777777" w:rsidR="001F2346" w:rsidRPr="00BA4F0F" w:rsidRDefault="001F2346" w:rsidP="00DC0931">
      <w:pPr>
        <w:pStyle w:val="Numlist"/>
        <w:numPr>
          <w:ilvl w:val="0"/>
          <w:numId w:val="279"/>
        </w:numPr>
        <w:tabs>
          <w:tab w:val="left" w:pos="709"/>
        </w:tabs>
        <w:autoSpaceDE w:val="0"/>
        <w:autoSpaceDN w:val="0"/>
        <w:adjustRightInd w:val="0"/>
        <w:spacing w:line="360" w:lineRule="auto"/>
        <w:ind w:left="284" w:firstLine="0"/>
        <w:jc w:val="both"/>
      </w:pPr>
      <w:r w:rsidRPr="00BA4F0F">
        <w:t xml:space="preserve">МРТ головного мозга с внутривенным контрастированием. </w:t>
      </w:r>
    </w:p>
    <w:p w14:paraId="7BB65D5C" w14:textId="77777777" w:rsidR="001F2346" w:rsidRPr="00BA4F0F" w:rsidRDefault="001F2346" w:rsidP="00DC0931">
      <w:pPr>
        <w:pStyle w:val="Numlist"/>
        <w:numPr>
          <w:ilvl w:val="0"/>
          <w:numId w:val="279"/>
        </w:numPr>
        <w:tabs>
          <w:tab w:val="left" w:pos="709"/>
        </w:tabs>
        <w:autoSpaceDE w:val="0"/>
        <w:autoSpaceDN w:val="0"/>
        <w:adjustRightInd w:val="0"/>
        <w:spacing w:line="360" w:lineRule="auto"/>
        <w:ind w:left="284" w:firstLine="0"/>
        <w:jc w:val="both"/>
      </w:pPr>
      <w:r w:rsidRPr="00BA4F0F">
        <w:t>Консультация невролога</w:t>
      </w:r>
    </w:p>
    <w:p w14:paraId="1E288CC8" w14:textId="77777777" w:rsidR="001F2346" w:rsidRPr="00BA4F0F" w:rsidRDefault="001F2346" w:rsidP="00DC0931">
      <w:pPr>
        <w:pStyle w:val="Numlist"/>
        <w:numPr>
          <w:ilvl w:val="0"/>
          <w:numId w:val="279"/>
        </w:numPr>
        <w:tabs>
          <w:tab w:val="left" w:pos="709"/>
        </w:tabs>
        <w:autoSpaceDE w:val="0"/>
        <w:autoSpaceDN w:val="0"/>
        <w:adjustRightInd w:val="0"/>
        <w:spacing w:line="360" w:lineRule="auto"/>
        <w:ind w:left="284" w:firstLine="0"/>
        <w:jc w:val="both"/>
      </w:pPr>
      <w:r w:rsidRPr="00BA4F0F">
        <w:t>Позитронно-эмиссионная томография, совмещенная с КТ.</w:t>
      </w:r>
    </w:p>
    <w:p w14:paraId="14AD9FF6" w14:textId="77777777" w:rsidR="001F2346" w:rsidRPr="00BA4F0F" w:rsidRDefault="001F2346" w:rsidP="001F2346">
      <w:pPr>
        <w:rPr>
          <w:b/>
        </w:rPr>
      </w:pPr>
      <w:bookmarkStart w:id="152" w:name="_Toc44926627"/>
    </w:p>
    <w:p w14:paraId="63DE68E5" w14:textId="77777777" w:rsidR="001F2346" w:rsidRPr="00BA4F0F" w:rsidRDefault="001F2346" w:rsidP="001F2346">
      <w:pPr>
        <w:rPr>
          <w:b/>
        </w:rPr>
      </w:pPr>
      <w:r w:rsidRPr="00BA4F0F">
        <w:rPr>
          <w:b/>
        </w:rPr>
        <w:t>Режимы предтрансплантационной подготовки при ауто-ТГСК</w:t>
      </w:r>
      <w:bookmarkEnd w:id="152"/>
      <w:r w:rsidRPr="00BA4F0F">
        <w:rPr>
          <w:b/>
        </w:rPr>
        <w:t xml:space="preserve"> </w:t>
      </w:r>
    </w:p>
    <w:p w14:paraId="5D03BB3A" w14:textId="77777777" w:rsidR="001F2346" w:rsidRPr="00BA4F0F" w:rsidRDefault="001F2346" w:rsidP="001F2346">
      <w:pPr>
        <w:ind w:firstLine="426"/>
      </w:pPr>
      <w:r w:rsidRPr="00BA4F0F">
        <w:t>Цель высокодозной химиотерапии - устранение оставшихся после противоопухолевой терапии опухолевых клеток с минимальным токсическим воздействием на системы органов.</w:t>
      </w:r>
    </w:p>
    <w:p w14:paraId="73329016" w14:textId="5CB741A8" w:rsidR="001F2346" w:rsidRPr="006E60A8" w:rsidRDefault="001F2346" w:rsidP="001F2346">
      <w:pPr>
        <w:ind w:firstLine="426"/>
      </w:pPr>
      <w:r w:rsidRPr="00BA4F0F">
        <w:t>Для предтрансплантационной подготовки при НХЛ, ЛХ, плазмобластной лимфоме используют режим кондиционирования BEAM, который, состоит из BCNU (300 мг / м</w:t>
      </w:r>
      <w:r w:rsidRPr="00BA4F0F">
        <w:rPr>
          <w:vertAlign w:val="superscript"/>
        </w:rPr>
        <w:t>2</w:t>
      </w:r>
      <w:r w:rsidRPr="00BA4F0F">
        <w:t xml:space="preserve"> × 1, день-6), VP (200 мг / м</w:t>
      </w:r>
      <w:r w:rsidRPr="00BA4F0F">
        <w:rPr>
          <w:vertAlign w:val="superscript"/>
        </w:rPr>
        <w:t>2</w:t>
      </w:r>
      <w:r w:rsidRPr="00BA4F0F">
        <w:t>, дни от -5 до -2), Ara-C (200 мг/м</w:t>
      </w:r>
      <w:r w:rsidRPr="00BA4F0F">
        <w:rPr>
          <w:vertAlign w:val="superscript"/>
        </w:rPr>
        <w:t xml:space="preserve">2 </w:t>
      </w:r>
      <w:r w:rsidRPr="00BA4F0F">
        <w:t>х дважды в день, дни от -5 до - 2), и MEL (140 мг / м</w:t>
      </w:r>
      <w:r w:rsidRPr="00BA4F0F">
        <w:rPr>
          <w:vertAlign w:val="superscript"/>
        </w:rPr>
        <w:t>2</w:t>
      </w:r>
      <w:r w:rsidRPr="00BA4F0F">
        <w:t xml:space="preserve">/ день × 1, дни -1) </w:t>
      </w:r>
      <w:r w:rsidRPr="00BA4F0F">
        <w:fldChar w:fldCharType="begin" w:fldLock="1"/>
      </w:r>
      <w:r w:rsidR="002736BA">
        <w:instrText>ADDIN CSL_CITATION {"citationItems":[{"id":"ITEM-1","itemData":{"ISBN":"9783030022778","author":[{"dropping-particle":"","family":"Enric Carreras","given":"Dufour Carlo","non-dropping-particle":"","parse-names":false,"suffix":""},{"dropping-particle":"","family":"Mohty Mohamad","given":"Kröger Nicolaus","non-dropping-particle":"","parse-names":false,"suffix":""}],"id":"ITEM-1","issued":{"date-parts":[["2019"]]},"number-of-pages":"702","title":"Hematopoietic Stem Cell Transplantation and Cellular Therapies","type":"book"},"uris":["http://www.mendeley.com/documents/?uuid=891fa663-7797-4301-8893-3b0a5d75b173","http://www.mendeley.com/documents/?uuid=b2895edd-cfbd-4cbf-8d9b-e50422d61d71"]},{"id":"ITEM-2","itemData":{"DOI":"10.5114/wo.2018.77046","ISSN":"1428-2526","PMID":"30150889","abstract":"Introduction BEAM (carmustine, etoposide, cytarabine, melphalan) is the most frequently used high-dose chemotherapy regimen for patients with lymphoma referred for autologous haematopoietic cell transplantation (autoHCT). Recently, a novel conditioning protocol containing bendamustine instead of carmustine (BeEAM) has been proposed to potentially increase the efficacy. Aim of the study The aim of this study was to retrospectively compare the safety profile of BEAM and BeEAM based on single-centre experience. Material and methods A total of 237 consecutive patients with lymphoma treated with either BEAM (n = 174) or BeEAM (n = 63), between the years 2011 and 2016, were included in the analysis. Clinical characteristics of both groups were comparable. Patients with Hodgkin's lymphoma (HL) constituted 49% of the BEAM group and 40% of the BeEAM group. Results Median time to neutrophil &gt; 0.5 × 109/l recovery was 10 days in both groups (p = 0.29), while median time to platelet &gt; 50 × 109/l recovery was 13 and 14 days after BEAM and BeEAM, respectively (p = 0.12). The toxicity profile was comparable except for arterial hypertension and severe hypokalaemia, which occurred more frequently after BeEAM compared to BEAM (p = 0.02 and p = 0.004, respectively). The rate of early mortality was 1.7% and 1.6%, respectively. The probabilities of the overall and progression-free survival were comparable for both groups (p = 0.73 and p = 0.55, respectively). Conclusions Administration of bendamustine instead of carmustine as part of conditioning does not affect the engraftment or the toxicity profile of the regimen. Therefore, BeEAM may be safely used in patients with lymphoma undergoing autoHCT. Its efficacy requires evaluation in prospective studies.","author":[{"dropping-particle":"","family":"Frankiewicz","given":"Andrzej","non-dropping-particle":"","parse-names":false,"suffix":""},{"dropping-particle":"","family":"Saduś-Wojciechowska","given":"Maria","non-dropping-particle":"","parse-names":false,"suffix":""},{"dropping-particle":"","family":"Najda","given":"Jacek","non-dropping-particle":"","parse-names":false,"suffix":""},{"dropping-particle":"","family":"Czerw","given":"Tomasz","non-dropping-particle":"","parse-names":false,"suffix":""},{"dropping-particle":"","family":"Mendrek","given":"Włodzimierz","non-dropping-particle":"","parse-names":false,"suffix":""},{"dropping-particle":"","family":"Sobczyk-Kruszelnicka","given":"Małgorzata","non-dropping-particle":"","parse-names":false,"suffix":""},{"dropping-particle":"","family":"Soska","given":"Katarzyna","non-dropping-particle":"","parse-names":false,"suffix":""},{"dropping-particle":"","family":"Ociepa","given":"Małgorzata","non-dropping-particle":"","parse-names":false,"suffix":""},{"dropping-particle":"","family":"Hołowiecki","given":"Jerzy","non-dropping-particle":"","parse-names":false,"suffix":""},{"dropping-particle":"","family":"Giebel","given":"Sebastian","non-dropping-particle":"","parse-names":false,"suffix":""}],"container-title":"Contemporary oncology (Poznan, Poland)","id":"ITEM-2","issue":"2","issued":{"date-parts":[["2018"]]},"page":"113-117","publisher":"Termedia Publishing","title":"Comparable safety profile of BeEAM (bendamustine, etoposide, cytarabine, melphalan) and BEAM (carmustine, etoposide, cytarabine, melphalan) as conditioning before autologous haematopoietic cell transplantation.","type":"article-journal","volume":"22"},"uris":["http://www.mendeley.com/documents/?uuid=5cbf9ec0-cb46-34bb-9da8-ba263a19a7fa","http://www.mendeley.com/documents/?uuid=fae33e18-ab1d-4ae6-86c6-c9c239bca9c9"]},{"id":"ITEM-3","itemData":{"DOI":"10.1038/sj.bmt.1700913","ISSN":"0268-3369","PMID":"9313877","abstract":"In the present paper, we evaluate tolerability, outcome and prognostic factors in patients with poor prognosis non-Hodgkin's lymphoma (NHL) and Hodgkin's disease (HD) when uniformly treated with BCNU, etoposide, cytarabine and melphalan (BEAM) and autologous stem cell transplant (ASCT). On hundred and forty-eight patients with NHL (n = 112) or HD (n = 36) received BEAM followed by infusion of bone marrow (n = 55), peripheral blood stem cells (n = 79) or both (n = 14). Twenty-eight patients had low-grade lymphoma (LGL), 68 intermediate- and 16 high-grade lymphoma (IGL). Within the NHL group, 21 patients were in 2nd or subsequent complete remission (CR) at transplant, 34 had sensitive disease and 11 resistant disease; 46 patients were transplanted in 1st CR due to the presence of &gt; or = 2 adverse prognostic features at diagnosis or to a slow CR. Of the HD patients at transplant 17 had active disease, 16 were in &gt; or = 2 CR and three in 1st CR. The overall percentage of toxic deaths was 5.4%, while in the group of patients transplanted with PBSC it was only 1.3%. NHL patients: 78% were in CR following ASCT, including 25 out of 45 patients (56%) who were transplanted with active disease. Only two of the 11 patients transplanted with resistant disease achieved CR. Incidence of overall survival (OS) and disease-free survival (DFS) at 3 years was 65 and 75%, respectively. As far as histology was concerned, OS was significantly better for patients with LGL in comparison with IGL (88 vs 56%) (P = 0.002). DFS was significantly higher for patients transplanted in first CR or first partial remission (PR) than it was for those transplanted in a later CR or PR (86 vs 53%) (P = 0.02). Multivariate analysis for OS showed that histology, bulky disease, poor performance status at transplant and achievement of CR were independent prognostic factors. In addition, a high number of infused MNC was associated with poor DFS. HD patients: 30 (83%) were in CR after transplantation, with 25 maintaining CR at the end of the study. Only one of the four patients transplanted with resistant disease reached CR. Incidence of OS and DFS at 3 years was 78 and 81%. DFS was similar for patients transplanted with early or late relapse (95 and 93%). With multivariate analysis, the only independent variable for OS was CR after transplant. In conclusion, the present results demonstrate the efficacy and low toxicity of the BEAM regimen in high-risk lymphoma patients with sensitive disease. Othe…","author":[{"dropping-particle":"","family":"Caballero","given":"M D","non-dropping-particle":"","parse-names":false,"suffix":""},{"dropping-particle":"","family":"Rubio","given":"V","non-dropping-particle":"","parse-names":false,"suffix":""},{"dropping-particle":"","family":"Rifon","given":"J","non-dropping-particle":"","parse-names":false,"suffix":""},{"dropping-particle":"","family":"Heras","given":"I","non-dropping-particle":"","parse-names":false,"suffix":""},{"dropping-particle":"","family":"García-Sanz","given":"R","non-dropping-particle":"","parse-names":false,"suffix":""},{"dropping-particle":"","family":"Vázquez","given":"L","non-dropping-particle":"","parse-names":false,"suffix":""},{"dropping-particle":"","family":"Vidriales","given":"B","non-dropping-particle":"","parse-names":false,"suffix":""},{"dropping-particle":"","family":"Cañizo","given":"M C","non-dropping-particle":"del","parse-names":false,"suffix":""},{"dropping-particle":"","family":"Corral","given":"M","non-dropping-particle":"","parse-names":false,"suffix":""},{"dropping-particle":"","family":"Gonzalez","given":"M","non-dropping-particle":"","parse-names":false,"suffix":""},{"dropping-particle":"","family":"León","given":"A","non-dropping-particle":"","parse-names":false,"suffix":""},{"dropping-particle":"","family":"Jean-Paul","given":"E","non-dropping-particle":"","parse-names":false,"suffix":""},{"dropping-particle":"","family":"Rocha","given":"E","non-dropping-particle":"","parse-names":false,"suffix":""},{"dropping-particle":"","family":"Moraleda","given":"J M","non-dropping-particle":"","parse-names":false,"suffix":""},{"dropping-particle":"","family":"San Miguel","given":"J F","non-dropping-particle":"","parse-names":false,"suffix":""}],"container-title":"Bone marrow transplantation","id":"ITEM-3","issue":"6","issued":{"date-parts":[["1997","9"]]},"page":"451-8","publisher":"Bone Marrow Transplant","title":"BEAM chemotherapy followed by autologous stem cell support in lymphoma patients: analysis of efficacy, toxicity and prognostic factors.","type":"article-journal","volume":"20"},"uris":["http://www.mendeley.com/documents/?uuid=83d43668-9134-3bde-8ac7-eb055fb3d2a1","http://www.mendeley.com/documents/?uuid=2b94cb18-5ce5-4ed6-a557-5d87d182dcc3"]}],"mendeley":{"formattedCitation":"[241–243]","plainTextFormattedCitation":"[241–243]","previouslyFormattedCitation":"[241–243]"},"properties":{"noteIndex":0},"schema":"https://github.com/citation-style-language/schema/raw/master/csl-citation.json"}</w:instrText>
      </w:r>
      <w:r w:rsidRPr="00BA4F0F">
        <w:fldChar w:fldCharType="separate"/>
      </w:r>
      <w:r w:rsidR="006E1ADA" w:rsidRPr="006E1ADA">
        <w:rPr>
          <w:noProof/>
        </w:rPr>
        <w:t>[241–243]</w:t>
      </w:r>
      <w:r w:rsidRPr="00BA4F0F">
        <w:fldChar w:fldCharType="end"/>
      </w:r>
      <w:r w:rsidRPr="00BA4F0F">
        <w:t xml:space="preserve">. Схемы введения </w:t>
      </w:r>
      <w:r w:rsidRPr="006E60A8">
        <w:t xml:space="preserve">препаратов и дозы представлены в таблице </w:t>
      </w:r>
      <w:r w:rsidR="006E60A8" w:rsidRPr="006E60A8">
        <w:t>5</w:t>
      </w:r>
      <w:r w:rsidRPr="006E60A8">
        <w:t>.</w:t>
      </w:r>
    </w:p>
    <w:p w14:paraId="75CE8B08" w14:textId="77777777" w:rsidR="001F2346" w:rsidRPr="006E60A8" w:rsidRDefault="001F2346" w:rsidP="001F2346">
      <w:pPr>
        <w:ind w:firstLine="426"/>
      </w:pPr>
      <w:r w:rsidRPr="006E60A8">
        <w:t>Ранняя токсичность режима BEAM включает тяжелый мукозит, тошноту и рвоту, диарею, гепатотоксичность, нефротоксичность и неинфекционные легочные осложнения.</w:t>
      </w:r>
    </w:p>
    <w:p w14:paraId="0FB8B99B" w14:textId="77777777" w:rsidR="001F2346" w:rsidRPr="006E60A8" w:rsidRDefault="001F2346" w:rsidP="001F2346">
      <w:pPr>
        <w:ind w:firstLine="426"/>
      </w:pPr>
      <w:r w:rsidRPr="006E60A8">
        <w:t>Поздняя токсичность включает легочные осложнения, такие как хронический интерстициальный фиброз и снижение диффузионной способности легких (21%), инфекция (30%), метаболический синдром (17%), сердечно-сосудистые осложнения (12%), вторичные опухоли (20%).</w:t>
      </w:r>
    </w:p>
    <w:p w14:paraId="3CB520FD" w14:textId="77777777" w:rsidR="001F2346" w:rsidRPr="006E60A8" w:rsidRDefault="001F2346" w:rsidP="001F2346">
      <w:pPr>
        <w:ind w:firstLine="426"/>
        <w:rPr>
          <w:b/>
        </w:rPr>
      </w:pPr>
    </w:p>
    <w:p w14:paraId="0BBF4DCC" w14:textId="2721823E" w:rsidR="001F2346" w:rsidRPr="00BA4F0F" w:rsidRDefault="001F2346" w:rsidP="001F2346">
      <w:pPr>
        <w:ind w:firstLine="426"/>
      </w:pPr>
      <w:r w:rsidRPr="006E60A8">
        <w:t xml:space="preserve">Таблица </w:t>
      </w:r>
      <w:r w:rsidR="006E60A8" w:rsidRPr="006E60A8">
        <w:t>5</w:t>
      </w:r>
      <w:r w:rsidRPr="006E60A8">
        <w:t xml:space="preserve">. Схема предтрансплантационного кондиционирования </w:t>
      </w:r>
      <w:r w:rsidRPr="006E60A8">
        <w:rPr>
          <w:lang w:val="en-US"/>
        </w:rPr>
        <w:t>BEAM</w:t>
      </w:r>
      <w:r w:rsidRPr="006E60A8">
        <w:t xml:space="preserve"> </w:t>
      </w:r>
      <w:r w:rsidRPr="006E60A8">
        <w:rPr>
          <w:lang w:val="en-US"/>
        </w:rPr>
        <w:fldChar w:fldCharType="begin" w:fldLock="1"/>
      </w:r>
      <w:r w:rsidR="002736BA">
        <w:rPr>
          <w:lang w:val="en-US"/>
        </w:rPr>
        <w:instrText>ADDIN CSL_CITATION {"citationItems":[{"id":"ITEM-1","itemData":{"DOI":"10.1200/JCO.1995.13.3.588","ISSN":"0732-183X","PMID":"7884420","abstract":"PURPOSE To evaluate the outcome of patients with relapsed or resistant non-Hodgkin's lymphoma (NHL) undergoing high-dose chemotherapy and autologous bone marrow transplantation (ABMT) and to determine the main prognostic factors. PATIENTS AND METHODS One hundred seven patients with relapsed or resistant intermediate-/high-grade NHL underwent high-dose carmustine, etoposide, cytarabine, and melphalan (BEAM) chemotherapy and ABMT at University College Hospitals between September 1981 and February 1993. The minimum follow-up duration of all patients is 6 months. RESULTS At 3 months, the overall response rate to BEAM and ABMT was 73% (41% complete response and 32% partial response). The 5-year actuarial overall survival and progression-free survival rates were 41% and 35%, respectively. The early procedure-related mortality rate was 7% (eight of 107 patients). On multivariate analysis, the main prognostic factor was disease status at the time of ABMT. Patients with chemosensitive disease had an actuarial 5-year survival rate of 49% at 5 years compared with 13% for those with chemoresistant disease (P &lt; .001). For patients considered to have chemosensitive disease at the time of transplantation, there is a significant difference in the actuarial progression-free survival rates for those who received high-dose therapy after attaining a partial response to first-line therapy (69% at 5 years) as compared with those with sensitive but relapsed disease (32% at 5 years) (P = .003). CONCLUSION Patients with chemosensitive disease benefit most from high-dose chemotherapy, and those who receive such therapy early after achieving a partial response to first-line therapy have a high rate of cure.","author":[{"dropping-particle":"","family":"Mills","given":"W","non-dropping-particle":"","parse-names":false,"suffix":""},{"dropping-particle":"","family":"Chopra","given":"R","non-dropping-particle":"","parse-names":false,"suffix":""},{"dropping-particle":"","family":"McMillan","given":"A","non-dropping-particle":"","parse-names":false,"suffix":""},{"dropping-particle":"","family":"Pearce","given":"R","non-dropping-particle":"","parse-names":false,"suffix":""},{"dropping-particle":"","family":"Linch","given":"D C","non-dropping-particle":"","parse-names":false,"suffix":""},{"dropping-particle":"","family":"Goldstone","given":"A H","non-dropping-particle":"","parse-names":false,"suffix":""}],"container-title":"Journal of clinical oncology : official journal of the American Society of Clinical Oncology","id":"ITEM-1","issue":"3","issued":{"date-parts":[["1995","3"]]},"page":"588-95","publisher":"J Clin Oncol","title":"BEAM chemotherapy and autologous bone marrow transplantation for patients with relapsed or refractory non-Hodgkin's lymphoma.","type":"article-journal","volume":"13"},"uris":["http://www.mendeley.com/documents/?uuid=31ee3b3b-7e9b-351f-9bed-caba68be2117","http://www.mendeley.com/documents/?uuid=d7dd3d81-9258-4d54-8bba-a07894a41483"]},{"id":"ITEM-2","itemData":{"DOI":"10.3389/fonc.2019.00892","ISSN":"2234-943X","PMID":"31552193","abstract":"High-dose chemotherapy (HDT) followed by autologous hematopoietic stem cell transplantation (ASCT) is widely used in patients with malignant lymphomas. In Europe over 8,000 ASCTs for lymphoma were performed out of a total of 40,000 transplants according to the European Bone Marrow Transplant (EBMT) activity survey in 2017. ASCT is considered the standard treatment for eligible patients failing to achieve remission after first line chemotherapy or patients with relapsed or refractory lymphomas, including classical Hodkin's lymphoma, diffuse large B-cell lymphoma, mantle cell lymphoma, and follicular lymphoma, as well as consolidation therapy in first remission in mantle cell lymphoma. BEAM (BCNU/carmustine, etoposide, cytarabine, and melphalan) is the most commonly used conditioning regimen for ASCT in patients with relapsed/refractory (R/R) lymphomas in Europe, whereas the CBV (cyclophosphamide, BCNU, and etoposide) regimen is also widely used in North America. Recently, concerns regarding BCNU toxicity as well as restricted availability of BCNU and melphalan has determined an increasing number of transplant centers to use alternative conditioning regimens. Currently, only a few comparative studies, most of them retrospective, between different conditioning protocols regarding efficacy and toxicity have been published. Thus, in the current manuscript, we report the experience of 2 transplant centers in ASCT in R/R lymphomas with three types of conditioning: BEAM, CLV (cyclophosphamide, lomustine, etoposide) and LEAM (lomustine, etoposide, cytarabine, and melphalan), with the aim to evaluate the results of alternative conditioning regimens using lomustine (LEAM and CLV) and compare them with the standard BEAM regarding early toxicity, engraftment, and transplant related mortality (TRM). All patients developed grade IV neutropenia, anemia with/without transfusion necessity. Severe thrombocytopenia with transfusion requirements is reported in most cases. Median time to platelet engraftment and neutrophil engraftment was 13 days (range) and 10 days (range), respectively. Gastrointestinal toxicity was the most common non-hematologic toxicity after all three conditioning regimens. Oral mucositis in various grades from I to IV was diagnosed in most cases. Other side effects include vomiting, diarrhea, colitis, and skin rash but with low severity grades. For the LEAM arm, one patient died after transplant, before engrafting, one patient didn't achieve platelet …","author":[{"dropping-particle":"","family":"Colita","given":"Andrei","non-dropping-particle":"","parse-names":false,"suffix":""},{"dropping-particle":"","family":"Colita","given":"Anca","non-dropping-particle":"","parse-names":false,"suffix":""},{"dropping-particle":"","family":"Bumbea","given":"Horia","non-dropping-particle":"","parse-names":false,"suffix":""},{"dropping-particle":"","family":"Croitoru","given":"Adina","non-dropping-particle":"","parse-names":false,"suffix":""},{"dropping-particle":"","family":"Orban","given":"Carmen","non-dropping-particle":"","parse-names":false,"suffix":""},{"dropping-particle":"","family":"Lipan","given":"Lavinia Eugenia","non-dropping-particle":"","parse-names":false,"suffix":""},{"dropping-particle":"","family":"Craciun","given":"Oana-Gabriela","non-dropping-particle":"","parse-names":false,"suffix":""},{"dropping-particle":"","family":"Soare","given":"Dan","non-dropping-particle":"","parse-names":false,"suffix":""},{"dropping-particle":"","family":"Ghimici","given":"Cecilia","non-dropping-particle":"","parse-names":false,"suffix":""},{"dropping-particle":"","family":"Manolache","given":"Raluca","non-dropping-particle":"","parse-names":false,"suffix":""},{"dropping-particle":"","family":"Gelatu","given":"Ionel","non-dropping-particle":"","parse-names":false,"suffix":""},{"dropping-particle":"","family":"Vladareanu","given":"Ana-Maria","non-dropping-particle":"","parse-names":false,"suffix":""},{"dropping-particle":"","family":"Pasca","given":"Sergiu","non-dropping-particle":"","parse-names":false,"suffix":""},{"dropping-particle":"","family":"Teodorescu","given":"Patric","non-dropping-particle":"","parse-names":false,"suffix":""},{"dropping-particle":"","family":"Dima","given":"Delia","non-dropping-particle":"","parse-names":false,"suffix":""},{"dropping-particle":"","family":"Lupu","given":"Anca","non-dropping-particle":"","parse-names":false,"suffix":""},{"dropping-particle":"","family":"Coriu","given":"Daniel","non-dropping-particle":"","parse-names":false,"suffix":""},{"dropping-particle":"","family":"Tomuleasa","given":"Ciprian","non-dropping-particle":"","parse-names":false,"suffix":""},{"dropping-particle":"","family":"Tanase","given":"Alina","non-dropping-particle":"","parse-names":false,"suffix":""}],"container-title":"Frontiers in oncology","id":"ITEM-2","issued":{"date-parts":[["2019","9"]]},"page":"892","title":"LEAM vs. BEAM vs. CLV Conditioning Regimen for Autologous Stem Cell Transplantation in Malignant Lymphomas. Retrospective Comparison of Toxicity and Efficacy on 222 Patients in the First 100 Days After Transplant, On Behalf of the Romanian Society for Bon","type":"article-journal","volume":"9"},"uris":["http://www.mendeley.com/documents/?uuid=f0950c98-e48f-3e46-9b59-e92d523f0b5d","http://www.mendeley.com/documents/?uuid=1a8d312b-cff1-42d2-81dd-d36c0430abd5"]},{"id":"ITEM-3","itemData":{"ISBN":"9783030022778","author":[{"dropping-particle":"","family":"Enric Carreras","given":"Dufour Carlo","non-dropping-particle":"","parse-names":false,"suffix":""},{"dropping-particle":"","family":"Mohty Mohamad","given":"Kröger Nicolaus","non-dropping-particle":"","parse-names":false,"suffix":""}],"id":"ITEM-3","issued":{"date-parts":[["2019"]]},"number-of-pages":"702","title":"Hematopoietic Stem Cell Transplantation and Cellular Therapies","type":"book"},"uris":["http://www.mendeley.com/documents/?uuid=b2895edd-cfbd-4cbf-8d9b-e50422d61d71","http://www.mendeley.com/documents/?uuid=891fa663-7797-4301-8893-3b0a5d75b173"]},{"id":"ITEM-4","itemData":{"DOI":"10.5114/wo.2018.77046","ISSN":"1428-2526","PMID":"30150889","abstract":"Introduction BEAM (carmustine, etoposide, cytarabine, melphalan) is the most frequently used high-dose chemotherapy regimen for patients with lymphoma referred for autologous haematopoietic cell transplantation (autoHCT). Recently, a novel conditioning protocol containing bendamustine instead of carmustine (BeEAM) has been proposed to potentially increase the efficacy. Aim of the study The aim of this study was to retrospectively compare the safety profile of BEAM and BeEAM based on single-centre experience. Material and methods A total of 237 consecutive patients with lymphoma treated with either BEAM (n = 174) or BeEAM (n = 63), between the years 2011 and 2016, were included in the analysis. Clinical characteristics of both groups were comparable. Patients with Hodgkin's lymphoma (HL) constituted 49% of the BEAM group and 40% of the BeEAM group. Results Median time to neutrophil &gt; 0.5 × 109/l recovery was 10 days in both groups (p = 0.29), while median time to platelet &gt; 50 × 109/l recovery was 13 and 14 days after BEAM and BeEAM, respectively (p = 0.12). The toxicity profile was comparable except for arterial hypertension and severe hypokalaemia, which occurred more frequently after BeEAM compared to BEAM (p = 0.02 and p = 0.004, respectively). The rate of early mortality was 1.7% and 1.6%, respectively. The probabilities of the overall and progression-free survival were comparable for both groups (p = 0.73 and p = 0.55, respectively). Conclusions Administration of bendamustine instead of carmustine as part of conditioning does not affect the engraftment or the toxicity profile of the regimen. Therefore, BeEAM may be safely used in patients with lymphoma undergoing autoHCT. Its efficacy requires evaluation in prospective studies.","author":[{"dropping-particle":"","family":"Frankiewicz","given":"Andrzej","non-dropping-particle":"","parse-names":false,"suffix":""},{"dropping-particle":"","family":"Saduś-Wojciechowska","given":"Maria","non-dropping-particle":"","parse-names":false,"suffix":""},{"dropping-particle":"","family":"Najda","given":"Jacek","non-dropping-particle":"","parse-names":false,"suffix":""},{"dropping-particle":"","family":"Czerw","given":"Tomasz","non-dropping-particle":"","parse-names":false,"suffix":""},{"dropping-particle":"","family":"Mendrek","given":"Włodzimierz","non-dropping-particle":"","parse-names":false,"suffix":""},{"dropping-particle":"","family":"Sobczyk-Kruszelnicka","given":"Małgorzata","non-dropping-particle":"","parse-names":false,"suffix":""},{"dropping-particle":"","family":"Soska","given":"Katarzyna","non-dropping-particle":"","parse-names":false,"suffix":""},{"dropping-particle":"","family":"Ociepa","given":"Małgorzata","non-dropping-particle":"","parse-names":false,"suffix":""},{"dropping-particle":"","family":"Hołowiecki","given":"Jerzy","non-dropping-particle":"","parse-names":false,"suffix":""},{"dropping-particle":"","family":"Giebel","given":"Sebastian","non-dropping-particle":"","parse-names":false,"suffix":""}],"container-title":"Contemporary oncology (Poznan, Poland)","id":"ITEM-4","issue":"2","issued":{"date-parts":[["2018"]]},"page":"113-117","publisher":"Termedia Publishing","title":"Comparable safety profile of BeEAM (bendamustine, etoposide, cytarabine, melphalan) and BEAM (carmustine, etoposide, cytarabine, melphalan) as conditioning before autologous haematopoietic cell transplantation.","type":"article-journal","volume":"22"},"uris":["http://www.mendeley.com/documents/?uuid=fae33e18-ab1d-4ae6-86c6-c9c239bca9c9","http://www.mendeley.com/documents/?uuid=5cbf9ec0-cb46-34bb-9da8-ba263a19a7fa","http://www.mendeley.com/documents/?uuid=16329f66-6ee6-49a6-bcf0-a4309ffb9b19"]},{"id":"ITEM-5","itemData":{"DOI":"10.1038/sj.bmt.1700913","ISSN":"0268-3369","PMID":"9313877","abstract":"In the present paper, we evaluate tolerability, outcome and prognostic factors in patients with poor prognosis non-Hodgkin's lymphoma (NHL) and Hodgkin's disease (HD) when uniformly treated with BCNU, etoposide, cytarabine and melphalan (BEAM) and autologous stem cell transplant (ASCT). On hundred and forty-eight patients with NHL (n = 112) or HD (n = 36) received BEAM followed by infusion of bone marrow (n = 55), peripheral blood stem cells (n = 79) or both (n = 14). Twenty-eight patients had low-grade lymphoma (LGL), 68 intermediate- and 16 high-grade lymphoma (IGL). Within the NHL group, 21 patients were in 2nd or subsequent complete remission (CR) at transplant, 34 had sensitive disease and 11 resistant disease; 46 patients were transplanted in 1st CR due to the presence of &gt; or = 2 adverse prognostic features at diagnosis or to a slow CR. Of the HD patients at transplant 17 had active disease, 16 were in &gt; or = 2 CR and three in 1st CR. The overall percentage of toxic deaths was 5.4%, while in the group of patients transplanted with PBSC it was only 1.3%. NHL patients: 78% were in CR following ASCT, including 25 out of 45 patients (56%) who were transplanted with active disease. Only two of the 11 patients transplanted with resistant disease achieved CR. Incidence of overall survival (OS) and disease-free survival (DFS) at 3 years was 65 and 75%, respectively. As far as histology was concerned, OS was significantly better for patients with LGL in comparison with IGL (88 vs 56%) (P = 0.002). DFS was significantly higher for patients transplanted in first CR or first partial remission (PR) than it was for those transplanted in a later CR or PR (86 vs 53%) (P = 0.02). Multivariate analysis for OS showed that histology, bulky disease, poor performance status at transplant and achievement of CR were independent prognostic factors. In addition, a high number of infused MNC was associated with poor DFS. HD patients: 30 (83%) were in CR after transplantation, with 25 maintaining CR at the end of the study. Only one of the four patients transplanted with resistant disease reached CR. Incidence of OS and DFS at 3 years was 78 and 81%. DFS was similar for patients transplanted with early or late relapse (95 and 93%). With multivariate analysis, the only independent variable for OS was CR after transplant. In conclusion, the present results demonstrate the efficacy and low toxicity of the BEAM regimen in high-risk lymphoma patients with sensitive disease. Othe…","author":[{"dropping-particle":"","family":"Caballero","given":"M D","non-dropping-particle":"","parse-names":false,"suffix":""},{"dropping-particle":"","family":"Rubio","given":"V","non-dropping-particle":"","parse-names":false,"suffix":""},{"dropping-particle":"","family":"Rifon","given":"J","non-dropping-particle":"","parse-names":false,"suffix":""},{"dropping-particle":"","family":"Heras","given":"I","non-dropping-particle":"","parse-names":false,"suffix":""},{"dropping-particle":"","family":"García-Sanz","given":"R","non-dropping-particle":"","parse-names":false,"suffix":""},{"dropping-particle":"","family":"Vázquez","given":"L","non-dropping-particle":"","parse-names":false,"suffix":""},{"dropping-particle":"","family":"Vidriales","given":"B","non-dropping-particle":"","parse-names":false,"suffix":""},{"dropping-particle":"","family":"Cañizo","given":"M C","non-dropping-particle":"del","parse-names":false,"suffix":""},{"dropping-particle":"","family":"Corral","given":"M","non-dropping-particle":"","parse-names":false,"suffix":""},{"dropping-particle":"","family":"Gonzalez","given":"M","non-dropping-particle":"","parse-names":false,"suffix":""},{"dropping-particle":"","family":"León","given":"A","non-dropping-particle":"","parse-names":false,"suffix":""},{"dropping-particle":"","family":"Jean-Paul","given":"E","non-dropping-particle":"","parse-names":false,"suffix":""},{"dropping-particle":"","family":"Rocha","given":"E","non-dropping-particle":"","parse-names":false,"suffix":""},{"dropping-particle":"","family":"Moraleda","given":"J M","non-dropping-particle":"","parse-names":false,"suffix":""},{"dropping-particle":"","family":"San Miguel","given":"J F","non-dropping-particle":"","parse-names":false,"suffix":""}],"container-title":"Bone marrow transplantation","id":"ITEM-5","issue":"6","issued":{"date-parts":[["1997","9"]]},"page":"451-8","publisher":"Bone Marrow Transplant","title":"BEAM chemotherapy followed by autologous stem cell support in lymphoma patients: analysis of efficacy, toxicity and prognostic factors.","type":"article-journal","volume":"20"},"uris":["http://www.mendeley.com/documents/?uuid=2b94cb18-5ce5-4ed6-a557-5d87d182dcc3","http://www.mendeley.com/documents/?uuid=83d43668-9134-3bde-8ac7-eb055fb3d2a1","http://www.mendeley.com/documents/?uuid=45bc2ec5-b853-48e8-a5e0-d90f0a5a885e"]}],"mendeley":{"formattedCitation":"[241–245]","plainTextFormattedCitation":"[241–245]","previouslyFormattedCitation":"[241–245]"},"properties":{"noteIndex":0},"schema":"https://github.com/citation-style-language/schema/raw/master/csl-citation.json"}</w:instrText>
      </w:r>
      <w:r w:rsidRPr="006E60A8">
        <w:rPr>
          <w:lang w:val="en-US"/>
        </w:rPr>
        <w:fldChar w:fldCharType="separate"/>
      </w:r>
      <w:r w:rsidR="006E1ADA" w:rsidRPr="006E1ADA">
        <w:rPr>
          <w:noProof/>
        </w:rPr>
        <w:t>[241–245]</w:t>
      </w:r>
      <w:r w:rsidRPr="006E60A8">
        <w:rPr>
          <w:lang w:val="en-US"/>
        </w:rPr>
        <w:fldChar w:fldCharType="end"/>
      </w:r>
    </w:p>
    <w:tbl>
      <w:tblPr>
        <w:tblStyle w:val="aff9"/>
        <w:tblW w:w="0" w:type="auto"/>
        <w:tblInd w:w="108" w:type="dxa"/>
        <w:tblLayout w:type="fixed"/>
        <w:tblLook w:val="04A0" w:firstRow="1" w:lastRow="0" w:firstColumn="1" w:lastColumn="0" w:noHBand="0" w:noVBand="1"/>
      </w:tblPr>
      <w:tblGrid>
        <w:gridCol w:w="1418"/>
        <w:gridCol w:w="1701"/>
        <w:gridCol w:w="1134"/>
        <w:gridCol w:w="1276"/>
        <w:gridCol w:w="1275"/>
        <w:gridCol w:w="2659"/>
      </w:tblGrid>
      <w:tr w:rsidR="001F2346" w:rsidRPr="00BA4F0F" w14:paraId="177D91A3" w14:textId="77777777" w:rsidTr="002D3EBF">
        <w:tc>
          <w:tcPr>
            <w:tcW w:w="1418" w:type="dxa"/>
          </w:tcPr>
          <w:p w14:paraId="45185450" w14:textId="77777777" w:rsidR="001F2346" w:rsidRPr="00BA4F0F" w:rsidRDefault="001F2346" w:rsidP="006E60A8">
            <w:pPr>
              <w:pStyle w:val="afe"/>
              <w:ind w:left="0" w:firstLine="0"/>
              <w:rPr>
                <w:rFonts w:cs="Times New Roman"/>
                <w:szCs w:val="24"/>
              </w:rPr>
            </w:pPr>
            <w:r w:rsidRPr="00BA4F0F">
              <w:rPr>
                <w:rFonts w:cs="Times New Roman"/>
                <w:szCs w:val="24"/>
              </w:rPr>
              <w:lastRenderedPageBreak/>
              <w:t>Препарат</w:t>
            </w:r>
          </w:p>
        </w:tc>
        <w:tc>
          <w:tcPr>
            <w:tcW w:w="1701" w:type="dxa"/>
          </w:tcPr>
          <w:p w14:paraId="51676CA9" w14:textId="77777777" w:rsidR="001F2346" w:rsidRPr="00BA4F0F" w:rsidRDefault="001F2346" w:rsidP="006E60A8">
            <w:pPr>
              <w:pStyle w:val="afe"/>
              <w:ind w:left="0" w:firstLine="0"/>
              <w:rPr>
                <w:rFonts w:cs="Times New Roman"/>
                <w:szCs w:val="24"/>
              </w:rPr>
            </w:pPr>
            <w:r w:rsidRPr="00BA4F0F">
              <w:rPr>
                <w:rFonts w:cs="Times New Roman"/>
                <w:szCs w:val="24"/>
              </w:rPr>
              <w:t>Дни введения перед ауто-ТГСК</w:t>
            </w:r>
          </w:p>
        </w:tc>
        <w:tc>
          <w:tcPr>
            <w:tcW w:w="1134" w:type="dxa"/>
          </w:tcPr>
          <w:p w14:paraId="07C062F1" w14:textId="77777777" w:rsidR="001F2346" w:rsidRPr="00BA4F0F" w:rsidRDefault="001F2346" w:rsidP="006E60A8">
            <w:pPr>
              <w:pStyle w:val="afe"/>
              <w:ind w:left="0" w:firstLine="0"/>
              <w:rPr>
                <w:rFonts w:cs="Times New Roman"/>
                <w:szCs w:val="24"/>
              </w:rPr>
            </w:pPr>
            <w:r w:rsidRPr="00BA4F0F">
              <w:rPr>
                <w:rFonts w:cs="Times New Roman"/>
                <w:szCs w:val="24"/>
              </w:rPr>
              <w:t>Разовая доза</w:t>
            </w:r>
          </w:p>
        </w:tc>
        <w:tc>
          <w:tcPr>
            <w:tcW w:w="1276" w:type="dxa"/>
          </w:tcPr>
          <w:p w14:paraId="7AA07F54" w14:textId="77777777" w:rsidR="001F2346" w:rsidRPr="00BA4F0F" w:rsidRDefault="001F2346" w:rsidP="006E60A8">
            <w:pPr>
              <w:pStyle w:val="afe"/>
              <w:ind w:left="0" w:firstLine="0"/>
              <w:rPr>
                <w:rFonts w:cs="Times New Roman"/>
                <w:szCs w:val="24"/>
              </w:rPr>
            </w:pPr>
            <w:r w:rsidRPr="00BA4F0F">
              <w:rPr>
                <w:rFonts w:cs="Times New Roman"/>
                <w:szCs w:val="24"/>
              </w:rPr>
              <w:t>Суточная доза</w:t>
            </w:r>
          </w:p>
        </w:tc>
        <w:tc>
          <w:tcPr>
            <w:tcW w:w="1275" w:type="dxa"/>
          </w:tcPr>
          <w:p w14:paraId="7A41BA2A" w14:textId="77777777" w:rsidR="001F2346" w:rsidRPr="00BA4F0F" w:rsidRDefault="001F2346" w:rsidP="006E60A8">
            <w:pPr>
              <w:pStyle w:val="afe"/>
              <w:ind w:left="0" w:firstLine="0"/>
              <w:rPr>
                <w:rFonts w:cs="Times New Roman"/>
                <w:szCs w:val="24"/>
              </w:rPr>
            </w:pPr>
            <w:r w:rsidRPr="00BA4F0F">
              <w:rPr>
                <w:rFonts w:cs="Times New Roman"/>
                <w:szCs w:val="24"/>
              </w:rPr>
              <w:t>Курсовая доза</w:t>
            </w:r>
          </w:p>
        </w:tc>
        <w:tc>
          <w:tcPr>
            <w:tcW w:w="2659" w:type="dxa"/>
          </w:tcPr>
          <w:p w14:paraId="468FD8D1" w14:textId="77777777" w:rsidR="001F2346" w:rsidRPr="00BA4F0F" w:rsidRDefault="001F2346" w:rsidP="006E60A8">
            <w:pPr>
              <w:pStyle w:val="afe"/>
              <w:ind w:left="0" w:firstLine="0"/>
              <w:rPr>
                <w:rFonts w:cs="Times New Roman"/>
                <w:szCs w:val="24"/>
              </w:rPr>
            </w:pPr>
            <w:r w:rsidRPr="00BA4F0F">
              <w:rPr>
                <w:rFonts w:cs="Times New Roman"/>
                <w:szCs w:val="24"/>
              </w:rPr>
              <w:t>Особенности введения</w:t>
            </w:r>
          </w:p>
        </w:tc>
      </w:tr>
      <w:tr w:rsidR="001F2346" w:rsidRPr="00BA4F0F" w14:paraId="4C3D0AFC" w14:textId="77777777" w:rsidTr="002D3EBF">
        <w:tc>
          <w:tcPr>
            <w:tcW w:w="1418" w:type="dxa"/>
          </w:tcPr>
          <w:p w14:paraId="4748C72C" w14:textId="77777777" w:rsidR="001F2346" w:rsidRPr="00BA4F0F" w:rsidRDefault="001F2346" w:rsidP="006E60A8">
            <w:pPr>
              <w:pStyle w:val="afe"/>
              <w:ind w:left="0" w:firstLine="0"/>
              <w:jc w:val="center"/>
              <w:rPr>
                <w:rFonts w:cs="Times New Roman"/>
                <w:szCs w:val="24"/>
              </w:rPr>
            </w:pPr>
            <w:r w:rsidRPr="00BA4F0F">
              <w:rPr>
                <w:rFonts w:cs="Times New Roman"/>
                <w:szCs w:val="24"/>
              </w:rPr>
              <w:t>Кармустин</w:t>
            </w:r>
          </w:p>
        </w:tc>
        <w:tc>
          <w:tcPr>
            <w:tcW w:w="1701" w:type="dxa"/>
          </w:tcPr>
          <w:p w14:paraId="4E0DBC39" w14:textId="77777777" w:rsidR="001F2346" w:rsidRPr="00BA4F0F" w:rsidRDefault="001F2346" w:rsidP="006E60A8">
            <w:pPr>
              <w:pStyle w:val="afe"/>
              <w:ind w:left="0" w:firstLine="0"/>
              <w:jc w:val="center"/>
              <w:rPr>
                <w:rFonts w:cs="Times New Roman"/>
                <w:szCs w:val="24"/>
              </w:rPr>
            </w:pPr>
            <w:r w:rsidRPr="00BA4F0F">
              <w:rPr>
                <w:rFonts w:cs="Times New Roman"/>
                <w:szCs w:val="24"/>
              </w:rPr>
              <w:t>-6 день</w:t>
            </w:r>
          </w:p>
        </w:tc>
        <w:tc>
          <w:tcPr>
            <w:tcW w:w="1134" w:type="dxa"/>
          </w:tcPr>
          <w:p w14:paraId="7FFABD5B" w14:textId="77777777" w:rsidR="001F2346" w:rsidRPr="00BA4F0F" w:rsidRDefault="001F2346" w:rsidP="006E60A8">
            <w:pPr>
              <w:pStyle w:val="afe"/>
              <w:ind w:left="0" w:firstLine="0"/>
              <w:jc w:val="center"/>
              <w:rPr>
                <w:rFonts w:cs="Times New Roman"/>
                <w:szCs w:val="24"/>
              </w:rPr>
            </w:pPr>
            <w:r w:rsidRPr="00BA4F0F">
              <w:rPr>
                <w:rFonts w:cs="Times New Roman"/>
                <w:szCs w:val="24"/>
              </w:rPr>
              <w:t>300мг/м</w:t>
            </w:r>
            <w:r w:rsidRPr="00BA4F0F">
              <w:rPr>
                <w:rFonts w:cs="Times New Roman"/>
                <w:szCs w:val="24"/>
                <w:vertAlign w:val="superscript"/>
              </w:rPr>
              <w:t>2</w:t>
            </w:r>
          </w:p>
        </w:tc>
        <w:tc>
          <w:tcPr>
            <w:tcW w:w="1276" w:type="dxa"/>
          </w:tcPr>
          <w:p w14:paraId="513F466A" w14:textId="77777777" w:rsidR="001F2346" w:rsidRPr="00BA4F0F" w:rsidRDefault="001F2346" w:rsidP="006E60A8">
            <w:pPr>
              <w:pStyle w:val="afe"/>
              <w:ind w:left="0" w:firstLine="0"/>
              <w:jc w:val="center"/>
              <w:rPr>
                <w:rFonts w:cs="Times New Roman"/>
                <w:szCs w:val="24"/>
              </w:rPr>
            </w:pPr>
            <w:r w:rsidRPr="00BA4F0F">
              <w:rPr>
                <w:rFonts w:cs="Times New Roman"/>
                <w:szCs w:val="24"/>
              </w:rPr>
              <w:t>300 мг/м</w:t>
            </w:r>
            <w:r w:rsidRPr="00BA4F0F">
              <w:rPr>
                <w:rFonts w:cs="Times New Roman"/>
                <w:szCs w:val="24"/>
                <w:vertAlign w:val="superscript"/>
              </w:rPr>
              <w:t>2</w:t>
            </w:r>
          </w:p>
        </w:tc>
        <w:tc>
          <w:tcPr>
            <w:tcW w:w="1275" w:type="dxa"/>
          </w:tcPr>
          <w:p w14:paraId="037D422E" w14:textId="77777777" w:rsidR="001F2346" w:rsidRPr="00BA4F0F" w:rsidRDefault="001F2346" w:rsidP="006E60A8">
            <w:pPr>
              <w:pStyle w:val="afe"/>
              <w:ind w:left="0" w:firstLine="0"/>
              <w:jc w:val="center"/>
              <w:rPr>
                <w:rFonts w:cs="Times New Roman"/>
                <w:szCs w:val="24"/>
              </w:rPr>
            </w:pPr>
            <w:r w:rsidRPr="00BA4F0F">
              <w:rPr>
                <w:rFonts w:cs="Times New Roman"/>
                <w:szCs w:val="24"/>
              </w:rPr>
              <w:t>300 мг/м</w:t>
            </w:r>
            <w:r w:rsidRPr="00BA4F0F">
              <w:rPr>
                <w:rFonts w:cs="Times New Roman"/>
                <w:szCs w:val="24"/>
                <w:vertAlign w:val="superscript"/>
              </w:rPr>
              <w:t>2</w:t>
            </w:r>
          </w:p>
        </w:tc>
        <w:tc>
          <w:tcPr>
            <w:tcW w:w="2659" w:type="dxa"/>
          </w:tcPr>
          <w:p w14:paraId="776080E0" w14:textId="77777777" w:rsidR="001F2346" w:rsidRPr="00BA4F0F" w:rsidRDefault="001F2346" w:rsidP="006E60A8">
            <w:pPr>
              <w:pStyle w:val="afe"/>
              <w:ind w:left="0" w:firstLine="0"/>
              <w:rPr>
                <w:rFonts w:cs="Times New Roman"/>
                <w:szCs w:val="24"/>
              </w:rPr>
            </w:pPr>
            <w:r w:rsidRPr="00BA4F0F">
              <w:rPr>
                <w:rFonts w:cs="Times New Roman"/>
                <w:szCs w:val="24"/>
              </w:rPr>
              <w:t xml:space="preserve">Вводится в/в в виде инфузии в течение 2 ч в 500 мл 0,9% </w:t>
            </w:r>
            <w:r w:rsidRPr="00BA4F0F">
              <w:rPr>
                <w:rFonts w:cs="Times New Roman"/>
                <w:szCs w:val="24"/>
                <w:lang w:val="en-US"/>
              </w:rPr>
              <w:t>NaCl</w:t>
            </w:r>
          </w:p>
        </w:tc>
      </w:tr>
      <w:tr w:rsidR="001F2346" w:rsidRPr="00BA4F0F" w14:paraId="1F10999F" w14:textId="77777777" w:rsidTr="002D3EBF">
        <w:tc>
          <w:tcPr>
            <w:tcW w:w="1418" w:type="dxa"/>
          </w:tcPr>
          <w:p w14:paraId="5CDB37E4" w14:textId="77777777" w:rsidR="001F2346" w:rsidRPr="00BA4F0F" w:rsidRDefault="001F2346" w:rsidP="006E60A8">
            <w:pPr>
              <w:pStyle w:val="afe"/>
              <w:ind w:left="0" w:firstLine="0"/>
              <w:jc w:val="center"/>
              <w:rPr>
                <w:rFonts w:cs="Times New Roman"/>
                <w:szCs w:val="24"/>
              </w:rPr>
            </w:pPr>
            <w:r w:rsidRPr="00BA4F0F">
              <w:rPr>
                <w:rFonts w:cs="Times New Roman"/>
                <w:szCs w:val="24"/>
              </w:rPr>
              <w:t>Этопозид</w:t>
            </w:r>
          </w:p>
        </w:tc>
        <w:tc>
          <w:tcPr>
            <w:tcW w:w="1701" w:type="dxa"/>
          </w:tcPr>
          <w:p w14:paraId="60FC1791" w14:textId="77777777" w:rsidR="001F2346" w:rsidRPr="00BA4F0F" w:rsidRDefault="001F2346" w:rsidP="006E60A8">
            <w:pPr>
              <w:pStyle w:val="afe"/>
              <w:ind w:left="0" w:firstLine="0"/>
              <w:jc w:val="center"/>
              <w:rPr>
                <w:rFonts w:cs="Times New Roman"/>
                <w:szCs w:val="24"/>
              </w:rPr>
            </w:pPr>
            <w:r w:rsidRPr="00BA4F0F">
              <w:rPr>
                <w:rFonts w:cs="Times New Roman"/>
                <w:szCs w:val="24"/>
              </w:rPr>
              <w:t>-5, -4, -3, -2 дни</w:t>
            </w:r>
          </w:p>
        </w:tc>
        <w:tc>
          <w:tcPr>
            <w:tcW w:w="1134" w:type="dxa"/>
          </w:tcPr>
          <w:p w14:paraId="42210B8A" w14:textId="77777777" w:rsidR="001F2346" w:rsidRPr="00BA4F0F" w:rsidRDefault="001F2346" w:rsidP="006E60A8">
            <w:pPr>
              <w:pStyle w:val="afe"/>
              <w:ind w:left="0" w:firstLine="0"/>
              <w:jc w:val="center"/>
              <w:rPr>
                <w:rFonts w:cs="Times New Roman"/>
                <w:szCs w:val="24"/>
              </w:rPr>
            </w:pPr>
            <w:r w:rsidRPr="00BA4F0F">
              <w:rPr>
                <w:rFonts w:cs="Times New Roman"/>
                <w:szCs w:val="24"/>
              </w:rPr>
              <w:t>200мг/м</w:t>
            </w:r>
            <w:r w:rsidRPr="00BA4F0F">
              <w:rPr>
                <w:rFonts w:cs="Times New Roman"/>
                <w:szCs w:val="24"/>
                <w:vertAlign w:val="superscript"/>
              </w:rPr>
              <w:t>2</w:t>
            </w:r>
          </w:p>
        </w:tc>
        <w:tc>
          <w:tcPr>
            <w:tcW w:w="1276" w:type="dxa"/>
          </w:tcPr>
          <w:p w14:paraId="08C47C43" w14:textId="77777777" w:rsidR="001F2346" w:rsidRPr="00BA4F0F" w:rsidRDefault="001F2346" w:rsidP="006E60A8">
            <w:pPr>
              <w:pStyle w:val="afe"/>
              <w:ind w:left="0" w:firstLine="0"/>
              <w:jc w:val="center"/>
              <w:rPr>
                <w:rFonts w:cs="Times New Roman"/>
                <w:szCs w:val="24"/>
              </w:rPr>
            </w:pPr>
            <w:r w:rsidRPr="00BA4F0F">
              <w:rPr>
                <w:rFonts w:cs="Times New Roman"/>
                <w:szCs w:val="24"/>
              </w:rPr>
              <w:t>200 мг/м</w:t>
            </w:r>
            <w:r w:rsidRPr="00BA4F0F">
              <w:rPr>
                <w:rFonts w:cs="Times New Roman"/>
                <w:szCs w:val="24"/>
                <w:vertAlign w:val="superscript"/>
              </w:rPr>
              <w:t>2</w:t>
            </w:r>
          </w:p>
        </w:tc>
        <w:tc>
          <w:tcPr>
            <w:tcW w:w="1275" w:type="dxa"/>
          </w:tcPr>
          <w:p w14:paraId="74DFC29F" w14:textId="77777777" w:rsidR="001F2346" w:rsidRPr="00BA4F0F" w:rsidRDefault="001F2346" w:rsidP="006E60A8">
            <w:pPr>
              <w:pStyle w:val="afe"/>
              <w:ind w:left="0" w:firstLine="0"/>
              <w:jc w:val="center"/>
              <w:rPr>
                <w:rFonts w:cs="Times New Roman"/>
                <w:szCs w:val="24"/>
              </w:rPr>
            </w:pPr>
            <w:r w:rsidRPr="00BA4F0F">
              <w:rPr>
                <w:rFonts w:cs="Times New Roman"/>
                <w:szCs w:val="24"/>
              </w:rPr>
              <w:t>800 мг/м</w:t>
            </w:r>
            <w:r w:rsidRPr="00BA4F0F">
              <w:rPr>
                <w:rFonts w:cs="Times New Roman"/>
                <w:szCs w:val="24"/>
                <w:vertAlign w:val="superscript"/>
              </w:rPr>
              <w:t>2</w:t>
            </w:r>
          </w:p>
        </w:tc>
        <w:tc>
          <w:tcPr>
            <w:tcW w:w="2659" w:type="dxa"/>
          </w:tcPr>
          <w:p w14:paraId="473A3503" w14:textId="77777777" w:rsidR="001F2346" w:rsidRPr="00BA4F0F" w:rsidRDefault="001F2346" w:rsidP="006E60A8">
            <w:pPr>
              <w:pStyle w:val="afe"/>
              <w:ind w:left="0" w:firstLine="0"/>
              <w:rPr>
                <w:rFonts w:cs="Times New Roman"/>
                <w:szCs w:val="24"/>
              </w:rPr>
            </w:pPr>
            <w:r w:rsidRPr="00BA4F0F">
              <w:rPr>
                <w:rFonts w:cs="Times New Roman"/>
                <w:szCs w:val="24"/>
              </w:rPr>
              <w:t xml:space="preserve">Вводится в/в в виде инфузии в течение 30 минут в 500 мл 0,9% </w:t>
            </w:r>
            <w:r w:rsidRPr="00BA4F0F">
              <w:rPr>
                <w:rFonts w:cs="Times New Roman"/>
                <w:szCs w:val="24"/>
                <w:lang w:val="en-US"/>
              </w:rPr>
              <w:t>NaCl</w:t>
            </w:r>
          </w:p>
        </w:tc>
      </w:tr>
      <w:tr w:rsidR="001F2346" w:rsidRPr="00BA4F0F" w14:paraId="54A5A3EF" w14:textId="77777777" w:rsidTr="002D3EBF">
        <w:tc>
          <w:tcPr>
            <w:tcW w:w="1418" w:type="dxa"/>
          </w:tcPr>
          <w:p w14:paraId="5AE220F5" w14:textId="77777777" w:rsidR="001F2346" w:rsidRPr="00BA4F0F" w:rsidRDefault="001F2346" w:rsidP="006E60A8">
            <w:pPr>
              <w:pStyle w:val="afe"/>
              <w:ind w:left="0" w:firstLine="0"/>
              <w:jc w:val="center"/>
              <w:rPr>
                <w:rFonts w:cs="Times New Roman"/>
                <w:szCs w:val="24"/>
              </w:rPr>
            </w:pPr>
            <w:r w:rsidRPr="00BA4F0F">
              <w:rPr>
                <w:rFonts w:cs="Times New Roman"/>
                <w:szCs w:val="24"/>
              </w:rPr>
              <w:t>Цитарабин</w:t>
            </w:r>
          </w:p>
        </w:tc>
        <w:tc>
          <w:tcPr>
            <w:tcW w:w="1701" w:type="dxa"/>
          </w:tcPr>
          <w:p w14:paraId="301739B0" w14:textId="77777777" w:rsidR="001F2346" w:rsidRPr="00BA4F0F" w:rsidRDefault="001F2346" w:rsidP="006E60A8">
            <w:pPr>
              <w:pStyle w:val="afe"/>
              <w:ind w:left="0" w:firstLine="0"/>
              <w:jc w:val="center"/>
              <w:rPr>
                <w:rFonts w:cs="Times New Roman"/>
                <w:szCs w:val="24"/>
              </w:rPr>
            </w:pPr>
            <w:r w:rsidRPr="00BA4F0F">
              <w:rPr>
                <w:rFonts w:cs="Times New Roman"/>
                <w:szCs w:val="24"/>
              </w:rPr>
              <w:t>-5, -4, -3, -2 дни</w:t>
            </w:r>
          </w:p>
        </w:tc>
        <w:tc>
          <w:tcPr>
            <w:tcW w:w="1134" w:type="dxa"/>
          </w:tcPr>
          <w:p w14:paraId="060CD0E2" w14:textId="77777777" w:rsidR="001F2346" w:rsidRPr="00BA4F0F" w:rsidRDefault="001F2346" w:rsidP="006E60A8">
            <w:pPr>
              <w:pStyle w:val="afe"/>
              <w:ind w:left="0" w:firstLine="0"/>
              <w:jc w:val="center"/>
              <w:rPr>
                <w:rFonts w:cs="Times New Roman"/>
                <w:szCs w:val="24"/>
              </w:rPr>
            </w:pPr>
            <w:r w:rsidRPr="00BA4F0F">
              <w:rPr>
                <w:rFonts w:cs="Times New Roman"/>
                <w:szCs w:val="24"/>
              </w:rPr>
              <w:t>200мг/м</w:t>
            </w:r>
            <w:r w:rsidRPr="00BA4F0F">
              <w:rPr>
                <w:rFonts w:cs="Times New Roman"/>
                <w:szCs w:val="24"/>
                <w:vertAlign w:val="superscript"/>
              </w:rPr>
              <w:t>2</w:t>
            </w:r>
          </w:p>
        </w:tc>
        <w:tc>
          <w:tcPr>
            <w:tcW w:w="1276" w:type="dxa"/>
          </w:tcPr>
          <w:p w14:paraId="34B62D91" w14:textId="77777777" w:rsidR="001F2346" w:rsidRPr="00BA4F0F" w:rsidRDefault="001F2346" w:rsidP="006E60A8">
            <w:pPr>
              <w:pStyle w:val="afe"/>
              <w:ind w:left="0" w:firstLine="0"/>
              <w:jc w:val="center"/>
              <w:rPr>
                <w:rFonts w:cs="Times New Roman"/>
                <w:szCs w:val="24"/>
              </w:rPr>
            </w:pPr>
            <w:r w:rsidRPr="00BA4F0F">
              <w:rPr>
                <w:rFonts w:cs="Times New Roman"/>
                <w:szCs w:val="24"/>
              </w:rPr>
              <w:t>400 мг/ м</w:t>
            </w:r>
            <w:r w:rsidRPr="00BA4F0F">
              <w:rPr>
                <w:rFonts w:cs="Times New Roman"/>
                <w:szCs w:val="24"/>
                <w:vertAlign w:val="superscript"/>
              </w:rPr>
              <w:t>2</w:t>
            </w:r>
          </w:p>
        </w:tc>
        <w:tc>
          <w:tcPr>
            <w:tcW w:w="1275" w:type="dxa"/>
          </w:tcPr>
          <w:p w14:paraId="4BFEE7BF" w14:textId="77777777" w:rsidR="001F2346" w:rsidRPr="00BA4F0F" w:rsidRDefault="001F2346" w:rsidP="006E60A8">
            <w:pPr>
              <w:pStyle w:val="afe"/>
              <w:ind w:left="0" w:firstLine="0"/>
              <w:jc w:val="center"/>
              <w:rPr>
                <w:rFonts w:cs="Times New Roman"/>
                <w:szCs w:val="24"/>
              </w:rPr>
            </w:pPr>
            <w:r w:rsidRPr="00BA4F0F">
              <w:rPr>
                <w:rFonts w:cs="Times New Roman"/>
                <w:szCs w:val="24"/>
              </w:rPr>
              <w:t>1600 мг/м</w:t>
            </w:r>
            <w:r w:rsidRPr="00BA4F0F">
              <w:rPr>
                <w:rFonts w:cs="Times New Roman"/>
                <w:szCs w:val="24"/>
                <w:vertAlign w:val="superscript"/>
              </w:rPr>
              <w:t>2</w:t>
            </w:r>
          </w:p>
        </w:tc>
        <w:tc>
          <w:tcPr>
            <w:tcW w:w="2659" w:type="dxa"/>
          </w:tcPr>
          <w:p w14:paraId="0D0D5C96" w14:textId="77777777" w:rsidR="001F2346" w:rsidRPr="00BA4F0F" w:rsidRDefault="001F2346" w:rsidP="006E60A8">
            <w:pPr>
              <w:pStyle w:val="afe"/>
              <w:ind w:left="0" w:firstLine="0"/>
              <w:rPr>
                <w:rFonts w:cs="Times New Roman"/>
                <w:szCs w:val="24"/>
              </w:rPr>
            </w:pPr>
            <w:r w:rsidRPr="00BA4F0F">
              <w:rPr>
                <w:rFonts w:cs="Times New Roman"/>
                <w:szCs w:val="24"/>
              </w:rPr>
              <w:t xml:space="preserve">Вводится в/в в виде инфузии в течение 30 минут в 500 мл 0,9% </w:t>
            </w:r>
            <w:r w:rsidRPr="00BA4F0F">
              <w:rPr>
                <w:rFonts w:cs="Times New Roman"/>
                <w:szCs w:val="24"/>
                <w:lang w:val="en-US"/>
              </w:rPr>
              <w:t>NaCl</w:t>
            </w:r>
          </w:p>
        </w:tc>
      </w:tr>
      <w:tr w:rsidR="001F2346" w:rsidRPr="00BA4F0F" w14:paraId="266FDC43" w14:textId="77777777" w:rsidTr="002D3EBF">
        <w:tc>
          <w:tcPr>
            <w:tcW w:w="1418" w:type="dxa"/>
          </w:tcPr>
          <w:p w14:paraId="718EDF90" w14:textId="77777777" w:rsidR="001F2346" w:rsidRPr="00BA4F0F" w:rsidRDefault="001F2346" w:rsidP="006E60A8">
            <w:pPr>
              <w:pStyle w:val="afe"/>
              <w:ind w:left="0" w:firstLine="0"/>
              <w:jc w:val="center"/>
              <w:rPr>
                <w:rFonts w:cs="Times New Roman"/>
                <w:szCs w:val="24"/>
              </w:rPr>
            </w:pPr>
            <w:r w:rsidRPr="00BA4F0F">
              <w:rPr>
                <w:rFonts w:cs="Times New Roman"/>
                <w:szCs w:val="24"/>
              </w:rPr>
              <w:t>Мелфалан</w:t>
            </w:r>
          </w:p>
        </w:tc>
        <w:tc>
          <w:tcPr>
            <w:tcW w:w="1701" w:type="dxa"/>
          </w:tcPr>
          <w:p w14:paraId="11238C0E" w14:textId="77777777" w:rsidR="001F2346" w:rsidRPr="00BA4F0F" w:rsidRDefault="001F2346" w:rsidP="006E60A8">
            <w:pPr>
              <w:pStyle w:val="afe"/>
              <w:ind w:left="0" w:firstLine="0"/>
              <w:jc w:val="center"/>
              <w:rPr>
                <w:rFonts w:cs="Times New Roman"/>
                <w:szCs w:val="24"/>
              </w:rPr>
            </w:pPr>
            <w:r w:rsidRPr="00BA4F0F">
              <w:rPr>
                <w:rFonts w:cs="Times New Roman"/>
                <w:szCs w:val="24"/>
              </w:rPr>
              <w:t>- 1 день</w:t>
            </w:r>
          </w:p>
        </w:tc>
        <w:tc>
          <w:tcPr>
            <w:tcW w:w="1134" w:type="dxa"/>
          </w:tcPr>
          <w:p w14:paraId="1BC0A890" w14:textId="77777777" w:rsidR="001F2346" w:rsidRPr="00BA4F0F" w:rsidRDefault="001F2346" w:rsidP="006E60A8">
            <w:pPr>
              <w:pStyle w:val="afe"/>
              <w:ind w:left="0" w:firstLine="0"/>
              <w:jc w:val="center"/>
              <w:rPr>
                <w:rFonts w:cs="Times New Roman"/>
                <w:szCs w:val="24"/>
              </w:rPr>
            </w:pPr>
            <w:r w:rsidRPr="00BA4F0F">
              <w:rPr>
                <w:rFonts w:cs="Times New Roman"/>
                <w:szCs w:val="24"/>
              </w:rPr>
              <w:t>140мг/м</w:t>
            </w:r>
            <w:r w:rsidRPr="00BA4F0F">
              <w:rPr>
                <w:rFonts w:cs="Times New Roman"/>
                <w:szCs w:val="24"/>
                <w:vertAlign w:val="superscript"/>
              </w:rPr>
              <w:t>2</w:t>
            </w:r>
          </w:p>
        </w:tc>
        <w:tc>
          <w:tcPr>
            <w:tcW w:w="1276" w:type="dxa"/>
          </w:tcPr>
          <w:p w14:paraId="490F6DFC" w14:textId="77777777" w:rsidR="001F2346" w:rsidRPr="00BA4F0F" w:rsidRDefault="001F2346" w:rsidP="006E60A8">
            <w:pPr>
              <w:pStyle w:val="afe"/>
              <w:ind w:left="0" w:firstLine="0"/>
              <w:jc w:val="center"/>
              <w:rPr>
                <w:rFonts w:cs="Times New Roman"/>
                <w:szCs w:val="24"/>
              </w:rPr>
            </w:pPr>
            <w:r w:rsidRPr="00BA4F0F">
              <w:rPr>
                <w:rFonts w:cs="Times New Roman"/>
                <w:szCs w:val="24"/>
              </w:rPr>
              <w:t>140 мг/м</w:t>
            </w:r>
            <w:r w:rsidRPr="00BA4F0F">
              <w:rPr>
                <w:rFonts w:cs="Times New Roman"/>
                <w:szCs w:val="24"/>
                <w:vertAlign w:val="superscript"/>
              </w:rPr>
              <w:t>2</w:t>
            </w:r>
          </w:p>
        </w:tc>
        <w:tc>
          <w:tcPr>
            <w:tcW w:w="1275" w:type="dxa"/>
          </w:tcPr>
          <w:p w14:paraId="6FFB35EF" w14:textId="77777777" w:rsidR="001F2346" w:rsidRPr="00BA4F0F" w:rsidRDefault="001F2346" w:rsidP="006E60A8">
            <w:pPr>
              <w:pStyle w:val="afe"/>
              <w:ind w:left="0" w:firstLine="0"/>
              <w:jc w:val="center"/>
              <w:rPr>
                <w:rFonts w:cs="Times New Roman"/>
                <w:szCs w:val="24"/>
              </w:rPr>
            </w:pPr>
            <w:r w:rsidRPr="00BA4F0F">
              <w:rPr>
                <w:rFonts w:cs="Times New Roman"/>
                <w:szCs w:val="24"/>
              </w:rPr>
              <w:t>140 мг/м</w:t>
            </w:r>
            <w:r w:rsidRPr="00BA4F0F">
              <w:rPr>
                <w:rFonts w:cs="Times New Roman"/>
                <w:szCs w:val="24"/>
                <w:vertAlign w:val="superscript"/>
              </w:rPr>
              <w:t>2</w:t>
            </w:r>
          </w:p>
        </w:tc>
        <w:tc>
          <w:tcPr>
            <w:tcW w:w="2659" w:type="dxa"/>
          </w:tcPr>
          <w:p w14:paraId="1351066A" w14:textId="77777777" w:rsidR="001F2346" w:rsidRPr="00BA4F0F" w:rsidRDefault="001F2346" w:rsidP="006E60A8">
            <w:pPr>
              <w:pStyle w:val="afe"/>
              <w:ind w:left="0" w:firstLine="0"/>
              <w:rPr>
                <w:rFonts w:cs="Times New Roman"/>
                <w:szCs w:val="24"/>
              </w:rPr>
            </w:pPr>
            <w:r w:rsidRPr="00BA4F0F">
              <w:rPr>
                <w:rFonts w:cs="Times New Roman"/>
                <w:szCs w:val="24"/>
              </w:rPr>
              <w:t xml:space="preserve">Вводится в/в в виде инфузии в течение 1ч в 500 мл 0,9% </w:t>
            </w:r>
            <w:r w:rsidRPr="00BA4F0F">
              <w:rPr>
                <w:rFonts w:cs="Times New Roman"/>
                <w:szCs w:val="24"/>
                <w:lang w:val="en-US"/>
              </w:rPr>
              <w:t>NaCl</w:t>
            </w:r>
          </w:p>
        </w:tc>
      </w:tr>
    </w:tbl>
    <w:p w14:paraId="2C61C252" w14:textId="258BD066" w:rsidR="001F2346" w:rsidRPr="006E60A8" w:rsidRDefault="001F2346" w:rsidP="001F2346">
      <w:pPr>
        <w:ind w:firstLine="426"/>
      </w:pPr>
      <w:r w:rsidRPr="00BA4F0F">
        <w:t xml:space="preserve">Для снижения токсичности режима предтрансплантационной подготовки </w:t>
      </w:r>
      <w:r w:rsidRPr="00BA4F0F">
        <w:rPr>
          <w:lang w:val="en-US"/>
        </w:rPr>
        <w:t>BEAM</w:t>
      </w:r>
      <w:r w:rsidRPr="00BA4F0F">
        <w:t xml:space="preserve"> в ряде случаев вместо кармустина используется ломустин (</w:t>
      </w:r>
      <w:r w:rsidRPr="00BA4F0F">
        <w:rPr>
          <w:lang w:val="en-US"/>
        </w:rPr>
        <w:t>CEAM</w:t>
      </w:r>
      <w:r w:rsidRPr="00BA4F0F">
        <w:t xml:space="preserve"> / </w:t>
      </w:r>
      <w:r w:rsidRPr="00BA4F0F">
        <w:rPr>
          <w:lang w:val="en-US"/>
        </w:rPr>
        <w:t>LEAM</w:t>
      </w:r>
      <w:r w:rsidRPr="00BA4F0F">
        <w:t xml:space="preserve">). Схема </w:t>
      </w:r>
      <w:r w:rsidRPr="006E60A8">
        <w:t xml:space="preserve">введения препаратов и дозы представлены в таблице </w:t>
      </w:r>
      <w:r w:rsidR="006E60A8" w:rsidRPr="006E60A8">
        <w:t>6</w:t>
      </w:r>
      <w:r w:rsidRPr="006E60A8">
        <w:t>.</w:t>
      </w:r>
    </w:p>
    <w:p w14:paraId="3D687E4F" w14:textId="77777777" w:rsidR="001F2346" w:rsidRPr="006E60A8" w:rsidRDefault="001F2346" w:rsidP="001F2346">
      <w:pPr>
        <w:ind w:firstLine="426"/>
        <w:rPr>
          <w:b/>
        </w:rPr>
      </w:pPr>
    </w:p>
    <w:p w14:paraId="6CC27137" w14:textId="2E4E52A0" w:rsidR="001F2346" w:rsidRPr="00193D82" w:rsidRDefault="001F2346" w:rsidP="001F2346">
      <w:pPr>
        <w:ind w:firstLine="426"/>
      </w:pPr>
      <w:r w:rsidRPr="006E60A8">
        <w:t xml:space="preserve">Таблица </w:t>
      </w:r>
      <w:r w:rsidR="006E60A8" w:rsidRPr="006E60A8">
        <w:t>6</w:t>
      </w:r>
      <w:r w:rsidRPr="006E60A8">
        <w:t xml:space="preserve">. Схема предтрансплантационного кондиционирования </w:t>
      </w:r>
      <w:r w:rsidRPr="006E60A8">
        <w:rPr>
          <w:lang w:val="en-US"/>
        </w:rPr>
        <w:t>CEAM</w:t>
      </w:r>
      <w:r w:rsidRPr="006E60A8">
        <w:t>/</w:t>
      </w:r>
      <w:r w:rsidRPr="006E60A8">
        <w:rPr>
          <w:lang w:val="en-US"/>
        </w:rPr>
        <w:t>LEAM</w:t>
      </w:r>
      <w:r w:rsidRPr="00BA4F0F">
        <w:rPr>
          <w:b/>
        </w:rPr>
        <w:t xml:space="preserve"> </w:t>
      </w:r>
      <w:r w:rsidRPr="00BA4F0F">
        <w:fldChar w:fldCharType="begin" w:fldLock="1"/>
      </w:r>
      <w:r w:rsidR="002736BA">
        <w:rPr>
          <w:lang w:val="en-US"/>
        </w:rPr>
        <w:instrText>ADDIN CSL_CITATION {"citationItems":[{"id":"ITEM-1","itemData":{"DOI":"10.1186/2193-1801-2-489","ISSN":"2193-1801","PMID":"25674395","abstract":"BEAM (BCNU, etoposide, cytrabine, melphalan) is the most widely used high dose chemotherapy regimen for autologous transplant in lymphoid malignancies. We report our early experience with an alternative regimen LEAM where BCNU was replaced with the oral analogue CCNU (lomustine) to tide over the non-availability of BCNU. Fifty one patients of relapsed or refractory lymphoma who received BEAM (n= 34) and LEAM (n= 17) from September 2001 to February 2012 were analyzed. From October 2009 onwards LEAM was used as the conditioning regimen instead of conventional BEAM. Patients in the LEAM group had more chemorefractory disease (35% vs 9%, p = 0.045) and high risk comorbidity score (24% vs 0%, p = 0.019). Grade 3 and 4 oral mucositis (67.6% vs. 64.7%, p = 0.834) and diarrhea (47% vs. 41.1%, p = 0.691) were similar. No difference was noted between the two groups in terms of engraftment, documented infections, antibiotic use, cumulative toxicity risk, length of hospital stay and 100 day transplant related mortality. The estimated 2 year overall survival (61.7% vs. 62.7%, p = 0.928) and event free survival (44.6% vs. 41.1%, p = 0.510) of the regimens BEAM and LEAM respectively were comparable. Thus LEAM appeared equivalent to BEAM in terms of toxicity and efficacy and can be used as an alternative to BEAM.","author":[{"dropping-particle":"","family":"Sharma","given":"Atul","non-dropping-particle":"","parse-names":false,"suffix":""},{"dropping-particle":"","family":"Kayal","given":"Smita","non-dropping-particle":"","parse-names":false,"suffix":""},{"dropping-particle":"","family":"Iqbal","given":"Sobuhi","non-dropping-particle":"","parse-names":false,"suffix":""},{"dropping-particle":"","family":"Malik","given":"Prabhat Singh","non-dropping-particle":"","parse-names":false,"suffix":""},{"dropping-particle":"","family":"Raina","given":"Vinod","non-dropping-particle":"","parse-names":false,"suffix":""}],"container-title":"SpringerPlus","id":"ITEM-1","issued":{"date-parts":[["2013"]]},"page":"489","publisher":"Springerplus","title":"Comparison of BEAM vs. LEAM regimen in autologous transplant for lymphoma at AIIMS.","type":"article-journal","volume":"2"},"uris":["http://www.mendeley.com/documents/?uuid=21a4d437-7f12-381a-b742-56143dfb3da9","http://www.mendeley.com/documents/?uuid=101407b9-4546-4cbb-9ac0-735f0dacc33c"]},{"id":"ITEM-2","itemData":{"DOI":"10.1038/sj.bmt.1705544","ISSN":"0268-3369","PMID":"17115062","abstract":"High-dose chemotherapy followed by autologous stem cell transplantation (ASCT) is a recognized treatment option for patients with relapsed Hodgkin's lymphoma. We have analysed 67 patients who underwent ASCT after LACE (lomustine (CCNU), cytarabine (Ara-C), cyclophosphamide, etoposide) conditioning for relapsed (n=61) or primary refractory (n=6) Hodgkin's lymphoma. The 100-day treatment-related mortality was 3%. With a median follow-up of 67 months (range 3.3-161.0) the probabilities of overall survival (OS) and progression-free survival (PFS) at 5 years were 68 and 64%, respectively. Probabilities for OS and PFS at 5 years for patients with chemosensitive relapse (n=40) were 81 and 78% versus 50 and 35%, respectively, for patients (n=27) with chemoresistant relapse (P=0.012 for OS, P=0.002 for PFS). In multivariate analysis mixed cellularity classical or lymphocyte-depleted classical histology subtype and haemoglobin level of 10 g/dl or less at the time of ASCT were identified as risk factors for worse OS, whereas stage III or IV disease at diagnosis and disease status at ASCT other than complete or partial remission predicted inferior PFS. LACE followed by ASCT is an effective treatment for the majority of patients with chemosensitive relapsed Hodgkin's lymphoma and a proportion of chemorefractory patients also benefit.","author":[{"dropping-particle":"","family":"Perz","given":"J B","non-dropping-particle":"","parse-names":false,"suffix":""},{"dropping-particle":"","family":"Giles","given":"C","non-dropping-particle":"","parse-names":false,"suffix":""},{"dropping-particle":"","family":"Szydlo","given":"R","non-dropping-particle":"","parse-names":false,"suffix":""},{"dropping-particle":"","family":"O'Shea","given":"D","non-dropping-particle":"","parse-names":false,"suffix":""},{"dropping-particle":"","family":"Sanz","given":"J","non-dropping-particle":"","parse-names":false,"suffix":""},{"dropping-particle":"","family":"Chaidos","given":"A","non-dropping-particle":"","parse-names":false,"suffix":""},{"dropping-particle":"","family":"Wagner","given":"S","non-dropping-particle":"","parse-names":false,"suffix":""},{"dropping-particle":"","family":"Davis","given":"J","non-dropping-particle":"","parse-names":false,"suffix":""},{"dropping-particle":"","family":"Loaiza","given":"S","non-dropping-particle":"","parse-names":false,"suffix":""},{"dropping-particle":"","family":"Marin","given":"D","non-dropping-particle":"","parse-names":false,"suffix":""},{"dropping-particle":"","family":"Apperley","given":"J","non-dropping-particle":"","parse-names":false,"suffix":""},{"dropping-particle":"","family":"Olavarria","given":"E","non-dropping-particle":"","parse-names":false,"suffix":""},{"dropping-particle":"","family":"Rahemtulla","given":"A","non-dropping-particle":"","parse-names":false,"suffix":""},{"dropping-particle":"","family":"Lampert","given":"I","non-dropping-particle":"","parse-names":false,"suffix":""},{"dropping-particle":"","family":"Naresh","given":"K","non-dropping-particle":"","parse-names":false,"suffix":""},{"dropping-particle":"","family":"Samson","given":"D","non-dropping-particle":"","parse-names":false,"suffix":""},{"dropping-particle":"","family":"MacDonald","given":"D","non-dropping-particle":"","parse-names":false,"suffix":""},{"dropping-particle":"","family":"Kanfer","given":"E J","non-dropping-particle":"","parse-names":false,"suffix":""}],"container-title":"Bone marrow transplantation","id":"ITEM-2","issue":"1","issued":{"date-parts":[["2007","1"]]},"page":"41-7","publisher":"Bone Marrow Transplant","title":"LACE-conditioned autologous stem cell transplantation for relapsed or refractory Hodgkin's lymphoma: treatment outcome and risk factor analysis in 67 patients from a single centre.","type":"article-journal","volume":"39"},"uris":["http://www.mendeley.com/documents/?uuid=a8c80dd3-9f3f-3bd3-8ad8-c4b068fdf579","http://www.mendeley.com/documents/?uuid=1b0196ad-e3d1-415d-9222-3686ef87b016"]},{"id":"ITEM-3","itemData":{"DOI":"10.6002/ect.2011.0092","ISSN":"2146-8427","PMID":"22432762","abstract":"OBJECTIVES A BEAM regimen including carmustine (BiCNU: bis-chloroethyl nitrosourea), etoposide, cytarabine (cytosine arabinoside), and melphalan is a widely used conditioning regimen for autologous stem cell transplant in patients with Hodgkin lymphoma. We report the results of noncryopreserved autologous stem cell transplant of 45 patients with Hodgkin lymphoma given an alternative regimen, modified BEAM-like regimen (CEAM regimen: lomustine, etoposide, cytarabine, and melphalan), in which carmustine (BiCNU IV) was substituted by oral lomustine (CCNU: 2 chloroethyl cyclohexyl nitrosourea). PATIENTS AND METHODS Forty-five eligible patients with relapsed/refractory Hodgkin lymphoma were consecutively enrolled and underwent conditioning regimen with BEAM-like regimen protocol as follows: Lomustine 200 mg/m(2) on day -3; etoposide 1000 mg/m(2) on day -3 and -2; cytarabine 1000 mg/m(2) on days -3, -2; and Melphalan 140 mg/m(2) on day -1. RESULTS All 45 patients showed engraftment of infused stem cell, and there was no graft failure in the study group. The median mononuclear cell dose was 3.4 × 10(8). The median time to absolute neutrophil count &gt; 0.5 × 10(9)/L was 11 days, and the median time to platelet count &gt; 20 × 10(9) was 14 days. Grade 2 and grade 3 mucositis was seen in 64.5% our patients. Transplant-related mortality at 100 days occurred in 1 patient (2.2%). With a median follow-up of 27 months, median disease-free survival was 20 months, mean overall survival was 27 months, and median overall survival has not yet been reached. CONCLUSIONS These data demonstrate the safety and feasibility of BEAM-like regimen as a new and modified regimen; longer follow-up is required to evaluate fully efficacy and long-term safety of our method.","author":[{"dropping-particle":"","family":"Ramzi","given":"Mani","non-dropping-particle":"","parse-names":false,"suffix":""},{"dropping-particle":"","family":"Mohamadian","given":"Mohsen","non-dropping-particle":"","parse-names":false,"suffix":""},{"dropping-particle":"","family":"Vojdani","given":"Reza","non-dropping-particle":"","parse-names":false,"suffix":""},{"dropping-particle":"","family":"Dehghani","given":"Mehdi","non-dropping-particle":"","parse-names":false,"suffix":""},{"dropping-particle":"","family":"Nourani","given":"Habib","non-dropping-particle":"","parse-names":false,"suffix":""},{"dropping-particle":"","family":"Zakerinia","given":"Maryam","non-dropping-particle":"","parse-names":false,"suffix":""},{"dropping-particle":"","family":"Haghighinejad","given":"Hoorvash","non-dropping-particle":"","parse-names":false,"suffix":""}],"container-title":"Experimental and clinical transplantation : official journal of the Middle East Society for Organ Transplantation","id":"ITEM-3","issue":"2","issued":{"date-parts":[["2012","4"]]},"page":"163-7","publisher":"Exp Clin Transplant","title":"Autologous noncryopreserved hematopoietic stem cell transplant with CEAM as a modified conditioning regimen in patients with Hodgkin lymphoma: a single-center experience with a new protocol.","type":"article-journal","volume":"10"},"uris":["http://www.mendeley.com/documents/?uuid=4fa47866-15e7-323f-bafd-68fc7216a752","http://www.mendeley.com/documents/?uuid=9ca20e06-5e69-4a38-956e-4d81d8214f0a"]},{"id":"ITEM-4","itemData":{"DOI":"10.3389/fonc.2019.00892","ISSN":"2234-943X","PMID":"31552193","abstract":"High-dose chemotherapy (HDT) followed by autologous hematopoietic stem cell transplantation (ASCT) is widely used in patients with malignant lymphomas. In Europe over 8,000 ASCTs for lymphoma were performed out of a total of 40,000 transplants according to the European Bone Marrow Transplant (EBMT) activity survey in 2017. ASCT is considered the standard treatment for eligible patients failing to achieve remission after first line chemotherapy or patients with relapsed or refractory lymphomas, including classical Hodkin's lymphoma, diffuse large B-cell lymphoma, mantle cell lymphoma, and follicular lymphoma, as well as consolidation therapy in first remission in mantle cell lymphoma. BEAM (BCNU/carmustine, etoposide, cytarabine, and melphalan) is the most commonly used conditioning regimen for ASCT in patients with relapsed/refractory (R/R) lymphomas in Europe, whereas the CBV (cyclophosphamide, BCNU, and etoposide) regimen is also widely used in North America. Recently, concerns regarding BCNU toxicity as well as restricted availability of BCNU and melphalan has determined an increasing number of transplant centers to use alternative conditioning regimens. Currently, only a few comparative studies, most of them retrospective, between different conditioning protocols regarding efficacy and toxicity have been published. Thus, in the current manuscript, we report the experience of 2 transplant centers in ASCT in R/R lymphomas with three types of conditioning: BEAM, CLV (cyclophosphamide, lomustine, etoposide) and LEAM (lomustine, etoposide, cytarabine, and melphalan), with the aim to evaluate the results of alternative conditioning regimens using lomustine (LEAM and CLV) and compare them with the standard BEAM regarding early toxicity, engraftment, and transplant related mortality (TRM). All patients developed grade IV neutropenia, anemia with/without transfusion necessity. Severe thrombocytopenia with transfusion requirements is reported in most cases. Median time to platelet engraftment and neutrophil engraftment was 13 days (range) and 10 days (range), respectively. Gastrointestinal toxicity was the most common non-hematologic toxicity after all three conditioning regimens. Oral mucositis in various grades from I to IV was diagnosed in most cases. Other side effects include vomiting, diarrhea, colitis, and skin rash but with low severity grades. For the LEAM arm, one patient died after transplant, before engrafting, one patient didn't achieve platelet …","author":[{"dropping-particle":"","family":"Colita","given":"Andrei","non-dropping-particle":"","parse-names":false,"suffix":""},{"dropping-particle":"","family":"Colita","given":"Anca","non-dropping-particle":"","parse-names":false,"suffix":""},{"dropping-particle":"","family":"Bumbea","given":"Horia","non-dropping-particle":"","parse-names":false,"suffix":""},{"dropping-particle":"","family":"Croitoru","given":"Adina","non-dropping-particle":"","parse-names":false,"suffix":""},{"dropping-particle":"","family":"Orban","given":"Carmen","non-dropping-particle":"","parse-names":false,"suffix":""},{"dropping-particle":"","family":"Lipan","given":"Lavinia Eugenia","non-dropping-particle":"","parse-names":false,"suffix":""},{"dropping-particle":"","family":"Craciun","given":"Oana-Gabriela","non-dropping-particle":"","parse-names":false,"suffix":""},{"dropping-particle":"","family":"Soare","given":"Dan","non-dropping-particle":"","parse-names":false,"suffix":""},{"dropping-particle":"","family":"Ghimici","given":"Cecilia","non-dropping-particle":"","parse-names":false,"suffix":""},{"dropping-particle":"","family":"Manolache","given":"Raluca","non-dropping-particle":"","parse-names":false,"suffix":""},{"dropping-particle":"","family":"Gelatu","given":"Ionel","non-dropping-particle":"","parse-names":false,"suffix":""},{"dropping-particle":"","family":"Vladareanu","given":"Ana-Maria","non-dropping-particle":"","parse-names":false,"suffix":""},{"dropping-particle":"","family":"Pasca","given":"Sergiu","non-dropping-particle":"","parse-names":false,"suffix":""},{"dropping-particle":"","family":"Teodorescu","given":"Patric","non-dropping-particle":"","parse-names":false,"suffix":""},{"dropping-particle":"","family":"Dima","given":"Delia","non-dropping-particle":"","parse-names":false,"suffix":""},{"dropping-particle":"","family":"Lupu","given":"Anca","non-dropping-particle":"","parse-names":false,"suffix":""},{"dropping-particle":"","family":"Coriu","given":"Daniel","non-dropping-particle":"","parse-names":false,"suffix":""},{"dropping-particle":"","family":"Tomuleasa","given":"Ciprian","non-dropping-particle":"","parse-names":false,"suffix":""},{"dropping-particle":"","family":"Tanase","given":"Alina","non-dropping-particle":"","parse-names":false,"suffix":""}],"container-title":"Frontiers in oncology","id":"ITEM-4","issued":{"date-parts":[["2019","9"]]},"page":"892","title":"LEAM vs. BEAM vs. CLV Conditioning Regimen for Autologous Stem Cell Transplantation in Malignant Lymphomas. Retrospective Comparison of Toxicity and Efficacy on 222 Patients in the First 100 Days After Transplant, On Behalf of the Romanian Society for Bon","type":"article-journal","volume":"9"},"uris":["http://www.mendeley.com/documents/?uuid=1a8d312b-cff1-42d2-81dd-d36c0430abd5","http://www.mendeley.com/documents/?uuid=ad47bb84-1f12-3f23-9753-d1c2161ab990"]},{"id":"ITEM-5","itemData":{"ISBN":"9783030022778","author":[{"dropping-particle":"","family":"Enric Carreras","given":"Dufour Carlo","non-dropping-particle":"","parse-names":false,"suffix":""},{"dropping-particle":"","family":"Mohty Mohamad","given":"Kröger Nicolaus","non-dropping-particle":"","parse-names":false,"suffix":""}],"id":"ITEM-5","issued":{"date-parts":[["2019"]]},"number-of-pages":"702","title":"Hematopoietic Stem Cell Transplantation and Cellular Therapies","type":"book"},"uris":["http://www.mendeley.com/documents/?uuid=b2895edd-cfbd-4cbf-8d9b-e50422d61d71","http://www.mendeley.com/documents/?uuid=891fa663-7797-4301-8893-3b0a5d75b173","http://www.mendeley.com/documents/?uuid=a3640929-94cd-4fb4-896e-6145e0e14c8e"]}],"mendeley":{"formattedCitation":"[241,245–248]","plainTextFormattedCitation":"[241,245–248]","previouslyFormattedCitation":"[241,245–248]"},"properties":{"noteIndex":0},"schema":"https://github.com/citation-style-language/schema/raw/master/csl-citation.json"}</w:instrText>
      </w:r>
      <w:r w:rsidRPr="00BA4F0F">
        <w:fldChar w:fldCharType="separate"/>
      </w:r>
      <w:r w:rsidR="006E1ADA" w:rsidRPr="006E1ADA">
        <w:rPr>
          <w:noProof/>
        </w:rPr>
        <w:t>[241,245–248]</w:t>
      </w:r>
      <w:r w:rsidRPr="00BA4F0F">
        <w:fldChar w:fldCharType="end"/>
      </w:r>
    </w:p>
    <w:tbl>
      <w:tblPr>
        <w:tblStyle w:val="aff9"/>
        <w:tblW w:w="0" w:type="auto"/>
        <w:tblInd w:w="108" w:type="dxa"/>
        <w:tblLayout w:type="fixed"/>
        <w:tblLook w:val="04A0" w:firstRow="1" w:lastRow="0" w:firstColumn="1" w:lastColumn="0" w:noHBand="0" w:noVBand="1"/>
      </w:tblPr>
      <w:tblGrid>
        <w:gridCol w:w="1418"/>
        <w:gridCol w:w="1701"/>
        <w:gridCol w:w="1134"/>
        <w:gridCol w:w="1276"/>
        <w:gridCol w:w="1275"/>
        <w:gridCol w:w="2659"/>
      </w:tblGrid>
      <w:tr w:rsidR="001F2346" w:rsidRPr="00BA4F0F" w14:paraId="2526A177" w14:textId="77777777" w:rsidTr="002D3EBF">
        <w:tc>
          <w:tcPr>
            <w:tcW w:w="1418" w:type="dxa"/>
          </w:tcPr>
          <w:p w14:paraId="7A7E46FC" w14:textId="77777777" w:rsidR="001F2346" w:rsidRPr="00193D82" w:rsidRDefault="001F2346" w:rsidP="006E60A8">
            <w:pPr>
              <w:pStyle w:val="afe"/>
              <w:ind w:left="0" w:firstLine="0"/>
              <w:rPr>
                <w:rFonts w:cs="Times New Roman"/>
                <w:szCs w:val="24"/>
              </w:rPr>
            </w:pPr>
            <w:r w:rsidRPr="00BA4F0F">
              <w:rPr>
                <w:rFonts w:cs="Times New Roman"/>
                <w:szCs w:val="24"/>
              </w:rPr>
              <w:t>Препарат</w:t>
            </w:r>
          </w:p>
        </w:tc>
        <w:tc>
          <w:tcPr>
            <w:tcW w:w="1701" w:type="dxa"/>
          </w:tcPr>
          <w:p w14:paraId="59762310" w14:textId="77777777" w:rsidR="001F2346" w:rsidRPr="00193D82" w:rsidRDefault="001F2346" w:rsidP="006E60A8">
            <w:pPr>
              <w:pStyle w:val="afe"/>
              <w:ind w:left="0" w:firstLine="0"/>
              <w:rPr>
                <w:rFonts w:cs="Times New Roman"/>
                <w:szCs w:val="24"/>
              </w:rPr>
            </w:pPr>
            <w:r w:rsidRPr="00BA4F0F">
              <w:rPr>
                <w:rFonts w:cs="Times New Roman"/>
                <w:szCs w:val="24"/>
              </w:rPr>
              <w:t>Дни</w:t>
            </w:r>
            <w:r w:rsidRPr="00193D82">
              <w:rPr>
                <w:rFonts w:cs="Times New Roman"/>
                <w:szCs w:val="24"/>
              </w:rPr>
              <w:t xml:space="preserve"> </w:t>
            </w:r>
            <w:r w:rsidRPr="00BA4F0F">
              <w:rPr>
                <w:rFonts w:cs="Times New Roman"/>
                <w:szCs w:val="24"/>
              </w:rPr>
              <w:t>введения</w:t>
            </w:r>
            <w:r w:rsidRPr="00193D82">
              <w:rPr>
                <w:rFonts w:cs="Times New Roman"/>
                <w:szCs w:val="24"/>
              </w:rPr>
              <w:t xml:space="preserve"> </w:t>
            </w:r>
            <w:r w:rsidRPr="00BA4F0F">
              <w:rPr>
                <w:rFonts w:cs="Times New Roman"/>
                <w:szCs w:val="24"/>
              </w:rPr>
              <w:t>перед</w:t>
            </w:r>
            <w:r w:rsidRPr="00193D82">
              <w:rPr>
                <w:rFonts w:cs="Times New Roman"/>
                <w:szCs w:val="24"/>
              </w:rPr>
              <w:t xml:space="preserve"> </w:t>
            </w:r>
            <w:r w:rsidRPr="00BA4F0F">
              <w:rPr>
                <w:rFonts w:cs="Times New Roman"/>
                <w:szCs w:val="24"/>
              </w:rPr>
              <w:t>ауто</w:t>
            </w:r>
            <w:r w:rsidRPr="00193D82">
              <w:rPr>
                <w:rFonts w:cs="Times New Roman"/>
                <w:szCs w:val="24"/>
              </w:rPr>
              <w:t>-</w:t>
            </w:r>
            <w:r w:rsidRPr="00BA4F0F">
              <w:rPr>
                <w:rFonts w:cs="Times New Roman"/>
                <w:szCs w:val="24"/>
              </w:rPr>
              <w:t>ТГСК</w:t>
            </w:r>
          </w:p>
        </w:tc>
        <w:tc>
          <w:tcPr>
            <w:tcW w:w="1134" w:type="dxa"/>
          </w:tcPr>
          <w:p w14:paraId="242BFDD9" w14:textId="77777777" w:rsidR="001F2346" w:rsidRPr="00193D82" w:rsidRDefault="001F2346" w:rsidP="006E60A8">
            <w:pPr>
              <w:pStyle w:val="afe"/>
              <w:ind w:left="0" w:firstLine="0"/>
              <w:rPr>
                <w:rFonts w:cs="Times New Roman"/>
                <w:szCs w:val="24"/>
              </w:rPr>
            </w:pPr>
            <w:r w:rsidRPr="00BA4F0F">
              <w:rPr>
                <w:rFonts w:cs="Times New Roman"/>
                <w:szCs w:val="24"/>
              </w:rPr>
              <w:t>Разовая</w:t>
            </w:r>
            <w:r w:rsidRPr="00193D82">
              <w:rPr>
                <w:rFonts w:cs="Times New Roman"/>
                <w:szCs w:val="24"/>
              </w:rPr>
              <w:t xml:space="preserve"> </w:t>
            </w:r>
            <w:r w:rsidRPr="00BA4F0F">
              <w:rPr>
                <w:rFonts w:cs="Times New Roman"/>
                <w:szCs w:val="24"/>
              </w:rPr>
              <w:t>доза</w:t>
            </w:r>
          </w:p>
        </w:tc>
        <w:tc>
          <w:tcPr>
            <w:tcW w:w="1276" w:type="dxa"/>
          </w:tcPr>
          <w:p w14:paraId="46B629ED" w14:textId="77777777" w:rsidR="001F2346" w:rsidRPr="00193D82" w:rsidRDefault="001F2346" w:rsidP="006E60A8">
            <w:pPr>
              <w:pStyle w:val="afe"/>
              <w:ind w:left="0" w:firstLine="0"/>
              <w:rPr>
                <w:rFonts w:cs="Times New Roman"/>
                <w:szCs w:val="24"/>
              </w:rPr>
            </w:pPr>
            <w:r w:rsidRPr="00BA4F0F">
              <w:rPr>
                <w:rFonts w:cs="Times New Roman"/>
                <w:szCs w:val="24"/>
              </w:rPr>
              <w:t>Суточная</w:t>
            </w:r>
            <w:r w:rsidRPr="00193D82">
              <w:rPr>
                <w:rFonts w:cs="Times New Roman"/>
                <w:szCs w:val="24"/>
              </w:rPr>
              <w:t xml:space="preserve"> </w:t>
            </w:r>
            <w:r w:rsidRPr="00BA4F0F">
              <w:rPr>
                <w:rFonts w:cs="Times New Roman"/>
                <w:szCs w:val="24"/>
              </w:rPr>
              <w:t>доза</w:t>
            </w:r>
          </w:p>
        </w:tc>
        <w:tc>
          <w:tcPr>
            <w:tcW w:w="1275" w:type="dxa"/>
          </w:tcPr>
          <w:p w14:paraId="5573367F" w14:textId="77777777" w:rsidR="001F2346" w:rsidRPr="00BA4F0F" w:rsidRDefault="001F2346" w:rsidP="006E60A8">
            <w:pPr>
              <w:pStyle w:val="afe"/>
              <w:ind w:left="0" w:firstLine="0"/>
              <w:rPr>
                <w:rFonts w:cs="Times New Roman"/>
                <w:szCs w:val="24"/>
              </w:rPr>
            </w:pPr>
            <w:r w:rsidRPr="00BA4F0F">
              <w:rPr>
                <w:rFonts w:cs="Times New Roman"/>
                <w:szCs w:val="24"/>
              </w:rPr>
              <w:t>Курсовая доза</w:t>
            </w:r>
          </w:p>
        </w:tc>
        <w:tc>
          <w:tcPr>
            <w:tcW w:w="2659" w:type="dxa"/>
          </w:tcPr>
          <w:p w14:paraId="3FFE9854" w14:textId="77777777" w:rsidR="001F2346" w:rsidRPr="00BA4F0F" w:rsidRDefault="001F2346" w:rsidP="006E60A8">
            <w:pPr>
              <w:pStyle w:val="afe"/>
              <w:ind w:left="0" w:firstLine="0"/>
              <w:rPr>
                <w:rFonts w:cs="Times New Roman"/>
                <w:szCs w:val="24"/>
              </w:rPr>
            </w:pPr>
            <w:r w:rsidRPr="00BA4F0F">
              <w:rPr>
                <w:rFonts w:cs="Times New Roman"/>
                <w:szCs w:val="24"/>
              </w:rPr>
              <w:t>Особенности введения</w:t>
            </w:r>
          </w:p>
        </w:tc>
      </w:tr>
      <w:tr w:rsidR="001F2346" w:rsidRPr="00BA4F0F" w14:paraId="1AEDECF3" w14:textId="77777777" w:rsidTr="002D3EBF">
        <w:tc>
          <w:tcPr>
            <w:tcW w:w="1418" w:type="dxa"/>
          </w:tcPr>
          <w:p w14:paraId="560D08A1" w14:textId="77777777" w:rsidR="001F2346" w:rsidRPr="00BA4F0F" w:rsidRDefault="001F2346" w:rsidP="006E60A8">
            <w:pPr>
              <w:pStyle w:val="afe"/>
              <w:ind w:left="0" w:firstLine="0"/>
              <w:jc w:val="center"/>
              <w:rPr>
                <w:rFonts w:cs="Times New Roman"/>
                <w:szCs w:val="24"/>
              </w:rPr>
            </w:pPr>
            <w:r w:rsidRPr="00BA4F0F">
              <w:rPr>
                <w:rFonts w:cs="Times New Roman"/>
                <w:szCs w:val="24"/>
              </w:rPr>
              <w:t>Ломустин</w:t>
            </w:r>
          </w:p>
        </w:tc>
        <w:tc>
          <w:tcPr>
            <w:tcW w:w="1701" w:type="dxa"/>
          </w:tcPr>
          <w:p w14:paraId="4D10DD62" w14:textId="77777777" w:rsidR="001F2346" w:rsidRPr="00BA4F0F" w:rsidRDefault="001F2346" w:rsidP="006E60A8">
            <w:pPr>
              <w:pStyle w:val="afe"/>
              <w:ind w:left="0" w:firstLine="0"/>
              <w:jc w:val="center"/>
              <w:rPr>
                <w:rFonts w:cs="Times New Roman"/>
                <w:szCs w:val="24"/>
              </w:rPr>
            </w:pPr>
            <w:r w:rsidRPr="00BA4F0F">
              <w:rPr>
                <w:rFonts w:cs="Times New Roman"/>
                <w:szCs w:val="24"/>
              </w:rPr>
              <w:t>-6 день</w:t>
            </w:r>
          </w:p>
        </w:tc>
        <w:tc>
          <w:tcPr>
            <w:tcW w:w="1134" w:type="dxa"/>
          </w:tcPr>
          <w:p w14:paraId="1B09CABA" w14:textId="77777777" w:rsidR="001F2346" w:rsidRPr="00BA4F0F" w:rsidRDefault="001F2346" w:rsidP="006E60A8">
            <w:pPr>
              <w:pStyle w:val="afe"/>
              <w:ind w:left="0" w:firstLine="0"/>
              <w:jc w:val="center"/>
              <w:rPr>
                <w:rFonts w:cs="Times New Roman"/>
                <w:szCs w:val="24"/>
              </w:rPr>
            </w:pPr>
            <w:r w:rsidRPr="00BA4F0F">
              <w:rPr>
                <w:rFonts w:cs="Times New Roman"/>
                <w:szCs w:val="24"/>
              </w:rPr>
              <w:t>200мг/м</w:t>
            </w:r>
            <w:r w:rsidRPr="00BA4F0F">
              <w:rPr>
                <w:rFonts w:cs="Times New Roman"/>
                <w:szCs w:val="24"/>
                <w:vertAlign w:val="superscript"/>
              </w:rPr>
              <w:t>2</w:t>
            </w:r>
          </w:p>
        </w:tc>
        <w:tc>
          <w:tcPr>
            <w:tcW w:w="1276" w:type="dxa"/>
          </w:tcPr>
          <w:p w14:paraId="61B2F80B" w14:textId="77777777" w:rsidR="001F2346" w:rsidRPr="00BA4F0F" w:rsidRDefault="001F2346" w:rsidP="006E60A8">
            <w:pPr>
              <w:pStyle w:val="afe"/>
              <w:ind w:left="0" w:firstLine="0"/>
              <w:jc w:val="center"/>
              <w:rPr>
                <w:rFonts w:cs="Times New Roman"/>
                <w:szCs w:val="24"/>
              </w:rPr>
            </w:pPr>
            <w:r w:rsidRPr="00BA4F0F">
              <w:rPr>
                <w:rFonts w:cs="Times New Roman"/>
                <w:szCs w:val="24"/>
              </w:rPr>
              <w:t>200 мг/м</w:t>
            </w:r>
            <w:r w:rsidRPr="00BA4F0F">
              <w:rPr>
                <w:rFonts w:cs="Times New Roman"/>
                <w:szCs w:val="24"/>
                <w:vertAlign w:val="superscript"/>
              </w:rPr>
              <w:t>2</w:t>
            </w:r>
          </w:p>
        </w:tc>
        <w:tc>
          <w:tcPr>
            <w:tcW w:w="1275" w:type="dxa"/>
          </w:tcPr>
          <w:p w14:paraId="29E299DC" w14:textId="77777777" w:rsidR="001F2346" w:rsidRPr="00BA4F0F" w:rsidRDefault="001F2346" w:rsidP="006E60A8">
            <w:pPr>
              <w:pStyle w:val="afe"/>
              <w:ind w:left="0" w:firstLine="0"/>
              <w:jc w:val="center"/>
              <w:rPr>
                <w:rFonts w:cs="Times New Roman"/>
                <w:szCs w:val="24"/>
              </w:rPr>
            </w:pPr>
            <w:r w:rsidRPr="00BA4F0F">
              <w:rPr>
                <w:rFonts w:cs="Times New Roman"/>
                <w:szCs w:val="24"/>
              </w:rPr>
              <w:t>200 мг/м</w:t>
            </w:r>
            <w:r w:rsidRPr="00BA4F0F">
              <w:rPr>
                <w:rFonts w:cs="Times New Roman"/>
                <w:szCs w:val="24"/>
                <w:vertAlign w:val="superscript"/>
              </w:rPr>
              <w:t>2</w:t>
            </w:r>
          </w:p>
        </w:tc>
        <w:tc>
          <w:tcPr>
            <w:tcW w:w="2659" w:type="dxa"/>
          </w:tcPr>
          <w:p w14:paraId="75355AEB" w14:textId="77777777" w:rsidR="001F2346" w:rsidRPr="00BA4F0F" w:rsidRDefault="001F2346" w:rsidP="006E60A8">
            <w:pPr>
              <w:pStyle w:val="afe"/>
              <w:ind w:left="0" w:firstLine="0"/>
              <w:rPr>
                <w:rFonts w:cs="Times New Roman"/>
                <w:szCs w:val="24"/>
              </w:rPr>
            </w:pPr>
            <w:r w:rsidRPr="00BA4F0F">
              <w:rPr>
                <w:rFonts w:cs="Times New Roman"/>
                <w:szCs w:val="24"/>
              </w:rPr>
              <w:t>Внутрь</w:t>
            </w:r>
          </w:p>
        </w:tc>
      </w:tr>
      <w:tr w:rsidR="001F2346" w:rsidRPr="00BA4F0F" w14:paraId="00CA1902" w14:textId="77777777" w:rsidTr="002D3EBF">
        <w:tc>
          <w:tcPr>
            <w:tcW w:w="1418" w:type="dxa"/>
          </w:tcPr>
          <w:p w14:paraId="34A7D841" w14:textId="77777777" w:rsidR="001F2346" w:rsidRPr="00BA4F0F" w:rsidRDefault="001F2346" w:rsidP="006E60A8">
            <w:pPr>
              <w:pStyle w:val="afe"/>
              <w:ind w:left="0" w:firstLine="0"/>
              <w:jc w:val="center"/>
              <w:rPr>
                <w:rFonts w:cs="Times New Roman"/>
                <w:szCs w:val="24"/>
              </w:rPr>
            </w:pPr>
            <w:r w:rsidRPr="00BA4F0F">
              <w:rPr>
                <w:rFonts w:cs="Times New Roman"/>
                <w:szCs w:val="24"/>
              </w:rPr>
              <w:t>Этопозид</w:t>
            </w:r>
          </w:p>
        </w:tc>
        <w:tc>
          <w:tcPr>
            <w:tcW w:w="1701" w:type="dxa"/>
          </w:tcPr>
          <w:p w14:paraId="26201560" w14:textId="77777777" w:rsidR="001F2346" w:rsidRPr="00BA4F0F" w:rsidRDefault="001F2346" w:rsidP="006E60A8">
            <w:pPr>
              <w:pStyle w:val="afe"/>
              <w:ind w:left="0" w:firstLine="0"/>
              <w:jc w:val="center"/>
              <w:rPr>
                <w:rFonts w:cs="Times New Roman"/>
                <w:szCs w:val="24"/>
              </w:rPr>
            </w:pPr>
            <w:r w:rsidRPr="00BA4F0F">
              <w:rPr>
                <w:rFonts w:cs="Times New Roman"/>
                <w:szCs w:val="24"/>
              </w:rPr>
              <w:t>-5, -4, -3, -2 дни</w:t>
            </w:r>
          </w:p>
        </w:tc>
        <w:tc>
          <w:tcPr>
            <w:tcW w:w="1134" w:type="dxa"/>
          </w:tcPr>
          <w:p w14:paraId="37E0BC99" w14:textId="77777777" w:rsidR="001F2346" w:rsidRPr="00BA4F0F" w:rsidRDefault="001F2346" w:rsidP="006E60A8">
            <w:pPr>
              <w:pStyle w:val="afe"/>
              <w:ind w:left="0" w:firstLine="0"/>
              <w:jc w:val="center"/>
              <w:rPr>
                <w:rFonts w:cs="Times New Roman"/>
                <w:szCs w:val="24"/>
              </w:rPr>
            </w:pPr>
            <w:r w:rsidRPr="00BA4F0F">
              <w:rPr>
                <w:rFonts w:cs="Times New Roman"/>
                <w:szCs w:val="24"/>
              </w:rPr>
              <w:t>200мг/м</w:t>
            </w:r>
            <w:r w:rsidRPr="00BA4F0F">
              <w:rPr>
                <w:rFonts w:cs="Times New Roman"/>
                <w:szCs w:val="24"/>
                <w:vertAlign w:val="superscript"/>
              </w:rPr>
              <w:t>2</w:t>
            </w:r>
          </w:p>
        </w:tc>
        <w:tc>
          <w:tcPr>
            <w:tcW w:w="1276" w:type="dxa"/>
          </w:tcPr>
          <w:p w14:paraId="43B00050" w14:textId="77777777" w:rsidR="001F2346" w:rsidRPr="00BA4F0F" w:rsidRDefault="001F2346" w:rsidP="006E60A8">
            <w:pPr>
              <w:pStyle w:val="afe"/>
              <w:ind w:left="0" w:firstLine="0"/>
              <w:jc w:val="center"/>
              <w:rPr>
                <w:rFonts w:cs="Times New Roman"/>
                <w:szCs w:val="24"/>
              </w:rPr>
            </w:pPr>
            <w:r w:rsidRPr="00BA4F0F">
              <w:rPr>
                <w:rFonts w:cs="Times New Roman"/>
                <w:szCs w:val="24"/>
              </w:rPr>
              <w:t>200 мг/м</w:t>
            </w:r>
            <w:r w:rsidRPr="00BA4F0F">
              <w:rPr>
                <w:rFonts w:cs="Times New Roman"/>
                <w:szCs w:val="24"/>
                <w:vertAlign w:val="superscript"/>
              </w:rPr>
              <w:t>2</w:t>
            </w:r>
          </w:p>
        </w:tc>
        <w:tc>
          <w:tcPr>
            <w:tcW w:w="1275" w:type="dxa"/>
          </w:tcPr>
          <w:p w14:paraId="5208E8E2" w14:textId="77777777" w:rsidR="001F2346" w:rsidRPr="00BA4F0F" w:rsidRDefault="001F2346" w:rsidP="006E60A8">
            <w:pPr>
              <w:pStyle w:val="afe"/>
              <w:ind w:left="0" w:firstLine="0"/>
              <w:jc w:val="center"/>
              <w:rPr>
                <w:rFonts w:cs="Times New Roman"/>
                <w:szCs w:val="24"/>
              </w:rPr>
            </w:pPr>
            <w:r w:rsidRPr="00BA4F0F">
              <w:rPr>
                <w:rFonts w:cs="Times New Roman"/>
                <w:szCs w:val="24"/>
              </w:rPr>
              <w:t>800 мг/м</w:t>
            </w:r>
            <w:r w:rsidRPr="00BA4F0F">
              <w:rPr>
                <w:rFonts w:cs="Times New Roman"/>
                <w:szCs w:val="24"/>
                <w:vertAlign w:val="superscript"/>
              </w:rPr>
              <w:t>2</w:t>
            </w:r>
          </w:p>
        </w:tc>
        <w:tc>
          <w:tcPr>
            <w:tcW w:w="2659" w:type="dxa"/>
          </w:tcPr>
          <w:p w14:paraId="3ADB0E8D" w14:textId="77777777" w:rsidR="001F2346" w:rsidRPr="00BA4F0F" w:rsidRDefault="001F2346" w:rsidP="006E60A8">
            <w:pPr>
              <w:pStyle w:val="afe"/>
              <w:ind w:left="0" w:firstLine="0"/>
              <w:rPr>
                <w:rFonts w:cs="Times New Roman"/>
                <w:szCs w:val="24"/>
              </w:rPr>
            </w:pPr>
            <w:r w:rsidRPr="00BA4F0F">
              <w:rPr>
                <w:rFonts w:cs="Times New Roman"/>
                <w:szCs w:val="24"/>
              </w:rPr>
              <w:t xml:space="preserve">Вводится в/в в виде инфузии в течение 30 минут в 500 мл 0,9% </w:t>
            </w:r>
            <w:r w:rsidRPr="00BA4F0F">
              <w:rPr>
                <w:rFonts w:cs="Times New Roman"/>
                <w:szCs w:val="24"/>
                <w:lang w:val="en-US"/>
              </w:rPr>
              <w:t>NaCl</w:t>
            </w:r>
          </w:p>
        </w:tc>
      </w:tr>
      <w:tr w:rsidR="001F2346" w:rsidRPr="00BA4F0F" w14:paraId="6868B4E4" w14:textId="77777777" w:rsidTr="002D3EBF">
        <w:tc>
          <w:tcPr>
            <w:tcW w:w="1418" w:type="dxa"/>
          </w:tcPr>
          <w:p w14:paraId="642E16C6" w14:textId="77777777" w:rsidR="001F2346" w:rsidRPr="00BA4F0F" w:rsidRDefault="001F2346" w:rsidP="006E60A8">
            <w:pPr>
              <w:pStyle w:val="afe"/>
              <w:ind w:left="0" w:firstLine="0"/>
              <w:jc w:val="center"/>
              <w:rPr>
                <w:rFonts w:cs="Times New Roman"/>
                <w:szCs w:val="24"/>
              </w:rPr>
            </w:pPr>
            <w:r w:rsidRPr="00BA4F0F">
              <w:rPr>
                <w:rFonts w:cs="Times New Roman"/>
                <w:szCs w:val="24"/>
              </w:rPr>
              <w:t>Цитарабин</w:t>
            </w:r>
          </w:p>
        </w:tc>
        <w:tc>
          <w:tcPr>
            <w:tcW w:w="1701" w:type="dxa"/>
          </w:tcPr>
          <w:p w14:paraId="572C9AD9" w14:textId="77777777" w:rsidR="001F2346" w:rsidRPr="00BA4F0F" w:rsidRDefault="001F2346" w:rsidP="006E60A8">
            <w:pPr>
              <w:pStyle w:val="afe"/>
              <w:ind w:left="0" w:firstLine="0"/>
              <w:jc w:val="center"/>
              <w:rPr>
                <w:rFonts w:cs="Times New Roman"/>
                <w:szCs w:val="24"/>
              </w:rPr>
            </w:pPr>
            <w:r w:rsidRPr="00BA4F0F">
              <w:rPr>
                <w:rFonts w:cs="Times New Roman"/>
                <w:szCs w:val="24"/>
              </w:rPr>
              <w:t>-5, -4, -3, -2 дни</w:t>
            </w:r>
          </w:p>
        </w:tc>
        <w:tc>
          <w:tcPr>
            <w:tcW w:w="1134" w:type="dxa"/>
          </w:tcPr>
          <w:p w14:paraId="653D51DE" w14:textId="77777777" w:rsidR="001F2346" w:rsidRPr="00BA4F0F" w:rsidRDefault="001F2346" w:rsidP="006E60A8">
            <w:pPr>
              <w:pStyle w:val="afe"/>
              <w:ind w:left="0" w:firstLine="0"/>
              <w:jc w:val="center"/>
              <w:rPr>
                <w:rFonts w:cs="Times New Roman"/>
                <w:szCs w:val="24"/>
              </w:rPr>
            </w:pPr>
            <w:r w:rsidRPr="00BA4F0F">
              <w:rPr>
                <w:rFonts w:cs="Times New Roman"/>
                <w:szCs w:val="24"/>
              </w:rPr>
              <w:t>200мг/м</w:t>
            </w:r>
            <w:r w:rsidRPr="00BA4F0F">
              <w:rPr>
                <w:rFonts w:cs="Times New Roman"/>
                <w:szCs w:val="24"/>
                <w:vertAlign w:val="superscript"/>
              </w:rPr>
              <w:t>2</w:t>
            </w:r>
          </w:p>
        </w:tc>
        <w:tc>
          <w:tcPr>
            <w:tcW w:w="1276" w:type="dxa"/>
          </w:tcPr>
          <w:p w14:paraId="7C7AA615" w14:textId="77777777" w:rsidR="001F2346" w:rsidRPr="00BA4F0F" w:rsidRDefault="001F2346" w:rsidP="006E60A8">
            <w:pPr>
              <w:pStyle w:val="afe"/>
              <w:ind w:left="0" w:firstLine="0"/>
              <w:jc w:val="center"/>
              <w:rPr>
                <w:rFonts w:cs="Times New Roman"/>
                <w:szCs w:val="24"/>
              </w:rPr>
            </w:pPr>
            <w:r w:rsidRPr="00BA4F0F">
              <w:rPr>
                <w:rFonts w:cs="Times New Roman"/>
                <w:szCs w:val="24"/>
              </w:rPr>
              <w:t>400 мг/ м</w:t>
            </w:r>
            <w:r w:rsidRPr="00BA4F0F">
              <w:rPr>
                <w:rFonts w:cs="Times New Roman"/>
                <w:szCs w:val="24"/>
                <w:vertAlign w:val="superscript"/>
              </w:rPr>
              <w:t>2</w:t>
            </w:r>
          </w:p>
        </w:tc>
        <w:tc>
          <w:tcPr>
            <w:tcW w:w="1275" w:type="dxa"/>
          </w:tcPr>
          <w:p w14:paraId="08427E2D" w14:textId="77777777" w:rsidR="001F2346" w:rsidRPr="00BA4F0F" w:rsidRDefault="001F2346" w:rsidP="006E60A8">
            <w:pPr>
              <w:pStyle w:val="afe"/>
              <w:ind w:left="0" w:firstLine="0"/>
              <w:jc w:val="center"/>
              <w:rPr>
                <w:rFonts w:cs="Times New Roman"/>
                <w:szCs w:val="24"/>
              </w:rPr>
            </w:pPr>
            <w:r w:rsidRPr="00BA4F0F">
              <w:rPr>
                <w:rFonts w:cs="Times New Roman"/>
                <w:szCs w:val="24"/>
              </w:rPr>
              <w:t>1600 мг/м</w:t>
            </w:r>
            <w:r w:rsidRPr="00BA4F0F">
              <w:rPr>
                <w:rFonts w:cs="Times New Roman"/>
                <w:szCs w:val="24"/>
                <w:vertAlign w:val="superscript"/>
              </w:rPr>
              <w:t>2</w:t>
            </w:r>
          </w:p>
        </w:tc>
        <w:tc>
          <w:tcPr>
            <w:tcW w:w="2659" w:type="dxa"/>
          </w:tcPr>
          <w:p w14:paraId="79EF3247" w14:textId="77777777" w:rsidR="001F2346" w:rsidRPr="00BA4F0F" w:rsidRDefault="001F2346" w:rsidP="006E60A8">
            <w:pPr>
              <w:pStyle w:val="afe"/>
              <w:ind w:left="0" w:firstLine="0"/>
              <w:rPr>
                <w:rFonts w:cs="Times New Roman"/>
                <w:szCs w:val="24"/>
              </w:rPr>
            </w:pPr>
            <w:r w:rsidRPr="00BA4F0F">
              <w:rPr>
                <w:rFonts w:cs="Times New Roman"/>
                <w:szCs w:val="24"/>
              </w:rPr>
              <w:t xml:space="preserve">Вводится в/в в виде инфузии в течение 30 </w:t>
            </w:r>
            <w:r w:rsidRPr="00BA4F0F">
              <w:rPr>
                <w:rFonts w:cs="Times New Roman"/>
                <w:szCs w:val="24"/>
              </w:rPr>
              <w:lastRenderedPageBreak/>
              <w:t xml:space="preserve">минут в 500 мл 0,9% </w:t>
            </w:r>
            <w:r w:rsidRPr="00BA4F0F">
              <w:rPr>
                <w:rFonts w:cs="Times New Roman"/>
                <w:szCs w:val="24"/>
                <w:lang w:val="en-US"/>
              </w:rPr>
              <w:t>NaCl</w:t>
            </w:r>
          </w:p>
        </w:tc>
      </w:tr>
      <w:tr w:rsidR="001F2346" w:rsidRPr="00BA4F0F" w14:paraId="5F177B16" w14:textId="77777777" w:rsidTr="002D3EBF">
        <w:tc>
          <w:tcPr>
            <w:tcW w:w="1418" w:type="dxa"/>
          </w:tcPr>
          <w:p w14:paraId="13F08CA3" w14:textId="77777777" w:rsidR="001F2346" w:rsidRPr="00BA4F0F" w:rsidRDefault="001F2346" w:rsidP="006E60A8">
            <w:pPr>
              <w:pStyle w:val="afe"/>
              <w:ind w:left="0" w:firstLine="0"/>
              <w:jc w:val="center"/>
              <w:rPr>
                <w:rFonts w:cs="Times New Roman"/>
                <w:szCs w:val="24"/>
              </w:rPr>
            </w:pPr>
            <w:r w:rsidRPr="00BA4F0F">
              <w:rPr>
                <w:rFonts w:cs="Times New Roman"/>
                <w:szCs w:val="24"/>
              </w:rPr>
              <w:lastRenderedPageBreak/>
              <w:t>Мелфалан</w:t>
            </w:r>
          </w:p>
        </w:tc>
        <w:tc>
          <w:tcPr>
            <w:tcW w:w="1701" w:type="dxa"/>
          </w:tcPr>
          <w:p w14:paraId="0E4FFBB8" w14:textId="77777777" w:rsidR="001F2346" w:rsidRPr="00BA4F0F" w:rsidRDefault="001F2346" w:rsidP="006E60A8">
            <w:pPr>
              <w:pStyle w:val="afe"/>
              <w:ind w:left="0" w:firstLine="0"/>
              <w:jc w:val="center"/>
              <w:rPr>
                <w:rFonts w:cs="Times New Roman"/>
                <w:szCs w:val="24"/>
              </w:rPr>
            </w:pPr>
            <w:r w:rsidRPr="00BA4F0F">
              <w:rPr>
                <w:rFonts w:cs="Times New Roman"/>
                <w:szCs w:val="24"/>
              </w:rPr>
              <w:t>- 1 день</w:t>
            </w:r>
          </w:p>
        </w:tc>
        <w:tc>
          <w:tcPr>
            <w:tcW w:w="1134" w:type="dxa"/>
          </w:tcPr>
          <w:p w14:paraId="2D7885A8" w14:textId="77777777" w:rsidR="001F2346" w:rsidRPr="00BA4F0F" w:rsidRDefault="001F2346" w:rsidP="006E60A8">
            <w:pPr>
              <w:pStyle w:val="afe"/>
              <w:ind w:left="0" w:firstLine="0"/>
              <w:jc w:val="center"/>
              <w:rPr>
                <w:rFonts w:cs="Times New Roman"/>
                <w:szCs w:val="24"/>
              </w:rPr>
            </w:pPr>
            <w:r w:rsidRPr="00BA4F0F">
              <w:rPr>
                <w:rFonts w:cs="Times New Roman"/>
                <w:szCs w:val="24"/>
              </w:rPr>
              <w:t>140мг/м</w:t>
            </w:r>
            <w:r w:rsidRPr="00BA4F0F">
              <w:rPr>
                <w:rFonts w:cs="Times New Roman"/>
                <w:szCs w:val="24"/>
                <w:vertAlign w:val="superscript"/>
              </w:rPr>
              <w:t>2</w:t>
            </w:r>
          </w:p>
        </w:tc>
        <w:tc>
          <w:tcPr>
            <w:tcW w:w="1276" w:type="dxa"/>
          </w:tcPr>
          <w:p w14:paraId="03AC4046" w14:textId="77777777" w:rsidR="001F2346" w:rsidRPr="00BA4F0F" w:rsidRDefault="001F2346" w:rsidP="006E60A8">
            <w:pPr>
              <w:pStyle w:val="afe"/>
              <w:ind w:left="0" w:firstLine="0"/>
              <w:jc w:val="center"/>
              <w:rPr>
                <w:rFonts w:cs="Times New Roman"/>
                <w:szCs w:val="24"/>
              </w:rPr>
            </w:pPr>
            <w:r w:rsidRPr="00BA4F0F">
              <w:rPr>
                <w:rFonts w:cs="Times New Roman"/>
                <w:szCs w:val="24"/>
              </w:rPr>
              <w:t>140 мг/м</w:t>
            </w:r>
            <w:r w:rsidRPr="00BA4F0F">
              <w:rPr>
                <w:rFonts w:cs="Times New Roman"/>
                <w:szCs w:val="24"/>
                <w:vertAlign w:val="superscript"/>
              </w:rPr>
              <w:t>2</w:t>
            </w:r>
          </w:p>
        </w:tc>
        <w:tc>
          <w:tcPr>
            <w:tcW w:w="1275" w:type="dxa"/>
          </w:tcPr>
          <w:p w14:paraId="022A606D" w14:textId="77777777" w:rsidR="001F2346" w:rsidRPr="00BA4F0F" w:rsidRDefault="001F2346" w:rsidP="006E60A8">
            <w:pPr>
              <w:pStyle w:val="afe"/>
              <w:ind w:left="0" w:firstLine="0"/>
              <w:jc w:val="center"/>
              <w:rPr>
                <w:rFonts w:cs="Times New Roman"/>
                <w:szCs w:val="24"/>
              </w:rPr>
            </w:pPr>
            <w:r w:rsidRPr="00BA4F0F">
              <w:rPr>
                <w:rFonts w:cs="Times New Roman"/>
                <w:szCs w:val="24"/>
              </w:rPr>
              <w:t>140 мг/м</w:t>
            </w:r>
            <w:r w:rsidRPr="00BA4F0F">
              <w:rPr>
                <w:rFonts w:cs="Times New Roman"/>
                <w:szCs w:val="24"/>
                <w:vertAlign w:val="superscript"/>
              </w:rPr>
              <w:t>2</w:t>
            </w:r>
          </w:p>
        </w:tc>
        <w:tc>
          <w:tcPr>
            <w:tcW w:w="2659" w:type="dxa"/>
          </w:tcPr>
          <w:p w14:paraId="2EC1E268" w14:textId="77777777" w:rsidR="001F2346" w:rsidRPr="00BA4F0F" w:rsidRDefault="001F2346" w:rsidP="006E60A8">
            <w:pPr>
              <w:pStyle w:val="afe"/>
              <w:ind w:left="0" w:firstLine="0"/>
              <w:rPr>
                <w:rFonts w:cs="Times New Roman"/>
                <w:szCs w:val="24"/>
              </w:rPr>
            </w:pPr>
            <w:r w:rsidRPr="00BA4F0F">
              <w:rPr>
                <w:rFonts w:cs="Times New Roman"/>
                <w:szCs w:val="24"/>
              </w:rPr>
              <w:t xml:space="preserve">Вводится в/в в виде инфузии в течение 1ч в 500 мл 0,9% </w:t>
            </w:r>
            <w:r w:rsidRPr="00BA4F0F">
              <w:rPr>
                <w:rFonts w:cs="Times New Roman"/>
                <w:szCs w:val="24"/>
                <w:lang w:val="en-US"/>
              </w:rPr>
              <w:t>NaCl</w:t>
            </w:r>
          </w:p>
        </w:tc>
      </w:tr>
    </w:tbl>
    <w:p w14:paraId="22D9DA87" w14:textId="77777777" w:rsidR="001F2346" w:rsidRPr="00BA4F0F" w:rsidRDefault="001F2346" w:rsidP="001F2346">
      <w:pPr>
        <w:ind w:firstLine="426"/>
      </w:pPr>
    </w:p>
    <w:p w14:paraId="1AA13739" w14:textId="698D25C6" w:rsidR="001F2346" w:rsidRPr="006E60A8" w:rsidRDefault="001F2346" w:rsidP="001F2346">
      <w:pPr>
        <w:ind w:firstLine="426"/>
      </w:pPr>
      <w:r w:rsidRPr="00BA4F0F">
        <w:t xml:space="preserve">В ряде клинических исследований была подтверждена эффективность режима предтрансплантационного кондиционирования </w:t>
      </w:r>
      <w:r w:rsidRPr="00BA4F0F">
        <w:rPr>
          <w:lang w:val="en-US"/>
        </w:rPr>
        <w:t>Benda</w:t>
      </w:r>
      <w:r w:rsidRPr="00BA4F0F">
        <w:t>-</w:t>
      </w:r>
      <w:r w:rsidRPr="00BA4F0F">
        <w:rPr>
          <w:lang w:val="en-US"/>
        </w:rPr>
        <w:t>EAM</w:t>
      </w:r>
      <w:r w:rsidRPr="00BA4F0F">
        <w:t xml:space="preserve"> при </w:t>
      </w:r>
      <w:r w:rsidRPr="006E60A8">
        <w:t xml:space="preserve">лимфопролиферативных заболеваниях. Схема введения препаратов и дозы представлены в таблице </w:t>
      </w:r>
      <w:r w:rsidR="006E60A8" w:rsidRPr="006E60A8">
        <w:t>7</w:t>
      </w:r>
      <w:r w:rsidRPr="006E60A8">
        <w:t>.</w:t>
      </w:r>
    </w:p>
    <w:p w14:paraId="35D058CE" w14:textId="77777777" w:rsidR="001F2346" w:rsidRPr="006E60A8" w:rsidRDefault="001F2346" w:rsidP="001F2346">
      <w:pPr>
        <w:ind w:firstLine="426"/>
        <w:rPr>
          <w:b/>
        </w:rPr>
      </w:pPr>
    </w:p>
    <w:p w14:paraId="14EB9B2C" w14:textId="472179A7" w:rsidR="001F2346" w:rsidRPr="00BA4F0F" w:rsidRDefault="001F2346" w:rsidP="001F2346">
      <w:pPr>
        <w:ind w:firstLine="426"/>
      </w:pPr>
      <w:r w:rsidRPr="006E60A8">
        <w:t xml:space="preserve">Таблица </w:t>
      </w:r>
      <w:r w:rsidR="006E60A8" w:rsidRPr="006E60A8">
        <w:t>7</w:t>
      </w:r>
      <w:r w:rsidRPr="006E60A8">
        <w:t>. Схема предтрансплантационного кондиционирования Benda-EAM</w:t>
      </w:r>
      <w:r w:rsidRPr="00BA4F0F">
        <w:t xml:space="preserve"> </w:t>
      </w:r>
      <w:r w:rsidRPr="00BA4F0F">
        <w:fldChar w:fldCharType="begin" w:fldLock="1"/>
      </w:r>
      <w:r w:rsidR="002736BA">
        <w:instrText>ADDIN CSL_CITATION {"citationItems":[{"id":"ITEM-1","itemData":{"DOI":"10.1038/s41409-019-0572-7","ISSN":"0268-3369","author":[{"dropping-particle":"","family":"Visani","given":"Giuseppe","non-dropping-particle":"","parse-names":false,"suffix":""},{"dropping-particle":"","family":"Loscocco","given":"Federica","non-dropping-particle":"","parse-names":false,"suffix":""},{"dropping-particle":"","family":"Bagaloni","given":"Irene","non-dropping-particle":"","parse-names":false,"suffix":""},{"dropping-particle":"","family":"Ruzzo","given":"Annamaria","non-dropping-particle":"","parse-names":false,"suffix":""},{"dropping-particle":"","family":"Fuligni","given":"Fabio","non-dropping-particle":"","parse-names":false,"suffix":""},{"dropping-particle":"","family":"Graziano","given":"Francesco","non-dropping-particle":"","parse-names":false,"suffix":""},{"dropping-particle":"","family":"Magnani","given":"Mauro","non-dropping-particle":"","parse-names":false,"suffix":""},{"dropping-particle":"","family":"Isidori","given":"Alessandro","non-dropping-particle":"","parse-names":false,"suffix":""}],"container-title":"Bone Marrow Transplantation","id":"ITEM-1","issue":"4","issued":{"date-parts":[["2020","4"]]},"page":"818-820","publisher":"Nature Publishing Group","title":"XRCC1 399GG genotype predicts significantly longer overall survival in resistant lymphoma patients treated with Benda-EAM and ASCT","type":"article-journal","volume":"55"},"uris":["http://www.mendeley.com/documents/?uuid=91fbd7c4-108e-3fa6-a12d-7807a539235e","http://www.mendeley.com/documents/?uuid=e90b652d-5001-4921-8b90-45d74510ea4a"]},{"id":"ITEM-2","itemData":{"DOI":"10.1182/blood-2011-04-351924","ISSN":"1528-0020","PMID":"21816830","abstract":"We designed a phase 1-2 study to evaluate the safety and the efficacy of increasing doses of bendamustine (160 mg/m², 180 mg/m², and 200 mg/m² given on days -7 and -6) coupled with fixed doses of etoposide, cytarabine, and melphalan (BeEAM regimen) as the conditioning regimen to autologous stem cell transplantation for resistant/relapsed lymphoma patients. Forty-three patients (median age, 47 years) with non-Hodgkin (n = 28) or Hodgkin (n = 15) lymphoma were consecutively treated. Nine patients entered the phase 1 study; no patients experienced a dose-limiting toxicity. Thirty-four additional patients were then treated in the phase 2. A median number of 6 × 10⁶ CD34(+) cells/kg (range, 2.4-15.5) were reinfused. All patients engrafted, with a median time to absolute neutrophil count &gt; 0.5 × 10⁹/L of 10 days. The 100-day transplantation-related mortality was 0%. After a median follow-up of 18 months, 35 of 43 patients (81%) are in complete remission, whereas 6 of 43 relapsed and 2 of 43 did not respond. Disease type (non-Hodgkin lymphomas vs Hodgkin disease) and disease status at transplantation (chemosensitive vs chemoresistant) significantly influenced DFS (P = .01; P = .007). Remarkably, 4 of 43 (9%) patients achieved the first complete remission after receiving the high-dose therapy with autologous stem cell transplantation. In conclusion, the new BeEAM regimen is safe and effective for heavily pretreated lymphoma patients. The study was registered at European Medicines Agency (EudraCT number 2008-002736-15).","author":[{"dropping-particle":"","family":"Visani","given":"Giuseppe","non-dropping-particle":"","parse-names":false,"suffix":""},{"dropping-particle":"","family":"Malerba","given":"Lara","non-dropping-particle":"","parse-names":false,"suffix":""},{"dropping-particle":"","family":"Stefani","given":"Pietro Maria","non-dropping-particle":"","parse-names":false,"suffix":""},{"dropping-particle":"","family":"Capria","given":"Saveria","non-dropping-particle":"","parse-names":false,"suffix":""},{"dropping-particle":"","family":"Galieni","given":"Piero","non-dropping-particle":"","parse-names":false,"suffix":""},{"dropping-particle":"","family":"Gaudio","given":"Francesco","non-dropping-particle":"","parse-names":false,"suffix":""},{"dropping-particle":"","family":"Specchia","given":"Giorgina","non-dropping-particle":"","parse-names":false,"suffix":""},{"dropping-particle":"","family":"Meloni","given":"Giovanna","non-dropping-particle":"","parse-names":false,"suffix":""},{"dropping-particle":"","family":"Gherlinzoni","given":"Filippo","non-dropping-particle":"","parse-names":false,"suffix":""},{"dropping-particle":"","family":"Giardini","given":"Claudio","non-dropping-particle":"","parse-names":false,"suffix":""},{"dropping-particle":"","family":"Falcioni","given":"Sadia","non-dropping-particle":"","parse-names":false,"suffix":""},{"dropping-particle":"","family":"Cuberli","given":"Francesca","non-dropping-particle":"","parse-names":false,"suffix":""},{"dropping-particle":"","family":"Gobbi","given":"Marco","non-dropping-particle":"","parse-names":false,"suffix":""},{"dropping-particle":"","family":"Sarina","given":"Barbara","non-dropping-particle":"","parse-names":false,"suffix":""},{"dropping-particle":"","family":"Santoro","given":"Armando","non-dropping-particle":"","parse-names":false,"suffix":""},{"dropping-particle":"","family":"Ferrara","given":"Felicetto","non-dropping-particle":"","parse-names":false,"suffix":""},{"dropping-particle":"","family":"Rocchi","given":"Marco","non-dropping-particle":"","parse-names":false,"suffix":""},{"dropping-particle":"","family":"Ocio","given":"Enrique M","non-dropping-particle":"","parse-names":false,"suffix":""},{"dropping-particle":"","family":"Caballero","given":"Maria Dolores","non-dropping-particle":"","parse-names":false,"suffix":""},{"dropping-particle":"","family":"Isidori","given":"Alessandro","non-dropping-particle":"","parse-names":false,"suffix":""}],"container-title":"Blood","id":"ITEM-2","issue":"12","issued":{"date-parts":[["2011","9","22"]]},"page":"3419-25","title":"BeEAM (bendamustine, etoposide, cytarabine, melphalan) before autologous stem cell transplantation is safe and effective for resistant/relapsed lymphoma patients.","type":"article-journal","volume":"118"},"uris":["http://www.mendeley.com/documents/?uuid=ab79b1d2-22d1-3d69-b3cc-3774a11bbd10"]}],"mendeley":{"formattedCitation":"[249,250]","plainTextFormattedCitation":"[249,250]","previouslyFormattedCitation":"[249,250]"},"properties":{"noteIndex":0},"schema":"https://github.com/citation-style-language/schema/raw/master/csl-citation.json"}</w:instrText>
      </w:r>
      <w:r w:rsidRPr="00BA4F0F">
        <w:fldChar w:fldCharType="separate"/>
      </w:r>
      <w:r w:rsidR="006E1ADA" w:rsidRPr="006E1ADA">
        <w:rPr>
          <w:noProof/>
        </w:rPr>
        <w:t>[249,250]</w:t>
      </w:r>
      <w:r w:rsidRPr="00BA4F0F">
        <w:fldChar w:fldCharType="end"/>
      </w:r>
    </w:p>
    <w:tbl>
      <w:tblPr>
        <w:tblStyle w:val="aff9"/>
        <w:tblW w:w="0" w:type="auto"/>
        <w:tblInd w:w="108" w:type="dxa"/>
        <w:tblLayout w:type="fixed"/>
        <w:tblLook w:val="04A0" w:firstRow="1" w:lastRow="0" w:firstColumn="1" w:lastColumn="0" w:noHBand="0" w:noVBand="1"/>
      </w:tblPr>
      <w:tblGrid>
        <w:gridCol w:w="1418"/>
        <w:gridCol w:w="1701"/>
        <w:gridCol w:w="1134"/>
        <w:gridCol w:w="1276"/>
        <w:gridCol w:w="1275"/>
        <w:gridCol w:w="2659"/>
      </w:tblGrid>
      <w:tr w:rsidR="001F2346" w:rsidRPr="00BA4F0F" w14:paraId="31B831AB" w14:textId="77777777" w:rsidTr="002D3EBF">
        <w:tc>
          <w:tcPr>
            <w:tcW w:w="1418" w:type="dxa"/>
          </w:tcPr>
          <w:p w14:paraId="2DACB3A3" w14:textId="77777777" w:rsidR="001F2346" w:rsidRPr="00BA4F0F" w:rsidRDefault="001F2346" w:rsidP="006E60A8">
            <w:pPr>
              <w:pStyle w:val="afe"/>
              <w:ind w:left="0" w:firstLine="0"/>
              <w:rPr>
                <w:rFonts w:cs="Times New Roman"/>
                <w:szCs w:val="24"/>
              </w:rPr>
            </w:pPr>
            <w:r w:rsidRPr="00BA4F0F">
              <w:rPr>
                <w:rFonts w:cs="Times New Roman"/>
                <w:szCs w:val="24"/>
              </w:rPr>
              <w:t>Препарат</w:t>
            </w:r>
          </w:p>
        </w:tc>
        <w:tc>
          <w:tcPr>
            <w:tcW w:w="1701" w:type="dxa"/>
          </w:tcPr>
          <w:p w14:paraId="55744716" w14:textId="77777777" w:rsidR="001F2346" w:rsidRPr="00BA4F0F" w:rsidRDefault="001F2346" w:rsidP="006E60A8">
            <w:pPr>
              <w:pStyle w:val="afe"/>
              <w:ind w:left="0" w:firstLine="0"/>
              <w:rPr>
                <w:rFonts w:cs="Times New Roman"/>
                <w:szCs w:val="24"/>
              </w:rPr>
            </w:pPr>
            <w:r w:rsidRPr="00BA4F0F">
              <w:rPr>
                <w:rFonts w:cs="Times New Roman"/>
                <w:szCs w:val="24"/>
              </w:rPr>
              <w:t>Дни введения перед ауто-ТГСК</w:t>
            </w:r>
          </w:p>
        </w:tc>
        <w:tc>
          <w:tcPr>
            <w:tcW w:w="1134" w:type="dxa"/>
          </w:tcPr>
          <w:p w14:paraId="68D7ECC8" w14:textId="77777777" w:rsidR="001F2346" w:rsidRPr="00BA4F0F" w:rsidRDefault="001F2346" w:rsidP="006E60A8">
            <w:pPr>
              <w:pStyle w:val="afe"/>
              <w:ind w:left="0" w:firstLine="0"/>
              <w:rPr>
                <w:rFonts w:cs="Times New Roman"/>
                <w:szCs w:val="24"/>
              </w:rPr>
            </w:pPr>
            <w:r w:rsidRPr="00BA4F0F">
              <w:rPr>
                <w:rFonts w:cs="Times New Roman"/>
                <w:szCs w:val="24"/>
              </w:rPr>
              <w:t>Разовая доза</w:t>
            </w:r>
          </w:p>
        </w:tc>
        <w:tc>
          <w:tcPr>
            <w:tcW w:w="1276" w:type="dxa"/>
          </w:tcPr>
          <w:p w14:paraId="3EA3B409" w14:textId="77777777" w:rsidR="001F2346" w:rsidRPr="00BA4F0F" w:rsidRDefault="001F2346" w:rsidP="006E60A8">
            <w:pPr>
              <w:pStyle w:val="afe"/>
              <w:ind w:left="0" w:firstLine="0"/>
              <w:rPr>
                <w:rFonts w:cs="Times New Roman"/>
                <w:szCs w:val="24"/>
              </w:rPr>
            </w:pPr>
            <w:r w:rsidRPr="00BA4F0F">
              <w:rPr>
                <w:rFonts w:cs="Times New Roman"/>
                <w:szCs w:val="24"/>
              </w:rPr>
              <w:t>Суточная доза</w:t>
            </w:r>
          </w:p>
        </w:tc>
        <w:tc>
          <w:tcPr>
            <w:tcW w:w="1275" w:type="dxa"/>
          </w:tcPr>
          <w:p w14:paraId="293E8F05" w14:textId="77777777" w:rsidR="001F2346" w:rsidRPr="00BA4F0F" w:rsidRDefault="001F2346" w:rsidP="006E60A8">
            <w:pPr>
              <w:pStyle w:val="afe"/>
              <w:ind w:left="0" w:firstLine="0"/>
              <w:rPr>
                <w:rFonts w:cs="Times New Roman"/>
                <w:szCs w:val="24"/>
              </w:rPr>
            </w:pPr>
            <w:r w:rsidRPr="00BA4F0F">
              <w:rPr>
                <w:rFonts w:cs="Times New Roman"/>
                <w:szCs w:val="24"/>
              </w:rPr>
              <w:t>Курсовая доза</w:t>
            </w:r>
          </w:p>
        </w:tc>
        <w:tc>
          <w:tcPr>
            <w:tcW w:w="2659" w:type="dxa"/>
          </w:tcPr>
          <w:p w14:paraId="60016CCF" w14:textId="77777777" w:rsidR="001F2346" w:rsidRPr="00BA4F0F" w:rsidRDefault="001F2346" w:rsidP="006E60A8">
            <w:pPr>
              <w:pStyle w:val="afe"/>
              <w:ind w:left="0" w:firstLine="0"/>
              <w:rPr>
                <w:rFonts w:cs="Times New Roman"/>
                <w:szCs w:val="24"/>
              </w:rPr>
            </w:pPr>
            <w:r w:rsidRPr="00BA4F0F">
              <w:rPr>
                <w:rFonts w:cs="Times New Roman"/>
                <w:szCs w:val="24"/>
              </w:rPr>
              <w:t>Особенности введения</w:t>
            </w:r>
          </w:p>
        </w:tc>
      </w:tr>
      <w:tr w:rsidR="001F2346" w:rsidRPr="00BA4F0F" w14:paraId="5E678832" w14:textId="77777777" w:rsidTr="002D3EBF">
        <w:tc>
          <w:tcPr>
            <w:tcW w:w="1418" w:type="dxa"/>
          </w:tcPr>
          <w:p w14:paraId="02563941" w14:textId="77777777" w:rsidR="001F2346" w:rsidRPr="00BA4F0F" w:rsidRDefault="001F2346" w:rsidP="006E60A8">
            <w:pPr>
              <w:pStyle w:val="afe"/>
              <w:ind w:left="0" w:firstLine="0"/>
              <w:jc w:val="center"/>
              <w:rPr>
                <w:rFonts w:cs="Times New Roman"/>
                <w:szCs w:val="24"/>
              </w:rPr>
            </w:pPr>
            <w:r w:rsidRPr="00BA4F0F">
              <w:rPr>
                <w:rFonts w:cs="Times New Roman"/>
                <w:szCs w:val="24"/>
              </w:rPr>
              <w:t>Бендамустин</w:t>
            </w:r>
          </w:p>
        </w:tc>
        <w:tc>
          <w:tcPr>
            <w:tcW w:w="1701" w:type="dxa"/>
          </w:tcPr>
          <w:p w14:paraId="40DF14B5" w14:textId="77777777" w:rsidR="001F2346" w:rsidRPr="00BA4F0F" w:rsidRDefault="001F2346" w:rsidP="006E60A8">
            <w:pPr>
              <w:pStyle w:val="afe"/>
              <w:ind w:left="0" w:firstLine="0"/>
              <w:jc w:val="center"/>
              <w:rPr>
                <w:rFonts w:cs="Times New Roman"/>
                <w:szCs w:val="24"/>
              </w:rPr>
            </w:pPr>
            <w:r w:rsidRPr="00BA4F0F">
              <w:rPr>
                <w:rFonts w:cs="Times New Roman"/>
                <w:szCs w:val="24"/>
              </w:rPr>
              <w:t>-7, -6 день</w:t>
            </w:r>
          </w:p>
        </w:tc>
        <w:tc>
          <w:tcPr>
            <w:tcW w:w="1134" w:type="dxa"/>
          </w:tcPr>
          <w:p w14:paraId="492A3008" w14:textId="77777777" w:rsidR="001F2346" w:rsidRPr="00BA4F0F" w:rsidRDefault="001F2346" w:rsidP="006E60A8">
            <w:pPr>
              <w:pStyle w:val="afe"/>
              <w:ind w:left="0" w:firstLine="0"/>
              <w:jc w:val="center"/>
              <w:rPr>
                <w:rFonts w:cs="Times New Roman"/>
                <w:szCs w:val="24"/>
              </w:rPr>
            </w:pPr>
            <w:r w:rsidRPr="00BA4F0F">
              <w:rPr>
                <w:rFonts w:cs="Times New Roman"/>
                <w:szCs w:val="24"/>
              </w:rPr>
              <w:t>200мг/м</w:t>
            </w:r>
            <w:r w:rsidRPr="00BA4F0F">
              <w:rPr>
                <w:rFonts w:cs="Times New Roman"/>
                <w:szCs w:val="24"/>
                <w:vertAlign w:val="superscript"/>
              </w:rPr>
              <w:t>2</w:t>
            </w:r>
          </w:p>
        </w:tc>
        <w:tc>
          <w:tcPr>
            <w:tcW w:w="1276" w:type="dxa"/>
          </w:tcPr>
          <w:p w14:paraId="7281904C" w14:textId="77777777" w:rsidR="001F2346" w:rsidRPr="00BA4F0F" w:rsidRDefault="001F2346" w:rsidP="006E60A8">
            <w:pPr>
              <w:pStyle w:val="afe"/>
              <w:ind w:left="0" w:firstLine="0"/>
              <w:jc w:val="center"/>
              <w:rPr>
                <w:rFonts w:cs="Times New Roman"/>
                <w:szCs w:val="24"/>
              </w:rPr>
            </w:pPr>
            <w:r w:rsidRPr="00BA4F0F">
              <w:rPr>
                <w:rFonts w:cs="Times New Roman"/>
                <w:szCs w:val="24"/>
              </w:rPr>
              <w:t>200 мг/м</w:t>
            </w:r>
            <w:r w:rsidRPr="00BA4F0F">
              <w:rPr>
                <w:rFonts w:cs="Times New Roman"/>
                <w:szCs w:val="24"/>
                <w:vertAlign w:val="superscript"/>
              </w:rPr>
              <w:t>2</w:t>
            </w:r>
          </w:p>
        </w:tc>
        <w:tc>
          <w:tcPr>
            <w:tcW w:w="1275" w:type="dxa"/>
          </w:tcPr>
          <w:p w14:paraId="6F89BB4D" w14:textId="77777777" w:rsidR="001F2346" w:rsidRPr="00BA4F0F" w:rsidRDefault="001F2346" w:rsidP="006E60A8">
            <w:pPr>
              <w:pStyle w:val="afe"/>
              <w:ind w:left="0" w:firstLine="0"/>
              <w:jc w:val="center"/>
              <w:rPr>
                <w:rFonts w:cs="Times New Roman"/>
                <w:szCs w:val="24"/>
              </w:rPr>
            </w:pPr>
            <w:r w:rsidRPr="00BA4F0F">
              <w:rPr>
                <w:rFonts w:cs="Times New Roman"/>
                <w:szCs w:val="24"/>
              </w:rPr>
              <w:t>400 мг/м</w:t>
            </w:r>
            <w:r w:rsidRPr="00BA4F0F">
              <w:rPr>
                <w:rFonts w:cs="Times New Roman"/>
                <w:szCs w:val="24"/>
                <w:vertAlign w:val="superscript"/>
              </w:rPr>
              <w:t>2</w:t>
            </w:r>
          </w:p>
        </w:tc>
        <w:tc>
          <w:tcPr>
            <w:tcW w:w="2659" w:type="dxa"/>
          </w:tcPr>
          <w:p w14:paraId="11E37761" w14:textId="77777777" w:rsidR="001F2346" w:rsidRPr="00BA4F0F" w:rsidRDefault="001F2346" w:rsidP="006E60A8">
            <w:pPr>
              <w:pStyle w:val="afe"/>
              <w:ind w:left="0" w:firstLine="0"/>
              <w:rPr>
                <w:rFonts w:cs="Times New Roman"/>
                <w:szCs w:val="24"/>
              </w:rPr>
            </w:pPr>
            <w:r w:rsidRPr="00BA4F0F">
              <w:rPr>
                <w:rFonts w:cs="Times New Roman"/>
                <w:szCs w:val="24"/>
              </w:rPr>
              <w:t xml:space="preserve">Вводится в/в в виде инфузии в течение 30-60 минут в 500 мл 0,9% </w:t>
            </w:r>
            <w:r w:rsidRPr="00BA4F0F">
              <w:rPr>
                <w:rFonts w:cs="Times New Roman"/>
                <w:szCs w:val="24"/>
                <w:lang w:val="en-US"/>
              </w:rPr>
              <w:t>NaCl</w:t>
            </w:r>
          </w:p>
        </w:tc>
      </w:tr>
      <w:tr w:rsidR="001F2346" w:rsidRPr="00BA4F0F" w14:paraId="518F9D38" w14:textId="77777777" w:rsidTr="002D3EBF">
        <w:tc>
          <w:tcPr>
            <w:tcW w:w="1418" w:type="dxa"/>
          </w:tcPr>
          <w:p w14:paraId="44E0DCB3" w14:textId="77777777" w:rsidR="001F2346" w:rsidRPr="00BA4F0F" w:rsidRDefault="001F2346" w:rsidP="006E60A8">
            <w:pPr>
              <w:pStyle w:val="afe"/>
              <w:ind w:left="0" w:firstLine="0"/>
              <w:jc w:val="center"/>
              <w:rPr>
                <w:rFonts w:cs="Times New Roman"/>
                <w:szCs w:val="24"/>
              </w:rPr>
            </w:pPr>
            <w:r w:rsidRPr="00BA4F0F">
              <w:rPr>
                <w:rFonts w:cs="Times New Roman"/>
                <w:szCs w:val="24"/>
              </w:rPr>
              <w:t>Этопозид</w:t>
            </w:r>
          </w:p>
        </w:tc>
        <w:tc>
          <w:tcPr>
            <w:tcW w:w="1701" w:type="dxa"/>
          </w:tcPr>
          <w:p w14:paraId="017FA682" w14:textId="77777777" w:rsidR="001F2346" w:rsidRPr="00BA4F0F" w:rsidRDefault="001F2346" w:rsidP="006E60A8">
            <w:pPr>
              <w:pStyle w:val="afe"/>
              <w:ind w:left="0" w:firstLine="0"/>
              <w:jc w:val="center"/>
              <w:rPr>
                <w:rFonts w:cs="Times New Roman"/>
                <w:szCs w:val="24"/>
              </w:rPr>
            </w:pPr>
            <w:r w:rsidRPr="00BA4F0F">
              <w:rPr>
                <w:rFonts w:cs="Times New Roman"/>
                <w:szCs w:val="24"/>
              </w:rPr>
              <w:t>-5, -4, -3, -2 дни</w:t>
            </w:r>
          </w:p>
        </w:tc>
        <w:tc>
          <w:tcPr>
            <w:tcW w:w="1134" w:type="dxa"/>
          </w:tcPr>
          <w:p w14:paraId="192376C9" w14:textId="77777777" w:rsidR="001F2346" w:rsidRPr="00BA4F0F" w:rsidRDefault="001F2346" w:rsidP="006E60A8">
            <w:pPr>
              <w:pStyle w:val="afe"/>
              <w:ind w:left="0" w:firstLine="0"/>
              <w:jc w:val="center"/>
              <w:rPr>
                <w:rFonts w:cs="Times New Roman"/>
                <w:szCs w:val="24"/>
              </w:rPr>
            </w:pPr>
            <w:r w:rsidRPr="00BA4F0F">
              <w:rPr>
                <w:rFonts w:cs="Times New Roman"/>
                <w:szCs w:val="24"/>
              </w:rPr>
              <w:t>200мг/м</w:t>
            </w:r>
            <w:r w:rsidRPr="00BA4F0F">
              <w:rPr>
                <w:rFonts w:cs="Times New Roman"/>
                <w:szCs w:val="24"/>
                <w:vertAlign w:val="superscript"/>
              </w:rPr>
              <w:t>2</w:t>
            </w:r>
          </w:p>
        </w:tc>
        <w:tc>
          <w:tcPr>
            <w:tcW w:w="1276" w:type="dxa"/>
          </w:tcPr>
          <w:p w14:paraId="0090C149" w14:textId="77777777" w:rsidR="001F2346" w:rsidRPr="00BA4F0F" w:rsidRDefault="001F2346" w:rsidP="006E60A8">
            <w:pPr>
              <w:pStyle w:val="afe"/>
              <w:ind w:left="0" w:firstLine="0"/>
              <w:jc w:val="center"/>
              <w:rPr>
                <w:rFonts w:cs="Times New Roman"/>
                <w:szCs w:val="24"/>
              </w:rPr>
            </w:pPr>
            <w:r w:rsidRPr="00BA4F0F">
              <w:rPr>
                <w:rFonts w:cs="Times New Roman"/>
                <w:szCs w:val="24"/>
              </w:rPr>
              <w:t>200 мг/м</w:t>
            </w:r>
            <w:r w:rsidRPr="00BA4F0F">
              <w:rPr>
                <w:rFonts w:cs="Times New Roman"/>
                <w:szCs w:val="24"/>
                <w:vertAlign w:val="superscript"/>
              </w:rPr>
              <w:t>2</w:t>
            </w:r>
          </w:p>
        </w:tc>
        <w:tc>
          <w:tcPr>
            <w:tcW w:w="1275" w:type="dxa"/>
          </w:tcPr>
          <w:p w14:paraId="4C53B857" w14:textId="77777777" w:rsidR="001F2346" w:rsidRPr="00BA4F0F" w:rsidRDefault="001F2346" w:rsidP="006E60A8">
            <w:pPr>
              <w:pStyle w:val="afe"/>
              <w:ind w:left="0" w:firstLine="0"/>
              <w:jc w:val="center"/>
              <w:rPr>
                <w:rFonts w:cs="Times New Roman"/>
                <w:szCs w:val="24"/>
              </w:rPr>
            </w:pPr>
            <w:r w:rsidRPr="00BA4F0F">
              <w:rPr>
                <w:rFonts w:cs="Times New Roman"/>
                <w:szCs w:val="24"/>
              </w:rPr>
              <w:t>800 мг/м</w:t>
            </w:r>
            <w:r w:rsidRPr="00BA4F0F">
              <w:rPr>
                <w:rFonts w:cs="Times New Roman"/>
                <w:szCs w:val="24"/>
                <w:vertAlign w:val="superscript"/>
              </w:rPr>
              <w:t>2</w:t>
            </w:r>
          </w:p>
        </w:tc>
        <w:tc>
          <w:tcPr>
            <w:tcW w:w="2659" w:type="dxa"/>
          </w:tcPr>
          <w:p w14:paraId="42D3C73F" w14:textId="77777777" w:rsidR="001F2346" w:rsidRPr="00BA4F0F" w:rsidRDefault="001F2346" w:rsidP="006E60A8">
            <w:pPr>
              <w:pStyle w:val="afe"/>
              <w:ind w:left="0" w:firstLine="0"/>
              <w:rPr>
                <w:rFonts w:cs="Times New Roman"/>
                <w:szCs w:val="24"/>
              </w:rPr>
            </w:pPr>
            <w:r w:rsidRPr="00BA4F0F">
              <w:rPr>
                <w:rFonts w:cs="Times New Roman"/>
                <w:szCs w:val="24"/>
              </w:rPr>
              <w:t xml:space="preserve">Вводится в/в в виде инфузии в течение 30 минут в 500 мл 0,9% </w:t>
            </w:r>
            <w:r w:rsidRPr="00BA4F0F">
              <w:rPr>
                <w:rFonts w:cs="Times New Roman"/>
                <w:szCs w:val="24"/>
                <w:lang w:val="en-US"/>
              </w:rPr>
              <w:t>NaCl</w:t>
            </w:r>
          </w:p>
        </w:tc>
      </w:tr>
      <w:tr w:rsidR="001F2346" w:rsidRPr="00BA4F0F" w14:paraId="530B67F9" w14:textId="77777777" w:rsidTr="002D3EBF">
        <w:tc>
          <w:tcPr>
            <w:tcW w:w="1418" w:type="dxa"/>
          </w:tcPr>
          <w:p w14:paraId="0D8F4550" w14:textId="77777777" w:rsidR="001F2346" w:rsidRPr="00BA4F0F" w:rsidRDefault="001F2346" w:rsidP="006E60A8">
            <w:pPr>
              <w:pStyle w:val="afe"/>
              <w:ind w:left="0" w:firstLine="0"/>
              <w:jc w:val="center"/>
              <w:rPr>
                <w:rFonts w:cs="Times New Roman"/>
                <w:szCs w:val="24"/>
              </w:rPr>
            </w:pPr>
            <w:r w:rsidRPr="00BA4F0F">
              <w:rPr>
                <w:rFonts w:cs="Times New Roman"/>
                <w:szCs w:val="24"/>
              </w:rPr>
              <w:t>Цитарабин</w:t>
            </w:r>
          </w:p>
        </w:tc>
        <w:tc>
          <w:tcPr>
            <w:tcW w:w="1701" w:type="dxa"/>
          </w:tcPr>
          <w:p w14:paraId="4C62CAFB" w14:textId="77777777" w:rsidR="001F2346" w:rsidRPr="00BA4F0F" w:rsidRDefault="001F2346" w:rsidP="006E60A8">
            <w:pPr>
              <w:pStyle w:val="afe"/>
              <w:ind w:left="0" w:firstLine="0"/>
              <w:jc w:val="center"/>
              <w:rPr>
                <w:rFonts w:cs="Times New Roman"/>
                <w:szCs w:val="24"/>
              </w:rPr>
            </w:pPr>
            <w:r w:rsidRPr="00BA4F0F">
              <w:rPr>
                <w:rFonts w:cs="Times New Roman"/>
                <w:szCs w:val="24"/>
              </w:rPr>
              <w:t>-5, -4, -3, -2 дни</w:t>
            </w:r>
          </w:p>
        </w:tc>
        <w:tc>
          <w:tcPr>
            <w:tcW w:w="1134" w:type="dxa"/>
          </w:tcPr>
          <w:p w14:paraId="0511CC83" w14:textId="77777777" w:rsidR="001F2346" w:rsidRPr="00BA4F0F" w:rsidRDefault="001F2346" w:rsidP="006E60A8">
            <w:pPr>
              <w:pStyle w:val="afe"/>
              <w:ind w:left="0" w:firstLine="0"/>
              <w:jc w:val="center"/>
              <w:rPr>
                <w:rFonts w:cs="Times New Roman"/>
                <w:szCs w:val="24"/>
              </w:rPr>
            </w:pPr>
            <w:r w:rsidRPr="00BA4F0F">
              <w:rPr>
                <w:rFonts w:cs="Times New Roman"/>
                <w:szCs w:val="24"/>
              </w:rPr>
              <w:t>200мг/м</w:t>
            </w:r>
            <w:r w:rsidRPr="00BA4F0F">
              <w:rPr>
                <w:rFonts w:cs="Times New Roman"/>
                <w:szCs w:val="24"/>
                <w:vertAlign w:val="superscript"/>
              </w:rPr>
              <w:t>2</w:t>
            </w:r>
          </w:p>
        </w:tc>
        <w:tc>
          <w:tcPr>
            <w:tcW w:w="1276" w:type="dxa"/>
          </w:tcPr>
          <w:p w14:paraId="16DF8274" w14:textId="77777777" w:rsidR="001F2346" w:rsidRPr="00BA4F0F" w:rsidRDefault="001F2346" w:rsidP="006E60A8">
            <w:pPr>
              <w:pStyle w:val="afe"/>
              <w:ind w:left="0" w:firstLine="0"/>
              <w:jc w:val="center"/>
              <w:rPr>
                <w:rFonts w:cs="Times New Roman"/>
                <w:szCs w:val="24"/>
              </w:rPr>
            </w:pPr>
            <w:r w:rsidRPr="00BA4F0F">
              <w:rPr>
                <w:rFonts w:cs="Times New Roman"/>
                <w:szCs w:val="24"/>
              </w:rPr>
              <w:t>400 мг/ м</w:t>
            </w:r>
            <w:r w:rsidRPr="00BA4F0F">
              <w:rPr>
                <w:rFonts w:cs="Times New Roman"/>
                <w:szCs w:val="24"/>
                <w:vertAlign w:val="superscript"/>
              </w:rPr>
              <w:t>2</w:t>
            </w:r>
          </w:p>
        </w:tc>
        <w:tc>
          <w:tcPr>
            <w:tcW w:w="1275" w:type="dxa"/>
          </w:tcPr>
          <w:p w14:paraId="179C4CD9" w14:textId="77777777" w:rsidR="001F2346" w:rsidRPr="00BA4F0F" w:rsidRDefault="001F2346" w:rsidP="006E60A8">
            <w:pPr>
              <w:pStyle w:val="afe"/>
              <w:ind w:left="0" w:firstLine="0"/>
              <w:jc w:val="center"/>
              <w:rPr>
                <w:rFonts w:cs="Times New Roman"/>
                <w:szCs w:val="24"/>
              </w:rPr>
            </w:pPr>
            <w:r w:rsidRPr="00BA4F0F">
              <w:rPr>
                <w:rFonts w:cs="Times New Roman"/>
                <w:szCs w:val="24"/>
              </w:rPr>
              <w:t>1600 мг/м</w:t>
            </w:r>
            <w:r w:rsidRPr="00BA4F0F">
              <w:rPr>
                <w:rFonts w:cs="Times New Roman"/>
                <w:szCs w:val="24"/>
                <w:vertAlign w:val="superscript"/>
              </w:rPr>
              <w:t>2</w:t>
            </w:r>
          </w:p>
        </w:tc>
        <w:tc>
          <w:tcPr>
            <w:tcW w:w="2659" w:type="dxa"/>
          </w:tcPr>
          <w:p w14:paraId="623CD6DB" w14:textId="77777777" w:rsidR="001F2346" w:rsidRPr="00BA4F0F" w:rsidRDefault="001F2346" w:rsidP="006E60A8">
            <w:pPr>
              <w:pStyle w:val="afe"/>
              <w:ind w:left="0" w:firstLine="0"/>
              <w:rPr>
                <w:rFonts w:cs="Times New Roman"/>
                <w:szCs w:val="24"/>
              </w:rPr>
            </w:pPr>
            <w:r w:rsidRPr="00BA4F0F">
              <w:rPr>
                <w:rFonts w:cs="Times New Roman"/>
                <w:szCs w:val="24"/>
              </w:rPr>
              <w:t xml:space="preserve">Вводится в/в в виде инфузии в течение 30 минут в 500 мл 0,9% </w:t>
            </w:r>
            <w:r w:rsidRPr="00BA4F0F">
              <w:rPr>
                <w:rFonts w:cs="Times New Roman"/>
                <w:szCs w:val="24"/>
                <w:lang w:val="en-US"/>
              </w:rPr>
              <w:t>NaCl</w:t>
            </w:r>
          </w:p>
        </w:tc>
      </w:tr>
      <w:tr w:rsidR="001F2346" w:rsidRPr="00BA4F0F" w14:paraId="338105D8" w14:textId="77777777" w:rsidTr="002D3EBF">
        <w:tc>
          <w:tcPr>
            <w:tcW w:w="1418" w:type="dxa"/>
          </w:tcPr>
          <w:p w14:paraId="77A0A22E" w14:textId="77777777" w:rsidR="001F2346" w:rsidRPr="00BA4F0F" w:rsidRDefault="001F2346" w:rsidP="006E60A8">
            <w:pPr>
              <w:pStyle w:val="afe"/>
              <w:ind w:left="0" w:firstLine="0"/>
              <w:jc w:val="center"/>
              <w:rPr>
                <w:rFonts w:cs="Times New Roman"/>
                <w:szCs w:val="24"/>
              </w:rPr>
            </w:pPr>
            <w:r w:rsidRPr="00BA4F0F">
              <w:rPr>
                <w:rFonts w:cs="Times New Roman"/>
                <w:szCs w:val="24"/>
              </w:rPr>
              <w:t>Мелфалан</w:t>
            </w:r>
          </w:p>
        </w:tc>
        <w:tc>
          <w:tcPr>
            <w:tcW w:w="1701" w:type="dxa"/>
          </w:tcPr>
          <w:p w14:paraId="687AC009" w14:textId="77777777" w:rsidR="001F2346" w:rsidRPr="00BA4F0F" w:rsidRDefault="001F2346" w:rsidP="006E60A8">
            <w:pPr>
              <w:pStyle w:val="afe"/>
              <w:ind w:left="0" w:firstLine="0"/>
              <w:jc w:val="center"/>
              <w:rPr>
                <w:rFonts w:cs="Times New Roman"/>
                <w:szCs w:val="24"/>
              </w:rPr>
            </w:pPr>
            <w:r w:rsidRPr="00BA4F0F">
              <w:rPr>
                <w:rFonts w:cs="Times New Roman"/>
                <w:szCs w:val="24"/>
              </w:rPr>
              <w:t>- 1 день</w:t>
            </w:r>
          </w:p>
        </w:tc>
        <w:tc>
          <w:tcPr>
            <w:tcW w:w="1134" w:type="dxa"/>
          </w:tcPr>
          <w:p w14:paraId="482606E4" w14:textId="77777777" w:rsidR="001F2346" w:rsidRPr="00BA4F0F" w:rsidRDefault="001F2346" w:rsidP="006E60A8">
            <w:pPr>
              <w:pStyle w:val="afe"/>
              <w:ind w:left="0" w:firstLine="0"/>
              <w:jc w:val="center"/>
              <w:rPr>
                <w:rFonts w:cs="Times New Roman"/>
                <w:szCs w:val="24"/>
              </w:rPr>
            </w:pPr>
            <w:r w:rsidRPr="00BA4F0F">
              <w:rPr>
                <w:rFonts w:cs="Times New Roman"/>
                <w:szCs w:val="24"/>
              </w:rPr>
              <w:t>140мг/м</w:t>
            </w:r>
            <w:r w:rsidRPr="00BA4F0F">
              <w:rPr>
                <w:rFonts w:cs="Times New Roman"/>
                <w:szCs w:val="24"/>
                <w:vertAlign w:val="superscript"/>
              </w:rPr>
              <w:t>2</w:t>
            </w:r>
          </w:p>
        </w:tc>
        <w:tc>
          <w:tcPr>
            <w:tcW w:w="1276" w:type="dxa"/>
          </w:tcPr>
          <w:p w14:paraId="75E328B3" w14:textId="77777777" w:rsidR="001F2346" w:rsidRPr="00BA4F0F" w:rsidRDefault="001F2346" w:rsidP="006E60A8">
            <w:pPr>
              <w:pStyle w:val="afe"/>
              <w:ind w:left="0" w:firstLine="0"/>
              <w:jc w:val="center"/>
              <w:rPr>
                <w:rFonts w:cs="Times New Roman"/>
                <w:szCs w:val="24"/>
              </w:rPr>
            </w:pPr>
            <w:r w:rsidRPr="00BA4F0F">
              <w:rPr>
                <w:rFonts w:cs="Times New Roman"/>
                <w:szCs w:val="24"/>
              </w:rPr>
              <w:t>140 мг/м</w:t>
            </w:r>
            <w:r w:rsidRPr="00BA4F0F">
              <w:rPr>
                <w:rFonts w:cs="Times New Roman"/>
                <w:szCs w:val="24"/>
                <w:vertAlign w:val="superscript"/>
              </w:rPr>
              <w:t>2</w:t>
            </w:r>
          </w:p>
        </w:tc>
        <w:tc>
          <w:tcPr>
            <w:tcW w:w="1275" w:type="dxa"/>
          </w:tcPr>
          <w:p w14:paraId="269D4CFF" w14:textId="77777777" w:rsidR="001F2346" w:rsidRPr="00BA4F0F" w:rsidRDefault="001F2346" w:rsidP="006E60A8">
            <w:pPr>
              <w:pStyle w:val="afe"/>
              <w:ind w:left="0" w:firstLine="0"/>
              <w:jc w:val="center"/>
              <w:rPr>
                <w:rFonts w:cs="Times New Roman"/>
                <w:szCs w:val="24"/>
              </w:rPr>
            </w:pPr>
            <w:r w:rsidRPr="00BA4F0F">
              <w:rPr>
                <w:rFonts w:cs="Times New Roman"/>
                <w:szCs w:val="24"/>
              </w:rPr>
              <w:t>140 мг/м</w:t>
            </w:r>
            <w:r w:rsidRPr="00BA4F0F">
              <w:rPr>
                <w:rFonts w:cs="Times New Roman"/>
                <w:szCs w:val="24"/>
                <w:vertAlign w:val="superscript"/>
              </w:rPr>
              <w:t>2</w:t>
            </w:r>
          </w:p>
        </w:tc>
        <w:tc>
          <w:tcPr>
            <w:tcW w:w="2659" w:type="dxa"/>
          </w:tcPr>
          <w:p w14:paraId="7B9F90C0" w14:textId="77777777" w:rsidR="001F2346" w:rsidRPr="00BA4F0F" w:rsidRDefault="001F2346" w:rsidP="006E60A8">
            <w:pPr>
              <w:pStyle w:val="afe"/>
              <w:ind w:left="0" w:firstLine="0"/>
              <w:rPr>
                <w:rFonts w:cs="Times New Roman"/>
                <w:szCs w:val="24"/>
              </w:rPr>
            </w:pPr>
            <w:r w:rsidRPr="00BA4F0F">
              <w:rPr>
                <w:rFonts w:cs="Times New Roman"/>
                <w:szCs w:val="24"/>
              </w:rPr>
              <w:t xml:space="preserve">Вводится в/в в виде инфузии в течение 1ч в 500 мл 0,9% </w:t>
            </w:r>
            <w:r w:rsidRPr="00BA4F0F">
              <w:rPr>
                <w:rFonts w:cs="Times New Roman"/>
                <w:szCs w:val="24"/>
                <w:lang w:val="en-US"/>
              </w:rPr>
              <w:t>NaCl</w:t>
            </w:r>
          </w:p>
        </w:tc>
      </w:tr>
    </w:tbl>
    <w:p w14:paraId="77C9FF1D" w14:textId="77777777" w:rsidR="001F2346" w:rsidRPr="00BA4F0F" w:rsidRDefault="001F2346" w:rsidP="001F2346">
      <w:pPr>
        <w:pStyle w:val="afe"/>
        <w:ind w:left="0"/>
        <w:rPr>
          <w:rFonts w:cs="Times New Roman"/>
          <w:szCs w:val="24"/>
          <w:u w:val="single"/>
        </w:rPr>
      </w:pPr>
      <w:bookmarkStart w:id="153" w:name="_Toc44926630"/>
    </w:p>
    <w:p w14:paraId="1B4CFEF6" w14:textId="77777777" w:rsidR="001F2346" w:rsidRPr="006E60A8" w:rsidRDefault="001F2346" w:rsidP="001F2346">
      <w:pPr>
        <w:pStyle w:val="afe"/>
        <w:ind w:left="0"/>
        <w:rPr>
          <w:rFonts w:cs="Times New Roman"/>
          <w:szCs w:val="24"/>
          <w:u w:val="single"/>
        </w:rPr>
      </w:pPr>
      <w:r w:rsidRPr="006E60A8">
        <w:rPr>
          <w:rFonts w:cs="Times New Roman"/>
          <w:szCs w:val="24"/>
          <w:u w:val="single"/>
        </w:rPr>
        <w:t>Режим кондиционирования при первичной лимфоме центральной нервной системы</w:t>
      </w:r>
      <w:bookmarkEnd w:id="153"/>
    </w:p>
    <w:p w14:paraId="73DDEDEB" w14:textId="739F3DEE" w:rsidR="001F2346" w:rsidRPr="006E60A8" w:rsidRDefault="001F2346" w:rsidP="001F2346">
      <w:pPr>
        <w:ind w:firstLine="426"/>
      </w:pPr>
      <w:r w:rsidRPr="006E60A8">
        <w:t xml:space="preserve">Высокодозная химиотерапия и трансплантация аутологичных стволовых клеток являются терапевтическим вариантом для пациентов с первичной лимфомой центральной нервной системы. Для предтрансплантационной подготовки у этой категории больных </w:t>
      </w:r>
      <w:r w:rsidRPr="006E60A8">
        <w:lastRenderedPageBreak/>
        <w:t xml:space="preserve">используется режим ТВС </w:t>
      </w:r>
      <w:r w:rsidRPr="006E60A8">
        <w:fldChar w:fldCharType="begin" w:fldLock="1"/>
      </w:r>
      <w:r w:rsidR="002736BA">
        <w:instrText>ADDIN CSL_CITATION {"citationItems":[{"id":"ITEM-1","itemData":{"DOI":"10.1182/blood-2014-10-604561","ISSN":"1528-0020","PMID":"25568347","abstract":"High-dose methotrexate-based chemotherapy is the mainstay of treatment of primary central nervous system lymphoma (PCNSL), but relapses remain frequent. High-dose chemotherapy (HDC) with autologous stem-cell transplant (ASCT) may provide an alternative to address chemoresistance and overcome the blood-brain barrier. In this single-center phase-2 study, newly diagnosed PCNSL patients received 5 to 7 cycles of chemotherapy with rituximab, methotrexate (3.5 g/m(2)), procarbazine, and vincristine (R-MPV). Those with a complete or partial response proceeded with consolidation HDC with thiotepa, cyclophosphamide, and busulfan, followed by ASCT and no radiotherapy. Primary end point was 1-year progression-free survival (PFS), N = 32. Median age was 57, and median Karnofsky performance status 80. Following R-MPV, objective response rate was 97%, and 26 (81%) patients proceeded with HDC-ASCT. Among all patients, median PFS and overall survival (OS) were not reached (median follow-up: 45 months). Two-year PFS was 79% (95% confidence interval [CI], 58-90), with no events observed beyond 2 years. Two-year OS was 81% (95% CI, 63-91). In transplanted patients, 2-year PFS and OS were 81%. There were 3 treatment-related deaths. Prospective neuropsychological evaluations suggested relatively stable cognitive functions posttransplant. In conclusion, this treatment was associated with excellent disease control and survival, an acceptable toxicity profile, and no evidence of neurotoxicity thus far. This trial was registered at www.clinicaltrials.gov as NCT00596154.","author":[{"dropping-particle":"","family":"Omuro","given":"Antonio","non-dropping-particle":"","parse-names":false,"suffix":""},{"dropping-particle":"","family":"Correa","given":"Denise D","non-dropping-particle":"","parse-names":false,"suffix":""},{"dropping-particle":"","family":"DeAngelis","given":"Lisa M","non-dropping-particle":"","parse-names":false,"suffix":""},{"dropping-particle":"","family":"Moskowitz","given":"Craig H","non-dropping-particle":"","parse-names":false,"suffix":""},{"dropping-particle":"","family":"Matasar","given":"Matthew J","non-dropping-particle":"","parse-names":false,"suffix":""},{"dropping-particle":"","family":"Kaley","given":"Thomas J","non-dropping-particle":"","parse-names":false,"suffix":""},{"dropping-particle":"","family":"Gavrilovic","given":"Igor T","non-dropping-particle":"","parse-names":false,"suffix":""},{"dropping-particle":"","family":"Nolan","given":"Craig","non-dropping-particle":"","parse-names":false,"suffix":""},{"dropping-particle":"","family":"Pentsova","given":"Elena","non-dropping-particle":"","parse-names":false,"suffix":""},{"dropping-particle":"","family":"Grommes","given":"Christian C","non-dropping-particle":"","parse-names":false,"suffix":""},{"dropping-particle":"","family":"Panageas","given":"Katherine S","non-dropping-particle":"","parse-names":false,"suffix":""},{"dropping-particle":"","family":"Baser","given":"Raymond E","non-dropping-particle":"","parse-names":false,"suffix":""},{"dropping-particle":"","family":"Faivre","given":"Geraldine","non-dropping-particle":"","parse-names":false,"suffix":""},{"dropping-particle":"","family":"Abrey","given":"Lauren E","non-dropping-particle":"","parse-names":false,"suffix":""},{"dropping-particle":"","family":"Sauter","given":"Craig S","non-dropping-particle":"","parse-names":false,"suffix":""}],"container-title":"Blood","id":"ITEM-1","issue":"9","issued":{"date-parts":[["2015","2"]]},"page":"1403-10","publisher":"Blood","title":"R-MPV followed by high-dose chemotherapy with TBC and autologous stem-cell transplant for newly diagnosed primary CNS lymphoma.","type":"article-journal","volume":"125"},"uris":["http://www.mendeley.com/documents/?uuid=96a35543-c64e-3517-8495-88bc3fe86794","http://www.mendeley.com/documents/?uuid=ab45ab29-739e-4a8a-aaa0-8773ad1eaf4c"]},{"id":"ITEM-2","itemData":{"DOI":"10.1002/cncr.30695","ISSN":"1097-0142","PMID":"28369839","abstract":"BACKGROUND High-dose chemotherapy and autologous stem cell transplantation (HDC-ASCT) is a therapeutic option for patients with primary central nervous system lymphoma (PCNSL). To the authors' knowledge, data are limited regarding its use among patients in first complete remission (CR1) with the CNS-directed conditioning regimen of thiotepa, busulfan, and cyclophosphamide (TBC). METHODS A retrospective analysis of patients with PCNSL in CR1 who underwent transplantation using a TBC-based conditioning regimen at 2 academic institutions was performed. RESULTS Forty-six consecutive patients who underwent HDC-ASCT while in CR1 were identified. The most common induction regimen was high-dose methotrexate plus temozolomide and rituximab (59%). No patients received whole-brain radiotherapy. A total of 40 patients (87%) received cytarabine before undergoing ASCT as either induction intensification, early consolidation therapy, or mobilization. The median time from diagnosis to transplantation was 6 months (range, 4-15 months). The median age of the patients at the time of transplantation was 59 years (range, 27-69 years). With a median follow-up of 2.7 years after ASCT (range, 6 months-7.5 years), the Kaplan-Meier estimates of 2-year overall survival and progression-free survival were 95% (95% confidence interval [95% CI], 80%-99%) and 92% (95% CI, 77%-97%), respectively. The most common toxicities were severe mucositis (35%) and bacterial infections occurring within 100 days of transplantation (35%). The estimated 2-year nonrecurrence mortality rate was 2.9% (95% CI, 0.2%-13.4%). CONCLUSIONS HDC-ASCT with a CNS-directed conditioning regimen such as TBC should be considered for patients with PCNSL who are in CR1 because this approach is associated with encouraging disease control and survival in this select patient population. Cancer 2017;123:3073-79. © 2017 American Cancer Society.","author":[{"dropping-particle":"","family":"DeFilipp","given":"Zachariah","non-dropping-particle":"","parse-names":false,"suffix":""},{"dropping-particle":"","family":"Li","given":"Shuli","non-dropping-particle":"","parse-names":false,"suffix":""},{"dropping-particle":"","family":"El-Jawahri","given":"Areej","non-dropping-particle":"","parse-names":false,"suffix":""},{"dropping-particle":"","family":"Armand","given":"Philippe","non-dropping-particle":"","parse-names":false,"suffix":""},{"dropping-particle":"","family":"Nayak","given":"Lakshmi","non-dropping-particle":"","parse-names":false,"suffix":""},{"dropping-particle":"","family":"Wang","given":"Nancy","non-dropping-particle":"","parse-names":false,"suffix":""},{"dropping-particle":"","family":"Batchelor","given":"Tracy T","non-dropping-particle":"","parse-names":false,"suffix":""},{"dropping-particle":"","family":"Chen","given":"Yi-Bin","non-dropping-particle":"","parse-names":false,"suffix":""}],"container-title":"Cancer","id":"ITEM-2","issue":"16","issued":{"date-parts":[["2017","8"]]},"page":"3073-3079","publisher":"Cancer","title":"High-dose chemotherapy with thiotepa, busulfan, and cyclophosphamide and autologous stem cell transplantation for patients with primary central nervous system lymphoma in first complete remission.","type":"article-journal","volume":"123"},"uris":["http://www.mendeley.com/documents/?uuid=9217952f-6a7c-3a85-9d41-7ae5e40e2299","http://www.mendeley.com/documents/?uuid=d5e38da9-0866-40ee-a896-af461fd862df"]}],"mendeley":{"formattedCitation":"[251,252]","plainTextFormattedCitation":"[251,252]","previouslyFormattedCitation":"[251,252]"},"properties":{"noteIndex":0},"schema":"https://github.com/citation-style-language/schema/raw/master/csl-citation.json"}</w:instrText>
      </w:r>
      <w:r w:rsidRPr="006E60A8">
        <w:fldChar w:fldCharType="separate"/>
      </w:r>
      <w:r w:rsidR="006E1ADA" w:rsidRPr="006E1ADA">
        <w:rPr>
          <w:noProof/>
        </w:rPr>
        <w:t>[251,252]</w:t>
      </w:r>
      <w:r w:rsidRPr="006E60A8">
        <w:fldChar w:fldCharType="end"/>
      </w:r>
      <w:r w:rsidRPr="006E60A8">
        <w:t xml:space="preserve">. Схема введения препаратов и дозы представлены в таблице </w:t>
      </w:r>
      <w:r w:rsidR="006E60A8" w:rsidRPr="006E60A8">
        <w:t>8</w:t>
      </w:r>
      <w:r w:rsidRPr="006E60A8">
        <w:t>.</w:t>
      </w:r>
    </w:p>
    <w:p w14:paraId="23FD464F" w14:textId="77777777" w:rsidR="001F2346" w:rsidRPr="006E60A8" w:rsidRDefault="001F2346" w:rsidP="001F2346">
      <w:pPr>
        <w:rPr>
          <w:b/>
        </w:rPr>
      </w:pPr>
    </w:p>
    <w:p w14:paraId="467F1AF1" w14:textId="664EEC0F" w:rsidR="001F2346" w:rsidRPr="00BA4F0F" w:rsidRDefault="001F2346" w:rsidP="001F2346">
      <w:r w:rsidRPr="006E60A8">
        <w:t xml:space="preserve">Таблица </w:t>
      </w:r>
      <w:r w:rsidR="006E60A8" w:rsidRPr="006E60A8">
        <w:t>8</w:t>
      </w:r>
      <w:r w:rsidRPr="006E60A8">
        <w:t xml:space="preserve">. Схема предтрансплантационного кондиционирования </w:t>
      </w:r>
      <w:r w:rsidRPr="006E60A8">
        <w:rPr>
          <w:lang w:val="en-US"/>
        </w:rPr>
        <w:t>TBC</w:t>
      </w:r>
    </w:p>
    <w:tbl>
      <w:tblPr>
        <w:tblStyle w:val="aff9"/>
        <w:tblW w:w="0" w:type="auto"/>
        <w:tblInd w:w="108" w:type="dxa"/>
        <w:tblLayout w:type="fixed"/>
        <w:tblLook w:val="04A0" w:firstRow="1" w:lastRow="0" w:firstColumn="1" w:lastColumn="0" w:noHBand="0" w:noVBand="1"/>
      </w:tblPr>
      <w:tblGrid>
        <w:gridCol w:w="1418"/>
        <w:gridCol w:w="1701"/>
        <w:gridCol w:w="1134"/>
        <w:gridCol w:w="1276"/>
        <w:gridCol w:w="1275"/>
        <w:gridCol w:w="2659"/>
      </w:tblGrid>
      <w:tr w:rsidR="001F2346" w:rsidRPr="00BA4F0F" w14:paraId="28D9D86B" w14:textId="77777777" w:rsidTr="002D3EBF">
        <w:tc>
          <w:tcPr>
            <w:tcW w:w="1418" w:type="dxa"/>
          </w:tcPr>
          <w:p w14:paraId="15396C04" w14:textId="77777777" w:rsidR="001F2346" w:rsidRPr="00BA4F0F" w:rsidRDefault="001F2346" w:rsidP="006E60A8">
            <w:pPr>
              <w:pStyle w:val="afe"/>
              <w:ind w:left="0" w:firstLine="0"/>
              <w:rPr>
                <w:rFonts w:cs="Times New Roman"/>
                <w:szCs w:val="24"/>
              </w:rPr>
            </w:pPr>
            <w:r w:rsidRPr="00BA4F0F">
              <w:rPr>
                <w:rFonts w:cs="Times New Roman"/>
                <w:szCs w:val="24"/>
              </w:rPr>
              <w:t>Препарат</w:t>
            </w:r>
          </w:p>
        </w:tc>
        <w:tc>
          <w:tcPr>
            <w:tcW w:w="1701" w:type="dxa"/>
          </w:tcPr>
          <w:p w14:paraId="56F18E79" w14:textId="77777777" w:rsidR="001F2346" w:rsidRPr="00BA4F0F" w:rsidRDefault="001F2346" w:rsidP="006E60A8">
            <w:pPr>
              <w:pStyle w:val="afe"/>
              <w:ind w:left="0" w:firstLine="0"/>
              <w:rPr>
                <w:rFonts w:cs="Times New Roman"/>
                <w:szCs w:val="24"/>
              </w:rPr>
            </w:pPr>
            <w:r w:rsidRPr="00BA4F0F">
              <w:rPr>
                <w:rFonts w:cs="Times New Roman"/>
                <w:szCs w:val="24"/>
              </w:rPr>
              <w:t>Дни введения перед ауто-ТГСК</w:t>
            </w:r>
          </w:p>
        </w:tc>
        <w:tc>
          <w:tcPr>
            <w:tcW w:w="1134" w:type="dxa"/>
          </w:tcPr>
          <w:p w14:paraId="0BF39A91" w14:textId="77777777" w:rsidR="001F2346" w:rsidRPr="00BA4F0F" w:rsidRDefault="001F2346" w:rsidP="006E60A8">
            <w:pPr>
              <w:pStyle w:val="afe"/>
              <w:ind w:left="0" w:firstLine="0"/>
              <w:rPr>
                <w:rFonts w:cs="Times New Roman"/>
                <w:szCs w:val="24"/>
              </w:rPr>
            </w:pPr>
            <w:r w:rsidRPr="00BA4F0F">
              <w:rPr>
                <w:rFonts w:cs="Times New Roman"/>
                <w:szCs w:val="24"/>
              </w:rPr>
              <w:t>Разовая доза</w:t>
            </w:r>
          </w:p>
        </w:tc>
        <w:tc>
          <w:tcPr>
            <w:tcW w:w="1276" w:type="dxa"/>
          </w:tcPr>
          <w:p w14:paraId="1B7D61A7" w14:textId="77777777" w:rsidR="001F2346" w:rsidRPr="00BA4F0F" w:rsidRDefault="001F2346" w:rsidP="006E60A8">
            <w:pPr>
              <w:pStyle w:val="afe"/>
              <w:ind w:left="0" w:firstLine="0"/>
              <w:rPr>
                <w:rFonts w:cs="Times New Roman"/>
                <w:szCs w:val="24"/>
              </w:rPr>
            </w:pPr>
            <w:r w:rsidRPr="00BA4F0F">
              <w:rPr>
                <w:rFonts w:cs="Times New Roman"/>
                <w:szCs w:val="24"/>
              </w:rPr>
              <w:t>Суточная доза</w:t>
            </w:r>
          </w:p>
        </w:tc>
        <w:tc>
          <w:tcPr>
            <w:tcW w:w="1275" w:type="dxa"/>
          </w:tcPr>
          <w:p w14:paraId="34180741" w14:textId="77777777" w:rsidR="001F2346" w:rsidRPr="00BA4F0F" w:rsidRDefault="001F2346" w:rsidP="006E60A8">
            <w:pPr>
              <w:pStyle w:val="afe"/>
              <w:ind w:left="0" w:firstLine="0"/>
              <w:rPr>
                <w:rFonts w:cs="Times New Roman"/>
                <w:szCs w:val="24"/>
              </w:rPr>
            </w:pPr>
            <w:r w:rsidRPr="00BA4F0F">
              <w:rPr>
                <w:rFonts w:cs="Times New Roman"/>
                <w:szCs w:val="24"/>
              </w:rPr>
              <w:t>Курсовая доза</w:t>
            </w:r>
          </w:p>
        </w:tc>
        <w:tc>
          <w:tcPr>
            <w:tcW w:w="2659" w:type="dxa"/>
          </w:tcPr>
          <w:p w14:paraId="18DB1C50" w14:textId="77777777" w:rsidR="001F2346" w:rsidRPr="00BA4F0F" w:rsidRDefault="001F2346" w:rsidP="006E60A8">
            <w:pPr>
              <w:pStyle w:val="afe"/>
              <w:ind w:left="0" w:firstLine="0"/>
              <w:rPr>
                <w:rFonts w:cs="Times New Roman"/>
                <w:szCs w:val="24"/>
              </w:rPr>
            </w:pPr>
            <w:r w:rsidRPr="00BA4F0F">
              <w:rPr>
                <w:rFonts w:cs="Times New Roman"/>
                <w:szCs w:val="24"/>
              </w:rPr>
              <w:t>Особенности введения</w:t>
            </w:r>
          </w:p>
        </w:tc>
      </w:tr>
      <w:tr w:rsidR="001F2346" w:rsidRPr="00BA4F0F" w14:paraId="2D8293D4" w14:textId="77777777" w:rsidTr="002D3EBF">
        <w:tc>
          <w:tcPr>
            <w:tcW w:w="1418" w:type="dxa"/>
          </w:tcPr>
          <w:p w14:paraId="485052EB" w14:textId="77777777" w:rsidR="001F2346" w:rsidRPr="00BA4F0F" w:rsidRDefault="001F2346" w:rsidP="006E60A8">
            <w:pPr>
              <w:pStyle w:val="afe"/>
              <w:ind w:left="0" w:firstLine="0"/>
              <w:jc w:val="center"/>
              <w:rPr>
                <w:rFonts w:cs="Times New Roman"/>
                <w:szCs w:val="24"/>
              </w:rPr>
            </w:pPr>
            <w:r w:rsidRPr="00BA4F0F">
              <w:rPr>
                <w:rFonts w:cs="Times New Roman"/>
                <w:szCs w:val="24"/>
              </w:rPr>
              <w:t>Тиотепа</w:t>
            </w:r>
          </w:p>
        </w:tc>
        <w:tc>
          <w:tcPr>
            <w:tcW w:w="1701" w:type="dxa"/>
          </w:tcPr>
          <w:p w14:paraId="4C89D73D" w14:textId="77777777" w:rsidR="001F2346" w:rsidRPr="00BA4F0F" w:rsidRDefault="001F2346" w:rsidP="006E60A8">
            <w:pPr>
              <w:pStyle w:val="afe"/>
              <w:ind w:left="0" w:firstLine="0"/>
              <w:jc w:val="center"/>
              <w:rPr>
                <w:rFonts w:cs="Times New Roman"/>
                <w:szCs w:val="24"/>
              </w:rPr>
            </w:pPr>
            <w:r w:rsidRPr="00BA4F0F">
              <w:rPr>
                <w:rFonts w:cs="Times New Roman"/>
                <w:szCs w:val="24"/>
              </w:rPr>
              <w:t>-9, -8, -7 дни</w:t>
            </w:r>
          </w:p>
        </w:tc>
        <w:tc>
          <w:tcPr>
            <w:tcW w:w="1134" w:type="dxa"/>
          </w:tcPr>
          <w:p w14:paraId="5F131F24" w14:textId="77777777" w:rsidR="001F2346" w:rsidRPr="00BA4F0F" w:rsidRDefault="001F2346" w:rsidP="006E60A8">
            <w:pPr>
              <w:pStyle w:val="afe"/>
              <w:ind w:left="0" w:firstLine="0"/>
              <w:jc w:val="center"/>
              <w:rPr>
                <w:rFonts w:cs="Times New Roman"/>
                <w:szCs w:val="24"/>
              </w:rPr>
            </w:pPr>
            <w:r w:rsidRPr="00BA4F0F">
              <w:rPr>
                <w:rFonts w:cs="Times New Roman"/>
                <w:szCs w:val="24"/>
              </w:rPr>
              <w:t>250мг/м</w:t>
            </w:r>
            <w:r w:rsidRPr="00BA4F0F">
              <w:rPr>
                <w:rFonts w:cs="Times New Roman"/>
                <w:szCs w:val="24"/>
                <w:vertAlign w:val="superscript"/>
              </w:rPr>
              <w:t>2</w:t>
            </w:r>
          </w:p>
        </w:tc>
        <w:tc>
          <w:tcPr>
            <w:tcW w:w="1276" w:type="dxa"/>
          </w:tcPr>
          <w:p w14:paraId="7B9E9C10" w14:textId="77777777" w:rsidR="001F2346" w:rsidRPr="00BA4F0F" w:rsidRDefault="001F2346" w:rsidP="006E60A8">
            <w:pPr>
              <w:pStyle w:val="afe"/>
              <w:ind w:left="0" w:firstLine="0"/>
              <w:jc w:val="center"/>
              <w:rPr>
                <w:rFonts w:cs="Times New Roman"/>
                <w:szCs w:val="24"/>
              </w:rPr>
            </w:pPr>
            <w:r w:rsidRPr="00BA4F0F">
              <w:rPr>
                <w:rFonts w:cs="Times New Roman"/>
                <w:szCs w:val="24"/>
              </w:rPr>
              <w:t>250 мг/м</w:t>
            </w:r>
            <w:r w:rsidRPr="00BA4F0F">
              <w:rPr>
                <w:rFonts w:cs="Times New Roman"/>
                <w:szCs w:val="24"/>
                <w:vertAlign w:val="superscript"/>
              </w:rPr>
              <w:t>2</w:t>
            </w:r>
          </w:p>
        </w:tc>
        <w:tc>
          <w:tcPr>
            <w:tcW w:w="1275" w:type="dxa"/>
          </w:tcPr>
          <w:p w14:paraId="0ED618E9" w14:textId="77777777" w:rsidR="001F2346" w:rsidRPr="00BA4F0F" w:rsidRDefault="001F2346" w:rsidP="006E60A8">
            <w:pPr>
              <w:pStyle w:val="afe"/>
              <w:ind w:left="0" w:firstLine="0"/>
              <w:jc w:val="center"/>
              <w:rPr>
                <w:rFonts w:cs="Times New Roman"/>
                <w:szCs w:val="24"/>
              </w:rPr>
            </w:pPr>
            <w:r w:rsidRPr="00BA4F0F">
              <w:rPr>
                <w:rFonts w:cs="Times New Roman"/>
                <w:szCs w:val="24"/>
              </w:rPr>
              <w:t>750 мг/м</w:t>
            </w:r>
            <w:r w:rsidRPr="00BA4F0F">
              <w:rPr>
                <w:rFonts w:cs="Times New Roman"/>
                <w:szCs w:val="24"/>
                <w:vertAlign w:val="superscript"/>
              </w:rPr>
              <w:t>2</w:t>
            </w:r>
          </w:p>
        </w:tc>
        <w:tc>
          <w:tcPr>
            <w:tcW w:w="2659" w:type="dxa"/>
          </w:tcPr>
          <w:p w14:paraId="4686694D" w14:textId="77777777" w:rsidR="001F2346" w:rsidRPr="00BA4F0F" w:rsidRDefault="001F2346" w:rsidP="006E60A8">
            <w:pPr>
              <w:pStyle w:val="afe"/>
              <w:ind w:left="0" w:firstLine="0"/>
              <w:rPr>
                <w:rFonts w:cs="Times New Roman"/>
                <w:szCs w:val="24"/>
              </w:rPr>
            </w:pPr>
            <w:r w:rsidRPr="00BA4F0F">
              <w:rPr>
                <w:rFonts w:cs="Times New Roman"/>
                <w:szCs w:val="24"/>
              </w:rPr>
              <w:t>Вводится в/в в виде инфузии</w:t>
            </w:r>
          </w:p>
        </w:tc>
      </w:tr>
      <w:tr w:rsidR="001F2346" w:rsidRPr="00BA4F0F" w14:paraId="6E3A4384" w14:textId="77777777" w:rsidTr="002D3EBF">
        <w:tc>
          <w:tcPr>
            <w:tcW w:w="1418" w:type="dxa"/>
          </w:tcPr>
          <w:p w14:paraId="056DF23A" w14:textId="77777777" w:rsidR="001F2346" w:rsidRPr="00BA4F0F" w:rsidRDefault="001F2346" w:rsidP="006E60A8">
            <w:pPr>
              <w:pStyle w:val="afe"/>
              <w:ind w:left="0" w:firstLine="0"/>
              <w:jc w:val="center"/>
              <w:rPr>
                <w:rFonts w:cs="Times New Roman"/>
                <w:szCs w:val="24"/>
              </w:rPr>
            </w:pPr>
            <w:r w:rsidRPr="00BA4F0F">
              <w:rPr>
                <w:rFonts w:cs="Times New Roman"/>
                <w:szCs w:val="24"/>
              </w:rPr>
              <w:t>Бусульфан</w:t>
            </w:r>
          </w:p>
        </w:tc>
        <w:tc>
          <w:tcPr>
            <w:tcW w:w="1701" w:type="dxa"/>
          </w:tcPr>
          <w:p w14:paraId="65F2561D" w14:textId="77777777" w:rsidR="001F2346" w:rsidRPr="00BA4F0F" w:rsidRDefault="001F2346" w:rsidP="006E60A8">
            <w:pPr>
              <w:pStyle w:val="afe"/>
              <w:ind w:left="0" w:firstLine="0"/>
              <w:jc w:val="center"/>
              <w:rPr>
                <w:rFonts w:cs="Times New Roman"/>
                <w:szCs w:val="24"/>
              </w:rPr>
            </w:pPr>
            <w:r w:rsidRPr="00BA4F0F">
              <w:rPr>
                <w:rFonts w:cs="Times New Roman"/>
                <w:szCs w:val="24"/>
              </w:rPr>
              <w:t>-6, -5, -4 дни</w:t>
            </w:r>
          </w:p>
        </w:tc>
        <w:tc>
          <w:tcPr>
            <w:tcW w:w="1134" w:type="dxa"/>
          </w:tcPr>
          <w:p w14:paraId="1CDE7579" w14:textId="77777777" w:rsidR="001F2346" w:rsidRPr="00BA4F0F" w:rsidRDefault="001F2346" w:rsidP="006E60A8">
            <w:pPr>
              <w:pStyle w:val="afe"/>
              <w:ind w:left="0" w:firstLine="0"/>
              <w:jc w:val="center"/>
              <w:rPr>
                <w:rFonts w:cs="Times New Roman"/>
                <w:szCs w:val="24"/>
              </w:rPr>
            </w:pPr>
            <w:r w:rsidRPr="00BA4F0F">
              <w:rPr>
                <w:rFonts w:cs="Times New Roman"/>
                <w:szCs w:val="24"/>
              </w:rPr>
              <w:t>0,8 мг/кг</w:t>
            </w:r>
          </w:p>
        </w:tc>
        <w:tc>
          <w:tcPr>
            <w:tcW w:w="1276" w:type="dxa"/>
          </w:tcPr>
          <w:p w14:paraId="1D4D5BC1" w14:textId="77777777" w:rsidR="001F2346" w:rsidRPr="00BA4F0F" w:rsidRDefault="001F2346" w:rsidP="006E60A8">
            <w:pPr>
              <w:pStyle w:val="afe"/>
              <w:ind w:left="0" w:firstLine="0"/>
              <w:jc w:val="center"/>
              <w:rPr>
                <w:rFonts w:cs="Times New Roman"/>
                <w:szCs w:val="24"/>
              </w:rPr>
            </w:pPr>
            <w:r w:rsidRPr="00BA4F0F">
              <w:rPr>
                <w:rFonts w:cs="Times New Roman"/>
                <w:szCs w:val="24"/>
              </w:rPr>
              <w:t>3,2 мг/кг</w:t>
            </w:r>
          </w:p>
        </w:tc>
        <w:tc>
          <w:tcPr>
            <w:tcW w:w="1275" w:type="dxa"/>
          </w:tcPr>
          <w:p w14:paraId="3BC5C8D1" w14:textId="77777777" w:rsidR="001F2346" w:rsidRPr="00BA4F0F" w:rsidRDefault="001F2346" w:rsidP="006E60A8">
            <w:pPr>
              <w:pStyle w:val="afe"/>
              <w:ind w:left="0" w:firstLine="0"/>
              <w:jc w:val="center"/>
              <w:rPr>
                <w:rFonts w:cs="Times New Roman"/>
                <w:szCs w:val="24"/>
              </w:rPr>
            </w:pPr>
            <w:r w:rsidRPr="00BA4F0F">
              <w:rPr>
                <w:rFonts w:cs="Times New Roman"/>
                <w:szCs w:val="24"/>
              </w:rPr>
              <w:t>9,6 мг/кг</w:t>
            </w:r>
          </w:p>
        </w:tc>
        <w:tc>
          <w:tcPr>
            <w:tcW w:w="2659" w:type="dxa"/>
          </w:tcPr>
          <w:p w14:paraId="2DB5BB44" w14:textId="77777777" w:rsidR="001F2346" w:rsidRPr="00BA4F0F" w:rsidRDefault="001F2346" w:rsidP="006E60A8">
            <w:pPr>
              <w:pStyle w:val="afe"/>
              <w:ind w:left="0" w:firstLine="0"/>
              <w:rPr>
                <w:rFonts w:cs="Times New Roman"/>
                <w:szCs w:val="24"/>
              </w:rPr>
            </w:pPr>
            <w:r w:rsidRPr="00BA4F0F">
              <w:rPr>
                <w:rFonts w:cs="Times New Roman"/>
                <w:szCs w:val="24"/>
              </w:rPr>
              <w:t xml:space="preserve">Вводится в/в в виде инфузии. </w:t>
            </w:r>
          </w:p>
          <w:p w14:paraId="2FDDE22A" w14:textId="77777777" w:rsidR="001F2346" w:rsidRPr="00BA4F0F" w:rsidRDefault="001F2346" w:rsidP="006E60A8">
            <w:pPr>
              <w:pStyle w:val="afe"/>
              <w:ind w:left="0" w:firstLine="0"/>
              <w:rPr>
                <w:rFonts w:cs="Times New Roman"/>
                <w:szCs w:val="24"/>
              </w:rPr>
            </w:pPr>
            <w:r w:rsidRPr="00BA4F0F">
              <w:rPr>
                <w:rFonts w:cs="Times New Roman"/>
                <w:szCs w:val="24"/>
              </w:rPr>
              <w:t>(при отсутствии в/в формы возможно заменить пероральной).</w:t>
            </w:r>
          </w:p>
        </w:tc>
      </w:tr>
      <w:tr w:rsidR="001F2346" w:rsidRPr="00BA4F0F" w14:paraId="6EF998B7" w14:textId="77777777" w:rsidTr="002D3EBF">
        <w:tc>
          <w:tcPr>
            <w:tcW w:w="1418" w:type="dxa"/>
          </w:tcPr>
          <w:p w14:paraId="4C3D0C20" w14:textId="77777777" w:rsidR="001F2346" w:rsidRPr="00BA4F0F" w:rsidRDefault="001F2346" w:rsidP="006E60A8">
            <w:pPr>
              <w:pStyle w:val="afe"/>
              <w:ind w:left="0" w:firstLine="0"/>
              <w:jc w:val="center"/>
              <w:rPr>
                <w:rFonts w:cs="Times New Roman"/>
                <w:szCs w:val="24"/>
              </w:rPr>
            </w:pPr>
            <w:r w:rsidRPr="00BA4F0F">
              <w:rPr>
                <w:rFonts w:cs="Times New Roman"/>
                <w:szCs w:val="24"/>
              </w:rPr>
              <w:t>Циклофосфан</w:t>
            </w:r>
          </w:p>
        </w:tc>
        <w:tc>
          <w:tcPr>
            <w:tcW w:w="1701" w:type="dxa"/>
          </w:tcPr>
          <w:p w14:paraId="5D06F420" w14:textId="77777777" w:rsidR="001F2346" w:rsidRPr="00BA4F0F" w:rsidRDefault="001F2346" w:rsidP="006E60A8">
            <w:pPr>
              <w:pStyle w:val="afe"/>
              <w:ind w:left="0" w:firstLine="0"/>
              <w:jc w:val="center"/>
              <w:rPr>
                <w:rFonts w:cs="Times New Roman"/>
                <w:szCs w:val="24"/>
              </w:rPr>
            </w:pPr>
            <w:r w:rsidRPr="00BA4F0F">
              <w:rPr>
                <w:rFonts w:cs="Times New Roman"/>
                <w:szCs w:val="24"/>
              </w:rPr>
              <w:t>-3, -2 дни</w:t>
            </w:r>
          </w:p>
        </w:tc>
        <w:tc>
          <w:tcPr>
            <w:tcW w:w="1134" w:type="dxa"/>
          </w:tcPr>
          <w:p w14:paraId="6ED05AEB" w14:textId="77777777" w:rsidR="001F2346" w:rsidRPr="00BA4F0F" w:rsidRDefault="001F2346" w:rsidP="006E60A8">
            <w:pPr>
              <w:pStyle w:val="afe"/>
              <w:ind w:left="0" w:firstLine="0"/>
              <w:jc w:val="center"/>
              <w:rPr>
                <w:rFonts w:cs="Times New Roman"/>
                <w:szCs w:val="24"/>
              </w:rPr>
            </w:pPr>
            <w:r w:rsidRPr="00BA4F0F">
              <w:rPr>
                <w:rFonts w:cs="Times New Roman"/>
                <w:szCs w:val="24"/>
              </w:rPr>
              <w:t>20 мг/кг</w:t>
            </w:r>
          </w:p>
        </w:tc>
        <w:tc>
          <w:tcPr>
            <w:tcW w:w="1276" w:type="dxa"/>
          </w:tcPr>
          <w:p w14:paraId="4A3CEDC5" w14:textId="77777777" w:rsidR="001F2346" w:rsidRPr="00BA4F0F" w:rsidRDefault="001F2346" w:rsidP="006E60A8">
            <w:pPr>
              <w:pStyle w:val="afe"/>
              <w:ind w:left="0" w:firstLine="0"/>
              <w:jc w:val="center"/>
              <w:rPr>
                <w:rFonts w:cs="Times New Roman"/>
                <w:szCs w:val="24"/>
              </w:rPr>
            </w:pPr>
            <w:r w:rsidRPr="00BA4F0F">
              <w:rPr>
                <w:rFonts w:cs="Times New Roman"/>
                <w:szCs w:val="24"/>
              </w:rPr>
              <w:t>60 мг/кг</w:t>
            </w:r>
          </w:p>
        </w:tc>
        <w:tc>
          <w:tcPr>
            <w:tcW w:w="1275" w:type="dxa"/>
          </w:tcPr>
          <w:p w14:paraId="1E7A76E9" w14:textId="77777777" w:rsidR="001F2346" w:rsidRPr="00BA4F0F" w:rsidRDefault="001F2346" w:rsidP="006E60A8">
            <w:pPr>
              <w:pStyle w:val="afe"/>
              <w:ind w:left="0" w:firstLine="0"/>
              <w:jc w:val="center"/>
              <w:rPr>
                <w:rFonts w:cs="Times New Roman"/>
                <w:szCs w:val="24"/>
              </w:rPr>
            </w:pPr>
            <w:r w:rsidRPr="00BA4F0F">
              <w:rPr>
                <w:rFonts w:cs="Times New Roman"/>
                <w:szCs w:val="24"/>
              </w:rPr>
              <w:t>120 мг/кг</w:t>
            </w:r>
          </w:p>
        </w:tc>
        <w:tc>
          <w:tcPr>
            <w:tcW w:w="2659" w:type="dxa"/>
          </w:tcPr>
          <w:p w14:paraId="5B30820A" w14:textId="77777777" w:rsidR="001F2346" w:rsidRPr="00BA4F0F" w:rsidRDefault="001F2346" w:rsidP="006E60A8">
            <w:pPr>
              <w:pStyle w:val="afe"/>
              <w:ind w:left="0" w:firstLine="0"/>
              <w:rPr>
                <w:rFonts w:cs="Times New Roman"/>
                <w:szCs w:val="24"/>
              </w:rPr>
            </w:pPr>
            <w:r w:rsidRPr="00BA4F0F">
              <w:rPr>
                <w:rFonts w:cs="Times New Roman"/>
                <w:szCs w:val="24"/>
              </w:rPr>
              <w:t>Вводится в/в в виде инфузии.</w:t>
            </w:r>
          </w:p>
        </w:tc>
      </w:tr>
    </w:tbl>
    <w:p w14:paraId="3BF92865" w14:textId="77777777" w:rsidR="001F2346" w:rsidRPr="00BA4F0F" w:rsidRDefault="001F2346" w:rsidP="001F2346">
      <w:pPr>
        <w:rPr>
          <w:b/>
          <w:highlight w:val="green"/>
        </w:rPr>
      </w:pPr>
      <w:bookmarkStart w:id="154" w:name="_Toc44926632"/>
    </w:p>
    <w:p w14:paraId="608F7D30" w14:textId="77777777" w:rsidR="001F2346" w:rsidRPr="00BA4F0F" w:rsidRDefault="001F2346" w:rsidP="001F2346">
      <w:pPr>
        <w:rPr>
          <w:b/>
        </w:rPr>
      </w:pPr>
      <w:r w:rsidRPr="00BA4F0F">
        <w:rPr>
          <w:b/>
        </w:rPr>
        <w:t>Инфузия аутологичных гемопоэтических стволовых клеток.</w:t>
      </w:r>
      <w:bookmarkEnd w:id="154"/>
    </w:p>
    <w:p w14:paraId="7BC273C0" w14:textId="77777777" w:rsidR="001F2346" w:rsidRPr="00BA4F0F" w:rsidRDefault="001F2346" w:rsidP="001F2346">
      <w:pPr>
        <w:ind w:firstLine="709"/>
      </w:pPr>
      <w:r w:rsidRPr="00BA4F0F">
        <w:t>Инфузия гемопоэтических стволовых клеток осуществляется в центральный венозный катетер с соблюдением принципов асептики и антисептики.</w:t>
      </w:r>
    </w:p>
    <w:p w14:paraId="6DDF7A5E" w14:textId="77777777" w:rsidR="001F2346" w:rsidRPr="00BA4F0F" w:rsidRDefault="001F2346" w:rsidP="001F2346">
      <w:pPr>
        <w:ind w:firstLine="709"/>
      </w:pPr>
      <w:r w:rsidRPr="00BA4F0F">
        <w:t>Временной интервал после оканчание химиотерапии до инфузии ГСК не менее 24ч.</w:t>
      </w:r>
    </w:p>
    <w:p w14:paraId="31665E76" w14:textId="77777777" w:rsidR="001F2346" w:rsidRPr="00BA4F0F" w:rsidRDefault="001F2346" w:rsidP="001F2346">
      <w:pPr>
        <w:ind w:firstLine="709"/>
      </w:pPr>
      <w:r w:rsidRPr="00BA4F0F">
        <w:t>Перед началом процедуры трансплантации врач обязан осмотреть криоконсервированные мешки, содержащие ГСК, убедиться в целостности упаковки и отсутствии повреждений, сравнить идентификационные данные, указанные на упаковке с данными пациента.</w:t>
      </w:r>
    </w:p>
    <w:p w14:paraId="3F42A783" w14:textId="1E3D8E0C" w:rsidR="001F2346" w:rsidRPr="00BA4F0F" w:rsidRDefault="001F2346" w:rsidP="001F2346">
      <w:pPr>
        <w:ind w:firstLine="709"/>
      </w:pPr>
      <w:r w:rsidRPr="00BA4F0F">
        <w:t>Для первого введения выбирают мешок с максимальной клеточностью. При манипуляциях с мешком запрещается использовать металлические предметы (зажимы, пинцеты и т.</w:t>
      </w:r>
      <w:r w:rsidR="006E1ADA">
        <w:t> </w:t>
      </w:r>
      <w:r w:rsidRPr="00BA4F0F">
        <w:t>д.). При наличии нескольких пакетов криоконсервированных ГСК между инфузиями целесообразно делать перерывы. В ряде случаев допустимо введение ГСК в течение 2 дней (пожилые, ослабленные пациенты).</w:t>
      </w:r>
    </w:p>
    <w:p w14:paraId="7B2133D6" w14:textId="77777777" w:rsidR="001F2346" w:rsidRPr="00BA4F0F" w:rsidRDefault="001F2346" w:rsidP="001F2346">
      <w:pPr>
        <w:ind w:firstLine="709"/>
      </w:pPr>
      <w:r w:rsidRPr="00BA4F0F">
        <w:t>Криоконсервированные ГСК размораживают на водяной бане или программном размораживателе при температуре 37</w:t>
      </w:r>
      <w:r w:rsidRPr="00BA4F0F">
        <w:rPr>
          <w:vertAlign w:val="superscript"/>
        </w:rPr>
        <w:t>о</w:t>
      </w:r>
      <w:r w:rsidRPr="00BA4F0F">
        <w:t>С. После разморозки врач должен убедиться в том, что в мешке отсутствуют фрагменты льда или сгустки. После этого врач присоединяет мешок к системе для инфузии.</w:t>
      </w:r>
    </w:p>
    <w:p w14:paraId="43CEA47C" w14:textId="77777777" w:rsidR="001F2346" w:rsidRPr="00BA4F0F" w:rsidRDefault="001F2346" w:rsidP="001F2346">
      <w:pPr>
        <w:ind w:firstLine="709"/>
      </w:pPr>
      <w:r w:rsidRPr="00BA4F0F">
        <w:lastRenderedPageBreak/>
        <w:t>В ряде случаев перед введением лейкоконцентрата в центральный венозный катетер проводится премедикация, для которой используется промедол в стандартной дозировке.</w:t>
      </w:r>
    </w:p>
    <w:p w14:paraId="6988F9BE" w14:textId="77777777" w:rsidR="001F2346" w:rsidRPr="00BA4F0F" w:rsidRDefault="001F2346" w:rsidP="001F2346">
      <w:pPr>
        <w:ind w:firstLine="709"/>
      </w:pPr>
      <w:r w:rsidRPr="00BA4F0F">
        <w:t xml:space="preserve">Начальная скорость введения ГСК составляет 3-5 мл/мин (4-5 минут), после чего скорость можно увеличить до максимально возможной. Во время и после инфузий ГСК осуществляется мониторинг жизненно-важных показателей: АД, ЧСС, ЧД. </w:t>
      </w:r>
    </w:p>
    <w:p w14:paraId="46E1DFEA" w14:textId="77777777" w:rsidR="001F2346" w:rsidRPr="00BA4F0F" w:rsidRDefault="001F2346" w:rsidP="001F2346">
      <w:pPr>
        <w:ind w:firstLine="709"/>
      </w:pPr>
      <w:r w:rsidRPr="00BA4F0F">
        <w:t xml:space="preserve">В случае развития гемолиза, инфузия следующего мешка приостанавливается до купирования осложнений. </w:t>
      </w:r>
    </w:p>
    <w:p w14:paraId="6257F171" w14:textId="77777777" w:rsidR="001F2346" w:rsidRPr="00BA4F0F" w:rsidRDefault="001F2346" w:rsidP="001F2346">
      <w:pPr>
        <w:ind w:firstLine="709"/>
      </w:pPr>
      <w:r w:rsidRPr="00BA4F0F">
        <w:t xml:space="preserve">После завершения инфузии ход ЦВК промывают физиологическим раствором. </w:t>
      </w:r>
    </w:p>
    <w:p w14:paraId="62D6694B" w14:textId="77777777" w:rsidR="001F2346" w:rsidRPr="00BA4F0F" w:rsidRDefault="001F2346" w:rsidP="001F2346">
      <w:pPr>
        <w:ind w:firstLine="709"/>
      </w:pPr>
      <w:r w:rsidRPr="00BA4F0F">
        <w:t>Через 2 часа после завершения инфузии выполняют биохимическое исследование крови (оценка электролитов), оценивают цвет мочи для исключения гемолиза.</w:t>
      </w:r>
    </w:p>
    <w:p w14:paraId="56925C01" w14:textId="77777777" w:rsidR="001F2346" w:rsidRPr="00BA4F0F" w:rsidRDefault="001F2346" w:rsidP="001F2346">
      <w:pPr>
        <w:ind w:firstLine="709"/>
      </w:pPr>
      <w:r w:rsidRPr="00BA4F0F">
        <w:t xml:space="preserve">В истории болезни оформляется протокол операции, с указанием этапов введения ГСК, временных интервалов и состояния пациента. </w:t>
      </w:r>
    </w:p>
    <w:p w14:paraId="47E07292" w14:textId="77777777" w:rsidR="001F2346" w:rsidRPr="00BA4F0F" w:rsidRDefault="001F2346" w:rsidP="001F2346">
      <w:pPr>
        <w:ind w:firstLine="709"/>
      </w:pPr>
      <w:r w:rsidRPr="00BA4F0F">
        <w:t xml:space="preserve">На следующий день выполняется общий анализ мочи. </w:t>
      </w:r>
    </w:p>
    <w:p w14:paraId="08982D93" w14:textId="77777777" w:rsidR="001F2346" w:rsidRPr="00BA4F0F" w:rsidRDefault="001F2346" w:rsidP="001F2346">
      <w:pPr>
        <w:rPr>
          <w:rFonts w:eastAsiaTheme="majorEastAsia"/>
          <w:b/>
          <w:bCs/>
        </w:rPr>
      </w:pPr>
      <w:bookmarkStart w:id="155" w:name="_Toc44926633"/>
    </w:p>
    <w:p w14:paraId="51190E68" w14:textId="77777777" w:rsidR="001F2346" w:rsidRPr="00BA4F0F" w:rsidRDefault="001F2346" w:rsidP="001F2346">
      <w:pPr>
        <w:rPr>
          <w:i/>
          <w:u w:val="single"/>
        </w:rPr>
      </w:pPr>
      <w:r w:rsidRPr="00BA4F0F">
        <w:rPr>
          <w:i/>
          <w:u w:val="single"/>
        </w:rPr>
        <w:t>Сопроводительная терапия при ауто-ТГСК.</w:t>
      </w:r>
      <w:bookmarkEnd w:id="155"/>
    </w:p>
    <w:p w14:paraId="494A99DA" w14:textId="77777777" w:rsidR="001F2346" w:rsidRPr="00BA4F0F" w:rsidRDefault="001F2346" w:rsidP="001F2346">
      <w:pPr>
        <w:rPr>
          <w:b/>
        </w:rPr>
      </w:pPr>
      <w:bookmarkStart w:id="156" w:name="_Toc44926634"/>
      <w:r w:rsidRPr="00BA4F0F">
        <w:rPr>
          <w:b/>
        </w:rPr>
        <w:t>Инфузионная терапия</w:t>
      </w:r>
      <w:bookmarkEnd w:id="156"/>
    </w:p>
    <w:p w14:paraId="4DFD1384" w14:textId="77777777" w:rsidR="001F2346" w:rsidRPr="00BA4F0F" w:rsidRDefault="001F2346" w:rsidP="001F2346">
      <w:pPr>
        <w:pStyle w:val="afe"/>
        <w:ind w:left="0" w:firstLine="567"/>
        <w:rPr>
          <w:rFonts w:cs="Times New Roman"/>
          <w:szCs w:val="24"/>
        </w:rPr>
      </w:pPr>
      <w:r w:rsidRPr="00BA4F0F">
        <w:rPr>
          <w:rFonts w:cs="Times New Roman"/>
          <w:szCs w:val="24"/>
        </w:rPr>
        <w:t>С целью уменьшения токсичности кондиционирования и профилактики синдрома лизиса опухоли всем пациентам проводится инфузионная терапия.</w:t>
      </w:r>
    </w:p>
    <w:p w14:paraId="00E28832" w14:textId="77777777" w:rsidR="001F2346" w:rsidRPr="00BA4F0F" w:rsidRDefault="001F2346" w:rsidP="001F2346">
      <w:pPr>
        <w:pStyle w:val="afe"/>
        <w:ind w:left="0" w:firstLine="567"/>
        <w:rPr>
          <w:rFonts w:cs="Times New Roman"/>
          <w:szCs w:val="24"/>
        </w:rPr>
      </w:pPr>
      <w:r w:rsidRPr="00BA4F0F">
        <w:rPr>
          <w:rFonts w:cs="Times New Roman"/>
          <w:szCs w:val="24"/>
        </w:rPr>
        <w:t>Основные принципы инфузионной терапии во время ауто-ТГСК:</w:t>
      </w:r>
    </w:p>
    <w:p w14:paraId="0D8FA675" w14:textId="77777777" w:rsidR="001F2346" w:rsidRPr="00BA4F0F" w:rsidRDefault="001F2346" w:rsidP="00DC0931">
      <w:pPr>
        <w:pStyle w:val="afe"/>
        <w:numPr>
          <w:ilvl w:val="0"/>
          <w:numId w:val="273"/>
        </w:numPr>
        <w:ind w:left="0" w:firstLine="0"/>
        <w:rPr>
          <w:rFonts w:cs="Times New Roman"/>
          <w:szCs w:val="24"/>
        </w:rPr>
      </w:pPr>
      <w:r w:rsidRPr="00BA4F0F">
        <w:rPr>
          <w:rFonts w:cs="Times New Roman"/>
          <w:szCs w:val="24"/>
        </w:rPr>
        <w:t>Все инфузии проводятся в центральный венозный катетер</w:t>
      </w:r>
    </w:p>
    <w:p w14:paraId="5AF18423" w14:textId="77777777" w:rsidR="001F2346" w:rsidRPr="00BA4F0F" w:rsidRDefault="001F2346" w:rsidP="00DC0931">
      <w:pPr>
        <w:pStyle w:val="afe"/>
        <w:numPr>
          <w:ilvl w:val="0"/>
          <w:numId w:val="273"/>
        </w:numPr>
        <w:ind w:left="0" w:firstLine="0"/>
        <w:rPr>
          <w:rFonts w:cs="Times New Roman"/>
          <w:szCs w:val="24"/>
        </w:rPr>
      </w:pPr>
      <w:r w:rsidRPr="00BA4F0F">
        <w:rPr>
          <w:rFonts w:cs="Times New Roman"/>
          <w:szCs w:val="24"/>
        </w:rPr>
        <w:t xml:space="preserve">На этапе предтрансплантационного кондиционирования объем инфузионной терапии составляет 2-3 литра в сутки, после трансплантации объем инфузий должен составлять не менее 1,5 литров в сутки, водная нагрузка распределяется равномерно в течение суток. Чаще всего применяются кристаллоидные растворы: изотонический раствор хлорида натрия (0,9% </w:t>
      </w:r>
      <w:r w:rsidRPr="00BA4F0F">
        <w:rPr>
          <w:rFonts w:cs="Times New Roman"/>
          <w:szCs w:val="24"/>
          <w:lang w:val="en-US"/>
        </w:rPr>
        <w:t>NaCl</w:t>
      </w:r>
      <w:r w:rsidRPr="00BA4F0F">
        <w:rPr>
          <w:rFonts w:cs="Times New Roman"/>
          <w:szCs w:val="24"/>
        </w:rPr>
        <w:t>), раствор 5% глюкозы,</w:t>
      </w:r>
      <w:r w:rsidRPr="00BA4F0F">
        <w:rPr>
          <w:szCs w:val="24"/>
        </w:rPr>
        <w:t xml:space="preserve"> </w:t>
      </w:r>
      <w:r w:rsidRPr="00BA4F0F">
        <w:rPr>
          <w:rFonts w:cs="Times New Roman"/>
          <w:szCs w:val="24"/>
        </w:rPr>
        <w:t>раствор Рингера, калия и магния аспарагинат. Для коррекции ацидоза используют 5% раствор натрия гидрокарбоната. В случае выраженной гипоальбумиемии, отечного синдрома безбелкового генеза применяются коллоидные растворы (5-20% растворы альбумина человеческого).</w:t>
      </w:r>
    </w:p>
    <w:p w14:paraId="7E670971" w14:textId="77777777" w:rsidR="001F2346" w:rsidRPr="00BA4F0F" w:rsidRDefault="001F2346" w:rsidP="00DC0931">
      <w:pPr>
        <w:pStyle w:val="afe"/>
        <w:numPr>
          <w:ilvl w:val="0"/>
          <w:numId w:val="273"/>
        </w:numPr>
        <w:ind w:left="0" w:firstLine="0"/>
        <w:rPr>
          <w:rFonts w:cs="Times New Roman"/>
          <w:szCs w:val="24"/>
        </w:rPr>
      </w:pPr>
      <w:r w:rsidRPr="00BA4F0F">
        <w:rPr>
          <w:rFonts w:cs="Times New Roman"/>
          <w:szCs w:val="24"/>
        </w:rPr>
        <w:t>В состав солевого раствора, как правило, входят раствор 5% глюкозы и 4% хлорида калия (</w:t>
      </w:r>
      <w:r w:rsidRPr="00BA4F0F">
        <w:rPr>
          <w:rFonts w:cs="Times New Roman"/>
          <w:szCs w:val="24"/>
          <w:lang w:val="en-US"/>
        </w:rPr>
        <w:t>KCl</w:t>
      </w:r>
      <w:r w:rsidRPr="00BA4F0F">
        <w:rPr>
          <w:rFonts w:cs="Times New Roman"/>
          <w:szCs w:val="24"/>
        </w:rPr>
        <w:t xml:space="preserve">). На этапе предтрансплантационного кондиционирования суточное количество 4% </w:t>
      </w:r>
      <w:r w:rsidRPr="00BA4F0F">
        <w:rPr>
          <w:rFonts w:cs="Times New Roman"/>
          <w:szCs w:val="24"/>
          <w:lang w:val="en-US"/>
        </w:rPr>
        <w:t>KCl</w:t>
      </w:r>
      <w:r w:rsidRPr="00BA4F0F">
        <w:rPr>
          <w:rFonts w:cs="Times New Roman"/>
          <w:szCs w:val="24"/>
        </w:rPr>
        <w:t xml:space="preserve"> составляет 120-150 мл, в дальнейшем доза титруется в зависимости от концентрации калия в крови. При значительной гипокалиемии, которая может быть обусловлена выраженной диарей, рвотой, применяется круглосуточное введение 4% раствора </w:t>
      </w:r>
      <w:r w:rsidRPr="00BA4F0F">
        <w:rPr>
          <w:rFonts w:cs="Times New Roman"/>
          <w:szCs w:val="24"/>
          <w:lang w:val="en-US"/>
        </w:rPr>
        <w:t>KCl</w:t>
      </w:r>
      <w:r w:rsidRPr="00BA4F0F">
        <w:rPr>
          <w:rFonts w:cs="Times New Roman"/>
          <w:szCs w:val="24"/>
        </w:rPr>
        <w:t>, скорость инфузии корректируется с учетом данных биохимического анализа крови.</w:t>
      </w:r>
    </w:p>
    <w:p w14:paraId="51E22A96" w14:textId="77777777" w:rsidR="001F2346" w:rsidRPr="00BA4F0F" w:rsidRDefault="001F2346" w:rsidP="00DC0931">
      <w:pPr>
        <w:pStyle w:val="afe"/>
        <w:numPr>
          <w:ilvl w:val="0"/>
          <w:numId w:val="273"/>
        </w:numPr>
        <w:ind w:left="0" w:firstLine="0"/>
        <w:rPr>
          <w:rFonts w:cs="Times New Roman"/>
          <w:szCs w:val="24"/>
        </w:rPr>
      </w:pPr>
      <w:r w:rsidRPr="00BA4F0F">
        <w:rPr>
          <w:rFonts w:cs="Times New Roman"/>
          <w:szCs w:val="24"/>
        </w:rPr>
        <w:lastRenderedPageBreak/>
        <w:t>У пациентов на гемодиализе объем солевых растворов не должен превышать 1 литр в сутки, при этом хлорид калия назначается только при развитии гипокалиемии.</w:t>
      </w:r>
    </w:p>
    <w:p w14:paraId="6C88A41E" w14:textId="77777777" w:rsidR="001F2346" w:rsidRPr="00BA4F0F" w:rsidRDefault="001F2346" w:rsidP="00DC0931">
      <w:pPr>
        <w:pStyle w:val="afe"/>
        <w:numPr>
          <w:ilvl w:val="0"/>
          <w:numId w:val="273"/>
        </w:numPr>
        <w:ind w:left="0" w:firstLine="0"/>
        <w:rPr>
          <w:rFonts w:cs="Times New Roman"/>
          <w:szCs w:val="24"/>
        </w:rPr>
      </w:pPr>
      <w:r w:rsidRPr="00BA4F0F">
        <w:rPr>
          <w:rFonts w:cs="Times New Roman"/>
          <w:szCs w:val="24"/>
        </w:rPr>
        <w:t>Для оценки состояния водного баланса, предотвращения объемной перегрузки следует ежедневно взвешивать пациента, контролировать центральное венозное давление, артериальное давление, диурез и баланс жидкости.</w:t>
      </w:r>
    </w:p>
    <w:p w14:paraId="510CF4C1" w14:textId="77777777" w:rsidR="001F2346" w:rsidRPr="00BA4F0F" w:rsidRDefault="001F2346" w:rsidP="00DC0931">
      <w:pPr>
        <w:pStyle w:val="afe"/>
        <w:numPr>
          <w:ilvl w:val="0"/>
          <w:numId w:val="273"/>
        </w:numPr>
        <w:ind w:left="0" w:firstLine="0"/>
        <w:rPr>
          <w:rFonts w:cs="Times New Roman"/>
          <w:szCs w:val="24"/>
        </w:rPr>
      </w:pPr>
      <w:r w:rsidRPr="00BA4F0F">
        <w:rPr>
          <w:rFonts w:cs="Times New Roman"/>
          <w:szCs w:val="24"/>
        </w:rPr>
        <w:t>При развитии фебрильной лихорадки объем инфузионной терапии должен быть увеличен до 3-4 литров в сутки под контролем водного баланса.</w:t>
      </w:r>
    </w:p>
    <w:p w14:paraId="791672A4" w14:textId="77777777" w:rsidR="001F2346" w:rsidRPr="00BA4F0F" w:rsidRDefault="001F2346" w:rsidP="00DC0931">
      <w:pPr>
        <w:pStyle w:val="afe"/>
        <w:numPr>
          <w:ilvl w:val="0"/>
          <w:numId w:val="273"/>
        </w:numPr>
        <w:ind w:left="0" w:firstLine="0"/>
        <w:rPr>
          <w:rFonts w:cs="Times New Roman"/>
          <w:szCs w:val="24"/>
        </w:rPr>
      </w:pPr>
      <w:r w:rsidRPr="00BA4F0F">
        <w:rPr>
          <w:rFonts w:cs="Times New Roman"/>
          <w:szCs w:val="24"/>
        </w:rPr>
        <w:t>Регулярный контроль электролитов (калия, натрия, кальция, хлора, магния) необходим для коррекции инфузионной терапии, при выраженной гипокальциемии, гипомагниемии назначается внутривенное введение препаратов кальция, магния.</w:t>
      </w:r>
    </w:p>
    <w:p w14:paraId="6D38F84F" w14:textId="77777777" w:rsidR="001F2346" w:rsidRPr="00BA4F0F" w:rsidRDefault="001F2346" w:rsidP="00DC0931">
      <w:pPr>
        <w:pStyle w:val="afe"/>
        <w:numPr>
          <w:ilvl w:val="0"/>
          <w:numId w:val="273"/>
        </w:numPr>
        <w:ind w:left="0" w:firstLine="0"/>
        <w:rPr>
          <w:rFonts w:cs="Times New Roman"/>
          <w:szCs w:val="24"/>
        </w:rPr>
      </w:pPr>
      <w:r w:rsidRPr="00BA4F0F">
        <w:rPr>
          <w:rFonts w:cs="Times New Roman"/>
          <w:szCs w:val="24"/>
        </w:rPr>
        <w:t>Во время предтрансплантационного кондиционирования проводится гипоурикемическая терапия аллопуринолом в суточной дозе 200 мг/м</w:t>
      </w:r>
      <w:r w:rsidRPr="00BA4F0F">
        <w:rPr>
          <w:rFonts w:cs="Times New Roman"/>
          <w:szCs w:val="24"/>
          <w:vertAlign w:val="superscript"/>
        </w:rPr>
        <w:t>2</w:t>
      </w:r>
      <w:r w:rsidRPr="00BA4F0F">
        <w:rPr>
          <w:rFonts w:cs="Times New Roman"/>
          <w:szCs w:val="24"/>
        </w:rPr>
        <w:t xml:space="preserve"> .</w:t>
      </w:r>
    </w:p>
    <w:p w14:paraId="3D9ADCEB" w14:textId="77777777" w:rsidR="001F2346" w:rsidRPr="00BA4F0F" w:rsidRDefault="001F2346" w:rsidP="00DC0931">
      <w:pPr>
        <w:pStyle w:val="afe"/>
        <w:numPr>
          <w:ilvl w:val="0"/>
          <w:numId w:val="273"/>
        </w:numPr>
        <w:ind w:left="0" w:firstLine="0"/>
        <w:rPr>
          <w:rFonts w:cs="Times New Roman"/>
          <w:szCs w:val="24"/>
        </w:rPr>
      </w:pPr>
      <w:r w:rsidRPr="00BA4F0F">
        <w:rPr>
          <w:rFonts w:cs="Times New Roman"/>
          <w:szCs w:val="24"/>
        </w:rPr>
        <w:t>Во время предтрансплантационного кондиционирования рекомендуется назначение мочегонных средств для форсированного диуреза (фуросемид 20-60 мг/сут).</w:t>
      </w:r>
    </w:p>
    <w:p w14:paraId="791A04B3" w14:textId="77777777" w:rsidR="001F2346" w:rsidRPr="00BA4F0F" w:rsidRDefault="001F2346" w:rsidP="001F2346">
      <w:pPr>
        <w:rPr>
          <w:b/>
        </w:rPr>
      </w:pPr>
      <w:bookmarkStart w:id="157" w:name="_Toc44926635"/>
    </w:p>
    <w:p w14:paraId="7633455A" w14:textId="77777777" w:rsidR="001F2346" w:rsidRPr="00BA4F0F" w:rsidRDefault="001F2346" w:rsidP="001F2346">
      <w:pPr>
        <w:rPr>
          <w:b/>
        </w:rPr>
      </w:pPr>
      <w:bookmarkStart w:id="158" w:name="_Toc44926637"/>
      <w:bookmarkEnd w:id="157"/>
      <w:r w:rsidRPr="00BA4F0F">
        <w:rPr>
          <w:b/>
        </w:rPr>
        <w:t>Антисекреторная терапия</w:t>
      </w:r>
      <w:bookmarkEnd w:id="158"/>
    </w:p>
    <w:p w14:paraId="27F8977E" w14:textId="6C6AE9B4" w:rsidR="001F2346" w:rsidRPr="00BA4F0F" w:rsidRDefault="001F2346" w:rsidP="001F2346">
      <w:pPr>
        <w:shd w:val="clear" w:color="auto" w:fill="FFFFFF"/>
        <w:tabs>
          <w:tab w:val="left" w:pos="0"/>
          <w:tab w:val="left" w:pos="394"/>
        </w:tabs>
        <w:ind w:firstLine="709"/>
        <w:rPr>
          <w:rFonts w:eastAsia="Arial Unicode MS"/>
          <w:color w:val="000000"/>
          <w:spacing w:val="4"/>
          <w:u w:color="000000"/>
        </w:rPr>
      </w:pPr>
      <w:r w:rsidRPr="00BA4F0F">
        <w:rPr>
          <w:rFonts w:eastAsia="Arial Unicode MS"/>
          <w:color w:val="000000"/>
          <w:spacing w:val="4"/>
          <w:u w:color="000000"/>
          <w:shd w:val="clear" w:color="auto" w:fill="FFFFFF"/>
        </w:rPr>
        <w:t>В настоящее время с антисекреторной целью применяются два класса п</w:t>
      </w:r>
      <w:r w:rsidRPr="00BA4F0F">
        <w:rPr>
          <w:rFonts w:eastAsia="Arial Unicode MS"/>
          <w:color w:val="000000"/>
          <w:spacing w:val="4"/>
          <w:u w:color="000000"/>
        </w:rPr>
        <w:t xml:space="preserve">репаратов: ингибиторы протонной помпы и блокаторы Н2-гистаминовых рецепторов </w:t>
      </w:r>
      <w:r w:rsidRPr="00BA4F0F">
        <w:rPr>
          <w:rFonts w:eastAsia="Arial Unicode MS"/>
          <w:color w:val="000000"/>
          <w:spacing w:val="4"/>
          <w:u w:color="000000"/>
        </w:rPr>
        <w:fldChar w:fldCharType="begin" w:fldLock="1"/>
      </w:r>
      <w:r w:rsidR="002736BA">
        <w:rPr>
          <w:rFonts w:eastAsia="Arial Unicode MS"/>
          <w:color w:val="000000"/>
          <w:spacing w:val="4"/>
          <w:u w:color="000000"/>
        </w:rPr>
        <w:instrText>ADDIN CSL_CITATION {"citationItems":[{"id":"ITEM-1","itemData":{"DOI":"10.1136/bmjopen-2013-004587","ISSN":"20446055","PMID":"24833682","abstract":"Objective: To assess whether corticosteroids are associated with increased risk of gastrointestinal bleeding or perforation. Design: Systematic review and meta-analysis of randomised, double-blind, controlled trials comparing a corticosteroid to placebo for any medical condition or in healthy participants. Studies with steroids given either locally, as a single dose, or in crossover studies were excluded. Data sources: Literature search using MEDLINE, EMBASE and Cochrane Database of Systematic Reviews between 1983 and 22 May 2013. Outcome measure: Outcome measures were the occurrence of gastrointestinal bleeding or perforation. Predefined subgroup analyses were carried out for disease severity, use of non-steroidal anti-inflammatory drugs (NSAIDs) or gastroprotective drugs, and history of peptic ulcer. Results: 159 studies (N=33 253) were included. In total, 804 (2.4%) patients had a gastrointestinal bleeding or perforation (2.9% and 2.0% for corticosteroids and placebo). Corticosteroids increased the risk of gastrointestinal bleeding or perforation by 40% (OR 1.43, 95% CI 1.22 to 1.66). The risk was increased for hospitalised patients (OR 1.42, 95% CI 1.22 to 1.66). For patients in ambulatory care, the increased risk was not statistically significant (OR 1.63, 95% CI 0.42 to 6.34). Only 11 gastrointestinal bleeds or perforations occurred among 8651 patients in ambulatory care (0.13%). Increased risk was still present in subgroup analyses (studies with NSAID use excluded; OR 1.44, 95% CI 1.20 to 1.71, peptic ulcer as an exclusion criterion excluded; OR 1.47, 95% CI 1.21 to 1.78, and use of gastroprotective drugs excluded; OR 1.42, 95% CI 1.21 to 1.67). Conclusions: Corticosteroid use was associated with increased risk of gastrointestinal bleeding and perforation. The increased risk was statistically significant for hospitalised patients only. For patients in ambulatory care, the total occurrence of bleeding or perforation was very low, and the increased risk was not statistically significant.","author":[{"dropping-particle":"","family":"Narum","given":"Sigrid","non-dropping-particle":"","parse-names":false,"suffix":""},{"dropping-particle":"","family":"Westergren","given":"Tone","non-dropping-particle":"","parse-names":false,"suffix":""},{"dropping-particle":"","family":"Klemp","given":"Marianne","non-dropping-particle":"","parse-names":false,"suffix":""}],"container-title":"BMJ Open","id":"ITEM-1","issue":"5","issued":{"date-parts":[["2014"]]},"publisher":"BMJ Publishing Group","title":"Corticosteroids and risk of gastrointestinal bleeding: A systematic review and meta-analysis","type":"article-journal","volume":"4"},"uris":["http://www.mendeley.com/documents/?uuid=e701298a-dc65-3059-b1f1-21f394625ffe"]},{"id":"ITEM-2","itemData":{"DOI":"10.1111/j.1365-2796.1994.tb00855.x","ISSN":"0954-6820","PMID":"7989897","abstract":"OBJECTIVES This meta-analysis was performed to determine whether corticosteroid therapy induces the development of peptic ulcer and other putative complications of steroid therapy. DESIGN A retrospective investigation in which we analysed all the randomized, double-blind, controlled trials (RDBCT) in which steroids had been administered that we were able to identify. The number of episodes of peptic ulcer, dermatological effects, sepsis, diabetes, hypertension, osteoporosis, psychosis and tuberculosis reported in both the placebo and steroid groups were compared. SETTING The international medical literature was analysed for any RDBCT in which any steroid or ACTH had been administered in any dosage for any duration, and any putative complication of steroid therapy was reported. SUBJECTS Of 1857 articles, 93 satisfied our requirements and were analysed by the meta-analytic techniques of Peto, DerSimonian and Laird. A total of 6602 patients were included. MAIN OUTCOME MEASURES The relative frequencies of each of these eight 'complications' were compared in the placebo and steroid groups using conventional statistics and meta-analysis. The relative frequencies of 'annualized' subgroups of patients who received treatment for 1 to 7 days, 1 week to 1 month, 1 to 3 months and more than 3 months, were similarly analysed. RESULTS Nine of 3267 patients in the placebo group (0.3%) and 13 of 3335 patients in the steroid group (0.4%) were reported to develop peptic ulcer (P &gt; 0.05). The dermatological cosmetic effects of steroid therapy were observed more frequently in the steroid group (P &lt; 0.001), as was diabetes (P &lt; 0.001), hypertension (P &lt; 0.01) and psychosis (P &lt; 0.001). Sepsis, osteoporosis and tuberculosis all occurred more frequently in the steroid than in the placebo group, but the differences are not statistically significant. CONCLUSIONS Peptic ulcer is a rare complication of corticosteroid therapy that should not be considered a contraindication when steroid therapy is indicated.","author":[{"dropping-particle":"","family":"Conn","given":"H O","non-dropping-particle":"","parse-names":false,"suffix":""},{"dropping-particle":"","family":"Poynard","given":"T","non-dropping-particle":"","parse-names":false,"suffix":""}],"container-title":"Journal of internal medicine","id":"ITEM-2","issue":"6","issued":{"date-parts":[["1994","12"]]},"page":"619-32","publisher":"J Intern Med","title":"Corticosteroids and peptic ulcer: meta-analysis of adverse events during steroid therapy.","type":"article-journal","volume":"236"},"uris":["http://www.mendeley.com/documents/?uuid=84af1729-7cf0-45a4-828e-6c0ee9132476"]}],"mendeley":{"formattedCitation":"[195,196]","plainTextFormattedCitation":"[195,196]","previouslyFormattedCitation":"[195,196]"},"properties":{"noteIndex":0},"schema":"https://github.com/citation-style-language/schema/raw/master/csl-citation.json"}</w:instrText>
      </w:r>
      <w:r w:rsidRPr="00BA4F0F">
        <w:rPr>
          <w:rFonts w:eastAsia="Arial Unicode MS"/>
          <w:color w:val="000000"/>
          <w:spacing w:val="4"/>
          <w:u w:color="000000"/>
        </w:rPr>
        <w:fldChar w:fldCharType="separate"/>
      </w:r>
      <w:r w:rsidR="006E1ADA" w:rsidRPr="006E1ADA">
        <w:rPr>
          <w:rFonts w:eastAsia="Arial Unicode MS"/>
          <w:noProof/>
          <w:color w:val="000000"/>
          <w:spacing w:val="4"/>
          <w:u w:color="000000"/>
        </w:rPr>
        <w:t>[195,196]</w:t>
      </w:r>
      <w:r w:rsidRPr="00BA4F0F">
        <w:rPr>
          <w:rFonts w:eastAsia="Arial Unicode MS"/>
          <w:color w:val="000000"/>
          <w:spacing w:val="4"/>
          <w:u w:color="000000"/>
        </w:rPr>
        <w:fldChar w:fldCharType="end"/>
      </w:r>
      <w:r w:rsidRPr="00BA4F0F">
        <w:rPr>
          <w:rFonts w:eastAsia="Arial Unicode MS"/>
          <w:color w:val="000000"/>
          <w:spacing w:val="4"/>
          <w:u w:color="000000"/>
        </w:rPr>
        <w:t>.</w:t>
      </w:r>
    </w:p>
    <w:p w14:paraId="06D871C0" w14:textId="77777777" w:rsidR="001F2346" w:rsidRPr="00BA4F0F" w:rsidRDefault="001F2346" w:rsidP="001F2346">
      <w:pPr>
        <w:pStyle w:val="afe"/>
        <w:ind w:left="0"/>
        <w:rPr>
          <w:rFonts w:cs="Times New Roman"/>
          <w:szCs w:val="24"/>
          <w:u w:val="single"/>
        </w:rPr>
      </w:pPr>
    </w:p>
    <w:p w14:paraId="38909656" w14:textId="77777777" w:rsidR="001F2346" w:rsidRPr="00BA4F0F" w:rsidRDefault="001F2346" w:rsidP="001F2346">
      <w:pPr>
        <w:pStyle w:val="afe"/>
        <w:ind w:left="0"/>
        <w:rPr>
          <w:rFonts w:cs="Times New Roman"/>
          <w:szCs w:val="24"/>
          <w:u w:val="single"/>
        </w:rPr>
      </w:pPr>
      <w:r w:rsidRPr="00BA4F0F">
        <w:rPr>
          <w:rFonts w:cs="Times New Roman"/>
          <w:szCs w:val="24"/>
          <w:u w:val="single"/>
        </w:rPr>
        <w:t>Ингибиторы протонной помпы (ИПП)</w:t>
      </w:r>
    </w:p>
    <w:p w14:paraId="1DE434F1" w14:textId="77777777" w:rsidR="001F2346" w:rsidRPr="00BA4F0F" w:rsidRDefault="001F2346" w:rsidP="001F2346">
      <w:pPr>
        <w:shd w:val="clear" w:color="auto" w:fill="FFFFFF"/>
        <w:tabs>
          <w:tab w:val="left" w:pos="0"/>
          <w:tab w:val="left" w:pos="394"/>
        </w:tabs>
        <w:ind w:firstLine="709"/>
        <w:rPr>
          <w:rFonts w:eastAsia="Arial Unicode MS"/>
          <w:b/>
          <w:color w:val="000000"/>
          <w:spacing w:val="4"/>
          <w:u w:color="000000"/>
        </w:rPr>
      </w:pPr>
      <w:r w:rsidRPr="00BA4F0F">
        <w:rPr>
          <w:rFonts w:eastAsia="Arial Unicode MS"/>
          <w:b/>
          <w:color w:val="000000"/>
          <w:spacing w:val="4"/>
          <w:u w:color="000000"/>
        </w:rPr>
        <w:t xml:space="preserve">Фармакологическое действие </w:t>
      </w:r>
    </w:p>
    <w:p w14:paraId="56CFB0E8" w14:textId="77777777" w:rsidR="001F2346" w:rsidRPr="00BA4F0F" w:rsidRDefault="001F2346" w:rsidP="001F2346">
      <w:pPr>
        <w:shd w:val="clear" w:color="auto" w:fill="FFFFFF"/>
        <w:tabs>
          <w:tab w:val="left" w:pos="0"/>
          <w:tab w:val="left" w:pos="394"/>
        </w:tabs>
        <w:ind w:firstLine="709"/>
        <w:rPr>
          <w:rFonts w:eastAsia="Arial Unicode MS"/>
          <w:color w:val="000000"/>
          <w:spacing w:val="4"/>
          <w:u w:color="000000"/>
        </w:rPr>
      </w:pPr>
      <w:r w:rsidRPr="00BA4F0F">
        <w:rPr>
          <w:rFonts w:eastAsia="Arial Unicode MS"/>
          <w:color w:val="000000"/>
          <w:spacing w:val="4"/>
          <w:u w:color="000000"/>
        </w:rPr>
        <w:t>Ингибиторы протоновой помпы (ингибиторы протонового насоса, блокаторы протонного насоса, блокаторы Н+/К+-АТФазы, блокаторы водородной помпы) — антисекреторные лекарственные препараты, блокирующие Н+/К+-АТФазу обкладочных (париетальных) клеток слизистой оболочки желудка и уменьшающие секрецию соляной кислоты.</w:t>
      </w:r>
    </w:p>
    <w:p w14:paraId="78C28653" w14:textId="482112B8" w:rsidR="001F2346" w:rsidRPr="00BA4F0F" w:rsidRDefault="001F2346" w:rsidP="001F2346">
      <w:pPr>
        <w:shd w:val="clear" w:color="auto" w:fill="FFFFFF"/>
        <w:tabs>
          <w:tab w:val="left" w:pos="0"/>
          <w:tab w:val="left" w:pos="394"/>
        </w:tabs>
        <w:ind w:firstLine="709"/>
        <w:rPr>
          <w:rFonts w:eastAsia="Arial Unicode MS"/>
          <w:color w:val="000000"/>
          <w:spacing w:val="4"/>
          <w:u w:color="000000"/>
        </w:rPr>
      </w:pPr>
      <w:r w:rsidRPr="00BA4F0F">
        <w:rPr>
          <w:rFonts w:eastAsia="Arial Unicode MS"/>
          <w:color w:val="000000"/>
          <w:spacing w:val="4"/>
          <w:u w:color="000000"/>
        </w:rPr>
        <w:t xml:space="preserve">ИПП, после прохождения желудка, попадают в тонкую кишку, где растворяются, после чего по кровотоку поступают в печень, а затем проникают через мембрану в париетальные клетки слизистой оболочки желудка, где концентрируются в секреторных канальцах. Здесь, при кислом значении рН, ингибиторы протонного насоса активируются. В этой форме ИПП образуют прочные ковалентные связи с меркаптогруппами цистеиновых остатков Н+/К+-АТФазы, что блокирует действие протонной помпы, она становится необратимо исключенной из процесса секреции соляной кислоты. Влияние ИПП на последнюю стадию процесса образования соляной кислоты в желудке является дозозависимым и обеспечивает высокоэффективное </w:t>
      </w:r>
      <w:r w:rsidRPr="00BA4F0F">
        <w:rPr>
          <w:rFonts w:eastAsia="Arial Unicode MS"/>
          <w:color w:val="000000"/>
          <w:spacing w:val="4"/>
          <w:u w:color="000000"/>
        </w:rPr>
        <w:lastRenderedPageBreak/>
        <w:t>ингибирование базальной и стимулированной секреции соляной кислоты независимо от фактора его вызывающего</w:t>
      </w:r>
      <w:r w:rsidRPr="00BA4F0F">
        <w:rPr>
          <w:rFonts w:eastAsia="Arial Unicode MS"/>
          <w:color w:val="000000"/>
          <w:spacing w:val="4"/>
          <w:u w:color="000000"/>
        </w:rPr>
        <w:fldChar w:fldCharType="begin" w:fldLock="1"/>
      </w:r>
      <w:r w:rsidR="002736BA">
        <w:rPr>
          <w:rFonts w:eastAsia="Arial Unicode MS"/>
          <w:color w:val="000000"/>
          <w:spacing w:val="4"/>
          <w:u w:color="000000"/>
        </w:rPr>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mendeley":{"formattedCitation":"[198]","plainTextFormattedCitation":"[198]","previouslyFormattedCitation":"[198]"},"properties":{"noteIndex":0},"schema":"https://github.com/citation-style-language/schema/raw/master/csl-citation.json"}</w:instrText>
      </w:r>
      <w:r w:rsidRPr="00BA4F0F">
        <w:rPr>
          <w:rFonts w:eastAsia="Arial Unicode MS"/>
          <w:color w:val="000000"/>
          <w:spacing w:val="4"/>
          <w:u w:color="000000"/>
        </w:rPr>
        <w:fldChar w:fldCharType="separate"/>
      </w:r>
      <w:r w:rsidR="006E1ADA" w:rsidRPr="006E1ADA">
        <w:rPr>
          <w:rFonts w:eastAsia="Arial Unicode MS"/>
          <w:noProof/>
          <w:color w:val="000000"/>
          <w:spacing w:val="4"/>
          <w:u w:color="000000"/>
        </w:rPr>
        <w:t>[198]</w:t>
      </w:r>
      <w:r w:rsidRPr="00BA4F0F">
        <w:rPr>
          <w:rFonts w:eastAsia="Arial Unicode MS"/>
          <w:color w:val="000000"/>
          <w:spacing w:val="4"/>
          <w:u w:color="000000"/>
        </w:rPr>
        <w:fldChar w:fldCharType="end"/>
      </w:r>
      <w:r w:rsidRPr="00BA4F0F">
        <w:rPr>
          <w:rFonts w:eastAsia="Arial Unicode MS"/>
          <w:color w:val="000000"/>
          <w:spacing w:val="4"/>
          <w:u w:color="000000"/>
        </w:rPr>
        <w:t>.</w:t>
      </w:r>
    </w:p>
    <w:p w14:paraId="59A81A62" w14:textId="77777777" w:rsidR="001F2346" w:rsidRPr="00BA4F0F" w:rsidRDefault="001F2346" w:rsidP="001F2346">
      <w:pPr>
        <w:shd w:val="clear" w:color="auto" w:fill="FFFFFF"/>
        <w:tabs>
          <w:tab w:val="left" w:pos="0"/>
          <w:tab w:val="left" w:pos="394"/>
        </w:tabs>
        <w:ind w:left="709"/>
        <w:rPr>
          <w:rFonts w:eastAsia="Arial Unicode MS"/>
          <w:b/>
          <w:color w:val="000000"/>
          <w:spacing w:val="4"/>
          <w:u w:color="000000"/>
        </w:rPr>
      </w:pPr>
      <w:r w:rsidRPr="00BA4F0F">
        <w:rPr>
          <w:rFonts w:eastAsia="Arial Unicode MS"/>
          <w:color w:val="000000"/>
          <w:spacing w:val="4"/>
          <w:u w:color="000000"/>
        </w:rPr>
        <w:t>Показания</w:t>
      </w:r>
    </w:p>
    <w:p w14:paraId="210901BD" w14:textId="77777777" w:rsidR="001F2346" w:rsidRPr="00BA4F0F" w:rsidRDefault="001F2346" w:rsidP="00DC0931">
      <w:pPr>
        <w:numPr>
          <w:ilvl w:val="0"/>
          <w:numId w:val="272"/>
        </w:numPr>
        <w:tabs>
          <w:tab w:val="left" w:pos="0"/>
        </w:tabs>
        <w:ind w:left="0" w:firstLine="709"/>
        <w:contextualSpacing/>
      </w:pPr>
      <w:r w:rsidRPr="00BA4F0F">
        <w:t>Профилактика/лечение язвенной болезни желудка и двенадцатиперстной кишки, в том числе на фоне терапии глюкокортикостероидами</w:t>
      </w:r>
    </w:p>
    <w:p w14:paraId="719464DB" w14:textId="77777777" w:rsidR="001F2346" w:rsidRPr="00BA4F0F" w:rsidRDefault="001F2346" w:rsidP="001F2346">
      <w:pPr>
        <w:shd w:val="clear" w:color="auto" w:fill="FFFFFF"/>
        <w:tabs>
          <w:tab w:val="left" w:pos="0"/>
          <w:tab w:val="left" w:pos="394"/>
        </w:tabs>
        <w:ind w:left="709"/>
        <w:rPr>
          <w:rFonts w:eastAsia="Arial Unicode MS"/>
          <w:b/>
          <w:color w:val="000000"/>
          <w:spacing w:val="4"/>
          <w:u w:color="000000"/>
        </w:rPr>
      </w:pPr>
      <w:r w:rsidRPr="00BA4F0F">
        <w:rPr>
          <w:rFonts w:eastAsia="Arial Unicode MS"/>
          <w:b/>
          <w:color w:val="000000"/>
          <w:spacing w:val="4"/>
          <w:u w:color="000000"/>
          <w:shd w:val="clear" w:color="auto" w:fill="FFFFFF"/>
        </w:rPr>
        <w:t>Режим дозирования</w:t>
      </w:r>
    </w:p>
    <w:p w14:paraId="64EE2469" w14:textId="68F756C3" w:rsidR="001F2346" w:rsidRPr="00BA4F0F" w:rsidRDefault="001F2346" w:rsidP="001F2346">
      <w:pPr>
        <w:shd w:val="clear" w:color="auto" w:fill="FFFFFF"/>
        <w:tabs>
          <w:tab w:val="left" w:pos="0"/>
          <w:tab w:val="left" w:pos="394"/>
        </w:tabs>
        <w:ind w:firstLine="709"/>
        <w:rPr>
          <w:rFonts w:eastAsia="Arial Unicode MS"/>
          <w:color w:val="000000"/>
          <w:spacing w:val="4"/>
          <w:u w:color="000000"/>
        </w:rPr>
      </w:pPr>
      <w:r w:rsidRPr="00BA4F0F">
        <w:rPr>
          <w:rFonts w:eastAsia="Arial Unicode MS"/>
          <w:color w:val="000000"/>
          <w:spacing w:val="4"/>
          <w:u w:color="000000"/>
        </w:rPr>
        <w:t xml:space="preserve">Пациентам во время проведения курсов специфической противоопухолевой терапии, рекомендован прием ИПП в указанных в таблице </w:t>
      </w:r>
      <w:r w:rsidR="006E1ADA">
        <w:rPr>
          <w:rFonts w:eastAsia="Arial Unicode MS"/>
          <w:color w:val="000000"/>
          <w:spacing w:val="4"/>
          <w:u w:color="000000"/>
        </w:rPr>
        <w:t>9</w:t>
      </w:r>
      <w:r w:rsidRPr="00BA4F0F">
        <w:rPr>
          <w:rFonts w:eastAsia="Arial Unicode MS"/>
          <w:color w:val="000000"/>
          <w:spacing w:val="4"/>
          <w:u w:color="000000"/>
        </w:rPr>
        <w:t xml:space="preserve"> дозах. </w:t>
      </w:r>
    </w:p>
    <w:p w14:paraId="1EF7BDEB" w14:textId="77777777" w:rsidR="001F2346" w:rsidRPr="00BA4F0F" w:rsidRDefault="001F2346" w:rsidP="001F2346">
      <w:pPr>
        <w:shd w:val="clear" w:color="auto" w:fill="FFFFFF"/>
        <w:tabs>
          <w:tab w:val="left" w:pos="0"/>
          <w:tab w:val="left" w:pos="394"/>
        </w:tabs>
        <w:ind w:firstLine="709"/>
        <w:rPr>
          <w:rFonts w:eastAsia="Arial Unicode MS"/>
          <w:color w:val="000000"/>
          <w:spacing w:val="4"/>
          <w:u w:color="000000"/>
        </w:rPr>
      </w:pPr>
    </w:p>
    <w:p w14:paraId="213D97D2" w14:textId="551F0B9C" w:rsidR="001F2346" w:rsidRPr="00BA4F0F" w:rsidRDefault="001F2346" w:rsidP="001F2346">
      <w:pPr>
        <w:shd w:val="clear" w:color="auto" w:fill="FFFFFF"/>
        <w:tabs>
          <w:tab w:val="left" w:pos="0"/>
          <w:tab w:val="left" w:pos="394"/>
        </w:tabs>
        <w:ind w:firstLine="709"/>
        <w:rPr>
          <w:rFonts w:eastAsia="Arial Unicode MS"/>
          <w:color w:val="000000"/>
          <w:spacing w:val="4"/>
          <w:u w:color="000000"/>
        </w:rPr>
      </w:pPr>
      <w:r w:rsidRPr="006E1ADA">
        <w:rPr>
          <w:rFonts w:eastAsia="Arial Unicode MS"/>
          <w:color w:val="000000"/>
          <w:spacing w:val="4"/>
          <w:u w:color="000000"/>
        </w:rPr>
        <w:t xml:space="preserve">Таблица </w:t>
      </w:r>
      <w:r w:rsidR="006E1ADA" w:rsidRPr="006E1ADA">
        <w:rPr>
          <w:rFonts w:eastAsia="Arial Unicode MS"/>
          <w:color w:val="000000"/>
          <w:spacing w:val="4"/>
          <w:u w:color="000000"/>
        </w:rPr>
        <w:t>9</w:t>
      </w:r>
      <w:r w:rsidRPr="006E1ADA">
        <w:rPr>
          <w:rFonts w:eastAsia="Arial Unicode MS"/>
          <w:color w:val="000000"/>
          <w:spacing w:val="4"/>
          <w:u w:color="000000"/>
        </w:rPr>
        <w:t>. Режим дозирования ИПП с профилактической целью</w:t>
      </w:r>
    </w:p>
    <w:tbl>
      <w:tblPr>
        <w:tblStyle w:val="31"/>
        <w:tblW w:w="0" w:type="auto"/>
        <w:jc w:val="center"/>
        <w:tblLook w:val="04A0" w:firstRow="1" w:lastRow="0" w:firstColumn="1" w:lastColumn="0" w:noHBand="0" w:noVBand="1"/>
      </w:tblPr>
      <w:tblGrid>
        <w:gridCol w:w="2220"/>
        <w:gridCol w:w="1857"/>
        <w:gridCol w:w="4200"/>
      </w:tblGrid>
      <w:tr w:rsidR="001F2346" w:rsidRPr="00BA4F0F" w14:paraId="2902E86B" w14:textId="77777777" w:rsidTr="002D3EBF">
        <w:trPr>
          <w:jc w:val="center"/>
        </w:trPr>
        <w:tc>
          <w:tcPr>
            <w:tcW w:w="2220" w:type="dxa"/>
          </w:tcPr>
          <w:p w14:paraId="52F616A6" w14:textId="77777777" w:rsidR="001F2346" w:rsidRPr="00BA4F0F" w:rsidRDefault="001F2346" w:rsidP="002D3EBF">
            <w:pPr>
              <w:tabs>
                <w:tab w:val="left" w:pos="0"/>
              </w:tabs>
              <w:jc w:val="center"/>
              <w:rPr>
                <w:b/>
              </w:rPr>
            </w:pPr>
            <w:r w:rsidRPr="00BA4F0F">
              <w:rPr>
                <w:b/>
              </w:rPr>
              <w:t>Препарат</w:t>
            </w:r>
          </w:p>
        </w:tc>
        <w:tc>
          <w:tcPr>
            <w:tcW w:w="1857" w:type="dxa"/>
          </w:tcPr>
          <w:p w14:paraId="45CFC375" w14:textId="77777777" w:rsidR="001F2346" w:rsidRPr="00BA4F0F" w:rsidRDefault="001F2346" w:rsidP="002D3EBF">
            <w:pPr>
              <w:tabs>
                <w:tab w:val="left" w:pos="0"/>
              </w:tabs>
              <w:jc w:val="center"/>
              <w:rPr>
                <w:b/>
              </w:rPr>
            </w:pPr>
            <w:r w:rsidRPr="00BA4F0F">
              <w:rPr>
                <w:b/>
              </w:rPr>
              <w:t>Суточная доза, мг</w:t>
            </w:r>
          </w:p>
        </w:tc>
        <w:tc>
          <w:tcPr>
            <w:tcW w:w="4200" w:type="dxa"/>
          </w:tcPr>
          <w:p w14:paraId="4E8A4196" w14:textId="77777777" w:rsidR="001F2346" w:rsidRPr="00BA4F0F" w:rsidRDefault="001F2346" w:rsidP="002D3EBF">
            <w:pPr>
              <w:tabs>
                <w:tab w:val="left" w:pos="0"/>
              </w:tabs>
              <w:jc w:val="center"/>
              <w:rPr>
                <w:b/>
              </w:rPr>
            </w:pPr>
            <w:r w:rsidRPr="00BA4F0F">
              <w:rPr>
                <w:b/>
              </w:rPr>
              <w:t>Режим дозирования</w:t>
            </w:r>
          </w:p>
        </w:tc>
      </w:tr>
      <w:tr w:rsidR="001F2346" w:rsidRPr="00BA4F0F" w14:paraId="7E4DF792" w14:textId="77777777" w:rsidTr="002D3EBF">
        <w:trPr>
          <w:jc w:val="center"/>
        </w:trPr>
        <w:tc>
          <w:tcPr>
            <w:tcW w:w="2220" w:type="dxa"/>
          </w:tcPr>
          <w:p w14:paraId="6F9B0AF0" w14:textId="77777777" w:rsidR="001F2346" w:rsidRPr="00BA4F0F" w:rsidRDefault="001F2346" w:rsidP="002D3EBF">
            <w:pPr>
              <w:tabs>
                <w:tab w:val="left" w:pos="0"/>
              </w:tabs>
            </w:pPr>
            <w:r w:rsidRPr="00BA4F0F">
              <w:t>Омепразол</w:t>
            </w:r>
          </w:p>
        </w:tc>
        <w:tc>
          <w:tcPr>
            <w:tcW w:w="1857" w:type="dxa"/>
          </w:tcPr>
          <w:p w14:paraId="29FF90A0" w14:textId="77777777" w:rsidR="001F2346" w:rsidRPr="00BA4F0F" w:rsidRDefault="001F2346" w:rsidP="002D3EBF">
            <w:pPr>
              <w:tabs>
                <w:tab w:val="left" w:pos="0"/>
              </w:tabs>
            </w:pPr>
            <w:r w:rsidRPr="00BA4F0F">
              <w:t xml:space="preserve">20 </w:t>
            </w:r>
          </w:p>
          <w:p w14:paraId="4C5C1248" w14:textId="77777777" w:rsidR="001F2346" w:rsidRPr="00BA4F0F" w:rsidRDefault="001F2346" w:rsidP="002D3EBF">
            <w:pPr>
              <w:tabs>
                <w:tab w:val="left" w:pos="0"/>
              </w:tabs>
            </w:pPr>
            <w:r w:rsidRPr="00BA4F0F">
              <w:t>40</w:t>
            </w:r>
          </w:p>
        </w:tc>
        <w:tc>
          <w:tcPr>
            <w:tcW w:w="4200" w:type="dxa"/>
          </w:tcPr>
          <w:p w14:paraId="03362AED" w14:textId="77777777" w:rsidR="001F2346" w:rsidRPr="00BA4F0F" w:rsidRDefault="001F2346" w:rsidP="002D3EBF">
            <w:pPr>
              <w:tabs>
                <w:tab w:val="left" w:pos="0"/>
              </w:tabs>
            </w:pPr>
            <w:r w:rsidRPr="00BA4F0F">
              <w:t>Внутрь, 1 раз в сутки;</w:t>
            </w:r>
          </w:p>
          <w:p w14:paraId="5019869C" w14:textId="77777777" w:rsidR="001F2346" w:rsidRPr="00BA4F0F" w:rsidRDefault="001F2346" w:rsidP="002D3EBF">
            <w:pPr>
              <w:tabs>
                <w:tab w:val="left" w:pos="0"/>
              </w:tabs>
            </w:pPr>
            <w:r w:rsidRPr="00BA4F0F">
              <w:t xml:space="preserve"> в/в, 1 раз в сутки</w:t>
            </w:r>
          </w:p>
        </w:tc>
      </w:tr>
      <w:tr w:rsidR="001F2346" w:rsidRPr="00BA4F0F" w14:paraId="35B5F1D9" w14:textId="77777777" w:rsidTr="002D3EBF">
        <w:trPr>
          <w:jc w:val="center"/>
        </w:trPr>
        <w:tc>
          <w:tcPr>
            <w:tcW w:w="2220" w:type="dxa"/>
          </w:tcPr>
          <w:p w14:paraId="101F9846" w14:textId="77777777" w:rsidR="001F2346" w:rsidRPr="00BA4F0F" w:rsidRDefault="001F2346" w:rsidP="002D3EBF">
            <w:pPr>
              <w:tabs>
                <w:tab w:val="left" w:pos="0"/>
              </w:tabs>
            </w:pPr>
            <w:r w:rsidRPr="00BA4F0F">
              <w:t>Лансопразол</w:t>
            </w:r>
          </w:p>
        </w:tc>
        <w:tc>
          <w:tcPr>
            <w:tcW w:w="1857" w:type="dxa"/>
          </w:tcPr>
          <w:p w14:paraId="27216F34" w14:textId="77777777" w:rsidR="001F2346" w:rsidRPr="00BA4F0F" w:rsidRDefault="001F2346" w:rsidP="002D3EBF">
            <w:pPr>
              <w:tabs>
                <w:tab w:val="left" w:pos="0"/>
              </w:tabs>
            </w:pPr>
            <w:r w:rsidRPr="00BA4F0F">
              <w:t xml:space="preserve">30 </w:t>
            </w:r>
          </w:p>
        </w:tc>
        <w:tc>
          <w:tcPr>
            <w:tcW w:w="4200" w:type="dxa"/>
          </w:tcPr>
          <w:p w14:paraId="48B3D317" w14:textId="77777777" w:rsidR="001F2346" w:rsidRPr="00BA4F0F" w:rsidRDefault="001F2346" w:rsidP="002D3EBF">
            <w:r w:rsidRPr="00BA4F0F">
              <w:t>Внутрь, 1 раз в сутки</w:t>
            </w:r>
          </w:p>
        </w:tc>
      </w:tr>
      <w:tr w:rsidR="001F2346" w:rsidRPr="00BA4F0F" w14:paraId="66A9D3E0" w14:textId="77777777" w:rsidTr="002D3EBF">
        <w:trPr>
          <w:jc w:val="center"/>
        </w:trPr>
        <w:tc>
          <w:tcPr>
            <w:tcW w:w="2220" w:type="dxa"/>
          </w:tcPr>
          <w:p w14:paraId="200BD92B" w14:textId="77777777" w:rsidR="001F2346" w:rsidRPr="00BA4F0F" w:rsidRDefault="001F2346" w:rsidP="002D3EBF">
            <w:pPr>
              <w:tabs>
                <w:tab w:val="left" w:pos="0"/>
              </w:tabs>
            </w:pPr>
            <w:r w:rsidRPr="00BA4F0F">
              <w:t>Пантопразол</w:t>
            </w:r>
          </w:p>
        </w:tc>
        <w:tc>
          <w:tcPr>
            <w:tcW w:w="1857" w:type="dxa"/>
          </w:tcPr>
          <w:p w14:paraId="0196F71B" w14:textId="77777777" w:rsidR="001F2346" w:rsidRPr="00BA4F0F" w:rsidRDefault="001F2346" w:rsidP="002D3EBF">
            <w:pPr>
              <w:tabs>
                <w:tab w:val="left" w:pos="0"/>
              </w:tabs>
            </w:pPr>
            <w:r w:rsidRPr="00BA4F0F">
              <w:t xml:space="preserve">40 </w:t>
            </w:r>
          </w:p>
        </w:tc>
        <w:tc>
          <w:tcPr>
            <w:tcW w:w="4200" w:type="dxa"/>
          </w:tcPr>
          <w:p w14:paraId="179267EE" w14:textId="77777777" w:rsidR="001F2346" w:rsidRPr="00BA4F0F" w:rsidRDefault="001F2346" w:rsidP="002D3EBF">
            <w:r w:rsidRPr="00BA4F0F">
              <w:t>Внутрь, 1 раз в сутки</w:t>
            </w:r>
          </w:p>
        </w:tc>
      </w:tr>
      <w:tr w:rsidR="001F2346" w:rsidRPr="00BA4F0F" w14:paraId="21A3A0B1" w14:textId="77777777" w:rsidTr="002D3EBF">
        <w:trPr>
          <w:jc w:val="center"/>
        </w:trPr>
        <w:tc>
          <w:tcPr>
            <w:tcW w:w="2220" w:type="dxa"/>
          </w:tcPr>
          <w:p w14:paraId="1C32297B" w14:textId="77777777" w:rsidR="001F2346" w:rsidRPr="00BA4F0F" w:rsidRDefault="001F2346" w:rsidP="002D3EBF">
            <w:pPr>
              <w:tabs>
                <w:tab w:val="left" w:pos="0"/>
              </w:tabs>
            </w:pPr>
            <w:r w:rsidRPr="00BA4F0F">
              <w:t>Рабепразол</w:t>
            </w:r>
          </w:p>
        </w:tc>
        <w:tc>
          <w:tcPr>
            <w:tcW w:w="1857" w:type="dxa"/>
          </w:tcPr>
          <w:p w14:paraId="4B6E2175" w14:textId="77777777" w:rsidR="001F2346" w:rsidRPr="00BA4F0F" w:rsidRDefault="001F2346" w:rsidP="002D3EBF">
            <w:pPr>
              <w:tabs>
                <w:tab w:val="left" w:pos="0"/>
              </w:tabs>
            </w:pPr>
            <w:r w:rsidRPr="00BA4F0F">
              <w:t>20</w:t>
            </w:r>
          </w:p>
        </w:tc>
        <w:tc>
          <w:tcPr>
            <w:tcW w:w="4200" w:type="dxa"/>
          </w:tcPr>
          <w:p w14:paraId="5B06742C" w14:textId="77777777" w:rsidR="001F2346" w:rsidRPr="00BA4F0F" w:rsidRDefault="001F2346" w:rsidP="002D3EBF">
            <w:r w:rsidRPr="00BA4F0F">
              <w:t>Внутрь, 1 раз в сутки</w:t>
            </w:r>
          </w:p>
        </w:tc>
      </w:tr>
      <w:tr w:rsidR="001F2346" w:rsidRPr="00BA4F0F" w14:paraId="15238178" w14:textId="77777777" w:rsidTr="002D3EBF">
        <w:trPr>
          <w:jc w:val="center"/>
        </w:trPr>
        <w:tc>
          <w:tcPr>
            <w:tcW w:w="2220" w:type="dxa"/>
          </w:tcPr>
          <w:p w14:paraId="1D585E93" w14:textId="77777777" w:rsidR="001F2346" w:rsidRPr="00BA4F0F" w:rsidRDefault="001F2346" w:rsidP="002D3EBF">
            <w:pPr>
              <w:tabs>
                <w:tab w:val="left" w:pos="0"/>
              </w:tabs>
            </w:pPr>
            <w:r w:rsidRPr="00BA4F0F">
              <w:t>Эзомепразол</w:t>
            </w:r>
          </w:p>
        </w:tc>
        <w:tc>
          <w:tcPr>
            <w:tcW w:w="1857" w:type="dxa"/>
          </w:tcPr>
          <w:p w14:paraId="6230F0B0" w14:textId="77777777" w:rsidR="001F2346" w:rsidRPr="00BA4F0F" w:rsidRDefault="001F2346" w:rsidP="002D3EBF">
            <w:pPr>
              <w:tabs>
                <w:tab w:val="left" w:pos="0"/>
              </w:tabs>
            </w:pPr>
            <w:r w:rsidRPr="00BA4F0F">
              <w:t>20</w:t>
            </w:r>
          </w:p>
        </w:tc>
        <w:tc>
          <w:tcPr>
            <w:tcW w:w="4200" w:type="dxa"/>
          </w:tcPr>
          <w:p w14:paraId="0A8E6E20" w14:textId="77777777" w:rsidR="001F2346" w:rsidRPr="00BA4F0F" w:rsidRDefault="001F2346" w:rsidP="002D3EBF">
            <w:r w:rsidRPr="00BA4F0F">
              <w:t>Внутрь или в/в, 1 раз в сутки</w:t>
            </w:r>
          </w:p>
        </w:tc>
      </w:tr>
    </w:tbl>
    <w:p w14:paraId="0E2A82C8" w14:textId="77777777" w:rsidR="001F2346" w:rsidRPr="00BA4F0F" w:rsidRDefault="001F2346" w:rsidP="001F2346">
      <w:pPr>
        <w:shd w:val="clear" w:color="auto" w:fill="FFFFFF"/>
        <w:tabs>
          <w:tab w:val="left" w:pos="0"/>
          <w:tab w:val="left" w:pos="394"/>
        </w:tabs>
        <w:ind w:firstLine="709"/>
        <w:rPr>
          <w:rFonts w:eastAsia="Arial Unicode MS"/>
          <w:color w:val="000000"/>
          <w:spacing w:val="4"/>
          <w:u w:color="000000"/>
        </w:rPr>
      </w:pPr>
    </w:p>
    <w:p w14:paraId="0FE7F040" w14:textId="77777777" w:rsidR="001F2346" w:rsidRPr="00BA4F0F" w:rsidRDefault="001F2346" w:rsidP="001F2346">
      <w:pPr>
        <w:shd w:val="clear" w:color="auto" w:fill="FFFFFF"/>
        <w:tabs>
          <w:tab w:val="left" w:pos="0"/>
          <w:tab w:val="left" w:pos="394"/>
        </w:tabs>
        <w:ind w:firstLine="709"/>
        <w:rPr>
          <w:rFonts w:eastAsia="Arial Unicode MS"/>
          <w:color w:val="000000"/>
          <w:spacing w:val="4"/>
          <w:u w:color="000000"/>
        </w:rPr>
      </w:pPr>
      <w:r w:rsidRPr="00BA4F0F">
        <w:rPr>
          <w:rFonts w:eastAsia="Arial Unicode MS"/>
          <w:color w:val="000000"/>
          <w:spacing w:val="4"/>
          <w:u w:color="000000"/>
        </w:rPr>
        <w:t>Время суток и прием пищи не влияют на активность ИПП. Коррекции дозы при почечной недостаточности не требуется. При невозможности перорального приема ИПП вводятся внутривенно.</w:t>
      </w:r>
    </w:p>
    <w:p w14:paraId="4FF88690" w14:textId="23828BDA" w:rsidR="001F2346" w:rsidRPr="00BA4F0F" w:rsidRDefault="001F2346" w:rsidP="001F2346">
      <w:pPr>
        <w:ind w:firstLine="709"/>
      </w:pPr>
      <w:r w:rsidRPr="00BA4F0F">
        <w:t xml:space="preserve">В 1990 г. Burget и соавторы опубликовали результаты мета-анализа 300 работ, установившего, что язвы желудка и двенадцатиперстной кишки рубцуются практически во всех случаях, если рН внутрижелудочного содержимого поддерживается более 3 в течение суток на протяжении 18 часов </w:t>
      </w:r>
      <w:r w:rsidRPr="00BA4F0F">
        <w:fldChar w:fldCharType="begin" w:fldLock="1"/>
      </w:r>
      <w:r w:rsidR="002736BA">
        <w:instrText>ADDIN CSL_CITATION {"citationItems":[{"id":"ITEM-1","itemData":{"DOI":"10.1016/0016-5085(90)91015-X","ISSN":"00165085","PMID":"2142113","abstract":"The optimal degree and duration of suppression of gastric acidity required for the healing of peptic ulcers has never been established. Although very potent inhibitors of acid secretion are now available, the need for this degree of suppression has not been shown, and there is a possibility of adverse effects because of pronounced acid inhibition. Therefore, a model has been constructed that defines the relationship between duodenal ulcer healing and antisecretory therapy. Acid suppression data were obtained directly from investigators as raw data from 24-hour studies of acid secretion. Twenty-one experiments from seven investigators provided 490 24-hour studies using 19 different treatment regimens. Healing data were collected from a metaanalysis of published clinical trials of duodenal ulcer healing. A total of 144 published trials in 14,208 patients provided healing data at several endoscopic endpoints for the 19 drug regimens for which acidity data were provided. Weighted least-squares polynomial regression analysis was used to define those parameters of antisecretory therapy that contributed most to duodenal ulcer healing and to define the shape of the response surface. A highly significant correlation (r = 0.9814) was found between healing and the degree of acid suppression, the duration of acid suppression, and the length of therapy. The shape of the contour expressing this relationship shows that healing increases as the duration of suppression increases and as gastric pH increases. However, suppression that increased pH beyond 3.0 was not found to increase ulcer healing further. It is concluded that a longer duration of antisecretory effect and/or a longer duration of therapy are of greater importance than potency for duodenal ulcer healing. © 1990.","author":[{"dropping-particle":"","family":"Burget","given":"Douglas W.","non-dropping-particle":"","parse-names":false,"suffix":""},{"dropping-particle":"","family":"Chiverton","given":"Stephen G.","non-dropping-particle":"","parse-names":false,"suffix":""},{"dropping-particle":"","family":"Hunt","given":"Richard H.","non-dropping-particle":"","parse-names":false,"suffix":""}],"container-title":"Gastroenterology","id":"ITEM-1","issue":"2","issued":{"date-parts":[["1990","8"]]},"page":"345-351","publisher":"Gastroenterology","title":"Is there an optimal degree of acid suppression for healing of duodenal ulcers? A model of the relationship between ulcer healing and acid suppression","type":"article-journal","volume":"99"},"uris":["http://www.mendeley.com/documents/?uuid=55c5fe56-6faa-4e55-bfe2-e8e5c51854a2"]}],"mendeley":{"formattedCitation":"[197]","plainTextFormattedCitation":"[197]","previouslyFormattedCitation":"[197]"},"properties":{"noteIndex":0},"schema":"https://github.com/citation-style-language/schema/raw/master/csl-citation.json"}</w:instrText>
      </w:r>
      <w:r w:rsidRPr="00BA4F0F">
        <w:fldChar w:fldCharType="separate"/>
      </w:r>
      <w:r w:rsidR="006E1ADA" w:rsidRPr="006E1ADA">
        <w:rPr>
          <w:noProof/>
        </w:rPr>
        <w:t>[197]</w:t>
      </w:r>
      <w:r w:rsidRPr="00BA4F0F">
        <w:fldChar w:fldCharType="end"/>
      </w:r>
      <w:r w:rsidRPr="00BA4F0F">
        <w:t xml:space="preserve">. С учетом указанного правила в качестве противоязвенной терапии в настоящее время могут рассматриваться антациды, Н2-блокаторы и ИПП. Согласно одному из последних мета-анализов, при использовании ИПП или Н2-блокаторов достоверно эффективнее достигается рубцевание язвенного дефекта, а также снижается риск повторного кровотечения, по сравнению с плацебо </w:t>
      </w:r>
      <w:r w:rsidRPr="00BA4F0F">
        <w:fldChar w:fldCharType="begin" w:fldLock="1"/>
      </w:r>
      <w:r w:rsidR="002736BA">
        <w:instrText>ADDIN CSL_CITATION {"citationItems":[{"id":"ITEM-1","itemData":{"DOI":"10.1016/S2468-1253(18)30037-2","ISSN":"24681253","PMID":"29475806","abstract":"Background: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Hepatology","id":"ITEM-1","issue":"4","issued":{"date-parts":[["2018","4","1"]]},"page":"231-241","publisher":"Elsevier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[199]","plainTextFormattedCitation":"[199]","previouslyFormattedCitation":"[199]"},"properties":{"noteIndex":0},"schema":"https://github.com/citation-style-language/schema/raw/master/csl-citation.json"}</w:instrText>
      </w:r>
      <w:r w:rsidRPr="00BA4F0F">
        <w:fldChar w:fldCharType="separate"/>
      </w:r>
      <w:r w:rsidR="006E1ADA" w:rsidRPr="006E1ADA">
        <w:rPr>
          <w:noProof/>
        </w:rPr>
        <w:t>[199]</w:t>
      </w:r>
      <w:r w:rsidRPr="00BA4F0F">
        <w:fldChar w:fldCharType="end"/>
      </w:r>
      <w:r w:rsidRPr="00BA4F0F">
        <w:t xml:space="preserve">. Лишь препараты этих двух групп позволяют достигать и поддерживать необходимую рН-среду желудка, при которой происходит заживление гастродуоденальных язв. </w:t>
      </w:r>
    </w:p>
    <w:p w14:paraId="0C4F2ED0" w14:textId="6BC6E47B" w:rsidR="001F2346" w:rsidRPr="00BA4F0F" w:rsidRDefault="001F2346" w:rsidP="001F2346">
      <w:pPr>
        <w:ind w:firstLine="709"/>
      </w:pPr>
      <w:r w:rsidRPr="00BA4F0F">
        <w:t xml:space="preserve">В настоящее время ИПП являются средством базисной терапии. Результаты рандомизированных сравнительных исследований свидетельствуют о высокой </w:t>
      </w:r>
      <w:r w:rsidRPr="00BA4F0F">
        <w:lastRenderedPageBreak/>
        <w:t xml:space="preserve">эффективности ИПП по сравнению с Н2-блокаторами </w:t>
      </w:r>
      <w:r w:rsidRPr="00BA4F0F">
        <w:fldChar w:fldCharType="begin" w:fldLock="1"/>
      </w:r>
      <w:r w:rsidR="002736BA">
        <w:instrText>ADDIN CSL_CITATION {"citationItems":[{"id":"ITEM-1","itemData":{"DOI":"10.4103/1319-3767.199117","ISSN":"1319-3767","abstract":"Background/Aim: To compare the efficacy and tolerance of different proton pump inhibitors (PPIs) in different doses for patients with duodenal ulcers. Materials and Methods: An electronic database was searched to collect all randomized clinical trials (RCTs), and a pairwise and network meta-analysis were performed. Results: A total of 24 RCTs involving 6188 patients were included. The network meta-analysis showed that there were no significant differences for the 4-week healing rate of duodenal ulcer treated with different PPI regimens except pantoprazle 40 mg/d versus lansoprazole 15 mg/d [Relative risk (RR) = 3.57; 95% confidence interval (CI) = 1.36-10.31)] and lansoprazole 30 mg/d versus lansoprazole 15 mg/d (RR = 2.45; 95% CI = 1.01-6.14). In comparison with H2receptor antagonists (H2RA), pantoprazole 40 mg/d and lansoprazole 30 mg/d significantly increase the healing rate (RR = 2.96; 95% CI = 1.78-5.14 and RR = 2.04; 95% CI = 1.13-3.53, respectively). There was no significant difference for the rate of adverse events between different regimens, including H2RA for a duration of 4-week of follow up. Conclusion: There was no significant difference for the efficacy and tolerance between the ordinary doses of different PPIs with the exception of lansoprazle 15 mg/d.","author":[{"dropping-particle":"","family":"Hu","given":"Zhan-Hong","non-dropping-particle":"","parse-names":false,"suffix":""},{"dropping-particle":"","family":"Shi","given":"Ai-Ming","non-dropping-particle":"","parse-names":false,"suffix":""},{"dropping-particle":"","family":"Hu","given":"Duan-Min","non-dropping-particle":"","parse-names":false,"suffix":""},{"dropping-particle":"","family":"Bao","given":"Jun-Jie","non-dropping-particle":"","parse-names":false,"suffix":""}],"container-title":"Saudi Journal of Gastroenterology","id":"ITEM-1","issue":"1","issued":{"date-parts":[["2017","1","1"]]},"page":"11","publisher":"Medknow Publications","title":"Efficacy of proton pump inhibitors for patients with duodenal ulcers: A pairwise and network meta-analysis of randomized controlled trials","type":"article-journal","volume":"23"},"uris":["http://www.mendeley.com/documents/?uuid=d523d0fc-026a-365d-b2ac-773ed8aed036"]}],"mendeley":{"formattedCitation":"[200]","plainTextFormattedCitation":"[200]","previouslyFormattedCitation":"[200]"},"properties":{"noteIndex":0},"schema":"https://github.com/citation-style-language/schema/raw/master/csl-citation.json"}</w:instrText>
      </w:r>
      <w:r w:rsidRPr="00BA4F0F">
        <w:fldChar w:fldCharType="separate"/>
      </w:r>
      <w:r w:rsidR="006E1ADA" w:rsidRPr="006E1ADA">
        <w:rPr>
          <w:noProof/>
        </w:rPr>
        <w:t>[200]</w:t>
      </w:r>
      <w:r w:rsidRPr="00BA4F0F">
        <w:fldChar w:fldCharType="end"/>
      </w:r>
      <w:r w:rsidRPr="00BA4F0F">
        <w:t>. ИПП практически в 1,5 раза эффективнее Н2-блокаторов в отношении эпителизации язвенного дефекта</w:t>
      </w:r>
      <w:r w:rsidRPr="00BA4F0F">
        <w:fldChar w:fldCharType="begin" w:fldLock="1"/>
      </w:r>
      <w:r w:rsidR="002736BA">
        <w:instrText>ADDIN CSL_CITATION {"citationItems":[{"id":"ITEM-1","itemData":{"DOI":"10.1016/S2468-1253(18)30037-2","ISSN":"24681253","PMID":"29475806","abstract":"Background: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Hepatology","id":"ITEM-1","issue":"4","issued":{"date-parts":[["2018","4","1"]]},"page":"231-241","publisher":"Elsevier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[199]","plainTextFormattedCitation":"[199]","previouslyFormattedCitation":"[199]"},"properties":{"noteIndex":0},"schema":"https://github.com/citation-style-language/schema/raw/master/csl-citation.json"}</w:instrText>
      </w:r>
      <w:r w:rsidRPr="00BA4F0F">
        <w:fldChar w:fldCharType="separate"/>
      </w:r>
      <w:r w:rsidR="006E1ADA" w:rsidRPr="006E1ADA">
        <w:rPr>
          <w:noProof/>
        </w:rPr>
        <w:t>[199]</w:t>
      </w:r>
      <w:r w:rsidRPr="00BA4F0F">
        <w:fldChar w:fldCharType="end"/>
      </w:r>
      <w:r w:rsidRPr="00BA4F0F">
        <w:t>.</w:t>
      </w:r>
    </w:p>
    <w:p w14:paraId="54C395A3" w14:textId="77777777" w:rsidR="001F2346" w:rsidRPr="00BA4F0F" w:rsidRDefault="001F2346" w:rsidP="001F2346">
      <w:pPr>
        <w:tabs>
          <w:tab w:val="left" w:pos="0"/>
        </w:tabs>
        <w:ind w:firstLine="709"/>
        <w:rPr>
          <w:b/>
        </w:rPr>
      </w:pPr>
    </w:p>
    <w:p w14:paraId="6E507144" w14:textId="77777777" w:rsidR="001F2346" w:rsidRPr="00BA4F0F" w:rsidRDefault="001F2346" w:rsidP="001F2346">
      <w:pPr>
        <w:pStyle w:val="afe"/>
        <w:ind w:left="0"/>
        <w:rPr>
          <w:rFonts w:cs="Times New Roman"/>
          <w:szCs w:val="24"/>
          <w:u w:val="single"/>
        </w:rPr>
      </w:pPr>
      <w:r w:rsidRPr="00BA4F0F">
        <w:rPr>
          <w:rFonts w:cs="Times New Roman"/>
          <w:szCs w:val="24"/>
          <w:u w:val="single"/>
        </w:rPr>
        <w:t xml:space="preserve">Блокаторы Н2-гистаминовых рецепторов </w:t>
      </w:r>
    </w:p>
    <w:p w14:paraId="1F1642DA" w14:textId="77777777" w:rsidR="001F2346" w:rsidRPr="00BA4F0F" w:rsidRDefault="001F2346" w:rsidP="001F2346">
      <w:pPr>
        <w:tabs>
          <w:tab w:val="left" w:pos="0"/>
        </w:tabs>
        <w:ind w:firstLine="709"/>
        <w:rPr>
          <w:b/>
        </w:rPr>
      </w:pPr>
      <w:r w:rsidRPr="00BA4F0F">
        <w:rPr>
          <w:b/>
        </w:rPr>
        <w:t>Фармакологическое действие</w:t>
      </w:r>
    </w:p>
    <w:p w14:paraId="340F767E" w14:textId="77777777" w:rsidR="001F2346" w:rsidRPr="00BA4F0F" w:rsidRDefault="001F2346" w:rsidP="001F2346">
      <w:pPr>
        <w:tabs>
          <w:tab w:val="left" w:pos="0"/>
        </w:tabs>
        <w:ind w:firstLine="709"/>
      </w:pPr>
      <w:r w:rsidRPr="00BA4F0F">
        <w:t xml:space="preserve">Препараты, блокирующие гистаминовые Н2-рецепторы – лекарственные средства, устраняющие физиологические эффекты гистамина, блокируя рецепторы чувствительных к нему клеток. </w:t>
      </w:r>
    </w:p>
    <w:p w14:paraId="50419CAF" w14:textId="77777777" w:rsidR="001F2346" w:rsidRPr="00BA4F0F" w:rsidRDefault="001F2346" w:rsidP="001F2346">
      <w:pPr>
        <w:tabs>
          <w:tab w:val="left" w:pos="0"/>
        </w:tabs>
        <w:ind w:firstLine="709"/>
      </w:pPr>
      <w:r w:rsidRPr="00BA4F0F">
        <w:t xml:space="preserve">Популяция гистаминорецепторов состоит из 2-х подтипов, названных Н (Н1- и Н2-гистаминорецепторы). Секреторные реакции желудка при действии экзогенного или эндогенного гистамина реализуются через Н2-гистаминорецепторы. Блокаторы гистаминовых Н2-рецепторов являются конкурентными антагонистами гистамина. Наиболее выраженный эффект ассоциирован с влиянием на секрецию желез слизистой оболочки желудка. Препараты воздействуют на гистаминовые Н2-рецепторы париетальных клеток и значительно уменьшают вызванную различными раздражителями секрецию соляной кислоты. </w:t>
      </w:r>
    </w:p>
    <w:p w14:paraId="0024C869" w14:textId="77777777" w:rsidR="001F2346" w:rsidRPr="00BA4F0F" w:rsidRDefault="001F2346" w:rsidP="001F2346">
      <w:pPr>
        <w:tabs>
          <w:tab w:val="left" w:pos="0"/>
        </w:tabs>
        <w:ind w:firstLine="709"/>
        <w:rPr>
          <w:b/>
        </w:rPr>
      </w:pPr>
      <w:r w:rsidRPr="00BA4F0F">
        <w:rPr>
          <w:b/>
        </w:rPr>
        <w:t>Показания</w:t>
      </w:r>
    </w:p>
    <w:p w14:paraId="1E2907AA" w14:textId="77777777" w:rsidR="001F2346" w:rsidRPr="00BA4F0F" w:rsidRDefault="001F2346" w:rsidP="00DC0931">
      <w:pPr>
        <w:numPr>
          <w:ilvl w:val="0"/>
          <w:numId w:val="272"/>
        </w:numPr>
        <w:tabs>
          <w:tab w:val="left" w:pos="0"/>
        </w:tabs>
        <w:ind w:left="0" w:firstLine="709"/>
        <w:contextualSpacing/>
      </w:pPr>
      <w:r w:rsidRPr="00BA4F0F">
        <w:t>Профилактика/лечение язвенной болезни желудка и двенадцатиперстной кишки, в том числе на фоне высокодозной химиотерапии</w:t>
      </w:r>
    </w:p>
    <w:p w14:paraId="2717BBFC" w14:textId="77777777" w:rsidR="001F2346" w:rsidRPr="00BA4F0F" w:rsidRDefault="001F2346" w:rsidP="001F2346">
      <w:pPr>
        <w:tabs>
          <w:tab w:val="left" w:pos="0"/>
        </w:tabs>
        <w:ind w:firstLine="709"/>
        <w:rPr>
          <w:b/>
        </w:rPr>
      </w:pPr>
      <w:r w:rsidRPr="00BA4F0F">
        <w:rPr>
          <w:b/>
        </w:rPr>
        <w:t>5.3. Режим дозирования</w:t>
      </w:r>
    </w:p>
    <w:p w14:paraId="54936F63" w14:textId="2133F875" w:rsidR="001F2346" w:rsidRPr="006E1ADA" w:rsidRDefault="001F2346" w:rsidP="001F2346">
      <w:pPr>
        <w:tabs>
          <w:tab w:val="left" w:pos="0"/>
        </w:tabs>
        <w:ind w:firstLine="709"/>
      </w:pPr>
      <w:r w:rsidRPr="00BA4F0F">
        <w:t>Пациентам во время проведения курсов специфической противоопухолевой терапии, с профилактической целью рекомендован прием блокаторов Н2-</w:t>
      </w:r>
      <w:r w:rsidRPr="006E1ADA">
        <w:t>гистаминовых рецепторов в указанных в таблице 1</w:t>
      </w:r>
      <w:r w:rsidR="006E1ADA" w:rsidRPr="006E1ADA">
        <w:t>0</w:t>
      </w:r>
      <w:r w:rsidRPr="006E1ADA">
        <w:t xml:space="preserve"> дозах.</w:t>
      </w:r>
    </w:p>
    <w:p w14:paraId="372515B0" w14:textId="77777777" w:rsidR="001F2346" w:rsidRPr="006E1ADA" w:rsidRDefault="001F2346" w:rsidP="001F2346">
      <w:pPr>
        <w:tabs>
          <w:tab w:val="left" w:pos="0"/>
        </w:tabs>
        <w:ind w:firstLine="709"/>
      </w:pPr>
    </w:p>
    <w:p w14:paraId="24BDC9EB" w14:textId="6EA287FE" w:rsidR="001F2346" w:rsidRPr="00BA4F0F" w:rsidRDefault="001F2346" w:rsidP="006E1ADA">
      <w:pPr>
        <w:tabs>
          <w:tab w:val="left" w:pos="0"/>
        </w:tabs>
        <w:ind w:firstLine="709"/>
      </w:pPr>
      <w:r w:rsidRPr="006E1ADA">
        <w:t>Таблица 1</w:t>
      </w:r>
      <w:r w:rsidR="006E1ADA" w:rsidRPr="006E1ADA">
        <w:t>0</w:t>
      </w:r>
      <w:r w:rsidRPr="006E1ADA">
        <w:t>. Режим дозирования блокаторов Н2-гистаминовых рецепторов</w:t>
      </w:r>
      <w:r w:rsidRPr="00BA4F0F">
        <w:t xml:space="preserve"> </w:t>
      </w:r>
    </w:p>
    <w:tbl>
      <w:tblPr>
        <w:tblStyle w:val="31"/>
        <w:tblW w:w="0" w:type="auto"/>
        <w:jc w:val="center"/>
        <w:tblLook w:val="04A0" w:firstRow="1" w:lastRow="0" w:firstColumn="1" w:lastColumn="0" w:noHBand="0" w:noVBand="1"/>
      </w:tblPr>
      <w:tblGrid>
        <w:gridCol w:w="2220"/>
        <w:gridCol w:w="1857"/>
        <w:gridCol w:w="3491"/>
      </w:tblGrid>
      <w:tr w:rsidR="001F2346" w:rsidRPr="00BA4F0F" w14:paraId="135CB224" w14:textId="77777777" w:rsidTr="002D3EBF">
        <w:trPr>
          <w:jc w:val="center"/>
        </w:trPr>
        <w:tc>
          <w:tcPr>
            <w:tcW w:w="2220" w:type="dxa"/>
          </w:tcPr>
          <w:p w14:paraId="1FF81311" w14:textId="77777777" w:rsidR="001F2346" w:rsidRPr="00BA4F0F" w:rsidRDefault="001F2346" w:rsidP="002D3EBF">
            <w:pPr>
              <w:tabs>
                <w:tab w:val="left" w:pos="0"/>
              </w:tabs>
              <w:jc w:val="center"/>
              <w:rPr>
                <w:b/>
              </w:rPr>
            </w:pPr>
            <w:r w:rsidRPr="00BA4F0F">
              <w:rPr>
                <w:b/>
              </w:rPr>
              <w:t>Препараты</w:t>
            </w:r>
          </w:p>
        </w:tc>
        <w:tc>
          <w:tcPr>
            <w:tcW w:w="1857" w:type="dxa"/>
          </w:tcPr>
          <w:p w14:paraId="0B002CB9" w14:textId="77777777" w:rsidR="001F2346" w:rsidRPr="00BA4F0F" w:rsidRDefault="001F2346" w:rsidP="002D3EBF">
            <w:pPr>
              <w:tabs>
                <w:tab w:val="left" w:pos="0"/>
              </w:tabs>
              <w:jc w:val="center"/>
              <w:rPr>
                <w:b/>
              </w:rPr>
            </w:pPr>
            <w:r w:rsidRPr="00BA4F0F">
              <w:rPr>
                <w:b/>
              </w:rPr>
              <w:t>Суточная доза, мг</w:t>
            </w:r>
          </w:p>
        </w:tc>
        <w:tc>
          <w:tcPr>
            <w:tcW w:w="3491" w:type="dxa"/>
          </w:tcPr>
          <w:p w14:paraId="20C07BDE" w14:textId="77777777" w:rsidR="001F2346" w:rsidRPr="00BA4F0F" w:rsidRDefault="001F2346" w:rsidP="002D3EBF">
            <w:pPr>
              <w:tabs>
                <w:tab w:val="left" w:pos="0"/>
              </w:tabs>
              <w:jc w:val="center"/>
              <w:rPr>
                <w:b/>
              </w:rPr>
            </w:pPr>
            <w:r w:rsidRPr="00BA4F0F">
              <w:rPr>
                <w:b/>
              </w:rPr>
              <w:t>Режим дозирования</w:t>
            </w:r>
          </w:p>
        </w:tc>
      </w:tr>
      <w:tr w:rsidR="001F2346" w:rsidRPr="00BA4F0F" w14:paraId="78924B10" w14:textId="77777777" w:rsidTr="002D3EBF">
        <w:trPr>
          <w:jc w:val="center"/>
        </w:trPr>
        <w:tc>
          <w:tcPr>
            <w:tcW w:w="2220" w:type="dxa"/>
          </w:tcPr>
          <w:p w14:paraId="662AD549" w14:textId="77777777" w:rsidR="001F2346" w:rsidRPr="00BA4F0F" w:rsidRDefault="001F2346" w:rsidP="002D3EBF">
            <w:pPr>
              <w:tabs>
                <w:tab w:val="left" w:pos="0"/>
              </w:tabs>
            </w:pPr>
            <w:r w:rsidRPr="00BA4F0F">
              <w:t>Ранитидин</w:t>
            </w:r>
          </w:p>
        </w:tc>
        <w:tc>
          <w:tcPr>
            <w:tcW w:w="1857" w:type="dxa"/>
          </w:tcPr>
          <w:p w14:paraId="144532EE" w14:textId="77777777" w:rsidR="001F2346" w:rsidRPr="00BA4F0F" w:rsidRDefault="001F2346" w:rsidP="002D3EBF">
            <w:pPr>
              <w:tabs>
                <w:tab w:val="left" w:pos="0"/>
              </w:tabs>
            </w:pPr>
            <w:r w:rsidRPr="00BA4F0F">
              <w:t>150</w:t>
            </w:r>
          </w:p>
        </w:tc>
        <w:tc>
          <w:tcPr>
            <w:tcW w:w="3491" w:type="dxa"/>
          </w:tcPr>
          <w:p w14:paraId="3DBF8D08" w14:textId="77777777" w:rsidR="001F2346" w:rsidRPr="00BA4F0F" w:rsidRDefault="001F2346" w:rsidP="002D3EBF">
            <w:pPr>
              <w:tabs>
                <w:tab w:val="left" w:pos="0"/>
              </w:tabs>
            </w:pPr>
            <w:r w:rsidRPr="00BA4F0F">
              <w:t>Внутрь, 1 раз в сутки, на ночь</w:t>
            </w:r>
          </w:p>
        </w:tc>
      </w:tr>
      <w:tr w:rsidR="001F2346" w:rsidRPr="00BA4F0F" w14:paraId="2E113DB9" w14:textId="77777777" w:rsidTr="002D3EBF">
        <w:trPr>
          <w:jc w:val="center"/>
        </w:trPr>
        <w:tc>
          <w:tcPr>
            <w:tcW w:w="2220" w:type="dxa"/>
          </w:tcPr>
          <w:p w14:paraId="1F5698E1" w14:textId="77777777" w:rsidR="001F2346" w:rsidRPr="00BA4F0F" w:rsidRDefault="001F2346" w:rsidP="002D3EBF">
            <w:pPr>
              <w:tabs>
                <w:tab w:val="left" w:pos="0"/>
              </w:tabs>
            </w:pPr>
            <w:r w:rsidRPr="00BA4F0F">
              <w:t>Фамотидин</w:t>
            </w:r>
          </w:p>
        </w:tc>
        <w:tc>
          <w:tcPr>
            <w:tcW w:w="1857" w:type="dxa"/>
          </w:tcPr>
          <w:p w14:paraId="5833B126" w14:textId="77777777" w:rsidR="001F2346" w:rsidRPr="00BA4F0F" w:rsidRDefault="001F2346" w:rsidP="002D3EBF">
            <w:pPr>
              <w:tabs>
                <w:tab w:val="left" w:pos="0"/>
              </w:tabs>
            </w:pPr>
            <w:r w:rsidRPr="00BA4F0F">
              <w:t xml:space="preserve">20 </w:t>
            </w:r>
          </w:p>
        </w:tc>
        <w:tc>
          <w:tcPr>
            <w:tcW w:w="3491" w:type="dxa"/>
          </w:tcPr>
          <w:p w14:paraId="521FEE99" w14:textId="77777777" w:rsidR="001F2346" w:rsidRPr="00BA4F0F" w:rsidRDefault="001F2346" w:rsidP="002D3EBF">
            <w:r w:rsidRPr="00BA4F0F">
              <w:t>Внутрь, 1 раз в сутки, на ночь</w:t>
            </w:r>
          </w:p>
        </w:tc>
      </w:tr>
    </w:tbl>
    <w:p w14:paraId="6679A963" w14:textId="77777777" w:rsidR="001F2346" w:rsidRPr="00BA4F0F" w:rsidRDefault="001F2346" w:rsidP="001F2346">
      <w:pPr>
        <w:autoSpaceDE w:val="0"/>
        <w:autoSpaceDN w:val="0"/>
        <w:adjustRightInd w:val="0"/>
        <w:ind w:firstLine="709"/>
        <w:rPr>
          <w:iCs/>
        </w:rPr>
      </w:pPr>
    </w:p>
    <w:p w14:paraId="64642A3B" w14:textId="1C865E6D" w:rsidR="001F2346" w:rsidRPr="00BA4F0F" w:rsidRDefault="001F2346" w:rsidP="001F2346">
      <w:pPr>
        <w:autoSpaceDE w:val="0"/>
        <w:autoSpaceDN w:val="0"/>
        <w:adjustRightInd w:val="0"/>
        <w:ind w:firstLine="709"/>
        <w:rPr>
          <w:iCs/>
        </w:rPr>
      </w:pPr>
      <w:r w:rsidRPr="00BA4F0F">
        <w:rPr>
          <w:iCs/>
        </w:rPr>
        <w:t xml:space="preserve">Н2-блокаторы гистамина подавляют секрецию соляной кислоты за счет вытеснения гистамина из связи с Н2-рецепторами париетальных клеток. Препараты этой группы поддерживают показатели внутрижелудочного рН &gt; 3 на протяжении суток. Проведенные исследования показали, что применение Н2-блокаторов в течение 1-1,5 месяца приводит к рубцеванию язвенного дефекта у 70–80 % пациентов с дуоденальными язвами и у 55–60 % </w:t>
      </w:r>
      <w:r w:rsidRPr="00BA4F0F">
        <w:rPr>
          <w:iCs/>
        </w:rPr>
        <w:lastRenderedPageBreak/>
        <w:t xml:space="preserve">пациентов с язвами желудка </w:t>
      </w:r>
      <w:r w:rsidRPr="00BA4F0F">
        <w:rPr>
          <w:iCs/>
        </w:rPr>
        <w:fldChar w:fldCharType="begin" w:fldLock="1"/>
      </w:r>
      <w:r w:rsidR="002736BA">
        <w:rPr>
          <w:iCs/>
        </w:rPr>
        <w:instrText>ADDIN CSL_CITATION {"citationItems":[{"id":"ITEM-1","itemData":{"DOI":"10.1016/S0140-6736(16)32404-7","ISSN":"1474-547X","PMID":"28242110","abstract":"The rapidly declining prevalence of Helicobacter pylori infection and widespread use of potent anti-secretory drugs means peptic ulcer disease has become substantially less prevalent than it was two decades ago. Management has, however, become more challenging than ever because of the threat of increasing antimicrobial resistance worldwide and widespread use of complex anti-thrombotic therapy in the ageing population. Peptic ulcers not associated with H pylori infection or the use of non-steroidal anti-inflammatory drugs are now also imposing substantial diagnostic and therapeutic challenges. This Seminar aims to provide a balanced overview of the latest advances in the pathogenetic mechanisms of peptic ulcers, guidelines on therapies targeting H pylori infection, approaches to treatment of peptic ulcer complications associated with anti-inflammatory analgesics and anti-thrombotic agents, and the unmet needs in terms of our knowledge and management of this increasingly challenging condition.","author":[{"dropping-particle":"","family":"Lanas","given":"Angel","non-dropping-particle":"","parse-names":false,"suffix":""},{"dropping-particle":"","family":"Chan","given":"Francis K L","non-dropping-particle":"","parse-names":false,"suffix":""}],"container-title":"Lancet (London, England)","id":"ITEM-1","issue":"10094","issued":{"date-parts":[["2017"]]},"page":"613-624","publisher":"Lancet","title":"Peptic ulcer disease.","type":"article-journal","volume":"390"},"uris":["http://www.mendeley.com/documents/?uuid=dcbc625a-2314-3bed-910d-92b1cdf9da49","http://www.mendeley.com/documents/?uuid=624fee9b-1b8b-4f2d-a0e5-4146c75dcad9"]}],"mendeley":{"formattedCitation":"[253]","plainTextFormattedCitation":"[253]","previouslyFormattedCitation":"[253]"},"properties":{"noteIndex":0},"schema":"https://github.com/citation-style-language/schema/raw/master/csl-citation.json"}</w:instrText>
      </w:r>
      <w:r w:rsidRPr="00BA4F0F">
        <w:rPr>
          <w:iCs/>
        </w:rPr>
        <w:fldChar w:fldCharType="separate"/>
      </w:r>
      <w:r w:rsidR="006E1ADA" w:rsidRPr="006E1ADA">
        <w:rPr>
          <w:iCs/>
          <w:noProof/>
        </w:rPr>
        <w:t>[253]</w:t>
      </w:r>
      <w:r w:rsidRPr="00BA4F0F">
        <w:rPr>
          <w:iCs/>
        </w:rPr>
        <w:fldChar w:fldCharType="end"/>
      </w:r>
      <w:r w:rsidRPr="00BA4F0F">
        <w:rPr>
          <w:iCs/>
        </w:rPr>
        <w:t xml:space="preserve">. Н2-блокаторы значительно эффективнее плацебо в достижении рубцевания язвенного дефекта </w:t>
      </w:r>
      <w:r w:rsidRPr="00BA4F0F">
        <w:rPr>
          <w:iCs/>
        </w:rPr>
        <w:fldChar w:fldCharType="begin" w:fldLock="1"/>
      </w:r>
      <w:r w:rsidR="002736BA">
        <w:rPr>
          <w:iCs/>
        </w:rPr>
        <w:instrText>ADDIN CSL_CITATION {"citationItems":[{"id":"ITEM-1","itemData":{"DOI":"10.1016/S2468-1253(18)30037-2","ISSN":"24681253","PMID":"29475806","abstract":"Background: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Hepatology","id":"ITEM-1","issue":"4","issued":{"date-parts":[["2018","4","1"]]},"page":"231-241","publisher":"Elsevier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[199]","plainTextFormattedCitation":"[199]","previouslyFormattedCitation":"[199]"},"properties":{"noteIndex":0},"schema":"https://github.com/citation-style-language/schema/raw/master/csl-citation.json"}</w:instrText>
      </w:r>
      <w:r w:rsidRPr="00BA4F0F">
        <w:rPr>
          <w:iCs/>
        </w:rPr>
        <w:fldChar w:fldCharType="separate"/>
      </w:r>
      <w:r w:rsidR="006E1ADA" w:rsidRPr="006E1ADA">
        <w:rPr>
          <w:iCs/>
          <w:noProof/>
        </w:rPr>
        <w:t>[199]</w:t>
      </w:r>
      <w:r w:rsidRPr="00BA4F0F">
        <w:rPr>
          <w:iCs/>
        </w:rPr>
        <w:fldChar w:fldCharType="end"/>
      </w:r>
      <w:r w:rsidRPr="00BA4F0F">
        <w:rPr>
          <w:iCs/>
        </w:rPr>
        <w:t>. Тем не менее, после внедрения ИПП в клиническую практику в качестве базисной антисекреторной терапии, Н2-блокаторы применяются реже, главным образом при невозможности применения ИПП.</w:t>
      </w:r>
    </w:p>
    <w:p w14:paraId="71B50F85" w14:textId="77777777" w:rsidR="001F2346" w:rsidRPr="00BA4F0F" w:rsidRDefault="001F2346" w:rsidP="001F2346">
      <w:pPr>
        <w:rPr>
          <w:b/>
          <w:highlight w:val="green"/>
        </w:rPr>
      </w:pPr>
      <w:bookmarkStart w:id="159" w:name="_Toc44926638"/>
    </w:p>
    <w:p w14:paraId="4A214558" w14:textId="77777777" w:rsidR="001F2346" w:rsidRPr="00BA4F0F" w:rsidRDefault="001F2346" w:rsidP="001F2346">
      <w:pPr>
        <w:rPr>
          <w:b/>
        </w:rPr>
      </w:pPr>
      <w:r w:rsidRPr="00BA4F0F">
        <w:rPr>
          <w:b/>
        </w:rPr>
        <w:t>Антимикробная терапия</w:t>
      </w:r>
      <w:bookmarkEnd w:id="159"/>
    </w:p>
    <w:p w14:paraId="796E2DB0" w14:textId="2D272F6E" w:rsidR="001F2346" w:rsidRPr="00BA4F0F" w:rsidRDefault="001F2346" w:rsidP="001F2346">
      <w:pPr>
        <w:tabs>
          <w:tab w:val="left" w:pos="0"/>
          <w:tab w:val="left" w:pos="567"/>
        </w:tabs>
        <w:ind w:firstLine="709"/>
      </w:pPr>
      <w:r w:rsidRPr="00BA4F0F">
        <w:t xml:space="preserve">Применение высокодозной химиотерапии с последующей трансплантацией аутологичных стволовых клеток крови по данным различных авторов приводит к развитию инфекционных осложнений более чем у 90 % больных </w:t>
      </w:r>
      <w:r w:rsidRPr="00BA4F0F">
        <w:fldChar w:fldCharType="begin" w:fldLock="1"/>
      </w:r>
      <w:r w:rsidR="002736BA">
        <w:instrText>ADDIN CSL_CITATION {"citationItems":[{"id":"ITEM-1","itemData":{"DOI":"10.1007/s00277-002-0484-1","ISSN":"09395555","abstract":"It is yet undetermined whether patients with different hematological malignancies have different pro-pensities to infectious complications after high-dose chemotherapy (HDC) and autologous hematopoietic stem cell transplantation (HSCT). We retrospectively analyzed 136 cycles of HDC and autologous HSCT in 114 patients with acute myeloid leukemia (AML, 24 cycles), non-Hodgkin's lymphoma/Hodgkin's disease (NHL/HD, 55 cycles), and multiple myeloma (MM, 57 cycles) with respect to early infectious complications. Median duration of neutropenia was longer in patients with AML and NHL/HD than in patients with MM (11 days vs 8 days) and after conditioning including total body irradiation (TBI) compared with chemotherapy only preparative regimens (11 days vs 7 days). Fever requiring antimicrobial therapy was observed in 88% of cycles, with fever of unknown origin (FUO) accounting for 60% of febrile episodes. There was no proven fungal infection, but one case of probable invasive pulmonary aspergillosis. Microbiologically documented infections were seen in 29% and clinically documented infections in 11%. Response to first-line empirical antibiotic therapy was better for FUO than for documented infections (70% vs 40%). Patients with TBI as part of their conditioning regimen had more overall infections than patients without TBI (96% vs 82%). There were no differences with respect to the type or incidence of infections between patients with AML, NHL/HD, and MM. Patients with different hematological malignancies have similar rates of early infectious complications after HDC and autologous HSCT. TBI may be associated with an increased risk for infections in the early post-transplant period.","author":[{"dropping-particle":"","family":"Auner","given":"H. W.","non-dropping-particle":"","parse-names":false,"suffix":""},{"dropping-particle":"","family":"Sill","given":"H.","non-dropping-particle":"","parse-names":false,"suffix":""},{"dropping-particle":"","family":"Mulabecirovic","given":"A.","non-dropping-particle":"","parse-names":false,"suffix":""},{"dropping-particle":"","family":"Linkesch","given":"W.","non-dropping-particle":"","parse-names":false,"suffix":""},{"dropping-particle":"","family":"Krause","given":"R.","non-dropping-particle":"","parse-names":false,"suffix":""}],"container-title":"Annals of Hematology","id":"ITEM-1","issue":"7","issued":{"date-parts":[["2002"]]},"page":"374-377","publisher":"Ann Hematol","title":"Infectious complications after autologous hematopoietic stem cell transplantation: Comparison of patients with acute myeloid leukemia, malignant lymphoma, and multiple myeloma","type":"article-journal","volume":"81"},"uris":["http://www.mendeley.com/documents/?uuid=f1a86368-84b1-3c12-a8de-28ac6a6f005c","http://www.mendeley.com/documents/?uuid=4fdc9fd0-5eb8-4b96-b6b8-9b8085bef2b6","http://www.mendeley.com/documents/?uuid=81487a63-368f-45a3-96bd-a065db655523","http://www.mendeley.com/documents/?uuid=3f2b3f0f-80f0-426a-b243-a2231ace928a","http://www.mendeley.com/documents/?uuid=9ea48387-c84f-41f8-868e-392b32d4973d","http://www.mendeley.com/documents/?uuid=214eabb8-c545-489f-ad37-bd70dd8865a6","http://www.mendeley.com/documents/?uuid=f9b66049-e8d5-49d2-9034-b13f690ee446","http://www.mendeley.com/documents/?uuid=dc5e0773-1562-4dba-8594-e4550238c737"]},{"id":"ITEM-2","itemData":{"DOI":"10.1007/s15010-007-6350-2","ISSN":"03008126","abstract":"Background: Infectious complications occur in most of the patients receiving high-dose therapy (HDT) and autologous hematopoietic stem cell transplantation (HSCT). The objective of the study was to analyze of the type and incidence of infectious complications during neutropenia after HDT and autologous HSCT with respect to risk factors related to stem cell transplant setting in patients treated for hematological malignancies in a single center. Patients and Methods: A total number of 314 patients diagnosed for Hodgkin's disease (HD), non-Hodgkin's lymphoma (NHL), acute myeloid leukemia (AML), multiple myeloma (MM) or acute lymphoblastic leukemia (ALL) were included in the study. Analysis of risk factors and outcome of infections after HDT and autologous HSCT was performed. Results: Infectious complications during neutropenia after HDT occurred in 92.3% patients. Microbiologically documented infections (MDI) accounted for 38.9% of febrile episodes, clinically documented infections (CDI) for 9.3%, and fever of unknown origin (FUO) for 51.7% cases. Median time to defervescence with antibiotic therapy was seven days for FUO and nine days for documented infections (p &lt; 0.001). Duration of infection correlated with the length of very severe neutropenia (p &lt; 0.001). Response to first-line antibiotic therapy was seen in 34% patients. Infections were fatal in 12 (3.8%) patients. The highest probability of infection was observed for ALL and AML patients, especially these conditioned with total body irradiation (TBI). Conclusion: Patients at high risk of infection after autologous HSCT were identified as those with acute leukemia and those after conditioning with TBI, all with prolonged neutropenia. We suggest that newer prophylactic strategies should be administered to these groups of patients. © 2007 Urban &amp; Vogel.","author":[{"dropping-particle":"","family":"Gil","given":"L.","non-dropping-particle":"","parse-names":false,"suffix":""},{"dropping-particle":"","family":"Styczynski","given":"J.","non-dropping-particle":"","parse-names":false,"suffix":""},{"dropping-particle":"","family":"Komarnicki","given":"M.","non-dropping-particle":"","parse-names":false,"suffix":""}],"container-title":"Infection","id":"ITEM-2","issue":"6","issued":{"date-parts":[["2007","12"]]},"page":"421-427","publisher":"Infection","title":"Infectious complication in 314 patients after high-dose therapy and autologous hematopoietic stem cell transplantation: Risk factors analysis and outcome","type":"article-journal","volume":"35"},"uris":["http://www.mendeley.com/documents/?uuid=2484101e-8b0b-3a5f-a697-4baf2d1f00ec","http://www.mendeley.com/documents/?uuid=4b9974a2-0e3e-44ce-ac02-f3dad90354f7","http://www.mendeley.com/documents/?uuid=621597e4-9f72-47a3-98b8-f1cb6c6ec284","http://www.mendeley.com/documents/?uuid=2a53cc22-2809-49ef-869c-a3d053a9fe19","http://www.mendeley.com/documents/?uuid=9f0564c3-3b67-41ba-875e-02194c8b103f","http://www.mendeley.com/documents/?uuid=02c86a55-b501-43b0-aca1-e8355618aa56","http://www.mendeley.com/documents/?uuid=aa713873-711b-4840-84ae-7ab465fc9da8","http://www.mendeley.com/documents/?uuid=7e6ea6ab-47bd-4208-9803-60b645a808e3"]},{"id":"ITEM-3","itemData":{"DOI":"10.1002/ajh.21855","ISSN":"03618609","abstract":"One hundred and fifty-seven patients undergoing high-dose chemotherapy (HDT) and autologous stem-cell transplantation (ASCT) for hematopoietic malignancies and solid tumors were randomly assigned to receive (Group A) or not (Group B) prophylaxis with ciprofloxacin, orally, and vancomycin, intravenously. Prophylactic antibiotics were given from day 0 until resolution of neutropenia or the appearance of a febrile event. Furthermore, patients in both groups received once a day fluconazole, orally. The primary end-point of our study was the incidence of neutropenic febrile episodes attributed to infection. One hundred and twelve (71.3%) patients developed neutropenic fever, 50 (56.2%) in Group A and 62 (91.2%) in Group B (P &lt; 0.001) with the majority (82%) of patients developing fever of unknown origin. Patients on prophylactic antibiotics had a significantly lower rate of bacteremias (5.6%) than did those randomized to no prophylaxis (29.4%) (P = 0.005) and, when developing neutropenic fever, they had a lower probability of response to first-line empirical antibiotics (P = 0.025). Prophylactic administration of ciprofloxacin and vancomycin reduced the incidence of neutropenic fever in patients receiving HDT with ASCT, however, without affecting the total interval of hospitalization, time to engraftment, or all-cause mortality. Therefore, our results do not support the use of antibiotic prophylaxis for patients undergoing HDT and ASCT. © 2010 Wiley-Liss, Inc.","author":[{"dropping-particle":"","family":"Eleutherakis-Papaiakovou","given":"Evangelos","non-dropping-particle":"","parse-names":false,"suffix":""},{"dropping-particle":"","family":"Kostis","given":"Evangelos","non-dropping-particle":"","parse-names":false,"suffix":""},{"dropping-particle":"","family":"Migkou","given":"Magda","non-dropping-particle":"","parse-names":false,"suffix":""},{"dropping-particle":"","family":"Christoulas","given":"Dimitrios","non-dropping-particle":"","parse-names":false,"suffix":""},{"dropping-particle":"","family":"Terpos","given":"Evangelos","non-dropping-particle":"","parse-names":false,"suffix":""},{"dropping-particle":"","family":"Gavriatopoulou","given":"Maria","non-dropping-particle":"","parse-names":false,"suffix":""},{"dropping-particle":"","family":"Roussou","given":"Maria","non-dropping-particle":"","parse-names":false,"suffix":""},{"dropping-particle":"","family":"Bournakis","given":"Evangelos","non-dropping-particle":"","parse-names":false,"suffix":""},{"dropping-particle":"","family":"Kastritis","given":"Efstathios","non-dropping-particle":"","parse-names":false,"suffix":""},{"dropping-particle":"","family":"Efstathiou","given":"Eleni","non-dropping-particle":"","parse-names":false,"suffix":""},{"dropping-particle":"","family":"Dimopoulos","given":"Meletios A.","non-dropping-particle":"","parse-names":false,"suffix":""},{"dropping-particle":"","family":"Papadimitriou","given":"Christos A.","non-dropping-particle":"","parse-names":false,"suffix":""}],"container-title":"American Journal of Hematology","id":"ITEM-3","issue":"11","issued":{"date-parts":[["2010","11"]]},"page":"863-867","publisher":"Am J Hematol","title":"Prophylactic antibiotics for the prevention of neutropenic fever in patients undergoing autologous stem-cell transplantation: Results of a single institution, randomized phase 2 trial","type":"article-journal","volume":"85"},"uris":["http://www.mendeley.com/documents/?uuid=e9c8d6a3-bf24-3a10-be69-dbf56d33e220","http://www.mendeley.com/documents/?uuid=53d1d1c5-dcbb-4103-80be-837e10537355","http://www.mendeley.com/documents/?uuid=6e7642af-251b-4056-bc76-4c25fd6ab0e5","http://www.mendeley.com/documents/?uuid=16f62455-5dc2-4a1d-b988-18db9ac13408","http://www.mendeley.com/documents/?uuid=4c4353f2-c724-4054-bfb5-29023200ae81","http://www.mendeley.com/documents/?uuid=9a4fea57-5691-4c44-8c79-67124536a57e","http://www.mendeley.com/documents/?uuid=dc975761-e88a-4365-8582-efe82fb0848d","http://www.mendeley.com/documents/?uuid=d790a518-2556-405a-9e4a-e8c3041eb741"]},{"id":"ITEM-4","itemData":{"DOI":"10.1007/s00277-013-1698-0","ISSN":"09395555","abstract":"Bacterial infections are the most common cause for treatment-related mortality in patients with neutropenia after chemotherapy. Here, we discuss the use of antibacterial prophylaxis against bacteria and Pneumocystis pneumonia (PCP) in neutropenic cancer patients and offer guidance towards the choice of drug. A literature search was performed to screen all articles published between September 2000 and January 2012 on antibiotic prophylaxis in neutropenic cancer patients. The authors assembled original reports and meta-analysis from the literature and drew conclusions, which were discussed and approved in a consensus conference of the Infectious Disease Working Party of the German Society of Hematology and Oncology (AGIHO). Antibacterial prophylaxis has led to a reduction of febrile events and infections. A significant reduction of overall mortality could only be shown in a meta-analysis. Fluoroquinolones are preferred for antibacterial and trimethoprim-sulfamethoxazole for PCP prophylaxis. Due to serious concerns about an increase of resistant pathogens, only patients at high risk of severe infections should be considered for antibiotic prophylaxis. Risk factors of individual patients and local resistance patterns must be taken into account. Risk factors, choice of drug for antibacterial and PCP prophylaxis and concerns regarding the use of prophylactic antibiotics are discussed in the review. © 2013 The Author(s).","author":[{"dropping-particle":"","family":"Neumann","given":"S.","non-dropping-particle":"","parse-names":false,"suffix":""},{"dropping-particle":"","family":"Krause","given":"S. W.","non-dropping-particle":"","parse-names":false,"suffix":""},{"dropping-particle":"","family":"Maschmeyer","given":"G.","non-dropping-particle":"","parse-names":false,"suffix":""},{"dropping-particle":"","family":"Schiel","given":"X.","non-dropping-particle":"","parse-names":false,"suffix":""},{"dropping-particle":"","family":"Lilienfeld-Toal","given":"M.","non-dropping-particle":"Von","parse-names":false,"suffix":""}],"container-title":"Annals of Hematology","id":"ITEM-4","issue":"4","issued":{"date-parts":[["2013","4"]]},"page":"433-442","publisher":"Ann Hematol","title":"Primary prophylaxis of bacterial infections and Pneumocystis jirovecii pneumonia in patients with hematological malignancies and solid tumors: Guidelines of the Infectious Diseases Working Party (AGIHO) of the German Society of Hematology and Oncology (DG","type":"article","volume":"92"},"uris":["http://www.mendeley.com/documents/?uuid=5d017807-56d5-3c29-9e5b-06adbcf241d7","http://www.mendeley.com/documents/?uuid=0c431f2d-f131-4475-bc03-927c20fc8427","http://www.mendeley.com/documents/?uuid=cb8a28f6-34d3-47b6-aac5-75eae4c6597a","http://www.mendeley.com/documents/?uuid=1da004eb-c4a8-438d-8229-3b75c2c05578","http://www.mendeley.com/documents/?uuid=447ce80b-5ffd-4f72-a842-6d050b4c0058","http://www.mendeley.com/documents/?uuid=75718eaf-f3e7-47ed-a437-a0877b2432c4","http://www.mendeley.com/documents/?uuid=92ffaa87-61f2-4a29-ab3b-0229b7e2d3b0","http://www.mendeley.com/documents/?uuid=300b3a3c-d6fd-4873-aabf-5d8646d68ed5"]},{"id":"ITEM-5","itemData":{"DOI":"10.1007/s15010-018-1200-y","ISSN":"14390973","abstract":"Purpose: In this study, we assessed the incidence, contributing factors and outcome of prolonged neutropenia above 7 days and of bacteraemia in patients with lymphoma and multiple myeloma who underwent autologous haematopoietic stem cell transplantation (AHSCT) without antibacterial prophylaxis. Methods: This is a retrospective chart review of 190 adult patients who underwent AHSCT between 2005 and 2015 at a Lebanese hospital. Results: Neutropenia of 7 days duration and longer was documented in 66% of the patient population. Through univariate analysis, patients with lymphoma were significantly more likely to have prolonged neutropenia (≥ 7 days) compared to those with myeloma. Mucositis above grade 3, diarrhoea and fever were more likely to occur in patients with prolonged neutropenia. Bacteraemia was documented in 12.6% of the patients. Total mortality rate was 3.7%, and that attributed to bacteraemia was 12.5% in the bacteraemia subgroup. Among bacterial isolates recovered from clinical specimens (89 isolates), 70% were Gram-negative, of which 57% were fluoroquinolone susceptible. Ninety-five percent of the Gram-negative bacteria causing bacteraemia were susceptible to fluoroquinolones. Conclusion: Bacterial pathogens causing bacteraemia were still highly susceptible to fluoroquinolones, despite the high prevalence of fluoroquinolone-resistant strains in the general bacterial ecology. Accordingly, the pertinence of fluoroquinolone prophylaxis in the AHSCT setting warrants further investigation. Moreover, continuous surveillance of local antibiograms in this patient population has become a must in an era of preponderant antibiotic resistance.","author":[{"dropping-particle":"","family":"Moghnieh","given":"Rima","non-dropping-particle":"","parse-names":false,"suffix":""},{"dropping-particle":"","family":"Abdallah","given":"Dania","non-dropping-particle":"","parse-names":false,"suffix":""},{"dropping-particle":"","family":"Awad","given":"Lyn","non-dropping-particle":"","parse-names":false,"suffix":""},{"dropping-particle":"","family":"Jisr","given":"Tamima","non-dropping-particle":"","parse-names":false,"suffix":""},{"dropping-particle":"","family":"Mugharbil","given":"Anas","non-dropping-particle":"","parse-names":false,"suffix":""},{"dropping-particle":"","family":"Youssef","given":"Ali","non-dropping-particle":"","parse-names":false,"suffix":""},{"dropping-particle":"","family":"Tamim","given":"Hani","non-dropping-particle":"","parse-names":false,"suffix":""},{"dropping-particle":"","family":"Khaldieh","given":"Samer","non-dropping-particle":"","parse-names":false,"suffix":""},{"dropping-particle":"","family":"Massri","given":"Oula","non-dropping-particle":"","parse-names":false,"suffix":""},{"dropping-particle":"","family":"Rashini","given":"Najat","non-dropping-particle":"","parse-names":false,"suffix":""},{"dropping-particle":"","family":"Hamdan","given":"Youssef","non-dropping-particle":"","parse-names":false,"suffix":""},{"dropping-particle":"","family":"Ibrahim","given":"Ahmad","non-dropping-particle":"","parse-names":false,"suffix":""}],"container-title":"Infection","id":"ITEM-5","issue":"6","issued":{"date-parts":[["2018"]]},"publisher":"Urban und Vogel GmbH","title":"Bacteraemia post-autologous haematopoietic stem cell transplantation in the absence of antibacterial prophylaxis: a decade’s experience from Lebanon","type":"article-journal","volume":"46"},"uris":["http://www.mendeley.com/documents/?uuid=ae672191-2fc7-35b4-bb6f-de9083ec561f","http://www.mendeley.com/documents/?uuid=3eb7eca1-f810-48f1-8c56-0b2d965d8011","http://www.mendeley.com/documents/?uuid=5ebcf890-5e16-4450-9634-3c05a12d76c0","http://www.mendeley.com/documents/?uuid=853c0c3e-4b77-4603-bf23-18587d4490b6","http://www.mendeley.com/documents/?uuid=26920eda-53a6-4a84-9487-903994067277","http://www.mendeley.com/documents/?uuid=dd8b341d-4c23-4bd9-9d5d-3dceeb3afe7c","http://www.mendeley.com/documents/?uuid=994064a7-7ad5-46d6-af07-2b010e03da9d","http://www.mendeley.com/documents/?uuid=fcf50596-2552-44da-a965-28f05137efeb"]}],"mendeley":{"formattedCitation":"[254–258]","plainTextFormattedCitation":"[254–258]","previouslyFormattedCitation":"[254–258]"},"properties":{"noteIndex":0},"schema":"https://github.com/citation-style-language/schema/raw/master/csl-citation.json"}</w:instrText>
      </w:r>
      <w:r w:rsidRPr="00BA4F0F">
        <w:fldChar w:fldCharType="separate"/>
      </w:r>
      <w:r w:rsidR="006E1ADA" w:rsidRPr="006E1ADA">
        <w:rPr>
          <w:noProof/>
        </w:rPr>
        <w:t>[254–258]</w:t>
      </w:r>
      <w:r w:rsidRPr="00BA4F0F">
        <w:fldChar w:fldCharType="end"/>
      </w:r>
      <w:r w:rsidRPr="00BA4F0F">
        <w:t>.</w:t>
      </w:r>
    </w:p>
    <w:p w14:paraId="12DBA849" w14:textId="77777777" w:rsidR="001F2346" w:rsidRPr="00BA4F0F" w:rsidRDefault="001F2346" w:rsidP="001F2346">
      <w:pPr>
        <w:tabs>
          <w:tab w:val="left" w:pos="0"/>
          <w:tab w:val="left" w:pos="567"/>
        </w:tabs>
        <w:ind w:firstLine="709"/>
      </w:pPr>
      <w:r w:rsidRPr="00BA4F0F">
        <w:t>Основными факторами, определяющими развитие инфекций у иммунокомпрометированных больных, являются нейтропения (глубина, длительность и быстрота развития), нарушения клеточного и гуморального иммунитета, повреждение слизистой желудочно-кишечного тракта, наличие центрального венозного катетера (ЦВК).</w:t>
      </w:r>
    </w:p>
    <w:p w14:paraId="0FD3A900" w14:textId="02F05069" w:rsidR="001F2346" w:rsidRPr="00BA4F0F" w:rsidRDefault="001F2346" w:rsidP="001F2346">
      <w:pPr>
        <w:tabs>
          <w:tab w:val="left" w:pos="0"/>
          <w:tab w:val="left" w:pos="567"/>
        </w:tabs>
        <w:ind w:firstLine="709"/>
      </w:pPr>
      <w:r w:rsidRPr="00BA4F0F">
        <w:t xml:space="preserve">Наиболее высокая частота инфекционных осложнений наблюдается у больных с длительностью нейтропении от 10 дней и более </w:t>
      </w:r>
      <w:r w:rsidRPr="00BA4F0F">
        <w:fldChar w:fldCharType="begin" w:fldLock="1"/>
      </w:r>
      <w:r w:rsidR="002736BA">
        <w:instrText>ADDIN CSL_CITATION {"citationItems":[{"id":"ITEM-1","itemData":{"DOI":"10.1007/s15010-018-1200-y","ISSN":"14390973","abstract":"Purpose: In this study, we assessed the incidence, contributing factors and outcome of prolonged neutropenia above 7 days and of bacteraemia in patients with lymphoma and multiple myeloma who underwent autologous haematopoietic stem cell transplantation (AHSCT) without antibacterial prophylaxis. Methods: This is a retrospective chart review of 190 adult patients who underwent AHSCT between 2005 and 2015 at a Lebanese hospital. Results: Neutropenia of 7 days duration and longer was documented in 66% of the patient population. Through univariate analysis, patients with lymphoma were significantly more likely to have prolonged neutropenia (≥ 7 days) compared to those with myeloma. Mucositis above grade 3, diarrhoea and fever were more likely to occur in patients with prolonged neutropenia. Bacteraemia was documented in 12.6% of the patients. Total mortality rate was 3.7%, and that attributed to bacteraemia was 12.5% in the bacteraemia subgroup. Among bacterial isolates recovered from clinical specimens (89 isolates), 70% were Gram-negative, of which 57% were fluoroquinolone susceptible. Ninety-five percent of the Gram-negative bacteria causing bacteraemia were susceptible to fluoroquinolones. Conclusion: Bacterial pathogens causing bacteraemia were still highly susceptible to fluoroquinolones, despite the high prevalence of fluoroquinolone-resistant strains in the general bacterial ecology. Accordingly, the pertinence of fluoroquinolone prophylaxis in the AHSCT setting warrants further investigation. Moreover, continuous surveillance of local antibiograms in this patient population has become a must in an era of preponderant antibiotic resistance.","author":[{"dropping-particle":"","family":"Moghnieh","given":"Rima","non-dropping-particle":"","parse-names":false,"suffix":""},{"dropping-particle":"","family":"Abdallah","given":"Dania","non-dropping-particle":"","parse-names":false,"suffix":""},{"dropping-particle":"","family":"Awad","given":"Lyn","non-dropping-particle":"","parse-names":false,"suffix":""},{"dropping-particle":"","family":"Jisr","given":"Tamima","non-dropping-particle":"","parse-names":false,"suffix":""},{"dropping-particle":"","family":"Mugharbil","given":"Anas","non-dropping-particle":"","parse-names":false,"suffix":""},{"dropping-particle":"","family":"Youssef","given":"Ali","non-dropping-particle":"","parse-names":false,"suffix":""},{"dropping-particle":"","family":"Tamim","given":"Hani","non-dropping-particle":"","parse-names":false,"suffix":""},{"dropping-particle":"","family":"Khaldieh","given":"Samer","non-dropping-particle":"","parse-names":false,"suffix":""},{"dropping-particle":"","family":"Massri","given":"Oula","non-dropping-particle":"","parse-names":false,"suffix":""},{"dropping-particle":"","family":"Rashini","given":"Najat","non-dropping-particle":"","parse-names":false,"suffix":""},{"dropping-particle":"","family":"Hamdan","given":"Youssef","non-dropping-particle":"","parse-names":false,"suffix":""},{"dropping-particle":"","family":"Ibrahim","given":"Ahmad","non-dropping-particle":"","parse-names":false,"suffix":""}],"container-title":"Infection","id":"ITEM-1","issue":"6","issued":{"date-parts":[["2018"]]},"publisher":"Urban und Vogel GmbH","title":"Bacteraemia post-autologous haematopoietic stem cell transplantation in the absence of antibacterial prophylaxis: a decade’s experience from Lebanon","type":"article-journal","volume":"46"},"uris":["http://www.mendeley.com/documents/?uuid=fcf50596-2552-44da-a965-28f05137efeb","http://www.mendeley.com/documents/?uuid=994064a7-7ad5-46d6-af07-2b010e03da9d","http://www.mendeley.com/documents/?uuid=dd8b341d-4c23-4bd9-9d5d-3dceeb3afe7c","http://www.mendeley.com/documents/?uuid=26920eda-53a6-4a84-9487-903994067277","http://www.mendeley.com/documents/?uuid=853c0c3e-4b77-4603-bf23-18587d4490b6","http://www.mendeley.com/documents/?uuid=5ebcf890-5e16-4450-9634-3c05a12d76c0","http://www.mendeley.com/documents/?uuid=3eb7eca1-f810-48f1-8c56-0b2d965d8011","http://www.mendeley.com/documents/?uuid=ae672191-2fc7-35b4-bb6f-de9083ec561f"]}],"mendeley":{"formattedCitation":"[258]","plainTextFormattedCitation":"[258]","previouslyFormattedCitation":"[258]"},"properties":{"noteIndex":0},"schema":"https://github.com/citation-style-language/schema/raw/master/csl-citation.json"}</w:instrText>
      </w:r>
      <w:r w:rsidRPr="00BA4F0F">
        <w:fldChar w:fldCharType="separate"/>
      </w:r>
      <w:r w:rsidR="006E1ADA" w:rsidRPr="006E1ADA">
        <w:rPr>
          <w:noProof/>
        </w:rPr>
        <w:t>[258]</w:t>
      </w:r>
      <w:r w:rsidRPr="00BA4F0F">
        <w:fldChar w:fldCharType="end"/>
      </w:r>
      <w:r w:rsidRPr="00BA4F0F">
        <w:t>.</w:t>
      </w:r>
    </w:p>
    <w:p w14:paraId="46072C7B" w14:textId="1A95581E" w:rsidR="001F2346" w:rsidRPr="00BA4F0F" w:rsidRDefault="001F2346" w:rsidP="001F2346">
      <w:pPr>
        <w:tabs>
          <w:tab w:val="left" w:pos="0"/>
          <w:tab w:val="left" w:pos="567"/>
        </w:tabs>
        <w:ind w:firstLine="709"/>
      </w:pPr>
      <w:r w:rsidRPr="00BA4F0F">
        <w:t xml:space="preserve">Клинические проявления инфекционного процесса у этой категории пациентов, особенно в период нейтропении, крайне скудные. Ранее лихорадка неясной этиологии (повышение температуры тела без каких-либо других проявлений инфекции) являлась наиболее частым проявлением фебрильной нейтропении (≈ 50% случаев) </w:t>
      </w:r>
      <w:r w:rsidRPr="00BA4F0F">
        <w:fldChar w:fldCharType="begin" w:fldLock="1"/>
      </w:r>
      <w:r w:rsidR="002736BA">
        <w:instrText>ADDIN CSL_CITATION {"citationItems":[{"id":"ITEM-1","itemData":{"author":[{"dropping-particle":"","family":"Клясова","given":"Г.А.","non-dropping-particle":"","parse-names":false,"suffix":""},{"dropping-particle":"","family":"Савченко","given":"В.Г.","non-dropping-particle":"","parse-names":false,"suffix":""},{"dropping-particle":"","family":"Паровичникова","given":"Е.Н.","non-dropping-particle":"","parse-names":false,"suffix":""},{"dropping-particle":"","family":"Исаев","given":"В.Г.","non-dropping-particle":"","parse-names":false,"suffix":""},{"dropping-particle":"","family":"Толкачева","given":"Т.В.","non-dropping-particle":"","parse-names":false,"suffix":""},{"dropping-particle":"","family":"Маслова","given":"Е.Р.","non-dropping-particle":"","parse-names":false,"suffix":""}],"container-title":"Терапевтический архив","id":"ITEM-1","issue":"7","issued":{"date-parts":[["1998"]]},"page":"15-21","title":"Эмпирическая антимикробная терапия у больных острыми лейкозами: итоги многоцентрового исследования","type":"article-journal","volume":"70"},"uris":["http://www.mendeley.com/documents/?uuid=8c0ade5e-966e-4a67-abb0-83bf29a0c9b4"]}],"mendeley":{"formattedCitation":"[259]","plainTextFormattedCitation":"[259]","previouslyFormattedCitation":"[259]"},"properties":{"noteIndex":0},"schema":"https://github.com/citation-style-language/schema/raw/master/csl-citation.json"}</w:instrText>
      </w:r>
      <w:r w:rsidRPr="00BA4F0F">
        <w:fldChar w:fldCharType="separate"/>
      </w:r>
      <w:r w:rsidR="006E1ADA" w:rsidRPr="006E1ADA">
        <w:rPr>
          <w:noProof/>
        </w:rPr>
        <w:t>[259]</w:t>
      </w:r>
      <w:r w:rsidRPr="00BA4F0F">
        <w:fldChar w:fldCharType="end"/>
      </w:r>
      <w:r w:rsidRPr="00BA4F0F">
        <w:t>.</w:t>
      </w:r>
    </w:p>
    <w:p w14:paraId="1C424F77" w14:textId="77777777" w:rsidR="001F2346" w:rsidRPr="00BA4F0F" w:rsidRDefault="001F2346" w:rsidP="001F2346">
      <w:pPr>
        <w:tabs>
          <w:tab w:val="left" w:pos="0"/>
          <w:tab w:val="left" w:pos="567"/>
        </w:tabs>
        <w:ind w:firstLine="709"/>
      </w:pPr>
      <w:r w:rsidRPr="00BA4F0F">
        <w:t xml:space="preserve">Микробиологически и клинически доказанные инфекции встречались реже. К клинически доказанным инфекциям относят те, которые удается верифицировать с помощью физикальных или инструментальных методов диагностики при отсутствии микробиологического подтверждения. Микробиологическим подтверждением наличия инфекции в период гранулоцитопении в большинстве случаев является выделение микроорганизмов из гемокультуры. </w:t>
      </w:r>
    </w:p>
    <w:p w14:paraId="36EF4779" w14:textId="77777777" w:rsidR="001F2346" w:rsidRPr="00BA4F0F" w:rsidRDefault="001F2346" w:rsidP="001F2346">
      <w:pPr>
        <w:tabs>
          <w:tab w:val="left" w:pos="0"/>
          <w:tab w:val="left" w:pos="567"/>
        </w:tabs>
        <w:ind w:firstLine="709"/>
      </w:pPr>
      <w:r w:rsidRPr="00BA4F0F">
        <w:t xml:space="preserve">В последнее время возможности по диагностике инфекционных осложнений существенно расширились как за счет внедрения новых и совершенствования ранее используемых методов, так и сокращения времени исследования в микробиологии благодаря введению в лабораторную практику автоматических анализаторов и новых технологий дли идентификации микроорганизмов. </w:t>
      </w:r>
    </w:p>
    <w:p w14:paraId="1495AC20" w14:textId="77777777" w:rsidR="001F2346" w:rsidRPr="00BA4F0F" w:rsidRDefault="001F2346" w:rsidP="001F2346">
      <w:pPr>
        <w:tabs>
          <w:tab w:val="left" w:pos="0"/>
          <w:tab w:val="left" w:pos="567"/>
        </w:tabs>
        <w:ind w:firstLine="709"/>
      </w:pPr>
      <w:r w:rsidRPr="00BA4F0F">
        <w:t xml:space="preserve">В первые сутки, как правило, единственным симптомом бывает лишь повышение температуры, а информацию о бактериемии или пневмонии у больных с нейтропенией удается получить не раньше, чем на второй день инфекционного эпизода. В связи с этим основным принципом терапии инфекционных осложнений у больных с фебрильной нейтропенией является эмпирический подход к назначению антибактериальных </w:t>
      </w:r>
      <w:r w:rsidRPr="00BA4F0F">
        <w:lastRenderedPageBreak/>
        <w:t xml:space="preserve">препаратов, когда их применяют при первых признаках инфекции, при лихорадке до идентификации возбудителей инфекции. В то же время эмпирический подход к назначению антибиотиков является относительным, поскольку выбор антимикробных препаратов определяется ретроспективным анализом верифицированных возбудителей и их антибиотикочувствительностью. </w:t>
      </w:r>
    </w:p>
    <w:p w14:paraId="4CF8FFD2" w14:textId="77777777" w:rsidR="001F2346" w:rsidRPr="00BA4F0F" w:rsidRDefault="001F2346" w:rsidP="001F2346">
      <w:pPr>
        <w:pStyle w:val="afe"/>
        <w:ind w:left="0"/>
        <w:rPr>
          <w:rFonts w:cs="Times New Roman"/>
          <w:szCs w:val="24"/>
          <w:u w:val="single"/>
        </w:rPr>
      </w:pPr>
    </w:p>
    <w:p w14:paraId="077AFDF9" w14:textId="15AF80C5" w:rsidR="001F2346" w:rsidRPr="00BA4F0F" w:rsidRDefault="001F2346" w:rsidP="001F2346">
      <w:pPr>
        <w:pStyle w:val="afe"/>
        <w:ind w:left="0"/>
        <w:rPr>
          <w:rFonts w:cs="Times New Roman"/>
          <w:szCs w:val="24"/>
          <w:u w:val="single"/>
        </w:rPr>
      </w:pPr>
      <w:r w:rsidRPr="00BA4F0F">
        <w:rPr>
          <w:rFonts w:cs="Times New Roman"/>
          <w:szCs w:val="24"/>
          <w:u w:val="single"/>
        </w:rPr>
        <w:t xml:space="preserve">Диагностические исследования, проводимые при лихорадке у больных гемобластозами </w:t>
      </w:r>
      <w:r w:rsidRPr="00BA4F0F">
        <w:rPr>
          <w:rFonts w:cs="Times New Roman"/>
          <w:szCs w:val="24"/>
          <w:u w:val="single"/>
        </w:rPr>
        <w:fldChar w:fldCharType="begin" w:fldLock="1"/>
      </w:r>
      <w:r w:rsidR="002736BA">
        <w:rPr>
          <w:rFonts w:cs="Times New Roman"/>
          <w:szCs w:val="24"/>
          <w:u w:val="single"/>
        </w:rPr>
        <w:instrText>ADDIN CSL_CITATION {"citationItems":[{"id":"ITEM-1","itemData":{"author":[{"dropping-particle":"","family":"Савченко В.Г. и др","given":"","non-dropping-particle":"","parse-names":false,"suffix":""}],"id":"ITEM-1","issued":{"date-parts":[["2018"]]},"number-of-pages":"1008","publisher":"Практика","publisher-place":"Москва","title":"Алгоритмы диагностики и протоколы лечения заболеваний системы крови.","type":"book"},"uris":["http://www.mendeley.com/documents/?uuid=f91ae641-8062-4f5f-b416-94b015742043","http://www.mendeley.com/documents/?uuid=c0eae3a3-34ee-40e1-8813-566cb7fa2b4a","http://www.mendeley.com/documents/?uuid=9cac36ab-7685-4894-b1cb-f141a1797526","http://www.mendeley.com/documents/?uuid=478d6ce1-e425-4912-87db-adfee39f1ce9","http://www.mendeley.com/documents/?uuid=a1e2f5d6-ef05-4351-9481-13fad4fd103b","http://www.mendeley.com/documents/?uuid=26da25a5-bd21-4509-8e88-e4e6744fab98","http://www.mendeley.com/documents/?uuid=fe583573-532c-46dc-b4f4-f9d01345e27c","http://www.mendeley.com/documents/?uuid=2cd270b2-efaf-4da9-a95d-66324661ea35"]}],"mendeley":{"formattedCitation":"[260]","plainTextFormattedCitation":"[260]","previouslyFormattedCitation":"[260]"},"properties":{"noteIndex":0},"schema":"https://github.com/citation-style-language/schema/raw/master/csl-citation.json"}</w:instrText>
      </w:r>
      <w:r w:rsidRPr="00BA4F0F">
        <w:rPr>
          <w:rFonts w:cs="Times New Roman"/>
          <w:szCs w:val="24"/>
          <w:u w:val="single"/>
        </w:rPr>
        <w:fldChar w:fldCharType="separate"/>
      </w:r>
      <w:r w:rsidR="006E1ADA" w:rsidRPr="006E1ADA">
        <w:rPr>
          <w:rFonts w:cs="Times New Roman"/>
          <w:noProof/>
          <w:szCs w:val="24"/>
        </w:rPr>
        <w:t>[260]</w:t>
      </w:r>
      <w:r w:rsidRPr="00BA4F0F">
        <w:rPr>
          <w:rFonts w:cs="Times New Roman"/>
          <w:szCs w:val="24"/>
          <w:u w:val="single"/>
        </w:rPr>
        <w:fldChar w:fldCharType="end"/>
      </w:r>
    </w:p>
    <w:p w14:paraId="146DF567" w14:textId="77777777" w:rsidR="001F2346" w:rsidRPr="00BA4F0F" w:rsidRDefault="001F2346" w:rsidP="001F2346">
      <w:pPr>
        <w:tabs>
          <w:tab w:val="left" w:pos="0"/>
          <w:tab w:val="left" w:pos="567"/>
        </w:tabs>
        <w:ind w:firstLine="709"/>
      </w:pPr>
      <w:r w:rsidRPr="00BA4F0F">
        <w:t>Во всех случаях инфекционного процесса следует активно проводить диагностику, направленную на выявление, как очагов инфекции, так и этиологических агентов.</w:t>
      </w:r>
    </w:p>
    <w:p w14:paraId="596C2FE2" w14:textId="77777777" w:rsidR="001F2346" w:rsidRPr="00BA4F0F" w:rsidRDefault="001F2346" w:rsidP="001F2346">
      <w:pPr>
        <w:tabs>
          <w:tab w:val="left" w:pos="0"/>
          <w:tab w:val="left" w:pos="567"/>
        </w:tabs>
        <w:ind w:firstLine="709"/>
      </w:pPr>
      <w:r w:rsidRPr="00BA4F0F">
        <w:t>При подозрении на инфекцию образцы клинического материала от больных должны быть взяты незамедлительно. Особо следует подчеркнуть необходимость пристального внимания и проведения тщательных микробиологических исследований у больных, принимающих глюкокортикоиды, и у лиц пожилого возраста.</w:t>
      </w:r>
    </w:p>
    <w:p w14:paraId="2675C52C" w14:textId="77777777" w:rsidR="001F2346" w:rsidRPr="00BA4F0F" w:rsidRDefault="001F2346" w:rsidP="001F2346">
      <w:pPr>
        <w:tabs>
          <w:tab w:val="left" w:pos="0"/>
          <w:tab w:val="left" w:pos="567"/>
        </w:tabs>
        <w:ind w:firstLine="709"/>
      </w:pPr>
      <w:r w:rsidRPr="00BA4F0F">
        <w:t xml:space="preserve">У этой группы пациентов септицемия может протекать без температуры, что бывает у 70% тяжелобольных в возрасте от 66 лет и старше, или лихорадка может быть лишь субфебрильной. </w:t>
      </w:r>
    </w:p>
    <w:p w14:paraId="0F19FB2F" w14:textId="77777777" w:rsidR="001F2346" w:rsidRPr="00BA4F0F" w:rsidRDefault="001F2346" w:rsidP="001F2346">
      <w:pPr>
        <w:tabs>
          <w:tab w:val="left" w:pos="0"/>
          <w:tab w:val="left" w:pos="567"/>
        </w:tabs>
        <w:ind w:firstLine="709"/>
      </w:pPr>
    </w:p>
    <w:p w14:paraId="72C5F783" w14:textId="6C36FA70" w:rsidR="001F2346" w:rsidRPr="00BA4F0F" w:rsidRDefault="001F2346" w:rsidP="001F2346">
      <w:pPr>
        <w:tabs>
          <w:tab w:val="left" w:pos="284"/>
        </w:tabs>
      </w:pPr>
      <w:r w:rsidRPr="006E1ADA">
        <w:t>Таблица 1</w:t>
      </w:r>
      <w:r w:rsidR="006E1ADA" w:rsidRPr="006E1ADA">
        <w:t>1</w:t>
      </w:r>
      <w:r w:rsidRPr="006E1ADA">
        <w:t>. Алгоритм диагностики инфекционных осложнений у больных гемобластозами в период ауто-ТГСК.</w:t>
      </w:r>
    </w:p>
    <w:tbl>
      <w:tblPr>
        <w:tblStyle w:val="aff9"/>
        <w:tblW w:w="0" w:type="auto"/>
        <w:tblInd w:w="108" w:type="dxa"/>
        <w:tblLook w:val="04A0" w:firstRow="1" w:lastRow="0" w:firstColumn="1" w:lastColumn="0" w:noHBand="0" w:noVBand="1"/>
      </w:tblPr>
      <w:tblGrid>
        <w:gridCol w:w="4557"/>
        <w:gridCol w:w="4681"/>
      </w:tblGrid>
      <w:tr w:rsidR="001F2346" w:rsidRPr="00BA4F0F" w14:paraId="53809231" w14:textId="77777777" w:rsidTr="002D3EBF">
        <w:tc>
          <w:tcPr>
            <w:tcW w:w="4677" w:type="dxa"/>
          </w:tcPr>
          <w:p w14:paraId="2FB55AB2" w14:textId="77777777" w:rsidR="001F2346" w:rsidRPr="00BA4F0F" w:rsidRDefault="001F2346" w:rsidP="002D3EBF">
            <w:pPr>
              <w:tabs>
                <w:tab w:val="left" w:pos="176"/>
              </w:tabs>
              <w:ind w:left="34"/>
            </w:pPr>
            <w:r w:rsidRPr="00BA4F0F">
              <w:t>Показания</w:t>
            </w:r>
          </w:p>
        </w:tc>
        <w:tc>
          <w:tcPr>
            <w:tcW w:w="4786" w:type="dxa"/>
          </w:tcPr>
          <w:p w14:paraId="5B652D1D" w14:textId="77777777" w:rsidR="001F2346" w:rsidRPr="00BA4F0F" w:rsidRDefault="001F2346" w:rsidP="002D3EBF">
            <w:pPr>
              <w:tabs>
                <w:tab w:val="left" w:pos="34"/>
              </w:tabs>
              <w:ind w:left="35"/>
            </w:pPr>
            <w:r w:rsidRPr="00BA4F0F">
              <w:t>Исследование</w:t>
            </w:r>
          </w:p>
        </w:tc>
      </w:tr>
      <w:tr w:rsidR="001F2346" w:rsidRPr="00BA4F0F" w14:paraId="70D376ED" w14:textId="77777777" w:rsidTr="002D3EBF">
        <w:tc>
          <w:tcPr>
            <w:tcW w:w="4677" w:type="dxa"/>
          </w:tcPr>
          <w:p w14:paraId="067547C8" w14:textId="77777777" w:rsidR="001F2346" w:rsidRPr="00BA4F0F" w:rsidRDefault="001F2346" w:rsidP="002D3EBF">
            <w:pPr>
              <w:tabs>
                <w:tab w:val="left" w:pos="176"/>
                <w:tab w:val="left" w:pos="284"/>
              </w:tabs>
              <w:ind w:left="34"/>
            </w:pPr>
            <w:r w:rsidRPr="00BA4F0F">
              <w:t>Температура ≥38</w:t>
            </w:r>
            <w:r w:rsidRPr="00BA4F0F">
              <w:rPr>
                <w:vertAlign w:val="superscript"/>
              </w:rPr>
              <w:t>о</w:t>
            </w:r>
            <w:r w:rsidRPr="00BA4F0F">
              <w:t>С, впервые возникшая</w:t>
            </w:r>
          </w:p>
        </w:tc>
        <w:tc>
          <w:tcPr>
            <w:tcW w:w="4786" w:type="dxa"/>
          </w:tcPr>
          <w:p w14:paraId="5C4F7F4C" w14:textId="77777777" w:rsidR="001F2346" w:rsidRPr="00BA4F0F" w:rsidRDefault="001F2346" w:rsidP="002D3EBF">
            <w:pPr>
              <w:tabs>
                <w:tab w:val="left" w:pos="34"/>
              </w:tabs>
              <w:ind w:left="35"/>
            </w:pPr>
            <w:r w:rsidRPr="00BA4F0F">
              <w:t>Взятие крови в 2 флакона для гемокультуры (вена-катетер или вена-вена).</w:t>
            </w:r>
          </w:p>
        </w:tc>
      </w:tr>
      <w:tr w:rsidR="001F2346" w:rsidRPr="00BA4F0F" w14:paraId="7B78D091" w14:textId="77777777" w:rsidTr="002D3EBF">
        <w:tc>
          <w:tcPr>
            <w:tcW w:w="4677" w:type="dxa"/>
          </w:tcPr>
          <w:p w14:paraId="7B8646A6" w14:textId="77777777" w:rsidR="001F2346" w:rsidRPr="00BA4F0F" w:rsidRDefault="001F2346" w:rsidP="002D3EBF">
            <w:pPr>
              <w:tabs>
                <w:tab w:val="left" w:pos="176"/>
                <w:tab w:val="left" w:pos="284"/>
              </w:tabs>
              <w:ind w:left="34"/>
            </w:pPr>
            <w:r w:rsidRPr="00BA4F0F">
              <w:t>Температура ≥38</w:t>
            </w:r>
            <w:r w:rsidRPr="00BA4F0F">
              <w:rPr>
                <w:vertAlign w:val="superscript"/>
              </w:rPr>
              <w:t>о</w:t>
            </w:r>
            <w:r w:rsidRPr="00BA4F0F">
              <w:t>С в течение ≥5 дней и нейтропения</w:t>
            </w:r>
          </w:p>
        </w:tc>
        <w:tc>
          <w:tcPr>
            <w:tcW w:w="4786" w:type="dxa"/>
          </w:tcPr>
          <w:p w14:paraId="69514583" w14:textId="77777777" w:rsidR="001F2346" w:rsidRPr="00BA4F0F" w:rsidRDefault="001F2346" w:rsidP="002D3EBF">
            <w:pPr>
              <w:tabs>
                <w:tab w:val="left" w:pos="34"/>
              </w:tabs>
              <w:ind w:left="35"/>
            </w:pPr>
            <w:r w:rsidRPr="00BA4F0F">
              <w:t xml:space="preserve">Повторное взятие крови для гемокультуры 1 раз в неделю. </w:t>
            </w:r>
          </w:p>
          <w:p w14:paraId="6DE4B27D" w14:textId="77777777" w:rsidR="001F2346" w:rsidRPr="00BA4F0F" w:rsidRDefault="001F2346" w:rsidP="002D3EBF">
            <w:pPr>
              <w:tabs>
                <w:tab w:val="left" w:pos="34"/>
              </w:tabs>
              <w:ind w:left="35"/>
            </w:pPr>
            <w:r w:rsidRPr="00BA4F0F">
              <w:t xml:space="preserve">Микробиологическое исследование мочи. </w:t>
            </w:r>
          </w:p>
          <w:p w14:paraId="79A067EF" w14:textId="77777777" w:rsidR="001F2346" w:rsidRPr="00BA4F0F" w:rsidRDefault="001F2346" w:rsidP="002D3EBF">
            <w:pPr>
              <w:tabs>
                <w:tab w:val="left" w:pos="34"/>
              </w:tabs>
              <w:ind w:left="35"/>
            </w:pPr>
            <w:r w:rsidRPr="00BA4F0F">
              <w:t xml:space="preserve">КТ легких. </w:t>
            </w:r>
          </w:p>
          <w:p w14:paraId="19C025DA" w14:textId="77777777" w:rsidR="001F2346" w:rsidRPr="00BA4F0F" w:rsidRDefault="001F2346" w:rsidP="002D3EBF">
            <w:pPr>
              <w:tabs>
                <w:tab w:val="left" w:pos="34"/>
              </w:tabs>
              <w:ind w:left="35"/>
            </w:pPr>
            <w:r w:rsidRPr="00BA4F0F">
              <w:t>Мазок со слизистой оболочки кишечника.</w:t>
            </w:r>
          </w:p>
        </w:tc>
      </w:tr>
      <w:tr w:rsidR="001F2346" w:rsidRPr="00BA4F0F" w14:paraId="211AFA7B" w14:textId="77777777" w:rsidTr="002D3EBF">
        <w:tc>
          <w:tcPr>
            <w:tcW w:w="4677" w:type="dxa"/>
          </w:tcPr>
          <w:p w14:paraId="64E6499A" w14:textId="77777777" w:rsidR="001F2346" w:rsidRPr="00BA4F0F" w:rsidRDefault="001F2346" w:rsidP="002D3EBF">
            <w:pPr>
              <w:tabs>
                <w:tab w:val="left" w:pos="176"/>
                <w:tab w:val="left" w:pos="284"/>
              </w:tabs>
              <w:ind w:left="34"/>
            </w:pPr>
            <w:r w:rsidRPr="00BA4F0F">
              <w:t>Температура ≥38</w:t>
            </w:r>
            <w:r w:rsidRPr="00BA4F0F">
              <w:rPr>
                <w:vertAlign w:val="superscript"/>
              </w:rPr>
              <w:t>о</w:t>
            </w:r>
            <w:r w:rsidRPr="00BA4F0F">
              <w:t>С, длительная, сохраняется после выхода из нейтропении</w:t>
            </w:r>
          </w:p>
        </w:tc>
        <w:tc>
          <w:tcPr>
            <w:tcW w:w="4786" w:type="dxa"/>
          </w:tcPr>
          <w:p w14:paraId="71A28DC1" w14:textId="77777777" w:rsidR="001F2346" w:rsidRPr="00BA4F0F" w:rsidRDefault="001F2346" w:rsidP="002D3EBF">
            <w:pPr>
              <w:tabs>
                <w:tab w:val="left" w:pos="34"/>
              </w:tabs>
              <w:ind w:left="35"/>
            </w:pPr>
            <w:r w:rsidRPr="00BA4F0F">
              <w:t xml:space="preserve">УЗИ брюшной полости. </w:t>
            </w:r>
          </w:p>
          <w:p w14:paraId="04252C23" w14:textId="77777777" w:rsidR="001F2346" w:rsidRPr="00BA4F0F" w:rsidRDefault="001F2346" w:rsidP="002D3EBF">
            <w:pPr>
              <w:tabs>
                <w:tab w:val="left" w:pos="34"/>
              </w:tabs>
              <w:ind w:left="35"/>
            </w:pPr>
            <w:r w:rsidRPr="00BA4F0F">
              <w:t xml:space="preserve">Определение антигена </w:t>
            </w:r>
            <w:r w:rsidRPr="00BA4F0F">
              <w:rPr>
                <w:i/>
                <w:lang w:val="en-US"/>
              </w:rPr>
              <w:t>Candida</w:t>
            </w:r>
            <w:r w:rsidRPr="00BA4F0F">
              <w:t xml:space="preserve"> (маннан) и антител </w:t>
            </w:r>
            <w:r w:rsidRPr="00BA4F0F">
              <w:rPr>
                <w:i/>
                <w:lang w:val="en-US"/>
              </w:rPr>
              <w:t>Candida</w:t>
            </w:r>
            <w:r w:rsidRPr="00BA4F0F">
              <w:t xml:space="preserve"> (антиманнан) в крови.</w:t>
            </w:r>
          </w:p>
        </w:tc>
      </w:tr>
      <w:tr w:rsidR="001F2346" w:rsidRPr="00BA4F0F" w14:paraId="32D07438" w14:textId="77777777" w:rsidTr="002D3EBF">
        <w:tc>
          <w:tcPr>
            <w:tcW w:w="4677" w:type="dxa"/>
          </w:tcPr>
          <w:p w14:paraId="23080A44" w14:textId="77777777" w:rsidR="001F2346" w:rsidRPr="00BA4F0F" w:rsidRDefault="001F2346" w:rsidP="002D3EBF">
            <w:pPr>
              <w:tabs>
                <w:tab w:val="left" w:pos="176"/>
                <w:tab w:val="left" w:pos="284"/>
              </w:tabs>
              <w:ind w:left="34"/>
            </w:pPr>
            <w:r w:rsidRPr="00BA4F0F">
              <w:t>Катетер-ассоциированная инфекция</w:t>
            </w:r>
          </w:p>
        </w:tc>
        <w:tc>
          <w:tcPr>
            <w:tcW w:w="4786" w:type="dxa"/>
          </w:tcPr>
          <w:p w14:paraId="067E946B" w14:textId="77777777" w:rsidR="001F2346" w:rsidRPr="00BA4F0F" w:rsidRDefault="001F2346" w:rsidP="002D3EBF">
            <w:pPr>
              <w:tabs>
                <w:tab w:val="left" w:pos="34"/>
              </w:tabs>
              <w:ind w:left="35"/>
            </w:pPr>
            <w:r w:rsidRPr="00BA4F0F">
              <w:t xml:space="preserve">Взятие одновременно гемокультуры из вены и ЦВК. </w:t>
            </w:r>
          </w:p>
          <w:p w14:paraId="41108BD0" w14:textId="77777777" w:rsidR="001F2346" w:rsidRPr="00BA4F0F" w:rsidRDefault="001F2346" w:rsidP="002D3EBF">
            <w:pPr>
              <w:tabs>
                <w:tab w:val="left" w:pos="34"/>
              </w:tabs>
              <w:ind w:left="35"/>
            </w:pPr>
            <w:r w:rsidRPr="00BA4F0F">
              <w:lastRenderedPageBreak/>
              <w:t>При подтверждении необходимо удалить ЦВК .</w:t>
            </w:r>
          </w:p>
        </w:tc>
      </w:tr>
      <w:tr w:rsidR="001F2346" w:rsidRPr="00BA4F0F" w14:paraId="68319DD1" w14:textId="77777777" w:rsidTr="002D3EBF">
        <w:tc>
          <w:tcPr>
            <w:tcW w:w="4677" w:type="dxa"/>
          </w:tcPr>
          <w:p w14:paraId="02075107" w14:textId="77777777" w:rsidR="001F2346" w:rsidRPr="00BA4F0F" w:rsidRDefault="001F2346" w:rsidP="002D3EBF">
            <w:pPr>
              <w:tabs>
                <w:tab w:val="left" w:pos="176"/>
                <w:tab w:val="left" w:pos="284"/>
              </w:tabs>
              <w:ind w:left="34"/>
            </w:pPr>
            <w:r w:rsidRPr="00BA4F0F">
              <w:lastRenderedPageBreak/>
              <w:t>Нейтропения более 10 дней</w:t>
            </w:r>
          </w:p>
        </w:tc>
        <w:tc>
          <w:tcPr>
            <w:tcW w:w="4786" w:type="dxa"/>
          </w:tcPr>
          <w:p w14:paraId="6DBC345C" w14:textId="77777777" w:rsidR="001F2346" w:rsidRPr="00BA4F0F" w:rsidRDefault="001F2346" w:rsidP="002D3EBF">
            <w:pPr>
              <w:tabs>
                <w:tab w:val="left" w:pos="34"/>
              </w:tabs>
              <w:ind w:left="35"/>
            </w:pPr>
            <w:r w:rsidRPr="00BA4F0F">
              <w:t xml:space="preserve">Исследование крови на антиген </w:t>
            </w:r>
            <w:r w:rsidRPr="00BA4F0F">
              <w:rPr>
                <w:lang w:val="en-US"/>
              </w:rPr>
              <w:t>Aspergillus</w:t>
            </w:r>
            <w:r w:rsidRPr="00BA4F0F">
              <w:t xml:space="preserve"> 2 раза в неделю.</w:t>
            </w:r>
          </w:p>
        </w:tc>
      </w:tr>
      <w:tr w:rsidR="001F2346" w:rsidRPr="00BA4F0F" w14:paraId="3E7BEB44" w14:textId="77777777" w:rsidTr="002D3EBF">
        <w:tc>
          <w:tcPr>
            <w:tcW w:w="4677" w:type="dxa"/>
          </w:tcPr>
          <w:p w14:paraId="52803729" w14:textId="77777777" w:rsidR="001F2346" w:rsidRPr="00BA4F0F" w:rsidRDefault="001F2346" w:rsidP="002D3EBF">
            <w:pPr>
              <w:tabs>
                <w:tab w:val="left" w:pos="176"/>
                <w:tab w:val="left" w:pos="284"/>
              </w:tabs>
              <w:ind w:left="34"/>
            </w:pPr>
            <w:r w:rsidRPr="00BA4F0F">
              <w:t>Стоматит</w:t>
            </w:r>
          </w:p>
        </w:tc>
        <w:tc>
          <w:tcPr>
            <w:tcW w:w="4786" w:type="dxa"/>
          </w:tcPr>
          <w:p w14:paraId="1BD110BD" w14:textId="77777777" w:rsidR="001F2346" w:rsidRPr="00BA4F0F" w:rsidRDefault="001F2346" w:rsidP="002D3EBF">
            <w:pPr>
              <w:tabs>
                <w:tab w:val="left" w:pos="34"/>
              </w:tabs>
              <w:ind w:left="35"/>
            </w:pPr>
            <w:r w:rsidRPr="00BA4F0F">
              <w:t>Мазок со слизистой ротоглотки.</w:t>
            </w:r>
          </w:p>
        </w:tc>
      </w:tr>
      <w:tr w:rsidR="001F2346" w:rsidRPr="00BA4F0F" w14:paraId="61A37454" w14:textId="77777777" w:rsidTr="002D3EBF">
        <w:tc>
          <w:tcPr>
            <w:tcW w:w="4677" w:type="dxa"/>
          </w:tcPr>
          <w:p w14:paraId="32FD69EB" w14:textId="77777777" w:rsidR="001F2346" w:rsidRPr="00BA4F0F" w:rsidRDefault="001F2346" w:rsidP="002D3EBF">
            <w:pPr>
              <w:tabs>
                <w:tab w:val="left" w:pos="176"/>
                <w:tab w:val="left" w:pos="284"/>
              </w:tabs>
              <w:ind w:left="34"/>
            </w:pPr>
            <w:r w:rsidRPr="00BA4F0F">
              <w:t>Эзофагит</w:t>
            </w:r>
          </w:p>
        </w:tc>
        <w:tc>
          <w:tcPr>
            <w:tcW w:w="4786" w:type="dxa"/>
          </w:tcPr>
          <w:p w14:paraId="3ED52A86" w14:textId="77777777" w:rsidR="001F2346" w:rsidRPr="00BA4F0F" w:rsidRDefault="001F2346" w:rsidP="002D3EBF">
            <w:pPr>
              <w:tabs>
                <w:tab w:val="left" w:pos="34"/>
              </w:tabs>
              <w:ind w:left="35"/>
            </w:pPr>
            <w:r w:rsidRPr="00BA4F0F">
              <w:t xml:space="preserve">Эзофагоскопия (тромбоцитов не менее 50 х 109/л). </w:t>
            </w:r>
          </w:p>
          <w:p w14:paraId="12CD1B78" w14:textId="77777777" w:rsidR="001F2346" w:rsidRPr="00BA4F0F" w:rsidRDefault="001F2346" w:rsidP="002D3EBF">
            <w:pPr>
              <w:tabs>
                <w:tab w:val="left" w:pos="34"/>
              </w:tabs>
              <w:ind w:left="35"/>
            </w:pPr>
            <w:r w:rsidRPr="00BA4F0F">
              <w:t>Исследование – соскоб (браш-метод) со слизистой оболочки или биопсия.</w:t>
            </w:r>
          </w:p>
        </w:tc>
      </w:tr>
      <w:tr w:rsidR="001F2346" w:rsidRPr="00BA4F0F" w14:paraId="0CF20798" w14:textId="77777777" w:rsidTr="002D3EBF">
        <w:tc>
          <w:tcPr>
            <w:tcW w:w="4677" w:type="dxa"/>
          </w:tcPr>
          <w:p w14:paraId="56B29B06" w14:textId="77777777" w:rsidR="001F2346" w:rsidRPr="00BA4F0F" w:rsidRDefault="001F2346" w:rsidP="002D3EBF">
            <w:pPr>
              <w:tabs>
                <w:tab w:val="left" w:pos="176"/>
                <w:tab w:val="left" w:pos="284"/>
              </w:tabs>
              <w:ind w:left="34"/>
            </w:pPr>
            <w:r w:rsidRPr="00BA4F0F">
              <w:t>Некроз слизистой оболочки носового хода</w:t>
            </w:r>
          </w:p>
        </w:tc>
        <w:tc>
          <w:tcPr>
            <w:tcW w:w="4786" w:type="dxa"/>
          </w:tcPr>
          <w:p w14:paraId="1CF20D39" w14:textId="77777777" w:rsidR="001F2346" w:rsidRPr="00BA4F0F" w:rsidRDefault="001F2346" w:rsidP="002D3EBF">
            <w:pPr>
              <w:tabs>
                <w:tab w:val="left" w:pos="34"/>
              </w:tabs>
              <w:ind w:left="35"/>
            </w:pPr>
            <w:r w:rsidRPr="00BA4F0F">
              <w:t>Мазок со слизистой оболочки носа</w:t>
            </w:r>
          </w:p>
        </w:tc>
      </w:tr>
      <w:tr w:rsidR="001F2346" w:rsidRPr="00BA4F0F" w14:paraId="620963EC" w14:textId="77777777" w:rsidTr="002D3EBF">
        <w:tc>
          <w:tcPr>
            <w:tcW w:w="4677" w:type="dxa"/>
          </w:tcPr>
          <w:p w14:paraId="3C1A1B6D" w14:textId="77777777" w:rsidR="001F2346" w:rsidRPr="00BA4F0F" w:rsidRDefault="001F2346" w:rsidP="002D3EBF">
            <w:pPr>
              <w:tabs>
                <w:tab w:val="left" w:pos="176"/>
                <w:tab w:val="left" w:pos="284"/>
              </w:tabs>
              <w:ind w:left="34"/>
            </w:pPr>
            <w:r w:rsidRPr="00BA4F0F">
              <w:t>Гайморит</w:t>
            </w:r>
          </w:p>
        </w:tc>
        <w:tc>
          <w:tcPr>
            <w:tcW w:w="4786" w:type="dxa"/>
          </w:tcPr>
          <w:p w14:paraId="509AE9D5" w14:textId="77777777" w:rsidR="001F2346" w:rsidRPr="00BA4F0F" w:rsidRDefault="001F2346" w:rsidP="002D3EBF">
            <w:pPr>
              <w:tabs>
                <w:tab w:val="left" w:pos="34"/>
              </w:tabs>
              <w:ind w:left="35"/>
            </w:pPr>
            <w:r w:rsidRPr="00BA4F0F">
              <w:t>Исследование содержимого околоносовой пазухи, полученной при пункции.</w:t>
            </w:r>
          </w:p>
        </w:tc>
      </w:tr>
      <w:tr w:rsidR="001F2346" w:rsidRPr="00BA4F0F" w14:paraId="69F9E36B" w14:textId="77777777" w:rsidTr="002D3EBF">
        <w:tc>
          <w:tcPr>
            <w:tcW w:w="4677" w:type="dxa"/>
          </w:tcPr>
          <w:p w14:paraId="1D4B42E2" w14:textId="77777777" w:rsidR="001F2346" w:rsidRPr="00BA4F0F" w:rsidRDefault="001F2346" w:rsidP="002D3EBF">
            <w:pPr>
              <w:tabs>
                <w:tab w:val="left" w:pos="176"/>
                <w:tab w:val="left" w:pos="284"/>
              </w:tabs>
              <w:ind w:left="34"/>
            </w:pPr>
            <w:r w:rsidRPr="00BA4F0F">
              <w:t>Симптомы инфекции мочевыводящих путей</w:t>
            </w:r>
          </w:p>
          <w:p w14:paraId="6B518C06" w14:textId="77777777" w:rsidR="001F2346" w:rsidRPr="00BA4F0F" w:rsidRDefault="001F2346" w:rsidP="002D3EBF">
            <w:pPr>
              <w:tabs>
                <w:tab w:val="left" w:pos="176"/>
                <w:tab w:val="left" w:pos="284"/>
              </w:tabs>
              <w:ind w:left="34"/>
            </w:pPr>
            <w:r w:rsidRPr="00BA4F0F">
              <w:t>Лейкоцитурия</w:t>
            </w:r>
          </w:p>
        </w:tc>
        <w:tc>
          <w:tcPr>
            <w:tcW w:w="4786" w:type="dxa"/>
          </w:tcPr>
          <w:p w14:paraId="3275BDAA" w14:textId="77777777" w:rsidR="001F2346" w:rsidRPr="00BA4F0F" w:rsidRDefault="001F2346" w:rsidP="002D3EBF">
            <w:pPr>
              <w:tabs>
                <w:tab w:val="left" w:pos="34"/>
              </w:tabs>
              <w:ind w:left="35"/>
            </w:pPr>
            <w:r w:rsidRPr="00BA4F0F">
              <w:t>Микробиологическое исследование мочи.</w:t>
            </w:r>
          </w:p>
        </w:tc>
      </w:tr>
      <w:tr w:rsidR="001F2346" w:rsidRPr="00BA4F0F" w14:paraId="5FA71C93" w14:textId="77777777" w:rsidTr="002D3EBF">
        <w:tc>
          <w:tcPr>
            <w:tcW w:w="4677" w:type="dxa"/>
          </w:tcPr>
          <w:p w14:paraId="329676B5" w14:textId="77777777" w:rsidR="001F2346" w:rsidRPr="00BA4F0F" w:rsidRDefault="001F2346" w:rsidP="002D3EBF">
            <w:pPr>
              <w:tabs>
                <w:tab w:val="left" w:pos="176"/>
                <w:tab w:val="left" w:pos="284"/>
              </w:tabs>
              <w:ind w:left="34"/>
            </w:pPr>
            <w:r w:rsidRPr="00BA4F0F">
              <w:t>Пневмония</w:t>
            </w:r>
          </w:p>
        </w:tc>
        <w:tc>
          <w:tcPr>
            <w:tcW w:w="4786" w:type="dxa"/>
          </w:tcPr>
          <w:p w14:paraId="5154DABD" w14:textId="77777777" w:rsidR="001F2346" w:rsidRPr="00BA4F0F" w:rsidRDefault="001F2346" w:rsidP="002D3EBF">
            <w:pPr>
              <w:tabs>
                <w:tab w:val="left" w:pos="34"/>
              </w:tabs>
              <w:ind w:left="35"/>
            </w:pPr>
            <w:r w:rsidRPr="00BA4F0F">
              <w:t>КТ легких.</w:t>
            </w:r>
          </w:p>
          <w:p w14:paraId="3F586E76" w14:textId="77777777" w:rsidR="001F2346" w:rsidRPr="00BA4F0F" w:rsidRDefault="001F2346" w:rsidP="002D3EBF">
            <w:pPr>
              <w:tabs>
                <w:tab w:val="left" w:pos="34"/>
              </w:tabs>
              <w:ind w:left="35"/>
            </w:pPr>
            <w:r w:rsidRPr="00BA4F0F">
              <w:t>БАЛ после КТ легких.</w:t>
            </w:r>
          </w:p>
          <w:p w14:paraId="3E926AA0" w14:textId="77777777" w:rsidR="001F2346" w:rsidRPr="00BA4F0F" w:rsidRDefault="001F2346" w:rsidP="002D3EBF">
            <w:pPr>
              <w:tabs>
                <w:tab w:val="left" w:pos="34"/>
              </w:tabs>
              <w:ind w:left="35"/>
            </w:pPr>
            <w:r w:rsidRPr="00BA4F0F">
              <w:t>Полное исследование жидкости БАЛ.</w:t>
            </w:r>
          </w:p>
          <w:p w14:paraId="12115A17" w14:textId="77777777" w:rsidR="001F2346" w:rsidRPr="00BA4F0F" w:rsidRDefault="001F2346" w:rsidP="002D3EBF">
            <w:pPr>
              <w:tabs>
                <w:tab w:val="left" w:pos="34"/>
              </w:tabs>
              <w:ind w:left="35"/>
            </w:pPr>
            <w:r w:rsidRPr="00BA4F0F">
              <w:t xml:space="preserve">Исследование крови на антиген </w:t>
            </w:r>
            <w:r w:rsidRPr="00BA4F0F">
              <w:rPr>
                <w:lang w:val="en-US"/>
              </w:rPr>
              <w:t>Aspergillus</w:t>
            </w:r>
            <w:r w:rsidRPr="00BA4F0F">
              <w:t>.</w:t>
            </w:r>
          </w:p>
          <w:p w14:paraId="3EB9CF4A" w14:textId="77777777" w:rsidR="001F2346" w:rsidRPr="00BA4F0F" w:rsidRDefault="001F2346" w:rsidP="002D3EBF">
            <w:pPr>
              <w:tabs>
                <w:tab w:val="left" w:pos="34"/>
              </w:tabs>
              <w:ind w:left="35"/>
            </w:pPr>
            <w:r w:rsidRPr="00BA4F0F">
              <w:t xml:space="preserve">Исследование крови на антитела к </w:t>
            </w:r>
            <w:r w:rsidRPr="00BA4F0F">
              <w:rPr>
                <w:lang w:val="en-US"/>
              </w:rPr>
              <w:t>Mycoplasma</w:t>
            </w:r>
            <w:r w:rsidRPr="00BA4F0F">
              <w:t xml:space="preserve"> </w:t>
            </w:r>
            <w:r w:rsidRPr="00BA4F0F">
              <w:rPr>
                <w:lang w:val="en-US"/>
              </w:rPr>
              <w:t>pneumoniae</w:t>
            </w:r>
            <w:r w:rsidRPr="00BA4F0F">
              <w:t xml:space="preserve"> (</w:t>
            </w:r>
            <w:r w:rsidRPr="00BA4F0F">
              <w:rPr>
                <w:lang w:val="en-US"/>
              </w:rPr>
              <w:t>IgM</w:t>
            </w:r>
            <w:r w:rsidRPr="00BA4F0F">
              <w:t xml:space="preserve">, </w:t>
            </w:r>
            <w:r w:rsidRPr="00BA4F0F">
              <w:rPr>
                <w:lang w:val="en-US"/>
              </w:rPr>
              <w:t>IgG</w:t>
            </w:r>
            <w:r w:rsidRPr="00BA4F0F">
              <w:t xml:space="preserve">). </w:t>
            </w:r>
          </w:p>
          <w:p w14:paraId="795226CA" w14:textId="77777777" w:rsidR="001F2346" w:rsidRPr="00BA4F0F" w:rsidRDefault="001F2346" w:rsidP="002D3EBF">
            <w:pPr>
              <w:tabs>
                <w:tab w:val="left" w:pos="34"/>
              </w:tabs>
              <w:ind w:left="35"/>
            </w:pPr>
            <w:r w:rsidRPr="00BA4F0F">
              <w:t xml:space="preserve">Исследование крови на антитела к </w:t>
            </w:r>
            <w:r w:rsidRPr="00BA4F0F">
              <w:rPr>
                <w:lang w:val="en-US"/>
              </w:rPr>
              <w:t>Chlamydia</w:t>
            </w:r>
            <w:r w:rsidRPr="00BA4F0F">
              <w:t xml:space="preserve"> </w:t>
            </w:r>
            <w:r w:rsidRPr="00BA4F0F">
              <w:rPr>
                <w:lang w:val="en-US"/>
              </w:rPr>
              <w:t>pneumoniae</w:t>
            </w:r>
            <w:r w:rsidRPr="00BA4F0F">
              <w:t xml:space="preserve"> (</w:t>
            </w:r>
            <w:r w:rsidRPr="00BA4F0F">
              <w:rPr>
                <w:lang w:val="en-US"/>
              </w:rPr>
              <w:t>IgM</w:t>
            </w:r>
            <w:r w:rsidRPr="00BA4F0F">
              <w:t xml:space="preserve">, </w:t>
            </w:r>
            <w:r w:rsidRPr="00BA4F0F">
              <w:rPr>
                <w:lang w:val="en-US"/>
              </w:rPr>
              <w:t>IgG</w:t>
            </w:r>
            <w:r w:rsidRPr="00BA4F0F">
              <w:t xml:space="preserve">). </w:t>
            </w:r>
          </w:p>
        </w:tc>
      </w:tr>
      <w:tr w:rsidR="001F2346" w:rsidRPr="00BA4F0F" w14:paraId="5D0DEAA4" w14:textId="77777777" w:rsidTr="002D3EBF">
        <w:tc>
          <w:tcPr>
            <w:tcW w:w="4677" w:type="dxa"/>
          </w:tcPr>
          <w:p w14:paraId="290023B9" w14:textId="77777777" w:rsidR="001F2346" w:rsidRPr="00BA4F0F" w:rsidRDefault="001F2346" w:rsidP="002D3EBF">
            <w:pPr>
              <w:tabs>
                <w:tab w:val="left" w:pos="176"/>
                <w:tab w:val="left" w:pos="284"/>
              </w:tabs>
              <w:ind w:left="34"/>
            </w:pPr>
            <w:r w:rsidRPr="00BA4F0F">
              <w:t>Симптомы менингита. Мозговая симптоматика на фоне фебрильной нейтропении. Обнаружение очага (очагов) в головном мозге</w:t>
            </w:r>
          </w:p>
        </w:tc>
        <w:tc>
          <w:tcPr>
            <w:tcW w:w="4786" w:type="dxa"/>
          </w:tcPr>
          <w:p w14:paraId="05672E67" w14:textId="77777777" w:rsidR="001F2346" w:rsidRPr="00BA4F0F" w:rsidRDefault="001F2346" w:rsidP="002D3EBF">
            <w:pPr>
              <w:tabs>
                <w:tab w:val="left" w:pos="34"/>
              </w:tabs>
              <w:ind w:left="35"/>
            </w:pPr>
            <w:r w:rsidRPr="00BA4F0F">
              <w:t xml:space="preserve">Люмбальная пункция. </w:t>
            </w:r>
          </w:p>
          <w:p w14:paraId="626BCFC0" w14:textId="77777777" w:rsidR="001F2346" w:rsidRPr="00BA4F0F" w:rsidRDefault="001F2346" w:rsidP="002D3EBF">
            <w:pPr>
              <w:tabs>
                <w:tab w:val="left" w:pos="34"/>
              </w:tabs>
              <w:ind w:left="35"/>
            </w:pPr>
            <w:r w:rsidRPr="00BA4F0F">
              <w:t xml:space="preserve">Полное исследование СМЖ. </w:t>
            </w:r>
          </w:p>
        </w:tc>
      </w:tr>
      <w:tr w:rsidR="001F2346" w:rsidRPr="00BA4F0F" w14:paraId="3D1DE1CA" w14:textId="77777777" w:rsidTr="002D3EBF">
        <w:tc>
          <w:tcPr>
            <w:tcW w:w="4677" w:type="dxa"/>
          </w:tcPr>
          <w:p w14:paraId="79EF7303" w14:textId="77777777" w:rsidR="001F2346" w:rsidRPr="00BA4F0F" w:rsidRDefault="001F2346" w:rsidP="002D3EBF">
            <w:pPr>
              <w:tabs>
                <w:tab w:val="left" w:pos="176"/>
                <w:tab w:val="left" w:pos="284"/>
              </w:tabs>
              <w:ind w:left="34"/>
            </w:pPr>
            <w:r w:rsidRPr="00BA4F0F">
              <w:t>Диарея</w:t>
            </w:r>
          </w:p>
        </w:tc>
        <w:tc>
          <w:tcPr>
            <w:tcW w:w="4786" w:type="dxa"/>
          </w:tcPr>
          <w:p w14:paraId="721C2755" w14:textId="77777777" w:rsidR="001F2346" w:rsidRPr="00BA4F0F" w:rsidRDefault="001F2346" w:rsidP="002D3EBF">
            <w:pPr>
              <w:tabs>
                <w:tab w:val="left" w:pos="34"/>
              </w:tabs>
              <w:ind w:left="35"/>
            </w:pPr>
            <w:r w:rsidRPr="00BA4F0F">
              <w:t xml:space="preserve">Исследование кала на токсин </w:t>
            </w:r>
            <w:r w:rsidRPr="00BA4F0F">
              <w:rPr>
                <w:i/>
                <w:lang w:val="en-US"/>
              </w:rPr>
              <w:t>Clostridium</w:t>
            </w:r>
            <w:r w:rsidRPr="00BA4F0F">
              <w:rPr>
                <w:i/>
              </w:rPr>
              <w:t xml:space="preserve"> </w:t>
            </w:r>
            <w:r w:rsidRPr="00BA4F0F">
              <w:rPr>
                <w:i/>
                <w:lang w:val="en-US"/>
              </w:rPr>
              <w:t>difficil</w:t>
            </w:r>
            <w:r w:rsidRPr="00BA4F0F">
              <w:rPr>
                <w:i/>
              </w:rPr>
              <w:t xml:space="preserve">е. </w:t>
            </w:r>
          </w:p>
        </w:tc>
      </w:tr>
      <w:tr w:rsidR="001F2346" w:rsidRPr="00BA4F0F" w14:paraId="69C4E00C" w14:textId="77777777" w:rsidTr="002D3EBF">
        <w:tc>
          <w:tcPr>
            <w:tcW w:w="4677" w:type="dxa"/>
          </w:tcPr>
          <w:p w14:paraId="3E6BCA3D" w14:textId="77777777" w:rsidR="001F2346" w:rsidRPr="00BA4F0F" w:rsidRDefault="001F2346" w:rsidP="002D3EBF">
            <w:pPr>
              <w:tabs>
                <w:tab w:val="left" w:pos="176"/>
                <w:tab w:val="left" w:pos="284"/>
              </w:tabs>
              <w:ind w:left="34"/>
            </w:pPr>
            <w:r w:rsidRPr="00BA4F0F">
              <w:t>Парапроктит</w:t>
            </w:r>
          </w:p>
          <w:p w14:paraId="483A676B" w14:textId="77777777" w:rsidR="001F2346" w:rsidRPr="00BA4F0F" w:rsidRDefault="001F2346" w:rsidP="002D3EBF">
            <w:pPr>
              <w:tabs>
                <w:tab w:val="left" w:pos="176"/>
                <w:tab w:val="left" w:pos="284"/>
              </w:tabs>
              <w:ind w:left="34"/>
            </w:pPr>
            <w:r w:rsidRPr="00BA4F0F">
              <w:t>Трещина в области прямой кишки</w:t>
            </w:r>
          </w:p>
        </w:tc>
        <w:tc>
          <w:tcPr>
            <w:tcW w:w="4786" w:type="dxa"/>
          </w:tcPr>
          <w:p w14:paraId="039E44DF" w14:textId="77777777" w:rsidR="001F2346" w:rsidRPr="00BA4F0F" w:rsidRDefault="001F2346" w:rsidP="002D3EBF">
            <w:pPr>
              <w:tabs>
                <w:tab w:val="left" w:pos="34"/>
              </w:tabs>
              <w:ind w:left="35"/>
            </w:pPr>
            <w:r w:rsidRPr="00BA4F0F">
              <w:t>Мазок со слизистой оболочки прямой кишки.</w:t>
            </w:r>
          </w:p>
        </w:tc>
      </w:tr>
      <w:tr w:rsidR="001F2346" w:rsidRPr="00BA4F0F" w14:paraId="208CB78A" w14:textId="77777777" w:rsidTr="002D3EBF">
        <w:tc>
          <w:tcPr>
            <w:tcW w:w="4677" w:type="dxa"/>
          </w:tcPr>
          <w:p w14:paraId="40D41FAD" w14:textId="77777777" w:rsidR="001F2346" w:rsidRPr="00BA4F0F" w:rsidRDefault="001F2346" w:rsidP="002D3EBF">
            <w:pPr>
              <w:tabs>
                <w:tab w:val="left" w:pos="176"/>
                <w:tab w:val="left" w:pos="284"/>
              </w:tabs>
              <w:ind w:left="34"/>
            </w:pPr>
            <w:r w:rsidRPr="00BA4F0F">
              <w:t>Инфильтраты на коже</w:t>
            </w:r>
          </w:p>
        </w:tc>
        <w:tc>
          <w:tcPr>
            <w:tcW w:w="4786" w:type="dxa"/>
          </w:tcPr>
          <w:p w14:paraId="24CFF83B" w14:textId="77777777" w:rsidR="001F2346" w:rsidRPr="00BA4F0F" w:rsidRDefault="001F2346" w:rsidP="002D3EBF">
            <w:pPr>
              <w:tabs>
                <w:tab w:val="left" w:pos="34"/>
              </w:tabs>
              <w:ind w:left="35"/>
            </w:pPr>
            <w:r w:rsidRPr="00BA4F0F">
              <w:t xml:space="preserve">Биопсия. </w:t>
            </w:r>
          </w:p>
          <w:p w14:paraId="5972B4BE" w14:textId="77777777" w:rsidR="001F2346" w:rsidRPr="00BA4F0F" w:rsidRDefault="001F2346" w:rsidP="002D3EBF">
            <w:pPr>
              <w:tabs>
                <w:tab w:val="left" w:pos="34"/>
              </w:tabs>
              <w:ind w:left="35"/>
            </w:pPr>
            <w:r w:rsidRPr="00BA4F0F">
              <w:lastRenderedPageBreak/>
              <w:t xml:space="preserve">Микробиологическое и гистологическое исследование биоптата. </w:t>
            </w:r>
          </w:p>
        </w:tc>
      </w:tr>
    </w:tbl>
    <w:p w14:paraId="5169ECCB" w14:textId="77777777" w:rsidR="001F2346" w:rsidRPr="00BA4F0F" w:rsidRDefault="001F2346" w:rsidP="001F2346">
      <w:pPr>
        <w:tabs>
          <w:tab w:val="left" w:pos="0"/>
          <w:tab w:val="left" w:pos="567"/>
        </w:tabs>
        <w:rPr>
          <w:b/>
        </w:rPr>
      </w:pPr>
    </w:p>
    <w:p w14:paraId="67AE0268" w14:textId="77777777" w:rsidR="001F2346" w:rsidRPr="00BA4F0F" w:rsidRDefault="001F2346" w:rsidP="001F2346">
      <w:pPr>
        <w:pStyle w:val="afe"/>
        <w:ind w:left="0"/>
        <w:rPr>
          <w:rFonts w:cs="Times New Roman"/>
          <w:b/>
          <w:i/>
          <w:szCs w:val="24"/>
        </w:rPr>
      </w:pPr>
      <w:r w:rsidRPr="00BA4F0F">
        <w:rPr>
          <w:rFonts w:cs="Times New Roman"/>
          <w:b/>
          <w:i/>
          <w:szCs w:val="24"/>
        </w:rPr>
        <w:t>Ежедневный осмотр пациента</w:t>
      </w:r>
    </w:p>
    <w:p w14:paraId="199F47BE" w14:textId="77777777" w:rsidR="001F2346" w:rsidRPr="00BA4F0F" w:rsidRDefault="001F2346" w:rsidP="001F2346">
      <w:pPr>
        <w:tabs>
          <w:tab w:val="left" w:pos="0"/>
          <w:tab w:val="left" w:pos="567"/>
        </w:tabs>
        <w:ind w:firstLine="709"/>
      </w:pPr>
      <w:r w:rsidRPr="00BA4F0F">
        <w:t xml:space="preserve">При нейтропении ежедневно проводят тщательный осмотр пациента, который наряду с обычными терапевтическими стандартами обследования больных включает следующие подходы. </w:t>
      </w:r>
    </w:p>
    <w:p w14:paraId="0E901673" w14:textId="77777777" w:rsidR="001F2346" w:rsidRPr="00BA4F0F" w:rsidRDefault="001F2346" w:rsidP="00DC0931">
      <w:pPr>
        <w:numPr>
          <w:ilvl w:val="0"/>
          <w:numId w:val="184"/>
        </w:numPr>
        <w:tabs>
          <w:tab w:val="left" w:pos="0"/>
          <w:tab w:val="left" w:pos="567"/>
        </w:tabs>
        <w:ind w:left="0" w:firstLine="0"/>
      </w:pPr>
      <w:r w:rsidRPr="00BA4F0F">
        <w:t>Активный опрос больного относительно возможных симптомов инфекции, включая наличие болей по ходу пищевода, в промежности.</w:t>
      </w:r>
    </w:p>
    <w:p w14:paraId="48B9E5C3" w14:textId="77777777" w:rsidR="001F2346" w:rsidRPr="00BA4F0F" w:rsidRDefault="001F2346" w:rsidP="00DC0931">
      <w:pPr>
        <w:numPr>
          <w:ilvl w:val="0"/>
          <w:numId w:val="184"/>
        </w:numPr>
        <w:tabs>
          <w:tab w:val="left" w:pos="0"/>
          <w:tab w:val="left" w:pos="567"/>
        </w:tabs>
        <w:ind w:left="0" w:firstLine="0"/>
      </w:pPr>
      <w:r w:rsidRPr="00BA4F0F">
        <w:t>Ежедневный осмотр слизистой оболочки полости рта при нейтропении, особенно периодонта. Обращают внимание на рыхлость, отек слизистой оболочки (мукозит), наличие налетов, язв.</w:t>
      </w:r>
    </w:p>
    <w:p w14:paraId="1EB03538" w14:textId="77777777" w:rsidR="001F2346" w:rsidRPr="00BA4F0F" w:rsidRDefault="001F2346" w:rsidP="00DC0931">
      <w:pPr>
        <w:numPr>
          <w:ilvl w:val="0"/>
          <w:numId w:val="184"/>
        </w:numPr>
        <w:tabs>
          <w:tab w:val="left" w:pos="0"/>
          <w:tab w:val="left" w:pos="567"/>
        </w:tabs>
        <w:ind w:left="0" w:firstLine="0"/>
      </w:pPr>
      <w:r w:rsidRPr="00BA4F0F">
        <w:t>Осмотр кожи в отношении возможного появления септикопиемических очагов при лихорадке, даже в отсутствие жалоб больного. При лечении глюкокортикоидами септикопиемические очаги могут быть и при нормальной температуре.</w:t>
      </w:r>
    </w:p>
    <w:p w14:paraId="68F674D7" w14:textId="77777777" w:rsidR="001F2346" w:rsidRPr="00BA4F0F" w:rsidRDefault="001F2346" w:rsidP="00DC0931">
      <w:pPr>
        <w:numPr>
          <w:ilvl w:val="0"/>
          <w:numId w:val="184"/>
        </w:numPr>
        <w:tabs>
          <w:tab w:val="left" w:pos="0"/>
          <w:tab w:val="left" w:pos="567"/>
        </w:tabs>
        <w:ind w:left="0" w:firstLine="0"/>
      </w:pPr>
      <w:r w:rsidRPr="00BA4F0F">
        <w:t xml:space="preserve">Осмотр места установки венозного катетера. </w:t>
      </w:r>
    </w:p>
    <w:p w14:paraId="51ED5198" w14:textId="77777777" w:rsidR="001F2346" w:rsidRPr="00BA4F0F" w:rsidRDefault="001F2346" w:rsidP="00DC0931">
      <w:pPr>
        <w:numPr>
          <w:ilvl w:val="0"/>
          <w:numId w:val="184"/>
        </w:numPr>
        <w:tabs>
          <w:tab w:val="left" w:pos="0"/>
          <w:tab w:val="left" w:pos="567"/>
        </w:tabs>
        <w:ind w:left="0" w:firstLine="0"/>
      </w:pPr>
      <w:r w:rsidRPr="00BA4F0F">
        <w:t xml:space="preserve">Внимательная аускультация грудной клетки. Жесткое дыхание в отсутствие хрипов, минимальное количество влажных хрипов на ограниченном участке могут быть начальным проявлением пневмонии. </w:t>
      </w:r>
    </w:p>
    <w:p w14:paraId="186006DE" w14:textId="77777777" w:rsidR="001F2346" w:rsidRPr="00BA4F0F" w:rsidRDefault="001F2346" w:rsidP="00DC0931">
      <w:pPr>
        <w:numPr>
          <w:ilvl w:val="0"/>
          <w:numId w:val="184"/>
        </w:numPr>
        <w:tabs>
          <w:tab w:val="left" w:pos="0"/>
          <w:tab w:val="left" w:pos="567"/>
        </w:tabs>
        <w:ind w:left="0" w:firstLine="0"/>
      </w:pPr>
      <w:r w:rsidRPr="00BA4F0F">
        <w:t>Тщательная пальпация живота. Первые симптомы псевдомембранозного колита — это появление боли или «урчание» при пальпации в правой подвздошной области (область слепой кишки).</w:t>
      </w:r>
    </w:p>
    <w:p w14:paraId="36F4338A" w14:textId="77777777" w:rsidR="001F2346" w:rsidRPr="00BA4F0F" w:rsidRDefault="001F2346" w:rsidP="001F2346">
      <w:pPr>
        <w:tabs>
          <w:tab w:val="left" w:pos="0"/>
          <w:tab w:val="left" w:pos="567"/>
        </w:tabs>
      </w:pPr>
    </w:p>
    <w:p w14:paraId="5169F426" w14:textId="77777777" w:rsidR="001F2346" w:rsidRPr="00BA4F0F" w:rsidRDefault="001F2346" w:rsidP="001F2346">
      <w:pPr>
        <w:pStyle w:val="afe"/>
        <w:ind w:left="0"/>
        <w:rPr>
          <w:rFonts w:cs="Times New Roman"/>
          <w:b/>
          <w:i/>
          <w:szCs w:val="24"/>
        </w:rPr>
      </w:pPr>
      <w:r w:rsidRPr="00BA4F0F">
        <w:rPr>
          <w:rFonts w:cs="Times New Roman"/>
          <w:b/>
          <w:i/>
          <w:szCs w:val="24"/>
        </w:rPr>
        <w:t>Микробиологические исследования</w:t>
      </w:r>
    </w:p>
    <w:p w14:paraId="68C8266D" w14:textId="77777777" w:rsidR="001F2346" w:rsidRPr="00BA4F0F" w:rsidRDefault="001F2346" w:rsidP="001F2346">
      <w:pPr>
        <w:pStyle w:val="afe"/>
        <w:ind w:left="0"/>
        <w:rPr>
          <w:rFonts w:cs="Times New Roman"/>
          <w:i/>
          <w:szCs w:val="24"/>
        </w:rPr>
      </w:pPr>
      <w:r w:rsidRPr="00BA4F0F">
        <w:rPr>
          <w:rFonts w:cs="Times New Roman"/>
          <w:i/>
          <w:szCs w:val="24"/>
        </w:rPr>
        <w:t>Микробиологическое исследование крови</w:t>
      </w:r>
    </w:p>
    <w:p w14:paraId="61770E85" w14:textId="77777777" w:rsidR="001F2346" w:rsidRPr="00BA4F0F" w:rsidRDefault="001F2346" w:rsidP="00DC0931">
      <w:pPr>
        <w:numPr>
          <w:ilvl w:val="0"/>
          <w:numId w:val="189"/>
        </w:numPr>
        <w:tabs>
          <w:tab w:val="left" w:pos="0"/>
          <w:tab w:val="left" w:pos="567"/>
        </w:tabs>
        <w:ind w:left="0" w:firstLine="0"/>
      </w:pPr>
      <w:r w:rsidRPr="00BA4F0F">
        <w:t xml:space="preserve">Показания — температура ≥ 38°С или наличие септикопиемических очагов на коже. </w:t>
      </w:r>
    </w:p>
    <w:p w14:paraId="2F74E5E0" w14:textId="77777777" w:rsidR="001F2346" w:rsidRPr="00BA4F0F" w:rsidRDefault="001F2346" w:rsidP="00DC0931">
      <w:pPr>
        <w:numPr>
          <w:ilvl w:val="0"/>
          <w:numId w:val="185"/>
        </w:numPr>
        <w:tabs>
          <w:tab w:val="left" w:pos="0"/>
          <w:tab w:val="left" w:pos="567"/>
        </w:tabs>
        <w:ind w:left="0" w:firstLine="0"/>
      </w:pPr>
      <w:r w:rsidRPr="00BA4F0F">
        <w:t xml:space="preserve">Кровь из вены берут до введения антибиотиков в два флакона (аэробы/анаэробы или аэробы/аэробы) одновременно из вены и из ЦВК или из разных вен; при перитоните или абдоминальной операции в два разных флакона (для аэробов и для анаэробов); при бактериальном эндокардите — 3 раза с интервалом 1—2 часа; при подозрении на катетер-ассоциированную инфекцию — одновременно из вены и из ЦВК во флаконы для автоматического бактериологического анализатора гемокультур (Bactek или другие автоматические анализаторы). На основании разницы во времени (2 часа и более) появления роста микроорганизмов можно предположить инфицирование венозного </w:t>
      </w:r>
      <w:r w:rsidRPr="00BA4F0F">
        <w:lastRenderedPageBreak/>
        <w:t xml:space="preserve">катетера. При катетер-ассоциированной инфекции положительная гемокультура из ЦВК опережает на 2 часа и более положительную гемокультуру из вены. </w:t>
      </w:r>
    </w:p>
    <w:p w14:paraId="32A388E2" w14:textId="77777777" w:rsidR="001F2346" w:rsidRPr="00BA4F0F" w:rsidRDefault="001F2346" w:rsidP="00DC0931">
      <w:pPr>
        <w:numPr>
          <w:ilvl w:val="0"/>
          <w:numId w:val="185"/>
        </w:numPr>
        <w:tabs>
          <w:tab w:val="left" w:pos="0"/>
          <w:tab w:val="left" w:pos="567"/>
        </w:tabs>
        <w:ind w:left="0" w:firstLine="0"/>
      </w:pPr>
      <w:r w:rsidRPr="00BA4F0F">
        <w:t xml:space="preserve">Взятие крови для микробиологического исследования следует проводить в период повышения температуры (≥ 38°С) с максимальным соблюдением правил асептики, чтобы исключить вероятность контаминации культуральной среды микробами с кожи. Медсестра должна проводить взятие крови в перчатках и в маске; кожа больного в месте венепункции тщательно обрабатывается дезинфицирующим раствором (дезинфицирующий раствор должен высохнуть); после обработки кожи дезинфицирующим раствором не проводят повторную пальпацию вены для определения места венепункции. </w:t>
      </w:r>
    </w:p>
    <w:p w14:paraId="46C71D05" w14:textId="77777777" w:rsidR="001F2346" w:rsidRPr="00BA4F0F" w:rsidRDefault="001F2346" w:rsidP="00DC0931">
      <w:pPr>
        <w:numPr>
          <w:ilvl w:val="0"/>
          <w:numId w:val="185"/>
        </w:numPr>
        <w:tabs>
          <w:tab w:val="left" w:pos="0"/>
          <w:tab w:val="left" w:pos="567"/>
        </w:tabs>
        <w:ind w:left="0" w:firstLine="0"/>
      </w:pPr>
      <w:r w:rsidRPr="00BA4F0F">
        <w:t xml:space="preserve">Крайне важным является взятие достаточного количества крови для гемокультуры – за одно исследование у взрослых суммарно берут 20-30 мл крови в 2-3 флакона (по 10 мл каждый флакон). </w:t>
      </w:r>
    </w:p>
    <w:p w14:paraId="5FB11744" w14:textId="77777777" w:rsidR="001F2346" w:rsidRPr="00BA4F0F" w:rsidRDefault="001F2346" w:rsidP="00DC0931">
      <w:pPr>
        <w:numPr>
          <w:ilvl w:val="0"/>
          <w:numId w:val="185"/>
        </w:numPr>
        <w:tabs>
          <w:tab w:val="left" w:pos="0"/>
          <w:tab w:val="left" w:pos="567"/>
        </w:tabs>
        <w:ind w:left="0" w:firstLine="0"/>
      </w:pPr>
      <w:r w:rsidRPr="00BA4F0F">
        <w:t>Не направляют в лабораторию на исследование гемокультуру из ЦВК без гемокультуры из вены.</w:t>
      </w:r>
    </w:p>
    <w:p w14:paraId="27D66C5D" w14:textId="77777777" w:rsidR="001F2346" w:rsidRPr="00BA4F0F" w:rsidRDefault="001F2346" w:rsidP="00DC0931">
      <w:pPr>
        <w:numPr>
          <w:ilvl w:val="0"/>
          <w:numId w:val="185"/>
        </w:numPr>
        <w:tabs>
          <w:tab w:val="left" w:pos="0"/>
          <w:tab w:val="left" w:pos="567"/>
        </w:tabs>
        <w:ind w:left="0" w:firstLine="0"/>
      </w:pPr>
      <w:r w:rsidRPr="00BA4F0F">
        <w:t>Нельзя флаконы с гемокультурой ставить в холодильник.</w:t>
      </w:r>
    </w:p>
    <w:p w14:paraId="6807EB66" w14:textId="77777777" w:rsidR="001F2346" w:rsidRPr="00BA4F0F" w:rsidRDefault="001F2346" w:rsidP="001F2346">
      <w:pPr>
        <w:tabs>
          <w:tab w:val="left" w:pos="0"/>
          <w:tab w:val="left" w:pos="567"/>
        </w:tabs>
        <w:ind w:firstLine="567"/>
      </w:pPr>
      <w:r w:rsidRPr="00BA4F0F">
        <w:rPr>
          <w:i/>
        </w:rPr>
        <w:t>Примечание.</w:t>
      </w:r>
      <w:r w:rsidRPr="00BA4F0F">
        <w:t xml:space="preserve"> Выделение коагулазанегативных стафилококков (основную долю которых составляет </w:t>
      </w:r>
      <w:r w:rsidRPr="00BA4F0F">
        <w:rPr>
          <w:i/>
        </w:rPr>
        <w:t>Staphylococcus epidermidis</w:t>
      </w:r>
      <w:r w:rsidRPr="00BA4F0F">
        <w:t xml:space="preserve">) должно быть подтверждено двумя гемокультурами, поскольку высока вероятность контаминации этими микроорганизмами исследуемых образцов крови (облигатная микрофлора). Это относится и к </w:t>
      </w:r>
      <w:r w:rsidRPr="00BA4F0F">
        <w:rPr>
          <w:i/>
        </w:rPr>
        <w:t>Corynebacterium spp</w:t>
      </w:r>
      <w:r w:rsidRPr="00BA4F0F">
        <w:t xml:space="preserve">. Повторное исследование проводится максимально близко по времени к первому исследованию. </w:t>
      </w:r>
    </w:p>
    <w:p w14:paraId="12DE8A10" w14:textId="77777777" w:rsidR="001F2346" w:rsidRPr="00BA4F0F" w:rsidRDefault="001F2346" w:rsidP="001F2346">
      <w:pPr>
        <w:pStyle w:val="afe"/>
        <w:ind w:left="0"/>
        <w:rPr>
          <w:rFonts w:cs="Times New Roman"/>
          <w:i/>
          <w:szCs w:val="24"/>
        </w:rPr>
      </w:pPr>
    </w:p>
    <w:p w14:paraId="7E6351C3" w14:textId="77777777" w:rsidR="001F2346" w:rsidRPr="00BA4F0F" w:rsidRDefault="001F2346" w:rsidP="001F2346">
      <w:pPr>
        <w:pStyle w:val="afe"/>
        <w:ind w:left="0"/>
        <w:rPr>
          <w:rFonts w:cs="Times New Roman"/>
          <w:i/>
          <w:szCs w:val="24"/>
        </w:rPr>
      </w:pPr>
      <w:r w:rsidRPr="00BA4F0F">
        <w:rPr>
          <w:rFonts w:cs="Times New Roman"/>
          <w:i/>
          <w:szCs w:val="24"/>
        </w:rPr>
        <w:t>Микробиологическое исследование крови, взятой одновременно из вены и из центрального венозного катетера, при подозрении на катетер-ассоциированную инфекцию</w:t>
      </w:r>
    </w:p>
    <w:p w14:paraId="4344B0C2" w14:textId="77777777" w:rsidR="001F2346" w:rsidRPr="00BA4F0F" w:rsidRDefault="001F2346" w:rsidP="00DC0931">
      <w:pPr>
        <w:numPr>
          <w:ilvl w:val="0"/>
          <w:numId w:val="186"/>
        </w:numPr>
        <w:tabs>
          <w:tab w:val="left" w:pos="0"/>
          <w:tab w:val="left" w:pos="567"/>
        </w:tabs>
        <w:ind w:left="0" w:firstLine="0"/>
      </w:pPr>
      <w:r w:rsidRPr="00BA4F0F">
        <w:t>Показания:</w:t>
      </w:r>
    </w:p>
    <w:p w14:paraId="3D3DD353" w14:textId="77777777" w:rsidR="001F2346" w:rsidRPr="00BA4F0F" w:rsidRDefault="001F2346" w:rsidP="00DC0931">
      <w:pPr>
        <w:numPr>
          <w:ilvl w:val="0"/>
          <w:numId w:val="187"/>
        </w:numPr>
        <w:tabs>
          <w:tab w:val="left" w:pos="0"/>
          <w:tab w:val="left" w:pos="567"/>
        </w:tabs>
        <w:ind w:left="0" w:firstLine="0"/>
      </w:pPr>
      <w:r w:rsidRPr="00BA4F0F">
        <w:t xml:space="preserve">Гиперемия (инфильтрат) в месте установки катетера. </w:t>
      </w:r>
    </w:p>
    <w:p w14:paraId="07E0F09F" w14:textId="77777777" w:rsidR="001F2346" w:rsidRPr="00BA4F0F" w:rsidRDefault="001F2346" w:rsidP="00DC0931">
      <w:pPr>
        <w:numPr>
          <w:ilvl w:val="0"/>
          <w:numId w:val="187"/>
        </w:numPr>
        <w:tabs>
          <w:tab w:val="left" w:pos="0"/>
          <w:tab w:val="left" w:pos="567"/>
        </w:tabs>
        <w:ind w:left="0" w:firstLine="0"/>
      </w:pPr>
      <w:r w:rsidRPr="00BA4F0F">
        <w:t xml:space="preserve">Повышение температуры сопряжено с инфузиями в катетер. </w:t>
      </w:r>
    </w:p>
    <w:p w14:paraId="5B7BB297" w14:textId="77777777" w:rsidR="001F2346" w:rsidRPr="00BA4F0F" w:rsidRDefault="001F2346" w:rsidP="00DC0931">
      <w:pPr>
        <w:numPr>
          <w:ilvl w:val="0"/>
          <w:numId w:val="187"/>
        </w:numPr>
        <w:tabs>
          <w:tab w:val="left" w:pos="0"/>
          <w:tab w:val="left" w:pos="567"/>
        </w:tabs>
        <w:ind w:left="0" w:firstLine="0"/>
      </w:pPr>
      <w:r w:rsidRPr="00BA4F0F">
        <w:t xml:space="preserve">Плохая проходимость катетера (проблемы при промывании или заборе крови из катетера). </w:t>
      </w:r>
    </w:p>
    <w:p w14:paraId="337F38DA" w14:textId="77777777" w:rsidR="001F2346" w:rsidRPr="00BA4F0F" w:rsidRDefault="001F2346" w:rsidP="00DC0931">
      <w:pPr>
        <w:numPr>
          <w:ilvl w:val="0"/>
          <w:numId w:val="187"/>
        </w:numPr>
        <w:tabs>
          <w:tab w:val="left" w:pos="0"/>
          <w:tab w:val="left" w:pos="567"/>
        </w:tabs>
        <w:ind w:left="0" w:firstLine="0"/>
      </w:pPr>
      <w:r w:rsidRPr="00BA4F0F">
        <w:t>Возникновение температуры &gt; 38°С при восстановлении числа нейтрофилов (число гранулоцитов &gt; 0,5 × 10</w:t>
      </w:r>
      <w:r w:rsidRPr="00BA4F0F">
        <w:rPr>
          <w:vertAlign w:val="superscript"/>
        </w:rPr>
        <w:t>9</w:t>
      </w:r>
      <w:r w:rsidRPr="00BA4F0F">
        <w:t xml:space="preserve"> /л). </w:t>
      </w:r>
    </w:p>
    <w:p w14:paraId="32B4CF8C" w14:textId="77777777" w:rsidR="001F2346" w:rsidRPr="00BA4F0F" w:rsidRDefault="001F2346" w:rsidP="00DC0931">
      <w:pPr>
        <w:numPr>
          <w:ilvl w:val="0"/>
          <w:numId w:val="187"/>
        </w:numPr>
        <w:tabs>
          <w:tab w:val="left" w:pos="0"/>
          <w:tab w:val="left" w:pos="567"/>
        </w:tabs>
        <w:ind w:left="0" w:firstLine="0"/>
      </w:pPr>
      <w:r w:rsidRPr="00BA4F0F">
        <w:t>Возникновение температуры &gt; 38°С вне нейтропении (число гранулоцитов &gt; 0,5 × 10</w:t>
      </w:r>
      <w:r w:rsidRPr="00BA4F0F">
        <w:rPr>
          <w:vertAlign w:val="superscript"/>
        </w:rPr>
        <w:t>9</w:t>
      </w:r>
      <w:r w:rsidRPr="00BA4F0F">
        <w:t xml:space="preserve"> /л) и наличие центрального венозного катетера, давность установки которого ≥ 7 дней. </w:t>
      </w:r>
    </w:p>
    <w:p w14:paraId="5D8B0B38" w14:textId="77777777" w:rsidR="001F2346" w:rsidRPr="00BA4F0F" w:rsidRDefault="001F2346" w:rsidP="001F2346">
      <w:pPr>
        <w:tabs>
          <w:tab w:val="left" w:pos="0"/>
          <w:tab w:val="left" w:pos="567"/>
        </w:tabs>
      </w:pPr>
      <w:r w:rsidRPr="00BA4F0F">
        <w:rPr>
          <w:i/>
        </w:rPr>
        <w:lastRenderedPageBreak/>
        <w:t>Примечание.</w:t>
      </w:r>
      <w:r w:rsidRPr="00BA4F0F">
        <w:t xml:space="preserve"> Чаще всего катетер-ассоциированная инфекция развивается вне периода нейтропении или в период восстановления числа нейтрофилов. </w:t>
      </w:r>
    </w:p>
    <w:p w14:paraId="3A3A499F" w14:textId="77777777" w:rsidR="001F2346" w:rsidRPr="00BA4F0F" w:rsidRDefault="001F2346" w:rsidP="00DC0931">
      <w:pPr>
        <w:numPr>
          <w:ilvl w:val="0"/>
          <w:numId w:val="188"/>
        </w:numPr>
        <w:tabs>
          <w:tab w:val="left" w:pos="0"/>
          <w:tab w:val="left" w:pos="567"/>
        </w:tabs>
        <w:ind w:left="0" w:firstLine="0"/>
      </w:pPr>
      <w:r w:rsidRPr="00BA4F0F">
        <w:t xml:space="preserve">При сохраняющейся температуре (≥ 38°С) посевы крови проводят каждые 4—5 дней. </w:t>
      </w:r>
    </w:p>
    <w:p w14:paraId="69273047" w14:textId="77777777" w:rsidR="001F2346" w:rsidRPr="00BA4F0F" w:rsidRDefault="001F2346" w:rsidP="001F2346">
      <w:pPr>
        <w:tabs>
          <w:tab w:val="left" w:pos="0"/>
          <w:tab w:val="left" w:pos="567"/>
        </w:tabs>
        <w:jc w:val="center"/>
        <w:rPr>
          <w:b/>
        </w:rPr>
      </w:pPr>
    </w:p>
    <w:p w14:paraId="1F73F3A1" w14:textId="77777777" w:rsidR="001F2346" w:rsidRPr="00BA4F0F" w:rsidRDefault="001F2346" w:rsidP="001F2346">
      <w:pPr>
        <w:pStyle w:val="afe"/>
        <w:ind w:left="0"/>
        <w:rPr>
          <w:rFonts w:cs="Times New Roman"/>
          <w:i/>
          <w:szCs w:val="24"/>
        </w:rPr>
      </w:pPr>
      <w:r w:rsidRPr="00BA4F0F">
        <w:rPr>
          <w:rFonts w:cs="Times New Roman"/>
          <w:i/>
          <w:szCs w:val="24"/>
        </w:rPr>
        <w:t>Микробиологическое исследование центрального внутривенного катетера</w:t>
      </w:r>
    </w:p>
    <w:p w14:paraId="3E56272E" w14:textId="77777777" w:rsidR="001F2346" w:rsidRPr="00BA4F0F" w:rsidRDefault="001F2346" w:rsidP="001F2346">
      <w:pPr>
        <w:tabs>
          <w:tab w:val="left" w:pos="0"/>
          <w:tab w:val="left" w:pos="567"/>
        </w:tabs>
      </w:pPr>
      <w:r w:rsidRPr="00BA4F0F">
        <w:t>Катетер удаляют и направляют на исследование в бактериологическую лабораторию.</w:t>
      </w:r>
    </w:p>
    <w:p w14:paraId="0A29D253" w14:textId="77777777" w:rsidR="001F2346" w:rsidRPr="00BA4F0F" w:rsidRDefault="001F2346" w:rsidP="00DC0931">
      <w:pPr>
        <w:numPr>
          <w:ilvl w:val="0"/>
          <w:numId w:val="188"/>
        </w:numPr>
        <w:tabs>
          <w:tab w:val="left" w:pos="0"/>
          <w:tab w:val="left" w:pos="567"/>
        </w:tabs>
        <w:ind w:left="0" w:firstLine="0"/>
      </w:pPr>
      <w:r w:rsidRPr="00BA4F0F">
        <w:t>Показания:</w:t>
      </w:r>
    </w:p>
    <w:p w14:paraId="01767FFD" w14:textId="77777777" w:rsidR="001F2346" w:rsidRPr="00BA4F0F" w:rsidRDefault="001F2346" w:rsidP="00DC0931">
      <w:pPr>
        <w:numPr>
          <w:ilvl w:val="0"/>
          <w:numId w:val="190"/>
        </w:numPr>
        <w:tabs>
          <w:tab w:val="left" w:pos="0"/>
          <w:tab w:val="left" w:pos="567"/>
        </w:tabs>
        <w:ind w:left="0" w:firstLine="0"/>
      </w:pPr>
      <w:r w:rsidRPr="00BA4F0F">
        <w:t xml:space="preserve">Подозрение на катетер-ассоциированную инфекцию. </w:t>
      </w:r>
    </w:p>
    <w:p w14:paraId="3A18CB7A" w14:textId="77777777" w:rsidR="001F2346" w:rsidRPr="00BA4F0F" w:rsidRDefault="001F2346" w:rsidP="00DC0931">
      <w:pPr>
        <w:numPr>
          <w:ilvl w:val="0"/>
          <w:numId w:val="190"/>
        </w:numPr>
        <w:tabs>
          <w:tab w:val="left" w:pos="0"/>
          <w:tab w:val="left" w:pos="567"/>
        </w:tabs>
        <w:ind w:left="0" w:firstLine="0"/>
      </w:pPr>
      <w:r w:rsidRPr="00BA4F0F">
        <w:t xml:space="preserve">Выделение дрожжевых или мицелиальных грибов из крови. </w:t>
      </w:r>
    </w:p>
    <w:p w14:paraId="6442D47F" w14:textId="77777777" w:rsidR="001F2346" w:rsidRPr="00BA4F0F" w:rsidRDefault="001F2346" w:rsidP="00DC0931">
      <w:pPr>
        <w:numPr>
          <w:ilvl w:val="0"/>
          <w:numId w:val="190"/>
        </w:numPr>
        <w:tabs>
          <w:tab w:val="left" w:pos="0"/>
          <w:tab w:val="left" w:pos="567"/>
        </w:tabs>
        <w:ind w:left="0" w:firstLine="0"/>
      </w:pPr>
      <w:r w:rsidRPr="00BA4F0F">
        <w:t xml:space="preserve">Перевод больного из другого стационара с ЦВК. </w:t>
      </w:r>
    </w:p>
    <w:p w14:paraId="72DEF4E2" w14:textId="77777777" w:rsidR="001F2346" w:rsidRPr="00BA4F0F" w:rsidRDefault="001F2346" w:rsidP="00DC0931">
      <w:pPr>
        <w:numPr>
          <w:ilvl w:val="0"/>
          <w:numId w:val="190"/>
        </w:numPr>
        <w:tabs>
          <w:tab w:val="left" w:pos="0"/>
          <w:tab w:val="left" w:pos="567"/>
        </w:tabs>
        <w:ind w:left="0" w:firstLine="0"/>
      </w:pPr>
      <w:r w:rsidRPr="00BA4F0F">
        <w:t xml:space="preserve">Восстановление числа гранулоцитов у больных сепсисом, обусловленным грамотрицательными бактериями. </w:t>
      </w:r>
    </w:p>
    <w:p w14:paraId="6E657FC1" w14:textId="77777777" w:rsidR="001F2346" w:rsidRPr="00BA4F0F" w:rsidRDefault="001F2346" w:rsidP="001F2346">
      <w:pPr>
        <w:tabs>
          <w:tab w:val="left" w:pos="0"/>
          <w:tab w:val="left" w:pos="567"/>
        </w:tabs>
      </w:pPr>
      <w:r w:rsidRPr="00BA4F0F">
        <w:rPr>
          <w:i/>
        </w:rPr>
        <w:t>Примечание.</w:t>
      </w:r>
      <w:r w:rsidRPr="00BA4F0F">
        <w:t xml:space="preserve"> Если больной переведен из другого стационара с ЦВК, то катетер удаляют в день поступления в другую клинику.</w:t>
      </w:r>
    </w:p>
    <w:p w14:paraId="46E3007B" w14:textId="77777777" w:rsidR="001F2346" w:rsidRPr="00BA4F0F" w:rsidRDefault="001F2346" w:rsidP="00DC0931">
      <w:pPr>
        <w:numPr>
          <w:ilvl w:val="0"/>
          <w:numId w:val="191"/>
        </w:numPr>
        <w:tabs>
          <w:tab w:val="left" w:pos="0"/>
          <w:tab w:val="left" w:pos="567"/>
        </w:tabs>
        <w:ind w:left="0" w:firstLine="0"/>
      </w:pPr>
      <w:r w:rsidRPr="00BA4F0F">
        <w:t xml:space="preserve">Для бактериологического исследования используется асептически удаленный дистальный отрезок катетера длиной 5—6 см. Удаленный отрезок катетера кладут в чашку Петри или другую стерильную емкость и сразу же доставляют в лабораторию для исследования. Хранение и последующее исследование удаленного катетера недопустимо. </w:t>
      </w:r>
    </w:p>
    <w:p w14:paraId="0D9641C8" w14:textId="77777777" w:rsidR="001F2346" w:rsidRPr="00BA4F0F" w:rsidRDefault="001F2346" w:rsidP="00DC0931">
      <w:pPr>
        <w:numPr>
          <w:ilvl w:val="0"/>
          <w:numId w:val="191"/>
        </w:numPr>
        <w:tabs>
          <w:tab w:val="left" w:pos="0"/>
          <w:tab w:val="left" w:pos="567"/>
        </w:tabs>
        <w:ind w:left="0" w:firstLine="0"/>
      </w:pPr>
      <w:r w:rsidRPr="00BA4F0F">
        <w:t>Исследование проводят полуколичественным (метод Маки) или количественным методом. Диагностически значимым (подтверждает инфицирование катетера) при полуколичественном исследовании является выделение микроорганизмов в количестве ≥ 15 КОЕ, при количественном — ≥ 10</w:t>
      </w:r>
      <w:r w:rsidRPr="00BA4F0F">
        <w:rPr>
          <w:vertAlign w:val="superscript"/>
        </w:rPr>
        <w:t>3</w:t>
      </w:r>
      <w:r w:rsidRPr="00BA4F0F">
        <w:t xml:space="preserve"> КОЕ/мл. Для постановки диагноза катетер-ассоциированной инфекции, кроме выделения микроорганизмов в диагностически значимых количествах при исследовании удаленного катетера, необходимо выделение того же микроорганизма из крови. </w:t>
      </w:r>
    </w:p>
    <w:p w14:paraId="586659FD" w14:textId="77777777" w:rsidR="001F2346" w:rsidRPr="00BA4F0F" w:rsidRDefault="001F2346" w:rsidP="00DC0931">
      <w:pPr>
        <w:numPr>
          <w:ilvl w:val="0"/>
          <w:numId w:val="191"/>
        </w:numPr>
        <w:tabs>
          <w:tab w:val="left" w:pos="0"/>
          <w:tab w:val="left" w:pos="567"/>
        </w:tabs>
        <w:ind w:left="0" w:firstLine="0"/>
      </w:pPr>
      <w:r w:rsidRPr="00BA4F0F">
        <w:t xml:space="preserve">При появлении признаков воспаления и отделяемого в месте установки венозного катетера необходимо провести микробиологическое исследование отделяемого, а если эти изменения сохраняются или приобретают хронический характер, выполнить исследование на наличие нетуберкулезных микобактерий. </w:t>
      </w:r>
    </w:p>
    <w:p w14:paraId="699731EC" w14:textId="77777777" w:rsidR="001F2346" w:rsidRPr="00BA4F0F" w:rsidRDefault="001F2346" w:rsidP="00DC0931">
      <w:pPr>
        <w:numPr>
          <w:ilvl w:val="0"/>
          <w:numId w:val="191"/>
        </w:numPr>
        <w:tabs>
          <w:tab w:val="left" w:pos="0"/>
          <w:tab w:val="left" w:pos="567"/>
        </w:tabs>
        <w:ind w:left="0" w:firstLine="0"/>
      </w:pPr>
      <w:r w:rsidRPr="00BA4F0F">
        <w:t xml:space="preserve">Не проводят рутинное исследование всех удаленных катетеров. </w:t>
      </w:r>
    </w:p>
    <w:p w14:paraId="686323F7" w14:textId="77777777" w:rsidR="001F2346" w:rsidRPr="00BA4F0F" w:rsidRDefault="001F2346" w:rsidP="001F2346">
      <w:pPr>
        <w:pStyle w:val="afe"/>
        <w:ind w:left="0"/>
        <w:rPr>
          <w:rFonts w:cs="Times New Roman"/>
          <w:i/>
          <w:szCs w:val="24"/>
        </w:rPr>
      </w:pPr>
    </w:p>
    <w:p w14:paraId="3E67B6E3" w14:textId="77777777" w:rsidR="001F2346" w:rsidRPr="00BA4F0F" w:rsidRDefault="001F2346" w:rsidP="001F2346">
      <w:pPr>
        <w:pStyle w:val="afe"/>
        <w:ind w:left="0"/>
        <w:rPr>
          <w:rFonts w:cs="Times New Roman"/>
          <w:i/>
          <w:szCs w:val="24"/>
        </w:rPr>
      </w:pPr>
      <w:r w:rsidRPr="00BA4F0F">
        <w:rPr>
          <w:rFonts w:cs="Times New Roman"/>
          <w:i/>
          <w:szCs w:val="24"/>
        </w:rPr>
        <w:t>Микробиологическое исследование мочи</w:t>
      </w:r>
    </w:p>
    <w:p w14:paraId="2BDFFB7B" w14:textId="77777777" w:rsidR="001F2346" w:rsidRPr="00BA4F0F" w:rsidRDefault="001F2346" w:rsidP="00DC0931">
      <w:pPr>
        <w:numPr>
          <w:ilvl w:val="0"/>
          <w:numId w:val="192"/>
        </w:numPr>
        <w:tabs>
          <w:tab w:val="left" w:pos="0"/>
          <w:tab w:val="left" w:pos="567"/>
        </w:tabs>
        <w:ind w:left="0" w:firstLine="0"/>
      </w:pPr>
      <w:r w:rsidRPr="00BA4F0F">
        <w:t>Показания:</w:t>
      </w:r>
    </w:p>
    <w:p w14:paraId="4ABF6F6E" w14:textId="77777777" w:rsidR="001F2346" w:rsidRPr="00BA4F0F" w:rsidRDefault="001F2346" w:rsidP="00DC0931">
      <w:pPr>
        <w:numPr>
          <w:ilvl w:val="0"/>
          <w:numId w:val="193"/>
        </w:numPr>
        <w:tabs>
          <w:tab w:val="left" w:pos="0"/>
          <w:tab w:val="left" w:pos="567"/>
        </w:tabs>
        <w:ind w:left="0" w:firstLine="0"/>
      </w:pPr>
      <w:r w:rsidRPr="00BA4F0F">
        <w:t xml:space="preserve">Симптомы инфекции мочевыводящих путей. </w:t>
      </w:r>
    </w:p>
    <w:p w14:paraId="2D22AF52" w14:textId="77777777" w:rsidR="001F2346" w:rsidRPr="00BA4F0F" w:rsidRDefault="001F2346" w:rsidP="00DC0931">
      <w:pPr>
        <w:numPr>
          <w:ilvl w:val="0"/>
          <w:numId w:val="193"/>
        </w:numPr>
        <w:tabs>
          <w:tab w:val="left" w:pos="0"/>
          <w:tab w:val="left" w:pos="567"/>
        </w:tabs>
        <w:ind w:left="0" w:firstLine="0"/>
      </w:pPr>
      <w:r w:rsidRPr="00BA4F0F">
        <w:t xml:space="preserve">Лейкоцитурия. </w:t>
      </w:r>
    </w:p>
    <w:p w14:paraId="26ACA6E5" w14:textId="77777777" w:rsidR="001F2346" w:rsidRPr="00BA4F0F" w:rsidRDefault="001F2346" w:rsidP="00DC0931">
      <w:pPr>
        <w:numPr>
          <w:ilvl w:val="0"/>
          <w:numId w:val="193"/>
        </w:numPr>
        <w:tabs>
          <w:tab w:val="left" w:pos="0"/>
          <w:tab w:val="left" w:pos="567"/>
        </w:tabs>
        <w:ind w:left="0" w:firstLine="0"/>
      </w:pPr>
      <w:r w:rsidRPr="00BA4F0F">
        <w:lastRenderedPageBreak/>
        <w:t xml:space="preserve">Длительная лихорадка неясной этиологии. </w:t>
      </w:r>
    </w:p>
    <w:p w14:paraId="488B6B51" w14:textId="77777777" w:rsidR="001F2346" w:rsidRPr="00BA4F0F" w:rsidRDefault="001F2346" w:rsidP="00DC0931">
      <w:pPr>
        <w:numPr>
          <w:ilvl w:val="0"/>
          <w:numId w:val="194"/>
        </w:numPr>
        <w:tabs>
          <w:tab w:val="left" w:pos="0"/>
          <w:tab w:val="left" w:pos="567"/>
        </w:tabs>
        <w:ind w:left="0" w:firstLine="0"/>
      </w:pPr>
      <w:r w:rsidRPr="00BA4F0F">
        <w:t xml:space="preserve">Для исследования направляют утреннюю среднюю порцию мочи; доставку мочи в лабораторию проводят немедленно, максимально допустимое время с момента забора до доставки в лабораторию — 2 часа. </w:t>
      </w:r>
    </w:p>
    <w:p w14:paraId="27A0F13F" w14:textId="77777777" w:rsidR="001F2346" w:rsidRPr="00BA4F0F" w:rsidRDefault="001F2346" w:rsidP="001F2346">
      <w:pPr>
        <w:tabs>
          <w:tab w:val="left" w:pos="0"/>
          <w:tab w:val="left" w:pos="567"/>
        </w:tabs>
      </w:pPr>
      <w:r w:rsidRPr="00BA4F0F">
        <w:rPr>
          <w:i/>
        </w:rPr>
        <w:t>Примечание.</w:t>
      </w:r>
      <w:r w:rsidRPr="00BA4F0F">
        <w:t xml:space="preserve"> Микробиологическое исследование мочи, взятой из катетера Фоли, мочесборных мешков, не проводят из-за контаминации пластика. Исследование мочи в этих случаях проводят в день постановки мочевого катетера. Микробиологическое исследование удаленного катетера Фоли также не проводят. </w:t>
      </w:r>
    </w:p>
    <w:p w14:paraId="6453CA29" w14:textId="77777777" w:rsidR="001F2346" w:rsidRPr="00BA4F0F" w:rsidRDefault="001F2346" w:rsidP="00DC0931">
      <w:pPr>
        <w:numPr>
          <w:ilvl w:val="0"/>
          <w:numId w:val="194"/>
        </w:numPr>
        <w:tabs>
          <w:tab w:val="left" w:pos="0"/>
          <w:tab w:val="left" w:pos="567"/>
        </w:tabs>
        <w:ind w:left="0" w:firstLine="0"/>
      </w:pPr>
      <w:r w:rsidRPr="00BA4F0F">
        <w:t>Бактериурия является диагностически значимой, если выделен один микроорганизм в количестве ≥ 10</w:t>
      </w:r>
      <w:r w:rsidRPr="00BA4F0F">
        <w:rPr>
          <w:vertAlign w:val="superscript"/>
        </w:rPr>
        <w:t>3</w:t>
      </w:r>
      <w:r w:rsidRPr="00BA4F0F">
        <w:t xml:space="preserve"> КОЕ/мл. </w:t>
      </w:r>
    </w:p>
    <w:p w14:paraId="7D7F83A6" w14:textId="77777777" w:rsidR="001F2346" w:rsidRPr="00BA4F0F" w:rsidRDefault="001F2346" w:rsidP="00DC0931">
      <w:pPr>
        <w:numPr>
          <w:ilvl w:val="0"/>
          <w:numId w:val="194"/>
        </w:numPr>
        <w:tabs>
          <w:tab w:val="left" w:pos="0"/>
          <w:tab w:val="left" w:pos="567"/>
        </w:tabs>
        <w:ind w:left="0" w:firstLine="0"/>
      </w:pPr>
      <w:r w:rsidRPr="00BA4F0F">
        <w:t>Если выделены два микроорганизма в количестве ≥ 10</w:t>
      </w:r>
      <w:r w:rsidRPr="00BA4F0F">
        <w:rPr>
          <w:vertAlign w:val="superscript"/>
        </w:rPr>
        <w:t>3</w:t>
      </w:r>
      <w:r w:rsidRPr="00BA4F0F">
        <w:t xml:space="preserve"> КОЕ/мл, то микробиологическое исследование мочи повторяют на следующий день. Повторное выделение тех же микроорганизмов (за исключением бактерий, указанных в примечании) подтверждает инфекцию мочевыводящих путей. </w:t>
      </w:r>
    </w:p>
    <w:p w14:paraId="1FEA61B5" w14:textId="77777777" w:rsidR="001F2346" w:rsidRPr="00BA4F0F" w:rsidRDefault="001F2346" w:rsidP="00DC0931">
      <w:pPr>
        <w:numPr>
          <w:ilvl w:val="0"/>
          <w:numId w:val="194"/>
        </w:numPr>
        <w:tabs>
          <w:tab w:val="left" w:pos="0"/>
          <w:tab w:val="left" w:pos="567"/>
        </w:tabs>
        <w:ind w:left="0" w:firstLine="0"/>
      </w:pPr>
      <w:r w:rsidRPr="00BA4F0F">
        <w:t xml:space="preserve">Любое количество бактерий в моче, полученной путем надлобковой пункции мочевого пузыря, является значимой бактериурией. </w:t>
      </w:r>
    </w:p>
    <w:p w14:paraId="7DB30D87" w14:textId="77777777" w:rsidR="001F2346" w:rsidRPr="00BA4F0F" w:rsidRDefault="001F2346" w:rsidP="00DC0931">
      <w:pPr>
        <w:numPr>
          <w:ilvl w:val="0"/>
          <w:numId w:val="194"/>
        </w:numPr>
        <w:tabs>
          <w:tab w:val="left" w:pos="0"/>
          <w:tab w:val="left" w:pos="567"/>
        </w:tabs>
        <w:ind w:left="0" w:firstLine="0"/>
      </w:pPr>
      <w:r w:rsidRPr="00BA4F0F">
        <w:t>Бактериурию считают бессимптомной, если в двух последовательных образцах, взятых с интервалом более 24 часов, обнаруживается один и тот же патогенный микроорганизм в количестве ≥ 10</w:t>
      </w:r>
      <w:r w:rsidRPr="00BA4F0F">
        <w:rPr>
          <w:vertAlign w:val="superscript"/>
        </w:rPr>
        <w:t>5</w:t>
      </w:r>
      <w:r w:rsidRPr="00BA4F0F">
        <w:t xml:space="preserve"> КОЕ/мл. </w:t>
      </w:r>
    </w:p>
    <w:p w14:paraId="591AFDC3" w14:textId="77777777" w:rsidR="001F2346" w:rsidRPr="00BA4F0F" w:rsidRDefault="001F2346" w:rsidP="00DC0931">
      <w:pPr>
        <w:numPr>
          <w:ilvl w:val="0"/>
          <w:numId w:val="194"/>
        </w:numPr>
        <w:tabs>
          <w:tab w:val="left" w:pos="0"/>
          <w:tab w:val="left" w:pos="567"/>
        </w:tabs>
        <w:ind w:left="0" w:firstLine="0"/>
        <w:rPr>
          <w:i/>
        </w:rPr>
      </w:pPr>
      <w:r w:rsidRPr="00BA4F0F">
        <w:t xml:space="preserve">Наиболее частые возбудители инфекции мочевыводящих путей — это энтеробактерии, в составе которых преобладают </w:t>
      </w:r>
      <w:r w:rsidRPr="00BA4F0F">
        <w:rPr>
          <w:i/>
        </w:rPr>
        <w:t>Escherichia coli</w:t>
      </w:r>
      <w:r w:rsidRPr="00BA4F0F">
        <w:t xml:space="preserve">, далее </w:t>
      </w:r>
      <w:r w:rsidRPr="00BA4F0F">
        <w:rPr>
          <w:i/>
        </w:rPr>
        <w:t>Staphylococcus saprophyticus</w:t>
      </w:r>
      <w:r w:rsidRPr="00BA4F0F">
        <w:t xml:space="preserve"> (чаще у молодых женщин), </w:t>
      </w:r>
      <w:r w:rsidRPr="00BA4F0F">
        <w:rPr>
          <w:i/>
        </w:rPr>
        <w:t xml:space="preserve">Enterococcus spp., Pseudomonas aeruginosa. </w:t>
      </w:r>
    </w:p>
    <w:p w14:paraId="7B85F648" w14:textId="77777777" w:rsidR="001F2346" w:rsidRPr="00BA4F0F" w:rsidRDefault="001F2346" w:rsidP="00DC0931">
      <w:pPr>
        <w:numPr>
          <w:ilvl w:val="0"/>
          <w:numId w:val="194"/>
        </w:numPr>
        <w:tabs>
          <w:tab w:val="left" w:pos="0"/>
          <w:tab w:val="left" w:pos="567"/>
        </w:tabs>
        <w:ind w:left="0" w:firstLine="0"/>
        <w:rPr>
          <w:i/>
        </w:rPr>
      </w:pPr>
      <w:r w:rsidRPr="00BA4F0F">
        <w:t>При выделении из мочи коагулазанегативных стафилококков в монокультуре (≥ 10</w:t>
      </w:r>
      <w:r w:rsidRPr="00BA4F0F">
        <w:rPr>
          <w:vertAlign w:val="superscript"/>
        </w:rPr>
        <w:t>4</w:t>
      </w:r>
      <w:r w:rsidRPr="00BA4F0F">
        <w:t xml:space="preserve"> КОЕ/мл) проводят дополнительное исследование для идентификации </w:t>
      </w:r>
      <w:r w:rsidRPr="00BA4F0F">
        <w:rPr>
          <w:i/>
        </w:rPr>
        <w:t xml:space="preserve">Staphylococcus saprophyticus. </w:t>
      </w:r>
    </w:p>
    <w:p w14:paraId="5D461D31" w14:textId="77777777" w:rsidR="001F2346" w:rsidRPr="00BA4F0F" w:rsidRDefault="001F2346" w:rsidP="00DC0931">
      <w:pPr>
        <w:numPr>
          <w:ilvl w:val="0"/>
          <w:numId w:val="194"/>
        </w:numPr>
        <w:tabs>
          <w:tab w:val="left" w:pos="0"/>
          <w:tab w:val="left" w:pos="567"/>
        </w:tabs>
        <w:ind w:left="0" w:firstLine="0"/>
      </w:pPr>
      <w:r w:rsidRPr="00BA4F0F">
        <w:t xml:space="preserve">Высокое содержание </w:t>
      </w:r>
      <w:r w:rsidRPr="00BA4F0F">
        <w:rPr>
          <w:i/>
        </w:rPr>
        <w:t>Staphylococcus epidermidis</w:t>
      </w:r>
      <w:r w:rsidRPr="00BA4F0F">
        <w:t xml:space="preserve"> (≥ 10</w:t>
      </w:r>
      <w:r w:rsidRPr="00BA4F0F">
        <w:rPr>
          <w:vertAlign w:val="superscript"/>
        </w:rPr>
        <w:t>5</w:t>
      </w:r>
      <w:r w:rsidRPr="00BA4F0F">
        <w:t xml:space="preserve"> КОЕ/мл) является диагностически значимым. </w:t>
      </w:r>
    </w:p>
    <w:p w14:paraId="65DAD683" w14:textId="77777777" w:rsidR="001F2346" w:rsidRPr="00BA4F0F" w:rsidRDefault="001F2346" w:rsidP="00DC0931">
      <w:pPr>
        <w:numPr>
          <w:ilvl w:val="0"/>
          <w:numId w:val="194"/>
        </w:numPr>
        <w:tabs>
          <w:tab w:val="left" w:pos="0"/>
          <w:tab w:val="left" w:pos="567"/>
        </w:tabs>
        <w:ind w:left="0" w:firstLine="0"/>
      </w:pPr>
      <w:r w:rsidRPr="00BA4F0F">
        <w:t xml:space="preserve">Неоднократное выделение из мочи </w:t>
      </w:r>
      <w:r w:rsidRPr="00BA4F0F">
        <w:rPr>
          <w:i/>
        </w:rPr>
        <w:t>Сandida spp</w:t>
      </w:r>
      <w:r w:rsidRPr="00BA4F0F">
        <w:t xml:space="preserve">. у больных с фебрильной нейтропенией, не имеющих мочевого катетера, свидетельствует о высокой вероятности наличия диссеминированного инвазивного кандидоза. </w:t>
      </w:r>
    </w:p>
    <w:p w14:paraId="17644725" w14:textId="77777777" w:rsidR="001F2346" w:rsidRPr="00BA4F0F" w:rsidRDefault="001F2346" w:rsidP="001F2346">
      <w:pPr>
        <w:tabs>
          <w:tab w:val="left" w:pos="0"/>
          <w:tab w:val="left" w:pos="567"/>
        </w:tabs>
      </w:pPr>
      <w:r w:rsidRPr="00BA4F0F">
        <w:rPr>
          <w:i/>
        </w:rPr>
        <w:t>Примечание.</w:t>
      </w:r>
      <w:r w:rsidRPr="00BA4F0F">
        <w:t xml:space="preserve"> Выделение из мочи таких микроорганизмов, как дифтероиды, стрептококки группы </w:t>
      </w:r>
      <w:r w:rsidRPr="00BA4F0F">
        <w:rPr>
          <w:i/>
        </w:rPr>
        <w:t>viridans</w:t>
      </w:r>
      <w:r w:rsidRPr="00BA4F0F">
        <w:t xml:space="preserve">, лактобактерии, коагулазанегативные стафилококки (исключение составляет </w:t>
      </w:r>
      <w:r w:rsidRPr="00BA4F0F">
        <w:rPr>
          <w:i/>
        </w:rPr>
        <w:t>Staphylococcus saprophyticus</w:t>
      </w:r>
      <w:r w:rsidRPr="00BA4F0F">
        <w:t>), свидетельствует о контаминации образцов мочи (кожа, влагалище).</w:t>
      </w:r>
    </w:p>
    <w:p w14:paraId="7D0A0AF6" w14:textId="77777777" w:rsidR="001F2346" w:rsidRPr="00BA4F0F" w:rsidRDefault="001F2346" w:rsidP="001F2346">
      <w:pPr>
        <w:pStyle w:val="afe"/>
        <w:ind w:left="0"/>
        <w:rPr>
          <w:rFonts w:cs="Times New Roman"/>
          <w:i/>
          <w:szCs w:val="24"/>
        </w:rPr>
      </w:pPr>
    </w:p>
    <w:p w14:paraId="05538C3C" w14:textId="77777777" w:rsidR="001F2346" w:rsidRPr="00BA4F0F" w:rsidRDefault="001F2346" w:rsidP="001F2346">
      <w:pPr>
        <w:pStyle w:val="afe"/>
        <w:ind w:left="0"/>
        <w:rPr>
          <w:rFonts w:cs="Times New Roman"/>
          <w:i/>
          <w:szCs w:val="24"/>
        </w:rPr>
      </w:pPr>
      <w:r w:rsidRPr="00BA4F0F">
        <w:rPr>
          <w:rFonts w:cs="Times New Roman"/>
          <w:i/>
          <w:szCs w:val="24"/>
        </w:rPr>
        <w:lastRenderedPageBreak/>
        <w:t>Микробиологическое исследование спинномозговой жидкости</w:t>
      </w:r>
    </w:p>
    <w:p w14:paraId="71379FDA" w14:textId="77777777" w:rsidR="001F2346" w:rsidRPr="00BA4F0F" w:rsidRDefault="001F2346" w:rsidP="00DC0931">
      <w:pPr>
        <w:numPr>
          <w:ilvl w:val="0"/>
          <w:numId w:val="195"/>
        </w:numPr>
        <w:tabs>
          <w:tab w:val="left" w:pos="0"/>
          <w:tab w:val="left" w:pos="567"/>
        </w:tabs>
        <w:ind w:left="0" w:firstLine="0"/>
      </w:pPr>
      <w:r w:rsidRPr="00BA4F0F">
        <w:t xml:space="preserve">Показания: </w:t>
      </w:r>
    </w:p>
    <w:p w14:paraId="7DFC6806" w14:textId="77777777" w:rsidR="001F2346" w:rsidRPr="00BA4F0F" w:rsidRDefault="001F2346" w:rsidP="00DC0931">
      <w:pPr>
        <w:numPr>
          <w:ilvl w:val="0"/>
          <w:numId w:val="197"/>
        </w:numPr>
        <w:tabs>
          <w:tab w:val="left" w:pos="0"/>
          <w:tab w:val="left" w:pos="567"/>
        </w:tabs>
        <w:ind w:left="0" w:firstLine="0"/>
      </w:pPr>
      <w:r w:rsidRPr="00BA4F0F">
        <w:t xml:space="preserve">Симптомы менингита. </w:t>
      </w:r>
    </w:p>
    <w:p w14:paraId="572FBBDE" w14:textId="77777777" w:rsidR="001F2346" w:rsidRPr="00BA4F0F" w:rsidRDefault="001F2346" w:rsidP="00DC0931">
      <w:pPr>
        <w:numPr>
          <w:ilvl w:val="0"/>
          <w:numId w:val="197"/>
        </w:numPr>
        <w:tabs>
          <w:tab w:val="left" w:pos="0"/>
          <w:tab w:val="left" w:pos="567"/>
        </w:tabs>
        <w:ind w:left="0" w:firstLine="0"/>
      </w:pPr>
      <w:r w:rsidRPr="00BA4F0F">
        <w:t xml:space="preserve">«Мозговая» симптоматика на фоне лихорадки и нейтропении. </w:t>
      </w:r>
    </w:p>
    <w:p w14:paraId="5D472011" w14:textId="77777777" w:rsidR="001F2346" w:rsidRPr="00BA4F0F" w:rsidRDefault="001F2346" w:rsidP="00DC0931">
      <w:pPr>
        <w:numPr>
          <w:ilvl w:val="0"/>
          <w:numId w:val="197"/>
        </w:numPr>
        <w:tabs>
          <w:tab w:val="left" w:pos="0"/>
          <w:tab w:val="left" w:pos="567"/>
        </w:tabs>
        <w:ind w:left="0" w:firstLine="0"/>
      </w:pPr>
      <w:r w:rsidRPr="00BA4F0F">
        <w:t xml:space="preserve">Обнаружение очага (очагов) в головном мозге при КТ или МРТ. </w:t>
      </w:r>
    </w:p>
    <w:p w14:paraId="0CA62603" w14:textId="77777777" w:rsidR="001F2346" w:rsidRPr="00BA4F0F" w:rsidRDefault="001F2346" w:rsidP="00DC0931">
      <w:pPr>
        <w:numPr>
          <w:ilvl w:val="0"/>
          <w:numId w:val="196"/>
        </w:numPr>
        <w:tabs>
          <w:tab w:val="left" w:pos="0"/>
          <w:tab w:val="left" w:pos="567"/>
        </w:tabs>
        <w:ind w:left="0" w:firstLine="0"/>
      </w:pPr>
      <w:r w:rsidRPr="00BA4F0F">
        <w:t>Доставка материала в лабораторию должна быть немедленной</w:t>
      </w:r>
      <w:r w:rsidRPr="00BA4F0F">
        <w:rPr>
          <w:b/>
        </w:rPr>
        <w:t xml:space="preserve"> </w:t>
      </w:r>
      <w:r w:rsidRPr="00BA4F0F">
        <w:t xml:space="preserve">в стерильной пробирке или в шприце с закрытым наконечником. </w:t>
      </w:r>
    </w:p>
    <w:p w14:paraId="5D0D01E7" w14:textId="77777777" w:rsidR="001F2346" w:rsidRPr="00BA4F0F" w:rsidRDefault="001F2346" w:rsidP="00DC0931">
      <w:pPr>
        <w:numPr>
          <w:ilvl w:val="0"/>
          <w:numId w:val="196"/>
        </w:numPr>
        <w:tabs>
          <w:tab w:val="left" w:pos="0"/>
          <w:tab w:val="left" w:pos="567"/>
        </w:tabs>
        <w:ind w:left="0" w:firstLine="0"/>
      </w:pPr>
      <w:r w:rsidRPr="00BA4F0F">
        <w:t xml:space="preserve">Не помещают образцы СМЖ в холодильник. </w:t>
      </w:r>
    </w:p>
    <w:p w14:paraId="570ED954" w14:textId="77777777" w:rsidR="001F2346" w:rsidRPr="00BA4F0F" w:rsidRDefault="001F2346" w:rsidP="00DC0931">
      <w:pPr>
        <w:numPr>
          <w:ilvl w:val="0"/>
          <w:numId w:val="196"/>
        </w:numPr>
        <w:tabs>
          <w:tab w:val="left" w:pos="0"/>
          <w:tab w:val="left" w:pos="567"/>
        </w:tabs>
        <w:ind w:left="0" w:firstLine="0"/>
      </w:pPr>
      <w:r w:rsidRPr="00BA4F0F">
        <w:t>Для полного исследования (бактерии, грибы, антигены) необходимо 2 мл СМЖ. Минимальное количество жидкости, необходимое для микробиологического исследования, составляет 0,5-1 мл.</w:t>
      </w:r>
    </w:p>
    <w:p w14:paraId="6FB44042" w14:textId="77777777" w:rsidR="001F2346" w:rsidRPr="00BA4F0F" w:rsidRDefault="001F2346" w:rsidP="00DC0931">
      <w:pPr>
        <w:numPr>
          <w:ilvl w:val="0"/>
          <w:numId w:val="196"/>
        </w:numPr>
        <w:tabs>
          <w:tab w:val="left" w:pos="0"/>
          <w:tab w:val="left" w:pos="567"/>
        </w:tabs>
        <w:ind w:left="0" w:firstLine="0"/>
      </w:pPr>
      <w:r w:rsidRPr="00BA4F0F">
        <w:t xml:space="preserve">Не направляют в лабораторию образец СМЖ, полученный в первой пробирке пункции, поскольку имеется высокая вероятность контаминации образца микроорганизмами с кожи и, вполне определенно, будут возникать проблемы в интерпретации результатов исследования в случае выделения коагулозанегативных стафилококков. Первый образец СМЖ может быть использован для цитологического исследования.  </w:t>
      </w:r>
    </w:p>
    <w:p w14:paraId="71120E86" w14:textId="77777777" w:rsidR="001F2346" w:rsidRPr="00BA4F0F" w:rsidRDefault="001F2346" w:rsidP="00DC0931">
      <w:pPr>
        <w:numPr>
          <w:ilvl w:val="0"/>
          <w:numId w:val="196"/>
        </w:numPr>
        <w:tabs>
          <w:tab w:val="left" w:pos="0"/>
          <w:tab w:val="left" w:pos="567"/>
        </w:tabs>
        <w:ind w:left="0" w:firstLine="0"/>
      </w:pPr>
      <w:r w:rsidRPr="00BA4F0F">
        <w:t xml:space="preserve">СМЖ исследуют на бактерии (микроскопия, посев, определение антигенов), микобактерии (микроскопия, определение ДНК микобактерий), вирусы (определение ДНК вирусов герпетической группы, ЦМВ), грибы (микроскопия, посев, антигены), определяют антигены </w:t>
      </w:r>
      <w:r w:rsidRPr="00BA4F0F">
        <w:rPr>
          <w:i/>
        </w:rPr>
        <w:t>Cryptococcus spp., Aspergillus spp.</w:t>
      </w:r>
      <w:r w:rsidRPr="00BA4F0F">
        <w:t xml:space="preserve"> – при наличии инвазиного аспергиллеза легких или придаточных пазух носа, при необходимости — антигены бактерий (</w:t>
      </w:r>
      <w:r w:rsidRPr="00BA4F0F">
        <w:rPr>
          <w:i/>
        </w:rPr>
        <w:t>Streptococcus pneumoniae, Haemophilus influenzae, Neisseria meningitides</w:t>
      </w:r>
      <w:r w:rsidRPr="00BA4F0F">
        <w:t xml:space="preserve">, стрептококки группы В - </w:t>
      </w:r>
      <w:r w:rsidRPr="00BA4F0F">
        <w:rPr>
          <w:i/>
        </w:rPr>
        <w:t>Streptococcus agalactiae</w:t>
      </w:r>
      <w:r w:rsidRPr="00BA4F0F">
        <w:t xml:space="preserve">). У больных, имеющих очаги в головном мозге и выраженный иммунодефицит (при длительной нейтропении), следует в определять СМЖ ДНК </w:t>
      </w:r>
      <w:r w:rsidRPr="00BA4F0F">
        <w:rPr>
          <w:i/>
        </w:rPr>
        <w:t>Toxoplasma gondii</w:t>
      </w:r>
      <w:r w:rsidRPr="00BA4F0F">
        <w:t xml:space="preserve"> (ПЦР). </w:t>
      </w:r>
    </w:p>
    <w:p w14:paraId="5CC40FE8" w14:textId="77777777" w:rsidR="001F2346" w:rsidRPr="00BA4F0F" w:rsidRDefault="001F2346" w:rsidP="001F2346">
      <w:pPr>
        <w:pStyle w:val="afe"/>
        <w:ind w:left="0"/>
        <w:rPr>
          <w:rFonts w:cs="Times New Roman"/>
          <w:i/>
          <w:szCs w:val="24"/>
        </w:rPr>
      </w:pPr>
    </w:p>
    <w:p w14:paraId="68A32067" w14:textId="77777777" w:rsidR="001F2346" w:rsidRPr="00BA4F0F" w:rsidRDefault="001F2346" w:rsidP="001F2346">
      <w:pPr>
        <w:pStyle w:val="afe"/>
        <w:ind w:left="0"/>
        <w:rPr>
          <w:rFonts w:cs="Times New Roman"/>
          <w:i/>
          <w:szCs w:val="24"/>
        </w:rPr>
      </w:pPr>
      <w:r w:rsidRPr="00BA4F0F">
        <w:rPr>
          <w:rFonts w:cs="Times New Roman"/>
          <w:i/>
          <w:szCs w:val="24"/>
        </w:rPr>
        <w:t>Микробиологическое исследование кала</w:t>
      </w:r>
    </w:p>
    <w:p w14:paraId="551F098D" w14:textId="77777777" w:rsidR="001F2346" w:rsidRPr="00BA4F0F" w:rsidRDefault="001F2346" w:rsidP="00DC0931">
      <w:pPr>
        <w:numPr>
          <w:ilvl w:val="0"/>
          <w:numId w:val="198"/>
        </w:numPr>
        <w:tabs>
          <w:tab w:val="left" w:pos="0"/>
          <w:tab w:val="left" w:pos="567"/>
        </w:tabs>
        <w:ind w:left="0" w:firstLine="0"/>
      </w:pPr>
      <w:r w:rsidRPr="00BA4F0F">
        <w:t xml:space="preserve">Показания — диарея. </w:t>
      </w:r>
    </w:p>
    <w:p w14:paraId="22BE42E9" w14:textId="77777777" w:rsidR="001F2346" w:rsidRPr="00BA4F0F" w:rsidRDefault="001F2346" w:rsidP="00DC0931">
      <w:pPr>
        <w:numPr>
          <w:ilvl w:val="0"/>
          <w:numId w:val="198"/>
        </w:numPr>
        <w:tabs>
          <w:tab w:val="left" w:pos="0"/>
          <w:tab w:val="left" w:pos="567"/>
        </w:tabs>
        <w:ind w:left="0" w:firstLine="0"/>
        <w:rPr>
          <w:i/>
        </w:rPr>
      </w:pPr>
      <w:r w:rsidRPr="00BA4F0F">
        <w:t xml:space="preserve">Во всех случаях следует провести тест на токсин </w:t>
      </w:r>
      <w:r w:rsidRPr="00BA4F0F">
        <w:rPr>
          <w:i/>
        </w:rPr>
        <w:t xml:space="preserve">Clostridium difficile. </w:t>
      </w:r>
    </w:p>
    <w:p w14:paraId="7819B291" w14:textId="77777777" w:rsidR="001F2346" w:rsidRPr="00BA4F0F" w:rsidRDefault="001F2346" w:rsidP="00DC0931">
      <w:pPr>
        <w:numPr>
          <w:ilvl w:val="0"/>
          <w:numId w:val="198"/>
        </w:numPr>
        <w:tabs>
          <w:tab w:val="left" w:pos="0"/>
          <w:tab w:val="left" w:pos="567"/>
        </w:tabs>
        <w:ind w:left="0" w:firstLine="0"/>
      </w:pPr>
      <w:r w:rsidRPr="00BA4F0F">
        <w:t xml:space="preserve">Если результат этого теста оказывается отрицательным, проводят количественное исследование на условно-патогенные микроорганизмы, а также на </w:t>
      </w:r>
      <w:r w:rsidRPr="00BA4F0F">
        <w:rPr>
          <w:i/>
        </w:rPr>
        <w:t>Сryptosporidium parvum, Salmonella spp., Shigella spp., Listeria spp., Yersenia spp.</w:t>
      </w:r>
      <w:r w:rsidRPr="00BA4F0F">
        <w:t xml:space="preserve">, вирусы (ротавирусы, аденовирусы). Энтероколиты могут быть обусловлены </w:t>
      </w:r>
      <w:r w:rsidRPr="00BA4F0F">
        <w:rPr>
          <w:i/>
        </w:rPr>
        <w:t>Candida spp</w:t>
      </w:r>
      <w:r w:rsidRPr="00BA4F0F">
        <w:t xml:space="preserve">. При количественном исследовании кала следует обращать внимание на выделение штаммов </w:t>
      </w:r>
      <w:r w:rsidRPr="00BA4F0F">
        <w:rPr>
          <w:i/>
        </w:rPr>
        <w:t>Pseudomonas aeruginosa</w:t>
      </w:r>
      <w:r w:rsidRPr="00BA4F0F">
        <w:t xml:space="preserve">, </w:t>
      </w:r>
      <w:r w:rsidRPr="00BA4F0F">
        <w:lastRenderedPageBreak/>
        <w:t>энтеробактерий (</w:t>
      </w:r>
      <w:r w:rsidRPr="00BA4F0F">
        <w:rPr>
          <w:i/>
        </w:rPr>
        <w:t>Escherichia coli, Klebsiella spp.),</w:t>
      </w:r>
      <w:r w:rsidRPr="00BA4F0F">
        <w:t xml:space="preserve"> продуцирующих БЛРС или карбапенемазы. У больных с персистирующей фебрильной нейтропенией и отсутствием положительной гемокультуры эти микроорганизмы могут быть причиной инфекции. </w:t>
      </w:r>
    </w:p>
    <w:p w14:paraId="0CE46149" w14:textId="77777777" w:rsidR="001F2346" w:rsidRPr="00BA4F0F" w:rsidRDefault="001F2346" w:rsidP="001F2346">
      <w:pPr>
        <w:tabs>
          <w:tab w:val="left" w:pos="0"/>
          <w:tab w:val="left" w:pos="567"/>
        </w:tabs>
      </w:pPr>
      <w:r w:rsidRPr="00BA4F0F">
        <w:rPr>
          <w:i/>
        </w:rPr>
        <w:t>Примечание.</w:t>
      </w:r>
      <w:r w:rsidRPr="00BA4F0F">
        <w:t xml:space="preserve"> Исследование на дисбактериоз кишечника у больных без диареи относится к исследованиям, которые приняты лишь в России, оно трудоемко и малоинформативно, особенно у больных вне нейтропении. </w:t>
      </w:r>
    </w:p>
    <w:p w14:paraId="3074E3B2" w14:textId="77777777" w:rsidR="001F2346" w:rsidRPr="00BA4F0F" w:rsidRDefault="001F2346" w:rsidP="001F2346">
      <w:pPr>
        <w:pStyle w:val="afe"/>
        <w:ind w:left="0"/>
        <w:rPr>
          <w:rFonts w:cs="Times New Roman"/>
          <w:i/>
          <w:szCs w:val="24"/>
        </w:rPr>
      </w:pPr>
    </w:p>
    <w:p w14:paraId="0F4FE3A8" w14:textId="77777777" w:rsidR="001F2346" w:rsidRPr="00BA4F0F" w:rsidRDefault="001F2346" w:rsidP="001F2346">
      <w:pPr>
        <w:pStyle w:val="afe"/>
        <w:ind w:left="0"/>
        <w:rPr>
          <w:rFonts w:cs="Times New Roman"/>
          <w:i/>
          <w:szCs w:val="24"/>
        </w:rPr>
      </w:pPr>
      <w:r w:rsidRPr="00BA4F0F">
        <w:rPr>
          <w:rFonts w:cs="Times New Roman"/>
          <w:i/>
          <w:szCs w:val="24"/>
        </w:rPr>
        <w:t>Микробиологическое исследование мазка со слизистой оболочки ротоглотки</w:t>
      </w:r>
    </w:p>
    <w:p w14:paraId="06DD5C28" w14:textId="77777777" w:rsidR="001F2346" w:rsidRPr="00BA4F0F" w:rsidRDefault="001F2346" w:rsidP="00DC0931">
      <w:pPr>
        <w:numPr>
          <w:ilvl w:val="0"/>
          <w:numId w:val="199"/>
        </w:numPr>
        <w:tabs>
          <w:tab w:val="left" w:pos="0"/>
          <w:tab w:val="left" w:pos="567"/>
        </w:tabs>
        <w:ind w:left="0" w:firstLine="0"/>
      </w:pPr>
      <w:r w:rsidRPr="00BA4F0F">
        <w:t xml:space="preserve">Показания — наличие признаков стоматита. </w:t>
      </w:r>
    </w:p>
    <w:p w14:paraId="75251FE1" w14:textId="77777777" w:rsidR="001F2346" w:rsidRPr="00BA4F0F" w:rsidRDefault="001F2346" w:rsidP="00DC0931">
      <w:pPr>
        <w:numPr>
          <w:ilvl w:val="0"/>
          <w:numId w:val="199"/>
        </w:numPr>
        <w:tabs>
          <w:tab w:val="left" w:pos="0"/>
          <w:tab w:val="left" w:pos="567"/>
        </w:tabs>
        <w:ind w:left="0" w:firstLine="0"/>
      </w:pPr>
      <w:r w:rsidRPr="00BA4F0F">
        <w:t xml:space="preserve">При нейтропении обращают внимание на выделение </w:t>
      </w:r>
      <w:r w:rsidRPr="00BA4F0F">
        <w:rPr>
          <w:i/>
        </w:rPr>
        <w:t>Candida spp</w:t>
      </w:r>
      <w:r w:rsidRPr="00BA4F0F">
        <w:t xml:space="preserve">., грамотрицательных бактерий, особенно </w:t>
      </w:r>
      <w:r w:rsidRPr="00BA4F0F">
        <w:rPr>
          <w:i/>
        </w:rPr>
        <w:t>Pseudomonas aeruginosa</w:t>
      </w:r>
      <w:r w:rsidRPr="00BA4F0F">
        <w:t xml:space="preserve"> или </w:t>
      </w:r>
      <w:r w:rsidRPr="00BA4F0F">
        <w:rPr>
          <w:i/>
          <w:lang w:val="en-US"/>
        </w:rPr>
        <w:t>Stenotrophomonas</w:t>
      </w:r>
      <w:r w:rsidRPr="00BA4F0F">
        <w:rPr>
          <w:i/>
        </w:rPr>
        <w:t xml:space="preserve"> </w:t>
      </w:r>
      <w:r w:rsidRPr="00BA4F0F">
        <w:rPr>
          <w:i/>
          <w:lang w:val="en-US"/>
        </w:rPr>
        <w:t>maltophilia</w:t>
      </w:r>
      <w:r w:rsidRPr="00BA4F0F">
        <w:t>, энтеробактерий (</w:t>
      </w:r>
      <w:r w:rsidRPr="00BA4F0F">
        <w:rPr>
          <w:i/>
        </w:rPr>
        <w:t>Escherichia coli, Klebsiella spp</w:t>
      </w:r>
      <w:r w:rsidRPr="00BA4F0F">
        <w:t xml:space="preserve">.), продуцирующих БЛРС или карбапенемазы. </w:t>
      </w:r>
    </w:p>
    <w:p w14:paraId="2C44E12B" w14:textId="77777777" w:rsidR="001F2346" w:rsidRPr="00BA4F0F" w:rsidRDefault="001F2346" w:rsidP="00DC0931">
      <w:pPr>
        <w:numPr>
          <w:ilvl w:val="0"/>
          <w:numId w:val="199"/>
        </w:numPr>
        <w:tabs>
          <w:tab w:val="left" w:pos="0"/>
          <w:tab w:val="left" w:pos="567"/>
        </w:tabs>
        <w:ind w:left="0" w:firstLine="0"/>
      </w:pPr>
      <w:r w:rsidRPr="00BA4F0F">
        <w:t xml:space="preserve">Следует помнить, что такие бактерии, как </w:t>
      </w:r>
      <w:r w:rsidRPr="00BA4F0F">
        <w:rPr>
          <w:i/>
        </w:rPr>
        <w:t>Enterococcus spp.</w:t>
      </w:r>
      <w:r w:rsidRPr="00BA4F0F">
        <w:t xml:space="preserve"> и стрептококки группы </w:t>
      </w:r>
      <w:r w:rsidRPr="00BA4F0F">
        <w:rPr>
          <w:i/>
        </w:rPr>
        <w:t>viridans</w:t>
      </w:r>
      <w:r w:rsidRPr="00BA4F0F">
        <w:t xml:space="preserve">, являются нормальными представителями микрофлоры ротоглотки. На основании выделения этих бактерий не следует добавлять ванкомицин при фебрильной нейтропении в отсутствие признаков мукозита. </w:t>
      </w:r>
    </w:p>
    <w:p w14:paraId="697EEDC9" w14:textId="77777777" w:rsidR="001F2346" w:rsidRPr="00BA4F0F" w:rsidRDefault="001F2346" w:rsidP="001F2346">
      <w:pPr>
        <w:tabs>
          <w:tab w:val="left" w:pos="0"/>
          <w:tab w:val="left" w:pos="567"/>
        </w:tabs>
      </w:pPr>
      <w:r w:rsidRPr="00BA4F0F">
        <w:rPr>
          <w:i/>
        </w:rPr>
        <w:t>Примечание.</w:t>
      </w:r>
      <w:r w:rsidRPr="00BA4F0F">
        <w:t xml:space="preserve"> Дрожжевые грибы рода </w:t>
      </w:r>
      <w:r w:rsidRPr="00BA4F0F">
        <w:rPr>
          <w:i/>
        </w:rPr>
        <w:t>Candida</w:t>
      </w:r>
      <w:r w:rsidRPr="00BA4F0F">
        <w:t xml:space="preserve"> обнаруживают у 30% здоровых людей. </w:t>
      </w:r>
    </w:p>
    <w:p w14:paraId="45751694" w14:textId="77777777" w:rsidR="001F2346" w:rsidRPr="00BA4F0F" w:rsidRDefault="001F2346" w:rsidP="001F2346">
      <w:pPr>
        <w:pStyle w:val="afe"/>
        <w:ind w:left="0"/>
        <w:rPr>
          <w:rFonts w:cs="Times New Roman"/>
          <w:i/>
          <w:szCs w:val="24"/>
        </w:rPr>
      </w:pPr>
    </w:p>
    <w:p w14:paraId="37F00E72" w14:textId="77777777" w:rsidR="001F2346" w:rsidRPr="00BA4F0F" w:rsidRDefault="001F2346" w:rsidP="001F2346">
      <w:pPr>
        <w:pStyle w:val="afe"/>
        <w:ind w:left="0"/>
        <w:rPr>
          <w:rFonts w:cs="Times New Roman"/>
          <w:i/>
          <w:szCs w:val="24"/>
        </w:rPr>
      </w:pPr>
      <w:r w:rsidRPr="00BA4F0F">
        <w:rPr>
          <w:rFonts w:cs="Times New Roman"/>
          <w:i/>
          <w:szCs w:val="24"/>
        </w:rPr>
        <w:t>Микробиологическое исследование материала со слизистой оболочки пищевода</w:t>
      </w:r>
    </w:p>
    <w:p w14:paraId="0F670DB9" w14:textId="77777777" w:rsidR="001F2346" w:rsidRPr="00BA4F0F" w:rsidRDefault="001F2346" w:rsidP="00DC0931">
      <w:pPr>
        <w:numPr>
          <w:ilvl w:val="0"/>
          <w:numId w:val="223"/>
        </w:numPr>
        <w:tabs>
          <w:tab w:val="left" w:pos="0"/>
          <w:tab w:val="left" w:pos="567"/>
        </w:tabs>
        <w:ind w:left="0" w:firstLine="0"/>
      </w:pPr>
      <w:r w:rsidRPr="00BA4F0F">
        <w:t xml:space="preserve">Показания — боль по ходу пищевода. </w:t>
      </w:r>
    </w:p>
    <w:p w14:paraId="7F8631AB" w14:textId="77777777" w:rsidR="001F2346" w:rsidRPr="00BA4F0F" w:rsidRDefault="001F2346" w:rsidP="00DC0931">
      <w:pPr>
        <w:numPr>
          <w:ilvl w:val="0"/>
          <w:numId w:val="223"/>
        </w:numPr>
        <w:tabs>
          <w:tab w:val="left" w:pos="0"/>
          <w:tab w:val="left" w:pos="567"/>
        </w:tabs>
        <w:ind w:left="0" w:firstLine="0"/>
      </w:pPr>
      <w:r w:rsidRPr="00BA4F0F">
        <w:t>Выполняется эзофагоскопия (число тромбоцитов должно быть не менее 50 × 10</w:t>
      </w:r>
      <w:r w:rsidRPr="00BA4F0F">
        <w:rPr>
          <w:vertAlign w:val="superscript"/>
        </w:rPr>
        <w:t>9</w:t>
      </w:r>
      <w:r w:rsidRPr="00BA4F0F">
        <w:t xml:space="preserve"> /л). </w:t>
      </w:r>
    </w:p>
    <w:p w14:paraId="5A2C678D" w14:textId="77777777" w:rsidR="001F2346" w:rsidRPr="00BA4F0F" w:rsidRDefault="001F2346" w:rsidP="00DC0931">
      <w:pPr>
        <w:numPr>
          <w:ilvl w:val="0"/>
          <w:numId w:val="223"/>
        </w:numPr>
        <w:tabs>
          <w:tab w:val="left" w:pos="0"/>
          <w:tab w:val="left" w:pos="567"/>
        </w:tabs>
        <w:ind w:left="0" w:firstLine="0"/>
      </w:pPr>
      <w:r w:rsidRPr="00BA4F0F">
        <w:t xml:space="preserve">Проводится соскоб со слизистой пищевода (браш-методом при нейтропении) или биопсия (вне нейтропении). </w:t>
      </w:r>
    </w:p>
    <w:p w14:paraId="748D84EE" w14:textId="77777777" w:rsidR="001F2346" w:rsidRPr="00BA4F0F" w:rsidRDefault="001F2346" w:rsidP="00DC0931">
      <w:pPr>
        <w:numPr>
          <w:ilvl w:val="0"/>
          <w:numId w:val="223"/>
        </w:numPr>
        <w:tabs>
          <w:tab w:val="left" w:pos="0"/>
          <w:tab w:val="left" w:pos="567"/>
        </w:tabs>
        <w:ind w:left="0" w:firstLine="0"/>
      </w:pPr>
      <w:r w:rsidRPr="00BA4F0F">
        <w:t xml:space="preserve">Исследуют образцы в микробиологической (бактерии, грибы), вирусологической (ДНК вируса простого герпеса, ЦМВ) и гистологической лаборатории. </w:t>
      </w:r>
    </w:p>
    <w:p w14:paraId="74319033" w14:textId="77777777" w:rsidR="001F2346" w:rsidRPr="00BA4F0F" w:rsidRDefault="001F2346" w:rsidP="001F2346">
      <w:pPr>
        <w:pStyle w:val="afe"/>
        <w:ind w:left="0"/>
        <w:rPr>
          <w:rFonts w:cs="Times New Roman"/>
          <w:i/>
          <w:szCs w:val="24"/>
        </w:rPr>
      </w:pPr>
    </w:p>
    <w:p w14:paraId="2C75EA8A" w14:textId="77777777" w:rsidR="001F2346" w:rsidRPr="00BA4F0F" w:rsidRDefault="001F2346" w:rsidP="001F2346">
      <w:pPr>
        <w:pStyle w:val="afe"/>
        <w:ind w:left="0"/>
        <w:rPr>
          <w:rFonts w:cs="Times New Roman"/>
          <w:i/>
          <w:szCs w:val="24"/>
        </w:rPr>
      </w:pPr>
      <w:r w:rsidRPr="00BA4F0F">
        <w:rPr>
          <w:rFonts w:cs="Times New Roman"/>
          <w:i/>
          <w:szCs w:val="24"/>
        </w:rPr>
        <w:t>Микробиологическое исследование мазка со слизистой оболочки прямой кишки</w:t>
      </w:r>
    </w:p>
    <w:p w14:paraId="42B38D45" w14:textId="77777777" w:rsidR="001F2346" w:rsidRPr="00BA4F0F" w:rsidRDefault="001F2346" w:rsidP="00DC0931">
      <w:pPr>
        <w:numPr>
          <w:ilvl w:val="0"/>
          <w:numId w:val="200"/>
        </w:numPr>
        <w:tabs>
          <w:tab w:val="left" w:pos="0"/>
          <w:tab w:val="left" w:pos="567"/>
        </w:tabs>
        <w:ind w:left="0" w:firstLine="0"/>
      </w:pPr>
      <w:r w:rsidRPr="00BA4F0F">
        <w:t>Показания:</w:t>
      </w:r>
    </w:p>
    <w:p w14:paraId="7D3F616F" w14:textId="77777777" w:rsidR="001F2346" w:rsidRPr="00BA4F0F" w:rsidRDefault="001F2346" w:rsidP="00DC0931">
      <w:pPr>
        <w:numPr>
          <w:ilvl w:val="0"/>
          <w:numId w:val="224"/>
        </w:numPr>
        <w:tabs>
          <w:tab w:val="left" w:pos="0"/>
          <w:tab w:val="left" w:pos="567"/>
        </w:tabs>
        <w:ind w:left="0" w:firstLine="0"/>
      </w:pPr>
      <w:r w:rsidRPr="00BA4F0F">
        <w:t xml:space="preserve">Воспаление или повреждение слизистой (трещина, парапроктит и др.) прямой кишки. </w:t>
      </w:r>
    </w:p>
    <w:p w14:paraId="0389E992" w14:textId="77777777" w:rsidR="001F2346" w:rsidRPr="00BA4F0F" w:rsidRDefault="001F2346" w:rsidP="00DC0931">
      <w:pPr>
        <w:numPr>
          <w:ilvl w:val="0"/>
          <w:numId w:val="224"/>
        </w:numPr>
        <w:tabs>
          <w:tab w:val="left" w:pos="0"/>
          <w:tab w:val="left" w:pos="567"/>
        </w:tabs>
        <w:ind w:left="0" w:firstLine="0"/>
      </w:pPr>
      <w:r w:rsidRPr="00BA4F0F">
        <w:t xml:space="preserve">У больных с фебрильной нейтропенией более 3-4 дней. </w:t>
      </w:r>
    </w:p>
    <w:p w14:paraId="5CD23E75" w14:textId="77777777" w:rsidR="001F2346" w:rsidRPr="00BA4F0F" w:rsidRDefault="001F2346" w:rsidP="00DC0931">
      <w:pPr>
        <w:numPr>
          <w:ilvl w:val="0"/>
          <w:numId w:val="201"/>
        </w:numPr>
        <w:tabs>
          <w:tab w:val="left" w:pos="0"/>
          <w:tab w:val="left" w:pos="567"/>
        </w:tabs>
        <w:ind w:left="0" w:firstLine="0"/>
      </w:pPr>
      <w:r w:rsidRPr="00BA4F0F">
        <w:t xml:space="preserve">На основании выделенных микроорганизмов может быть проведена коррекция антимикробной терапии при сохраняющейся фебрильной нейтропении в случаях отсутствия диагностически значимых результатов исследований из клинически значимых образцов. </w:t>
      </w:r>
    </w:p>
    <w:p w14:paraId="08B30618" w14:textId="77777777" w:rsidR="001F2346" w:rsidRPr="00BA4F0F" w:rsidRDefault="001F2346" w:rsidP="00DC0931">
      <w:pPr>
        <w:numPr>
          <w:ilvl w:val="0"/>
          <w:numId w:val="201"/>
        </w:numPr>
        <w:tabs>
          <w:tab w:val="left" w:pos="0"/>
          <w:tab w:val="left" w:pos="567"/>
        </w:tabs>
        <w:ind w:left="0" w:firstLine="0"/>
      </w:pPr>
      <w:r w:rsidRPr="00BA4F0F">
        <w:lastRenderedPageBreak/>
        <w:t xml:space="preserve">Обращают внимание, прежде всего на выделение полирезистентных грамотрицаетельных бактерий - </w:t>
      </w:r>
      <w:r w:rsidRPr="00BA4F0F">
        <w:rPr>
          <w:i/>
        </w:rPr>
        <w:t>Pseudomonas aeruginosa</w:t>
      </w:r>
      <w:r w:rsidRPr="00BA4F0F">
        <w:t>, энтеробактерий (</w:t>
      </w:r>
      <w:r w:rsidRPr="00BA4F0F">
        <w:rPr>
          <w:i/>
        </w:rPr>
        <w:t>Escherichia coli, Klebsiella spp.</w:t>
      </w:r>
      <w:r w:rsidRPr="00BA4F0F">
        <w:t xml:space="preserve">), продуцирующих БЛРС или карбапенемаз. </w:t>
      </w:r>
    </w:p>
    <w:p w14:paraId="56FD764C" w14:textId="77777777" w:rsidR="001F2346" w:rsidRPr="00BA4F0F" w:rsidRDefault="001F2346" w:rsidP="001F2346">
      <w:pPr>
        <w:pStyle w:val="afe"/>
        <w:ind w:left="0"/>
        <w:rPr>
          <w:rFonts w:cs="Times New Roman"/>
          <w:i/>
          <w:szCs w:val="24"/>
        </w:rPr>
      </w:pPr>
    </w:p>
    <w:p w14:paraId="54B0288F" w14:textId="77777777" w:rsidR="001F2346" w:rsidRPr="00BA4F0F" w:rsidRDefault="001F2346" w:rsidP="001F2346">
      <w:pPr>
        <w:pStyle w:val="afe"/>
        <w:ind w:left="0"/>
        <w:rPr>
          <w:rFonts w:cs="Times New Roman"/>
          <w:i/>
          <w:szCs w:val="24"/>
        </w:rPr>
      </w:pPr>
      <w:r w:rsidRPr="00BA4F0F">
        <w:rPr>
          <w:rFonts w:cs="Times New Roman"/>
          <w:i/>
          <w:szCs w:val="24"/>
        </w:rPr>
        <w:t>Микробиологическое исследование со слизистой оболочки носовых ходов</w:t>
      </w:r>
    </w:p>
    <w:p w14:paraId="0510E5D2" w14:textId="77777777" w:rsidR="001F2346" w:rsidRPr="00BA4F0F" w:rsidRDefault="001F2346" w:rsidP="00DC0931">
      <w:pPr>
        <w:numPr>
          <w:ilvl w:val="0"/>
          <w:numId w:val="225"/>
        </w:numPr>
        <w:tabs>
          <w:tab w:val="left" w:pos="0"/>
          <w:tab w:val="left" w:pos="567"/>
        </w:tabs>
        <w:ind w:left="0" w:firstLine="0"/>
      </w:pPr>
      <w:r w:rsidRPr="00BA4F0F">
        <w:t xml:space="preserve">Показания — наличие некроза слизистой оболочки носового хода. </w:t>
      </w:r>
    </w:p>
    <w:p w14:paraId="744D6408" w14:textId="77777777" w:rsidR="001F2346" w:rsidRPr="00BA4F0F" w:rsidRDefault="001F2346" w:rsidP="00DC0931">
      <w:pPr>
        <w:numPr>
          <w:ilvl w:val="0"/>
          <w:numId w:val="225"/>
        </w:numPr>
        <w:tabs>
          <w:tab w:val="left" w:pos="0"/>
          <w:tab w:val="left" w:pos="567"/>
        </w:tabs>
        <w:ind w:left="0" w:firstLine="0"/>
      </w:pPr>
      <w:r w:rsidRPr="00BA4F0F">
        <w:t xml:space="preserve">Исследование проводят только на плесневые (мицелиальные) грибы. </w:t>
      </w:r>
    </w:p>
    <w:p w14:paraId="58037054" w14:textId="77777777" w:rsidR="001F2346" w:rsidRPr="00BA4F0F" w:rsidRDefault="001F2346" w:rsidP="001F2346">
      <w:pPr>
        <w:tabs>
          <w:tab w:val="left" w:pos="0"/>
          <w:tab w:val="left" w:pos="567"/>
        </w:tabs>
      </w:pPr>
      <w:r w:rsidRPr="00BA4F0F">
        <w:rPr>
          <w:i/>
        </w:rPr>
        <w:t>Примечание.</w:t>
      </w:r>
      <w:r w:rsidRPr="00BA4F0F">
        <w:t xml:space="preserve"> Рутинное исследование материала, взятого из носоглотки, ротоглотки, прямой кишки, а также посев мочи в отсутствие признаков поражения не представляет большой клинической ценности. </w:t>
      </w:r>
    </w:p>
    <w:p w14:paraId="16F9363D" w14:textId="77777777" w:rsidR="001F2346" w:rsidRPr="00BA4F0F" w:rsidRDefault="001F2346" w:rsidP="001F2346">
      <w:pPr>
        <w:pStyle w:val="afe"/>
        <w:ind w:left="0"/>
        <w:rPr>
          <w:rFonts w:cs="Times New Roman"/>
          <w:i/>
          <w:szCs w:val="24"/>
        </w:rPr>
      </w:pPr>
    </w:p>
    <w:p w14:paraId="71A26EF7" w14:textId="77777777" w:rsidR="001F2346" w:rsidRPr="00BA4F0F" w:rsidRDefault="001F2346" w:rsidP="001F2346">
      <w:pPr>
        <w:pStyle w:val="afe"/>
        <w:ind w:left="0"/>
        <w:rPr>
          <w:rFonts w:cs="Times New Roman"/>
          <w:i/>
          <w:szCs w:val="24"/>
        </w:rPr>
      </w:pPr>
      <w:r w:rsidRPr="00BA4F0F">
        <w:rPr>
          <w:rFonts w:cs="Times New Roman"/>
          <w:i/>
          <w:szCs w:val="24"/>
        </w:rPr>
        <w:t>Микробиологическое исследование биоптатов кожи</w:t>
      </w:r>
    </w:p>
    <w:p w14:paraId="7F87EB65" w14:textId="77777777" w:rsidR="001F2346" w:rsidRPr="00BA4F0F" w:rsidRDefault="001F2346" w:rsidP="00DC0931">
      <w:pPr>
        <w:numPr>
          <w:ilvl w:val="0"/>
          <w:numId w:val="202"/>
        </w:numPr>
        <w:tabs>
          <w:tab w:val="left" w:pos="0"/>
          <w:tab w:val="left" w:pos="567"/>
        </w:tabs>
        <w:ind w:left="0" w:firstLine="0"/>
      </w:pPr>
      <w:r w:rsidRPr="00BA4F0F">
        <w:t xml:space="preserve">Показания — наличие септикопиемических очагов (инфильтраты в толще кожи — в дерме — любых размеров, болезненные при пальпации, возникшие при лихорадке) или других образований на коже. </w:t>
      </w:r>
    </w:p>
    <w:p w14:paraId="1C5E70AA" w14:textId="77777777" w:rsidR="001F2346" w:rsidRPr="00BA4F0F" w:rsidRDefault="001F2346" w:rsidP="00DC0931">
      <w:pPr>
        <w:numPr>
          <w:ilvl w:val="0"/>
          <w:numId w:val="202"/>
        </w:numPr>
        <w:tabs>
          <w:tab w:val="left" w:pos="0"/>
          <w:tab w:val="left" w:pos="567"/>
        </w:tabs>
        <w:ind w:left="0" w:firstLine="0"/>
      </w:pPr>
      <w:r w:rsidRPr="00BA4F0F">
        <w:t xml:space="preserve">Проводят биопсию тех образований, давность которых составляет 1—2 суток. Биопсию проводят с захватом дермы. </w:t>
      </w:r>
    </w:p>
    <w:p w14:paraId="6E14DDAE" w14:textId="77777777" w:rsidR="001F2346" w:rsidRPr="00BA4F0F" w:rsidRDefault="001F2346" w:rsidP="00DC0931">
      <w:pPr>
        <w:numPr>
          <w:ilvl w:val="0"/>
          <w:numId w:val="202"/>
        </w:numPr>
        <w:tabs>
          <w:tab w:val="left" w:pos="0"/>
          <w:tab w:val="left" w:pos="567"/>
        </w:tabs>
        <w:ind w:left="0" w:firstLine="0"/>
      </w:pPr>
      <w:r w:rsidRPr="00BA4F0F">
        <w:t xml:space="preserve">Проводят гистологическое и микробиологическое исследование на наличие бактерий, включая микобактерии, и грибов. Кроме культурального исследования проводят микроскопию всех образцов (окраска по Граму, Цилю— Нильсену, калькофлюором белым). </w:t>
      </w:r>
    </w:p>
    <w:p w14:paraId="318957B2" w14:textId="77777777" w:rsidR="001F2346" w:rsidRPr="00BA4F0F" w:rsidRDefault="001F2346" w:rsidP="001F2346">
      <w:pPr>
        <w:pStyle w:val="afe"/>
        <w:ind w:left="0"/>
        <w:rPr>
          <w:rFonts w:cs="Times New Roman"/>
          <w:szCs w:val="24"/>
          <w:u w:val="single"/>
        </w:rPr>
      </w:pPr>
    </w:p>
    <w:p w14:paraId="7CF60853" w14:textId="77777777" w:rsidR="001F2346" w:rsidRPr="00BA4F0F" w:rsidRDefault="001F2346" w:rsidP="001F2346">
      <w:pPr>
        <w:pStyle w:val="afe"/>
        <w:ind w:left="0"/>
        <w:rPr>
          <w:rFonts w:cs="Times New Roman"/>
          <w:b/>
          <w:i/>
          <w:szCs w:val="24"/>
        </w:rPr>
      </w:pPr>
      <w:r w:rsidRPr="00BA4F0F">
        <w:rPr>
          <w:rFonts w:cs="Times New Roman"/>
          <w:b/>
          <w:i/>
          <w:szCs w:val="24"/>
        </w:rPr>
        <w:t>Компьютерная томография легких</w:t>
      </w:r>
    </w:p>
    <w:p w14:paraId="05AA4EFE" w14:textId="77777777" w:rsidR="001F2346" w:rsidRPr="00BA4F0F" w:rsidRDefault="001F2346" w:rsidP="00DC0931">
      <w:pPr>
        <w:numPr>
          <w:ilvl w:val="0"/>
          <w:numId w:val="203"/>
        </w:numPr>
        <w:tabs>
          <w:tab w:val="left" w:pos="0"/>
          <w:tab w:val="left" w:pos="567"/>
        </w:tabs>
        <w:ind w:left="0" w:firstLine="0"/>
      </w:pPr>
      <w:r w:rsidRPr="00BA4F0F">
        <w:t>Показания:</w:t>
      </w:r>
    </w:p>
    <w:p w14:paraId="71A51D0B" w14:textId="77777777" w:rsidR="001F2346" w:rsidRPr="00BA4F0F" w:rsidRDefault="001F2346" w:rsidP="00DC0931">
      <w:pPr>
        <w:numPr>
          <w:ilvl w:val="0"/>
          <w:numId w:val="204"/>
        </w:numPr>
        <w:tabs>
          <w:tab w:val="left" w:pos="0"/>
          <w:tab w:val="left" w:pos="567"/>
        </w:tabs>
        <w:ind w:left="0" w:firstLine="0"/>
      </w:pPr>
      <w:r w:rsidRPr="00BA4F0F">
        <w:t xml:space="preserve">Лихорадка неясной этиологии ≥ 5 дней в период нейтропении при нормальной физикальной картине в легких. </w:t>
      </w:r>
    </w:p>
    <w:p w14:paraId="665826BB" w14:textId="77777777" w:rsidR="001F2346" w:rsidRPr="00BA4F0F" w:rsidRDefault="001F2346" w:rsidP="00DC0931">
      <w:pPr>
        <w:numPr>
          <w:ilvl w:val="0"/>
          <w:numId w:val="204"/>
        </w:numPr>
        <w:tabs>
          <w:tab w:val="left" w:pos="0"/>
          <w:tab w:val="left" w:pos="567"/>
        </w:tabs>
        <w:ind w:left="0" w:firstLine="0"/>
      </w:pPr>
      <w:r w:rsidRPr="00BA4F0F">
        <w:t xml:space="preserve">Контроль выявленных изменений в легких (первое контрольное исследование проводят через 7 дней от момента диагностики пневмонии и начала антибактериальной или противогрибковой терапии, далее — по мере необходимости). </w:t>
      </w:r>
    </w:p>
    <w:p w14:paraId="5ED2B7F6" w14:textId="77777777" w:rsidR="001F2346" w:rsidRPr="00BA4F0F" w:rsidRDefault="001F2346" w:rsidP="00DC0931">
      <w:pPr>
        <w:numPr>
          <w:ilvl w:val="0"/>
          <w:numId w:val="205"/>
        </w:numPr>
        <w:tabs>
          <w:tab w:val="left" w:pos="0"/>
          <w:tab w:val="left" w:pos="567"/>
        </w:tabs>
        <w:ind w:left="0" w:firstLine="0"/>
      </w:pPr>
      <w:r w:rsidRPr="00BA4F0F">
        <w:t xml:space="preserve">КТ легких следует проводить без предварительной рентгенографии грудной клетки. </w:t>
      </w:r>
    </w:p>
    <w:p w14:paraId="54E84503" w14:textId="77777777" w:rsidR="001F2346" w:rsidRPr="00BA4F0F" w:rsidRDefault="001F2346" w:rsidP="00DC0931">
      <w:pPr>
        <w:numPr>
          <w:ilvl w:val="0"/>
          <w:numId w:val="205"/>
        </w:numPr>
        <w:tabs>
          <w:tab w:val="left" w:pos="0"/>
          <w:tab w:val="left" w:pos="567"/>
        </w:tabs>
        <w:ind w:left="0" w:firstLine="0"/>
      </w:pPr>
      <w:r w:rsidRPr="00BA4F0F">
        <w:t xml:space="preserve">КТ легких при лихорадке в период нейтропении проводят независимо от аускультативной картины легких. </w:t>
      </w:r>
    </w:p>
    <w:p w14:paraId="6DAC6C76" w14:textId="77777777" w:rsidR="001F2346" w:rsidRPr="00BA4F0F" w:rsidRDefault="001F2346" w:rsidP="001F2346">
      <w:pPr>
        <w:tabs>
          <w:tab w:val="left" w:pos="0"/>
          <w:tab w:val="left" w:pos="567"/>
        </w:tabs>
      </w:pPr>
      <w:r w:rsidRPr="00BA4F0F">
        <w:rPr>
          <w:i/>
        </w:rPr>
        <w:t>Примечание.</w:t>
      </w:r>
      <w:r w:rsidRPr="00BA4F0F">
        <w:t xml:space="preserve"> Рентгенография органов грудной клетки при нейтропении малоинформативна. С ее помощью нельзя своевременно диагностировать инвазивный аспергиллез, интерстициальные поражения легких (вирусные, грибковые). У больных с </w:t>
      </w:r>
      <w:r w:rsidRPr="00BA4F0F">
        <w:lastRenderedPageBreak/>
        <w:t xml:space="preserve">нейтропенией этот вид исследования, направленный на поиск инфекционного процесса в легких, необходимо исключить. </w:t>
      </w:r>
    </w:p>
    <w:p w14:paraId="0AC9EC0C" w14:textId="77777777" w:rsidR="001F2346" w:rsidRPr="00BA4F0F" w:rsidRDefault="001F2346" w:rsidP="001F2346">
      <w:pPr>
        <w:pStyle w:val="afe"/>
        <w:ind w:left="0"/>
        <w:rPr>
          <w:rFonts w:cs="Times New Roman"/>
          <w:szCs w:val="24"/>
          <w:u w:val="single"/>
        </w:rPr>
      </w:pPr>
    </w:p>
    <w:p w14:paraId="7F714187" w14:textId="77777777" w:rsidR="001F2346" w:rsidRPr="00BA4F0F" w:rsidRDefault="001F2346" w:rsidP="001F2346">
      <w:pPr>
        <w:pStyle w:val="afe"/>
        <w:ind w:left="0"/>
        <w:rPr>
          <w:rFonts w:cs="Times New Roman"/>
          <w:b/>
          <w:i/>
          <w:szCs w:val="24"/>
        </w:rPr>
      </w:pPr>
      <w:r w:rsidRPr="00BA4F0F">
        <w:rPr>
          <w:rFonts w:cs="Times New Roman"/>
          <w:b/>
          <w:i/>
          <w:szCs w:val="24"/>
        </w:rPr>
        <w:t>Бронхоальвеолярный лаваж</w:t>
      </w:r>
    </w:p>
    <w:p w14:paraId="36EBC896" w14:textId="77777777" w:rsidR="001F2346" w:rsidRPr="00BA4F0F" w:rsidRDefault="001F2346" w:rsidP="00DC0931">
      <w:pPr>
        <w:numPr>
          <w:ilvl w:val="0"/>
          <w:numId w:val="206"/>
        </w:numPr>
        <w:tabs>
          <w:tab w:val="left" w:pos="0"/>
          <w:tab w:val="left" w:pos="567"/>
        </w:tabs>
        <w:ind w:left="0" w:firstLine="0"/>
      </w:pPr>
      <w:r w:rsidRPr="00BA4F0F">
        <w:t>Показания: изменения в легких по данным КТ.</w:t>
      </w:r>
    </w:p>
    <w:p w14:paraId="0E7AF5BE" w14:textId="77777777" w:rsidR="001F2346" w:rsidRPr="00BA4F0F" w:rsidRDefault="001F2346" w:rsidP="001F2346">
      <w:pPr>
        <w:tabs>
          <w:tab w:val="left" w:pos="0"/>
          <w:tab w:val="left" w:pos="567"/>
        </w:tabs>
      </w:pPr>
      <w:r w:rsidRPr="00BA4F0F">
        <w:t>Перечень диагностических тестов:</w:t>
      </w:r>
    </w:p>
    <w:p w14:paraId="1E3225EF" w14:textId="77777777" w:rsidR="001F2346" w:rsidRPr="00BA4F0F" w:rsidRDefault="001F2346" w:rsidP="00DC0931">
      <w:pPr>
        <w:numPr>
          <w:ilvl w:val="0"/>
          <w:numId w:val="207"/>
        </w:numPr>
        <w:tabs>
          <w:tab w:val="left" w:pos="0"/>
          <w:tab w:val="left" w:pos="567"/>
        </w:tabs>
        <w:ind w:left="0" w:firstLine="0"/>
      </w:pPr>
      <w:r w:rsidRPr="00BA4F0F">
        <w:t>Исследование жидкости бронхоальвеолярного лаважа (БАЛ):</w:t>
      </w:r>
    </w:p>
    <w:p w14:paraId="04E6063D" w14:textId="77777777" w:rsidR="001F2346" w:rsidRPr="00BA4F0F" w:rsidRDefault="001F2346" w:rsidP="00DC0931">
      <w:pPr>
        <w:numPr>
          <w:ilvl w:val="0"/>
          <w:numId w:val="208"/>
        </w:numPr>
        <w:tabs>
          <w:tab w:val="left" w:pos="0"/>
          <w:tab w:val="left" w:pos="567"/>
        </w:tabs>
        <w:ind w:left="0" w:firstLine="0"/>
      </w:pPr>
      <w:r w:rsidRPr="00BA4F0F">
        <w:t xml:space="preserve">Цитология мазков. </w:t>
      </w:r>
    </w:p>
    <w:p w14:paraId="0789FF6C" w14:textId="77777777" w:rsidR="001F2346" w:rsidRPr="00BA4F0F" w:rsidRDefault="001F2346" w:rsidP="00DC0931">
      <w:pPr>
        <w:numPr>
          <w:ilvl w:val="0"/>
          <w:numId w:val="208"/>
        </w:numPr>
        <w:tabs>
          <w:tab w:val="left" w:pos="0"/>
          <w:tab w:val="left" w:pos="567"/>
        </w:tabs>
        <w:ind w:left="0" w:firstLine="0"/>
      </w:pPr>
      <w:r w:rsidRPr="00BA4F0F">
        <w:t xml:space="preserve">Микроскопия мазков (окраска по Граму, Цилю—Нильсену). </w:t>
      </w:r>
    </w:p>
    <w:p w14:paraId="54187A9F" w14:textId="77777777" w:rsidR="001F2346" w:rsidRPr="00BA4F0F" w:rsidRDefault="001F2346" w:rsidP="00DC0931">
      <w:pPr>
        <w:numPr>
          <w:ilvl w:val="0"/>
          <w:numId w:val="208"/>
        </w:numPr>
        <w:tabs>
          <w:tab w:val="left" w:pos="0"/>
          <w:tab w:val="left" w:pos="567"/>
        </w:tabs>
        <w:ind w:left="0" w:firstLine="0"/>
      </w:pPr>
      <w:r w:rsidRPr="00BA4F0F">
        <w:t>Флюоресцентная микроскопия на грибы с калькофлуором белым.</w:t>
      </w:r>
    </w:p>
    <w:p w14:paraId="4A24FBEE" w14:textId="77777777" w:rsidR="001F2346" w:rsidRPr="00BA4F0F" w:rsidRDefault="001F2346" w:rsidP="00DC0931">
      <w:pPr>
        <w:numPr>
          <w:ilvl w:val="0"/>
          <w:numId w:val="208"/>
        </w:numPr>
        <w:tabs>
          <w:tab w:val="left" w:pos="0"/>
          <w:tab w:val="left" w:pos="567"/>
        </w:tabs>
        <w:ind w:left="0" w:firstLine="0"/>
      </w:pPr>
      <w:r w:rsidRPr="00BA4F0F">
        <w:t xml:space="preserve">Микробиологическое исследование (посев) на бактерии, включая нокардии, и грибы (обязательно на мицелиальные — посев на среду Чапека). </w:t>
      </w:r>
    </w:p>
    <w:p w14:paraId="07E1AEF5" w14:textId="77777777" w:rsidR="001F2346" w:rsidRPr="00BA4F0F" w:rsidRDefault="001F2346" w:rsidP="00DC0931">
      <w:pPr>
        <w:numPr>
          <w:ilvl w:val="0"/>
          <w:numId w:val="208"/>
        </w:numPr>
        <w:tabs>
          <w:tab w:val="left" w:pos="0"/>
          <w:tab w:val="left" w:pos="567"/>
        </w:tabs>
        <w:ind w:left="0" w:firstLine="0"/>
      </w:pPr>
      <w:r w:rsidRPr="00BA4F0F">
        <w:t xml:space="preserve">Микробиологическое исследование (посев) на </w:t>
      </w:r>
      <w:r w:rsidRPr="00BA4F0F">
        <w:rPr>
          <w:i/>
          <w:lang w:val="en-US"/>
        </w:rPr>
        <w:t>Legionella</w:t>
      </w:r>
      <w:r w:rsidRPr="00BA4F0F">
        <w:rPr>
          <w:i/>
        </w:rPr>
        <w:t xml:space="preserve"> </w:t>
      </w:r>
      <w:r w:rsidRPr="00BA4F0F">
        <w:rPr>
          <w:i/>
          <w:lang w:val="en-US"/>
        </w:rPr>
        <w:t>spp</w:t>
      </w:r>
      <w:r w:rsidRPr="00BA4F0F">
        <w:rPr>
          <w:i/>
        </w:rPr>
        <w:t>.</w:t>
      </w:r>
      <w:r w:rsidRPr="00BA4F0F">
        <w:t xml:space="preserve"> </w:t>
      </w:r>
    </w:p>
    <w:p w14:paraId="7801AA24" w14:textId="77777777" w:rsidR="001F2346" w:rsidRPr="00BA4F0F" w:rsidRDefault="001F2346" w:rsidP="00DC0931">
      <w:pPr>
        <w:numPr>
          <w:ilvl w:val="0"/>
          <w:numId w:val="208"/>
        </w:numPr>
        <w:tabs>
          <w:tab w:val="left" w:pos="0"/>
          <w:tab w:val="left" w:pos="567"/>
        </w:tabs>
        <w:ind w:left="0" w:firstLine="0"/>
      </w:pPr>
      <w:r w:rsidRPr="00BA4F0F">
        <w:t xml:space="preserve">Исследование на микобактерии (ПЦР). </w:t>
      </w:r>
    </w:p>
    <w:p w14:paraId="72E92FAB" w14:textId="77777777" w:rsidR="001F2346" w:rsidRPr="00BA4F0F" w:rsidRDefault="001F2346" w:rsidP="00DC0931">
      <w:pPr>
        <w:numPr>
          <w:ilvl w:val="0"/>
          <w:numId w:val="208"/>
        </w:numPr>
        <w:tabs>
          <w:tab w:val="left" w:pos="0"/>
          <w:tab w:val="left" w:pos="567"/>
        </w:tabs>
        <w:ind w:left="0" w:firstLine="0"/>
        <w:rPr>
          <w:i/>
        </w:rPr>
      </w:pPr>
      <w:r w:rsidRPr="00BA4F0F">
        <w:t xml:space="preserve">Флюоресцентная микроскопия на </w:t>
      </w:r>
      <w:r w:rsidRPr="00BA4F0F">
        <w:rPr>
          <w:i/>
        </w:rPr>
        <w:t xml:space="preserve">Pneumocystis jiroveci. </w:t>
      </w:r>
    </w:p>
    <w:p w14:paraId="76D6B86A" w14:textId="77777777" w:rsidR="001F2346" w:rsidRPr="00BA4F0F" w:rsidRDefault="001F2346" w:rsidP="00DC0931">
      <w:pPr>
        <w:numPr>
          <w:ilvl w:val="0"/>
          <w:numId w:val="208"/>
        </w:numPr>
        <w:tabs>
          <w:tab w:val="left" w:pos="0"/>
          <w:tab w:val="left" w:pos="567"/>
        </w:tabs>
        <w:ind w:left="0" w:firstLine="0"/>
      </w:pPr>
      <w:r w:rsidRPr="00BA4F0F">
        <w:t xml:space="preserve">Определение ДНК </w:t>
      </w:r>
      <w:r w:rsidRPr="00BA4F0F">
        <w:rPr>
          <w:i/>
          <w:lang w:val="en-US"/>
        </w:rPr>
        <w:t>Pneumocystis</w:t>
      </w:r>
      <w:r w:rsidRPr="00BA4F0F">
        <w:rPr>
          <w:i/>
        </w:rPr>
        <w:t xml:space="preserve"> </w:t>
      </w:r>
      <w:r w:rsidRPr="00BA4F0F">
        <w:rPr>
          <w:i/>
          <w:lang w:val="en-US"/>
        </w:rPr>
        <w:t>jirovecii</w:t>
      </w:r>
      <w:r w:rsidRPr="00BA4F0F">
        <w:t xml:space="preserve"> (ПЦР).</w:t>
      </w:r>
    </w:p>
    <w:p w14:paraId="266DC01B" w14:textId="77777777" w:rsidR="001F2346" w:rsidRPr="00BA4F0F" w:rsidRDefault="001F2346" w:rsidP="00DC0931">
      <w:pPr>
        <w:numPr>
          <w:ilvl w:val="0"/>
          <w:numId w:val="208"/>
        </w:numPr>
        <w:tabs>
          <w:tab w:val="left" w:pos="0"/>
          <w:tab w:val="left" w:pos="567"/>
        </w:tabs>
        <w:ind w:left="0" w:firstLine="0"/>
      </w:pPr>
      <w:r w:rsidRPr="00BA4F0F">
        <w:t xml:space="preserve">Определение антигена </w:t>
      </w:r>
      <w:r w:rsidRPr="00BA4F0F">
        <w:rPr>
          <w:i/>
        </w:rPr>
        <w:t>Aspergillus</w:t>
      </w:r>
      <w:r w:rsidRPr="00BA4F0F">
        <w:t xml:space="preserve"> (галактоманнан) в жидкости БАЛ.</w:t>
      </w:r>
    </w:p>
    <w:p w14:paraId="5B6FA08D" w14:textId="77777777" w:rsidR="001F2346" w:rsidRPr="00BA4F0F" w:rsidRDefault="001F2346" w:rsidP="00DC0931">
      <w:pPr>
        <w:numPr>
          <w:ilvl w:val="0"/>
          <w:numId w:val="208"/>
        </w:numPr>
        <w:tabs>
          <w:tab w:val="left" w:pos="0"/>
          <w:tab w:val="left" w:pos="567"/>
        </w:tabs>
        <w:ind w:left="0" w:firstLine="0"/>
      </w:pPr>
      <w:r w:rsidRPr="00BA4F0F">
        <w:t xml:space="preserve">Определение антигена </w:t>
      </w:r>
      <w:r w:rsidRPr="00BA4F0F">
        <w:rPr>
          <w:i/>
          <w:lang w:val="en-US"/>
        </w:rPr>
        <w:t>Legionella</w:t>
      </w:r>
      <w:r w:rsidRPr="00BA4F0F">
        <w:rPr>
          <w:i/>
        </w:rPr>
        <w:t xml:space="preserve"> </w:t>
      </w:r>
      <w:r w:rsidRPr="00BA4F0F">
        <w:rPr>
          <w:i/>
          <w:lang w:val="en-US"/>
        </w:rPr>
        <w:t>pneumophilia</w:t>
      </w:r>
      <w:r w:rsidRPr="00BA4F0F">
        <w:t xml:space="preserve"> в моче. </w:t>
      </w:r>
    </w:p>
    <w:p w14:paraId="646F2BC5" w14:textId="77777777" w:rsidR="001F2346" w:rsidRPr="00BA4F0F" w:rsidRDefault="001F2346" w:rsidP="00DC0931">
      <w:pPr>
        <w:numPr>
          <w:ilvl w:val="0"/>
          <w:numId w:val="208"/>
        </w:numPr>
        <w:tabs>
          <w:tab w:val="left" w:pos="0"/>
          <w:tab w:val="left" w:pos="567"/>
        </w:tabs>
        <w:ind w:left="0" w:firstLine="0"/>
      </w:pPr>
      <w:r w:rsidRPr="00BA4F0F">
        <w:t xml:space="preserve">Определение ДНК </w:t>
      </w:r>
      <w:r w:rsidRPr="00BA4F0F">
        <w:rPr>
          <w:i/>
          <w:lang w:val="en-US"/>
        </w:rPr>
        <w:t>Mycoplasma</w:t>
      </w:r>
      <w:r w:rsidRPr="00BA4F0F">
        <w:rPr>
          <w:i/>
        </w:rPr>
        <w:t xml:space="preserve"> </w:t>
      </w:r>
      <w:r w:rsidRPr="00BA4F0F">
        <w:rPr>
          <w:i/>
          <w:lang w:val="en-US"/>
        </w:rPr>
        <w:t>pneumonia</w:t>
      </w:r>
      <w:r w:rsidRPr="00BA4F0F">
        <w:rPr>
          <w:i/>
        </w:rPr>
        <w:t xml:space="preserve">, </w:t>
      </w:r>
      <w:r w:rsidRPr="00BA4F0F">
        <w:rPr>
          <w:i/>
          <w:lang w:val="en-US"/>
        </w:rPr>
        <w:t>Chlamydophila</w:t>
      </w:r>
      <w:r w:rsidRPr="00BA4F0F">
        <w:rPr>
          <w:i/>
        </w:rPr>
        <w:t xml:space="preserve"> </w:t>
      </w:r>
      <w:r w:rsidRPr="00BA4F0F">
        <w:rPr>
          <w:i/>
          <w:lang w:val="en-US"/>
        </w:rPr>
        <w:t>pneumoniae</w:t>
      </w:r>
      <w:r w:rsidRPr="00BA4F0F">
        <w:t xml:space="preserve"> в жидкости БАЛ. </w:t>
      </w:r>
    </w:p>
    <w:p w14:paraId="17EF09A6" w14:textId="77777777" w:rsidR="001F2346" w:rsidRPr="00BA4F0F" w:rsidRDefault="001F2346" w:rsidP="00DC0931">
      <w:pPr>
        <w:numPr>
          <w:ilvl w:val="0"/>
          <w:numId w:val="208"/>
        </w:numPr>
        <w:tabs>
          <w:tab w:val="left" w:pos="0"/>
          <w:tab w:val="left" w:pos="567"/>
        </w:tabs>
        <w:ind w:left="0" w:firstLine="0"/>
      </w:pPr>
      <w:r w:rsidRPr="00BA4F0F">
        <w:t xml:space="preserve">Определение ДНК вирусов (ЦМВ, вирусов гриппа, парагриппа, респираторного синтициального вируса, короновирусов, метапнемовируса человека, герпесвируса человека 6 типа) в жидкости БАЛ (ПЦР). </w:t>
      </w:r>
    </w:p>
    <w:p w14:paraId="4851DA0E" w14:textId="77777777" w:rsidR="001F2346" w:rsidRPr="00BA4F0F" w:rsidRDefault="001F2346" w:rsidP="001F2346">
      <w:pPr>
        <w:pStyle w:val="afe"/>
        <w:ind w:left="0"/>
        <w:rPr>
          <w:rFonts w:cs="Times New Roman"/>
          <w:szCs w:val="24"/>
          <w:u w:val="single"/>
        </w:rPr>
      </w:pPr>
    </w:p>
    <w:p w14:paraId="07272022" w14:textId="77777777" w:rsidR="001F2346" w:rsidRPr="00BA4F0F" w:rsidRDefault="001F2346" w:rsidP="001F2346">
      <w:pPr>
        <w:pStyle w:val="afe"/>
        <w:ind w:left="0"/>
        <w:rPr>
          <w:rFonts w:cs="Times New Roman"/>
          <w:b/>
          <w:i/>
          <w:szCs w:val="24"/>
        </w:rPr>
      </w:pPr>
      <w:r w:rsidRPr="00BA4F0F">
        <w:rPr>
          <w:rFonts w:cs="Times New Roman"/>
          <w:b/>
          <w:i/>
          <w:szCs w:val="24"/>
        </w:rPr>
        <w:t>Определение антигенов грибов</w:t>
      </w:r>
    </w:p>
    <w:p w14:paraId="0308720D" w14:textId="77777777" w:rsidR="001F2346" w:rsidRPr="00BA4F0F" w:rsidRDefault="001F2346" w:rsidP="001F2346">
      <w:pPr>
        <w:pStyle w:val="afe"/>
        <w:ind w:left="0"/>
        <w:rPr>
          <w:rFonts w:cs="Times New Roman"/>
          <w:i/>
          <w:szCs w:val="24"/>
        </w:rPr>
      </w:pPr>
      <w:r w:rsidRPr="00BA4F0F">
        <w:rPr>
          <w:rFonts w:cs="Times New Roman"/>
          <w:i/>
          <w:szCs w:val="24"/>
        </w:rPr>
        <w:t xml:space="preserve">Антиген Aspergillus (галактоманнан) </w:t>
      </w:r>
    </w:p>
    <w:p w14:paraId="760C0AF3" w14:textId="77777777" w:rsidR="001F2346" w:rsidRPr="00BA4F0F" w:rsidRDefault="001F2346" w:rsidP="00DC0931">
      <w:pPr>
        <w:numPr>
          <w:ilvl w:val="0"/>
          <w:numId w:val="209"/>
        </w:numPr>
        <w:tabs>
          <w:tab w:val="left" w:pos="0"/>
          <w:tab w:val="left" w:pos="567"/>
        </w:tabs>
        <w:ind w:left="0" w:firstLine="0"/>
      </w:pPr>
      <w:r w:rsidRPr="00BA4F0F">
        <w:t xml:space="preserve">Обнаружение антигена </w:t>
      </w:r>
      <w:r w:rsidRPr="00BA4F0F">
        <w:rPr>
          <w:i/>
        </w:rPr>
        <w:t>Aspergillus</w:t>
      </w:r>
      <w:r w:rsidRPr="00BA4F0F">
        <w:t xml:space="preserve"> включено в критерии диагностики инвазивного аспергиллеза.</w:t>
      </w:r>
    </w:p>
    <w:p w14:paraId="470D0F41" w14:textId="77777777" w:rsidR="001F2346" w:rsidRPr="00BA4F0F" w:rsidRDefault="001F2346" w:rsidP="00DC0931">
      <w:pPr>
        <w:numPr>
          <w:ilvl w:val="0"/>
          <w:numId w:val="209"/>
        </w:numPr>
        <w:tabs>
          <w:tab w:val="left" w:pos="0"/>
          <w:tab w:val="left" w:pos="567"/>
        </w:tabs>
        <w:ind w:left="0" w:firstLine="0"/>
      </w:pPr>
      <w:r w:rsidRPr="00BA4F0F">
        <w:t xml:space="preserve">Образцы для исследования: </w:t>
      </w:r>
    </w:p>
    <w:p w14:paraId="5B0F0EA6" w14:textId="77777777" w:rsidR="001F2346" w:rsidRPr="00BA4F0F" w:rsidRDefault="001F2346" w:rsidP="00DC0931">
      <w:pPr>
        <w:numPr>
          <w:ilvl w:val="0"/>
          <w:numId w:val="210"/>
        </w:numPr>
        <w:tabs>
          <w:tab w:val="left" w:pos="0"/>
          <w:tab w:val="left" w:pos="567"/>
        </w:tabs>
        <w:ind w:left="0" w:firstLine="0"/>
      </w:pPr>
      <w:r w:rsidRPr="00BA4F0F">
        <w:t xml:space="preserve">кровь; </w:t>
      </w:r>
    </w:p>
    <w:p w14:paraId="6BB1CE91" w14:textId="77777777" w:rsidR="001F2346" w:rsidRPr="00BA4F0F" w:rsidRDefault="001F2346" w:rsidP="00DC0931">
      <w:pPr>
        <w:numPr>
          <w:ilvl w:val="0"/>
          <w:numId w:val="210"/>
        </w:numPr>
        <w:tabs>
          <w:tab w:val="left" w:pos="0"/>
          <w:tab w:val="left" w:pos="567"/>
        </w:tabs>
        <w:ind w:left="0" w:firstLine="0"/>
      </w:pPr>
      <w:r w:rsidRPr="00BA4F0F">
        <w:t xml:space="preserve">жидкость БАЛ; </w:t>
      </w:r>
    </w:p>
    <w:p w14:paraId="1F4E8FD5" w14:textId="77777777" w:rsidR="001F2346" w:rsidRPr="00BA4F0F" w:rsidRDefault="001F2346" w:rsidP="00DC0931">
      <w:pPr>
        <w:numPr>
          <w:ilvl w:val="0"/>
          <w:numId w:val="210"/>
        </w:numPr>
        <w:tabs>
          <w:tab w:val="left" w:pos="0"/>
          <w:tab w:val="left" w:pos="567"/>
        </w:tabs>
        <w:ind w:left="0" w:firstLine="0"/>
      </w:pPr>
      <w:r w:rsidRPr="00BA4F0F">
        <w:t xml:space="preserve">СМЖ. </w:t>
      </w:r>
    </w:p>
    <w:p w14:paraId="23F09B4C" w14:textId="77777777" w:rsidR="001F2346" w:rsidRPr="00BA4F0F" w:rsidRDefault="001F2346" w:rsidP="00DC0931">
      <w:pPr>
        <w:numPr>
          <w:ilvl w:val="0"/>
          <w:numId w:val="211"/>
        </w:numPr>
        <w:tabs>
          <w:tab w:val="left" w:pos="0"/>
          <w:tab w:val="left" w:pos="567"/>
        </w:tabs>
        <w:ind w:left="0" w:firstLine="0"/>
      </w:pPr>
      <w:r w:rsidRPr="00BA4F0F">
        <w:t xml:space="preserve">Результат определения антигена </w:t>
      </w:r>
      <w:r w:rsidRPr="00BA4F0F">
        <w:rPr>
          <w:i/>
        </w:rPr>
        <w:t xml:space="preserve">Aspergillus </w:t>
      </w:r>
      <w:r w:rsidRPr="00BA4F0F">
        <w:t>считают положительным в крови при индексе оптической плотности ≥ 0,5, в жидкости БАЛ ≥ 1,0, в СМЖ ≥ 0,5.</w:t>
      </w:r>
    </w:p>
    <w:p w14:paraId="60827FEF" w14:textId="77777777" w:rsidR="001F2346" w:rsidRPr="00BA4F0F" w:rsidRDefault="001F2346" w:rsidP="00DC0931">
      <w:pPr>
        <w:numPr>
          <w:ilvl w:val="0"/>
          <w:numId w:val="211"/>
        </w:numPr>
        <w:tabs>
          <w:tab w:val="left" w:pos="0"/>
          <w:tab w:val="left" w:pos="567"/>
        </w:tabs>
        <w:ind w:left="0" w:firstLine="0"/>
      </w:pPr>
      <w:r w:rsidRPr="00BA4F0F">
        <w:lastRenderedPageBreak/>
        <w:t xml:space="preserve">Проводят определение антигена </w:t>
      </w:r>
      <w:r w:rsidRPr="00BA4F0F">
        <w:rPr>
          <w:i/>
        </w:rPr>
        <w:t>Aspergillus</w:t>
      </w:r>
      <w:r w:rsidRPr="00BA4F0F">
        <w:t xml:space="preserve"> у больных с клиническими признаками (или факторами риска) возможного инвазивного микоза.</w:t>
      </w:r>
    </w:p>
    <w:p w14:paraId="0972DF0D" w14:textId="77777777" w:rsidR="001F2346" w:rsidRPr="00BA4F0F" w:rsidRDefault="001F2346" w:rsidP="001F2346">
      <w:pPr>
        <w:tabs>
          <w:tab w:val="left" w:pos="0"/>
          <w:tab w:val="left" w:pos="567"/>
        </w:tabs>
        <w:jc w:val="center"/>
        <w:rPr>
          <w:b/>
        </w:rPr>
      </w:pPr>
    </w:p>
    <w:p w14:paraId="16E3A66E" w14:textId="77777777" w:rsidR="001F2346" w:rsidRPr="00BA4F0F" w:rsidRDefault="001F2346" w:rsidP="001F2346">
      <w:pPr>
        <w:pStyle w:val="afe"/>
        <w:ind w:left="0"/>
        <w:rPr>
          <w:rFonts w:cs="Times New Roman"/>
          <w:i/>
          <w:szCs w:val="24"/>
        </w:rPr>
      </w:pPr>
      <w:r w:rsidRPr="00BA4F0F">
        <w:rPr>
          <w:rFonts w:cs="Times New Roman"/>
          <w:i/>
          <w:szCs w:val="24"/>
        </w:rPr>
        <w:t>Определение антигена Aspergillus</w:t>
      </w:r>
    </w:p>
    <w:p w14:paraId="36747FFC" w14:textId="77777777" w:rsidR="001F2346" w:rsidRPr="00BA4F0F" w:rsidRDefault="001F2346" w:rsidP="00DC0931">
      <w:pPr>
        <w:numPr>
          <w:ilvl w:val="0"/>
          <w:numId w:val="212"/>
        </w:numPr>
        <w:tabs>
          <w:tab w:val="left" w:pos="0"/>
          <w:tab w:val="left" w:pos="567"/>
        </w:tabs>
        <w:ind w:left="0" w:firstLine="0"/>
      </w:pPr>
      <w:r w:rsidRPr="00BA4F0F">
        <w:t xml:space="preserve">Определение антигена Aspergillus (галактоманнана) показано больным лимфомой, множественной миеломой, реципиентам аутологичных стволовых клеток крови при подозрении у них инвазивного аспергиллеза на основании изменений в легких на КТ и наличия факторов риска, индуцирующих развитие инвазивного аспергиллеза (нейтропения от 10 дней и более, прием глюкокортикоидов, терапия флударабином или алемтузумабом). </w:t>
      </w:r>
    </w:p>
    <w:p w14:paraId="2E5EBEF7" w14:textId="77777777" w:rsidR="001F2346" w:rsidRPr="00BA4F0F" w:rsidRDefault="001F2346" w:rsidP="00DC0931">
      <w:pPr>
        <w:numPr>
          <w:ilvl w:val="0"/>
          <w:numId w:val="212"/>
        </w:numPr>
        <w:tabs>
          <w:tab w:val="left" w:pos="0"/>
          <w:tab w:val="left" w:pos="567"/>
        </w:tabs>
        <w:ind w:left="0" w:firstLine="0"/>
      </w:pPr>
      <w:r w:rsidRPr="00BA4F0F">
        <w:t xml:space="preserve">В этих случаях проводят однократное определение антигена </w:t>
      </w:r>
      <w:r w:rsidRPr="00BA4F0F">
        <w:rPr>
          <w:i/>
        </w:rPr>
        <w:t>Aspergillus</w:t>
      </w:r>
      <w:r w:rsidRPr="00BA4F0F">
        <w:t xml:space="preserve"> в жидкости БАЛ или, если у больного нейтропения (гранулоцитов &lt; 0,5 × 10</w:t>
      </w:r>
      <w:r w:rsidRPr="00BA4F0F">
        <w:rPr>
          <w:vertAlign w:val="superscript"/>
        </w:rPr>
        <w:t>9</w:t>
      </w:r>
      <w:r w:rsidRPr="00BA4F0F">
        <w:t xml:space="preserve"> /л), определяют антиген </w:t>
      </w:r>
      <w:r w:rsidRPr="00BA4F0F">
        <w:rPr>
          <w:i/>
        </w:rPr>
        <w:t>Aspergillus</w:t>
      </w:r>
      <w:r w:rsidRPr="00BA4F0F">
        <w:t xml:space="preserve"> в 2-3 образцах крови (не в одном!), взятых в течение суток или течение 2 дней.</w:t>
      </w:r>
    </w:p>
    <w:p w14:paraId="03D0CA19" w14:textId="77777777" w:rsidR="001F2346" w:rsidRPr="00BA4F0F" w:rsidRDefault="001F2346" w:rsidP="00DC0931">
      <w:pPr>
        <w:numPr>
          <w:ilvl w:val="0"/>
          <w:numId w:val="212"/>
        </w:numPr>
        <w:tabs>
          <w:tab w:val="left" w:pos="0"/>
          <w:tab w:val="left" w:pos="567"/>
        </w:tabs>
        <w:ind w:left="0" w:firstLine="0"/>
        <w:rPr>
          <w:b/>
        </w:rPr>
      </w:pPr>
      <w:r w:rsidRPr="00BA4F0F">
        <w:t xml:space="preserve">Исследование антигена </w:t>
      </w:r>
      <w:r w:rsidRPr="00BA4F0F">
        <w:rPr>
          <w:i/>
        </w:rPr>
        <w:t>Aspergillus</w:t>
      </w:r>
      <w:r w:rsidRPr="00BA4F0F">
        <w:t xml:space="preserve"> проводят до назначения противогрибковых препаратов, активных в отношении мицелиальных грибов. </w:t>
      </w:r>
    </w:p>
    <w:p w14:paraId="7BE5D5AE" w14:textId="77777777" w:rsidR="001F2346" w:rsidRPr="00BA4F0F" w:rsidRDefault="001F2346" w:rsidP="001F2346">
      <w:pPr>
        <w:tabs>
          <w:tab w:val="left" w:pos="0"/>
          <w:tab w:val="left" w:pos="567"/>
        </w:tabs>
      </w:pPr>
      <w:r w:rsidRPr="00BA4F0F">
        <w:rPr>
          <w:i/>
        </w:rPr>
        <w:t>Примечание.</w:t>
      </w:r>
      <w:r w:rsidRPr="00BA4F0F">
        <w:t xml:space="preserve"> У категории больных (при лимфомах, множественной миеломе, у реципиентов аутологичных стволовых клеток крови) вероятность развития инвазивного аспергиллеза составляет 1—5%. </w:t>
      </w:r>
    </w:p>
    <w:p w14:paraId="3B4361AF" w14:textId="77777777" w:rsidR="001F2346" w:rsidRPr="00BA4F0F" w:rsidRDefault="001F2346" w:rsidP="001F2346">
      <w:pPr>
        <w:tabs>
          <w:tab w:val="left" w:pos="0"/>
          <w:tab w:val="left" w:pos="567"/>
        </w:tabs>
        <w:jc w:val="center"/>
        <w:rPr>
          <w:b/>
        </w:rPr>
      </w:pPr>
    </w:p>
    <w:p w14:paraId="23073897" w14:textId="77777777" w:rsidR="001F2346" w:rsidRPr="00BA4F0F" w:rsidRDefault="001F2346" w:rsidP="001F2346">
      <w:pPr>
        <w:pStyle w:val="afe"/>
        <w:ind w:left="0"/>
        <w:rPr>
          <w:rFonts w:cs="Times New Roman"/>
          <w:i/>
          <w:szCs w:val="24"/>
        </w:rPr>
      </w:pPr>
      <w:r w:rsidRPr="00BA4F0F">
        <w:rPr>
          <w:rFonts w:cs="Times New Roman"/>
          <w:i/>
          <w:szCs w:val="24"/>
        </w:rPr>
        <w:t>Антиген Candida (маннан) и антитела к Candida (антиманнан)</w:t>
      </w:r>
    </w:p>
    <w:p w14:paraId="6712AD4E" w14:textId="77777777" w:rsidR="001F2346" w:rsidRPr="00BA4F0F" w:rsidRDefault="001F2346" w:rsidP="00DC0931">
      <w:pPr>
        <w:numPr>
          <w:ilvl w:val="0"/>
          <w:numId w:val="213"/>
        </w:numPr>
        <w:tabs>
          <w:tab w:val="left" w:pos="0"/>
          <w:tab w:val="left" w:pos="567"/>
        </w:tabs>
        <w:ind w:left="0" w:firstLine="0"/>
      </w:pPr>
      <w:r w:rsidRPr="00BA4F0F">
        <w:t xml:space="preserve">Обнаружение антигена </w:t>
      </w:r>
      <w:r w:rsidRPr="00BA4F0F">
        <w:rPr>
          <w:i/>
        </w:rPr>
        <w:t>Candida</w:t>
      </w:r>
      <w:r w:rsidRPr="00BA4F0F">
        <w:t xml:space="preserve"> и антител к </w:t>
      </w:r>
      <w:r w:rsidRPr="00BA4F0F">
        <w:rPr>
          <w:i/>
        </w:rPr>
        <w:t>Candida</w:t>
      </w:r>
      <w:r w:rsidRPr="00BA4F0F">
        <w:t xml:space="preserve"> не включено в критерии диагностики инвазивного кандидоза. </w:t>
      </w:r>
    </w:p>
    <w:p w14:paraId="528F68DE" w14:textId="77777777" w:rsidR="001F2346" w:rsidRPr="00BA4F0F" w:rsidRDefault="001F2346" w:rsidP="00DC0931">
      <w:pPr>
        <w:numPr>
          <w:ilvl w:val="0"/>
          <w:numId w:val="213"/>
        </w:numPr>
        <w:tabs>
          <w:tab w:val="left" w:pos="0"/>
          <w:tab w:val="left" w:pos="567"/>
        </w:tabs>
        <w:ind w:left="0" w:firstLine="0"/>
      </w:pPr>
      <w:r w:rsidRPr="00BA4F0F">
        <w:t xml:space="preserve">Образец для исследования — кровь. </w:t>
      </w:r>
    </w:p>
    <w:p w14:paraId="62B6FD30" w14:textId="77777777" w:rsidR="001F2346" w:rsidRPr="00BA4F0F" w:rsidRDefault="001F2346" w:rsidP="00DC0931">
      <w:pPr>
        <w:numPr>
          <w:ilvl w:val="0"/>
          <w:numId w:val="213"/>
        </w:numPr>
        <w:tabs>
          <w:tab w:val="left" w:pos="0"/>
          <w:tab w:val="left" w:pos="567"/>
        </w:tabs>
        <w:ind w:left="0" w:firstLine="0"/>
      </w:pPr>
      <w:r w:rsidRPr="00BA4F0F">
        <w:t xml:space="preserve">Результат определения считается положительным при следующих значениях: </w:t>
      </w:r>
    </w:p>
    <w:p w14:paraId="211C13E6" w14:textId="77777777" w:rsidR="001F2346" w:rsidRPr="00BA4F0F" w:rsidRDefault="001F2346" w:rsidP="00DC0931">
      <w:pPr>
        <w:numPr>
          <w:ilvl w:val="0"/>
          <w:numId w:val="214"/>
        </w:numPr>
        <w:tabs>
          <w:tab w:val="left" w:pos="0"/>
          <w:tab w:val="left" w:pos="567"/>
        </w:tabs>
        <w:ind w:left="0" w:firstLine="0"/>
      </w:pPr>
      <w:r w:rsidRPr="00BA4F0F">
        <w:t xml:space="preserve">антиген </w:t>
      </w:r>
      <w:r w:rsidRPr="00BA4F0F">
        <w:rPr>
          <w:i/>
        </w:rPr>
        <w:t>Candida</w:t>
      </w:r>
      <w:r w:rsidRPr="00BA4F0F">
        <w:t xml:space="preserve"> (маннан): ≥ 125 пг/мл; </w:t>
      </w:r>
    </w:p>
    <w:p w14:paraId="4D3422E4" w14:textId="77777777" w:rsidR="001F2346" w:rsidRPr="00BA4F0F" w:rsidRDefault="001F2346" w:rsidP="00DC0931">
      <w:pPr>
        <w:numPr>
          <w:ilvl w:val="0"/>
          <w:numId w:val="214"/>
        </w:numPr>
        <w:tabs>
          <w:tab w:val="left" w:pos="0"/>
          <w:tab w:val="left" w:pos="567"/>
        </w:tabs>
        <w:ind w:left="0" w:firstLine="0"/>
      </w:pPr>
      <w:r w:rsidRPr="00BA4F0F">
        <w:t xml:space="preserve">антитела к </w:t>
      </w:r>
      <w:r w:rsidRPr="00BA4F0F">
        <w:rPr>
          <w:i/>
        </w:rPr>
        <w:t>Candida</w:t>
      </w:r>
      <w:r w:rsidRPr="00BA4F0F">
        <w:t xml:space="preserve"> (антиманнан): ≥ 10 ME. </w:t>
      </w:r>
    </w:p>
    <w:p w14:paraId="642B517A" w14:textId="77777777" w:rsidR="001F2346" w:rsidRPr="00BA4F0F" w:rsidRDefault="001F2346" w:rsidP="00DC0931">
      <w:pPr>
        <w:numPr>
          <w:ilvl w:val="0"/>
          <w:numId w:val="213"/>
        </w:numPr>
        <w:tabs>
          <w:tab w:val="left" w:pos="0"/>
          <w:tab w:val="left" w:pos="567"/>
        </w:tabs>
        <w:ind w:left="0" w:firstLine="0"/>
      </w:pPr>
      <w:r w:rsidRPr="00BA4F0F">
        <w:t xml:space="preserve">Показания к проведению исследования: </w:t>
      </w:r>
    </w:p>
    <w:p w14:paraId="6CE1AE8D" w14:textId="77777777" w:rsidR="001F2346" w:rsidRPr="00BA4F0F" w:rsidRDefault="001F2346" w:rsidP="00DC0931">
      <w:pPr>
        <w:numPr>
          <w:ilvl w:val="0"/>
          <w:numId w:val="215"/>
        </w:numPr>
        <w:tabs>
          <w:tab w:val="left" w:pos="0"/>
          <w:tab w:val="left" w:pos="567"/>
        </w:tabs>
        <w:ind w:left="0" w:firstLine="0"/>
      </w:pPr>
      <w:r w:rsidRPr="00BA4F0F">
        <w:t xml:space="preserve">множественные очаги в печени и/или селезенке (подозрение на гепатолиенальный кандидоз); </w:t>
      </w:r>
    </w:p>
    <w:p w14:paraId="28F25361" w14:textId="77777777" w:rsidR="001F2346" w:rsidRPr="00BA4F0F" w:rsidRDefault="001F2346" w:rsidP="00DC0931">
      <w:pPr>
        <w:numPr>
          <w:ilvl w:val="0"/>
          <w:numId w:val="215"/>
        </w:numPr>
        <w:tabs>
          <w:tab w:val="left" w:pos="0"/>
          <w:tab w:val="left" w:pos="567"/>
        </w:tabs>
        <w:ind w:left="0" w:firstLine="0"/>
      </w:pPr>
      <w:r w:rsidRPr="00BA4F0F">
        <w:t xml:space="preserve">предполагаемый инвазивный кандидоз. </w:t>
      </w:r>
    </w:p>
    <w:p w14:paraId="73758953" w14:textId="77777777" w:rsidR="001F2346" w:rsidRPr="00BA4F0F" w:rsidRDefault="001F2346" w:rsidP="001F2346">
      <w:pPr>
        <w:tabs>
          <w:tab w:val="left" w:pos="0"/>
          <w:tab w:val="left" w:pos="567"/>
        </w:tabs>
      </w:pPr>
      <w:r w:rsidRPr="00BA4F0F">
        <w:rPr>
          <w:i/>
        </w:rPr>
        <w:t>Примечание.</w:t>
      </w:r>
      <w:r w:rsidRPr="00BA4F0F">
        <w:t xml:space="preserve"> Чувствительность и специфичность исследования составляют около 50—60%. Интерпретация результатов должна быть осторожной, поскольку высока частота ложноположительных результатов. У больных с колонизацией слизистых оболочек кандидами выявляются положительные результаты определения антиманнана. </w:t>
      </w:r>
    </w:p>
    <w:p w14:paraId="7F22343A" w14:textId="77777777" w:rsidR="001F2346" w:rsidRPr="00BA4F0F" w:rsidRDefault="001F2346" w:rsidP="001F2346">
      <w:pPr>
        <w:tabs>
          <w:tab w:val="left" w:pos="0"/>
          <w:tab w:val="left" w:pos="567"/>
        </w:tabs>
        <w:jc w:val="center"/>
        <w:rPr>
          <w:b/>
        </w:rPr>
      </w:pPr>
    </w:p>
    <w:p w14:paraId="5E3A97AB" w14:textId="77777777" w:rsidR="001F2346" w:rsidRPr="00BA4F0F" w:rsidRDefault="001F2346" w:rsidP="001F2346">
      <w:pPr>
        <w:pStyle w:val="afe"/>
        <w:ind w:left="0"/>
        <w:rPr>
          <w:rFonts w:cs="Times New Roman"/>
          <w:i/>
          <w:szCs w:val="24"/>
        </w:rPr>
      </w:pPr>
      <w:r w:rsidRPr="00BA4F0F">
        <w:rPr>
          <w:rFonts w:cs="Times New Roman"/>
          <w:i/>
          <w:szCs w:val="24"/>
        </w:rPr>
        <w:t>Антиген Cryptococcus (глюкуроноксиломаннан)</w:t>
      </w:r>
    </w:p>
    <w:p w14:paraId="08D96C0B" w14:textId="77777777" w:rsidR="001F2346" w:rsidRPr="00BA4F0F" w:rsidRDefault="001F2346" w:rsidP="00DC0931">
      <w:pPr>
        <w:numPr>
          <w:ilvl w:val="0"/>
          <w:numId w:val="216"/>
        </w:numPr>
        <w:tabs>
          <w:tab w:val="left" w:pos="0"/>
          <w:tab w:val="left" w:pos="567"/>
        </w:tabs>
        <w:ind w:left="0" w:firstLine="0"/>
      </w:pPr>
      <w:r w:rsidRPr="00BA4F0F">
        <w:lastRenderedPageBreak/>
        <w:t xml:space="preserve">Обнаружение антигена </w:t>
      </w:r>
      <w:r w:rsidRPr="00BA4F0F">
        <w:rPr>
          <w:i/>
        </w:rPr>
        <w:t>Cryptococcus</w:t>
      </w:r>
      <w:r w:rsidRPr="00BA4F0F">
        <w:t xml:space="preserve"> (глюкуроноксиломаннана) включено в критерии диагностики инвазивного криптоккоза. </w:t>
      </w:r>
    </w:p>
    <w:p w14:paraId="18128B36" w14:textId="77777777" w:rsidR="001F2346" w:rsidRPr="00BA4F0F" w:rsidRDefault="001F2346" w:rsidP="00DC0931">
      <w:pPr>
        <w:numPr>
          <w:ilvl w:val="0"/>
          <w:numId w:val="216"/>
        </w:numPr>
        <w:tabs>
          <w:tab w:val="left" w:pos="0"/>
          <w:tab w:val="left" w:pos="567"/>
        </w:tabs>
        <w:ind w:left="0" w:firstLine="0"/>
      </w:pPr>
      <w:r w:rsidRPr="00BA4F0F">
        <w:t xml:space="preserve">Образцы для исследования: </w:t>
      </w:r>
    </w:p>
    <w:p w14:paraId="1A734659" w14:textId="77777777" w:rsidR="001F2346" w:rsidRPr="00BA4F0F" w:rsidRDefault="001F2346" w:rsidP="00DC0931">
      <w:pPr>
        <w:numPr>
          <w:ilvl w:val="0"/>
          <w:numId w:val="217"/>
        </w:numPr>
        <w:tabs>
          <w:tab w:val="left" w:pos="0"/>
          <w:tab w:val="left" w:pos="567"/>
        </w:tabs>
        <w:ind w:left="0" w:firstLine="0"/>
      </w:pPr>
      <w:r w:rsidRPr="00BA4F0F">
        <w:t xml:space="preserve">кровь; </w:t>
      </w:r>
    </w:p>
    <w:p w14:paraId="535E92DB" w14:textId="77777777" w:rsidR="001F2346" w:rsidRPr="00BA4F0F" w:rsidRDefault="001F2346" w:rsidP="00DC0931">
      <w:pPr>
        <w:numPr>
          <w:ilvl w:val="0"/>
          <w:numId w:val="217"/>
        </w:numPr>
        <w:tabs>
          <w:tab w:val="left" w:pos="0"/>
          <w:tab w:val="left" w:pos="567"/>
        </w:tabs>
        <w:ind w:left="0" w:firstLine="0"/>
      </w:pPr>
      <w:r w:rsidRPr="00BA4F0F">
        <w:t xml:space="preserve">жидкость БАЛ; </w:t>
      </w:r>
    </w:p>
    <w:p w14:paraId="6E34C32F" w14:textId="77777777" w:rsidR="001F2346" w:rsidRPr="00BA4F0F" w:rsidRDefault="001F2346" w:rsidP="00DC0931">
      <w:pPr>
        <w:numPr>
          <w:ilvl w:val="0"/>
          <w:numId w:val="217"/>
        </w:numPr>
        <w:tabs>
          <w:tab w:val="left" w:pos="0"/>
          <w:tab w:val="left" w:pos="567"/>
        </w:tabs>
        <w:ind w:left="0" w:firstLine="0"/>
      </w:pPr>
      <w:r w:rsidRPr="00BA4F0F">
        <w:t xml:space="preserve">СМЖ; </w:t>
      </w:r>
    </w:p>
    <w:p w14:paraId="7930C3ED" w14:textId="77777777" w:rsidR="001F2346" w:rsidRPr="00BA4F0F" w:rsidRDefault="001F2346" w:rsidP="00DC0931">
      <w:pPr>
        <w:numPr>
          <w:ilvl w:val="0"/>
          <w:numId w:val="217"/>
        </w:numPr>
        <w:tabs>
          <w:tab w:val="left" w:pos="0"/>
          <w:tab w:val="left" w:pos="567"/>
        </w:tabs>
        <w:ind w:left="0" w:firstLine="0"/>
      </w:pPr>
      <w:r w:rsidRPr="00BA4F0F">
        <w:t xml:space="preserve">моча. </w:t>
      </w:r>
    </w:p>
    <w:p w14:paraId="5ED963FD" w14:textId="77777777" w:rsidR="001F2346" w:rsidRPr="00BA4F0F" w:rsidRDefault="001F2346" w:rsidP="00DC0931">
      <w:pPr>
        <w:numPr>
          <w:ilvl w:val="0"/>
          <w:numId w:val="218"/>
        </w:numPr>
        <w:tabs>
          <w:tab w:val="left" w:pos="0"/>
          <w:tab w:val="left" w:pos="567"/>
        </w:tabs>
        <w:ind w:left="0" w:firstLine="0"/>
      </w:pPr>
      <w:r w:rsidRPr="00BA4F0F">
        <w:t xml:space="preserve">Высокой чувствительностью и специфичностью обладает латекс-тест (анализ качественный - положительный или отрицательный). </w:t>
      </w:r>
    </w:p>
    <w:p w14:paraId="54DDDBB7" w14:textId="77777777" w:rsidR="001F2346" w:rsidRPr="00BA4F0F" w:rsidRDefault="001F2346" w:rsidP="00DC0931">
      <w:pPr>
        <w:numPr>
          <w:ilvl w:val="0"/>
          <w:numId w:val="218"/>
        </w:numPr>
        <w:tabs>
          <w:tab w:val="left" w:pos="0"/>
          <w:tab w:val="left" w:pos="567"/>
        </w:tabs>
        <w:ind w:left="0" w:firstLine="0"/>
      </w:pPr>
      <w:r w:rsidRPr="00BA4F0F">
        <w:t xml:space="preserve">Показания к определению антигена </w:t>
      </w:r>
      <w:r w:rsidRPr="00BA4F0F">
        <w:rPr>
          <w:i/>
        </w:rPr>
        <w:t>Cryptococcus</w:t>
      </w:r>
      <w:r w:rsidRPr="00BA4F0F">
        <w:t xml:space="preserve"> (глюкуроноксиломаннан): </w:t>
      </w:r>
    </w:p>
    <w:p w14:paraId="5E42F084" w14:textId="77777777" w:rsidR="001F2346" w:rsidRPr="00BA4F0F" w:rsidRDefault="001F2346" w:rsidP="00DC0931">
      <w:pPr>
        <w:numPr>
          <w:ilvl w:val="0"/>
          <w:numId w:val="219"/>
        </w:numPr>
        <w:tabs>
          <w:tab w:val="left" w:pos="0"/>
          <w:tab w:val="left" w:pos="567"/>
        </w:tabs>
        <w:ind w:left="0" w:firstLine="0"/>
      </w:pPr>
      <w:r w:rsidRPr="00BA4F0F">
        <w:t xml:space="preserve">исследование всех первых образцов СМЖ при симптомах инфекции ЦНС у больных опухолями системы крови; </w:t>
      </w:r>
    </w:p>
    <w:p w14:paraId="4911ED84" w14:textId="77777777" w:rsidR="001F2346" w:rsidRPr="00BA4F0F" w:rsidRDefault="001F2346" w:rsidP="00DC0931">
      <w:pPr>
        <w:numPr>
          <w:ilvl w:val="0"/>
          <w:numId w:val="219"/>
        </w:numPr>
        <w:tabs>
          <w:tab w:val="left" w:pos="0"/>
          <w:tab w:val="left" w:pos="567"/>
        </w:tabs>
        <w:ind w:left="0" w:firstLine="0"/>
      </w:pPr>
      <w:r w:rsidRPr="00BA4F0F">
        <w:t xml:space="preserve">исследование второго образца спинномозговой жидкости при некупируемой инфекции ЦНС; </w:t>
      </w:r>
    </w:p>
    <w:p w14:paraId="4FD1BA91" w14:textId="77777777" w:rsidR="001F2346" w:rsidRPr="00BA4F0F" w:rsidRDefault="001F2346" w:rsidP="00DC0931">
      <w:pPr>
        <w:numPr>
          <w:ilvl w:val="0"/>
          <w:numId w:val="219"/>
        </w:numPr>
        <w:tabs>
          <w:tab w:val="left" w:pos="0"/>
          <w:tab w:val="left" w:pos="567"/>
        </w:tabs>
        <w:ind w:left="0" w:firstLine="0"/>
      </w:pPr>
      <w:r w:rsidRPr="00BA4F0F">
        <w:t xml:space="preserve">исследование антигена </w:t>
      </w:r>
      <w:r w:rsidRPr="00BA4F0F">
        <w:rPr>
          <w:i/>
        </w:rPr>
        <w:t>Cryptococcus</w:t>
      </w:r>
      <w:r w:rsidRPr="00BA4F0F">
        <w:t xml:space="preserve"> (глюкуроноксиломаннан) в крови в случае предполагаемой криптококковой инфекции. </w:t>
      </w:r>
    </w:p>
    <w:p w14:paraId="3BEF2FCE" w14:textId="77777777" w:rsidR="001F2346" w:rsidRPr="00BA4F0F" w:rsidRDefault="001F2346" w:rsidP="001F2346">
      <w:pPr>
        <w:tabs>
          <w:tab w:val="left" w:pos="0"/>
          <w:tab w:val="left" w:pos="567"/>
        </w:tabs>
      </w:pPr>
      <w:r w:rsidRPr="00BA4F0F">
        <w:rPr>
          <w:i/>
        </w:rPr>
        <w:t>Примечание.</w:t>
      </w:r>
      <w:r w:rsidRPr="00BA4F0F">
        <w:t xml:space="preserve"> Криптококкоз развивается, прежде всего, у больных с Т-клеточным иммунодефицитом (лимфома, хронический лимфолейкоз). Группу риска составляют больные, которые получают лечение глюкокортикоидами, флударабином, алемтузумабом, циклоспорином. </w:t>
      </w:r>
    </w:p>
    <w:p w14:paraId="6209D796" w14:textId="77777777" w:rsidR="001F2346" w:rsidRPr="00BA4F0F" w:rsidRDefault="001F2346" w:rsidP="001F2346">
      <w:pPr>
        <w:pStyle w:val="afe"/>
        <w:ind w:left="0"/>
        <w:rPr>
          <w:rFonts w:cs="Times New Roman"/>
          <w:szCs w:val="24"/>
          <w:u w:val="single"/>
        </w:rPr>
      </w:pPr>
    </w:p>
    <w:p w14:paraId="2EA088F5" w14:textId="77777777" w:rsidR="001F2346" w:rsidRPr="00BA4F0F" w:rsidRDefault="001F2346" w:rsidP="001F2346">
      <w:pPr>
        <w:pStyle w:val="afe"/>
        <w:ind w:left="0"/>
        <w:rPr>
          <w:rFonts w:cs="Times New Roman"/>
          <w:b/>
          <w:i/>
          <w:szCs w:val="24"/>
        </w:rPr>
      </w:pPr>
      <w:r w:rsidRPr="00BA4F0F">
        <w:rPr>
          <w:rFonts w:cs="Times New Roman"/>
          <w:b/>
          <w:i/>
          <w:szCs w:val="24"/>
        </w:rPr>
        <w:t>Исследование крови на антитела к Мycoplasma pneumoniae (IgM, IgG), Chlamydia pneumoniae (IgM, IgG) в крови</w:t>
      </w:r>
    </w:p>
    <w:p w14:paraId="5FB2F552" w14:textId="77777777" w:rsidR="001F2346" w:rsidRPr="00BA4F0F" w:rsidRDefault="001F2346" w:rsidP="00DC0931">
      <w:pPr>
        <w:numPr>
          <w:ilvl w:val="0"/>
          <w:numId w:val="220"/>
        </w:numPr>
        <w:tabs>
          <w:tab w:val="left" w:pos="0"/>
          <w:tab w:val="left" w:pos="567"/>
        </w:tabs>
        <w:ind w:left="0" w:firstLine="0"/>
      </w:pPr>
      <w:r w:rsidRPr="00BA4F0F">
        <w:t xml:space="preserve">Показания — пневмония. </w:t>
      </w:r>
    </w:p>
    <w:p w14:paraId="6F7A2E37" w14:textId="77777777" w:rsidR="001F2346" w:rsidRPr="00BA4F0F" w:rsidRDefault="001F2346" w:rsidP="001F2346">
      <w:pPr>
        <w:tabs>
          <w:tab w:val="left" w:pos="0"/>
          <w:tab w:val="left" w:pos="567"/>
        </w:tabs>
      </w:pPr>
      <w:r w:rsidRPr="00BA4F0F">
        <w:rPr>
          <w:i/>
        </w:rPr>
        <w:t>Примечание.</w:t>
      </w:r>
      <w:r w:rsidRPr="00BA4F0F">
        <w:t xml:space="preserve"> При положительных результатах определения IgG и наличии лихорадки исследование повторяют через 10—14 дней. </w:t>
      </w:r>
    </w:p>
    <w:p w14:paraId="3D4BF59B" w14:textId="77777777" w:rsidR="001F2346" w:rsidRPr="00BA4F0F" w:rsidRDefault="001F2346" w:rsidP="001F2346">
      <w:pPr>
        <w:tabs>
          <w:tab w:val="left" w:pos="0"/>
          <w:tab w:val="left" w:pos="567"/>
        </w:tabs>
      </w:pPr>
    </w:p>
    <w:p w14:paraId="261A1E71" w14:textId="77777777" w:rsidR="001F2346" w:rsidRPr="00BA4F0F" w:rsidRDefault="001F2346" w:rsidP="001F2346">
      <w:pPr>
        <w:pStyle w:val="afe"/>
        <w:ind w:left="0"/>
        <w:rPr>
          <w:rFonts w:cs="Times New Roman"/>
          <w:b/>
          <w:i/>
          <w:szCs w:val="24"/>
        </w:rPr>
      </w:pPr>
      <w:r w:rsidRPr="00BA4F0F">
        <w:rPr>
          <w:rFonts w:cs="Times New Roman"/>
          <w:b/>
          <w:i/>
          <w:szCs w:val="24"/>
        </w:rPr>
        <w:t>МРТ головного мозга</w:t>
      </w:r>
    </w:p>
    <w:p w14:paraId="530E9470" w14:textId="77777777" w:rsidR="001F2346" w:rsidRPr="00BA4F0F" w:rsidRDefault="001F2346" w:rsidP="00DC0931">
      <w:pPr>
        <w:numPr>
          <w:ilvl w:val="0"/>
          <w:numId w:val="268"/>
        </w:numPr>
        <w:tabs>
          <w:tab w:val="left" w:pos="0"/>
          <w:tab w:val="left" w:pos="567"/>
        </w:tabs>
        <w:ind w:left="0" w:firstLine="0"/>
        <w:rPr>
          <w:b/>
        </w:rPr>
      </w:pPr>
      <w:r w:rsidRPr="00BA4F0F">
        <w:t xml:space="preserve">Показания – появление неврологической симптоматики, симптомов менингита. Развитие на фоне фебрильной нейтропении мозговой симптоматики. </w:t>
      </w:r>
    </w:p>
    <w:p w14:paraId="71618026" w14:textId="77777777" w:rsidR="001F2346" w:rsidRPr="00BA4F0F" w:rsidRDefault="001F2346" w:rsidP="00DC0931">
      <w:pPr>
        <w:numPr>
          <w:ilvl w:val="0"/>
          <w:numId w:val="268"/>
        </w:numPr>
        <w:tabs>
          <w:tab w:val="left" w:pos="0"/>
          <w:tab w:val="left" w:pos="567"/>
        </w:tabs>
        <w:ind w:left="0" w:firstLine="0"/>
        <w:rPr>
          <w:b/>
        </w:rPr>
      </w:pPr>
      <w:r w:rsidRPr="00BA4F0F">
        <w:t xml:space="preserve">При выявлении очага (очагов) в веществе головного мозга необходимо выполнение люмбальной пункции с последующими цитологическим и микробиологическими исследованиями. </w:t>
      </w:r>
    </w:p>
    <w:p w14:paraId="447E2E7C" w14:textId="77777777" w:rsidR="001F2346" w:rsidRPr="00BA4F0F" w:rsidRDefault="001F2346" w:rsidP="001F2346">
      <w:pPr>
        <w:pStyle w:val="afe"/>
        <w:ind w:left="0"/>
        <w:rPr>
          <w:rFonts w:cs="Times New Roman"/>
          <w:szCs w:val="24"/>
          <w:u w:val="single"/>
        </w:rPr>
      </w:pPr>
    </w:p>
    <w:p w14:paraId="37CA2E7A" w14:textId="77777777" w:rsidR="001F2346" w:rsidRPr="00BA4F0F" w:rsidRDefault="001F2346" w:rsidP="001F2346">
      <w:pPr>
        <w:pStyle w:val="afe"/>
        <w:ind w:left="0"/>
        <w:rPr>
          <w:rFonts w:cs="Times New Roman"/>
          <w:b/>
          <w:i/>
          <w:szCs w:val="24"/>
        </w:rPr>
      </w:pPr>
      <w:r w:rsidRPr="00BA4F0F">
        <w:rPr>
          <w:rFonts w:cs="Times New Roman"/>
          <w:b/>
          <w:i/>
          <w:szCs w:val="24"/>
        </w:rPr>
        <w:lastRenderedPageBreak/>
        <w:t>Ультразвуковое исследование или компьютерная томография органов брюшной полости</w:t>
      </w:r>
    </w:p>
    <w:p w14:paraId="6265D995" w14:textId="77777777" w:rsidR="001F2346" w:rsidRPr="00BA4F0F" w:rsidRDefault="001F2346" w:rsidP="00DC0931">
      <w:pPr>
        <w:numPr>
          <w:ilvl w:val="0"/>
          <w:numId w:val="220"/>
        </w:numPr>
        <w:tabs>
          <w:tab w:val="left" w:pos="0"/>
          <w:tab w:val="left" w:pos="567"/>
        </w:tabs>
        <w:ind w:left="0" w:firstLine="0"/>
      </w:pPr>
      <w:r w:rsidRPr="00BA4F0F">
        <w:t>Показания — сохраняющаяся лихорадка (колебания температуры в течение суток от 37 до 39°С) при восстановлении числа нейтрофилов (число гранулоцитов &gt; 0,5 × 10</w:t>
      </w:r>
      <w:r w:rsidRPr="00BA4F0F">
        <w:rPr>
          <w:vertAlign w:val="superscript"/>
        </w:rPr>
        <w:t>9</w:t>
      </w:r>
      <w:r w:rsidRPr="00BA4F0F">
        <w:t xml:space="preserve"> /л). </w:t>
      </w:r>
    </w:p>
    <w:p w14:paraId="78590C1B" w14:textId="77777777" w:rsidR="001F2346" w:rsidRPr="00BA4F0F" w:rsidRDefault="001F2346" w:rsidP="001F2346">
      <w:pPr>
        <w:tabs>
          <w:tab w:val="left" w:pos="0"/>
          <w:tab w:val="left" w:pos="567"/>
        </w:tabs>
      </w:pPr>
      <w:r w:rsidRPr="00BA4F0F">
        <w:rPr>
          <w:i/>
        </w:rPr>
        <w:t>Примечание.</w:t>
      </w:r>
      <w:r w:rsidRPr="00BA4F0F">
        <w:t xml:space="preserve"> УЗИ и КТ при гепатолиенальном кандидозе не являются взаимоисключающими диагностическими процедурами. У части больных очаги в печени и/или селезенке могут быть обнаружены только при УЗИ, у других — только при КТ. Наибольшее диагностическое значение имеет МРТ печени и селезенки. </w:t>
      </w:r>
    </w:p>
    <w:p w14:paraId="0B3265FE" w14:textId="77777777" w:rsidR="001F2346" w:rsidRPr="00BA4F0F" w:rsidRDefault="001F2346" w:rsidP="00DC0931">
      <w:pPr>
        <w:numPr>
          <w:ilvl w:val="0"/>
          <w:numId w:val="220"/>
        </w:numPr>
        <w:tabs>
          <w:tab w:val="left" w:pos="0"/>
          <w:tab w:val="left" w:pos="567"/>
        </w:tabs>
        <w:ind w:left="0" w:firstLine="0"/>
      </w:pPr>
      <w:r w:rsidRPr="00BA4F0F">
        <w:t>При диагностике гепатолиенального кандидоза контрольное исследование проводят не ранее чем через 3—4 недели терапии системными противогрибковыми препаратами ввиду крайне медленной регрессии очагов.</w:t>
      </w:r>
    </w:p>
    <w:p w14:paraId="277F7041" w14:textId="77777777" w:rsidR="001F2346" w:rsidRPr="00BA4F0F" w:rsidRDefault="001F2346" w:rsidP="00DC0931">
      <w:pPr>
        <w:numPr>
          <w:ilvl w:val="0"/>
          <w:numId w:val="220"/>
        </w:numPr>
        <w:tabs>
          <w:tab w:val="left" w:pos="0"/>
          <w:tab w:val="left" w:pos="567"/>
        </w:tabs>
        <w:ind w:left="0" w:firstLine="0"/>
      </w:pPr>
      <w:r w:rsidRPr="00BA4F0F">
        <w:t>Оценивать состояние очагов (размеры, плотность) в печени и селезенке необходимо всегда при числе гранулоцитов &gt; 0,5 × 10</w:t>
      </w:r>
      <w:r w:rsidRPr="00BA4F0F">
        <w:rPr>
          <w:i/>
          <w:vertAlign w:val="superscript"/>
        </w:rPr>
        <w:t>9</w:t>
      </w:r>
      <w:r w:rsidRPr="00BA4F0F">
        <w:t xml:space="preserve"> /л. Проведение исследования в период нейтропении дает ложную информацию о меньшем размере очагов. </w:t>
      </w:r>
    </w:p>
    <w:p w14:paraId="5F02432E" w14:textId="77777777" w:rsidR="001F2346" w:rsidRPr="00BA4F0F" w:rsidRDefault="001F2346" w:rsidP="001F2346">
      <w:pPr>
        <w:pStyle w:val="afe"/>
        <w:ind w:left="0"/>
        <w:rPr>
          <w:rFonts w:cs="Times New Roman"/>
          <w:szCs w:val="24"/>
          <w:u w:val="single"/>
        </w:rPr>
      </w:pPr>
    </w:p>
    <w:p w14:paraId="74D8262E" w14:textId="77777777" w:rsidR="001F2346" w:rsidRPr="00BA4F0F" w:rsidRDefault="001F2346" w:rsidP="001F2346">
      <w:pPr>
        <w:pStyle w:val="afe"/>
        <w:ind w:left="0"/>
        <w:rPr>
          <w:rFonts w:cs="Times New Roman"/>
          <w:b/>
          <w:i/>
          <w:szCs w:val="24"/>
        </w:rPr>
      </w:pPr>
      <w:r w:rsidRPr="00BA4F0F">
        <w:rPr>
          <w:rFonts w:cs="Times New Roman"/>
          <w:b/>
          <w:i/>
          <w:szCs w:val="24"/>
        </w:rPr>
        <w:t>Дополнительные исследования</w:t>
      </w:r>
    </w:p>
    <w:p w14:paraId="233DB730" w14:textId="77777777" w:rsidR="001F2346" w:rsidRPr="00BA4F0F" w:rsidRDefault="001F2346" w:rsidP="001F2346">
      <w:pPr>
        <w:tabs>
          <w:tab w:val="left" w:pos="0"/>
          <w:tab w:val="left" w:pos="567"/>
        </w:tabs>
        <w:ind w:firstLine="567"/>
      </w:pPr>
      <w:r w:rsidRPr="00BA4F0F">
        <w:t>В случае внезапно развившейся нейтропении или тромбоцитопении либо длительно существующей необъяснимой нейтропении или тромбоцитопении необходимо провести исследования на ЦМВ (определение ДНК ЦМВ в крови), особенно у больных лифопролиферативными заболеваниями, а также у пациентов, длительно принимавших глюкокортикоиды.</w:t>
      </w:r>
    </w:p>
    <w:p w14:paraId="11A96550" w14:textId="77777777" w:rsidR="001F2346" w:rsidRPr="00BA4F0F" w:rsidRDefault="001F2346" w:rsidP="001F2346">
      <w:pPr>
        <w:tabs>
          <w:tab w:val="left" w:pos="0"/>
          <w:tab w:val="left" w:pos="567"/>
        </w:tabs>
        <w:ind w:firstLine="567"/>
      </w:pPr>
      <w:r w:rsidRPr="00BA4F0F">
        <w:t xml:space="preserve">При тяжелой инфекции, особенно при бактериемии, может изменяться содержание С-реактивного белка, интерлейкинов (ИЛ-6, ИЛ-8) и прокальцитонина. Однако повышение этих маркеров происходит не всегда, особенно при вирусной или грибковой инфекции. Обнаружение биологически активных соединений в крови или повышение их уровня не является основанием для назначения антимикробных препаратов или изменения терапии инфекционных осложнений при стабильной клинической ситуации в период нейтропении. Не следует определять прокальцитонин и другие маркеры в первые часы повышения температуры, так как в любом случае при фебрильной нейтропении будет назначен антибиотик, и значения прокальцитонина не влияют на выбор антимикробного препарата. </w:t>
      </w:r>
    </w:p>
    <w:p w14:paraId="2AA05C5F" w14:textId="77777777" w:rsidR="001F2346" w:rsidRPr="00BA4F0F" w:rsidRDefault="001F2346" w:rsidP="001F2346">
      <w:pPr>
        <w:pStyle w:val="afe"/>
        <w:tabs>
          <w:tab w:val="left" w:pos="0"/>
          <w:tab w:val="left" w:pos="567"/>
        </w:tabs>
        <w:rPr>
          <w:rFonts w:cs="Times New Roman"/>
          <w:szCs w:val="24"/>
          <w:u w:val="single"/>
        </w:rPr>
      </w:pPr>
    </w:p>
    <w:p w14:paraId="650465BA" w14:textId="77777777" w:rsidR="001F2346" w:rsidRPr="00BA4F0F" w:rsidRDefault="001F2346" w:rsidP="001F2346">
      <w:pPr>
        <w:tabs>
          <w:tab w:val="left" w:pos="0"/>
          <w:tab w:val="left" w:pos="567"/>
        </w:tabs>
        <w:rPr>
          <w:u w:val="single"/>
        </w:rPr>
      </w:pPr>
      <w:r w:rsidRPr="00BA4F0F">
        <w:rPr>
          <w:u w:val="single"/>
        </w:rPr>
        <w:t>Порядок назначения антимикробной терапии</w:t>
      </w:r>
    </w:p>
    <w:p w14:paraId="74BF79C4" w14:textId="77777777" w:rsidR="001F2346" w:rsidRPr="00BA4F0F" w:rsidRDefault="001F2346" w:rsidP="001F2346">
      <w:pPr>
        <w:pStyle w:val="afe"/>
        <w:ind w:left="0"/>
        <w:rPr>
          <w:rFonts w:cs="Times New Roman"/>
          <w:b/>
          <w:i/>
          <w:szCs w:val="24"/>
        </w:rPr>
      </w:pPr>
      <w:r w:rsidRPr="00BA4F0F">
        <w:rPr>
          <w:rFonts w:cs="Times New Roman"/>
          <w:b/>
          <w:i/>
          <w:szCs w:val="24"/>
        </w:rPr>
        <w:t>Показания к назначению антибиотиков первого этапа</w:t>
      </w:r>
    </w:p>
    <w:p w14:paraId="70AF554D" w14:textId="77777777" w:rsidR="001F2346" w:rsidRPr="00BA4F0F" w:rsidRDefault="001F2346" w:rsidP="00DC0931">
      <w:pPr>
        <w:numPr>
          <w:ilvl w:val="0"/>
          <w:numId w:val="226"/>
        </w:numPr>
        <w:tabs>
          <w:tab w:val="left" w:pos="0"/>
          <w:tab w:val="left" w:pos="567"/>
        </w:tabs>
        <w:ind w:left="0" w:firstLine="0"/>
      </w:pPr>
      <w:r w:rsidRPr="00BA4F0F">
        <w:lastRenderedPageBreak/>
        <w:t xml:space="preserve">Повышение температуры ≥ 38,0°С (измерение в подмышечных впадинах), сохраняющееся в течение 2 часов и не связанное с введением пирогенных препаратов (например, компонентов крови, факторов роста и др.) </w:t>
      </w:r>
      <w:r w:rsidRPr="00BA4F0F">
        <w:rPr>
          <w:i/>
        </w:rPr>
        <w:t>и/или</w:t>
      </w:r>
    </w:p>
    <w:p w14:paraId="116869FB" w14:textId="77777777" w:rsidR="001F2346" w:rsidRPr="00BA4F0F" w:rsidRDefault="001F2346" w:rsidP="00DC0931">
      <w:pPr>
        <w:numPr>
          <w:ilvl w:val="0"/>
          <w:numId w:val="226"/>
        </w:numPr>
        <w:tabs>
          <w:tab w:val="left" w:pos="0"/>
          <w:tab w:val="left" w:pos="567"/>
        </w:tabs>
        <w:ind w:left="0" w:firstLine="0"/>
      </w:pPr>
      <w:r w:rsidRPr="00BA4F0F">
        <w:t>Наличие очага инфекции (например, пневмония, парапроктит и др.). При наличии очага инфекции уровень лихорадки не является определяющим для назначения антибиотиков.</w:t>
      </w:r>
    </w:p>
    <w:p w14:paraId="6DB67129" w14:textId="77777777" w:rsidR="001F2346" w:rsidRPr="00BA4F0F" w:rsidRDefault="001F2346" w:rsidP="001F2346">
      <w:pPr>
        <w:tabs>
          <w:tab w:val="left" w:pos="0"/>
          <w:tab w:val="left" w:pos="567"/>
        </w:tabs>
      </w:pPr>
      <w:r w:rsidRPr="00BA4F0F">
        <w:rPr>
          <w:i/>
        </w:rPr>
        <w:t>Примечание.</w:t>
      </w:r>
      <w:r w:rsidRPr="00BA4F0F">
        <w:t xml:space="preserve"> Сама по себе нейтропения (даже при числе нейтрофилов ≤ 0,1 × 10</w:t>
      </w:r>
      <w:r w:rsidRPr="00BA4F0F">
        <w:rPr>
          <w:vertAlign w:val="superscript"/>
        </w:rPr>
        <w:t>9</w:t>
      </w:r>
      <w:r w:rsidRPr="00BA4F0F">
        <w:t>/л) без лихорадки и очага инфекции не является показанием к назначению антибактериальных препаратов.</w:t>
      </w:r>
    </w:p>
    <w:p w14:paraId="0B202DD4" w14:textId="77777777" w:rsidR="001F2346" w:rsidRPr="00BA4F0F" w:rsidRDefault="001F2346" w:rsidP="001F2346">
      <w:pPr>
        <w:tabs>
          <w:tab w:val="left" w:pos="0"/>
          <w:tab w:val="left" w:pos="567"/>
        </w:tabs>
        <w:rPr>
          <w:b/>
        </w:rPr>
      </w:pPr>
    </w:p>
    <w:p w14:paraId="6C8AE246" w14:textId="77777777" w:rsidR="001F2346" w:rsidRPr="00BA4F0F" w:rsidRDefault="001F2346" w:rsidP="001F2346">
      <w:pPr>
        <w:pStyle w:val="afe"/>
        <w:ind w:left="0"/>
        <w:rPr>
          <w:rFonts w:cs="Times New Roman"/>
          <w:b/>
          <w:i/>
          <w:szCs w:val="24"/>
        </w:rPr>
      </w:pPr>
      <w:r w:rsidRPr="00BA4F0F">
        <w:rPr>
          <w:rFonts w:cs="Times New Roman"/>
          <w:b/>
          <w:i/>
          <w:szCs w:val="24"/>
        </w:rPr>
        <w:t>Основные принципы эмпирической терапии при лихорадке периода нейтропении</w:t>
      </w:r>
    </w:p>
    <w:p w14:paraId="2717837A" w14:textId="77777777" w:rsidR="001F2346" w:rsidRPr="00BA4F0F" w:rsidRDefault="001F2346" w:rsidP="00DC0931">
      <w:pPr>
        <w:numPr>
          <w:ilvl w:val="0"/>
          <w:numId w:val="227"/>
        </w:numPr>
        <w:tabs>
          <w:tab w:val="left" w:pos="0"/>
          <w:tab w:val="left" w:pos="567"/>
        </w:tabs>
        <w:ind w:left="0" w:firstLine="0"/>
      </w:pPr>
      <w:r w:rsidRPr="00BA4F0F">
        <w:t>Немедленное назначение антибиотиков при лихорадке или очагах инфекции, не дожидаясь результатов бактериологического исследования.</w:t>
      </w:r>
    </w:p>
    <w:p w14:paraId="4C1BB676" w14:textId="77777777" w:rsidR="001F2346" w:rsidRPr="00BA4F0F" w:rsidRDefault="001F2346" w:rsidP="00DC0931">
      <w:pPr>
        <w:numPr>
          <w:ilvl w:val="0"/>
          <w:numId w:val="227"/>
        </w:numPr>
        <w:tabs>
          <w:tab w:val="left" w:pos="0"/>
          <w:tab w:val="left" w:pos="567"/>
        </w:tabs>
        <w:ind w:left="0" w:firstLine="0"/>
      </w:pPr>
      <w:r w:rsidRPr="00BA4F0F">
        <w:t>Применение на первом этапе антимикробных препаратов, проявляющих активность в отношении грамотрицательных бактерий, включая синегнойную палочку.</w:t>
      </w:r>
    </w:p>
    <w:p w14:paraId="5E33B038" w14:textId="77777777" w:rsidR="001F2346" w:rsidRPr="00BA4F0F" w:rsidRDefault="001F2346" w:rsidP="00DC0931">
      <w:pPr>
        <w:numPr>
          <w:ilvl w:val="0"/>
          <w:numId w:val="227"/>
        </w:numPr>
        <w:tabs>
          <w:tab w:val="left" w:pos="0"/>
          <w:tab w:val="left" w:pos="567"/>
        </w:tabs>
        <w:ind w:left="0" w:firstLine="0"/>
      </w:pPr>
      <w:r w:rsidRPr="00BA4F0F">
        <w:t>Назначение на первом этапе наиболее активных антибиотиков (при выборе антибиотиков опираются на результаты последнего ретроспективного анализа).</w:t>
      </w:r>
    </w:p>
    <w:p w14:paraId="7FFC4EFF" w14:textId="77777777" w:rsidR="001F2346" w:rsidRPr="00BA4F0F" w:rsidRDefault="001F2346" w:rsidP="00DC0931">
      <w:pPr>
        <w:numPr>
          <w:ilvl w:val="0"/>
          <w:numId w:val="227"/>
        </w:numPr>
        <w:tabs>
          <w:tab w:val="left" w:pos="0"/>
          <w:tab w:val="left" w:pos="567"/>
        </w:tabs>
        <w:ind w:left="0" w:firstLine="0"/>
      </w:pPr>
      <w:r w:rsidRPr="00BA4F0F">
        <w:t>Введение антимикробных препаратов только внутривенно.</w:t>
      </w:r>
    </w:p>
    <w:p w14:paraId="0D6F9A1B" w14:textId="77777777" w:rsidR="001F2346" w:rsidRPr="00BA4F0F" w:rsidRDefault="001F2346" w:rsidP="00DC0931">
      <w:pPr>
        <w:numPr>
          <w:ilvl w:val="0"/>
          <w:numId w:val="227"/>
        </w:numPr>
        <w:tabs>
          <w:tab w:val="left" w:pos="0"/>
          <w:tab w:val="left" w:pos="567"/>
        </w:tabs>
        <w:ind w:left="0" w:firstLine="0"/>
      </w:pPr>
      <w:r w:rsidRPr="00BA4F0F">
        <w:t>Модификация, при необходимости, антимикробной терапии согласно результатам микробиологического исследования.</w:t>
      </w:r>
    </w:p>
    <w:p w14:paraId="0D77AEE4" w14:textId="77777777" w:rsidR="001F2346" w:rsidRPr="00BA4F0F" w:rsidRDefault="001F2346" w:rsidP="001F2346">
      <w:pPr>
        <w:tabs>
          <w:tab w:val="left" w:pos="0"/>
          <w:tab w:val="left" w:pos="567"/>
        </w:tabs>
      </w:pPr>
      <w:r w:rsidRPr="00BA4F0F">
        <w:t xml:space="preserve">Для стартовой терапии фебрильной нейтропении назначают один антибиотик (монотерапия): </w:t>
      </w:r>
    </w:p>
    <w:p w14:paraId="437D1354" w14:textId="77777777" w:rsidR="001F2346" w:rsidRPr="00BA4F0F" w:rsidRDefault="001F2346" w:rsidP="00DC0931">
      <w:pPr>
        <w:numPr>
          <w:ilvl w:val="0"/>
          <w:numId w:val="228"/>
        </w:numPr>
        <w:tabs>
          <w:tab w:val="left" w:pos="0"/>
          <w:tab w:val="left" w:pos="567"/>
        </w:tabs>
        <w:ind w:left="0" w:firstLine="0"/>
      </w:pPr>
      <w:r w:rsidRPr="00BA4F0F">
        <w:t xml:space="preserve">Цефоперазон/сульбактам </w:t>
      </w:r>
    </w:p>
    <w:p w14:paraId="305B67B1" w14:textId="77777777" w:rsidR="001F2346" w:rsidRPr="00BA4F0F" w:rsidRDefault="001F2346" w:rsidP="00DC0931">
      <w:pPr>
        <w:numPr>
          <w:ilvl w:val="0"/>
          <w:numId w:val="229"/>
        </w:numPr>
        <w:tabs>
          <w:tab w:val="left" w:pos="0"/>
          <w:tab w:val="left" w:pos="567"/>
        </w:tabs>
        <w:ind w:left="0" w:firstLine="0"/>
      </w:pPr>
      <w:r w:rsidRPr="00BA4F0F">
        <w:t xml:space="preserve">Дозирование: по 4 г 2 раза в сутки. </w:t>
      </w:r>
    </w:p>
    <w:p w14:paraId="3DA5B38A" w14:textId="77777777" w:rsidR="001F2346" w:rsidRPr="00BA4F0F" w:rsidRDefault="001F2346" w:rsidP="00DC0931">
      <w:pPr>
        <w:numPr>
          <w:ilvl w:val="0"/>
          <w:numId w:val="228"/>
        </w:numPr>
        <w:tabs>
          <w:tab w:val="left" w:pos="0"/>
          <w:tab w:val="left" w:pos="567"/>
        </w:tabs>
        <w:ind w:left="0" w:firstLine="0"/>
      </w:pPr>
      <w:r w:rsidRPr="00BA4F0F">
        <w:t xml:space="preserve">Пиперациллин/тазобактам </w:t>
      </w:r>
    </w:p>
    <w:p w14:paraId="18E57E7E" w14:textId="77777777" w:rsidR="001F2346" w:rsidRPr="00BA4F0F" w:rsidRDefault="001F2346" w:rsidP="00DC0931">
      <w:pPr>
        <w:numPr>
          <w:ilvl w:val="0"/>
          <w:numId w:val="230"/>
        </w:numPr>
        <w:tabs>
          <w:tab w:val="left" w:pos="0"/>
          <w:tab w:val="left" w:pos="567"/>
        </w:tabs>
        <w:ind w:left="0" w:firstLine="0"/>
      </w:pPr>
      <w:r w:rsidRPr="00BA4F0F">
        <w:t xml:space="preserve">Дозирование: по 4,5 г 3 раза в сутки. </w:t>
      </w:r>
    </w:p>
    <w:p w14:paraId="37325495" w14:textId="77777777" w:rsidR="001F2346" w:rsidRPr="00BA4F0F" w:rsidRDefault="001F2346" w:rsidP="00DC0931">
      <w:pPr>
        <w:numPr>
          <w:ilvl w:val="0"/>
          <w:numId w:val="228"/>
        </w:numPr>
        <w:tabs>
          <w:tab w:val="left" w:pos="0"/>
          <w:tab w:val="left" w:pos="567"/>
        </w:tabs>
        <w:ind w:left="0" w:firstLine="0"/>
      </w:pPr>
      <w:r w:rsidRPr="00BA4F0F">
        <w:t xml:space="preserve">Цефепим </w:t>
      </w:r>
    </w:p>
    <w:p w14:paraId="20E3A36F" w14:textId="77777777" w:rsidR="001F2346" w:rsidRPr="00BA4F0F" w:rsidRDefault="001F2346" w:rsidP="00DC0931">
      <w:pPr>
        <w:numPr>
          <w:ilvl w:val="0"/>
          <w:numId w:val="231"/>
        </w:numPr>
        <w:tabs>
          <w:tab w:val="left" w:pos="0"/>
          <w:tab w:val="left" w:pos="567"/>
        </w:tabs>
        <w:ind w:left="0" w:firstLine="0"/>
      </w:pPr>
      <w:r w:rsidRPr="00BA4F0F">
        <w:t xml:space="preserve">Дозирование: по 2 г 2 раза в сутки. </w:t>
      </w:r>
    </w:p>
    <w:p w14:paraId="5801A1DB" w14:textId="77777777" w:rsidR="001F2346" w:rsidRPr="00BA4F0F" w:rsidRDefault="001F2346" w:rsidP="00DC0931">
      <w:pPr>
        <w:numPr>
          <w:ilvl w:val="0"/>
          <w:numId w:val="228"/>
        </w:numPr>
        <w:tabs>
          <w:tab w:val="left" w:pos="0"/>
          <w:tab w:val="left" w:pos="567"/>
        </w:tabs>
        <w:ind w:left="0" w:firstLine="0"/>
      </w:pPr>
      <w:r w:rsidRPr="00BA4F0F">
        <w:t xml:space="preserve">Цефтазидим </w:t>
      </w:r>
    </w:p>
    <w:p w14:paraId="51AB21CE" w14:textId="77777777" w:rsidR="001F2346" w:rsidRPr="00BA4F0F" w:rsidRDefault="001F2346" w:rsidP="00DC0931">
      <w:pPr>
        <w:numPr>
          <w:ilvl w:val="0"/>
          <w:numId w:val="232"/>
        </w:numPr>
        <w:tabs>
          <w:tab w:val="left" w:pos="0"/>
          <w:tab w:val="left" w:pos="567"/>
        </w:tabs>
        <w:ind w:left="0" w:firstLine="0"/>
      </w:pPr>
      <w:r w:rsidRPr="00BA4F0F">
        <w:t xml:space="preserve">Дозирование: по 2 г 3 раза в сутки </w:t>
      </w:r>
    </w:p>
    <w:p w14:paraId="2D3CAE1C" w14:textId="77777777" w:rsidR="001F2346" w:rsidRPr="00BA4F0F" w:rsidRDefault="001F2346" w:rsidP="001F2346">
      <w:pPr>
        <w:tabs>
          <w:tab w:val="left" w:pos="0"/>
          <w:tab w:val="left" w:pos="567"/>
        </w:tabs>
      </w:pPr>
      <w:r w:rsidRPr="00BA4F0F">
        <w:t>При развитии септического шока на первом этапе эмпирической терапии рекомендовано карбапенемов:</w:t>
      </w:r>
    </w:p>
    <w:p w14:paraId="0BF02C96" w14:textId="77777777" w:rsidR="001F2346" w:rsidRPr="00BA4F0F" w:rsidRDefault="001F2346" w:rsidP="00DC0931">
      <w:pPr>
        <w:numPr>
          <w:ilvl w:val="0"/>
          <w:numId w:val="233"/>
        </w:numPr>
        <w:tabs>
          <w:tab w:val="left" w:pos="0"/>
          <w:tab w:val="left" w:pos="567"/>
        </w:tabs>
        <w:ind w:left="0" w:firstLine="0"/>
      </w:pPr>
      <w:r w:rsidRPr="00BA4F0F">
        <w:t>Имипенем/циластатин</w:t>
      </w:r>
    </w:p>
    <w:p w14:paraId="17EB23C0" w14:textId="77777777" w:rsidR="001F2346" w:rsidRPr="00BA4F0F" w:rsidRDefault="001F2346" w:rsidP="00DC0931">
      <w:pPr>
        <w:numPr>
          <w:ilvl w:val="0"/>
          <w:numId w:val="232"/>
        </w:numPr>
        <w:tabs>
          <w:tab w:val="left" w:pos="0"/>
          <w:tab w:val="left" w:pos="567"/>
        </w:tabs>
        <w:ind w:left="0" w:firstLine="0"/>
      </w:pPr>
      <w:r w:rsidRPr="00BA4F0F">
        <w:t>Дозировка: по 0,5 г 4 раза в сутки.</w:t>
      </w:r>
    </w:p>
    <w:p w14:paraId="32C74B80" w14:textId="77777777" w:rsidR="001F2346" w:rsidRPr="00BA4F0F" w:rsidRDefault="001F2346" w:rsidP="00DC0931">
      <w:pPr>
        <w:numPr>
          <w:ilvl w:val="0"/>
          <w:numId w:val="234"/>
        </w:numPr>
        <w:tabs>
          <w:tab w:val="left" w:pos="0"/>
          <w:tab w:val="left" w:pos="567"/>
        </w:tabs>
        <w:ind w:left="0" w:firstLine="0"/>
      </w:pPr>
      <w:r w:rsidRPr="00BA4F0F">
        <w:lastRenderedPageBreak/>
        <w:t>Меропенем</w:t>
      </w:r>
    </w:p>
    <w:p w14:paraId="22A843AB" w14:textId="77777777" w:rsidR="001F2346" w:rsidRPr="00BA4F0F" w:rsidRDefault="001F2346" w:rsidP="00DC0931">
      <w:pPr>
        <w:numPr>
          <w:ilvl w:val="0"/>
          <w:numId w:val="232"/>
        </w:numPr>
        <w:tabs>
          <w:tab w:val="left" w:pos="0"/>
          <w:tab w:val="left" w:pos="567"/>
        </w:tabs>
        <w:ind w:left="0" w:firstLine="0"/>
      </w:pPr>
      <w:r w:rsidRPr="00BA4F0F">
        <w:t>Дозировка: по 1 г 3 раза в сутки.</w:t>
      </w:r>
    </w:p>
    <w:p w14:paraId="2C38CC9E" w14:textId="77777777" w:rsidR="001F2346" w:rsidRPr="00BA4F0F" w:rsidRDefault="001F2346" w:rsidP="00DC0931">
      <w:pPr>
        <w:numPr>
          <w:ilvl w:val="0"/>
          <w:numId w:val="235"/>
        </w:numPr>
        <w:tabs>
          <w:tab w:val="left" w:pos="0"/>
          <w:tab w:val="left" w:pos="567"/>
        </w:tabs>
        <w:ind w:left="0" w:firstLine="0"/>
      </w:pPr>
      <w:r w:rsidRPr="00BA4F0F">
        <w:t>Дорипенем</w:t>
      </w:r>
    </w:p>
    <w:p w14:paraId="1A0E868B" w14:textId="77777777" w:rsidR="001F2346" w:rsidRPr="00BA4F0F" w:rsidRDefault="001F2346" w:rsidP="00DC0931">
      <w:pPr>
        <w:numPr>
          <w:ilvl w:val="0"/>
          <w:numId w:val="232"/>
        </w:numPr>
        <w:tabs>
          <w:tab w:val="left" w:pos="0"/>
          <w:tab w:val="left" w:pos="567"/>
        </w:tabs>
        <w:ind w:left="0" w:firstLine="0"/>
      </w:pPr>
      <w:r w:rsidRPr="00BA4F0F">
        <w:t>Дозировка: по 0,5 г 3 раза в сутки.</w:t>
      </w:r>
    </w:p>
    <w:p w14:paraId="3A4C3E5D" w14:textId="77777777" w:rsidR="001F2346" w:rsidRPr="00BA4F0F" w:rsidRDefault="001F2346" w:rsidP="001F2346">
      <w:pPr>
        <w:tabs>
          <w:tab w:val="left" w:pos="0"/>
          <w:tab w:val="left" w:pos="567"/>
        </w:tabs>
        <w:jc w:val="center"/>
        <w:rPr>
          <w:b/>
        </w:rPr>
      </w:pPr>
    </w:p>
    <w:p w14:paraId="1A0154A6" w14:textId="77777777" w:rsidR="001F2346" w:rsidRPr="00BA4F0F" w:rsidRDefault="001F2346" w:rsidP="001F2346">
      <w:pPr>
        <w:pStyle w:val="afe"/>
        <w:ind w:left="0"/>
        <w:rPr>
          <w:rFonts w:cs="Times New Roman"/>
          <w:b/>
          <w:i/>
          <w:szCs w:val="24"/>
        </w:rPr>
      </w:pPr>
      <w:r w:rsidRPr="00BA4F0F">
        <w:rPr>
          <w:rFonts w:cs="Times New Roman"/>
          <w:b/>
          <w:i/>
          <w:szCs w:val="24"/>
        </w:rPr>
        <w:t>Оценка эффективности и модификация антимикробной терапии</w:t>
      </w:r>
    </w:p>
    <w:p w14:paraId="40191622" w14:textId="77777777" w:rsidR="001F2346" w:rsidRPr="00BA4F0F" w:rsidRDefault="001F2346" w:rsidP="001F2346">
      <w:pPr>
        <w:tabs>
          <w:tab w:val="left" w:pos="0"/>
          <w:tab w:val="left" w:pos="567"/>
        </w:tabs>
        <w:ind w:firstLine="567"/>
      </w:pPr>
      <w:r w:rsidRPr="00BA4F0F">
        <w:t xml:space="preserve">Следует помнить, что антибиотики не являются антипиретиками, и нормализация температуры на другой день после их назначения происходит крайне редко. Более того, при тяжелой инфекции температура становится нормальной лишь на 4—5-й день антибактериальной терапии. В то же время ожидание нормализации температуры в течение первых 4—5 дней антимикробной терапии не должно быть пассивным. У всех больных с лихорадкой во время нейтропении необходимо провести диагностические исследования в соответствии с алгоритмом обследования представленным ранее. </w:t>
      </w:r>
    </w:p>
    <w:p w14:paraId="1D72E82D" w14:textId="77777777" w:rsidR="001F2346" w:rsidRPr="00BA4F0F" w:rsidRDefault="001F2346" w:rsidP="001F2346">
      <w:pPr>
        <w:tabs>
          <w:tab w:val="left" w:pos="0"/>
          <w:tab w:val="left" w:pos="567"/>
        </w:tabs>
        <w:jc w:val="center"/>
        <w:rPr>
          <w:b/>
        </w:rPr>
      </w:pPr>
    </w:p>
    <w:p w14:paraId="5C41C74F" w14:textId="77777777" w:rsidR="001F2346" w:rsidRPr="00BA4F0F" w:rsidRDefault="001F2346" w:rsidP="001F2346">
      <w:pPr>
        <w:pStyle w:val="afe"/>
        <w:ind w:left="0"/>
        <w:rPr>
          <w:rFonts w:cs="Times New Roman"/>
          <w:b/>
          <w:i/>
          <w:szCs w:val="24"/>
        </w:rPr>
      </w:pPr>
      <w:r w:rsidRPr="00BA4F0F">
        <w:rPr>
          <w:rFonts w:cs="Times New Roman"/>
          <w:b/>
          <w:i/>
          <w:szCs w:val="24"/>
        </w:rPr>
        <w:t>Модификация антимикробной терапии на 4-5-й день</w:t>
      </w:r>
    </w:p>
    <w:p w14:paraId="62880E0B" w14:textId="77777777" w:rsidR="001F2346" w:rsidRPr="00BA4F0F" w:rsidRDefault="001F2346" w:rsidP="00DC0931">
      <w:pPr>
        <w:numPr>
          <w:ilvl w:val="0"/>
          <w:numId w:val="235"/>
        </w:numPr>
        <w:tabs>
          <w:tab w:val="left" w:pos="0"/>
          <w:tab w:val="left" w:pos="567"/>
        </w:tabs>
        <w:ind w:left="0" w:firstLine="0"/>
      </w:pPr>
      <w:r w:rsidRPr="00BA4F0F">
        <w:t>Показания:</w:t>
      </w:r>
    </w:p>
    <w:p w14:paraId="188FAEDD" w14:textId="77777777" w:rsidR="001F2346" w:rsidRPr="00BA4F0F" w:rsidRDefault="001F2346" w:rsidP="00DC0931">
      <w:pPr>
        <w:numPr>
          <w:ilvl w:val="0"/>
          <w:numId w:val="236"/>
        </w:numPr>
        <w:tabs>
          <w:tab w:val="left" w:pos="0"/>
          <w:tab w:val="left" w:pos="567"/>
        </w:tabs>
        <w:ind w:left="0" w:firstLine="0"/>
      </w:pPr>
      <w:r w:rsidRPr="00BA4F0F">
        <w:t>Стабильное соматическое состояние больного.</w:t>
      </w:r>
    </w:p>
    <w:p w14:paraId="5B341938" w14:textId="77777777" w:rsidR="001F2346" w:rsidRPr="00BA4F0F" w:rsidRDefault="001F2346" w:rsidP="00DC0931">
      <w:pPr>
        <w:numPr>
          <w:ilvl w:val="0"/>
          <w:numId w:val="236"/>
        </w:numPr>
        <w:tabs>
          <w:tab w:val="left" w:pos="0"/>
          <w:tab w:val="left" w:pos="567"/>
        </w:tabs>
        <w:ind w:left="0" w:firstLine="0"/>
      </w:pPr>
      <w:r w:rsidRPr="00BA4F0F">
        <w:t>Отрицательные результаты диагностических исследований.</w:t>
      </w:r>
    </w:p>
    <w:p w14:paraId="78B85760" w14:textId="77777777" w:rsidR="001F2346" w:rsidRPr="00BA4F0F" w:rsidRDefault="001F2346" w:rsidP="00DC0931">
      <w:pPr>
        <w:numPr>
          <w:ilvl w:val="0"/>
          <w:numId w:val="236"/>
        </w:numPr>
        <w:tabs>
          <w:tab w:val="left" w:pos="0"/>
          <w:tab w:val="left" w:pos="567"/>
        </w:tabs>
        <w:ind w:left="0" w:firstLine="0"/>
      </w:pPr>
      <w:r w:rsidRPr="00BA4F0F">
        <w:t>Отсутствие новых симптомов инфекции после назначения антибиотиков.</w:t>
      </w:r>
    </w:p>
    <w:p w14:paraId="52FCFC81" w14:textId="77777777" w:rsidR="001F2346" w:rsidRPr="00BA4F0F" w:rsidRDefault="001F2346" w:rsidP="00DC0931">
      <w:pPr>
        <w:numPr>
          <w:ilvl w:val="0"/>
          <w:numId w:val="237"/>
        </w:numPr>
        <w:tabs>
          <w:tab w:val="left" w:pos="0"/>
          <w:tab w:val="left" w:pos="567"/>
        </w:tabs>
        <w:ind w:left="0" w:firstLine="0"/>
      </w:pPr>
      <w:r w:rsidRPr="00BA4F0F">
        <w:t>Возможные причины длительной лихорадки (более 4 суток):</w:t>
      </w:r>
    </w:p>
    <w:p w14:paraId="4E6FB9CD" w14:textId="77777777" w:rsidR="001F2346" w:rsidRPr="00BA4F0F" w:rsidRDefault="001F2346" w:rsidP="00DC0931">
      <w:pPr>
        <w:numPr>
          <w:ilvl w:val="0"/>
          <w:numId w:val="238"/>
        </w:numPr>
        <w:tabs>
          <w:tab w:val="left" w:pos="0"/>
          <w:tab w:val="left" w:pos="567"/>
        </w:tabs>
        <w:ind w:left="0" w:firstLine="0"/>
      </w:pPr>
      <w:r w:rsidRPr="00BA4F0F">
        <w:t>Не обнаружен очаг инфекции.</w:t>
      </w:r>
    </w:p>
    <w:p w14:paraId="2F37DE9E" w14:textId="77777777" w:rsidR="001F2346" w:rsidRPr="00BA4F0F" w:rsidRDefault="001F2346" w:rsidP="00DC0931">
      <w:pPr>
        <w:numPr>
          <w:ilvl w:val="0"/>
          <w:numId w:val="238"/>
        </w:numPr>
        <w:tabs>
          <w:tab w:val="left" w:pos="0"/>
          <w:tab w:val="left" w:pos="567"/>
        </w:tabs>
        <w:ind w:left="0" w:firstLine="0"/>
      </w:pPr>
      <w:r w:rsidRPr="00BA4F0F">
        <w:t>Наличие инфекции, вызванной другими возбудителями (не бактериями).</w:t>
      </w:r>
    </w:p>
    <w:p w14:paraId="0D641184" w14:textId="77777777" w:rsidR="001F2346" w:rsidRPr="00BA4F0F" w:rsidRDefault="001F2346" w:rsidP="00DC0931">
      <w:pPr>
        <w:numPr>
          <w:ilvl w:val="0"/>
          <w:numId w:val="238"/>
        </w:numPr>
        <w:tabs>
          <w:tab w:val="left" w:pos="0"/>
          <w:tab w:val="left" w:pos="567"/>
        </w:tabs>
        <w:ind w:left="0" w:firstLine="0"/>
      </w:pPr>
      <w:r w:rsidRPr="00BA4F0F">
        <w:t>Бактериальная инфекция, вызванная резистентными микроорганизмами.</w:t>
      </w:r>
    </w:p>
    <w:p w14:paraId="5300BEAF" w14:textId="77777777" w:rsidR="001F2346" w:rsidRPr="00BA4F0F" w:rsidRDefault="001F2346" w:rsidP="00DC0931">
      <w:pPr>
        <w:numPr>
          <w:ilvl w:val="0"/>
          <w:numId w:val="238"/>
        </w:numPr>
        <w:tabs>
          <w:tab w:val="left" w:pos="0"/>
          <w:tab w:val="left" w:pos="567"/>
        </w:tabs>
        <w:ind w:left="0" w:firstLine="0"/>
      </w:pPr>
      <w:r w:rsidRPr="00BA4F0F">
        <w:t>Присоединение вторичной инфекции.</w:t>
      </w:r>
    </w:p>
    <w:p w14:paraId="5EA00F39" w14:textId="77777777" w:rsidR="001F2346" w:rsidRPr="00BA4F0F" w:rsidRDefault="001F2346" w:rsidP="00DC0931">
      <w:pPr>
        <w:numPr>
          <w:ilvl w:val="0"/>
          <w:numId w:val="238"/>
        </w:numPr>
        <w:tabs>
          <w:tab w:val="left" w:pos="0"/>
          <w:tab w:val="left" w:pos="567"/>
        </w:tabs>
        <w:ind w:left="0" w:firstLine="0"/>
      </w:pPr>
      <w:r w:rsidRPr="00BA4F0F">
        <w:t>Лекарственная лихорадка.</w:t>
      </w:r>
    </w:p>
    <w:p w14:paraId="3D74DAC5" w14:textId="77777777" w:rsidR="001F2346" w:rsidRPr="00BA4F0F" w:rsidRDefault="001F2346" w:rsidP="00DC0931">
      <w:pPr>
        <w:numPr>
          <w:ilvl w:val="0"/>
          <w:numId w:val="238"/>
        </w:numPr>
        <w:tabs>
          <w:tab w:val="left" w:pos="0"/>
          <w:tab w:val="left" w:pos="567"/>
        </w:tabs>
        <w:ind w:left="0" w:firstLine="0"/>
      </w:pPr>
      <w:r w:rsidRPr="00BA4F0F">
        <w:t>Недостаточная пенетрация антибиотиков в очаг поражения (например, при абсцессе).</w:t>
      </w:r>
    </w:p>
    <w:p w14:paraId="46F981F8" w14:textId="77777777" w:rsidR="001F2346" w:rsidRPr="00BA4F0F" w:rsidRDefault="001F2346" w:rsidP="00DC0931">
      <w:pPr>
        <w:numPr>
          <w:ilvl w:val="0"/>
          <w:numId w:val="239"/>
        </w:numPr>
        <w:tabs>
          <w:tab w:val="left" w:pos="0"/>
          <w:tab w:val="left" w:pos="567"/>
        </w:tabs>
        <w:ind w:left="0" w:firstLine="0"/>
      </w:pPr>
      <w:r w:rsidRPr="00BA4F0F">
        <w:t>При лихорадке неясного генеза длительностью более 4 суток повторяют диагностические исследования. Обязательным в этот период является проведение КТ легких.</w:t>
      </w:r>
    </w:p>
    <w:p w14:paraId="6CFBEF18" w14:textId="77777777" w:rsidR="001F2346" w:rsidRPr="00BA4F0F" w:rsidRDefault="001F2346" w:rsidP="00DC0931">
      <w:pPr>
        <w:numPr>
          <w:ilvl w:val="0"/>
          <w:numId w:val="239"/>
        </w:numPr>
        <w:tabs>
          <w:tab w:val="left" w:pos="0"/>
          <w:tab w:val="left" w:pos="567"/>
        </w:tabs>
        <w:ind w:left="0" w:firstLine="0"/>
      </w:pPr>
      <w:r w:rsidRPr="00BA4F0F">
        <w:t>Варианты модификации антимикробной терапии на 4-5 день фебрильной нейтропении (микробиологические исследование отрицательные, пневмонии по данным КТ нет, состояние стабильное):</w:t>
      </w:r>
    </w:p>
    <w:p w14:paraId="18104A0E" w14:textId="77777777" w:rsidR="001F2346" w:rsidRPr="00BA4F0F" w:rsidRDefault="001F2346" w:rsidP="00DC0931">
      <w:pPr>
        <w:numPr>
          <w:ilvl w:val="0"/>
          <w:numId w:val="240"/>
        </w:numPr>
        <w:tabs>
          <w:tab w:val="left" w:pos="0"/>
          <w:tab w:val="left" w:pos="567"/>
        </w:tabs>
        <w:ind w:left="0" w:firstLine="0"/>
      </w:pPr>
      <w:r w:rsidRPr="00BA4F0F">
        <w:t xml:space="preserve">Отменяют антибиотики первого этапа и назначают карбапенем (меропенем или имипенем/циластатин), если в течение всех 4—5 дней не было снижения температуры и </w:t>
      </w:r>
      <w:r w:rsidRPr="00BA4F0F">
        <w:lastRenderedPageBreak/>
        <w:t xml:space="preserve">имеется колонизация слизистой оболочки кишечника энтеробактериями с продукцией БЛРС. </w:t>
      </w:r>
    </w:p>
    <w:p w14:paraId="43F5C8F0" w14:textId="77777777" w:rsidR="001F2346" w:rsidRPr="00BA4F0F" w:rsidRDefault="001F2346" w:rsidP="00DC0931">
      <w:pPr>
        <w:numPr>
          <w:ilvl w:val="0"/>
          <w:numId w:val="240"/>
        </w:numPr>
        <w:tabs>
          <w:tab w:val="left" w:pos="0"/>
          <w:tab w:val="left" w:pos="567"/>
        </w:tabs>
        <w:ind w:left="0" w:firstLine="0"/>
      </w:pPr>
      <w:r w:rsidRPr="00BA4F0F">
        <w:t xml:space="preserve">Добавляют ванкомицин, линезолид, тедизолид или даптомицин к антибиотикам первого этапа при симптомах мукозита </w:t>
      </w:r>
      <w:r w:rsidRPr="00BA4F0F">
        <w:rPr>
          <w:lang w:val="en-US"/>
        </w:rPr>
        <w:t>III</w:t>
      </w:r>
      <w:r w:rsidRPr="00BA4F0F">
        <w:t>-</w:t>
      </w:r>
      <w:r w:rsidRPr="00BA4F0F">
        <w:rPr>
          <w:lang w:val="en-US"/>
        </w:rPr>
        <w:t>IV</w:t>
      </w:r>
      <w:r w:rsidRPr="00BA4F0F">
        <w:t xml:space="preserve"> степени. </w:t>
      </w:r>
    </w:p>
    <w:p w14:paraId="472A6E76" w14:textId="77777777" w:rsidR="001F2346" w:rsidRPr="00BA4F0F" w:rsidRDefault="001F2346" w:rsidP="00DC0931">
      <w:pPr>
        <w:numPr>
          <w:ilvl w:val="0"/>
          <w:numId w:val="241"/>
        </w:numPr>
        <w:tabs>
          <w:tab w:val="left" w:pos="0"/>
          <w:tab w:val="left" w:pos="567"/>
        </w:tabs>
        <w:ind w:left="0" w:firstLine="0"/>
      </w:pPr>
      <w:r w:rsidRPr="00BA4F0F">
        <w:t>Ванкомицин: по 1 г 2 раза в сутки.</w:t>
      </w:r>
    </w:p>
    <w:p w14:paraId="41DC8573" w14:textId="77777777" w:rsidR="001F2346" w:rsidRPr="00BA4F0F" w:rsidRDefault="001F2346" w:rsidP="00DC0931">
      <w:pPr>
        <w:numPr>
          <w:ilvl w:val="0"/>
          <w:numId w:val="241"/>
        </w:numPr>
        <w:tabs>
          <w:tab w:val="left" w:pos="0"/>
          <w:tab w:val="left" w:pos="567"/>
        </w:tabs>
        <w:ind w:left="0" w:firstLine="0"/>
      </w:pPr>
      <w:r w:rsidRPr="00BA4F0F">
        <w:t>Тедизолид: по 0,2 г 1 раз в сутки.</w:t>
      </w:r>
    </w:p>
    <w:p w14:paraId="43F86BC9" w14:textId="77777777" w:rsidR="001F2346" w:rsidRPr="00BA4F0F" w:rsidRDefault="001F2346" w:rsidP="00DC0931">
      <w:pPr>
        <w:numPr>
          <w:ilvl w:val="0"/>
          <w:numId w:val="241"/>
        </w:numPr>
        <w:tabs>
          <w:tab w:val="left" w:pos="0"/>
          <w:tab w:val="left" w:pos="567"/>
        </w:tabs>
        <w:ind w:left="0" w:firstLine="0"/>
      </w:pPr>
      <w:r w:rsidRPr="00BA4F0F">
        <w:t>Даптомицин: по 8-10 мг/кг 1 раз в сутки.</w:t>
      </w:r>
    </w:p>
    <w:p w14:paraId="2C4BE426" w14:textId="77777777" w:rsidR="001F2346" w:rsidRPr="00BA4F0F" w:rsidRDefault="001F2346" w:rsidP="00DC0931">
      <w:pPr>
        <w:numPr>
          <w:ilvl w:val="0"/>
          <w:numId w:val="240"/>
        </w:numPr>
        <w:tabs>
          <w:tab w:val="left" w:pos="0"/>
          <w:tab w:val="left" w:pos="567"/>
        </w:tabs>
        <w:ind w:left="0" w:firstLine="0"/>
      </w:pPr>
      <w:r w:rsidRPr="00BA4F0F">
        <w:t>Добавляют каспофунгин (или микафунгин) к антибиотикам первого этапа, если наблюдалось снижение температуры до нормальных значений (исключить назначение анальгина и других жаропонижающих средств), а затем (на следующий день или через день) — вновь повышение до прежних высоких значений.</w:t>
      </w:r>
    </w:p>
    <w:p w14:paraId="767C4F62" w14:textId="77777777" w:rsidR="001F2346" w:rsidRPr="00BA4F0F" w:rsidRDefault="001F2346" w:rsidP="00DC0931">
      <w:pPr>
        <w:numPr>
          <w:ilvl w:val="0"/>
          <w:numId w:val="242"/>
        </w:numPr>
        <w:tabs>
          <w:tab w:val="left" w:pos="0"/>
          <w:tab w:val="left" w:pos="567"/>
        </w:tabs>
        <w:ind w:left="0" w:firstLine="0"/>
      </w:pPr>
      <w:r w:rsidRPr="00BA4F0F">
        <w:t>Каспофунгин: в первый день 70 мг, далее по 50 мг 1 раз в сутки.</w:t>
      </w:r>
    </w:p>
    <w:p w14:paraId="19FE4AAE" w14:textId="77777777" w:rsidR="001F2346" w:rsidRPr="00BA4F0F" w:rsidRDefault="001F2346" w:rsidP="00DC0931">
      <w:pPr>
        <w:numPr>
          <w:ilvl w:val="0"/>
          <w:numId w:val="240"/>
        </w:numPr>
        <w:tabs>
          <w:tab w:val="left" w:pos="0"/>
          <w:tab w:val="left" w:pos="567"/>
        </w:tabs>
        <w:ind w:left="0" w:firstLine="0"/>
      </w:pPr>
      <w:r w:rsidRPr="00BA4F0F">
        <w:t>Добавляют флуконазол при наличии орофарингиального кандидоза.</w:t>
      </w:r>
    </w:p>
    <w:p w14:paraId="4B83B43A" w14:textId="77777777" w:rsidR="001F2346" w:rsidRPr="00BA4F0F" w:rsidRDefault="001F2346" w:rsidP="00DC0931">
      <w:pPr>
        <w:numPr>
          <w:ilvl w:val="0"/>
          <w:numId w:val="243"/>
        </w:numPr>
        <w:tabs>
          <w:tab w:val="left" w:pos="0"/>
          <w:tab w:val="left" w:pos="567"/>
        </w:tabs>
        <w:ind w:left="0" w:firstLine="0"/>
      </w:pPr>
      <w:r w:rsidRPr="00BA4F0F">
        <w:t>Флуконазол: по 400 мг 1 раз в сутки.</w:t>
      </w:r>
    </w:p>
    <w:p w14:paraId="16A5E5B2" w14:textId="77777777" w:rsidR="001F2346" w:rsidRPr="00BA4F0F" w:rsidRDefault="001F2346" w:rsidP="00DC0931">
      <w:pPr>
        <w:numPr>
          <w:ilvl w:val="0"/>
          <w:numId w:val="240"/>
        </w:numPr>
        <w:tabs>
          <w:tab w:val="left" w:pos="0"/>
          <w:tab w:val="left" w:pos="567"/>
        </w:tabs>
        <w:ind w:left="0" w:firstLine="0"/>
      </w:pPr>
      <w:r w:rsidRPr="00BA4F0F">
        <w:t xml:space="preserve">Добавляют каспофунгин (или микафунгин) больным с персистирующей фебрильной нейтропенией и выделением </w:t>
      </w:r>
      <w:r w:rsidRPr="00BA4F0F">
        <w:rPr>
          <w:i/>
        </w:rPr>
        <w:t>Candida spp.</w:t>
      </w:r>
      <w:r w:rsidRPr="00BA4F0F">
        <w:t xml:space="preserve"> со слизистой оболочки ротоглотки и кишечника или из мочи. </w:t>
      </w:r>
    </w:p>
    <w:p w14:paraId="7569A238" w14:textId="77777777" w:rsidR="001F2346" w:rsidRPr="00BA4F0F" w:rsidRDefault="001F2346" w:rsidP="00DC0931">
      <w:pPr>
        <w:numPr>
          <w:ilvl w:val="0"/>
          <w:numId w:val="240"/>
        </w:numPr>
        <w:tabs>
          <w:tab w:val="left" w:pos="0"/>
          <w:tab w:val="left" w:pos="567"/>
        </w:tabs>
        <w:ind w:left="0" w:firstLine="0"/>
      </w:pPr>
      <w:r w:rsidRPr="00BA4F0F">
        <w:t>Добавляют вориконазол при пневмонии, резистентной к лечению антибиотиками, больным с гранулоцитопенией длительностью более 10 дней или получающим глюкокортикоиды, если не выявлены другие потенциальные возбудители пневмонии.</w:t>
      </w:r>
    </w:p>
    <w:p w14:paraId="70814643" w14:textId="77777777" w:rsidR="001F2346" w:rsidRPr="00BA4F0F" w:rsidRDefault="001F2346" w:rsidP="00DC0931">
      <w:pPr>
        <w:numPr>
          <w:ilvl w:val="0"/>
          <w:numId w:val="244"/>
        </w:numPr>
        <w:tabs>
          <w:tab w:val="left" w:pos="0"/>
          <w:tab w:val="left" w:pos="567"/>
        </w:tabs>
        <w:ind w:left="0" w:firstLine="0"/>
      </w:pPr>
      <w:r w:rsidRPr="00BA4F0F">
        <w:t>Вориконазол: в первый день 6 мг/кг 2 раза в сутки, далее по 3 мг/кг 2 раза в сутки</w:t>
      </w:r>
    </w:p>
    <w:p w14:paraId="2A71655D" w14:textId="77777777" w:rsidR="001F2346" w:rsidRPr="00BA4F0F" w:rsidRDefault="001F2346" w:rsidP="001F2346">
      <w:pPr>
        <w:pStyle w:val="afe"/>
        <w:ind w:left="0"/>
        <w:rPr>
          <w:rFonts w:cs="Times New Roman"/>
          <w:b/>
          <w:i/>
          <w:szCs w:val="24"/>
        </w:rPr>
      </w:pPr>
    </w:p>
    <w:p w14:paraId="5B4A5F59" w14:textId="77777777" w:rsidR="001F2346" w:rsidRPr="00BA4F0F" w:rsidRDefault="001F2346" w:rsidP="001F2346">
      <w:pPr>
        <w:pStyle w:val="afe"/>
        <w:ind w:left="0"/>
        <w:rPr>
          <w:rFonts w:cs="Times New Roman"/>
          <w:b/>
          <w:i/>
          <w:szCs w:val="24"/>
        </w:rPr>
      </w:pPr>
      <w:r w:rsidRPr="00BA4F0F">
        <w:rPr>
          <w:rFonts w:cs="Times New Roman"/>
          <w:b/>
          <w:i/>
          <w:szCs w:val="24"/>
        </w:rPr>
        <w:t>Модификация антимикробной терапии в более ранние сроки</w:t>
      </w:r>
    </w:p>
    <w:p w14:paraId="4F38CCDF" w14:textId="77777777" w:rsidR="001F2346" w:rsidRPr="00BA4F0F" w:rsidRDefault="001F2346" w:rsidP="001F2346">
      <w:pPr>
        <w:tabs>
          <w:tab w:val="left" w:pos="0"/>
          <w:tab w:val="left" w:pos="567"/>
        </w:tabs>
      </w:pPr>
      <w:r w:rsidRPr="00BA4F0F">
        <w:t>Модификацию антимикробной терапии в более ранние сроки (2—3-й день эмпирической антимикробной терапии) проводят на основании клинических и/или микробиологических данных.</w:t>
      </w:r>
    </w:p>
    <w:p w14:paraId="5118644C" w14:textId="77777777" w:rsidR="001F2346" w:rsidRPr="00BA4F0F" w:rsidRDefault="001F2346" w:rsidP="001F2346">
      <w:pPr>
        <w:pStyle w:val="afe"/>
        <w:ind w:left="0"/>
        <w:rPr>
          <w:rFonts w:cs="Times New Roman"/>
          <w:b/>
          <w:i/>
          <w:szCs w:val="24"/>
        </w:rPr>
      </w:pPr>
    </w:p>
    <w:p w14:paraId="2FCC96EB" w14:textId="77777777" w:rsidR="001F2346" w:rsidRPr="00BA4F0F" w:rsidRDefault="001F2346" w:rsidP="001F2346">
      <w:pPr>
        <w:pStyle w:val="afe"/>
        <w:ind w:left="0"/>
        <w:rPr>
          <w:rFonts w:cs="Times New Roman"/>
          <w:b/>
          <w:i/>
          <w:szCs w:val="24"/>
        </w:rPr>
      </w:pPr>
      <w:r w:rsidRPr="00BA4F0F">
        <w:rPr>
          <w:rFonts w:cs="Times New Roman"/>
          <w:b/>
          <w:i/>
          <w:szCs w:val="24"/>
        </w:rPr>
        <w:t>Артериальная гипотония, клиника септического шока</w:t>
      </w:r>
    </w:p>
    <w:p w14:paraId="56C69102" w14:textId="77777777" w:rsidR="001F2346" w:rsidRPr="00BA4F0F" w:rsidRDefault="001F2346" w:rsidP="00DC0931">
      <w:pPr>
        <w:numPr>
          <w:ilvl w:val="0"/>
          <w:numId w:val="245"/>
        </w:numPr>
        <w:tabs>
          <w:tab w:val="left" w:pos="0"/>
          <w:tab w:val="left" w:pos="567"/>
        </w:tabs>
        <w:ind w:left="0" w:firstLine="0"/>
      </w:pPr>
      <w:r w:rsidRPr="00BA4F0F">
        <w:t>Вместо цефалоспорина назначают карбапенем — меропенем, имипенем/циластатин или дорипенем.</w:t>
      </w:r>
    </w:p>
    <w:p w14:paraId="1AB5D930" w14:textId="77777777" w:rsidR="001F2346" w:rsidRPr="00BA4F0F" w:rsidRDefault="001F2346" w:rsidP="001F2346">
      <w:pPr>
        <w:tabs>
          <w:tab w:val="left" w:pos="0"/>
          <w:tab w:val="left" w:pos="567"/>
        </w:tabs>
      </w:pPr>
    </w:p>
    <w:p w14:paraId="4D59C9A6" w14:textId="77777777" w:rsidR="001F2346" w:rsidRPr="00BA4F0F" w:rsidRDefault="001F2346" w:rsidP="001F2346">
      <w:pPr>
        <w:pStyle w:val="afe"/>
        <w:ind w:left="0"/>
        <w:rPr>
          <w:rFonts w:cs="Times New Roman"/>
          <w:b/>
          <w:i/>
          <w:szCs w:val="24"/>
        </w:rPr>
      </w:pPr>
      <w:r w:rsidRPr="00BA4F0F">
        <w:rPr>
          <w:rFonts w:cs="Times New Roman"/>
          <w:b/>
          <w:i/>
          <w:szCs w:val="24"/>
        </w:rPr>
        <w:t>Развитие пневмонии в течение первых 2—3 дней фебрильной нейтропении</w:t>
      </w:r>
    </w:p>
    <w:p w14:paraId="0899BC86" w14:textId="77777777" w:rsidR="001F2346" w:rsidRPr="00BA4F0F" w:rsidRDefault="001F2346" w:rsidP="00DC0931">
      <w:pPr>
        <w:numPr>
          <w:ilvl w:val="0"/>
          <w:numId w:val="245"/>
        </w:numPr>
        <w:tabs>
          <w:tab w:val="left" w:pos="0"/>
          <w:tab w:val="left" w:pos="567"/>
        </w:tabs>
        <w:ind w:left="0" w:firstLine="0"/>
      </w:pPr>
      <w:r w:rsidRPr="00BA4F0F">
        <w:t>При стабильной ситуации проводят БАЛ и дальнейшую модификацию антимикробной терапии осуществляют в соответствии с результатами микробиологического исследования.</w:t>
      </w:r>
    </w:p>
    <w:p w14:paraId="0CE224A5" w14:textId="77777777" w:rsidR="001F2346" w:rsidRPr="00BA4F0F" w:rsidRDefault="001F2346" w:rsidP="00DC0931">
      <w:pPr>
        <w:numPr>
          <w:ilvl w:val="0"/>
          <w:numId w:val="245"/>
        </w:numPr>
        <w:tabs>
          <w:tab w:val="left" w:pos="0"/>
          <w:tab w:val="left" w:pos="567"/>
        </w:tabs>
        <w:ind w:left="0" w:firstLine="0"/>
      </w:pPr>
      <w:r w:rsidRPr="00BA4F0F">
        <w:lastRenderedPageBreak/>
        <w:t>При нестабильном соматическом состоянии или невозможности выполнения БАЛ назначают карбапенем (меропенем, имипенем/циластатин илиьдорипенем) и отменяют антибиотики первого этапа.</w:t>
      </w:r>
    </w:p>
    <w:p w14:paraId="5AA477C0" w14:textId="77777777" w:rsidR="001F2346" w:rsidRPr="00BA4F0F" w:rsidRDefault="001F2346" w:rsidP="001F2346">
      <w:pPr>
        <w:tabs>
          <w:tab w:val="left" w:pos="0"/>
          <w:tab w:val="left" w:pos="567"/>
        </w:tabs>
        <w:rPr>
          <w:b/>
        </w:rPr>
      </w:pPr>
    </w:p>
    <w:p w14:paraId="7292E839" w14:textId="77777777" w:rsidR="001F2346" w:rsidRPr="00BA4F0F" w:rsidRDefault="001F2346" w:rsidP="001F2346">
      <w:pPr>
        <w:pStyle w:val="afe"/>
        <w:ind w:left="0"/>
        <w:rPr>
          <w:rFonts w:cs="Times New Roman"/>
          <w:b/>
          <w:i/>
          <w:szCs w:val="24"/>
        </w:rPr>
      </w:pPr>
      <w:r w:rsidRPr="00BA4F0F">
        <w:rPr>
          <w:rFonts w:cs="Times New Roman"/>
          <w:b/>
          <w:i/>
          <w:szCs w:val="24"/>
        </w:rPr>
        <w:t>Появление септикопиемических очагов на коже</w:t>
      </w:r>
    </w:p>
    <w:p w14:paraId="08E3CCFE" w14:textId="77777777" w:rsidR="001F2346" w:rsidRPr="00BA4F0F" w:rsidRDefault="001F2346" w:rsidP="001F2346">
      <w:pPr>
        <w:tabs>
          <w:tab w:val="left" w:pos="0"/>
          <w:tab w:val="left" w:pos="567"/>
        </w:tabs>
      </w:pPr>
      <w:r w:rsidRPr="00BA4F0F">
        <w:t>Вместо цефалоспорина назначают карбапенем — меропенем, имипенем/циластатин или дорипенем.</w:t>
      </w:r>
    </w:p>
    <w:p w14:paraId="263BF089" w14:textId="77777777" w:rsidR="001F2346" w:rsidRPr="00BA4F0F" w:rsidRDefault="001F2346" w:rsidP="001F2346">
      <w:pPr>
        <w:tabs>
          <w:tab w:val="left" w:pos="0"/>
          <w:tab w:val="left" w:pos="567"/>
        </w:tabs>
        <w:rPr>
          <w:b/>
        </w:rPr>
      </w:pPr>
    </w:p>
    <w:p w14:paraId="64877D73" w14:textId="77777777" w:rsidR="001F2346" w:rsidRPr="00BA4F0F" w:rsidRDefault="001F2346" w:rsidP="001F2346">
      <w:pPr>
        <w:pStyle w:val="afe"/>
        <w:ind w:left="0"/>
        <w:rPr>
          <w:rFonts w:cs="Times New Roman"/>
          <w:b/>
          <w:i/>
          <w:szCs w:val="24"/>
        </w:rPr>
      </w:pPr>
      <w:r w:rsidRPr="00BA4F0F">
        <w:rPr>
          <w:rFonts w:cs="Times New Roman"/>
          <w:b/>
          <w:i/>
          <w:szCs w:val="24"/>
        </w:rPr>
        <w:t>При выделении из крови грамотрицательных микробов (микроскопия)</w:t>
      </w:r>
    </w:p>
    <w:p w14:paraId="3CE4A222" w14:textId="77777777" w:rsidR="001F2346" w:rsidRPr="00BA4F0F" w:rsidRDefault="001F2346" w:rsidP="00DC0931">
      <w:pPr>
        <w:numPr>
          <w:ilvl w:val="0"/>
          <w:numId w:val="246"/>
        </w:numPr>
        <w:tabs>
          <w:tab w:val="left" w:pos="0"/>
          <w:tab w:val="left" w:pos="567"/>
        </w:tabs>
        <w:ind w:left="0" w:firstLine="0"/>
      </w:pPr>
      <w:r w:rsidRPr="00BA4F0F">
        <w:t>Оставляют прежние антибиотики при стабильном соматическом состоянии (нет ухудшения) до идентификации бактерий и определения их антибиотикочувствительности.</w:t>
      </w:r>
    </w:p>
    <w:p w14:paraId="2A2CC7C5" w14:textId="77777777" w:rsidR="001F2346" w:rsidRPr="00BA4F0F" w:rsidRDefault="001F2346" w:rsidP="00DC0931">
      <w:pPr>
        <w:numPr>
          <w:ilvl w:val="0"/>
          <w:numId w:val="246"/>
        </w:numPr>
        <w:tabs>
          <w:tab w:val="left" w:pos="0"/>
          <w:tab w:val="left" w:pos="567"/>
        </w:tabs>
        <w:ind w:left="0" w:firstLine="0"/>
      </w:pPr>
      <w:r w:rsidRPr="00BA4F0F">
        <w:t>Проводят замену на карбапенем (меропенем или имипенем/циластатин) при ухудшении клинического состояния (например, повышение температуры, появление ознобов, развитие пневмонии и др.).</w:t>
      </w:r>
    </w:p>
    <w:p w14:paraId="12F8AD1B" w14:textId="77777777" w:rsidR="001F2346" w:rsidRPr="00BA4F0F" w:rsidRDefault="001F2346" w:rsidP="001F2346">
      <w:pPr>
        <w:tabs>
          <w:tab w:val="left" w:pos="0"/>
          <w:tab w:val="left" w:pos="567"/>
        </w:tabs>
        <w:rPr>
          <w:b/>
        </w:rPr>
      </w:pPr>
    </w:p>
    <w:p w14:paraId="6915A4CC" w14:textId="77777777" w:rsidR="001F2346" w:rsidRPr="00BA4F0F" w:rsidRDefault="001F2346" w:rsidP="001F2346">
      <w:pPr>
        <w:pStyle w:val="afe"/>
        <w:ind w:left="0"/>
        <w:rPr>
          <w:rFonts w:cs="Times New Roman"/>
          <w:b/>
          <w:i/>
          <w:szCs w:val="24"/>
        </w:rPr>
      </w:pPr>
      <w:r w:rsidRPr="00BA4F0F">
        <w:rPr>
          <w:rFonts w:cs="Times New Roman"/>
          <w:b/>
          <w:i/>
          <w:szCs w:val="24"/>
        </w:rPr>
        <w:t>При выделении из крови грамположительных бактерий (микроскопия)</w:t>
      </w:r>
    </w:p>
    <w:p w14:paraId="7E600497" w14:textId="77777777" w:rsidR="001F2346" w:rsidRPr="00BA4F0F" w:rsidRDefault="001F2346" w:rsidP="00DC0931">
      <w:pPr>
        <w:numPr>
          <w:ilvl w:val="0"/>
          <w:numId w:val="247"/>
        </w:numPr>
        <w:tabs>
          <w:tab w:val="left" w:pos="0"/>
          <w:tab w:val="left" w:pos="567"/>
        </w:tabs>
        <w:ind w:left="0" w:firstLine="0"/>
      </w:pPr>
      <w:r w:rsidRPr="00BA4F0F">
        <w:t>Добавляют даптомицин (в дозе 10 мг/кг 1 раз в сутки) или ванкомицин при сепсисе, появлении септикопиемических отсевов на коже, ухудшении соматического состояния пациента, повторном выделении грамположительных бактерий из крови. Препаратом выбора в лечении инфекций кровотока, вызванных грамположительными бактериями, является даптомицин.</w:t>
      </w:r>
    </w:p>
    <w:p w14:paraId="449D16EE" w14:textId="77777777" w:rsidR="001F2346" w:rsidRPr="00BA4F0F" w:rsidRDefault="001F2346" w:rsidP="00DC0931">
      <w:pPr>
        <w:numPr>
          <w:ilvl w:val="0"/>
          <w:numId w:val="247"/>
        </w:numPr>
        <w:tabs>
          <w:tab w:val="left" w:pos="0"/>
          <w:tab w:val="left" w:pos="567"/>
        </w:tabs>
        <w:ind w:left="0" w:firstLine="0"/>
      </w:pPr>
      <w:r w:rsidRPr="00BA4F0F">
        <w:t xml:space="preserve">Добавляют линезолид (по 600 мг 2 раза в сутки), если у больного выделены из гемокультуры стрептококки группы </w:t>
      </w:r>
      <w:r w:rsidRPr="00BA4F0F">
        <w:rPr>
          <w:i/>
        </w:rPr>
        <w:t xml:space="preserve">viridans </w:t>
      </w:r>
      <w:r w:rsidRPr="00BA4F0F">
        <w:t xml:space="preserve">и присоединилась пневмония. </w:t>
      </w:r>
    </w:p>
    <w:p w14:paraId="59858EE3" w14:textId="77777777" w:rsidR="001F2346" w:rsidRPr="00BA4F0F" w:rsidRDefault="001F2346" w:rsidP="00DC0931">
      <w:pPr>
        <w:numPr>
          <w:ilvl w:val="0"/>
          <w:numId w:val="247"/>
        </w:numPr>
        <w:tabs>
          <w:tab w:val="left" w:pos="0"/>
          <w:tab w:val="left" w:pos="567"/>
        </w:tabs>
        <w:ind w:left="0" w:firstLine="0"/>
      </w:pPr>
      <w:r w:rsidRPr="00BA4F0F">
        <w:t>Оставляют антимикробную терапию прежней до получения результатов микробиологического исследования (идентификация вида возбудителя, определение его чувствительности к антибиотикам) при стабильном соматическом состоянии больного (температура прежняя).</w:t>
      </w:r>
    </w:p>
    <w:p w14:paraId="73C77FEA" w14:textId="77777777" w:rsidR="001F2346" w:rsidRPr="00BA4F0F" w:rsidRDefault="001F2346" w:rsidP="001F2346">
      <w:pPr>
        <w:tabs>
          <w:tab w:val="left" w:pos="0"/>
          <w:tab w:val="left" w:pos="567"/>
        </w:tabs>
        <w:rPr>
          <w:b/>
        </w:rPr>
      </w:pPr>
    </w:p>
    <w:p w14:paraId="478331F6" w14:textId="77777777" w:rsidR="001F2346" w:rsidRPr="00BA4F0F" w:rsidRDefault="001F2346" w:rsidP="001F2346">
      <w:pPr>
        <w:pStyle w:val="afe"/>
        <w:ind w:left="0"/>
        <w:rPr>
          <w:rFonts w:cs="Times New Roman"/>
          <w:b/>
          <w:i/>
          <w:szCs w:val="24"/>
        </w:rPr>
      </w:pPr>
      <w:r w:rsidRPr="00BA4F0F">
        <w:rPr>
          <w:rFonts w:cs="Times New Roman"/>
          <w:b/>
          <w:i/>
          <w:szCs w:val="24"/>
        </w:rPr>
        <w:t xml:space="preserve">Инфекция, вызванная энтеробактериями с продукцией БЛРС </w:t>
      </w:r>
    </w:p>
    <w:p w14:paraId="0F20913F" w14:textId="77777777" w:rsidR="001F2346" w:rsidRPr="00BA4F0F" w:rsidRDefault="001F2346" w:rsidP="00DC0931">
      <w:pPr>
        <w:numPr>
          <w:ilvl w:val="0"/>
          <w:numId w:val="248"/>
        </w:numPr>
        <w:tabs>
          <w:tab w:val="left" w:pos="0"/>
          <w:tab w:val="left" w:pos="567"/>
        </w:tabs>
        <w:ind w:left="0" w:firstLine="0"/>
      </w:pPr>
      <w:r w:rsidRPr="00BA4F0F">
        <w:t>Препарата выбора – карбапенем (меропенем, имипенем/циластатин или дорипенем).</w:t>
      </w:r>
    </w:p>
    <w:p w14:paraId="6F70E06C" w14:textId="77777777" w:rsidR="001F2346" w:rsidRPr="00BA4F0F" w:rsidRDefault="001F2346" w:rsidP="00DC0931">
      <w:pPr>
        <w:numPr>
          <w:ilvl w:val="0"/>
          <w:numId w:val="248"/>
        </w:numPr>
        <w:tabs>
          <w:tab w:val="left" w:pos="0"/>
          <w:tab w:val="left" w:pos="567"/>
        </w:tabs>
        <w:ind w:left="0" w:firstLine="0"/>
      </w:pPr>
      <w:r w:rsidRPr="00BA4F0F">
        <w:t>При неэффективности (появление септикопиемических очагов на коже или пневмонии или повышение температуры с ознобом) используют продленную инфузию или добавляют амикацин.</w:t>
      </w:r>
    </w:p>
    <w:p w14:paraId="585E7476" w14:textId="77777777" w:rsidR="001F2346" w:rsidRPr="00BA4F0F" w:rsidRDefault="001F2346" w:rsidP="00DC0931">
      <w:pPr>
        <w:numPr>
          <w:ilvl w:val="0"/>
          <w:numId w:val="250"/>
        </w:numPr>
        <w:tabs>
          <w:tab w:val="left" w:pos="0"/>
          <w:tab w:val="left" w:pos="567"/>
        </w:tabs>
        <w:ind w:left="0" w:firstLine="0"/>
      </w:pPr>
      <w:r w:rsidRPr="00BA4F0F">
        <w:t xml:space="preserve">Меропенем по 2 г 3 раза в сутки, введение каждой дозы в течение 3 часов. </w:t>
      </w:r>
    </w:p>
    <w:p w14:paraId="3AA6BBFE" w14:textId="77777777" w:rsidR="001F2346" w:rsidRPr="00BA4F0F" w:rsidRDefault="001F2346" w:rsidP="00DC0931">
      <w:pPr>
        <w:numPr>
          <w:ilvl w:val="0"/>
          <w:numId w:val="250"/>
        </w:numPr>
        <w:tabs>
          <w:tab w:val="left" w:pos="0"/>
          <w:tab w:val="left" w:pos="567"/>
        </w:tabs>
        <w:ind w:left="0" w:firstLine="0"/>
      </w:pPr>
      <w:r w:rsidRPr="00BA4F0F">
        <w:t>Амикацин: по 15 мг/кг 1 раз в сутки.</w:t>
      </w:r>
    </w:p>
    <w:p w14:paraId="2986D30C" w14:textId="77777777" w:rsidR="001F2346" w:rsidRPr="00BA4F0F" w:rsidRDefault="001F2346" w:rsidP="00DC0931">
      <w:pPr>
        <w:numPr>
          <w:ilvl w:val="0"/>
          <w:numId w:val="249"/>
        </w:numPr>
        <w:tabs>
          <w:tab w:val="left" w:pos="0"/>
          <w:tab w:val="left" w:pos="567"/>
        </w:tabs>
        <w:ind w:left="0" w:firstLine="0"/>
      </w:pPr>
      <w:r w:rsidRPr="00BA4F0F">
        <w:lastRenderedPageBreak/>
        <w:t xml:space="preserve">Больным вне нейтропении, особенно при инфекции мочевыводящих путей, допустимо назначить эртапенем (в дозе 1 г 1 раз в сутки). </w:t>
      </w:r>
    </w:p>
    <w:p w14:paraId="345B29AF" w14:textId="77777777" w:rsidR="001F2346" w:rsidRPr="00BA4F0F" w:rsidRDefault="001F2346" w:rsidP="001F2346">
      <w:pPr>
        <w:tabs>
          <w:tab w:val="left" w:pos="0"/>
          <w:tab w:val="left" w:pos="567"/>
        </w:tabs>
        <w:rPr>
          <w:b/>
        </w:rPr>
      </w:pPr>
    </w:p>
    <w:p w14:paraId="285AEC80" w14:textId="77777777" w:rsidR="001F2346" w:rsidRPr="00BA4F0F" w:rsidRDefault="001F2346" w:rsidP="001F2346">
      <w:pPr>
        <w:pStyle w:val="afe"/>
        <w:ind w:left="0"/>
        <w:rPr>
          <w:rFonts w:cs="Times New Roman"/>
          <w:b/>
          <w:i/>
          <w:szCs w:val="24"/>
        </w:rPr>
      </w:pPr>
      <w:r w:rsidRPr="00BA4F0F">
        <w:rPr>
          <w:rFonts w:cs="Times New Roman"/>
          <w:b/>
          <w:i/>
          <w:szCs w:val="24"/>
        </w:rPr>
        <w:t>Инфекция, вызванная энтеробактериями с продукцией карбапенемаз</w:t>
      </w:r>
    </w:p>
    <w:p w14:paraId="432FC0BE" w14:textId="77777777" w:rsidR="001F2346" w:rsidRPr="00BA4F0F" w:rsidRDefault="001F2346" w:rsidP="00DC0931">
      <w:pPr>
        <w:numPr>
          <w:ilvl w:val="0"/>
          <w:numId w:val="251"/>
        </w:numPr>
        <w:tabs>
          <w:tab w:val="left" w:pos="0"/>
          <w:tab w:val="left" w:pos="567"/>
        </w:tabs>
        <w:ind w:left="0" w:firstLine="0"/>
      </w:pPr>
      <w:r w:rsidRPr="00BA4F0F">
        <w:t xml:space="preserve">Характеризируются тяжелым течением, отсутствием эффективных препаратов, использованием комбинаций антибактериальных препаратов, высокой летальностью. </w:t>
      </w:r>
    </w:p>
    <w:p w14:paraId="1A02157D" w14:textId="77777777" w:rsidR="001F2346" w:rsidRPr="00BA4F0F" w:rsidRDefault="001F2346" w:rsidP="00DC0931">
      <w:pPr>
        <w:numPr>
          <w:ilvl w:val="0"/>
          <w:numId w:val="251"/>
        </w:numPr>
        <w:tabs>
          <w:tab w:val="left" w:pos="0"/>
          <w:tab w:val="left" w:pos="567"/>
        </w:tabs>
        <w:ind w:left="0" w:firstLine="0"/>
      </w:pPr>
      <w:r w:rsidRPr="00BA4F0F">
        <w:t>Используемые антимикробные препараты:</w:t>
      </w:r>
    </w:p>
    <w:p w14:paraId="5CFF156E" w14:textId="77777777" w:rsidR="001F2346" w:rsidRPr="00BA4F0F" w:rsidRDefault="001F2346" w:rsidP="00DC0931">
      <w:pPr>
        <w:numPr>
          <w:ilvl w:val="0"/>
          <w:numId w:val="252"/>
        </w:numPr>
        <w:tabs>
          <w:tab w:val="left" w:pos="0"/>
          <w:tab w:val="left" w:pos="567"/>
        </w:tabs>
        <w:ind w:left="0" w:firstLine="0"/>
      </w:pPr>
      <w:r w:rsidRPr="00BA4F0F">
        <w:t xml:space="preserve">Меропенем (продленная инфузия). </w:t>
      </w:r>
    </w:p>
    <w:p w14:paraId="40E5FF91" w14:textId="77777777" w:rsidR="001F2346" w:rsidRPr="00BA4F0F" w:rsidRDefault="001F2346" w:rsidP="00DC0931">
      <w:pPr>
        <w:numPr>
          <w:ilvl w:val="0"/>
          <w:numId w:val="252"/>
        </w:numPr>
        <w:tabs>
          <w:tab w:val="left" w:pos="0"/>
          <w:tab w:val="left" w:pos="567"/>
        </w:tabs>
        <w:ind w:left="0" w:firstLine="0"/>
      </w:pPr>
      <w:r w:rsidRPr="00BA4F0F">
        <w:t>Гентамицин по 5-7 мг/кг 1 раз в сутки или 1,5-2 мг/кг каждые 8 часов, при этом 1-ая доза составляет 2-3 мг/кг. Не применяют в монотерапии.</w:t>
      </w:r>
    </w:p>
    <w:p w14:paraId="528A3903" w14:textId="77777777" w:rsidR="001F2346" w:rsidRPr="00BA4F0F" w:rsidRDefault="001F2346" w:rsidP="00DC0931">
      <w:pPr>
        <w:numPr>
          <w:ilvl w:val="0"/>
          <w:numId w:val="252"/>
        </w:numPr>
        <w:tabs>
          <w:tab w:val="left" w:pos="0"/>
          <w:tab w:val="left" w:pos="567"/>
        </w:tabs>
        <w:ind w:left="0" w:firstLine="0"/>
      </w:pPr>
      <w:r w:rsidRPr="00BA4F0F">
        <w:t xml:space="preserve">Амикацин. Не применяют в монотерапии. </w:t>
      </w:r>
    </w:p>
    <w:p w14:paraId="1BBA120A" w14:textId="77777777" w:rsidR="001F2346" w:rsidRPr="00BA4F0F" w:rsidRDefault="001F2346" w:rsidP="00DC0931">
      <w:pPr>
        <w:numPr>
          <w:ilvl w:val="0"/>
          <w:numId w:val="252"/>
        </w:numPr>
        <w:tabs>
          <w:tab w:val="left" w:pos="0"/>
          <w:tab w:val="left" w:pos="567"/>
        </w:tabs>
        <w:ind w:left="0" w:firstLine="0"/>
      </w:pPr>
      <w:r w:rsidRPr="00BA4F0F">
        <w:t xml:space="preserve">Колистин  1-ый день 9 млн ЕД 1 раз в сутки, далее по 4,5 млн ЕД каждые 12 часов. </w:t>
      </w:r>
    </w:p>
    <w:p w14:paraId="4C52DD54" w14:textId="77777777" w:rsidR="001F2346" w:rsidRPr="00BA4F0F" w:rsidRDefault="001F2346" w:rsidP="00DC0931">
      <w:pPr>
        <w:numPr>
          <w:ilvl w:val="0"/>
          <w:numId w:val="252"/>
        </w:numPr>
        <w:tabs>
          <w:tab w:val="left" w:pos="0"/>
          <w:tab w:val="left" w:pos="567"/>
        </w:tabs>
        <w:ind w:left="0" w:firstLine="0"/>
      </w:pPr>
      <w:r w:rsidRPr="00BA4F0F">
        <w:t xml:space="preserve">Фосфомицин по 3 г 3 раза в сутки. </w:t>
      </w:r>
    </w:p>
    <w:p w14:paraId="2201B53C" w14:textId="77777777" w:rsidR="001F2346" w:rsidRPr="00BA4F0F" w:rsidRDefault="001F2346" w:rsidP="00DC0931">
      <w:pPr>
        <w:numPr>
          <w:ilvl w:val="0"/>
          <w:numId w:val="252"/>
        </w:numPr>
        <w:tabs>
          <w:tab w:val="left" w:pos="0"/>
          <w:tab w:val="left" w:pos="567"/>
        </w:tabs>
        <w:ind w:left="0" w:firstLine="0"/>
      </w:pPr>
      <w:r w:rsidRPr="00BA4F0F">
        <w:t xml:space="preserve">Тигециклин: 1-ая доза 200 мг, далее по 100 мг, каждые 12 часов. </w:t>
      </w:r>
    </w:p>
    <w:p w14:paraId="369290D8" w14:textId="77777777" w:rsidR="001F2346" w:rsidRPr="00BA4F0F" w:rsidRDefault="001F2346" w:rsidP="001F2346">
      <w:pPr>
        <w:tabs>
          <w:tab w:val="left" w:pos="0"/>
          <w:tab w:val="left" w:pos="567"/>
        </w:tabs>
        <w:rPr>
          <w:b/>
        </w:rPr>
      </w:pPr>
    </w:p>
    <w:p w14:paraId="2FCB8456" w14:textId="77777777" w:rsidR="001F2346" w:rsidRPr="00BA4F0F" w:rsidRDefault="001F2346" w:rsidP="001F2346">
      <w:pPr>
        <w:tabs>
          <w:tab w:val="left" w:pos="0"/>
          <w:tab w:val="left" w:pos="567"/>
        </w:tabs>
        <w:rPr>
          <w:b/>
        </w:rPr>
      </w:pPr>
    </w:p>
    <w:p w14:paraId="2DA0B73A" w14:textId="77777777" w:rsidR="001F2346" w:rsidRPr="00BA4F0F" w:rsidRDefault="001F2346" w:rsidP="001F2346">
      <w:pPr>
        <w:pStyle w:val="afe"/>
        <w:ind w:left="0"/>
        <w:rPr>
          <w:rFonts w:cs="Times New Roman"/>
          <w:b/>
          <w:i/>
          <w:szCs w:val="24"/>
        </w:rPr>
      </w:pPr>
      <w:r w:rsidRPr="00BA4F0F">
        <w:rPr>
          <w:rFonts w:cs="Times New Roman"/>
          <w:b/>
          <w:i/>
          <w:szCs w:val="24"/>
        </w:rPr>
        <w:t>Мукозит (слизистая оболочка рта отечная, рыхлая)</w:t>
      </w:r>
    </w:p>
    <w:p w14:paraId="09A1F9B3" w14:textId="77777777" w:rsidR="001F2346" w:rsidRPr="00BA4F0F" w:rsidRDefault="001F2346" w:rsidP="00DC0931">
      <w:pPr>
        <w:numPr>
          <w:ilvl w:val="0"/>
          <w:numId w:val="253"/>
        </w:numPr>
        <w:tabs>
          <w:tab w:val="left" w:pos="0"/>
          <w:tab w:val="left" w:pos="567"/>
        </w:tabs>
        <w:ind w:left="0" w:firstLine="0"/>
      </w:pPr>
      <w:r w:rsidRPr="00BA4F0F">
        <w:t xml:space="preserve">Добавляют ванкомицин, даптомицин, линезолид или тедизолид при мукозите </w:t>
      </w:r>
      <w:r w:rsidRPr="00BA4F0F">
        <w:rPr>
          <w:lang w:val="en-US"/>
        </w:rPr>
        <w:t>III</w:t>
      </w:r>
      <w:r w:rsidRPr="00BA4F0F">
        <w:t>-</w:t>
      </w:r>
      <w:r w:rsidRPr="00BA4F0F">
        <w:rPr>
          <w:lang w:val="en-US"/>
        </w:rPr>
        <w:t>IV</w:t>
      </w:r>
      <w:r w:rsidRPr="00BA4F0F">
        <w:t xml:space="preserve"> степени, если выделены только грамположительные бактерии (высокая вероятность развития сепсиса, обусловленного стрептококками группы </w:t>
      </w:r>
      <w:r w:rsidRPr="00BA4F0F">
        <w:rPr>
          <w:i/>
        </w:rPr>
        <w:t>viridans</w:t>
      </w:r>
      <w:r w:rsidRPr="00BA4F0F">
        <w:t>). Проводят исследования на вирусы (определение ДНК герпесвирусов).</w:t>
      </w:r>
    </w:p>
    <w:p w14:paraId="25F50266" w14:textId="77777777" w:rsidR="001F2346" w:rsidRPr="00BA4F0F" w:rsidRDefault="001F2346" w:rsidP="00DC0931">
      <w:pPr>
        <w:numPr>
          <w:ilvl w:val="0"/>
          <w:numId w:val="253"/>
        </w:numPr>
        <w:tabs>
          <w:tab w:val="left" w:pos="0"/>
          <w:tab w:val="left" w:pos="567"/>
        </w:tabs>
        <w:ind w:left="0" w:firstLine="0"/>
      </w:pPr>
      <w:r w:rsidRPr="00BA4F0F">
        <w:t xml:space="preserve">Добавляют флуконазол, если со слизистой оболочки выделены </w:t>
      </w:r>
      <w:r w:rsidRPr="00BA4F0F">
        <w:rPr>
          <w:i/>
        </w:rPr>
        <w:t>Candida spp</w:t>
      </w:r>
      <w:r w:rsidRPr="00BA4F0F">
        <w:t xml:space="preserve">.; в отсутствие эффекта дополнительно назначают в/в ванкомицин, или даптомицин, или линезолид, или тедизолид при мукозите </w:t>
      </w:r>
      <w:r w:rsidRPr="00BA4F0F">
        <w:rPr>
          <w:lang w:val="en-US"/>
        </w:rPr>
        <w:t>III</w:t>
      </w:r>
      <w:r w:rsidRPr="00BA4F0F">
        <w:t>-</w:t>
      </w:r>
      <w:r w:rsidRPr="00BA4F0F">
        <w:rPr>
          <w:lang w:val="en-US"/>
        </w:rPr>
        <w:t>IV</w:t>
      </w:r>
      <w:r w:rsidRPr="00BA4F0F">
        <w:t xml:space="preserve"> степени и проводят вирусологическое исследование (определение ДНК герпесвирусов). </w:t>
      </w:r>
    </w:p>
    <w:p w14:paraId="4369C9A3" w14:textId="77777777" w:rsidR="001F2346" w:rsidRPr="00BA4F0F" w:rsidRDefault="001F2346" w:rsidP="00DC0931">
      <w:pPr>
        <w:numPr>
          <w:ilvl w:val="0"/>
          <w:numId w:val="253"/>
        </w:numPr>
        <w:tabs>
          <w:tab w:val="left" w:pos="0"/>
          <w:tab w:val="left" w:pos="567"/>
        </w:tabs>
        <w:ind w:left="0" w:firstLine="0"/>
      </w:pPr>
      <w:r w:rsidRPr="00BA4F0F">
        <w:t xml:space="preserve">Добавляют ципрофлоксацин (по 0,5 г 2 раза в сутки) при выделении со слизистой оболочки рта </w:t>
      </w:r>
      <w:r w:rsidRPr="00BA4F0F">
        <w:rPr>
          <w:i/>
        </w:rPr>
        <w:t>Pseudomonas aeruginosa</w:t>
      </w:r>
      <w:r w:rsidRPr="00BA4F0F">
        <w:t>, если состояние пациента стабильное. При тяжелом состоянии проводят замену антибиотиков согласно результатам определения чувствительности возбудителя (препараты вводят внутривенно).</w:t>
      </w:r>
    </w:p>
    <w:p w14:paraId="4C695019" w14:textId="77777777" w:rsidR="001F2346" w:rsidRPr="00BA4F0F" w:rsidRDefault="001F2346" w:rsidP="00DC0931">
      <w:pPr>
        <w:numPr>
          <w:ilvl w:val="0"/>
          <w:numId w:val="253"/>
        </w:numPr>
        <w:tabs>
          <w:tab w:val="left" w:pos="0"/>
          <w:tab w:val="left" w:pos="567"/>
        </w:tabs>
        <w:ind w:left="0" w:firstLine="0"/>
      </w:pPr>
      <w:r w:rsidRPr="00BA4F0F">
        <w:t xml:space="preserve">Модификация антимикробной терапии при выделении других грамотрицательных бактерий (энтеробактерий, продуцирующих БЛРС, </w:t>
      </w:r>
      <w:r w:rsidRPr="00BA4F0F">
        <w:rPr>
          <w:i/>
          <w:lang w:val="en-US"/>
        </w:rPr>
        <w:t>Acinetobacter</w:t>
      </w:r>
      <w:r w:rsidRPr="00BA4F0F">
        <w:rPr>
          <w:i/>
        </w:rPr>
        <w:t xml:space="preserve"> </w:t>
      </w:r>
      <w:r w:rsidRPr="00BA4F0F">
        <w:rPr>
          <w:i/>
          <w:lang w:val="en-US"/>
        </w:rPr>
        <w:t>baumannii</w:t>
      </w:r>
      <w:r w:rsidRPr="00BA4F0F">
        <w:t xml:space="preserve">, </w:t>
      </w:r>
      <w:r w:rsidRPr="00BA4F0F">
        <w:rPr>
          <w:i/>
          <w:lang w:val="en-US"/>
        </w:rPr>
        <w:t>Stenotrophomonas</w:t>
      </w:r>
      <w:r w:rsidRPr="00BA4F0F">
        <w:rPr>
          <w:i/>
        </w:rPr>
        <w:t xml:space="preserve"> </w:t>
      </w:r>
      <w:r w:rsidRPr="00BA4F0F">
        <w:rPr>
          <w:i/>
          <w:lang w:val="en-US"/>
        </w:rPr>
        <w:t>maltophilia</w:t>
      </w:r>
      <w:r w:rsidRPr="00BA4F0F">
        <w:t>) в соответствии с результатами определения чувствительности к антибиотикам.</w:t>
      </w:r>
    </w:p>
    <w:p w14:paraId="7F32BFC5" w14:textId="77777777" w:rsidR="001F2346" w:rsidRPr="00BA4F0F" w:rsidRDefault="001F2346" w:rsidP="001F2346">
      <w:pPr>
        <w:tabs>
          <w:tab w:val="left" w:pos="0"/>
          <w:tab w:val="left" w:pos="567"/>
        </w:tabs>
        <w:rPr>
          <w:b/>
        </w:rPr>
      </w:pPr>
      <w:r w:rsidRPr="00BA4F0F">
        <w:rPr>
          <w:b/>
        </w:rPr>
        <w:t>Парапроктит</w:t>
      </w:r>
    </w:p>
    <w:p w14:paraId="58F3EFF6" w14:textId="77777777" w:rsidR="001F2346" w:rsidRPr="00BA4F0F" w:rsidRDefault="001F2346" w:rsidP="001F2346">
      <w:pPr>
        <w:tabs>
          <w:tab w:val="left" w:pos="0"/>
          <w:tab w:val="left" w:pos="567"/>
        </w:tabs>
      </w:pPr>
      <w:r w:rsidRPr="00BA4F0F">
        <w:lastRenderedPageBreak/>
        <w:t>Схемы антимикробной терапии должны включать препараты с активностью против грамотрицательных и анаэробных бактерий.</w:t>
      </w:r>
    </w:p>
    <w:p w14:paraId="214992E6" w14:textId="77777777" w:rsidR="001F2346" w:rsidRPr="00BA4F0F" w:rsidRDefault="001F2346" w:rsidP="00DC0931">
      <w:pPr>
        <w:numPr>
          <w:ilvl w:val="0"/>
          <w:numId w:val="254"/>
        </w:numPr>
        <w:tabs>
          <w:tab w:val="left" w:pos="0"/>
          <w:tab w:val="left" w:pos="567"/>
        </w:tabs>
        <w:ind w:left="0" w:firstLine="0"/>
      </w:pPr>
      <w:r w:rsidRPr="00BA4F0F">
        <w:t>Если назначен цефоперазон/сульбактам, то к нему добавляют амикацин.</w:t>
      </w:r>
    </w:p>
    <w:p w14:paraId="1E9555ED" w14:textId="77777777" w:rsidR="001F2346" w:rsidRPr="00BA4F0F" w:rsidRDefault="001F2346" w:rsidP="00DC0931">
      <w:pPr>
        <w:numPr>
          <w:ilvl w:val="0"/>
          <w:numId w:val="254"/>
        </w:numPr>
        <w:tabs>
          <w:tab w:val="left" w:pos="0"/>
          <w:tab w:val="left" w:pos="567"/>
        </w:tabs>
        <w:ind w:left="0" w:firstLine="0"/>
      </w:pPr>
      <w:r w:rsidRPr="00BA4F0F">
        <w:t>Если назначен цефепим, то к нему добавляют амикацин и метронидазол.</w:t>
      </w:r>
    </w:p>
    <w:p w14:paraId="620E2CCD" w14:textId="77777777" w:rsidR="001F2346" w:rsidRPr="00BA4F0F" w:rsidRDefault="001F2346" w:rsidP="00DC0931">
      <w:pPr>
        <w:numPr>
          <w:ilvl w:val="0"/>
          <w:numId w:val="255"/>
        </w:numPr>
        <w:tabs>
          <w:tab w:val="left" w:pos="0"/>
          <w:tab w:val="left" w:pos="567"/>
        </w:tabs>
        <w:ind w:left="0" w:firstLine="0"/>
      </w:pPr>
      <w:r w:rsidRPr="00BA4F0F">
        <w:t>Метронидазол: по 500 мг 3 раза в сутки.</w:t>
      </w:r>
    </w:p>
    <w:p w14:paraId="54D9AE28" w14:textId="77777777" w:rsidR="001F2346" w:rsidRPr="00BA4F0F" w:rsidRDefault="001F2346" w:rsidP="00DC0931">
      <w:pPr>
        <w:numPr>
          <w:ilvl w:val="0"/>
          <w:numId w:val="254"/>
        </w:numPr>
        <w:tabs>
          <w:tab w:val="left" w:pos="0"/>
          <w:tab w:val="left" w:pos="567"/>
        </w:tabs>
        <w:ind w:left="0" w:firstLine="0"/>
      </w:pPr>
      <w:r w:rsidRPr="00BA4F0F">
        <w:t xml:space="preserve">В отсутствие эффекта проводят коррекцию терапии согласно результатам микробиологического исследования (посев мазка со слизистой прямой кишки). Если это невозможно сделать, то добавляют ванкомицин или телаванцин (по 10 мг/кг 1 раз в сутки), затем флуконазол. Если инфекционный процесс усугубляется, то проводят замену ванкомицина на линезолид или тедизолид. </w:t>
      </w:r>
    </w:p>
    <w:p w14:paraId="3DFB0DC5" w14:textId="77777777" w:rsidR="001F2346" w:rsidRPr="00BA4F0F" w:rsidRDefault="001F2346" w:rsidP="001F2346">
      <w:pPr>
        <w:tabs>
          <w:tab w:val="left" w:pos="0"/>
          <w:tab w:val="left" w:pos="567"/>
        </w:tabs>
        <w:rPr>
          <w:b/>
        </w:rPr>
      </w:pPr>
    </w:p>
    <w:p w14:paraId="634C2537" w14:textId="77777777" w:rsidR="001F2346" w:rsidRPr="00BA4F0F" w:rsidRDefault="001F2346" w:rsidP="001F2346">
      <w:pPr>
        <w:pStyle w:val="afe"/>
        <w:ind w:left="0"/>
        <w:rPr>
          <w:rFonts w:cs="Times New Roman"/>
          <w:b/>
          <w:i/>
          <w:szCs w:val="24"/>
        </w:rPr>
      </w:pPr>
      <w:r w:rsidRPr="00BA4F0F">
        <w:rPr>
          <w:rFonts w:cs="Times New Roman"/>
          <w:b/>
          <w:i/>
          <w:szCs w:val="24"/>
        </w:rPr>
        <w:t>Пневмония, которая появилась или прогрессирует (новые очаги) на фоне лечения антибиотиками широкого спектра при нейтропении длительностью более 10 дней или приема глюкокортикоидов</w:t>
      </w:r>
    </w:p>
    <w:p w14:paraId="7B3CA956" w14:textId="77777777" w:rsidR="001F2346" w:rsidRPr="00BA4F0F" w:rsidRDefault="001F2346" w:rsidP="00DC0931">
      <w:pPr>
        <w:numPr>
          <w:ilvl w:val="0"/>
          <w:numId w:val="256"/>
        </w:numPr>
        <w:tabs>
          <w:tab w:val="left" w:pos="0"/>
          <w:tab w:val="left" w:pos="567"/>
        </w:tabs>
        <w:ind w:left="0" w:firstLine="0"/>
      </w:pPr>
      <w:r w:rsidRPr="00BA4F0F">
        <w:t>Вориконазол (высокая вероятность инвазивного аспергиллеза) внутривенно, в первый день по 6 мг/кг 2 раза в сутки, в последующие дни по 4 мг/кг 2 раза в сутки, с переходом в дальнейшем на пероральную форму по 200 мг 2 раза в сутки, прием таблеток натощак или через 1 час после еды.</w:t>
      </w:r>
    </w:p>
    <w:p w14:paraId="613939D5" w14:textId="77777777" w:rsidR="001F2346" w:rsidRPr="00BA4F0F" w:rsidRDefault="001F2346" w:rsidP="00DC0931">
      <w:pPr>
        <w:numPr>
          <w:ilvl w:val="0"/>
          <w:numId w:val="256"/>
        </w:numPr>
        <w:tabs>
          <w:tab w:val="left" w:pos="0"/>
          <w:tab w:val="left" w:pos="567"/>
        </w:tabs>
        <w:ind w:left="0" w:firstLine="0"/>
      </w:pPr>
      <w:r w:rsidRPr="00BA4F0F">
        <w:t xml:space="preserve">Не следует назначать флуконазол пациентам с клиническими симптомами синусита или инфекцией нижних дыхательных путей. </w:t>
      </w:r>
    </w:p>
    <w:p w14:paraId="6B6C884D" w14:textId="77777777" w:rsidR="001F2346" w:rsidRPr="00BA4F0F" w:rsidRDefault="001F2346" w:rsidP="001F2346">
      <w:pPr>
        <w:tabs>
          <w:tab w:val="left" w:pos="0"/>
          <w:tab w:val="left" w:pos="567"/>
        </w:tabs>
        <w:rPr>
          <w:b/>
        </w:rPr>
      </w:pPr>
    </w:p>
    <w:p w14:paraId="3DB5EFB4" w14:textId="77777777" w:rsidR="001F2346" w:rsidRPr="00BA4F0F" w:rsidRDefault="001F2346" w:rsidP="001F2346">
      <w:pPr>
        <w:pStyle w:val="afe"/>
        <w:ind w:left="0"/>
        <w:rPr>
          <w:rFonts w:cs="Times New Roman"/>
          <w:b/>
          <w:i/>
          <w:szCs w:val="24"/>
        </w:rPr>
      </w:pPr>
      <w:r w:rsidRPr="00BA4F0F">
        <w:rPr>
          <w:rFonts w:cs="Times New Roman"/>
          <w:b/>
          <w:i/>
          <w:szCs w:val="24"/>
        </w:rPr>
        <w:t>Инфекция, вызванная Clostridium difficile</w:t>
      </w:r>
    </w:p>
    <w:p w14:paraId="07B99E71" w14:textId="77777777" w:rsidR="001F2346" w:rsidRPr="00BA4F0F" w:rsidRDefault="001F2346" w:rsidP="00DC0931">
      <w:pPr>
        <w:numPr>
          <w:ilvl w:val="0"/>
          <w:numId w:val="259"/>
        </w:numPr>
        <w:tabs>
          <w:tab w:val="left" w:pos="0"/>
          <w:tab w:val="left" w:pos="567"/>
        </w:tabs>
        <w:ind w:left="0" w:firstLine="0"/>
      </w:pPr>
      <w:r w:rsidRPr="00BA4F0F">
        <w:t xml:space="preserve">Вначале инфекционный процесс, вызванный </w:t>
      </w:r>
      <w:r w:rsidRPr="00BA4F0F">
        <w:rPr>
          <w:i/>
          <w:lang w:val="en-US"/>
        </w:rPr>
        <w:t>C</w:t>
      </w:r>
      <w:r w:rsidRPr="00BA4F0F">
        <w:rPr>
          <w:i/>
        </w:rPr>
        <w:t xml:space="preserve">. </w:t>
      </w:r>
      <w:r w:rsidRPr="00BA4F0F">
        <w:rPr>
          <w:i/>
          <w:lang w:val="en-US"/>
        </w:rPr>
        <w:t>difficile</w:t>
      </w:r>
      <w:r w:rsidRPr="00BA4F0F">
        <w:t>, ограничен толстой кишкой. Клинические проявления:</w:t>
      </w:r>
    </w:p>
    <w:p w14:paraId="7700048D" w14:textId="77777777" w:rsidR="001F2346" w:rsidRPr="00BA4F0F" w:rsidRDefault="001F2346" w:rsidP="00DC0931">
      <w:pPr>
        <w:numPr>
          <w:ilvl w:val="0"/>
          <w:numId w:val="261"/>
        </w:numPr>
        <w:tabs>
          <w:tab w:val="left" w:pos="0"/>
          <w:tab w:val="left" w:pos="567"/>
        </w:tabs>
        <w:ind w:left="0" w:firstLine="0"/>
      </w:pPr>
      <w:r w:rsidRPr="00BA4F0F">
        <w:t xml:space="preserve">Диарея, ассоциированная с </w:t>
      </w:r>
      <w:r w:rsidRPr="00BA4F0F">
        <w:rPr>
          <w:i/>
          <w:lang w:val="en-US"/>
        </w:rPr>
        <w:t>C</w:t>
      </w:r>
      <w:r w:rsidRPr="00BA4F0F">
        <w:rPr>
          <w:i/>
        </w:rPr>
        <w:t xml:space="preserve">. </w:t>
      </w:r>
      <w:r w:rsidRPr="00BA4F0F">
        <w:rPr>
          <w:i/>
          <w:lang w:val="en-US"/>
        </w:rPr>
        <w:t>difficile</w:t>
      </w:r>
      <w:r w:rsidRPr="00BA4F0F">
        <w:rPr>
          <w:i/>
        </w:rPr>
        <w:t xml:space="preserve"> </w:t>
      </w:r>
      <w:r w:rsidRPr="00BA4F0F">
        <w:t xml:space="preserve">(наличие диареи+ положительный токсин </w:t>
      </w:r>
      <w:r w:rsidRPr="00BA4F0F">
        <w:rPr>
          <w:i/>
          <w:lang w:val="en-US"/>
        </w:rPr>
        <w:t>C</w:t>
      </w:r>
      <w:r w:rsidRPr="00BA4F0F">
        <w:rPr>
          <w:i/>
        </w:rPr>
        <w:t xml:space="preserve">. </w:t>
      </w:r>
      <w:r w:rsidRPr="00BA4F0F">
        <w:rPr>
          <w:i/>
          <w:lang w:val="en-US"/>
        </w:rPr>
        <w:t>difficile</w:t>
      </w:r>
      <w:r w:rsidRPr="00BA4F0F">
        <w:t xml:space="preserve"> в кале).</w:t>
      </w:r>
    </w:p>
    <w:p w14:paraId="56BB9B91" w14:textId="77777777" w:rsidR="001F2346" w:rsidRPr="00BA4F0F" w:rsidRDefault="001F2346" w:rsidP="00DC0931">
      <w:pPr>
        <w:numPr>
          <w:ilvl w:val="0"/>
          <w:numId w:val="261"/>
        </w:numPr>
        <w:tabs>
          <w:tab w:val="left" w:pos="0"/>
          <w:tab w:val="left" w:pos="567"/>
        </w:tabs>
        <w:ind w:left="0" w:firstLine="0"/>
      </w:pPr>
      <w:r w:rsidRPr="00BA4F0F">
        <w:t xml:space="preserve">Псевдомембранозный колит (диагностика во время эндоскопии). </w:t>
      </w:r>
    </w:p>
    <w:p w14:paraId="764BFDBD" w14:textId="77777777" w:rsidR="001F2346" w:rsidRPr="00BA4F0F" w:rsidRDefault="001F2346" w:rsidP="00DC0931">
      <w:pPr>
        <w:numPr>
          <w:ilvl w:val="0"/>
          <w:numId w:val="260"/>
        </w:numPr>
        <w:tabs>
          <w:tab w:val="left" w:pos="0"/>
          <w:tab w:val="left" w:pos="567"/>
        </w:tabs>
        <w:ind w:left="0" w:firstLine="0"/>
      </w:pPr>
      <w:r w:rsidRPr="00BA4F0F">
        <w:t xml:space="preserve">Исследуют только жидкий кал на наличие А и В токсинов </w:t>
      </w:r>
      <w:r w:rsidRPr="00BA4F0F">
        <w:rPr>
          <w:i/>
          <w:lang w:val="en-US"/>
        </w:rPr>
        <w:t>C</w:t>
      </w:r>
      <w:r w:rsidRPr="00BA4F0F">
        <w:rPr>
          <w:i/>
        </w:rPr>
        <w:t xml:space="preserve">. </w:t>
      </w:r>
      <w:r w:rsidRPr="00BA4F0F">
        <w:rPr>
          <w:i/>
          <w:lang w:val="en-US"/>
        </w:rPr>
        <w:t>difficile</w:t>
      </w:r>
      <w:r w:rsidRPr="00BA4F0F">
        <w:t xml:space="preserve"> и, желательно, бинарного токсина. Образцы кала для исследования на токсин направляют в течение 18 часов от появления диареи. </w:t>
      </w:r>
    </w:p>
    <w:p w14:paraId="5C52235C" w14:textId="77777777" w:rsidR="001F2346" w:rsidRPr="00BA4F0F" w:rsidRDefault="001F2346" w:rsidP="00DC0931">
      <w:pPr>
        <w:numPr>
          <w:ilvl w:val="0"/>
          <w:numId w:val="260"/>
        </w:numPr>
        <w:tabs>
          <w:tab w:val="left" w:pos="0"/>
          <w:tab w:val="left" w:pos="567"/>
        </w:tabs>
        <w:ind w:left="0" w:firstLine="0"/>
      </w:pPr>
      <w:r w:rsidRPr="00BA4F0F">
        <w:t xml:space="preserve">Не проводят повторное определение А и В токсинов с целью контроля над лечением. Критерий излечения – ликвидация симптомов. Допустимо только в случаях персистенции инфекции после 7 дней лечения.  </w:t>
      </w:r>
    </w:p>
    <w:p w14:paraId="5623693F" w14:textId="77777777" w:rsidR="001F2346" w:rsidRPr="00BA4F0F" w:rsidRDefault="001F2346" w:rsidP="00DC0931">
      <w:pPr>
        <w:numPr>
          <w:ilvl w:val="0"/>
          <w:numId w:val="260"/>
        </w:numPr>
        <w:tabs>
          <w:tab w:val="left" w:pos="0"/>
          <w:tab w:val="left" w:pos="567"/>
        </w:tabs>
        <w:ind w:left="0" w:firstLine="0"/>
      </w:pPr>
      <w:r w:rsidRPr="00BA4F0F">
        <w:t xml:space="preserve">Препарат выбора при нетяжелом течении инфекции (диарея, температура, боли в животе) – метронидазол. </w:t>
      </w:r>
    </w:p>
    <w:p w14:paraId="27897426" w14:textId="77777777" w:rsidR="001F2346" w:rsidRPr="00BA4F0F" w:rsidRDefault="001F2346" w:rsidP="00DC0931">
      <w:pPr>
        <w:numPr>
          <w:ilvl w:val="0"/>
          <w:numId w:val="260"/>
        </w:numPr>
        <w:tabs>
          <w:tab w:val="left" w:pos="0"/>
          <w:tab w:val="left" w:pos="567"/>
        </w:tabs>
        <w:ind w:left="0" w:firstLine="0"/>
      </w:pPr>
      <w:r w:rsidRPr="00BA4F0F">
        <w:lastRenderedPageBreak/>
        <w:t xml:space="preserve">Препарат выбора при тяжелом течении инфекции (повышение уровня креатинина на 50% и более от исходного значения, снижение уровня альбумина) – ванкомицин по 125 мг 4 раза в сутки перорально. </w:t>
      </w:r>
    </w:p>
    <w:p w14:paraId="5F399C9C" w14:textId="77777777" w:rsidR="001F2346" w:rsidRPr="00BA4F0F" w:rsidRDefault="001F2346" w:rsidP="00DC0931">
      <w:pPr>
        <w:numPr>
          <w:ilvl w:val="0"/>
          <w:numId w:val="260"/>
        </w:numPr>
        <w:tabs>
          <w:tab w:val="left" w:pos="0"/>
          <w:tab w:val="left" w:pos="567"/>
        </w:tabs>
        <w:ind w:left="0" w:firstLine="0"/>
      </w:pPr>
      <w:r w:rsidRPr="00BA4F0F">
        <w:t xml:space="preserve">При рефрактерном течении инфекции используют комбинацию метронидазола с ванкомицином. </w:t>
      </w:r>
    </w:p>
    <w:p w14:paraId="4039FF76" w14:textId="77777777" w:rsidR="001F2346" w:rsidRPr="00BA4F0F" w:rsidRDefault="001F2346" w:rsidP="00DC0931">
      <w:pPr>
        <w:numPr>
          <w:ilvl w:val="0"/>
          <w:numId w:val="260"/>
        </w:numPr>
        <w:tabs>
          <w:tab w:val="left" w:pos="0"/>
          <w:tab w:val="left" w:pos="567"/>
        </w:tabs>
        <w:ind w:left="0" w:firstLine="0"/>
      </w:pPr>
      <w:r w:rsidRPr="00BA4F0F">
        <w:t xml:space="preserve">Метронидазол по 500 мг 3 раза в сутки + ванкомицин по 500 мг 4 раза в сутки через оро- или назогастральный зонд. </w:t>
      </w:r>
    </w:p>
    <w:p w14:paraId="0C0A3633" w14:textId="77777777" w:rsidR="001F2346" w:rsidRPr="00BA4F0F" w:rsidRDefault="001F2346" w:rsidP="00DC0931">
      <w:pPr>
        <w:numPr>
          <w:ilvl w:val="0"/>
          <w:numId w:val="260"/>
        </w:numPr>
        <w:tabs>
          <w:tab w:val="left" w:pos="0"/>
          <w:tab w:val="left" w:pos="567"/>
        </w:tabs>
        <w:ind w:left="0" w:firstLine="0"/>
      </w:pPr>
      <w:r w:rsidRPr="00BA4F0F">
        <w:t xml:space="preserve">Длительность лечения составляет 10-14 дней и, помимо назначения антибиотиков, включает отмену или сокращение числа используемых антибиотиков широкого спектра действия, ингибиторов протонной помпы.  </w:t>
      </w:r>
    </w:p>
    <w:p w14:paraId="7ECDFE51" w14:textId="77777777" w:rsidR="001F2346" w:rsidRPr="00BA4F0F" w:rsidRDefault="001F2346" w:rsidP="001F2346">
      <w:pPr>
        <w:tabs>
          <w:tab w:val="left" w:pos="0"/>
          <w:tab w:val="left" w:pos="567"/>
        </w:tabs>
        <w:rPr>
          <w:u w:val="single"/>
        </w:rPr>
      </w:pPr>
    </w:p>
    <w:p w14:paraId="3FA267AE" w14:textId="77777777" w:rsidR="001F2346" w:rsidRPr="00BA4F0F" w:rsidRDefault="001F2346" w:rsidP="001F2346">
      <w:pPr>
        <w:tabs>
          <w:tab w:val="left" w:pos="0"/>
          <w:tab w:val="left" w:pos="567"/>
        </w:tabs>
        <w:rPr>
          <w:u w:val="single"/>
        </w:rPr>
      </w:pPr>
      <w:r w:rsidRPr="00BA4F0F">
        <w:rPr>
          <w:u w:val="single"/>
        </w:rPr>
        <w:t>Критерии прекращения антимикробной терапии</w:t>
      </w:r>
    </w:p>
    <w:p w14:paraId="54705A99" w14:textId="77777777" w:rsidR="001F2346" w:rsidRPr="00BA4F0F" w:rsidRDefault="001F2346" w:rsidP="001F2346">
      <w:pPr>
        <w:tabs>
          <w:tab w:val="left" w:pos="0"/>
          <w:tab w:val="left" w:pos="567"/>
        </w:tabs>
        <w:ind w:firstLine="567"/>
      </w:pPr>
      <w:r w:rsidRPr="00BA4F0F">
        <w:t xml:space="preserve">Длительность применения антимикробных препаратов зависит от характера инфекционного процесса. Факт наличия гранулоцитопении, независимо от степени ее проявления, не влияет на период применения антибиотиков. </w:t>
      </w:r>
    </w:p>
    <w:p w14:paraId="755077FF" w14:textId="77777777" w:rsidR="001F2346" w:rsidRPr="00BA4F0F" w:rsidRDefault="001F2346" w:rsidP="001F2346">
      <w:pPr>
        <w:tabs>
          <w:tab w:val="left" w:pos="0"/>
          <w:tab w:val="left" w:pos="567"/>
        </w:tabs>
        <w:ind w:firstLine="567"/>
      </w:pPr>
      <w:r w:rsidRPr="00BA4F0F">
        <w:t xml:space="preserve">При лихорадке неясной этиологии в период гранулоцитопении антибиотики можно отменить через 72 часа, если у больного </w:t>
      </w:r>
    </w:p>
    <w:p w14:paraId="2B18585D" w14:textId="77777777" w:rsidR="001F2346" w:rsidRPr="00BA4F0F" w:rsidRDefault="001F2346" w:rsidP="00DC0931">
      <w:pPr>
        <w:numPr>
          <w:ilvl w:val="0"/>
          <w:numId w:val="257"/>
        </w:numPr>
        <w:tabs>
          <w:tab w:val="left" w:pos="0"/>
          <w:tab w:val="left" w:pos="567"/>
        </w:tabs>
        <w:ind w:left="0" w:firstLine="0"/>
      </w:pPr>
      <w:r w:rsidRPr="00BA4F0F">
        <w:t>не было эпизода нестабильной гемодинамики в данный эпизод инфекции и</w:t>
      </w:r>
    </w:p>
    <w:p w14:paraId="6002C2D2" w14:textId="77777777" w:rsidR="001F2346" w:rsidRPr="00BA4F0F" w:rsidRDefault="001F2346" w:rsidP="00DC0931">
      <w:pPr>
        <w:numPr>
          <w:ilvl w:val="0"/>
          <w:numId w:val="257"/>
        </w:numPr>
        <w:tabs>
          <w:tab w:val="left" w:pos="0"/>
          <w:tab w:val="left" w:pos="567"/>
        </w:tabs>
        <w:ind w:left="0" w:firstLine="0"/>
      </w:pPr>
      <w:r w:rsidRPr="00BA4F0F">
        <w:t xml:space="preserve">нормальная температура отмечается в течение 48 ч. </w:t>
      </w:r>
    </w:p>
    <w:p w14:paraId="64F8E6BA" w14:textId="77777777" w:rsidR="001F2346" w:rsidRPr="00BA4F0F" w:rsidRDefault="001F2346" w:rsidP="001F2346">
      <w:pPr>
        <w:tabs>
          <w:tab w:val="left" w:pos="0"/>
          <w:tab w:val="left" w:pos="567"/>
        </w:tabs>
      </w:pPr>
      <w:r w:rsidRPr="00BA4F0F">
        <w:t>При клинически и микробиологически доказанной инфекции длительность применения антибиотиков должна составлять не менее 7 дней при условии, что:</w:t>
      </w:r>
    </w:p>
    <w:p w14:paraId="3BB851C0" w14:textId="77777777" w:rsidR="001F2346" w:rsidRPr="00BA4F0F" w:rsidRDefault="001F2346" w:rsidP="00DC0931">
      <w:pPr>
        <w:numPr>
          <w:ilvl w:val="0"/>
          <w:numId w:val="258"/>
        </w:numPr>
        <w:tabs>
          <w:tab w:val="left" w:pos="0"/>
          <w:tab w:val="left" w:pos="567"/>
        </w:tabs>
        <w:ind w:left="0" w:firstLine="0"/>
      </w:pPr>
      <w:r w:rsidRPr="00BA4F0F">
        <w:t>нормальная температура наблюдается не менее 4 дней;</w:t>
      </w:r>
    </w:p>
    <w:p w14:paraId="292506F9" w14:textId="77777777" w:rsidR="001F2346" w:rsidRPr="00BA4F0F" w:rsidRDefault="001F2346" w:rsidP="00DC0931">
      <w:pPr>
        <w:numPr>
          <w:ilvl w:val="0"/>
          <w:numId w:val="258"/>
        </w:numPr>
        <w:tabs>
          <w:tab w:val="left" w:pos="0"/>
          <w:tab w:val="left" w:pos="567"/>
        </w:tabs>
        <w:ind w:left="0" w:firstLine="0"/>
      </w:pPr>
      <w:r w:rsidRPr="00BA4F0F">
        <w:t>очаги инфекции полностью регрессировали;</w:t>
      </w:r>
    </w:p>
    <w:p w14:paraId="0C89383B" w14:textId="77777777" w:rsidR="001F2346" w:rsidRPr="00BA4F0F" w:rsidRDefault="001F2346" w:rsidP="00DC0931">
      <w:pPr>
        <w:numPr>
          <w:ilvl w:val="0"/>
          <w:numId w:val="258"/>
        </w:numPr>
        <w:tabs>
          <w:tab w:val="left" w:pos="0"/>
          <w:tab w:val="left" w:pos="567"/>
        </w:tabs>
        <w:ind w:left="0" w:firstLine="0"/>
      </w:pPr>
      <w:r w:rsidRPr="00BA4F0F">
        <w:t xml:space="preserve">достигнута (или предполагается) микробиологическая эрадикация возбудителя подтвержденной инфекции. </w:t>
      </w:r>
    </w:p>
    <w:p w14:paraId="073EE4A3" w14:textId="77777777" w:rsidR="001F2346" w:rsidRPr="00BA4F0F" w:rsidRDefault="001F2346" w:rsidP="001F2346">
      <w:pPr>
        <w:tabs>
          <w:tab w:val="left" w:pos="0"/>
          <w:tab w:val="left" w:pos="567"/>
        </w:tabs>
      </w:pPr>
      <w:r w:rsidRPr="00BA4F0F">
        <w:t xml:space="preserve">После отмены антибиотиков у больного с гранулоцитопенией необходимо наблюдение за ним в течение последующих 24-48 ч, и в случае появления температуры следует вновь назначить антибиотики. </w:t>
      </w:r>
    </w:p>
    <w:p w14:paraId="12D5F358" w14:textId="77777777" w:rsidR="001F2346" w:rsidRPr="00BA4F0F" w:rsidRDefault="001F2346" w:rsidP="001F2346">
      <w:pPr>
        <w:tabs>
          <w:tab w:val="left" w:pos="0"/>
          <w:tab w:val="left" w:pos="567"/>
        </w:tabs>
        <w:rPr>
          <w:u w:val="single"/>
        </w:rPr>
      </w:pPr>
    </w:p>
    <w:p w14:paraId="34E53E4D" w14:textId="77777777" w:rsidR="001F2346" w:rsidRPr="00BA4F0F" w:rsidRDefault="001F2346" w:rsidP="001F2346">
      <w:pPr>
        <w:tabs>
          <w:tab w:val="left" w:pos="0"/>
          <w:tab w:val="left" w:pos="567"/>
        </w:tabs>
        <w:rPr>
          <w:u w:val="single"/>
        </w:rPr>
      </w:pPr>
      <w:r w:rsidRPr="00BA4F0F">
        <w:rPr>
          <w:u w:val="single"/>
        </w:rPr>
        <w:t>Профилактика инфекционных осложнений</w:t>
      </w:r>
    </w:p>
    <w:p w14:paraId="5993E6D0" w14:textId="07D87609" w:rsidR="001F2346" w:rsidRPr="00BA4F0F" w:rsidRDefault="001F2346" w:rsidP="001F2346">
      <w:pPr>
        <w:pStyle w:val="afe"/>
        <w:ind w:left="0"/>
        <w:rPr>
          <w:rFonts w:cs="Times New Roman"/>
          <w:b/>
          <w:i/>
          <w:szCs w:val="24"/>
        </w:rPr>
      </w:pPr>
      <w:r w:rsidRPr="00BA4F0F">
        <w:rPr>
          <w:rFonts w:cs="Times New Roman"/>
          <w:b/>
          <w:i/>
          <w:szCs w:val="24"/>
        </w:rPr>
        <w:t xml:space="preserve">Противогрибковая профилактика </w:t>
      </w:r>
      <w:r w:rsidRPr="00BA4F0F">
        <w:rPr>
          <w:rFonts w:cs="Times New Roman"/>
          <w:b/>
          <w:i/>
          <w:szCs w:val="24"/>
        </w:rPr>
        <w:fldChar w:fldCharType="begin" w:fldLock="1"/>
      </w:r>
      <w:r w:rsidR="002736BA">
        <w:rPr>
          <w:rFonts w:cs="Times New Roman"/>
          <w:b/>
          <w:i/>
          <w:szCs w:val="24"/>
        </w:rPr>
        <w:instrText>ADDIN CSL_CITATION {"citationItems":[{"id":"ITEM-1","itemData":{"author":[{"dropping-particle":"","family":"Савченко В.Г. и др","given":"","non-dropping-particle":"","parse-names":false,"suffix":""}],"id":"ITEM-1","issued":{"date-parts":[["2018"]]},"number-of-pages":"1008","publisher":"Практика","publisher-place":"Москва","title":"Алгоритмы диагностики и протоколы лечения заболеваний системы крови.","type":"book"},"uris":["http://www.mendeley.com/documents/?uuid=f91ae641-8062-4f5f-b416-94b015742043","http://www.mendeley.com/documents/?uuid=2cd270b2-efaf-4da9-a95d-66324661ea35","http://www.mendeley.com/documents/?uuid=fe583573-532c-46dc-b4f4-f9d01345e27c","http://www.mendeley.com/documents/?uuid=26da25a5-bd21-4509-8e88-e4e6744fab98","http://www.mendeley.com/documents/?uuid=a1e2f5d6-ef05-4351-9481-13fad4fd103b","http://www.mendeley.com/documents/?uuid=478d6ce1-e425-4912-87db-adfee39f1ce9","http://www.mendeley.com/documents/?uuid=9cac36ab-7685-4894-b1cb-f141a1797526","http://www.mendeley.com/documents/?uuid=c0eae3a3-34ee-40e1-8813-566cb7fa2b4a"]}],"mendeley":{"formattedCitation":"[260]","plainTextFormattedCitation":"[260]","previouslyFormattedCitation":"[260]"},"properties":{"noteIndex":0},"schema":"https://github.com/citation-style-language/schema/raw/master/csl-citation.json"}</w:instrText>
      </w:r>
      <w:r w:rsidRPr="00BA4F0F">
        <w:rPr>
          <w:rFonts w:cs="Times New Roman"/>
          <w:b/>
          <w:i/>
          <w:szCs w:val="24"/>
        </w:rPr>
        <w:fldChar w:fldCharType="separate"/>
      </w:r>
      <w:r w:rsidR="006E1ADA" w:rsidRPr="006E1ADA">
        <w:rPr>
          <w:rFonts w:cs="Times New Roman"/>
          <w:noProof/>
          <w:szCs w:val="24"/>
        </w:rPr>
        <w:t>[260]</w:t>
      </w:r>
      <w:r w:rsidRPr="00BA4F0F">
        <w:rPr>
          <w:rFonts w:cs="Times New Roman"/>
          <w:b/>
          <w:i/>
          <w:szCs w:val="24"/>
        </w:rPr>
        <w:fldChar w:fldCharType="end"/>
      </w:r>
    </w:p>
    <w:p w14:paraId="1A0AA769" w14:textId="77777777" w:rsidR="001F2346" w:rsidRPr="00BA4F0F" w:rsidRDefault="001F2346" w:rsidP="00DC0931">
      <w:pPr>
        <w:numPr>
          <w:ilvl w:val="0"/>
          <w:numId w:val="263"/>
        </w:numPr>
        <w:tabs>
          <w:tab w:val="left" w:pos="0"/>
          <w:tab w:val="left" w:pos="567"/>
        </w:tabs>
        <w:ind w:left="0" w:firstLine="0"/>
      </w:pPr>
      <w:r w:rsidRPr="00BA4F0F">
        <w:t>Проводится пациентам с отягощенным анамнезом (острый диссеминированный кандидоз, хронический диссеминированный кандидоз, мукормикоз или инвазивный аспергиллез).</w:t>
      </w:r>
    </w:p>
    <w:p w14:paraId="25C52590" w14:textId="77777777" w:rsidR="001F2346" w:rsidRPr="00BA4F0F" w:rsidRDefault="001F2346" w:rsidP="00DC0931">
      <w:pPr>
        <w:numPr>
          <w:ilvl w:val="0"/>
          <w:numId w:val="263"/>
        </w:numPr>
        <w:tabs>
          <w:tab w:val="left" w:pos="0"/>
          <w:tab w:val="left" w:pos="567"/>
        </w:tabs>
        <w:ind w:left="0" w:firstLine="0"/>
      </w:pPr>
      <w:r w:rsidRPr="00BA4F0F">
        <w:lastRenderedPageBreak/>
        <w:t xml:space="preserve">Назначают препарат, при использовании которого было достигнуто излечение от инвазивного микоза. </w:t>
      </w:r>
    </w:p>
    <w:p w14:paraId="173EC48E" w14:textId="77777777" w:rsidR="001F2346" w:rsidRPr="00BA4F0F" w:rsidRDefault="001F2346" w:rsidP="00DC0931">
      <w:pPr>
        <w:numPr>
          <w:ilvl w:val="0"/>
          <w:numId w:val="263"/>
        </w:numPr>
        <w:tabs>
          <w:tab w:val="left" w:pos="0"/>
          <w:tab w:val="left" w:pos="567"/>
        </w:tabs>
        <w:ind w:left="0" w:firstLine="0"/>
      </w:pPr>
      <w:r w:rsidRPr="00BA4F0F">
        <w:t>Пациенты с наличием в анамнезе острого или хронического диссеминированного кандидоза (обычно один препарат из перечня):</w:t>
      </w:r>
    </w:p>
    <w:p w14:paraId="5E073AC0" w14:textId="77777777" w:rsidR="001F2346" w:rsidRPr="00BA4F0F" w:rsidRDefault="001F2346" w:rsidP="00DC0931">
      <w:pPr>
        <w:numPr>
          <w:ilvl w:val="0"/>
          <w:numId w:val="264"/>
        </w:numPr>
        <w:tabs>
          <w:tab w:val="left" w:pos="0"/>
          <w:tab w:val="left" w:pos="567"/>
        </w:tabs>
        <w:ind w:left="0" w:firstLine="0"/>
      </w:pPr>
      <w:r w:rsidRPr="00BA4F0F">
        <w:t>Флуконазол, по 400 мг в сутки, внутривенно или внутрь.</w:t>
      </w:r>
    </w:p>
    <w:p w14:paraId="5665B64F" w14:textId="77777777" w:rsidR="001F2346" w:rsidRPr="00BA4F0F" w:rsidRDefault="001F2346" w:rsidP="00DC0931">
      <w:pPr>
        <w:numPr>
          <w:ilvl w:val="0"/>
          <w:numId w:val="264"/>
        </w:numPr>
        <w:tabs>
          <w:tab w:val="left" w:pos="0"/>
          <w:tab w:val="left" w:pos="567"/>
        </w:tabs>
        <w:ind w:left="0" w:firstLine="0"/>
      </w:pPr>
      <w:r w:rsidRPr="00BA4F0F">
        <w:t>Каспофунгин, по 50 мг в сутки внутривенно.</w:t>
      </w:r>
    </w:p>
    <w:p w14:paraId="170FD762" w14:textId="77777777" w:rsidR="001F2346" w:rsidRPr="00BA4F0F" w:rsidRDefault="001F2346" w:rsidP="00DC0931">
      <w:pPr>
        <w:numPr>
          <w:ilvl w:val="0"/>
          <w:numId w:val="264"/>
        </w:numPr>
        <w:tabs>
          <w:tab w:val="left" w:pos="0"/>
          <w:tab w:val="left" w:pos="567"/>
        </w:tabs>
        <w:ind w:left="0" w:firstLine="0"/>
      </w:pPr>
      <w:r w:rsidRPr="00BA4F0F">
        <w:t>Микафунгин, по 100 мг в сутки внутривенно.</w:t>
      </w:r>
    </w:p>
    <w:p w14:paraId="55C6868B" w14:textId="77777777" w:rsidR="001F2346" w:rsidRPr="00BA4F0F" w:rsidRDefault="001F2346" w:rsidP="00DC0931">
      <w:pPr>
        <w:numPr>
          <w:ilvl w:val="0"/>
          <w:numId w:val="264"/>
        </w:numPr>
        <w:tabs>
          <w:tab w:val="left" w:pos="0"/>
          <w:tab w:val="left" w:pos="567"/>
        </w:tabs>
        <w:ind w:left="0" w:firstLine="0"/>
      </w:pPr>
      <w:r w:rsidRPr="00BA4F0F">
        <w:t>Анидулафунгин, по 100 мг в сутки внутривенно.</w:t>
      </w:r>
    </w:p>
    <w:p w14:paraId="3C246853" w14:textId="77777777" w:rsidR="001F2346" w:rsidRPr="00BA4F0F" w:rsidRDefault="001F2346" w:rsidP="00DC0931">
      <w:pPr>
        <w:numPr>
          <w:ilvl w:val="0"/>
          <w:numId w:val="263"/>
        </w:numPr>
        <w:tabs>
          <w:tab w:val="left" w:pos="0"/>
          <w:tab w:val="left" w:pos="567"/>
        </w:tabs>
        <w:ind w:left="0" w:firstLine="0"/>
      </w:pPr>
      <w:r w:rsidRPr="00BA4F0F">
        <w:t>Пациенты с наличием в анамнезе инвазивного аспергиллеза (обычно один препарат из перечня):</w:t>
      </w:r>
    </w:p>
    <w:p w14:paraId="5BC30C38" w14:textId="77777777" w:rsidR="001F2346" w:rsidRPr="00BA4F0F" w:rsidRDefault="001F2346" w:rsidP="00DC0931">
      <w:pPr>
        <w:numPr>
          <w:ilvl w:val="0"/>
          <w:numId w:val="265"/>
        </w:numPr>
        <w:tabs>
          <w:tab w:val="left" w:pos="0"/>
          <w:tab w:val="left" w:pos="567"/>
        </w:tabs>
        <w:ind w:left="0" w:firstLine="0"/>
      </w:pPr>
      <w:r w:rsidRPr="00BA4F0F">
        <w:t>Вориконазол, по 200 мг 2 раза в сутки внутрь (в таблетках, натощак) или внутривенно.</w:t>
      </w:r>
    </w:p>
    <w:p w14:paraId="64B8B8E7" w14:textId="77777777" w:rsidR="001F2346" w:rsidRPr="00BA4F0F" w:rsidRDefault="001F2346" w:rsidP="00DC0931">
      <w:pPr>
        <w:numPr>
          <w:ilvl w:val="0"/>
          <w:numId w:val="265"/>
        </w:numPr>
        <w:tabs>
          <w:tab w:val="left" w:pos="0"/>
          <w:tab w:val="left" w:pos="567"/>
        </w:tabs>
        <w:ind w:left="0" w:firstLine="0"/>
      </w:pPr>
      <w:r w:rsidRPr="00BA4F0F">
        <w:t>Позаконазол (суспензия), по 200 мг 3 раза в сутки внутрь (после еды).</w:t>
      </w:r>
    </w:p>
    <w:p w14:paraId="1D9A59BA" w14:textId="77777777" w:rsidR="001F2346" w:rsidRPr="00BA4F0F" w:rsidRDefault="001F2346" w:rsidP="00DC0931">
      <w:pPr>
        <w:numPr>
          <w:ilvl w:val="0"/>
          <w:numId w:val="265"/>
        </w:numPr>
        <w:tabs>
          <w:tab w:val="left" w:pos="0"/>
          <w:tab w:val="left" w:pos="567"/>
        </w:tabs>
        <w:ind w:left="0" w:firstLine="0"/>
      </w:pPr>
      <w:r w:rsidRPr="00BA4F0F">
        <w:t>Итраконазол (суспензия), по 200 мг 2 раза в сутки внутрь (натощак).</w:t>
      </w:r>
    </w:p>
    <w:p w14:paraId="4570E5F3" w14:textId="77777777" w:rsidR="001F2346" w:rsidRPr="00BA4F0F" w:rsidRDefault="001F2346" w:rsidP="00DC0931">
      <w:pPr>
        <w:numPr>
          <w:ilvl w:val="0"/>
          <w:numId w:val="267"/>
        </w:numPr>
        <w:tabs>
          <w:tab w:val="left" w:pos="0"/>
          <w:tab w:val="left" w:pos="567"/>
        </w:tabs>
        <w:ind w:left="0" w:firstLine="0"/>
      </w:pPr>
      <w:r w:rsidRPr="00BA4F0F">
        <w:t>Пациенты с наличием в анамнезе мукормикоза:</w:t>
      </w:r>
    </w:p>
    <w:p w14:paraId="173269A8" w14:textId="77777777" w:rsidR="001F2346" w:rsidRPr="00BA4F0F" w:rsidRDefault="001F2346" w:rsidP="001F2346">
      <w:pPr>
        <w:tabs>
          <w:tab w:val="left" w:pos="0"/>
          <w:tab w:val="left" w:pos="567"/>
        </w:tabs>
        <w:rPr>
          <w:b/>
        </w:rPr>
      </w:pPr>
      <w:r w:rsidRPr="00BA4F0F">
        <w:t>Позаконазол (суспензия), по 200 мг 3 раза в сутки внутрь (после еды).</w:t>
      </w:r>
      <w:r w:rsidRPr="00BA4F0F">
        <w:rPr>
          <w:b/>
        </w:rPr>
        <w:t xml:space="preserve"> </w:t>
      </w:r>
    </w:p>
    <w:p w14:paraId="040C055C" w14:textId="77777777" w:rsidR="001F2346" w:rsidRPr="00BA4F0F" w:rsidRDefault="001F2346" w:rsidP="001F2346">
      <w:pPr>
        <w:pStyle w:val="afe"/>
        <w:ind w:left="0"/>
        <w:rPr>
          <w:rFonts w:cs="Times New Roman"/>
          <w:b/>
          <w:i/>
          <w:szCs w:val="24"/>
        </w:rPr>
      </w:pPr>
    </w:p>
    <w:p w14:paraId="5C365E28" w14:textId="76CBF202" w:rsidR="001F2346" w:rsidRPr="00BA4F0F" w:rsidRDefault="001F2346" w:rsidP="001F2346">
      <w:pPr>
        <w:pStyle w:val="afe"/>
        <w:ind w:left="0"/>
        <w:rPr>
          <w:rFonts w:cs="Times New Roman"/>
          <w:b/>
          <w:i/>
          <w:szCs w:val="24"/>
        </w:rPr>
      </w:pPr>
      <w:r w:rsidRPr="00BA4F0F">
        <w:rPr>
          <w:rFonts w:cs="Times New Roman"/>
          <w:b/>
          <w:i/>
          <w:szCs w:val="24"/>
        </w:rPr>
        <w:t xml:space="preserve">Противовирусная профилактика </w:t>
      </w:r>
      <w:r w:rsidRPr="00BA4F0F">
        <w:rPr>
          <w:rFonts w:cs="Times New Roman"/>
          <w:b/>
          <w:i/>
          <w:szCs w:val="24"/>
        </w:rPr>
        <w:fldChar w:fldCharType="begin" w:fldLock="1"/>
      </w:r>
      <w:r w:rsidR="002736BA">
        <w:rPr>
          <w:rFonts w:cs="Times New Roman"/>
          <w:b/>
          <w:i/>
          <w:szCs w:val="24"/>
        </w:rPr>
        <w:instrText>ADDIN CSL_CITATION {"citationItems":[{"id":"ITEM-1","itemData":{"DOI":"10.3324/haematol.2014.117176","ISSN":"15928721","PMID":"26432383","abstract":"The European Myeloma Network provides recommendations for the management of the most common complications of multiple myeloma. Whole body low-dose computed tomography is more sensitive than conventional radiography in depicting osteolytic disease and thus we recommend it as the novel standard for the detection of lytic lesions in myeloma (grade 1A). Myeloma patients with adequate renal function and bone disease at diagnosis should be treated with zoledronic acid or pamidronate (grade 1A). Symptomatic patients without lytic lesions on conventional radiography can be treated with zoledronic acid (grade 1B), but its advantage is not clear for patients with no bone involvement on computed tomography or magnetic resonance imaging. In asymptomatic myeloma, bisphosphonates are not recommended (grade 1A). Zoledronic acid should be given continuously, but it is not clear if patients who achieve at least a very good partial response benefit from its continuous use (grade 1B). Treatment with erythropoietic-stimulating agents may be initiated in patients with persistent symptomatic anemia (hemoglobin &lt;10g/dL) in whom other causes of anemia have been excluded (grade 1B). Erythropoietic agents should be stopped after 6-8 weeks if no adequate hemoglobin response is achieved. For renal impairment, bortezomib-based regimens are the current standard of care (grade 1A). For the management of treatment-induced peripheral neuropathy, drug modification is needed (grade 1C). Vaccination against influenza is recommended; vaccination against streptococcus pneumonia and hemophilus influenza is appropriate, but efficacy is not guaranteed due to suboptimal immune response (grade 1C). Prophylactic aciclovir (or valacyclovir) is recommended for patients receiving proteasome inhibitors, autologous or allogeneic transplantation (grade 1A).","author":[{"dropping-particle":"","family":"Terpos","given":"Evangelos","non-dropping-particle":"","parse-names":false,"suffix":""},{"dropping-particle":"","family":"Kleber","given":"Martina","non-dropping-particle":"","parse-names":false,"suffix":""},{"dropping-particle":"","family":"Engelhardt","given":"Monika","non-dropping-particle":"","parse-names":false,"suffix":""},{"dropping-particle":"","family":"Zweegman","given":"Sonja","non-dropping-particle":"","parse-names":false,"suffix":""},{"dropping-particle":"","family":"Gay","given":"Francesca","non-dropping-particle":"","parse-names":false,"suffix":""},{"dropping-particle":"","family":"Kastritis","given":"Efstathios","non-dropping-particle":"","parse-names":false,"suffix":""},{"dropping-particle":"","family":"Donk","given":"Niels W.C.J.","non-dropping-particle":"van de","parse-names":false,"suffix":""},{"dropping-particle":"","family":"Bruno","given":"Benedetto","non-dropping-particle":"","parse-names":false,"suffix":""},{"dropping-particle":"","family":"Sezer","given":"Orhan","non-dropping-particle":"","parse-names":false,"suffix":""},{"dropping-particle":"","family":"Broij","given":"Annemiek","non-dropping-particle":"","parse-names":false,"suffix":""},{"dropping-particle":"","family":"Bringhen","given":"Sara","non-dropping-particle":"","parse-names":false,"suffix":""},{"dropping-particle":"","family":"Beksac","given":"Meral","non-dropping-particle":"","parse-names":false,"suffix":""},{"dropping-particle":"","family":"Larocca","given":"Alessandra","non-dropping-particle":"","parse-names":false,"suffix":""},{"dropping-particle":"","family":"Hajek","given":"Roman","non-dropping-particle":"","parse-names":false,"suffix":""},{"dropping-particle":"","family":"Musto","given":"Pellegrino","non-dropping-particle":"","parse-names":false,"suffix":""},{"dropping-particle":"","family":"Johnsen","given":"Hans Erik","non-dropping-particle":"","parse-names":false,"suffix":""},{"dropping-particle":"","family":"Morabito","given":"Fortunato","non-dropping-particle":"","parse-names":false,"suffix":""},{"dropping-particle":"","family":"Ludwig","given":"Heinz","non-dropping-particle":"","parse-names":false,"suffix":""},{"dropping-particle":"","family":"Cavo","given":"Michele","non-dropping-particle":"","parse-names":false,"suffix":""},{"dropping-particle":"","family":"Einsele","given":"Hermann","non-dropping-particle":"","parse-names":false,"suffix":""},{"dropping-particle":"","family":"Sonneveld","given":"Pieter","non-dropping-particle":"","parse-names":false,"suffix":""},{"dropping-particle":"","family":"Dimopoulos","given":"Meletios A.","non-dropping-particle":"","parse-names":false,"suffix":""},{"dropping-particle":"","family":"Palumbo","given":"Antonio","non-dropping-particle":"","parse-names":false,"suffix":""}],"container-title":"Haematologica","id":"ITEM-1","issue":"10","issued":{"date-parts":[["2015","10"]]},"page":"1254-1266","publisher":"Ferrata Storti Foundation","title":"European myeloma network guidelines for the management of multiple myeloma-related complications","type":"article-journal","volume":"100"},"uris":["http://www.mendeley.com/documents/?uuid=aac7b897-8190-3c23-bc91-e35f2f0c34c2","http://www.mendeley.com/documents/?uuid=d764576b-b83c-433d-b5a2-7dad0d44d988","http://www.mendeley.com/documents/?uuid=ee597520-c0cc-44d1-88eb-388774bd8550","http://www.mendeley.com/documents/?uuid=c0612fc3-d7f0-4ab2-9abe-e086965714f4","http://www.mendeley.com/documents/?uuid=6d6938c8-1c2d-40c8-b1d1-d79df765c05d","http://www.mendeley.com/documents/?uuid=37f5270f-10ba-4092-bf91-5d27dd1c06ee","http://www.mendeley.com/documents/?uuid=b5a58553-9f9f-4514-b08b-dacb77967682","http://www.mendeley.com/documents/?uuid=a2dc2d73-6f14-4a34-af5c-17ae34364204"]}],"mendeley":{"formattedCitation":"[261]","plainTextFormattedCitation":"[261]","previouslyFormattedCitation":"[261]"},"properties":{"noteIndex":0},"schema":"https://github.com/citation-style-language/schema/raw/master/csl-citation.json"}</w:instrText>
      </w:r>
      <w:r w:rsidRPr="00BA4F0F">
        <w:rPr>
          <w:rFonts w:cs="Times New Roman"/>
          <w:b/>
          <w:i/>
          <w:szCs w:val="24"/>
        </w:rPr>
        <w:fldChar w:fldCharType="separate"/>
      </w:r>
      <w:r w:rsidR="006E1ADA" w:rsidRPr="006E1ADA">
        <w:rPr>
          <w:rFonts w:cs="Times New Roman"/>
          <w:noProof/>
          <w:szCs w:val="24"/>
        </w:rPr>
        <w:t>[261]</w:t>
      </w:r>
      <w:r w:rsidRPr="00BA4F0F">
        <w:rPr>
          <w:rFonts w:cs="Times New Roman"/>
          <w:b/>
          <w:i/>
          <w:szCs w:val="24"/>
        </w:rPr>
        <w:fldChar w:fldCharType="end"/>
      </w:r>
    </w:p>
    <w:p w14:paraId="2CC7062A" w14:textId="77777777" w:rsidR="001F2346" w:rsidRPr="00BA4F0F" w:rsidRDefault="001F2346" w:rsidP="00DC0931">
      <w:pPr>
        <w:numPr>
          <w:ilvl w:val="0"/>
          <w:numId w:val="262"/>
        </w:numPr>
        <w:tabs>
          <w:tab w:val="left" w:pos="0"/>
          <w:tab w:val="left" w:pos="567"/>
        </w:tabs>
        <w:ind w:left="0" w:firstLine="0"/>
      </w:pPr>
      <w:r w:rsidRPr="00BA4F0F">
        <w:t xml:space="preserve">Показана пациентам, имеющим отягощенный анамнез (частые, рецидивирующие эпизоды герпетических инфекций). </w:t>
      </w:r>
    </w:p>
    <w:p w14:paraId="6A4446BB" w14:textId="77777777" w:rsidR="001F2346" w:rsidRPr="00BA4F0F" w:rsidRDefault="001F2346" w:rsidP="00DC0931">
      <w:pPr>
        <w:numPr>
          <w:ilvl w:val="0"/>
          <w:numId w:val="262"/>
        </w:numPr>
        <w:tabs>
          <w:tab w:val="left" w:pos="0"/>
          <w:tab w:val="left" w:pos="567"/>
        </w:tabs>
        <w:ind w:left="0" w:firstLine="0"/>
      </w:pPr>
      <w:r w:rsidRPr="00BA4F0F">
        <w:t>Проводится пероральная профилактика валацикловиром в дозе 500 мг 2 раза в сутки или ацикловиром 250 мг/м</w:t>
      </w:r>
      <w:r w:rsidRPr="00BA4F0F">
        <w:rPr>
          <w:vertAlign w:val="superscript"/>
        </w:rPr>
        <w:t>2</w:t>
      </w:r>
      <w:r w:rsidRPr="00BA4F0F">
        <w:t xml:space="preserve"> х 2 раза в сутки с момента начала предтрансплантационного кондиционирования. </w:t>
      </w:r>
    </w:p>
    <w:p w14:paraId="585A6D17" w14:textId="77777777" w:rsidR="001F2346" w:rsidRPr="00BA4F0F" w:rsidRDefault="001F2346" w:rsidP="001F2346">
      <w:pPr>
        <w:pStyle w:val="afe"/>
        <w:ind w:left="0"/>
        <w:rPr>
          <w:rFonts w:cs="Times New Roman"/>
          <w:b/>
          <w:i/>
          <w:szCs w:val="24"/>
        </w:rPr>
      </w:pPr>
    </w:p>
    <w:p w14:paraId="2018008C" w14:textId="75675064" w:rsidR="001F2346" w:rsidRPr="00BA4F0F" w:rsidRDefault="001F2346" w:rsidP="001F2346">
      <w:pPr>
        <w:pStyle w:val="afe"/>
        <w:ind w:left="0"/>
        <w:rPr>
          <w:rFonts w:cs="Times New Roman"/>
          <w:b/>
          <w:i/>
          <w:szCs w:val="24"/>
        </w:rPr>
      </w:pPr>
      <w:r w:rsidRPr="00BA4F0F">
        <w:rPr>
          <w:rFonts w:cs="Times New Roman"/>
          <w:b/>
          <w:i/>
          <w:szCs w:val="24"/>
        </w:rPr>
        <w:t xml:space="preserve">Профилактика пневмоцистной пневмонии </w:t>
      </w:r>
      <w:r w:rsidRPr="00BA4F0F">
        <w:rPr>
          <w:rFonts w:cs="Times New Roman"/>
          <w:b/>
          <w:i/>
          <w:szCs w:val="24"/>
        </w:rPr>
        <w:fldChar w:fldCharType="begin" w:fldLock="1"/>
      </w:r>
      <w:r w:rsidR="002736BA">
        <w:rPr>
          <w:rFonts w:cs="Times New Roman"/>
          <w:b/>
          <w:i/>
          <w:szCs w:val="24"/>
        </w:rPr>
        <w:instrText>ADDIN CSL_CITATION {"citationItems":[{"id":"ITEM-1","itemData":{"author":[{"dropping-particle":"","family":"Савченко В.Г. и др","given":"","non-dropping-particle":"","parse-names":false,"suffix":""}],"id":"ITEM-1","issued":{"date-parts":[["2018"]]},"number-of-pages":"1008","publisher":"Практика","publisher-place":"Москва","title":"Алгоритмы диагностики и протоколы лечения заболеваний системы крови.","type":"book"},"uris":["http://www.mendeley.com/documents/?uuid=f91ae641-8062-4f5f-b416-94b015742043","http://www.mendeley.com/documents/?uuid=2cd270b2-efaf-4da9-a95d-66324661ea35","http://www.mendeley.com/documents/?uuid=fe583573-532c-46dc-b4f4-f9d01345e27c","http://www.mendeley.com/documents/?uuid=26da25a5-bd21-4509-8e88-e4e6744fab98","http://www.mendeley.com/documents/?uuid=a1e2f5d6-ef05-4351-9481-13fad4fd103b","http://www.mendeley.com/documents/?uuid=478d6ce1-e425-4912-87db-adfee39f1ce9","http://www.mendeley.com/documents/?uuid=9cac36ab-7685-4894-b1cb-f141a1797526","http://www.mendeley.com/documents/?uuid=c0eae3a3-34ee-40e1-8813-566cb7fa2b4a"]},{"id":"ITEM-2","itemData":{"DOI":"10.1093/jac/dkw157","ISSN":"14602091","PMID":"27550992","abstract":"The 5th European Conference on Infections in Leukaemia (ECIL-5) meeting aimed to establish evidence-based recommendations for the prophylaxis of Pneumocystis jirovecii pneumonia (PCP) in non-HIV-infected patients with an underlying haematological condition, including allogeneic HSCT recipients. Recommendations were based on the grading system of the IDSA. Trimethoprim/sulfamethoxazole given 2-3 times weekly is the drug of choice for the primary prophylaxis of PCP in adults (A-II) and children (A-I) and should be given during the entire period at risk. Recent data indicate that children may benefit equally from a once-weekly regimen (B-II). All other drugs, including pentamidine, atovaquone and dapsone, are considered second-line alternatives when trimethoprim/ sulfamethoxazole is poorly tolerated or contraindicated. The main indications of PCP prophylaxis are ALL, allogeneic HSCT, treatment with alemtuzumab, fludarabine/cyclophosphamide/rituximab combinations, &gt;4 weeks of treatmentwith corticosteroids andwell-defined primary immune deficiencies in children. Additional indications are proposed depending on the treatment regimen.","author":[{"dropping-particle":"","family":"Maertens","given":"Johan","non-dropping-particle":"","parse-names":false,"suffix":""},{"dropping-particle":"","family":"Cesaro","given":"Simone","non-dropping-particle":"","parse-names":false,"suffix":""},{"dropping-particle":"","family":"Maschmeyer","given":"Georg","non-dropping-particle":"","parse-names":false,"suffix":""},{"dropping-particle":"","family":"Einsele","given":"Hermann","non-dropping-particle":"","parse-names":false,"suffix":""},{"dropping-particle":"","family":"Donnelly","given":"J. Peter","non-dropping-particle":"","parse-names":false,"suffix":""},{"dropping-particle":"","family":"Alanio","given":"Alexandre","non-dropping-particle":"","parse-names":false,"suffix":""},{"dropping-particle":"","family":"Hauser","given":"Philippe","non-dropping-particle":"","parse-names":false,"suffix":""},{"dropping-particle":"","family":"Lagrou","given":"Katrien","non-dropping-particle":"","parse-names":false,"suffix":""},{"dropping-particle":"","family":"Melchers","given":"Willem J.G.","non-dropping-particle":"","parse-names":false,"suffix":""},{"dropping-particle":"","family":"Helweg-Larsen","given":"Jannik","non-dropping-particle":"","parse-names":false,"suffix":""},{"dropping-particle":"","family":"Matos","given":"Olga","non-dropping-particle":"","parse-names":false,"suffix":""},{"dropping-particle":"","family":"Bretagne","given":"Stéphane","non-dropping-particle":"","parse-names":false,"suffix":""},{"dropping-particle":"","family":"Cordonnier","given":"Catherine","non-dropping-particle":"","parse-names":false,"suffix":""},{"dropping-particle":"","family":"Agrawal","given":"Samir","non-dropping-particle":"","parse-names":false,"suffix":""},{"dropping-particle":"","family":"Kibbler","given":"Christopher","non-dropping-particle":"","parse-names":false,"suffix":""},{"dropping-particle":"","family":"Pagliuca","given":"Antonio","non-dropping-particle":"","parse-names":false,"suffix":""},{"dropping-particle":"","family":"Ward","given":"Katherine","non-dropping-particle":"","parse-names":false,"suffix":""},{"dropping-particle":"","family":"Akova","given":"Murat","non-dropping-particle":"","parse-names":false,"suffix":""},{"dropping-particle":"","family":"Herbrecht","given":"Raoul","non-dropping-particle":"","parse-names":false,"suffix":""},{"dropping-particle":"","family":"Mallet","given":"Vincent","non-dropping-particle":"","parse-names":false,"suffix":""},{"dropping-particle":"","family":"Ribaud","given":"Patricia","non-dropping-particle":"","parse-names":false,"suffix":""},{"dropping-particle":"","family":"Aljurf","given":"Mahmoud","non-dropping-particle":"","parse-names":false,"suffix":""},{"dropping-particle":"","family":"Averbuch","given":"Dina","non-dropping-particle":"","parse-names":false,"suffix":""},{"dropping-particle":"","family":"Engelhard","given":"Dan","non-dropping-particle":"","parse-names":false,"suffix":""},{"dropping-particle":"","family":"Berg","given":"Thomas","non-dropping-particle":"","parse-names":false,"suffix":""},{"dropping-particle":"","family":"Cornely","given":"Oliver","non-dropping-particle":"","parse-names":false,"suffix":""},{"dropping-particle":"","family":"Penack","given":"Olaf","non-dropping-particle":"","parse-names":false,"suffix":""},{"dropping-particle":"","family":"Boemmel","given":"Florian","non-dropping-particle":"van","parse-names":false,"suffix":""},{"dropping-particle":"","family":"Lilienfeld-Toal","given":"Marie","non-dropping-particle":"von","parse-names":false,"suffix":""},{"dropping-particle":"","family":"Blennow","given":"Ola","non-dropping-particle":"","parse-names":false,"suffix":""},{"dropping-particle":"","family":"Ljungman","given":"Per","non-dropping-particle":"","parse-names":false,"suffix":""},{"dropping-particle":"","family":"Bruggemann","given":"Roger","non-dropping-particle":"","parse-names":false,"suffix":""},{"dropping-particle":"","family":"Donnelly","given":"Peter","non-dropping-particle":"","parse-names":false,"suffix":""},{"dropping-particle":"","family":"Kullberg","given":"Bart Jan","non-dropping-particle":"","parse-names":false,"suffix":""},{"dropping-particle":"","family":"Melchers","given":"Willem","non-dropping-particle":"","parse-names":false,"suffix":""},{"dropping-particle":"","family":"Calandra","given":"Thierry","non-dropping-particle":"","parse-names":false,"suffix":""},{"dropping-particle":"","family":"Hirsch","given":"Hans","non-dropping-particle":"","parse-names":false,"suffix":""},{"dropping-particle":"","family":"Marchetti","given":"Oscar","non-dropping-particle":"","parse-names":false,"suffix":""},{"dropping-particle":"","family":"Orasch","given":"Christina","non-dropping-particle":"","parse-names":false,"suffix":""},{"dropping-particle":"","family":"Tissot","given":"Frederic","non-dropping-particle":"","parse-names":false,"suffix":""},{"dropping-particle":"","family":"Castagnola","given":"Elio","non-dropping-particle":"","parse-names":false,"suffix":""},{"dropping-particle":"","family":"Girmenia","given":"Corrado","non-dropping-particle":"","parse-names":false,"suffix":""},{"dropping-particle":"","family":"Mikulska","given":"Malgorzata","non-dropping-particle":"","parse-names":false,"suffix":""},{"dropping-particle":"","family":"Pagano","given":"Livio","non-dropping-particle":"","parse-names":false,"suffix":""},{"dropping-particle":"","family":"Viscoli","given":"Claudio","non-dropping-particle":"","parse-names":false,"suffix":""},{"dropping-particle":"","family":"La Camara","given":"Rafael","non-dropping-particle":"De","parse-names":false,"suffix":""},{"dropping-particle":"","family":"Duarte","given":"Rafael","non-dropping-particle":"","parse-names":false,"suffix":""},{"dropping-particle":"","family":"Munoz","given":"Patricia","non-dropping-particle":"","parse-names":false,"suffix":""},{"dropping-particle":"","family":"Drgona","given":"Lubos","non-dropping-particle":"","parse-names":false,"suffix":""},{"dropping-particle":"","family":"Hargreaves","given":"Ruth","non-dropping-particle":"","parse-names":false,"suffix":""},{"dropping-particle":"","family":"Hubacek","given":"Petr","non-dropping-particle":"","parse-names":false,"suffix":""},{"dropping-particle":"","family":"Kouba","given":"Michal","non-dropping-particle":"","parse-names":false,"suffix":""},{"dropping-particle":"","family":"Racil","given":"Zdenek","non-dropping-particle":"","parse-names":false,"suffix":""},{"dropping-particle":"","family":"Klyasova","given":"Galina","non-dropping-particle":"","parse-names":false,"suffix":""},{"dropping-particle":"","family":"Pettrikos","given":"George","non-dropping-particle":"","parse-names":false,"suffix":""},{"dropping-particle":"","family":"Roilides","given":"Emmanuel","non-dropping-particle":"","parse-names":false,"suffix":""},{"dropping-particle":"","family":"Skiada","given":"Anna","non-dropping-particle":"","parse-names":false,"suffix":""},{"dropping-particle":"","family":"Rizzi-Puechal","given":"Valérie","non-dropping-particle":"","parse-names":false,"suffix":""},{"dropping-particle":"","family":"Sinko","given":"Janos","non-dropping-particle":"","parse-names":false,"suffix":""},{"dropping-particle":"","family":"Slavin","given":"Monica","non-dropping-particle":"","parse-names":false,"suffix":""},{"dropping-particle":"","family":"Styczynski","given":"Jan","non-dropping-particle":"","parse-names":false,"suffix":""},{"dropping-particle":"","family":"Tweddle","given":"Lorraine","non-dropping-particle":"","parse-names":false,"suffix":""},{"dropping-particle":"","family":"Wood","given":"Craig","non-dropping-particle":"","parse-names":false,"suffix":""}],"container-title":"Journal of Antimicrobial Chemotherapy","id":"ITEM-2","issue":"9","issued":{"date-parts":[["2016","9","1"]]},"page":"1-8","publisher":"Oxford University Press","title":"ECIL guidelines for preventing Pneumocystis jirovecii pneumonia in patients with haematological malignancies and stem cell transplant recipients","type":"bill","volume":"71"},"uris":["http://www.mendeley.com/documents/?uuid=a0eb48bc-4417-4d24-8796-9587f2cfd3b7"]}],"mendeley":{"formattedCitation":"[260,262]","plainTextFormattedCitation":"[260,262]","previouslyFormattedCitation":"[260,262]"},"properties":{"noteIndex":0},"schema":"https://github.com/citation-style-language/schema/raw/master/csl-citation.json"}</w:instrText>
      </w:r>
      <w:r w:rsidRPr="00BA4F0F">
        <w:rPr>
          <w:rFonts w:cs="Times New Roman"/>
          <w:b/>
          <w:i/>
          <w:szCs w:val="24"/>
        </w:rPr>
        <w:fldChar w:fldCharType="separate"/>
      </w:r>
      <w:r w:rsidR="006E1ADA" w:rsidRPr="006E1ADA">
        <w:rPr>
          <w:rFonts w:cs="Times New Roman"/>
          <w:noProof/>
          <w:szCs w:val="24"/>
        </w:rPr>
        <w:t>[260,262]</w:t>
      </w:r>
      <w:r w:rsidRPr="00BA4F0F">
        <w:rPr>
          <w:rFonts w:cs="Times New Roman"/>
          <w:b/>
          <w:i/>
          <w:szCs w:val="24"/>
        </w:rPr>
        <w:fldChar w:fldCharType="end"/>
      </w:r>
    </w:p>
    <w:p w14:paraId="53D9B1A2" w14:textId="77777777" w:rsidR="001F2346" w:rsidRPr="00BA4F0F" w:rsidRDefault="001F2346" w:rsidP="00DC0931">
      <w:pPr>
        <w:numPr>
          <w:ilvl w:val="0"/>
          <w:numId w:val="183"/>
        </w:numPr>
        <w:tabs>
          <w:tab w:val="left" w:pos="0"/>
          <w:tab w:val="left" w:pos="567"/>
        </w:tabs>
        <w:ind w:left="0" w:firstLine="0"/>
      </w:pPr>
      <w:r w:rsidRPr="00BA4F0F">
        <w:t>Показания:</w:t>
      </w:r>
    </w:p>
    <w:p w14:paraId="61806539" w14:textId="77777777" w:rsidR="001F2346" w:rsidRPr="00BA4F0F" w:rsidRDefault="001F2346" w:rsidP="00DC0931">
      <w:pPr>
        <w:numPr>
          <w:ilvl w:val="0"/>
          <w:numId w:val="221"/>
        </w:numPr>
        <w:tabs>
          <w:tab w:val="left" w:pos="0"/>
          <w:tab w:val="left" w:pos="567"/>
        </w:tabs>
        <w:ind w:left="0" w:firstLine="0"/>
      </w:pPr>
      <w:r w:rsidRPr="00BA4F0F">
        <w:t xml:space="preserve">Терапия глюкокортикоидами. </w:t>
      </w:r>
    </w:p>
    <w:p w14:paraId="15B81F97" w14:textId="77777777" w:rsidR="001F2346" w:rsidRPr="00BA4F0F" w:rsidRDefault="001F2346" w:rsidP="00DC0931">
      <w:pPr>
        <w:numPr>
          <w:ilvl w:val="0"/>
          <w:numId w:val="221"/>
        </w:numPr>
        <w:tabs>
          <w:tab w:val="left" w:pos="0"/>
          <w:tab w:val="left" w:pos="567"/>
        </w:tabs>
        <w:ind w:left="0" w:firstLine="0"/>
      </w:pPr>
      <w:r w:rsidRPr="00BA4F0F">
        <w:t>Лечение препаратами, приводящими к снижению числа лимфоцитов CD4.</w:t>
      </w:r>
    </w:p>
    <w:p w14:paraId="53A09C33" w14:textId="77777777" w:rsidR="001F2346" w:rsidRPr="00BA4F0F" w:rsidRDefault="001F2346" w:rsidP="00DC0931">
      <w:pPr>
        <w:numPr>
          <w:ilvl w:val="0"/>
          <w:numId w:val="221"/>
        </w:numPr>
        <w:tabs>
          <w:tab w:val="left" w:pos="0"/>
          <w:tab w:val="left" w:pos="567"/>
        </w:tabs>
        <w:ind w:left="0" w:firstLine="0"/>
      </w:pPr>
      <w:r w:rsidRPr="00BA4F0F">
        <w:t>Пациенты, имеющие в анамнезе пневмоцистную пневмонию.</w:t>
      </w:r>
    </w:p>
    <w:p w14:paraId="53954125" w14:textId="77777777" w:rsidR="001F2346" w:rsidRPr="00BA4F0F" w:rsidRDefault="001F2346" w:rsidP="00DC0931">
      <w:pPr>
        <w:numPr>
          <w:ilvl w:val="0"/>
          <w:numId w:val="222"/>
        </w:numPr>
        <w:tabs>
          <w:tab w:val="left" w:pos="0"/>
          <w:tab w:val="left" w:pos="567"/>
        </w:tabs>
        <w:ind w:left="0" w:firstLine="0"/>
      </w:pPr>
      <w:r w:rsidRPr="00BA4F0F">
        <w:t>Назначают один из следующих препаратов:</w:t>
      </w:r>
    </w:p>
    <w:p w14:paraId="1FF10282" w14:textId="77777777" w:rsidR="001F2346" w:rsidRPr="00BA4F0F" w:rsidRDefault="001F2346" w:rsidP="00DC0931">
      <w:pPr>
        <w:numPr>
          <w:ilvl w:val="0"/>
          <w:numId w:val="221"/>
        </w:numPr>
        <w:tabs>
          <w:tab w:val="left" w:pos="0"/>
          <w:tab w:val="left" w:pos="567"/>
        </w:tabs>
        <w:ind w:left="0" w:firstLine="0"/>
      </w:pPr>
      <w:r w:rsidRPr="00BA4F0F">
        <w:t xml:space="preserve">Триметоприм/сульфаметоксазол назначают по 480 мг ежедневно. </w:t>
      </w:r>
    </w:p>
    <w:p w14:paraId="7BF9F570" w14:textId="77777777" w:rsidR="001F2346" w:rsidRPr="00BA4F0F" w:rsidRDefault="001F2346" w:rsidP="00DC0931">
      <w:pPr>
        <w:numPr>
          <w:ilvl w:val="0"/>
          <w:numId w:val="221"/>
        </w:numPr>
        <w:tabs>
          <w:tab w:val="left" w:pos="0"/>
          <w:tab w:val="left" w:pos="567"/>
        </w:tabs>
        <w:ind w:left="0" w:firstLine="0"/>
      </w:pPr>
      <w:r w:rsidRPr="00BA4F0F">
        <w:t>Дапсон, 100 мг внутрь ежедневно.</w:t>
      </w:r>
    </w:p>
    <w:p w14:paraId="3F49BD14" w14:textId="77777777" w:rsidR="001F2346" w:rsidRPr="00BA4F0F" w:rsidRDefault="001F2346" w:rsidP="00DC0931">
      <w:pPr>
        <w:numPr>
          <w:ilvl w:val="0"/>
          <w:numId w:val="221"/>
        </w:numPr>
        <w:tabs>
          <w:tab w:val="left" w:pos="0"/>
          <w:tab w:val="left" w:pos="567"/>
        </w:tabs>
        <w:ind w:left="0" w:firstLine="0"/>
      </w:pPr>
      <w:r w:rsidRPr="00BA4F0F">
        <w:t>Пентамидин, 300 мг в виде аэрозоля через респираторный ингалятор или внутривенно каждые 3—4 недели.</w:t>
      </w:r>
    </w:p>
    <w:p w14:paraId="0AE7779E" w14:textId="77777777" w:rsidR="001F2346" w:rsidRPr="00BA4F0F" w:rsidRDefault="001F2346" w:rsidP="00DC0931">
      <w:pPr>
        <w:numPr>
          <w:ilvl w:val="0"/>
          <w:numId w:val="266"/>
        </w:numPr>
        <w:tabs>
          <w:tab w:val="left" w:pos="0"/>
          <w:tab w:val="left" w:pos="567"/>
        </w:tabs>
        <w:ind w:left="0" w:firstLine="0"/>
      </w:pPr>
      <w:r w:rsidRPr="00BA4F0F">
        <w:t>Препараты применяют в период цитостатической терапии и в течение всего периода нейтропении.</w:t>
      </w:r>
    </w:p>
    <w:p w14:paraId="6CE4A995" w14:textId="77777777" w:rsidR="001F2346" w:rsidRPr="00BA4F0F" w:rsidRDefault="001F2346" w:rsidP="00DC0931">
      <w:pPr>
        <w:numPr>
          <w:ilvl w:val="0"/>
          <w:numId w:val="266"/>
        </w:numPr>
        <w:tabs>
          <w:tab w:val="left" w:pos="0"/>
          <w:tab w:val="left" w:pos="567"/>
        </w:tabs>
        <w:ind w:left="0" w:firstLine="0"/>
      </w:pPr>
      <w:r w:rsidRPr="00BA4F0F">
        <w:lastRenderedPageBreak/>
        <w:t xml:space="preserve">Использование триметоприма/сульфаметоксазола одновременно предупреждает инфекции, вызываемые </w:t>
      </w:r>
      <w:r w:rsidRPr="00BA4F0F">
        <w:rPr>
          <w:i/>
        </w:rPr>
        <w:t>Toxoplasma gondii, Listeria monocytogenes, Nocardia asteroides</w:t>
      </w:r>
      <w:r w:rsidRPr="00BA4F0F">
        <w:t xml:space="preserve">. </w:t>
      </w:r>
    </w:p>
    <w:p w14:paraId="1B4ABA62" w14:textId="77777777" w:rsidR="001F2346" w:rsidRPr="00BA4F0F" w:rsidRDefault="001F2346" w:rsidP="001F2346">
      <w:pPr>
        <w:tabs>
          <w:tab w:val="left" w:pos="0"/>
          <w:tab w:val="left" w:pos="284"/>
        </w:tabs>
        <w:rPr>
          <w:b/>
        </w:rPr>
      </w:pPr>
      <w:r w:rsidRPr="00BA4F0F">
        <w:t xml:space="preserve">Пациенты, инфицированные </w:t>
      </w:r>
      <w:r w:rsidRPr="00BA4F0F">
        <w:rPr>
          <w:i/>
        </w:rPr>
        <w:t>Pneumocystis jiroveci</w:t>
      </w:r>
      <w:r w:rsidRPr="00BA4F0F">
        <w:t>, не должны находиться в одной палате с другими иммунокомпрометированными больными.</w:t>
      </w:r>
      <w:r w:rsidRPr="00BA4F0F">
        <w:cr/>
      </w:r>
    </w:p>
    <w:p w14:paraId="1CDD01D1" w14:textId="77777777" w:rsidR="001F2346" w:rsidRPr="00BA4F0F" w:rsidRDefault="001F2346" w:rsidP="001F2346">
      <w:pPr>
        <w:pStyle w:val="afe"/>
        <w:ind w:left="0"/>
        <w:rPr>
          <w:rFonts w:cs="Times New Roman"/>
          <w:b/>
          <w:i/>
          <w:szCs w:val="24"/>
        </w:rPr>
      </w:pPr>
      <w:r w:rsidRPr="00BA4F0F">
        <w:rPr>
          <w:rFonts w:cs="Times New Roman"/>
          <w:b/>
          <w:i/>
          <w:szCs w:val="24"/>
        </w:rPr>
        <w:t>Иммуноглобулин человеческий</w:t>
      </w:r>
    </w:p>
    <w:p w14:paraId="659B7BF3" w14:textId="77777777" w:rsidR="001F2346" w:rsidRPr="00BA4F0F" w:rsidRDefault="001F2346" w:rsidP="001F2346">
      <w:pPr>
        <w:pStyle w:val="afe"/>
        <w:ind w:left="0"/>
        <w:rPr>
          <w:szCs w:val="24"/>
        </w:rPr>
      </w:pPr>
      <w:r w:rsidRPr="00BA4F0F">
        <w:rPr>
          <w:rFonts w:cs="Times New Roman"/>
          <w:szCs w:val="24"/>
        </w:rPr>
        <w:t xml:space="preserve">У пациентов после ауто-ТГСК развивается вторичный иммунодефицит. Для коррекции гипогаммаглобулинемии применяют препараты человеческого иммуноглобулина. Человеческий иммуноглобулин, восполняя дефицит антител, снижает риск развития инфекций у больных со вторичным иммунодефицитом. </w:t>
      </w:r>
    </w:p>
    <w:p w14:paraId="18EF0EFE" w14:textId="77777777" w:rsidR="001F2346" w:rsidRPr="00BA4F0F" w:rsidRDefault="001F2346" w:rsidP="001F2346">
      <w:pPr>
        <w:pStyle w:val="afe"/>
        <w:ind w:left="0"/>
        <w:rPr>
          <w:szCs w:val="24"/>
        </w:rPr>
      </w:pPr>
      <w:r w:rsidRPr="00BA4F0F">
        <w:rPr>
          <w:rFonts w:cs="Times New Roman"/>
          <w:szCs w:val="24"/>
        </w:rPr>
        <w:t>До выхода больного из МТА рекомендовано введение препарата внутривенно капельно в дозе 0,4 г/кг еженедельно. При тяжелых бактериальных и вирусных инфекциях рекомендовано 0.4-1 г/кг ежедневно в течение 1-4 дней. Перед введением препарат следует согреть до комнатной температуры или температуры тела. Начальная скорость инфузии - 30 кап/мин (1.65 мл/мин), через 10 мин скорость увеличивают до 40 кап/мин (2.2 мл/мин).</w:t>
      </w:r>
    </w:p>
    <w:p w14:paraId="261EE777" w14:textId="77777777" w:rsidR="001F2346" w:rsidRPr="00BA4F0F" w:rsidRDefault="001F2346" w:rsidP="001F2346">
      <w:pPr>
        <w:rPr>
          <w:b/>
          <w:highlight w:val="green"/>
        </w:rPr>
      </w:pPr>
    </w:p>
    <w:p w14:paraId="0AA274C2" w14:textId="77777777" w:rsidR="001F2346" w:rsidRPr="00BA4F0F" w:rsidRDefault="001F2346" w:rsidP="001F2346">
      <w:pPr>
        <w:rPr>
          <w:b/>
        </w:rPr>
      </w:pPr>
      <w:r w:rsidRPr="00BA4F0F">
        <w:rPr>
          <w:b/>
        </w:rPr>
        <w:t xml:space="preserve"> </w:t>
      </w:r>
      <w:bookmarkStart w:id="160" w:name="_Toc44926639"/>
      <w:r w:rsidRPr="00BA4F0F">
        <w:rPr>
          <w:b/>
        </w:rPr>
        <w:t>Трансфузионная терапия</w:t>
      </w:r>
      <w:bookmarkEnd w:id="160"/>
    </w:p>
    <w:p w14:paraId="1565F69E" w14:textId="77777777" w:rsidR="001F2346" w:rsidRPr="00BA4F0F" w:rsidRDefault="001F2346" w:rsidP="001F2346">
      <w:pPr>
        <w:ind w:firstLine="709"/>
        <w:rPr>
          <w:rFonts w:eastAsia="Calibri"/>
        </w:rPr>
      </w:pPr>
      <w:r w:rsidRPr="00BA4F0F">
        <w:rPr>
          <w:rFonts w:eastAsia="Calibri"/>
        </w:rPr>
        <w:t>В ранний пострансплантационный период в связи с развитием анемии, тромбоцитопении, геморрагического синдрома пациентам требуется заместительная терапия компонентами крови. Чаще всего используются эритроцитная масса, тромбоконцентрат, СЗП</w:t>
      </w:r>
    </w:p>
    <w:p w14:paraId="03B2D176" w14:textId="77777777" w:rsidR="001F2346" w:rsidRPr="00BA4F0F" w:rsidRDefault="001F2346" w:rsidP="001F2346">
      <w:pPr>
        <w:ind w:firstLine="709"/>
        <w:rPr>
          <w:rFonts w:eastAsia="Calibri"/>
        </w:rPr>
      </w:pPr>
      <w:r w:rsidRPr="00BA4F0F">
        <w:rPr>
          <w:rFonts w:eastAsia="Calibri"/>
        </w:rPr>
        <w:t>Показания к переливанию эритроцитсодержащих сред при ауто-ТГСК:</w:t>
      </w:r>
    </w:p>
    <w:p w14:paraId="7E1A48F8" w14:textId="77777777" w:rsidR="001F2346" w:rsidRPr="00BA4F0F" w:rsidRDefault="001F2346" w:rsidP="00DC0931">
      <w:pPr>
        <w:numPr>
          <w:ilvl w:val="0"/>
          <w:numId w:val="274"/>
        </w:numPr>
        <w:ind w:left="0" w:firstLine="709"/>
        <w:contextualSpacing/>
        <w:rPr>
          <w:rFonts w:eastAsia="Calibri"/>
        </w:rPr>
      </w:pPr>
      <w:r w:rsidRPr="00BA4F0F">
        <w:rPr>
          <w:rFonts w:eastAsia="Calibri"/>
        </w:rPr>
        <w:t>Пациентам при значимом снижении гемоглобина и наличии анемических жалоб рекомендованы заместительные трансфузии эритроцитов;</w:t>
      </w:r>
    </w:p>
    <w:p w14:paraId="516E5FA2" w14:textId="77777777" w:rsidR="001F2346" w:rsidRPr="00BA4F0F" w:rsidRDefault="001F2346" w:rsidP="00DC0931">
      <w:pPr>
        <w:numPr>
          <w:ilvl w:val="0"/>
          <w:numId w:val="274"/>
        </w:numPr>
        <w:ind w:left="0" w:firstLine="709"/>
        <w:contextualSpacing/>
        <w:rPr>
          <w:rFonts w:eastAsia="Calibri"/>
        </w:rPr>
      </w:pPr>
      <w:r w:rsidRPr="00BA4F0F">
        <w:rPr>
          <w:rFonts w:eastAsia="Calibri"/>
        </w:rPr>
        <w:t>При активном кровотечении трансфузии эритроцитов показаны при уровне гемоглобина менее 70-90 г/л;</w:t>
      </w:r>
    </w:p>
    <w:p w14:paraId="1257A857" w14:textId="77777777" w:rsidR="001F2346" w:rsidRPr="00BA4F0F" w:rsidRDefault="001F2346" w:rsidP="00DC0931">
      <w:pPr>
        <w:numPr>
          <w:ilvl w:val="0"/>
          <w:numId w:val="274"/>
        </w:numPr>
        <w:ind w:left="0" w:firstLine="709"/>
        <w:contextualSpacing/>
        <w:rPr>
          <w:rFonts w:eastAsia="Calibri"/>
        </w:rPr>
      </w:pPr>
      <w:r w:rsidRPr="00BA4F0F">
        <w:rPr>
          <w:rFonts w:eastAsia="Calibri"/>
        </w:rPr>
        <w:t>Пациентам с тяжелыми инфекционными осложнениями (сепсис, пневмония), кардиопатиями (ИБС, миокардит), субарахноидальным кровоизлиянием,  больным старше 60 лет трансфузии эритроцитов рекомендованы при уровне гемоглобина менее 100 г/л;</w:t>
      </w:r>
    </w:p>
    <w:p w14:paraId="47E1C6F4" w14:textId="77777777" w:rsidR="001F2346" w:rsidRPr="00BA4F0F" w:rsidRDefault="001F2346" w:rsidP="00DC0931">
      <w:pPr>
        <w:numPr>
          <w:ilvl w:val="0"/>
          <w:numId w:val="274"/>
        </w:numPr>
        <w:ind w:left="0" w:firstLine="709"/>
        <w:contextualSpacing/>
        <w:rPr>
          <w:rFonts w:eastAsia="Calibri"/>
        </w:rPr>
      </w:pPr>
      <w:r w:rsidRPr="00BA4F0F">
        <w:rPr>
          <w:rFonts w:eastAsia="Calibri"/>
        </w:rPr>
        <w:t>Пациентам с хронической анемией трансфузии эритроцитов рекомендованы при уровне гемоглобина менее 60 г/л</w:t>
      </w:r>
    </w:p>
    <w:p w14:paraId="3B9A6511" w14:textId="77777777" w:rsidR="001F2346" w:rsidRPr="00BA4F0F" w:rsidRDefault="001F2346" w:rsidP="001F2346">
      <w:pPr>
        <w:ind w:firstLine="709"/>
        <w:rPr>
          <w:rFonts w:eastAsia="Calibri"/>
        </w:rPr>
      </w:pPr>
      <w:r w:rsidRPr="00BA4F0F">
        <w:rPr>
          <w:rFonts w:eastAsia="Calibri"/>
        </w:rPr>
        <w:t>Показания к переливанию концентратата тромбоцитов при ауто-ТГСК:</w:t>
      </w:r>
    </w:p>
    <w:p w14:paraId="2D2422A1" w14:textId="77777777" w:rsidR="001F2346" w:rsidRPr="00BA4F0F" w:rsidRDefault="001F2346" w:rsidP="00DC0931">
      <w:pPr>
        <w:numPr>
          <w:ilvl w:val="0"/>
          <w:numId w:val="275"/>
        </w:numPr>
        <w:ind w:left="0" w:firstLine="709"/>
        <w:contextualSpacing/>
        <w:rPr>
          <w:rFonts w:eastAsia="Calibri"/>
        </w:rPr>
      </w:pPr>
      <w:r w:rsidRPr="00BA4F0F">
        <w:rPr>
          <w:rFonts w:eastAsia="Calibri"/>
        </w:rPr>
        <w:t>Снижение тромбоцитов крови менее 20 ×10</w:t>
      </w:r>
      <w:r w:rsidRPr="00BA4F0F">
        <w:rPr>
          <w:rFonts w:eastAsia="Calibri"/>
          <w:vertAlign w:val="superscript"/>
        </w:rPr>
        <w:t>9</w:t>
      </w:r>
      <w:r w:rsidRPr="00BA4F0F">
        <w:rPr>
          <w:rFonts w:eastAsia="Calibri"/>
        </w:rPr>
        <w:t>/л</w:t>
      </w:r>
    </w:p>
    <w:p w14:paraId="5E515214" w14:textId="77777777" w:rsidR="001F2346" w:rsidRPr="00BA4F0F" w:rsidRDefault="001F2346" w:rsidP="00DC0931">
      <w:pPr>
        <w:numPr>
          <w:ilvl w:val="0"/>
          <w:numId w:val="275"/>
        </w:numPr>
        <w:ind w:left="0" w:firstLine="709"/>
        <w:contextualSpacing/>
        <w:rPr>
          <w:rFonts w:eastAsia="Calibri"/>
        </w:rPr>
      </w:pPr>
      <w:r w:rsidRPr="00BA4F0F">
        <w:rPr>
          <w:rFonts w:eastAsia="Calibri"/>
        </w:rPr>
        <w:lastRenderedPageBreak/>
        <w:t>При необходимости выполнения диагностической люмбальной пункции, малоинвазивного вмешательства (эзофагогастродуоденоскопия, бронхоскопия) трансфузия тромбоконцентрата показана при снижении тромбоцитов крови менее 50 ×10</w:t>
      </w:r>
      <w:r w:rsidRPr="00BA4F0F">
        <w:rPr>
          <w:rFonts w:eastAsia="Calibri"/>
          <w:vertAlign w:val="superscript"/>
        </w:rPr>
        <w:t>9</w:t>
      </w:r>
      <w:r w:rsidRPr="00BA4F0F">
        <w:rPr>
          <w:rFonts w:eastAsia="Calibri"/>
        </w:rPr>
        <w:t>/л</w:t>
      </w:r>
    </w:p>
    <w:p w14:paraId="70C6B011" w14:textId="77777777" w:rsidR="001F2346" w:rsidRPr="00BA4F0F" w:rsidRDefault="001F2346" w:rsidP="00DC0931">
      <w:pPr>
        <w:numPr>
          <w:ilvl w:val="0"/>
          <w:numId w:val="275"/>
        </w:numPr>
        <w:ind w:left="0" w:firstLine="709"/>
        <w:contextualSpacing/>
        <w:rPr>
          <w:rFonts w:eastAsia="Calibri"/>
        </w:rPr>
      </w:pPr>
      <w:r w:rsidRPr="00BA4F0F">
        <w:rPr>
          <w:rFonts w:eastAsia="Calibri"/>
        </w:rPr>
        <w:t>Наличие геморрагического синдрома – прямое показание к переливанию тромбоконцентрата независимо от лабораторных показателей;</w:t>
      </w:r>
    </w:p>
    <w:p w14:paraId="115D5E1C" w14:textId="77777777" w:rsidR="001F2346" w:rsidRPr="00BA4F0F" w:rsidRDefault="001F2346" w:rsidP="001F2346">
      <w:pPr>
        <w:ind w:firstLine="709"/>
        <w:rPr>
          <w:rFonts w:eastAsia="Calibri"/>
        </w:rPr>
      </w:pPr>
      <w:r w:rsidRPr="00BA4F0F">
        <w:rPr>
          <w:rFonts w:eastAsia="Calibri"/>
        </w:rPr>
        <w:t xml:space="preserve">СЗП является универсальным препаратом для восполнения дефицита факторов свертывания. Показания к применению СЗП при ауто-ТГСК: </w:t>
      </w:r>
    </w:p>
    <w:p w14:paraId="45F01B3C" w14:textId="77777777" w:rsidR="001F2346" w:rsidRPr="00BA4F0F" w:rsidRDefault="001F2346" w:rsidP="00DC0931">
      <w:pPr>
        <w:numPr>
          <w:ilvl w:val="0"/>
          <w:numId w:val="276"/>
        </w:numPr>
        <w:ind w:left="0" w:firstLine="709"/>
        <w:contextualSpacing/>
        <w:rPr>
          <w:rFonts w:eastAsia="Calibri"/>
        </w:rPr>
      </w:pPr>
      <w:r w:rsidRPr="00BA4F0F">
        <w:rPr>
          <w:rFonts w:eastAsia="Calibri"/>
        </w:rPr>
        <w:t>Коррекция дефицита известного фактора свертывания, при отсутствии специфического концентрата фактора. Требуется переливание СЗП из расчета 10-15 мл/кг.</w:t>
      </w:r>
    </w:p>
    <w:p w14:paraId="27519614" w14:textId="77777777" w:rsidR="001F2346" w:rsidRPr="00BA4F0F" w:rsidRDefault="001F2346" w:rsidP="00DC0931">
      <w:pPr>
        <w:numPr>
          <w:ilvl w:val="0"/>
          <w:numId w:val="276"/>
        </w:numPr>
        <w:ind w:left="0" w:firstLine="709"/>
        <w:contextualSpacing/>
        <w:rPr>
          <w:rFonts w:eastAsia="Calibri"/>
        </w:rPr>
      </w:pPr>
      <w:r w:rsidRPr="00BA4F0F">
        <w:rPr>
          <w:rFonts w:eastAsia="Calibri"/>
        </w:rPr>
        <w:t>Коррекция геморрагического синдрома</w:t>
      </w:r>
    </w:p>
    <w:p w14:paraId="7FF74977" w14:textId="77777777" w:rsidR="001F2346" w:rsidRPr="00BA4F0F" w:rsidRDefault="001F2346" w:rsidP="001F2346">
      <w:pPr>
        <w:ind w:firstLine="709"/>
        <w:rPr>
          <w:rFonts w:eastAsia="Calibri"/>
        </w:rPr>
      </w:pPr>
      <w:r w:rsidRPr="00BA4F0F">
        <w:rPr>
          <w:rFonts w:eastAsia="Calibri"/>
        </w:rPr>
        <w:t xml:space="preserve">Основным показанием к применению криопреципитата при ауто-ТГСК является гипофибриногенемия (фибриноген менее 1 г/л). </w:t>
      </w:r>
    </w:p>
    <w:p w14:paraId="4CCA5004" w14:textId="77777777" w:rsidR="001F2346" w:rsidRPr="00BA4F0F" w:rsidRDefault="001F2346" w:rsidP="001F2346">
      <w:pPr>
        <w:ind w:firstLine="709"/>
        <w:rPr>
          <w:rFonts w:eastAsia="Calibri"/>
        </w:rPr>
      </w:pPr>
      <w:r w:rsidRPr="00BA4F0F">
        <w:rPr>
          <w:rFonts w:eastAsia="Calibri"/>
        </w:rPr>
        <w:t>Принимая во внимание, что пациенты с онкогематологическими заболеваниями нуждаются в многократных трансфузиях компонентов крови, с целью профилактики нежелательных реакций и посттрансфузионных осложнений рекомендовано использование компонентов крови со следующими характеристиками:</w:t>
      </w:r>
    </w:p>
    <w:p w14:paraId="086C97FA" w14:textId="77777777" w:rsidR="001F2346" w:rsidRPr="00BA4F0F" w:rsidRDefault="001F2346" w:rsidP="00DC0931">
      <w:pPr>
        <w:numPr>
          <w:ilvl w:val="0"/>
          <w:numId w:val="277"/>
        </w:numPr>
        <w:ind w:left="0" w:firstLine="709"/>
        <w:contextualSpacing/>
        <w:rPr>
          <w:rFonts w:eastAsia="Calibri"/>
        </w:rPr>
      </w:pPr>
      <w:r w:rsidRPr="00BA4F0F">
        <w:rPr>
          <w:rFonts w:eastAsia="Calibri"/>
        </w:rPr>
        <w:t>Лейкоредуциорванные среды;</w:t>
      </w:r>
    </w:p>
    <w:p w14:paraId="490F0239" w14:textId="77777777" w:rsidR="001F2346" w:rsidRPr="00BA4F0F" w:rsidRDefault="001F2346" w:rsidP="00DC0931">
      <w:pPr>
        <w:numPr>
          <w:ilvl w:val="0"/>
          <w:numId w:val="277"/>
        </w:numPr>
        <w:ind w:left="0" w:firstLine="709"/>
        <w:contextualSpacing/>
        <w:rPr>
          <w:rFonts w:eastAsia="Calibri"/>
        </w:rPr>
      </w:pPr>
      <w:r w:rsidRPr="00BA4F0F">
        <w:rPr>
          <w:rFonts w:eastAsia="Calibri"/>
        </w:rPr>
        <w:t>Облученные эритроциты и тромбоциты (гамма-излучение или рентгеновское излучение в дозе 25-50 Гр)</w:t>
      </w:r>
    </w:p>
    <w:p w14:paraId="5FD52B95" w14:textId="77777777" w:rsidR="001F2346" w:rsidRPr="00BA4F0F" w:rsidRDefault="001F2346" w:rsidP="00DC0931">
      <w:pPr>
        <w:numPr>
          <w:ilvl w:val="0"/>
          <w:numId w:val="277"/>
        </w:numPr>
        <w:ind w:left="0" w:firstLine="709"/>
        <w:contextualSpacing/>
        <w:rPr>
          <w:rFonts w:eastAsia="Calibri"/>
        </w:rPr>
      </w:pPr>
      <w:r w:rsidRPr="00BA4F0F">
        <w:rPr>
          <w:rFonts w:eastAsia="Calibri"/>
        </w:rPr>
        <w:t>Проведение инактивации патогенов в концентрате тромбоцитов.</w:t>
      </w:r>
    </w:p>
    <w:p w14:paraId="0FF5DC08" w14:textId="77777777" w:rsidR="001F2346" w:rsidRPr="00BA4F0F" w:rsidRDefault="001F2346" w:rsidP="001F2346">
      <w:pPr>
        <w:rPr>
          <w:b/>
          <w:highlight w:val="green"/>
        </w:rPr>
      </w:pPr>
    </w:p>
    <w:p w14:paraId="6606DDC5" w14:textId="77777777" w:rsidR="001F2346" w:rsidRPr="00BA4F0F" w:rsidRDefault="001F2346" w:rsidP="001F2346">
      <w:pPr>
        <w:rPr>
          <w:b/>
        </w:rPr>
      </w:pPr>
      <w:r w:rsidRPr="00BA4F0F">
        <w:rPr>
          <w:b/>
        </w:rPr>
        <w:t xml:space="preserve"> </w:t>
      </w:r>
      <w:bookmarkStart w:id="161" w:name="_Toc44926640"/>
      <w:r w:rsidRPr="00BA4F0F">
        <w:rPr>
          <w:b/>
        </w:rPr>
        <w:t>Лабораторный и инструментальный мониторинг в раннем посттрансплантационном периоде</w:t>
      </w:r>
      <w:bookmarkEnd w:id="161"/>
    </w:p>
    <w:p w14:paraId="3076B79E" w14:textId="77777777" w:rsidR="001F2346" w:rsidRPr="00BA4F0F" w:rsidRDefault="001F2346" w:rsidP="001F2346">
      <w:pPr>
        <w:ind w:firstLine="709"/>
        <w:contextualSpacing/>
        <w:rPr>
          <w:rFonts w:eastAsia="Calibri"/>
        </w:rPr>
      </w:pPr>
      <w:r w:rsidRPr="00BA4F0F">
        <w:rPr>
          <w:rFonts w:eastAsia="Calibri"/>
        </w:rPr>
        <w:t xml:space="preserve">Всем пациентам в раннем посттрансплантационном периоде проводится регулярное исследование общего анализа крови (с целью коррекции анемии и тромбоцитопении), биохимических параметров (с целью коррекции электролитов, гипоальбуминемии), показателей коагулограммы с целью контроля гемостаза, общий анализ мочи, электрокардиограмма и др. методы исследования при необходимости, включая КТ легких, МРТ головного мозга, ХОЛТЕР-ЭКГ. </w:t>
      </w:r>
    </w:p>
    <w:p w14:paraId="556EF533" w14:textId="77777777" w:rsidR="001F2346" w:rsidRPr="00BA4F0F" w:rsidRDefault="001F2346" w:rsidP="001F2346">
      <w:pPr>
        <w:ind w:firstLine="709"/>
        <w:contextualSpacing/>
        <w:rPr>
          <w:rFonts w:eastAsia="Calibri"/>
        </w:rPr>
      </w:pPr>
      <w:r w:rsidRPr="00BA4F0F">
        <w:rPr>
          <w:rFonts w:eastAsia="Calibri"/>
        </w:rPr>
        <w:t>Частота исследования данных показателей может изменяться в зависимости от конкретной клинической ситуации.</w:t>
      </w:r>
    </w:p>
    <w:p w14:paraId="1CC18656" w14:textId="77777777" w:rsidR="001F2346" w:rsidRPr="00BA4F0F" w:rsidRDefault="001F2346" w:rsidP="001F2346">
      <w:pPr>
        <w:ind w:left="709" w:hanging="709"/>
        <w:contextualSpacing/>
        <w:rPr>
          <w:rFonts w:eastAsia="Calibri"/>
        </w:rPr>
      </w:pPr>
      <w:r w:rsidRPr="00BA4F0F">
        <w:rPr>
          <w:rFonts w:eastAsia="Calibri"/>
        </w:rPr>
        <w:t>• Общий анализ крови 1 раз в 2–3 дня.</w:t>
      </w:r>
    </w:p>
    <w:p w14:paraId="474B5ECB" w14:textId="77777777" w:rsidR="001F2346" w:rsidRPr="00BA4F0F" w:rsidRDefault="001F2346" w:rsidP="001F2346">
      <w:pPr>
        <w:ind w:left="709" w:hanging="709"/>
        <w:contextualSpacing/>
        <w:rPr>
          <w:rFonts w:eastAsia="Calibri"/>
        </w:rPr>
      </w:pPr>
      <w:r w:rsidRPr="00BA4F0F">
        <w:rPr>
          <w:rFonts w:eastAsia="Calibri"/>
        </w:rPr>
        <w:t>• Биохимический анализ крови 1 раз в 2–3 дня.</w:t>
      </w:r>
    </w:p>
    <w:p w14:paraId="31806B83" w14:textId="77777777" w:rsidR="001F2346" w:rsidRPr="00BA4F0F" w:rsidRDefault="001F2346" w:rsidP="001F2346">
      <w:pPr>
        <w:ind w:left="709" w:hanging="709"/>
        <w:contextualSpacing/>
        <w:rPr>
          <w:rFonts w:eastAsia="Calibri"/>
        </w:rPr>
      </w:pPr>
      <w:r w:rsidRPr="00BA4F0F">
        <w:rPr>
          <w:rFonts w:eastAsia="Calibri"/>
        </w:rPr>
        <w:t>• Коагулограмма 1 раз в 3–4 дня.</w:t>
      </w:r>
    </w:p>
    <w:p w14:paraId="26A94B4C" w14:textId="77777777" w:rsidR="001F2346" w:rsidRPr="00BA4F0F" w:rsidRDefault="001F2346" w:rsidP="001F2346">
      <w:pPr>
        <w:ind w:left="709" w:hanging="709"/>
        <w:contextualSpacing/>
        <w:rPr>
          <w:rFonts w:eastAsia="Calibri"/>
        </w:rPr>
      </w:pPr>
      <w:r w:rsidRPr="00BA4F0F">
        <w:rPr>
          <w:rFonts w:eastAsia="Calibri"/>
        </w:rPr>
        <w:t>• Глюкоза крови 1 раз в 3–4 дня.</w:t>
      </w:r>
    </w:p>
    <w:p w14:paraId="47BA59C2" w14:textId="77777777" w:rsidR="001F2346" w:rsidRPr="00BA4F0F" w:rsidRDefault="001F2346" w:rsidP="001F2346">
      <w:pPr>
        <w:ind w:left="709" w:hanging="709"/>
        <w:contextualSpacing/>
        <w:rPr>
          <w:rFonts w:eastAsia="Calibri"/>
        </w:rPr>
      </w:pPr>
      <w:r w:rsidRPr="00BA4F0F">
        <w:rPr>
          <w:rFonts w:eastAsia="Calibri"/>
        </w:rPr>
        <w:lastRenderedPageBreak/>
        <w:t>• Общий анализ мочи - еженедельно.</w:t>
      </w:r>
    </w:p>
    <w:p w14:paraId="53123554" w14:textId="77777777" w:rsidR="001F2346" w:rsidRPr="00BA4F0F" w:rsidRDefault="001F2346" w:rsidP="001F2346">
      <w:pPr>
        <w:ind w:left="709" w:hanging="709"/>
        <w:contextualSpacing/>
        <w:rPr>
          <w:rFonts w:eastAsia="Calibri"/>
        </w:rPr>
      </w:pPr>
      <w:r w:rsidRPr="00BA4F0F">
        <w:rPr>
          <w:rFonts w:eastAsia="Calibri"/>
        </w:rPr>
        <w:t>• Электрокардиограмма - еженедельно.</w:t>
      </w:r>
    </w:p>
    <w:p w14:paraId="7C94A6C9" w14:textId="77777777" w:rsidR="001F2346" w:rsidRPr="00BA4F0F" w:rsidRDefault="001F2346" w:rsidP="001F2346">
      <w:pPr>
        <w:rPr>
          <w:b/>
          <w:highlight w:val="green"/>
        </w:rPr>
      </w:pPr>
      <w:bookmarkStart w:id="162" w:name="_Toc44926641"/>
    </w:p>
    <w:p w14:paraId="6DCF73F7" w14:textId="77777777" w:rsidR="001F2346" w:rsidRPr="00BA4F0F" w:rsidRDefault="001F2346" w:rsidP="001F2346">
      <w:pPr>
        <w:rPr>
          <w:b/>
        </w:rPr>
      </w:pPr>
      <w:r w:rsidRPr="00BA4F0F">
        <w:rPr>
          <w:b/>
        </w:rPr>
        <w:t>Нутритивная терапия</w:t>
      </w:r>
      <w:bookmarkEnd w:id="162"/>
    </w:p>
    <w:p w14:paraId="4AA0A9D0" w14:textId="77777777" w:rsidR="001F2346" w:rsidRPr="00BA4F0F" w:rsidRDefault="001F2346" w:rsidP="001F2346">
      <w:pPr>
        <w:ind w:firstLine="851"/>
      </w:pPr>
      <w:r w:rsidRPr="00BA4F0F">
        <w:t>Высокодозная химиотерапия с последующей ауто-ТГСК, длительный период гранулоцитопении, инфекционные осложнения, продолжительный период нахождения в стационаре – основные причины, приводящие к снижению поступления питательных веществ в организм и как следствие общей слабости, снижению физической активности, значимому уменьшению массы тела.</w:t>
      </w:r>
    </w:p>
    <w:p w14:paraId="109F7DBC" w14:textId="31A1DE81" w:rsidR="001F2346" w:rsidRPr="00BA4F0F" w:rsidRDefault="001F2346" w:rsidP="001F2346">
      <w:pPr>
        <w:ind w:firstLine="851"/>
      </w:pPr>
      <w:r w:rsidRPr="00BA4F0F">
        <w:t xml:space="preserve">Недостаточным следует считать питание, при котором пациент не может сам обеспечить поступление более чем 60% от своих энергетических потребностей в течение 1–2 недель </w:t>
      </w:r>
      <w:r w:rsidRPr="00BA4F0F">
        <w:fldChar w:fldCharType="begin" w:fldLock="1"/>
      </w:r>
      <w:r w:rsidR="002736BA">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d1a841f7-cf41-3658-b869-ec5c58850b6d","http://www.mendeley.com/documents/?uuid=b7d0213d-9037-458b-9137-8ba92417f389","http://www.mendeley.com/documents/?uuid=09a52a75-b0e4-4371-af21-5958257d9c6b","http://www.mendeley.com/documents/?uuid=a93dd076-f883-470f-9078-09d5bea12d18","http://www.mendeley.com/documents/?uuid=260337e2-8643-4a98-b22a-51f427e64df0","http://www.mendeley.com/documents/?uuid=d8f4044a-9d39-4071-8266-cbd0ae05b0d9","http://www.mendeley.com/documents/?uuid=a6673349-099e-4c86-922d-b6b69b73ee38"]},{"id":"ITEM-2","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Oncology","id":"ITEM-2","issue":"5","issued":{"date-parts":[["2018","5"]]},"page":"619-629","publisher":"Springer-Verlag Italia s.r.l.","title":"Nutritional support and parenteral nutrition in cancer patients: an expert consensus report","type":"article-journal","volume":"20"},"uris":["http://www.mendeley.com/documents/?uuid=555471fe-b9e3-303f-adcc-eecf69d63698","http://www.mendeley.com/documents/?uuid=ed2f4812-c506-484a-afb7-1bb5dae57ffb","http://www.mendeley.com/documents/?uuid=ddeb6586-712b-4c69-81e8-8e7e497e2d57","http://www.mendeley.com/documents/?uuid=99911acc-feb8-4597-a8e1-899d1f00b719","http://www.mendeley.com/documents/?uuid=dc45015e-2bbd-4e0a-8302-25dcb06c3c4c","http://www.mendeley.com/documents/?uuid=4a1cad31-99e3-4cf2-93ad-17d966d60db9","http://www.mendeley.com/documents/?uuid=c83d4cd9-a0be-448a-84b5-000651ccfa6e"]}],"mendeley":{"formattedCitation":"[263,264]","plainTextFormattedCitation":"[263,264]","previouslyFormattedCitation":"[263,264]"},"properties":{"noteIndex":0},"schema":"https://github.com/citation-style-language/schema/raw/master/csl-citation.json"}</w:instrText>
      </w:r>
      <w:r w:rsidRPr="00BA4F0F">
        <w:fldChar w:fldCharType="separate"/>
      </w:r>
      <w:r w:rsidR="006E1ADA" w:rsidRPr="006E1ADA">
        <w:rPr>
          <w:noProof/>
        </w:rPr>
        <w:t>[263,264]</w:t>
      </w:r>
      <w:r w:rsidRPr="00BA4F0F">
        <w:fldChar w:fldCharType="end"/>
      </w:r>
      <w:r w:rsidRPr="00BA4F0F">
        <w:t>.</w:t>
      </w:r>
    </w:p>
    <w:p w14:paraId="51A761B9" w14:textId="7311D0D7" w:rsidR="001F2346" w:rsidRPr="00BA4F0F" w:rsidRDefault="001F2346" w:rsidP="001F2346">
      <w:pPr>
        <w:ind w:firstLine="851"/>
      </w:pPr>
      <w:r w:rsidRPr="00BA4F0F">
        <w:t xml:space="preserve">По данным ESPEN от 46 до 88% больных онкологического профиля в процессе противоопухолевого лечения требуют дополнительной нутритивной поддержке </w:t>
      </w:r>
      <w:r w:rsidRPr="00BA4F0F">
        <w:fldChar w:fldCharType="begin" w:fldLock="1"/>
      </w:r>
      <w:r w:rsidR="002736BA">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id":"ITEM-2","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А.И.","non-dropping-particle":"","parse-names":false,"suffix":""}],"id":"ITEM-2","issued":{"date-parts":[["2014"]]},"title":"Клинические рекомендации по нутритивной поддержке при химиотерапии и/или лучевой терапии","type":"report"},"uris":["http://www.mendeley.com/documents/?uuid=fa470355-bcfd-3bef-a7a1-086215509c2d","http://www.mendeley.com/documents/?uuid=2da28a52-fa64-480f-9c45-312b59a7027b","http://www.mendeley.com/documents/?uuid=17acaf09-3d29-4b25-b43e-598e8835165d","http://www.mendeley.com/documents/?uuid=113bc17a-cb71-4ba2-afb9-083757d46c9b","http://www.mendeley.com/documents/?uuid=2db47854-c914-42bd-bd4d-a19b47e78e0d","http://www.mendeley.com/documents/?uuid=2475f28c-b7e0-408d-8d85-bd890e4862de","http://www.mendeley.com/documents/?uuid=59e000a3-48e0-4529-8954-5598c41cc72e"]}],"mendeley":{"formattedCitation":"[264,265]","plainTextFormattedCitation":"[264,265]","previouslyFormattedCitation":"[264,265]"},"properties":{"noteIndex":0},"schema":"https://github.com/citation-style-language/schema/raw/master/csl-citation.json"}</w:instrText>
      </w:r>
      <w:r w:rsidRPr="00BA4F0F">
        <w:fldChar w:fldCharType="separate"/>
      </w:r>
      <w:r w:rsidR="006E1ADA" w:rsidRPr="006E1ADA">
        <w:rPr>
          <w:noProof/>
        </w:rPr>
        <w:t>[264,265]</w:t>
      </w:r>
      <w:r w:rsidRPr="00BA4F0F">
        <w:fldChar w:fldCharType="end"/>
      </w:r>
      <w:r w:rsidRPr="00BA4F0F">
        <w:t>.</w:t>
      </w:r>
    </w:p>
    <w:p w14:paraId="1D5CDA8A" w14:textId="400F5E80" w:rsidR="001F2346" w:rsidRPr="00BA4F0F" w:rsidRDefault="001F2346" w:rsidP="001F2346">
      <w:pPr>
        <w:ind w:firstLine="851"/>
      </w:pPr>
      <w:r w:rsidRPr="00BA4F0F">
        <w:t xml:space="preserve">Нутритивная поддержка – это способ обеспечения полноценного питания больных с использованием специальных средств, максимально сбалансированных в количественном и качественном соотношении. Нутритивная поддержка необходима не только для поддержания метаболических резервов организма, но и для повышения его устойчивости к проводимой терапии </w:t>
      </w:r>
      <w:r w:rsidRPr="00BA4F0F">
        <w:fldChar w:fldCharType="begin" w:fldLock="1"/>
      </w:r>
      <w:r w:rsidR="002736BA">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Nutrition","id":"ITEM-2","issue":"1","issued":{"date-parts":[["2017"]]},"page":"11-48","publisher":"Churchill Livingstone","title":"ESPEN guidelines on nutrition in cancer patients","type":"article-journal","volume":"36"},"uris":["http://www.mendeley.com/documents/?uuid=2586b0c4-9eb6-4463-a0ba-87fe84fbad8f"]}],"mendeley":{"formattedCitation":"[204,263]","plainTextFormattedCitation":"[204,263]","previouslyFormattedCitation":"[204,263]"},"properties":{"noteIndex":0},"schema":"https://github.com/citation-style-language/schema/raw/master/csl-citation.json"}</w:instrText>
      </w:r>
      <w:r w:rsidRPr="00BA4F0F">
        <w:fldChar w:fldCharType="separate"/>
      </w:r>
      <w:r w:rsidR="006E1ADA" w:rsidRPr="006E1ADA">
        <w:rPr>
          <w:noProof/>
        </w:rPr>
        <w:t>[204,263]</w:t>
      </w:r>
      <w:r w:rsidRPr="00BA4F0F">
        <w:fldChar w:fldCharType="end"/>
      </w:r>
      <w:r w:rsidRPr="00BA4F0F">
        <w:t>.</w:t>
      </w:r>
    </w:p>
    <w:p w14:paraId="0E389BEE" w14:textId="77777777" w:rsidR="001F2346" w:rsidRPr="00BA4F0F" w:rsidRDefault="001F2346" w:rsidP="001F2346">
      <w:pPr>
        <w:rPr>
          <w:u w:val="single"/>
        </w:rPr>
      </w:pPr>
    </w:p>
    <w:p w14:paraId="2CC2AAFD" w14:textId="0C4EB667" w:rsidR="001F2346" w:rsidRPr="00BA4F0F" w:rsidRDefault="001F2346" w:rsidP="001F2346">
      <w:pPr>
        <w:rPr>
          <w:u w:val="single"/>
        </w:rPr>
      </w:pPr>
      <w:r w:rsidRPr="00BA4F0F">
        <w:rPr>
          <w:u w:val="single"/>
        </w:rPr>
        <w:t>Цели нутритивной поддержки</w:t>
      </w:r>
      <w:r w:rsidRPr="00BA4F0F">
        <w:rPr>
          <w:u w:val="single"/>
          <w:lang w:val="en-US"/>
        </w:rPr>
        <w:t xml:space="preserve"> </w:t>
      </w:r>
      <w:r w:rsidRPr="00BA4F0F">
        <w:fldChar w:fldCharType="begin" w:fldLock="1"/>
      </w:r>
      <w:r w:rsidR="002736BA">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d1a841f7-cf41-3658-b869-ec5c58850b6d","http://www.mendeley.com/documents/?uuid=b7d0213d-9037-458b-9137-8ba92417f389","http://www.mendeley.com/documents/?uuid=09a52a75-b0e4-4371-af21-5958257d9c6b","http://www.mendeley.com/documents/?uuid=a93dd076-f883-470f-9078-09d5bea12d18","http://www.mendeley.com/documents/?uuid=260337e2-8643-4a98-b22a-51f427e64df0","http://www.mendeley.com/documents/?uuid=d8f4044a-9d39-4071-8266-cbd0ae05b0d9","http://www.mendeley.com/documents/?uuid=a6673349-099e-4c86-922d-b6b69b73ee38"]},{"id":"ITEM-2","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Oncology","id":"ITEM-2","issue":"5","issued":{"date-parts":[["2018","5"]]},"page":"619-629","publisher":"Springer-Verlag Italia s.r.l.","title":"Nutritional support and parenteral nutrition in cancer patients: an expert consensus report","type":"article-journal","volume":"20"},"uris":["http://www.mendeley.com/documents/?uuid=555471fe-b9e3-303f-adcc-eecf69d63698","http://www.mendeley.com/documents/?uuid=ed2f4812-c506-484a-afb7-1bb5dae57ffb","http://www.mendeley.com/documents/?uuid=ddeb6586-712b-4c69-81e8-8e7e497e2d57","http://www.mendeley.com/documents/?uuid=99911acc-feb8-4597-a8e1-899d1f00b719","http://www.mendeley.com/documents/?uuid=dc45015e-2bbd-4e0a-8302-25dcb06c3c4c","http://www.mendeley.com/documents/?uuid=4a1cad31-99e3-4cf2-93ad-17d966d60db9","http://www.mendeley.com/documents/?uuid=c83d4cd9-a0be-448a-84b5-000651ccfa6e"]}],"mendeley":{"formattedCitation":"[263,264]","plainTextFormattedCitation":"[263,264]","previouslyFormattedCitation":"[263,264]"},"properties":{"noteIndex":0},"schema":"https://github.com/citation-style-language/schema/raw/master/csl-citation.json"}</w:instrText>
      </w:r>
      <w:r w:rsidRPr="00BA4F0F">
        <w:fldChar w:fldCharType="separate"/>
      </w:r>
      <w:r w:rsidR="006E1ADA" w:rsidRPr="006E1ADA">
        <w:rPr>
          <w:noProof/>
        </w:rPr>
        <w:t>[263,264]</w:t>
      </w:r>
      <w:r w:rsidRPr="00BA4F0F">
        <w:fldChar w:fldCharType="end"/>
      </w:r>
      <w:r w:rsidRPr="00BA4F0F">
        <w:rPr>
          <w:u w:val="single"/>
        </w:rPr>
        <w:t xml:space="preserve">. </w:t>
      </w:r>
    </w:p>
    <w:p w14:paraId="43268839" w14:textId="77777777" w:rsidR="001F2346" w:rsidRPr="00BA4F0F" w:rsidRDefault="001F2346" w:rsidP="001F2346">
      <w:pPr>
        <w:ind w:firstLine="142"/>
      </w:pPr>
      <w:r w:rsidRPr="00BA4F0F">
        <w:t>• Поддержание оптимальной массы тела.</w:t>
      </w:r>
    </w:p>
    <w:p w14:paraId="3844C428" w14:textId="77777777" w:rsidR="001F2346" w:rsidRPr="00BA4F0F" w:rsidRDefault="001F2346" w:rsidP="001F2346">
      <w:pPr>
        <w:ind w:firstLine="142"/>
      </w:pPr>
      <w:r w:rsidRPr="00BA4F0F">
        <w:t>• Предотвращение или коррекция дефицита макро- и микронутриентов.</w:t>
      </w:r>
    </w:p>
    <w:p w14:paraId="4125F704" w14:textId="77777777" w:rsidR="001F2346" w:rsidRPr="00BA4F0F" w:rsidRDefault="001F2346" w:rsidP="001F2346">
      <w:pPr>
        <w:ind w:firstLine="142"/>
      </w:pPr>
      <w:r w:rsidRPr="00BA4F0F">
        <w:t>• Повышение переносимости высокодозной ХТ.</w:t>
      </w:r>
    </w:p>
    <w:p w14:paraId="68822F0A" w14:textId="77777777" w:rsidR="001F2346" w:rsidRPr="00BA4F0F" w:rsidRDefault="001F2346" w:rsidP="001F2346">
      <w:pPr>
        <w:ind w:firstLine="142"/>
      </w:pPr>
      <w:r w:rsidRPr="00BA4F0F">
        <w:t>• Снижение выраженности побочных эффектов ХТ.</w:t>
      </w:r>
    </w:p>
    <w:p w14:paraId="6553839F" w14:textId="77777777" w:rsidR="001F2346" w:rsidRPr="00BA4F0F" w:rsidRDefault="001F2346" w:rsidP="001F2346">
      <w:pPr>
        <w:ind w:firstLine="142"/>
      </w:pPr>
      <w:r w:rsidRPr="00BA4F0F">
        <w:t>• Повышение качества жизни.</w:t>
      </w:r>
    </w:p>
    <w:p w14:paraId="4FED67AB" w14:textId="77777777" w:rsidR="001F2346" w:rsidRPr="00BA4F0F" w:rsidRDefault="001F2346" w:rsidP="001F2346">
      <w:pPr>
        <w:rPr>
          <w:u w:val="single"/>
        </w:rPr>
      </w:pPr>
    </w:p>
    <w:p w14:paraId="61AEDD17" w14:textId="77777777" w:rsidR="001F2346" w:rsidRPr="00BA4F0F" w:rsidRDefault="001F2346" w:rsidP="001F2346">
      <w:pPr>
        <w:rPr>
          <w:u w:val="single"/>
        </w:rPr>
      </w:pPr>
      <w:r w:rsidRPr="00BA4F0F">
        <w:rPr>
          <w:u w:val="single"/>
        </w:rPr>
        <w:t xml:space="preserve">Показания к нутритивной поддержке </w:t>
      </w:r>
    </w:p>
    <w:p w14:paraId="0C64B09F" w14:textId="77777777" w:rsidR="001F2346" w:rsidRPr="00BA4F0F" w:rsidRDefault="001F2346" w:rsidP="001F2346">
      <w:pPr>
        <w:ind w:firstLine="851"/>
      </w:pPr>
      <w:r w:rsidRPr="00BA4F0F">
        <w:t>Скрининг недостаточности питания должен проводиться на протяжении всего периода лечения. Для диагностики степени недостаточности питания предложено много критериев, основными из которых являются:</w:t>
      </w:r>
    </w:p>
    <w:p w14:paraId="0DD88182" w14:textId="77777777" w:rsidR="001F2346" w:rsidRPr="00BA4F0F" w:rsidRDefault="001F2346" w:rsidP="00DC0931">
      <w:pPr>
        <w:pStyle w:val="afe"/>
        <w:numPr>
          <w:ilvl w:val="0"/>
          <w:numId w:val="280"/>
        </w:numPr>
        <w:ind w:left="567" w:hanging="425"/>
        <w:rPr>
          <w:rFonts w:cs="Times New Roman"/>
          <w:szCs w:val="24"/>
        </w:rPr>
      </w:pPr>
      <w:r w:rsidRPr="00BA4F0F">
        <w:rPr>
          <w:rFonts w:cs="Times New Roman"/>
          <w:szCs w:val="24"/>
        </w:rPr>
        <w:t>индекс массы тела &lt; 20 кг/м2;</w:t>
      </w:r>
    </w:p>
    <w:p w14:paraId="45ECFF1D" w14:textId="77777777" w:rsidR="001F2346" w:rsidRPr="00BA4F0F" w:rsidRDefault="001F2346" w:rsidP="00DC0931">
      <w:pPr>
        <w:pStyle w:val="afe"/>
        <w:numPr>
          <w:ilvl w:val="0"/>
          <w:numId w:val="280"/>
        </w:numPr>
        <w:ind w:left="567" w:hanging="425"/>
        <w:rPr>
          <w:rFonts w:cs="Times New Roman"/>
          <w:szCs w:val="24"/>
        </w:rPr>
      </w:pPr>
      <w:r w:rsidRPr="00BA4F0F">
        <w:rPr>
          <w:rFonts w:cs="Times New Roman"/>
          <w:szCs w:val="24"/>
        </w:rPr>
        <w:t>темп потери массы тела;</w:t>
      </w:r>
    </w:p>
    <w:p w14:paraId="3003DFCA" w14:textId="77777777" w:rsidR="001F2346" w:rsidRPr="00BA4F0F" w:rsidRDefault="001F2346" w:rsidP="00DC0931">
      <w:pPr>
        <w:pStyle w:val="afe"/>
        <w:numPr>
          <w:ilvl w:val="0"/>
          <w:numId w:val="280"/>
        </w:numPr>
        <w:ind w:left="567" w:hanging="425"/>
        <w:rPr>
          <w:rFonts w:cs="Times New Roman"/>
          <w:szCs w:val="24"/>
        </w:rPr>
      </w:pPr>
      <w:r w:rsidRPr="00BA4F0F">
        <w:rPr>
          <w:rFonts w:cs="Times New Roman"/>
          <w:szCs w:val="24"/>
        </w:rPr>
        <w:t>гипопротеинемия &lt; 60 г/л или гипоальбуминемия &lt; 30 г/л.;</w:t>
      </w:r>
    </w:p>
    <w:p w14:paraId="1FAD2393" w14:textId="77777777" w:rsidR="001F2346" w:rsidRPr="00BA4F0F" w:rsidRDefault="001F2346" w:rsidP="00DC0931">
      <w:pPr>
        <w:pStyle w:val="afe"/>
        <w:numPr>
          <w:ilvl w:val="0"/>
          <w:numId w:val="280"/>
        </w:numPr>
        <w:ind w:left="567" w:hanging="425"/>
        <w:rPr>
          <w:rFonts w:cs="Times New Roman"/>
          <w:szCs w:val="24"/>
        </w:rPr>
      </w:pPr>
      <w:r w:rsidRPr="00BA4F0F">
        <w:rPr>
          <w:rFonts w:cs="Times New Roman"/>
          <w:szCs w:val="24"/>
        </w:rPr>
        <w:t>невозможность адекватного энтерального питания;</w:t>
      </w:r>
    </w:p>
    <w:p w14:paraId="503A740D" w14:textId="77777777" w:rsidR="001F2346" w:rsidRPr="00BA4F0F" w:rsidRDefault="001F2346" w:rsidP="00DC0931">
      <w:pPr>
        <w:pStyle w:val="afe"/>
        <w:numPr>
          <w:ilvl w:val="0"/>
          <w:numId w:val="280"/>
        </w:numPr>
        <w:ind w:left="567" w:hanging="425"/>
        <w:rPr>
          <w:rFonts w:cs="Times New Roman"/>
          <w:szCs w:val="24"/>
        </w:rPr>
      </w:pPr>
      <w:r w:rsidRPr="00BA4F0F">
        <w:rPr>
          <w:rFonts w:cs="Times New Roman"/>
          <w:szCs w:val="24"/>
        </w:rPr>
        <w:lastRenderedPageBreak/>
        <w:t xml:space="preserve">побочные проявления высокодозной химиотерапии: </w:t>
      </w:r>
    </w:p>
    <w:p w14:paraId="6D82F2A8" w14:textId="77777777" w:rsidR="001F2346" w:rsidRPr="00BA4F0F" w:rsidRDefault="001F2346" w:rsidP="00DC0931">
      <w:pPr>
        <w:pStyle w:val="afe"/>
        <w:numPr>
          <w:ilvl w:val="0"/>
          <w:numId w:val="280"/>
        </w:numPr>
        <w:ind w:left="567" w:hanging="425"/>
        <w:rPr>
          <w:rFonts w:cs="Times New Roman"/>
          <w:szCs w:val="24"/>
        </w:rPr>
      </w:pPr>
      <w:r w:rsidRPr="00BA4F0F">
        <w:rPr>
          <w:rFonts w:cs="Times New Roman"/>
          <w:szCs w:val="24"/>
        </w:rPr>
        <w:t>тошнота,</w:t>
      </w:r>
    </w:p>
    <w:p w14:paraId="53A4125D" w14:textId="77777777" w:rsidR="001F2346" w:rsidRPr="00BA4F0F" w:rsidRDefault="001F2346" w:rsidP="00DC0931">
      <w:pPr>
        <w:pStyle w:val="afe"/>
        <w:numPr>
          <w:ilvl w:val="0"/>
          <w:numId w:val="280"/>
        </w:numPr>
        <w:ind w:left="567" w:hanging="425"/>
        <w:rPr>
          <w:rFonts w:cs="Times New Roman"/>
          <w:szCs w:val="24"/>
        </w:rPr>
      </w:pPr>
      <w:r w:rsidRPr="00BA4F0F">
        <w:rPr>
          <w:rFonts w:cs="Times New Roman"/>
          <w:szCs w:val="24"/>
        </w:rPr>
        <w:t xml:space="preserve">рвота, </w:t>
      </w:r>
    </w:p>
    <w:p w14:paraId="58615306" w14:textId="77777777" w:rsidR="001F2346" w:rsidRPr="00BA4F0F" w:rsidRDefault="001F2346" w:rsidP="00DC0931">
      <w:pPr>
        <w:pStyle w:val="afe"/>
        <w:numPr>
          <w:ilvl w:val="0"/>
          <w:numId w:val="280"/>
        </w:numPr>
        <w:ind w:left="567" w:hanging="425"/>
        <w:rPr>
          <w:rFonts w:cs="Times New Roman"/>
          <w:szCs w:val="24"/>
        </w:rPr>
      </w:pPr>
      <w:r w:rsidRPr="00BA4F0F">
        <w:rPr>
          <w:rFonts w:cs="Times New Roman"/>
          <w:szCs w:val="24"/>
        </w:rPr>
        <w:t xml:space="preserve">потеря аппетита, </w:t>
      </w:r>
    </w:p>
    <w:p w14:paraId="28BAF3D5" w14:textId="77777777" w:rsidR="001F2346" w:rsidRPr="00BA4F0F" w:rsidRDefault="001F2346" w:rsidP="00DC0931">
      <w:pPr>
        <w:pStyle w:val="afe"/>
        <w:numPr>
          <w:ilvl w:val="0"/>
          <w:numId w:val="280"/>
        </w:numPr>
        <w:ind w:left="567" w:hanging="425"/>
        <w:rPr>
          <w:rFonts w:cs="Times New Roman"/>
          <w:szCs w:val="24"/>
        </w:rPr>
      </w:pPr>
      <w:r w:rsidRPr="00BA4F0F">
        <w:rPr>
          <w:rFonts w:cs="Times New Roman"/>
          <w:szCs w:val="24"/>
        </w:rPr>
        <w:t xml:space="preserve">дисфагия, </w:t>
      </w:r>
    </w:p>
    <w:p w14:paraId="27290660" w14:textId="77777777" w:rsidR="001F2346" w:rsidRPr="00BA4F0F" w:rsidRDefault="001F2346" w:rsidP="00DC0931">
      <w:pPr>
        <w:pStyle w:val="afe"/>
        <w:numPr>
          <w:ilvl w:val="0"/>
          <w:numId w:val="280"/>
        </w:numPr>
        <w:ind w:left="567" w:hanging="425"/>
        <w:rPr>
          <w:rFonts w:cs="Times New Roman"/>
          <w:szCs w:val="24"/>
        </w:rPr>
      </w:pPr>
      <w:r w:rsidRPr="00BA4F0F">
        <w:rPr>
          <w:rFonts w:cs="Times New Roman"/>
          <w:szCs w:val="24"/>
        </w:rPr>
        <w:t>мукозиты различной степени тяжести,</w:t>
      </w:r>
    </w:p>
    <w:p w14:paraId="6BE65C1A" w14:textId="77777777" w:rsidR="001F2346" w:rsidRPr="00BA4F0F" w:rsidRDefault="001F2346" w:rsidP="00DC0931">
      <w:pPr>
        <w:pStyle w:val="afe"/>
        <w:numPr>
          <w:ilvl w:val="0"/>
          <w:numId w:val="280"/>
        </w:numPr>
        <w:ind w:left="567" w:hanging="425"/>
        <w:rPr>
          <w:rFonts w:cs="Times New Roman"/>
          <w:szCs w:val="24"/>
        </w:rPr>
      </w:pPr>
      <w:r w:rsidRPr="00BA4F0F">
        <w:rPr>
          <w:rFonts w:cs="Times New Roman"/>
          <w:szCs w:val="24"/>
        </w:rPr>
        <w:t xml:space="preserve">нарушения вкуса и обоняния, </w:t>
      </w:r>
    </w:p>
    <w:p w14:paraId="7F68395E" w14:textId="77777777" w:rsidR="001F2346" w:rsidRPr="00BA4F0F" w:rsidRDefault="001F2346" w:rsidP="00DC0931">
      <w:pPr>
        <w:pStyle w:val="afe"/>
        <w:numPr>
          <w:ilvl w:val="0"/>
          <w:numId w:val="280"/>
        </w:numPr>
        <w:ind w:left="567" w:hanging="425"/>
        <w:rPr>
          <w:rFonts w:cs="Times New Roman"/>
          <w:szCs w:val="24"/>
        </w:rPr>
      </w:pPr>
      <w:r w:rsidRPr="00BA4F0F">
        <w:rPr>
          <w:rFonts w:cs="Times New Roman"/>
          <w:szCs w:val="24"/>
        </w:rPr>
        <w:t>некротическая энтеропатия средней и тяжелой степени.</w:t>
      </w:r>
    </w:p>
    <w:p w14:paraId="5C6DC8F4" w14:textId="553B603B" w:rsidR="001F2346" w:rsidRPr="00BA4F0F" w:rsidRDefault="001F2346" w:rsidP="001F2346">
      <w:pPr>
        <w:ind w:firstLine="851"/>
      </w:pPr>
      <w:r w:rsidRPr="00BA4F0F">
        <w:t xml:space="preserve">Своевременное выявление пациентов из группы нутритивного риска позволяет защитить пациента от прогрессирующей потери массы тела и развития рефрактерной кахексии. Для первичного скрининга можно использовать хорошо зарекомендовавшие себя шкалы, такие как NRS-2002, ИНР (индекс нарушения питания по Buzby G.P.), бальную шкалу А.Б.В.Г. (ESMO, 2008), индекс массы тела по Кетле и другие </w:t>
      </w:r>
      <w:r w:rsidRPr="00BA4F0F">
        <w:fldChar w:fldCharType="begin" w:fldLock="1"/>
      </w:r>
      <w:r w:rsidR="002736BA">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[263]","plainTextFormattedCitation":"[263]","previouslyFormattedCitation":"[263]"},"properties":{"noteIndex":0},"schema":"https://github.com/citation-style-language/schema/raw/master/csl-citation.json"}</w:instrText>
      </w:r>
      <w:r w:rsidRPr="00BA4F0F">
        <w:fldChar w:fldCharType="separate"/>
      </w:r>
      <w:r w:rsidR="006E1ADA" w:rsidRPr="006E1ADA">
        <w:rPr>
          <w:noProof/>
        </w:rPr>
        <w:t>[263]</w:t>
      </w:r>
      <w:r w:rsidRPr="00BA4F0F">
        <w:fldChar w:fldCharType="end"/>
      </w:r>
      <w:r w:rsidRPr="00BA4F0F">
        <w:t xml:space="preserve"> </w:t>
      </w:r>
      <w:r w:rsidRPr="00BA4F0F">
        <w:fldChar w:fldCharType="begin" w:fldLock="1"/>
      </w:r>
      <w:r w:rsidR="002736BA">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mendeley":{"formattedCitation":"[264]","plainTextFormattedCitation":"[264]","previouslyFormattedCitation":"[264]"},"properties":{"noteIndex":0},"schema":"https://github.com/citation-style-language/schema/raw/master/csl-citation.json"}</w:instrText>
      </w:r>
      <w:r w:rsidRPr="00BA4F0F">
        <w:fldChar w:fldCharType="separate"/>
      </w:r>
      <w:r w:rsidR="006E1ADA" w:rsidRPr="006E1ADA">
        <w:rPr>
          <w:noProof/>
        </w:rPr>
        <w:t>[264]</w:t>
      </w:r>
      <w:r w:rsidRPr="00BA4F0F">
        <w:fldChar w:fldCharType="end"/>
      </w:r>
      <w:r w:rsidRPr="00BA4F0F">
        <w:t xml:space="preserve"> </w:t>
      </w:r>
      <w:r w:rsidRPr="00BA4F0F">
        <w:fldChar w:fldCharType="begin" w:fldLock="1"/>
      </w:r>
      <w:r w:rsidR="002736BA">
        <w:instrText>ADDIN CSL_CITATION {"citationItems":[{"id":"ITEM-1","itemData":{"author":[{"dropping-particle":"","family":"Бесова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А.И.","non-dropping-particle":"","parse-names":false,"suffix":""}],"id":"ITEM-1","issued":{"date-parts":[["2014"]]},"title":"Клинические рекомендации по нутритивной поддержке при химиотерапии и/или лучевой терапии","type":"report"},"uris":["http://www.mendeley.com/documents/?uuid=59e000a3-48e0-4529-8954-5598c41cc72e","http://www.mendeley.com/documents/?uuid=2475f28c-b7e0-408d-8d85-bd890e4862de","http://www.mendeley.com/documents/?uuid=2db47854-c914-42bd-bd4d-a19b47e78e0d","http://www.mendeley.com/documents/?uuid=113bc17a-cb71-4ba2-afb9-083757d46c9b","http://www.mendeley.com/documents/?uuid=17acaf09-3d29-4b25-b43e-598e8835165d","http://www.mendeley.com/documents/?uuid=2da28a52-fa64-480f-9c45-312b59a7027b","http://www.mendeley.com/documents/?uuid=fa470355-bcfd-3bef-a7a1-086215509c2d"]}],"mendeley":{"formattedCitation":"[265]","plainTextFormattedCitation":"[265]","previouslyFormattedCitation":"[265]"},"properties":{"noteIndex":0},"schema":"https://github.com/citation-style-language/schema/raw/master/csl-citation.json"}</w:instrText>
      </w:r>
      <w:r w:rsidRPr="00BA4F0F">
        <w:fldChar w:fldCharType="separate"/>
      </w:r>
      <w:r w:rsidR="006E1ADA" w:rsidRPr="006E1ADA">
        <w:rPr>
          <w:noProof/>
        </w:rPr>
        <w:t>[265]</w:t>
      </w:r>
      <w:r w:rsidRPr="00BA4F0F">
        <w:fldChar w:fldCharType="end"/>
      </w:r>
      <w:r w:rsidRPr="00BA4F0F">
        <w:t xml:space="preserve">. </w:t>
      </w:r>
    </w:p>
    <w:p w14:paraId="7AC31194" w14:textId="27C1D45D" w:rsidR="001F2346" w:rsidRPr="00BA4F0F" w:rsidRDefault="001F2346" w:rsidP="001F2346">
      <w:pPr>
        <w:ind w:firstLine="851"/>
      </w:pPr>
      <w:r w:rsidRPr="00BA4F0F">
        <w:t xml:space="preserve">В том случае, если проведение энтерального питания невозможно или неэффективно, необходимо назначать парентеральное питание </w:t>
      </w:r>
      <w:r w:rsidRPr="00BA4F0F">
        <w:fldChar w:fldCharType="begin" w:fldLock="1"/>
      </w:r>
      <w:r w:rsidR="002736BA">
        <w:instrText>ADDIN CSL_CITATION {"citationItems":[{"id":"ITEM-1","itemData":{"DOI":"10.20960/nh.1361","ISSN":"0212-1611","abstract":"Introducción: La malnutrición es un problema médico frecuente de los pacientes oncológicos que impacta de forma negativa en la calidad de vida. Objetivo: analizar y dar respuesta a diferentes cuestiones a la hora de afrontar el manejo nutricional de un paciente oncológico en la práctica clínica. Métodos: Un grupo multidisciplinar de expertos en Oncología Médica, Farmacia y Nutrición elaboró una lista de temas relacionados con el estado nutricional del paciente oncológico, que fueron agrupados en tres bloques: soporte nutricional; nutrición parenteral (NP) y NP domiciliaria (NPD) en el paciente oncológico. Se realizó una revisión de la literatura que incluyó artículos publicados en español, inglés y francés hasta abril de 2017. El documento se estructuró como un cuestionario con aquellas preguntas que, según el criterio del panel, podrían generar mayor controversia o duda. Resultados: De las 17 cuestiones abordadas, 9 versaron sobre el soporte nutricional; 5 relacionadas con la NP y 3 trataron sobre la NPD. Dentro de las recomendaciones del panel destacar que, en el paciente oncológico, la NP está indicada principalmente cuando no es posible el uso del tubo digestivo y/o la alimentación oral y/o la nutrición enteral no es suficiente o posible. Además, el objetivo de la NPD es mejorar o mantener, el estado de nutrición de un paciente en el ámbito domiciliario. Conclusiones: Esta revisión constituye una herramienta para oncólogos y especialistas responsables del manejo nutricional del paciente con cáncer.","author":[{"dropping-particle":"","family":"Camblor-Álvarez","given":"Miguel","non-dropping-particle":"","parse-names":false,"suffix":""},{"dropping-particle":"","family":"Ocón-Bretón","given":"María Julia","non-dropping-particle":"","parse-names":false,"suffix":""},{"dropping-particle":"","family":"Luengo-Pérez","given":"Luis Miguel","non-dropping-particle":"","parse-names":false,"suffix":""},{"dropping-particle":"","family":"Viruzuela","given":"Juan Antonio","non-dropping-particle":"","parse-names":false,"suffix":""},{"dropping-particle":"","family":"Sendrós-Maroño","given":"María José","non-dropping-particle":"","parse-names":false,"suffix":""},{"dropping-particle":"","family":"Cervera-Peris","given":"Mercedes","non-dropping-particle":"","parse-names":false,"suffix":""},{"dropping-particle":"","family":"Grande","given":"Enrique","non-dropping-particle":"","parse-names":false,"suffix":""},{"dropping-particle":"","family":"Álvarez-Hernández","given":"Julia","non-dropping-particle":"","parse-names":false,"suffix":""},{"dropping-particle":"","family":"Jiménez-Fonseca","given":"Paula","non-dropping-particle":"","parse-names":false,"suffix":""}],"container-title":"Nutrición Hospitalaria","id":"ITEM-1","issue":"1","issued":{"date-parts":[["2018","1"]]},"publisher":"ARAN Ediciones","title":"Soporte nutricional y nutrición parenteral en el paciente oncológico: informe de consenso de un grupo de expertos","type":"article-journal","volume":"35"},"uris":["http://www.mendeley.com/documents/?uuid=2ba4ee95-2957-35dd-a5da-6ddc4066a510","http://www.mendeley.com/documents/?uuid=5fd60395-903b-4161-9de5-593401276b22","http://www.mendeley.com/documents/?uuid=77af6aa2-54a9-4922-85a6-2ba2782c1d0d","http://www.mendeley.com/documents/?uuid=15f2deaa-96e5-4d61-b18b-9ea61e38867f","http://www.mendeley.com/documents/?uuid=bb38c52a-b9be-49b0-b569-e7226cad9509","http://www.mendeley.com/documents/?uuid=cfbf8252-0ba3-48e8-9511-8226f1fa6b44","http://www.mendeley.com/documents/?uuid=28ec27e8-82e5-449f-987c-7f22bad4f962"]}],"mendeley":{"formattedCitation":"[266]","plainTextFormattedCitation":"[266]","previouslyFormattedCitation":"[266]"},"properties":{"noteIndex":0},"schema":"https://github.com/citation-style-language/schema/raw/master/csl-citation.json"}</w:instrText>
      </w:r>
      <w:r w:rsidRPr="00BA4F0F">
        <w:fldChar w:fldCharType="separate"/>
      </w:r>
      <w:r w:rsidR="006E1ADA" w:rsidRPr="006E1ADA">
        <w:rPr>
          <w:noProof/>
        </w:rPr>
        <w:t>[266]</w:t>
      </w:r>
      <w:r w:rsidRPr="00BA4F0F">
        <w:fldChar w:fldCharType="end"/>
      </w:r>
      <w:r w:rsidRPr="00BA4F0F">
        <w:t xml:space="preserve">. Доставка белка должна быть не менее 1 г/кг/сут, однако при возможности нужно стремиться к 1,5 г/кг/сут. </w:t>
      </w:r>
    </w:p>
    <w:p w14:paraId="28864BE9" w14:textId="763CC556" w:rsidR="001F2346" w:rsidRPr="00BA4F0F" w:rsidRDefault="001F2346" w:rsidP="001F2346">
      <w:pPr>
        <w:ind w:firstLine="851"/>
      </w:pPr>
      <w:r w:rsidRPr="00BA4F0F">
        <w:t xml:space="preserve">У больных с сопутствующей хронической почечной недостаточностью белковое обеспечение не должно превышать 1–1,2 г/кг/сут. Энергетическое обеспечение больного с онкологическим заболеванием следует поддерживать на уровне 25–30 ккал/кг/сут </w:t>
      </w:r>
      <w:r w:rsidRPr="00BA4F0F">
        <w:fldChar w:fldCharType="begin" w:fldLock="1"/>
      </w:r>
      <w:r w:rsidR="002736BA">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[263]","plainTextFormattedCitation":"[263]","previouslyFormattedCitation":"[263]"},"properties":{"noteIndex":0},"schema":"https://github.com/citation-style-language/schema/raw/master/csl-citation.json"}</w:instrText>
      </w:r>
      <w:r w:rsidRPr="00BA4F0F">
        <w:fldChar w:fldCharType="separate"/>
      </w:r>
      <w:r w:rsidR="006E1ADA" w:rsidRPr="006E1ADA">
        <w:rPr>
          <w:noProof/>
        </w:rPr>
        <w:t>[263]</w:t>
      </w:r>
      <w:r w:rsidRPr="00BA4F0F">
        <w:fldChar w:fldCharType="end"/>
      </w:r>
      <w:r w:rsidRPr="00BA4F0F">
        <w:t xml:space="preserve"> </w:t>
      </w:r>
      <w:r w:rsidRPr="00BA4F0F">
        <w:fldChar w:fldCharType="begin" w:fldLock="1"/>
      </w:r>
      <w:r w:rsidR="002736BA">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mendeley":{"formattedCitation":"[264]","plainTextFormattedCitation":"[264]","previouslyFormattedCitation":"[264]"},"properties":{"noteIndex":0},"schema":"https://github.com/citation-style-language/schema/raw/master/csl-citation.json"}</w:instrText>
      </w:r>
      <w:r w:rsidRPr="00BA4F0F">
        <w:fldChar w:fldCharType="separate"/>
      </w:r>
      <w:r w:rsidR="006E1ADA" w:rsidRPr="006E1ADA">
        <w:rPr>
          <w:noProof/>
        </w:rPr>
        <w:t>[264]</w:t>
      </w:r>
      <w:r w:rsidRPr="00BA4F0F">
        <w:fldChar w:fldCharType="end"/>
      </w:r>
      <w:r w:rsidRPr="00BA4F0F">
        <w:t>.</w:t>
      </w:r>
    </w:p>
    <w:p w14:paraId="431AE7E9" w14:textId="77777777" w:rsidR="001F2346" w:rsidRPr="00BA4F0F" w:rsidRDefault="001F2346" w:rsidP="001F2346">
      <w:pPr>
        <w:rPr>
          <w:u w:val="single"/>
        </w:rPr>
      </w:pPr>
    </w:p>
    <w:p w14:paraId="7A3FAD4F" w14:textId="798B6F1A" w:rsidR="001F2346" w:rsidRPr="00BA4F0F" w:rsidRDefault="001F2346" w:rsidP="001F2346">
      <w:pPr>
        <w:rPr>
          <w:u w:val="single"/>
        </w:rPr>
      </w:pPr>
      <w:r w:rsidRPr="00BA4F0F">
        <w:rPr>
          <w:u w:val="single"/>
        </w:rPr>
        <w:t xml:space="preserve">Виды нутритивной поддержки </w:t>
      </w:r>
      <w:r w:rsidRPr="00BA4F0F">
        <w:rPr>
          <w:u w:val="single"/>
        </w:rPr>
        <w:fldChar w:fldCharType="begin" w:fldLock="1"/>
      </w:r>
      <w:r w:rsidR="002736BA">
        <w:rPr>
          <w:u w:val="single"/>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Oncology","id":"ITEM-2","issue":"5","issued":{"date-parts":[["2018","5"]]},"page":"619-629","publisher":"Springer-Verlag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id":"ITEM-3","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Nutrition","id":"ITEM-3","issue":"1","issued":{"date-parts":[["2017"]]},"page":"11-48","publisher":"Churchill Livingstone","title":"ESPEN guidelines on nutrition in cancer patients","type":"article-journal","volume":"36"},"uris":["http://www.mendeley.com/documents/?uuid=2586b0c4-9eb6-4463-a0ba-87fe84fbad8f"]}],"mendeley":{"formattedCitation":"[204,263,264]","plainTextFormattedCitation":"[204,263,264]","previouslyFormattedCitation":"[204,263,264]"},"properties":{"noteIndex":0},"schema":"https://github.com/citation-style-language/schema/raw/master/csl-citation.json"}</w:instrText>
      </w:r>
      <w:r w:rsidRPr="00BA4F0F">
        <w:rPr>
          <w:u w:val="single"/>
        </w:rPr>
        <w:fldChar w:fldCharType="separate"/>
      </w:r>
      <w:r w:rsidR="006E1ADA" w:rsidRPr="006E1ADA">
        <w:rPr>
          <w:noProof/>
        </w:rPr>
        <w:t>[204,263,264]</w:t>
      </w:r>
      <w:r w:rsidRPr="00BA4F0F">
        <w:rPr>
          <w:u w:val="single"/>
        </w:rPr>
        <w:fldChar w:fldCharType="end"/>
      </w:r>
    </w:p>
    <w:p w14:paraId="77E89D77" w14:textId="77777777" w:rsidR="001F2346" w:rsidRPr="00BA4F0F" w:rsidRDefault="001F2346" w:rsidP="001F2346">
      <w:pPr>
        <w:ind w:firstLine="851"/>
      </w:pPr>
      <w:r w:rsidRPr="00BA4F0F">
        <w:t xml:space="preserve">Выделяют три вида нутритивной поддержки: </w:t>
      </w:r>
    </w:p>
    <w:p w14:paraId="31EDE27B" w14:textId="77777777" w:rsidR="001F2346" w:rsidRPr="00BA4F0F" w:rsidRDefault="001F2346" w:rsidP="001F2346">
      <w:pPr>
        <w:ind w:firstLine="567"/>
      </w:pPr>
      <w:r w:rsidRPr="00BA4F0F">
        <w:t xml:space="preserve">• дополнение к пероральному питанию (сипинг) – пероральный прием лечебного (специализированного) питания маленькими глотками; </w:t>
      </w:r>
    </w:p>
    <w:p w14:paraId="0E165317" w14:textId="77777777" w:rsidR="001F2346" w:rsidRPr="00BA4F0F" w:rsidRDefault="001F2346" w:rsidP="001F2346">
      <w:pPr>
        <w:ind w:firstLine="567"/>
      </w:pPr>
      <w:r w:rsidRPr="00BA4F0F">
        <w:t xml:space="preserve">• энтеральное питание – возможно через назогастральный/назоинтестинальный зонд или через стому (чрескожную, эндоскопическую, лапароскопическую, лапаротомную); </w:t>
      </w:r>
    </w:p>
    <w:p w14:paraId="097E5AFF" w14:textId="77777777" w:rsidR="001F2346" w:rsidRPr="00BA4F0F" w:rsidRDefault="001F2346" w:rsidP="001F2346">
      <w:pPr>
        <w:ind w:firstLine="567"/>
      </w:pPr>
      <w:r w:rsidRPr="00BA4F0F">
        <w:t xml:space="preserve">• парентеральное питание. </w:t>
      </w:r>
    </w:p>
    <w:p w14:paraId="4F75A09C" w14:textId="77777777" w:rsidR="001F2346" w:rsidRPr="00BA4F0F" w:rsidRDefault="001F2346" w:rsidP="001F2346">
      <w:pPr>
        <w:ind w:firstLine="851"/>
      </w:pPr>
      <w:r w:rsidRPr="00BA4F0F">
        <w:t>Энтеральное питание является предпочтительным способом нутритивной поддержки за счет его физиологичности, способности поддерживать функцию кишечника, уменьшать гиперметаболический ответ на повреждение, уменьшать транслокацию бактерий и токсинов из кишечника.</w:t>
      </w:r>
    </w:p>
    <w:p w14:paraId="6E9F4E72" w14:textId="77777777" w:rsidR="001F2346" w:rsidRPr="00BA4F0F" w:rsidRDefault="001F2346" w:rsidP="001F2346">
      <w:pPr>
        <w:ind w:firstLine="851"/>
      </w:pPr>
      <w:r w:rsidRPr="00BA4F0F">
        <w:t>Энтеральное питание может проводиться при наличии хотя бы частичной функции ЖКТ. Отсутствие выслушиваемой перистальтики не является противопоказанием для энтерального питания.</w:t>
      </w:r>
    </w:p>
    <w:p w14:paraId="70915A15" w14:textId="5BF084CD" w:rsidR="001F2346" w:rsidRPr="00BA4F0F" w:rsidRDefault="001F2346" w:rsidP="001F2346">
      <w:pPr>
        <w:ind w:firstLine="851"/>
      </w:pPr>
      <w:r w:rsidRPr="00BA4F0F">
        <w:lastRenderedPageBreak/>
        <w:t xml:space="preserve">Классификация смесей для энтерального питания </w:t>
      </w:r>
      <w:r w:rsidRPr="00BA4F0F">
        <w:fldChar w:fldCharType="begin" w:fldLock="1"/>
      </w:r>
      <w:r w:rsidR="002736BA">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[263]","plainTextFormattedCitation":"[263]","previouslyFormattedCitation":"[263]"},"properties":{"noteIndex":0},"schema":"https://github.com/citation-style-language/schema/raw/master/csl-citation.json"}</w:instrText>
      </w:r>
      <w:r w:rsidRPr="00BA4F0F">
        <w:fldChar w:fldCharType="separate"/>
      </w:r>
      <w:r w:rsidR="006E1ADA" w:rsidRPr="006E1ADA">
        <w:rPr>
          <w:noProof/>
        </w:rPr>
        <w:t>[263]</w:t>
      </w:r>
      <w:r w:rsidRPr="00BA4F0F">
        <w:fldChar w:fldCharType="end"/>
      </w:r>
    </w:p>
    <w:p w14:paraId="1339BC69" w14:textId="77777777" w:rsidR="001F2346" w:rsidRPr="00BA4F0F" w:rsidRDefault="001F2346" w:rsidP="001F2346">
      <w:pPr>
        <w:ind w:firstLine="567"/>
      </w:pPr>
      <w:r w:rsidRPr="00BA4F0F">
        <w:t xml:space="preserve">• полимерные: состоят из неизмененных белков, жиров и углеводов; </w:t>
      </w:r>
    </w:p>
    <w:p w14:paraId="28FDC776" w14:textId="77777777" w:rsidR="001F2346" w:rsidRPr="00BA4F0F" w:rsidRDefault="001F2346" w:rsidP="001F2346">
      <w:pPr>
        <w:ind w:firstLine="567"/>
      </w:pPr>
      <w:r w:rsidRPr="00BA4F0F">
        <w:t xml:space="preserve">• олигомерные (полуэлементные): состоят из расщепленных белков и простых углеводов и содержат масла среднецепочечных триглицеридов; </w:t>
      </w:r>
    </w:p>
    <w:p w14:paraId="2AD9C000" w14:textId="77777777" w:rsidR="001F2346" w:rsidRPr="00BA4F0F" w:rsidRDefault="001F2346" w:rsidP="001F2346">
      <w:pPr>
        <w:ind w:firstLine="567"/>
      </w:pPr>
      <w:r w:rsidRPr="00BA4F0F">
        <w:t xml:space="preserve">• смеси для определенных состояний, изготовленные с учетом потребностей конкретного пациента, страдающего тем или иным заболеванием (сахарный диабет, заболевания почек, печени, легких). </w:t>
      </w:r>
    </w:p>
    <w:p w14:paraId="7EA79A6F" w14:textId="212F8393" w:rsidR="001F2346" w:rsidRPr="00BA4F0F" w:rsidRDefault="001F2346" w:rsidP="001F2346">
      <w:pPr>
        <w:ind w:firstLine="851"/>
      </w:pPr>
      <w:r w:rsidRPr="00BA4F0F">
        <w:t xml:space="preserve">Противопоказания к энтеральному питанию </w:t>
      </w:r>
      <w:r w:rsidRPr="00BA4F0F">
        <w:fldChar w:fldCharType="begin" w:fldLock="1"/>
      </w:r>
      <w:r w:rsidR="002736BA">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[263]","plainTextFormattedCitation":"[263]","previouslyFormattedCitation":"[263]"},"properties":{"noteIndex":0},"schema":"https://github.com/citation-style-language/schema/raw/master/csl-citation.json"}</w:instrText>
      </w:r>
      <w:r w:rsidRPr="00BA4F0F">
        <w:fldChar w:fldCharType="separate"/>
      </w:r>
      <w:r w:rsidR="006E1ADA" w:rsidRPr="006E1ADA">
        <w:rPr>
          <w:noProof/>
        </w:rPr>
        <w:t>[263]</w:t>
      </w:r>
      <w:r w:rsidRPr="00BA4F0F">
        <w:fldChar w:fldCharType="end"/>
      </w:r>
      <w:r w:rsidRPr="00BA4F0F">
        <w:t xml:space="preserve"> </w:t>
      </w:r>
      <w:r w:rsidRPr="00BA4F0F">
        <w:fldChar w:fldCharType="begin" w:fldLock="1"/>
      </w:r>
      <w:r w:rsidR="002736BA">
        <w:instrText>ADDIN CSL_CITATION {"citationItems":[{"id":"ITEM-1","itemData":{"author":[{"dropping-particle":"","family":"Бесова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А.И.","non-dropping-particle":"","parse-names":false,"suffix":""}],"id":"ITEM-1","issued":{"date-parts":[["2014"]]},"title":"Клинические рекомендации по нутритивной поддержке при химиотерапии и/или лучевой терапии","type":"report"},"uris":["http://www.mendeley.com/documents/?uuid=59e000a3-48e0-4529-8954-5598c41cc72e","http://www.mendeley.com/documents/?uuid=2475f28c-b7e0-408d-8d85-bd890e4862de","http://www.mendeley.com/documents/?uuid=2db47854-c914-42bd-bd4d-a19b47e78e0d","http://www.mendeley.com/documents/?uuid=113bc17a-cb71-4ba2-afb9-083757d46c9b","http://www.mendeley.com/documents/?uuid=17acaf09-3d29-4b25-b43e-598e8835165d","http://www.mendeley.com/documents/?uuid=2da28a52-fa64-480f-9c45-312b59a7027b","http://www.mendeley.com/documents/?uuid=fa470355-bcfd-3bef-a7a1-086215509c2d"]}],"mendeley":{"formattedCitation":"[265]","plainTextFormattedCitation":"[265]","previouslyFormattedCitation":"[265]"},"properties":{"noteIndex":0},"schema":"https://github.com/citation-style-language/schema/raw/master/csl-citation.json"}</w:instrText>
      </w:r>
      <w:r w:rsidRPr="00BA4F0F">
        <w:fldChar w:fldCharType="separate"/>
      </w:r>
      <w:r w:rsidR="006E1ADA" w:rsidRPr="006E1ADA">
        <w:rPr>
          <w:noProof/>
        </w:rPr>
        <w:t>[265]</w:t>
      </w:r>
      <w:r w:rsidRPr="00BA4F0F">
        <w:fldChar w:fldCharType="end"/>
      </w:r>
    </w:p>
    <w:p w14:paraId="7EDC9DBD" w14:textId="77777777" w:rsidR="001F2346" w:rsidRPr="00BA4F0F" w:rsidRDefault="001F2346" w:rsidP="001F2346">
      <w:pPr>
        <w:ind w:firstLine="567"/>
      </w:pPr>
      <w:r w:rsidRPr="00BA4F0F">
        <w:t xml:space="preserve">• механическая кишечная непроходимость; </w:t>
      </w:r>
    </w:p>
    <w:p w14:paraId="709C60F4" w14:textId="77777777" w:rsidR="001F2346" w:rsidRPr="00BA4F0F" w:rsidRDefault="001F2346" w:rsidP="001F2346">
      <w:pPr>
        <w:ind w:firstLine="567"/>
      </w:pPr>
      <w:r w:rsidRPr="00BA4F0F">
        <w:t xml:space="preserve">• выраженная тошнота и рвота, не купирующаяся антиэметической терапией; </w:t>
      </w:r>
    </w:p>
    <w:p w14:paraId="3A40763D" w14:textId="77777777" w:rsidR="001F2346" w:rsidRPr="00BA4F0F" w:rsidRDefault="001F2346" w:rsidP="001F2346">
      <w:pPr>
        <w:ind w:firstLine="567"/>
      </w:pPr>
      <w:r w:rsidRPr="00BA4F0F">
        <w:t xml:space="preserve">• гипоксия (раО2 70 мм рт. ст.). </w:t>
      </w:r>
    </w:p>
    <w:p w14:paraId="5604D6E7" w14:textId="77777777" w:rsidR="001F2346" w:rsidRPr="00BA4F0F" w:rsidRDefault="001F2346" w:rsidP="001F2346">
      <w:pPr>
        <w:rPr>
          <w:u w:val="single"/>
        </w:rPr>
      </w:pPr>
    </w:p>
    <w:p w14:paraId="12B54678" w14:textId="77777777" w:rsidR="001F2346" w:rsidRPr="00BA4F0F" w:rsidRDefault="001F2346" w:rsidP="001F2346">
      <w:pPr>
        <w:rPr>
          <w:u w:val="single"/>
        </w:rPr>
      </w:pPr>
      <w:r w:rsidRPr="00BA4F0F">
        <w:rPr>
          <w:u w:val="single"/>
        </w:rPr>
        <w:t>Парентеральное питание</w:t>
      </w:r>
    </w:p>
    <w:p w14:paraId="4F5D284F" w14:textId="0857EB31" w:rsidR="001F2346" w:rsidRPr="00BA4F0F" w:rsidRDefault="001F2346" w:rsidP="001F2346">
      <w:pPr>
        <w:ind w:firstLine="851"/>
      </w:pPr>
      <w:r w:rsidRPr="00BA4F0F">
        <w:t xml:space="preserve">Показанием к парентеральному питанию является невозможность адекватного энтерального питания более 3 суток </w:t>
      </w:r>
      <w:r w:rsidRPr="00BA4F0F">
        <w:fldChar w:fldCharType="begin" w:fldLock="1"/>
      </w:r>
      <w:r w:rsidR="002736BA">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mendeley":{"formattedCitation":"[264]","plainTextFormattedCitation":"[264]","previouslyFormattedCitation":"[264]"},"properties":{"noteIndex":0},"schema":"https://github.com/citation-style-language/schema/raw/master/csl-citation.json"}</w:instrText>
      </w:r>
      <w:r w:rsidRPr="00BA4F0F">
        <w:fldChar w:fldCharType="separate"/>
      </w:r>
      <w:r w:rsidR="006E1ADA" w:rsidRPr="006E1ADA">
        <w:rPr>
          <w:noProof/>
        </w:rPr>
        <w:t>[264]</w:t>
      </w:r>
      <w:r w:rsidRPr="00BA4F0F">
        <w:fldChar w:fldCharType="end"/>
      </w:r>
      <w:r w:rsidRPr="00BA4F0F">
        <w:t>. В зависимости от продолжительности парентеральное питание подразделяется на:</w:t>
      </w:r>
    </w:p>
    <w:p w14:paraId="43E039D0" w14:textId="77777777" w:rsidR="001F2346" w:rsidRPr="00BA4F0F" w:rsidRDefault="001F2346" w:rsidP="001F2346">
      <w:pPr>
        <w:ind w:firstLine="567"/>
      </w:pPr>
      <w:r w:rsidRPr="00BA4F0F">
        <w:t>• краткосрочное ПП (10–15 суток):</w:t>
      </w:r>
    </w:p>
    <w:p w14:paraId="0C16B59C" w14:textId="77777777" w:rsidR="001F2346" w:rsidRPr="00BA4F0F" w:rsidRDefault="001F2346" w:rsidP="001F2346">
      <w:pPr>
        <w:ind w:firstLine="567"/>
      </w:pPr>
      <w:r w:rsidRPr="00BA4F0F">
        <w:t>– острый и тяжелый мукозит, илеус, некупируемая рвота;</w:t>
      </w:r>
    </w:p>
    <w:p w14:paraId="5E41DB5D" w14:textId="77777777" w:rsidR="001F2346" w:rsidRPr="00BA4F0F" w:rsidRDefault="001F2346" w:rsidP="001F2346">
      <w:pPr>
        <w:ind w:firstLine="567"/>
      </w:pPr>
      <w:r w:rsidRPr="00BA4F0F">
        <w:t>• длительное (более 30 суток):</w:t>
      </w:r>
    </w:p>
    <w:p w14:paraId="1F8979BF" w14:textId="77777777" w:rsidR="001F2346" w:rsidRPr="00BA4F0F" w:rsidRDefault="001F2346" w:rsidP="001F2346">
      <w:pPr>
        <w:ind w:firstLine="567"/>
      </w:pPr>
      <w:r w:rsidRPr="00BA4F0F">
        <w:t>– тяжелая мальабсорбция;</w:t>
      </w:r>
    </w:p>
    <w:p w14:paraId="78104AA2" w14:textId="77777777" w:rsidR="001F2346" w:rsidRPr="00BA4F0F" w:rsidRDefault="001F2346" w:rsidP="001F2346">
      <w:pPr>
        <w:ind w:firstLine="567"/>
      </w:pPr>
      <w:r w:rsidRPr="00BA4F0F">
        <w:t>– подострый или хронический энтерит;</w:t>
      </w:r>
    </w:p>
    <w:p w14:paraId="240C162D" w14:textId="6D41D3B5" w:rsidR="001F2346" w:rsidRPr="00BA4F0F" w:rsidRDefault="001F2346" w:rsidP="001F2346">
      <w:pPr>
        <w:ind w:firstLine="567"/>
      </w:pPr>
      <w:r w:rsidRPr="00BA4F0F">
        <w:t xml:space="preserve">– тяжелая энтеропатия </w:t>
      </w:r>
      <w:r w:rsidRPr="00BA4F0F">
        <w:fldChar w:fldCharType="begin" w:fldLock="1"/>
      </w:r>
      <w:r w:rsidR="002736BA">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[263]","plainTextFormattedCitation":"[263]","previouslyFormattedCitation":"[263]"},"properties":{"noteIndex":0},"schema":"https://github.com/citation-style-language/schema/raw/master/csl-citation.json"}</w:instrText>
      </w:r>
      <w:r w:rsidRPr="00BA4F0F">
        <w:fldChar w:fldCharType="separate"/>
      </w:r>
      <w:r w:rsidR="006E1ADA" w:rsidRPr="006E1ADA">
        <w:rPr>
          <w:noProof/>
        </w:rPr>
        <w:t>[263]</w:t>
      </w:r>
      <w:r w:rsidRPr="00BA4F0F">
        <w:fldChar w:fldCharType="end"/>
      </w:r>
      <w:r w:rsidRPr="00BA4F0F">
        <w:t xml:space="preserve"> </w:t>
      </w:r>
      <w:r w:rsidRPr="00BA4F0F">
        <w:fldChar w:fldCharType="begin" w:fldLock="1"/>
      </w:r>
      <w:r w:rsidR="002736BA">
        <w:instrText>ADDIN CSL_CITATION {"citationItems":[{"id":"ITEM-1","itemData":{"DOI":"10.1001/jama.2019.4410","ISSN":"15383598","PMID":"31162570","author":[{"dropping-particle":"","family":"Baiu","given":"Ioana","non-dropping-particle":"","parse-names":false,"suffix":""},{"dropping-particle":"","family":"Spain","given":"David A.","non-dropping-particle":"","parse-names":false,"suffix":""}],"container-title":"JAMA - Journal of the American Medical Association","id":"ITEM-1","issue":"21","issued":{"date-parts":[["2019","6"]]},"page":"2142","publisher":"American Medical Association","title":"Parenteral Nutrition","type":"article","volume":"321"},"uris":["http://www.mendeley.com/documents/?uuid=319ff49c-9a97-32da-a348-b9d79eca400b","http://www.mendeley.com/documents/?uuid=03649143-9c16-417d-8fce-a095e89ff015","http://www.mendeley.com/documents/?uuid=8d92b52e-0af0-435c-9547-6d9170d6c9cc","http://www.mendeley.com/documents/?uuid=49bd1d62-adbc-4b20-8d75-34e8045f6cca","http://www.mendeley.com/documents/?uuid=f45d6235-29b7-40a1-9ebd-0275ed3b5ca7","http://www.mendeley.com/documents/?uuid=34664a84-1020-4ffd-981d-6f9624985d2e","http://www.mendeley.com/documents/?uuid=1967195b-eca8-4ade-9d2d-ff8332f19f7b"]}],"mendeley":{"formattedCitation":"[267]","plainTextFormattedCitation":"[267]","previouslyFormattedCitation":"[267]"},"properties":{"noteIndex":0},"schema":"https://github.com/citation-style-language/schema/raw/master/csl-citation.json"}</w:instrText>
      </w:r>
      <w:r w:rsidRPr="00BA4F0F">
        <w:fldChar w:fldCharType="separate"/>
      </w:r>
      <w:r w:rsidR="006E1ADA" w:rsidRPr="006E1ADA">
        <w:rPr>
          <w:noProof/>
        </w:rPr>
        <w:t>[267]</w:t>
      </w:r>
      <w:r w:rsidRPr="00BA4F0F">
        <w:fldChar w:fldCharType="end"/>
      </w:r>
      <w:r w:rsidRPr="00BA4F0F">
        <w:t>.</w:t>
      </w:r>
    </w:p>
    <w:p w14:paraId="7EBB706B" w14:textId="77777777" w:rsidR="001F2346" w:rsidRPr="00BA4F0F" w:rsidRDefault="001F2346" w:rsidP="001F2346">
      <w:pPr>
        <w:ind w:firstLine="851"/>
      </w:pPr>
      <w:r w:rsidRPr="00BA4F0F">
        <w:t xml:space="preserve">Необходимые организму нутриенты вводятся непосредственно в кровь. Основными составляющими парентерального питания являются: </w:t>
      </w:r>
    </w:p>
    <w:p w14:paraId="77D4C249" w14:textId="77777777" w:rsidR="001F2346" w:rsidRPr="00BA4F0F" w:rsidRDefault="001F2346" w:rsidP="001F2346">
      <w:pPr>
        <w:ind w:firstLine="567"/>
      </w:pPr>
      <w:r w:rsidRPr="00BA4F0F">
        <w:t xml:space="preserve">• источники энергии: 10–20% растворы углеводов, жировые эмульсии; </w:t>
      </w:r>
    </w:p>
    <w:p w14:paraId="382E6FD1" w14:textId="77777777" w:rsidR="001F2346" w:rsidRPr="00BA4F0F" w:rsidRDefault="001F2346" w:rsidP="001F2346">
      <w:pPr>
        <w:ind w:firstLine="567"/>
      </w:pPr>
      <w:r w:rsidRPr="00BA4F0F">
        <w:t xml:space="preserve">• источники пластического материала: растворы кристаллических аминокислот; </w:t>
      </w:r>
    </w:p>
    <w:p w14:paraId="68848428" w14:textId="4B6B5438" w:rsidR="001F2346" w:rsidRPr="00BA4F0F" w:rsidRDefault="001F2346" w:rsidP="001F2346">
      <w:pPr>
        <w:ind w:firstLine="567"/>
      </w:pPr>
      <w:r w:rsidRPr="00BA4F0F">
        <w:t xml:space="preserve">• поливитаминные комплексы для парентерального введения: – препараты водорастворимых витаминов; – препараты жирорастворимых витаминов; – препараты водо- и жирорастворимых витаминов; – комплексы микроэлементов для парентерального введения </w:t>
      </w:r>
      <w:r w:rsidRPr="00BA4F0F">
        <w:fldChar w:fldCharType="begin" w:fldLock="1"/>
      </w:r>
      <w:r w:rsidR="002736BA">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mendeley":{"formattedCitation":"[264]","plainTextFormattedCitation":"[264]","previouslyFormattedCitation":"[264]"},"properties":{"noteIndex":0},"schema":"https://github.com/citation-style-language/schema/raw/master/csl-citation.json"}</w:instrText>
      </w:r>
      <w:r w:rsidRPr="00BA4F0F">
        <w:fldChar w:fldCharType="separate"/>
      </w:r>
      <w:r w:rsidR="006E1ADA" w:rsidRPr="006E1ADA">
        <w:rPr>
          <w:noProof/>
        </w:rPr>
        <w:t>[264]</w:t>
      </w:r>
      <w:r w:rsidRPr="00BA4F0F">
        <w:fldChar w:fldCharType="end"/>
      </w:r>
      <w:r w:rsidRPr="00BA4F0F">
        <w:t xml:space="preserve">. </w:t>
      </w:r>
    </w:p>
    <w:p w14:paraId="3ECEED90" w14:textId="2714AF6F" w:rsidR="001F2346" w:rsidRPr="00BA4F0F" w:rsidRDefault="001F2346" w:rsidP="001F2346">
      <w:pPr>
        <w:ind w:firstLine="851"/>
      </w:pPr>
      <w:r w:rsidRPr="00BA4F0F">
        <w:t xml:space="preserve">Системы парентерального питания </w:t>
      </w:r>
      <w:r w:rsidRPr="00BA4F0F">
        <w:fldChar w:fldCharType="begin" w:fldLock="1"/>
      </w:r>
      <w:r w:rsidR="002736BA">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[263]","plainTextFormattedCitation":"[263]","previouslyFormattedCitation":"[263]"},"properties":{"noteIndex":0},"schema":"https://github.com/citation-style-language/schema/raw/master/csl-citation.json"}</w:instrText>
      </w:r>
      <w:r w:rsidRPr="00BA4F0F">
        <w:fldChar w:fldCharType="separate"/>
      </w:r>
      <w:r w:rsidR="006E1ADA" w:rsidRPr="006E1ADA">
        <w:rPr>
          <w:noProof/>
        </w:rPr>
        <w:t>[263]</w:t>
      </w:r>
      <w:r w:rsidRPr="00BA4F0F">
        <w:fldChar w:fldCharType="end"/>
      </w:r>
      <w:r w:rsidRPr="00BA4F0F">
        <w:t xml:space="preserve"> </w:t>
      </w:r>
      <w:r w:rsidRPr="00BA4F0F">
        <w:fldChar w:fldCharType="begin" w:fldLock="1"/>
      </w:r>
      <w:r w:rsidR="002736BA">
        <w:instrText>ADDIN CSL_CITATION {"citationItems":[{"id":"ITEM-1","itemData":{"DOI":"10.1016/j.clnu.2016.07.015","ISSN":"15321983","PMID":"27637832","abstract":"Cancers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Nutrition","id":"ITEM-1","issue":"1","issued":{"date-parts":[["2017"]]},"page":"11-48","publisher":"Churchill Livingstone","title":"ESPEN guidelines on nutrition in cancer patients","type":"article-journal","volume":"36"},"uris":["http://www.mendeley.com/documents/?uuid=2586b0c4-9eb6-4463-a0ba-87fe84fbad8f"]}],"mendeley":{"formattedCitation":"[204]","plainTextFormattedCitation":"[204]","previouslyFormattedCitation":"[204]"},"properties":{"noteIndex":0},"schema":"https://github.com/citation-style-language/schema/raw/master/csl-citation.json"}</w:instrText>
      </w:r>
      <w:r w:rsidRPr="00BA4F0F">
        <w:fldChar w:fldCharType="separate"/>
      </w:r>
      <w:r w:rsidR="006E1ADA" w:rsidRPr="006E1ADA">
        <w:rPr>
          <w:noProof/>
        </w:rPr>
        <w:t>[204]</w:t>
      </w:r>
      <w:r w:rsidRPr="00BA4F0F">
        <w:fldChar w:fldCharType="end"/>
      </w:r>
    </w:p>
    <w:p w14:paraId="237C90E5" w14:textId="77777777" w:rsidR="001F2346" w:rsidRPr="00BA4F0F" w:rsidRDefault="001F2346" w:rsidP="001F2346">
      <w:pPr>
        <w:ind w:firstLine="851"/>
      </w:pPr>
      <w:r w:rsidRPr="00BA4F0F">
        <w:t xml:space="preserve">• «модульная» – использование флаконов с аминокислотами, глюкозой, жировыми эмульсиями; (главным недостатком данного метода является различная скорость введения препаратов); </w:t>
      </w:r>
    </w:p>
    <w:p w14:paraId="7CCF6406" w14:textId="77777777" w:rsidR="001F2346" w:rsidRPr="00BA4F0F" w:rsidRDefault="001F2346" w:rsidP="001F2346">
      <w:pPr>
        <w:ind w:firstLine="851"/>
      </w:pPr>
      <w:r w:rsidRPr="00BA4F0F">
        <w:lastRenderedPageBreak/>
        <w:t xml:space="preserve">• система «все в одном» предполагает использование двух- и трехкомпонентных контейнеров с подобранным необходимым количеством и метаболически верным соотношением аминокислот, глюкозы, липидов и электролитов. </w:t>
      </w:r>
    </w:p>
    <w:p w14:paraId="3B3D3B48" w14:textId="07FCB1CE" w:rsidR="001F2346" w:rsidRPr="00BA4F0F" w:rsidRDefault="001F2346" w:rsidP="001F2346">
      <w:pPr>
        <w:ind w:firstLine="851"/>
      </w:pPr>
      <w:r w:rsidRPr="00BA4F0F">
        <w:t xml:space="preserve">Противопоказания к парентеральному питанию </w:t>
      </w:r>
      <w:r w:rsidRPr="00BA4F0F">
        <w:fldChar w:fldCharType="begin" w:fldLock="1"/>
      </w:r>
      <w:r w:rsidR="002736BA">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[263]","plainTextFormattedCitation":"[263]","previouslyFormattedCitation":"[263]"},"properties":{"noteIndex":0},"schema":"https://github.com/citation-style-language/schema/raw/master/csl-citation.json"}</w:instrText>
      </w:r>
      <w:r w:rsidRPr="00BA4F0F">
        <w:fldChar w:fldCharType="separate"/>
      </w:r>
      <w:r w:rsidR="006E1ADA" w:rsidRPr="006E1ADA">
        <w:rPr>
          <w:noProof/>
        </w:rPr>
        <w:t>[263]</w:t>
      </w:r>
      <w:r w:rsidRPr="00BA4F0F">
        <w:fldChar w:fldCharType="end"/>
      </w:r>
      <w:r w:rsidRPr="00BA4F0F">
        <w:t xml:space="preserve"> </w:t>
      </w:r>
      <w:r w:rsidRPr="00BA4F0F">
        <w:fldChar w:fldCharType="begin" w:fldLock="1"/>
      </w:r>
      <w:r w:rsidR="002736BA">
        <w:instrText>ADDIN CSL_CITATION {"citationItems":[{"id":"ITEM-1","itemData":{"DOI":"10.1016/j.clnu.2016.07.015","ISSN":"15321983","PMID":"27637832","abstract":"Cancers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Nutrition","id":"ITEM-1","issue":"1","issued":{"date-parts":[["2017"]]},"page":"11-48","publisher":"Churchill Livingstone","title":"ESPEN guidelines on nutrition in cancer patients","type":"article-journal","volume":"36"},"uris":["http://www.mendeley.com/documents/?uuid=2586b0c4-9eb6-4463-a0ba-87fe84fbad8f"]}],"mendeley":{"formattedCitation":"[204]","plainTextFormattedCitation":"[204]","previouslyFormattedCitation":"[204]"},"properties":{"noteIndex":0},"schema":"https://github.com/citation-style-language/schema/raw/master/csl-citation.json"}</w:instrText>
      </w:r>
      <w:r w:rsidRPr="00BA4F0F">
        <w:fldChar w:fldCharType="separate"/>
      </w:r>
      <w:r w:rsidR="006E1ADA" w:rsidRPr="006E1ADA">
        <w:rPr>
          <w:noProof/>
        </w:rPr>
        <w:t>[204]</w:t>
      </w:r>
      <w:r w:rsidRPr="00BA4F0F">
        <w:fldChar w:fldCharType="end"/>
      </w:r>
    </w:p>
    <w:p w14:paraId="371811CC" w14:textId="77777777" w:rsidR="001F2346" w:rsidRPr="00BA4F0F" w:rsidRDefault="001F2346" w:rsidP="001F2346">
      <w:pPr>
        <w:ind w:firstLine="851"/>
      </w:pPr>
      <w:r w:rsidRPr="00BA4F0F">
        <w:t>• возможность энтерального питания;</w:t>
      </w:r>
    </w:p>
    <w:p w14:paraId="316F9461" w14:textId="77777777" w:rsidR="001F2346" w:rsidRPr="00BA4F0F" w:rsidRDefault="001F2346" w:rsidP="001F2346">
      <w:pPr>
        <w:ind w:firstLine="851"/>
      </w:pPr>
      <w:r w:rsidRPr="00BA4F0F">
        <w:t xml:space="preserve">• невозможность обеспечения адекватного сосудистого доступа; </w:t>
      </w:r>
    </w:p>
    <w:p w14:paraId="209C1BD7" w14:textId="77777777" w:rsidR="001F2346" w:rsidRPr="00BA4F0F" w:rsidRDefault="001F2346" w:rsidP="001F2346">
      <w:pPr>
        <w:ind w:firstLine="851"/>
      </w:pPr>
      <w:r w:rsidRPr="00BA4F0F">
        <w:t xml:space="preserve">• отсутствие признаков белково-энергетической недостаточности; </w:t>
      </w:r>
    </w:p>
    <w:p w14:paraId="1FE4CF57" w14:textId="77777777" w:rsidR="001F2346" w:rsidRPr="00BA4F0F" w:rsidRDefault="001F2346" w:rsidP="001F2346">
      <w:pPr>
        <w:ind w:firstLine="851"/>
      </w:pPr>
      <w:r w:rsidRPr="00BA4F0F">
        <w:t xml:space="preserve">• гипоксия (раО2 70 мм рт. ст., сывороточный лактат &gt; 3 ммоль/л); </w:t>
      </w:r>
    </w:p>
    <w:p w14:paraId="27F2F3FB" w14:textId="77777777" w:rsidR="001F2346" w:rsidRPr="00BA4F0F" w:rsidRDefault="001F2346" w:rsidP="001F2346">
      <w:pPr>
        <w:ind w:firstLine="851"/>
      </w:pPr>
      <w:r w:rsidRPr="00BA4F0F">
        <w:t xml:space="preserve">• анурия или гипергидратация без диализа. </w:t>
      </w:r>
    </w:p>
    <w:p w14:paraId="2E86A094" w14:textId="6FB3FBA0" w:rsidR="001F2346" w:rsidRPr="00BA4F0F" w:rsidRDefault="001F2346" w:rsidP="001F2346">
      <w:pPr>
        <w:ind w:firstLine="851"/>
      </w:pPr>
      <w:r w:rsidRPr="00BA4F0F">
        <w:t xml:space="preserve">Смешанное питание </w:t>
      </w:r>
      <w:r w:rsidRPr="00BA4F0F">
        <w:fldChar w:fldCharType="begin" w:fldLock="1"/>
      </w:r>
      <w:r w:rsidR="002736BA">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[263]","plainTextFormattedCitation":"[263]","previouslyFormattedCitation":"[263]"},"properties":{"noteIndex":0},"schema":"https://github.com/citation-style-language/schema/raw/master/csl-citation.json"}</w:instrText>
      </w:r>
      <w:r w:rsidRPr="00BA4F0F">
        <w:fldChar w:fldCharType="separate"/>
      </w:r>
      <w:r w:rsidR="006E1ADA" w:rsidRPr="006E1ADA">
        <w:rPr>
          <w:noProof/>
        </w:rPr>
        <w:t>[263]</w:t>
      </w:r>
      <w:r w:rsidRPr="00BA4F0F">
        <w:fldChar w:fldCharType="end"/>
      </w:r>
      <w:r w:rsidRPr="00BA4F0F">
        <w:t xml:space="preserve"> </w:t>
      </w:r>
      <w:r w:rsidRPr="00BA4F0F">
        <w:fldChar w:fldCharType="begin" w:fldLock="1"/>
      </w:r>
      <w:r w:rsidR="002736BA">
        <w:instrText>ADDIN CSL_CITATION {"citationItems":[{"id":"ITEM-1","itemData":{"author":[{"dropping-particle":"","family":"Бесова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А.И.","non-dropping-particle":"","parse-names":false,"suffix":""}],"id":"ITEM-1","issued":{"date-parts":[["2014"]]},"title":"Клинические рекомендации по нутритивной поддержке при химиотерапии и/или лучевой терапии","type":"report"},"uris":["http://www.mendeley.com/documents/?uuid=59e000a3-48e0-4529-8954-5598c41cc72e","http://www.mendeley.com/documents/?uuid=2475f28c-b7e0-408d-8d85-bd890e4862de","http://www.mendeley.com/documents/?uuid=2db47854-c914-42bd-bd4d-a19b47e78e0d","http://www.mendeley.com/documents/?uuid=113bc17a-cb71-4ba2-afb9-083757d46c9b","http://www.mendeley.com/documents/?uuid=17acaf09-3d29-4b25-b43e-598e8835165d","http://www.mendeley.com/documents/?uuid=2da28a52-fa64-480f-9c45-312b59a7027b","http://www.mendeley.com/documents/?uuid=fa470355-bcfd-3bef-a7a1-086215509c2d"]}],"mendeley":{"formattedCitation":"[265]","plainTextFormattedCitation":"[265]","previouslyFormattedCitation":"[265]"},"properties":{"noteIndex":0},"schema":"https://github.com/citation-style-language/schema/raw/master/csl-citation.json"}</w:instrText>
      </w:r>
      <w:r w:rsidRPr="00BA4F0F">
        <w:fldChar w:fldCharType="separate"/>
      </w:r>
      <w:r w:rsidR="006E1ADA" w:rsidRPr="006E1ADA">
        <w:rPr>
          <w:noProof/>
        </w:rPr>
        <w:t>[265]</w:t>
      </w:r>
      <w:r w:rsidRPr="00BA4F0F">
        <w:fldChar w:fldCharType="end"/>
      </w:r>
    </w:p>
    <w:p w14:paraId="7DCB10AC" w14:textId="77777777" w:rsidR="001F2346" w:rsidRPr="00BA4F0F" w:rsidRDefault="001F2346" w:rsidP="001F2346">
      <w:pPr>
        <w:ind w:firstLine="851"/>
      </w:pPr>
      <w:r w:rsidRPr="00BA4F0F">
        <w:t xml:space="preserve">Энтеральное и парентеральное питание может назначаться пациентам одновременно при недостаточной эффективности одного из этих методов (не позволяющем обеспечить более 60% от потребности в энергии). </w:t>
      </w:r>
    </w:p>
    <w:p w14:paraId="724B9E8D" w14:textId="77777777" w:rsidR="001F2346" w:rsidRPr="00BA4F0F" w:rsidRDefault="001F2346" w:rsidP="001F2346">
      <w:pPr>
        <w:ind w:firstLine="851"/>
      </w:pPr>
      <w:r w:rsidRPr="00BA4F0F">
        <w:t xml:space="preserve">Мониторинг эффективности нутритивной поддержки </w:t>
      </w:r>
    </w:p>
    <w:p w14:paraId="5A0E8207" w14:textId="77777777" w:rsidR="001F2346" w:rsidRPr="00BA4F0F" w:rsidRDefault="001F2346" w:rsidP="001F2346">
      <w:pPr>
        <w:ind w:firstLine="851"/>
      </w:pPr>
      <w:r w:rsidRPr="00BA4F0F">
        <w:t>Частота исследования данных показателей может изменяться в зависимости от конкретной клинической ситуации.</w:t>
      </w:r>
    </w:p>
    <w:p w14:paraId="799F3BA7" w14:textId="77777777" w:rsidR="001F2346" w:rsidRPr="00BA4F0F" w:rsidRDefault="001F2346" w:rsidP="001F2346">
      <w:pPr>
        <w:ind w:firstLine="851"/>
      </w:pPr>
      <w:r w:rsidRPr="00BA4F0F">
        <w:t>• Общий белок сыворотки крови 1 раз в 5–7 дней.</w:t>
      </w:r>
    </w:p>
    <w:p w14:paraId="6CC07232" w14:textId="77777777" w:rsidR="001F2346" w:rsidRPr="00BA4F0F" w:rsidRDefault="001F2346" w:rsidP="001F2346">
      <w:pPr>
        <w:ind w:firstLine="851"/>
      </w:pPr>
      <w:r w:rsidRPr="00BA4F0F">
        <w:t>• Альбумин сыворотки крови 1 раз в 5–7 дней.</w:t>
      </w:r>
    </w:p>
    <w:p w14:paraId="2DE9E42C" w14:textId="77777777" w:rsidR="001F2346" w:rsidRPr="00BA4F0F" w:rsidRDefault="001F2346" w:rsidP="001F2346">
      <w:pPr>
        <w:ind w:firstLine="851"/>
      </w:pPr>
      <w:r w:rsidRPr="00BA4F0F">
        <w:t>• Гемоглобин 1 раз в 5–7 дней.</w:t>
      </w:r>
    </w:p>
    <w:p w14:paraId="00E33724" w14:textId="77777777" w:rsidR="001F2346" w:rsidRPr="00BA4F0F" w:rsidRDefault="001F2346" w:rsidP="001F2346">
      <w:pPr>
        <w:ind w:firstLine="851"/>
      </w:pPr>
      <w:r w:rsidRPr="00BA4F0F">
        <w:t>• Лимфоциты периферической крови 1 раз в 5–7 дней.</w:t>
      </w:r>
    </w:p>
    <w:p w14:paraId="27C71AAD" w14:textId="77777777" w:rsidR="001F2346" w:rsidRPr="00BA4F0F" w:rsidRDefault="001F2346" w:rsidP="001F2346">
      <w:pPr>
        <w:ind w:firstLine="851"/>
      </w:pPr>
      <w:r w:rsidRPr="00BA4F0F">
        <w:t>• Масса тела и ИМТ тела 1 раз в 7–10 дней.</w:t>
      </w:r>
    </w:p>
    <w:p w14:paraId="1C5713FA" w14:textId="77777777" w:rsidR="001F2346" w:rsidRPr="00BA4F0F" w:rsidRDefault="001F2346" w:rsidP="001F2346">
      <w:pPr>
        <w:rPr>
          <w:b/>
          <w:highlight w:val="green"/>
        </w:rPr>
      </w:pPr>
    </w:p>
    <w:p w14:paraId="53A6147B" w14:textId="77777777" w:rsidR="001F2346" w:rsidRPr="00BA4F0F" w:rsidRDefault="001F2346" w:rsidP="001F2346">
      <w:pPr>
        <w:rPr>
          <w:b/>
        </w:rPr>
      </w:pPr>
      <w:r w:rsidRPr="00BA4F0F">
        <w:rPr>
          <w:b/>
        </w:rPr>
        <w:t xml:space="preserve"> </w:t>
      </w:r>
      <w:bookmarkStart w:id="163" w:name="_Toc44926642"/>
      <w:r w:rsidRPr="00BA4F0F">
        <w:rPr>
          <w:b/>
        </w:rPr>
        <w:t>Обезболивание в период нейтропении</w:t>
      </w:r>
      <w:bookmarkEnd w:id="163"/>
    </w:p>
    <w:p w14:paraId="256C8CC9" w14:textId="77777777" w:rsidR="001F2346" w:rsidRPr="00BA4F0F" w:rsidRDefault="001F2346" w:rsidP="001F2346">
      <w:pPr>
        <w:ind w:firstLine="851"/>
      </w:pPr>
      <w:r w:rsidRPr="00BA4F0F">
        <w:t xml:space="preserve">Интенсивный болевой синдром в полости рта и при глотании при мукозите </w:t>
      </w:r>
      <w:r w:rsidRPr="00BA4F0F">
        <w:rPr>
          <w:lang w:val="en-US"/>
        </w:rPr>
        <w:t>III</w:t>
      </w:r>
      <w:r w:rsidRPr="00BA4F0F">
        <w:t>-</w:t>
      </w:r>
      <w:r w:rsidRPr="00BA4F0F">
        <w:rPr>
          <w:lang w:val="en-US"/>
        </w:rPr>
        <w:t>IV</w:t>
      </w:r>
      <w:r w:rsidRPr="00BA4F0F">
        <w:t xml:space="preserve"> степени в период миелотоксического агранулоцитоза является показанием к назначению аналгетической терапии. Применение нестероидных противовоспалительных средств (НПВС) не рекомендовано в период МТА. Механизм действия НПВС связан с угнетением активности циклооксигеназы (ЦОГ), катализирующей образование простагландинов из арахидоновой кислоты. Простагландины играют важную роль в патогенезе боли, воспаления и лихорадки. </w:t>
      </w:r>
    </w:p>
    <w:p w14:paraId="5061D1F0" w14:textId="77777777" w:rsidR="001F2346" w:rsidRPr="00BA4F0F" w:rsidRDefault="001F2346" w:rsidP="001F2346">
      <w:pPr>
        <w:ind w:firstLine="851"/>
      </w:pPr>
      <w:r w:rsidRPr="00BA4F0F">
        <w:t xml:space="preserve">В условиях нейтропении блокирование воспалительной реакции может привести к фатальным осложнениям, молниеносному развитию сепсиса и септического шока. Кроме того, в результате ингибирования ЦОГ-1 в тромбоцитах подавляется синтез эндогенного проагреганта тромбоксана. Антиагрегантное действие НПВС в условиях тромбоцитопении может провоцировать кровотечения. </w:t>
      </w:r>
    </w:p>
    <w:p w14:paraId="53BFB2A3" w14:textId="6FE96290" w:rsidR="001F2346" w:rsidRDefault="001F2346" w:rsidP="001F2346">
      <w:pPr>
        <w:ind w:firstLine="851"/>
      </w:pPr>
      <w:r w:rsidRPr="00BA4F0F">
        <w:lastRenderedPageBreak/>
        <w:t xml:space="preserve">В связи с этим в период МТА для обезболивания рекомендованы к применению наркотические аналгетики (промедол 10 мг в/в, трамадол 100 мг в/в, фентанил 25 мкг/час трансдермально). В связи с тем, что у части больных тяжелый мукозит сохраняется длительное время, может потребоваться многократное назначение указанных наркотических аналгетиков. </w:t>
      </w:r>
    </w:p>
    <w:p w14:paraId="677715B6" w14:textId="5E88DA6E" w:rsidR="006E1ADA" w:rsidRDefault="006E1ADA" w:rsidP="001F2346">
      <w:pPr>
        <w:ind w:firstLine="851"/>
      </w:pPr>
    </w:p>
    <w:p w14:paraId="10D40E90" w14:textId="13FE206A" w:rsidR="0089207C" w:rsidRPr="0089207C" w:rsidRDefault="006E1ADA" w:rsidP="0089207C">
      <w:pPr>
        <w:pStyle w:val="2"/>
      </w:pPr>
      <w:bookmarkStart w:id="164" w:name="_Toc66096872"/>
      <w:r w:rsidRPr="0089207C">
        <w:t xml:space="preserve">Приложение А3.14. </w:t>
      </w:r>
      <w:r w:rsidR="0089207C" w:rsidRPr="0089207C">
        <w:t>Проведение трансплантации аллогенных гемопоэтических стволовых клеток</w:t>
      </w:r>
      <w:bookmarkEnd w:id="164"/>
    </w:p>
    <w:p w14:paraId="44067FAB" w14:textId="77777777" w:rsidR="0089207C" w:rsidRPr="00EE51B1" w:rsidRDefault="0089207C" w:rsidP="0089207C">
      <w:pPr>
        <w:rPr>
          <w:rFonts w:eastAsia="SimSun"/>
          <w:b/>
        </w:rPr>
      </w:pPr>
      <w:bookmarkStart w:id="165" w:name="_Toc44401103"/>
      <w:r w:rsidRPr="00EE51B1">
        <w:rPr>
          <w:rFonts w:eastAsia="SimSun"/>
          <w:b/>
        </w:rPr>
        <w:t>1. Отбор пациентов для трансплантации аллогенных гемопоэтических стволовых клеток</w:t>
      </w:r>
      <w:bookmarkEnd w:id="165"/>
    </w:p>
    <w:p w14:paraId="485C9026" w14:textId="77777777" w:rsidR="0089207C" w:rsidRPr="00EE51B1" w:rsidRDefault="0089207C" w:rsidP="0089207C">
      <w:pPr>
        <w:rPr>
          <w:rFonts w:eastAsia="SimSun"/>
          <w:i/>
          <w:u w:val="single"/>
        </w:rPr>
      </w:pPr>
      <w:bookmarkStart w:id="166" w:name="_Toc44401106"/>
      <w:r w:rsidRPr="00EE51B1">
        <w:rPr>
          <w:rFonts w:eastAsia="SimSun"/>
          <w:i/>
          <w:u w:val="single"/>
        </w:rPr>
        <w:t>Показания для проведения алло-ТГСК</w:t>
      </w:r>
      <w:bookmarkEnd w:id="166"/>
      <w:r w:rsidRPr="00EE51B1">
        <w:rPr>
          <w:rFonts w:eastAsia="SimSun"/>
          <w:i/>
          <w:u w:val="single"/>
        </w:rPr>
        <w:t xml:space="preserve"> </w:t>
      </w:r>
      <w:r w:rsidRPr="00EE51B1">
        <w:rPr>
          <w:rFonts w:eastAsia="SimSun"/>
          <w:u w:val="single"/>
        </w:rPr>
        <w:fldChar w:fldCharType="begin" w:fldLock="1"/>
      </w:r>
      <w:r w:rsidRPr="00EE51B1">
        <w:rPr>
          <w:rFonts w:eastAsia="SimSun"/>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plainTextFormattedCitation":"[1]"},"properties":{"noteIndex":0},"schema":"https://github.com/citation-style-language/schema/raw/master/csl-citation.json"}</w:instrText>
      </w:r>
      <w:r w:rsidRPr="00EE51B1">
        <w:rPr>
          <w:rFonts w:eastAsia="SimSun"/>
          <w:u w:val="single"/>
        </w:rPr>
        <w:fldChar w:fldCharType="separate"/>
      </w:r>
      <w:r w:rsidRPr="00EE51B1">
        <w:rPr>
          <w:rFonts w:eastAsia="SimSun"/>
          <w:noProof/>
          <w:u w:val="single"/>
        </w:rPr>
        <w:t>[1]</w:t>
      </w:r>
      <w:r w:rsidRPr="00EE51B1">
        <w:rPr>
          <w:rFonts w:eastAsia="SimSun"/>
          <w:u w:val="single"/>
        </w:rPr>
        <w:fldChar w:fldCharType="end"/>
      </w:r>
      <w:r w:rsidRPr="00EE51B1">
        <w:rPr>
          <w:rFonts w:eastAsia="SimSun"/>
          <w:i/>
          <w:u w:val="single"/>
        </w:rPr>
        <w:t>:</w:t>
      </w:r>
    </w:p>
    <w:p w14:paraId="2212D128" w14:textId="77777777" w:rsidR="0089207C" w:rsidRPr="00C07B2E" w:rsidRDefault="0089207C" w:rsidP="0089207C">
      <w:pPr>
        <w:ind w:firstLine="709"/>
        <w:rPr>
          <w:rFonts w:eastAsia="SimSun"/>
        </w:rPr>
      </w:pPr>
      <w:r w:rsidRPr="00C07B2E">
        <w:rPr>
          <w:rFonts w:eastAsia="SimSun"/>
        </w:rPr>
        <w:t xml:space="preserve">Медицинские показания к трансплантации костного мозга и гемопоэтических стволовых клеток определены Приказом Минздрава России от 12.12.2018 N 875н "Об утверждении Порядка оказания медицинской помощи при заболеваниях (состояниях), для лечения которых применяется трансплантация (пересадка) костного мозга и гемопоэтических стволовых клеток, и внесении изменения в Порядок оказания медицинской помощи по профилю "хирургия (трансплантация органов и (или) тканей человека)", утвержденный приказом Министерства здравоохранения Российской Федерации от 31 октября 2012 г. N 567н" (Зарегистрировано в Минюсте России 09.01.2019 N 53256).В качестве кандидатов для проведения алло-ТГСК могут рассматриваться пациенты, имеющие: </w:t>
      </w:r>
    </w:p>
    <w:p w14:paraId="46EEACB8" w14:textId="77777777" w:rsidR="0089207C" w:rsidRPr="00C07B2E" w:rsidRDefault="0089207C" w:rsidP="0089207C">
      <w:pPr>
        <w:numPr>
          <w:ilvl w:val="0"/>
          <w:numId w:val="282"/>
        </w:numPr>
        <w:overflowPunct w:val="0"/>
        <w:autoSpaceDE w:val="0"/>
        <w:autoSpaceDN w:val="0"/>
        <w:adjustRightInd w:val="0"/>
        <w:textAlignment w:val="baseline"/>
        <w:rPr>
          <w:rFonts w:eastAsia="SimSun"/>
        </w:rPr>
      </w:pPr>
      <w:r w:rsidRPr="00C07B2E">
        <w:rPr>
          <w:rFonts w:eastAsia="SimSun"/>
        </w:rPr>
        <w:t>злокачественные и другие новообразования лимфоидной, кроветворной и родственной им тканей;</w:t>
      </w:r>
    </w:p>
    <w:p w14:paraId="4D64E9BB" w14:textId="77777777" w:rsidR="0089207C" w:rsidRPr="00C07B2E" w:rsidRDefault="0089207C" w:rsidP="0089207C">
      <w:pPr>
        <w:numPr>
          <w:ilvl w:val="0"/>
          <w:numId w:val="282"/>
        </w:numPr>
        <w:overflowPunct w:val="0"/>
        <w:autoSpaceDE w:val="0"/>
        <w:autoSpaceDN w:val="0"/>
        <w:adjustRightInd w:val="0"/>
        <w:textAlignment w:val="baseline"/>
        <w:rPr>
          <w:rFonts w:eastAsia="SimSun"/>
        </w:rPr>
      </w:pPr>
      <w:r w:rsidRPr="00C07B2E">
        <w:rPr>
          <w:rFonts w:eastAsia="SimSun"/>
        </w:rPr>
        <w:t>болезни крови, кроветворных органов и отдельные нарушения, вовлекающие иммунный механизм;</w:t>
      </w:r>
    </w:p>
    <w:p w14:paraId="33679170" w14:textId="77777777" w:rsidR="0089207C" w:rsidRPr="00C07B2E" w:rsidRDefault="0089207C" w:rsidP="0089207C">
      <w:pPr>
        <w:numPr>
          <w:ilvl w:val="0"/>
          <w:numId w:val="282"/>
        </w:numPr>
        <w:overflowPunct w:val="0"/>
        <w:autoSpaceDE w:val="0"/>
        <w:autoSpaceDN w:val="0"/>
        <w:adjustRightInd w:val="0"/>
        <w:textAlignment w:val="baseline"/>
        <w:rPr>
          <w:rFonts w:eastAsia="SimSun"/>
        </w:rPr>
      </w:pPr>
      <w:r w:rsidRPr="00C07B2E">
        <w:rPr>
          <w:rFonts w:eastAsia="SimSun"/>
        </w:rPr>
        <w:t>врожденные иммунодефицитные синдромы;</w:t>
      </w:r>
    </w:p>
    <w:p w14:paraId="27433BBF" w14:textId="77777777" w:rsidR="0089207C" w:rsidRPr="00C07B2E" w:rsidRDefault="0089207C" w:rsidP="0089207C">
      <w:pPr>
        <w:numPr>
          <w:ilvl w:val="0"/>
          <w:numId w:val="282"/>
        </w:numPr>
        <w:overflowPunct w:val="0"/>
        <w:autoSpaceDE w:val="0"/>
        <w:autoSpaceDN w:val="0"/>
        <w:adjustRightInd w:val="0"/>
        <w:textAlignment w:val="baseline"/>
        <w:rPr>
          <w:rFonts w:eastAsia="SimSun"/>
        </w:rPr>
      </w:pPr>
      <w:r w:rsidRPr="00C07B2E">
        <w:rPr>
          <w:rFonts w:eastAsia="SimSun"/>
        </w:rPr>
        <w:t>врожденные аномалии (пороки развития), деформации и хромосомные нарушения, болезни эндокринной системы, расстройства питания и нарушения обмена веществ, которые могут быть скорригированы с помощью трансплантации гемопоэтических клеток;</w:t>
      </w:r>
    </w:p>
    <w:p w14:paraId="5957E1DB" w14:textId="77777777" w:rsidR="0089207C" w:rsidRPr="00C07B2E" w:rsidRDefault="0089207C" w:rsidP="0089207C">
      <w:pPr>
        <w:numPr>
          <w:ilvl w:val="0"/>
          <w:numId w:val="282"/>
        </w:numPr>
        <w:overflowPunct w:val="0"/>
        <w:autoSpaceDE w:val="0"/>
        <w:autoSpaceDN w:val="0"/>
        <w:adjustRightInd w:val="0"/>
        <w:textAlignment w:val="baseline"/>
        <w:rPr>
          <w:rFonts w:eastAsia="SimSun"/>
        </w:rPr>
      </w:pPr>
      <w:r w:rsidRPr="00C07B2E">
        <w:rPr>
          <w:rFonts w:eastAsia="SimSun"/>
        </w:rPr>
        <w:t>злокачественные новообразования мезотелиальной и мягких тканей (рабдомиосаркома);</w:t>
      </w:r>
    </w:p>
    <w:p w14:paraId="1B8075BD" w14:textId="77777777" w:rsidR="0089207C" w:rsidRPr="00C07B2E" w:rsidRDefault="0089207C" w:rsidP="0089207C">
      <w:pPr>
        <w:numPr>
          <w:ilvl w:val="0"/>
          <w:numId w:val="282"/>
        </w:numPr>
        <w:overflowPunct w:val="0"/>
        <w:autoSpaceDE w:val="0"/>
        <w:autoSpaceDN w:val="0"/>
        <w:adjustRightInd w:val="0"/>
        <w:textAlignment w:val="baseline"/>
        <w:rPr>
          <w:rFonts w:eastAsia="SimSun"/>
        </w:rPr>
      </w:pPr>
      <w:r w:rsidRPr="00C07B2E">
        <w:rPr>
          <w:rFonts w:eastAsia="SimSun"/>
        </w:rPr>
        <w:t>злокачественные новообразования костей и суставных хрящей (саркома Юинга, хондросаркома, фибросаркома);</w:t>
      </w:r>
    </w:p>
    <w:p w14:paraId="2A318BB5" w14:textId="77777777" w:rsidR="0089207C" w:rsidRPr="00C07B2E" w:rsidRDefault="0089207C" w:rsidP="0089207C">
      <w:pPr>
        <w:numPr>
          <w:ilvl w:val="0"/>
          <w:numId w:val="282"/>
        </w:numPr>
        <w:overflowPunct w:val="0"/>
        <w:autoSpaceDE w:val="0"/>
        <w:autoSpaceDN w:val="0"/>
        <w:adjustRightInd w:val="0"/>
        <w:textAlignment w:val="baseline"/>
        <w:rPr>
          <w:rFonts w:eastAsia="SimSun"/>
        </w:rPr>
      </w:pPr>
      <w:r w:rsidRPr="00C07B2E">
        <w:rPr>
          <w:rFonts w:eastAsia="SimSun"/>
        </w:rPr>
        <w:lastRenderedPageBreak/>
        <w:t>нейроэпителиальные новообразования (нейробластома, ретинобластома);</w:t>
      </w:r>
    </w:p>
    <w:p w14:paraId="49C9737F" w14:textId="77777777" w:rsidR="0089207C" w:rsidRPr="00C07B2E" w:rsidRDefault="0089207C" w:rsidP="0089207C">
      <w:pPr>
        <w:numPr>
          <w:ilvl w:val="0"/>
          <w:numId w:val="282"/>
        </w:numPr>
        <w:overflowPunct w:val="0"/>
        <w:autoSpaceDE w:val="0"/>
        <w:autoSpaceDN w:val="0"/>
        <w:adjustRightInd w:val="0"/>
        <w:textAlignment w:val="baseline"/>
        <w:rPr>
          <w:rFonts w:eastAsia="SimSun"/>
        </w:rPr>
      </w:pPr>
      <w:r w:rsidRPr="00C07B2E">
        <w:rPr>
          <w:rFonts w:eastAsia="SimSun"/>
        </w:rPr>
        <w:t>демиелинизирующие болезни центральной нервной системы (рассеянный склероз);</w:t>
      </w:r>
    </w:p>
    <w:p w14:paraId="5060B9AF" w14:textId="77777777" w:rsidR="0089207C" w:rsidRPr="00C07B2E" w:rsidRDefault="0089207C" w:rsidP="0089207C">
      <w:pPr>
        <w:numPr>
          <w:ilvl w:val="0"/>
          <w:numId w:val="282"/>
        </w:numPr>
        <w:overflowPunct w:val="0"/>
        <w:autoSpaceDE w:val="0"/>
        <w:autoSpaceDN w:val="0"/>
        <w:adjustRightInd w:val="0"/>
        <w:textAlignment w:val="baseline"/>
        <w:rPr>
          <w:rFonts w:eastAsia="SimSun"/>
        </w:rPr>
      </w:pPr>
      <w:r w:rsidRPr="00C07B2E">
        <w:rPr>
          <w:rFonts w:eastAsia="SimSun"/>
        </w:rPr>
        <w:t>герминогенные новообразования;</w:t>
      </w:r>
    </w:p>
    <w:p w14:paraId="29C053A7" w14:textId="77777777" w:rsidR="0089207C" w:rsidRPr="00C07B2E" w:rsidRDefault="0089207C" w:rsidP="0089207C">
      <w:pPr>
        <w:numPr>
          <w:ilvl w:val="0"/>
          <w:numId w:val="282"/>
        </w:numPr>
        <w:overflowPunct w:val="0"/>
        <w:autoSpaceDE w:val="0"/>
        <w:autoSpaceDN w:val="0"/>
        <w:adjustRightInd w:val="0"/>
        <w:textAlignment w:val="baseline"/>
        <w:rPr>
          <w:rFonts w:eastAsia="SimSun"/>
        </w:rPr>
      </w:pPr>
      <w:r w:rsidRPr="00C07B2E">
        <w:rPr>
          <w:rFonts w:eastAsia="SimSun"/>
        </w:rPr>
        <w:t>сложные и смешанные стромальные новообразования (нефробластома);</w:t>
      </w:r>
    </w:p>
    <w:p w14:paraId="525608C8" w14:textId="77777777" w:rsidR="0089207C" w:rsidRPr="00C07B2E" w:rsidRDefault="0089207C" w:rsidP="0089207C">
      <w:pPr>
        <w:numPr>
          <w:ilvl w:val="0"/>
          <w:numId w:val="282"/>
        </w:numPr>
        <w:overflowPunct w:val="0"/>
        <w:autoSpaceDE w:val="0"/>
        <w:autoSpaceDN w:val="0"/>
        <w:adjustRightInd w:val="0"/>
        <w:textAlignment w:val="baseline"/>
        <w:rPr>
          <w:rFonts w:eastAsia="SimSun"/>
        </w:rPr>
      </w:pPr>
      <w:r w:rsidRPr="00C07B2E">
        <w:rPr>
          <w:rFonts w:eastAsia="SimSun"/>
        </w:rPr>
        <w:t>глиомы (примитивная нейроэктодермальная опухоль);</w:t>
      </w:r>
    </w:p>
    <w:p w14:paraId="499BB5B3" w14:textId="77777777" w:rsidR="0089207C" w:rsidRPr="00C07B2E" w:rsidRDefault="0089207C" w:rsidP="0089207C">
      <w:pPr>
        <w:numPr>
          <w:ilvl w:val="0"/>
          <w:numId w:val="282"/>
        </w:numPr>
        <w:overflowPunct w:val="0"/>
        <w:autoSpaceDE w:val="0"/>
        <w:autoSpaceDN w:val="0"/>
        <w:adjustRightInd w:val="0"/>
        <w:textAlignment w:val="baseline"/>
        <w:rPr>
          <w:rFonts w:eastAsia="SimSun"/>
        </w:rPr>
      </w:pPr>
      <w:r w:rsidRPr="00C07B2E">
        <w:rPr>
          <w:rFonts w:eastAsia="SimSun"/>
        </w:rPr>
        <w:t>злокачественные новообразования печени и внутрипеченочных желчных протоков (гепатобластома);</w:t>
      </w:r>
    </w:p>
    <w:p w14:paraId="75967415" w14:textId="77777777" w:rsidR="0089207C" w:rsidRPr="00C07B2E" w:rsidRDefault="0089207C" w:rsidP="0089207C">
      <w:pPr>
        <w:numPr>
          <w:ilvl w:val="0"/>
          <w:numId w:val="282"/>
        </w:numPr>
        <w:overflowPunct w:val="0"/>
        <w:autoSpaceDE w:val="0"/>
        <w:autoSpaceDN w:val="0"/>
        <w:adjustRightInd w:val="0"/>
        <w:textAlignment w:val="baseline"/>
        <w:rPr>
          <w:rFonts w:eastAsia="SimSun"/>
        </w:rPr>
      </w:pPr>
      <w:r w:rsidRPr="00C07B2E">
        <w:rPr>
          <w:rFonts w:eastAsia="SimSun"/>
        </w:rPr>
        <w:t>болезни кожи и подкожной клетчатки (склеродермия);</w:t>
      </w:r>
    </w:p>
    <w:p w14:paraId="27F04497" w14:textId="77777777" w:rsidR="0089207C" w:rsidRPr="00C07B2E" w:rsidRDefault="0089207C" w:rsidP="0089207C">
      <w:pPr>
        <w:numPr>
          <w:ilvl w:val="0"/>
          <w:numId w:val="282"/>
        </w:numPr>
        <w:overflowPunct w:val="0"/>
        <w:autoSpaceDE w:val="0"/>
        <w:autoSpaceDN w:val="0"/>
        <w:adjustRightInd w:val="0"/>
        <w:textAlignment w:val="baseline"/>
        <w:rPr>
          <w:rFonts w:eastAsia="SimSun"/>
        </w:rPr>
      </w:pPr>
      <w:r w:rsidRPr="00C07B2E">
        <w:rPr>
          <w:rFonts w:eastAsia="SimSun"/>
        </w:rPr>
        <w:t>системные поражения соединительной ткани (системная красная волчанка);</w:t>
      </w:r>
    </w:p>
    <w:p w14:paraId="47840B2E" w14:textId="77777777" w:rsidR="0089207C" w:rsidRPr="00C07B2E" w:rsidRDefault="0089207C" w:rsidP="0089207C">
      <w:pPr>
        <w:numPr>
          <w:ilvl w:val="0"/>
          <w:numId w:val="282"/>
        </w:numPr>
        <w:overflowPunct w:val="0"/>
        <w:autoSpaceDE w:val="0"/>
        <w:autoSpaceDN w:val="0"/>
        <w:adjustRightInd w:val="0"/>
        <w:textAlignment w:val="baseline"/>
        <w:rPr>
          <w:rFonts w:eastAsia="SimSun"/>
        </w:rPr>
      </w:pPr>
      <w:r w:rsidRPr="00C07B2E">
        <w:rPr>
          <w:rFonts w:eastAsia="SimSun"/>
        </w:rPr>
        <w:t>иные заболевания (состояния), при которых в соответствии с клиническими рекомендациями (протоколами лечения) по вопросам оказания медицинской помощи применяется трансплантации костного мозга или гемопоэтических стволовых клеток.</w:t>
      </w:r>
    </w:p>
    <w:p w14:paraId="2FADB1A3" w14:textId="77777777" w:rsidR="0089207C" w:rsidRDefault="0089207C" w:rsidP="0089207C">
      <w:pPr>
        <w:rPr>
          <w:rFonts w:eastAsia="SimSun"/>
        </w:rPr>
      </w:pPr>
      <w:bookmarkStart w:id="167" w:name="_Toc44401107"/>
    </w:p>
    <w:p w14:paraId="35849075" w14:textId="77777777" w:rsidR="0089207C" w:rsidRPr="00EE51B1" w:rsidRDefault="0089207C" w:rsidP="0089207C">
      <w:pPr>
        <w:rPr>
          <w:rFonts w:eastAsia="SimSun"/>
          <w:i/>
          <w:u w:val="single"/>
        </w:rPr>
      </w:pPr>
      <w:r w:rsidRPr="00EE51B1">
        <w:rPr>
          <w:rFonts w:eastAsia="SimSun"/>
          <w:i/>
          <w:u w:val="single"/>
        </w:rPr>
        <w:t>Основные критерии для определения рисков трансплантационной летальности у пациентов, которым планируется выполнение алло-ТГСК</w:t>
      </w:r>
      <w:bookmarkEnd w:id="167"/>
      <w:r>
        <w:rPr>
          <w:rFonts w:eastAsia="SimSun"/>
          <w:i/>
          <w:u w:val="single"/>
        </w:rPr>
        <w:t xml:space="preserve"> </w:t>
      </w:r>
      <w:r w:rsidRPr="00EE51B1">
        <w:rPr>
          <w:rFonts w:eastAsia="SimSun"/>
          <w:u w:val="single"/>
        </w:rPr>
        <w:fldChar w:fldCharType="begin" w:fldLock="1"/>
      </w:r>
      <w:r w:rsidRPr="00EE51B1">
        <w:rPr>
          <w:rFonts w:eastAsia="SimSun"/>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plainTextFormattedCitation":"[1]"},"properties":{"noteIndex":0},"schema":"https://github.com/citation-style-language/schema/raw/master/csl-citation.json"}</w:instrText>
      </w:r>
      <w:r w:rsidRPr="00EE51B1">
        <w:rPr>
          <w:rFonts w:eastAsia="SimSun"/>
          <w:u w:val="single"/>
        </w:rPr>
        <w:fldChar w:fldCharType="separate"/>
      </w:r>
      <w:r w:rsidRPr="00EE51B1">
        <w:rPr>
          <w:rFonts w:eastAsia="SimSun"/>
          <w:noProof/>
          <w:u w:val="single"/>
        </w:rPr>
        <w:t>[1]</w:t>
      </w:r>
      <w:r w:rsidRPr="00EE51B1">
        <w:rPr>
          <w:rFonts w:eastAsia="SimSun"/>
          <w:u w:val="single"/>
        </w:rPr>
        <w:fldChar w:fldCharType="end"/>
      </w:r>
      <w:r>
        <w:rPr>
          <w:rFonts w:eastAsia="SimSun"/>
          <w:i/>
          <w:u w:val="single"/>
        </w:rPr>
        <w:t>:</w:t>
      </w:r>
      <w:r w:rsidRPr="00EE51B1">
        <w:rPr>
          <w:rFonts w:eastAsia="SimSun"/>
          <w:i/>
          <w:u w:val="single"/>
        </w:rPr>
        <w:t xml:space="preserve"> </w:t>
      </w:r>
    </w:p>
    <w:p w14:paraId="39A6B4F7" w14:textId="77777777" w:rsidR="0089207C" w:rsidRPr="00C07B2E" w:rsidRDefault="0089207C" w:rsidP="0089207C">
      <w:pPr>
        <w:numPr>
          <w:ilvl w:val="0"/>
          <w:numId w:val="283"/>
        </w:numPr>
        <w:overflowPunct w:val="0"/>
        <w:autoSpaceDE w:val="0"/>
        <w:autoSpaceDN w:val="0"/>
        <w:adjustRightInd w:val="0"/>
        <w:textAlignment w:val="baseline"/>
        <w:rPr>
          <w:rFonts w:eastAsia="SimSun"/>
        </w:rPr>
      </w:pPr>
      <w:r w:rsidRPr="00C07B2E">
        <w:rPr>
          <w:rFonts w:eastAsia="SimSun"/>
        </w:rPr>
        <w:t>Наличие верифицированного диагноза и статуса (ремиссия, рецидив, стабилизация, прогрессия), которые являются показанием для проведения алло-ТГСК.</w:t>
      </w:r>
    </w:p>
    <w:p w14:paraId="4B79471D" w14:textId="3EF20B2B" w:rsidR="0089207C" w:rsidRPr="00B61B42" w:rsidRDefault="0089207C" w:rsidP="0089207C">
      <w:pPr>
        <w:numPr>
          <w:ilvl w:val="0"/>
          <w:numId w:val="283"/>
        </w:numPr>
        <w:overflowPunct w:val="0"/>
        <w:autoSpaceDE w:val="0"/>
        <w:autoSpaceDN w:val="0"/>
        <w:adjustRightInd w:val="0"/>
        <w:textAlignment w:val="baseline"/>
        <w:rPr>
          <w:rFonts w:eastAsia="SimSun"/>
        </w:rPr>
      </w:pPr>
      <w:r w:rsidRPr="00B61B42">
        <w:rPr>
          <w:rFonts w:eastAsia="SimSun"/>
        </w:rPr>
        <w:t xml:space="preserve">Оценка рисков проведения алло-ТГСК по шкалам </w:t>
      </w:r>
      <w:r w:rsidRPr="00B61B42">
        <w:rPr>
          <w:rFonts w:eastAsia="SimSun"/>
          <w:lang w:val="en-US"/>
        </w:rPr>
        <w:t>EBMT</w:t>
      </w:r>
      <w:r w:rsidRPr="00B61B42">
        <w:rPr>
          <w:rFonts w:eastAsia="SimSun"/>
        </w:rPr>
        <w:t xml:space="preserve"> и </w:t>
      </w:r>
      <w:r w:rsidRPr="00B61B42">
        <w:rPr>
          <w:rFonts w:eastAsia="SimSun"/>
          <w:lang w:val="en-US"/>
        </w:rPr>
        <w:t>HCT</w:t>
      </w:r>
      <w:r w:rsidRPr="00B61B42">
        <w:rPr>
          <w:rFonts w:eastAsia="SimSun"/>
        </w:rPr>
        <w:t>-</w:t>
      </w:r>
      <w:r w:rsidRPr="00B61B42">
        <w:rPr>
          <w:rFonts w:eastAsia="SimSun"/>
          <w:lang w:val="en-US"/>
        </w:rPr>
        <w:t>CI</w:t>
      </w:r>
      <w:r w:rsidRPr="00B61B42">
        <w:rPr>
          <w:rFonts w:eastAsia="SimSun"/>
        </w:rPr>
        <w:t xml:space="preserve"> (приложения </w:t>
      </w:r>
      <w:r w:rsidR="00B61B42" w:rsidRPr="00B61B42">
        <w:rPr>
          <w:rFonts w:eastAsia="SimSun"/>
        </w:rPr>
        <w:t>Г4, Г5</w:t>
      </w:r>
      <w:r w:rsidRPr="00B61B42">
        <w:rPr>
          <w:rFonts w:eastAsia="SimSun"/>
        </w:rPr>
        <w:t>).</w:t>
      </w:r>
    </w:p>
    <w:p w14:paraId="06AA0625" w14:textId="3461BC43" w:rsidR="0089207C" w:rsidRPr="00B61B42" w:rsidRDefault="0089207C" w:rsidP="0089207C">
      <w:pPr>
        <w:numPr>
          <w:ilvl w:val="0"/>
          <w:numId w:val="283"/>
        </w:numPr>
        <w:overflowPunct w:val="0"/>
        <w:autoSpaceDE w:val="0"/>
        <w:autoSpaceDN w:val="0"/>
        <w:adjustRightInd w:val="0"/>
        <w:textAlignment w:val="baseline"/>
        <w:rPr>
          <w:rFonts w:eastAsia="SimSun"/>
        </w:rPr>
      </w:pPr>
      <w:r w:rsidRPr="00B61B42">
        <w:rPr>
          <w:rFonts w:eastAsia="SimSun"/>
        </w:rPr>
        <w:t xml:space="preserve">Оценка статуса кандидата в реципиенты согласно определению индекса Карновского и </w:t>
      </w:r>
      <w:r w:rsidRPr="00B61B42">
        <w:rPr>
          <w:rFonts w:eastAsia="SimSun"/>
          <w:lang w:val="en-US"/>
        </w:rPr>
        <w:t>ECOG</w:t>
      </w:r>
      <w:r w:rsidRPr="00B61B42">
        <w:rPr>
          <w:rFonts w:eastAsia="SimSun"/>
        </w:rPr>
        <w:t xml:space="preserve"> (приложение </w:t>
      </w:r>
      <w:r w:rsidR="00B61B42" w:rsidRPr="00B61B42">
        <w:rPr>
          <w:rFonts w:eastAsia="SimSun"/>
        </w:rPr>
        <w:t>Г</w:t>
      </w:r>
      <w:r w:rsidRPr="00B61B42">
        <w:rPr>
          <w:rFonts w:eastAsia="SimSun"/>
        </w:rPr>
        <w:t xml:space="preserve">1) </w:t>
      </w:r>
    </w:p>
    <w:p w14:paraId="43BA6E6A" w14:textId="77777777" w:rsidR="0089207C" w:rsidRPr="00EE51B1" w:rsidRDefault="0089207C" w:rsidP="0089207C">
      <w:pPr>
        <w:numPr>
          <w:ilvl w:val="0"/>
          <w:numId w:val="283"/>
        </w:numPr>
        <w:overflowPunct w:val="0"/>
        <w:autoSpaceDE w:val="0"/>
        <w:autoSpaceDN w:val="0"/>
        <w:adjustRightInd w:val="0"/>
        <w:textAlignment w:val="baseline"/>
        <w:rPr>
          <w:rFonts w:eastAsia="SimSun"/>
        </w:rPr>
      </w:pPr>
      <w:r w:rsidRPr="00B61B42">
        <w:rPr>
          <w:rFonts w:eastAsia="SimSun"/>
        </w:rPr>
        <w:t>Оценка психологического статуса, отсутствие обострения психических</w:t>
      </w:r>
      <w:r w:rsidRPr="00EE51B1">
        <w:rPr>
          <w:rFonts w:eastAsia="SimSun"/>
        </w:rPr>
        <w:t xml:space="preserve"> заболеваний. </w:t>
      </w:r>
    </w:p>
    <w:p w14:paraId="622AC274" w14:textId="77777777" w:rsidR="0089207C" w:rsidRPr="00EE51B1" w:rsidRDefault="0089207C" w:rsidP="0089207C">
      <w:pPr>
        <w:numPr>
          <w:ilvl w:val="0"/>
          <w:numId w:val="283"/>
        </w:numPr>
        <w:overflowPunct w:val="0"/>
        <w:autoSpaceDE w:val="0"/>
        <w:autoSpaceDN w:val="0"/>
        <w:adjustRightInd w:val="0"/>
        <w:textAlignment w:val="baseline"/>
        <w:rPr>
          <w:rFonts w:eastAsia="SimSun"/>
        </w:rPr>
      </w:pPr>
      <w:r w:rsidRPr="00EE51B1">
        <w:rPr>
          <w:rFonts w:eastAsia="SimSun"/>
        </w:rPr>
        <w:t>Оценка функционального состояния почек: концентрация креатинина сыворотки &lt;</w:t>
      </w:r>
      <w:r w:rsidRPr="00C07B2E">
        <w:rPr>
          <w:rFonts w:eastAsia="SimSun"/>
          <w:lang w:val="en-US"/>
        </w:rPr>
        <w:t> </w:t>
      </w:r>
      <w:r w:rsidRPr="00EE51B1">
        <w:rPr>
          <w:rFonts w:eastAsia="SimSun"/>
        </w:rPr>
        <w:t>177 мкмоль/л (&lt;</w:t>
      </w:r>
      <w:r w:rsidRPr="00C07B2E">
        <w:rPr>
          <w:rFonts w:eastAsia="SimSun"/>
        </w:rPr>
        <w:t> </w:t>
      </w:r>
      <w:r w:rsidRPr="00EE51B1">
        <w:rPr>
          <w:rFonts w:eastAsia="SimSun"/>
        </w:rPr>
        <w:t>2 мг/дл) или клиренс креатинина &gt;</w:t>
      </w:r>
      <w:r w:rsidRPr="00C07B2E">
        <w:rPr>
          <w:rFonts w:eastAsia="SimSun"/>
          <w:lang w:val="en-US"/>
        </w:rPr>
        <w:t> </w:t>
      </w:r>
      <w:r w:rsidRPr="00EE51B1">
        <w:rPr>
          <w:rFonts w:eastAsia="SimSun"/>
        </w:rPr>
        <w:t>50 мл/мин/1,73 м</w:t>
      </w:r>
      <w:r w:rsidRPr="00EE51B1">
        <w:rPr>
          <w:rFonts w:eastAsia="SimSun"/>
          <w:vertAlign w:val="superscript"/>
        </w:rPr>
        <w:t>2</w:t>
      </w:r>
      <w:r w:rsidRPr="00EE51B1">
        <w:rPr>
          <w:rFonts w:eastAsia="SimSun"/>
        </w:rPr>
        <w:t>.</w:t>
      </w:r>
    </w:p>
    <w:p w14:paraId="1D72D634" w14:textId="77777777" w:rsidR="0089207C" w:rsidRPr="00C07B2E" w:rsidRDefault="0089207C" w:rsidP="0089207C">
      <w:pPr>
        <w:numPr>
          <w:ilvl w:val="0"/>
          <w:numId w:val="283"/>
        </w:numPr>
        <w:overflowPunct w:val="0"/>
        <w:autoSpaceDE w:val="0"/>
        <w:autoSpaceDN w:val="0"/>
        <w:adjustRightInd w:val="0"/>
        <w:textAlignment w:val="baseline"/>
        <w:rPr>
          <w:rFonts w:eastAsia="SimSun"/>
        </w:rPr>
      </w:pPr>
      <w:r w:rsidRPr="00C07B2E">
        <w:rPr>
          <w:rFonts w:eastAsia="SimSun"/>
        </w:rPr>
        <w:t xml:space="preserve">Оценка функционального состояния сердечной деятельности: фракция выброса левого желудочка &gt; 35% по </w:t>
      </w:r>
      <w:r w:rsidRPr="00C07B2E">
        <w:rPr>
          <w:rFonts w:eastAsia="SimSun"/>
          <w:lang w:val="en-US"/>
        </w:rPr>
        <w:t>Simpson</w:t>
      </w:r>
      <w:r w:rsidRPr="00C07B2E">
        <w:rPr>
          <w:rFonts w:eastAsia="SimSun"/>
        </w:rPr>
        <w:t xml:space="preserve">, отсутствие нестабильной стенокардии в анамнезе, отсутствие желудочковых аритмий высоких градаций (нарушения ритма </w:t>
      </w:r>
      <w:r w:rsidRPr="00C07B2E">
        <w:rPr>
          <w:rFonts w:eastAsia="SimSun"/>
          <w:lang w:val="en-US"/>
        </w:rPr>
        <w:t>IV</w:t>
      </w:r>
      <w:r w:rsidRPr="00C07B2E">
        <w:rPr>
          <w:rFonts w:eastAsia="SimSun"/>
        </w:rPr>
        <w:t>–</w:t>
      </w:r>
      <w:r w:rsidRPr="00C07B2E">
        <w:rPr>
          <w:rFonts w:eastAsia="SimSun"/>
          <w:lang w:val="en-US"/>
        </w:rPr>
        <w:t>V</w:t>
      </w:r>
      <w:r w:rsidRPr="00C07B2E">
        <w:rPr>
          <w:rFonts w:eastAsia="SimSun"/>
        </w:rPr>
        <w:t xml:space="preserve"> градаций по </w:t>
      </w:r>
      <w:r w:rsidRPr="00C07B2E">
        <w:rPr>
          <w:rFonts w:eastAsia="SimSun"/>
          <w:lang w:val="en-US"/>
        </w:rPr>
        <w:t>Lawn</w:t>
      </w:r>
      <w:r w:rsidRPr="00C07B2E">
        <w:rPr>
          <w:rFonts w:eastAsia="SimSun"/>
        </w:rPr>
        <w:t>—</w:t>
      </w:r>
      <w:r w:rsidRPr="00C07B2E">
        <w:rPr>
          <w:rFonts w:eastAsia="SimSun"/>
          <w:lang w:val="en-US"/>
        </w:rPr>
        <w:t>Wolf</w:t>
      </w:r>
      <w:r w:rsidRPr="00C07B2E">
        <w:rPr>
          <w:rFonts w:eastAsia="SimSun"/>
        </w:rPr>
        <w:t xml:space="preserve">). </w:t>
      </w:r>
    </w:p>
    <w:p w14:paraId="5990383E" w14:textId="77777777" w:rsidR="0089207C" w:rsidRPr="00C07B2E" w:rsidRDefault="0089207C" w:rsidP="0089207C">
      <w:pPr>
        <w:numPr>
          <w:ilvl w:val="0"/>
          <w:numId w:val="283"/>
        </w:numPr>
        <w:overflowPunct w:val="0"/>
        <w:autoSpaceDE w:val="0"/>
        <w:autoSpaceDN w:val="0"/>
        <w:adjustRightInd w:val="0"/>
        <w:textAlignment w:val="baseline"/>
        <w:rPr>
          <w:rFonts w:eastAsia="SimSun"/>
        </w:rPr>
      </w:pPr>
      <w:r w:rsidRPr="00C07B2E">
        <w:rPr>
          <w:rFonts w:eastAsia="SimSun"/>
        </w:rPr>
        <w:lastRenderedPageBreak/>
        <w:t>Оценка функционального состояния легких: ОФВ1 ≥ 80%; по возможности определяют скорректированную диффузионную способность легких (DLCO), которая должна быть &gt; 35% должного.</w:t>
      </w:r>
    </w:p>
    <w:p w14:paraId="0CCA9AF0" w14:textId="77777777" w:rsidR="0089207C" w:rsidRPr="00C07B2E" w:rsidRDefault="0089207C" w:rsidP="0089207C">
      <w:pPr>
        <w:numPr>
          <w:ilvl w:val="0"/>
          <w:numId w:val="283"/>
        </w:numPr>
        <w:overflowPunct w:val="0"/>
        <w:autoSpaceDE w:val="0"/>
        <w:autoSpaceDN w:val="0"/>
        <w:adjustRightInd w:val="0"/>
        <w:textAlignment w:val="baseline"/>
        <w:rPr>
          <w:rFonts w:eastAsia="SimSun"/>
        </w:rPr>
      </w:pPr>
      <w:r w:rsidRPr="00C07B2E">
        <w:rPr>
          <w:rFonts w:eastAsia="SimSun"/>
        </w:rPr>
        <w:t xml:space="preserve">Оценка функционального состояния печени: </w:t>
      </w:r>
    </w:p>
    <w:p w14:paraId="53A698B1" w14:textId="77777777" w:rsidR="0089207C" w:rsidRPr="00C07B2E" w:rsidRDefault="0089207C" w:rsidP="0089207C">
      <w:pPr>
        <w:numPr>
          <w:ilvl w:val="1"/>
          <w:numId w:val="283"/>
        </w:numPr>
        <w:overflowPunct w:val="0"/>
        <w:autoSpaceDE w:val="0"/>
        <w:autoSpaceDN w:val="0"/>
        <w:adjustRightInd w:val="0"/>
        <w:textAlignment w:val="baseline"/>
      </w:pPr>
      <w:r w:rsidRPr="00C07B2E">
        <w:t>концентрация общего билирубина ≤ 22 мкмоль/л (за исключением доказанного синдрома Жильбера);</w:t>
      </w:r>
    </w:p>
    <w:p w14:paraId="393C9E49" w14:textId="77777777" w:rsidR="0089207C" w:rsidRPr="00EE51B1" w:rsidRDefault="0089207C" w:rsidP="0089207C">
      <w:pPr>
        <w:numPr>
          <w:ilvl w:val="1"/>
          <w:numId w:val="283"/>
        </w:numPr>
        <w:overflowPunct w:val="0"/>
        <w:autoSpaceDE w:val="0"/>
        <w:autoSpaceDN w:val="0"/>
        <w:adjustRightInd w:val="0"/>
        <w:textAlignment w:val="baseline"/>
      </w:pPr>
      <w:r w:rsidRPr="00C07B2E">
        <w:t>концентрация общего билирубина ≤ 30 мкмоль/л (за исключением доказанного синдрома Жильбера)</w:t>
      </w:r>
      <w:r w:rsidRPr="00EE51B1">
        <w:t>.</w:t>
      </w:r>
    </w:p>
    <w:p w14:paraId="65912425" w14:textId="77777777" w:rsidR="0089207C" w:rsidRDefault="0089207C" w:rsidP="0089207C">
      <w:pPr>
        <w:rPr>
          <w:rFonts w:eastAsia="SimSun"/>
        </w:rPr>
      </w:pPr>
      <w:bookmarkStart w:id="168" w:name="_Toc44401108"/>
    </w:p>
    <w:p w14:paraId="0C24802D" w14:textId="77777777" w:rsidR="0089207C" w:rsidRPr="00EE51B1" w:rsidRDefault="0089207C" w:rsidP="0089207C">
      <w:pPr>
        <w:rPr>
          <w:rFonts w:eastAsia="SimSun"/>
          <w:i/>
          <w:u w:val="single"/>
        </w:rPr>
      </w:pPr>
      <w:r w:rsidRPr="00EE51B1">
        <w:rPr>
          <w:rFonts w:eastAsia="SimSun"/>
          <w:i/>
          <w:u w:val="single"/>
        </w:rPr>
        <w:t>Дополнительные критерии определения рисков трансплантационной летальности у пациентов, которым планируется выполнение алло-ТГСК</w:t>
      </w:r>
      <w:bookmarkEnd w:id="168"/>
      <w:r w:rsidRPr="00EE51B1">
        <w:rPr>
          <w:rFonts w:eastAsia="SimSun"/>
          <w:i/>
          <w:u w:val="single"/>
        </w:rPr>
        <w:t xml:space="preserve"> </w:t>
      </w:r>
      <w:r w:rsidRPr="00EE51B1">
        <w:rPr>
          <w:rFonts w:eastAsia="SimSun"/>
          <w:i/>
          <w:u w:val="single"/>
        </w:rPr>
        <w:fldChar w:fldCharType="begin" w:fldLock="1"/>
      </w:r>
      <w:r w:rsidRPr="00EE51B1">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plainTextFormattedCitation":"[1]"},"properties":{"noteIndex":0},"schema":"https://github.com/citation-style-language/schema/raw/master/csl-citation.json"}</w:instrText>
      </w:r>
      <w:r w:rsidRPr="00EE51B1">
        <w:rPr>
          <w:rFonts w:eastAsia="SimSun"/>
          <w:i/>
          <w:u w:val="single"/>
        </w:rPr>
        <w:fldChar w:fldCharType="separate"/>
      </w:r>
      <w:r w:rsidRPr="00EE51B1">
        <w:rPr>
          <w:rFonts w:eastAsia="SimSun"/>
          <w:i/>
          <w:noProof/>
          <w:u w:val="single"/>
        </w:rPr>
        <w:t>[1]</w:t>
      </w:r>
      <w:r w:rsidRPr="00EE51B1">
        <w:rPr>
          <w:rFonts w:eastAsia="SimSun"/>
          <w:i/>
          <w:u w:val="single"/>
        </w:rPr>
        <w:fldChar w:fldCharType="end"/>
      </w:r>
      <w:r w:rsidRPr="00EE51B1">
        <w:rPr>
          <w:rFonts w:eastAsia="SimSun"/>
          <w:i/>
          <w:u w:val="single"/>
        </w:rPr>
        <w:t>:</w:t>
      </w:r>
    </w:p>
    <w:p w14:paraId="6F5604ED" w14:textId="77777777" w:rsidR="0089207C" w:rsidRPr="00C07B2E" w:rsidRDefault="0089207C" w:rsidP="0089207C">
      <w:pPr>
        <w:numPr>
          <w:ilvl w:val="0"/>
          <w:numId w:val="284"/>
        </w:numPr>
        <w:overflowPunct w:val="0"/>
        <w:autoSpaceDE w:val="0"/>
        <w:autoSpaceDN w:val="0"/>
        <w:adjustRightInd w:val="0"/>
        <w:textAlignment w:val="baseline"/>
        <w:rPr>
          <w:rFonts w:eastAsia="SimSun"/>
        </w:rPr>
      </w:pPr>
      <w:r w:rsidRPr="00C07B2E">
        <w:rPr>
          <w:rFonts w:eastAsia="SimSun"/>
        </w:rPr>
        <w:t xml:space="preserve">Иммунодепрессивное состояние: нейтропения, лимфопения с концентрацией </w:t>
      </w:r>
      <w:r w:rsidRPr="00C07B2E">
        <w:rPr>
          <w:rFonts w:eastAsia="SimSun"/>
          <w:lang w:val="en-US"/>
        </w:rPr>
        <w:t>CD</w:t>
      </w:r>
      <w:r w:rsidRPr="00C07B2E">
        <w:rPr>
          <w:rFonts w:eastAsia="SimSun"/>
        </w:rPr>
        <w:t>4+ ≤ 200 клеток/мкл, гипогаммаглобулинемия, аспления, применение высоких доз ГКС на этапе предшествующей химиотерапии и связь с основным заболеванием.</w:t>
      </w:r>
    </w:p>
    <w:p w14:paraId="5207FC58" w14:textId="77777777" w:rsidR="0089207C" w:rsidRPr="00C07B2E" w:rsidRDefault="0089207C" w:rsidP="0089207C">
      <w:pPr>
        <w:numPr>
          <w:ilvl w:val="0"/>
          <w:numId w:val="284"/>
        </w:numPr>
        <w:overflowPunct w:val="0"/>
        <w:autoSpaceDE w:val="0"/>
        <w:autoSpaceDN w:val="0"/>
        <w:adjustRightInd w:val="0"/>
        <w:textAlignment w:val="baseline"/>
        <w:rPr>
          <w:rFonts w:eastAsia="SimSun"/>
        </w:rPr>
      </w:pPr>
      <w:r w:rsidRPr="00C07B2E">
        <w:rPr>
          <w:rFonts w:eastAsia="SimSun"/>
        </w:rPr>
        <w:t>Инфекционные осложнения и степень их тяжести, значимость и длительность  в период предшествующей химиотерапии с указанием локализации, чувствительности возбудителя к антимикробным средствам, проводимой терапии: фебрильная нейтропения, пневмония (с указанием установленного возбудителя или отсутствием верификации возбудителя), грибковые инфекции, вирусные инфекции.</w:t>
      </w:r>
    </w:p>
    <w:p w14:paraId="1768ACBD" w14:textId="77777777" w:rsidR="0089207C" w:rsidRPr="00C07B2E" w:rsidRDefault="0089207C" w:rsidP="0089207C">
      <w:pPr>
        <w:numPr>
          <w:ilvl w:val="0"/>
          <w:numId w:val="284"/>
        </w:numPr>
        <w:overflowPunct w:val="0"/>
        <w:autoSpaceDE w:val="0"/>
        <w:autoSpaceDN w:val="0"/>
        <w:adjustRightInd w:val="0"/>
        <w:textAlignment w:val="baseline"/>
        <w:rPr>
          <w:rFonts w:eastAsia="SimSun"/>
        </w:rPr>
      </w:pPr>
      <w:r w:rsidRPr="00C07B2E">
        <w:rPr>
          <w:rFonts w:eastAsia="SimSun"/>
        </w:rPr>
        <w:t>Перенесенные заболевания в том числе (</w:t>
      </w:r>
      <w:r w:rsidRPr="00C07B2E">
        <w:rPr>
          <w:rFonts w:eastAsia="SimSun"/>
          <w:lang w:val="en-US"/>
        </w:rPr>
        <w:t>COVID</w:t>
      </w:r>
      <w:r w:rsidRPr="00C07B2E">
        <w:rPr>
          <w:rFonts w:eastAsia="SimSun"/>
        </w:rPr>
        <w:t>-19, туберкулез, вирусные гепатиты)</w:t>
      </w:r>
    </w:p>
    <w:p w14:paraId="25B7904D" w14:textId="77777777" w:rsidR="0089207C" w:rsidRPr="00C07B2E" w:rsidRDefault="0089207C" w:rsidP="0089207C">
      <w:pPr>
        <w:numPr>
          <w:ilvl w:val="0"/>
          <w:numId w:val="284"/>
        </w:numPr>
        <w:overflowPunct w:val="0"/>
        <w:autoSpaceDE w:val="0"/>
        <w:autoSpaceDN w:val="0"/>
        <w:adjustRightInd w:val="0"/>
        <w:textAlignment w:val="baseline"/>
        <w:rPr>
          <w:rFonts w:eastAsia="SimSun"/>
        </w:rPr>
      </w:pPr>
      <w:r w:rsidRPr="00C07B2E">
        <w:rPr>
          <w:rFonts w:eastAsia="SimSun"/>
        </w:rPr>
        <w:t>Наличие донорспецифичных анти-</w:t>
      </w:r>
      <w:r w:rsidRPr="00C07B2E">
        <w:rPr>
          <w:rFonts w:eastAsia="SimSun"/>
          <w:lang w:val="en-US"/>
        </w:rPr>
        <w:t>HLA</w:t>
      </w:r>
      <w:r w:rsidRPr="00C07B2E">
        <w:rPr>
          <w:rFonts w:eastAsia="SimSun"/>
        </w:rPr>
        <w:t xml:space="preserve">-антител у реципиента при неродственной частично совместимой или гаплоидентичной ТГСК </w:t>
      </w:r>
    </w:p>
    <w:p w14:paraId="0E2791F3" w14:textId="77777777" w:rsidR="0089207C" w:rsidRPr="00C07B2E" w:rsidRDefault="0089207C" w:rsidP="0089207C">
      <w:pPr>
        <w:numPr>
          <w:ilvl w:val="0"/>
          <w:numId w:val="284"/>
        </w:numPr>
        <w:overflowPunct w:val="0"/>
        <w:autoSpaceDE w:val="0"/>
        <w:autoSpaceDN w:val="0"/>
        <w:adjustRightInd w:val="0"/>
        <w:textAlignment w:val="baseline"/>
        <w:rPr>
          <w:rFonts w:eastAsia="SimSun"/>
        </w:rPr>
      </w:pPr>
      <w:r w:rsidRPr="00C07B2E">
        <w:rPr>
          <w:rFonts w:eastAsia="SimSun"/>
        </w:rPr>
        <w:t>Тромботические, геморрагические события на этапе предшествующей терапии и причины при их верификации</w:t>
      </w:r>
    </w:p>
    <w:p w14:paraId="1F16BEB1" w14:textId="77777777" w:rsidR="0089207C" w:rsidRPr="00C07B2E" w:rsidRDefault="0089207C" w:rsidP="0089207C">
      <w:pPr>
        <w:numPr>
          <w:ilvl w:val="0"/>
          <w:numId w:val="284"/>
        </w:numPr>
        <w:overflowPunct w:val="0"/>
        <w:autoSpaceDE w:val="0"/>
        <w:autoSpaceDN w:val="0"/>
        <w:adjustRightInd w:val="0"/>
        <w:textAlignment w:val="baseline"/>
        <w:rPr>
          <w:rFonts w:eastAsia="SimSun"/>
        </w:rPr>
      </w:pPr>
      <w:r w:rsidRPr="00C07B2E">
        <w:rPr>
          <w:rFonts w:eastAsia="SimSun"/>
        </w:rPr>
        <w:t xml:space="preserve">Трансфузионный анамнез, наличие данных за рефрактерность к трансфузиям компонентов донорской крови. </w:t>
      </w:r>
    </w:p>
    <w:p w14:paraId="469E549B" w14:textId="77777777" w:rsidR="0089207C" w:rsidRPr="00C07B2E" w:rsidRDefault="0089207C" w:rsidP="0089207C">
      <w:pPr>
        <w:numPr>
          <w:ilvl w:val="0"/>
          <w:numId w:val="284"/>
        </w:numPr>
        <w:overflowPunct w:val="0"/>
        <w:autoSpaceDE w:val="0"/>
        <w:autoSpaceDN w:val="0"/>
        <w:adjustRightInd w:val="0"/>
        <w:textAlignment w:val="baseline"/>
        <w:rPr>
          <w:rFonts w:eastAsia="SimSun"/>
        </w:rPr>
      </w:pPr>
      <w:r w:rsidRPr="00C07B2E">
        <w:rPr>
          <w:rFonts w:eastAsia="SimSun"/>
        </w:rPr>
        <w:t>Наличие гемохроматоза и/или лабораторных признаков перегрузки железом. Проведение в анамнезе трансфузий от родственных доноров.</w:t>
      </w:r>
    </w:p>
    <w:p w14:paraId="4320A303" w14:textId="77777777" w:rsidR="0089207C" w:rsidRPr="00C07B2E" w:rsidRDefault="0089207C" w:rsidP="0089207C">
      <w:pPr>
        <w:numPr>
          <w:ilvl w:val="0"/>
          <w:numId w:val="284"/>
        </w:numPr>
        <w:overflowPunct w:val="0"/>
        <w:autoSpaceDE w:val="0"/>
        <w:autoSpaceDN w:val="0"/>
        <w:adjustRightInd w:val="0"/>
        <w:textAlignment w:val="baseline"/>
        <w:rPr>
          <w:rFonts w:eastAsia="SimSun"/>
        </w:rPr>
      </w:pPr>
      <w:r w:rsidRPr="00C07B2E">
        <w:rPr>
          <w:rFonts w:eastAsia="SimSun"/>
        </w:rPr>
        <w:t>Наличие врожденных или приобретенных пороков</w:t>
      </w:r>
    </w:p>
    <w:p w14:paraId="561A88B9" w14:textId="77777777" w:rsidR="0089207C" w:rsidRPr="00C07B2E" w:rsidRDefault="0089207C" w:rsidP="0089207C">
      <w:pPr>
        <w:numPr>
          <w:ilvl w:val="0"/>
          <w:numId w:val="284"/>
        </w:numPr>
        <w:overflowPunct w:val="0"/>
        <w:autoSpaceDE w:val="0"/>
        <w:autoSpaceDN w:val="0"/>
        <w:adjustRightInd w:val="0"/>
        <w:textAlignment w:val="baseline"/>
        <w:rPr>
          <w:rFonts w:eastAsia="SimSun"/>
        </w:rPr>
      </w:pPr>
      <w:r w:rsidRPr="00C07B2E">
        <w:rPr>
          <w:rFonts w:eastAsia="SimSun"/>
        </w:rPr>
        <w:t>Наличие протезов, имплантатов и биоматериалов.</w:t>
      </w:r>
    </w:p>
    <w:p w14:paraId="52FC0ADB" w14:textId="77777777" w:rsidR="0089207C" w:rsidRPr="00C07B2E" w:rsidRDefault="0089207C" w:rsidP="0089207C">
      <w:pPr>
        <w:numPr>
          <w:ilvl w:val="0"/>
          <w:numId w:val="284"/>
        </w:numPr>
        <w:overflowPunct w:val="0"/>
        <w:autoSpaceDE w:val="0"/>
        <w:autoSpaceDN w:val="0"/>
        <w:adjustRightInd w:val="0"/>
        <w:textAlignment w:val="baseline"/>
        <w:rPr>
          <w:rFonts w:eastAsia="SimSun"/>
        </w:rPr>
      </w:pPr>
      <w:r w:rsidRPr="00C07B2E">
        <w:rPr>
          <w:rFonts w:eastAsia="SimSun"/>
        </w:rPr>
        <w:t>Наличие хронических заболеваний и их стадия.</w:t>
      </w:r>
    </w:p>
    <w:p w14:paraId="2A3951BF" w14:textId="3BF6A950" w:rsidR="0089207C" w:rsidRPr="00470D3D" w:rsidRDefault="0089207C" w:rsidP="0089207C">
      <w:pPr>
        <w:numPr>
          <w:ilvl w:val="0"/>
          <w:numId w:val="284"/>
        </w:numPr>
        <w:overflowPunct w:val="0"/>
        <w:autoSpaceDE w:val="0"/>
        <w:autoSpaceDN w:val="0"/>
        <w:adjustRightInd w:val="0"/>
        <w:textAlignment w:val="baseline"/>
        <w:rPr>
          <w:rFonts w:eastAsia="SimSun"/>
        </w:rPr>
      </w:pPr>
      <w:r w:rsidRPr="00470D3D">
        <w:rPr>
          <w:rFonts w:eastAsia="SimSun"/>
        </w:rPr>
        <w:lastRenderedPageBreak/>
        <w:t>Информация о лечении зубов в течение последних 6 ме</w:t>
      </w:r>
      <w:r w:rsidR="00B61B42">
        <w:rPr>
          <w:rFonts w:eastAsia="SimSun"/>
        </w:rPr>
        <w:t>с.,</w:t>
      </w:r>
      <w:r w:rsidRPr="00470D3D">
        <w:rPr>
          <w:rFonts w:eastAsia="SimSun"/>
        </w:rPr>
        <w:t xml:space="preserve"> при отсутствии информации</w:t>
      </w:r>
      <w:r w:rsidRPr="00C07B2E">
        <w:rPr>
          <w:rFonts w:eastAsia="SimSun"/>
        </w:rPr>
        <w:t> </w:t>
      </w:r>
      <w:r w:rsidRPr="00470D3D">
        <w:rPr>
          <w:rFonts w:eastAsia="SimSun"/>
        </w:rPr>
        <w:t>— обязательно осмотр стоматолога.</w:t>
      </w:r>
    </w:p>
    <w:p w14:paraId="7401CC39" w14:textId="77777777" w:rsidR="0089207C" w:rsidRPr="00C07B2E" w:rsidRDefault="0089207C" w:rsidP="0089207C">
      <w:pPr>
        <w:numPr>
          <w:ilvl w:val="0"/>
          <w:numId w:val="284"/>
        </w:numPr>
        <w:overflowPunct w:val="0"/>
        <w:autoSpaceDE w:val="0"/>
        <w:autoSpaceDN w:val="0"/>
        <w:adjustRightInd w:val="0"/>
        <w:textAlignment w:val="baseline"/>
        <w:rPr>
          <w:rFonts w:eastAsia="SimSun"/>
        </w:rPr>
      </w:pPr>
      <w:r w:rsidRPr="00C07B2E">
        <w:rPr>
          <w:rFonts w:eastAsia="SimSun"/>
        </w:rPr>
        <w:t>Консультация гинеколога для женщин с целью выявления риска дисфункциональных маточных кровотечений/перименопаузального статуса.</w:t>
      </w:r>
    </w:p>
    <w:p w14:paraId="04049D9F" w14:textId="77777777" w:rsidR="0089207C" w:rsidRPr="00C07B2E" w:rsidRDefault="0089207C" w:rsidP="0089207C">
      <w:pPr>
        <w:numPr>
          <w:ilvl w:val="0"/>
          <w:numId w:val="284"/>
        </w:numPr>
        <w:overflowPunct w:val="0"/>
        <w:autoSpaceDE w:val="0"/>
        <w:autoSpaceDN w:val="0"/>
        <w:adjustRightInd w:val="0"/>
        <w:textAlignment w:val="baseline"/>
        <w:rPr>
          <w:rFonts w:eastAsia="SimSun"/>
        </w:rPr>
      </w:pPr>
      <w:r w:rsidRPr="00C07B2E">
        <w:rPr>
          <w:rFonts w:eastAsia="SimSun"/>
        </w:rPr>
        <w:t>Эпилептическая активность подтвержденная результатами ЭЭГ</w:t>
      </w:r>
    </w:p>
    <w:p w14:paraId="401F9A6E" w14:textId="77777777" w:rsidR="0089207C" w:rsidRPr="00C07B2E" w:rsidRDefault="0089207C" w:rsidP="0089207C">
      <w:pPr>
        <w:numPr>
          <w:ilvl w:val="0"/>
          <w:numId w:val="284"/>
        </w:numPr>
        <w:overflowPunct w:val="0"/>
        <w:autoSpaceDE w:val="0"/>
        <w:autoSpaceDN w:val="0"/>
        <w:adjustRightInd w:val="0"/>
        <w:textAlignment w:val="baseline"/>
        <w:rPr>
          <w:rFonts w:eastAsia="SimSun"/>
        </w:rPr>
      </w:pPr>
      <w:r w:rsidRPr="00C07B2E">
        <w:rPr>
          <w:rFonts w:eastAsia="SimSun"/>
        </w:rPr>
        <w:t xml:space="preserve">Нутритивный статус: избыточный вес или дефицит массы тела. </w:t>
      </w:r>
    </w:p>
    <w:p w14:paraId="1774343F" w14:textId="77777777" w:rsidR="0089207C" w:rsidRPr="00C07B2E" w:rsidRDefault="0089207C" w:rsidP="0089207C">
      <w:pPr>
        <w:numPr>
          <w:ilvl w:val="0"/>
          <w:numId w:val="284"/>
        </w:numPr>
        <w:overflowPunct w:val="0"/>
        <w:autoSpaceDE w:val="0"/>
        <w:autoSpaceDN w:val="0"/>
        <w:adjustRightInd w:val="0"/>
        <w:textAlignment w:val="baseline"/>
        <w:rPr>
          <w:rFonts w:eastAsia="SimSun"/>
        </w:rPr>
      </w:pPr>
      <w:bookmarkStart w:id="169" w:name="_Toc44401109"/>
      <w:r w:rsidRPr="00C07B2E">
        <w:rPr>
          <w:rFonts w:eastAsia="SimSun"/>
        </w:rPr>
        <w:t>Критерии, при наличии которых выполнение алло-ТГСК противопоказано</w:t>
      </w:r>
      <w:bookmarkEnd w:id="169"/>
      <w:r w:rsidRPr="00C07B2E">
        <w:rPr>
          <w:rFonts w:eastAsia="SimSun"/>
        </w:rPr>
        <w:t xml:space="preserve"> </w:t>
      </w:r>
    </w:p>
    <w:p w14:paraId="600516E6" w14:textId="77777777" w:rsidR="0089207C" w:rsidRPr="00C07B2E" w:rsidRDefault="0089207C" w:rsidP="0089207C">
      <w:pPr>
        <w:numPr>
          <w:ilvl w:val="0"/>
          <w:numId w:val="284"/>
        </w:numPr>
        <w:overflowPunct w:val="0"/>
        <w:autoSpaceDE w:val="0"/>
        <w:autoSpaceDN w:val="0"/>
        <w:adjustRightInd w:val="0"/>
        <w:textAlignment w:val="baseline"/>
        <w:rPr>
          <w:rFonts w:eastAsia="SimSun"/>
        </w:rPr>
      </w:pPr>
      <w:r w:rsidRPr="00C07B2E">
        <w:rPr>
          <w:rFonts w:eastAsia="SimSun"/>
        </w:rPr>
        <w:t>Беременность</w:t>
      </w:r>
    </w:p>
    <w:p w14:paraId="3E4C505E" w14:textId="77777777" w:rsidR="0089207C" w:rsidRPr="00C07B2E" w:rsidRDefault="0089207C" w:rsidP="0089207C">
      <w:pPr>
        <w:numPr>
          <w:ilvl w:val="0"/>
          <w:numId w:val="284"/>
        </w:numPr>
        <w:overflowPunct w:val="0"/>
        <w:autoSpaceDE w:val="0"/>
        <w:autoSpaceDN w:val="0"/>
        <w:adjustRightInd w:val="0"/>
        <w:textAlignment w:val="baseline"/>
        <w:rPr>
          <w:rFonts w:eastAsia="SimSun"/>
        </w:rPr>
      </w:pPr>
      <w:r w:rsidRPr="00C07B2E">
        <w:rPr>
          <w:rFonts w:eastAsia="SimSun"/>
        </w:rPr>
        <w:t xml:space="preserve">Цирроз печени, активный вирусный гепатит с признаками нарушения функции печени (гипербилирубинемия, синдром цитолиза, снижение белково-синтетической функции печени) </w:t>
      </w:r>
    </w:p>
    <w:p w14:paraId="10B405AF" w14:textId="77777777" w:rsidR="0089207C" w:rsidRPr="00C07B2E" w:rsidRDefault="0089207C" w:rsidP="0089207C">
      <w:pPr>
        <w:numPr>
          <w:ilvl w:val="0"/>
          <w:numId w:val="284"/>
        </w:numPr>
        <w:overflowPunct w:val="0"/>
        <w:autoSpaceDE w:val="0"/>
        <w:autoSpaceDN w:val="0"/>
        <w:adjustRightInd w:val="0"/>
        <w:textAlignment w:val="baseline"/>
        <w:rPr>
          <w:rFonts w:eastAsia="SimSun"/>
        </w:rPr>
      </w:pPr>
      <w:r w:rsidRPr="00C07B2E">
        <w:rPr>
          <w:rFonts w:eastAsia="SimSun"/>
        </w:rPr>
        <w:t>Наличие любой неконтролируемой инфекции.</w:t>
      </w:r>
    </w:p>
    <w:p w14:paraId="654AD4C0" w14:textId="77777777" w:rsidR="0089207C" w:rsidRPr="00C07B2E" w:rsidRDefault="0089207C" w:rsidP="0089207C">
      <w:pPr>
        <w:numPr>
          <w:ilvl w:val="0"/>
          <w:numId w:val="284"/>
        </w:numPr>
        <w:overflowPunct w:val="0"/>
        <w:autoSpaceDE w:val="0"/>
        <w:autoSpaceDN w:val="0"/>
        <w:adjustRightInd w:val="0"/>
        <w:textAlignment w:val="baseline"/>
        <w:rPr>
          <w:rFonts w:eastAsia="SimSun"/>
        </w:rPr>
      </w:pPr>
      <w:r w:rsidRPr="00C07B2E">
        <w:rPr>
          <w:rFonts w:eastAsia="SimSun"/>
          <w:u w:val="single"/>
        </w:rPr>
        <w:t>Другие</w:t>
      </w:r>
      <w:r w:rsidRPr="00C07B2E">
        <w:rPr>
          <w:rFonts w:eastAsia="SimSun"/>
        </w:rPr>
        <w:t xml:space="preserve"> онкологические заболевания различных стадий и локализаций вне ремиссии.</w:t>
      </w:r>
    </w:p>
    <w:p w14:paraId="02D0C336" w14:textId="77777777" w:rsidR="0089207C" w:rsidRDefault="0089207C" w:rsidP="0089207C">
      <w:pPr>
        <w:rPr>
          <w:rFonts w:eastAsia="SimSun"/>
        </w:rPr>
      </w:pPr>
      <w:bookmarkStart w:id="170" w:name="_Toc44401110"/>
    </w:p>
    <w:p w14:paraId="1DDDB2F4" w14:textId="77777777" w:rsidR="0089207C" w:rsidRPr="00470D3D" w:rsidRDefault="0089207C" w:rsidP="0089207C">
      <w:pPr>
        <w:rPr>
          <w:rFonts w:eastAsia="SimSun"/>
          <w:i/>
          <w:u w:val="single"/>
        </w:rPr>
      </w:pPr>
      <w:bookmarkStart w:id="171" w:name="_Toc44401124"/>
      <w:r w:rsidRPr="00470D3D">
        <w:rPr>
          <w:rFonts w:eastAsia="SimSun"/>
          <w:i/>
          <w:u w:val="single"/>
        </w:rPr>
        <w:t>Список лабораторных и инструментальных исследований для обследования кандидатов на алло-ТГСК</w:t>
      </w:r>
      <w:bookmarkEnd w:id="171"/>
      <w:r w:rsidRPr="00470D3D">
        <w:rPr>
          <w:rFonts w:eastAsia="SimSun"/>
          <w:i/>
          <w:u w:val="single"/>
        </w:rPr>
        <w:t xml:space="preserve"> </w:t>
      </w:r>
      <w:r w:rsidRPr="00470D3D">
        <w:rPr>
          <w:rFonts w:eastAsia="SimSun"/>
          <w:i/>
          <w:u w:val="single"/>
        </w:rPr>
        <w:fldChar w:fldCharType="begin" w:fldLock="1"/>
      </w:r>
      <w:r w:rsidRPr="00470D3D">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plainTextFormattedCitation":"[1]"},"properties":{"noteIndex":0},"schema":"https://github.com/citation-style-language/schema/raw/master/csl-citation.json"}</w:instrText>
      </w:r>
      <w:r w:rsidRPr="00470D3D">
        <w:rPr>
          <w:rFonts w:eastAsia="SimSun"/>
          <w:i/>
          <w:u w:val="single"/>
        </w:rPr>
        <w:fldChar w:fldCharType="separate"/>
      </w:r>
      <w:r w:rsidRPr="00470D3D">
        <w:rPr>
          <w:rFonts w:eastAsia="SimSun"/>
          <w:i/>
          <w:noProof/>
          <w:u w:val="single"/>
        </w:rPr>
        <w:t>[1]</w:t>
      </w:r>
      <w:r w:rsidRPr="00470D3D">
        <w:rPr>
          <w:rFonts w:eastAsia="SimSun"/>
          <w:i/>
          <w:u w:val="single"/>
        </w:rPr>
        <w:fldChar w:fldCharType="end"/>
      </w:r>
      <w:r>
        <w:rPr>
          <w:rFonts w:eastAsia="SimSun"/>
          <w:i/>
          <w:u w:val="single"/>
        </w:rPr>
        <w:t>:</w:t>
      </w:r>
    </w:p>
    <w:p w14:paraId="5D27074B" w14:textId="77777777" w:rsidR="0089207C" w:rsidRPr="00470D3D" w:rsidRDefault="0089207C" w:rsidP="0089207C">
      <w:pPr>
        <w:numPr>
          <w:ilvl w:val="0"/>
          <w:numId w:val="290"/>
        </w:numPr>
        <w:overflowPunct w:val="0"/>
        <w:autoSpaceDE w:val="0"/>
        <w:autoSpaceDN w:val="0"/>
        <w:adjustRightInd w:val="0"/>
        <w:textAlignment w:val="baseline"/>
        <w:rPr>
          <w:rFonts w:eastAsia="SimSun"/>
        </w:rPr>
      </w:pPr>
      <w:r w:rsidRPr="00470D3D">
        <w:rPr>
          <w:rFonts w:eastAsia="SimSun"/>
        </w:rPr>
        <w:t>Общеклинический анализ крови с лейкоцитарной формулой</w:t>
      </w:r>
      <w:r w:rsidRPr="00522016">
        <w:rPr>
          <w:rStyle w:val="af5"/>
          <w:rFonts w:eastAsia="SimSun"/>
        </w:rPr>
        <w:footnoteReference w:id="1"/>
      </w:r>
      <w:r w:rsidRPr="00470D3D">
        <w:rPr>
          <w:rFonts w:eastAsia="SimSun"/>
        </w:rPr>
        <w:t>.</w:t>
      </w:r>
    </w:p>
    <w:p w14:paraId="3D4FB21F" w14:textId="77777777" w:rsidR="0089207C" w:rsidRPr="00470D3D" w:rsidRDefault="0089207C" w:rsidP="0089207C">
      <w:pPr>
        <w:numPr>
          <w:ilvl w:val="0"/>
          <w:numId w:val="290"/>
        </w:numPr>
        <w:overflowPunct w:val="0"/>
        <w:autoSpaceDE w:val="0"/>
        <w:autoSpaceDN w:val="0"/>
        <w:adjustRightInd w:val="0"/>
        <w:textAlignment w:val="baseline"/>
        <w:rPr>
          <w:rFonts w:eastAsia="SimSun"/>
        </w:rPr>
      </w:pPr>
      <w:r w:rsidRPr="00470D3D">
        <w:rPr>
          <w:rFonts w:eastAsia="SimSun"/>
        </w:rPr>
        <w:t>Биохимический анализ крови (общий белок, альбумин, глобулин, общий холестерин, мочевая кислота, креатинин, мочевина, билирубин и его фракции, АЛТ, АСТ, щелочная фосфатаза, ГГТП, ЛДГ, ферритин)</w:t>
      </w:r>
      <w:r w:rsidRPr="00522016">
        <w:rPr>
          <w:rStyle w:val="af5"/>
          <w:rFonts w:eastAsia="SimSun"/>
        </w:rPr>
        <w:footnoteReference w:id="2"/>
      </w:r>
      <w:r w:rsidRPr="00470D3D">
        <w:rPr>
          <w:rFonts w:eastAsia="SimSun"/>
        </w:rPr>
        <w:t>.</w:t>
      </w:r>
    </w:p>
    <w:p w14:paraId="35711BFD" w14:textId="77777777" w:rsidR="0089207C" w:rsidRPr="00470D3D" w:rsidRDefault="0089207C" w:rsidP="0089207C">
      <w:pPr>
        <w:numPr>
          <w:ilvl w:val="0"/>
          <w:numId w:val="290"/>
        </w:numPr>
        <w:overflowPunct w:val="0"/>
        <w:autoSpaceDE w:val="0"/>
        <w:autoSpaceDN w:val="0"/>
        <w:adjustRightInd w:val="0"/>
        <w:textAlignment w:val="baseline"/>
        <w:rPr>
          <w:rFonts w:eastAsia="SimSun"/>
        </w:rPr>
      </w:pPr>
      <w:r w:rsidRPr="00470D3D">
        <w:rPr>
          <w:rFonts w:eastAsia="SimSun"/>
        </w:rPr>
        <w:t>Коагулограмма (АЧТВ, фибриноген, ПТИ по Квику, МНО)</w:t>
      </w:r>
      <w:r w:rsidRPr="00522016">
        <w:rPr>
          <w:rStyle w:val="af5"/>
          <w:rFonts w:eastAsia="SimSun"/>
        </w:rPr>
        <w:footnoteReference w:id="3"/>
      </w:r>
      <w:r w:rsidRPr="00470D3D">
        <w:rPr>
          <w:rFonts w:eastAsia="SimSun"/>
        </w:rPr>
        <w:t>.</w:t>
      </w:r>
    </w:p>
    <w:p w14:paraId="4F4B92C0" w14:textId="77777777" w:rsidR="0089207C" w:rsidRPr="00C07B2E" w:rsidRDefault="0089207C" w:rsidP="0089207C">
      <w:pPr>
        <w:numPr>
          <w:ilvl w:val="0"/>
          <w:numId w:val="290"/>
        </w:numPr>
        <w:overflowPunct w:val="0"/>
        <w:autoSpaceDE w:val="0"/>
        <w:autoSpaceDN w:val="0"/>
        <w:adjustRightInd w:val="0"/>
        <w:textAlignment w:val="baseline"/>
        <w:rPr>
          <w:rFonts w:eastAsia="SimSun"/>
        </w:rPr>
      </w:pPr>
      <w:r w:rsidRPr="00C07B2E">
        <w:rPr>
          <w:rFonts w:eastAsia="SimSun"/>
        </w:rPr>
        <w:t>Глюкоза венозной крови натощак</w:t>
      </w:r>
      <w:r w:rsidRPr="00522016">
        <w:rPr>
          <w:rStyle w:val="af5"/>
          <w:rFonts w:eastAsia="SimSun"/>
        </w:rPr>
        <w:footnoteReference w:id="4"/>
      </w:r>
      <w:r w:rsidRPr="00C07B2E">
        <w:rPr>
          <w:rFonts w:eastAsia="SimSun"/>
        </w:rPr>
        <w:t>.</w:t>
      </w:r>
    </w:p>
    <w:p w14:paraId="2149A16D" w14:textId="77777777" w:rsidR="0089207C" w:rsidRPr="00470D3D" w:rsidRDefault="0089207C" w:rsidP="0089207C">
      <w:pPr>
        <w:numPr>
          <w:ilvl w:val="0"/>
          <w:numId w:val="290"/>
        </w:numPr>
        <w:overflowPunct w:val="0"/>
        <w:autoSpaceDE w:val="0"/>
        <w:autoSpaceDN w:val="0"/>
        <w:adjustRightInd w:val="0"/>
        <w:textAlignment w:val="baseline"/>
        <w:rPr>
          <w:rFonts w:eastAsia="SimSun"/>
        </w:rPr>
      </w:pPr>
      <w:r w:rsidRPr="00470D3D">
        <w:rPr>
          <w:rFonts w:eastAsia="SimSun"/>
        </w:rPr>
        <w:t xml:space="preserve">Серологические исследования гемотрансмиссивных инфекций (антитела к ВИЧ, </w:t>
      </w:r>
      <w:r w:rsidRPr="00C07B2E">
        <w:rPr>
          <w:rFonts w:eastAsia="SimSun"/>
        </w:rPr>
        <w:t>HB</w:t>
      </w:r>
      <w:r w:rsidRPr="00C07B2E">
        <w:rPr>
          <w:rFonts w:eastAsia="SimSun"/>
          <w:lang w:val="en-US"/>
        </w:rPr>
        <w:t>sAg</w:t>
      </w:r>
      <w:r w:rsidRPr="00470D3D">
        <w:rPr>
          <w:rFonts w:eastAsia="SimSun"/>
        </w:rPr>
        <w:t xml:space="preserve"> качественно, антитела к </w:t>
      </w:r>
      <w:r w:rsidRPr="00C07B2E">
        <w:rPr>
          <w:rFonts w:eastAsia="SimSun"/>
        </w:rPr>
        <w:t>HB</w:t>
      </w:r>
      <w:r w:rsidRPr="00C07B2E">
        <w:rPr>
          <w:rFonts w:eastAsia="SimSun"/>
          <w:lang w:val="en-US"/>
        </w:rPr>
        <w:t>sAg</w:t>
      </w:r>
      <w:r w:rsidRPr="00470D3D">
        <w:rPr>
          <w:rFonts w:eastAsia="SimSun"/>
        </w:rPr>
        <w:t xml:space="preserve"> качественно и количественно, анти-НВсо</w:t>
      </w:r>
      <w:r w:rsidRPr="00C07B2E">
        <w:rPr>
          <w:rFonts w:eastAsia="SimSun"/>
        </w:rPr>
        <w:t>r</w:t>
      </w:r>
      <w:r w:rsidRPr="00470D3D">
        <w:rPr>
          <w:rFonts w:eastAsia="SimSun"/>
        </w:rPr>
        <w:t xml:space="preserve"> качественно, </w:t>
      </w:r>
      <w:r w:rsidRPr="00C07B2E">
        <w:rPr>
          <w:rFonts w:eastAsia="SimSun"/>
          <w:lang w:val="en-US"/>
        </w:rPr>
        <w:t>HBeAg</w:t>
      </w:r>
      <w:r w:rsidRPr="00470D3D">
        <w:rPr>
          <w:rFonts w:eastAsia="SimSun"/>
        </w:rPr>
        <w:t xml:space="preserve"> качественно, анти-</w:t>
      </w:r>
      <w:r w:rsidRPr="00C07B2E">
        <w:rPr>
          <w:rFonts w:eastAsia="SimSun"/>
          <w:lang w:val="en-US"/>
        </w:rPr>
        <w:t>HBeAg</w:t>
      </w:r>
      <w:r w:rsidRPr="00470D3D">
        <w:rPr>
          <w:rFonts w:eastAsia="SimSun"/>
        </w:rPr>
        <w:t>, на сифилис)</w:t>
      </w:r>
      <w:r w:rsidRPr="00522016">
        <w:rPr>
          <w:rStyle w:val="af5"/>
          <w:rFonts w:eastAsia="SimSun"/>
        </w:rPr>
        <w:footnoteReference w:id="5"/>
      </w:r>
      <w:r w:rsidRPr="00470D3D">
        <w:rPr>
          <w:rFonts w:eastAsia="SimSun"/>
        </w:rPr>
        <w:t>.</w:t>
      </w:r>
    </w:p>
    <w:p w14:paraId="20C285A0" w14:textId="77777777" w:rsidR="0089207C" w:rsidRPr="00470D3D" w:rsidRDefault="0089207C" w:rsidP="0089207C">
      <w:pPr>
        <w:numPr>
          <w:ilvl w:val="0"/>
          <w:numId w:val="290"/>
        </w:numPr>
        <w:overflowPunct w:val="0"/>
        <w:autoSpaceDE w:val="0"/>
        <w:autoSpaceDN w:val="0"/>
        <w:adjustRightInd w:val="0"/>
        <w:textAlignment w:val="baseline"/>
        <w:rPr>
          <w:rFonts w:eastAsia="SimSun"/>
        </w:rPr>
      </w:pPr>
      <w:r w:rsidRPr="00470D3D">
        <w:rPr>
          <w:rFonts w:eastAsia="SimSun"/>
        </w:rPr>
        <w:lastRenderedPageBreak/>
        <w:t>Серологические исследования герпесвирусов (</w:t>
      </w:r>
      <w:r w:rsidRPr="00C07B2E">
        <w:rPr>
          <w:rFonts w:eastAsia="SimSun"/>
          <w:lang w:val="en-US"/>
        </w:rPr>
        <w:t>IgG</w:t>
      </w:r>
      <w:r w:rsidRPr="00470D3D">
        <w:rPr>
          <w:rFonts w:eastAsia="SimSun"/>
        </w:rPr>
        <w:t xml:space="preserve"> и </w:t>
      </w:r>
      <w:r w:rsidRPr="00C07B2E">
        <w:rPr>
          <w:rFonts w:eastAsia="SimSun"/>
          <w:lang w:val="en-US"/>
        </w:rPr>
        <w:t>IgM</w:t>
      </w:r>
      <w:r w:rsidRPr="00470D3D">
        <w:rPr>
          <w:rFonts w:eastAsia="SimSun"/>
        </w:rPr>
        <w:t xml:space="preserve"> к </w:t>
      </w:r>
      <w:r w:rsidRPr="00C07B2E">
        <w:rPr>
          <w:rFonts w:eastAsia="SimSun"/>
          <w:lang w:val="en-US"/>
        </w:rPr>
        <w:t>CMV</w:t>
      </w:r>
      <w:r w:rsidRPr="00470D3D">
        <w:rPr>
          <w:rFonts w:eastAsia="SimSun"/>
        </w:rPr>
        <w:t>, вирусу Эпштейна—Барр, герпесу простого герпеса и герпеса 6 типа) и токсоплазме (при возможности)</w:t>
      </w:r>
      <w:r w:rsidRPr="00522016">
        <w:rPr>
          <w:rStyle w:val="af5"/>
          <w:rFonts w:eastAsia="SimSun"/>
        </w:rPr>
        <w:footnoteReference w:id="6"/>
      </w:r>
      <w:r w:rsidRPr="00470D3D">
        <w:rPr>
          <w:rFonts w:eastAsia="SimSun"/>
        </w:rPr>
        <w:t xml:space="preserve">. </w:t>
      </w:r>
    </w:p>
    <w:p w14:paraId="618D1959" w14:textId="77777777" w:rsidR="0089207C" w:rsidRPr="00C07B2E" w:rsidRDefault="0089207C" w:rsidP="0089207C">
      <w:pPr>
        <w:numPr>
          <w:ilvl w:val="0"/>
          <w:numId w:val="290"/>
        </w:numPr>
        <w:overflowPunct w:val="0"/>
        <w:autoSpaceDE w:val="0"/>
        <w:autoSpaceDN w:val="0"/>
        <w:adjustRightInd w:val="0"/>
        <w:textAlignment w:val="baseline"/>
        <w:rPr>
          <w:rFonts w:eastAsia="SimSun"/>
        </w:rPr>
      </w:pPr>
      <w:r w:rsidRPr="00470D3D">
        <w:rPr>
          <w:rFonts w:eastAsia="SimSun"/>
        </w:rPr>
        <w:t xml:space="preserve">Определение ДНК вируса гепатита В и РНК вируса гепатита С с помощью </w:t>
      </w:r>
      <w:r w:rsidRPr="00C07B2E">
        <w:rPr>
          <w:rFonts w:eastAsia="SimSun"/>
        </w:rPr>
        <w:t>ПЦР (качественно, в случае выявления — количественно)</w:t>
      </w:r>
      <w:r w:rsidRPr="00522016">
        <w:rPr>
          <w:rStyle w:val="af5"/>
          <w:rFonts w:eastAsia="SimSun"/>
        </w:rPr>
        <w:footnoteReference w:id="7"/>
      </w:r>
      <w:r w:rsidRPr="00C07B2E">
        <w:rPr>
          <w:rFonts w:eastAsia="SimSun"/>
        </w:rPr>
        <w:t>.</w:t>
      </w:r>
    </w:p>
    <w:p w14:paraId="7D125D72" w14:textId="77777777" w:rsidR="0089207C" w:rsidRPr="00470D3D" w:rsidRDefault="0089207C" w:rsidP="0089207C">
      <w:pPr>
        <w:numPr>
          <w:ilvl w:val="0"/>
          <w:numId w:val="290"/>
        </w:numPr>
        <w:overflowPunct w:val="0"/>
        <w:autoSpaceDE w:val="0"/>
        <w:autoSpaceDN w:val="0"/>
        <w:adjustRightInd w:val="0"/>
        <w:textAlignment w:val="baseline"/>
        <w:rPr>
          <w:rFonts w:eastAsia="SimSun"/>
        </w:rPr>
      </w:pPr>
      <w:r w:rsidRPr="00470D3D">
        <w:rPr>
          <w:rFonts w:eastAsia="SimSun"/>
        </w:rPr>
        <w:t>Исследования по определению статуса основного заболевания</w:t>
      </w:r>
      <w:r w:rsidRPr="00522016">
        <w:rPr>
          <w:rStyle w:val="af5"/>
          <w:rFonts w:eastAsia="SimSun"/>
        </w:rPr>
        <w:footnoteReference w:id="8"/>
      </w:r>
      <w:r w:rsidRPr="00470D3D">
        <w:rPr>
          <w:rFonts w:eastAsia="SimSun"/>
        </w:rPr>
        <w:t>. Для пациентов с острыми лейкозами обязательна люмбальная пункция с интратекальным введением химиопрепаратов.</w:t>
      </w:r>
    </w:p>
    <w:p w14:paraId="4497D0C1" w14:textId="77777777" w:rsidR="0089207C" w:rsidRPr="00470D3D" w:rsidRDefault="0089207C" w:rsidP="0089207C">
      <w:pPr>
        <w:numPr>
          <w:ilvl w:val="0"/>
          <w:numId w:val="290"/>
        </w:numPr>
        <w:overflowPunct w:val="0"/>
        <w:autoSpaceDE w:val="0"/>
        <w:autoSpaceDN w:val="0"/>
        <w:adjustRightInd w:val="0"/>
        <w:textAlignment w:val="baseline"/>
        <w:rPr>
          <w:rFonts w:eastAsia="SimSun"/>
        </w:rPr>
      </w:pPr>
      <w:r w:rsidRPr="00470D3D">
        <w:rPr>
          <w:rFonts w:eastAsia="SimSun"/>
        </w:rPr>
        <w:t>КТ органов грудной клетки (с записью на электронный носитель)</w:t>
      </w:r>
      <w:r w:rsidRPr="00522016">
        <w:rPr>
          <w:rStyle w:val="af5"/>
          <w:rFonts w:eastAsia="SimSun"/>
        </w:rPr>
        <w:footnoteReference w:id="9"/>
      </w:r>
      <w:r w:rsidRPr="00470D3D">
        <w:rPr>
          <w:rFonts w:eastAsia="SimSun"/>
        </w:rPr>
        <w:t xml:space="preserve">.КТ других областей при необходимости </w:t>
      </w:r>
    </w:p>
    <w:p w14:paraId="0F305D26" w14:textId="77777777" w:rsidR="0089207C" w:rsidRPr="00470D3D" w:rsidRDefault="0089207C" w:rsidP="0089207C">
      <w:pPr>
        <w:numPr>
          <w:ilvl w:val="0"/>
          <w:numId w:val="290"/>
        </w:numPr>
        <w:overflowPunct w:val="0"/>
        <w:autoSpaceDE w:val="0"/>
        <w:autoSpaceDN w:val="0"/>
        <w:adjustRightInd w:val="0"/>
        <w:textAlignment w:val="baseline"/>
        <w:rPr>
          <w:rFonts w:eastAsia="SimSun"/>
        </w:rPr>
      </w:pPr>
      <w:r w:rsidRPr="00470D3D">
        <w:rPr>
          <w:rFonts w:eastAsia="SimSun"/>
        </w:rPr>
        <w:t>ПЭТ-КТ (при необходимости – в соответствии с клиническими рекомендациями (протоколами лечения) )</w:t>
      </w:r>
      <w:r w:rsidRPr="00522016">
        <w:rPr>
          <w:rStyle w:val="af5"/>
          <w:rFonts w:eastAsia="SimSun"/>
        </w:rPr>
        <w:footnoteReference w:id="10"/>
      </w:r>
      <w:r w:rsidRPr="00470D3D">
        <w:rPr>
          <w:rFonts w:eastAsia="SimSun"/>
        </w:rPr>
        <w:t>.</w:t>
      </w:r>
    </w:p>
    <w:p w14:paraId="4D7236E6" w14:textId="77777777" w:rsidR="0089207C" w:rsidRPr="00470D3D" w:rsidRDefault="0089207C" w:rsidP="0089207C">
      <w:pPr>
        <w:numPr>
          <w:ilvl w:val="0"/>
          <w:numId w:val="290"/>
        </w:numPr>
        <w:overflowPunct w:val="0"/>
        <w:autoSpaceDE w:val="0"/>
        <w:autoSpaceDN w:val="0"/>
        <w:adjustRightInd w:val="0"/>
        <w:textAlignment w:val="baseline"/>
        <w:rPr>
          <w:rFonts w:eastAsia="SimSun"/>
        </w:rPr>
      </w:pPr>
      <w:r w:rsidRPr="00470D3D">
        <w:rPr>
          <w:rFonts w:eastAsia="SimSun"/>
        </w:rPr>
        <w:t>МРТ головного мозга при наличии показаний (с записью на электронный носитель)</w:t>
      </w:r>
      <w:r w:rsidRPr="00522016">
        <w:rPr>
          <w:rStyle w:val="af5"/>
          <w:rFonts w:eastAsia="SimSun"/>
        </w:rPr>
        <w:footnoteReference w:id="11"/>
      </w:r>
      <w:r w:rsidRPr="00470D3D">
        <w:rPr>
          <w:rFonts w:eastAsia="SimSun"/>
        </w:rPr>
        <w:t xml:space="preserve">. </w:t>
      </w:r>
    </w:p>
    <w:p w14:paraId="31B0E2F5" w14:textId="77777777" w:rsidR="0089207C" w:rsidRPr="00470D3D" w:rsidRDefault="0089207C" w:rsidP="0089207C">
      <w:pPr>
        <w:numPr>
          <w:ilvl w:val="0"/>
          <w:numId w:val="290"/>
        </w:numPr>
        <w:overflowPunct w:val="0"/>
        <w:autoSpaceDE w:val="0"/>
        <w:autoSpaceDN w:val="0"/>
        <w:adjustRightInd w:val="0"/>
        <w:textAlignment w:val="baseline"/>
        <w:rPr>
          <w:rFonts w:eastAsia="SimSun"/>
        </w:rPr>
      </w:pPr>
      <w:r w:rsidRPr="00470D3D">
        <w:rPr>
          <w:rFonts w:eastAsia="SimSun"/>
        </w:rPr>
        <w:t>Рентген или КТ пазух носа.</w:t>
      </w:r>
    </w:p>
    <w:p w14:paraId="69FF9CD4" w14:textId="77777777" w:rsidR="0089207C" w:rsidRPr="00C07B2E" w:rsidRDefault="0089207C" w:rsidP="0089207C">
      <w:pPr>
        <w:numPr>
          <w:ilvl w:val="0"/>
          <w:numId w:val="290"/>
        </w:numPr>
        <w:overflowPunct w:val="0"/>
        <w:autoSpaceDE w:val="0"/>
        <w:autoSpaceDN w:val="0"/>
        <w:adjustRightInd w:val="0"/>
        <w:textAlignment w:val="baseline"/>
        <w:rPr>
          <w:rFonts w:eastAsia="SimSun"/>
        </w:rPr>
      </w:pPr>
      <w:r w:rsidRPr="00C07B2E">
        <w:rPr>
          <w:rFonts w:eastAsia="SimSun"/>
        </w:rPr>
        <w:t>УЗИ печени, селезенки, почек</w:t>
      </w:r>
      <w:r w:rsidRPr="00522016">
        <w:rPr>
          <w:rStyle w:val="af5"/>
          <w:rFonts w:eastAsia="SimSun"/>
        </w:rPr>
        <w:footnoteReference w:id="12"/>
      </w:r>
      <w:r w:rsidRPr="00C07B2E">
        <w:rPr>
          <w:rFonts w:eastAsia="SimSun"/>
        </w:rPr>
        <w:t xml:space="preserve">. </w:t>
      </w:r>
    </w:p>
    <w:p w14:paraId="0E306A54" w14:textId="77777777" w:rsidR="0089207C" w:rsidRPr="00C07B2E" w:rsidRDefault="0089207C" w:rsidP="0089207C">
      <w:pPr>
        <w:numPr>
          <w:ilvl w:val="0"/>
          <w:numId w:val="290"/>
        </w:numPr>
        <w:overflowPunct w:val="0"/>
        <w:autoSpaceDE w:val="0"/>
        <w:autoSpaceDN w:val="0"/>
        <w:adjustRightInd w:val="0"/>
        <w:textAlignment w:val="baseline"/>
        <w:rPr>
          <w:rFonts w:eastAsia="SimSun"/>
        </w:rPr>
      </w:pPr>
      <w:r w:rsidRPr="00C07B2E">
        <w:rPr>
          <w:rFonts w:eastAsia="SimSun"/>
        </w:rPr>
        <w:t>ЭКГ</w:t>
      </w:r>
      <w:r w:rsidRPr="00522016">
        <w:rPr>
          <w:rStyle w:val="af5"/>
          <w:rFonts w:eastAsia="SimSun"/>
        </w:rPr>
        <w:footnoteReference w:id="13"/>
      </w:r>
      <w:r w:rsidRPr="00C07B2E">
        <w:rPr>
          <w:rFonts w:eastAsia="SimSun"/>
        </w:rPr>
        <w:t>.</w:t>
      </w:r>
    </w:p>
    <w:p w14:paraId="726BCEE9" w14:textId="77777777" w:rsidR="0089207C" w:rsidRPr="00C07B2E" w:rsidRDefault="0089207C" w:rsidP="0089207C">
      <w:pPr>
        <w:numPr>
          <w:ilvl w:val="0"/>
          <w:numId w:val="290"/>
        </w:numPr>
        <w:overflowPunct w:val="0"/>
        <w:autoSpaceDE w:val="0"/>
        <w:autoSpaceDN w:val="0"/>
        <w:adjustRightInd w:val="0"/>
        <w:textAlignment w:val="baseline"/>
        <w:rPr>
          <w:rFonts w:eastAsia="SimSun"/>
        </w:rPr>
      </w:pPr>
      <w:r>
        <w:rPr>
          <w:rFonts w:eastAsia="SimSun"/>
        </w:rPr>
        <w:t>Т</w:t>
      </w:r>
      <w:r w:rsidRPr="00C07B2E">
        <w:rPr>
          <w:rFonts w:eastAsia="SimSun"/>
        </w:rPr>
        <w:t>рансторакальная ЭхоКГ</w:t>
      </w:r>
      <w:r w:rsidRPr="00522016">
        <w:rPr>
          <w:rStyle w:val="af5"/>
          <w:rFonts w:eastAsia="SimSun"/>
        </w:rPr>
        <w:footnoteReference w:id="14"/>
      </w:r>
      <w:r w:rsidRPr="00C07B2E">
        <w:rPr>
          <w:rFonts w:eastAsia="SimSun"/>
        </w:rPr>
        <w:t>.</w:t>
      </w:r>
    </w:p>
    <w:p w14:paraId="2CEDBBE7" w14:textId="77777777" w:rsidR="0089207C" w:rsidRPr="00470D3D" w:rsidRDefault="0089207C" w:rsidP="0089207C">
      <w:pPr>
        <w:numPr>
          <w:ilvl w:val="0"/>
          <w:numId w:val="290"/>
        </w:numPr>
        <w:overflowPunct w:val="0"/>
        <w:autoSpaceDE w:val="0"/>
        <w:autoSpaceDN w:val="0"/>
        <w:adjustRightInd w:val="0"/>
        <w:textAlignment w:val="baseline"/>
        <w:rPr>
          <w:rFonts w:eastAsia="SimSun"/>
        </w:rPr>
      </w:pPr>
      <w:r w:rsidRPr="00470D3D">
        <w:rPr>
          <w:rFonts w:eastAsia="SimSun"/>
        </w:rPr>
        <w:t>Исследование функции внешнего дыхания с оценкой ОФВ1 и/или скорректированной диффузионной способности легких (</w:t>
      </w:r>
      <w:r w:rsidRPr="00C07B2E">
        <w:rPr>
          <w:rFonts w:eastAsia="SimSun"/>
        </w:rPr>
        <w:t>DLCO</w:t>
      </w:r>
      <w:r w:rsidRPr="00470D3D">
        <w:rPr>
          <w:rFonts w:eastAsia="SimSun"/>
        </w:rPr>
        <w:t>) (при возможности)</w:t>
      </w:r>
    </w:p>
    <w:p w14:paraId="374E5F1D" w14:textId="77777777" w:rsidR="0089207C" w:rsidRPr="00470D3D" w:rsidRDefault="0089207C" w:rsidP="0089207C">
      <w:pPr>
        <w:numPr>
          <w:ilvl w:val="0"/>
          <w:numId w:val="290"/>
        </w:numPr>
        <w:overflowPunct w:val="0"/>
        <w:autoSpaceDE w:val="0"/>
        <w:autoSpaceDN w:val="0"/>
        <w:adjustRightInd w:val="0"/>
        <w:textAlignment w:val="baseline"/>
        <w:rPr>
          <w:rFonts w:eastAsia="SimSun"/>
        </w:rPr>
      </w:pPr>
      <w:r w:rsidRPr="00470D3D">
        <w:rPr>
          <w:rFonts w:eastAsia="SimSun"/>
        </w:rPr>
        <w:t>ФГДС при наличии в анамнезе язвенных поражений желудка или ДПК</w:t>
      </w:r>
    </w:p>
    <w:p w14:paraId="54A3BF57" w14:textId="77777777" w:rsidR="0089207C" w:rsidRPr="00C07B2E" w:rsidRDefault="0089207C" w:rsidP="0089207C">
      <w:pPr>
        <w:numPr>
          <w:ilvl w:val="0"/>
          <w:numId w:val="290"/>
        </w:numPr>
        <w:overflowPunct w:val="0"/>
        <w:autoSpaceDE w:val="0"/>
        <w:autoSpaceDN w:val="0"/>
        <w:adjustRightInd w:val="0"/>
        <w:textAlignment w:val="baseline"/>
        <w:rPr>
          <w:rFonts w:eastAsia="SimSun"/>
        </w:rPr>
      </w:pPr>
      <w:r w:rsidRPr="00C07B2E">
        <w:rPr>
          <w:rFonts w:eastAsia="SimSun"/>
        </w:rPr>
        <w:lastRenderedPageBreak/>
        <w:t>ЭЭГ при необходимости</w:t>
      </w:r>
    </w:p>
    <w:p w14:paraId="28F04459" w14:textId="77777777" w:rsidR="0089207C" w:rsidRPr="00470D3D" w:rsidRDefault="0089207C" w:rsidP="0089207C">
      <w:pPr>
        <w:numPr>
          <w:ilvl w:val="0"/>
          <w:numId w:val="290"/>
        </w:numPr>
        <w:overflowPunct w:val="0"/>
        <w:autoSpaceDE w:val="0"/>
        <w:autoSpaceDN w:val="0"/>
        <w:adjustRightInd w:val="0"/>
        <w:textAlignment w:val="baseline"/>
        <w:rPr>
          <w:rFonts w:eastAsia="SimSun"/>
        </w:rPr>
      </w:pPr>
      <w:r w:rsidRPr="00470D3D">
        <w:rPr>
          <w:rFonts w:eastAsia="SimSun"/>
        </w:rPr>
        <w:t>Осмотр специалистов: стоматолог (обязательно), гинеколог (обязательно для женщин), оториноларинголог (по показаниям)</w:t>
      </w:r>
      <w:r w:rsidRPr="00522016">
        <w:rPr>
          <w:rStyle w:val="af5"/>
          <w:rFonts w:eastAsia="SimSun"/>
        </w:rPr>
        <w:footnoteReference w:id="15"/>
      </w:r>
      <w:r w:rsidRPr="00470D3D">
        <w:rPr>
          <w:rFonts w:eastAsia="SimSun"/>
        </w:rPr>
        <w:t xml:space="preserve">. </w:t>
      </w:r>
    </w:p>
    <w:p w14:paraId="247AD8B6" w14:textId="77777777" w:rsidR="0089207C" w:rsidRPr="00470D3D" w:rsidRDefault="0089207C" w:rsidP="0089207C">
      <w:pPr>
        <w:numPr>
          <w:ilvl w:val="0"/>
          <w:numId w:val="290"/>
        </w:numPr>
        <w:overflowPunct w:val="0"/>
        <w:autoSpaceDE w:val="0"/>
        <w:autoSpaceDN w:val="0"/>
        <w:adjustRightInd w:val="0"/>
        <w:textAlignment w:val="baseline"/>
        <w:rPr>
          <w:rFonts w:eastAsia="SimSun"/>
        </w:rPr>
      </w:pPr>
      <w:r w:rsidRPr="00470D3D">
        <w:t>Определение н</w:t>
      </w:r>
      <w:r w:rsidRPr="00470D3D">
        <w:rPr>
          <w:rFonts w:eastAsia="SimSun"/>
        </w:rPr>
        <w:t>аличия донорспецифичных анти-</w:t>
      </w:r>
      <w:r w:rsidRPr="00C07B2E">
        <w:rPr>
          <w:rFonts w:eastAsia="SimSun"/>
        </w:rPr>
        <w:t>HLA</w:t>
      </w:r>
      <w:r w:rsidRPr="00470D3D">
        <w:rPr>
          <w:rFonts w:eastAsia="SimSun"/>
        </w:rPr>
        <w:t>-антител при неродственной частично совместимой или гаплоидентичной ТГСК (при возможности)</w:t>
      </w:r>
    </w:p>
    <w:p w14:paraId="17D87172" w14:textId="77777777" w:rsidR="0089207C" w:rsidRDefault="0089207C" w:rsidP="0089207C">
      <w:pPr>
        <w:rPr>
          <w:rFonts w:eastAsia="SimSun"/>
          <w:i/>
          <w:u w:val="single"/>
        </w:rPr>
      </w:pPr>
    </w:p>
    <w:p w14:paraId="6584E626" w14:textId="77777777" w:rsidR="0089207C" w:rsidRPr="00EE51B1" w:rsidRDefault="0089207C" w:rsidP="0089207C">
      <w:pPr>
        <w:rPr>
          <w:rFonts w:eastAsia="SimSun"/>
          <w:i/>
          <w:u w:val="single"/>
        </w:rPr>
      </w:pPr>
      <w:r w:rsidRPr="00EE51B1">
        <w:rPr>
          <w:rFonts w:eastAsia="SimSun"/>
          <w:i/>
          <w:u w:val="single"/>
        </w:rPr>
        <w:t>Алгоритм принятия решения о выполнении алло-ТГСК</w:t>
      </w:r>
      <w:bookmarkEnd w:id="170"/>
      <w:r w:rsidRPr="00EE51B1">
        <w:rPr>
          <w:rFonts w:eastAsia="SimSun"/>
          <w:i/>
          <w:u w:val="single"/>
        </w:rPr>
        <w:t xml:space="preserve"> </w:t>
      </w:r>
      <w:r w:rsidRPr="00EE51B1">
        <w:rPr>
          <w:rFonts w:eastAsia="SimSun"/>
          <w:i/>
          <w:u w:val="single"/>
        </w:rPr>
        <w:fldChar w:fldCharType="begin" w:fldLock="1"/>
      </w:r>
      <w:r w:rsidRPr="00EE51B1">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plainTextFormattedCitation":"[1]"},"properties":{"noteIndex":0},"schema":"https://github.com/citation-style-language/schema/raw/master/csl-citation.json"}</w:instrText>
      </w:r>
      <w:r w:rsidRPr="00EE51B1">
        <w:rPr>
          <w:rFonts w:eastAsia="SimSun"/>
          <w:i/>
          <w:u w:val="single"/>
        </w:rPr>
        <w:fldChar w:fldCharType="separate"/>
      </w:r>
      <w:r w:rsidRPr="00EE51B1">
        <w:rPr>
          <w:rFonts w:eastAsia="SimSun"/>
          <w:i/>
          <w:noProof/>
          <w:u w:val="single"/>
        </w:rPr>
        <w:t>[1]</w:t>
      </w:r>
      <w:r w:rsidRPr="00EE51B1">
        <w:rPr>
          <w:rFonts w:eastAsia="SimSun"/>
          <w:i/>
          <w:u w:val="single"/>
        </w:rPr>
        <w:fldChar w:fldCharType="end"/>
      </w:r>
      <w:r w:rsidRPr="00EE51B1">
        <w:rPr>
          <w:rFonts w:eastAsia="SimSun"/>
          <w:i/>
          <w:u w:val="single"/>
        </w:rPr>
        <w:t xml:space="preserve">: </w:t>
      </w:r>
    </w:p>
    <w:p w14:paraId="367E2170" w14:textId="77777777" w:rsidR="0089207C" w:rsidRPr="00C07B2E" w:rsidRDefault="0089207C" w:rsidP="0089207C">
      <w:pPr>
        <w:ind w:firstLine="709"/>
        <w:rPr>
          <w:rFonts w:eastAsia="SimSun"/>
        </w:rPr>
      </w:pPr>
      <w:r w:rsidRPr="00C07B2E">
        <w:rPr>
          <w:rFonts w:eastAsia="SimSun"/>
        </w:rPr>
        <w:t>Медицинская организация, в которой проводятся наблюдение и лечение пациента, выявившая у пациента медицинские показания к проведению трансплантации костного мозга или гемопоэтических стволовых клеток, для рассмотрения вопроса о необходимости трансплантации костного мозга и гемопоэтических стволовых клеток осуществляет направление пациента в медицинскую организацию, осуществляющую трансплантацию, либо организует проведение дистанционного консилиума с применением телемедицинских технологий в соответствии с порядком организации оказания медицинской помощи с применением телемедицинских технологий.</w:t>
      </w:r>
    </w:p>
    <w:p w14:paraId="1FD5932A" w14:textId="77777777" w:rsidR="0089207C" w:rsidRPr="00C07B2E" w:rsidRDefault="0089207C" w:rsidP="0089207C">
      <w:pPr>
        <w:ind w:firstLine="709"/>
        <w:rPr>
          <w:rFonts w:eastAsia="SimSun"/>
        </w:rPr>
      </w:pPr>
      <w:r w:rsidRPr="00C07B2E">
        <w:rPr>
          <w:rFonts w:eastAsia="SimSun"/>
        </w:rPr>
        <w:t>Медицинское заключение о необходимости трансплантации костного мозга или гемопоэтических стволовых клеток (далее - заключение) потенциальному кандидату на проведение алло-ТГСК (реципиенту) выдается на бумажном носителе или в форме электронного документа консилиумом врачей (включая дистанционный консилиум, в случае невозможности проведения очной консультации) организацией, осуществляющей трансплантацию, в соответствии с Инструкцией о выдаче медицинского заключения о необходимости трансплантации органов и (или) тканей человека на основании консультации потенциального реципиента, результатов медицинского обследования, о чем вносится запись в медицинскую документацию пациента.</w:t>
      </w:r>
    </w:p>
    <w:p w14:paraId="5F7B850D" w14:textId="77777777" w:rsidR="0089207C" w:rsidRDefault="0089207C" w:rsidP="0089207C">
      <w:pPr>
        <w:rPr>
          <w:rFonts w:eastAsia="SimSun"/>
        </w:rPr>
      </w:pPr>
      <w:bookmarkStart w:id="172" w:name="_Toc44401111"/>
    </w:p>
    <w:p w14:paraId="20AC38EA" w14:textId="77777777" w:rsidR="0089207C" w:rsidRPr="00EE51B1" w:rsidRDefault="0089207C" w:rsidP="0089207C">
      <w:pPr>
        <w:rPr>
          <w:rFonts w:eastAsia="SimSun"/>
          <w:i/>
          <w:u w:val="single"/>
        </w:rPr>
      </w:pPr>
      <w:r w:rsidRPr="00EE51B1">
        <w:rPr>
          <w:rFonts w:eastAsia="SimSun"/>
          <w:i/>
          <w:u w:val="single"/>
        </w:rPr>
        <w:t>Этапы принятия решений о проведении алло-ТГСК</w:t>
      </w:r>
      <w:bookmarkEnd w:id="172"/>
      <w:r w:rsidRPr="00EE51B1">
        <w:rPr>
          <w:rFonts w:eastAsia="SimSun"/>
          <w:i/>
          <w:u w:val="single"/>
        </w:rPr>
        <w:t xml:space="preserve"> </w:t>
      </w:r>
      <w:r w:rsidRPr="00EE51B1">
        <w:rPr>
          <w:rFonts w:eastAsia="SimSun"/>
          <w:i/>
          <w:u w:val="single"/>
        </w:rPr>
        <w:fldChar w:fldCharType="begin" w:fldLock="1"/>
      </w:r>
      <w:r w:rsidRPr="00EE51B1">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plainTextFormattedCitation":"[1]"},"properties":{"noteIndex":0},"schema":"https://github.com/citation-style-language/schema/raw/master/csl-citation.json"}</w:instrText>
      </w:r>
      <w:r w:rsidRPr="00EE51B1">
        <w:rPr>
          <w:rFonts w:eastAsia="SimSun"/>
          <w:i/>
          <w:u w:val="single"/>
        </w:rPr>
        <w:fldChar w:fldCharType="separate"/>
      </w:r>
      <w:r w:rsidRPr="00EE51B1">
        <w:rPr>
          <w:rFonts w:eastAsia="SimSun"/>
          <w:i/>
          <w:noProof/>
          <w:u w:val="single"/>
        </w:rPr>
        <w:t>[1]</w:t>
      </w:r>
      <w:r w:rsidRPr="00EE51B1">
        <w:rPr>
          <w:rFonts w:eastAsia="SimSun"/>
          <w:i/>
          <w:u w:val="single"/>
        </w:rPr>
        <w:fldChar w:fldCharType="end"/>
      </w:r>
      <w:r w:rsidRPr="00EE51B1">
        <w:rPr>
          <w:rFonts w:eastAsia="SimSun"/>
          <w:i/>
          <w:u w:val="single"/>
        </w:rPr>
        <w:t xml:space="preserve">: </w:t>
      </w:r>
    </w:p>
    <w:p w14:paraId="0A101FC9" w14:textId="77777777" w:rsidR="0089207C" w:rsidRPr="00C07B2E" w:rsidRDefault="0089207C" w:rsidP="00B61B42">
      <w:pPr>
        <w:ind w:firstLine="709"/>
        <w:rPr>
          <w:rFonts w:eastAsia="SimSun"/>
        </w:rPr>
      </w:pPr>
      <w:r w:rsidRPr="00C07B2E">
        <w:rPr>
          <w:rFonts w:eastAsia="SimSun"/>
        </w:rPr>
        <w:t xml:space="preserve">Этап 1 — рассмотрение медицинской документации, формирование медицинского заключения о необходимости трансплантации костного мозга или гемопоэтических стволовых клеток и направление на инициальное типирование (для поиска родственного или неродственного донора) — решение о возможности проведения алло-ТГСК и </w:t>
      </w:r>
      <w:r w:rsidRPr="00C07B2E">
        <w:rPr>
          <w:rFonts w:eastAsia="SimSun"/>
        </w:rPr>
        <w:lastRenderedPageBreak/>
        <w:t>инициация поиска донора принимается экспертами на трансплантационной комиссии</w:t>
      </w:r>
      <w:r w:rsidRPr="00C07B2E">
        <w:rPr>
          <w:rFonts w:eastAsia="SimSun"/>
          <w:vertAlign w:val="superscript"/>
        </w:rPr>
        <w:t>1</w:t>
      </w:r>
      <w:r w:rsidRPr="00C07B2E">
        <w:rPr>
          <w:rFonts w:eastAsia="SimSun"/>
        </w:rPr>
        <w:t xml:space="preserve">. После получения заключения о наличии показаний для выполнения алло-ТГСК пациент нуждается в проведении дообследования и стратификации рисков по общесоматическому статусу. </w:t>
      </w:r>
    </w:p>
    <w:p w14:paraId="27A00D08" w14:textId="77777777" w:rsidR="0089207C" w:rsidRPr="00C07B2E" w:rsidRDefault="0089207C" w:rsidP="00B61B42">
      <w:pPr>
        <w:ind w:firstLine="709"/>
        <w:rPr>
          <w:rFonts w:eastAsia="SimSun"/>
        </w:rPr>
      </w:pPr>
      <w:r w:rsidRPr="00C07B2E">
        <w:rPr>
          <w:rFonts w:eastAsia="SimSun"/>
        </w:rPr>
        <w:t>Этап 2</w:t>
      </w:r>
      <w:r w:rsidRPr="00C07B2E">
        <w:rPr>
          <w:rFonts w:eastAsia="SimSun"/>
          <w:i/>
        </w:rPr>
        <w:t xml:space="preserve"> — </w:t>
      </w:r>
      <w:r w:rsidRPr="00C07B2E">
        <w:rPr>
          <w:rFonts w:eastAsia="SimSun"/>
        </w:rPr>
        <w:t>получение информации о наличии потенциальных доноров (родственных и неродственных).</w:t>
      </w:r>
    </w:p>
    <w:p w14:paraId="4220A96C" w14:textId="77777777" w:rsidR="0089207C" w:rsidRPr="00C07B2E" w:rsidRDefault="0089207C" w:rsidP="00B61B42">
      <w:pPr>
        <w:ind w:firstLine="709"/>
        <w:rPr>
          <w:rFonts w:eastAsia="SimSun"/>
        </w:rPr>
      </w:pPr>
      <w:r w:rsidRPr="00C07B2E">
        <w:rPr>
          <w:rFonts w:eastAsia="SimSun"/>
        </w:rPr>
        <w:t>Этап 3 — поиск донора (родственного или неродственного) завершен, согласована дата донации.</w:t>
      </w:r>
    </w:p>
    <w:p w14:paraId="7A1072F1" w14:textId="77777777" w:rsidR="0089207C" w:rsidRDefault="0089207C" w:rsidP="00B61B42">
      <w:pPr>
        <w:ind w:firstLine="709"/>
        <w:rPr>
          <w:rFonts w:eastAsia="SimSun"/>
        </w:rPr>
      </w:pPr>
      <w:r w:rsidRPr="00C07B2E">
        <w:rPr>
          <w:rFonts w:eastAsia="SimSun"/>
        </w:rPr>
        <w:t>Этап 4 — обсуждение сроков госпитализации пациента в отделение трансплантации костного мозга и обследование перед госпитализацией для выполнения алло-ТГСК — решение и дата госпитализации в отделение трансплантации костного мозга принимаются экспертами на трансплантационной комиссии за 4 нед до планируемой госпитализации.</w:t>
      </w:r>
    </w:p>
    <w:p w14:paraId="6416782B" w14:textId="77777777" w:rsidR="0089207C" w:rsidRDefault="0089207C" w:rsidP="0089207C">
      <w:pPr>
        <w:rPr>
          <w:rFonts w:eastAsia="SimSun"/>
        </w:rPr>
      </w:pPr>
      <w:bookmarkStart w:id="173" w:name="_Toc44401112"/>
    </w:p>
    <w:p w14:paraId="4D0CE3C2" w14:textId="77777777" w:rsidR="0089207C" w:rsidRPr="00EE51B1" w:rsidRDefault="0089207C" w:rsidP="0089207C">
      <w:pPr>
        <w:rPr>
          <w:rFonts w:eastAsia="SimSun"/>
          <w:b/>
        </w:rPr>
      </w:pPr>
      <w:r w:rsidRPr="00EE51B1">
        <w:rPr>
          <w:rFonts w:eastAsia="SimSun"/>
          <w:b/>
        </w:rPr>
        <w:t>2. Отбор доноров аллогенных ГСК</w:t>
      </w:r>
      <w:bookmarkEnd w:id="173"/>
      <w:r w:rsidRPr="00EE51B1">
        <w:rPr>
          <w:rFonts w:eastAsia="SimSun"/>
          <w:b/>
        </w:rPr>
        <w:t xml:space="preserve"> </w:t>
      </w:r>
    </w:p>
    <w:p w14:paraId="028A7707" w14:textId="77777777" w:rsidR="0089207C" w:rsidRPr="00EE51B1" w:rsidRDefault="0089207C" w:rsidP="0089207C">
      <w:pPr>
        <w:rPr>
          <w:rFonts w:eastAsia="SimSun"/>
          <w:i/>
          <w:u w:val="single"/>
        </w:rPr>
      </w:pPr>
      <w:bookmarkStart w:id="174" w:name="_Toc44401114"/>
      <w:r w:rsidRPr="00EE51B1">
        <w:rPr>
          <w:rFonts w:eastAsia="SimSun"/>
          <w:i/>
          <w:u w:val="single"/>
        </w:rPr>
        <w:t>Основные критерии по отбору доноров аллогенных ГСК</w:t>
      </w:r>
      <w:bookmarkEnd w:id="174"/>
      <w:r>
        <w:rPr>
          <w:rFonts w:eastAsia="SimSun"/>
          <w:i/>
          <w:u w:val="single"/>
        </w:rPr>
        <w:t xml:space="preserve"> </w:t>
      </w:r>
      <w:r w:rsidRPr="00EE51B1">
        <w:rPr>
          <w:rFonts w:eastAsia="SimSun"/>
          <w:i/>
          <w:u w:val="single"/>
        </w:rPr>
        <w:fldChar w:fldCharType="begin" w:fldLock="1"/>
      </w:r>
      <w:r w:rsidRPr="00EE51B1">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plainTextFormattedCitation":"[1]"},"properties":{"noteIndex":0},"schema":"https://github.com/citation-style-language/schema/raw/master/csl-citation.json"}</w:instrText>
      </w:r>
      <w:r w:rsidRPr="00EE51B1">
        <w:rPr>
          <w:rFonts w:eastAsia="SimSun"/>
          <w:i/>
          <w:u w:val="single"/>
        </w:rPr>
        <w:fldChar w:fldCharType="separate"/>
      </w:r>
      <w:r w:rsidRPr="00EE51B1">
        <w:rPr>
          <w:rFonts w:eastAsia="SimSun"/>
          <w:i/>
          <w:noProof/>
          <w:u w:val="single"/>
        </w:rPr>
        <w:t>[1]</w:t>
      </w:r>
      <w:r w:rsidRPr="00EE51B1">
        <w:rPr>
          <w:rFonts w:eastAsia="SimSun"/>
          <w:i/>
          <w:u w:val="single"/>
        </w:rPr>
        <w:fldChar w:fldCharType="end"/>
      </w:r>
      <w:r>
        <w:rPr>
          <w:rFonts w:eastAsia="SimSun"/>
          <w:i/>
          <w:u w:val="single"/>
        </w:rPr>
        <w:t>:</w:t>
      </w:r>
      <w:r w:rsidRPr="00EE51B1">
        <w:rPr>
          <w:rFonts w:eastAsia="SimSun"/>
          <w:i/>
          <w:u w:val="single"/>
        </w:rPr>
        <w:t xml:space="preserve"> </w:t>
      </w:r>
    </w:p>
    <w:p w14:paraId="1504EA16" w14:textId="578ABC27" w:rsidR="0089207C" w:rsidRPr="00B61B42" w:rsidRDefault="0089207C" w:rsidP="0089207C">
      <w:pPr>
        <w:numPr>
          <w:ilvl w:val="0"/>
          <w:numId w:val="285"/>
        </w:numPr>
        <w:overflowPunct w:val="0"/>
        <w:autoSpaceDE w:val="0"/>
        <w:autoSpaceDN w:val="0"/>
        <w:adjustRightInd w:val="0"/>
        <w:textAlignment w:val="baseline"/>
        <w:rPr>
          <w:rFonts w:eastAsia="SimSun"/>
        </w:rPr>
      </w:pPr>
      <w:r w:rsidRPr="00C07B2E">
        <w:rPr>
          <w:rFonts w:eastAsia="SimSun"/>
        </w:rPr>
        <w:t xml:space="preserve">Оценка статуса кандидата в доноры согласно определению индекса Карновского </w:t>
      </w:r>
      <w:r w:rsidRPr="00B61B42">
        <w:rPr>
          <w:rFonts w:eastAsia="SimSun"/>
        </w:rPr>
        <w:t xml:space="preserve">и </w:t>
      </w:r>
      <w:r w:rsidRPr="00B61B42">
        <w:rPr>
          <w:rFonts w:eastAsia="SimSun"/>
          <w:lang w:val="en-US"/>
        </w:rPr>
        <w:t>ECOG</w:t>
      </w:r>
      <w:r w:rsidRPr="00B61B42">
        <w:rPr>
          <w:rFonts w:eastAsia="SimSun"/>
        </w:rPr>
        <w:t xml:space="preserve">-ВОЗ (приложение </w:t>
      </w:r>
      <w:r w:rsidR="00B61B42" w:rsidRPr="00B61B42">
        <w:rPr>
          <w:rFonts w:eastAsia="SimSun"/>
        </w:rPr>
        <w:t>Г</w:t>
      </w:r>
      <w:r w:rsidRPr="00B61B42">
        <w:rPr>
          <w:rFonts w:eastAsia="SimSun"/>
        </w:rPr>
        <w:t>1).</w:t>
      </w:r>
    </w:p>
    <w:p w14:paraId="78951DB7" w14:textId="77777777" w:rsidR="0089207C" w:rsidRPr="00C07B2E" w:rsidRDefault="0089207C" w:rsidP="0089207C">
      <w:pPr>
        <w:numPr>
          <w:ilvl w:val="0"/>
          <w:numId w:val="285"/>
        </w:numPr>
        <w:overflowPunct w:val="0"/>
        <w:autoSpaceDE w:val="0"/>
        <w:autoSpaceDN w:val="0"/>
        <w:adjustRightInd w:val="0"/>
        <w:textAlignment w:val="baseline"/>
        <w:rPr>
          <w:rFonts w:eastAsia="SimSun"/>
        </w:rPr>
      </w:pPr>
      <w:r w:rsidRPr="00EE51B1">
        <w:rPr>
          <w:rFonts w:eastAsia="SimSun"/>
        </w:rPr>
        <w:t xml:space="preserve">Стандартный возраст кандидата в доноры 18–75 лет. В отдельных случаях в качестве доноров могут выступать несовершеннолетние сиблинги. </w:t>
      </w:r>
      <w:r w:rsidRPr="00C07B2E">
        <w:rPr>
          <w:rFonts w:eastAsia="SimSun"/>
        </w:rPr>
        <w:t>Решение о допуске на донацию в данном случае принимается родителями в соответствии с действующим законадательством РФ.</w:t>
      </w:r>
    </w:p>
    <w:p w14:paraId="0BA1F084" w14:textId="77777777" w:rsidR="0089207C" w:rsidRPr="00C07B2E" w:rsidRDefault="0089207C" w:rsidP="0089207C">
      <w:pPr>
        <w:numPr>
          <w:ilvl w:val="0"/>
          <w:numId w:val="285"/>
        </w:numPr>
        <w:overflowPunct w:val="0"/>
        <w:autoSpaceDE w:val="0"/>
        <w:autoSpaceDN w:val="0"/>
        <w:adjustRightInd w:val="0"/>
        <w:textAlignment w:val="baseline"/>
        <w:rPr>
          <w:rFonts w:eastAsia="SimSun"/>
        </w:rPr>
      </w:pPr>
      <w:r w:rsidRPr="00C07B2E">
        <w:rPr>
          <w:rFonts w:eastAsia="SimSun"/>
        </w:rPr>
        <w:t xml:space="preserve">Адекватное психологическое состояние (юридическая дееспособность). </w:t>
      </w:r>
    </w:p>
    <w:p w14:paraId="5E94B551" w14:textId="77777777" w:rsidR="0089207C" w:rsidRPr="00C07B2E" w:rsidRDefault="0089207C" w:rsidP="0089207C">
      <w:pPr>
        <w:numPr>
          <w:ilvl w:val="0"/>
          <w:numId w:val="285"/>
        </w:numPr>
        <w:overflowPunct w:val="0"/>
        <w:autoSpaceDE w:val="0"/>
        <w:autoSpaceDN w:val="0"/>
        <w:adjustRightInd w:val="0"/>
        <w:textAlignment w:val="baseline"/>
        <w:rPr>
          <w:rFonts w:eastAsia="SimSun"/>
        </w:rPr>
      </w:pPr>
      <w:r w:rsidRPr="00C07B2E">
        <w:rPr>
          <w:rFonts w:eastAsia="SimSun"/>
        </w:rPr>
        <w:t xml:space="preserve">Наличие </w:t>
      </w:r>
      <w:r w:rsidRPr="00C07B2E">
        <w:rPr>
          <w:rFonts w:eastAsia="SimSun"/>
          <w:lang w:val="en-US"/>
        </w:rPr>
        <w:t>HLA</w:t>
      </w:r>
      <w:r w:rsidRPr="00C07B2E">
        <w:rPr>
          <w:rFonts w:eastAsia="SimSun"/>
        </w:rPr>
        <w:t xml:space="preserve">-типирования: для родственных — не менее чем по средне-низкому разрешению, для неродственных — по высокому разрешению.  Окончательные требования к разрешению типирования остаются на усмотрение трансплатационного центра в котором проводится алло-ТГСК. </w:t>
      </w:r>
    </w:p>
    <w:p w14:paraId="09FCDB91" w14:textId="77777777" w:rsidR="0089207C" w:rsidRPr="00C07B2E" w:rsidRDefault="0089207C" w:rsidP="0089207C">
      <w:pPr>
        <w:numPr>
          <w:ilvl w:val="0"/>
          <w:numId w:val="285"/>
        </w:numPr>
        <w:overflowPunct w:val="0"/>
        <w:autoSpaceDE w:val="0"/>
        <w:autoSpaceDN w:val="0"/>
        <w:adjustRightInd w:val="0"/>
        <w:textAlignment w:val="baseline"/>
        <w:rPr>
          <w:rFonts w:eastAsia="SimSun"/>
        </w:rPr>
      </w:pPr>
      <w:r w:rsidRPr="00C07B2E">
        <w:rPr>
          <w:rFonts w:eastAsia="SimSun"/>
        </w:rPr>
        <w:t>Оценка статуса по гемотрансмиссивным инфекциям (ВИЧ, вирусные гепатиты с дополнительными маркерами и ПЦР, сифилис) и герпес-вирусам (</w:t>
      </w:r>
      <w:r w:rsidRPr="00C07B2E">
        <w:rPr>
          <w:rFonts w:eastAsia="SimSun"/>
          <w:lang w:val="en-US"/>
        </w:rPr>
        <w:t>IgG</w:t>
      </w:r>
      <w:r w:rsidRPr="00C07B2E">
        <w:rPr>
          <w:rFonts w:eastAsia="SimSun"/>
        </w:rPr>
        <w:t xml:space="preserve"> и </w:t>
      </w:r>
      <w:r w:rsidRPr="00C07B2E">
        <w:rPr>
          <w:rFonts w:eastAsia="SimSun"/>
          <w:lang w:val="en-US"/>
        </w:rPr>
        <w:t>IgM</w:t>
      </w:r>
      <w:r w:rsidRPr="00C07B2E">
        <w:rPr>
          <w:rFonts w:eastAsia="SimSun"/>
        </w:rPr>
        <w:t xml:space="preserve"> к </w:t>
      </w:r>
      <w:r w:rsidRPr="00C07B2E">
        <w:rPr>
          <w:rFonts w:eastAsia="SimSun"/>
          <w:lang w:val="en-US"/>
        </w:rPr>
        <w:t>CMV</w:t>
      </w:r>
      <w:r w:rsidRPr="00C07B2E">
        <w:rPr>
          <w:rFonts w:eastAsia="SimSun"/>
        </w:rPr>
        <w:t xml:space="preserve">, вирусу Эпштейна—Барр). </w:t>
      </w:r>
    </w:p>
    <w:p w14:paraId="447FF5CF" w14:textId="77777777" w:rsidR="0089207C" w:rsidRPr="00C07B2E" w:rsidRDefault="0089207C" w:rsidP="0089207C">
      <w:pPr>
        <w:numPr>
          <w:ilvl w:val="0"/>
          <w:numId w:val="285"/>
        </w:numPr>
        <w:overflowPunct w:val="0"/>
        <w:autoSpaceDE w:val="0"/>
        <w:autoSpaceDN w:val="0"/>
        <w:adjustRightInd w:val="0"/>
        <w:textAlignment w:val="baseline"/>
        <w:rPr>
          <w:rFonts w:eastAsia="SimSun"/>
        </w:rPr>
      </w:pPr>
      <w:r w:rsidRPr="00C07B2E">
        <w:rPr>
          <w:rFonts w:eastAsia="SimSun"/>
        </w:rPr>
        <w:t>Наличие результатов обследования.</w:t>
      </w:r>
    </w:p>
    <w:p w14:paraId="7C05DF83" w14:textId="77777777" w:rsidR="0089207C" w:rsidRDefault="0089207C" w:rsidP="0089207C">
      <w:pPr>
        <w:rPr>
          <w:rFonts w:eastAsia="SimSun"/>
        </w:rPr>
      </w:pPr>
      <w:bookmarkStart w:id="175" w:name="_Toc44401115"/>
    </w:p>
    <w:p w14:paraId="085C9237" w14:textId="77777777" w:rsidR="0089207C" w:rsidRPr="00EE51B1" w:rsidRDefault="0089207C" w:rsidP="0089207C">
      <w:pPr>
        <w:rPr>
          <w:rFonts w:eastAsia="SimSun"/>
          <w:i/>
          <w:u w:val="single"/>
        </w:rPr>
      </w:pPr>
      <w:r w:rsidRPr="00EE51B1">
        <w:rPr>
          <w:rFonts w:eastAsia="SimSun"/>
          <w:i/>
          <w:u w:val="single"/>
        </w:rPr>
        <w:t>Дополнительные критерии по отбору доноров аллогенных ГСК</w:t>
      </w:r>
      <w:bookmarkEnd w:id="175"/>
      <w:r w:rsidRPr="00EE51B1">
        <w:rPr>
          <w:rFonts w:eastAsia="SimSun"/>
          <w:i/>
          <w:u w:val="single"/>
        </w:rPr>
        <w:t xml:space="preserve"> </w:t>
      </w:r>
      <w:r w:rsidRPr="00EE51B1">
        <w:rPr>
          <w:rFonts w:eastAsia="SimSun"/>
          <w:i/>
          <w:u w:val="single"/>
        </w:rPr>
        <w:fldChar w:fldCharType="begin" w:fldLock="1"/>
      </w:r>
      <w:r w:rsidRPr="00EE51B1">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plainTextFormattedCitation":"[1]"},"properties":{"noteIndex":0},"schema":"https://github.com/citation-style-language/schema/raw/master/csl-citation.json"}</w:instrText>
      </w:r>
      <w:r w:rsidRPr="00EE51B1">
        <w:rPr>
          <w:rFonts w:eastAsia="SimSun"/>
          <w:i/>
          <w:u w:val="single"/>
        </w:rPr>
        <w:fldChar w:fldCharType="separate"/>
      </w:r>
      <w:r w:rsidRPr="00EE51B1">
        <w:rPr>
          <w:rFonts w:eastAsia="SimSun"/>
          <w:i/>
          <w:noProof/>
          <w:u w:val="single"/>
        </w:rPr>
        <w:t>[1]</w:t>
      </w:r>
      <w:r w:rsidRPr="00EE51B1">
        <w:rPr>
          <w:rFonts w:eastAsia="SimSun"/>
          <w:i/>
          <w:u w:val="single"/>
        </w:rPr>
        <w:fldChar w:fldCharType="end"/>
      </w:r>
      <w:r>
        <w:rPr>
          <w:rFonts w:eastAsia="SimSun"/>
          <w:i/>
          <w:u w:val="single"/>
        </w:rPr>
        <w:t>:</w:t>
      </w:r>
    </w:p>
    <w:p w14:paraId="6261F190" w14:textId="77777777" w:rsidR="0089207C" w:rsidRPr="00C07B2E" w:rsidRDefault="0089207C" w:rsidP="0089207C">
      <w:pPr>
        <w:numPr>
          <w:ilvl w:val="0"/>
          <w:numId w:val="286"/>
        </w:numPr>
        <w:overflowPunct w:val="0"/>
        <w:autoSpaceDE w:val="0"/>
        <w:autoSpaceDN w:val="0"/>
        <w:adjustRightInd w:val="0"/>
        <w:textAlignment w:val="baseline"/>
        <w:rPr>
          <w:rFonts w:eastAsia="SimSun"/>
        </w:rPr>
      </w:pPr>
      <w:r w:rsidRPr="00C07B2E">
        <w:rPr>
          <w:rFonts w:eastAsia="SimSun"/>
        </w:rPr>
        <w:t>Информация об инфекционном статусе. Перенесенных заболеваниях в том числе (</w:t>
      </w:r>
      <w:r w:rsidRPr="00C07B2E">
        <w:rPr>
          <w:rFonts w:eastAsia="SimSun"/>
          <w:lang w:val="en-US"/>
        </w:rPr>
        <w:t>COVID</w:t>
      </w:r>
      <w:r w:rsidRPr="00C07B2E">
        <w:rPr>
          <w:rFonts w:eastAsia="SimSun"/>
        </w:rPr>
        <w:t>-19, туберкулезе, вирусных гепатитах)</w:t>
      </w:r>
    </w:p>
    <w:p w14:paraId="627D1A3F" w14:textId="77777777" w:rsidR="0089207C" w:rsidRPr="00C07B2E" w:rsidRDefault="0089207C" w:rsidP="0089207C">
      <w:pPr>
        <w:numPr>
          <w:ilvl w:val="0"/>
          <w:numId w:val="286"/>
        </w:numPr>
        <w:overflowPunct w:val="0"/>
        <w:autoSpaceDE w:val="0"/>
        <w:autoSpaceDN w:val="0"/>
        <w:adjustRightInd w:val="0"/>
        <w:textAlignment w:val="baseline"/>
        <w:rPr>
          <w:rFonts w:eastAsia="SimSun"/>
        </w:rPr>
      </w:pPr>
      <w:r w:rsidRPr="00C07B2E">
        <w:rPr>
          <w:rFonts w:eastAsia="SimSun"/>
        </w:rPr>
        <w:lastRenderedPageBreak/>
        <w:t>Информация о структурных и врожденных аномалиях, наличии протезированного биоматериала.</w:t>
      </w:r>
    </w:p>
    <w:p w14:paraId="7464C32B" w14:textId="77777777" w:rsidR="0089207C" w:rsidRPr="00C07B2E" w:rsidRDefault="0089207C" w:rsidP="0089207C">
      <w:pPr>
        <w:numPr>
          <w:ilvl w:val="0"/>
          <w:numId w:val="286"/>
        </w:numPr>
        <w:overflowPunct w:val="0"/>
        <w:autoSpaceDE w:val="0"/>
        <w:autoSpaceDN w:val="0"/>
        <w:adjustRightInd w:val="0"/>
        <w:textAlignment w:val="baseline"/>
        <w:rPr>
          <w:rFonts w:eastAsia="SimSun"/>
        </w:rPr>
      </w:pPr>
      <w:r w:rsidRPr="00C07B2E">
        <w:rPr>
          <w:rFonts w:eastAsia="SimSun"/>
        </w:rPr>
        <w:t>Поездки в страны Юго-Восточной Азии, Африки, Центральной и Южной Америки.</w:t>
      </w:r>
    </w:p>
    <w:p w14:paraId="58A0321E" w14:textId="77777777" w:rsidR="0089207C" w:rsidRPr="00C07B2E" w:rsidRDefault="0089207C" w:rsidP="0089207C">
      <w:pPr>
        <w:numPr>
          <w:ilvl w:val="0"/>
          <w:numId w:val="286"/>
        </w:numPr>
        <w:overflowPunct w:val="0"/>
        <w:autoSpaceDE w:val="0"/>
        <w:autoSpaceDN w:val="0"/>
        <w:adjustRightInd w:val="0"/>
        <w:textAlignment w:val="baseline"/>
        <w:rPr>
          <w:rFonts w:eastAsia="SimSun"/>
        </w:rPr>
      </w:pPr>
      <w:r w:rsidRPr="00C07B2E">
        <w:rPr>
          <w:rFonts w:eastAsia="SimSun"/>
        </w:rPr>
        <w:t>Информация о наличии хронических заболеваний и их стадии.</w:t>
      </w:r>
    </w:p>
    <w:p w14:paraId="14AF9F83" w14:textId="77777777" w:rsidR="0089207C" w:rsidRPr="00C07B2E" w:rsidRDefault="0089207C" w:rsidP="0089207C">
      <w:pPr>
        <w:numPr>
          <w:ilvl w:val="0"/>
          <w:numId w:val="286"/>
        </w:numPr>
        <w:overflowPunct w:val="0"/>
        <w:autoSpaceDE w:val="0"/>
        <w:autoSpaceDN w:val="0"/>
        <w:adjustRightInd w:val="0"/>
        <w:textAlignment w:val="baseline"/>
        <w:rPr>
          <w:rFonts w:eastAsia="SimSun"/>
        </w:rPr>
      </w:pPr>
      <w:r w:rsidRPr="00C07B2E">
        <w:rPr>
          <w:rFonts w:eastAsia="SimSun"/>
        </w:rPr>
        <w:t>Информация о лечении зубов, переливании компонентов крови, татуировках в течение как минимум 6 мес до донации.</w:t>
      </w:r>
    </w:p>
    <w:p w14:paraId="30872CAC" w14:textId="77777777" w:rsidR="0089207C" w:rsidRPr="00C07B2E" w:rsidRDefault="0089207C" w:rsidP="0089207C">
      <w:pPr>
        <w:numPr>
          <w:ilvl w:val="0"/>
          <w:numId w:val="286"/>
        </w:numPr>
        <w:overflowPunct w:val="0"/>
        <w:autoSpaceDE w:val="0"/>
        <w:autoSpaceDN w:val="0"/>
        <w:adjustRightInd w:val="0"/>
        <w:textAlignment w:val="baseline"/>
        <w:rPr>
          <w:rFonts w:eastAsia="SimSun"/>
        </w:rPr>
      </w:pPr>
      <w:r w:rsidRPr="00C07B2E">
        <w:rPr>
          <w:rFonts w:eastAsia="SimSun"/>
        </w:rPr>
        <w:t>Количество беременностей и родов в анамнезе.</w:t>
      </w:r>
    </w:p>
    <w:p w14:paraId="4CC99248" w14:textId="77777777" w:rsidR="0089207C" w:rsidRPr="00C07B2E" w:rsidRDefault="0089207C" w:rsidP="0089207C">
      <w:pPr>
        <w:numPr>
          <w:ilvl w:val="0"/>
          <w:numId w:val="286"/>
        </w:numPr>
        <w:overflowPunct w:val="0"/>
        <w:autoSpaceDE w:val="0"/>
        <w:autoSpaceDN w:val="0"/>
        <w:adjustRightInd w:val="0"/>
        <w:textAlignment w:val="baseline"/>
        <w:rPr>
          <w:rFonts w:eastAsia="SimSun"/>
        </w:rPr>
      </w:pPr>
      <w:r w:rsidRPr="00C07B2E">
        <w:rPr>
          <w:rFonts w:eastAsia="SimSun"/>
        </w:rPr>
        <w:t>Вес донора и реципиента — если вес донора составляет менее 50% от веса пациента, то рекомендуется рассмотреть в качестве источника трансплантата СКК.</w:t>
      </w:r>
    </w:p>
    <w:p w14:paraId="6BFDBF27" w14:textId="77777777" w:rsidR="0089207C" w:rsidRPr="00C07B2E" w:rsidRDefault="0089207C" w:rsidP="0089207C">
      <w:pPr>
        <w:numPr>
          <w:ilvl w:val="0"/>
          <w:numId w:val="286"/>
        </w:numPr>
        <w:overflowPunct w:val="0"/>
        <w:autoSpaceDE w:val="0"/>
        <w:autoSpaceDN w:val="0"/>
        <w:adjustRightInd w:val="0"/>
        <w:textAlignment w:val="baseline"/>
        <w:rPr>
          <w:rFonts w:eastAsia="SimSun"/>
        </w:rPr>
      </w:pPr>
      <w:r w:rsidRPr="00C07B2E">
        <w:rPr>
          <w:rFonts w:eastAsia="SimSun"/>
        </w:rPr>
        <w:t xml:space="preserve">Нутритивный статус: избыточный вес или дефицит массы тела (на основаниий ИМТ и/или концентрации альбумина в сыворотке крови). </w:t>
      </w:r>
    </w:p>
    <w:p w14:paraId="009B23B2" w14:textId="77777777" w:rsidR="0089207C" w:rsidRPr="00C07B2E" w:rsidRDefault="0089207C" w:rsidP="0089207C">
      <w:pPr>
        <w:numPr>
          <w:ilvl w:val="0"/>
          <w:numId w:val="286"/>
        </w:numPr>
        <w:overflowPunct w:val="0"/>
        <w:autoSpaceDE w:val="0"/>
        <w:autoSpaceDN w:val="0"/>
        <w:adjustRightInd w:val="0"/>
        <w:textAlignment w:val="baseline"/>
        <w:rPr>
          <w:rFonts w:eastAsia="SimSun"/>
        </w:rPr>
      </w:pPr>
      <w:r w:rsidRPr="00C07B2E">
        <w:rPr>
          <w:rFonts w:eastAsia="SimSun"/>
        </w:rPr>
        <w:t>Оперативные вмешательства в анамнезе</w:t>
      </w:r>
    </w:p>
    <w:p w14:paraId="5AB52620" w14:textId="77777777" w:rsidR="0089207C" w:rsidRPr="00C07B2E" w:rsidRDefault="0089207C" w:rsidP="0089207C">
      <w:pPr>
        <w:numPr>
          <w:ilvl w:val="0"/>
          <w:numId w:val="286"/>
        </w:numPr>
        <w:overflowPunct w:val="0"/>
        <w:autoSpaceDE w:val="0"/>
        <w:autoSpaceDN w:val="0"/>
        <w:adjustRightInd w:val="0"/>
        <w:textAlignment w:val="baseline"/>
        <w:rPr>
          <w:rFonts w:eastAsia="SimSun"/>
        </w:rPr>
      </w:pPr>
      <w:r w:rsidRPr="00C07B2E">
        <w:rPr>
          <w:rFonts w:eastAsia="SimSun"/>
        </w:rPr>
        <w:t>Предполагаемая трудная интубация трахеи (для доноров костного мозга)</w:t>
      </w:r>
    </w:p>
    <w:p w14:paraId="728477E2" w14:textId="77777777" w:rsidR="0089207C" w:rsidRDefault="0089207C" w:rsidP="0089207C">
      <w:pPr>
        <w:rPr>
          <w:rFonts w:eastAsia="SimSun"/>
        </w:rPr>
      </w:pPr>
      <w:bookmarkStart w:id="176" w:name="_Toc44401116"/>
    </w:p>
    <w:p w14:paraId="5EF811BC" w14:textId="77777777" w:rsidR="0089207C" w:rsidRPr="00470D3D" w:rsidRDefault="0089207C" w:rsidP="0089207C">
      <w:pPr>
        <w:rPr>
          <w:rFonts w:eastAsia="SimSun"/>
          <w:i/>
          <w:u w:val="single"/>
        </w:rPr>
      </w:pPr>
      <w:r w:rsidRPr="00470D3D">
        <w:rPr>
          <w:rFonts w:eastAsia="SimSun"/>
          <w:i/>
          <w:u w:val="single"/>
        </w:rPr>
        <w:t>Противопоказания для донорства</w:t>
      </w:r>
      <w:bookmarkEnd w:id="176"/>
      <w:r>
        <w:rPr>
          <w:rFonts w:eastAsia="SimSun"/>
          <w:i/>
          <w:u w:val="single"/>
        </w:rPr>
        <w:t xml:space="preserve"> </w:t>
      </w:r>
      <w:r w:rsidRPr="00EE51B1">
        <w:rPr>
          <w:rFonts w:eastAsia="SimSun"/>
          <w:i/>
          <w:u w:val="single"/>
        </w:rPr>
        <w:fldChar w:fldCharType="begin" w:fldLock="1"/>
      </w:r>
      <w:r w:rsidRPr="00EE51B1">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plainTextFormattedCitation":"[1]"},"properties":{"noteIndex":0},"schema":"https://github.com/citation-style-language/schema/raw/master/csl-citation.json"}</w:instrText>
      </w:r>
      <w:r w:rsidRPr="00EE51B1">
        <w:rPr>
          <w:rFonts w:eastAsia="SimSun"/>
          <w:i/>
          <w:u w:val="single"/>
        </w:rPr>
        <w:fldChar w:fldCharType="separate"/>
      </w:r>
      <w:r w:rsidRPr="00EE51B1">
        <w:rPr>
          <w:rFonts w:eastAsia="SimSun"/>
          <w:i/>
          <w:noProof/>
          <w:u w:val="single"/>
        </w:rPr>
        <w:t>[1]</w:t>
      </w:r>
      <w:r w:rsidRPr="00EE51B1">
        <w:rPr>
          <w:rFonts w:eastAsia="SimSun"/>
          <w:i/>
          <w:u w:val="single"/>
        </w:rPr>
        <w:fldChar w:fldCharType="end"/>
      </w:r>
    </w:p>
    <w:p w14:paraId="6DCD4438" w14:textId="77777777" w:rsidR="0089207C" w:rsidRPr="00C07B2E" w:rsidRDefault="0089207C" w:rsidP="00B61B42">
      <w:pPr>
        <w:ind w:firstLine="709"/>
        <w:rPr>
          <w:rFonts w:eastAsia="SimSun"/>
        </w:rPr>
      </w:pPr>
      <w:r w:rsidRPr="00C07B2E">
        <w:rPr>
          <w:rFonts w:eastAsia="SimSun"/>
        </w:rPr>
        <w:t xml:space="preserve">Медицинские противопоказания для изъятия аллогенного костного мозга и/или забора аллогенных гемопоэтических стволовых клеток в целях их трансплантации являются следующие заболевания (состояния) у донора которые определены Приказом Минздрава России от 12.12.2018 N 875н "Об утверждении Порядка оказания медицинской помощи при заболеваниях (состояниях), для лечения которых применяется трансплантация (пересадка) костного мозга и гемопоэтических стволовых клеток, и внесении изменения в Порядок оказания медицинской помощи по профилю "хирургия (трансплантация органов и (или) тканей человека)", утвержденный приказом Министерства здравоохранения Российской Федерации от 31 октября 2012 г. N 567н" (Зарегистрировано в Минюсте России 09.01.2019 N 53256). </w:t>
      </w:r>
    </w:p>
    <w:p w14:paraId="76BEF9E6" w14:textId="77777777" w:rsidR="0089207C" w:rsidRPr="00C07B2E" w:rsidRDefault="0089207C" w:rsidP="0089207C">
      <w:pPr>
        <w:rPr>
          <w:rFonts w:eastAsia="SimSun"/>
        </w:rPr>
      </w:pPr>
    </w:p>
    <w:p w14:paraId="1785D994" w14:textId="77777777" w:rsidR="0089207C" w:rsidRPr="00470D3D" w:rsidRDefault="0089207C" w:rsidP="0089207C">
      <w:pPr>
        <w:rPr>
          <w:bCs/>
          <w:i/>
          <w:u w:val="single"/>
        </w:rPr>
      </w:pPr>
      <w:bookmarkStart w:id="177" w:name="_Toc44401117"/>
      <w:r w:rsidRPr="00470D3D">
        <w:rPr>
          <w:bCs/>
          <w:i/>
          <w:u w:val="single"/>
        </w:rPr>
        <w:t>Абсолютные медицинские  противопоказания</w:t>
      </w:r>
      <w:r>
        <w:rPr>
          <w:bCs/>
          <w:i/>
          <w:u w:val="single"/>
        </w:rPr>
        <w:t xml:space="preserve"> </w:t>
      </w:r>
      <w:r w:rsidRPr="00EE51B1">
        <w:rPr>
          <w:rFonts w:eastAsia="SimSun"/>
          <w:i/>
          <w:u w:val="single"/>
        </w:rPr>
        <w:fldChar w:fldCharType="begin" w:fldLock="1"/>
      </w:r>
      <w:r w:rsidRPr="00EE51B1">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plainTextFormattedCitation":"[1]"},"properties":{"noteIndex":0},"schema":"https://github.com/citation-style-language/schema/raw/master/csl-citation.json"}</w:instrText>
      </w:r>
      <w:r w:rsidRPr="00EE51B1">
        <w:rPr>
          <w:rFonts w:eastAsia="SimSun"/>
          <w:i/>
          <w:u w:val="single"/>
        </w:rPr>
        <w:fldChar w:fldCharType="separate"/>
      </w:r>
      <w:r w:rsidRPr="00EE51B1">
        <w:rPr>
          <w:rFonts w:eastAsia="SimSun"/>
          <w:i/>
          <w:noProof/>
          <w:u w:val="single"/>
        </w:rPr>
        <w:t>[1]</w:t>
      </w:r>
      <w:r w:rsidRPr="00EE51B1">
        <w:rPr>
          <w:rFonts w:eastAsia="SimSun"/>
          <w:i/>
          <w:u w:val="single"/>
        </w:rPr>
        <w:fldChar w:fldCharType="end"/>
      </w:r>
      <w:r w:rsidRPr="00470D3D">
        <w:rPr>
          <w:bCs/>
          <w:i/>
          <w:u w:val="single"/>
        </w:rPr>
        <w:t>:</w:t>
      </w:r>
      <w:bookmarkEnd w:id="177"/>
      <w:r w:rsidRPr="00470D3D">
        <w:rPr>
          <w:bCs/>
          <w:i/>
          <w:u w:val="single"/>
        </w:rPr>
        <w:t xml:space="preserve"> </w:t>
      </w:r>
    </w:p>
    <w:p w14:paraId="04F8C156" w14:textId="77777777" w:rsidR="0089207C" w:rsidRPr="00C07B2E" w:rsidRDefault="0089207C" w:rsidP="0089207C">
      <w:pPr>
        <w:numPr>
          <w:ilvl w:val="0"/>
          <w:numId w:val="287"/>
        </w:numPr>
        <w:overflowPunct w:val="0"/>
        <w:autoSpaceDE w:val="0"/>
        <w:autoSpaceDN w:val="0"/>
        <w:adjustRightInd w:val="0"/>
        <w:textAlignment w:val="baseline"/>
        <w:rPr>
          <w:bCs/>
        </w:rPr>
      </w:pPr>
      <w:r w:rsidRPr="00C07B2E">
        <w:rPr>
          <w:bCs/>
        </w:rPr>
        <w:t>инфекционные заболевания в стадии обострения;</w:t>
      </w:r>
    </w:p>
    <w:p w14:paraId="561DA70E" w14:textId="77777777" w:rsidR="0089207C" w:rsidRPr="00C07B2E" w:rsidRDefault="0089207C" w:rsidP="0089207C">
      <w:pPr>
        <w:numPr>
          <w:ilvl w:val="0"/>
          <w:numId w:val="287"/>
        </w:numPr>
        <w:overflowPunct w:val="0"/>
        <w:autoSpaceDE w:val="0"/>
        <w:autoSpaceDN w:val="0"/>
        <w:adjustRightInd w:val="0"/>
        <w:textAlignment w:val="baseline"/>
        <w:rPr>
          <w:bCs/>
        </w:rPr>
      </w:pPr>
      <w:r w:rsidRPr="00C07B2E">
        <w:rPr>
          <w:bCs/>
        </w:rPr>
        <w:t>наличие в крови маркеров вируса иммунодефицита человека;</w:t>
      </w:r>
    </w:p>
    <w:p w14:paraId="4A9EA15F" w14:textId="77777777" w:rsidR="0089207C" w:rsidRPr="00C07B2E" w:rsidRDefault="0089207C" w:rsidP="0089207C">
      <w:pPr>
        <w:numPr>
          <w:ilvl w:val="0"/>
          <w:numId w:val="287"/>
        </w:numPr>
        <w:overflowPunct w:val="0"/>
        <w:autoSpaceDE w:val="0"/>
        <w:autoSpaceDN w:val="0"/>
        <w:adjustRightInd w:val="0"/>
        <w:textAlignment w:val="baseline"/>
        <w:rPr>
          <w:bCs/>
        </w:rPr>
      </w:pPr>
      <w:r w:rsidRPr="00C07B2E">
        <w:rPr>
          <w:bCs/>
        </w:rPr>
        <w:t>болезнь Крейтцфельдта-Якоба в анамнезе;</w:t>
      </w:r>
    </w:p>
    <w:p w14:paraId="42A198D2" w14:textId="77777777" w:rsidR="0089207C" w:rsidRPr="00C07B2E" w:rsidRDefault="0089207C" w:rsidP="0089207C">
      <w:pPr>
        <w:numPr>
          <w:ilvl w:val="0"/>
          <w:numId w:val="287"/>
        </w:numPr>
        <w:overflowPunct w:val="0"/>
        <w:autoSpaceDE w:val="0"/>
        <w:autoSpaceDN w:val="0"/>
        <w:adjustRightInd w:val="0"/>
        <w:textAlignment w:val="baseline"/>
        <w:rPr>
          <w:bCs/>
        </w:rPr>
      </w:pPr>
      <w:r w:rsidRPr="00C07B2E">
        <w:rPr>
          <w:bCs/>
        </w:rPr>
        <w:t>злокачественные новообразования;</w:t>
      </w:r>
    </w:p>
    <w:p w14:paraId="4C708BED" w14:textId="77777777" w:rsidR="0089207C" w:rsidRPr="00C07B2E" w:rsidRDefault="0089207C" w:rsidP="0089207C">
      <w:pPr>
        <w:numPr>
          <w:ilvl w:val="0"/>
          <w:numId w:val="287"/>
        </w:numPr>
        <w:overflowPunct w:val="0"/>
        <w:autoSpaceDE w:val="0"/>
        <w:autoSpaceDN w:val="0"/>
        <w:adjustRightInd w:val="0"/>
        <w:textAlignment w:val="baseline"/>
        <w:rPr>
          <w:bCs/>
        </w:rPr>
      </w:pPr>
      <w:r w:rsidRPr="00C07B2E">
        <w:rPr>
          <w:bCs/>
        </w:rPr>
        <w:t>кахексия;</w:t>
      </w:r>
    </w:p>
    <w:p w14:paraId="14B4E28F" w14:textId="77777777" w:rsidR="0089207C" w:rsidRPr="00C07B2E" w:rsidRDefault="0089207C" w:rsidP="0089207C">
      <w:pPr>
        <w:numPr>
          <w:ilvl w:val="0"/>
          <w:numId w:val="287"/>
        </w:numPr>
        <w:overflowPunct w:val="0"/>
        <w:autoSpaceDE w:val="0"/>
        <w:autoSpaceDN w:val="0"/>
        <w:adjustRightInd w:val="0"/>
        <w:textAlignment w:val="baseline"/>
        <w:rPr>
          <w:bCs/>
        </w:rPr>
      </w:pPr>
      <w:r w:rsidRPr="00C07B2E">
        <w:rPr>
          <w:bCs/>
        </w:rPr>
        <w:lastRenderedPageBreak/>
        <w:t>терапия иммуносупрессивными лекарственными препаратами или иными лекарственными препаратами, которые могут повлиять на способность к самоподдержанию собственной популяции и полипотентность костного мозга и гемопоэтических стволовых клеток (на дату изъятия костного мозга и забора гемопоэтических стволовых клеток и до прекращения приема указанных лекарственных препаратов и восстановления кровяных ростков);</w:t>
      </w:r>
    </w:p>
    <w:p w14:paraId="7A644B28" w14:textId="77777777" w:rsidR="0089207C" w:rsidRPr="00C07B2E" w:rsidRDefault="0089207C" w:rsidP="0089207C">
      <w:pPr>
        <w:numPr>
          <w:ilvl w:val="0"/>
          <w:numId w:val="287"/>
        </w:numPr>
        <w:overflowPunct w:val="0"/>
        <w:autoSpaceDE w:val="0"/>
        <w:autoSpaceDN w:val="0"/>
        <w:adjustRightInd w:val="0"/>
        <w:textAlignment w:val="baseline"/>
        <w:rPr>
          <w:bCs/>
        </w:rPr>
      </w:pPr>
      <w:r w:rsidRPr="00C07B2E">
        <w:rPr>
          <w:bCs/>
        </w:rPr>
        <w:t>психические расстройства и расстройства поведения в состоянии обострения и (или) представляющие опасность для больного и окружающих;</w:t>
      </w:r>
    </w:p>
    <w:p w14:paraId="74A43B1C" w14:textId="77777777" w:rsidR="0089207C" w:rsidRPr="00C07B2E" w:rsidRDefault="0089207C" w:rsidP="0089207C">
      <w:pPr>
        <w:numPr>
          <w:ilvl w:val="0"/>
          <w:numId w:val="287"/>
        </w:numPr>
        <w:overflowPunct w:val="0"/>
        <w:autoSpaceDE w:val="0"/>
        <w:autoSpaceDN w:val="0"/>
        <w:adjustRightInd w:val="0"/>
        <w:textAlignment w:val="baseline"/>
        <w:rPr>
          <w:bCs/>
        </w:rPr>
      </w:pPr>
      <w:r w:rsidRPr="00C07B2E">
        <w:rPr>
          <w:bCs/>
        </w:rPr>
        <w:t>психические расстройства и расстройства поведения, вызванные употреблением психоактивных веществ;</w:t>
      </w:r>
    </w:p>
    <w:p w14:paraId="5B7C8B7E" w14:textId="77777777" w:rsidR="0089207C" w:rsidRPr="00C07B2E" w:rsidRDefault="0089207C" w:rsidP="0089207C">
      <w:pPr>
        <w:numPr>
          <w:ilvl w:val="0"/>
          <w:numId w:val="287"/>
        </w:numPr>
        <w:overflowPunct w:val="0"/>
        <w:autoSpaceDE w:val="0"/>
        <w:autoSpaceDN w:val="0"/>
        <w:adjustRightInd w:val="0"/>
        <w:textAlignment w:val="baseline"/>
        <w:rPr>
          <w:bCs/>
        </w:rPr>
      </w:pPr>
      <w:r w:rsidRPr="00C07B2E">
        <w:rPr>
          <w:bCs/>
        </w:rPr>
        <w:t>беременность;</w:t>
      </w:r>
    </w:p>
    <w:p w14:paraId="54005762" w14:textId="77777777" w:rsidR="0089207C" w:rsidRPr="00C07B2E" w:rsidRDefault="0089207C" w:rsidP="0089207C">
      <w:pPr>
        <w:numPr>
          <w:ilvl w:val="0"/>
          <w:numId w:val="287"/>
        </w:numPr>
        <w:overflowPunct w:val="0"/>
        <w:autoSpaceDE w:val="0"/>
        <w:autoSpaceDN w:val="0"/>
        <w:adjustRightInd w:val="0"/>
        <w:textAlignment w:val="baseline"/>
        <w:rPr>
          <w:bCs/>
        </w:rPr>
      </w:pPr>
      <w:r w:rsidRPr="00C07B2E">
        <w:rPr>
          <w:bCs/>
        </w:rPr>
        <w:t>грудное вскармливание</w:t>
      </w:r>
      <w:r w:rsidRPr="00C07B2E">
        <w:rPr>
          <w:bCs/>
          <w:lang w:val="en-US"/>
        </w:rPr>
        <w:t>;</w:t>
      </w:r>
    </w:p>
    <w:p w14:paraId="2C25390C" w14:textId="77777777" w:rsidR="0089207C" w:rsidRPr="00C07B2E" w:rsidRDefault="0089207C" w:rsidP="0089207C">
      <w:pPr>
        <w:numPr>
          <w:ilvl w:val="0"/>
          <w:numId w:val="287"/>
        </w:numPr>
        <w:overflowPunct w:val="0"/>
        <w:autoSpaceDE w:val="0"/>
        <w:autoSpaceDN w:val="0"/>
        <w:adjustRightInd w:val="0"/>
        <w:textAlignment w:val="baseline"/>
        <w:rPr>
          <w:bCs/>
        </w:rPr>
      </w:pPr>
      <w:r w:rsidRPr="00C07B2E">
        <w:rPr>
          <w:bCs/>
        </w:rPr>
        <w:t>отсутствие подписанного донором информированного согласия на забор ГСК или костного мозга</w:t>
      </w:r>
    </w:p>
    <w:p w14:paraId="2B0A5129" w14:textId="77777777" w:rsidR="0089207C" w:rsidRPr="00C07B2E" w:rsidRDefault="0089207C" w:rsidP="0089207C">
      <w:pPr>
        <w:rPr>
          <w:rFonts w:eastAsia="SimSun"/>
        </w:rPr>
      </w:pPr>
    </w:p>
    <w:p w14:paraId="45D85687" w14:textId="77777777" w:rsidR="0089207C" w:rsidRPr="00470D3D" w:rsidRDefault="0089207C" w:rsidP="0089207C">
      <w:pPr>
        <w:rPr>
          <w:rFonts w:eastAsia="SimSun"/>
          <w:i/>
          <w:u w:val="single"/>
        </w:rPr>
      </w:pPr>
      <w:bookmarkStart w:id="178" w:name="_Toc44401118"/>
      <w:r w:rsidRPr="00470D3D">
        <w:rPr>
          <w:rFonts w:eastAsia="SimSun"/>
          <w:i/>
          <w:u w:val="single"/>
        </w:rPr>
        <w:t>Относительные медицинские противопоказания</w:t>
      </w:r>
      <w:r>
        <w:rPr>
          <w:rFonts w:eastAsia="SimSun"/>
          <w:i/>
          <w:u w:val="single"/>
        </w:rPr>
        <w:t xml:space="preserve"> </w:t>
      </w:r>
      <w:r w:rsidRPr="00EE51B1">
        <w:rPr>
          <w:rFonts w:eastAsia="SimSun"/>
          <w:i/>
          <w:u w:val="single"/>
        </w:rPr>
        <w:fldChar w:fldCharType="begin" w:fldLock="1"/>
      </w:r>
      <w:r w:rsidRPr="00EE51B1">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plainTextFormattedCitation":"[1]"},"properties":{"noteIndex":0},"schema":"https://github.com/citation-style-language/schema/raw/master/csl-citation.json"}</w:instrText>
      </w:r>
      <w:r w:rsidRPr="00EE51B1">
        <w:rPr>
          <w:rFonts w:eastAsia="SimSun"/>
          <w:i/>
          <w:u w:val="single"/>
        </w:rPr>
        <w:fldChar w:fldCharType="separate"/>
      </w:r>
      <w:r w:rsidRPr="00EE51B1">
        <w:rPr>
          <w:rFonts w:eastAsia="SimSun"/>
          <w:i/>
          <w:noProof/>
          <w:u w:val="single"/>
        </w:rPr>
        <w:t>[1]</w:t>
      </w:r>
      <w:r w:rsidRPr="00EE51B1">
        <w:rPr>
          <w:rFonts w:eastAsia="SimSun"/>
          <w:i/>
          <w:u w:val="single"/>
        </w:rPr>
        <w:fldChar w:fldCharType="end"/>
      </w:r>
      <w:r w:rsidRPr="00470D3D">
        <w:rPr>
          <w:rFonts w:eastAsia="SimSun"/>
          <w:i/>
          <w:u w:val="single"/>
        </w:rPr>
        <w:t>:</w:t>
      </w:r>
      <w:bookmarkEnd w:id="178"/>
    </w:p>
    <w:p w14:paraId="177C6192" w14:textId="77777777" w:rsidR="0089207C" w:rsidRPr="00C07B2E" w:rsidRDefault="0089207C" w:rsidP="0089207C">
      <w:pPr>
        <w:numPr>
          <w:ilvl w:val="0"/>
          <w:numId w:val="288"/>
        </w:numPr>
        <w:overflowPunct w:val="0"/>
        <w:autoSpaceDE w:val="0"/>
        <w:autoSpaceDN w:val="0"/>
        <w:adjustRightInd w:val="0"/>
        <w:textAlignment w:val="baseline"/>
        <w:rPr>
          <w:rFonts w:eastAsia="SimSun"/>
        </w:rPr>
      </w:pPr>
      <w:r w:rsidRPr="00C07B2E">
        <w:rPr>
          <w:rFonts w:eastAsia="SimSun"/>
        </w:rPr>
        <w:t>наличие инфекционных заболеваний вне обострения или инфекционные заболевания в анамнезе, в том числе выявление маркеров вирусов гепатитов (за исключением перенесенного гепатита A в анамнезе), сифилиса;</w:t>
      </w:r>
    </w:p>
    <w:p w14:paraId="19B7E06E" w14:textId="77777777" w:rsidR="0089207C" w:rsidRPr="00C07B2E" w:rsidRDefault="0089207C" w:rsidP="0089207C">
      <w:pPr>
        <w:numPr>
          <w:ilvl w:val="0"/>
          <w:numId w:val="288"/>
        </w:numPr>
        <w:overflowPunct w:val="0"/>
        <w:autoSpaceDE w:val="0"/>
        <w:autoSpaceDN w:val="0"/>
        <w:adjustRightInd w:val="0"/>
        <w:textAlignment w:val="baseline"/>
        <w:rPr>
          <w:rFonts w:eastAsia="SimSun"/>
        </w:rPr>
      </w:pPr>
      <w:r w:rsidRPr="00C07B2E">
        <w:rPr>
          <w:rFonts w:eastAsia="SimSun"/>
        </w:rPr>
        <w:t>доброкачественные новообразования;</w:t>
      </w:r>
    </w:p>
    <w:p w14:paraId="3E298CE4" w14:textId="77777777" w:rsidR="0089207C" w:rsidRPr="00C07B2E" w:rsidRDefault="0089207C" w:rsidP="0089207C">
      <w:pPr>
        <w:numPr>
          <w:ilvl w:val="0"/>
          <w:numId w:val="288"/>
        </w:numPr>
        <w:overflowPunct w:val="0"/>
        <w:autoSpaceDE w:val="0"/>
        <w:autoSpaceDN w:val="0"/>
        <w:adjustRightInd w:val="0"/>
        <w:textAlignment w:val="baseline"/>
        <w:rPr>
          <w:rFonts w:eastAsia="SimSun"/>
        </w:rPr>
      </w:pPr>
      <w:r w:rsidRPr="00C07B2E">
        <w:rPr>
          <w:rFonts w:eastAsia="SimSun"/>
        </w:rPr>
        <w:t>нарушения здоровья, связанные с нарушением двигательных функций, болезнями системы кровообращения, болезнями органов пищеварения и органов дыхания, болезнями мочеполовой системы, болезнями эндокринной системы, болезнями крови, кроветворных органов и отдельными нарушениями, вовлекающими иммунный механизм, психическими расстройствами и сопровождающиеся стойким расстройством функций организма;</w:t>
      </w:r>
    </w:p>
    <w:p w14:paraId="5B0ED1C1" w14:textId="77777777" w:rsidR="0089207C" w:rsidRPr="00C07B2E" w:rsidRDefault="0089207C" w:rsidP="0089207C">
      <w:pPr>
        <w:numPr>
          <w:ilvl w:val="0"/>
          <w:numId w:val="288"/>
        </w:numPr>
        <w:overflowPunct w:val="0"/>
        <w:autoSpaceDE w:val="0"/>
        <w:autoSpaceDN w:val="0"/>
        <w:adjustRightInd w:val="0"/>
        <w:textAlignment w:val="baseline"/>
        <w:rPr>
          <w:rFonts w:eastAsia="SimSun"/>
        </w:rPr>
      </w:pPr>
      <w:r w:rsidRPr="00C07B2E">
        <w:rPr>
          <w:rFonts w:eastAsia="SimSun"/>
        </w:rPr>
        <w:t>При наличии у донора относительных медицинских противопоказаний для изъятия костного мозга и забора гемопоэтических стволовых клеток решение об изъятии костного мозга или заборе гемопоэтических стволовых клеток принимается консилиумом врачей медицинской организации, осуществляющей трансплантацию.</w:t>
      </w:r>
    </w:p>
    <w:p w14:paraId="6291CB87" w14:textId="77777777" w:rsidR="0089207C" w:rsidRPr="00C07B2E" w:rsidRDefault="0089207C" w:rsidP="0089207C">
      <w:pPr>
        <w:rPr>
          <w:rFonts w:eastAsia="SimSun"/>
        </w:rPr>
      </w:pPr>
    </w:p>
    <w:p w14:paraId="0E39E1E6" w14:textId="77777777" w:rsidR="0089207C" w:rsidRPr="00470D3D" w:rsidRDefault="0089207C" w:rsidP="0089207C">
      <w:pPr>
        <w:rPr>
          <w:rFonts w:eastAsia="SimSun"/>
          <w:i/>
          <w:u w:val="single"/>
        </w:rPr>
      </w:pPr>
      <w:bookmarkStart w:id="179" w:name="_Toc44401119"/>
      <w:r w:rsidRPr="00470D3D">
        <w:rPr>
          <w:rFonts w:eastAsia="SimSun"/>
          <w:i/>
          <w:u w:val="single"/>
        </w:rPr>
        <w:t>Особые случаи:</w:t>
      </w:r>
      <w:bookmarkEnd w:id="179"/>
    </w:p>
    <w:p w14:paraId="5D9BDE97" w14:textId="77777777" w:rsidR="0089207C" w:rsidRPr="00C07B2E" w:rsidRDefault="0089207C" w:rsidP="00B61B42">
      <w:pPr>
        <w:ind w:firstLine="709"/>
        <w:rPr>
          <w:rFonts w:eastAsia="SimSun"/>
        </w:rPr>
      </w:pPr>
      <w:r w:rsidRPr="00C07B2E">
        <w:rPr>
          <w:rFonts w:eastAsia="SimSun"/>
        </w:rPr>
        <w:t xml:space="preserve">Допускается изъятие костного мозга и забор гемопоэтических стволовых у родственного донора, у которого выявлены маркеры вирусов гепатитов (за исключением </w:t>
      </w:r>
      <w:r w:rsidRPr="00C07B2E">
        <w:rPr>
          <w:rFonts w:eastAsia="SimSun"/>
        </w:rPr>
        <w:lastRenderedPageBreak/>
        <w:t>перенесенного гепатита A в анамнезе), сифилиса, в случае невозможности подбора другого совместимого донора при соблюдении одновременно следующих условий:</w:t>
      </w:r>
    </w:p>
    <w:p w14:paraId="3FB71CE0" w14:textId="77777777" w:rsidR="0089207C" w:rsidRPr="00C07B2E" w:rsidRDefault="0089207C" w:rsidP="0089207C">
      <w:pPr>
        <w:numPr>
          <w:ilvl w:val="0"/>
          <w:numId w:val="289"/>
        </w:numPr>
        <w:overflowPunct w:val="0"/>
        <w:autoSpaceDE w:val="0"/>
        <w:autoSpaceDN w:val="0"/>
        <w:adjustRightInd w:val="0"/>
        <w:textAlignment w:val="baseline"/>
        <w:rPr>
          <w:rFonts w:eastAsia="SimSun"/>
        </w:rPr>
      </w:pPr>
      <w:r w:rsidRPr="00C07B2E">
        <w:rPr>
          <w:rFonts w:eastAsia="SimSun"/>
        </w:rPr>
        <w:t>предварительное проведение этиотропного и симптоматического лечения вирусных гепатитов (за исключением перенесенного гепатита A в анамнезе), сифилиса;</w:t>
      </w:r>
    </w:p>
    <w:p w14:paraId="6EDB84EE" w14:textId="77777777" w:rsidR="0089207C" w:rsidRPr="00C07B2E" w:rsidRDefault="0089207C" w:rsidP="0089207C">
      <w:pPr>
        <w:numPr>
          <w:ilvl w:val="0"/>
          <w:numId w:val="289"/>
        </w:numPr>
        <w:overflowPunct w:val="0"/>
        <w:autoSpaceDE w:val="0"/>
        <w:autoSpaceDN w:val="0"/>
        <w:adjustRightInd w:val="0"/>
        <w:textAlignment w:val="baseline"/>
        <w:rPr>
          <w:rFonts w:eastAsia="SimSun"/>
        </w:rPr>
      </w:pPr>
      <w:r w:rsidRPr="00C07B2E">
        <w:rPr>
          <w:rFonts w:eastAsia="SimSun"/>
        </w:rPr>
        <w:t>наличие информированного добровольного согласия пациента (реципиента) на медицинское вмешательство с указанием сведений о том, что забор костного мозга и гемопоэтических стволовых клеток будет осуществляться у донора, у которого выявлены маркеры вирусов гепатитов (за исключением перенесенного гепатита A в анамнезе), сифилиса.</w:t>
      </w:r>
    </w:p>
    <w:p w14:paraId="76878A34" w14:textId="77777777" w:rsidR="0089207C" w:rsidRPr="00470D3D" w:rsidRDefault="0089207C" w:rsidP="0089207C">
      <w:pPr>
        <w:rPr>
          <w:rFonts w:eastAsia="SimSun"/>
        </w:rPr>
      </w:pPr>
    </w:p>
    <w:p w14:paraId="48CDF4E3" w14:textId="77777777" w:rsidR="0089207C" w:rsidRPr="00470D3D" w:rsidRDefault="0089207C" w:rsidP="0089207C">
      <w:pPr>
        <w:rPr>
          <w:rFonts w:eastAsia="SimSun"/>
          <w:i/>
          <w:u w:val="single"/>
        </w:rPr>
      </w:pPr>
      <w:bookmarkStart w:id="180" w:name="_Toc44401125"/>
      <w:r w:rsidRPr="00470D3D">
        <w:rPr>
          <w:rFonts w:eastAsia="SimSun"/>
          <w:i/>
          <w:u w:val="single"/>
        </w:rPr>
        <w:t>Список лабораторных и инструментальных исследований для обследования кандидатов в доноры</w:t>
      </w:r>
      <w:bookmarkEnd w:id="180"/>
      <w:r w:rsidRPr="00470D3D">
        <w:rPr>
          <w:rFonts w:eastAsia="SimSun"/>
          <w:i/>
          <w:u w:val="single"/>
        </w:rPr>
        <w:t xml:space="preserve"> </w:t>
      </w:r>
      <w:r w:rsidRPr="00470D3D">
        <w:rPr>
          <w:rFonts w:eastAsia="SimSun"/>
          <w:i/>
          <w:u w:val="single"/>
        </w:rPr>
        <w:fldChar w:fldCharType="begin" w:fldLock="1"/>
      </w:r>
      <w:r w:rsidRPr="00470D3D">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plainTextFormattedCitation":"[1]"},"properties":{"noteIndex":0},"schema":"https://github.com/citation-style-language/schema/raw/master/csl-citation.json"}</w:instrText>
      </w:r>
      <w:r w:rsidRPr="00470D3D">
        <w:rPr>
          <w:rFonts w:eastAsia="SimSun"/>
          <w:i/>
          <w:u w:val="single"/>
        </w:rPr>
        <w:fldChar w:fldCharType="separate"/>
      </w:r>
      <w:r w:rsidRPr="00470D3D">
        <w:rPr>
          <w:rFonts w:eastAsia="SimSun"/>
          <w:i/>
          <w:noProof/>
          <w:u w:val="single"/>
        </w:rPr>
        <w:t>[1]</w:t>
      </w:r>
      <w:r w:rsidRPr="00470D3D">
        <w:rPr>
          <w:rFonts w:eastAsia="SimSun"/>
          <w:i/>
          <w:u w:val="single"/>
        </w:rPr>
        <w:fldChar w:fldCharType="end"/>
      </w:r>
      <w:r>
        <w:rPr>
          <w:rFonts w:eastAsia="SimSun"/>
          <w:i/>
          <w:u w:val="single"/>
        </w:rPr>
        <w:t>:</w:t>
      </w:r>
    </w:p>
    <w:p w14:paraId="20387605" w14:textId="77777777" w:rsidR="0089207C" w:rsidRPr="00B61B42" w:rsidRDefault="0089207C" w:rsidP="00B61B42">
      <w:pPr>
        <w:numPr>
          <w:ilvl w:val="0"/>
          <w:numId w:val="289"/>
        </w:numPr>
        <w:overflowPunct w:val="0"/>
        <w:autoSpaceDE w:val="0"/>
        <w:autoSpaceDN w:val="0"/>
        <w:adjustRightInd w:val="0"/>
        <w:textAlignment w:val="baseline"/>
        <w:rPr>
          <w:rFonts w:eastAsia="SimSun"/>
        </w:rPr>
      </w:pPr>
      <w:r w:rsidRPr="00B61B42">
        <w:rPr>
          <w:rFonts w:eastAsia="SimSun"/>
        </w:rPr>
        <w:t>Общеклинический анализ крови (включая подсчет тромбоцитов)</w:t>
      </w:r>
    </w:p>
    <w:p w14:paraId="31145138" w14:textId="77777777" w:rsidR="0089207C" w:rsidRPr="00B61B42" w:rsidRDefault="0089207C" w:rsidP="00B61B42">
      <w:pPr>
        <w:numPr>
          <w:ilvl w:val="0"/>
          <w:numId w:val="289"/>
        </w:numPr>
        <w:overflowPunct w:val="0"/>
        <w:autoSpaceDE w:val="0"/>
        <w:autoSpaceDN w:val="0"/>
        <w:adjustRightInd w:val="0"/>
        <w:textAlignment w:val="baseline"/>
        <w:rPr>
          <w:rFonts w:eastAsia="SimSun"/>
        </w:rPr>
      </w:pPr>
      <w:r w:rsidRPr="00B61B42">
        <w:rPr>
          <w:rFonts w:eastAsia="SimSun"/>
        </w:rPr>
        <w:t>Биохимический анализ крови (общий белок, альбумин, глобулин, общий холестерин, мочевая кислота, креатинин (расчет клиренса креатитнина — см. приложение 3), мочевина, билирубин и его фракции, АЛТ, АСТ, ЩФ, ГГТП, ЛДГ, сывороточное железо).</w:t>
      </w:r>
    </w:p>
    <w:p w14:paraId="737C9C0B" w14:textId="77777777" w:rsidR="0089207C" w:rsidRPr="00B61B42" w:rsidRDefault="0089207C" w:rsidP="00B61B42">
      <w:pPr>
        <w:numPr>
          <w:ilvl w:val="0"/>
          <w:numId w:val="289"/>
        </w:numPr>
        <w:overflowPunct w:val="0"/>
        <w:autoSpaceDE w:val="0"/>
        <w:autoSpaceDN w:val="0"/>
        <w:adjustRightInd w:val="0"/>
        <w:textAlignment w:val="baseline"/>
        <w:rPr>
          <w:rFonts w:eastAsia="SimSun"/>
        </w:rPr>
      </w:pPr>
      <w:r w:rsidRPr="00B61B42">
        <w:rPr>
          <w:rFonts w:eastAsia="SimSun"/>
        </w:rPr>
        <w:t>Коагулограмма (АЧТВ, фибриноген, ПТИ по Квику, МНО).</w:t>
      </w:r>
    </w:p>
    <w:p w14:paraId="0E7B55E0" w14:textId="77777777" w:rsidR="0089207C" w:rsidRPr="00B61B42" w:rsidRDefault="0089207C" w:rsidP="00B61B42">
      <w:pPr>
        <w:numPr>
          <w:ilvl w:val="0"/>
          <w:numId w:val="289"/>
        </w:numPr>
        <w:overflowPunct w:val="0"/>
        <w:autoSpaceDE w:val="0"/>
        <w:autoSpaceDN w:val="0"/>
        <w:adjustRightInd w:val="0"/>
        <w:textAlignment w:val="baseline"/>
        <w:rPr>
          <w:rFonts w:eastAsia="SimSun"/>
        </w:rPr>
      </w:pPr>
      <w:r w:rsidRPr="00B61B42">
        <w:rPr>
          <w:rFonts w:eastAsia="SimSun"/>
        </w:rPr>
        <w:t>Глюкоза венозной крови натощак.</w:t>
      </w:r>
    </w:p>
    <w:p w14:paraId="2C9A19DD" w14:textId="77777777" w:rsidR="0089207C" w:rsidRPr="00B61B42" w:rsidRDefault="0089207C" w:rsidP="00B61B42">
      <w:pPr>
        <w:numPr>
          <w:ilvl w:val="0"/>
          <w:numId w:val="289"/>
        </w:numPr>
        <w:overflowPunct w:val="0"/>
        <w:autoSpaceDE w:val="0"/>
        <w:autoSpaceDN w:val="0"/>
        <w:adjustRightInd w:val="0"/>
        <w:textAlignment w:val="baseline"/>
        <w:rPr>
          <w:rFonts w:eastAsia="SimSun"/>
        </w:rPr>
      </w:pPr>
      <w:r w:rsidRPr="00B61B42">
        <w:rPr>
          <w:rFonts w:eastAsia="SimSun"/>
        </w:rPr>
        <w:t>Общий анализ мочи.</w:t>
      </w:r>
    </w:p>
    <w:p w14:paraId="2EDF0290" w14:textId="77777777" w:rsidR="0089207C" w:rsidRPr="00B61B42" w:rsidRDefault="0089207C" w:rsidP="00B61B42">
      <w:pPr>
        <w:numPr>
          <w:ilvl w:val="0"/>
          <w:numId w:val="289"/>
        </w:numPr>
        <w:overflowPunct w:val="0"/>
        <w:autoSpaceDE w:val="0"/>
        <w:autoSpaceDN w:val="0"/>
        <w:adjustRightInd w:val="0"/>
        <w:textAlignment w:val="baseline"/>
        <w:rPr>
          <w:rFonts w:eastAsia="SimSun"/>
        </w:rPr>
      </w:pPr>
      <w:r w:rsidRPr="00B61B42">
        <w:rPr>
          <w:rFonts w:eastAsia="SimSun"/>
        </w:rPr>
        <w:t>Серологические исследования гемотрансмиссивных инфекций (антитела к ВИЧ, HBsAg качественно, антитела к HBsAg качественно и количественно, анти-НВсоr качественно, HBeAg качественно, анти-HBeAg, на сифилис).</w:t>
      </w:r>
    </w:p>
    <w:p w14:paraId="3C720888" w14:textId="77777777" w:rsidR="0089207C" w:rsidRPr="00B61B42" w:rsidRDefault="0089207C" w:rsidP="00B61B42">
      <w:pPr>
        <w:numPr>
          <w:ilvl w:val="0"/>
          <w:numId w:val="289"/>
        </w:numPr>
        <w:overflowPunct w:val="0"/>
        <w:autoSpaceDE w:val="0"/>
        <w:autoSpaceDN w:val="0"/>
        <w:adjustRightInd w:val="0"/>
        <w:textAlignment w:val="baseline"/>
        <w:rPr>
          <w:rFonts w:eastAsia="SimSun"/>
        </w:rPr>
      </w:pPr>
      <w:r w:rsidRPr="00B61B42">
        <w:rPr>
          <w:rFonts w:eastAsia="SimSun"/>
        </w:rPr>
        <w:t>Серологические исследования герпесвирусных инфекций (CMV, Эпштейна—Барр, вирус герпеса человека 1 и 6-го типа).</w:t>
      </w:r>
    </w:p>
    <w:p w14:paraId="7DBE2869" w14:textId="77777777" w:rsidR="0089207C" w:rsidRPr="00B61B42" w:rsidRDefault="0089207C" w:rsidP="00B61B42">
      <w:pPr>
        <w:numPr>
          <w:ilvl w:val="0"/>
          <w:numId w:val="289"/>
        </w:numPr>
        <w:overflowPunct w:val="0"/>
        <w:autoSpaceDE w:val="0"/>
        <w:autoSpaceDN w:val="0"/>
        <w:adjustRightInd w:val="0"/>
        <w:textAlignment w:val="baseline"/>
        <w:rPr>
          <w:rFonts w:eastAsia="SimSun"/>
        </w:rPr>
      </w:pPr>
      <w:r w:rsidRPr="00B61B42">
        <w:rPr>
          <w:rFonts w:eastAsia="SimSun"/>
        </w:rPr>
        <w:t>Определение ДНК вируса гепатита В и РНК вируса гепатита С с помощью ПЦР.</w:t>
      </w:r>
    </w:p>
    <w:p w14:paraId="032150A4" w14:textId="77777777" w:rsidR="0089207C" w:rsidRPr="00B61B42" w:rsidRDefault="0089207C" w:rsidP="00B61B42">
      <w:pPr>
        <w:numPr>
          <w:ilvl w:val="0"/>
          <w:numId w:val="289"/>
        </w:numPr>
        <w:overflowPunct w:val="0"/>
        <w:autoSpaceDE w:val="0"/>
        <w:autoSpaceDN w:val="0"/>
        <w:adjustRightInd w:val="0"/>
        <w:textAlignment w:val="baseline"/>
        <w:rPr>
          <w:rFonts w:eastAsia="SimSun"/>
        </w:rPr>
      </w:pPr>
      <w:r w:rsidRPr="00B61B42">
        <w:rPr>
          <w:rFonts w:eastAsia="SimSun"/>
        </w:rPr>
        <w:t>ЭКГ, по показаниям — трансторакальная ЭхоКГ, холтеровский мониторинг ЭКГ и др.Рентгенография органов грудной клетки, по показаниям — КТ органов грудной клетки и др.</w:t>
      </w:r>
    </w:p>
    <w:p w14:paraId="301F46DF" w14:textId="77777777" w:rsidR="0089207C" w:rsidRPr="00B61B42" w:rsidRDefault="0089207C" w:rsidP="00B61B42">
      <w:pPr>
        <w:numPr>
          <w:ilvl w:val="0"/>
          <w:numId w:val="289"/>
        </w:numPr>
        <w:overflowPunct w:val="0"/>
        <w:autoSpaceDE w:val="0"/>
        <w:autoSpaceDN w:val="0"/>
        <w:adjustRightInd w:val="0"/>
        <w:textAlignment w:val="baseline"/>
        <w:rPr>
          <w:rFonts w:eastAsia="SimSun"/>
        </w:rPr>
      </w:pPr>
      <w:r w:rsidRPr="00B61B42">
        <w:rPr>
          <w:rFonts w:eastAsia="SimSun"/>
        </w:rPr>
        <w:t xml:space="preserve">УЗИ органов брюшной полости (по показаниям). </w:t>
      </w:r>
    </w:p>
    <w:p w14:paraId="3AEEA1B2" w14:textId="77777777" w:rsidR="0089207C" w:rsidRDefault="0089207C" w:rsidP="0089207C">
      <w:pPr>
        <w:rPr>
          <w:rFonts w:eastAsia="SimSun"/>
        </w:rPr>
      </w:pPr>
      <w:bookmarkStart w:id="181" w:name="_Toc44401126"/>
    </w:p>
    <w:p w14:paraId="6FBDFB7C" w14:textId="6B51AD8F" w:rsidR="0089207C" w:rsidRPr="00470D3D" w:rsidRDefault="0089207C" w:rsidP="0089207C">
      <w:pPr>
        <w:rPr>
          <w:rFonts w:eastAsia="SimSun"/>
          <w:b/>
        </w:rPr>
      </w:pPr>
      <w:r>
        <w:rPr>
          <w:rFonts w:eastAsia="SimSun"/>
          <w:b/>
        </w:rPr>
        <w:t>3</w:t>
      </w:r>
      <w:r w:rsidRPr="00470D3D">
        <w:rPr>
          <w:rFonts w:eastAsia="SimSun"/>
          <w:b/>
        </w:rPr>
        <w:t>. Протокол подготовки к инфузии и инфузии аллогенных гемопоэтических стволовых клеток</w:t>
      </w:r>
      <w:bookmarkEnd w:id="181"/>
    </w:p>
    <w:p w14:paraId="6665AB5F" w14:textId="77777777" w:rsidR="0089207C" w:rsidRPr="00E87507" w:rsidRDefault="0089207C" w:rsidP="0089207C">
      <w:pPr>
        <w:rPr>
          <w:rFonts w:eastAsia="SimSun"/>
          <w:i/>
          <w:u w:val="single"/>
        </w:rPr>
      </w:pPr>
      <w:bookmarkStart w:id="182" w:name="_Toc44401128"/>
      <w:r w:rsidRPr="00E87507">
        <w:rPr>
          <w:rFonts w:eastAsia="SimSun"/>
          <w:i/>
          <w:u w:val="single"/>
        </w:rPr>
        <w:t>Установка ЦВК</w:t>
      </w:r>
      <w:bookmarkEnd w:id="182"/>
    </w:p>
    <w:p w14:paraId="656C47EE" w14:textId="77777777" w:rsidR="0089207C" w:rsidRPr="00C07B2E" w:rsidRDefault="0089207C" w:rsidP="00B61B42">
      <w:pPr>
        <w:ind w:firstLine="709"/>
        <w:rPr>
          <w:rFonts w:eastAsia="SimSun"/>
        </w:rPr>
      </w:pPr>
      <w:r w:rsidRPr="00C07B2E">
        <w:rPr>
          <w:rFonts w:eastAsia="SimSun"/>
        </w:rPr>
        <w:t xml:space="preserve">Перед началом кондиционирования больному устанавливают двух- или трехходовой ЦВК в подключичную вену (или во внутреннюю яремную, в наружную яремную вену). </w:t>
      </w:r>
    </w:p>
    <w:p w14:paraId="06106F4C" w14:textId="77777777" w:rsidR="0089207C" w:rsidRDefault="0089207C" w:rsidP="0089207C">
      <w:pPr>
        <w:rPr>
          <w:rFonts w:eastAsia="SimSun"/>
        </w:rPr>
      </w:pPr>
      <w:bookmarkStart w:id="183" w:name="_Toc44401129"/>
    </w:p>
    <w:p w14:paraId="3F8A776C" w14:textId="77777777" w:rsidR="0089207C" w:rsidRPr="00E87507" w:rsidRDefault="0089207C" w:rsidP="0089207C">
      <w:pPr>
        <w:rPr>
          <w:rFonts w:eastAsia="SimSun"/>
          <w:i/>
          <w:u w:val="single"/>
        </w:rPr>
      </w:pPr>
      <w:r w:rsidRPr="00E87507">
        <w:rPr>
          <w:rFonts w:eastAsia="SimSun"/>
          <w:i/>
          <w:u w:val="single"/>
        </w:rPr>
        <w:t>Порядок отсчета дней до и после алло-ТГСК</w:t>
      </w:r>
      <w:bookmarkEnd w:id="183"/>
    </w:p>
    <w:p w14:paraId="3E1448A5" w14:textId="77777777" w:rsidR="0089207C" w:rsidRPr="00C07B2E" w:rsidRDefault="0089207C" w:rsidP="00B61B42">
      <w:pPr>
        <w:ind w:firstLine="709"/>
        <w:rPr>
          <w:rFonts w:eastAsia="SimSun"/>
        </w:rPr>
      </w:pPr>
      <w:r w:rsidRPr="00C07B2E">
        <w:rPr>
          <w:rFonts w:eastAsia="SimSun"/>
        </w:rPr>
        <w:t>Днем отсчета считается дата трансплантации. Она обозначается как «день 0», «Д0», «0 день ТГСК» или просто «0». От дня начала кондиционирования до дня инфузии ГСК (первого из дней инфузии ГСК) ведут обратный счет дней. Например: дата алло-ТГСК — 5 января, день «–1» — это 4 января и т. д. В случае если дата следует после алло-ТГСК, то перед ней ставится знак «+». Например: дата алло-ТГСК — 7 декабря, день «+1» — это 8 декабря. Счет ведется до конца жизни пациента, или до следующей ТКМ.</w:t>
      </w:r>
    </w:p>
    <w:p w14:paraId="2B33B6B0" w14:textId="77777777" w:rsidR="0089207C" w:rsidRDefault="0089207C" w:rsidP="0089207C">
      <w:pPr>
        <w:rPr>
          <w:rFonts w:eastAsia="SimSun"/>
        </w:rPr>
      </w:pPr>
      <w:bookmarkStart w:id="184" w:name="_Toc44401130"/>
    </w:p>
    <w:p w14:paraId="79F4421E" w14:textId="77777777" w:rsidR="0089207C" w:rsidRPr="00E87507" w:rsidRDefault="0089207C" w:rsidP="0089207C">
      <w:pPr>
        <w:rPr>
          <w:rFonts w:eastAsia="SimSun"/>
          <w:i/>
          <w:u w:val="single"/>
        </w:rPr>
      </w:pPr>
      <w:r w:rsidRPr="00E87507">
        <w:rPr>
          <w:rFonts w:eastAsia="SimSun"/>
          <w:i/>
          <w:u w:val="single"/>
        </w:rPr>
        <w:t>Подготовка к инфузии ГСК</w:t>
      </w:r>
      <w:bookmarkEnd w:id="184"/>
    </w:p>
    <w:p w14:paraId="2A998457" w14:textId="77777777" w:rsidR="0089207C" w:rsidRPr="00C07B2E" w:rsidRDefault="0089207C" w:rsidP="00B61B42">
      <w:pPr>
        <w:ind w:firstLine="709"/>
        <w:rPr>
          <w:rFonts w:eastAsia="SimSun"/>
        </w:rPr>
      </w:pPr>
      <w:r w:rsidRPr="00C07B2E">
        <w:rPr>
          <w:rFonts w:eastAsia="SimSun"/>
        </w:rPr>
        <w:t>Убедитесь, что выполнены следующие условия:</w:t>
      </w:r>
    </w:p>
    <w:p w14:paraId="5E76D8CB" w14:textId="77777777" w:rsidR="0089207C" w:rsidRPr="00C07B2E" w:rsidRDefault="0089207C" w:rsidP="0089207C">
      <w:pPr>
        <w:numPr>
          <w:ilvl w:val="0"/>
          <w:numId w:val="291"/>
        </w:numPr>
        <w:overflowPunct w:val="0"/>
        <w:autoSpaceDE w:val="0"/>
        <w:autoSpaceDN w:val="0"/>
        <w:adjustRightInd w:val="0"/>
        <w:textAlignment w:val="baseline"/>
        <w:rPr>
          <w:rFonts w:eastAsia="SimSun"/>
        </w:rPr>
      </w:pPr>
      <w:r w:rsidRPr="00C07B2E">
        <w:rPr>
          <w:rFonts w:eastAsia="SimSun"/>
        </w:rPr>
        <w:t xml:space="preserve">Пациент подписал добровольное информированное согласие на трансплантацию. </w:t>
      </w:r>
    </w:p>
    <w:p w14:paraId="1067BFC3" w14:textId="77777777" w:rsidR="0089207C" w:rsidRPr="00C07B2E" w:rsidRDefault="0089207C" w:rsidP="0089207C">
      <w:pPr>
        <w:numPr>
          <w:ilvl w:val="0"/>
          <w:numId w:val="291"/>
        </w:numPr>
        <w:overflowPunct w:val="0"/>
        <w:autoSpaceDE w:val="0"/>
        <w:autoSpaceDN w:val="0"/>
        <w:adjustRightInd w:val="0"/>
        <w:textAlignment w:val="baseline"/>
        <w:rPr>
          <w:rFonts w:eastAsia="SimSun"/>
        </w:rPr>
      </w:pPr>
      <w:r w:rsidRPr="00C07B2E">
        <w:rPr>
          <w:rFonts w:eastAsia="SimSun"/>
        </w:rPr>
        <w:t xml:space="preserve">Пациенту на момент введения ГСК установлен ЦВК. При отсутствии адекватно функционирующего ЦВК на момент инфузии допускается инфузия клеточной взвеси через периферическую вену, в которой содержание </w:t>
      </w:r>
      <w:r w:rsidRPr="00C07B2E">
        <w:rPr>
          <w:rFonts w:eastAsia="SimSun"/>
          <w:shd w:val="clear" w:color="auto" w:fill="FFFFFF"/>
        </w:rPr>
        <w:t>диметилсульфоксида</w:t>
      </w:r>
      <w:r w:rsidRPr="00C07B2E">
        <w:rPr>
          <w:rFonts w:eastAsia="SimSun"/>
        </w:rPr>
        <w:t xml:space="preserve"> не превышает 10%. </w:t>
      </w:r>
    </w:p>
    <w:p w14:paraId="77345169" w14:textId="77777777" w:rsidR="0089207C" w:rsidRPr="00C07B2E" w:rsidRDefault="0089207C" w:rsidP="0089207C">
      <w:pPr>
        <w:numPr>
          <w:ilvl w:val="0"/>
          <w:numId w:val="291"/>
        </w:numPr>
        <w:overflowPunct w:val="0"/>
        <w:autoSpaceDE w:val="0"/>
        <w:autoSpaceDN w:val="0"/>
        <w:adjustRightInd w:val="0"/>
        <w:textAlignment w:val="baseline"/>
        <w:rPr>
          <w:rFonts w:eastAsia="SimSun"/>
        </w:rPr>
      </w:pPr>
      <w:r w:rsidRPr="00C07B2E">
        <w:rPr>
          <w:rFonts w:eastAsia="SimSun"/>
        </w:rPr>
        <w:t xml:space="preserve">Прошло не менее 36 ч после завершения введения цитостатических препаратов, входящих в режим кондиционирования. </w:t>
      </w:r>
    </w:p>
    <w:p w14:paraId="2D24247A" w14:textId="77777777" w:rsidR="0089207C" w:rsidRPr="00C07B2E" w:rsidRDefault="0089207C" w:rsidP="0089207C">
      <w:pPr>
        <w:numPr>
          <w:ilvl w:val="0"/>
          <w:numId w:val="291"/>
        </w:numPr>
        <w:overflowPunct w:val="0"/>
        <w:autoSpaceDE w:val="0"/>
        <w:autoSpaceDN w:val="0"/>
        <w:adjustRightInd w:val="0"/>
        <w:textAlignment w:val="baseline"/>
        <w:rPr>
          <w:rFonts w:eastAsia="SimSun"/>
        </w:rPr>
      </w:pPr>
      <w:r w:rsidRPr="00C07B2E">
        <w:rPr>
          <w:rFonts w:eastAsia="SimSun"/>
        </w:rPr>
        <w:t>При использовании с –1 дня циклоспорина</w:t>
      </w:r>
      <w:r w:rsidRPr="00C07B2E" w:rsidDel="00DA45A3">
        <w:rPr>
          <w:rFonts w:eastAsia="SimSun"/>
        </w:rPr>
        <w:t xml:space="preserve"> </w:t>
      </w:r>
      <w:r w:rsidRPr="00C07B2E">
        <w:rPr>
          <w:rFonts w:eastAsia="SimSun"/>
        </w:rPr>
        <w:t xml:space="preserve">(в режиме профилактики острой РТПХ) пациенту было введено не менее 3 доз препарата до инфузии ГСК. </w:t>
      </w:r>
    </w:p>
    <w:p w14:paraId="5E98358F" w14:textId="77777777" w:rsidR="0089207C" w:rsidRPr="00C07B2E" w:rsidRDefault="0089207C" w:rsidP="0089207C">
      <w:pPr>
        <w:numPr>
          <w:ilvl w:val="0"/>
          <w:numId w:val="291"/>
        </w:numPr>
        <w:overflowPunct w:val="0"/>
        <w:autoSpaceDE w:val="0"/>
        <w:autoSpaceDN w:val="0"/>
        <w:adjustRightInd w:val="0"/>
        <w:textAlignment w:val="baseline"/>
        <w:rPr>
          <w:rFonts w:eastAsia="SimSun"/>
        </w:rPr>
      </w:pPr>
      <w:r w:rsidRPr="00C07B2E">
        <w:rPr>
          <w:rFonts w:eastAsia="SimSun"/>
        </w:rPr>
        <w:t>В момент инфузии ГСК введение других препаратов не проводится.</w:t>
      </w:r>
    </w:p>
    <w:p w14:paraId="104B959B" w14:textId="77777777" w:rsidR="0089207C" w:rsidRPr="00C07B2E" w:rsidRDefault="0089207C" w:rsidP="0089207C">
      <w:pPr>
        <w:numPr>
          <w:ilvl w:val="0"/>
          <w:numId w:val="291"/>
        </w:numPr>
        <w:overflowPunct w:val="0"/>
        <w:autoSpaceDE w:val="0"/>
        <w:autoSpaceDN w:val="0"/>
        <w:adjustRightInd w:val="0"/>
        <w:textAlignment w:val="baseline"/>
        <w:rPr>
          <w:rFonts w:eastAsia="SimSun"/>
        </w:rPr>
      </w:pPr>
      <w:r w:rsidRPr="00C07B2E">
        <w:rPr>
          <w:rFonts w:eastAsia="SimSun"/>
        </w:rPr>
        <w:t>В момент введения ГСК запрещено проведение плазмафереза и/или гемодиализа.</w:t>
      </w:r>
    </w:p>
    <w:p w14:paraId="3EB708F1" w14:textId="77777777" w:rsidR="0089207C" w:rsidRPr="00C07B2E" w:rsidRDefault="0089207C" w:rsidP="00B61B42">
      <w:pPr>
        <w:ind w:firstLine="709"/>
        <w:rPr>
          <w:rFonts w:eastAsia="SimSun"/>
        </w:rPr>
      </w:pPr>
      <w:r w:rsidRPr="00C07B2E">
        <w:rPr>
          <w:rFonts w:eastAsia="SimSun"/>
        </w:rPr>
        <w:t>При необходимости проведения плазмафереза и/или гемодиализа инфузия ГСК выполняется до и/или через сутки после завершения этих процедур.</w:t>
      </w:r>
    </w:p>
    <w:p w14:paraId="0EDED0C8" w14:textId="77777777" w:rsidR="0089207C" w:rsidRPr="00C07B2E" w:rsidRDefault="0089207C" w:rsidP="00B61B42">
      <w:pPr>
        <w:ind w:firstLine="709"/>
        <w:rPr>
          <w:rFonts w:eastAsia="SimSun"/>
        </w:rPr>
      </w:pPr>
      <w:r w:rsidRPr="00C07B2E">
        <w:rPr>
          <w:rFonts w:eastAsia="SimSun"/>
        </w:rPr>
        <w:t xml:space="preserve">За 2–3 ч до алло-ТГСК рекомендуется проводить инфузионную терапию (коллоидными и кристаллоидными растворами в объеме 500-1500 мл) в случае использования криоконсервированных ГСК. </w:t>
      </w:r>
    </w:p>
    <w:p w14:paraId="14FC4A39" w14:textId="77777777" w:rsidR="0089207C" w:rsidRPr="00C07B2E" w:rsidRDefault="0089207C" w:rsidP="00B61B42">
      <w:pPr>
        <w:ind w:firstLine="709"/>
        <w:rPr>
          <w:rFonts w:eastAsia="SimSun"/>
        </w:rPr>
      </w:pPr>
      <w:r w:rsidRPr="00C07B2E">
        <w:rPr>
          <w:rFonts w:eastAsia="SimSun"/>
        </w:rPr>
        <w:t xml:space="preserve">За 30 мин до введения ГСК, при наличии реакций на трансфузию компонентов крови в анамнезе, должна быть использована премедикация антигистаминными препаратами и/или нестероиднымии противовоспалительными препаратами препаратами и/или метилпреднизолоном (если в предыдущие сутки использовали метилпреднизолон). </w:t>
      </w:r>
    </w:p>
    <w:p w14:paraId="2DB81DB6" w14:textId="377C2762" w:rsidR="0089207C" w:rsidRPr="00C07B2E" w:rsidRDefault="0089207C" w:rsidP="00B61B42">
      <w:pPr>
        <w:ind w:firstLine="709"/>
        <w:rPr>
          <w:rFonts w:eastAsia="SimSun"/>
        </w:rPr>
      </w:pPr>
      <w:r w:rsidRPr="00C07B2E">
        <w:rPr>
          <w:rFonts w:eastAsia="SimSun"/>
        </w:rPr>
        <w:t xml:space="preserve">При любой несовместимости между донором и реципиентом по системе АВ0 возможно введение метилпреднизолона в дозе 60 мг перед введением ГСК. </w:t>
      </w:r>
    </w:p>
    <w:p w14:paraId="0B58A104" w14:textId="77777777" w:rsidR="0089207C" w:rsidRPr="00C07B2E" w:rsidRDefault="0089207C" w:rsidP="00B61B42">
      <w:pPr>
        <w:ind w:firstLine="709"/>
        <w:rPr>
          <w:rFonts w:eastAsia="SimSun"/>
        </w:rPr>
      </w:pPr>
      <w:r w:rsidRPr="00C07B2E">
        <w:rPr>
          <w:rFonts w:eastAsia="SimSun"/>
        </w:rPr>
        <w:t>После получения из лаборатории мешка с ГСК производится его осмотр: указание Ф. И. О. пациента или донора (в зависимости от применяемых в центре требований к маркировке), даты рождения и группы крови, наличие внешних повреждений и/или посторонних примесей в мешке (сгустки, фрагменты костной ткани). В случае выявления «дефектов» мешок возвращается в лабораторию для их устранения.</w:t>
      </w:r>
    </w:p>
    <w:p w14:paraId="6225DE62" w14:textId="77777777" w:rsidR="0089207C" w:rsidRPr="00C07B2E" w:rsidRDefault="0089207C" w:rsidP="0089207C">
      <w:pPr>
        <w:rPr>
          <w:rFonts w:eastAsia="SimSun"/>
        </w:rPr>
      </w:pPr>
    </w:p>
    <w:p w14:paraId="61D13DD3" w14:textId="77777777" w:rsidR="0089207C" w:rsidRPr="00985050" w:rsidRDefault="0089207C" w:rsidP="0089207C">
      <w:pPr>
        <w:rPr>
          <w:rFonts w:eastAsia="SimSun"/>
          <w:i/>
          <w:u w:val="single"/>
        </w:rPr>
      </w:pPr>
      <w:bookmarkStart w:id="185" w:name="_Toc44401131"/>
      <w:r w:rsidRPr="00985050">
        <w:rPr>
          <w:rFonts w:eastAsia="SimSun"/>
          <w:i/>
          <w:u w:val="single"/>
        </w:rPr>
        <w:t>Инфузия ГСК</w:t>
      </w:r>
      <w:bookmarkEnd w:id="185"/>
    </w:p>
    <w:p w14:paraId="333DBAE5" w14:textId="77777777" w:rsidR="0089207C" w:rsidRPr="00C07B2E" w:rsidRDefault="0089207C" w:rsidP="00B61B42">
      <w:pPr>
        <w:ind w:firstLine="709"/>
        <w:rPr>
          <w:rFonts w:eastAsia="SimSun"/>
        </w:rPr>
      </w:pPr>
      <w:r w:rsidRPr="00C07B2E">
        <w:rPr>
          <w:rFonts w:eastAsia="SimSun"/>
        </w:rPr>
        <w:t xml:space="preserve">Для первого введения выбирают мешок с максимальной клеточностью. При манипуляциях с мешком запрещается использовать металлические инструменты (зажимы, пинцеты и др.). В случае использования криоконсервированных ГСК их предварительно размораживают на водяной бане или программном размораживателе при температуре 37˚С. После разморозки врач проверяет, что в мешке отсутствуют остаточные фрагменты льда, после чего прокалывает мешок с использованием системы для инфузии. Система для инфузии должна иметь фильтр размером от 150–260 микрон (обычная система для инфузии крови имеет фильтр в 175 микрон). </w:t>
      </w:r>
    </w:p>
    <w:p w14:paraId="6237A49A" w14:textId="77777777" w:rsidR="0089207C" w:rsidRPr="00C07B2E" w:rsidRDefault="0089207C" w:rsidP="00B61B42">
      <w:pPr>
        <w:ind w:firstLine="709"/>
        <w:rPr>
          <w:rFonts w:eastAsia="SimSun"/>
        </w:rPr>
      </w:pPr>
      <w:r w:rsidRPr="00C07B2E">
        <w:rPr>
          <w:rFonts w:eastAsia="SimSun"/>
        </w:rPr>
        <w:t>В случае развития гемолиза инфузия ГСК из следующего мешка не проводится. Инфузии ГСК из следующих мешков возобновляют после хотя бы частичного купирования лизиса эритроцитов. После завершения инфузии ход ЦВК, который был использован для трансплантации, промывают физиологическим раствором. Далее пациент находится под пристальным наблюдением медицинского персонала. По показаниям возможно наблюдение анестезиолога-реаниматолога и/или постоянный мониторинг витальных показателей с помощью прикроватного монитора состояния пациента. Через 2 ч после завершения инфузии выполняют биохимическое исследование крови (оценка сывороточной концентрации К</w:t>
      </w:r>
      <w:r w:rsidRPr="00C07B2E">
        <w:rPr>
          <w:rFonts w:eastAsia="SimSun"/>
          <w:vertAlign w:val="superscript"/>
        </w:rPr>
        <w:t>+</w:t>
      </w:r>
      <w:r w:rsidRPr="00C07B2E">
        <w:rPr>
          <w:rFonts w:eastAsia="SimSun"/>
        </w:rPr>
        <w:t xml:space="preserve">). </w:t>
      </w:r>
    </w:p>
    <w:p w14:paraId="0BB297BE" w14:textId="77777777" w:rsidR="0089207C" w:rsidRDefault="0089207C" w:rsidP="0089207C">
      <w:pPr>
        <w:rPr>
          <w:rFonts w:eastAsia="SimSun"/>
        </w:rPr>
      </w:pPr>
      <w:bookmarkStart w:id="186" w:name="_Toc44401132"/>
    </w:p>
    <w:p w14:paraId="5D7407CC" w14:textId="77777777" w:rsidR="0089207C" w:rsidRPr="00470D3D" w:rsidRDefault="0089207C" w:rsidP="0089207C">
      <w:pPr>
        <w:rPr>
          <w:rFonts w:eastAsia="SimSun"/>
          <w:b/>
        </w:rPr>
      </w:pPr>
      <w:r>
        <w:rPr>
          <w:rFonts w:eastAsia="SimSun"/>
          <w:b/>
        </w:rPr>
        <w:t>5.</w:t>
      </w:r>
      <w:r w:rsidRPr="00470D3D">
        <w:rPr>
          <w:rFonts w:eastAsia="SimSun"/>
          <w:b/>
        </w:rPr>
        <w:t xml:space="preserve"> Протокол внутривенного введения антитимоцитарного глобулина</w:t>
      </w:r>
      <w:bookmarkEnd w:id="186"/>
    </w:p>
    <w:p w14:paraId="475C0AA8" w14:textId="77777777" w:rsidR="0089207C" w:rsidRPr="00985050" w:rsidRDefault="0089207C" w:rsidP="0089207C">
      <w:pPr>
        <w:rPr>
          <w:rFonts w:eastAsia="SimSun"/>
          <w:i/>
          <w:u w:val="single"/>
        </w:rPr>
      </w:pPr>
      <w:bookmarkStart w:id="187" w:name="_Toc44401134"/>
      <w:r w:rsidRPr="00985050">
        <w:rPr>
          <w:rFonts w:eastAsia="SimSun"/>
          <w:i/>
          <w:u w:val="single"/>
        </w:rPr>
        <w:t>Подготовка к введению</w:t>
      </w:r>
      <w:bookmarkEnd w:id="187"/>
      <w:r w:rsidRPr="00985050">
        <w:rPr>
          <w:rFonts w:eastAsia="SimSun"/>
          <w:i/>
          <w:u w:val="single"/>
        </w:rPr>
        <w:t xml:space="preserve"> </w:t>
      </w:r>
    </w:p>
    <w:p w14:paraId="311197F0" w14:textId="77777777" w:rsidR="0089207C" w:rsidRPr="00C07B2E" w:rsidRDefault="0089207C" w:rsidP="00B61B42">
      <w:pPr>
        <w:ind w:firstLine="709"/>
        <w:rPr>
          <w:rFonts w:eastAsia="SimSun"/>
        </w:rPr>
      </w:pPr>
      <w:r w:rsidRPr="00C07B2E">
        <w:rPr>
          <w:rFonts w:eastAsia="SimSun"/>
        </w:rPr>
        <w:t xml:space="preserve">Убедитесь, что вы информированы обо всех аллергических реакциях пациента. Перед началом введения препарата АТГ настоятельно рекомендуется проведение пробы с этим препаратом. Несмотря на то, что чувствительность и специфичность этого теста клинически не доказаны и его положительный результат не повлияет на введение препарата, проведение тестов рекомендовано для оценки вероятности развития анафилактической реакции на его введение. </w:t>
      </w:r>
    </w:p>
    <w:p w14:paraId="0AFEA1EA" w14:textId="77777777" w:rsidR="0089207C" w:rsidRDefault="0089207C" w:rsidP="0089207C">
      <w:pPr>
        <w:rPr>
          <w:rFonts w:eastAsia="SimSun"/>
        </w:rPr>
      </w:pPr>
      <w:bookmarkStart w:id="188" w:name="_Toc44401135"/>
    </w:p>
    <w:p w14:paraId="65964BAC" w14:textId="77777777" w:rsidR="0089207C" w:rsidRPr="00985050" w:rsidRDefault="0089207C" w:rsidP="0089207C">
      <w:pPr>
        <w:rPr>
          <w:rFonts w:eastAsia="SimSun"/>
          <w:i/>
          <w:u w:val="single"/>
        </w:rPr>
      </w:pPr>
      <w:r w:rsidRPr="00985050">
        <w:rPr>
          <w:rFonts w:eastAsia="SimSun"/>
          <w:i/>
          <w:u w:val="single"/>
        </w:rPr>
        <w:t>Методика проведения пробы</w:t>
      </w:r>
      <w:bookmarkEnd w:id="188"/>
      <w:r w:rsidRPr="00985050">
        <w:rPr>
          <w:rFonts w:eastAsia="SimSun"/>
          <w:i/>
          <w:u w:val="single"/>
        </w:rPr>
        <w:t xml:space="preserve"> </w:t>
      </w:r>
    </w:p>
    <w:p w14:paraId="51E1F221" w14:textId="77777777" w:rsidR="0089207C" w:rsidRPr="00C07B2E" w:rsidRDefault="0089207C" w:rsidP="00B61B42">
      <w:pPr>
        <w:ind w:firstLine="709"/>
        <w:rPr>
          <w:rFonts w:eastAsia="SimSun"/>
        </w:rPr>
      </w:pPr>
      <w:r w:rsidRPr="00C07B2E">
        <w:rPr>
          <w:rFonts w:eastAsia="SimSun"/>
        </w:rPr>
        <w:t>На внутренней стороне предплечья, отступив на 5 см от лучезапястного сустава, проводится укол в кожу на глубину 1–1,5 мм через каплю неразведенного препарата. Для этого используют инъекционные иглы для в/к вливаний, имеющие ограничитель глубины. Если через 20 мин после накалывания кожи не происходит образования папулы или волдыря, следует продолжить тестирование путем в/к инъекции: кожу сгибательной поверхности предплечья или на спине обрабатывают 70% спиртом после чего туберкулиновым или инсулиновым шприцем вводят 0,02 мл препарата, разведенного 0,9% раствором натрия хлорида для инъекций в концентрации 1:1000 (по объему) с одновременной контрольной инъекцией 0,9% раствора натрия хлорида для инъекций в том же объеме на расстоянии 5 см. Оценка результатов производится через 20 мин. Образование волдыря в месте введения препарата диаметром, превышающим на 3 мм и более диаметр волдыря в месте контрольной инъекции с 0,9% раствора натрия хлорида, а также положительный накожный тест свидетельствуют о повышенной чувствительности к препарату и вероятности развития системной аллергической реакции при его в/в введении.</w:t>
      </w:r>
    </w:p>
    <w:p w14:paraId="6412C45D" w14:textId="77777777" w:rsidR="0089207C" w:rsidRDefault="0089207C" w:rsidP="0089207C">
      <w:pPr>
        <w:rPr>
          <w:rFonts w:eastAsia="SimSun"/>
        </w:rPr>
      </w:pPr>
      <w:bookmarkStart w:id="189" w:name="_Toc44401136"/>
    </w:p>
    <w:p w14:paraId="3F03FE99" w14:textId="77777777" w:rsidR="0089207C" w:rsidRPr="00985050" w:rsidRDefault="0089207C" w:rsidP="0089207C">
      <w:pPr>
        <w:rPr>
          <w:rFonts w:eastAsia="SimSun"/>
          <w:i/>
          <w:u w:val="single"/>
        </w:rPr>
      </w:pPr>
      <w:r w:rsidRPr="00985050">
        <w:rPr>
          <w:rFonts w:eastAsia="SimSun"/>
          <w:i/>
          <w:u w:val="single"/>
        </w:rPr>
        <w:t>Инфузия лошадиного АТГ</w:t>
      </w:r>
      <w:bookmarkEnd w:id="189"/>
      <w:r w:rsidRPr="00985050">
        <w:rPr>
          <w:rFonts w:eastAsia="SimSun"/>
          <w:i/>
          <w:u w:val="single"/>
        </w:rPr>
        <w:t xml:space="preserve"> </w:t>
      </w:r>
    </w:p>
    <w:p w14:paraId="174B131E" w14:textId="77777777" w:rsidR="0089207C" w:rsidRPr="00C07B2E" w:rsidRDefault="0089207C" w:rsidP="00B415FE">
      <w:pPr>
        <w:ind w:firstLine="709"/>
        <w:rPr>
          <w:rFonts w:eastAsia="SimSun"/>
        </w:rPr>
      </w:pPr>
      <w:r w:rsidRPr="00C07B2E">
        <w:rPr>
          <w:rFonts w:eastAsia="SimSun"/>
        </w:rPr>
        <w:t>С целью снижения вероятности выпадения осадка суточная доза препарата АТГ делится на 2 приблизительно равные дозы. Рекомендуется подбирать дозы, кратные 250 мг (1 ампуле). Например, вес пациента 75 кг. Суточная доза 750 мг: утренняя — 500 мг, вечерняя — 250 мг.</w:t>
      </w:r>
    </w:p>
    <w:p w14:paraId="36293014" w14:textId="77777777" w:rsidR="0089207C" w:rsidRPr="00C07B2E" w:rsidRDefault="0089207C" w:rsidP="00B415FE">
      <w:pPr>
        <w:ind w:firstLine="709"/>
        <w:rPr>
          <w:rFonts w:eastAsia="SimSun"/>
        </w:rPr>
      </w:pPr>
      <w:r w:rsidRPr="00C07B2E">
        <w:rPr>
          <w:rFonts w:eastAsia="SimSun"/>
        </w:rPr>
        <w:t>Каждая доза препарата разводится на 0,9% растворе хлорида натрия в объеме 500 мл. Время введения каждой из доз препарата АТГ составляет 6 ч:</w:t>
      </w:r>
    </w:p>
    <w:p w14:paraId="6526425C" w14:textId="77777777" w:rsidR="0089207C" w:rsidRPr="00C07B2E" w:rsidRDefault="0089207C" w:rsidP="00B415FE">
      <w:pPr>
        <w:ind w:firstLine="709"/>
        <w:rPr>
          <w:rFonts w:eastAsia="SimSun"/>
        </w:rPr>
      </w:pPr>
      <w:r w:rsidRPr="00C07B2E">
        <w:rPr>
          <w:rFonts w:eastAsia="SimSun"/>
        </w:rPr>
        <w:t>Утренняя доза — 10:00–16:00.</w:t>
      </w:r>
    </w:p>
    <w:p w14:paraId="07CCAE20" w14:textId="77777777" w:rsidR="0089207C" w:rsidRPr="00C07B2E" w:rsidRDefault="0089207C" w:rsidP="00B415FE">
      <w:pPr>
        <w:ind w:firstLine="709"/>
        <w:rPr>
          <w:rFonts w:eastAsia="SimSun"/>
        </w:rPr>
      </w:pPr>
      <w:r w:rsidRPr="00C07B2E">
        <w:rPr>
          <w:rFonts w:eastAsia="SimSun"/>
        </w:rPr>
        <w:t>Вечерняя доза — 17:00–23:00.</w:t>
      </w:r>
    </w:p>
    <w:p w14:paraId="5240A7EA" w14:textId="77777777" w:rsidR="0089207C" w:rsidRPr="00C07B2E" w:rsidRDefault="0089207C" w:rsidP="00B415FE">
      <w:pPr>
        <w:ind w:firstLine="709"/>
        <w:rPr>
          <w:rFonts w:eastAsia="SimSun"/>
        </w:rPr>
      </w:pPr>
      <w:r w:rsidRPr="00C07B2E">
        <w:rPr>
          <w:rFonts w:eastAsia="SimSun"/>
        </w:rPr>
        <w:t>Введение препарата идет параллельно с введением метилпреднизолона в суммарной дозе 3 мг/кг (но не более 250 мг/сут). Началу инфузии препарата АТГ предшествует в/в болюсное введение 30 мг метилпреднизолона с последующей 13-часовой инфузией (с 10:00 по 23:00) оставшейся суточной дозы метилпреднизолона.</w:t>
      </w:r>
    </w:p>
    <w:p w14:paraId="15768EE2" w14:textId="77777777" w:rsidR="0089207C" w:rsidRPr="00C07B2E" w:rsidRDefault="0089207C" w:rsidP="0089207C">
      <w:pPr>
        <w:rPr>
          <w:rFonts w:eastAsia="SimSun"/>
        </w:rPr>
      </w:pPr>
    </w:p>
    <w:p w14:paraId="00542389" w14:textId="77777777" w:rsidR="0089207C" w:rsidRPr="00985050" w:rsidRDefault="0089207C" w:rsidP="0089207C">
      <w:pPr>
        <w:rPr>
          <w:rFonts w:eastAsia="SimSun"/>
          <w:i/>
          <w:u w:val="single"/>
        </w:rPr>
      </w:pPr>
      <w:bookmarkStart w:id="190" w:name="_Toc44401137"/>
      <w:r w:rsidRPr="00985050">
        <w:rPr>
          <w:rFonts w:eastAsia="SimSun"/>
          <w:i/>
          <w:u w:val="single"/>
        </w:rPr>
        <w:t>Альтернативный способ введения лошадиного АТГ</w:t>
      </w:r>
      <w:bookmarkEnd w:id="190"/>
      <w:r w:rsidRPr="00985050">
        <w:rPr>
          <w:i/>
          <w:u w:val="single"/>
        </w:rPr>
        <w:t xml:space="preserve"> </w:t>
      </w:r>
    </w:p>
    <w:p w14:paraId="61B18DFB" w14:textId="77777777" w:rsidR="0089207C" w:rsidRPr="00C07B2E" w:rsidRDefault="0089207C" w:rsidP="00B415FE">
      <w:pPr>
        <w:ind w:firstLine="709"/>
      </w:pPr>
      <w:r w:rsidRPr="00C07B2E">
        <w:t xml:space="preserve">Лошадиный АТГ разводится на 500 мл физиологического раствора.  В случае отрицательной кожной пробы проводится 12- часовая инфузия с премедикацией 1 мг/кг метилпреднизолона в\в капельно перед началом введения и через 6 часов после начала введения. В случае положительной кожной пробы доза солумедрола увеличивается до 2 мг/кг. В случае развития аллергической реакции на фоне введения введение препарата останавливается и вводится 2 мг/кг метилпреднизолона. Инфузия возобновляется с удлинением времени введения до 18 часов после разрешения симптомов аллергии. </w:t>
      </w:r>
    </w:p>
    <w:p w14:paraId="73A0C4ED" w14:textId="77777777" w:rsidR="0089207C" w:rsidRPr="00C07B2E" w:rsidRDefault="0089207C" w:rsidP="0089207C">
      <w:pPr>
        <w:rPr>
          <w:rFonts w:eastAsia="SimSun"/>
        </w:rPr>
      </w:pPr>
    </w:p>
    <w:p w14:paraId="79AFA3C4" w14:textId="77777777" w:rsidR="0089207C" w:rsidRPr="00985050" w:rsidRDefault="0089207C" w:rsidP="0089207C">
      <w:pPr>
        <w:rPr>
          <w:rFonts w:eastAsia="SimSun"/>
          <w:i/>
          <w:u w:val="single"/>
        </w:rPr>
      </w:pPr>
      <w:bookmarkStart w:id="191" w:name="_Toc44401138"/>
      <w:r w:rsidRPr="00985050">
        <w:rPr>
          <w:rFonts w:eastAsia="SimSun"/>
          <w:i/>
          <w:u w:val="single"/>
        </w:rPr>
        <w:t>Инфузия кроличьего АТГ</w:t>
      </w:r>
      <w:bookmarkEnd w:id="191"/>
    </w:p>
    <w:p w14:paraId="622A9727" w14:textId="77777777" w:rsidR="0089207C" w:rsidRPr="00C07B2E" w:rsidRDefault="0089207C" w:rsidP="00B415FE">
      <w:pPr>
        <w:ind w:firstLine="709"/>
      </w:pPr>
      <w:r w:rsidRPr="00C07B2E">
        <w:t>Тимоглобулин (кроличий антитимоцитарный глобулин) вводится в течение 2-3 дней до трансплантации в дозе 2.5 мг/кг на введение (суммарная доза 5-7.5 мг/кг). Крайне желательно, чтобы дни введения не совпадали с днями приема бусульфана, например в -2 и -1 дни. Тимоглобулин разводится на 500 мл физиологического раствора.  Кожная проба при использовании Тимоглобулина не проводится. Премедикация перед введением – метилпреднизолон 2 мг/кг в</w:t>
      </w:r>
      <w:r>
        <w:t>/</w:t>
      </w:r>
      <w:r w:rsidRPr="00C07B2E">
        <w:t xml:space="preserve">в капельно. Первая доза вводится за 6 часов. Вторая за 4 часа. В случае развития аллергической реакции на фоне введения введение препарата останавливается и вводится 2 мг/кг метилпреднизолона. Оставшееся время введения удлиняется в два раза. </w:t>
      </w:r>
    </w:p>
    <w:p w14:paraId="68AA6F4E" w14:textId="77777777" w:rsidR="0089207C" w:rsidRPr="00C07B2E" w:rsidRDefault="0089207C" w:rsidP="00B415FE">
      <w:pPr>
        <w:ind w:firstLine="709"/>
      </w:pPr>
      <w:r w:rsidRPr="00C07B2E">
        <w:t xml:space="preserve">Графалон (кроличий антитимоцитарный глобулин) вводится в течение 3 дней до трансплантации в дозе 20 мг/кг на введение (суммарная доза 60 мг/кг). Крайне желательно, чтобы дни введения не совпадали с днями приема бусульфана, например в -3, -2 и -1 дни. Графалон разводится на 500 мл физиологического раствора. Кожная проба не проводится. Премедикация перед введением – метилпреднизолон 2 мг/кг в\в капельно. Первая доза вводится за 6 часов. Вторая за 4 часа. В случае развития аллергической реакции на фоне введения введение препарата останавливается и вводится 2 мг/кг метилпреднизолона. Оставшееся время введения удлиняется в два раза.  </w:t>
      </w:r>
    </w:p>
    <w:p w14:paraId="6D7CF78C" w14:textId="77777777" w:rsidR="0089207C" w:rsidRDefault="0089207C" w:rsidP="0089207C">
      <w:pPr>
        <w:rPr>
          <w:rFonts w:eastAsia="SimSun"/>
        </w:rPr>
      </w:pPr>
      <w:bookmarkStart w:id="192" w:name="_Toc44401139"/>
    </w:p>
    <w:p w14:paraId="6E31AB7F" w14:textId="77777777" w:rsidR="0089207C" w:rsidRPr="00470D3D" w:rsidRDefault="0089207C" w:rsidP="0089207C">
      <w:pPr>
        <w:rPr>
          <w:rFonts w:eastAsia="SimSun"/>
          <w:b/>
        </w:rPr>
      </w:pPr>
      <w:r>
        <w:rPr>
          <w:rFonts w:eastAsia="SimSun"/>
          <w:b/>
        </w:rPr>
        <w:t>5</w:t>
      </w:r>
      <w:r w:rsidRPr="00470D3D">
        <w:rPr>
          <w:rFonts w:eastAsia="SimSun"/>
          <w:b/>
        </w:rPr>
        <w:t>. Протоколы кондиционирования и профилактики РТПХ в зависимости от типа донора</w:t>
      </w:r>
      <w:bookmarkEnd w:id="192"/>
    </w:p>
    <w:p w14:paraId="028D07E0" w14:textId="77777777" w:rsidR="0089207C" w:rsidRPr="00985050" w:rsidRDefault="0089207C" w:rsidP="0089207C">
      <w:pPr>
        <w:rPr>
          <w:rFonts w:eastAsia="SimSun"/>
          <w:i/>
          <w:u w:val="single"/>
        </w:rPr>
      </w:pPr>
      <w:bookmarkStart w:id="193" w:name="_Toc44401140"/>
      <w:r>
        <w:rPr>
          <w:rFonts w:eastAsia="SimSun"/>
          <w:i/>
          <w:u w:val="single"/>
        </w:rPr>
        <w:t>5.</w:t>
      </w:r>
      <w:r w:rsidRPr="00985050">
        <w:rPr>
          <w:rFonts w:eastAsia="SimSun"/>
          <w:i/>
          <w:u w:val="single"/>
        </w:rPr>
        <w:t xml:space="preserve">1. Родственный </w:t>
      </w:r>
      <w:r w:rsidRPr="00985050">
        <w:rPr>
          <w:rFonts w:eastAsia="SimSun"/>
          <w:i/>
          <w:u w:val="single"/>
          <w:lang w:val="en-US"/>
        </w:rPr>
        <w:t>HLA</w:t>
      </w:r>
      <w:r w:rsidRPr="00985050">
        <w:rPr>
          <w:rFonts w:eastAsia="SimSun"/>
          <w:i/>
          <w:u w:val="single"/>
        </w:rPr>
        <w:t>-идентичный донор</w:t>
      </w:r>
      <w:bookmarkEnd w:id="193"/>
      <w:r w:rsidRPr="00985050">
        <w:rPr>
          <w:rFonts w:eastAsia="SimSun"/>
          <w:i/>
          <w:u w:val="single"/>
        </w:rPr>
        <w:t xml:space="preserve"> </w:t>
      </w:r>
    </w:p>
    <w:p w14:paraId="7773BCAB" w14:textId="77777777" w:rsidR="0089207C" w:rsidRPr="00C07B2E" w:rsidRDefault="0089207C" w:rsidP="0089207C">
      <w:pPr>
        <w:rPr>
          <w:rFonts w:eastAsia="SimSun"/>
        </w:rPr>
      </w:pPr>
      <w:r w:rsidRPr="00C07B2E">
        <w:rPr>
          <w:rFonts w:eastAsia="SimSun"/>
        </w:rPr>
        <w:t xml:space="preserve">Схемы и режимы применения препаратов для кондиционирования и профилактики РТПХ указаны в Таблице </w:t>
      </w:r>
      <w:r>
        <w:rPr>
          <w:rFonts w:eastAsia="SimSun"/>
        </w:rPr>
        <w:t>5</w:t>
      </w:r>
      <w:r w:rsidRPr="00C07B2E">
        <w:rPr>
          <w:rFonts w:eastAsia="SimSun"/>
        </w:rPr>
        <w:t>.1.1</w:t>
      </w:r>
    </w:p>
    <w:p w14:paraId="2E19D0FA" w14:textId="77777777" w:rsidR="0089207C" w:rsidRPr="00C07B2E" w:rsidRDefault="0089207C" w:rsidP="0089207C">
      <w:pPr>
        <w:rPr>
          <w:rFonts w:eastAsia="SimSun"/>
        </w:rPr>
        <w:sectPr w:rsidR="0089207C" w:rsidRPr="00C07B2E" w:rsidSect="0089207C">
          <w:pgSz w:w="11907" w:h="16839" w:code="9"/>
          <w:pgMar w:top="1134" w:right="850" w:bottom="1134" w:left="1701" w:header="709" w:footer="567" w:gutter="0"/>
          <w:cols w:space="708"/>
          <w:docGrid w:linePitch="360"/>
        </w:sectPr>
      </w:pPr>
    </w:p>
    <w:p w14:paraId="2F72E41B" w14:textId="77777777" w:rsidR="0089207C" w:rsidRPr="00C07B2E" w:rsidRDefault="0089207C" w:rsidP="0089207C">
      <w:pPr>
        <w:rPr>
          <w:rFonts w:eastAsia="SimSun"/>
        </w:rPr>
      </w:pPr>
      <w:r w:rsidRPr="00C07B2E">
        <w:rPr>
          <w:rFonts w:eastAsia="SimSun"/>
        </w:rPr>
        <w:t xml:space="preserve">Таблица </w:t>
      </w:r>
      <w:r>
        <w:rPr>
          <w:rFonts w:eastAsia="SimSun"/>
        </w:rPr>
        <w:t>5</w:t>
      </w:r>
      <w:r w:rsidRPr="00C07B2E">
        <w:rPr>
          <w:rFonts w:eastAsia="SimSun"/>
        </w:rPr>
        <w:t xml:space="preserve">.1.1 Схемы и режимы применения препаратов для кондиционирования и профилактики РТПХ со ссылками на </w:t>
      </w:r>
      <w:r>
        <w:rPr>
          <w:rFonts w:eastAsia="SimSun"/>
        </w:rPr>
        <w:t>таблицы с описанием</w:t>
      </w:r>
    </w:p>
    <w:p w14:paraId="65A5BF1E" w14:textId="77777777" w:rsidR="0089207C" w:rsidRPr="00C07B2E" w:rsidRDefault="0089207C" w:rsidP="0089207C">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809"/>
        <w:gridCol w:w="1222"/>
        <w:gridCol w:w="1659"/>
        <w:gridCol w:w="1539"/>
        <w:gridCol w:w="1713"/>
        <w:gridCol w:w="1713"/>
        <w:gridCol w:w="1713"/>
        <w:gridCol w:w="1919"/>
      </w:tblGrid>
      <w:tr w:rsidR="0089207C" w:rsidRPr="00C07B2E" w14:paraId="08086AA6" w14:textId="77777777" w:rsidTr="002D3EBF">
        <w:trPr>
          <w:cantSplit/>
          <w:trHeight w:val="664"/>
        </w:trPr>
        <w:tc>
          <w:tcPr>
            <w:tcW w:w="1408" w:type="pct"/>
            <w:gridSpan w:val="3"/>
            <w:vMerge w:val="restart"/>
            <w:shd w:val="clear" w:color="auto" w:fill="auto"/>
            <w:vAlign w:val="center"/>
          </w:tcPr>
          <w:p w14:paraId="22A1BD8A" w14:textId="77777777" w:rsidR="0089207C" w:rsidRPr="00C07B2E" w:rsidRDefault="0089207C" w:rsidP="002D3EBF">
            <w:pPr>
              <w:rPr>
                <w:rFonts w:eastAsia="SimSun"/>
              </w:rPr>
            </w:pPr>
            <w:r w:rsidRPr="00C07B2E">
              <w:rPr>
                <w:rFonts w:eastAsia="SimSun"/>
              </w:rPr>
              <w:t>Профилактика РТПХ</w:t>
            </w:r>
          </w:p>
        </w:tc>
        <w:tc>
          <w:tcPr>
            <w:tcW w:w="3592" w:type="pct"/>
            <w:gridSpan w:val="6"/>
            <w:shd w:val="clear" w:color="auto" w:fill="auto"/>
            <w:vAlign w:val="center"/>
          </w:tcPr>
          <w:p w14:paraId="31F1103B" w14:textId="77777777" w:rsidR="0089207C" w:rsidRPr="00C07B2E" w:rsidRDefault="0089207C" w:rsidP="002D3EBF">
            <w:pPr>
              <w:rPr>
                <w:rFonts w:eastAsia="SimSun"/>
              </w:rPr>
            </w:pPr>
            <w:r w:rsidRPr="00C07B2E">
              <w:rPr>
                <w:rFonts w:eastAsia="SimSun"/>
              </w:rPr>
              <w:t>Режим кондиционирования</w:t>
            </w:r>
          </w:p>
        </w:tc>
      </w:tr>
      <w:tr w:rsidR="0089207C" w:rsidRPr="00C07B2E" w14:paraId="471C1D10" w14:textId="77777777" w:rsidTr="002D3EBF">
        <w:trPr>
          <w:cantSplit/>
          <w:trHeight w:val="676"/>
        </w:trPr>
        <w:tc>
          <w:tcPr>
            <w:tcW w:w="1408" w:type="pct"/>
            <w:gridSpan w:val="3"/>
            <w:vMerge/>
            <w:shd w:val="clear" w:color="auto" w:fill="auto"/>
            <w:vAlign w:val="center"/>
          </w:tcPr>
          <w:p w14:paraId="45F01328" w14:textId="77777777" w:rsidR="0089207C" w:rsidRPr="00C07B2E" w:rsidRDefault="0089207C" w:rsidP="002D3EBF">
            <w:pPr>
              <w:rPr>
                <w:rFonts w:eastAsia="SimSun"/>
              </w:rPr>
            </w:pPr>
          </w:p>
        </w:tc>
        <w:tc>
          <w:tcPr>
            <w:tcW w:w="1120" w:type="pct"/>
            <w:gridSpan w:val="2"/>
            <w:shd w:val="clear" w:color="auto" w:fill="BFBFBF"/>
            <w:vAlign w:val="center"/>
          </w:tcPr>
          <w:p w14:paraId="261BCFDB" w14:textId="77777777" w:rsidR="0089207C" w:rsidRPr="00C07B2E" w:rsidRDefault="0089207C" w:rsidP="002D3EBF">
            <w:pPr>
              <w:rPr>
                <w:rFonts w:eastAsia="SimSun"/>
              </w:rPr>
            </w:pPr>
            <w:r w:rsidRPr="00C07B2E">
              <w:rPr>
                <w:rFonts w:eastAsia="SimSun"/>
                <w:lang w:val="en-US"/>
              </w:rPr>
              <w:t>Cy</w:t>
            </w:r>
            <w:r w:rsidRPr="00C07B2E">
              <w:rPr>
                <w:rFonts w:eastAsia="SimSun"/>
              </w:rPr>
              <w:t>120</w:t>
            </w:r>
          </w:p>
        </w:tc>
        <w:tc>
          <w:tcPr>
            <w:tcW w:w="600" w:type="pct"/>
            <w:shd w:val="clear" w:color="auto" w:fill="BFBFBF"/>
            <w:vAlign w:val="center"/>
          </w:tcPr>
          <w:p w14:paraId="1401D4BC" w14:textId="77777777" w:rsidR="0089207C" w:rsidRPr="00C07B2E" w:rsidRDefault="0089207C" w:rsidP="002D3EBF">
            <w:pPr>
              <w:rPr>
                <w:rFonts w:eastAsia="SimSun"/>
              </w:rPr>
            </w:pPr>
            <w:r w:rsidRPr="00C07B2E">
              <w:rPr>
                <w:rFonts w:eastAsia="SimSun"/>
                <w:lang w:val="en-US"/>
              </w:rPr>
              <w:t>Flu</w:t>
            </w:r>
            <w:r w:rsidRPr="00C07B2E">
              <w:rPr>
                <w:rFonts w:eastAsia="SimSun"/>
              </w:rPr>
              <w:t>150</w:t>
            </w:r>
          </w:p>
        </w:tc>
        <w:tc>
          <w:tcPr>
            <w:tcW w:w="1872" w:type="pct"/>
            <w:gridSpan w:val="3"/>
            <w:shd w:val="clear" w:color="auto" w:fill="BFBFBF"/>
            <w:vAlign w:val="center"/>
          </w:tcPr>
          <w:p w14:paraId="254AF169" w14:textId="77777777" w:rsidR="0089207C" w:rsidRPr="00C07B2E" w:rsidRDefault="0089207C" w:rsidP="002D3EBF">
            <w:pPr>
              <w:rPr>
                <w:rFonts w:eastAsia="SimSun"/>
              </w:rPr>
            </w:pPr>
            <w:r w:rsidRPr="00C07B2E">
              <w:rPr>
                <w:rFonts w:eastAsia="SimSun"/>
                <w:lang w:val="en-US"/>
              </w:rPr>
              <w:t>Flu</w:t>
            </w:r>
            <w:r w:rsidRPr="00C07B2E">
              <w:rPr>
                <w:rFonts w:eastAsia="SimSun"/>
              </w:rPr>
              <w:t>180</w:t>
            </w:r>
          </w:p>
        </w:tc>
      </w:tr>
      <w:tr w:rsidR="0089207C" w:rsidRPr="00C07B2E" w14:paraId="13D35241" w14:textId="77777777" w:rsidTr="002D3EBF">
        <w:trPr>
          <w:cantSplit/>
          <w:trHeight w:val="791"/>
        </w:trPr>
        <w:tc>
          <w:tcPr>
            <w:tcW w:w="1408" w:type="pct"/>
            <w:gridSpan w:val="3"/>
            <w:vMerge/>
            <w:shd w:val="clear" w:color="auto" w:fill="auto"/>
            <w:vAlign w:val="center"/>
          </w:tcPr>
          <w:p w14:paraId="1C93D970" w14:textId="77777777" w:rsidR="0089207C" w:rsidRPr="00C07B2E" w:rsidRDefault="0089207C" w:rsidP="002D3EBF">
            <w:pPr>
              <w:rPr>
                <w:rFonts w:eastAsia="SimSun"/>
              </w:rPr>
            </w:pPr>
          </w:p>
        </w:tc>
        <w:tc>
          <w:tcPr>
            <w:tcW w:w="581" w:type="pct"/>
            <w:shd w:val="clear" w:color="auto" w:fill="BFBFBF"/>
            <w:vAlign w:val="center"/>
          </w:tcPr>
          <w:p w14:paraId="6F09635E" w14:textId="77777777" w:rsidR="0089207C" w:rsidRPr="00C07B2E" w:rsidRDefault="0089207C" w:rsidP="002D3EBF">
            <w:pPr>
              <w:rPr>
                <w:rFonts w:eastAsia="SimSun"/>
              </w:rPr>
            </w:pPr>
            <w:r w:rsidRPr="00C07B2E">
              <w:rPr>
                <w:rFonts w:eastAsia="SimSun"/>
                <w:lang w:val="en-US"/>
              </w:rPr>
              <w:t>Bu</w:t>
            </w:r>
            <w:r w:rsidRPr="00C07B2E">
              <w:rPr>
                <w:rFonts w:eastAsia="SimSun"/>
              </w:rPr>
              <w:t>12</w:t>
            </w:r>
          </w:p>
        </w:tc>
        <w:tc>
          <w:tcPr>
            <w:tcW w:w="539" w:type="pct"/>
            <w:shd w:val="clear" w:color="auto" w:fill="BFBFBF"/>
            <w:vAlign w:val="center"/>
          </w:tcPr>
          <w:p w14:paraId="56360A81" w14:textId="77777777" w:rsidR="0089207C" w:rsidRPr="00C07B2E" w:rsidRDefault="0089207C" w:rsidP="002D3EBF">
            <w:pPr>
              <w:rPr>
                <w:rFonts w:eastAsia="SimSun"/>
              </w:rPr>
            </w:pPr>
            <w:r w:rsidRPr="00C07B2E">
              <w:rPr>
                <w:rFonts w:eastAsia="SimSun"/>
                <w:lang w:val="en-US"/>
              </w:rPr>
              <w:t>TBI</w:t>
            </w:r>
          </w:p>
        </w:tc>
        <w:tc>
          <w:tcPr>
            <w:tcW w:w="600" w:type="pct"/>
            <w:shd w:val="clear" w:color="auto" w:fill="BFBFBF"/>
            <w:vAlign w:val="center"/>
          </w:tcPr>
          <w:p w14:paraId="723DCC5B" w14:textId="77777777" w:rsidR="0089207C" w:rsidRPr="00C07B2E" w:rsidRDefault="0089207C" w:rsidP="002D3EBF">
            <w:pPr>
              <w:rPr>
                <w:rFonts w:eastAsia="SimSun"/>
              </w:rPr>
            </w:pPr>
            <w:r w:rsidRPr="00C07B2E">
              <w:rPr>
                <w:rFonts w:eastAsia="SimSun"/>
                <w:lang w:val="en-US"/>
              </w:rPr>
              <w:t>Bu</w:t>
            </w:r>
            <w:r w:rsidRPr="00C07B2E">
              <w:rPr>
                <w:rFonts w:eastAsia="SimSun"/>
              </w:rPr>
              <w:t>12</w:t>
            </w:r>
          </w:p>
        </w:tc>
        <w:tc>
          <w:tcPr>
            <w:tcW w:w="600" w:type="pct"/>
            <w:shd w:val="clear" w:color="auto" w:fill="BFBFBF"/>
            <w:vAlign w:val="center"/>
          </w:tcPr>
          <w:p w14:paraId="47D5A290" w14:textId="77777777" w:rsidR="0089207C" w:rsidRPr="00C07B2E" w:rsidRDefault="0089207C" w:rsidP="002D3EBF">
            <w:pPr>
              <w:rPr>
                <w:rFonts w:eastAsia="SimSun"/>
              </w:rPr>
            </w:pPr>
            <w:r w:rsidRPr="00C07B2E">
              <w:rPr>
                <w:rFonts w:eastAsia="SimSun"/>
                <w:lang w:val="en-US"/>
              </w:rPr>
              <w:t>Bu</w:t>
            </w:r>
            <w:r w:rsidRPr="00C07B2E">
              <w:rPr>
                <w:rFonts w:eastAsia="SimSun"/>
              </w:rPr>
              <w:t>12</w:t>
            </w:r>
          </w:p>
        </w:tc>
        <w:tc>
          <w:tcPr>
            <w:tcW w:w="600" w:type="pct"/>
            <w:shd w:val="clear" w:color="auto" w:fill="BFBFBF"/>
            <w:vAlign w:val="center"/>
          </w:tcPr>
          <w:p w14:paraId="69CA508B" w14:textId="77777777" w:rsidR="0089207C" w:rsidRPr="00C07B2E" w:rsidRDefault="0089207C" w:rsidP="002D3EBF">
            <w:pPr>
              <w:rPr>
                <w:rFonts w:eastAsia="SimSun"/>
              </w:rPr>
            </w:pPr>
            <w:r w:rsidRPr="00C07B2E">
              <w:rPr>
                <w:rFonts w:eastAsia="SimSun"/>
                <w:lang w:val="en-US"/>
              </w:rPr>
              <w:t>Bu</w:t>
            </w:r>
            <w:r w:rsidRPr="00C07B2E">
              <w:rPr>
                <w:rFonts w:eastAsia="SimSun"/>
              </w:rPr>
              <w:t>14</w:t>
            </w:r>
          </w:p>
        </w:tc>
        <w:tc>
          <w:tcPr>
            <w:tcW w:w="672" w:type="pct"/>
            <w:shd w:val="clear" w:color="auto" w:fill="BFBFBF"/>
            <w:vAlign w:val="center"/>
          </w:tcPr>
          <w:p w14:paraId="1180C35C" w14:textId="77777777" w:rsidR="0089207C" w:rsidRPr="00C07B2E" w:rsidRDefault="0089207C" w:rsidP="002D3EBF">
            <w:pPr>
              <w:rPr>
                <w:rFonts w:eastAsia="SimSun"/>
              </w:rPr>
            </w:pPr>
            <w:r w:rsidRPr="00C07B2E">
              <w:rPr>
                <w:rFonts w:eastAsia="SimSun"/>
                <w:lang w:val="en-US"/>
              </w:rPr>
              <w:t>Treo</w:t>
            </w:r>
            <w:r w:rsidRPr="00C07B2E">
              <w:rPr>
                <w:rFonts w:eastAsia="SimSun"/>
              </w:rPr>
              <w:t>42</w:t>
            </w:r>
          </w:p>
        </w:tc>
      </w:tr>
      <w:tr w:rsidR="0089207C" w:rsidRPr="00C07B2E" w14:paraId="3B8662B0" w14:textId="77777777" w:rsidTr="002D3EBF">
        <w:trPr>
          <w:cantSplit/>
          <w:trHeight w:val="1020"/>
        </w:trPr>
        <w:tc>
          <w:tcPr>
            <w:tcW w:w="697" w:type="pct"/>
            <w:shd w:val="clear" w:color="auto" w:fill="BFBFBF"/>
            <w:vAlign w:val="center"/>
          </w:tcPr>
          <w:p w14:paraId="2D073313" w14:textId="77777777" w:rsidR="0089207C" w:rsidRPr="00C07B2E" w:rsidRDefault="0089207C" w:rsidP="002D3EBF">
            <w:pPr>
              <w:rPr>
                <w:rFonts w:eastAsia="SimSun"/>
              </w:rPr>
            </w:pPr>
            <w:r w:rsidRPr="00C07B2E">
              <w:rPr>
                <w:rFonts w:eastAsia="SimSun"/>
              </w:rPr>
              <w:t>-</w:t>
            </w:r>
          </w:p>
        </w:tc>
        <w:tc>
          <w:tcPr>
            <w:tcW w:w="283" w:type="pct"/>
            <w:shd w:val="clear" w:color="auto" w:fill="BFBFBF"/>
            <w:vAlign w:val="center"/>
          </w:tcPr>
          <w:p w14:paraId="083F20DE" w14:textId="77777777" w:rsidR="0089207C" w:rsidRPr="00C07B2E" w:rsidRDefault="0089207C" w:rsidP="002D3EBF">
            <w:pPr>
              <w:rPr>
                <w:rFonts w:eastAsia="SimSun"/>
              </w:rPr>
            </w:pPr>
            <w:r w:rsidRPr="00C07B2E">
              <w:rPr>
                <w:rFonts w:eastAsia="SimSun"/>
                <w:lang w:val="en-US"/>
              </w:rPr>
              <w:t>CSA</w:t>
            </w:r>
          </w:p>
        </w:tc>
        <w:tc>
          <w:tcPr>
            <w:tcW w:w="428" w:type="pct"/>
            <w:shd w:val="clear" w:color="auto" w:fill="BFBFBF"/>
            <w:vAlign w:val="center"/>
          </w:tcPr>
          <w:p w14:paraId="78DCAAA1" w14:textId="77777777" w:rsidR="0089207C" w:rsidRPr="00C07B2E" w:rsidRDefault="0089207C" w:rsidP="002D3EBF">
            <w:pPr>
              <w:rPr>
                <w:rFonts w:eastAsia="SimSun"/>
              </w:rPr>
            </w:pPr>
            <w:r w:rsidRPr="00C07B2E">
              <w:rPr>
                <w:rFonts w:eastAsia="SimSun"/>
                <w:lang w:val="en-US"/>
              </w:rPr>
              <w:t>MTX</w:t>
            </w:r>
          </w:p>
        </w:tc>
        <w:tc>
          <w:tcPr>
            <w:tcW w:w="581" w:type="pct"/>
            <w:shd w:val="clear" w:color="auto" w:fill="auto"/>
            <w:vAlign w:val="center"/>
          </w:tcPr>
          <w:p w14:paraId="448AD55A" w14:textId="77777777" w:rsidR="0089207C" w:rsidRPr="00C07B2E" w:rsidRDefault="0089207C" w:rsidP="002D3EBF">
            <w:pPr>
              <w:rPr>
                <w:rFonts w:eastAsia="SimSun"/>
              </w:rPr>
            </w:pPr>
            <w:r>
              <w:rPr>
                <w:rFonts w:eastAsia="SimSun"/>
              </w:rPr>
              <w:t>5.</w:t>
            </w:r>
            <w:r w:rsidRPr="00C07B2E">
              <w:rPr>
                <w:rFonts w:eastAsia="SimSun"/>
              </w:rPr>
              <w:t>1.1.1</w:t>
            </w:r>
          </w:p>
        </w:tc>
        <w:tc>
          <w:tcPr>
            <w:tcW w:w="539" w:type="pct"/>
            <w:shd w:val="clear" w:color="auto" w:fill="auto"/>
            <w:vAlign w:val="center"/>
          </w:tcPr>
          <w:p w14:paraId="1D27C912" w14:textId="77777777" w:rsidR="0089207C" w:rsidRPr="00C07B2E" w:rsidRDefault="0089207C" w:rsidP="002D3EBF">
            <w:pPr>
              <w:rPr>
                <w:rFonts w:eastAsia="SimSun"/>
              </w:rPr>
            </w:pPr>
            <w:r>
              <w:rPr>
                <w:rFonts w:eastAsia="SimSun"/>
              </w:rPr>
              <w:t>5.</w:t>
            </w:r>
            <w:r w:rsidRPr="00C07B2E">
              <w:rPr>
                <w:rFonts w:eastAsia="SimSun"/>
              </w:rPr>
              <w:t>1.1.2</w:t>
            </w:r>
          </w:p>
        </w:tc>
        <w:tc>
          <w:tcPr>
            <w:tcW w:w="600" w:type="pct"/>
            <w:shd w:val="clear" w:color="auto" w:fill="auto"/>
            <w:vAlign w:val="center"/>
          </w:tcPr>
          <w:p w14:paraId="1A59762F" w14:textId="77777777" w:rsidR="0089207C" w:rsidRPr="00C07B2E" w:rsidRDefault="0089207C" w:rsidP="002D3EBF">
            <w:r w:rsidRPr="00C07B2E">
              <w:rPr>
                <w:rFonts w:eastAsia="SimSun"/>
              </w:rPr>
              <w:t>-</w:t>
            </w:r>
          </w:p>
        </w:tc>
        <w:tc>
          <w:tcPr>
            <w:tcW w:w="600" w:type="pct"/>
            <w:shd w:val="clear" w:color="auto" w:fill="auto"/>
            <w:vAlign w:val="center"/>
          </w:tcPr>
          <w:p w14:paraId="751796DA" w14:textId="77777777" w:rsidR="0089207C" w:rsidRPr="00C07B2E" w:rsidRDefault="0089207C" w:rsidP="002D3EBF">
            <w:r w:rsidRPr="00C07B2E">
              <w:rPr>
                <w:rFonts w:eastAsia="SimSun"/>
              </w:rPr>
              <w:t>-</w:t>
            </w:r>
          </w:p>
        </w:tc>
        <w:tc>
          <w:tcPr>
            <w:tcW w:w="600" w:type="pct"/>
            <w:shd w:val="clear" w:color="auto" w:fill="auto"/>
            <w:vAlign w:val="center"/>
          </w:tcPr>
          <w:p w14:paraId="250328BA" w14:textId="77777777" w:rsidR="0089207C" w:rsidRPr="00C07B2E" w:rsidRDefault="0089207C" w:rsidP="002D3EBF">
            <w:r w:rsidRPr="00C07B2E">
              <w:rPr>
                <w:rFonts w:eastAsia="SimSun"/>
              </w:rPr>
              <w:t>-</w:t>
            </w:r>
          </w:p>
        </w:tc>
        <w:tc>
          <w:tcPr>
            <w:tcW w:w="672" w:type="pct"/>
            <w:shd w:val="clear" w:color="auto" w:fill="auto"/>
            <w:vAlign w:val="center"/>
          </w:tcPr>
          <w:p w14:paraId="053E210B" w14:textId="77777777" w:rsidR="0089207C" w:rsidRPr="00C07B2E" w:rsidRDefault="0089207C" w:rsidP="002D3EBF">
            <w:r w:rsidRPr="00C07B2E">
              <w:rPr>
                <w:rFonts w:eastAsia="SimSun"/>
              </w:rPr>
              <w:t>-</w:t>
            </w:r>
          </w:p>
        </w:tc>
      </w:tr>
      <w:tr w:rsidR="0089207C" w:rsidRPr="00C07B2E" w14:paraId="2827CF5B" w14:textId="77777777" w:rsidTr="002D3EBF">
        <w:trPr>
          <w:cantSplit/>
          <w:trHeight w:val="1020"/>
        </w:trPr>
        <w:tc>
          <w:tcPr>
            <w:tcW w:w="697" w:type="pct"/>
            <w:shd w:val="clear" w:color="auto" w:fill="BFBFBF"/>
            <w:vAlign w:val="center"/>
          </w:tcPr>
          <w:p w14:paraId="2D84BC8D" w14:textId="77777777" w:rsidR="0089207C" w:rsidRPr="00C07B2E" w:rsidRDefault="0089207C" w:rsidP="002D3EBF">
            <w:pPr>
              <w:rPr>
                <w:rFonts w:eastAsia="SimSun"/>
                <w:lang w:val="en-US"/>
              </w:rPr>
            </w:pPr>
            <w:r w:rsidRPr="00C07B2E">
              <w:rPr>
                <w:rFonts w:eastAsia="SimSun"/>
                <w:lang w:val="en-US"/>
              </w:rPr>
              <w:t>-</w:t>
            </w:r>
          </w:p>
        </w:tc>
        <w:tc>
          <w:tcPr>
            <w:tcW w:w="283" w:type="pct"/>
            <w:shd w:val="clear" w:color="auto" w:fill="BFBFBF"/>
            <w:vAlign w:val="center"/>
          </w:tcPr>
          <w:p w14:paraId="5842330E" w14:textId="77777777" w:rsidR="0089207C" w:rsidRPr="00C07B2E" w:rsidRDefault="0089207C" w:rsidP="002D3EBF">
            <w:pPr>
              <w:rPr>
                <w:rFonts w:eastAsia="SimSun"/>
                <w:lang w:val="en-US"/>
              </w:rPr>
            </w:pPr>
            <w:r w:rsidRPr="00C07B2E">
              <w:rPr>
                <w:rFonts w:eastAsia="SimSun"/>
                <w:lang w:val="en-US"/>
              </w:rPr>
              <w:t>Tx</w:t>
            </w:r>
          </w:p>
        </w:tc>
        <w:tc>
          <w:tcPr>
            <w:tcW w:w="428" w:type="pct"/>
            <w:shd w:val="clear" w:color="auto" w:fill="BFBFBF"/>
            <w:vAlign w:val="center"/>
          </w:tcPr>
          <w:p w14:paraId="7EAD8503" w14:textId="77777777" w:rsidR="0089207C" w:rsidRPr="00C07B2E" w:rsidRDefault="0089207C" w:rsidP="002D3EBF">
            <w:pPr>
              <w:rPr>
                <w:rFonts w:eastAsia="SimSun"/>
                <w:lang w:val="en-US"/>
              </w:rPr>
            </w:pPr>
            <w:r w:rsidRPr="00C07B2E">
              <w:rPr>
                <w:rFonts w:eastAsia="SimSun"/>
                <w:lang w:val="en-US"/>
              </w:rPr>
              <w:t>MMF30</w:t>
            </w:r>
          </w:p>
        </w:tc>
        <w:tc>
          <w:tcPr>
            <w:tcW w:w="581" w:type="pct"/>
            <w:shd w:val="clear" w:color="auto" w:fill="auto"/>
            <w:vAlign w:val="center"/>
          </w:tcPr>
          <w:p w14:paraId="61D4B7A1" w14:textId="77777777" w:rsidR="0089207C" w:rsidRPr="00C07B2E" w:rsidRDefault="0089207C" w:rsidP="002D3EBF">
            <w:r w:rsidRPr="00C07B2E">
              <w:rPr>
                <w:rFonts w:eastAsia="SimSun"/>
              </w:rPr>
              <w:t>-</w:t>
            </w:r>
          </w:p>
        </w:tc>
        <w:tc>
          <w:tcPr>
            <w:tcW w:w="539" w:type="pct"/>
            <w:shd w:val="clear" w:color="auto" w:fill="auto"/>
            <w:vAlign w:val="center"/>
          </w:tcPr>
          <w:p w14:paraId="389578ED" w14:textId="77777777" w:rsidR="0089207C" w:rsidRPr="00C07B2E" w:rsidRDefault="0089207C" w:rsidP="002D3EBF">
            <w:r w:rsidRPr="00C07B2E">
              <w:rPr>
                <w:rFonts w:eastAsia="SimSun"/>
              </w:rPr>
              <w:t>-</w:t>
            </w:r>
          </w:p>
        </w:tc>
        <w:tc>
          <w:tcPr>
            <w:tcW w:w="600" w:type="pct"/>
            <w:shd w:val="clear" w:color="auto" w:fill="auto"/>
            <w:vAlign w:val="center"/>
          </w:tcPr>
          <w:p w14:paraId="594CE2FB" w14:textId="77777777" w:rsidR="0089207C" w:rsidRPr="00C07B2E" w:rsidRDefault="0089207C" w:rsidP="002D3EBF">
            <w:r w:rsidRPr="00C07B2E">
              <w:rPr>
                <w:rFonts w:eastAsia="SimSun"/>
              </w:rPr>
              <w:t>-</w:t>
            </w:r>
          </w:p>
        </w:tc>
        <w:tc>
          <w:tcPr>
            <w:tcW w:w="600" w:type="pct"/>
            <w:shd w:val="clear" w:color="auto" w:fill="auto"/>
            <w:vAlign w:val="center"/>
          </w:tcPr>
          <w:p w14:paraId="75AC8A93" w14:textId="77777777" w:rsidR="0089207C" w:rsidRPr="00C07B2E" w:rsidRDefault="0089207C" w:rsidP="002D3EBF">
            <w:pPr>
              <w:rPr>
                <w:rFonts w:eastAsia="SimSun"/>
                <w:lang w:val="en-US"/>
              </w:rPr>
            </w:pPr>
            <w:r>
              <w:rPr>
                <w:rFonts w:eastAsia="SimSun"/>
                <w:lang w:val="en-US"/>
              </w:rPr>
              <w:t>5.</w:t>
            </w:r>
            <w:r w:rsidRPr="00C07B2E">
              <w:rPr>
                <w:rFonts w:eastAsia="SimSun"/>
                <w:lang w:val="en-US"/>
              </w:rPr>
              <w:t>1.1.4</w:t>
            </w:r>
          </w:p>
        </w:tc>
        <w:tc>
          <w:tcPr>
            <w:tcW w:w="600" w:type="pct"/>
            <w:shd w:val="clear" w:color="auto" w:fill="auto"/>
            <w:vAlign w:val="center"/>
          </w:tcPr>
          <w:p w14:paraId="774D2FF8" w14:textId="77777777" w:rsidR="0089207C" w:rsidRPr="00C07B2E" w:rsidRDefault="0089207C" w:rsidP="002D3EBF">
            <w:pPr>
              <w:rPr>
                <w:rFonts w:eastAsia="SimSun"/>
                <w:lang w:val="en-US"/>
              </w:rPr>
            </w:pPr>
            <w:r>
              <w:rPr>
                <w:rFonts w:eastAsia="SimSun"/>
                <w:lang w:val="en-US"/>
              </w:rPr>
              <w:t>5.</w:t>
            </w:r>
            <w:r w:rsidRPr="00C07B2E">
              <w:rPr>
                <w:rFonts w:eastAsia="SimSun"/>
                <w:lang w:val="en-US"/>
              </w:rPr>
              <w:t>1.1.11</w:t>
            </w:r>
          </w:p>
        </w:tc>
        <w:tc>
          <w:tcPr>
            <w:tcW w:w="672" w:type="pct"/>
            <w:shd w:val="clear" w:color="auto" w:fill="auto"/>
            <w:vAlign w:val="center"/>
          </w:tcPr>
          <w:p w14:paraId="673645FC" w14:textId="77777777" w:rsidR="0089207C" w:rsidRPr="00C07B2E" w:rsidRDefault="0089207C" w:rsidP="002D3EBF">
            <w:pPr>
              <w:rPr>
                <w:rFonts w:eastAsia="SimSun"/>
                <w:lang w:val="en-US"/>
              </w:rPr>
            </w:pPr>
            <w:r>
              <w:rPr>
                <w:rFonts w:eastAsia="SimSun"/>
                <w:lang w:val="en-US"/>
              </w:rPr>
              <w:t>5.</w:t>
            </w:r>
            <w:r w:rsidRPr="00C07B2E">
              <w:rPr>
                <w:rFonts w:eastAsia="SimSun"/>
                <w:lang w:val="en-US"/>
              </w:rPr>
              <w:t>1.1.12</w:t>
            </w:r>
          </w:p>
        </w:tc>
      </w:tr>
      <w:tr w:rsidR="0089207C" w:rsidRPr="00C07B2E" w14:paraId="02305E27" w14:textId="77777777" w:rsidTr="002D3EBF">
        <w:trPr>
          <w:cantSplit/>
          <w:trHeight w:val="1020"/>
        </w:trPr>
        <w:tc>
          <w:tcPr>
            <w:tcW w:w="697" w:type="pct"/>
            <w:vMerge w:val="restart"/>
            <w:shd w:val="clear" w:color="auto" w:fill="BFBFBF"/>
            <w:vAlign w:val="center"/>
          </w:tcPr>
          <w:p w14:paraId="1A4AA4BC" w14:textId="77777777" w:rsidR="0089207C" w:rsidRPr="00C07B2E" w:rsidRDefault="0089207C" w:rsidP="002D3EBF">
            <w:pPr>
              <w:rPr>
                <w:rFonts w:eastAsia="SimSun"/>
                <w:lang w:val="en-US"/>
              </w:rPr>
            </w:pPr>
            <w:r w:rsidRPr="00C07B2E">
              <w:rPr>
                <w:rFonts w:eastAsia="SimSun"/>
                <w:lang w:val="en-US"/>
              </w:rPr>
              <w:t>PT-Cy</w:t>
            </w:r>
          </w:p>
          <w:p w14:paraId="3C9E8F7F" w14:textId="77777777" w:rsidR="0089207C" w:rsidRPr="00C07B2E" w:rsidRDefault="0089207C" w:rsidP="002D3EBF">
            <w:pPr>
              <w:rPr>
                <w:rFonts w:eastAsia="SimSun"/>
                <w:lang w:val="en-US"/>
              </w:rPr>
            </w:pPr>
          </w:p>
        </w:tc>
        <w:tc>
          <w:tcPr>
            <w:tcW w:w="283" w:type="pct"/>
            <w:shd w:val="clear" w:color="auto" w:fill="BFBFBF"/>
            <w:vAlign w:val="center"/>
          </w:tcPr>
          <w:p w14:paraId="29F3D4C1" w14:textId="77777777" w:rsidR="0089207C" w:rsidRPr="00C07B2E" w:rsidRDefault="0089207C" w:rsidP="002D3EBF">
            <w:pPr>
              <w:rPr>
                <w:rFonts w:eastAsia="SimSun"/>
                <w:lang w:val="en-US"/>
              </w:rPr>
            </w:pPr>
            <w:r w:rsidRPr="00C07B2E">
              <w:rPr>
                <w:rFonts w:eastAsia="SimSun"/>
                <w:lang w:val="en-US"/>
              </w:rPr>
              <w:t>-</w:t>
            </w:r>
          </w:p>
        </w:tc>
        <w:tc>
          <w:tcPr>
            <w:tcW w:w="428" w:type="pct"/>
            <w:shd w:val="clear" w:color="auto" w:fill="BFBFBF"/>
            <w:vAlign w:val="center"/>
          </w:tcPr>
          <w:p w14:paraId="0A35ACE2" w14:textId="77777777" w:rsidR="0089207C" w:rsidRPr="00C07B2E" w:rsidRDefault="0089207C" w:rsidP="002D3EBF">
            <w:pPr>
              <w:rPr>
                <w:rFonts w:eastAsia="SimSun"/>
                <w:lang w:val="en-US"/>
              </w:rPr>
            </w:pPr>
            <w:r w:rsidRPr="00C07B2E">
              <w:rPr>
                <w:rFonts w:eastAsia="SimSun"/>
                <w:lang w:val="en-US"/>
              </w:rPr>
              <w:t>-</w:t>
            </w:r>
          </w:p>
        </w:tc>
        <w:tc>
          <w:tcPr>
            <w:tcW w:w="581" w:type="pct"/>
            <w:shd w:val="clear" w:color="auto" w:fill="auto"/>
            <w:vAlign w:val="center"/>
          </w:tcPr>
          <w:p w14:paraId="4836197E" w14:textId="77777777" w:rsidR="0089207C" w:rsidRPr="00C07B2E" w:rsidRDefault="0089207C" w:rsidP="002D3EBF">
            <w:r w:rsidRPr="00C07B2E">
              <w:rPr>
                <w:rFonts w:eastAsia="SimSun"/>
              </w:rPr>
              <w:t>-</w:t>
            </w:r>
          </w:p>
        </w:tc>
        <w:tc>
          <w:tcPr>
            <w:tcW w:w="539" w:type="pct"/>
            <w:shd w:val="clear" w:color="auto" w:fill="auto"/>
            <w:vAlign w:val="center"/>
          </w:tcPr>
          <w:p w14:paraId="5E7CC3E0" w14:textId="77777777" w:rsidR="0089207C" w:rsidRPr="00C07B2E" w:rsidRDefault="0089207C" w:rsidP="002D3EBF">
            <w:r w:rsidRPr="00C07B2E">
              <w:rPr>
                <w:rFonts w:eastAsia="SimSun"/>
              </w:rPr>
              <w:t>-</w:t>
            </w:r>
          </w:p>
        </w:tc>
        <w:tc>
          <w:tcPr>
            <w:tcW w:w="600" w:type="pct"/>
            <w:shd w:val="clear" w:color="auto" w:fill="auto"/>
            <w:vAlign w:val="center"/>
          </w:tcPr>
          <w:p w14:paraId="73733EB1" w14:textId="77777777" w:rsidR="0089207C" w:rsidRPr="00C07B2E" w:rsidRDefault="0089207C" w:rsidP="002D3EBF">
            <w:r w:rsidRPr="00C07B2E">
              <w:rPr>
                <w:rFonts w:eastAsia="SimSun"/>
              </w:rPr>
              <w:t>-</w:t>
            </w:r>
          </w:p>
        </w:tc>
        <w:tc>
          <w:tcPr>
            <w:tcW w:w="600" w:type="pct"/>
            <w:shd w:val="clear" w:color="auto" w:fill="auto"/>
            <w:vAlign w:val="center"/>
          </w:tcPr>
          <w:p w14:paraId="2738EFBC" w14:textId="77777777" w:rsidR="0089207C" w:rsidRPr="00C07B2E" w:rsidRDefault="0089207C" w:rsidP="002D3EBF">
            <w:pPr>
              <w:rPr>
                <w:rFonts w:eastAsia="SimSun"/>
                <w:lang w:val="en-US"/>
              </w:rPr>
            </w:pPr>
            <w:r>
              <w:rPr>
                <w:rFonts w:eastAsia="SimSun"/>
                <w:lang w:val="en-US"/>
              </w:rPr>
              <w:t>5.</w:t>
            </w:r>
            <w:r w:rsidRPr="00C07B2E">
              <w:rPr>
                <w:rFonts w:eastAsia="SimSun"/>
                <w:lang w:val="en-US"/>
              </w:rPr>
              <w:t>1.1.5</w:t>
            </w:r>
          </w:p>
        </w:tc>
        <w:tc>
          <w:tcPr>
            <w:tcW w:w="600" w:type="pct"/>
            <w:shd w:val="clear" w:color="auto" w:fill="auto"/>
            <w:vAlign w:val="center"/>
          </w:tcPr>
          <w:p w14:paraId="4E51B445" w14:textId="77777777" w:rsidR="0089207C" w:rsidRPr="00C07B2E" w:rsidRDefault="0089207C" w:rsidP="002D3EBF">
            <w:pPr>
              <w:rPr>
                <w:rFonts w:eastAsia="SimSun"/>
                <w:lang w:val="en-US"/>
              </w:rPr>
            </w:pPr>
            <w:r>
              <w:rPr>
                <w:rFonts w:eastAsia="SimSun"/>
                <w:lang w:val="en-US"/>
              </w:rPr>
              <w:t>5.</w:t>
            </w:r>
            <w:r w:rsidRPr="00C07B2E">
              <w:rPr>
                <w:rFonts w:eastAsia="SimSun"/>
                <w:lang w:val="en-US"/>
              </w:rPr>
              <w:t>1.1.8</w:t>
            </w:r>
          </w:p>
        </w:tc>
        <w:tc>
          <w:tcPr>
            <w:tcW w:w="672" w:type="pct"/>
            <w:shd w:val="clear" w:color="auto" w:fill="auto"/>
            <w:vAlign w:val="center"/>
          </w:tcPr>
          <w:p w14:paraId="2F7DA504" w14:textId="77777777" w:rsidR="0089207C" w:rsidRPr="00C07B2E" w:rsidRDefault="0089207C" w:rsidP="002D3EBF">
            <w:r w:rsidRPr="00C07B2E">
              <w:rPr>
                <w:rFonts w:eastAsia="SimSun"/>
              </w:rPr>
              <w:t>-</w:t>
            </w:r>
          </w:p>
        </w:tc>
      </w:tr>
      <w:tr w:rsidR="0089207C" w:rsidRPr="00C07B2E" w14:paraId="40A17E04" w14:textId="77777777" w:rsidTr="002D3EBF">
        <w:trPr>
          <w:cantSplit/>
          <w:trHeight w:val="1020"/>
        </w:trPr>
        <w:tc>
          <w:tcPr>
            <w:tcW w:w="697" w:type="pct"/>
            <w:vMerge/>
            <w:shd w:val="clear" w:color="auto" w:fill="BFBFBF"/>
            <w:vAlign w:val="center"/>
          </w:tcPr>
          <w:p w14:paraId="1498AD87" w14:textId="77777777" w:rsidR="0089207C" w:rsidRPr="00C07B2E" w:rsidRDefault="0089207C" w:rsidP="002D3EBF">
            <w:pPr>
              <w:rPr>
                <w:rFonts w:eastAsia="SimSun"/>
                <w:lang w:val="en-US"/>
              </w:rPr>
            </w:pPr>
          </w:p>
        </w:tc>
        <w:tc>
          <w:tcPr>
            <w:tcW w:w="283" w:type="pct"/>
            <w:vMerge w:val="restart"/>
            <w:shd w:val="clear" w:color="auto" w:fill="BFBFBF"/>
            <w:vAlign w:val="center"/>
          </w:tcPr>
          <w:p w14:paraId="4045BFBB" w14:textId="77777777" w:rsidR="0089207C" w:rsidRPr="00C07B2E" w:rsidRDefault="0089207C" w:rsidP="002D3EBF">
            <w:pPr>
              <w:rPr>
                <w:rFonts w:eastAsia="SimSun"/>
              </w:rPr>
            </w:pPr>
            <w:r w:rsidRPr="00C07B2E">
              <w:rPr>
                <w:rFonts w:eastAsia="SimSun"/>
                <w:lang w:val="en-US"/>
              </w:rPr>
              <w:t>CSA</w:t>
            </w:r>
          </w:p>
          <w:p w14:paraId="4ED92F71" w14:textId="77777777" w:rsidR="0089207C" w:rsidRPr="00C07B2E" w:rsidRDefault="0089207C" w:rsidP="002D3EBF">
            <w:pPr>
              <w:rPr>
                <w:rFonts w:eastAsia="SimSun"/>
              </w:rPr>
            </w:pPr>
          </w:p>
        </w:tc>
        <w:tc>
          <w:tcPr>
            <w:tcW w:w="428" w:type="pct"/>
            <w:shd w:val="clear" w:color="auto" w:fill="BFBFBF"/>
            <w:vAlign w:val="center"/>
          </w:tcPr>
          <w:p w14:paraId="7CFDD8F7" w14:textId="77777777" w:rsidR="0089207C" w:rsidRPr="00C07B2E" w:rsidRDefault="0089207C" w:rsidP="002D3EBF">
            <w:pPr>
              <w:rPr>
                <w:rFonts w:eastAsia="SimSun"/>
              </w:rPr>
            </w:pPr>
            <w:r w:rsidRPr="00C07B2E">
              <w:rPr>
                <w:rFonts w:eastAsia="SimSun"/>
                <w:lang w:val="en-US"/>
              </w:rPr>
              <w:t>MMF30</w:t>
            </w:r>
          </w:p>
        </w:tc>
        <w:tc>
          <w:tcPr>
            <w:tcW w:w="581" w:type="pct"/>
            <w:shd w:val="clear" w:color="auto" w:fill="auto"/>
            <w:vAlign w:val="center"/>
          </w:tcPr>
          <w:p w14:paraId="3179708B" w14:textId="77777777" w:rsidR="0089207C" w:rsidRPr="00C07B2E" w:rsidRDefault="0089207C" w:rsidP="002D3EBF">
            <w:r w:rsidRPr="00C07B2E">
              <w:rPr>
                <w:rFonts w:eastAsia="SimSun"/>
              </w:rPr>
              <w:t>-</w:t>
            </w:r>
          </w:p>
        </w:tc>
        <w:tc>
          <w:tcPr>
            <w:tcW w:w="539" w:type="pct"/>
            <w:shd w:val="clear" w:color="auto" w:fill="auto"/>
            <w:vAlign w:val="center"/>
          </w:tcPr>
          <w:p w14:paraId="1ADF653B" w14:textId="77777777" w:rsidR="0089207C" w:rsidRPr="00C07B2E" w:rsidRDefault="0089207C" w:rsidP="002D3EBF">
            <w:r w:rsidRPr="00C07B2E">
              <w:rPr>
                <w:rFonts w:eastAsia="SimSun"/>
              </w:rPr>
              <w:t>-</w:t>
            </w:r>
          </w:p>
        </w:tc>
        <w:tc>
          <w:tcPr>
            <w:tcW w:w="600" w:type="pct"/>
            <w:shd w:val="clear" w:color="auto" w:fill="auto"/>
            <w:vAlign w:val="center"/>
          </w:tcPr>
          <w:p w14:paraId="073B4F05" w14:textId="77777777" w:rsidR="0089207C" w:rsidRPr="00C07B2E" w:rsidRDefault="0089207C" w:rsidP="002D3EBF">
            <w:r w:rsidRPr="00C07B2E">
              <w:rPr>
                <w:rFonts w:eastAsia="SimSun"/>
              </w:rPr>
              <w:t>-</w:t>
            </w:r>
          </w:p>
        </w:tc>
        <w:tc>
          <w:tcPr>
            <w:tcW w:w="600" w:type="pct"/>
            <w:shd w:val="clear" w:color="auto" w:fill="auto"/>
            <w:vAlign w:val="center"/>
          </w:tcPr>
          <w:p w14:paraId="09532A58" w14:textId="77777777" w:rsidR="0089207C" w:rsidRPr="00C07B2E" w:rsidRDefault="0089207C" w:rsidP="002D3EBF">
            <w:pPr>
              <w:rPr>
                <w:rFonts w:eastAsia="SimSun"/>
                <w:lang w:val="en-US"/>
              </w:rPr>
            </w:pPr>
            <w:r>
              <w:rPr>
                <w:rFonts w:eastAsia="SimSun"/>
                <w:lang w:val="en-US"/>
              </w:rPr>
              <w:t>5.</w:t>
            </w:r>
            <w:r w:rsidRPr="00C07B2E">
              <w:rPr>
                <w:rFonts w:eastAsia="SimSun"/>
                <w:lang w:val="en-US"/>
              </w:rPr>
              <w:t>1.1.7</w:t>
            </w:r>
          </w:p>
        </w:tc>
        <w:tc>
          <w:tcPr>
            <w:tcW w:w="600" w:type="pct"/>
            <w:shd w:val="clear" w:color="auto" w:fill="auto"/>
            <w:vAlign w:val="center"/>
          </w:tcPr>
          <w:p w14:paraId="568C15EF" w14:textId="77777777" w:rsidR="0089207C" w:rsidRPr="00C07B2E" w:rsidRDefault="0089207C" w:rsidP="002D3EBF">
            <w:pPr>
              <w:rPr>
                <w:rFonts w:eastAsia="SimSun"/>
                <w:lang w:val="en-US"/>
              </w:rPr>
            </w:pPr>
            <w:r>
              <w:rPr>
                <w:rFonts w:eastAsia="SimSun"/>
                <w:lang w:val="en-US"/>
              </w:rPr>
              <w:t>5.</w:t>
            </w:r>
            <w:r w:rsidRPr="00C07B2E">
              <w:rPr>
                <w:rFonts w:eastAsia="SimSun"/>
                <w:lang w:val="en-US"/>
              </w:rPr>
              <w:t>1.1.10</w:t>
            </w:r>
          </w:p>
        </w:tc>
        <w:tc>
          <w:tcPr>
            <w:tcW w:w="672" w:type="pct"/>
            <w:shd w:val="clear" w:color="auto" w:fill="auto"/>
            <w:vAlign w:val="center"/>
          </w:tcPr>
          <w:p w14:paraId="573252DB" w14:textId="77777777" w:rsidR="0089207C" w:rsidRPr="00C07B2E" w:rsidRDefault="0089207C" w:rsidP="002D3EBF">
            <w:r w:rsidRPr="00C07B2E">
              <w:rPr>
                <w:rFonts w:eastAsia="SimSun"/>
              </w:rPr>
              <w:t>-</w:t>
            </w:r>
          </w:p>
        </w:tc>
      </w:tr>
      <w:tr w:rsidR="0089207C" w:rsidRPr="00C07B2E" w14:paraId="5BED3F74" w14:textId="77777777" w:rsidTr="002D3EBF">
        <w:trPr>
          <w:cantSplit/>
          <w:trHeight w:val="1020"/>
        </w:trPr>
        <w:tc>
          <w:tcPr>
            <w:tcW w:w="697" w:type="pct"/>
            <w:vMerge/>
            <w:shd w:val="clear" w:color="auto" w:fill="BFBFBF"/>
            <w:vAlign w:val="center"/>
          </w:tcPr>
          <w:p w14:paraId="0E6C2CDB" w14:textId="77777777" w:rsidR="0089207C" w:rsidRPr="00C07B2E" w:rsidRDefault="0089207C" w:rsidP="002D3EBF">
            <w:pPr>
              <w:rPr>
                <w:rFonts w:eastAsia="SimSun"/>
                <w:lang w:val="en-US"/>
              </w:rPr>
            </w:pPr>
          </w:p>
        </w:tc>
        <w:tc>
          <w:tcPr>
            <w:tcW w:w="283" w:type="pct"/>
            <w:vMerge/>
            <w:shd w:val="clear" w:color="auto" w:fill="BFBFBF"/>
            <w:vAlign w:val="center"/>
          </w:tcPr>
          <w:p w14:paraId="67019962" w14:textId="77777777" w:rsidR="0089207C" w:rsidRPr="00C07B2E" w:rsidRDefault="0089207C" w:rsidP="002D3EBF">
            <w:pPr>
              <w:rPr>
                <w:rFonts w:eastAsia="SimSun"/>
                <w:lang w:val="en-US"/>
              </w:rPr>
            </w:pPr>
          </w:p>
        </w:tc>
        <w:tc>
          <w:tcPr>
            <w:tcW w:w="428" w:type="pct"/>
            <w:shd w:val="clear" w:color="auto" w:fill="BFBFBF"/>
            <w:vAlign w:val="center"/>
          </w:tcPr>
          <w:p w14:paraId="43663DE9" w14:textId="77777777" w:rsidR="0089207C" w:rsidRPr="00C07B2E" w:rsidRDefault="0089207C" w:rsidP="002D3EBF">
            <w:pPr>
              <w:rPr>
                <w:rFonts w:eastAsia="SimSun"/>
                <w:lang w:val="en-US"/>
              </w:rPr>
            </w:pPr>
            <w:r w:rsidRPr="00C07B2E">
              <w:rPr>
                <w:rFonts w:eastAsia="SimSun"/>
                <w:lang w:val="en-US"/>
              </w:rPr>
              <w:t>MMF45</w:t>
            </w:r>
          </w:p>
        </w:tc>
        <w:tc>
          <w:tcPr>
            <w:tcW w:w="581" w:type="pct"/>
            <w:shd w:val="clear" w:color="auto" w:fill="auto"/>
            <w:vAlign w:val="center"/>
          </w:tcPr>
          <w:p w14:paraId="4461F068" w14:textId="77777777" w:rsidR="0089207C" w:rsidRPr="00C07B2E" w:rsidRDefault="0089207C" w:rsidP="002D3EBF">
            <w:r w:rsidRPr="00C07B2E">
              <w:rPr>
                <w:rFonts w:eastAsia="SimSun"/>
              </w:rPr>
              <w:t>-</w:t>
            </w:r>
          </w:p>
        </w:tc>
        <w:tc>
          <w:tcPr>
            <w:tcW w:w="539" w:type="pct"/>
            <w:shd w:val="clear" w:color="auto" w:fill="auto"/>
            <w:vAlign w:val="center"/>
          </w:tcPr>
          <w:p w14:paraId="7C509AAC" w14:textId="77777777" w:rsidR="0089207C" w:rsidRPr="00C07B2E" w:rsidRDefault="0089207C" w:rsidP="002D3EBF">
            <w:r w:rsidRPr="00C07B2E">
              <w:rPr>
                <w:rFonts w:eastAsia="SimSun"/>
              </w:rPr>
              <w:t>-</w:t>
            </w:r>
          </w:p>
        </w:tc>
        <w:tc>
          <w:tcPr>
            <w:tcW w:w="600" w:type="pct"/>
            <w:shd w:val="clear" w:color="auto" w:fill="auto"/>
            <w:vAlign w:val="center"/>
          </w:tcPr>
          <w:p w14:paraId="3B4AB0F8" w14:textId="77777777" w:rsidR="0089207C" w:rsidRPr="00C07B2E" w:rsidRDefault="0089207C" w:rsidP="002D3EBF">
            <w:pPr>
              <w:rPr>
                <w:rFonts w:eastAsia="SimSun"/>
                <w:lang w:val="en-US"/>
              </w:rPr>
            </w:pPr>
            <w:r>
              <w:rPr>
                <w:rFonts w:eastAsia="SimSun"/>
              </w:rPr>
              <w:t>5.</w:t>
            </w:r>
            <w:r w:rsidRPr="00C07B2E">
              <w:rPr>
                <w:rFonts w:eastAsia="SimSun"/>
              </w:rPr>
              <w:t>1.1.</w:t>
            </w:r>
            <w:r w:rsidRPr="00C07B2E">
              <w:rPr>
                <w:rFonts w:eastAsia="SimSun"/>
                <w:lang w:val="en-US"/>
              </w:rPr>
              <w:t>3</w:t>
            </w:r>
          </w:p>
        </w:tc>
        <w:tc>
          <w:tcPr>
            <w:tcW w:w="600" w:type="pct"/>
            <w:shd w:val="clear" w:color="auto" w:fill="auto"/>
            <w:vAlign w:val="center"/>
          </w:tcPr>
          <w:p w14:paraId="3B73F6EE" w14:textId="77777777" w:rsidR="0089207C" w:rsidRPr="00C07B2E" w:rsidRDefault="0089207C" w:rsidP="002D3EBF">
            <w:r w:rsidRPr="00C07B2E">
              <w:rPr>
                <w:rFonts w:eastAsia="SimSun"/>
              </w:rPr>
              <w:t>-</w:t>
            </w:r>
          </w:p>
        </w:tc>
        <w:tc>
          <w:tcPr>
            <w:tcW w:w="600" w:type="pct"/>
            <w:shd w:val="clear" w:color="auto" w:fill="auto"/>
            <w:vAlign w:val="center"/>
          </w:tcPr>
          <w:p w14:paraId="6AD4E452" w14:textId="77777777" w:rsidR="0089207C" w:rsidRPr="00C07B2E" w:rsidRDefault="0089207C" w:rsidP="002D3EBF">
            <w:r w:rsidRPr="00C07B2E">
              <w:rPr>
                <w:rFonts w:eastAsia="SimSun"/>
              </w:rPr>
              <w:t>-</w:t>
            </w:r>
          </w:p>
        </w:tc>
        <w:tc>
          <w:tcPr>
            <w:tcW w:w="672" w:type="pct"/>
            <w:shd w:val="clear" w:color="auto" w:fill="auto"/>
            <w:vAlign w:val="center"/>
          </w:tcPr>
          <w:p w14:paraId="04481228" w14:textId="77777777" w:rsidR="0089207C" w:rsidRPr="00C07B2E" w:rsidRDefault="0089207C" w:rsidP="002D3EBF">
            <w:r w:rsidRPr="00C07B2E">
              <w:rPr>
                <w:rFonts w:eastAsia="SimSun"/>
              </w:rPr>
              <w:t>-</w:t>
            </w:r>
          </w:p>
        </w:tc>
      </w:tr>
      <w:tr w:rsidR="0089207C" w:rsidRPr="00C07B2E" w14:paraId="4FD4FA30" w14:textId="77777777" w:rsidTr="002D3EBF">
        <w:trPr>
          <w:cantSplit/>
          <w:trHeight w:val="1020"/>
        </w:trPr>
        <w:tc>
          <w:tcPr>
            <w:tcW w:w="697" w:type="pct"/>
            <w:vMerge/>
            <w:shd w:val="clear" w:color="auto" w:fill="BFBFBF"/>
            <w:vAlign w:val="center"/>
          </w:tcPr>
          <w:p w14:paraId="37A82473" w14:textId="77777777" w:rsidR="0089207C" w:rsidRPr="00C07B2E" w:rsidRDefault="0089207C" w:rsidP="002D3EBF">
            <w:pPr>
              <w:rPr>
                <w:rFonts w:eastAsia="SimSun"/>
                <w:lang w:val="en-US"/>
              </w:rPr>
            </w:pPr>
          </w:p>
        </w:tc>
        <w:tc>
          <w:tcPr>
            <w:tcW w:w="283" w:type="pct"/>
            <w:shd w:val="clear" w:color="auto" w:fill="BFBFBF"/>
            <w:vAlign w:val="center"/>
          </w:tcPr>
          <w:p w14:paraId="488B2B6A" w14:textId="77777777" w:rsidR="0089207C" w:rsidRPr="00C07B2E" w:rsidRDefault="0089207C" w:rsidP="002D3EBF">
            <w:pPr>
              <w:rPr>
                <w:rFonts w:eastAsia="SimSun"/>
                <w:lang w:val="en-US"/>
              </w:rPr>
            </w:pPr>
            <w:r w:rsidRPr="00C07B2E">
              <w:rPr>
                <w:rFonts w:eastAsia="SimSun"/>
                <w:lang w:val="en-US"/>
              </w:rPr>
              <w:t>Tx</w:t>
            </w:r>
          </w:p>
        </w:tc>
        <w:tc>
          <w:tcPr>
            <w:tcW w:w="428" w:type="pct"/>
            <w:shd w:val="clear" w:color="auto" w:fill="BFBFBF"/>
            <w:vAlign w:val="center"/>
          </w:tcPr>
          <w:p w14:paraId="1E0D60F8" w14:textId="77777777" w:rsidR="0089207C" w:rsidRPr="00C07B2E" w:rsidRDefault="0089207C" w:rsidP="002D3EBF">
            <w:pPr>
              <w:rPr>
                <w:rFonts w:eastAsia="SimSun"/>
                <w:lang w:val="en-US"/>
              </w:rPr>
            </w:pPr>
            <w:r w:rsidRPr="00C07B2E">
              <w:rPr>
                <w:rFonts w:eastAsia="SimSun"/>
                <w:lang w:val="en-US"/>
              </w:rPr>
              <w:t>MMF30</w:t>
            </w:r>
          </w:p>
        </w:tc>
        <w:tc>
          <w:tcPr>
            <w:tcW w:w="581" w:type="pct"/>
            <w:shd w:val="clear" w:color="auto" w:fill="auto"/>
            <w:vAlign w:val="center"/>
          </w:tcPr>
          <w:p w14:paraId="024DCD4F" w14:textId="77777777" w:rsidR="0089207C" w:rsidRPr="00C07B2E" w:rsidRDefault="0089207C" w:rsidP="002D3EBF">
            <w:r w:rsidRPr="00C07B2E">
              <w:rPr>
                <w:rFonts w:eastAsia="SimSun"/>
              </w:rPr>
              <w:t>-</w:t>
            </w:r>
          </w:p>
        </w:tc>
        <w:tc>
          <w:tcPr>
            <w:tcW w:w="539" w:type="pct"/>
            <w:shd w:val="clear" w:color="auto" w:fill="auto"/>
            <w:vAlign w:val="center"/>
          </w:tcPr>
          <w:p w14:paraId="7DCA008D" w14:textId="77777777" w:rsidR="0089207C" w:rsidRPr="00C07B2E" w:rsidRDefault="0089207C" w:rsidP="002D3EBF">
            <w:r w:rsidRPr="00C07B2E">
              <w:rPr>
                <w:rFonts w:eastAsia="SimSun"/>
              </w:rPr>
              <w:t>-</w:t>
            </w:r>
          </w:p>
        </w:tc>
        <w:tc>
          <w:tcPr>
            <w:tcW w:w="600" w:type="pct"/>
            <w:shd w:val="clear" w:color="auto" w:fill="auto"/>
            <w:vAlign w:val="center"/>
          </w:tcPr>
          <w:p w14:paraId="49840B8C" w14:textId="77777777" w:rsidR="0089207C" w:rsidRPr="00C07B2E" w:rsidRDefault="0089207C" w:rsidP="002D3EBF">
            <w:r w:rsidRPr="00C07B2E">
              <w:rPr>
                <w:rFonts w:eastAsia="SimSun"/>
              </w:rPr>
              <w:t>-</w:t>
            </w:r>
          </w:p>
        </w:tc>
        <w:tc>
          <w:tcPr>
            <w:tcW w:w="600" w:type="pct"/>
            <w:shd w:val="clear" w:color="auto" w:fill="auto"/>
            <w:vAlign w:val="center"/>
          </w:tcPr>
          <w:p w14:paraId="69BBE109" w14:textId="77777777" w:rsidR="0089207C" w:rsidRPr="00C07B2E" w:rsidRDefault="0089207C" w:rsidP="002D3EBF">
            <w:pPr>
              <w:rPr>
                <w:rFonts w:eastAsia="SimSun"/>
              </w:rPr>
            </w:pPr>
            <w:r>
              <w:rPr>
                <w:rFonts w:eastAsia="SimSun"/>
                <w:lang w:val="en-US"/>
              </w:rPr>
              <w:t>5.</w:t>
            </w:r>
            <w:r w:rsidRPr="00C07B2E">
              <w:rPr>
                <w:rFonts w:eastAsia="SimSun"/>
                <w:lang w:val="en-US"/>
              </w:rPr>
              <w:t>1.1.6</w:t>
            </w:r>
          </w:p>
        </w:tc>
        <w:tc>
          <w:tcPr>
            <w:tcW w:w="600" w:type="pct"/>
            <w:shd w:val="clear" w:color="auto" w:fill="auto"/>
            <w:vAlign w:val="center"/>
          </w:tcPr>
          <w:p w14:paraId="67B4F4AD" w14:textId="77777777" w:rsidR="0089207C" w:rsidRPr="00C07B2E" w:rsidRDefault="0089207C" w:rsidP="002D3EBF">
            <w:pPr>
              <w:rPr>
                <w:rFonts w:eastAsia="SimSun"/>
                <w:lang w:val="en-US"/>
              </w:rPr>
            </w:pPr>
            <w:r>
              <w:rPr>
                <w:rFonts w:eastAsia="SimSun"/>
                <w:lang w:val="en-US"/>
              </w:rPr>
              <w:t>5.</w:t>
            </w:r>
            <w:r w:rsidRPr="00C07B2E">
              <w:rPr>
                <w:rFonts w:eastAsia="SimSun"/>
                <w:lang w:val="en-US"/>
              </w:rPr>
              <w:t>1.1.9</w:t>
            </w:r>
          </w:p>
        </w:tc>
        <w:tc>
          <w:tcPr>
            <w:tcW w:w="672" w:type="pct"/>
            <w:shd w:val="clear" w:color="auto" w:fill="auto"/>
            <w:vAlign w:val="center"/>
          </w:tcPr>
          <w:p w14:paraId="241B8BF5" w14:textId="77777777" w:rsidR="0089207C" w:rsidRPr="00C07B2E" w:rsidRDefault="0089207C" w:rsidP="002D3EBF">
            <w:r w:rsidRPr="00C07B2E">
              <w:rPr>
                <w:rFonts w:eastAsia="SimSun"/>
              </w:rPr>
              <w:t>-</w:t>
            </w:r>
          </w:p>
        </w:tc>
      </w:tr>
    </w:tbl>
    <w:p w14:paraId="388EE884" w14:textId="77777777" w:rsidR="0089207C" w:rsidRPr="00C07B2E" w:rsidRDefault="0089207C" w:rsidP="0089207C">
      <w:pPr>
        <w:rPr>
          <w:rFonts w:eastAsia="SimSun"/>
        </w:rPr>
        <w:sectPr w:rsidR="0089207C" w:rsidRPr="00C07B2E" w:rsidSect="00980822">
          <w:type w:val="continuous"/>
          <w:pgSz w:w="16839" w:h="11907" w:orient="landscape" w:code="9"/>
          <w:pgMar w:top="1134" w:right="850" w:bottom="1134" w:left="1701" w:header="709" w:footer="567" w:gutter="0"/>
          <w:cols w:space="708"/>
          <w:docGrid w:linePitch="360"/>
        </w:sectPr>
      </w:pPr>
    </w:p>
    <w:p w14:paraId="5D7AEB11" w14:textId="77777777" w:rsidR="0089207C" w:rsidRPr="00C07B2E" w:rsidRDefault="0089207C" w:rsidP="0089207C">
      <w:pPr>
        <w:rPr>
          <w:rFonts w:eastAsia="SimSun"/>
        </w:rPr>
      </w:pPr>
      <w:bookmarkStart w:id="194" w:name="_Toc44401144"/>
      <w:r>
        <w:rPr>
          <w:rFonts w:eastAsia="SimSun"/>
        </w:rPr>
        <w:t>Таблица</w:t>
      </w:r>
      <w:r w:rsidRPr="00C07B2E">
        <w:rPr>
          <w:rFonts w:eastAsia="SimSun"/>
        </w:rPr>
        <w:t xml:space="preserve"> </w:t>
      </w:r>
      <w:r>
        <w:rPr>
          <w:rFonts w:eastAsia="SimSun"/>
        </w:rPr>
        <w:t>5</w:t>
      </w:r>
      <w:r w:rsidRPr="00C07B2E">
        <w:rPr>
          <w:rFonts w:eastAsia="SimSun"/>
        </w:rPr>
        <w:t>.1.1.1 – Bu12+Cy120 / CSA+MTX</w:t>
      </w:r>
      <w:bookmarkEnd w:id="194"/>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3"/>
        <w:gridCol w:w="1417"/>
        <w:gridCol w:w="1418"/>
        <w:gridCol w:w="1701"/>
        <w:gridCol w:w="2268"/>
      </w:tblGrid>
      <w:tr w:rsidR="0089207C" w:rsidRPr="00C07B2E" w14:paraId="57B85BB2" w14:textId="77777777" w:rsidTr="002D3EBF">
        <w:trPr>
          <w:cantSplit/>
          <w:trHeight w:val="20"/>
          <w:tblHeader/>
        </w:trPr>
        <w:tc>
          <w:tcPr>
            <w:tcW w:w="709" w:type="dxa"/>
            <w:vAlign w:val="center"/>
          </w:tcPr>
          <w:p w14:paraId="4F98C038" w14:textId="77777777" w:rsidR="0089207C" w:rsidRPr="00C07B2E" w:rsidRDefault="0089207C" w:rsidP="002D3EBF">
            <w:pPr>
              <w:ind w:left="57" w:right="57"/>
              <w:rPr>
                <w:rFonts w:eastAsia="SimSun"/>
              </w:rPr>
            </w:pPr>
            <w:bookmarkStart w:id="195" w:name="_Hlk513908710"/>
          </w:p>
        </w:tc>
        <w:tc>
          <w:tcPr>
            <w:tcW w:w="1843" w:type="dxa"/>
            <w:vAlign w:val="center"/>
          </w:tcPr>
          <w:p w14:paraId="32130467" w14:textId="77777777" w:rsidR="0089207C" w:rsidRPr="00C07B2E" w:rsidRDefault="0089207C" w:rsidP="002D3EBF">
            <w:pPr>
              <w:ind w:left="57" w:right="57"/>
              <w:rPr>
                <w:rFonts w:eastAsia="SimSun"/>
              </w:rPr>
            </w:pPr>
            <w:r w:rsidRPr="00C07B2E">
              <w:rPr>
                <w:rFonts w:eastAsia="SimSun"/>
              </w:rPr>
              <w:t>Препарат</w:t>
            </w:r>
          </w:p>
        </w:tc>
        <w:tc>
          <w:tcPr>
            <w:tcW w:w="1417" w:type="dxa"/>
            <w:vAlign w:val="center"/>
          </w:tcPr>
          <w:p w14:paraId="1E9CB804" w14:textId="77777777" w:rsidR="0089207C" w:rsidRPr="00C07B2E" w:rsidRDefault="0089207C" w:rsidP="002D3EBF">
            <w:pPr>
              <w:ind w:left="57" w:right="57"/>
              <w:rPr>
                <w:rFonts w:eastAsia="SimSun"/>
              </w:rPr>
            </w:pPr>
            <w:r w:rsidRPr="00C07B2E">
              <w:rPr>
                <w:rFonts w:eastAsia="SimSun"/>
              </w:rPr>
              <w:t>Суточная доза</w:t>
            </w:r>
          </w:p>
        </w:tc>
        <w:tc>
          <w:tcPr>
            <w:tcW w:w="1418" w:type="dxa"/>
            <w:vAlign w:val="center"/>
          </w:tcPr>
          <w:p w14:paraId="7D4C27B3" w14:textId="77777777" w:rsidR="0089207C" w:rsidRPr="00C07B2E" w:rsidRDefault="0089207C" w:rsidP="002D3EBF">
            <w:pPr>
              <w:ind w:left="57" w:right="57"/>
              <w:rPr>
                <w:rFonts w:eastAsia="SimSun"/>
              </w:rPr>
            </w:pPr>
            <w:r w:rsidRPr="00C07B2E">
              <w:rPr>
                <w:rFonts w:eastAsia="SimSun"/>
              </w:rPr>
              <w:t>Курсовая доза</w:t>
            </w:r>
          </w:p>
        </w:tc>
        <w:tc>
          <w:tcPr>
            <w:tcW w:w="1701" w:type="dxa"/>
            <w:vAlign w:val="center"/>
          </w:tcPr>
          <w:p w14:paraId="6D9BEB58" w14:textId="77777777" w:rsidR="0089207C" w:rsidRPr="00C07B2E" w:rsidRDefault="0089207C" w:rsidP="002D3EBF">
            <w:pPr>
              <w:ind w:left="57" w:right="57"/>
              <w:rPr>
                <w:rFonts w:eastAsia="SimSun"/>
              </w:rPr>
            </w:pPr>
            <w:r w:rsidRPr="00C07B2E">
              <w:rPr>
                <w:rFonts w:eastAsia="SimSun"/>
              </w:rPr>
              <w:t>Дни введения</w:t>
            </w:r>
          </w:p>
        </w:tc>
        <w:tc>
          <w:tcPr>
            <w:tcW w:w="2268" w:type="dxa"/>
            <w:vAlign w:val="center"/>
          </w:tcPr>
          <w:p w14:paraId="11A08FC6" w14:textId="77777777" w:rsidR="0089207C" w:rsidRPr="00C07B2E" w:rsidRDefault="0089207C" w:rsidP="002D3EBF">
            <w:pPr>
              <w:ind w:left="57" w:right="57"/>
              <w:rPr>
                <w:rFonts w:eastAsia="SimSun"/>
              </w:rPr>
            </w:pPr>
            <w:r w:rsidRPr="00C07B2E">
              <w:rPr>
                <w:rFonts w:eastAsia="SimSun"/>
              </w:rPr>
              <w:t>Порядок введения</w:t>
            </w:r>
          </w:p>
        </w:tc>
      </w:tr>
      <w:tr w:rsidR="0089207C" w:rsidRPr="00C07B2E" w14:paraId="135B3472" w14:textId="77777777" w:rsidTr="002D3EBF">
        <w:trPr>
          <w:cantSplit/>
          <w:trHeight w:val="20"/>
        </w:trPr>
        <w:tc>
          <w:tcPr>
            <w:tcW w:w="709" w:type="dxa"/>
            <w:vMerge w:val="restart"/>
            <w:textDirection w:val="btLr"/>
            <w:vAlign w:val="center"/>
          </w:tcPr>
          <w:p w14:paraId="56A2A16A" w14:textId="77777777" w:rsidR="0089207C" w:rsidRPr="00C07B2E" w:rsidRDefault="0089207C" w:rsidP="002D3EBF">
            <w:pPr>
              <w:ind w:left="57" w:right="57"/>
              <w:rPr>
                <w:rFonts w:eastAsia="SimSun"/>
              </w:rPr>
            </w:pPr>
            <w:r w:rsidRPr="00C07B2E">
              <w:rPr>
                <w:rFonts w:eastAsia="SimSun"/>
              </w:rPr>
              <w:t>Кондиционирование</w:t>
            </w:r>
          </w:p>
        </w:tc>
        <w:tc>
          <w:tcPr>
            <w:tcW w:w="1843" w:type="dxa"/>
            <w:vAlign w:val="center"/>
          </w:tcPr>
          <w:p w14:paraId="381752F9" w14:textId="77777777" w:rsidR="0089207C" w:rsidRPr="00C07B2E" w:rsidRDefault="0089207C" w:rsidP="002D3EBF">
            <w:pPr>
              <w:ind w:left="57" w:right="57"/>
              <w:rPr>
                <w:rFonts w:eastAsia="SimSun"/>
              </w:rPr>
            </w:pPr>
            <w:r w:rsidRPr="00C07B2E">
              <w:rPr>
                <w:rFonts w:eastAsia="SimSun"/>
              </w:rPr>
              <w:t>Бусульфан</w:t>
            </w:r>
          </w:p>
        </w:tc>
        <w:tc>
          <w:tcPr>
            <w:tcW w:w="1417" w:type="dxa"/>
            <w:vAlign w:val="center"/>
          </w:tcPr>
          <w:p w14:paraId="71D6F0C6" w14:textId="77777777" w:rsidR="0089207C" w:rsidRPr="00C07B2E" w:rsidRDefault="0089207C" w:rsidP="002D3EBF">
            <w:pPr>
              <w:ind w:left="57" w:right="57"/>
              <w:rPr>
                <w:rFonts w:eastAsia="SimSun"/>
              </w:rPr>
            </w:pPr>
            <w:r w:rsidRPr="00C07B2E">
              <w:rPr>
                <w:rFonts w:eastAsia="SimSun"/>
              </w:rPr>
              <w:t>4 мг/кг</w:t>
            </w:r>
          </w:p>
        </w:tc>
        <w:tc>
          <w:tcPr>
            <w:tcW w:w="1418" w:type="dxa"/>
            <w:vAlign w:val="center"/>
          </w:tcPr>
          <w:p w14:paraId="5DDFBF5C" w14:textId="77777777" w:rsidR="0089207C" w:rsidRPr="00C07B2E" w:rsidRDefault="0089207C" w:rsidP="002D3EBF">
            <w:pPr>
              <w:ind w:left="57" w:right="57"/>
              <w:rPr>
                <w:rFonts w:eastAsia="SimSun"/>
              </w:rPr>
            </w:pPr>
            <w:r w:rsidRPr="00C07B2E">
              <w:rPr>
                <w:rFonts w:eastAsia="SimSun"/>
                <w:lang w:val="en-US"/>
              </w:rPr>
              <w:t>12</w:t>
            </w:r>
            <w:r w:rsidRPr="00C07B2E">
              <w:rPr>
                <w:rFonts w:eastAsia="SimSun"/>
              </w:rPr>
              <w:t xml:space="preserve"> мг/кг</w:t>
            </w:r>
          </w:p>
        </w:tc>
        <w:tc>
          <w:tcPr>
            <w:tcW w:w="1701" w:type="dxa"/>
            <w:vAlign w:val="center"/>
          </w:tcPr>
          <w:p w14:paraId="6BBD07C2" w14:textId="77777777" w:rsidR="0089207C" w:rsidRPr="00C07B2E" w:rsidRDefault="0089207C" w:rsidP="002D3EBF">
            <w:pPr>
              <w:ind w:left="57" w:right="57"/>
              <w:rPr>
                <w:rFonts w:eastAsia="SimSun"/>
              </w:rPr>
            </w:pPr>
            <w:r w:rsidRPr="00C07B2E">
              <w:rPr>
                <w:rFonts w:eastAsia="SimSun"/>
                <w:lang w:val="en-US"/>
              </w:rPr>
              <w:t>C</w:t>
            </w:r>
            <w:r w:rsidRPr="00C07B2E">
              <w:rPr>
                <w:rFonts w:eastAsia="SimSun"/>
              </w:rPr>
              <w:t xml:space="preserve"> –6 по –4 день </w:t>
            </w:r>
          </w:p>
        </w:tc>
        <w:tc>
          <w:tcPr>
            <w:tcW w:w="2268" w:type="dxa"/>
            <w:vAlign w:val="center"/>
          </w:tcPr>
          <w:p w14:paraId="4DDF876D" w14:textId="77777777" w:rsidR="0089207C" w:rsidRPr="00985050" w:rsidRDefault="0089207C" w:rsidP="002D3EBF">
            <w:pPr>
              <w:ind w:left="57" w:right="57"/>
              <w:rPr>
                <w:rFonts w:eastAsia="SimSun"/>
              </w:rPr>
            </w:pPr>
            <w:r w:rsidRPr="00985050">
              <w:rPr>
                <w:rFonts w:eastAsia="SimSun"/>
              </w:rPr>
              <w:t>Внутрь, суммарная суточная доза разделяется на 4 приема с интервалом 6 часов.</w:t>
            </w:r>
          </w:p>
        </w:tc>
      </w:tr>
      <w:tr w:rsidR="0089207C" w:rsidRPr="00C07B2E" w14:paraId="4A8E7EBF" w14:textId="77777777" w:rsidTr="002D3EBF">
        <w:trPr>
          <w:cantSplit/>
          <w:trHeight w:val="1207"/>
        </w:trPr>
        <w:tc>
          <w:tcPr>
            <w:tcW w:w="709" w:type="dxa"/>
            <w:vMerge/>
            <w:vAlign w:val="center"/>
          </w:tcPr>
          <w:p w14:paraId="2CF7B6B5" w14:textId="77777777" w:rsidR="0089207C" w:rsidRPr="00985050" w:rsidRDefault="0089207C" w:rsidP="002D3EBF">
            <w:pPr>
              <w:ind w:left="57" w:right="57"/>
              <w:rPr>
                <w:rFonts w:eastAsia="SimSun"/>
              </w:rPr>
            </w:pPr>
          </w:p>
        </w:tc>
        <w:tc>
          <w:tcPr>
            <w:tcW w:w="1843" w:type="dxa"/>
            <w:vAlign w:val="center"/>
          </w:tcPr>
          <w:p w14:paraId="3629078F" w14:textId="77777777" w:rsidR="0089207C" w:rsidRPr="00C07B2E" w:rsidRDefault="0089207C" w:rsidP="002D3EBF">
            <w:pPr>
              <w:ind w:left="57" w:right="57"/>
              <w:rPr>
                <w:rFonts w:eastAsia="SimSun"/>
              </w:rPr>
            </w:pPr>
            <w:r w:rsidRPr="00C07B2E">
              <w:rPr>
                <w:rFonts w:eastAsia="SimSun"/>
              </w:rPr>
              <w:t>Циклофосфамид</w:t>
            </w:r>
          </w:p>
        </w:tc>
        <w:tc>
          <w:tcPr>
            <w:tcW w:w="1417" w:type="dxa"/>
            <w:vAlign w:val="center"/>
          </w:tcPr>
          <w:p w14:paraId="5F13CF91" w14:textId="77777777" w:rsidR="0089207C" w:rsidRPr="00C07B2E" w:rsidRDefault="0089207C" w:rsidP="002D3EBF">
            <w:pPr>
              <w:ind w:left="57" w:right="57"/>
              <w:rPr>
                <w:rFonts w:eastAsia="SimSun"/>
              </w:rPr>
            </w:pPr>
            <w:r w:rsidRPr="00C07B2E">
              <w:rPr>
                <w:rFonts w:eastAsia="SimSun"/>
              </w:rPr>
              <w:t>60 мг/кг</w:t>
            </w:r>
          </w:p>
        </w:tc>
        <w:tc>
          <w:tcPr>
            <w:tcW w:w="1418" w:type="dxa"/>
            <w:vAlign w:val="center"/>
          </w:tcPr>
          <w:p w14:paraId="160EC69E" w14:textId="77777777" w:rsidR="0089207C" w:rsidRPr="00C07B2E" w:rsidRDefault="0089207C" w:rsidP="002D3EBF">
            <w:pPr>
              <w:ind w:left="57" w:right="57"/>
              <w:rPr>
                <w:rFonts w:eastAsia="SimSun"/>
              </w:rPr>
            </w:pPr>
            <w:r w:rsidRPr="00C07B2E">
              <w:rPr>
                <w:rFonts w:eastAsia="SimSun"/>
              </w:rPr>
              <w:t>120 мг/кг</w:t>
            </w:r>
          </w:p>
        </w:tc>
        <w:tc>
          <w:tcPr>
            <w:tcW w:w="1701" w:type="dxa"/>
            <w:vAlign w:val="center"/>
          </w:tcPr>
          <w:p w14:paraId="4FE6662D" w14:textId="77777777" w:rsidR="0089207C" w:rsidRPr="00C07B2E" w:rsidRDefault="0089207C" w:rsidP="002D3EBF">
            <w:pPr>
              <w:ind w:left="57" w:right="57"/>
              <w:rPr>
                <w:rFonts w:eastAsia="SimSun"/>
              </w:rPr>
            </w:pPr>
            <w:r w:rsidRPr="00C07B2E">
              <w:rPr>
                <w:rFonts w:eastAsia="SimSun"/>
                <w:lang w:val="en-US"/>
              </w:rPr>
              <w:t>–3, –2 дни</w:t>
            </w:r>
            <w:r w:rsidRPr="00C07B2E">
              <w:rPr>
                <w:rFonts w:eastAsia="SimSun"/>
              </w:rPr>
              <w:t xml:space="preserve"> </w:t>
            </w:r>
          </w:p>
        </w:tc>
        <w:tc>
          <w:tcPr>
            <w:tcW w:w="2268" w:type="dxa"/>
            <w:vAlign w:val="center"/>
          </w:tcPr>
          <w:p w14:paraId="54EAB0D3" w14:textId="77777777" w:rsidR="0089207C" w:rsidRPr="00985050" w:rsidRDefault="0089207C" w:rsidP="002D3EBF">
            <w:pPr>
              <w:ind w:left="57" w:right="57"/>
              <w:rPr>
                <w:rFonts w:eastAsia="SimSun"/>
              </w:rPr>
            </w:pPr>
            <w:r w:rsidRPr="00985050">
              <w:rPr>
                <w:rFonts w:eastAsia="SimSun"/>
              </w:rPr>
              <w:t xml:space="preserve">В/в, в течение 2 ч  </w:t>
            </w:r>
          </w:p>
        </w:tc>
      </w:tr>
      <w:tr w:rsidR="0089207C" w:rsidRPr="00C07B2E" w14:paraId="6C0D400D" w14:textId="77777777" w:rsidTr="002D3EBF">
        <w:trPr>
          <w:cantSplit/>
          <w:trHeight w:val="20"/>
        </w:trPr>
        <w:tc>
          <w:tcPr>
            <w:tcW w:w="709" w:type="dxa"/>
            <w:vMerge w:val="restart"/>
            <w:textDirection w:val="btLr"/>
            <w:vAlign w:val="center"/>
          </w:tcPr>
          <w:p w14:paraId="57A13509" w14:textId="77777777" w:rsidR="0089207C" w:rsidRPr="00C07B2E" w:rsidRDefault="0089207C" w:rsidP="002D3EBF">
            <w:pPr>
              <w:ind w:left="57" w:right="57"/>
              <w:rPr>
                <w:rFonts w:eastAsia="SimSun"/>
              </w:rPr>
            </w:pPr>
            <w:r w:rsidRPr="00C07B2E">
              <w:rPr>
                <w:rFonts w:eastAsia="SimSun"/>
              </w:rPr>
              <w:t>Профилактика РТПХ</w:t>
            </w:r>
          </w:p>
        </w:tc>
        <w:tc>
          <w:tcPr>
            <w:tcW w:w="1843" w:type="dxa"/>
            <w:vAlign w:val="center"/>
          </w:tcPr>
          <w:p w14:paraId="5E7C7754" w14:textId="77777777" w:rsidR="0089207C" w:rsidRPr="00C07B2E" w:rsidRDefault="0089207C" w:rsidP="002D3EBF">
            <w:pPr>
              <w:ind w:left="57" w:right="57"/>
              <w:rPr>
                <w:rFonts w:eastAsia="SimSun"/>
              </w:rPr>
            </w:pPr>
            <w:r w:rsidRPr="00C07B2E">
              <w:rPr>
                <w:rFonts w:eastAsia="SimSun"/>
              </w:rPr>
              <w:t xml:space="preserve">Циклоспорин </w:t>
            </w:r>
          </w:p>
        </w:tc>
        <w:tc>
          <w:tcPr>
            <w:tcW w:w="1417" w:type="dxa"/>
            <w:vAlign w:val="center"/>
          </w:tcPr>
          <w:p w14:paraId="67FAC248" w14:textId="77777777" w:rsidR="0089207C" w:rsidRPr="00C07B2E" w:rsidRDefault="0089207C" w:rsidP="002D3EBF">
            <w:pPr>
              <w:ind w:left="57" w:right="57"/>
              <w:rPr>
                <w:rFonts w:eastAsia="SimSun"/>
              </w:rPr>
            </w:pPr>
            <w:r w:rsidRPr="00C07B2E">
              <w:rPr>
                <w:rFonts w:eastAsia="SimSun"/>
              </w:rPr>
              <w:t>3 мг/кг</w:t>
            </w:r>
          </w:p>
        </w:tc>
        <w:tc>
          <w:tcPr>
            <w:tcW w:w="1418" w:type="dxa"/>
            <w:vAlign w:val="center"/>
          </w:tcPr>
          <w:p w14:paraId="19FC2C29" w14:textId="77777777" w:rsidR="0089207C" w:rsidRPr="00C07B2E" w:rsidRDefault="0089207C" w:rsidP="002D3EBF">
            <w:pPr>
              <w:ind w:left="57" w:right="57"/>
              <w:rPr>
                <w:rFonts w:eastAsia="SimSun"/>
                <w:lang w:val="en-US"/>
              </w:rPr>
            </w:pPr>
            <w:r w:rsidRPr="00C07B2E">
              <w:rPr>
                <w:rFonts w:eastAsia="SimSun"/>
                <w:lang w:val="en-US"/>
              </w:rPr>
              <w:t>–</w:t>
            </w:r>
          </w:p>
        </w:tc>
        <w:tc>
          <w:tcPr>
            <w:tcW w:w="1701" w:type="dxa"/>
            <w:vAlign w:val="center"/>
          </w:tcPr>
          <w:p w14:paraId="7A36D8DD" w14:textId="77777777" w:rsidR="0089207C" w:rsidRPr="00C07B2E" w:rsidRDefault="0089207C" w:rsidP="002D3EBF">
            <w:pPr>
              <w:ind w:left="57" w:right="57"/>
              <w:rPr>
                <w:rFonts w:eastAsia="SimSun"/>
              </w:rPr>
            </w:pPr>
            <w:r w:rsidRPr="00C07B2E">
              <w:rPr>
                <w:rFonts w:eastAsia="SimSun"/>
              </w:rPr>
              <w:t>С –1 дня по +90 день, затем постепенное снижение к +180 дню</w:t>
            </w:r>
          </w:p>
        </w:tc>
        <w:tc>
          <w:tcPr>
            <w:tcW w:w="2268" w:type="dxa"/>
            <w:vAlign w:val="center"/>
          </w:tcPr>
          <w:p w14:paraId="252A8A6D" w14:textId="77777777" w:rsidR="0089207C" w:rsidRPr="00985050" w:rsidRDefault="0089207C" w:rsidP="002D3EBF">
            <w:pPr>
              <w:ind w:left="57" w:right="57"/>
              <w:rPr>
                <w:rFonts w:eastAsia="SimSun"/>
              </w:rPr>
            </w:pPr>
            <w:r w:rsidRPr="00C07B2E">
              <w:rPr>
                <w:rFonts w:eastAsia="SimSun"/>
              </w:rPr>
              <w:t xml:space="preserve">В/в, 5-часовая инфузия 2 раза/сут. </w:t>
            </w:r>
            <w:r w:rsidRPr="00985050">
              <w:rPr>
                <w:rFonts w:eastAsia="SimSun"/>
              </w:rPr>
              <w:t>Перевод на прием внутрь при условии восстановления лейкоцитов &gt;</w:t>
            </w:r>
            <w:r w:rsidRPr="00C07B2E">
              <w:rPr>
                <w:rFonts w:eastAsia="SimSun"/>
                <w:lang w:val="en-US"/>
              </w:rPr>
              <w:t> </w:t>
            </w:r>
            <w:r w:rsidRPr="00985050">
              <w:rPr>
                <w:rFonts w:eastAsia="SimSun"/>
              </w:rPr>
              <w:t>1</w:t>
            </w:r>
            <w:r w:rsidRPr="00C07B2E">
              <w:rPr>
                <w:rFonts w:eastAsia="SimSun"/>
                <w:lang w:val="en-US"/>
              </w:rPr>
              <w:t> </w:t>
            </w:r>
            <w:r>
              <w:rPr>
                <w:rFonts w:eastAsia="SimSun"/>
              </w:rPr>
              <w:t>х</w:t>
            </w:r>
            <w:r w:rsidRPr="00C07B2E">
              <w:rPr>
                <w:rFonts w:eastAsia="SimSun"/>
                <w:lang w:val="en-US"/>
              </w:rPr>
              <w:t> </w:t>
            </w:r>
            <w:r w:rsidRPr="00985050">
              <w:rPr>
                <w:rFonts w:eastAsia="SimSun"/>
              </w:rPr>
              <w:t>10</w:t>
            </w:r>
            <w:r w:rsidRPr="00985050">
              <w:rPr>
                <w:rFonts w:eastAsia="SimSun"/>
                <w:vertAlign w:val="superscript"/>
              </w:rPr>
              <w:t>9</w:t>
            </w:r>
            <w:r w:rsidRPr="00985050">
              <w:rPr>
                <w:rFonts w:eastAsia="SimSun"/>
              </w:rPr>
              <w:t xml:space="preserve">/л, при отсутствии тошноты, рвоты, диареи и возможности приема внутрь.; Концентрация 150-350 нг/мл  </w:t>
            </w:r>
          </w:p>
        </w:tc>
      </w:tr>
      <w:tr w:rsidR="0089207C" w:rsidRPr="00C07B2E" w14:paraId="05C13B40" w14:textId="77777777" w:rsidTr="002D3EBF">
        <w:trPr>
          <w:cantSplit/>
          <w:trHeight w:val="20"/>
        </w:trPr>
        <w:tc>
          <w:tcPr>
            <w:tcW w:w="709" w:type="dxa"/>
            <w:vMerge/>
          </w:tcPr>
          <w:p w14:paraId="535F255D" w14:textId="77777777" w:rsidR="0089207C" w:rsidRPr="00985050" w:rsidRDefault="0089207C" w:rsidP="002D3EBF">
            <w:pPr>
              <w:ind w:left="57" w:right="57"/>
              <w:rPr>
                <w:rFonts w:eastAsia="SimSun"/>
              </w:rPr>
            </w:pPr>
          </w:p>
        </w:tc>
        <w:tc>
          <w:tcPr>
            <w:tcW w:w="1843" w:type="dxa"/>
            <w:vMerge w:val="restart"/>
            <w:vAlign w:val="center"/>
          </w:tcPr>
          <w:p w14:paraId="04293755" w14:textId="77777777" w:rsidR="0089207C" w:rsidRPr="00C07B2E" w:rsidRDefault="0089207C" w:rsidP="002D3EBF">
            <w:pPr>
              <w:ind w:left="57" w:right="57"/>
              <w:rPr>
                <w:rFonts w:eastAsia="SimSun"/>
              </w:rPr>
            </w:pPr>
            <w:r w:rsidRPr="00C07B2E">
              <w:rPr>
                <w:rFonts w:eastAsia="SimSun"/>
              </w:rPr>
              <w:t>Метотрексат</w:t>
            </w:r>
          </w:p>
        </w:tc>
        <w:tc>
          <w:tcPr>
            <w:tcW w:w="1417" w:type="dxa"/>
            <w:vAlign w:val="center"/>
          </w:tcPr>
          <w:p w14:paraId="3C3C637D" w14:textId="77777777" w:rsidR="0089207C" w:rsidRPr="00C07B2E" w:rsidRDefault="0089207C" w:rsidP="002D3EBF">
            <w:pPr>
              <w:ind w:left="57" w:right="57"/>
              <w:rPr>
                <w:rFonts w:eastAsia="SimSun"/>
              </w:rPr>
            </w:pPr>
            <w:r w:rsidRPr="00C07B2E">
              <w:rPr>
                <w:rFonts w:eastAsia="SimSun"/>
              </w:rPr>
              <w:t>15 мг/м</w:t>
            </w:r>
            <w:r w:rsidRPr="00C07B2E">
              <w:rPr>
                <w:rFonts w:eastAsia="SimSun"/>
                <w:vertAlign w:val="superscript"/>
              </w:rPr>
              <w:t>2</w:t>
            </w:r>
          </w:p>
        </w:tc>
        <w:tc>
          <w:tcPr>
            <w:tcW w:w="1418" w:type="dxa"/>
            <w:vAlign w:val="center"/>
          </w:tcPr>
          <w:p w14:paraId="73C1814F" w14:textId="77777777" w:rsidR="0089207C" w:rsidRPr="00C07B2E" w:rsidRDefault="0089207C" w:rsidP="002D3EBF">
            <w:pPr>
              <w:ind w:left="57" w:right="57"/>
              <w:rPr>
                <w:rFonts w:eastAsia="SimSun"/>
              </w:rPr>
            </w:pPr>
            <w:r w:rsidRPr="00C07B2E">
              <w:rPr>
                <w:rFonts w:eastAsia="SimSun"/>
                <w:lang w:val="en-US"/>
              </w:rPr>
              <w:t>–</w:t>
            </w:r>
          </w:p>
        </w:tc>
        <w:tc>
          <w:tcPr>
            <w:tcW w:w="1701" w:type="dxa"/>
            <w:vAlign w:val="center"/>
          </w:tcPr>
          <w:p w14:paraId="618A97CD" w14:textId="77777777" w:rsidR="0089207C" w:rsidRPr="00C07B2E" w:rsidRDefault="0089207C" w:rsidP="002D3EBF">
            <w:pPr>
              <w:ind w:left="57" w:right="57"/>
              <w:rPr>
                <w:rFonts w:eastAsia="SimSun"/>
              </w:rPr>
            </w:pPr>
            <w:r w:rsidRPr="00C07B2E">
              <w:rPr>
                <w:rFonts w:eastAsia="SimSun"/>
              </w:rPr>
              <w:t>+1 день</w:t>
            </w:r>
          </w:p>
        </w:tc>
        <w:tc>
          <w:tcPr>
            <w:tcW w:w="2268" w:type="dxa"/>
            <w:vAlign w:val="center"/>
          </w:tcPr>
          <w:p w14:paraId="1CEE8717" w14:textId="77777777" w:rsidR="0089207C" w:rsidRPr="00C07B2E" w:rsidRDefault="0089207C" w:rsidP="002D3EBF">
            <w:pPr>
              <w:ind w:left="57" w:right="57"/>
              <w:rPr>
                <w:rFonts w:eastAsia="SimSun"/>
              </w:rPr>
            </w:pPr>
            <w:r w:rsidRPr="00C07B2E">
              <w:rPr>
                <w:rFonts w:eastAsia="SimSun"/>
              </w:rPr>
              <w:t>В/в, в 20 мл физ. р-ра</w:t>
            </w:r>
            <w:bookmarkStart w:id="196" w:name="OLE_LINK12"/>
            <w:bookmarkStart w:id="197" w:name="OLE_LINK13"/>
            <w:r w:rsidRPr="00C07B2E">
              <w:rPr>
                <w:rFonts w:eastAsia="SimSun"/>
              </w:rPr>
              <w:t xml:space="preserve"> </w:t>
            </w:r>
            <w:bookmarkEnd w:id="196"/>
            <w:bookmarkEnd w:id="197"/>
            <w:r w:rsidRPr="00C07B2E">
              <w:rPr>
                <w:rFonts w:eastAsia="SimSun"/>
              </w:rPr>
              <w:t xml:space="preserve"> </w:t>
            </w:r>
          </w:p>
        </w:tc>
      </w:tr>
      <w:tr w:rsidR="0089207C" w:rsidRPr="00C07B2E" w14:paraId="3D2A1E65" w14:textId="77777777" w:rsidTr="002D3EBF">
        <w:trPr>
          <w:cantSplit/>
          <w:trHeight w:val="464"/>
        </w:trPr>
        <w:tc>
          <w:tcPr>
            <w:tcW w:w="709" w:type="dxa"/>
            <w:vMerge/>
          </w:tcPr>
          <w:p w14:paraId="610ABB13" w14:textId="77777777" w:rsidR="0089207C" w:rsidRPr="00C07B2E" w:rsidRDefault="0089207C" w:rsidP="002D3EBF">
            <w:pPr>
              <w:ind w:left="57" w:right="57"/>
              <w:rPr>
                <w:rFonts w:eastAsia="SimSun"/>
              </w:rPr>
            </w:pPr>
          </w:p>
        </w:tc>
        <w:tc>
          <w:tcPr>
            <w:tcW w:w="1843" w:type="dxa"/>
            <w:vMerge/>
            <w:vAlign w:val="center"/>
          </w:tcPr>
          <w:p w14:paraId="73B7A3E9" w14:textId="77777777" w:rsidR="0089207C" w:rsidRPr="00C07B2E" w:rsidRDefault="0089207C" w:rsidP="002D3EBF">
            <w:pPr>
              <w:ind w:left="57" w:right="57"/>
              <w:rPr>
                <w:rFonts w:eastAsia="SimSun"/>
              </w:rPr>
            </w:pPr>
          </w:p>
        </w:tc>
        <w:tc>
          <w:tcPr>
            <w:tcW w:w="1417" w:type="dxa"/>
            <w:vAlign w:val="center"/>
          </w:tcPr>
          <w:p w14:paraId="671823F1" w14:textId="77777777" w:rsidR="0089207C" w:rsidRPr="00C07B2E" w:rsidRDefault="0089207C" w:rsidP="002D3EBF">
            <w:pPr>
              <w:ind w:left="57" w:right="57"/>
              <w:rPr>
                <w:rFonts w:eastAsia="SimSun"/>
              </w:rPr>
            </w:pPr>
            <w:r w:rsidRPr="00C07B2E">
              <w:rPr>
                <w:rFonts w:eastAsia="SimSun"/>
              </w:rPr>
              <w:t>10 мг/м</w:t>
            </w:r>
            <w:r w:rsidRPr="00C07B2E">
              <w:rPr>
                <w:rFonts w:eastAsia="SimSun"/>
                <w:vertAlign w:val="superscript"/>
              </w:rPr>
              <w:t>2</w:t>
            </w:r>
          </w:p>
        </w:tc>
        <w:tc>
          <w:tcPr>
            <w:tcW w:w="1418" w:type="dxa"/>
            <w:vAlign w:val="center"/>
          </w:tcPr>
          <w:p w14:paraId="2427CFF6" w14:textId="77777777" w:rsidR="0089207C" w:rsidRPr="00C07B2E" w:rsidRDefault="0089207C" w:rsidP="002D3EBF">
            <w:pPr>
              <w:ind w:left="57" w:right="57"/>
              <w:rPr>
                <w:rFonts w:eastAsia="SimSun"/>
              </w:rPr>
            </w:pPr>
            <w:r w:rsidRPr="00C07B2E">
              <w:rPr>
                <w:rFonts w:eastAsia="SimSun"/>
                <w:lang w:val="en-US"/>
              </w:rPr>
              <w:t>–</w:t>
            </w:r>
          </w:p>
        </w:tc>
        <w:tc>
          <w:tcPr>
            <w:tcW w:w="1701" w:type="dxa"/>
            <w:vAlign w:val="center"/>
          </w:tcPr>
          <w:p w14:paraId="2661CA10" w14:textId="77777777" w:rsidR="0089207C" w:rsidRPr="00C07B2E" w:rsidRDefault="0089207C" w:rsidP="002D3EBF">
            <w:pPr>
              <w:ind w:left="57" w:right="57"/>
              <w:rPr>
                <w:rFonts w:eastAsia="SimSun"/>
              </w:rPr>
            </w:pPr>
            <w:r w:rsidRPr="00C07B2E">
              <w:rPr>
                <w:rFonts w:eastAsia="SimSun"/>
              </w:rPr>
              <w:t>+3, +6, +11 дни</w:t>
            </w:r>
          </w:p>
        </w:tc>
        <w:tc>
          <w:tcPr>
            <w:tcW w:w="2268" w:type="dxa"/>
            <w:vAlign w:val="center"/>
          </w:tcPr>
          <w:p w14:paraId="10919C69" w14:textId="77777777" w:rsidR="0089207C" w:rsidRPr="00C07B2E" w:rsidRDefault="0089207C" w:rsidP="002D3EBF">
            <w:pPr>
              <w:ind w:left="57" w:right="57"/>
              <w:rPr>
                <w:rFonts w:eastAsia="SimSun"/>
              </w:rPr>
            </w:pPr>
            <w:r w:rsidRPr="00C07B2E">
              <w:rPr>
                <w:rFonts w:eastAsia="SimSun"/>
              </w:rPr>
              <w:t xml:space="preserve">В/в, в 20 мл физ. р-ра  </w:t>
            </w:r>
          </w:p>
        </w:tc>
      </w:tr>
      <w:bookmarkEnd w:id="195"/>
    </w:tbl>
    <w:p w14:paraId="13DCCFA7" w14:textId="77777777" w:rsidR="0089207C" w:rsidRPr="00C07B2E" w:rsidRDefault="0089207C" w:rsidP="0089207C">
      <w:pPr>
        <w:rPr>
          <w:rFonts w:eastAsia="SimSun"/>
        </w:rPr>
      </w:pPr>
    </w:p>
    <w:p w14:paraId="1916EDAC" w14:textId="77777777" w:rsidR="0089207C" w:rsidRPr="00C07B2E" w:rsidRDefault="0089207C" w:rsidP="0089207C">
      <w:pPr>
        <w:rPr>
          <w:rFonts w:eastAsia="SimSun"/>
        </w:rPr>
      </w:pPr>
      <w:bookmarkStart w:id="198" w:name="_Toc44401145"/>
      <w:r w:rsidRPr="00042499">
        <w:rPr>
          <w:rFonts w:eastAsia="SimSun"/>
        </w:rPr>
        <w:t>Таблица</w:t>
      </w:r>
      <w:r w:rsidRPr="00C07B2E">
        <w:rPr>
          <w:rFonts w:eastAsia="SimSun"/>
        </w:rPr>
        <w:t xml:space="preserve"> </w:t>
      </w:r>
      <w:r>
        <w:rPr>
          <w:rFonts w:eastAsia="SimSun"/>
        </w:rPr>
        <w:t>5</w:t>
      </w:r>
      <w:r w:rsidRPr="00C07B2E">
        <w:rPr>
          <w:rFonts w:eastAsia="SimSun"/>
        </w:rPr>
        <w:t>.1.1.2  – TBI+Cy120 / CSA+MTX</w:t>
      </w:r>
      <w:bookmarkEnd w:id="198"/>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
        <w:gridCol w:w="1921"/>
        <w:gridCol w:w="1303"/>
        <w:gridCol w:w="1375"/>
        <w:gridCol w:w="1688"/>
        <w:gridCol w:w="2172"/>
      </w:tblGrid>
      <w:tr w:rsidR="0089207C" w:rsidRPr="00C07B2E" w14:paraId="08EDC6E8" w14:textId="77777777" w:rsidTr="002D3EBF">
        <w:trPr>
          <w:cantSplit/>
          <w:trHeight w:val="20"/>
          <w:tblHeader/>
        </w:trPr>
        <w:tc>
          <w:tcPr>
            <w:tcW w:w="376" w:type="pct"/>
            <w:vAlign w:val="center"/>
          </w:tcPr>
          <w:p w14:paraId="1FA89536" w14:textId="77777777" w:rsidR="0089207C" w:rsidRPr="00C07B2E" w:rsidRDefault="0089207C" w:rsidP="002D3EBF">
            <w:pPr>
              <w:rPr>
                <w:rFonts w:eastAsia="SimSun"/>
              </w:rPr>
            </w:pPr>
          </w:p>
        </w:tc>
        <w:tc>
          <w:tcPr>
            <w:tcW w:w="1027" w:type="pct"/>
            <w:vAlign w:val="center"/>
          </w:tcPr>
          <w:p w14:paraId="2170F529" w14:textId="77777777" w:rsidR="0089207C" w:rsidRPr="00C07B2E" w:rsidRDefault="0089207C" w:rsidP="002D3EBF">
            <w:pPr>
              <w:rPr>
                <w:rFonts w:eastAsia="SimSun"/>
              </w:rPr>
            </w:pPr>
            <w:r w:rsidRPr="00C07B2E">
              <w:rPr>
                <w:rFonts w:eastAsia="SimSun"/>
              </w:rPr>
              <w:t>Препарат</w:t>
            </w:r>
          </w:p>
        </w:tc>
        <w:tc>
          <w:tcPr>
            <w:tcW w:w="718" w:type="pct"/>
            <w:vAlign w:val="center"/>
          </w:tcPr>
          <w:p w14:paraId="0579F6BF" w14:textId="77777777" w:rsidR="0089207C" w:rsidRPr="00C07B2E" w:rsidRDefault="0089207C" w:rsidP="002D3EBF">
            <w:pPr>
              <w:rPr>
                <w:rFonts w:eastAsia="SimSun"/>
              </w:rPr>
            </w:pPr>
            <w:r w:rsidRPr="00C07B2E">
              <w:rPr>
                <w:rFonts w:eastAsia="SimSun"/>
              </w:rPr>
              <w:t>Суточная доза</w:t>
            </w:r>
          </w:p>
        </w:tc>
        <w:tc>
          <w:tcPr>
            <w:tcW w:w="757" w:type="pct"/>
            <w:vAlign w:val="center"/>
          </w:tcPr>
          <w:p w14:paraId="32FBB07D" w14:textId="77777777" w:rsidR="0089207C" w:rsidRPr="00C07B2E" w:rsidRDefault="0089207C" w:rsidP="002D3EBF">
            <w:pPr>
              <w:rPr>
                <w:rFonts w:eastAsia="SimSun"/>
              </w:rPr>
            </w:pPr>
            <w:r w:rsidRPr="00C07B2E">
              <w:rPr>
                <w:rFonts w:eastAsia="SimSun"/>
              </w:rPr>
              <w:t>Курсовая доза</w:t>
            </w:r>
          </w:p>
        </w:tc>
        <w:tc>
          <w:tcPr>
            <w:tcW w:w="928" w:type="pct"/>
            <w:vAlign w:val="center"/>
          </w:tcPr>
          <w:p w14:paraId="7CAE809A" w14:textId="77777777" w:rsidR="0089207C" w:rsidRPr="00C07B2E" w:rsidRDefault="0089207C" w:rsidP="002D3EBF">
            <w:pPr>
              <w:rPr>
                <w:rFonts w:eastAsia="SimSun"/>
              </w:rPr>
            </w:pPr>
            <w:r w:rsidRPr="00C07B2E">
              <w:rPr>
                <w:rFonts w:eastAsia="SimSun"/>
              </w:rPr>
              <w:t>Дни введения</w:t>
            </w:r>
          </w:p>
        </w:tc>
        <w:tc>
          <w:tcPr>
            <w:tcW w:w="1193" w:type="pct"/>
            <w:vAlign w:val="center"/>
          </w:tcPr>
          <w:p w14:paraId="4D8881F1" w14:textId="77777777" w:rsidR="0089207C" w:rsidRPr="00C07B2E" w:rsidRDefault="0089207C" w:rsidP="002D3EBF">
            <w:pPr>
              <w:rPr>
                <w:rFonts w:eastAsia="SimSun"/>
              </w:rPr>
            </w:pPr>
            <w:r w:rsidRPr="00C07B2E">
              <w:rPr>
                <w:rFonts w:eastAsia="SimSun"/>
              </w:rPr>
              <w:t>Порядок введения</w:t>
            </w:r>
          </w:p>
        </w:tc>
      </w:tr>
      <w:tr w:rsidR="0089207C" w:rsidRPr="00C07B2E" w14:paraId="084423B6" w14:textId="77777777" w:rsidTr="002D3EBF">
        <w:trPr>
          <w:cantSplit/>
          <w:trHeight w:val="20"/>
        </w:trPr>
        <w:tc>
          <w:tcPr>
            <w:tcW w:w="376" w:type="pct"/>
            <w:vMerge w:val="restart"/>
            <w:textDirection w:val="btLr"/>
            <w:vAlign w:val="center"/>
          </w:tcPr>
          <w:p w14:paraId="24F46948" w14:textId="77777777" w:rsidR="0089207C" w:rsidRPr="00C07B2E" w:rsidRDefault="0089207C" w:rsidP="002D3EBF">
            <w:pPr>
              <w:rPr>
                <w:rFonts w:eastAsia="SimSun"/>
              </w:rPr>
            </w:pPr>
            <w:r w:rsidRPr="00C07B2E">
              <w:rPr>
                <w:rFonts w:eastAsia="SimSun"/>
              </w:rPr>
              <w:t>Кондиционирование</w:t>
            </w:r>
          </w:p>
        </w:tc>
        <w:tc>
          <w:tcPr>
            <w:tcW w:w="1027" w:type="pct"/>
            <w:vAlign w:val="center"/>
          </w:tcPr>
          <w:p w14:paraId="4F77AF12" w14:textId="77777777" w:rsidR="0089207C" w:rsidRPr="00C07B2E" w:rsidRDefault="0089207C" w:rsidP="002D3EBF">
            <w:pPr>
              <w:rPr>
                <w:rFonts w:eastAsia="SimSun"/>
              </w:rPr>
            </w:pPr>
            <w:r w:rsidRPr="00C07B2E">
              <w:rPr>
                <w:rFonts w:eastAsia="SimSun"/>
              </w:rPr>
              <w:t>ТТО</w:t>
            </w:r>
          </w:p>
        </w:tc>
        <w:tc>
          <w:tcPr>
            <w:tcW w:w="718" w:type="pct"/>
            <w:vAlign w:val="center"/>
          </w:tcPr>
          <w:p w14:paraId="3D841D0E" w14:textId="77777777" w:rsidR="0089207C" w:rsidRPr="00C07B2E" w:rsidRDefault="0089207C" w:rsidP="002D3EBF">
            <w:pPr>
              <w:rPr>
                <w:rFonts w:eastAsia="SimSun"/>
              </w:rPr>
            </w:pPr>
            <w:r w:rsidRPr="00C07B2E">
              <w:rPr>
                <w:rFonts w:eastAsia="SimSun"/>
              </w:rPr>
              <w:t>4 Гр</w:t>
            </w:r>
          </w:p>
        </w:tc>
        <w:tc>
          <w:tcPr>
            <w:tcW w:w="757" w:type="pct"/>
            <w:vAlign w:val="center"/>
          </w:tcPr>
          <w:p w14:paraId="105B81EC" w14:textId="77777777" w:rsidR="0089207C" w:rsidRPr="00C07B2E" w:rsidRDefault="0089207C" w:rsidP="002D3EBF">
            <w:pPr>
              <w:rPr>
                <w:rFonts w:eastAsia="SimSun"/>
              </w:rPr>
            </w:pPr>
            <w:r w:rsidRPr="00C07B2E">
              <w:rPr>
                <w:rFonts w:eastAsia="SimSun"/>
                <w:lang w:val="en-US"/>
              </w:rPr>
              <w:t>12</w:t>
            </w:r>
            <w:r w:rsidRPr="00C07B2E">
              <w:rPr>
                <w:rFonts w:eastAsia="SimSun"/>
              </w:rPr>
              <w:t xml:space="preserve"> Гр</w:t>
            </w:r>
          </w:p>
        </w:tc>
        <w:tc>
          <w:tcPr>
            <w:tcW w:w="928" w:type="pct"/>
            <w:vAlign w:val="center"/>
          </w:tcPr>
          <w:p w14:paraId="2193FA6D" w14:textId="77777777" w:rsidR="0089207C" w:rsidRPr="00C07B2E" w:rsidRDefault="0089207C" w:rsidP="002D3EBF">
            <w:pPr>
              <w:rPr>
                <w:rFonts w:eastAsia="SimSun"/>
              </w:rPr>
            </w:pPr>
            <w:r w:rsidRPr="00C07B2E">
              <w:rPr>
                <w:rFonts w:eastAsia="SimSun"/>
                <w:lang w:val="en-US"/>
              </w:rPr>
              <w:t>C</w:t>
            </w:r>
            <w:r w:rsidRPr="00C07B2E">
              <w:rPr>
                <w:rFonts w:eastAsia="SimSun"/>
              </w:rPr>
              <w:t xml:space="preserve"> –3 по –1 день </w:t>
            </w:r>
          </w:p>
        </w:tc>
        <w:tc>
          <w:tcPr>
            <w:tcW w:w="1193" w:type="pct"/>
            <w:vAlign w:val="center"/>
          </w:tcPr>
          <w:p w14:paraId="44FAEA35" w14:textId="77777777" w:rsidR="0089207C" w:rsidRPr="00C07B2E" w:rsidRDefault="0089207C" w:rsidP="002D3EBF">
            <w:pPr>
              <w:rPr>
                <w:rFonts w:eastAsia="SimSun"/>
              </w:rPr>
            </w:pPr>
            <w:r w:rsidRPr="00C07B2E">
              <w:rPr>
                <w:rFonts w:eastAsia="SimSun"/>
              </w:rPr>
              <w:t>6 фракций по 2 Гр 2 раза в день в течение 3-х дней  с экранированием легких.</w:t>
            </w:r>
          </w:p>
          <w:p w14:paraId="68F7DF73" w14:textId="77777777" w:rsidR="0089207C" w:rsidRPr="00C07B2E" w:rsidRDefault="0089207C" w:rsidP="002D3EBF">
            <w:pPr>
              <w:rPr>
                <w:rFonts w:eastAsia="SimSun"/>
              </w:rPr>
            </w:pPr>
          </w:p>
        </w:tc>
      </w:tr>
      <w:tr w:rsidR="0089207C" w:rsidRPr="00C07B2E" w14:paraId="0D2EECFD" w14:textId="77777777" w:rsidTr="002D3EBF">
        <w:trPr>
          <w:cantSplit/>
          <w:trHeight w:val="1207"/>
        </w:trPr>
        <w:tc>
          <w:tcPr>
            <w:tcW w:w="376" w:type="pct"/>
            <w:vMerge/>
            <w:vAlign w:val="center"/>
          </w:tcPr>
          <w:p w14:paraId="391AA3EE" w14:textId="77777777" w:rsidR="0089207C" w:rsidRPr="00C07B2E" w:rsidRDefault="0089207C" w:rsidP="002D3EBF">
            <w:pPr>
              <w:rPr>
                <w:rFonts w:eastAsia="SimSun"/>
              </w:rPr>
            </w:pPr>
          </w:p>
        </w:tc>
        <w:tc>
          <w:tcPr>
            <w:tcW w:w="1027" w:type="pct"/>
            <w:vAlign w:val="center"/>
          </w:tcPr>
          <w:p w14:paraId="4E0FBEBF" w14:textId="77777777" w:rsidR="0089207C" w:rsidRPr="00C07B2E" w:rsidRDefault="0089207C" w:rsidP="002D3EBF">
            <w:pPr>
              <w:rPr>
                <w:rFonts w:eastAsia="SimSun"/>
              </w:rPr>
            </w:pPr>
            <w:r w:rsidRPr="00C07B2E">
              <w:rPr>
                <w:rFonts w:eastAsia="SimSun"/>
              </w:rPr>
              <w:t>Циклофосфамид</w:t>
            </w:r>
          </w:p>
        </w:tc>
        <w:tc>
          <w:tcPr>
            <w:tcW w:w="718" w:type="pct"/>
            <w:vAlign w:val="center"/>
          </w:tcPr>
          <w:p w14:paraId="4D1584B2" w14:textId="77777777" w:rsidR="0089207C" w:rsidRPr="00C07B2E" w:rsidRDefault="0089207C" w:rsidP="002D3EBF">
            <w:pPr>
              <w:rPr>
                <w:rFonts w:eastAsia="SimSun"/>
              </w:rPr>
            </w:pPr>
            <w:r w:rsidRPr="00C07B2E">
              <w:rPr>
                <w:rFonts w:eastAsia="SimSun"/>
              </w:rPr>
              <w:t>60 мг/кг</w:t>
            </w:r>
          </w:p>
        </w:tc>
        <w:tc>
          <w:tcPr>
            <w:tcW w:w="757" w:type="pct"/>
            <w:vAlign w:val="center"/>
          </w:tcPr>
          <w:p w14:paraId="4D907C4D" w14:textId="77777777" w:rsidR="0089207C" w:rsidRPr="00C07B2E" w:rsidRDefault="0089207C" w:rsidP="002D3EBF">
            <w:pPr>
              <w:rPr>
                <w:rFonts w:eastAsia="SimSun"/>
              </w:rPr>
            </w:pPr>
            <w:r w:rsidRPr="00C07B2E">
              <w:rPr>
                <w:rFonts w:eastAsia="SimSun"/>
              </w:rPr>
              <w:t>120 мг/кг</w:t>
            </w:r>
          </w:p>
        </w:tc>
        <w:tc>
          <w:tcPr>
            <w:tcW w:w="928" w:type="pct"/>
            <w:vAlign w:val="center"/>
          </w:tcPr>
          <w:p w14:paraId="3AFD756F" w14:textId="77777777" w:rsidR="0089207C" w:rsidRPr="00C07B2E" w:rsidRDefault="0089207C" w:rsidP="002D3EBF">
            <w:pPr>
              <w:rPr>
                <w:rFonts w:eastAsia="SimSun"/>
              </w:rPr>
            </w:pPr>
            <w:r w:rsidRPr="00C07B2E">
              <w:rPr>
                <w:rFonts w:eastAsia="SimSun"/>
                <w:lang w:val="en-US"/>
              </w:rPr>
              <w:t>–</w:t>
            </w:r>
            <w:r w:rsidRPr="00C07B2E">
              <w:rPr>
                <w:rFonts w:eastAsia="SimSun"/>
              </w:rPr>
              <w:t>6</w:t>
            </w:r>
            <w:r w:rsidRPr="00C07B2E">
              <w:rPr>
                <w:rFonts w:eastAsia="SimSun"/>
                <w:lang w:val="en-US"/>
              </w:rPr>
              <w:t>, –</w:t>
            </w:r>
            <w:r w:rsidRPr="00C07B2E">
              <w:rPr>
                <w:rFonts w:eastAsia="SimSun"/>
              </w:rPr>
              <w:t>5</w:t>
            </w:r>
            <w:r w:rsidRPr="00C07B2E">
              <w:rPr>
                <w:rFonts w:eastAsia="SimSun"/>
                <w:lang w:val="en-US"/>
              </w:rPr>
              <w:t xml:space="preserve"> дни</w:t>
            </w:r>
            <w:r w:rsidRPr="00C07B2E">
              <w:rPr>
                <w:rFonts w:eastAsia="SimSun"/>
              </w:rPr>
              <w:t xml:space="preserve"> </w:t>
            </w:r>
          </w:p>
        </w:tc>
        <w:tc>
          <w:tcPr>
            <w:tcW w:w="1193" w:type="pct"/>
            <w:vAlign w:val="center"/>
          </w:tcPr>
          <w:p w14:paraId="288EE689" w14:textId="77777777" w:rsidR="0089207C" w:rsidRPr="00C07B2E" w:rsidRDefault="0089207C" w:rsidP="002D3EBF">
            <w:pPr>
              <w:rPr>
                <w:rFonts w:eastAsia="SimSun"/>
              </w:rPr>
            </w:pPr>
            <w:r w:rsidRPr="00C07B2E">
              <w:rPr>
                <w:rFonts w:eastAsia="SimSun"/>
              </w:rPr>
              <w:t xml:space="preserve">В/в, в течение 2 ч </w:t>
            </w:r>
          </w:p>
        </w:tc>
      </w:tr>
      <w:tr w:rsidR="0089207C" w:rsidRPr="00C07B2E" w14:paraId="719654E4" w14:textId="77777777" w:rsidTr="002D3EBF">
        <w:trPr>
          <w:cantSplit/>
          <w:trHeight w:val="20"/>
        </w:trPr>
        <w:tc>
          <w:tcPr>
            <w:tcW w:w="376" w:type="pct"/>
            <w:vMerge w:val="restart"/>
            <w:textDirection w:val="btLr"/>
            <w:vAlign w:val="center"/>
          </w:tcPr>
          <w:p w14:paraId="5C4669DE" w14:textId="77777777" w:rsidR="0089207C" w:rsidRPr="00C07B2E" w:rsidRDefault="0089207C" w:rsidP="002D3EBF">
            <w:pPr>
              <w:rPr>
                <w:rFonts w:eastAsia="SimSun"/>
              </w:rPr>
            </w:pPr>
            <w:r w:rsidRPr="00C07B2E">
              <w:rPr>
                <w:rFonts w:eastAsia="SimSun"/>
              </w:rPr>
              <w:t>Профилактика РТПХ</w:t>
            </w:r>
          </w:p>
        </w:tc>
        <w:tc>
          <w:tcPr>
            <w:tcW w:w="1027" w:type="pct"/>
            <w:vAlign w:val="center"/>
          </w:tcPr>
          <w:p w14:paraId="14586030" w14:textId="77777777" w:rsidR="0089207C" w:rsidRPr="00C07B2E" w:rsidRDefault="0089207C" w:rsidP="002D3EBF">
            <w:pPr>
              <w:rPr>
                <w:rFonts w:eastAsia="SimSun"/>
              </w:rPr>
            </w:pPr>
            <w:r w:rsidRPr="00C07B2E">
              <w:rPr>
                <w:rFonts w:eastAsia="SimSun"/>
              </w:rPr>
              <w:t xml:space="preserve">Циклоспорин </w:t>
            </w:r>
          </w:p>
        </w:tc>
        <w:tc>
          <w:tcPr>
            <w:tcW w:w="718" w:type="pct"/>
            <w:vAlign w:val="center"/>
          </w:tcPr>
          <w:p w14:paraId="1D6ED28D" w14:textId="77777777" w:rsidR="0089207C" w:rsidRPr="00C07B2E" w:rsidRDefault="0089207C" w:rsidP="002D3EBF">
            <w:pPr>
              <w:rPr>
                <w:rFonts w:eastAsia="SimSun"/>
              </w:rPr>
            </w:pPr>
            <w:r w:rsidRPr="00C07B2E">
              <w:rPr>
                <w:rFonts w:eastAsia="SimSun"/>
              </w:rPr>
              <w:t>3 мг/кг</w:t>
            </w:r>
          </w:p>
        </w:tc>
        <w:tc>
          <w:tcPr>
            <w:tcW w:w="757" w:type="pct"/>
            <w:vAlign w:val="center"/>
          </w:tcPr>
          <w:p w14:paraId="3F903F25" w14:textId="77777777" w:rsidR="0089207C" w:rsidRPr="00C07B2E" w:rsidRDefault="0089207C" w:rsidP="002D3EBF">
            <w:pPr>
              <w:rPr>
                <w:rFonts w:eastAsia="SimSun"/>
                <w:lang w:val="en-US"/>
              </w:rPr>
            </w:pPr>
            <w:r w:rsidRPr="00C07B2E">
              <w:rPr>
                <w:rFonts w:eastAsia="SimSun"/>
                <w:lang w:val="en-US"/>
              </w:rPr>
              <w:t>–</w:t>
            </w:r>
          </w:p>
        </w:tc>
        <w:tc>
          <w:tcPr>
            <w:tcW w:w="928" w:type="pct"/>
            <w:vAlign w:val="center"/>
          </w:tcPr>
          <w:p w14:paraId="1BD332B4" w14:textId="77777777" w:rsidR="0089207C" w:rsidRPr="00C07B2E" w:rsidRDefault="0089207C" w:rsidP="002D3EBF">
            <w:pPr>
              <w:rPr>
                <w:rFonts w:eastAsia="SimSun"/>
              </w:rPr>
            </w:pPr>
            <w:r w:rsidRPr="00C07B2E">
              <w:rPr>
                <w:rFonts w:eastAsia="SimSun"/>
              </w:rPr>
              <w:t>С –1 дня по +90 день, затем постепенное снижение к +180 дню</w:t>
            </w:r>
          </w:p>
        </w:tc>
        <w:tc>
          <w:tcPr>
            <w:tcW w:w="1193" w:type="pct"/>
            <w:vAlign w:val="center"/>
          </w:tcPr>
          <w:p w14:paraId="104CE914" w14:textId="77777777" w:rsidR="0089207C" w:rsidRPr="00985050" w:rsidRDefault="0089207C" w:rsidP="002D3EBF">
            <w:pPr>
              <w:rPr>
                <w:rFonts w:eastAsia="SimSun"/>
              </w:rPr>
            </w:pPr>
            <w:r w:rsidRPr="00C07B2E">
              <w:rPr>
                <w:rFonts w:eastAsia="SimSun"/>
              </w:rPr>
              <w:t xml:space="preserve">В/в, 5-часовая инфузия 2 раза/сут. </w:t>
            </w:r>
            <w:r w:rsidRPr="00985050">
              <w:rPr>
                <w:rFonts w:eastAsia="SimSun"/>
              </w:rPr>
              <w:t>Перевод на прием внутрь при условии восстановления лейкоцитов &gt;</w:t>
            </w:r>
            <w:r w:rsidRPr="00C07B2E">
              <w:rPr>
                <w:rFonts w:eastAsia="SimSun"/>
                <w:lang w:val="en-US"/>
              </w:rPr>
              <w:t> </w:t>
            </w:r>
            <w:r w:rsidRPr="00985050">
              <w:rPr>
                <w:rFonts w:eastAsia="SimSun"/>
              </w:rPr>
              <w:t>1</w:t>
            </w:r>
            <w:r w:rsidRPr="00C07B2E">
              <w:rPr>
                <w:rFonts w:eastAsia="SimSun"/>
                <w:lang w:val="en-US"/>
              </w:rPr>
              <w:t> </w:t>
            </w:r>
            <w:r>
              <w:rPr>
                <w:rFonts w:eastAsia="SimSun"/>
              </w:rPr>
              <w:t>х</w:t>
            </w:r>
            <w:r w:rsidRPr="00C07B2E">
              <w:rPr>
                <w:rFonts w:eastAsia="SimSun"/>
                <w:lang w:val="en-US"/>
              </w:rPr>
              <w:t> </w:t>
            </w:r>
            <w:r w:rsidRPr="00985050">
              <w:rPr>
                <w:rFonts w:eastAsia="SimSun"/>
              </w:rPr>
              <w:t>10</w:t>
            </w:r>
            <w:r w:rsidRPr="00985050">
              <w:rPr>
                <w:rFonts w:eastAsia="SimSun"/>
                <w:vertAlign w:val="superscript"/>
              </w:rPr>
              <w:t>9</w:t>
            </w:r>
            <w:r w:rsidRPr="00985050">
              <w:rPr>
                <w:rFonts w:eastAsia="SimSun"/>
              </w:rPr>
              <w:t xml:space="preserve">/л, при отсутствии тошноты, рвоты, диареи и возможности приема внутрь.; Концентрация 150-350 нг/мл  </w:t>
            </w:r>
          </w:p>
        </w:tc>
      </w:tr>
      <w:tr w:rsidR="0089207C" w:rsidRPr="00C07B2E" w14:paraId="390556EA" w14:textId="77777777" w:rsidTr="002D3EBF">
        <w:trPr>
          <w:cantSplit/>
          <w:trHeight w:val="20"/>
        </w:trPr>
        <w:tc>
          <w:tcPr>
            <w:tcW w:w="376" w:type="pct"/>
            <w:vMerge/>
          </w:tcPr>
          <w:p w14:paraId="2F43AA9C" w14:textId="77777777" w:rsidR="0089207C" w:rsidRPr="00985050" w:rsidRDefault="0089207C" w:rsidP="002D3EBF">
            <w:pPr>
              <w:rPr>
                <w:rFonts w:eastAsia="SimSun"/>
              </w:rPr>
            </w:pPr>
          </w:p>
        </w:tc>
        <w:tc>
          <w:tcPr>
            <w:tcW w:w="1027" w:type="pct"/>
            <w:vMerge w:val="restart"/>
            <w:vAlign w:val="center"/>
          </w:tcPr>
          <w:p w14:paraId="51F4FF35" w14:textId="77777777" w:rsidR="0089207C" w:rsidRPr="00C07B2E" w:rsidRDefault="0089207C" w:rsidP="002D3EBF">
            <w:pPr>
              <w:rPr>
                <w:rFonts w:eastAsia="SimSun"/>
              </w:rPr>
            </w:pPr>
            <w:r w:rsidRPr="00C07B2E">
              <w:rPr>
                <w:rFonts w:eastAsia="SimSun"/>
              </w:rPr>
              <w:t>Метотрексат</w:t>
            </w:r>
          </w:p>
        </w:tc>
        <w:tc>
          <w:tcPr>
            <w:tcW w:w="718" w:type="pct"/>
            <w:vAlign w:val="center"/>
          </w:tcPr>
          <w:p w14:paraId="3EEF7A9B" w14:textId="77777777" w:rsidR="0089207C" w:rsidRPr="00C07B2E" w:rsidRDefault="0089207C" w:rsidP="002D3EBF">
            <w:pPr>
              <w:rPr>
                <w:rFonts w:eastAsia="SimSun"/>
              </w:rPr>
            </w:pPr>
            <w:r w:rsidRPr="00C07B2E">
              <w:rPr>
                <w:rFonts w:eastAsia="SimSun"/>
              </w:rPr>
              <w:t>15 мг/м</w:t>
            </w:r>
            <w:r w:rsidRPr="00C07B2E">
              <w:rPr>
                <w:rFonts w:eastAsia="SimSun"/>
                <w:vertAlign w:val="superscript"/>
              </w:rPr>
              <w:t>2</w:t>
            </w:r>
          </w:p>
        </w:tc>
        <w:tc>
          <w:tcPr>
            <w:tcW w:w="757" w:type="pct"/>
            <w:vAlign w:val="center"/>
          </w:tcPr>
          <w:p w14:paraId="043F6ACC" w14:textId="77777777" w:rsidR="0089207C" w:rsidRPr="00C07B2E" w:rsidRDefault="0089207C" w:rsidP="002D3EBF">
            <w:pPr>
              <w:rPr>
                <w:rFonts w:eastAsia="SimSun"/>
              </w:rPr>
            </w:pPr>
            <w:r w:rsidRPr="00C07B2E">
              <w:rPr>
                <w:rFonts w:eastAsia="SimSun"/>
                <w:lang w:val="en-US"/>
              </w:rPr>
              <w:t>–</w:t>
            </w:r>
          </w:p>
        </w:tc>
        <w:tc>
          <w:tcPr>
            <w:tcW w:w="928" w:type="pct"/>
            <w:vAlign w:val="center"/>
          </w:tcPr>
          <w:p w14:paraId="0FF0C976" w14:textId="77777777" w:rsidR="0089207C" w:rsidRPr="00C07B2E" w:rsidRDefault="0089207C" w:rsidP="002D3EBF">
            <w:pPr>
              <w:rPr>
                <w:rFonts w:eastAsia="SimSun"/>
              </w:rPr>
            </w:pPr>
            <w:r w:rsidRPr="00C07B2E">
              <w:rPr>
                <w:rFonts w:eastAsia="SimSun"/>
              </w:rPr>
              <w:t>+1 день</w:t>
            </w:r>
          </w:p>
        </w:tc>
        <w:tc>
          <w:tcPr>
            <w:tcW w:w="1193" w:type="pct"/>
            <w:vAlign w:val="center"/>
          </w:tcPr>
          <w:p w14:paraId="236D73EF" w14:textId="77777777" w:rsidR="0089207C" w:rsidRPr="00C07B2E" w:rsidRDefault="0089207C" w:rsidP="002D3EBF">
            <w:pPr>
              <w:rPr>
                <w:rFonts w:eastAsia="SimSun"/>
              </w:rPr>
            </w:pPr>
            <w:r w:rsidRPr="00C07B2E">
              <w:rPr>
                <w:rFonts w:eastAsia="SimSun"/>
              </w:rPr>
              <w:t>В/в, в 20 мл физ. р-ра</w:t>
            </w:r>
          </w:p>
        </w:tc>
      </w:tr>
      <w:tr w:rsidR="0089207C" w:rsidRPr="00C07B2E" w14:paraId="1AE62102" w14:textId="77777777" w:rsidTr="002D3EBF">
        <w:trPr>
          <w:cantSplit/>
          <w:trHeight w:val="464"/>
        </w:trPr>
        <w:tc>
          <w:tcPr>
            <w:tcW w:w="376" w:type="pct"/>
            <w:vMerge/>
          </w:tcPr>
          <w:p w14:paraId="1CE4269A" w14:textId="77777777" w:rsidR="0089207C" w:rsidRPr="00C07B2E" w:rsidRDefault="0089207C" w:rsidP="002D3EBF">
            <w:pPr>
              <w:rPr>
                <w:rFonts w:eastAsia="SimSun"/>
              </w:rPr>
            </w:pPr>
          </w:p>
        </w:tc>
        <w:tc>
          <w:tcPr>
            <w:tcW w:w="1027" w:type="pct"/>
            <w:vMerge/>
            <w:vAlign w:val="center"/>
          </w:tcPr>
          <w:p w14:paraId="77A9A261" w14:textId="77777777" w:rsidR="0089207C" w:rsidRPr="00C07B2E" w:rsidRDefault="0089207C" w:rsidP="002D3EBF">
            <w:pPr>
              <w:rPr>
                <w:rFonts w:eastAsia="SimSun"/>
              </w:rPr>
            </w:pPr>
          </w:p>
        </w:tc>
        <w:tc>
          <w:tcPr>
            <w:tcW w:w="718" w:type="pct"/>
            <w:vAlign w:val="center"/>
          </w:tcPr>
          <w:p w14:paraId="41C76B88" w14:textId="77777777" w:rsidR="0089207C" w:rsidRPr="00C07B2E" w:rsidRDefault="0089207C" w:rsidP="002D3EBF">
            <w:pPr>
              <w:rPr>
                <w:rFonts w:eastAsia="SimSun"/>
              </w:rPr>
            </w:pPr>
            <w:r w:rsidRPr="00C07B2E">
              <w:rPr>
                <w:rFonts w:eastAsia="SimSun"/>
              </w:rPr>
              <w:t>10 мг/м</w:t>
            </w:r>
            <w:r w:rsidRPr="00C07B2E">
              <w:rPr>
                <w:rFonts w:eastAsia="SimSun"/>
                <w:vertAlign w:val="superscript"/>
              </w:rPr>
              <w:t>2</w:t>
            </w:r>
          </w:p>
        </w:tc>
        <w:tc>
          <w:tcPr>
            <w:tcW w:w="757" w:type="pct"/>
            <w:vAlign w:val="center"/>
          </w:tcPr>
          <w:p w14:paraId="1A7529D5" w14:textId="77777777" w:rsidR="0089207C" w:rsidRPr="00C07B2E" w:rsidRDefault="0089207C" w:rsidP="002D3EBF">
            <w:pPr>
              <w:rPr>
                <w:rFonts w:eastAsia="SimSun"/>
              </w:rPr>
            </w:pPr>
            <w:r w:rsidRPr="00C07B2E">
              <w:rPr>
                <w:rFonts w:eastAsia="SimSun"/>
                <w:lang w:val="en-US"/>
              </w:rPr>
              <w:t>–</w:t>
            </w:r>
          </w:p>
        </w:tc>
        <w:tc>
          <w:tcPr>
            <w:tcW w:w="928" w:type="pct"/>
            <w:vAlign w:val="center"/>
          </w:tcPr>
          <w:p w14:paraId="1BD299A9" w14:textId="77777777" w:rsidR="0089207C" w:rsidRPr="00C07B2E" w:rsidRDefault="0089207C" w:rsidP="002D3EBF">
            <w:pPr>
              <w:rPr>
                <w:rFonts w:eastAsia="SimSun"/>
              </w:rPr>
            </w:pPr>
            <w:r w:rsidRPr="00C07B2E">
              <w:rPr>
                <w:rFonts w:eastAsia="SimSun"/>
              </w:rPr>
              <w:t>+3, +6, +11 дни</w:t>
            </w:r>
          </w:p>
        </w:tc>
        <w:tc>
          <w:tcPr>
            <w:tcW w:w="1193" w:type="pct"/>
            <w:vAlign w:val="center"/>
          </w:tcPr>
          <w:p w14:paraId="795DB498" w14:textId="77777777" w:rsidR="0089207C" w:rsidRPr="00C07B2E" w:rsidRDefault="0089207C" w:rsidP="002D3EBF">
            <w:pPr>
              <w:rPr>
                <w:rFonts w:eastAsia="SimSun"/>
              </w:rPr>
            </w:pPr>
            <w:r w:rsidRPr="00C07B2E">
              <w:rPr>
                <w:rFonts w:eastAsia="SimSun"/>
              </w:rPr>
              <w:t xml:space="preserve">В/в, в 20 мл физ. р-ра </w:t>
            </w:r>
          </w:p>
        </w:tc>
      </w:tr>
    </w:tbl>
    <w:p w14:paraId="098D11E3" w14:textId="77777777" w:rsidR="0089207C" w:rsidRPr="00C07B2E" w:rsidRDefault="0089207C" w:rsidP="0089207C">
      <w:pPr>
        <w:rPr>
          <w:rFonts w:eastAsia="SimSun"/>
        </w:rPr>
      </w:pPr>
    </w:p>
    <w:p w14:paraId="03F3E1DF" w14:textId="77777777" w:rsidR="0089207C" w:rsidRPr="00C07B2E" w:rsidRDefault="0089207C" w:rsidP="0089207C">
      <w:pPr>
        <w:rPr>
          <w:rFonts w:eastAsia="SimSun"/>
        </w:rPr>
      </w:pPr>
      <w:bookmarkStart w:id="199" w:name="_Toc44401146"/>
      <w:r w:rsidRPr="00042499">
        <w:rPr>
          <w:rFonts w:eastAsia="SimSun"/>
        </w:rPr>
        <w:t>Таблица</w:t>
      </w:r>
      <w:r w:rsidRPr="00C07B2E">
        <w:rPr>
          <w:rFonts w:eastAsia="SimSun"/>
        </w:rPr>
        <w:t xml:space="preserve"> </w:t>
      </w:r>
      <w:r>
        <w:rPr>
          <w:rFonts w:eastAsia="SimSun"/>
        </w:rPr>
        <w:t>5</w:t>
      </w:r>
      <w:r w:rsidRPr="00C07B2E">
        <w:rPr>
          <w:rFonts w:eastAsia="SimSun"/>
        </w:rPr>
        <w:t>.1.1.3  – Flu150+Bu12 / PT-Cy+CSA+MMF45</w:t>
      </w:r>
      <w:bookmarkEnd w:id="199"/>
    </w:p>
    <w:tbl>
      <w:tblPr>
        <w:tblW w:w="9356" w:type="dxa"/>
        <w:tblInd w:w="108" w:type="dxa"/>
        <w:tblLayout w:type="fixed"/>
        <w:tblCellMar>
          <w:left w:w="10" w:type="dxa"/>
          <w:right w:w="10" w:type="dxa"/>
        </w:tblCellMar>
        <w:tblLook w:val="0000" w:firstRow="0" w:lastRow="0" w:firstColumn="0" w:lastColumn="0" w:noHBand="0" w:noVBand="0"/>
      </w:tblPr>
      <w:tblGrid>
        <w:gridCol w:w="709"/>
        <w:gridCol w:w="1843"/>
        <w:gridCol w:w="1417"/>
        <w:gridCol w:w="1418"/>
        <w:gridCol w:w="1701"/>
        <w:gridCol w:w="2268"/>
      </w:tblGrid>
      <w:tr w:rsidR="0089207C" w:rsidRPr="00C07B2E" w14:paraId="5922761C" w14:textId="77777777" w:rsidTr="002D3EBF">
        <w:trPr>
          <w:cantSplit/>
          <w:trHeight w:val="20"/>
          <w:tblHeader/>
        </w:trPr>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2CE887" w14:textId="77777777" w:rsidR="0089207C" w:rsidRPr="00470D3D" w:rsidRDefault="0089207C" w:rsidP="002D3EBF">
            <w:pPr>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BE14594" w14:textId="77777777" w:rsidR="0089207C" w:rsidRPr="00C07B2E" w:rsidRDefault="0089207C" w:rsidP="002D3EBF">
            <w:r w:rsidRPr="00C07B2E">
              <w:rPr>
                <w:rFonts w:eastAsia="SimSun"/>
              </w:rPr>
              <w:t>Препарат</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C3723FE" w14:textId="77777777" w:rsidR="0089207C" w:rsidRPr="00C07B2E" w:rsidRDefault="0089207C" w:rsidP="002D3EBF">
            <w:r w:rsidRPr="00C07B2E">
              <w:rPr>
                <w:rFonts w:eastAsia="SimSun"/>
              </w:rPr>
              <w:t>Суточная доза</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A6CB053" w14:textId="77777777" w:rsidR="0089207C" w:rsidRPr="00C07B2E" w:rsidRDefault="0089207C" w:rsidP="002D3EBF">
            <w:r w:rsidRPr="00C07B2E">
              <w:rPr>
                <w:rFonts w:eastAsia="SimSun"/>
              </w:rPr>
              <w:t>Курсовая доза</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6B52D1A" w14:textId="77777777" w:rsidR="0089207C" w:rsidRPr="00C07B2E" w:rsidRDefault="0089207C" w:rsidP="002D3EBF">
            <w:r w:rsidRPr="00C07B2E">
              <w:rPr>
                <w:rFonts w:eastAsia="SimSun"/>
              </w:rPr>
              <w:t>Дни введения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F902D30" w14:textId="77777777" w:rsidR="0089207C" w:rsidRPr="00C07B2E" w:rsidRDefault="0089207C" w:rsidP="002D3EBF">
            <w:r w:rsidRPr="00C07B2E">
              <w:rPr>
                <w:rFonts w:eastAsia="SimSun"/>
              </w:rPr>
              <w:t>Порядок введения</w:t>
            </w:r>
          </w:p>
        </w:tc>
      </w:tr>
      <w:tr w:rsidR="0089207C" w:rsidRPr="00C07B2E" w14:paraId="7E6E8E2C" w14:textId="77777777" w:rsidTr="002D3EBF">
        <w:trPr>
          <w:cantSplit/>
          <w:trHeight w:val="20"/>
        </w:trPr>
        <w:tc>
          <w:tcPr>
            <w:tcW w:w="70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1A19EAC3" w14:textId="77777777" w:rsidR="0089207C" w:rsidRPr="00C07B2E" w:rsidRDefault="0089207C" w:rsidP="002D3EBF">
            <w:r w:rsidRPr="00C07B2E">
              <w:rPr>
                <w:rFonts w:eastAsia="SimSun"/>
              </w:rPr>
              <w:t>Кондиционирование</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F500577" w14:textId="77777777" w:rsidR="0089207C" w:rsidRPr="00C07B2E" w:rsidRDefault="0089207C" w:rsidP="002D3EBF">
            <w:r w:rsidRPr="00C07B2E">
              <w:rPr>
                <w:rFonts w:eastAsia="SimSun"/>
              </w:rPr>
              <w:t>Флударабин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BEEA322" w14:textId="77777777" w:rsidR="0089207C" w:rsidRPr="00C07B2E" w:rsidRDefault="0089207C" w:rsidP="002D3EBF">
            <w:r w:rsidRPr="00C07B2E">
              <w:t>30 мг/м</w:t>
            </w:r>
            <w:r w:rsidRPr="00C07B2E">
              <w:rPr>
                <w:vertAlign w:val="superscript"/>
              </w:rPr>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CF547C3" w14:textId="77777777" w:rsidR="0089207C" w:rsidRPr="00C07B2E" w:rsidRDefault="0089207C" w:rsidP="002D3EBF">
            <w:r w:rsidRPr="00C07B2E">
              <w:t>150 мг/м</w:t>
            </w:r>
            <w:r w:rsidRPr="00C07B2E">
              <w:rPr>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8CED9C9" w14:textId="77777777" w:rsidR="0089207C" w:rsidRPr="00C07B2E" w:rsidRDefault="0089207C" w:rsidP="002D3EBF">
            <w:r w:rsidRPr="00C07B2E">
              <w:rPr>
                <w:rFonts w:eastAsia="SimSun"/>
              </w:rPr>
              <w:t xml:space="preserve">С </w:t>
            </w:r>
            <w:r w:rsidRPr="00C07B2E">
              <w:rPr>
                <w:rFonts w:eastAsia="SimSun"/>
                <w:lang w:val="en-US"/>
              </w:rPr>
              <w:t>–</w:t>
            </w:r>
            <w:r w:rsidRPr="00C07B2E">
              <w:rPr>
                <w:rFonts w:eastAsia="SimSun"/>
              </w:rPr>
              <w:t xml:space="preserve">6 по </w:t>
            </w:r>
            <w:r w:rsidRPr="00C07B2E">
              <w:rPr>
                <w:rFonts w:eastAsia="SimSun"/>
                <w:lang w:val="en-US"/>
              </w:rPr>
              <w:t>–</w:t>
            </w:r>
            <w:r w:rsidRPr="00C07B2E">
              <w:rPr>
                <w:rFonts w:eastAsia="SimSun"/>
              </w:rPr>
              <w:t>2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285B49C" w14:textId="77777777" w:rsidR="0089207C" w:rsidRPr="00C07B2E" w:rsidRDefault="0089207C" w:rsidP="002D3EBF">
            <w:r w:rsidRPr="00C07B2E">
              <w:rPr>
                <w:rFonts w:eastAsia="SimSun"/>
              </w:rPr>
              <w:t>В/в, в течение 30 - 60 мин</w:t>
            </w:r>
          </w:p>
        </w:tc>
      </w:tr>
      <w:tr w:rsidR="0089207C" w:rsidRPr="00C07B2E" w14:paraId="33B53149" w14:textId="77777777" w:rsidTr="002D3EBF">
        <w:trPr>
          <w:cantSplit/>
          <w:trHeight w:val="2123"/>
        </w:trPr>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2513574" w14:textId="77777777" w:rsidR="0089207C" w:rsidRPr="00C07B2E" w:rsidRDefault="0089207C" w:rsidP="002D3EBF"/>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07C8C91" w14:textId="77777777" w:rsidR="0089207C" w:rsidRPr="00C07B2E" w:rsidRDefault="0089207C" w:rsidP="002D3EBF">
            <w:r w:rsidRPr="00C07B2E">
              <w:rPr>
                <w:rFonts w:eastAsia="SimSun"/>
              </w:rPr>
              <w:t>Бусульфан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5296008" w14:textId="77777777" w:rsidR="0089207C" w:rsidRPr="00C07B2E" w:rsidRDefault="0089207C" w:rsidP="002D3EBF">
            <w:r w:rsidRPr="00C07B2E">
              <w:rPr>
                <w:rFonts w:eastAsia="SimSun"/>
              </w:rPr>
              <w:t>4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F55E614" w14:textId="77777777" w:rsidR="0089207C" w:rsidRPr="00C07B2E" w:rsidRDefault="0089207C" w:rsidP="002D3EBF">
            <w:r w:rsidRPr="00C07B2E">
              <w:rPr>
                <w:rFonts w:eastAsia="SimSun"/>
              </w:rPr>
              <w:t>12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D685891" w14:textId="77777777" w:rsidR="0089207C" w:rsidRPr="00C07B2E" w:rsidRDefault="0089207C" w:rsidP="002D3EBF">
            <w:r w:rsidRPr="00C07B2E">
              <w:rPr>
                <w:rFonts w:eastAsia="SimSun"/>
                <w:lang w:val="en-US"/>
              </w:rPr>
              <w:t>-5, –4</w:t>
            </w:r>
            <w:r w:rsidRPr="00C07B2E">
              <w:rPr>
                <w:rFonts w:eastAsia="SimSun"/>
              </w:rPr>
              <w:t xml:space="preserve">, </w:t>
            </w:r>
            <w:r w:rsidRPr="00C07B2E">
              <w:rPr>
                <w:rFonts w:eastAsia="SimSun"/>
                <w:lang w:val="en-US"/>
              </w:rPr>
              <w:t>–3</w:t>
            </w:r>
            <w:r w:rsidRPr="00C07B2E">
              <w:rPr>
                <w:rFonts w:eastAsia="SimSun"/>
              </w:rPr>
              <w:t xml:space="preserve">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71AA192" w14:textId="77777777" w:rsidR="0089207C" w:rsidRPr="00C07B2E" w:rsidRDefault="0089207C" w:rsidP="002D3EBF">
            <w:r w:rsidRPr="00C07B2E">
              <w:rPr>
                <w:rFonts w:eastAsia="SimSun"/>
              </w:rPr>
              <w:t>Внутрь, суммарная суточная доза разделяется на 4 приема с интервалом 6 часов.</w:t>
            </w:r>
          </w:p>
        </w:tc>
      </w:tr>
      <w:tr w:rsidR="0089207C" w:rsidRPr="00C07B2E" w14:paraId="302E805F" w14:textId="77777777" w:rsidTr="002D3EBF">
        <w:trPr>
          <w:cantSplit/>
          <w:trHeight w:val="20"/>
        </w:trPr>
        <w:tc>
          <w:tcPr>
            <w:tcW w:w="70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49308FCA" w14:textId="77777777" w:rsidR="0089207C" w:rsidRPr="00C07B2E" w:rsidRDefault="0089207C" w:rsidP="002D3EBF">
            <w:r w:rsidRPr="00C07B2E">
              <w:rPr>
                <w:rFonts w:eastAsia="SimSun"/>
              </w:rPr>
              <w:t>Профилактика РТПХ</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7092327" w14:textId="77777777" w:rsidR="0089207C" w:rsidRPr="00C07B2E" w:rsidRDefault="0089207C" w:rsidP="002D3EBF">
            <w:r w:rsidRPr="00C07B2E">
              <w:rPr>
                <w:rFonts w:eastAsia="SimSun"/>
              </w:rPr>
              <w:t>Циклоспорин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4968926" w14:textId="77777777" w:rsidR="0089207C" w:rsidRPr="00C07B2E" w:rsidRDefault="0089207C" w:rsidP="002D3EBF">
            <w:r w:rsidRPr="00C07B2E">
              <w:rPr>
                <w:rFonts w:eastAsia="SimSun"/>
              </w:rPr>
              <w:t>3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E186BEA" w14:textId="77777777" w:rsidR="0089207C" w:rsidRPr="00C07B2E" w:rsidRDefault="0089207C" w:rsidP="002D3EBF">
            <w:r w:rsidRPr="00C07B2E">
              <w:rPr>
                <w:rFonts w:eastAsia="SimSun"/>
                <w:lang w:val="en-US"/>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9F0EC8B" w14:textId="77777777" w:rsidR="0089207C" w:rsidRPr="00C07B2E" w:rsidRDefault="0089207C" w:rsidP="002D3EBF">
            <w:r w:rsidRPr="00C07B2E">
              <w:t>С +5 по +90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AAF3FC6" w14:textId="77777777" w:rsidR="0089207C" w:rsidRPr="000F445E" w:rsidRDefault="0089207C" w:rsidP="002D3EBF">
            <w:r w:rsidRPr="00C07B2E">
              <w:rPr>
                <w:rFonts w:eastAsia="SimSun"/>
              </w:rPr>
              <w:t xml:space="preserve">В/в, 5-часовая инфузия 2 раза/сут. </w:t>
            </w:r>
            <w:r w:rsidRPr="000F445E">
              <w:rPr>
                <w:rFonts w:eastAsia="SimSun"/>
              </w:rPr>
              <w:t>Перевод на прием внутрь при условии восстановления лейкоцитов &gt; 1</w:t>
            </w:r>
            <w:r w:rsidRPr="00C07B2E">
              <w:rPr>
                <w:rFonts w:eastAsia="SimSun"/>
              </w:rPr>
              <w:t> </w:t>
            </w:r>
            <w:r>
              <w:rPr>
                <w:rFonts w:eastAsia="SimSun"/>
              </w:rPr>
              <w:t>х</w:t>
            </w:r>
            <w:r w:rsidRPr="000F445E">
              <w:rPr>
                <w:rFonts w:eastAsia="SimSun"/>
              </w:rPr>
              <w:t xml:space="preserve"> 10</w:t>
            </w:r>
            <w:r w:rsidRPr="000F445E">
              <w:rPr>
                <w:rFonts w:eastAsia="SimSun"/>
                <w:vertAlign w:val="superscript"/>
              </w:rPr>
              <w:t>9</w:t>
            </w:r>
            <w:r w:rsidRPr="000F445E">
              <w:rPr>
                <w:rFonts w:eastAsia="SimSun"/>
              </w:rPr>
              <w:t>/л, при отсутствии тошноты, рвоты, диареи и возможности приема внутрь. Концентрация 150-350</w:t>
            </w:r>
            <w:r>
              <w:rPr>
                <w:rFonts w:eastAsia="SimSun"/>
              </w:rPr>
              <w:t xml:space="preserve"> </w:t>
            </w:r>
            <w:r w:rsidRPr="000F445E">
              <w:rPr>
                <w:rFonts w:eastAsia="SimSun"/>
              </w:rPr>
              <w:t>пг/мл.</w:t>
            </w:r>
          </w:p>
        </w:tc>
      </w:tr>
      <w:tr w:rsidR="0089207C" w:rsidRPr="00C07B2E" w14:paraId="568B05FA" w14:textId="77777777" w:rsidTr="002D3EBF">
        <w:trPr>
          <w:cantSplit/>
          <w:trHeight w:val="20"/>
        </w:trPr>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2FF96A8" w14:textId="77777777" w:rsidR="0089207C" w:rsidRPr="00C07B2E" w:rsidRDefault="0089207C" w:rsidP="002D3EBF"/>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2434BDA" w14:textId="77777777" w:rsidR="0089207C" w:rsidRPr="00C07B2E" w:rsidRDefault="0089207C" w:rsidP="002D3EBF">
            <w:r w:rsidRPr="00C07B2E">
              <w:rPr>
                <w:rFonts w:eastAsia="SimSun"/>
              </w:rPr>
              <w:t>Микофенолата мофетил</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C1B31B" w14:textId="77777777" w:rsidR="0089207C" w:rsidRPr="00C07B2E" w:rsidRDefault="0089207C" w:rsidP="002D3EBF">
            <w:r w:rsidRPr="00C07B2E">
              <w:t>45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400D32C" w14:textId="77777777" w:rsidR="0089207C" w:rsidRPr="00C07B2E" w:rsidRDefault="0089207C" w:rsidP="002D3EBF">
            <w:r w:rsidRPr="00C07B2E">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EB219F2" w14:textId="77777777" w:rsidR="0089207C" w:rsidRPr="00C07B2E" w:rsidRDefault="0089207C" w:rsidP="002D3EBF">
            <w:r w:rsidRPr="00C07B2E">
              <w:t>С +5 по +30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19A4662" w14:textId="77777777" w:rsidR="0089207C" w:rsidRPr="000F445E" w:rsidRDefault="0089207C" w:rsidP="002D3EBF">
            <w:r w:rsidRPr="000F445E">
              <w:rPr>
                <w:rFonts w:eastAsia="SimSun"/>
              </w:rPr>
              <w:t>Внутрь, суммарная суточная доза разделяется на 2- 4 приема (не более 3</w:t>
            </w:r>
            <w:r>
              <w:rPr>
                <w:rFonts w:eastAsia="SimSun"/>
              </w:rPr>
              <w:t xml:space="preserve"> </w:t>
            </w:r>
            <w:r w:rsidRPr="000F445E">
              <w:rPr>
                <w:rFonts w:eastAsia="SimSun"/>
              </w:rPr>
              <w:t>г/сут)</w:t>
            </w:r>
          </w:p>
        </w:tc>
      </w:tr>
      <w:tr w:rsidR="0089207C" w:rsidRPr="00C07B2E" w14:paraId="091363C3" w14:textId="77777777" w:rsidTr="002D3EBF">
        <w:trPr>
          <w:cantSplit/>
          <w:trHeight w:val="464"/>
        </w:trPr>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E7122A3" w14:textId="77777777" w:rsidR="0089207C" w:rsidRPr="00C07B2E" w:rsidRDefault="0089207C" w:rsidP="002D3EBF"/>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54A8063" w14:textId="77777777" w:rsidR="0089207C" w:rsidRPr="00C07B2E" w:rsidRDefault="0089207C" w:rsidP="002D3EBF">
            <w:r w:rsidRPr="00C07B2E">
              <w:rPr>
                <w:rFonts w:eastAsia="SimSun"/>
              </w:rPr>
              <w:t>Циклофосфамид</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62C2025" w14:textId="77777777" w:rsidR="0089207C" w:rsidRPr="00C07B2E" w:rsidRDefault="0089207C" w:rsidP="002D3EBF">
            <w:r w:rsidRPr="00C07B2E">
              <w:rPr>
                <w:rFonts w:eastAsia="SimSun"/>
              </w:rPr>
              <w:t>50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5D9FE89" w14:textId="77777777" w:rsidR="0089207C" w:rsidRPr="00C07B2E" w:rsidRDefault="0089207C" w:rsidP="002D3EBF">
            <w:r w:rsidRPr="00C07B2E">
              <w:rPr>
                <w:rFonts w:eastAsia="SimSun"/>
              </w:rPr>
              <w:t>100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706B878" w14:textId="77777777" w:rsidR="0089207C" w:rsidRPr="00C07B2E" w:rsidRDefault="0089207C" w:rsidP="002D3EBF">
            <w:r w:rsidRPr="00C07B2E">
              <w:rPr>
                <w:rFonts w:eastAsia="SimSun"/>
              </w:rPr>
              <w:t>+3, +4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7DFA03E" w14:textId="77777777" w:rsidR="0089207C" w:rsidRPr="00C07B2E" w:rsidRDefault="0089207C" w:rsidP="002D3EBF">
            <w:r w:rsidRPr="00C07B2E">
              <w:rPr>
                <w:rFonts w:eastAsia="SimSun"/>
              </w:rPr>
              <w:t xml:space="preserve">В/в, в течение 2 ч  </w:t>
            </w:r>
          </w:p>
        </w:tc>
      </w:tr>
    </w:tbl>
    <w:p w14:paraId="47E6DF45" w14:textId="77777777" w:rsidR="0089207C" w:rsidRPr="00C07B2E" w:rsidRDefault="0089207C" w:rsidP="0089207C">
      <w:pPr>
        <w:rPr>
          <w:rFonts w:eastAsia="SimSun"/>
        </w:rPr>
      </w:pPr>
    </w:p>
    <w:p w14:paraId="7F103314" w14:textId="77777777" w:rsidR="0089207C" w:rsidRPr="00C07B2E" w:rsidRDefault="0089207C" w:rsidP="0089207C">
      <w:pPr>
        <w:rPr>
          <w:rFonts w:eastAsia="SimSun"/>
        </w:rPr>
      </w:pPr>
      <w:bookmarkStart w:id="200" w:name="_Toc44401147"/>
      <w:r w:rsidRPr="00042499">
        <w:rPr>
          <w:rFonts w:eastAsia="SimSun"/>
        </w:rPr>
        <w:t>Таблица</w:t>
      </w:r>
      <w:r w:rsidRPr="00C07B2E">
        <w:rPr>
          <w:rFonts w:eastAsia="SimSun"/>
        </w:rPr>
        <w:t xml:space="preserve"> </w:t>
      </w:r>
      <w:r>
        <w:rPr>
          <w:rFonts w:eastAsia="SimSun"/>
        </w:rPr>
        <w:t>5</w:t>
      </w:r>
      <w:r w:rsidRPr="00C07B2E">
        <w:rPr>
          <w:rFonts w:eastAsia="SimSun"/>
        </w:rPr>
        <w:t>.1.1.4  – Flu180+Bu12 / Tx+MMF30</w:t>
      </w:r>
      <w:bookmarkEnd w:id="200"/>
    </w:p>
    <w:tbl>
      <w:tblPr>
        <w:tblW w:w="93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3"/>
        <w:gridCol w:w="1417"/>
        <w:gridCol w:w="1418"/>
        <w:gridCol w:w="1701"/>
        <w:gridCol w:w="2268"/>
      </w:tblGrid>
      <w:tr w:rsidR="0089207C" w:rsidRPr="00C07B2E" w14:paraId="5F494614" w14:textId="77777777" w:rsidTr="002D3EBF">
        <w:trPr>
          <w:cantSplit/>
          <w:trHeight w:val="20"/>
          <w:tblHeader/>
          <w:jc w:val="right"/>
        </w:trPr>
        <w:tc>
          <w:tcPr>
            <w:tcW w:w="709" w:type="dxa"/>
            <w:vAlign w:val="center"/>
          </w:tcPr>
          <w:p w14:paraId="2B847E61" w14:textId="77777777" w:rsidR="0089207C" w:rsidRPr="00C07B2E" w:rsidRDefault="0089207C" w:rsidP="002D3EBF">
            <w:pPr>
              <w:rPr>
                <w:rFonts w:eastAsia="SimSun"/>
              </w:rPr>
            </w:pPr>
          </w:p>
        </w:tc>
        <w:tc>
          <w:tcPr>
            <w:tcW w:w="1843" w:type="dxa"/>
            <w:vAlign w:val="center"/>
          </w:tcPr>
          <w:p w14:paraId="14F10950" w14:textId="77777777" w:rsidR="0089207C" w:rsidRPr="00C07B2E" w:rsidRDefault="0089207C" w:rsidP="002D3EBF">
            <w:pPr>
              <w:rPr>
                <w:rFonts w:eastAsia="SimSun"/>
              </w:rPr>
            </w:pPr>
            <w:r w:rsidRPr="00C07B2E">
              <w:rPr>
                <w:rFonts w:eastAsia="SimSun"/>
              </w:rPr>
              <w:t>Препарат</w:t>
            </w:r>
          </w:p>
        </w:tc>
        <w:tc>
          <w:tcPr>
            <w:tcW w:w="1417" w:type="dxa"/>
            <w:vAlign w:val="center"/>
          </w:tcPr>
          <w:p w14:paraId="7DFEECC5" w14:textId="77777777" w:rsidR="0089207C" w:rsidRPr="00C07B2E" w:rsidRDefault="0089207C" w:rsidP="002D3EBF">
            <w:pPr>
              <w:rPr>
                <w:rFonts w:eastAsia="SimSun"/>
              </w:rPr>
            </w:pPr>
            <w:r w:rsidRPr="00C07B2E">
              <w:rPr>
                <w:rFonts w:eastAsia="SimSun"/>
              </w:rPr>
              <w:t>Суточная доза</w:t>
            </w:r>
          </w:p>
        </w:tc>
        <w:tc>
          <w:tcPr>
            <w:tcW w:w="1418" w:type="dxa"/>
            <w:vAlign w:val="center"/>
          </w:tcPr>
          <w:p w14:paraId="37CE2FF0" w14:textId="77777777" w:rsidR="0089207C" w:rsidRPr="00C07B2E" w:rsidRDefault="0089207C" w:rsidP="002D3EBF">
            <w:pPr>
              <w:rPr>
                <w:rFonts w:eastAsia="SimSun"/>
              </w:rPr>
            </w:pPr>
            <w:r w:rsidRPr="00C07B2E">
              <w:rPr>
                <w:rFonts w:eastAsia="SimSun"/>
              </w:rPr>
              <w:t>Курсовая доза</w:t>
            </w:r>
          </w:p>
        </w:tc>
        <w:tc>
          <w:tcPr>
            <w:tcW w:w="1701" w:type="dxa"/>
            <w:vAlign w:val="center"/>
          </w:tcPr>
          <w:p w14:paraId="7C11D317" w14:textId="77777777" w:rsidR="0089207C" w:rsidRPr="00C07B2E" w:rsidRDefault="0089207C" w:rsidP="002D3EBF">
            <w:pPr>
              <w:rPr>
                <w:rFonts w:eastAsia="SimSun"/>
              </w:rPr>
            </w:pPr>
            <w:r w:rsidRPr="00C07B2E">
              <w:rPr>
                <w:rFonts w:eastAsia="SimSun"/>
              </w:rPr>
              <w:t>Дни введения</w:t>
            </w:r>
          </w:p>
        </w:tc>
        <w:tc>
          <w:tcPr>
            <w:tcW w:w="2268" w:type="dxa"/>
            <w:vAlign w:val="center"/>
          </w:tcPr>
          <w:p w14:paraId="52DC0F71" w14:textId="77777777" w:rsidR="0089207C" w:rsidRPr="00C07B2E" w:rsidRDefault="0089207C" w:rsidP="002D3EBF">
            <w:pPr>
              <w:rPr>
                <w:rFonts w:eastAsia="SimSun"/>
              </w:rPr>
            </w:pPr>
            <w:r w:rsidRPr="00C07B2E">
              <w:rPr>
                <w:rFonts w:eastAsia="SimSun"/>
              </w:rPr>
              <w:t>Порядок введения</w:t>
            </w:r>
          </w:p>
        </w:tc>
      </w:tr>
      <w:tr w:rsidR="0089207C" w:rsidRPr="00C07B2E" w14:paraId="1AC150BB" w14:textId="77777777" w:rsidTr="002D3EBF">
        <w:trPr>
          <w:cantSplit/>
          <w:trHeight w:val="20"/>
          <w:jc w:val="right"/>
        </w:trPr>
        <w:tc>
          <w:tcPr>
            <w:tcW w:w="709" w:type="dxa"/>
            <w:vMerge w:val="restart"/>
            <w:textDirection w:val="btLr"/>
            <w:vAlign w:val="center"/>
          </w:tcPr>
          <w:p w14:paraId="191259EA" w14:textId="77777777" w:rsidR="0089207C" w:rsidRPr="00C07B2E" w:rsidRDefault="0089207C" w:rsidP="002D3EBF">
            <w:pPr>
              <w:rPr>
                <w:rFonts w:eastAsia="SimSun"/>
              </w:rPr>
            </w:pPr>
            <w:r w:rsidRPr="00C07B2E">
              <w:rPr>
                <w:rFonts w:eastAsia="SimSun"/>
              </w:rPr>
              <w:t>Кондиционирование</w:t>
            </w:r>
          </w:p>
        </w:tc>
        <w:tc>
          <w:tcPr>
            <w:tcW w:w="1843" w:type="dxa"/>
            <w:vAlign w:val="center"/>
          </w:tcPr>
          <w:p w14:paraId="70102804" w14:textId="77777777" w:rsidR="0089207C" w:rsidRPr="00C07B2E" w:rsidRDefault="0089207C" w:rsidP="002D3EBF">
            <w:pPr>
              <w:rPr>
                <w:rFonts w:eastAsia="SimSun"/>
              </w:rPr>
            </w:pPr>
            <w:r w:rsidRPr="00C07B2E">
              <w:rPr>
                <w:rFonts w:eastAsia="SimSun"/>
              </w:rPr>
              <w:t xml:space="preserve">Флударабин </w:t>
            </w:r>
          </w:p>
        </w:tc>
        <w:tc>
          <w:tcPr>
            <w:tcW w:w="1417" w:type="dxa"/>
            <w:vAlign w:val="center"/>
          </w:tcPr>
          <w:p w14:paraId="36DC22A1" w14:textId="77777777" w:rsidR="0089207C" w:rsidRPr="00C07B2E" w:rsidRDefault="0089207C" w:rsidP="002D3EBF">
            <w:pPr>
              <w:rPr>
                <w:rFonts w:eastAsia="SimSun"/>
              </w:rPr>
            </w:pPr>
            <w:r w:rsidRPr="00C07B2E">
              <w:rPr>
                <w:rFonts w:eastAsia="SimSun"/>
              </w:rPr>
              <w:t>30 мг/</w:t>
            </w:r>
            <w:r w:rsidRPr="000F445E">
              <w:rPr>
                <w:rFonts w:eastAsia="SimSun"/>
              </w:rPr>
              <w:t>м</w:t>
            </w:r>
            <w:r w:rsidRPr="000F445E">
              <w:rPr>
                <w:rFonts w:eastAsia="SimSun"/>
                <w:vertAlign w:val="superscript"/>
              </w:rPr>
              <w:t>2</w:t>
            </w:r>
          </w:p>
        </w:tc>
        <w:tc>
          <w:tcPr>
            <w:tcW w:w="1418" w:type="dxa"/>
            <w:vAlign w:val="center"/>
          </w:tcPr>
          <w:p w14:paraId="36295A06" w14:textId="77777777" w:rsidR="0089207C" w:rsidRPr="00C07B2E" w:rsidRDefault="0089207C" w:rsidP="002D3EBF">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6B6F625B" w14:textId="77777777" w:rsidR="0089207C" w:rsidRPr="00C07B2E" w:rsidRDefault="0089207C" w:rsidP="002D3EBF">
            <w:pPr>
              <w:rPr>
                <w:rFonts w:eastAsia="SimSun"/>
              </w:rPr>
            </w:pPr>
            <w:r w:rsidRPr="00C07B2E">
              <w:rPr>
                <w:rFonts w:eastAsia="SimSun"/>
              </w:rPr>
              <w:t>С -7 дня по -2 день</w:t>
            </w:r>
          </w:p>
        </w:tc>
        <w:tc>
          <w:tcPr>
            <w:tcW w:w="2268" w:type="dxa"/>
            <w:vAlign w:val="center"/>
          </w:tcPr>
          <w:p w14:paraId="2B1D3685" w14:textId="77777777" w:rsidR="0089207C" w:rsidRPr="00C07B2E" w:rsidRDefault="0089207C" w:rsidP="002D3EBF">
            <w:pPr>
              <w:rPr>
                <w:rFonts w:eastAsia="SimSun"/>
              </w:rPr>
            </w:pPr>
            <w:r w:rsidRPr="00C07B2E">
              <w:rPr>
                <w:rFonts w:eastAsia="SimSun"/>
              </w:rPr>
              <w:t>В/в, в течение 30 - 60 мин</w:t>
            </w:r>
          </w:p>
        </w:tc>
      </w:tr>
      <w:tr w:rsidR="0089207C" w:rsidRPr="00C07B2E" w14:paraId="616F16D3" w14:textId="77777777" w:rsidTr="002D3EBF">
        <w:trPr>
          <w:cantSplit/>
          <w:trHeight w:val="1207"/>
          <w:jc w:val="right"/>
        </w:trPr>
        <w:tc>
          <w:tcPr>
            <w:tcW w:w="709" w:type="dxa"/>
            <w:vMerge/>
            <w:vAlign w:val="center"/>
          </w:tcPr>
          <w:p w14:paraId="0542C332" w14:textId="77777777" w:rsidR="0089207C" w:rsidRPr="00C07B2E" w:rsidRDefault="0089207C" w:rsidP="002D3EBF">
            <w:pPr>
              <w:rPr>
                <w:rFonts w:eastAsia="SimSun"/>
              </w:rPr>
            </w:pPr>
          </w:p>
        </w:tc>
        <w:tc>
          <w:tcPr>
            <w:tcW w:w="1843" w:type="dxa"/>
            <w:vAlign w:val="center"/>
          </w:tcPr>
          <w:p w14:paraId="6D46FD8C" w14:textId="77777777" w:rsidR="0089207C" w:rsidRPr="00C07B2E" w:rsidRDefault="0089207C" w:rsidP="002D3EBF">
            <w:pPr>
              <w:rPr>
                <w:rFonts w:eastAsia="SimSun"/>
              </w:rPr>
            </w:pPr>
            <w:r w:rsidRPr="00C07B2E">
              <w:rPr>
                <w:rFonts w:eastAsia="SimSun"/>
              </w:rPr>
              <w:t>Бусульфан</w:t>
            </w:r>
          </w:p>
        </w:tc>
        <w:tc>
          <w:tcPr>
            <w:tcW w:w="1417" w:type="dxa"/>
            <w:vAlign w:val="center"/>
          </w:tcPr>
          <w:p w14:paraId="5779E064" w14:textId="77777777" w:rsidR="0089207C" w:rsidRPr="00C07B2E" w:rsidRDefault="0089207C" w:rsidP="002D3EBF">
            <w:pPr>
              <w:rPr>
                <w:rFonts w:eastAsia="SimSun"/>
              </w:rPr>
            </w:pPr>
            <w:r w:rsidRPr="00C07B2E">
              <w:rPr>
                <w:rFonts w:eastAsia="SimSun"/>
              </w:rPr>
              <w:t xml:space="preserve">4 мг/кг </w:t>
            </w:r>
          </w:p>
        </w:tc>
        <w:tc>
          <w:tcPr>
            <w:tcW w:w="1418" w:type="dxa"/>
            <w:vAlign w:val="center"/>
          </w:tcPr>
          <w:p w14:paraId="79A231F8" w14:textId="77777777" w:rsidR="0089207C" w:rsidRPr="00C07B2E" w:rsidRDefault="0089207C" w:rsidP="002D3EBF">
            <w:pPr>
              <w:rPr>
                <w:rFonts w:eastAsia="SimSun"/>
              </w:rPr>
            </w:pPr>
            <w:r w:rsidRPr="00C07B2E">
              <w:rPr>
                <w:rFonts w:eastAsia="SimSun"/>
                <w:lang w:val="en-US"/>
              </w:rPr>
              <w:t>12</w:t>
            </w:r>
            <w:r w:rsidRPr="00C07B2E">
              <w:rPr>
                <w:rFonts w:eastAsia="SimSun"/>
              </w:rPr>
              <w:t xml:space="preserve"> мг/кг </w:t>
            </w:r>
          </w:p>
        </w:tc>
        <w:tc>
          <w:tcPr>
            <w:tcW w:w="1701" w:type="dxa"/>
            <w:vAlign w:val="center"/>
          </w:tcPr>
          <w:p w14:paraId="5E63E889" w14:textId="77777777" w:rsidR="0089207C" w:rsidRPr="00C07B2E" w:rsidRDefault="0089207C" w:rsidP="002D3EBF">
            <w:pPr>
              <w:rPr>
                <w:rFonts w:eastAsia="SimSun"/>
              </w:rPr>
            </w:pPr>
            <w:r w:rsidRPr="00C07B2E">
              <w:rPr>
                <w:rFonts w:eastAsia="SimSun"/>
              </w:rPr>
              <w:t>С -</w:t>
            </w:r>
            <w:r w:rsidRPr="00C07B2E">
              <w:rPr>
                <w:rFonts w:eastAsia="SimSun"/>
                <w:lang w:val="en-US"/>
              </w:rPr>
              <w:t>5</w:t>
            </w:r>
            <w:r w:rsidRPr="00C07B2E">
              <w:rPr>
                <w:rFonts w:eastAsia="SimSun"/>
              </w:rPr>
              <w:t xml:space="preserve"> дня по -3 день</w:t>
            </w:r>
          </w:p>
        </w:tc>
        <w:tc>
          <w:tcPr>
            <w:tcW w:w="2268" w:type="dxa"/>
            <w:vAlign w:val="center"/>
          </w:tcPr>
          <w:p w14:paraId="39DCA9E9" w14:textId="77777777" w:rsidR="0089207C" w:rsidRPr="00C07B2E" w:rsidRDefault="0089207C" w:rsidP="002D3EBF">
            <w:pPr>
              <w:rPr>
                <w:rFonts w:eastAsia="SimSun"/>
              </w:rPr>
            </w:pPr>
            <w:r w:rsidRPr="00C07B2E">
              <w:rPr>
                <w:rFonts w:eastAsia="SimSun"/>
              </w:rPr>
              <w:t xml:space="preserve">Внутрь, суммарная суточная доза разделяется на 4 приема с интервалом 6 часов. </w:t>
            </w:r>
          </w:p>
        </w:tc>
      </w:tr>
      <w:tr w:rsidR="0089207C" w:rsidRPr="00C07B2E" w14:paraId="3D9CB244" w14:textId="77777777" w:rsidTr="002D3EBF">
        <w:trPr>
          <w:cantSplit/>
          <w:trHeight w:val="1498"/>
          <w:jc w:val="right"/>
        </w:trPr>
        <w:tc>
          <w:tcPr>
            <w:tcW w:w="709" w:type="dxa"/>
            <w:vMerge w:val="restart"/>
            <w:textDirection w:val="btLr"/>
            <w:vAlign w:val="center"/>
          </w:tcPr>
          <w:p w14:paraId="7DCB8BEB" w14:textId="77777777" w:rsidR="0089207C" w:rsidRPr="00C07B2E" w:rsidRDefault="0089207C" w:rsidP="002D3EBF">
            <w:pPr>
              <w:rPr>
                <w:rFonts w:eastAsia="SimSun"/>
              </w:rPr>
            </w:pPr>
            <w:r w:rsidRPr="00C07B2E">
              <w:rPr>
                <w:rFonts w:eastAsia="SimSun"/>
              </w:rPr>
              <w:t>Профилактика РТПХ</w:t>
            </w:r>
          </w:p>
        </w:tc>
        <w:tc>
          <w:tcPr>
            <w:tcW w:w="1843" w:type="dxa"/>
            <w:vAlign w:val="center"/>
          </w:tcPr>
          <w:p w14:paraId="04C3AC76" w14:textId="77777777" w:rsidR="0089207C" w:rsidRPr="00C07B2E" w:rsidRDefault="0089207C" w:rsidP="002D3EBF">
            <w:pPr>
              <w:rPr>
                <w:rFonts w:eastAsia="SimSun"/>
              </w:rPr>
            </w:pPr>
            <w:r w:rsidRPr="00C07B2E">
              <w:rPr>
                <w:rFonts w:eastAsia="SimSun"/>
              </w:rPr>
              <w:t xml:space="preserve">Такролимус </w:t>
            </w:r>
          </w:p>
        </w:tc>
        <w:tc>
          <w:tcPr>
            <w:tcW w:w="1417" w:type="dxa"/>
            <w:vAlign w:val="center"/>
          </w:tcPr>
          <w:p w14:paraId="61BBE888" w14:textId="77777777" w:rsidR="0089207C" w:rsidRPr="00C07B2E" w:rsidRDefault="0089207C" w:rsidP="002D3EBF">
            <w:pPr>
              <w:rPr>
                <w:rFonts w:eastAsia="SimSun"/>
              </w:rPr>
            </w:pPr>
            <w:r w:rsidRPr="00C07B2E">
              <w:rPr>
                <w:rFonts w:eastAsia="SimSun"/>
              </w:rPr>
              <w:t>0,03 мг/кг</w:t>
            </w:r>
          </w:p>
        </w:tc>
        <w:tc>
          <w:tcPr>
            <w:tcW w:w="1418" w:type="dxa"/>
            <w:vAlign w:val="center"/>
          </w:tcPr>
          <w:p w14:paraId="00D4960E" w14:textId="77777777" w:rsidR="0089207C" w:rsidRPr="00C07B2E" w:rsidRDefault="0089207C" w:rsidP="002D3EBF">
            <w:pPr>
              <w:rPr>
                <w:rFonts w:eastAsia="SimSun"/>
              </w:rPr>
            </w:pPr>
            <w:r w:rsidRPr="00C07B2E">
              <w:rPr>
                <w:rFonts w:eastAsia="SimSun"/>
                <w:lang w:val="en-US"/>
              </w:rPr>
              <w:t>–</w:t>
            </w:r>
          </w:p>
        </w:tc>
        <w:tc>
          <w:tcPr>
            <w:tcW w:w="1701" w:type="dxa"/>
            <w:vAlign w:val="center"/>
          </w:tcPr>
          <w:p w14:paraId="768D5918" w14:textId="77777777" w:rsidR="0089207C" w:rsidRPr="00C07B2E" w:rsidRDefault="0089207C" w:rsidP="002D3EBF">
            <w:pPr>
              <w:rPr>
                <w:rFonts w:eastAsia="SimSun"/>
              </w:rPr>
            </w:pPr>
            <w:r w:rsidRPr="00C07B2E">
              <w:rPr>
                <w:rFonts w:eastAsia="SimSun"/>
              </w:rPr>
              <w:t xml:space="preserve">С </w:t>
            </w:r>
            <w:r w:rsidRPr="00C07B2E">
              <w:rPr>
                <w:rFonts w:eastAsia="SimSun"/>
                <w:lang w:val="en-US"/>
              </w:rPr>
              <w:t>-1</w:t>
            </w:r>
            <w:r w:rsidRPr="00C07B2E">
              <w:rPr>
                <w:rFonts w:eastAsia="SimSun"/>
              </w:rPr>
              <w:t xml:space="preserve"> дня длительно </w:t>
            </w:r>
          </w:p>
        </w:tc>
        <w:tc>
          <w:tcPr>
            <w:tcW w:w="2268" w:type="dxa"/>
            <w:vAlign w:val="center"/>
          </w:tcPr>
          <w:p w14:paraId="279FEEE6" w14:textId="77777777" w:rsidR="0089207C" w:rsidRPr="000F445E" w:rsidRDefault="0089207C" w:rsidP="002D3EBF">
            <w:pPr>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Перевод на прием внутрь при условии восстановления лейкоцитов &gt; 1</w:t>
            </w:r>
            <w:r w:rsidRPr="00C07B2E">
              <w:rPr>
                <w:rFonts w:eastAsia="SimSun"/>
              </w:rPr>
              <w:t> </w:t>
            </w:r>
            <w:r>
              <w:rPr>
                <w:rFonts w:eastAsia="SimSun"/>
              </w:rPr>
              <w:t xml:space="preserve">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lang w:val="en-US"/>
              </w:rPr>
              <w:t>Tx</w:t>
            </w:r>
            <w:r w:rsidRPr="000F445E">
              <w:rPr>
                <w:rFonts w:eastAsia="SimSun"/>
              </w:rPr>
              <w:t xml:space="preserve"> 5-15 нг/мл.    </w:t>
            </w:r>
          </w:p>
        </w:tc>
      </w:tr>
      <w:tr w:rsidR="0089207C" w:rsidRPr="00C07B2E" w14:paraId="67D6A144" w14:textId="77777777" w:rsidTr="002D3EBF">
        <w:trPr>
          <w:cantSplit/>
          <w:trHeight w:val="2381"/>
          <w:jc w:val="right"/>
        </w:trPr>
        <w:tc>
          <w:tcPr>
            <w:tcW w:w="709" w:type="dxa"/>
            <w:vMerge/>
            <w:textDirection w:val="btLr"/>
            <w:vAlign w:val="center"/>
          </w:tcPr>
          <w:p w14:paraId="3F6FA3D5" w14:textId="77777777" w:rsidR="0089207C" w:rsidRPr="000F445E" w:rsidRDefault="0089207C" w:rsidP="002D3EBF">
            <w:pPr>
              <w:rPr>
                <w:rFonts w:eastAsia="SimSun"/>
              </w:rPr>
            </w:pPr>
          </w:p>
        </w:tc>
        <w:tc>
          <w:tcPr>
            <w:tcW w:w="1843" w:type="dxa"/>
            <w:vAlign w:val="center"/>
          </w:tcPr>
          <w:p w14:paraId="38ED0702" w14:textId="77777777" w:rsidR="0089207C" w:rsidRPr="00C07B2E" w:rsidRDefault="0089207C" w:rsidP="002D3EBF">
            <w:pPr>
              <w:rPr>
                <w:rFonts w:eastAsia="SimSun"/>
              </w:rPr>
            </w:pPr>
            <w:r w:rsidRPr="00C07B2E">
              <w:rPr>
                <w:rFonts w:eastAsia="SimSun"/>
              </w:rPr>
              <w:t>Микофенолата мофетил</w:t>
            </w:r>
          </w:p>
        </w:tc>
        <w:tc>
          <w:tcPr>
            <w:tcW w:w="1417" w:type="dxa"/>
            <w:vAlign w:val="center"/>
          </w:tcPr>
          <w:p w14:paraId="7832AF64" w14:textId="77777777" w:rsidR="0089207C" w:rsidRPr="00C07B2E" w:rsidRDefault="0089207C" w:rsidP="002D3EBF">
            <w:pPr>
              <w:rPr>
                <w:rFonts w:eastAsia="SimSun"/>
              </w:rPr>
            </w:pPr>
            <w:r w:rsidRPr="00C07B2E">
              <w:rPr>
                <w:rFonts w:eastAsia="SimSun"/>
              </w:rPr>
              <w:t xml:space="preserve">30 мг/кг </w:t>
            </w:r>
          </w:p>
        </w:tc>
        <w:tc>
          <w:tcPr>
            <w:tcW w:w="1418" w:type="dxa"/>
            <w:vAlign w:val="center"/>
          </w:tcPr>
          <w:p w14:paraId="4B7F7D19" w14:textId="77777777" w:rsidR="0089207C" w:rsidRPr="00C07B2E" w:rsidRDefault="0089207C" w:rsidP="002D3EBF">
            <w:pPr>
              <w:rPr>
                <w:rFonts w:eastAsia="SimSun"/>
              </w:rPr>
            </w:pPr>
            <w:r w:rsidRPr="00C07B2E">
              <w:rPr>
                <w:rFonts w:eastAsia="SimSun"/>
              </w:rPr>
              <w:t>–</w:t>
            </w:r>
          </w:p>
        </w:tc>
        <w:tc>
          <w:tcPr>
            <w:tcW w:w="1701" w:type="dxa"/>
            <w:vAlign w:val="center"/>
          </w:tcPr>
          <w:p w14:paraId="74EF05F7" w14:textId="77777777" w:rsidR="0089207C" w:rsidRPr="00C07B2E" w:rsidRDefault="0089207C" w:rsidP="002D3EBF">
            <w:pPr>
              <w:rPr>
                <w:rFonts w:eastAsia="SimSun"/>
              </w:rPr>
            </w:pPr>
            <w:r w:rsidRPr="00C07B2E">
              <w:rPr>
                <w:rFonts w:eastAsia="SimSun"/>
              </w:rPr>
              <w:t xml:space="preserve">С </w:t>
            </w:r>
            <w:r w:rsidRPr="00C07B2E">
              <w:rPr>
                <w:rFonts w:eastAsia="SimSun"/>
                <w:lang w:val="en-US"/>
              </w:rPr>
              <w:t>-1</w:t>
            </w:r>
            <w:r w:rsidRPr="00C07B2E">
              <w:rPr>
                <w:rFonts w:eastAsia="SimSun"/>
              </w:rPr>
              <w:t xml:space="preserve"> дня по +3</w:t>
            </w:r>
            <w:r w:rsidRPr="00C07B2E">
              <w:rPr>
                <w:rFonts w:eastAsia="SimSun"/>
                <w:lang w:val="en-US"/>
              </w:rPr>
              <w:t>0</w:t>
            </w:r>
            <w:r w:rsidRPr="00C07B2E">
              <w:rPr>
                <w:rFonts w:eastAsia="SimSun"/>
              </w:rPr>
              <w:t xml:space="preserve"> день </w:t>
            </w:r>
          </w:p>
        </w:tc>
        <w:tc>
          <w:tcPr>
            <w:tcW w:w="2268" w:type="dxa"/>
            <w:vAlign w:val="center"/>
          </w:tcPr>
          <w:p w14:paraId="10C4C56D" w14:textId="77777777" w:rsidR="0089207C" w:rsidRPr="00C07B2E" w:rsidRDefault="0089207C" w:rsidP="002D3EBF">
            <w:pPr>
              <w:ind w:right="-138"/>
              <w:rPr>
                <w:rFonts w:eastAsia="SimSun"/>
              </w:rPr>
            </w:pPr>
            <w:r w:rsidRPr="00C07B2E">
              <w:rPr>
                <w:rFonts w:eastAsia="SimSun"/>
              </w:rPr>
              <w:t>Внутрь, суммарная суточная доза разделяется на 2- 4 приема (не более 3г/сут)</w:t>
            </w:r>
          </w:p>
        </w:tc>
      </w:tr>
    </w:tbl>
    <w:p w14:paraId="2FF59029" w14:textId="77777777" w:rsidR="0089207C" w:rsidRPr="00C07B2E" w:rsidRDefault="0089207C" w:rsidP="0089207C">
      <w:pPr>
        <w:rPr>
          <w:rFonts w:eastAsia="SimSun"/>
        </w:rPr>
        <w:sectPr w:rsidR="0089207C" w:rsidRPr="00C07B2E" w:rsidSect="00980822">
          <w:type w:val="continuous"/>
          <w:pgSz w:w="11907" w:h="16839" w:code="9"/>
          <w:pgMar w:top="1134" w:right="850" w:bottom="1134" w:left="1701" w:header="709" w:footer="567" w:gutter="0"/>
          <w:cols w:space="708"/>
          <w:docGrid w:linePitch="360"/>
        </w:sectPr>
      </w:pPr>
    </w:p>
    <w:p w14:paraId="7AA8424B" w14:textId="77777777" w:rsidR="0089207C" w:rsidRDefault="0089207C" w:rsidP="0089207C">
      <w:pPr>
        <w:rPr>
          <w:rFonts w:eastAsia="SimSun"/>
        </w:rPr>
      </w:pPr>
      <w:bookmarkStart w:id="201" w:name="_Toc44401148"/>
    </w:p>
    <w:p w14:paraId="24042970" w14:textId="77777777" w:rsidR="0089207C" w:rsidRPr="00C07B2E" w:rsidRDefault="0089207C" w:rsidP="0089207C">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.1.1.5  – Flu180+Bu12 / PT-Cy</w:t>
      </w:r>
      <w:bookmarkEnd w:id="201"/>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417"/>
        <w:gridCol w:w="1337"/>
        <w:gridCol w:w="1701"/>
        <w:gridCol w:w="2268"/>
      </w:tblGrid>
      <w:tr w:rsidR="0089207C" w:rsidRPr="00C07B2E" w14:paraId="6B71E637" w14:textId="77777777" w:rsidTr="002D3EBF">
        <w:trPr>
          <w:cantSplit/>
          <w:trHeight w:val="20"/>
          <w:tblHeader/>
        </w:trPr>
        <w:tc>
          <w:tcPr>
            <w:tcW w:w="959" w:type="dxa"/>
            <w:vAlign w:val="center"/>
          </w:tcPr>
          <w:p w14:paraId="4EB680A2" w14:textId="77777777" w:rsidR="0089207C" w:rsidRPr="00980822" w:rsidRDefault="0089207C" w:rsidP="002D3EBF">
            <w:pPr>
              <w:ind w:firstLine="98"/>
              <w:rPr>
                <w:rFonts w:eastAsia="SimSun"/>
              </w:rPr>
            </w:pPr>
          </w:p>
        </w:tc>
        <w:tc>
          <w:tcPr>
            <w:tcW w:w="1843" w:type="dxa"/>
            <w:vAlign w:val="center"/>
          </w:tcPr>
          <w:p w14:paraId="4A71A39D" w14:textId="77777777" w:rsidR="0089207C" w:rsidRPr="00C07B2E" w:rsidRDefault="0089207C" w:rsidP="002D3EBF">
            <w:pPr>
              <w:ind w:firstLine="98"/>
              <w:rPr>
                <w:rFonts w:eastAsia="SimSun"/>
              </w:rPr>
            </w:pPr>
            <w:r w:rsidRPr="00C07B2E">
              <w:rPr>
                <w:rFonts w:eastAsia="SimSun"/>
              </w:rPr>
              <w:t>Препарат</w:t>
            </w:r>
          </w:p>
        </w:tc>
        <w:tc>
          <w:tcPr>
            <w:tcW w:w="1417" w:type="dxa"/>
            <w:vAlign w:val="center"/>
          </w:tcPr>
          <w:p w14:paraId="049E92EF" w14:textId="77777777" w:rsidR="0089207C" w:rsidRPr="00C07B2E" w:rsidRDefault="0089207C" w:rsidP="002D3EBF">
            <w:pPr>
              <w:ind w:firstLine="98"/>
              <w:rPr>
                <w:rFonts w:eastAsia="SimSun"/>
              </w:rPr>
            </w:pPr>
            <w:r w:rsidRPr="00C07B2E">
              <w:rPr>
                <w:rFonts w:eastAsia="SimSun"/>
              </w:rPr>
              <w:t>Суточная доза</w:t>
            </w:r>
          </w:p>
        </w:tc>
        <w:tc>
          <w:tcPr>
            <w:tcW w:w="1337" w:type="dxa"/>
            <w:vAlign w:val="center"/>
          </w:tcPr>
          <w:p w14:paraId="52778695" w14:textId="77777777" w:rsidR="0089207C" w:rsidRPr="00C07B2E" w:rsidRDefault="0089207C" w:rsidP="002D3EBF">
            <w:pPr>
              <w:ind w:firstLine="98"/>
              <w:rPr>
                <w:rFonts w:eastAsia="SimSun"/>
              </w:rPr>
            </w:pPr>
            <w:r w:rsidRPr="00C07B2E">
              <w:rPr>
                <w:rFonts w:eastAsia="SimSun"/>
              </w:rPr>
              <w:t>Курсовая доза</w:t>
            </w:r>
          </w:p>
        </w:tc>
        <w:tc>
          <w:tcPr>
            <w:tcW w:w="1701" w:type="dxa"/>
            <w:vAlign w:val="center"/>
          </w:tcPr>
          <w:p w14:paraId="4E72DEF7" w14:textId="77777777" w:rsidR="0089207C" w:rsidRPr="00C07B2E" w:rsidRDefault="0089207C" w:rsidP="002D3EBF">
            <w:pPr>
              <w:ind w:firstLine="98"/>
              <w:rPr>
                <w:rFonts w:eastAsia="SimSun"/>
              </w:rPr>
            </w:pPr>
            <w:r w:rsidRPr="00C07B2E">
              <w:rPr>
                <w:rFonts w:eastAsia="SimSun"/>
              </w:rPr>
              <w:t>Дни введения</w:t>
            </w:r>
          </w:p>
        </w:tc>
        <w:tc>
          <w:tcPr>
            <w:tcW w:w="2268" w:type="dxa"/>
            <w:vAlign w:val="center"/>
          </w:tcPr>
          <w:p w14:paraId="27E08598" w14:textId="77777777" w:rsidR="0089207C" w:rsidRPr="00C07B2E" w:rsidRDefault="0089207C" w:rsidP="002D3EBF">
            <w:pPr>
              <w:ind w:firstLine="98"/>
              <w:rPr>
                <w:rFonts w:eastAsia="SimSun"/>
              </w:rPr>
            </w:pPr>
            <w:r w:rsidRPr="00C07B2E">
              <w:rPr>
                <w:rFonts w:eastAsia="SimSun"/>
              </w:rPr>
              <w:t>Порядок введения</w:t>
            </w:r>
          </w:p>
        </w:tc>
      </w:tr>
      <w:tr w:rsidR="0089207C" w:rsidRPr="00C07B2E" w14:paraId="6ECEEFC9" w14:textId="77777777" w:rsidTr="002D3EBF">
        <w:trPr>
          <w:cantSplit/>
          <w:trHeight w:val="20"/>
        </w:trPr>
        <w:tc>
          <w:tcPr>
            <w:tcW w:w="959" w:type="dxa"/>
            <w:vMerge w:val="restart"/>
            <w:textDirection w:val="btLr"/>
            <w:vAlign w:val="center"/>
          </w:tcPr>
          <w:p w14:paraId="0B99CF8F" w14:textId="77777777" w:rsidR="0089207C" w:rsidRPr="00C07B2E" w:rsidRDefault="0089207C" w:rsidP="002D3EBF">
            <w:pPr>
              <w:ind w:firstLine="98"/>
              <w:rPr>
                <w:rFonts w:eastAsia="SimSun"/>
              </w:rPr>
            </w:pPr>
            <w:r w:rsidRPr="00C07B2E">
              <w:rPr>
                <w:rFonts w:eastAsia="SimSun"/>
              </w:rPr>
              <w:t>Кондиционирование</w:t>
            </w:r>
          </w:p>
        </w:tc>
        <w:tc>
          <w:tcPr>
            <w:tcW w:w="1843" w:type="dxa"/>
            <w:vAlign w:val="center"/>
          </w:tcPr>
          <w:p w14:paraId="26BC52EE" w14:textId="77777777" w:rsidR="0089207C" w:rsidRPr="00C07B2E" w:rsidRDefault="0089207C" w:rsidP="002D3EBF">
            <w:pPr>
              <w:ind w:firstLine="98"/>
              <w:rPr>
                <w:rFonts w:eastAsia="SimSun"/>
              </w:rPr>
            </w:pPr>
            <w:r w:rsidRPr="00C07B2E">
              <w:rPr>
                <w:rFonts w:eastAsia="SimSun"/>
              </w:rPr>
              <w:t xml:space="preserve">Флударабин </w:t>
            </w:r>
          </w:p>
        </w:tc>
        <w:tc>
          <w:tcPr>
            <w:tcW w:w="1417" w:type="dxa"/>
            <w:vAlign w:val="center"/>
          </w:tcPr>
          <w:p w14:paraId="21C62DDC" w14:textId="77777777" w:rsidR="0089207C" w:rsidRPr="00C07B2E" w:rsidRDefault="0089207C" w:rsidP="002D3EBF">
            <w:pPr>
              <w:ind w:firstLine="98"/>
              <w:rPr>
                <w:rFonts w:eastAsia="SimSun"/>
              </w:rPr>
            </w:pPr>
            <w:r w:rsidRPr="00C07B2E">
              <w:rPr>
                <w:rFonts w:eastAsia="SimSun"/>
              </w:rPr>
              <w:t>30 мг/м</w:t>
            </w:r>
            <w:r w:rsidRPr="000F445E">
              <w:rPr>
                <w:rFonts w:eastAsia="SimSun"/>
                <w:vertAlign w:val="superscript"/>
              </w:rPr>
              <w:t>2</w:t>
            </w:r>
          </w:p>
        </w:tc>
        <w:tc>
          <w:tcPr>
            <w:tcW w:w="1337" w:type="dxa"/>
            <w:vAlign w:val="center"/>
          </w:tcPr>
          <w:p w14:paraId="4ADA09A4" w14:textId="77777777" w:rsidR="0089207C" w:rsidRPr="00C07B2E" w:rsidRDefault="0089207C" w:rsidP="002D3EBF">
            <w:pPr>
              <w:ind w:firstLine="98"/>
              <w:rPr>
                <w:rFonts w:eastAsia="SimSun"/>
              </w:rPr>
            </w:pPr>
            <w:r w:rsidRPr="00C07B2E">
              <w:rPr>
                <w:rFonts w:eastAsia="SimSun"/>
              </w:rPr>
              <w:t>180 мг/м</w:t>
            </w:r>
            <w:r w:rsidRPr="000F445E">
              <w:rPr>
                <w:rFonts w:eastAsia="SimSun"/>
                <w:vertAlign w:val="superscript"/>
              </w:rPr>
              <w:t>2</w:t>
            </w:r>
          </w:p>
        </w:tc>
        <w:tc>
          <w:tcPr>
            <w:tcW w:w="1701" w:type="dxa"/>
            <w:vAlign w:val="center"/>
          </w:tcPr>
          <w:p w14:paraId="29B0C5AD" w14:textId="77777777" w:rsidR="0089207C" w:rsidRPr="00C07B2E" w:rsidRDefault="0089207C" w:rsidP="002D3EBF">
            <w:pPr>
              <w:ind w:firstLine="98"/>
              <w:rPr>
                <w:rFonts w:eastAsia="SimSun"/>
              </w:rPr>
            </w:pPr>
            <w:r w:rsidRPr="00C07B2E">
              <w:rPr>
                <w:rFonts w:eastAsia="SimSun"/>
              </w:rPr>
              <w:t>С -7 дня по -2 день</w:t>
            </w:r>
          </w:p>
        </w:tc>
        <w:tc>
          <w:tcPr>
            <w:tcW w:w="2268" w:type="dxa"/>
            <w:vAlign w:val="center"/>
          </w:tcPr>
          <w:p w14:paraId="7D9C434E" w14:textId="77777777" w:rsidR="0089207C" w:rsidRPr="00C07B2E" w:rsidRDefault="0089207C" w:rsidP="002D3EBF">
            <w:pPr>
              <w:ind w:firstLine="98"/>
              <w:rPr>
                <w:rFonts w:eastAsia="SimSun"/>
              </w:rPr>
            </w:pPr>
            <w:r w:rsidRPr="00C07B2E">
              <w:rPr>
                <w:rFonts w:eastAsia="SimSun"/>
              </w:rPr>
              <w:t>В/в, в течение 30 - 60 мин</w:t>
            </w:r>
          </w:p>
        </w:tc>
      </w:tr>
      <w:tr w:rsidR="0089207C" w:rsidRPr="00C07B2E" w14:paraId="05FEA4BA" w14:textId="77777777" w:rsidTr="002D3EBF">
        <w:trPr>
          <w:cantSplit/>
          <w:trHeight w:val="1207"/>
        </w:trPr>
        <w:tc>
          <w:tcPr>
            <w:tcW w:w="959" w:type="dxa"/>
            <w:vMerge/>
            <w:vAlign w:val="center"/>
          </w:tcPr>
          <w:p w14:paraId="13D1D3F4" w14:textId="77777777" w:rsidR="0089207C" w:rsidRPr="00C07B2E" w:rsidRDefault="0089207C" w:rsidP="002D3EBF">
            <w:pPr>
              <w:ind w:firstLine="98"/>
              <w:rPr>
                <w:rFonts w:eastAsia="SimSun"/>
              </w:rPr>
            </w:pPr>
          </w:p>
        </w:tc>
        <w:tc>
          <w:tcPr>
            <w:tcW w:w="1843" w:type="dxa"/>
            <w:vAlign w:val="center"/>
          </w:tcPr>
          <w:p w14:paraId="73BCFAB3" w14:textId="77777777" w:rsidR="0089207C" w:rsidRPr="00C07B2E" w:rsidRDefault="0089207C" w:rsidP="002D3EBF">
            <w:pPr>
              <w:ind w:firstLine="98"/>
              <w:rPr>
                <w:rFonts w:eastAsia="SimSun"/>
              </w:rPr>
            </w:pPr>
            <w:r w:rsidRPr="00C07B2E">
              <w:rPr>
                <w:rFonts w:eastAsia="SimSun"/>
              </w:rPr>
              <w:t>Бусульфан</w:t>
            </w:r>
          </w:p>
        </w:tc>
        <w:tc>
          <w:tcPr>
            <w:tcW w:w="1417" w:type="dxa"/>
            <w:vAlign w:val="center"/>
          </w:tcPr>
          <w:p w14:paraId="33EA94AC" w14:textId="77777777" w:rsidR="0089207C" w:rsidRPr="00C07B2E" w:rsidRDefault="0089207C" w:rsidP="002D3EBF">
            <w:pPr>
              <w:ind w:firstLine="98"/>
              <w:rPr>
                <w:rFonts w:eastAsia="SimSun"/>
              </w:rPr>
            </w:pPr>
            <w:r w:rsidRPr="00C07B2E">
              <w:rPr>
                <w:rFonts w:eastAsia="SimSun"/>
              </w:rPr>
              <w:t xml:space="preserve">4 мг/кг </w:t>
            </w:r>
          </w:p>
        </w:tc>
        <w:tc>
          <w:tcPr>
            <w:tcW w:w="1337" w:type="dxa"/>
            <w:vAlign w:val="center"/>
          </w:tcPr>
          <w:p w14:paraId="495656D6" w14:textId="77777777" w:rsidR="0089207C" w:rsidRPr="00C07B2E" w:rsidRDefault="0089207C" w:rsidP="002D3EBF">
            <w:pPr>
              <w:ind w:firstLine="98"/>
              <w:rPr>
                <w:rFonts w:eastAsia="SimSun"/>
              </w:rPr>
            </w:pPr>
            <w:r w:rsidRPr="00C07B2E">
              <w:rPr>
                <w:rFonts w:eastAsia="SimSun"/>
                <w:lang w:val="en-US"/>
              </w:rPr>
              <w:t>12</w:t>
            </w:r>
            <w:r w:rsidRPr="00C07B2E">
              <w:rPr>
                <w:rFonts w:eastAsia="SimSun"/>
              </w:rPr>
              <w:t xml:space="preserve"> мг/кг </w:t>
            </w:r>
          </w:p>
        </w:tc>
        <w:tc>
          <w:tcPr>
            <w:tcW w:w="1701" w:type="dxa"/>
            <w:vAlign w:val="center"/>
          </w:tcPr>
          <w:p w14:paraId="104E2D1B" w14:textId="77777777" w:rsidR="0089207C" w:rsidRPr="00C07B2E" w:rsidRDefault="0089207C" w:rsidP="002D3EBF">
            <w:pPr>
              <w:ind w:firstLine="98"/>
              <w:rPr>
                <w:rFonts w:eastAsia="SimSun"/>
              </w:rPr>
            </w:pPr>
            <w:r w:rsidRPr="00C07B2E">
              <w:rPr>
                <w:rFonts w:eastAsia="SimSun"/>
              </w:rPr>
              <w:t>С -5 дня по -3 день</w:t>
            </w:r>
          </w:p>
        </w:tc>
        <w:tc>
          <w:tcPr>
            <w:tcW w:w="2268" w:type="dxa"/>
            <w:vAlign w:val="center"/>
          </w:tcPr>
          <w:p w14:paraId="222524B9" w14:textId="77777777" w:rsidR="0089207C" w:rsidRPr="00C07B2E" w:rsidRDefault="0089207C" w:rsidP="002D3EBF">
            <w:pPr>
              <w:ind w:firstLine="98"/>
              <w:rPr>
                <w:rFonts w:eastAsia="SimSun"/>
              </w:rPr>
            </w:pPr>
            <w:r w:rsidRPr="00C07B2E">
              <w:rPr>
                <w:rFonts w:eastAsia="SimSun"/>
              </w:rPr>
              <w:t>Внутрь, суммарная суточная доза разделяется на 4 приема с интервалом 6 часов.</w:t>
            </w:r>
          </w:p>
        </w:tc>
      </w:tr>
      <w:tr w:rsidR="0089207C" w:rsidRPr="00C07B2E" w14:paraId="487AA4C6" w14:textId="77777777" w:rsidTr="002D3EBF">
        <w:trPr>
          <w:cantSplit/>
          <w:trHeight w:val="1498"/>
        </w:trPr>
        <w:tc>
          <w:tcPr>
            <w:tcW w:w="959" w:type="dxa"/>
            <w:textDirection w:val="btLr"/>
            <w:vAlign w:val="center"/>
          </w:tcPr>
          <w:p w14:paraId="15022D0B" w14:textId="77777777" w:rsidR="0089207C" w:rsidRPr="00C07B2E" w:rsidRDefault="0089207C" w:rsidP="002D3EBF">
            <w:pPr>
              <w:ind w:firstLine="98"/>
              <w:rPr>
                <w:rFonts w:eastAsia="SimSun"/>
              </w:rPr>
            </w:pPr>
            <w:r w:rsidRPr="00C07B2E">
              <w:rPr>
                <w:rFonts w:eastAsia="SimSun"/>
              </w:rPr>
              <w:t>Профилактика РТПХ</w:t>
            </w:r>
          </w:p>
        </w:tc>
        <w:tc>
          <w:tcPr>
            <w:tcW w:w="1843" w:type="dxa"/>
            <w:vAlign w:val="center"/>
          </w:tcPr>
          <w:p w14:paraId="0F86BEB0" w14:textId="77777777" w:rsidR="0089207C" w:rsidRPr="00C07B2E" w:rsidRDefault="0089207C" w:rsidP="002D3EBF">
            <w:pPr>
              <w:ind w:firstLine="98"/>
              <w:rPr>
                <w:rFonts w:eastAsia="SimSun"/>
              </w:rPr>
            </w:pPr>
            <w:r w:rsidRPr="00C07B2E">
              <w:rPr>
                <w:rFonts w:eastAsia="SimSun"/>
              </w:rPr>
              <w:t>Циклофосфамид</w:t>
            </w:r>
          </w:p>
        </w:tc>
        <w:tc>
          <w:tcPr>
            <w:tcW w:w="1417" w:type="dxa"/>
            <w:vAlign w:val="center"/>
          </w:tcPr>
          <w:p w14:paraId="3F4E288D" w14:textId="77777777" w:rsidR="0089207C" w:rsidRPr="00C07B2E" w:rsidRDefault="0089207C" w:rsidP="002D3EBF">
            <w:pPr>
              <w:ind w:firstLine="98"/>
              <w:rPr>
                <w:rFonts w:eastAsia="SimSun"/>
              </w:rPr>
            </w:pPr>
            <w:r w:rsidRPr="00C07B2E">
              <w:rPr>
                <w:rFonts w:eastAsia="SimSun"/>
              </w:rPr>
              <w:t>50 мг/кг</w:t>
            </w:r>
          </w:p>
        </w:tc>
        <w:tc>
          <w:tcPr>
            <w:tcW w:w="1337" w:type="dxa"/>
            <w:vAlign w:val="center"/>
          </w:tcPr>
          <w:p w14:paraId="34766F0F" w14:textId="77777777" w:rsidR="0089207C" w:rsidRPr="00C07B2E" w:rsidRDefault="0089207C" w:rsidP="002D3EBF">
            <w:pPr>
              <w:ind w:firstLine="98"/>
              <w:rPr>
                <w:rFonts w:eastAsia="SimSun"/>
              </w:rPr>
            </w:pPr>
            <w:r w:rsidRPr="00C07B2E">
              <w:rPr>
                <w:rFonts w:eastAsia="SimSun"/>
              </w:rPr>
              <w:t>100 мг/кг</w:t>
            </w:r>
          </w:p>
        </w:tc>
        <w:tc>
          <w:tcPr>
            <w:tcW w:w="1701" w:type="dxa"/>
            <w:vAlign w:val="center"/>
          </w:tcPr>
          <w:p w14:paraId="3E8F5104" w14:textId="77777777" w:rsidR="0089207C" w:rsidRPr="00C07B2E" w:rsidRDefault="0089207C" w:rsidP="002D3EBF">
            <w:pPr>
              <w:ind w:firstLine="98"/>
              <w:rPr>
                <w:rFonts w:eastAsia="SimSun"/>
              </w:rPr>
            </w:pPr>
            <w:r w:rsidRPr="00C07B2E">
              <w:rPr>
                <w:rFonts w:eastAsia="SimSun"/>
              </w:rPr>
              <w:t>С +3 дня по +4 день</w:t>
            </w:r>
          </w:p>
        </w:tc>
        <w:tc>
          <w:tcPr>
            <w:tcW w:w="2268" w:type="dxa"/>
            <w:vAlign w:val="center"/>
          </w:tcPr>
          <w:p w14:paraId="1B23D3A2" w14:textId="77777777" w:rsidR="0089207C" w:rsidRPr="00C07B2E" w:rsidRDefault="0089207C" w:rsidP="002D3EBF">
            <w:pPr>
              <w:ind w:firstLine="98"/>
              <w:rPr>
                <w:rFonts w:eastAsia="SimSun"/>
              </w:rPr>
            </w:pPr>
            <w:r w:rsidRPr="00C07B2E">
              <w:rPr>
                <w:rFonts w:eastAsia="SimSun"/>
              </w:rPr>
              <w:t xml:space="preserve">В/в, в течение 2 ч  </w:t>
            </w:r>
          </w:p>
        </w:tc>
      </w:tr>
    </w:tbl>
    <w:p w14:paraId="24101F3E" w14:textId="77777777" w:rsidR="0089207C" w:rsidRPr="00C07B2E" w:rsidRDefault="0089207C" w:rsidP="0089207C">
      <w:pPr>
        <w:rPr>
          <w:rFonts w:eastAsia="SimSun"/>
        </w:rPr>
      </w:pPr>
    </w:p>
    <w:p w14:paraId="198B42CD" w14:textId="77777777" w:rsidR="0089207C" w:rsidRPr="00C07B2E" w:rsidRDefault="0089207C" w:rsidP="0089207C">
      <w:pPr>
        <w:rPr>
          <w:rFonts w:eastAsia="SimSun"/>
        </w:rPr>
      </w:pPr>
      <w:r w:rsidRPr="00C07B2E">
        <w:rPr>
          <w:rFonts w:eastAsia="SimSun"/>
        </w:rPr>
        <w:tab/>
      </w:r>
    </w:p>
    <w:p w14:paraId="0E8E6B92" w14:textId="77777777" w:rsidR="0089207C" w:rsidRPr="00C07B2E" w:rsidRDefault="0089207C" w:rsidP="0089207C">
      <w:pPr>
        <w:rPr>
          <w:rFonts w:eastAsia="SimSun"/>
        </w:rPr>
      </w:pPr>
      <w:bookmarkStart w:id="202" w:name="_Toc44401149"/>
      <w:r w:rsidRPr="00042499">
        <w:rPr>
          <w:rFonts w:eastAsia="SimSun"/>
        </w:rPr>
        <w:t>Таблица</w:t>
      </w:r>
      <w:r w:rsidRPr="00C07B2E">
        <w:rPr>
          <w:rFonts w:eastAsia="SimSun"/>
        </w:rPr>
        <w:t xml:space="preserve"> </w:t>
      </w:r>
      <w:r>
        <w:rPr>
          <w:rFonts w:eastAsia="SimSun"/>
        </w:rPr>
        <w:t>5</w:t>
      </w:r>
      <w:r w:rsidRPr="00C07B2E">
        <w:rPr>
          <w:rFonts w:eastAsia="SimSun"/>
        </w:rPr>
        <w:t>.1.1.6  – Flu180+Bu12 / PT-Cy+Tx+MMF30</w:t>
      </w:r>
      <w:bookmarkEnd w:id="202"/>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89207C" w:rsidRPr="00C07B2E" w14:paraId="1D9D2D02" w14:textId="77777777" w:rsidTr="002D3EBF">
        <w:trPr>
          <w:cantSplit/>
          <w:trHeight w:val="20"/>
          <w:tblHeader/>
        </w:trPr>
        <w:tc>
          <w:tcPr>
            <w:tcW w:w="993" w:type="dxa"/>
            <w:vAlign w:val="center"/>
          </w:tcPr>
          <w:p w14:paraId="08C18341" w14:textId="77777777" w:rsidR="0089207C" w:rsidRPr="00470D3D" w:rsidRDefault="0089207C" w:rsidP="002D3EBF">
            <w:pPr>
              <w:rPr>
                <w:rFonts w:eastAsia="SimSun"/>
              </w:rPr>
            </w:pPr>
          </w:p>
        </w:tc>
        <w:tc>
          <w:tcPr>
            <w:tcW w:w="1843" w:type="dxa"/>
            <w:vAlign w:val="center"/>
          </w:tcPr>
          <w:p w14:paraId="02D50578" w14:textId="77777777" w:rsidR="0089207C" w:rsidRPr="00C07B2E" w:rsidRDefault="0089207C" w:rsidP="002D3EBF">
            <w:pPr>
              <w:rPr>
                <w:rFonts w:eastAsia="SimSun"/>
              </w:rPr>
            </w:pPr>
            <w:r w:rsidRPr="00C07B2E">
              <w:rPr>
                <w:rFonts w:eastAsia="SimSun"/>
              </w:rPr>
              <w:t>Препарат</w:t>
            </w:r>
          </w:p>
        </w:tc>
        <w:tc>
          <w:tcPr>
            <w:tcW w:w="1417" w:type="dxa"/>
            <w:vAlign w:val="center"/>
          </w:tcPr>
          <w:p w14:paraId="413F908E" w14:textId="77777777" w:rsidR="0089207C" w:rsidRPr="00C07B2E" w:rsidRDefault="0089207C" w:rsidP="002D3EBF">
            <w:pPr>
              <w:rPr>
                <w:rFonts w:eastAsia="SimSun"/>
              </w:rPr>
            </w:pPr>
            <w:r w:rsidRPr="00C07B2E">
              <w:rPr>
                <w:rFonts w:eastAsia="SimSun"/>
              </w:rPr>
              <w:t>Суточная доза</w:t>
            </w:r>
          </w:p>
        </w:tc>
        <w:tc>
          <w:tcPr>
            <w:tcW w:w="1418" w:type="dxa"/>
            <w:vAlign w:val="center"/>
          </w:tcPr>
          <w:p w14:paraId="3E9967C3" w14:textId="77777777" w:rsidR="0089207C" w:rsidRPr="00C07B2E" w:rsidRDefault="0089207C" w:rsidP="002D3EBF">
            <w:pPr>
              <w:rPr>
                <w:rFonts w:eastAsia="SimSun"/>
              </w:rPr>
            </w:pPr>
            <w:r w:rsidRPr="00C07B2E">
              <w:rPr>
                <w:rFonts w:eastAsia="SimSun"/>
              </w:rPr>
              <w:t>Курсовая доза</w:t>
            </w:r>
          </w:p>
        </w:tc>
        <w:tc>
          <w:tcPr>
            <w:tcW w:w="1701" w:type="dxa"/>
            <w:vAlign w:val="center"/>
          </w:tcPr>
          <w:p w14:paraId="1E2E7BF5" w14:textId="77777777" w:rsidR="0089207C" w:rsidRPr="00C07B2E" w:rsidRDefault="0089207C" w:rsidP="002D3EBF">
            <w:pPr>
              <w:rPr>
                <w:rFonts w:eastAsia="SimSun"/>
              </w:rPr>
            </w:pPr>
            <w:r w:rsidRPr="00C07B2E">
              <w:rPr>
                <w:rFonts w:eastAsia="SimSun"/>
              </w:rPr>
              <w:t>Дни введения</w:t>
            </w:r>
          </w:p>
        </w:tc>
        <w:tc>
          <w:tcPr>
            <w:tcW w:w="2268" w:type="dxa"/>
            <w:vAlign w:val="center"/>
          </w:tcPr>
          <w:p w14:paraId="785630DB" w14:textId="77777777" w:rsidR="0089207C" w:rsidRPr="00C07B2E" w:rsidRDefault="0089207C" w:rsidP="002D3EBF">
            <w:pPr>
              <w:rPr>
                <w:rFonts w:eastAsia="SimSun"/>
              </w:rPr>
            </w:pPr>
            <w:r w:rsidRPr="00C07B2E">
              <w:rPr>
                <w:rFonts w:eastAsia="SimSun"/>
              </w:rPr>
              <w:t>Порядок введения</w:t>
            </w:r>
          </w:p>
        </w:tc>
      </w:tr>
      <w:tr w:rsidR="0089207C" w:rsidRPr="00C07B2E" w14:paraId="29D52403" w14:textId="77777777" w:rsidTr="002D3EBF">
        <w:trPr>
          <w:cantSplit/>
          <w:trHeight w:val="20"/>
        </w:trPr>
        <w:tc>
          <w:tcPr>
            <w:tcW w:w="993" w:type="dxa"/>
            <w:vMerge w:val="restart"/>
            <w:textDirection w:val="btLr"/>
            <w:vAlign w:val="center"/>
          </w:tcPr>
          <w:p w14:paraId="31D46B7C" w14:textId="77777777" w:rsidR="0089207C" w:rsidRPr="00C07B2E" w:rsidRDefault="0089207C" w:rsidP="002D3EBF">
            <w:pPr>
              <w:rPr>
                <w:rFonts w:eastAsia="SimSun"/>
              </w:rPr>
            </w:pPr>
            <w:r w:rsidRPr="00C07B2E">
              <w:rPr>
                <w:rFonts w:eastAsia="SimSun"/>
              </w:rPr>
              <w:t>Кондиционирование</w:t>
            </w:r>
          </w:p>
        </w:tc>
        <w:tc>
          <w:tcPr>
            <w:tcW w:w="1843" w:type="dxa"/>
            <w:vAlign w:val="center"/>
          </w:tcPr>
          <w:p w14:paraId="3D2C5202" w14:textId="77777777" w:rsidR="0089207C" w:rsidRPr="00C07B2E" w:rsidRDefault="0089207C" w:rsidP="002D3EBF">
            <w:pPr>
              <w:rPr>
                <w:rFonts w:eastAsia="SimSun"/>
              </w:rPr>
            </w:pPr>
            <w:r w:rsidRPr="00C07B2E">
              <w:rPr>
                <w:rFonts w:eastAsia="SimSun"/>
              </w:rPr>
              <w:t xml:space="preserve">Флударабин </w:t>
            </w:r>
          </w:p>
        </w:tc>
        <w:tc>
          <w:tcPr>
            <w:tcW w:w="1417" w:type="dxa"/>
            <w:vAlign w:val="center"/>
          </w:tcPr>
          <w:p w14:paraId="6852E806" w14:textId="77777777" w:rsidR="0089207C" w:rsidRPr="00C07B2E" w:rsidRDefault="0089207C" w:rsidP="002D3EBF">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4F9C0B17" w14:textId="77777777" w:rsidR="0089207C" w:rsidRPr="00C07B2E" w:rsidRDefault="0089207C" w:rsidP="002D3EBF">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30625430" w14:textId="77777777" w:rsidR="0089207C" w:rsidRPr="00C07B2E" w:rsidRDefault="0089207C" w:rsidP="002D3EBF">
            <w:pPr>
              <w:rPr>
                <w:rFonts w:eastAsia="SimSun"/>
              </w:rPr>
            </w:pPr>
            <w:r w:rsidRPr="00C07B2E">
              <w:rPr>
                <w:rFonts w:eastAsia="SimSun"/>
              </w:rPr>
              <w:t>С -7 дня по -2 день</w:t>
            </w:r>
          </w:p>
        </w:tc>
        <w:tc>
          <w:tcPr>
            <w:tcW w:w="2268" w:type="dxa"/>
            <w:vAlign w:val="center"/>
          </w:tcPr>
          <w:p w14:paraId="47447F51" w14:textId="77777777" w:rsidR="0089207C" w:rsidRPr="00C07B2E" w:rsidRDefault="0089207C" w:rsidP="002D3EBF">
            <w:pPr>
              <w:rPr>
                <w:rFonts w:eastAsia="SimSun"/>
              </w:rPr>
            </w:pPr>
            <w:r w:rsidRPr="00C07B2E">
              <w:rPr>
                <w:rFonts w:eastAsia="SimSun"/>
              </w:rPr>
              <w:t>В/в, в течение 30 - 60 мин</w:t>
            </w:r>
          </w:p>
        </w:tc>
      </w:tr>
      <w:tr w:rsidR="0089207C" w:rsidRPr="00C07B2E" w14:paraId="465DBCB6" w14:textId="77777777" w:rsidTr="002D3EBF">
        <w:trPr>
          <w:cantSplit/>
          <w:trHeight w:val="1207"/>
        </w:trPr>
        <w:tc>
          <w:tcPr>
            <w:tcW w:w="993" w:type="dxa"/>
            <w:vMerge/>
            <w:vAlign w:val="center"/>
          </w:tcPr>
          <w:p w14:paraId="70D35BE8" w14:textId="77777777" w:rsidR="0089207C" w:rsidRPr="00C07B2E" w:rsidRDefault="0089207C" w:rsidP="002D3EBF">
            <w:pPr>
              <w:rPr>
                <w:rFonts w:eastAsia="SimSun"/>
              </w:rPr>
            </w:pPr>
          </w:p>
        </w:tc>
        <w:tc>
          <w:tcPr>
            <w:tcW w:w="1843" w:type="dxa"/>
            <w:vAlign w:val="center"/>
          </w:tcPr>
          <w:p w14:paraId="7779C4CB" w14:textId="77777777" w:rsidR="0089207C" w:rsidRPr="00C07B2E" w:rsidRDefault="0089207C" w:rsidP="002D3EBF">
            <w:pPr>
              <w:rPr>
                <w:rFonts w:eastAsia="SimSun"/>
              </w:rPr>
            </w:pPr>
            <w:r w:rsidRPr="00C07B2E">
              <w:rPr>
                <w:rFonts w:eastAsia="SimSun"/>
              </w:rPr>
              <w:t>Бусульфан</w:t>
            </w:r>
          </w:p>
        </w:tc>
        <w:tc>
          <w:tcPr>
            <w:tcW w:w="1417" w:type="dxa"/>
            <w:vAlign w:val="center"/>
          </w:tcPr>
          <w:p w14:paraId="157FA725" w14:textId="77777777" w:rsidR="0089207C" w:rsidRPr="00C07B2E" w:rsidRDefault="0089207C" w:rsidP="002D3EBF">
            <w:pPr>
              <w:rPr>
                <w:rFonts w:eastAsia="SimSun"/>
              </w:rPr>
            </w:pPr>
            <w:r w:rsidRPr="00C07B2E">
              <w:rPr>
                <w:rFonts w:eastAsia="SimSun"/>
              </w:rPr>
              <w:t xml:space="preserve">4 мг/кг </w:t>
            </w:r>
          </w:p>
        </w:tc>
        <w:tc>
          <w:tcPr>
            <w:tcW w:w="1418" w:type="dxa"/>
            <w:vAlign w:val="center"/>
          </w:tcPr>
          <w:p w14:paraId="5D3BF29B" w14:textId="77777777" w:rsidR="0089207C" w:rsidRPr="00C07B2E" w:rsidRDefault="0089207C" w:rsidP="002D3EBF">
            <w:pPr>
              <w:rPr>
                <w:rFonts w:eastAsia="SimSun"/>
              </w:rPr>
            </w:pPr>
            <w:r w:rsidRPr="00C07B2E">
              <w:rPr>
                <w:rFonts w:eastAsia="SimSun"/>
                <w:lang w:val="en-US"/>
              </w:rPr>
              <w:t>1</w:t>
            </w:r>
            <w:r w:rsidRPr="00C07B2E">
              <w:rPr>
                <w:rFonts w:eastAsia="SimSun"/>
              </w:rPr>
              <w:t xml:space="preserve">2мг/кг </w:t>
            </w:r>
          </w:p>
        </w:tc>
        <w:tc>
          <w:tcPr>
            <w:tcW w:w="1701" w:type="dxa"/>
            <w:vAlign w:val="center"/>
          </w:tcPr>
          <w:p w14:paraId="5FD71F0A" w14:textId="77777777" w:rsidR="0089207C" w:rsidRPr="00C07B2E" w:rsidRDefault="0089207C" w:rsidP="002D3EBF">
            <w:pPr>
              <w:rPr>
                <w:rFonts w:eastAsia="SimSun"/>
              </w:rPr>
            </w:pPr>
            <w:r w:rsidRPr="00C07B2E">
              <w:rPr>
                <w:rFonts w:eastAsia="SimSun"/>
              </w:rPr>
              <w:t>С -</w:t>
            </w:r>
            <w:r w:rsidRPr="00C07B2E">
              <w:rPr>
                <w:rFonts w:eastAsia="SimSun"/>
                <w:lang w:val="en-US"/>
              </w:rPr>
              <w:t>5</w:t>
            </w:r>
            <w:r w:rsidRPr="00C07B2E">
              <w:rPr>
                <w:rFonts w:eastAsia="SimSun"/>
              </w:rPr>
              <w:t xml:space="preserve"> дня по -3 день</w:t>
            </w:r>
          </w:p>
        </w:tc>
        <w:tc>
          <w:tcPr>
            <w:tcW w:w="2268" w:type="dxa"/>
            <w:vAlign w:val="center"/>
          </w:tcPr>
          <w:p w14:paraId="5ACEB0B3" w14:textId="77777777" w:rsidR="0089207C" w:rsidRPr="00C07B2E" w:rsidRDefault="0089207C" w:rsidP="002D3EBF">
            <w:pPr>
              <w:rPr>
                <w:rFonts w:eastAsia="SimSun"/>
              </w:rPr>
            </w:pPr>
            <w:r w:rsidRPr="00C07B2E">
              <w:rPr>
                <w:rFonts w:eastAsia="SimSun"/>
              </w:rPr>
              <w:t>Внутрь, суммарная суточная доза разделяется на 4 приема с интервалом 6 часов.</w:t>
            </w:r>
          </w:p>
        </w:tc>
      </w:tr>
      <w:tr w:rsidR="0089207C" w:rsidRPr="00C07B2E" w14:paraId="1D0CA217" w14:textId="77777777" w:rsidTr="002D3EBF">
        <w:trPr>
          <w:cantSplit/>
          <w:trHeight w:val="1498"/>
        </w:trPr>
        <w:tc>
          <w:tcPr>
            <w:tcW w:w="993" w:type="dxa"/>
            <w:vMerge w:val="restart"/>
            <w:textDirection w:val="btLr"/>
            <w:vAlign w:val="center"/>
          </w:tcPr>
          <w:p w14:paraId="151D6B5C" w14:textId="77777777" w:rsidR="0089207C" w:rsidRPr="00C07B2E" w:rsidRDefault="0089207C" w:rsidP="002D3EBF">
            <w:pPr>
              <w:rPr>
                <w:rFonts w:eastAsia="SimSun"/>
              </w:rPr>
            </w:pPr>
            <w:r w:rsidRPr="00C07B2E">
              <w:rPr>
                <w:rFonts w:eastAsia="SimSun"/>
              </w:rPr>
              <w:t>Профилактика РТПХ</w:t>
            </w:r>
          </w:p>
        </w:tc>
        <w:tc>
          <w:tcPr>
            <w:tcW w:w="1843" w:type="dxa"/>
            <w:vAlign w:val="center"/>
          </w:tcPr>
          <w:p w14:paraId="24AC68B6" w14:textId="77777777" w:rsidR="0089207C" w:rsidRPr="00C07B2E" w:rsidRDefault="0089207C" w:rsidP="002D3EBF">
            <w:pPr>
              <w:rPr>
                <w:rFonts w:eastAsia="SimSun"/>
              </w:rPr>
            </w:pPr>
            <w:r w:rsidRPr="00C07B2E">
              <w:rPr>
                <w:rFonts w:eastAsia="SimSun"/>
              </w:rPr>
              <w:t>Циклофосфамид</w:t>
            </w:r>
          </w:p>
        </w:tc>
        <w:tc>
          <w:tcPr>
            <w:tcW w:w="1417" w:type="dxa"/>
            <w:vAlign w:val="center"/>
          </w:tcPr>
          <w:p w14:paraId="0539E21E" w14:textId="77777777" w:rsidR="0089207C" w:rsidRPr="00C07B2E" w:rsidRDefault="0089207C" w:rsidP="002D3EBF">
            <w:pPr>
              <w:rPr>
                <w:rFonts w:eastAsia="SimSun"/>
              </w:rPr>
            </w:pPr>
            <w:r w:rsidRPr="00C07B2E">
              <w:rPr>
                <w:rFonts w:eastAsia="SimSun"/>
              </w:rPr>
              <w:t>50 мг/кг</w:t>
            </w:r>
          </w:p>
        </w:tc>
        <w:tc>
          <w:tcPr>
            <w:tcW w:w="1418" w:type="dxa"/>
            <w:vAlign w:val="center"/>
          </w:tcPr>
          <w:p w14:paraId="18A43DC4" w14:textId="77777777" w:rsidR="0089207C" w:rsidRPr="00C07B2E" w:rsidRDefault="0089207C" w:rsidP="002D3EBF">
            <w:pPr>
              <w:rPr>
                <w:rFonts w:eastAsia="SimSun"/>
              </w:rPr>
            </w:pPr>
            <w:r w:rsidRPr="00C07B2E">
              <w:rPr>
                <w:rFonts w:eastAsia="SimSun"/>
              </w:rPr>
              <w:t>100 мг/кг</w:t>
            </w:r>
          </w:p>
        </w:tc>
        <w:tc>
          <w:tcPr>
            <w:tcW w:w="1701" w:type="dxa"/>
            <w:vAlign w:val="center"/>
          </w:tcPr>
          <w:p w14:paraId="6FE249C3" w14:textId="77777777" w:rsidR="0089207C" w:rsidRPr="00C07B2E" w:rsidRDefault="0089207C" w:rsidP="002D3EBF">
            <w:pPr>
              <w:rPr>
                <w:rFonts w:eastAsia="SimSun"/>
              </w:rPr>
            </w:pPr>
            <w:r w:rsidRPr="00C07B2E">
              <w:rPr>
                <w:rFonts w:eastAsia="SimSun"/>
              </w:rPr>
              <w:t>С +3 дня по +4 день</w:t>
            </w:r>
          </w:p>
        </w:tc>
        <w:tc>
          <w:tcPr>
            <w:tcW w:w="2268" w:type="dxa"/>
            <w:vAlign w:val="center"/>
          </w:tcPr>
          <w:p w14:paraId="5734BB92" w14:textId="77777777" w:rsidR="0089207C" w:rsidRPr="00C07B2E" w:rsidRDefault="0089207C" w:rsidP="002D3EBF">
            <w:pPr>
              <w:rPr>
                <w:rFonts w:eastAsia="SimSun"/>
              </w:rPr>
            </w:pPr>
            <w:r w:rsidRPr="00C07B2E">
              <w:rPr>
                <w:rFonts w:eastAsia="SimSun"/>
              </w:rPr>
              <w:t xml:space="preserve">В/в, в течение 2 ч  </w:t>
            </w:r>
          </w:p>
        </w:tc>
      </w:tr>
      <w:tr w:rsidR="0089207C" w:rsidRPr="00C07B2E" w14:paraId="1F8862DE" w14:textId="77777777" w:rsidTr="002D3EBF">
        <w:trPr>
          <w:cantSplit/>
          <w:trHeight w:val="958"/>
        </w:trPr>
        <w:tc>
          <w:tcPr>
            <w:tcW w:w="993" w:type="dxa"/>
            <w:vMerge/>
            <w:textDirection w:val="btLr"/>
            <w:vAlign w:val="center"/>
          </w:tcPr>
          <w:p w14:paraId="08B2FBDD" w14:textId="77777777" w:rsidR="0089207C" w:rsidRPr="00C07B2E" w:rsidRDefault="0089207C" w:rsidP="002D3EBF">
            <w:pPr>
              <w:rPr>
                <w:rFonts w:eastAsia="SimSun"/>
              </w:rPr>
            </w:pPr>
          </w:p>
        </w:tc>
        <w:tc>
          <w:tcPr>
            <w:tcW w:w="1843" w:type="dxa"/>
            <w:vAlign w:val="center"/>
          </w:tcPr>
          <w:p w14:paraId="557506E7" w14:textId="77777777" w:rsidR="0089207C" w:rsidRPr="00C07B2E" w:rsidRDefault="0089207C" w:rsidP="002D3EBF">
            <w:pPr>
              <w:rPr>
                <w:rFonts w:eastAsia="SimSun"/>
              </w:rPr>
            </w:pPr>
            <w:r w:rsidRPr="00C07B2E">
              <w:rPr>
                <w:rFonts w:eastAsia="SimSun"/>
              </w:rPr>
              <w:t xml:space="preserve">Такролимус </w:t>
            </w:r>
          </w:p>
        </w:tc>
        <w:tc>
          <w:tcPr>
            <w:tcW w:w="1417" w:type="dxa"/>
            <w:vAlign w:val="center"/>
          </w:tcPr>
          <w:p w14:paraId="0596BFE9" w14:textId="77777777" w:rsidR="0089207C" w:rsidRPr="00C07B2E" w:rsidRDefault="0089207C" w:rsidP="002D3EBF">
            <w:pPr>
              <w:rPr>
                <w:rFonts w:eastAsia="SimSun"/>
              </w:rPr>
            </w:pPr>
            <w:r w:rsidRPr="00C07B2E">
              <w:rPr>
                <w:rFonts w:eastAsia="SimSun"/>
              </w:rPr>
              <w:t>0,03 мг/кг</w:t>
            </w:r>
          </w:p>
        </w:tc>
        <w:tc>
          <w:tcPr>
            <w:tcW w:w="1418" w:type="dxa"/>
            <w:vAlign w:val="center"/>
          </w:tcPr>
          <w:p w14:paraId="034D0805" w14:textId="77777777" w:rsidR="0089207C" w:rsidRPr="00C07B2E" w:rsidRDefault="0089207C" w:rsidP="002D3EBF">
            <w:pPr>
              <w:rPr>
                <w:rFonts w:eastAsia="SimSun"/>
              </w:rPr>
            </w:pPr>
            <w:r w:rsidRPr="00C07B2E">
              <w:rPr>
                <w:rFonts w:eastAsia="SimSun"/>
                <w:lang w:val="en-US"/>
              </w:rPr>
              <w:t>–</w:t>
            </w:r>
          </w:p>
        </w:tc>
        <w:tc>
          <w:tcPr>
            <w:tcW w:w="1701" w:type="dxa"/>
            <w:vAlign w:val="center"/>
          </w:tcPr>
          <w:p w14:paraId="3D394809" w14:textId="77777777" w:rsidR="0089207C" w:rsidRPr="00C07B2E" w:rsidRDefault="0089207C" w:rsidP="002D3EBF">
            <w:pPr>
              <w:rPr>
                <w:rFonts w:eastAsia="SimSun"/>
              </w:rPr>
            </w:pPr>
            <w:r w:rsidRPr="00C07B2E">
              <w:rPr>
                <w:rFonts w:eastAsia="SimSun"/>
              </w:rPr>
              <w:t xml:space="preserve">С +5 дня длительно </w:t>
            </w:r>
          </w:p>
        </w:tc>
        <w:tc>
          <w:tcPr>
            <w:tcW w:w="2268" w:type="dxa"/>
            <w:vAlign w:val="center"/>
          </w:tcPr>
          <w:p w14:paraId="598D5F28" w14:textId="77777777" w:rsidR="0089207C" w:rsidRPr="000F445E" w:rsidRDefault="0089207C" w:rsidP="002D3EBF">
            <w:pPr>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Перевод на прием внутрь при условии восстановления лейкоцитов &gt; 1</w:t>
            </w:r>
            <w:r>
              <w:rPr>
                <w:rFonts w:eastAsia="SimSun"/>
              </w:rPr>
              <w:t xml:space="preserve">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0F445E">
              <w:rPr>
                <w:rFonts w:eastAsia="SimSun"/>
              </w:rPr>
              <w:t xml:space="preserve"> 5-15 нг/мл.   </w:t>
            </w:r>
          </w:p>
        </w:tc>
      </w:tr>
      <w:tr w:rsidR="0089207C" w:rsidRPr="00C07B2E" w14:paraId="3CF18982" w14:textId="77777777" w:rsidTr="002D3EBF">
        <w:trPr>
          <w:cantSplit/>
          <w:trHeight w:val="1861"/>
        </w:trPr>
        <w:tc>
          <w:tcPr>
            <w:tcW w:w="993" w:type="dxa"/>
            <w:vMerge/>
            <w:textDirection w:val="btLr"/>
            <w:vAlign w:val="center"/>
          </w:tcPr>
          <w:p w14:paraId="4E459040" w14:textId="77777777" w:rsidR="0089207C" w:rsidRPr="000F445E" w:rsidRDefault="0089207C" w:rsidP="002D3EBF">
            <w:pPr>
              <w:rPr>
                <w:rFonts w:eastAsia="SimSun"/>
              </w:rPr>
            </w:pPr>
          </w:p>
        </w:tc>
        <w:tc>
          <w:tcPr>
            <w:tcW w:w="1843" w:type="dxa"/>
            <w:vAlign w:val="center"/>
          </w:tcPr>
          <w:p w14:paraId="5DBBCA87" w14:textId="77777777" w:rsidR="0089207C" w:rsidRPr="00C07B2E" w:rsidRDefault="0089207C" w:rsidP="002D3EBF">
            <w:pPr>
              <w:rPr>
                <w:rFonts w:eastAsia="SimSun"/>
              </w:rPr>
            </w:pPr>
            <w:r w:rsidRPr="00C07B2E">
              <w:rPr>
                <w:rFonts w:eastAsia="SimSun"/>
              </w:rPr>
              <w:t>Микофенолата мофетил</w:t>
            </w:r>
          </w:p>
        </w:tc>
        <w:tc>
          <w:tcPr>
            <w:tcW w:w="1417" w:type="dxa"/>
            <w:vAlign w:val="center"/>
          </w:tcPr>
          <w:p w14:paraId="085590BC" w14:textId="77777777" w:rsidR="0089207C" w:rsidRPr="00C07B2E" w:rsidRDefault="0089207C" w:rsidP="002D3EBF">
            <w:pPr>
              <w:rPr>
                <w:rFonts w:eastAsia="SimSun"/>
              </w:rPr>
            </w:pPr>
            <w:r w:rsidRPr="00C07B2E">
              <w:rPr>
                <w:rFonts w:eastAsia="SimSun"/>
              </w:rPr>
              <w:t xml:space="preserve">30 мг/кг </w:t>
            </w:r>
          </w:p>
        </w:tc>
        <w:tc>
          <w:tcPr>
            <w:tcW w:w="1418" w:type="dxa"/>
            <w:vAlign w:val="center"/>
          </w:tcPr>
          <w:p w14:paraId="559E4128" w14:textId="77777777" w:rsidR="0089207C" w:rsidRPr="00C07B2E" w:rsidRDefault="0089207C" w:rsidP="002D3EBF">
            <w:pPr>
              <w:rPr>
                <w:rFonts w:eastAsia="SimSun"/>
              </w:rPr>
            </w:pPr>
            <w:r w:rsidRPr="00C07B2E">
              <w:rPr>
                <w:rFonts w:eastAsia="SimSun"/>
              </w:rPr>
              <w:t>–</w:t>
            </w:r>
          </w:p>
        </w:tc>
        <w:tc>
          <w:tcPr>
            <w:tcW w:w="1701" w:type="dxa"/>
            <w:vAlign w:val="center"/>
          </w:tcPr>
          <w:p w14:paraId="33367299" w14:textId="77777777" w:rsidR="0089207C" w:rsidRPr="00C07B2E" w:rsidRDefault="0089207C" w:rsidP="002D3EBF">
            <w:pPr>
              <w:rPr>
                <w:rFonts w:eastAsia="SimSun"/>
              </w:rPr>
            </w:pPr>
            <w:r w:rsidRPr="00C07B2E">
              <w:rPr>
                <w:rFonts w:eastAsia="SimSun"/>
              </w:rPr>
              <w:t xml:space="preserve">С +5 дня по +35 день </w:t>
            </w:r>
          </w:p>
        </w:tc>
        <w:tc>
          <w:tcPr>
            <w:tcW w:w="2268" w:type="dxa"/>
            <w:vAlign w:val="center"/>
          </w:tcPr>
          <w:p w14:paraId="4AD733F8" w14:textId="77777777" w:rsidR="0089207C" w:rsidRPr="00C07B2E" w:rsidRDefault="0089207C" w:rsidP="002D3EBF">
            <w:pPr>
              <w:rPr>
                <w:rFonts w:eastAsia="SimSun"/>
              </w:rPr>
            </w:pPr>
            <w:r w:rsidRPr="00C07B2E">
              <w:rPr>
                <w:rFonts w:eastAsia="SimSun"/>
              </w:rPr>
              <w:t>Внутрь, суммарная суточная доза разделяется на 2- 4 приема (не более 3г/сут).</w:t>
            </w:r>
          </w:p>
        </w:tc>
      </w:tr>
    </w:tbl>
    <w:p w14:paraId="193526F5" w14:textId="77777777" w:rsidR="0089207C" w:rsidRPr="00C07B2E" w:rsidRDefault="0089207C" w:rsidP="0089207C">
      <w:pPr>
        <w:rPr>
          <w:rFonts w:eastAsia="SimSun"/>
        </w:rPr>
      </w:pPr>
    </w:p>
    <w:p w14:paraId="2724399B" w14:textId="77777777" w:rsidR="0089207C" w:rsidRPr="00C07B2E" w:rsidRDefault="0089207C" w:rsidP="0089207C">
      <w:pPr>
        <w:rPr>
          <w:rFonts w:eastAsia="SimSun"/>
        </w:rPr>
      </w:pPr>
      <w:bookmarkStart w:id="203" w:name="_Toc44401150"/>
      <w:r w:rsidRPr="00042499">
        <w:rPr>
          <w:rFonts w:eastAsia="SimSun"/>
        </w:rPr>
        <w:t>Таблица</w:t>
      </w:r>
      <w:r w:rsidRPr="00C07B2E">
        <w:rPr>
          <w:rFonts w:eastAsia="SimSun"/>
        </w:rPr>
        <w:t xml:space="preserve"> </w:t>
      </w:r>
      <w:r>
        <w:rPr>
          <w:rFonts w:eastAsia="SimSun"/>
        </w:rPr>
        <w:t>5</w:t>
      </w:r>
      <w:r w:rsidRPr="00C07B2E">
        <w:rPr>
          <w:rFonts w:eastAsia="SimSun"/>
        </w:rPr>
        <w:t>.1.1.7  – Flu180+Bu12 / PT-Cy+CSA+MMF30</w:t>
      </w:r>
      <w:bookmarkEnd w:id="2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
        <w:gridCol w:w="1921"/>
        <w:gridCol w:w="1305"/>
        <w:gridCol w:w="1400"/>
        <w:gridCol w:w="1653"/>
        <w:gridCol w:w="2172"/>
      </w:tblGrid>
      <w:tr w:rsidR="0089207C" w:rsidRPr="00C07B2E" w14:paraId="13C1E658" w14:textId="77777777" w:rsidTr="002D3EBF">
        <w:trPr>
          <w:cantSplit/>
          <w:trHeight w:val="20"/>
          <w:tblHeader/>
        </w:trPr>
        <w:tc>
          <w:tcPr>
            <w:tcW w:w="484" w:type="pct"/>
            <w:vAlign w:val="center"/>
          </w:tcPr>
          <w:p w14:paraId="33C2B66B" w14:textId="77777777" w:rsidR="0089207C" w:rsidRPr="00470D3D" w:rsidRDefault="0089207C" w:rsidP="002D3EBF">
            <w:pPr>
              <w:rPr>
                <w:rFonts w:eastAsia="SimSun"/>
              </w:rPr>
            </w:pPr>
          </w:p>
        </w:tc>
        <w:tc>
          <w:tcPr>
            <w:tcW w:w="1003" w:type="pct"/>
            <w:vAlign w:val="center"/>
          </w:tcPr>
          <w:p w14:paraId="4FDCE8CF" w14:textId="77777777" w:rsidR="0089207C" w:rsidRPr="00C07B2E" w:rsidRDefault="0089207C" w:rsidP="002D3EBF">
            <w:pPr>
              <w:rPr>
                <w:rFonts w:eastAsia="SimSun"/>
              </w:rPr>
            </w:pPr>
            <w:r w:rsidRPr="00C07B2E">
              <w:rPr>
                <w:rFonts w:eastAsia="SimSun"/>
              </w:rPr>
              <w:t>Препарат</w:t>
            </w:r>
          </w:p>
        </w:tc>
        <w:tc>
          <w:tcPr>
            <w:tcW w:w="703" w:type="pct"/>
            <w:vAlign w:val="center"/>
          </w:tcPr>
          <w:p w14:paraId="68DC210B" w14:textId="77777777" w:rsidR="0089207C" w:rsidRPr="00C07B2E" w:rsidRDefault="0089207C" w:rsidP="002D3EBF">
            <w:pPr>
              <w:rPr>
                <w:rFonts w:eastAsia="SimSun"/>
              </w:rPr>
            </w:pPr>
            <w:r w:rsidRPr="00C07B2E">
              <w:rPr>
                <w:rFonts w:eastAsia="SimSun"/>
              </w:rPr>
              <w:t>Суточная доза</w:t>
            </w:r>
          </w:p>
        </w:tc>
        <w:tc>
          <w:tcPr>
            <w:tcW w:w="754" w:type="pct"/>
            <w:vAlign w:val="center"/>
          </w:tcPr>
          <w:p w14:paraId="5FEC86A6" w14:textId="77777777" w:rsidR="0089207C" w:rsidRPr="00C07B2E" w:rsidRDefault="0089207C" w:rsidP="002D3EBF">
            <w:pPr>
              <w:rPr>
                <w:rFonts w:eastAsia="SimSun"/>
              </w:rPr>
            </w:pPr>
            <w:r w:rsidRPr="00C07B2E">
              <w:rPr>
                <w:rFonts w:eastAsia="SimSun"/>
              </w:rPr>
              <w:t>Курсовая доза</w:t>
            </w:r>
          </w:p>
        </w:tc>
        <w:tc>
          <w:tcPr>
            <w:tcW w:w="889" w:type="pct"/>
            <w:vAlign w:val="center"/>
          </w:tcPr>
          <w:p w14:paraId="0FF67E7A" w14:textId="77777777" w:rsidR="0089207C" w:rsidRPr="00C07B2E" w:rsidRDefault="0089207C" w:rsidP="002D3EBF">
            <w:pPr>
              <w:rPr>
                <w:rFonts w:eastAsia="SimSun"/>
              </w:rPr>
            </w:pPr>
            <w:r w:rsidRPr="00C07B2E">
              <w:rPr>
                <w:rFonts w:eastAsia="SimSun"/>
              </w:rPr>
              <w:t>Дни введения</w:t>
            </w:r>
          </w:p>
        </w:tc>
        <w:tc>
          <w:tcPr>
            <w:tcW w:w="1167" w:type="pct"/>
            <w:vAlign w:val="center"/>
          </w:tcPr>
          <w:p w14:paraId="7E5EBE92" w14:textId="77777777" w:rsidR="0089207C" w:rsidRPr="00C07B2E" w:rsidRDefault="0089207C" w:rsidP="002D3EBF">
            <w:pPr>
              <w:rPr>
                <w:rFonts w:eastAsia="SimSun"/>
              </w:rPr>
            </w:pPr>
            <w:r w:rsidRPr="00C07B2E">
              <w:rPr>
                <w:rFonts w:eastAsia="SimSun"/>
              </w:rPr>
              <w:t>Порядок введения</w:t>
            </w:r>
          </w:p>
        </w:tc>
      </w:tr>
      <w:tr w:rsidR="0089207C" w:rsidRPr="00C07B2E" w14:paraId="528CEC91" w14:textId="77777777" w:rsidTr="002D3EBF">
        <w:trPr>
          <w:cantSplit/>
          <w:trHeight w:val="20"/>
        </w:trPr>
        <w:tc>
          <w:tcPr>
            <w:tcW w:w="484" w:type="pct"/>
            <w:vMerge w:val="restart"/>
            <w:textDirection w:val="btLr"/>
            <w:vAlign w:val="center"/>
          </w:tcPr>
          <w:p w14:paraId="10AE88D3" w14:textId="77777777" w:rsidR="0089207C" w:rsidRPr="00C07B2E" w:rsidRDefault="0089207C" w:rsidP="002D3EBF">
            <w:pPr>
              <w:rPr>
                <w:rFonts w:eastAsia="SimSun"/>
              </w:rPr>
            </w:pPr>
            <w:r w:rsidRPr="00C07B2E">
              <w:rPr>
                <w:rFonts w:eastAsia="SimSun"/>
              </w:rPr>
              <w:t>Кондиционирование</w:t>
            </w:r>
          </w:p>
        </w:tc>
        <w:tc>
          <w:tcPr>
            <w:tcW w:w="1003" w:type="pct"/>
            <w:vAlign w:val="center"/>
          </w:tcPr>
          <w:p w14:paraId="12C3CBBD" w14:textId="77777777" w:rsidR="0089207C" w:rsidRPr="00C07B2E" w:rsidRDefault="0089207C" w:rsidP="002D3EBF">
            <w:pPr>
              <w:rPr>
                <w:rFonts w:eastAsia="SimSun"/>
              </w:rPr>
            </w:pPr>
            <w:r w:rsidRPr="00C07B2E">
              <w:rPr>
                <w:rFonts w:eastAsia="SimSun"/>
              </w:rPr>
              <w:t xml:space="preserve">Флударабин </w:t>
            </w:r>
          </w:p>
        </w:tc>
        <w:tc>
          <w:tcPr>
            <w:tcW w:w="703" w:type="pct"/>
            <w:vAlign w:val="center"/>
          </w:tcPr>
          <w:p w14:paraId="7C6BD744" w14:textId="77777777" w:rsidR="0089207C" w:rsidRPr="00C07B2E" w:rsidRDefault="0089207C" w:rsidP="002D3EBF">
            <w:pPr>
              <w:rPr>
                <w:rFonts w:eastAsia="SimSun"/>
              </w:rPr>
            </w:pPr>
            <w:r w:rsidRPr="00C07B2E">
              <w:rPr>
                <w:rFonts w:eastAsia="SimSun"/>
              </w:rPr>
              <w:t>30 мг/м</w:t>
            </w:r>
            <w:r w:rsidRPr="000F445E">
              <w:rPr>
                <w:rFonts w:eastAsia="SimSun"/>
                <w:vertAlign w:val="superscript"/>
              </w:rPr>
              <w:t>2</w:t>
            </w:r>
          </w:p>
        </w:tc>
        <w:tc>
          <w:tcPr>
            <w:tcW w:w="754" w:type="pct"/>
            <w:vAlign w:val="center"/>
          </w:tcPr>
          <w:p w14:paraId="502E4217" w14:textId="77777777" w:rsidR="0089207C" w:rsidRPr="00C07B2E" w:rsidRDefault="0089207C" w:rsidP="002D3EBF">
            <w:pPr>
              <w:rPr>
                <w:rFonts w:eastAsia="SimSun"/>
              </w:rPr>
            </w:pPr>
            <w:r w:rsidRPr="00C07B2E">
              <w:rPr>
                <w:rFonts w:eastAsia="SimSun"/>
              </w:rPr>
              <w:t>180 мг/м</w:t>
            </w:r>
            <w:r w:rsidRPr="000F445E">
              <w:rPr>
                <w:rFonts w:eastAsia="SimSun"/>
                <w:vertAlign w:val="superscript"/>
              </w:rPr>
              <w:t>2</w:t>
            </w:r>
          </w:p>
        </w:tc>
        <w:tc>
          <w:tcPr>
            <w:tcW w:w="889" w:type="pct"/>
            <w:vAlign w:val="center"/>
          </w:tcPr>
          <w:p w14:paraId="19AA45E6" w14:textId="77777777" w:rsidR="0089207C" w:rsidRPr="00C07B2E" w:rsidRDefault="0089207C" w:rsidP="002D3EBF">
            <w:pPr>
              <w:rPr>
                <w:rFonts w:eastAsia="SimSun"/>
              </w:rPr>
            </w:pPr>
            <w:r w:rsidRPr="00C07B2E">
              <w:rPr>
                <w:rFonts w:eastAsia="SimSun"/>
              </w:rPr>
              <w:t>С -7 дня по -2 день</w:t>
            </w:r>
          </w:p>
        </w:tc>
        <w:tc>
          <w:tcPr>
            <w:tcW w:w="1167" w:type="pct"/>
            <w:vAlign w:val="center"/>
          </w:tcPr>
          <w:p w14:paraId="34483E5B" w14:textId="77777777" w:rsidR="0089207C" w:rsidRPr="00C07B2E" w:rsidRDefault="0089207C" w:rsidP="002D3EBF">
            <w:pPr>
              <w:rPr>
                <w:rFonts w:eastAsia="SimSun"/>
              </w:rPr>
            </w:pPr>
            <w:r w:rsidRPr="00C07B2E">
              <w:rPr>
                <w:rFonts w:eastAsia="SimSun"/>
              </w:rPr>
              <w:t>В/в, в течение 30 - 60 мин</w:t>
            </w:r>
          </w:p>
        </w:tc>
      </w:tr>
      <w:tr w:rsidR="0089207C" w:rsidRPr="00C07B2E" w14:paraId="7A6D8313" w14:textId="77777777" w:rsidTr="002D3EBF">
        <w:trPr>
          <w:cantSplit/>
          <w:trHeight w:val="1207"/>
        </w:trPr>
        <w:tc>
          <w:tcPr>
            <w:tcW w:w="484" w:type="pct"/>
            <w:vMerge/>
            <w:vAlign w:val="center"/>
          </w:tcPr>
          <w:p w14:paraId="035C69C5" w14:textId="77777777" w:rsidR="0089207C" w:rsidRPr="00C07B2E" w:rsidRDefault="0089207C" w:rsidP="002D3EBF">
            <w:pPr>
              <w:rPr>
                <w:rFonts w:eastAsia="SimSun"/>
              </w:rPr>
            </w:pPr>
          </w:p>
        </w:tc>
        <w:tc>
          <w:tcPr>
            <w:tcW w:w="1003" w:type="pct"/>
            <w:vAlign w:val="center"/>
          </w:tcPr>
          <w:p w14:paraId="0B525E0C" w14:textId="77777777" w:rsidR="0089207C" w:rsidRPr="00C07B2E" w:rsidRDefault="0089207C" w:rsidP="002D3EBF">
            <w:pPr>
              <w:rPr>
                <w:rFonts w:eastAsia="SimSun"/>
              </w:rPr>
            </w:pPr>
            <w:r w:rsidRPr="00C07B2E">
              <w:rPr>
                <w:rFonts w:eastAsia="SimSun"/>
              </w:rPr>
              <w:t>Бусульфан</w:t>
            </w:r>
          </w:p>
        </w:tc>
        <w:tc>
          <w:tcPr>
            <w:tcW w:w="703" w:type="pct"/>
            <w:vAlign w:val="center"/>
          </w:tcPr>
          <w:p w14:paraId="71EE9DAA" w14:textId="77777777" w:rsidR="0089207C" w:rsidRPr="00C07B2E" w:rsidRDefault="0089207C" w:rsidP="002D3EBF">
            <w:pPr>
              <w:rPr>
                <w:rFonts w:eastAsia="SimSun"/>
              </w:rPr>
            </w:pPr>
            <w:r w:rsidRPr="00C07B2E">
              <w:rPr>
                <w:rFonts w:eastAsia="SimSun"/>
              </w:rPr>
              <w:t xml:space="preserve">4 мг/кг </w:t>
            </w:r>
          </w:p>
        </w:tc>
        <w:tc>
          <w:tcPr>
            <w:tcW w:w="754" w:type="pct"/>
            <w:vAlign w:val="center"/>
          </w:tcPr>
          <w:p w14:paraId="6A238282" w14:textId="77777777" w:rsidR="0089207C" w:rsidRPr="00C07B2E" w:rsidRDefault="0089207C" w:rsidP="002D3EBF">
            <w:pPr>
              <w:rPr>
                <w:rFonts w:eastAsia="SimSun"/>
              </w:rPr>
            </w:pPr>
            <w:r w:rsidRPr="00C07B2E">
              <w:rPr>
                <w:rFonts w:eastAsia="SimSun"/>
                <w:lang w:val="en-US"/>
              </w:rPr>
              <w:t>12</w:t>
            </w:r>
            <w:r w:rsidRPr="00C07B2E">
              <w:rPr>
                <w:rFonts w:eastAsia="SimSun"/>
              </w:rPr>
              <w:t xml:space="preserve"> мг/кг </w:t>
            </w:r>
          </w:p>
        </w:tc>
        <w:tc>
          <w:tcPr>
            <w:tcW w:w="889" w:type="pct"/>
            <w:vAlign w:val="center"/>
          </w:tcPr>
          <w:p w14:paraId="6F52A9E3" w14:textId="77777777" w:rsidR="0089207C" w:rsidRPr="00C07B2E" w:rsidRDefault="0089207C" w:rsidP="002D3EBF">
            <w:pPr>
              <w:rPr>
                <w:rFonts w:eastAsia="SimSun"/>
              </w:rPr>
            </w:pPr>
            <w:r w:rsidRPr="00C07B2E">
              <w:rPr>
                <w:rFonts w:eastAsia="SimSun"/>
              </w:rPr>
              <w:t>С -</w:t>
            </w:r>
            <w:r w:rsidRPr="00C07B2E">
              <w:rPr>
                <w:rFonts w:eastAsia="SimSun"/>
                <w:lang w:val="en-US"/>
              </w:rPr>
              <w:t>5</w:t>
            </w:r>
            <w:r w:rsidRPr="00C07B2E">
              <w:rPr>
                <w:rFonts w:eastAsia="SimSun"/>
              </w:rPr>
              <w:t xml:space="preserve"> дня по -3 день</w:t>
            </w:r>
          </w:p>
        </w:tc>
        <w:tc>
          <w:tcPr>
            <w:tcW w:w="1167" w:type="pct"/>
            <w:vAlign w:val="center"/>
          </w:tcPr>
          <w:p w14:paraId="514C628C" w14:textId="77777777" w:rsidR="0089207C" w:rsidRPr="00C07B2E" w:rsidRDefault="0089207C" w:rsidP="002D3EBF">
            <w:pPr>
              <w:rPr>
                <w:rFonts w:eastAsia="SimSun"/>
              </w:rPr>
            </w:pPr>
            <w:r w:rsidRPr="00C07B2E">
              <w:rPr>
                <w:rFonts w:eastAsia="SimSun"/>
              </w:rPr>
              <w:t>Внутрь, суммарная суточная доза разделяется на 4 приема с интервалом 6 часов.</w:t>
            </w:r>
          </w:p>
        </w:tc>
      </w:tr>
      <w:tr w:rsidR="0089207C" w:rsidRPr="00C07B2E" w14:paraId="3E7B9C4B" w14:textId="77777777" w:rsidTr="002D3EBF">
        <w:trPr>
          <w:cantSplit/>
          <w:trHeight w:val="1498"/>
        </w:trPr>
        <w:tc>
          <w:tcPr>
            <w:tcW w:w="484" w:type="pct"/>
            <w:vMerge w:val="restart"/>
            <w:textDirection w:val="btLr"/>
            <w:vAlign w:val="center"/>
          </w:tcPr>
          <w:p w14:paraId="564A7786" w14:textId="77777777" w:rsidR="0089207C" w:rsidRPr="00C07B2E" w:rsidRDefault="0089207C" w:rsidP="002D3EBF">
            <w:pPr>
              <w:rPr>
                <w:rFonts w:eastAsia="SimSun"/>
              </w:rPr>
            </w:pPr>
            <w:r w:rsidRPr="00C07B2E">
              <w:rPr>
                <w:rFonts w:eastAsia="SimSun"/>
              </w:rPr>
              <w:t>Профилактика РТПХ</w:t>
            </w:r>
          </w:p>
        </w:tc>
        <w:tc>
          <w:tcPr>
            <w:tcW w:w="1003" w:type="pct"/>
            <w:vAlign w:val="center"/>
          </w:tcPr>
          <w:p w14:paraId="01D820D5" w14:textId="77777777" w:rsidR="0089207C" w:rsidRPr="00C07B2E" w:rsidRDefault="0089207C" w:rsidP="002D3EBF">
            <w:pPr>
              <w:rPr>
                <w:rFonts w:eastAsia="SimSun"/>
              </w:rPr>
            </w:pPr>
            <w:r w:rsidRPr="00C07B2E">
              <w:rPr>
                <w:rFonts w:eastAsia="SimSun"/>
              </w:rPr>
              <w:t>Циклофосфамид</w:t>
            </w:r>
          </w:p>
        </w:tc>
        <w:tc>
          <w:tcPr>
            <w:tcW w:w="703" w:type="pct"/>
            <w:vAlign w:val="center"/>
          </w:tcPr>
          <w:p w14:paraId="5B7033FD" w14:textId="77777777" w:rsidR="0089207C" w:rsidRPr="00C07B2E" w:rsidRDefault="0089207C" w:rsidP="002D3EBF">
            <w:pPr>
              <w:rPr>
                <w:rFonts w:eastAsia="SimSun"/>
              </w:rPr>
            </w:pPr>
            <w:r w:rsidRPr="00C07B2E">
              <w:rPr>
                <w:rFonts w:eastAsia="SimSun"/>
              </w:rPr>
              <w:t>50 мг/кг</w:t>
            </w:r>
          </w:p>
        </w:tc>
        <w:tc>
          <w:tcPr>
            <w:tcW w:w="754" w:type="pct"/>
            <w:vAlign w:val="center"/>
          </w:tcPr>
          <w:p w14:paraId="7A875BFB" w14:textId="77777777" w:rsidR="0089207C" w:rsidRPr="00C07B2E" w:rsidRDefault="0089207C" w:rsidP="002D3EBF">
            <w:pPr>
              <w:rPr>
                <w:rFonts w:eastAsia="SimSun"/>
              </w:rPr>
            </w:pPr>
            <w:r w:rsidRPr="00C07B2E">
              <w:rPr>
                <w:rFonts w:eastAsia="SimSun"/>
              </w:rPr>
              <w:t>100 мг/кг</w:t>
            </w:r>
          </w:p>
        </w:tc>
        <w:tc>
          <w:tcPr>
            <w:tcW w:w="889" w:type="pct"/>
            <w:vAlign w:val="center"/>
          </w:tcPr>
          <w:p w14:paraId="35E0B2AE" w14:textId="77777777" w:rsidR="0089207C" w:rsidRPr="00C07B2E" w:rsidRDefault="0089207C" w:rsidP="002D3EBF">
            <w:pPr>
              <w:rPr>
                <w:rFonts w:eastAsia="SimSun"/>
              </w:rPr>
            </w:pPr>
            <w:r w:rsidRPr="00C07B2E">
              <w:rPr>
                <w:rFonts w:eastAsia="SimSun"/>
              </w:rPr>
              <w:t>В +3 день  и +5 день</w:t>
            </w:r>
          </w:p>
        </w:tc>
        <w:tc>
          <w:tcPr>
            <w:tcW w:w="1167" w:type="pct"/>
            <w:vAlign w:val="center"/>
          </w:tcPr>
          <w:p w14:paraId="083398DA" w14:textId="77777777" w:rsidR="0089207C" w:rsidRPr="00C07B2E" w:rsidRDefault="0089207C" w:rsidP="002D3EBF">
            <w:pPr>
              <w:rPr>
                <w:rFonts w:eastAsia="SimSun"/>
              </w:rPr>
            </w:pPr>
            <w:r w:rsidRPr="00C07B2E">
              <w:rPr>
                <w:rFonts w:eastAsia="SimSun"/>
              </w:rPr>
              <w:t xml:space="preserve">В/в, в течение 2 ч  </w:t>
            </w:r>
          </w:p>
        </w:tc>
      </w:tr>
      <w:tr w:rsidR="0089207C" w:rsidRPr="00C07B2E" w14:paraId="7D2A46BF" w14:textId="77777777" w:rsidTr="002D3EBF">
        <w:trPr>
          <w:cantSplit/>
          <w:trHeight w:val="958"/>
        </w:trPr>
        <w:tc>
          <w:tcPr>
            <w:tcW w:w="484" w:type="pct"/>
            <w:vMerge/>
            <w:textDirection w:val="btLr"/>
            <w:vAlign w:val="center"/>
          </w:tcPr>
          <w:p w14:paraId="2727AC75" w14:textId="77777777" w:rsidR="0089207C" w:rsidRPr="00C07B2E" w:rsidRDefault="0089207C" w:rsidP="002D3EBF">
            <w:pPr>
              <w:rPr>
                <w:rFonts w:eastAsia="SimSun"/>
              </w:rPr>
            </w:pPr>
          </w:p>
        </w:tc>
        <w:tc>
          <w:tcPr>
            <w:tcW w:w="1003" w:type="pct"/>
            <w:vAlign w:val="center"/>
          </w:tcPr>
          <w:p w14:paraId="380FDBB9" w14:textId="77777777" w:rsidR="0089207C" w:rsidRPr="00C07B2E" w:rsidRDefault="0089207C" w:rsidP="002D3EBF">
            <w:pPr>
              <w:rPr>
                <w:rFonts w:eastAsia="SimSun"/>
              </w:rPr>
            </w:pPr>
            <w:r w:rsidRPr="00C07B2E">
              <w:rPr>
                <w:rFonts w:eastAsia="SimSun"/>
              </w:rPr>
              <w:t>Микофенолата мофетил</w:t>
            </w:r>
          </w:p>
        </w:tc>
        <w:tc>
          <w:tcPr>
            <w:tcW w:w="703" w:type="pct"/>
            <w:vAlign w:val="center"/>
          </w:tcPr>
          <w:p w14:paraId="536D0C2B" w14:textId="77777777" w:rsidR="0089207C" w:rsidRPr="00C07B2E" w:rsidRDefault="0089207C" w:rsidP="002D3EBF">
            <w:pPr>
              <w:rPr>
                <w:rFonts w:eastAsia="SimSun"/>
              </w:rPr>
            </w:pPr>
            <w:r w:rsidRPr="00C07B2E">
              <w:rPr>
                <w:rFonts w:eastAsia="SimSun"/>
              </w:rPr>
              <w:t xml:space="preserve">30 мг/кг </w:t>
            </w:r>
          </w:p>
        </w:tc>
        <w:tc>
          <w:tcPr>
            <w:tcW w:w="754" w:type="pct"/>
            <w:vAlign w:val="center"/>
          </w:tcPr>
          <w:p w14:paraId="19789DCC" w14:textId="77777777" w:rsidR="0089207C" w:rsidRPr="00C07B2E" w:rsidRDefault="0089207C" w:rsidP="002D3EBF">
            <w:pPr>
              <w:rPr>
                <w:rFonts w:eastAsia="SimSun"/>
              </w:rPr>
            </w:pPr>
            <w:r w:rsidRPr="00C07B2E">
              <w:rPr>
                <w:rFonts w:eastAsia="SimSun"/>
              </w:rPr>
              <w:t>–</w:t>
            </w:r>
          </w:p>
        </w:tc>
        <w:tc>
          <w:tcPr>
            <w:tcW w:w="889" w:type="pct"/>
            <w:vAlign w:val="center"/>
          </w:tcPr>
          <w:p w14:paraId="434A5C39" w14:textId="77777777" w:rsidR="0089207C" w:rsidRPr="00C07B2E" w:rsidRDefault="0089207C" w:rsidP="002D3EBF">
            <w:pPr>
              <w:rPr>
                <w:rFonts w:eastAsia="SimSun"/>
              </w:rPr>
            </w:pPr>
            <w:r w:rsidRPr="00C07B2E">
              <w:rPr>
                <w:rFonts w:eastAsia="SimSun"/>
              </w:rPr>
              <w:t xml:space="preserve">С +1 дня по +28 день </w:t>
            </w:r>
          </w:p>
        </w:tc>
        <w:tc>
          <w:tcPr>
            <w:tcW w:w="1167" w:type="pct"/>
            <w:vAlign w:val="center"/>
          </w:tcPr>
          <w:p w14:paraId="16C0CAA1" w14:textId="77777777" w:rsidR="0089207C" w:rsidRPr="000F445E" w:rsidRDefault="0089207C" w:rsidP="002D3EBF">
            <w:pPr>
              <w:rPr>
                <w:rFonts w:eastAsia="SimSun"/>
              </w:rPr>
            </w:pPr>
            <w:r w:rsidRPr="000F445E">
              <w:rPr>
                <w:rFonts w:eastAsia="SimSun"/>
              </w:rPr>
              <w:t>Внутрь, суммарная суточная доза разделяется на 2- 4 приема (не более 3</w:t>
            </w:r>
            <w:r>
              <w:rPr>
                <w:rFonts w:eastAsia="SimSun"/>
              </w:rPr>
              <w:t xml:space="preserve"> </w:t>
            </w:r>
            <w:r w:rsidRPr="000F445E">
              <w:rPr>
                <w:rFonts w:eastAsia="SimSun"/>
              </w:rPr>
              <w:t>г/сут).</w:t>
            </w:r>
          </w:p>
        </w:tc>
      </w:tr>
      <w:tr w:rsidR="0089207C" w:rsidRPr="000F445E" w14:paraId="6E11A841" w14:textId="77777777" w:rsidTr="002D3EBF">
        <w:trPr>
          <w:cantSplit/>
          <w:trHeight w:val="958"/>
        </w:trPr>
        <w:tc>
          <w:tcPr>
            <w:tcW w:w="484" w:type="pct"/>
            <w:vMerge/>
            <w:textDirection w:val="btLr"/>
            <w:vAlign w:val="center"/>
          </w:tcPr>
          <w:p w14:paraId="59E8F96F" w14:textId="77777777" w:rsidR="0089207C" w:rsidRPr="000F445E" w:rsidRDefault="0089207C" w:rsidP="002D3EBF">
            <w:pPr>
              <w:rPr>
                <w:rFonts w:eastAsia="SimSun"/>
              </w:rPr>
            </w:pPr>
          </w:p>
        </w:tc>
        <w:tc>
          <w:tcPr>
            <w:tcW w:w="1003" w:type="pct"/>
            <w:vAlign w:val="center"/>
          </w:tcPr>
          <w:p w14:paraId="59B5EE77" w14:textId="77777777" w:rsidR="0089207C" w:rsidRPr="00C07B2E" w:rsidRDefault="0089207C" w:rsidP="002D3EBF">
            <w:pPr>
              <w:rPr>
                <w:rFonts w:eastAsia="SimSun"/>
              </w:rPr>
            </w:pPr>
            <w:r w:rsidRPr="00C07B2E">
              <w:rPr>
                <w:rFonts w:eastAsia="SimSun"/>
              </w:rPr>
              <w:t>Циклоспорин А</w:t>
            </w:r>
          </w:p>
        </w:tc>
        <w:tc>
          <w:tcPr>
            <w:tcW w:w="703" w:type="pct"/>
            <w:vAlign w:val="center"/>
          </w:tcPr>
          <w:p w14:paraId="338A2E96" w14:textId="77777777" w:rsidR="0089207C" w:rsidRPr="00C07B2E" w:rsidRDefault="0089207C" w:rsidP="002D3EBF">
            <w:pPr>
              <w:rPr>
                <w:rFonts w:eastAsia="SimSun"/>
              </w:rPr>
            </w:pPr>
            <w:r w:rsidRPr="00C07B2E">
              <w:rPr>
                <w:rFonts w:eastAsia="SimSun"/>
              </w:rPr>
              <w:t>3  мг/кг</w:t>
            </w:r>
          </w:p>
        </w:tc>
        <w:tc>
          <w:tcPr>
            <w:tcW w:w="754" w:type="pct"/>
            <w:vAlign w:val="center"/>
          </w:tcPr>
          <w:p w14:paraId="572A04C9" w14:textId="77777777" w:rsidR="0089207C" w:rsidRPr="00C07B2E" w:rsidRDefault="0089207C" w:rsidP="002D3EBF">
            <w:pPr>
              <w:rPr>
                <w:rFonts w:eastAsia="SimSun"/>
              </w:rPr>
            </w:pPr>
            <w:r w:rsidRPr="00C07B2E">
              <w:rPr>
                <w:rFonts w:eastAsia="SimSun"/>
              </w:rPr>
              <w:t>-</w:t>
            </w:r>
          </w:p>
        </w:tc>
        <w:tc>
          <w:tcPr>
            <w:tcW w:w="889" w:type="pct"/>
            <w:vAlign w:val="center"/>
          </w:tcPr>
          <w:p w14:paraId="02067A20" w14:textId="77777777" w:rsidR="0089207C" w:rsidRPr="00C07B2E" w:rsidRDefault="0089207C" w:rsidP="002D3EBF">
            <w:pPr>
              <w:rPr>
                <w:rFonts w:eastAsia="SimSun"/>
              </w:rPr>
            </w:pPr>
            <w:r w:rsidRPr="00C07B2E">
              <w:rPr>
                <w:rFonts w:eastAsia="SimSun"/>
              </w:rPr>
              <w:t xml:space="preserve">С -1 дня по +100 день </w:t>
            </w:r>
          </w:p>
        </w:tc>
        <w:tc>
          <w:tcPr>
            <w:tcW w:w="1167" w:type="pct"/>
            <w:vAlign w:val="center"/>
          </w:tcPr>
          <w:p w14:paraId="4D87CEB4" w14:textId="77777777" w:rsidR="0089207C" w:rsidRPr="000F445E" w:rsidRDefault="0089207C" w:rsidP="002D3EBF">
            <w:pPr>
              <w:rPr>
                <w:rFonts w:eastAsia="SimSun"/>
              </w:rPr>
            </w:pPr>
            <w:r w:rsidRPr="00C07B2E">
              <w:rPr>
                <w:rFonts w:eastAsia="SimSun"/>
              </w:rPr>
              <w:t xml:space="preserve">В/в, 5-часовая инфузия 2 раза/сут. </w:t>
            </w:r>
            <w:r w:rsidRPr="000F445E">
              <w:rPr>
                <w:rFonts w:eastAsia="SimSun"/>
              </w:rPr>
              <w:t>Перевод на прием внутрь при условии восстановления лейкоцитов &gt; 1</w:t>
            </w:r>
            <w:r>
              <w:rPr>
                <w:rFonts w:eastAsia="SimSun"/>
              </w:rPr>
              <w:t xml:space="preserve"> х </w:t>
            </w:r>
            <w:r w:rsidRPr="000F445E">
              <w:rPr>
                <w:rFonts w:eastAsia="SimSun"/>
              </w:rPr>
              <w:t>10</w:t>
            </w:r>
            <w:r w:rsidRPr="000F445E">
              <w:rPr>
                <w:rFonts w:eastAsia="SimSun"/>
                <w:vertAlign w:val="superscript"/>
              </w:rPr>
              <w:t>9</w:t>
            </w:r>
            <w:r w:rsidRPr="000F445E">
              <w:rPr>
                <w:rFonts w:eastAsia="SimSun"/>
              </w:rPr>
              <w:t>/л, при отсутствии тошноты, рвоты, диареи и возможности приема внутрь. Концентрация 150-350</w:t>
            </w:r>
            <w:r>
              <w:rPr>
                <w:rFonts w:eastAsia="SimSun"/>
              </w:rPr>
              <w:t xml:space="preserve"> </w:t>
            </w:r>
            <w:r w:rsidRPr="000F445E">
              <w:rPr>
                <w:rFonts w:eastAsia="SimSun"/>
              </w:rPr>
              <w:t>пг/мл.</w:t>
            </w:r>
          </w:p>
        </w:tc>
      </w:tr>
    </w:tbl>
    <w:p w14:paraId="3670C6CA" w14:textId="77777777" w:rsidR="0089207C" w:rsidRPr="00C07B2E" w:rsidRDefault="0089207C" w:rsidP="0089207C">
      <w:pPr>
        <w:rPr>
          <w:rFonts w:eastAsia="SimSun"/>
        </w:rPr>
      </w:pPr>
    </w:p>
    <w:p w14:paraId="1F8712EB" w14:textId="77777777" w:rsidR="0089207C" w:rsidRPr="00C07B2E" w:rsidRDefault="0089207C" w:rsidP="0089207C">
      <w:pPr>
        <w:rPr>
          <w:rFonts w:eastAsia="SimSun"/>
        </w:rPr>
      </w:pPr>
      <w:bookmarkStart w:id="204" w:name="_Toc44401151"/>
      <w:r w:rsidRPr="00042499">
        <w:rPr>
          <w:rFonts w:eastAsia="SimSun"/>
        </w:rPr>
        <w:t>Таблица</w:t>
      </w:r>
      <w:r w:rsidRPr="00C07B2E">
        <w:rPr>
          <w:rFonts w:eastAsia="SimSun"/>
        </w:rPr>
        <w:t xml:space="preserve"> </w:t>
      </w:r>
      <w:r>
        <w:rPr>
          <w:rFonts w:eastAsia="SimSun"/>
        </w:rPr>
        <w:t>5</w:t>
      </w:r>
      <w:r w:rsidRPr="00C07B2E">
        <w:rPr>
          <w:rFonts w:eastAsia="SimSun"/>
        </w:rPr>
        <w:t>.1.1.8  – Flu180+Bu14 / PT-Cy</w:t>
      </w:r>
      <w:bookmarkEnd w:id="20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09"/>
        <w:gridCol w:w="1417"/>
        <w:gridCol w:w="1418"/>
        <w:gridCol w:w="1701"/>
        <w:gridCol w:w="2268"/>
      </w:tblGrid>
      <w:tr w:rsidR="0089207C" w:rsidRPr="00C07B2E" w14:paraId="5ACC3C13" w14:textId="77777777" w:rsidTr="002D3EBF">
        <w:trPr>
          <w:cantSplit/>
          <w:trHeight w:val="20"/>
          <w:tblHeader/>
        </w:trPr>
        <w:tc>
          <w:tcPr>
            <w:tcW w:w="993" w:type="dxa"/>
            <w:vAlign w:val="center"/>
          </w:tcPr>
          <w:p w14:paraId="1BED8B8D" w14:textId="77777777" w:rsidR="0089207C" w:rsidRPr="00C07B2E" w:rsidRDefault="0089207C" w:rsidP="002D3EBF">
            <w:pPr>
              <w:rPr>
                <w:rFonts w:eastAsia="SimSun"/>
              </w:rPr>
            </w:pPr>
          </w:p>
        </w:tc>
        <w:tc>
          <w:tcPr>
            <w:tcW w:w="1809" w:type="dxa"/>
            <w:vAlign w:val="center"/>
          </w:tcPr>
          <w:p w14:paraId="030F7352" w14:textId="77777777" w:rsidR="0089207C" w:rsidRPr="00C07B2E" w:rsidRDefault="0089207C" w:rsidP="002D3EBF">
            <w:pPr>
              <w:rPr>
                <w:rFonts w:eastAsia="SimSun"/>
              </w:rPr>
            </w:pPr>
            <w:r w:rsidRPr="00C07B2E">
              <w:rPr>
                <w:rFonts w:eastAsia="SimSun"/>
              </w:rPr>
              <w:t>Препарат</w:t>
            </w:r>
          </w:p>
        </w:tc>
        <w:tc>
          <w:tcPr>
            <w:tcW w:w="1417" w:type="dxa"/>
            <w:vAlign w:val="center"/>
          </w:tcPr>
          <w:p w14:paraId="02C7D521" w14:textId="77777777" w:rsidR="0089207C" w:rsidRPr="00C07B2E" w:rsidRDefault="0089207C" w:rsidP="002D3EBF">
            <w:pPr>
              <w:rPr>
                <w:rFonts w:eastAsia="SimSun"/>
              </w:rPr>
            </w:pPr>
            <w:r w:rsidRPr="00C07B2E">
              <w:rPr>
                <w:rFonts w:eastAsia="SimSun"/>
              </w:rPr>
              <w:t>Суточная доза</w:t>
            </w:r>
          </w:p>
        </w:tc>
        <w:tc>
          <w:tcPr>
            <w:tcW w:w="1418" w:type="dxa"/>
            <w:vAlign w:val="center"/>
          </w:tcPr>
          <w:p w14:paraId="4747F947" w14:textId="77777777" w:rsidR="0089207C" w:rsidRPr="00C07B2E" w:rsidRDefault="0089207C" w:rsidP="002D3EBF">
            <w:pPr>
              <w:rPr>
                <w:rFonts w:eastAsia="SimSun"/>
              </w:rPr>
            </w:pPr>
            <w:r w:rsidRPr="00C07B2E">
              <w:rPr>
                <w:rFonts w:eastAsia="SimSun"/>
              </w:rPr>
              <w:t>Курсовая доза</w:t>
            </w:r>
          </w:p>
        </w:tc>
        <w:tc>
          <w:tcPr>
            <w:tcW w:w="1701" w:type="dxa"/>
            <w:vAlign w:val="center"/>
          </w:tcPr>
          <w:p w14:paraId="2F3302AA" w14:textId="77777777" w:rsidR="0089207C" w:rsidRPr="00C07B2E" w:rsidRDefault="0089207C" w:rsidP="002D3EBF">
            <w:pPr>
              <w:rPr>
                <w:rFonts w:eastAsia="SimSun"/>
              </w:rPr>
            </w:pPr>
            <w:r w:rsidRPr="00C07B2E">
              <w:rPr>
                <w:rFonts w:eastAsia="SimSun"/>
              </w:rPr>
              <w:t>Дни введения</w:t>
            </w:r>
          </w:p>
        </w:tc>
        <w:tc>
          <w:tcPr>
            <w:tcW w:w="2268" w:type="dxa"/>
            <w:vAlign w:val="center"/>
          </w:tcPr>
          <w:p w14:paraId="52F9F8D7" w14:textId="77777777" w:rsidR="0089207C" w:rsidRPr="00C07B2E" w:rsidRDefault="0089207C" w:rsidP="002D3EBF">
            <w:pPr>
              <w:rPr>
                <w:rFonts w:eastAsia="SimSun"/>
              </w:rPr>
            </w:pPr>
            <w:r w:rsidRPr="00C07B2E">
              <w:rPr>
                <w:rFonts w:eastAsia="SimSun"/>
              </w:rPr>
              <w:t>Порядок введения</w:t>
            </w:r>
          </w:p>
        </w:tc>
      </w:tr>
      <w:tr w:rsidR="0089207C" w:rsidRPr="00C07B2E" w14:paraId="7D72C3A5" w14:textId="77777777" w:rsidTr="002D3EBF">
        <w:trPr>
          <w:cantSplit/>
          <w:trHeight w:val="20"/>
        </w:trPr>
        <w:tc>
          <w:tcPr>
            <w:tcW w:w="993" w:type="dxa"/>
            <w:vMerge w:val="restart"/>
            <w:textDirection w:val="btLr"/>
            <w:vAlign w:val="center"/>
          </w:tcPr>
          <w:p w14:paraId="68299B49" w14:textId="77777777" w:rsidR="0089207C" w:rsidRPr="00C07B2E" w:rsidRDefault="0089207C" w:rsidP="002D3EBF">
            <w:pPr>
              <w:rPr>
                <w:rFonts w:eastAsia="SimSun"/>
              </w:rPr>
            </w:pPr>
            <w:r w:rsidRPr="00C07B2E">
              <w:rPr>
                <w:rFonts w:eastAsia="SimSun"/>
              </w:rPr>
              <w:t>Кондиционирование</w:t>
            </w:r>
          </w:p>
        </w:tc>
        <w:tc>
          <w:tcPr>
            <w:tcW w:w="1809" w:type="dxa"/>
            <w:vAlign w:val="center"/>
          </w:tcPr>
          <w:p w14:paraId="1F373F6D" w14:textId="77777777" w:rsidR="0089207C" w:rsidRPr="00C07B2E" w:rsidRDefault="0089207C" w:rsidP="002D3EBF">
            <w:pPr>
              <w:rPr>
                <w:rFonts w:eastAsia="SimSun"/>
              </w:rPr>
            </w:pPr>
            <w:r w:rsidRPr="00C07B2E">
              <w:rPr>
                <w:rFonts w:eastAsia="SimSun"/>
              </w:rPr>
              <w:t xml:space="preserve">Флударабин </w:t>
            </w:r>
          </w:p>
        </w:tc>
        <w:tc>
          <w:tcPr>
            <w:tcW w:w="1417" w:type="dxa"/>
            <w:vAlign w:val="center"/>
          </w:tcPr>
          <w:p w14:paraId="2588EE66" w14:textId="77777777" w:rsidR="0089207C" w:rsidRPr="00C07B2E" w:rsidRDefault="0089207C" w:rsidP="002D3EBF">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112E8291" w14:textId="77777777" w:rsidR="0089207C" w:rsidRPr="00C07B2E" w:rsidRDefault="0089207C" w:rsidP="002D3EBF">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4053C167" w14:textId="77777777" w:rsidR="0089207C" w:rsidRPr="00C07B2E" w:rsidRDefault="0089207C" w:rsidP="002D3EBF">
            <w:pPr>
              <w:rPr>
                <w:rFonts w:eastAsia="SimSun"/>
              </w:rPr>
            </w:pPr>
            <w:r w:rsidRPr="00C07B2E">
              <w:rPr>
                <w:rFonts w:eastAsia="SimSun"/>
              </w:rPr>
              <w:t>С -7 дня по -2 день</w:t>
            </w:r>
          </w:p>
        </w:tc>
        <w:tc>
          <w:tcPr>
            <w:tcW w:w="2268" w:type="dxa"/>
            <w:vAlign w:val="center"/>
          </w:tcPr>
          <w:p w14:paraId="682F6641" w14:textId="77777777" w:rsidR="0089207C" w:rsidRPr="00C07B2E" w:rsidRDefault="0089207C" w:rsidP="002D3EBF">
            <w:pPr>
              <w:rPr>
                <w:rFonts w:eastAsia="SimSun"/>
              </w:rPr>
            </w:pPr>
            <w:r w:rsidRPr="00C07B2E">
              <w:rPr>
                <w:rFonts w:eastAsia="SimSun"/>
              </w:rPr>
              <w:t>В/в, в течение 30 - 60 мин</w:t>
            </w:r>
          </w:p>
        </w:tc>
      </w:tr>
      <w:tr w:rsidR="0089207C" w:rsidRPr="00C07B2E" w14:paraId="457A06D7" w14:textId="77777777" w:rsidTr="002D3EBF">
        <w:trPr>
          <w:cantSplit/>
          <w:trHeight w:val="1207"/>
        </w:trPr>
        <w:tc>
          <w:tcPr>
            <w:tcW w:w="993" w:type="dxa"/>
            <w:vMerge/>
            <w:vAlign w:val="center"/>
          </w:tcPr>
          <w:p w14:paraId="36C890B2" w14:textId="77777777" w:rsidR="0089207C" w:rsidRPr="00C07B2E" w:rsidRDefault="0089207C" w:rsidP="002D3EBF">
            <w:pPr>
              <w:rPr>
                <w:rFonts w:eastAsia="SimSun"/>
              </w:rPr>
            </w:pPr>
          </w:p>
        </w:tc>
        <w:tc>
          <w:tcPr>
            <w:tcW w:w="1809" w:type="dxa"/>
            <w:vAlign w:val="center"/>
          </w:tcPr>
          <w:p w14:paraId="4763CAF7" w14:textId="77777777" w:rsidR="0089207C" w:rsidRPr="00C07B2E" w:rsidRDefault="0089207C" w:rsidP="002D3EBF">
            <w:pPr>
              <w:rPr>
                <w:rFonts w:eastAsia="SimSun"/>
              </w:rPr>
            </w:pPr>
            <w:r w:rsidRPr="00C07B2E">
              <w:rPr>
                <w:rFonts w:eastAsia="SimSun"/>
              </w:rPr>
              <w:t>Бусульфан</w:t>
            </w:r>
          </w:p>
        </w:tc>
        <w:tc>
          <w:tcPr>
            <w:tcW w:w="1417" w:type="dxa"/>
            <w:vAlign w:val="center"/>
          </w:tcPr>
          <w:p w14:paraId="5A6E3873" w14:textId="77777777" w:rsidR="0089207C" w:rsidRPr="00C07B2E" w:rsidRDefault="0089207C" w:rsidP="002D3EBF">
            <w:pPr>
              <w:rPr>
                <w:rFonts w:eastAsia="SimSun"/>
              </w:rPr>
            </w:pPr>
            <w:r w:rsidRPr="00C07B2E">
              <w:rPr>
                <w:rFonts w:eastAsia="SimSun"/>
              </w:rPr>
              <w:t xml:space="preserve">4 мг/кг </w:t>
            </w:r>
          </w:p>
        </w:tc>
        <w:tc>
          <w:tcPr>
            <w:tcW w:w="1418" w:type="dxa"/>
            <w:vAlign w:val="center"/>
          </w:tcPr>
          <w:p w14:paraId="517881FF" w14:textId="77777777" w:rsidR="0089207C" w:rsidRPr="00C07B2E" w:rsidRDefault="0089207C" w:rsidP="002D3EBF">
            <w:pPr>
              <w:rPr>
                <w:rFonts w:eastAsia="SimSun"/>
              </w:rPr>
            </w:pPr>
            <w:r w:rsidRPr="00C07B2E">
              <w:rPr>
                <w:rFonts w:eastAsia="SimSun"/>
                <w:lang w:val="en-US"/>
              </w:rPr>
              <w:t>14</w:t>
            </w:r>
            <w:r w:rsidRPr="00C07B2E">
              <w:rPr>
                <w:rFonts w:eastAsia="SimSun"/>
              </w:rPr>
              <w:t xml:space="preserve"> мг/кг </w:t>
            </w:r>
          </w:p>
        </w:tc>
        <w:tc>
          <w:tcPr>
            <w:tcW w:w="1701" w:type="dxa"/>
            <w:vAlign w:val="center"/>
          </w:tcPr>
          <w:p w14:paraId="171FF4E5" w14:textId="77777777" w:rsidR="0089207C" w:rsidRPr="00C07B2E" w:rsidRDefault="0089207C" w:rsidP="002D3EBF">
            <w:pPr>
              <w:rPr>
                <w:rFonts w:eastAsia="SimSun"/>
              </w:rPr>
            </w:pPr>
            <w:r w:rsidRPr="00C07B2E">
              <w:rPr>
                <w:rFonts w:eastAsia="SimSun"/>
              </w:rPr>
              <w:t>С -</w:t>
            </w:r>
            <w:r w:rsidRPr="00C07B2E">
              <w:rPr>
                <w:rFonts w:eastAsia="SimSun"/>
                <w:lang w:val="en-US"/>
              </w:rPr>
              <w:t>6</w:t>
            </w:r>
            <w:r w:rsidRPr="00C07B2E">
              <w:rPr>
                <w:rFonts w:eastAsia="SimSun"/>
              </w:rPr>
              <w:t xml:space="preserve"> дня по -3 день</w:t>
            </w:r>
          </w:p>
        </w:tc>
        <w:tc>
          <w:tcPr>
            <w:tcW w:w="2268" w:type="dxa"/>
            <w:vAlign w:val="center"/>
          </w:tcPr>
          <w:p w14:paraId="4002C630" w14:textId="77777777" w:rsidR="0089207C" w:rsidRPr="00C07B2E" w:rsidRDefault="0089207C" w:rsidP="002D3EBF">
            <w:pPr>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89207C" w:rsidRPr="00C07B2E" w14:paraId="52B57B0D" w14:textId="77777777" w:rsidTr="002D3EBF">
        <w:trPr>
          <w:cantSplit/>
          <w:trHeight w:val="1498"/>
        </w:trPr>
        <w:tc>
          <w:tcPr>
            <w:tcW w:w="993" w:type="dxa"/>
            <w:textDirection w:val="btLr"/>
            <w:vAlign w:val="center"/>
          </w:tcPr>
          <w:p w14:paraId="7565330E" w14:textId="77777777" w:rsidR="0089207C" w:rsidRPr="00C07B2E" w:rsidRDefault="0089207C" w:rsidP="002D3EBF">
            <w:pPr>
              <w:rPr>
                <w:rFonts w:eastAsia="SimSun"/>
              </w:rPr>
            </w:pPr>
            <w:r w:rsidRPr="00C07B2E">
              <w:rPr>
                <w:rFonts w:eastAsia="SimSun"/>
              </w:rPr>
              <w:t>Профилактика РТПХ</w:t>
            </w:r>
          </w:p>
        </w:tc>
        <w:tc>
          <w:tcPr>
            <w:tcW w:w="1809" w:type="dxa"/>
            <w:vAlign w:val="center"/>
          </w:tcPr>
          <w:p w14:paraId="46648ED4" w14:textId="77777777" w:rsidR="0089207C" w:rsidRPr="00C07B2E" w:rsidRDefault="0089207C" w:rsidP="002D3EBF">
            <w:pPr>
              <w:rPr>
                <w:rFonts w:eastAsia="SimSun"/>
              </w:rPr>
            </w:pPr>
            <w:r w:rsidRPr="00C07B2E">
              <w:rPr>
                <w:rFonts w:eastAsia="SimSun"/>
              </w:rPr>
              <w:t>Циклофосфамид</w:t>
            </w:r>
          </w:p>
        </w:tc>
        <w:tc>
          <w:tcPr>
            <w:tcW w:w="1417" w:type="dxa"/>
            <w:vAlign w:val="center"/>
          </w:tcPr>
          <w:p w14:paraId="1AC846D7" w14:textId="77777777" w:rsidR="0089207C" w:rsidRPr="00C07B2E" w:rsidRDefault="0089207C" w:rsidP="002D3EBF">
            <w:pPr>
              <w:rPr>
                <w:rFonts w:eastAsia="SimSun"/>
              </w:rPr>
            </w:pPr>
            <w:r w:rsidRPr="00C07B2E">
              <w:rPr>
                <w:rFonts w:eastAsia="SimSun"/>
              </w:rPr>
              <w:t>50 мг/кг</w:t>
            </w:r>
          </w:p>
        </w:tc>
        <w:tc>
          <w:tcPr>
            <w:tcW w:w="1418" w:type="dxa"/>
            <w:vAlign w:val="center"/>
          </w:tcPr>
          <w:p w14:paraId="10526832" w14:textId="77777777" w:rsidR="0089207C" w:rsidRPr="00C07B2E" w:rsidRDefault="0089207C" w:rsidP="002D3EBF">
            <w:pPr>
              <w:rPr>
                <w:rFonts w:eastAsia="SimSun"/>
              </w:rPr>
            </w:pPr>
            <w:r w:rsidRPr="00C07B2E">
              <w:rPr>
                <w:rFonts w:eastAsia="SimSun"/>
              </w:rPr>
              <w:t>100 мг/кг</w:t>
            </w:r>
          </w:p>
        </w:tc>
        <w:tc>
          <w:tcPr>
            <w:tcW w:w="1701" w:type="dxa"/>
            <w:vAlign w:val="center"/>
          </w:tcPr>
          <w:p w14:paraId="44740195" w14:textId="77777777" w:rsidR="0089207C" w:rsidRPr="00C07B2E" w:rsidRDefault="0089207C" w:rsidP="002D3EBF">
            <w:pPr>
              <w:rPr>
                <w:rFonts w:eastAsia="SimSun"/>
              </w:rPr>
            </w:pPr>
            <w:r w:rsidRPr="00C07B2E">
              <w:rPr>
                <w:rFonts w:eastAsia="SimSun"/>
              </w:rPr>
              <w:t>С +3 дня по +4 день</w:t>
            </w:r>
          </w:p>
        </w:tc>
        <w:tc>
          <w:tcPr>
            <w:tcW w:w="2268" w:type="dxa"/>
            <w:vAlign w:val="center"/>
          </w:tcPr>
          <w:p w14:paraId="316D8C8B" w14:textId="77777777" w:rsidR="0089207C" w:rsidRPr="00C07B2E" w:rsidRDefault="0089207C" w:rsidP="002D3EBF">
            <w:pPr>
              <w:rPr>
                <w:rFonts w:eastAsia="SimSun"/>
              </w:rPr>
            </w:pPr>
            <w:r w:rsidRPr="00C07B2E">
              <w:rPr>
                <w:rFonts w:eastAsia="SimSun"/>
              </w:rPr>
              <w:t xml:space="preserve">В/в, в течение 2 ч  </w:t>
            </w:r>
          </w:p>
        </w:tc>
      </w:tr>
    </w:tbl>
    <w:p w14:paraId="173E714D" w14:textId="77777777" w:rsidR="0089207C" w:rsidRPr="00C07B2E" w:rsidRDefault="0089207C" w:rsidP="0089207C">
      <w:pPr>
        <w:rPr>
          <w:rFonts w:eastAsia="SimSun"/>
        </w:rPr>
      </w:pPr>
    </w:p>
    <w:p w14:paraId="518D46B4" w14:textId="77777777" w:rsidR="0089207C" w:rsidRPr="00C07B2E" w:rsidRDefault="0089207C" w:rsidP="0089207C">
      <w:pPr>
        <w:rPr>
          <w:rFonts w:eastAsia="SimSun"/>
        </w:rPr>
      </w:pPr>
      <w:bookmarkStart w:id="205" w:name="_Toc44401152"/>
      <w:r w:rsidRPr="00042499">
        <w:rPr>
          <w:rFonts w:eastAsia="SimSun"/>
        </w:rPr>
        <w:t>Таблица</w:t>
      </w:r>
      <w:r w:rsidRPr="00C07B2E">
        <w:rPr>
          <w:rFonts w:eastAsia="SimSun"/>
        </w:rPr>
        <w:t xml:space="preserve"> </w:t>
      </w:r>
      <w:r>
        <w:rPr>
          <w:rFonts w:eastAsia="SimSun"/>
        </w:rPr>
        <w:t>5</w:t>
      </w:r>
      <w:r w:rsidRPr="00C07B2E">
        <w:rPr>
          <w:rFonts w:eastAsia="SimSun"/>
        </w:rPr>
        <w:t>.1.1.9 – Flu180+Bu14 / PT-Cy+Tx+MMF30</w:t>
      </w:r>
      <w:bookmarkEnd w:id="20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09"/>
        <w:gridCol w:w="1417"/>
        <w:gridCol w:w="1418"/>
        <w:gridCol w:w="1701"/>
        <w:gridCol w:w="2268"/>
      </w:tblGrid>
      <w:tr w:rsidR="0089207C" w:rsidRPr="00C07B2E" w14:paraId="14D009FC" w14:textId="77777777" w:rsidTr="002D3EBF">
        <w:trPr>
          <w:cantSplit/>
          <w:trHeight w:val="20"/>
          <w:tblHeader/>
        </w:trPr>
        <w:tc>
          <w:tcPr>
            <w:tcW w:w="993" w:type="dxa"/>
            <w:vAlign w:val="center"/>
          </w:tcPr>
          <w:p w14:paraId="33DE35EB" w14:textId="77777777" w:rsidR="0089207C" w:rsidRPr="00470D3D" w:rsidRDefault="0089207C" w:rsidP="002D3EBF">
            <w:pPr>
              <w:rPr>
                <w:rFonts w:eastAsia="SimSun"/>
              </w:rPr>
            </w:pPr>
          </w:p>
        </w:tc>
        <w:tc>
          <w:tcPr>
            <w:tcW w:w="1809" w:type="dxa"/>
            <w:vAlign w:val="center"/>
          </w:tcPr>
          <w:p w14:paraId="6EC739A2" w14:textId="77777777" w:rsidR="0089207C" w:rsidRPr="00C07B2E" w:rsidRDefault="0089207C" w:rsidP="002D3EBF">
            <w:pPr>
              <w:rPr>
                <w:rFonts w:eastAsia="SimSun"/>
              </w:rPr>
            </w:pPr>
            <w:r w:rsidRPr="00C07B2E">
              <w:rPr>
                <w:rFonts w:eastAsia="SimSun"/>
              </w:rPr>
              <w:t>Препарат</w:t>
            </w:r>
          </w:p>
        </w:tc>
        <w:tc>
          <w:tcPr>
            <w:tcW w:w="1417" w:type="dxa"/>
            <w:vAlign w:val="center"/>
          </w:tcPr>
          <w:p w14:paraId="6BFADDB5" w14:textId="77777777" w:rsidR="0089207C" w:rsidRPr="00C07B2E" w:rsidRDefault="0089207C" w:rsidP="002D3EBF">
            <w:pPr>
              <w:rPr>
                <w:rFonts w:eastAsia="SimSun"/>
              </w:rPr>
            </w:pPr>
            <w:r w:rsidRPr="00C07B2E">
              <w:rPr>
                <w:rFonts w:eastAsia="SimSun"/>
              </w:rPr>
              <w:t>Суточная доза</w:t>
            </w:r>
          </w:p>
        </w:tc>
        <w:tc>
          <w:tcPr>
            <w:tcW w:w="1418" w:type="dxa"/>
            <w:vAlign w:val="center"/>
          </w:tcPr>
          <w:p w14:paraId="12184B4A" w14:textId="77777777" w:rsidR="0089207C" w:rsidRPr="00C07B2E" w:rsidRDefault="0089207C" w:rsidP="002D3EBF">
            <w:pPr>
              <w:rPr>
                <w:rFonts w:eastAsia="SimSun"/>
              </w:rPr>
            </w:pPr>
            <w:r w:rsidRPr="00C07B2E">
              <w:rPr>
                <w:rFonts w:eastAsia="SimSun"/>
              </w:rPr>
              <w:t>Курсовая доза</w:t>
            </w:r>
          </w:p>
        </w:tc>
        <w:tc>
          <w:tcPr>
            <w:tcW w:w="1701" w:type="dxa"/>
            <w:vAlign w:val="center"/>
          </w:tcPr>
          <w:p w14:paraId="490D03F7" w14:textId="77777777" w:rsidR="0089207C" w:rsidRPr="00C07B2E" w:rsidRDefault="0089207C" w:rsidP="002D3EBF">
            <w:pPr>
              <w:rPr>
                <w:rFonts w:eastAsia="SimSun"/>
              </w:rPr>
            </w:pPr>
            <w:r w:rsidRPr="00C07B2E">
              <w:rPr>
                <w:rFonts w:eastAsia="SimSun"/>
              </w:rPr>
              <w:t>Дни введения</w:t>
            </w:r>
          </w:p>
        </w:tc>
        <w:tc>
          <w:tcPr>
            <w:tcW w:w="2268" w:type="dxa"/>
            <w:vAlign w:val="center"/>
          </w:tcPr>
          <w:p w14:paraId="135DE969" w14:textId="77777777" w:rsidR="0089207C" w:rsidRPr="00C07B2E" w:rsidRDefault="0089207C" w:rsidP="002D3EBF">
            <w:pPr>
              <w:rPr>
                <w:rFonts w:eastAsia="SimSun"/>
              </w:rPr>
            </w:pPr>
            <w:r w:rsidRPr="00C07B2E">
              <w:rPr>
                <w:rFonts w:eastAsia="SimSun"/>
              </w:rPr>
              <w:t>Порядок введения</w:t>
            </w:r>
          </w:p>
        </w:tc>
      </w:tr>
      <w:tr w:rsidR="0089207C" w:rsidRPr="00C07B2E" w14:paraId="57764E21" w14:textId="77777777" w:rsidTr="002D3EBF">
        <w:trPr>
          <w:cantSplit/>
          <w:trHeight w:val="20"/>
        </w:trPr>
        <w:tc>
          <w:tcPr>
            <w:tcW w:w="993" w:type="dxa"/>
            <w:vMerge w:val="restart"/>
            <w:textDirection w:val="btLr"/>
            <w:vAlign w:val="center"/>
          </w:tcPr>
          <w:p w14:paraId="0C1BBBCD" w14:textId="77777777" w:rsidR="0089207C" w:rsidRPr="00C07B2E" w:rsidRDefault="0089207C" w:rsidP="002D3EBF">
            <w:pPr>
              <w:rPr>
                <w:rFonts w:eastAsia="SimSun"/>
              </w:rPr>
            </w:pPr>
            <w:r w:rsidRPr="00C07B2E">
              <w:rPr>
                <w:rFonts w:eastAsia="SimSun"/>
              </w:rPr>
              <w:t>Кондиционирование</w:t>
            </w:r>
          </w:p>
        </w:tc>
        <w:tc>
          <w:tcPr>
            <w:tcW w:w="1809" w:type="dxa"/>
            <w:vAlign w:val="center"/>
          </w:tcPr>
          <w:p w14:paraId="1F00643E" w14:textId="77777777" w:rsidR="0089207C" w:rsidRPr="00C07B2E" w:rsidRDefault="0089207C" w:rsidP="002D3EBF">
            <w:pPr>
              <w:rPr>
                <w:rFonts w:eastAsia="SimSun"/>
              </w:rPr>
            </w:pPr>
            <w:r w:rsidRPr="00C07B2E">
              <w:rPr>
                <w:rFonts w:eastAsia="SimSun"/>
              </w:rPr>
              <w:t xml:space="preserve">Флударабин </w:t>
            </w:r>
          </w:p>
        </w:tc>
        <w:tc>
          <w:tcPr>
            <w:tcW w:w="1417" w:type="dxa"/>
            <w:vAlign w:val="center"/>
          </w:tcPr>
          <w:p w14:paraId="6D125DE9" w14:textId="77777777" w:rsidR="0089207C" w:rsidRPr="00C07B2E" w:rsidRDefault="0089207C" w:rsidP="002D3EBF">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74A9A71B" w14:textId="77777777" w:rsidR="0089207C" w:rsidRPr="00C07B2E" w:rsidRDefault="0089207C" w:rsidP="002D3EBF">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2B7CB391" w14:textId="77777777" w:rsidR="0089207C" w:rsidRPr="00C07B2E" w:rsidRDefault="0089207C" w:rsidP="002D3EBF">
            <w:pPr>
              <w:rPr>
                <w:rFonts w:eastAsia="SimSun"/>
              </w:rPr>
            </w:pPr>
            <w:r w:rsidRPr="00C07B2E">
              <w:rPr>
                <w:rFonts w:eastAsia="SimSun"/>
              </w:rPr>
              <w:t>С -7 дня по -2 день</w:t>
            </w:r>
          </w:p>
        </w:tc>
        <w:tc>
          <w:tcPr>
            <w:tcW w:w="2268" w:type="dxa"/>
            <w:vAlign w:val="center"/>
          </w:tcPr>
          <w:p w14:paraId="6A0185C9" w14:textId="77777777" w:rsidR="0089207C" w:rsidRPr="00C07B2E" w:rsidRDefault="0089207C" w:rsidP="002D3EBF">
            <w:pPr>
              <w:rPr>
                <w:rFonts w:eastAsia="SimSun"/>
              </w:rPr>
            </w:pPr>
            <w:r w:rsidRPr="00C07B2E">
              <w:rPr>
                <w:rFonts w:eastAsia="SimSun"/>
              </w:rPr>
              <w:t>В/в, в течение 30 - 60 мин</w:t>
            </w:r>
          </w:p>
        </w:tc>
      </w:tr>
      <w:tr w:rsidR="0089207C" w:rsidRPr="00C07B2E" w14:paraId="752E4FCE" w14:textId="77777777" w:rsidTr="002D3EBF">
        <w:trPr>
          <w:cantSplit/>
          <w:trHeight w:val="1207"/>
        </w:trPr>
        <w:tc>
          <w:tcPr>
            <w:tcW w:w="993" w:type="dxa"/>
            <w:vMerge/>
            <w:vAlign w:val="center"/>
          </w:tcPr>
          <w:p w14:paraId="70A02738" w14:textId="77777777" w:rsidR="0089207C" w:rsidRPr="00C07B2E" w:rsidRDefault="0089207C" w:rsidP="002D3EBF">
            <w:pPr>
              <w:rPr>
                <w:rFonts w:eastAsia="SimSun"/>
              </w:rPr>
            </w:pPr>
          </w:p>
        </w:tc>
        <w:tc>
          <w:tcPr>
            <w:tcW w:w="1809" w:type="dxa"/>
            <w:vAlign w:val="center"/>
          </w:tcPr>
          <w:p w14:paraId="4B0D8A60" w14:textId="77777777" w:rsidR="0089207C" w:rsidRPr="00C07B2E" w:rsidRDefault="0089207C" w:rsidP="002D3EBF">
            <w:pPr>
              <w:rPr>
                <w:rFonts w:eastAsia="SimSun"/>
              </w:rPr>
            </w:pPr>
            <w:r w:rsidRPr="00C07B2E">
              <w:rPr>
                <w:rFonts w:eastAsia="SimSun"/>
              </w:rPr>
              <w:t>Бусульфан</w:t>
            </w:r>
          </w:p>
        </w:tc>
        <w:tc>
          <w:tcPr>
            <w:tcW w:w="1417" w:type="dxa"/>
            <w:vAlign w:val="center"/>
          </w:tcPr>
          <w:p w14:paraId="6182689A" w14:textId="77777777" w:rsidR="0089207C" w:rsidRPr="00C07B2E" w:rsidRDefault="0089207C" w:rsidP="002D3EBF">
            <w:pPr>
              <w:rPr>
                <w:rFonts w:eastAsia="SimSun"/>
              </w:rPr>
            </w:pPr>
            <w:r w:rsidRPr="00C07B2E">
              <w:rPr>
                <w:rFonts w:eastAsia="SimSun"/>
              </w:rPr>
              <w:t xml:space="preserve">4 мг/кг </w:t>
            </w:r>
          </w:p>
        </w:tc>
        <w:tc>
          <w:tcPr>
            <w:tcW w:w="1418" w:type="dxa"/>
            <w:vAlign w:val="center"/>
          </w:tcPr>
          <w:p w14:paraId="62F3D314" w14:textId="77777777" w:rsidR="0089207C" w:rsidRPr="00C07B2E" w:rsidRDefault="0089207C" w:rsidP="002D3EBF">
            <w:pPr>
              <w:rPr>
                <w:rFonts w:eastAsia="SimSun"/>
              </w:rPr>
            </w:pPr>
            <w:r w:rsidRPr="00C07B2E">
              <w:rPr>
                <w:rFonts w:eastAsia="SimSun"/>
                <w:lang w:val="en-US"/>
              </w:rPr>
              <w:t>1</w:t>
            </w:r>
            <w:r w:rsidRPr="00C07B2E">
              <w:rPr>
                <w:rFonts w:eastAsia="SimSun"/>
              </w:rPr>
              <w:t xml:space="preserve">4мг/кг </w:t>
            </w:r>
          </w:p>
        </w:tc>
        <w:tc>
          <w:tcPr>
            <w:tcW w:w="1701" w:type="dxa"/>
            <w:vAlign w:val="center"/>
          </w:tcPr>
          <w:p w14:paraId="3EF59F20" w14:textId="77777777" w:rsidR="0089207C" w:rsidRPr="00C07B2E" w:rsidRDefault="0089207C" w:rsidP="002D3EBF">
            <w:pPr>
              <w:rPr>
                <w:rFonts w:eastAsia="SimSun"/>
              </w:rPr>
            </w:pPr>
            <w:r w:rsidRPr="00C07B2E">
              <w:rPr>
                <w:rFonts w:eastAsia="SimSun"/>
              </w:rPr>
              <w:t>С -6 дня по -3 день</w:t>
            </w:r>
          </w:p>
        </w:tc>
        <w:tc>
          <w:tcPr>
            <w:tcW w:w="2268" w:type="dxa"/>
            <w:vAlign w:val="center"/>
          </w:tcPr>
          <w:p w14:paraId="6FE667F0" w14:textId="77777777" w:rsidR="0089207C" w:rsidRPr="00C07B2E" w:rsidRDefault="0089207C" w:rsidP="002D3EBF">
            <w:pPr>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89207C" w:rsidRPr="00C07B2E" w14:paraId="096699BE" w14:textId="77777777" w:rsidTr="002D3EBF">
        <w:trPr>
          <w:cantSplit/>
          <w:trHeight w:val="622"/>
        </w:trPr>
        <w:tc>
          <w:tcPr>
            <w:tcW w:w="993" w:type="dxa"/>
            <w:vMerge w:val="restart"/>
            <w:textDirection w:val="btLr"/>
            <w:vAlign w:val="center"/>
          </w:tcPr>
          <w:p w14:paraId="0CB88827" w14:textId="77777777" w:rsidR="0089207C" w:rsidRPr="00C07B2E" w:rsidRDefault="0089207C" w:rsidP="002D3EBF">
            <w:pPr>
              <w:rPr>
                <w:rFonts w:eastAsia="SimSun"/>
              </w:rPr>
            </w:pPr>
            <w:r w:rsidRPr="00C07B2E">
              <w:rPr>
                <w:rFonts w:eastAsia="SimSun"/>
              </w:rPr>
              <w:t>Профилактика РТПХ</w:t>
            </w:r>
          </w:p>
        </w:tc>
        <w:tc>
          <w:tcPr>
            <w:tcW w:w="1809" w:type="dxa"/>
            <w:vAlign w:val="center"/>
          </w:tcPr>
          <w:p w14:paraId="1E4BEC74" w14:textId="77777777" w:rsidR="0089207C" w:rsidRPr="00C07B2E" w:rsidRDefault="0089207C" w:rsidP="002D3EBF">
            <w:pPr>
              <w:rPr>
                <w:rFonts w:eastAsia="SimSun"/>
              </w:rPr>
            </w:pPr>
            <w:r w:rsidRPr="00C07B2E">
              <w:rPr>
                <w:rFonts w:eastAsia="SimSun"/>
              </w:rPr>
              <w:t>Циклофосфамид</w:t>
            </w:r>
          </w:p>
        </w:tc>
        <w:tc>
          <w:tcPr>
            <w:tcW w:w="1417" w:type="dxa"/>
            <w:vAlign w:val="center"/>
          </w:tcPr>
          <w:p w14:paraId="61BADF07" w14:textId="77777777" w:rsidR="0089207C" w:rsidRPr="00C07B2E" w:rsidRDefault="0089207C" w:rsidP="002D3EBF">
            <w:pPr>
              <w:rPr>
                <w:rFonts w:eastAsia="SimSun"/>
              </w:rPr>
            </w:pPr>
            <w:r w:rsidRPr="00C07B2E">
              <w:rPr>
                <w:rFonts w:eastAsia="SimSun"/>
              </w:rPr>
              <w:t>50 мг/кг</w:t>
            </w:r>
          </w:p>
        </w:tc>
        <w:tc>
          <w:tcPr>
            <w:tcW w:w="1418" w:type="dxa"/>
            <w:vAlign w:val="center"/>
          </w:tcPr>
          <w:p w14:paraId="590AF4EB" w14:textId="77777777" w:rsidR="0089207C" w:rsidRPr="00C07B2E" w:rsidRDefault="0089207C" w:rsidP="002D3EBF">
            <w:pPr>
              <w:rPr>
                <w:rFonts w:eastAsia="SimSun"/>
              </w:rPr>
            </w:pPr>
            <w:r w:rsidRPr="00C07B2E">
              <w:rPr>
                <w:rFonts w:eastAsia="SimSun"/>
              </w:rPr>
              <w:t>100 мг/кг</w:t>
            </w:r>
          </w:p>
        </w:tc>
        <w:tc>
          <w:tcPr>
            <w:tcW w:w="1701" w:type="dxa"/>
            <w:vAlign w:val="center"/>
          </w:tcPr>
          <w:p w14:paraId="1462D25C" w14:textId="77777777" w:rsidR="0089207C" w:rsidRPr="00C07B2E" w:rsidRDefault="0089207C" w:rsidP="002D3EBF">
            <w:pPr>
              <w:rPr>
                <w:rFonts w:eastAsia="SimSun"/>
              </w:rPr>
            </w:pPr>
            <w:r w:rsidRPr="00C07B2E">
              <w:rPr>
                <w:rFonts w:eastAsia="SimSun"/>
              </w:rPr>
              <w:t>С +3 дня по +4 день</w:t>
            </w:r>
          </w:p>
        </w:tc>
        <w:tc>
          <w:tcPr>
            <w:tcW w:w="2268" w:type="dxa"/>
            <w:vAlign w:val="center"/>
          </w:tcPr>
          <w:p w14:paraId="2E2CD7FC" w14:textId="77777777" w:rsidR="0089207C" w:rsidRPr="00C07B2E" w:rsidRDefault="0089207C" w:rsidP="002D3EBF">
            <w:pPr>
              <w:rPr>
                <w:rFonts w:eastAsia="SimSun"/>
              </w:rPr>
            </w:pPr>
            <w:r w:rsidRPr="00C07B2E">
              <w:rPr>
                <w:rFonts w:eastAsia="SimSun"/>
              </w:rPr>
              <w:t xml:space="preserve">В/в, в течение 2 ч  </w:t>
            </w:r>
          </w:p>
        </w:tc>
      </w:tr>
      <w:tr w:rsidR="0089207C" w:rsidRPr="00C07B2E" w14:paraId="72B894FA" w14:textId="77777777" w:rsidTr="002D3EBF">
        <w:trPr>
          <w:cantSplit/>
          <w:trHeight w:val="958"/>
        </w:trPr>
        <w:tc>
          <w:tcPr>
            <w:tcW w:w="993" w:type="dxa"/>
            <w:vMerge/>
            <w:textDirection w:val="btLr"/>
            <w:vAlign w:val="center"/>
          </w:tcPr>
          <w:p w14:paraId="4024D488" w14:textId="77777777" w:rsidR="0089207C" w:rsidRPr="00C07B2E" w:rsidRDefault="0089207C" w:rsidP="002D3EBF">
            <w:pPr>
              <w:rPr>
                <w:rFonts w:eastAsia="SimSun"/>
              </w:rPr>
            </w:pPr>
          </w:p>
        </w:tc>
        <w:tc>
          <w:tcPr>
            <w:tcW w:w="1809" w:type="dxa"/>
            <w:vAlign w:val="center"/>
          </w:tcPr>
          <w:p w14:paraId="5FFA3C52" w14:textId="77777777" w:rsidR="0089207C" w:rsidRPr="00C07B2E" w:rsidRDefault="0089207C" w:rsidP="002D3EBF">
            <w:pPr>
              <w:rPr>
                <w:rFonts w:eastAsia="SimSun"/>
              </w:rPr>
            </w:pPr>
            <w:r w:rsidRPr="00C07B2E">
              <w:rPr>
                <w:rFonts w:eastAsia="SimSun"/>
              </w:rPr>
              <w:t xml:space="preserve">Такролимус </w:t>
            </w:r>
          </w:p>
        </w:tc>
        <w:tc>
          <w:tcPr>
            <w:tcW w:w="1417" w:type="dxa"/>
            <w:vAlign w:val="center"/>
          </w:tcPr>
          <w:p w14:paraId="1DE90A9B" w14:textId="77777777" w:rsidR="0089207C" w:rsidRPr="00C07B2E" w:rsidRDefault="0089207C" w:rsidP="002D3EBF">
            <w:pPr>
              <w:rPr>
                <w:rFonts w:eastAsia="SimSun"/>
              </w:rPr>
            </w:pPr>
            <w:r w:rsidRPr="00C07B2E">
              <w:rPr>
                <w:rFonts w:eastAsia="SimSun"/>
              </w:rPr>
              <w:t>0,03 мг/кг</w:t>
            </w:r>
          </w:p>
        </w:tc>
        <w:tc>
          <w:tcPr>
            <w:tcW w:w="1418" w:type="dxa"/>
            <w:vAlign w:val="center"/>
          </w:tcPr>
          <w:p w14:paraId="1048969B" w14:textId="77777777" w:rsidR="0089207C" w:rsidRPr="00C07B2E" w:rsidRDefault="0089207C" w:rsidP="002D3EBF">
            <w:pPr>
              <w:rPr>
                <w:rFonts w:eastAsia="SimSun"/>
              </w:rPr>
            </w:pPr>
            <w:r w:rsidRPr="00C07B2E">
              <w:rPr>
                <w:rFonts w:eastAsia="SimSun"/>
                <w:lang w:val="en-US"/>
              </w:rPr>
              <w:t>–</w:t>
            </w:r>
          </w:p>
        </w:tc>
        <w:tc>
          <w:tcPr>
            <w:tcW w:w="1701" w:type="dxa"/>
            <w:vAlign w:val="center"/>
          </w:tcPr>
          <w:p w14:paraId="4BC677EC" w14:textId="77777777" w:rsidR="0089207C" w:rsidRPr="00C07B2E" w:rsidRDefault="0089207C" w:rsidP="002D3EBF">
            <w:pPr>
              <w:rPr>
                <w:rFonts w:eastAsia="SimSun"/>
              </w:rPr>
            </w:pPr>
            <w:r w:rsidRPr="00C07B2E">
              <w:rPr>
                <w:rFonts w:eastAsia="SimSun"/>
              </w:rPr>
              <w:t xml:space="preserve">С +5 дня длительно </w:t>
            </w:r>
          </w:p>
        </w:tc>
        <w:tc>
          <w:tcPr>
            <w:tcW w:w="2268" w:type="dxa"/>
            <w:vAlign w:val="center"/>
          </w:tcPr>
          <w:p w14:paraId="17F37ABE" w14:textId="77777777" w:rsidR="0089207C" w:rsidRPr="000F445E" w:rsidRDefault="0089207C" w:rsidP="002D3EBF">
            <w:pPr>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Перевод на прием внутрь при условии восстановления лейкоцитов &gt; 1</w:t>
            </w:r>
            <w:r>
              <w:rPr>
                <w:rFonts w:eastAsia="SimSun"/>
              </w:rPr>
              <w:t xml:space="preserve"> 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0F445E">
              <w:rPr>
                <w:rFonts w:eastAsia="SimSun"/>
              </w:rPr>
              <w:t xml:space="preserve"> 5-15 нг/мл.    </w:t>
            </w:r>
          </w:p>
        </w:tc>
      </w:tr>
      <w:tr w:rsidR="0089207C" w:rsidRPr="00C07B2E" w14:paraId="794738A6" w14:textId="77777777" w:rsidTr="002D3EBF">
        <w:trPr>
          <w:cantSplit/>
          <w:trHeight w:val="986"/>
        </w:trPr>
        <w:tc>
          <w:tcPr>
            <w:tcW w:w="993" w:type="dxa"/>
            <w:vMerge/>
            <w:textDirection w:val="btLr"/>
            <w:vAlign w:val="center"/>
          </w:tcPr>
          <w:p w14:paraId="2E381F60" w14:textId="77777777" w:rsidR="0089207C" w:rsidRPr="000F445E" w:rsidRDefault="0089207C" w:rsidP="002D3EBF">
            <w:pPr>
              <w:rPr>
                <w:rFonts w:eastAsia="SimSun"/>
              </w:rPr>
            </w:pPr>
          </w:p>
        </w:tc>
        <w:tc>
          <w:tcPr>
            <w:tcW w:w="1809" w:type="dxa"/>
            <w:vAlign w:val="center"/>
          </w:tcPr>
          <w:p w14:paraId="3A1876B9" w14:textId="77777777" w:rsidR="0089207C" w:rsidRPr="00C07B2E" w:rsidRDefault="0089207C" w:rsidP="002D3EBF">
            <w:pPr>
              <w:rPr>
                <w:rFonts w:eastAsia="SimSun"/>
              </w:rPr>
            </w:pPr>
            <w:r w:rsidRPr="00C07B2E">
              <w:rPr>
                <w:rFonts w:eastAsia="SimSun"/>
              </w:rPr>
              <w:t>Микофенолата мофетил</w:t>
            </w:r>
          </w:p>
        </w:tc>
        <w:tc>
          <w:tcPr>
            <w:tcW w:w="1417" w:type="dxa"/>
            <w:vAlign w:val="center"/>
          </w:tcPr>
          <w:p w14:paraId="578F70AC" w14:textId="77777777" w:rsidR="0089207C" w:rsidRPr="00C07B2E" w:rsidRDefault="0089207C" w:rsidP="002D3EBF">
            <w:pPr>
              <w:rPr>
                <w:rFonts w:eastAsia="SimSun"/>
              </w:rPr>
            </w:pPr>
            <w:r w:rsidRPr="00C07B2E">
              <w:rPr>
                <w:rFonts w:eastAsia="SimSun"/>
              </w:rPr>
              <w:t xml:space="preserve">30 мг/кг </w:t>
            </w:r>
          </w:p>
        </w:tc>
        <w:tc>
          <w:tcPr>
            <w:tcW w:w="1418" w:type="dxa"/>
            <w:vAlign w:val="center"/>
          </w:tcPr>
          <w:p w14:paraId="34E24BAE" w14:textId="77777777" w:rsidR="0089207C" w:rsidRPr="00C07B2E" w:rsidRDefault="0089207C" w:rsidP="002D3EBF">
            <w:pPr>
              <w:rPr>
                <w:rFonts w:eastAsia="SimSun"/>
              </w:rPr>
            </w:pPr>
            <w:r w:rsidRPr="00C07B2E">
              <w:rPr>
                <w:rFonts w:eastAsia="SimSun"/>
              </w:rPr>
              <w:t>–</w:t>
            </w:r>
          </w:p>
        </w:tc>
        <w:tc>
          <w:tcPr>
            <w:tcW w:w="1701" w:type="dxa"/>
            <w:vAlign w:val="center"/>
          </w:tcPr>
          <w:p w14:paraId="687E19D7" w14:textId="77777777" w:rsidR="0089207C" w:rsidRPr="00C07B2E" w:rsidRDefault="0089207C" w:rsidP="002D3EBF">
            <w:pPr>
              <w:rPr>
                <w:rFonts w:eastAsia="SimSun"/>
              </w:rPr>
            </w:pPr>
            <w:r w:rsidRPr="00C07B2E">
              <w:rPr>
                <w:rFonts w:eastAsia="SimSun"/>
              </w:rPr>
              <w:t xml:space="preserve">С +5 дня по +35 день </w:t>
            </w:r>
          </w:p>
        </w:tc>
        <w:tc>
          <w:tcPr>
            <w:tcW w:w="2268" w:type="dxa"/>
            <w:vAlign w:val="center"/>
          </w:tcPr>
          <w:p w14:paraId="48B23FD2" w14:textId="77777777" w:rsidR="0089207C" w:rsidRPr="00C07B2E" w:rsidRDefault="0089207C" w:rsidP="002D3EBF">
            <w:pPr>
              <w:rPr>
                <w:rFonts w:eastAsia="SimSun"/>
              </w:rPr>
            </w:pPr>
            <w:r w:rsidRPr="00C07B2E">
              <w:rPr>
                <w:rFonts w:eastAsia="SimSun"/>
              </w:rPr>
              <w:t>Внутрь, суммарная суточная доза разделяется на 2- 4 приема (не более 3г/сут).</w:t>
            </w:r>
          </w:p>
        </w:tc>
      </w:tr>
    </w:tbl>
    <w:p w14:paraId="3C551E95" w14:textId="77777777" w:rsidR="0089207C" w:rsidRPr="00C07B2E" w:rsidRDefault="0089207C" w:rsidP="0089207C">
      <w:pPr>
        <w:rPr>
          <w:rFonts w:eastAsia="SimSun"/>
        </w:rPr>
      </w:pPr>
    </w:p>
    <w:p w14:paraId="288311B9" w14:textId="77777777" w:rsidR="0089207C" w:rsidRPr="00C07B2E" w:rsidRDefault="0089207C" w:rsidP="0089207C">
      <w:pPr>
        <w:rPr>
          <w:rFonts w:eastAsia="SimSun"/>
        </w:rPr>
      </w:pPr>
      <w:bookmarkStart w:id="206" w:name="_Toc44401153"/>
      <w:r w:rsidRPr="00042499">
        <w:rPr>
          <w:rFonts w:eastAsia="SimSun"/>
        </w:rPr>
        <w:t>Таблица</w:t>
      </w:r>
      <w:r w:rsidRPr="00C07B2E">
        <w:rPr>
          <w:rFonts w:eastAsia="SimSun"/>
        </w:rPr>
        <w:t xml:space="preserve"> </w:t>
      </w:r>
      <w:r>
        <w:rPr>
          <w:rFonts w:eastAsia="SimSun"/>
        </w:rPr>
        <w:t>5</w:t>
      </w:r>
      <w:r w:rsidRPr="00C07B2E">
        <w:rPr>
          <w:rFonts w:eastAsia="SimSun"/>
        </w:rPr>
        <w:t>.1.1.10  – Flu180+Bu14 / PT-Cy+CSA+MMF30</w:t>
      </w:r>
      <w:bookmarkEnd w:id="206"/>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1810"/>
        <w:gridCol w:w="1417"/>
        <w:gridCol w:w="1418"/>
        <w:gridCol w:w="1701"/>
        <w:gridCol w:w="2268"/>
      </w:tblGrid>
      <w:tr w:rsidR="0089207C" w:rsidRPr="00C07B2E" w14:paraId="0804150F" w14:textId="77777777" w:rsidTr="002D3EBF">
        <w:trPr>
          <w:cantSplit/>
          <w:trHeight w:val="20"/>
          <w:tblHeader/>
        </w:trPr>
        <w:tc>
          <w:tcPr>
            <w:tcW w:w="992" w:type="dxa"/>
            <w:vAlign w:val="center"/>
          </w:tcPr>
          <w:p w14:paraId="474BA6A5" w14:textId="77777777" w:rsidR="0089207C" w:rsidRPr="00470D3D" w:rsidRDefault="0089207C" w:rsidP="002D3EBF">
            <w:pPr>
              <w:rPr>
                <w:rFonts w:eastAsia="SimSun"/>
              </w:rPr>
            </w:pPr>
          </w:p>
        </w:tc>
        <w:tc>
          <w:tcPr>
            <w:tcW w:w="1810" w:type="dxa"/>
            <w:vAlign w:val="center"/>
          </w:tcPr>
          <w:p w14:paraId="3C44E9E0" w14:textId="77777777" w:rsidR="0089207C" w:rsidRPr="00C07B2E" w:rsidRDefault="0089207C" w:rsidP="002D3EBF">
            <w:pPr>
              <w:rPr>
                <w:rFonts w:eastAsia="SimSun"/>
              </w:rPr>
            </w:pPr>
            <w:r w:rsidRPr="00C07B2E">
              <w:rPr>
                <w:rFonts w:eastAsia="SimSun"/>
              </w:rPr>
              <w:t>Препарат</w:t>
            </w:r>
          </w:p>
        </w:tc>
        <w:tc>
          <w:tcPr>
            <w:tcW w:w="1417" w:type="dxa"/>
            <w:vAlign w:val="center"/>
          </w:tcPr>
          <w:p w14:paraId="3ACCF95D" w14:textId="77777777" w:rsidR="0089207C" w:rsidRPr="00C07B2E" w:rsidRDefault="0089207C" w:rsidP="002D3EBF">
            <w:pPr>
              <w:rPr>
                <w:rFonts w:eastAsia="SimSun"/>
              </w:rPr>
            </w:pPr>
            <w:r w:rsidRPr="00C07B2E">
              <w:rPr>
                <w:rFonts w:eastAsia="SimSun"/>
              </w:rPr>
              <w:t>Суточная доза</w:t>
            </w:r>
          </w:p>
        </w:tc>
        <w:tc>
          <w:tcPr>
            <w:tcW w:w="1418" w:type="dxa"/>
            <w:vAlign w:val="center"/>
          </w:tcPr>
          <w:p w14:paraId="64872718" w14:textId="77777777" w:rsidR="0089207C" w:rsidRPr="00C07B2E" w:rsidRDefault="0089207C" w:rsidP="002D3EBF">
            <w:pPr>
              <w:rPr>
                <w:rFonts w:eastAsia="SimSun"/>
              </w:rPr>
            </w:pPr>
            <w:r w:rsidRPr="00C07B2E">
              <w:rPr>
                <w:rFonts w:eastAsia="SimSun"/>
              </w:rPr>
              <w:t>Курсовая доза</w:t>
            </w:r>
          </w:p>
        </w:tc>
        <w:tc>
          <w:tcPr>
            <w:tcW w:w="1701" w:type="dxa"/>
            <w:vAlign w:val="center"/>
          </w:tcPr>
          <w:p w14:paraId="2FF3BA68" w14:textId="77777777" w:rsidR="0089207C" w:rsidRPr="00C07B2E" w:rsidRDefault="0089207C" w:rsidP="002D3EBF">
            <w:pPr>
              <w:rPr>
                <w:rFonts w:eastAsia="SimSun"/>
              </w:rPr>
            </w:pPr>
            <w:r w:rsidRPr="00C07B2E">
              <w:rPr>
                <w:rFonts w:eastAsia="SimSun"/>
              </w:rPr>
              <w:t>Дни введения</w:t>
            </w:r>
          </w:p>
        </w:tc>
        <w:tc>
          <w:tcPr>
            <w:tcW w:w="2268" w:type="dxa"/>
            <w:vAlign w:val="center"/>
          </w:tcPr>
          <w:p w14:paraId="3442F6D5" w14:textId="77777777" w:rsidR="0089207C" w:rsidRPr="00C07B2E" w:rsidRDefault="0089207C" w:rsidP="002D3EBF">
            <w:pPr>
              <w:rPr>
                <w:rFonts w:eastAsia="SimSun"/>
              </w:rPr>
            </w:pPr>
            <w:r w:rsidRPr="00C07B2E">
              <w:rPr>
                <w:rFonts w:eastAsia="SimSun"/>
              </w:rPr>
              <w:t>Порядок введения</w:t>
            </w:r>
          </w:p>
        </w:tc>
      </w:tr>
      <w:tr w:rsidR="0089207C" w:rsidRPr="00C07B2E" w14:paraId="4F1F8250" w14:textId="77777777" w:rsidTr="002D3EBF">
        <w:trPr>
          <w:cantSplit/>
          <w:trHeight w:val="20"/>
        </w:trPr>
        <w:tc>
          <w:tcPr>
            <w:tcW w:w="992" w:type="dxa"/>
            <w:vMerge w:val="restart"/>
            <w:textDirection w:val="btLr"/>
            <w:vAlign w:val="center"/>
          </w:tcPr>
          <w:p w14:paraId="1FA8A576" w14:textId="77777777" w:rsidR="0089207C" w:rsidRPr="00C07B2E" w:rsidRDefault="0089207C" w:rsidP="002D3EBF">
            <w:pPr>
              <w:rPr>
                <w:rFonts w:eastAsia="SimSun"/>
              </w:rPr>
            </w:pPr>
            <w:r w:rsidRPr="00C07B2E">
              <w:rPr>
                <w:rFonts w:eastAsia="SimSun"/>
              </w:rPr>
              <w:t>Кондиционирование</w:t>
            </w:r>
          </w:p>
        </w:tc>
        <w:tc>
          <w:tcPr>
            <w:tcW w:w="1810" w:type="dxa"/>
            <w:vAlign w:val="center"/>
          </w:tcPr>
          <w:p w14:paraId="23E05E82" w14:textId="77777777" w:rsidR="0089207C" w:rsidRPr="00C07B2E" w:rsidRDefault="0089207C" w:rsidP="002D3EBF">
            <w:pPr>
              <w:rPr>
                <w:rFonts w:eastAsia="SimSun"/>
              </w:rPr>
            </w:pPr>
            <w:r w:rsidRPr="00C07B2E">
              <w:rPr>
                <w:rFonts w:eastAsia="SimSun"/>
              </w:rPr>
              <w:t xml:space="preserve">Флударабин </w:t>
            </w:r>
          </w:p>
        </w:tc>
        <w:tc>
          <w:tcPr>
            <w:tcW w:w="1417" w:type="dxa"/>
            <w:vAlign w:val="center"/>
          </w:tcPr>
          <w:p w14:paraId="7196755E" w14:textId="77777777" w:rsidR="0089207C" w:rsidRPr="00C07B2E" w:rsidRDefault="0089207C" w:rsidP="002D3EBF">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342196AD" w14:textId="77777777" w:rsidR="0089207C" w:rsidRPr="00C07B2E" w:rsidRDefault="0089207C" w:rsidP="002D3EBF">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079E4AAF" w14:textId="77777777" w:rsidR="0089207C" w:rsidRPr="00C07B2E" w:rsidRDefault="0089207C" w:rsidP="002D3EBF">
            <w:pPr>
              <w:rPr>
                <w:rFonts w:eastAsia="SimSun"/>
              </w:rPr>
            </w:pPr>
            <w:r w:rsidRPr="00C07B2E">
              <w:rPr>
                <w:rFonts w:eastAsia="SimSun"/>
              </w:rPr>
              <w:t>С -7 дня по -2 день</w:t>
            </w:r>
          </w:p>
        </w:tc>
        <w:tc>
          <w:tcPr>
            <w:tcW w:w="2268" w:type="dxa"/>
            <w:vAlign w:val="center"/>
          </w:tcPr>
          <w:p w14:paraId="5EA3DB43" w14:textId="77777777" w:rsidR="0089207C" w:rsidRPr="00C07B2E" w:rsidRDefault="0089207C" w:rsidP="002D3EBF">
            <w:pPr>
              <w:rPr>
                <w:rFonts w:eastAsia="SimSun"/>
              </w:rPr>
            </w:pPr>
            <w:r w:rsidRPr="00C07B2E">
              <w:rPr>
                <w:rFonts w:eastAsia="SimSun"/>
              </w:rPr>
              <w:t>В/в, в течение 30 - 60 мин</w:t>
            </w:r>
          </w:p>
        </w:tc>
      </w:tr>
      <w:tr w:rsidR="0089207C" w:rsidRPr="00C07B2E" w14:paraId="3B6E44A6" w14:textId="77777777" w:rsidTr="002D3EBF">
        <w:trPr>
          <w:cantSplit/>
          <w:trHeight w:val="1207"/>
        </w:trPr>
        <w:tc>
          <w:tcPr>
            <w:tcW w:w="992" w:type="dxa"/>
            <w:vMerge/>
            <w:vAlign w:val="center"/>
          </w:tcPr>
          <w:p w14:paraId="06D72343" w14:textId="77777777" w:rsidR="0089207C" w:rsidRPr="00C07B2E" w:rsidRDefault="0089207C" w:rsidP="002D3EBF">
            <w:pPr>
              <w:rPr>
                <w:rFonts w:eastAsia="SimSun"/>
              </w:rPr>
            </w:pPr>
          </w:p>
        </w:tc>
        <w:tc>
          <w:tcPr>
            <w:tcW w:w="1810" w:type="dxa"/>
            <w:vAlign w:val="center"/>
          </w:tcPr>
          <w:p w14:paraId="06707FE9" w14:textId="77777777" w:rsidR="0089207C" w:rsidRPr="00C07B2E" w:rsidRDefault="0089207C" w:rsidP="002D3EBF">
            <w:pPr>
              <w:rPr>
                <w:rFonts w:eastAsia="SimSun"/>
              </w:rPr>
            </w:pPr>
            <w:r w:rsidRPr="00C07B2E">
              <w:rPr>
                <w:rFonts w:eastAsia="SimSun"/>
              </w:rPr>
              <w:t>Бусульфан</w:t>
            </w:r>
          </w:p>
        </w:tc>
        <w:tc>
          <w:tcPr>
            <w:tcW w:w="1417" w:type="dxa"/>
            <w:vAlign w:val="center"/>
          </w:tcPr>
          <w:p w14:paraId="24E7B476" w14:textId="77777777" w:rsidR="0089207C" w:rsidRPr="00C07B2E" w:rsidRDefault="0089207C" w:rsidP="002D3EBF">
            <w:pPr>
              <w:rPr>
                <w:rFonts w:eastAsia="SimSun"/>
              </w:rPr>
            </w:pPr>
            <w:r w:rsidRPr="00C07B2E">
              <w:rPr>
                <w:rFonts w:eastAsia="SimSun"/>
              </w:rPr>
              <w:t xml:space="preserve">4 мг/кг </w:t>
            </w:r>
          </w:p>
        </w:tc>
        <w:tc>
          <w:tcPr>
            <w:tcW w:w="1418" w:type="dxa"/>
            <w:vAlign w:val="center"/>
          </w:tcPr>
          <w:p w14:paraId="6802C9CA" w14:textId="77777777" w:rsidR="0089207C" w:rsidRPr="00C07B2E" w:rsidRDefault="0089207C" w:rsidP="002D3EBF">
            <w:pPr>
              <w:rPr>
                <w:rFonts w:eastAsia="SimSun"/>
              </w:rPr>
            </w:pPr>
            <w:r w:rsidRPr="00C07B2E">
              <w:rPr>
                <w:rFonts w:eastAsia="SimSun"/>
                <w:lang w:val="en-US"/>
              </w:rPr>
              <w:t>14</w:t>
            </w:r>
            <w:r w:rsidRPr="00C07B2E">
              <w:rPr>
                <w:rFonts w:eastAsia="SimSun"/>
              </w:rPr>
              <w:t xml:space="preserve"> мг/кг </w:t>
            </w:r>
          </w:p>
        </w:tc>
        <w:tc>
          <w:tcPr>
            <w:tcW w:w="1701" w:type="dxa"/>
            <w:vAlign w:val="center"/>
          </w:tcPr>
          <w:p w14:paraId="4E0429B1" w14:textId="77777777" w:rsidR="0089207C" w:rsidRPr="00C07B2E" w:rsidRDefault="0089207C" w:rsidP="002D3EBF">
            <w:pPr>
              <w:rPr>
                <w:rFonts w:eastAsia="SimSun"/>
              </w:rPr>
            </w:pPr>
            <w:r w:rsidRPr="00C07B2E">
              <w:rPr>
                <w:rFonts w:eastAsia="SimSun"/>
              </w:rPr>
              <w:t>С -</w:t>
            </w:r>
            <w:r w:rsidRPr="00C07B2E">
              <w:rPr>
                <w:rFonts w:eastAsia="SimSun"/>
                <w:lang w:val="en-US"/>
              </w:rPr>
              <w:t>6</w:t>
            </w:r>
            <w:r w:rsidRPr="00C07B2E">
              <w:rPr>
                <w:rFonts w:eastAsia="SimSun"/>
              </w:rPr>
              <w:t xml:space="preserve"> дня по -3 день</w:t>
            </w:r>
          </w:p>
        </w:tc>
        <w:tc>
          <w:tcPr>
            <w:tcW w:w="2268" w:type="dxa"/>
            <w:vAlign w:val="center"/>
          </w:tcPr>
          <w:p w14:paraId="10C046F1" w14:textId="77777777" w:rsidR="0089207C" w:rsidRPr="00C07B2E" w:rsidRDefault="0089207C" w:rsidP="002D3EBF">
            <w:pPr>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89207C" w:rsidRPr="00C07B2E" w14:paraId="5F890B15" w14:textId="77777777" w:rsidTr="002D3EBF">
        <w:trPr>
          <w:cantSplit/>
          <w:trHeight w:val="424"/>
        </w:trPr>
        <w:tc>
          <w:tcPr>
            <w:tcW w:w="992" w:type="dxa"/>
            <w:vMerge w:val="restart"/>
            <w:textDirection w:val="btLr"/>
            <w:vAlign w:val="center"/>
          </w:tcPr>
          <w:p w14:paraId="104C5785" w14:textId="77777777" w:rsidR="0089207C" w:rsidRPr="00C07B2E" w:rsidRDefault="0089207C" w:rsidP="002D3EBF">
            <w:pPr>
              <w:rPr>
                <w:rFonts w:eastAsia="SimSun"/>
              </w:rPr>
            </w:pPr>
            <w:r w:rsidRPr="00C07B2E">
              <w:rPr>
                <w:rFonts w:eastAsia="SimSun"/>
              </w:rPr>
              <w:t>Профилактика РТПХ</w:t>
            </w:r>
          </w:p>
        </w:tc>
        <w:tc>
          <w:tcPr>
            <w:tcW w:w="1810" w:type="dxa"/>
            <w:vAlign w:val="center"/>
          </w:tcPr>
          <w:p w14:paraId="5BC63A2B" w14:textId="77777777" w:rsidR="0089207C" w:rsidRPr="00C07B2E" w:rsidRDefault="0089207C" w:rsidP="002D3EBF">
            <w:pPr>
              <w:rPr>
                <w:rFonts w:eastAsia="SimSun"/>
              </w:rPr>
            </w:pPr>
            <w:r w:rsidRPr="00C07B2E">
              <w:rPr>
                <w:rFonts w:eastAsia="SimSun"/>
              </w:rPr>
              <w:t>Циклофосфамид</w:t>
            </w:r>
          </w:p>
        </w:tc>
        <w:tc>
          <w:tcPr>
            <w:tcW w:w="1417" w:type="dxa"/>
            <w:vAlign w:val="center"/>
          </w:tcPr>
          <w:p w14:paraId="5EB26DF1" w14:textId="77777777" w:rsidR="0089207C" w:rsidRPr="00C07B2E" w:rsidRDefault="0089207C" w:rsidP="002D3EBF">
            <w:pPr>
              <w:rPr>
                <w:rFonts w:eastAsia="SimSun"/>
              </w:rPr>
            </w:pPr>
            <w:r w:rsidRPr="00C07B2E">
              <w:rPr>
                <w:rFonts w:eastAsia="SimSun"/>
              </w:rPr>
              <w:t>50 мг/кг</w:t>
            </w:r>
          </w:p>
        </w:tc>
        <w:tc>
          <w:tcPr>
            <w:tcW w:w="1418" w:type="dxa"/>
            <w:vAlign w:val="center"/>
          </w:tcPr>
          <w:p w14:paraId="7E30AD15" w14:textId="77777777" w:rsidR="0089207C" w:rsidRPr="00C07B2E" w:rsidRDefault="0089207C" w:rsidP="002D3EBF">
            <w:pPr>
              <w:rPr>
                <w:rFonts w:eastAsia="SimSun"/>
              </w:rPr>
            </w:pPr>
            <w:r w:rsidRPr="00C07B2E">
              <w:rPr>
                <w:rFonts w:eastAsia="SimSun"/>
              </w:rPr>
              <w:t>100 мг/кг</w:t>
            </w:r>
          </w:p>
        </w:tc>
        <w:tc>
          <w:tcPr>
            <w:tcW w:w="1701" w:type="dxa"/>
            <w:vAlign w:val="center"/>
          </w:tcPr>
          <w:p w14:paraId="2C6D0C78" w14:textId="77777777" w:rsidR="0089207C" w:rsidRPr="00C07B2E" w:rsidRDefault="0089207C" w:rsidP="002D3EBF">
            <w:pPr>
              <w:rPr>
                <w:rFonts w:eastAsia="SimSun"/>
              </w:rPr>
            </w:pPr>
            <w:r w:rsidRPr="00C07B2E">
              <w:rPr>
                <w:rFonts w:eastAsia="SimSun"/>
              </w:rPr>
              <w:t>В +3 день  и +5 день</w:t>
            </w:r>
          </w:p>
        </w:tc>
        <w:tc>
          <w:tcPr>
            <w:tcW w:w="2268" w:type="dxa"/>
            <w:vAlign w:val="center"/>
          </w:tcPr>
          <w:p w14:paraId="6E842B96" w14:textId="77777777" w:rsidR="0089207C" w:rsidRPr="00C07B2E" w:rsidRDefault="0089207C" w:rsidP="002D3EBF">
            <w:pPr>
              <w:rPr>
                <w:rFonts w:eastAsia="SimSun"/>
              </w:rPr>
            </w:pPr>
            <w:r w:rsidRPr="00C07B2E">
              <w:rPr>
                <w:rFonts w:eastAsia="SimSun"/>
              </w:rPr>
              <w:t xml:space="preserve">В/в, в течение 2 ч  </w:t>
            </w:r>
          </w:p>
        </w:tc>
      </w:tr>
      <w:tr w:rsidR="0089207C" w:rsidRPr="00C07B2E" w14:paraId="2D2F5EE0" w14:textId="77777777" w:rsidTr="002D3EBF">
        <w:trPr>
          <w:cantSplit/>
          <w:trHeight w:val="958"/>
        </w:trPr>
        <w:tc>
          <w:tcPr>
            <w:tcW w:w="992" w:type="dxa"/>
            <w:vMerge/>
            <w:textDirection w:val="btLr"/>
            <w:vAlign w:val="center"/>
          </w:tcPr>
          <w:p w14:paraId="277B0C8E" w14:textId="77777777" w:rsidR="0089207C" w:rsidRPr="00C07B2E" w:rsidRDefault="0089207C" w:rsidP="002D3EBF">
            <w:pPr>
              <w:rPr>
                <w:rFonts w:eastAsia="SimSun"/>
              </w:rPr>
            </w:pPr>
          </w:p>
        </w:tc>
        <w:tc>
          <w:tcPr>
            <w:tcW w:w="1810" w:type="dxa"/>
            <w:vAlign w:val="center"/>
          </w:tcPr>
          <w:p w14:paraId="369D7AF4" w14:textId="77777777" w:rsidR="0089207C" w:rsidRPr="00C07B2E" w:rsidRDefault="0089207C" w:rsidP="002D3EBF">
            <w:pPr>
              <w:rPr>
                <w:rFonts w:eastAsia="SimSun"/>
              </w:rPr>
            </w:pPr>
            <w:r w:rsidRPr="00C07B2E">
              <w:rPr>
                <w:rFonts w:eastAsia="SimSun"/>
              </w:rPr>
              <w:t>Микофенолата мофетил</w:t>
            </w:r>
          </w:p>
        </w:tc>
        <w:tc>
          <w:tcPr>
            <w:tcW w:w="1417" w:type="dxa"/>
            <w:vAlign w:val="center"/>
          </w:tcPr>
          <w:p w14:paraId="5282B489" w14:textId="77777777" w:rsidR="0089207C" w:rsidRPr="00C07B2E" w:rsidRDefault="0089207C" w:rsidP="002D3EBF">
            <w:pPr>
              <w:rPr>
                <w:rFonts w:eastAsia="SimSun"/>
              </w:rPr>
            </w:pPr>
            <w:r w:rsidRPr="00C07B2E">
              <w:rPr>
                <w:rFonts w:eastAsia="SimSun"/>
              </w:rPr>
              <w:t xml:space="preserve">30 мг/кг </w:t>
            </w:r>
          </w:p>
        </w:tc>
        <w:tc>
          <w:tcPr>
            <w:tcW w:w="1418" w:type="dxa"/>
            <w:vAlign w:val="center"/>
          </w:tcPr>
          <w:p w14:paraId="7B54DA10" w14:textId="77777777" w:rsidR="0089207C" w:rsidRPr="00C07B2E" w:rsidRDefault="0089207C" w:rsidP="002D3EBF">
            <w:pPr>
              <w:rPr>
                <w:rFonts w:eastAsia="SimSun"/>
              </w:rPr>
            </w:pPr>
            <w:r w:rsidRPr="00C07B2E">
              <w:rPr>
                <w:rFonts w:eastAsia="SimSun"/>
              </w:rPr>
              <w:t>–</w:t>
            </w:r>
          </w:p>
        </w:tc>
        <w:tc>
          <w:tcPr>
            <w:tcW w:w="1701" w:type="dxa"/>
            <w:vAlign w:val="center"/>
          </w:tcPr>
          <w:p w14:paraId="013E800B" w14:textId="77777777" w:rsidR="0089207C" w:rsidRPr="00C07B2E" w:rsidRDefault="0089207C" w:rsidP="002D3EBF">
            <w:pPr>
              <w:rPr>
                <w:rFonts w:eastAsia="SimSun"/>
              </w:rPr>
            </w:pPr>
            <w:r w:rsidRPr="00C07B2E">
              <w:rPr>
                <w:rFonts w:eastAsia="SimSun"/>
              </w:rPr>
              <w:t xml:space="preserve">С +1 дня по +28 день </w:t>
            </w:r>
          </w:p>
        </w:tc>
        <w:tc>
          <w:tcPr>
            <w:tcW w:w="2268" w:type="dxa"/>
            <w:vAlign w:val="center"/>
          </w:tcPr>
          <w:p w14:paraId="55C2CC95" w14:textId="77777777" w:rsidR="0089207C" w:rsidRPr="00C07B2E" w:rsidRDefault="0089207C" w:rsidP="002D3EBF">
            <w:pPr>
              <w:rPr>
                <w:rFonts w:eastAsia="SimSun"/>
              </w:rPr>
            </w:pPr>
            <w:r w:rsidRPr="00C07B2E">
              <w:rPr>
                <w:rFonts w:eastAsia="SimSun"/>
              </w:rPr>
              <w:t>Внутрь, суммарная суточная доза разделяется на 2- 4 приема (не более 3г/сут).</w:t>
            </w:r>
          </w:p>
        </w:tc>
      </w:tr>
      <w:tr w:rsidR="0089207C" w:rsidRPr="000F445E" w14:paraId="382113EE" w14:textId="77777777" w:rsidTr="002D3EBF">
        <w:trPr>
          <w:cantSplit/>
          <w:trHeight w:val="958"/>
        </w:trPr>
        <w:tc>
          <w:tcPr>
            <w:tcW w:w="992" w:type="dxa"/>
            <w:vMerge/>
            <w:textDirection w:val="btLr"/>
            <w:vAlign w:val="center"/>
          </w:tcPr>
          <w:p w14:paraId="0D578827" w14:textId="77777777" w:rsidR="0089207C" w:rsidRPr="00C07B2E" w:rsidRDefault="0089207C" w:rsidP="002D3EBF">
            <w:pPr>
              <w:rPr>
                <w:rFonts w:eastAsia="SimSun"/>
              </w:rPr>
            </w:pPr>
          </w:p>
        </w:tc>
        <w:tc>
          <w:tcPr>
            <w:tcW w:w="1810" w:type="dxa"/>
            <w:vAlign w:val="center"/>
          </w:tcPr>
          <w:p w14:paraId="720EEC4C" w14:textId="77777777" w:rsidR="0089207C" w:rsidRPr="00C07B2E" w:rsidRDefault="0089207C" w:rsidP="002D3EBF">
            <w:pPr>
              <w:rPr>
                <w:rFonts w:eastAsia="SimSun"/>
              </w:rPr>
            </w:pPr>
            <w:r w:rsidRPr="00C07B2E">
              <w:rPr>
                <w:rFonts w:eastAsia="SimSun"/>
              </w:rPr>
              <w:t>Циклоспорин А</w:t>
            </w:r>
          </w:p>
        </w:tc>
        <w:tc>
          <w:tcPr>
            <w:tcW w:w="1417" w:type="dxa"/>
            <w:vAlign w:val="center"/>
          </w:tcPr>
          <w:p w14:paraId="418C1F4A" w14:textId="77777777" w:rsidR="0089207C" w:rsidRPr="00C07B2E" w:rsidRDefault="0089207C" w:rsidP="002D3EBF">
            <w:pPr>
              <w:rPr>
                <w:rFonts w:eastAsia="SimSun"/>
              </w:rPr>
            </w:pPr>
            <w:r w:rsidRPr="00C07B2E">
              <w:rPr>
                <w:rFonts w:eastAsia="SimSun"/>
              </w:rPr>
              <w:t>3 мг/кг</w:t>
            </w:r>
          </w:p>
        </w:tc>
        <w:tc>
          <w:tcPr>
            <w:tcW w:w="1418" w:type="dxa"/>
            <w:vAlign w:val="center"/>
          </w:tcPr>
          <w:p w14:paraId="37992124" w14:textId="77777777" w:rsidR="0089207C" w:rsidRPr="00C07B2E" w:rsidRDefault="0089207C" w:rsidP="002D3EBF">
            <w:pPr>
              <w:rPr>
                <w:rFonts w:eastAsia="SimSun"/>
              </w:rPr>
            </w:pPr>
            <w:r w:rsidRPr="00C07B2E">
              <w:rPr>
                <w:rFonts w:eastAsia="SimSun"/>
              </w:rPr>
              <w:t>-</w:t>
            </w:r>
          </w:p>
        </w:tc>
        <w:tc>
          <w:tcPr>
            <w:tcW w:w="1701" w:type="dxa"/>
            <w:vAlign w:val="center"/>
          </w:tcPr>
          <w:p w14:paraId="089931F5" w14:textId="77777777" w:rsidR="0089207C" w:rsidRPr="00C07B2E" w:rsidRDefault="0089207C" w:rsidP="002D3EBF">
            <w:pPr>
              <w:rPr>
                <w:rFonts w:eastAsia="SimSun"/>
              </w:rPr>
            </w:pPr>
            <w:r w:rsidRPr="00C07B2E">
              <w:rPr>
                <w:rFonts w:eastAsia="SimSun"/>
              </w:rPr>
              <w:t xml:space="preserve">С -1 дня по +100 день </w:t>
            </w:r>
          </w:p>
        </w:tc>
        <w:tc>
          <w:tcPr>
            <w:tcW w:w="2268" w:type="dxa"/>
            <w:vAlign w:val="center"/>
          </w:tcPr>
          <w:p w14:paraId="781E293D" w14:textId="77777777" w:rsidR="0089207C" w:rsidRPr="000F445E" w:rsidRDefault="0089207C" w:rsidP="002D3EBF">
            <w:pPr>
              <w:rPr>
                <w:rFonts w:eastAsia="SimSun"/>
              </w:rPr>
            </w:pPr>
            <w:r w:rsidRPr="00C07B2E">
              <w:rPr>
                <w:rFonts w:eastAsia="SimSun"/>
              </w:rPr>
              <w:t xml:space="preserve">В/в, 5-часовая инфузия 2 раза/сут. </w:t>
            </w:r>
            <w:r w:rsidRPr="000F445E">
              <w:rPr>
                <w:rFonts w:eastAsia="SimSun"/>
              </w:rPr>
              <w:t>Перевод на прием внутрь при условии восстановления лейкоцитов &gt; 1</w:t>
            </w:r>
            <w:r>
              <w:rPr>
                <w:rFonts w:eastAsia="SimSun"/>
              </w:rPr>
              <w:t>х 1</w:t>
            </w:r>
            <w:r w:rsidRPr="000F445E">
              <w:rPr>
                <w:rFonts w:eastAsia="SimSun"/>
              </w:rPr>
              <w:t>0</w:t>
            </w:r>
            <w:r w:rsidRPr="000F445E">
              <w:rPr>
                <w:rFonts w:eastAsia="SimSun"/>
                <w:vertAlign w:val="superscript"/>
              </w:rPr>
              <w:t>9</w:t>
            </w:r>
            <w:r w:rsidRPr="000F445E">
              <w:rPr>
                <w:rFonts w:eastAsia="SimSun"/>
              </w:rPr>
              <w:t>/л, при отсутствии тошноты, рвоты, диареи и возможности приема внутрь. Концентрация 150-350пг/мл.</w:t>
            </w:r>
          </w:p>
        </w:tc>
      </w:tr>
    </w:tbl>
    <w:p w14:paraId="68065438" w14:textId="77777777" w:rsidR="0089207C" w:rsidRPr="00C07B2E" w:rsidRDefault="0089207C" w:rsidP="0089207C">
      <w:pPr>
        <w:rPr>
          <w:rFonts w:eastAsia="SimSun"/>
        </w:rPr>
      </w:pPr>
    </w:p>
    <w:p w14:paraId="55D9E27A" w14:textId="77777777" w:rsidR="0089207C" w:rsidRPr="00C07B2E" w:rsidRDefault="0089207C" w:rsidP="0089207C">
      <w:pPr>
        <w:rPr>
          <w:rFonts w:eastAsia="SimSun"/>
        </w:rPr>
      </w:pPr>
      <w:bookmarkStart w:id="207" w:name="_Toc44401154"/>
      <w:r w:rsidRPr="00042499">
        <w:rPr>
          <w:rFonts w:eastAsia="SimSun"/>
        </w:rPr>
        <w:t>Таблица</w:t>
      </w:r>
      <w:r w:rsidRPr="00C07B2E">
        <w:rPr>
          <w:rFonts w:eastAsia="SimSun"/>
        </w:rPr>
        <w:t xml:space="preserve"> </w:t>
      </w:r>
      <w:r>
        <w:rPr>
          <w:rFonts w:eastAsia="SimSun"/>
        </w:rPr>
        <w:t>5</w:t>
      </w:r>
      <w:r w:rsidRPr="00C07B2E">
        <w:rPr>
          <w:rFonts w:eastAsia="SimSun"/>
        </w:rPr>
        <w:t>.1.1.11  – Flu180+Bu14 / Tx+MMF30</w:t>
      </w:r>
      <w:bookmarkEnd w:id="20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09"/>
        <w:gridCol w:w="1417"/>
        <w:gridCol w:w="1418"/>
        <w:gridCol w:w="1701"/>
        <w:gridCol w:w="2268"/>
      </w:tblGrid>
      <w:tr w:rsidR="0089207C" w:rsidRPr="00C07B2E" w14:paraId="07307837" w14:textId="77777777" w:rsidTr="002D3EBF">
        <w:trPr>
          <w:cantSplit/>
          <w:trHeight w:val="20"/>
          <w:tblHeader/>
        </w:trPr>
        <w:tc>
          <w:tcPr>
            <w:tcW w:w="993" w:type="dxa"/>
            <w:vAlign w:val="center"/>
          </w:tcPr>
          <w:p w14:paraId="22D23F02" w14:textId="77777777" w:rsidR="0089207C" w:rsidRPr="00C07B2E" w:rsidRDefault="0089207C" w:rsidP="002D3EBF">
            <w:pPr>
              <w:rPr>
                <w:rFonts w:eastAsia="SimSun"/>
              </w:rPr>
            </w:pPr>
          </w:p>
        </w:tc>
        <w:tc>
          <w:tcPr>
            <w:tcW w:w="1809" w:type="dxa"/>
            <w:vAlign w:val="center"/>
          </w:tcPr>
          <w:p w14:paraId="76C7FDA6" w14:textId="77777777" w:rsidR="0089207C" w:rsidRPr="00C07B2E" w:rsidRDefault="0089207C" w:rsidP="002D3EBF">
            <w:pPr>
              <w:rPr>
                <w:rFonts w:eastAsia="SimSun"/>
              </w:rPr>
            </w:pPr>
            <w:r w:rsidRPr="00C07B2E">
              <w:rPr>
                <w:rFonts w:eastAsia="SimSun"/>
              </w:rPr>
              <w:t>Препарат</w:t>
            </w:r>
          </w:p>
        </w:tc>
        <w:tc>
          <w:tcPr>
            <w:tcW w:w="1417" w:type="dxa"/>
            <w:vAlign w:val="center"/>
          </w:tcPr>
          <w:p w14:paraId="715AC5E8" w14:textId="77777777" w:rsidR="0089207C" w:rsidRPr="00C07B2E" w:rsidRDefault="0089207C" w:rsidP="002D3EBF">
            <w:pPr>
              <w:rPr>
                <w:rFonts w:eastAsia="SimSun"/>
              </w:rPr>
            </w:pPr>
            <w:r w:rsidRPr="00C07B2E">
              <w:rPr>
                <w:rFonts w:eastAsia="SimSun"/>
              </w:rPr>
              <w:t>Суточная доза</w:t>
            </w:r>
          </w:p>
        </w:tc>
        <w:tc>
          <w:tcPr>
            <w:tcW w:w="1418" w:type="dxa"/>
            <w:vAlign w:val="center"/>
          </w:tcPr>
          <w:p w14:paraId="4267582E" w14:textId="77777777" w:rsidR="0089207C" w:rsidRPr="00C07B2E" w:rsidRDefault="0089207C" w:rsidP="002D3EBF">
            <w:pPr>
              <w:rPr>
                <w:rFonts w:eastAsia="SimSun"/>
              </w:rPr>
            </w:pPr>
            <w:r w:rsidRPr="00C07B2E">
              <w:rPr>
                <w:rFonts w:eastAsia="SimSun"/>
              </w:rPr>
              <w:t>Курсовая доза</w:t>
            </w:r>
          </w:p>
        </w:tc>
        <w:tc>
          <w:tcPr>
            <w:tcW w:w="1701" w:type="dxa"/>
            <w:vAlign w:val="center"/>
          </w:tcPr>
          <w:p w14:paraId="11AEC324" w14:textId="77777777" w:rsidR="0089207C" w:rsidRPr="00C07B2E" w:rsidRDefault="0089207C" w:rsidP="002D3EBF">
            <w:pPr>
              <w:rPr>
                <w:rFonts w:eastAsia="SimSun"/>
              </w:rPr>
            </w:pPr>
            <w:r w:rsidRPr="00C07B2E">
              <w:rPr>
                <w:rFonts w:eastAsia="SimSun"/>
              </w:rPr>
              <w:t>Дни введения</w:t>
            </w:r>
          </w:p>
        </w:tc>
        <w:tc>
          <w:tcPr>
            <w:tcW w:w="2268" w:type="dxa"/>
            <w:vAlign w:val="center"/>
          </w:tcPr>
          <w:p w14:paraId="7880FB2A" w14:textId="77777777" w:rsidR="0089207C" w:rsidRPr="00C07B2E" w:rsidRDefault="0089207C" w:rsidP="002D3EBF">
            <w:pPr>
              <w:rPr>
                <w:rFonts w:eastAsia="SimSun"/>
              </w:rPr>
            </w:pPr>
            <w:r w:rsidRPr="00C07B2E">
              <w:rPr>
                <w:rFonts w:eastAsia="SimSun"/>
              </w:rPr>
              <w:t>Порядок введения</w:t>
            </w:r>
          </w:p>
        </w:tc>
      </w:tr>
      <w:tr w:rsidR="0089207C" w:rsidRPr="00C07B2E" w14:paraId="36F31F8C" w14:textId="77777777" w:rsidTr="002D3EBF">
        <w:trPr>
          <w:cantSplit/>
          <w:trHeight w:val="20"/>
        </w:trPr>
        <w:tc>
          <w:tcPr>
            <w:tcW w:w="993" w:type="dxa"/>
            <w:vMerge w:val="restart"/>
            <w:textDirection w:val="btLr"/>
            <w:vAlign w:val="center"/>
          </w:tcPr>
          <w:p w14:paraId="6980967E" w14:textId="77777777" w:rsidR="0089207C" w:rsidRPr="00C07B2E" w:rsidRDefault="0089207C" w:rsidP="002D3EBF">
            <w:pPr>
              <w:rPr>
                <w:rFonts w:eastAsia="SimSun"/>
              </w:rPr>
            </w:pPr>
            <w:r w:rsidRPr="00C07B2E">
              <w:rPr>
                <w:rFonts w:eastAsia="SimSun"/>
              </w:rPr>
              <w:t>Кондиционирование</w:t>
            </w:r>
          </w:p>
        </w:tc>
        <w:tc>
          <w:tcPr>
            <w:tcW w:w="1809" w:type="dxa"/>
            <w:vAlign w:val="center"/>
          </w:tcPr>
          <w:p w14:paraId="051A48AD" w14:textId="77777777" w:rsidR="0089207C" w:rsidRPr="00C07B2E" w:rsidRDefault="0089207C" w:rsidP="002D3EBF">
            <w:pPr>
              <w:rPr>
                <w:rFonts w:eastAsia="SimSun"/>
              </w:rPr>
            </w:pPr>
            <w:r w:rsidRPr="00C07B2E">
              <w:rPr>
                <w:rFonts w:eastAsia="SimSun"/>
              </w:rPr>
              <w:t xml:space="preserve">Флударабин </w:t>
            </w:r>
          </w:p>
        </w:tc>
        <w:tc>
          <w:tcPr>
            <w:tcW w:w="1417" w:type="dxa"/>
            <w:vAlign w:val="center"/>
          </w:tcPr>
          <w:p w14:paraId="5C62D3B6" w14:textId="77777777" w:rsidR="0089207C" w:rsidRPr="00C07B2E" w:rsidRDefault="0089207C" w:rsidP="002D3EBF">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5660D62A" w14:textId="77777777" w:rsidR="0089207C" w:rsidRPr="00C07B2E" w:rsidRDefault="0089207C" w:rsidP="002D3EBF">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5C04FC6C" w14:textId="77777777" w:rsidR="0089207C" w:rsidRPr="00C07B2E" w:rsidRDefault="0089207C" w:rsidP="002D3EBF">
            <w:pPr>
              <w:rPr>
                <w:rFonts w:eastAsia="SimSun"/>
              </w:rPr>
            </w:pPr>
            <w:r w:rsidRPr="00C07B2E">
              <w:rPr>
                <w:rFonts w:eastAsia="SimSun"/>
              </w:rPr>
              <w:t>С -7 дня по -2 день</w:t>
            </w:r>
          </w:p>
        </w:tc>
        <w:tc>
          <w:tcPr>
            <w:tcW w:w="2268" w:type="dxa"/>
            <w:vAlign w:val="center"/>
          </w:tcPr>
          <w:p w14:paraId="46549C0B" w14:textId="77777777" w:rsidR="0089207C" w:rsidRPr="00C07B2E" w:rsidRDefault="0089207C" w:rsidP="002D3EBF">
            <w:pPr>
              <w:rPr>
                <w:rFonts w:eastAsia="SimSun"/>
              </w:rPr>
            </w:pPr>
            <w:r w:rsidRPr="00C07B2E">
              <w:rPr>
                <w:rFonts w:eastAsia="SimSun"/>
              </w:rPr>
              <w:t>В/в, в течение 30 - 60 мин</w:t>
            </w:r>
          </w:p>
        </w:tc>
      </w:tr>
      <w:tr w:rsidR="0089207C" w:rsidRPr="00C07B2E" w14:paraId="6FA57276" w14:textId="77777777" w:rsidTr="002D3EBF">
        <w:trPr>
          <w:cantSplit/>
          <w:trHeight w:val="1207"/>
        </w:trPr>
        <w:tc>
          <w:tcPr>
            <w:tcW w:w="993" w:type="dxa"/>
            <w:vMerge/>
            <w:vAlign w:val="center"/>
          </w:tcPr>
          <w:p w14:paraId="280E17A0" w14:textId="77777777" w:rsidR="0089207C" w:rsidRPr="00C07B2E" w:rsidRDefault="0089207C" w:rsidP="002D3EBF">
            <w:pPr>
              <w:rPr>
                <w:rFonts w:eastAsia="SimSun"/>
              </w:rPr>
            </w:pPr>
          </w:p>
        </w:tc>
        <w:tc>
          <w:tcPr>
            <w:tcW w:w="1809" w:type="dxa"/>
            <w:vAlign w:val="center"/>
          </w:tcPr>
          <w:p w14:paraId="3FAD1FD4" w14:textId="77777777" w:rsidR="0089207C" w:rsidRPr="00C07B2E" w:rsidRDefault="0089207C" w:rsidP="002D3EBF">
            <w:pPr>
              <w:rPr>
                <w:rFonts w:eastAsia="SimSun"/>
              </w:rPr>
            </w:pPr>
            <w:r w:rsidRPr="00C07B2E">
              <w:rPr>
                <w:rFonts w:eastAsia="SimSun"/>
              </w:rPr>
              <w:t>Бусульфан</w:t>
            </w:r>
          </w:p>
        </w:tc>
        <w:tc>
          <w:tcPr>
            <w:tcW w:w="1417" w:type="dxa"/>
            <w:vAlign w:val="center"/>
          </w:tcPr>
          <w:p w14:paraId="6FAAE586" w14:textId="77777777" w:rsidR="0089207C" w:rsidRPr="00C07B2E" w:rsidRDefault="0089207C" w:rsidP="002D3EBF">
            <w:pPr>
              <w:rPr>
                <w:rFonts w:eastAsia="SimSun"/>
              </w:rPr>
            </w:pPr>
            <w:r w:rsidRPr="00C07B2E">
              <w:rPr>
                <w:rFonts w:eastAsia="SimSun"/>
              </w:rPr>
              <w:t xml:space="preserve">4 мг/кг </w:t>
            </w:r>
          </w:p>
        </w:tc>
        <w:tc>
          <w:tcPr>
            <w:tcW w:w="1418" w:type="dxa"/>
            <w:vAlign w:val="center"/>
          </w:tcPr>
          <w:p w14:paraId="0A3439E6" w14:textId="77777777" w:rsidR="0089207C" w:rsidRPr="00C07B2E" w:rsidRDefault="0089207C" w:rsidP="002D3EBF">
            <w:pPr>
              <w:rPr>
                <w:rFonts w:eastAsia="SimSun"/>
              </w:rPr>
            </w:pPr>
            <w:r w:rsidRPr="00C07B2E">
              <w:rPr>
                <w:rFonts w:eastAsia="SimSun"/>
                <w:lang w:val="en-US"/>
              </w:rPr>
              <w:t>14</w:t>
            </w:r>
            <w:r w:rsidRPr="00C07B2E">
              <w:rPr>
                <w:rFonts w:eastAsia="SimSun"/>
              </w:rPr>
              <w:t xml:space="preserve"> мг/кг </w:t>
            </w:r>
          </w:p>
        </w:tc>
        <w:tc>
          <w:tcPr>
            <w:tcW w:w="1701" w:type="dxa"/>
            <w:vAlign w:val="center"/>
          </w:tcPr>
          <w:p w14:paraId="109DD58B" w14:textId="77777777" w:rsidR="0089207C" w:rsidRPr="00C07B2E" w:rsidRDefault="0089207C" w:rsidP="002D3EBF">
            <w:pPr>
              <w:rPr>
                <w:rFonts w:eastAsia="SimSun"/>
              </w:rPr>
            </w:pPr>
            <w:r w:rsidRPr="00C07B2E">
              <w:rPr>
                <w:rFonts w:eastAsia="SimSun"/>
              </w:rPr>
              <w:t>С -</w:t>
            </w:r>
            <w:r w:rsidRPr="00C07B2E">
              <w:rPr>
                <w:rFonts w:eastAsia="SimSun"/>
                <w:lang w:val="en-US"/>
              </w:rPr>
              <w:t>6</w:t>
            </w:r>
            <w:r w:rsidRPr="00C07B2E">
              <w:rPr>
                <w:rFonts w:eastAsia="SimSun"/>
              </w:rPr>
              <w:t xml:space="preserve"> дня по -3 день</w:t>
            </w:r>
          </w:p>
        </w:tc>
        <w:tc>
          <w:tcPr>
            <w:tcW w:w="2268" w:type="dxa"/>
            <w:vAlign w:val="center"/>
          </w:tcPr>
          <w:p w14:paraId="1215F6B0" w14:textId="77777777" w:rsidR="0089207C" w:rsidRPr="00C07B2E" w:rsidRDefault="0089207C" w:rsidP="002D3EBF">
            <w:pPr>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89207C" w:rsidRPr="000F445E" w14:paraId="5A5DA606" w14:textId="77777777" w:rsidTr="002D3EBF">
        <w:trPr>
          <w:cantSplit/>
          <w:trHeight w:val="1498"/>
        </w:trPr>
        <w:tc>
          <w:tcPr>
            <w:tcW w:w="993" w:type="dxa"/>
            <w:vMerge w:val="restart"/>
            <w:textDirection w:val="btLr"/>
            <w:vAlign w:val="center"/>
          </w:tcPr>
          <w:p w14:paraId="3924FF5F" w14:textId="77777777" w:rsidR="0089207C" w:rsidRPr="00C07B2E" w:rsidRDefault="0089207C" w:rsidP="002D3EBF">
            <w:pPr>
              <w:rPr>
                <w:rFonts w:eastAsia="SimSun"/>
              </w:rPr>
            </w:pPr>
            <w:r w:rsidRPr="00C07B2E">
              <w:rPr>
                <w:rFonts w:eastAsia="SimSun"/>
              </w:rPr>
              <w:t>Профилактика РТПХ</w:t>
            </w:r>
          </w:p>
        </w:tc>
        <w:tc>
          <w:tcPr>
            <w:tcW w:w="1809" w:type="dxa"/>
            <w:vAlign w:val="center"/>
          </w:tcPr>
          <w:p w14:paraId="5B65A591" w14:textId="77777777" w:rsidR="0089207C" w:rsidRPr="00C07B2E" w:rsidRDefault="0089207C" w:rsidP="002D3EBF">
            <w:pPr>
              <w:rPr>
                <w:rFonts w:eastAsia="SimSun"/>
              </w:rPr>
            </w:pPr>
            <w:r w:rsidRPr="00C07B2E">
              <w:rPr>
                <w:rFonts w:eastAsia="SimSun"/>
              </w:rPr>
              <w:t xml:space="preserve">Такролимус </w:t>
            </w:r>
          </w:p>
        </w:tc>
        <w:tc>
          <w:tcPr>
            <w:tcW w:w="1417" w:type="dxa"/>
            <w:vAlign w:val="center"/>
          </w:tcPr>
          <w:p w14:paraId="658DA582" w14:textId="77777777" w:rsidR="0089207C" w:rsidRPr="00C07B2E" w:rsidRDefault="0089207C" w:rsidP="002D3EBF">
            <w:pPr>
              <w:rPr>
                <w:rFonts w:eastAsia="SimSun"/>
              </w:rPr>
            </w:pPr>
            <w:r w:rsidRPr="00C07B2E">
              <w:rPr>
                <w:rFonts w:eastAsia="SimSun"/>
              </w:rPr>
              <w:t>0,03 мг/кг</w:t>
            </w:r>
          </w:p>
        </w:tc>
        <w:tc>
          <w:tcPr>
            <w:tcW w:w="1418" w:type="dxa"/>
            <w:vAlign w:val="center"/>
          </w:tcPr>
          <w:p w14:paraId="06135368" w14:textId="77777777" w:rsidR="0089207C" w:rsidRPr="00C07B2E" w:rsidRDefault="0089207C" w:rsidP="002D3EBF">
            <w:pPr>
              <w:rPr>
                <w:rFonts w:eastAsia="SimSun"/>
              </w:rPr>
            </w:pPr>
            <w:r w:rsidRPr="00C07B2E">
              <w:rPr>
                <w:rFonts w:eastAsia="SimSun"/>
              </w:rPr>
              <w:t>–</w:t>
            </w:r>
          </w:p>
        </w:tc>
        <w:tc>
          <w:tcPr>
            <w:tcW w:w="1701" w:type="dxa"/>
            <w:vAlign w:val="center"/>
          </w:tcPr>
          <w:p w14:paraId="2E7374D4" w14:textId="77777777" w:rsidR="0089207C" w:rsidRPr="00C07B2E" w:rsidRDefault="0089207C" w:rsidP="002D3EBF">
            <w:pPr>
              <w:rPr>
                <w:rFonts w:eastAsia="SimSun"/>
              </w:rPr>
            </w:pPr>
            <w:r w:rsidRPr="00C07B2E">
              <w:rPr>
                <w:rFonts w:eastAsia="SimSun"/>
              </w:rPr>
              <w:t xml:space="preserve">С +5 дня длительно </w:t>
            </w:r>
          </w:p>
        </w:tc>
        <w:tc>
          <w:tcPr>
            <w:tcW w:w="2268" w:type="dxa"/>
            <w:vAlign w:val="center"/>
          </w:tcPr>
          <w:p w14:paraId="1E55BDC3" w14:textId="77777777" w:rsidR="0089207C" w:rsidRPr="000F445E" w:rsidRDefault="0089207C" w:rsidP="002D3EBF">
            <w:pPr>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 xml:space="preserve">Перевод на прием внутрь при условии восстановления лейкоцитов &gt; 1 </w:t>
            </w:r>
            <w:r>
              <w:rPr>
                <w:rFonts w:eastAsia="SimSun"/>
              </w:rPr>
              <w:t xml:space="preserve">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0F445E">
              <w:rPr>
                <w:rFonts w:eastAsia="SimSun"/>
              </w:rPr>
              <w:t xml:space="preserve"> 5-15 нг/мл.    </w:t>
            </w:r>
          </w:p>
        </w:tc>
      </w:tr>
      <w:tr w:rsidR="0089207C" w:rsidRPr="00C07B2E" w14:paraId="1A6BC800" w14:textId="77777777" w:rsidTr="002D3EBF">
        <w:trPr>
          <w:cantSplit/>
          <w:trHeight w:val="805"/>
        </w:trPr>
        <w:tc>
          <w:tcPr>
            <w:tcW w:w="993" w:type="dxa"/>
            <w:vMerge/>
            <w:textDirection w:val="btLr"/>
            <w:vAlign w:val="center"/>
          </w:tcPr>
          <w:p w14:paraId="55B71942" w14:textId="77777777" w:rsidR="0089207C" w:rsidRPr="000F445E" w:rsidRDefault="0089207C" w:rsidP="002D3EBF">
            <w:pPr>
              <w:rPr>
                <w:rFonts w:eastAsia="SimSun"/>
              </w:rPr>
            </w:pPr>
          </w:p>
        </w:tc>
        <w:tc>
          <w:tcPr>
            <w:tcW w:w="1809" w:type="dxa"/>
            <w:vAlign w:val="center"/>
          </w:tcPr>
          <w:p w14:paraId="6C50D416" w14:textId="77777777" w:rsidR="0089207C" w:rsidRPr="00C07B2E" w:rsidRDefault="0089207C" w:rsidP="002D3EBF">
            <w:pPr>
              <w:rPr>
                <w:rFonts w:eastAsia="SimSun"/>
              </w:rPr>
            </w:pPr>
            <w:r w:rsidRPr="00C07B2E">
              <w:rPr>
                <w:rFonts w:eastAsia="SimSun"/>
              </w:rPr>
              <w:t>Микофенолата мофетил</w:t>
            </w:r>
          </w:p>
        </w:tc>
        <w:tc>
          <w:tcPr>
            <w:tcW w:w="1417" w:type="dxa"/>
            <w:vAlign w:val="center"/>
          </w:tcPr>
          <w:p w14:paraId="73E54B65" w14:textId="77777777" w:rsidR="0089207C" w:rsidRPr="00C07B2E" w:rsidRDefault="0089207C" w:rsidP="002D3EBF">
            <w:pPr>
              <w:rPr>
                <w:rFonts w:eastAsia="SimSun"/>
              </w:rPr>
            </w:pPr>
            <w:r w:rsidRPr="00C07B2E">
              <w:rPr>
                <w:rFonts w:eastAsia="SimSun"/>
              </w:rPr>
              <w:t xml:space="preserve">30 мг/кг </w:t>
            </w:r>
          </w:p>
        </w:tc>
        <w:tc>
          <w:tcPr>
            <w:tcW w:w="1418" w:type="dxa"/>
            <w:vAlign w:val="center"/>
          </w:tcPr>
          <w:p w14:paraId="3E8A6830" w14:textId="77777777" w:rsidR="0089207C" w:rsidRPr="00C07B2E" w:rsidRDefault="0089207C" w:rsidP="002D3EBF">
            <w:pPr>
              <w:rPr>
                <w:rFonts w:eastAsia="SimSun"/>
              </w:rPr>
            </w:pPr>
            <w:r w:rsidRPr="00C07B2E">
              <w:rPr>
                <w:rFonts w:eastAsia="SimSun"/>
              </w:rPr>
              <w:t>–</w:t>
            </w:r>
          </w:p>
        </w:tc>
        <w:tc>
          <w:tcPr>
            <w:tcW w:w="1701" w:type="dxa"/>
            <w:vAlign w:val="center"/>
          </w:tcPr>
          <w:p w14:paraId="5ECBD513" w14:textId="77777777" w:rsidR="0089207C" w:rsidRPr="00C07B2E" w:rsidRDefault="0089207C" w:rsidP="002D3EBF">
            <w:pPr>
              <w:rPr>
                <w:rFonts w:eastAsia="SimSun"/>
              </w:rPr>
            </w:pPr>
            <w:r w:rsidRPr="00C07B2E">
              <w:rPr>
                <w:rFonts w:eastAsia="SimSun"/>
              </w:rPr>
              <w:t xml:space="preserve">С +5 дня по +35 день </w:t>
            </w:r>
          </w:p>
        </w:tc>
        <w:tc>
          <w:tcPr>
            <w:tcW w:w="2268" w:type="dxa"/>
            <w:vAlign w:val="center"/>
          </w:tcPr>
          <w:p w14:paraId="4CBA195C" w14:textId="77777777" w:rsidR="0089207C" w:rsidRPr="000F445E" w:rsidRDefault="0089207C" w:rsidP="002D3EBF">
            <w:pPr>
              <w:rPr>
                <w:rFonts w:eastAsia="SimSun"/>
              </w:rPr>
            </w:pPr>
            <w:r w:rsidRPr="000F445E">
              <w:rPr>
                <w:rFonts w:eastAsia="SimSun"/>
              </w:rPr>
              <w:t>Внутрь, суммарная суточная доза разделяется на 2- 4 приема (не более 3</w:t>
            </w:r>
            <w:r>
              <w:rPr>
                <w:rFonts w:eastAsia="SimSun"/>
              </w:rPr>
              <w:t xml:space="preserve"> </w:t>
            </w:r>
            <w:r w:rsidRPr="000F445E">
              <w:rPr>
                <w:rFonts w:eastAsia="SimSun"/>
              </w:rPr>
              <w:t>г/сут).</w:t>
            </w:r>
          </w:p>
        </w:tc>
      </w:tr>
    </w:tbl>
    <w:p w14:paraId="33E458DB" w14:textId="77777777" w:rsidR="0089207C" w:rsidRPr="00C07B2E" w:rsidRDefault="0089207C" w:rsidP="0089207C">
      <w:pPr>
        <w:rPr>
          <w:rFonts w:eastAsia="SimSun"/>
        </w:rPr>
      </w:pPr>
    </w:p>
    <w:p w14:paraId="5A318D84" w14:textId="77777777" w:rsidR="0089207C" w:rsidRPr="00C07B2E" w:rsidRDefault="0089207C" w:rsidP="0089207C">
      <w:pPr>
        <w:rPr>
          <w:rFonts w:eastAsia="SimSun"/>
        </w:rPr>
      </w:pPr>
      <w:bookmarkStart w:id="208" w:name="_Toc44401155"/>
      <w:r w:rsidRPr="00042499">
        <w:rPr>
          <w:rFonts w:eastAsia="SimSun"/>
        </w:rPr>
        <w:t>Таблица</w:t>
      </w:r>
      <w:r w:rsidRPr="00C07B2E">
        <w:rPr>
          <w:rFonts w:eastAsia="SimSun"/>
        </w:rPr>
        <w:t xml:space="preserve"> </w:t>
      </w:r>
      <w:r>
        <w:rPr>
          <w:rFonts w:eastAsia="SimSun"/>
        </w:rPr>
        <w:t>5</w:t>
      </w:r>
      <w:r w:rsidRPr="00C07B2E">
        <w:rPr>
          <w:rFonts w:eastAsia="SimSun"/>
        </w:rPr>
        <w:t>.1.1.12  – Flu180+Treo42 / PT-Cy+Tx+MMF30</w:t>
      </w:r>
      <w:bookmarkEnd w:id="208"/>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1701"/>
        <w:gridCol w:w="1417"/>
        <w:gridCol w:w="1418"/>
        <w:gridCol w:w="1701"/>
        <w:gridCol w:w="2268"/>
      </w:tblGrid>
      <w:tr w:rsidR="0089207C" w:rsidRPr="00C07B2E" w14:paraId="7C8DD139" w14:textId="77777777" w:rsidTr="002D3EBF">
        <w:trPr>
          <w:cantSplit/>
          <w:trHeight w:val="20"/>
          <w:tblHeader/>
        </w:trPr>
        <w:tc>
          <w:tcPr>
            <w:tcW w:w="1101" w:type="dxa"/>
            <w:vAlign w:val="center"/>
          </w:tcPr>
          <w:p w14:paraId="3A0EF77E" w14:textId="77777777" w:rsidR="0089207C" w:rsidRPr="00470D3D" w:rsidRDefault="0089207C" w:rsidP="002D3EBF">
            <w:pPr>
              <w:rPr>
                <w:rFonts w:eastAsia="SimSun"/>
              </w:rPr>
            </w:pPr>
          </w:p>
        </w:tc>
        <w:tc>
          <w:tcPr>
            <w:tcW w:w="1701" w:type="dxa"/>
            <w:vAlign w:val="center"/>
          </w:tcPr>
          <w:p w14:paraId="6B395DE2" w14:textId="77777777" w:rsidR="0089207C" w:rsidRPr="00C07B2E" w:rsidRDefault="0089207C" w:rsidP="002D3EBF">
            <w:pPr>
              <w:rPr>
                <w:rFonts w:eastAsia="SimSun"/>
              </w:rPr>
            </w:pPr>
            <w:r w:rsidRPr="00C07B2E">
              <w:rPr>
                <w:rFonts w:eastAsia="SimSun"/>
              </w:rPr>
              <w:t>Препарат</w:t>
            </w:r>
          </w:p>
        </w:tc>
        <w:tc>
          <w:tcPr>
            <w:tcW w:w="1417" w:type="dxa"/>
            <w:vAlign w:val="center"/>
          </w:tcPr>
          <w:p w14:paraId="12D3A163" w14:textId="77777777" w:rsidR="0089207C" w:rsidRPr="00C07B2E" w:rsidRDefault="0089207C" w:rsidP="002D3EBF">
            <w:pPr>
              <w:rPr>
                <w:rFonts w:eastAsia="SimSun"/>
              </w:rPr>
            </w:pPr>
            <w:r w:rsidRPr="00C07B2E">
              <w:rPr>
                <w:rFonts w:eastAsia="SimSun"/>
              </w:rPr>
              <w:t>Суточная доза</w:t>
            </w:r>
          </w:p>
        </w:tc>
        <w:tc>
          <w:tcPr>
            <w:tcW w:w="1418" w:type="dxa"/>
            <w:vAlign w:val="center"/>
          </w:tcPr>
          <w:p w14:paraId="5BE31739" w14:textId="77777777" w:rsidR="0089207C" w:rsidRPr="00C07B2E" w:rsidRDefault="0089207C" w:rsidP="002D3EBF">
            <w:pPr>
              <w:rPr>
                <w:rFonts w:eastAsia="SimSun"/>
              </w:rPr>
            </w:pPr>
            <w:r w:rsidRPr="00C07B2E">
              <w:rPr>
                <w:rFonts w:eastAsia="SimSun"/>
              </w:rPr>
              <w:t>Курсовая доза</w:t>
            </w:r>
          </w:p>
        </w:tc>
        <w:tc>
          <w:tcPr>
            <w:tcW w:w="1701" w:type="dxa"/>
            <w:vAlign w:val="center"/>
          </w:tcPr>
          <w:p w14:paraId="31FED1C1" w14:textId="77777777" w:rsidR="0089207C" w:rsidRPr="00C07B2E" w:rsidRDefault="0089207C" w:rsidP="002D3EBF">
            <w:pPr>
              <w:rPr>
                <w:rFonts w:eastAsia="SimSun"/>
              </w:rPr>
            </w:pPr>
            <w:r w:rsidRPr="00C07B2E">
              <w:rPr>
                <w:rFonts w:eastAsia="SimSun"/>
              </w:rPr>
              <w:t>Дни введения</w:t>
            </w:r>
          </w:p>
        </w:tc>
        <w:tc>
          <w:tcPr>
            <w:tcW w:w="2268" w:type="dxa"/>
            <w:vAlign w:val="center"/>
          </w:tcPr>
          <w:p w14:paraId="17C1B01C" w14:textId="77777777" w:rsidR="0089207C" w:rsidRPr="00C07B2E" w:rsidRDefault="0089207C" w:rsidP="002D3EBF">
            <w:pPr>
              <w:rPr>
                <w:rFonts w:eastAsia="SimSun"/>
              </w:rPr>
            </w:pPr>
            <w:r w:rsidRPr="00C07B2E">
              <w:rPr>
                <w:rFonts w:eastAsia="SimSun"/>
              </w:rPr>
              <w:t>Порядок введения</w:t>
            </w:r>
          </w:p>
        </w:tc>
      </w:tr>
      <w:tr w:rsidR="0089207C" w:rsidRPr="00C07B2E" w14:paraId="3B4A5678" w14:textId="77777777" w:rsidTr="002D3EBF">
        <w:trPr>
          <w:cantSplit/>
          <w:trHeight w:val="20"/>
        </w:trPr>
        <w:tc>
          <w:tcPr>
            <w:tcW w:w="1101" w:type="dxa"/>
            <w:vMerge w:val="restart"/>
            <w:textDirection w:val="btLr"/>
            <w:vAlign w:val="center"/>
          </w:tcPr>
          <w:p w14:paraId="67A07A9B" w14:textId="77777777" w:rsidR="0089207C" w:rsidRPr="00C07B2E" w:rsidRDefault="0089207C" w:rsidP="002D3EBF">
            <w:pPr>
              <w:rPr>
                <w:rFonts w:eastAsia="SimSun"/>
              </w:rPr>
            </w:pPr>
            <w:r w:rsidRPr="00C07B2E">
              <w:rPr>
                <w:rFonts w:eastAsia="SimSun"/>
              </w:rPr>
              <w:t>Кондиционирование</w:t>
            </w:r>
          </w:p>
        </w:tc>
        <w:tc>
          <w:tcPr>
            <w:tcW w:w="1701" w:type="dxa"/>
            <w:vAlign w:val="center"/>
          </w:tcPr>
          <w:p w14:paraId="128C72BD" w14:textId="77777777" w:rsidR="0089207C" w:rsidRPr="00C07B2E" w:rsidRDefault="0089207C" w:rsidP="002D3EBF">
            <w:pPr>
              <w:rPr>
                <w:rFonts w:eastAsia="SimSun"/>
              </w:rPr>
            </w:pPr>
            <w:r w:rsidRPr="00C07B2E">
              <w:rPr>
                <w:rFonts w:eastAsia="SimSun"/>
              </w:rPr>
              <w:t xml:space="preserve">Флударабин </w:t>
            </w:r>
          </w:p>
        </w:tc>
        <w:tc>
          <w:tcPr>
            <w:tcW w:w="1417" w:type="dxa"/>
            <w:vAlign w:val="center"/>
          </w:tcPr>
          <w:p w14:paraId="311A7BC0" w14:textId="77777777" w:rsidR="0089207C" w:rsidRPr="000F445E" w:rsidRDefault="0089207C" w:rsidP="002D3EBF">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600A4C57" w14:textId="77777777" w:rsidR="0089207C" w:rsidRPr="00C07B2E" w:rsidRDefault="0089207C" w:rsidP="002D3EBF">
            <w:pPr>
              <w:rPr>
                <w:rFonts w:eastAsia="SimSun"/>
              </w:rPr>
            </w:pPr>
            <w:r w:rsidRPr="00C07B2E">
              <w:rPr>
                <w:rFonts w:eastAsia="SimSun"/>
              </w:rPr>
              <w:t>180 мг/м</w:t>
            </w:r>
            <w:r w:rsidRPr="005659AA">
              <w:rPr>
                <w:rFonts w:eastAsia="SimSun"/>
                <w:vertAlign w:val="superscript"/>
              </w:rPr>
              <w:t>2</w:t>
            </w:r>
          </w:p>
        </w:tc>
        <w:tc>
          <w:tcPr>
            <w:tcW w:w="1701" w:type="dxa"/>
            <w:vAlign w:val="center"/>
          </w:tcPr>
          <w:p w14:paraId="061F8C69" w14:textId="77777777" w:rsidR="0089207C" w:rsidRPr="00C07B2E" w:rsidRDefault="0089207C" w:rsidP="002D3EBF">
            <w:pPr>
              <w:rPr>
                <w:rFonts w:eastAsia="SimSun"/>
              </w:rPr>
            </w:pPr>
            <w:r w:rsidRPr="00C07B2E">
              <w:rPr>
                <w:rFonts w:eastAsia="SimSun"/>
              </w:rPr>
              <w:t>С -7 дня по -2 день</w:t>
            </w:r>
          </w:p>
        </w:tc>
        <w:tc>
          <w:tcPr>
            <w:tcW w:w="2268" w:type="dxa"/>
            <w:vAlign w:val="center"/>
          </w:tcPr>
          <w:p w14:paraId="035A53B7" w14:textId="77777777" w:rsidR="0089207C" w:rsidRPr="006A31EC" w:rsidRDefault="0089207C" w:rsidP="002D3EBF">
            <w:pPr>
              <w:rPr>
                <w:rFonts w:eastAsia="SimSun"/>
              </w:rPr>
            </w:pPr>
            <w:r w:rsidRPr="006A31EC">
              <w:rPr>
                <w:rFonts w:eastAsia="SimSun"/>
              </w:rPr>
              <w:t>В/в, в течение 30 - 60 мин</w:t>
            </w:r>
          </w:p>
        </w:tc>
      </w:tr>
      <w:tr w:rsidR="0089207C" w:rsidRPr="00C07B2E" w14:paraId="0C1A6D97" w14:textId="77777777" w:rsidTr="002D3EBF">
        <w:trPr>
          <w:cantSplit/>
          <w:trHeight w:val="778"/>
        </w:trPr>
        <w:tc>
          <w:tcPr>
            <w:tcW w:w="1101" w:type="dxa"/>
            <w:vMerge/>
            <w:vAlign w:val="center"/>
          </w:tcPr>
          <w:p w14:paraId="2DE3FBE8" w14:textId="77777777" w:rsidR="0089207C" w:rsidRPr="006A31EC" w:rsidRDefault="0089207C" w:rsidP="002D3EBF">
            <w:pPr>
              <w:rPr>
                <w:rFonts w:eastAsia="SimSun"/>
              </w:rPr>
            </w:pPr>
          </w:p>
        </w:tc>
        <w:tc>
          <w:tcPr>
            <w:tcW w:w="1701" w:type="dxa"/>
            <w:vAlign w:val="center"/>
          </w:tcPr>
          <w:p w14:paraId="1E43C39B" w14:textId="77777777" w:rsidR="0089207C" w:rsidRPr="00C07B2E" w:rsidRDefault="0089207C" w:rsidP="002D3EBF">
            <w:pPr>
              <w:rPr>
                <w:rFonts w:eastAsia="SimSun"/>
              </w:rPr>
            </w:pPr>
            <w:r w:rsidRPr="00C07B2E">
              <w:rPr>
                <w:rFonts w:eastAsia="SimSun"/>
              </w:rPr>
              <w:t xml:space="preserve">Треосульфан </w:t>
            </w:r>
          </w:p>
        </w:tc>
        <w:tc>
          <w:tcPr>
            <w:tcW w:w="1417" w:type="dxa"/>
            <w:vAlign w:val="center"/>
          </w:tcPr>
          <w:p w14:paraId="28B3E05C" w14:textId="77777777" w:rsidR="0089207C" w:rsidRPr="00C07B2E" w:rsidRDefault="0089207C" w:rsidP="002D3EBF">
            <w:pPr>
              <w:rPr>
                <w:rFonts w:eastAsia="SimSun"/>
              </w:rPr>
            </w:pPr>
            <w:r w:rsidRPr="00C07B2E">
              <w:rPr>
                <w:rFonts w:eastAsia="SimSun"/>
              </w:rPr>
              <w:t>14 г/кг</w:t>
            </w:r>
          </w:p>
        </w:tc>
        <w:tc>
          <w:tcPr>
            <w:tcW w:w="1418" w:type="dxa"/>
            <w:vAlign w:val="center"/>
          </w:tcPr>
          <w:p w14:paraId="17B2F51A" w14:textId="77777777" w:rsidR="0089207C" w:rsidRPr="00C07B2E" w:rsidRDefault="0089207C" w:rsidP="002D3EBF">
            <w:pPr>
              <w:rPr>
                <w:rFonts w:eastAsia="SimSun"/>
              </w:rPr>
            </w:pPr>
            <w:r w:rsidRPr="00C07B2E">
              <w:rPr>
                <w:rFonts w:eastAsia="SimSun"/>
              </w:rPr>
              <w:t>42 г/кг</w:t>
            </w:r>
          </w:p>
        </w:tc>
        <w:tc>
          <w:tcPr>
            <w:tcW w:w="1701" w:type="dxa"/>
            <w:vAlign w:val="center"/>
          </w:tcPr>
          <w:p w14:paraId="4771AB74" w14:textId="77777777" w:rsidR="0089207C" w:rsidRPr="00C07B2E" w:rsidRDefault="0089207C" w:rsidP="002D3EBF">
            <w:pPr>
              <w:rPr>
                <w:rFonts w:eastAsia="SimSun"/>
              </w:rPr>
            </w:pPr>
            <w:r w:rsidRPr="00C07B2E">
              <w:rPr>
                <w:rFonts w:eastAsia="SimSun"/>
              </w:rPr>
              <w:t xml:space="preserve">С -5 дня по -3 день </w:t>
            </w:r>
          </w:p>
        </w:tc>
        <w:tc>
          <w:tcPr>
            <w:tcW w:w="2268" w:type="dxa"/>
            <w:vAlign w:val="center"/>
          </w:tcPr>
          <w:p w14:paraId="6ECB6624" w14:textId="77777777" w:rsidR="0089207C" w:rsidRPr="006A31EC" w:rsidRDefault="0089207C" w:rsidP="002D3EBF">
            <w:pPr>
              <w:rPr>
                <w:rFonts w:eastAsia="SimSun"/>
              </w:rPr>
            </w:pPr>
            <w:r w:rsidRPr="006A31EC">
              <w:rPr>
                <w:rFonts w:eastAsia="SimSun"/>
              </w:rPr>
              <w:t xml:space="preserve">В/в инфуия, в течение 2 часов </w:t>
            </w:r>
          </w:p>
        </w:tc>
      </w:tr>
      <w:tr w:rsidR="0089207C" w:rsidRPr="005659AA" w14:paraId="6D60D2EB" w14:textId="77777777" w:rsidTr="002D3EBF">
        <w:trPr>
          <w:cantSplit/>
          <w:trHeight w:val="1498"/>
        </w:trPr>
        <w:tc>
          <w:tcPr>
            <w:tcW w:w="1101" w:type="dxa"/>
            <w:vMerge w:val="restart"/>
            <w:textDirection w:val="btLr"/>
            <w:vAlign w:val="center"/>
          </w:tcPr>
          <w:p w14:paraId="6CEAECBB" w14:textId="77777777" w:rsidR="0089207C" w:rsidRPr="00C07B2E" w:rsidRDefault="0089207C" w:rsidP="002D3EBF">
            <w:pPr>
              <w:rPr>
                <w:rFonts w:eastAsia="SimSun"/>
              </w:rPr>
            </w:pPr>
            <w:r w:rsidRPr="00C07B2E">
              <w:rPr>
                <w:rFonts w:eastAsia="SimSun"/>
              </w:rPr>
              <w:t>Профилактика РТПХ</w:t>
            </w:r>
          </w:p>
        </w:tc>
        <w:tc>
          <w:tcPr>
            <w:tcW w:w="1701" w:type="dxa"/>
            <w:vAlign w:val="center"/>
          </w:tcPr>
          <w:p w14:paraId="0B88A897" w14:textId="77777777" w:rsidR="0089207C" w:rsidRPr="00C07B2E" w:rsidRDefault="0089207C" w:rsidP="002D3EBF">
            <w:pPr>
              <w:rPr>
                <w:rFonts w:eastAsia="SimSun"/>
              </w:rPr>
            </w:pPr>
            <w:r w:rsidRPr="00C07B2E">
              <w:rPr>
                <w:rFonts w:eastAsia="SimSun"/>
              </w:rPr>
              <w:t xml:space="preserve">Такролимус </w:t>
            </w:r>
          </w:p>
        </w:tc>
        <w:tc>
          <w:tcPr>
            <w:tcW w:w="1417" w:type="dxa"/>
            <w:vAlign w:val="center"/>
          </w:tcPr>
          <w:p w14:paraId="14B856A4" w14:textId="77777777" w:rsidR="0089207C" w:rsidRPr="00C07B2E" w:rsidRDefault="0089207C" w:rsidP="002D3EBF">
            <w:pPr>
              <w:rPr>
                <w:rFonts w:eastAsia="SimSun"/>
              </w:rPr>
            </w:pPr>
            <w:r w:rsidRPr="00C07B2E">
              <w:rPr>
                <w:rFonts w:eastAsia="SimSun"/>
              </w:rPr>
              <w:t>0,03 мг/кг</w:t>
            </w:r>
          </w:p>
        </w:tc>
        <w:tc>
          <w:tcPr>
            <w:tcW w:w="1418" w:type="dxa"/>
            <w:vAlign w:val="center"/>
          </w:tcPr>
          <w:p w14:paraId="7EE08460" w14:textId="77777777" w:rsidR="0089207C" w:rsidRPr="00C07B2E" w:rsidRDefault="0089207C" w:rsidP="002D3EBF">
            <w:pPr>
              <w:rPr>
                <w:rFonts w:eastAsia="SimSun"/>
              </w:rPr>
            </w:pPr>
            <w:r w:rsidRPr="00C07B2E">
              <w:rPr>
                <w:rFonts w:eastAsia="SimSun"/>
                <w:lang w:val="en-US"/>
              </w:rPr>
              <w:t>–</w:t>
            </w:r>
          </w:p>
        </w:tc>
        <w:tc>
          <w:tcPr>
            <w:tcW w:w="1701" w:type="dxa"/>
            <w:vAlign w:val="center"/>
          </w:tcPr>
          <w:p w14:paraId="06435CED" w14:textId="77777777" w:rsidR="0089207C" w:rsidRPr="00C07B2E" w:rsidRDefault="0089207C" w:rsidP="002D3EBF">
            <w:pPr>
              <w:rPr>
                <w:rFonts w:eastAsia="SimSun"/>
              </w:rPr>
            </w:pPr>
            <w:r w:rsidRPr="00C07B2E">
              <w:rPr>
                <w:rFonts w:eastAsia="SimSun"/>
              </w:rPr>
              <w:t xml:space="preserve">С +5 дня длительно </w:t>
            </w:r>
          </w:p>
        </w:tc>
        <w:tc>
          <w:tcPr>
            <w:tcW w:w="2268" w:type="dxa"/>
            <w:vAlign w:val="center"/>
          </w:tcPr>
          <w:p w14:paraId="6150A1EC" w14:textId="77777777" w:rsidR="0089207C" w:rsidRPr="005659AA" w:rsidRDefault="0089207C" w:rsidP="002D3EBF">
            <w:pPr>
              <w:rPr>
                <w:rFonts w:eastAsia="SimSun"/>
              </w:rPr>
            </w:pPr>
            <w:r w:rsidRPr="006A31EC">
              <w:rPr>
                <w:rFonts w:eastAsia="SimSun"/>
              </w:rPr>
              <w:t xml:space="preserve">В/в инфузия в течение 24 ч с последующей коррекцией суточной дозы по концентрации. Перевод на прием внутрь при условии восстановления лейкоцитов &gt; 1 </w:t>
            </w:r>
            <w:r>
              <w:rPr>
                <w:rFonts w:eastAsia="SimSun"/>
              </w:rPr>
              <w:t xml:space="preserve">х </w:t>
            </w:r>
            <w:r w:rsidRPr="006A31EC">
              <w:rPr>
                <w:rFonts w:eastAsia="SimSun"/>
              </w:rPr>
              <w:t>10</w:t>
            </w:r>
            <w:r w:rsidRPr="006A31EC">
              <w:rPr>
                <w:rFonts w:eastAsia="SimSun"/>
                <w:vertAlign w:val="superscript"/>
              </w:rPr>
              <w:t>9</w:t>
            </w:r>
            <w:r w:rsidRPr="006A31EC">
              <w:rPr>
                <w:rFonts w:eastAsia="SimSun"/>
              </w:rPr>
              <w:t xml:space="preserve">/л, при отсутствии тошноты, рвоты, диареи и возможности приема внутрь. </w:t>
            </w:r>
            <w:r w:rsidRPr="005659AA">
              <w:rPr>
                <w:rFonts w:eastAsia="SimSun"/>
              </w:rPr>
              <w:t xml:space="preserve">Концентрация </w:t>
            </w:r>
            <w:r w:rsidRPr="00C07B2E">
              <w:rPr>
                <w:rFonts w:eastAsia="SimSun"/>
              </w:rPr>
              <w:t>Tx</w:t>
            </w:r>
            <w:r w:rsidRPr="005659AA">
              <w:rPr>
                <w:rFonts w:eastAsia="SimSun"/>
              </w:rPr>
              <w:t xml:space="preserve"> 5-15 нг/мл.    </w:t>
            </w:r>
          </w:p>
        </w:tc>
      </w:tr>
      <w:tr w:rsidR="0089207C" w:rsidRPr="00C07B2E" w14:paraId="7591991E" w14:textId="77777777" w:rsidTr="002D3EBF">
        <w:trPr>
          <w:cantSplit/>
          <w:trHeight w:val="858"/>
        </w:trPr>
        <w:tc>
          <w:tcPr>
            <w:tcW w:w="1101" w:type="dxa"/>
            <w:vMerge/>
            <w:textDirection w:val="btLr"/>
            <w:vAlign w:val="center"/>
          </w:tcPr>
          <w:p w14:paraId="368868B3" w14:textId="77777777" w:rsidR="0089207C" w:rsidRPr="005659AA" w:rsidRDefault="0089207C" w:rsidP="002D3EBF">
            <w:pPr>
              <w:rPr>
                <w:rFonts w:eastAsia="SimSun"/>
              </w:rPr>
            </w:pPr>
          </w:p>
        </w:tc>
        <w:tc>
          <w:tcPr>
            <w:tcW w:w="1701" w:type="dxa"/>
            <w:vAlign w:val="center"/>
          </w:tcPr>
          <w:p w14:paraId="2A256116" w14:textId="77777777" w:rsidR="0089207C" w:rsidRPr="00C07B2E" w:rsidRDefault="0089207C" w:rsidP="002D3EBF">
            <w:pPr>
              <w:rPr>
                <w:rFonts w:eastAsia="SimSun"/>
              </w:rPr>
            </w:pPr>
            <w:r w:rsidRPr="00C07B2E">
              <w:rPr>
                <w:rFonts w:eastAsia="SimSun"/>
              </w:rPr>
              <w:t>Микофенолата мофетил</w:t>
            </w:r>
          </w:p>
        </w:tc>
        <w:tc>
          <w:tcPr>
            <w:tcW w:w="1417" w:type="dxa"/>
            <w:vAlign w:val="center"/>
          </w:tcPr>
          <w:p w14:paraId="770A5C76" w14:textId="77777777" w:rsidR="0089207C" w:rsidRPr="00C07B2E" w:rsidRDefault="0089207C" w:rsidP="002D3EBF">
            <w:pPr>
              <w:rPr>
                <w:rFonts w:eastAsia="SimSun"/>
              </w:rPr>
            </w:pPr>
            <w:r w:rsidRPr="00C07B2E">
              <w:rPr>
                <w:rFonts w:eastAsia="SimSun"/>
                <w:lang w:val="en-US"/>
              </w:rPr>
              <w:t>30</w:t>
            </w:r>
            <w:r w:rsidRPr="00C07B2E">
              <w:rPr>
                <w:rFonts w:eastAsia="SimSun"/>
              </w:rPr>
              <w:t xml:space="preserve"> мг/кг </w:t>
            </w:r>
          </w:p>
        </w:tc>
        <w:tc>
          <w:tcPr>
            <w:tcW w:w="1418" w:type="dxa"/>
            <w:vAlign w:val="center"/>
          </w:tcPr>
          <w:p w14:paraId="638A020B" w14:textId="77777777" w:rsidR="0089207C" w:rsidRPr="00C07B2E" w:rsidRDefault="0089207C" w:rsidP="002D3EBF">
            <w:pPr>
              <w:rPr>
                <w:rFonts w:eastAsia="SimSun"/>
              </w:rPr>
            </w:pPr>
            <w:r w:rsidRPr="00C07B2E">
              <w:rPr>
                <w:rFonts w:eastAsia="SimSun"/>
              </w:rPr>
              <w:t>–</w:t>
            </w:r>
          </w:p>
        </w:tc>
        <w:tc>
          <w:tcPr>
            <w:tcW w:w="1701" w:type="dxa"/>
            <w:vAlign w:val="center"/>
          </w:tcPr>
          <w:p w14:paraId="407D3E7B" w14:textId="77777777" w:rsidR="0089207C" w:rsidRPr="00C07B2E" w:rsidRDefault="0089207C" w:rsidP="002D3EBF">
            <w:pPr>
              <w:rPr>
                <w:rFonts w:eastAsia="SimSun"/>
              </w:rPr>
            </w:pPr>
            <w:r w:rsidRPr="00C07B2E">
              <w:rPr>
                <w:rFonts w:eastAsia="SimSun"/>
              </w:rPr>
              <w:t xml:space="preserve">С +5 дня по +35 день </w:t>
            </w:r>
          </w:p>
        </w:tc>
        <w:tc>
          <w:tcPr>
            <w:tcW w:w="2268" w:type="dxa"/>
            <w:vAlign w:val="center"/>
          </w:tcPr>
          <w:p w14:paraId="1FD2D066" w14:textId="77777777" w:rsidR="0089207C" w:rsidRPr="005659AA" w:rsidRDefault="0089207C" w:rsidP="002D3EBF">
            <w:pPr>
              <w:rPr>
                <w:rFonts w:eastAsia="SimSun"/>
              </w:rPr>
            </w:pPr>
            <w:r w:rsidRPr="005659AA">
              <w:rPr>
                <w:rFonts w:eastAsia="SimSun"/>
              </w:rPr>
              <w:t>Внутрь, суммарная суточная доза разделяется на 2- 4 приема (не более 3</w:t>
            </w:r>
            <w:r>
              <w:rPr>
                <w:rFonts w:eastAsia="SimSun"/>
              </w:rPr>
              <w:t xml:space="preserve"> </w:t>
            </w:r>
            <w:r w:rsidRPr="005659AA">
              <w:rPr>
                <w:rFonts w:eastAsia="SimSun"/>
              </w:rPr>
              <w:t>г/сут).</w:t>
            </w:r>
          </w:p>
        </w:tc>
      </w:tr>
      <w:tr w:rsidR="0089207C" w:rsidRPr="00C07B2E" w14:paraId="524794C5" w14:textId="77777777" w:rsidTr="002D3EBF">
        <w:trPr>
          <w:cantSplit/>
          <w:trHeight w:val="472"/>
        </w:trPr>
        <w:tc>
          <w:tcPr>
            <w:tcW w:w="1101" w:type="dxa"/>
            <w:vMerge/>
            <w:textDirection w:val="btLr"/>
            <w:vAlign w:val="center"/>
          </w:tcPr>
          <w:p w14:paraId="6DABF959" w14:textId="77777777" w:rsidR="0089207C" w:rsidRPr="005659AA" w:rsidRDefault="0089207C" w:rsidP="002D3EBF">
            <w:pPr>
              <w:rPr>
                <w:rFonts w:eastAsia="SimSun"/>
              </w:rPr>
            </w:pPr>
          </w:p>
        </w:tc>
        <w:tc>
          <w:tcPr>
            <w:tcW w:w="1701" w:type="dxa"/>
            <w:vAlign w:val="center"/>
          </w:tcPr>
          <w:p w14:paraId="7989C96F" w14:textId="77777777" w:rsidR="0089207C" w:rsidRPr="00C07B2E" w:rsidRDefault="0089207C" w:rsidP="002D3EBF">
            <w:pPr>
              <w:rPr>
                <w:rFonts w:eastAsia="SimSun"/>
              </w:rPr>
            </w:pPr>
            <w:r w:rsidRPr="00C07B2E">
              <w:rPr>
                <w:rFonts w:eastAsia="SimSun"/>
              </w:rPr>
              <w:t xml:space="preserve">Циклофосфамид </w:t>
            </w:r>
          </w:p>
        </w:tc>
        <w:tc>
          <w:tcPr>
            <w:tcW w:w="1417" w:type="dxa"/>
            <w:vAlign w:val="center"/>
          </w:tcPr>
          <w:p w14:paraId="36019C23" w14:textId="77777777" w:rsidR="0089207C" w:rsidRPr="00C07B2E" w:rsidRDefault="0089207C" w:rsidP="002D3EBF">
            <w:pPr>
              <w:rPr>
                <w:rFonts w:eastAsia="SimSun"/>
              </w:rPr>
            </w:pPr>
            <w:r w:rsidRPr="00C07B2E">
              <w:rPr>
                <w:rFonts w:eastAsia="SimSun"/>
              </w:rPr>
              <w:t xml:space="preserve">50 мг/кг </w:t>
            </w:r>
          </w:p>
        </w:tc>
        <w:tc>
          <w:tcPr>
            <w:tcW w:w="1418" w:type="dxa"/>
            <w:vAlign w:val="center"/>
          </w:tcPr>
          <w:p w14:paraId="76CFCB72" w14:textId="77777777" w:rsidR="0089207C" w:rsidRPr="00C07B2E" w:rsidRDefault="0089207C" w:rsidP="002D3EBF">
            <w:pPr>
              <w:rPr>
                <w:rFonts w:eastAsia="SimSun"/>
              </w:rPr>
            </w:pPr>
            <w:r w:rsidRPr="00C07B2E">
              <w:rPr>
                <w:rFonts w:eastAsia="SimSun"/>
              </w:rPr>
              <w:t>100 мг/кг</w:t>
            </w:r>
          </w:p>
        </w:tc>
        <w:tc>
          <w:tcPr>
            <w:tcW w:w="1701" w:type="dxa"/>
            <w:vAlign w:val="center"/>
          </w:tcPr>
          <w:p w14:paraId="1CBCC15D" w14:textId="77777777" w:rsidR="0089207C" w:rsidRPr="00C07B2E" w:rsidRDefault="0089207C" w:rsidP="002D3EBF">
            <w:pPr>
              <w:rPr>
                <w:rFonts w:eastAsia="SimSun"/>
              </w:rPr>
            </w:pPr>
            <w:r w:rsidRPr="00C07B2E">
              <w:rPr>
                <w:rFonts w:eastAsia="SimSun"/>
              </w:rPr>
              <w:t>С +3 дня по +4 день</w:t>
            </w:r>
          </w:p>
        </w:tc>
        <w:tc>
          <w:tcPr>
            <w:tcW w:w="2268" w:type="dxa"/>
            <w:vAlign w:val="center"/>
          </w:tcPr>
          <w:p w14:paraId="1052C476" w14:textId="77777777" w:rsidR="0089207C" w:rsidRPr="00C07B2E" w:rsidRDefault="0089207C" w:rsidP="002D3EBF">
            <w:pPr>
              <w:rPr>
                <w:rFonts w:eastAsia="SimSun"/>
              </w:rPr>
            </w:pPr>
            <w:r w:rsidRPr="00C07B2E">
              <w:rPr>
                <w:rFonts w:eastAsia="SimSun"/>
              </w:rPr>
              <w:t xml:space="preserve">В/в, в течение 2 ч  </w:t>
            </w:r>
          </w:p>
        </w:tc>
      </w:tr>
    </w:tbl>
    <w:p w14:paraId="1F23225C" w14:textId="77777777" w:rsidR="0089207C" w:rsidRPr="00C07B2E" w:rsidRDefault="0089207C" w:rsidP="0089207C">
      <w:pPr>
        <w:rPr>
          <w:rFonts w:eastAsia="SimSun"/>
        </w:rPr>
        <w:sectPr w:rsidR="0089207C" w:rsidRPr="00C07B2E" w:rsidSect="00980822">
          <w:type w:val="continuous"/>
          <w:pgSz w:w="11907" w:h="16839" w:code="9"/>
          <w:pgMar w:top="1134" w:right="850" w:bottom="1134" w:left="1701" w:header="709" w:footer="567" w:gutter="0"/>
          <w:cols w:space="708"/>
          <w:docGrid w:linePitch="360"/>
        </w:sectPr>
      </w:pPr>
    </w:p>
    <w:p w14:paraId="21E9E044" w14:textId="77777777" w:rsidR="0089207C" w:rsidRDefault="0089207C" w:rsidP="0089207C">
      <w:pPr>
        <w:rPr>
          <w:rFonts w:eastAsia="SimSun"/>
        </w:rPr>
      </w:pPr>
      <w:bookmarkStart w:id="209" w:name="_Toc44401156"/>
    </w:p>
    <w:bookmarkEnd w:id="209"/>
    <w:p w14:paraId="244D5710" w14:textId="77777777" w:rsidR="0089207C" w:rsidRPr="00C07B2E" w:rsidRDefault="0089207C" w:rsidP="0089207C">
      <w:pPr>
        <w:rPr>
          <w:rFonts w:eastAsia="SimSun"/>
        </w:rPr>
      </w:pPr>
      <w:r w:rsidRPr="00C07B2E">
        <w:rPr>
          <w:rFonts w:eastAsia="SimSun"/>
        </w:rPr>
        <w:t>Схемы и режимы применения препаратов для кондиционирования и профилактики РТПХ</w:t>
      </w:r>
      <w:r>
        <w:rPr>
          <w:rFonts w:eastAsia="SimSun"/>
        </w:rPr>
        <w:t xml:space="preserve"> при проведении </w:t>
      </w:r>
      <w:r w:rsidRPr="006A31EC">
        <w:rPr>
          <w:rFonts w:eastAsia="SimSun"/>
          <w:b/>
          <w:u w:val="single"/>
        </w:rPr>
        <w:t>аллоТГСК в режиме пониженной интенсивности</w:t>
      </w:r>
      <w:r w:rsidRPr="00C07B2E">
        <w:rPr>
          <w:rFonts w:eastAsia="SimSun"/>
        </w:rPr>
        <w:t xml:space="preserve"> указаны в Таблице </w:t>
      </w:r>
      <w:r>
        <w:rPr>
          <w:rFonts w:eastAsia="SimSun"/>
        </w:rPr>
        <w:t>5.</w:t>
      </w:r>
      <w:r w:rsidRPr="00C07B2E">
        <w:rPr>
          <w:rFonts w:eastAsia="SimSun"/>
        </w:rPr>
        <w:t>1.2</w:t>
      </w:r>
    </w:p>
    <w:p w14:paraId="4611C9CB" w14:textId="77777777" w:rsidR="0089207C" w:rsidRPr="00C07B2E" w:rsidRDefault="0089207C" w:rsidP="0089207C">
      <w:pPr>
        <w:rPr>
          <w:rFonts w:eastAsia="SimSun"/>
        </w:rPr>
        <w:sectPr w:rsidR="0089207C" w:rsidRPr="00C07B2E" w:rsidSect="00980822">
          <w:footerReference w:type="default" r:id="rId13"/>
          <w:type w:val="continuous"/>
          <w:pgSz w:w="11907" w:h="16839" w:code="9"/>
          <w:pgMar w:top="1134" w:right="850" w:bottom="1134" w:left="1701" w:header="709" w:footer="567" w:gutter="0"/>
          <w:cols w:space="708"/>
          <w:docGrid w:linePitch="360"/>
        </w:sectPr>
      </w:pPr>
    </w:p>
    <w:p w14:paraId="33774770" w14:textId="77777777" w:rsidR="0089207C" w:rsidRPr="00C07B2E" w:rsidRDefault="0089207C" w:rsidP="0089207C">
      <w:pPr>
        <w:rPr>
          <w:rFonts w:eastAsia="SimSun"/>
        </w:rPr>
      </w:pPr>
      <w:r w:rsidRPr="00C07B2E">
        <w:rPr>
          <w:rFonts w:eastAsia="SimSun"/>
        </w:rPr>
        <w:t xml:space="preserve">Таблица </w:t>
      </w:r>
      <w:r>
        <w:rPr>
          <w:rFonts w:eastAsia="SimSun"/>
        </w:rPr>
        <w:t>5.</w:t>
      </w:r>
      <w:r w:rsidRPr="00C07B2E">
        <w:rPr>
          <w:rFonts w:eastAsia="SimSun"/>
        </w:rPr>
        <w:t xml:space="preserve">1.2 Схемы и режимы применения препаратов для кондиционирования и профилактики РТПХ со ссылками на </w:t>
      </w:r>
      <w:r>
        <w:rPr>
          <w:rFonts w:eastAsia="SimSun"/>
        </w:rPr>
        <w:t>таблицы с описанием</w:t>
      </w:r>
    </w:p>
    <w:p w14:paraId="01FC739A" w14:textId="77777777" w:rsidR="0089207C" w:rsidRPr="00C07B2E" w:rsidRDefault="0089207C" w:rsidP="0089207C">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808"/>
        <w:gridCol w:w="742"/>
        <w:gridCol w:w="1136"/>
        <w:gridCol w:w="959"/>
        <w:gridCol w:w="931"/>
        <w:gridCol w:w="959"/>
        <w:gridCol w:w="839"/>
        <w:gridCol w:w="839"/>
        <w:gridCol w:w="959"/>
        <w:gridCol w:w="960"/>
        <w:gridCol w:w="1143"/>
        <w:gridCol w:w="1260"/>
        <w:gridCol w:w="960"/>
        <w:gridCol w:w="949"/>
      </w:tblGrid>
      <w:tr w:rsidR="0089207C" w:rsidRPr="006A31EC" w14:paraId="3B174EAA" w14:textId="77777777" w:rsidTr="002D3EBF">
        <w:trPr>
          <w:cantSplit/>
          <w:trHeight w:val="381"/>
        </w:trPr>
        <w:tc>
          <w:tcPr>
            <w:tcW w:w="1237" w:type="pct"/>
            <w:gridSpan w:val="4"/>
            <w:vMerge w:val="restart"/>
            <w:shd w:val="clear" w:color="auto" w:fill="auto"/>
            <w:vAlign w:val="center"/>
          </w:tcPr>
          <w:p w14:paraId="4CEB7B3D" w14:textId="77777777" w:rsidR="0089207C" w:rsidRPr="006A31EC" w:rsidRDefault="0089207C" w:rsidP="002D3EBF">
            <w:pPr>
              <w:rPr>
                <w:rFonts w:eastAsia="SimSun"/>
                <w:sz w:val="22"/>
              </w:rPr>
            </w:pPr>
            <w:r w:rsidRPr="006A31EC">
              <w:rPr>
                <w:rFonts w:eastAsia="SimSun"/>
                <w:sz w:val="22"/>
              </w:rPr>
              <w:t>Профилактика РТПХ</w:t>
            </w:r>
          </w:p>
        </w:tc>
        <w:tc>
          <w:tcPr>
            <w:tcW w:w="3763" w:type="pct"/>
            <w:gridSpan w:val="11"/>
          </w:tcPr>
          <w:p w14:paraId="00E3B805" w14:textId="77777777" w:rsidR="0089207C" w:rsidRPr="006A31EC" w:rsidRDefault="0089207C" w:rsidP="002D3EBF">
            <w:pPr>
              <w:rPr>
                <w:rFonts w:eastAsia="SimSun"/>
                <w:sz w:val="22"/>
              </w:rPr>
            </w:pPr>
            <w:r w:rsidRPr="006A31EC">
              <w:rPr>
                <w:rFonts w:eastAsia="SimSun"/>
                <w:sz w:val="22"/>
              </w:rPr>
              <w:t>Режим кондиционирования</w:t>
            </w:r>
          </w:p>
        </w:tc>
      </w:tr>
      <w:tr w:rsidR="0089207C" w:rsidRPr="006A31EC" w14:paraId="090D8231" w14:textId="77777777" w:rsidTr="002D3EBF">
        <w:trPr>
          <w:cantSplit/>
          <w:trHeight w:val="400"/>
        </w:trPr>
        <w:tc>
          <w:tcPr>
            <w:tcW w:w="1237" w:type="pct"/>
            <w:gridSpan w:val="4"/>
            <w:vMerge/>
            <w:shd w:val="clear" w:color="auto" w:fill="auto"/>
            <w:vAlign w:val="center"/>
          </w:tcPr>
          <w:p w14:paraId="0831A81A" w14:textId="77777777" w:rsidR="0089207C" w:rsidRPr="006A31EC" w:rsidRDefault="0089207C" w:rsidP="002D3EBF">
            <w:pPr>
              <w:rPr>
                <w:rFonts w:eastAsia="SimSun"/>
                <w:sz w:val="22"/>
                <w:lang w:val="en-US"/>
              </w:rPr>
            </w:pPr>
          </w:p>
        </w:tc>
        <w:tc>
          <w:tcPr>
            <w:tcW w:w="337" w:type="pct"/>
            <w:shd w:val="clear" w:color="auto" w:fill="D9D9D9"/>
            <w:vAlign w:val="center"/>
          </w:tcPr>
          <w:p w14:paraId="740AB24D" w14:textId="77777777" w:rsidR="0089207C" w:rsidRPr="006A31EC" w:rsidRDefault="0089207C" w:rsidP="002D3EBF">
            <w:pPr>
              <w:rPr>
                <w:rFonts w:eastAsia="SimSun"/>
                <w:sz w:val="22"/>
              </w:rPr>
            </w:pPr>
            <w:r w:rsidRPr="006A31EC">
              <w:rPr>
                <w:rFonts w:eastAsia="SimSun"/>
                <w:sz w:val="22"/>
                <w:lang w:val="en-US"/>
              </w:rPr>
              <w:t>Flu</w:t>
            </w:r>
            <w:r w:rsidRPr="006A31EC">
              <w:rPr>
                <w:rFonts w:eastAsia="SimSun"/>
                <w:sz w:val="22"/>
              </w:rPr>
              <w:t>90</w:t>
            </w:r>
          </w:p>
        </w:tc>
        <w:tc>
          <w:tcPr>
            <w:tcW w:w="312" w:type="pct"/>
            <w:shd w:val="clear" w:color="auto" w:fill="D9D9D9"/>
            <w:vAlign w:val="center"/>
          </w:tcPr>
          <w:p w14:paraId="59673167" w14:textId="77777777" w:rsidR="0089207C" w:rsidRPr="006A31EC" w:rsidRDefault="0089207C" w:rsidP="002D3EBF">
            <w:pPr>
              <w:rPr>
                <w:rFonts w:eastAsia="SimSun"/>
                <w:sz w:val="22"/>
                <w:lang w:val="en-US"/>
              </w:rPr>
            </w:pPr>
            <w:r w:rsidRPr="006A31EC">
              <w:rPr>
                <w:rFonts w:eastAsia="SimSun"/>
                <w:sz w:val="22"/>
                <w:lang w:val="en-US"/>
              </w:rPr>
              <w:t>Flu10</w:t>
            </w:r>
            <w:r w:rsidRPr="006A31EC">
              <w:rPr>
                <w:rFonts w:eastAsia="SimSun"/>
                <w:sz w:val="22"/>
              </w:rPr>
              <w:t>0</w:t>
            </w:r>
          </w:p>
        </w:tc>
        <w:tc>
          <w:tcPr>
            <w:tcW w:w="337" w:type="pct"/>
            <w:shd w:val="clear" w:color="auto" w:fill="D9D9D9"/>
            <w:vAlign w:val="center"/>
          </w:tcPr>
          <w:p w14:paraId="66DF18F4" w14:textId="77777777" w:rsidR="0089207C" w:rsidRPr="006A31EC" w:rsidRDefault="0089207C" w:rsidP="002D3EBF">
            <w:pPr>
              <w:rPr>
                <w:rFonts w:eastAsia="SimSun"/>
                <w:sz w:val="22"/>
              </w:rPr>
            </w:pPr>
            <w:r w:rsidRPr="006A31EC">
              <w:rPr>
                <w:rFonts w:eastAsia="SimSun"/>
                <w:sz w:val="22"/>
                <w:lang w:val="en-US"/>
              </w:rPr>
              <w:t>Flu1</w:t>
            </w:r>
            <w:r w:rsidRPr="006A31EC">
              <w:rPr>
                <w:rFonts w:eastAsia="SimSun"/>
                <w:sz w:val="22"/>
              </w:rPr>
              <w:t>20</w:t>
            </w:r>
          </w:p>
        </w:tc>
        <w:tc>
          <w:tcPr>
            <w:tcW w:w="1264" w:type="pct"/>
            <w:gridSpan w:val="4"/>
            <w:shd w:val="clear" w:color="auto" w:fill="D9D9D9"/>
            <w:vAlign w:val="center"/>
          </w:tcPr>
          <w:p w14:paraId="17CD2EFF" w14:textId="77777777" w:rsidR="0089207C" w:rsidRPr="006A31EC" w:rsidRDefault="0089207C" w:rsidP="002D3EBF">
            <w:pPr>
              <w:rPr>
                <w:rFonts w:eastAsia="SimSun"/>
                <w:sz w:val="22"/>
              </w:rPr>
            </w:pPr>
            <w:r w:rsidRPr="006A31EC">
              <w:rPr>
                <w:rFonts w:eastAsia="SimSun"/>
                <w:sz w:val="22"/>
                <w:lang w:val="en-US"/>
              </w:rPr>
              <w:t>Flu150</w:t>
            </w:r>
          </w:p>
        </w:tc>
        <w:tc>
          <w:tcPr>
            <w:tcW w:w="1515" w:type="pct"/>
            <w:gridSpan w:val="4"/>
            <w:shd w:val="clear" w:color="auto" w:fill="D9D9D9"/>
            <w:vAlign w:val="center"/>
          </w:tcPr>
          <w:p w14:paraId="3590A4C2" w14:textId="77777777" w:rsidR="0089207C" w:rsidRPr="006A31EC" w:rsidRDefault="0089207C" w:rsidP="002D3EBF">
            <w:pPr>
              <w:rPr>
                <w:rFonts w:eastAsia="SimSun"/>
                <w:sz w:val="22"/>
                <w:lang w:val="en-US"/>
              </w:rPr>
            </w:pPr>
            <w:r w:rsidRPr="006A31EC">
              <w:rPr>
                <w:rFonts w:eastAsia="SimSun"/>
                <w:sz w:val="22"/>
                <w:lang w:val="en-US"/>
              </w:rPr>
              <w:t>Flu180</w:t>
            </w:r>
          </w:p>
        </w:tc>
      </w:tr>
      <w:tr w:rsidR="0089207C" w:rsidRPr="006A31EC" w14:paraId="5DD0E1EA" w14:textId="77777777" w:rsidTr="002D3EBF">
        <w:trPr>
          <w:cantSplit/>
          <w:trHeight w:val="351"/>
        </w:trPr>
        <w:tc>
          <w:tcPr>
            <w:tcW w:w="1237" w:type="pct"/>
            <w:gridSpan w:val="4"/>
            <w:vMerge/>
            <w:shd w:val="clear" w:color="auto" w:fill="auto"/>
            <w:vAlign w:val="center"/>
          </w:tcPr>
          <w:p w14:paraId="664851DD" w14:textId="77777777" w:rsidR="0089207C" w:rsidRPr="006A31EC" w:rsidRDefault="0089207C" w:rsidP="002D3EBF">
            <w:pPr>
              <w:rPr>
                <w:rFonts w:eastAsia="SimSun"/>
                <w:sz w:val="22"/>
                <w:lang w:val="en-US"/>
              </w:rPr>
            </w:pPr>
          </w:p>
        </w:tc>
        <w:tc>
          <w:tcPr>
            <w:tcW w:w="337" w:type="pct"/>
            <w:shd w:val="clear" w:color="auto" w:fill="D9D9D9"/>
            <w:vAlign w:val="center"/>
          </w:tcPr>
          <w:p w14:paraId="7F7970BC" w14:textId="77777777" w:rsidR="0089207C" w:rsidRPr="006A31EC" w:rsidRDefault="0089207C" w:rsidP="002D3EBF">
            <w:pPr>
              <w:rPr>
                <w:rFonts w:eastAsia="SimSun"/>
                <w:sz w:val="22"/>
                <w:lang w:val="en-US"/>
              </w:rPr>
            </w:pPr>
            <w:r w:rsidRPr="006A31EC">
              <w:rPr>
                <w:rFonts w:eastAsia="SimSun"/>
                <w:sz w:val="22"/>
                <w:lang w:val="en-US"/>
              </w:rPr>
              <w:t>Benda</w:t>
            </w:r>
          </w:p>
        </w:tc>
        <w:tc>
          <w:tcPr>
            <w:tcW w:w="312" w:type="pct"/>
            <w:shd w:val="clear" w:color="auto" w:fill="D9D9D9"/>
            <w:vAlign w:val="center"/>
          </w:tcPr>
          <w:p w14:paraId="70E6DA40" w14:textId="77777777" w:rsidR="0089207C" w:rsidRPr="006A31EC" w:rsidRDefault="0089207C" w:rsidP="002D3EBF">
            <w:pPr>
              <w:rPr>
                <w:rFonts w:eastAsia="SimSun"/>
                <w:sz w:val="22"/>
                <w:lang w:val="en-US"/>
              </w:rPr>
            </w:pPr>
            <w:r w:rsidRPr="006A31EC">
              <w:rPr>
                <w:rFonts w:eastAsia="SimSun"/>
                <w:sz w:val="22"/>
                <w:lang w:val="en-US"/>
              </w:rPr>
              <w:t>Cy100</w:t>
            </w:r>
          </w:p>
        </w:tc>
        <w:tc>
          <w:tcPr>
            <w:tcW w:w="337" w:type="pct"/>
            <w:shd w:val="clear" w:color="auto" w:fill="D9D9D9"/>
            <w:vAlign w:val="center"/>
          </w:tcPr>
          <w:p w14:paraId="634FB020" w14:textId="77777777" w:rsidR="0089207C" w:rsidRPr="006A31EC" w:rsidRDefault="0089207C" w:rsidP="002D3EBF">
            <w:pPr>
              <w:rPr>
                <w:rFonts w:eastAsia="SimSun"/>
                <w:sz w:val="22"/>
                <w:lang w:val="en-US"/>
              </w:rPr>
            </w:pPr>
            <w:r w:rsidRPr="006A31EC">
              <w:rPr>
                <w:rFonts w:eastAsia="SimSun"/>
                <w:sz w:val="22"/>
                <w:lang w:val="en-US"/>
              </w:rPr>
              <w:t>Cy2000</w:t>
            </w:r>
          </w:p>
        </w:tc>
        <w:tc>
          <w:tcPr>
            <w:tcW w:w="590" w:type="pct"/>
            <w:gridSpan w:val="2"/>
            <w:shd w:val="clear" w:color="auto" w:fill="D9D9D9"/>
            <w:vAlign w:val="center"/>
          </w:tcPr>
          <w:p w14:paraId="0324A49B" w14:textId="77777777" w:rsidR="0089207C" w:rsidRPr="006A31EC" w:rsidRDefault="0089207C" w:rsidP="002D3EBF">
            <w:pPr>
              <w:rPr>
                <w:rFonts w:eastAsia="SimSun"/>
                <w:sz w:val="22"/>
                <w:lang w:val="en-US"/>
              </w:rPr>
            </w:pPr>
            <w:r w:rsidRPr="006A31EC">
              <w:rPr>
                <w:rFonts w:eastAsia="SimSun"/>
                <w:sz w:val="22"/>
                <w:lang w:val="en-US"/>
              </w:rPr>
              <w:t>Bu8</w:t>
            </w:r>
          </w:p>
        </w:tc>
        <w:tc>
          <w:tcPr>
            <w:tcW w:w="337" w:type="pct"/>
            <w:shd w:val="clear" w:color="auto" w:fill="D9D9D9"/>
            <w:vAlign w:val="center"/>
          </w:tcPr>
          <w:p w14:paraId="2FCB6DC8" w14:textId="77777777" w:rsidR="0089207C" w:rsidRPr="006A31EC" w:rsidRDefault="0089207C" w:rsidP="002D3EBF">
            <w:pPr>
              <w:rPr>
                <w:rFonts w:eastAsia="SimSun"/>
                <w:sz w:val="22"/>
                <w:lang w:val="en-US"/>
              </w:rPr>
            </w:pPr>
            <w:r w:rsidRPr="006A31EC">
              <w:rPr>
                <w:rFonts w:eastAsia="SimSun"/>
                <w:sz w:val="22"/>
                <w:lang w:val="en-US"/>
              </w:rPr>
              <w:t>-</w:t>
            </w:r>
          </w:p>
        </w:tc>
        <w:tc>
          <w:tcPr>
            <w:tcW w:w="337" w:type="pct"/>
            <w:shd w:val="clear" w:color="auto" w:fill="D9D9D9"/>
            <w:vAlign w:val="center"/>
          </w:tcPr>
          <w:p w14:paraId="2A3F503A" w14:textId="77777777" w:rsidR="0089207C" w:rsidRPr="006A31EC" w:rsidRDefault="0089207C" w:rsidP="002D3EBF">
            <w:pPr>
              <w:rPr>
                <w:rFonts w:eastAsia="SimSun"/>
                <w:sz w:val="22"/>
                <w:lang w:val="en-US"/>
              </w:rPr>
            </w:pPr>
            <w:r w:rsidRPr="006A31EC">
              <w:rPr>
                <w:rFonts w:eastAsia="SimSun"/>
                <w:sz w:val="22"/>
                <w:lang w:val="en-US"/>
              </w:rPr>
              <w:t>-</w:t>
            </w:r>
          </w:p>
        </w:tc>
        <w:tc>
          <w:tcPr>
            <w:tcW w:w="401" w:type="pct"/>
            <w:shd w:val="clear" w:color="auto" w:fill="D9D9D9"/>
            <w:vAlign w:val="center"/>
          </w:tcPr>
          <w:p w14:paraId="59F57EE3" w14:textId="77777777" w:rsidR="0089207C" w:rsidRPr="006A31EC" w:rsidRDefault="0089207C" w:rsidP="002D3EBF">
            <w:pPr>
              <w:rPr>
                <w:rFonts w:eastAsia="SimSun"/>
                <w:sz w:val="22"/>
                <w:lang w:val="en-US"/>
              </w:rPr>
            </w:pPr>
            <w:r w:rsidRPr="006A31EC">
              <w:rPr>
                <w:rFonts w:eastAsia="SimSun"/>
                <w:sz w:val="22"/>
                <w:lang w:val="en-US"/>
              </w:rPr>
              <w:t>Bu8</w:t>
            </w:r>
          </w:p>
        </w:tc>
        <w:tc>
          <w:tcPr>
            <w:tcW w:w="442" w:type="pct"/>
            <w:shd w:val="clear" w:color="auto" w:fill="D9D9D9"/>
            <w:vAlign w:val="center"/>
          </w:tcPr>
          <w:p w14:paraId="3A119EAF" w14:textId="77777777" w:rsidR="0089207C" w:rsidRPr="006A31EC" w:rsidRDefault="0089207C" w:rsidP="002D3EBF">
            <w:pPr>
              <w:rPr>
                <w:rFonts w:eastAsia="SimSun"/>
                <w:sz w:val="22"/>
                <w:lang w:val="en-US"/>
              </w:rPr>
            </w:pPr>
            <w:r w:rsidRPr="006A31EC">
              <w:rPr>
                <w:rFonts w:eastAsia="SimSun"/>
                <w:sz w:val="22"/>
                <w:lang w:val="en-US"/>
              </w:rPr>
              <w:t>Bu10</w:t>
            </w:r>
          </w:p>
        </w:tc>
        <w:tc>
          <w:tcPr>
            <w:tcW w:w="337" w:type="pct"/>
            <w:shd w:val="clear" w:color="auto" w:fill="D9D9D9"/>
            <w:vAlign w:val="center"/>
          </w:tcPr>
          <w:p w14:paraId="51017FB5" w14:textId="77777777" w:rsidR="0089207C" w:rsidRPr="006A31EC" w:rsidRDefault="0089207C" w:rsidP="002D3EBF">
            <w:pPr>
              <w:rPr>
                <w:rFonts w:eastAsia="SimSun"/>
                <w:sz w:val="22"/>
                <w:lang w:val="en-US"/>
              </w:rPr>
            </w:pPr>
            <w:r w:rsidRPr="006A31EC">
              <w:rPr>
                <w:rFonts w:eastAsia="SimSun"/>
                <w:sz w:val="22"/>
                <w:lang w:val="en-US"/>
              </w:rPr>
              <w:t>Cy</w:t>
            </w:r>
            <w:r w:rsidRPr="006A31EC">
              <w:rPr>
                <w:rFonts w:eastAsia="SimSun"/>
                <w:sz w:val="22"/>
              </w:rPr>
              <w:t>12</w:t>
            </w:r>
            <w:r w:rsidRPr="006A31EC">
              <w:rPr>
                <w:rFonts w:eastAsia="SimSun"/>
                <w:sz w:val="22"/>
                <w:lang w:val="en-US"/>
              </w:rPr>
              <w:t>00</w:t>
            </w:r>
          </w:p>
        </w:tc>
        <w:tc>
          <w:tcPr>
            <w:tcW w:w="337" w:type="pct"/>
            <w:shd w:val="clear" w:color="auto" w:fill="D9D9D9"/>
            <w:vAlign w:val="center"/>
          </w:tcPr>
          <w:p w14:paraId="418D1E51" w14:textId="77777777" w:rsidR="0089207C" w:rsidRPr="006A31EC" w:rsidRDefault="0089207C" w:rsidP="002D3EBF">
            <w:pPr>
              <w:rPr>
                <w:rFonts w:eastAsia="SimSun"/>
                <w:sz w:val="22"/>
                <w:lang w:val="en-US"/>
              </w:rPr>
            </w:pPr>
            <w:r w:rsidRPr="006A31EC">
              <w:rPr>
                <w:rFonts w:eastAsia="SimSun"/>
                <w:sz w:val="22"/>
                <w:lang w:val="en-US"/>
              </w:rPr>
              <w:t>Mel100</w:t>
            </w:r>
          </w:p>
        </w:tc>
      </w:tr>
      <w:tr w:rsidR="0089207C" w:rsidRPr="006A31EC" w14:paraId="324CE230" w14:textId="77777777" w:rsidTr="002D3EBF">
        <w:trPr>
          <w:cantSplit/>
          <w:trHeight w:val="354"/>
        </w:trPr>
        <w:tc>
          <w:tcPr>
            <w:tcW w:w="1237" w:type="pct"/>
            <w:gridSpan w:val="4"/>
            <w:vMerge/>
            <w:shd w:val="clear" w:color="auto" w:fill="auto"/>
            <w:vAlign w:val="center"/>
          </w:tcPr>
          <w:p w14:paraId="3177BBB4" w14:textId="77777777" w:rsidR="0089207C" w:rsidRPr="006A31EC" w:rsidRDefault="0089207C" w:rsidP="002D3EBF">
            <w:pPr>
              <w:rPr>
                <w:rFonts w:eastAsia="SimSun"/>
                <w:sz w:val="22"/>
                <w:lang w:val="en-US"/>
              </w:rPr>
            </w:pPr>
          </w:p>
        </w:tc>
        <w:tc>
          <w:tcPr>
            <w:tcW w:w="337" w:type="pct"/>
            <w:shd w:val="clear" w:color="auto" w:fill="D9D9D9"/>
            <w:vAlign w:val="center"/>
          </w:tcPr>
          <w:p w14:paraId="5968BF3B" w14:textId="77777777" w:rsidR="0089207C" w:rsidRPr="006A31EC" w:rsidRDefault="0089207C" w:rsidP="002D3EBF">
            <w:pPr>
              <w:rPr>
                <w:rFonts w:eastAsia="SimSun"/>
                <w:sz w:val="22"/>
                <w:lang w:val="en-US"/>
              </w:rPr>
            </w:pPr>
            <w:r w:rsidRPr="006A31EC">
              <w:rPr>
                <w:rFonts w:eastAsia="SimSun"/>
                <w:sz w:val="22"/>
                <w:lang w:val="en-US"/>
              </w:rPr>
              <w:t>-</w:t>
            </w:r>
          </w:p>
        </w:tc>
        <w:tc>
          <w:tcPr>
            <w:tcW w:w="312" w:type="pct"/>
            <w:shd w:val="clear" w:color="auto" w:fill="D9D9D9"/>
          </w:tcPr>
          <w:p w14:paraId="227D2848" w14:textId="77777777" w:rsidR="0089207C" w:rsidRPr="006A31EC" w:rsidRDefault="0089207C" w:rsidP="002D3EBF">
            <w:pPr>
              <w:rPr>
                <w:rFonts w:eastAsia="SimSun"/>
                <w:sz w:val="22"/>
                <w:lang w:val="en-US"/>
              </w:rPr>
            </w:pPr>
          </w:p>
        </w:tc>
        <w:tc>
          <w:tcPr>
            <w:tcW w:w="337" w:type="pct"/>
            <w:shd w:val="clear" w:color="auto" w:fill="D9D9D9"/>
            <w:vAlign w:val="center"/>
          </w:tcPr>
          <w:p w14:paraId="367F1093" w14:textId="77777777" w:rsidR="0089207C" w:rsidRPr="006A31EC" w:rsidRDefault="0089207C" w:rsidP="002D3EBF">
            <w:pPr>
              <w:rPr>
                <w:rFonts w:eastAsia="SimSun"/>
                <w:sz w:val="22"/>
                <w:lang w:val="en-US"/>
              </w:rPr>
            </w:pPr>
            <w:r w:rsidRPr="006A31EC">
              <w:rPr>
                <w:rFonts w:eastAsia="SimSun"/>
                <w:sz w:val="22"/>
                <w:lang w:val="en-US"/>
              </w:rPr>
              <w:t>Mel 140</w:t>
            </w:r>
          </w:p>
        </w:tc>
        <w:tc>
          <w:tcPr>
            <w:tcW w:w="295" w:type="pct"/>
            <w:shd w:val="clear" w:color="auto" w:fill="D9D9D9"/>
          </w:tcPr>
          <w:p w14:paraId="43AB96A4" w14:textId="77777777" w:rsidR="0089207C" w:rsidRPr="006A31EC" w:rsidRDefault="0089207C" w:rsidP="002D3EBF">
            <w:pPr>
              <w:rPr>
                <w:rFonts w:eastAsia="SimSun"/>
                <w:sz w:val="22"/>
                <w:lang w:val="en-US"/>
              </w:rPr>
            </w:pPr>
            <w:r w:rsidRPr="006A31EC">
              <w:rPr>
                <w:rFonts w:eastAsia="SimSun"/>
                <w:sz w:val="22"/>
                <w:lang w:val="en-US"/>
              </w:rPr>
              <w:t>-</w:t>
            </w:r>
          </w:p>
        </w:tc>
        <w:tc>
          <w:tcPr>
            <w:tcW w:w="295" w:type="pct"/>
            <w:shd w:val="clear" w:color="auto" w:fill="D9D9D9"/>
            <w:vAlign w:val="center"/>
          </w:tcPr>
          <w:p w14:paraId="28BEF71C" w14:textId="77777777" w:rsidR="0089207C" w:rsidRPr="006A31EC" w:rsidRDefault="0089207C" w:rsidP="002D3EBF">
            <w:pPr>
              <w:rPr>
                <w:rFonts w:eastAsia="SimSun"/>
                <w:sz w:val="22"/>
                <w:lang w:val="en-US"/>
              </w:rPr>
            </w:pPr>
            <w:r w:rsidRPr="006A31EC">
              <w:rPr>
                <w:rFonts w:eastAsia="SimSun"/>
                <w:sz w:val="22"/>
                <w:lang w:val="en-US"/>
              </w:rPr>
              <w:t>Thio</w:t>
            </w:r>
          </w:p>
        </w:tc>
        <w:tc>
          <w:tcPr>
            <w:tcW w:w="337" w:type="pct"/>
            <w:shd w:val="clear" w:color="auto" w:fill="D9D9D9"/>
            <w:vAlign w:val="center"/>
          </w:tcPr>
          <w:p w14:paraId="411AA55E" w14:textId="77777777" w:rsidR="0089207C" w:rsidRPr="006A31EC" w:rsidRDefault="0089207C" w:rsidP="002D3EBF">
            <w:pPr>
              <w:rPr>
                <w:rFonts w:eastAsia="SimSun"/>
                <w:sz w:val="22"/>
                <w:lang w:val="en-US"/>
              </w:rPr>
            </w:pPr>
            <w:r w:rsidRPr="006A31EC">
              <w:rPr>
                <w:rFonts w:eastAsia="SimSun"/>
                <w:sz w:val="22"/>
                <w:lang w:val="en-US"/>
              </w:rPr>
              <w:t>Treo36</w:t>
            </w:r>
          </w:p>
        </w:tc>
        <w:tc>
          <w:tcPr>
            <w:tcW w:w="337" w:type="pct"/>
            <w:shd w:val="clear" w:color="auto" w:fill="D9D9D9"/>
            <w:vAlign w:val="center"/>
          </w:tcPr>
          <w:p w14:paraId="3646E9D4" w14:textId="77777777" w:rsidR="0089207C" w:rsidRPr="006A31EC" w:rsidRDefault="0089207C" w:rsidP="002D3EBF">
            <w:pPr>
              <w:rPr>
                <w:rFonts w:eastAsia="SimSun"/>
                <w:sz w:val="22"/>
                <w:lang w:val="en-US"/>
              </w:rPr>
            </w:pPr>
            <w:r w:rsidRPr="006A31EC">
              <w:rPr>
                <w:rFonts w:eastAsia="SimSun"/>
                <w:sz w:val="22"/>
                <w:lang w:val="en-US"/>
              </w:rPr>
              <w:t>Thio</w:t>
            </w:r>
          </w:p>
        </w:tc>
        <w:tc>
          <w:tcPr>
            <w:tcW w:w="401" w:type="pct"/>
            <w:shd w:val="clear" w:color="auto" w:fill="D9D9D9"/>
            <w:vAlign w:val="center"/>
          </w:tcPr>
          <w:p w14:paraId="59854C52" w14:textId="77777777" w:rsidR="0089207C" w:rsidRPr="006A31EC" w:rsidRDefault="0089207C" w:rsidP="002D3EBF">
            <w:pPr>
              <w:rPr>
                <w:rFonts w:eastAsia="SimSun"/>
                <w:sz w:val="22"/>
                <w:lang w:val="en-US"/>
              </w:rPr>
            </w:pPr>
            <w:r w:rsidRPr="006A31EC">
              <w:rPr>
                <w:rFonts w:eastAsia="SimSun"/>
                <w:sz w:val="22"/>
                <w:lang w:val="en-US"/>
              </w:rPr>
              <w:t>-</w:t>
            </w:r>
          </w:p>
        </w:tc>
        <w:tc>
          <w:tcPr>
            <w:tcW w:w="442" w:type="pct"/>
            <w:shd w:val="clear" w:color="auto" w:fill="D9D9D9"/>
            <w:vAlign w:val="center"/>
          </w:tcPr>
          <w:p w14:paraId="69CDCB9D" w14:textId="77777777" w:rsidR="0089207C" w:rsidRPr="006A31EC" w:rsidRDefault="0089207C" w:rsidP="002D3EBF">
            <w:pPr>
              <w:rPr>
                <w:rFonts w:eastAsia="SimSun"/>
                <w:sz w:val="22"/>
                <w:lang w:val="en-US"/>
              </w:rPr>
            </w:pPr>
            <w:r w:rsidRPr="006A31EC">
              <w:rPr>
                <w:rFonts w:eastAsia="SimSun"/>
                <w:sz w:val="22"/>
                <w:lang w:val="en-US"/>
              </w:rPr>
              <w:t>-</w:t>
            </w:r>
          </w:p>
        </w:tc>
        <w:tc>
          <w:tcPr>
            <w:tcW w:w="337" w:type="pct"/>
            <w:shd w:val="clear" w:color="auto" w:fill="D9D9D9"/>
            <w:vAlign w:val="center"/>
          </w:tcPr>
          <w:p w14:paraId="17094079" w14:textId="77777777" w:rsidR="0089207C" w:rsidRPr="006A31EC" w:rsidRDefault="0089207C" w:rsidP="002D3EBF">
            <w:pPr>
              <w:rPr>
                <w:rFonts w:eastAsia="SimSun"/>
                <w:sz w:val="22"/>
                <w:lang w:val="en-US"/>
              </w:rPr>
            </w:pPr>
            <w:r w:rsidRPr="006A31EC">
              <w:rPr>
                <w:rFonts w:eastAsia="SimSun"/>
                <w:sz w:val="22"/>
                <w:lang w:val="en-US"/>
              </w:rPr>
              <w:t>-</w:t>
            </w:r>
          </w:p>
        </w:tc>
        <w:tc>
          <w:tcPr>
            <w:tcW w:w="337" w:type="pct"/>
            <w:shd w:val="clear" w:color="auto" w:fill="D9D9D9"/>
          </w:tcPr>
          <w:p w14:paraId="58FB0DCA" w14:textId="77777777" w:rsidR="0089207C" w:rsidRPr="006A31EC" w:rsidRDefault="0089207C" w:rsidP="002D3EBF">
            <w:pPr>
              <w:rPr>
                <w:rFonts w:eastAsia="SimSun"/>
                <w:sz w:val="22"/>
                <w:lang w:val="en-US"/>
              </w:rPr>
            </w:pPr>
          </w:p>
        </w:tc>
      </w:tr>
      <w:tr w:rsidR="0089207C" w:rsidRPr="006A31EC" w14:paraId="4FB1B7C1" w14:textId="77777777" w:rsidTr="002D3EBF">
        <w:trPr>
          <w:cantSplit/>
          <w:trHeight w:val="624"/>
        </w:trPr>
        <w:tc>
          <w:tcPr>
            <w:tcW w:w="293" w:type="pct"/>
            <w:vMerge w:val="restart"/>
            <w:shd w:val="clear" w:color="auto" w:fill="D9D9D9"/>
            <w:vAlign w:val="center"/>
          </w:tcPr>
          <w:p w14:paraId="4A8E232E" w14:textId="77777777" w:rsidR="0089207C" w:rsidRPr="006A31EC" w:rsidRDefault="0089207C" w:rsidP="002D3EBF">
            <w:pPr>
              <w:rPr>
                <w:rFonts w:eastAsia="SimSun"/>
                <w:sz w:val="22"/>
                <w:lang w:val="en-US"/>
              </w:rPr>
            </w:pPr>
            <w:r w:rsidRPr="006A31EC">
              <w:rPr>
                <w:rFonts w:eastAsia="SimSun"/>
                <w:sz w:val="22"/>
                <w:lang w:val="en-US"/>
              </w:rPr>
              <w:t>hATG</w:t>
            </w:r>
          </w:p>
        </w:tc>
        <w:tc>
          <w:tcPr>
            <w:tcW w:w="284" w:type="pct"/>
            <w:vMerge w:val="restart"/>
            <w:shd w:val="clear" w:color="auto" w:fill="D9D9D9"/>
            <w:vAlign w:val="center"/>
          </w:tcPr>
          <w:p w14:paraId="49E86A16" w14:textId="77777777" w:rsidR="0089207C" w:rsidRPr="006A31EC" w:rsidRDefault="0089207C" w:rsidP="002D3EBF">
            <w:pPr>
              <w:rPr>
                <w:rFonts w:eastAsia="SimSun"/>
                <w:sz w:val="22"/>
                <w:lang w:val="en-US"/>
              </w:rPr>
            </w:pPr>
            <w:r w:rsidRPr="006A31EC">
              <w:rPr>
                <w:rFonts w:eastAsia="SimSun"/>
                <w:sz w:val="22"/>
                <w:lang w:val="en-US"/>
              </w:rPr>
              <w:t>CSA</w:t>
            </w:r>
          </w:p>
        </w:tc>
        <w:tc>
          <w:tcPr>
            <w:tcW w:w="261" w:type="pct"/>
            <w:vMerge w:val="restart"/>
            <w:shd w:val="clear" w:color="auto" w:fill="D9D9D9"/>
            <w:vAlign w:val="center"/>
          </w:tcPr>
          <w:p w14:paraId="743AA7AE" w14:textId="77777777" w:rsidR="0089207C" w:rsidRPr="006A31EC" w:rsidRDefault="0089207C" w:rsidP="002D3EBF">
            <w:pPr>
              <w:rPr>
                <w:rFonts w:eastAsia="SimSun"/>
                <w:sz w:val="22"/>
                <w:lang w:val="en-US"/>
              </w:rPr>
            </w:pPr>
            <w:r w:rsidRPr="006A31EC">
              <w:rPr>
                <w:rFonts w:eastAsia="SimSun"/>
                <w:sz w:val="22"/>
                <w:lang w:val="en-US"/>
              </w:rPr>
              <w:t>MTX</w:t>
            </w:r>
          </w:p>
        </w:tc>
        <w:tc>
          <w:tcPr>
            <w:tcW w:w="398" w:type="pct"/>
            <w:shd w:val="clear" w:color="auto" w:fill="D9D9D9"/>
            <w:vAlign w:val="center"/>
          </w:tcPr>
          <w:p w14:paraId="093FA850" w14:textId="77777777" w:rsidR="0089207C" w:rsidRPr="006A31EC" w:rsidRDefault="0089207C" w:rsidP="002D3EBF">
            <w:pPr>
              <w:rPr>
                <w:rFonts w:eastAsia="SimSun"/>
                <w:sz w:val="22"/>
                <w:lang w:val="en-US"/>
              </w:rPr>
            </w:pPr>
            <w:r w:rsidRPr="006A31EC">
              <w:rPr>
                <w:rFonts w:eastAsia="SimSun"/>
                <w:sz w:val="22"/>
                <w:lang w:val="en-US"/>
              </w:rPr>
              <w:t>-</w:t>
            </w:r>
          </w:p>
        </w:tc>
        <w:tc>
          <w:tcPr>
            <w:tcW w:w="337" w:type="pct"/>
            <w:shd w:val="clear" w:color="auto" w:fill="auto"/>
            <w:vAlign w:val="center"/>
          </w:tcPr>
          <w:p w14:paraId="6A28C054" w14:textId="77777777" w:rsidR="0089207C" w:rsidRPr="006A31EC" w:rsidRDefault="0089207C" w:rsidP="002D3EBF">
            <w:pPr>
              <w:rPr>
                <w:rFonts w:eastAsia="SimSun"/>
                <w:sz w:val="22"/>
                <w:lang w:val="en-US"/>
              </w:rPr>
            </w:pPr>
          </w:p>
        </w:tc>
        <w:tc>
          <w:tcPr>
            <w:tcW w:w="312" w:type="pct"/>
            <w:vAlign w:val="center"/>
          </w:tcPr>
          <w:p w14:paraId="38674A5B" w14:textId="77777777" w:rsidR="0089207C" w:rsidRPr="006A31EC" w:rsidRDefault="0089207C" w:rsidP="002D3EBF">
            <w:pPr>
              <w:rPr>
                <w:rFonts w:eastAsia="SimSun"/>
                <w:sz w:val="22"/>
              </w:rPr>
            </w:pPr>
            <w:r w:rsidRPr="006A31EC">
              <w:rPr>
                <w:rFonts w:eastAsia="SimSun"/>
                <w:sz w:val="22"/>
                <w:lang w:val="en-US"/>
              </w:rPr>
              <w:t>5.1.2.</w:t>
            </w:r>
            <w:r w:rsidRPr="006A31EC">
              <w:rPr>
                <w:rFonts w:eastAsia="SimSun"/>
                <w:sz w:val="22"/>
              </w:rPr>
              <w:t>18</w:t>
            </w:r>
          </w:p>
        </w:tc>
        <w:tc>
          <w:tcPr>
            <w:tcW w:w="337" w:type="pct"/>
            <w:shd w:val="clear" w:color="auto" w:fill="auto"/>
            <w:vAlign w:val="center"/>
          </w:tcPr>
          <w:p w14:paraId="6D9C57DA" w14:textId="77777777" w:rsidR="0089207C" w:rsidRPr="006A31EC" w:rsidRDefault="0089207C" w:rsidP="002D3EBF">
            <w:pPr>
              <w:rPr>
                <w:rFonts w:eastAsia="SimSun"/>
                <w:sz w:val="22"/>
                <w:lang w:val="en-US"/>
              </w:rPr>
            </w:pPr>
          </w:p>
        </w:tc>
        <w:tc>
          <w:tcPr>
            <w:tcW w:w="295" w:type="pct"/>
            <w:shd w:val="clear" w:color="auto" w:fill="auto"/>
            <w:vAlign w:val="center"/>
          </w:tcPr>
          <w:p w14:paraId="21E33B63" w14:textId="77777777" w:rsidR="0089207C" w:rsidRPr="006A31EC" w:rsidRDefault="0089207C" w:rsidP="002D3EBF">
            <w:pPr>
              <w:rPr>
                <w:rFonts w:eastAsia="SimSun"/>
                <w:sz w:val="22"/>
                <w:lang w:val="en-US"/>
              </w:rPr>
            </w:pPr>
          </w:p>
        </w:tc>
        <w:tc>
          <w:tcPr>
            <w:tcW w:w="295" w:type="pct"/>
            <w:shd w:val="clear" w:color="auto" w:fill="auto"/>
            <w:vAlign w:val="center"/>
          </w:tcPr>
          <w:p w14:paraId="2569FBBD" w14:textId="77777777" w:rsidR="0089207C" w:rsidRPr="006A31EC" w:rsidRDefault="0089207C" w:rsidP="002D3EBF">
            <w:pPr>
              <w:rPr>
                <w:rFonts w:eastAsia="SimSun"/>
                <w:sz w:val="22"/>
                <w:lang w:val="en-US"/>
              </w:rPr>
            </w:pPr>
          </w:p>
        </w:tc>
        <w:tc>
          <w:tcPr>
            <w:tcW w:w="337" w:type="pct"/>
            <w:shd w:val="clear" w:color="auto" w:fill="auto"/>
            <w:vAlign w:val="center"/>
          </w:tcPr>
          <w:p w14:paraId="6DEB5308" w14:textId="77777777" w:rsidR="0089207C" w:rsidRPr="006A31EC" w:rsidRDefault="0089207C" w:rsidP="002D3EBF">
            <w:pPr>
              <w:rPr>
                <w:rFonts w:eastAsia="SimSun"/>
                <w:sz w:val="22"/>
                <w:lang w:val="en-US"/>
              </w:rPr>
            </w:pPr>
          </w:p>
        </w:tc>
        <w:tc>
          <w:tcPr>
            <w:tcW w:w="337" w:type="pct"/>
            <w:shd w:val="clear" w:color="auto" w:fill="auto"/>
            <w:vAlign w:val="center"/>
          </w:tcPr>
          <w:p w14:paraId="77DD3DC8" w14:textId="77777777" w:rsidR="0089207C" w:rsidRPr="006A31EC" w:rsidRDefault="0089207C" w:rsidP="002D3EBF">
            <w:pPr>
              <w:rPr>
                <w:sz w:val="22"/>
              </w:rPr>
            </w:pPr>
          </w:p>
        </w:tc>
        <w:tc>
          <w:tcPr>
            <w:tcW w:w="401" w:type="pct"/>
            <w:shd w:val="clear" w:color="auto" w:fill="auto"/>
            <w:vAlign w:val="center"/>
          </w:tcPr>
          <w:p w14:paraId="7D9826CD" w14:textId="77777777" w:rsidR="0089207C" w:rsidRPr="006A31EC" w:rsidRDefault="0089207C" w:rsidP="002D3EBF">
            <w:pPr>
              <w:rPr>
                <w:sz w:val="22"/>
              </w:rPr>
            </w:pPr>
          </w:p>
        </w:tc>
        <w:tc>
          <w:tcPr>
            <w:tcW w:w="442" w:type="pct"/>
            <w:shd w:val="clear" w:color="auto" w:fill="auto"/>
            <w:vAlign w:val="center"/>
          </w:tcPr>
          <w:p w14:paraId="51157E22" w14:textId="77777777" w:rsidR="0089207C" w:rsidRPr="006A31EC" w:rsidRDefault="0089207C" w:rsidP="002D3EBF">
            <w:pPr>
              <w:rPr>
                <w:rFonts w:eastAsia="SimSun"/>
                <w:sz w:val="22"/>
                <w:lang w:val="en-US"/>
              </w:rPr>
            </w:pPr>
          </w:p>
        </w:tc>
        <w:tc>
          <w:tcPr>
            <w:tcW w:w="337" w:type="pct"/>
            <w:shd w:val="clear" w:color="auto" w:fill="auto"/>
            <w:vAlign w:val="center"/>
          </w:tcPr>
          <w:p w14:paraId="4094BB56" w14:textId="77777777" w:rsidR="0089207C" w:rsidRPr="006A31EC" w:rsidRDefault="0089207C" w:rsidP="002D3EBF">
            <w:pPr>
              <w:rPr>
                <w:rFonts w:eastAsia="SimSun"/>
                <w:sz w:val="22"/>
                <w:lang w:val="en-US"/>
              </w:rPr>
            </w:pPr>
          </w:p>
        </w:tc>
        <w:tc>
          <w:tcPr>
            <w:tcW w:w="337" w:type="pct"/>
          </w:tcPr>
          <w:p w14:paraId="24E3BC0B" w14:textId="77777777" w:rsidR="0089207C" w:rsidRPr="006A31EC" w:rsidRDefault="0089207C" w:rsidP="002D3EBF">
            <w:pPr>
              <w:rPr>
                <w:rFonts w:eastAsia="SimSun"/>
                <w:sz w:val="22"/>
                <w:lang w:val="en-US"/>
              </w:rPr>
            </w:pPr>
          </w:p>
        </w:tc>
      </w:tr>
      <w:tr w:rsidR="0089207C" w:rsidRPr="006A31EC" w14:paraId="3B9E8AAE" w14:textId="77777777" w:rsidTr="002D3EBF">
        <w:trPr>
          <w:cantSplit/>
          <w:trHeight w:val="624"/>
        </w:trPr>
        <w:tc>
          <w:tcPr>
            <w:tcW w:w="293" w:type="pct"/>
            <w:vMerge/>
            <w:shd w:val="clear" w:color="auto" w:fill="D9D9D9"/>
            <w:vAlign w:val="center"/>
          </w:tcPr>
          <w:p w14:paraId="6FE34512" w14:textId="77777777" w:rsidR="0089207C" w:rsidRPr="006A31EC" w:rsidRDefault="0089207C" w:rsidP="002D3EBF">
            <w:pPr>
              <w:rPr>
                <w:rFonts w:eastAsia="SimSun"/>
                <w:sz w:val="22"/>
                <w:lang w:val="en-US"/>
              </w:rPr>
            </w:pPr>
          </w:p>
        </w:tc>
        <w:tc>
          <w:tcPr>
            <w:tcW w:w="284" w:type="pct"/>
            <w:vMerge/>
            <w:shd w:val="clear" w:color="auto" w:fill="D9D9D9"/>
            <w:vAlign w:val="center"/>
          </w:tcPr>
          <w:p w14:paraId="7CDDBB32" w14:textId="77777777" w:rsidR="0089207C" w:rsidRPr="006A31EC" w:rsidRDefault="0089207C" w:rsidP="002D3EBF">
            <w:pPr>
              <w:rPr>
                <w:rFonts w:eastAsia="SimSun"/>
                <w:sz w:val="22"/>
                <w:lang w:val="en-US"/>
              </w:rPr>
            </w:pPr>
          </w:p>
        </w:tc>
        <w:tc>
          <w:tcPr>
            <w:tcW w:w="261" w:type="pct"/>
            <w:vMerge/>
            <w:shd w:val="clear" w:color="auto" w:fill="D9D9D9"/>
            <w:vAlign w:val="center"/>
          </w:tcPr>
          <w:p w14:paraId="61637083" w14:textId="77777777" w:rsidR="0089207C" w:rsidRPr="006A31EC" w:rsidRDefault="0089207C" w:rsidP="002D3EBF">
            <w:pPr>
              <w:rPr>
                <w:rFonts w:eastAsia="SimSun"/>
                <w:sz w:val="22"/>
                <w:lang w:val="en-US"/>
              </w:rPr>
            </w:pPr>
          </w:p>
        </w:tc>
        <w:tc>
          <w:tcPr>
            <w:tcW w:w="398" w:type="pct"/>
            <w:shd w:val="clear" w:color="auto" w:fill="D9D9D9"/>
            <w:vAlign w:val="center"/>
          </w:tcPr>
          <w:p w14:paraId="3EE03B77" w14:textId="77777777" w:rsidR="0089207C" w:rsidRPr="006A31EC" w:rsidRDefault="0089207C" w:rsidP="002D3EBF">
            <w:pPr>
              <w:rPr>
                <w:rFonts w:eastAsia="SimSun"/>
                <w:sz w:val="22"/>
                <w:lang w:val="en-US"/>
              </w:rPr>
            </w:pPr>
            <w:r w:rsidRPr="006A31EC">
              <w:rPr>
                <w:rFonts w:eastAsia="SimSun"/>
                <w:sz w:val="22"/>
                <w:lang w:val="en-US"/>
              </w:rPr>
              <w:t>MMF30</w:t>
            </w:r>
          </w:p>
        </w:tc>
        <w:tc>
          <w:tcPr>
            <w:tcW w:w="337" w:type="pct"/>
            <w:shd w:val="clear" w:color="auto" w:fill="auto"/>
            <w:vAlign w:val="center"/>
          </w:tcPr>
          <w:p w14:paraId="3B5610F5" w14:textId="77777777" w:rsidR="0089207C" w:rsidRPr="006A31EC" w:rsidRDefault="0089207C" w:rsidP="002D3EBF">
            <w:pPr>
              <w:rPr>
                <w:sz w:val="22"/>
              </w:rPr>
            </w:pPr>
            <w:r w:rsidRPr="006A31EC">
              <w:rPr>
                <w:rFonts w:eastAsia="SimSun"/>
                <w:sz w:val="22"/>
                <w:lang w:val="en-US"/>
              </w:rPr>
              <w:t>-</w:t>
            </w:r>
          </w:p>
        </w:tc>
        <w:tc>
          <w:tcPr>
            <w:tcW w:w="312" w:type="pct"/>
          </w:tcPr>
          <w:p w14:paraId="6FD560D7" w14:textId="77777777" w:rsidR="0089207C" w:rsidRPr="006A31EC" w:rsidRDefault="0089207C" w:rsidP="002D3EBF">
            <w:pPr>
              <w:rPr>
                <w:rFonts w:eastAsia="SimSun"/>
                <w:sz w:val="22"/>
                <w:lang w:val="en-US"/>
              </w:rPr>
            </w:pPr>
          </w:p>
        </w:tc>
        <w:tc>
          <w:tcPr>
            <w:tcW w:w="337" w:type="pct"/>
            <w:shd w:val="clear" w:color="auto" w:fill="auto"/>
            <w:vAlign w:val="center"/>
          </w:tcPr>
          <w:p w14:paraId="67F11023" w14:textId="77777777" w:rsidR="0089207C" w:rsidRPr="006A31EC" w:rsidRDefault="0089207C" w:rsidP="002D3EBF">
            <w:pPr>
              <w:rPr>
                <w:sz w:val="22"/>
              </w:rPr>
            </w:pPr>
            <w:r w:rsidRPr="006A31EC">
              <w:rPr>
                <w:rFonts w:eastAsia="SimSun"/>
                <w:sz w:val="22"/>
                <w:lang w:val="en-US"/>
              </w:rPr>
              <w:t>-</w:t>
            </w:r>
          </w:p>
        </w:tc>
        <w:tc>
          <w:tcPr>
            <w:tcW w:w="295" w:type="pct"/>
            <w:shd w:val="clear" w:color="auto" w:fill="auto"/>
            <w:vAlign w:val="center"/>
          </w:tcPr>
          <w:p w14:paraId="26050E9F" w14:textId="77777777" w:rsidR="0089207C" w:rsidRPr="006A31EC" w:rsidRDefault="0089207C" w:rsidP="002D3EBF">
            <w:pPr>
              <w:rPr>
                <w:sz w:val="22"/>
              </w:rPr>
            </w:pPr>
            <w:r w:rsidRPr="006A31EC">
              <w:rPr>
                <w:rFonts w:eastAsia="SimSun"/>
                <w:sz w:val="22"/>
                <w:lang w:val="en-US"/>
              </w:rPr>
              <w:t>-</w:t>
            </w:r>
          </w:p>
        </w:tc>
        <w:tc>
          <w:tcPr>
            <w:tcW w:w="295" w:type="pct"/>
            <w:shd w:val="clear" w:color="auto" w:fill="auto"/>
            <w:vAlign w:val="center"/>
          </w:tcPr>
          <w:p w14:paraId="2B0E9F90" w14:textId="77777777" w:rsidR="0089207C" w:rsidRPr="006A31EC" w:rsidRDefault="0089207C" w:rsidP="002D3EBF">
            <w:pPr>
              <w:rPr>
                <w:rFonts w:eastAsia="SimSun"/>
                <w:sz w:val="22"/>
                <w:lang w:val="en-US"/>
              </w:rPr>
            </w:pPr>
            <w:r w:rsidRPr="006A31EC">
              <w:rPr>
                <w:rFonts w:eastAsia="SimSun"/>
                <w:sz w:val="22"/>
                <w:lang w:val="en-US"/>
              </w:rPr>
              <w:t>5.1.2.1</w:t>
            </w:r>
          </w:p>
        </w:tc>
        <w:tc>
          <w:tcPr>
            <w:tcW w:w="337" w:type="pct"/>
            <w:shd w:val="clear" w:color="auto" w:fill="auto"/>
            <w:vAlign w:val="center"/>
          </w:tcPr>
          <w:p w14:paraId="6B0C1AD2" w14:textId="77777777" w:rsidR="0089207C" w:rsidRPr="006A31EC" w:rsidRDefault="0089207C" w:rsidP="002D3EBF">
            <w:pPr>
              <w:rPr>
                <w:sz w:val="22"/>
              </w:rPr>
            </w:pPr>
            <w:r w:rsidRPr="006A31EC">
              <w:rPr>
                <w:rFonts w:eastAsia="SimSun"/>
                <w:sz w:val="22"/>
                <w:lang w:val="en-US"/>
              </w:rPr>
              <w:t>-</w:t>
            </w:r>
          </w:p>
        </w:tc>
        <w:tc>
          <w:tcPr>
            <w:tcW w:w="337" w:type="pct"/>
            <w:shd w:val="clear" w:color="auto" w:fill="auto"/>
            <w:vAlign w:val="center"/>
          </w:tcPr>
          <w:p w14:paraId="4A6DDD61" w14:textId="77777777" w:rsidR="0089207C" w:rsidRPr="006A31EC" w:rsidRDefault="0089207C" w:rsidP="002D3EBF">
            <w:pPr>
              <w:rPr>
                <w:sz w:val="22"/>
              </w:rPr>
            </w:pPr>
          </w:p>
        </w:tc>
        <w:tc>
          <w:tcPr>
            <w:tcW w:w="401" w:type="pct"/>
            <w:shd w:val="clear" w:color="auto" w:fill="auto"/>
            <w:vAlign w:val="center"/>
          </w:tcPr>
          <w:p w14:paraId="73D2AC13" w14:textId="77777777" w:rsidR="0089207C" w:rsidRPr="006A31EC" w:rsidRDefault="0089207C" w:rsidP="002D3EBF">
            <w:pPr>
              <w:rPr>
                <w:sz w:val="22"/>
              </w:rPr>
            </w:pPr>
            <w:r w:rsidRPr="006A31EC">
              <w:rPr>
                <w:sz w:val="22"/>
              </w:rPr>
              <w:t>5.1.2.5</w:t>
            </w:r>
          </w:p>
        </w:tc>
        <w:tc>
          <w:tcPr>
            <w:tcW w:w="442" w:type="pct"/>
            <w:shd w:val="clear" w:color="auto" w:fill="auto"/>
            <w:vAlign w:val="center"/>
          </w:tcPr>
          <w:p w14:paraId="74204CEF" w14:textId="77777777" w:rsidR="0089207C" w:rsidRPr="006A31EC" w:rsidRDefault="0089207C" w:rsidP="002D3EBF">
            <w:pPr>
              <w:rPr>
                <w:sz w:val="22"/>
              </w:rPr>
            </w:pPr>
            <w:r w:rsidRPr="006A31EC">
              <w:rPr>
                <w:rFonts w:eastAsia="SimSun"/>
                <w:sz w:val="22"/>
                <w:lang w:val="en-US"/>
              </w:rPr>
              <w:t>-</w:t>
            </w:r>
          </w:p>
        </w:tc>
        <w:tc>
          <w:tcPr>
            <w:tcW w:w="337" w:type="pct"/>
            <w:shd w:val="clear" w:color="auto" w:fill="auto"/>
            <w:vAlign w:val="center"/>
          </w:tcPr>
          <w:p w14:paraId="16346CBB" w14:textId="77777777" w:rsidR="0089207C" w:rsidRPr="006A31EC" w:rsidRDefault="0089207C" w:rsidP="002D3EBF">
            <w:pPr>
              <w:rPr>
                <w:sz w:val="22"/>
              </w:rPr>
            </w:pPr>
            <w:r w:rsidRPr="006A31EC">
              <w:rPr>
                <w:rFonts w:eastAsia="SimSun"/>
                <w:sz w:val="22"/>
                <w:lang w:val="en-US"/>
              </w:rPr>
              <w:t>-</w:t>
            </w:r>
          </w:p>
        </w:tc>
        <w:tc>
          <w:tcPr>
            <w:tcW w:w="337" w:type="pct"/>
          </w:tcPr>
          <w:p w14:paraId="743BF7CE" w14:textId="77777777" w:rsidR="0089207C" w:rsidRPr="006A31EC" w:rsidRDefault="0089207C" w:rsidP="002D3EBF">
            <w:pPr>
              <w:rPr>
                <w:rFonts w:eastAsia="SimSun"/>
                <w:sz w:val="22"/>
                <w:lang w:val="en-US"/>
              </w:rPr>
            </w:pPr>
          </w:p>
        </w:tc>
      </w:tr>
      <w:tr w:rsidR="0089207C" w:rsidRPr="006A31EC" w14:paraId="6072F23C" w14:textId="77777777" w:rsidTr="002D3EBF">
        <w:trPr>
          <w:cantSplit/>
          <w:trHeight w:val="624"/>
        </w:trPr>
        <w:tc>
          <w:tcPr>
            <w:tcW w:w="293" w:type="pct"/>
            <w:vMerge/>
            <w:shd w:val="clear" w:color="auto" w:fill="D9D9D9"/>
            <w:vAlign w:val="center"/>
          </w:tcPr>
          <w:p w14:paraId="4C3AFDF7" w14:textId="77777777" w:rsidR="0089207C" w:rsidRPr="006A31EC" w:rsidRDefault="0089207C" w:rsidP="002D3EBF">
            <w:pPr>
              <w:rPr>
                <w:rFonts w:eastAsia="SimSun"/>
                <w:sz w:val="22"/>
                <w:lang w:val="en-US"/>
              </w:rPr>
            </w:pPr>
          </w:p>
        </w:tc>
        <w:tc>
          <w:tcPr>
            <w:tcW w:w="284" w:type="pct"/>
            <w:shd w:val="clear" w:color="auto" w:fill="D9D9D9"/>
            <w:vAlign w:val="center"/>
          </w:tcPr>
          <w:p w14:paraId="0E2DD4E2" w14:textId="77777777" w:rsidR="0089207C" w:rsidRPr="006A31EC" w:rsidRDefault="0089207C" w:rsidP="002D3EBF">
            <w:pPr>
              <w:rPr>
                <w:rFonts w:eastAsia="SimSun"/>
                <w:sz w:val="22"/>
                <w:lang w:val="en-US"/>
              </w:rPr>
            </w:pPr>
            <w:r w:rsidRPr="006A31EC">
              <w:rPr>
                <w:rFonts w:eastAsia="SimSun"/>
                <w:sz w:val="22"/>
                <w:lang w:val="en-US"/>
              </w:rPr>
              <w:t>Tx</w:t>
            </w:r>
          </w:p>
        </w:tc>
        <w:tc>
          <w:tcPr>
            <w:tcW w:w="261" w:type="pct"/>
            <w:shd w:val="clear" w:color="auto" w:fill="D9D9D9"/>
            <w:vAlign w:val="center"/>
          </w:tcPr>
          <w:p w14:paraId="0F4CA803" w14:textId="77777777" w:rsidR="0089207C" w:rsidRPr="006A31EC" w:rsidRDefault="0089207C" w:rsidP="002D3EBF">
            <w:pPr>
              <w:rPr>
                <w:rFonts w:eastAsia="SimSun"/>
                <w:sz w:val="22"/>
                <w:lang w:val="en-US"/>
              </w:rPr>
            </w:pPr>
            <w:r w:rsidRPr="006A31EC">
              <w:rPr>
                <w:rFonts w:eastAsia="SimSun"/>
                <w:sz w:val="22"/>
                <w:lang w:val="en-US"/>
              </w:rPr>
              <w:t>-</w:t>
            </w:r>
          </w:p>
        </w:tc>
        <w:tc>
          <w:tcPr>
            <w:tcW w:w="398" w:type="pct"/>
            <w:shd w:val="clear" w:color="auto" w:fill="D9D9D9"/>
            <w:vAlign w:val="center"/>
          </w:tcPr>
          <w:p w14:paraId="0AD640A0" w14:textId="77777777" w:rsidR="0089207C" w:rsidRPr="006A31EC" w:rsidRDefault="0089207C" w:rsidP="002D3EBF">
            <w:pPr>
              <w:rPr>
                <w:rFonts w:eastAsia="SimSun"/>
                <w:sz w:val="22"/>
                <w:lang w:val="en-US"/>
              </w:rPr>
            </w:pPr>
            <w:r w:rsidRPr="006A31EC">
              <w:rPr>
                <w:rFonts w:eastAsia="SimSun"/>
                <w:sz w:val="22"/>
                <w:lang w:val="en-US"/>
              </w:rPr>
              <w:t>MMF30</w:t>
            </w:r>
          </w:p>
        </w:tc>
        <w:tc>
          <w:tcPr>
            <w:tcW w:w="337" w:type="pct"/>
            <w:shd w:val="clear" w:color="auto" w:fill="auto"/>
            <w:vAlign w:val="center"/>
          </w:tcPr>
          <w:p w14:paraId="587A032E" w14:textId="77777777" w:rsidR="0089207C" w:rsidRPr="006A31EC" w:rsidRDefault="0089207C" w:rsidP="002D3EBF">
            <w:pPr>
              <w:rPr>
                <w:sz w:val="22"/>
              </w:rPr>
            </w:pPr>
            <w:r w:rsidRPr="006A31EC">
              <w:rPr>
                <w:rFonts w:eastAsia="SimSun"/>
                <w:sz w:val="22"/>
                <w:lang w:val="en-US"/>
              </w:rPr>
              <w:t>-</w:t>
            </w:r>
          </w:p>
        </w:tc>
        <w:tc>
          <w:tcPr>
            <w:tcW w:w="312" w:type="pct"/>
          </w:tcPr>
          <w:p w14:paraId="5BD8D95F" w14:textId="77777777" w:rsidR="0089207C" w:rsidRPr="006A31EC" w:rsidRDefault="0089207C" w:rsidP="002D3EBF">
            <w:pPr>
              <w:rPr>
                <w:rFonts w:eastAsia="SimSun"/>
                <w:sz w:val="22"/>
                <w:lang w:val="en-US"/>
              </w:rPr>
            </w:pPr>
          </w:p>
        </w:tc>
        <w:tc>
          <w:tcPr>
            <w:tcW w:w="337" w:type="pct"/>
            <w:shd w:val="clear" w:color="auto" w:fill="auto"/>
            <w:vAlign w:val="center"/>
          </w:tcPr>
          <w:p w14:paraId="2917ED4D" w14:textId="77777777" w:rsidR="0089207C" w:rsidRPr="006A31EC" w:rsidRDefault="0089207C" w:rsidP="002D3EBF">
            <w:pPr>
              <w:rPr>
                <w:sz w:val="22"/>
              </w:rPr>
            </w:pPr>
            <w:r w:rsidRPr="006A31EC">
              <w:rPr>
                <w:rFonts w:eastAsia="SimSun"/>
                <w:sz w:val="22"/>
                <w:lang w:val="en-US"/>
              </w:rPr>
              <w:t>-</w:t>
            </w:r>
          </w:p>
        </w:tc>
        <w:tc>
          <w:tcPr>
            <w:tcW w:w="295" w:type="pct"/>
            <w:shd w:val="clear" w:color="auto" w:fill="auto"/>
            <w:vAlign w:val="center"/>
          </w:tcPr>
          <w:p w14:paraId="15F76A02" w14:textId="77777777" w:rsidR="0089207C" w:rsidRPr="006A31EC" w:rsidRDefault="0089207C" w:rsidP="002D3EBF">
            <w:pPr>
              <w:rPr>
                <w:sz w:val="22"/>
              </w:rPr>
            </w:pPr>
            <w:r w:rsidRPr="006A31EC">
              <w:rPr>
                <w:rFonts w:eastAsia="SimSun"/>
                <w:sz w:val="22"/>
                <w:lang w:val="en-US"/>
              </w:rPr>
              <w:t>-</w:t>
            </w:r>
          </w:p>
        </w:tc>
        <w:tc>
          <w:tcPr>
            <w:tcW w:w="295" w:type="pct"/>
            <w:shd w:val="clear" w:color="auto" w:fill="auto"/>
            <w:vAlign w:val="center"/>
          </w:tcPr>
          <w:p w14:paraId="4FAA89B2" w14:textId="77777777" w:rsidR="0089207C" w:rsidRPr="006A31EC" w:rsidRDefault="0089207C" w:rsidP="002D3EBF">
            <w:pPr>
              <w:rPr>
                <w:sz w:val="22"/>
              </w:rPr>
            </w:pPr>
            <w:r w:rsidRPr="006A31EC">
              <w:rPr>
                <w:rFonts w:eastAsia="SimSun"/>
                <w:sz w:val="22"/>
                <w:lang w:val="en-US"/>
              </w:rPr>
              <w:t>-</w:t>
            </w:r>
          </w:p>
        </w:tc>
        <w:tc>
          <w:tcPr>
            <w:tcW w:w="337" w:type="pct"/>
            <w:shd w:val="clear" w:color="auto" w:fill="auto"/>
            <w:vAlign w:val="center"/>
          </w:tcPr>
          <w:p w14:paraId="5C7149A1" w14:textId="77777777" w:rsidR="0089207C" w:rsidRPr="006A31EC" w:rsidRDefault="0089207C" w:rsidP="002D3EBF">
            <w:pPr>
              <w:rPr>
                <w:sz w:val="22"/>
              </w:rPr>
            </w:pPr>
            <w:r w:rsidRPr="006A31EC">
              <w:rPr>
                <w:rFonts w:eastAsia="SimSun"/>
                <w:sz w:val="22"/>
                <w:lang w:val="en-US"/>
              </w:rPr>
              <w:t>-</w:t>
            </w:r>
          </w:p>
        </w:tc>
        <w:tc>
          <w:tcPr>
            <w:tcW w:w="337" w:type="pct"/>
            <w:shd w:val="clear" w:color="auto" w:fill="auto"/>
            <w:vAlign w:val="center"/>
          </w:tcPr>
          <w:p w14:paraId="012288C6" w14:textId="77777777" w:rsidR="0089207C" w:rsidRPr="006A31EC" w:rsidRDefault="0089207C" w:rsidP="002D3EBF">
            <w:pPr>
              <w:rPr>
                <w:sz w:val="22"/>
              </w:rPr>
            </w:pPr>
            <w:r w:rsidRPr="006A31EC">
              <w:rPr>
                <w:sz w:val="22"/>
              </w:rPr>
              <w:t>5.1.2.21</w:t>
            </w:r>
          </w:p>
        </w:tc>
        <w:tc>
          <w:tcPr>
            <w:tcW w:w="401" w:type="pct"/>
            <w:shd w:val="clear" w:color="auto" w:fill="auto"/>
            <w:vAlign w:val="center"/>
          </w:tcPr>
          <w:p w14:paraId="24E5BAE5" w14:textId="77777777" w:rsidR="0089207C" w:rsidRPr="006A31EC" w:rsidRDefault="0089207C" w:rsidP="002D3EBF">
            <w:pPr>
              <w:rPr>
                <w:sz w:val="22"/>
              </w:rPr>
            </w:pPr>
            <w:r w:rsidRPr="006A31EC">
              <w:rPr>
                <w:rFonts w:eastAsia="SimSun"/>
                <w:sz w:val="22"/>
                <w:lang w:val="en-US"/>
              </w:rPr>
              <w:t>-</w:t>
            </w:r>
          </w:p>
        </w:tc>
        <w:tc>
          <w:tcPr>
            <w:tcW w:w="442" w:type="pct"/>
            <w:shd w:val="clear" w:color="auto" w:fill="auto"/>
            <w:vAlign w:val="center"/>
          </w:tcPr>
          <w:p w14:paraId="1C3FA80E" w14:textId="77777777" w:rsidR="0089207C" w:rsidRPr="006A31EC" w:rsidRDefault="0089207C" w:rsidP="002D3EBF">
            <w:pPr>
              <w:rPr>
                <w:sz w:val="22"/>
              </w:rPr>
            </w:pPr>
            <w:r w:rsidRPr="006A31EC">
              <w:rPr>
                <w:rFonts w:eastAsia="SimSun"/>
                <w:sz w:val="22"/>
                <w:lang w:val="en-US"/>
              </w:rPr>
              <w:t>-</w:t>
            </w:r>
          </w:p>
        </w:tc>
        <w:tc>
          <w:tcPr>
            <w:tcW w:w="337" w:type="pct"/>
            <w:shd w:val="clear" w:color="auto" w:fill="auto"/>
            <w:vAlign w:val="center"/>
          </w:tcPr>
          <w:p w14:paraId="511EDD4A" w14:textId="77777777" w:rsidR="0089207C" w:rsidRPr="006A31EC" w:rsidRDefault="0089207C" w:rsidP="002D3EBF">
            <w:pPr>
              <w:rPr>
                <w:rFonts w:eastAsia="SimSun"/>
                <w:sz w:val="22"/>
              </w:rPr>
            </w:pPr>
            <w:r w:rsidRPr="006A31EC">
              <w:rPr>
                <w:rFonts w:eastAsia="SimSun"/>
                <w:sz w:val="22"/>
                <w:lang w:val="en-US"/>
              </w:rPr>
              <w:t>5.1.2.2</w:t>
            </w:r>
            <w:r w:rsidRPr="006A31EC">
              <w:rPr>
                <w:rFonts w:eastAsia="SimSun"/>
                <w:sz w:val="22"/>
              </w:rPr>
              <w:t>2</w:t>
            </w:r>
          </w:p>
        </w:tc>
        <w:tc>
          <w:tcPr>
            <w:tcW w:w="337" w:type="pct"/>
          </w:tcPr>
          <w:p w14:paraId="281C4AEB" w14:textId="77777777" w:rsidR="0089207C" w:rsidRPr="006A31EC" w:rsidRDefault="0089207C" w:rsidP="002D3EBF">
            <w:pPr>
              <w:rPr>
                <w:rFonts w:eastAsia="SimSun"/>
                <w:sz w:val="22"/>
                <w:lang w:val="en-US"/>
              </w:rPr>
            </w:pPr>
          </w:p>
        </w:tc>
      </w:tr>
      <w:tr w:rsidR="0089207C" w:rsidRPr="006A31EC" w14:paraId="1E0F2E01" w14:textId="77777777" w:rsidTr="002D3EBF">
        <w:trPr>
          <w:cantSplit/>
          <w:trHeight w:val="624"/>
        </w:trPr>
        <w:tc>
          <w:tcPr>
            <w:tcW w:w="293" w:type="pct"/>
            <w:vMerge w:val="restart"/>
            <w:shd w:val="clear" w:color="auto" w:fill="D9D9D9"/>
            <w:vAlign w:val="center"/>
          </w:tcPr>
          <w:p w14:paraId="34C3D1F9" w14:textId="77777777" w:rsidR="0089207C" w:rsidRPr="006A31EC" w:rsidRDefault="0089207C" w:rsidP="002D3EBF">
            <w:pPr>
              <w:rPr>
                <w:rFonts w:eastAsia="SimSun"/>
                <w:sz w:val="22"/>
                <w:lang w:val="en-US"/>
              </w:rPr>
            </w:pPr>
            <w:r w:rsidRPr="006A31EC">
              <w:rPr>
                <w:rFonts w:eastAsia="SimSun"/>
                <w:sz w:val="22"/>
                <w:lang w:val="en-US"/>
              </w:rPr>
              <w:t>rATG</w:t>
            </w:r>
          </w:p>
        </w:tc>
        <w:tc>
          <w:tcPr>
            <w:tcW w:w="284" w:type="pct"/>
            <w:shd w:val="clear" w:color="auto" w:fill="D9D9D9"/>
            <w:vAlign w:val="center"/>
          </w:tcPr>
          <w:p w14:paraId="575AFFB1" w14:textId="77777777" w:rsidR="0089207C" w:rsidRPr="006A31EC" w:rsidRDefault="0089207C" w:rsidP="002D3EBF">
            <w:pPr>
              <w:rPr>
                <w:rFonts w:eastAsia="SimSun"/>
                <w:sz w:val="22"/>
                <w:lang w:val="en-US"/>
              </w:rPr>
            </w:pPr>
            <w:r w:rsidRPr="006A31EC">
              <w:rPr>
                <w:rFonts w:eastAsia="SimSun"/>
                <w:sz w:val="22"/>
                <w:lang w:val="en-US"/>
              </w:rPr>
              <w:t>CSA</w:t>
            </w:r>
          </w:p>
        </w:tc>
        <w:tc>
          <w:tcPr>
            <w:tcW w:w="261" w:type="pct"/>
            <w:shd w:val="clear" w:color="auto" w:fill="D9D9D9"/>
            <w:vAlign w:val="center"/>
          </w:tcPr>
          <w:p w14:paraId="59101905" w14:textId="77777777" w:rsidR="0089207C" w:rsidRPr="006A31EC" w:rsidRDefault="0089207C" w:rsidP="002D3EBF">
            <w:pPr>
              <w:rPr>
                <w:rFonts w:eastAsia="SimSun"/>
                <w:sz w:val="22"/>
                <w:lang w:val="en-US"/>
              </w:rPr>
            </w:pPr>
            <w:r w:rsidRPr="006A31EC">
              <w:rPr>
                <w:rFonts w:eastAsia="SimSun"/>
                <w:sz w:val="22"/>
                <w:lang w:val="en-US"/>
              </w:rPr>
              <w:t>MTX</w:t>
            </w:r>
          </w:p>
        </w:tc>
        <w:tc>
          <w:tcPr>
            <w:tcW w:w="398" w:type="pct"/>
            <w:shd w:val="clear" w:color="auto" w:fill="D9D9D9"/>
            <w:vAlign w:val="center"/>
          </w:tcPr>
          <w:p w14:paraId="599CA7FC" w14:textId="77777777" w:rsidR="0089207C" w:rsidRPr="006A31EC" w:rsidRDefault="0089207C" w:rsidP="002D3EBF">
            <w:pPr>
              <w:rPr>
                <w:rFonts w:eastAsia="SimSun"/>
                <w:sz w:val="22"/>
                <w:lang w:val="en-US"/>
              </w:rPr>
            </w:pPr>
            <w:r w:rsidRPr="006A31EC">
              <w:rPr>
                <w:rFonts w:eastAsia="SimSun"/>
                <w:sz w:val="22"/>
                <w:lang w:val="en-US"/>
              </w:rPr>
              <w:t>MMF30</w:t>
            </w:r>
          </w:p>
        </w:tc>
        <w:tc>
          <w:tcPr>
            <w:tcW w:w="337" w:type="pct"/>
            <w:shd w:val="clear" w:color="auto" w:fill="auto"/>
            <w:vAlign w:val="center"/>
          </w:tcPr>
          <w:p w14:paraId="69E56036" w14:textId="77777777" w:rsidR="0089207C" w:rsidRPr="006A31EC" w:rsidRDefault="0089207C" w:rsidP="002D3EBF">
            <w:pPr>
              <w:rPr>
                <w:sz w:val="22"/>
              </w:rPr>
            </w:pPr>
            <w:r w:rsidRPr="006A31EC">
              <w:rPr>
                <w:rFonts w:eastAsia="SimSun"/>
                <w:sz w:val="22"/>
                <w:lang w:val="en-US"/>
              </w:rPr>
              <w:t>-</w:t>
            </w:r>
          </w:p>
        </w:tc>
        <w:tc>
          <w:tcPr>
            <w:tcW w:w="312" w:type="pct"/>
          </w:tcPr>
          <w:p w14:paraId="1FA8E683" w14:textId="77777777" w:rsidR="0089207C" w:rsidRPr="006A31EC" w:rsidRDefault="0089207C" w:rsidP="002D3EBF">
            <w:pPr>
              <w:rPr>
                <w:rFonts w:eastAsia="SimSun"/>
                <w:sz w:val="22"/>
                <w:lang w:val="en-US"/>
              </w:rPr>
            </w:pPr>
          </w:p>
        </w:tc>
        <w:tc>
          <w:tcPr>
            <w:tcW w:w="337" w:type="pct"/>
            <w:shd w:val="clear" w:color="auto" w:fill="auto"/>
            <w:vAlign w:val="center"/>
          </w:tcPr>
          <w:p w14:paraId="2DA002D6" w14:textId="77777777" w:rsidR="0089207C" w:rsidRPr="006A31EC" w:rsidRDefault="0089207C" w:rsidP="002D3EBF">
            <w:pPr>
              <w:rPr>
                <w:sz w:val="22"/>
              </w:rPr>
            </w:pPr>
            <w:r w:rsidRPr="006A31EC">
              <w:rPr>
                <w:rFonts w:eastAsia="SimSun"/>
                <w:sz w:val="22"/>
                <w:lang w:val="en-US"/>
              </w:rPr>
              <w:t>-</w:t>
            </w:r>
          </w:p>
        </w:tc>
        <w:tc>
          <w:tcPr>
            <w:tcW w:w="295" w:type="pct"/>
            <w:shd w:val="clear" w:color="auto" w:fill="auto"/>
            <w:vAlign w:val="center"/>
          </w:tcPr>
          <w:p w14:paraId="6E999E03" w14:textId="77777777" w:rsidR="0089207C" w:rsidRPr="006A31EC" w:rsidRDefault="0089207C" w:rsidP="002D3EBF">
            <w:pPr>
              <w:rPr>
                <w:sz w:val="22"/>
              </w:rPr>
            </w:pPr>
            <w:r w:rsidRPr="006A31EC">
              <w:rPr>
                <w:rFonts w:eastAsia="SimSun"/>
                <w:sz w:val="22"/>
                <w:lang w:val="en-US"/>
              </w:rPr>
              <w:t>-</w:t>
            </w:r>
          </w:p>
        </w:tc>
        <w:tc>
          <w:tcPr>
            <w:tcW w:w="295" w:type="pct"/>
            <w:shd w:val="clear" w:color="auto" w:fill="auto"/>
            <w:vAlign w:val="center"/>
          </w:tcPr>
          <w:p w14:paraId="164FC3DE" w14:textId="77777777" w:rsidR="0089207C" w:rsidRPr="006A31EC" w:rsidRDefault="0089207C" w:rsidP="002D3EBF">
            <w:pPr>
              <w:rPr>
                <w:rFonts w:eastAsia="SimSun"/>
                <w:sz w:val="22"/>
                <w:lang w:val="en-US"/>
              </w:rPr>
            </w:pPr>
            <w:r w:rsidRPr="006A31EC">
              <w:rPr>
                <w:rFonts w:eastAsia="SimSun"/>
                <w:sz w:val="22"/>
                <w:lang w:val="en-US"/>
              </w:rPr>
              <w:t>5.1.2.2</w:t>
            </w:r>
          </w:p>
        </w:tc>
        <w:tc>
          <w:tcPr>
            <w:tcW w:w="337" w:type="pct"/>
            <w:shd w:val="clear" w:color="auto" w:fill="auto"/>
            <w:vAlign w:val="center"/>
          </w:tcPr>
          <w:p w14:paraId="0D19C8FC" w14:textId="77777777" w:rsidR="0089207C" w:rsidRPr="006A31EC" w:rsidRDefault="0089207C" w:rsidP="002D3EBF">
            <w:pPr>
              <w:rPr>
                <w:sz w:val="22"/>
              </w:rPr>
            </w:pPr>
            <w:r w:rsidRPr="006A31EC">
              <w:rPr>
                <w:rFonts w:eastAsia="SimSun"/>
                <w:sz w:val="22"/>
                <w:lang w:val="en-US"/>
              </w:rPr>
              <w:t>-</w:t>
            </w:r>
          </w:p>
        </w:tc>
        <w:tc>
          <w:tcPr>
            <w:tcW w:w="337" w:type="pct"/>
            <w:shd w:val="clear" w:color="auto" w:fill="auto"/>
            <w:vAlign w:val="center"/>
          </w:tcPr>
          <w:p w14:paraId="31401AE7" w14:textId="77777777" w:rsidR="0089207C" w:rsidRPr="006A31EC" w:rsidRDefault="0089207C" w:rsidP="002D3EBF">
            <w:pPr>
              <w:rPr>
                <w:rFonts w:eastAsia="SimSun"/>
                <w:sz w:val="22"/>
              </w:rPr>
            </w:pPr>
            <w:r w:rsidRPr="006A31EC">
              <w:rPr>
                <w:rFonts w:eastAsia="SimSun"/>
                <w:sz w:val="22"/>
                <w:lang w:val="en-US"/>
              </w:rPr>
              <w:t>-</w:t>
            </w:r>
          </w:p>
        </w:tc>
        <w:tc>
          <w:tcPr>
            <w:tcW w:w="401" w:type="pct"/>
            <w:shd w:val="clear" w:color="auto" w:fill="auto"/>
            <w:vAlign w:val="center"/>
          </w:tcPr>
          <w:p w14:paraId="0354E1F8" w14:textId="77777777" w:rsidR="0089207C" w:rsidRPr="006A31EC" w:rsidRDefault="0089207C" w:rsidP="002D3EBF">
            <w:pPr>
              <w:rPr>
                <w:rFonts w:eastAsia="SimSun"/>
                <w:sz w:val="22"/>
                <w:lang w:val="en-US"/>
              </w:rPr>
            </w:pPr>
            <w:r w:rsidRPr="006A31EC">
              <w:rPr>
                <w:rFonts w:eastAsia="SimSun"/>
                <w:sz w:val="22"/>
                <w:lang w:val="en-US"/>
              </w:rPr>
              <w:t>5.1.2.6</w:t>
            </w:r>
          </w:p>
        </w:tc>
        <w:tc>
          <w:tcPr>
            <w:tcW w:w="442" w:type="pct"/>
            <w:shd w:val="clear" w:color="auto" w:fill="auto"/>
            <w:vAlign w:val="center"/>
          </w:tcPr>
          <w:p w14:paraId="6A6D9699" w14:textId="77777777" w:rsidR="0089207C" w:rsidRPr="006A31EC" w:rsidRDefault="0089207C" w:rsidP="002D3EBF">
            <w:pPr>
              <w:rPr>
                <w:sz w:val="22"/>
              </w:rPr>
            </w:pPr>
            <w:r w:rsidRPr="006A31EC">
              <w:rPr>
                <w:rFonts w:eastAsia="SimSun"/>
                <w:sz w:val="22"/>
                <w:lang w:val="en-US"/>
              </w:rPr>
              <w:t>-</w:t>
            </w:r>
          </w:p>
        </w:tc>
        <w:tc>
          <w:tcPr>
            <w:tcW w:w="337" w:type="pct"/>
            <w:shd w:val="clear" w:color="auto" w:fill="auto"/>
            <w:vAlign w:val="center"/>
          </w:tcPr>
          <w:p w14:paraId="09374B92" w14:textId="77777777" w:rsidR="0089207C" w:rsidRPr="006A31EC" w:rsidRDefault="0089207C" w:rsidP="002D3EBF">
            <w:pPr>
              <w:rPr>
                <w:sz w:val="22"/>
              </w:rPr>
            </w:pPr>
            <w:r w:rsidRPr="006A31EC">
              <w:rPr>
                <w:rFonts w:eastAsia="SimSun"/>
                <w:sz w:val="22"/>
                <w:lang w:val="en-US"/>
              </w:rPr>
              <w:t>-</w:t>
            </w:r>
          </w:p>
        </w:tc>
        <w:tc>
          <w:tcPr>
            <w:tcW w:w="337" w:type="pct"/>
          </w:tcPr>
          <w:p w14:paraId="295ADE4E" w14:textId="77777777" w:rsidR="0089207C" w:rsidRPr="006A31EC" w:rsidRDefault="0089207C" w:rsidP="002D3EBF">
            <w:pPr>
              <w:rPr>
                <w:rFonts w:eastAsia="SimSun"/>
                <w:sz w:val="22"/>
                <w:lang w:val="en-US"/>
              </w:rPr>
            </w:pPr>
          </w:p>
        </w:tc>
      </w:tr>
      <w:tr w:rsidR="0089207C" w:rsidRPr="006A31EC" w14:paraId="41B04134" w14:textId="77777777" w:rsidTr="002D3EBF">
        <w:trPr>
          <w:cantSplit/>
          <w:trHeight w:val="624"/>
        </w:trPr>
        <w:tc>
          <w:tcPr>
            <w:tcW w:w="293" w:type="pct"/>
            <w:vMerge/>
            <w:shd w:val="clear" w:color="auto" w:fill="D9D9D9"/>
            <w:vAlign w:val="center"/>
          </w:tcPr>
          <w:p w14:paraId="4764A3C5" w14:textId="77777777" w:rsidR="0089207C" w:rsidRPr="006A31EC" w:rsidRDefault="0089207C" w:rsidP="002D3EBF">
            <w:pPr>
              <w:rPr>
                <w:rFonts w:eastAsia="SimSun"/>
                <w:sz w:val="22"/>
                <w:lang w:val="en-US"/>
              </w:rPr>
            </w:pPr>
          </w:p>
        </w:tc>
        <w:tc>
          <w:tcPr>
            <w:tcW w:w="284" w:type="pct"/>
            <w:shd w:val="clear" w:color="auto" w:fill="D9D9D9"/>
            <w:vAlign w:val="center"/>
          </w:tcPr>
          <w:p w14:paraId="7AEB9A60" w14:textId="77777777" w:rsidR="0089207C" w:rsidRPr="006A31EC" w:rsidRDefault="0089207C" w:rsidP="002D3EBF">
            <w:pPr>
              <w:rPr>
                <w:rFonts w:eastAsia="SimSun"/>
                <w:sz w:val="22"/>
                <w:lang w:val="en-US"/>
              </w:rPr>
            </w:pPr>
            <w:r w:rsidRPr="006A31EC">
              <w:rPr>
                <w:rFonts w:eastAsia="SimSun"/>
                <w:sz w:val="22"/>
                <w:lang w:val="en-US"/>
              </w:rPr>
              <w:t>Tx</w:t>
            </w:r>
          </w:p>
        </w:tc>
        <w:tc>
          <w:tcPr>
            <w:tcW w:w="261" w:type="pct"/>
            <w:shd w:val="clear" w:color="auto" w:fill="D9D9D9"/>
            <w:vAlign w:val="center"/>
          </w:tcPr>
          <w:p w14:paraId="3B8E3E99" w14:textId="77777777" w:rsidR="0089207C" w:rsidRPr="006A31EC" w:rsidRDefault="0089207C" w:rsidP="002D3EBF">
            <w:pPr>
              <w:rPr>
                <w:rFonts w:eastAsia="SimSun"/>
                <w:sz w:val="22"/>
                <w:lang w:val="en-US"/>
              </w:rPr>
            </w:pPr>
            <w:r w:rsidRPr="006A31EC">
              <w:rPr>
                <w:rFonts w:eastAsia="SimSun"/>
                <w:sz w:val="22"/>
                <w:lang w:val="en-US"/>
              </w:rPr>
              <w:t>-</w:t>
            </w:r>
          </w:p>
        </w:tc>
        <w:tc>
          <w:tcPr>
            <w:tcW w:w="398" w:type="pct"/>
            <w:shd w:val="clear" w:color="auto" w:fill="D9D9D9"/>
            <w:vAlign w:val="center"/>
          </w:tcPr>
          <w:p w14:paraId="5B0458CF" w14:textId="77777777" w:rsidR="0089207C" w:rsidRPr="006A31EC" w:rsidRDefault="0089207C" w:rsidP="002D3EBF">
            <w:pPr>
              <w:rPr>
                <w:rFonts w:eastAsia="SimSun"/>
                <w:sz w:val="22"/>
              </w:rPr>
            </w:pPr>
            <w:r w:rsidRPr="006A31EC">
              <w:rPr>
                <w:rFonts w:eastAsia="SimSun"/>
                <w:sz w:val="22"/>
                <w:lang w:val="en-US"/>
              </w:rPr>
              <w:t>MMF30</w:t>
            </w:r>
          </w:p>
        </w:tc>
        <w:tc>
          <w:tcPr>
            <w:tcW w:w="337" w:type="pct"/>
            <w:shd w:val="clear" w:color="auto" w:fill="auto"/>
            <w:vAlign w:val="center"/>
          </w:tcPr>
          <w:p w14:paraId="50CFE63F" w14:textId="77777777" w:rsidR="0089207C" w:rsidRPr="006A31EC" w:rsidRDefault="0089207C" w:rsidP="002D3EBF">
            <w:pPr>
              <w:rPr>
                <w:sz w:val="22"/>
              </w:rPr>
            </w:pPr>
            <w:r w:rsidRPr="006A31EC">
              <w:rPr>
                <w:rFonts w:eastAsia="SimSun"/>
                <w:sz w:val="22"/>
                <w:lang w:val="en-US"/>
              </w:rPr>
              <w:t>-</w:t>
            </w:r>
          </w:p>
        </w:tc>
        <w:tc>
          <w:tcPr>
            <w:tcW w:w="312" w:type="pct"/>
          </w:tcPr>
          <w:p w14:paraId="52C0F20D" w14:textId="77777777" w:rsidR="0089207C" w:rsidRPr="006A31EC" w:rsidRDefault="0089207C" w:rsidP="002D3EBF">
            <w:pPr>
              <w:rPr>
                <w:rFonts w:eastAsia="SimSun"/>
                <w:sz w:val="22"/>
                <w:lang w:val="en-US"/>
              </w:rPr>
            </w:pPr>
          </w:p>
        </w:tc>
        <w:tc>
          <w:tcPr>
            <w:tcW w:w="337" w:type="pct"/>
            <w:shd w:val="clear" w:color="auto" w:fill="auto"/>
            <w:vAlign w:val="center"/>
          </w:tcPr>
          <w:p w14:paraId="4F12BD88" w14:textId="77777777" w:rsidR="0089207C" w:rsidRPr="006A31EC" w:rsidRDefault="0089207C" w:rsidP="002D3EBF">
            <w:pPr>
              <w:rPr>
                <w:sz w:val="22"/>
              </w:rPr>
            </w:pPr>
            <w:r w:rsidRPr="006A31EC">
              <w:rPr>
                <w:rFonts w:eastAsia="SimSun"/>
                <w:sz w:val="22"/>
                <w:lang w:val="en-US"/>
              </w:rPr>
              <w:t>-</w:t>
            </w:r>
          </w:p>
        </w:tc>
        <w:tc>
          <w:tcPr>
            <w:tcW w:w="295" w:type="pct"/>
            <w:shd w:val="clear" w:color="auto" w:fill="auto"/>
            <w:vAlign w:val="center"/>
          </w:tcPr>
          <w:p w14:paraId="1CFDD7F6" w14:textId="77777777" w:rsidR="0089207C" w:rsidRPr="006A31EC" w:rsidRDefault="0089207C" w:rsidP="002D3EBF">
            <w:pPr>
              <w:rPr>
                <w:sz w:val="22"/>
              </w:rPr>
            </w:pPr>
            <w:r w:rsidRPr="006A31EC">
              <w:rPr>
                <w:rFonts w:eastAsia="SimSun"/>
                <w:sz w:val="22"/>
                <w:lang w:val="en-US"/>
              </w:rPr>
              <w:t>-</w:t>
            </w:r>
          </w:p>
        </w:tc>
        <w:tc>
          <w:tcPr>
            <w:tcW w:w="295" w:type="pct"/>
            <w:shd w:val="clear" w:color="auto" w:fill="auto"/>
            <w:vAlign w:val="center"/>
          </w:tcPr>
          <w:p w14:paraId="5152ABC4" w14:textId="77777777" w:rsidR="0089207C" w:rsidRPr="006A31EC" w:rsidRDefault="0089207C" w:rsidP="002D3EBF">
            <w:pPr>
              <w:rPr>
                <w:sz w:val="22"/>
              </w:rPr>
            </w:pPr>
            <w:r w:rsidRPr="006A31EC">
              <w:rPr>
                <w:rFonts w:eastAsia="SimSun"/>
                <w:sz w:val="22"/>
                <w:lang w:val="en-US"/>
              </w:rPr>
              <w:t>-</w:t>
            </w:r>
          </w:p>
        </w:tc>
        <w:tc>
          <w:tcPr>
            <w:tcW w:w="337" w:type="pct"/>
            <w:shd w:val="clear" w:color="auto" w:fill="auto"/>
            <w:vAlign w:val="center"/>
          </w:tcPr>
          <w:p w14:paraId="6B946F45" w14:textId="77777777" w:rsidR="0089207C" w:rsidRPr="006A31EC" w:rsidRDefault="0089207C" w:rsidP="002D3EBF">
            <w:pPr>
              <w:rPr>
                <w:sz w:val="22"/>
              </w:rPr>
            </w:pPr>
            <w:r w:rsidRPr="006A31EC">
              <w:rPr>
                <w:rFonts w:eastAsia="SimSun"/>
                <w:sz w:val="22"/>
                <w:lang w:val="en-US"/>
              </w:rPr>
              <w:t>-</w:t>
            </w:r>
          </w:p>
        </w:tc>
        <w:tc>
          <w:tcPr>
            <w:tcW w:w="337" w:type="pct"/>
            <w:shd w:val="clear" w:color="auto" w:fill="auto"/>
            <w:vAlign w:val="center"/>
          </w:tcPr>
          <w:p w14:paraId="387D8794" w14:textId="77777777" w:rsidR="0089207C" w:rsidRPr="006A31EC" w:rsidRDefault="0089207C" w:rsidP="002D3EBF">
            <w:pPr>
              <w:rPr>
                <w:sz w:val="22"/>
              </w:rPr>
            </w:pPr>
            <w:r w:rsidRPr="006A31EC">
              <w:rPr>
                <w:rFonts w:eastAsia="SimSun"/>
                <w:sz w:val="22"/>
                <w:lang w:val="en-US"/>
              </w:rPr>
              <w:t>-</w:t>
            </w:r>
          </w:p>
        </w:tc>
        <w:tc>
          <w:tcPr>
            <w:tcW w:w="401" w:type="pct"/>
            <w:shd w:val="clear" w:color="auto" w:fill="auto"/>
            <w:vAlign w:val="center"/>
          </w:tcPr>
          <w:p w14:paraId="42C7069E" w14:textId="77777777" w:rsidR="0089207C" w:rsidRPr="006A31EC" w:rsidRDefault="0089207C" w:rsidP="002D3EBF">
            <w:pPr>
              <w:rPr>
                <w:sz w:val="22"/>
              </w:rPr>
            </w:pPr>
            <w:r w:rsidRPr="006A31EC">
              <w:rPr>
                <w:rFonts w:eastAsia="SimSun"/>
                <w:sz w:val="22"/>
                <w:lang w:val="en-US"/>
              </w:rPr>
              <w:t>-</w:t>
            </w:r>
          </w:p>
        </w:tc>
        <w:tc>
          <w:tcPr>
            <w:tcW w:w="442" w:type="pct"/>
            <w:shd w:val="clear" w:color="auto" w:fill="auto"/>
            <w:vAlign w:val="center"/>
          </w:tcPr>
          <w:p w14:paraId="6855AAAC" w14:textId="77777777" w:rsidR="0089207C" w:rsidRPr="006A31EC" w:rsidRDefault="0089207C" w:rsidP="002D3EBF">
            <w:pPr>
              <w:rPr>
                <w:sz w:val="22"/>
              </w:rPr>
            </w:pPr>
            <w:r w:rsidRPr="006A31EC">
              <w:rPr>
                <w:rFonts w:eastAsia="SimSun"/>
                <w:sz w:val="22"/>
                <w:lang w:val="en-US"/>
              </w:rPr>
              <w:t>-</w:t>
            </w:r>
          </w:p>
        </w:tc>
        <w:tc>
          <w:tcPr>
            <w:tcW w:w="337" w:type="pct"/>
            <w:shd w:val="clear" w:color="auto" w:fill="auto"/>
            <w:vAlign w:val="center"/>
          </w:tcPr>
          <w:p w14:paraId="39816911" w14:textId="77777777" w:rsidR="0089207C" w:rsidRPr="006A31EC" w:rsidRDefault="0089207C" w:rsidP="002D3EBF">
            <w:pPr>
              <w:rPr>
                <w:rFonts w:eastAsia="SimSun"/>
                <w:sz w:val="22"/>
              </w:rPr>
            </w:pPr>
            <w:r w:rsidRPr="006A31EC">
              <w:rPr>
                <w:rFonts w:eastAsia="SimSun"/>
                <w:sz w:val="22"/>
                <w:lang w:val="en-US"/>
              </w:rPr>
              <w:t>5.1.2.2</w:t>
            </w:r>
            <w:r w:rsidRPr="006A31EC">
              <w:rPr>
                <w:rFonts w:eastAsia="SimSun"/>
                <w:sz w:val="22"/>
              </w:rPr>
              <w:t>3</w:t>
            </w:r>
          </w:p>
        </w:tc>
        <w:tc>
          <w:tcPr>
            <w:tcW w:w="337" w:type="pct"/>
          </w:tcPr>
          <w:p w14:paraId="34A89030" w14:textId="77777777" w:rsidR="0089207C" w:rsidRPr="006A31EC" w:rsidRDefault="0089207C" w:rsidP="002D3EBF">
            <w:pPr>
              <w:rPr>
                <w:rFonts w:eastAsia="SimSun"/>
                <w:sz w:val="22"/>
                <w:lang w:val="en-US"/>
              </w:rPr>
            </w:pPr>
          </w:p>
        </w:tc>
      </w:tr>
      <w:tr w:rsidR="0089207C" w:rsidRPr="006A31EC" w14:paraId="292AFC1B" w14:textId="77777777" w:rsidTr="002D3EBF">
        <w:trPr>
          <w:cantSplit/>
          <w:trHeight w:val="624"/>
        </w:trPr>
        <w:tc>
          <w:tcPr>
            <w:tcW w:w="293" w:type="pct"/>
            <w:vMerge w:val="restart"/>
            <w:shd w:val="clear" w:color="auto" w:fill="D9D9D9"/>
            <w:vAlign w:val="center"/>
          </w:tcPr>
          <w:p w14:paraId="21C23179" w14:textId="77777777" w:rsidR="0089207C" w:rsidRPr="006A31EC" w:rsidRDefault="0089207C" w:rsidP="002D3EBF">
            <w:pPr>
              <w:rPr>
                <w:rFonts w:eastAsia="SimSun"/>
                <w:sz w:val="22"/>
                <w:lang w:val="en-US"/>
              </w:rPr>
            </w:pPr>
            <w:r w:rsidRPr="006A31EC">
              <w:rPr>
                <w:rFonts w:eastAsia="SimSun"/>
                <w:sz w:val="22"/>
                <w:lang w:val="en-US"/>
              </w:rPr>
              <w:t>PT-Cy</w:t>
            </w:r>
          </w:p>
          <w:p w14:paraId="31F0B0AC" w14:textId="77777777" w:rsidR="0089207C" w:rsidRPr="006A31EC" w:rsidRDefault="0089207C" w:rsidP="002D3EBF">
            <w:pPr>
              <w:rPr>
                <w:rFonts w:eastAsia="SimSun"/>
                <w:sz w:val="22"/>
                <w:lang w:val="en-US"/>
              </w:rPr>
            </w:pPr>
          </w:p>
        </w:tc>
        <w:tc>
          <w:tcPr>
            <w:tcW w:w="284" w:type="pct"/>
            <w:shd w:val="clear" w:color="auto" w:fill="D9D9D9"/>
            <w:vAlign w:val="center"/>
          </w:tcPr>
          <w:p w14:paraId="79B6756C" w14:textId="77777777" w:rsidR="0089207C" w:rsidRPr="006A31EC" w:rsidRDefault="0089207C" w:rsidP="002D3EBF">
            <w:pPr>
              <w:rPr>
                <w:rFonts w:eastAsia="SimSun"/>
                <w:sz w:val="22"/>
                <w:lang w:val="en-US"/>
              </w:rPr>
            </w:pPr>
            <w:r w:rsidRPr="006A31EC">
              <w:rPr>
                <w:rFonts w:eastAsia="SimSun"/>
                <w:sz w:val="22"/>
                <w:lang w:val="en-US"/>
              </w:rPr>
              <w:t>-</w:t>
            </w:r>
          </w:p>
        </w:tc>
        <w:tc>
          <w:tcPr>
            <w:tcW w:w="261" w:type="pct"/>
            <w:shd w:val="clear" w:color="auto" w:fill="D9D9D9"/>
            <w:vAlign w:val="center"/>
          </w:tcPr>
          <w:p w14:paraId="67C3A040" w14:textId="77777777" w:rsidR="0089207C" w:rsidRPr="006A31EC" w:rsidRDefault="0089207C" w:rsidP="002D3EBF">
            <w:pPr>
              <w:rPr>
                <w:rFonts w:eastAsia="SimSun"/>
                <w:sz w:val="22"/>
                <w:lang w:val="en-US"/>
              </w:rPr>
            </w:pPr>
            <w:r w:rsidRPr="006A31EC">
              <w:rPr>
                <w:rFonts w:eastAsia="SimSun"/>
                <w:sz w:val="22"/>
                <w:lang w:val="en-US"/>
              </w:rPr>
              <w:t>-</w:t>
            </w:r>
          </w:p>
        </w:tc>
        <w:tc>
          <w:tcPr>
            <w:tcW w:w="398" w:type="pct"/>
            <w:shd w:val="clear" w:color="auto" w:fill="D9D9D9"/>
            <w:vAlign w:val="center"/>
          </w:tcPr>
          <w:p w14:paraId="56E7A65E" w14:textId="77777777" w:rsidR="0089207C" w:rsidRPr="006A31EC" w:rsidRDefault="0089207C" w:rsidP="002D3EBF">
            <w:pPr>
              <w:rPr>
                <w:rFonts w:eastAsia="SimSun"/>
                <w:sz w:val="22"/>
                <w:lang w:val="en-US"/>
              </w:rPr>
            </w:pPr>
            <w:r w:rsidRPr="006A31EC">
              <w:rPr>
                <w:rFonts w:eastAsia="SimSun"/>
                <w:sz w:val="22"/>
                <w:lang w:val="en-US"/>
              </w:rPr>
              <w:t>-</w:t>
            </w:r>
          </w:p>
        </w:tc>
        <w:tc>
          <w:tcPr>
            <w:tcW w:w="337" w:type="pct"/>
            <w:shd w:val="clear" w:color="auto" w:fill="auto"/>
            <w:vAlign w:val="center"/>
          </w:tcPr>
          <w:p w14:paraId="0FE64C4D" w14:textId="77777777" w:rsidR="0089207C" w:rsidRPr="006A31EC" w:rsidRDefault="0089207C" w:rsidP="002D3EBF">
            <w:pPr>
              <w:rPr>
                <w:rFonts w:eastAsia="SimSun"/>
                <w:sz w:val="22"/>
                <w:lang w:val="en-US"/>
              </w:rPr>
            </w:pPr>
            <w:r w:rsidRPr="006A31EC">
              <w:rPr>
                <w:rFonts w:eastAsia="SimSun"/>
                <w:sz w:val="22"/>
                <w:lang w:val="en-US"/>
              </w:rPr>
              <w:t>5.1.2.17</w:t>
            </w:r>
          </w:p>
        </w:tc>
        <w:tc>
          <w:tcPr>
            <w:tcW w:w="312" w:type="pct"/>
          </w:tcPr>
          <w:p w14:paraId="1109EBE2" w14:textId="77777777" w:rsidR="0089207C" w:rsidRPr="006A31EC" w:rsidRDefault="0089207C" w:rsidP="002D3EBF">
            <w:pPr>
              <w:rPr>
                <w:rFonts w:eastAsia="SimSun"/>
                <w:sz w:val="22"/>
                <w:lang w:val="en-US"/>
              </w:rPr>
            </w:pPr>
          </w:p>
        </w:tc>
        <w:tc>
          <w:tcPr>
            <w:tcW w:w="337" w:type="pct"/>
            <w:shd w:val="clear" w:color="auto" w:fill="auto"/>
            <w:vAlign w:val="center"/>
          </w:tcPr>
          <w:p w14:paraId="44AB02A3" w14:textId="77777777" w:rsidR="0089207C" w:rsidRPr="006A31EC" w:rsidRDefault="0089207C" w:rsidP="002D3EBF">
            <w:pPr>
              <w:rPr>
                <w:sz w:val="22"/>
              </w:rPr>
            </w:pPr>
            <w:r w:rsidRPr="006A31EC">
              <w:rPr>
                <w:rFonts w:eastAsia="SimSun"/>
                <w:sz w:val="22"/>
                <w:lang w:val="en-US"/>
              </w:rPr>
              <w:t>-</w:t>
            </w:r>
          </w:p>
        </w:tc>
        <w:tc>
          <w:tcPr>
            <w:tcW w:w="295" w:type="pct"/>
            <w:shd w:val="clear" w:color="auto" w:fill="auto"/>
            <w:vAlign w:val="center"/>
          </w:tcPr>
          <w:p w14:paraId="6F90F044" w14:textId="77777777" w:rsidR="0089207C" w:rsidRPr="006A31EC" w:rsidRDefault="0089207C" w:rsidP="002D3EBF">
            <w:pPr>
              <w:rPr>
                <w:sz w:val="22"/>
              </w:rPr>
            </w:pPr>
            <w:r w:rsidRPr="006A31EC">
              <w:rPr>
                <w:rFonts w:eastAsia="SimSun"/>
                <w:sz w:val="22"/>
                <w:lang w:val="en-US"/>
              </w:rPr>
              <w:t>-</w:t>
            </w:r>
          </w:p>
        </w:tc>
        <w:tc>
          <w:tcPr>
            <w:tcW w:w="295" w:type="pct"/>
            <w:shd w:val="clear" w:color="auto" w:fill="auto"/>
            <w:vAlign w:val="center"/>
          </w:tcPr>
          <w:p w14:paraId="265E64BB" w14:textId="77777777" w:rsidR="0089207C" w:rsidRPr="006A31EC" w:rsidRDefault="0089207C" w:rsidP="002D3EBF">
            <w:pPr>
              <w:rPr>
                <w:sz w:val="22"/>
              </w:rPr>
            </w:pPr>
            <w:r w:rsidRPr="006A31EC">
              <w:rPr>
                <w:rFonts w:eastAsia="SimSun"/>
                <w:sz w:val="22"/>
                <w:lang w:val="en-US"/>
              </w:rPr>
              <w:t>-</w:t>
            </w:r>
          </w:p>
        </w:tc>
        <w:tc>
          <w:tcPr>
            <w:tcW w:w="337" w:type="pct"/>
            <w:shd w:val="clear" w:color="auto" w:fill="auto"/>
            <w:vAlign w:val="center"/>
          </w:tcPr>
          <w:p w14:paraId="0E4B0F83" w14:textId="77777777" w:rsidR="0089207C" w:rsidRPr="006A31EC" w:rsidRDefault="0089207C" w:rsidP="002D3EBF">
            <w:pPr>
              <w:rPr>
                <w:sz w:val="22"/>
              </w:rPr>
            </w:pPr>
            <w:r w:rsidRPr="006A31EC">
              <w:rPr>
                <w:rFonts w:eastAsia="SimSun"/>
                <w:sz w:val="22"/>
                <w:lang w:val="en-US"/>
              </w:rPr>
              <w:t>-</w:t>
            </w:r>
          </w:p>
        </w:tc>
        <w:tc>
          <w:tcPr>
            <w:tcW w:w="337" w:type="pct"/>
            <w:shd w:val="clear" w:color="auto" w:fill="auto"/>
            <w:vAlign w:val="center"/>
          </w:tcPr>
          <w:p w14:paraId="709EC331" w14:textId="77777777" w:rsidR="0089207C" w:rsidRPr="006A31EC" w:rsidRDefault="0089207C" w:rsidP="002D3EBF">
            <w:pPr>
              <w:rPr>
                <w:sz w:val="22"/>
              </w:rPr>
            </w:pPr>
            <w:r w:rsidRPr="006A31EC">
              <w:rPr>
                <w:rFonts w:eastAsia="SimSun"/>
                <w:sz w:val="22"/>
                <w:lang w:val="en-US"/>
              </w:rPr>
              <w:t>-</w:t>
            </w:r>
          </w:p>
        </w:tc>
        <w:tc>
          <w:tcPr>
            <w:tcW w:w="401" w:type="pct"/>
            <w:shd w:val="clear" w:color="auto" w:fill="auto"/>
            <w:vAlign w:val="center"/>
          </w:tcPr>
          <w:p w14:paraId="15B32E42" w14:textId="77777777" w:rsidR="0089207C" w:rsidRPr="006A31EC" w:rsidRDefault="0089207C" w:rsidP="002D3EBF">
            <w:pPr>
              <w:rPr>
                <w:rFonts w:eastAsia="SimSun"/>
                <w:sz w:val="22"/>
                <w:lang w:val="en-US"/>
              </w:rPr>
            </w:pPr>
            <w:r w:rsidRPr="006A31EC">
              <w:rPr>
                <w:rFonts w:eastAsia="SimSun"/>
                <w:sz w:val="22"/>
                <w:lang w:val="en-US"/>
              </w:rPr>
              <w:t>5.1.2.8</w:t>
            </w:r>
          </w:p>
        </w:tc>
        <w:tc>
          <w:tcPr>
            <w:tcW w:w="442" w:type="pct"/>
            <w:shd w:val="clear" w:color="auto" w:fill="auto"/>
            <w:vAlign w:val="center"/>
          </w:tcPr>
          <w:p w14:paraId="16024C68" w14:textId="77777777" w:rsidR="0089207C" w:rsidRPr="006A31EC" w:rsidRDefault="0089207C" w:rsidP="002D3EBF">
            <w:pPr>
              <w:rPr>
                <w:rFonts w:eastAsia="SimSun"/>
                <w:sz w:val="22"/>
                <w:lang w:val="en-US"/>
              </w:rPr>
            </w:pPr>
            <w:r w:rsidRPr="006A31EC">
              <w:rPr>
                <w:rFonts w:eastAsia="SimSun"/>
                <w:sz w:val="22"/>
                <w:lang w:val="en-US"/>
              </w:rPr>
              <w:t>5.1.2.13</w:t>
            </w:r>
          </w:p>
        </w:tc>
        <w:tc>
          <w:tcPr>
            <w:tcW w:w="337" w:type="pct"/>
            <w:shd w:val="clear" w:color="auto" w:fill="auto"/>
            <w:vAlign w:val="center"/>
          </w:tcPr>
          <w:p w14:paraId="7139EE9F" w14:textId="77777777" w:rsidR="0089207C" w:rsidRPr="006A31EC" w:rsidRDefault="0089207C" w:rsidP="002D3EBF">
            <w:pPr>
              <w:rPr>
                <w:sz w:val="22"/>
              </w:rPr>
            </w:pPr>
            <w:r w:rsidRPr="006A31EC">
              <w:rPr>
                <w:rFonts w:eastAsia="SimSun"/>
                <w:sz w:val="22"/>
                <w:lang w:val="en-US"/>
              </w:rPr>
              <w:t>-</w:t>
            </w:r>
          </w:p>
        </w:tc>
        <w:tc>
          <w:tcPr>
            <w:tcW w:w="337" w:type="pct"/>
          </w:tcPr>
          <w:p w14:paraId="5684367B" w14:textId="77777777" w:rsidR="0089207C" w:rsidRPr="006A31EC" w:rsidRDefault="0089207C" w:rsidP="002D3EBF">
            <w:pPr>
              <w:rPr>
                <w:rFonts w:eastAsia="SimSun"/>
                <w:sz w:val="22"/>
                <w:lang w:val="en-US"/>
              </w:rPr>
            </w:pPr>
          </w:p>
        </w:tc>
      </w:tr>
      <w:tr w:rsidR="0089207C" w:rsidRPr="006A31EC" w14:paraId="729A714C" w14:textId="77777777" w:rsidTr="002D3EBF">
        <w:trPr>
          <w:cantSplit/>
          <w:trHeight w:val="624"/>
        </w:trPr>
        <w:tc>
          <w:tcPr>
            <w:tcW w:w="293" w:type="pct"/>
            <w:vMerge/>
            <w:shd w:val="clear" w:color="auto" w:fill="D9D9D9"/>
            <w:vAlign w:val="center"/>
          </w:tcPr>
          <w:p w14:paraId="71164F1A" w14:textId="77777777" w:rsidR="0089207C" w:rsidRPr="006A31EC" w:rsidRDefault="0089207C" w:rsidP="002D3EBF">
            <w:pPr>
              <w:rPr>
                <w:rFonts w:eastAsia="SimSun"/>
                <w:sz w:val="22"/>
                <w:lang w:val="en-US"/>
              </w:rPr>
            </w:pPr>
          </w:p>
        </w:tc>
        <w:tc>
          <w:tcPr>
            <w:tcW w:w="284" w:type="pct"/>
            <w:vMerge w:val="restart"/>
            <w:shd w:val="clear" w:color="auto" w:fill="D9D9D9"/>
            <w:vAlign w:val="center"/>
          </w:tcPr>
          <w:p w14:paraId="7FE59A98" w14:textId="77777777" w:rsidR="0089207C" w:rsidRPr="006A31EC" w:rsidRDefault="0089207C" w:rsidP="002D3EBF">
            <w:pPr>
              <w:rPr>
                <w:rFonts w:eastAsia="SimSun"/>
                <w:sz w:val="22"/>
              </w:rPr>
            </w:pPr>
            <w:r w:rsidRPr="006A31EC">
              <w:rPr>
                <w:rFonts w:eastAsia="SimSun"/>
                <w:sz w:val="22"/>
                <w:lang w:val="en-US"/>
              </w:rPr>
              <w:t>CSA</w:t>
            </w:r>
          </w:p>
          <w:p w14:paraId="2668A6B1" w14:textId="77777777" w:rsidR="0089207C" w:rsidRPr="006A31EC" w:rsidRDefault="0089207C" w:rsidP="002D3EBF">
            <w:pPr>
              <w:rPr>
                <w:rFonts w:eastAsia="SimSun"/>
                <w:sz w:val="22"/>
              </w:rPr>
            </w:pPr>
          </w:p>
        </w:tc>
        <w:tc>
          <w:tcPr>
            <w:tcW w:w="261" w:type="pct"/>
            <w:shd w:val="clear" w:color="auto" w:fill="D9D9D9"/>
            <w:vAlign w:val="center"/>
          </w:tcPr>
          <w:p w14:paraId="17CF9651" w14:textId="77777777" w:rsidR="0089207C" w:rsidRPr="006A31EC" w:rsidRDefault="0089207C" w:rsidP="002D3EBF">
            <w:pPr>
              <w:rPr>
                <w:rFonts w:eastAsia="SimSun"/>
                <w:sz w:val="22"/>
                <w:lang w:val="en-US"/>
              </w:rPr>
            </w:pPr>
            <w:r w:rsidRPr="006A31EC">
              <w:rPr>
                <w:rFonts w:eastAsia="SimSun"/>
                <w:sz w:val="22"/>
                <w:lang w:val="en-US"/>
              </w:rPr>
              <w:t>-</w:t>
            </w:r>
          </w:p>
        </w:tc>
        <w:tc>
          <w:tcPr>
            <w:tcW w:w="398" w:type="pct"/>
            <w:shd w:val="clear" w:color="auto" w:fill="D9D9D9"/>
            <w:vAlign w:val="center"/>
          </w:tcPr>
          <w:p w14:paraId="11C655E1" w14:textId="77777777" w:rsidR="0089207C" w:rsidRPr="006A31EC" w:rsidRDefault="0089207C" w:rsidP="002D3EBF">
            <w:pPr>
              <w:rPr>
                <w:rFonts w:eastAsia="SimSun"/>
                <w:sz w:val="22"/>
              </w:rPr>
            </w:pPr>
            <w:r w:rsidRPr="006A31EC">
              <w:rPr>
                <w:rFonts w:eastAsia="SimSun"/>
                <w:sz w:val="22"/>
                <w:lang w:val="en-US"/>
              </w:rPr>
              <w:t>MMF30</w:t>
            </w:r>
          </w:p>
        </w:tc>
        <w:tc>
          <w:tcPr>
            <w:tcW w:w="337" w:type="pct"/>
            <w:shd w:val="clear" w:color="auto" w:fill="auto"/>
            <w:vAlign w:val="center"/>
          </w:tcPr>
          <w:p w14:paraId="00D951EA" w14:textId="77777777" w:rsidR="0089207C" w:rsidRPr="006A31EC" w:rsidRDefault="0089207C" w:rsidP="002D3EBF">
            <w:pPr>
              <w:rPr>
                <w:sz w:val="22"/>
              </w:rPr>
            </w:pPr>
            <w:r w:rsidRPr="006A31EC">
              <w:rPr>
                <w:rFonts w:eastAsia="SimSun"/>
                <w:sz w:val="22"/>
                <w:lang w:val="en-US"/>
              </w:rPr>
              <w:t>-</w:t>
            </w:r>
          </w:p>
        </w:tc>
        <w:tc>
          <w:tcPr>
            <w:tcW w:w="312" w:type="pct"/>
          </w:tcPr>
          <w:p w14:paraId="2C2821D3" w14:textId="77777777" w:rsidR="0089207C" w:rsidRPr="006A31EC" w:rsidRDefault="0089207C" w:rsidP="002D3EBF">
            <w:pPr>
              <w:rPr>
                <w:rFonts w:eastAsia="SimSun"/>
                <w:sz w:val="22"/>
                <w:lang w:val="en-US"/>
              </w:rPr>
            </w:pPr>
          </w:p>
        </w:tc>
        <w:tc>
          <w:tcPr>
            <w:tcW w:w="337" w:type="pct"/>
            <w:shd w:val="clear" w:color="auto" w:fill="auto"/>
            <w:vAlign w:val="center"/>
          </w:tcPr>
          <w:p w14:paraId="1AA66EC0" w14:textId="77777777" w:rsidR="0089207C" w:rsidRPr="006A31EC" w:rsidRDefault="0089207C" w:rsidP="002D3EBF">
            <w:pPr>
              <w:rPr>
                <w:sz w:val="22"/>
              </w:rPr>
            </w:pPr>
            <w:r w:rsidRPr="006A31EC">
              <w:rPr>
                <w:rFonts w:eastAsia="SimSun"/>
                <w:sz w:val="22"/>
                <w:lang w:val="en-US"/>
              </w:rPr>
              <w:t>-</w:t>
            </w:r>
          </w:p>
        </w:tc>
        <w:tc>
          <w:tcPr>
            <w:tcW w:w="295" w:type="pct"/>
            <w:shd w:val="clear" w:color="auto" w:fill="auto"/>
            <w:vAlign w:val="center"/>
          </w:tcPr>
          <w:p w14:paraId="7DF38B95" w14:textId="77777777" w:rsidR="0089207C" w:rsidRPr="006A31EC" w:rsidRDefault="0089207C" w:rsidP="002D3EBF">
            <w:pPr>
              <w:rPr>
                <w:sz w:val="22"/>
              </w:rPr>
            </w:pPr>
            <w:r w:rsidRPr="006A31EC">
              <w:rPr>
                <w:rFonts w:eastAsia="SimSun"/>
                <w:sz w:val="22"/>
                <w:lang w:val="en-US"/>
              </w:rPr>
              <w:t>-</w:t>
            </w:r>
          </w:p>
        </w:tc>
        <w:tc>
          <w:tcPr>
            <w:tcW w:w="295" w:type="pct"/>
            <w:shd w:val="clear" w:color="auto" w:fill="auto"/>
            <w:vAlign w:val="center"/>
          </w:tcPr>
          <w:p w14:paraId="033ED4CC" w14:textId="77777777" w:rsidR="0089207C" w:rsidRPr="006A31EC" w:rsidRDefault="0089207C" w:rsidP="002D3EBF">
            <w:pPr>
              <w:rPr>
                <w:sz w:val="22"/>
              </w:rPr>
            </w:pPr>
            <w:r w:rsidRPr="006A31EC">
              <w:rPr>
                <w:rFonts w:eastAsia="SimSun"/>
                <w:sz w:val="22"/>
                <w:lang w:val="en-US"/>
              </w:rPr>
              <w:t>5.1.2.4</w:t>
            </w:r>
          </w:p>
        </w:tc>
        <w:tc>
          <w:tcPr>
            <w:tcW w:w="337" w:type="pct"/>
            <w:shd w:val="clear" w:color="auto" w:fill="auto"/>
            <w:vAlign w:val="center"/>
          </w:tcPr>
          <w:p w14:paraId="1C764325" w14:textId="77777777" w:rsidR="0089207C" w:rsidRPr="006A31EC" w:rsidRDefault="0089207C" w:rsidP="002D3EBF">
            <w:pPr>
              <w:rPr>
                <w:sz w:val="22"/>
              </w:rPr>
            </w:pPr>
            <w:r w:rsidRPr="006A31EC">
              <w:rPr>
                <w:sz w:val="22"/>
              </w:rPr>
              <w:t>5.1.2.20</w:t>
            </w:r>
          </w:p>
        </w:tc>
        <w:tc>
          <w:tcPr>
            <w:tcW w:w="337" w:type="pct"/>
            <w:shd w:val="clear" w:color="auto" w:fill="auto"/>
            <w:vAlign w:val="center"/>
          </w:tcPr>
          <w:p w14:paraId="7FFA9C49" w14:textId="77777777" w:rsidR="0089207C" w:rsidRPr="006A31EC" w:rsidRDefault="0089207C" w:rsidP="002D3EBF">
            <w:pPr>
              <w:rPr>
                <w:sz w:val="22"/>
              </w:rPr>
            </w:pPr>
            <w:r w:rsidRPr="006A31EC">
              <w:rPr>
                <w:rFonts w:eastAsia="SimSun"/>
                <w:sz w:val="22"/>
                <w:lang w:val="en-US"/>
              </w:rPr>
              <w:t>-</w:t>
            </w:r>
          </w:p>
        </w:tc>
        <w:tc>
          <w:tcPr>
            <w:tcW w:w="401" w:type="pct"/>
            <w:shd w:val="clear" w:color="auto" w:fill="auto"/>
            <w:vAlign w:val="center"/>
          </w:tcPr>
          <w:p w14:paraId="4C4A960E" w14:textId="77777777" w:rsidR="0089207C" w:rsidRPr="006A31EC" w:rsidRDefault="0089207C" w:rsidP="002D3EBF">
            <w:pPr>
              <w:rPr>
                <w:rFonts w:eastAsia="SimSun"/>
                <w:sz w:val="22"/>
                <w:lang w:val="en-US"/>
              </w:rPr>
            </w:pPr>
            <w:r w:rsidRPr="006A31EC">
              <w:rPr>
                <w:rFonts w:eastAsia="SimSun"/>
                <w:sz w:val="22"/>
                <w:lang w:val="en-US"/>
              </w:rPr>
              <w:t>5.1.2.7/11</w:t>
            </w:r>
          </w:p>
        </w:tc>
        <w:tc>
          <w:tcPr>
            <w:tcW w:w="442" w:type="pct"/>
            <w:shd w:val="clear" w:color="auto" w:fill="auto"/>
            <w:vAlign w:val="center"/>
          </w:tcPr>
          <w:p w14:paraId="646B6289" w14:textId="77777777" w:rsidR="0089207C" w:rsidRPr="006A31EC" w:rsidRDefault="0089207C" w:rsidP="002D3EBF">
            <w:pPr>
              <w:rPr>
                <w:sz w:val="22"/>
              </w:rPr>
            </w:pPr>
            <w:r w:rsidRPr="006A31EC">
              <w:rPr>
                <w:rFonts w:eastAsia="SimSun"/>
                <w:sz w:val="22"/>
                <w:lang w:val="en-US"/>
              </w:rPr>
              <w:t>-</w:t>
            </w:r>
          </w:p>
        </w:tc>
        <w:tc>
          <w:tcPr>
            <w:tcW w:w="337" w:type="pct"/>
            <w:shd w:val="clear" w:color="auto" w:fill="auto"/>
            <w:vAlign w:val="center"/>
          </w:tcPr>
          <w:p w14:paraId="06B01E9B" w14:textId="77777777" w:rsidR="0089207C" w:rsidRPr="006A31EC" w:rsidRDefault="0089207C" w:rsidP="002D3EBF">
            <w:pPr>
              <w:rPr>
                <w:sz w:val="22"/>
              </w:rPr>
            </w:pPr>
            <w:r w:rsidRPr="006A31EC">
              <w:rPr>
                <w:rFonts w:eastAsia="SimSun"/>
                <w:sz w:val="22"/>
                <w:lang w:val="en-US"/>
              </w:rPr>
              <w:t>-</w:t>
            </w:r>
          </w:p>
        </w:tc>
        <w:tc>
          <w:tcPr>
            <w:tcW w:w="337" w:type="pct"/>
          </w:tcPr>
          <w:p w14:paraId="2D92C4F3" w14:textId="77777777" w:rsidR="0089207C" w:rsidRPr="006A31EC" w:rsidRDefault="0089207C" w:rsidP="002D3EBF">
            <w:pPr>
              <w:rPr>
                <w:rFonts w:eastAsia="SimSun"/>
                <w:sz w:val="22"/>
                <w:lang w:val="en-US"/>
              </w:rPr>
            </w:pPr>
          </w:p>
        </w:tc>
      </w:tr>
      <w:tr w:rsidR="0089207C" w:rsidRPr="006A31EC" w14:paraId="53497C7A" w14:textId="77777777" w:rsidTr="002D3EBF">
        <w:trPr>
          <w:cantSplit/>
          <w:trHeight w:val="624"/>
        </w:trPr>
        <w:tc>
          <w:tcPr>
            <w:tcW w:w="293" w:type="pct"/>
            <w:vMerge/>
            <w:shd w:val="clear" w:color="auto" w:fill="D9D9D9"/>
            <w:vAlign w:val="center"/>
          </w:tcPr>
          <w:p w14:paraId="29F95457" w14:textId="77777777" w:rsidR="0089207C" w:rsidRPr="006A31EC" w:rsidRDefault="0089207C" w:rsidP="002D3EBF">
            <w:pPr>
              <w:rPr>
                <w:rFonts w:eastAsia="SimSun"/>
                <w:sz w:val="22"/>
                <w:lang w:val="en-US"/>
              </w:rPr>
            </w:pPr>
          </w:p>
        </w:tc>
        <w:tc>
          <w:tcPr>
            <w:tcW w:w="284" w:type="pct"/>
            <w:vMerge/>
            <w:shd w:val="clear" w:color="auto" w:fill="D9D9D9"/>
            <w:vAlign w:val="center"/>
          </w:tcPr>
          <w:p w14:paraId="5D255E74" w14:textId="77777777" w:rsidR="0089207C" w:rsidRPr="006A31EC" w:rsidRDefault="0089207C" w:rsidP="002D3EBF">
            <w:pPr>
              <w:rPr>
                <w:rFonts w:eastAsia="SimSun"/>
                <w:sz w:val="22"/>
                <w:lang w:val="en-US"/>
              </w:rPr>
            </w:pPr>
          </w:p>
        </w:tc>
        <w:tc>
          <w:tcPr>
            <w:tcW w:w="261" w:type="pct"/>
            <w:shd w:val="clear" w:color="auto" w:fill="D9D9D9"/>
            <w:vAlign w:val="center"/>
          </w:tcPr>
          <w:p w14:paraId="7DA5619A" w14:textId="77777777" w:rsidR="0089207C" w:rsidRPr="006A31EC" w:rsidRDefault="0089207C" w:rsidP="002D3EBF">
            <w:pPr>
              <w:rPr>
                <w:rFonts w:eastAsia="SimSun"/>
                <w:sz w:val="22"/>
                <w:lang w:val="en-US"/>
              </w:rPr>
            </w:pPr>
            <w:r w:rsidRPr="006A31EC">
              <w:rPr>
                <w:rFonts w:eastAsia="SimSun"/>
                <w:sz w:val="22"/>
                <w:lang w:val="en-US"/>
              </w:rPr>
              <w:t>-</w:t>
            </w:r>
          </w:p>
        </w:tc>
        <w:tc>
          <w:tcPr>
            <w:tcW w:w="398" w:type="pct"/>
            <w:shd w:val="clear" w:color="auto" w:fill="D9D9D9"/>
            <w:vAlign w:val="center"/>
          </w:tcPr>
          <w:p w14:paraId="4C9E4C80" w14:textId="77777777" w:rsidR="0089207C" w:rsidRPr="006A31EC" w:rsidRDefault="0089207C" w:rsidP="002D3EBF">
            <w:pPr>
              <w:rPr>
                <w:rFonts w:eastAsia="SimSun"/>
                <w:sz w:val="22"/>
                <w:lang w:val="en-US"/>
              </w:rPr>
            </w:pPr>
            <w:r w:rsidRPr="006A31EC">
              <w:rPr>
                <w:rFonts w:eastAsia="SimSun"/>
                <w:sz w:val="22"/>
                <w:lang w:val="en-US"/>
              </w:rPr>
              <w:t>MMF45</w:t>
            </w:r>
          </w:p>
        </w:tc>
        <w:tc>
          <w:tcPr>
            <w:tcW w:w="337" w:type="pct"/>
            <w:shd w:val="clear" w:color="auto" w:fill="auto"/>
            <w:vAlign w:val="center"/>
          </w:tcPr>
          <w:p w14:paraId="6FE9B891" w14:textId="77777777" w:rsidR="0089207C" w:rsidRPr="006A31EC" w:rsidRDefault="0089207C" w:rsidP="002D3EBF">
            <w:pPr>
              <w:rPr>
                <w:rFonts w:eastAsia="SimSun"/>
                <w:sz w:val="22"/>
              </w:rPr>
            </w:pPr>
            <w:r w:rsidRPr="006A31EC">
              <w:rPr>
                <w:rFonts w:eastAsia="SimSun"/>
                <w:sz w:val="22"/>
                <w:lang w:val="en-US"/>
              </w:rPr>
              <w:t>-</w:t>
            </w:r>
          </w:p>
        </w:tc>
        <w:tc>
          <w:tcPr>
            <w:tcW w:w="312" w:type="pct"/>
          </w:tcPr>
          <w:p w14:paraId="745A8C5B" w14:textId="77777777" w:rsidR="0089207C" w:rsidRPr="006A31EC" w:rsidRDefault="0089207C" w:rsidP="002D3EBF">
            <w:pPr>
              <w:rPr>
                <w:rFonts w:eastAsia="SimSun"/>
                <w:sz w:val="22"/>
                <w:lang w:val="en-US"/>
              </w:rPr>
            </w:pPr>
          </w:p>
        </w:tc>
        <w:tc>
          <w:tcPr>
            <w:tcW w:w="337" w:type="pct"/>
            <w:shd w:val="clear" w:color="auto" w:fill="auto"/>
            <w:vAlign w:val="center"/>
          </w:tcPr>
          <w:p w14:paraId="50C77EA9" w14:textId="77777777" w:rsidR="0089207C" w:rsidRPr="006A31EC" w:rsidRDefault="0089207C" w:rsidP="002D3EBF">
            <w:pPr>
              <w:rPr>
                <w:rFonts w:eastAsia="SimSun"/>
                <w:sz w:val="22"/>
              </w:rPr>
            </w:pPr>
            <w:r w:rsidRPr="006A31EC">
              <w:rPr>
                <w:rFonts w:eastAsia="SimSun"/>
                <w:sz w:val="22"/>
                <w:lang w:val="en-US"/>
              </w:rPr>
              <w:t>5.1.2.1</w:t>
            </w:r>
            <w:r w:rsidRPr="006A31EC">
              <w:rPr>
                <w:rFonts w:eastAsia="SimSun"/>
                <w:sz w:val="22"/>
              </w:rPr>
              <w:t>9</w:t>
            </w:r>
          </w:p>
        </w:tc>
        <w:tc>
          <w:tcPr>
            <w:tcW w:w="295" w:type="pct"/>
            <w:shd w:val="clear" w:color="auto" w:fill="auto"/>
            <w:vAlign w:val="center"/>
          </w:tcPr>
          <w:p w14:paraId="10530020" w14:textId="77777777" w:rsidR="0089207C" w:rsidRPr="006A31EC" w:rsidRDefault="0089207C" w:rsidP="002D3EBF">
            <w:pPr>
              <w:rPr>
                <w:sz w:val="22"/>
              </w:rPr>
            </w:pPr>
            <w:r w:rsidRPr="006A31EC">
              <w:rPr>
                <w:rFonts w:eastAsia="SimSun"/>
                <w:sz w:val="22"/>
                <w:lang w:val="en-US"/>
              </w:rPr>
              <w:t>5.1.2.3</w:t>
            </w:r>
          </w:p>
        </w:tc>
        <w:tc>
          <w:tcPr>
            <w:tcW w:w="295" w:type="pct"/>
            <w:shd w:val="clear" w:color="auto" w:fill="auto"/>
            <w:vAlign w:val="center"/>
          </w:tcPr>
          <w:p w14:paraId="5B388039" w14:textId="77777777" w:rsidR="0089207C" w:rsidRPr="006A31EC" w:rsidRDefault="0089207C" w:rsidP="002D3EBF">
            <w:pPr>
              <w:rPr>
                <w:sz w:val="22"/>
              </w:rPr>
            </w:pPr>
            <w:r w:rsidRPr="006A31EC">
              <w:rPr>
                <w:rFonts w:eastAsia="SimSun"/>
                <w:sz w:val="22"/>
                <w:lang w:val="en-US"/>
              </w:rPr>
              <w:t>-</w:t>
            </w:r>
          </w:p>
        </w:tc>
        <w:tc>
          <w:tcPr>
            <w:tcW w:w="337" w:type="pct"/>
            <w:shd w:val="clear" w:color="auto" w:fill="auto"/>
            <w:vAlign w:val="center"/>
          </w:tcPr>
          <w:p w14:paraId="219BF82E" w14:textId="77777777" w:rsidR="0089207C" w:rsidRPr="006A31EC" w:rsidRDefault="0089207C" w:rsidP="002D3EBF">
            <w:pPr>
              <w:rPr>
                <w:sz w:val="22"/>
              </w:rPr>
            </w:pPr>
            <w:r w:rsidRPr="006A31EC">
              <w:rPr>
                <w:rFonts w:eastAsia="SimSun"/>
                <w:sz w:val="22"/>
                <w:lang w:val="en-US"/>
              </w:rPr>
              <w:t>-</w:t>
            </w:r>
          </w:p>
        </w:tc>
        <w:tc>
          <w:tcPr>
            <w:tcW w:w="337" w:type="pct"/>
            <w:shd w:val="clear" w:color="auto" w:fill="auto"/>
            <w:vAlign w:val="center"/>
          </w:tcPr>
          <w:p w14:paraId="778CBEA5" w14:textId="77777777" w:rsidR="0089207C" w:rsidRPr="006A31EC" w:rsidRDefault="0089207C" w:rsidP="002D3EBF">
            <w:pPr>
              <w:rPr>
                <w:sz w:val="22"/>
              </w:rPr>
            </w:pPr>
            <w:r w:rsidRPr="006A31EC">
              <w:rPr>
                <w:rFonts w:eastAsia="SimSun"/>
                <w:sz w:val="22"/>
                <w:lang w:val="en-US"/>
              </w:rPr>
              <w:t>-</w:t>
            </w:r>
          </w:p>
        </w:tc>
        <w:tc>
          <w:tcPr>
            <w:tcW w:w="401" w:type="pct"/>
            <w:shd w:val="clear" w:color="auto" w:fill="auto"/>
            <w:vAlign w:val="center"/>
          </w:tcPr>
          <w:p w14:paraId="6D7ABA26" w14:textId="77777777" w:rsidR="0089207C" w:rsidRPr="006A31EC" w:rsidRDefault="0089207C" w:rsidP="002D3EBF">
            <w:pPr>
              <w:rPr>
                <w:sz w:val="22"/>
              </w:rPr>
            </w:pPr>
            <w:r w:rsidRPr="006A31EC">
              <w:rPr>
                <w:rFonts w:eastAsia="SimSun"/>
                <w:sz w:val="22"/>
                <w:lang w:val="en-US"/>
              </w:rPr>
              <w:t>-</w:t>
            </w:r>
          </w:p>
        </w:tc>
        <w:tc>
          <w:tcPr>
            <w:tcW w:w="442" w:type="pct"/>
            <w:shd w:val="clear" w:color="auto" w:fill="auto"/>
            <w:vAlign w:val="center"/>
          </w:tcPr>
          <w:p w14:paraId="18442789" w14:textId="77777777" w:rsidR="0089207C" w:rsidRPr="006A31EC" w:rsidRDefault="0089207C" w:rsidP="002D3EBF">
            <w:pPr>
              <w:rPr>
                <w:sz w:val="22"/>
              </w:rPr>
            </w:pPr>
            <w:r w:rsidRPr="006A31EC">
              <w:rPr>
                <w:rFonts w:eastAsia="SimSun"/>
                <w:sz w:val="22"/>
                <w:lang w:val="en-US"/>
              </w:rPr>
              <w:t>-</w:t>
            </w:r>
          </w:p>
        </w:tc>
        <w:tc>
          <w:tcPr>
            <w:tcW w:w="337" w:type="pct"/>
            <w:shd w:val="clear" w:color="auto" w:fill="auto"/>
            <w:vAlign w:val="center"/>
          </w:tcPr>
          <w:p w14:paraId="09AD839F" w14:textId="77777777" w:rsidR="0089207C" w:rsidRPr="006A31EC" w:rsidRDefault="0089207C" w:rsidP="002D3EBF">
            <w:pPr>
              <w:rPr>
                <w:sz w:val="22"/>
              </w:rPr>
            </w:pPr>
            <w:r w:rsidRPr="006A31EC">
              <w:rPr>
                <w:rFonts w:eastAsia="SimSun"/>
                <w:sz w:val="22"/>
                <w:lang w:val="en-US"/>
              </w:rPr>
              <w:t>-</w:t>
            </w:r>
          </w:p>
        </w:tc>
        <w:tc>
          <w:tcPr>
            <w:tcW w:w="337" w:type="pct"/>
          </w:tcPr>
          <w:p w14:paraId="609F1DDC" w14:textId="77777777" w:rsidR="0089207C" w:rsidRPr="006A31EC" w:rsidRDefault="0089207C" w:rsidP="002D3EBF">
            <w:pPr>
              <w:rPr>
                <w:rFonts w:eastAsia="SimSun"/>
                <w:sz w:val="22"/>
                <w:lang w:val="en-US"/>
              </w:rPr>
            </w:pPr>
          </w:p>
        </w:tc>
      </w:tr>
      <w:tr w:rsidR="0089207C" w:rsidRPr="006A31EC" w14:paraId="2F9E8A9D" w14:textId="77777777" w:rsidTr="002D3EBF">
        <w:trPr>
          <w:cantSplit/>
          <w:trHeight w:val="624"/>
        </w:trPr>
        <w:tc>
          <w:tcPr>
            <w:tcW w:w="293" w:type="pct"/>
            <w:vMerge/>
            <w:shd w:val="clear" w:color="auto" w:fill="D9D9D9"/>
            <w:vAlign w:val="center"/>
          </w:tcPr>
          <w:p w14:paraId="45394251" w14:textId="77777777" w:rsidR="0089207C" w:rsidRPr="006A31EC" w:rsidRDefault="0089207C" w:rsidP="002D3EBF">
            <w:pPr>
              <w:rPr>
                <w:rFonts w:eastAsia="SimSun"/>
                <w:sz w:val="22"/>
                <w:lang w:val="en-US"/>
              </w:rPr>
            </w:pPr>
          </w:p>
        </w:tc>
        <w:tc>
          <w:tcPr>
            <w:tcW w:w="284" w:type="pct"/>
            <w:shd w:val="clear" w:color="auto" w:fill="D9D9D9"/>
            <w:vAlign w:val="center"/>
          </w:tcPr>
          <w:p w14:paraId="40B1E9C7" w14:textId="77777777" w:rsidR="0089207C" w:rsidRPr="006A31EC" w:rsidRDefault="0089207C" w:rsidP="002D3EBF">
            <w:pPr>
              <w:rPr>
                <w:rFonts w:eastAsia="SimSun"/>
                <w:sz w:val="22"/>
                <w:lang w:val="en-US"/>
              </w:rPr>
            </w:pPr>
            <w:r w:rsidRPr="006A31EC">
              <w:rPr>
                <w:rFonts w:eastAsia="SimSun"/>
                <w:sz w:val="22"/>
                <w:lang w:val="en-US"/>
              </w:rPr>
              <w:t>Tx</w:t>
            </w:r>
          </w:p>
        </w:tc>
        <w:tc>
          <w:tcPr>
            <w:tcW w:w="261" w:type="pct"/>
            <w:shd w:val="clear" w:color="auto" w:fill="D9D9D9"/>
            <w:vAlign w:val="center"/>
          </w:tcPr>
          <w:p w14:paraId="046254A8" w14:textId="77777777" w:rsidR="0089207C" w:rsidRPr="006A31EC" w:rsidRDefault="0089207C" w:rsidP="002D3EBF">
            <w:pPr>
              <w:rPr>
                <w:rFonts w:eastAsia="SimSun"/>
                <w:sz w:val="22"/>
                <w:lang w:val="en-US"/>
              </w:rPr>
            </w:pPr>
            <w:r w:rsidRPr="006A31EC">
              <w:rPr>
                <w:rFonts w:eastAsia="SimSun"/>
                <w:sz w:val="22"/>
                <w:lang w:val="en-US"/>
              </w:rPr>
              <w:t>-</w:t>
            </w:r>
          </w:p>
        </w:tc>
        <w:tc>
          <w:tcPr>
            <w:tcW w:w="398" w:type="pct"/>
            <w:shd w:val="clear" w:color="auto" w:fill="D9D9D9"/>
            <w:vAlign w:val="center"/>
          </w:tcPr>
          <w:p w14:paraId="4B5670F2" w14:textId="77777777" w:rsidR="0089207C" w:rsidRPr="006A31EC" w:rsidRDefault="0089207C" w:rsidP="002D3EBF">
            <w:pPr>
              <w:rPr>
                <w:rFonts w:eastAsia="SimSun"/>
                <w:sz w:val="22"/>
                <w:lang w:val="en-US"/>
              </w:rPr>
            </w:pPr>
            <w:r w:rsidRPr="006A31EC">
              <w:rPr>
                <w:rFonts w:eastAsia="SimSun"/>
                <w:sz w:val="22"/>
                <w:lang w:val="en-US"/>
              </w:rPr>
              <w:t>MMF30</w:t>
            </w:r>
          </w:p>
        </w:tc>
        <w:tc>
          <w:tcPr>
            <w:tcW w:w="337" w:type="pct"/>
            <w:shd w:val="clear" w:color="auto" w:fill="auto"/>
            <w:vAlign w:val="center"/>
          </w:tcPr>
          <w:p w14:paraId="4E37CB6E" w14:textId="77777777" w:rsidR="0089207C" w:rsidRPr="006A31EC" w:rsidRDefault="0089207C" w:rsidP="002D3EBF">
            <w:pPr>
              <w:rPr>
                <w:rFonts w:eastAsia="SimSun"/>
                <w:sz w:val="22"/>
                <w:lang w:val="en-US"/>
              </w:rPr>
            </w:pPr>
            <w:r w:rsidRPr="006A31EC">
              <w:rPr>
                <w:rFonts w:eastAsia="SimSun"/>
                <w:sz w:val="22"/>
                <w:lang w:val="en-US"/>
              </w:rPr>
              <w:t>5.1.2.16</w:t>
            </w:r>
          </w:p>
        </w:tc>
        <w:tc>
          <w:tcPr>
            <w:tcW w:w="312" w:type="pct"/>
          </w:tcPr>
          <w:p w14:paraId="4D841ACB" w14:textId="77777777" w:rsidR="0089207C" w:rsidRPr="006A31EC" w:rsidRDefault="0089207C" w:rsidP="002D3EBF">
            <w:pPr>
              <w:rPr>
                <w:rFonts w:eastAsia="SimSun"/>
                <w:sz w:val="22"/>
                <w:lang w:val="en-US"/>
              </w:rPr>
            </w:pPr>
          </w:p>
        </w:tc>
        <w:tc>
          <w:tcPr>
            <w:tcW w:w="337" w:type="pct"/>
            <w:shd w:val="clear" w:color="auto" w:fill="auto"/>
            <w:vAlign w:val="center"/>
          </w:tcPr>
          <w:p w14:paraId="6004C3CC" w14:textId="77777777" w:rsidR="0089207C" w:rsidRPr="006A31EC" w:rsidRDefault="0089207C" w:rsidP="002D3EBF">
            <w:pPr>
              <w:rPr>
                <w:sz w:val="22"/>
              </w:rPr>
            </w:pPr>
            <w:r w:rsidRPr="006A31EC">
              <w:rPr>
                <w:rFonts w:eastAsia="SimSun"/>
                <w:sz w:val="22"/>
                <w:lang w:val="en-US"/>
              </w:rPr>
              <w:t>-</w:t>
            </w:r>
          </w:p>
        </w:tc>
        <w:tc>
          <w:tcPr>
            <w:tcW w:w="295" w:type="pct"/>
            <w:shd w:val="clear" w:color="auto" w:fill="auto"/>
            <w:vAlign w:val="center"/>
          </w:tcPr>
          <w:p w14:paraId="31D85216" w14:textId="77777777" w:rsidR="0089207C" w:rsidRPr="006A31EC" w:rsidRDefault="0089207C" w:rsidP="002D3EBF">
            <w:pPr>
              <w:rPr>
                <w:sz w:val="22"/>
              </w:rPr>
            </w:pPr>
            <w:r w:rsidRPr="006A31EC">
              <w:rPr>
                <w:rFonts w:eastAsia="SimSun"/>
                <w:sz w:val="22"/>
                <w:lang w:val="en-US"/>
              </w:rPr>
              <w:t>-</w:t>
            </w:r>
          </w:p>
        </w:tc>
        <w:tc>
          <w:tcPr>
            <w:tcW w:w="295" w:type="pct"/>
            <w:shd w:val="clear" w:color="auto" w:fill="auto"/>
            <w:vAlign w:val="center"/>
          </w:tcPr>
          <w:p w14:paraId="52D1DBD3" w14:textId="77777777" w:rsidR="0089207C" w:rsidRPr="006A31EC" w:rsidRDefault="0089207C" w:rsidP="002D3EBF">
            <w:pPr>
              <w:rPr>
                <w:sz w:val="22"/>
              </w:rPr>
            </w:pPr>
            <w:r w:rsidRPr="006A31EC">
              <w:rPr>
                <w:rFonts w:eastAsia="SimSun"/>
                <w:sz w:val="22"/>
                <w:lang w:val="en-US"/>
              </w:rPr>
              <w:t>-</w:t>
            </w:r>
          </w:p>
        </w:tc>
        <w:tc>
          <w:tcPr>
            <w:tcW w:w="337" w:type="pct"/>
            <w:shd w:val="clear" w:color="auto" w:fill="auto"/>
            <w:vAlign w:val="center"/>
          </w:tcPr>
          <w:p w14:paraId="57EB1294" w14:textId="77777777" w:rsidR="0089207C" w:rsidRPr="006A31EC" w:rsidRDefault="0089207C" w:rsidP="002D3EBF">
            <w:pPr>
              <w:rPr>
                <w:sz w:val="22"/>
              </w:rPr>
            </w:pPr>
            <w:r w:rsidRPr="006A31EC">
              <w:rPr>
                <w:rFonts w:eastAsia="SimSun"/>
                <w:sz w:val="22"/>
                <w:lang w:val="en-US"/>
              </w:rPr>
              <w:t>-</w:t>
            </w:r>
          </w:p>
        </w:tc>
        <w:tc>
          <w:tcPr>
            <w:tcW w:w="337" w:type="pct"/>
            <w:shd w:val="clear" w:color="auto" w:fill="auto"/>
            <w:vAlign w:val="center"/>
          </w:tcPr>
          <w:p w14:paraId="7034AB4D" w14:textId="77777777" w:rsidR="0089207C" w:rsidRPr="006A31EC" w:rsidRDefault="0089207C" w:rsidP="002D3EBF">
            <w:pPr>
              <w:rPr>
                <w:sz w:val="22"/>
              </w:rPr>
            </w:pPr>
            <w:r w:rsidRPr="006A31EC">
              <w:rPr>
                <w:rFonts w:eastAsia="SimSun"/>
                <w:sz w:val="22"/>
                <w:lang w:val="en-US"/>
              </w:rPr>
              <w:t>-</w:t>
            </w:r>
          </w:p>
        </w:tc>
        <w:tc>
          <w:tcPr>
            <w:tcW w:w="401" w:type="pct"/>
            <w:shd w:val="clear" w:color="auto" w:fill="auto"/>
            <w:vAlign w:val="center"/>
          </w:tcPr>
          <w:p w14:paraId="2F9CAC9F" w14:textId="77777777" w:rsidR="0089207C" w:rsidRPr="006A31EC" w:rsidRDefault="0089207C" w:rsidP="002D3EBF">
            <w:pPr>
              <w:rPr>
                <w:rFonts w:eastAsia="SimSun"/>
                <w:sz w:val="22"/>
                <w:lang w:val="en-US"/>
              </w:rPr>
            </w:pPr>
            <w:r w:rsidRPr="006A31EC">
              <w:rPr>
                <w:rFonts w:eastAsia="SimSun"/>
                <w:sz w:val="22"/>
                <w:lang w:val="en-US"/>
              </w:rPr>
              <w:t>5.1.2.9</w:t>
            </w:r>
          </w:p>
        </w:tc>
        <w:tc>
          <w:tcPr>
            <w:tcW w:w="442" w:type="pct"/>
            <w:shd w:val="clear" w:color="auto" w:fill="auto"/>
            <w:vAlign w:val="center"/>
          </w:tcPr>
          <w:p w14:paraId="28972F26" w14:textId="77777777" w:rsidR="0089207C" w:rsidRPr="006A31EC" w:rsidRDefault="0089207C" w:rsidP="002D3EBF">
            <w:pPr>
              <w:rPr>
                <w:rFonts w:eastAsia="SimSun"/>
                <w:sz w:val="22"/>
                <w:lang w:val="en-US"/>
              </w:rPr>
            </w:pPr>
            <w:r w:rsidRPr="006A31EC">
              <w:rPr>
                <w:rFonts w:eastAsia="SimSun"/>
                <w:sz w:val="22"/>
                <w:lang w:val="en-US"/>
              </w:rPr>
              <w:t>5.1.2.14</w:t>
            </w:r>
          </w:p>
        </w:tc>
        <w:tc>
          <w:tcPr>
            <w:tcW w:w="337" w:type="pct"/>
            <w:shd w:val="clear" w:color="auto" w:fill="auto"/>
            <w:vAlign w:val="center"/>
          </w:tcPr>
          <w:p w14:paraId="4AF8810C" w14:textId="77777777" w:rsidR="0089207C" w:rsidRPr="006A31EC" w:rsidRDefault="0089207C" w:rsidP="002D3EBF">
            <w:pPr>
              <w:rPr>
                <w:sz w:val="22"/>
              </w:rPr>
            </w:pPr>
            <w:r w:rsidRPr="006A31EC">
              <w:rPr>
                <w:rFonts w:eastAsia="SimSun"/>
                <w:sz w:val="22"/>
              </w:rPr>
              <w:t xml:space="preserve">      </w:t>
            </w:r>
            <w:r w:rsidRPr="006A31EC">
              <w:rPr>
                <w:rFonts w:eastAsia="SimSun"/>
                <w:sz w:val="22"/>
                <w:lang w:val="en-US"/>
              </w:rPr>
              <w:t>-</w:t>
            </w:r>
          </w:p>
        </w:tc>
        <w:tc>
          <w:tcPr>
            <w:tcW w:w="337" w:type="pct"/>
          </w:tcPr>
          <w:p w14:paraId="3A7B84B3" w14:textId="77777777" w:rsidR="0089207C" w:rsidRPr="006A31EC" w:rsidRDefault="0089207C" w:rsidP="002D3EBF">
            <w:pPr>
              <w:rPr>
                <w:rFonts w:eastAsia="SimSun"/>
                <w:sz w:val="22"/>
              </w:rPr>
            </w:pPr>
            <w:r w:rsidRPr="006A31EC">
              <w:rPr>
                <w:rFonts w:eastAsia="SimSun"/>
                <w:sz w:val="22"/>
                <w:lang w:val="en-US"/>
              </w:rPr>
              <w:t>5.1.2.2</w:t>
            </w:r>
            <w:r w:rsidRPr="006A31EC">
              <w:rPr>
                <w:rFonts w:eastAsia="SimSun"/>
                <w:sz w:val="22"/>
              </w:rPr>
              <w:t>4</w:t>
            </w:r>
          </w:p>
        </w:tc>
      </w:tr>
      <w:tr w:rsidR="0089207C" w:rsidRPr="006A31EC" w14:paraId="0E5D1B9B" w14:textId="77777777" w:rsidTr="002D3EBF">
        <w:trPr>
          <w:cantSplit/>
          <w:trHeight w:val="624"/>
        </w:trPr>
        <w:tc>
          <w:tcPr>
            <w:tcW w:w="293" w:type="pct"/>
            <w:vMerge/>
            <w:shd w:val="clear" w:color="auto" w:fill="D9D9D9"/>
            <w:vAlign w:val="center"/>
          </w:tcPr>
          <w:p w14:paraId="70387CBA" w14:textId="77777777" w:rsidR="0089207C" w:rsidRPr="006A31EC" w:rsidRDefault="0089207C" w:rsidP="002D3EBF">
            <w:pPr>
              <w:rPr>
                <w:rFonts w:eastAsia="SimSun"/>
                <w:sz w:val="22"/>
                <w:lang w:val="en-US"/>
              </w:rPr>
            </w:pPr>
          </w:p>
        </w:tc>
        <w:tc>
          <w:tcPr>
            <w:tcW w:w="284" w:type="pct"/>
            <w:shd w:val="clear" w:color="auto" w:fill="D9D9D9"/>
            <w:vAlign w:val="center"/>
          </w:tcPr>
          <w:p w14:paraId="4215E7A7" w14:textId="77777777" w:rsidR="0089207C" w:rsidRPr="006A31EC" w:rsidRDefault="0089207C" w:rsidP="002D3EBF">
            <w:pPr>
              <w:rPr>
                <w:rFonts w:eastAsia="SimSun"/>
                <w:sz w:val="22"/>
                <w:lang w:val="en-US"/>
              </w:rPr>
            </w:pPr>
            <w:r w:rsidRPr="006A31EC">
              <w:rPr>
                <w:rFonts w:eastAsia="SimSun"/>
                <w:sz w:val="22"/>
                <w:lang w:val="en-US"/>
              </w:rPr>
              <w:t>Ruxo</w:t>
            </w:r>
          </w:p>
        </w:tc>
        <w:tc>
          <w:tcPr>
            <w:tcW w:w="261" w:type="pct"/>
            <w:shd w:val="clear" w:color="auto" w:fill="D9D9D9"/>
            <w:vAlign w:val="center"/>
          </w:tcPr>
          <w:p w14:paraId="5D64C3B7" w14:textId="77777777" w:rsidR="0089207C" w:rsidRPr="006A31EC" w:rsidRDefault="0089207C" w:rsidP="002D3EBF">
            <w:pPr>
              <w:rPr>
                <w:rFonts w:eastAsia="SimSun"/>
                <w:sz w:val="22"/>
                <w:lang w:val="en-US"/>
              </w:rPr>
            </w:pPr>
            <w:r w:rsidRPr="006A31EC">
              <w:rPr>
                <w:rFonts w:eastAsia="SimSun"/>
                <w:sz w:val="22"/>
                <w:lang w:val="en-US"/>
              </w:rPr>
              <w:t>-</w:t>
            </w:r>
          </w:p>
        </w:tc>
        <w:tc>
          <w:tcPr>
            <w:tcW w:w="398" w:type="pct"/>
            <w:shd w:val="clear" w:color="auto" w:fill="D9D9D9"/>
            <w:vAlign w:val="center"/>
          </w:tcPr>
          <w:p w14:paraId="7DB51958" w14:textId="77777777" w:rsidR="0089207C" w:rsidRPr="006A31EC" w:rsidRDefault="0089207C" w:rsidP="002D3EBF">
            <w:pPr>
              <w:rPr>
                <w:rFonts w:eastAsia="SimSun"/>
                <w:sz w:val="22"/>
                <w:lang w:val="en-US"/>
              </w:rPr>
            </w:pPr>
            <w:r w:rsidRPr="006A31EC">
              <w:rPr>
                <w:rFonts w:eastAsia="SimSun"/>
                <w:sz w:val="22"/>
                <w:lang w:val="en-US"/>
              </w:rPr>
              <w:t>-</w:t>
            </w:r>
          </w:p>
        </w:tc>
        <w:tc>
          <w:tcPr>
            <w:tcW w:w="337" w:type="pct"/>
            <w:shd w:val="clear" w:color="auto" w:fill="auto"/>
            <w:vAlign w:val="center"/>
          </w:tcPr>
          <w:p w14:paraId="279A4B51" w14:textId="77777777" w:rsidR="0089207C" w:rsidRPr="006A31EC" w:rsidRDefault="0089207C" w:rsidP="002D3EBF">
            <w:pPr>
              <w:rPr>
                <w:sz w:val="22"/>
              </w:rPr>
            </w:pPr>
            <w:r w:rsidRPr="006A31EC">
              <w:rPr>
                <w:rFonts w:eastAsia="SimSun"/>
                <w:sz w:val="22"/>
                <w:lang w:val="en-US"/>
              </w:rPr>
              <w:t>-</w:t>
            </w:r>
          </w:p>
        </w:tc>
        <w:tc>
          <w:tcPr>
            <w:tcW w:w="312" w:type="pct"/>
          </w:tcPr>
          <w:p w14:paraId="65483020" w14:textId="77777777" w:rsidR="0089207C" w:rsidRPr="006A31EC" w:rsidRDefault="0089207C" w:rsidP="002D3EBF">
            <w:pPr>
              <w:rPr>
                <w:rFonts w:eastAsia="SimSun"/>
                <w:sz w:val="22"/>
                <w:lang w:val="en-US"/>
              </w:rPr>
            </w:pPr>
          </w:p>
        </w:tc>
        <w:tc>
          <w:tcPr>
            <w:tcW w:w="337" w:type="pct"/>
            <w:shd w:val="clear" w:color="auto" w:fill="auto"/>
            <w:vAlign w:val="center"/>
          </w:tcPr>
          <w:p w14:paraId="1D6B2354" w14:textId="77777777" w:rsidR="0089207C" w:rsidRPr="006A31EC" w:rsidRDefault="0089207C" w:rsidP="002D3EBF">
            <w:pPr>
              <w:rPr>
                <w:sz w:val="22"/>
              </w:rPr>
            </w:pPr>
            <w:r w:rsidRPr="006A31EC">
              <w:rPr>
                <w:rFonts w:eastAsia="SimSun"/>
                <w:sz w:val="22"/>
                <w:lang w:val="en-US"/>
              </w:rPr>
              <w:t>-</w:t>
            </w:r>
          </w:p>
        </w:tc>
        <w:tc>
          <w:tcPr>
            <w:tcW w:w="295" w:type="pct"/>
            <w:shd w:val="clear" w:color="auto" w:fill="auto"/>
            <w:vAlign w:val="center"/>
          </w:tcPr>
          <w:p w14:paraId="32370FFA" w14:textId="77777777" w:rsidR="0089207C" w:rsidRPr="006A31EC" w:rsidRDefault="0089207C" w:rsidP="002D3EBF">
            <w:pPr>
              <w:rPr>
                <w:sz w:val="22"/>
              </w:rPr>
            </w:pPr>
            <w:r w:rsidRPr="006A31EC">
              <w:rPr>
                <w:rFonts w:eastAsia="SimSun"/>
                <w:sz w:val="22"/>
                <w:lang w:val="en-US"/>
              </w:rPr>
              <w:t>-</w:t>
            </w:r>
          </w:p>
        </w:tc>
        <w:tc>
          <w:tcPr>
            <w:tcW w:w="295" w:type="pct"/>
            <w:shd w:val="clear" w:color="auto" w:fill="auto"/>
            <w:vAlign w:val="center"/>
          </w:tcPr>
          <w:p w14:paraId="056CC816" w14:textId="77777777" w:rsidR="0089207C" w:rsidRPr="006A31EC" w:rsidRDefault="0089207C" w:rsidP="002D3EBF">
            <w:pPr>
              <w:rPr>
                <w:sz w:val="22"/>
              </w:rPr>
            </w:pPr>
            <w:r w:rsidRPr="006A31EC">
              <w:rPr>
                <w:rFonts w:eastAsia="SimSun"/>
                <w:sz w:val="22"/>
                <w:lang w:val="en-US"/>
              </w:rPr>
              <w:t>-</w:t>
            </w:r>
          </w:p>
        </w:tc>
        <w:tc>
          <w:tcPr>
            <w:tcW w:w="337" w:type="pct"/>
            <w:shd w:val="clear" w:color="auto" w:fill="auto"/>
            <w:vAlign w:val="center"/>
          </w:tcPr>
          <w:p w14:paraId="39449470" w14:textId="77777777" w:rsidR="0089207C" w:rsidRPr="006A31EC" w:rsidRDefault="0089207C" w:rsidP="002D3EBF">
            <w:pPr>
              <w:rPr>
                <w:sz w:val="22"/>
              </w:rPr>
            </w:pPr>
            <w:r w:rsidRPr="006A31EC">
              <w:rPr>
                <w:rFonts w:eastAsia="SimSun"/>
                <w:sz w:val="22"/>
                <w:lang w:val="en-US"/>
              </w:rPr>
              <w:t>-</w:t>
            </w:r>
          </w:p>
        </w:tc>
        <w:tc>
          <w:tcPr>
            <w:tcW w:w="337" w:type="pct"/>
            <w:shd w:val="clear" w:color="auto" w:fill="auto"/>
            <w:vAlign w:val="center"/>
          </w:tcPr>
          <w:p w14:paraId="16FF591E" w14:textId="77777777" w:rsidR="0089207C" w:rsidRPr="006A31EC" w:rsidRDefault="0089207C" w:rsidP="002D3EBF">
            <w:pPr>
              <w:rPr>
                <w:sz w:val="22"/>
              </w:rPr>
            </w:pPr>
            <w:r w:rsidRPr="006A31EC">
              <w:rPr>
                <w:rFonts w:eastAsia="SimSun"/>
                <w:sz w:val="22"/>
                <w:lang w:val="en-US"/>
              </w:rPr>
              <w:t>-</w:t>
            </w:r>
          </w:p>
        </w:tc>
        <w:tc>
          <w:tcPr>
            <w:tcW w:w="401" w:type="pct"/>
            <w:shd w:val="clear" w:color="auto" w:fill="auto"/>
            <w:vAlign w:val="center"/>
          </w:tcPr>
          <w:p w14:paraId="5D0A91DD" w14:textId="77777777" w:rsidR="0089207C" w:rsidRPr="006A31EC" w:rsidRDefault="0089207C" w:rsidP="002D3EBF">
            <w:pPr>
              <w:rPr>
                <w:rFonts w:eastAsia="SimSun"/>
                <w:sz w:val="22"/>
              </w:rPr>
            </w:pPr>
          </w:p>
        </w:tc>
        <w:tc>
          <w:tcPr>
            <w:tcW w:w="442" w:type="pct"/>
            <w:shd w:val="clear" w:color="auto" w:fill="auto"/>
            <w:vAlign w:val="center"/>
          </w:tcPr>
          <w:p w14:paraId="798AAD70" w14:textId="77777777" w:rsidR="0089207C" w:rsidRPr="006A31EC" w:rsidRDefault="0089207C" w:rsidP="002D3EBF">
            <w:pPr>
              <w:rPr>
                <w:rFonts w:eastAsia="SimSun"/>
                <w:sz w:val="22"/>
                <w:lang w:val="en-US"/>
              </w:rPr>
            </w:pPr>
            <w:r w:rsidRPr="006A31EC">
              <w:rPr>
                <w:rFonts w:eastAsia="SimSun"/>
                <w:sz w:val="22"/>
                <w:lang w:val="en-US"/>
              </w:rPr>
              <w:t>5.1.2.12/15</w:t>
            </w:r>
          </w:p>
        </w:tc>
        <w:tc>
          <w:tcPr>
            <w:tcW w:w="337" w:type="pct"/>
            <w:shd w:val="clear" w:color="auto" w:fill="auto"/>
            <w:vAlign w:val="center"/>
          </w:tcPr>
          <w:p w14:paraId="582C9FF1" w14:textId="77777777" w:rsidR="0089207C" w:rsidRPr="006A31EC" w:rsidRDefault="0089207C" w:rsidP="002D3EBF">
            <w:pPr>
              <w:rPr>
                <w:sz w:val="22"/>
              </w:rPr>
            </w:pPr>
            <w:r w:rsidRPr="006A31EC">
              <w:rPr>
                <w:rFonts w:eastAsia="SimSun"/>
                <w:sz w:val="22"/>
                <w:lang w:val="en-US"/>
              </w:rPr>
              <w:t>-</w:t>
            </w:r>
          </w:p>
        </w:tc>
        <w:tc>
          <w:tcPr>
            <w:tcW w:w="337" w:type="pct"/>
          </w:tcPr>
          <w:p w14:paraId="4300BCF0" w14:textId="77777777" w:rsidR="0089207C" w:rsidRPr="006A31EC" w:rsidRDefault="0089207C" w:rsidP="002D3EBF">
            <w:pPr>
              <w:rPr>
                <w:rFonts w:eastAsia="SimSun"/>
                <w:sz w:val="22"/>
                <w:lang w:val="en-US"/>
              </w:rPr>
            </w:pPr>
          </w:p>
        </w:tc>
      </w:tr>
      <w:tr w:rsidR="0089207C" w:rsidRPr="006A31EC" w14:paraId="2648A403" w14:textId="77777777" w:rsidTr="002D3EBF">
        <w:trPr>
          <w:cantSplit/>
          <w:trHeight w:val="624"/>
        </w:trPr>
        <w:tc>
          <w:tcPr>
            <w:tcW w:w="293" w:type="pct"/>
            <w:shd w:val="clear" w:color="auto" w:fill="D9D9D9"/>
            <w:vAlign w:val="center"/>
          </w:tcPr>
          <w:p w14:paraId="24F8C9AD" w14:textId="77777777" w:rsidR="0089207C" w:rsidRPr="006A31EC" w:rsidRDefault="0089207C" w:rsidP="002D3EBF">
            <w:pPr>
              <w:rPr>
                <w:rFonts w:eastAsia="SimSun"/>
                <w:sz w:val="22"/>
                <w:lang w:val="en-US"/>
              </w:rPr>
            </w:pPr>
            <w:r w:rsidRPr="006A31EC">
              <w:rPr>
                <w:rFonts w:eastAsia="SimSun"/>
                <w:sz w:val="22"/>
                <w:lang w:val="en-US"/>
              </w:rPr>
              <w:t>-</w:t>
            </w:r>
          </w:p>
        </w:tc>
        <w:tc>
          <w:tcPr>
            <w:tcW w:w="284" w:type="pct"/>
            <w:shd w:val="clear" w:color="auto" w:fill="D9D9D9"/>
            <w:vAlign w:val="center"/>
          </w:tcPr>
          <w:p w14:paraId="775DA672" w14:textId="77777777" w:rsidR="0089207C" w:rsidRPr="006A31EC" w:rsidRDefault="0089207C" w:rsidP="002D3EBF">
            <w:pPr>
              <w:rPr>
                <w:rFonts w:eastAsia="SimSun"/>
                <w:sz w:val="22"/>
                <w:lang w:val="en-US"/>
              </w:rPr>
            </w:pPr>
            <w:r w:rsidRPr="006A31EC">
              <w:rPr>
                <w:rFonts w:eastAsia="SimSun"/>
                <w:sz w:val="22"/>
                <w:lang w:val="en-US"/>
              </w:rPr>
              <w:t>Tx</w:t>
            </w:r>
          </w:p>
        </w:tc>
        <w:tc>
          <w:tcPr>
            <w:tcW w:w="261" w:type="pct"/>
            <w:shd w:val="clear" w:color="auto" w:fill="D9D9D9"/>
            <w:vAlign w:val="center"/>
          </w:tcPr>
          <w:p w14:paraId="5EC750E2" w14:textId="77777777" w:rsidR="0089207C" w:rsidRPr="006A31EC" w:rsidRDefault="0089207C" w:rsidP="002D3EBF">
            <w:pPr>
              <w:rPr>
                <w:rFonts w:eastAsia="SimSun"/>
                <w:sz w:val="22"/>
                <w:lang w:val="en-US"/>
              </w:rPr>
            </w:pPr>
            <w:r w:rsidRPr="006A31EC">
              <w:rPr>
                <w:rFonts w:eastAsia="SimSun"/>
                <w:sz w:val="22"/>
                <w:lang w:val="en-US"/>
              </w:rPr>
              <w:t>-</w:t>
            </w:r>
          </w:p>
        </w:tc>
        <w:tc>
          <w:tcPr>
            <w:tcW w:w="398" w:type="pct"/>
            <w:shd w:val="clear" w:color="auto" w:fill="D9D9D9"/>
            <w:vAlign w:val="center"/>
          </w:tcPr>
          <w:p w14:paraId="1F76D67B" w14:textId="77777777" w:rsidR="0089207C" w:rsidRPr="006A31EC" w:rsidRDefault="0089207C" w:rsidP="002D3EBF">
            <w:pPr>
              <w:rPr>
                <w:rFonts w:eastAsia="SimSun"/>
                <w:sz w:val="22"/>
                <w:lang w:val="en-US"/>
              </w:rPr>
            </w:pPr>
            <w:r w:rsidRPr="006A31EC">
              <w:rPr>
                <w:rFonts w:eastAsia="SimSun"/>
                <w:sz w:val="22"/>
                <w:lang w:val="en-US"/>
              </w:rPr>
              <w:t>MMF30</w:t>
            </w:r>
          </w:p>
        </w:tc>
        <w:tc>
          <w:tcPr>
            <w:tcW w:w="337" w:type="pct"/>
            <w:shd w:val="clear" w:color="auto" w:fill="auto"/>
            <w:vAlign w:val="center"/>
          </w:tcPr>
          <w:p w14:paraId="2D0EE123" w14:textId="77777777" w:rsidR="0089207C" w:rsidRPr="006A31EC" w:rsidRDefault="0089207C" w:rsidP="002D3EBF">
            <w:pPr>
              <w:rPr>
                <w:sz w:val="22"/>
              </w:rPr>
            </w:pPr>
            <w:r w:rsidRPr="006A31EC">
              <w:rPr>
                <w:rFonts w:eastAsia="SimSun"/>
                <w:sz w:val="22"/>
                <w:lang w:val="en-US"/>
              </w:rPr>
              <w:t>-</w:t>
            </w:r>
          </w:p>
        </w:tc>
        <w:tc>
          <w:tcPr>
            <w:tcW w:w="312" w:type="pct"/>
          </w:tcPr>
          <w:p w14:paraId="2EDFB4E3" w14:textId="77777777" w:rsidR="0089207C" w:rsidRPr="006A31EC" w:rsidRDefault="0089207C" w:rsidP="002D3EBF">
            <w:pPr>
              <w:rPr>
                <w:rFonts w:eastAsia="SimSun"/>
                <w:sz w:val="22"/>
                <w:lang w:val="en-US"/>
              </w:rPr>
            </w:pPr>
          </w:p>
        </w:tc>
        <w:tc>
          <w:tcPr>
            <w:tcW w:w="337" w:type="pct"/>
            <w:shd w:val="clear" w:color="auto" w:fill="auto"/>
            <w:vAlign w:val="center"/>
          </w:tcPr>
          <w:p w14:paraId="572B32A5" w14:textId="77777777" w:rsidR="0089207C" w:rsidRPr="006A31EC" w:rsidRDefault="0089207C" w:rsidP="002D3EBF">
            <w:pPr>
              <w:rPr>
                <w:sz w:val="22"/>
              </w:rPr>
            </w:pPr>
            <w:r w:rsidRPr="006A31EC">
              <w:rPr>
                <w:rFonts w:eastAsia="SimSun"/>
                <w:sz w:val="22"/>
                <w:lang w:val="en-US"/>
              </w:rPr>
              <w:t>-</w:t>
            </w:r>
          </w:p>
        </w:tc>
        <w:tc>
          <w:tcPr>
            <w:tcW w:w="295" w:type="pct"/>
            <w:shd w:val="clear" w:color="auto" w:fill="auto"/>
            <w:vAlign w:val="center"/>
          </w:tcPr>
          <w:p w14:paraId="2F42B70A" w14:textId="77777777" w:rsidR="0089207C" w:rsidRPr="006A31EC" w:rsidRDefault="0089207C" w:rsidP="002D3EBF">
            <w:pPr>
              <w:rPr>
                <w:sz w:val="22"/>
              </w:rPr>
            </w:pPr>
            <w:r w:rsidRPr="006A31EC">
              <w:rPr>
                <w:rFonts w:eastAsia="SimSun"/>
                <w:sz w:val="22"/>
                <w:lang w:val="en-US"/>
              </w:rPr>
              <w:t>-</w:t>
            </w:r>
          </w:p>
        </w:tc>
        <w:tc>
          <w:tcPr>
            <w:tcW w:w="295" w:type="pct"/>
            <w:shd w:val="clear" w:color="auto" w:fill="auto"/>
            <w:vAlign w:val="center"/>
          </w:tcPr>
          <w:p w14:paraId="2D74BEF8" w14:textId="77777777" w:rsidR="0089207C" w:rsidRPr="006A31EC" w:rsidRDefault="0089207C" w:rsidP="002D3EBF">
            <w:pPr>
              <w:rPr>
                <w:sz w:val="22"/>
              </w:rPr>
            </w:pPr>
            <w:r w:rsidRPr="006A31EC">
              <w:rPr>
                <w:rFonts w:eastAsia="SimSun"/>
                <w:sz w:val="22"/>
                <w:lang w:val="en-US"/>
              </w:rPr>
              <w:t>-</w:t>
            </w:r>
          </w:p>
        </w:tc>
        <w:tc>
          <w:tcPr>
            <w:tcW w:w="337" w:type="pct"/>
            <w:shd w:val="clear" w:color="auto" w:fill="auto"/>
            <w:vAlign w:val="center"/>
          </w:tcPr>
          <w:p w14:paraId="72CEFCBE" w14:textId="77777777" w:rsidR="0089207C" w:rsidRPr="006A31EC" w:rsidRDefault="0089207C" w:rsidP="002D3EBF">
            <w:pPr>
              <w:rPr>
                <w:sz w:val="22"/>
              </w:rPr>
            </w:pPr>
            <w:r w:rsidRPr="006A31EC">
              <w:rPr>
                <w:rFonts w:eastAsia="SimSun"/>
                <w:sz w:val="22"/>
                <w:lang w:val="en-US"/>
              </w:rPr>
              <w:t>-</w:t>
            </w:r>
          </w:p>
        </w:tc>
        <w:tc>
          <w:tcPr>
            <w:tcW w:w="337" w:type="pct"/>
            <w:shd w:val="clear" w:color="auto" w:fill="auto"/>
            <w:vAlign w:val="center"/>
          </w:tcPr>
          <w:p w14:paraId="09C2FE43" w14:textId="77777777" w:rsidR="0089207C" w:rsidRPr="006A31EC" w:rsidRDefault="0089207C" w:rsidP="002D3EBF">
            <w:pPr>
              <w:rPr>
                <w:sz w:val="22"/>
              </w:rPr>
            </w:pPr>
            <w:r w:rsidRPr="006A31EC">
              <w:rPr>
                <w:rFonts w:eastAsia="SimSun"/>
                <w:sz w:val="22"/>
                <w:lang w:val="en-US"/>
              </w:rPr>
              <w:t>-</w:t>
            </w:r>
          </w:p>
        </w:tc>
        <w:tc>
          <w:tcPr>
            <w:tcW w:w="401" w:type="pct"/>
            <w:shd w:val="clear" w:color="auto" w:fill="auto"/>
            <w:vAlign w:val="center"/>
          </w:tcPr>
          <w:p w14:paraId="18A0FFEC" w14:textId="77777777" w:rsidR="0089207C" w:rsidRPr="006A31EC" w:rsidRDefault="0089207C" w:rsidP="002D3EBF">
            <w:pPr>
              <w:rPr>
                <w:rFonts w:eastAsia="SimSun"/>
                <w:sz w:val="22"/>
                <w:lang w:val="en-US"/>
              </w:rPr>
            </w:pPr>
            <w:r w:rsidRPr="006A31EC">
              <w:rPr>
                <w:rFonts w:eastAsia="SimSun"/>
                <w:sz w:val="22"/>
                <w:lang w:val="en-US"/>
              </w:rPr>
              <w:t>5.1.2.10</w:t>
            </w:r>
          </w:p>
        </w:tc>
        <w:tc>
          <w:tcPr>
            <w:tcW w:w="442" w:type="pct"/>
            <w:shd w:val="clear" w:color="auto" w:fill="auto"/>
            <w:vAlign w:val="center"/>
          </w:tcPr>
          <w:p w14:paraId="7386C152" w14:textId="77777777" w:rsidR="0089207C" w:rsidRPr="006A31EC" w:rsidRDefault="0089207C" w:rsidP="002D3EBF">
            <w:pPr>
              <w:rPr>
                <w:rFonts w:eastAsia="SimSun"/>
                <w:sz w:val="22"/>
                <w:lang w:val="en-US"/>
              </w:rPr>
            </w:pPr>
          </w:p>
        </w:tc>
        <w:tc>
          <w:tcPr>
            <w:tcW w:w="337" w:type="pct"/>
            <w:shd w:val="clear" w:color="auto" w:fill="auto"/>
            <w:vAlign w:val="center"/>
          </w:tcPr>
          <w:p w14:paraId="13B356A9" w14:textId="77777777" w:rsidR="0089207C" w:rsidRPr="006A31EC" w:rsidRDefault="0089207C" w:rsidP="002D3EBF">
            <w:pPr>
              <w:rPr>
                <w:sz w:val="22"/>
              </w:rPr>
            </w:pPr>
            <w:r w:rsidRPr="006A31EC">
              <w:rPr>
                <w:rFonts w:eastAsia="SimSun"/>
                <w:sz w:val="22"/>
                <w:lang w:val="en-US"/>
              </w:rPr>
              <w:t>-</w:t>
            </w:r>
          </w:p>
        </w:tc>
        <w:tc>
          <w:tcPr>
            <w:tcW w:w="337" w:type="pct"/>
          </w:tcPr>
          <w:p w14:paraId="62104C36" w14:textId="77777777" w:rsidR="0089207C" w:rsidRPr="006A31EC" w:rsidRDefault="0089207C" w:rsidP="002D3EBF">
            <w:pPr>
              <w:rPr>
                <w:rFonts w:eastAsia="SimSun"/>
                <w:sz w:val="22"/>
                <w:lang w:val="en-US"/>
              </w:rPr>
            </w:pPr>
          </w:p>
        </w:tc>
      </w:tr>
    </w:tbl>
    <w:p w14:paraId="4BC8CC40" w14:textId="77777777" w:rsidR="0089207C" w:rsidRPr="00C07B2E" w:rsidRDefault="0089207C" w:rsidP="0089207C">
      <w:pPr>
        <w:rPr>
          <w:rFonts w:eastAsia="SimSun"/>
        </w:rPr>
        <w:sectPr w:rsidR="0089207C" w:rsidRPr="00C07B2E" w:rsidSect="00980822">
          <w:type w:val="continuous"/>
          <w:pgSz w:w="16839" w:h="11907" w:orient="landscape" w:code="9"/>
          <w:pgMar w:top="1134" w:right="850" w:bottom="1134" w:left="1701" w:header="709" w:footer="567" w:gutter="0"/>
          <w:cols w:space="708"/>
          <w:docGrid w:linePitch="360"/>
        </w:sectPr>
      </w:pPr>
    </w:p>
    <w:p w14:paraId="71507FD3" w14:textId="77777777" w:rsidR="0089207C" w:rsidRPr="00C07B2E" w:rsidRDefault="0089207C" w:rsidP="0089207C">
      <w:pPr>
        <w:rPr>
          <w:rFonts w:eastAsia="SimSun"/>
        </w:rPr>
      </w:pPr>
    </w:p>
    <w:p w14:paraId="3844B3EB" w14:textId="77777777" w:rsidR="0089207C" w:rsidRPr="00C07B2E" w:rsidRDefault="0089207C" w:rsidP="0089207C">
      <w:pPr>
        <w:rPr>
          <w:rFonts w:eastAsia="SimSun"/>
        </w:rPr>
      </w:pPr>
      <w:bookmarkStart w:id="210" w:name="_Toc44401159"/>
      <w:r w:rsidRPr="00042499">
        <w:rPr>
          <w:rFonts w:eastAsia="SimSun"/>
        </w:rPr>
        <w:t>Таблица</w:t>
      </w:r>
      <w:r w:rsidRPr="00C07B2E">
        <w:rPr>
          <w:rFonts w:eastAsia="SimSun"/>
        </w:rPr>
        <w:t xml:space="preserve"> </w:t>
      </w:r>
      <w:r>
        <w:rPr>
          <w:rFonts w:eastAsia="SimSun"/>
        </w:rPr>
        <w:t>5.</w:t>
      </w:r>
      <w:r w:rsidRPr="00C07B2E">
        <w:rPr>
          <w:rFonts w:eastAsia="SimSun"/>
        </w:rPr>
        <w:t>1.2.1  – Flu150+Bu8+Thio / hATG+CSA+MTX+MMF30</w:t>
      </w:r>
      <w:bookmarkEnd w:id="210"/>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89207C" w:rsidRPr="00AC3044" w14:paraId="2197C5D5" w14:textId="77777777" w:rsidTr="002D3EBF">
        <w:trPr>
          <w:cantSplit/>
          <w:trHeight w:val="20"/>
          <w:tblHeader/>
        </w:trPr>
        <w:tc>
          <w:tcPr>
            <w:tcW w:w="993" w:type="dxa"/>
          </w:tcPr>
          <w:p w14:paraId="3EB7185C" w14:textId="77777777" w:rsidR="0089207C" w:rsidRPr="00470D3D" w:rsidRDefault="0089207C" w:rsidP="002D3EBF">
            <w:pPr>
              <w:rPr>
                <w:rFonts w:eastAsia="SimSun"/>
              </w:rPr>
            </w:pPr>
          </w:p>
        </w:tc>
        <w:tc>
          <w:tcPr>
            <w:tcW w:w="1843" w:type="dxa"/>
            <w:vAlign w:val="center"/>
          </w:tcPr>
          <w:p w14:paraId="112E6109" w14:textId="77777777" w:rsidR="0089207C" w:rsidRPr="00AC3044" w:rsidRDefault="0089207C" w:rsidP="002D3EBF">
            <w:pPr>
              <w:rPr>
                <w:rFonts w:eastAsia="SimSun"/>
              </w:rPr>
            </w:pPr>
            <w:r w:rsidRPr="00AC3044">
              <w:rPr>
                <w:rFonts w:eastAsia="SimSun"/>
              </w:rPr>
              <w:t>Препарат</w:t>
            </w:r>
          </w:p>
        </w:tc>
        <w:tc>
          <w:tcPr>
            <w:tcW w:w="1417" w:type="dxa"/>
            <w:vAlign w:val="center"/>
          </w:tcPr>
          <w:p w14:paraId="3B4D410E" w14:textId="77777777" w:rsidR="0089207C" w:rsidRPr="00AC3044" w:rsidRDefault="0089207C" w:rsidP="002D3EBF">
            <w:pPr>
              <w:rPr>
                <w:rFonts w:eastAsia="SimSun"/>
              </w:rPr>
            </w:pPr>
            <w:r w:rsidRPr="00AC3044">
              <w:rPr>
                <w:rFonts w:eastAsia="SimSun"/>
              </w:rPr>
              <w:t>Суточная доза</w:t>
            </w:r>
          </w:p>
        </w:tc>
        <w:tc>
          <w:tcPr>
            <w:tcW w:w="1418" w:type="dxa"/>
            <w:vAlign w:val="center"/>
          </w:tcPr>
          <w:p w14:paraId="1DC58510" w14:textId="77777777" w:rsidR="0089207C" w:rsidRPr="00AC3044" w:rsidRDefault="0089207C" w:rsidP="002D3EBF">
            <w:pPr>
              <w:rPr>
                <w:rFonts w:eastAsia="SimSun"/>
              </w:rPr>
            </w:pPr>
            <w:r w:rsidRPr="00AC3044">
              <w:rPr>
                <w:rFonts w:eastAsia="SimSun"/>
              </w:rPr>
              <w:t>Курсовая доза</w:t>
            </w:r>
          </w:p>
        </w:tc>
        <w:tc>
          <w:tcPr>
            <w:tcW w:w="1701" w:type="dxa"/>
            <w:vAlign w:val="center"/>
          </w:tcPr>
          <w:p w14:paraId="3D8E7B86"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1E258CD0"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5E3F6DD0" w14:textId="77777777" w:rsidTr="002D3EBF">
        <w:trPr>
          <w:cantSplit/>
          <w:trHeight w:val="20"/>
        </w:trPr>
        <w:tc>
          <w:tcPr>
            <w:tcW w:w="993" w:type="dxa"/>
            <w:vMerge w:val="restart"/>
            <w:textDirection w:val="btLr"/>
            <w:vAlign w:val="center"/>
          </w:tcPr>
          <w:p w14:paraId="568D2DAE" w14:textId="77777777" w:rsidR="0089207C" w:rsidRPr="00AC3044" w:rsidRDefault="0089207C" w:rsidP="002D3EBF">
            <w:pPr>
              <w:rPr>
                <w:rFonts w:eastAsia="SimSun"/>
              </w:rPr>
            </w:pPr>
            <w:r w:rsidRPr="00AC3044">
              <w:rPr>
                <w:rFonts w:eastAsia="SimSun"/>
              </w:rPr>
              <w:t>Кондиционирование</w:t>
            </w:r>
          </w:p>
        </w:tc>
        <w:tc>
          <w:tcPr>
            <w:tcW w:w="1843" w:type="dxa"/>
            <w:vAlign w:val="center"/>
          </w:tcPr>
          <w:p w14:paraId="011E59FC" w14:textId="77777777" w:rsidR="0089207C" w:rsidRPr="00AC3044" w:rsidRDefault="0089207C" w:rsidP="002D3EBF">
            <w:pPr>
              <w:rPr>
                <w:rFonts w:eastAsia="SimSun"/>
              </w:rPr>
            </w:pPr>
            <w:r w:rsidRPr="00AC3044">
              <w:rPr>
                <w:rFonts w:eastAsia="SimSun"/>
              </w:rPr>
              <w:t xml:space="preserve">Флударабин </w:t>
            </w:r>
          </w:p>
        </w:tc>
        <w:tc>
          <w:tcPr>
            <w:tcW w:w="1417" w:type="dxa"/>
            <w:vAlign w:val="center"/>
          </w:tcPr>
          <w:p w14:paraId="046ECFFF" w14:textId="77777777" w:rsidR="0089207C" w:rsidRPr="00AC3044" w:rsidRDefault="0089207C" w:rsidP="002D3EBF">
            <w:pPr>
              <w:rPr>
                <w:rFonts w:eastAsia="SimSun"/>
              </w:rPr>
            </w:pPr>
            <w:r w:rsidRPr="00AC3044">
              <w:rPr>
                <w:rFonts w:eastAsia="SimSun"/>
              </w:rPr>
              <w:t>50 мг/м</w:t>
            </w:r>
            <w:r w:rsidRPr="005659AA">
              <w:rPr>
                <w:rFonts w:eastAsia="SimSun"/>
                <w:vertAlign w:val="superscript"/>
              </w:rPr>
              <w:t>2</w:t>
            </w:r>
          </w:p>
        </w:tc>
        <w:tc>
          <w:tcPr>
            <w:tcW w:w="1418" w:type="dxa"/>
            <w:vAlign w:val="center"/>
          </w:tcPr>
          <w:p w14:paraId="2A2E2D00" w14:textId="77777777" w:rsidR="0089207C" w:rsidRPr="00AC3044" w:rsidRDefault="0089207C" w:rsidP="002D3EBF">
            <w:pPr>
              <w:rPr>
                <w:rFonts w:eastAsia="SimSun"/>
              </w:rPr>
            </w:pPr>
            <w:r w:rsidRPr="00AC3044">
              <w:rPr>
                <w:rFonts w:eastAsia="SimSun"/>
              </w:rPr>
              <w:t>150 мг/м</w:t>
            </w:r>
            <w:r w:rsidRPr="005659AA">
              <w:rPr>
                <w:rFonts w:eastAsia="SimSun"/>
                <w:vertAlign w:val="superscript"/>
              </w:rPr>
              <w:t>2</w:t>
            </w:r>
          </w:p>
        </w:tc>
        <w:tc>
          <w:tcPr>
            <w:tcW w:w="1701" w:type="dxa"/>
            <w:vAlign w:val="center"/>
          </w:tcPr>
          <w:p w14:paraId="48812349" w14:textId="77777777" w:rsidR="0089207C" w:rsidRPr="00AC3044" w:rsidRDefault="0089207C" w:rsidP="002D3EBF">
            <w:pPr>
              <w:rPr>
                <w:rFonts w:eastAsia="SimSun"/>
              </w:rPr>
            </w:pPr>
            <w:r w:rsidRPr="00AC3044">
              <w:rPr>
                <w:rFonts w:eastAsia="SimSun"/>
              </w:rPr>
              <w:t>С –4 по –2 день</w:t>
            </w:r>
          </w:p>
        </w:tc>
        <w:tc>
          <w:tcPr>
            <w:tcW w:w="2268" w:type="dxa"/>
            <w:vAlign w:val="center"/>
          </w:tcPr>
          <w:p w14:paraId="1D33909C"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20F1419B" w14:textId="77777777" w:rsidTr="002D3EBF">
        <w:trPr>
          <w:cantSplit/>
          <w:trHeight w:val="731"/>
        </w:trPr>
        <w:tc>
          <w:tcPr>
            <w:tcW w:w="993" w:type="dxa"/>
            <w:vMerge/>
            <w:textDirection w:val="btLr"/>
            <w:vAlign w:val="center"/>
          </w:tcPr>
          <w:p w14:paraId="4264A6CB" w14:textId="77777777" w:rsidR="0089207C" w:rsidRPr="00AC3044" w:rsidRDefault="0089207C" w:rsidP="002D3EBF">
            <w:pPr>
              <w:rPr>
                <w:rFonts w:eastAsia="SimSun"/>
              </w:rPr>
            </w:pPr>
          </w:p>
        </w:tc>
        <w:tc>
          <w:tcPr>
            <w:tcW w:w="1843" w:type="dxa"/>
            <w:vAlign w:val="center"/>
          </w:tcPr>
          <w:p w14:paraId="2A5F989B" w14:textId="77777777" w:rsidR="0089207C" w:rsidRPr="00AC3044" w:rsidRDefault="0089207C" w:rsidP="002D3EBF">
            <w:pPr>
              <w:rPr>
                <w:rFonts w:eastAsia="SimSun"/>
              </w:rPr>
            </w:pPr>
            <w:r w:rsidRPr="00AC3044">
              <w:rPr>
                <w:rFonts w:eastAsia="SimSun"/>
              </w:rPr>
              <w:t>Бусульфан</w:t>
            </w:r>
          </w:p>
        </w:tc>
        <w:tc>
          <w:tcPr>
            <w:tcW w:w="1417" w:type="dxa"/>
            <w:vAlign w:val="center"/>
          </w:tcPr>
          <w:p w14:paraId="306E4A80" w14:textId="77777777" w:rsidR="0089207C" w:rsidRPr="00AC3044" w:rsidRDefault="0089207C" w:rsidP="002D3EBF">
            <w:pPr>
              <w:rPr>
                <w:rFonts w:eastAsia="SimSun"/>
              </w:rPr>
            </w:pPr>
            <w:r w:rsidRPr="00AC3044">
              <w:rPr>
                <w:rFonts w:eastAsia="SimSun"/>
              </w:rPr>
              <w:t>4 мг/кг</w:t>
            </w:r>
          </w:p>
        </w:tc>
        <w:tc>
          <w:tcPr>
            <w:tcW w:w="1418" w:type="dxa"/>
            <w:vAlign w:val="center"/>
          </w:tcPr>
          <w:p w14:paraId="122CE253" w14:textId="77777777" w:rsidR="0089207C" w:rsidRPr="00AC3044" w:rsidRDefault="0089207C" w:rsidP="002D3EBF">
            <w:pPr>
              <w:rPr>
                <w:rFonts w:eastAsia="SimSun"/>
              </w:rPr>
            </w:pPr>
            <w:r w:rsidRPr="00AC3044">
              <w:rPr>
                <w:rFonts w:eastAsia="SimSun"/>
              </w:rPr>
              <w:t>8 мг/кг</w:t>
            </w:r>
          </w:p>
        </w:tc>
        <w:tc>
          <w:tcPr>
            <w:tcW w:w="1701" w:type="dxa"/>
            <w:vAlign w:val="center"/>
          </w:tcPr>
          <w:p w14:paraId="5EF34B1D" w14:textId="77777777" w:rsidR="0089207C" w:rsidRPr="00AC3044" w:rsidRDefault="0089207C" w:rsidP="002D3EBF">
            <w:pPr>
              <w:rPr>
                <w:rFonts w:eastAsia="SimSun"/>
              </w:rPr>
            </w:pPr>
            <w:r w:rsidRPr="00AC3044">
              <w:rPr>
                <w:rFonts w:eastAsia="SimSun"/>
              </w:rPr>
              <w:t>–3, –2 дни</w:t>
            </w:r>
          </w:p>
        </w:tc>
        <w:tc>
          <w:tcPr>
            <w:tcW w:w="2268" w:type="dxa"/>
            <w:vAlign w:val="center"/>
          </w:tcPr>
          <w:p w14:paraId="369583E2"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w:t>
            </w:r>
          </w:p>
        </w:tc>
      </w:tr>
      <w:tr w:rsidR="0089207C" w:rsidRPr="00AC3044" w14:paraId="65B1C9DC" w14:textId="77777777" w:rsidTr="002D3EBF">
        <w:trPr>
          <w:cantSplit/>
          <w:trHeight w:val="700"/>
        </w:trPr>
        <w:tc>
          <w:tcPr>
            <w:tcW w:w="993" w:type="dxa"/>
            <w:vMerge/>
            <w:textDirection w:val="btLr"/>
            <w:vAlign w:val="center"/>
          </w:tcPr>
          <w:p w14:paraId="626E9C3E" w14:textId="77777777" w:rsidR="0089207C" w:rsidRPr="00AC3044" w:rsidRDefault="0089207C" w:rsidP="002D3EBF">
            <w:pPr>
              <w:rPr>
                <w:rFonts w:eastAsia="SimSun"/>
              </w:rPr>
            </w:pPr>
          </w:p>
        </w:tc>
        <w:tc>
          <w:tcPr>
            <w:tcW w:w="1843" w:type="dxa"/>
            <w:vAlign w:val="center"/>
          </w:tcPr>
          <w:p w14:paraId="486CD48F" w14:textId="77777777" w:rsidR="0089207C" w:rsidRPr="00AC3044" w:rsidRDefault="0089207C" w:rsidP="002D3EBF">
            <w:pPr>
              <w:rPr>
                <w:rFonts w:eastAsia="SimSun"/>
              </w:rPr>
            </w:pPr>
            <w:r w:rsidRPr="00AC3044">
              <w:rPr>
                <w:rFonts w:eastAsia="SimSun"/>
              </w:rPr>
              <w:t>Тиотепа</w:t>
            </w:r>
          </w:p>
        </w:tc>
        <w:tc>
          <w:tcPr>
            <w:tcW w:w="1417" w:type="dxa"/>
            <w:vAlign w:val="center"/>
          </w:tcPr>
          <w:p w14:paraId="12234A38" w14:textId="77777777" w:rsidR="0089207C" w:rsidRPr="00AC3044" w:rsidRDefault="0089207C" w:rsidP="002D3EBF">
            <w:pPr>
              <w:rPr>
                <w:rFonts w:eastAsia="SimSun"/>
              </w:rPr>
            </w:pPr>
            <w:r w:rsidRPr="00AC3044">
              <w:rPr>
                <w:rFonts w:eastAsia="SimSun"/>
              </w:rPr>
              <w:t>5 мг/кг</w:t>
            </w:r>
          </w:p>
        </w:tc>
        <w:tc>
          <w:tcPr>
            <w:tcW w:w="1418" w:type="dxa"/>
            <w:vAlign w:val="center"/>
          </w:tcPr>
          <w:p w14:paraId="6EE2F8C5" w14:textId="77777777" w:rsidR="0089207C" w:rsidRPr="00AC3044" w:rsidRDefault="0089207C" w:rsidP="002D3EBF">
            <w:pPr>
              <w:rPr>
                <w:rFonts w:eastAsia="SimSun"/>
              </w:rPr>
            </w:pPr>
            <w:r w:rsidRPr="00AC3044">
              <w:rPr>
                <w:rFonts w:eastAsia="SimSun"/>
              </w:rPr>
              <w:t>10 мг/кг</w:t>
            </w:r>
          </w:p>
        </w:tc>
        <w:tc>
          <w:tcPr>
            <w:tcW w:w="1701" w:type="dxa"/>
            <w:vAlign w:val="center"/>
          </w:tcPr>
          <w:p w14:paraId="146E80C6" w14:textId="77777777" w:rsidR="0089207C" w:rsidRPr="00AC3044" w:rsidRDefault="0089207C" w:rsidP="002D3EBF">
            <w:pPr>
              <w:rPr>
                <w:rFonts w:eastAsia="SimSun"/>
              </w:rPr>
            </w:pPr>
            <w:r w:rsidRPr="00AC3044">
              <w:rPr>
                <w:rFonts w:eastAsia="SimSun"/>
              </w:rPr>
              <w:t>-6,-5 дни</w:t>
            </w:r>
          </w:p>
        </w:tc>
        <w:tc>
          <w:tcPr>
            <w:tcW w:w="2268" w:type="dxa"/>
            <w:vAlign w:val="center"/>
          </w:tcPr>
          <w:p w14:paraId="6E4EF249" w14:textId="77777777" w:rsidR="0089207C" w:rsidRPr="00AC3044" w:rsidRDefault="0089207C" w:rsidP="002D3EBF">
            <w:pPr>
              <w:rPr>
                <w:rFonts w:eastAsia="SimSun"/>
              </w:rPr>
            </w:pPr>
            <w:r w:rsidRPr="00AC3044">
              <w:rPr>
                <w:rFonts w:eastAsia="SimSun"/>
              </w:rPr>
              <w:t>В/в, в течение 2 ч</w:t>
            </w:r>
          </w:p>
        </w:tc>
      </w:tr>
      <w:tr w:rsidR="0089207C" w:rsidRPr="00AC3044" w14:paraId="1C2D48CE" w14:textId="77777777" w:rsidTr="002D3EBF">
        <w:trPr>
          <w:cantSplit/>
          <w:trHeight w:val="20"/>
        </w:trPr>
        <w:tc>
          <w:tcPr>
            <w:tcW w:w="993" w:type="dxa"/>
            <w:vMerge w:val="restart"/>
            <w:textDirection w:val="btLr"/>
          </w:tcPr>
          <w:p w14:paraId="7099FA20" w14:textId="77777777" w:rsidR="0089207C" w:rsidRPr="00AC3044" w:rsidRDefault="0089207C" w:rsidP="002D3EBF">
            <w:pPr>
              <w:rPr>
                <w:rFonts w:eastAsia="SimSun"/>
              </w:rPr>
            </w:pPr>
            <w:r w:rsidRPr="00AC3044">
              <w:rPr>
                <w:rFonts w:eastAsia="SimSun"/>
              </w:rPr>
              <w:t>Профилактика РТПХ</w:t>
            </w:r>
          </w:p>
        </w:tc>
        <w:tc>
          <w:tcPr>
            <w:tcW w:w="1843" w:type="dxa"/>
            <w:vAlign w:val="center"/>
          </w:tcPr>
          <w:p w14:paraId="5E1D8B78" w14:textId="77777777" w:rsidR="0089207C" w:rsidRPr="00AC3044" w:rsidRDefault="0089207C" w:rsidP="002D3EBF">
            <w:pPr>
              <w:rPr>
                <w:rFonts w:eastAsia="SimSun"/>
              </w:rPr>
            </w:pPr>
            <w:r w:rsidRPr="00AC3044">
              <w:rPr>
                <w:rFonts w:eastAsia="SimSun"/>
              </w:rPr>
              <w:t>АТГ (лошадиный)</w:t>
            </w:r>
          </w:p>
        </w:tc>
        <w:tc>
          <w:tcPr>
            <w:tcW w:w="1417" w:type="dxa"/>
            <w:vAlign w:val="center"/>
          </w:tcPr>
          <w:p w14:paraId="2E7C5F86" w14:textId="77777777" w:rsidR="0089207C" w:rsidRPr="00AC3044" w:rsidRDefault="0089207C" w:rsidP="002D3EBF">
            <w:pPr>
              <w:rPr>
                <w:rFonts w:eastAsia="SimSun"/>
              </w:rPr>
            </w:pPr>
            <w:r w:rsidRPr="00AC3044">
              <w:rPr>
                <w:rFonts w:eastAsia="SimSun"/>
              </w:rPr>
              <w:t>10-15 мг/кг</w:t>
            </w:r>
          </w:p>
        </w:tc>
        <w:tc>
          <w:tcPr>
            <w:tcW w:w="1418" w:type="dxa"/>
            <w:vAlign w:val="center"/>
          </w:tcPr>
          <w:p w14:paraId="746964DA" w14:textId="77777777" w:rsidR="0089207C" w:rsidRPr="00AC3044" w:rsidRDefault="0089207C" w:rsidP="002D3EBF">
            <w:pPr>
              <w:rPr>
                <w:rFonts w:eastAsia="SimSun"/>
              </w:rPr>
            </w:pPr>
            <w:r w:rsidRPr="00AC3044">
              <w:rPr>
                <w:rFonts w:eastAsia="SimSun"/>
              </w:rPr>
              <w:t>40-60 мг/кг</w:t>
            </w:r>
          </w:p>
        </w:tc>
        <w:tc>
          <w:tcPr>
            <w:tcW w:w="1701" w:type="dxa"/>
            <w:vAlign w:val="center"/>
          </w:tcPr>
          <w:p w14:paraId="0A4F02D9" w14:textId="77777777" w:rsidR="0089207C" w:rsidRPr="00AC3044" w:rsidRDefault="0089207C" w:rsidP="002D3EBF">
            <w:pPr>
              <w:rPr>
                <w:rFonts w:eastAsia="SimSun"/>
              </w:rPr>
            </w:pPr>
            <w:r w:rsidRPr="00AC3044">
              <w:rPr>
                <w:rFonts w:eastAsia="SimSun"/>
              </w:rPr>
              <w:t>С –4 по –1 день</w:t>
            </w:r>
          </w:p>
        </w:tc>
        <w:tc>
          <w:tcPr>
            <w:tcW w:w="2268" w:type="dxa"/>
            <w:vAlign w:val="center"/>
          </w:tcPr>
          <w:p w14:paraId="142CF7DB" w14:textId="77777777" w:rsidR="0089207C" w:rsidRPr="00AC3044" w:rsidRDefault="0089207C" w:rsidP="002D3EBF">
            <w:pPr>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 xml:space="preserve"> «Инфузия АТГ») </w:t>
            </w:r>
          </w:p>
        </w:tc>
      </w:tr>
      <w:tr w:rsidR="0089207C" w:rsidRPr="00AC3044" w14:paraId="64133D25" w14:textId="77777777" w:rsidTr="002D3EBF">
        <w:trPr>
          <w:cantSplit/>
          <w:trHeight w:val="20"/>
        </w:trPr>
        <w:tc>
          <w:tcPr>
            <w:tcW w:w="993" w:type="dxa"/>
            <w:vMerge/>
            <w:textDirection w:val="btLr"/>
          </w:tcPr>
          <w:p w14:paraId="104EBBD0" w14:textId="77777777" w:rsidR="0089207C" w:rsidRPr="00AC3044" w:rsidRDefault="0089207C" w:rsidP="002D3EBF">
            <w:pPr>
              <w:rPr>
                <w:rFonts w:eastAsia="SimSun"/>
              </w:rPr>
            </w:pPr>
          </w:p>
        </w:tc>
        <w:tc>
          <w:tcPr>
            <w:tcW w:w="1843" w:type="dxa"/>
            <w:vAlign w:val="center"/>
          </w:tcPr>
          <w:p w14:paraId="3787DE26" w14:textId="77777777" w:rsidR="0089207C" w:rsidRPr="00AC3044" w:rsidRDefault="0089207C" w:rsidP="002D3EBF">
            <w:pPr>
              <w:rPr>
                <w:rFonts w:eastAsia="SimSun"/>
              </w:rPr>
            </w:pPr>
            <w:r w:rsidRPr="00AC3044">
              <w:rPr>
                <w:rFonts w:eastAsia="SimSun"/>
              </w:rPr>
              <w:t>Циклоспорин</w:t>
            </w:r>
          </w:p>
        </w:tc>
        <w:tc>
          <w:tcPr>
            <w:tcW w:w="1417" w:type="dxa"/>
            <w:vAlign w:val="center"/>
          </w:tcPr>
          <w:p w14:paraId="72622B7F" w14:textId="77777777" w:rsidR="0089207C" w:rsidRPr="00AC3044" w:rsidRDefault="0089207C" w:rsidP="002D3EBF">
            <w:pPr>
              <w:rPr>
                <w:rFonts w:eastAsia="SimSun"/>
              </w:rPr>
            </w:pPr>
            <w:r w:rsidRPr="00AC3044">
              <w:rPr>
                <w:rFonts w:eastAsia="SimSun"/>
              </w:rPr>
              <w:t>3 мг/кг</w:t>
            </w:r>
          </w:p>
        </w:tc>
        <w:tc>
          <w:tcPr>
            <w:tcW w:w="1418" w:type="dxa"/>
            <w:vAlign w:val="center"/>
          </w:tcPr>
          <w:p w14:paraId="3B2BA338" w14:textId="77777777" w:rsidR="0089207C" w:rsidRPr="00AC3044" w:rsidRDefault="0089207C" w:rsidP="002D3EBF">
            <w:pPr>
              <w:rPr>
                <w:rFonts w:eastAsia="SimSun"/>
              </w:rPr>
            </w:pPr>
            <w:r w:rsidRPr="00AC3044">
              <w:rPr>
                <w:rFonts w:eastAsia="SimSun"/>
              </w:rPr>
              <w:t>–</w:t>
            </w:r>
          </w:p>
        </w:tc>
        <w:tc>
          <w:tcPr>
            <w:tcW w:w="1701" w:type="dxa"/>
            <w:vAlign w:val="center"/>
          </w:tcPr>
          <w:p w14:paraId="14216D65" w14:textId="77777777" w:rsidR="0089207C" w:rsidRPr="00AC3044" w:rsidRDefault="0089207C" w:rsidP="002D3EBF">
            <w:pPr>
              <w:rPr>
                <w:rFonts w:eastAsia="SimSun"/>
              </w:rPr>
            </w:pPr>
            <w:r w:rsidRPr="00AC3044">
              <w:rPr>
                <w:rFonts w:eastAsia="SimSun"/>
              </w:rPr>
              <w:t>С –1 дня по +90 день, затем постепенное снижение к +180 дню</w:t>
            </w:r>
          </w:p>
        </w:tc>
        <w:tc>
          <w:tcPr>
            <w:tcW w:w="2268" w:type="dxa"/>
            <w:vAlign w:val="center"/>
          </w:tcPr>
          <w:p w14:paraId="616E6B32" w14:textId="77777777" w:rsidR="0089207C" w:rsidRPr="00AC3044" w:rsidRDefault="0089207C" w:rsidP="002D3EBF">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 xml:space="preserve">х </w:t>
            </w:r>
            <w:r w:rsidRPr="00AC3044">
              <w:rPr>
                <w:rFonts w:eastAsia="SimSun"/>
              </w:rPr>
              <w:t>10</w:t>
            </w:r>
            <w:r w:rsidRPr="000C00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150-350 нг/мл  </w:t>
            </w:r>
          </w:p>
        </w:tc>
      </w:tr>
      <w:tr w:rsidR="0089207C" w:rsidRPr="00AC3044" w14:paraId="389B03AA" w14:textId="77777777" w:rsidTr="002D3EBF">
        <w:trPr>
          <w:cantSplit/>
          <w:trHeight w:val="20"/>
        </w:trPr>
        <w:tc>
          <w:tcPr>
            <w:tcW w:w="993" w:type="dxa"/>
            <w:vMerge/>
          </w:tcPr>
          <w:p w14:paraId="511DA86E" w14:textId="77777777" w:rsidR="0089207C" w:rsidRPr="00AC3044" w:rsidRDefault="0089207C" w:rsidP="002D3EBF">
            <w:pPr>
              <w:rPr>
                <w:rFonts w:eastAsia="SimSun"/>
              </w:rPr>
            </w:pPr>
          </w:p>
        </w:tc>
        <w:tc>
          <w:tcPr>
            <w:tcW w:w="1843" w:type="dxa"/>
            <w:vMerge w:val="restart"/>
            <w:vAlign w:val="center"/>
          </w:tcPr>
          <w:p w14:paraId="79D364B1" w14:textId="77777777" w:rsidR="0089207C" w:rsidRPr="00AC3044" w:rsidRDefault="0089207C" w:rsidP="002D3EBF">
            <w:pPr>
              <w:rPr>
                <w:rFonts w:eastAsia="SimSun"/>
              </w:rPr>
            </w:pPr>
            <w:r w:rsidRPr="00AC3044">
              <w:rPr>
                <w:rFonts w:eastAsia="SimSun"/>
              </w:rPr>
              <w:t>Метотрексат</w:t>
            </w:r>
          </w:p>
        </w:tc>
        <w:tc>
          <w:tcPr>
            <w:tcW w:w="1417" w:type="dxa"/>
            <w:vAlign w:val="center"/>
          </w:tcPr>
          <w:p w14:paraId="3DCAC73F" w14:textId="77777777" w:rsidR="0089207C" w:rsidRPr="00AC3044" w:rsidRDefault="0089207C" w:rsidP="002D3EBF">
            <w:pPr>
              <w:rPr>
                <w:rFonts w:eastAsia="SimSun"/>
              </w:rPr>
            </w:pPr>
            <w:r w:rsidRPr="00AC3044">
              <w:rPr>
                <w:rFonts w:eastAsia="SimSun"/>
              </w:rPr>
              <w:t>15 мг/м</w:t>
            </w:r>
            <w:r w:rsidRPr="000C005F">
              <w:rPr>
                <w:rFonts w:eastAsia="SimSun"/>
                <w:vertAlign w:val="superscript"/>
              </w:rPr>
              <w:t>2</w:t>
            </w:r>
          </w:p>
        </w:tc>
        <w:tc>
          <w:tcPr>
            <w:tcW w:w="1418" w:type="dxa"/>
            <w:vAlign w:val="center"/>
          </w:tcPr>
          <w:p w14:paraId="274A99EC" w14:textId="77777777" w:rsidR="0089207C" w:rsidRPr="00AC3044" w:rsidRDefault="0089207C" w:rsidP="002D3EBF">
            <w:pPr>
              <w:rPr>
                <w:rFonts w:eastAsia="SimSun"/>
              </w:rPr>
            </w:pPr>
            <w:r w:rsidRPr="00AC3044">
              <w:rPr>
                <w:rFonts w:eastAsia="SimSun"/>
              </w:rPr>
              <w:t>–</w:t>
            </w:r>
          </w:p>
        </w:tc>
        <w:tc>
          <w:tcPr>
            <w:tcW w:w="1701" w:type="dxa"/>
            <w:vAlign w:val="center"/>
          </w:tcPr>
          <w:p w14:paraId="73FFCAFF" w14:textId="77777777" w:rsidR="0089207C" w:rsidRPr="00AC3044" w:rsidRDefault="0089207C" w:rsidP="002D3EBF">
            <w:pPr>
              <w:rPr>
                <w:rFonts w:eastAsia="SimSun"/>
              </w:rPr>
            </w:pPr>
            <w:r w:rsidRPr="00AC3044">
              <w:rPr>
                <w:rFonts w:eastAsia="SimSun"/>
              </w:rPr>
              <w:t>+1 день</w:t>
            </w:r>
          </w:p>
        </w:tc>
        <w:tc>
          <w:tcPr>
            <w:tcW w:w="2268" w:type="dxa"/>
            <w:vAlign w:val="center"/>
          </w:tcPr>
          <w:p w14:paraId="371B97CA" w14:textId="77777777" w:rsidR="0089207C" w:rsidRPr="00AC3044" w:rsidRDefault="0089207C" w:rsidP="002D3EBF">
            <w:pPr>
              <w:rPr>
                <w:rFonts w:eastAsia="SimSun"/>
              </w:rPr>
            </w:pPr>
            <w:r w:rsidRPr="00AC3044">
              <w:rPr>
                <w:rFonts w:eastAsia="SimSun"/>
              </w:rPr>
              <w:t xml:space="preserve">В/в, в 20 мл физ. р-ра </w:t>
            </w:r>
          </w:p>
        </w:tc>
      </w:tr>
      <w:tr w:rsidR="0089207C" w:rsidRPr="00AC3044" w14:paraId="01156766" w14:textId="77777777" w:rsidTr="002D3EBF">
        <w:trPr>
          <w:cantSplit/>
          <w:trHeight w:val="464"/>
        </w:trPr>
        <w:tc>
          <w:tcPr>
            <w:tcW w:w="993" w:type="dxa"/>
            <w:vMerge/>
          </w:tcPr>
          <w:p w14:paraId="2DE85E16" w14:textId="77777777" w:rsidR="0089207C" w:rsidRPr="00AC3044" w:rsidRDefault="0089207C" w:rsidP="002D3EBF">
            <w:pPr>
              <w:rPr>
                <w:rFonts w:eastAsia="SimSun"/>
              </w:rPr>
            </w:pPr>
          </w:p>
        </w:tc>
        <w:tc>
          <w:tcPr>
            <w:tcW w:w="1843" w:type="dxa"/>
            <w:vMerge/>
            <w:vAlign w:val="center"/>
          </w:tcPr>
          <w:p w14:paraId="466E36DA" w14:textId="77777777" w:rsidR="0089207C" w:rsidRPr="00AC3044" w:rsidRDefault="0089207C" w:rsidP="002D3EBF">
            <w:pPr>
              <w:rPr>
                <w:rFonts w:eastAsia="SimSun"/>
              </w:rPr>
            </w:pPr>
          </w:p>
        </w:tc>
        <w:tc>
          <w:tcPr>
            <w:tcW w:w="1417" w:type="dxa"/>
            <w:vAlign w:val="center"/>
          </w:tcPr>
          <w:p w14:paraId="0D3B2044" w14:textId="77777777" w:rsidR="0089207C" w:rsidRPr="00AC3044" w:rsidRDefault="0089207C" w:rsidP="002D3EBF">
            <w:pPr>
              <w:rPr>
                <w:rFonts w:eastAsia="SimSun"/>
              </w:rPr>
            </w:pPr>
            <w:r w:rsidRPr="00AC3044">
              <w:rPr>
                <w:rFonts w:eastAsia="SimSun"/>
              </w:rPr>
              <w:t>10 мг/м</w:t>
            </w:r>
            <w:r w:rsidRPr="000C005F">
              <w:rPr>
                <w:rFonts w:eastAsia="SimSun"/>
                <w:vertAlign w:val="superscript"/>
              </w:rPr>
              <w:t>2</w:t>
            </w:r>
          </w:p>
        </w:tc>
        <w:tc>
          <w:tcPr>
            <w:tcW w:w="1418" w:type="dxa"/>
            <w:vAlign w:val="center"/>
          </w:tcPr>
          <w:p w14:paraId="305186BA" w14:textId="77777777" w:rsidR="0089207C" w:rsidRPr="00AC3044" w:rsidRDefault="0089207C" w:rsidP="002D3EBF">
            <w:pPr>
              <w:rPr>
                <w:rFonts w:eastAsia="SimSun"/>
              </w:rPr>
            </w:pPr>
            <w:r w:rsidRPr="00AC3044">
              <w:rPr>
                <w:rFonts w:eastAsia="SimSun"/>
              </w:rPr>
              <w:t>–</w:t>
            </w:r>
          </w:p>
        </w:tc>
        <w:tc>
          <w:tcPr>
            <w:tcW w:w="1701" w:type="dxa"/>
            <w:vAlign w:val="center"/>
          </w:tcPr>
          <w:p w14:paraId="42AA65FC" w14:textId="77777777" w:rsidR="0089207C" w:rsidRPr="00AC3044" w:rsidRDefault="0089207C" w:rsidP="002D3EBF">
            <w:pPr>
              <w:rPr>
                <w:rFonts w:eastAsia="SimSun"/>
              </w:rPr>
            </w:pPr>
            <w:r w:rsidRPr="00AC3044">
              <w:rPr>
                <w:rFonts w:eastAsia="SimSun"/>
              </w:rPr>
              <w:t>+3, +6, +11 день</w:t>
            </w:r>
          </w:p>
        </w:tc>
        <w:tc>
          <w:tcPr>
            <w:tcW w:w="2268" w:type="dxa"/>
            <w:vAlign w:val="center"/>
          </w:tcPr>
          <w:p w14:paraId="1E175B47" w14:textId="77777777" w:rsidR="0089207C" w:rsidRPr="00AC3044" w:rsidRDefault="0089207C" w:rsidP="002D3EBF">
            <w:pPr>
              <w:rPr>
                <w:rFonts w:eastAsia="SimSun"/>
              </w:rPr>
            </w:pPr>
            <w:r w:rsidRPr="00AC3044">
              <w:rPr>
                <w:rFonts w:eastAsia="SimSun"/>
              </w:rPr>
              <w:t>В/в, в 20 мл физ. р-ра</w:t>
            </w:r>
          </w:p>
        </w:tc>
      </w:tr>
      <w:tr w:rsidR="0089207C" w:rsidRPr="00AC3044" w14:paraId="62F9EC2E" w14:textId="77777777" w:rsidTr="002D3EBF">
        <w:trPr>
          <w:cantSplit/>
          <w:trHeight w:val="464"/>
        </w:trPr>
        <w:tc>
          <w:tcPr>
            <w:tcW w:w="993" w:type="dxa"/>
            <w:vMerge/>
          </w:tcPr>
          <w:p w14:paraId="2D2C54CD" w14:textId="77777777" w:rsidR="0089207C" w:rsidRPr="00AC3044" w:rsidRDefault="0089207C" w:rsidP="002D3EBF">
            <w:pPr>
              <w:rPr>
                <w:rFonts w:eastAsia="SimSun"/>
              </w:rPr>
            </w:pPr>
          </w:p>
        </w:tc>
        <w:tc>
          <w:tcPr>
            <w:tcW w:w="1843" w:type="dxa"/>
            <w:vMerge w:val="restart"/>
            <w:vAlign w:val="center"/>
          </w:tcPr>
          <w:p w14:paraId="18BDFE6A" w14:textId="77777777" w:rsidR="0089207C" w:rsidRPr="00AC3044" w:rsidRDefault="0089207C" w:rsidP="002D3EBF">
            <w:pPr>
              <w:rPr>
                <w:rFonts w:eastAsia="SimSun"/>
              </w:rPr>
            </w:pPr>
            <w:r w:rsidRPr="00AC3044">
              <w:rPr>
                <w:rFonts w:eastAsia="SimSun"/>
              </w:rPr>
              <w:t>Микофенолата мофетил (только при использовании СКК)</w:t>
            </w:r>
          </w:p>
        </w:tc>
        <w:tc>
          <w:tcPr>
            <w:tcW w:w="1417" w:type="dxa"/>
            <w:vAlign w:val="center"/>
          </w:tcPr>
          <w:p w14:paraId="4BD5E17E" w14:textId="77777777" w:rsidR="0089207C" w:rsidRPr="00AC3044" w:rsidRDefault="0089207C" w:rsidP="002D3EBF">
            <w:pPr>
              <w:rPr>
                <w:rFonts w:eastAsia="SimSun"/>
              </w:rPr>
            </w:pPr>
            <w:r w:rsidRPr="00AC3044">
              <w:rPr>
                <w:rFonts w:eastAsia="SimSun"/>
              </w:rPr>
              <w:t>2000 мг</w:t>
            </w:r>
          </w:p>
        </w:tc>
        <w:tc>
          <w:tcPr>
            <w:tcW w:w="1418" w:type="dxa"/>
            <w:vAlign w:val="center"/>
          </w:tcPr>
          <w:p w14:paraId="67386AB6" w14:textId="77777777" w:rsidR="0089207C" w:rsidRPr="00AC3044" w:rsidRDefault="0089207C" w:rsidP="002D3EBF">
            <w:pPr>
              <w:rPr>
                <w:rFonts w:eastAsia="SimSun"/>
              </w:rPr>
            </w:pPr>
            <w:r w:rsidRPr="00AC3044">
              <w:rPr>
                <w:rFonts w:eastAsia="SimSun"/>
              </w:rPr>
              <w:t>–</w:t>
            </w:r>
          </w:p>
        </w:tc>
        <w:tc>
          <w:tcPr>
            <w:tcW w:w="1701" w:type="dxa"/>
            <w:vAlign w:val="center"/>
          </w:tcPr>
          <w:p w14:paraId="7A62B8A8" w14:textId="77777777" w:rsidR="0089207C" w:rsidRPr="00AC3044" w:rsidRDefault="0089207C" w:rsidP="002D3EBF">
            <w:pPr>
              <w:rPr>
                <w:rFonts w:eastAsia="SimSun"/>
              </w:rPr>
            </w:pPr>
            <w:r w:rsidRPr="00AC3044">
              <w:rPr>
                <w:rFonts w:eastAsia="SimSun"/>
              </w:rPr>
              <w:t>С +1 по +14 день</w:t>
            </w:r>
          </w:p>
        </w:tc>
        <w:tc>
          <w:tcPr>
            <w:tcW w:w="2268" w:type="dxa"/>
            <w:vAlign w:val="center"/>
          </w:tcPr>
          <w:p w14:paraId="3852FE7E" w14:textId="77777777" w:rsidR="0089207C" w:rsidRPr="00AC3044" w:rsidRDefault="0089207C" w:rsidP="002D3EBF">
            <w:pPr>
              <w:rPr>
                <w:rFonts w:eastAsia="SimSun"/>
              </w:rPr>
            </w:pPr>
            <w:r w:rsidRPr="00AC3044">
              <w:rPr>
                <w:rFonts w:eastAsia="SimSun"/>
              </w:rPr>
              <w:t>Внутрь, суммарная суточная доза разделяется на 2- 4 приема (не более 3г/сут).</w:t>
            </w:r>
          </w:p>
        </w:tc>
      </w:tr>
      <w:tr w:rsidR="0089207C" w:rsidRPr="00AC3044" w14:paraId="36EE9247" w14:textId="77777777" w:rsidTr="002D3EBF">
        <w:trPr>
          <w:cantSplit/>
          <w:trHeight w:val="464"/>
        </w:trPr>
        <w:tc>
          <w:tcPr>
            <w:tcW w:w="993" w:type="dxa"/>
            <w:vMerge/>
          </w:tcPr>
          <w:p w14:paraId="28E69AB2" w14:textId="77777777" w:rsidR="0089207C" w:rsidRPr="00AC3044" w:rsidRDefault="0089207C" w:rsidP="002D3EBF">
            <w:pPr>
              <w:rPr>
                <w:rFonts w:eastAsia="SimSun"/>
              </w:rPr>
            </w:pPr>
          </w:p>
        </w:tc>
        <w:tc>
          <w:tcPr>
            <w:tcW w:w="1843" w:type="dxa"/>
            <w:vMerge/>
            <w:vAlign w:val="center"/>
          </w:tcPr>
          <w:p w14:paraId="31C96D6A" w14:textId="77777777" w:rsidR="0089207C" w:rsidRPr="00AC3044" w:rsidRDefault="0089207C" w:rsidP="002D3EBF">
            <w:pPr>
              <w:rPr>
                <w:rFonts w:eastAsia="SimSun"/>
              </w:rPr>
            </w:pPr>
          </w:p>
        </w:tc>
        <w:tc>
          <w:tcPr>
            <w:tcW w:w="1417" w:type="dxa"/>
            <w:vAlign w:val="center"/>
          </w:tcPr>
          <w:p w14:paraId="177751AE" w14:textId="77777777" w:rsidR="0089207C" w:rsidRPr="00AC3044" w:rsidRDefault="0089207C" w:rsidP="002D3EBF">
            <w:pPr>
              <w:rPr>
                <w:rFonts w:eastAsia="SimSun"/>
              </w:rPr>
            </w:pPr>
            <w:r w:rsidRPr="00AC3044">
              <w:rPr>
                <w:rFonts w:eastAsia="SimSun"/>
              </w:rPr>
              <w:t>1000 мг</w:t>
            </w:r>
          </w:p>
        </w:tc>
        <w:tc>
          <w:tcPr>
            <w:tcW w:w="1418" w:type="dxa"/>
            <w:vAlign w:val="center"/>
          </w:tcPr>
          <w:p w14:paraId="57852F57" w14:textId="77777777" w:rsidR="0089207C" w:rsidRPr="00AC3044" w:rsidRDefault="0089207C" w:rsidP="002D3EBF">
            <w:pPr>
              <w:rPr>
                <w:rFonts w:eastAsia="SimSun"/>
              </w:rPr>
            </w:pPr>
            <w:r w:rsidRPr="00AC3044">
              <w:rPr>
                <w:rFonts w:eastAsia="SimSun"/>
              </w:rPr>
              <w:t>–</w:t>
            </w:r>
          </w:p>
        </w:tc>
        <w:tc>
          <w:tcPr>
            <w:tcW w:w="1701" w:type="dxa"/>
            <w:vAlign w:val="center"/>
          </w:tcPr>
          <w:p w14:paraId="2B76001D" w14:textId="77777777" w:rsidR="0089207C" w:rsidRPr="00AC3044" w:rsidRDefault="0089207C" w:rsidP="002D3EBF">
            <w:pPr>
              <w:rPr>
                <w:rFonts w:eastAsia="SimSun"/>
              </w:rPr>
            </w:pPr>
            <w:r w:rsidRPr="00AC3044">
              <w:rPr>
                <w:rFonts w:eastAsia="SimSun"/>
              </w:rPr>
              <w:t>С +15 по +90 день</w:t>
            </w:r>
          </w:p>
        </w:tc>
        <w:tc>
          <w:tcPr>
            <w:tcW w:w="2268" w:type="dxa"/>
            <w:vAlign w:val="center"/>
          </w:tcPr>
          <w:p w14:paraId="68EF1467" w14:textId="77777777" w:rsidR="0089207C" w:rsidRPr="00AC3044" w:rsidRDefault="0089207C" w:rsidP="002D3EBF">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г/сут).</w:t>
            </w:r>
          </w:p>
        </w:tc>
      </w:tr>
    </w:tbl>
    <w:p w14:paraId="796E85FB" w14:textId="77777777" w:rsidR="0089207C" w:rsidRDefault="0089207C" w:rsidP="0089207C">
      <w:pPr>
        <w:rPr>
          <w:rFonts w:eastAsia="SimSun"/>
        </w:rPr>
      </w:pPr>
      <w:bookmarkStart w:id="211" w:name="_Toc44401160"/>
    </w:p>
    <w:p w14:paraId="2016E65F" w14:textId="77777777" w:rsidR="0089207C" w:rsidRPr="00C07B2E" w:rsidRDefault="0089207C" w:rsidP="0089207C">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1.2.2  – Flu150+Bu8+Thio / rATG+CSA+MTX+MMF30</w:t>
      </w:r>
      <w:bookmarkEnd w:id="211"/>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89207C" w:rsidRPr="00AC3044" w14:paraId="3C5501C1" w14:textId="77777777" w:rsidTr="002D3EBF">
        <w:trPr>
          <w:cantSplit/>
          <w:trHeight w:val="20"/>
          <w:tblHeader/>
        </w:trPr>
        <w:tc>
          <w:tcPr>
            <w:tcW w:w="993" w:type="dxa"/>
          </w:tcPr>
          <w:p w14:paraId="29908B7A" w14:textId="77777777" w:rsidR="0089207C" w:rsidRPr="00470D3D" w:rsidRDefault="0089207C" w:rsidP="002D3EBF">
            <w:pPr>
              <w:rPr>
                <w:rFonts w:eastAsia="SimSun"/>
              </w:rPr>
            </w:pPr>
          </w:p>
        </w:tc>
        <w:tc>
          <w:tcPr>
            <w:tcW w:w="1843" w:type="dxa"/>
            <w:vAlign w:val="center"/>
          </w:tcPr>
          <w:p w14:paraId="29438D4E" w14:textId="77777777" w:rsidR="0089207C" w:rsidRPr="00AC3044" w:rsidRDefault="0089207C" w:rsidP="002D3EBF">
            <w:pPr>
              <w:rPr>
                <w:rFonts w:eastAsia="SimSun"/>
              </w:rPr>
            </w:pPr>
            <w:r w:rsidRPr="00AC3044">
              <w:rPr>
                <w:rFonts w:eastAsia="SimSun"/>
              </w:rPr>
              <w:t>Препарат</w:t>
            </w:r>
          </w:p>
        </w:tc>
        <w:tc>
          <w:tcPr>
            <w:tcW w:w="1417" w:type="dxa"/>
            <w:vAlign w:val="center"/>
          </w:tcPr>
          <w:p w14:paraId="1F90B5D7" w14:textId="77777777" w:rsidR="0089207C" w:rsidRPr="00AC3044" w:rsidRDefault="0089207C" w:rsidP="002D3EBF">
            <w:pPr>
              <w:rPr>
                <w:rFonts w:eastAsia="SimSun"/>
              </w:rPr>
            </w:pPr>
            <w:r w:rsidRPr="00AC3044">
              <w:rPr>
                <w:rFonts w:eastAsia="SimSun"/>
              </w:rPr>
              <w:t>Суточная доза</w:t>
            </w:r>
          </w:p>
        </w:tc>
        <w:tc>
          <w:tcPr>
            <w:tcW w:w="1418" w:type="dxa"/>
            <w:vAlign w:val="center"/>
          </w:tcPr>
          <w:p w14:paraId="0D9CBE0B" w14:textId="77777777" w:rsidR="0089207C" w:rsidRPr="00AC3044" w:rsidRDefault="0089207C" w:rsidP="002D3EBF">
            <w:pPr>
              <w:rPr>
                <w:rFonts w:eastAsia="SimSun"/>
              </w:rPr>
            </w:pPr>
            <w:r w:rsidRPr="00AC3044">
              <w:rPr>
                <w:rFonts w:eastAsia="SimSun"/>
              </w:rPr>
              <w:t>Курсовая доза</w:t>
            </w:r>
          </w:p>
        </w:tc>
        <w:tc>
          <w:tcPr>
            <w:tcW w:w="1701" w:type="dxa"/>
            <w:vAlign w:val="center"/>
          </w:tcPr>
          <w:p w14:paraId="513363AB"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3B836F63"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52EB8561" w14:textId="77777777" w:rsidTr="002D3EBF">
        <w:trPr>
          <w:cantSplit/>
          <w:trHeight w:val="20"/>
        </w:trPr>
        <w:tc>
          <w:tcPr>
            <w:tcW w:w="993" w:type="dxa"/>
            <w:vMerge w:val="restart"/>
            <w:textDirection w:val="btLr"/>
            <w:vAlign w:val="center"/>
          </w:tcPr>
          <w:p w14:paraId="24312C52" w14:textId="77777777" w:rsidR="0089207C" w:rsidRPr="00AC3044" w:rsidRDefault="0089207C" w:rsidP="002D3EBF">
            <w:pPr>
              <w:rPr>
                <w:rFonts w:eastAsia="SimSun"/>
              </w:rPr>
            </w:pPr>
            <w:r w:rsidRPr="00AC3044">
              <w:rPr>
                <w:rFonts w:eastAsia="SimSun"/>
              </w:rPr>
              <w:t>Кондиционирование</w:t>
            </w:r>
          </w:p>
        </w:tc>
        <w:tc>
          <w:tcPr>
            <w:tcW w:w="1843" w:type="dxa"/>
            <w:vAlign w:val="center"/>
          </w:tcPr>
          <w:p w14:paraId="0D7E0C26" w14:textId="77777777" w:rsidR="0089207C" w:rsidRPr="00AC3044" w:rsidRDefault="0089207C" w:rsidP="002D3EBF">
            <w:pPr>
              <w:rPr>
                <w:rFonts w:eastAsia="SimSun"/>
              </w:rPr>
            </w:pPr>
            <w:r w:rsidRPr="00AC3044">
              <w:rPr>
                <w:rFonts w:eastAsia="SimSun"/>
              </w:rPr>
              <w:t xml:space="preserve">Флударабин </w:t>
            </w:r>
          </w:p>
        </w:tc>
        <w:tc>
          <w:tcPr>
            <w:tcW w:w="1417" w:type="dxa"/>
            <w:vAlign w:val="center"/>
          </w:tcPr>
          <w:p w14:paraId="37A4D6C9" w14:textId="77777777" w:rsidR="0089207C" w:rsidRPr="00AC3044" w:rsidRDefault="0089207C" w:rsidP="002D3EBF">
            <w:pPr>
              <w:rPr>
                <w:rFonts w:eastAsia="SimSun"/>
              </w:rPr>
            </w:pPr>
            <w:r w:rsidRPr="00AC3044">
              <w:rPr>
                <w:rFonts w:eastAsia="SimSun"/>
              </w:rPr>
              <w:t>50 мг/м</w:t>
            </w:r>
            <w:r w:rsidRPr="000C005F">
              <w:rPr>
                <w:rFonts w:eastAsia="SimSun"/>
                <w:vertAlign w:val="superscript"/>
              </w:rPr>
              <w:t>2</w:t>
            </w:r>
          </w:p>
        </w:tc>
        <w:tc>
          <w:tcPr>
            <w:tcW w:w="1418" w:type="dxa"/>
            <w:vAlign w:val="center"/>
          </w:tcPr>
          <w:p w14:paraId="49D0B3B6" w14:textId="77777777" w:rsidR="0089207C" w:rsidRPr="00AC3044" w:rsidRDefault="0089207C" w:rsidP="002D3EBF">
            <w:pPr>
              <w:rPr>
                <w:rFonts w:eastAsia="SimSun"/>
              </w:rPr>
            </w:pPr>
            <w:r w:rsidRPr="00AC3044">
              <w:rPr>
                <w:rFonts w:eastAsia="SimSun"/>
              </w:rPr>
              <w:t>150 мг/м</w:t>
            </w:r>
            <w:r w:rsidRPr="000C005F">
              <w:rPr>
                <w:rFonts w:eastAsia="SimSun"/>
                <w:vertAlign w:val="superscript"/>
              </w:rPr>
              <w:t>2</w:t>
            </w:r>
          </w:p>
        </w:tc>
        <w:tc>
          <w:tcPr>
            <w:tcW w:w="1701" w:type="dxa"/>
            <w:vAlign w:val="center"/>
          </w:tcPr>
          <w:p w14:paraId="668B2D06" w14:textId="77777777" w:rsidR="0089207C" w:rsidRPr="00AC3044" w:rsidRDefault="0089207C" w:rsidP="002D3EBF">
            <w:pPr>
              <w:rPr>
                <w:rFonts w:eastAsia="SimSun"/>
              </w:rPr>
            </w:pPr>
            <w:r w:rsidRPr="00AC3044">
              <w:rPr>
                <w:rFonts w:eastAsia="SimSun"/>
              </w:rPr>
              <w:t>С –4 по –2 день</w:t>
            </w:r>
          </w:p>
        </w:tc>
        <w:tc>
          <w:tcPr>
            <w:tcW w:w="2268" w:type="dxa"/>
            <w:vAlign w:val="center"/>
          </w:tcPr>
          <w:p w14:paraId="044B2C34"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290484D1" w14:textId="77777777" w:rsidTr="002D3EBF">
        <w:trPr>
          <w:cantSplit/>
          <w:trHeight w:val="687"/>
        </w:trPr>
        <w:tc>
          <w:tcPr>
            <w:tcW w:w="993" w:type="dxa"/>
            <w:vMerge/>
            <w:textDirection w:val="btLr"/>
            <w:vAlign w:val="center"/>
          </w:tcPr>
          <w:p w14:paraId="3068C6D0" w14:textId="77777777" w:rsidR="0089207C" w:rsidRPr="00AC3044" w:rsidRDefault="0089207C" w:rsidP="002D3EBF">
            <w:pPr>
              <w:rPr>
                <w:rFonts w:eastAsia="SimSun"/>
              </w:rPr>
            </w:pPr>
          </w:p>
        </w:tc>
        <w:tc>
          <w:tcPr>
            <w:tcW w:w="1843" w:type="dxa"/>
            <w:vAlign w:val="center"/>
          </w:tcPr>
          <w:p w14:paraId="3E9FD49B" w14:textId="77777777" w:rsidR="0089207C" w:rsidRPr="00AC3044" w:rsidRDefault="0089207C" w:rsidP="002D3EBF">
            <w:pPr>
              <w:rPr>
                <w:rFonts w:eastAsia="SimSun"/>
              </w:rPr>
            </w:pPr>
            <w:r w:rsidRPr="00AC3044">
              <w:rPr>
                <w:rFonts w:eastAsia="SimSun"/>
              </w:rPr>
              <w:t>Бусульфан</w:t>
            </w:r>
          </w:p>
        </w:tc>
        <w:tc>
          <w:tcPr>
            <w:tcW w:w="1417" w:type="dxa"/>
            <w:vAlign w:val="center"/>
          </w:tcPr>
          <w:p w14:paraId="14AC1D3F" w14:textId="77777777" w:rsidR="0089207C" w:rsidRPr="00AC3044" w:rsidRDefault="0089207C" w:rsidP="002D3EBF">
            <w:pPr>
              <w:rPr>
                <w:rFonts w:eastAsia="SimSun"/>
              </w:rPr>
            </w:pPr>
            <w:r w:rsidRPr="00AC3044">
              <w:rPr>
                <w:rFonts w:eastAsia="SimSun"/>
              </w:rPr>
              <w:t>4 мг/кг</w:t>
            </w:r>
          </w:p>
        </w:tc>
        <w:tc>
          <w:tcPr>
            <w:tcW w:w="1418" w:type="dxa"/>
            <w:vAlign w:val="center"/>
          </w:tcPr>
          <w:p w14:paraId="29EAB2AF" w14:textId="77777777" w:rsidR="0089207C" w:rsidRPr="00AC3044" w:rsidRDefault="0089207C" w:rsidP="002D3EBF">
            <w:pPr>
              <w:rPr>
                <w:rFonts w:eastAsia="SimSun"/>
              </w:rPr>
            </w:pPr>
            <w:r w:rsidRPr="00AC3044">
              <w:rPr>
                <w:rFonts w:eastAsia="SimSun"/>
              </w:rPr>
              <w:t>8 мг/кг</w:t>
            </w:r>
          </w:p>
        </w:tc>
        <w:tc>
          <w:tcPr>
            <w:tcW w:w="1701" w:type="dxa"/>
            <w:vAlign w:val="center"/>
          </w:tcPr>
          <w:p w14:paraId="2BD5B147" w14:textId="77777777" w:rsidR="0089207C" w:rsidRPr="00AC3044" w:rsidRDefault="0089207C" w:rsidP="002D3EBF">
            <w:pPr>
              <w:rPr>
                <w:rFonts w:eastAsia="SimSun"/>
              </w:rPr>
            </w:pPr>
            <w:r w:rsidRPr="00AC3044">
              <w:rPr>
                <w:rFonts w:eastAsia="SimSun"/>
              </w:rPr>
              <w:t>–3, –2 дни</w:t>
            </w:r>
          </w:p>
        </w:tc>
        <w:tc>
          <w:tcPr>
            <w:tcW w:w="2268" w:type="dxa"/>
            <w:vAlign w:val="center"/>
          </w:tcPr>
          <w:p w14:paraId="3FFEB221"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w:t>
            </w:r>
          </w:p>
        </w:tc>
      </w:tr>
      <w:tr w:rsidR="0089207C" w:rsidRPr="00AC3044" w14:paraId="19E95C6B" w14:textId="77777777" w:rsidTr="002D3EBF">
        <w:trPr>
          <w:cantSplit/>
          <w:trHeight w:val="697"/>
        </w:trPr>
        <w:tc>
          <w:tcPr>
            <w:tcW w:w="993" w:type="dxa"/>
            <w:vMerge/>
            <w:textDirection w:val="btLr"/>
            <w:vAlign w:val="center"/>
          </w:tcPr>
          <w:p w14:paraId="2D67FDD3" w14:textId="77777777" w:rsidR="0089207C" w:rsidRPr="00AC3044" w:rsidRDefault="0089207C" w:rsidP="002D3EBF">
            <w:pPr>
              <w:rPr>
                <w:rFonts w:eastAsia="SimSun"/>
              </w:rPr>
            </w:pPr>
          </w:p>
        </w:tc>
        <w:tc>
          <w:tcPr>
            <w:tcW w:w="1843" w:type="dxa"/>
            <w:vAlign w:val="center"/>
          </w:tcPr>
          <w:p w14:paraId="09814E77" w14:textId="77777777" w:rsidR="0089207C" w:rsidRPr="00AC3044" w:rsidRDefault="0089207C" w:rsidP="002D3EBF">
            <w:pPr>
              <w:rPr>
                <w:rFonts w:eastAsia="SimSun"/>
              </w:rPr>
            </w:pPr>
            <w:r w:rsidRPr="00AC3044">
              <w:rPr>
                <w:rFonts w:eastAsia="SimSun"/>
              </w:rPr>
              <w:t>Тиотепа</w:t>
            </w:r>
          </w:p>
        </w:tc>
        <w:tc>
          <w:tcPr>
            <w:tcW w:w="1417" w:type="dxa"/>
            <w:vAlign w:val="center"/>
          </w:tcPr>
          <w:p w14:paraId="40ABD14B" w14:textId="77777777" w:rsidR="0089207C" w:rsidRPr="00AC3044" w:rsidRDefault="0089207C" w:rsidP="002D3EBF">
            <w:pPr>
              <w:rPr>
                <w:rFonts w:eastAsia="SimSun"/>
              </w:rPr>
            </w:pPr>
            <w:r w:rsidRPr="00AC3044">
              <w:rPr>
                <w:rFonts w:eastAsia="SimSun"/>
              </w:rPr>
              <w:t>5 мг/кг</w:t>
            </w:r>
          </w:p>
        </w:tc>
        <w:tc>
          <w:tcPr>
            <w:tcW w:w="1418" w:type="dxa"/>
            <w:vAlign w:val="center"/>
          </w:tcPr>
          <w:p w14:paraId="1A890E94" w14:textId="77777777" w:rsidR="0089207C" w:rsidRPr="00AC3044" w:rsidRDefault="0089207C" w:rsidP="002D3EBF">
            <w:pPr>
              <w:rPr>
                <w:rFonts w:eastAsia="SimSun"/>
              </w:rPr>
            </w:pPr>
            <w:r w:rsidRPr="00AC3044">
              <w:rPr>
                <w:rFonts w:eastAsia="SimSun"/>
              </w:rPr>
              <w:t>10 мг/кг</w:t>
            </w:r>
          </w:p>
        </w:tc>
        <w:tc>
          <w:tcPr>
            <w:tcW w:w="1701" w:type="dxa"/>
            <w:vAlign w:val="center"/>
          </w:tcPr>
          <w:p w14:paraId="1700FF90" w14:textId="77777777" w:rsidR="0089207C" w:rsidRPr="00AC3044" w:rsidRDefault="0089207C" w:rsidP="002D3EBF">
            <w:pPr>
              <w:rPr>
                <w:rFonts w:eastAsia="SimSun"/>
              </w:rPr>
            </w:pPr>
            <w:r w:rsidRPr="00AC3044">
              <w:rPr>
                <w:rFonts w:eastAsia="SimSun"/>
              </w:rPr>
              <w:t>-6,-5 дни</w:t>
            </w:r>
          </w:p>
        </w:tc>
        <w:tc>
          <w:tcPr>
            <w:tcW w:w="2268" w:type="dxa"/>
            <w:vAlign w:val="center"/>
          </w:tcPr>
          <w:p w14:paraId="1C58E8D8" w14:textId="77777777" w:rsidR="0089207C" w:rsidRPr="00AC3044" w:rsidRDefault="0089207C" w:rsidP="002D3EBF">
            <w:pPr>
              <w:rPr>
                <w:rFonts w:eastAsia="SimSun"/>
              </w:rPr>
            </w:pPr>
            <w:r w:rsidRPr="00AC3044">
              <w:rPr>
                <w:rFonts w:eastAsia="SimSun"/>
              </w:rPr>
              <w:t>В/в, в течение 2 ч</w:t>
            </w:r>
          </w:p>
        </w:tc>
      </w:tr>
      <w:tr w:rsidR="0089207C" w:rsidRPr="00AC3044" w14:paraId="158861B6" w14:textId="77777777" w:rsidTr="002D3EBF">
        <w:trPr>
          <w:cantSplit/>
          <w:trHeight w:val="20"/>
        </w:trPr>
        <w:tc>
          <w:tcPr>
            <w:tcW w:w="993" w:type="dxa"/>
            <w:vMerge w:val="restart"/>
            <w:textDirection w:val="btLr"/>
            <w:vAlign w:val="center"/>
          </w:tcPr>
          <w:p w14:paraId="288B4652" w14:textId="77777777" w:rsidR="0089207C" w:rsidRPr="00AC3044" w:rsidRDefault="0089207C" w:rsidP="002D3EBF">
            <w:pPr>
              <w:rPr>
                <w:rFonts w:eastAsia="SimSun"/>
              </w:rPr>
            </w:pPr>
            <w:r w:rsidRPr="00AC3044">
              <w:rPr>
                <w:rFonts w:eastAsia="SimSun"/>
              </w:rPr>
              <w:t>Профилактика РТПХ</w:t>
            </w:r>
          </w:p>
        </w:tc>
        <w:tc>
          <w:tcPr>
            <w:tcW w:w="1843" w:type="dxa"/>
            <w:vAlign w:val="center"/>
          </w:tcPr>
          <w:p w14:paraId="02157C47" w14:textId="77777777" w:rsidR="0089207C" w:rsidRPr="00AC3044" w:rsidRDefault="0089207C" w:rsidP="002D3EBF">
            <w:pPr>
              <w:rPr>
                <w:rFonts w:eastAsia="SimSun"/>
              </w:rPr>
            </w:pPr>
            <w:r w:rsidRPr="00AC3044">
              <w:rPr>
                <w:rFonts w:eastAsia="SimSun"/>
              </w:rPr>
              <w:t>АТГ (кроличий)</w:t>
            </w:r>
          </w:p>
        </w:tc>
        <w:tc>
          <w:tcPr>
            <w:tcW w:w="1417" w:type="dxa"/>
            <w:vAlign w:val="center"/>
          </w:tcPr>
          <w:p w14:paraId="0D4D6405" w14:textId="77777777" w:rsidR="0089207C" w:rsidRPr="00AC3044" w:rsidRDefault="0089207C" w:rsidP="002D3EBF">
            <w:pPr>
              <w:rPr>
                <w:rFonts w:eastAsia="SimSun"/>
              </w:rPr>
            </w:pPr>
            <w:r w:rsidRPr="00AC3044">
              <w:rPr>
                <w:rFonts w:eastAsia="SimSun"/>
              </w:rPr>
              <w:t>2,5 мг/кг</w:t>
            </w:r>
          </w:p>
        </w:tc>
        <w:tc>
          <w:tcPr>
            <w:tcW w:w="1418" w:type="dxa"/>
            <w:vAlign w:val="center"/>
          </w:tcPr>
          <w:p w14:paraId="6D02DE72" w14:textId="77777777" w:rsidR="0089207C" w:rsidRPr="00AC3044" w:rsidRDefault="0089207C" w:rsidP="002D3EBF">
            <w:pPr>
              <w:rPr>
                <w:rFonts w:eastAsia="SimSun"/>
              </w:rPr>
            </w:pPr>
            <w:r w:rsidRPr="00AC3044">
              <w:rPr>
                <w:rFonts w:eastAsia="SimSun"/>
              </w:rPr>
              <w:t>5- 7,5 мг/кг2</w:t>
            </w:r>
          </w:p>
        </w:tc>
        <w:tc>
          <w:tcPr>
            <w:tcW w:w="1701" w:type="dxa"/>
            <w:vAlign w:val="center"/>
          </w:tcPr>
          <w:p w14:paraId="221CA8F4" w14:textId="77777777" w:rsidR="0089207C" w:rsidRPr="00AC3044" w:rsidRDefault="0089207C" w:rsidP="002D3EBF">
            <w:pPr>
              <w:rPr>
                <w:rFonts w:eastAsia="SimSun"/>
              </w:rPr>
            </w:pPr>
            <w:r w:rsidRPr="00AC3044">
              <w:rPr>
                <w:rFonts w:eastAsia="SimSun"/>
              </w:rPr>
              <w:t>С –3 по – 2 (-1) день</w:t>
            </w:r>
          </w:p>
        </w:tc>
        <w:tc>
          <w:tcPr>
            <w:tcW w:w="2268" w:type="dxa"/>
            <w:vAlign w:val="center"/>
          </w:tcPr>
          <w:p w14:paraId="408A5269" w14:textId="77777777" w:rsidR="0089207C" w:rsidRPr="00AC3044" w:rsidRDefault="0089207C" w:rsidP="002D3EBF">
            <w:pPr>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 xml:space="preserve">на 2 введения (см. «Инфузия АТГ») </w:t>
            </w:r>
          </w:p>
        </w:tc>
      </w:tr>
      <w:tr w:rsidR="0089207C" w:rsidRPr="00AC3044" w14:paraId="4C275A4F" w14:textId="77777777" w:rsidTr="002D3EBF">
        <w:trPr>
          <w:cantSplit/>
          <w:trHeight w:val="20"/>
        </w:trPr>
        <w:tc>
          <w:tcPr>
            <w:tcW w:w="993" w:type="dxa"/>
            <w:vMerge/>
            <w:textDirection w:val="btLr"/>
            <w:vAlign w:val="center"/>
          </w:tcPr>
          <w:p w14:paraId="2C19353F" w14:textId="77777777" w:rsidR="0089207C" w:rsidRPr="00AC3044" w:rsidRDefault="0089207C" w:rsidP="002D3EBF">
            <w:pPr>
              <w:rPr>
                <w:rFonts w:eastAsia="SimSun"/>
              </w:rPr>
            </w:pPr>
          </w:p>
        </w:tc>
        <w:tc>
          <w:tcPr>
            <w:tcW w:w="1843" w:type="dxa"/>
            <w:vAlign w:val="center"/>
          </w:tcPr>
          <w:p w14:paraId="5E1C7938" w14:textId="77777777" w:rsidR="0089207C" w:rsidRPr="00AC3044" w:rsidRDefault="0089207C" w:rsidP="002D3EBF">
            <w:pPr>
              <w:rPr>
                <w:rFonts w:eastAsia="SimSun"/>
              </w:rPr>
            </w:pPr>
            <w:r w:rsidRPr="00AC3044">
              <w:rPr>
                <w:rFonts w:eastAsia="SimSun"/>
              </w:rPr>
              <w:t>Циклоспорин</w:t>
            </w:r>
          </w:p>
        </w:tc>
        <w:tc>
          <w:tcPr>
            <w:tcW w:w="1417" w:type="dxa"/>
            <w:vAlign w:val="center"/>
          </w:tcPr>
          <w:p w14:paraId="05633031" w14:textId="77777777" w:rsidR="0089207C" w:rsidRPr="00AC3044" w:rsidRDefault="0089207C" w:rsidP="002D3EBF">
            <w:pPr>
              <w:rPr>
                <w:rFonts w:eastAsia="SimSun"/>
              </w:rPr>
            </w:pPr>
            <w:r w:rsidRPr="00AC3044">
              <w:rPr>
                <w:rFonts w:eastAsia="SimSun"/>
              </w:rPr>
              <w:t>3 мг/кг</w:t>
            </w:r>
          </w:p>
        </w:tc>
        <w:tc>
          <w:tcPr>
            <w:tcW w:w="1418" w:type="dxa"/>
            <w:vAlign w:val="center"/>
          </w:tcPr>
          <w:p w14:paraId="493C68EB" w14:textId="77777777" w:rsidR="0089207C" w:rsidRPr="00AC3044" w:rsidRDefault="0089207C" w:rsidP="002D3EBF">
            <w:pPr>
              <w:rPr>
                <w:rFonts w:eastAsia="SimSun"/>
              </w:rPr>
            </w:pPr>
            <w:r w:rsidRPr="00AC3044">
              <w:rPr>
                <w:rFonts w:eastAsia="SimSun"/>
              </w:rPr>
              <w:t>–</w:t>
            </w:r>
          </w:p>
        </w:tc>
        <w:tc>
          <w:tcPr>
            <w:tcW w:w="1701" w:type="dxa"/>
            <w:vAlign w:val="center"/>
          </w:tcPr>
          <w:p w14:paraId="2D91E427" w14:textId="77777777" w:rsidR="0089207C" w:rsidRPr="00AC3044" w:rsidRDefault="0089207C" w:rsidP="002D3EBF">
            <w:pPr>
              <w:rPr>
                <w:rFonts w:eastAsia="SimSun"/>
              </w:rPr>
            </w:pPr>
            <w:r w:rsidRPr="00AC3044">
              <w:rPr>
                <w:rFonts w:eastAsia="SimSun"/>
              </w:rPr>
              <w:t>С –1 дня по +90 день, затем постепенное снижение к +180 дню</w:t>
            </w:r>
          </w:p>
        </w:tc>
        <w:tc>
          <w:tcPr>
            <w:tcW w:w="2268" w:type="dxa"/>
            <w:vAlign w:val="center"/>
          </w:tcPr>
          <w:p w14:paraId="50EA6B68" w14:textId="77777777" w:rsidR="0089207C" w:rsidRPr="00AC3044" w:rsidRDefault="0089207C" w:rsidP="002D3EBF">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150-350 нг/мл  </w:t>
            </w:r>
          </w:p>
        </w:tc>
      </w:tr>
      <w:tr w:rsidR="0089207C" w:rsidRPr="00AC3044" w14:paraId="3E7A1174" w14:textId="77777777" w:rsidTr="002D3EBF">
        <w:trPr>
          <w:cantSplit/>
          <w:trHeight w:val="20"/>
        </w:trPr>
        <w:tc>
          <w:tcPr>
            <w:tcW w:w="993" w:type="dxa"/>
            <w:vMerge/>
            <w:vAlign w:val="center"/>
          </w:tcPr>
          <w:p w14:paraId="1CC06743" w14:textId="77777777" w:rsidR="0089207C" w:rsidRPr="00AC3044" w:rsidRDefault="0089207C" w:rsidP="002D3EBF">
            <w:pPr>
              <w:rPr>
                <w:rFonts w:eastAsia="SimSun"/>
              </w:rPr>
            </w:pPr>
          </w:p>
        </w:tc>
        <w:tc>
          <w:tcPr>
            <w:tcW w:w="1843" w:type="dxa"/>
            <w:vMerge w:val="restart"/>
            <w:vAlign w:val="center"/>
          </w:tcPr>
          <w:p w14:paraId="1C4631A9" w14:textId="77777777" w:rsidR="0089207C" w:rsidRPr="00AC3044" w:rsidRDefault="0089207C" w:rsidP="002D3EBF">
            <w:pPr>
              <w:rPr>
                <w:rFonts w:eastAsia="SimSun"/>
              </w:rPr>
            </w:pPr>
            <w:r w:rsidRPr="00AC3044">
              <w:rPr>
                <w:rFonts w:eastAsia="SimSun"/>
              </w:rPr>
              <w:t>Метотрексат</w:t>
            </w:r>
          </w:p>
        </w:tc>
        <w:tc>
          <w:tcPr>
            <w:tcW w:w="1417" w:type="dxa"/>
            <w:vAlign w:val="center"/>
          </w:tcPr>
          <w:p w14:paraId="4BEBDC56" w14:textId="77777777" w:rsidR="0089207C" w:rsidRPr="00AC3044" w:rsidRDefault="0089207C" w:rsidP="002D3EBF">
            <w:pPr>
              <w:rPr>
                <w:rFonts w:eastAsia="SimSun"/>
              </w:rPr>
            </w:pPr>
            <w:r w:rsidRPr="00AC3044">
              <w:rPr>
                <w:rFonts w:eastAsia="SimSun"/>
              </w:rPr>
              <w:t>15 мг/м</w:t>
            </w:r>
            <w:r w:rsidRPr="000C005F">
              <w:rPr>
                <w:rFonts w:eastAsia="SimSun"/>
                <w:vertAlign w:val="superscript"/>
              </w:rPr>
              <w:t>2</w:t>
            </w:r>
          </w:p>
        </w:tc>
        <w:tc>
          <w:tcPr>
            <w:tcW w:w="1418" w:type="dxa"/>
            <w:vAlign w:val="center"/>
          </w:tcPr>
          <w:p w14:paraId="3270B512" w14:textId="77777777" w:rsidR="0089207C" w:rsidRPr="00AC3044" w:rsidRDefault="0089207C" w:rsidP="002D3EBF">
            <w:pPr>
              <w:rPr>
                <w:rFonts w:eastAsia="SimSun"/>
              </w:rPr>
            </w:pPr>
            <w:r w:rsidRPr="00AC3044">
              <w:rPr>
                <w:rFonts w:eastAsia="SimSun"/>
              </w:rPr>
              <w:t>–</w:t>
            </w:r>
          </w:p>
        </w:tc>
        <w:tc>
          <w:tcPr>
            <w:tcW w:w="1701" w:type="dxa"/>
            <w:vAlign w:val="center"/>
          </w:tcPr>
          <w:p w14:paraId="28DF479C" w14:textId="77777777" w:rsidR="0089207C" w:rsidRPr="00AC3044" w:rsidRDefault="0089207C" w:rsidP="002D3EBF">
            <w:pPr>
              <w:rPr>
                <w:rFonts w:eastAsia="SimSun"/>
              </w:rPr>
            </w:pPr>
            <w:r w:rsidRPr="00AC3044">
              <w:rPr>
                <w:rFonts w:eastAsia="SimSun"/>
              </w:rPr>
              <w:t>+1 день</w:t>
            </w:r>
          </w:p>
        </w:tc>
        <w:tc>
          <w:tcPr>
            <w:tcW w:w="2268" w:type="dxa"/>
            <w:vAlign w:val="center"/>
          </w:tcPr>
          <w:p w14:paraId="18CAFDDF" w14:textId="77777777" w:rsidR="0089207C" w:rsidRPr="00AC3044" w:rsidRDefault="0089207C" w:rsidP="002D3EBF">
            <w:pPr>
              <w:rPr>
                <w:rFonts w:eastAsia="SimSun"/>
              </w:rPr>
            </w:pPr>
            <w:r w:rsidRPr="00AC3044">
              <w:rPr>
                <w:rFonts w:eastAsia="SimSun"/>
              </w:rPr>
              <w:t xml:space="preserve">В/в, в 20 мл физ. р-ра </w:t>
            </w:r>
          </w:p>
        </w:tc>
      </w:tr>
      <w:tr w:rsidR="0089207C" w:rsidRPr="00AC3044" w14:paraId="7228E32B" w14:textId="77777777" w:rsidTr="002D3EBF">
        <w:trPr>
          <w:cantSplit/>
          <w:trHeight w:val="464"/>
        </w:trPr>
        <w:tc>
          <w:tcPr>
            <w:tcW w:w="993" w:type="dxa"/>
            <w:vMerge/>
            <w:vAlign w:val="center"/>
          </w:tcPr>
          <w:p w14:paraId="6BFC66E1" w14:textId="77777777" w:rsidR="0089207C" w:rsidRPr="00AC3044" w:rsidRDefault="0089207C" w:rsidP="002D3EBF">
            <w:pPr>
              <w:rPr>
                <w:rFonts w:eastAsia="SimSun"/>
              </w:rPr>
            </w:pPr>
          </w:p>
        </w:tc>
        <w:tc>
          <w:tcPr>
            <w:tcW w:w="1843" w:type="dxa"/>
            <w:vMerge/>
            <w:vAlign w:val="center"/>
          </w:tcPr>
          <w:p w14:paraId="4D03BA7A" w14:textId="77777777" w:rsidR="0089207C" w:rsidRPr="00AC3044" w:rsidRDefault="0089207C" w:rsidP="002D3EBF">
            <w:pPr>
              <w:rPr>
                <w:rFonts w:eastAsia="SimSun"/>
              </w:rPr>
            </w:pPr>
          </w:p>
        </w:tc>
        <w:tc>
          <w:tcPr>
            <w:tcW w:w="1417" w:type="dxa"/>
            <w:vAlign w:val="center"/>
          </w:tcPr>
          <w:p w14:paraId="2315B429" w14:textId="77777777" w:rsidR="0089207C" w:rsidRPr="00AC3044" w:rsidRDefault="0089207C" w:rsidP="002D3EBF">
            <w:pPr>
              <w:rPr>
                <w:rFonts w:eastAsia="SimSun"/>
              </w:rPr>
            </w:pPr>
            <w:r w:rsidRPr="00AC3044">
              <w:rPr>
                <w:rFonts w:eastAsia="SimSun"/>
              </w:rPr>
              <w:t>10 мг/м</w:t>
            </w:r>
            <w:r w:rsidRPr="000C005F">
              <w:rPr>
                <w:rFonts w:eastAsia="SimSun"/>
                <w:vertAlign w:val="superscript"/>
              </w:rPr>
              <w:t>2</w:t>
            </w:r>
          </w:p>
        </w:tc>
        <w:tc>
          <w:tcPr>
            <w:tcW w:w="1418" w:type="dxa"/>
            <w:vAlign w:val="center"/>
          </w:tcPr>
          <w:p w14:paraId="12AD5A92" w14:textId="77777777" w:rsidR="0089207C" w:rsidRPr="00AC3044" w:rsidRDefault="0089207C" w:rsidP="002D3EBF">
            <w:pPr>
              <w:rPr>
                <w:rFonts w:eastAsia="SimSun"/>
              </w:rPr>
            </w:pPr>
            <w:r w:rsidRPr="00AC3044">
              <w:rPr>
                <w:rFonts w:eastAsia="SimSun"/>
              </w:rPr>
              <w:t>–</w:t>
            </w:r>
          </w:p>
        </w:tc>
        <w:tc>
          <w:tcPr>
            <w:tcW w:w="1701" w:type="dxa"/>
            <w:vAlign w:val="center"/>
          </w:tcPr>
          <w:p w14:paraId="1F784611" w14:textId="77777777" w:rsidR="0089207C" w:rsidRPr="00AC3044" w:rsidRDefault="0089207C" w:rsidP="002D3EBF">
            <w:pPr>
              <w:rPr>
                <w:rFonts w:eastAsia="SimSun"/>
              </w:rPr>
            </w:pPr>
            <w:r w:rsidRPr="00AC3044">
              <w:rPr>
                <w:rFonts w:eastAsia="SimSun"/>
              </w:rPr>
              <w:t>+3, +6, +11 день</w:t>
            </w:r>
          </w:p>
        </w:tc>
        <w:tc>
          <w:tcPr>
            <w:tcW w:w="2268" w:type="dxa"/>
            <w:vAlign w:val="center"/>
          </w:tcPr>
          <w:p w14:paraId="6424C866" w14:textId="77777777" w:rsidR="0089207C" w:rsidRPr="00AC3044" w:rsidRDefault="0089207C" w:rsidP="002D3EBF">
            <w:pPr>
              <w:rPr>
                <w:rFonts w:eastAsia="SimSun"/>
              </w:rPr>
            </w:pPr>
            <w:r w:rsidRPr="00AC3044">
              <w:rPr>
                <w:rFonts w:eastAsia="SimSun"/>
              </w:rPr>
              <w:t xml:space="preserve">В/в, в 20 мл физ. р-ра </w:t>
            </w:r>
          </w:p>
        </w:tc>
      </w:tr>
      <w:tr w:rsidR="0089207C" w:rsidRPr="00AC3044" w14:paraId="1D3FEC60" w14:textId="77777777" w:rsidTr="002D3EBF">
        <w:trPr>
          <w:cantSplit/>
          <w:trHeight w:val="464"/>
        </w:trPr>
        <w:tc>
          <w:tcPr>
            <w:tcW w:w="993" w:type="dxa"/>
            <w:vMerge/>
            <w:vAlign w:val="center"/>
          </w:tcPr>
          <w:p w14:paraId="259FDAF7" w14:textId="77777777" w:rsidR="0089207C" w:rsidRPr="00AC3044" w:rsidRDefault="0089207C" w:rsidP="002D3EBF">
            <w:pPr>
              <w:rPr>
                <w:rFonts w:eastAsia="SimSun"/>
              </w:rPr>
            </w:pPr>
          </w:p>
        </w:tc>
        <w:tc>
          <w:tcPr>
            <w:tcW w:w="1843" w:type="dxa"/>
            <w:vMerge w:val="restart"/>
            <w:vAlign w:val="center"/>
          </w:tcPr>
          <w:p w14:paraId="009FF067" w14:textId="77777777" w:rsidR="0089207C" w:rsidRPr="00AC3044" w:rsidRDefault="0089207C" w:rsidP="002D3EBF">
            <w:pPr>
              <w:rPr>
                <w:rFonts w:eastAsia="SimSun"/>
              </w:rPr>
            </w:pPr>
            <w:r w:rsidRPr="00AC3044">
              <w:rPr>
                <w:rFonts w:eastAsia="SimSun"/>
              </w:rPr>
              <w:t>Микофенолата мофетил (только при использовании СКК)</w:t>
            </w:r>
          </w:p>
        </w:tc>
        <w:tc>
          <w:tcPr>
            <w:tcW w:w="1417" w:type="dxa"/>
            <w:vAlign w:val="center"/>
          </w:tcPr>
          <w:p w14:paraId="12D65B83" w14:textId="77777777" w:rsidR="0089207C" w:rsidRPr="00AC3044" w:rsidRDefault="0089207C" w:rsidP="002D3EBF">
            <w:pPr>
              <w:rPr>
                <w:rFonts w:eastAsia="SimSun"/>
              </w:rPr>
            </w:pPr>
            <w:r w:rsidRPr="00AC3044">
              <w:rPr>
                <w:rFonts w:eastAsia="SimSun"/>
              </w:rPr>
              <w:t>2000 мг</w:t>
            </w:r>
          </w:p>
        </w:tc>
        <w:tc>
          <w:tcPr>
            <w:tcW w:w="1418" w:type="dxa"/>
            <w:vAlign w:val="center"/>
          </w:tcPr>
          <w:p w14:paraId="44817DFE" w14:textId="77777777" w:rsidR="0089207C" w:rsidRPr="00AC3044" w:rsidRDefault="0089207C" w:rsidP="002D3EBF">
            <w:pPr>
              <w:rPr>
                <w:rFonts w:eastAsia="SimSun"/>
              </w:rPr>
            </w:pPr>
            <w:r w:rsidRPr="00AC3044">
              <w:rPr>
                <w:rFonts w:eastAsia="SimSun"/>
              </w:rPr>
              <w:t>–</w:t>
            </w:r>
          </w:p>
        </w:tc>
        <w:tc>
          <w:tcPr>
            <w:tcW w:w="1701" w:type="dxa"/>
            <w:vAlign w:val="center"/>
          </w:tcPr>
          <w:p w14:paraId="36CB509A" w14:textId="77777777" w:rsidR="0089207C" w:rsidRPr="00AC3044" w:rsidRDefault="0089207C" w:rsidP="002D3EBF">
            <w:pPr>
              <w:rPr>
                <w:rFonts w:eastAsia="SimSun"/>
              </w:rPr>
            </w:pPr>
            <w:r w:rsidRPr="00AC3044">
              <w:rPr>
                <w:rFonts w:eastAsia="SimSun"/>
              </w:rPr>
              <w:t>С +1 по +14 день</w:t>
            </w:r>
          </w:p>
        </w:tc>
        <w:tc>
          <w:tcPr>
            <w:tcW w:w="2268" w:type="dxa"/>
            <w:vAlign w:val="center"/>
          </w:tcPr>
          <w:p w14:paraId="30E00581" w14:textId="77777777" w:rsidR="0089207C" w:rsidRPr="00AC3044" w:rsidRDefault="0089207C" w:rsidP="002D3EBF">
            <w:pPr>
              <w:rPr>
                <w:rFonts w:eastAsia="SimSun"/>
              </w:rPr>
            </w:pPr>
            <w:r w:rsidRPr="00AC3044">
              <w:rPr>
                <w:rFonts w:eastAsia="SimSun"/>
              </w:rPr>
              <w:t>Внутрь, суммарная суточная доза разделяется на 2- 4 приема.</w:t>
            </w:r>
          </w:p>
        </w:tc>
      </w:tr>
      <w:tr w:rsidR="0089207C" w:rsidRPr="00AC3044" w14:paraId="084C6D17" w14:textId="77777777" w:rsidTr="002D3EBF">
        <w:trPr>
          <w:cantSplit/>
          <w:trHeight w:val="464"/>
        </w:trPr>
        <w:tc>
          <w:tcPr>
            <w:tcW w:w="993" w:type="dxa"/>
            <w:vMerge/>
            <w:vAlign w:val="center"/>
          </w:tcPr>
          <w:p w14:paraId="385BCF6E" w14:textId="77777777" w:rsidR="0089207C" w:rsidRPr="00AC3044" w:rsidRDefault="0089207C" w:rsidP="002D3EBF">
            <w:pPr>
              <w:rPr>
                <w:rFonts w:eastAsia="SimSun"/>
              </w:rPr>
            </w:pPr>
          </w:p>
        </w:tc>
        <w:tc>
          <w:tcPr>
            <w:tcW w:w="1843" w:type="dxa"/>
            <w:vMerge/>
            <w:vAlign w:val="center"/>
          </w:tcPr>
          <w:p w14:paraId="35317D69" w14:textId="77777777" w:rsidR="0089207C" w:rsidRPr="00AC3044" w:rsidRDefault="0089207C" w:rsidP="002D3EBF">
            <w:pPr>
              <w:rPr>
                <w:rFonts w:eastAsia="SimSun"/>
              </w:rPr>
            </w:pPr>
          </w:p>
        </w:tc>
        <w:tc>
          <w:tcPr>
            <w:tcW w:w="1417" w:type="dxa"/>
            <w:vAlign w:val="center"/>
          </w:tcPr>
          <w:p w14:paraId="46A505CD" w14:textId="77777777" w:rsidR="0089207C" w:rsidRPr="00AC3044" w:rsidRDefault="0089207C" w:rsidP="002D3EBF">
            <w:pPr>
              <w:rPr>
                <w:rFonts w:eastAsia="SimSun"/>
              </w:rPr>
            </w:pPr>
            <w:r w:rsidRPr="00AC3044">
              <w:rPr>
                <w:rFonts w:eastAsia="SimSun"/>
              </w:rPr>
              <w:t>1000 мг</w:t>
            </w:r>
          </w:p>
        </w:tc>
        <w:tc>
          <w:tcPr>
            <w:tcW w:w="1418" w:type="dxa"/>
            <w:vAlign w:val="center"/>
          </w:tcPr>
          <w:p w14:paraId="43DC6F73" w14:textId="77777777" w:rsidR="0089207C" w:rsidRPr="00AC3044" w:rsidRDefault="0089207C" w:rsidP="002D3EBF">
            <w:pPr>
              <w:rPr>
                <w:rFonts w:eastAsia="SimSun"/>
              </w:rPr>
            </w:pPr>
            <w:r w:rsidRPr="00AC3044">
              <w:rPr>
                <w:rFonts w:eastAsia="SimSun"/>
              </w:rPr>
              <w:t>–</w:t>
            </w:r>
          </w:p>
        </w:tc>
        <w:tc>
          <w:tcPr>
            <w:tcW w:w="1701" w:type="dxa"/>
            <w:vAlign w:val="center"/>
          </w:tcPr>
          <w:p w14:paraId="7AAC70C8" w14:textId="77777777" w:rsidR="0089207C" w:rsidRPr="00AC3044" w:rsidRDefault="0089207C" w:rsidP="002D3EBF">
            <w:pPr>
              <w:rPr>
                <w:rFonts w:eastAsia="SimSun"/>
              </w:rPr>
            </w:pPr>
            <w:r w:rsidRPr="00AC3044">
              <w:rPr>
                <w:rFonts w:eastAsia="SimSun"/>
              </w:rPr>
              <w:t>С +15 по +90 день</w:t>
            </w:r>
          </w:p>
        </w:tc>
        <w:tc>
          <w:tcPr>
            <w:tcW w:w="2268" w:type="dxa"/>
            <w:vAlign w:val="center"/>
          </w:tcPr>
          <w:p w14:paraId="446F98F9" w14:textId="77777777" w:rsidR="0089207C" w:rsidRPr="00AC3044" w:rsidRDefault="0089207C" w:rsidP="002D3EBF">
            <w:pPr>
              <w:rPr>
                <w:rFonts w:eastAsia="SimSun"/>
              </w:rPr>
            </w:pPr>
            <w:r w:rsidRPr="00AC3044">
              <w:rPr>
                <w:rFonts w:eastAsia="SimSun"/>
              </w:rPr>
              <w:t>Внутрь, суммарная суточная доза разделяется на 2- 4 приема.</w:t>
            </w:r>
          </w:p>
        </w:tc>
      </w:tr>
    </w:tbl>
    <w:p w14:paraId="7701BCA8" w14:textId="77777777" w:rsidR="0089207C" w:rsidRDefault="0089207C" w:rsidP="0089207C">
      <w:pPr>
        <w:rPr>
          <w:rFonts w:eastAsia="SimSun"/>
        </w:rPr>
      </w:pPr>
      <w:bookmarkStart w:id="212" w:name="_Toc44401161"/>
    </w:p>
    <w:p w14:paraId="18AF66CE" w14:textId="77777777" w:rsidR="0089207C" w:rsidRPr="00C07B2E" w:rsidRDefault="0089207C" w:rsidP="0089207C">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1.2.3 – Flu150+Bu8 / PT-Cy+CSA+MMF45</w:t>
      </w:r>
      <w:bookmarkEnd w:id="212"/>
    </w:p>
    <w:tbl>
      <w:tblPr>
        <w:tblW w:w="9640" w:type="dxa"/>
        <w:tblInd w:w="-34" w:type="dxa"/>
        <w:tblLayout w:type="fixed"/>
        <w:tblCellMar>
          <w:left w:w="10" w:type="dxa"/>
          <w:right w:w="10" w:type="dxa"/>
        </w:tblCellMar>
        <w:tblLook w:val="0000" w:firstRow="0" w:lastRow="0" w:firstColumn="0" w:lastColumn="0" w:noHBand="0" w:noVBand="0"/>
      </w:tblPr>
      <w:tblGrid>
        <w:gridCol w:w="993"/>
        <w:gridCol w:w="1843"/>
        <w:gridCol w:w="1417"/>
        <w:gridCol w:w="1418"/>
        <w:gridCol w:w="1701"/>
        <w:gridCol w:w="2268"/>
      </w:tblGrid>
      <w:tr w:rsidR="0089207C" w:rsidRPr="00AC3044" w14:paraId="1E154858" w14:textId="77777777" w:rsidTr="002D3EBF">
        <w:trPr>
          <w:cantSplit/>
          <w:trHeight w:val="20"/>
          <w:tblHeader/>
        </w:trPr>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07A45C" w14:textId="77777777" w:rsidR="0089207C" w:rsidRPr="00470D3D" w:rsidRDefault="0089207C" w:rsidP="002D3EBF">
            <w:pPr>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C3927C0" w14:textId="77777777" w:rsidR="0089207C" w:rsidRPr="00AC3044" w:rsidRDefault="0089207C" w:rsidP="002D3EBF">
            <w:pPr>
              <w:rPr>
                <w:rFonts w:eastAsia="SimSun"/>
              </w:rPr>
            </w:pPr>
            <w:r w:rsidRPr="00AC3044">
              <w:rPr>
                <w:rFonts w:eastAsia="SimSun"/>
              </w:rPr>
              <w:t>Препарат</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7B6D1C8" w14:textId="77777777" w:rsidR="0089207C" w:rsidRPr="00AC3044" w:rsidRDefault="0089207C" w:rsidP="002D3EBF">
            <w:pPr>
              <w:rPr>
                <w:rFonts w:eastAsia="SimSun"/>
              </w:rPr>
            </w:pPr>
            <w:r w:rsidRPr="00AC3044">
              <w:rPr>
                <w:rFonts w:eastAsia="SimSun"/>
              </w:rPr>
              <w:t>Суточная доза</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B9AC82F" w14:textId="77777777" w:rsidR="0089207C" w:rsidRPr="00AC3044" w:rsidRDefault="0089207C" w:rsidP="002D3EBF">
            <w:pPr>
              <w:rPr>
                <w:rFonts w:eastAsia="SimSun"/>
              </w:rPr>
            </w:pPr>
            <w:r w:rsidRPr="00AC3044">
              <w:rPr>
                <w:rFonts w:eastAsia="SimSun"/>
              </w:rPr>
              <w:t>Курсовая доза</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BFEADCF" w14:textId="77777777" w:rsidR="0089207C" w:rsidRPr="00AC3044" w:rsidRDefault="0089207C" w:rsidP="002D3EBF">
            <w:pPr>
              <w:rPr>
                <w:rFonts w:eastAsia="SimSun"/>
              </w:rPr>
            </w:pPr>
            <w:r w:rsidRPr="00AC3044">
              <w:rPr>
                <w:rFonts w:eastAsia="SimSun"/>
              </w:rPr>
              <w:t>Дни введения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45EA60E"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2FD45704" w14:textId="77777777" w:rsidTr="002D3EBF">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318528F8" w14:textId="77777777" w:rsidR="0089207C" w:rsidRPr="00AC3044" w:rsidRDefault="0089207C" w:rsidP="002D3EBF">
            <w:pPr>
              <w:rPr>
                <w:rFonts w:eastAsia="SimSun"/>
              </w:rPr>
            </w:pPr>
            <w:r w:rsidRPr="00AC3044">
              <w:rPr>
                <w:rFonts w:eastAsia="SimSun"/>
              </w:rPr>
              <w:t>Кондиционирование</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C817321" w14:textId="77777777" w:rsidR="0089207C" w:rsidRPr="00AC3044" w:rsidRDefault="0089207C" w:rsidP="002D3EBF">
            <w:pPr>
              <w:rPr>
                <w:rFonts w:eastAsia="SimSun"/>
              </w:rPr>
            </w:pPr>
            <w:r w:rsidRPr="00AC3044">
              <w:rPr>
                <w:rFonts w:eastAsia="SimSun"/>
              </w:rPr>
              <w:t>Флударабин</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D2AAC4D" w14:textId="77777777" w:rsidR="0089207C" w:rsidRPr="00AC3044" w:rsidRDefault="0089207C" w:rsidP="002D3EBF">
            <w:pPr>
              <w:rPr>
                <w:rFonts w:eastAsia="SimSun"/>
              </w:rPr>
            </w:pPr>
            <w:r w:rsidRPr="00AC3044">
              <w:rPr>
                <w:rFonts w:eastAsia="SimSun"/>
              </w:rPr>
              <w:t>30 мг/м</w:t>
            </w:r>
            <w:r w:rsidRPr="000C005F">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920F4B8" w14:textId="77777777" w:rsidR="0089207C" w:rsidRPr="00AC3044" w:rsidRDefault="0089207C" w:rsidP="002D3EBF">
            <w:pPr>
              <w:rPr>
                <w:rFonts w:eastAsia="SimSun"/>
              </w:rPr>
            </w:pPr>
            <w:r w:rsidRPr="00AC3044">
              <w:rPr>
                <w:rFonts w:eastAsia="SimSun"/>
              </w:rPr>
              <w:t>150 мг/м</w:t>
            </w:r>
            <w:r w:rsidRPr="000C005F">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058FC4E" w14:textId="77777777" w:rsidR="0089207C" w:rsidRPr="00AC3044" w:rsidRDefault="0089207C" w:rsidP="002D3EBF">
            <w:pPr>
              <w:rPr>
                <w:rFonts w:eastAsia="SimSun"/>
              </w:rPr>
            </w:pPr>
            <w:r w:rsidRPr="00AC3044">
              <w:rPr>
                <w:rFonts w:eastAsia="SimSun"/>
              </w:rPr>
              <w:t>С –6 по –2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0D3FE6D"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6CFB47BE" w14:textId="77777777" w:rsidTr="002D3EBF">
        <w:trPr>
          <w:cantSplit/>
          <w:trHeight w:val="918"/>
        </w:trPr>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001B0FDF" w14:textId="77777777" w:rsidR="0089207C" w:rsidRPr="00AC3044" w:rsidRDefault="0089207C" w:rsidP="002D3EBF">
            <w:pPr>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93C8234" w14:textId="77777777" w:rsidR="0089207C" w:rsidRPr="00AC3044" w:rsidRDefault="0089207C" w:rsidP="002D3EBF">
            <w:pPr>
              <w:rPr>
                <w:rFonts w:eastAsia="SimSun"/>
              </w:rPr>
            </w:pPr>
            <w:r w:rsidRPr="00AC3044">
              <w:rPr>
                <w:rFonts w:eastAsia="SimSun"/>
              </w:rPr>
              <w:t>Бусульфан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15BD478" w14:textId="77777777" w:rsidR="0089207C" w:rsidRPr="00AC3044" w:rsidRDefault="0089207C" w:rsidP="002D3EBF">
            <w:pPr>
              <w:rPr>
                <w:rFonts w:eastAsia="SimSun"/>
              </w:rPr>
            </w:pPr>
            <w:r w:rsidRPr="00AC3044">
              <w:rPr>
                <w:rFonts w:eastAsia="SimSun"/>
              </w:rPr>
              <w:t>4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F2BDB6" w14:textId="77777777" w:rsidR="0089207C" w:rsidRPr="00AC3044" w:rsidRDefault="0089207C" w:rsidP="002D3EBF">
            <w:pPr>
              <w:rPr>
                <w:rFonts w:eastAsia="SimSun"/>
              </w:rPr>
            </w:pPr>
            <w:r w:rsidRPr="00AC3044">
              <w:rPr>
                <w:rFonts w:eastAsia="SimSun"/>
              </w:rPr>
              <w:t>8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D64B8D9" w14:textId="77777777" w:rsidR="0089207C" w:rsidRPr="00AC3044" w:rsidRDefault="0089207C" w:rsidP="002D3EBF">
            <w:pPr>
              <w:rPr>
                <w:rFonts w:eastAsia="SimSun"/>
              </w:rPr>
            </w:pPr>
            <w:r w:rsidRPr="00AC3044">
              <w:rPr>
                <w:rFonts w:eastAsia="SimSun"/>
              </w:rPr>
              <w:t xml:space="preserve"> –4, –3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C142C7B"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w:t>
            </w:r>
          </w:p>
        </w:tc>
      </w:tr>
      <w:tr w:rsidR="0089207C" w:rsidRPr="00AC3044" w14:paraId="785B4C83" w14:textId="77777777" w:rsidTr="002D3EBF">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7EFC34C9" w14:textId="77777777" w:rsidR="0089207C" w:rsidRPr="00AC3044" w:rsidRDefault="0089207C" w:rsidP="002D3EBF">
            <w:pPr>
              <w:rPr>
                <w:rFonts w:eastAsia="SimSun"/>
              </w:rPr>
            </w:pPr>
            <w:r w:rsidRPr="00AC3044">
              <w:rPr>
                <w:rFonts w:eastAsia="SimSun"/>
              </w:rPr>
              <w:t>Профилактика РТПХ</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C821176" w14:textId="77777777" w:rsidR="0089207C" w:rsidRPr="00AC3044" w:rsidRDefault="0089207C" w:rsidP="002D3EBF">
            <w:pPr>
              <w:rPr>
                <w:rFonts w:eastAsia="SimSun"/>
              </w:rPr>
            </w:pPr>
            <w:r w:rsidRPr="00AC3044">
              <w:rPr>
                <w:rFonts w:eastAsia="SimSun"/>
              </w:rPr>
              <w:t>Циклоспорин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4E49AE3" w14:textId="77777777" w:rsidR="0089207C" w:rsidRPr="00AC3044" w:rsidRDefault="0089207C" w:rsidP="002D3EBF">
            <w:pPr>
              <w:rPr>
                <w:rFonts w:eastAsia="SimSun"/>
              </w:rPr>
            </w:pPr>
            <w:r w:rsidRPr="00AC3044">
              <w:rPr>
                <w:rFonts w:eastAsia="SimSun"/>
              </w:rPr>
              <w:t>3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116A0BA" w14:textId="77777777" w:rsidR="0089207C" w:rsidRPr="00AC3044" w:rsidRDefault="0089207C" w:rsidP="002D3EBF">
            <w:pPr>
              <w:rPr>
                <w:rFonts w:eastAsia="SimSun"/>
              </w:rPr>
            </w:pPr>
            <w:r w:rsidRPr="00AC3044">
              <w:rPr>
                <w:rFonts w:eastAsia="SimSun"/>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C20C420" w14:textId="77777777" w:rsidR="0089207C" w:rsidRPr="00AC3044" w:rsidRDefault="0089207C" w:rsidP="002D3EBF">
            <w:pPr>
              <w:rPr>
                <w:rFonts w:eastAsia="SimSun"/>
              </w:rPr>
            </w:pPr>
            <w:r w:rsidRPr="00AC3044">
              <w:rPr>
                <w:rFonts w:eastAsia="SimSun"/>
              </w:rPr>
              <w:t>С +5 по +90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011078C" w14:textId="77777777" w:rsidR="0089207C" w:rsidRPr="00AC3044" w:rsidRDefault="0089207C" w:rsidP="002D3EBF">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9207C" w:rsidRPr="00AC3044" w14:paraId="7196DD96" w14:textId="77777777" w:rsidTr="002D3EBF">
        <w:trPr>
          <w:cantSplit/>
          <w:trHeight w:val="20"/>
        </w:trPr>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19348CE" w14:textId="77777777" w:rsidR="0089207C" w:rsidRPr="00AC3044" w:rsidRDefault="0089207C" w:rsidP="002D3EBF">
            <w:pPr>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A5CF38E" w14:textId="77777777" w:rsidR="0089207C" w:rsidRPr="00AC3044" w:rsidRDefault="0089207C" w:rsidP="002D3EBF">
            <w:pPr>
              <w:rPr>
                <w:rFonts w:eastAsia="SimSun"/>
              </w:rPr>
            </w:pPr>
            <w:r w:rsidRPr="00AC3044">
              <w:rPr>
                <w:rFonts w:eastAsia="SimSun"/>
              </w:rPr>
              <w:t>Микофенолата мофетил</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F87DEF" w14:textId="77777777" w:rsidR="0089207C" w:rsidRPr="00AC3044" w:rsidRDefault="0089207C" w:rsidP="002D3EBF">
            <w:pPr>
              <w:rPr>
                <w:rFonts w:eastAsia="SimSun"/>
              </w:rPr>
            </w:pPr>
            <w:r w:rsidRPr="00AC3044">
              <w:rPr>
                <w:rFonts w:eastAsia="SimSun"/>
              </w:rPr>
              <w:t>45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A03EA26" w14:textId="77777777" w:rsidR="0089207C" w:rsidRPr="00AC3044" w:rsidRDefault="0089207C" w:rsidP="002D3EBF">
            <w:pPr>
              <w:rPr>
                <w:rFonts w:eastAsia="SimSun"/>
              </w:rPr>
            </w:pPr>
            <w:r w:rsidRPr="00AC3044">
              <w:rPr>
                <w:rFonts w:eastAsia="SimSun"/>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33ABA15" w14:textId="77777777" w:rsidR="0089207C" w:rsidRPr="00AC3044" w:rsidRDefault="0089207C" w:rsidP="002D3EBF">
            <w:pPr>
              <w:rPr>
                <w:rFonts w:eastAsia="SimSun"/>
              </w:rPr>
            </w:pPr>
            <w:r w:rsidRPr="00AC3044">
              <w:rPr>
                <w:rFonts w:eastAsia="SimSun"/>
              </w:rPr>
              <w:t>С +5 по +30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F0157EB"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(не более 3</w:t>
            </w:r>
            <w:r>
              <w:rPr>
                <w:rFonts w:eastAsia="SimSun"/>
              </w:rPr>
              <w:t xml:space="preserve"> </w:t>
            </w:r>
            <w:r w:rsidRPr="00AC3044">
              <w:rPr>
                <w:rFonts w:eastAsia="SimSun"/>
              </w:rPr>
              <w:t>г/сут)</w:t>
            </w:r>
          </w:p>
        </w:tc>
      </w:tr>
      <w:tr w:rsidR="0089207C" w:rsidRPr="00AC3044" w14:paraId="02288EA5" w14:textId="77777777" w:rsidTr="002D3EBF">
        <w:trPr>
          <w:cantSplit/>
          <w:trHeight w:val="464"/>
        </w:trPr>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3BFC724" w14:textId="77777777" w:rsidR="0089207C" w:rsidRPr="00AC3044" w:rsidRDefault="0089207C" w:rsidP="002D3EBF">
            <w:pPr>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F478F77" w14:textId="77777777" w:rsidR="0089207C" w:rsidRPr="00AC3044" w:rsidRDefault="0089207C" w:rsidP="002D3EBF">
            <w:pPr>
              <w:rPr>
                <w:rFonts w:eastAsia="SimSun"/>
              </w:rPr>
            </w:pPr>
            <w:r w:rsidRPr="00AC3044">
              <w:rPr>
                <w:rFonts w:eastAsia="SimSun"/>
              </w:rPr>
              <w:t>Циклофосфамид</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7578479" w14:textId="77777777" w:rsidR="0089207C" w:rsidRPr="00AC3044" w:rsidRDefault="0089207C" w:rsidP="002D3EBF">
            <w:pPr>
              <w:rPr>
                <w:rFonts w:eastAsia="SimSun"/>
              </w:rPr>
            </w:pPr>
            <w:r w:rsidRPr="00AC3044">
              <w:rPr>
                <w:rFonts w:eastAsia="SimSun"/>
              </w:rPr>
              <w:t>50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381F14C" w14:textId="77777777" w:rsidR="0089207C" w:rsidRPr="00AC3044" w:rsidRDefault="0089207C" w:rsidP="002D3EBF">
            <w:pPr>
              <w:rPr>
                <w:rFonts w:eastAsia="SimSun"/>
              </w:rPr>
            </w:pPr>
            <w:r w:rsidRPr="00AC3044">
              <w:rPr>
                <w:rFonts w:eastAsia="SimSun"/>
              </w:rPr>
              <w:t>100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B12B432" w14:textId="77777777" w:rsidR="0089207C" w:rsidRPr="00AC3044" w:rsidRDefault="0089207C" w:rsidP="002D3EBF">
            <w:pPr>
              <w:rPr>
                <w:rFonts w:eastAsia="SimSun"/>
              </w:rPr>
            </w:pPr>
            <w:r w:rsidRPr="00AC3044">
              <w:rPr>
                <w:rFonts w:eastAsia="SimSun"/>
              </w:rPr>
              <w:t>+3, +4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797B5DC" w14:textId="77777777" w:rsidR="0089207C" w:rsidRPr="00AC3044" w:rsidRDefault="0089207C" w:rsidP="002D3EBF">
            <w:pPr>
              <w:rPr>
                <w:rFonts w:eastAsia="SimSun"/>
              </w:rPr>
            </w:pPr>
            <w:r w:rsidRPr="00AC3044">
              <w:rPr>
                <w:rFonts w:eastAsia="SimSun"/>
              </w:rPr>
              <w:t>В/в, инфузия в течение 2 ч</w:t>
            </w:r>
          </w:p>
        </w:tc>
      </w:tr>
    </w:tbl>
    <w:p w14:paraId="68F4FB9F" w14:textId="77777777" w:rsidR="0089207C" w:rsidRDefault="0089207C" w:rsidP="0089207C">
      <w:pPr>
        <w:rPr>
          <w:rFonts w:eastAsia="SimSun"/>
        </w:rPr>
      </w:pPr>
      <w:bookmarkStart w:id="213" w:name="_Toc44401162"/>
    </w:p>
    <w:p w14:paraId="1965FEFF" w14:textId="77777777" w:rsidR="0089207C" w:rsidRPr="00C07B2E" w:rsidRDefault="0089207C" w:rsidP="0089207C">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1.2.4  – Flu150+Bu8+Thio / PT-Cy+CSA+ MMF30</w:t>
      </w:r>
      <w:bookmarkEnd w:id="213"/>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89207C" w:rsidRPr="00AC3044" w14:paraId="0AFFFE68" w14:textId="77777777" w:rsidTr="002D3EBF">
        <w:trPr>
          <w:cantSplit/>
          <w:trHeight w:val="20"/>
          <w:tblHeader/>
        </w:trPr>
        <w:tc>
          <w:tcPr>
            <w:tcW w:w="993" w:type="dxa"/>
          </w:tcPr>
          <w:p w14:paraId="78F44D42" w14:textId="77777777" w:rsidR="0089207C" w:rsidRPr="00470D3D" w:rsidRDefault="0089207C" w:rsidP="002D3EBF">
            <w:pPr>
              <w:rPr>
                <w:rFonts w:eastAsia="SimSun"/>
              </w:rPr>
            </w:pPr>
          </w:p>
        </w:tc>
        <w:tc>
          <w:tcPr>
            <w:tcW w:w="1843" w:type="dxa"/>
            <w:vAlign w:val="center"/>
          </w:tcPr>
          <w:p w14:paraId="4F44C7E6" w14:textId="77777777" w:rsidR="0089207C" w:rsidRPr="00AC3044" w:rsidRDefault="0089207C" w:rsidP="002D3EBF">
            <w:pPr>
              <w:rPr>
                <w:rFonts w:eastAsia="SimSun"/>
              </w:rPr>
            </w:pPr>
            <w:r w:rsidRPr="00AC3044">
              <w:rPr>
                <w:rFonts w:eastAsia="SimSun"/>
              </w:rPr>
              <w:t>Препарат</w:t>
            </w:r>
          </w:p>
        </w:tc>
        <w:tc>
          <w:tcPr>
            <w:tcW w:w="1417" w:type="dxa"/>
            <w:vAlign w:val="center"/>
          </w:tcPr>
          <w:p w14:paraId="1CB5A430" w14:textId="77777777" w:rsidR="0089207C" w:rsidRPr="00AC3044" w:rsidRDefault="0089207C" w:rsidP="002D3EBF">
            <w:pPr>
              <w:rPr>
                <w:rFonts w:eastAsia="SimSun"/>
              </w:rPr>
            </w:pPr>
            <w:r w:rsidRPr="00AC3044">
              <w:rPr>
                <w:rFonts w:eastAsia="SimSun"/>
              </w:rPr>
              <w:t>Суточная доза</w:t>
            </w:r>
          </w:p>
        </w:tc>
        <w:tc>
          <w:tcPr>
            <w:tcW w:w="1418" w:type="dxa"/>
            <w:vAlign w:val="center"/>
          </w:tcPr>
          <w:p w14:paraId="7F6892E9" w14:textId="77777777" w:rsidR="0089207C" w:rsidRPr="00AC3044" w:rsidRDefault="0089207C" w:rsidP="002D3EBF">
            <w:pPr>
              <w:rPr>
                <w:rFonts w:eastAsia="SimSun"/>
              </w:rPr>
            </w:pPr>
            <w:r w:rsidRPr="00AC3044">
              <w:rPr>
                <w:rFonts w:eastAsia="SimSun"/>
              </w:rPr>
              <w:t>Курсовая доза</w:t>
            </w:r>
          </w:p>
        </w:tc>
        <w:tc>
          <w:tcPr>
            <w:tcW w:w="1701" w:type="dxa"/>
            <w:vAlign w:val="center"/>
          </w:tcPr>
          <w:p w14:paraId="69D8EDCD"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4227C6BC"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1529973F" w14:textId="77777777" w:rsidTr="002D3EBF">
        <w:trPr>
          <w:cantSplit/>
          <w:trHeight w:val="20"/>
        </w:trPr>
        <w:tc>
          <w:tcPr>
            <w:tcW w:w="993" w:type="dxa"/>
            <w:vMerge w:val="restart"/>
            <w:textDirection w:val="btLr"/>
            <w:vAlign w:val="center"/>
          </w:tcPr>
          <w:p w14:paraId="19CF82AC" w14:textId="77777777" w:rsidR="0089207C" w:rsidRPr="00AC3044" w:rsidRDefault="0089207C" w:rsidP="002D3EBF">
            <w:pPr>
              <w:rPr>
                <w:rFonts w:eastAsia="SimSun"/>
              </w:rPr>
            </w:pPr>
            <w:r w:rsidRPr="00AC3044">
              <w:rPr>
                <w:rFonts w:eastAsia="SimSun"/>
              </w:rPr>
              <w:t>Кондиционирование</w:t>
            </w:r>
          </w:p>
        </w:tc>
        <w:tc>
          <w:tcPr>
            <w:tcW w:w="1843" w:type="dxa"/>
            <w:vAlign w:val="center"/>
          </w:tcPr>
          <w:p w14:paraId="48D4BE60" w14:textId="77777777" w:rsidR="0089207C" w:rsidRPr="00AC3044" w:rsidRDefault="0089207C" w:rsidP="002D3EBF">
            <w:pPr>
              <w:rPr>
                <w:rFonts w:eastAsia="SimSun"/>
              </w:rPr>
            </w:pPr>
            <w:r w:rsidRPr="00AC3044">
              <w:rPr>
                <w:rFonts w:eastAsia="SimSun"/>
              </w:rPr>
              <w:t xml:space="preserve">Флударабин </w:t>
            </w:r>
          </w:p>
        </w:tc>
        <w:tc>
          <w:tcPr>
            <w:tcW w:w="1417" w:type="dxa"/>
            <w:vAlign w:val="center"/>
          </w:tcPr>
          <w:p w14:paraId="24984411" w14:textId="77777777" w:rsidR="0089207C" w:rsidRPr="00AC3044" w:rsidRDefault="0089207C" w:rsidP="002D3EBF">
            <w:pPr>
              <w:rPr>
                <w:rFonts w:eastAsia="SimSun"/>
              </w:rPr>
            </w:pPr>
            <w:r w:rsidRPr="00AC3044">
              <w:rPr>
                <w:rFonts w:eastAsia="SimSun"/>
              </w:rPr>
              <w:t>50 мг/м</w:t>
            </w:r>
            <w:r w:rsidRPr="000C005F">
              <w:rPr>
                <w:rFonts w:eastAsia="SimSun"/>
                <w:vertAlign w:val="superscript"/>
              </w:rPr>
              <w:t>2</w:t>
            </w:r>
          </w:p>
        </w:tc>
        <w:tc>
          <w:tcPr>
            <w:tcW w:w="1418" w:type="dxa"/>
            <w:vAlign w:val="center"/>
          </w:tcPr>
          <w:p w14:paraId="0077F5D4" w14:textId="77777777" w:rsidR="0089207C" w:rsidRPr="00AC3044" w:rsidRDefault="0089207C" w:rsidP="002D3EBF">
            <w:pPr>
              <w:rPr>
                <w:rFonts w:eastAsia="SimSun"/>
              </w:rPr>
            </w:pPr>
            <w:r w:rsidRPr="00AC3044">
              <w:rPr>
                <w:rFonts w:eastAsia="SimSun"/>
              </w:rPr>
              <w:t>150 мг/м</w:t>
            </w:r>
            <w:r w:rsidRPr="000C005F">
              <w:rPr>
                <w:rFonts w:eastAsia="SimSun"/>
                <w:vertAlign w:val="superscript"/>
              </w:rPr>
              <w:t>2</w:t>
            </w:r>
          </w:p>
        </w:tc>
        <w:tc>
          <w:tcPr>
            <w:tcW w:w="1701" w:type="dxa"/>
            <w:vAlign w:val="center"/>
          </w:tcPr>
          <w:p w14:paraId="151E7B98" w14:textId="77777777" w:rsidR="0089207C" w:rsidRPr="00AC3044" w:rsidRDefault="0089207C" w:rsidP="002D3EBF">
            <w:pPr>
              <w:rPr>
                <w:rFonts w:eastAsia="SimSun"/>
              </w:rPr>
            </w:pPr>
            <w:r w:rsidRPr="00AC3044">
              <w:rPr>
                <w:rFonts w:eastAsia="SimSun"/>
              </w:rPr>
              <w:t>С –4 по –2 день</w:t>
            </w:r>
          </w:p>
        </w:tc>
        <w:tc>
          <w:tcPr>
            <w:tcW w:w="2268" w:type="dxa"/>
            <w:vAlign w:val="center"/>
          </w:tcPr>
          <w:p w14:paraId="4D7824D3"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6D283BA7" w14:textId="77777777" w:rsidTr="002D3EBF">
        <w:trPr>
          <w:cantSplit/>
          <w:trHeight w:val="703"/>
        </w:trPr>
        <w:tc>
          <w:tcPr>
            <w:tcW w:w="993" w:type="dxa"/>
            <w:vMerge/>
            <w:textDirection w:val="btLr"/>
            <w:vAlign w:val="center"/>
          </w:tcPr>
          <w:p w14:paraId="779C0CEC" w14:textId="77777777" w:rsidR="0089207C" w:rsidRPr="00AC3044" w:rsidRDefault="0089207C" w:rsidP="002D3EBF">
            <w:pPr>
              <w:rPr>
                <w:rFonts w:eastAsia="SimSun"/>
              </w:rPr>
            </w:pPr>
          </w:p>
        </w:tc>
        <w:tc>
          <w:tcPr>
            <w:tcW w:w="1843" w:type="dxa"/>
            <w:vAlign w:val="center"/>
          </w:tcPr>
          <w:p w14:paraId="38A8AD0D" w14:textId="77777777" w:rsidR="0089207C" w:rsidRPr="00AC3044" w:rsidRDefault="0089207C" w:rsidP="002D3EBF">
            <w:pPr>
              <w:rPr>
                <w:rFonts w:eastAsia="SimSun"/>
              </w:rPr>
            </w:pPr>
            <w:r w:rsidRPr="00AC3044">
              <w:rPr>
                <w:rFonts w:eastAsia="SimSun"/>
              </w:rPr>
              <w:t>Бусульфан</w:t>
            </w:r>
          </w:p>
        </w:tc>
        <w:tc>
          <w:tcPr>
            <w:tcW w:w="1417" w:type="dxa"/>
            <w:vAlign w:val="center"/>
          </w:tcPr>
          <w:p w14:paraId="3A03942E" w14:textId="77777777" w:rsidR="0089207C" w:rsidRPr="00AC3044" w:rsidRDefault="0089207C" w:rsidP="002D3EBF">
            <w:pPr>
              <w:rPr>
                <w:rFonts w:eastAsia="SimSun"/>
              </w:rPr>
            </w:pPr>
            <w:r w:rsidRPr="00AC3044">
              <w:rPr>
                <w:rFonts w:eastAsia="SimSun"/>
              </w:rPr>
              <w:t>4 мг/кг</w:t>
            </w:r>
          </w:p>
        </w:tc>
        <w:tc>
          <w:tcPr>
            <w:tcW w:w="1418" w:type="dxa"/>
            <w:vAlign w:val="center"/>
          </w:tcPr>
          <w:p w14:paraId="365874FD" w14:textId="77777777" w:rsidR="0089207C" w:rsidRPr="00AC3044" w:rsidRDefault="0089207C" w:rsidP="002D3EBF">
            <w:pPr>
              <w:rPr>
                <w:rFonts w:eastAsia="SimSun"/>
              </w:rPr>
            </w:pPr>
            <w:r w:rsidRPr="00AC3044">
              <w:rPr>
                <w:rFonts w:eastAsia="SimSun"/>
              </w:rPr>
              <w:t>8 мг/кг</w:t>
            </w:r>
          </w:p>
        </w:tc>
        <w:tc>
          <w:tcPr>
            <w:tcW w:w="1701" w:type="dxa"/>
            <w:vAlign w:val="center"/>
          </w:tcPr>
          <w:p w14:paraId="7A8CE44D" w14:textId="77777777" w:rsidR="0089207C" w:rsidRPr="00AC3044" w:rsidRDefault="0089207C" w:rsidP="002D3EBF">
            <w:pPr>
              <w:rPr>
                <w:rFonts w:eastAsia="SimSun"/>
              </w:rPr>
            </w:pPr>
            <w:r w:rsidRPr="00AC3044">
              <w:rPr>
                <w:rFonts w:eastAsia="SimSun"/>
              </w:rPr>
              <w:t>–3, –2 дни</w:t>
            </w:r>
          </w:p>
        </w:tc>
        <w:tc>
          <w:tcPr>
            <w:tcW w:w="2268" w:type="dxa"/>
            <w:vAlign w:val="center"/>
          </w:tcPr>
          <w:p w14:paraId="0A1F4860"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w:t>
            </w:r>
          </w:p>
        </w:tc>
      </w:tr>
      <w:tr w:rsidR="0089207C" w:rsidRPr="00AC3044" w14:paraId="5313455E" w14:textId="77777777" w:rsidTr="002D3EBF">
        <w:trPr>
          <w:cantSplit/>
          <w:trHeight w:val="704"/>
        </w:trPr>
        <w:tc>
          <w:tcPr>
            <w:tcW w:w="993" w:type="dxa"/>
            <w:vMerge/>
            <w:textDirection w:val="btLr"/>
            <w:vAlign w:val="center"/>
          </w:tcPr>
          <w:p w14:paraId="3B855906" w14:textId="77777777" w:rsidR="0089207C" w:rsidRPr="00AC3044" w:rsidRDefault="0089207C" w:rsidP="002D3EBF">
            <w:pPr>
              <w:rPr>
                <w:rFonts w:eastAsia="SimSun"/>
              </w:rPr>
            </w:pPr>
          </w:p>
        </w:tc>
        <w:tc>
          <w:tcPr>
            <w:tcW w:w="1843" w:type="dxa"/>
            <w:vAlign w:val="center"/>
          </w:tcPr>
          <w:p w14:paraId="05B50FA1" w14:textId="77777777" w:rsidR="0089207C" w:rsidRPr="00AC3044" w:rsidRDefault="0089207C" w:rsidP="002D3EBF">
            <w:pPr>
              <w:rPr>
                <w:rFonts w:eastAsia="SimSun"/>
              </w:rPr>
            </w:pPr>
            <w:r w:rsidRPr="00AC3044">
              <w:rPr>
                <w:rFonts w:eastAsia="SimSun"/>
              </w:rPr>
              <w:t>Тиотепа</w:t>
            </w:r>
          </w:p>
        </w:tc>
        <w:tc>
          <w:tcPr>
            <w:tcW w:w="1417" w:type="dxa"/>
            <w:vAlign w:val="center"/>
          </w:tcPr>
          <w:p w14:paraId="0E253BCE" w14:textId="77777777" w:rsidR="0089207C" w:rsidRPr="00AC3044" w:rsidRDefault="0089207C" w:rsidP="002D3EBF">
            <w:pPr>
              <w:rPr>
                <w:rFonts w:eastAsia="SimSun"/>
              </w:rPr>
            </w:pPr>
            <w:r w:rsidRPr="00AC3044">
              <w:rPr>
                <w:rFonts w:eastAsia="SimSun"/>
              </w:rPr>
              <w:t>5 мг/кг</w:t>
            </w:r>
          </w:p>
        </w:tc>
        <w:tc>
          <w:tcPr>
            <w:tcW w:w="1418" w:type="dxa"/>
            <w:vAlign w:val="center"/>
          </w:tcPr>
          <w:p w14:paraId="4573F6AC" w14:textId="77777777" w:rsidR="0089207C" w:rsidRPr="00AC3044" w:rsidRDefault="0089207C" w:rsidP="002D3EBF">
            <w:pPr>
              <w:rPr>
                <w:rFonts w:eastAsia="SimSun"/>
              </w:rPr>
            </w:pPr>
            <w:r w:rsidRPr="00AC3044">
              <w:rPr>
                <w:rFonts w:eastAsia="SimSun"/>
              </w:rPr>
              <w:t>10 мг/кг</w:t>
            </w:r>
          </w:p>
        </w:tc>
        <w:tc>
          <w:tcPr>
            <w:tcW w:w="1701" w:type="dxa"/>
            <w:vAlign w:val="center"/>
          </w:tcPr>
          <w:p w14:paraId="0CCAFE1A" w14:textId="77777777" w:rsidR="0089207C" w:rsidRPr="00AC3044" w:rsidRDefault="0089207C" w:rsidP="002D3EBF">
            <w:pPr>
              <w:rPr>
                <w:rFonts w:eastAsia="SimSun"/>
              </w:rPr>
            </w:pPr>
            <w:r w:rsidRPr="00AC3044">
              <w:rPr>
                <w:rFonts w:eastAsia="SimSun"/>
              </w:rPr>
              <w:t>-6,-5 дни</w:t>
            </w:r>
          </w:p>
        </w:tc>
        <w:tc>
          <w:tcPr>
            <w:tcW w:w="2268" w:type="dxa"/>
            <w:vAlign w:val="center"/>
          </w:tcPr>
          <w:p w14:paraId="6282E836" w14:textId="77777777" w:rsidR="0089207C" w:rsidRPr="00AC3044" w:rsidRDefault="0089207C" w:rsidP="002D3EBF">
            <w:pPr>
              <w:rPr>
                <w:rFonts w:eastAsia="SimSun"/>
              </w:rPr>
            </w:pPr>
            <w:r w:rsidRPr="00AC3044">
              <w:rPr>
                <w:rFonts w:eastAsia="SimSun"/>
              </w:rPr>
              <w:t>В/в, в течение 2 ч.</w:t>
            </w:r>
          </w:p>
        </w:tc>
      </w:tr>
      <w:tr w:rsidR="0089207C" w:rsidRPr="00AC3044" w14:paraId="2F7B65C7" w14:textId="77777777" w:rsidTr="002D3EBF">
        <w:trPr>
          <w:cantSplit/>
          <w:trHeight w:val="20"/>
        </w:trPr>
        <w:tc>
          <w:tcPr>
            <w:tcW w:w="993" w:type="dxa"/>
            <w:vMerge w:val="restart"/>
            <w:textDirection w:val="btLr"/>
            <w:vAlign w:val="center"/>
          </w:tcPr>
          <w:p w14:paraId="25591A9D" w14:textId="77777777" w:rsidR="0089207C" w:rsidRPr="00AC3044" w:rsidRDefault="0089207C" w:rsidP="002D3EBF">
            <w:pPr>
              <w:rPr>
                <w:rFonts w:eastAsia="SimSun"/>
              </w:rPr>
            </w:pPr>
            <w:r w:rsidRPr="00AC3044">
              <w:rPr>
                <w:rFonts w:eastAsia="SimSun"/>
              </w:rPr>
              <w:t>Профилактика РТПХ</w:t>
            </w:r>
          </w:p>
        </w:tc>
        <w:tc>
          <w:tcPr>
            <w:tcW w:w="1843" w:type="dxa"/>
            <w:vAlign w:val="center"/>
          </w:tcPr>
          <w:p w14:paraId="665ECF5A" w14:textId="77777777" w:rsidR="0089207C" w:rsidRPr="00AC3044" w:rsidRDefault="0089207C" w:rsidP="002D3EBF">
            <w:pPr>
              <w:rPr>
                <w:rFonts w:eastAsia="SimSun"/>
              </w:rPr>
            </w:pPr>
            <w:r w:rsidRPr="00AC3044">
              <w:rPr>
                <w:rFonts w:eastAsia="SimSun"/>
              </w:rPr>
              <w:t>Циклофосфамид</w:t>
            </w:r>
          </w:p>
        </w:tc>
        <w:tc>
          <w:tcPr>
            <w:tcW w:w="1417" w:type="dxa"/>
            <w:vAlign w:val="center"/>
          </w:tcPr>
          <w:p w14:paraId="5E459320" w14:textId="77777777" w:rsidR="0089207C" w:rsidRPr="00AC3044" w:rsidRDefault="0089207C" w:rsidP="002D3EBF">
            <w:pPr>
              <w:rPr>
                <w:rFonts w:eastAsia="SimSun"/>
              </w:rPr>
            </w:pPr>
            <w:r w:rsidRPr="00AC3044">
              <w:rPr>
                <w:rFonts w:eastAsia="SimSun"/>
              </w:rPr>
              <w:t>50 мг/кг</w:t>
            </w:r>
          </w:p>
        </w:tc>
        <w:tc>
          <w:tcPr>
            <w:tcW w:w="1418" w:type="dxa"/>
            <w:vAlign w:val="center"/>
          </w:tcPr>
          <w:p w14:paraId="2E2A0DE4" w14:textId="77777777" w:rsidR="0089207C" w:rsidRPr="00AC3044" w:rsidRDefault="0089207C" w:rsidP="002D3EBF">
            <w:pPr>
              <w:rPr>
                <w:rFonts w:eastAsia="SimSun"/>
              </w:rPr>
            </w:pPr>
            <w:r w:rsidRPr="00AC3044">
              <w:rPr>
                <w:rFonts w:eastAsia="SimSun"/>
              </w:rPr>
              <w:t>100 мг/кг</w:t>
            </w:r>
          </w:p>
        </w:tc>
        <w:tc>
          <w:tcPr>
            <w:tcW w:w="1701" w:type="dxa"/>
            <w:vAlign w:val="center"/>
          </w:tcPr>
          <w:p w14:paraId="1E63A073" w14:textId="77777777" w:rsidR="0089207C" w:rsidRPr="00AC3044" w:rsidRDefault="0089207C" w:rsidP="002D3EBF">
            <w:pPr>
              <w:rPr>
                <w:rFonts w:eastAsia="SimSun"/>
              </w:rPr>
            </w:pPr>
            <w:r w:rsidRPr="00AC3044">
              <w:rPr>
                <w:rFonts w:eastAsia="SimSun"/>
              </w:rPr>
              <w:t xml:space="preserve">+3,+4 дни </w:t>
            </w:r>
          </w:p>
        </w:tc>
        <w:tc>
          <w:tcPr>
            <w:tcW w:w="2268" w:type="dxa"/>
            <w:vAlign w:val="center"/>
          </w:tcPr>
          <w:p w14:paraId="6F0F0D3A" w14:textId="77777777" w:rsidR="0089207C" w:rsidRPr="00AC3044" w:rsidRDefault="0089207C" w:rsidP="002D3EBF">
            <w:pPr>
              <w:rPr>
                <w:rFonts w:eastAsia="SimSun"/>
              </w:rPr>
            </w:pPr>
            <w:r w:rsidRPr="00AC3044">
              <w:rPr>
                <w:rFonts w:eastAsia="SimSun"/>
              </w:rPr>
              <w:t xml:space="preserve">В/в, в течение 2 ч </w:t>
            </w:r>
          </w:p>
        </w:tc>
      </w:tr>
      <w:tr w:rsidR="0089207C" w:rsidRPr="00AC3044" w14:paraId="114697CA" w14:textId="77777777" w:rsidTr="002D3EBF">
        <w:trPr>
          <w:cantSplit/>
          <w:trHeight w:val="20"/>
        </w:trPr>
        <w:tc>
          <w:tcPr>
            <w:tcW w:w="993" w:type="dxa"/>
            <w:vMerge/>
            <w:textDirection w:val="btLr"/>
          </w:tcPr>
          <w:p w14:paraId="2BFC58F0" w14:textId="77777777" w:rsidR="0089207C" w:rsidRPr="00AC3044" w:rsidRDefault="0089207C" w:rsidP="002D3EBF">
            <w:pPr>
              <w:rPr>
                <w:rFonts w:eastAsia="SimSun"/>
              </w:rPr>
            </w:pPr>
          </w:p>
        </w:tc>
        <w:tc>
          <w:tcPr>
            <w:tcW w:w="1843" w:type="dxa"/>
            <w:vAlign w:val="center"/>
          </w:tcPr>
          <w:p w14:paraId="0AECBA45" w14:textId="77777777" w:rsidR="0089207C" w:rsidRPr="00AC3044" w:rsidRDefault="0089207C" w:rsidP="002D3EBF">
            <w:pPr>
              <w:rPr>
                <w:rFonts w:eastAsia="SimSun"/>
              </w:rPr>
            </w:pPr>
            <w:r w:rsidRPr="00AC3044">
              <w:rPr>
                <w:rFonts w:eastAsia="SimSun"/>
              </w:rPr>
              <w:t>Циклоспорин</w:t>
            </w:r>
          </w:p>
        </w:tc>
        <w:tc>
          <w:tcPr>
            <w:tcW w:w="1417" w:type="dxa"/>
            <w:vAlign w:val="center"/>
          </w:tcPr>
          <w:p w14:paraId="36B29CB1" w14:textId="77777777" w:rsidR="0089207C" w:rsidRPr="00AC3044" w:rsidRDefault="0089207C" w:rsidP="002D3EBF">
            <w:pPr>
              <w:rPr>
                <w:rFonts w:eastAsia="SimSun"/>
              </w:rPr>
            </w:pPr>
            <w:r w:rsidRPr="00AC3044">
              <w:rPr>
                <w:rFonts w:eastAsia="SimSun"/>
              </w:rPr>
              <w:t>3 мг/кг</w:t>
            </w:r>
          </w:p>
        </w:tc>
        <w:tc>
          <w:tcPr>
            <w:tcW w:w="1418" w:type="dxa"/>
            <w:vAlign w:val="center"/>
          </w:tcPr>
          <w:p w14:paraId="7D3211E8" w14:textId="77777777" w:rsidR="0089207C" w:rsidRPr="00AC3044" w:rsidRDefault="0089207C" w:rsidP="002D3EBF">
            <w:pPr>
              <w:rPr>
                <w:rFonts w:eastAsia="SimSun"/>
              </w:rPr>
            </w:pPr>
            <w:r w:rsidRPr="00AC3044">
              <w:rPr>
                <w:rFonts w:eastAsia="SimSun"/>
              </w:rPr>
              <w:t>–</w:t>
            </w:r>
          </w:p>
        </w:tc>
        <w:tc>
          <w:tcPr>
            <w:tcW w:w="1701" w:type="dxa"/>
            <w:vAlign w:val="center"/>
          </w:tcPr>
          <w:p w14:paraId="04E5E8CC" w14:textId="77777777" w:rsidR="0089207C" w:rsidRPr="00AC3044" w:rsidRDefault="0089207C" w:rsidP="002D3EBF">
            <w:pPr>
              <w:rPr>
                <w:rFonts w:eastAsia="SimSun"/>
              </w:rPr>
            </w:pPr>
            <w:r w:rsidRPr="00AC3044">
              <w:rPr>
                <w:rFonts w:eastAsia="SimSun"/>
              </w:rPr>
              <w:t>С +5 по +60 день, затем постепенное снижение к +100 дню</w:t>
            </w:r>
          </w:p>
        </w:tc>
        <w:tc>
          <w:tcPr>
            <w:tcW w:w="2268" w:type="dxa"/>
            <w:vAlign w:val="center"/>
          </w:tcPr>
          <w:p w14:paraId="032082CD" w14:textId="77777777" w:rsidR="0089207C" w:rsidRPr="00AC3044" w:rsidRDefault="0089207C" w:rsidP="002D3EBF">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150-350 нг/мл  </w:t>
            </w:r>
          </w:p>
        </w:tc>
      </w:tr>
      <w:tr w:rsidR="0089207C" w:rsidRPr="00AC3044" w14:paraId="5E81649D" w14:textId="77777777" w:rsidTr="002D3EBF">
        <w:trPr>
          <w:cantSplit/>
          <w:trHeight w:val="464"/>
        </w:trPr>
        <w:tc>
          <w:tcPr>
            <w:tcW w:w="993" w:type="dxa"/>
            <w:vMerge/>
          </w:tcPr>
          <w:p w14:paraId="5C39E565" w14:textId="77777777" w:rsidR="0089207C" w:rsidRPr="00AC3044" w:rsidRDefault="0089207C" w:rsidP="002D3EBF">
            <w:pPr>
              <w:rPr>
                <w:rFonts w:eastAsia="SimSun"/>
              </w:rPr>
            </w:pPr>
          </w:p>
        </w:tc>
        <w:tc>
          <w:tcPr>
            <w:tcW w:w="1843" w:type="dxa"/>
            <w:vAlign w:val="center"/>
          </w:tcPr>
          <w:p w14:paraId="34222956" w14:textId="77777777" w:rsidR="0089207C" w:rsidRPr="00AC3044" w:rsidRDefault="0089207C" w:rsidP="002D3EBF">
            <w:pPr>
              <w:rPr>
                <w:rFonts w:eastAsia="SimSun"/>
              </w:rPr>
            </w:pPr>
            <w:r w:rsidRPr="00AC3044">
              <w:rPr>
                <w:rFonts w:eastAsia="SimSun"/>
              </w:rPr>
              <w:t>Микофенолата мофетил</w:t>
            </w:r>
          </w:p>
        </w:tc>
        <w:tc>
          <w:tcPr>
            <w:tcW w:w="1417" w:type="dxa"/>
            <w:vAlign w:val="center"/>
          </w:tcPr>
          <w:p w14:paraId="1D989353" w14:textId="77777777" w:rsidR="0089207C" w:rsidRPr="00AC3044" w:rsidRDefault="0089207C" w:rsidP="002D3EBF">
            <w:pPr>
              <w:rPr>
                <w:rFonts w:eastAsia="SimSun"/>
              </w:rPr>
            </w:pPr>
            <w:r w:rsidRPr="00AC3044">
              <w:rPr>
                <w:rFonts w:eastAsia="SimSun"/>
              </w:rPr>
              <w:t>30 мг/кг</w:t>
            </w:r>
          </w:p>
        </w:tc>
        <w:tc>
          <w:tcPr>
            <w:tcW w:w="1418" w:type="dxa"/>
            <w:vAlign w:val="center"/>
          </w:tcPr>
          <w:p w14:paraId="01588AC8" w14:textId="77777777" w:rsidR="0089207C" w:rsidRPr="00AC3044" w:rsidRDefault="0089207C" w:rsidP="002D3EBF">
            <w:pPr>
              <w:rPr>
                <w:rFonts w:eastAsia="SimSun"/>
              </w:rPr>
            </w:pPr>
            <w:r w:rsidRPr="00AC3044">
              <w:rPr>
                <w:rFonts w:eastAsia="SimSun"/>
              </w:rPr>
              <w:t>–</w:t>
            </w:r>
          </w:p>
        </w:tc>
        <w:tc>
          <w:tcPr>
            <w:tcW w:w="1701" w:type="dxa"/>
            <w:vAlign w:val="center"/>
          </w:tcPr>
          <w:p w14:paraId="3CD0D3E7" w14:textId="77777777" w:rsidR="0089207C" w:rsidRPr="00AC3044" w:rsidRDefault="0089207C" w:rsidP="002D3EBF">
            <w:pPr>
              <w:rPr>
                <w:rFonts w:eastAsia="SimSun"/>
              </w:rPr>
            </w:pPr>
            <w:r w:rsidRPr="00AC3044">
              <w:rPr>
                <w:rFonts w:eastAsia="SimSun"/>
              </w:rPr>
              <w:t>С +5 по +30 день</w:t>
            </w:r>
          </w:p>
        </w:tc>
        <w:tc>
          <w:tcPr>
            <w:tcW w:w="2268" w:type="dxa"/>
            <w:vAlign w:val="center"/>
          </w:tcPr>
          <w:p w14:paraId="325E1611" w14:textId="77777777" w:rsidR="0089207C" w:rsidRPr="00AC3044" w:rsidRDefault="0089207C" w:rsidP="002D3EBF">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г/сут).</w:t>
            </w:r>
          </w:p>
        </w:tc>
      </w:tr>
    </w:tbl>
    <w:p w14:paraId="24FDBE18" w14:textId="77777777" w:rsidR="0089207C" w:rsidRPr="00C07B2E" w:rsidRDefault="0089207C" w:rsidP="0089207C">
      <w:pPr>
        <w:rPr>
          <w:rFonts w:eastAsia="SimSun"/>
        </w:rPr>
      </w:pPr>
    </w:p>
    <w:p w14:paraId="35725724" w14:textId="77777777" w:rsidR="0089207C" w:rsidRPr="00C07B2E" w:rsidRDefault="0089207C" w:rsidP="0089207C">
      <w:pPr>
        <w:rPr>
          <w:rFonts w:eastAsia="SimSun"/>
        </w:rPr>
      </w:pPr>
      <w:bookmarkStart w:id="214" w:name="_Toc44401163"/>
      <w:r w:rsidRPr="00042499">
        <w:rPr>
          <w:rFonts w:eastAsia="SimSun"/>
        </w:rPr>
        <w:t>Таблица</w:t>
      </w:r>
      <w:r w:rsidRPr="00C07B2E">
        <w:rPr>
          <w:rFonts w:eastAsia="SimSun"/>
        </w:rPr>
        <w:t xml:space="preserve"> </w:t>
      </w:r>
      <w:r>
        <w:rPr>
          <w:rFonts w:eastAsia="SimSun"/>
        </w:rPr>
        <w:t>5.</w:t>
      </w:r>
      <w:r w:rsidRPr="00C07B2E">
        <w:rPr>
          <w:rFonts w:eastAsia="SimSun"/>
        </w:rPr>
        <w:t>1.2.5  – Flu180+Bu8 / hATG+CSA+MTX+MMF30</w:t>
      </w:r>
      <w:bookmarkEnd w:id="214"/>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89207C" w:rsidRPr="00AC3044" w14:paraId="02A61615" w14:textId="77777777" w:rsidTr="002D3EBF">
        <w:trPr>
          <w:cantSplit/>
          <w:trHeight w:val="20"/>
          <w:tblHeader/>
        </w:trPr>
        <w:tc>
          <w:tcPr>
            <w:tcW w:w="993" w:type="dxa"/>
          </w:tcPr>
          <w:p w14:paraId="7E85D14C" w14:textId="77777777" w:rsidR="0089207C" w:rsidRPr="00470D3D" w:rsidRDefault="0089207C" w:rsidP="002D3EBF">
            <w:pPr>
              <w:rPr>
                <w:rFonts w:eastAsia="SimSun"/>
              </w:rPr>
            </w:pPr>
          </w:p>
        </w:tc>
        <w:tc>
          <w:tcPr>
            <w:tcW w:w="1843" w:type="dxa"/>
            <w:vAlign w:val="center"/>
          </w:tcPr>
          <w:p w14:paraId="6EBB4CEA" w14:textId="77777777" w:rsidR="0089207C" w:rsidRPr="00AC3044" w:rsidRDefault="0089207C" w:rsidP="002D3EBF">
            <w:pPr>
              <w:rPr>
                <w:rFonts w:eastAsia="SimSun"/>
              </w:rPr>
            </w:pPr>
            <w:r w:rsidRPr="00AC3044">
              <w:rPr>
                <w:rFonts w:eastAsia="SimSun"/>
              </w:rPr>
              <w:t>Препарат</w:t>
            </w:r>
          </w:p>
        </w:tc>
        <w:tc>
          <w:tcPr>
            <w:tcW w:w="1417" w:type="dxa"/>
            <w:vAlign w:val="center"/>
          </w:tcPr>
          <w:p w14:paraId="22829409" w14:textId="77777777" w:rsidR="0089207C" w:rsidRPr="00AC3044" w:rsidRDefault="0089207C" w:rsidP="002D3EBF">
            <w:pPr>
              <w:rPr>
                <w:rFonts w:eastAsia="SimSun"/>
              </w:rPr>
            </w:pPr>
            <w:r w:rsidRPr="00AC3044">
              <w:rPr>
                <w:rFonts w:eastAsia="SimSun"/>
              </w:rPr>
              <w:t>Суточная доза</w:t>
            </w:r>
          </w:p>
        </w:tc>
        <w:tc>
          <w:tcPr>
            <w:tcW w:w="1418" w:type="dxa"/>
            <w:vAlign w:val="center"/>
          </w:tcPr>
          <w:p w14:paraId="0675EDD2" w14:textId="77777777" w:rsidR="0089207C" w:rsidRPr="00AC3044" w:rsidRDefault="0089207C" w:rsidP="002D3EBF">
            <w:pPr>
              <w:rPr>
                <w:rFonts w:eastAsia="SimSun"/>
              </w:rPr>
            </w:pPr>
            <w:r w:rsidRPr="00AC3044">
              <w:rPr>
                <w:rFonts w:eastAsia="SimSun"/>
              </w:rPr>
              <w:t>Курсовая доза</w:t>
            </w:r>
          </w:p>
        </w:tc>
        <w:tc>
          <w:tcPr>
            <w:tcW w:w="1701" w:type="dxa"/>
            <w:vAlign w:val="center"/>
          </w:tcPr>
          <w:p w14:paraId="75314EE1"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7FABF36A"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755CCFEA" w14:textId="77777777" w:rsidTr="002D3EBF">
        <w:trPr>
          <w:cantSplit/>
          <w:trHeight w:val="20"/>
        </w:trPr>
        <w:tc>
          <w:tcPr>
            <w:tcW w:w="993" w:type="dxa"/>
            <w:vMerge w:val="restart"/>
            <w:textDirection w:val="btLr"/>
            <w:vAlign w:val="center"/>
          </w:tcPr>
          <w:p w14:paraId="38A9DEC0" w14:textId="77777777" w:rsidR="0089207C" w:rsidRPr="00AC3044" w:rsidRDefault="0089207C" w:rsidP="002D3EBF">
            <w:pPr>
              <w:rPr>
                <w:rFonts w:eastAsia="SimSun"/>
              </w:rPr>
            </w:pPr>
            <w:r w:rsidRPr="00AC3044">
              <w:rPr>
                <w:rFonts w:eastAsia="SimSun"/>
              </w:rPr>
              <w:t>Кондиционирование</w:t>
            </w:r>
          </w:p>
        </w:tc>
        <w:tc>
          <w:tcPr>
            <w:tcW w:w="1843" w:type="dxa"/>
            <w:vAlign w:val="center"/>
          </w:tcPr>
          <w:p w14:paraId="67D32B4A" w14:textId="77777777" w:rsidR="0089207C" w:rsidRPr="00AC3044" w:rsidRDefault="0089207C" w:rsidP="002D3EBF">
            <w:pPr>
              <w:rPr>
                <w:rFonts w:eastAsia="SimSun"/>
              </w:rPr>
            </w:pPr>
            <w:r w:rsidRPr="00AC3044">
              <w:rPr>
                <w:rFonts w:eastAsia="SimSun"/>
              </w:rPr>
              <w:t xml:space="preserve">Флударабин </w:t>
            </w:r>
          </w:p>
        </w:tc>
        <w:tc>
          <w:tcPr>
            <w:tcW w:w="1417" w:type="dxa"/>
            <w:vAlign w:val="center"/>
          </w:tcPr>
          <w:p w14:paraId="2B30A7ED" w14:textId="77777777" w:rsidR="0089207C" w:rsidRPr="00AC3044" w:rsidRDefault="0089207C" w:rsidP="002D3EBF">
            <w:pPr>
              <w:rPr>
                <w:rFonts w:eastAsia="SimSun"/>
              </w:rPr>
            </w:pPr>
            <w:r w:rsidRPr="00AC3044">
              <w:rPr>
                <w:rFonts w:eastAsia="SimSun"/>
              </w:rPr>
              <w:t>30 мг/м</w:t>
            </w:r>
            <w:r w:rsidRPr="000C005F">
              <w:rPr>
                <w:rFonts w:eastAsia="SimSun"/>
                <w:vertAlign w:val="superscript"/>
              </w:rPr>
              <w:t>2</w:t>
            </w:r>
          </w:p>
        </w:tc>
        <w:tc>
          <w:tcPr>
            <w:tcW w:w="1418" w:type="dxa"/>
            <w:vAlign w:val="center"/>
          </w:tcPr>
          <w:p w14:paraId="04A6F41C" w14:textId="77777777" w:rsidR="0089207C" w:rsidRPr="00AC3044" w:rsidRDefault="0089207C" w:rsidP="002D3EBF">
            <w:pPr>
              <w:rPr>
                <w:rFonts w:eastAsia="SimSun"/>
              </w:rPr>
            </w:pPr>
            <w:r w:rsidRPr="00AC3044">
              <w:rPr>
                <w:rFonts w:eastAsia="SimSun"/>
              </w:rPr>
              <w:t>180 мг/м</w:t>
            </w:r>
            <w:r w:rsidRPr="000C005F">
              <w:rPr>
                <w:rFonts w:eastAsia="SimSun"/>
                <w:vertAlign w:val="superscript"/>
              </w:rPr>
              <w:t>2</w:t>
            </w:r>
          </w:p>
        </w:tc>
        <w:tc>
          <w:tcPr>
            <w:tcW w:w="1701" w:type="dxa"/>
            <w:vAlign w:val="center"/>
          </w:tcPr>
          <w:p w14:paraId="13EF94D1" w14:textId="77777777" w:rsidR="0089207C" w:rsidRPr="00AC3044" w:rsidRDefault="0089207C" w:rsidP="002D3EBF">
            <w:pPr>
              <w:rPr>
                <w:rFonts w:eastAsia="SimSun"/>
              </w:rPr>
            </w:pPr>
            <w:r w:rsidRPr="00AC3044">
              <w:rPr>
                <w:rFonts w:eastAsia="SimSun"/>
              </w:rPr>
              <w:t>С –10 по –5 день</w:t>
            </w:r>
          </w:p>
        </w:tc>
        <w:tc>
          <w:tcPr>
            <w:tcW w:w="2268" w:type="dxa"/>
            <w:vAlign w:val="center"/>
          </w:tcPr>
          <w:p w14:paraId="692CC3B4"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67C56079" w14:textId="77777777" w:rsidTr="002D3EBF">
        <w:trPr>
          <w:cantSplit/>
          <w:trHeight w:val="1043"/>
        </w:trPr>
        <w:tc>
          <w:tcPr>
            <w:tcW w:w="993" w:type="dxa"/>
            <w:vMerge/>
            <w:textDirection w:val="btLr"/>
            <w:vAlign w:val="center"/>
          </w:tcPr>
          <w:p w14:paraId="04A14A0F" w14:textId="77777777" w:rsidR="0089207C" w:rsidRPr="00AC3044" w:rsidRDefault="0089207C" w:rsidP="002D3EBF">
            <w:pPr>
              <w:rPr>
                <w:rFonts w:eastAsia="SimSun"/>
              </w:rPr>
            </w:pPr>
          </w:p>
        </w:tc>
        <w:tc>
          <w:tcPr>
            <w:tcW w:w="1843" w:type="dxa"/>
            <w:vAlign w:val="center"/>
          </w:tcPr>
          <w:p w14:paraId="3AA2D347" w14:textId="77777777" w:rsidR="0089207C" w:rsidRPr="00AC3044" w:rsidRDefault="0089207C" w:rsidP="002D3EBF">
            <w:pPr>
              <w:rPr>
                <w:rFonts w:eastAsia="SimSun"/>
              </w:rPr>
            </w:pPr>
            <w:r w:rsidRPr="00AC3044">
              <w:rPr>
                <w:rFonts w:eastAsia="SimSun"/>
              </w:rPr>
              <w:t>Бусульфан</w:t>
            </w:r>
          </w:p>
        </w:tc>
        <w:tc>
          <w:tcPr>
            <w:tcW w:w="1417" w:type="dxa"/>
            <w:vAlign w:val="center"/>
          </w:tcPr>
          <w:p w14:paraId="13901C9E" w14:textId="77777777" w:rsidR="0089207C" w:rsidRPr="00AC3044" w:rsidRDefault="0089207C" w:rsidP="002D3EBF">
            <w:pPr>
              <w:rPr>
                <w:rFonts w:eastAsia="SimSun"/>
              </w:rPr>
            </w:pPr>
            <w:r w:rsidRPr="00AC3044">
              <w:rPr>
                <w:rFonts w:eastAsia="SimSun"/>
              </w:rPr>
              <w:t>4 мг/кг</w:t>
            </w:r>
          </w:p>
        </w:tc>
        <w:tc>
          <w:tcPr>
            <w:tcW w:w="1418" w:type="dxa"/>
            <w:vAlign w:val="center"/>
          </w:tcPr>
          <w:p w14:paraId="1AA69A5D" w14:textId="77777777" w:rsidR="0089207C" w:rsidRPr="00AC3044" w:rsidRDefault="0089207C" w:rsidP="002D3EBF">
            <w:pPr>
              <w:rPr>
                <w:rFonts w:eastAsia="SimSun"/>
              </w:rPr>
            </w:pPr>
            <w:r w:rsidRPr="00AC3044">
              <w:rPr>
                <w:rFonts w:eastAsia="SimSun"/>
              </w:rPr>
              <w:t>8 мг/кг</w:t>
            </w:r>
          </w:p>
        </w:tc>
        <w:tc>
          <w:tcPr>
            <w:tcW w:w="1701" w:type="dxa"/>
            <w:vAlign w:val="center"/>
          </w:tcPr>
          <w:p w14:paraId="047CA7C6" w14:textId="77777777" w:rsidR="0089207C" w:rsidRPr="00AC3044" w:rsidRDefault="0089207C" w:rsidP="002D3EBF">
            <w:pPr>
              <w:rPr>
                <w:rFonts w:eastAsia="SimSun"/>
              </w:rPr>
            </w:pPr>
            <w:r w:rsidRPr="00AC3044">
              <w:rPr>
                <w:rFonts w:eastAsia="SimSun"/>
              </w:rPr>
              <w:t>–6, –5 дни</w:t>
            </w:r>
          </w:p>
        </w:tc>
        <w:tc>
          <w:tcPr>
            <w:tcW w:w="2268" w:type="dxa"/>
            <w:vAlign w:val="center"/>
          </w:tcPr>
          <w:p w14:paraId="3D3CFD12"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w:t>
            </w:r>
          </w:p>
        </w:tc>
      </w:tr>
      <w:tr w:rsidR="0089207C" w:rsidRPr="00AC3044" w14:paraId="37C647F8" w14:textId="77777777" w:rsidTr="002D3EBF">
        <w:trPr>
          <w:cantSplit/>
          <w:trHeight w:val="20"/>
        </w:trPr>
        <w:tc>
          <w:tcPr>
            <w:tcW w:w="993" w:type="dxa"/>
            <w:vMerge w:val="restart"/>
            <w:textDirection w:val="btLr"/>
          </w:tcPr>
          <w:p w14:paraId="1A12DFFF" w14:textId="77777777" w:rsidR="0089207C" w:rsidRPr="00AC3044" w:rsidRDefault="0089207C" w:rsidP="002D3EBF">
            <w:pPr>
              <w:rPr>
                <w:rFonts w:eastAsia="SimSun"/>
              </w:rPr>
            </w:pPr>
            <w:r w:rsidRPr="00AC3044">
              <w:rPr>
                <w:rFonts w:eastAsia="SimSun"/>
              </w:rPr>
              <w:t>Профилактика РТПХ</w:t>
            </w:r>
          </w:p>
        </w:tc>
        <w:tc>
          <w:tcPr>
            <w:tcW w:w="1843" w:type="dxa"/>
            <w:vAlign w:val="center"/>
          </w:tcPr>
          <w:p w14:paraId="6127EB8A" w14:textId="77777777" w:rsidR="0089207C" w:rsidRPr="00AC3044" w:rsidRDefault="0089207C" w:rsidP="002D3EBF">
            <w:pPr>
              <w:rPr>
                <w:rFonts w:eastAsia="SimSun"/>
              </w:rPr>
            </w:pPr>
            <w:r w:rsidRPr="00AC3044">
              <w:rPr>
                <w:rFonts w:eastAsia="SimSun"/>
              </w:rPr>
              <w:t>АТГ (лошадиный)</w:t>
            </w:r>
          </w:p>
        </w:tc>
        <w:tc>
          <w:tcPr>
            <w:tcW w:w="1417" w:type="dxa"/>
            <w:vAlign w:val="center"/>
          </w:tcPr>
          <w:p w14:paraId="5383E5EC" w14:textId="77777777" w:rsidR="0089207C" w:rsidRPr="00AC3044" w:rsidRDefault="0089207C" w:rsidP="002D3EBF">
            <w:pPr>
              <w:rPr>
                <w:rFonts w:eastAsia="SimSun"/>
              </w:rPr>
            </w:pPr>
            <w:r w:rsidRPr="00AC3044">
              <w:rPr>
                <w:rFonts w:eastAsia="SimSun"/>
              </w:rPr>
              <w:t>10 -15 мг/кг</w:t>
            </w:r>
          </w:p>
        </w:tc>
        <w:tc>
          <w:tcPr>
            <w:tcW w:w="1418" w:type="dxa"/>
            <w:vAlign w:val="center"/>
          </w:tcPr>
          <w:p w14:paraId="061871F1" w14:textId="77777777" w:rsidR="0089207C" w:rsidRPr="00AC3044" w:rsidRDefault="0089207C" w:rsidP="002D3EBF">
            <w:pPr>
              <w:rPr>
                <w:rFonts w:eastAsia="SimSun"/>
              </w:rPr>
            </w:pPr>
            <w:r w:rsidRPr="00AC3044">
              <w:rPr>
                <w:rFonts w:eastAsia="SimSun"/>
              </w:rPr>
              <w:t>40 -60 мг/кг</w:t>
            </w:r>
          </w:p>
        </w:tc>
        <w:tc>
          <w:tcPr>
            <w:tcW w:w="1701" w:type="dxa"/>
            <w:vAlign w:val="center"/>
          </w:tcPr>
          <w:p w14:paraId="72D7F0E8" w14:textId="77777777" w:rsidR="0089207C" w:rsidRPr="00AC3044" w:rsidRDefault="0089207C" w:rsidP="002D3EBF">
            <w:pPr>
              <w:rPr>
                <w:rFonts w:eastAsia="SimSun"/>
              </w:rPr>
            </w:pPr>
            <w:r w:rsidRPr="00AC3044">
              <w:rPr>
                <w:rFonts w:eastAsia="SimSun"/>
              </w:rPr>
              <w:t>С –4 по –1 день</w:t>
            </w:r>
          </w:p>
        </w:tc>
        <w:tc>
          <w:tcPr>
            <w:tcW w:w="2268" w:type="dxa"/>
            <w:vAlign w:val="center"/>
          </w:tcPr>
          <w:p w14:paraId="6141E39F" w14:textId="77777777" w:rsidR="0089207C" w:rsidRPr="00AC3044" w:rsidRDefault="0089207C" w:rsidP="002D3EBF">
            <w:pPr>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 xml:space="preserve">на 2 введения (см. «Инфузия АТГ») </w:t>
            </w:r>
          </w:p>
        </w:tc>
      </w:tr>
      <w:tr w:rsidR="0089207C" w:rsidRPr="00AC3044" w14:paraId="6E6387D1" w14:textId="77777777" w:rsidTr="002D3EBF">
        <w:trPr>
          <w:cantSplit/>
          <w:trHeight w:val="20"/>
        </w:trPr>
        <w:tc>
          <w:tcPr>
            <w:tcW w:w="993" w:type="dxa"/>
            <w:vMerge/>
            <w:textDirection w:val="btLr"/>
          </w:tcPr>
          <w:p w14:paraId="4CC3BC93" w14:textId="77777777" w:rsidR="0089207C" w:rsidRPr="00AC3044" w:rsidRDefault="0089207C" w:rsidP="002D3EBF">
            <w:pPr>
              <w:rPr>
                <w:rFonts w:eastAsia="SimSun"/>
              </w:rPr>
            </w:pPr>
          </w:p>
        </w:tc>
        <w:tc>
          <w:tcPr>
            <w:tcW w:w="1843" w:type="dxa"/>
            <w:vAlign w:val="center"/>
          </w:tcPr>
          <w:p w14:paraId="0C26382F" w14:textId="77777777" w:rsidR="0089207C" w:rsidRPr="00AC3044" w:rsidRDefault="0089207C" w:rsidP="002D3EBF">
            <w:pPr>
              <w:rPr>
                <w:rFonts w:eastAsia="SimSun"/>
              </w:rPr>
            </w:pPr>
            <w:r w:rsidRPr="00AC3044">
              <w:rPr>
                <w:rFonts w:eastAsia="SimSun"/>
              </w:rPr>
              <w:t>Циклоспорин</w:t>
            </w:r>
          </w:p>
        </w:tc>
        <w:tc>
          <w:tcPr>
            <w:tcW w:w="1417" w:type="dxa"/>
            <w:vAlign w:val="center"/>
          </w:tcPr>
          <w:p w14:paraId="31462251" w14:textId="77777777" w:rsidR="0089207C" w:rsidRPr="00AC3044" w:rsidRDefault="0089207C" w:rsidP="002D3EBF">
            <w:pPr>
              <w:rPr>
                <w:rFonts w:eastAsia="SimSun"/>
              </w:rPr>
            </w:pPr>
            <w:r w:rsidRPr="00AC3044">
              <w:rPr>
                <w:rFonts w:eastAsia="SimSun"/>
              </w:rPr>
              <w:t>3 мг/кг</w:t>
            </w:r>
          </w:p>
        </w:tc>
        <w:tc>
          <w:tcPr>
            <w:tcW w:w="1418" w:type="dxa"/>
            <w:vAlign w:val="center"/>
          </w:tcPr>
          <w:p w14:paraId="6A9F3C97" w14:textId="77777777" w:rsidR="0089207C" w:rsidRPr="00AC3044" w:rsidRDefault="0089207C" w:rsidP="002D3EBF">
            <w:pPr>
              <w:rPr>
                <w:rFonts w:eastAsia="SimSun"/>
              </w:rPr>
            </w:pPr>
            <w:r w:rsidRPr="00AC3044">
              <w:rPr>
                <w:rFonts w:eastAsia="SimSun"/>
              </w:rPr>
              <w:t>–</w:t>
            </w:r>
          </w:p>
        </w:tc>
        <w:tc>
          <w:tcPr>
            <w:tcW w:w="1701" w:type="dxa"/>
            <w:vAlign w:val="center"/>
          </w:tcPr>
          <w:p w14:paraId="79E44B69" w14:textId="77777777" w:rsidR="0089207C" w:rsidRPr="00AC3044" w:rsidRDefault="0089207C" w:rsidP="002D3EBF">
            <w:pPr>
              <w:rPr>
                <w:rFonts w:eastAsia="SimSun"/>
              </w:rPr>
            </w:pPr>
            <w:r w:rsidRPr="00AC3044">
              <w:rPr>
                <w:rFonts w:eastAsia="SimSun"/>
              </w:rPr>
              <w:t>С –1 дня по +90 день, затем постепенное снижение к +180 дню</w:t>
            </w:r>
          </w:p>
        </w:tc>
        <w:tc>
          <w:tcPr>
            <w:tcW w:w="2268" w:type="dxa"/>
            <w:vAlign w:val="center"/>
          </w:tcPr>
          <w:p w14:paraId="462E0430" w14:textId="77777777" w:rsidR="0089207C" w:rsidRPr="00AC3044" w:rsidRDefault="0089207C" w:rsidP="002D3EBF">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9207C" w:rsidRPr="00AC3044" w14:paraId="0411F9CD" w14:textId="77777777" w:rsidTr="002D3EBF">
        <w:trPr>
          <w:cantSplit/>
          <w:trHeight w:val="20"/>
        </w:trPr>
        <w:tc>
          <w:tcPr>
            <w:tcW w:w="993" w:type="dxa"/>
            <w:vMerge/>
          </w:tcPr>
          <w:p w14:paraId="7B5E49B8" w14:textId="77777777" w:rsidR="0089207C" w:rsidRPr="00AC3044" w:rsidRDefault="0089207C" w:rsidP="002D3EBF">
            <w:pPr>
              <w:rPr>
                <w:rFonts w:eastAsia="SimSun"/>
              </w:rPr>
            </w:pPr>
          </w:p>
        </w:tc>
        <w:tc>
          <w:tcPr>
            <w:tcW w:w="1843" w:type="dxa"/>
            <w:vMerge w:val="restart"/>
            <w:vAlign w:val="center"/>
          </w:tcPr>
          <w:p w14:paraId="6B3F0E27" w14:textId="77777777" w:rsidR="0089207C" w:rsidRPr="00AC3044" w:rsidRDefault="0089207C" w:rsidP="002D3EBF">
            <w:pPr>
              <w:rPr>
                <w:rFonts w:eastAsia="SimSun"/>
              </w:rPr>
            </w:pPr>
            <w:r w:rsidRPr="00AC3044">
              <w:rPr>
                <w:rFonts w:eastAsia="SimSun"/>
              </w:rPr>
              <w:t>Метотрексат</w:t>
            </w:r>
          </w:p>
        </w:tc>
        <w:tc>
          <w:tcPr>
            <w:tcW w:w="1417" w:type="dxa"/>
            <w:vAlign w:val="center"/>
          </w:tcPr>
          <w:p w14:paraId="6D0EE72D" w14:textId="77777777" w:rsidR="0089207C" w:rsidRPr="00AC3044" w:rsidRDefault="0089207C" w:rsidP="002D3EBF">
            <w:pPr>
              <w:rPr>
                <w:rFonts w:eastAsia="SimSun"/>
              </w:rPr>
            </w:pPr>
            <w:r w:rsidRPr="00AC3044">
              <w:rPr>
                <w:rFonts w:eastAsia="SimSun"/>
              </w:rPr>
              <w:t>15 мг/м</w:t>
            </w:r>
            <w:r w:rsidRPr="000C005F">
              <w:rPr>
                <w:rFonts w:eastAsia="SimSun"/>
                <w:vertAlign w:val="superscript"/>
              </w:rPr>
              <w:t>2</w:t>
            </w:r>
          </w:p>
        </w:tc>
        <w:tc>
          <w:tcPr>
            <w:tcW w:w="1418" w:type="dxa"/>
            <w:vAlign w:val="center"/>
          </w:tcPr>
          <w:p w14:paraId="6FC790AC" w14:textId="77777777" w:rsidR="0089207C" w:rsidRPr="00AC3044" w:rsidRDefault="0089207C" w:rsidP="002D3EBF">
            <w:pPr>
              <w:rPr>
                <w:rFonts w:eastAsia="SimSun"/>
              </w:rPr>
            </w:pPr>
            <w:r w:rsidRPr="00AC3044">
              <w:rPr>
                <w:rFonts w:eastAsia="SimSun"/>
              </w:rPr>
              <w:t>–</w:t>
            </w:r>
          </w:p>
        </w:tc>
        <w:tc>
          <w:tcPr>
            <w:tcW w:w="1701" w:type="dxa"/>
            <w:vAlign w:val="center"/>
          </w:tcPr>
          <w:p w14:paraId="560602E8" w14:textId="77777777" w:rsidR="0089207C" w:rsidRPr="00AC3044" w:rsidRDefault="0089207C" w:rsidP="002D3EBF">
            <w:pPr>
              <w:rPr>
                <w:rFonts w:eastAsia="SimSun"/>
              </w:rPr>
            </w:pPr>
            <w:r w:rsidRPr="00AC3044">
              <w:rPr>
                <w:rFonts w:eastAsia="SimSun"/>
              </w:rPr>
              <w:t>+1 день</w:t>
            </w:r>
          </w:p>
        </w:tc>
        <w:tc>
          <w:tcPr>
            <w:tcW w:w="2268" w:type="dxa"/>
            <w:vAlign w:val="center"/>
          </w:tcPr>
          <w:p w14:paraId="3FAA51D4" w14:textId="77777777" w:rsidR="0089207C" w:rsidRPr="00AC3044" w:rsidRDefault="0089207C" w:rsidP="002D3EBF">
            <w:pPr>
              <w:rPr>
                <w:rFonts w:eastAsia="SimSun"/>
              </w:rPr>
            </w:pPr>
            <w:r w:rsidRPr="00AC3044">
              <w:rPr>
                <w:rFonts w:eastAsia="SimSun"/>
              </w:rPr>
              <w:t xml:space="preserve">В/в, в 20 мл физ. р-ра </w:t>
            </w:r>
          </w:p>
        </w:tc>
      </w:tr>
      <w:tr w:rsidR="0089207C" w:rsidRPr="00AC3044" w14:paraId="745EC4AE" w14:textId="77777777" w:rsidTr="002D3EBF">
        <w:trPr>
          <w:cantSplit/>
          <w:trHeight w:val="464"/>
        </w:trPr>
        <w:tc>
          <w:tcPr>
            <w:tcW w:w="993" w:type="dxa"/>
            <w:vMerge/>
          </w:tcPr>
          <w:p w14:paraId="40A8E166" w14:textId="77777777" w:rsidR="0089207C" w:rsidRPr="00AC3044" w:rsidRDefault="0089207C" w:rsidP="002D3EBF">
            <w:pPr>
              <w:rPr>
                <w:rFonts w:eastAsia="SimSun"/>
              </w:rPr>
            </w:pPr>
          </w:p>
        </w:tc>
        <w:tc>
          <w:tcPr>
            <w:tcW w:w="1843" w:type="dxa"/>
            <w:vMerge/>
            <w:vAlign w:val="center"/>
          </w:tcPr>
          <w:p w14:paraId="29DBDB2D" w14:textId="77777777" w:rsidR="0089207C" w:rsidRPr="00AC3044" w:rsidRDefault="0089207C" w:rsidP="002D3EBF">
            <w:pPr>
              <w:rPr>
                <w:rFonts w:eastAsia="SimSun"/>
              </w:rPr>
            </w:pPr>
          </w:p>
        </w:tc>
        <w:tc>
          <w:tcPr>
            <w:tcW w:w="1417" w:type="dxa"/>
            <w:vAlign w:val="center"/>
          </w:tcPr>
          <w:p w14:paraId="72740E02" w14:textId="77777777" w:rsidR="0089207C" w:rsidRPr="00AC3044" w:rsidRDefault="0089207C" w:rsidP="002D3EBF">
            <w:pPr>
              <w:rPr>
                <w:rFonts w:eastAsia="SimSun"/>
              </w:rPr>
            </w:pPr>
            <w:r w:rsidRPr="00AC3044">
              <w:rPr>
                <w:rFonts w:eastAsia="SimSun"/>
              </w:rPr>
              <w:t>10 мг/м</w:t>
            </w:r>
            <w:r w:rsidRPr="000C005F">
              <w:rPr>
                <w:rFonts w:eastAsia="SimSun"/>
                <w:vertAlign w:val="superscript"/>
              </w:rPr>
              <w:t>2</w:t>
            </w:r>
          </w:p>
        </w:tc>
        <w:tc>
          <w:tcPr>
            <w:tcW w:w="1418" w:type="dxa"/>
            <w:vAlign w:val="center"/>
          </w:tcPr>
          <w:p w14:paraId="694A5990" w14:textId="77777777" w:rsidR="0089207C" w:rsidRPr="00AC3044" w:rsidRDefault="0089207C" w:rsidP="002D3EBF">
            <w:pPr>
              <w:rPr>
                <w:rFonts w:eastAsia="SimSun"/>
              </w:rPr>
            </w:pPr>
            <w:r w:rsidRPr="00AC3044">
              <w:rPr>
                <w:rFonts w:eastAsia="SimSun"/>
              </w:rPr>
              <w:t>–</w:t>
            </w:r>
          </w:p>
        </w:tc>
        <w:tc>
          <w:tcPr>
            <w:tcW w:w="1701" w:type="dxa"/>
            <w:vAlign w:val="center"/>
          </w:tcPr>
          <w:p w14:paraId="645AC672" w14:textId="77777777" w:rsidR="0089207C" w:rsidRPr="00AC3044" w:rsidRDefault="0089207C" w:rsidP="002D3EBF">
            <w:pPr>
              <w:rPr>
                <w:rFonts w:eastAsia="SimSun"/>
              </w:rPr>
            </w:pPr>
            <w:r w:rsidRPr="00AC3044">
              <w:rPr>
                <w:rFonts w:eastAsia="SimSun"/>
              </w:rPr>
              <w:t>+3, +6, +11 день</w:t>
            </w:r>
          </w:p>
        </w:tc>
        <w:tc>
          <w:tcPr>
            <w:tcW w:w="2268" w:type="dxa"/>
            <w:vAlign w:val="center"/>
          </w:tcPr>
          <w:p w14:paraId="097BFB27" w14:textId="77777777" w:rsidR="0089207C" w:rsidRPr="00AC3044" w:rsidRDefault="0089207C" w:rsidP="002D3EBF">
            <w:pPr>
              <w:rPr>
                <w:rFonts w:eastAsia="SimSun"/>
              </w:rPr>
            </w:pPr>
            <w:r w:rsidRPr="00AC3044">
              <w:rPr>
                <w:rFonts w:eastAsia="SimSun"/>
              </w:rPr>
              <w:t xml:space="preserve">В/в, в 20 мл физ. р-ра </w:t>
            </w:r>
          </w:p>
        </w:tc>
      </w:tr>
      <w:tr w:rsidR="0089207C" w:rsidRPr="00AC3044" w14:paraId="31A3C302" w14:textId="77777777" w:rsidTr="002D3EBF">
        <w:trPr>
          <w:cantSplit/>
          <w:trHeight w:val="464"/>
        </w:trPr>
        <w:tc>
          <w:tcPr>
            <w:tcW w:w="993" w:type="dxa"/>
            <w:vMerge/>
          </w:tcPr>
          <w:p w14:paraId="72AC4C48" w14:textId="77777777" w:rsidR="0089207C" w:rsidRPr="00AC3044" w:rsidRDefault="0089207C" w:rsidP="002D3EBF">
            <w:pPr>
              <w:rPr>
                <w:rFonts w:eastAsia="SimSun"/>
              </w:rPr>
            </w:pPr>
          </w:p>
        </w:tc>
        <w:tc>
          <w:tcPr>
            <w:tcW w:w="1843" w:type="dxa"/>
            <w:vMerge w:val="restart"/>
            <w:vAlign w:val="center"/>
          </w:tcPr>
          <w:p w14:paraId="56F756C6" w14:textId="77777777" w:rsidR="0089207C" w:rsidRPr="00AC3044" w:rsidRDefault="0089207C" w:rsidP="002D3EBF">
            <w:pPr>
              <w:rPr>
                <w:rFonts w:eastAsia="SimSun"/>
              </w:rPr>
            </w:pPr>
            <w:r w:rsidRPr="00AC3044">
              <w:rPr>
                <w:rFonts w:eastAsia="SimSun"/>
              </w:rPr>
              <w:t>Микофенолата мофетил (только при использовании СКК)</w:t>
            </w:r>
          </w:p>
        </w:tc>
        <w:tc>
          <w:tcPr>
            <w:tcW w:w="1417" w:type="dxa"/>
            <w:vAlign w:val="center"/>
          </w:tcPr>
          <w:p w14:paraId="69C8C411" w14:textId="77777777" w:rsidR="0089207C" w:rsidRPr="00AC3044" w:rsidRDefault="0089207C" w:rsidP="002D3EBF">
            <w:pPr>
              <w:rPr>
                <w:rFonts w:eastAsia="SimSun"/>
              </w:rPr>
            </w:pPr>
            <w:r w:rsidRPr="00AC3044">
              <w:rPr>
                <w:rFonts w:eastAsia="SimSun"/>
              </w:rPr>
              <w:t>2000 мг</w:t>
            </w:r>
          </w:p>
        </w:tc>
        <w:tc>
          <w:tcPr>
            <w:tcW w:w="1418" w:type="dxa"/>
            <w:vAlign w:val="center"/>
          </w:tcPr>
          <w:p w14:paraId="5616ADB8" w14:textId="77777777" w:rsidR="0089207C" w:rsidRPr="00AC3044" w:rsidRDefault="0089207C" w:rsidP="002D3EBF">
            <w:pPr>
              <w:rPr>
                <w:rFonts w:eastAsia="SimSun"/>
              </w:rPr>
            </w:pPr>
            <w:r w:rsidRPr="00AC3044">
              <w:rPr>
                <w:rFonts w:eastAsia="SimSun"/>
              </w:rPr>
              <w:t>–</w:t>
            </w:r>
          </w:p>
        </w:tc>
        <w:tc>
          <w:tcPr>
            <w:tcW w:w="1701" w:type="dxa"/>
            <w:vAlign w:val="center"/>
          </w:tcPr>
          <w:p w14:paraId="3F135B1D" w14:textId="77777777" w:rsidR="0089207C" w:rsidRPr="00AC3044" w:rsidRDefault="0089207C" w:rsidP="002D3EBF">
            <w:pPr>
              <w:rPr>
                <w:rFonts w:eastAsia="SimSun"/>
              </w:rPr>
            </w:pPr>
            <w:r w:rsidRPr="00AC3044">
              <w:rPr>
                <w:rFonts w:eastAsia="SimSun"/>
              </w:rPr>
              <w:t>С +1 по +14 день</w:t>
            </w:r>
          </w:p>
        </w:tc>
        <w:tc>
          <w:tcPr>
            <w:tcW w:w="2268" w:type="dxa"/>
            <w:vAlign w:val="center"/>
          </w:tcPr>
          <w:p w14:paraId="649B3742" w14:textId="77777777" w:rsidR="0089207C" w:rsidRPr="00AC3044" w:rsidRDefault="0089207C" w:rsidP="002D3EBF">
            <w:pPr>
              <w:rPr>
                <w:rFonts w:eastAsia="SimSun"/>
              </w:rPr>
            </w:pPr>
            <w:r w:rsidRPr="00AC3044">
              <w:rPr>
                <w:rFonts w:eastAsia="SimSun"/>
              </w:rPr>
              <w:t>Внутрь, суммарная суточная доза разделяется на 2-4 приема.</w:t>
            </w:r>
          </w:p>
        </w:tc>
      </w:tr>
      <w:tr w:rsidR="0089207C" w:rsidRPr="00AC3044" w14:paraId="3ADB8A76" w14:textId="77777777" w:rsidTr="002D3EBF">
        <w:trPr>
          <w:cantSplit/>
          <w:trHeight w:val="464"/>
        </w:trPr>
        <w:tc>
          <w:tcPr>
            <w:tcW w:w="993" w:type="dxa"/>
            <w:vMerge/>
          </w:tcPr>
          <w:p w14:paraId="727CEA02" w14:textId="77777777" w:rsidR="0089207C" w:rsidRPr="00AC3044" w:rsidRDefault="0089207C" w:rsidP="002D3EBF">
            <w:pPr>
              <w:rPr>
                <w:rFonts w:eastAsia="SimSun"/>
              </w:rPr>
            </w:pPr>
          </w:p>
        </w:tc>
        <w:tc>
          <w:tcPr>
            <w:tcW w:w="1843" w:type="dxa"/>
            <w:vMerge/>
            <w:vAlign w:val="center"/>
          </w:tcPr>
          <w:p w14:paraId="3D2A371A" w14:textId="77777777" w:rsidR="0089207C" w:rsidRPr="00AC3044" w:rsidRDefault="0089207C" w:rsidP="002D3EBF">
            <w:pPr>
              <w:rPr>
                <w:rFonts w:eastAsia="SimSun"/>
              </w:rPr>
            </w:pPr>
          </w:p>
        </w:tc>
        <w:tc>
          <w:tcPr>
            <w:tcW w:w="1417" w:type="dxa"/>
            <w:vAlign w:val="center"/>
          </w:tcPr>
          <w:p w14:paraId="1790BB56" w14:textId="77777777" w:rsidR="0089207C" w:rsidRPr="00AC3044" w:rsidRDefault="0089207C" w:rsidP="002D3EBF">
            <w:pPr>
              <w:rPr>
                <w:rFonts w:eastAsia="SimSun"/>
              </w:rPr>
            </w:pPr>
            <w:r w:rsidRPr="00AC3044">
              <w:rPr>
                <w:rFonts w:eastAsia="SimSun"/>
              </w:rPr>
              <w:t>1000 мг</w:t>
            </w:r>
          </w:p>
        </w:tc>
        <w:tc>
          <w:tcPr>
            <w:tcW w:w="1418" w:type="dxa"/>
            <w:vAlign w:val="center"/>
          </w:tcPr>
          <w:p w14:paraId="266F9262" w14:textId="77777777" w:rsidR="0089207C" w:rsidRPr="00AC3044" w:rsidRDefault="0089207C" w:rsidP="002D3EBF">
            <w:pPr>
              <w:rPr>
                <w:rFonts w:eastAsia="SimSun"/>
              </w:rPr>
            </w:pPr>
            <w:r w:rsidRPr="00AC3044">
              <w:rPr>
                <w:rFonts w:eastAsia="SimSun"/>
              </w:rPr>
              <w:t>–</w:t>
            </w:r>
          </w:p>
        </w:tc>
        <w:tc>
          <w:tcPr>
            <w:tcW w:w="1701" w:type="dxa"/>
            <w:vAlign w:val="center"/>
          </w:tcPr>
          <w:p w14:paraId="214F7FA9" w14:textId="77777777" w:rsidR="0089207C" w:rsidRPr="00AC3044" w:rsidRDefault="0089207C" w:rsidP="002D3EBF">
            <w:pPr>
              <w:rPr>
                <w:rFonts w:eastAsia="SimSun"/>
              </w:rPr>
            </w:pPr>
            <w:r w:rsidRPr="00AC3044">
              <w:rPr>
                <w:rFonts w:eastAsia="SimSun"/>
              </w:rPr>
              <w:t>С +15 по +90 день</w:t>
            </w:r>
          </w:p>
        </w:tc>
        <w:tc>
          <w:tcPr>
            <w:tcW w:w="2268" w:type="dxa"/>
            <w:vAlign w:val="center"/>
          </w:tcPr>
          <w:p w14:paraId="01E149DE" w14:textId="77777777" w:rsidR="0089207C" w:rsidRPr="00AC3044" w:rsidRDefault="0089207C" w:rsidP="002D3EBF">
            <w:pPr>
              <w:rPr>
                <w:rFonts w:eastAsia="SimSun"/>
              </w:rPr>
            </w:pPr>
            <w:r w:rsidRPr="00AC3044">
              <w:rPr>
                <w:rFonts w:eastAsia="SimSun"/>
              </w:rPr>
              <w:t>Внутрь, суммарная суточная доза разделяется на 2-4 приема.</w:t>
            </w:r>
          </w:p>
        </w:tc>
      </w:tr>
    </w:tbl>
    <w:p w14:paraId="135BAF48" w14:textId="77777777" w:rsidR="0089207C" w:rsidRDefault="0089207C" w:rsidP="0089207C">
      <w:pPr>
        <w:rPr>
          <w:rFonts w:eastAsia="SimSun"/>
        </w:rPr>
      </w:pPr>
      <w:bookmarkStart w:id="215" w:name="_Toc44401164"/>
    </w:p>
    <w:p w14:paraId="3F60228A" w14:textId="77777777" w:rsidR="0089207C" w:rsidRPr="00C07B2E" w:rsidRDefault="0089207C" w:rsidP="0089207C">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1.2.6  – Flu180+Bu8 / rATG+CSA+MTX+MMF30</w:t>
      </w:r>
      <w:bookmarkEnd w:id="215"/>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89207C" w:rsidRPr="00AC3044" w14:paraId="0C08719E" w14:textId="77777777" w:rsidTr="002D3EBF">
        <w:trPr>
          <w:cantSplit/>
          <w:trHeight w:val="20"/>
          <w:tblHeader/>
        </w:trPr>
        <w:tc>
          <w:tcPr>
            <w:tcW w:w="993" w:type="dxa"/>
          </w:tcPr>
          <w:p w14:paraId="6619E99D" w14:textId="77777777" w:rsidR="0089207C" w:rsidRPr="00470D3D" w:rsidRDefault="0089207C" w:rsidP="002D3EBF">
            <w:pPr>
              <w:rPr>
                <w:rFonts w:eastAsia="SimSun"/>
              </w:rPr>
            </w:pPr>
          </w:p>
        </w:tc>
        <w:tc>
          <w:tcPr>
            <w:tcW w:w="1843" w:type="dxa"/>
            <w:vAlign w:val="center"/>
          </w:tcPr>
          <w:p w14:paraId="0B2411F1" w14:textId="77777777" w:rsidR="0089207C" w:rsidRPr="00AC3044" w:rsidRDefault="0089207C" w:rsidP="002D3EBF">
            <w:pPr>
              <w:rPr>
                <w:rFonts w:eastAsia="SimSun"/>
              </w:rPr>
            </w:pPr>
            <w:r w:rsidRPr="00AC3044">
              <w:rPr>
                <w:rFonts w:eastAsia="SimSun"/>
              </w:rPr>
              <w:t>Препарат</w:t>
            </w:r>
          </w:p>
        </w:tc>
        <w:tc>
          <w:tcPr>
            <w:tcW w:w="1417" w:type="dxa"/>
            <w:vAlign w:val="center"/>
          </w:tcPr>
          <w:p w14:paraId="01D0FF3B" w14:textId="77777777" w:rsidR="0089207C" w:rsidRPr="00AC3044" w:rsidRDefault="0089207C" w:rsidP="002D3EBF">
            <w:pPr>
              <w:rPr>
                <w:rFonts w:eastAsia="SimSun"/>
              </w:rPr>
            </w:pPr>
            <w:r w:rsidRPr="00AC3044">
              <w:rPr>
                <w:rFonts w:eastAsia="SimSun"/>
              </w:rPr>
              <w:t>Суточная доза</w:t>
            </w:r>
          </w:p>
        </w:tc>
        <w:tc>
          <w:tcPr>
            <w:tcW w:w="1559" w:type="dxa"/>
            <w:vAlign w:val="center"/>
          </w:tcPr>
          <w:p w14:paraId="49DC2225" w14:textId="77777777" w:rsidR="0089207C" w:rsidRPr="00AC3044" w:rsidRDefault="0089207C" w:rsidP="002D3EBF">
            <w:pPr>
              <w:rPr>
                <w:rFonts w:eastAsia="SimSun"/>
              </w:rPr>
            </w:pPr>
            <w:r w:rsidRPr="00AC3044">
              <w:rPr>
                <w:rFonts w:eastAsia="SimSun"/>
              </w:rPr>
              <w:t>Курсовая доза</w:t>
            </w:r>
          </w:p>
        </w:tc>
        <w:tc>
          <w:tcPr>
            <w:tcW w:w="1560" w:type="dxa"/>
            <w:vAlign w:val="center"/>
          </w:tcPr>
          <w:p w14:paraId="1D16C9A0"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0E41C3FD"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25C84860" w14:textId="77777777" w:rsidTr="002D3EBF">
        <w:trPr>
          <w:cantSplit/>
          <w:trHeight w:val="20"/>
        </w:trPr>
        <w:tc>
          <w:tcPr>
            <w:tcW w:w="993" w:type="dxa"/>
            <w:vMerge w:val="restart"/>
            <w:textDirection w:val="btLr"/>
            <w:vAlign w:val="center"/>
          </w:tcPr>
          <w:p w14:paraId="3AFB706C" w14:textId="77777777" w:rsidR="0089207C" w:rsidRPr="00AC3044" w:rsidRDefault="0089207C" w:rsidP="002D3EBF">
            <w:pPr>
              <w:rPr>
                <w:rFonts w:eastAsia="SimSun"/>
              </w:rPr>
            </w:pPr>
            <w:r w:rsidRPr="00AC3044">
              <w:rPr>
                <w:rFonts w:eastAsia="SimSun"/>
              </w:rPr>
              <w:t>Кондиционирование</w:t>
            </w:r>
          </w:p>
        </w:tc>
        <w:tc>
          <w:tcPr>
            <w:tcW w:w="1843" w:type="dxa"/>
            <w:vAlign w:val="center"/>
          </w:tcPr>
          <w:p w14:paraId="5B14B7A6" w14:textId="77777777" w:rsidR="0089207C" w:rsidRPr="00AC3044" w:rsidRDefault="0089207C" w:rsidP="002D3EBF">
            <w:pPr>
              <w:rPr>
                <w:rFonts w:eastAsia="SimSun"/>
              </w:rPr>
            </w:pPr>
            <w:r w:rsidRPr="00AC3044">
              <w:rPr>
                <w:rFonts w:eastAsia="SimSun"/>
              </w:rPr>
              <w:t xml:space="preserve">Флударабин </w:t>
            </w:r>
          </w:p>
        </w:tc>
        <w:tc>
          <w:tcPr>
            <w:tcW w:w="1417" w:type="dxa"/>
            <w:vAlign w:val="center"/>
          </w:tcPr>
          <w:p w14:paraId="44D64208" w14:textId="77777777" w:rsidR="0089207C" w:rsidRPr="00AC3044" w:rsidRDefault="0089207C" w:rsidP="002D3EBF">
            <w:pPr>
              <w:rPr>
                <w:rFonts w:eastAsia="SimSun"/>
              </w:rPr>
            </w:pPr>
            <w:r w:rsidRPr="00AC3044">
              <w:rPr>
                <w:rFonts w:eastAsia="SimSun"/>
              </w:rPr>
              <w:t>30 мг/м</w:t>
            </w:r>
            <w:r w:rsidRPr="001E6DBE">
              <w:rPr>
                <w:rFonts w:eastAsia="SimSun"/>
                <w:vertAlign w:val="superscript"/>
              </w:rPr>
              <w:t>2</w:t>
            </w:r>
          </w:p>
        </w:tc>
        <w:tc>
          <w:tcPr>
            <w:tcW w:w="1559" w:type="dxa"/>
            <w:vAlign w:val="center"/>
          </w:tcPr>
          <w:p w14:paraId="6AB007DE" w14:textId="77777777" w:rsidR="0089207C" w:rsidRPr="00AC3044" w:rsidRDefault="0089207C" w:rsidP="002D3EBF">
            <w:pPr>
              <w:rPr>
                <w:rFonts w:eastAsia="SimSun"/>
              </w:rPr>
            </w:pPr>
            <w:r w:rsidRPr="00AC3044">
              <w:rPr>
                <w:rFonts w:eastAsia="SimSun"/>
              </w:rPr>
              <w:t>180 мг/м</w:t>
            </w:r>
            <w:r w:rsidRPr="001E6DBE">
              <w:rPr>
                <w:rFonts w:eastAsia="SimSun"/>
                <w:vertAlign w:val="superscript"/>
              </w:rPr>
              <w:t>2</w:t>
            </w:r>
          </w:p>
        </w:tc>
        <w:tc>
          <w:tcPr>
            <w:tcW w:w="1560" w:type="dxa"/>
            <w:vAlign w:val="center"/>
          </w:tcPr>
          <w:p w14:paraId="7E2ABD1D" w14:textId="77777777" w:rsidR="0089207C" w:rsidRPr="00AC3044" w:rsidRDefault="0089207C" w:rsidP="002D3EBF">
            <w:pPr>
              <w:rPr>
                <w:rFonts w:eastAsia="SimSun"/>
              </w:rPr>
            </w:pPr>
            <w:r w:rsidRPr="00AC3044">
              <w:rPr>
                <w:rFonts w:eastAsia="SimSun"/>
              </w:rPr>
              <w:t>С –9 по –4 день</w:t>
            </w:r>
          </w:p>
        </w:tc>
        <w:tc>
          <w:tcPr>
            <w:tcW w:w="2268" w:type="dxa"/>
            <w:vAlign w:val="center"/>
          </w:tcPr>
          <w:p w14:paraId="48A61033"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0BA79359" w14:textId="77777777" w:rsidTr="002D3EBF">
        <w:trPr>
          <w:cantSplit/>
          <w:trHeight w:val="1472"/>
        </w:trPr>
        <w:tc>
          <w:tcPr>
            <w:tcW w:w="993" w:type="dxa"/>
            <w:vMerge/>
            <w:textDirection w:val="btLr"/>
            <w:vAlign w:val="center"/>
          </w:tcPr>
          <w:p w14:paraId="0F8D482B" w14:textId="77777777" w:rsidR="0089207C" w:rsidRPr="00AC3044" w:rsidRDefault="0089207C" w:rsidP="002D3EBF">
            <w:pPr>
              <w:rPr>
                <w:rFonts w:eastAsia="SimSun"/>
              </w:rPr>
            </w:pPr>
          </w:p>
        </w:tc>
        <w:tc>
          <w:tcPr>
            <w:tcW w:w="1843" w:type="dxa"/>
            <w:vAlign w:val="center"/>
          </w:tcPr>
          <w:p w14:paraId="3A16636D" w14:textId="77777777" w:rsidR="0089207C" w:rsidRPr="00AC3044" w:rsidRDefault="0089207C" w:rsidP="002D3EBF">
            <w:pPr>
              <w:rPr>
                <w:rFonts w:eastAsia="SimSun"/>
              </w:rPr>
            </w:pPr>
            <w:r w:rsidRPr="00AC3044">
              <w:rPr>
                <w:rFonts w:eastAsia="SimSun"/>
              </w:rPr>
              <w:t>Бусульфан</w:t>
            </w:r>
          </w:p>
        </w:tc>
        <w:tc>
          <w:tcPr>
            <w:tcW w:w="1417" w:type="dxa"/>
            <w:vAlign w:val="center"/>
          </w:tcPr>
          <w:p w14:paraId="07F12338" w14:textId="77777777" w:rsidR="0089207C" w:rsidRPr="00AC3044" w:rsidRDefault="0089207C" w:rsidP="002D3EBF">
            <w:pPr>
              <w:rPr>
                <w:rFonts w:eastAsia="SimSun"/>
              </w:rPr>
            </w:pPr>
            <w:r w:rsidRPr="00AC3044">
              <w:rPr>
                <w:rFonts w:eastAsia="SimSun"/>
              </w:rPr>
              <w:t>4 мг/кг</w:t>
            </w:r>
          </w:p>
        </w:tc>
        <w:tc>
          <w:tcPr>
            <w:tcW w:w="1559" w:type="dxa"/>
            <w:vAlign w:val="center"/>
          </w:tcPr>
          <w:p w14:paraId="48E0CDEC" w14:textId="77777777" w:rsidR="0089207C" w:rsidRPr="00AC3044" w:rsidRDefault="0089207C" w:rsidP="002D3EBF">
            <w:pPr>
              <w:rPr>
                <w:rFonts w:eastAsia="SimSun"/>
              </w:rPr>
            </w:pPr>
            <w:r w:rsidRPr="00AC3044">
              <w:rPr>
                <w:rFonts w:eastAsia="SimSun"/>
              </w:rPr>
              <w:t>8 мг/кг</w:t>
            </w:r>
          </w:p>
        </w:tc>
        <w:tc>
          <w:tcPr>
            <w:tcW w:w="1560" w:type="dxa"/>
            <w:vAlign w:val="center"/>
          </w:tcPr>
          <w:p w14:paraId="7348A183" w14:textId="77777777" w:rsidR="0089207C" w:rsidRPr="00AC3044" w:rsidRDefault="0089207C" w:rsidP="002D3EBF">
            <w:pPr>
              <w:rPr>
                <w:rFonts w:eastAsia="SimSun"/>
              </w:rPr>
            </w:pPr>
            <w:r w:rsidRPr="00AC3044">
              <w:rPr>
                <w:rFonts w:eastAsia="SimSun"/>
              </w:rPr>
              <w:t>–5, –4 дни</w:t>
            </w:r>
          </w:p>
        </w:tc>
        <w:tc>
          <w:tcPr>
            <w:tcW w:w="2268" w:type="dxa"/>
            <w:vAlign w:val="center"/>
          </w:tcPr>
          <w:p w14:paraId="44690312"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w:t>
            </w:r>
          </w:p>
        </w:tc>
      </w:tr>
      <w:tr w:rsidR="0089207C" w:rsidRPr="00AC3044" w14:paraId="72C75FB5" w14:textId="77777777" w:rsidTr="002D3EBF">
        <w:trPr>
          <w:cantSplit/>
          <w:trHeight w:val="20"/>
        </w:trPr>
        <w:tc>
          <w:tcPr>
            <w:tcW w:w="993" w:type="dxa"/>
            <w:vMerge w:val="restart"/>
            <w:textDirection w:val="btLr"/>
            <w:vAlign w:val="center"/>
          </w:tcPr>
          <w:p w14:paraId="36CC6D96" w14:textId="77777777" w:rsidR="0089207C" w:rsidRPr="00AC3044" w:rsidRDefault="0089207C" w:rsidP="002D3EBF">
            <w:pPr>
              <w:rPr>
                <w:rFonts w:eastAsia="SimSun"/>
              </w:rPr>
            </w:pPr>
            <w:r w:rsidRPr="00AC3044">
              <w:rPr>
                <w:rFonts w:eastAsia="SimSun"/>
              </w:rPr>
              <w:t>Профилактика РТПХ</w:t>
            </w:r>
          </w:p>
        </w:tc>
        <w:tc>
          <w:tcPr>
            <w:tcW w:w="1843" w:type="dxa"/>
            <w:vAlign w:val="center"/>
          </w:tcPr>
          <w:p w14:paraId="5B94EC6E" w14:textId="77777777" w:rsidR="0089207C" w:rsidRPr="00AC3044" w:rsidRDefault="0089207C" w:rsidP="002D3EBF">
            <w:pPr>
              <w:rPr>
                <w:rFonts w:eastAsia="SimSun"/>
              </w:rPr>
            </w:pPr>
            <w:r w:rsidRPr="00AC3044">
              <w:rPr>
                <w:rFonts w:eastAsia="SimSun"/>
              </w:rPr>
              <w:t>АТГ (кроличий)</w:t>
            </w:r>
          </w:p>
        </w:tc>
        <w:tc>
          <w:tcPr>
            <w:tcW w:w="1417" w:type="dxa"/>
            <w:vAlign w:val="center"/>
          </w:tcPr>
          <w:p w14:paraId="7B3F2919" w14:textId="77777777" w:rsidR="0089207C" w:rsidRPr="00AC3044" w:rsidRDefault="0089207C" w:rsidP="002D3EBF">
            <w:pPr>
              <w:rPr>
                <w:rFonts w:eastAsia="SimSun"/>
              </w:rPr>
            </w:pPr>
            <w:r w:rsidRPr="00AC3044">
              <w:rPr>
                <w:rFonts w:eastAsia="SimSun"/>
              </w:rPr>
              <w:t>2,5 мг/кг</w:t>
            </w:r>
          </w:p>
        </w:tc>
        <w:tc>
          <w:tcPr>
            <w:tcW w:w="1559" w:type="dxa"/>
            <w:vAlign w:val="center"/>
          </w:tcPr>
          <w:p w14:paraId="4118AEED" w14:textId="77777777" w:rsidR="0089207C" w:rsidRPr="00AC3044" w:rsidRDefault="0089207C" w:rsidP="002D3EBF">
            <w:pPr>
              <w:rPr>
                <w:rFonts w:eastAsia="SimSun"/>
              </w:rPr>
            </w:pPr>
            <w:r w:rsidRPr="00AC3044">
              <w:rPr>
                <w:rFonts w:eastAsia="SimSun"/>
              </w:rPr>
              <w:t>5 - 7,5 мг/кг</w:t>
            </w:r>
            <w:r w:rsidRPr="001E6DBE">
              <w:rPr>
                <w:rFonts w:eastAsia="SimSun"/>
                <w:vertAlign w:val="superscript"/>
              </w:rPr>
              <w:t>2</w:t>
            </w:r>
          </w:p>
        </w:tc>
        <w:tc>
          <w:tcPr>
            <w:tcW w:w="1560" w:type="dxa"/>
            <w:vAlign w:val="center"/>
          </w:tcPr>
          <w:p w14:paraId="6AFB83E6" w14:textId="77777777" w:rsidR="0089207C" w:rsidRPr="00AC3044" w:rsidRDefault="0089207C" w:rsidP="002D3EBF">
            <w:pPr>
              <w:rPr>
                <w:rFonts w:eastAsia="SimSun"/>
              </w:rPr>
            </w:pPr>
            <w:r w:rsidRPr="00AC3044">
              <w:rPr>
                <w:rFonts w:eastAsia="SimSun"/>
              </w:rPr>
              <w:t>С –3 по –2 (-1) день</w:t>
            </w:r>
          </w:p>
        </w:tc>
        <w:tc>
          <w:tcPr>
            <w:tcW w:w="2268" w:type="dxa"/>
            <w:vAlign w:val="center"/>
          </w:tcPr>
          <w:p w14:paraId="4E000B89" w14:textId="77777777" w:rsidR="0089207C" w:rsidRPr="00AC3044" w:rsidRDefault="0089207C" w:rsidP="002D3EBF">
            <w:pPr>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 xml:space="preserve">на 2 введения (см. «Инфузия АТГ») </w:t>
            </w:r>
          </w:p>
        </w:tc>
      </w:tr>
      <w:tr w:rsidR="0089207C" w:rsidRPr="00AC3044" w14:paraId="212BA904" w14:textId="77777777" w:rsidTr="002D3EBF">
        <w:trPr>
          <w:cantSplit/>
          <w:trHeight w:val="20"/>
        </w:trPr>
        <w:tc>
          <w:tcPr>
            <w:tcW w:w="993" w:type="dxa"/>
            <w:vMerge/>
            <w:textDirection w:val="btLr"/>
            <w:vAlign w:val="center"/>
          </w:tcPr>
          <w:p w14:paraId="65AF93E5" w14:textId="77777777" w:rsidR="0089207C" w:rsidRPr="00AC3044" w:rsidRDefault="0089207C" w:rsidP="002D3EBF">
            <w:pPr>
              <w:rPr>
                <w:rFonts w:eastAsia="SimSun"/>
              </w:rPr>
            </w:pPr>
          </w:p>
        </w:tc>
        <w:tc>
          <w:tcPr>
            <w:tcW w:w="1843" w:type="dxa"/>
            <w:vAlign w:val="center"/>
          </w:tcPr>
          <w:p w14:paraId="1BC99CD3" w14:textId="77777777" w:rsidR="0089207C" w:rsidRPr="00AC3044" w:rsidRDefault="0089207C" w:rsidP="002D3EBF">
            <w:pPr>
              <w:rPr>
                <w:rFonts w:eastAsia="SimSun"/>
              </w:rPr>
            </w:pPr>
            <w:r w:rsidRPr="00AC3044">
              <w:rPr>
                <w:rFonts w:eastAsia="SimSun"/>
              </w:rPr>
              <w:t>Циклоспорин</w:t>
            </w:r>
          </w:p>
        </w:tc>
        <w:tc>
          <w:tcPr>
            <w:tcW w:w="1417" w:type="dxa"/>
            <w:vAlign w:val="center"/>
          </w:tcPr>
          <w:p w14:paraId="2091FBF5" w14:textId="77777777" w:rsidR="0089207C" w:rsidRPr="00AC3044" w:rsidRDefault="0089207C" w:rsidP="002D3EBF">
            <w:pPr>
              <w:rPr>
                <w:rFonts w:eastAsia="SimSun"/>
              </w:rPr>
            </w:pPr>
            <w:r w:rsidRPr="00AC3044">
              <w:rPr>
                <w:rFonts w:eastAsia="SimSun"/>
              </w:rPr>
              <w:t>3 мг/кг</w:t>
            </w:r>
          </w:p>
        </w:tc>
        <w:tc>
          <w:tcPr>
            <w:tcW w:w="1559" w:type="dxa"/>
            <w:vAlign w:val="center"/>
          </w:tcPr>
          <w:p w14:paraId="1B7BAD6A" w14:textId="77777777" w:rsidR="0089207C" w:rsidRPr="00AC3044" w:rsidRDefault="0089207C" w:rsidP="002D3EBF">
            <w:pPr>
              <w:rPr>
                <w:rFonts w:eastAsia="SimSun"/>
              </w:rPr>
            </w:pPr>
            <w:r w:rsidRPr="00AC3044">
              <w:rPr>
                <w:rFonts w:eastAsia="SimSun"/>
              </w:rPr>
              <w:t>–</w:t>
            </w:r>
          </w:p>
        </w:tc>
        <w:tc>
          <w:tcPr>
            <w:tcW w:w="1560" w:type="dxa"/>
            <w:vAlign w:val="center"/>
          </w:tcPr>
          <w:p w14:paraId="72B872F4" w14:textId="77777777" w:rsidR="0089207C" w:rsidRPr="00AC3044" w:rsidRDefault="0089207C" w:rsidP="002D3EBF">
            <w:pPr>
              <w:rPr>
                <w:rFonts w:eastAsia="SimSun"/>
              </w:rPr>
            </w:pPr>
            <w:r w:rsidRPr="00AC3044">
              <w:rPr>
                <w:rFonts w:eastAsia="SimSun"/>
              </w:rPr>
              <w:t>С –1 дня по +90 день, затем постепенное снижение к +180 дню</w:t>
            </w:r>
          </w:p>
        </w:tc>
        <w:tc>
          <w:tcPr>
            <w:tcW w:w="2268" w:type="dxa"/>
            <w:vAlign w:val="center"/>
          </w:tcPr>
          <w:p w14:paraId="291EE45E" w14:textId="77777777" w:rsidR="0089207C" w:rsidRPr="00AC3044" w:rsidRDefault="0089207C" w:rsidP="002D3EBF">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9207C" w:rsidRPr="00AC3044" w14:paraId="77BD91BB" w14:textId="77777777" w:rsidTr="002D3EBF">
        <w:trPr>
          <w:cantSplit/>
          <w:trHeight w:val="20"/>
        </w:trPr>
        <w:tc>
          <w:tcPr>
            <w:tcW w:w="993" w:type="dxa"/>
            <w:vMerge/>
            <w:vAlign w:val="center"/>
          </w:tcPr>
          <w:p w14:paraId="22FFC124" w14:textId="77777777" w:rsidR="0089207C" w:rsidRPr="00AC3044" w:rsidRDefault="0089207C" w:rsidP="002D3EBF">
            <w:pPr>
              <w:rPr>
                <w:rFonts w:eastAsia="SimSun"/>
              </w:rPr>
            </w:pPr>
          </w:p>
        </w:tc>
        <w:tc>
          <w:tcPr>
            <w:tcW w:w="1843" w:type="dxa"/>
            <w:vMerge w:val="restart"/>
            <w:vAlign w:val="center"/>
          </w:tcPr>
          <w:p w14:paraId="48A14EE1" w14:textId="77777777" w:rsidR="0089207C" w:rsidRPr="00AC3044" w:rsidRDefault="0089207C" w:rsidP="002D3EBF">
            <w:pPr>
              <w:rPr>
                <w:rFonts w:eastAsia="SimSun"/>
              </w:rPr>
            </w:pPr>
            <w:r w:rsidRPr="00AC3044">
              <w:rPr>
                <w:rFonts w:eastAsia="SimSun"/>
              </w:rPr>
              <w:t>Метотрексат</w:t>
            </w:r>
          </w:p>
        </w:tc>
        <w:tc>
          <w:tcPr>
            <w:tcW w:w="1417" w:type="dxa"/>
            <w:vAlign w:val="center"/>
          </w:tcPr>
          <w:p w14:paraId="6F5BEE8B" w14:textId="77777777" w:rsidR="0089207C" w:rsidRPr="00AC3044" w:rsidRDefault="0089207C" w:rsidP="002D3EBF">
            <w:pPr>
              <w:rPr>
                <w:rFonts w:eastAsia="SimSun"/>
              </w:rPr>
            </w:pPr>
            <w:r w:rsidRPr="00AC3044">
              <w:rPr>
                <w:rFonts w:eastAsia="SimSun"/>
              </w:rPr>
              <w:t>15 мг/м</w:t>
            </w:r>
            <w:r w:rsidRPr="001E6DBE">
              <w:rPr>
                <w:rFonts w:eastAsia="SimSun"/>
                <w:vertAlign w:val="superscript"/>
              </w:rPr>
              <w:t>2</w:t>
            </w:r>
          </w:p>
        </w:tc>
        <w:tc>
          <w:tcPr>
            <w:tcW w:w="1559" w:type="dxa"/>
            <w:vAlign w:val="center"/>
          </w:tcPr>
          <w:p w14:paraId="34DB3E69" w14:textId="77777777" w:rsidR="0089207C" w:rsidRPr="00AC3044" w:rsidRDefault="0089207C" w:rsidP="002D3EBF">
            <w:pPr>
              <w:rPr>
                <w:rFonts w:eastAsia="SimSun"/>
              </w:rPr>
            </w:pPr>
            <w:r w:rsidRPr="00AC3044">
              <w:rPr>
                <w:rFonts w:eastAsia="SimSun"/>
              </w:rPr>
              <w:t>–</w:t>
            </w:r>
          </w:p>
        </w:tc>
        <w:tc>
          <w:tcPr>
            <w:tcW w:w="1560" w:type="dxa"/>
            <w:vAlign w:val="center"/>
          </w:tcPr>
          <w:p w14:paraId="59F61BFB" w14:textId="77777777" w:rsidR="0089207C" w:rsidRPr="00AC3044" w:rsidRDefault="0089207C" w:rsidP="002D3EBF">
            <w:pPr>
              <w:rPr>
                <w:rFonts w:eastAsia="SimSun"/>
              </w:rPr>
            </w:pPr>
            <w:r w:rsidRPr="00AC3044">
              <w:rPr>
                <w:rFonts w:eastAsia="SimSun"/>
              </w:rPr>
              <w:t>+1 день</w:t>
            </w:r>
          </w:p>
        </w:tc>
        <w:tc>
          <w:tcPr>
            <w:tcW w:w="2268" w:type="dxa"/>
            <w:vAlign w:val="center"/>
          </w:tcPr>
          <w:p w14:paraId="519C6438" w14:textId="77777777" w:rsidR="0089207C" w:rsidRPr="00AC3044" w:rsidRDefault="0089207C" w:rsidP="002D3EBF">
            <w:pPr>
              <w:rPr>
                <w:rFonts w:eastAsia="SimSun"/>
              </w:rPr>
            </w:pPr>
            <w:r w:rsidRPr="00AC3044">
              <w:rPr>
                <w:rFonts w:eastAsia="SimSun"/>
              </w:rPr>
              <w:t>В/в, в 20 мл физ. р-ра</w:t>
            </w:r>
          </w:p>
        </w:tc>
      </w:tr>
      <w:tr w:rsidR="0089207C" w:rsidRPr="00AC3044" w14:paraId="08BB9EBA" w14:textId="77777777" w:rsidTr="002D3EBF">
        <w:trPr>
          <w:cantSplit/>
          <w:trHeight w:val="464"/>
        </w:trPr>
        <w:tc>
          <w:tcPr>
            <w:tcW w:w="993" w:type="dxa"/>
            <w:vMerge/>
            <w:vAlign w:val="center"/>
          </w:tcPr>
          <w:p w14:paraId="3E8CA786" w14:textId="77777777" w:rsidR="0089207C" w:rsidRPr="00AC3044" w:rsidRDefault="0089207C" w:rsidP="002D3EBF">
            <w:pPr>
              <w:rPr>
                <w:rFonts w:eastAsia="SimSun"/>
              </w:rPr>
            </w:pPr>
          </w:p>
        </w:tc>
        <w:tc>
          <w:tcPr>
            <w:tcW w:w="1843" w:type="dxa"/>
            <w:vMerge/>
            <w:vAlign w:val="center"/>
          </w:tcPr>
          <w:p w14:paraId="35038B6F" w14:textId="77777777" w:rsidR="0089207C" w:rsidRPr="00AC3044" w:rsidRDefault="0089207C" w:rsidP="002D3EBF">
            <w:pPr>
              <w:rPr>
                <w:rFonts w:eastAsia="SimSun"/>
              </w:rPr>
            </w:pPr>
          </w:p>
        </w:tc>
        <w:tc>
          <w:tcPr>
            <w:tcW w:w="1417" w:type="dxa"/>
            <w:vAlign w:val="center"/>
          </w:tcPr>
          <w:p w14:paraId="6408ED4D" w14:textId="77777777" w:rsidR="0089207C" w:rsidRPr="00AC3044" w:rsidRDefault="0089207C" w:rsidP="002D3EBF">
            <w:pPr>
              <w:rPr>
                <w:rFonts w:eastAsia="SimSun"/>
              </w:rPr>
            </w:pPr>
            <w:r w:rsidRPr="00AC3044">
              <w:rPr>
                <w:rFonts w:eastAsia="SimSun"/>
              </w:rPr>
              <w:t>10 мг/м</w:t>
            </w:r>
            <w:r w:rsidRPr="001E6DBE">
              <w:rPr>
                <w:rFonts w:eastAsia="SimSun"/>
                <w:vertAlign w:val="superscript"/>
              </w:rPr>
              <w:t>2</w:t>
            </w:r>
          </w:p>
        </w:tc>
        <w:tc>
          <w:tcPr>
            <w:tcW w:w="1559" w:type="dxa"/>
            <w:vAlign w:val="center"/>
          </w:tcPr>
          <w:p w14:paraId="458483DB" w14:textId="77777777" w:rsidR="0089207C" w:rsidRPr="00AC3044" w:rsidRDefault="0089207C" w:rsidP="002D3EBF">
            <w:pPr>
              <w:rPr>
                <w:rFonts w:eastAsia="SimSun"/>
              </w:rPr>
            </w:pPr>
            <w:r w:rsidRPr="00AC3044">
              <w:rPr>
                <w:rFonts w:eastAsia="SimSun"/>
              </w:rPr>
              <w:t>–</w:t>
            </w:r>
          </w:p>
        </w:tc>
        <w:tc>
          <w:tcPr>
            <w:tcW w:w="1560" w:type="dxa"/>
            <w:vAlign w:val="center"/>
          </w:tcPr>
          <w:p w14:paraId="07C33D15" w14:textId="77777777" w:rsidR="0089207C" w:rsidRPr="00AC3044" w:rsidRDefault="0089207C" w:rsidP="002D3EBF">
            <w:pPr>
              <w:rPr>
                <w:rFonts w:eastAsia="SimSun"/>
              </w:rPr>
            </w:pPr>
            <w:r w:rsidRPr="00AC3044">
              <w:rPr>
                <w:rFonts w:eastAsia="SimSun"/>
              </w:rPr>
              <w:t>+3, +6, +11 день</w:t>
            </w:r>
          </w:p>
        </w:tc>
        <w:tc>
          <w:tcPr>
            <w:tcW w:w="2268" w:type="dxa"/>
            <w:vAlign w:val="center"/>
          </w:tcPr>
          <w:p w14:paraId="680AFDE8" w14:textId="77777777" w:rsidR="0089207C" w:rsidRPr="00AC3044" w:rsidRDefault="0089207C" w:rsidP="002D3EBF">
            <w:pPr>
              <w:rPr>
                <w:rFonts w:eastAsia="SimSun"/>
              </w:rPr>
            </w:pPr>
            <w:r w:rsidRPr="00AC3044">
              <w:rPr>
                <w:rFonts w:eastAsia="SimSun"/>
              </w:rPr>
              <w:t xml:space="preserve">В/в, в 20 мл физ. р-ра </w:t>
            </w:r>
          </w:p>
        </w:tc>
      </w:tr>
      <w:tr w:rsidR="0089207C" w:rsidRPr="00AC3044" w14:paraId="52CE9ABA" w14:textId="77777777" w:rsidTr="002D3EBF">
        <w:trPr>
          <w:cantSplit/>
          <w:trHeight w:val="464"/>
        </w:trPr>
        <w:tc>
          <w:tcPr>
            <w:tcW w:w="993" w:type="dxa"/>
            <w:vMerge/>
            <w:vAlign w:val="center"/>
          </w:tcPr>
          <w:p w14:paraId="20C4F933" w14:textId="77777777" w:rsidR="0089207C" w:rsidRPr="00AC3044" w:rsidRDefault="0089207C" w:rsidP="002D3EBF">
            <w:pPr>
              <w:rPr>
                <w:rFonts w:eastAsia="SimSun"/>
              </w:rPr>
            </w:pPr>
          </w:p>
        </w:tc>
        <w:tc>
          <w:tcPr>
            <w:tcW w:w="1843" w:type="dxa"/>
            <w:vMerge w:val="restart"/>
            <w:vAlign w:val="center"/>
          </w:tcPr>
          <w:p w14:paraId="3F98D2C6" w14:textId="77777777" w:rsidR="0089207C" w:rsidRPr="00AC3044" w:rsidRDefault="0089207C" w:rsidP="002D3EBF">
            <w:pPr>
              <w:rPr>
                <w:rFonts w:eastAsia="SimSun"/>
              </w:rPr>
            </w:pPr>
            <w:r w:rsidRPr="00AC3044">
              <w:rPr>
                <w:rFonts w:eastAsia="SimSun"/>
              </w:rPr>
              <w:t>Микофенолата мофетил (только при использовании СКК)</w:t>
            </w:r>
          </w:p>
        </w:tc>
        <w:tc>
          <w:tcPr>
            <w:tcW w:w="1417" w:type="dxa"/>
            <w:vAlign w:val="center"/>
          </w:tcPr>
          <w:p w14:paraId="64DAC713" w14:textId="77777777" w:rsidR="0089207C" w:rsidRPr="00AC3044" w:rsidRDefault="0089207C" w:rsidP="002D3EBF">
            <w:pPr>
              <w:rPr>
                <w:rFonts w:eastAsia="SimSun"/>
              </w:rPr>
            </w:pPr>
            <w:r w:rsidRPr="00AC3044">
              <w:rPr>
                <w:rFonts w:eastAsia="SimSun"/>
              </w:rPr>
              <w:t>2000 мг</w:t>
            </w:r>
          </w:p>
        </w:tc>
        <w:tc>
          <w:tcPr>
            <w:tcW w:w="1559" w:type="dxa"/>
            <w:vAlign w:val="center"/>
          </w:tcPr>
          <w:p w14:paraId="3814193E" w14:textId="77777777" w:rsidR="0089207C" w:rsidRPr="00AC3044" w:rsidRDefault="0089207C" w:rsidP="002D3EBF">
            <w:pPr>
              <w:rPr>
                <w:rFonts w:eastAsia="SimSun"/>
              </w:rPr>
            </w:pPr>
            <w:r w:rsidRPr="00AC3044">
              <w:rPr>
                <w:rFonts w:eastAsia="SimSun"/>
              </w:rPr>
              <w:t>–</w:t>
            </w:r>
          </w:p>
        </w:tc>
        <w:tc>
          <w:tcPr>
            <w:tcW w:w="1560" w:type="dxa"/>
            <w:vAlign w:val="center"/>
          </w:tcPr>
          <w:p w14:paraId="7619243B" w14:textId="77777777" w:rsidR="0089207C" w:rsidRPr="00AC3044" w:rsidRDefault="0089207C" w:rsidP="002D3EBF">
            <w:pPr>
              <w:rPr>
                <w:rFonts w:eastAsia="SimSun"/>
              </w:rPr>
            </w:pPr>
            <w:r w:rsidRPr="00AC3044">
              <w:rPr>
                <w:rFonts w:eastAsia="SimSun"/>
              </w:rPr>
              <w:t>С +1 по +14 день</w:t>
            </w:r>
          </w:p>
        </w:tc>
        <w:tc>
          <w:tcPr>
            <w:tcW w:w="2268" w:type="dxa"/>
            <w:vAlign w:val="center"/>
          </w:tcPr>
          <w:p w14:paraId="3D8FDAED" w14:textId="77777777" w:rsidR="0089207C" w:rsidRPr="00AC3044" w:rsidRDefault="0089207C" w:rsidP="002D3EBF">
            <w:pPr>
              <w:rPr>
                <w:rFonts w:eastAsia="SimSun"/>
              </w:rPr>
            </w:pPr>
            <w:r w:rsidRPr="00AC3044">
              <w:rPr>
                <w:rFonts w:eastAsia="SimSun"/>
              </w:rPr>
              <w:t>Внутрь, суммарная суточная доза разделяется на 2-4 приема.</w:t>
            </w:r>
          </w:p>
        </w:tc>
      </w:tr>
      <w:tr w:rsidR="0089207C" w:rsidRPr="00AC3044" w14:paraId="041E5106" w14:textId="77777777" w:rsidTr="002D3EBF">
        <w:trPr>
          <w:cantSplit/>
          <w:trHeight w:val="464"/>
        </w:trPr>
        <w:tc>
          <w:tcPr>
            <w:tcW w:w="993" w:type="dxa"/>
            <w:vMerge/>
            <w:vAlign w:val="center"/>
          </w:tcPr>
          <w:p w14:paraId="5B12A93C" w14:textId="77777777" w:rsidR="0089207C" w:rsidRPr="00AC3044" w:rsidRDefault="0089207C" w:rsidP="002D3EBF">
            <w:pPr>
              <w:rPr>
                <w:rFonts w:eastAsia="SimSun"/>
              </w:rPr>
            </w:pPr>
          </w:p>
        </w:tc>
        <w:tc>
          <w:tcPr>
            <w:tcW w:w="1843" w:type="dxa"/>
            <w:vMerge/>
            <w:vAlign w:val="center"/>
          </w:tcPr>
          <w:p w14:paraId="75F35090" w14:textId="77777777" w:rsidR="0089207C" w:rsidRPr="00AC3044" w:rsidRDefault="0089207C" w:rsidP="002D3EBF">
            <w:pPr>
              <w:rPr>
                <w:rFonts w:eastAsia="SimSun"/>
              </w:rPr>
            </w:pPr>
          </w:p>
        </w:tc>
        <w:tc>
          <w:tcPr>
            <w:tcW w:w="1417" w:type="dxa"/>
            <w:vAlign w:val="center"/>
          </w:tcPr>
          <w:p w14:paraId="1266A87D" w14:textId="77777777" w:rsidR="0089207C" w:rsidRPr="00AC3044" w:rsidRDefault="0089207C" w:rsidP="002D3EBF">
            <w:pPr>
              <w:rPr>
                <w:rFonts w:eastAsia="SimSun"/>
              </w:rPr>
            </w:pPr>
            <w:r w:rsidRPr="00AC3044">
              <w:rPr>
                <w:rFonts w:eastAsia="SimSun"/>
              </w:rPr>
              <w:t>1000 мг</w:t>
            </w:r>
          </w:p>
        </w:tc>
        <w:tc>
          <w:tcPr>
            <w:tcW w:w="1559" w:type="dxa"/>
            <w:vAlign w:val="center"/>
          </w:tcPr>
          <w:p w14:paraId="075A86C6" w14:textId="77777777" w:rsidR="0089207C" w:rsidRPr="00AC3044" w:rsidRDefault="0089207C" w:rsidP="002D3EBF">
            <w:pPr>
              <w:rPr>
                <w:rFonts w:eastAsia="SimSun"/>
              </w:rPr>
            </w:pPr>
            <w:r w:rsidRPr="00AC3044">
              <w:rPr>
                <w:rFonts w:eastAsia="SimSun"/>
              </w:rPr>
              <w:t>–</w:t>
            </w:r>
          </w:p>
        </w:tc>
        <w:tc>
          <w:tcPr>
            <w:tcW w:w="1560" w:type="dxa"/>
            <w:vAlign w:val="center"/>
          </w:tcPr>
          <w:p w14:paraId="36F118B8" w14:textId="77777777" w:rsidR="0089207C" w:rsidRPr="00AC3044" w:rsidRDefault="0089207C" w:rsidP="002D3EBF">
            <w:pPr>
              <w:rPr>
                <w:rFonts w:eastAsia="SimSun"/>
              </w:rPr>
            </w:pPr>
            <w:r w:rsidRPr="00AC3044">
              <w:rPr>
                <w:rFonts w:eastAsia="SimSun"/>
              </w:rPr>
              <w:t>С +15 по +90 день</w:t>
            </w:r>
          </w:p>
        </w:tc>
        <w:tc>
          <w:tcPr>
            <w:tcW w:w="2268" w:type="dxa"/>
            <w:vAlign w:val="center"/>
          </w:tcPr>
          <w:p w14:paraId="5A4E2CEC" w14:textId="77777777" w:rsidR="0089207C" w:rsidRPr="00AC3044" w:rsidRDefault="0089207C" w:rsidP="002D3EBF">
            <w:pPr>
              <w:rPr>
                <w:rFonts w:eastAsia="SimSun"/>
              </w:rPr>
            </w:pPr>
            <w:r w:rsidRPr="00AC3044">
              <w:rPr>
                <w:rFonts w:eastAsia="SimSun"/>
              </w:rPr>
              <w:t>Внутрь, суммарная суточная доза разделяется на 2-4 приема.</w:t>
            </w:r>
          </w:p>
        </w:tc>
      </w:tr>
    </w:tbl>
    <w:p w14:paraId="1A170D40" w14:textId="77777777" w:rsidR="0089207C" w:rsidRDefault="0089207C" w:rsidP="0089207C">
      <w:pPr>
        <w:rPr>
          <w:rFonts w:eastAsia="SimSun"/>
        </w:rPr>
      </w:pPr>
      <w:bookmarkStart w:id="216" w:name="_Toc44401165"/>
    </w:p>
    <w:p w14:paraId="01642154" w14:textId="77777777" w:rsidR="0089207C" w:rsidRPr="00C07B2E" w:rsidRDefault="0089207C" w:rsidP="0089207C">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1.2.7  – Flu180+Bu8 / PT-Cy+CSA+MMF30</w:t>
      </w:r>
      <w:bookmarkEnd w:id="216"/>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89207C" w:rsidRPr="00AC3044" w14:paraId="2952AA5A" w14:textId="77777777" w:rsidTr="002D3EBF">
        <w:trPr>
          <w:cantSplit/>
          <w:trHeight w:val="20"/>
          <w:tblHeader/>
        </w:trPr>
        <w:tc>
          <w:tcPr>
            <w:tcW w:w="993" w:type="dxa"/>
          </w:tcPr>
          <w:p w14:paraId="795F3528" w14:textId="77777777" w:rsidR="0089207C" w:rsidRPr="00470D3D" w:rsidRDefault="0089207C" w:rsidP="002D3EBF">
            <w:pPr>
              <w:rPr>
                <w:rFonts w:eastAsia="SimSun"/>
              </w:rPr>
            </w:pPr>
          </w:p>
          <w:p w14:paraId="54872EBA" w14:textId="77777777" w:rsidR="0089207C" w:rsidRPr="00470D3D" w:rsidRDefault="0089207C" w:rsidP="002D3EBF">
            <w:pPr>
              <w:rPr>
                <w:rFonts w:eastAsia="SimSun"/>
              </w:rPr>
            </w:pPr>
          </w:p>
        </w:tc>
        <w:tc>
          <w:tcPr>
            <w:tcW w:w="1843" w:type="dxa"/>
            <w:vAlign w:val="center"/>
          </w:tcPr>
          <w:p w14:paraId="611869DD" w14:textId="77777777" w:rsidR="0089207C" w:rsidRPr="00AC3044" w:rsidRDefault="0089207C" w:rsidP="002D3EBF">
            <w:pPr>
              <w:rPr>
                <w:rFonts w:eastAsia="SimSun"/>
              </w:rPr>
            </w:pPr>
            <w:r w:rsidRPr="00AC3044">
              <w:rPr>
                <w:rFonts w:eastAsia="SimSun"/>
              </w:rPr>
              <w:t>Препарат</w:t>
            </w:r>
          </w:p>
        </w:tc>
        <w:tc>
          <w:tcPr>
            <w:tcW w:w="1417" w:type="dxa"/>
            <w:vAlign w:val="center"/>
          </w:tcPr>
          <w:p w14:paraId="00A22A64" w14:textId="77777777" w:rsidR="0089207C" w:rsidRPr="00AC3044" w:rsidRDefault="0089207C" w:rsidP="002D3EBF">
            <w:pPr>
              <w:rPr>
                <w:rFonts w:eastAsia="SimSun"/>
              </w:rPr>
            </w:pPr>
            <w:r w:rsidRPr="00AC3044">
              <w:rPr>
                <w:rFonts w:eastAsia="SimSun"/>
              </w:rPr>
              <w:t>Суточная доза</w:t>
            </w:r>
          </w:p>
        </w:tc>
        <w:tc>
          <w:tcPr>
            <w:tcW w:w="1559" w:type="dxa"/>
            <w:vAlign w:val="center"/>
          </w:tcPr>
          <w:p w14:paraId="6840EF67" w14:textId="77777777" w:rsidR="0089207C" w:rsidRPr="00AC3044" w:rsidRDefault="0089207C" w:rsidP="002D3EBF">
            <w:pPr>
              <w:rPr>
                <w:rFonts w:eastAsia="SimSun"/>
              </w:rPr>
            </w:pPr>
            <w:r w:rsidRPr="00AC3044">
              <w:rPr>
                <w:rFonts w:eastAsia="SimSun"/>
              </w:rPr>
              <w:t>Курсовая доза</w:t>
            </w:r>
          </w:p>
        </w:tc>
        <w:tc>
          <w:tcPr>
            <w:tcW w:w="1560" w:type="dxa"/>
            <w:vAlign w:val="center"/>
          </w:tcPr>
          <w:p w14:paraId="1E2D41A6"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493C4C94"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307DA318" w14:textId="77777777" w:rsidTr="002D3EBF">
        <w:trPr>
          <w:cantSplit/>
          <w:trHeight w:val="20"/>
        </w:trPr>
        <w:tc>
          <w:tcPr>
            <w:tcW w:w="993" w:type="dxa"/>
            <w:vMerge w:val="restart"/>
            <w:textDirection w:val="btLr"/>
            <w:vAlign w:val="center"/>
          </w:tcPr>
          <w:p w14:paraId="635DF757" w14:textId="77777777" w:rsidR="0089207C" w:rsidRPr="00AC3044" w:rsidRDefault="0089207C" w:rsidP="002D3EBF">
            <w:pPr>
              <w:rPr>
                <w:rFonts w:eastAsia="SimSun"/>
              </w:rPr>
            </w:pPr>
            <w:r w:rsidRPr="00AC3044">
              <w:rPr>
                <w:rFonts w:eastAsia="SimSun"/>
              </w:rPr>
              <w:t>Кондиционирование</w:t>
            </w:r>
          </w:p>
        </w:tc>
        <w:tc>
          <w:tcPr>
            <w:tcW w:w="1843" w:type="dxa"/>
            <w:vAlign w:val="center"/>
          </w:tcPr>
          <w:p w14:paraId="26E6AABC" w14:textId="77777777" w:rsidR="0089207C" w:rsidRPr="00AC3044" w:rsidRDefault="0089207C" w:rsidP="002D3EBF">
            <w:pPr>
              <w:rPr>
                <w:rFonts w:eastAsia="SimSun"/>
              </w:rPr>
            </w:pPr>
            <w:r w:rsidRPr="00AC3044">
              <w:rPr>
                <w:rFonts w:eastAsia="SimSun"/>
              </w:rPr>
              <w:t xml:space="preserve">Флударабин </w:t>
            </w:r>
          </w:p>
        </w:tc>
        <w:tc>
          <w:tcPr>
            <w:tcW w:w="1417" w:type="dxa"/>
            <w:vAlign w:val="center"/>
          </w:tcPr>
          <w:p w14:paraId="7A30B7E0" w14:textId="77777777" w:rsidR="0089207C" w:rsidRPr="00AC3044" w:rsidRDefault="0089207C" w:rsidP="002D3EBF">
            <w:pPr>
              <w:rPr>
                <w:rFonts w:eastAsia="SimSun"/>
              </w:rPr>
            </w:pPr>
            <w:r w:rsidRPr="00AC3044">
              <w:rPr>
                <w:rFonts w:eastAsia="SimSun"/>
              </w:rPr>
              <w:t>30 мг/м</w:t>
            </w:r>
            <w:r w:rsidRPr="001E6DBE">
              <w:rPr>
                <w:rFonts w:eastAsia="SimSun"/>
                <w:vertAlign w:val="superscript"/>
              </w:rPr>
              <w:t>2</w:t>
            </w:r>
          </w:p>
        </w:tc>
        <w:tc>
          <w:tcPr>
            <w:tcW w:w="1559" w:type="dxa"/>
            <w:vAlign w:val="center"/>
          </w:tcPr>
          <w:p w14:paraId="3A0AF473" w14:textId="77777777" w:rsidR="0089207C" w:rsidRPr="00AC3044" w:rsidRDefault="0089207C" w:rsidP="002D3EBF">
            <w:pPr>
              <w:rPr>
                <w:rFonts w:eastAsia="SimSun"/>
              </w:rPr>
            </w:pPr>
            <w:r w:rsidRPr="00AC3044">
              <w:rPr>
                <w:rFonts w:eastAsia="SimSun"/>
              </w:rPr>
              <w:t>150 мг/м</w:t>
            </w:r>
            <w:r w:rsidRPr="001E6DBE">
              <w:rPr>
                <w:rFonts w:eastAsia="SimSun"/>
                <w:vertAlign w:val="superscript"/>
              </w:rPr>
              <w:t>2</w:t>
            </w:r>
          </w:p>
        </w:tc>
        <w:tc>
          <w:tcPr>
            <w:tcW w:w="1560" w:type="dxa"/>
            <w:vAlign w:val="center"/>
          </w:tcPr>
          <w:p w14:paraId="5150C528" w14:textId="77777777" w:rsidR="0089207C" w:rsidRPr="00AC3044" w:rsidRDefault="0089207C" w:rsidP="002D3EBF">
            <w:pPr>
              <w:rPr>
                <w:rFonts w:eastAsia="SimSun"/>
              </w:rPr>
            </w:pPr>
            <w:r w:rsidRPr="00AC3044">
              <w:rPr>
                <w:rFonts w:eastAsia="SimSun"/>
              </w:rPr>
              <w:t>С –6 по –2 день</w:t>
            </w:r>
          </w:p>
        </w:tc>
        <w:tc>
          <w:tcPr>
            <w:tcW w:w="2268" w:type="dxa"/>
            <w:vAlign w:val="center"/>
          </w:tcPr>
          <w:p w14:paraId="22A86028"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4141C80A" w14:textId="77777777" w:rsidTr="002D3EBF">
        <w:trPr>
          <w:cantSplit/>
          <w:trHeight w:val="1337"/>
        </w:trPr>
        <w:tc>
          <w:tcPr>
            <w:tcW w:w="993" w:type="dxa"/>
            <w:vMerge/>
            <w:textDirection w:val="btLr"/>
            <w:vAlign w:val="center"/>
          </w:tcPr>
          <w:p w14:paraId="5EE68AE9" w14:textId="77777777" w:rsidR="0089207C" w:rsidRPr="00AC3044" w:rsidRDefault="0089207C" w:rsidP="002D3EBF">
            <w:pPr>
              <w:rPr>
                <w:rFonts w:eastAsia="SimSun"/>
              </w:rPr>
            </w:pPr>
          </w:p>
        </w:tc>
        <w:tc>
          <w:tcPr>
            <w:tcW w:w="1843" w:type="dxa"/>
            <w:vAlign w:val="center"/>
          </w:tcPr>
          <w:p w14:paraId="4D6BF984" w14:textId="77777777" w:rsidR="0089207C" w:rsidRPr="00AC3044" w:rsidRDefault="0089207C" w:rsidP="002D3EBF">
            <w:pPr>
              <w:rPr>
                <w:rFonts w:eastAsia="SimSun"/>
              </w:rPr>
            </w:pPr>
            <w:r w:rsidRPr="00AC3044">
              <w:rPr>
                <w:rFonts w:eastAsia="SimSun"/>
              </w:rPr>
              <w:t>Бусульфан</w:t>
            </w:r>
          </w:p>
        </w:tc>
        <w:tc>
          <w:tcPr>
            <w:tcW w:w="1417" w:type="dxa"/>
            <w:vAlign w:val="center"/>
          </w:tcPr>
          <w:p w14:paraId="425013DF" w14:textId="77777777" w:rsidR="0089207C" w:rsidRPr="00AC3044" w:rsidRDefault="0089207C" w:rsidP="002D3EBF">
            <w:pPr>
              <w:rPr>
                <w:rFonts w:eastAsia="SimSun"/>
              </w:rPr>
            </w:pPr>
            <w:r w:rsidRPr="00AC3044">
              <w:rPr>
                <w:rFonts w:eastAsia="SimSun"/>
              </w:rPr>
              <w:t>4 мг/кг</w:t>
            </w:r>
          </w:p>
        </w:tc>
        <w:tc>
          <w:tcPr>
            <w:tcW w:w="1559" w:type="dxa"/>
            <w:vAlign w:val="center"/>
          </w:tcPr>
          <w:p w14:paraId="15172077" w14:textId="77777777" w:rsidR="0089207C" w:rsidRPr="00AC3044" w:rsidRDefault="0089207C" w:rsidP="002D3EBF">
            <w:pPr>
              <w:rPr>
                <w:rFonts w:eastAsia="SimSun"/>
              </w:rPr>
            </w:pPr>
            <w:r w:rsidRPr="00AC3044">
              <w:rPr>
                <w:rFonts w:eastAsia="SimSun"/>
              </w:rPr>
              <w:t>8 мг/кг</w:t>
            </w:r>
          </w:p>
        </w:tc>
        <w:tc>
          <w:tcPr>
            <w:tcW w:w="1560" w:type="dxa"/>
            <w:vAlign w:val="center"/>
          </w:tcPr>
          <w:p w14:paraId="33452F87" w14:textId="77777777" w:rsidR="0089207C" w:rsidRPr="00AC3044" w:rsidRDefault="0089207C" w:rsidP="002D3EBF">
            <w:pPr>
              <w:rPr>
                <w:rFonts w:eastAsia="SimSun"/>
              </w:rPr>
            </w:pPr>
            <w:r w:rsidRPr="00AC3044">
              <w:rPr>
                <w:rFonts w:eastAsia="SimSun"/>
              </w:rPr>
              <w:t>–5, –4 дни</w:t>
            </w:r>
          </w:p>
        </w:tc>
        <w:tc>
          <w:tcPr>
            <w:tcW w:w="2268" w:type="dxa"/>
            <w:vAlign w:val="center"/>
          </w:tcPr>
          <w:p w14:paraId="003D0DA9"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w:t>
            </w:r>
          </w:p>
        </w:tc>
      </w:tr>
      <w:tr w:rsidR="0089207C" w:rsidRPr="00AC3044" w14:paraId="67698A5A" w14:textId="77777777" w:rsidTr="002D3EBF">
        <w:trPr>
          <w:cantSplit/>
          <w:trHeight w:val="20"/>
        </w:trPr>
        <w:tc>
          <w:tcPr>
            <w:tcW w:w="993" w:type="dxa"/>
            <w:vMerge w:val="restart"/>
            <w:textDirection w:val="btLr"/>
            <w:vAlign w:val="center"/>
          </w:tcPr>
          <w:p w14:paraId="13A3F197" w14:textId="77777777" w:rsidR="0089207C" w:rsidRPr="00AC3044" w:rsidRDefault="0089207C" w:rsidP="002D3EBF">
            <w:pPr>
              <w:rPr>
                <w:rFonts w:eastAsia="SimSun"/>
              </w:rPr>
            </w:pPr>
            <w:r w:rsidRPr="00AC3044">
              <w:rPr>
                <w:rFonts w:eastAsia="SimSun"/>
              </w:rPr>
              <w:t>Профилактика РТПХ</w:t>
            </w:r>
          </w:p>
        </w:tc>
        <w:tc>
          <w:tcPr>
            <w:tcW w:w="1843" w:type="dxa"/>
            <w:vAlign w:val="center"/>
          </w:tcPr>
          <w:p w14:paraId="1377FA6F" w14:textId="77777777" w:rsidR="0089207C" w:rsidRPr="00AC3044" w:rsidRDefault="0089207C" w:rsidP="002D3EBF">
            <w:pPr>
              <w:rPr>
                <w:rFonts w:eastAsia="SimSun"/>
              </w:rPr>
            </w:pPr>
            <w:r w:rsidRPr="00AC3044">
              <w:rPr>
                <w:rFonts w:eastAsia="SimSun"/>
              </w:rPr>
              <w:t>Циклофосфамид</w:t>
            </w:r>
          </w:p>
        </w:tc>
        <w:tc>
          <w:tcPr>
            <w:tcW w:w="1417" w:type="dxa"/>
            <w:vAlign w:val="center"/>
          </w:tcPr>
          <w:p w14:paraId="7CCF4039" w14:textId="77777777" w:rsidR="0089207C" w:rsidRPr="00AC3044" w:rsidRDefault="0089207C" w:rsidP="002D3EBF">
            <w:pPr>
              <w:rPr>
                <w:rFonts w:eastAsia="SimSun"/>
              </w:rPr>
            </w:pPr>
            <w:r w:rsidRPr="00AC3044">
              <w:rPr>
                <w:rFonts w:eastAsia="SimSun"/>
              </w:rPr>
              <w:t>50 мг/кг</w:t>
            </w:r>
          </w:p>
        </w:tc>
        <w:tc>
          <w:tcPr>
            <w:tcW w:w="1559" w:type="dxa"/>
            <w:vAlign w:val="center"/>
          </w:tcPr>
          <w:p w14:paraId="35DFCAFC" w14:textId="77777777" w:rsidR="0089207C" w:rsidRPr="00AC3044" w:rsidRDefault="0089207C" w:rsidP="002D3EBF">
            <w:pPr>
              <w:rPr>
                <w:rFonts w:eastAsia="SimSun"/>
              </w:rPr>
            </w:pPr>
            <w:r w:rsidRPr="00AC3044">
              <w:rPr>
                <w:rFonts w:eastAsia="SimSun"/>
              </w:rPr>
              <w:t>100 мг/кг</w:t>
            </w:r>
          </w:p>
        </w:tc>
        <w:tc>
          <w:tcPr>
            <w:tcW w:w="1560" w:type="dxa"/>
            <w:vAlign w:val="center"/>
          </w:tcPr>
          <w:p w14:paraId="657AFE2F" w14:textId="77777777" w:rsidR="0089207C" w:rsidRPr="00AC3044" w:rsidRDefault="0089207C" w:rsidP="002D3EBF">
            <w:pPr>
              <w:rPr>
                <w:rFonts w:eastAsia="SimSun"/>
              </w:rPr>
            </w:pPr>
            <w:r w:rsidRPr="00AC3044">
              <w:rPr>
                <w:rFonts w:eastAsia="SimSun"/>
              </w:rPr>
              <w:t xml:space="preserve">+3,+4 дни </w:t>
            </w:r>
          </w:p>
        </w:tc>
        <w:tc>
          <w:tcPr>
            <w:tcW w:w="2268" w:type="dxa"/>
            <w:vAlign w:val="center"/>
          </w:tcPr>
          <w:p w14:paraId="3A764CB5" w14:textId="77777777" w:rsidR="0089207C" w:rsidRPr="00AC3044" w:rsidRDefault="0089207C" w:rsidP="002D3EBF">
            <w:pPr>
              <w:rPr>
                <w:rFonts w:eastAsia="SimSun"/>
              </w:rPr>
            </w:pPr>
            <w:r w:rsidRPr="00AC3044">
              <w:rPr>
                <w:rFonts w:eastAsia="SimSun"/>
              </w:rPr>
              <w:t xml:space="preserve">В/в, в течение 2 ч  </w:t>
            </w:r>
          </w:p>
        </w:tc>
      </w:tr>
      <w:tr w:rsidR="0089207C" w:rsidRPr="00AC3044" w14:paraId="1A2CA8E4" w14:textId="77777777" w:rsidTr="002D3EBF">
        <w:trPr>
          <w:cantSplit/>
          <w:trHeight w:val="20"/>
        </w:trPr>
        <w:tc>
          <w:tcPr>
            <w:tcW w:w="993" w:type="dxa"/>
            <w:vMerge/>
            <w:textDirection w:val="btLr"/>
          </w:tcPr>
          <w:p w14:paraId="56ED8D4A" w14:textId="77777777" w:rsidR="0089207C" w:rsidRPr="00AC3044" w:rsidRDefault="0089207C" w:rsidP="002D3EBF">
            <w:pPr>
              <w:rPr>
                <w:rFonts w:eastAsia="SimSun"/>
              </w:rPr>
            </w:pPr>
          </w:p>
        </w:tc>
        <w:tc>
          <w:tcPr>
            <w:tcW w:w="1843" w:type="dxa"/>
            <w:vAlign w:val="center"/>
          </w:tcPr>
          <w:p w14:paraId="72522D9E" w14:textId="77777777" w:rsidR="0089207C" w:rsidRPr="00AC3044" w:rsidRDefault="0089207C" w:rsidP="002D3EBF">
            <w:pPr>
              <w:rPr>
                <w:rFonts w:eastAsia="SimSun"/>
              </w:rPr>
            </w:pPr>
            <w:r w:rsidRPr="00AC3044">
              <w:rPr>
                <w:rFonts w:eastAsia="SimSun"/>
              </w:rPr>
              <w:t>Циклоспорин</w:t>
            </w:r>
          </w:p>
        </w:tc>
        <w:tc>
          <w:tcPr>
            <w:tcW w:w="1417" w:type="dxa"/>
            <w:vAlign w:val="center"/>
          </w:tcPr>
          <w:p w14:paraId="55ACE927" w14:textId="77777777" w:rsidR="0089207C" w:rsidRPr="00AC3044" w:rsidRDefault="0089207C" w:rsidP="002D3EBF">
            <w:pPr>
              <w:rPr>
                <w:rFonts w:eastAsia="SimSun"/>
              </w:rPr>
            </w:pPr>
            <w:r w:rsidRPr="00AC3044">
              <w:rPr>
                <w:rFonts w:eastAsia="SimSun"/>
              </w:rPr>
              <w:t>3 мг/кг</w:t>
            </w:r>
          </w:p>
        </w:tc>
        <w:tc>
          <w:tcPr>
            <w:tcW w:w="1559" w:type="dxa"/>
            <w:vAlign w:val="center"/>
          </w:tcPr>
          <w:p w14:paraId="65796697" w14:textId="77777777" w:rsidR="0089207C" w:rsidRPr="00AC3044" w:rsidRDefault="0089207C" w:rsidP="002D3EBF">
            <w:pPr>
              <w:rPr>
                <w:rFonts w:eastAsia="SimSun"/>
              </w:rPr>
            </w:pPr>
            <w:r w:rsidRPr="00AC3044">
              <w:rPr>
                <w:rFonts w:eastAsia="SimSun"/>
              </w:rPr>
              <w:t>–</w:t>
            </w:r>
          </w:p>
        </w:tc>
        <w:tc>
          <w:tcPr>
            <w:tcW w:w="1560" w:type="dxa"/>
            <w:vAlign w:val="center"/>
          </w:tcPr>
          <w:p w14:paraId="7D619E7F" w14:textId="77777777" w:rsidR="0089207C" w:rsidRPr="00AC3044" w:rsidRDefault="0089207C" w:rsidP="002D3EBF">
            <w:pPr>
              <w:rPr>
                <w:rFonts w:eastAsia="SimSun"/>
              </w:rPr>
            </w:pPr>
            <w:r w:rsidRPr="00AC3044">
              <w:rPr>
                <w:rFonts w:eastAsia="SimSun"/>
              </w:rPr>
              <w:t>С +5 по +60 день, затем постепенное снижение к +100 дню</w:t>
            </w:r>
          </w:p>
        </w:tc>
        <w:tc>
          <w:tcPr>
            <w:tcW w:w="2268" w:type="dxa"/>
            <w:vAlign w:val="center"/>
          </w:tcPr>
          <w:p w14:paraId="250A60B4" w14:textId="77777777" w:rsidR="0089207C" w:rsidRPr="00AC3044" w:rsidRDefault="0089207C" w:rsidP="002D3EBF">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9207C" w:rsidRPr="00AC3044" w14:paraId="5340289E" w14:textId="77777777" w:rsidTr="002D3EBF">
        <w:trPr>
          <w:cantSplit/>
          <w:trHeight w:val="464"/>
        </w:trPr>
        <w:tc>
          <w:tcPr>
            <w:tcW w:w="993" w:type="dxa"/>
            <w:vMerge/>
          </w:tcPr>
          <w:p w14:paraId="3E5801F4" w14:textId="77777777" w:rsidR="0089207C" w:rsidRPr="00AC3044" w:rsidRDefault="0089207C" w:rsidP="002D3EBF">
            <w:pPr>
              <w:rPr>
                <w:rFonts w:eastAsia="SimSun"/>
              </w:rPr>
            </w:pPr>
          </w:p>
        </w:tc>
        <w:tc>
          <w:tcPr>
            <w:tcW w:w="1843" w:type="dxa"/>
            <w:vAlign w:val="center"/>
          </w:tcPr>
          <w:p w14:paraId="514FC049" w14:textId="77777777" w:rsidR="0089207C" w:rsidRPr="00AC3044" w:rsidRDefault="0089207C" w:rsidP="002D3EBF">
            <w:pPr>
              <w:rPr>
                <w:rFonts w:eastAsia="SimSun"/>
              </w:rPr>
            </w:pPr>
            <w:r w:rsidRPr="00AC3044">
              <w:rPr>
                <w:rFonts w:eastAsia="SimSun"/>
              </w:rPr>
              <w:t>Микофенолата мофетил</w:t>
            </w:r>
          </w:p>
        </w:tc>
        <w:tc>
          <w:tcPr>
            <w:tcW w:w="1417" w:type="dxa"/>
            <w:vAlign w:val="center"/>
          </w:tcPr>
          <w:p w14:paraId="7B9097C4" w14:textId="77777777" w:rsidR="0089207C" w:rsidRPr="00AC3044" w:rsidRDefault="0089207C" w:rsidP="002D3EBF">
            <w:pPr>
              <w:rPr>
                <w:rFonts w:eastAsia="SimSun"/>
              </w:rPr>
            </w:pPr>
            <w:r w:rsidRPr="00AC3044">
              <w:rPr>
                <w:rFonts w:eastAsia="SimSun"/>
              </w:rPr>
              <w:t>30 мг/кг</w:t>
            </w:r>
          </w:p>
        </w:tc>
        <w:tc>
          <w:tcPr>
            <w:tcW w:w="1559" w:type="dxa"/>
            <w:vAlign w:val="center"/>
          </w:tcPr>
          <w:p w14:paraId="751B45F1" w14:textId="77777777" w:rsidR="0089207C" w:rsidRPr="00AC3044" w:rsidRDefault="0089207C" w:rsidP="002D3EBF">
            <w:pPr>
              <w:rPr>
                <w:rFonts w:eastAsia="SimSun"/>
              </w:rPr>
            </w:pPr>
            <w:r w:rsidRPr="00AC3044">
              <w:rPr>
                <w:rFonts w:eastAsia="SimSun"/>
              </w:rPr>
              <w:t>–</w:t>
            </w:r>
          </w:p>
        </w:tc>
        <w:tc>
          <w:tcPr>
            <w:tcW w:w="1560" w:type="dxa"/>
            <w:vAlign w:val="center"/>
          </w:tcPr>
          <w:p w14:paraId="3257259D" w14:textId="77777777" w:rsidR="0089207C" w:rsidRPr="00AC3044" w:rsidRDefault="0089207C" w:rsidP="002D3EBF">
            <w:pPr>
              <w:rPr>
                <w:rFonts w:eastAsia="SimSun"/>
              </w:rPr>
            </w:pPr>
            <w:r w:rsidRPr="00AC3044">
              <w:rPr>
                <w:rFonts w:eastAsia="SimSun"/>
              </w:rPr>
              <w:t>С +5 по +30 день</w:t>
            </w:r>
          </w:p>
        </w:tc>
        <w:tc>
          <w:tcPr>
            <w:tcW w:w="2268" w:type="dxa"/>
            <w:vAlign w:val="center"/>
          </w:tcPr>
          <w:p w14:paraId="544AC3A3" w14:textId="77777777" w:rsidR="0089207C" w:rsidRPr="00AC3044" w:rsidRDefault="0089207C" w:rsidP="002D3EBF">
            <w:pPr>
              <w:rPr>
                <w:rFonts w:eastAsia="SimSun"/>
              </w:rPr>
            </w:pPr>
            <w:r w:rsidRPr="00AC3044">
              <w:rPr>
                <w:rFonts w:eastAsia="SimSun"/>
              </w:rPr>
              <w:t>Внутрь, суммарная суточная доза разделяется на 2- 4 приема.</w:t>
            </w:r>
          </w:p>
        </w:tc>
      </w:tr>
    </w:tbl>
    <w:p w14:paraId="5F631E85" w14:textId="77777777" w:rsidR="0089207C" w:rsidRDefault="0089207C" w:rsidP="0089207C">
      <w:pPr>
        <w:rPr>
          <w:rFonts w:eastAsia="SimSun"/>
        </w:rPr>
      </w:pPr>
      <w:bookmarkStart w:id="217" w:name="_Toc44401166"/>
    </w:p>
    <w:p w14:paraId="7896CE72" w14:textId="77777777" w:rsidR="0089207C" w:rsidRPr="00C07B2E" w:rsidRDefault="0089207C" w:rsidP="0089207C">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1.2.8  – Flu180+Bu8 / PT-Cy</w:t>
      </w:r>
      <w:bookmarkEnd w:id="217"/>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59"/>
        <w:gridCol w:w="2269"/>
      </w:tblGrid>
      <w:tr w:rsidR="0089207C" w:rsidRPr="00AC3044" w14:paraId="61D53373" w14:textId="77777777" w:rsidTr="002D3EBF">
        <w:trPr>
          <w:cantSplit/>
          <w:trHeight w:val="20"/>
          <w:tblHeader/>
        </w:trPr>
        <w:tc>
          <w:tcPr>
            <w:tcW w:w="993" w:type="dxa"/>
            <w:vAlign w:val="center"/>
          </w:tcPr>
          <w:p w14:paraId="4C7AEE77" w14:textId="77777777" w:rsidR="0089207C" w:rsidRPr="00AC3044" w:rsidRDefault="0089207C" w:rsidP="002D3EBF">
            <w:pPr>
              <w:rPr>
                <w:rFonts w:eastAsia="SimSun"/>
              </w:rPr>
            </w:pPr>
          </w:p>
        </w:tc>
        <w:tc>
          <w:tcPr>
            <w:tcW w:w="1843" w:type="dxa"/>
            <w:vAlign w:val="center"/>
          </w:tcPr>
          <w:p w14:paraId="231B193C" w14:textId="77777777" w:rsidR="0089207C" w:rsidRPr="00AC3044" w:rsidRDefault="0089207C" w:rsidP="002D3EBF">
            <w:pPr>
              <w:rPr>
                <w:rFonts w:eastAsia="SimSun"/>
              </w:rPr>
            </w:pPr>
            <w:r w:rsidRPr="00AC3044">
              <w:rPr>
                <w:rFonts w:eastAsia="SimSun"/>
              </w:rPr>
              <w:t>Препарат</w:t>
            </w:r>
          </w:p>
        </w:tc>
        <w:tc>
          <w:tcPr>
            <w:tcW w:w="1417" w:type="dxa"/>
            <w:vAlign w:val="center"/>
          </w:tcPr>
          <w:p w14:paraId="61A3C9A5" w14:textId="77777777" w:rsidR="0089207C" w:rsidRPr="00AC3044" w:rsidRDefault="0089207C" w:rsidP="002D3EBF">
            <w:pPr>
              <w:rPr>
                <w:rFonts w:eastAsia="SimSun"/>
              </w:rPr>
            </w:pPr>
            <w:r w:rsidRPr="00AC3044">
              <w:rPr>
                <w:rFonts w:eastAsia="SimSun"/>
              </w:rPr>
              <w:t>Суточная доза</w:t>
            </w:r>
          </w:p>
        </w:tc>
        <w:tc>
          <w:tcPr>
            <w:tcW w:w="1559" w:type="dxa"/>
            <w:vAlign w:val="center"/>
          </w:tcPr>
          <w:p w14:paraId="637B9748" w14:textId="77777777" w:rsidR="0089207C" w:rsidRPr="00AC3044" w:rsidRDefault="0089207C" w:rsidP="002D3EBF">
            <w:pPr>
              <w:rPr>
                <w:rFonts w:eastAsia="SimSun"/>
              </w:rPr>
            </w:pPr>
            <w:r w:rsidRPr="00AC3044">
              <w:rPr>
                <w:rFonts w:eastAsia="SimSun"/>
              </w:rPr>
              <w:t>Курсовая доза</w:t>
            </w:r>
          </w:p>
        </w:tc>
        <w:tc>
          <w:tcPr>
            <w:tcW w:w="1559" w:type="dxa"/>
            <w:vAlign w:val="center"/>
          </w:tcPr>
          <w:p w14:paraId="176784EB" w14:textId="77777777" w:rsidR="0089207C" w:rsidRPr="00AC3044" w:rsidRDefault="0089207C" w:rsidP="002D3EBF">
            <w:pPr>
              <w:rPr>
                <w:rFonts w:eastAsia="SimSun"/>
              </w:rPr>
            </w:pPr>
            <w:r w:rsidRPr="00AC3044">
              <w:rPr>
                <w:rFonts w:eastAsia="SimSun"/>
              </w:rPr>
              <w:t>Дни введения</w:t>
            </w:r>
          </w:p>
        </w:tc>
        <w:tc>
          <w:tcPr>
            <w:tcW w:w="2269" w:type="dxa"/>
            <w:vAlign w:val="center"/>
          </w:tcPr>
          <w:p w14:paraId="7962E417"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1B17D8BF" w14:textId="77777777" w:rsidTr="002D3EBF">
        <w:trPr>
          <w:cantSplit/>
          <w:trHeight w:val="20"/>
        </w:trPr>
        <w:tc>
          <w:tcPr>
            <w:tcW w:w="993" w:type="dxa"/>
            <w:vMerge w:val="restart"/>
            <w:textDirection w:val="btLr"/>
            <w:vAlign w:val="center"/>
          </w:tcPr>
          <w:p w14:paraId="4B23AE99" w14:textId="77777777" w:rsidR="0089207C" w:rsidRPr="00AC3044" w:rsidRDefault="0089207C" w:rsidP="002D3EBF">
            <w:pPr>
              <w:rPr>
                <w:rFonts w:eastAsia="SimSun"/>
              </w:rPr>
            </w:pPr>
            <w:r w:rsidRPr="00AC3044">
              <w:rPr>
                <w:rFonts w:eastAsia="SimSun"/>
              </w:rPr>
              <w:t>Кондиционирование</w:t>
            </w:r>
          </w:p>
        </w:tc>
        <w:tc>
          <w:tcPr>
            <w:tcW w:w="1843" w:type="dxa"/>
            <w:vAlign w:val="center"/>
          </w:tcPr>
          <w:p w14:paraId="32EE0C08" w14:textId="77777777" w:rsidR="0089207C" w:rsidRPr="00AC3044" w:rsidRDefault="0089207C" w:rsidP="002D3EBF">
            <w:pPr>
              <w:rPr>
                <w:rFonts w:eastAsia="SimSun"/>
              </w:rPr>
            </w:pPr>
            <w:r w:rsidRPr="00AC3044">
              <w:rPr>
                <w:rFonts w:eastAsia="SimSun"/>
              </w:rPr>
              <w:t xml:space="preserve">Флударабин </w:t>
            </w:r>
          </w:p>
        </w:tc>
        <w:tc>
          <w:tcPr>
            <w:tcW w:w="1417" w:type="dxa"/>
            <w:vAlign w:val="center"/>
          </w:tcPr>
          <w:p w14:paraId="715070AF" w14:textId="77777777" w:rsidR="0089207C" w:rsidRPr="00AC3044" w:rsidRDefault="0089207C" w:rsidP="002D3EBF">
            <w:pPr>
              <w:rPr>
                <w:rFonts w:eastAsia="SimSun"/>
              </w:rPr>
            </w:pPr>
            <w:r w:rsidRPr="00AC3044">
              <w:rPr>
                <w:rFonts w:eastAsia="SimSun"/>
              </w:rPr>
              <w:t>30 мг/м</w:t>
            </w:r>
            <w:r w:rsidRPr="001E6DBE">
              <w:rPr>
                <w:rFonts w:eastAsia="SimSun"/>
                <w:vertAlign w:val="superscript"/>
              </w:rPr>
              <w:t>2</w:t>
            </w:r>
          </w:p>
        </w:tc>
        <w:tc>
          <w:tcPr>
            <w:tcW w:w="1559" w:type="dxa"/>
            <w:vAlign w:val="center"/>
          </w:tcPr>
          <w:p w14:paraId="35FFEB5A" w14:textId="77777777" w:rsidR="0089207C" w:rsidRPr="00AC3044" w:rsidRDefault="0089207C" w:rsidP="002D3EBF">
            <w:pPr>
              <w:rPr>
                <w:rFonts w:eastAsia="SimSun"/>
              </w:rPr>
            </w:pPr>
            <w:r w:rsidRPr="00AC3044">
              <w:rPr>
                <w:rFonts w:eastAsia="SimSun"/>
              </w:rPr>
              <w:t>180 мг/м</w:t>
            </w:r>
            <w:r w:rsidRPr="001E6DBE">
              <w:rPr>
                <w:rFonts w:eastAsia="SimSun"/>
                <w:vertAlign w:val="superscript"/>
              </w:rPr>
              <w:t>2</w:t>
            </w:r>
          </w:p>
        </w:tc>
        <w:tc>
          <w:tcPr>
            <w:tcW w:w="1559" w:type="dxa"/>
            <w:vAlign w:val="center"/>
          </w:tcPr>
          <w:p w14:paraId="35F4A640" w14:textId="77777777" w:rsidR="0089207C" w:rsidRPr="00AC3044" w:rsidRDefault="0089207C" w:rsidP="002D3EBF">
            <w:pPr>
              <w:rPr>
                <w:rFonts w:eastAsia="SimSun"/>
              </w:rPr>
            </w:pPr>
            <w:r w:rsidRPr="00AC3044">
              <w:rPr>
                <w:rFonts w:eastAsia="SimSun"/>
              </w:rPr>
              <w:t>С -7 дня по -2 день</w:t>
            </w:r>
          </w:p>
        </w:tc>
        <w:tc>
          <w:tcPr>
            <w:tcW w:w="2269" w:type="dxa"/>
            <w:vAlign w:val="center"/>
          </w:tcPr>
          <w:p w14:paraId="059AB4D4"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3C3A731B" w14:textId="77777777" w:rsidTr="002D3EBF">
        <w:trPr>
          <w:cantSplit/>
          <w:trHeight w:val="294"/>
        </w:trPr>
        <w:tc>
          <w:tcPr>
            <w:tcW w:w="993" w:type="dxa"/>
            <w:vMerge/>
            <w:vAlign w:val="center"/>
          </w:tcPr>
          <w:p w14:paraId="7CE2E5E8" w14:textId="77777777" w:rsidR="0089207C" w:rsidRPr="00AC3044" w:rsidRDefault="0089207C" w:rsidP="002D3EBF">
            <w:pPr>
              <w:rPr>
                <w:rFonts w:eastAsia="SimSun"/>
              </w:rPr>
            </w:pPr>
          </w:p>
        </w:tc>
        <w:tc>
          <w:tcPr>
            <w:tcW w:w="1843" w:type="dxa"/>
            <w:vAlign w:val="center"/>
          </w:tcPr>
          <w:p w14:paraId="279B0346" w14:textId="77777777" w:rsidR="0089207C" w:rsidRPr="00AC3044" w:rsidRDefault="0089207C" w:rsidP="002D3EBF">
            <w:pPr>
              <w:rPr>
                <w:rFonts w:eastAsia="SimSun"/>
              </w:rPr>
            </w:pPr>
            <w:r w:rsidRPr="00AC3044">
              <w:rPr>
                <w:rFonts w:eastAsia="SimSun"/>
              </w:rPr>
              <w:t>Бусульфан</w:t>
            </w:r>
          </w:p>
        </w:tc>
        <w:tc>
          <w:tcPr>
            <w:tcW w:w="1417" w:type="dxa"/>
            <w:vAlign w:val="center"/>
          </w:tcPr>
          <w:p w14:paraId="00D95000" w14:textId="77777777" w:rsidR="0089207C" w:rsidRPr="00AC3044" w:rsidRDefault="0089207C" w:rsidP="002D3EBF">
            <w:pPr>
              <w:rPr>
                <w:rFonts w:eastAsia="SimSun"/>
              </w:rPr>
            </w:pPr>
            <w:r w:rsidRPr="00AC3044">
              <w:rPr>
                <w:rFonts w:eastAsia="SimSun"/>
              </w:rPr>
              <w:t xml:space="preserve">4 мг/кг </w:t>
            </w:r>
          </w:p>
        </w:tc>
        <w:tc>
          <w:tcPr>
            <w:tcW w:w="1559" w:type="dxa"/>
            <w:vAlign w:val="center"/>
          </w:tcPr>
          <w:p w14:paraId="2BDED2FD" w14:textId="77777777" w:rsidR="0089207C" w:rsidRPr="00AC3044" w:rsidRDefault="0089207C" w:rsidP="002D3EBF">
            <w:pPr>
              <w:rPr>
                <w:rFonts w:eastAsia="SimSun"/>
              </w:rPr>
            </w:pPr>
            <w:r w:rsidRPr="00AC3044">
              <w:rPr>
                <w:rFonts w:eastAsia="SimSun"/>
              </w:rPr>
              <w:t xml:space="preserve">8 мг/кг </w:t>
            </w:r>
          </w:p>
        </w:tc>
        <w:tc>
          <w:tcPr>
            <w:tcW w:w="1559" w:type="dxa"/>
            <w:vAlign w:val="center"/>
          </w:tcPr>
          <w:p w14:paraId="1E50F63A" w14:textId="77777777" w:rsidR="0089207C" w:rsidRPr="00AC3044" w:rsidRDefault="0089207C" w:rsidP="002D3EBF">
            <w:pPr>
              <w:rPr>
                <w:rFonts w:eastAsia="SimSun"/>
              </w:rPr>
            </w:pPr>
            <w:r w:rsidRPr="00AC3044">
              <w:rPr>
                <w:rFonts w:eastAsia="SimSun"/>
              </w:rPr>
              <w:t>С -4 дня по -3 день</w:t>
            </w:r>
          </w:p>
        </w:tc>
        <w:tc>
          <w:tcPr>
            <w:tcW w:w="2269" w:type="dxa"/>
            <w:vAlign w:val="center"/>
          </w:tcPr>
          <w:p w14:paraId="2302C489"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w:t>
            </w:r>
          </w:p>
        </w:tc>
      </w:tr>
      <w:tr w:rsidR="0089207C" w:rsidRPr="00AC3044" w14:paraId="3F03E6A9" w14:textId="77777777" w:rsidTr="002D3EBF">
        <w:trPr>
          <w:cantSplit/>
          <w:trHeight w:val="1054"/>
        </w:trPr>
        <w:tc>
          <w:tcPr>
            <w:tcW w:w="993" w:type="dxa"/>
            <w:textDirection w:val="btLr"/>
            <w:vAlign w:val="center"/>
          </w:tcPr>
          <w:p w14:paraId="295E9EE6" w14:textId="77777777" w:rsidR="0089207C" w:rsidRPr="00AC3044" w:rsidRDefault="0089207C" w:rsidP="002D3EBF">
            <w:pPr>
              <w:rPr>
                <w:rFonts w:eastAsia="SimSun"/>
              </w:rPr>
            </w:pPr>
            <w:r w:rsidRPr="00AC3044">
              <w:rPr>
                <w:rFonts w:eastAsia="SimSun"/>
              </w:rPr>
              <w:t>Профилактика РТПХ</w:t>
            </w:r>
          </w:p>
        </w:tc>
        <w:tc>
          <w:tcPr>
            <w:tcW w:w="1843" w:type="dxa"/>
            <w:vAlign w:val="center"/>
          </w:tcPr>
          <w:p w14:paraId="2E02B5AC" w14:textId="77777777" w:rsidR="0089207C" w:rsidRPr="00AC3044" w:rsidRDefault="0089207C" w:rsidP="002D3EBF">
            <w:pPr>
              <w:rPr>
                <w:rFonts w:eastAsia="SimSun"/>
              </w:rPr>
            </w:pPr>
            <w:r w:rsidRPr="00AC3044">
              <w:rPr>
                <w:rFonts w:eastAsia="SimSun"/>
              </w:rPr>
              <w:t>Циклофосфамид</w:t>
            </w:r>
          </w:p>
        </w:tc>
        <w:tc>
          <w:tcPr>
            <w:tcW w:w="1417" w:type="dxa"/>
            <w:vAlign w:val="center"/>
          </w:tcPr>
          <w:p w14:paraId="39005257" w14:textId="77777777" w:rsidR="0089207C" w:rsidRPr="00AC3044" w:rsidRDefault="0089207C" w:rsidP="002D3EBF">
            <w:pPr>
              <w:rPr>
                <w:rFonts w:eastAsia="SimSun"/>
              </w:rPr>
            </w:pPr>
            <w:r w:rsidRPr="00AC3044">
              <w:rPr>
                <w:rFonts w:eastAsia="SimSun"/>
              </w:rPr>
              <w:t>50 мг/кг</w:t>
            </w:r>
          </w:p>
        </w:tc>
        <w:tc>
          <w:tcPr>
            <w:tcW w:w="1559" w:type="dxa"/>
            <w:vAlign w:val="center"/>
          </w:tcPr>
          <w:p w14:paraId="5C6398B0" w14:textId="77777777" w:rsidR="0089207C" w:rsidRPr="00AC3044" w:rsidRDefault="0089207C" w:rsidP="002D3EBF">
            <w:pPr>
              <w:rPr>
                <w:rFonts w:eastAsia="SimSun"/>
              </w:rPr>
            </w:pPr>
            <w:r w:rsidRPr="00AC3044">
              <w:rPr>
                <w:rFonts w:eastAsia="SimSun"/>
              </w:rPr>
              <w:t>100 мг/кг</w:t>
            </w:r>
          </w:p>
        </w:tc>
        <w:tc>
          <w:tcPr>
            <w:tcW w:w="1559" w:type="dxa"/>
            <w:vAlign w:val="center"/>
          </w:tcPr>
          <w:p w14:paraId="73E583E8" w14:textId="77777777" w:rsidR="0089207C" w:rsidRPr="00AC3044" w:rsidRDefault="0089207C" w:rsidP="002D3EBF">
            <w:pPr>
              <w:rPr>
                <w:rFonts w:eastAsia="SimSun"/>
              </w:rPr>
            </w:pPr>
            <w:r w:rsidRPr="00AC3044">
              <w:rPr>
                <w:rFonts w:eastAsia="SimSun"/>
              </w:rPr>
              <w:t>С +3 дня по +4 день</w:t>
            </w:r>
          </w:p>
        </w:tc>
        <w:tc>
          <w:tcPr>
            <w:tcW w:w="2269" w:type="dxa"/>
            <w:vAlign w:val="center"/>
          </w:tcPr>
          <w:p w14:paraId="470251AB" w14:textId="77777777" w:rsidR="0089207C" w:rsidRPr="00AC3044" w:rsidRDefault="0089207C" w:rsidP="002D3EBF">
            <w:pPr>
              <w:rPr>
                <w:rFonts w:eastAsia="SimSun"/>
              </w:rPr>
            </w:pPr>
            <w:r w:rsidRPr="00AC3044">
              <w:rPr>
                <w:rFonts w:eastAsia="SimSun"/>
              </w:rPr>
              <w:t xml:space="preserve">В/в, в течение 2 ч  </w:t>
            </w:r>
          </w:p>
        </w:tc>
      </w:tr>
    </w:tbl>
    <w:p w14:paraId="13B4BD8F" w14:textId="77777777" w:rsidR="0089207C" w:rsidRDefault="0089207C" w:rsidP="0089207C">
      <w:pPr>
        <w:rPr>
          <w:rFonts w:eastAsia="SimSun"/>
        </w:rPr>
      </w:pPr>
      <w:bookmarkStart w:id="218" w:name="_Toc44401167"/>
    </w:p>
    <w:p w14:paraId="17D8DA76" w14:textId="77777777" w:rsidR="0089207C" w:rsidRPr="00C07B2E" w:rsidRDefault="0089207C" w:rsidP="0089207C">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1.2.9  – Flu180+Bu8 / PT-Cy+Tx+MMF30</w:t>
      </w:r>
      <w:bookmarkEnd w:id="218"/>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89207C" w:rsidRPr="00AC3044" w14:paraId="29B82077" w14:textId="77777777" w:rsidTr="002D3EBF">
        <w:trPr>
          <w:cantSplit/>
          <w:trHeight w:val="20"/>
          <w:tblHeader/>
        </w:trPr>
        <w:tc>
          <w:tcPr>
            <w:tcW w:w="993" w:type="dxa"/>
            <w:vAlign w:val="center"/>
          </w:tcPr>
          <w:p w14:paraId="7541AD97" w14:textId="77777777" w:rsidR="0089207C" w:rsidRPr="00470D3D" w:rsidRDefault="0089207C" w:rsidP="002D3EBF">
            <w:pPr>
              <w:rPr>
                <w:rFonts w:eastAsia="SimSun"/>
              </w:rPr>
            </w:pPr>
          </w:p>
        </w:tc>
        <w:tc>
          <w:tcPr>
            <w:tcW w:w="1843" w:type="dxa"/>
            <w:vAlign w:val="center"/>
          </w:tcPr>
          <w:p w14:paraId="73AD7A0E" w14:textId="77777777" w:rsidR="0089207C" w:rsidRPr="00AC3044" w:rsidRDefault="0089207C" w:rsidP="002D3EBF">
            <w:pPr>
              <w:rPr>
                <w:rFonts w:eastAsia="SimSun"/>
              </w:rPr>
            </w:pPr>
            <w:r w:rsidRPr="00AC3044">
              <w:rPr>
                <w:rFonts w:eastAsia="SimSun"/>
              </w:rPr>
              <w:t>Препарат</w:t>
            </w:r>
          </w:p>
        </w:tc>
        <w:tc>
          <w:tcPr>
            <w:tcW w:w="1417" w:type="dxa"/>
            <w:vAlign w:val="center"/>
          </w:tcPr>
          <w:p w14:paraId="61306332" w14:textId="77777777" w:rsidR="0089207C" w:rsidRPr="00AC3044" w:rsidRDefault="0089207C" w:rsidP="002D3EBF">
            <w:pPr>
              <w:rPr>
                <w:rFonts w:eastAsia="SimSun"/>
              </w:rPr>
            </w:pPr>
            <w:r w:rsidRPr="00AC3044">
              <w:rPr>
                <w:rFonts w:eastAsia="SimSun"/>
              </w:rPr>
              <w:t>Суточная доза</w:t>
            </w:r>
          </w:p>
        </w:tc>
        <w:tc>
          <w:tcPr>
            <w:tcW w:w="1559" w:type="dxa"/>
            <w:vAlign w:val="center"/>
          </w:tcPr>
          <w:p w14:paraId="185A5599" w14:textId="77777777" w:rsidR="0089207C" w:rsidRPr="00AC3044" w:rsidRDefault="0089207C" w:rsidP="002D3EBF">
            <w:pPr>
              <w:rPr>
                <w:rFonts w:eastAsia="SimSun"/>
              </w:rPr>
            </w:pPr>
            <w:r w:rsidRPr="00AC3044">
              <w:rPr>
                <w:rFonts w:eastAsia="SimSun"/>
              </w:rPr>
              <w:t>Курсовая доза</w:t>
            </w:r>
          </w:p>
        </w:tc>
        <w:tc>
          <w:tcPr>
            <w:tcW w:w="1560" w:type="dxa"/>
            <w:vAlign w:val="center"/>
          </w:tcPr>
          <w:p w14:paraId="5C929FA7"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0003B80B"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599D7606" w14:textId="77777777" w:rsidTr="002D3EBF">
        <w:trPr>
          <w:cantSplit/>
          <w:trHeight w:val="20"/>
        </w:trPr>
        <w:tc>
          <w:tcPr>
            <w:tcW w:w="993" w:type="dxa"/>
            <w:vMerge w:val="restart"/>
            <w:textDirection w:val="btLr"/>
            <w:vAlign w:val="center"/>
          </w:tcPr>
          <w:p w14:paraId="17C23DFD" w14:textId="77777777" w:rsidR="0089207C" w:rsidRPr="00AC3044" w:rsidRDefault="0089207C" w:rsidP="002D3EBF">
            <w:pPr>
              <w:rPr>
                <w:rFonts w:eastAsia="SimSun"/>
              </w:rPr>
            </w:pPr>
            <w:r w:rsidRPr="00AC3044">
              <w:rPr>
                <w:rFonts w:eastAsia="SimSun"/>
              </w:rPr>
              <w:t>Кондиционирование</w:t>
            </w:r>
          </w:p>
        </w:tc>
        <w:tc>
          <w:tcPr>
            <w:tcW w:w="1843" w:type="dxa"/>
            <w:vAlign w:val="center"/>
          </w:tcPr>
          <w:p w14:paraId="11D0E286" w14:textId="77777777" w:rsidR="0089207C" w:rsidRPr="00AC3044" w:rsidRDefault="0089207C" w:rsidP="002D3EBF">
            <w:pPr>
              <w:rPr>
                <w:rFonts w:eastAsia="SimSun"/>
              </w:rPr>
            </w:pPr>
            <w:r w:rsidRPr="00AC3044">
              <w:rPr>
                <w:rFonts w:eastAsia="SimSun"/>
              </w:rPr>
              <w:t xml:space="preserve">Флударабин </w:t>
            </w:r>
          </w:p>
        </w:tc>
        <w:tc>
          <w:tcPr>
            <w:tcW w:w="1417" w:type="dxa"/>
            <w:vAlign w:val="center"/>
          </w:tcPr>
          <w:p w14:paraId="158EF514" w14:textId="77777777" w:rsidR="0089207C" w:rsidRPr="00AC3044" w:rsidRDefault="0089207C" w:rsidP="002D3EBF">
            <w:pPr>
              <w:rPr>
                <w:rFonts w:eastAsia="SimSun"/>
              </w:rPr>
            </w:pPr>
            <w:r w:rsidRPr="00AC3044">
              <w:rPr>
                <w:rFonts w:eastAsia="SimSun"/>
              </w:rPr>
              <w:t>30 мг/м</w:t>
            </w:r>
            <w:r w:rsidRPr="001E6DBE">
              <w:rPr>
                <w:rFonts w:eastAsia="SimSun"/>
                <w:vertAlign w:val="superscript"/>
              </w:rPr>
              <w:t>2</w:t>
            </w:r>
          </w:p>
        </w:tc>
        <w:tc>
          <w:tcPr>
            <w:tcW w:w="1559" w:type="dxa"/>
            <w:vAlign w:val="center"/>
          </w:tcPr>
          <w:p w14:paraId="285CB98D" w14:textId="77777777" w:rsidR="0089207C" w:rsidRPr="00AC3044" w:rsidRDefault="0089207C" w:rsidP="002D3EBF">
            <w:pPr>
              <w:rPr>
                <w:rFonts w:eastAsia="SimSun"/>
              </w:rPr>
            </w:pPr>
            <w:r w:rsidRPr="00AC3044">
              <w:rPr>
                <w:rFonts w:eastAsia="SimSun"/>
              </w:rPr>
              <w:t>180 мг/м</w:t>
            </w:r>
            <w:r w:rsidRPr="001E6DBE">
              <w:rPr>
                <w:rFonts w:eastAsia="SimSun"/>
                <w:vertAlign w:val="superscript"/>
              </w:rPr>
              <w:t>2</w:t>
            </w:r>
          </w:p>
        </w:tc>
        <w:tc>
          <w:tcPr>
            <w:tcW w:w="1560" w:type="dxa"/>
            <w:vAlign w:val="center"/>
          </w:tcPr>
          <w:p w14:paraId="084717AD" w14:textId="77777777" w:rsidR="0089207C" w:rsidRPr="00AC3044" w:rsidRDefault="0089207C" w:rsidP="002D3EBF">
            <w:pPr>
              <w:rPr>
                <w:rFonts w:eastAsia="SimSun"/>
              </w:rPr>
            </w:pPr>
            <w:r w:rsidRPr="00AC3044">
              <w:rPr>
                <w:rFonts w:eastAsia="SimSun"/>
              </w:rPr>
              <w:t>С -7 дня по -2 день</w:t>
            </w:r>
          </w:p>
        </w:tc>
        <w:tc>
          <w:tcPr>
            <w:tcW w:w="2268" w:type="dxa"/>
            <w:vAlign w:val="center"/>
          </w:tcPr>
          <w:p w14:paraId="2A640195"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7654F131" w14:textId="77777777" w:rsidTr="002D3EBF">
        <w:trPr>
          <w:cantSplit/>
          <w:trHeight w:val="961"/>
        </w:trPr>
        <w:tc>
          <w:tcPr>
            <w:tcW w:w="993" w:type="dxa"/>
            <w:vMerge/>
            <w:vAlign w:val="center"/>
          </w:tcPr>
          <w:p w14:paraId="08C5B1EA" w14:textId="77777777" w:rsidR="0089207C" w:rsidRPr="00AC3044" w:rsidRDefault="0089207C" w:rsidP="002D3EBF">
            <w:pPr>
              <w:rPr>
                <w:rFonts w:eastAsia="SimSun"/>
              </w:rPr>
            </w:pPr>
          </w:p>
        </w:tc>
        <w:tc>
          <w:tcPr>
            <w:tcW w:w="1843" w:type="dxa"/>
            <w:vAlign w:val="center"/>
          </w:tcPr>
          <w:p w14:paraId="23472531" w14:textId="77777777" w:rsidR="0089207C" w:rsidRPr="00AC3044" w:rsidRDefault="0089207C" w:rsidP="002D3EBF">
            <w:pPr>
              <w:rPr>
                <w:rFonts w:eastAsia="SimSun"/>
              </w:rPr>
            </w:pPr>
            <w:r w:rsidRPr="00AC3044">
              <w:rPr>
                <w:rFonts w:eastAsia="SimSun"/>
              </w:rPr>
              <w:t>Бусульфан</w:t>
            </w:r>
          </w:p>
        </w:tc>
        <w:tc>
          <w:tcPr>
            <w:tcW w:w="1417" w:type="dxa"/>
            <w:vAlign w:val="center"/>
          </w:tcPr>
          <w:p w14:paraId="7B6A91B4" w14:textId="77777777" w:rsidR="0089207C" w:rsidRPr="00AC3044" w:rsidRDefault="0089207C" w:rsidP="002D3EBF">
            <w:pPr>
              <w:rPr>
                <w:rFonts w:eastAsia="SimSun"/>
              </w:rPr>
            </w:pPr>
            <w:r w:rsidRPr="00AC3044">
              <w:rPr>
                <w:rFonts w:eastAsia="SimSun"/>
              </w:rPr>
              <w:t xml:space="preserve">4 мг/кг </w:t>
            </w:r>
          </w:p>
        </w:tc>
        <w:tc>
          <w:tcPr>
            <w:tcW w:w="1559" w:type="dxa"/>
            <w:vAlign w:val="center"/>
          </w:tcPr>
          <w:p w14:paraId="42649C7A" w14:textId="77777777" w:rsidR="0089207C" w:rsidRPr="00AC3044" w:rsidRDefault="0089207C" w:rsidP="002D3EBF">
            <w:pPr>
              <w:rPr>
                <w:rFonts w:eastAsia="SimSun"/>
              </w:rPr>
            </w:pPr>
            <w:r w:rsidRPr="00AC3044">
              <w:rPr>
                <w:rFonts w:eastAsia="SimSun"/>
              </w:rPr>
              <w:t xml:space="preserve">8 мг/кг </w:t>
            </w:r>
          </w:p>
        </w:tc>
        <w:tc>
          <w:tcPr>
            <w:tcW w:w="1560" w:type="dxa"/>
            <w:vAlign w:val="center"/>
          </w:tcPr>
          <w:p w14:paraId="28D3D85A" w14:textId="77777777" w:rsidR="0089207C" w:rsidRPr="00AC3044" w:rsidRDefault="0089207C" w:rsidP="002D3EBF">
            <w:pPr>
              <w:rPr>
                <w:rFonts w:eastAsia="SimSun"/>
              </w:rPr>
            </w:pPr>
            <w:r w:rsidRPr="00AC3044">
              <w:rPr>
                <w:rFonts w:eastAsia="SimSun"/>
              </w:rPr>
              <w:t>С -4 дня по -3 день</w:t>
            </w:r>
          </w:p>
        </w:tc>
        <w:tc>
          <w:tcPr>
            <w:tcW w:w="2268" w:type="dxa"/>
            <w:vAlign w:val="center"/>
          </w:tcPr>
          <w:p w14:paraId="621FBAFA"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w:t>
            </w:r>
          </w:p>
        </w:tc>
      </w:tr>
      <w:tr w:rsidR="0089207C" w:rsidRPr="00AC3044" w14:paraId="0839F75B" w14:textId="77777777" w:rsidTr="002D3EBF">
        <w:trPr>
          <w:cantSplit/>
          <w:trHeight w:val="1498"/>
        </w:trPr>
        <w:tc>
          <w:tcPr>
            <w:tcW w:w="993" w:type="dxa"/>
            <w:vMerge w:val="restart"/>
            <w:textDirection w:val="btLr"/>
            <w:vAlign w:val="center"/>
          </w:tcPr>
          <w:p w14:paraId="33B5E5FA" w14:textId="77777777" w:rsidR="0089207C" w:rsidRPr="00AC3044" w:rsidRDefault="0089207C" w:rsidP="002D3EBF">
            <w:pPr>
              <w:rPr>
                <w:rFonts w:eastAsia="SimSun"/>
              </w:rPr>
            </w:pPr>
            <w:r w:rsidRPr="00AC3044">
              <w:rPr>
                <w:rFonts w:eastAsia="SimSun"/>
              </w:rPr>
              <w:t>Профилактика РТПХ</w:t>
            </w:r>
          </w:p>
        </w:tc>
        <w:tc>
          <w:tcPr>
            <w:tcW w:w="1843" w:type="dxa"/>
            <w:vAlign w:val="center"/>
          </w:tcPr>
          <w:p w14:paraId="6444875A" w14:textId="77777777" w:rsidR="0089207C" w:rsidRPr="00AC3044" w:rsidRDefault="0089207C" w:rsidP="002D3EBF">
            <w:pPr>
              <w:rPr>
                <w:rFonts w:eastAsia="SimSun"/>
              </w:rPr>
            </w:pPr>
            <w:r w:rsidRPr="00AC3044">
              <w:rPr>
                <w:rFonts w:eastAsia="SimSun"/>
              </w:rPr>
              <w:t>Циклофосфамид</w:t>
            </w:r>
          </w:p>
        </w:tc>
        <w:tc>
          <w:tcPr>
            <w:tcW w:w="1417" w:type="dxa"/>
            <w:vAlign w:val="center"/>
          </w:tcPr>
          <w:p w14:paraId="3409783D" w14:textId="77777777" w:rsidR="0089207C" w:rsidRPr="00AC3044" w:rsidRDefault="0089207C" w:rsidP="002D3EBF">
            <w:pPr>
              <w:rPr>
                <w:rFonts w:eastAsia="SimSun"/>
              </w:rPr>
            </w:pPr>
            <w:r w:rsidRPr="00AC3044">
              <w:rPr>
                <w:rFonts w:eastAsia="SimSun"/>
              </w:rPr>
              <w:t>50 мг/кг</w:t>
            </w:r>
          </w:p>
        </w:tc>
        <w:tc>
          <w:tcPr>
            <w:tcW w:w="1559" w:type="dxa"/>
            <w:vAlign w:val="center"/>
          </w:tcPr>
          <w:p w14:paraId="6A568F41" w14:textId="77777777" w:rsidR="0089207C" w:rsidRPr="00AC3044" w:rsidRDefault="0089207C" w:rsidP="002D3EBF">
            <w:pPr>
              <w:rPr>
                <w:rFonts w:eastAsia="SimSun"/>
              </w:rPr>
            </w:pPr>
            <w:r w:rsidRPr="00AC3044">
              <w:rPr>
                <w:rFonts w:eastAsia="SimSun"/>
              </w:rPr>
              <w:t>100 мг/кг</w:t>
            </w:r>
          </w:p>
        </w:tc>
        <w:tc>
          <w:tcPr>
            <w:tcW w:w="1560" w:type="dxa"/>
            <w:vAlign w:val="center"/>
          </w:tcPr>
          <w:p w14:paraId="15C29B50" w14:textId="77777777" w:rsidR="0089207C" w:rsidRPr="00AC3044" w:rsidRDefault="0089207C" w:rsidP="002D3EBF">
            <w:pPr>
              <w:rPr>
                <w:rFonts w:eastAsia="SimSun"/>
              </w:rPr>
            </w:pPr>
            <w:r w:rsidRPr="00AC3044">
              <w:rPr>
                <w:rFonts w:eastAsia="SimSun"/>
              </w:rPr>
              <w:t>С +3 дня по +4 день</w:t>
            </w:r>
          </w:p>
        </w:tc>
        <w:tc>
          <w:tcPr>
            <w:tcW w:w="2268" w:type="dxa"/>
            <w:vAlign w:val="center"/>
          </w:tcPr>
          <w:p w14:paraId="65CD18B6" w14:textId="77777777" w:rsidR="0089207C" w:rsidRPr="00AC3044" w:rsidRDefault="0089207C" w:rsidP="002D3EBF">
            <w:pPr>
              <w:rPr>
                <w:rFonts w:eastAsia="SimSun"/>
              </w:rPr>
            </w:pPr>
            <w:r w:rsidRPr="00AC3044">
              <w:rPr>
                <w:rFonts w:eastAsia="SimSun"/>
              </w:rPr>
              <w:t xml:space="preserve">В/в, в течение 2 ч  </w:t>
            </w:r>
          </w:p>
        </w:tc>
      </w:tr>
      <w:tr w:rsidR="0089207C" w:rsidRPr="00AC3044" w14:paraId="727B8648" w14:textId="77777777" w:rsidTr="002D3EBF">
        <w:trPr>
          <w:cantSplit/>
          <w:trHeight w:val="958"/>
        </w:trPr>
        <w:tc>
          <w:tcPr>
            <w:tcW w:w="993" w:type="dxa"/>
            <w:vMerge/>
            <w:textDirection w:val="btLr"/>
            <w:vAlign w:val="center"/>
          </w:tcPr>
          <w:p w14:paraId="32D30D7D" w14:textId="77777777" w:rsidR="0089207C" w:rsidRPr="00AC3044" w:rsidRDefault="0089207C" w:rsidP="002D3EBF">
            <w:pPr>
              <w:rPr>
                <w:rFonts w:eastAsia="SimSun"/>
              </w:rPr>
            </w:pPr>
          </w:p>
        </w:tc>
        <w:tc>
          <w:tcPr>
            <w:tcW w:w="1843" w:type="dxa"/>
            <w:vAlign w:val="center"/>
          </w:tcPr>
          <w:p w14:paraId="65B94D6C" w14:textId="77777777" w:rsidR="0089207C" w:rsidRPr="00AC3044" w:rsidRDefault="0089207C" w:rsidP="002D3EBF">
            <w:pPr>
              <w:rPr>
                <w:rFonts w:eastAsia="SimSun"/>
              </w:rPr>
            </w:pPr>
            <w:r w:rsidRPr="00AC3044">
              <w:rPr>
                <w:rFonts w:eastAsia="SimSun"/>
              </w:rPr>
              <w:t xml:space="preserve">Такролимус </w:t>
            </w:r>
          </w:p>
        </w:tc>
        <w:tc>
          <w:tcPr>
            <w:tcW w:w="1417" w:type="dxa"/>
            <w:vAlign w:val="center"/>
          </w:tcPr>
          <w:p w14:paraId="10DC2059" w14:textId="77777777" w:rsidR="0089207C" w:rsidRPr="00AC3044" w:rsidRDefault="0089207C" w:rsidP="002D3EBF">
            <w:pPr>
              <w:rPr>
                <w:rFonts w:eastAsia="SimSun"/>
              </w:rPr>
            </w:pPr>
            <w:r w:rsidRPr="00AC3044">
              <w:rPr>
                <w:rFonts w:eastAsia="SimSun"/>
              </w:rPr>
              <w:t>0,03 мг/кг</w:t>
            </w:r>
          </w:p>
        </w:tc>
        <w:tc>
          <w:tcPr>
            <w:tcW w:w="1559" w:type="dxa"/>
            <w:vAlign w:val="center"/>
          </w:tcPr>
          <w:p w14:paraId="67D1B053" w14:textId="77777777" w:rsidR="0089207C" w:rsidRPr="00AC3044" w:rsidRDefault="0089207C" w:rsidP="002D3EBF">
            <w:pPr>
              <w:rPr>
                <w:rFonts w:eastAsia="SimSun"/>
              </w:rPr>
            </w:pPr>
            <w:r w:rsidRPr="00AC3044">
              <w:rPr>
                <w:rFonts w:eastAsia="SimSun"/>
              </w:rPr>
              <w:t>–</w:t>
            </w:r>
          </w:p>
        </w:tc>
        <w:tc>
          <w:tcPr>
            <w:tcW w:w="1560" w:type="dxa"/>
            <w:vAlign w:val="center"/>
          </w:tcPr>
          <w:p w14:paraId="7266509E" w14:textId="77777777" w:rsidR="0089207C" w:rsidRPr="00AC3044" w:rsidRDefault="0089207C" w:rsidP="002D3EBF">
            <w:pPr>
              <w:rPr>
                <w:rFonts w:eastAsia="SimSun"/>
              </w:rPr>
            </w:pPr>
            <w:r w:rsidRPr="00AC3044">
              <w:rPr>
                <w:rFonts w:eastAsia="SimSun"/>
              </w:rPr>
              <w:t xml:space="preserve">С +5 дня длительно </w:t>
            </w:r>
          </w:p>
        </w:tc>
        <w:tc>
          <w:tcPr>
            <w:tcW w:w="2268" w:type="dxa"/>
            <w:vAlign w:val="center"/>
          </w:tcPr>
          <w:p w14:paraId="5A2FAFE3" w14:textId="77777777" w:rsidR="0089207C" w:rsidRPr="00AC3044" w:rsidRDefault="0089207C" w:rsidP="002D3EBF">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9207C" w:rsidRPr="00AC3044" w14:paraId="24F93317" w14:textId="77777777" w:rsidTr="002D3EBF">
        <w:trPr>
          <w:cantSplit/>
          <w:trHeight w:val="544"/>
        </w:trPr>
        <w:tc>
          <w:tcPr>
            <w:tcW w:w="993" w:type="dxa"/>
            <w:vMerge/>
            <w:textDirection w:val="btLr"/>
            <w:vAlign w:val="center"/>
          </w:tcPr>
          <w:p w14:paraId="07DB6ACD" w14:textId="77777777" w:rsidR="0089207C" w:rsidRPr="00AC3044" w:rsidRDefault="0089207C" w:rsidP="002D3EBF">
            <w:pPr>
              <w:rPr>
                <w:rFonts w:eastAsia="SimSun"/>
              </w:rPr>
            </w:pPr>
          </w:p>
        </w:tc>
        <w:tc>
          <w:tcPr>
            <w:tcW w:w="1843" w:type="dxa"/>
            <w:vAlign w:val="center"/>
          </w:tcPr>
          <w:p w14:paraId="079CEAA8" w14:textId="77777777" w:rsidR="0089207C" w:rsidRPr="00AC3044" w:rsidRDefault="0089207C" w:rsidP="002D3EBF">
            <w:pPr>
              <w:rPr>
                <w:rFonts w:eastAsia="SimSun"/>
              </w:rPr>
            </w:pPr>
            <w:r w:rsidRPr="00AC3044">
              <w:rPr>
                <w:rFonts w:eastAsia="SimSun"/>
              </w:rPr>
              <w:t>Микофенолата мофетил</w:t>
            </w:r>
          </w:p>
        </w:tc>
        <w:tc>
          <w:tcPr>
            <w:tcW w:w="1417" w:type="dxa"/>
            <w:vAlign w:val="center"/>
          </w:tcPr>
          <w:p w14:paraId="29E2DAA4" w14:textId="77777777" w:rsidR="0089207C" w:rsidRPr="00AC3044" w:rsidRDefault="0089207C" w:rsidP="002D3EBF">
            <w:pPr>
              <w:rPr>
                <w:rFonts w:eastAsia="SimSun"/>
              </w:rPr>
            </w:pPr>
            <w:r w:rsidRPr="00AC3044">
              <w:rPr>
                <w:rFonts w:eastAsia="SimSun"/>
              </w:rPr>
              <w:t xml:space="preserve">30 мг/кг </w:t>
            </w:r>
          </w:p>
        </w:tc>
        <w:tc>
          <w:tcPr>
            <w:tcW w:w="1559" w:type="dxa"/>
            <w:vAlign w:val="center"/>
          </w:tcPr>
          <w:p w14:paraId="7EEA9479" w14:textId="77777777" w:rsidR="0089207C" w:rsidRPr="00AC3044" w:rsidRDefault="0089207C" w:rsidP="002D3EBF">
            <w:pPr>
              <w:rPr>
                <w:rFonts w:eastAsia="SimSun"/>
              </w:rPr>
            </w:pPr>
            <w:r w:rsidRPr="00AC3044">
              <w:rPr>
                <w:rFonts w:eastAsia="SimSun"/>
              </w:rPr>
              <w:t>–</w:t>
            </w:r>
          </w:p>
        </w:tc>
        <w:tc>
          <w:tcPr>
            <w:tcW w:w="1560" w:type="dxa"/>
            <w:vAlign w:val="center"/>
          </w:tcPr>
          <w:p w14:paraId="084EF06E" w14:textId="77777777" w:rsidR="0089207C" w:rsidRPr="00AC3044" w:rsidRDefault="0089207C" w:rsidP="002D3EBF">
            <w:pPr>
              <w:rPr>
                <w:rFonts w:eastAsia="SimSun"/>
              </w:rPr>
            </w:pPr>
            <w:r w:rsidRPr="00AC3044">
              <w:rPr>
                <w:rFonts w:eastAsia="SimSun"/>
              </w:rPr>
              <w:t xml:space="preserve">С +5 дня по +35 день </w:t>
            </w:r>
          </w:p>
        </w:tc>
        <w:tc>
          <w:tcPr>
            <w:tcW w:w="2268" w:type="dxa"/>
            <w:vAlign w:val="center"/>
          </w:tcPr>
          <w:p w14:paraId="576A52D9" w14:textId="77777777" w:rsidR="0089207C" w:rsidRPr="00AC3044" w:rsidRDefault="0089207C" w:rsidP="002D3EBF">
            <w:pPr>
              <w:rPr>
                <w:rFonts w:eastAsia="SimSun"/>
              </w:rPr>
            </w:pPr>
            <w:r w:rsidRPr="00AC3044">
              <w:rPr>
                <w:rFonts w:eastAsia="SimSun"/>
              </w:rPr>
              <w:t>Внутрь, суммарная суточная доза разделяется на 2- 4 приема.</w:t>
            </w:r>
          </w:p>
        </w:tc>
      </w:tr>
    </w:tbl>
    <w:p w14:paraId="0729AE2F" w14:textId="77777777" w:rsidR="0089207C" w:rsidRPr="00C07B2E" w:rsidRDefault="0089207C" w:rsidP="0089207C">
      <w:pPr>
        <w:rPr>
          <w:rFonts w:eastAsia="SimSun"/>
        </w:rPr>
      </w:pPr>
    </w:p>
    <w:p w14:paraId="650BF6B9" w14:textId="77777777" w:rsidR="0089207C" w:rsidRPr="00C07B2E" w:rsidRDefault="0089207C" w:rsidP="0089207C">
      <w:pPr>
        <w:rPr>
          <w:rFonts w:eastAsia="SimSun"/>
        </w:rPr>
      </w:pPr>
      <w:bookmarkStart w:id="219" w:name="_Toc44401168"/>
      <w:r w:rsidRPr="00042499">
        <w:rPr>
          <w:rFonts w:eastAsia="SimSun"/>
        </w:rPr>
        <w:t>Таблица</w:t>
      </w:r>
      <w:r w:rsidRPr="00C07B2E">
        <w:rPr>
          <w:rFonts w:eastAsia="SimSun"/>
        </w:rPr>
        <w:t xml:space="preserve"> </w:t>
      </w:r>
      <w:r>
        <w:rPr>
          <w:rFonts w:eastAsia="SimSun"/>
        </w:rPr>
        <w:t>5.</w:t>
      </w:r>
      <w:r w:rsidRPr="00C07B2E">
        <w:rPr>
          <w:rFonts w:eastAsia="SimSun"/>
        </w:rPr>
        <w:t>1.2.10  – Flu180+Bu8 / Tx+MMF30</w:t>
      </w:r>
      <w:bookmarkEnd w:id="219"/>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89207C" w:rsidRPr="00AC3044" w14:paraId="30A956BE" w14:textId="77777777" w:rsidTr="002D3EBF">
        <w:trPr>
          <w:cantSplit/>
          <w:trHeight w:val="20"/>
          <w:tblHeader/>
        </w:trPr>
        <w:tc>
          <w:tcPr>
            <w:tcW w:w="993" w:type="dxa"/>
            <w:vAlign w:val="center"/>
          </w:tcPr>
          <w:p w14:paraId="1704F326" w14:textId="77777777" w:rsidR="0089207C" w:rsidRPr="00AC3044" w:rsidRDefault="0089207C" w:rsidP="002D3EBF">
            <w:pPr>
              <w:rPr>
                <w:rFonts w:eastAsia="SimSun"/>
              </w:rPr>
            </w:pPr>
          </w:p>
        </w:tc>
        <w:tc>
          <w:tcPr>
            <w:tcW w:w="1843" w:type="dxa"/>
            <w:vAlign w:val="center"/>
          </w:tcPr>
          <w:p w14:paraId="33F0A769" w14:textId="77777777" w:rsidR="0089207C" w:rsidRPr="00AC3044" w:rsidRDefault="0089207C" w:rsidP="002D3EBF">
            <w:pPr>
              <w:rPr>
                <w:rFonts w:eastAsia="SimSun"/>
              </w:rPr>
            </w:pPr>
            <w:r w:rsidRPr="00AC3044">
              <w:rPr>
                <w:rFonts w:eastAsia="SimSun"/>
              </w:rPr>
              <w:t>Препарат</w:t>
            </w:r>
          </w:p>
        </w:tc>
        <w:tc>
          <w:tcPr>
            <w:tcW w:w="1417" w:type="dxa"/>
            <w:vAlign w:val="center"/>
          </w:tcPr>
          <w:p w14:paraId="3253403C" w14:textId="77777777" w:rsidR="0089207C" w:rsidRPr="00AC3044" w:rsidRDefault="0089207C" w:rsidP="002D3EBF">
            <w:pPr>
              <w:rPr>
                <w:rFonts w:eastAsia="SimSun"/>
              </w:rPr>
            </w:pPr>
            <w:r w:rsidRPr="00AC3044">
              <w:rPr>
                <w:rFonts w:eastAsia="SimSun"/>
              </w:rPr>
              <w:t>Суточная доза</w:t>
            </w:r>
          </w:p>
        </w:tc>
        <w:tc>
          <w:tcPr>
            <w:tcW w:w="1559" w:type="dxa"/>
            <w:vAlign w:val="center"/>
          </w:tcPr>
          <w:p w14:paraId="3ED41683" w14:textId="77777777" w:rsidR="0089207C" w:rsidRPr="00AC3044" w:rsidRDefault="0089207C" w:rsidP="002D3EBF">
            <w:pPr>
              <w:rPr>
                <w:rFonts w:eastAsia="SimSun"/>
              </w:rPr>
            </w:pPr>
            <w:r w:rsidRPr="00AC3044">
              <w:rPr>
                <w:rFonts w:eastAsia="SimSun"/>
              </w:rPr>
              <w:t>Курсовая доза</w:t>
            </w:r>
          </w:p>
        </w:tc>
        <w:tc>
          <w:tcPr>
            <w:tcW w:w="1560" w:type="dxa"/>
            <w:vAlign w:val="center"/>
          </w:tcPr>
          <w:p w14:paraId="69707BD3"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1B4B3E7F"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3FC965EA" w14:textId="77777777" w:rsidTr="002D3EBF">
        <w:trPr>
          <w:cantSplit/>
          <w:trHeight w:val="20"/>
        </w:trPr>
        <w:tc>
          <w:tcPr>
            <w:tcW w:w="993" w:type="dxa"/>
            <w:vMerge w:val="restart"/>
            <w:textDirection w:val="btLr"/>
            <w:vAlign w:val="center"/>
          </w:tcPr>
          <w:p w14:paraId="6B71913C" w14:textId="77777777" w:rsidR="0089207C" w:rsidRPr="00AC3044" w:rsidRDefault="0089207C" w:rsidP="002D3EBF">
            <w:pPr>
              <w:rPr>
                <w:rFonts w:eastAsia="SimSun"/>
              </w:rPr>
            </w:pPr>
            <w:r w:rsidRPr="00AC3044">
              <w:rPr>
                <w:rFonts w:eastAsia="SimSun"/>
              </w:rPr>
              <w:t>Кондиционирование</w:t>
            </w:r>
          </w:p>
        </w:tc>
        <w:tc>
          <w:tcPr>
            <w:tcW w:w="1843" w:type="dxa"/>
            <w:vAlign w:val="center"/>
          </w:tcPr>
          <w:p w14:paraId="7EDD9F4F" w14:textId="77777777" w:rsidR="0089207C" w:rsidRPr="00AC3044" w:rsidRDefault="0089207C" w:rsidP="002D3EBF">
            <w:pPr>
              <w:rPr>
                <w:rFonts w:eastAsia="SimSun"/>
              </w:rPr>
            </w:pPr>
            <w:r w:rsidRPr="00AC3044">
              <w:rPr>
                <w:rFonts w:eastAsia="SimSun"/>
              </w:rPr>
              <w:t xml:space="preserve">Флударабин </w:t>
            </w:r>
          </w:p>
        </w:tc>
        <w:tc>
          <w:tcPr>
            <w:tcW w:w="1417" w:type="dxa"/>
            <w:vAlign w:val="center"/>
          </w:tcPr>
          <w:p w14:paraId="173584ED" w14:textId="77777777" w:rsidR="0089207C" w:rsidRPr="00AC3044" w:rsidRDefault="0089207C" w:rsidP="002D3EBF">
            <w:pPr>
              <w:rPr>
                <w:rFonts w:eastAsia="SimSun"/>
              </w:rPr>
            </w:pPr>
            <w:r w:rsidRPr="00AC3044">
              <w:rPr>
                <w:rFonts w:eastAsia="SimSun"/>
              </w:rPr>
              <w:t>30 мг/м</w:t>
            </w:r>
            <w:r w:rsidRPr="001E6DBE">
              <w:rPr>
                <w:rFonts w:eastAsia="SimSun"/>
                <w:vertAlign w:val="superscript"/>
              </w:rPr>
              <w:t>2</w:t>
            </w:r>
          </w:p>
        </w:tc>
        <w:tc>
          <w:tcPr>
            <w:tcW w:w="1559" w:type="dxa"/>
            <w:vAlign w:val="center"/>
          </w:tcPr>
          <w:p w14:paraId="7B3928DF" w14:textId="77777777" w:rsidR="0089207C" w:rsidRPr="00AC3044" w:rsidRDefault="0089207C" w:rsidP="002D3EBF">
            <w:pPr>
              <w:rPr>
                <w:rFonts w:eastAsia="SimSun"/>
              </w:rPr>
            </w:pPr>
            <w:r w:rsidRPr="00AC3044">
              <w:rPr>
                <w:rFonts w:eastAsia="SimSun"/>
              </w:rPr>
              <w:t>180 мг/м</w:t>
            </w:r>
            <w:r w:rsidRPr="001E6DBE">
              <w:rPr>
                <w:rFonts w:eastAsia="SimSun"/>
                <w:vertAlign w:val="superscript"/>
              </w:rPr>
              <w:t>2</w:t>
            </w:r>
          </w:p>
        </w:tc>
        <w:tc>
          <w:tcPr>
            <w:tcW w:w="1560" w:type="dxa"/>
            <w:vAlign w:val="center"/>
          </w:tcPr>
          <w:p w14:paraId="5AE1FCBB" w14:textId="77777777" w:rsidR="0089207C" w:rsidRPr="00AC3044" w:rsidRDefault="0089207C" w:rsidP="002D3EBF">
            <w:pPr>
              <w:rPr>
                <w:rFonts w:eastAsia="SimSun"/>
              </w:rPr>
            </w:pPr>
            <w:r w:rsidRPr="00AC3044">
              <w:rPr>
                <w:rFonts w:eastAsia="SimSun"/>
              </w:rPr>
              <w:t>С -7 дня по -2 день</w:t>
            </w:r>
          </w:p>
        </w:tc>
        <w:tc>
          <w:tcPr>
            <w:tcW w:w="2268" w:type="dxa"/>
            <w:vAlign w:val="center"/>
          </w:tcPr>
          <w:p w14:paraId="2AA96661"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4D3EDA60" w14:textId="77777777" w:rsidTr="002D3EBF">
        <w:trPr>
          <w:cantSplit/>
          <w:trHeight w:val="784"/>
        </w:trPr>
        <w:tc>
          <w:tcPr>
            <w:tcW w:w="993" w:type="dxa"/>
            <w:vMerge/>
            <w:vAlign w:val="center"/>
          </w:tcPr>
          <w:p w14:paraId="2C579135" w14:textId="77777777" w:rsidR="0089207C" w:rsidRPr="00AC3044" w:rsidRDefault="0089207C" w:rsidP="002D3EBF">
            <w:pPr>
              <w:rPr>
                <w:rFonts w:eastAsia="SimSun"/>
              </w:rPr>
            </w:pPr>
          </w:p>
        </w:tc>
        <w:tc>
          <w:tcPr>
            <w:tcW w:w="1843" w:type="dxa"/>
            <w:vAlign w:val="center"/>
          </w:tcPr>
          <w:p w14:paraId="366A77DE" w14:textId="77777777" w:rsidR="0089207C" w:rsidRPr="00AC3044" w:rsidRDefault="0089207C" w:rsidP="002D3EBF">
            <w:pPr>
              <w:rPr>
                <w:rFonts w:eastAsia="SimSun"/>
              </w:rPr>
            </w:pPr>
            <w:r w:rsidRPr="00AC3044">
              <w:rPr>
                <w:rFonts w:eastAsia="SimSun"/>
              </w:rPr>
              <w:t>Бусульфан</w:t>
            </w:r>
          </w:p>
        </w:tc>
        <w:tc>
          <w:tcPr>
            <w:tcW w:w="1417" w:type="dxa"/>
            <w:vAlign w:val="center"/>
          </w:tcPr>
          <w:p w14:paraId="2D8562C8" w14:textId="77777777" w:rsidR="0089207C" w:rsidRPr="00AC3044" w:rsidRDefault="0089207C" w:rsidP="002D3EBF">
            <w:pPr>
              <w:rPr>
                <w:rFonts w:eastAsia="SimSun"/>
              </w:rPr>
            </w:pPr>
            <w:r w:rsidRPr="00AC3044">
              <w:rPr>
                <w:rFonts w:eastAsia="SimSun"/>
              </w:rPr>
              <w:t xml:space="preserve">4 мг/кг </w:t>
            </w:r>
          </w:p>
        </w:tc>
        <w:tc>
          <w:tcPr>
            <w:tcW w:w="1559" w:type="dxa"/>
            <w:vAlign w:val="center"/>
          </w:tcPr>
          <w:p w14:paraId="712B520B" w14:textId="77777777" w:rsidR="0089207C" w:rsidRPr="00AC3044" w:rsidRDefault="0089207C" w:rsidP="002D3EBF">
            <w:pPr>
              <w:rPr>
                <w:rFonts w:eastAsia="SimSun"/>
              </w:rPr>
            </w:pPr>
            <w:r w:rsidRPr="00AC3044">
              <w:rPr>
                <w:rFonts w:eastAsia="SimSun"/>
              </w:rPr>
              <w:t xml:space="preserve">8 мг/кг </w:t>
            </w:r>
          </w:p>
        </w:tc>
        <w:tc>
          <w:tcPr>
            <w:tcW w:w="1560" w:type="dxa"/>
            <w:vAlign w:val="center"/>
          </w:tcPr>
          <w:p w14:paraId="25F76376" w14:textId="77777777" w:rsidR="0089207C" w:rsidRPr="00AC3044" w:rsidRDefault="0089207C" w:rsidP="002D3EBF">
            <w:pPr>
              <w:rPr>
                <w:rFonts w:eastAsia="SimSun"/>
              </w:rPr>
            </w:pPr>
            <w:r w:rsidRPr="00AC3044">
              <w:rPr>
                <w:rFonts w:eastAsia="SimSun"/>
              </w:rPr>
              <w:t>С -4 дня по -3 день</w:t>
            </w:r>
          </w:p>
        </w:tc>
        <w:tc>
          <w:tcPr>
            <w:tcW w:w="2268" w:type="dxa"/>
            <w:vAlign w:val="center"/>
          </w:tcPr>
          <w:p w14:paraId="1EAF7C43"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w:t>
            </w:r>
          </w:p>
        </w:tc>
      </w:tr>
      <w:tr w:rsidR="0089207C" w:rsidRPr="00AC3044" w14:paraId="4BA8314B" w14:textId="77777777" w:rsidTr="002D3EBF">
        <w:trPr>
          <w:cantSplit/>
          <w:trHeight w:val="1498"/>
        </w:trPr>
        <w:tc>
          <w:tcPr>
            <w:tcW w:w="993" w:type="dxa"/>
            <w:vMerge w:val="restart"/>
            <w:textDirection w:val="btLr"/>
            <w:vAlign w:val="center"/>
          </w:tcPr>
          <w:p w14:paraId="7F4C6C03" w14:textId="77777777" w:rsidR="0089207C" w:rsidRPr="00AC3044" w:rsidRDefault="0089207C" w:rsidP="002D3EBF">
            <w:pPr>
              <w:rPr>
                <w:rFonts w:eastAsia="SimSun"/>
              </w:rPr>
            </w:pPr>
            <w:r w:rsidRPr="00AC3044">
              <w:rPr>
                <w:rFonts w:eastAsia="SimSun"/>
              </w:rPr>
              <w:t>Профилактика РТПХ</w:t>
            </w:r>
          </w:p>
        </w:tc>
        <w:tc>
          <w:tcPr>
            <w:tcW w:w="1843" w:type="dxa"/>
            <w:vAlign w:val="center"/>
          </w:tcPr>
          <w:p w14:paraId="31D8B8CF" w14:textId="77777777" w:rsidR="0089207C" w:rsidRPr="00AC3044" w:rsidRDefault="0089207C" w:rsidP="002D3EBF">
            <w:pPr>
              <w:rPr>
                <w:rFonts w:eastAsia="SimSun"/>
              </w:rPr>
            </w:pPr>
            <w:r w:rsidRPr="00AC3044">
              <w:rPr>
                <w:rFonts w:eastAsia="SimSun"/>
              </w:rPr>
              <w:t xml:space="preserve">Такролимус </w:t>
            </w:r>
          </w:p>
        </w:tc>
        <w:tc>
          <w:tcPr>
            <w:tcW w:w="1417" w:type="dxa"/>
            <w:vAlign w:val="center"/>
          </w:tcPr>
          <w:p w14:paraId="6236B1A4" w14:textId="77777777" w:rsidR="0089207C" w:rsidRPr="00AC3044" w:rsidRDefault="0089207C" w:rsidP="002D3EBF">
            <w:pPr>
              <w:rPr>
                <w:rFonts w:eastAsia="SimSun"/>
              </w:rPr>
            </w:pPr>
            <w:r w:rsidRPr="00AC3044">
              <w:rPr>
                <w:rFonts w:eastAsia="SimSun"/>
              </w:rPr>
              <w:t>0,03 мг/кг</w:t>
            </w:r>
          </w:p>
        </w:tc>
        <w:tc>
          <w:tcPr>
            <w:tcW w:w="1559" w:type="dxa"/>
            <w:vAlign w:val="center"/>
          </w:tcPr>
          <w:p w14:paraId="6749D59D" w14:textId="77777777" w:rsidR="0089207C" w:rsidRPr="00AC3044" w:rsidRDefault="0089207C" w:rsidP="002D3EBF">
            <w:pPr>
              <w:rPr>
                <w:rFonts w:eastAsia="SimSun"/>
              </w:rPr>
            </w:pPr>
            <w:r w:rsidRPr="00AC3044">
              <w:rPr>
                <w:rFonts w:eastAsia="SimSun"/>
              </w:rPr>
              <w:t>–</w:t>
            </w:r>
          </w:p>
        </w:tc>
        <w:tc>
          <w:tcPr>
            <w:tcW w:w="1560" w:type="dxa"/>
            <w:vAlign w:val="center"/>
          </w:tcPr>
          <w:p w14:paraId="1694DD9A" w14:textId="77777777" w:rsidR="0089207C" w:rsidRPr="00AC3044" w:rsidRDefault="0089207C" w:rsidP="002D3EBF">
            <w:pPr>
              <w:rPr>
                <w:rFonts w:eastAsia="SimSun"/>
              </w:rPr>
            </w:pPr>
            <w:r w:rsidRPr="00AC3044">
              <w:rPr>
                <w:rFonts w:eastAsia="SimSun"/>
              </w:rPr>
              <w:t xml:space="preserve">С -1 дня длительно </w:t>
            </w:r>
          </w:p>
        </w:tc>
        <w:tc>
          <w:tcPr>
            <w:tcW w:w="2268" w:type="dxa"/>
            <w:vAlign w:val="center"/>
          </w:tcPr>
          <w:p w14:paraId="68061032" w14:textId="77777777" w:rsidR="0089207C" w:rsidRPr="00AC3044" w:rsidRDefault="0089207C" w:rsidP="002D3EBF">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9207C" w:rsidRPr="00AC3044" w14:paraId="782B86F3" w14:textId="77777777" w:rsidTr="002D3EBF">
        <w:trPr>
          <w:cantSplit/>
          <w:trHeight w:val="538"/>
        </w:trPr>
        <w:tc>
          <w:tcPr>
            <w:tcW w:w="993" w:type="dxa"/>
            <w:vMerge/>
            <w:textDirection w:val="btLr"/>
            <w:vAlign w:val="center"/>
          </w:tcPr>
          <w:p w14:paraId="0E77F001" w14:textId="77777777" w:rsidR="0089207C" w:rsidRPr="00AC3044" w:rsidRDefault="0089207C" w:rsidP="002D3EBF">
            <w:pPr>
              <w:rPr>
                <w:rFonts w:eastAsia="SimSun"/>
              </w:rPr>
            </w:pPr>
          </w:p>
        </w:tc>
        <w:tc>
          <w:tcPr>
            <w:tcW w:w="1843" w:type="dxa"/>
            <w:vAlign w:val="center"/>
          </w:tcPr>
          <w:p w14:paraId="2A3EFD1A" w14:textId="77777777" w:rsidR="0089207C" w:rsidRPr="00AC3044" w:rsidRDefault="0089207C" w:rsidP="002D3EBF">
            <w:pPr>
              <w:rPr>
                <w:rFonts w:eastAsia="SimSun"/>
              </w:rPr>
            </w:pPr>
            <w:r w:rsidRPr="00AC3044">
              <w:rPr>
                <w:rFonts w:eastAsia="SimSun"/>
              </w:rPr>
              <w:t>Микофенолата мофетил</w:t>
            </w:r>
          </w:p>
        </w:tc>
        <w:tc>
          <w:tcPr>
            <w:tcW w:w="1417" w:type="dxa"/>
            <w:vAlign w:val="center"/>
          </w:tcPr>
          <w:p w14:paraId="4D80A4C3" w14:textId="77777777" w:rsidR="0089207C" w:rsidRPr="00AC3044" w:rsidRDefault="0089207C" w:rsidP="002D3EBF">
            <w:pPr>
              <w:rPr>
                <w:rFonts w:eastAsia="SimSun"/>
              </w:rPr>
            </w:pPr>
            <w:r w:rsidRPr="00AC3044">
              <w:rPr>
                <w:rFonts w:eastAsia="SimSun"/>
              </w:rPr>
              <w:t xml:space="preserve">30 мг/кг </w:t>
            </w:r>
          </w:p>
        </w:tc>
        <w:tc>
          <w:tcPr>
            <w:tcW w:w="1559" w:type="dxa"/>
            <w:vAlign w:val="center"/>
          </w:tcPr>
          <w:p w14:paraId="5B3DB045" w14:textId="77777777" w:rsidR="0089207C" w:rsidRPr="00AC3044" w:rsidRDefault="0089207C" w:rsidP="002D3EBF">
            <w:pPr>
              <w:rPr>
                <w:rFonts w:eastAsia="SimSun"/>
              </w:rPr>
            </w:pPr>
            <w:r w:rsidRPr="00AC3044">
              <w:rPr>
                <w:rFonts w:eastAsia="SimSun"/>
              </w:rPr>
              <w:t>–</w:t>
            </w:r>
          </w:p>
        </w:tc>
        <w:tc>
          <w:tcPr>
            <w:tcW w:w="1560" w:type="dxa"/>
            <w:vAlign w:val="center"/>
          </w:tcPr>
          <w:p w14:paraId="68A02254" w14:textId="77777777" w:rsidR="0089207C" w:rsidRPr="00AC3044" w:rsidRDefault="0089207C" w:rsidP="002D3EBF">
            <w:pPr>
              <w:rPr>
                <w:rFonts w:eastAsia="SimSun"/>
              </w:rPr>
            </w:pPr>
            <w:r w:rsidRPr="00AC3044">
              <w:rPr>
                <w:rFonts w:eastAsia="SimSun"/>
              </w:rPr>
              <w:t xml:space="preserve">С -1 дня по +30 день </w:t>
            </w:r>
          </w:p>
        </w:tc>
        <w:tc>
          <w:tcPr>
            <w:tcW w:w="2268" w:type="dxa"/>
            <w:vAlign w:val="center"/>
          </w:tcPr>
          <w:p w14:paraId="6251D37E" w14:textId="77777777" w:rsidR="0089207C" w:rsidRPr="00AC3044" w:rsidRDefault="0089207C" w:rsidP="002D3EBF">
            <w:pPr>
              <w:rPr>
                <w:rFonts w:eastAsia="SimSun"/>
              </w:rPr>
            </w:pPr>
            <w:r w:rsidRPr="00AC3044">
              <w:rPr>
                <w:rFonts w:eastAsia="SimSun"/>
              </w:rPr>
              <w:t>Внутрь, суммарная суточная доза разделяется на 2- 4 приема.</w:t>
            </w:r>
          </w:p>
        </w:tc>
      </w:tr>
    </w:tbl>
    <w:p w14:paraId="38E513FC" w14:textId="77777777" w:rsidR="0089207C" w:rsidRDefault="0089207C" w:rsidP="0089207C">
      <w:pPr>
        <w:rPr>
          <w:rFonts w:eastAsia="SimSun"/>
        </w:rPr>
      </w:pPr>
      <w:bookmarkStart w:id="220" w:name="_Toc44401169"/>
    </w:p>
    <w:p w14:paraId="473C8031" w14:textId="77777777" w:rsidR="0089207C" w:rsidRDefault="0089207C" w:rsidP="0089207C">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1.2.11  – Flu180+Bu8/ PT-Cy+CSA+MMF30</w:t>
      </w:r>
      <w:bookmarkEnd w:id="220"/>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417"/>
        <w:gridCol w:w="1701"/>
        <w:gridCol w:w="1418"/>
        <w:gridCol w:w="2246"/>
      </w:tblGrid>
      <w:tr w:rsidR="0089207C" w:rsidRPr="00AC3044" w14:paraId="06749A5B" w14:textId="77777777" w:rsidTr="002D3EBF">
        <w:trPr>
          <w:cantSplit/>
          <w:trHeight w:val="20"/>
          <w:tblHeader/>
        </w:trPr>
        <w:tc>
          <w:tcPr>
            <w:tcW w:w="959" w:type="dxa"/>
            <w:vAlign w:val="center"/>
          </w:tcPr>
          <w:p w14:paraId="770EA2E0" w14:textId="77777777" w:rsidR="0089207C" w:rsidRPr="00470D3D" w:rsidRDefault="0089207C" w:rsidP="002D3EBF">
            <w:pPr>
              <w:rPr>
                <w:rFonts w:eastAsia="SimSun"/>
              </w:rPr>
            </w:pPr>
          </w:p>
        </w:tc>
        <w:tc>
          <w:tcPr>
            <w:tcW w:w="1843" w:type="dxa"/>
            <w:vAlign w:val="center"/>
          </w:tcPr>
          <w:p w14:paraId="078B6BBB" w14:textId="77777777" w:rsidR="0089207C" w:rsidRPr="00AC3044" w:rsidRDefault="0089207C" w:rsidP="002D3EBF">
            <w:pPr>
              <w:rPr>
                <w:rFonts w:eastAsia="SimSun"/>
              </w:rPr>
            </w:pPr>
            <w:r w:rsidRPr="00AC3044">
              <w:rPr>
                <w:rFonts w:eastAsia="SimSun"/>
              </w:rPr>
              <w:t>Препарат</w:t>
            </w:r>
          </w:p>
        </w:tc>
        <w:tc>
          <w:tcPr>
            <w:tcW w:w="1417" w:type="dxa"/>
            <w:vAlign w:val="center"/>
          </w:tcPr>
          <w:p w14:paraId="0AB09E42" w14:textId="77777777" w:rsidR="0089207C" w:rsidRPr="00AC3044" w:rsidRDefault="0089207C" w:rsidP="002D3EBF">
            <w:pPr>
              <w:rPr>
                <w:rFonts w:eastAsia="SimSun"/>
              </w:rPr>
            </w:pPr>
            <w:r w:rsidRPr="00AC3044">
              <w:rPr>
                <w:rFonts w:eastAsia="SimSun"/>
              </w:rPr>
              <w:t>Суточная доза</w:t>
            </w:r>
          </w:p>
        </w:tc>
        <w:tc>
          <w:tcPr>
            <w:tcW w:w="1701" w:type="dxa"/>
            <w:vAlign w:val="center"/>
          </w:tcPr>
          <w:p w14:paraId="34B3FBBB" w14:textId="77777777" w:rsidR="0089207C" w:rsidRPr="00AC3044" w:rsidRDefault="0089207C" w:rsidP="002D3EBF">
            <w:pPr>
              <w:rPr>
                <w:rFonts w:eastAsia="SimSun"/>
              </w:rPr>
            </w:pPr>
            <w:r w:rsidRPr="00AC3044">
              <w:rPr>
                <w:rFonts w:eastAsia="SimSun"/>
              </w:rPr>
              <w:t>Курсовая доза</w:t>
            </w:r>
          </w:p>
        </w:tc>
        <w:tc>
          <w:tcPr>
            <w:tcW w:w="1418" w:type="dxa"/>
            <w:vAlign w:val="center"/>
          </w:tcPr>
          <w:p w14:paraId="77CCFFC9" w14:textId="77777777" w:rsidR="0089207C" w:rsidRPr="00AC3044" w:rsidRDefault="0089207C" w:rsidP="002D3EBF">
            <w:pPr>
              <w:rPr>
                <w:rFonts w:eastAsia="SimSun"/>
              </w:rPr>
            </w:pPr>
            <w:r w:rsidRPr="00AC3044">
              <w:rPr>
                <w:rFonts w:eastAsia="SimSun"/>
              </w:rPr>
              <w:t>Дни введения</w:t>
            </w:r>
          </w:p>
        </w:tc>
        <w:tc>
          <w:tcPr>
            <w:tcW w:w="2246" w:type="dxa"/>
            <w:vAlign w:val="center"/>
          </w:tcPr>
          <w:p w14:paraId="0E7DAD78"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4D6DB632" w14:textId="77777777" w:rsidTr="002D3EBF">
        <w:trPr>
          <w:cantSplit/>
          <w:trHeight w:val="20"/>
        </w:trPr>
        <w:tc>
          <w:tcPr>
            <w:tcW w:w="959" w:type="dxa"/>
            <w:vMerge w:val="restart"/>
            <w:textDirection w:val="btLr"/>
            <w:vAlign w:val="center"/>
          </w:tcPr>
          <w:p w14:paraId="42524CA8" w14:textId="77777777" w:rsidR="0089207C" w:rsidRPr="00AC3044" w:rsidRDefault="0089207C" w:rsidP="002D3EBF">
            <w:pPr>
              <w:rPr>
                <w:rFonts w:eastAsia="SimSun"/>
              </w:rPr>
            </w:pPr>
            <w:r w:rsidRPr="00AC3044">
              <w:rPr>
                <w:rFonts w:eastAsia="SimSun"/>
              </w:rPr>
              <w:t>Кондиционирование</w:t>
            </w:r>
          </w:p>
        </w:tc>
        <w:tc>
          <w:tcPr>
            <w:tcW w:w="1843" w:type="dxa"/>
            <w:vAlign w:val="center"/>
          </w:tcPr>
          <w:p w14:paraId="6A539A54" w14:textId="77777777" w:rsidR="0089207C" w:rsidRPr="00AC3044" w:rsidRDefault="0089207C" w:rsidP="002D3EBF">
            <w:pPr>
              <w:rPr>
                <w:rFonts w:eastAsia="SimSun"/>
              </w:rPr>
            </w:pPr>
            <w:r w:rsidRPr="00AC3044">
              <w:rPr>
                <w:rFonts w:eastAsia="SimSun"/>
              </w:rPr>
              <w:t xml:space="preserve">Флударабин </w:t>
            </w:r>
          </w:p>
        </w:tc>
        <w:tc>
          <w:tcPr>
            <w:tcW w:w="1417" w:type="dxa"/>
            <w:vAlign w:val="center"/>
          </w:tcPr>
          <w:p w14:paraId="2454656E" w14:textId="77777777" w:rsidR="0089207C" w:rsidRPr="00AC3044" w:rsidRDefault="0089207C" w:rsidP="002D3EBF">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54C3E96D" w14:textId="77777777" w:rsidR="0089207C" w:rsidRPr="00AC3044" w:rsidRDefault="0089207C" w:rsidP="002D3EBF">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7ADEEAD6" w14:textId="77777777" w:rsidR="0089207C" w:rsidRPr="00AC3044" w:rsidRDefault="0089207C" w:rsidP="002D3EBF">
            <w:pPr>
              <w:rPr>
                <w:rFonts w:eastAsia="SimSun"/>
              </w:rPr>
            </w:pPr>
            <w:r w:rsidRPr="00AC3044">
              <w:rPr>
                <w:rFonts w:eastAsia="SimSun"/>
              </w:rPr>
              <w:t>С -7 дня по -2 день</w:t>
            </w:r>
          </w:p>
        </w:tc>
        <w:tc>
          <w:tcPr>
            <w:tcW w:w="2246" w:type="dxa"/>
            <w:vAlign w:val="center"/>
          </w:tcPr>
          <w:p w14:paraId="54E417B1"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0CA60E70" w14:textId="77777777" w:rsidTr="002D3EBF">
        <w:trPr>
          <w:cantSplit/>
          <w:trHeight w:val="550"/>
        </w:trPr>
        <w:tc>
          <w:tcPr>
            <w:tcW w:w="959" w:type="dxa"/>
            <w:vMerge/>
            <w:vAlign w:val="center"/>
          </w:tcPr>
          <w:p w14:paraId="04F36E4A" w14:textId="77777777" w:rsidR="0089207C" w:rsidRPr="00AC3044" w:rsidRDefault="0089207C" w:rsidP="002D3EBF">
            <w:pPr>
              <w:rPr>
                <w:rFonts w:eastAsia="SimSun"/>
              </w:rPr>
            </w:pPr>
          </w:p>
        </w:tc>
        <w:tc>
          <w:tcPr>
            <w:tcW w:w="1843" w:type="dxa"/>
            <w:vAlign w:val="center"/>
          </w:tcPr>
          <w:p w14:paraId="09DAC35C" w14:textId="77777777" w:rsidR="0089207C" w:rsidRPr="00AC3044" w:rsidRDefault="0089207C" w:rsidP="002D3EBF">
            <w:pPr>
              <w:rPr>
                <w:rFonts w:eastAsia="SimSun"/>
              </w:rPr>
            </w:pPr>
            <w:r w:rsidRPr="00AC3044">
              <w:rPr>
                <w:rFonts w:eastAsia="SimSun"/>
              </w:rPr>
              <w:t>Бусульфан</w:t>
            </w:r>
          </w:p>
        </w:tc>
        <w:tc>
          <w:tcPr>
            <w:tcW w:w="1417" w:type="dxa"/>
            <w:vAlign w:val="center"/>
          </w:tcPr>
          <w:p w14:paraId="288555EC" w14:textId="77777777" w:rsidR="0089207C" w:rsidRPr="00AC3044" w:rsidRDefault="0089207C" w:rsidP="002D3EBF">
            <w:pPr>
              <w:rPr>
                <w:rFonts w:eastAsia="SimSun"/>
              </w:rPr>
            </w:pPr>
            <w:r w:rsidRPr="00AC3044">
              <w:rPr>
                <w:rFonts w:eastAsia="SimSun"/>
              </w:rPr>
              <w:t xml:space="preserve">4 мг/кг </w:t>
            </w:r>
          </w:p>
        </w:tc>
        <w:tc>
          <w:tcPr>
            <w:tcW w:w="1701" w:type="dxa"/>
            <w:vAlign w:val="center"/>
          </w:tcPr>
          <w:p w14:paraId="1E3E0CBD" w14:textId="77777777" w:rsidR="0089207C" w:rsidRPr="00AC3044" w:rsidRDefault="0089207C" w:rsidP="002D3EBF">
            <w:pPr>
              <w:rPr>
                <w:rFonts w:eastAsia="SimSun"/>
              </w:rPr>
            </w:pPr>
            <w:r w:rsidRPr="00AC3044">
              <w:rPr>
                <w:rFonts w:eastAsia="SimSun"/>
              </w:rPr>
              <w:t xml:space="preserve">8 мг/кг </w:t>
            </w:r>
          </w:p>
        </w:tc>
        <w:tc>
          <w:tcPr>
            <w:tcW w:w="1418" w:type="dxa"/>
            <w:vAlign w:val="center"/>
          </w:tcPr>
          <w:p w14:paraId="4D7B6582" w14:textId="77777777" w:rsidR="0089207C" w:rsidRPr="00AC3044" w:rsidRDefault="0089207C" w:rsidP="002D3EBF">
            <w:pPr>
              <w:rPr>
                <w:rFonts w:eastAsia="SimSun"/>
              </w:rPr>
            </w:pPr>
            <w:r w:rsidRPr="00AC3044">
              <w:rPr>
                <w:rFonts w:eastAsia="SimSun"/>
              </w:rPr>
              <w:t>С -4 дня по -3 день</w:t>
            </w:r>
          </w:p>
        </w:tc>
        <w:tc>
          <w:tcPr>
            <w:tcW w:w="2246" w:type="dxa"/>
            <w:vAlign w:val="center"/>
          </w:tcPr>
          <w:p w14:paraId="11F20492"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w:t>
            </w:r>
          </w:p>
        </w:tc>
      </w:tr>
      <w:tr w:rsidR="0089207C" w:rsidRPr="00AC3044" w14:paraId="3008D908" w14:textId="77777777" w:rsidTr="002D3EBF">
        <w:trPr>
          <w:cantSplit/>
          <w:trHeight w:val="1498"/>
        </w:trPr>
        <w:tc>
          <w:tcPr>
            <w:tcW w:w="959" w:type="dxa"/>
            <w:vMerge w:val="restart"/>
            <w:textDirection w:val="btLr"/>
            <w:vAlign w:val="center"/>
          </w:tcPr>
          <w:p w14:paraId="59849768" w14:textId="77777777" w:rsidR="0089207C" w:rsidRPr="00AC3044" w:rsidRDefault="0089207C" w:rsidP="002D3EBF">
            <w:pPr>
              <w:rPr>
                <w:rFonts w:eastAsia="SimSun"/>
              </w:rPr>
            </w:pPr>
            <w:r w:rsidRPr="00AC3044">
              <w:rPr>
                <w:rFonts w:eastAsia="SimSun"/>
              </w:rPr>
              <w:t>Профилактика РТПХ</w:t>
            </w:r>
          </w:p>
        </w:tc>
        <w:tc>
          <w:tcPr>
            <w:tcW w:w="1843" w:type="dxa"/>
            <w:vAlign w:val="center"/>
          </w:tcPr>
          <w:p w14:paraId="4EB15DE0" w14:textId="77777777" w:rsidR="0089207C" w:rsidRPr="00AC3044" w:rsidRDefault="0089207C" w:rsidP="002D3EBF">
            <w:pPr>
              <w:rPr>
                <w:rFonts w:eastAsia="SimSun"/>
              </w:rPr>
            </w:pPr>
            <w:r w:rsidRPr="00AC3044">
              <w:rPr>
                <w:rFonts w:eastAsia="SimSun"/>
              </w:rPr>
              <w:t>Циклофосфамид</w:t>
            </w:r>
          </w:p>
        </w:tc>
        <w:tc>
          <w:tcPr>
            <w:tcW w:w="1417" w:type="dxa"/>
            <w:vAlign w:val="center"/>
          </w:tcPr>
          <w:p w14:paraId="056B4633" w14:textId="77777777" w:rsidR="0089207C" w:rsidRPr="00AC3044" w:rsidRDefault="0089207C" w:rsidP="002D3EBF">
            <w:pPr>
              <w:rPr>
                <w:rFonts w:eastAsia="SimSun"/>
              </w:rPr>
            </w:pPr>
            <w:r w:rsidRPr="00AC3044">
              <w:rPr>
                <w:rFonts w:eastAsia="SimSun"/>
              </w:rPr>
              <w:t>50 мг/кг</w:t>
            </w:r>
          </w:p>
        </w:tc>
        <w:tc>
          <w:tcPr>
            <w:tcW w:w="1701" w:type="dxa"/>
            <w:vAlign w:val="center"/>
          </w:tcPr>
          <w:p w14:paraId="7F70D49C" w14:textId="77777777" w:rsidR="0089207C" w:rsidRPr="00AC3044" w:rsidRDefault="0089207C" w:rsidP="002D3EBF">
            <w:pPr>
              <w:rPr>
                <w:rFonts w:eastAsia="SimSun"/>
              </w:rPr>
            </w:pPr>
            <w:r w:rsidRPr="00AC3044">
              <w:rPr>
                <w:rFonts w:eastAsia="SimSun"/>
              </w:rPr>
              <w:t>100 мг/кг</w:t>
            </w:r>
          </w:p>
        </w:tc>
        <w:tc>
          <w:tcPr>
            <w:tcW w:w="1418" w:type="dxa"/>
            <w:vAlign w:val="center"/>
          </w:tcPr>
          <w:p w14:paraId="26996CD2" w14:textId="77777777" w:rsidR="0089207C" w:rsidRPr="00AC3044" w:rsidRDefault="0089207C" w:rsidP="002D3EBF">
            <w:pPr>
              <w:rPr>
                <w:rFonts w:eastAsia="SimSun"/>
              </w:rPr>
            </w:pPr>
            <w:r w:rsidRPr="00AC3044">
              <w:rPr>
                <w:rFonts w:eastAsia="SimSun"/>
              </w:rPr>
              <w:t>В +3 день  и +5 день</w:t>
            </w:r>
          </w:p>
        </w:tc>
        <w:tc>
          <w:tcPr>
            <w:tcW w:w="2246" w:type="dxa"/>
            <w:vAlign w:val="center"/>
          </w:tcPr>
          <w:p w14:paraId="66F06969"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69E9263D" w14:textId="77777777" w:rsidTr="002D3EBF">
        <w:trPr>
          <w:cantSplit/>
          <w:trHeight w:val="958"/>
        </w:trPr>
        <w:tc>
          <w:tcPr>
            <w:tcW w:w="959" w:type="dxa"/>
            <w:vMerge/>
            <w:textDirection w:val="btLr"/>
            <w:vAlign w:val="center"/>
          </w:tcPr>
          <w:p w14:paraId="5E7AD35C" w14:textId="77777777" w:rsidR="0089207C" w:rsidRPr="00AC3044" w:rsidRDefault="0089207C" w:rsidP="002D3EBF">
            <w:pPr>
              <w:rPr>
                <w:rFonts w:eastAsia="SimSun"/>
              </w:rPr>
            </w:pPr>
          </w:p>
        </w:tc>
        <w:tc>
          <w:tcPr>
            <w:tcW w:w="1843" w:type="dxa"/>
            <w:vAlign w:val="center"/>
          </w:tcPr>
          <w:p w14:paraId="290B46E4" w14:textId="77777777" w:rsidR="0089207C" w:rsidRPr="00AC3044" w:rsidRDefault="0089207C" w:rsidP="002D3EBF">
            <w:pPr>
              <w:rPr>
                <w:rFonts w:eastAsia="SimSun"/>
              </w:rPr>
            </w:pPr>
            <w:r w:rsidRPr="00AC3044">
              <w:rPr>
                <w:rFonts w:eastAsia="SimSun"/>
              </w:rPr>
              <w:t>Микофенолата мофетил</w:t>
            </w:r>
          </w:p>
        </w:tc>
        <w:tc>
          <w:tcPr>
            <w:tcW w:w="1417" w:type="dxa"/>
            <w:vAlign w:val="center"/>
          </w:tcPr>
          <w:p w14:paraId="30AB63D5" w14:textId="77777777" w:rsidR="0089207C" w:rsidRPr="00AC3044" w:rsidRDefault="0089207C" w:rsidP="002D3EBF">
            <w:pPr>
              <w:rPr>
                <w:rFonts w:eastAsia="SimSun"/>
              </w:rPr>
            </w:pPr>
            <w:r w:rsidRPr="00AC3044">
              <w:rPr>
                <w:rFonts w:eastAsia="SimSun"/>
              </w:rPr>
              <w:t xml:space="preserve">30 мг/кг </w:t>
            </w:r>
          </w:p>
        </w:tc>
        <w:tc>
          <w:tcPr>
            <w:tcW w:w="1701" w:type="dxa"/>
            <w:vAlign w:val="center"/>
          </w:tcPr>
          <w:p w14:paraId="3A21B566" w14:textId="77777777" w:rsidR="0089207C" w:rsidRPr="00AC3044" w:rsidRDefault="0089207C" w:rsidP="002D3EBF">
            <w:pPr>
              <w:rPr>
                <w:rFonts w:eastAsia="SimSun"/>
              </w:rPr>
            </w:pPr>
            <w:r w:rsidRPr="00AC3044">
              <w:rPr>
                <w:rFonts w:eastAsia="SimSun"/>
              </w:rPr>
              <w:t>–</w:t>
            </w:r>
          </w:p>
        </w:tc>
        <w:tc>
          <w:tcPr>
            <w:tcW w:w="1418" w:type="dxa"/>
            <w:vAlign w:val="center"/>
          </w:tcPr>
          <w:p w14:paraId="3A38EDC9" w14:textId="77777777" w:rsidR="0089207C" w:rsidRPr="00AC3044" w:rsidRDefault="0089207C" w:rsidP="002D3EBF">
            <w:pPr>
              <w:rPr>
                <w:rFonts w:eastAsia="SimSun"/>
              </w:rPr>
            </w:pPr>
            <w:r w:rsidRPr="00AC3044">
              <w:rPr>
                <w:rFonts w:eastAsia="SimSun"/>
              </w:rPr>
              <w:t xml:space="preserve">С +1 дня по +28 день </w:t>
            </w:r>
          </w:p>
        </w:tc>
        <w:tc>
          <w:tcPr>
            <w:tcW w:w="2246" w:type="dxa"/>
            <w:vAlign w:val="center"/>
          </w:tcPr>
          <w:p w14:paraId="350708CB" w14:textId="77777777" w:rsidR="0089207C" w:rsidRPr="00AC3044" w:rsidRDefault="0089207C" w:rsidP="002D3EBF">
            <w:pPr>
              <w:rPr>
                <w:rFonts w:eastAsia="SimSun"/>
              </w:rPr>
            </w:pPr>
            <w:r w:rsidRPr="00AC3044">
              <w:rPr>
                <w:rFonts w:eastAsia="SimSun"/>
              </w:rPr>
              <w:t>Внутрь, суммарная суточная доза разделяется на 2- 4 приема.</w:t>
            </w:r>
          </w:p>
        </w:tc>
      </w:tr>
      <w:tr w:rsidR="0089207C" w:rsidRPr="00AC3044" w14:paraId="14220240" w14:textId="77777777" w:rsidTr="002D3EBF">
        <w:trPr>
          <w:cantSplit/>
          <w:trHeight w:val="958"/>
        </w:trPr>
        <w:tc>
          <w:tcPr>
            <w:tcW w:w="959" w:type="dxa"/>
            <w:vMerge/>
            <w:textDirection w:val="btLr"/>
            <w:vAlign w:val="center"/>
          </w:tcPr>
          <w:p w14:paraId="306CF1D7" w14:textId="77777777" w:rsidR="0089207C" w:rsidRPr="00AC3044" w:rsidRDefault="0089207C" w:rsidP="002D3EBF">
            <w:pPr>
              <w:rPr>
                <w:rFonts w:eastAsia="SimSun"/>
              </w:rPr>
            </w:pPr>
          </w:p>
        </w:tc>
        <w:tc>
          <w:tcPr>
            <w:tcW w:w="1843" w:type="dxa"/>
            <w:vAlign w:val="center"/>
          </w:tcPr>
          <w:p w14:paraId="5E868C5C" w14:textId="77777777" w:rsidR="0089207C" w:rsidRPr="00AC3044" w:rsidRDefault="0089207C" w:rsidP="002D3EBF">
            <w:pPr>
              <w:rPr>
                <w:rFonts w:eastAsia="SimSun"/>
              </w:rPr>
            </w:pPr>
            <w:r w:rsidRPr="00AC3044">
              <w:rPr>
                <w:rFonts w:eastAsia="SimSun"/>
              </w:rPr>
              <w:t>Циклоспорин А</w:t>
            </w:r>
          </w:p>
        </w:tc>
        <w:tc>
          <w:tcPr>
            <w:tcW w:w="1417" w:type="dxa"/>
            <w:vAlign w:val="center"/>
          </w:tcPr>
          <w:p w14:paraId="6AC39BA8" w14:textId="77777777" w:rsidR="0089207C" w:rsidRPr="00AC3044" w:rsidRDefault="0089207C" w:rsidP="002D3EBF">
            <w:pPr>
              <w:rPr>
                <w:rFonts w:eastAsia="SimSun"/>
              </w:rPr>
            </w:pPr>
            <w:r w:rsidRPr="00AC3044">
              <w:rPr>
                <w:rFonts w:eastAsia="SimSun"/>
              </w:rPr>
              <w:t>3  мг/кг</w:t>
            </w:r>
          </w:p>
        </w:tc>
        <w:tc>
          <w:tcPr>
            <w:tcW w:w="1701" w:type="dxa"/>
            <w:vAlign w:val="center"/>
          </w:tcPr>
          <w:p w14:paraId="6D376DFF" w14:textId="77777777" w:rsidR="0089207C" w:rsidRPr="00AC3044" w:rsidRDefault="0089207C" w:rsidP="002D3EBF">
            <w:pPr>
              <w:rPr>
                <w:rFonts w:eastAsia="SimSun"/>
              </w:rPr>
            </w:pPr>
            <w:r w:rsidRPr="00AC3044">
              <w:rPr>
                <w:rFonts w:eastAsia="SimSun"/>
              </w:rPr>
              <w:t>-</w:t>
            </w:r>
          </w:p>
        </w:tc>
        <w:tc>
          <w:tcPr>
            <w:tcW w:w="1418" w:type="dxa"/>
            <w:vAlign w:val="center"/>
          </w:tcPr>
          <w:p w14:paraId="0283B40B" w14:textId="77777777" w:rsidR="0089207C" w:rsidRPr="00AC3044" w:rsidRDefault="0089207C" w:rsidP="002D3EBF">
            <w:pPr>
              <w:rPr>
                <w:rFonts w:eastAsia="SimSun"/>
              </w:rPr>
            </w:pPr>
            <w:r w:rsidRPr="00AC3044">
              <w:rPr>
                <w:rFonts w:eastAsia="SimSun"/>
              </w:rPr>
              <w:t xml:space="preserve">С -1 дня по +100 день </w:t>
            </w:r>
          </w:p>
        </w:tc>
        <w:tc>
          <w:tcPr>
            <w:tcW w:w="2246" w:type="dxa"/>
            <w:vAlign w:val="center"/>
          </w:tcPr>
          <w:p w14:paraId="119ECCC3" w14:textId="77777777" w:rsidR="0089207C" w:rsidRPr="00AC3044" w:rsidRDefault="0089207C" w:rsidP="002D3EBF">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77BD1E93" w14:textId="77777777" w:rsidR="0089207C" w:rsidRDefault="0089207C" w:rsidP="0089207C">
      <w:pPr>
        <w:rPr>
          <w:rFonts w:eastAsia="SimSun"/>
        </w:rPr>
      </w:pPr>
    </w:p>
    <w:p w14:paraId="2D4AD8A0" w14:textId="77777777" w:rsidR="0089207C" w:rsidRPr="00C07B2E" w:rsidRDefault="0089207C" w:rsidP="0089207C">
      <w:pPr>
        <w:rPr>
          <w:rFonts w:eastAsia="SimSun"/>
        </w:rPr>
      </w:pPr>
      <w:bookmarkStart w:id="221" w:name="_Toc44401170"/>
      <w:r w:rsidRPr="00042499">
        <w:rPr>
          <w:rFonts w:eastAsia="SimSun"/>
        </w:rPr>
        <w:t>Таблица</w:t>
      </w:r>
      <w:r w:rsidRPr="00C07B2E">
        <w:rPr>
          <w:rFonts w:eastAsia="SimSun"/>
        </w:rPr>
        <w:t xml:space="preserve"> </w:t>
      </w:r>
      <w:r>
        <w:rPr>
          <w:rFonts w:eastAsia="SimSun"/>
        </w:rPr>
        <w:t>5.</w:t>
      </w:r>
      <w:r w:rsidRPr="00C07B2E">
        <w:rPr>
          <w:rFonts w:eastAsia="SimSun"/>
        </w:rPr>
        <w:t>1.2.12  – Flu180+Bu10 / PT-Cy+Ruxo</w:t>
      </w:r>
      <w:bookmarkEnd w:id="221"/>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417"/>
        <w:gridCol w:w="1701"/>
        <w:gridCol w:w="1418"/>
        <w:gridCol w:w="2268"/>
      </w:tblGrid>
      <w:tr w:rsidR="0089207C" w:rsidRPr="00AC3044" w14:paraId="32D81DCF" w14:textId="77777777" w:rsidTr="002D3EBF">
        <w:trPr>
          <w:cantSplit/>
          <w:trHeight w:val="20"/>
          <w:tblHeader/>
        </w:trPr>
        <w:tc>
          <w:tcPr>
            <w:tcW w:w="959" w:type="dxa"/>
            <w:vAlign w:val="center"/>
          </w:tcPr>
          <w:p w14:paraId="2B654945" w14:textId="77777777" w:rsidR="0089207C" w:rsidRPr="00470D3D" w:rsidRDefault="0089207C" w:rsidP="002D3EBF">
            <w:pPr>
              <w:rPr>
                <w:rFonts w:eastAsia="SimSun"/>
              </w:rPr>
            </w:pPr>
          </w:p>
        </w:tc>
        <w:tc>
          <w:tcPr>
            <w:tcW w:w="1843" w:type="dxa"/>
            <w:vAlign w:val="center"/>
          </w:tcPr>
          <w:p w14:paraId="67B8990E" w14:textId="77777777" w:rsidR="0089207C" w:rsidRPr="00AC3044" w:rsidRDefault="0089207C" w:rsidP="002D3EBF">
            <w:pPr>
              <w:rPr>
                <w:rFonts w:eastAsia="SimSun"/>
              </w:rPr>
            </w:pPr>
            <w:r w:rsidRPr="00AC3044">
              <w:rPr>
                <w:rFonts w:eastAsia="SimSun"/>
              </w:rPr>
              <w:t>Препарат</w:t>
            </w:r>
          </w:p>
        </w:tc>
        <w:tc>
          <w:tcPr>
            <w:tcW w:w="1417" w:type="dxa"/>
            <w:vAlign w:val="center"/>
          </w:tcPr>
          <w:p w14:paraId="2FD4A8BF" w14:textId="77777777" w:rsidR="0089207C" w:rsidRPr="00AC3044" w:rsidRDefault="0089207C" w:rsidP="002D3EBF">
            <w:pPr>
              <w:rPr>
                <w:rFonts w:eastAsia="SimSun"/>
              </w:rPr>
            </w:pPr>
            <w:r w:rsidRPr="00AC3044">
              <w:rPr>
                <w:rFonts w:eastAsia="SimSun"/>
              </w:rPr>
              <w:t>Суточная доза</w:t>
            </w:r>
          </w:p>
        </w:tc>
        <w:tc>
          <w:tcPr>
            <w:tcW w:w="1701" w:type="dxa"/>
            <w:vAlign w:val="center"/>
          </w:tcPr>
          <w:p w14:paraId="0C5A6821" w14:textId="77777777" w:rsidR="0089207C" w:rsidRPr="00AC3044" w:rsidRDefault="0089207C" w:rsidP="002D3EBF">
            <w:pPr>
              <w:rPr>
                <w:rFonts w:eastAsia="SimSun"/>
              </w:rPr>
            </w:pPr>
            <w:r w:rsidRPr="00AC3044">
              <w:rPr>
                <w:rFonts w:eastAsia="SimSun"/>
              </w:rPr>
              <w:t>Курсовая доза</w:t>
            </w:r>
          </w:p>
        </w:tc>
        <w:tc>
          <w:tcPr>
            <w:tcW w:w="1418" w:type="dxa"/>
            <w:vAlign w:val="center"/>
          </w:tcPr>
          <w:p w14:paraId="03596B12"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186D440B"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3AAAE092" w14:textId="77777777" w:rsidTr="002D3EBF">
        <w:trPr>
          <w:cantSplit/>
          <w:trHeight w:val="20"/>
        </w:trPr>
        <w:tc>
          <w:tcPr>
            <w:tcW w:w="959" w:type="dxa"/>
            <w:vMerge w:val="restart"/>
            <w:textDirection w:val="btLr"/>
            <w:vAlign w:val="center"/>
          </w:tcPr>
          <w:p w14:paraId="27FC5070" w14:textId="77777777" w:rsidR="0089207C" w:rsidRPr="00AC3044" w:rsidRDefault="0089207C" w:rsidP="002D3EBF">
            <w:pPr>
              <w:rPr>
                <w:rFonts w:eastAsia="SimSun"/>
              </w:rPr>
            </w:pPr>
            <w:r w:rsidRPr="00AC3044">
              <w:rPr>
                <w:rFonts w:eastAsia="SimSun"/>
              </w:rPr>
              <w:t>Кондиционирование</w:t>
            </w:r>
          </w:p>
        </w:tc>
        <w:tc>
          <w:tcPr>
            <w:tcW w:w="1843" w:type="dxa"/>
            <w:vAlign w:val="center"/>
          </w:tcPr>
          <w:p w14:paraId="15A6A20C" w14:textId="77777777" w:rsidR="0089207C" w:rsidRPr="00AC3044" w:rsidRDefault="0089207C" w:rsidP="002D3EBF">
            <w:pPr>
              <w:rPr>
                <w:rFonts w:eastAsia="SimSun"/>
              </w:rPr>
            </w:pPr>
            <w:r w:rsidRPr="00AC3044">
              <w:rPr>
                <w:rFonts w:eastAsia="SimSun"/>
              </w:rPr>
              <w:t xml:space="preserve">Флударабин </w:t>
            </w:r>
          </w:p>
        </w:tc>
        <w:tc>
          <w:tcPr>
            <w:tcW w:w="1417" w:type="dxa"/>
            <w:vAlign w:val="center"/>
          </w:tcPr>
          <w:p w14:paraId="34A3532B" w14:textId="77777777" w:rsidR="0089207C" w:rsidRPr="00AC3044" w:rsidRDefault="0089207C" w:rsidP="002D3EBF">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78BA63EC" w14:textId="77777777" w:rsidR="0089207C" w:rsidRPr="00AC3044" w:rsidRDefault="0089207C" w:rsidP="002D3EBF">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219843A1" w14:textId="77777777" w:rsidR="0089207C" w:rsidRPr="00AC3044" w:rsidRDefault="0089207C" w:rsidP="002D3EBF">
            <w:pPr>
              <w:rPr>
                <w:rFonts w:eastAsia="SimSun"/>
              </w:rPr>
            </w:pPr>
            <w:r w:rsidRPr="00AC3044">
              <w:rPr>
                <w:rFonts w:eastAsia="SimSun"/>
              </w:rPr>
              <w:t>С -7 дня по -2 день</w:t>
            </w:r>
          </w:p>
        </w:tc>
        <w:tc>
          <w:tcPr>
            <w:tcW w:w="2268" w:type="dxa"/>
            <w:vAlign w:val="center"/>
          </w:tcPr>
          <w:p w14:paraId="69674ABB"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7A351C3E" w14:textId="77777777" w:rsidTr="002D3EBF">
        <w:trPr>
          <w:cantSplit/>
          <w:trHeight w:val="998"/>
        </w:trPr>
        <w:tc>
          <w:tcPr>
            <w:tcW w:w="959" w:type="dxa"/>
            <w:vMerge/>
            <w:vAlign w:val="center"/>
          </w:tcPr>
          <w:p w14:paraId="48760573" w14:textId="77777777" w:rsidR="0089207C" w:rsidRPr="00AC3044" w:rsidRDefault="0089207C" w:rsidP="002D3EBF">
            <w:pPr>
              <w:rPr>
                <w:rFonts w:eastAsia="SimSun"/>
              </w:rPr>
            </w:pPr>
          </w:p>
        </w:tc>
        <w:tc>
          <w:tcPr>
            <w:tcW w:w="1843" w:type="dxa"/>
            <w:vAlign w:val="center"/>
          </w:tcPr>
          <w:p w14:paraId="72BBE065" w14:textId="77777777" w:rsidR="0089207C" w:rsidRPr="00AC3044" w:rsidRDefault="0089207C" w:rsidP="002D3EBF">
            <w:pPr>
              <w:rPr>
                <w:rFonts w:eastAsia="SimSun"/>
              </w:rPr>
            </w:pPr>
            <w:r w:rsidRPr="00AC3044">
              <w:rPr>
                <w:rFonts w:eastAsia="SimSun"/>
              </w:rPr>
              <w:t>Бусульфан</w:t>
            </w:r>
          </w:p>
        </w:tc>
        <w:tc>
          <w:tcPr>
            <w:tcW w:w="1417" w:type="dxa"/>
            <w:vAlign w:val="center"/>
          </w:tcPr>
          <w:p w14:paraId="2C9C77CE" w14:textId="77777777" w:rsidR="0089207C" w:rsidRPr="00AC3044" w:rsidRDefault="0089207C" w:rsidP="002D3EBF">
            <w:pPr>
              <w:rPr>
                <w:rFonts w:eastAsia="SimSun"/>
              </w:rPr>
            </w:pPr>
            <w:r w:rsidRPr="00AC3044">
              <w:rPr>
                <w:rFonts w:eastAsia="SimSun"/>
              </w:rPr>
              <w:t xml:space="preserve">4 мг/кг </w:t>
            </w:r>
          </w:p>
        </w:tc>
        <w:tc>
          <w:tcPr>
            <w:tcW w:w="1701" w:type="dxa"/>
            <w:vAlign w:val="center"/>
          </w:tcPr>
          <w:p w14:paraId="09ACF015" w14:textId="77777777" w:rsidR="0089207C" w:rsidRPr="00AC3044" w:rsidRDefault="0089207C" w:rsidP="002D3EBF">
            <w:pPr>
              <w:rPr>
                <w:rFonts w:eastAsia="SimSun"/>
              </w:rPr>
            </w:pPr>
            <w:r w:rsidRPr="00AC3044">
              <w:rPr>
                <w:rFonts w:eastAsia="SimSun"/>
              </w:rPr>
              <w:t xml:space="preserve">10 мг/кг </w:t>
            </w:r>
          </w:p>
        </w:tc>
        <w:tc>
          <w:tcPr>
            <w:tcW w:w="1418" w:type="dxa"/>
            <w:vAlign w:val="center"/>
          </w:tcPr>
          <w:p w14:paraId="4A830BBA" w14:textId="77777777" w:rsidR="0089207C" w:rsidRPr="00AC3044" w:rsidRDefault="0089207C" w:rsidP="002D3EBF">
            <w:pPr>
              <w:rPr>
                <w:rFonts w:eastAsia="SimSun"/>
              </w:rPr>
            </w:pPr>
            <w:r w:rsidRPr="00AC3044">
              <w:rPr>
                <w:rFonts w:eastAsia="SimSun"/>
              </w:rPr>
              <w:t>С -5 дня по -3 день</w:t>
            </w:r>
          </w:p>
        </w:tc>
        <w:tc>
          <w:tcPr>
            <w:tcW w:w="2268" w:type="dxa"/>
            <w:vAlign w:val="center"/>
          </w:tcPr>
          <w:p w14:paraId="2065BDF5" w14:textId="77777777" w:rsidR="0089207C" w:rsidRPr="00470D3D" w:rsidRDefault="0089207C" w:rsidP="002D3EBF">
            <w:pPr>
              <w:rPr>
                <w:rFonts w:eastAsia="SimSun"/>
              </w:rPr>
            </w:pPr>
            <w:r w:rsidRPr="00AC3044">
              <w:rPr>
                <w:rFonts w:eastAsia="SimSun"/>
              </w:rPr>
              <w:t xml:space="preserve">Внутрь, суммарная суточная доза разделяется на 4 приема с интервалом 6 часов. </w:t>
            </w:r>
            <w:r w:rsidRPr="00470D3D">
              <w:rPr>
                <w:rFonts w:eastAsia="SimSun"/>
              </w:rPr>
              <w:t>День -6: бусульфан разделяется на 2 приема с интервалом 6 часов, в вечернее время (18.00, 24.00)</w:t>
            </w:r>
          </w:p>
        </w:tc>
      </w:tr>
      <w:tr w:rsidR="0089207C" w:rsidRPr="00AC3044" w14:paraId="485E0668" w14:textId="77777777" w:rsidTr="002D3EBF">
        <w:trPr>
          <w:cantSplit/>
          <w:trHeight w:val="636"/>
        </w:trPr>
        <w:tc>
          <w:tcPr>
            <w:tcW w:w="959" w:type="dxa"/>
            <w:vMerge w:val="restart"/>
            <w:textDirection w:val="btLr"/>
            <w:vAlign w:val="center"/>
          </w:tcPr>
          <w:p w14:paraId="62897839" w14:textId="77777777" w:rsidR="0089207C" w:rsidRPr="00AC3044" w:rsidRDefault="0089207C" w:rsidP="002D3EBF">
            <w:pPr>
              <w:rPr>
                <w:rFonts w:eastAsia="SimSun"/>
              </w:rPr>
            </w:pPr>
            <w:r w:rsidRPr="00AC3044">
              <w:rPr>
                <w:rFonts w:eastAsia="SimSun"/>
              </w:rPr>
              <w:t>Профилактика РТПХ</w:t>
            </w:r>
          </w:p>
        </w:tc>
        <w:tc>
          <w:tcPr>
            <w:tcW w:w="1843" w:type="dxa"/>
            <w:vAlign w:val="center"/>
          </w:tcPr>
          <w:p w14:paraId="4ED60CBB" w14:textId="77777777" w:rsidR="0089207C" w:rsidRPr="00AC3044" w:rsidRDefault="0089207C" w:rsidP="002D3EBF">
            <w:pPr>
              <w:rPr>
                <w:rFonts w:eastAsia="SimSun"/>
              </w:rPr>
            </w:pPr>
            <w:r w:rsidRPr="00AC3044">
              <w:rPr>
                <w:rFonts w:eastAsia="SimSun"/>
              </w:rPr>
              <w:t>Циклофосфамид</w:t>
            </w:r>
          </w:p>
        </w:tc>
        <w:tc>
          <w:tcPr>
            <w:tcW w:w="1417" w:type="dxa"/>
            <w:vAlign w:val="center"/>
          </w:tcPr>
          <w:p w14:paraId="04B33C9A" w14:textId="77777777" w:rsidR="0089207C" w:rsidRPr="00AC3044" w:rsidRDefault="0089207C" w:rsidP="002D3EBF">
            <w:pPr>
              <w:rPr>
                <w:rFonts w:eastAsia="SimSun"/>
              </w:rPr>
            </w:pPr>
            <w:r w:rsidRPr="00AC3044">
              <w:rPr>
                <w:rFonts w:eastAsia="SimSun"/>
              </w:rPr>
              <w:t>50 мг/кг</w:t>
            </w:r>
          </w:p>
        </w:tc>
        <w:tc>
          <w:tcPr>
            <w:tcW w:w="1701" w:type="dxa"/>
            <w:vAlign w:val="center"/>
          </w:tcPr>
          <w:p w14:paraId="6B288B2D" w14:textId="77777777" w:rsidR="0089207C" w:rsidRPr="00AC3044" w:rsidRDefault="0089207C" w:rsidP="002D3EBF">
            <w:pPr>
              <w:rPr>
                <w:rFonts w:eastAsia="SimSun"/>
              </w:rPr>
            </w:pPr>
            <w:r w:rsidRPr="00AC3044">
              <w:rPr>
                <w:rFonts w:eastAsia="SimSun"/>
              </w:rPr>
              <w:t>100 мг/кг</w:t>
            </w:r>
          </w:p>
        </w:tc>
        <w:tc>
          <w:tcPr>
            <w:tcW w:w="1418" w:type="dxa"/>
            <w:vAlign w:val="center"/>
          </w:tcPr>
          <w:p w14:paraId="0D703623" w14:textId="77777777" w:rsidR="0089207C" w:rsidRPr="00AC3044" w:rsidRDefault="0089207C" w:rsidP="002D3EBF">
            <w:pPr>
              <w:rPr>
                <w:rFonts w:eastAsia="SimSun"/>
              </w:rPr>
            </w:pPr>
            <w:r w:rsidRPr="00AC3044">
              <w:rPr>
                <w:rFonts w:eastAsia="SimSun"/>
              </w:rPr>
              <w:t>С +3 дня по +4 день</w:t>
            </w:r>
          </w:p>
        </w:tc>
        <w:tc>
          <w:tcPr>
            <w:tcW w:w="2268" w:type="dxa"/>
            <w:vAlign w:val="center"/>
          </w:tcPr>
          <w:p w14:paraId="24D988B3"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063F3ED3" w14:textId="77777777" w:rsidTr="002D3EBF">
        <w:trPr>
          <w:cantSplit/>
          <w:trHeight w:val="688"/>
        </w:trPr>
        <w:tc>
          <w:tcPr>
            <w:tcW w:w="959" w:type="dxa"/>
            <w:vMerge/>
            <w:textDirection w:val="btLr"/>
            <w:vAlign w:val="center"/>
          </w:tcPr>
          <w:p w14:paraId="5A289347" w14:textId="77777777" w:rsidR="0089207C" w:rsidRPr="00AC3044" w:rsidRDefault="0089207C" w:rsidP="002D3EBF">
            <w:pPr>
              <w:rPr>
                <w:rFonts w:eastAsia="SimSun"/>
              </w:rPr>
            </w:pPr>
          </w:p>
        </w:tc>
        <w:tc>
          <w:tcPr>
            <w:tcW w:w="1843" w:type="dxa"/>
            <w:vAlign w:val="center"/>
          </w:tcPr>
          <w:p w14:paraId="61A70047" w14:textId="77777777" w:rsidR="0089207C" w:rsidRPr="00AC3044" w:rsidRDefault="0089207C" w:rsidP="002D3EBF">
            <w:pPr>
              <w:rPr>
                <w:rFonts w:eastAsia="SimSun"/>
              </w:rPr>
            </w:pPr>
            <w:r w:rsidRPr="00AC3044">
              <w:rPr>
                <w:rFonts w:eastAsia="SimSun"/>
              </w:rPr>
              <w:t>Руксолитиниб</w:t>
            </w:r>
          </w:p>
        </w:tc>
        <w:tc>
          <w:tcPr>
            <w:tcW w:w="1417" w:type="dxa"/>
            <w:vAlign w:val="center"/>
          </w:tcPr>
          <w:p w14:paraId="5EC29CCD" w14:textId="77777777" w:rsidR="0089207C" w:rsidRPr="00AC3044" w:rsidRDefault="0089207C" w:rsidP="002D3EBF">
            <w:pPr>
              <w:rPr>
                <w:rFonts w:eastAsia="SimSun"/>
              </w:rPr>
            </w:pPr>
            <w:r w:rsidRPr="00AC3044">
              <w:rPr>
                <w:rFonts w:eastAsia="SimSun"/>
              </w:rPr>
              <w:t>45 мг</w:t>
            </w:r>
          </w:p>
        </w:tc>
        <w:tc>
          <w:tcPr>
            <w:tcW w:w="1701" w:type="dxa"/>
            <w:vAlign w:val="center"/>
          </w:tcPr>
          <w:p w14:paraId="6B064BB9" w14:textId="77777777" w:rsidR="0089207C" w:rsidRPr="00AC3044" w:rsidRDefault="0089207C" w:rsidP="002D3EBF">
            <w:pPr>
              <w:rPr>
                <w:rFonts w:eastAsia="SimSun"/>
              </w:rPr>
            </w:pPr>
            <w:r w:rsidRPr="00AC3044">
              <w:rPr>
                <w:rFonts w:eastAsia="SimSun"/>
              </w:rPr>
              <w:t>270 мг</w:t>
            </w:r>
          </w:p>
        </w:tc>
        <w:tc>
          <w:tcPr>
            <w:tcW w:w="1418" w:type="dxa"/>
            <w:vAlign w:val="center"/>
          </w:tcPr>
          <w:p w14:paraId="6B93DD95" w14:textId="77777777" w:rsidR="0089207C" w:rsidRPr="00AC3044" w:rsidRDefault="0089207C" w:rsidP="002D3EBF">
            <w:pPr>
              <w:rPr>
                <w:rFonts w:eastAsia="SimSun"/>
              </w:rPr>
            </w:pPr>
            <w:r w:rsidRPr="00AC3044">
              <w:rPr>
                <w:rFonts w:eastAsia="SimSun"/>
              </w:rPr>
              <w:t xml:space="preserve">С -7 дня по -2 день </w:t>
            </w:r>
          </w:p>
        </w:tc>
        <w:tc>
          <w:tcPr>
            <w:tcW w:w="2268" w:type="dxa"/>
            <w:vAlign w:val="center"/>
          </w:tcPr>
          <w:p w14:paraId="22A89431" w14:textId="77777777" w:rsidR="0089207C" w:rsidRPr="00AC3044" w:rsidRDefault="0089207C" w:rsidP="002D3EBF">
            <w:pPr>
              <w:rPr>
                <w:rFonts w:eastAsia="SimSun"/>
              </w:rPr>
            </w:pPr>
            <w:r w:rsidRPr="00AC3044">
              <w:rPr>
                <w:rFonts w:eastAsia="SimSun"/>
              </w:rPr>
              <w:t xml:space="preserve">Внутрь суточную дозу </w:t>
            </w:r>
          </w:p>
          <w:p w14:paraId="3849E767" w14:textId="77777777" w:rsidR="0089207C" w:rsidRPr="00AC3044" w:rsidRDefault="0089207C" w:rsidP="002D3EBF">
            <w:pPr>
              <w:rPr>
                <w:rFonts w:eastAsia="SimSun"/>
              </w:rPr>
            </w:pPr>
            <w:r w:rsidRPr="00AC3044">
              <w:rPr>
                <w:rFonts w:eastAsia="SimSun"/>
              </w:rPr>
              <w:t>за 3 приема</w:t>
            </w:r>
          </w:p>
        </w:tc>
      </w:tr>
      <w:tr w:rsidR="0089207C" w:rsidRPr="00AC3044" w14:paraId="4A9FBACB" w14:textId="77777777" w:rsidTr="002D3EBF">
        <w:trPr>
          <w:cantSplit/>
          <w:trHeight w:val="839"/>
        </w:trPr>
        <w:tc>
          <w:tcPr>
            <w:tcW w:w="959" w:type="dxa"/>
            <w:vMerge/>
            <w:textDirection w:val="btLr"/>
            <w:vAlign w:val="center"/>
          </w:tcPr>
          <w:p w14:paraId="4359E76A" w14:textId="77777777" w:rsidR="0089207C" w:rsidRPr="00AC3044" w:rsidRDefault="0089207C" w:rsidP="002D3EBF">
            <w:pPr>
              <w:rPr>
                <w:rFonts w:eastAsia="SimSun"/>
              </w:rPr>
            </w:pPr>
          </w:p>
        </w:tc>
        <w:tc>
          <w:tcPr>
            <w:tcW w:w="1843" w:type="dxa"/>
            <w:vAlign w:val="center"/>
          </w:tcPr>
          <w:p w14:paraId="6B0FA146" w14:textId="77777777" w:rsidR="0089207C" w:rsidRPr="00AC3044" w:rsidRDefault="0089207C" w:rsidP="002D3EBF">
            <w:pPr>
              <w:rPr>
                <w:rFonts w:eastAsia="SimSun"/>
              </w:rPr>
            </w:pPr>
            <w:r w:rsidRPr="00AC3044">
              <w:rPr>
                <w:rFonts w:eastAsia="SimSun"/>
              </w:rPr>
              <w:t xml:space="preserve">Руксолитиниб </w:t>
            </w:r>
          </w:p>
        </w:tc>
        <w:tc>
          <w:tcPr>
            <w:tcW w:w="1417" w:type="dxa"/>
            <w:vAlign w:val="center"/>
          </w:tcPr>
          <w:p w14:paraId="51AAFD7B" w14:textId="77777777" w:rsidR="0089207C" w:rsidRPr="00AC3044" w:rsidRDefault="0089207C" w:rsidP="002D3EBF">
            <w:pPr>
              <w:rPr>
                <w:rFonts w:eastAsia="SimSun"/>
              </w:rPr>
            </w:pPr>
            <w:r w:rsidRPr="00AC3044">
              <w:rPr>
                <w:rFonts w:eastAsia="SimSun"/>
              </w:rPr>
              <w:t>15 мг</w:t>
            </w:r>
          </w:p>
        </w:tc>
        <w:tc>
          <w:tcPr>
            <w:tcW w:w="1701" w:type="dxa"/>
            <w:vAlign w:val="center"/>
          </w:tcPr>
          <w:p w14:paraId="27CB25B0" w14:textId="77777777" w:rsidR="0089207C" w:rsidRPr="00AC3044" w:rsidRDefault="0089207C" w:rsidP="002D3EBF">
            <w:pPr>
              <w:rPr>
                <w:rFonts w:eastAsia="SimSun"/>
              </w:rPr>
            </w:pPr>
            <w:r w:rsidRPr="00AC3044">
              <w:rPr>
                <w:rFonts w:eastAsia="SimSun"/>
              </w:rPr>
              <w:t>-</w:t>
            </w:r>
          </w:p>
        </w:tc>
        <w:tc>
          <w:tcPr>
            <w:tcW w:w="1418" w:type="dxa"/>
            <w:vAlign w:val="center"/>
          </w:tcPr>
          <w:p w14:paraId="377187C9" w14:textId="77777777" w:rsidR="0089207C" w:rsidRPr="00AC3044" w:rsidRDefault="0089207C" w:rsidP="002D3EBF">
            <w:pPr>
              <w:rPr>
                <w:rFonts w:eastAsia="SimSun"/>
              </w:rPr>
            </w:pPr>
            <w:r w:rsidRPr="00AC3044">
              <w:rPr>
                <w:rFonts w:eastAsia="SimSun"/>
              </w:rPr>
              <w:t>С +5 дня по +100 день</w:t>
            </w:r>
          </w:p>
        </w:tc>
        <w:tc>
          <w:tcPr>
            <w:tcW w:w="2268" w:type="dxa"/>
            <w:vAlign w:val="center"/>
          </w:tcPr>
          <w:p w14:paraId="1973025D" w14:textId="77777777" w:rsidR="0089207C" w:rsidRPr="00AC3044" w:rsidRDefault="0089207C" w:rsidP="002D3EBF">
            <w:pPr>
              <w:rPr>
                <w:rFonts w:eastAsia="SimSun"/>
              </w:rPr>
            </w:pPr>
            <w:r w:rsidRPr="00AC3044">
              <w:rPr>
                <w:rFonts w:eastAsia="SimSun"/>
              </w:rPr>
              <w:t xml:space="preserve">Внутрь суточную дозу </w:t>
            </w:r>
          </w:p>
          <w:p w14:paraId="6C2E632E" w14:textId="77777777" w:rsidR="0089207C" w:rsidRPr="00AC3044" w:rsidRDefault="0089207C" w:rsidP="002D3EBF">
            <w:pPr>
              <w:rPr>
                <w:rFonts w:eastAsia="SimSun"/>
              </w:rPr>
            </w:pPr>
            <w:r w:rsidRPr="00AC3044">
              <w:rPr>
                <w:rFonts w:eastAsia="SimSun"/>
              </w:rPr>
              <w:t>за 2 приема</w:t>
            </w:r>
          </w:p>
        </w:tc>
      </w:tr>
    </w:tbl>
    <w:p w14:paraId="6CCDEAEA" w14:textId="77777777" w:rsidR="0089207C" w:rsidRDefault="0089207C" w:rsidP="0089207C">
      <w:pPr>
        <w:rPr>
          <w:rFonts w:eastAsia="SimSun"/>
        </w:rPr>
      </w:pPr>
      <w:bookmarkStart w:id="222" w:name="_Toc44401171"/>
    </w:p>
    <w:p w14:paraId="32BA05CD" w14:textId="77777777" w:rsidR="0089207C" w:rsidRPr="00C07B2E" w:rsidRDefault="0089207C" w:rsidP="0089207C">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1.2.13  – Flu180+Bu10 / PT-Cy</w:t>
      </w:r>
      <w:bookmarkEnd w:id="222"/>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6"/>
        <w:gridCol w:w="1802"/>
        <w:gridCol w:w="1495"/>
        <w:gridCol w:w="1695"/>
        <w:gridCol w:w="1408"/>
        <w:gridCol w:w="2278"/>
      </w:tblGrid>
      <w:tr w:rsidR="0089207C" w:rsidRPr="00AC3044" w14:paraId="342B819A" w14:textId="77777777" w:rsidTr="002D3EBF">
        <w:trPr>
          <w:cantSplit/>
          <w:trHeight w:val="20"/>
          <w:tblHeader/>
        </w:trPr>
        <w:tc>
          <w:tcPr>
            <w:tcW w:w="866" w:type="dxa"/>
            <w:vAlign w:val="center"/>
          </w:tcPr>
          <w:p w14:paraId="257D4771" w14:textId="77777777" w:rsidR="0089207C" w:rsidRPr="00470D3D" w:rsidRDefault="0089207C" w:rsidP="002D3EBF">
            <w:pPr>
              <w:rPr>
                <w:rFonts w:eastAsia="SimSun"/>
              </w:rPr>
            </w:pPr>
          </w:p>
        </w:tc>
        <w:tc>
          <w:tcPr>
            <w:tcW w:w="1802" w:type="dxa"/>
            <w:vAlign w:val="center"/>
          </w:tcPr>
          <w:p w14:paraId="522A75D8" w14:textId="77777777" w:rsidR="0089207C" w:rsidRPr="00AC3044" w:rsidRDefault="0089207C" w:rsidP="002D3EBF">
            <w:pPr>
              <w:rPr>
                <w:rFonts w:eastAsia="SimSun"/>
              </w:rPr>
            </w:pPr>
            <w:r w:rsidRPr="00AC3044">
              <w:rPr>
                <w:rFonts w:eastAsia="SimSun"/>
              </w:rPr>
              <w:t>Препарат</w:t>
            </w:r>
          </w:p>
        </w:tc>
        <w:tc>
          <w:tcPr>
            <w:tcW w:w="1495" w:type="dxa"/>
            <w:vAlign w:val="center"/>
          </w:tcPr>
          <w:p w14:paraId="41F7B75C" w14:textId="77777777" w:rsidR="0089207C" w:rsidRPr="00AC3044" w:rsidRDefault="0089207C" w:rsidP="002D3EBF">
            <w:pPr>
              <w:rPr>
                <w:rFonts w:eastAsia="SimSun"/>
              </w:rPr>
            </w:pPr>
            <w:r w:rsidRPr="00AC3044">
              <w:rPr>
                <w:rFonts w:eastAsia="SimSun"/>
              </w:rPr>
              <w:t>Суточная доза</w:t>
            </w:r>
          </w:p>
        </w:tc>
        <w:tc>
          <w:tcPr>
            <w:tcW w:w="1695" w:type="dxa"/>
            <w:vAlign w:val="center"/>
          </w:tcPr>
          <w:p w14:paraId="574220BC" w14:textId="77777777" w:rsidR="0089207C" w:rsidRPr="00AC3044" w:rsidRDefault="0089207C" w:rsidP="002D3EBF">
            <w:pPr>
              <w:rPr>
                <w:rFonts w:eastAsia="SimSun"/>
              </w:rPr>
            </w:pPr>
            <w:r w:rsidRPr="00AC3044">
              <w:rPr>
                <w:rFonts w:eastAsia="SimSun"/>
              </w:rPr>
              <w:t>Курсовая доза</w:t>
            </w:r>
          </w:p>
        </w:tc>
        <w:tc>
          <w:tcPr>
            <w:tcW w:w="1408" w:type="dxa"/>
            <w:vAlign w:val="center"/>
          </w:tcPr>
          <w:p w14:paraId="1EEE9DBF" w14:textId="77777777" w:rsidR="0089207C" w:rsidRPr="00AC3044" w:rsidRDefault="0089207C" w:rsidP="002D3EBF">
            <w:pPr>
              <w:rPr>
                <w:rFonts w:eastAsia="SimSun"/>
              </w:rPr>
            </w:pPr>
            <w:r w:rsidRPr="00AC3044">
              <w:rPr>
                <w:rFonts w:eastAsia="SimSun"/>
              </w:rPr>
              <w:t>Дни введения</w:t>
            </w:r>
          </w:p>
        </w:tc>
        <w:tc>
          <w:tcPr>
            <w:tcW w:w="2278" w:type="dxa"/>
            <w:vAlign w:val="center"/>
          </w:tcPr>
          <w:p w14:paraId="43266CDF"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53E1C685" w14:textId="77777777" w:rsidTr="002D3EBF">
        <w:trPr>
          <w:cantSplit/>
          <w:trHeight w:val="20"/>
        </w:trPr>
        <w:tc>
          <w:tcPr>
            <w:tcW w:w="866" w:type="dxa"/>
            <w:vMerge w:val="restart"/>
            <w:textDirection w:val="btLr"/>
            <w:vAlign w:val="center"/>
          </w:tcPr>
          <w:p w14:paraId="0417BB94" w14:textId="77777777" w:rsidR="0089207C" w:rsidRPr="00AC3044" w:rsidRDefault="0089207C" w:rsidP="002D3EBF">
            <w:pPr>
              <w:rPr>
                <w:rFonts w:eastAsia="SimSun"/>
              </w:rPr>
            </w:pPr>
            <w:r w:rsidRPr="00AC3044">
              <w:rPr>
                <w:rFonts w:eastAsia="SimSun"/>
              </w:rPr>
              <w:t>Кондиционирование</w:t>
            </w:r>
          </w:p>
        </w:tc>
        <w:tc>
          <w:tcPr>
            <w:tcW w:w="1802" w:type="dxa"/>
            <w:vAlign w:val="center"/>
          </w:tcPr>
          <w:p w14:paraId="1D83CCF2" w14:textId="77777777" w:rsidR="0089207C" w:rsidRPr="00AC3044" w:rsidRDefault="0089207C" w:rsidP="002D3EBF">
            <w:pPr>
              <w:rPr>
                <w:rFonts w:eastAsia="SimSun"/>
              </w:rPr>
            </w:pPr>
            <w:r w:rsidRPr="00AC3044">
              <w:rPr>
                <w:rFonts w:eastAsia="SimSun"/>
              </w:rPr>
              <w:t xml:space="preserve">Флударабин </w:t>
            </w:r>
          </w:p>
        </w:tc>
        <w:tc>
          <w:tcPr>
            <w:tcW w:w="1495" w:type="dxa"/>
            <w:vAlign w:val="center"/>
          </w:tcPr>
          <w:p w14:paraId="645A31E2" w14:textId="77777777" w:rsidR="0089207C" w:rsidRPr="00AC3044" w:rsidRDefault="0089207C" w:rsidP="002D3EBF">
            <w:pPr>
              <w:rPr>
                <w:rFonts w:eastAsia="SimSun"/>
              </w:rPr>
            </w:pPr>
            <w:r w:rsidRPr="00AC3044">
              <w:rPr>
                <w:rFonts w:eastAsia="SimSun"/>
              </w:rPr>
              <w:t>30 мг/м</w:t>
            </w:r>
            <w:r w:rsidRPr="001E6DBE">
              <w:rPr>
                <w:rFonts w:eastAsia="SimSun"/>
                <w:vertAlign w:val="superscript"/>
              </w:rPr>
              <w:t>2</w:t>
            </w:r>
          </w:p>
        </w:tc>
        <w:tc>
          <w:tcPr>
            <w:tcW w:w="1695" w:type="dxa"/>
            <w:vAlign w:val="center"/>
          </w:tcPr>
          <w:p w14:paraId="7338A05D" w14:textId="77777777" w:rsidR="0089207C" w:rsidRPr="00AC3044" w:rsidRDefault="0089207C" w:rsidP="002D3EBF">
            <w:pPr>
              <w:rPr>
                <w:rFonts w:eastAsia="SimSun"/>
              </w:rPr>
            </w:pPr>
            <w:r w:rsidRPr="00AC3044">
              <w:rPr>
                <w:rFonts w:eastAsia="SimSun"/>
              </w:rPr>
              <w:t>180 мг/м</w:t>
            </w:r>
            <w:r w:rsidRPr="001E6DBE">
              <w:rPr>
                <w:rFonts w:eastAsia="SimSun"/>
                <w:vertAlign w:val="superscript"/>
              </w:rPr>
              <w:t>2</w:t>
            </w:r>
          </w:p>
        </w:tc>
        <w:tc>
          <w:tcPr>
            <w:tcW w:w="1408" w:type="dxa"/>
            <w:vAlign w:val="center"/>
          </w:tcPr>
          <w:p w14:paraId="5E6CF3E3" w14:textId="77777777" w:rsidR="0089207C" w:rsidRPr="00AC3044" w:rsidRDefault="0089207C" w:rsidP="002D3EBF">
            <w:pPr>
              <w:rPr>
                <w:rFonts w:eastAsia="SimSun"/>
              </w:rPr>
            </w:pPr>
            <w:r w:rsidRPr="00AC3044">
              <w:rPr>
                <w:rFonts w:eastAsia="SimSun"/>
              </w:rPr>
              <w:t>С -7 дня по -2 день</w:t>
            </w:r>
          </w:p>
        </w:tc>
        <w:tc>
          <w:tcPr>
            <w:tcW w:w="2278" w:type="dxa"/>
            <w:vAlign w:val="center"/>
          </w:tcPr>
          <w:p w14:paraId="14D53F15"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6310A8B6" w14:textId="77777777" w:rsidTr="002D3EBF">
        <w:trPr>
          <w:cantSplit/>
          <w:trHeight w:val="1114"/>
        </w:trPr>
        <w:tc>
          <w:tcPr>
            <w:tcW w:w="866" w:type="dxa"/>
            <w:vMerge/>
            <w:vAlign w:val="center"/>
          </w:tcPr>
          <w:p w14:paraId="1789B782" w14:textId="77777777" w:rsidR="0089207C" w:rsidRPr="00AC3044" w:rsidRDefault="0089207C" w:rsidP="002D3EBF">
            <w:pPr>
              <w:rPr>
                <w:rFonts w:eastAsia="SimSun"/>
              </w:rPr>
            </w:pPr>
          </w:p>
        </w:tc>
        <w:tc>
          <w:tcPr>
            <w:tcW w:w="1802" w:type="dxa"/>
            <w:vAlign w:val="center"/>
          </w:tcPr>
          <w:p w14:paraId="1951ABE1" w14:textId="77777777" w:rsidR="0089207C" w:rsidRPr="00AC3044" w:rsidRDefault="0089207C" w:rsidP="002D3EBF">
            <w:pPr>
              <w:rPr>
                <w:rFonts w:eastAsia="SimSun"/>
              </w:rPr>
            </w:pPr>
            <w:r w:rsidRPr="00AC3044">
              <w:rPr>
                <w:rFonts w:eastAsia="SimSun"/>
              </w:rPr>
              <w:t>Бусульфан</w:t>
            </w:r>
          </w:p>
        </w:tc>
        <w:tc>
          <w:tcPr>
            <w:tcW w:w="1495" w:type="dxa"/>
            <w:vAlign w:val="center"/>
          </w:tcPr>
          <w:p w14:paraId="6D3B8C4F" w14:textId="77777777" w:rsidR="0089207C" w:rsidRPr="00AC3044" w:rsidRDefault="0089207C" w:rsidP="002D3EBF">
            <w:pPr>
              <w:rPr>
                <w:rFonts w:eastAsia="SimSun"/>
              </w:rPr>
            </w:pPr>
            <w:r w:rsidRPr="00AC3044">
              <w:rPr>
                <w:rFonts w:eastAsia="SimSun"/>
              </w:rPr>
              <w:t xml:space="preserve">4 мг/кг </w:t>
            </w:r>
          </w:p>
        </w:tc>
        <w:tc>
          <w:tcPr>
            <w:tcW w:w="1695" w:type="dxa"/>
            <w:vAlign w:val="center"/>
          </w:tcPr>
          <w:p w14:paraId="2082AE09" w14:textId="77777777" w:rsidR="0089207C" w:rsidRPr="00AC3044" w:rsidRDefault="0089207C" w:rsidP="002D3EBF">
            <w:pPr>
              <w:rPr>
                <w:rFonts w:eastAsia="SimSun"/>
              </w:rPr>
            </w:pPr>
            <w:r w:rsidRPr="00AC3044">
              <w:rPr>
                <w:rFonts w:eastAsia="SimSun"/>
              </w:rPr>
              <w:t xml:space="preserve">10 мг/кг </w:t>
            </w:r>
          </w:p>
        </w:tc>
        <w:tc>
          <w:tcPr>
            <w:tcW w:w="1408" w:type="dxa"/>
            <w:vAlign w:val="center"/>
          </w:tcPr>
          <w:p w14:paraId="505B4225" w14:textId="77777777" w:rsidR="0089207C" w:rsidRPr="00AC3044" w:rsidRDefault="0089207C" w:rsidP="002D3EBF">
            <w:pPr>
              <w:rPr>
                <w:rFonts w:eastAsia="SimSun"/>
              </w:rPr>
            </w:pPr>
            <w:r w:rsidRPr="00AC3044">
              <w:rPr>
                <w:rFonts w:eastAsia="SimSun"/>
              </w:rPr>
              <w:t>С -5 дня по -3 день</w:t>
            </w:r>
          </w:p>
        </w:tc>
        <w:tc>
          <w:tcPr>
            <w:tcW w:w="2278" w:type="dxa"/>
            <w:vAlign w:val="center"/>
          </w:tcPr>
          <w:p w14:paraId="58056C18"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89207C" w:rsidRPr="00AC3044" w14:paraId="6FE5F022" w14:textId="77777777" w:rsidTr="002D3EBF">
        <w:trPr>
          <w:cantSplit/>
          <w:trHeight w:val="1176"/>
        </w:trPr>
        <w:tc>
          <w:tcPr>
            <w:tcW w:w="866" w:type="dxa"/>
            <w:textDirection w:val="btLr"/>
            <w:vAlign w:val="center"/>
          </w:tcPr>
          <w:p w14:paraId="11253FB6" w14:textId="77777777" w:rsidR="0089207C" w:rsidRPr="00AC3044" w:rsidRDefault="0089207C" w:rsidP="002D3EBF">
            <w:pPr>
              <w:rPr>
                <w:rFonts w:eastAsia="SimSun"/>
              </w:rPr>
            </w:pPr>
            <w:r w:rsidRPr="00AC3044">
              <w:rPr>
                <w:rFonts w:eastAsia="SimSun"/>
              </w:rPr>
              <w:t>Профилактика РТПХ</w:t>
            </w:r>
          </w:p>
        </w:tc>
        <w:tc>
          <w:tcPr>
            <w:tcW w:w="1802" w:type="dxa"/>
            <w:vAlign w:val="center"/>
          </w:tcPr>
          <w:p w14:paraId="5D09EAAE" w14:textId="77777777" w:rsidR="0089207C" w:rsidRPr="00AC3044" w:rsidRDefault="0089207C" w:rsidP="002D3EBF">
            <w:pPr>
              <w:rPr>
                <w:rFonts w:eastAsia="SimSun"/>
              </w:rPr>
            </w:pPr>
            <w:r w:rsidRPr="00AC3044">
              <w:rPr>
                <w:rFonts w:eastAsia="SimSun"/>
              </w:rPr>
              <w:t>Циклофосфамид</w:t>
            </w:r>
          </w:p>
        </w:tc>
        <w:tc>
          <w:tcPr>
            <w:tcW w:w="1495" w:type="dxa"/>
            <w:vAlign w:val="center"/>
          </w:tcPr>
          <w:p w14:paraId="607CEC93" w14:textId="77777777" w:rsidR="0089207C" w:rsidRPr="00AC3044" w:rsidRDefault="0089207C" w:rsidP="002D3EBF">
            <w:pPr>
              <w:rPr>
                <w:rFonts w:eastAsia="SimSun"/>
              </w:rPr>
            </w:pPr>
            <w:r w:rsidRPr="00AC3044">
              <w:rPr>
                <w:rFonts w:eastAsia="SimSun"/>
              </w:rPr>
              <w:t>50 мг/кг</w:t>
            </w:r>
          </w:p>
        </w:tc>
        <w:tc>
          <w:tcPr>
            <w:tcW w:w="1695" w:type="dxa"/>
            <w:vAlign w:val="center"/>
          </w:tcPr>
          <w:p w14:paraId="338CBBAA" w14:textId="77777777" w:rsidR="0089207C" w:rsidRPr="00AC3044" w:rsidRDefault="0089207C" w:rsidP="002D3EBF">
            <w:pPr>
              <w:rPr>
                <w:rFonts w:eastAsia="SimSun"/>
              </w:rPr>
            </w:pPr>
            <w:r w:rsidRPr="00AC3044">
              <w:rPr>
                <w:rFonts w:eastAsia="SimSun"/>
              </w:rPr>
              <w:t>100 мг/кг</w:t>
            </w:r>
          </w:p>
        </w:tc>
        <w:tc>
          <w:tcPr>
            <w:tcW w:w="1408" w:type="dxa"/>
            <w:vAlign w:val="center"/>
          </w:tcPr>
          <w:p w14:paraId="390830B1" w14:textId="77777777" w:rsidR="0089207C" w:rsidRPr="00AC3044" w:rsidRDefault="0089207C" w:rsidP="002D3EBF">
            <w:pPr>
              <w:rPr>
                <w:rFonts w:eastAsia="SimSun"/>
              </w:rPr>
            </w:pPr>
            <w:r w:rsidRPr="00AC3044">
              <w:rPr>
                <w:rFonts w:eastAsia="SimSun"/>
              </w:rPr>
              <w:t>С +3 дня по +4 день</w:t>
            </w:r>
          </w:p>
        </w:tc>
        <w:tc>
          <w:tcPr>
            <w:tcW w:w="2278" w:type="dxa"/>
            <w:vAlign w:val="center"/>
          </w:tcPr>
          <w:p w14:paraId="0A40B82B" w14:textId="77777777" w:rsidR="0089207C" w:rsidRPr="00AC3044" w:rsidRDefault="0089207C" w:rsidP="002D3EBF">
            <w:pPr>
              <w:rPr>
                <w:rFonts w:eastAsia="SimSun"/>
              </w:rPr>
            </w:pPr>
            <w:r w:rsidRPr="00AC3044">
              <w:rPr>
                <w:rFonts w:eastAsia="SimSun"/>
              </w:rPr>
              <w:t>В/в, в течение 2 часов</w:t>
            </w:r>
          </w:p>
        </w:tc>
      </w:tr>
    </w:tbl>
    <w:p w14:paraId="633A3020" w14:textId="77777777" w:rsidR="0089207C" w:rsidRPr="00C07B2E" w:rsidRDefault="0089207C" w:rsidP="0089207C">
      <w:pPr>
        <w:rPr>
          <w:rFonts w:eastAsia="SimSun"/>
        </w:rPr>
      </w:pPr>
    </w:p>
    <w:p w14:paraId="4A552B7E" w14:textId="77777777" w:rsidR="0089207C" w:rsidRPr="00C07B2E" w:rsidRDefault="0089207C" w:rsidP="0089207C">
      <w:pPr>
        <w:rPr>
          <w:rFonts w:eastAsia="SimSun"/>
        </w:rPr>
      </w:pPr>
      <w:bookmarkStart w:id="223" w:name="_Toc44401172"/>
      <w:r w:rsidRPr="00042499">
        <w:rPr>
          <w:rFonts w:eastAsia="SimSun"/>
        </w:rPr>
        <w:t>Таблица</w:t>
      </w:r>
      <w:r w:rsidRPr="00C07B2E">
        <w:rPr>
          <w:rFonts w:eastAsia="SimSun"/>
        </w:rPr>
        <w:t xml:space="preserve"> </w:t>
      </w:r>
      <w:r>
        <w:rPr>
          <w:rFonts w:eastAsia="SimSun"/>
        </w:rPr>
        <w:t>5.</w:t>
      </w:r>
      <w:r w:rsidRPr="00C07B2E">
        <w:rPr>
          <w:rFonts w:eastAsia="SimSun"/>
        </w:rPr>
        <w:t>1.2.14  – Flu180+Bu10 / PT-Cy+Tx+MMF30</w:t>
      </w:r>
      <w:bookmarkEnd w:id="223"/>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89207C" w:rsidRPr="00AC3044" w14:paraId="39A3E0F7" w14:textId="77777777" w:rsidTr="002D3EBF">
        <w:trPr>
          <w:cantSplit/>
          <w:trHeight w:val="20"/>
          <w:tblHeader/>
        </w:trPr>
        <w:tc>
          <w:tcPr>
            <w:tcW w:w="959" w:type="dxa"/>
            <w:vAlign w:val="center"/>
          </w:tcPr>
          <w:p w14:paraId="407261E1" w14:textId="77777777" w:rsidR="0089207C" w:rsidRPr="00470D3D" w:rsidRDefault="0089207C" w:rsidP="002D3EBF">
            <w:pPr>
              <w:rPr>
                <w:rFonts w:eastAsia="SimSun"/>
              </w:rPr>
            </w:pPr>
          </w:p>
        </w:tc>
        <w:tc>
          <w:tcPr>
            <w:tcW w:w="1701" w:type="dxa"/>
            <w:vAlign w:val="center"/>
          </w:tcPr>
          <w:p w14:paraId="7F21DE29" w14:textId="77777777" w:rsidR="0089207C" w:rsidRPr="00AC3044" w:rsidRDefault="0089207C" w:rsidP="002D3EBF">
            <w:pPr>
              <w:rPr>
                <w:rFonts w:eastAsia="SimSun"/>
              </w:rPr>
            </w:pPr>
            <w:r w:rsidRPr="00AC3044">
              <w:rPr>
                <w:rFonts w:eastAsia="SimSun"/>
              </w:rPr>
              <w:t>Препарат</w:t>
            </w:r>
          </w:p>
        </w:tc>
        <w:tc>
          <w:tcPr>
            <w:tcW w:w="1559" w:type="dxa"/>
            <w:vAlign w:val="center"/>
          </w:tcPr>
          <w:p w14:paraId="5154BA89" w14:textId="77777777" w:rsidR="0089207C" w:rsidRPr="00AC3044" w:rsidRDefault="0089207C" w:rsidP="002D3EBF">
            <w:pPr>
              <w:rPr>
                <w:rFonts w:eastAsia="SimSun"/>
              </w:rPr>
            </w:pPr>
            <w:r w:rsidRPr="00AC3044">
              <w:rPr>
                <w:rFonts w:eastAsia="SimSun"/>
              </w:rPr>
              <w:t>Суточная доза</w:t>
            </w:r>
          </w:p>
        </w:tc>
        <w:tc>
          <w:tcPr>
            <w:tcW w:w="1701" w:type="dxa"/>
            <w:vAlign w:val="center"/>
          </w:tcPr>
          <w:p w14:paraId="3A850C7C" w14:textId="77777777" w:rsidR="0089207C" w:rsidRPr="00AC3044" w:rsidRDefault="0089207C" w:rsidP="002D3EBF">
            <w:pPr>
              <w:rPr>
                <w:rFonts w:eastAsia="SimSun"/>
              </w:rPr>
            </w:pPr>
            <w:r w:rsidRPr="00AC3044">
              <w:rPr>
                <w:rFonts w:eastAsia="SimSun"/>
              </w:rPr>
              <w:t>Курсовая доза</w:t>
            </w:r>
          </w:p>
        </w:tc>
        <w:tc>
          <w:tcPr>
            <w:tcW w:w="1418" w:type="dxa"/>
            <w:vAlign w:val="center"/>
          </w:tcPr>
          <w:p w14:paraId="1D3CCE69"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40C7520F"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0F9FB7DD" w14:textId="77777777" w:rsidTr="002D3EBF">
        <w:trPr>
          <w:cantSplit/>
          <w:trHeight w:val="20"/>
        </w:trPr>
        <w:tc>
          <w:tcPr>
            <w:tcW w:w="959" w:type="dxa"/>
            <w:vMerge w:val="restart"/>
            <w:textDirection w:val="btLr"/>
            <w:vAlign w:val="center"/>
          </w:tcPr>
          <w:p w14:paraId="5EFA4390" w14:textId="77777777" w:rsidR="0089207C" w:rsidRPr="00AC3044" w:rsidRDefault="0089207C" w:rsidP="002D3EBF">
            <w:pPr>
              <w:rPr>
                <w:rFonts w:eastAsia="SimSun"/>
              </w:rPr>
            </w:pPr>
            <w:r w:rsidRPr="00AC3044">
              <w:rPr>
                <w:rFonts w:eastAsia="SimSun"/>
              </w:rPr>
              <w:t>Кондиционирование</w:t>
            </w:r>
          </w:p>
        </w:tc>
        <w:tc>
          <w:tcPr>
            <w:tcW w:w="1701" w:type="dxa"/>
            <w:vAlign w:val="center"/>
          </w:tcPr>
          <w:p w14:paraId="41FED15D" w14:textId="77777777" w:rsidR="0089207C" w:rsidRPr="00AC3044" w:rsidRDefault="0089207C" w:rsidP="002D3EBF">
            <w:pPr>
              <w:rPr>
                <w:rFonts w:eastAsia="SimSun"/>
              </w:rPr>
            </w:pPr>
            <w:r w:rsidRPr="00AC3044">
              <w:rPr>
                <w:rFonts w:eastAsia="SimSun"/>
              </w:rPr>
              <w:t xml:space="preserve">Флударабин </w:t>
            </w:r>
          </w:p>
        </w:tc>
        <w:tc>
          <w:tcPr>
            <w:tcW w:w="1559" w:type="dxa"/>
            <w:vAlign w:val="center"/>
          </w:tcPr>
          <w:p w14:paraId="67B2C5C2" w14:textId="77777777" w:rsidR="0089207C" w:rsidRPr="00AC3044" w:rsidRDefault="0089207C" w:rsidP="002D3EBF">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50598FAC" w14:textId="77777777" w:rsidR="0089207C" w:rsidRPr="00AC3044" w:rsidRDefault="0089207C" w:rsidP="002D3EBF">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16E99E6A" w14:textId="77777777" w:rsidR="0089207C" w:rsidRPr="00AC3044" w:rsidRDefault="0089207C" w:rsidP="002D3EBF">
            <w:pPr>
              <w:rPr>
                <w:rFonts w:eastAsia="SimSun"/>
              </w:rPr>
            </w:pPr>
            <w:r w:rsidRPr="00AC3044">
              <w:rPr>
                <w:rFonts w:eastAsia="SimSun"/>
              </w:rPr>
              <w:t>С -7 дня по -2 день</w:t>
            </w:r>
          </w:p>
        </w:tc>
        <w:tc>
          <w:tcPr>
            <w:tcW w:w="2268" w:type="dxa"/>
            <w:vAlign w:val="center"/>
          </w:tcPr>
          <w:p w14:paraId="1B6F15B0"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51F804F0" w14:textId="77777777" w:rsidTr="002D3EBF">
        <w:trPr>
          <w:cantSplit/>
          <w:trHeight w:val="1207"/>
        </w:trPr>
        <w:tc>
          <w:tcPr>
            <w:tcW w:w="959" w:type="dxa"/>
            <w:vMerge/>
            <w:vAlign w:val="center"/>
          </w:tcPr>
          <w:p w14:paraId="7D5D523A" w14:textId="77777777" w:rsidR="0089207C" w:rsidRPr="00AC3044" w:rsidRDefault="0089207C" w:rsidP="002D3EBF">
            <w:pPr>
              <w:rPr>
                <w:rFonts w:eastAsia="SimSun"/>
              </w:rPr>
            </w:pPr>
          </w:p>
        </w:tc>
        <w:tc>
          <w:tcPr>
            <w:tcW w:w="1701" w:type="dxa"/>
            <w:vAlign w:val="center"/>
          </w:tcPr>
          <w:p w14:paraId="00287D13" w14:textId="77777777" w:rsidR="0089207C" w:rsidRPr="00AC3044" w:rsidRDefault="0089207C" w:rsidP="002D3EBF">
            <w:pPr>
              <w:rPr>
                <w:rFonts w:eastAsia="SimSun"/>
              </w:rPr>
            </w:pPr>
            <w:r w:rsidRPr="00AC3044">
              <w:rPr>
                <w:rFonts w:eastAsia="SimSun"/>
              </w:rPr>
              <w:t>Бусульфан</w:t>
            </w:r>
          </w:p>
        </w:tc>
        <w:tc>
          <w:tcPr>
            <w:tcW w:w="1559" w:type="dxa"/>
            <w:vAlign w:val="center"/>
          </w:tcPr>
          <w:p w14:paraId="2C52FB13" w14:textId="77777777" w:rsidR="0089207C" w:rsidRPr="00AC3044" w:rsidRDefault="0089207C" w:rsidP="002D3EBF">
            <w:pPr>
              <w:rPr>
                <w:rFonts w:eastAsia="SimSun"/>
              </w:rPr>
            </w:pPr>
            <w:r w:rsidRPr="00AC3044">
              <w:rPr>
                <w:rFonts w:eastAsia="SimSun"/>
              </w:rPr>
              <w:t xml:space="preserve">4 мг/кг </w:t>
            </w:r>
          </w:p>
        </w:tc>
        <w:tc>
          <w:tcPr>
            <w:tcW w:w="1701" w:type="dxa"/>
            <w:vAlign w:val="center"/>
          </w:tcPr>
          <w:p w14:paraId="0676D216" w14:textId="77777777" w:rsidR="0089207C" w:rsidRPr="00AC3044" w:rsidRDefault="0089207C" w:rsidP="002D3EBF">
            <w:pPr>
              <w:rPr>
                <w:rFonts w:eastAsia="SimSun"/>
              </w:rPr>
            </w:pPr>
            <w:r w:rsidRPr="00AC3044">
              <w:rPr>
                <w:rFonts w:eastAsia="SimSun"/>
              </w:rPr>
              <w:t xml:space="preserve">10 мг/кг </w:t>
            </w:r>
          </w:p>
        </w:tc>
        <w:tc>
          <w:tcPr>
            <w:tcW w:w="1418" w:type="dxa"/>
            <w:vAlign w:val="center"/>
          </w:tcPr>
          <w:p w14:paraId="1766511D" w14:textId="77777777" w:rsidR="0089207C" w:rsidRPr="00AC3044" w:rsidRDefault="0089207C" w:rsidP="002D3EBF">
            <w:pPr>
              <w:rPr>
                <w:rFonts w:eastAsia="SimSun"/>
              </w:rPr>
            </w:pPr>
            <w:r w:rsidRPr="00AC3044">
              <w:rPr>
                <w:rFonts w:eastAsia="SimSun"/>
              </w:rPr>
              <w:t>С -5 дня по -3 день</w:t>
            </w:r>
          </w:p>
        </w:tc>
        <w:tc>
          <w:tcPr>
            <w:tcW w:w="2268" w:type="dxa"/>
            <w:vAlign w:val="center"/>
          </w:tcPr>
          <w:p w14:paraId="4B428513"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89207C" w:rsidRPr="00AC3044" w14:paraId="1A6AECC4" w14:textId="77777777" w:rsidTr="002D3EBF">
        <w:trPr>
          <w:cantSplit/>
          <w:trHeight w:val="1498"/>
        </w:trPr>
        <w:tc>
          <w:tcPr>
            <w:tcW w:w="959" w:type="dxa"/>
            <w:vMerge w:val="restart"/>
            <w:textDirection w:val="btLr"/>
            <w:vAlign w:val="center"/>
          </w:tcPr>
          <w:p w14:paraId="32E25FA1" w14:textId="77777777" w:rsidR="0089207C" w:rsidRPr="00AC3044" w:rsidRDefault="0089207C" w:rsidP="002D3EBF">
            <w:pPr>
              <w:rPr>
                <w:rFonts w:eastAsia="SimSun"/>
              </w:rPr>
            </w:pPr>
            <w:r w:rsidRPr="00AC3044">
              <w:rPr>
                <w:rFonts w:eastAsia="SimSun"/>
              </w:rPr>
              <w:t>Профилактика РТПХ</w:t>
            </w:r>
          </w:p>
        </w:tc>
        <w:tc>
          <w:tcPr>
            <w:tcW w:w="1701" w:type="dxa"/>
            <w:vAlign w:val="center"/>
          </w:tcPr>
          <w:p w14:paraId="317B614E" w14:textId="77777777" w:rsidR="0089207C" w:rsidRPr="00AC3044" w:rsidRDefault="0089207C" w:rsidP="002D3EBF">
            <w:pPr>
              <w:rPr>
                <w:rFonts w:eastAsia="SimSun"/>
              </w:rPr>
            </w:pPr>
            <w:r w:rsidRPr="00AC3044">
              <w:rPr>
                <w:rFonts w:eastAsia="SimSun"/>
              </w:rPr>
              <w:t>Циклофосфамид</w:t>
            </w:r>
          </w:p>
        </w:tc>
        <w:tc>
          <w:tcPr>
            <w:tcW w:w="1559" w:type="dxa"/>
            <w:vAlign w:val="center"/>
          </w:tcPr>
          <w:p w14:paraId="6550C18E" w14:textId="77777777" w:rsidR="0089207C" w:rsidRPr="00AC3044" w:rsidRDefault="0089207C" w:rsidP="002D3EBF">
            <w:pPr>
              <w:rPr>
                <w:rFonts w:eastAsia="SimSun"/>
              </w:rPr>
            </w:pPr>
            <w:r w:rsidRPr="00AC3044">
              <w:rPr>
                <w:rFonts w:eastAsia="SimSun"/>
              </w:rPr>
              <w:t>50 мг/кг</w:t>
            </w:r>
          </w:p>
        </w:tc>
        <w:tc>
          <w:tcPr>
            <w:tcW w:w="1701" w:type="dxa"/>
            <w:vAlign w:val="center"/>
          </w:tcPr>
          <w:p w14:paraId="661E44B8" w14:textId="77777777" w:rsidR="0089207C" w:rsidRPr="00AC3044" w:rsidRDefault="0089207C" w:rsidP="002D3EBF">
            <w:pPr>
              <w:rPr>
                <w:rFonts w:eastAsia="SimSun"/>
              </w:rPr>
            </w:pPr>
            <w:r w:rsidRPr="00AC3044">
              <w:rPr>
                <w:rFonts w:eastAsia="SimSun"/>
              </w:rPr>
              <w:t>100 мг/кг</w:t>
            </w:r>
          </w:p>
        </w:tc>
        <w:tc>
          <w:tcPr>
            <w:tcW w:w="1418" w:type="dxa"/>
            <w:vAlign w:val="center"/>
          </w:tcPr>
          <w:p w14:paraId="323F2268" w14:textId="77777777" w:rsidR="0089207C" w:rsidRPr="00AC3044" w:rsidRDefault="0089207C" w:rsidP="002D3EBF">
            <w:pPr>
              <w:rPr>
                <w:rFonts w:eastAsia="SimSun"/>
              </w:rPr>
            </w:pPr>
            <w:r w:rsidRPr="00AC3044">
              <w:rPr>
                <w:rFonts w:eastAsia="SimSun"/>
              </w:rPr>
              <w:t>С +3 дня по +4 день</w:t>
            </w:r>
          </w:p>
        </w:tc>
        <w:tc>
          <w:tcPr>
            <w:tcW w:w="2268" w:type="dxa"/>
            <w:vAlign w:val="center"/>
          </w:tcPr>
          <w:p w14:paraId="3B17C846"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5029E143" w14:textId="77777777" w:rsidTr="002D3EBF">
        <w:trPr>
          <w:cantSplit/>
          <w:trHeight w:val="958"/>
        </w:trPr>
        <w:tc>
          <w:tcPr>
            <w:tcW w:w="959" w:type="dxa"/>
            <w:vMerge/>
            <w:textDirection w:val="btLr"/>
            <w:vAlign w:val="center"/>
          </w:tcPr>
          <w:p w14:paraId="1309CBAF" w14:textId="77777777" w:rsidR="0089207C" w:rsidRPr="00AC3044" w:rsidRDefault="0089207C" w:rsidP="002D3EBF">
            <w:pPr>
              <w:rPr>
                <w:rFonts w:eastAsia="SimSun"/>
              </w:rPr>
            </w:pPr>
          </w:p>
        </w:tc>
        <w:tc>
          <w:tcPr>
            <w:tcW w:w="1701" w:type="dxa"/>
            <w:vAlign w:val="center"/>
          </w:tcPr>
          <w:p w14:paraId="79D7C00D" w14:textId="77777777" w:rsidR="0089207C" w:rsidRPr="00AC3044" w:rsidRDefault="0089207C" w:rsidP="002D3EBF">
            <w:pPr>
              <w:rPr>
                <w:rFonts w:eastAsia="SimSun"/>
              </w:rPr>
            </w:pPr>
            <w:r w:rsidRPr="00AC3044">
              <w:rPr>
                <w:rFonts w:eastAsia="SimSun"/>
              </w:rPr>
              <w:t xml:space="preserve">Такролимус </w:t>
            </w:r>
          </w:p>
        </w:tc>
        <w:tc>
          <w:tcPr>
            <w:tcW w:w="1559" w:type="dxa"/>
            <w:vAlign w:val="center"/>
          </w:tcPr>
          <w:p w14:paraId="64EFBDDD" w14:textId="77777777" w:rsidR="0089207C" w:rsidRPr="00AC3044" w:rsidRDefault="0089207C" w:rsidP="002D3EBF">
            <w:pPr>
              <w:rPr>
                <w:rFonts w:eastAsia="SimSun"/>
              </w:rPr>
            </w:pPr>
            <w:r w:rsidRPr="00AC3044">
              <w:rPr>
                <w:rFonts w:eastAsia="SimSun"/>
              </w:rPr>
              <w:t>0,03 мг/кг</w:t>
            </w:r>
          </w:p>
        </w:tc>
        <w:tc>
          <w:tcPr>
            <w:tcW w:w="1701" w:type="dxa"/>
            <w:vAlign w:val="center"/>
          </w:tcPr>
          <w:p w14:paraId="5C53ACF6" w14:textId="77777777" w:rsidR="0089207C" w:rsidRPr="00AC3044" w:rsidRDefault="0089207C" w:rsidP="002D3EBF">
            <w:pPr>
              <w:rPr>
                <w:rFonts w:eastAsia="SimSun"/>
              </w:rPr>
            </w:pPr>
            <w:r w:rsidRPr="00AC3044">
              <w:rPr>
                <w:rFonts w:eastAsia="SimSun"/>
              </w:rPr>
              <w:t>–</w:t>
            </w:r>
          </w:p>
        </w:tc>
        <w:tc>
          <w:tcPr>
            <w:tcW w:w="1418" w:type="dxa"/>
            <w:vAlign w:val="center"/>
          </w:tcPr>
          <w:p w14:paraId="111F45DE" w14:textId="77777777" w:rsidR="0089207C" w:rsidRPr="00AC3044" w:rsidRDefault="0089207C" w:rsidP="002D3EBF">
            <w:pPr>
              <w:rPr>
                <w:rFonts w:eastAsia="SimSun"/>
              </w:rPr>
            </w:pPr>
            <w:r w:rsidRPr="00AC3044">
              <w:rPr>
                <w:rFonts w:eastAsia="SimSun"/>
              </w:rPr>
              <w:t xml:space="preserve">С +5 дня длительно </w:t>
            </w:r>
          </w:p>
        </w:tc>
        <w:tc>
          <w:tcPr>
            <w:tcW w:w="2268" w:type="dxa"/>
            <w:vAlign w:val="center"/>
          </w:tcPr>
          <w:p w14:paraId="77C809B8" w14:textId="77777777" w:rsidR="0089207C" w:rsidRPr="00AC3044" w:rsidRDefault="0089207C" w:rsidP="002D3EBF">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9207C" w:rsidRPr="00AC3044" w14:paraId="5CFDDEFA" w14:textId="77777777" w:rsidTr="002D3EBF">
        <w:trPr>
          <w:cantSplit/>
          <w:trHeight w:val="986"/>
        </w:trPr>
        <w:tc>
          <w:tcPr>
            <w:tcW w:w="959" w:type="dxa"/>
            <w:vMerge/>
            <w:textDirection w:val="btLr"/>
            <w:vAlign w:val="center"/>
          </w:tcPr>
          <w:p w14:paraId="71B3A645" w14:textId="77777777" w:rsidR="0089207C" w:rsidRPr="00AC3044" w:rsidRDefault="0089207C" w:rsidP="002D3EBF">
            <w:pPr>
              <w:rPr>
                <w:rFonts w:eastAsia="SimSun"/>
              </w:rPr>
            </w:pPr>
          </w:p>
        </w:tc>
        <w:tc>
          <w:tcPr>
            <w:tcW w:w="1701" w:type="dxa"/>
            <w:vAlign w:val="center"/>
          </w:tcPr>
          <w:p w14:paraId="13FEAA97" w14:textId="77777777" w:rsidR="0089207C" w:rsidRPr="00AC3044" w:rsidRDefault="0089207C" w:rsidP="002D3EBF">
            <w:pPr>
              <w:rPr>
                <w:rFonts w:eastAsia="SimSun"/>
              </w:rPr>
            </w:pPr>
            <w:r w:rsidRPr="00AC3044">
              <w:rPr>
                <w:rFonts w:eastAsia="SimSun"/>
              </w:rPr>
              <w:t>Микофенолата мофетил</w:t>
            </w:r>
          </w:p>
        </w:tc>
        <w:tc>
          <w:tcPr>
            <w:tcW w:w="1559" w:type="dxa"/>
            <w:vAlign w:val="center"/>
          </w:tcPr>
          <w:p w14:paraId="2BE330B5" w14:textId="77777777" w:rsidR="0089207C" w:rsidRPr="00AC3044" w:rsidRDefault="0089207C" w:rsidP="002D3EBF">
            <w:pPr>
              <w:rPr>
                <w:rFonts w:eastAsia="SimSun"/>
              </w:rPr>
            </w:pPr>
            <w:r w:rsidRPr="00AC3044">
              <w:rPr>
                <w:rFonts w:eastAsia="SimSun"/>
              </w:rPr>
              <w:t xml:space="preserve">30 мг/кг </w:t>
            </w:r>
          </w:p>
        </w:tc>
        <w:tc>
          <w:tcPr>
            <w:tcW w:w="1701" w:type="dxa"/>
            <w:vAlign w:val="center"/>
          </w:tcPr>
          <w:p w14:paraId="45D05F07" w14:textId="77777777" w:rsidR="0089207C" w:rsidRPr="00AC3044" w:rsidRDefault="0089207C" w:rsidP="002D3EBF">
            <w:pPr>
              <w:rPr>
                <w:rFonts w:eastAsia="SimSun"/>
              </w:rPr>
            </w:pPr>
            <w:r w:rsidRPr="00AC3044">
              <w:rPr>
                <w:rFonts w:eastAsia="SimSun"/>
              </w:rPr>
              <w:t>–</w:t>
            </w:r>
          </w:p>
        </w:tc>
        <w:tc>
          <w:tcPr>
            <w:tcW w:w="1418" w:type="dxa"/>
            <w:vAlign w:val="center"/>
          </w:tcPr>
          <w:p w14:paraId="65DA7020" w14:textId="77777777" w:rsidR="0089207C" w:rsidRPr="00AC3044" w:rsidRDefault="0089207C" w:rsidP="002D3EBF">
            <w:pPr>
              <w:rPr>
                <w:rFonts w:eastAsia="SimSun"/>
              </w:rPr>
            </w:pPr>
            <w:r w:rsidRPr="00AC3044">
              <w:rPr>
                <w:rFonts w:eastAsia="SimSun"/>
              </w:rPr>
              <w:t xml:space="preserve">С +5 дня по +35 день </w:t>
            </w:r>
          </w:p>
        </w:tc>
        <w:tc>
          <w:tcPr>
            <w:tcW w:w="2268" w:type="dxa"/>
            <w:vAlign w:val="center"/>
          </w:tcPr>
          <w:p w14:paraId="080C5AA3" w14:textId="77777777" w:rsidR="0089207C" w:rsidRPr="00AC3044" w:rsidRDefault="0089207C" w:rsidP="002D3EBF">
            <w:pPr>
              <w:rPr>
                <w:rFonts w:eastAsia="SimSun"/>
              </w:rPr>
            </w:pPr>
            <w:r w:rsidRPr="00AC3044">
              <w:rPr>
                <w:rFonts w:eastAsia="SimSun"/>
              </w:rPr>
              <w:t>Внутрь, суммарная суточная доза разделяется на 2- 4 приема.</w:t>
            </w:r>
          </w:p>
        </w:tc>
      </w:tr>
    </w:tbl>
    <w:p w14:paraId="12600CC4" w14:textId="77777777" w:rsidR="0089207C" w:rsidRPr="00C07B2E" w:rsidRDefault="0089207C" w:rsidP="0089207C">
      <w:pPr>
        <w:rPr>
          <w:rFonts w:eastAsia="SimSun"/>
        </w:rPr>
      </w:pPr>
    </w:p>
    <w:p w14:paraId="09D67CEB" w14:textId="77777777" w:rsidR="0089207C" w:rsidRPr="00C07B2E" w:rsidRDefault="0089207C" w:rsidP="0089207C">
      <w:pPr>
        <w:rPr>
          <w:rFonts w:eastAsia="SimSun"/>
        </w:rPr>
      </w:pPr>
      <w:bookmarkStart w:id="224" w:name="_Toc44401173"/>
      <w:r w:rsidRPr="00042499">
        <w:rPr>
          <w:rFonts w:eastAsia="SimSun"/>
        </w:rPr>
        <w:t>Таблица</w:t>
      </w:r>
      <w:r w:rsidRPr="00C07B2E">
        <w:rPr>
          <w:rFonts w:eastAsia="SimSun"/>
        </w:rPr>
        <w:t xml:space="preserve"> </w:t>
      </w:r>
      <w:r>
        <w:rPr>
          <w:rFonts w:eastAsia="SimSun"/>
        </w:rPr>
        <w:t>5.</w:t>
      </w:r>
      <w:r w:rsidRPr="00C07B2E">
        <w:rPr>
          <w:rFonts w:eastAsia="SimSun"/>
        </w:rPr>
        <w:t>1.2.15  – Flu180+Bu10 / PT-Cy+Ruxo</w:t>
      </w:r>
      <w:bookmarkEnd w:id="224"/>
      <w:r w:rsidRPr="00C07B2E">
        <w:rPr>
          <w:rFonts w:eastAsia="SimSun"/>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667"/>
        <w:gridCol w:w="1559"/>
        <w:gridCol w:w="1701"/>
        <w:gridCol w:w="1418"/>
        <w:gridCol w:w="2268"/>
      </w:tblGrid>
      <w:tr w:rsidR="0089207C" w:rsidRPr="00AC3044" w14:paraId="3F514B12" w14:textId="77777777" w:rsidTr="002D3EBF">
        <w:trPr>
          <w:cantSplit/>
          <w:trHeight w:val="20"/>
          <w:tblHeader/>
        </w:trPr>
        <w:tc>
          <w:tcPr>
            <w:tcW w:w="993" w:type="dxa"/>
            <w:vAlign w:val="center"/>
          </w:tcPr>
          <w:p w14:paraId="04830251" w14:textId="77777777" w:rsidR="0089207C" w:rsidRPr="00470D3D" w:rsidRDefault="0089207C" w:rsidP="002D3EBF">
            <w:pPr>
              <w:rPr>
                <w:rFonts w:eastAsia="SimSun"/>
              </w:rPr>
            </w:pPr>
          </w:p>
        </w:tc>
        <w:tc>
          <w:tcPr>
            <w:tcW w:w="1667" w:type="dxa"/>
            <w:vAlign w:val="center"/>
          </w:tcPr>
          <w:p w14:paraId="30FC80B8" w14:textId="77777777" w:rsidR="0089207C" w:rsidRPr="00AC3044" w:rsidRDefault="0089207C" w:rsidP="002D3EBF">
            <w:pPr>
              <w:rPr>
                <w:rFonts w:eastAsia="SimSun"/>
              </w:rPr>
            </w:pPr>
            <w:r w:rsidRPr="00AC3044">
              <w:rPr>
                <w:rFonts w:eastAsia="SimSun"/>
              </w:rPr>
              <w:t>Препарат</w:t>
            </w:r>
          </w:p>
        </w:tc>
        <w:tc>
          <w:tcPr>
            <w:tcW w:w="1559" w:type="dxa"/>
            <w:vAlign w:val="center"/>
          </w:tcPr>
          <w:p w14:paraId="61E2DB86" w14:textId="77777777" w:rsidR="0089207C" w:rsidRPr="00AC3044" w:rsidRDefault="0089207C" w:rsidP="002D3EBF">
            <w:pPr>
              <w:rPr>
                <w:rFonts w:eastAsia="SimSun"/>
              </w:rPr>
            </w:pPr>
            <w:r w:rsidRPr="00AC3044">
              <w:rPr>
                <w:rFonts w:eastAsia="SimSun"/>
              </w:rPr>
              <w:t>Суточная доза</w:t>
            </w:r>
          </w:p>
        </w:tc>
        <w:tc>
          <w:tcPr>
            <w:tcW w:w="1701" w:type="dxa"/>
            <w:vAlign w:val="center"/>
          </w:tcPr>
          <w:p w14:paraId="570C84DC" w14:textId="77777777" w:rsidR="0089207C" w:rsidRPr="00AC3044" w:rsidRDefault="0089207C" w:rsidP="002D3EBF">
            <w:pPr>
              <w:rPr>
                <w:rFonts w:eastAsia="SimSun"/>
              </w:rPr>
            </w:pPr>
            <w:r w:rsidRPr="00AC3044">
              <w:rPr>
                <w:rFonts w:eastAsia="SimSun"/>
              </w:rPr>
              <w:t>Курсовая доза</w:t>
            </w:r>
          </w:p>
        </w:tc>
        <w:tc>
          <w:tcPr>
            <w:tcW w:w="1418" w:type="dxa"/>
            <w:vAlign w:val="center"/>
          </w:tcPr>
          <w:p w14:paraId="1651DC51"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5D7DD495"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0AD46832" w14:textId="77777777" w:rsidTr="002D3EBF">
        <w:trPr>
          <w:cantSplit/>
          <w:trHeight w:val="20"/>
        </w:trPr>
        <w:tc>
          <w:tcPr>
            <w:tcW w:w="993" w:type="dxa"/>
            <w:vMerge w:val="restart"/>
            <w:textDirection w:val="btLr"/>
            <w:vAlign w:val="center"/>
          </w:tcPr>
          <w:p w14:paraId="2CB9BD71" w14:textId="77777777" w:rsidR="0089207C" w:rsidRPr="00AC3044" w:rsidRDefault="0089207C" w:rsidP="002D3EBF">
            <w:pPr>
              <w:rPr>
                <w:rFonts w:eastAsia="SimSun"/>
              </w:rPr>
            </w:pPr>
            <w:r w:rsidRPr="00AC3044">
              <w:rPr>
                <w:rFonts w:eastAsia="SimSun"/>
              </w:rPr>
              <w:t>Кондиционирование</w:t>
            </w:r>
          </w:p>
        </w:tc>
        <w:tc>
          <w:tcPr>
            <w:tcW w:w="1667" w:type="dxa"/>
            <w:vAlign w:val="center"/>
          </w:tcPr>
          <w:p w14:paraId="6CA571F6" w14:textId="77777777" w:rsidR="0089207C" w:rsidRPr="00AC3044" w:rsidRDefault="0089207C" w:rsidP="002D3EBF">
            <w:pPr>
              <w:rPr>
                <w:rFonts w:eastAsia="SimSun"/>
              </w:rPr>
            </w:pPr>
            <w:r w:rsidRPr="00AC3044">
              <w:rPr>
                <w:rFonts w:eastAsia="SimSun"/>
              </w:rPr>
              <w:t xml:space="preserve">Флударабин </w:t>
            </w:r>
          </w:p>
        </w:tc>
        <w:tc>
          <w:tcPr>
            <w:tcW w:w="1559" w:type="dxa"/>
            <w:vAlign w:val="center"/>
          </w:tcPr>
          <w:p w14:paraId="2211E95F" w14:textId="77777777" w:rsidR="0089207C" w:rsidRPr="00AC3044" w:rsidRDefault="0089207C" w:rsidP="002D3EBF">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2432B6DB" w14:textId="77777777" w:rsidR="0089207C" w:rsidRPr="00AC3044" w:rsidRDefault="0089207C" w:rsidP="002D3EBF">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489DC520" w14:textId="77777777" w:rsidR="0089207C" w:rsidRPr="00AC3044" w:rsidRDefault="0089207C" w:rsidP="002D3EBF">
            <w:pPr>
              <w:rPr>
                <w:rFonts w:eastAsia="SimSun"/>
              </w:rPr>
            </w:pPr>
            <w:r w:rsidRPr="00AC3044">
              <w:rPr>
                <w:rFonts w:eastAsia="SimSun"/>
              </w:rPr>
              <w:t>С -7 дня по -2 день</w:t>
            </w:r>
          </w:p>
        </w:tc>
        <w:tc>
          <w:tcPr>
            <w:tcW w:w="2268" w:type="dxa"/>
            <w:vAlign w:val="center"/>
          </w:tcPr>
          <w:p w14:paraId="67A04719"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40B29441" w14:textId="77777777" w:rsidTr="002D3EBF">
        <w:trPr>
          <w:cantSplit/>
          <w:trHeight w:val="1207"/>
        </w:trPr>
        <w:tc>
          <w:tcPr>
            <w:tcW w:w="993" w:type="dxa"/>
            <w:vMerge/>
            <w:vAlign w:val="center"/>
          </w:tcPr>
          <w:p w14:paraId="11ADFF0A" w14:textId="77777777" w:rsidR="0089207C" w:rsidRPr="00AC3044" w:rsidRDefault="0089207C" w:rsidP="002D3EBF">
            <w:pPr>
              <w:rPr>
                <w:rFonts w:eastAsia="SimSun"/>
              </w:rPr>
            </w:pPr>
          </w:p>
        </w:tc>
        <w:tc>
          <w:tcPr>
            <w:tcW w:w="1667" w:type="dxa"/>
            <w:vAlign w:val="center"/>
          </w:tcPr>
          <w:p w14:paraId="5B1DD0F0" w14:textId="77777777" w:rsidR="0089207C" w:rsidRPr="00AC3044" w:rsidRDefault="0089207C" w:rsidP="002D3EBF">
            <w:pPr>
              <w:rPr>
                <w:rFonts w:eastAsia="SimSun"/>
              </w:rPr>
            </w:pPr>
            <w:r w:rsidRPr="00AC3044">
              <w:rPr>
                <w:rFonts w:eastAsia="SimSun"/>
              </w:rPr>
              <w:t>Бусульфан</w:t>
            </w:r>
          </w:p>
        </w:tc>
        <w:tc>
          <w:tcPr>
            <w:tcW w:w="1559" w:type="dxa"/>
            <w:vAlign w:val="center"/>
          </w:tcPr>
          <w:p w14:paraId="21E56AC5" w14:textId="77777777" w:rsidR="0089207C" w:rsidRPr="00AC3044" w:rsidRDefault="0089207C" w:rsidP="002D3EBF">
            <w:pPr>
              <w:rPr>
                <w:rFonts w:eastAsia="SimSun"/>
              </w:rPr>
            </w:pPr>
            <w:r w:rsidRPr="00AC3044">
              <w:rPr>
                <w:rFonts w:eastAsia="SimSun"/>
              </w:rPr>
              <w:t xml:space="preserve">4 мг/кг </w:t>
            </w:r>
          </w:p>
        </w:tc>
        <w:tc>
          <w:tcPr>
            <w:tcW w:w="1701" w:type="dxa"/>
            <w:vAlign w:val="center"/>
          </w:tcPr>
          <w:p w14:paraId="793DCA66" w14:textId="77777777" w:rsidR="0089207C" w:rsidRPr="00AC3044" w:rsidRDefault="0089207C" w:rsidP="002D3EBF">
            <w:pPr>
              <w:rPr>
                <w:rFonts w:eastAsia="SimSun"/>
              </w:rPr>
            </w:pPr>
            <w:r w:rsidRPr="00AC3044">
              <w:rPr>
                <w:rFonts w:eastAsia="SimSun"/>
              </w:rPr>
              <w:t xml:space="preserve">10 мг/кг </w:t>
            </w:r>
          </w:p>
        </w:tc>
        <w:tc>
          <w:tcPr>
            <w:tcW w:w="1418" w:type="dxa"/>
            <w:vAlign w:val="center"/>
          </w:tcPr>
          <w:p w14:paraId="528AAC28" w14:textId="77777777" w:rsidR="0089207C" w:rsidRPr="00AC3044" w:rsidRDefault="0089207C" w:rsidP="002D3EBF">
            <w:pPr>
              <w:rPr>
                <w:rFonts w:eastAsia="SimSun"/>
              </w:rPr>
            </w:pPr>
            <w:r w:rsidRPr="00AC3044">
              <w:rPr>
                <w:rFonts w:eastAsia="SimSun"/>
              </w:rPr>
              <w:t>С -5 дня по -3 день</w:t>
            </w:r>
          </w:p>
        </w:tc>
        <w:tc>
          <w:tcPr>
            <w:tcW w:w="2268" w:type="dxa"/>
            <w:vAlign w:val="center"/>
          </w:tcPr>
          <w:p w14:paraId="2CFB532C"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89207C" w:rsidRPr="00AC3044" w14:paraId="17839F68" w14:textId="77777777" w:rsidTr="002D3EBF">
        <w:trPr>
          <w:cantSplit/>
          <w:trHeight w:val="582"/>
        </w:trPr>
        <w:tc>
          <w:tcPr>
            <w:tcW w:w="993" w:type="dxa"/>
            <w:vMerge w:val="restart"/>
            <w:textDirection w:val="btLr"/>
            <w:vAlign w:val="center"/>
          </w:tcPr>
          <w:p w14:paraId="1DEE5037" w14:textId="77777777" w:rsidR="0089207C" w:rsidRPr="00AC3044" w:rsidRDefault="0089207C" w:rsidP="002D3EBF">
            <w:pPr>
              <w:rPr>
                <w:rFonts w:eastAsia="SimSun"/>
              </w:rPr>
            </w:pPr>
            <w:r w:rsidRPr="00AC3044">
              <w:rPr>
                <w:rFonts w:eastAsia="SimSun"/>
              </w:rPr>
              <w:t>Профилактика РТПХ</w:t>
            </w:r>
          </w:p>
        </w:tc>
        <w:tc>
          <w:tcPr>
            <w:tcW w:w="1667" w:type="dxa"/>
            <w:vAlign w:val="center"/>
          </w:tcPr>
          <w:p w14:paraId="5A881636" w14:textId="77777777" w:rsidR="0089207C" w:rsidRPr="00AC3044" w:rsidRDefault="0089207C" w:rsidP="002D3EBF">
            <w:pPr>
              <w:rPr>
                <w:rFonts w:eastAsia="SimSun"/>
              </w:rPr>
            </w:pPr>
            <w:r w:rsidRPr="00AC3044">
              <w:rPr>
                <w:rFonts w:eastAsia="SimSun"/>
              </w:rPr>
              <w:t>Циклофосфамид</w:t>
            </w:r>
          </w:p>
        </w:tc>
        <w:tc>
          <w:tcPr>
            <w:tcW w:w="1559" w:type="dxa"/>
            <w:vAlign w:val="center"/>
          </w:tcPr>
          <w:p w14:paraId="31C8F35B" w14:textId="77777777" w:rsidR="0089207C" w:rsidRPr="00AC3044" w:rsidRDefault="0089207C" w:rsidP="002D3EBF">
            <w:pPr>
              <w:rPr>
                <w:rFonts w:eastAsia="SimSun"/>
              </w:rPr>
            </w:pPr>
            <w:r w:rsidRPr="00AC3044">
              <w:rPr>
                <w:rFonts w:eastAsia="SimSun"/>
              </w:rPr>
              <w:t>50 мг/кг</w:t>
            </w:r>
          </w:p>
        </w:tc>
        <w:tc>
          <w:tcPr>
            <w:tcW w:w="1701" w:type="dxa"/>
            <w:vAlign w:val="center"/>
          </w:tcPr>
          <w:p w14:paraId="052CA674" w14:textId="77777777" w:rsidR="0089207C" w:rsidRPr="00AC3044" w:rsidRDefault="0089207C" w:rsidP="002D3EBF">
            <w:pPr>
              <w:rPr>
                <w:rFonts w:eastAsia="SimSun"/>
              </w:rPr>
            </w:pPr>
            <w:r w:rsidRPr="00AC3044">
              <w:rPr>
                <w:rFonts w:eastAsia="SimSun"/>
              </w:rPr>
              <w:t>100 мг/кг</w:t>
            </w:r>
          </w:p>
        </w:tc>
        <w:tc>
          <w:tcPr>
            <w:tcW w:w="1418" w:type="dxa"/>
            <w:vAlign w:val="center"/>
          </w:tcPr>
          <w:p w14:paraId="1CFA730E" w14:textId="77777777" w:rsidR="0089207C" w:rsidRPr="00AC3044" w:rsidRDefault="0089207C" w:rsidP="002D3EBF">
            <w:pPr>
              <w:rPr>
                <w:rFonts w:eastAsia="SimSun"/>
              </w:rPr>
            </w:pPr>
            <w:r w:rsidRPr="00AC3044">
              <w:rPr>
                <w:rFonts w:eastAsia="SimSun"/>
              </w:rPr>
              <w:t>С +3 дня по +4 день</w:t>
            </w:r>
          </w:p>
        </w:tc>
        <w:tc>
          <w:tcPr>
            <w:tcW w:w="2268" w:type="dxa"/>
            <w:vAlign w:val="center"/>
          </w:tcPr>
          <w:p w14:paraId="4F1C9B6E"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0F06D6EA" w14:textId="77777777" w:rsidTr="002D3EBF">
        <w:trPr>
          <w:cantSplit/>
          <w:trHeight w:val="562"/>
        </w:trPr>
        <w:tc>
          <w:tcPr>
            <w:tcW w:w="993" w:type="dxa"/>
            <w:vMerge/>
            <w:textDirection w:val="btLr"/>
            <w:vAlign w:val="center"/>
          </w:tcPr>
          <w:p w14:paraId="2F872775" w14:textId="77777777" w:rsidR="0089207C" w:rsidRPr="00AC3044" w:rsidRDefault="0089207C" w:rsidP="002D3EBF">
            <w:pPr>
              <w:rPr>
                <w:rFonts w:eastAsia="SimSun"/>
              </w:rPr>
            </w:pPr>
          </w:p>
        </w:tc>
        <w:tc>
          <w:tcPr>
            <w:tcW w:w="1667" w:type="dxa"/>
            <w:vAlign w:val="center"/>
          </w:tcPr>
          <w:p w14:paraId="6F0182B3" w14:textId="77777777" w:rsidR="0089207C" w:rsidRPr="00AC3044" w:rsidRDefault="0089207C" w:rsidP="002D3EBF">
            <w:pPr>
              <w:rPr>
                <w:rFonts w:eastAsia="SimSun"/>
              </w:rPr>
            </w:pPr>
            <w:r w:rsidRPr="00AC3044">
              <w:rPr>
                <w:rFonts w:eastAsia="SimSun"/>
              </w:rPr>
              <w:t>Руксолитиниб</w:t>
            </w:r>
          </w:p>
        </w:tc>
        <w:tc>
          <w:tcPr>
            <w:tcW w:w="1559" w:type="dxa"/>
            <w:vAlign w:val="center"/>
          </w:tcPr>
          <w:p w14:paraId="28000D02" w14:textId="77777777" w:rsidR="0089207C" w:rsidRPr="00AC3044" w:rsidRDefault="0089207C" w:rsidP="002D3EBF">
            <w:pPr>
              <w:rPr>
                <w:rFonts w:eastAsia="SimSun"/>
              </w:rPr>
            </w:pPr>
            <w:r w:rsidRPr="00AC3044">
              <w:rPr>
                <w:rFonts w:eastAsia="SimSun"/>
              </w:rPr>
              <w:t>45 мг</w:t>
            </w:r>
          </w:p>
        </w:tc>
        <w:tc>
          <w:tcPr>
            <w:tcW w:w="1701" w:type="dxa"/>
            <w:vAlign w:val="center"/>
          </w:tcPr>
          <w:p w14:paraId="24FFC27F" w14:textId="77777777" w:rsidR="0089207C" w:rsidRPr="00AC3044" w:rsidRDefault="0089207C" w:rsidP="002D3EBF">
            <w:pPr>
              <w:rPr>
                <w:rFonts w:eastAsia="SimSun"/>
              </w:rPr>
            </w:pPr>
            <w:r w:rsidRPr="00AC3044">
              <w:rPr>
                <w:rFonts w:eastAsia="SimSun"/>
              </w:rPr>
              <w:t>270 мг</w:t>
            </w:r>
          </w:p>
        </w:tc>
        <w:tc>
          <w:tcPr>
            <w:tcW w:w="1418" w:type="dxa"/>
            <w:vAlign w:val="center"/>
          </w:tcPr>
          <w:p w14:paraId="02D54188" w14:textId="77777777" w:rsidR="0089207C" w:rsidRPr="00AC3044" w:rsidRDefault="0089207C" w:rsidP="002D3EBF">
            <w:pPr>
              <w:rPr>
                <w:rFonts w:eastAsia="SimSun"/>
              </w:rPr>
            </w:pPr>
            <w:r w:rsidRPr="00AC3044">
              <w:rPr>
                <w:rFonts w:eastAsia="SimSun"/>
              </w:rPr>
              <w:t xml:space="preserve">С -7 дня по -2 день </w:t>
            </w:r>
          </w:p>
        </w:tc>
        <w:tc>
          <w:tcPr>
            <w:tcW w:w="2268" w:type="dxa"/>
            <w:vAlign w:val="center"/>
          </w:tcPr>
          <w:p w14:paraId="4A3FA525" w14:textId="77777777" w:rsidR="0089207C" w:rsidRPr="00AC3044" w:rsidRDefault="0089207C" w:rsidP="002D3EBF">
            <w:pPr>
              <w:rPr>
                <w:rFonts w:eastAsia="SimSun"/>
              </w:rPr>
            </w:pPr>
            <w:r w:rsidRPr="00AC3044">
              <w:rPr>
                <w:rFonts w:eastAsia="SimSun"/>
              </w:rPr>
              <w:t xml:space="preserve">Внутрь суточную дозу </w:t>
            </w:r>
          </w:p>
          <w:p w14:paraId="06AF52C4" w14:textId="77777777" w:rsidR="0089207C" w:rsidRPr="00AC3044" w:rsidRDefault="0089207C" w:rsidP="002D3EBF">
            <w:pPr>
              <w:rPr>
                <w:rFonts w:eastAsia="SimSun"/>
              </w:rPr>
            </w:pPr>
            <w:r w:rsidRPr="00AC3044">
              <w:rPr>
                <w:rFonts w:eastAsia="SimSun"/>
              </w:rPr>
              <w:t>за 3 приема</w:t>
            </w:r>
          </w:p>
        </w:tc>
      </w:tr>
      <w:tr w:rsidR="0089207C" w:rsidRPr="00AC3044" w14:paraId="221B3F80" w14:textId="77777777" w:rsidTr="002D3EBF">
        <w:trPr>
          <w:cantSplit/>
          <w:trHeight w:val="769"/>
        </w:trPr>
        <w:tc>
          <w:tcPr>
            <w:tcW w:w="993" w:type="dxa"/>
            <w:vMerge/>
            <w:textDirection w:val="btLr"/>
            <w:vAlign w:val="center"/>
          </w:tcPr>
          <w:p w14:paraId="146F7AD8" w14:textId="77777777" w:rsidR="0089207C" w:rsidRPr="00AC3044" w:rsidRDefault="0089207C" w:rsidP="002D3EBF">
            <w:pPr>
              <w:rPr>
                <w:rFonts w:eastAsia="SimSun"/>
              </w:rPr>
            </w:pPr>
          </w:p>
        </w:tc>
        <w:tc>
          <w:tcPr>
            <w:tcW w:w="1667" w:type="dxa"/>
            <w:vAlign w:val="center"/>
          </w:tcPr>
          <w:p w14:paraId="13C86DEA" w14:textId="77777777" w:rsidR="0089207C" w:rsidRPr="00AC3044" w:rsidRDefault="0089207C" w:rsidP="002D3EBF">
            <w:pPr>
              <w:rPr>
                <w:rFonts w:eastAsia="SimSun"/>
              </w:rPr>
            </w:pPr>
            <w:r w:rsidRPr="00AC3044">
              <w:rPr>
                <w:rFonts w:eastAsia="SimSun"/>
              </w:rPr>
              <w:t xml:space="preserve">Руксолитиниб </w:t>
            </w:r>
          </w:p>
        </w:tc>
        <w:tc>
          <w:tcPr>
            <w:tcW w:w="1559" w:type="dxa"/>
            <w:vAlign w:val="center"/>
          </w:tcPr>
          <w:p w14:paraId="0B2D5B64" w14:textId="77777777" w:rsidR="0089207C" w:rsidRPr="00AC3044" w:rsidRDefault="0089207C" w:rsidP="002D3EBF">
            <w:pPr>
              <w:rPr>
                <w:rFonts w:eastAsia="SimSun"/>
              </w:rPr>
            </w:pPr>
            <w:r w:rsidRPr="00AC3044">
              <w:rPr>
                <w:rFonts w:eastAsia="SimSun"/>
              </w:rPr>
              <w:t>15 мг</w:t>
            </w:r>
          </w:p>
        </w:tc>
        <w:tc>
          <w:tcPr>
            <w:tcW w:w="1701" w:type="dxa"/>
            <w:vAlign w:val="center"/>
          </w:tcPr>
          <w:p w14:paraId="6617B356" w14:textId="77777777" w:rsidR="0089207C" w:rsidRPr="00AC3044" w:rsidRDefault="0089207C" w:rsidP="002D3EBF">
            <w:pPr>
              <w:rPr>
                <w:rFonts w:eastAsia="SimSun"/>
              </w:rPr>
            </w:pPr>
            <w:r w:rsidRPr="00AC3044">
              <w:rPr>
                <w:rFonts w:eastAsia="SimSun"/>
              </w:rPr>
              <w:t>-</w:t>
            </w:r>
          </w:p>
        </w:tc>
        <w:tc>
          <w:tcPr>
            <w:tcW w:w="1418" w:type="dxa"/>
            <w:vAlign w:val="center"/>
          </w:tcPr>
          <w:p w14:paraId="3647EA4C" w14:textId="77777777" w:rsidR="0089207C" w:rsidRPr="00AC3044" w:rsidRDefault="0089207C" w:rsidP="002D3EBF">
            <w:pPr>
              <w:rPr>
                <w:rFonts w:eastAsia="SimSun"/>
              </w:rPr>
            </w:pPr>
            <w:r w:rsidRPr="00AC3044">
              <w:rPr>
                <w:rFonts w:eastAsia="SimSun"/>
              </w:rPr>
              <w:t>С +5 дня по +100 день</w:t>
            </w:r>
          </w:p>
        </w:tc>
        <w:tc>
          <w:tcPr>
            <w:tcW w:w="2268" w:type="dxa"/>
            <w:vAlign w:val="center"/>
          </w:tcPr>
          <w:p w14:paraId="7FF42957" w14:textId="77777777" w:rsidR="0089207C" w:rsidRPr="00AC3044" w:rsidRDefault="0089207C" w:rsidP="002D3EBF">
            <w:pPr>
              <w:rPr>
                <w:rFonts w:eastAsia="SimSun"/>
              </w:rPr>
            </w:pPr>
            <w:r w:rsidRPr="00AC3044">
              <w:rPr>
                <w:rFonts w:eastAsia="SimSun"/>
              </w:rPr>
              <w:t xml:space="preserve">Внутрь суточную дозу </w:t>
            </w:r>
          </w:p>
          <w:p w14:paraId="54E2F699" w14:textId="77777777" w:rsidR="0089207C" w:rsidRPr="00AC3044" w:rsidRDefault="0089207C" w:rsidP="002D3EBF">
            <w:pPr>
              <w:rPr>
                <w:rFonts w:eastAsia="SimSun"/>
              </w:rPr>
            </w:pPr>
            <w:r w:rsidRPr="00AC3044">
              <w:rPr>
                <w:rFonts w:eastAsia="SimSun"/>
              </w:rPr>
              <w:t>за 2 приема</w:t>
            </w:r>
          </w:p>
        </w:tc>
      </w:tr>
    </w:tbl>
    <w:p w14:paraId="0A5FC4E8" w14:textId="77777777" w:rsidR="0089207C" w:rsidRDefault="0089207C" w:rsidP="0089207C">
      <w:pPr>
        <w:rPr>
          <w:rFonts w:eastAsia="SimSun"/>
        </w:rPr>
      </w:pPr>
      <w:bookmarkStart w:id="225" w:name="_Toc44401174"/>
    </w:p>
    <w:p w14:paraId="17119CA0" w14:textId="77777777" w:rsidR="0089207C" w:rsidRPr="00C07B2E" w:rsidRDefault="0089207C" w:rsidP="0089207C">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1.2.16  – Flu90+Benda /PT-Cy+Tx+MMF30</w:t>
      </w:r>
      <w:bookmarkEnd w:id="22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89207C" w:rsidRPr="00AC3044" w14:paraId="6B05AFDA" w14:textId="77777777" w:rsidTr="002D3EBF">
        <w:trPr>
          <w:cantSplit/>
          <w:trHeight w:val="20"/>
          <w:tblHeader/>
        </w:trPr>
        <w:tc>
          <w:tcPr>
            <w:tcW w:w="959" w:type="dxa"/>
            <w:vAlign w:val="center"/>
          </w:tcPr>
          <w:p w14:paraId="19B25D46" w14:textId="77777777" w:rsidR="0089207C" w:rsidRPr="00AC3044" w:rsidRDefault="0089207C" w:rsidP="002D3EBF">
            <w:pPr>
              <w:rPr>
                <w:rFonts w:eastAsia="SimSun"/>
              </w:rPr>
            </w:pPr>
          </w:p>
        </w:tc>
        <w:tc>
          <w:tcPr>
            <w:tcW w:w="1701" w:type="dxa"/>
            <w:vAlign w:val="center"/>
          </w:tcPr>
          <w:p w14:paraId="6AB11447" w14:textId="77777777" w:rsidR="0089207C" w:rsidRPr="00AC3044" w:rsidRDefault="0089207C" w:rsidP="002D3EBF">
            <w:pPr>
              <w:rPr>
                <w:rFonts w:eastAsia="SimSun"/>
              </w:rPr>
            </w:pPr>
            <w:r w:rsidRPr="00AC3044">
              <w:rPr>
                <w:rFonts w:eastAsia="SimSun"/>
              </w:rPr>
              <w:t>Препарат</w:t>
            </w:r>
          </w:p>
        </w:tc>
        <w:tc>
          <w:tcPr>
            <w:tcW w:w="1559" w:type="dxa"/>
            <w:vAlign w:val="center"/>
          </w:tcPr>
          <w:p w14:paraId="2663DD6F" w14:textId="77777777" w:rsidR="0089207C" w:rsidRPr="00AC3044" w:rsidRDefault="0089207C" w:rsidP="002D3EBF">
            <w:pPr>
              <w:rPr>
                <w:rFonts w:eastAsia="SimSun"/>
              </w:rPr>
            </w:pPr>
            <w:r w:rsidRPr="00AC3044">
              <w:rPr>
                <w:rFonts w:eastAsia="SimSun"/>
              </w:rPr>
              <w:t>Суточная доза</w:t>
            </w:r>
          </w:p>
        </w:tc>
        <w:tc>
          <w:tcPr>
            <w:tcW w:w="1701" w:type="dxa"/>
            <w:vAlign w:val="center"/>
          </w:tcPr>
          <w:p w14:paraId="6032A58B" w14:textId="77777777" w:rsidR="0089207C" w:rsidRPr="00AC3044" w:rsidRDefault="0089207C" w:rsidP="002D3EBF">
            <w:pPr>
              <w:rPr>
                <w:rFonts w:eastAsia="SimSun"/>
              </w:rPr>
            </w:pPr>
            <w:r w:rsidRPr="00AC3044">
              <w:rPr>
                <w:rFonts w:eastAsia="SimSun"/>
              </w:rPr>
              <w:t>Курсовая доза</w:t>
            </w:r>
          </w:p>
        </w:tc>
        <w:tc>
          <w:tcPr>
            <w:tcW w:w="1418" w:type="dxa"/>
            <w:vAlign w:val="center"/>
          </w:tcPr>
          <w:p w14:paraId="1205A482"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7D84CEFD"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397811B0" w14:textId="77777777" w:rsidTr="002D3EBF">
        <w:trPr>
          <w:cantSplit/>
          <w:trHeight w:val="20"/>
        </w:trPr>
        <w:tc>
          <w:tcPr>
            <w:tcW w:w="959" w:type="dxa"/>
            <w:vMerge w:val="restart"/>
            <w:textDirection w:val="btLr"/>
            <w:vAlign w:val="center"/>
          </w:tcPr>
          <w:p w14:paraId="5438266B" w14:textId="77777777" w:rsidR="0089207C" w:rsidRPr="00AC3044" w:rsidRDefault="0089207C" w:rsidP="002D3EBF">
            <w:pPr>
              <w:rPr>
                <w:rFonts w:eastAsia="SimSun"/>
              </w:rPr>
            </w:pPr>
            <w:r w:rsidRPr="00AC3044">
              <w:rPr>
                <w:rFonts w:eastAsia="SimSun"/>
              </w:rPr>
              <w:t>Кондиционирование</w:t>
            </w:r>
          </w:p>
        </w:tc>
        <w:tc>
          <w:tcPr>
            <w:tcW w:w="1701" w:type="dxa"/>
            <w:vAlign w:val="center"/>
          </w:tcPr>
          <w:p w14:paraId="0926CA30" w14:textId="77777777" w:rsidR="0089207C" w:rsidRPr="00AC3044" w:rsidRDefault="0089207C" w:rsidP="002D3EBF">
            <w:pPr>
              <w:rPr>
                <w:rFonts w:eastAsia="SimSun"/>
              </w:rPr>
            </w:pPr>
            <w:r w:rsidRPr="00AC3044">
              <w:rPr>
                <w:rFonts w:eastAsia="SimSun"/>
              </w:rPr>
              <w:t xml:space="preserve">Флударабин </w:t>
            </w:r>
          </w:p>
        </w:tc>
        <w:tc>
          <w:tcPr>
            <w:tcW w:w="1559" w:type="dxa"/>
            <w:vAlign w:val="center"/>
          </w:tcPr>
          <w:p w14:paraId="30275BD2" w14:textId="77777777" w:rsidR="0089207C" w:rsidRPr="00AC3044" w:rsidRDefault="0089207C" w:rsidP="002D3EBF">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70FA4C98" w14:textId="77777777" w:rsidR="0089207C" w:rsidRPr="00AC3044" w:rsidRDefault="0089207C" w:rsidP="002D3EBF">
            <w:pPr>
              <w:rPr>
                <w:rFonts w:eastAsia="SimSun"/>
              </w:rPr>
            </w:pPr>
            <w:r w:rsidRPr="00AC3044">
              <w:rPr>
                <w:rFonts w:eastAsia="SimSun"/>
              </w:rPr>
              <w:t>90 мг/м</w:t>
            </w:r>
            <w:r w:rsidRPr="001E6DBE">
              <w:rPr>
                <w:rFonts w:eastAsia="SimSun"/>
                <w:vertAlign w:val="superscript"/>
              </w:rPr>
              <w:t>2</w:t>
            </w:r>
          </w:p>
        </w:tc>
        <w:tc>
          <w:tcPr>
            <w:tcW w:w="1418" w:type="dxa"/>
            <w:vAlign w:val="center"/>
          </w:tcPr>
          <w:p w14:paraId="4D596418" w14:textId="77777777" w:rsidR="0089207C" w:rsidRPr="00AC3044" w:rsidRDefault="0089207C" w:rsidP="002D3EBF">
            <w:pPr>
              <w:rPr>
                <w:rFonts w:eastAsia="SimSun"/>
              </w:rPr>
            </w:pPr>
            <w:r w:rsidRPr="00AC3044">
              <w:rPr>
                <w:rFonts w:eastAsia="SimSun"/>
              </w:rPr>
              <w:t>С -4 дня по -2 день</w:t>
            </w:r>
          </w:p>
        </w:tc>
        <w:tc>
          <w:tcPr>
            <w:tcW w:w="2268" w:type="dxa"/>
            <w:vAlign w:val="center"/>
          </w:tcPr>
          <w:p w14:paraId="7961D6BD"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215690F2" w14:textId="77777777" w:rsidTr="002D3EBF">
        <w:trPr>
          <w:cantSplit/>
          <w:trHeight w:val="678"/>
        </w:trPr>
        <w:tc>
          <w:tcPr>
            <w:tcW w:w="959" w:type="dxa"/>
            <w:vMerge/>
            <w:vAlign w:val="center"/>
          </w:tcPr>
          <w:p w14:paraId="4E4B5EAF" w14:textId="77777777" w:rsidR="0089207C" w:rsidRPr="00AC3044" w:rsidRDefault="0089207C" w:rsidP="002D3EBF">
            <w:pPr>
              <w:rPr>
                <w:rFonts w:eastAsia="SimSun"/>
              </w:rPr>
            </w:pPr>
          </w:p>
        </w:tc>
        <w:tc>
          <w:tcPr>
            <w:tcW w:w="1701" w:type="dxa"/>
            <w:vAlign w:val="center"/>
          </w:tcPr>
          <w:p w14:paraId="3C7C3FEF" w14:textId="77777777" w:rsidR="0089207C" w:rsidRPr="00AC3044" w:rsidRDefault="0089207C" w:rsidP="002D3EBF">
            <w:pPr>
              <w:rPr>
                <w:rFonts w:eastAsia="SimSun"/>
              </w:rPr>
            </w:pPr>
            <w:r w:rsidRPr="00AC3044">
              <w:rPr>
                <w:rFonts w:eastAsia="SimSun"/>
              </w:rPr>
              <w:t>Бендамустин</w:t>
            </w:r>
          </w:p>
        </w:tc>
        <w:tc>
          <w:tcPr>
            <w:tcW w:w="1559" w:type="dxa"/>
            <w:vAlign w:val="center"/>
          </w:tcPr>
          <w:p w14:paraId="05AD7DEF" w14:textId="77777777" w:rsidR="0089207C" w:rsidRPr="00AC3044" w:rsidRDefault="0089207C" w:rsidP="002D3EBF">
            <w:pPr>
              <w:rPr>
                <w:rFonts w:eastAsia="SimSun"/>
              </w:rPr>
            </w:pPr>
            <w:r w:rsidRPr="00AC3044">
              <w:rPr>
                <w:rFonts w:eastAsia="SimSun"/>
              </w:rPr>
              <w:t>130 мг/м</w:t>
            </w:r>
            <w:r w:rsidRPr="001E6DBE">
              <w:rPr>
                <w:rFonts w:eastAsia="SimSun"/>
                <w:vertAlign w:val="superscript"/>
              </w:rPr>
              <w:t>2</w:t>
            </w:r>
            <w:r w:rsidRPr="00AC3044">
              <w:rPr>
                <w:rFonts w:eastAsia="SimSun"/>
              </w:rPr>
              <w:t xml:space="preserve"> </w:t>
            </w:r>
          </w:p>
        </w:tc>
        <w:tc>
          <w:tcPr>
            <w:tcW w:w="1701" w:type="dxa"/>
            <w:vAlign w:val="center"/>
          </w:tcPr>
          <w:p w14:paraId="6BC4DF96" w14:textId="77777777" w:rsidR="0089207C" w:rsidRPr="00AC3044" w:rsidRDefault="0089207C" w:rsidP="002D3EBF">
            <w:pPr>
              <w:rPr>
                <w:rFonts w:eastAsia="SimSun"/>
              </w:rPr>
            </w:pPr>
            <w:r w:rsidRPr="00AC3044">
              <w:rPr>
                <w:rFonts w:eastAsia="SimSun"/>
              </w:rPr>
              <w:t>390 мг/м</w:t>
            </w:r>
            <w:r w:rsidRPr="001E6DBE">
              <w:rPr>
                <w:rFonts w:eastAsia="SimSun"/>
                <w:vertAlign w:val="superscript"/>
              </w:rPr>
              <w:t>2</w:t>
            </w:r>
          </w:p>
        </w:tc>
        <w:tc>
          <w:tcPr>
            <w:tcW w:w="1418" w:type="dxa"/>
            <w:vAlign w:val="center"/>
          </w:tcPr>
          <w:p w14:paraId="7AC26C4F" w14:textId="77777777" w:rsidR="0089207C" w:rsidRPr="00AC3044" w:rsidRDefault="0089207C" w:rsidP="002D3EBF">
            <w:pPr>
              <w:rPr>
                <w:rFonts w:eastAsia="SimSun"/>
              </w:rPr>
            </w:pPr>
            <w:r w:rsidRPr="00AC3044">
              <w:rPr>
                <w:rFonts w:eastAsia="SimSun"/>
              </w:rPr>
              <w:t xml:space="preserve">  С -4 дня по -2 день</w:t>
            </w:r>
          </w:p>
        </w:tc>
        <w:tc>
          <w:tcPr>
            <w:tcW w:w="2268" w:type="dxa"/>
            <w:vAlign w:val="center"/>
          </w:tcPr>
          <w:p w14:paraId="0FC2056B" w14:textId="77777777" w:rsidR="0089207C" w:rsidRPr="00AC3044" w:rsidRDefault="0089207C" w:rsidP="002D3EBF">
            <w:pPr>
              <w:rPr>
                <w:rFonts w:eastAsia="SimSun"/>
              </w:rPr>
            </w:pPr>
            <w:r w:rsidRPr="00AC3044">
              <w:rPr>
                <w:rFonts w:eastAsia="SimSun"/>
              </w:rPr>
              <w:t>В/в, в течение 1 часа</w:t>
            </w:r>
          </w:p>
        </w:tc>
      </w:tr>
      <w:tr w:rsidR="0089207C" w:rsidRPr="00AC3044" w14:paraId="4C18A904" w14:textId="77777777" w:rsidTr="002D3EBF">
        <w:trPr>
          <w:cantSplit/>
          <w:trHeight w:val="958"/>
        </w:trPr>
        <w:tc>
          <w:tcPr>
            <w:tcW w:w="959" w:type="dxa"/>
            <w:vMerge w:val="restart"/>
            <w:textDirection w:val="btLr"/>
            <w:vAlign w:val="center"/>
          </w:tcPr>
          <w:p w14:paraId="11035ACD" w14:textId="77777777" w:rsidR="0089207C" w:rsidRPr="00AC3044" w:rsidRDefault="0089207C" w:rsidP="002D3EBF">
            <w:pPr>
              <w:rPr>
                <w:rFonts w:eastAsia="SimSun"/>
              </w:rPr>
            </w:pPr>
            <w:r w:rsidRPr="00AC3044">
              <w:rPr>
                <w:rFonts w:eastAsia="SimSun"/>
              </w:rPr>
              <w:t>Профилактика РТПХ</w:t>
            </w:r>
          </w:p>
        </w:tc>
        <w:tc>
          <w:tcPr>
            <w:tcW w:w="1701" w:type="dxa"/>
            <w:vAlign w:val="center"/>
          </w:tcPr>
          <w:p w14:paraId="48BF1781" w14:textId="77777777" w:rsidR="0089207C" w:rsidRPr="00AC3044" w:rsidRDefault="0089207C" w:rsidP="002D3EBF">
            <w:pPr>
              <w:rPr>
                <w:rFonts w:eastAsia="SimSun"/>
              </w:rPr>
            </w:pPr>
            <w:r w:rsidRPr="00AC3044">
              <w:rPr>
                <w:rFonts w:eastAsia="SimSun"/>
              </w:rPr>
              <w:t xml:space="preserve">Такролимус </w:t>
            </w:r>
          </w:p>
        </w:tc>
        <w:tc>
          <w:tcPr>
            <w:tcW w:w="1559" w:type="dxa"/>
            <w:vAlign w:val="center"/>
          </w:tcPr>
          <w:p w14:paraId="65F59012" w14:textId="77777777" w:rsidR="0089207C" w:rsidRPr="00AC3044" w:rsidRDefault="0089207C" w:rsidP="002D3EBF">
            <w:pPr>
              <w:rPr>
                <w:rFonts w:eastAsia="SimSun"/>
              </w:rPr>
            </w:pPr>
            <w:r w:rsidRPr="00AC3044">
              <w:rPr>
                <w:rFonts w:eastAsia="SimSun"/>
              </w:rPr>
              <w:t>0,03 мг/кг</w:t>
            </w:r>
          </w:p>
        </w:tc>
        <w:tc>
          <w:tcPr>
            <w:tcW w:w="1701" w:type="dxa"/>
            <w:vAlign w:val="center"/>
          </w:tcPr>
          <w:p w14:paraId="18A4E513" w14:textId="77777777" w:rsidR="0089207C" w:rsidRPr="00AC3044" w:rsidRDefault="0089207C" w:rsidP="002D3EBF">
            <w:pPr>
              <w:rPr>
                <w:rFonts w:eastAsia="SimSun"/>
              </w:rPr>
            </w:pPr>
            <w:r w:rsidRPr="00AC3044">
              <w:rPr>
                <w:rFonts w:eastAsia="SimSun"/>
              </w:rPr>
              <w:t>–</w:t>
            </w:r>
          </w:p>
        </w:tc>
        <w:tc>
          <w:tcPr>
            <w:tcW w:w="1418" w:type="dxa"/>
            <w:vAlign w:val="center"/>
          </w:tcPr>
          <w:p w14:paraId="08F4B7E9" w14:textId="77777777" w:rsidR="0089207C" w:rsidRPr="00AC3044" w:rsidRDefault="0089207C" w:rsidP="002D3EBF">
            <w:pPr>
              <w:rPr>
                <w:rFonts w:eastAsia="SimSun"/>
              </w:rPr>
            </w:pPr>
            <w:r w:rsidRPr="00AC3044">
              <w:rPr>
                <w:rFonts w:eastAsia="SimSun"/>
              </w:rPr>
              <w:t xml:space="preserve">С +5 дня длительно </w:t>
            </w:r>
          </w:p>
        </w:tc>
        <w:tc>
          <w:tcPr>
            <w:tcW w:w="2268" w:type="dxa"/>
            <w:vAlign w:val="center"/>
          </w:tcPr>
          <w:p w14:paraId="2F402D5A" w14:textId="77777777" w:rsidR="0089207C" w:rsidRPr="00AC3044" w:rsidRDefault="0089207C" w:rsidP="002D3EBF">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9207C" w:rsidRPr="00AC3044" w14:paraId="6C9A669C" w14:textId="77777777" w:rsidTr="002D3EBF">
        <w:trPr>
          <w:cantSplit/>
          <w:trHeight w:val="579"/>
        </w:trPr>
        <w:tc>
          <w:tcPr>
            <w:tcW w:w="959" w:type="dxa"/>
            <w:vMerge/>
            <w:textDirection w:val="btLr"/>
            <w:vAlign w:val="center"/>
          </w:tcPr>
          <w:p w14:paraId="6918D7B1" w14:textId="77777777" w:rsidR="0089207C" w:rsidRPr="00AC3044" w:rsidRDefault="0089207C" w:rsidP="002D3EBF">
            <w:pPr>
              <w:rPr>
                <w:rFonts w:eastAsia="SimSun"/>
              </w:rPr>
            </w:pPr>
          </w:p>
        </w:tc>
        <w:tc>
          <w:tcPr>
            <w:tcW w:w="1701" w:type="dxa"/>
            <w:vAlign w:val="center"/>
          </w:tcPr>
          <w:p w14:paraId="791787F3" w14:textId="77777777" w:rsidR="0089207C" w:rsidRPr="00AC3044" w:rsidRDefault="0089207C" w:rsidP="002D3EBF">
            <w:pPr>
              <w:rPr>
                <w:rFonts w:eastAsia="SimSun"/>
              </w:rPr>
            </w:pPr>
            <w:r w:rsidRPr="00AC3044">
              <w:rPr>
                <w:rFonts w:eastAsia="SimSun"/>
              </w:rPr>
              <w:t>Циклофосфамид</w:t>
            </w:r>
          </w:p>
        </w:tc>
        <w:tc>
          <w:tcPr>
            <w:tcW w:w="1559" w:type="dxa"/>
            <w:vAlign w:val="center"/>
          </w:tcPr>
          <w:p w14:paraId="16C76FA3" w14:textId="77777777" w:rsidR="0089207C" w:rsidRPr="00AC3044" w:rsidRDefault="0089207C" w:rsidP="002D3EBF">
            <w:pPr>
              <w:rPr>
                <w:rFonts w:eastAsia="SimSun"/>
              </w:rPr>
            </w:pPr>
            <w:r w:rsidRPr="00AC3044">
              <w:rPr>
                <w:rFonts w:eastAsia="SimSun"/>
              </w:rPr>
              <w:t>50 мг/кг</w:t>
            </w:r>
          </w:p>
        </w:tc>
        <w:tc>
          <w:tcPr>
            <w:tcW w:w="1701" w:type="dxa"/>
            <w:vAlign w:val="center"/>
          </w:tcPr>
          <w:p w14:paraId="7C128B84" w14:textId="77777777" w:rsidR="0089207C" w:rsidRPr="00AC3044" w:rsidRDefault="0089207C" w:rsidP="002D3EBF">
            <w:pPr>
              <w:rPr>
                <w:rFonts w:eastAsia="SimSun"/>
              </w:rPr>
            </w:pPr>
            <w:r w:rsidRPr="00AC3044">
              <w:rPr>
                <w:rFonts w:eastAsia="SimSun"/>
              </w:rPr>
              <w:t>100 мг/кг</w:t>
            </w:r>
          </w:p>
        </w:tc>
        <w:tc>
          <w:tcPr>
            <w:tcW w:w="1418" w:type="dxa"/>
            <w:vAlign w:val="center"/>
          </w:tcPr>
          <w:p w14:paraId="6E7F35D8" w14:textId="77777777" w:rsidR="0089207C" w:rsidRPr="00AC3044" w:rsidRDefault="0089207C" w:rsidP="002D3EBF">
            <w:pPr>
              <w:rPr>
                <w:rFonts w:eastAsia="SimSun"/>
              </w:rPr>
            </w:pPr>
            <w:r w:rsidRPr="00AC3044">
              <w:rPr>
                <w:rFonts w:eastAsia="SimSun"/>
              </w:rPr>
              <w:t xml:space="preserve">В дни +3, +4 </w:t>
            </w:r>
          </w:p>
        </w:tc>
        <w:tc>
          <w:tcPr>
            <w:tcW w:w="2268" w:type="dxa"/>
            <w:vAlign w:val="center"/>
          </w:tcPr>
          <w:p w14:paraId="21419914"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10635B7F" w14:textId="77777777" w:rsidTr="002D3EBF">
        <w:trPr>
          <w:cantSplit/>
          <w:trHeight w:val="418"/>
        </w:trPr>
        <w:tc>
          <w:tcPr>
            <w:tcW w:w="959" w:type="dxa"/>
            <w:vMerge/>
            <w:textDirection w:val="btLr"/>
            <w:vAlign w:val="center"/>
          </w:tcPr>
          <w:p w14:paraId="7A5F6069" w14:textId="77777777" w:rsidR="0089207C" w:rsidRPr="00AC3044" w:rsidRDefault="0089207C" w:rsidP="002D3EBF">
            <w:pPr>
              <w:rPr>
                <w:rFonts w:eastAsia="SimSun"/>
              </w:rPr>
            </w:pPr>
          </w:p>
        </w:tc>
        <w:tc>
          <w:tcPr>
            <w:tcW w:w="1701" w:type="dxa"/>
            <w:vAlign w:val="center"/>
          </w:tcPr>
          <w:p w14:paraId="38029228" w14:textId="77777777" w:rsidR="0089207C" w:rsidRPr="00AC3044" w:rsidRDefault="0089207C" w:rsidP="002D3EBF">
            <w:pPr>
              <w:rPr>
                <w:rFonts w:eastAsia="SimSun"/>
              </w:rPr>
            </w:pPr>
            <w:r w:rsidRPr="00AC3044">
              <w:rPr>
                <w:rFonts w:eastAsia="SimSun"/>
              </w:rPr>
              <w:t>Микофенолата мофетил</w:t>
            </w:r>
          </w:p>
        </w:tc>
        <w:tc>
          <w:tcPr>
            <w:tcW w:w="1559" w:type="dxa"/>
            <w:vAlign w:val="center"/>
          </w:tcPr>
          <w:p w14:paraId="55ADE5AB" w14:textId="77777777" w:rsidR="0089207C" w:rsidRPr="00AC3044" w:rsidRDefault="0089207C" w:rsidP="002D3EBF">
            <w:pPr>
              <w:rPr>
                <w:rFonts w:eastAsia="SimSun"/>
              </w:rPr>
            </w:pPr>
            <w:r w:rsidRPr="00AC3044">
              <w:rPr>
                <w:rFonts w:eastAsia="SimSun"/>
              </w:rPr>
              <w:t xml:space="preserve">30 мг/кг </w:t>
            </w:r>
          </w:p>
        </w:tc>
        <w:tc>
          <w:tcPr>
            <w:tcW w:w="1701" w:type="dxa"/>
            <w:vAlign w:val="center"/>
          </w:tcPr>
          <w:p w14:paraId="0B50A27F" w14:textId="77777777" w:rsidR="0089207C" w:rsidRPr="00AC3044" w:rsidRDefault="0089207C" w:rsidP="002D3EBF">
            <w:pPr>
              <w:rPr>
                <w:rFonts w:eastAsia="SimSun"/>
              </w:rPr>
            </w:pPr>
            <w:r w:rsidRPr="00AC3044">
              <w:rPr>
                <w:rFonts w:eastAsia="SimSun"/>
              </w:rPr>
              <w:t>–</w:t>
            </w:r>
          </w:p>
        </w:tc>
        <w:tc>
          <w:tcPr>
            <w:tcW w:w="1418" w:type="dxa"/>
            <w:vAlign w:val="center"/>
          </w:tcPr>
          <w:p w14:paraId="2F769FA7" w14:textId="77777777" w:rsidR="0089207C" w:rsidRPr="00AC3044" w:rsidRDefault="0089207C" w:rsidP="002D3EBF">
            <w:pPr>
              <w:rPr>
                <w:rFonts w:eastAsia="SimSun"/>
              </w:rPr>
            </w:pPr>
            <w:r w:rsidRPr="00AC3044">
              <w:rPr>
                <w:rFonts w:eastAsia="SimSun"/>
              </w:rPr>
              <w:t xml:space="preserve">С +5 дня по +35 день </w:t>
            </w:r>
          </w:p>
        </w:tc>
        <w:tc>
          <w:tcPr>
            <w:tcW w:w="2268" w:type="dxa"/>
            <w:vAlign w:val="center"/>
          </w:tcPr>
          <w:p w14:paraId="74D7A860" w14:textId="77777777" w:rsidR="0089207C" w:rsidRPr="00AC3044" w:rsidRDefault="0089207C" w:rsidP="002D3EBF">
            <w:pPr>
              <w:rPr>
                <w:rFonts w:eastAsia="SimSun"/>
              </w:rPr>
            </w:pPr>
            <w:r w:rsidRPr="00AC3044">
              <w:rPr>
                <w:rFonts w:eastAsia="SimSun"/>
              </w:rPr>
              <w:t>Внутрь, суммарная суточная доза разделяется на 2- 4 приема.</w:t>
            </w:r>
          </w:p>
        </w:tc>
      </w:tr>
    </w:tbl>
    <w:p w14:paraId="4EB9CAE9" w14:textId="77777777" w:rsidR="0089207C" w:rsidRDefault="0089207C" w:rsidP="0089207C">
      <w:pPr>
        <w:rPr>
          <w:rFonts w:eastAsia="SimSun"/>
        </w:rPr>
      </w:pPr>
      <w:bookmarkStart w:id="226" w:name="_Toc44401175"/>
    </w:p>
    <w:p w14:paraId="48AA3A31" w14:textId="77777777" w:rsidR="0089207C" w:rsidRPr="00042499" w:rsidRDefault="0089207C" w:rsidP="0089207C">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1.2.17  – </w:t>
      </w:r>
      <w:r w:rsidRPr="00C07B2E">
        <w:rPr>
          <w:rFonts w:eastAsia="SimSun"/>
        </w:rPr>
        <w:t>Flu</w:t>
      </w:r>
      <w:r w:rsidRPr="00042499">
        <w:rPr>
          <w:rFonts w:eastAsia="SimSun"/>
          <w:lang w:val="en-US"/>
        </w:rPr>
        <w:t>90+</w:t>
      </w:r>
      <w:r w:rsidRPr="00C07B2E">
        <w:rPr>
          <w:rFonts w:eastAsia="SimSun"/>
        </w:rPr>
        <w:t>Benda</w:t>
      </w:r>
      <w:r w:rsidRPr="00042499">
        <w:rPr>
          <w:rFonts w:eastAsia="SimSun"/>
          <w:lang w:val="en-US"/>
        </w:rPr>
        <w:t xml:space="preserve"> /</w:t>
      </w:r>
      <w:r w:rsidRPr="00C07B2E">
        <w:rPr>
          <w:rFonts w:eastAsia="SimSun"/>
        </w:rPr>
        <w:t>PT</w:t>
      </w:r>
      <w:r w:rsidRPr="00042499">
        <w:rPr>
          <w:rFonts w:eastAsia="SimSun"/>
          <w:lang w:val="en-US"/>
        </w:rPr>
        <w:t>-</w:t>
      </w:r>
      <w:r w:rsidRPr="00C07B2E">
        <w:rPr>
          <w:rFonts w:eastAsia="SimSun"/>
        </w:rPr>
        <w:t>Cy</w:t>
      </w:r>
      <w:bookmarkEnd w:id="226"/>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89207C" w:rsidRPr="00AC3044" w14:paraId="0C2C908F" w14:textId="77777777" w:rsidTr="002D3EBF">
        <w:trPr>
          <w:cantSplit/>
          <w:trHeight w:val="20"/>
          <w:tblHeader/>
        </w:trPr>
        <w:tc>
          <w:tcPr>
            <w:tcW w:w="959" w:type="dxa"/>
            <w:vAlign w:val="center"/>
          </w:tcPr>
          <w:p w14:paraId="458732B5" w14:textId="77777777" w:rsidR="0089207C" w:rsidRPr="009B5A5D" w:rsidRDefault="0089207C" w:rsidP="002D3EBF">
            <w:pPr>
              <w:rPr>
                <w:rFonts w:eastAsia="SimSun"/>
                <w:lang w:val="en-US"/>
              </w:rPr>
            </w:pPr>
          </w:p>
        </w:tc>
        <w:tc>
          <w:tcPr>
            <w:tcW w:w="1701" w:type="dxa"/>
            <w:vAlign w:val="center"/>
          </w:tcPr>
          <w:p w14:paraId="6EB1197A" w14:textId="77777777" w:rsidR="0089207C" w:rsidRPr="00AC3044" w:rsidRDefault="0089207C" w:rsidP="002D3EBF">
            <w:pPr>
              <w:rPr>
                <w:rFonts w:eastAsia="SimSun"/>
              </w:rPr>
            </w:pPr>
            <w:r w:rsidRPr="00AC3044">
              <w:rPr>
                <w:rFonts w:eastAsia="SimSun"/>
              </w:rPr>
              <w:t>Препарат</w:t>
            </w:r>
          </w:p>
        </w:tc>
        <w:tc>
          <w:tcPr>
            <w:tcW w:w="1559" w:type="dxa"/>
            <w:vAlign w:val="center"/>
          </w:tcPr>
          <w:p w14:paraId="1B2B415A" w14:textId="77777777" w:rsidR="0089207C" w:rsidRPr="00AC3044" w:rsidRDefault="0089207C" w:rsidP="002D3EBF">
            <w:pPr>
              <w:rPr>
                <w:rFonts w:eastAsia="SimSun"/>
              </w:rPr>
            </w:pPr>
            <w:r w:rsidRPr="00AC3044">
              <w:rPr>
                <w:rFonts w:eastAsia="SimSun"/>
              </w:rPr>
              <w:t>Суточная доза</w:t>
            </w:r>
          </w:p>
        </w:tc>
        <w:tc>
          <w:tcPr>
            <w:tcW w:w="1701" w:type="dxa"/>
            <w:vAlign w:val="center"/>
          </w:tcPr>
          <w:p w14:paraId="6576E00D" w14:textId="77777777" w:rsidR="0089207C" w:rsidRPr="00AC3044" w:rsidRDefault="0089207C" w:rsidP="002D3EBF">
            <w:pPr>
              <w:rPr>
                <w:rFonts w:eastAsia="SimSun"/>
              </w:rPr>
            </w:pPr>
            <w:r w:rsidRPr="00AC3044">
              <w:rPr>
                <w:rFonts w:eastAsia="SimSun"/>
              </w:rPr>
              <w:t>Курсовая доза</w:t>
            </w:r>
          </w:p>
        </w:tc>
        <w:tc>
          <w:tcPr>
            <w:tcW w:w="1418" w:type="dxa"/>
            <w:vAlign w:val="center"/>
          </w:tcPr>
          <w:p w14:paraId="1C7E4212"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32B95CDE"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0D5C8D87" w14:textId="77777777" w:rsidTr="002D3EBF">
        <w:trPr>
          <w:cantSplit/>
          <w:trHeight w:val="20"/>
        </w:trPr>
        <w:tc>
          <w:tcPr>
            <w:tcW w:w="959" w:type="dxa"/>
            <w:vMerge w:val="restart"/>
            <w:textDirection w:val="btLr"/>
            <w:vAlign w:val="center"/>
          </w:tcPr>
          <w:p w14:paraId="24B2849C" w14:textId="77777777" w:rsidR="0089207C" w:rsidRPr="00AC3044" w:rsidRDefault="0089207C" w:rsidP="002D3EBF">
            <w:pPr>
              <w:rPr>
                <w:rFonts w:eastAsia="SimSun"/>
              </w:rPr>
            </w:pPr>
            <w:r w:rsidRPr="00AC3044">
              <w:rPr>
                <w:rFonts w:eastAsia="SimSun"/>
              </w:rPr>
              <w:t>Кондиционирование</w:t>
            </w:r>
          </w:p>
        </w:tc>
        <w:tc>
          <w:tcPr>
            <w:tcW w:w="1701" w:type="dxa"/>
            <w:vAlign w:val="center"/>
          </w:tcPr>
          <w:p w14:paraId="6F961329" w14:textId="77777777" w:rsidR="0089207C" w:rsidRPr="00AC3044" w:rsidRDefault="0089207C" w:rsidP="002D3EBF">
            <w:pPr>
              <w:rPr>
                <w:rFonts w:eastAsia="SimSun"/>
              </w:rPr>
            </w:pPr>
            <w:r w:rsidRPr="00AC3044">
              <w:rPr>
                <w:rFonts w:eastAsia="SimSun"/>
              </w:rPr>
              <w:t xml:space="preserve">Флударабин </w:t>
            </w:r>
          </w:p>
        </w:tc>
        <w:tc>
          <w:tcPr>
            <w:tcW w:w="1559" w:type="dxa"/>
            <w:vAlign w:val="center"/>
          </w:tcPr>
          <w:p w14:paraId="6B69F877" w14:textId="77777777" w:rsidR="0089207C" w:rsidRPr="00AC3044" w:rsidRDefault="0089207C" w:rsidP="002D3EBF">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5B6DCEB6" w14:textId="77777777" w:rsidR="0089207C" w:rsidRPr="00AC3044" w:rsidRDefault="0089207C" w:rsidP="002D3EBF">
            <w:pPr>
              <w:rPr>
                <w:rFonts w:eastAsia="SimSun"/>
              </w:rPr>
            </w:pPr>
            <w:r w:rsidRPr="00AC3044">
              <w:rPr>
                <w:rFonts w:eastAsia="SimSun"/>
              </w:rPr>
              <w:t>90 мг/м</w:t>
            </w:r>
            <w:r w:rsidRPr="001E6DBE">
              <w:rPr>
                <w:rFonts w:eastAsia="SimSun"/>
                <w:vertAlign w:val="superscript"/>
              </w:rPr>
              <w:t>2</w:t>
            </w:r>
          </w:p>
        </w:tc>
        <w:tc>
          <w:tcPr>
            <w:tcW w:w="1418" w:type="dxa"/>
            <w:vAlign w:val="center"/>
          </w:tcPr>
          <w:p w14:paraId="1EA00219" w14:textId="77777777" w:rsidR="0089207C" w:rsidRPr="00AC3044" w:rsidRDefault="0089207C" w:rsidP="002D3EBF">
            <w:pPr>
              <w:rPr>
                <w:rFonts w:eastAsia="SimSun"/>
              </w:rPr>
            </w:pPr>
            <w:r w:rsidRPr="00AC3044">
              <w:rPr>
                <w:rFonts w:eastAsia="SimSun"/>
              </w:rPr>
              <w:t>С -4 дня по -2 день</w:t>
            </w:r>
          </w:p>
        </w:tc>
        <w:tc>
          <w:tcPr>
            <w:tcW w:w="2268" w:type="dxa"/>
            <w:vAlign w:val="center"/>
          </w:tcPr>
          <w:p w14:paraId="7B7D34B9"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5EB60AA0" w14:textId="77777777" w:rsidTr="002D3EBF">
        <w:trPr>
          <w:cantSplit/>
          <w:trHeight w:val="394"/>
        </w:trPr>
        <w:tc>
          <w:tcPr>
            <w:tcW w:w="959" w:type="dxa"/>
            <w:vMerge/>
            <w:vAlign w:val="center"/>
          </w:tcPr>
          <w:p w14:paraId="32AE324F" w14:textId="77777777" w:rsidR="0089207C" w:rsidRPr="00AC3044" w:rsidRDefault="0089207C" w:rsidP="002D3EBF">
            <w:pPr>
              <w:rPr>
                <w:rFonts w:eastAsia="SimSun"/>
              </w:rPr>
            </w:pPr>
          </w:p>
        </w:tc>
        <w:tc>
          <w:tcPr>
            <w:tcW w:w="1701" w:type="dxa"/>
            <w:vAlign w:val="center"/>
          </w:tcPr>
          <w:p w14:paraId="5FCCD85D" w14:textId="77777777" w:rsidR="0089207C" w:rsidRPr="00AC3044" w:rsidRDefault="0089207C" w:rsidP="002D3EBF">
            <w:pPr>
              <w:rPr>
                <w:rFonts w:eastAsia="SimSun"/>
              </w:rPr>
            </w:pPr>
            <w:r w:rsidRPr="00AC3044">
              <w:rPr>
                <w:rFonts w:eastAsia="SimSun"/>
              </w:rPr>
              <w:t>Бендамустин</w:t>
            </w:r>
          </w:p>
        </w:tc>
        <w:tc>
          <w:tcPr>
            <w:tcW w:w="1559" w:type="dxa"/>
            <w:vAlign w:val="center"/>
          </w:tcPr>
          <w:p w14:paraId="5095558E" w14:textId="77777777" w:rsidR="0089207C" w:rsidRPr="00AC3044" w:rsidRDefault="0089207C" w:rsidP="002D3EBF">
            <w:pPr>
              <w:rPr>
                <w:rFonts w:eastAsia="SimSun"/>
              </w:rPr>
            </w:pPr>
            <w:r w:rsidRPr="00AC3044">
              <w:rPr>
                <w:rFonts w:eastAsia="SimSun"/>
              </w:rPr>
              <w:t>130 мг/м</w:t>
            </w:r>
            <w:r w:rsidRPr="001E6DBE">
              <w:rPr>
                <w:rFonts w:eastAsia="SimSun"/>
                <w:vertAlign w:val="superscript"/>
              </w:rPr>
              <w:t>2</w:t>
            </w:r>
            <w:r w:rsidRPr="00AC3044">
              <w:rPr>
                <w:rFonts w:eastAsia="SimSun"/>
              </w:rPr>
              <w:t xml:space="preserve"> </w:t>
            </w:r>
          </w:p>
        </w:tc>
        <w:tc>
          <w:tcPr>
            <w:tcW w:w="1701" w:type="dxa"/>
            <w:vAlign w:val="center"/>
          </w:tcPr>
          <w:p w14:paraId="0C000666" w14:textId="77777777" w:rsidR="0089207C" w:rsidRPr="00AC3044" w:rsidRDefault="0089207C" w:rsidP="002D3EBF">
            <w:pPr>
              <w:rPr>
                <w:rFonts w:eastAsia="SimSun"/>
              </w:rPr>
            </w:pPr>
            <w:r w:rsidRPr="00AC3044">
              <w:rPr>
                <w:rFonts w:eastAsia="SimSun"/>
              </w:rPr>
              <w:t>390 мг/м</w:t>
            </w:r>
            <w:r w:rsidRPr="001E6DBE">
              <w:rPr>
                <w:rFonts w:eastAsia="SimSun"/>
                <w:vertAlign w:val="superscript"/>
              </w:rPr>
              <w:t>2</w:t>
            </w:r>
          </w:p>
        </w:tc>
        <w:tc>
          <w:tcPr>
            <w:tcW w:w="1418" w:type="dxa"/>
            <w:vAlign w:val="center"/>
          </w:tcPr>
          <w:p w14:paraId="78023A6A" w14:textId="77777777" w:rsidR="0089207C" w:rsidRPr="00AC3044" w:rsidRDefault="0089207C" w:rsidP="002D3EBF">
            <w:pPr>
              <w:rPr>
                <w:rFonts w:eastAsia="SimSun"/>
              </w:rPr>
            </w:pPr>
            <w:r w:rsidRPr="00AC3044">
              <w:rPr>
                <w:rFonts w:eastAsia="SimSun"/>
              </w:rPr>
              <w:t xml:space="preserve">  С -4 дня по -2 день</w:t>
            </w:r>
          </w:p>
        </w:tc>
        <w:tc>
          <w:tcPr>
            <w:tcW w:w="2268" w:type="dxa"/>
            <w:vAlign w:val="center"/>
          </w:tcPr>
          <w:p w14:paraId="0887D9AA" w14:textId="77777777" w:rsidR="0089207C" w:rsidRPr="00AC3044" w:rsidRDefault="0089207C" w:rsidP="002D3EBF">
            <w:pPr>
              <w:rPr>
                <w:rFonts w:eastAsia="SimSun"/>
              </w:rPr>
            </w:pPr>
            <w:r w:rsidRPr="00AC3044">
              <w:rPr>
                <w:rFonts w:eastAsia="SimSun"/>
              </w:rPr>
              <w:t>В/в, в течение 1 часа</w:t>
            </w:r>
          </w:p>
        </w:tc>
      </w:tr>
      <w:tr w:rsidR="0089207C" w:rsidRPr="00AC3044" w14:paraId="48B0F19B" w14:textId="77777777" w:rsidTr="002D3EBF">
        <w:trPr>
          <w:cantSplit/>
          <w:trHeight w:val="958"/>
        </w:trPr>
        <w:tc>
          <w:tcPr>
            <w:tcW w:w="959" w:type="dxa"/>
            <w:textDirection w:val="btLr"/>
            <w:vAlign w:val="center"/>
          </w:tcPr>
          <w:p w14:paraId="08C27AFD" w14:textId="77777777" w:rsidR="0089207C" w:rsidRPr="00AC3044" w:rsidRDefault="0089207C" w:rsidP="002D3EBF">
            <w:pPr>
              <w:rPr>
                <w:rFonts w:eastAsia="SimSun"/>
              </w:rPr>
            </w:pPr>
            <w:r w:rsidRPr="00AC3044">
              <w:rPr>
                <w:rFonts w:eastAsia="SimSun"/>
              </w:rPr>
              <w:t>Профилактика РТПХ</w:t>
            </w:r>
          </w:p>
        </w:tc>
        <w:tc>
          <w:tcPr>
            <w:tcW w:w="1701" w:type="dxa"/>
            <w:vAlign w:val="center"/>
          </w:tcPr>
          <w:p w14:paraId="27F4EDBD" w14:textId="77777777" w:rsidR="0089207C" w:rsidRPr="00AC3044" w:rsidRDefault="0089207C" w:rsidP="002D3EBF">
            <w:pPr>
              <w:rPr>
                <w:rFonts w:eastAsia="SimSun"/>
              </w:rPr>
            </w:pPr>
            <w:r w:rsidRPr="00AC3044">
              <w:rPr>
                <w:rFonts w:eastAsia="SimSun"/>
              </w:rPr>
              <w:t>Циклофосфамид</w:t>
            </w:r>
          </w:p>
        </w:tc>
        <w:tc>
          <w:tcPr>
            <w:tcW w:w="1559" w:type="dxa"/>
            <w:vAlign w:val="center"/>
          </w:tcPr>
          <w:p w14:paraId="7A513D7B" w14:textId="77777777" w:rsidR="0089207C" w:rsidRPr="00AC3044" w:rsidRDefault="0089207C" w:rsidP="002D3EBF">
            <w:pPr>
              <w:rPr>
                <w:rFonts w:eastAsia="SimSun"/>
              </w:rPr>
            </w:pPr>
            <w:r w:rsidRPr="00AC3044">
              <w:rPr>
                <w:rFonts w:eastAsia="SimSun"/>
              </w:rPr>
              <w:t>50 мг/кг</w:t>
            </w:r>
          </w:p>
        </w:tc>
        <w:tc>
          <w:tcPr>
            <w:tcW w:w="1701" w:type="dxa"/>
            <w:vAlign w:val="center"/>
          </w:tcPr>
          <w:p w14:paraId="19B07F03" w14:textId="77777777" w:rsidR="0089207C" w:rsidRPr="00AC3044" w:rsidRDefault="0089207C" w:rsidP="002D3EBF">
            <w:pPr>
              <w:rPr>
                <w:rFonts w:eastAsia="SimSun"/>
              </w:rPr>
            </w:pPr>
            <w:r w:rsidRPr="00AC3044">
              <w:rPr>
                <w:rFonts w:eastAsia="SimSun"/>
              </w:rPr>
              <w:t>100 мг/кг</w:t>
            </w:r>
          </w:p>
        </w:tc>
        <w:tc>
          <w:tcPr>
            <w:tcW w:w="1418" w:type="dxa"/>
            <w:vAlign w:val="center"/>
          </w:tcPr>
          <w:p w14:paraId="23055C26" w14:textId="77777777" w:rsidR="0089207C" w:rsidRPr="00AC3044" w:rsidRDefault="0089207C" w:rsidP="002D3EBF">
            <w:pPr>
              <w:rPr>
                <w:rFonts w:eastAsia="SimSun"/>
              </w:rPr>
            </w:pPr>
            <w:r w:rsidRPr="00AC3044">
              <w:rPr>
                <w:rFonts w:eastAsia="SimSun"/>
              </w:rPr>
              <w:t xml:space="preserve">В дни +3, +4 </w:t>
            </w:r>
          </w:p>
        </w:tc>
        <w:tc>
          <w:tcPr>
            <w:tcW w:w="2268" w:type="dxa"/>
            <w:vAlign w:val="center"/>
          </w:tcPr>
          <w:p w14:paraId="1FACF147" w14:textId="77777777" w:rsidR="0089207C" w:rsidRPr="00AC3044" w:rsidRDefault="0089207C" w:rsidP="002D3EBF">
            <w:pPr>
              <w:rPr>
                <w:rFonts w:eastAsia="SimSun"/>
              </w:rPr>
            </w:pPr>
            <w:r w:rsidRPr="00AC3044">
              <w:rPr>
                <w:rFonts w:eastAsia="SimSun"/>
              </w:rPr>
              <w:t>В/в, в течение 2 часов</w:t>
            </w:r>
          </w:p>
        </w:tc>
      </w:tr>
    </w:tbl>
    <w:p w14:paraId="4731A5B8" w14:textId="77777777" w:rsidR="0089207C" w:rsidRDefault="0089207C" w:rsidP="0089207C">
      <w:pPr>
        <w:rPr>
          <w:rFonts w:eastAsia="SimSun"/>
        </w:rPr>
      </w:pPr>
      <w:bookmarkStart w:id="227" w:name="_Toc44401176"/>
    </w:p>
    <w:p w14:paraId="56AF5896" w14:textId="77777777" w:rsidR="0089207C" w:rsidRPr="00C07B2E" w:rsidRDefault="0089207C" w:rsidP="0089207C">
      <w:pPr>
        <w:rPr>
          <w:rFonts w:eastAsia="SimSun"/>
        </w:rPr>
      </w:pPr>
      <w:r>
        <w:rPr>
          <w:rFonts w:eastAsia="SimSun"/>
        </w:rPr>
        <w:t>Таблица</w:t>
      </w:r>
      <w:r w:rsidRPr="00C07B2E">
        <w:rPr>
          <w:rFonts w:eastAsia="SimSun"/>
        </w:rPr>
        <w:t xml:space="preserve"> </w:t>
      </w:r>
      <w:r>
        <w:rPr>
          <w:rFonts w:eastAsia="SimSun"/>
        </w:rPr>
        <w:t>5.</w:t>
      </w:r>
      <w:r w:rsidRPr="00C07B2E">
        <w:rPr>
          <w:rFonts w:eastAsia="SimSun"/>
        </w:rPr>
        <w:t>2.2.18 – Flu100+Cy100 / hATG+CSA+MTX</w:t>
      </w:r>
      <w:bookmarkEnd w:id="227"/>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701"/>
        <w:gridCol w:w="1418"/>
        <w:gridCol w:w="2268"/>
      </w:tblGrid>
      <w:tr w:rsidR="0089207C" w:rsidRPr="00AC3044" w14:paraId="0291EEFF" w14:textId="77777777" w:rsidTr="002D3EBF">
        <w:trPr>
          <w:cantSplit/>
          <w:trHeight w:val="20"/>
          <w:tblHeader/>
        </w:trPr>
        <w:tc>
          <w:tcPr>
            <w:tcW w:w="993" w:type="dxa"/>
          </w:tcPr>
          <w:p w14:paraId="1FE65D0B" w14:textId="77777777" w:rsidR="0089207C" w:rsidRPr="00470D3D" w:rsidRDefault="0089207C" w:rsidP="002D3EBF">
            <w:pPr>
              <w:rPr>
                <w:rFonts w:eastAsia="SimSun"/>
              </w:rPr>
            </w:pPr>
          </w:p>
        </w:tc>
        <w:tc>
          <w:tcPr>
            <w:tcW w:w="1701" w:type="dxa"/>
            <w:vAlign w:val="center"/>
          </w:tcPr>
          <w:p w14:paraId="638C2DB6" w14:textId="77777777" w:rsidR="0089207C" w:rsidRPr="00AC3044" w:rsidRDefault="0089207C" w:rsidP="002D3EBF">
            <w:pPr>
              <w:rPr>
                <w:rFonts w:eastAsia="SimSun"/>
              </w:rPr>
            </w:pPr>
            <w:r w:rsidRPr="00AC3044">
              <w:rPr>
                <w:rFonts w:eastAsia="SimSun"/>
              </w:rPr>
              <w:t>Препарат</w:t>
            </w:r>
          </w:p>
        </w:tc>
        <w:tc>
          <w:tcPr>
            <w:tcW w:w="1559" w:type="dxa"/>
            <w:vAlign w:val="center"/>
          </w:tcPr>
          <w:p w14:paraId="13C27A3C" w14:textId="77777777" w:rsidR="0089207C" w:rsidRPr="00AC3044" w:rsidRDefault="0089207C" w:rsidP="002D3EBF">
            <w:pPr>
              <w:rPr>
                <w:rFonts w:eastAsia="SimSun"/>
              </w:rPr>
            </w:pPr>
            <w:r w:rsidRPr="00AC3044">
              <w:rPr>
                <w:rFonts w:eastAsia="SimSun"/>
              </w:rPr>
              <w:t>Суточная доза</w:t>
            </w:r>
          </w:p>
        </w:tc>
        <w:tc>
          <w:tcPr>
            <w:tcW w:w="1701" w:type="dxa"/>
            <w:vAlign w:val="center"/>
          </w:tcPr>
          <w:p w14:paraId="26D7FE7B" w14:textId="77777777" w:rsidR="0089207C" w:rsidRPr="00AC3044" w:rsidRDefault="0089207C" w:rsidP="002D3EBF">
            <w:pPr>
              <w:rPr>
                <w:rFonts w:eastAsia="SimSun"/>
              </w:rPr>
            </w:pPr>
            <w:r w:rsidRPr="00AC3044">
              <w:rPr>
                <w:rFonts w:eastAsia="SimSun"/>
              </w:rPr>
              <w:t>Курсовая доза</w:t>
            </w:r>
          </w:p>
        </w:tc>
        <w:tc>
          <w:tcPr>
            <w:tcW w:w="1418" w:type="dxa"/>
            <w:vAlign w:val="center"/>
          </w:tcPr>
          <w:p w14:paraId="474A6E61"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0D7953D6" w14:textId="77777777" w:rsidR="0089207C" w:rsidRPr="00AC3044" w:rsidRDefault="0089207C" w:rsidP="002D3EBF">
            <w:pPr>
              <w:rPr>
                <w:rFonts w:eastAsia="SimSun"/>
              </w:rPr>
            </w:pPr>
            <w:r w:rsidRPr="00AC3044">
              <w:rPr>
                <w:rFonts w:eastAsia="SimSun"/>
              </w:rPr>
              <w:t>Порядок введения</w:t>
            </w:r>
          </w:p>
        </w:tc>
      </w:tr>
      <w:tr w:rsidR="0089207C" w:rsidRPr="00C07B2E" w14:paraId="77F41A6F" w14:textId="77777777" w:rsidTr="002D3EBF">
        <w:trPr>
          <w:cantSplit/>
          <w:trHeight w:val="20"/>
        </w:trPr>
        <w:tc>
          <w:tcPr>
            <w:tcW w:w="993" w:type="dxa"/>
            <w:vMerge w:val="restart"/>
            <w:textDirection w:val="btLr"/>
            <w:vAlign w:val="center"/>
          </w:tcPr>
          <w:p w14:paraId="338A4D3B" w14:textId="77777777" w:rsidR="0089207C" w:rsidRPr="00AC3044" w:rsidRDefault="0089207C" w:rsidP="002D3EBF">
            <w:pPr>
              <w:rPr>
                <w:rFonts w:eastAsia="SimSun"/>
              </w:rPr>
            </w:pPr>
            <w:r w:rsidRPr="00AC3044">
              <w:rPr>
                <w:rFonts w:eastAsia="SimSun"/>
              </w:rPr>
              <w:t>Кондиционирование</w:t>
            </w:r>
          </w:p>
        </w:tc>
        <w:tc>
          <w:tcPr>
            <w:tcW w:w="1701" w:type="dxa"/>
            <w:vAlign w:val="center"/>
          </w:tcPr>
          <w:p w14:paraId="5BC1AACC" w14:textId="77777777" w:rsidR="0089207C" w:rsidRPr="00AC3044" w:rsidRDefault="0089207C" w:rsidP="002D3EBF">
            <w:pPr>
              <w:rPr>
                <w:rFonts w:eastAsia="SimSun"/>
              </w:rPr>
            </w:pPr>
            <w:r w:rsidRPr="00AC3044">
              <w:rPr>
                <w:rFonts w:eastAsia="SimSun"/>
              </w:rPr>
              <w:t xml:space="preserve">Флударабин </w:t>
            </w:r>
          </w:p>
        </w:tc>
        <w:tc>
          <w:tcPr>
            <w:tcW w:w="1559" w:type="dxa"/>
            <w:vAlign w:val="center"/>
          </w:tcPr>
          <w:p w14:paraId="2FC24733" w14:textId="77777777" w:rsidR="0089207C" w:rsidRPr="00AC3044" w:rsidRDefault="0089207C" w:rsidP="002D3EBF">
            <w:pPr>
              <w:rPr>
                <w:rFonts w:eastAsia="SimSun"/>
              </w:rPr>
            </w:pPr>
            <w:r w:rsidRPr="00AC3044">
              <w:rPr>
                <w:rFonts w:eastAsia="SimSun"/>
              </w:rPr>
              <w:t>25 мг/м</w:t>
            </w:r>
            <w:r w:rsidRPr="001E6DBE">
              <w:rPr>
                <w:rFonts w:eastAsia="SimSun"/>
                <w:vertAlign w:val="superscript"/>
              </w:rPr>
              <w:t>2</w:t>
            </w:r>
          </w:p>
        </w:tc>
        <w:tc>
          <w:tcPr>
            <w:tcW w:w="1701" w:type="dxa"/>
            <w:vAlign w:val="center"/>
          </w:tcPr>
          <w:p w14:paraId="4B32495E" w14:textId="77777777" w:rsidR="0089207C" w:rsidRPr="00AC3044" w:rsidRDefault="0089207C" w:rsidP="002D3EBF">
            <w:pPr>
              <w:rPr>
                <w:rFonts w:eastAsia="SimSun"/>
              </w:rPr>
            </w:pPr>
            <w:r w:rsidRPr="00AC3044">
              <w:rPr>
                <w:rFonts w:eastAsia="SimSun"/>
              </w:rPr>
              <w:t>100 мг/м</w:t>
            </w:r>
            <w:r w:rsidRPr="001E6DBE">
              <w:rPr>
                <w:rFonts w:eastAsia="SimSun"/>
                <w:vertAlign w:val="superscript"/>
              </w:rPr>
              <w:t>2</w:t>
            </w:r>
          </w:p>
        </w:tc>
        <w:tc>
          <w:tcPr>
            <w:tcW w:w="1418" w:type="dxa"/>
            <w:vAlign w:val="center"/>
          </w:tcPr>
          <w:p w14:paraId="63356CD2" w14:textId="77777777" w:rsidR="0089207C" w:rsidRPr="00AC3044" w:rsidRDefault="0089207C" w:rsidP="002D3EBF">
            <w:pPr>
              <w:rPr>
                <w:rFonts w:eastAsia="SimSun"/>
              </w:rPr>
            </w:pPr>
            <w:r w:rsidRPr="00AC3044">
              <w:rPr>
                <w:rFonts w:eastAsia="SimSun"/>
              </w:rPr>
              <w:t xml:space="preserve">С –5 по –2 день </w:t>
            </w:r>
          </w:p>
        </w:tc>
        <w:tc>
          <w:tcPr>
            <w:tcW w:w="2268" w:type="dxa"/>
            <w:vAlign w:val="center"/>
          </w:tcPr>
          <w:p w14:paraId="139C8DAE" w14:textId="77777777" w:rsidR="0089207C" w:rsidRPr="00AC3044" w:rsidRDefault="0089207C" w:rsidP="002D3EBF">
            <w:pPr>
              <w:rPr>
                <w:rFonts w:eastAsia="SimSun"/>
              </w:rPr>
            </w:pPr>
            <w:r w:rsidRPr="00AC3044">
              <w:rPr>
                <w:rFonts w:eastAsia="SimSun"/>
              </w:rPr>
              <w:t>В/в, в течение 30 -60 мин</w:t>
            </w:r>
          </w:p>
        </w:tc>
      </w:tr>
      <w:tr w:rsidR="0089207C" w:rsidRPr="00C07B2E" w14:paraId="7A1DDF4B" w14:textId="77777777" w:rsidTr="002D3EBF">
        <w:trPr>
          <w:cantSplit/>
          <w:trHeight w:val="704"/>
        </w:trPr>
        <w:tc>
          <w:tcPr>
            <w:tcW w:w="993" w:type="dxa"/>
            <w:vMerge/>
            <w:textDirection w:val="btLr"/>
            <w:vAlign w:val="center"/>
          </w:tcPr>
          <w:p w14:paraId="6AA70670" w14:textId="77777777" w:rsidR="0089207C" w:rsidRPr="00AC3044" w:rsidRDefault="0089207C" w:rsidP="002D3EBF">
            <w:pPr>
              <w:rPr>
                <w:rFonts w:eastAsia="SimSun"/>
              </w:rPr>
            </w:pPr>
          </w:p>
        </w:tc>
        <w:tc>
          <w:tcPr>
            <w:tcW w:w="1701" w:type="dxa"/>
            <w:vAlign w:val="center"/>
          </w:tcPr>
          <w:p w14:paraId="24AEE91B" w14:textId="77777777" w:rsidR="0089207C" w:rsidRPr="00AC3044" w:rsidRDefault="0089207C" w:rsidP="002D3EBF">
            <w:pPr>
              <w:rPr>
                <w:rFonts w:eastAsia="SimSun"/>
              </w:rPr>
            </w:pPr>
            <w:r w:rsidRPr="00AC3044">
              <w:rPr>
                <w:rFonts w:eastAsia="SimSun"/>
              </w:rPr>
              <w:t>Циклофосфамид</w:t>
            </w:r>
          </w:p>
        </w:tc>
        <w:tc>
          <w:tcPr>
            <w:tcW w:w="1559" w:type="dxa"/>
            <w:vAlign w:val="center"/>
          </w:tcPr>
          <w:p w14:paraId="6531724B" w14:textId="77777777" w:rsidR="0089207C" w:rsidRPr="00AC3044" w:rsidRDefault="0089207C" w:rsidP="002D3EBF">
            <w:pPr>
              <w:rPr>
                <w:rFonts w:eastAsia="SimSun"/>
              </w:rPr>
            </w:pPr>
            <w:r w:rsidRPr="00AC3044">
              <w:rPr>
                <w:rFonts w:eastAsia="SimSun"/>
              </w:rPr>
              <w:t>25 мг/кг</w:t>
            </w:r>
          </w:p>
        </w:tc>
        <w:tc>
          <w:tcPr>
            <w:tcW w:w="1701" w:type="dxa"/>
            <w:vAlign w:val="center"/>
          </w:tcPr>
          <w:p w14:paraId="34FA9E02" w14:textId="77777777" w:rsidR="0089207C" w:rsidRPr="00AC3044" w:rsidRDefault="0089207C" w:rsidP="002D3EBF">
            <w:pPr>
              <w:rPr>
                <w:rFonts w:eastAsia="SimSun"/>
              </w:rPr>
            </w:pPr>
            <w:r w:rsidRPr="00AC3044">
              <w:rPr>
                <w:rFonts w:eastAsia="SimSun"/>
              </w:rPr>
              <w:t>100 мг/кг</w:t>
            </w:r>
          </w:p>
        </w:tc>
        <w:tc>
          <w:tcPr>
            <w:tcW w:w="1418" w:type="dxa"/>
            <w:vAlign w:val="center"/>
          </w:tcPr>
          <w:p w14:paraId="0D8C88BF" w14:textId="77777777" w:rsidR="0089207C" w:rsidRPr="00AC3044" w:rsidRDefault="0089207C" w:rsidP="002D3EBF">
            <w:pPr>
              <w:rPr>
                <w:rFonts w:eastAsia="SimSun"/>
              </w:rPr>
            </w:pPr>
            <w:r w:rsidRPr="00AC3044">
              <w:rPr>
                <w:rFonts w:eastAsia="SimSun"/>
              </w:rPr>
              <w:t>С –5 по –2 день</w:t>
            </w:r>
          </w:p>
        </w:tc>
        <w:tc>
          <w:tcPr>
            <w:tcW w:w="2268" w:type="dxa"/>
            <w:vAlign w:val="center"/>
          </w:tcPr>
          <w:p w14:paraId="6366CEF1" w14:textId="77777777" w:rsidR="0089207C" w:rsidRPr="00AC3044" w:rsidRDefault="0089207C" w:rsidP="002D3EBF">
            <w:pPr>
              <w:rPr>
                <w:rFonts w:eastAsia="SimSun"/>
              </w:rPr>
            </w:pPr>
            <w:r w:rsidRPr="00AC3044">
              <w:rPr>
                <w:rFonts w:eastAsia="SimSun"/>
              </w:rPr>
              <w:t>В/в, в течение 2 часов</w:t>
            </w:r>
          </w:p>
        </w:tc>
      </w:tr>
      <w:tr w:rsidR="0089207C" w:rsidRPr="00C07B2E" w14:paraId="22CC9624" w14:textId="77777777" w:rsidTr="002D3EBF">
        <w:trPr>
          <w:cantSplit/>
          <w:trHeight w:val="20"/>
        </w:trPr>
        <w:tc>
          <w:tcPr>
            <w:tcW w:w="993" w:type="dxa"/>
            <w:vMerge w:val="restart"/>
            <w:textDirection w:val="btLr"/>
            <w:vAlign w:val="center"/>
          </w:tcPr>
          <w:p w14:paraId="670C4817" w14:textId="77777777" w:rsidR="0089207C" w:rsidRPr="00AC3044" w:rsidRDefault="0089207C" w:rsidP="002D3EBF">
            <w:pPr>
              <w:rPr>
                <w:rFonts w:eastAsia="SimSun"/>
              </w:rPr>
            </w:pPr>
            <w:r w:rsidRPr="00AC3044">
              <w:rPr>
                <w:rFonts w:eastAsia="SimSun"/>
              </w:rPr>
              <w:t>Профилактика РТПХ</w:t>
            </w:r>
          </w:p>
        </w:tc>
        <w:tc>
          <w:tcPr>
            <w:tcW w:w="1701" w:type="dxa"/>
            <w:vAlign w:val="center"/>
          </w:tcPr>
          <w:p w14:paraId="5D368055" w14:textId="77777777" w:rsidR="0089207C" w:rsidRPr="00AC3044" w:rsidRDefault="0089207C" w:rsidP="002D3EBF">
            <w:pPr>
              <w:rPr>
                <w:rFonts w:eastAsia="SimSun"/>
              </w:rPr>
            </w:pPr>
            <w:r w:rsidRPr="00AC3044">
              <w:rPr>
                <w:rFonts w:eastAsia="SimSun"/>
              </w:rPr>
              <w:t>АТГ (лошадиный)</w:t>
            </w:r>
          </w:p>
        </w:tc>
        <w:tc>
          <w:tcPr>
            <w:tcW w:w="1559" w:type="dxa"/>
            <w:vAlign w:val="center"/>
          </w:tcPr>
          <w:p w14:paraId="0EE61EE3" w14:textId="77777777" w:rsidR="0089207C" w:rsidRPr="00AC3044" w:rsidRDefault="0089207C" w:rsidP="002D3EBF">
            <w:pPr>
              <w:rPr>
                <w:rFonts w:eastAsia="SimSun"/>
              </w:rPr>
            </w:pPr>
            <w:r w:rsidRPr="00AC3044">
              <w:rPr>
                <w:rFonts w:eastAsia="SimSun"/>
              </w:rPr>
              <w:t>25 мг/кг</w:t>
            </w:r>
          </w:p>
        </w:tc>
        <w:tc>
          <w:tcPr>
            <w:tcW w:w="1701" w:type="dxa"/>
            <w:vAlign w:val="center"/>
          </w:tcPr>
          <w:p w14:paraId="2D3BB46C" w14:textId="77777777" w:rsidR="0089207C" w:rsidRPr="00AC3044" w:rsidRDefault="0089207C" w:rsidP="002D3EBF">
            <w:pPr>
              <w:rPr>
                <w:rFonts w:eastAsia="SimSun"/>
              </w:rPr>
            </w:pPr>
            <w:r w:rsidRPr="00AC3044">
              <w:rPr>
                <w:rFonts w:eastAsia="SimSun"/>
              </w:rPr>
              <w:t>100 мг/кг</w:t>
            </w:r>
          </w:p>
        </w:tc>
        <w:tc>
          <w:tcPr>
            <w:tcW w:w="1418" w:type="dxa"/>
            <w:vAlign w:val="center"/>
          </w:tcPr>
          <w:p w14:paraId="6685516C" w14:textId="77777777" w:rsidR="0089207C" w:rsidRPr="00AC3044" w:rsidRDefault="0089207C" w:rsidP="002D3EBF">
            <w:pPr>
              <w:rPr>
                <w:rFonts w:eastAsia="SimSun"/>
              </w:rPr>
            </w:pPr>
            <w:r w:rsidRPr="00AC3044">
              <w:rPr>
                <w:rFonts w:eastAsia="SimSun"/>
              </w:rPr>
              <w:t>С –4 по –1 день</w:t>
            </w:r>
          </w:p>
        </w:tc>
        <w:tc>
          <w:tcPr>
            <w:tcW w:w="2268" w:type="dxa"/>
            <w:vAlign w:val="center"/>
          </w:tcPr>
          <w:p w14:paraId="2391934C" w14:textId="77777777" w:rsidR="0089207C" w:rsidRPr="00AC3044" w:rsidRDefault="0089207C" w:rsidP="002D3EBF">
            <w:pPr>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на 2 введения (см. гл. 3, «Инфузия АТГ»)</w:t>
            </w:r>
          </w:p>
        </w:tc>
      </w:tr>
      <w:tr w:rsidR="0089207C" w:rsidRPr="00C07B2E" w14:paraId="7F4A0365" w14:textId="77777777" w:rsidTr="002D3EBF">
        <w:trPr>
          <w:cantSplit/>
          <w:trHeight w:val="1141"/>
        </w:trPr>
        <w:tc>
          <w:tcPr>
            <w:tcW w:w="993" w:type="dxa"/>
            <w:vMerge/>
            <w:textDirection w:val="btLr"/>
          </w:tcPr>
          <w:p w14:paraId="1DA89A27" w14:textId="77777777" w:rsidR="0089207C" w:rsidRPr="00AC3044" w:rsidRDefault="0089207C" w:rsidP="002D3EBF">
            <w:pPr>
              <w:rPr>
                <w:rFonts w:eastAsia="SimSun"/>
              </w:rPr>
            </w:pPr>
          </w:p>
        </w:tc>
        <w:tc>
          <w:tcPr>
            <w:tcW w:w="1701" w:type="dxa"/>
            <w:vAlign w:val="center"/>
          </w:tcPr>
          <w:p w14:paraId="682E910C" w14:textId="77777777" w:rsidR="0089207C" w:rsidRPr="00AC3044" w:rsidRDefault="0089207C" w:rsidP="002D3EBF">
            <w:pPr>
              <w:rPr>
                <w:rFonts w:eastAsia="SimSun"/>
              </w:rPr>
            </w:pPr>
            <w:r w:rsidRPr="00AC3044">
              <w:rPr>
                <w:rFonts w:eastAsia="SimSun"/>
              </w:rPr>
              <w:t>Циклоспорин</w:t>
            </w:r>
          </w:p>
        </w:tc>
        <w:tc>
          <w:tcPr>
            <w:tcW w:w="1559" w:type="dxa"/>
            <w:vAlign w:val="center"/>
          </w:tcPr>
          <w:p w14:paraId="5D7F731E" w14:textId="77777777" w:rsidR="0089207C" w:rsidRPr="00AC3044" w:rsidRDefault="0089207C" w:rsidP="002D3EBF">
            <w:pPr>
              <w:rPr>
                <w:rFonts w:eastAsia="SimSun"/>
              </w:rPr>
            </w:pPr>
            <w:r w:rsidRPr="00AC3044">
              <w:rPr>
                <w:rFonts w:eastAsia="SimSun"/>
              </w:rPr>
              <w:t>3 мг/кг</w:t>
            </w:r>
          </w:p>
        </w:tc>
        <w:tc>
          <w:tcPr>
            <w:tcW w:w="1701" w:type="dxa"/>
            <w:vAlign w:val="center"/>
          </w:tcPr>
          <w:p w14:paraId="7D70261A" w14:textId="77777777" w:rsidR="0089207C" w:rsidRPr="00AC3044" w:rsidRDefault="0089207C" w:rsidP="002D3EBF">
            <w:pPr>
              <w:rPr>
                <w:rFonts w:eastAsia="SimSun"/>
              </w:rPr>
            </w:pPr>
            <w:r w:rsidRPr="00AC3044">
              <w:rPr>
                <w:rFonts w:eastAsia="SimSun"/>
              </w:rPr>
              <w:t>–</w:t>
            </w:r>
          </w:p>
        </w:tc>
        <w:tc>
          <w:tcPr>
            <w:tcW w:w="1418" w:type="dxa"/>
            <w:vAlign w:val="center"/>
          </w:tcPr>
          <w:p w14:paraId="5272BC57" w14:textId="77777777" w:rsidR="0089207C" w:rsidRPr="00AC3044" w:rsidRDefault="0089207C" w:rsidP="002D3EBF">
            <w:pPr>
              <w:rPr>
                <w:rFonts w:eastAsia="SimSun"/>
              </w:rPr>
            </w:pPr>
            <w:r w:rsidRPr="00AC3044">
              <w:rPr>
                <w:rFonts w:eastAsia="SimSun"/>
              </w:rPr>
              <w:t>С –1 дня по +230 день затем постепенное снижение к +270 дню</w:t>
            </w:r>
          </w:p>
        </w:tc>
        <w:tc>
          <w:tcPr>
            <w:tcW w:w="2268" w:type="dxa"/>
            <w:vAlign w:val="center"/>
          </w:tcPr>
          <w:p w14:paraId="16B02A0D" w14:textId="77777777" w:rsidR="0089207C" w:rsidRPr="00AC3044" w:rsidRDefault="0089207C" w:rsidP="002D3EBF">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9207C" w:rsidRPr="00C07B2E" w14:paraId="193A8905" w14:textId="77777777" w:rsidTr="002D3EBF">
        <w:trPr>
          <w:cantSplit/>
          <w:trHeight w:val="20"/>
        </w:trPr>
        <w:tc>
          <w:tcPr>
            <w:tcW w:w="993" w:type="dxa"/>
            <w:vMerge/>
          </w:tcPr>
          <w:p w14:paraId="55712F41" w14:textId="77777777" w:rsidR="0089207C" w:rsidRPr="00AC3044" w:rsidRDefault="0089207C" w:rsidP="002D3EBF">
            <w:pPr>
              <w:rPr>
                <w:rFonts w:eastAsia="SimSun"/>
              </w:rPr>
            </w:pPr>
          </w:p>
        </w:tc>
        <w:tc>
          <w:tcPr>
            <w:tcW w:w="1701" w:type="dxa"/>
            <w:vAlign w:val="center"/>
          </w:tcPr>
          <w:p w14:paraId="722EAA4D" w14:textId="77777777" w:rsidR="0089207C" w:rsidRPr="00AC3044" w:rsidRDefault="0089207C" w:rsidP="002D3EBF">
            <w:pPr>
              <w:rPr>
                <w:rFonts w:eastAsia="SimSun"/>
              </w:rPr>
            </w:pPr>
            <w:r w:rsidRPr="00AC3044">
              <w:rPr>
                <w:rFonts w:eastAsia="SimSun"/>
              </w:rPr>
              <w:t>Метотрексат</w:t>
            </w:r>
          </w:p>
        </w:tc>
        <w:tc>
          <w:tcPr>
            <w:tcW w:w="1559" w:type="dxa"/>
            <w:vAlign w:val="center"/>
          </w:tcPr>
          <w:p w14:paraId="03483613" w14:textId="77777777" w:rsidR="0089207C" w:rsidRPr="00AC3044" w:rsidRDefault="0089207C" w:rsidP="002D3EBF">
            <w:pPr>
              <w:rPr>
                <w:rFonts w:eastAsia="SimSun"/>
              </w:rPr>
            </w:pPr>
            <w:r w:rsidRPr="00AC3044">
              <w:rPr>
                <w:rFonts w:eastAsia="SimSun"/>
              </w:rPr>
              <w:t>15 мг/м</w:t>
            </w:r>
            <w:r w:rsidRPr="001E6DBE">
              <w:rPr>
                <w:rFonts w:eastAsia="SimSun"/>
                <w:vertAlign w:val="superscript"/>
              </w:rPr>
              <w:t>2</w:t>
            </w:r>
          </w:p>
        </w:tc>
        <w:tc>
          <w:tcPr>
            <w:tcW w:w="1701" w:type="dxa"/>
            <w:vAlign w:val="center"/>
          </w:tcPr>
          <w:p w14:paraId="044F322D" w14:textId="77777777" w:rsidR="0089207C" w:rsidRPr="00AC3044" w:rsidRDefault="0089207C" w:rsidP="002D3EBF">
            <w:pPr>
              <w:rPr>
                <w:rFonts w:eastAsia="SimSun"/>
              </w:rPr>
            </w:pPr>
            <w:r w:rsidRPr="00AC3044">
              <w:rPr>
                <w:rFonts w:eastAsia="SimSun"/>
              </w:rPr>
              <w:t>–</w:t>
            </w:r>
          </w:p>
        </w:tc>
        <w:tc>
          <w:tcPr>
            <w:tcW w:w="1418" w:type="dxa"/>
            <w:vAlign w:val="center"/>
          </w:tcPr>
          <w:p w14:paraId="6D448F76" w14:textId="77777777" w:rsidR="0089207C" w:rsidRPr="00AC3044" w:rsidRDefault="0089207C" w:rsidP="002D3EBF">
            <w:pPr>
              <w:rPr>
                <w:rFonts w:eastAsia="SimSun"/>
              </w:rPr>
            </w:pPr>
            <w:r w:rsidRPr="00AC3044">
              <w:rPr>
                <w:rFonts w:eastAsia="SimSun"/>
              </w:rPr>
              <w:t>+1 день</w:t>
            </w:r>
          </w:p>
        </w:tc>
        <w:tc>
          <w:tcPr>
            <w:tcW w:w="2268" w:type="dxa"/>
            <w:vAlign w:val="center"/>
          </w:tcPr>
          <w:p w14:paraId="7A408BA7" w14:textId="77777777" w:rsidR="0089207C" w:rsidRPr="00AC3044" w:rsidRDefault="0089207C" w:rsidP="002D3EBF">
            <w:pPr>
              <w:rPr>
                <w:rFonts w:eastAsia="SimSun"/>
              </w:rPr>
            </w:pPr>
            <w:r w:rsidRPr="00AC3044">
              <w:rPr>
                <w:rFonts w:eastAsia="SimSun"/>
              </w:rPr>
              <w:t xml:space="preserve">В/в, в 20 мл физ. р-ра </w:t>
            </w:r>
          </w:p>
        </w:tc>
      </w:tr>
      <w:tr w:rsidR="0089207C" w:rsidRPr="00C07B2E" w14:paraId="6D36F87E" w14:textId="77777777" w:rsidTr="002D3EBF">
        <w:trPr>
          <w:cantSplit/>
          <w:trHeight w:val="464"/>
        </w:trPr>
        <w:tc>
          <w:tcPr>
            <w:tcW w:w="993" w:type="dxa"/>
            <w:vMerge/>
          </w:tcPr>
          <w:p w14:paraId="75A74853" w14:textId="77777777" w:rsidR="0089207C" w:rsidRPr="00AC3044" w:rsidRDefault="0089207C" w:rsidP="002D3EBF">
            <w:pPr>
              <w:rPr>
                <w:rFonts w:eastAsia="SimSun"/>
              </w:rPr>
            </w:pPr>
          </w:p>
        </w:tc>
        <w:tc>
          <w:tcPr>
            <w:tcW w:w="1701" w:type="dxa"/>
            <w:vAlign w:val="center"/>
          </w:tcPr>
          <w:p w14:paraId="2D8E8B3E" w14:textId="77777777" w:rsidR="0089207C" w:rsidRPr="00AC3044" w:rsidRDefault="0089207C" w:rsidP="002D3EBF">
            <w:pPr>
              <w:rPr>
                <w:rFonts w:eastAsia="SimSun"/>
              </w:rPr>
            </w:pPr>
            <w:r w:rsidRPr="00AC3044">
              <w:rPr>
                <w:rFonts w:eastAsia="SimSun"/>
              </w:rPr>
              <w:t>Метотрексат</w:t>
            </w:r>
          </w:p>
        </w:tc>
        <w:tc>
          <w:tcPr>
            <w:tcW w:w="1559" w:type="dxa"/>
            <w:vAlign w:val="center"/>
          </w:tcPr>
          <w:p w14:paraId="5080A35D" w14:textId="77777777" w:rsidR="0089207C" w:rsidRPr="00AC3044" w:rsidRDefault="0089207C" w:rsidP="002D3EBF">
            <w:pPr>
              <w:rPr>
                <w:rFonts w:eastAsia="SimSun"/>
              </w:rPr>
            </w:pPr>
            <w:r w:rsidRPr="00AC3044">
              <w:rPr>
                <w:rFonts w:eastAsia="SimSun"/>
              </w:rPr>
              <w:t>10 мг/м</w:t>
            </w:r>
            <w:r w:rsidRPr="001E6DBE">
              <w:rPr>
                <w:rFonts w:eastAsia="SimSun"/>
                <w:vertAlign w:val="superscript"/>
              </w:rPr>
              <w:t>2</w:t>
            </w:r>
          </w:p>
        </w:tc>
        <w:tc>
          <w:tcPr>
            <w:tcW w:w="1701" w:type="dxa"/>
            <w:vAlign w:val="center"/>
          </w:tcPr>
          <w:p w14:paraId="7207F874" w14:textId="77777777" w:rsidR="0089207C" w:rsidRPr="00AC3044" w:rsidRDefault="0089207C" w:rsidP="002D3EBF">
            <w:pPr>
              <w:rPr>
                <w:rFonts w:eastAsia="SimSun"/>
              </w:rPr>
            </w:pPr>
            <w:r w:rsidRPr="00AC3044">
              <w:rPr>
                <w:rFonts w:eastAsia="SimSun"/>
              </w:rPr>
              <w:t>–</w:t>
            </w:r>
          </w:p>
        </w:tc>
        <w:tc>
          <w:tcPr>
            <w:tcW w:w="1418" w:type="dxa"/>
            <w:vAlign w:val="center"/>
          </w:tcPr>
          <w:p w14:paraId="36D379E5" w14:textId="77777777" w:rsidR="0089207C" w:rsidRPr="00AC3044" w:rsidRDefault="0089207C" w:rsidP="002D3EBF">
            <w:pPr>
              <w:rPr>
                <w:rFonts w:eastAsia="SimSun"/>
              </w:rPr>
            </w:pPr>
            <w:r w:rsidRPr="00AC3044">
              <w:rPr>
                <w:rFonts w:eastAsia="SimSun"/>
              </w:rPr>
              <w:t>+3, +6, +11 дни</w:t>
            </w:r>
          </w:p>
        </w:tc>
        <w:tc>
          <w:tcPr>
            <w:tcW w:w="2268" w:type="dxa"/>
            <w:vAlign w:val="center"/>
          </w:tcPr>
          <w:p w14:paraId="69F8147D" w14:textId="77777777" w:rsidR="0089207C" w:rsidRPr="00AC3044" w:rsidRDefault="0089207C" w:rsidP="002D3EBF">
            <w:pPr>
              <w:rPr>
                <w:rFonts w:eastAsia="SimSun"/>
              </w:rPr>
            </w:pPr>
            <w:r w:rsidRPr="00AC3044">
              <w:rPr>
                <w:rFonts w:eastAsia="SimSun"/>
              </w:rPr>
              <w:t xml:space="preserve">В/в, в 20 мл физ. р-ра </w:t>
            </w:r>
          </w:p>
        </w:tc>
      </w:tr>
    </w:tbl>
    <w:p w14:paraId="70E7E7FE" w14:textId="77777777" w:rsidR="0089207C" w:rsidRDefault="0089207C" w:rsidP="0089207C">
      <w:pPr>
        <w:rPr>
          <w:rFonts w:eastAsia="SimSun"/>
        </w:rPr>
      </w:pPr>
      <w:bookmarkStart w:id="228" w:name="_Toc44401177"/>
    </w:p>
    <w:p w14:paraId="0BBBDC9C" w14:textId="77777777" w:rsidR="0089207C" w:rsidRPr="00042499" w:rsidRDefault="0089207C" w:rsidP="0089207C">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1.2.19  – </w:t>
      </w:r>
      <w:r w:rsidRPr="00C07B2E">
        <w:rPr>
          <w:rFonts w:eastAsia="SimSun"/>
        </w:rPr>
        <w:t>Flu</w:t>
      </w:r>
      <w:r w:rsidRPr="00042499">
        <w:rPr>
          <w:rFonts w:eastAsia="SimSun"/>
          <w:lang w:val="en-US"/>
        </w:rPr>
        <w:t>120+</w:t>
      </w:r>
      <w:r w:rsidRPr="00C07B2E">
        <w:rPr>
          <w:rFonts w:eastAsia="SimSun"/>
        </w:rPr>
        <w:t>Cy</w:t>
      </w:r>
      <w:r w:rsidRPr="00042499">
        <w:rPr>
          <w:rFonts w:eastAsia="SimSun"/>
          <w:lang w:val="en-US"/>
        </w:rPr>
        <w:t>2000+</w:t>
      </w:r>
      <w:r w:rsidRPr="00C07B2E">
        <w:rPr>
          <w:rFonts w:eastAsia="SimSun"/>
        </w:rPr>
        <w:t>Mel</w:t>
      </w:r>
      <w:r w:rsidRPr="00042499">
        <w:rPr>
          <w:rFonts w:eastAsia="SimSun"/>
          <w:lang w:val="en-US"/>
        </w:rPr>
        <w:t xml:space="preserve">140 / </w:t>
      </w:r>
      <w:r w:rsidRPr="00C07B2E">
        <w:rPr>
          <w:rFonts w:eastAsia="SimSun"/>
        </w:rPr>
        <w:t>PT</w:t>
      </w:r>
      <w:r w:rsidRPr="00042499">
        <w:rPr>
          <w:rFonts w:eastAsia="SimSun"/>
          <w:lang w:val="en-US"/>
        </w:rPr>
        <w:t>-</w:t>
      </w:r>
      <w:r w:rsidRPr="00C07B2E">
        <w:rPr>
          <w:rFonts w:eastAsia="SimSun"/>
        </w:rPr>
        <w:t>Cy</w:t>
      </w:r>
      <w:r w:rsidRPr="00042499">
        <w:rPr>
          <w:rFonts w:eastAsia="SimSun"/>
          <w:lang w:val="en-US"/>
        </w:rPr>
        <w:t>+</w:t>
      </w:r>
      <w:r w:rsidRPr="00C07B2E">
        <w:rPr>
          <w:rFonts w:eastAsia="SimSun"/>
        </w:rPr>
        <w:t>CSA</w:t>
      </w:r>
      <w:r w:rsidRPr="00042499">
        <w:rPr>
          <w:rFonts w:eastAsia="SimSun"/>
          <w:lang w:val="en-US"/>
        </w:rPr>
        <w:t>+</w:t>
      </w:r>
      <w:r w:rsidRPr="00C07B2E">
        <w:rPr>
          <w:rFonts w:eastAsia="SimSun"/>
        </w:rPr>
        <w:t>MMF</w:t>
      </w:r>
      <w:r w:rsidRPr="00042499">
        <w:rPr>
          <w:rFonts w:eastAsia="SimSun"/>
          <w:lang w:val="en-US"/>
        </w:rPr>
        <w:t>45</w:t>
      </w:r>
      <w:bookmarkEnd w:id="228"/>
    </w:p>
    <w:tbl>
      <w:tblPr>
        <w:tblW w:w="9605" w:type="dxa"/>
        <w:tblInd w:w="1" w:type="dxa"/>
        <w:tblLayout w:type="fixed"/>
        <w:tblCellMar>
          <w:left w:w="10" w:type="dxa"/>
          <w:right w:w="10" w:type="dxa"/>
        </w:tblCellMar>
        <w:tblLook w:val="0000" w:firstRow="0" w:lastRow="0" w:firstColumn="0" w:lastColumn="0" w:noHBand="0" w:noVBand="0"/>
      </w:tblPr>
      <w:tblGrid>
        <w:gridCol w:w="958"/>
        <w:gridCol w:w="1701"/>
        <w:gridCol w:w="1559"/>
        <w:gridCol w:w="1701"/>
        <w:gridCol w:w="1418"/>
        <w:gridCol w:w="2268"/>
      </w:tblGrid>
      <w:tr w:rsidR="0089207C" w:rsidRPr="00AC3044" w14:paraId="47D0E840" w14:textId="77777777" w:rsidTr="002D3EBF">
        <w:trPr>
          <w:trHeight w:val="20"/>
          <w:tblHeader/>
        </w:trPr>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0AFE59" w14:textId="77777777" w:rsidR="0089207C" w:rsidRPr="009B5A5D" w:rsidRDefault="0089207C" w:rsidP="002D3EBF">
            <w:pPr>
              <w:rPr>
                <w:rFonts w:eastAsia="SimSun"/>
                <w:lang w:val="en-US"/>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DCC8694" w14:textId="77777777" w:rsidR="0089207C" w:rsidRPr="00AC3044" w:rsidRDefault="0089207C" w:rsidP="002D3EBF">
            <w:pPr>
              <w:rPr>
                <w:rFonts w:eastAsia="SimSun"/>
              </w:rPr>
            </w:pPr>
            <w:r w:rsidRPr="00AC3044">
              <w:rPr>
                <w:rFonts w:eastAsia="SimSun"/>
              </w:rPr>
              <w:t>Препарат</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53CB56" w14:textId="77777777" w:rsidR="0089207C" w:rsidRPr="00AC3044" w:rsidRDefault="0089207C" w:rsidP="002D3EBF">
            <w:pPr>
              <w:rPr>
                <w:rFonts w:eastAsia="SimSun"/>
              </w:rPr>
            </w:pPr>
            <w:r w:rsidRPr="00AC3044">
              <w:rPr>
                <w:rFonts w:eastAsia="SimSun"/>
              </w:rPr>
              <w:t>Суточная доза</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BAC677A" w14:textId="77777777" w:rsidR="0089207C" w:rsidRPr="00AC3044" w:rsidRDefault="0089207C" w:rsidP="002D3EBF">
            <w:pPr>
              <w:rPr>
                <w:rFonts w:eastAsia="SimSun"/>
              </w:rPr>
            </w:pPr>
            <w:r w:rsidRPr="00AC3044">
              <w:rPr>
                <w:rFonts w:eastAsia="SimSun"/>
              </w:rPr>
              <w:t>Курсовая доза</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00A86DE" w14:textId="77777777" w:rsidR="0089207C" w:rsidRPr="00AC3044" w:rsidRDefault="0089207C" w:rsidP="002D3EBF">
            <w:pPr>
              <w:rPr>
                <w:rFonts w:eastAsia="SimSun"/>
              </w:rPr>
            </w:pPr>
            <w:r w:rsidRPr="00AC3044">
              <w:rPr>
                <w:rFonts w:eastAsia="SimSun"/>
              </w:rPr>
              <w:t>Дни введения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EE4BA6F"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3A12222B" w14:textId="77777777" w:rsidTr="002D3EBF">
        <w:trPr>
          <w:trHeight w:val="20"/>
        </w:trPr>
        <w:tc>
          <w:tcPr>
            <w:tcW w:w="958" w:type="dxa"/>
            <w:vMerge w:val="restart"/>
            <w:tcBorders>
              <w:top w:val="single" w:sz="4" w:space="0" w:color="00000A"/>
              <w:left w:val="single" w:sz="4" w:space="0" w:color="00000A"/>
              <w:right w:val="single" w:sz="4" w:space="0" w:color="00000A"/>
            </w:tcBorders>
            <w:tcMar>
              <w:top w:w="0" w:type="dxa"/>
              <w:left w:w="108" w:type="dxa"/>
              <w:bottom w:w="0" w:type="dxa"/>
              <w:right w:w="108" w:type="dxa"/>
            </w:tcMar>
            <w:textDirection w:val="btLr"/>
            <w:vAlign w:val="center"/>
          </w:tcPr>
          <w:p w14:paraId="346AB45F" w14:textId="77777777" w:rsidR="0089207C" w:rsidRPr="00AC3044" w:rsidRDefault="0089207C" w:rsidP="002D3EBF">
            <w:pPr>
              <w:rPr>
                <w:rFonts w:eastAsia="SimSun"/>
              </w:rPr>
            </w:pPr>
            <w:r w:rsidRPr="00AC3044">
              <w:rPr>
                <w:rFonts w:eastAsia="SimSun"/>
              </w:rPr>
              <w:t>Кондиционирование</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C96612C" w14:textId="77777777" w:rsidR="0089207C" w:rsidRPr="00AC3044" w:rsidRDefault="0089207C" w:rsidP="002D3EBF">
            <w:pPr>
              <w:rPr>
                <w:rFonts w:eastAsia="SimSun"/>
              </w:rPr>
            </w:pPr>
            <w:r w:rsidRPr="00AC3044">
              <w:rPr>
                <w:rFonts w:eastAsia="SimSun"/>
              </w:rPr>
              <w:t>Флударабин</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01ACBD2" w14:textId="77777777" w:rsidR="0089207C" w:rsidRPr="00AC3044" w:rsidRDefault="0089207C" w:rsidP="002D3EBF">
            <w:pPr>
              <w:rPr>
                <w:rFonts w:eastAsia="SimSun"/>
              </w:rPr>
            </w:pPr>
            <w:r w:rsidRPr="00AC3044">
              <w:rPr>
                <w:rFonts w:eastAsia="SimSun"/>
              </w:rPr>
              <w:t>40 мг/м</w:t>
            </w:r>
            <w:r w:rsidRPr="001E6DBE">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F0A146E" w14:textId="77777777" w:rsidR="0089207C" w:rsidRPr="00AC3044" w:rsidRDefault="0089207C" w:rsidP="002D3EBF">
            <w:pPr>
              <w:rPr>
                <w:rFonts w:eastAsia="SimSun"/>
              </w:rPr>
            </w:pPr>
            <w:r w:rsidRPr="00AC3044">
              <w:rPr>
                <w:rFonts w:eastAsia="SimSun"/>
              </w:rPr>
              <w:t>120 мг/м</w:t>
            </w:r>
            <w:r w:rsidRPr="001E6DBE">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0BE6AF9" w14:textId="77777777" w:rsidR="0089207C" w:rsidRPr="00AC3044" w:rsidRDefault="0089207C" w:rsidP="002D3EBF">
            <w:pPr>
              <w:rPr>
                <w:rFonts w:eastAsia="SimSun"/>
              </w:rPr>
            </w:pPr>
            <w:r w:rsidRPr="00AC3044">
              <w:rPr>
                <w:rFonts w:eastAsia="SimSun"/>
              </w:rPr>
              <w:t>С –5 по –3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41A8FF8"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1574D084" w14:textId="77777777" w:rsidTr="002D3EBF">
        <w:trPr>
          <w:trHeight w:val="1011"/>
        </w:trPr>
        <w:tc>
          <w:tcPr>
            <w:tcW w:w="958" w:type="dxa"/>
            <w:vMerge/>
            <w:tcBorders>
              <w:left w:val="single" w:sz="4" w:space="0" w:color="00000A"/>
              <w:right w:val="single" w:sz="4" w:space="0" w:color="00000A"/>
            </w:tcBorders>
            <w:tcMar>
              <w:top w:w="0" w:type="dxa"/>
              <w:left w:w="108" w:type="dxa"/>
              <w:bottom w:w="0" w:type="dxa"/>
              <w:right w:w="108" w:type="dxa"/>
            </w:tcMar>
            <w:textDirection w:val="btLr"/>
            <w:vAlign w:val="center"/>
          </w:tcPr>
          <w:p w14:paraId="64B595E0" w14:textId="77777777" w:rsidR="0089207C" w:rsidRPr="00AC3044" w:rsidRDefault="0089207C" w:rsidP="002D3EBF">
            <w:pPr>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5438C71" w14:textId="77777777" w:rsidR="0089207C" w:rsidRPr="00AC3044" w:rsidRDefault="0089207C" w:rsidP="002D3EBF">
            <w:pPr>
              <w:rPr>
                <w:rFonts w:eastAsia="SimSun"/>
              </w:rPr>
            </w:pPr>
            <w:r w:rsidRPr="00AC3044">
              <w:rPr>
                <w:rFonts w:eastAsia="SimSun"/>
              </w:rPr>
              <w:t>Циклофосфамид</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B6F8B44" w14:textId="77777777" w:rsidR="0089207C" w:rsidRPr="00AC3044" w:rsidRDefault="0089207C" w:rsidP="002D3EBF">
            <w:pPr>
              <w:rPr>
                <w:rFonts w:eastAsia="SimSun"/>
              </w:rPr>
            </w:pPr>
            <w:r w:rsidRPr="00AC3044">
              <w:rPr>
                <w:rFonts w:eastAsia="SimSun"/>
              </w:rPr>
              <w:t>1000 мг/м</w:t>
            </w:r>
            <w:r w:rsidRPr="001E6DBE">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13E7CBA" w14:textId="77777777" w:rsidR="0089207C" w:rsidRPr="00AC3044" w:rsidRDefault="0089207C" w:rsidP="002D3EBF">
            <w:pPr>
              <w:rPr>
                <w:rFonts w:eastAsia="SimSun"/>
              </w:rPr>
            </w:pPr>
            <w:r w:rsidRPr="00AC3044">
              <w:rPr>
                <w:rFonts w:eastAsia="SimSun"/>
              </w:rPr>
              <w:t>2000 мг/м</w:t>
            </w:r>
            <w:r w:rsidRPr="001E6DBE">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543E149" w14:textId="77777777" w:rsidR="0089207C" w:rsidRPr="00AC3044" w:rsidRDefault="0089207C" w:rsidP="002D3EBF">
            <w:pPr>
              <w:rPr>
                <w:rFonts w:eastAsia="SimSun"/>
              </w:rPr>
            </w:pPr>
            <w:r w:rsidRPr="00AC3044">
              <w:rPr>
                <w:rFonts w:eastAsia="SimSun"/>
              </w:rPr>
              <w:t>-7, -6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8266EC9"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1C711799" w14:textId="77777777" w:rsidTr="002D3EBF">
        <w:trPr>
          <w:trHeight w:val="402"/>
        </w:trPr>
        <w:tc>
          <w:tcPr>
            <w:tcW w:w="958" w:type="dxa"/>
            <w:vMerge/>
            <w:tcBorders>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3D7013F9" w14:textId="77777777" w:rsidR="0089207C" w:rsidRPr="00AC3044" w:rsidRDefault="0089207C" w:rsidP="002D3EBF">
            <w:pPr>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FBAFDE5" w14:textId="77777777" w:rsidR="0089207C" w:rsidRPr="00AC3044" w:rsidRDefault="0089207C" w:rsidP="002D3EBF">
            <w:pPr>
              <w:rPr>
                <w:rFonts w:eastAsia="SimSun"/>
              </w:rPr>
            </w:pPr>
            <w:r w:rsidRPr="00AC3044">
              <w:rPr>
                <w:rFonts w:eastAsia="SimSun"/>
              </w:rPr>
              <w:t>Мелфалан</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3AAE3C8" w14:textId="77777777" w:rsidR="0089207C" w:rsidRPr="00AC3044" w:rsidRDefault="0089207C" w:rsidP="002D3EBF">
            <w:pPr>
              <w:rPr>
                <w:rFonts w:eastAsia="SimSun"/>
              </w:rPr>
            </w:pPr>
            <w:r w:rsidRPr="00AC3044">
              <w:rPr>
                <w:rFonts w:eastAsia="SimSun"/>
              </w:rPr>
              <w:t>140 мг/м</w:t>
            </w:r>
            <w:r w:rsidRPr="001E6DBE">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DF11BDE" w14:textId="77777777" w:rsidR="0089207C" w:rsidRPr="00AC3044" w:rsidRDefault="0089207C" w:rsidP="002D3EBF">
            <w:pPr>
              <w:rPr>
                <w:rFonts w:eastAsia="SimSun"/>
              </w:rPr>
            </w:pPr>
            <w:r w:rsidRPr="00AC3044">
              <w:rPr>
                <w:rFonts w:eastAsia="SimSun"/>
              </w:rPr>
              <w:t>140 мг/м</w:t>
            </w:r>
            <w:r w:rsidRPr="001E6DBE">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5C6CD91" w14:textId="77777777" w:rsidR="0089207C" w:rsidRPr="00AC3044" w:rsidRDefault="0089207C" w:rsidP="002D3EBF">
            <w:pPr>
              <w:rPr>
                <w:rFonts w:eastAsia="SimSun"/>
              </w:rPr>
            </w:pPr>
            <w:r w:rsidRPr="00AC3044">
              <w:rPr>
                <w:rFonts w:eastAsia="SimSun"/>
              </w:rPr>
              <w:t>-2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6C91D2C" w14:textId="77777777" w:rsidR="0089207C" w:rsidRPr="00AC3044" w:rsidRDefault="0089207C" w:rsidP="002D3EBF">
            <w:pPr>
              <w:rPr>
                <w:rFonts w:eastAsia="SimSun"/>
              </w:rPr>
            </w:pPr>
            <w:r w:rsidRPr="00AC3044">
              <w:rPr>
                <w:rFonts w:eastAsia="SimSun"/>
              </w:rPr>
              <w:t>В/в, в течение 1 часа</w:t>
            </w:r>
          </w:p>
        </w:tc>
      </w:tr>
      <w:tr w:rsidR="0089207C" w:rsidRPr="00AC3044" w14:paraId="53B40057" w14:textId="77777777" w:rsidTr="002D3EBF">
        <w:trPr>
          <w:trHeight w:val="20"/>
        </w:trPr>
        <w:tc>
          <w:tcPr>
            <w:tcW w:w="958"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39A310BD" w14:textId="77777777" w:rsidR="0089207C" w:rsidRPr="00AC3044" w:rsidRDefault="0089207C" w:rsidP="002D3EBF">
            <w:pPr>
              <w:rPr>
                <w:rFonts w:eastAsia="SimSun"/>
              </w:rPr>
            </w:pPr>
            <w:r w:rsidRPr="00AC3044">
              <w:rPr>
                <w:rFonts w:eastAsia="SimSun"/>
              </w:rPr>
              <w:t>Профилактика РТПХ</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FC5F96D" w14:textId="77777777" w:rsidR="0089207C" w:rsidRPr="00AC3044" w:rsidRDefault="0089207C" w:rsidP="002D3EBF">
            <w:pPr>
              <w:rPr>
                <w:rFonts w:eastAsia="SimSun"/>
              </w:rPr>
            </w:pPr>
            <w:r w:rsidRPr="00AC3044">
              <w:rPr>
                <w:rFonts w:eastAsia="SimSun"/>
              </w:rPr>
              <w:t>Циклоспорин</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8FEB17A" w14:textId="77777777" w:rsidR="0089207C" w:rsidRPr="00AC3044" w:rsidRDefault="0089207C" w:rsidP="002D3EBF">
            <w:pPr>
              <w:rPr>
                <w:rFonts w:eastAsia="SimSun"/>
              </w:rPr>
            </w:pPr>
            <w:r w:rsidRPr="00AC3044">
              <w:rPr>
                <w:rFonts w:eastAsia="SimSun"/>
              </w:rPr>
              <w:t>3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DEB57DB" w14:textId="77777777" w:rsidR="0089207C" w:rsidRPr="00AC3044" w:rsidRDefault="0089207C" w:rsidP="002D3EBF">
            <w:pPr>
              <w:rPr>
                <w:rFonts w:eastAsia="SimSun"/>
              </w:rPr>
            </w:pPr>
            <w:r w:rsidRPr="00AC3044">
              <w:rPr>
                <w:rFonts w:eastAsia="SimSun"/>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89651C9" w14:textId="77777777" w:rsidR="0089207C" w:rsidRPr="00AC3044" w:rsidRDefault="0089207C" w:rsidP="002D3EBF">
            <w:pPr>
              <w:rPr>
                <w:rFonts w:eastAsia="SimSun"/>
              </w:rPr>
            </w:pPr>
            <w:r w:rsidRPr="00AC3044">
              <w:rPr>
                <w:rFonts w:eastAsia="SimSun"/>
              </w:rPr>
              <w:t>С +5 по +90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9CC7512" w14:textId="77777777" w:rsidR="0089207C" w:rsidRPr="00AC3044" w:rsidRDefault="0089207C" w:rsidP="002D3EBF">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w:t>
            </w:r>
            <w:r>
              <w:rPr>
                <w:rFonts w:eastAsia="SimSun"/>
              </w:rPr>
              <w:t xml:space="preserve"> </w:t>
            </w:r>
            <w:r w:rsidRPr="00AC3044">
              <w:rPr>
                <w:rFonts w:eastAsia="SimSun"/>
              </w:rPr>
              <w:t>пг/мл</w:t>
            </w:r>
          </w:p>
        </w:tc>
      </w:tr>
      <w:tr w:rsidR="0089207C" w:rsidRPr="00AC3044" w14:paraId="6AF516A2" w14:textId="77777777" w:rsidTr="002D3EBF">
        <w:trPr>
          <w:trHeight w:val="20"/>
        </w:trPr>
        <w:tc>
          <w:tcPr>
            <w:tcW w:w="958"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B7DEA6A" w14:textId="77777777" w:rsidR="0089207C" w:rsidRPr="00AC3044" w:rsidRDefault="0089207C" w:rsidP="002D3EBF">
            <w:pPr>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896B20E" w14:textId="77777777" w:rsidR="0089207C" w:rsidRPr="00AC3044" w:rsidRDefault="0089207C" w:rsidP="002D3EBF">
            <w:pPr>
              <w:rPr>
                <w:rFonts w:eastAsia="SimSun"/>
              </w:rPr>
            </w:pPr>
            <w:r w:rsidRPr="00AC3044">
              <w:rPr>
                <w:rFonts w:eastAsia="SimSun"/>
              </w:rPr>
              <w:t>Микофенолата мофетил</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839C336" w14:textId="77777777" w:rsidR="0089207C" w:rsidRPr="00AC3044" w:rsidRDefault="0089207C" w:rsidP="002D3EBF">
            <w:pPr>
              <w:rPr>
                <w:rFonts w:eastAsia="SimSun"/>
              </w:rPr>
            </w:pPr>
            <w:r w:rsidRPr="00AC3044">
              <w:rPr>
                <w:rFonts w:eastAsia="SimSun"/>
              </w:rPr>
              <w:t>45 мг/кг</w:t>
            </w:r>
            <w:r w:rsidRPr="00AC3044">
              <w:rPr>
                <w:rFonts w:eastAsia="SimSun"/>
              </w:rPr>
              <w:tab/>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B02DFAF" w14:textId="77777777" w:rsidR="0089207C" w:rsidRPr="00AC3044" w:rsidRDefault="0089207C" w:rsidP="002D3EBF">
            <w:pPr>
              <w:rPr>
                <w:rFonts w:eastAsia="SimSun"/>
              </w:rPr>
            </w:pPr>
            <w:r w:rsidRPr="00AC3044">
              <w:rPr>
                <w:rFonts w:eastAsia="SimSun"/>
              </w:rPr>
              <w:t>–</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84C1A2A" w14:textId="77777777" w:rsidR="0089207C" w:rsidRPr="00AC3044" w:rsidRDefault="0089207C" w:rsidP="002D3EBF">
            <w:pPr>
              <w:rPr>
                <w:rFonts w:eastAsia="SimSun"/>
              </w:rPr>
            </w:pPr>
            <w:r w:rsidRPr="00AC3044">
              <w:rPr>
                <w:rFonts w:eastAsia="SimSun"/>
              </w:rPr>
              <w:t>С +5 по +30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A946BB7" w14:textId="77777777" w:rsidR="0089207C" w:rsidRPr="00AC3044" w:rsidRDefault="0089207C" w:rsidP="002D3EBF">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г/сут).</w:t>
            </w:r>
          </w:p>
        </w:tc>
      </w:tr>
      <w:tr w:rsidR="0089207C" w:rsidRPr="00AC3044" w14:paraId="2A5CAC05" w14:textId="77777777" w:rsidTr="002D3EBF">
        <w:trPr>
          <w:trHeight w:val="464"/>
        </w:trPr>
        <w:tc>
          <w:tcPr>
            <w:tcW w:w="958"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77225CF" w14:textId="77777777" w:rsidR="0089207C" w:rsidRPr="00AC3044" w:rsidRDefault="0089207C" w:rsidP="002D3EBF">
            <w:pPr>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12151D6" w14:textId="77777777" w:rsidR="0089207C" w:rsidRPr="00AC3044" w:rsidRDefault="0089207C" w:rsidP="002D3EBF">
            <w:pPr>
              <w:rPr>
                <w:rFonts w:eastAsia="SimSun"/>
              </w:rPr>
            </w:pPr>
            <w:r w:rsidRPr="00AC3044">
              <w:rPr>
                <w:rFonts w:eastAsia="SimSun"/>
              </w:rPr>
              <w:t>Циклофосфамид</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64D5E34" w14:textId="77777777" w:rsidR="0089207C" w:rsidRPr="00AC3044" w:rsidRDefault="0089207C" w:rsidP="002D3EBF">
            <w:pPr>
              <w:rPr>
                <w:rFonts w:eastAsia="SimSun"/>
              </w:rPr>
            </w:pPr>
            <w:r w:rsidRPr="00AC3044">
              <w:rPr>
                <w:rFonts w:eastAsia="SimSun"/>
              </w:rPr>
              <w:t>50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123B419" w14:textId="77777777" w:rsidR="0089207C" w:rsidRPr="00AC3044" w:rsidRDefault="0089207C" w:rsidP="002D3EBF">
            <w:pPr>
              <w:rPr>
                <w:rFonts w:eastAsia="SimSun"/>
              </w:rPr>
            </w:pPr>
            <w:r w:rsidRPr="00AC3044">
              <w:rPr>
                <w:rFonts w:eastAsia="SimSun"/>
              </w:rPr>
              <w:t>100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1C120AA" w14:textId="77777777" w:rsidR="0089207C" w:rsidRPr="00AC3044" w:rsidRDefault="0089207C" w:rsidP="002D3EBF">
            <w:pPr>
              <w:rPr>
                <w:rFonts w:eastAsia="SimSun"/>
              </w:rPr>
            </w:pPr>
            <w:r w:rsidRPr="00AC3044">
              <w:rPr>
                <w:rFonts w:eastAsia="SimSun"/>
              </w:rPr>
              <w:t>+3, +4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90EDDB7" w14:textId="77777777" w:rsidR="0089207C" w:rsidRPr="00AC3044" w:rsidRDefault="0089207C" w:rsidP="002D3EBF">
            <w:pPr>
              <w:rPr>
                <w:rFonts w:eastAsia="SimSun"/>
              </w:rPr>
            </w:pPr>
            <w:r w:rsidRPr="00AC3044">
              <w:rPr>
                <w:rFonts w:eastAsia="SimSun"/>
              </w:rPr>
              <w:t>В/в, в течение 2 часов</w:t>
            </w:r>
          </w:p>
        </w:tc>
      </w:tr>
    </w:tbl>
    <w:p w14:paraId="403FFCEE" w14:textId="77777777" w:rsidR="0089207C" w:rsidRDefault="0089207C" w:rsidP="0089207C">
      <w:pPr>
        <w:rPr>
          <w:rFonts w:eastAsia="SimSun"/>
        </w:rPr>
      </w:pPr>
      <w:bookmarkStart w:id="229" w:name="_Toc44401178"/>
    </w:p>
    <w:p w14:paraId="71D70A61" w14:textId="77777777" w:rsidR="0089207C" w:rsidRPr="00C07B2E" w:rsidRDefault="0089207C" w:rsidP="0089207C">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1.2.20  – Flu150+Treo36 / PT-Cy+CSA+MMF30</w:t>
      </w:r>
      <w:bookmarkEnd w:id="229"/>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701"/>
        <w:gridCol w:w="1418"/>
        <w:gridCol w:w="2268"/>
      </w:tblGrid>
      <w:tr w:rsidR="0089207C" w:rsidRPr="00AC3044" w14:paraId="703EB2D8" w14:textId="77777777" w:rsidTr="002D3EBF">
        <w:trPr>
          <w:cantSplit/>
          <w:trHeight w:val="20"/>
          <w:tblHeader/>
        </w:trPr>
        <w:tc>
          <w:tcPr>
            <w:tcW w:w="993" w:type="dxa"/>
          </w:tcPr>
          <w:p w14:paraId="61B615DC" w14:textId="77777777" w:rsidR="0089207C" w:rsidRPr="00470D3D" w:rsidRDefault="0089207C" w:rsidP="002D3EBF">
            <w:pPr>
              <w:rPr>
                <w:rFonts w:eastAsia="SimSun"/>
              </w:rPr>
            </w:pPr>
          </w:p>
          <w:p w14:paraId="2171850C" w14:textId="77777777" w:rsidR="0089207C" w:rsidRPr="00470D3D" w:rsidRDefault="0089207C" w:rsidP="002D3EBF">
            <w:pPr>
              <w:rPr>
                <w:rFonts w:eastAsia="SimSun"/>
              </w:rPr>
            </w:pPr>
          </w:p>
        </w:tc>
        <w:tc>
          <w:tcPr>
            <w:tcW w:w="1701" w:type="dxa"/>
            <w:vAlign w:val="center"/>
          </w:tcPr>
          <w:p w14:paraId="1B09D4F5" w14:textId="77777777" w:rsidR="0089207C" w:rsidRPr="00AC3044" w:rsidRDefault="0089207C" w:rsidP="002D3EBF">
            <w:pPr>
              <w:rPr>
                <w:rFonts w:eastAsia="SimSun"/>
              </w:rPr>
            </w:pPr>
            <w:r w:rsidRPr="00AC3044">
              <w:rPr>
                <w:rFonts w:eastAsia="SimSun"/>
              </w:rPr>
              <w:t>Препарат</w:t>
            </w:r>
          </w:p>
        </w:tc>
        <w:tc>
          <w:tcPr>
            <w:tcW w:w="1559" w:type="dxa"/>
            <w:vAlign w:val="center"/>
          </w:tcPr>
          <w:p w14:paraId="633B8C4D" w14:textId="77777777" w:rsidR="0089207C" w:rsidRPr="00AC3044" w:rsidRDefault="0089207C" w:rsidP="002D3EBF">
            <w:pPr>
              <w:rPr>
                <w:rFonts w:eastAsia="SimSun"/>
              </w:rPr>
            </w:pPr>
            <w:r w:rsidRPr="00AC3044">
              <w:rPr>
                <w:rFonts w:eastAsia="SimSun"/>
              </w:rPr>
              <w:t>Суточная доза</w:t>
            </w:r>
          </w:p>
        </w:tc>
        <w:tc>
          <w:tcPr>
            <w:tcW w:w="1701" w:type="dxa"/>
            <w:vAlign w:val="center"/>
          </w:tcPr>
          <w:p w14:paraId="7E8242E1" w14:textId="77777777" w:rsidR="0089207C" w:rsidRPr="00AC3044" w:rsidRDefault="0089207C" w:rsidP="002D3EBF">
            <w:pPr>
              <w:rPr>
                <w:rFonts w:eastAsia="SimSun"/>
              </w:rPr>
            </w:pPr>
            <w:r w:rsidRPr="00AC3044">
              <w:rPr>
                <w:rFonts w:eastAsia="SimSun"/>
              </w:rPr>
              <w:t>Курсовая доза</w:t>
            </w:r>
          </w:p>
        </w:tc>
        <w:tc>
          <w:tcPr>
            <w:tcW w:w="1418" w:type="dxa"/>
            <w:vAlign w:val="center"/>
          </w:tcPr>
          <w:p w14:paraId="664CBAEE"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28AC2CC8"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0C64BB00" w14:textId="77777777" w:rsidTr="002D3EBF">
        <w:trPr>
          <w:cantSplit/>
          <w:trHeight w:val="20"/>
        </w:trPr>
        <w:tc>
          <w:tcPr>
            <w:tcW w:w="993" w:type="dxa"/>
            <w:vMerge w:val="restart"/>
            <w:textDirection w:val="btLr"/>
            <w:vAlign w:val="center"/>
          </w:tcPr>
          <w:p w14:paraId="305FFF88" w14:textId="77777777" w:rsidR="0089207C" w:rsidRPr="00AC3044" w:rsidRDefault="0089207C" w:rsidP="002D3EBF">
            <w:pPr>
              <w:rPr>
                <w:rFonts w:eastAsia="SimSun"/>
              </w:rPr>
            </w:pPr>
            <w:r w:rsidRPr="00AC3044">
              <w:rPr>
                <w:rFonts w:eastAsia="SimSun"/>
              </w:rPr>
              <w:t>Кондиционирование</w:t>
            </w:r>
          </w:p>
        </w:tc>
        <w:tc>
          <w:tcPr>
            <w:tcW w:w="1701" w:type="dxa"/>
            <w:vAlign w:val="center"/>
          </w:tcPr>
          <w:p w14:paraId="6DDAD002" w14:textId="77777777" w:rsidR="0089207C" w:rsidRPr="00AC3044" w:rsidRDefault="0089207C" w:rsidP="002D3EBF">
            <w:pPr>
              <w:rPr>
                <w:rFonts w:eastAsia="SimSun"/>
              </w:rPr>
            </w:pPr>
            <w:r w:rsidRPr="00AC3044">
              <w:rPr>
                <w:rFonts w:eastAsia="SimSun"/>
              </w:rPr>
              <w:t xml:space="preserve">Флударабин </w:t>
            </w:r>
          </w:p>
        </w:tc>
        <w:tc>
          <w:tcPr>
            <w:tcW w:w="1559" w:type="dxa"/>
            <w:vAlign w:val="center"/>
          </w:tcPr>
          <w:p w14:paraId="7E6AC121" w14:textId="77777777" w:rsidR="0089207C" w:rsidRPr="00AC3044" w:rsidRDefault="0089207C" w:rsidP="002D3EBF">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607FF81C" w14:textId="77777777" w:rsidR="0089207C" w:rsidRPr="00AC3044" w:rsidRDefault="0089207C" w:rsidP="002D3EBF">
            <w:pPr>
              <w:rPr>
                <w:rFonts w:eastAsia="SimSun"/>
              </w:rPr>
            </w:pPr>
            <w:r w:rsidRPr="00AC3044">
              <w:rPr>
                <w:rFonts w:eastAsia="SimSun"/>
              </w:rPr>
              <w:t>150 мг/м</w:t>
            </w:r>
            <w:r w:rsidRPr="001E6DBE">
              <w:rPr>
                <w:rFonts w:eastAsia="SimSun"/>
                <w:vertAlign w:val="superscript"/>
              </w:rPr>
              <w:t>2</w:t>
            </w:r>
          </w:p>
        </w:tc>
        <w:tc>
          <w:tcPr>
            <w:tcW w:w="1418" w:type="dxa"/>
            <w:vAlign w:val="center"/>
          </w:tcPr>
          <w:p w14:paraId="285E4462" w14:textId="77777777" w:rsidR="0089207C" w:rsidRPr="00AC3044" w:rsidRDefault="0089207C" w:rsidP="002D3EBF">
            <w:pPr>
              <w:rPr>
                <w:rFonts w:eastAsia="SimSun"/>
              </w:rPr>
            </w:pPr>
            <w:r w:rsidRPr="00AC3044">
              <w:rPr>
                <w:rFonts w:eastAsia="SimSun"/>
              </w:rPr>
              <w:t>С –6 по –2 день</w:t>
            </w:r>
          </w:p>
        </w:tc>
        <w:tc>
          <w:tcPr>
            <w:tcW w:w="2268" w:type="dxa"/>
            <w:vAlign w:val="center"/>
          </w:tcPr>
          <w:p w14:paraId="437220E5"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0C5A5FED" w14:textId="77777777" w:rsidTr="002D3EBF">
        <w:trPr>
          <w:cantSplit/>
          <w:trHeight w:val="801"/>
        </w:trPr>
        <w:tc>
          <w:tcPr>
            <w:tcW w:w="993" w:type="dxa"/>
            <w:vMerge/>
            <w:textDirection w:val="btLr"/>
            <w:vAlign w:val="center"/>
          </w:tcPr>
          <w:p w14:paraId="0F669F42" w14:textId="77777777" w:rsidR="0089207C" w:rsidRPr="00AC3044" w:rsidRDefault="0089207C" w:rsidP="002D3EBF">
            <w:pPr>
              <w:rPr>
                <w:rFonts w:eastAsia="SimSun"/>
              </w:rPr>
            </w:pPr>
          </w:p>
        </w:tc>
        <w:tc>
          <w:tcPr>
            <w:tcW w:w="1701" w:type="dxa"/>
            <w:vAlign w:val="center"/>
          </w:tcPr>
          <w:p w14:paraId="6EF8598D" w14:textId="77777777" w:rsidR="0089207C" w:rsidRPr="00AC3044" w:rsidRDefault="0089207C" w:rsidP="002D3EBF">
            <w:pPr>
              <w:rPr>
                <w:rFonts w:eastAsia="SimSun"/>
              </w:rPr>
            </w:pPr>
            <w:r w:rsidRPr="00AC3044">
              <w:rPr>
                <w:rFonts w:eastAsia="SimSun"/>
              </w:rPr>
              <w:t>Треосульфан</w:t>
            </w:r>
          </w:p>
        </w:tc>
        <w:tc>
          <w:tcPr>
            <w:tcW w:w="1559" w:type="dxa"/>
            <w:vAlign w:val="center"/>
          </w:tcPr>
          <w:p w14:paraId="4890675D" w14:textId="77777777" w:rsidR="0089207C" w:rsidRPr="00AC3044" w:rsidRDefault="0089207C" w:rsidP="002D3EBF">
            <w:pPr>
              <w:rPr>
                <w:rFonts w:eastAsia="SimSun"/>
              </w:rPr>
            </w:pPr>
            <w:r w:rsidRPr="00AC3044">
              <w:rPr>
                <w:rFonts w:eastAsia="SimSun"/>
              </w:rPr>
              <w:t>12 г/м</w:t>
            </w:r>
            <w:r w:rsidRPr="001E6DBE">
              <w:rPr>
                <w:rFonts w:eastAsia="SimSun"/>
                <w:vertAlign w:val="superscript"/>
              </w:rPr>
              <w:t>2</w:t>
            </w:r>
          </w:p>
        </w:tc>
        <w:tc>
          <w:tcPr>
            <w:tcW w:w="1701" w:type="dxa"/>
            <w:vAlign w:val="center"/>
          </w:tcPr>
          <w:p w14:paraId="66DA3F69" w14:textId="77777777" w:rsidR="0089207C" w:rsidRPr="00AC3044" w:rsidRDefault="0089207C" w:rsidP="002D3EBF">
            <w:pPr>
              <w:rPr>
                <w:rFonts w:eastAsia="SimSun"/>
              </w:rPr>
            </w:pPr>
            <w:r w:rsidRPr="00AC3044">
              <w:rPr>
                <w:rFonts w:eastAsia="SimSun"/>
              </w:rPr>
              <w:t>36 г/м</w:t>
            </w:r>
            <w:r w:rsidRPr="001E6DBE">
              <w:rPr>
                <w:rFonts w:eastAsia="SimSun"/>
                <w:vertAlign w:val="superscript"/>
              </w:rPr>
              <w:t>2</w:t>
            </w:r>
          </w:p>
        </w:tc>
        <w:tc>
          <w:tcPr>
            <w:tcW w:w="1418" w:type="dxa"/>
            <w:vAlign w:val="center"/>
          </w:tcPr>
          <w:p w14:paraId="5DBF9D2C" w14:textId="77777777" w:rsidR="0089207C" w:rsidRPr="00AC3044" w:rsidRDefault="0089207C" w:rsidP="002D3EBF">
            <w:pPr>
              <w:rPr>
                <w:rFonts w:eastAsia="SimSun"/>
              </w:rPr>
            </w:pPr>
            <w:r w:rsidRPr="00AC3044">
              <w:rPr>
                <w:rFonts w:eastAsia="SimSun"/>
              </w:rPr>
              <w:t>С –6 по –4 день</w:t>
            </w:r>
          </w:p>
        </w:tc>
        <w:tc>
          <w:tcPr>
            <w:tcW w:w="2268" w:type="dxa"/>
            <w:vAlign w:val="center"/>
          </w:tcPr>
          <w:p w14:paraId="1AFD8EC2" w14:textId="77777777" w:rsidR="0089207C" w:rsidRPr="00AC3044" w:rsidRDefault="0089207C" w:rsidP="002D3EBF">
            <w:pPr>
              <w:rPr>
                <w:rFonts w:eastAsia="SimSun"/>
              </w:rPr>
            </w:pPr>
            <w:r w:rsidRPr="00AC3044">
              <w:rPr>
                <w:rFonts w:eastAsia="SimSun"/>
              </w:rPr>
              <w:t>В/в, в течение 2 ч</w:t>
            </w:r>
          </w:p>
        </w:tc>
      </w:tr>
      <w:tr w:rsidR="0089207C" w:rsidRPr="00AC3044" w14:paraId="4C7CFF98" w14:textId="77777777" w:rsidTr="002D3EBF">
        <w:trPr>
          <w:cantSplit/>
          <w:trHeight w:val="20"/>
        </w:trPr>
        <w:tc>
          <w:tcPr>
            <w:tcW w:w="993" w:type="dxa"/>
            <w:vMerge w:val="restart"/>
            <w:textDirection w:val="btLr"/>
            <w:vAlign w:val="center"/>
          </w:tcPr>
          <w:p w14:paraId="021ECA76" w14:textId="77777777" w:rsidR="0089207C" w:rsidRPr="00AC3044" w:rsidRDefault="0089207C" w:rsidP="002D3EBF">
            <w:pPr>
              <w:rPr>
                <w:rFonts w:eastAsia="SimSun"/>
              </w:rPr>
            </w:pPr>
            <w:r w:rsidRPr="00AC3044">
              <w:rPr>
                <w:rFonts w:eastAsia="SimSun"/>
              </w:rPr>
              <w:t>Профилактика РТПХ</w:t>
            </w:r>
          </w:p>
        </w:tc>
        <w:tc>
          <w:tcPr>
            <w:tcW w:w="1701" w:type="dxa"/>
            <w:vAlign w:val="center"/>
          </w:tcPr>
          <w:p w14:paraId="7249CFA8" w14:textId="77777777" w:rsidR="0089207C" w:rsidRPr="00AC3044" w:rsidRDefault="0089207C" w:rsidP="002D3EBF">
            <w:pPr>
              <w:rPr>
                <w:rFonts w:eastAsia="SimSun"/>
              </w:rPr>
            </w:pPr>
            <w:r w:rsidRPr="00AC3044">
              <w:rPr>
                <w:rFonts w:eastAsia="SimSun"/>
              </w:rPr>
              <w:t>Циклофосфамид</w:t>
            </w:r>
          </w:p>
        </w:tc>
        <w:tc>
          <w:tcPr>
            <w:tcW w:w="1559" w:type="dxa"/>
            <w:vAlign w:val="center"/>
          </w:tcPr>
          <w:p w14:paraId="14B0421E" w14:textId="77777777" w:rsidR="0089207C" w:rsidRPr="00AC3044" w:rsidRDefault="0089207C" w:rsidP="002D3EBF">
            <w:pPr>
              <w:rPr>
                <w:rFonts w:eastAsia="SimSun"/>
              </w:rPr>
            </w:pPr>
            <w:r w:rsidRPr="00AC3044">
              <w:rPr>
                <w:rFonts w:eastAsia="SimSun"/>
              </w:rPr>
              <w:t>50 мг/кг</w:t>
            </w:r>
          </w:p>
        </w:tc>
        <w:tc>
          <w:tcPr>
            <w:tcW w:w="1701" w:type="dxa"/>
            <w:vAlign w:val="center"/>
          </w:tcPr>
          <w:p w14:paraId="48E53A76" w14:textId="77777777" w:rsidR="0089207C" w:rsidRPr="00AC3044" w:rsidRDefault="0089207C" w:rsidP="002D3EBF">
            <w:pPr>
              <w:rPr>
                <w:rFonts w:eastAsia="SimSun"/>
              </w:rPr>
            </w:pPr>
            <w:r w:rsidRPr="00AC3044">
              <w:rPr>
                <w:rFonts w:eastAsia="SimSun"/>
              </w:rPr>
              <w:t>100 мг/кг</w:t>
            </w:r>
          </w:p>
        </w:tc>
        <w:tc>
          <w:tcPr>
            <w:tcW w:w="1418" w:type="dxa"/>
            <w:vAlign w:val="center"/>
          </w:tcPr>
          <w:p w14:paraId="1D00983C" w14:textId="77777777" w:rsidR="0089207C" w:rsidRPr="00AC3044" w:rsidRDefault="0089207C" w:rsidP="002D3EBF">
            <w:pPr>
              <w:rPr>
                <w:rFonts w:eastAsia="SimSun"/>
              </w:rPr>
            </w:pPr>
            <w:r w:rsidRPr="00AC3044">
              <w:rPr>
                <w:rFonts w:eastAsia="SimSun"/>
              </w:rPr>
              <w:t xml:space="preserve">+3,+4 дни </w:t>
            </w:r>
          </w:p>
        </w:tc>
        <w:tc>
          <w:tcPr>
            <w:tcW w:w="2268" w:type="dxa"/>
            <w:vAlign w:val="center"/>
          </w:tcPr>
          <w:p w14:paraId="3ADD07B2"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78457E08" w14:textId="77777777" w:rsidTr="002D3EBF">
        <w:trPr>
          <w:cantSplit/>
          <w:trHeight w:val="20"/>
        </w:trPr>
        <w:tc>
          <w:tcPr>
            <w:tcW w:w="993" w:type="dxa"/>
            <w:vMerge/>
            <w:textDirection w:val="btLr"/>
          </w:tcPr>
          <w:p w14:paraId="72665271" w14:textId="77777777" w:rsidR="0089207C" w:rsidRPr="00AC3044" w:rsidRDefault="0089207C" w:rsidP="002D3EBF">
            <w:pPr>
              <w:rPr>
                <w:rFonts w:eastAsia="SimSun"/>
              </w:rPr>
            </w:pPr>
          </w:p>
        </w:tc>
        <w:tc>
          <w:tcPr>
            <w:tcW w:w="1701" w:type="dxa"/>
            <w:vAlign w:val="center"/>
          </w:tcPr>
          <w:p w14:paraId="5A75AC4A" w14:textId="77777777" w:rsidR="0089207C" w:rsidRPr="00AC3044" w:rsidRDefault="0089207C" w:rsidP="002D3EBF">
            <w:pPr>
              <w:rPr>
                <w:rFonts w:eastAsia="SimSun"/>
              </w:rPr>
            </w:pPr>
            <w:r w:rsidRPr="00AC3044">
              <w:rPr>
                <w:rFonts w:eastAsia="SimSun"/>
              </w:rPr>
              <w:t>Циклоспорин</w:t>
            </w:r>
          </w:p>
        </w:tc>
        <w:tc>
          <w:tcPr>
            <w:tcW w:w="1559" w:type="dxa"/>
            <w:vAlign w:val="center"/>
          </w:tcPr>
          <w:p w14:paraId="6F5F7ACE" w14:textId="77777777" w:rsidR="0089207C" w:rsidRPr="00AC3044" w:rsidRDefault="0089207C" w:rsidP="002D3EBF">
            <w:pPr>
              <w:rPr>
                <w:rFonts w:eastAsia="SimSun"/>
              </w:rPr>
            </w:pPr>
            <w:r w:rsidRPr="00AC3044">
              <w:rPr>
                <w:rFonts w:eastAsia="SimSun"/>
              </w:rPr>
              <w:t>3 мг/кг</w:t>
            </w:r>
          </w:p>
        </w:tc>
        <w:tc>
          <w:tcPr>
            <w:tcW w:w="1701" w:type="dxa"/>
            <w:vAlign w:val="center"/>
          </w:tcPr>
          <w:p w14:paraId="3CF72E91" w14:textId="77777777" w:rsidR="0089207C" w:rsidRPr="00AC3044" w:rsidRDefault="0089207C" w:rsidP="002D3EBF">
            <w:pPr>
              <w:rPr>
                <w:rFonts w:eastAsia="SimSun"/>
              </w:rPr>
            </w:pPr>
            <w:r w:rsidRPr="00AC3044">
              <w:rPr>
                <w:rFonts w:eastAsia="SimSun"/>
              </w:rPr>
              <w:t>–</w:t>
            </w:r>
          </w:p>
        </w:tc>
        <w:tc>
          <w:tcPr>
            <w:tcW w:w="1418" w:type="dxa"/>
            <w:vAlign w:val="center"/>
          </w:tcPr>
          <w:p w14:paraId="71C242B8" w14:textId="77777777" w:rsidR="0089207C" w:rsidRPr="00AC3044" w:rsidRDefault="0089207C" w:rsidP="002D3EBF">
            <w:pPr>
              <w:rPr>
                <w:rFonts w:eastAsia="SimSun"/>
              </w:rPr>
            </w:pPr>
            <w:r w:rsidRPr="00AC3044">
              <w:rPr>
                <w:rFonts w:eastAsia="SimSun"/>
              </w:rPr>
              <w:t>С +5 по +60 день, затем постепенное снижение к +100 дню</w:t>
            </w:r>
          </w:p>
        </w:tc>
        <w:tc>
          <w:tcPr>
            <w:tcW w:w="2268" w:type="dxa"/>
            <w:vAlign w:val="center"/>
          </w:tcPr>
          <w:p w14:paraId="44868913" w14:textId="77777777" w:rsidR="0089207C" w:rsidRPr="00AC3044" w:rsidRDefault="0089207C" w:rsidP="002D3EBF">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9207C" w:rsidRPr="00AC3044" w14:paraId="2687E559" w14:textId="77777777" w:rsidTr="002D3EBF">
        <w:trPr>
          <w:cantSplit/>
          <w:trHeight w:val="464"/>
        </w:trPr>
        <w:tc>
          <w:tcPr>
            <w:tcW w:w="993" w:type="dxa"/>
            <w:vMerge/>
          </w:tcPr>
          <w:p w14:paraId="1D00FAD6" w14:textId="77777777" w:rsidR="0089207C" w:rsidRPr="00AC3044" w:rsidRDefault="0089207C" w:rsidP="002D3EBF">
            <w:pPr>
              <w:rPr>
                <w:rFonts w:eastAsia="SimSun"/>
              </w:rPr>
            </w:pPr>
          </w:p>
        </w:tc>
        <w:tc>
          <w:tcPr>
            <w:tcW w:w="1701" w:type="dxa"/>
            <w:vAlign w:val="center"/>
          </w:tcPr>
          <w:p w14:paraId="49A39605" w14:textId="77777777" w:rsidR="0089207C" w:rsidRPr="00AC3044" w:rsidRDefault="0089207C" w:rsidP="002D3EBF">
            <w:pPr>
              <w:rPr>
                <w:rFonts w:eastAsia="SimSun"/>
              </w:rPr>
            </w:pPr>
            <w:r w:rsidRPr="00AC3044">
              <w:rPr>
                <w:rFonts w:eastAsia="SimSun"/>
              </w:rPr>
              <w:t>Микофенолата мофетил</w:t>
            </w:r>
          </w:p>
        </w:tc>
        <w:tc>
          <w:tcPr>
            <w:tcW w:w="1559" w:type="dxa"/>
            <w:vAlign w:val="center"/>
          </w:tcPr>
          <w:p w14:paraId="23BF1316" w14:textId="77777777" w:rsidR="0089207C" w:rsidRPr="00AC3044" w:rsidRDefault="0089207C" w:rsidP="002D3EBF">
            <w:pPr>
              <w:rPr>
                <w:rFonts w:eastAsia="SimSun"/>
              </w:rPr>
            </w:pPr>
            <w:r w:rsidRPr="00AC3044">
              <w:rPr>
                <w:rFonts w:eastAsia="SimSun"/>
              </w:rPr>
              <w:t>30 мг/кг</w:t>
            </w:r>
          </w:p>
        </w:tc>
        <w:tc>
          <w:tcPr>
            <w:tcW w:w="1701" w:type="dxa"/>
            <w:vAlign w:val="center"/>
          </w:tcPr>
          <w:p w14:paraId="744C0197" w14:textId="77777777" w:rsidR="0089207C" w:rsidRPr="00AC3044" w:rsidRDefault="0089207C" w:rsidP="002D3EBF">
            <w:pPr>
              <w:rPr>
                <w:rFonts w:eastAsia="SimSun"/>
              </w:rPr>
            </w:pPr>
            <w:r w:rsidRPr="00AC3044">
              <w:rPr>
                <w:rFonts w:eastAsia="SimSun"/>
              </w:rPr>
              <w:t>–</w:t>
            </w:r>
          </w:p>
        </w:tc>
        <w:tc>
          <w:tcPr>
            <w:tcW w:w="1418" w:type="dxa"/>
            <w:vAlign w:val="center"/>
          </w:tcPr>
          <w:p w14:paraId="22E5EC74" w14:textId="77777777" w:rsidR="0089207C" w:rsidRPr="00AC3044" w:rsidRDefault="0089207C" w:rsidP="002D3EBF">
            <w:pPr>
              <w:rPr>
                <w:rFonts w:eastAsia="SimSun"/>
              </w:rPr>
            </w:pPr>
            <w:r w:rsidRPr="00AC3044">
              <w:rPr>
                <w:rFonts w:eastAsia="SimSun"/>
              </w:rPr>
              <w:t>С +5 по +30 день</w:t>
            </w:r>
          </w:p>
        </w:tc>
        <w:tc>
          <w:tcPr>
            <w:tcW w:w="2268" w:type="dxa"/>
            <w:vAlign w:val="center"/>
          </w:tcPr>
          <w:p w14:paraId="69ACD583" w14:textId="77777777" w:rsidR="0089207C" w:rsidRPr="00AC3044" w:rsidRDefault="0089207C" w:rsidP="002D3EBF">
            <w:pPr>
              <w:rPr>
                <w:rFonts w:eastAsia="SimSun"/>
              </w:rPr>
            </w:pPr>
            <w:r w:rsidRPr="00AC3044">
              <w:rPr>
                <w:rFonts w:eastAsia="SimSun"/>
              </w:rPr>
              <w:t>Внутрь, суммарная суточная доза разделяется на 2- 4 приема (не более 3г/сут).</w:t>
            </w:r>
          </w:p>
        </w:tc>
      </w:tr>
    </w:tbl>
    <w:p w14:paraId="46764A3E" w14:textId="77777777" w:rsidR="0089207C" w:rsidRPr="00C07B2E" w:rsidRDefault="0089207C" w:rsidP="0089207C">
      <w:pPr>
        <w:rPr>
          <w:rFonts w:eastAsia="SimSun"/>
        </w:rPr>
      </w:pPr>
    </w:p>
    <w:p w14:paraId="430B0E3B" w14:textId="77777777" w:rsidR="0089207C" w:rsidRPr="00042499" w:rsidRDefault="0089207C" w:rsidP="0089207C">
      <w:pPr>
        <w:rPr>
          <w:rFonts w:eastAsia="SimSun"/>
          <w:lang w:val="en-US"/>
        </w:rPr>
      </w:pPr>
      <w:bookmarkStart w:id="230" w:name="_Toc44401179"/>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1.2.21  – </w:t>
      </w:r>
      <w:r w:rsidRPr="00C07B2E">
        <w:rPr>
          <w:rFonts w:eastAsia="SimSun"/>
        </w:rPr>
        <w:t>Flu</w:t>
      </w:r>
      <w:r w:rsidRPr="00042499">
        <w:rPr>
          <w:rFonts w:eastAsia="SimSun"/>
          <w:lang w:val="en-US"/>
        </w:rPr>
        <w:t>150+</w:t>
      </w:r>
      <w:r w:rsidRPr="00C07B2E">
        <w:rPr>
          <w:rFonts w:eastAsia="SimSun"/>
        </w:rPr>
        <w:t>Thio</w:t>
      </w:r>
      <w:r w:rsidRPr="00042499">
        <w:rPr>
          <w:rFonts w:eastAsia="SimSun"/>
          <w:lang w:val="en-US"/>
        </w:rPr>
        <w:t xml:space="preserve"> / </w:t>
      </w:r>
      <w:r w:rsidRPr="00C07B2E">
        <w:rPr>
          <w:rFonts w:eastAsia="SimSun"/>
        </w:rPr>
        <w:t>hATG</w:t>
      </w:r>
      <w:r w:rsidRPr="00042499">
        <w:rPr>
          <w:rFonts w:eastAsia="SimSun"/>
          <w:lang w:val="en-US"/>
        </w:rPr>
        <w:t>+</w:t>
      </w:r>
      <w:r w:rsidRPr="00C07B2E">
        <w:rPr>
          <w:rFonts w:eastAsia="SimSun"/>
        </w:rPr>
        <w:t>Tx</w:t>
      </w:r>
      <w:r w:rsidRPr="00042499">
        <w:rPr>
          <w:rFonts w:eastAsia="SimSun"/>
          <w:lang w:val="en-US"/>
        </w:rPr>
        <w:t>+</w:t>
      </w:r>
      <w:r w:rsidRPr="00C07B2E">
        <w:rPr>
          <w:rFonts w:eastAsia="SimSun"/>
        </w:rPr>
        <w:t>MMF</w:t>
      </w:r>
      <w:r w:rsidRPr="00042499">
        <w:rPr>
          <w:rFonts w:eastAsia="SimSun"/>
          <w:lang w:val="en-US"/>
        </w:rPr>
        <w:t>30</w:t>
      </w:r>
      <w:bookmarkEnd w:id="230"/>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89207C" w:rsidRPr="00AC3044" w14:paraId="1DBC52F7" w14:textId="77777777" w:rsidTr="002D3EBF">
        <w:trPr>
          <w:cantSplit/>
          <w:trHeight w:val="20"/>
          <w:tblHeader/>
        </w:trPr>
        <w:tc>
          <w:tcPr>
            <w:tcW w:w="959" w:type="dxa"/>
            <w:vAlign w:val="center"/>
          </w:tcPr>
          <w:p w14:paraId="1A2DC1E1" w14:textId="77777777" w:rsidR="0089207C" w:rsidRPr="00AC3044" w:rsidRDefault="0089207C" w:rsidP="002D3EBF">
            <w:pPr>
              <w:rPr>
                <w:rFonts w:eastAsia="SimSun"/>
              </w:rPr>
            </w:pPr>
          </w:p>
        </w:tc>
        <w:tc>
          <w:tcPr>
            <w:tcW w:w="1701" w:type="dxa"/>
            <w:vAlign w:val="center"/>
          </w:tcPr>
          <w:p w14:paraId="6873A369" w14:textId="77777777" w:rsidR="0089207C" w:rsidRPr="00AC3044" w:rsidRDefault="0089207C" w:rsidP="002D3EBF">
            <w:pPr>
              <w:rPr>
                <w:rFonts w:eastAsia="SimSun"/>
              </w:rPr>
            </w:pPr>
            <w:r w:rsidRPr="00AC3044">
              <w:rPr>
                <w:rFonts w:eastAsia="SimSun"/>
              </w:rPr>
              <w:t>Препарат</w:t>
            </w:r>
          </w:p>
        </w:tc>
        <w:tc>
          <w:tcPr>
            <w:tcW w:w="1559" w:type="dxa"/>
            <w:vAlign w:val="center"/>
          </w:tcPr>
          <w:p w14:paraId="3750E8B5" w14:textId="77777777" w:rsidR="0089207C" w:rsidRPr="00AC3044" w:rsidRDefault="0089207C" w:rsidP="002D3EBF">
            <w:pPr>
              <w:rPr>
                <w:rFonts w:eastAsia="SimSun"/>
              </w:rPr>
            </w:pPr>
            <w:r w:rsidRPr="00AC3044">
              <w:rPr>
                <w:rFonts w:eastAsia="SimSun"/>
              </w:rPr>
              <w:t>Суточная доза</w:t>
            </w:r>
          </w:p>
        </w:tc>
        <w:tc>
          <w:tcPr>
            <w:tcW w:w="1701" w:type="dxa"/>
            <w:vAlign w:val="center"/>
          </w:tcPr>
          <w:p w14:paraId="35FC415E" w14:textId="77777777" w:rsidR="0089207C" w:rsidRPr="00AC3044" w:rsidRDefault="0089207C" w:rsidP="002D3EBF">
            <w:pPr>
              <w:rPr>
                <w:rFonts w:eastAsia="SimSun"/>
              </w:rPr>
            </w:pPr>
            <w:r w:rsidRPr="00AC3044">
              <w:rPr>
                <w:rFonts w:eastAsia="SimSun"/>
              </w:rPr>
              <w:t>Курсовая доза</w:t>
            </w:r>
          </w:p>
        </w:tc>
        <w:tc>
          <w:tcPr>
            <w:tcW w:w="1418" w:type="dxa"/>
            <w:vAlign w:val="center"/>
          </w:tcPr>
          <w:p w14:paraId="29649648"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12E6078C"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1E9C0F92" w14:textId="77777777" w:rsidTr="002D3EBF">
        <w:trPr>
          <w:cantSplit/>
          <w:trHeight w:val="20"/>
        </w:trPr>
        <w:tc>
          <w:tcPr>
            <w:tcW w:w="959" w:type="dxa"/>
            <w:vMerge w:val="restart"/>
            <w:textDirection w:val="btLr"/>
            <w:vAlign w:val="center"/>
          </w:tcPr>
          <w:p w14:paraId="5CC77DAF" w14:textId="77777777" w:rsidR="0089207C" w:rsidRPr="00AC3044" w:rsidRDefault="0089207C" w:rsidP="002D3EBF">
            <w:pPr>
              <w:rPr>
                <w:rFonts w:eastAsia="SimSun"/>
              </w:rPr>
            </w:pPr>
            <w:r w:rsidRPr="00AC3044">
              <w:rPr>
                <w:rFonts w:eastAsia="SimSun"/>
              </w:rPr>
              <w:t>Кондиционирование</w:t>
            </w:r>
          </w:p>
        </w:tc>
        <w:tc>
          <w:tcPr>
            <w:tcW w:w="1701" w:type="dxa"/>
            <w:vAlign w:val="center"/>
          </w:tcPr>
          <w:p w14:paraId="6C2D8600" w14:textId="77777777" w:rsidR="0089207C" w:rsidRPr="00AC3044" w:rsidRDefault="0089207C" w:rsidP="002D3EBF">
            <w:pPr>
              <w:rPr>
                <w:rFonts w:eastAsia="SimSun"/>
              </w:rPr>
            </w:pPr>
            <w:r w:rsidRPr="00AC3044">
              <w:rPr>
                <w:rFonts w:eastAsia="SimSun"/>
              </w:rPr>
              <w:t xml:space="preserve">Флударабин </w:t>
            </w:r>
          </w:p>
        </w:tc>
        <w:tc>
          <w:tcPr>
            <w:tcW w:w="1559" w:type="dxa"/>
            <w:vAlign w:val="center"/>
          </w:tcPr>
          <w:p w14:paraId="297AAFA1" w14:textId="77777777" w:rsidR="0089207C" w:rsidRPr="00AC3044" w:rsidRDefault="0089207C" w:rsidP="002D3EBF">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62B07041" w14:textId="77777777" w:rsidR="0089207C" w:rsidRPr="00AC3044" w:rsidRDefault="0089207C" w:rsidP="002D3EBF">
            <w:pPr>
              <w:rPr>
                <w:rFonts w:eastAsia="SimSun"/>
              </w:rPr>
            </w:pPr>
            <w:r w:rsidRPr="00AC3044">
              <w:rPr>
                <w:rFonts w:eastAsia="SimSun"/>
              </w:rPr>
              <w:t>150 мг/м</w:t>
            </w:r>
            <w:r w:rsidRPr="001E6DBE">
              <w:rPr>
                <w:rFonts w:eastAsia="SimSun"/>
                <w:vertAlign w:val="superscript"/>
              </w:rPr>
              <w:t>2</w:t>
            </w:r>
          </w:p>
        </w:tc>
        <w:tc>
          <w:tcPr>
            <w:tcW w:w="1418" w:type="dxa"/>
            <w:vAlign w:val="center"/>
          </w:tcPr>
          <w:p w14:paraId="25CF535E" w14:textId="77777777" w:rsidR="0089207C" w:rsidRPr="00AC3044" w:rsidRDefault="0089207C" w:rsidP="002D3EBF">
            <w:pPr>
              <w:rPr>
                <w:rFonts w:eastAsia="SimSun"/>
              </w:rPr>
            </w:pPr>
            <w:r w:rsidRPr="00AC3044">
              <w:rPr>
                <w:rFonts w:eastAsia="SimSun"/>
              </w:rPr>
              <w:t>С -6 дня по -2 день</w:t>
            </w:r>
          </w:p>
        </w:tc>
        <w:tc>
          <w:tcPr>
            <w:tcW w:w="2268" w:type="dxa"/>
            <w:vAlign w:val="center"/>
          </w:tcPr>
          <w:p w14:paraId="1DBE0A41"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794117E7" w14:textId="77777777" w:rsidTr="002D3EBF">
        <w:trPr>
          <w:cantSplit/>
          <w:trHeight w:val="574"/>
        </w:trPr>
        <w:tc>
          <w:tcPr>
            <w:tcW w:w="959" w:type="dxa"/>
            <w:vMerge/>
            <w:vAlign w:val="center"/>
          </w:tcPr>
          <w:p w14:paraId="640E111B" w14:textId="77777777" w:rsidR="0089207C" w:rsidRPr="00AC3044" w:rsidRDefault="0089207C" w:rsidP="002D3EBF">
            <w:pPr>
              <w:rPr>
                <w:rFonts w:eastAsia="SimSun"/>
              </w:rPr>
            </w:pPr>
          </w:p>
        </w:tc>
        <w:tc>
          <w:tcPr>
            <w:tcW w:w="1701" w:type="dxa"/>
            <w:vAlign w:val="center"/>
          </w:tcPr>
          <w:p w14:paraId="0AB31413" w14:textId="77777777" w:rsidR="0089207C" w:rsidRPr="00AC3044" w:rsidRDefault="0089207C" w:rsidP="002D3EBF">
            <w:pPr>
              <w:rPr>
                <w:rFonts w:eastAsia="SimSun"/>
              </w:rPr>
            </w:pPr>
            <w:r w:rsidRPr="00AC3044">
              <w:rPr>
                <w:rFonts w:eastAsia="SimSun"/>
              </w:rPr>
              <w:t>Тиотепа</w:t>
            </w:r>
          </w:p>
        </w:tc>
        <w:tc>
          <w:tcPr>
            <w:tcW w:w="1559" w:type="dxa"/>
            <w:vAlign w:val="center"/>
          </w:tcPr>
          <w:p w14:paraId="1315D986" w14:textId="77777777" w:rsidR="0089207C" w:rsidRPr="00AC3044" w:rsidRDefault="0089207C" w:rsidP="002D3EBF">
            <w:pPr>
              <w:rPr>
                <w:rFonts w:eastAsia="SimSun"/>
              </w:rPr>
            </w:pPr>
            <w:r w:rsidRPr="00AC3044">
              <w:rPr>
                <w:rFonts w:eastAsia="SimSun"/>
              </w:rPr>
              <w:t>5 мг/м</w:t>
            </w:r>
            <w:r w:rsidRPr="001E6DBE">
              <w:rPr>
                <w:rFonts w:eastAsia="SimSun"/>
                <w:vertAlign w:val="superscript"/>
              </w:rPr>
              <w:t>2</w:t>
            </w:r>
            <w:r w:rsidRPr="00AC3044">
              <w:rPr>
                <w:rFonts w:eastAsia="SimSun"/>
              </w:rPr>
              <w:t xml:space="preserve"> </w:t>
            </w:r>
          </w:p>
        </w:tc>
        <w:tc>
          <w:tcPr>
            <w:tcW w:w="1701" w:type="dxa"/>
            <w:vAlign w:val="center"/>
          </w:tcPr>
          <w:p w14:paraId="48469B22" w14:textId="77777777" w:rsidR="0089207C" w:rsidRPr="00AC3044" w:rsidRDefault="0089207C" w:rsidP="002D3EBF">
            <w:pPr>
              <w:rPr>
                <w:rFonts w:eastAsia="SimSun"/>
              </w:rPr>
            </w:pPr>
            <w:r w:rsidRPr="00AC3044">
              <w:rPr>
                <w:rFonts w:eastAsia="SimSun"/>
              </w:rPr>
              <w:t>10 мг/м</w:t>
            </w:r>
            <w:r w:rsidRPr="001E6DBE">
              <w:rPr>
                <w:rFonts w:eastAsia="SimSun"/>
                <w:vertAlign w:val="superscript"/>
              </w:rPr>
              <w:t>2</w:t>
            </w:r>
          </w:p>
        </w:tc>
        <w:tc>
          <w:tcPr>
            <w:tcW w:w="1418" w:type="dxa"/>
            <w:vAlign w:val="center"/>
          </w:tcPr>
          <w:p w14:paraId="57BA3CB2" w14:textId="77777777" w:rsidR="0089207C" w:rsidRPr="00AC3044" w:rsidRDefault="0089207C" w:rsidP="002D3EBF">
            <w:pPr>
              <w:rPr>
                <w:rFonts w:eastAsia="SimSun"/>
              </w:rPr>
            </w:pPr>
            <w:r w:rsidRPr="00AC3044">
              <w:rPr>
                <w:rFonts w:eastAsia="SimSun"/>
              </w:rPr>
              <w:t xml:space="preserve"> Дни -5; -4  </w:t>
            </w:r>
          </w:p>
        </w:tc>
        <w:tc>
          <w:tcPr>
            <w:tcW w:w="2268" w:type="dxa"/>
            <w:vAlign w:val="center"/>
          </w:tcPr>
          <w:p w14:paraId="1EB74E3C" w14:textId="77777777" w:rsidR="0089207C" w:rsidRPr="00AC3044" w:rsidRDefault="0089207C" w:rsidP="002D3EBF">
            <w:pPr>
              <w:rPr>
                <w:rFonts w:eastAsia="SimSun"/>
              </w:rPr>
            </w:pPr>
            <w:r w:rsidRPr="00AC3044">
              <w:rPr>
                <w:rFonts w:eastAsia="SimSun"/>
              </w:rPr>
              <w:t>В/в, в течение 2 ч</w:t>
            </w:r>
          </w:p>
        </w:tc>
      </w:tr>
      <w:tr w:rsidR="0089207C" w:rsidRPr="00AC3044" w14:paraId="54B4F57B" w14:textId="77777777" w:rsidTr="002D3EBF">
        <w:trPr>
          <w:cantSplit/>
          <w:trHeight w:val="695"/>
        </w:trPr>
        <w:tc>
          <w:tcPr>
            <w:tcW w:w="959" w:type="dxa"/>
            <w:vMerge w:val="restart"/>
            <w:textDirection w:val="btLr"/>
            <w:vAlign w:val="center"/>
          </w:tcPr>
          <w:p w14:paraId="513EFD64" w14:textId="77777777" w:rsidR="0089207C" w:rsidRPr="00AC3044" w:rsidRDefault="0089207C" w:rsidP="002D3EBF">
            <w:pPr>
              <w:rPr>
                <w:rFonts w:eastAsia="SimSun"/>
              </w:rPr>
            </w:pPr>
            <w:r w:rsidRPr="00AC3044">
              <w:rPr>
                <w:rFonts w:eastAsia="SimSun"/>
              </w:rPr>
              <w:t>Профилактика РТПХ</w:t>
            </w:r>
          </w:p>
        </w:tc>
        <w:tc>
          <w:tcPr>
            <w:tcW w:w="1701" w:type="dxa"/>
            <w:vAlign w:val="center"/>
          </w:tcPr>
          <w:p w14:paraId="788BC48F" w14:textId="77777777" w:rsidR="0089207C" w:rsidRPr="00AC3044" w:rsidRDefault="0089207C" w:rsidP="002D3EBF">
            <w:pPr>
              <w:rPr>
                <w:rFonts w:eastAsia="SimSun"/>
              </w:rPr>
            </w:pPr>
            <w:r w:rsidRPr="00AC3044">
              <w:rPr>
                <w:rFonts w:eastAsia="SimSun"/>
              </w:rPr>
              <w:t>АТГ (лошадиный)</w:t>
            </w:r>
          </w:p>
        </w:tc>
        <w:tc>
          <w:tcPr>
            <w:tcW w:w="1559" w:type="dxa"/>
            <w:vAlign w:val="center"/>
          </w:tcPr>
          <w:p w14:paraId="25009CFC" w14:textId="77777777" w:rsidR="0089207C" w:rsidRPr="00AC3044" w:rsidRDefault="0089207C" w:rsidP="002D3EBF">
            <w:pPr>
              <w:rPr>
                <w:rFonts w:eastAsia="SimSun"/>
              </w:rPr>
            </w:pPr>
            <w:r w:rsidRPr="00AC3044">
              <w:rPr>
                <w:rFonts w:eastAsia="SimSun"/>
              </w:rPr>
              <w:t>20 мг/кг</w:t>
            </w:r>
          </w:p>
        </w:tc>
        <w:tc>
          <w:tcPr>
            <w:tcW w:w="1701" w:type="dxa"/>
            <w:vAlign w:val="center"/>
          </w:tcPr>
          <w:p w14:paraId="23932CEA" w14:textId="77777777" w:rsidR="0089207C" w:rsidRPr="00AC3044" w:rsidRDefault="0089207C" w:rsidP="002D3EBF">
            <w:pPr>
              <w:rPr>
                <w:rFonts w:eastAsia="SimSun"/>
              </w:rPr>
            </w:pPr>
            <w:r w:rsidRPr="00AC3044">
              <w:rPr>
                <w:rFonts w:eastAsia="SimSun"/>
              </w:rPr>
              <w:t>60 мг/кг</w:t>
            </w:r>
          </w:p>
        </w:tc>
        <w:tc>
          <w:tcPr>
            <w:tcW w:w="1418" w:type="dxa"/>
            <w:vAlign w:val="center"/>
          </w:tcPr>
          <w:p w14:paraId="602EDDC7" w14:textId="77777777" w:rsidR="0089207C" w:rsidRPr="00AC3044" w:rsidRDefault="0089207C" w:rsidP="002D3EBF">
            <w:pPr>
              <w:rPr>
                <w:rFonts w:eastAsia="SimSun"/>
              </w:rPr>
            </w:pPr>
            <w:r w:rsidRPr="00AC3044">
              <w:rPr>
                <w:rFonts w:eastAsia="SimSun"/>
              </w:rPr>
              <w:t>В дни -3, -2, -1</w:t>
            </w:r>
          </w:p>
        </w:tc>
        <w:tc>
          <w:tcPr>
            <w:tcW w:w="2268" w:type="dxa"/>
            <w:vAlign w:val="center"/>
          </w:tcPr>
          <w:p w14:paraId="00FF1428" w14:textId="77777777" w:rsidR="0089207C" w:rsidRPr="00AC3044" w:rsidRDefault="0089207C" w:rsidP="002D3EBF">
            <w:pPr>
              <w:rPr>
                <w:rFonts w:eastAsia="SimSun"/>
              </w:rPr>
            </w:pPr>
            <w:r w:rsidRPr="00AC3044">
              <w:rPr>
                <w:rFonts w:eastAsia="SimSun"/>
              </w:rPr>
              <w:t>В/в. Суточная доза разделяется на 2 введения (см.</w:t>
            </w:r>
            <w:r>
              <w:rPr>
                <w:rFonts w:eastAsia="SimSun"/>
              </w:rPr>
              <w:t xml:space="preserve"> </w:t>
            </w:r>
            <w:r w:rsidRPr="00AC3044">
              <w:rPr>
                <w:rFonts w:eastAsia="SimSun"/>
              </w:rPr>
              <w:t>«Инфузия АТГ»)</w:t>
            </w:r>
          </w:p>
        </w:tc>
      </w:tr>
      <w:tr w:rsidR="0089207C" w:rsidRPr="00AC3044" w14:paraId="6DD4383A" w14:textId="77777777" w:rsidTr="002D3EBF">
        <w:trPr>
          <w:cantSplit/>
          <w:trHeight w:val="958"/>
        </w:trPr>
        <w:tc>
          <w:tcPr>
            <w:tcW w:w="959" w:type="dxa"/>
            <w:vMerge/>
            <w:textDirection w:val="btLr"/>
            <w:vAlign w:val="center"/>
          </w:tcPr>
          <w:p w14:paraId="3D3A5D4E" w14:textId="77777777" w:rsidR="0089207C" w:rsidRPr="00AC3044" w:rsidRDefault="0089207C" w:rsidP="002D3EBF">
            <w:pPr>
              <w:rPr>
                <w:rFonts w:eastAsia="SimSun"/>
              </w:rPr>
            </w:pPr>
          </w:p>
        </w:tc>
        <w:tc>
          <w:tcPr>
            <w:tcW w:w="1701" w:type="dxa"/>
            <w:vAlign w:val="center"/>
          </w:tcPr>
          <w:p w14:paraId="031A54AD" w14:textId="77777777" w:rsidR="0089207C" w:rsidRPr="00AC3044" w:rsidRDefault="0089207C" w:rsidP="002D3EBF">
            <w:pPr>
              <w:rPr>
                <w:rFonts w:eastAsia="SimSun"/>
              </w:rPr>
            </w:pPr>
            <w:r w:rsidRPr="00AC3044">
              <w:rPr>
                <w:rFonts w:eastAsia="SimSun"/>
              </w:rPr>
              <w:t xml:space="preserve">Такролимус </w:t>
            </w:r>
          </w:p>
        </w:tc>
        <w:tc>
          <w:tcPr>
            <w:tcW w:w="1559" w:type="dxa"/>
            <w:vAlign w:val="center"/>
          </w:tcPr>
          <w:p w14:paraId="242F346F" w14:textId="77777777" w:rsidR="0089207C" w:rsidRPr="00AC3044" w:rsidRDefault="0089207C" w:rsidP="002D3EBF">
            <w:pPr>
              <w:rPr>
                <w:rFonts w:eastAsia="SimSun"/>
              </w:rPr>
            </w:pPr>
            <w:r w:rsidRPr="00AC3044">
              <w:rPr>
                <w:rFonts w:eastAsia="SimSun"/>
              </w:rPr>
              <w:t>0,03 мг/кг</w:t>
            </w:r>
          </w:p>
        </w:tc>
        <w:tc>
          <w:tcPr>
            <w:tcW w:w="1701" w:type="dxa"/>
            <w:vAlign w:val="center"/>
          </w:tcPr>
          <w:p w14:paraId="41FB5A06" w14:textId="77777777" w:rsidR="0089207C" w:rsidRPr="00AC3044" w:rsidRDefault="0089207C" w:rsidP="002D3EBF">
            <w:pPr>
              <w:rPr>
                <w:rFonts w:eastAsia="SimSun"/>
              </w:rPr>
            </w:pPr>
            <w:r w:rsidRPr="00AC3044">
              <w:rPr>
                <w:rFonts w:eastAsia="SimSun"/>
              </w:rPr>
              <w:t>–</w:t>
            </w:r>
          </w:p>
        </w:tc>
        <w:tc>
          <w:tcPr>
            <w:tcW w:w="1418" w:type="dxa"/>
            <w:vAlign w:val="center"/>
          </w:tcPr>
          <w:p w14:paraId="62B95E89" w14:textId="77777777" w:rsidR="0089207C" w:rsidRPr="00AC3044" w:rsidRDefault="0089207C" w:rsidP="002D3EBF">
            <w:pPr>
              <w:rPr>
                <w:rFonts w:eastAsia="SimSun"/>
              </w:rPr>
            </w:pPr>
            <w:r w:rsidRPr="00AC3044">
              <w:rPr>
                <w:rFonts w:eastAsia="SimSun"/>
              </w:rPr>
              <w:t xml:space="preserve">С -1 дня длительно </w:t>
            </w:r>
          </w:p>
        </w:tc>
        <w:tc>
          <w:tcPr>
            <w:tcW w:w="2268" w:type="dxa"/>
            <w:vAlign w:val="center"/>
          </w:tcPr>
          <w:p w14:paraId="7C6C9D1C" w14:textId="77777777" w:rsidR="0089207C" w:rsidRPr="00AC3044" w:rsidRDefault="0089207C" w:rsidP="002D3EBF">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9207C" w:rsidRPr="00AC3044" w14:paraId="56303F98" w14:textId="77777777" w:rsidTr="002D3EBF">
        <w:trPr>
          <w:cantSplit/>
          <w:trHeight w:val="986"/>
        </w:trPr>
        <w:tc>
          <w:tcPr>
            <w:tcW w:w="959" w:type="dxa"/>
            <w:vMerge/>
            <w:textDirection w:val="btLr"/>
            <w:vAlign w:val="center"/>
          </w:tcPr>
          <w:p w14:paraId="017DE90F" w14:textId="77777777" w:rsidR="0089207C" w:rsidRPr="00AC3044" w:rsidRDefault="0089207C" w:rsidP="002D3EBF">
            <w:pPr>
              <w:rPr>
                <w:rFonts w:eastAsia="SimSun"/>
              </w:rPr>
            </w:pPr>
          </w:p>
        </w:tc>
        <w:tc>
          <w:tcPr>
            <w:tcW w:w="1701" w:type="dxa"/>
            <w:vAlign w:val="center"/>
          </w:tcPr>
          <w:p w14:paraId="56628BC9" w14:textId="77777777" w:rsidR="0089207C" w:rsidRPr="00AC3044" w:rsidRDefault="0089207C" w:rsidP="002D3EBF">
            <w:pPr>
              <w:rPr>
                <w:rFonts w:eastAsia="SimSun"/>
              </w:rPr>
            </w:pPr>
            <w:r w:rsidRPr="00AC3044">
              <w:rPr>
                <w:rFonts w:eastAsia="SimSun"/>
              </w:rPr>
              <w:t>Микофенолата мофетил</w:t>
            </w:r>
          </w:p>
        </w:tc>
        <w:tc>
          <w:tcPr>
            <w:tcW w:w="1559" w:type="dxa"/>
            <w:vAlign w:val="center"/>
          </w:tcPr>
          <w:p w14:paraId="1D9985B9" w14:textId="77777777" w:rsidR="0089207C" w:rsidRPr="00AC3044" w:rsidRDefault="0089207C" w:rsidP="002D3EBF">
            <w:pPr>
              <w:rPr>
                <w:rFonts w:eastAsia="SimSun"/>
              </w:rPr>
            </w:pPr>
            <w:r w:rsidRPr="00AC3044">
              <w:rPr>
                <w:rFonts w:eastAsia="SimSun"/>
              </w:rPr>
              <w:t xml:space="preserve">30 мг/кг </w:t>
            </w:r>
          </w:p>
        </w:tc>
        <w:tc>
          <w:tcPr>
            <w:tcW w:w="1701" w:type="dxa"/>
            <w:vAlign w:val="center"/>
          </w:tcPr>
          <w:p w14:paraId="25ABD822" w14:textId="77777777" w:rsidR="0089207C" w:rsidRPr="00AC3044" w:rsidRDefault="0089207C" w:rsidP="002D3EBF">
            <w:pPr>
              <w:rPr>
                <w:rFonts w:eastAsia="SimSun"/>
              </w:rPr>
            </w:pPr>
            <w:r w:rsidRPr="00AC3044">
              <w:rPr>
                <w:rFonts w:eastAsia="SimSun"/>
              </w:rPr>
              <w:t>–</w:t>
            </w:r>
          </w:p>
        </w:tc>
        <w:tc>
          <w:tcPr>
            <w:tcW w:w="1418" w:type="dxa"/>
            <w:vAlign w:val="center"/>
          </w:tcPr>
          <w:p w14:paraId="4C8F6698" w14:textId="77777777" w:rsidR="0089207C" w:rsidRPr="00AC3044" w:rsidRDefault="0089207C" w:rsidP="002D3EBF">
            <w:pPr>
              <w:rPr>
                <w:rFonts w:eastAsia="SimSun"/>
              </w:rPr>
            </w:pPr>
            <w:r w:rsidRPr="00AC3044">
              <w:rPr>
                <w:rFonts w:eastAsia="SimSun"/>
              </w:rPr>
              <w:t xml:space="preserve">С -1 дня по +30 день </w:t>
            </w:r>
          </w:p>
        </w:tc>
        <w:tc>
          <w:tcPr>
            <w:tcW w:w="2268" w:type="dxa"/>
            <w:vAlign w:val="center"/>
          </w:tcPr>
          <w:p w14:paraId="345FB1AE" w14:textId="77777777" w:rsidR="0089207C" w:rsidRPr="00AC3044" w:rsidRDefault="0089207C" w:rsidP="002D3EBF">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14048CD4" w14:textId="77777777" w:rsidR="0089207C" w:rsidRDefault="0089207C" w:rsidP="0089207C">
      <w:pPr>
        <w:rPr>
          <w:rFonts w:eastAsia="SimSun"/>
        </w:rPr>
      </w:pPr>
      <w:bookmarkStart w:id="231" w:name="_Toc44401180"/>
    </w:p>
    <w:p w14:paraId="0D9B55FE" w14:textId="77777777" w:rsidR="0089207C" w:rsidRPr="00C07B2E" w:rsidRDefault="0089207C" w:rsidP="0089207C">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1.2.22  – Flu180+Cy1200/ hATG+Tx+MMF30</w:t>
      </w:r>
      <w:bookmarkEnd w:id="231"/>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89207C" w:rsidRPr="00AC3044" w14:paraId="30FA8035" w14:textId="77777777" w:rsidTr="002D3EBF">
        <w:trPr>
          <w:cantSplit/>
          <w:trHeight w:val="20"/>
          <w:tblHeader/>
        </w:trPr>
        <w:tc>
          <w:tcPr>
            <w:tcW w:w="959" w:type="dxa"/>
            <w:vAlign w:val="center"/>
          </w:tcPr>
          <w:p w14:paraId="1B3EB4DD" w14:textId="77777777" w:rsidR="0089207C" w:rsidRPr="00AC3044" w:rsidRDefault="0089207C" w:rsidP="002D3EBF">
            <w:pPr>
              <w:rPr>
                <w:rFonts w:eastAsia="SimSun"/>
              </w:rPr>
            </w:pPr>
          </w:p>
        </w:tc>
        <w:tc>
          <w:tcPr>
            <w:tcW w:w="1701" w:type="dxa"/>
            <w:vAlign w:val="center"/>
          </w:tcPr>
          <w:p w14:paraId="4FAD2F9E" w14:textId="77777777" w:rsidR="0089207C" w:rsidRPr="00AC3044" w:rsidRDefault="0089207C" w:rsidP="002D3EBF">
            <w:pPr>
              <w:rPr>
                <w:rFonts w:eastAsia="SimSun"/>
              </w:rPr>
            </w:pPr>
            <w:r w:rsidRPr="00AC3044">
              <w:rPr>
                <w:rFonts w:eastAsia="SimSun"/>
              </w:rPr>
              <w:t>Препарат</w:t>
            </w:r>
          </w:p>
        </w:tc>
        <w:tc>
          <w:tcPr>
            <w:tcW w:w="1559" w:type="dxa"/>
            <w:vAlign w:val="center"/>
          </w:tcPr>
          <w:p w14:paraId="4208961E" w14:textId="77777777" w:rsidR="0089207C" w:rsidRPr="00AC3044" w:rsidRDefault="0089207C" w:rsidP="002D3EBF">
            <w:pPr>
              <w:rPr>
                <w:rFonts w:eastAsia="SimSun"/>
              </w:rPr>
            </w:pPr>
            <w:r w:rsidRPr="00AC3044">
              <w:rPr>
                <w:rFonts w:eastAsia="SimSun"/>
              </w:rPr>
              <w:t>Суточная доза</w:t>
            </w:r>
          </w:p>
        </w:tc>
        <w:tc>
          <w:tcPr>
            <w:tcW w:w="1701" w:type="dxa"/>
            <w:vAlign w:val="center"/>
          </w:tcPr>
          <w:p w14:paraId="5E73CEF2" w14:textId="77777777" w:rsidR="0089207C" w:rsidRPr="00AC3044" w:rsidRDefault="0089207C" w:rsidP="002D3EBF">
            <w:pPr>
              <w:rPr>
                <w:rFonts w:eastAsia="SimSun"/>
              </w:rPr>
            </w:pPr>
            <w:r w:rsidRPr="00AC3044">
              <w:rPr>
                <w:rFonts w:eastAsia="SimSun"/>
              </w:rPr>
              <w:t>Курсовая доза</w:t>
            </w:r>
          </w:p>
        </w:tc>
        <w:tc>
          <w:tcPr>
            <w:tcW w:w="1418" w:type="dxa"/>
            <w:vAlign w:val="center"/>
          </w:tcPr>
          <w:p w14:paraId="1BD6EFC9"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1FB9ABA4"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3D5A7C97" w14:textId="77777777" w:rsidTr="002D3EBF">
        <w:trPr>
          <w:cantSplit/>
          <w:trHeight w:val="20"/>
        </w:trPr>
        <w:tc>
          <w:tcPr>
            <w:tcW w:w="959" w:type="dxa"/>
            <w:vMerge w:val="restart"/>
            <w:textDirection w:val="btLr"/>
            <w:vAlign w:val="center"/>
          </w:tcPr>
          <w:p w14:paraId="15152BA0" w14:textId="77777777" w:rsidR="0089207C" w:rsidRPr="00AC3044" w:rsidRDefault="0089207C" w:rsidP="002D3EBF">
            <w:pPr>
              <w:rPr>
                <w:rFonts w:eastAsia="SimSun"/>
              </w:rPr>
            </w:pPr>
            <w:r w:rsidRPr="00AC3044">
              <w:rPr>
                <w:rFonts w:eastAsia="SimSun"/>
              </w:rPr>
              <w:t>Кондиционирование</w:t>
            </w:r>
          </w:p>
        </w:tc>
        <w:tc>
          <w:tcPr>
            <w:tcW w:w="1701" w:type="dxa"/>
            <w:vAlign w:val="center"/>
          </w:tcPr>
          <w:p w14:paraId="68375FB5" w14:textId="77777777" w:rsidR="0089207C" w:rsidRPr="00AC3044" w:rsidRDefault="0089207C" w:rsidP="002D3EBF">
            <w:pPr>
              <w:rPr>
                <w:rFonts w:eastAsia="SimSun"/>
              </w:rPr>
            </w:pPr>
            <w:r w:rsidRPr="00AC3044">
              <w:rPr>
                <w:rFonts w:eastAsia="SimSun"/>
              </w:rPr>
              <w:t xml:space="preserve">Флударабин </w:t>
            </w:r>
          </w:p>
        </w:tc>
        <w:tc>
          <w:tcPr>
            <w:tcW w:w="1559" w:type="dxa"/>
            <w:vAlign w:val="center"/>
          </w:tcPr>
          <w:p w14:paraId="2F5F80A4" w14:textId="77777777" w:rsidR="0089207C" w:rsidRPr="00AC3044" w:rsidRDefault="0089207C" w:rsidP="002D3EBF">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7DD6DDE7" w14:textId="77777777" w:rsidR="0089207C" w:rsidRPr="00AC3044" w:rsidRDefault="0089207C" w:rsidP="002D3EBF">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370BEE50" w14:textId="77777777" w:rsidR="0089207C" w:rsidRPr="00AC3044" w:rsidRDefault="0089207C" w:rsidP="002D3EBF">
            <w:pPr>
              <w:rPr>
                <w:rFonts w:eastAsia="SimSun"/>
              </w:rPr>
            </w:pPr>
            <w:r w:rsidRPr="00AC3044">
              <w:rPr>
                <w:rFonts w:eastAsia="SimSun"/>
              </w:rPr>
              <w:t>С -7 дня по -2 день</w:t>
            </w:r>
          </w:p>
        </w:tc>
        <w:tc>
          <w:tcPr>
            <w:tcW w:w="2268" w:type="dxa"/>
            <w:vAlign w:val="center"/>
          </w:tcPr>
          <w:p w14:paraId="5FC25597"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578A0A1F" w14:textId="77777777" w:rsidTr="002D3EBF">
        <w:trPr>
          <w:cantSplit/>
          <w:trHeight w:val="864"/>
        </w:trPr>
        <w:tc>
          <w:tcPr>
            <w:tcW w:w="959" w:type="dxa"/>
            <w:vMerge/>
            <w:vAlign w:val="center"/>
          </w:tcPr>
          <w:p w14:paraId="536A7490" w14:textId="77777777" w:rsidR="0089207C" w:rsidRPr="00AC3044" w:rsidRDefault="0089207C" w:rsidP="002D3EBF">
            <w:pPr>
              <w:rPr>
                <w:rFonts w:eastAsia="SimSun"/>
              </w:rPr>
            </w:pPr>
          </w:p>
        </w:tc>
        <w:tc>
          <w:tcPr>
            <w:tcW w:w="1701" w:type="dxa"/>
            <w:vAlign w:val="center"/>
          </w:tcPr>
          <w:p w14:paraId="36068BA2" w14:textId="77777777" w:rsidR="0089207C" w:rsidRPr="00AC3044" w:rsidRDefault="0089207C" w:rsidP="002D3EBF">
            <w:pPr>
              <w:rPr>
                <w:rFonts w:eastAsia="SimSun"/>
              </w:rPr>
            </w:pPr>
            <w:r w:rsidRPr="00AC3044">
              <w:rPr>
                <w:rFonts w:eastAsia="SimSun"/>
              </w:rPr>
              <w:t>Циклофосфамид</w:t>
            </w:r>
          </w:p>
        </w:tc>
        <w:tc>
          <w:tcPr>
            <w:tcW w:w="1559" w:type="dxa"/>
            <w:vAlign w:val="center"/>
          </w:tcPr>
          <w:p w14:paraId="34279F18" w14:textId="77777777" w:rsidR="0089207C" w:rsidRPr="00AC3044" w:rsidRDefault="0089207C" w:rsidP="002D3EBF">
            <w:pPr>
              <w:rPr>
                <w:rFonts w:eastAsia="SimSun"/>
              </w:rPr>
            </w:pPr>
            <w:r w:rsidRPr="00AC3044">
              <w:rPr>
                <w:rFonts w:eastAsia="SimSun"/>
              </w:rPr>
              <w:t>300 мг/м</w:t>
            </w:r>
            <w:r w:rsidRPr="001E6DBE">
              <w:rPr>
                <w:rFonts w:eastAsia="SimSun"/>
                <w:vertAlign w:val="superscript"/>
              </w:rPr>
              <w:t>2</w:t>
            </w:r>
            <w:r w:rsidRPr="00AC3044">
              <w:rPr>
                <w:rFonts w:eastAsia="SimSun"/>
              </w:rPr>
              <w:t xml:space="preserve"> </w:t>
            </w:r>
          </w:p>
        </w:tc>
        <w:tc>
          <w:tcPr>
            <w:tcW w:w="1701" w:type="dxa"/>
            <w:vAlign w:val="center"/>
          </w:tcPr>
          <w:p w14:paraId="6F0F1C01" w14:textId="77777777" w:rsidR="0089207C" w:rsidRPr="00AC3044" w:rsidRDefault="0089207C" w:rsidP="002D3EBF">
            <w:pPr>
              <w:rPr>
                <w:rFonts w:eastAsia="SimSun"/>
              </w:rPr>
            </w:pPr>
            <w:r w:rsidRPr="00AC3044">
              <w:rPr>
                <w:rFonts w:eastAsia="SimSun"/>
              </w:rPr>
              <w:t>1200 мг/м</w:t>
            </w:r>
            <w:r w:rsidRPr="001E6DBE">
              <w:rPr>
                <w:rFonts w:eastAsia="SimSun"/>
                <w:vertAlign w:val="superscript"/>
              </w:rPr>
              <w:t>2</w:t>
            </w:r>
          </w:p>
        </w:tc>
        <w:tc>
          <w:tcPr>
            <w:tcW w:w="1418" w:type="dxa"/>
            <w:vAlign w:val="center"/>
          </w:tcPr>
          <w:p w14:paraId="31B24CB9" w14:textId="77777777" w:rsidR="0089207C" w:rsidRPr="00AC3044" w:rsidRDefault="0089207C" w:rsidP="002D3EBF">
            <w:pPr>
              <w:rPr>
                <w:rFonts w:eastAsia="SimSun"/>
              </w:rPr>
            </w:pPr>
            <w:r w:rsidRPr="00AC3044">
              <w:rPr>
                <w:rFonts w:eastAsia="SimSun"/>
              </w:rPr>
              <w:t xml:space="preserve"> С -5 дня по -2 день </w:t>
            </w:r>
          </w:p>
        </w:tc>
        <w:tc>
          <w:tcPr>
            <w:tcW w:w="2268" w:type="dxa"/>
            <w:vAlign w:val="center"/>
          </w:tcPr>
          <w:p w14:paraId="20362083" w14:textId="77777777" w:rsidR="0089207C" w:rsidRPr="00AC3044" w:rsidRDefault="0089207C" w:rsidP="002D3EBF">
            <w:pPr>
              <w:rPr>
                <w:rFonts w:eastAsia="SimSun"/>
              </w:rPr>
            </w:pPr>
            <w:r w:rsidRPr="00AC3044">
              <w:rPr>
                <w:rFonts w:eastAsia="SimSun"/>
              </w:rPr>
              <w:t>В/в, в течение 2 ч</w:t>
            </w:r>
          </w:p>
        </w:tc>
      </w:tr>
      <w:tr w:rsidR="0089207C" w:rsidRPr="00AC3044" w14:paraId="40965631" w14:textId="77777777" w:rsidTr="002D3EBF">
        <w:trPr>
          <w:cantSplit/>
          <w:trHeight w:val="640"/>
        </w:trPr>
        <w:tc>
          <w:tcPr>
            <w:tcW w:w="959" w:type="dxa"/>
            <w:vMerge w:val="restart"/>
            <w:textDirection w:val="btLr"/>
            <w:vAlign w:val="center"/>
          </w:tcPr>
          <w:p w14:paraId="65B31A81" w14:textId="77777777" w:rsidR="0089207C" w:rsidRPr="00AC3044" w:rsidRDefault="0089207C" w:rsidP="002D3EBF">
            <w:pPr>
              <w:rPr>
                <w:rFonts w:eastAsia="SimSun"/>
              </w:rPr>
            </w:pPr>
            <w:r w:rsidRPr="00AC3044">
              <w:rPr>
                <w:rFonts w:eastAsia="SimSun"/>
              </w:rPr>
              <w:t>Профилактика РТПХ</w:t>
            </w:r>
          </w:p>
        </w:tc>
        <w:tc>
          <w:tcPr>
            <w:tcW w:w="1701" w:type="dxa"/>
            <w:vAlign w:val="center"/>
          </w:tcPr>
          <w:p w14:paraId="230CBF80" w14:textId="77777777" w:rsidR="0089207C" w:rsidRPr="00AC3044" w:rsidRDefault="0089207C" w:rsidP="002D3EBF">
            <w:pPr>
              <w:rPr>
                <w:rFonts w:eastAsia="SimSun"/>
              </w:rPr>
            </w:pPr>
            <w:r w:rsidRPr="00AC3044">
              <w:rPr>
                <w:rFonts w:eastAsia="SimSun"/>
              </w:rPr>
              <w:t xml:space="preserve"> АТГ (лошадиный)</w:t>
            </w:r>
          </w:p>
        </w:tc>
        <w:tc>
          <w:tcPr>
            <w:tcW w:w="1559" w:type="dxa"/>
            <w:vAlign w:val="center"/>
          </w:tcPr>
          <w:p w14:paraId="3B1B55E9" w14:textId="77777777" w:rsidR="0089207C" w:rsidRPr="00AC3044" w:rsidRDefault="0089207C" w:rsidP="002D3EBF">
            <w:pPr>
              <w:rPr>
                <w:rFonts w:eastAsia="SimSun"/>
              </w:rPr>
            </w:pPr>
            <w:r w:rsidRPr="00AC3044">
              <w:rPr>
                <w:rFonts w:eastAsia="SimSun"/>
              </w:rPr>
              <w:t>20 мг/кг</w:t>
            </w:r>
          </w:p>
        </w:tc>
        <w:tc>
          <w:tcPr>
            <w:tcW w:w="1701" w:type="dxa"/>
            <w:vAlign w:val="center"/>
          </w:tcPr>
          <w:p w14:paraId="22BB9F44" w14:textId="77777777" w:rsidR="0089207C" w:rsidRPr="00AC3044" w:rsidRDefault="0089207C" w:rsidP="002D3EBF">
            <w:pPr>
              <w:rPr>
                <w:rFonts w:eastAsia="SimSun"/>
              </w:rPr>
            </w:pPr>
            <w:r w:rsidRPr="00AC3044">
              <w:rPr>
                <w:rFonts w:eastAsia="SimSun"/>
              </w:rPr>
              <w:t>60 мг/кг</w:t>
            </w:r>
          </w:p>
        </w:tc>
        <w:tc>
          <w:tcPr>
            <w:tcW w:w="1418" w:type="dxa"/>
            <w:vAlign w:val="center"/>
          </w:tcPr>
          <w:p w14:paraId="12D9C275" w14:textId="77777777" w:rsidR="0089207C" w:rsidRPr="00AC3044" w:rsidRDefault="0089207C" w:rsidP="002D3EBF">
            <w:pPr>
              <w:rPr>
                <w:rFonts w:eastAsia="SimSun"/>
              </w:rPr>
            </w:pPr>
            <w:r w:rsidRPr="00AC3044">
              <w:rPr>
                <w:rFonts w:eastAsia="SimSun"/>
              </w:rPr>
              <w:t>В дни -3, -2, -1</w:t>
            </w:r>
          </w:p>
        </w:tc>
        <w:tc>
          <w:tcPr>
            <w:tcW w:w="2268" w:type="dxa"/>
            <w:vAlign w:val="center"/>
          </w:tcPr>
          <w:p w14:paraId="4705B24F" w14:textId="77777777" w:rsidR="0089207C" w:rsidRPr="00AC3044" w:rsidRDefault="0089207C" w:rsidP="002D3EBF">
            <w:pPr>
              <w:rPr>
                <w:rFonts w:eastAsia="SimSun"/>
              </w:rPr>
            </w:pPr>
            <w:r w:rsidRPr="00AC3044">
              <w:rPr>
                <w:rFonts w:eastAsia="SimSun"/>
              </w:rPr>
              <w:t>В/в. Суточная доза разделяется на 2 введения (см.</w:t>
            </w:r>
            <w:r>
              <w:rPr>
                <w:rFonts w:eastAsia="SimSun"/>
              </w:rPr>
              <w:t xml:space="preserve"> </w:t>
            </w:r>
            <w:r w:rsidRPr="00AC3044">
              <w:rPr>
                <w:rFonts w:eastAsia="SimSun"/>
              </w:rPr>
              <w:t>«Инфузия АТГ»)</w:t>
            </w:r>
          </w:p>
        </w:tc>
      </w:tr>
      <w:tr w:rsidR="0089207C" w:rsidRPr="00AC3044" w14:paraId="69A9032F" w14:textId="77777777" w:rsidTr="002D3EBF">
        <w:trPr>
          <w:cantSplit/>
          <w:trHeight w:val="958"/>
        </w:trPr>
        <w:tc>
          <w:tcPr>
            <w:tcW w:w="959" w:type="dxa"/>
            <w:vMerge/>
            <w:textDirection w:val="btLr"/>
            <w:vAlign w:val="center"/>
          </w:tcPr>
          <w:p w14:paraId="6275794E" w14:textId="77777777" w:rsidR="0089207C" w:rsidRPr="00AC3044" w:rsidRDefault="0089207C" w:rsidP="002D3EBF">
            <w:pPr>
              <w:rPr>
                <w:rFonts w:eastAsia="SimSun"/>
              </w:rPr>
            </w:pPr>
          </w:p>
        </w:tc>
        <w:tc>
          <w:tcPr>
            <w:tcW w:w="1701" w:type="dxa"/>
            <w:vAlign w:val="center"/>
          </w:tcPr>
          <w:p w14:paraId="4FBB8791" w14:textId="77777777" w:rsidR="0089207C" w:rsidRPr="00AC3044" w:rsidRDefault="0089207C" w:rsidP="002D3EBF">
            <w:pPr>
              <w:rPr>
                <w:rFonts w:eastAsia="SimSun"/>
              </w:rPr>
            </w:pPr>
            <w:r w:rsidRPr="00AC3044">
              <w:rPr>
                <w:rFonts w:eastAsia="SimSun"/>
              </w:rPr>
              <w:t xml:space="preserve">Такролимус </w:t>
            </w:r>
          </w:p>
        </w:tc>
        <w:tc>
          <w:tcPr>
            <w:tcW w:w="1559" w:type="dxa"/>
            <w:vAlign w:val="center"/>
          </w:tcPr>
          <w:p w14:paraId="684CA488" w14:textId="77777777" w:rsidR="0089207C" w:rsidRPr="00AC3044" w:rsidRDefault="0089207C" w:rsidP="002D3EBF">
            <w:pPr>
              <w:rPr>
                <w:rFonts w:eastAsia="SimSun"/>
              </w:rPr>
            </w:pPr>
            <w:r w:rsidRPr="00AC3044">
              <w:rPr>
                <w:rFonts w:eastAsia="SimSun"/>
              </w:rPr>
              <w:t>0,03 мг/кг</w:t>
            </w:r>
          </w:p>
        </w:tc>
        <w:tc>
          <w:tcPr>
            <w:tcW w:w="1701" w:type="dxa"/>
            <w:vAlign w:val="center"/>
          </w:tcPr>
          <w:p w14:paraId="5F50F3F5" w14:textId="77777777" w:rsidR="0089207C" w:rsidRPr="00AC3044" w:rsidRDefault="0089207C" w:rsidP="002D3EBF">
            <w:pPr>
              <w:rPr>
                <w:rFonts w:eastAsia="SimSun"/>
              </w:rPr>
            </w:pPr>
            <w:r w:rsidRPr="00AC3044">
              <w:rPr>
                <w:rFonts w:eastAsia="SimSun"/>
              </w:rPr>
              <w:t>–</w:t>
            </w:r>
          </w:p>
        </w:tc>
        <w:tc>
          <w:tcPr>
            <w:tcW w:w="1418" w:type="dxa"/>
            <w:vAlign w:val="center"/>
          </w:tcPr>
          <w:p w14:paraId="3FABF630" w14:textId="77777777" w:rsidR="0089207C" w:rsidRPr="00AC3044" w:rsidRDefault="0089207C" w:rsidP="002D3EBF">
            <w:pPr>
              <w:rPr>
                <w:rFonts w:eastAsia="SimSun"/>
              </w:rPr>
            </w:pPr>
            <w:r w:rsidRPr="00AC3044">
              <w:rPr>
                <w:rFonts w:eastAsia="SimSun"/>
              </w:rPr>
              <w:t xml:space="preserve">С -1 дня длительно </w:t>
            </w:r>
          </w:p>
        </w:tc>
        <w:tc>
          <w:tcPr>
            <w:tcW w:w="2268" w:type="dxa"/>
            <w:vAlign w:val="center"/>
          </w:tcPr>
          <w:p w14:paraId="431076C4" w14:textId="77777777" w:rsidR="0089207C" w:rsidRPr="00AC3044" w:rsidRDefault="0089207C" w:rsidP="002D3EBF">
            <w:pPr>
              <w:rPr>
                <w:rFonts w:eastAsia="SimSun"/>
              </w:rPr>
            </w:pPr>
            <w:r w:rsidRPr="00AC3044">
              <w:rPr>
                <w:rFonts w:eastAsia="SimSun"/>
              </w:rPr>
              <w:t xml:space="preserve">В/в инфузия в течение 24 ч с последующей коррекцией суточной дозы по концентрации. Перевод на прием внутрь при условии восстановления лейкоцитов &gt; 1* 109/л, при отсутствии тошноты, рвоты, диареи и возможности приема внутрь. Концентрация Tx 5-15 нг/мл.    </w:t>
            </w:r>
          </w:p>
        </w:tc>
      </w:tr>
      <w:tr w:rsidR="0089207C" w:rsidRPr="00AC3044" w14:paraId="4834558E" w14:textId="77777777" w:rsidTr="002D3EBF">
        <w:trPr>
          <w:cantSplit/>
          <w:trHeight w:val="709"/>
        </w:trPr>
        <w:tc>
          <w:tcPr>
            <w:tcW w:w="959" w:type="dxa"/>
            <w:vMerge/>
            <w:textDirection w:val="btLr"/>
            <w:vAlign w:val="center"/>
          </w:tcPr>
          <w:p w14:paraId="13EC14F1" w14:textId="77777777" w:rsidR="0089207C" w:rsidRPr="00AC3044" w:rsidRDefault="0089207C" w:rsidP="002D3EBF">
            <w:pPr>
              <w:rPr>
                <w:rFonts w:eastAsia="SimSun"/>
              </w:rPr>
            </w:pPr>
          </w:p>
        </w:tc>
        <w:tc>
          <w:tcPr>
            <w:tcW w:w="1701" w:type="dxa"/>
            <w:vAlign w:val="center"/>
          </w:tcPr>
          <w:p w14:paraId="62EC267C" w14:textId="77777777" w:rsidR="0089207C" w:rsidRPr="00AC3044" w:rsidRDefault="0089207C" w:rsidP="002D3EBF">
            <w:pPr>
              <w:rPr>
                <w:rFonts w:eastAsia="SimSun"/>
              </w:rPr>
            </w:pPr>
            <w:r w:rsidRPr="00AC3044">
              <w:rPr>
                <w:rFonts w:eastAsia="SimSun"/>
              </w:rPr>
              <w:t>Микофенолата мофетил</w:t>
            </w:r>
          </w:p>
        </w:tc>
        <w:tc>
          <w:tcPr>
            <w:tcW w:w="1559" w:type="dxa"/>
            <w:vAlign w:val="center"/>
          </w:tcPr>
          <w:p w14:paraId="188D4116" w14:textId="77777777" w:rsidR="0089207C" w:rsidRPr="00AC3044" w:rsidRDefault="0089207C" w:rsidP="002D3EBF">
            <w:pPr>
              <w:rPr>
                <w:rFonts w:eastAsia="SimSun"/>
              </w:rPr>
            </w:pPr>
            <w:r w:rsidRPr="00AC3044">
              <w:rPr>
                <w:rFonts w:eastAsia="SimSun"/>
              </w:rPr>
              <w:t xml:space="preserve">30 мг/кг </w:t>
            </w:r>
          </w:p>
        </w:tc>
        <w:tc>
          <w:tcPr>
            <w:tcW w:w="1701" w:type="dxa"/>
            <w:vAlign w:val="center"/>
          </w:tcPr>
          <w:p w14:paraId="7E069AE4" w14:textId="77777777" w:rsidR="0089207C" w:rsidRPr="00AC3044" w:rsidRDefault="0089207C" w:rsidP="002D3EBF">
            <w:pPr>
              <w:rPr>
                <w:rFonts w:eastAsia="SimSun"/>
              </w:rPr>
            </w:pPr>
            <w:r w:rsidRPr="00AC3044">
              <w:rPr>
                <w:rFonts w:eastAsia="SimSun"/>
              </w:rPr>
              <w:t>–</w:t>
            </w:r>
          </w:p>
        </w:tc>
        <w:tc>
          <w:tcPr>
            <w:tcW w:w="1418" w:type="dxa"/>
            <w:vAlign w:val="center"/>
          </w:tcPr>
          <w:p w14:paraId="5E711BFB" w14:textId="77777777" w:rsidR="0089207C" w:rsidRPr="00AC3044" w:rsidRDefault="0089207C" w:rsidP="002D3EBF">
            <w:pPr>
              <w:rPr>
                <w:rFonts w:eastAsia="SimSun"/>
              </w:rPr>
            </w:pPr>
            <w:r w:rsidRPr="00AC3044">
              <w:rPr>
                <w:rFonts w:eastAsia="SimSun"/>
              </w:rPr>
              <w:t xml:space="preserve">С -1 дня по +30 день </w:t>
            </w:r>
          </w:p>
        </w:tc>
        <w:tc>
          <w:tcPr>
            <w:tcW w:w="2268" w:type="dxa"/>
            <w:vAlign w:val="center"/>
          </w:tcPr>
          <w:p w14:paraId="344B4F77" w14:textId="77777777" w:rsidR="0089207C" w:rsidRPr="00AC3044" w:rsidRDefault="0089207C" w:rsidP="002D3EBF">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1AC313D0" w14:textId="77777777" w:rsidR="0089207C" w:rsidRPr="00C07B2E" w:rsidRDefault="0089207C" w:rsidP="0089207C">
      <w:pPr>
        <w:rPr>
          <w:rFonts w:eastAsia="SimSun"/>
        </w:rPr>
      </w:pPr>
    </w:p>
    <w:p w14:paraId="48DBC344" w14:textId="77777777" w:rsidR="0089207C" w:rsidRPr="00042499" w:rsidRDefault="0089207C" w:rsidP="0089207C">
      <w:pPr>
        <w:rPr>
          <w:rFonts w:eastAsia="SimSun"/>
          <w:lang w:val="en-US"/>
        </w:rPr>
      </w:pPr>
      <w:bookmarkStart w:id="232" w:name="_Toc44401181"/>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1.2.23  – </w:t>
      </w:r>
      <w:r w:rsidRPr="00C07B2E">
        <w:rPr>
          <w:rFonts w:eastAsia="SimSun"/>
        </w:rPr>
        <w:t>Flu</w:t>
      </w:r>
      <w:r w:rsidRPr="00042499">
        <w:rPr>
          <w:rFonts w:eastAsia="SimSun"/>
          <w:lang w:val="en-US"/>
        </w:rPr>
        <w:t>180+</w:t>
      </w:r>
      <w:r w:rsidRPr="00C07B2E">
        <w:rPr>
          <w:rFonts w:eastAsia="SimSun"/>
        </w:rPr>
        <w:t>Cy</w:t>
      </w:r>
      <w:r w:rsidRPr="00042499">
        <w:rPr>
          <w:rFonts w:eastAsia="SimSun"/>
          <w:lang w:val="en-US"/>
        </w:rPr>
        <w:t xml:space="preserve">1200 / </w:t>
      </w:r>
      <w:r w:rsidRPr="00C07B2E">
        <w:rPr>
          <w:rFonts w:eastAsia="SimSun"/>
        </w:rPr>
        <w:t>rATG</w:t>
      </w:r>
      <w:r w:rsidRPr="00042499">
        <w:rPr>
          <w:rFonts w:eastAsia="SimSun"/>
          <w:lang w:val="en-US"/>
        </w:rPr>
        <w:t>+</w:t>
      </w:r>
      <w:r w:rsidRPr="00C07B2E">
        <w:rPr>
          <w:rFonts w:eastAsia="SimSun"/>
        </w:rPr>
        <w:t>Tx</w:t>
      </w:r>
      <w:r w:rsidRPr="00042499">
        <w:rPr>
          <w:rFonts w:eastAsia="SimSun"/>
          <w:lang w:val="en-US"/>
        </w:rPr>
        <w:t>+</w:t>
      </w:r>
      <w:r w:rsidRPr="00C07B2E">
        <w:rPr>
          <w:rFonts w:eastAsia="SimSun"/>
        </w:rPr>
        <w:t>MMF</w:t>
      </w:r>
      <w:r w:rsidRPr="00042499">
        <w:rPr>
          <w:rFonts w:eastAsia="SimSun"/>
          <w:lang w:val="en-US"/>
        </w:rPr>
        <w:t>30</w:t>
      </w:r>
      <w:bookmarkEnd w:id="232"/>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89207C" w:rsidRPr="00AC3044" w14:paraId="6BD08412" w14:textId="77777777" w:rsidTr="002D3EBF">
        <w:trPr>
          <w:cantSplit/>
          <w:trHeight w:val="20"/>
          <w:tblHeader/>
        </w:trPr>
        <w:tc>
          <w:tcPr>
            <w:tcW w:w="959" w:type="dxa"/>
            <w:vAlign w:val="center"/>
          </w:tcPr>
          <w:p w14:paraId="31DEE417" w14:textId="77777777" w:rsidR="0089207C" w:rsidRPr="00AC3044" w:rsidRDefault="0089207C" w:rsidP="002D3EBF">
            <w:pPr>
              <w:rPr>
                <w:rFonts w:eastAsia="SimSun"/>
              </w:rPr>
            </w:pPr>
          </w:p>
        </w:tc>
        <w:tc>
          <w:tcPr>
            <w:tcW w:w="1701" w:type="dxa"/>
            <w:vAlign w:val="center"/>
          </w:tcPr>
          <w:p w14:paraId="4EE11EC5" w14:textId="77777777" w:rsidR="0089207C" w:rsidRPr="00AC3044" w:rsidRDefault="0089207C" w:rsidP="002D3EBF">
            <w:pPr>
              <w:rPr>
                <w:rFonts w:eastAsia="SimSun"/>
              </w:rPr>
            </w:pPr>
            <w:r w:rsidRPr="00AC3044">
              <w:rPr>
                <w:rFonts w:eastAsia="SimSun"/>
              </w:rPr>
              <w:t>Препарат</w:t>
            </w:r>
          </w:p>
        </w:tc>
        <w:tc>
          <w:tcPr>
            <w:tcW w:w="1559" w:type="dxa"/>
            <w:vAlign w:val="center"/>
          </w:tcPr>
          <w:p w14:paraId="2D66524B" w14:textId="77777777" w:rsidR="0089207C" w:rsidRPr="00AC3044" w:rsidRDefault="0089207C" w:rsidP="002D3EBF">
            <w:pPr>
              <w:rPr>
                <w:rFonts w:eastAsia="SimSun"/>
              </w:rPr>
            </w:pPr>
            <w:r w:rsidRPr="00AC3044">
              <w:rPr>
                <w:rFonts w:eastAsia="SimSun"/>
              </w:rPr>
              <w:t>Суточная доза</w:t>
            </w:r>
          </w:p>
        </w:tc>
        <w:tc>
          <w:tcPr>
            <w:tcW w:w="1701" w:type="dxa"/>
            <w:vAlign w:val="center"/>
          </w:tcPr>
          <w:p w14:paraId="496FE235" w14:textId="77777777" w:rsidR="0089207C" w:rsidRPr="00AC3044" w:rsidRDefault="0089207C" w:rsidP="002D3EBF">
            <w:pPr>
              <w:rPr>
                <w:rFonts w:eastAsia="SimSun"/>
              </w:rPr>
            </w:pPr>
            <w:r w:rsidRPr="00AC3044">
              <w:rPr>
                <w:rFonts w:eastAsia="SimSun"/>
              </w:rPr>
              <w:t>Курсовая доза</w:t>
            </w:r>
          </w:p>
        </w:tc>
        <w:tc>
          <w:tcPr>
            <w:tcW w:w="1418" w:type="dxa"/>
            <w:vAlign w:val="center"/>
          </w:tcPr>
          <w:p w14:paraId="6445F8B9"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6B63B981"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1CBBB904" w14:textId="77777777" w:rsidTr="002D3EBF">
        <w:trPr>
          <w:cantSplit/>
          <w:trHeight w:val="20"/>
        </w:trPr>
        <w:tc>
          <w:tcPr>
            <w:tcW w:w="959" w:type="dxa"/>
            <w:vMerge w:val="restart"/>
            <w:textDirection w:val="btLr"/>
            <w:vAlign w:val="center"/>
          </w:tcPr>
          <w:p w14:paraId="39678A45" w14:textId="77777777" w:rsidR="0089207C" w:rsidRPr="00AC3044" w:rsidRDefault="0089207C" w:rsidP="002D3EBF">
            <w:pPr>
              <w:rPr>
                <w:rFonts w:eastAsia="SimSun"/>
              </w:rPr>
            </w:pPr>
            <w:r w:rsidRPr="00AC3044">
              <w:rPr>
                <w:rFonts w:eastAsia="SimSun"/>
              </w:rPr>
              <w:t>Кондиционирование</w:t>
            </w:r>
          </w:p>
        </w:tc>
        <w:tc>
          <w:tcPr>
            <w:tcW w:w="1701" w:type="dxa"/>
            <w:vAlign w:val="center"/>
          </w:tcPr>
          <w:p w14:paraId="543049EA" w14:textId="77777777" w:rsidR="0089207C" w:rsidRPr="00AC3044" w:rsidRDefault="0089207C" w:rsidP="002D3EBF">
            <w:pPr>
              <w:rPr>
                <w:rFonts w:eastAsia="SimSun"/>
              </w:rPr>
            </w:pPr>
            <w:r w:rsidRPr="00AC3044">
              <w:rPr>
                <w:rFonts w:eastAsia="SimSun"/>
              </w:rPr>
              <w:t xml:space="preserve">Флударабин </w:t>
            </w:r>
          </w:p>
        </w:tc>
        <w:tc>
          <w:tcPr>
            <w:tcW w:w="1559" w:type="dxa"/>
            <w:vAlign w:val="center"/>
          </w:tcPr>
          <w:p w14:paraId="5B906F79" w14:textId="77777777" w:rsidR="0089207C" w:rsidRPr="00AC3044" w:rsidRDefault="0089207C" w:rsidP="002D3EBF">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4F114A26" w14:textId="77777777" w:rsidR="0089207C" w:rsidRPr="00AC3044" w:rsidRDefault="0089207C" w:rsidP="002D3EBF">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655681CC" w14:textId="77777777" w:rsidR="0089207C" w:rsidRPr="00AC3044" w:rsidRDefault="0089207C" w:rsidP="002D3EBF">
            <w:pPr>
              <w:rPr>
                <w:rFonts w:eastAsia="SimSun"/>
              </w:rPr>
            </w:pPr>
            <w:r w:rsidRPr="00AC3044">
              <w:rPr>
                <w:rFonts w:eastAsia="SimSun"/>
              </w:rPr>
              <w:t>С -7 дня по -2 день</w:t>
            </w:r>
          </w:p>
        </w:tc>
        <w:tc>
          <w:tcPr>
            <w:tcW w:w="2268" w:type="dxa"/>
            <w:vAlign w:val="center"/>
          </w:tcPr>
          <w:p w14:paraId="42BE61D3"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5738B220" w14:textId="77777777" w:rsidTr="002D3EBF">
        <w:trPr>
          <w:cantSplit/>
          <w:trHeight w:val="1207"/>
        </w:trPr>
        <w:tc>
          <w:tcPr>
            <w:tcW w:w="959" w:type="dxa"/>
            <w:vMerge/>
            <w:vAlign w:val="center"/>
          </w:tcPr>
          <w:p w14:paraId="68B58E5D" w14:textId="77777777" w:rsidR="0089207C" w:rsidRPr="00AC3044" w:rsidRDefault="0089207C" w:rsidP="002D3EBF">
            <w:pPr>
              <w:rPr>
                <w:rFonts w:eastAsia="SimSun"/>
              </w:rPr>
            </w:pPr>
          </w:p>
        </w:tc>
        <w:tc>
          <w:tcPr>
            <w:tcW w:w="1701" w:type="dxa"/>
            <w:vAlign w:val="center"/>
          </w:tcPr>
          <w:p w14:paraId="182383AB" w14:textId="77777777" w:rsidR="0089207C" w:rsidRPr="00AC3044" w:rsidRDefault="0089207C" w:rsidP="002D3EBF">
            <w:pPr>
              <w:rPr>
                <w:rFonts w:eastAsia="SimSun"/>
              </w:rPr>
            </w:pPr>
            <w:r w:rsidRPr="00AC3044">
              <w:rPr>
                <w:rFonts w:eastAsia="SimSun"/>
              </w:rPr>
              <w:t>Циклофосфамид</w:t>
            </w:r>
          </w:p>
        </w:tc>
        <w:tc>
          <w:tcPr>
            <w:tcW w:w="1559" w:type="dxa"/>
            <w:vAlign w:val="center"/>
          </w:tcPr>
          <w:p w14:paraId="257EF098" w14:textId="77777777" w:rsidR="0089207C" w:rsidRPr="00AC3044" w:rsidRDefault="0089207C" w:rsidP="002D3EBF">
            <w:pPr>
              <w:rPr>
                <w:rFonts w:eastAsia="SimSun"/>
              </w:rPr>
            </w:pPr>
            <w:r w:rsidRPr="00AC3044">
              <w:rPr>
                <w:rFonts w:eastAsia="SimSun"/>
              </w:rPr>
              <w:t>300 мг/м</w:t>
            </w:r>
            <w:r w:rsidRPr="001E6DBE">
              <w:rPr>
                <w:rFonts w:eastAsia="SimSun"/>
                <w:vertAlign w:val="superscript"/>
              </w:rPr>
              <w:t>2</w:t>
            </w:r>
            <w:r w:rsidRPr="00AC3044">
              <w:rPr>
                <w:rFonts w:eastAsia="SimSun"/>
              </w:rPr>
              <w:t xml:space="preserve"> </w:t>
            </w:r>
          </w:p>
        </w:tc>
        <w:tc>
          <w:tcPr>
            <w:tcW w:w="1701" w:type="dxa"/>
            <w:vAlign w:val="center"/>
          </w:tcPr>
          <w:p w14:paraId="11E0B6E9" w14:textId="77777777" w:rsidR="0089207C" w:rsidRPr="00AC3044" w:rsidRDefault="0089207C" w:rsidP="002D3EBF">
            <w:pPr>
              <w:rPr>
                <w:rFonts w:eastAsia="SimSun"/>
              </w:rPr>
            </w:pPr>
            <w:r w:rsidRPr="00AC3044">
              <w:rPr>
                <w:rFonts w:eastAsia="SimSun"/>
              </w:rPr>
              <w:t>1200 мг/м</w:t>
            </w:r>
            <w:r w:rsidRPr="001E6DBE">
              <w:rPr>
                <w:rFonts w:eastAsia="SimSun"/>
                <w:vertAlign w:val="superscript"/>
              </w:rPr>
              <w:t>2</w:t>
            </w:r>
          </w:p>
        </w:tc>
        <w:tc>
          <w:tcPr>
            <w:tcW w:w="1418" w:type="dxa"/>
            <w:vAlign w:val="center"/>
          </w:tcPr>
          <w:p w14:paraId="74D5CB41" w14:textId="77777777" w:rsidR="0089207C" w:rsidRPr="00AC3044" w:rsidRDefault="0089207C" w:rsidP="002D3EBF">
            <w:pPr>
              <w:rPr>
                <w:rFonts w:eastAsia="SimSun"/>
              </w:rPr>
            </w:pPr>
            <w:r w:rsidRPr="00AC3044">
              <w:rPr>
                <w:rFonts w:eastAsia="SimSun"/>
              </w:rPr>
              <w:t xml:space="preserve"> С -5 дня по -2 день </w:t>
            </w:r>
          </w:p>
        </w:tc>
        <w:tc>
          <w:tcPr>
            <w:tcW w:w="2268" w:type="dxa"/>
            <w:vAlign w:val="center"/>
          </w:tcPr>
          <w:p w14:paraId="48E368CF" w14:textId="77777777" w:rsidR="0089207C" w:rsidRPr="00AC3044" w:rsidRDefault="0089207C" w:rsidP="002D3EBF">
            <w:pPr>
              <w:rPr>
                <w:rFonts w:eastAsia="SimSun"/>
              </w:rPr>
            </w:pPr>
            <w:r w:rsidRPr="00AC3044">
              <w:rPr>
                <w:rFonts w:eastAsia="SimSun"/>
              </w:rPr>
              <w:t>В/в, в течение 2 ч</w:t>
            </w:r>
          </w:p>
        </w:tc>
      </w:tr>
      <w:tr w:rsidR="0089207C" w:rsidRPr="00AC3044" w14:paraId="0131EFD9" w14:textId="77777777" w:rsidTr="002D3EBF">
        <w:trPr>
          <w:cantSplit/>
          <w:trHeight w:val="858"/>
        </w:trPr>
        <w:tc>
          <w:tcPr>
            <w:tcW w:w="959" w:type="dxa"/>
            <w:vMerge w:val="restart"/>
            <w:textDirection w:val="btLr"/>
            <w:vAlign w:val="center"/>
          </w:tcPr>
          <w:p w14:paraId="3516692A" w14:textId="77777777" w:rsidR="0089207C" w:rsidRPr="00AC3044" w:rsidRDefault="0089207C" w:rsidP="002D3EBF">
            <w:pPr>
              <w:rPr>
                <w:rFonts w:eastAsia="SimSun"/>
              </w:rPr>
            </w:pPr>
            <w:r w:rsidRPr="00AC3044">
              <w:rPr>
                <w:rFonts w:eastAsia="SimSun"/>
              </w:rPr>
              <w:t>Профилактика РТПХ</w:t>
            </w:r>
          </w:p>
        </w:tc>
        <w:tc>
          <w:tcPr>
            <w:tcW w:w="1701" w:type="dxa"/>
            <w:vAlign w:val="center"/>
          </w:tcPr>
          <w:p w14:paraId="37CD4D8B" w14:textId="77777777" w:rsidR="0089207C" w:rsidRPr="00AC3044" w:rsidRDefault="0089207C" w:rsidP="002D3EBF">
            <w:pPr>
              <w:rPr>
                <w:rFonts w:eastAsia="SimSun"/>
              </w:rPr>
            </w:pPr>
            <w:r w:rsidRPr="00AC3044">
              <w:rPr>
                <w:rFonts w:eastAsia="SimSun"/>
              </w:rPr>
              <w:t>АТГ (кроличий)</w:t>
            </w:r>
          </w:p>
        </w:tc>
        <w:tc>
          <w:tcPr>
            <w:tcW w:w="1559" w:type="dxa"/>
            <w:vAlign w:val="center"/>
          </w:tcPr>
          <w:p w14:paraId="5A24ACCE" w14:textId="77777777" w:rsidR="0089207C" w:rsidRPr="00AC3044" w:rsidRDefault="0089207C" w:rsidP="002D3EBF">
            <w:pPr>
              <w:rPr>
                <w:rFonts w:eastAsia="SimSun"/>
              </w:rPr>
            </w:pPr>
            <w:r w:rsidRPr="00AC3044">
              <w:rPr>
                <w:rFonts w:eastAsia="SimSun"/>
              </w:rPr>
              <w:t>5 мг/кг</w:t>
            </w:r>
          </w:p>
        </w:tc>
        <w:tc>
          <w:tcPr>
            <w:tcW w:w="1701" w:type="dxa"/>
            <w:vAlign w:val="center"/>
          </w:tcPr>
          <w:p w14:paraId="4C063679" w14:textId="77777777" w:rsidR="0089207C" w:rsidRPr="00AC3044" w:rsidRDefault="0089207C" w:rsidP="002D3EBF">
            <w:pPr>
              <w:rPr>
                <w:rFonts w:eastAsia="SimSun"/>
              </w:rPr>
            </w:pPr>
            <w:r w:rsidRPr="00AC3044">
              <w:rPr>
                <w:rFonts w:eastAsia="SimSun"/>
              </w:rPr>
              <w:t>10 мг/кг</w:t>
            </w:r>
          </w:p>
        </w:tc>
        <w:tc>
          <w:tcPr>
            <w:tcW w:w="1418" w:type="dxa"/>
            <w:vAlign w:val="center"/>
          </w:tcPr>
          <w:p w14:paraId="25649F6B" w14:textId="77777777" w:rsidR="0089207C" w:rsidRPr="00AC3044" w:rsidRDefault="0089207C" w:rsidP="002D3EBF">
            <w:pPr>
              <w:rPr>
                <w:rFonts w:eastAsia="SimSun"/>
              </w:rPr>
            </w:pPr>
            <w:r w:rsidRPr="00AC3044">
              <w:rPr>
                <w:rFonts w:eastAsia="SimSun"/>
              </w:rPr>
              <w:t>В дни -2, -1</w:t>
            </w:r>
          </w:p>
        </w:tc>
        <w:tc>
          <w:tcPr>
            <w:tcW w:w="2268" w:type="dxa"/>
            <w:vAlign w:val="center"/>
          </w:tcPr>
          <w:p w14:paraId="20448F16" w14:textId="77777777" w:rsidR="0089207C" w:rsidRPr="00AC3044" w:rsidRDefault="0089207C" w:rsidP="002D3EBF">
            <w:pPr>
              <w:rPr>
                <w:rFonts w:eastAsia="SimSun"/>
              </w:rPr>
            </w:pPr>
            <w:r w:rsidRPr="00AC3044">
              <w:rPr>
                <w:rFonts w:eastAsia="SimSun"/>
              </w:rPr>
              <w:t>В/в. Суточная доза разделяется на 2 введения (см. гл.</w:t>
            </w:r>
            <w:r>
              <w:rPr>
                <w:rFonts w:eastAsia="SimSun"/>
              </w:rPr>
              <w:t xml:space="preserve"> </w:t>
            </w:r>
            <w:r w:rsidRPr="00AC3044">
              <w:rPr>
                <w:rFonts w:eastAsia="SimSun"/>
              </w:rPr>
              <w:t>«Инфузия АТГ»)</w:t>
            </w:r>
          </w:p>
        </w:tc>
      </w:tr>
      <w:tr w:rsidR="0089207C" w:rsidRPr="00AC3044" w14:paraId="0A7903C5" w14:textId="77777777" w:rsidTr="002D3EBF">
        <w:trPr>
          <w:cantSplit/>
          <w:trHeight w:val="958"/>
        </w:trPr>
        <w:tc>
          <w:tcPr>
            <w:tcW w:w="959" w:type="dxa"/>
            <w:vMerge/>
            <w:textDirection w:val="btLr"/>
            <w:vAlign w:val="center"/>
          </w:tcPr>
          <w:p w14:paraId="73CB1BCA" w14:textId="77777777" w:rsidR="0089207C" w:rsidRPr="00AC3044" w:rsidRDefault="0089207C" w:rsidP="002D3EBF">
            <w:pPr>
              <w:rPr>
                <w:rFonts w:eastAsia="SimSun"/>
              </w:rPr>
            </w:pPr>
          </w:p>
        </w:tc>
        <w:tc>
          <w:tcPr>
            <w:tcW w:w="1701" w:type="dxa"/>
            <w:vAlign w:val="center"/>
          </w:tcPr>
          <w:p w14:paraId="51F60AEB" w14:textId="77777777" w:rsidR="0089207C" w:rsidRPr="00AC3044" w:rsidRDefault="0089207C" w:rsidP="002D3EBF">
            <w:pPr>
              <w:rPr>
                <w:rFonts w:eastAsia="SimSun"/>
              </w:rPr>
            </w:pPr>
            <w:r w:rsidRPr="00AC3044">
              <w:rPr>
                <w:rFonts w:eastAsia="SimSun"/>
              </w:rPr>
              <w:t xml:space="preserve">Такролимус </w:t>
            </w:r>
          </w:p>
        </w:tc>
        <w:tc>
          <w:tcPr>
            <w:tcW w:w="1559" w:type="dxa"/>
            <w:vAlign w:val="center"/>
          </w:tcPr>
          <w:p w14:paraId="670DCC62" w14:textId="77777777" w:rsidR="0089207C" w:rsidRPr="00AC3044" w:rsidRDefault="0089207C" w:rsidP="002D3EBF">
            <w:pPr>
              <w:rPr>
                <w:rFonts w:eastAsia="SimSun"/>
              </w:rPr>
            </w:pPr>
            <w:r w:rsidRPr="00AC3044">
              <w:rPr>
                <w:rFonts w:eastAsia="SimSun"/>
              </w:rPr>
              <w:t>0,03 мг/кг</w:t>
            </w:r>
          </w:p>
        </w:tc>
        <w:tc>
          <w:tcPr>
            <w:tcW w:w="1701" w:type="dxa"/>
            <w:vAlign w:val="center"/>
          </w:tcPr>
          <w:p w14:paraId="1766C4D7" w14:textId="77777777" w:rsidR="0089207C" w:rsidRPr="00AC3044" w:rsidRDefault="0089207C" w:rsidP="002D3EBF">
            <w:pPr>
              <w:rPr>
                <w:rFonts w:eastAsia="SimSun"/>
              </w:rPr>
            </w:pPr>
            <w:r w:rsidRPr="00AC3044">
              <w:rPr>
                <w:rFonts w:eastAsia="SimSun"/>
              </w:rPr>
              <w:t>–</w:t>
            </w:r>
          </w:p>
        </w:tc>
        <w:tc>
          <w:tcPr>
            <w:tcW w:w="1418" w:type="dxa"/>
            <w:vAlign w:val="center"/>
          </w:tcPr>
          <w:p w14:paraId="5C9A1B89" w14:textId="77777777" w:rsidR="0089207C" w:rsidRPr="00AC3044" w:rsidRDefault="0089207C" w:rsidP="002D3EBF">
            <w:pPr>
              <w:rPr>
                <w:rFonts w:eastAsia="SimSun"/>
              </w:rPr>
            </w:pPr>
            <w:r w:rsidRPr="00AC3044">
              <w:rPr>
                <w:rFonts w:eastAsia="SimSun"/>
              </w:rPr>
              <w:t xml:space="preserve">С -1 дня длительно </w:t>
            </w:r>
          </w:p>
        </w:tc>
        <w:tc>
          <w:tcPr>
            <w:tcW w:w="2268" w:type="dxa"/>
            <w:vAlign w:val="center"/>
          </w:tcPr>
          <w:p w14:paraId="1F1F2FC9" w14:textId="77777777" w:rsidR="0089207C" w:rsidRPr="00AC3044" w:rsidRDefault="0089207C" w:rsidP="002D3EBF">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9207C" w:rsidRPr="00AC3044" w14:paraId="0FEA16C3" w14:textId="77777777" w:rsidTr="002D3EBF">
        <w:trPr>
          <w:cantSplit/>
          <w:trHeight w:val="370"/>
        </w:trPr>
        <w:tc>
          <w:tcPr>
            <w:tcW w:w="959" w:type="dxa"/>
            <w:vMerge/>
            <w:textDirection w:val="btLr"/>
            <w:vAlign w:val="center"/>
          </w:tcPr>
          <w:p w14:paraId="5F92568F" w14:textId="77777777" w:rsidR="0089207C" w:rsidRPr="00AC3044" w:rsidRDefault="0089207C" w:rsidP="002D3EBF">
            <w:pPr>
              <w:rPr>
                <w:rFonts w:eastAsia="SimSun"/>
              </w:rPr>
            </w:pPr>
          </w:p>
        </w:tc>
        <w:tc>
          <w:tcPr>
            <w:tcW w:w="1701" w:type="dxa"/>
            <w:vAlign w:val="center"/>
          </w:tcPr>
          <w:p w14:paraId="0C0F9C6C" w14:textId="77777777" w:rsidR="0089207C" w:rsidRPr="00AC3044" w:rsidRDefault="0089207C" w:rsidP="002D3EBF">
            <w:pPr>
              <w:rPr>
                <w:rFonts w:eastAsia="SimSun"/>
              </w:rPr>
            </w:pPr>
            <w:r w:rsidRPr="00AC3044">
              <w:rPr>
                <w:rFonts w:eastAsia="SimSun"/>
              </w:rPr>
              <w:t>Микофенолата мофетил</w:t>
            </w:r>
          </w:p>
        </w:tc>
        <w:tc>
          <w:tcPr>
            <w:tcW w:w="1559" w:type="dxa"/>
            <w:vAlign w:val="center"/>
          </w:tcPr>
          <w:p w14:paraId="4DF080FF" w14:textId="77777777" w:rsidR="0089207C" w:rsidRPr="00AC3044" w:rsidRDefault="0089207C" w:rsidP="002D3EBF">
            <w:pPr>
              <w:rPr>
                <w:rFonts w:eastAsia="SimSun"/>
              </w:rPr>
            </w:pPr>
            <w:r w:rsidRPr="00AC3044">
              <w:rPr>
                <w:rFonts w:eastAsia="SimSun"/>
              </w:rPr>
              <w:t xml:space="preserve">30 мг/кг </w:t>
            </w:r>
          </w:p>
        </w:tc>
        <w:tc>
          <w:tcPr>
            <w:tcW w:w="1701" w:type="dxa"/>
            <w:vAlign w:val="center"/>
          </w:tcPr>
          <w:p w14:paraId="1E91A575" w14:textId="77777777" w:rsidR="0089207C" w:rsidRPr="00AC3044" w:rsidRDefault="0089207C" w:rsidP="002D3EBF">
            <w:pPr>
              <w:rPr>
                <w:rFonts w:eastAsia="SimSun"/>
              </w:rPr>
            </w:pPr>
            <w:r w:rsidRPr="00AC3044">
              <w:rPr>
                <w:rFonts w:eastAsia="SimSun"/>
              </w:rPr>
              <w:t>–</w:t>
            </w:r>
          </w:p>
        </w:tc>
        <w:tc>
          <w:tcPr>
            <w:tcW w:w="1418" w:type="dxa"/>
            <w:vAlign w:val="center"/>
          </w:tcPr>
          <w:p w14:paraId="548545C8" w14:textId="77777777" w:rsidR="0089207C" w:rsidRPr="00AC3044" w:rsidRDefault="0089207C" w:rsidP="002D3EBF">
            <w:pPr>
              <w:rPr>
                <w:rFonts w:eastAsia="SimSun"/>
              </w:rPr>
            </w:pPr>
            <w:r w:rsidRPr="00AC3044">
              <w:rPr>
                <w:rFonts w:eastAsia="SimSun"/>
              </w:rPr>
              <w:t xml:space="preserve">С -1 дня по +30 день </w:t>
            </w:r>
          </w:p>
        </w:tc>
        <w:tc>
          <w:tcPr>
            <w:tcW w:w="2268" w:type="dxa"/>
            <w:vAlign w:val="center"/>
          </w:tcPr>
          <w:p w14:paraId="17D2E00D" w14:textId="77777777" w:rsidR="0089207C" w:rsidRPr="00AC3044" w:rsidRDefault="0089207C" w:rsidP="002D3EBF">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2277E79F" w14:textId="77777777" w:rsidR="0089207C" w:rsidRDefault="0089207C" w:rsidP="0089207C">
      <w:pPr>
        <w:rPr>
          <w:rFonts w:eastAsia="SimSun"/>
        </w:rPr>
      </w:pPr>
      <w:bookmarkStart w:id="233" w:name="_Toc44401182"/>
    </w:p>
    <w:p w14:paraId="6CFD7BC0" w14:textId="77777777" w:rsidR="0089207C" w:rsidRPr="00C07B2E" w:rsidRDefault="0089207C" w:rsidP="0089207C">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2.2.24 – Flu180+Mel100/ PT-Cy+Tx+MMF30</w:t>
      </w:r>
      <w:bookmarkEnd w:id="233"/>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89207C" w:rsidRPr="00AC3044" w14:paraId="69A86B9F" w14:textId="77777777" w:rsidTr="002D3EBF">
        <w:trPr>
          <w:cantSplit/>
          <w:trHeight w:val="20"/>
          <w:tblHeader/>
        </w:trPr>
        <w:tc>
          <w:tcPr>
            <w:tcW w:w="959" w:type="dxa"/>
            <w:vAlign w:val="center"/>
          </w:tcPr>
          <w:p w14:paraId="53816F68" w14:textId="77777777" w:rsidR="0089207C" w:rsidRPr="00AC3044" w:rsidRDefault="0089207C" w:rsidP="002D3EBF">
            <w:pPr>
              <w:rPr>
                <w:rFonts w:eastAsia="SimSun"/>
              </w:rPr>
            </w:pPr>
          </w:p>
        </w:tc>
        <w:tc>
          <w:tcPr>
            <w:tcW w:w="1701" w:type="dxa"/>
            <w:vAlign w:val="center"/>
          </w:tcPr>
          <w:p w14:paraId="279BCFF6" w14:textId="77777777" w:rsidR="0089207C" w:rsidRPr="00AC3044" w:rsidRDefault="0089207C" w:rsidP="002D3EBF">
            <w:pPr>
              <w:rPr>
                <w:rFonts w:eastAsia="SimSun"/>
              </w:rPr>
            </w:pPr>
            <w:r w:rsidRPr="00AC3044">
              <w:rPr>
                <w:rFonts w:eastAsia="SimSun"/>
              </w:rPr>
              <w:t>Препарат</w:t>
            </w:r>
          </w:p>
        </w:tc>
        <w:tc>
          <w:tcPr>
            <w:tcW w:w="1559" w:type="dxa"/>
            <w:vAlign w:val="center"/>
          </w:tcPr>
          <w:p w14:paraId="1F85C86A" w14:textId="77777777" w:rsidR="0089207C" w:rsidRPr="00AC3044" w:rsidRDefault="0089207C" w:rsidP="002D3EBF">
            <w:pPr>
              <w:rPr>
                <w:rFonts w:eastAsia="SimSun"/>
              </w:rPr>
            </w:pPr>
            <w:r w:rsidRPr="00AC3044">
              <w:rPr>
                <w:rFonts w:eastAsia="SimSun"/>
              </w:rPr>
              <w:t>Суточная доза</w:t>
            </w:r>
          </w:p>
        </w:tc>
        <w:tc>
          <w:tcPr>
            <w:tcW w:w="1701" w:type="dxa"/>
            <w:vAlign w:val="center"/>
          </w:tcPr>
          <w:p w14:paraId="6A665F40" w14:textId="77777777" w:rsidR="0089207C" w:rsidRPr="00AC3044" w:rsidRDefault="0089207C" w:rsidP="002D3EBF">
            <w:pPr>
              <w:rPr>
                <w:rFonts w:eastAsia="SimSun"/>
              </w:rPr>
            </w:pPr>
            <w:r w:rsidRPr="00AC3044">
              <w:rPr>
                <w:rFonts w:eastAsia="SimSun"/>
              </w:rPr>
              <w:t>Курсовая доза</w:t>
            </w:r>
          </w:p>
        </w:tc>
        <w:tc>
          <w:tcPr>
            <w:tcW w:w="1418" w:type="dxa"/>
            <w:vAlign w:val="center"/>
          </w:tcPr>
          <w:p w14:paraId="746104CC"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4901EB30"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4DC7CE37" w14:textId="77777777" w:rsidTr="002D3EBF">
        <w:trPr>
          <w:cantSplit/>
          <w:trHeight w:val="20"/>
        </w:trPr>
        <w:tc>
          <w:tcPr>
            <w:tcW w:w="959" w:type="dxa"/>
            <w:vMerge w:val="restart"/>
            <w:textDirection w:val="btLr"/>
            <w:vAlign w:val="center"/>
          </w:tcPr>
          <w:p w14:paraId="7D35B522" w14:textId="77777777" w:rsidR="0089207C" w:rsidRPr="00AC3044" w:rsidRDefault="0089207C" w:rsidP="002D3EBF">
            <w:pPr>
              <w:rPr>
                <w:rFonts w:eastAsia="SimSun"/>
              </w:rPr>
            </w:pPr>
            <w:r w:rsidRPr="00AC3044">
              <w:rPr>
                <w:rFonts w:eastAsia="SimSun"/>
              </w:rPr>
              <w:t>Кондиционирование</w:t>
            </w:r>
          </w:p>
        </w:tc>
        <w:tc>
          <w:tcPr>
            <w:tcW w:w="1701" w:type="dxa"/>
            <w:vAlign w:val="center"/>
          </w:tcPr>
          <w:p w14:paraId="1072DBA8" w14:textId="77777777" w:rsidR="0089207C" w:rsidRPr="00AC3044" w:rsidRDefault="0089207C" w:rsidP="002D3EBF">
            <w:pPr>
              <w:rPr>
                <w:rFonts w:eastAsia="SimSun"/>
              </w:rPr>
            </w:pPr>
            <w:r w:rsidRPr="00AC3044">
              <w:rPr>
                <w:rFonts w:eastAsia="SimSun"/>
              </w:rPr>
              <w:t xml:space="preserve">Флударабин </w:t>
            </w:r>
          </w:p>
        </w:tc>
        <w:tc>
          <w:tcPr>
            <w:tcW w:w="1559" w:type="dxa"/>
            <w:vAlign w:val="center"/>
          </w:tcPr>
          <w:p w14:paraId="21616AB7" w14:textId="77777777" w:rsidR="0089207C" w:rsidRPr="00AC3044" w:rsidRDefault="0089207C" w:rsidP="002D3EBF">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3147A82D" w14:textId="77777777" w:rsidR="0089207C" w:rsidRPr="00AC3044" w:rsidRDefault="0089207C" w:rsidP="002D3EBF">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250B9AF2" w14:textId="77777777" w:rsidR="0089207C" w:rsidRPr="00AC3044" w:rsidRDefault="0089207C" w:rsidP="002D3EBF">
            <w:pPr>
              <w:rPr>
                <w:rFonts w:eastAsia="SimSun"/>
              </w:rPr>
            </w:pPr>
            <w:r w:rsidRPr="00AC3044">
              <w:rPr>
                <w:rFonts w:eastAsia="SimSun"/>
              </w:rPr>
              <w:t>С -7 дня по -2 день</w:t>
            </w:r>
          </w:p>
        </w:tc>
        <w:tc>
          <w:tcPr>
            <w:tcW w:w="2268" w:type="dxa"/>
            <w:vAlign w:val="center"/>
          </w:tcPr>
          <w:p w14:paraId="4943EC29"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02248CBB" w14:textId="77777777" w:rsidTr="002D3EBF">
        <w:trPr>
          <w:cantSplit/>
          <w:trHeight w:val="440"/>
        </w:trPr>
        <w:tc>
          <w:tcPr>
            <w:tcW w:w="959" w:type="dxa"/>
            <w:vMerge/>
            <w:vAlign w:val="center"/>
          </w:tcPr>
          <w:p w14:paraId="053EEE59" w14:textId="77777777" w:rsidR="0089207C" w:rsidRPr="00AC3044" w:rsidRDefault="0089207C" w:rsidP="002D3EBF">
            <w:pPr>
              <w:rPr>
                <w:rFonts w:eastAsia="SimSun"/>
              </w:rPr>
            </w:pPr>
          </w:p>
        </w:tc>
        <w:tc>
          <w:tcPr>
            <w:tcW w:w="1701" w:type="dxa"/>
            <w:vAlign w:val="center"/>
          </w:tcPr>
          <w:p w14:paraId="5A4A820E" w14:textId="77777777" w:rsidR="0089207C" w:rsidRPr="00AC3044" w:rsidRDefault="0089207C" w:rsidP="002D3EBF">
            <w:pPr>
              <w:rPr>
                <w:rFonts w:eastAsia="SimSun"/>
              </w:rPr>
            </w:pPr>
            <w:r w:rsidRPr="00AC3044">
              <w:rPr>
                <w:rFonts w:eastAsia="SimSun"/>
              </w:rPr>
              <w:t>Мелфалан</w:t>
            </w:r>
          </w:p>
        </w:tc>
        <w:tc>
          <w:tcPr>
            <w:tcW w:w="1559" w:type="dxa"/>
            <w:vAlign w:val="center"/>
          </w:tcPr>
          <w:p w14:paraId="776C35FD" w14:textId="77777777" w:rsidR="0089207C" w:rsidRPr="00AC3044" w:rsidRDefault="0089207C" w:rsidP="002D3EBF">
            <w:pPr>
              <w:rPr>
                <w:rFonts w:eastAsia="SimSun"/>
              </w:rPr>
            </w:pPr>
            <w:r w:rsidRPr="00AC3044">
              <w:rPr>
                <w:rFonts w:eastAsia="SimSun"/>
              </w:rPr>
              <w:t>100 мг/м</w:t>
            </w:r>
            <w:r w:rsidRPr="001E6DBE">
              <w:rPr>
                <w:rFonts w:eastAsia="SimSun"/>
                <w:vertAlign w:val="superscript"/>
              </w:rPr>
              <w:t>2</w:t>
            </w:r>
            <w:r w:rsidRPr="00AC3044">
              <w:rPr>
                <w:rFonts w:eastAsia="SimSun"/>
              </w:rPr>
              <w:t xml:space="preserve"> </w:t>
            </w:r>
          </w:p>
        </w:tc>
        <w:tc>
          <w:tcPr>
            <w:tcW w:w="1701" w:type="dxa"/>
            <w:vAlign w:val="center"/>
          </w:tcPr>
          <w:p w14:paraId="0D602220" w14:textId="77777777" w:rsidR="0089207C" w:rsidRPr="00AC3044" w:rsidRDefault="0089207C" w:rsidP="002D3EBF">
            <w:pPr>
              <w:rPr>
                <w:rFonts w:eastAsia="SimSun"/>
              </w:rPr>
            </w:pPr>
            <w:r w:rsidRPr="00AC3044">
              <w:rPr>
                <w:rFonts w:eastAsia="SimSun"/>
              </w:rPr>
              <w:t>100 мг/м</w:t>
            </w:r>
            <w:r w:rsidRPr="001E6DBE">
              <w:rPr>
                <w:rFonts w:eastAsia="SimSun"/>
                <w:vertAlign w:val="superscript"/>
              </w:rPr>
              <w:t>2</w:t>
            </w:r>
          </w:p>
        </w:tc>
        <w:tc>
          <w:tcPr>
            <w:tcW w:w="1418" w:type="dxa"/>
            <w:vAlign w:val="center"/>
          </w:tcPr>
          <w:p w14:paraId="3C09D8CD" w14:textId="77777777" w:rsidR="0089207C" w:rsidRPr="00AC3044" w:rsidRDefault="0089207C" w:rsidP="002D3EBF">
            <w:pPr>
              <w:rPr>
                <w:rFonts w:eastAsia="SimSun"/>
              </w:rPr>
            </w:pPr>
            <w:r w:rsidRPr="00AC3044">
              <w:rPr>
                <w:rFonts w:eastAsia="SimSun"/>
              </w:rPr>
              <w:t xml:space="preserve">В -2 день </w:t>
            </w:r>
          </w:p>
        </w:tc>
        <w:tc>
          <w:tcPr>
            <w:tcW w:w="2268" w:type="dxa"/>
            <w:vAlign w:val="center"/>
          </w:tcPr>
          <w:p w14:paraId="60CF0CA2" w14:textId="77777777" w:rsidR="0089207C" w:rsidRPr="00AC3044" w:rsidRDefault="0089207C" w:rsidP="002D3EBF">
            <w:pPr>
              <w:rPr>
                <w:rFonts w:eastAsia="SimSun"/>
              </w:rPr>
            </w:pPr>
            <w:r w:rsidRPr="00AC3044">
              <w:rPr>
                <w:rFonts w:eastAsia="SimSun"/>
              </w:rPr>
              <w:t>В/в, в течение 1 часа</w:t>
            </w:r>
          </w:p>
        </w:tc>
      </w:tr>
      <w:tr w:rsidR="0089207C" w:rsidRPr="00AC3044" w14:paraId="2CE5DAC1" w14:textId="77777777" w:rsidTr="002D3EBF">
        <w:trPr>
          <w:cantSplit/>
          <w:trHeight w:val="516"/>
        </w:trPr>
        <w:tc>
          <w:tcPr>
            <w:tcW w:w="959" w:type="dxa"/>
            <w:vMerge w:val="restart"/>
            <w:textDirection w:val="btLr"/>
            <w:vAlign w:val="center"/>
          </w:tcPr>
          <w:p w14:paraId="4F37884C" w14:textId="77777777" w:rsidR="0089207C" w:rsidRPr="00AC3044" w:rsidRDefault="0089207C" w:rsidP="002D3EBF">
            <w:pPr>
              <w:rPr>
                <w:rFonts w:eastAsia="SimSun"/>
              </w:rPr>
            </w:pPr>
            <w:r w:rsidRPr="00AC3044">
              <w:rPr>
                <w:rFonts w:eastAsia="SimSun"/>
              </w:rPr>
              <w:t>Профилактика РТПХ</w:t>
            </w:r>
          </w:p>
        </w:tc>
        <w:tc>
          <w:tcPr>
            <w:tcW w:w="1701" w:type="dxa"/>
            <w:vAlign w:val="center"/>
          </w:tcPr>
          <w:p w14:paraId="2074A574" w14:textId="77777777" w:rsidR="0089207C" w:rsidRPr="00AC3044" w:rsidRDefault="0089207C" w:rsidP="002D3EBF">
            <w:pPr>
              <w:rPr>
                <w:rFonts w:eastAsia="SimSun"/>
              </w:rPr>
            </w:pPr>
            <w:r w:rsidRPr="00AC3044">
              <w:rPr>
                <w:rFonts w:eastAsia="SimSun"/>
              </w:rPr>
              <w:t>Циклофосфамид</w:t>
            </w:r>
          </w:p>
        </w:tc>
        <w:tc>
          <w:tcPr>
            <w:tcW w:w="1559" w:type="dxa"/>
            <w:vAlign w:val="center"/>
          </w:tcPr>
          <w:p w14:paraId="35FC1574" w14:textId="77777777" w:rsidR="0089207C" w:rsidRPr="00AC3044" w:rsidRDefault="0089207C" w:rsidP="002D3EBF">
            <w:pPr>
              <w:rPr>
                <w:rFonts w:eastAsia="SimSun"/>
              </w:rPr>
            </w:pPr>
            <w:r w:rsidRPr="00AC3044">
              <w:rPr>
                <w:rFonts w:eastAsia="SimSun"/>
              </w:rPr>
              <w:t>50 мг/кг</w:t>
            </w:r>
          </w:p>
        </w:tc>
        <w:tc>
          <w:tcPr>
            <w:tcW w:w="1701" w:type="dxa"/>
            <w:vAlign w:val="center"/>
          </w:tcPr>
          <w:p w14:paraId="22CFD377" w14:textId="77777777" w:rsidR="0089207C" w:rsidRPr="00AC3044" w:rsidRDefault="0089207C" w:rsidP="002D3EBF">
            <w:pPr>
              <w:rPr>
                <w:rFonts w:eastAsia="SimSun"/>
              </w:rPr>
            </w:pPr>
            <w:r w:rsidRPr="00AC3044">
              <w:rPr>
                <w:rFonts w:eastAsia="SimSun"/>
              </w:rPr>
              <w:t>100 мг/кг</w:t>
            </w:r>
          </w:p>
        </w:tc>
        <w:tc>
          <w:tcPr>
            <w:tcW w:w="1418" w:type="dxa"/>
            <w:vAlign w:val="center"/>
          </w:tcPr>
          <w:p w14:paraId="19F04B48" w14:textId="77777777" w:rsidR="0089207C" w:rsidRPr="00AC3044" w:rsidRDefault="0089207C" w:rsidP="002D3EBF">
            <w:pPr>
              <w:rPr>
                <w:rFonts w:eastAsia="SimSun"/>
              </w:rPr>
            </w:pPr>
            <w:r w:rsidRPr="00AC3044">
              <w:rPr>
                <w:rFonts w:eastAsia="SimSun"/>
              </w:rPr>
              <w:t xml:space="preserve">+3,+4 дни </w:t>
            </w:r>
          </w:p>
        </w:tc>
        <w:tc>
          <w:tcPr>
            <w:tcW w:w="2268" w:type="dxa"/>
            <w:vAlign w:val="center"/>
          </w:tcPr>
          <w:p w14:paraId="3284D4D6" w14:textId="77777777" w:rsidR="0089207C" w:rsidRPr="00AC3044" w:rsidRDefault="0089207C" w:rsidP="002D3EBF">
            <w:pPr>
              <w:rPr>
                <w:rFonts w:eastAsia="SimSun"/>
              </w:rPr>
            </w:pPr>
            <w:r w:rsidRPr="00AC3044">
              <w:rPr>
                <w:rFonts w:eastAsia="SimSun"/>
              </w:rPr>
              <w:t xml:space="preserve">В/в, в течение 2 ч </w:t>
            </w:r>
          </w:p>
        </w:tc>
      </w:tr>
      <w:tr w:rsidR="0089207C" w:rsidRPr="00AC3044" w14:paraId="22360702" w14:textId="77777777" w:rsidTr="002D3EBF">
        <w:trPr>
          <w:cantSplit/>
          <w:trHeight w:val="958"/>
        </w:trPr>
        <w:tc>
          <w:tcPr>
            <w:tcW w:w="959" w:type="dxa"/>
            <w:vMerge/>
            <w:textDirection w:val="btLr"/>
            <w:vAlign w:val="center"/>
          </w:tcPr>
          <w:p w14:paraId="0905DCC2" w14:textId="77777777" w:rsidR="0089207C" w:rsidRPr="00AC3044" w:rsidRDefault="0089207C" w:rsidP="002D3EBF">
            <w:pPr>
              <w:rPr>
                <w:rFonts w:eastAsia="SimSun"/>
              </w:rPr>
            </w:pPr>
          </w:p>
        </w:tc>
        <w:tc>
          <w:tcPr>
            <w:tcW w:w="1701" w:type="dxa"/>
            <w:vAlign w:val="center"/>
          </w:tcPr>
          <w:p w14:paraId="40F2AC42" w14:textId="77777777" w:rsidR="0089207C" w:rsidRPr="00AC3044" w:rsidRDefault="0089207C" w:rsidP="002D3EBF">
            <w:pPr>
              <w:rPr>
                <w:rFonts w:eastAsia="SimSun"/>
              </w:rPr>
            </w:pPr>
            <w:r w:rsidRPr="00AC3044">
              <w:rPr>
                <w:rFonts w:eastAsia="SimSun"/>
              </w:rPr>
              <w:t xml:space="preserve">Такролимус </w:t>
            </w:r>
          </w:p>
        </w:tc>
        <w:tc>
          <w:tcPr>
            <w:tcW w:w="1559" w:type="dxa"/>
            <w:vAlign w:val="center"/>
          </w:tcPr>
          <w:p w14:paraId="38C73924" w14:textId="77777777" w:rsidR="0089207C" w:rsidRPr="00AC3044" w:rsidRDefault="0089207C" w:rsidP="002D3EBF">
            <w:pPr>
              <w:rPr>
                <w:rFonts w:eastAsia="SimSun"/>
              </w:rPr>
            </w:pPr>
            <w:r w:rsidRPr="00AC3044">
              <w:rPr>
                <w:rFonts w:eastAsia="SimSun"/>
              </w:rPr>
              <w:t>0,03 мг/кг</w:t>
            </w:r>
          </w:p>
        </w:tc>
        <w:tc>
          <w:tcPr>
            <w:tcW w:w="1701" w:type="dxa"/>
            <w:vAlign w:val="center"/>
          </w:tcPr>
          <w:p w14:paraId="4DE7F9C3" w14:textId="77777777" w:rsidR="0089207C" w:rsidRPr="00AC3044" w:rsidRDefault="0089207C" w:rsidP="002D3EBF">
            <w:pPr>
              <w:rPr>
                <w:rFonts w:eastAsia="SimSun"/>
              </w:rPr>
            </w:pPr>
            <w:r w:rsidRPr="00AC3044">
              <w:rPr>
                <w:rFonts w:eastAsia="SimSun"/>
              </w:rPr>
              <w:t>–</w:t>
            </w:r>
          </w:p>
        </w:tc>
        <w:tc>
          <w:tcPr>
            <w:tcW w:w="1418" w:type="dxa"/>
            <w:vAlign w:val="center"/>
          </w:tcPr>
          <w:p w14:paraId="576585F4" w14:textId="77777777" w:rsidR="0089207C" w:rsidRPr="00AC3044" w:rsidRDefault="0089207C" w:rsidP="002D3EBF">
            <w:pPr>
              <w:rPr>
                <w:rFonts w:eastAsia="SimSun"/>
              </w:rPr>
            </w:pPr>
            <w:r w:rsidRPr="00AC3044">
              <w:rPr>
                <w:rFonts w:eastAsia="SimSun"/>
              </w:rPr>
              <w:t xml:space="preserve">С -1 дня длительно </w:t>
            </w:r>
          </w:p>
        </w:tc>
        <w:tc>
          <w:tcPr>
            <w:tcW w:w="2268" w:type="dxa"/>
            <w:vAlign w:val="center"/>
          </w:tcPr>
          <w:p w14:paraId="6CD0D2DB" w14:textId="77777777" w:rsidR="0089207C" w:rsidRPr="00AC3044" w:rsidRDefault="0089207C" w:rsidP="002D3EBF">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9207C" w:rsidRPr="00AC3044" w14:paraId="35A50603" w14:textId="77777777" w:rsidTr="002D3EBF">
        <w:trPr>
          <w:cantSplit/>
          <w:trHeight w:val="986"/>
        </w:trPr>
        <w:tc>
          <w:tcPr>
            <w:tcW w:w="959" w:type="dxa"/>
            <w:vMerge/>
            <w:textDirection w:val="btLr"/>
            <w:vAlign w:val="center"/>
          </w:tcPr>
          <w:p w14:paraId="0DB79D7D" w14:textId="77777777" w:rsidR="0089207C" w:rsidRPr="00AC3044" w:rsidRDefault="0089207C" w:rsidP="002D3EBF">
            <w:pPr>
              <w:rPr>
                <w:rFonts w:eastAsia="SimSun"/>
              </w:rPr>
            </w:pPr>
          </w:p>
        </w:tc>
        <w:tc>
          <w:tcPr>
            <w:tcW w:w="1701" w:type="dxa"/>
            <w:vAlign w:val="center"/>
          </w:tcPr>
          <w:p w14:paraId="58217C01" w14:textId="77777777" w:rsidR="0089207C" w:rsidRPr="00AC3044" w:rsidRDefault="0089207C" w:rsidP="002D3EBF">
            <w:pPr>
              <w:rPr>
                <w:rFonts w:eastAsia="SimSun"/>
              </w:rPr>
            </w:pPr>
            <w:r w:rsidRPr="00AC3044">
              <w:rPr>
                <w:rFonts w:eastAsia="SimSun"/>
              </w:rPr>
              <w:t>Микофенолата мофетил</w:t>
            </w:r>
          </w:p>
        </w:tc>
        <w:tc>
          <w:tcPr>
            <w:tcW w:w="1559" w:type="dxa"/>
            <w:vAlign w:val="center"/>
          </w:tcPr>
          <w:p w14:paraId="179F2A07" w14:textId="77777777" w:rsidR="0089207C" w:rsidRPr="00AC3044" w:rsidRDefault="0089207C" w:rsidP="002D3EBF">
            <w:pPr>
              <w:rPr>
                <w:rFonts w:eastAsia="SimSun"/>
              </w:rPr>
            </w:pPr>
            <w:r w:rsidRPr="00AC3044">
              <w:rPr>
                <w:rFonts w:eastAsia="SimSun"/>
              </w:rPr>
              <w:t xml:space="preserve">30 мг/кг </w:t>
            </w:r>
          </w:p>
        </w:tc>
        <w:tc>
          <w:tcPr>
            <w:tcW w:w="1701" w:type="dxa"/>
            <w:vAlign w:val="center"/>
          </w:tcPr>
          <w:p w14:paraId="501C0517" w14:textId="77777777" w:rsidR="0089207C" w:rsidRPr="00AC3044" w:rsidRDefault="0089207C" w:rsidP="002D3EBF">
            <w:pPr>
              <w:rPr>
                <w:rFonts w:eastAsia="SimSun"/>
              </w:rPr>
            </w:pPr>
            <w:r w:rsidRPr="00AC3044">
              <w:rPr>
                <w:rFonts w:eastAsia="SimSun"/>
              </w:rPr>
              <w:t>–</w:t>
            </w:r>
          </w:p>
        </w:tc>
        <w:tc>
          <w:tcPr>
            <w:tcW w:w="1418" w:type="dxa"/>
            <w:vAlign w:val="center"/>
          </w:tcPr>
          <w:p w14:paraId="5DFC262F" w14:textId="77777777" w:rsidR="0089207C" w:rsidRPr="00AC3044" w:rsidRDefault="0089207C" w:rsidP="002D3EBF">
            <w:pPr>
              <w:rPr>
                <w:rFonts w:eastAsia="SimSun"/>
              </w:rPr>
            </w:pPr>
            <w:r w:rsidRPr="00AC3044">
              <w:rPr>
                <w:rFonts w:eastAsia="SimSun"/>
              </w:rPr>
              <w:t xml:space="preserve">С -1 дня по +30 день </w:t>
            </w:r>
          </w:p>
        </w:tc>
        <w:tc>
          <w:tcPr>
            <w:tcW w:w="2268" w:type="dxa"/>
            <w:vAlign w:val="center"/>
          </w:tcPr>
          <w:p w14:paraId="2D51C951" w14:textId="77777777" w:rsidR="0089207C" w:rsidRPr="00AC3044" w:rsidRDefault="0089207C" w:rsidP="002D3EBF">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16E475E9" w14:textId="77777777" w:rsidR="0089207C" w:rsidRPr="00C07B2E" w:rsidRDefault="0089207C" w:rsidP="0089207C">
      <w:pPr>
        <w:rPr>
          <w:rFonts w:eastAsia="SimSun"/>
        </w:rPr>
        <w:sectPr w:rsidR="0089207C" w:rsidRPr="00C07B2E" w:rsidSect="00980822">
          <w:footerReference w:type="default" r:id="rId14"/>
          <w:type w:val="continuous"/>
          <w:pgSz w:w="11907" w:h="16839" w:code="9"/>
          <w:pgMar w:top="1134" w:right="850" w:bottom="1134" w:left="1701" w:header="709" w:footer="567" w:gutter="0"/>
          <w:cols w:space="708"/>
          <w:docGrid w:linePitch="360"/>
        </w:sectPr>
      </w:pPr>
    </w:p>
    <w:p w14:paraId="558C36CC" w14:textId="77777777" w:rsidR="0089207C" w:rsidRDefault="0089207C" w:rsidP="0089207C">
      <w:pPr>
        <w:rPr>
          <w:rFonts w:eastAsia="SimSun"/>
        </w:rPr>
      </w:pPr>
      <w:bookmarkStart w:id="234" w:name="_Toc44401183"/>
    </w:p>
    <w:p w14:paraId="7F1F1110" w14:textId="77777777" w:rsidR="0089207C" w:rsidRPr="00470E23" w:rsidRDefault="0089207C" w:rsidP="0089207C">
      <w:pPr>
        <w:rPr>
          <w:rFonts w:eastAsia="SimSun"/>
          <w:i/>
          <w:u w:val="single"/>
        </w:rPr>
      </w:pPr>
      <w:r w:rsidRPr="00470E23">
        <w:rPr>
          <w:rFonts w:eastAsia="SimSun"/>
          <w:i/>
          <w:u w:val="single"/>
        </w:rPr>
        <w:t>2. Неродственный HLA-идентичный донор</w:t>
      </w:r>
      <w:bookmarkEnd w:id="234"/>
      <w:r w:rsidRPr="00470E23">
        <w:rPr>
          <w:rFonts w:eastAsia="SimSun"/>
          <w:i/>
          <w:u w:val="single"/>
        </w:rPr>
        <w:t xml:space="preserve"> </w:t>
      </w:r>
    </w:p>
    <w:p w14:paraId="65DE94A9" w14:textId="77777777" w:rsidR="0089207C" w:rsidRDefault="0089207C" w:rsidP="0089207C">
      <w:pPr>
        <w:rPr>
          <w:rFonts w:eastAsia="SimSun"/>
        </w:rPr>
      </w:pPr>
      <w:bookmarkStart w:id="235" w:name="_Toc44401184"/>
    </w:p>
    <w:bookmarkEnd w:id="235"/>
    <w:p w14:paraId="26FA0F5B" w14:textId="77777777" w:rsidR="0089207C" w:rsidRPr="00C07B2E" w:rsidRDefault="0089207C" w:rsidP="0089207C">
      <w:pPr>
        <w:rPr>
          <w:rFonts w:eastAsia="SimSun"/>
        </w:rPr>
      </w:pPr>
      <w:r w:rsidRPr="00C07B2E">
        <w:rPr>
          <w:rFonts w:eastAsia="SimSun"/>
        </w:rPr>
        <w:t xml:space="preserve">Схемы и режимы применения препаратов для </w:t>
      </w:r>
      <w:r w:rsidRPr="00470E23">
        <w:rPr>
          <w:rFonts w:eastAsia="SimSun"/>
          <w:b/>
          <w:u w:val="single"/>
        </w:rPr>
        <w:t>кондиционирования в миелоаблативном режиме</w:t>
      </w:r>
      <w:r w:rsidRPr="00C07B2E">
        <w:rPr>
          <w:rFonts w:eastAsia="SimSun"/>
        </w:rPr>
        <w:t xml:space="preserve"> и профилактики РТПХ указаны в Таблице </w:t>
      </w:r>
      <w:r>
        <w:rPr>
          <w:rFonts w:eastAsia="SimSun"/>
        </w:rPr>
        <w:t>5.</w:t>
      </w:r>
      <w:r w:rsidRPr="00C07B2E">
        <w:rPr>
          <w:rFonts w:eastAsia="SimSun"/>
        </w:rPr>
        <w:t>2.1</w:t>
      </w:r>
    </w:p>
    <w:p w14:paraId="622BE87A" w14:textId="77777777" w:rsidR="0089207C" w:rsidRPr="00C07B2E" w:rsidRDefault="0089207C" w:rsidP="0089207C">
      <w:pPr>
        <w:rPr>
          <w:rFonts w:eastAsia="SimSun"/>
        </w:rPr>
        <w:sectPr w:rsidR="0089207C" w:rsidRPr="00C07B2E" w:rsidSect="00980822">
          <w:headerReference w:type="even" r:id="rId15"/>
          <w:type w:val="continuous"/>
          <w:pgSz w:w="11907" w:h="16839" w:code="9"/>
          <w:pgMar w:top="1134" w:right="850" w:bottom="1134" w:left="1701" w:header="709" w:footer="567" w:gutter="0"/>
          <w:cols w:space="708"/>
          <w:docGrid w:linePitch="360"/>
        </w:sectPr>
      </w:pPr>
    </w:p>
    <w:p w14:paraId="49828908" w14:textId="77777777" w:rsidR="0089207C" w:rsidRPr="00C07B2E" w:rsidRDefault="0089207C" w:rsidP="0089207C">
      <w:pPr>
        <w:rPr>
          <w:rFonts w:eastAsia="SimSun"/>
        </w:rPr>
      </w:pPr>
      <w:r w:rsidRPr="00C07B2E">
        <w:rPr>
          <w:rFonts w:eastAsia="SimSun"/>
        </w:rPr>
        <w:t xml:space="preserve">Таблица </w:t>
      </w:r>
      <w:r>
        <w:rPr>
          <w:rFonts w:eastAsia="SimSun"/>
        </w:rPr>
        <w:t>5.</w:t>
      </w:r>
      <w:r w:rsidRPr="00C07B2E">
        <w:rPr>
          <w:rFonts w:eastAsia="SimSun"/>
        </w:rPr>
        <w:t xml:space="preserve">2.1 Схемы и режимы применения препаратов для кондиционирования и профилактики РТПХ со ссылками на </w:t>
      </w:r>
      <w:r>
        <w:rPr>
          <w:rFonts w:eastAsia="SimSun"/>
        </w:rPr>
        <w:t>таблицы с описанием</w:t>
      </w:r>
    </w:p>
    <w:p w14:paraId="2FCFC349" w14:textId="77777777" w:rsidR="0089207C" w:rsidRPr="00C07B2E" w:rsidRDefault="0089207C" w:rsidP="0089207C">
      <w:pPr>
        <w:rPr>
          <w:rFonts w:eastAsia="SimSun"/>
        </w:rPr>
      </w:pP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346"/>
        <w:gridCol w:w="1450"/>
        <w:gridCol w:w="2017"/>
        <w:gridCol w:w="2116"/>
        <w:gridCol w:w="1913"/>
        <w:gridCol w:w="2113"/>
        <w:gridCol w:w="1603"/>
      </w:tblGrid>
      <w:tr w:rsidR="0089207C" w:rsidRPr="00470E23" w14:paraId="78FE1532" w14:textId="77777777" w:rsidTr="002D3EBF">
        <w:trPr>
          <w:cantSplit/>
          <w:trHeight w:val="640"/>
        </w:trPr>
        <w:tc>
          <w:tcPr>
            <w:tcW w:w="2255" w:type="pct"/>
            <w:gridSpan w:val="4"/>
            <w:vMerge w:val="restart"/>
            <w:shd w:val="clear" w:color="auto" w:fill="auto"/>
            <w:vAlign w:val="center"/>
          </w:tcPr>
          <w:p w14:paraId="50839705" w14:textId="77777777" w:rsidR="0089207C" w:rsidRPr="00470E23" w:rsidRDefault="0089207C" w:rsidP="002D3EBF">
            <w:pPr>
              <w:rPr>
                <w:rFonts w:eastAsia="SimSun"/>
              </w:rPr>
            </w:pPr>
            <w:r w:rsidRPr="00470E23">
              <w:rPr>
                <w:rFonts w:eastAsia="SimSun"/>
              </w:rPr>
              <w:t>Профилактика РТПХ</w:t>
            </w:r>
          </w:p>
        </w:tc>
        <w:tc>
          <w:tcPr>
            <w:tcW w:w="2745" w:type="pct"/>
            <w:gridSpan w:val="4"/>
            <w:tcBorders>
              <w:left w:val="single" w:sz="4" w:space="0" w:color="00000A"/>
              <w:right w:val="single" w:sz="4" w:space="0" w:color="00000A"/>
            </w:tcBorders>
            <w:shd w:val="clear" w:color="auto" w:fill="auto"/>
          </w:tcPr>
          <w:p w14:paraId="634569F0" w14:textId="77777777" w:rsidR="0089207C" w:rsidRPr="00470E23" w:rsidRDefault="0089207C" w:rsidP="002D3EBF">
            <w:pPr>
              <w:rPr>
                <w:rFonts w:eastAsia="SimSun"/>
              </w:rPr>
            </w:pPr>
            <w:r w:rsidRPr="00470E23">
              <w:rPr>
                <w:rFonts w:eastAsia="SimSun"/>
              </w:rPr>
              <w:t>Режим кондиционирования</w:t>
            </w:r>
          </w:p>
        </w:tc>
      </w:tr>
      <w:tr w:rsidR="0089207C" w:rsidRPr="00470E23" w14:paraId="23F1C8B3" w14:textId="77777777" w:rsidTr="002D3EBF">
        <w:trPr>
          <w:cantSplit/>
          <w:trHeight w:val="549"/>
        </w:trPr>
        <w:tc>
          <w:tcPr>
            <w:tcW w:w="2255" w:type="pct"/>
            <w:gridSpan w:val="4"/>
            <w:vMerge/>
            <w:shd w:val="clear" w:color="auto" w:fill="auto"/>
            <w:vAlign w:val="center"/>
          </w:tcPr>
          <w:p w14:paraId="4680066A" w14:textId="77777777" w:rsidR="0089207C" w:rsidRPr="00470E23" w:rsidRDefault="0089207C" w:rsidP="002D3EBF">
            <w:pPr>
              <w:rPr>
                <w:rFonts w:eastAsia="SimSun"/>
              </w:rPr>
            </w:pPr>
          </w:p>
        </w:tc>
        <w:tc>
          <w:tcPr>
            <w:tcW w:w="750" w:type="pct"/>
            <w:shd w:val="clear" w:color="auto" w:fill="D9D9D9"/>
            <w:vAlign w:val="center"/>
          </w:tcPr>
          <w:p w14:paraId="3882F609" w14:textId="77777777" w:rsidR="0089207C" w:rsidRPr="00470E23" w:rsidRDefault="0089207C" w:rsidP="002D3EBF">
            <w:pPr>
              <w:rPr>
                <w:rFonts w:eastAsia="SimSun"/>
              </w:rPr>
            </w:pPr>
            <w:r w:rsidRPr="00470E23">
              <w:rPr>
                <w:rFonts w:eastAsia="SimSun"/>
              </w:rPr>
              <w:t>Cy120</w:t>
            </w:r>
          </w:p>
        </w:tc>
        <w:tc>
          <w:tcPr>
            <w:tcW w:w="1995" w:type="pct"/>
            <w:gridSpan w:val="3"/>
            <w:shd w:val="clear" w:color="auto" w:fill="D9D9D9"/>
            <w:vAlign w:val="center"/>
          </w:tcPr>
          <w:p w14:paraId="132595D5" w14:textId="77777777" w:rsidR="0089207C" w:rsidRPr="00470E23" w:rsidRDefault="0089207C" w:rsidP="002D3EBF">
            <w:pPr>
              <w:rPr>
                <w:rFonts w:eastAsia="SimSun"/>
              </w:rPr>
            </w:pPr>
            <w:r w:rsidRPr="00470E23">
              <w:rPr>
                <w:rFonts w:eastAsia="SimSun"/>
              </w:rPr>
              <w:t>Flu180</w:t>
            </w:r>
          </w:p>
        </w:tc>
      </w:tr>
      <w:tr w:rsidR="0089207C" w:rsidRPr="00470E23" w14:paraId="06A846DD" w14:textId="77777777" w:rsidTr="002D3EBF">
        <w:trPr>
          <w:cantSplit/>
          <w:trHeight w:val="571"/>
        </w:trPr>
        <w:tc>
          <w:tcPr>
            <w:tcW w:w="2255" w:type="pct"/>
            <w:gridSpan w:val="4"/>
            <w:vMerge/>
            <w:shd w:val="clear" w:color="auto" w:fill="auto"/>
            <w:vAlign w:val="center"/>
          </w:tcPr>
          <w:p w14:paraId="0DAD36F9" w14:textId="77777777" w:rsidR="0089207C" w:rsidRPr="00470E23" w:rsidRDefault="0089207C" w:rsidP="002D3EBF">
            <w:pPr>
              <w:rPr>
                <w:rFonts w:eastAsia="SimSun"/>
              </w:rPr>
            </w:pPr>
          </w:p>
        </w:tc>
        <w:tc>
          <w:tcPr>
            <w:tcW w:w="750" w:type="pct"/>
            <w:shd w:val="clear" w:color="auto" w:fill="D9D9D9"/>
            <w:vAlign w:val="center"/>
          </w:tcPr>
          <w:p w14:paraId="4922ADEC" w14:textId="77777777" w:rsidR="0089207C" w:rsidRPr="00470E23" w:rsidRDefault="0089207C" w:rsidP="002D3EBF">
            <w:pPr>
              <w:rPr>
                <w:rFonts w:eastAsia="SimSun"/>
              </w:rPr>
            </w:pPr>
            <w:r w:rsidRPr="00470E23">
              <w:rPr>
                <w:rFonts w:eastAsia="SimSun"/>
              </w:rPr>
              <w:t>Bu12</w:t>
            </w:r>
          </w:p>
        </w:tc>
        <w:tc>
          <w:tcPr>
            <w:tcW w:w="678" w:type="pct"/>
            <w:shd w:val="clear" w:color="auto" w:fill="D9D9D9"/>
            <w:vAlign w:val="center"/>
          </w:tcPr>
          <w:p w14:paraId="52770ACE" w14:textId="77777777" w:rsidR="0089207C" w:rsidRPr="00470E23" w:rsidRDefault="0089207C" w:rsidP="002D3EBF">
            <w:pPr>
              <w:rPr>
                <w:rFonts w:eastAsia="SimSun"/>
              </w:rPr>
            </w:pPr>
            <w:r w:rsidRPr="00470E23">
              <w:rPr>
                <w:rFonts w:eastAsia="SimSun"/>
              </w:rPr>
              <w:t>Bu12</w:t>
            </w:r>
          </w:p>
        </w:tc>
        <w:tc>
          <w:tcPr>
            <w:tcW w:w="749" w:type="pct"/>
            <w:shd w:val="clear" w:color="auto" w:fill="D9D9D9"/>
            <w:vAlign w:val="center"/>
          </w:tcPr>
          <w:p w14:paraId="3BE65308" w14:textId="77777777" w:rsidR="0089207C" w:rsidRPr="00470E23" w:rsidRDefault="0089207C" w:rsidP="002D3EBF">
            <w:pPr>
              <w:rPr>
                <w:rFonts w:eastAsia="SimSun"/>
              </w:rPr>
            </w:pPr>
            <w:r w:rsidRPr="00470E23">
              <w:rPr>
                <w:rFonts w:eastAsia="SimSun"/>
              </w:rPr>
              <w:t>Bu14</w:t>
            </w:r>
          </w:p>
        </w:tc>
        <w:tc>
          <w:tcPr>
            <w:tcW w:w="568" w:type="pct"/>
            <w:shd w:val="clear" w:color="auto" w:fill="D9D9D9"/>
            <w:vAlign w:val="center"/>
          </w:tcPr>
          <w:p w14:paraId="0E0C3DB7" w14:textId="77777777" w:rsidR="0089207C" w:rsidRPr="00470E23" w:rsidRDefault="0089207C" w:rsidP="002D3EBF">
            <w:pPr>
              <w:rPr>
                <w:rFonts w:eastAsia="SimSun"/>
              </w:rPr>
            </w:pPr>
            <w:r w:rsidRPr="00470E23">
              <w:rPr>
                <w:rFonts w:eastAsia="SimSun"/>
              </w:rPr>
              <w:t>Treo42</w:t>
            </w:r>
          </w:p>
        </w:tc>
      </w:tr>
      <w:tr w:rsidR="0089207C" w:rsidRPr="00470E23" w14:paraId="10E8E703" w14:textId="77777777" w:rsidTr="002D3EBF">
        <w:trPr>
          <w:cantSplit/>
          <w:trHeight w:val="551"/>
        </w:trPr>
        <w:tc>
          <w:tcPr>
            <w:tcW w:w="2255" w:type="pct"/>
            <w:gridSpan w:val="4"/>
            <w:vMerge/>
            <w:shd w:val="clear" w:color="auto" w:fill="auto"/>
            <w:vAlign w:val="center"/>
          </w:tcPr>
          <w:p w14:paraId="00B3344D" w14:textId="77777777" w:rsidR="0089207C" w:rsidRPr="00470E23" w:rsidRDefault="0089207C" w:rsidP="002D3EBF">
            <w:pPr>
              <w:rPr>
                <w:rFonts w:eastAsia="SimSun"/>
              </w:rPr>
            </w:pPr>
          </w:p>
        </w:tc>
        <w:tc>
          <w:tcPr>
            <w:tcW w:w="750" w:type="pct"/>
            <w:shd w:val="clear" w:color="auto" w:fill="D9D9D9"/>
            <w:vAlign w:val="center"/>
          </w:tcPr>
          <w:p w14:paraId="75EA214C" w14:textId="77777777" w:rsidR="0089207C" w:rsidRPr="00470E23" w:rsidRDefault="0089207C" w:rsidP="002D3EBF">
            <w:pPr>
              <w:rPr>
                <w:rFonts w:eastAsia="SimSun"/>
              </w:rPr>
            </w:pPr>
            <w:r w:rsidRPr="00470E23">
              <w:rPr>
                <w:rFonts w:eastAsia="SimSun"/>
              </w:rPr>
              <w:t>-</w:t>
            </w:r>
          </w:p>
        </w:tc>
        <w:tc>
          <w:tcPr>
            <w:tcW w:w="678" w:type="pct"/>
            <w:shd w:val="clear" w:color="auto" w:fill="D9D9D9"/>
            <w:vAlign w:val="center"/>
          </w:tcPr>
          <w:p w14:paraId="320C4AB6" w14:textId="77777777" w:rsidR="0089207C" w:rsidRPr="00470E23" w:rsidRDefault="0089207C" w:rsidP="002D3EBF">
            <w:pPr>
              <w:rPr>
                <w:rFonts w:eastAsia="SimSun"/>
              </w:rPr>
            </w:pPr>
            <w:r w:rsidRPr="00470E23">
              <w:rPr>
                <w:rFonts w:eastAsia="SimSun"/>
              </w:rPr>
              <w:t>-</w:t>
            </w:r>
          </w:p>
        </w:tc>
        <w:tc>
          <w:tcPr>
            <w:tcW w:w="749" w:type="pct"/>
            <w:shd w:val="clear" w:color="auto" w:fill="D9D9D9"/>
            <w:vAlign w:val="center"/>
          </w:tcPr>
          <w:p w14:paraId="1C9AEEED" w14:textId="77777777" w:rsidR="0089207C" w:rsidRPr="00470E23" w:rsidRDefault="0089207C" w:rsidP="002D3EBF">
            <w:pPr>
              <w:rPr>
                <w:rFonts w:eastAsia="SimSun"/>
              </w:rPr>
            </w:pPr>
            <w:r w:rsidRPr="00470E23">
              <w:rPr>
                <w:rFonts w:eastAsia="SimSun"/>
              </w:rPr>
              <w:t>-</w:t>
            </w:r>
          </w:p>
        </w:tc>
        <w:tc>
          <w:tcPr>
            <w:tcW w:w="568" w:type="pct"/>
            <w:shd w:val="clear" w:color="auto" w:fill="D9D9D9"/>
            <w:vAlign w:val="center"/>
          </w:tcPr>
          <w:p w14:paraId="7ECCC685" w14:textId="77777777" w:rsidR="0089207C" w:rsidRPr="00470E23" w:rsidRDefault="0089207C" w:rsidP="002D3EBF">
            <w:pPr>
              <w:rPr>
                <w:rFonts w:eastAsia="SimSun"/>
              </w:rPr>
            </w:pPr>
            <w:r w:rsidRPr="00470E23">
              <w:rPr>
                <w:rFonts w:eastAsia="SimSun"/>
              </w:rPr>
              <w:t>-</w:t>
            </w:r>
          </w:p>
        </w:tc>
      </w:tr>
      <w:tr w:rsidR="0089207C" w:rsidRPr="00470E23" w14:paraId="2A2EF4E1" w14:textId="77777777" w:rsidTr="002D3EBF">
        <w:trPr>
          <w:cantSplit/>
          <w:trHeight w:val="850"/>
        </w:trPr>
        <w:tc>
          <w:tcPr>
            <w:tcW w:w="549" w:type="pct"/>
            <w:tcBorders>
              <w:bottom w:val="single" w:sz="4" w:space="0" w:color="00000A"/>
            </w:tcBorders>
            <w:shd w:val="clear" w:color="auto" w:fill="D9D9D9"/>
            <w:vAlign w:val="center"/>
          </w:tcPr>
          <w:p w14:paraId="51F319F5" w14:textId="77777777" w:rsidR="0089207C" w:rsidRPr="00470E23" w:rsidRDefault="0089207C" w:rsidP="002D3EBF">
            <w:pPr>
              <w:rPr>
                <w:rFonts w:eastAsia="SimSun"/>
              </w:rPr>
            </w:pPr>
            <w:r w:rsidRPr="00470E23">
              <w:rPr>
                <w:rFonts w:eastAsia="SimSun"/>
              </w:rPr>
              <w:t>hATG</w:t>
            </w:r>
          </w:p>
        </w:tc>
        <w:tc>
          <w:tcPr>
            <w:tcW w:w="477" w:type="pct"/>
            <w:shd w:val="clear" w:color="auto" w:fill="D9D9D9"/>
            <w:vAlign w:val="center"/>
          </w:tcPr>
          <w:p w14:paraId="7637AADC" w14:textId="77777777" w:rsidR="0089207C" w:rsidRPr="00470E23" w:rsidRDefault="0089207C" w:rsidP="002D3EBF">
            <w:pPr>
              <w:rPr>
                <w:rFonts w:eastAsia="SimSun"/>
              </w:rPr>
            </w:pPr>
            <w:r w:rsidRPr="00470E23">
              <w:rPr>
                <w:rFonts w:eastAsia="SimSun"/>
              </w:rPr>
              <w:t>CSA</w:t>
            </w:r>
          </w:p>
        </w:tc>
        <w:tc>
          <w:tcPr>
            <w:tcW w:w="514" w:type="pct"/>
            <w:shd w:val="clear" w:color="auto" w:fill="D9D9D9"/>
            <w:vAlign w:val="center"/>
          </w:tcPr>
          <w:p w14:paraId="50A2B87A" w14:textId="77777777" w:rsidR="0089207C" w:rsidRPr="00470E23" w:rsidRDefault="0089207C" w:rsidP="002D3EBF">
            <w:pPr>
              <w:rPr>
                <w:rFonts w:eastAsia="SimSun"/>
              </w:rPr>
            </w:pPr>
            <w:r w:rsidRPr="00470E23">
              <w:rPr>
                <w:rFonts w:eastAsia="SimSun"/>
              </w:rPr>
              <w:t>MTX</w:t>
            </w:r>
          </w:p>
        </w:tc>
        <w:tc>
          <w:tcPr>
            <w:tcW w:w="715" w:type="pct"/>
            <w:shd w:val="clear" w:color="auto" w:fill="D9D9D9"/>
            <w:vAlign w:val="center"/>
          </w:tcPr>
          <w:p w14:paraId="0D8BF238" w14:textId="77777777" w:rsidR="0089207C" w:rsidRPr="00470E23" w:rsidRDefault="0089207C" w:rsidP="002D3EBF">
            <w:pPr>
              <w:rPr>
                <w:rFonts w:eastAsia="SimSun"/>
              </w:rPr>
            </w:pPr>
            <w:r w:rsidRPr="00470E23">
              <w:rPr>
                <w:rFonts w:eastAsia="SimSun"/>
              </w:rPr>
              <w:t>MMF45</w:t>
            </w:r>
          </w:p>
        </w:tc>
        <w:tc>
          <w:tcPr>
            <w:tcW w:w="750" w:type="pct"/>
            <w:shd w:val="clear" w:color="auto" w:fill="auto"/>
            <w:vAlign w:val="center"/>
          </w:tcPr>
          <w:p w14:paraId="4CD81646" w14:textId="77777777" w:rsidR="0089207C" w:rsidRPr="00470E23" w:rsidRDefault="0089207C" w:rsidP="002D3EBF">
            <w:pPr>
              <w:rPr>
                <w:rFonts w:eastAsia="SimSun"/>
              </w:rPr>
            </w:pPr>
            <w:r w:rsidRPr="00470E23">
              <w:rPr>
                <w:rFonts w:eastAsia="SimSun"/>
              </w:rPr>
              <w:t>5.2.1.1</w:t>
            </w:r>
          </w:p>
        </w:tc>
        <w:tc>
          <w:tcPr>
            <w:tcW w:w="678" w:type="pct"/>
            <w:shd w:val="clear" w:color="auto" w:fill="auto"/>
            <w:vAlign w:val="center"/>
          </w:tcPr>
          <w:p w14:paraId="18DB63A8" w14:textId="77777777" w:rsidR="0089207C" w:rsidRPr="00470E23" w:rsidRDefault="0089207C" w:rsidP="002D3EBF">
            <w:pPr>
              <w:rPr>
                <w:rFonts w:eastAsia="SimSun"/>
              </w:rPr>
            </w:pPr>
            <w:r w:rsidRPr="00470E23">
              <w:rPr>
                <w:rFonts w:eastAsia="SimSun"/>
              </w:rPr>
              <w:t>-</w:t>
            </w:r>
          </w:p>
        </w:tc>
        <w:tc>
          <w:tcPr>
            <w:tcW w:w="749" w:type="pct"/>
            <w:shd w:val="clear" w:color="auto" w:fill="auto"/>
            <w:vAlign w:val="center"/>
          </w:tcPr>
          <w:p w14:paraId="338AF0E9" w14:textId="77777777" w:rsidR="0089207C" w:rsidRPr="00470E23" w:rsidRDefault="0089207C" w:rsidP="002D3EBF">
            <w:pPr>
              <w:rPr>
                <w:rFonts w:eastAsia="SimSun"/>
              </w:rPr>
            </w:pPr>
            <w:r w:rsidRPr="00470E23">
              <w:rPr>
                <w:rFonts w:eastAsia="SimSun"/>
              </w:rPr>
              <w:t>-</w:t>
            </w:r>
          </w:p>
        </w:tc>
        <w:tc>
          <w:tcPr>
            <w:tcW w:w="568" w:type="pct"/>
            <w:shd w:val="clear" w:color="auto" w:fill="auto"/>
            <w:vAlign w:val="center"/>
          </w:tcPr>
          <w:p w14:paraId="7448DC0E" w14:textId="77777777" w:rsidR="0089207C" w:rsidRPr="00470E23" w:rsidRDefault="0089207C" w:rsidP="002D3EBF">
            <w:pPr>
              <w:rPr>
                <w:rFonts w:eastAsia="SimSun"/>
              </w:rPr>
            </w:pPr>
            <w:r w:rsidRPr="00470E23">
              <w:rPr>
                <w:rFonts w:eastAsia="SimSun"/>
              </w:rPr>
              <w:t>-</w:t>
            </w:r>
          </w:p>
        </w:tc>
      </w:tr>
      <w:tr w:rsidR="0089207C" w:rsidRPr="00470E23" w14:paraId="30E0CD91" w14:textId="77777777" w:rsidTr="002D3EBF">
        <w:trPr>
          <w:cantSplit/>
          <w:trHeight w:val="850"/>
        </w:trPr>
        <w:tc>
          <w:tcPr>
            <w:tcW w:w="549" w:type="pct"/>
            <w:tcBorders>
              <w:top w:val="single" w:sz="4" w:space="0" w:color="00000A"/>
              <w:bottom w:val="single" w:sz="4" w:space="0" w:color="00000A"/>
            </w:tcBorders>
            <w:shd w:val="clear" w:color="auto" w:fill="D9D9D9"/>
            <w:vAlign w:val="center"/>
          </w:tcPr>
          <w:p w14:paraId="667535E0" w14:textId="77777777" w:rsidR="0089207C" w:rsidRPr="00470E23" w:rsidRDefault="0089207C" w:rsidP="002D3EBF">
            <w:pPr>
              <w:rPr>
                <w:rFonts w:eastAsia="SimSun"/>
              </w:rPr>
            </w:pPr>
            <w:r w:rsidRPr="00470E23">
              <w:rPr>
                <w:rFonts w:eastAsia="SimSun"/>
              </w:rPr>
              <w:t>rATG</w:t>
            </w:r>
          </w:p>
        </w:tc>
        <w:tc>
          <w:tcPr>
            <w:tcW w:w="477" w:type="pct"/>
            <w:shd w:val="clear" w:color="auto" w:fill="D9D9D9"/>
            <w:vAlign w:val="center"/>
          </w:tcPr>
          <w:p w14:paraId="39A0BFEC" w14:textId="77777777" w:rsidR="0089207C" w:rsidRPr="00470E23" w:rsidRDefault="0089207C" w:rsidP="002D3EBF">
            <w:pPr>
              <w:rPr>
                <w:rFonts w:eastAsia="SimSun"/>
              </w:rPr>
            </w:pPr>
            <w:r w:rsidRPr="00470E23">
              <w:rPr>
                <w:rFonts w:eastAsia="SimSun"/>
              </w:rPr>
              <w:t>CSA</w:t>
            </w:r>
          </w:p>
        </w:tc>
        <w:tc>
          <w:tcPr>
            <w:tcW w:w="514" w:type="pct"/>
            <w:shd w:val="clear" w:color="auto" w:fill="D9D9D9"/>
            <w:vAlign w:val="center"/>
          </w:tcPr>
          <w:p w14:paraId="66EF89A3" w14:textId="77777777" w:rsidR="0089207C" w:rsidRPr="00470E23" w:rsidRDefault="0089207C" w:rsidP="002D3EBF">
            <w:pPr>
              <w:rPr>
                <w:rFonts w:eastAsia="SimSun"/>
              </w:rPr>
            </w:pPr>
            <w:r w:rsidRPr="00470E23">
              <w:rPr>
                <w:rFonts w:eastAsia="SimSun"/>
              </w:rPr>
              <w:t>MTX</w:t>
            </w:r>
          </w:p>
        </w:tc>
        <w:tc>
          <w:tcPr>
            <w:tcW w:w="715" w:type="pct"/>
            <w:shd w:val="clear" w:color="auto" w:fill="D9D9D9"/>
            <w:vAlign w:val="center"/>
          </w:tcPr>
          <w:p w14:paraId="0E80284E" w14:textId="77777777" w:rsidR="0089207C" w:rsidRPr="00470E23" w:rsidRDefault="0089207C" w:rsidP="002D3EBF">
            <w:pPr>
              <w:rPr>
                <w:rFonts w:eastAsia="SimSun"/>
              </w:rPr>
            </w:pPr>
            <w:r w:rsidRPr="00470E23">
              <w:rPr>
                <w:rFonts w:eastAsia="SimSun"/>
              </w:rPr>
              <w:t>MMF45</w:t>
            </w:r>
          </w:p>
        </w:tc>
        <w:tc>
          <w:tcPr>
            <w:tcW w:w="750" w:type="pct"/>
            <w:shd w:val="clear" w:color="auto" w:fill="auto"/>
            <w:vAlign w:val="center"/>
          </w:tcPr>
          <w:p w14:paraId="6596F600" w14:textId="77777777" w:rsidR="0089207C" w:rsidRPr="00470E23" w:rsidRDefault="0089207C" w:rsidP="002D3EBF">
            <w:pPr>
              <w:rPr>
                <w:rFonts w:eastAsia="SimSun"/>
              </w:rPr>
            </w:pPr>
            <w:r w:rsidRPr="00470E23">
              <w:rPr>
                <w:rFonts w:eastAsia="SimSun"/>
              </w:rPr>
              <w:t>5.2.1.2</w:t>
            </w:r>
          </w:p>
        </w:tc>
        <w:tc>
          <w:tcPr>
            <w:tcW w:w="678" w:type="pct"/>
            <w:shd w:val="clear" w:color="auto" w:fill="auto"/>
            <w:vAlign w:val="center"/>
          </w:tcPr>
          <w:p w14:paraId="6B684AA5" w14:textId="77777777" w:rsidR="0089207C" w:rsidRPr="00470E23" w:rsidRDefault="0089207C" w:rsidP="002D3EBF">
            <w:pPr>
              <w:rPr>
                <w:rFonts w:eastAsia="SimSun"/>
              </w:rPr>
            </w:pPr>
            <w:r w:rsidRPr="00470E23">
              <w:rPr>
                <w:rFonts w:eastAsia="SimSun"/>
              </w:rPr>
              <w:t>-</w:t>
            </w:r>
          </w:p>
        </w:tc>
        <w:tc>
          <w:tcPr>
            <w:tcW w:w="749" w:type="pct"/>
            <w:shd w:val="clear" w:color="auto" w:fill="auto"/>
            <w:vAlign w:val="center"/>
          </w:tcPr>
          <w:p w14:paraId="1B048452" w14:textId="77777777" w:rsidR="0089207C" w:rsidRPr="00470E23" w:rsidRDefault="0089207C" w:rsidP="002D3EBF">
            <w:pPr>
              <w:rPr>
                <w:rFonts w:eastAsia="SimSun"/>
              </w:rPr>
            </w:pPr>
            <w:r w:rsidRPr="00470E23">
              <w:rPr>
                <w:rFonts w:eastAsia="SimSun"/>
              </w:rPr>
              <w:t>-</w:t>
            </w:r>
          </w:p>
        </w:tc>
        <w:tc>
          <w:tcPr>
            <w:tcW w:w="568" w:type="pct"/>
            <w:shd w:val="clear" w:color="auto" w:fill="auto"/>
            <w:vAlign w:val="center"/>
          </w:tcPr>
          <w:p w14:paraId="1754F251" w14:textId="77777777" w:rsidR="0089207C" w:rsidRPr="00470E23" w:rsidRDefault="0089207C" w:rsidP="002D3EBF">
            <w:pPr>
              <w:rPr>
                <w:rFonts w:eastAsia="SimSun"/>
              </w:rPr>
            </w:pPr>
            <w:r w:rsidRPr="00470E23">
              <w:rPr>
                <w:rFonts w:eastAsia="SimSun"/>
              </w:rPr>
              <w:t>-</w:t>
            </w:r>
          </w:p>
        </w:tc>
      </w:tr>
      <w:tr w:rsidR="0089207C" w:rsidRPr="00470E23" w14:paraId="4AFB70B2" w14:textId="77777777" w:rsidTr="002D3EBF">
        <w:trPr>
          <w:cantSplit/>
          <w:trHeight w:val="850"/>
        </w:trPr>
        <w:tc>
          <w:tcPr>
            <w:tcW w:w="549" w:type="pct"/>
            <w:vMerge w:val="restart"/>
            <w:shd w:val="clear" w:color="auto" w:fill="D9D9D9"/>
            <w:vAlign w:val="center"/>
          </w:tcPr>
          <w:p w14:paraId="3B3AF9BC" w14:textId="77777777" w:rsidR="0089207C" w:rsidRPr="00470E23" w:rsidRDefault="0089207C" w:rsidP="002D3EBF">
            <w:pPr>
              <w:rPr>
                <w:rFonts w:eastAsia="SimSun"/>
              </w:rPr>
            </w:pPr>
            <w:r w:rsidRPr="00470E23">
              <w:rPr>
                <w:rFonts w:eastAsia="SimSun"/>
              </w:rPr>
              <w:t>PT-Cy</w:t>
            </w:r>
          </w:p>
          <w:p w14:paraId="608B74C4" w14:textId="77777777" w:rsidR="0089207C" w:rsidRPr="00470E23" w:rsidRDefault="0089207C" w:rsidP="002D3EBF">
            <w:pPr>
              <w:rPr>
                <w:rFonts w:eastAsia="SimSun"/>
              </w:rPr>
            </w:pPr>
          </w:p>
        </w:tc>
        <w:tc>
          <w:tcPr>
            <w:tcW w:w="477" w:type="pct"/>
            <w:shd w:val="clear" w:color="auto" w:fill="D9D9D9"/>
            <w:vAlign w:val="center"/>
          </w:tcPr>
          <w:p w14:paraId="610B6A61" w14:textId="77777777" w:rsidR="0089207C" w:rsidRPr="00470E23" w:rsidRDefault="0089207C" w:rsidP="002D3EBF">
            <w:pPr>
              <w:rPr>
                <w:rFonts w:eastAsia="SimSun"/>
              </w:rPr>
            </w:pPr>
            <w:r w:rsidRPr="00470E23">
              <w:rPr>
                <w:rFonts w:eastAsia="SimSun"/>
              </w:rPr>
              <w:t>-</w:t>
            </w:r>
          </w:p>
        </w:tc>
        <w:tc>
          <w:tcPr>
            <w:tcW w:w="514" w:type="pct"/>
            <w:shd w:val="clear" w:color="auto" w:fill="D9D9D9"/>
            <w:vAlign w:val="center"/>
          </w:tcPr>
          <w:p w14:paraId="0DFCE9A7" w14:textId="77777777" w:rsidR="0089207C" w:rsidRPr="00470E23" w:rsidRDefault="0089207C" w:rsidP="002D3EBF">
            <w:pPr>
              <w:rPr>
                <w:rFonts w:eastAsia="SimSun"/>
              </w:rPr>
            </w:pPr>
            <w:r w:rsidRPr="00470E23">
              <w:rPr>
                <w:rFonts w:eastAsia="SimSun"/>
              </w:rPr>
              <w:t>-</w:t>
            </w:r>
          </w:p>
        </w:tc>
        <w:tc>
          <w:tcPr>
            <w:tcW w:w="715" w:type="pct"/>
            <w:shd w:val="clear" w:color="auto" w:fill="D9D9D9"/>
            <w:vAlign w:val="center"/>
          </w:tcPr>
          <w:p w14:paraId="3A9C5A0D" w14:textId="77777777" w:rsidR="0089207C" w:rsidRPr="00470E23" w:rsidRDefault="0089207C" w:rsidP="002D3EBF">
            <w:pPr>
              <w:rPr>
                <w:rFonts w:eastAsia="SimSun"/>
              </w:rPr>
            </w:pPr>
            <w:r w:rsidRPr="00470E23">
              <w:rPr>
                <w:rFonts w:eastAsia="SimSun"/>
              </w:rPr>
              <w:t>-</w:t>
            </w:r>
          </w:p>
        </w:tc>
        <w:tc>
          <w:tcPr>
            <w:tcW w:w="750" w:type="pct"/>
            <w:shd w:val="clear" w:color="auto" w:fill="auto"/>
            <w:vAlign w:val="center"/>
          </w:tcPr>
          <w:p w14:paraId="1B3768E9" w14:textId="77777777" w:rsidR="0089207C" w:rsidRPr="00470E23" w:rsidRDefault="0089207C" w:rsidP="002D3EBF">
            <w:pPr>
              <w:rPr>
                <w:rFonts w:eastAsia="SimSun"/>
              </w:rPr>
            </w:pPr>
            <w:r w:rsidRPr="00470E23">
              <w:rPr>
                <w:rFonts w:eastAsia="SimSun"/>
              </w:rPr>
              <w:t>-</w:t>
            </w:r>
          </w:p>
        </w:tc>
        <w:tc>
          <w:tcPr>
            <w:tcW w:w="678" w:type="pct"/>
            <w:shd w:val="clear" w:color="auto" w:fill="auto"/>
            <w:vAlign w:val="center"/>
          </w:tcPr>
          <w:p w14:paraId="37C0715C" w14:textId="77777777" w:rsidR="0089207C" w:rsidRPr="00470E23" w:rsidRDefault="0089207C" w:rsidP="002D3EBF">
            <w:pPr>
              <w:rPr>
                <w:rFonts w:eastAsia="SimSun"/>
              </w:rPr>
            </w:pPr>
            <w:r w:rsidRPr="00470E23">
              <w:rPr>
                <w:rFonts w:eastAsia="SimSun"/>
              </w:rPr>
              <w:t>5.2.1.3</w:t>
            </w:r>
          </w:p>
        </w:tc>
        <w:tc>
          <w:tcPr>
            <w:tcW w:w="749" w:type="pct"/>
            <w:shd w:val="clear" w:color="auto" w:fill="auto"/>
            <w:vAlign w:val="center"/>
          </w:tcPr>
          <w:p w14:paraId="6CC9B188" w14:textId="77777777" w:rsidR="0089207C" w:rsidRPr="00470E23" w:rsidRDefault="0089207C" w:rsidP="002D3EBF">
            <w:pPr>
              <w:rPr>
                <w:rFonts w:eastAsia="SimSun"/>
              </w:rPr>
            </w:pPr>
            <w:r w:rsidRPr="00470E23">
              <w:rPr>
                <w:rFonts w:eastAsia="SimSun"/>
              </w:rPr>
              <w:t>5.2.1.7</w:t>
            </w:r>
          </w:p>
        </w:tc>
        <w:tc>
          <w:tcPr>
            <w:tcW w:w="568" w:type="pct"/>
            <w:shd w:val="clear" w:color="auto" w:fill="auto"/>
            <w:vAlign w:val="center"/>
          </w:tcPr>
          <w:p w14:paraId="10ACA9D1" w14:textId="77777777" w:rsidR="0089207C" w:rsidRPr="00470E23" w:rsidRDefault="0089207C" w:rsidP="002D3EBF">
            <w:pPr>
              <w:rPr>
                <w:rFonts w:eastAsia="SimSun"/>
              </w:rPr>
            </w:pPr>
            <w:r w:rsidRPr="00470E23">
              <w:rPr>
                <w:rFonts w:eastAsia="SimSun"/>
              </w:rPr>
              <w:t>-</w:t>
            </w:r>
          </w:p>
        </w:tc>
      </w:tr>
      <w:tr w:rsidR="0089207C" w:rsidRPr="00470E23" w14:paraId="723560E5" w14:textId="77777777" w:rsidTr="002D3EBF">
        <w:trPr>
          <w:cantSplit/>
          <w:trHeight w:val="850"/>
        </w:trPr>
        <w:tc>
          <w:tcPr>
            <w:tcW w:w="549" w:type="pct"/>
            <w:vMerge/>
            <w:shd w:val="clear" w:color="auto" w:fill="D9D9D9"/>
            <w:vAlign w:val="center"/>
          </w:tcPr>
          <w:p w14:paraId="2B1F383A" w14:textId="77777777" w:rsidR="0089207C" w:rsidRPr="00470E23" w:rsidRDefault="0089207C" w:rsidP="002D3EBF">
            <w:pPr>
              <w:rPr>
                <w:rFonts w:eastAsia="SimSun"/>
              </w:rPr>
            </w:pPr>
          </w:p>
        </w:tc>
        <w:tc>
          <w:tcPr>
            <w:tcW w:w="477" w:type="pct"/>
            <w:tcBorders>
              <w:bottom w:val="single" w:sz="4" w:space="0" w:color="00000A"/>
            </w:tcBorders>
            <w:shd w:val="clear" w:color="auto" w:fill="D9D9D9"/>
            <w:vAlign w:val="center"/>
          </w:tcPr>
          <w:p w14:paraId="67BCE18F" w14:textId="77777777" w:rsidR="0089207C" w:rsidRPr="00470E23" w:rsidRDefault="0089207C" w:rsidP="002D3EBF">
            <w:pPr>
              <w:rPr>
                <w:rFonts w:eastAsia="SimSun"/>
              </w:rPr>
            </w:pPr>
            <w:r w:rsidRPr="00470E23">
              <w:rPr>
                <w:rFonts w:eastAsia="SimSun"/>
              </w:rPr>
              <w:t>CSA</w:t>
            </w:r>
          </w:p>
          <w:p w14:paraId="542618A5" w14:textId="77777777" w:rsidR="0089207C" w:rsidRPr="00470E23" w:rsidRDefault="0089207C" w:rsidP="002D3EBF">
            <w:pPr>
              <w:rPr>
                <w:rFonts w:eastAsia="SimSun"/>
              </w:rPr>
            </w:pPr>
          </w:p>
        </w:tc>
        <w:tc>
          <w:tcPr>
            <w:tcW w:w="514" w:type="pct"/>
            <w:shd w:val="clear" w:color="auto" w:fill="D9D9D9"/>
            <w:vAlign w:val="center"/>
          </w:tcPr>
          <w:p w14:paraId="548C48C8" w14:textId="77777777" w:rsidR="0089207C" w:rsidRPr="00470E23" w:rsidRDefault="0089207C" w:rsidP="002D3EBF">
            <w:pPr>
              <w:rPr>
                <w:rFonts w:eastAsia="SimSun"/>
              </w:rPr>
            </w:pPr>
            <w:r w:rsidRPr="00470E23">
              <w:rPr>
                <w:rFonts w:eastAsia="SimSun"/>
              </w:rPr>
              <w:t>-</w:t>
            </w:r>
          </w:p>
        </w:tc>
        <w:tc>
          <w:tcPr>
            <w:tcW w:w="715" w:type="pct"/>
            <w:shd w:val="clear" w:color="auto" w:fill="D9D9D9"/>
            <w:vAlign w:val="center"/>
          </w:tcPr>
          <w:p w14:paraId="24D10E81" w14:textId="77777777" w:rsidR="0089207C" w:rsidRPr="00470E23" w:rsidRDefault="0089207C" w:rsidP="002D3EBF">
            <w:pPr>
              <w:rPr>
                <w:rFonts w:eastAsia="SimSun"/>
              </w:rPr>
            </w:pPr>
            <w:r w:rsidRPr="00470E23">
              <w:rPr>
                <w:rFonts w:eastAsia="SimSun"/>
              </w:rPr>
              <w:t>MMF30</w:t>
            </w:r>
          </w:p>
        </w:tc>
        <w:tc>
          <w:tcPr>
            <w:tcW w:w="750" w:type="pct"/>
            <w:shd w:val="clear" w:color="auto" w:fill="auto"/>
            <w:vAlign w:val="center"/>
          </w:tcPr>
          <w:p w14:paraId="03262948" w14:textId="77777777" w:rsidR="0089207C" w:rsidRPr="00470E23" w:rsidRDefault="0089207C" w:rsidP="002D3EBF">
            <w:pPr>
              <w:rPr>
                <w:rFonts w:eastAsia="SimSun"/>
              </w:rPr>
            </w:pPr>
            <w:r w:rsidRPr="00470E23">
              <w:rPr>
                <w:rFonts w:eastAsia="SimSun"/>
              </w:rPr>
              <w:t>-</w:t>
            </w:r>
          </w:p>
        </w:tc>
        <w:tc>
          <w:tcPr>
            <w:tcW w:w="678" w:type="pct"/>
            <w:shd w:val="clear" w:color="auto" w:fill="auto"/>
            <w:vAlign w:val="center"/>
          </w:tcPr>
          <w:p w14:paraId="6A0A6E65" w14:textId="77777777" w:rsidR="0089207C" w:rsidRPr="00470E23" w:rsidRDefault="0089207C" w:rsidP="002D3EBF">
            <w:pPr>
              <w:rPr>
                <w:rFonts w:eastAsia="SimSun"/>
              </w:rPr>
            </w:pPr>
            <w:r w:rsidRPr="00470E23">
              <w:rPr>
                <w:rFonts w:eastAsia="SimSun"/>
              </w:rPr>
              <w:t>5.2.1.5</w:t>
            </w:r>
          </w:p>
        </w:tc>
        <w:tc>
          <w:tcPr>
            <w:tcW w:w="749" w:type="pct"/>
            <w:shd w:val="clear" w:color="auto" w:fill="auto"/>
            <w:vAlign w:val="center"/>
          </w:tcPr>
          <w:p w14:paraId="2D39FE39" w14:textId="77777777" w:rsidR="0089207C" w:rsidRPr="00470E23" w:rsidRDefault="0089207C" w:rsidP="002D3EBF">
            <w:pPr>
              <w:rPr>
                <w:rFonts w:eastAsia="SimSun"/>
              </w:rPr>
            </w:pPr>
            <w:r w:rsidRPr="00470E23">
              <w:rPr>
                <w:rFonts w:eastAsia="SimSun"/>
              </w:rPr>
              <w:t>5.2.1.9</w:t>
            </w:r>
          </w:p>
        </w:tc>
        <w:tc>
          <w:tcPr>
            <w:tcW w:w="568" w:type="pct"/>
            <w:shd w:val="clear" w:color="auto" w:fill="auto"/>
            <w:vAlign w:val="center"/>
          </w:tcPr>
          <w:p w14:paraId="24DA9FE9" w14:textId="77777777" w:rsidR="0089207C" w:rsidRPr="00470E23" w:rsidRDefault="0089207C" w:rsidP="002D3EBF">
            <w:pPr>
              <w:rPr>
                <w:rFonts w:eastAsia="SimSun"/>
              </w:rPr>
            </w:pPr>
            <w:r w:rsidRPr="00470E23">
              <w:rPr>
                <w:rFonts w:eastAsia="SimSun"/>
              </w:rPr>
              <w:t>-</w:t>
            </w:r>
          </w:p>
        </w:tc>
      </w:tr>
      <w:tr w:rsidR="0089207C" w:rsidRPr="00470E23" w14:paraId="6DF0300C" w14:textId="77777777" w:rsidTr="002D3EBF">
        <w:trPr>
          <w:cantSplit/>
          <w:trHeight w:val="850"/>
        </w:trPr>
        <w:tc>
          <w:tcPr>
            <w:tcW w:w="549" w:type="pct"/>
            <w:vMerge/>
            <w:tcBorders>
              <w:bottom w:val="single" w:sz="4" w:space="0" w:color="00000A"/>
            </w:tcBorders>
            <w:shd w:val="clear" w:color="auto" w:fill="D9D9D9"/>
            <w:vAlign w:val="center"/>
          </w:tcPr>
          <w:p w14:paraId="04D31453" w14:textId="77777777" w:rsidR="0089207C" w:rsidRPr="00470E23" w:rsidRDefault="0089207C" w:rsidP="002D3EBF">
            <w:pPr>
              <w:rPr>
                <w:rFonts w:eastAsia="SimSun"/>
              </w:rPr>
            </w:pPr>
          </w:p>
        </w:tc>
        <w:tc>
          <w:tcPr>
            <w:tcW w:w="477" w:type="pct"/>
            <w:tcBorders>
              <w:bottom w:val="single" w:sz="4" w:space="0" w:color="00000A"/>
            </w:tcBorders>
            <w:shd w:val="clear" w:color="auto" w:fill="D9D9D9"/>
            <w:vAlign w:val="center"/>
          </w:tcPr>
          <w:p w14:paraId="30BF739E" w14:textId="77777777" w:rsidR="0089207C" w:rsidRPr="00470E23" w:rsidRDefault="0089207C" w:rsidP="002D3EBF">
            <w:pPr>
              <w:rPr>
                <w:rFonts w:eastAsia="SimSun"/>
              </w:rPr>
            </w:pPr>
            <w:r w:rsidRPr="00470E23">
              <w:rPr>
                <w:rFonts w:eastAsia="SimSun"/>
              </w:rPr>
              <w:t>Tx</w:t>
            </w:r>
          </w:p>
        </w:tc>
        <w:tc>
          <w:tcPr>
            <w:tcW w:w="514" w:type="pct"/>
            <w:shd w:val="clear" w:color="auto" w:fill="D9D9D9"/>
            <w:vAlign w:val="center"/>
          </w:tcPr>
          <w:p w14:paraId="3BC34878" w14:textId="77777777" w:rsidR="0089207C" w:rsidRPr="00470E23" w:rsidRDefault="0089207C" w:rsidP="002D3EBF">
            <w:pPr>
              <w:rPr>
                <w:rFonts w:eastAsia="SimSun"/>
              </w:rPr>
            </w:pPr>
            <w:r w:rsidRPr="00470E23">
              <w:rPr>
                <w:rFonts w:eastAsia="SimSun"/>
              </w:rPr>
              <w:t>-</w:t>
            </w:r>
          </w:p>
        </w:tc>
        <w:tc>
          <w:tcPr>
            <w:tcW w:w="715" w:type="pct"/>
            <w:shd w:val="clear" w:color="auto" w:fill="D9D9D9"/>
            <w:vAlign w:val="center"/>
          </w:tcPr>
          <w:p w14:paraId="4DBFF5CA" w14:textId="77777777" w:rsidR="0089207C" w:rsidRPr="00470E23" w:rsidRDefault="0089207C" w:rsidP="002D3EBF">
            <w:pPr>
              <w:rPr>
                <w:rFonts w:eastAsia="SimSun"/>
              </w:rPr>
            </w:pPr>
            <w:r w:rsidRPr="00470E23">
              <w:rPr>
                <w:rFonts w:eastAsia="SimSun"/>
              </w:rPr>
              <w:t>MMF30</w:t>
            </w:r>
          </w:p>
        </w:tc>
        <w:tc>
          <w:tcPr>
            <w:tcW w:w="750" w:type="pct"/>
            <w:shd w:val="clear" w:color="auto" w:fill="auto"/>
            <w:vAlign w:val="center"/>
          </w:tcPr>
          <w:p w14:paraId="58452A30" w14:textId="77777777" w:rsidR="0089207C" w:rsidRPr="00470E23" w:rsidRDefault="0089207C" w:rsidP="002D3EBF">
            <w:pPr>
              <w:rPr>
                <w:rFonts w:eastAsia="SimSun"/>
              </w:rPr>
            </w:pPr>
            <w:r w:rsidRPr="00470E23">
              <w:rPr>
                <w:rFonts w:eastAsia="SimSun"/>
              </w:rPr>
              <w:t>-</w:t>
            </w:r>
          </w:p>
        </w:tc>
        <w:tc>
          <w:tcPr>
            <w:tcW w:w="678" w:type="pct"/>
            <w:shd w:val="clear" w:color="auto" w:fill="auto"/>
            <w:vAlign w:val="center"/>
          </w:tcPr>
          <w:p w14:paraId="70704B2D" w14:textId="77777777" w:rsidR="0089207C" w:rsidRPr="00470E23" w:rsidRDefault="0089207C" w:rsidP="002D3EBF">
            <w:pPr>
              <w:rPr>
                <w:rFonts w:eastAsia="SimSun"/>
              </w:rPr>
            </w:pPr>
            <w:r w:rsidRPr="00470E23">
              <w:rPr>
                <w:rFonts w:eastAsia="SimSun"/>
              </w:rPr>
              <w:t>5.2.1.4</w:t>
            </w:r>
          </w:p>
        </w:tc>
        <w:tc>
          <w:tcPr>
            <w:tcW w:w="749" w:type="pct"/>
            <w:shd w:val="clear" w:color="auto" w:fill="auto"/>
            <w:vAlign w:val="center"/>
          </w:tcPr>
          <w:p w14:paraId="1F00F217" w14:textId="77777777" w:rsidR="0089207C" w:rsidRPr="00470E23" w:rsidRDefault="0089207C" w:rsidP="002D3EBF">
            <w:pPr>
              <w:rPr>
                <w:rFonts w:eastAsia="SimSun"/>
              </w:rPr>
            </w:pPr>
            <w:r w:rsidRPr="00470E23">
              <w:rPr>
                <w:rFonts w:eastAsia="SimSun"/>
              </w:rPr>
              <w:t>5.2.1.8</w:t>
            </w:r>
          </w:p>
        </w:tc>
        <w:tc>
          <w:tcPr>
            <w:tcW w:w="568" w:type="pct"/>
            <w:shd w:val="clear" w:color="auto" w:fill="auto"/>
            <w:vAlign w:val="center"/>
          </w:tcPr>
          <w:p w14:paraId="02540FD6" w14:textId="77777777" w:rsidR="0089207C" w:rsidRPr="00470E23" w:rsidRDefault="0089207C" w:rsidP="002D3EBF">
            <w:pPr>
              <w:rPr>
                <w:rFonts w:eastAsia="SimSun"/>
              </w:rPr>
            </w:pPr>
            <w:r w:rsidRPr="00470E23">
              <w:rPr>
                <w:rFonts w:eastAsia="SimSun"/>
              </w:rPr>
              <w:t>5.2.1.11</w:t>
            </w:r>
          </w:p>
        </w:tc>
      </w:tr>
      <w:tr w:rsidR="0089207C" w:rsidRPr="00470E23" w14:paraId="496F1769" w14:textId="77777777" w:rsidTr="002D3EBF">
        <w:trPr>
          <w:cantSplit/>
          <w:trHeight w:val="850"/>
        </w:trPr>
        <w:tc>
          <w:tcPr>
            <w:tcW w:w="549" w:type="pct"/>
            <w:shd w:val="clear" w:color="auto" w:fill="D9D9D9"/>
            <w:vAlign w:val="center"/>
          </w:tcPr>
          <w:p w14:paraId="32703C1E" w14:textId="77777777" w:rsidR="0089207C" w:rsidRPr="00470E23" w:rsidRDefault="0089207C" w:rsidP="002D3EBF">
            <w:pPr>
              <w:rPr>
                <w:rFonts w:eastAsia="SimSun"/>
              </w:rPr>
            </w:pPr>
            <w:r w:rsidRPr="00470E23">
              <w:rPr>
                <w:rFonts w:eastAsia="SimSun"/>
              </w:rPr>
              <w:t>-</w:t>
            </w:r>
          </w:p>
        </w:tc>
        <w:tc>
          <w:tcPr>
            <w:tcW w:w="477" w:type="pct"/>
            <w:shd w:val="clear" w:color="auto" w:fill="D9D9D9"/>
            <w:vAlign w:val="center"/>
          </w:tcPr>
          <w:p w14:paraId="16BF09C4" w14:textId="77777777" w:rsidR="0089207C" w:rsidRPr="00470E23" w:rsidRDefault="0089207C" w:rsidP="002D3EBF">
            <w:pPr>
              <w:rPr>
                <w:rFonts w:eastAsia="SimSun"/>
              </w:rPr>
            </w:pPr>
            <w:r w:rsidRPr="00470E23">
              <w:rPr>
                <w:rFonts w:eastAsia="SimSun"/>
              </w:rPr>
              <w:t>Tx</w:t>
            </w:r>
          </w:p>
        </w:tc>
        <w:tc>
          <w:tcPr>
            <w:tcW w:w="514" w:type="pct"/>
            <w:shd w:val="clear" w:color="auto" w:fill="D9D9D9"/>
            <w:vAlign w:val="center"/>
          </w:tcPr>
          <w:p w14:paraId="39E666E4" w14:textId="77777777" w:rsidR="0089207C" w:rsidRPr="00470E23" w:rsidRDefault="0089207C" w:rsidP="002D3EBF">
            <w:pPr>
              <w:rPr>
                <w:rFonts w:eastAsia="SimSun"/>
              </w:rPr>
            </w:pPr>
            <w:r w:rsidRPr="00470E23">
              <w:rPr>
                <w:rFonts w:eastAsia="SimSun"/>
              </w:rPr>
              <w:t>-</w:t>
            </w:r>
          </w:p>
        </w:tc>
        <w:tc>
          <w:tcPr>
            <w:tcW w:w="715" w:type="pct"/>
            <w:shd w:val="clear" w:color="auto" w:fill="D9D9D9"/>
            <w:vAlign w:val="center"/>
          </w:tcPr>
          <w:p w14:paraId="570605A1" w14:textId="77777777" w:rsidR="0089207C" w:rsidRPr="00470E23" w:rsidRDefault="0089207C" w:rsidP="002D3EBF">
            <w:pPr>
              <w:rPr>
                <w:rFonts w:eastAsia="SimSun"/>
              </w:rPr>
            </w:pPr>
            <w:r w:rsidRPr="00470E23">
              <w:rPr>
                <w:rFonts w:eastAsia="SimSun"/>
              </w:rPr>
              <w:t>MMF30</w:t>
            </w:r>
          </w:p>
        </w:tc>
        <w:tc>
          <w:tcPr>
            <w:tcW w:w="750" w:type="pct"/>
            <w:shd w:val="clear" w:color="auto" w:fill="auto"/>
            <w:vAlign w:val="center"/>
          </w:tcPr>
          <w:p w14:paraId="1D12D24C" w14:textId="77777777" w:rsidR="0089207C" w:rsidRPr="00470E23" w:rsidRDefault="0089207C" w:rsidP="002D3EBF">
            <w:pPr>
              <w:rPr>
                <w:rFonts w:eastAsia="SimSun"/>
              </w:rPr>
            </w:pPr>
            <w:r w:rsidRPr="00470E23">
              <w:rPr>
                <w:rFonts w:eastAsia="SimSun"/>
              </w:rPr>
              <w:t>-</w:t>
            </w:r>
          </w:p>
        </w:tc>
        <w:tc>
          <w:tcPr>
            <w:tcW w:w="678" w:type="pct"/>
            <w:shd w:val="clear" w:color="auto" w:fill="auto"/>
            <w:vAlign w:val="center"/>
          </w:tcPr>
          <w:p w14:paraId="761A7B28" w14:textId="77777777" w:rsidR="0089207C" w:rsidRPr="00470E23" w:rsidRDefault="0089207C" w:rsidP="002D3EBF">
            <w:pPr>
              <w:rPr>
                <w:rFonts w:eastAsia="SimSun"/>
              </w:rPr>
            </w:pPr>
            <w:r w:rsidRPr="00470E23">
              <w:rPr>
                <w:rFonts w:eastAsia="SimSun"/>
              </w:rPr>
              <w:t>5.2.1.6</w:t>
            </w:r>
          </w:p>
        </w:tc>
        <w:tc>
          <w:tcPr>
            <w:tcW w:w="749" w:type="pct"/>
            <w:shd w:val="clear" w:color="auto" w:fill="auto"/>
            <w:vAlign w:val="center"/>
          </w:tcPr>
          <w:p w14:paraId="70F3ADA8" w14:textId="77777777" w:rsidR="0089207C" w:rsidRPr="00470E23" w:rsidRDefault="0089207C" w:rsidP="002D3EBF">
            <w:pPr>
              <w:rPr>
                <w:rFonts w:eastAsia="SimSun"/>
              </w:rPr>
            </w:pPr>
            <w:r w:rsidRPr="00470E23">
              <w:rPr>
                <w:rFonts w:eastAsia="SimSun"/>
              </w:rPr>
              <w:t>5.2.1.10</w:t>
            </w:r>
          </w:p>
        </w:tc>
        <w:tc>
          <w:tcPr>
            <w:tcW w:w="568" w:type="pct"/>
            <w:shd w:val="clear" w:color="auto" w:fill="auto"/>
            <w:vAlign w:val="center"/>
          </w:tcPr>
          <w:p w14:paraId="4F59F73F" w14:textId="77777777" w:rsidR="0089207C" w:rsidRPr="00470E23" w:rsidRDefault="0089207C" w:rsidP="002D3EBF">
            <w:pPr>
              <w:rPr>
                <w:rFonts w:eastAsia="SimSun"/>
              </w:rPr>
            </w:pPr>
            <w:r w:rsidRPr="00470E23">
              <w:rPr>
                <w:rFonts w:eastAsia="SimSun"/>
              </w:rPr>
              <w:t>-</w:t>
            </w:r>
          </w:p>
        </w:tc>
      </w:tr>
    </w:tbl>
    <w:p w14:paraId="45E1E3B9" w14:textId="77777777" w:rsidR="0089207C" w:rsidRPr="00C07B2E" w:rsidRDefault="0089207C" w:rsidP="0089207C">
      <w:pPr>
        <w:rPr>
          <w:rFonts w:eastAsia="SimSun"/>
        </w:rPr>
      </w:pPr>
    </w:p>
    <w:p w14:paraId="05E9FC1D" w14:textId="77777777" w:rsidR="0089207C" w:rsidRPr="00C07B2E" w:rsidRDefault="0089207C" w:rsidP="0089207C">
      <w:pPr>
        <w:rPr>
          <w:rFonts w:eastAsia="SimSun"/>
        </w:rPr>
        <w:sectPr w:rsidR="0089207C" w:rsidRPr="00C07B2E" w:rsidSect="00980822">
          <w:type w:val="continuous"/>
          <w:pgSz w:w="16839" w:h="11907" w:orient="landscape" w:code="9"/>
          <w:pgMar w:top="1134" w:right="850" w:bottom="1134" w:left="1701" w:header="709" w:footer="567" w:gutter="0"/>
          <w:cols w:space="708"/>
          <w:docGrid w:linePitch="360"/>
        </w:sectPr>
      </w:pPr>
    </w:p>
    <w:p w14:paraId="7C799815" w14:textId="77777777" w:rsidR="0089207C" w:rsidRPr="00C07B2E" w:rsidRDefault="0089207C" w:rsidP="0089207C">
      <w:pPr>
        <w:rPr>
          <w:rFonts w:eastAsia="SimSun"/>
        </w:rPr>
      </w:pPr>
    </w:p>
    <w:p w14:paraId="5FCC5CA1" w14:textId="77777777" w:rsidR="0089207C" w:rsidRPr="00C07B2E" w:rsidRDefault="0089207C" w:rsidP="0089207C">
      <w:pPr>
        <w:rPr>
          <w:rFonts w:eastAsia="SimSun"/>
        </w:rPr>
      </w:pPr>
      <w:bookmarkStart w:id="236" w:name="_Toc44401187"/>
      <w:r w:rsidRPr="00042499">
        <w:rPr>
          <w:rFonts w:eastAsia="SimSun"/>
        </w:rPr>
        <w:t>Таблица</w:t>
      </w:r>
      <w:r w:rsidRPr="00C07B2E">
        <w:rPr>
          <w:rFonts w:eastAsia="SimSun"/>
        </w:rPr>
        <w:t xml:space="preserve"> </w:t>
      </w:r>
      <w:r>
        <w:rPr>
          <w:rFonts w:eastAsia="SimSun"/>
        </w:rPr>
        <w:t>5.</w:t>
      </w:r>
      <w:r w:rsidRPr="00C07B2E">
        <w:rPr>
          <w:rFonts w:eastAsia="SimSun"/>
        </w:rPr>
        <w:t>2.1.1  – Bu12+Cy120 / hATG+CSA+MTX+MMF45</w:t>
      </w:r>
      <w:bookmarkEnd w:id="236"/>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89207C" w:rsidRPr="00AC3044" w14:paraId="18428C6A" w14:textId="77777777" w:rsidTr="002D3EBF">
        <w:trPr>
          <w:cantSplit/>
          <w:trHeight w:val="20"/>
          <w:tblHeader/>
        </w:trPr>
        <w:tc>
          <w:tcPr>
            <w:tcW w:w="1135" w:type="dxa"/>
          </w:tcPr>
          <w:p w14:paraId="3E0A8832" w14:textId="77777777" w:rsidR="0089207C" w:rsidRPr="00470D3D" w:rsidRDefault="0089207C" w:rsidP="002D3EBF">
            <w:pPr>
              <w:rPr>
                <w:rFonts w:eastAsia="SimSun"/>
              </w:rPr>
            </w:pPr>
          </w:p>
        </w:tc>
        <w:tc>
          <w:tcPr>
            <w:tcW w:w="1701" w:type="dxa"/>
          </w:tcPr>
          <w:p w14:paraId="3517BBBC" w14:textId="77777777" w:rsidR="0089207C" w:rsidRPr="00AC3044" w:rsidRDefault="0089207C" w:rsidP="002D3EBF">
            <w:pPr>
              <w:rPr>
                <w:rFonts w:eastAsia="SimSun"/>
              </w:rPr>
            </w:pPr>
            <w:r w:rsidRPr="00AC3044">
              <w:rPr>
                <w:rFonts w:eastAsia="SimSun"/>
              </w:rPr>
              <w:t>Препарат</w:t>
            </w:r>
          </w:p>
        </w:tc>
        <w:tc>
          <w:tcPr>
            <w:tcW w:w="1417" w:type="dxa"/>
          </w:tcPr>
          <w:p w14:paraId="6A89DF68" w14:textId="77777777" w:rsidR="0089207C" w:rsidRPr="00AC3044" w:rsidRDefault="0089207C" w:rsidP="002D3EBF">
            <w:pPr>
              <w:rPr>
                <w:rFonts w:eastAsia="SimSun"/>
              </w:rPr>
            </w:pPr>
            <w:r w:rsidRPr="00AC3044">
              <w:rPr>
                <w:rFonts w:eastAsia="SimSun"/>
              </w:rPr>
              <w:t>Суточная доза</w:t>
            </w:r>
          </w:p>
        </w:tc>
        <w:tc>
          <w:tcPr>
            <w:tcW w:w="1418" w:type="dxa"/>
          </w:tcPr>
          <w:p w14:paraId="464C76E4" w14:textId="77777777" w:rsidR="0089207C" w:rsidRPr="00AC3044" w:rsidRDefault="0089207C" w:rsidP="002D3EBF">
            <w:pPr>
              <w:rPr>
                <w:rFonts w:eastAsia="SimSun"/>
              </w:rPr>
            </w:pPr>
            <w:r w:rsidRPr="00AC3044">
              <w:rPr>
                <w:rFonts w:eastAsia="SimSun"/>
              </w:rPr>
              <w:t>Курсовая доза</w:t>
            </w:r>
          </w:p>
        </w:tc>
        <w:tc>
          <w:tcPr>
            <w:tcW w:w="1701" w:type="dxa"/>
          </w:tcPr>
          <w:p w14:paraId="7E79E80F" w14:textId="77777777" w:rsidR="0089207C" w:rsidRPr="00AC3044" w:rsidRDefault="0089207C" w:rsidP="002D3EBF">
            <w:pPr>
              <w:rPr>
                <w:rFonts w:eastAsia="SimSun"/>
              </w:rPr>
            </w:pPr>
            <w:r w:rsidRPr="00AC3044">
              <w:rPr>
                <w:rFonts w:eastAsia="SimSun"/>
              </w:rPr>
              <w:t>Дни введения</w:t>
            </w:r>
          </w:p>
        </w:tc>
        <w:tc>
          <w:tcPr>
            <w:tcW w:w="2268" w:type="dxa"/>
          </w:tcPr>
          <w:p w14:paraId="25C8827C"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4AC1663F" w14:textId="77777777" w:rsidTr="002D3EBF">
        <w:trPr>
          <w:cantSplit/>
          <w:trHeight w:val="650"/>
        </w:trPr>
        <w:tc>
          <w:tcPr>
            <w:tcW w:w="1135" w:type="dxa"/>
            <w:vMerge w:val="restart"/>
            <w:textDirection w:val="btLr"/>
          </w:tcPr>
          <w:p w14:paraId="4C118F48" w14:textId="77777777" w:rsidR="0089207C" w:rsidRPr="00AC3044" w:rsidRDefault="0089207C" w:rsidP="002D3EBF">
            <w:pPr>
              <w:rPr>
                <w:rFonts w:eastAsia="SimSun"/>
              </w:rPr>
            </w:pPr>
            <w:r w:rsidRPr="00AC3044">
              <w:rPr>
                <w:rFonts w:eastAsia="SimSun"/>
              </w:rPr>
              <w:t>Кондиционирование</w:t>
            </w:r>
          </w:p>
        </w:tc>
        <w:tc>
          <w:tcPr>
            <w:tcW w:w="1701" w:type="dxa"/>
          </w:tcPr>
          <w:p w14:paraId="58B28FA7" w14:textId="77777777" w:rsidR="0089207C" w:rsidRPr="00AC3044" w:rsidRDefault="0089207C" w:rsidP="002D3EBF">
            <w:pPr>
              <w:rPr>
                <w:rFonts w:eastAsia="SimSun"/>
              </w:rPr>
            </w:pPr>
            <w:r w:rsidRPr="00AC3044">
              <w:rPr>
                <w:rFonts w:eastAsia="SimSun"/>
              </w:rPr>
              <w:t>Бусульфан</w:t>
            </w:r>
          </w:p>
        </w:tc>
        <w:tc>
          <w:tcPr>
            <w:tcW w:w="1417" w:type="dxa"/>
          </w:tcPr>
          <w:p w14:paraId="553DD2FB" w14:textId="77777777" w:rsidR="0089207C" w:rsidRPr="00AC3044" w:rsidRDefault="0089207C" w:rsidP="002D3EBF">
            <w:pPr>
              <w:rPr>
                <w:rFonts w:eastAsia="SimSun"/>
              </w:rPr>
            </w:pPr>
            <w:r w:rsidRPr="00AC3044">
              <w:rPr>
                <w:rFonts w:eastAsia="SimSun"/>
              </w:rPr>
              <w:t>4 мг/кг</w:t>
            </w:r>
          </w:p>
        </w:tc>
        <w:tc>
          <w:tcPr>
            <w:tcW w:w="1418" w:type="dxa"/>
          </w:tcPr>
          <w:p w14:paraId="3FD3D4CE" w14:textId="77777777" w:rsidR="0089207C" w:rsidRPr="00AC3044" w:rsidRDefault="0089207C" w:rsidP="002D3EBF">
            <w:pPr>
              <w:rPr>
                <w:rFonts w:eastAsia="SimSun"/>
              </w:rPr>
            </w:pPr>
            <w:r w:rsidRPr="00AC3044">
              <w:rPr>
                <w:rFonts w:eastAsia="SimSun"/>
              </w:rPr>
              <w:t>12 мг/кг</w:t>
            </w:r>
          </w:p>
        </w:tc>
        <w:tc>
          <w:tcPr>
            <w:tcW w:w="1701" w:type="dxa"/>
          </w:tcPr>
          <w:p w14:paraId="3C97B2B6" w14:textId="77777777" w:rsidR="0089207C" w:rsidRPr="00AC3044" w:rsidRDefault="0089207C" w:rsidP="002D3EBF">
            <w:pPr>
              <w:rPr>
                <w:rFonts w:eastAsia="SimSun"/>
              </w:rPr>
            </w:pPr>
            <w:r w:rsidRPr="00AC3044">
              <w:rPr>
                <w:rFonts w:eastAsia="SimSun"/>
              </w:rPr>
              <w:t>С –6 по –4 день</w:t>
            </w:r>
          </w:p>
        </w:tc>
        <w:tc>
          <w:tcPr>
            <w:tcW w:w="2268" w:type="dxa"/>
          </w:tcPr>
          <w:p w14:paraId="22AFBBB9"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w:t>
            </w:r>
          </w:p>
        </w:tc>
      </w:tr>
      <w:tr w:rsidR="0089207C" w:rsidRPr="00AC3044" w14:paraId="47087470" w14:textId="77777777" w:rsidTr="002D3EBF">
        <w:trPr>
          <w:cantSplit/>
          <w:trHeight w:val="418"/>
        </w:trPr>
        <w:tc>
          <w:tcPr>
            <w:tcW w:w="1135" w:type="dxa"/>
            <w:vMerge/>
          </w:tcPr>
          <w:p w14:paraId="787C6802" w14:textId="77777777" w:rsidR="0089207C" w:rsidRPr="00AC3044" w:rsidRDefault="0089207C" w:rsidP="002D3EBF">
            <w:pPr>
              <w:rPr>
                <w:rFonts w:eastAsia="SimSun"/>
              </w:rPr>
            </w:pPr>
          </w:p>
        </w:tc>
        <w:tc>
          <w:tcPr>
            <w:tcW w:w="1701" w:type="dxa"/>
          </w:tcPr>
          <w:p w14:paraId="57AF0EDC" w14:textId="77777777" w:rsidR="0089207C" w:rsidRPr="00AC3044" w:rsidRDefault="0089207C" w:rsidP="002D3EBF">
            <w:pPr>
              <w:rPr>
                <w:rFonts w:eastAsia="SimSun"/>
              </w:rPr>
            </w:pPr>
            <w:r w:rsidRPr="00AC3044">
              <w:rPr>
                <w:rFonts w:eastAsia="SimSun"/>
              </w:rPr>
              <w:t>Циклофосфамид</w:t>
            </w:r>
          </w:p>
        </w:tc>
        <w:tc>
          <w:tcPr>
            <w:tcW w:w="1417" w:type="dxa"/>
          </w:tcPr>
          <w:p w14:paraId="71D9EAC1" w14:textId="77777777" w:rsidR="0089207C" w:rsidRPr="00AC3044" w:rsidRDefault="0089207C" w:rsidP="002D3EBF">
            <w:pPr>
              <w:rPr>
                <w:rFonts w:eastAsia="SimSun"/>
              </w:rPr>
            </w:pPr>
            <w:r w:rsidRPr="00AC3044">
              <w:rPr>
                <w:rFonts w:eastAsia="SimSun"/>
              </w:rPr>
              <w:t>60 мг/кг</w:t>
            </w:r>
          </w:p>
        </w:tc>
        <w:tc>
          <w:tcPr>
            <w:tcW w:w="1418" w:type="dxa"/>
          </w:tcPr>
          <w:p w14:paraId="500FF057" w14:textId="77777777" w:rsidR="0089207C" w:rsidRPr="00AC3044" w:rsidRDefault="0089207C" w:rsidP="002D3EBF">
            <w:pPr>
              <w:rPr>
                <w:rFonts w:eastAsia="SimSun"/>
              </w:rPr>
            </w:pPr>
            <w:r w:rsidRPr="00AC3044">
              <w:rPr>
                <w:rFonts w:eastAsia="SimSun"/>
              </w:rPr>
              <w:t>120 мг/кг</w:t>
            </w:r>
          </w:p>
        </w:tc>
        <w:tc>
          <w:tcPr>
            <w:tcW w:w="1701" w:type="dxa"/>
          </w:tcPr>
          <w:p w14:paraId="0E8407C2" w14:textId="77777777" w:rsidR="0089207C" w:rsidRPr="00AC3044" w:rsidRDefault="0089207C" w:rsidP="002D3EBF">
            <w:pPr>
              <w:rPr>
                <w:rFonts w:eastAsia="SimSun"/>
              </w:rPr>
            </w:pPr>
            <w:r w:rsidRPr="00AC3044">
              <w:rPr>
                <w:rFonts w:eastAsia="SimSun"/>
              </w:rPr>
              <w:t xml:space="preserve">–3, –2 дни </w:t>
            </w:r>
          </w:p>
        </w:tc>
        <w:tc>
          <w:tcPr>
            <w:tcW w:w="2268" w:type="dxa"/>
          </w:tcPr>
          <w:p w14:paraId="7A2A6242" w14:textId="77777777" w:rsidR="0089207C" w:rsidRPr="00AC3044" w:rsidRDefault="0089207C" w:rsidP="002D3EBF">
            <w:pPr>
              <w:rPr>
                <w:rFonts w:eastAsia="SimSun"/>
              </w:rPr>
            </w:pPr>
            <w:r w:rsidRPr="00AC3044">
              <w:rPr>
                <w:rFonts w:eastAsia="SimSun"/>
              </w:rPr>
              <w:t xml:space="preserve">В/в, в течение 2 ч </w:t>
            </w:r>
          </w:p>
        </w:tc>
      </w:tr>
      <w:tr w:rsidR="0089207C" w:rsidRPr="00AC3044" w14:paraId="21FDF989" w14:textId="77777777" w:rsidTr="002D3EBF">
        <w:trPr>
          <w:cantSplit/>
          <w:trHeight w:val="20"/>
        </w:trPr>
        <w:tc>
          <w:tcPr>
            <w:tcW w:w="1135" w:type="dxa"/>
            <w:vMerge w:val="restart"/>
            <w:textDirection w:val="btLr"/>
          </w:tcPr>
          <w:p w14:paraId="2A67CD46" w14:textId="77777777" w:rsidR="0089207C" w:rsidRPr="00AC3044" w:rsidRDefault="0089207C" w:rsidP="002D3EBF">
            <w:pPr>
              <w:rPr>
                <w:rFonts w:eastAsia="SimSun"/>
              </w:rPr>
            </w:pPr>
            <w:r w:rsidRPr="00AC3044">
              <w:rPr>
                <w:rFonts w:eastAsia="SimSun"/>
              </w:rPr>
              <w:t>Профилактика РТПХ</w:t>
            </w:r>
          </w:p>
        </w:tc>
        <w:tc>
          <w:tcPr>
            <w:tcW w:w="1701" w:type="dxa"/>
          </w:tcPr>
          <w:p w14:paraId="6B3AAF13" w14:textId="77777777" w:rsidR="0089207C" w:rsidRPr="00AC3044" w:rsidRDefault="0089207C" w:rsidP="002D3EBF">
            <w:pPr>
              <w:rPr>
                <w:rFonts w:eastAsia="SimSun"/>
              </w:rPr>
            </w:pPr>
            <w:r w:rsidRPr="00AC3044">
              <w:rPr>
                <w:rFonts w:eastAsia="SimSun"/>
              </w:rPr>
              <w:t>АТГ (лошадиный)</w:t>
            </w:r>
          </w:p>
        </w:tc>
        <w:tc>
          <w:tcPr>
            <w:tcW w:w="1417" w:type="dxa"/>
          </w:tcPr>
          <w:p w14:paraId="455B5208" w14:textId="77777777" w:rsidR="0089207C" w:rsidRPr="00AC3044" w:rsidRDefault="0089207C" w:rsidP="002D3EBF">
            <w:pPr>
              <w:rPr>
                <w:rFonts w:eastAsia="SimSun"/>
              </w:rPr>
            </w:pPr>
            <w:r w:rsidRPr="00AC3044">
              <w:rPr>
                <w:rFonts w:eastAsia="SimSun"/>
              </w:rPr>
              <w:t>10-15 мг/кг</w:t>
            </w:r>
          </w:p>
        </w:tc>
        <w:tc>
          <w:tcPr>
            <w:tcW w:w="1418" w:type="dxa"/>
          </w:tcPr>
          <w:p w14:paraId="5B66C68F" w14:textId="77777777" w:rsidR="0089207C" w:rsidRPr="00AC3044" w:rsidRDefault="0089207C" w:rsidP="002D3EBF">
            <w:pPr>
              <w:rPr>
                <w:rFonts w:eastAsia="SimSun"/>
              </w:rPr>
            </w:pPr>
            <w:r w:rsidRPr="00AC3044">
              <w:rPr>
                <w:rFonts w:eastAsia="SimSun"/>
              </w:rPr>
              <w:t>40-60 мг/кг</w:t>
            </w:r>
          </w:p>
        </w:tc>
        <w:tc>
          <w:tcPr>
            <w:tcW w:w="1701" w:type="dxa"/>
          </w:tcPr>
          <w:p w14:paraId="10DC4AFF" w14:textId="77777777" w:rsidR="0089207C" w:rsidRPr="00AC3044" w:rsidRDefault="0089207C" w:rsidP="002D3EBF">
            <w:pPr>
              <w:rPr>
                <w:rFonts w:eastAsia="SimSun"/>
              </w:rPr>
            </w:pPr>
            <w:r w:rsidRPr="00AC3044">
              <w:rPr>
                <w:rFonts w:eastAsia="SimSun"/>
              </w:rPr>
              <w:t>С –4 по –1 день</w:t>
            </w:r>
          </w:p>
        </w:tc>
        <w:tc>
          <w:tcPr>
            <w:tcW w:w="2268" w:type="dxa"/>
          </w:tcPr>
          <w:p w14:paraId="6E35D374" w14:textId="77777777" w:rsidR="0089207C" w:rsidRPr="00AC3044" w:rsidRDefault="0089207C" w:rsidP="002D3EBF">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 xml:space="preserve">«Инфузия АТГ») </w:t>
            </w:r>
          </w:p>
        </w:tc>
      </w:tr>
      <w:tr w:rsidR="0089207C" w:rsidRPr="00AC3044" w14:paraId="6EBD92D9" w14:textId="77777777" w:rsidTr="002D3EBF">
        <w:trPr>
          <w:cantSplit/>
          <w:trHeight w:val="20"/>
        </w:trPr>
        <w:tc>
          <w:tcPr>
            <w:tcW w:w="1135" w:type="dxa"/>
            <w:vMerge/>
            <w:textDirection w:val="btLr"/>
          </w:tcPr>
          <w:p w14:paraId="275AC1EE" w14:textId="77777777" w:rsidR="0089207C" w:rsidRPr="00AC3044" w:rsidRDefault="0089207C" w:rsidP="002D3EBF">
            <w:pPr>
              <w:rPr>
                <w:rFonts w:eastAsia="SimSun"/>
              </w:rPr>
            </w:pPr>
          </w:p>
        </w:tc>
        <w:tc>
          <w:tcPr>
            <w:tcW w:w="1701" w:type="dxa"/>
          </w:tcPr>
          <w:p w14:paraId="5FCE9409" w14:textId="77777777" w:rsidR="0089207C" w:rsidRPr="00AC3044" w:rsidRDefault="0089207C" w:rsidP="002D3EBF">
            <w:pPr>
              <w:rPr>
                <w:rFonts w:eastAsia="SimSun"/>
              </w:rPr>
            </w:pPr>
            <w:r w:rsidRPr="00AC3044">
              <w:rPr>
                <w:rFonts w:eastAsia="SimSun"/>
              </w:rPr>
              <w:t>Циклоспорин</w:t>
            </w:r>
          </w:p>
        </w:tc>
        <w:tc>
          <w:tcPr>
            <w:tcW w:w="1417" w:type="dxa"/>
          </w:tcPr>
          <w:p w14:paraId="13120F8A" w14:textId="77777777" w:rsidR="0089207C" w:rsidRPr="00AC3044" w:rsidRDefault="0089207C" w:rsidP="002D3EBF">
            <w:pPr>
              <w:rPr>
                <w:rFonts w:eastAsia="SimSun"/>
              </w:rPr>
            </w:pPr>
            <w:r w:rsidRPr="00AC3044">
              <w:rPr>
                <w:rFonts w:eastAsia="SimSun"/>
              </w:rPr>
              <w:t>3 мг/кг</w:t>
            </w:r>
          </w:p>
        </w:tc>
        <w:tc>
          <w:tcPr>
            <w:tcW w:w="1418" w:type="dxa"/>
          </w:tcPr>
          <w:p w14:paraId="36EAD4AF" w14:textId="77777777" w:rsidR="0089207C" w:rsidRPr="00AC3044" w:rsidRDefault="0089207C" w:rsidP="002D3EBF">
            <w:pPr>
              <w:rPr>
                <w:rFonts w:eastAsia="SimSun"/>
              </w:rPr>
            </w:pPr>
            <w:r w:rsidRPr="00AC3044">
              <w:rPr>
                <w:rFonts w:eastAsia="SimSun"/>
              </w:rPr>
              <w:t>–</w:t>
            </w:r>
          </w:p>
        </w:tc>
        <w:tc>
          <w:tcPr>
            <w:tcW w:w="1701" w:type="dxa"/>
          </w:tcPr>
          <w:p w14:paraId="69EE1636" w14:textId="77777777" w:rsidR="0089207C" w:rsidRPr="00AC3044" w:rsidRDefault="0089207C" w:rsidP="002D3EBF">
            <w:pPr>
              <w:rPr>
                <w:rFonts w:eastAsia="SimSun"/>
              </w:rPr>
            </w:pPr>
            <w:r w:rsidRPr="00AC3044">
              <w:rPr>
                <w:rFonts w:eastAsia="SimSun"/>
              </w:rPr>
              <w:t>С –1 по +90 день, затем постепенное снижение к +180 дню</w:t>
            </w:r>
          </w:p>
        </w:tc>
        <w:tc>
          <w:tcPr>
            <w:tcW w:w="2268" w:type="dxa"/>
          </w:tcPr>
          <w:p w14:paraId="6DD7113F" w14:textId="77777777" w:rsidR="0089207C" w:rsidRPr="00AC3044" w:rsidRDefault="0089207C" w:rsidP="002D3EBF">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 xml:space="preserve">х </w:t>
            </w:r>
            <w:r w:rsidRPr="00AC3044">
              <w:rPr>
                <w:rFonts w:eastAsia="SimSun"/>
              </w:rPr>
              <w:t>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9207C" w:rsidRPr="00AC3044" w14:paraId="7CB3C667" w14:textId="77777777" w:rsidTr="002D3EBF">
        <w:trPr>
          <w:cantSplit/>
          <w:trHeight w:val="20"/>
        </w:trPr>
        <w:tc>
          <w:tcPr>
            <w:tcW w:w="1135" w:type="dxa"/>
            <w:vMerge/>
          </w:tcPr>
          <w:p w14:paraId="79B77D7F" w14:textId="77777777" w:rsidR="0089207C" w:rsidRPr="00AC3044" w:rsidRDefault="0089207C" w:rsidP="002D3EBF">
            <w:pPr>
              <w:rPr>
                <w:rFonts w:eastAsia="SimSun"/>
              </w:rPr>
            </w:pPr>
          </w:p>
        </w:tc>
        <w:tc>
          <w:tcPr>
            <w:tcW w:w="1701" w:type="dxa"/>
            <w:vMerge w:val="restart"/>
          </w:tcPr>
          <w:p w14:paraId="0F567C48" w14:textId="77777777" w:rsidR="0089207C" w:rsidRPr="00AC3044" w:rsidRDefault="0089207C" w:rsidP="002D3EBF">
            <w:pPr>
              <w:rPr>
                <w:rFonts w:eastAsia="SimSun"/>
              </w:rPr>
            </w:pPr>
            <w:r w:rsidRPr="00AC3044">
              <w:rPr>
                <w:rFonts w:eastAsia="SimSun"/>
              </w:rPr>
              <w:t>Метотрексат</w:t>
            </w:r>
          </w:p>
        </w:tc>
        <w:tc>
          <w:tcPr>
            <w:tcW w:w="1417" w:type="dxa"/>
          </w:tcPr>
          <w:p w14:paraId="03EA957A" w14:textId="77777777" w:rsidR="0089207C" w:rsidRPr="00AC3044" w:rsidRDefault="0089207C" w:rsidP="002D3EBF">
            <w:pPr>
              <w:rPr>
                <w:rFonts w:eastAsia="SimSun"/>
              </w:rPr>
            </w:pPr>
            <w:r w:rsidRPr="00AC3044">
              <w:rPr>
                <w:rFonts w:eastAsia="SimSun"/>
              </w:rPr>
              <w:t>15 мг/м</w:t>
            </w:r>
            <w:r w:rsidRPr="001E6DBE">
              <w:rPr>
                <w:rFonts w:eastAsia="SimSun"/>
                <w:vertAlign w:val="superscript"/>
              </w:rPr>
              <w:t>2</w:t>
            </w:r>
          </w:p>
        </w:tc>
        <w:tc>
          <w:tcPr>
            <w:tcW w:w="1418" w:type="dxa"/>
          </w:tcPr>
          <w:p w14:paraId="59750917" w14:textId="77777777" w:rsidR="0089207C" w:rsidRPr="00AC3044" w:rsidRDefault="0089207C" w:rsidP="002D3EBF">
            <w:pPr>
              <w:rPr>
                <w:rFonts w:eastAsia="SimSun"/>
              </w:rPr>
            </w:pPr>
            <w:r w:rsidRPr="00AC3044">
              <w:rPr>
                <w:rFonts w:eastAsia="SimSun"/>
              </w:rPr>
              <w:t>–</w:t>
            </w:r>
          </w:p>
        </w:tc>
        <w:tc>
          <w:tcPr>
            <w:tcW w:w="1701" w:type="dxa"/>
          </w:tcPr>
          <w:p w14:paraId="79EA91CA" w14:textId="77777777" w:rsidR="0089207C" w:rsidRPr="00AC3044" w:rsidRDefault="0089207C" w:rsidP="002D3EBF">
            <w:pPr>
              <w:rPr>
                <w:rFonts w:eastAsia="SimSun"/>
              </w:rPr>
            </w:pPr>
            <w:r w:rsidRPr="00AC3044">
              <w:rPr>
                <w:rFonts w:eastAsia="SimSun"/>
              </w:rPr>
              <w:t>+1 день</w:t>
            </w:r>
          </w:p>
        </w:tc>
        <w:tc>
          <w:tcPr>
            <w:tcW w:w="2268" w:type="dxa"/>
          </w:tcPr>
          <w:p w14:paraId="36E7FBCD" w14:textId="77777777" w:rsidR="0089207C" w:rsidRPr="00AC3044" w:rsidRDefault="0089207C" w:rsidP="002D3EBF">
            <w:pPr>
              <w:rPr>
                <w:rFonts w:eastAsia="SimSun"/>
              </w:rPr>
            </w:pPr>
            <w:r w:rsidRPr="00AC3044">
              <w:rPr>
                <w:rFonts w:eastAsia="SimSun"/>
              </w:rPr>
              <w:t xml:space="preserve">В/в, в 20 мл физ. р-ра  </w:t>
            </w:r>
          </w:p>
        </w:tc>
      </w:tr>
      <w:tr w:rsidR="0089207C" w:rsidRPr="00AC3044" w14:paraId="064D2D8E" w14:textId="77777777" w:rsidTr="002D3EBF">
        <w:trPr>
          <w:cantSplit/>
          <w:trHeight w:val="464"/>
        </w:trPr>
        <w:tc>
          <w:tcPr>
            <w:tcW w:w="1135" w:type="dxa"/>
            <w:vMerge/>
          </w:tcPr>
          <w:p w14:paraId="17CF62F1" w14:textId="77777777" w:rsidR="0089207C" w:rsidRPr="00AC3044" w:rsidRDefault="0089207C" w:rsidP="002D3EBF">
            <w:pPr>
              <w:rPr>
                <w:rFonts w:eastAsia="SimSun"/>
              </w:rPr>
            </w:pPr>
          </w:p>
        </w:tc>
        <w:tc>
          <w:tcPr>
            <w:tcW w:w="1701" w:type="dxa"/>
            <w:vMerge/>
          </w:tcPr>
          <w:p w14:paraId="0A138568" w14:textId="77777777" w:rsidR="0089207C" w:rsidRPr="00AC3044" w:rsidRDefault="0089207C" w:rsidP="002D3EBF">
            <w:pPr>
              <w:rPr>
                <w:rFonts w:eastAsia="SimSun"/>
              </w:rPr>
            </w:pPr>
          </w:p>
        </w:tc>
        <w:tc>
          <w:tcPr>
            <w:tcW w:w="1417" w:type="dxa"/>
          </w:tcPr>
          <w:p w14:paraId="29F18FB2" w14:textId="77777777" w:rsidR="0089207C" w:rsidRPr="00AC3044" w:rsidRDefault="0089207C" w:rsidP="002D3EBF">
            <w:pPr>
              <w:rPr>
                <w:rFonts w:eastAsia="SimSun"/>
              </w:rPr>
            </w:pPr>
            <w:r w:rsidRPr="00AC3044">
              <w:rPr>
                <w:rFonts w:eastAsia="SimSun"/>
              </w:rPr>
              <w:t>10 мг/м</w:t>
            </w:r>
            <w:r w:rsidRPr="001E6DBE">
              <w:rPr>
                <w:rFonts w:eastAsia="SimSun"/>
                <w:vertAlign w:val="superscript"/>
              </w:rPr>
              <w:t>2</w:t>
            </w:r>
          </w:p>
        </w:tc>
        <w:tc>
          <w:tcPr>
            <w:tcW w:w="1418" w:type="dxa"/>
          </w:tcPr>
          <w:p w14:paraId="332259E2" w14:textId="77777777" w:rsidR="0089207C" w:rsidRPr="00AC3044" w:rsidRDefault="0089207C" w:rsidP="002D3EBF">
            <w:pPr>
              <w:rPr>
                <w:rFonts w:eastAsia="SimSun"/>
              </w:rPr>
            </w:pPr>
            <w:r w:rsidRPr="00AC3044">
              <w:rPr>
                <w:rFonts w:eastAsia="SimSun"/>
              </w:rPr>
              <w:t>–</w:t>
            </w:r>
          </w:p>
        </w:tc>
        <w:tc>
          <w:tcPr>
            <w:tcW w:w="1701" w:type="dxa"/>
          </w:tcPr>
          <w:p w14:paraId="47DF121C" w14:textId="77777777" w:rsidR="0089207C" w:rsidRPr="00AC3044" w:rsidRDefault="0089207C" w:rsidP="002D3EBF">
            <w:pPr>
              <w:rPr>
                <w:rFonts w:eastAsia="SimSun"/>
              </w:rPr>
            </w:pPr>
            <w:r w:rsidRPr="00AC3044">
              <w:rPr>
                <w:rFonts w:eastAsia="SimSun"/>
              </w:rPr>
              <w:t>+3, +6, +11 дни</w:t>
            </w:r>
          </w:p>
        </w:tc>
        <w:tc>
          <w:tcPr>
            <w:tcW w:w="2268" w:type="dxa"/>
          </w:tcPr>
          <w:p w14:paraId="53C6A24C" w14:textId="77777777" w:rsidR="0089207C" w:rsidRPr="00AC3044" w:rsidRDefault="0089207C" w:rsidP="002D3EBF">
            <w:pPr>
              <w:rPr>
                <w:rFonts w:eastAsia="SimSun"/>
              </w:rPr>
            </w:pPr>
            <w:r w:rsidRPr="00AC3044">
              <w:rPr>
                <w:rFonts w:eastAsia="SimSun"/>
              </w:rPr>
              <w:t xml:space="preserve">В/в, в 20 мл физ. р-ра  </w:t>
            </w:r>
          </w:p>
        </w:tc>
      </w:tr>
      <w:tr w:rsidR="0089207C" w:rsidRPr="00AC3044" w14:paraId="4C0FDB28" w14:textId="77777777" w:rsidTr="002D3EBF">
        <w:trPr>
          <w:cantSplit/>
          <w:trHeight w:val="464"/>
        </w:trPr>
        <w:tc>
          <w:tcPr>
            <w:tcW w:w="1135" w:type="dxa"/>
            <w:vMerge/>
          </w:tcPr>
          <w:p w14:paraId="59D9624C" w14:textId="77777777" w:rsidR="0089207C" w:rsidRPr="00AC3044" w:rsidRDefault="0089207C" w:rsidP="002D3EBF">
            <w:pPr>
              <w:rPr>
                <w:rFonts w:eastAsia="SimSun"/>
              </w:rPr>
            </w:pPr>
          </w:p>
        </w:tc>
        <w:tc>
          <w:tcPr>
            <w:tcW w:w="1701" w:type="dxa"/>
          </w:tcPr>
          <w:p w14:paraId="039CE2EB" w14:textId="77777777" w:rsidR="0089207C" w:rsidRPr="00AC3044" w:rsidRDefault="0089207C" w:rsidP="002D3EBF">
            <w:pPr>
              <w:rPr>
                <w:rFonts w:eastAsia="SimSun"/>
              </w:rPr>
            </w:pPr>
            <w:r w:rsidRPr="00AC3044">
              <w:rPr>
                <w:rFonts w:eastAsia="SimSun"/>
              </w:rPr>
              <w:t>Микофенолата мофетил</w:t>
            </w:r>
          </w:p>
        </w:tc>
        <w:tc>
          <w:tcPr>
            <w:tcW w:w="1417" w:type="dxa"/>
          </w:tcPr>
          <w:p w14:paraId="34B9F4AA" w14:textId="77777777" w:rsidR="0089207C" w:rsidRPr="00AC3044" w:rsidRDefault="0089207C" w:rsidP="002D3EBF">
            <w:pPr>
              <w:rPr>
                <w:rFonts w:eastAsia="SimSun"/>
              </w:rPr>
            </w:pPr>
            <w:r w:rsidRPr="00AC3044">
              <w:rPr>
                <w:rFonts w:eastAsia="SimSun"/>
              </w:rPr>
              <w:t>45 мг/кг</w:t>
            </w:r>
          </w:p>
        </w:tc>
        <w:tc>
          <w:tcPr>
            <w:tcW w:w="1418" w:type="dxa"/>
          </w:tcPr>
          <w:p w14:paraId="5CEBE670" w14:textId="77777777" w:rsidR="0089207C" w:rsidRPr="00AC3044" w:rsidRDefault="0089207C" w:rsidP="002D3EBF">
            <w:pPr>
              <w:rPr>
                <w:rFonts w:eastAsia="SimSun"/>
              </w:rPr>
            </w:pPr>
            <w:r w:rsidRPr="00AC3044">
              <w:rPr>
                <w:rFonts w:eastAsia="SimSun"/>
              </w:rPr>
              <w:t>–</w:t>
            </w:r>
          </w:p>
        </w:tc>
        <w:tc>
          <w:tcPr>
            <w:tcW w:w="1701" w:type="dxa"/>
          </w:tcPr>
          <w:p w14:paraId="60F437DE" w14:textId="77777777" w:rsidR="0089207C" w:rsidRPr="00AC3044" w:rsidRDefault="0089207C" w:rsidP="002D3EBF">
            <w:pPr>
              <w:rPr>
                <w:rFonts w:eastAsia="SimSun"/>
              </w:rPr>
            </w:pPr>
            <w:r w:rsidRPr="00AC3044">
              <w:rPr>
                <w:rFonts w:eastAsia="SimSun"/>
              </w:rPr>
              <w:t>С +1 по +90 день</w:t>
            </w:r>
          </w:p>
        </w:tc>
        <w:tc>
          <w:tcPr>
            <w:tcW w:w="2268" w:type="dxa"/>
          </w:tcPr>
          <w:p w14:paraId="1410300B" w14:textId="77777777" w:rsidR="0089207C" w:rsidRPr="00AC3044" w:rsidRDefault="0089207C" w:rsidP="002D3EBF">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17575A1C" w14:textId="77777777" w:rsidR="0089207C" w:rsidRDefault="0089207C" w:rsidP="0089207C">
      <w:pPr>
        <w:rPr>
          <w:rFonts w:eastAsia="SimSun"/>
        </w:rPr>
      </w:pPr>
      <w:bookmarkStart w:id="237" w:name="_Toc44401188"/>
    </w:p>
    <w:p w14:paraId="0D28B014" w14:textId="77777777" w:rsidR="0089207C" w:rsidRPr="00391D6D" w:rsidRDefault="0089207C" w:rsidP="0089207C">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2.1.2 – Bu12+Cy120 / rATG+CSA+MTX+MMF45</w:t>
      </w:r>
      <w:bookmarkEnd w:id="237"/>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89207C" w:rsidRPr="00AC3044" w14:paraId="031C10CF" w14:textId="77777777" w:rsidTr="002D3EBF">
        <w:trPr>
          <w:cantSplit/>
          <w:trHeight w:val="20"/>
          <w:tblHeader/>
        </w:trPr>
        <w:tc>
          <w:tcPr>
            <w:tcW w:w="1135" w:type="dxa"/>
          </w:tcPr>
          <w:p w14:paraId="6CF7A2D0" w14:textId="77777777" w:rsidR="0089207C" w:rsidRPr="00470D3D" w:rsidRDefault="0089207C" w:rsidP="002D3EBF">
            <w:pPr>
              <w:rPr>
                <w:rFonts w:eastAsia="SimSun"/>
              </w:rPr>
            </w:pPr>
          </w:p>
        </w:tc>
        <w:tc>
          <w:tcPr>
            <w:tcW w:w="1701" w:type="dxa"/>
            <w:vAlign w:val="center"/>
          </w:tcPr>
          <w:p w14:paraId="732E0490" w14:textId="77777777" w:rsidR="0089207C" w:rsidRPr="00AC3044" w:rsidRDefault="0089207C" w:rsidP="002D3EBF">
            <w:pPr>
              <w:rPr>
                <w:rFonts w:eastAsia="SimSun"/>
              </w:rPr>
            </w:pPr>
            <w:r w:rsidRPr="00AC3044">
              <w:rPr>
                <w:rFonts w:eastAsia="SimSun"/>
              </w:rPr>
              <w:t>Препарат</w:t>
            </w:r>
          </w:p>
        </w:tc>
        <w:tc>
          <w:tcPr>
            <w:tcW w:w="1417" w:type="dxa"/>
            <w:vAlign w:val="center"/>
          </w:tcPr>
          <w:p w14:paraId="47720405" w14:textId="77777777" w:rsidR="0089207C" w:rsidRPr="00AC3044" w:rsidRDefault="0089207C" w:rsidP="002D3EBF">
            <w:pPr>
              <w:rPr>
                <w:rFonts w:eastAsia="SimSun"/>
              </w:rPr>
            </w:pPr>
            <w:r w:rsidRPr="00AC3044">
              <w:rPr>
                <w:rFonts w:eastAsia="SimSun"/>
              </w:rPr>
              <w:t>Суточная доза</w:t>
            </w:r>
          </w:p>
        </w:tc>
        <w:tc>
          <w:tcPr>
            <w:tcW w:w="1418" w:type="dxa"/>
            <w:vAlign w:val="center"/>
          </w:tcPr>
          <w:p w14:paraId="7C110975" w14:textId="77777777" w:rsidR="0089207C" w:rsidRPr="00AC3044" w:rsidRDefault="0089207C" w:rsidP="002D3EBF">
            <w:pPr>
              <w:rPr>
                <w:rFonts w:eastAsia="SimSun"/>
              </w:rPr>
            </w:pPr>
            <w:r w:rsidRPr="00AC3044">
              <w:rPr>
                <w:rFonts w:eastAsia="SimSun"/>
              </w:rPr>
              <w:t>Курсовая доза</w:t>
            </w:r>
          </w:p>
        </w:tc>
        <w:tc>
          <w:tcPr>
            <w:tcW w:w="1701" w:type="dxa"/>
            <w:vAlign w:val="center"/>
          </w:tcPr>
          <w:p w14:paraId="34A4BEF2"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2F3E240E" w14:textId="77777777" w:rsidR="0089207C" w:rsidRDefault="0089207C" w:rsidP="002D3EBF">
            <w:pPr>
              <w:rPr>
                <w:rFonts w:eastAsia="SimSun"/>
              </w:rPr>
            </w:pPr>
            <w:r w:rsidRPr="00AC3044">
              <w:rPr>
                <w:rFonts w:eastAsia="SimSun"/>
              </w:rPr>
              <w:t>Порядок введения</w:t>
            </w:r>
          </w:p>
          <w:p w14:paraId="7DF9F444" w14:textId="77777777" w:rsidR="0089207C" w:rsidRPr="001E6DBE" w:rsidRDefault="0089207C" w:rsidP="002D3EBF">
            <w:pPr>
              <w:rPr>
                <w:rFonts w:eastAsia="SimSun"/>
              </w:rPr>
            </w:pPr>
          </w:p>
          <w:p w14:paraId="791CC3F8" w14:textId="77777777" w:rsidR="0089207C" w:rsidRPr="001E6DBE" w:rsidRDefault="0089207C" w:rsidP="002D3EBF">
            <w:pPr>
              <w:rPr>
                <w:rFonts w:eastAsia="SimSun"/>
              </w:rPr>
            </w:pPr>
          </w:p>
          <w:p w14:paraId="5F96F741" w14:textId="77777777" w:rsidR="0089207C" w:rsidRPr="001E6DBE" w:rsidRDefault="0089207C" w:rsidP="002D3EBF">
            <w:pPr>
              <w:rPr>
                <w:rFonts w:eastAsia="SimSun"/>
              </w:rPr>
            </w:pPr>
          </w:p>
          <w:p w14:paraId="3D9863B0" w14:textId="77777777" w:rsidR="0089207C" w:rsidRDefault="0089207C" w:rsidP="002D3EBF">
            <w:pPr>
              <w:rPr>
                <w:rFonts w:eastAsia="SimSun"/>
              </w:rPr>
            </w:pPr>
          </w:p>
          <w:p w14:paraId="1A352012" w14:textId="77777777" w:rsidR="0089207C" w:rsidRPr="001E6DBE" w:rsidRDefault="0089207C" w:rsidP="002D3EBF">
            <w:pPr>
              <w:rPr>
                <w:rFonts w:eastAsia="SimSun"/>
              </w:rPr>
            </w:pPr>
          </w:p>
        </w:tc>
      </w:tr>
      <w:tr w:rsidR="0089207C" w:rsidRPr="00AC3044" w14:paraId="12CB72F2" w14:textId="77777777" w:rsidTr="002D3EBF">
        <w:trPr>
          <w:cantSplit/>
          <w:trHeight w:val="20"/>
        </w:trPr>
        <w:tc>
          <w:tcPr>
            <w:tcW w:w="1135" w:type="dxa"/>
            <w:vMerge w:val="restart"/>
            <w:textDirection w:val="btLr"/>
            <w:vAlign w:val="center"/>
          </w:tcPr>
          <w:p w14:paraId="66BD8680" w14:textId="77777777" w:rsidR="0089207C" w:rsidRPr="00AC3044" w:rsidRDefault="0089207C" w:rsidP="002D3EBF">
            <w:pPr>
              <w:rPr>
                <w:rFonts w:eastAsia="SimSun"/>
              </w:rPr>
            </w:pPr>
            <w:r w:rsidRPr="00AC3044">
              <w:rPr>
                <w:rFonts w:eastAsia="SimSun"/>
              </w:rPr>
              <w:t>Кондиционирование</w:t>
            </w:r>
          </w:p>
        </w:tc>
        <w:tc>
          <w:tcPr>
            <w:tcW w:w="1701" w:type="dxa"/>
            <w:vAlign w:val="center"/>
          </w:tcPr>
          <w:p w14:paraId="0FDDCA47" w14:textId="77777777" w:rsidR="0089207C" w:rsidRPr="00AC3044" w:rsidRDefault="0089207C" w:rsidP="002D3EBF">
            <w:pPr>
              <w:rPr>
                <w:rFonts w:eastAsia="SimSun"/>
              </w:rPr>
            </w:pPr>
            <w:r w:rsidRPr="00AC3044">
              <w:rPr>
                <w:rFonts w:eastAsia="SimSun"/>
              </w:rPr>
              <w:t>Бусульфан</w:t>
            </w:r>
          </w:p>
        </w:tc>
        <w:tc>
          <w:tcPr>
            <w:tcW w:w="1417" w:type="dxa"/>
            <w:vAlign w:val="center"/>
          </w:tcPr>
          <w:p w14:paraId="4AA5ADE1" w14:textId="77777777" w:rsidR="0089207C" w:rsidRPr="00AC3044" w:rsidRDefault="0089207C" w:rsidP="002D3EBF">
            <w:pPr>
              <w:rPr>
                <w:rFonts w:eastAsia="SimSun"/>
              </w:rPr>
            </w:pPr>
            <w:r w:rsidRPr="00AC3044">
              <w:rPr>
                <w:rFonts w:eastAsia="SimSun"/>
              </w:rPr>
              <w:t>4 мг/кг</w:t>
            </w:r>
          </w:p>
        </w:tc>
        <w:tc>
          <w:tcPr>
            <w:tcW w:w="1418" w:type="dxa"/>
            <w:vAlign w:val="center"/>
          </w:tcPr>
          <w:p w14:paraId="510C7165" w14:textId="77777777" w:rsidR="0089207C" w:rsidRPr="00AC3044" w:rsidRDefault="0089207C" w:rsidP="002D3EBF">
            <w:pPr>
              <w:rPr>
                <w:rFonts w:eastAsia="SimSun"/>
              </w:rPr>
            </w:pPr>
            <w:r w:rsidRPr="00AC3044">
              <w:rPr>
                <w:rFonts w:eastAsia="SimSun"/>
              </w:rPr>
              <w:t>12 мг/кг</w:t>
            </w:r>
          </w:p>
        </w:tc>
        <w:tc>
          <w:tcPr>
            <w:tcW w:w="1701" w:type="dxa"/>
            <w:vAlign w:val="center"/>
          </w:tcPr>
          <w:p w14:paraId="656715AB" w14:textId="77777777" w:rsidR="0089207C" w:rsidRPr="00AC3044" w:rsidRDefault="0089207C" w:rsidP="002D3EBF">
            <w:pPr>
              <w:rPr>
                <w:rFonts w:eastAsia="SimSun"/>
              </w:rPr>
            </w:pPr>
            <w:r w:rsidRPr="00AC3044">
              <w:rPr>
                <w:rFonts w:eastAsia="SimSun"/>
              </w:rPr>
              <w:t>С –6 по –4 день</w:t>
            </w:r>
          </w:p>
        </w:tc>
        <w:tc>
          <w:tcPr>
            <w:tcW w:w="2268" w:type="dxa"/>
            <w:vAlign w:val="center"/>
          </w:tcPr>
          <w:p w14:paraId="3EB72321"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w:t>
            </w:r>
          </w:p>
        </w:tc>
      </w:tr>
      <w:tr w:rsidR="0089207C" w:rsidRPr="00AC3044" w14:paraId="67062C98" w14:textId="77777777" w:rsidTr="002D3EBF">
        <w:trPr>
          <w:cantSplit/>
          <w:trHeight w:val="1038"/>
        </w:trPr>
        <w:tc>
          <w:tcPr>
            <w:tcW w:w="1135" w:type="dxa"/>
            <w:vMerge/>
            <w:vAlign w:val="center"/>
          </w:tcPr>
          <w:p w14:paraId="22056C1B" w14:textId="77777777" w:rsidR="0089207C" w:rsidRPr="00AC3044" w:rsidRDefault="0089207C" w:rsidP="002D3EBF">
            <w:pPr>
              <w:rPr>
                <w:rFonts w:eastAsia="SimSun"/>
              </w:rPr>
            </w:pPr>
          </w:p>
        </w:tc>
        <w:tc>
          <w:tcPr>
            <w:tcW w:w="1701" w:type="dxa"/>
            <w:vAlign w:val="center"/>
          </w:tcPr>
          <w:p w14:paraId="45111882" w14:textId="77777777" w:rsidR="0089207C" w:rsidRPr="00AC3044" w:rsidRDefault="0089207C" w:rsidP="002D3EBF">
            <w:pPr>
              <w:rPr>
                <w:rFonts w:eastAsia="SimSun"/>
              </w:rPr>
            </w:pPr>
            <w:r w:rsidRPr="00AC3044">
              <w:rPr>
                <w:rFonts w:eastAsia="SimSun"/>
              </w:rPr>
              <w:t>Циклофосфамид</w:t>
            </w:r>
          </w:p>
        </w:tc>
        <w:tc>
          <w:tcPr>
            <w:tcW w:w="1417" w:type="dxa"/>
            <w:vAlign w:val="center"/>
          </w:tcPr>
          <w:p w14:paraId="3BE5FEC1" w14:textId="77777777" w:rsidR="0089207C" w:rsidRPr="00AC3044" w:rsidRDefault="0089207C" w:rsidP="002D3EBF">
            <w:pPr>
              <w:rPr>
                <w:rFonts w:eastAsia="SimSun"/>
              </w:rPr>
            </w:pPr>
            <w:r w:rsidRPr="00AC3044">
              <w:rPr>
                <w:rFonts w:eastAsia="SimSun"/>
              </w:rPr>
              <w:t>60 мг/кг</w:t>
            </w:r>
          </w:p>
        </w:tc>
        <w:tc>
          <w:tcPr>
            <w:tcW w:w="1418" w:type="dxa"/>
            <w:vAlign w:val="center"/>
          </w:tcPr>
          <w:p w14:paraId="016B0F8E" w14:textId="77777777" w:rsidR="0089207C" w:rsidRPr="00AC3044" w:rsidRDefault="0089207C" w:rsidP="002D3EBF">
            <w:pPr>
              <w:rPr>
                <w:rFonts w:eastAsia="SimSun"/>
              </w:rPr>
            </w:pPr>
            <w:r w:rsidRPr="00AC3044">
              <w:rPr>
                <w:rFonts w:eastAsia="SimSun"/>
              </w:rPr>
              <w:t>120 мг/кг</w:t>
            </w:r>
          </w:p>
        </w:tc>
        <w:tc>
          <w:tcPr>
            <w:tcW w:w="1701" w:type="dxa"/>
            <w:vAlign w:val="center"/>
          </w:tcPr>
          <w:p w14:paraId="03405B1C" w14:textId="77777777" w:rsidR="0089207C" w:rsidRPr="00AC3044" w:rsidRDefault="0089207C" w:rsidP="002D3EBF">
            <w:pPr>
              <w:rPr>
                <w:rFonts w:eastAsia="SimSun"/>
              </w:rPr>
            </w:pPr>
            <w:r w:rsidRPr="00AC3044">
              <w:rPr>
                <w:rFonts w:eastAsia="SimSun"/>
              </w:rPr>
              <w:t xml:space="preserve">–3, –2 дни </w:t>
            </w:r>
          </w:p>
        </w:tc>
        <w:tc>
          <w:tcPr>
            <w:tcW w:w="2268" w:type="dxa"/>
            <w:vAlign w:val="center"/>
          </w:tcPr>
          <w:p w14:paraId="56F3EE34" w14:textId="77777777" w:rsidR="0089207C" w:rsidRPr="00AC3044" w:rsidRDefault="0089207C" w:rsidP="002D3EBF">
            <w:pPr>
              <w:rPr>
                <w:rFonts w:eastAsia="SimSun"/>
              </w:rPr>
            </w:pPr>
            <w:r w:rsidRPr="00AC3044">
              <w:rPr>
                <w:rFonts w:eastAsia="SimSun"/>
              </w:rPr>
              <w:t xml:space="preserve">В/в, в течение 2 ч </w:t>
            </w:r>
          </w:p>
        </w:tc>
      </w:tr>
      <w:tr w:rsidR="0089207C" w:rsidRPr="00AC3044" w14:paraId="589375EF" w14:textId="77777777" w:rsidTr="002D3EBF">
        <w:trPr>
          <w:cantSplit/>
          <w:trHeight w:val="20"/>
        </w:trPr>
        <w:tc>
          <w:tcPr>
            <w:tcW w:w="1135" w:type="dxa"/>
            <w:vMerge w:val="restart"/>
            <w:textDirection w:val="btLr"/>
            <w:vAlign w:val="center"/>
          </w:tcPr>
          <w:p w14:paraId="72E9C3CB" w14:textId="77777777" w:rsidR="0089207C" w:rsidRPr="00AC3044" w:rsidRDefault="0089207C" w:rsidP="002D3EBF">
            <w:pPr>
              <w:rPr>
                <w:rFonts w:eastAsia="SimSun"/>
              </w:rPr>
            </w:pPr>
            <w:r w:rsidRPr="00AC3044">
              <w:rPr>
                <w:rFonts w:eastAsia="SimSun"/>
              </w:rPr>
              <w:t>Профилактика РТПХ</w:t>
            </w:r>
          </w:p>
        </w:tc>
        <w:tc>
          <w:tcPr>
            <w:tcW w:w="1701" w:type="dxa"/>
            <w:vAlign w:val="center"/>
          </w:tcPr>
          <w:p w14:paraId="0D093743" w14:textId="77777777" w:rsidR="0089207C" w:rsidRPr="00AC3044" w:rsidRDefault="0089207C" w:rsidP="002D3EBF">
            <w:pPr>
              <w:rPr>
                <w:rFonts w:eastAsia="SimSun"/>
              </w:rPr>
            </w:pPr>
            <w:r w:rsidRPr="00AC3044">
              <w:rPr>
                <w:rFonts w:eastAsia="SimSun"/>
              </w:rPr>
              <w:t>АТГ (кроличий)</w:t>
            </w:r>
          </w:p>
        </w:tc>
        <w:tc>
          <w:tcPr>
            <w:tcW w:w="1417" w:type="dxa"/>
            <w:vAlign w:val="center"/>
          </w:tcPr>
          <w:p w14:paraId="3599CA33" w14:textId="77777777" w:rsidR="0089207C" w:rsidRPr="00AC3044" w:rsidRDefault="0089207C" w:rsidP="002D3EBF">
            <w:pPr>
              <w:rPr>
                <w:rFonts w:eastAsia="SimSun"/>
              </w:rPr>
            </w:pPr>
            <w:r w:rsidRPr="00AC3044">
              <w:rPr>
                <w:rFonts w:eastAsia="SimSun"/>
              </w:rPr>
              <w:t>2,5 мг/кг</w:t>
            </w:r>
          </w:p>
        </w:tc>
        <w:tc>
          <w:tcPr>
            <w:tcW w:w="1418" w:type="dxa"/>
            <w:vAlign w:val="center"/>
          </w:tcPr>
          <w:p w14:paraId="67EEDD98" w14:textId="77777777" w:rsidR="0089207C" w:rsidRPr="00AC3044" w:rsidRDefault="0089207C" w:rsidP="002D3EBF">
            <w:pPr>
              <w:rPr>
                <w:rFonts w:eastAsia="SimSun"/>
              </w:rPr>
            </w:pPr>
            <w:r w:rsidRPr="00AC3044">
              <w:rPr>
                <w:rFonts w:eastAsia="SimSun"/>
              </w:rPr>
              <w:t>5-7,5 мг/кг</w:t>
            </w:r>
          </w:p>
        </w:tc>
        <w:tc>
          <w:tcPr>
            <w:tcW w:w="1701" w:type="dxa"/>
            <w:vAlign w:val="center"/>
          </w:tcPr>
          <w:p w14:paraId="51B7EC9B" w14:textId="77777777" w:rsidR="0089207C" w:rsidRPr="00AC3044" w:rsidRDefault="0089207C" w:rsidP="002D3EBF">
            <w:pPr>
              <w:rPr>
                <w:rFonts w:eastAsia="SimSun"/>
              </w:rPr>
            </w:pPr>
            <w:r w:rsidRPr="00AC3044">
              <w:rPr>
                <w:rFonts w:eastAsia="SimSun"/>
              </w:rPr>
              <w:t>С –3 по –2 (-1) день</w:t>
            </w:r>
          </w:p>
        </w:tc>
        <w:tc>
          <w:tcPr>
            <w:tcW w:w="2268" w:type="dxa"/>
            <w:vAlign w:val="center"/>
          </w:tcPr>
          <w:p w14:paraId="17FCCEBA" w14:textId="77777777" w:rsidR="0089207C" w:rsidRPr="00AC3044" w:rsidRDefault="0089207C" w:rsidP="002D3EBF">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 xml:space="preserve">«Инфузия АТГ») </w:t>
            </w:r>
          </w:p>
        </w:tc>
      </w:tr>
      <w:tr w:rsidR="0089207C" w:rsidRPr="00AC3044" w14:paraId="7C006DE7" w14:textId="77777777" w:rsidTr="002D3EBF">
        <w:trPr>
          <w:cantSplit/>
          <w:trHeight w:val="20"/>
        </w:trPr>
        <w:tc>
          <w:tcPr>
            <w:tcW w:w="1135" w:type="dxa"/>
            <w:vMerge/>
            <w:textDirection w:val="btLr"/>
          </w:tcPr>
          <w:p w14:paraId="2C202CCA" w14:textId="77777777" w:rsidR="0089207C" w:rsidRPr="00AC3044" w:rsidRDefault="0089207C" w:rsidP="002D3EBF">
            <w:pPr>
              <w:rPr>
                <w:rFonts w:eastAsia="SimSun"/>
              </w:rPr>
            </w:pPr>
          </w:p>
        </w:tc>
        <w:tc>
          <w:tcPr>
            <w:tcW w:w="1701" w:type="dxa"/>
            <w:vAlign w:val="center"/>
          </w:tcPr>
          <w:p w14:paraId="6963087D" w14:textId="77777777" w:rsidR="0089207C" w:rsidRPr="00AC3044" w:rsidRDefault="0089207C" w:rsidP="002D3EBF">
            <w:pPr>
              <w:rPr>
                <w:rFonts w:eastAsia="SimSun"/>
              </w:rPr>
            </w:pPr>
            <w:r w:rsidRPr="00AC3044">
              <w:rPr>
                <w:rFonts w:eastAsia="SimSun"/>
              </w:rPr>
              <w:t>Циклоспорин</w:t>
            </w:r>
          </w:p>
        </w:tc>
        <w:tc>
          <w:tcPr>
            <w:tcW w:w="1417" w:type="dxa"/>
            <w:vAlign w:val="center"/>
          </w:tcPr>
          <w:p w14:paraId="17498BB7" w14:textId="77777777" w:rsidR="0089207C" w:rsidRPr="00AC3044" w:rsidRDefault="0089207C" w:rsidP="002D3EBF">
            <w:pPr>
              <w:rPr>
                <w:rFonts w:eastAsia="SimSun"/>
              </w:rPr>
            </w:pPr>
            <w:r w:rsidRPr="00AC3044">
              <w:rPr>
                <w:rFonts w:eastAsia="SimSun"/>
              </w:rPr>
              <w:t>3 мг/кг</w:t>
            </w:r>
          </w:p>
        </w:tc>
        <w:tc>
          <w:tcPr>
            <w:tcW w:w="1418" w:type="dxa"/>
            <w:vAlign w:val="center"/>
          </w:tcPr>
          <w:p w14:paraId="7B8198F5" w14:textId="77777777" w:rsidR="0089207C" w:rsidRPr="00AC3044" w:rsidRDefault="0089207C" w:rsidP="002D3EBF">
            <w:pPr>
              <w:rPr>
                <w:rFonts w:eastAsia="SimSun"/>
              </w:rPr>
            </w:pPr>
            <w:r w:rsidRPr="00AC3044">
              <w:rPr>
                <w:rFonts w:eastAsia="SimSun"/>
              </w:rPr>
              <w:t>–</w:t>
            </w:r>
          </w:p>
        </w:tc>
        <w:tc>
          <w:tcPr>
            <w:tcW w:w="1701" w:type="dxa"/>
            <w:vAlign w:val="center"/>
          </w:tcPr>
          <w:p w14:paraId="35D5F906" w14:textId="77777777" w:rsidR="0089207C" w:rsidRPr="00AC3044" w:rsidRDefault="0089207C" w:rsidP="002D3EBF">
            <w:pPr>
              <w:rPr>
                <w:rFonts w:eastAsia="SimSun"/>
              </w:rPr>
            </w:pPr>
            <w:r w:rsidRPr="00AC3044">
              <w:rPr>
                <w:rFonts w:eastAsia="SimSun"/>
              </w:rPr>
              <w:t>С –1 по +90 день, затем постепенное снижение к +180 дню</w:t>
            </w:r>
          </w:p>
        </w:tc>
        <w:tc>
          <w:tcPr>
            <w:tcW w:w="2268" w:type="dxa"/>
            <w:vAlign w:val="center"/>
          </w:tcPr>
          <w:p w14:paraId="6CBF2522" w14:textId="77777777" w:rsidR="0089207C" w:rsidRPr="00AC3044" w:rsidRDefault="0089207C" w:rsidP="002D3EBF">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9207C" w:rsidRPr="00AC3044" w14:paraId="4265CAA5" w14:textId="77777777" w:rsidTr="002D3EBF">
        <w:trPr>
          <w:cantSplit/>
          <w:trHeight w:val="20"/>
        </w:trPr>
        <w:tc>
          <w:tcPr>
            <w:tcW w:w="1135" w:type="dxa"/>
            <w:vMerge/>
          </w:tcPr>
          <w:p w14:paraId="37852E21" w14:textId="77777777" w:rsidR="0089207C" w:rsidRPr="00AC3044" w:rsidRDefault="0089207C" w:rsidP="002D3EBF">
            <w:pPr>
              <w:rPr>
                <w:rFonts w:eastAsia="SimSun"/>
              </w:rPr>
            </w:pPr>
          </w:p>
        </w:tc>
        <w:tc>
          <w:tcPr>
            <w:tcW w:w="1701" w:type="dxa"/>
            <w:vMerge w:val="restart"/>
            <w:vAlign w:val="center"/>
          </w:tcPr>
          <w:p w14:paraId="0B478188" w14:textId="77777777" w:rsidR="0089207C" w:rsidRPr="00AC3044" w:rsidRDefault="0089207C" w:rsidP="002D3EBF">
            <w:pPr>
              <w:rPr>
                <w:rFonts w:eastAsia="SimSun"/>
              </w:rPr>
            </w:pPr>
            <w:r w:rsidRPr="00AC3044">
              <w:rPr>
                <w:rFonts w:eastAsia="SimSun"/>
              </w:rPr>
              <w:t>Метотрексат</w:t>
            </w:r>
          </w:p>
        </w:tc>
        <w:tc>
          <w:tcPr>
            <w:tcW w:w="1417" w:type="dxa"/>
            <w:vAlign w:val="center"/>
          </w:tcPr>
          <w:p w14:paraId="5140F434" w14:textId="77777777" w:rsidR="0089207C" w:rsidRPr="00AC3044" w:rsidRDefault="0089207C" w:rsidP="002D3EBF">
            <w:pPr>
              <w:rPr>
                <w:rFonts w:eastAsia="SimSun"/>
              </w:rPr>
            </w:pPr>
            <w:r w:rsidRPr="00AC3044">
              <w:rPr>
                <w:rFonts w:eastAsia="SimSun"/>
              </w:rPr>
              <w:t>15 мг/м</w:t>
            </w:r>
            <w:r w:rsidRPr="001E6DBE">
              <w:rPr>
                <w:rFonts w:eastAsia="SimSun"/>
                <w:vertAlign w:val="superscript"/>
              </w:rPr>
              <w:t>2</w:t>
            </w:r>
          </w:p>
        </w:tc>
        <w:tc>
          <w:tcPr>
            <w:tcW w:w="1418" w:type="dxa"/>
            <w:vAlign w:val="center"/>
          </w:tcPr>
          <w:p w14:paraId="43E558C4" w14:textId="77777777" w:rsidR="0089207C" w:rsidRPr="00AC3044" w:rsidRDefault="0089207C" w:rsidP="002D3EBF">
            <w:pPr>
              <w:rPr>
                <w:rFonts w:eastAsia="SimSun"/>
              </w:rPr>
            </w:pPr>
            <w:r w:rsidRPr="00AC3044">
              <w:rPr>
                <w:rFonts w:eastAsia="SimSun"/>
              </w:rPr>
              <w:t>–</w:t>
            </w:r>
          </w:p>
        </w:tc>
        <w:tc>
          <w:tcPr>
            <w:tcW w:w="1701" w:type="dxa"/>
            <w:vAlign w:val="center"/>
          </w:tcPr>
          <w:p w14:paraId="508B23EE" w14:textId="77777777" w:rsidR="0089207C" w:rsidRPr="00AC3044" w:rsidRDefault="0089207C" w:rsidP="002D3EBF">
            <w:pPr>
              <w:rPr>
                <w:rFonts w:eastAsia="SimSun"/>
              </w:rPr>
            </w:pPr>
            <w:r w:rsidRPr="00AC3044">
              <w:rPr>
                <w:rFonts w:eastAsia="SimSun"/>
              </w:rPr>
              <w:t>+1 день</w:t>
            </w:r>
          </w:p>
        </w:tc>
        <w:tc>
          <w:tcPr>
            <w:tcW w:w="2268" w:type="dxa"/>
            <w:vAlign w:val="center"/>
          </w:tcPr>
          <w:p w14:paraId="04EE3B4E" w14:textId="77777777" w:rsidR="0089207C" w:rsidRPr="00AC3044" w:rsidRDefault="0089207C" w:rsidP="002D3EBF">
            <w:pPr>
              <w:rPr>
                <w:rFonts w:eastAsia="SimSun"/>
              </w:rPr>
            </w:pPr>
            <w:r w:rsidRPr="00AC3044">
              <w:rPr>
                <w:rFonts w:eastAsia="SimSun"/>
              </w:rPr>
              <w:t xml:space="preserve">В/в, в 20 мл физ. р-ра </w:t>
            </w:r>
          </w:p>
        </w:tc>
      </w:tr>
      <w:tr w:rsidR="0089207C" w:rsidRPr="00AC3044" w14:paraId="7AAC07D9" w14:textId="77777777" w:rsidTr="002D3EBF">
        <w:trPr>
          <w:cantSplit/>
          <w:trHeight w:val="464"/>
        </w:trPr>
        <w:tc>
          <w:tcPr>
            <w:tcW w:w="1135" w:type="dxa"/>
            <w:vMerge/>
          </w:tcPr>
          <w:p w14:paraId="561BF554" w14:textId="77777777" w:rsidR="0089207C" w:rsidRPr="00AC3044" w:rsidRDefault="0089207C" w:rsidP="002D3EBF">
            <w:pPr>
              <w:rPr>
                <w:rFonts w:eastAsia="SimSun"/>
              </w:rPr>
            </w:pPr>
          </w:p>
        </w:tc>
        <w:tc>
          <w:tcPr>
            <w:tcW w:w="1701" w:type="dxa"/>
            <w:vMerge/>
            <w:vAlign w:val="center"/>
          </w:tcPr>
          <w:p w14:paraId="099F8C1C" w14:textId="77777777" w:rsidR="0089207C" w:rsidRPr="00AC3044" w:rsidRDefault="0089207C" w:rsidP="002D3EBF">
            <w:pPr>
              <w:rPr>
                <w:rFonts w:eastAsia="SimSun"/>
              </w:rPr>
            </w:pPr>
          </w:p>
        </w:tc>
        <w:tc>
          <w:tcPr>
            <w:tcW w:w="1417" w:type="dxa"/>
            <w:vAlign w:val="center"/>
          </w:tcPr>
          <w:p w14:paraId="48CEB390" w14:textId="77777777" w:rsidR="0089207C" w:rsidRPr="00AC3044" w:rsidRDefault="0089207C" w:rsidP="002D3EBF">
            <w:pPr>
              <w:rPr>
                <w:rFonts w:eastAsia="SimSun"/>
              </w:rPr>
            </w:pPr>
            <w:r w:rsidRPr="00AC3044">
              <w:rPr>
                <w:rFonts w:eastAsia="SimSun"/>
              </w:rPr>
              <w:t>10 мг/м</w:t>
            </w:r>
            <w:r w:rsidRPr="001E6DBE">
              <w:rPr>
                <w:rFonts w:eastAsia="SimSun"/>
                <w:vertAlign w:val="superscript"/>
              </w:rPr>
              <w:t>2</w:t>
            </w:r>
          </w:p>
        </w:tc>
        <w:tc>
          <w:tcPr>
            <w:tcW w:w="1418" w:type="dxa"/>
            <w:vAlign w:val="center"/>
          </w:tcPr>
          <w:p w14:paraId="3CCB674A" w14:textId="77777777" w:rsidR="0089207C" w:rsidRPr="00AC3044" w:rsidRDefault="0089207C" w:rsidP="002D3EBF">
            <w:pPr>
              <w:rPr>
                <w:rFonts w:eastAsia="SimSun"/>
              </w:rPr>
            </w:pPr>
            <w:r w:rsidRPr="00AC3044">
              <w:rPr>
                <w:rFonts w:eastAsia="SimSun"/>
              </w:rPr>
              <w:t>–</w:t>
            </w:r>
          </w:p>
        </w:tc>
        <w:tc>
          <w:tcPr>
            <w:tcW w:w="1701" w:type="dxa"/>
            <w:vAlign w:val="center"/>
          </w:tcPr>
          <w:p w14:paraId="624662C3" w14:textId="77777777" w:rsidR="0089207C" w:rsidRPr="00AC3044" w:rsidRDefault="0089207C" w:rsidP="002D3EBF">
            <w:pPr>
              <w:rPr>
                <w:rFonts w:eastAsia="SimSun"/>
              </w:rPr>
            </w:pPr>
            <w:r w:rsidRPr="00AC3044">
              <w:rPr>
                <w:rFonts w:eastAsia="SimSun"/>
              </w:rPr>
              <w:t>+3, +6, +11 дни</w:t>
            </w:r>
          </w:p>
        </w:tc>
        <w:tc>
          <w:tcPr>
            <w:tcW w:w="2268" w:type="dxa"/>
            <w:vAlign w:val="center"/>
          </w:tcPr>
          <w:p w14:paraId="4147CDB9" w14:textId="77777777" w:rsidR="0089207C" w:rsidRPr="00AC3044" w:rsidRDefault="0089207C" w:rsidP="002D3EBF">
            <w:pPr>
              <w:rPr>
                <w:rFonts w:eastAsia="SimSun"/>
              </w:rPr>
            </w:pPr>
            <w:r w:rsidRPr="00AC3044">
              <w:rPr>
                <w:rFonts w:eastAsia="SimSun"/>
              </w:rPr>
              <w:t xml:space="preserve">В/в, в 20 мл физ. р-ра </w:t>
            </w:r>
          </w:p>
        </w:tc>
      </w:tr>
      <w:tr w:rsidR="0089207C" w:rsidRPr="00AC3044" w14:paraId="19239083" w14:textId="77777777" w:rsidTr="002D3EBF">
        <w:trPr>
          <w:cantSplit/>
          <w:trHeight w:val="464"/>
        </w:trPr>
        <w:tc>
          <w:tcPr>
            <w:tcW w:w="1135" w:type="dxa"/>
            <w:vMerge/>
          </w:tcPr>
          <w:p w14:paraId="34B60146" w14:textId="77777777" w:rsidR="0089207C" w:rsidRPr="00AC3044" w:rsidRDefault="0089207C" w:rsidP="002D3EBF">
            <w:pPr>
              <w:rPr>
                <w:rFonts w:eastAsia="SimSun"/>
              </w:rPr>
            </w:pPr>
          </w:p>
        </w:tc>
        <w:tc>
          <w:tcPr>
            <w:tcW w:w="1701" w:type="dxa"/>
            <w:vAlign w:val="center"/>
          </w:tcPr>
          <w:p w14:paraId="455BB492" w14:textId="77777777" w:rsidR="0089207C" w:rsidRPr="00AC3044" w:rsidRDefault="0089207C" w:rsidP="002D3EBF">
            <w:pPr>
              <w:rPr>
                <w:rFonts w:eastAsia="SimSun"/>
              </w:rPr>
            </w:pPr>
            <w:r w:rsidRPr="00AC3044">
              <w:rPr>
                <w:rFonts w:eastAsia="SimSun"/>
              </w:rPr>
              <w:t>Микофенолата мофетил</w:t>
            </w:r>
          </w:p>
        </w:tc>
        <w:tc>
          <w:tcPr>
            <w:tcW w:w="1417" w:type="dxa"/>
            <w:vAlign w:val="center"/>
          </w:tcPr>
          <w:p w14:paraId="6A2B0C38" w14:textId="77777777" w:rsidR="0089207C" w:rsidRPr="00AC3044" w:rsidRDefault="0089207C" w:rsidP="002D3EBF">
            <w:pPr>
              <w:rPr>
                <w:rFonts w:eastAsia="SimSun"/>
              </w:rPr>
            </w:pPr>
            <w:r w:rsidRPr="00AC3044">
              <w:rPr>
                <w:rFonts w:eastAsia="SimSun"/>
              </w:rPr>
              <w:t>45 мг/кг</w:t>
            </w:r>
          </w:p>
        </w:tc>
        <w:tc>
          <w:tcPr>
            <w:tcW w:w="1418" w:type="dxa"/>
            <w:vAlign w:val="center"/>
          </w:tcPr>
          <w:p w14:paraId="1080AF9E" w14:textId="77777777" w:rsidR="0089207C" w:rsidRPr="00AC3044" w:rsidRDefault="0089207C" w:rsidP="002D3EBF">
            <w:pPr>
              <w:rPr>
                <w:rFonts w:eastAsia="SimSun"/>
              </w:rPr>
            </w:pPr>
            <w:r w:rsidRPr="00AC3044">
              <w:rPr>
                <w:rFonts w:eastAsia="SimSun"/>
              </w:rPr>
              <w:t>–</w:t>
            </w:r>
          </w:p>
        </w:tc>
        <w:tc>
          <w:tcPr>
            <w:tcW w:w="1701" w:type="dxa"/>
            <w:vAlign w:val="center"/>
          </w:tcPr>
          <w:p w14:paraId="33DDE9C3" w14:textId="77777777" w:rsidR="0089207C" w:rsidRPr="00AC3044" w:rsidRDefault="0089207C" w:rsidP="002D3EBF">
            <w:pPr>
              <w:rPr>
                <w:rFonts w:eastAsia="SimSun"/>
              </w:rPr>
            </w:pPr>
            <w:r w:rsidRPr="00AC3044">
              <w:rPr>
                <w:rFonts w:eastAsia="SimSun"/>
              </w:rPr>
              <w:t>С +1 по +90 день</w:t>
            </w:r>
          </w:p>
        </w:tc>
        <w:tc>
          <w:tcPr>
            <w:tcW w:w="2268" w:type="dxa"/>
            <w:vAlign w:val="center"/>
          </w:tcPr>
          <w:p w14:paraId="635D9B81" w14:textId="77777777" w:rsidR="0089207C" w:rsidRPr="00AC3044" w:rsidRDefault="0089207C" w:rsidP="002D3EBF">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046BB39B" w14:textId="77777777" w:rsidR="0089207C" w:rsidRDefault="0089207C" w:rsidP="0089207C">
      <w:pPr>
        <w:rPr>
          <w:rFonts w:eastAsia="SimSun"/>
        </w:rPr>
      </w:pPr>
      <w:bookmarkStart w:id="238" w:name="_Toc44401189"/>
    </w:p>
    <w:p w14:paraId="32D5F5C2" w14:textId="77777777" w:rsidR="0089207C" w:rsidRPr="00C07B2E" w:rsidRDefault="0089207C" w:rsidP="0089207C">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2.1.3  – Flu180+Bu12 / PT-Cy</w:t>
      </w:r>
      <w:bookmarkEnd w:id="238"/>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2"/>
        <w:gridCol w:w="1710"/>
        <w:gridCol w:w="1424"/>
        <w:gridCol w:w="1427"/>
        <w:gridCol w:w="1694"/>
        <w:gridCol w:w="2274"/>
      </w:tblGrid>
      <w:tr w:rsidR="0089207C" w:rsidRPr="00AC3044" w14:paraId="715310E4" w14:textId="77777777" w:rsidTr="002D3EBF">
        <w:trPr>
          <w:cantSplit/>
          <w:trHeight w:val="20"/>
          <w:tblHeader/>
        </w:trPr>
        <w:tc>
          <w:tcPr>
            <w:tcW w:w="1122" w:type="dxa"/>
            <w:vAlign w:val="center"/>
          </w:tcPr>
          <w:p w14:paraId="5541F302" w14:textId="77777777" w:rsidR="0089207C" w:rsidRPr="00AC3044" w:rsidRDefault="0089207C" w:rsidP="002D3EBF">
            <w:pPr>
              <w:rPr>
                <w:rFonts w:eastAsia="SimSun"/>
              </w:rPr>
            </w:pPr>
          </w:p>
        </w:tc>
        <w:tc>
          <w:tcPr>
            <w:tcW w:w="1710" w:type="dxa"/>
            <w:vAlign w:val="center"/>
          </w:tcPr>
          <w:p w14:paraId="5E148444" w14:textId="77777777" w:rsidR="0089207C" w:rsidRPr="00AC3044" w:rsidRDefault="0089207C" w:rsidP="002D3EBF">
            <w:pPr>
              <w:rPr>
                <w:rFonts w:eastAsia="SimSun"/>
              </w:rPr>
            </w:pPr>
            <w:r w:rsidRPr="00AC3044">
              <w:rPr>
                <w:rFonts w:eastAsia="SimSun"/>
              </w:rPr>
              <w:t>Препарат</w:t>
            </w:r>
          </w:p>
        </w:tc>
        <w:tc>
          <w:tcPr>
            <w:tcW w:w="1424" w:type="dxa"/>
            <w:vAlign w:val="center"/>
          </w:tcPr>
          <w:p w14:paraId="54231E29" w14:textId="77777777" w:rsidR="0089207C" w:rsidRPr="00AC3044" w:rsidRDefault="0089207C" w:rsidP="002D3EBF">
            <w:pPr>
              <w:rPr>
                <w:rFonts w:eastAsia="SimSun"/>
              </w:rPr>
            </w:pPr>
            <w:r w:rsidRPr="00AC3044">
              <w:rPr>
                <w:rFonts w:eastAsia="SimSun"/>
              </w:rPr>
              <w:t>Суточная доза</w:t>
            </w:r>
          </w:p>
        </w:tc>
        <w:tc>
          <w:tcPr>
            <w:tcW w:w="1427" w:type="dxa"/>
            <w:vAlign w:val="center"/>
          </w:tcPr>
          <w:p w14:paraId="6248F597" w14:textId="77777777" w:rsidR="0089207C" w:rsidRPr="00AC3044" w:rsidRDefault="0089207C" w:rsidP="002D3EBF">
            <w:pPr>
              <w:rPr>
                <w:rFonts w:eastAsia="SimSun"/>
              </w:rPr>
            </w:pPr>
            <w:r w:rsidRPr="00AC3044">
              <w:rPr>
                <w:rFonts w:eastAsia="SimSun"/>
              </w:rPr>
              <w:t>Курсовая доза</w:t>
            </w:r>
          </w:p>
        </w:tc>
        <w:tc>
          <w:tcPr>
            <w:tcW w:w="1694" w:type="dxa"/>
            <w:vAlign w:val="center"/>
          </w:tcPr>
          <w:p w14:paraId="240294DF" w14:textId="77777777" w:rsidR="0089207C" w:rsidRPr="00AC3044" w:rsidRDefault="0089207C" w:rsidP="002D3EBF">
            <w:pPr>
              <w:rPr>
                <w:rFonts w:eastAsia="SimSun"/>
              </w:rPr>
            </w:pPr>
            <w:r w:rsidRPr="00AC3044">
              <w:rPr>
                <w:rFonts w:eastAsia="SimSun"/>
              </w:rPr>
              <w:t>Дни введения</w:t>
            </w:r>
          </w:p>
        </w:tc>
        <w:tc>
          <w:tcPr>
            <w:tcW w:w="2274" w:type="dxa"/>
            <w:vAlign w:val="center"/>
          </w:tcPr>
          <w:p w14:paraId="121601E3"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0568CA68" w14:textId="77777777" w:rsidTr="002D3EBF">
        <w:trPr>
          <w:cantSplit/>
          <w:trHeight w:val="20"/>
        </w:trPr>
        <w:tc>
          <w:tcPr>
            <w:tcW w:w="1122" w:type="dxa"/>
            <w:vMerge w:val="restart"/>
            <w:textDirection w:val="btLr"/>
            <w:vAlign w:val="center"/>
          </w:tcPr>
          <w:p w14:paraId="1ABBFA35" w14:textId="77777777" w:rsidR="0089207C" w:rsidRPr="00AC3044" w:rsidRDefault="0089207C" w:rsidP="002D3EBF">
            <w:pPr>
              <w:rPr>
                <w:rFonts w:eastAsia="SimSun"/>
              </w:rPr>
            </w:pPr>
            <w:r w:rsidRPr="00AC3044">
              <w:rPr>
                <w:rFonts w:eastAsia="SimSun"/>
              </w:rPr>
              <w:t>Кондиционирование</w:t>
            </w:r>
          </w:p>
        </w:tc>
        <w:tc>
          <w:tcPr>
            <w:tcW w:w="1710" w:type="dxa"/>
            <w:vAlign w:val="center"/>
          </w:tcPr>
          <w:p w14:paraId="387A9500" w14:textId="77777777" w:rsidR="0089207C" w:rsidRPr="00AC3044" w:rsidRDefault="0089207C" w:rsidP="002D3EBF">
            <w:pPr>
              <w:rPr>
                <w:rFonts w:eastAsia="SimSun"/>
              </w:rPr>
            </w:pPr>
            <w:r w:rsidRPr="00AC3044">
              <w:rPr>
                <w:rFonts w:eastAsia="SimSun"/>
              </w:rPr>
              <w:t xml:space="preserve">Флударабин </w:t>
            </w:r>
          </w:p>
        </w:tc>
        <w:tc>
          <w:tcPr>
            <w:tcW w:w="1424" w:type="dxa"/>
            <w:vAlign w:val="center"/>
          </w:tcPr>
          <w:p w14:paraId="51B3015B" w14:textId="77777777" w:rsidR="0089207C" w:rsidRPr="00AC3044" w:rsidRDefault="0089207C" w:rsidP="002D3EBF">
            <w:pPr>
              <w:rPr>
                <w:rFonts w:eastAsia="SimSun"/>
              </w:rPr>
            </w:pPr>
            <w:r w:rsidRPr="00AC3044">
              <w:rPr>
                <w:rFonts w:eastAsia="SimSun"/>
              </w:rPr>
              <w:t>30 мг/м</w:t>
            </w:r>
            <w:r w:rsidRPr="001E6DBE">
              <w:rPr>
                <w:rFonts w:eastAsia="SimSun"/>
                <w:vertAlign w:val="superscript"/>
              </w:rPr>
              <w:t>2</w:t>
            </w:r>
          </w:p>
        </w:tc>
        <w:tc>
          <w:tcPr>
            <w:tcW w:w="1427" w:type="dxa"/>
            <w:vAlign w:val="center"/>
          </w:tcPr>
          <w:p w14:paraId="5B47F086" w14:textId="77777777" w:rsidR="0089207C" w:rsidRPr="00AC3044" w:rsidRDefault="0089207C" w:rsidP="002D3EBF">
            <w:pPr>
              <w:rPr>
                <w:rFonts w:eastAsia="SimSun"/>
              </w:rPr>
            </w:pPr>
            <w:r w:rsidRPr="00AC3044">
              <w:rPr>
                <w:rFonts w:eastAsia="SimSun"/>
              </w:rPr>
              <w:t>180 мг/м</w:t>
            </w:r>
            <w:r w:rsidRPr="001E6DBE">
              <w:rPr>
                <w:rFonts w:eastAsia="SimSun"/>
                <w:vertAlign w:val="superscript"/>
              </w:rPr>
              <w:t>2</w:t>
            </w:r>
          </w:p>
        </w:tc>
        <w:tc>
          <w:tcPr>
            <w:tcW w:w="1694" w:type="dxa"/>
            <w:vAlign w:val="center"/>
          </w:tcPr>
          <w:p w14:paraId="71E3372B" w14:textId="77777777" w:rsidR="0089207C" w:rsidRPr="00AC3044" w:rsidRDefault="0089207C" w:rsidP="002D3EBF">
            <w:pPr>
              <w:rPr>
                <w:rFonts w:eastAsia="SimSun"/>
              </w:rPr>
            </w:pPr>
            <w:r w:rsidRPr="00AC3044">
              <w:rPr>
                <w:rFonts w:eastAsia="SimSun"/>
              </w:rPr>
              <w:t>С -7 дня по -2 день</w:t>
            </w:r>
          </w:p>
        </w:tc>
        <w:tc>
          <w:tcPr>
            <w:tcW w:w="2274" w:type="dxa"/>
            <w:vAlign w:val="center"/>
          </w:tcPr>
          <w:p w14:paraId="34C85B71"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5523A8F3" w14:textId="77777777" w:rsidTr="002D3EBF">
        <w:trPr>
          <w:cantSplit/>
          <w:trHeight w:val="688"/>
        </w:trPr>
        <w:tc>
          <w:tcPr>
            <w:tcW w:w="1122" w:type="dxa"/>
            <w:vMerge/>
            <w:vAlign w:val="center"/>
          </w:tcPr>
          <w:p w14:paraId="2029AEC8" w14:textId="77777777" w:rsidR="0089207C" w:rsidRPr="00AC3044" w:rsidRDefault="0089207C" w:rsidP="002D3EBF">
            <w:pPr>
              <w:rPr>
                <w:rFonts w:eastAsia="SimSun"/>
              </w:rPr>
            </w:pPr>
          </w:p>
        </w:tc>
        <w:tc>
          <w:tcPr>
            <w:tcW w:w="1710" w:type="dxa"/>
            <w:vAlign w:val="center"/>
          </w:tcPr>
          <w:p w14:paraId="7A22EE91" w14:textId="77777777" w:rsidR="0089207C" w:rsidRPr="00AC3044" w:rsidRDefault="0089207C" w:rsidP="002D3EBF">
            <w:pPr>
              <w:rPr>
                <w:rFonts w:eastAsia="SimSun"/>
              </w:rPr>
            </w:pPr>
            <w:r w:rsidRPr="00AC3044">
              <w:rPr>
                <w:rFonts w:eastAsia="SimSun"/>
              </w:rPr>
              <w:t>Бусульфан</w:t>
            </w:r>
          </w:p>
        </w:tc>
        <w:tc>
          <w:tcPr>
            <w:tcW w:w="1424" w:type="dxa"/>
            <w:vAlign w:val="center"/>
          </w:tcPr>
          <w:p w14:paraId="29272E8F" w14:textId="77777777" w:rsidR="0089207C" w:rsidRPr="00AC3044" w:rsidRDefault="0089207C" w:rsidP="002D3EBF">
            <w:pPr>
              <w:rPr>
                <w:rFonts w:eastAsia="SimSun"/>
              </w:rPr>
            </w:pPr>
            <w:r w:rsidRPr="00AC3044">
              <w:rPr>
                <w:rFonts w:eastAsia="SimSun"/>
              </w:rPr>
              <w:t xml:space="preserve">4 мг/кг </w:t>
            </w:r>
          </w:p>
        </w:tc>
        <w:tc>
          <w:tcPr>
            <w:tcW w:w="1427" w:type="dxa"/>
            <w:vAlign w:val="center"/>
          </w:tcPr>
          <w:p w14:paraId="5F31DD6B" w14:textId="77777777" w:rsidR="0089207C" w:rsidRPr="00AC3044" w:rsidRDefault="0089207C" w:rsidP="002D3EBF">
            <w:pPr>
              <w:rPr>
                <w:rFonts w:eastAsia="SimSun"/>
              </w:rPr>
            </w:pPr>
            <w:r w:rsidRPr="00AC3044">
              <w:rPr>
                <w:rFonts w:eastAsia="SimSun"/>
              </w:rPr>
              <w:t xml:space="preserve">12 мг/кг </w:t>
            </w:r>
          </w:p>
        </w:tc>
        <w:tc>
          <w:tcPr>
            <w:tcW w:w="1694" w:type="dxa"/>
            <w:vAlign w:val="center"/>
          </w:tcPr>
          <w:p w14:paraId="170837ED" w14:textId="77777777" w:rsidR="0089207C" w:rsidRPr="00AC3044" w:rsidRDefault="0089207C" w:rsidP="002D3EBF">
            <w:pPr>
              <w:rPr>
                <w:rFonts w:eastAsia="SimSun"/>
              </w:rPr>
            </w:pPr>
            <w:r w:rsidRPr="00AC3044">
              <w:rPr>
                <w:rFonts w:eastAsia="SimSun"/>
              </w:rPr>
              <w:t>С -5 дня по -3 день</w:t>
            </w:r>
          </w:p>
        </w:tc>
        <w:tc>
          <w:tcPr>
            <w:tcW w:w="2274" w:type="dxa"/>
            <w:vAlign w:val="center"/>
          </w:tcPr>
          <w:p w14:paraId="315641B6"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w:t>
            </w:r>
          </w:p>
        </w:tc>
      </w:tr>
      <w:tr w:rsidR="0089207C" w:rsidRPr="00AC3044" w14:paraId="4B54EE09" w14:textId="77777777" w:rsidTr="002D3EBF">
        <w:trPr>
          <w:cantSplit/>
          <w:trHeight w:val="980"/>
        </w:trPr>
        <w:tc>
          <w:tcPr>
            <w:tcW w:w="1122" w:type="dxa"/>
            <w:textDirection w:val="btLr"/>
            <w:vAlign w:val="center"/>
          </w:tcPr>
          <w:p w14:paraId="54155734" w14:textId="77777777" w:rsidR="0089207C" w:rsidRPr="00AC3044" w:rsidRDefault="0089207C" w:rsidP="002D3EBF">
            <w:pPr>
              <w:rPr>
                <w:rFonts w:eastAsia="SimSun"/>
              </w:rPr>
            </w:pPr>
            <w:r w:rsidRPr="00AC3044">
              <w:rPr>
                <w:rFonts w:eastAsia="SimSun"/>
              </w:rPr>
              <w:t>Профилактика РТПХ</w:t>
            </w:r>
          </w:p>
        </w:tc>
        <w:tc>
          <w:tcPr>
            <w:tcW w:w="1710" w:type="dxa"/>
            <w:vAlign w:val="center"/>
          </w:tcPr>
          <w:p w14:paraId="51BF596E" w14:textId="77777777" w:rsidR="0089207C" w:rsidRPr="00AC3044" w:rsidRDefault="0089207C" w:rsidP="002D3EBF">
            <w:pPr>
              <w:rPr>
                <w:rFonts w:eastAsia="SimSun"/>
              </w:rPr>
            </w:pPr>
            <w:r w:rsidRPr="00AC3044">
              <w:rPr>
                <w:rFonts w:eastAsia="SimSun"/>
              </w:rPr>
              <w:t>Циклофосфамид</w:t>
            </w:r>
          </w:p>
        </w:tc>
        <w:tc>
          <w:tcPr>
            <w:tcW w:w="1424" w:type="dxa"/>
            <w:vAlign w:val="center"/>
          </w:tcPr>
          <w:p w14:paraId="34D6AE3F" w14:textId="77777777" w:rsidR="0089207C" w:rsidRPr="00AC3044" w:rsidRDefault="0089207C" w:rsidP="002D3EBF">
            <w:pPr>
              <w:rPr>
                <w:rFonts w:eastAsia="SimSun"/>
              </w:rPr>
            </w:pPr>
            <w:r w:rsidRPr="00AC3044">
              <w:rPr>
                <w:rFonts w:eastAsia="SimSun"/>
              </w:rPr>
              <w:t>50 мг/кг</w:t>
            </w:r>
          </w:p>
        </w:tc>
        <w:tc>
          <w:tcPr>
            <w:tcW w:w="1427" w:type="dxa"/>
            <w:vAlign w:val="center"/>
          </w:tcPr>
          <w:p w14:paraId="2AE78632" w14:textId="77777777" w:rsidR="0089207C" w:rsidRPr="00AC3044" w:rsidRDefault="0089207C" w:rsidP="002D3EBF">
            <w:pPr>
              <w:rPr>
                <w:rFonts w:eastAsia="SimSun"/>
              </w:rPr>
            </w:pPr>
            <w:r w:rsidRPr="00AC3044">
              <w:rPr>
                <w:rFonts w:eastAsia="SimSun"/>
              </w:rPr>
              <w:t>100 мг/кг</w:t>
            </w:r>
          </w:p>
        </w:tc>
        <w:tc>
          <w:tcPr>
            <w:tcW w:w="1694" w:type="dxa"/>
            <w:vAlign w:val="center"/>
          </w:tcPr>
          <w:p w14:paraId="0F1407CE" w14:textId="77777777" w:rsidR="0089207C" w:rsidRPr="00AC3044" w:rsidRDefault="0089207C" w:rsidP="002D3EBF">
            <w:pPr>
              <w:rPr>
                <w:rFonts w:eastAsia="SimSun"/>
              </w:rPr>
            </w:pPr>
            <w:r w:rsidRPr="00AC3044">
              <w:rPr>
                <w:rFonts w:eastAsia="SimSun"/>
              </w:rPr>
              <w:t>С +3 дня по +4 день</w:t>
            </w:r>
          </w:p>
        </w:tc>
        <w:tc>
          <w:tcPr>
            <w:tcW w:w="2274" w:type="dxa"/>
            <w:vAlign w:val="center"/>
          </w:tcPr>
          <w:p w14:paraId="0E7C22EF" w14:textId="77777777" w:rsidR="0089207C" w:rsidRPr="00AC3044" w:rsidRDefault="0089207C" w:rsidP="002D3EBF">
            <w:pPr>
              <w:rPr>
                <w:rFonts w:eastAsia="SimSun"/>
              </w:rPr>
            </w:pPr>
            <w:r w:rsidRPr="00AC3044">
              <w:rPr>
                <w:rFonts w:eastAsia="SimSun"/>
              </w:rPr>
              <w:t>В/в, в течение 2 ч</w:t>
            </w:r>
          </w:p>
        </w:tc>
      </w:tr>
    </w:tbl>
    <w:p w14:paraId="143CA67D" w14:textId="77777777" w:rsidR="0089207C" w:rsidRPr="00C07B2E" w:rsidRDefault="0089207C" w:rsidP="0089207C">
      <w:pPr>
        <w:rPr>
          <w:rFonts w:eastAsia="SimSun"/>
        </w:rPr>
      </w:pPr>
      <w:r w:rsidRPr="00C07B2E">
        <w:rPr>
          <w:rFonts w:eastAsia="SimSun"/>
        </w:rPr>
        <w:tab/>
      </w:r>
    </w:p>
    <w:p w14:paraId="75CBCD5E" w14:textId="77777777" w:rsidR="0089207C" w:rsidRPr="00C07B2E" w:rsidRDefault="0089207C" w:rsidP="0089207C">
      <w:pPr>
        <w:rPr>
          <w:rFonts w:eastAsia="SimSun"/>
        </w:rPr>
      </w:pPr>
      <w:bookmarkStart w:id="239" w:name="_Toc44401190"/>
      <w:r w:rsidRPr="00042499">
        <w:rPr>
          <w:rFonts w:eastAsia="SimSun"/>
        </w:rPr>
        <w:t>Таблица</w:t>
      </w:r>
      <w:r w:rsidRPr="00C07B2E">
        <w:rPr>
          <w:rFonts w:eastAsia="SimSun"/>
        </w:rPr>
        <w:t xml:space="preserve"> </w:t>
      </w:r>
      <w:r>
        <w:rPr>
          <w:rFonts w:eastAsia="SimSun"/>
        </w:rPr>
        <w:t>5.</w:t>
      </w:r>
      <w:r w:rsidRPr="00C07B2E">
        <w:rPr>
          <w:rFonts w:eastAsia="SimSun"/>
        </w:rPr>
        <w:t>2.1.4  – Flu180+Bu12 / PT-Cy+Tx+MMF30</w:t>
      </w:r>
      <w:bookmarkEnd w:id="239"/>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89207C" w:rsidRPr="00AC3044" w14:paraId="2FFC43D1" w14:textId="77777777" w:rsidTr="002D3EBF">
        <w:trPr>
          <w:cantSplit/>
          <w:trHeight w:val="20"/>
          <w:tblHeader/>
        </w:trPr>
        <w:tc>
          <w:tcPr>
            <w:tcW w:w="1135" w:type="dxa"/>
            <w:vAlign w:val="center"/>
          </w:tcPr>
          <w:p w14:paraId="269285B0" w14:textId="77777777" w:rsidR="0089207C" w:rsidRPr="00470D3D" w:rsidRDefault="0089207C" w:rsidP="002D3EBF">
            <w:pPr>
              <w:rPr>
                <w:rFonts w:eastAsia="SimSun"/>
              </w:rPr>
            </w:pPr>
          </w:p>
        </w:tc>
        <w:tc>
          <w:tcPr>
            <w:tcW w:w="1701" w:type="dxa"/>
            <w:vAlign w:val="center"/>
          </w:tcPr>
          <w:p w14:paraId="5E1F7233" w14:textId="77777777" w:rsidR="0089207C" w:rsidRPr="00AC3044" w:rsidRDefault="0089207C" w:rsidP="002D3EBF">
            <w:pPr>
              <w:rPr>
                <w:rFonts w:eastAsia="SimSun"/>
              </w:rPr>
            </w:pPr>
            <w:r w:rsidRPr="00AC3044">
              <w:rPr>
                <w:rFonts w:eastAsia="SimSun"/>
              </w:rPr>
              <w:t>Препарат</w:t>
            </w:r>
          </w:p>
        </w:tc>
        <w:tc>
          <w:tcPr>
            <w:tcW w:w="1417" w:type="dxa"/>
            <w:vAlign w:val="center"/>
          </w:tcPr>
          <w:p w14:paraId="776CF061" w14:textId="77777777" w:rsidR="0089207C" w:rsidRPr="00AC3044" w:rsidRDefault="0089207C" w:rsidP="002D3EBF">
            <w:pPr>
              <w:rPr>
                <w:rFonts w:eastAsia="SimSun"/>
              </w:rPr>
            </w:pPr>
            <w:r w:rsidRPr="00AC3044">
              <w:rPr>
                <w:rFonts w:eastAsia="SimSun"/>
              </w:rPr>
              <w:t>Суточная доза</w:t>
            </w:r>
          </w:p>
        </w:tc>
        <w:tc>
          <w:tcPr>
            <w:tcW w:w="1418" w:type="dxa"/>
            <w:vAlign w:val="center"/>
          </w:tcPr>
          <w:p w14:paraId="294EC1FC" w14:textId="77777777" w:rsidR="0089207C" w:rsidRPr="00AC3044" w:rsidRDefault="0089207C" w:rsidP="002D3EBF">
            <w:pPr>
              <w:rPr>
                <w:rFonts w:eastAsia="SimSun"/>
              </w:rPr>
            </w:pPr>
            <w:r w:rsidRPr="00AC3044">
              <w:rPr>
                <w:rFonts w:eastAsia="SimSun"/>
              </w:rPr>
              <w:t>Курсовая доза</w:t>
            </w:r>
          </w:p>
        </w:tc>
        <w:tc>
          <w:tcPr>
            <w:tcW w:w="1701" w:type="dxa"/>
            <w:vAlign w:val="center"/>
          </w:tcPr>
          <w:p w14:paraId="4D74A70E"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0F399B02"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0CB233EF" w14:textId="77777777" w:rsidTr="002D3EBF">
        <w:trPr>
          <w:cantSplit/>
          <w:trHeight w:val="20"/>
        </w:trPr>
        <w:tc>
          <w:tcPr>
            <w:tcW w:w="1135" w:type="dxa"/>
            <w:vMerge w:val="restart"/>
            <w:textDirection w:val="btLr"/>
            <w:vAlign w:val="center"/>
          </w:tcPr>
          <w:p w14:paraId="7BC26337" w14:textId="77777777" w:rsidR="0089207C" w:rsidRPr="00AC3044" w:rsidRDefault="0089207C" w:rsidP="002D3EBF">
            <w:pPr>
              <w:rPr>
                <w:rFonts w:eastAsia="SimSun"/>
              </w:rPr>
            </w:pPr>
            <w:r w:rsidRPr="00AC3044">
              <w:rPr>
                <w:rFonts w:eastAsia="SimSun"/>
              </w:rPr>
              <w:t>Кондиционирование</w:t>
            </w:r>
          </w:p>
        </w:tc>
        <w:tc>
          <w:tcPr>
            <w:tcW w:w="1701" w:type="dxa"/>
            <w:vAlign w:val="center"/>
          </w:tcPr>
          <w:p w14:paraId="6B654152" w14:textId="77777777" w:rsidR="0089207C" w:rsidRPr="00AC3044" w:rsidRDefault="0089207C" w:rsidP="002D3EBF">
            <w:pPr>
              <w:rPr>
                <w:rFonts w:eastAsia="SimSun"/>
              </w:rPr>
            </w:pPr>
            <w:r w:rsidRPr="00AC3044">
              <w:rPr>
                <w:rFonts w:eastAsia="SimSun"/>
              </w:rPr>
              <w:t xml:space="preserve">Флударабин </w:t>
            </w:r>
          </w:p>
        </w:tc>
        <w:tc>
          <w:tcPr>
            <w:tcW w:w="1417" w:type="dxa"/>
            <w:vAlign w:val="center"/>
          </w:tcPr>
          <w:p w14:paraId="2687C8DF" w14:textId="77777777" w:rsidR="0089207C" w:rsidRPr="00AC3044" w:rsidRDefault="0089207C" w:rsidP="002D3EBF">
            <w:pPr>
              <w:rPr>
                <w:rFonts w:eastAsia="SimSun"/>
              </w:rPr>
            </w:pPr>
            <w:r w:rsidRPr="00AC3044">
              <w:rPr>
                <w:rFonts w:eastAsia="SimSun"/>
              </w:rPr>
              <w:t>30 мг/м</w:t>
            </w:r>
            <w:r w:rsidRPr="001E6DBE">
              <w:rPr>
                <w:rFonts w:eastAsia="SimSun"/>
                <w:vertAlign w:val="superscript"/>
              </w:rPr>
              <w:t>2</w:t>
            </w:r>
          </w:p>
        </w:tc>
        <w:tc>
          <w:tcPr>
            <w:tcW w:w="1418" w:type="dxa"/>
            <w:vAlign w:val="center"/>
          </w:tcPr>
          <w:p w14:paraId="4231E402" w14:textId="77777777" w:rsidR="0089207C" w:rsidRPr="00AC3044" w:rsidRDefault="0089207C" w:rsidP="002D3EBF">
            <w:pPr>
              <w:rPr>
                <w:rFonts w:eastAsia="SimSun"/>
              </w:rPr>
            </w:pPr>
            <w:r w:rsidRPr="00AC3044">
              <w:rPr>
                <w:rFonts w:eastAsia="SimSun"/>
              </w:rPr>
              <w:t>180 мг/м</w:t>
            </w:r>
            <w:r w:rsidRPr="001E6DBE">
              <w:rPr>
                <w:rFonts w:eastAsia="SimSun"/>
                <w:vertAlign w:val="superscript"/>
              </w:rPr>
              <w:t>2</w:t>
            </w:r>
          </w:p>
        </w:tc>
        <w:tc>
          <w:tcPr>
            <w:tcW w:w="1701" w:type="dxa"/>
            <w:vAlign w:val="center"/>
          </w:tcPr>
          <w:p w14:paraId="0F050822" w14:textId="77777777" w:rsidR="0089207C" w:rsidRPr="00AC3044" w:rsidRDefault="0089207C" w:rsidP="002D3EBF">
            <w:pPr>
              <w:rPr>
                <w:rFonts w:eastAsia="SimSun"/>
              </w:rPr>
            </w:pPr>
            <w:r w:rsidRPr="00AC3044">
              <w:rPr>
                <w:rFonts w:eastAsia="SimSun"/>
              </w:rPr>
              <w:t>С -7 дня по -2 день</w:t>
            </w:r>
          </w:p>
        </w:tc>
        <w:tc>
          <w:tcPr>
            <w:tcW w:w="2268" w:type="dxa"/>
            <w:vAlign w:val="center"/>
          </w:tcPr>
          <w:p w14:paraId="4F15A6F0"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4CB83765" w14:textId="77777777" w:rsidTr="002D3EBF">
        <w:trPr>
          <w:cantSplit/>
          <w:trHeight w:val="1207"/>
        </w:trPr>
        <w:tc>
          <w:tcPr>
            <w:tcW w:w="1135" w:type="dxa"/>
            <w:vMerge/>
            <w:vAlign w:val="center"/>
          </w:tcPr>
          <w:p w14:paraId="2B7F1D22" w14:textId="77777777" w:rsidR="0089207C" w:rsidRPr="00AC3044" w:rsidRDefault="0089207C" w:rsidP="002D3EBF">
            <w:pPr>
              <w:rPr>
                <w:rFonts w:eastAsia="SimSun"/>
              </w:rPr>
            </w:pPr>
          </w:p>
        </w:tc>
        <w:tc>
          <w:tcPr>
            <w:tcW w:w="1701" w:type="dxa"/>
            <w:vAlign w:val="center"/>
          </w:tcPr>
          <w:p w14:paraId="468D7BDD" w14:textId="77777777" w:rsidR="0089207C" w:rsidRPr="00AC3044" w:rsidRDefault="0089207C" w:rsidP="002D3EBF">
            <w:pPr>
              <w:rPr>
                <w:rFonts w:eastAsia="SimSun"/>
              </w:rPr>
            </w:pPr>
            <w:r w:rsidRPr="00AC3044">
              <w:rPr>
                <w:rFonts w:eastAsia="SimSun"/>
              </w:rPr>
              <w:t>Бусульфан</w:t>
            </w:r>
          </w:p>
        </w:tc>
        <w:tc>
          <w:tcPr>
            <w:tcW w:w="1417" w:type="dxa"/>
            <w:vAlign w:val="center"/>
          </w:tcPr>
          <w:p w14:paraId="3CD5B74F" w14:textId="77777777" w:rsidR="0089207C" w:rsidRPr="00AC3044" w:rsidRDefault="0089207C" w:rsidP="002D3EBF">
            <w:pPr>
              <w:rPr>
                <w:rFonts w:eastAsia="SimSun"/>
              </w:rPr>
            </w:pPr>
            <w:r w:rsidRPr="00AC3044">
              <w:rPr>
                <w:rFonts w:eastAsia="SimSun"/>
              </w:rPr>
              <w:t xml:space="preserve">4 мг/кг </w:t>
            </w:r>
          </w:p>
        </w:tc>
        <w:tc>
          <w:tcPr>
            <w:tcW w:w="1418" w:type="dxa"/>
            <w:vAlign w:val="center"/>
          </w:tcPr>
          <w:p w14:paraId="6DE62C5C" w14:textId="77777777" w:rsidR="0089207C" w:rsidRPr="00AC3044" w:rsidRDefault="0089207C" w:rsidP="002D3EBF">
            <w:pPr>
              <w:rPr>
                <w:rFonts w:eastAsia="SimSun"/>
              </w:rPr>
            </w:pPr>
            <w:r w:rsidRPr="00AC3044">
              <w:rPr>
                <w:rFonts w:eastAsia="SimSun"/>
              </w:rPr>
              <w:t xml:space="preserve">12мг/кг </w:t>
            </w:r>
          </w:p>
        </w:tc>
        <w:tc>
          <w:tcPr>
            <w:tcW w:w="1701" w:type="dxa"/>
            <w:vAlign w:val="center"/>
          </w:tcPr>
          <w:p w14:paraId="3240BD62" w14:textId="77777777" w:rsidR="0089207C" w:rsidRPr="00AC3044" w:rsidRDefault="0089207C" w:rsidP="002D3EBF">
            <w:pPr>
              <w:rPr>
                <w:rFonts w:eastAsia="SimSun"/>
              </w:rPr>
            </w:pPr>
            <w:r w:rsidRPr="00AC3044">
              <w:rPr>
                <w:rFonts w:eastAsia="SimSun"/>
              </w:rPr>
              <w:t>С -5 дня по -3 день</w:t>
            </w:r>
          </w:p>
        </w:tc>
        <w:tc>
          <w:tcPr>
            <w:tcW w:w="2268" w:type="dxa"/>
            <w:vAlign w:val="center"/>
          </w:tcPr>
          <w:p w14:paraId="78AE2B18"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w:t>
            </w:r>
          </w:p>
        </w:tc>
      </w:tr>
      <w:tr w:rsidR="0089207C" w:rsidRPr="00AC3044" w14:paraId="32E0DD4E" w14:textId="77777777" w:rsidTr="002D3EBF">
        <w:trPr>
          <w:cantSplit/>
          <w:trHeight w:val="669"/>
        </w:trPr>
        <w:tc>
          <w:tcPr>
            <w:tcW w:w="1135" w:type="dxa"/>
            <w:vMerge w:val="restart"/>
            <w:textDirection w:val="btLr"/>
            <w:vAlign w:val="center"/>
          </w:tcPr>
          <w:p w14:paraId="52320B50" w14:textId="77777777" w:rsidR="0089207C" w:rsidRPr="00AC3044" w:rsidRDefault="0089207C" w:rsidP="002D3EBF">
            <w:pPr>
              <w:rPr>
                <w:rFonts w:eastAsia="SimSun"/>
              </w:rPr>
            </w:pPr>
            <w:r w:rsidRPr="00AC3044">
              <w:rPr>
                <w:rFonts w:eastAsia="SimSun"/>
              </w:rPr>
              <w:t>Профилактика РТПХ</w:t>
            </w:r>
          </w:p>
        </w:tc>
        <w:tc>
          <w:tcPr>
            <w:tcW w:w="1701" w:type="dxa"/>
            <w:vAlign w:val="center"/>
          </w:tcPr>
          <w:p w14:paraId="64E8CBEF" w14:textId="77777777" w:rsidR="0089207C" w:rsidRPr="00AC3044" w:rsidRDefault="0089207C" w:rsidP="002D3EBF">
            <w:pPr>
              <w:rPr>
                <w:rFonts w:eastAsia="SimSun"/>
              </w:rPr>
            </w:pPr>
            <w:r w:rsidRPr="00AC3044">
              <w:rPr>
                <w:rFonts w:eastAsia="SimSun"/>
              </w:rPr>
              <w:t>Циклофосфамид</w:t>
            </w:r>
          </w:p>
        </w:tc>
        <w:tc>
          <w:tcPr>
            <w:tcW w:w="1417" w:type="dxa"/>
            <w:vAlign w:val="center"/>
          </w:tcPr>
          <w:p w14:paraId="51E481CA" w14:textId="77777777" w:rsidR="0089207C" w:rsidRPr="00AC3044" w:rsidRDefault="0089207C" w:rsidP="002D3EBF">
            <w:pPr>
              <w:rPr>
                <w:rFonts w:eastAsia="SimSun"/>
              </w:rPr>
            </w:pPr>
            <w:r w:rsidRPr="00AC3044">
              <w:rPr>
                <w:rFonts w:eastAsia="SimSun"/>
              </w:rPr>
              <w:t>50 мг/кг</w:t>
            </w:r>
          </w:p>
        </w:tc>
        <w:tc>
          <w:tcPr>
            <w:tcW w:w="1418" w:type="dxa"/>
            <w:vAlign w:val="center"/>
          </w:tcPr>
          <w:p w14:paraId="465406C9" w14:textId="77777777" w:rsidR="0089207C" w:rsidRPr="00AC3044" w:rsidRDefault="0089207C" w:rsidP="002D3EBF">
            <w:pPr>
              <w:rPr>
                <w:rFonts w:eastAsia="SimSun"/>
              </w:rPr>
            </w:pPr>
            <w:r w:rsidRPr="00AC3044">
              <w:rPr>
                <w:rFonts w:eastAsia="SimSun"/>
              </w:rPr>
              <w:t>100 мг/кг</w:t>
            </w:r>
          </w:p>
        </w:tc>
        <w:tc>
          <w:tcPr>
            <w:tcW w:w="1701" w:type="dxa"/>
            <w:vAlign w:val="center"/>
          </w:tcPr>
          <w:p w14:paraId="20953625" w14:textId="77777777" w:rsidR="0089207C" w:rsidRPr="00AC3044" w:rsidRDefault="0089207C" w:rsidP="002D3EBF">
            <w:pPr>
              <w:rPr>
                <w:rFonts w:eastAsia="SimSun"/>
              </w:rPr>
            </w:pPr>
            <w:r w:rsidRPr="00AC3044">
              <w:rPr>
                <w:rFonts w:eastAsia="SimSun"/>
              </w:rPr>
              <w:t>С +3 дня по +4 день</w:t>
            </w:r>
          </w:p>
        </w:tc>
        <w:tc>
          <w:tcPr>
            <w:tcW w:w="2268" w:type="dxa"/>
            <w:vAlign w:val="center"/>
          </w:tcPr>
          <w:p w14:paraId="174AFD37" w14:textId="77777777" w:rsidR="0089207C" w:rsidRPr="00AC3044" w:rsidRDefault="0089207C" w:rsidP="002D3EBF">
            <w:pPr>
              <w:rPr>
                <w:rFonts w:eastAsia="SimSun"/>
              </w:rPr>
            </w:pPr>
            <w:r w:rsidRPr="00AC3044">
              <w:rPr>
                <w:rFonts w:eastAsia="SimSun"/>
              </w:rPr>
              <w:t>В/в, в течение 2 ч</w:t>
            </w:r>
          </w:p>
        </w:tc>
      </w:tr>
      <w:tr w:rsidR="0089207C" w:rsidRPr="00AC3044" w14:paraId="0F8D06BB" w14:textId="77777777" w:rsidTr="002D3EBF">
        <w:trPr>
          <w:cantSplit/>
          <w:trHeight w:val="958"/>
        </w:trPr>
        <w:tc>
          <w:tcPr>
            <w:tcW w:w="1135" w:type="dxa"/>
            <w:vMerge/>
            <w:textDirection w:val="btLr"/>
            <w:vAlign w:val="center"/>
          </w:tcPr>
          <w:p w14:paraId="7796C742" w14:textId="77777777" w:rsidR="0089207C" w:rsidRPr="00AC3044" w:rsidRDefault="0089207C" w:rsidP="002D3EBF">
            <w:pPr>
              <w:rPr>
                <w:rFonts w:eastAsia="SimSun"/>
              </w:rPr>
            </w:pPr>
          </w:p>
        </w:tc>
        <w:tc>
          <w:tcPr>
            <w:tcW w:w="1701" w:type="dxa"/>
            <w:vAlign w:val="center"/>
          </w:tcPr>
          <w:p w14:paraId="6E672B94" w14:textId="77777777" w:rsidR="0089207C" w:rsidRPr="00AC3044" w:rsidRDefault="0089207C" w:rsidP="002D3EBF">
            <w:pPr>
              <w:rPr>
                <w:rFonts w:eastAsia="SimSun"/>
              </w:rPr>
            </w:pPr>
            <w:r w:rsidRPr="00AC3044">
              <w:rPr>
                <w:rFonts w:eastAsia="SimSun"/>
              </w:rPr>
              <w:t xml:space="preserve">Такролимус </w:t>
            </w:r>
          </w:p>
        </w:tc>
        <w:tc>
          <w:tcPr>
            <w:tcW w:w="1417" w:type="dxa"/>
            <w:vAlign w:val="center"/>
          </w:tcPr>
          <w:p w14:paraId="06FFCFAB" w14:textId="77777777" w:rsidR="0089207C" w:rsidRPr="00AC3044" w:rsidRDefault="0089207C" w:rsidP="002D3EBF">
            <w:pPr>
              <w:rPr>
                <w:rFonts w:eastAsia="SimSun"/>
              </w:rPr>
            </w:pPr>
            <w:r w:rsidRPr="00AC3044">
              <w:rPr>
                <w:rFonts w:eastAsia="SimSun"/>
              </w:rPr>
              <w:t>0,03 мг/кг</w:t>
            </w:r>
          </w:p>
        </w:tc>
        <w:tc>
          <w:tcPr>
            <w:tcW w:w="1418" w:type="dxa"/>
            <w:vAlign w:val="center"/>
          </w:tcPr>
          <w:p w14:paraId="1ECE9330" w14:textId="77777777" w:rsidR="0089207C" w:rsidRPr="00AC3044" w:rsidRDefault="0089207C" w:rsidP="002D3EBF">
            <w:pPr>
              <w:rPr>
                <w:rFonts w:eastAsia="SimSun"/>
              </w:rPr>
            </w:pPr>
            <w:r w:rsidRPr="00AC3044">
              <w:rPr>
                <w:rFonts w:eastAsia="SimSun"/>
              </w:rPr>
              <w:t>–</w:t>
            </w:r>
          </w:p>
        </w:tc>
        <w:tc>
          <w:tcPr>
            <w:tcW w:w="1701" w:type="dxa"/>
            <w:vAlign w:val="center"/>
          </w:tcPr>
          <w:p w14:paraId="75F15786" w14:textId="77777777" w:rsidR="0089207C" w:rsidRPr="00AC3044" w:rsidRDefault="0089207C" w:rsidP="002D3EBF">
            <w:pPr>
              <w:rPr>
                <w:rFonts w:eastAsia="SimSun"/>
              </w:rPr>
            </w:pPr>
            <w:r w:rsidRPr="00AC3044">
              <w:rPr>
                <w:rFonts w:eastAsia="SimSun"/>
              </w:rPr>
              <w:t xml:space="preserve">С +5 дня длительно </w:t>
            </w:r>
          </w:p>
        </w:tc>
        <w:tc>
          <w:tcPr>
            <w:tcW w:w="2268" w:type="dxa"/>
            <w:vAlign w:val="center"/>
          </w:tcPr>
          <w:p w14:paraId="46B7ADA2" w14:textId="77777777" w:rsidR="0089207C" w:rsidRPr="00AC3044" w:rsidRDefault="0089207C" w:rsidP="002D3EBF">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9207C" w:rsidRPr="00AC3044" w14:paraId="57B5D08B" w14:textId="77777777" w:rsidTr="002D3EBF">
        <w:trPr>
          <w:cantSplit/>
          <w:trHeight w:val="486"/>
        </w:trPr>
        <w:tc>
          <w:tcPr>
            <w:tcW w:w="1135" w:type="dxa"/>
            <w:vMerge/>
            <w:textDirection w:val="btLr"/>
            <w:vAlign w:val="center"/>
          </w:tcPr>
          <w:p w14:paraId="3047F679" w14:textId="77777777" w:rsidR="0089207C" w:rsidRPr="00AC3044" w:rsidRDefault="0089207C" w:rsidP="002D3EBF">
            <w:pPr>
              <w:rPr>
                <w:rFonts w:eastAsia="SimSun"/>
              </w:rPr>
            </w:pPr>
          </w:p>
        </w:tc>
        <w:tc>
          <w:tcPr>
            <w:tcW w:w="1701" w:type="dxa"/>
            <w:vAlign w:val="center"/>
          </w:tcPr>
          <w:p w14:paraId="53C73ED2" w14:textId="77777777" w:rsidR="0089207C" w:rsidRPr="00AC3044" w:rsidRDefault="0089207C" w:rsidP="002D3EBF">
            <w:pPr>
              <w:rPr>
                <w:rFonts w:eastAsia="SimSun"/>
              </w:rPr>
            </w:pPr>
            <w:r w:rsidRPr="00AC3044">
              <w:rPr>
                <w:rFonts w:eastAsia="SimSun"/>
              </w:rPr>
              <w:t>Микофенолата мофетил</w:t>
            </w:r>
          </w:p>
        </w:tc>
        <w:tc>
          <w:tcPr>
            <w:tcW w:w="1417" w:type="dxa"/>
            <w:vAlign w:val="center"/>
          </w:tcPr>
          <w:p w14:paraId="1DC1E757" w14:textId="77777777" w:rsidR="0089207C" w:rsidRPr="00AC3044" w:rsidRDefault="0089207C" w:rsidP="002D3EBF">
            <w:pPr>
              <w:rPr>
                <w:rFonts w:eastAsia="SimSun"/>
              </w:rPr>
            </w:pPr>
            <w:r w:rsidRPr="00AC3044">
              <w:rPr>
                <w:rFonts w:eastAsia="SimSun"/>
              </w:rPr>
              <w:t xml:space="preserve">30 мг/кг </w:t>
            </w:r>
          </w:p>
        </w:tc>
        <w:tc>
          <w:tcPr>
            <w:tcW w:w="1418" w:type="dxa"/>
            <w:vAlign w:val="center"/>
          </w:tcPr>
          <w:p w14:paraId="32D4C168" w14:textId="77777777" w:rsidR="0089207C" w:rsidRPr="00AC3044" w:rsidRDefault="0089207C" w:rsidP="002D3EBF">
            <w:pPr>
              <w:rPr>
                <w:rFonts w:eastAsia="SimSun"/>
              </w:rPr>
            </w:pPr>
            <w:r w:rsidRPr="00AC3044">
              <w:rPr>
                <w:rFonts w:eastAsia="SimSun"/>
              </w:rPr>
              <w:t>–</w:t>
            </w:r>
          </w:p>
        </w:tc>
        <w:tc>
          <w:tcPr>
            <w:tcW w:w="1701" w:type="dxa"/>
            <w:vAlign w:val="center"/>
          </w:tcPr>
          <w:p w14:paraId="270C9397" w14:textId="77777777" w:rsidR="0089207C" w:rsidRPr="00AC3044" w:rsidRDefault="0089207C" w:rsidP="002D3EBF">
            <w:pPr>
              <w:rPr>
                <w:rFonts w:eastAsia="SimSun"/>
              </w:rPr>
            </w:pPr>
            <w:r w:rsidRPr="00AC3044">
              <w:rPr>
                <w:rFonts w:eastAsia="SimSun"/>
              </w:rPr>
              <w:t xml:space="preserve">С +5 дня по +35 день </w:t>
            </w:r>
          </w:p>
        </w:tc>
        <w:tc>
          <w:tcPr>
            <w:tcW w:w="2268" w:type="dxa"/>
            <w:vAlign w:val="center"/>
          </w:tcPr>
          <w:p w14:paraId="2886D568" w14:textId="77777777" w:rsidR="0089207C" w:rsidRPr="00AC3044" w:rsidRDefault="0089207C" w:rsidP="002D3EBF">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750E558F" w14:textId="77777777" w:rsidR="0089207C" w:rsidRDefault="0089207C" w:rsidP="0089207C">
      <w:pPr>
        <w:rPr>
          <w:rFonts w:eastAsia="SimSun"/>
        </w:rPr>
      </w:pPr>
      <w:bookmarkStart w:id="240" w:name="_Toc44401191"/>
    </w:p>
    <w:p w14:paraId="41F552D3" w14:textId="77777777" w:rsidR="0089207C" w:rsidRPr="00C07B2E" w:rsidRDefault="0089207C" w:rsidP="0089207C">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2.1.5  – Flu180+Bu12 / PT-Cy+CSA+MMF30</w:t>
      </w:r>
      <w:bookmarkEnd w:id="240"/>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89207C" w:rsidRPr="00AC3044" w14:paraId="10CB5082" w14:textId="77777777" w:rsidTr="002D3EBF">
        <w:trPr>
          <w:cantSplit/>
          <w:trHeight w:val="20"/>
          <w:tblHeader/>
        </w:trPr>
        <w:tc>
          <w:tcPr>
            <w:tcW w:w="1135" w:type="dxa"/>
            <w:vAlign w:val="center"/>
          </w:tcPr>
          <w:p w14:paraId="7B773680" w14:textId="77777777" w:rsidR="0089207C" w:rsidRPr="00470D3D" w:rsidRDefault="0089207C" w:rsidP="002D3EBF">
            <w:pPr>
              <w:rPr>
                <w:rFonts w:eastAsia="SimSun"/>
              </w:rPr>
            </w:pPr>
          </w:p>
        </w:tc>
        <w:tc>
          <w:tcPr>
            <w:tcW w:w="1701" w:type="dxa"/>
            <w:vAlign w:val="center"/>
          </w:tcPr>
          <w:p w14:paraId="2772C224" w14:textId="77777777" w:rsidR="0089207C" w:rsidRPr="00AC3044" w:rsidRDefault="0089207C" w:rsidP="002D3EBF">
            <w:pPr>
              <w:rPr>
                <w:rFonts w:eastAsia="SimSun"/>
              </w:rPr>
            </w:pPr>
            <w:r w:rsidRPr="00AC3044">
              <w:rPr>
                <w:rFonts w:eastAsia="SimSun"/>
              </w:rPr>
              <w:t>Препарат</w:t>
            </w:r>
          </w:p>
        </w:tc>
        <w:tc>
          <w:tcPr>
            <w:tcW w:w="1417" w:type="dxa"/>
            <w:vAlign w:val="center"/>
          </w:tcPr>
          <w:p w14:paraId="788E9972" w14:textId="77777777" w:rsidR="0089207C" w:rsidRPr="00AC3044" w:rsidRDefault="0089207C" w:rsidP="002D3EBF">
            <w:pPr>
              <w:rPr>
                <w:rFonts w:eastAsia="SimSun"/>
              </w:rPr>
            </w:pPr>
            <w:r w:rsidRPr="00AC3044">
              <w:rPr>
                <w:rFonts w:eastAsia="SimSun"/>
              </w:rPr>
              <w:t>Суточная доза</w:t>
            </w:r>
          </w:p>
        </w:tc>
        <w:tc>
          <w:tcPr>
            <w:tcW w:w="1418" w:type="dxa"/>
            <w:vAlign w:val="center"/>
          </w:tcPr>
          <w:p w14:paraId="11A1975D" w14:textId="77777777" w:rsidR="0089207C" w:rsidRPr="00AC3044" w:rsidRDefault="0089207C" w:rsidP="002D3EBF">
            <w:pPr>
              <w:rPr>
                <w:rFonts w:eastAsia="SimSun"/>
              </w:rPr>
            </w:pPr>
            <w:r w:rsidRPr="00AC3044">
              <w:rPr>
                <w:rFonts w:eastAsia="SimSun"/>
              </w:rPr>
              <w:t>Курсовая доза</w:t>
            </w:r>
          </w:p>
        </w:tc>
        <w:tc>
          <w:tcPr>
            <w:tcW w:w="1701" w:type="dxa"/>
            <w:vAlign w:val="center"/>
          </w:tcPr>
          <w:p w14:paraId="7F388274"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35F19AC5"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5006979A" w14:textId="77777777" w:rsidTr="002D3EBF">
        <w:trPr>
          <w:cantSplit/>
          <w:trHeight w:val="20"/>
        </w:trPr>
        <w:tc>
          <w:tcPr>
            <w:tcW w:w="1135" w:type="dxa"/>
            <w:vMerge w:val="restart"/>
            <w:textDirection w:val="btLr"/>
            <w:vAlign w:val="center"/>
          </w:tcPr>
          <w:p w14:paraId="62DC5601" w14:textId="77777777" w:rsidR="0089207C" w:rsidRPr="00AC3044" w:rsidRDefault="0089207C" w:rsidP="002D3EBF">
            <w:pPr>
              <w:rPr>
                <w:rFonts w:eastAsia="SimSun"/>
              </w:rPr>
            </w:pPr>
            <w:r w:rsidRPr="00AC3044">
              <w:rPr>
                <w:rFonts w:eastAsia="SimSun"/>
              </w:rPr>
              <w:t>Кондиционирование</w:t>
            </w:r>
          </w:p>
        </w:tc>
        <w:tc>
          <w:tcPr>
            <w:tcW w:w="1701" w:type="dxa"/>
            <w:vAlign w:val="center"/>
          </w:tcPr>
          <w:p w14:paraId="39DC48D8" w14:textId="77777777" w:rsidR="0089207C" w:rsidRPr="00AC3044" w:rsidRDefault="0089207C" w:rsidP="002D3EBF">
            <w:pPr>
              <w:rPr>
                <w:rFonts w:eastAsia="SimSun"/>
              </w:rPr>
            </w:pPr>
            <w:r w:rsidRPr="00AC3044">
              <w:rPr>
                <w:rFonts w:eastAsia="SimSun"/>
              </w:rPr>
              <w:t xml:space="preserve">Флударабин </w:t>
            </w:r>
          </w:p>
        </w:tc>
        <w:tc>
          <w:tcPr>
            <w:tcW w:w="1417" w:type="dxa"/>
            <w:vAlign w:val="center"/>
          </w:tcPr>
          <w:p w14:paraId="52E35033" w14:textId="77777777" w:rsidR="0089207C" w:rsidRPr="00AC3044" w:rsidRDefault="0089207C" w:rsidP="002D3EBF">
            <w:pPr>
              <w:rPr>
                <w:rFonts w:eastAsia="SimSun"/>
              </w:rPr>
            </w:pPr>
            <w:r w:rsidRPr="00AC3044">
              <w:rPr>
                <w:rFonts w:eastAsia="SimSun"/>
              </w:rPr>
              <w:t>30 мг/м</w:t>
            </w:r>
            <w:r w:rsidRPr="001E6DBE">
              <w:rPr>
                <w:rFonts w:eastAsia="SimSun"/>
                <w:vertAlign w:val="superscript"/>
              </w:rPr>
              <w:t>2</w:t>
            </w:r>
          </w:p>
        </w:tc>
        <w:tc>
          <w:tcPr>
            <w:tcW w:w="1418" w:type="dxa"/>
            <w:vAlign w:val="center"/>
          </w:tcPr>
          <w:p w14:paraId="7588842C" w14:textId="77777777" w:rsidR="0089207C" w:rsidRPr="00AC3044" w:rsidRDefault="0089207C" w:rsidP="002D3EBF">
            <w:pPr>
              <w:rPr>
                <w:rFonts w:eastAsia="SimSun"/>
              </w:rPr>
            </w:pPr>
            <w:r w:rsidRPr="00AC3044">
              <w:rPr>
                <w:rFonts w:eastAsia="SimSun"/>
              </w:rPr>
              <w:t>180 мг/м</w:t>
            </w:r>
            <w:r w:rsidRPr="001E6DBE">
              <w:rPr>
                <w:rFonts w:eastAsia="SimSun"/>
                <w:vertAlign w:val="superscript"/>
              </w:rPr>
              <w:t>2</w:t>
            </w:r>
          </w:p>
        </w:tc>
        <w:tc>
          <w:tcPr>
            <w:tcW w:w="1701" w:type="dxa"/>
            <w:vAlign w:val="center"/>
          </w:tcPr>
          <w:p w14:paraId="11438F69" w14:textId="77777777" w:rsidR="0089207C" w:rsidRPr="00AC3044" w:rsidRDefault="0089207C" w:rsidP="002D3EBF">
            <w:pPr>
              <w:rPr>
                <w:rFonts w:eastAsia="SimSun"/>
              </w:rPr>
            </w:pPr>
            <w:r w:rsidRPr="00AC3044">
              <w:rPr>
                <w:rFonts w:eastAsia="SimSun"/>
              </w:rPr>
              <w:t>С -7 дня по -2 день</w:t>
            </w:r>
          </w:p>
        </w:tc>
        <w:tc>
          <w:tcPr>
            <w:tcW w:w="2268" w:type="dxa"/>
            <w:vAlign w:val="center"/>
          </w:tcPr>
          <w:p w14:paraId="67E179B2"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480B6C27" w14:textId="77777777" w:rsidTr="002D3EBF">
        <w:trPr>
          <w:cantSplit/>
          <w:trHeight w:val="1207"/>
        </w:trPr>
        <w:tc>
          <w:tcPr>
            <w:tcW w:w="1135" w:type="dxa"/>
            <w:vMerge/>
            <w:vAlign w:val="center"/>
          </w:tcPr>
          <w:p w14:paraId="27F2C50A" w14:textId="77777777" w:rsidR="0089207C" w:rsidRPr="00AC3044" w:rsidRDefault="0089207C" w:rsidP="002D3EBF">
            <w:pPr>
              <w:rPr>
                <w:rFonts w:eastAsia="SimSun"/>
              </w:rPr>
            </w:pPr>
          </w:p>
        </w:tc>
        <w:tc>
          <w:tcPr>
            <w:tcW w:w="1701" w:type="dxa"/>
            <w:vAlign w:val="center"/>
          </w:tcPr>
          <w:p w14:paraId="277DDF29" w14:textId="77777777" w:rsidR="0089207C" w:rsidRPr="00AC3044" w:rsidRDefault="0089207C" w:rsidP="002D3EBF">
            <w:pPr>
              <w:rPr>
                <w:rFonts w:eastAsia="SimSun"/>
              </w:rPr>
            </w:pPr>
            <w:r w:rsidRPr="00AC3044">
              <w:rPr>
                <w:rFonts w:eastAsia="SimSun"/>
              </w:rPr>
              <w:t>Бусульфан</w:t>
            </w:r>
          </w:p>
        </w:tc>
        <w:tc>
          <w:tcPr>
            <w:tcW w:w="1417" w:type="dxa"/>
            <w:vAlign w:val="center"/>
          </w:tcPr>
          <w:p w14:paraId="22E6E929" w14:textId="77777777" w:rsidR="0089207C" w:rsidRPr="00AC3044" w:rsidRDefault="0089207C" w:rsidP="002D3EBF">
            <w:pPr>
              <w:rPr>
                <w:rFonts w:eastAsia="SimSun"/>
              </w:rPr>
            </w:pPr>
            <w:r w:rsidRPr="00AC3044">
              <w:rPr>
                <w:rFonts w:eastAsia="SimSun"/>
              </w:rPr>
              <w:t xml:space="preserve">4 мг/кг </w:t>
            </w:r>
          </w:p>
        </w:tc>
        <w:tc>
          <w:tcPr>
            <w:tcW w:w="1418" w:type="dxa"/>
            <w:vAlign w:val="center"/>
          </w:tcPr>
          <w:p w14:paraId="0F8B8564" w14:textId="77777777" w:rsidR="0089207C" w:rsidRPr="00AC3044" w:rsidRDefault="0089207C" w:rsidP="002D3EBF">
            <w:pPr>
              <w:rPr>
                <w:rFonts w:eastAsia="SimSun"/>
              </w:rPr>
            </w:pPr>
            <w:r w:rsidRPr="00AC3044">
              <w:rPr>
                <w:rFonts w:eastAsia="SimSun"/>
              </w:rPr>
              <w:t xml:space="preserve">12 мг/кг </w:t>
            </w:r>
          </w:p>
        </w:tc>
        <w:tc>
          <w:tcPr>
            <w:tcW w:w="1701" w:type="dxa"/>
            <w:vAlign w:val="center"/>
          </w:tcPr>
          <w:p w14:paraId="76890958" w14:textId="77777777" w:rsidR="0089207C" w:rsidRPr="00AC3044" w:rsidRDefault="0089207C" w:rsidP="002D3EBF">
            <w:pPr>
              <w:rPr>
                <w:rFonts w:eastAsia="SimSun"/>
              </w:rPr>
            </w:pPr>
            <w:r w:rsidRPr="00AC3044">
              <w:rPr>
                <w:rFonts w:eastAsia="SimSun"/>
              </w:rPr>
              <w:t>С -5 дня по -3 день</w:t>
            </w:r>
          </w:p>
        </w:tc>
        <w:tc>
          <w:tcPr>
            <w:tcW w:w="2268" w:type="dxa"/>
            <w:vAlign w:val="center"/>
          </w:tcPr>
          <w:p w14:paraId="023861C5"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w:t>
            </w:r>
          </w:p>
        </w:tc>
      </w:tr>
      <w:tr w:rsidR="0089207C" w:rsidRPr="00AC3044" w14:paraId="335B53BD" w14:textId="77777777" w:rsidTr="002D3EBF">
        <w:trPr>
          <w:cantSplit/>
          <w:trHeight w:val="606"/>
        </w:trPr>
        <w:tc>
          <w:tcPr>
            <w:tcW w:w="1135" w:type="dxa"/>
            <w:vMerge w:val="restart"/>
            <w:textDirection w:val="btLr"/>
            <w:vAlign w:val="center"/>
          </w:tcPr>
          <w:p w14:paraId="7940E6BD" w14:textId="77777777" w:rsidR="0089207C" w:rsidRPr="00AC3044" w:rsidRDefault="0089207C" w:rsidP="002D3EBF">
            <w:pPr>
              <w:rPr>
                <w:rFonts w:eastAsia="SimSun"/>
              </w:rPr>
            </w:pPr>
            <w:r w:rsidRPr="00AC3044">
              <w:rPr>
                <w:rFonts w:eastAsia="SimSun"/>
              </w:rPr>
              <w:t>Профилактика РТПХ</w:t>
            </w:r>
          </w:p>
        </w:tc>
        <w:tc>
          <w:tcPr>
            <w:tcW w:w="1701" w:type="dxa"/>
            <w:vAlign w:val="center"/>
          </w:tcPr>
          <w:p w14:paraId="49E0D7F2" w14:textId="77777777" w:rsidR="0089207C" w:rsidRPr="00AC3044" w:rsidRDefault="0089207C" w:rsidP="002D3EBF">
            <w:pPr>
              <w:rPr>
                <w:rFonts w:eastAsia="SimSun"/>
              </w:rPr>
            </w:pPr>
            <w:r w:rsidRPr="00AC3044">
              <w:rPr>
                <w:rFonts w:eastAsia="SimSun"/>
              </w:rPr>
              <w:t>Циклофосфамид</w:t>
            </w:r>
          </w:p>
        </w:tc>
        <w:tc>
          <w:tcPr>
            <w:tcW w:w="1417" w:type="dxa"/>
            <w:vAlign w:val="center"/>
          </w:tcPr>
          <w:p w14:paraId="51C93F59" w14:textId="77777777" w:rsidR="0089207C" w:rsidRPr="00AC3044" w:rsidRDefault="0089207C" w:rsidP="002D3EBF">
            <w:pPr>
              <w:rPr>
                <w:rFonts w:eastAsia="SimSun"/>
              </w:rPr>
            </w:pPr>
            <w:r w:rsidRPr="00AC3044">
              <w:rPr>
                <w:rFonts w:eastAsia="SimSun"/>
              </w:rPr>
              <w:t>50 мг/кг</w:t>
            </w:r>
          </w:p>
        </w:tc>
        <w:tc>
          <w:tcPr>
            <w:tcW w:w="1418" w:type="dxa"/>
            <w:vAlign w:val="center"/>
          </w:tcPr>
          <w:p w14:paraId="30900A68" w14:textId="77777777" w:rsidR="0089207C" w:rsidRPr="00AC3044" w:rsidRDefault="0089207C" w:rsidP="002D3EBF">
            <w:pPr>
              <w:rPr>
                <w:rFonts w:eastAsia="SimSun"/>
              </w:rPr>
            </w:pPr>
            <w:r w:rsidRPr="00AC3044">
              <w:rPr>
                <w:rFonts w:eastAsia="SimSun"/>
              </w:rPr>
              <w:t>100 мг/кг</w:t>
            </w:r>
          </w:p>
        </w:tc>
        <w:tc>
          <w:tcPr>
            <w:tcW w:w="1701" w:type="dxa"/>
            <w:vAlign w:val="center"/>
          </w:tcPr>
          <w:p w14:paraId="20EBFFCA" w14:textId="77777777" w:rsidR="0089207C" w:rsidRPr="00AC3044" w:rsidRDefault="0089207C" w:rsidP="002D3EBF">
            <w:pPr>
              <w:rPr>
                <w:rFonts w:eastAsia="SimSun"/>
              </w:rPr>
            </w:pPr>
            <w:r w:rsidRPr="00AC3044">
              <w:rPr>
                <w:rFonts w:eastAsia="SimSun"/>
              </w:rPr>
              <w:t>В +3 день  и +5 день</w:t>
            </w:r>
          </w:p>
        </w:tc>
        <w:tc>
          <w:tcPr>
            <w:tcW w:w="2268" w:type="dxa"/>
            <w:vAlign w:val="center"/>
          </w:tcPr>
          <w:p w14:paraId="18C0B137" w14:textId="77777777" w:rsidR="0089207C" w:rsidRPr="00AC3044" w:rsidRDefault="0089207C" w:rsidP="002D3EBF">
            <w:pPr>
              <w:rPr>
                <w:rFonts w:eastAsia="SimSun"/>
              </w:rPr>
            </w:pPr>
            <w:r w:rsidRPr="00AC3044">
              <w:rPr>
                <w:rFonts w:eastAsia="SimSun"/>
              </w:rPr>
              <w:t>В/в, в течение 2 ч</w:t>
            </w:r>
          </w:p>
        </w:tc>
      </w:tr>
      <w:tr w:rsidR="0089207C" w:rsidRPr="00AC3044" w14:paraId="75963E29" w14:textId="77777777" w:rsidTr="002D3EBF">
        <w:trPr>
          <w:cantSplit/>
          <w:trHeight w:val="829"/>
        </w:trPr>
        <w:tc>
          <w:tcPr>
            <w:tcW w:w="1135" w:type="dxa"/>
            <w:vMerge/>
            <w:textDirection w:val="btLr"/>
            <w:vAlign w:val="center"/>
          </w:tcPr>
          <w:p w14:paraId="51A83B72" w14:textId="77777777" w:rsidR="0089207C" w:rsidRPr="00AC3044" w:rsidRDefault="0089207C" w:rsidP="002D3EBF">
            <w:pPr>
              <w:rPr>
                <w:rFonts w:eastAsia="SimSun"/>
              </w:rPr>
            </w:pPr>
          </w:p>
        </w:tc>
        <w:tc>
          <w:tcPr>
            <w:tcW w:w="1701" w:type="dxa"/>
            <w:vAlign w:val="center"/>
          </w:tcPr>
          <w:p w14:paraId="3DFD70B0" w14:textId="77777777" w:rsidR="0089207C" w:rsidRPr="00AC3044" w:rsidRDefault="0089207C" w:rsidP="002D3EBF">
            <w:pPr>
              <w:rPr>
                <w:rFonts w:eastAsia="SimSun"/>
              </w:rPr>
            </w:pPr>
            <w:r w:rsidRPr="00AC3044">
              <w:rPr>
                <w:rFonts w:eastAsia="SimSun"/>
              </w:rPr>
              <w:t>Микофенолата мофетил</w:t>
            </w:r>
          </w:p>
        </w:tc>
        <w:tc>
          <w:tcPr>
            <w:tcW w:w="1417" w:type="dxa"/>
            <w:vAlign w:val="center"/>
          </w:tcPr>
          <w:p w14:paraId="3ED8D579" w14:textId="77777777" w:rsidR="0089207C" w:rsidRPr="00AC3044" w:rsidRDefault="0089207C" w:rsidP="002D3EBF">
            <w:pPr>
              <w:rPr>
                <w:rFonts w:eastAsia="SimSun"/>
              </w:rPr>
            </w:pPr>
            <w:r w:rsidRPr="00AC3044">
              <w:rPr>
                <w:rFonts w:eastAsia="SimSun"/>
              </w:rPr>
              <w:t xml:space="preserve">30 мг/кг </w:t>
            </w:r>
          </w:p>
        </w:tc>
        <w:tc>
          <w:tcPr>
            <w:tcW w:w="1418" w:type="dxa"/>
            <w:vAlign w:val="center"/>
          </w:tcPr>
          <w:p w14:paraId="1F824C04" w14:textId="77777777" w:rsidR="0089207C" w:rsidRPr="00AC3044" w:rsidRDefault="0089207C" w:rsidP="002D3EBF">
            <w:pPr>
              <w:rPr>
                <w:rFonts w:eastAsia="SimSun"/>
              </w:rPr>
            </w:pPr>
            <w:r w:rsidRPr="00AC3044">
              <w:rPr>
                <w:rFonts w:eastAsia="SimSun"/>
              </w:rPr>
              <w:t>–</w:t>
            </w:r>
          </w:p>
        </w:tc>
        <w:tc>
          <w:tcPr>
            <w:tcW w:w="1701" w:type="dxa"/>
            <w:vAlign w:val="center"/>
          </w:tcPr>
          <w:p w14:paraId="64AAECC0" w14:textId="77777777" w:rsidR="0089207C" w:rsidRPr="00AC3044" w:rsidRDefault="0089207C" w:rsidP="002D3EBF">
            <w:pPr>
              <w:rPr>
                <w:rFonts w:eastAsia="SimSun"/>
              </w:rPr>
            </w:pPr>
            <w:r w:rsidRPr="00AC3044">
              <w:rPr>
                <w:rFonts w:eastAsia="SimSun"/>
              </w:rPr>
              <w:t xml:space="preserve">С +1 дня по +28 день </w:t>
            </w:r>
          </w:p>
        </w:tc>
        <w:tc>
          <w:tcPr>
            <w:tcW w:w="2268" w:type="dxa"/>
            <w:vAlign w:val="center"/>
          </w:tcPr>
          <w:p w14:paraId="0C495D8A" w14:textId="77777777" w:rsidR="0089207C" w:rsidRPr="00AC3044" w:rsidRDefault="0089207C" w:rsidP="002D3EBF">
            <w:pPr>
              <w:rPr>
                <w:rFonts w:eastAsia="SimSun"/>
              </w:rPr>
            </w:pPr>
            <w:r w:rsidRPr="00AC3044">
              <w:rPr>
                <w:rFonts w:eastAsia="SimSun"/>
              </w:rPr>
              <w:t xml:space="preserve">Внутрь, суммарная суточная доза разделяется на 2- 4 приема (не более 3г/сут).  </w:t>
            </w:r>
          </w:p>
        </w:tc>
      </w:tr>
      <w:tr w:rsidR="0089207C" w:rsidRPr="00AC3044" w14:paraId="6FC96009" w14:textId="77777777" w:rsidTr="002D3EBF">
        <w:trPr>
          <w:cantSplit/>
          <w:trHeight w:val="958"/>
        </w:trPr>
        <w:tc>
          <w:tcPr>
            <w:tcW w:w="1135" w:type="dxa"/>
            <w:vMerge/>
            <w:textDirection w:val="btLr"/>
            <w:vAlign w:val="center"/>
          </w:tcPr>
          <w:p w14:paraId="1FDBB298" w14:textId="77777777" w:rsidR="0089207C" w:rsidRPr="00AC3044" w:rsidRDefault="0089207C" w:rsidP="002D3EBF">
            <w:pPr>
              <w:rPr>
                <w:rFonts w:eastAsia="SimSun"/>
              </w:rPr>
            </w:pPr>
          </w:p>
        </w:tc>
        <w:tc>
          <w:tcPr>
            <w:tcW w:w="1701" w:type="dxa"/>
            <w:vAlign w:val="center"/>
          </w:tcPr>
          <w:p w14:paraId="4A5F22E5" w14:textId="77777777" w:rsidR="0089207C" w:rsidRPr="00AC3044" w:rsidRDefault="0089207C" w:rsidP="002D3EBF">
            <w:pPr>
              <w:rPr>
                <w:rFonts w:eastAsia="SimSun"/>
              </w:rPr>
            </w:pPr>
            <w:r w:rsidRPr="00AC3044">
              <w:rPr>
                <w:rFonts w:eastAsia="SimSun"/>
              </w:rPr>
              <w:t>Циклоспорин А</w:t>
            </w:r>
          </w:p>
        </w:tc>
        <w:tc>
          <w:tcPr>
            <w:tcW w:w="1417" w:type="dxa"/>
            <w:vAlign w:val="center"/>
          </w:tcPr>
          <w:p w14:paraId="3ECA9571" w14:textId="77777777" w:rsidR="0089207C" w:rsidRPr="00AC3044" w:rsidRDefault="0089207C" w:rsidP="002D3EBF">
            <w:pPr>
              <w:rPr>
                <w:rFonts w:eastAsia="SimSun"/>
              </w:rPr>
            </w:pPr>
            <w:r w:rsidRPr="00AC3044">
              <w:rPr>
                <w:rFonts w:eastAsia="SimSun"/>
              </w:rPr>
              <w:t>3  мг/кг</w:t>
            </w:r>
          </w:p>
        </w:tc>
        <w:tc>
          <w:tcPr>
            <w:tcW w:w="1418" w:type="dxa"/>
            <w:vAlign w:val="center"/>
          </w:tcPr>
          <w:p w14:paraId="7CD3D941" w14:textId="77777777" w:rsidR="0089207C" w:rsidRPr="00AC3044" w:rsidRDefault="0089207C" w:rsidP="002D3EBF">
            <w:pPr>
              <w:rPr>
                <w:rFonts w:eastAsia="SimSun"/>
              </w:rPr>
            </w:pPr>
            <w:r w:rsidRPr="00AC3044">
              <w:rPr>
                <w:rFonts w:eastAsia="SimSun"/>
              </w:rPr>
              <w:t>-</w:t>
            </w:r>
          </w:p>
        </w:tc>
        <w:tc>
          <w:tcPr>
            <w:tcW w:w="1701" w:type="dxa"/>
            <w:vAlign w:val="center"/>
          </w:tcPr>
          <w:p w14:paraId="66427E35" w14:textId="77777777" w:rsidR="0089207C" w:rsidRPr="00AC3044" w:rsidRDefault="0089207C" w:rsidP="002D3EBF">
            <w:pPr>
              <w:rPr>
                <w:rFonts w:eastAsia="SimSun"/>
              </w:rPr>
            </w:pPr>
            <w:r w:rsidRPr="00AC3044">
              <w:rPr>
                <w:rFonts w:eastAsia="SimSun"/>
              </w:rPr>
              <w:t xml:space="preserve">С -1 дня по +100 день </w:t>
            </w:r>
          </w:p>
        </w:tc>
        <w:tc>
          <w:tcPr>
            <w:tcW w:w="2268" w:type="dxa"/>
            <w:vAlign w:val="center"/>
          </w:tcPr>
          <w:p w14:paraId="1FF0B12A" w14:textId="77777777" w:rsidR="0089207C" w:rsidRPr="00AC3044" w:rsidRDefault="0089207C" w:rsidP="002D3EBF">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1B7639ED" w14:textId="77777777" w:rsidR="0089207C" w:rsidRPr="001E6DBE" w:rsidRDefault="0089207C" w:rsidP="0089207C">
      <w:pPr>
        <w:rPr>
          <w:rFonts w:eastAsia="SimSun"/>
        </w:rPr>
      </w:pPr>
    </w:p>
    <w:p w14:paraId="2198E7EE" w14:textId="77777777" w:rsidR="0089207C" w:rsidRPr="00042499" w:rsidRDefault="0089207C" w:rsidP="0089207C">
      <w:pPr>
        <w:rPr>
          <w:rFonts w:eastAsia="SimSun"/>
          <w:lang w:val="en-US"/>
        </w:rPr>
      </w:pPr>
      <w:bookmarkStart w:id="241" w:name="_Toc44401192"/>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2.1.6  – </w:t>
      </w:r>
      <w:r w:rsidRPr="00C07B2E">
        <w:rPr>
          <w:rFonts w:eastAsia="SimSun"/>
        </w:rPr>
        <w:t>Flu</w:t>
      </w:r>
      <w:r w:rsidRPr="00042499">
        <w:rPr>
          <w:rFonts w:eastAsia="SimSun"/>
          <w:lang w:val="en-US"/>
        </w:rPr>
        <w:t>180+</w:t>
      </w:r>
      <w:r w:rsidRPr="00C07B2E">
        <w:rPr>
          <w:rFonts w:eastAsia="SimSun"/>
        </w:rPr>
        <w:t>Bu</w:t>
      </w:r>
      <w:r w:rsidRPr="00042499">
        <w:rPr>
          <w:rFonts w:eastAsia="SimSun"/>
          <w:lang w:val="en-US"/>
        </w:rPr>
        <w:t xml:space="preserve">12 / </w:t>
      </w:r>
      <w:r w:rsidRPr="00C07B2E">
        <w:rPr>
          <w:rFonts w:eastAsia="SimSun"/>
        </w:rPr>
        <w:t>Tx</w:t>
      </w:r>
      <w:r w:rsidRPr="00042499">
        <w:rPr>
          <w:rFonts w:eastAsia="SimSun"/>
          <w:lang w:val="en-US"/>
        </w:rPr>
        <w:t>+</w:t>
      </w:r>
      <w:r w:rsidRPr="00C07B2E">
        <w:rPr>
          <w:rFonts w:eastAsia="SimSun"/>
        </w:rPr>
        <w:t>MMF</w:t>
      </w:r>
      <w:r w:rsidRPr="00042499">
        <w:rPr>
          <w:rFonts w:eastAsia="SimSun"/>
          <w:lang w:val="en-US"/>
        </w:rPr>
        <w:t>30</w:t>
      </w:r>
      <w:bookmarkEnd w:id="241"/>
    </w:p>
    <w:tbl>
      <w:tblPr>
        <w:tblpPr w:leftFromText="180" w:rightFromText="180" w:vertAnchor="text" w:horzAnchor="margin" w:tblpX="6" w:tblpY="38"/>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2"/>
        <w:gridCol w:w="1709"/>
        <w:gridCol w:w="1395"/>
        <w:gridCol w:w="1367"/>
        <w:gridCol w:w="1783"/>
        <w:gridCol w:w="2267"/>
      </w:tblGrid>
      <w:tr w:rsidR="0089207C" w:rsidRPr="00AC3044" w14:paraId="67B53F7B" w14:textId="77777777" w:rsidTr="002D3EBF">
        <w:trPr>
          <w:cantSplit/>
          <w:trHeight w:val="20"/>
          <w:tblHeader/>
        </w:trPr>
        <w:tc>
          <w:tcPr>
            <w:tcW w:w="1142" w:type="dxa"/>
            <w:vAlign w:val="center"/>
          </w:tcPr>
          <w:p w14:paraId="02065D19" w14:textId="77777777" w:rsidR="0089207C" w:rsidRPr="00AC3044" w:rsidRDefault="0089207C" w:rsidP="002D3EBF">
            <w:pPr>
              <w:rPr>
                <w:rFonts w:eastAsia="SimSun"/>
              </w:rPr>
            </w:pPr>
          </w:p>
        </w:tc>
        <w:tc>
          <w:tcPr>
            <w:tcW w:w="1709" w:type="dxa"/>
            <w:vAlign w:val="center"/>
          </w:tcPr>
          <w:p w14:paraId="492E2E12" w14:textId="77777777" w:rsidR="0089207C" w:rsidRPr="00AC3044" w:rsidRDefault="0089207C" w:rsidP="002D3EBF">
            <w:pPr>
              <w:rPr>
                <w:rFonts w:eastAsia="SimSun"/>
              </w:rPr>
            </w:pPr>
            <w:r w:rsidRPr="00AC3044">
              <w:rPr>
                <w:rFonts w:eastAsia="SimSun"/>
              </w:rPr>
              <w:t>Препарат</w:t>
            </w:r>
          </w:p>
        </w:tc>
        <w:tc>
          <w:tcPr>
            <w:tcW w:w="1395" w:type="dxa"/>
            <w:vAlign w:val="center"/>
          </w:tcPr>
          <w:p w14:paraId="0BAA45E8" w14:textId="77777777" w:rsidR="0089207C" w:rsidRPr="00AC3044" w:rsidRDefault="0089207C" w:rsidP="002D3EBF">
            <w:pPr>
              <w:rPr>
                <w:rFonts w:eastAsia="SimSun"/>
              </w:rPr>
            </w:pPr>
            <w:r w:rsidRPr="00AC3044">
              <w:rPr>
                <w:rFonts w:eastAsia="SimSun"/>
              </w:rPr>
              <w:t>Суточная доза</w:t>
            </w:r>
          </w:p>
        </w:tc>
        <w:tc>
          <w:tcPr>
            <w:tcW w:w="1367" w:type="dxa"/>
            <w:vAlign w:val="center"/>
          </w:tcPr>
          <w:p w14:paraId="1E4885D6" w14:textId="77777777" w:rsidR="0089207C" w:rsidRPr="00AC3044" w:rsidRDefault="0089207C" w:rsidP="002D3EBF">
            <w:pPr>
              <w:rPr>
                <w:rFonts w:eastAsia="SimSun"/>
              </w:rPr>
            </w:pPr>
            <w:r w:rsidRPr="00AC3044">
              <w:rPr>
                <w:rFonts w:eastAsia="SimSun"/>
              </w:rPr>
              <w:t>Курсовая доза</w:t>
            </w:r>
          </w:p>
        </w:tc>
        <w:tc>
          <w:tcPr>
            <w:tcW w:w="1783" w:type="dxa"/>
            <w:vAlign w:val="center"/>
          </w:tcPr>
          <w:p w14:paraId="5F433131" w14:textId="77777777" w:rsidR="0089207C" w:rsidRPr="00AC3044" w:rsidRDefault="0089207C" w:rsidP="002D3EBF">
            <w:pPr>
              <w:rPr>
                <w:rFonts w:eastAsia="SimSun"/>
              </w:rPr>
            </w:pPr>
            <w:r w:rsidRPr="00AC3044">
              <w:rPr>
                <w:rFonts w:eastAsia="SimSun"/>
              </w:rPr>
              <w:t>Дни введения</w:t>
            </w:r>
          </w:p>
        </w:tc>
        <w:tc>
          <w:tcPr>
            <w:tcW w:w="2267" w:type="dxa"/>
            <w:vAlign w:val="center"/>
          </w:tcPr>
          <w:p w14:paraId="2FC30576"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78D7630E" w14:textId="77777777" w:rsidTr="002D3EBF">
        <w:trPr>
          <w:cantSplit/>
          <w:trHeight w:val="20"/>
        </w:trPr>
        <w:tc>
          <w:tcPr>
            <w:tcW w:w="1142" w:type="dxa"/>
            <w:vMerge w:val="restart"/>
            <w:textDirection w:val="btLr"/>
            <w:vAlign w:val="center"/>
          </w:tcPr>
          <w:p w14:paraId="2F5133B1" w14:textId="77777777" w:rsidR="0089207C" w:rsidRPr="00AC3044" w:rsidRDefault="0089207C" w:rsidP="002D3EBF">
            <w:pPr>
              <w:rPr>
                <w:rFonts w:eastAsia="SimSun"/>
              </w:rPr>
            </w:pPr>
            <w:r w:rsidRPr="00AC3044">
              <w:rPr>
                <w:rFonts w:eastAsia="SimSun"/>
              </w:rPr>
              <w:t>Кондиционирование</w:t>
            </w:r>
          </w:p>
        </w:tc>
        <w:tc>
          <w:tcPr>
            <w:tcW w:w="1709" w:type="dxa"/>
            <w:vAlign w:val="center"/>
          </w:tcPr>
          <w:p w14:paraId="5938D741" w14:textId="77777777" w:rsidR="0089207C" w:rsidRPr="00AC3044" w:rsidRDefault="0089207C" w:rsidP="002D3EBF">
            <w:pPr>
              <w:rPr>
                <w:rFonts w:eastAsia="SimSun"/>
              </w:rPr>
            </w:pPr>
            <w:r w:rsidRPr="00AC3044">
              <w:rPr>
                <w:rFonts w:eastAsia="SimSun"/>
              </w:rPr>
              <w:t xml:space="preserve">Флударабин </w:t>
            </w:r>
          </w:p>
        </w:tc>
        <w:tc>
          <w:tcPr>
            <w:tcW w:w="1395" w:type="dxa"/>
            <w:vAlign w:val="center"/>
          </w:tcPr>
          <w:p w14:paraId="74A6BD2A" w14:textId="77777777" w:rsidR="0089207C" w:rsidRPr="00AC3044" w:rsidRDefault="0089207C" w:rsidP="002D3EBF">
            <w:pPr>
              <w:rPr>
                <w:rFonts w:eastAsia="SimSun"/>
              </w:rPr>
            </w:pPr>
            <w:r w:rsidRPr="00AC3044">
              <w:rPr>
                <w:rFonts w:eastAsia="SimSun"/>
              </w:rPr>
              <w:t>30 мг/м</w:t>
            </w:r>
            <w:r w:rsidRPr="001E6DBE">
              <w:rPr>
                <w:rFonts w:eastAsia="SimSun"/>
                <w:vertAlign w:val="superscript"/>
              </w:rPr>
              <w:t>2</w:t>
            </w:r>
          </w:p>
        </w:tc>
        <w:tc>
          <w:tcPr>
            <w:tcW w:w="1367" w:type="dxa"/>
            <w:vAlign w:val="center"/>
          </w:tcPr>
          <w:p w14:paraId="3BB3EB52" w14:textId="77777777" w:rsidR="0089207C" w:rsidRPr="00AC3044" w:rsidRDefault="0089207C" w:rsidP="002D3EBF">
            <w:pPr>
              <w:rPr>
                <w:rFonts w:eastAsia="SimSun"/>
              </w:rPr>
            </w:pPr>
            <w:r w:rsidRPr="00AC3044">
              <w:rPr>
                <w:rFonts w:eastAsia="SimSun"/>
              </w:rPr>
              <w:t>180 мг/м</w:t>
            </w:r>
            <w:r w:rsidRPr="001E6DBE">
              <w:rPr>
                <w:rFonts w:eastAsia="SimSun"/>
                <w:vertAlign w:val="superscript"/>
              </w:rPr>
              <w:t>2</w:t>
            </w:r>
          </w:p>
        </w:tc>
        <w:tc>
          <w:tcPr>
            <w:tcW w:w="1783" w:type="dxa"/>
            <w:vAlign w:val="center"/>
          </w:tcPr>
          <w:p w14:paraId="00577465" w14:textId="77777777" w:rsidR="0089207C" w:rsidRPr="00AC3044" w:rsidRDefault="0089207C" w:rsidP="002D3EBF">
            <w:pPr>
              <w:rPr>
                <w:rFonts w:eastAsia="SimSun"/>
              </w:rPr>
            </w:pPr>
            <w:r w:rsidRPr="00AC3044">
              <w:rPr>
                <w:rFonts w:eastAsia="SimSun"/>
              </w:rPr>
              <w:t>С -7 дня по -2 день</w:t>
            </w:r>
          </w:p>
        </w:tc>
        <w:tc>
          <w:tcPr>
            <w:tcW w:w="2267" w:type="dxa"/>
            <w:vAlign w:val="center"/>
          </w:tcPr>
          <w:p w14:paraId="361904BC"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0A417DBF" w14:textId="77777777" w:rsidTr="002D3EBF">
        <w:trPr>
          <w:cantSplit/>
          <w:trHeight w:val="547"/>
        </w:trPr>
        <w:tc>
          <w:tcPr>
            <w:tcW w:w="1142" w:type="dxa"/>
            <w:vMerge/>
            <w:vAlign w:val="center"/>
          </w:tcPr>
          <w:p w14:paraId="7A00189A" w14:textId="77777777" w:rsidR="0089207C" w:rsidRPr="00AC3044" w:rsidRDefault="0089207C" w:rsidP="002D3EBF">
            <w:pPr>
              <w:rPr>
                <w:rFonts w:eastAsia="SimSun"/>
              </w:rPr>
            </w:pPr>
          </w:p>
        </w:tc>
        <w:tc>
          <w:tcPr>
            <w:tcW w:w="1709" w:type="dxa"/>
            <w:vAlign w:val="center"/>
          </w:tcPr>
          <w:p w14:paraId="70BCCA59" w14:textId="77777777" w:rsidR="0089207C" w:rsidRPr="00AC3044" w:rsidRDefault="0089207C" w:rsidP="002D3EBF">
            <w:pPr>
              <w:rPr>
                <w:rFonts w:eastAsia="SimSun"/>
              </w:rPr>
            </w:pPr>
            <w:r w:rsidRPr="00AC3044">
              <w:rPr>
                <w:rFonts w:eastAsia="SimSun"/>
              </w:rPr>
              <w:t>Бусульфан</w:t>
            </w:r>
          </w:p>
        </w:tc>
        <w:tc>
          <w:tcPr>
            <w:tcW w:w="1395" w:type="dxa"/>
            <w:vAlign w:val="center"/>
          </w:tcPr>
          <w:p w14:paraId="15ABA2A8" w14:textId="77777777" w:rsidR="0089207C" w:rsidRPr="00AC3044" w:rsidRDefault="0089207C" w:rsidP="002D3EBF">
            <w:pPr>
              <w:rPr>
                <w:rFonts w:eastAsia="SimSun"/>
              </w:rPr>
            </w:pPr>
            <w:r w:rsidRPr="00AC3044">
              <w:rPr>
                <w:rFonts w:eastAsia="SimSun"/>
              </w:rPr>
              <w:t xml:space="preserve">4 мг/кг </w:t>
            </w:r>
          </w:p>
        </w:tc>
        <w:tc>
          <w:tcPr>
            <w:tcW w:w="1367" w:type="dxa"/>
            <w:vAlign w:val="center"/>
          </w:tcPr>
          <w:p w14:paraId="748BD747" w14:textId="77777777" w:rsidR="0089207C" w:rsidRPr="00AC3044" w:rsidRDefault="0089207C" w:rsidP="002D3EBF">
            <w:pPr>
              <w:rPr>
                <w:rFonts w:eastAsia="SimSun"/>
              </w:rPr>
            </w:pPr>
            <w:r w:rsidRPr="00AC3044">
              <w:rPr>
                <w:rFonts w:eastAsia="SimSun"/>
              </w:rPr>
              <w:t xml:space="preserve">12 мг/кг </w:t>
            </w:r>
          </w:p>
        </w:tc>
        <w:tc>
          <w:tcPr>
            <w:tcW w:w="1783" w:type="dxa"/>
            <w:vAlign w:val="center"/>
          </w:tcPr>
          <w:p w14:paraId="33CEAD3D" w14:textId="77777777" w:rsidR="0089207C" w:rsidRPr="00AC3044" w:rsidRDefault="0089207C" w:rsidP="002D3EBF">
            <w:pPr>
              <w:rPr>
                <w:rFonts w:eastAsia="SimSun"/>
              </w:rPr>
            </w:pPr>
            <w:r w:rsidRPr="00AC3044">
              <w:rPr>
                <w:rFonts w:eastAsia="SimSun"/>
              </w:rPr>
              <w:t>С -5 дня по -3 день</w:t>
            </w:r>
          </w:p>
        </w:tc>
        <w:tc>
          <w:tcPr>
            <w:tcW w:w="2267" w:type="dxa"/>
            <w:vAlign w:val="center"/>
          </w:tcPr>
          <w:p w14:paraId="1AD8CD1C"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w:t>
            </w:r>
          </w:p>
        </w:tc>
      </w:tr>
      <w:tr w:rsidR="0089207C" w:rsidRPr="00AC3044" w14:paraId="74EB7E1C" w14:textId="77777777" w:rsidTr="002D3EBF">
        <w:trPr>
          <w:cantSplit/>
          <w:trHeight w:val="1498"/>
        </w:trPr>
        <w:tc>
          <w:tcPr>
            <w:tcW w:w="1142" w:type="dxa"/>
            <w:vMerge w:val="restart"/>
            <w:textDirection w:val="btLr"/>
            <w:vAlign w:val="center"/>
          </w:tcPr>
          <w:p w14:paraId="0D81C24F" w14:textId="77777777" w:rsidR="0089207C" w:rsidRPr="00AC3044" w:rsidRDefault="0089207C" w:rsidP="002D3EBF">
            <w:pPr>
              <w:rPr>
                <w:rFonts w:eastAsia="SimSun"/>
              </w:rPr>
            </w:pPr>
            <w:r w:rsidRPr="00AC3044">
              <w:rPr>
                <w:rFonts w:eastAsia="SimSun"/>
              </w:rPr>
              <w:t>Профилактика РТПХ</w:t>
            </w:r>
          </w:p>
        </w:tc>
        <w:tc>
          <w:tcPr>
            <w:tcW w:w="1709" w:type="dxa"/>
            <w:vAlign w:val="center"/>
          </w:tcPr>
          <w:p w14:paraId="460813D6" w14:textId="77777777" w:rsidR="0089207C" w:rsidRPr="00AC3044" w:rsidRDefault="0089207C" w:rsidP="002D3EBF">
            <w:pPr>
              <w:rPr>
                <w:rFonts w:eastAsia="SimSun"/>
              </w:rPr>
            </w:pPr>
            <w:r w:rsidRPr="00AC3044">
              <w:rPr>
                <w:rFonts w:eastAsia="SimSun"/>
              </w:rPr>
              <w:t xml:space="preserve">Такролимус </w:t>
            </w:r>
          </w:p>
        </w:tc>
        <w:tc>
          <w:tcPr>
            <w:tcW w:w="1395" w:type="dxa"/>
            <w:vAlign w:val="center"/>
          </w:tcPr>
          <w:p w14:paraId="3EEDC8FE" w14:textId="77777777" w:rsidR="0089207C" w:rsidRPr="00AC3044" w:rsidRDefault="0089207C" w:rsidP="002D3EBF">
            <w:pPr>
              <w:rPr>
                <w:rFonts w:eastAsia="SimSun"/>
              </w:rPr>
            </w:pPr>
            <w:r w:rsidRPr="00AC3044">
              <w:rPr>
                <w:rFonts w:eastAsia="SimSun"/>
              </w:rPr>
              <w:t>0,03 мг/кг</w:t>
            </w:r>
          </w:p>
        </w:tc>
        <w:tc>
          <w:tcPr>
            <w:tcW w:w="1367" w:type="dxa"/>
            <w:vAlign w:val="center"/>
          </w:tcPr>
          <w:p w14:paraId="4344805B" w14:textId="77777777" w:rsidR="0089207C" w:rsidRPr="00AC3044" w:rsidRDefault="0089207C" w:rsidP="002D3EBF">
            <w:pPr>
              <w:rPr>
                <w:rFonts w:eastAsia="SimSun"/>
              </w:rPr>
            </w:pPr>
            <w:r w:rsidRPr="00AC3044">
              <w:rPr>
                <w:rFonts w:eastAsia="SimSun"/>
              </w:rPr>
              <w:t>–</w:t>
            </w:r>
          </w:p>
        </w:tc>
        <w:tc>
          <w:tcPr>
            <w:tcW w:w="1783" w:type="dxa"/>
            <w:vAlign w:val="center"/>
          </w:tcPr>
          <w:p w14:paraId="35FCF2DC" w14:textId="77777777" w:rsidR="0089207C" w:rsidRPr="00AC3044" w:rsidRDefault="0089207C" w:rsidP="002D3EBF">
            <w:pPr>
              <w:rPr>
                <w:rFonts w:eastAsia="SimSun"/>
              </w:rPr>
            </w:pPr>
            <w:r w:rsidRPr="00AC3044">
              <w:rPr>
                <w:rFonts w:eastAsia="SimSun"/>
              </w:rPr>
              <w:t xml:space="preserve">С +5 дня длительно </w:t>
            </w:r>
          </w:p>
        </w:tc>
        <w:tc>
          <w:tcPr>
            <w:tcW w:w="2267" w:type="dxa"/>
            <w:vAlign w:val="center"/>
          </w:tcPr>
          <w:p w14:paraId="43FDA68E" w14:textId="77777777" w:rsidR="0089207C" w:rsidRPr="00AC3044" w:rsidRDefault="0089207C" w:rsidP="002D3EBF">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DB259E">
              <w:rPr>
                <w:rFonts w:eastAsia="SimSun"/>
                <w:vertAlign w:val="superscript"/>
              </w:rPr>
              <w:t>9</w:t>
            </w:r>
            <w:r w:rsidRPr="00AC3044">
              <w:rPr>
                <w:rFonts w:eastAsia="SimSun"/>
              </w:rPr>
              <w:t>/л, при</w:t>
            </w:r>
            <w:r>
              <w:rPr>
                <w:rFonts w:eastAsia="SimSun"/>
              </w:rPr>
              <w:t xml:space="preserve"> </w:t>
            </w:r>
            <w:r w:rsidRPr="00AC3044">
              <w:rPr>
                <w:rFonts w:eastAsia="SimSun"/>
              </w:rPr>
              <w:t xml:space="preserve">отсутствии тошноты, рвоты, диареи и возможности приема внутрь. Концентрация Tx 5-15 нг/мл.    </w:t>
            </w:r>
          </w:p>
        </w:tc>
      </w:tr>
      <w:tr w:rsidR="0089207C" w:rsidRPr="00AC3044" w14:paraId="4CEFDF17" w14:textId="77777777" w:rsidTr="002D3EBF">
        <w:trPr>
          <w:cantSplit/>
          <w:trHeight w:val="625"/>
        </w:trPr>
        <w:tc>
          <w:tcPr>
            <w:tcW w:w="1142" w:type="dxa"/>
            <w:vMerge/>
            <w:textDirection w:val="btLr"/>
            <w:vAlign w:val="center"/>
          </w:tcPr>
          <w:p w14:paraId="0951E0ED" w14:textId="77777777" w:rsidR="0089207C" w:rsidRPr="00AC3044" w:rsidRDefault="0089207C" w:rsidP="002D3EBF">
            <w:pPr>
              <w:rPr>
                <w:rFonts w:eastAsia="SimSun"/>
              </w:rPr>
            </w:pPr>
          </w:p>
        </w:tc>
        <w:tc>
          <w:tcPr>
            <w:tcW w:w="1709" w:type="dxa"/>
            <w:vAlign w:val="center"/>
          </w:tcPr>
          <w:p w14:paraId="252E952D" w14:textId="77777777" w:rsidR="0089207C" w:rsidRPr="00AC3044" w:rsidRDefault="0089207C" w:rsidP="002D3EBF">
            <w:pPr>
              <w:rPr>
                <w:rFonts w:eastAsia="SimSun"/>
              </w:rPr>
            </w:pPr>
            <w:r w:rsidRPr="00AC3044">
              <w:rPr>
                <w:rFonts w:eastAsia="SimSun"/>
              </w:rPr>
              <w:t>Микофенолата мофетил</w:t>
            </w:r>
          </w:p>
        </w:tc>
        <w:tc>
          <w:tcPr>
            <w:tcW w:w="1395" w:type="dxa"/>
            <w:vAlign w:val="center"/>
          </w:tcPr>
          <w:p w14:paraId="071DB837" w14:textId="77777777" w:rsidR="0089207C" w:rsidRPr="00AC3044" w:rsidRDefault="0089207C" w:rsidP="002D3EBF">
            <w:pPr>
              <w:rPr>
                <w:rFonts w:eastAsia="SimSun"/>
              </w:rPr>
            </w:pPr>
            <w:r w:rsidRPr="00AC3044">
              <w:rPr>
                <w:rFonts w:eastAsia="SimSun"/>
              </w:rPr>
              <w:t xml:space="preserve">30 мг/кг </w:t>
            </w:r>
          </w:p>
        </w:tc>
        <w:tc>
          <w:tcPr>
            <w:tcW w:w="1367" w:type="dxa"/>
            <w:vAlign w:val="center"/>
          </w:tcPr>
          <w:p w14:paraId="1A30D9CB" w14:textId="77777777" w:rsidR="0089207C" w:rsidRPr="00AC3044" w:rsidRDefault="0089207C" w:rsidP="002D3EBF">
            <w:pPr>
              <w:rPr>
                <w:rFonts w:eastAsia="SimSun"/>
              </w:rPr>
            </w:pPr>
            <w:r w:rsidRPr="00AC3044">
              <w:rPr>
                <w:rFonts w:eastAsia="SimSun"/>
              </w:rPr>
              <w:t>–</w:t>
            </w:r>
          </w:p>
        </w:tc>
        <w:tc>
          <w:tcPr>
            <w:tcW w:w="1783" w:type="dxa"/>
            <w:vAlign w:val="center"/>
          </w:tcPr>
          <w:p w14:paraId="5F2002FB" w14:textId="77777777" w:rsidR="0089207C" w:rsidRPr="00AC3044" w:rsidRDefault="0089207C" w:rsidP="002D3EBF">
            <w:pPr>
              <w:rPr>
                <w:rFonts w:eastAsia="SimSun"/>
              </w:rPr>
            </w:pPr>
            <w:r w:rsidRPr="00AC3044">
              <w:rPr>
                <w:rFonts w:eastAsia="SimSun"/>
              </w:rPr>
              <w:t xml:space="preserve">С +5 дня по +35 день </w:t>
            </w:r>
          </w:p>
        </w:tc>
        <w:tc>
          <w:tcPr>
            <w:tcW w:w="2267" w:type="dxa"/>
            <w:vAlign w:val="center"/>
          </w:tcPr>
          <w:p w14:paraId="6A1F46E6" w14:textId="77777777" w:rsidR="0089207C" w:rsidRPr="00AC3044" w:rsidRDefault="0089207C" w:rsidP="002D3EBF">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294E40A9" w14:textId="77777777" w:rsidR="0089207C" w:rsidRDefault="0089207C" w:rsidP="0089207C">
      <w:pPr>
        <w:rPr>
          <w:rFonts w:eastAsia="SimSun"/>
        </w:rPr>
      </w:pPr>
      <w:bookmarkStart w:id="242" w:name="_Toc44401193"/>
    </w:p>
    <w:p w14:paraId="3A135BED" w14:textId="77777777" w:rsidR="0089207C" w:rsidRDefault="0089207C" w:rsidP="0089207C">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2.1.7  – Flu180+Bu14 / PT-Cy</w:t>
      </w:r>
      <w:bookmarkStart w:id="243" w:name="_Toc44401194"/>
      <w:bookmarkEnd w:id="242"/>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76"/>
        <w:gridCol w:w="1731"/>
        <w:gridCol w:w="1399"/>
        <w:gridCol w:w="1272"/>
        <w:gridCol w:w="1760"/>
        <w:gridCol w:w="2234"/>
      </w:tblGrid>
      <w:tr w:rsidR="0089207C" w:rsidRPr="00AC3044" w14:paraId="1E64EE4C" w14:textId="77777777" w:rsidTr="002D3EBF">
        <w:trPr>
          <w:cantSplit/>
          <w:trHeight w:val="20"/>
          <w:tblHeader/>
        </w:trPr>
        <w:tc>
          <w:tcPr>
            <w:tcW w:w="1176" w:type="dxa"/>
            <w:vAlign w:val="center"/>
          </w:tcPr>
          <w:p w14:paraId="13BA6659" w14:textId="77777777" w:rsidR="0089207C" w:rsidRPr="00AC3044" w:rsidRDefault="0089207C" w:rsidP="002D3EBF">
            <w:pPr>
              <w:rPr>
                <w:rFonts w:eastAsia="SimSun"/>
              </w:rPr>
            </w:pPr>
            <w:r w:rsidRPr="00AC3044">
              <w:rPr>
                <w:rFonts w:eastAsia="SimSun"/>
              </w:rPr>
              <w:tab/>
            </w:r>
          </w:p>
        </w:tc>
        <w:tc>
          <w:tcPr>
            <w:tcW w:w="1731" w:type="dxa"/>
            <w:vAlign w:val="center"/>
          </w:tcPr>
          <w:p w14:paraId="70F5103D" w14:textId="77777777" w:rsidR="0089207C" w:rsidRPr="00AC3044" w:rsidRDefault="0089207C" w:rsidP="002D3EBF">
            <w:pPr>
              <w:rPr>
                <w:rFonts w:eastAsia="SimSun"/>
              </w:rPr>
            </w:pPr>
            <w:r w:rsidRPr="00AC3044">
              <w:rPr>
                <w:rFonts w:eastAsia="SimSun"/>
              </w:rPr>
              <w:t>Препарат</w:t>
            </w:r>
          </w:p>
        </w:tc>
        <w:tc>
          <w:tcPr>
            <w:tcW w:w="1399" w:type="dxa"/>
            <w:vAlign w:val="center"/>
          </w:tcPr>
          <w:p w14:paraId="047CDEF0" w14:textId="77777777" w:rsidR="0089207C" w:rsidRPr="00AC3044" w:rsidRDefault="0089207C" w:rsidP="002D3EBF">
            <w:pPr>
              <w:rPr>
                <w:rFonts w:eastAsia="SimSun"/>
              </w:rPr>
            </w:pPr>
            <w:r w:rsidRPr="00AC3044">
              <w:rPr>
                <w:rFonts w:eastAsia="SimSun"/>
              </w:rPr>
              <w:t>Суточная доза</w:t>
            </w:r>
          </w:p>
        </w:tc>
        <w:tc>
          <w:tcPr>
            <w:tcW w:w="1272" w:type="dxa"/>
            <w:vAlign w:val="center"/>
          </w:tcPr>
          <w:p w14:paraId="45814A85" w14:textId="77777777" w:rsidR="0089207C" w:rsidRPr="00AC3044" w:rsidRDefault="0089207C" w:rsidP="002D3EBF">
            <w:pPr>
              <w:rPr>
                <w:rFonts w:eastAsia="SimSun"/>
              </w:rPr>
            </w:pPr>
            <w:r w:rsidRPr="00AC3044">
              <w:rPr>
                <w:rFonts w:eastAsia="SimSun"/>
              </w:rPr>
              <w:t>Курсовая доза</w:t>
            </w:r>
          </w:p>
        </w:tc>
        <w:tc>
          <w:tcPr>
            <w:tcW w:w="1760" w:type="dxa"/>
            <w:vAlign w:val="center"/>
          </w:tcPr>
          <w:p w14:paraId="0C14A60A" w14:textId="77777777" w:rsidR="0089207C" w:rsidRPr="00AC3044" w:rsidRDefault="0089207C" w:rsidP="002D3EBF">
            <w:pPr>
              <w:rPr>
                <w:rFonts w:eastAsia="SimSun"/>
              </w:rPr>
            </w:pPr>
            <w:r w:rsidRPr="00AC3044">
              <w:rPr>
                <w:rFonts w:eastAsia="SimSun"/>
              </w:rPr>
              <w:t>Дни введения</w:t>
            </w:r>
          </w:p>
        </w:tc>
        <w:tc>
          <w:tcPr>
            <w:tcW w:w="2234" w:type="dxa"/>
            <w:vAlign w:val="center"/>
          </w:tcPr>
          <w:p w14:paraId="0F327952"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6C51D605" w14:textId="77777777" w:rsidTr="002D3EBF">
        <w:trPr>
          <w:cantSplit/>
          <w:trHeight w:val="20"/>
        </w:trPr>
        <w:tc>
          <w:tcPr>
            <w:tcW w:w="1176" w:type="dxa"/>
            <w:vMerge w:val="restart"/>
            <w:textDirection w:val="btLr"/>
            <w:vAlign w:val="center"/>
          </w:tcPr>
          <w:p w14:paraId="2116933B" w14:textId="77777777" w:rsidR="0089207C" w:rsidRPr="00AC3044" w:rsidRDefault="0089207C" w:rsidP="002D3EBF">
            <w:pPr>
              <w:rPr>
                <w:rFonts w:eastAsia="SimSun"/>
              </w:rPr>
            </w:pPr>
            <w:r w:rsidRPr="00AC3044">
              <w:rPr>
                <w:rFonts w:eastAsia="SimSun"/>
              </w:rPr>
              <w:t>Кондиционирование</w:t>
            </w:r>
          </w:p>
        </w:tc>
        <w:tc>
          <w:tcPr>
            <w:tcW w:w="1731" w:type="dxa"/>
            <w:vAlign w:val="center"/>
          </w:tcPr>
          <w:p w14:paraId="7A1B0C0E" w14:textId="77777777" w:rsidR="0089207C" w:rsidRPr="00AC3044" w:rsidRDefault="0089207C" w:rsidP="002D3EBF">
            <w:pPr>
              <w:rPr>
                <w:rFonts w:eastAsia="SimSun"/>
              </w:rPr>
            </w:pPr>
            <w:r w:rsidRPr="00AC3044">
              <w:rPr>
                <w:rFonts w:eastAsia="SimSun"/>
              </w:rPr>
              <w:t xml:space="preserve">Флударабин </w:t>
            </w:r>
          </w:p>
        </w:tc>
        <w:tc>
          <w:tcPr>
            <w:tcW w:w="1399" w:type="dxa"/>
            <w:vAlign w:val="center"/>
          </w:tcPr>
          <w:p w14:paraId="7AAA7C2E" w14:textId="77777777" w:rsidR="0089207C" w:rsidRPr="00AC3044" w:rsidRDefault="0089207C" w:rsidP="002D3EBF">
            <w:pPr>
              <w:rPr>
                <w:rFonts w:eastAsia="SimSun"/>
              </w:rPr>
            </w:pPr>
            <w:r w:rsidRPr="00AC3044">
              <w:rPr>
                <w:rFonts w:eastAsia="SimSun"/>
              </w:rPr>
              <w:t>30 мг/м</w:t>
            </w:r>
            <w:r w:rsidRPr="00DB259E">
              <w:rPr>
                <w:rFonts w:eastAsia="SimSun"/>
                <w:vertAlign w:val="superscript"/>
              </w:rPr>
              <w:t>2</w:t>
            </w:r>
          </w:p>
        </w:tc>
        <w:tc>
          <w:tcPr>
            <w:tcW w:w="1272" w:type="dxa"/>
            <w:vAlign w:val="center"/>
          </w:tcPr>
          <w:p w14:paraId="796ADDBA" w14:textId="77777777" w:rsidR="0089207C" w:rsidRPr="00AC3044" w:rsidRDefault="0089207C" w:rsidP="002D3EBF">
            <w:pPr>
              <w:rPr>
                <w:rFonts w:eastAsia="SimSun"/>
              </w:rPr>
            </w:pPr>
            <w:r w:rsidRPr="00AC3044">
              <w:rPr>
                <w:rFonts w:eastAsia="SimSun"/>
              </w:rPr>
              <w:t>180 мг/м</w:t>
            </w:r>
            <w:r w:rsidRPr="00DB259E">
              <w:rPr>
                <w:rFonts w:eastAsia="SimSun"/>
                <w:vertAlign w:val="superscript"/>
              </w:rPr>
              <w:t>2</w:t>
            </w:r>
          </w:p>
        </w:tc>
        <w:tc>
          <w:tcPr>
            <w:tcW w:w="1760" w:type="dxa"/>
            <w:vAlign w:val="center"/>
          </w:tcPr>
          <w:p w14:paraId="13C933DD" w14:textId="77777777" w:rsidR="0089207C" w:rsidRPr="00AC3044" w:rsidRDefault="0089207C" w:rsidP="002D3EBF">
            <w:pPr>
              <w:rPr>
                <w:rFonts w:eastAsia="SimSun"/>
              </w:rPr>
            </w:pPr>
            <w:r w:rsidRPr="00AC3044">
              <w:rPr>
                <w:rFonts w:eastAsia="SimSun"/>
              </w:rPr>
              <w:t>С -7 дня по -2 день</w:t>
            </w:r>
          </w:p>
        </w:tc>
        <w:tc>
          <w:tcPr>
            <w:tcW w:w="2234" w:type="dxa"/>
            <w:vAlign w:val="center"/>
          </w:tcPr>
          <w:p w14:paraId="28D7728A"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4E642C6C" w14:textId="77777777" w:rsidTr="002D3EBF">
        <w:trPr>
          <w:cantSplit/>
          <w:trHeight w:val="1207"/>
        </w:trPr>
        <w:tc>
          <w:tcPr>
            <w:tcW w:w="1176" w:type="dxa"/>
            <w:vMerge/>
            <w:vAlign w:val="center"/>
          </w:tcPr>
          <w:p w14:paraId="1A8C7F5F" w14:textId="77777777" w:rsidR="0089207C" w:rsidRPr="00AC3044" w:rsidRDefault="0089207C" w:rsidP="002D3EBF">
            <w:pPr>
              <w:rPr>
                <w:rFonts w:eastAsia="SimSun"/>
              </w:rPr>
            </w:pPr>
          </w:p>
        </w:tc>
        <w:tc>
          <w:tcPr>
            <w:tcW w:w="1731" w:type="dxa"/>
            <w:vAlign w:val="center"/>
          </w:tcPr>
          <w:p w14:paraId="1AFF153D" w14:textId="77777777" w:rsidR="0089207C" w:rsidRPr="00AC3044" w:rsidRDefault="0089207C" w:rsidP="002D3EBF">
            <w:pPr>
              <w:rPr>
                <w:rFonts w:eastAsia="SimSun"/>
              </w:rPr>
            </w:pPr>
            <w:r w:rsidRPr="00AC3044">
              <w:rPr>
                <w:rFonts w:eastAsia="SimSun"/>
              </w:rPr>
              <w:t>Бусульфан</w:t>
            </w:r>
          </w:p>
        </w:tc>
        <w:tc>
          <w:tcPr>
            <w:tcW w:w="1399" w:type="dxa"/>
            <w:vAlign w:val="center"/>
          </w:tcPr>
          <w:p w14:paraId="46DE81B4" w14:textId="77777777" w:rsidR="0089207C" w:rsidRPr="00AC3044" w:rsidRDefault="0089207C" w:rsidP="002D3EBF">
            <w:pPr>
              <w:rPr>
                <w:rFonts w:eastAsia="SimSun"/>
              </w:rPr>
            </w:pPr>
            <w:r w:rsidRPr="00AC3044">
              <w:rPr>
                <w:rFonts w:eastAsia="SimSun"/>
              </w:rPr>
              <w:t xml:space="preserve">4 мг/кг </w:t>
            </w:r>
          </w:p>
        </w:tc>
        <w:tc>
          <w:tcPr>
            <w:tcW w:w="1272" w:type="dxa"/>
            <w:vAlign w:val="center"/>
          </w:tcPr>
          <w:p w14:paraId="6122A73D" w14:textId="77777777" w:rsidR="0089207C" w:rsidRPr="00AC3044" w:rsidRDefault="0089207C" w:rsidP="002D3EBF">
            <w:pPr>
              <w:rPr>
                <w:rFonts w:eastAsia="SimSun"/>
              </w:rPr>
            </w:pPr>
            <w:r w:rsidRPr="00AC3044">
              <w:rPr>
                <w:rFonts w:eastAsia="SimSun"/>
              </w:rPr>
              <w:t xml:space="preserve">14 мг/кг </w:t>
            </w:r>
          </w:p>
        </w:tc>
        <w:tc>
          <w:tcPr>
            <w:tcW w:w="1760" w:type="dxa"/>
            <w:vAlign w:val="center"/>
          </w:tcPr>
          <w:p w14:paraId="0976A8A1" w14:textId="77777777" w:rsidR="0089207C" w:rsidRPr="00AC3044" w:rsidRDefault="0089207C" w:rsidP="002D3EBF">
            <w:pPr>
              <w:rPr>
                <w:rFonts w:eastAsia="SimSun"/>
              </w:rPr>
            </w:pPr>
            <w:r w:rsidRPr="00AC3044">
              <w:rPr>
                <w:rFonts w:eastAsia="SimSun"/>
              </w:rPr>
              <w:t>С -6 дня по -3 день</w:t>
            </w:r>
          </w:p>
        </w:tc>
        <w:tc>
          <w:tcPr>
            <w:tcW w:w="2234" w:type="dxa"/>
            <w:vAlign w:val="center"/>
          </w:tcPr>
          <w:p w14:paraId="282FD752"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89207C" w:rsidRPr="00AC3044" w14:paraId="1E5D8A0A" w14:textId="77777777" w:rsidTr="002D3EBF">
        <w:trPr>
          <w:cantSplit/>
          <w:trHeight w:val="1274"/>
        </w:trPr>
        <w:tc>
          <w:tcPr>
            <w:tcW w:w="1176" w:type="dxa"/>
            <w:textDirection w:val="btLr"/>
            <w:vAlign w:val="center"/>
          </w:tcPr>
          <w:p w14:paraId="7408F795" w14:textId="77777777" w:rsidR="0089207C" w:rsidRPr="00AC3044" w:rsidRDefault="0089207C" w:rsidP="002D3EBF">
            <w:pPr>
              <w:rPr>
                <w:rFonts w:eastAsia="SimSun"/>
              </w:rPr>
            </w:pPr>
            <w:r w:rsidRPr="00AC3044">
              <w:rPr>
                <w:rFonts w:eastAsia="SimSun"/>
              </w:rPr>
              <w:t>Профилактика РТПХ</w:t>
            </w:r>
          </w:p>
        </w:tc>
        <w:tc>
          <w:tcPr>
            <w:tcW w:w="1731" w:type="dxa"/>
            <w:vAlign w:val="center"/>
          </w:tcPr>
          <w:p w14:paraId="170F12DB" w14:textId="77777777" w:rsidR="0089207C" w:rsidRPr="00AC3044" w:rsidRDefault="0089207C" w:rsidP="002D3EBF">
            <w:pPr>
              <w:rPr>
                <w:rFonts w:eastAsia="SimSun"/>
              </w:rPr>
            </w:pPr>
            <w:r w:rsidRPr="00AC3044">
              <w:rPr>
                <w:rFonts w:eastAsia="SimSun"/>
              </w:rPr>
              <w:t>Циклофосфамид</w:t>
            </w:r>
          </w:p>
        </w:tc>
        <w:tc>
          <w:tcPr>
            <w:tcW w:w="1399" w:type="dxa"/>
            <w:vAlign w:val="center"/>
          </w:tcPr>
          <w:p w14:paraId="38531BA0" w14:textId="77777777" w:rsidR="0089207C" w:rsidRPr="00AC3044" w:rsidRDefault="0089207C" w:rsidP="002D3EBF">
            <w:pPr>
              <w:rPr>
                <w:rFonts w:eastAsia="SimSun"/>
              </w:rPr>
            </w:pPr>
            <w:r w:rsidRPr="00AC3044">
              <w:rPr>
                <w:rFonts w:eastAsia="SimSun"/>
              </w:rPr>
              <w:t>50 мг/кг</w:t>
            </w:r>
          </w:p>
        </w:tc>
        <w:tc>
          <w:tcPr>
            <w:tcW w:w="1272" w:type="dxa"/>
            <w:vAlign w:val="center"/>
          </w:tcPr>
          <w:p w14:paraId="67578836" w14:textId="77777777" w:rsidR="0089207C" w:rsidRPr="00AC3044" w:rsidRDefault="0089207C" w:rsidP="002D3EBF">
            <w:pPr>
              <w:rPr>
                <w:rFonts w:eastAsia="SimSun"/>
              </w:rPr>
            </w:pPr>
            <w:r w:rsidRPr="00AC3044">
              <w:rPr>
                <w:rFonts w:eastAsia="SimSun"/>
              </w:rPr>
              <w:t>100 мг/кг</w:t>
            </w:r>
          </w:p>
        </w:tc>
        <w:tc>
          <w:tcPr>
            <w:tcW w:w="1760" w:type="dxa"/>
            <w:vAlign w:val="center"/>
          </w:tcPr>
          <w:p w14:paraId="24117D93" w14:textId="77777777" w:rsidR="0089207C" w:rsidRPr="00AC3044" w:rsidRDefault="0089207C" w:rsidP="002D3EBF">
            <w:pPr>
              <w:rPr>
                <w:rFonts w:eastAsia="SimSun"/>
              </w:rPr>
            </w:pPr>
            <w:r w:rsidRPr="00AC3044">
              <w:rPr>
                <w:rFonts w:eastAsia="SimSun"/>
              </w:rPr>
              <w:t>С +3 дня по +4 день</w:t>
            </w:r>
          </w:p>
        </w:tc>
        <w:tc>
          <w:tcPr>
            <w:tcW w:w="2234" w:type="dxa"/>
            <w:vAlign w:val="center"/>
          </w:tcPr>
          <w:p w14:paraId="4E0B30D7" w14:textId="77777777" w:rsidR="0089207C" w:rsidRPr="00AC3044" w:rsidRDefault="0089207C" w:rsidP="002D3EBF">
            <w:pPr>
              <w:rPr>
                <w:rFonts w:eastAsia="SimSun"/>
              </w:rPr>
            </w:pPr>
            <w:r w:rsidRPr="00AC3044">
              <w:rPr>
                <w:rFonts w:eastAsia="SimSun"/>
              </w:rPr>
              <w:t>В/в, в течение 2 ч</w:t>
            </w:r>
          </w:p>
        </w:tc>
      </w:tr>
    </w:tbl>
    <w:p w14:paraId="0585649F" w14:textId="77777777" w:rsidR="0089207C" w:rsidRDefault="0089207C" w:rsidP="0089207C">
      <w:pPr>
        <w:rPr>
          <w:rFonts w:eastAsia="SimSun"/>
        </w:rPr>
      </w:pPr>
    </w:p>
    <w:p w14:paraId="6971EA12" w14:textId="77777777" w:rsidR="0089207C" w:rsidRPr="00C07B2E" w:rsidRDefault="0089207C" w:rsidP="0089207C">
      <w:pPr>
        <w:rPr>
          <w:rFonts w:eastAsia="SimSun"/>
        </w:rPr>
      </w:pPr>
      <w:r w:rsidRPr="00042499">
        <w:rPr>
          <w:rFonts w:eastAsia="SimSun"/>
        </w:rPr>
        <w:t>Таблица</w:t>
      </w:r>
      <w:r w:rsidRPr="00C07B2E">
        <w:rPr>
          <w:rFonts w:eastAsia="SimSun"/>
        </w:rPr>
        <w:t xml:space="preserve"> 4.2.1.8  – Flu180+Bu14 / PT-Cy+Tx+MMF30</w:t>
      </w:r>
      <w:bookmarkEnd w:id="243"/>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1418"/>
        <w:gridCol w:w="1275"/>
        <w:gridCol w:w="1702"/>
        <w:gridCol w:w="2268"/>
      </w:tblGrid>
      <w:tr w:rsidR="0089207C" w:rsidRPr="00AC3044" w14:paraId="02D52514" w14:textId="77777777" w:rsidTr="002D3EBF">
        <w:trPr>
          <w:cantSplit/>
          <w:trHeight w:val="20"/>
          <w:tblHeader/>
        </w:trPr>
        <w:tc>
          <w:tcPr>
            <w:tcW w:w="1242" w:type="dxa"/>
            <w:vAlign w:val="center"/>
          </w:tcPr>
          <w:p w14:paraId="522DAB3A" w14:textId="77777777" w:rsidR="0089207C" w:rsidRPr="00AC3044" w:rsidRDefault="0089207C" w:rsidP="002D3EBF">
            <w:pPr>
              <w:rPr>
                <w:rFonts w:eastAsia="SimSun"/>
              </w:rPr>
            </w:pPr>
          </w:p>
        </w:tc>
        <w:tc>
          <w:tcPr>
            <w:tcW w:w="1701" w:type="dxa"/>
            <w:vAlign w:val="center"/>
          </w:tcPr>
          <w:p w14:paraId="3D0E9F1F" w14:textId="77777777" w:rsidR="0089207C" w:rsidRPr="00AC3044" w:rsidRDefault="0089207C" w:rsidP="002D3EBF">
            <w:pPr>
              <w:rPr>
                <w:rFonts w:eastAsia="SimSun"/>
              </w:rPr>
            </w:pPr>
            <w:r w:rsidRPr="00AC3044">
              <w:rPr>
                <w:rFonts w:eastAsia="SimSun"/>
              </w:rPr>
              <w:t>Препарат</w:t>
            </w:r>
          </w:p>
        </w:tc>
        <w:tc>
          <w:tcPr>
            <w:tcW w:w="1418" w:type="dxa"/>
            <w:vAlign w:val="center"/>
          </w:tcPr>
          <w:p w14:paraId="74FB33F0" w14:textId="77777777" w:rsidR="0089207C" w:rsidRPr="00AC3044" w:rsidRDefault="0089207C" w:rsidP="002D3EBF">
            <w:pPr>
              <w:rPr>
                <w:rFonts w:eastAsia="SimSun"/>
              </w:rPr>
            </w:pPr>
            <w:r w:rsidRPr="00AC3044">
              <w:rPr>
                <w:rFonts w:eastAsia="SimSun"/>
              </w:rPr>
              <w:t>Суточная доза</w:t>
            </w:r>
          </w:p>
        </w:tc>
        <w:tc>
          <w:tcPr>
            <w:tcW w:w="1275" w:type="dxa"/>
            <w:vAlign w:val="center"/>
          </w:tcPr>
          <w:p w14:paraId="6404698F" w14:textId="77777777" w:rsidR="0089207C" w:rsidRPr="00AC3044" w:rsidRDefault="0089207C" w:rsidP="002D3EBF">
            <w:pPr>
              <w:rPr>
                <w:rFonts w:eastAsia="SimSun"/>
              </w:rPr>
            </w:pPr>
            <w:r w:rsidRPr="00AC3044">
              <w:rPr>
                <w:rFonts w:eastAsia="SimSun"/>
              </w:rPr>
              <w:t>Курсовая доза</w:t>
            </w:r>
          </w:p>
        </w:tc>
        <w:tc>
          <w:tcPr>
            <w:tcW w:w="1702" w:type="dxa"/>
            <w:vAlign w:val="center"/>
          </w:tcPr>
          <w:p w14:paraId="18527808"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2ED37FA8"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361BC91B" w14:textId="77777777" w:rsidTr="002D3EBF">
        <w:trPr>
          <w:cantSplit/>
          <w:trHeight w:val="20"/>
        </w:trPr>
        <w:tc>
          <w:tcPr>
            <w:tcW w:w="1242" w:type="dxa"/>
            <w:vMerge w:val="restart"/>
            <w:textDirection w:val="btLr"/>
            <w:vAlign w:val="center"/>
          </w:tcPr>
          <w:p w14:paraId="45FC29F6" w14:textId="77777777" w:rsidR="0089207C" w:rsidRPr="00AC3044" w:rsidRDefault="0089207C" w:rsidP="002D3EBF">
            <w:pPr>
              <w:rPr>
                <w:rFonts w:eastAsia="SimSun"/>
              </w:rPr>
            </w:pPr>
            <w:r w:rsidRPr="00AC3044">
              <w:rPr>
                <w:rFonts w:eastAsia="SimSun"/>
              </w:rPr>
              <w:t>Кондиционирование</w:t>
            </w:r>
          </w:p>
        </w:tc>
        <w:tc>
          <w:tcPr>
            <w:tcW w:w="1701" w:type="dxa"/>
            <w:vAlign w:val="center"/>
          </w:tcPr>
          <w:p w14:paraId="75E296F6" w14:textId="77777777" w:rsidR="0089207C" w:rsidRPr="00AC3044" w:rsidRDefault="0089207C" w:rsidP="002D3EBF">
            <w:pPr>
              <w:rPr>
                <w:rFonts w:eastAsia="SimSun"/>
              </w:rPr>
            </w:pPr>
            <w:r w:rsidRPr="00AC3044">
              <w:rPr>
                <w:rFonts w:eastAsia="SimSun"/>
              </w:rPr>
              <w:t xml:space="preserve">Флударабин </w:t>
            </w:r>
          </w:p>
        </w:tc>
        <w:tc>
          <w:tcPr>
            <w:tcW w:w="1418" w:type="dxa"/>
            <w:vAlign w:val="center"/>
          </w:tcPr>
          <w:p w14:paraId="10C64EFC" w14:textId="77777777" w:rsidR="0089207C" w:rsidRPr="00AC3044" w:rsidRDefault="0089207C" w:rsidP="002D3EBF">
            <w:pPr>
              <w:rPr>
                <w:rFonts w:eastAsia="SimSun"/>
              </w:rPr>
            </w:pPr>
            <w:r w:rsidRPr="00AC3044">
              <w:rPr>
                <w:rFonts w:eastAsia="SimSun"/>
              </w:rPr>
              <w:t>30 мг/м</w:t>
            </w:r>
            <w:r w:rsidRPr="00DB259E">
              <w:rPr>
                <w:rFonts w:eastAsia="SimSun"/>
                <w:vertAlign w:val="superscript"/>
              </w:rPr>
              <w:t>2</w:t>
            </w:r>
          </w:p>
        </w:tc>
        <w:tc>
          <w:tcPr>
            <w:tcW w:w="1275" w:type="dxa"/>
            <w:vAlign w:val="center"/>
          </w:tcPr>
          <w:p w14:paraId="22D0D784" w14:textId="77777777" w:rsidR="0089207C" w:rsidRPr="00AC3044" w:rsidRDefault="0089207C" w:rsidP="002D3EBF">
            <w:pPr>
              <w:rPr>
                <w:rFonts w:eastAsia="SimSun"/>
              </w:rPr>
            </w:pPr>
            <w:r w:rsidRPr="00AC3044">
              <w:rPr>
                <w:rFonts w:eastAsia="SimSun"/>
              </w:rPr>
              <w:t>180 мг/м</w:t>
            </w:r>
            <w:r w:rsidRPr="00DB259E">
              <w:rPr>
                <w:rFonts w:eastAsia="SimSun"/>
                <w:vertAlign w:val="superscript"/>
              </w:rPr>
              <w:t>2</w:t>
            </w:r>
          </w:p>
        </w:tc>
        <w:tc>
          <w:tcPr>
            <w:tcW w:w="1702" w:type="dxa"/>
            <w:vAlign w:val="center"/>
          </w:tcPr>
          <w:p w14:paraId="40E89EBF" w14:textId="77777777" w:rsidR="0089207C" w:rsidRPr="00AC3044" w:rsidRDefault="0089207C" w:rsidP="002D3EBF">
            <w:pPr>
              <w:rPr>
                <w:rFonts w:eastAsia="SimSun"/>
              </w:rPr>
            </w:pPr>
            <w:r w:rsidRPr="00AC3044">
              <w:rPr>
                <w:rFonts w:eastAsia="SimSun"/>
              </w:rPr>
              <w:t>С -7 дня по -2 день</w:t>
            </w:r>
          </w:p>
        </w:tc>
        <w:tc>
          <w:tcPr>
            <w:tcW w:w="2268" w:type="dxa"/>
            <w:vAlign w:val="center"/>
          </w:tcPr>
          <w:p w14:paraId="371EDD47"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4C88C128" w14:textId="77777777" w:rsidTr="002D3EBF">
        <w:trPr>
          <w:cantSplit/>
          <w:trHeight w:val="985"/>
        </w:trPr>
        <w:tc>
          <w:tcPr>
            <w:tcW w:w="1242" w:type="dxa"/>
            <w:vMerge/>
            <w:vAlign w:val="center"/>
          </w:tcPr>
          <w:p w14:paraId="62FEE241" w14:textId="77777777" w:rsidR="0089207C" w:rsidRPr="00AC3044" w:rsidRDefault="0089207C" w:rsidP="002D3EBF">
            <w:pPr>
              <w:rPr>
                <w:rFonts w:eastAsia="SimSun"/>
              </w:rPr>
            </w:pPr>
          </w:p>
        </w:tc>
        <w:tc>
          <w:tcPr>
            <w:tcW w:w="1701" w:type="dxa"/>
            <w:vAlign w:val="center"/>
          </w:tcPr>
          <w:p w14:paraId="673AC275" w14:textId="77777777" w:rsidR="0089207C" w:rsidRPr="00AC3044" w:rsidRDefault="0089207C" w:rsidP="002D3EBF">
            <w:pPr>
              <w:rPr>
                <w:rFonts w:eastAsia="SimSun"/>
              </w:rPr>
            </w:pPr>
            <w:r w:rsidRPr="00AC3044">
              <w:rPr>
                <w:rFonts w:eastAsia="SimSun"/>
              </w:rPr>
              <w:t>Бусульфан</w:t>
            </w:r>
          </w:p>
        </w:tc>
        <w:tc>
          <w:tcPr>
            <w:tcW w:w="1418" w:type="dxa"/>
            <w:vAlign w:val="center"/>
          </w:tcPr>
          <w:p w14:paraId="54430374" w14:textId="77777777" w:rsidR="0089207C" w:rsidRPr="00AC3044" w:rsidRDefault="0089207C" w:rsidP="002D3EBF">
            <w:pPr>
              <w:rPr>
                <w:rFonts w:eastAsia="SimSun"/>
              </w:rPr>
            </w:pPr>
            <w:r w:rsidRPr="00AC3044">
              <w:rPr>
                <w:rFonts w:eastAsia="SimSun"/>
              </w:rPr>
              <w:t xml:space="preserve">4 мг/кг </w:t>
            </w:r>
          </w:p>
        </w:tc>
        <w:tc>
          <w:tcPr>
            <w:tcW w:w="1275" w:type="dxa"/>
            <w:vAlign w:val="center"/>
          </w:tcPr>
          <w:p w14:paraId="29E86A22" w14:textId="77777777" w:rsidR="0089207C" w:rsidRPr="00AC3044" w:rsidRDefault="0089207C" w:rsidP="002D3EBF">
            <w:pPr>
              <w:rPr>
                <w:rFonts w:eastAsia="SimSun"/>
              </w:rPr>
            </w:pPr>
            <w:r w:rsidRPr="00AC3044">
              <w:rPr>
                <w:rFonts w:eastAsia="SimSun"/>
              </w:rPr>
              <w:t xml:space="preserve">14мг/кг </w:t>
            </w:r>
          </w:p>
        </w:tc>
        <w:tc>
          <w:tcPr>
            <w:tcW w:w="1702" w:type="dxa"/>
            <w:vAlign w:val="center"/>
          </w:tcPr>
          <w:p w14:paraId="543C70E5" w14:textId="77777777" w:rsidR="0089207C" w:rsidRPr="00AC3044" w:rsidRDefault="0089207C" w:rsidP="002D3EBF">
            <w:pPr>
              <w:rPr>
                <w:rFonts w:eastAsia="SimSun"/>
              </w:rPr>
            </w:pPr>
            <w:r w:rsidRPr="00AC3044">
              <w:rPr>
                <w:rFonts w:eastAsia="SimSun"/>
              </w:rPr>
              <w:t>С -6 дня по -3 день</w:t>
            </w:r>
          </w:p>
        </w:tc>
        <w:tc>
          <w:tcPr>
            <w:tcW w:w="2268" w:type="dxa"/>
            <w:vAlign w:val="center"/>
          </w:tcPr>
          <w:p w14:paraId="2DC3D32A"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89207C" w:rsidRPr="00AC3044" w14:paraId="16B403C3" w14:textId="77777777" w:rsidTr="002D3EBF">
        <w:trPr>
          <w:cantSplit/>
          <w:trHeight w:val="590"/>
        </w:trPr>
        <w:tc>
          <w:tcPr>
            <w:tcW w:w="1242" w:type="dxa"/>
            <w:vMerge w:val="restart"/>
            <w:textDirection w:val="btLr"/>
            <w:vAlign w:val="center"/>
          </w:tcPr>
          <w:p w14:paraId="3566FFA3" w14:textId="77777777" w:rsidR="0089207C" w:rsidRPr="00AC3044" w:rsidRDefault="0089207C" w:rsidP="002D3EBF">
            <w:pPr>
              <w:rPr>
                <w:rFonts w:eastAsia="SimSun"/>
              </w:rPr>
            </w:pPr>
            <w:r w:rsidRPr="00AC3044">
              <w:rPr>
                <w:rFonts w:eastAsia="SimSun"/>
              </w:rPr>
              <w:t>Профилактика РТПХ</w:t>
            </w:r>
          </w:p>
        </w:tc>
        <w:tc>
          <w:tcPr>
            <w:tcW w:w="1701" w:type="dxa"/>
            <w:vAlign w:val="center"/>
          </w:tcPr>
          <w:p w14:paraId="4B69DD77" w14:textId="77777777" w:rsidR="0089207C" w:rsidRPr="00AC3044" w:rsidRDefault="0089207C" w:rsidP="002D3EBF">
            <w:pPr>
              <w:rPr>
                <w:rFonts w:eastAsia="SimSun"/>
              </w:rPr>
            </w:pPr>
            <w:r w:rsidRPr="00AC3044">
              <w:rPr>
                <w:rFonts w:eastAsia="SimSun"/>
              </w:rPr>
              <w:t>Циклофосфамид</w:t>
            </w:r>
          </w:p>
        </w:tc>
        <w:tc>
          <w:tcPr>
            <w:tcW w:w="1418" w:type="dxa"/>
            <w:vAlign w:val="center"/>
          </w:tcPr>
          <w:p w14:paraId="3762027C" w14:textId="77777777" w:rsidR="0089207C" w:rsidRPr="00AC3044" w:rsidRDefault="0089207C" w:rsidP="002D3EBF">
            <w:pPr>
              <w:rPr>
                <w:rFonts w:eastAsia="SimSun"/>
              </w:rPr>
            </w:pPr>
            <w:r w:rsidRPr="00AC3044">
              <w:rPr>
                <w:rFonts w:eastAsia="SimSun"/>
              </w:rPr>
              <w:t>50 мг/кг</w:t>
            </w:r>
          </w:p>
        </w:tc>
        <w:tc>
          <w:tcPr>
            <w:tcW w:w="1275" w:type="dxa"/>
            <w:vAlign w:val="center"/>
          </w:tcPr>
          <w:p w14:paraId="46062A3C" w14:textId="77777777" w:rsidR="0089207C" w:rsidRPr="00AC3044" w:rsidRDefault="0089207C" w:rsidP="002D3EBF">
            <w:pPr>
              <w:rPr>
                <w:rFonts w:eastAsia="SimSun"/>
              </w:rPr>
            </w:pPr>
            <w:r w:rsidRPr="00AC3044">
              <w:rPr>
                <w:rFonts w:eastAsia="SimSun"/>
              </w:rPr>
              <w:t>100 мг/кг</w:t>
            </w:r>
          </w:p>
        </w:tc>
        <w:tc>
          <w:tcPr>
            <w:tcW w:w="1702" w:type="dxa"/>
            <w:vAlign w:val="center"/>
          </w:tcPr>
          <w:p w14:paraId="758F1BCE" w14:textId="77777777" w:rsidR="0089207C" w:rsidRPr="00AC3044" w:rsidRDefault="0089207C" w:rsidP="002D3EBF">
            <w:pPr>
              <w:rPr>
                <w:rFonts w:eastAsia="SimSun"/>
              </w:rPr>
            </w:pPr>
            <w:r w:rsidRPr="00AC3044">
              <w:rPr>
                <w:rFonts w:eastAsia="SimSun"/>
              </w:rPr>
              <w:t>С +3 дня по +4 день</w:t>
            </w:r>
          </w:p>
        </w:tc>
        <w:tc>
          <w:tcPr>
            <w:tcW w:w="2268" w:type="dxa"/>
            <w:vAlign w:val="center"/>
          </w:tcPr>
          <w:p w14:paraId="0E2AB024" w14:textId="77777777" w:rsidR="0089207C" w:rsidRPr="00AC3044" w:rsidRDefault="0089207C" w:rsidP="002D3EBF">
            <w:pPr>
              <w:rPr>
                <w:rFonts w:eastAsia="SimSun"/>
              </w:rPr>
            </w:pPr>
            <w:r w:rsidRPr="00AC3044">
              <w:rPr>
                <w:rFonts w:eastAsia="SimSun"/>
              </w:rPr>
              <w:t>В/в, в течение 2 ч</w:t>
            </w:r>
          </w:p>
        </w:tc>
      </w:tr>
      <w:tr w:rsidR="0089207C" w:rsidRPr="00AC3044" w14:paraId="066D77FB" w14:textId="77777777" w:rsidTr="002D3EBF">
        <w:trPr>
          <w:cantSplit/>
          <w:trHeight w:val="958"/>
        </w:trPr>
        <w:tc>
          <w:tcPr>
            <w:tcW w:w="1242" w:type="dxa"/>
            <w:vMerge/>
            <w:textDirection w:val="btLr"/>
            <w:vAlign w:val="center"/>
          </w:tcPr>
          <w:p w14:paraId="1301098A" w14:textId="77777777" w:rsidR="0089207C" w:rsidRPr="00AC3044" w:rsidRDefault="0089207C" w:rsidP="002D3EBF">
            <w:pPr>
              <w:rPr>
                <w:rFonts w:eastAsia="SimSun"/>
              </w:rPr>
            </w:pPr>
          </w:p>
        </w:tc>
        <w:tc>
          <w:tcPr>
            <w:tcW w:w="1701" w:type="dxa"/>
            <w:vAlign w:val="center"/>
          </w:tcPr>
          <w:p w14:paraId="29D7A15E" w14:textId="77777777" w:rsidR="0089207C" w:rsidRPr="00AC3044" w:rsidRDefault="0089207C" w:rsidP="002D3EBF">
            <w:pPr>
              <w:rPr>
                <w:rFonts w:eastAsia="SimSun"/>
              </w:rPr>
            </w:pPr>
            <w:r w:rsidRPr="00AC3044">
              <w:rPr>
                <w:rFonts w:eastAsia="SimSun"/>
              </w:rPr>
              <w:t xml:space="preserve">Такролимус </w:t>
            </w:r>
          </w:p>
        </w:tc>
        <w:tc>
          <w:tcPr>
            <w:tcW w:w="1418" w:type="dxa"/>
            <w:vAlign w:val="center"/>
          </w:tcPr>
          <w:p w14:paraId="50564965" w14:textId="77777777" w:rsidR="0089207C" w:rsidRPr="00AC3044" w:rsidRDefault="0089207C" w:rsidP="002D3EBF">
            <w:pPr>
              <w:rPr>
                <w:rFonts w:eastAsia="SimSun"/>
              </w:rPr>
            </w:pPr>
            <w:r w:rsidRPr="00AC3044">
              <w:rPr>
                <w:rFonts w:eastAsia="SimSun"/>
              </w:rPr>
              <w:t>0,03 мг/кг</w:t>
            </w:r>
          </w:p>
        </w:tc>
        <w:tc>
          <w:tcPr>
            <w:tcW w:w="1275" w:type="dxa"/>
            <w:vAlign w:val="center"/>
          </w:tcPr>
          <w:p w14:paraId="194A9504" w14:textId="77777777" w:rsidR="0089207C" w:rsidRPr="00AC3044" w:rsidRDefault="0089207C" w:rsidP="002D3EBF">
            <w:pPr>
              <w:rPr>
                <w:rFonts w:eastAsia="SimSun"/>
              </w:rPr>
            </w:pPr>
            <w:r w:rsidRPr="00AC3044">
              <w:rPr>
                <w:rFonts w:eastAsia="SimSun"/>
              </w:rPr>
              <w:t>–</w:t>
            </w:r>
          </w:p>
        </w:tc>
        <w:tc>
          <w:tcPr>
            <w:tcW w:w="1702" w:type="dxa"/>
            <w:vAlign w:val="center"/>
          </w:tcPr>
          <w:p w14:paraId="5D436E74" w14:textId="77777777" w:rsidR="0089207C" w:rsidRPr="00AC3044" w:rsidRDefault="0089207C" w:rsidP="002D3EBF">
            <w:pPr>
              <w:rPr>
                <w:rFonts w:eastAsia="SimSun"/>
              </w:rPr>
            </w:pPr>
            <w:r w:rsidRPr="00AC3044">
              <w:rPr>
                <w:rFonts w:eastAsia="SimSun"/>
              </w:rPr>
              <w:t xml:space="preserve">С +5 дня длительно </w:t>
            </w:r>
          </w:p>
        </w:tc>
        <w:tc>
          <w:tcPr>
            <w:tcW w:w="2268" w:type="dxa"/>
            <w:vAlign w:val="center"/>
          </w:tcPr>
          <w:p w14:paraId="7EF13439" w14:textId="77777777" w:rsidR="0089207C" w:rsidRPr="00AC3044" w:rsidRDefault="0089207C" w:rsidP="002D3EBF">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DB259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9207C" w:rsidRPr="00AC3044" w14:paraId="660CE95D" w14:textId="77777777" w:rsidTr="002D3EBF">
        <w:trPr>
          <w:cantSplit/>
          <w:trHeight w:val="508"/>
        </w:trPr>
        <w:tc>
          <w:tcPr>
            <w:tcW w:w="1242" w:type="dxa"/>
            <w:vMerge/>
            <w:textDirection w:val="btLr"/>
            <w:vAlign w:val="center"/>
          </w:tcPr>
          <w:p w14:paraId="30A082AB" w14:textId="77777777" w:rsidR="0089207C" w:rsidRPr="00AC3044" w:rsidRDefault="0089207C" w:rsidP="002D3EBF">
            <w:pPr>
              <w:rPr>
                <w:rFonts w:eastAsia="SimSun"/>
              </w:rPr>
            </w:pPr>
          </w:p>
        </w:tc>
        <w:tc>
          <w:tcPr>
            <w:tcW w:w="1701" w:type="dxa"/>
            <w:vAlign w:val="center"/>
          </w:tcPr>
          <w:p w14:paraId="18C1B397" w14:textId="77777777" w:rsidR="0089207C" w:rsidRPr="00AC3044" w:rsidRDefault="0089207C" w:rsidP="002D3EBF">
            <w:pPr>
              <w:rPr>
                <w:rFonts w:eastAsia="SimSun"/>
              </w:rPr>
            </w:pPr>
            <w:r w:rsidRPr="00AC3044">
              <w:rPr>
                <w:rFonts w:eastAsia="SimSun"/>
              </w:rPr>
              <w:t>Микофенолата мофетил</w:t>
            </w:r>
          </w:p>
        </w:tc>
        <w:tc>
          <w:tcPr>
            <w:tcW w:w="1418" w:type="dxa"/>
            <w:vAlign w:val="center"/>
          </w:tcPr>
          <w:p w14:paraId="5A1356AF" w14:textId="77777777" w:rsidR="0089207C" w:rsidRPr="00AC3044" w:rsidRDefault="0089207C" w:rsidP="002D3EBF">
            <w:pPr>
              <w:rPr>
                <w:rFonts w:eastAsia="SimSun"/>
              </w:rPr>
            </w:pPr>
            <w:r w:rsidRPr="00AC3044">
              <w:rPr>
                <w:rFonts w:eastAsia="SimSun"/>
              </w:rPr>
              <w:t xml:space="preserve">30 мг/кг </w:t>
            </w:r>
          </w:p>
        </w:tc>
        <w:tc>
          <w:tcPr>
            <w:tcW w:w="1275" w:type="dxa"/>
            <w:vAlign w:val="center"/>
          </w:tcPr>
          <w:p w14:paraId="32F16592" w14:textId="77777777" w:rsidR="0089207C" w:rsidRPr="00AC3044" w:rsidRDefault="0089207C" w:rsidP="002D3EBF">
            <w:pPr>
              <w:rPr>
                <w:rFonts w:eastAsia="SimSun"/>
              </w:rPr>
            </w:pPr>
            <w:r w:rsidRPr="00AC3044">
              <w:rPr>
                <w:rFonts w:eastAsia="SimSun"/>
              </w:rPr>
              <w:t>–</w:t>
            </w:r>
          </w:p>
        </w:tc>
        <w:tc>
          <w:tcPr>
            <w:tcW w:w="1702" w:type="dxa"/>
            <w:vAlign w:val="center"/>
          </w:tcPr>
          <w:p w14:paraId="71D25E63" w14:textId="77777777" w:rsidR="0089207C" w:rsidRPr="00AC3044" w:rsidRDefault="0089207C" w:rsidP="002D3EBF">
            <w:pPr>
              <w:rPr>
                <w:rFonts w:eastAsia="SimSun"/>
              </w:rPr>
            </w:pPr>
            <w:r w:rsidRPr="00AC3044">
              <w:rPr>
                <w:rFonts w:eastAsia="SimSun"/>
              </w:rPr>
              <w:t xml:space="preserve">С +5 дня по +35 день </w:t>
            </w:r>
          </w:p>
        </w:tc>
        <w:tc>
          <w:tcPr>
            <w:tcW w:w="2268" w:type="dxa"/>
            <w:vAlign w:val="center"/>
          </w:tcPr>
          <w:p w14:paraId="2E7BFFB1" w14:textId="77777777" w:rsidR="0089207C" w:rsidRPr="00AC3044" w:rsidRDefault="0089207C" w:rsidP="002D3EBF">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18617A3E" w14:textId="77777777" w:rsidR="0089207C" w:rsidRPr="00C07B2E" w:rsidRDefault="0089207C" w:rsidP="0089207C">
      <w:pPr>
        <w:rPr>
          <w:rFonts w:eastAsia="SimSun"/>
        </w:rPr>
      </w:pPr>
    </w:p>
    <w:p w14:paraId="6E9B4DC0" w14:textId="77777777" w:rsidR="0089207C" w:rsidRPr="00C07B2E" w:rsidRDefault="0089207C" w:rsidP="0089207C">
      <w:pPr>
        <w:rPr>
          <w:rFonts w:eastAsia="SimSun"/>
        </w:rPr>
      </w:pPr>
      <w:bookmarkStart w:id="244" w:name="_Toc44401195"/>
      <w:r w:rsidRPr="00042499">
        <w:rPr>
          <w:rFonts w:eastAsia="SimSun"/>
        </w:rPr>
        <w:t>Таблица</w:t>
      </w:r>
      <w:r w:rsidRPr="00C07B2E">
        <w:rPr>
          <w:rFonts w:eastAsia="SimSun"/>
        </w:rPr>
        <w:t xml:space="preserve"> </w:t>
      </w:r>
      <w:r>
        <w:rPr>
          <w:rFonts w:eastAsia="SimSun"/>
        </w:rPr>
        <w:t>5.</w:t>
      </w:r>
      <w:r w:rsidRPr="00C07B2E">
        <w:rPr>
          <w:rFonts w:eastAsia="SimSun"/>
        </w:rPr>
        <w:t>2.1.9  – Flu180+Bu14 / PT-Cy+CSA+MMF30</w:t>
      </w:r>
      <w:bookmarkEnd w:id="244"/>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35"/>
        <w:gridCol w:w="1418"/>
        <w:gridCol w:w="1276"/>
        <w:gridCol w:w="1701"/>
        <w:gridCol w:w="2268"/>
      </w:tblGrid>
      <w:tr w:rsidR="0089207C" w:rsidRPr="00AC3044" w14:paraId="0E8779B7" w14:textId="77777777" w:rsidTr="002D3EBF">
        <w:trPr>
          <w:cantSplit/>
          <w:trHeight w:val="20"/>
          <w:tblHeader/>
        </w:trPr>
        <w:tc>
          <w:tcPr>
            <w:tcW w:w="1242" w:type="dxa"/>
            <w:vAlign w:val="center"/>
          </w:tcPr>
          <w:p w14:paraId="5702A58D" w14:textId="77777777" w:rsidR="0089207C" w:rsidRPr="00470D3D" w:rsidRDefault="0089207C" w:rsidP="002D3EBF">
            <w:pPr>
              <w:rPr>
                <w:rFonts w:eastAsia="SimSun"/>
              </w:rPr>
            </w:pPr>
          </w:p>
        </w:tc>
        <w:tc>
          <w:tcPr>
            <w:tcW w:w="1735" w:type="dxa"/>
            <w:vAlign w:val="center"/>
          </w:tcPr>
          <w:p w14:paraId="1B95F428" w14:textId="77777777" w:rsidR="0089207C" w:rsidRPr="00AC3044" w:rsidRDefault="0089207C" w:rsidP="002D3EBF">
            <w:pPr>
              <w:rPr>
                <w:rFonts w:eastAsia="SimSun"/>
              </w:rPr>
            </w:pPr>
            <w:r w:rsidRPr="00AC3044">
              <w:rPr>
                <w:rFonts w:eastAsia="SimSun"/>
              </w:rPr>
              <w:t>Препарат</w:t>
            </w:r>
          </w:p>
        </w:tc>
        <w:tc>
          <w:tcPr>
            <w:tcW w:w="1418" w:type="dxa"/>
            <w:vAlign w:val="center"/>
          </w:tcPr>
          <w:p w14:paraId="62C46584" w14:textId="77777777" w:rsidR="0089207C" w:rsidRPr="00AC3044" w:rsidRDefault="0089207C" w:rsidP="002D3EBF">
            <w:pPr>
              <w:rPr>
                <w:rFonts w:eastAsia="SimSun"/>
              </w:rPr>
            </w:pPr>
            <w:r w:rsidRPr="00AC3044">
              <w:rPr>
                <w:rFonts w:eastAsia="SimSun"/>
              </w:rPr>
              <w:t>Суточная доза</w:t>
            </w:r>
          </w:p>
        </w:tc>
        <w:tc>
          <w:tcPr>
            <w:tcW w:w="1276" w:type="dxa"/>
            <w:vAlign w:val="center"/>
          </w:tcPr>
          <w:p w14:paraId="237761A1" w14:textId="77777777" w:rsidR="0089207C" w:rsidRPr="00AC3044" w:rsidRDefault="0089207C" w:rsidP="002D3EBF">
            <w:pPr>
              <w:rPr>
                <w:rFonts w:eastAsia="SimSun"/>
              </w:rPr>
            </w:pPr>
            <w:r w:rsidRPr="00AC3044">
              <w:rPr>
                <w:rFonts w:eastAsia="SimSun"/>
              </w:rPr>
              <w:t>Курсовая доза</w:t>
            </w:r>
          </w:p>
        </w:tc>
        <w:tc>
          <w:tcPr>
            <w:tcW w:w="1701" w:type="dxa"/>
            <w:vAlign w:val="center"/>
          </w:tcPr>
          <w:p w14:paraId="35E92DD0"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4D8F539D"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4369C850" w14:textId="77777777" w:rsidTr="002D3EBF">
        <w:trPr>
          <w:cantSplit/>
          <w:trHeight w:val="20"/>
        </w:trPr>
        <w:tc>
          <w:tcPr>
            <w:tcW w:w="1242" w:type="dxa"/>
            <w:vMerge w:val="restart"/>
            <w:textDirection w:val="btLr"/>
            <w:vAlign w:val="center"/>
          </w:tcPr>
          <w:p w14:paraId="7E55267C" w14:textId="77777777" w:rsidR="0089207C" w:rsidRPr="00AC3044" w:rsidRDefault="0089207C" w:rsidP="002D3EBF">
            <w:pPr>
              <w:rPr>
                <w:rFonts w:eastAsia="SimSun"/>
              </w:rPr>
            </w:pPr>
            <w:r w:rsidRPr="00AC3044">
              <w:rPr>
                <w:rFonts w:eastAsia="SimSun"/>
              </w:rPr>
              <w:t>Кондиционирование</w:t>
            </w:r>
          </w:p>
        </w:tc>
        <w:tc>
          <w:tcPr>
            <w:tcW w:w="1735" w:type="dxa"/>
            <w:vAlign w:val="center"/>
          </w:tcPr>
          <w:p w14:paraId="23B26E6A" w14:textId="77777777" w:rsidR="0089207C" w:rsidRPr="00AC3044" w:rsidRDefault="0089207C" w:rsidP="002D3EBF">
            <w:pPr>
              <w:rPr>
                <w:rFonts w:eastAsia="SimSun"/>
              </w:rPr>
            </w:pPr>
            <w:r w:rsidRPr="00AC3044">
              <w:rPr>
                <w:rFonts w:eastAsia="SimSun"/>
              </w:rPr>
              <w:t xml:space="preserve">Флударабин </w:t>
            </w:r>
          </w:p>
        </w:tc>
        <w:tc>
          <w:tcPr>
            <w:tcW w:w="1418" w:type="dxa"/>
            <w:vAlign w:val="center"/>
          </w:tcPr>
          <w:p w14:paraId="0F42ACA8" w14:textId="77777777" w:rsidR="0089207C" w:rsidRPr="00AC3044" w:rsidRDefault="0089207C" w:rsidP="002D3EBF">
            <w:pPr>
              <w:rPr>
                <w:rFonts w:eastAsia="SimSun"/>
              </w:rPr>
            </w:pPr>
            <w:r w:rsidRPr="00AC3044">
              <w:rPr>
                <w:rFonts w:eastAsia="SimSun"/>
              </w:rPr>
              <w:t>30 мг/м</w:t>
            </w:r>
            <w:r w:rsidRPr="00DB259E">
              <w:rPr>
                <w:rFonts w:eastAsia="SimSun"/>
                <w:vertAlign w:val="superscript"/>
              </w:rPr>
              <w:t>2</w:t>
            </w:r>
          </w:p>
        </w:tc>
        <w:tc>
          <w:tcPr>
            <w:tcW w:w="1276" w:type="dxa"/>
            <w:vAlign w:val="center"/>
          </w:tcPr>
          <w:p w14:paraId="0BE65BD6" w14:textId="77777777" w:rsidR="0089207C" w:rsidRPr="00AC3044" w:rsidRDefault="0089207C" w:rsidP="002D3EBF">
            <w:pPr>
              <w:rPr>
                <w:rFonts w:eastAsia="SimSun"/>
              </w:rPr>
            </w:pPr>
            <w:r w:rsidRPr="00AC3044">
              <w:rPr>
                <w:rFonts w:eastAsia="SimSun"/>
              </w:rPr>
              <w:t>180 мг/м</w:t>
            </w:r>
            <w:r w:rsidRPr="00DB259E">
              <w:rPr>
                <w:rFonts w:eastAsia="SimSun"/>
                <w:vertAlign w:val="superscript"/>
              </w:rPr>
              <w:t>2</w:t>
            </w:r>
          </w:p>
        </w:tc>
        <w:tc>
          <w:tcPr>
            <w:tcW w:w="1701" w:type="dxa"/>
            <w:vAlign w:val="center"/>
          </w:tcPr>
          <w:p w14:paraId="1F5DDA11" w14:textId="77777777" w:rsidR="0089207C" w:rsidRPr="00AC3044" w:rsidRDefault="0089207C" w:rsidP="002D3EBF">
            <w:pPr>
              <w:rPr>
                <w:rFonts w:eastAsia="SimSun"/>
              </w:rPr>
            </w:pPr>
            <w:r w:rsidRPr="00AC3044">
              <w:rPr>
                <w:rFonts w:eastAsia="SimSun"/>
              </w:rPr>
              <w:t>С -7 дня по -2 день</w:t>
            </w:r>
          </w:p>
        </w:tc>
        <w:tc>
          <w:tcPr>
            <w:tcW w:w="2268" w:type="dxa"/>
            <w:vAlign w:val="center"/>
          </w:tcPr>
          <w:p w14:paraId="6E836FED"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5D654141" w14:textId="77777777" w:rsidTr="002D3EBF">
        <w:trPr>
          <w:cantSplit/>
          <w:trHeight w:val="766"/>
        </w:trPr>
        <w:tc>
          <w:tcPr>
            <w:tcW w:w="1242" w:type="dxa"/>
            <w:vMerge/>
            <w:vAlign w:val="center"/>
          </w:tcPr>
          <w:p w14:paraId="4C369096" w14:textId="77777777" w:rsidR="0089207C" w:rsidRPr="00AC3044" w:rsidRDefault="0089207C" w:rsidP="002D3EBF">
            <w:pPr>
              <w:rPr>
                <w:rFonts w:eastAsia="SimSun"/>
              </w:rPr>
            </w:pPr>
          </w:p>
        </w:tc>
        <w:tc>
          <w:tcPr>
            <w:tcW w:w="1735" w:type="dxa"/>
            <w:vAlign w:val="center"/>
          </w:tcPr>
          <w:p w14:paraId="64559711" w14:textId="77777777" w:rsidR="0089207C" w:rsidRPr="00AC3044" w:rsidRDefault="0089207C" w:rsidP="002D3EBF">
            <w:pPr>
              <w:rPr>
                <w:rFonts w:eastAsia="SimSun"/>
              </w:rPr>
            </w:pPr>
            <w:r w:rsidRPr="00AC3044">
              <w:rPr>
                <w:rFonts w:eastAsia="SimSun"/>
              </w:rPr>
              <w:t>Бусульфан</w:t>
            </w:r>
          </w:p>
        </w:tc>
        <w:tc>
          <w:tcPr>
            <w:tcW w:w="1418" w:type="dxa"/>
            <w:vAlign w:val="center"/>
          </w:tcPr>
          <w:p w14:paraId="42915971" w14:textId="77777777" w:rsidR="0089207C" w:rsidRPr="00AC3044" w:rsidRDefault="0089207C" w:rsidP="002D3EBF">
            <w:pPr>
              <w:rPr>
                <w:rFonts w:eastAsia="SimSun"/>
              </w:rPr>
            </w:pPr>
            <w:r w:rsidRPr="00AC3044">
              <w:rPr>
                <w:rFonts w:eastAsia="SimSun"/>
              </w:rPr>
              <w:t xml:space="preserve">4 мг/кг </w:t>
            </w:r>
          </w:p>
        </w:tc>
        <w:tc>
          <w:tcPr>
            <w:tcW w:w="1276" w:type="dxa"/>
            <w:vAlign w:val="center"/>
          </w:tcPr>
          <w:p w14:paraId="5D211DF7" w14:textId="77777777" w:rsidR="0089207C" w:rsidRPr="00AC3044" w:rsidRDefault="0089207C" w:rsidP="002D3EBF">
            <w:pPr>
              <w:rPr>
                <w:rFonts w:eastAsia="SimSun"/>
              </w:rPr>
            </w:pPr>
            <w:r w:rsidRPr="00AC3044">
              <w:rPr>
                <w:rFonts w:eastAsia="SimSun"/>
              </w:rPr>
              <w:t xml:space="preserve">14 мг/кг </w:t>
            </w:r>
          </w:p>
        </w:tc>
        <w:tc>
          <w:tcPr>
            <w:tcW w:w="1701" w:type="dxa"/>
            <w:vAlign w:val="center"/>
          </w:tcPr>
          <w:p w14:paraId="5A87655F" w14:textId="77777777" w:rsidR="0089207C" w:rsidRPr="00AC3044" w:rsidRDefault="0089207C" w:rsidP="002D3EBF">
            <w:pPr>
              <w:rPr>
                <w:rFonts w:eastAsia="SimSun"/>
              </w:rPr>
            </w:pPr>
            <w:r w:rsidRPr="00AC3044">
              <w:rPr>
                <w:rFonts w:eastAsia="SimSun"/>
              </w:rPr>
              <w:t>С -6 дня по -3 день</w:t>
            </w:r>
          </w:p>
        </w:tc>
        <w:tc>
          <w:tcPr>
            <w:tcW w:w="2268" w:type="dxa"/>
            <w:vAlign w:val="center"/>
          </w:tcPr>
          <w:p w14:paraId="1748C2C8"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89207C" w:rsidRPr="00AC3044" w14:paraId="612B525B" w14:textId="77777777" w:rsidTr="002D3EBF">
        <w:trPr>
          <w:cantSplit/>
          <w:trHeight w:val="796"/>
        </w:trPr>
        <w:tc>
          <w:tcPr>
            <w:tcW w:w="1242" w:type="dxa"/>
            <w:vMerge w:val="restart"/>
            <w:textDirection w:val="btLr"/>
            <w:vAlign w:val="center"/>
          </w:tcPr>
          <w:p w14:paraId="10854936" w14:textId="77777777" w:rsidR="0089207C" w:rsidRPr="00AC3044" w:rsidRDefault="0089207C" w:rsidP="002D3EBF">
            <w:pPr>
              <w:rPr>
                <w:rFonts w:eastAsia="SimSun"/>
              </w:rPr>
            </w:pPr>
            <w:r w:rsidRPr="00AC3044">
              <w:rPr>
                <w:rFonts w:eastAsia="SimSun"/>
              </w:rPr>
              <w:t>Профилактика РТПХ</w:t>
            </w:r>
          </w:p>
        </w:tc>
        <w:tc>
          <w:tcPr>
            <w:tcW w:w="1735" w:type="dxa"/>
            <w:vAlign w:val="center"/>
          </w:tcPr>
          <w:p w14:paraId="645653FD" w14:textId="77777777" w:rsidR="0089207C" w:rsidRPr="00AC3044" w:rsidRDefault="0089207C" w:rsidP="002D3EBF">
            <w:pPr>
              <w:rPr>
                <w:rFonts w:eastAsia="SimSun"/>
              </w:rPr>
            </w:pPr>
            <w:r w:rsidRPr="00AC3044">
              <w:rPr>
                <w:rFonts w:eastAsia="SimSun"/>
              </w:rPr>
              <w:t>Циклофосфамид</w:t>
            </w:r>
          </w:p>
        </w:tc>
        <w:tc>
          <w:tcPr>
            <w:tcW w:w="1418" w:type="dxa"/>
            <w:vAlign w:val="center"/>
          </w:tcPr>
          <w:p w14:paraId="5EE0F3AA" w14:textId="77777777" w:rsidR="0089207C" w:rsidRPr="00AC3044" w:rsidRDefault="0089207C" w:rsidP="002D3EBF">
            <w:pPr>
              <w:rPr>
                <w:rFonts w:eastAsia="SimSun"/>
              </w:rPr>
            </w:pPr>
            <w:r w:rsidRPr="00AC3044">
              <w:rPr>
                <w:rFonts w:eastAsia="SimSun"/>
              </w:rPr>
              <w:t>50 мг/кг</w:t>
            </w:r>
          </w:p>
        </w:tc>
        <w:tc>
          <w:tcPr>
            <w:tcW w:w="1276" w:type="dxa"/>
            <w:vAlign w:val="center"/>
          </w:tcPr>
          <w:p w14:paraId="76F0AA07" w14:textId="77777777" w:rsidR="0089207C" w:rsidRPr="00AC3044" w:rsidRDefault="0089207C" w:rsidP="002D3EBF">
            <w:pPr>
              <w:rPr>
                <w:rFonts w:eastAsia="SimSun"/>
              </w:rPr>
            </w:pPr>
            <w:r w:rsidRPr="00AC3044">
              <w:rPr>
                <w:rFonts w:eastAsia="SimSun"/>
              </w:rPr>
              <w:t>100 мг/кг</w:t>
            </w:r>
          </w:p>
        </w:tc>
        <w:tc>
          <w:tcPr>
            <w:tcW w:w="1701" w:type="dxa"/>
            <w:vAlign w:val="center"/>
          </w:tcPr>
          <w:p w14:paraId="09B7D69E" w14:textId="77777777" w:rsidR="0089207C" w:rsidRPr="00AC3044" w:rsidRDefault="0089207C" w:rsidP="002D3EBF">
            <w:pPr>
              <w:rPr>
                <w:rFonts w:eastAsia="SimSun"/>
              </w:rPr>
            </w:pPr>
            <w:r w:rsidRPr="00AC3044">
              <w:rPr>
                <w:rFonts w:eastAsia="SimSun"/>
              </w:rPr>
              <w:t>В +3 день  и +5 день</w:t>
            </w:r>
          </w:p>
        </w:tc>
        <w:tc>
          <w:tcPr>
            <w:tcW w:w="2268" w:type="dxa"/>
            <w:vAlign w:val="center"/>
          </w:tcPr>
          <w:p w14:paraId="6CB1197A" w14:textId="77777777" w:rsidR="0089207C" w:rsidRPr="00AC3044" w:rsidRDefault="0089207C" w:rsidP="002D3EBF">
            <w:pPr>
              <w:rPr>
                <w:rFonts w:eastAsia="SimSun"/>
              </w:rPr>
            </w:pPr>
            <w:r w:rsidRPr="00AC3044">
              <w:rPr>
                <w:rFonts w:eastAsia="SimSun"/>
              </w:rPr>
              <w:t>В/в, в течение 2 ч</w:t>
            </w:r>
          </w:p>
        </w:tc>
      </w:tr>
      <w:tr w:rsidR="0089207C" w:rsidRPr="00AC3044" w14:paraId="33650E2A" w14:textId="77777777" w:rsidTr="002D3EBF">
        <w:trPr>
          <w:cantSplit/>
          <w:trHeight w:val="410"/>
        </w:trPr>
        <w:tc>
          <w:tcPr>
            <w:tcW w:w="1242" w:type="dxa"/>
            <w:vMerge/>
            <w:textDirection w:val="btLr"/>
            <w:vAlign w:val="center"/>
          </w:tcPr>
          <w:p w14:paraId="560362C5" w14:textId="77777777" w:rsidR="0089207C" w:rsidRPr="00AC3044" w:rsidRDefault="0089207C" w:rsidP="002D3EBF">
            <w:pPr>
              <w:rPr>
                <w:rFonts w:eastAsia="SimSun"/>
              </w:rPr>
            </w:pPr>
          </w:p>
        </w:tc>
        <w:tc>
          <w:tcPr>
            <w:tcW w:w="1735" w:type="dxa"/>
            <w:vAlign w:val="center"/>
          </w:tcPr>
          <w:p w14:paraId="5AF1071E" w14:textId="77777777" w:rsidR="0089207C" w:rsidRPr="00AC3044" w:rsidRDefault="0089207C" w:rsidP="002D3EBF">
            <w:pPr>
              <w:rPr>
                <w:rFonts w:eastAsia="SimSun"/>
              </w:rPr>
            </w:pPr>
            <w:r w:rsidRPr="00AC3044">
              <w:rPr>
                <w:rFonts w:eastAsia="SimSun"/>
              </w:rPr>
              <w:t>Микофенолата мофетил</w:t>
            </w:r>
          </w:p>
        </w:tc>
        <w:tc>
          <w:tcPr>
            <w:tcW w:w="1418" w:type="dxa"/>
            <w:vAlign w:val="center"/>
          </w:tcPr>
          <w:p w14:paraId="6BAAE4C9" w14:textId="77777777" w:rsidR="0089207C" w:rsidRPr="00AC3044" w:rsidRDefault="0089207C" w:rsidP="002D3EBF">
            <w:pPr>
              <w:rPr>
                <w:rFonts w:eastAsia="SimSun"/>
              </w:rPr>
            </w:pPr>
            <w:r w:rsidRPr="00AC3044">
              <w:rPr>
                <w:rFonts w:eastAsia="SimSun"/>
              </w:rPr>
              <w:t xml:space="preserve">30 мг/кг </w:t>
            </w:r>
          </w:p>
        </w:tc>
        <w:tc>
          <w:tcPr>
            <w:tcW w:w="1276" w:type="dxa"/>
            <w:vAlign w:val="center"/>
          </w:tcPr>
          <w:p w14:paraId="1617D986" w14:textId="77777777" w:rsidR="0089207C" w:rsidRPr="00AC3044" w:rsidRDefault="0089207C" w:rsidP="002D3EBF">
            <w:pPr>
              <w:rPr>
                <w:rFonts w:eastAsia="SimSun"/>
              </w:rPr>
            </w:pPr>
            <w:r w:rsidRPr="00AC3044">
              <w:rPr>
                <w:rFonts w:eastAsia="SimSun"/>
              </w:rPr>
              <w:t>–</w:t>
            </w:r>
          </w:p>
        </w:tc>
        <w:tc>
          <w:tcPr>
            <w:tcW w:w="1701" w:type="dxa"/>
            <w:vAlign w:val="center"/>
          </w:tcPr>
          <w:p w14:paraId="2C00AFBD" w14:textId="77777777" w:rsidR="0089207C" w:rsidRPr="00AC3044" w:rsidRDefault="0089207C" w:rsidP="002D3EBF">
            <w:pPr>
              <w:rPr>
                <w:rFonts w:eastAsia="SimSun"/>
              </w:rPr>
            </w:pPr>
            <w:r w:rsidRPr="00AC3044">
              <w:rPr>
                <w:rFonts w:eastAsia="SimSun"/>
              </w:rPr>
              <w:t xml:space="preserve">С +1 дня по +28 день </w:t>
            </w:r>
          </w:p>
        </w:tc>
        <w:tc>
          <w:tcPr>
            <w:tcW w:w="2268" w:type="dxa"/>
            <w:vAlign w:val="center"/>
          </w:tcPr>
          <w:p w14:paraId="3162B922" w14:textId="77777777" w:rsidR="0089207C" w:rsidRPr="00AC3044" w:rsidRDefault="0089207C" w:rsidP="002D3EBF">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89207C" w:rsidRPr="00AC3044" w14:paraId="4B60E71C" w14:textId="77777777" w:rsidTr="002D3EBF">
        <w:trPr>
          <w:cantSplit/>
          <w:trHeight w:val="815"/>
        </w:trPr>
        <w:tc>
          <w:tcPr>
            <w:tcW w:w="1242" w:type="dxa"/>
            <w:vMerge/>
            <w:textDirection w:val="btLr"/>
            <w:vAlign w:val="center"/>
          </w:tcPr>
          <w:p w14:paraId="46DD3FAB" w14:textId="77777777" w:rsidR="0089207C" w:rsidRPr="00AC3044" w:rsidRDefault="0089207C" w:rsidP="002D3EBF">
            <w:pPr>
              <w:rPr>
                <w:rFonts w:eastAsia="SimSun"/>
              </w:rPr>
            </w:pPr>
          </w:p>
        </w:tc>
        <w:tc>
          <w:tcPr>
            <w:tcW w:w="1735" w:type="dxa"/>
            <w:vAlign w:val="center"/>
          </w:tcPr>
          <w:p w14:paraId="30E057DE" w14:textId="77777777" w:rsidR="0089207C" w:rsidRPr="00AC3044" w:rsidRDefault="0089207C" w:rsidP="002D3EBF">
            <w:pPr>
              <w:rPr>
                <w:rFonts w:eastAsia="SimSun"/>
              </w:rPr>
            </w:pPr>
            <w:r w:rsidRPr="00AC3044">
              <w:rPr>
                <w:rFonts w:eastAsia="SimSun"/>
              </w:rPr>
              <w:t>Циклоспорин А</w:t>
            </w:r>
          </w:p>
        </w:tc>
        <w:tc>
          <w:tcPr>
            <w:tcW w:w="1418" w:type="dxa"/>
            <w:vAlign w:val="center"/>
          </w:tcPr>
          <w:p w14:paraId="2997A3D6" w14:textId="77777777" w:rsidR="0089207C" w:rsidRPr="00AC3044" w:rsidRDefault="0089207C" w:rsidP="002D3EBF">
            <w:pPr>
              <w:rPr>
                <w:rFonts w:eastAsia="SimSun"/>
              </w:rPr>
            </w:pPr>
            <w:r w:rsidRPr="00AC3044">
              <w:rPr>
                <w:rFonts w:eastAsia="SimSun"/>
              </w:rPr>
              <w:t>3  мг/кг</w:t>
            </w:r>
          </w:p>
        </w:tc>
        <w:tc>
          <w:tcPr>
            <w:tcW w:w="1276" w:type="dxa"/>
            <w:vAlign w:val="center"/>
          </w:tcPr>
          <w:p w14:paraId="39750775" w14:textId="77777777" w:rsidR="0089207C" w:rsidRPr="00AC3044" w:rsidRDefault="0089207C" w:rsidP="002D3EBF">
            <w:pPr>
              <w:rPr>
                <w:rFonts w:eastAsia="SimSun"/>
              </w:rPr>
            </w:pPr>
            <w:r w:rsidRPr="00AC3044">
              <w:rPr>
                <w:rFonts w:eastAsia="SimSun"/>
              </w:rPr>
              <w:t>-</w:t>
            </w:r>
          </w:p>
        </w:tc>
        <w:tc>
          <w:tcPr>
            <w:tcW w:w="1701" w:type="dxa"/>
            <w:vAlign w:val="center"/>
          </w:tcPr>
          <w:p w14:paraId="59ABEE9E" w14:textId="77777777" w:rsidR="0089207C" w:rsidRPr="00AC3044" w:rsidRDefault="0089207C" w:rsidP="002D3EBF">
            <w:pPr>
              <w:rPr>
                <w:rFonts w:eastAsia="SimSun"/>
              </w:rPr>
            </w:pPr>
            <w:r w:rsidRPr="00AC3044">
              <w:rPr>
                <w:rFonts w:eastAsia="SimSun"/>
              </w:rPr>
              <w:t xml:space="preserve">С -1 дня по +100 день </w:t>
            </w:r>
          </w:p>
        </w:tc>
        <w:tc>
          <w:tcPr>
            <w:tcW w:w="2268" w:type="dxa"/>
            <w:vAlign w:val="center"/>
          </w:tcPr>
          <w:p w14:paraId="33EDF871" w14:textId="77777777" w:rsidR="0089207C" w:rsidRPr="00AC3044" w:rsidRDefault="0089207C" w:rsidP="002D3EBF">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5F8EF1C4" w14:textId="77777777" w:rsidR="0089207C" w:rsidRPr="00C07B2E" w:rsidRDefault="0089207C" w:rsidP="0089207C">
      <w:pPr>
        <w:rPr>
          <w:rFonts w:eastAsia="SimSun"/>
        </w:rPr>
      </w:pPr>
    </w:p>
    <w:p w14:paraId="09DDC8D1" w14:textId="77777777" w:rsidR="0089207C" w:rsidRPr="00C07B2E" w:rsidRDefault="0089207C" w:rsidP="0089207C">
      <w:pPr>
        <w:rPr>
          <w:rFonts w:eastAsia="SimSun"/>
        </w:rPr>
      </w:pPr>
      <w:bookmarkStart w:id="245" w:name="_Toc44401196"/>
      <w:r w:rsidRPr="00042499">
        <w:rPr>
          <w:rFonts w:eastAsia="SimSun"/>
        </w:rPr>
        <w:t>Таблица</w:t>
      </w:r>
      <w:r w:rsidRPr="00C07B2E">
        <w:rPr>
          <w:rFonts w:eastAsia="SimSun"/>
        </w:rPr>
        <w:t xml:space="preserve"> </w:t>
      </w:r>
      <w:r>
        <w:rPr>
          <w:rFonts w:eastAsia="SimSun"/>
        </w:rPr>
        <w:t>5.</w:t>
      </w:r>
      <w:r w:rsidRPr="00C07B2E">
        <w:rPr>
          <w:rFonts w:eastAsia="SimSun"/>
        </w:rPr>
        <w:t>2.1.10  – Flu180+Bu14 / Tx+MMF30</w:t>
      </w:r>
      <w:bookmarkEnd w:id="24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1418"/>
        <w:gridCol w:w="1276"/>
        <w:gridCol w:w="1701"/>
        <w:gridCol w:w="2268"/>
      </w:tblGrid>
      <w:tr w:rsidR="0089207C" w:rsidRPr="00AC3044" w14:paraId="3E7547C3" w14:textId="77777777" w:rsidTr="002D3EBF">
        <w:trPr>
          <w:cantSplit/>
          <w:trHeight w:val="20"/>
          <w:tblHeader/>
        </w:trPr>
        <w:tc>
          <w:tcPr>
            <w:tcW w:w="1242" w:type="dxa"/>
            <w:vAlign w:val="center"/>
          </w:tcPr>
          <w:p w14:paraId="1C6DC0E3" w14:textId="77777777" w:rsidR="0089207C" w:rsidRPr="00AC3044" w:rsidRDefault="0089207C" w:rsidP="002D3EBF">
            <w:pPr>
              <w:rPr>
                <w:rFonts w:eastAsia="SimSun"/>
              </w:rPr>
            </w:pPr>
          </w:p>
        </w:tc>
        <w:tc>
          <w:tcPr>
            <w:tcW w:w="1701" w:type="dxa"/>
            <w:vAlign w:val="center"/>
          </w:tcPr>
          <w:p w14:paraId="398D7877" w14:textId="77777777" w:rsidR="0089207C" w:rsidRPr="00AC3044" w:rsidRDefault="0089207C" w:rsidP="002D3EBF">
            <w:pPr>
              <w:rPr>
                <w:rFonts w:eastAsia="SimSun"/>
              </w:rPr>
            </w:pPr>
            <w:r w:rsidRPr="00AC3044">
              <w:rPr>
                <w:rFonts w:eastAsia="SimSun"/>
              </w:rPr>
              <w:t>Препарат</w:t>
            </w:r>
          </w:p>
        </w:tc>
        <w:tc>
          <w:tcPr>
            <w:tcW w:w="1418" w:type="dxa"/>
            <w:vAlign w:val="center"/>
          </w:tcPr>
          <w:p w14:paraId="03534952" w14:textId="77777777" w:rsidR="0089207C" w:rsidRPr="00AC3044" w:rsidRDefault="0089207C" w:rsidP="002D3EBF">
            <w:pPr>
              <w:rPr>
                <w:rFonts w:eastAsia="SimSun"/>
              </w:rPr>
            </w:pPr>
            <w:r w:rsidRPr="00AC3044">
              <w:rPr>
                <w:rFonts w:eastAsia="SimSun"/>
              </w:rPr>
              <w:t>Суточная доза</w:t>
            </w:r>
          </w:p>
        </w:tc>
        <w:tc>
          <w:tcPr>
            <w:tcW w:w="1276" w:type="dxa"/>
            <w:vAlign w:val="center"/>
          </w:tcPr>
          <w:p w14:paraId="2D308B55" w14:textId="77777777" w:rsidR="0089207C" w:rsidRPr="00AC3044" w:rsidRDefault="0089207C" w:rsidP="002D3EBF">
            <w:pPr>
              <w:rPr>
                <w:rFonts w:eastAsia="SimSun"/>
              </w:rPr>
            </w:pPr>
            <w:r w:rsidRPr="00AC3044">
              <w:rPr>
                <w:rFonts w:eastAsia="SimSun"/>
              </w:rPr>
              <w:t>Курсовая доза</w:t>
            </w:r>
          </w:p>
        </w:tc>
        <w:tc>
          <w:tcPr>
            <w:tcW w:w="1701" w:type="dxa"/>
            <w:vAlign w:val="center"/>
          </w:tcPr>
          <w:p w14:paraId="3A5E0CBB"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451B2C0A"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243BEA8E" w14:textId="77777777" w:rsidTr="002D3EBF">
        <w:trPr>
          <w:cantSplit/>
          <w:trHeight w:val="20"/>
        </w:trPr>
        <w:tc>
          <w:tcPr>
            <w:tcW w:w="1242" w:type="dxa"/>
            <w:vMerge w:val="restart"/>
            <w:textDirection w:val="btLr"/>
            <w:vAlign w:val="center"/>
          </w:tcPr>
          <w:p w14:paraId="344ECC4C" w14:textId="77777777" w:rsidR="0089207C" w:rsidRPr="00AC3044" w:rsidRDefault="0089207C" w:rsidP="002D3EBF">
            <w:pPr>
              <w:rPr>
                <w:rFonts w:eastAsia="SimSun"/>
              </w:rPr>
            </w:pPr>
            <w:r w:rsidRPr="00AC3044">
              <w:rPr>
                <w:rFonts w:eastAsia="SimSun"/>
              </w:rPr>
              <w:t>Кондиционирование</w:t>
            </w:r>
          </w:p>
        </w:tc>
        <w:tc>
          <w:tcPr>
            <w:tcW w:w="1701" w:type="dxa"/>
            <w:vAlign w:val="center"/>
          </w:tcPr>
          <w:p w14:paraId="4E004BE3" w14:textId="77777777" w:rsidR="0089207C" w:rsidRPr="00AC3044" w:rsidRDefault="0089207C" w:rsidP="002D3EBF">
            <w:pPr>
              <w:rPr>
                <w:rFonts w:eastAsia="SimSun"/>
              </w:rPr>
            </w:pPr>
            <w:r w:rsidRPr="00AC3044">
              <w:rPr>
                <w:rFonts w:eastAsia="SimSun"/>
              </w:rPr>
              <w:t xml:space="preserve">Флударабин </w:t>
            </w:r>
          </w:p>
        </w:tc>
        <w:tc>
          <w:tcPr>
            <w:tcW w:w="1418" w:type="dxa"/>
            <w:vAlign w:val="center"/>
          </w:tcPr>
          <w:p w14:paraId="7C6C19DB" w14:textId="77777777" w:rsidR="0089207C" w:rsidRPr="00AC3044" w:rsidRDefault="0089207C" w:rsidP="002D3EBF">
            <w:pPr>
              <w:rPr>
                <w:rFonts w:eastAsia="SimSun"/>
              </w:rPr>
            </w:pPr>
            <w:r w:rsidRPr="00AC3044">
              <w:rPr>
                <w:rFonts w:eastAsia="SimSun"/>
              </w:rPr>
              <w:t>30 мг/м</w:t>
            </w:r>
            <w:r w:rsidRPr="00DB259E">
              <w:rPr>
                <w:rFonts w:eastAsia="SimSun"/>
                <w:vertAlign w:val="superscript"/>
              </w:rPr>
              <w:t>2</w:t>
            </w:r>
          </w:p>
        </w:tc>
        <w:tc>
          <w:tcPr>
            <w:tcW w:w="1276" w:type="dxa"/>
            <w:vAlign w:val="center"/>
          </w:tcPr>
          <w:p w14:paraId="5A28D0F5" w14:textId="77777777" w:rsidR="0089207C" w:rsidRPr="00AC3044" w:rsidRDefault="0089207C" w:rsidP="002D3EBF">
            <w:pPr>
              <w:rPr>
                <w:rFonts w:eastAsia="SimSun"/>
              </w:rPr>
            </w:pPr>
            <w:r w:rsidRPr="00AC3044">
              <w:rPr>
                <w:rFonts w:eastAsia="SimSun"/>
              </w:rPr>
              <w:t>180 мг/м</w:t>
            </w:r>
            <w:r w:rsidRPr="00DB259E">
              <w:rPr>
                <w:rFonts w:eastAsia="SimSun"/>
                <w:vertAlign w:val="superscript"/>
              </w:rPr>
              <w:t>2</w:t>
            </w:r>
          </w:p>
        </w:tc>
        <w:tc>
          <w:tcPr>
            <w:tcW w:w="1701" w:type="dxa"/>
            <w:vAlign w:val="center"/>
          </w:tcPr>
          <w:p w14:paraId="6AE51E25" w14:textId="77777777" w:rsidR="0089207C" w:rsidRPr="00AC3044" w:rsidRDefault="0089207C" w:rsidP="002D3EBF">
            <w:pPr>
              <w:rPr>
                <w:rFonts w:eastAsia="SimSun"/>
              </w:rPr>
            </w:pPr>
            <w:r w:rsidRPr="00AC3044">
              <w:rPr>
                <w:rFonts w:eastAsia="SimSun"/>
              </w:rPr>
              <w:t>С -7 дня по -2 день</w:t>
            </w:r>
          </w:p>
        </w:tc>
        <w:tc>
          <w:tcPr>
            <w:tcW w:w="2268" w:type="dxa"/>
            <w:vAlign w:val="center"/>
          </w:tcPr>
          <w:p w14:paraId="72C254CB"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1512F709" w14:textId="77777777" w:rsidTr="002D3EBF">
        <w:trPr>
          <w:cantSplit/>
          <w:trHeight w:val="1207"/>
        </w:trPr>
        <w:tc>
          <w:tcPr>
            <w:tcW w:w="1242" w:type="dxa"/>
            <w:vMerge/>
            <w:vAlign w:val="center"/>
          </w:tcPr>
          <w:p w14:paraId="29A21856" w14:textId="77777777" w:rsidR="0089207C" w:rsidRPr="00AC3044" w:rsidRDefault="0089207C" w:rsidP="002D3EBF">
            <w:pPr>
              <w:rPr>
                <w:rFonts w:eastAsia="SimSun"/>
              </w:rPr>
            </w:pPr>
          </w:p>
        </w:tc>
        <w:tc>
          <w:tcPr>
            <w:tcW w:w="1701" w:type="dxa"/>
            <w:vAlign w:val="center"/>
          </w:tcPr>
          <w:p w14:paraId="4A8C7169" w14:textId="77777777" w:rsidR="0089207C" w:rsidRPr="00AC3044" w:rsidRDefault="0089207C" w:rsidP="002D3EBF">
            <w:pPr>
              <w:rPr>
                <w:rFonts w:eastAsia="SimSun"/>
              </w:rPr>
            </w:pPr>
            <w:r w:rsidRPr="00AC3044">
              <w:rPr>
                <w:rFonts w:eastAsia="SimSun"/>
              </w:rPr>
              <w:t>Бусульфан</w:t>
            </w:r>
          </w:p>
        </w:tc>
        <w:tc>
          <w:tcPr>
            <w:tcW w:w="1418" w:type="dxa"/>
            <w:vAlign w:val="center"/>
          </w:tcPr>
          <w:p w14:paraId="08E79EA4" w14:textId="77777777" w:rsidR="0089207C" w:rsidRPr="00AC3044" w:rsidRDefault="0089207C" w:rsidP="002D3EBF">
            <w:pPr>
              <w:rPr>
                <w:rFonts w:eastAsia="SimSun"/>
              </w:rPr>
            </w:pPr>
            <w:r w:rsidRPr="00AC3044">
              <w:rPr>
                <w:rFonts w:eastAsia="SimSun"/>
              </w:rPr>
              <w:t xml:space="preserve">4 мг/кг </w:t>
            </w:r>
          </w:p>
        </w:tc>
        <w:tc>
          <w:tcPr>
            <w:tcW w:w="1276" w:type="dxa"/>
            <w:vAlign w:val="center"/>
          </w:tcPr>
          <w:p w14:paraId="38BDB6B8" w14:textId="77777777" w:rsidR="0089207C" w:rsidRPr="00AC3044" w:rsidRDefault="0089207C" w:rsidP="002D3EBF">
            <w:pPr>
              <w:rPr>
                <w:rFonts w:eastAsia="SimSun"/>
              </w:rPr>
            </w:pPr>
            <w:r w:rsidRPr="00AC3044">
              <w:rPr>
                <w:rFonts w:eastAsia="SimSun"/>
              </w:rPr>
              <w:t xml:space="preserve">14 мг/кг </w:t>
            </w:r>
          </w:p>
        </w:tc>
        <w:tc>
          <w:tcPr>
            <w:tcW w:w="1701" w:type="dxa"/>
            <w:vAlign w:val="center"/>
          </w:tcPr>
          <w:p w14:paraId="61179313" w14:textId="77777777" w:rsidR="0089207C" w:rsidRPr="00AC3044" w:rsidRDefault="0089207C" w:rsidP="002D3EBF">
            <w:pPr>
              <w:rPr>
                <w:rFonts w:eastAsia="SimSun"/>
              </w:rPr>
            </w:pPr>
            <w:r w:rsidRPr="00AC3044">
              <w:rPr>
                <w:rFonts w:eastAsia="SimSun"/>
              </w:rPr>
              <w:t>С -6 дня по -3 день</w:t>
            </w:r>
          </w:p>
        </w:tc>
        <w:tc>
          <w:tcPr>
            <w:tcW w:w="2268" w:type="dxa"/>
            <w:vAlign w:val="center"/>
          </w:tcPr>
          <w:p w14:paraId="60721EC3"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89207C" w:rsidRPr="00AC3044" w14:paraId="30E3695F" w14:textId="77777777" w:rsidTr="002D3EBF">
        <w:trPr>
          <w:cantSplit/>
          <w:trHeight w:val="1498"/>
        </w:trPr>
        <w:tc>
          <w:tcPr>
            <w:tcW w:w="1242" w:type="dxa"/>
            <w:vMerge w:val="restart"/>
            <w:textDirection w:val="btLr"/>
            <w:vAlign w:val="center"/>
          </w:tcPr>
          <w:p w14:paraId="139BBFBB" w14:textId="77777777" w:rsidR="0089207C" w:rsidRPr="00AC3044" w:rsidRDefault="0089207C" w:rsidP="002D3EBF">
            <w:pPr>
              <w:rPr>
                <w:rFonts w:eastAsia="SimSun"/>
              </w:rPr>
            </w:pPr>
            <w:r w:rsidRPr="00AC3044">
              <w:rPr>
                <w:rFonts w:eastAsia="SimSun"/>
              </w:rPr>
              <w:t>Профилактика РТПХ</w:t>
            </w:r>
          </w:p>
        </w:tc>
        <w:tc>
          <w:tcPr>
            <w:tcW w:w="1701" w:type="dxa"/>
            <w:vAlign w:val="center"/>
          </w:tcPr>
          <w:p w14:paraId="591729E5" w14:textId="77777777" w:rsidR="0089207C" w:rsidRPr="00AC3044" w:rsidRDefault="0089207C" w:rsidP="002D3EBF">
            <w:pPr>
              <w:rPr>
                <w:rFonts w:eastAsia="SimSun"/>
              </w:rPr>
            </w:pPr>
            <w:r w:rsidRPr="00AC3044">
              <w:rPr>
                <w:rFonts w:eastAsia="SimSun"/>
              </w:rPr>
              <w:t xml:space="preserve">Такролимус </w:t>
            </w:r>
          </w:p>
        </w:tc>
        <w:tc>
          <w:tcPr>
            <w:tcW w:w="1418" w:type="dxa"/>
            <w:vAlign w:val="center"/>
          </w:tcPr>
          <w:p w14:paraId="68AF2289" w14:textId="77777777" w:rsidR="0089207C" w:rsidRPr="00AC3044" w:rsidRDefault="0089207C" w:rsidP="002D3EBF">
            <w:pPr>
              <w:rPr>
                <w:rFonts w:eastAsia="SimSun"/>
              </w:rPr>
            </w:pPr>
            <w:r w:rsidRPr="00AC3044">
              <w:rPr>
                <w:rFonts w:eastAsia="SimSun"/>
              </w:rPr>
              <w:t>0,03 мг/кг</w:t>
            </w:r>
          </w:p>
        </w:tc>
        <w:tc>
          <w:tcPr>
            <w:tcW w:w="1276" w:type="dxa"/>
            <w:vAlign w:val="center"/>
          </w:tcPr>
          <w:p w14:paraId="21CCD4A3" w14:textId="77777777" w:rsidR="0089207C" w:rsidRPr="00AC3044" w:rsidRDefault="0089207C" w:rsidP="002D3EBF">
            <w:pPr>
              <w:rPr>
                <w:rFonts w:eastAsia="SimSun"/>
              </w:rPr>
            </w:pPr>
            <w:r w:rsidRPr="00AC3044">
              <w:rPr>
                <w:rFonts w:eastAsia="SimSun"/>
              </w:rPr>
              <w:t>–</w:t>
            </w:r>
          </w:p>
        </w:tc>
        <w:tc>
          <w:tcPr>
            <w:tcW w:w="1701" w:type="dxa"/>
            <w:vAlign w:val="center"/>
          </w:tcPr>
          <w:p w14:paraId="4A063626" w14:textId="77777777" w:rsidR="0089207C" w:rsidRPr="00AC3044" w:rsidRDefault="0089207C" w:rsidP="002D3EBF">
            <w:pPr>
              <w:rPr>
                <w:rFonts w:eastAsia="SimSun"/>
              </w:rPr>
            </w:pPr>
            <w:r w:rsidRPr="00AC3044">
              <w:rPr>
                <w:rFonts w:eastAsia="SimSun"/>
              </w:rPr>
              <w:t xml:space="preserve">С +5 дня длительно </w:t>
            </w:r>
          </w:p>
        </w:tc>
        <w:tc>
          <w:tcPr>
            <w:tcW w:w="2268" w:type="dxa"/>
            <w:vAlign w:val="center"/>
          </w:tcPr>
          <w:p w14:paraId="6B582DD6" w14:textId="77777777" w:rsidR="0089207C" w:rsidRPr="00AC3044" w:rsidRDefault="0089207C" w:rsidP="002D3EBF">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DB259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9207C" w:rsidRPr="00AC3044" w14:paraId="1378F22F" w14:textId="77777777" w:rsidTr="002D3EBF">
        <w:trPr>
          <w:cantSplit/>
          <w:trHeight w:val="604"/>
        </w:trPr>
        <w:tc>
          <w:tcPr>
            <w:tcW w:w="1242" w:type="dxa"/>
            <w:vMerge/>
            <w:textDirection w:val="btLr"/>
            <w:vAlign w:val="center"/>
          </w:tcPr>
          <w:p w14:paraId="1F4E3A74" w14:textId="77777777" w:rsidR="0089207C" w:rsidRPr="00AC3044" w:rsidRDefault="0089207C" w:rsidP="002D3EBF">
            <w:pPr>
              <w:rPr>
                <w:rFonts w:eastAsia="SimSun"/>
              </w:rPr>
            </w:pPr>
          </w:p>
        </w:tc>
        <w:tc>
          <w:tcPr>
            <w:tcW w:w="1701" w:type="dxa"/>
            <w:vAlign w:val="center"/>
          </w:tcPr>
          <w:p w14:paraId="17253EEC" w14:textId="77777777" w:rsidR="0089207C" w:rsidRPr="00AC3044" w:rsidRDefault="0089207C" w:rsidP="002D3EBF">
            <w:pPr>
              <w:rPr>
                <w:rFonts w:eastAsia="SimSun"/>
              </w:rPr>
            </w:pPr>
            <w:r w:rsidRPr="00AC3044">
              <w:rPr>
                <w:rFonts w:eastAsia="SimSun"/>
              </w:rPr>
              <w:t>Микофенолата мофетил</w:t>
            </w:r>
          </w:p>
        </w:tc>
        <w:tc>
          <w:tcPr>
            <w:tcW w:w="1418" w:type="dxa"/>
            <w:vAlign w:val="center"/>
          </w:tcPr>
          <w:p w14:paraId="0AEBA1DA" w14:textId="77777777" w:rsidR="0089207C" w:rsidRPr="00AC3044" w:rsidRDefault="0089207C" w:rsidP="002D3EBF">
            <w:pPr>
              <w:rPr>
                <w:rFonts w:eastAsia="SimSun"/>
              </w:rPr>
            </w:pPr>
            <w:r w:rsidRPr="00AC3044">
              <w:rPr>
                <w:rFonts w:eastAsia="SimSun"/>
              </w:rPr>
              <w:t xml:space="preserve">30 мг/кг </w:t>
            </w:r>
          </w:p>
        </w:tc>
        <w:tc>
          <w:tcPr>
            <w:tcW w:w="1276" w:type="dxa"/>
            <w:vAlign w:val="center"/>
          </w:tcPr>
          <w:p w14:paraId="0CACF1EE" w14:textId="77777777" w:rsidR="0089207C" w:rsidRPr="00AC3044" w:rsidRDefault="0089207C" w:rsidP="002D3EBF">
            <w:pPr>
              <w:rPr>
                <w:rFonts w:eastAsia="SimSun"/>
              </w:rPr>
            </w:pPr>
            <w:r w:rsidRPr="00AC3044">
              <w:rPr>
                <w:rFonts w:eastAsia="SimSun"/>
              </w:rPr>
              <w:t>–</w:t>
            </w:r>
          </w:p>
        </w:tc>
        <w:tc>
          <w:tcPr>
            <w:tcW w:w="1701" w:type="dxa"/>
            <w:vAlign w:val="center"/>
          </w:tcPr>
          <w:p w14:paraId="61C9E0BF" w14:textId="77777777" w:rsidR="0089207C" w:rsidRPr="00AC3044" w:rsidRDefault="0089207C" w:rsidP="002D3EBF">
            <w:pPr>
              <w:rPr>
                <w:rFonts w:eastAsia="SimSun"/>
              </w:rPr>
            </w:pPr>
            <w:r w:rsidRPr="00AC3044">
              <w:rPr>
                <w:rFonts w:eastAsia="SimSun"/>
              </w:rPr>
              <w:t xml:space="preserve">С +5 дня по +35 день </w:t>
            </w:r>
          </w:p>
        </w:tc>
        <w:tc>
          <w:tcPr>
            <w:tcW w:w="2268" w:type="dxa"/>
            <w:vAlign w:val="center"/>
          </w:tcPr>
          <w:p w14:paraId="18BFDC73" w14:textId="77777777" w:rsidR="0089207C" w:rsidRPr="00AC3044" w:rsidRDefault="0089207C" w:rsidP="002D3EBF">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21EFB6B7" w14:textId="77777777" w:rsidR="0089207C" w:rsidRDefault="0089207C" w:rsidP="0089207C">
      <w:pPr>
        <w:rPr>
          <w:rFonts w:eastAsia="SimSun"/>
        </w:rPr>
      </w:pPr>
      <w:bookmarkStart w:id="246" w:name="_Toc44401197"/>
    </w:p>
    <w:p w14:paraId="04414275" w14:textId="77777777" w:rsidR="0089207C" w:rsidRPr="00C07B2E" w:rsidRDefault="0089207C" w:rsidP="0089207C">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2.1.11  – Flu180+Treo42 / PT-Cy+Tx+MMF30</w:t>
      </w:r>
      <w:bookmarkEnd w:id="246"/>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1418"/>
        <w:gridCol w:w="1276"/>
        <w:gridCol w:w="1701"/>
        <w:gridCol w:w="2268"/>
      </w:tblGrid>
      <w:tr w:rsidR="0089207C" w:rsidRPr="00C07B2E" w14:paraId="249564E5" w14:textId="77777777" w:rsidTr="002D3EBF">
        <w:trPr>
          <w:cantSplit/>
          <w:trHeight w:val="20"/>
          <w:tblHeader/>
        </w:trPr>
        <w:tc>
          <w:tcPr>
            <w:tcW w:w="1242" w:type="dxa"/>
            <w:vAlign w:val="center"/>
          </w:tcPr>
          <w:p w14:paraId="569F29EA" w14:textId="77777777" w:rsidR="0089207C" w:rsidRPr="00470D3D" w:rsidRDefault="0089207C" w:rsidP="002D3EBF">
            <w:pPr>
              <w:rPr>
                <w:rFonts w:eastAsia="SimSun"/>
              </w:rPr>
            </w:pPr>
          </w:p>
        </w:tc>
        <w:tc>
          <w:tcPr>
            <w:tcW w:w="1701" w:type="dxa"/>
            <w:vAlign w:val="center"/>
          </w:tcPr>
          <w:p w14:paraId="3317E4AE" w14:textId="77777777" w:rsidR="0089207C" w:rsidRPr="00C07B2E" w:rsidRDefault="0089207C" w:rsidP="002D3EBF">
            <w:pPr>
              <w:rPr>
                <w:rFonts w:eastAsia="SimSun"/>
              </w:rPr>
            </w:pPr>
            <w:r w:rsidRPr="00C07B2E">
              <w:rPr>
                <w:rFonts w:eastAsia="SimSun"/>
              </w:rPr>
              <w:t>Препарат</w:t>
            </w:r>
          </w:p>
        </w:tc>
        <w:tc>
          <w:tcPr>
            <w:tcW w:w="1418" w:type="dxa"/>
            <w:vAlign w:val="center"/>
          </w:tcPr>
          <w:p w14:paraId="36ACA58D" w14:textId="77777777" w:rsidR="0089207C" w:rsidRPr="00C07B2E" w:rsidRDefault="0089207C" w:rsidP="002D3EBF">
            <w:pPr>
              <w:rPr>
                <w:rFonts w:eastAsia="SimSun"/>
              </w:rPr>
            </w:pPr>
            <w:r w:rsidRPr="00C07B2E">
              <w:rPr>
                <w:rFonts w:eastAsia="SimSun"/>
              </w:rPr>
              <w:t>Суточная доза</w:t>
            </w:r>
          </w:p>
        </w:tc>
        <w:tc>
          <w:tcPr>
            <w:tcW w:w="1276" w:type="dxa"/>
            <w:vAlign w:val="center"/>
          </w:tcPr>
          <w:p w14:paraId="1857F0DC" w14:textId="77777777" w:rsidR="0089207C" w:rsidRPr="00C07B2E" w:rsidRDefault="0089207C" w:rsidP="002D3EBF">
            <w:pPr>
              <w:rPr>
                <w:rFonts w:eastAsia="SimSun"/>
              </w:rPr>
            </w:pPr>
            <w:r w:rsidRPr="00C07B2E">
              <w:rPr>
                <w:rFonts w:eastAsia="SimSun"/>
              </w:rPr>
              <w:t>Курсовая доза</w:t>
            </w:r>
          </w:p>
        </w:tc>
        <w:tc>
          <w:tcPr>
            <w:tcW w:w="1701" w:type="dxa"/>
            <w:vAlign w:val="center"/>
          </w:tcPr>
          <w:p w14:paraId="00BFEB36" w14:textId="77777777" w:rsidR="0089207C" w:rsidRPr="00C07B2E" w:rsidRDefault="0089207C" w:rsidP="002D3EBF">
            <w:pPr>
              <w:rPr>
                <w:rFonts w:eastAsia="SimSun"/>
              </w:rPr>
            </w:pPr>
            <w:r w:rsidRPr="00C07B2E">
              <w:rPr>
                <w:rFonts w:eastAsia="SimSun"/>
              </w:rPr>
              <w:t>Дни введения</w:t>
            </w:r>
          </w:p>
        </w:tc>
        <w:tc>
          <w:tcPr>
            <w:tcW w:w="2268" w:type="dxa"/>
            <w:vAlign w:val="center"/>
          </w:tcPr>
          <w:p w14:paraId="5DAF2E70" w14:textId="77777777" w:rsidR="0089207C" w:rsidRPr="00C07B2E" w:rsidRDefault="0089207C" w:rsidP="002D3EBF">
            <w:pPr>
              <w:rPr>
                <w:rFonts w:eastAsia="SimSun"/>
              </w:rPr>
            </w:pPr>
            <w:r w:rsidRPr="00C07B2E">
              <w:rPr>
                <w:rFonts w:eastAsia="SimSun"/>
              </w:rPr>
              <w:t>Порядок введения</w:t>
            </w:r>
          </w:p>
        </w:tc>
      </w:tr>
      <w:tr w:rsidR="0089207C" w:rsidRPr="00C07B2E" w14:paraId="43836580" w14:textId="77777777" w:rsidTr="002D3EBF">
        <w:trPr>
          <w:cantSplit/>
          <w:trHeight w:val="20"/>
        </w:trPr>
        <w:tc>
          <w:tcPr>
            <w:tcW w:w="1242" w:type="dxa"/>
            <w:vMerge w:val="restart"/>
            <w:textDirection w:val="btLr"/>
            <w:vAlign w:val="center"/>
          </w:tcPr>
          <w:p w14:paraId="124C5AD8" w14:textId="77777777" w:rsidR="0089207C" w:rsidRPr="00C07B2E" w:rsidRDefault="0089207C" w:rsidP="002D3EBF">
            <w:pPr>
              <w:rPr>
                <w:rFonts w:eastAsia="SimSun"/>
              </w:rPr>
            </w:pPr>
            <w:r w:rsidRPr="00C07B2E">
              <w:rPr>
                <w:rFonts w:eastAsia="SimSun"/>
              </w:rPr>
              <w:t>Кондиционирование</w:t>
            </w:r>
          </w:p>
        </w:tc>
        <w:tc>
          <w:tcPr>
            <w:tcW w:w="1701" w:type="dxa"/>
            <w:vAlign w:val="center"/>
          </w:tcPr>
          <w:p w14:paraId="1645C60C" w14:textId="77777777" w:rsidR="0089207C" w:rsidRPr="00C07B2E" w:rsidRDefault="0089207C" w:rsidP="002D3EBF">
            <w:pPr>
              <w:rPr>
                <w:rFonts w:eastAsia="SimSun"/>
              </w:rPr>
            </w:pPr>
            <w:r w:rsidRPr="00C07B2E">
              <w:rPr>
                <w:rFonts w:eastAsia="SimSun"/>
              </w:rPr>
              <w:t xml:space="preserve">Флударабин </w:t>
            </w:r>
          </w:p>
        </w:tc>
        <w:tc>
          <w:tcPr>
            <w:tcW w:w="1418" w:type="dxa"/>
            <w:vAlign w:val="center"/>
          </w:tcPr>
          <w:p w14:paraId="0DCB68F8" w14:textId="77777777" w:rsidR="0089207C" w:rsidRPr="00C07B2E" w:rsidRDefault="0089207C" w:rsidP="002D3EBF">
            <w:pPr>
              <w:rPr>
                <w:rFonts w:eastAsia="SimSun"/>
              </w:rPr>
            </w:pPr>
            <w:r w:rsidRPr="00C07B2E">
              <w:rPr>
                <w:rFonts w:eastAsia="SimSun"/>
              </w:rPr>
              <w:t>30 мг/м</w:t>
            </w:r>
            <w:r w:rsidRPr="00DB259E">
              <w:rPr>
                <w:rFonts w:eastAsia="SimSun"/>
                <w:vertAlign w:val="superscript"/>
              </w:rPr>
              <w:t>2</w:t>
            </w:r>
          </w:p>
        </w:tc>
        <w:tc>
          <w:tcPr>
            <w:tcW w:w="1276" w:type="dxa"/>
            <w:vAlign w:val="center"/>
          </w:tcPr>
          <w:p w14:paraId="4F86A4D2" w14:textId="77777777" w:rsidR="0089207C" w:rsidRPr="00C07B2E" w:rsidRDefault="0089207C" w:rsidP="002D3EBF">
            <w:pPr>
              <w:rPr>
                <w:rFonts w:eastAsia="SimSun"/>
              </w:rPr>
            </w:pPr>
            <w:r w:rsidRPr="00C07B2E">
              <w:rPr>
                <w:rFonts w:eastAsia="SimSun"/>
              </w:rPr>
              <w:t>180 мг/м</w:t>
            </w:r>
            <w:r w:rsidRPr="00DB259E">
              <w:rPr>
                <w:rFonts w:eastAsia="SimSun"/>
                <w:vertAlign w:val="superscript"/>
              </w:rPr>
              <w:t>2</w:t>
            </w:r>
          </w:p>
        </w:tc>
        <w:tc>
          <w:tcPr>
            <w:tcW w:w="1701" w:type="dxa"/>
            <w:vAlign w:val="center"/>
          </w:tcPr>
          <w:p w14:paraId="7B6DE500" w14:textId="77777777" w:rsidR="0089207C" w:rsidRPr="00C07B2E" w:rsidRDefault="0089207C" w:rsidP="002D3EBF">
            <w:pPr>
              <w:rPr>
                <w:rFonts w:eastAsia="SimSun"/>
              </w:rPr>
            </w:pPr>
            <w:r w:rsidRPr="00C07B2E">
              <w:rPr>
                <w:rFonts w:eastAsia="SimSun"/>
              </w:rPr>
              <w:t>С -7 дня по -2 день</w:t>
            </w:r>
          </w:p>
        </w:tc>
        <w:tc>
          <w:tcPr>
            <w:tcW w:w="2268" w:type="dxa"/>
            <w:vAlign w:val="center"/>
          </w:tcPr>
          <w:p w14:paraId="41F7339A" w14:textId="77777777" w:rsidR="0089207C" w:rsidRPr="00C07B2E" w:rsidRDefault="0089207C" w:rsidP="002D3EBF">
            <w:pPr>
              <w:rPr>
                <w:rFonts w:eastAsia="SimSun"/>
              </w:rPr>
            </w:pPr>
            <w:r w:rsidRPr="00C07B2E">
              <w:rPr>
                <w:rFonts w:eastAsia="SimSun"/>
              </w:rPr>
              <w:t>В/в, в течение 30 -60 мин</w:t>
            </w:r>
          </w:p>
        </w:tc>
      </w:tr>
      <w:tr w:rsidR="0089207C" w:rsidRPr="00C07B2E" w14:paraId="39C4FC95" w14:textId="77777777" w:rsidTr="002D3EBF">
        <w:trPr>
          <w:cantSplit/>
          <w:trHeight w:val="872"/>
        </w:trPr>
        <w:tc>
          <w:tcPr>
            <w:tcW w:w="1242" w:type="dxa"/>
            <w:vMerge/>
            <w:vAlign w:val="center"/>
          </w:tcPr>
          <w:p w14:paraId="22D9AF13" w14:textId="77777777" w:rsidR="0089207C" w:rsidRPr="00C07B2E" w:rsidRDefault="0089207C" w:rsidP="002D3EBF">
            <w:pPr>
              <w:rPr>
                <w:rFonts w:eastAsia="SimSun"/>
              </w:rPr>
            </w:pPr>
          </w:p>
        </w:tc>
        <w:tc>
          <w:tcPr>
            <w:tcW w:w="1701" w:type="dxa"/>
            <w:vAlign w:val="center"/>
          </w:tcPr>
          <w:p w14:paraId="141E41FF" w14:textId="77777777" w:rsidR="0089207C" w:rsidRPr="00C07B2E" w:rsidRDefault="0089207C" w:rsidP="002D3EBF">
            <w:pPr>
              <w:rPr>
                <w:rFonts w:eastAsia="SimSun"/>
              </w:rPr>
            </w:pPr>
            <w:r w:rsidRPr="00C07B2E">
              <w:rPr>
                <w:rFonts w:eastAsia="SimSun"/>
              </w:rPr>
              <w:t xml:space="preserve">Треосульфан </w:t>
            </w:r>
          </w:p>
        </w:tc>
        <w:tc>
          <w:tcPr>
            <w:tcW w:w="1418" w:type="dxa"/>
            <w:vAlign w:val="center"/>
          </w:tcPr>
          <w:p w14:paraId="67D6A229" w14:textId="77777777" w:rsidR="0089207C" w:rsidRPr="00C07B2E" w:rsidRDefault="0089207C" w:rsidP="002D3EBF">
            <w:pPr>
              <w:rPr>
                <w:rFonts w:eastAsia="SimSun"/>
              </w:rPr>
            </w:pPr>
            <w:r w:rsidRPr="00C07B2E">
              <w:rPr>
                <w:rFonts w:eastAsia="SimSun"/>
              </w:rPr>
              <w:t>14 г/кг</w:t>
            </w:r>
          </w:p>
        </w:tc>
        <w:tc>
          <w:tcPr>
            <w:tcW w:w="1276" w:type="dxa"/>
            <w:vAlign w:val="center"/>
          </w:tcPr>
          <w:p w14:paraId="3017E686" w14:textId="77777777" w:rsidR="0089207C" w:rsidRPr="00C07B2E" w:rsidRDefault="0089207C" w:rsidP="002D3EBF">
            <w:pPr>
              <w:rPr>
                <w:rFonts w:eastAsia="SimSun"/>
              </w:rPr>
            </w:pPr>
            <w:r w:rsidRPr="00C07B2E">
              <w:rPr>
                <w:rFonts w:eastAsia="SimSun"/>
                <w:lang w:val="en-US"/>
              </w:rPr>
              <w:t>4</w:t>
            </w:r>
            <w:r w:rsidRPr="00C07B2E">
              <w:rPr>
                <w:rFonts w:eastAsia="SimSun"/>
              </w:rPr>
              <w:t>2 г/кг</w:t>
            </w:r>
          </w:p>
        </w:tc>
        <w:tc>
          <w:tcPr>
            <w:tcW w:w="1701" w:type="dxa"/>
            <w:vAlign w:val="center"/>
          </w:tcPr>
          <w:p w14:paraId="1FF35E2D" w14:textId="77777777" w:rsidR="0089207C" w:rsidRPr="00C07B2E" w:rsidRDefault="0089207C" w:rsidP="002D3EBF">
            <w:pPr>
              <w:rPr>
                <w:rFonts w:eastAsia="SimSun"/>
              </w:rPr>
            </w:pPr>
            <w:r w:rsidRPr="00C07B2E">
              <w:rPr>
                <w:rFonts w:eastAsia="SimSun"/>
              </w:rPr>
              <w:t xml:space="preserve">С -5 дня по -3 день </w:t>
            </w:r>
          </w:p>
        </w:tc>
        <w:tc>
          <w:tcPr>
            <w:tcW w:w="2268" w:type="dxa"/>
            <w:vAlign w:val="center"/>
          </w:tcPr>
          <w:p w14:paraId="5670A05D" w14:textId="77777777" w:rsidR="0089207C" w:rsidRPr="00C07B2E" w:rsidRDefault="0089207C" w:rsidP="002D3EBF">
            <w:pPr>
              <w:rPr>
                <w:rFonts w:eastAsia="SimSun"/>
              </w:rPr>
            </w:pPr>
            <w:r w:rsidRPr="00C07B2E">
              <w:rPr>
                <w:rFonts w:eastAsia="SimSun"/>
              </w:rPr>
              <w:t>В/в, в течение 2 часов</w:t>
            </w:r>
          </w:p>
        </w:tc>
      </w:tr>
      <w:tr w:rsidR="0089207C" w:rsidRPr="00C07B2E" w14:paraId="7CF9ED5A" w14:textId="77777777" w:rsidTr="002D3EBF">
        <w:trPr>
          <w:cantSplit/>
          <w:trHeight w:val="1498"/>
        </w:trPr>
        <w:tc>
          <w:tcPr>
            <w:tcW w:w="1242" w:type="dxa"/>
            <w:vMerge w:val="restart"/>
            <w:textDirection w:val="btLr"/>
            <w:vAlign w:val="center"/>
          </w:tcPr>
          <w:p w14:paraId="551AB014" w14:textId="77777777" w:rsidR="0089207C" w:rsidRPr="00C07B2E" w:rsidRDefault="0089207C" w:rsidP="002D3EBF">
            <w:pPr>
              <w:rPr>
                <w:rFonts w:eastAsia="SimSun"/>
              </w:rPr>
            </w:pPr>
            <w:r w:rsidRPr="00C07B2E">
              <w:rPr>
                <w:rFonts w:eastAsia="SimSun"/>
              </w:rPr>
              <w:t>Профилактика РТПХ</w:t>
            </w:r>
          </w:p>
        </w:tc>
        <w:tc>
          <w:tcPr>
            <w:tcW w:w="1701" w:type="dxa"/>
            <w:vAlign w:val="center"/>
          </w:tcPr>
          <w:p w14:paraId="7BE1C1D5" w14:textId="77777777" w:rsidR="0089207C" w:rsidRPr="00C07B2E" w:rsidRDefault="0089207C" w:rsidP="002D3EBF">
            <w:pPr>
              <w:rPr>
                <w:rFonts w:eastAsia="SimSun"/>
              </w:rPr>
            </w:pPr>
            <w:r w:rsidRPr="00C07B2E">
              <w:rPr>
                <w:rFonts w:eastAsia="SimSun"/>
              </w:rPr>
              <w:t xml:space="preserve">Такролимус </w:t>
            </w:r>
          </w:p>
        </w:tc>
        <w:tc>
          <w:tcPr>
            <w:tcW w:w="1418" w:type="dxa"/>
            <w:vAlign w:val="center"/>
          </w:tcPr>
          <w:p w14:paraId="1ED60F07" w14:textId="77777777" w:rsidR="0089207C" w:rsidRPr="00C07B2E" w:rsidRDefault="0089207C" w:rsidP="002D3EBF">
            <w:pPr>
              <w:rPr>
                <w:rFonts w:eastAsia="SimSun"/>
              </w:rPr>
            </w:pPr>
            <w:r w:rsidRPr="00C07B2E">
              <w:rPr>
                <w:rFonts w:eastAsia="SimSun"/>
              </w:rPr>
              <w:t>0,03 мг/кг</w:t>
            </w:r>
          </w:p>
        </w:tc>
        <w:tc>
          <w:tcPr>
            <w:tcW w:w="1276" w:type="dxa"/>
            <w:vAlign w:val="center"/>
          </w:tcPr>
          <w:p w14:paraId="150B42C2" w14:textId="77777777" w:rsidR="0089207C" w:rsidRPr="00C07B2E" w:rsidRDefault="0089207C" w:rsidP="002D3EBF">
            <w:pPr>
              <w:rPr>
                <w:rFonts w:eastAsia="SimSun"/>
              </w:rPr>
            </w:pPr>
            <w:r w:rsidRPr="00C07B2E">
              <w:rPr>
                <w:rFonts w:eastAsia="SimSun"/>
                <w:lang w:val="en-US"/>
              </w:rPr>
              <w:t>–</w:t>
            </w:r>
          </w:p>
        </w:tc>
        <w:tc>
          <w:tcPr>
            <w:tcW w:w="1701" w:type="dxa"/>
            <w:vAlign w:val="center"/>
          </w:tcPr>
          <w:p w14:paraId="6C0CBD54" w14:textId="77777777" w:rsidR="0089207C" w:rsidRPr="00C07B2E" w:rsidRDefault="0089207C" w:rsidP="002D3EBF">
            <w:pPr>
              <w:rPr>
                <w:rFonts w:eastAsia="SimSun"/>
              </w:rPr>
            </w:pPr>
            <w:r w:rsidRPr="00C07B2E">
              <w:rPr>
                <w:rFonts w:eastAsia="SimSun"/>
              </w:rPr>
              <w:t xml:space="preserve">С +5 дня длительно </w:t>
            </w:r>
          </w:p>
        </w:tc>
        <w:tc>
          <w:tcPr>
            <w:tcW w:w="2268" w:type="dxa"/>
            <w:vAlign w:val="center"/>
          </w:tcPr>
          <w:p w14:paraId="3FC829D7" w14:textId="77777777" w:rsidR="0089207C" w:rsidRPr="00DB259E" w:rsidRDefault="0089207C" w:rsidP="002D3EBF">
            <w:pPr>
              <w:rPr>
                <w:rFonts w:eastAsia="SimSun"/>
              </w:rPr>
            </w:pPr>
            <w:r w:rsidRPr="00C07B2E">
              <w:rPr>
                <w:rFonts w:eastAsia="SimSun"/>
              </w:rPr>
              <w:t xml:space="preserve">В/в инфузия в течение 24 ч с последующей коррекцией суточной дозы по концентрации. </w:t>
            </w:r>
            <w:r w:rsidRPr="00DB259E">
              <w:rPr>
                <w:rFonts w:eastAsia="SimSun"/>
              </w:rPr>
              <w:t>Перевод на прием внутрь при условии восстановления лейкоцитов &gt; 1</w:t>
            </w:r>
            <w:r>
              <w:rPr>
                <w:rFonts w:eastAsia="SimSun"/>
              </w:rPr>
              <w:t xml:space="preserve"> х</w:t>
            </w:r>
            <w:r w:rsidRPr="00DB259E">
              <w:rPr>
                <w:rFonts w:eastAsia="SimSun"/>
              </w:rPr>
              <w:t xml:space="preserve"> 10</w:t>
            </w:r>
            <w:r w:rsidRPr="00DB259E">
              <w:rPr>
                <w:rFonts w:eastAsia="SimSun"/>
                <w:vertAlign w:val="superscript"/>
              </w:rPr>
              <w:t>9</w:t>
            </w:r>
            <w:r w:rsidRPr="00DB259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DB259E">
              <w:rPr>
                <w:rFonts w:eastAsia="SimSun"/>
              </w:rPr>
              <w:t xml:space="preserve"> 5-15 нг/мл.    </w:t>
            </w:r>
          </w:p>
        </w:tc>
      </w:tr>
      <w:tr w:rsidR="0089207C" w:rsidRPr="00C07B2E" w14:paraId="019C2CEB" w14:textId="77777777" w:rsidTr="002D3EBF">
        <w:trPr>
          <w:cantSplit/>
          <w:trHeight w:val="542"/>
        </w:trPr>
        <w:tc>
          <w:tcPr>
            <w:tcW w:w="1242" w:type="dxa"/>
            <w:vMerge/>
            <w:textDirection w:val="btLr"/>
            <w:vAlign w:val="center"/>
          </w:tcPr>
          <w:p w14:paraId="1B138424" w14:textId="77777777" w:rsidR="0089207C" w:rsidRPr="00DB259E" w:rsidRDefault="0089207C" w:rsidP="002D3EBF">
            <w:pPr>
              <w:rPr>
                <w:rFonts w:eastAsia="SimSun"/>
              </w:rPr>
            </w:pPr>
          </w:p>
        </w:tc>
        <w:tc>
          <w:tcPr>
            <w:tcW w:w="1701" w:type="dxa"/>
            <w:vAlign w:val="center"/>
          </w:tcPr>
          <w:p w14:paraId="56C12907" w14:textId="77777777" w:rsidR="0089207C" w:rsidRPr="00C07B2E" w:rsidRDefault="0089207C" w:rsidP="002D3EBF">
            <w:pPr>
              <w:rPr>
                <w:rFonts w:eastAsia="SimSun"/>
              </w:rPr>
            </w:pPr>
            <w:r w:rsidRPr="00C07B2E">
              <w:rPr>
                <w:rFonts w:eastAsia="SimSun"/>
              </w:rPr>
              <w:t>Микофенолата мофетил</w:t>
            </w:r>
          </w:p>
        </w:tc>
        <w:tc>
          <w:tcPr>
            <w:tcW w:w="1418" w:type="dxa"/>
            <w:vAlign w:val="center"/>
          </w:tcPr>
          <w:p w14:paraId="4B4FC41D" w14:textId="77777777" w:rsidR="0089207C" w:rsidRPr="00C07B2E" w:rsidRDefault="0089207C" w:rsidP="002D3EBF">
            <w:pPr>
              <w:rPr>
                <w:rFonts w:eastAsia="SimSun"/>
              </w:rPr>
            </w:pPr>
            <w:r w:rsidRPr="00C07B2E">
              <w:rPr>
                <w:rFonts w:eastAsia="SimSun"/>
                <w:lang w:val="en-US"/>
              </w:rPr>
              <w:t>30</w:t>
            </w:r>
            <w:r w:rsidRPr="00C07B2E">
              <w:rPr>
                <w:rFonts w:eastAsia="SimSun"/>
              </w:rPr>
              <w:t xml:space="preserve"> мг/кг </w:t>
            </w:r>
          </w:p>
        </w:tc>
        <w:tc>
          <w:tcPr>
            <w:tcW w:w="1276" w:type="dxa"/>
            <w:vAlign w:val="center"/>
          </w:tcPr>
          <w:p w14:paraId="4E236CD1" w14:textId="77777777" w:rsidR="0089207C" w:rsidRPr="00C07B2E" w:rsidRDefault="0089207C" w:rsidP="002D3EBF">
            <w:pPr>
              <w:rPr>
                <w:rFonts w:eastAsia="SimSun"/>
              </w:rPr>
            </w:pPr>
            <w:r w:rsidRPr="00C07B2E">
              <w:rPr>
                <w:rFonts w:eastAsia="SimSun"/>
              </w:rPr>
              <w:t>–</w:t>
            </w:r>
          </w:p>
        </w:tc>
        <w:tc>
          <w:tcPr>
            <w:tcW w:w="1701" w:type="dxa"/>
            <w:vAlign w:val="center"/>
          </w:tcPr>
          <w:p w14:paraId="4012776D" w14:textId="77777777" w:rsidR="0089207C" w:rsidRPr="00C07B2E" w:rsidRDefault="0089207C" w:rsidP="002D3EBF">
            <w:pPr>
              <w:rPr>
                <w:rFonts w:eastAsia="SimSun"/>
              </w:rPr>
            </w:pPr>
            <w:r w:rsidRPr="00C07B2E">
              <w:rPr>
                <w:rFonts w:eastAsia="SimSun"/>
              </w:rPr>
              <w:t xml:space="preserve">С +5 дня по +35 день </w:t>
            </w:r>
          </w:p>
        </w:tc>
        <w:tc>
          <w:tcPr>
            <w:tcW w:w="2268" w:type="dxa"/>
            <w:vAlign w:val="center"/>
          </w:tcPr>
          <w:p w14:paraId="1F7C60D9" w14:textId="77777777" w:rsidR="0089207C" w:rsidRPr="00C07B2E" w:rsidRDefault="0089207C" w:rsidP="002D3EBF">
            <w:pPr>
              <w:rPr>
                <w:rFonts w:eastAsia="SimSun"/>
              </w:rPr>
            </w:pPr>
            <w:r w:rsidRPr="00C07B2E">
              <w:rPr>
                <w:rFonts w:eastAsia="SimSun"/>
              </w:rPr>
              <w:t xml:space="preserve">Внутрь, суммарная суточная доза разделяется на 2- 4 приема (не более 3г/сут).  </w:t>
            </w:r>
          </w:p>
        </w:tc>
      </w:tr>
      <w:tr w:rsidR="0089207C" w:rsidRPr="00C07B2E" w14:paraId="0DBBC5F1" w14:textId="77777777" w:rsidTr="002D3EBF">
        <w:trPr>
          <w:cantSplit/>
          <w:trHeight w:val="508"/>
        </w:trPr>
        <w:tc>
          <w:tcPr>
            <w:tcW w:w="1242" w:type="dxa"/>
            <w:vMerge/>
            <w:textDirection w:val="btLr"/>
            <w:vAlign w:val="center"/>
          </w:tcPr>
          <w:p w14:paraId="5F73DCCE" w14:textId="77777777" w:rsidR="0089207C" w:rsidRPr="00C07B2E" w:rsidRDefault="0089207C" w:rsidP="002D3EBF">
            <w:pPr>
              <w:rPr>
                <w:rFonts w:eastAsia="SimSun"/>
              </w:rPr>
            </w:pPr>
          </w:p>
        </w:tc>
        <w:tc>
          <w:tcPr>
            <w:tcW w:w="1701" w:type="dxa"/>
            <w:vAlign w:val="center"/>
          </w:tcPr>
          <w:p w14:paraId="7AEAB5D5" w14:textId="77777777" w:rsidR="0089207C" w:rsidRPr="00C07B2E" w:rsidRDefault="0089207C" w:rsidP="002D3EBF">
            <w:pPr>
              <w:rPr>
                <w:rFonts w:eastAsia="SimSun"/>
              </w:rPr>
            </w:pPr>
            <w:r w:rsidRPr="00C07B2E">
              <w:rPr>
                <w:rFonts w:eastAsia="SimSun"/>
              </w:rPr>
              <w:t xml:space="preserve">Циклофосфамид </w:t>
            </w:r>
          </w:p>
        </w:tc>
        <w:tc>
          <w:tcPr>
            <w:tcW w:w="1418" w:type="dxa"/>
            <w:vAlign w:val="center"/>
          </w:tcPr>
          <w:p w14:paraId="194EA05F" w14:textId="77777777" w:rsidR="0089207C" w:rsidRPr="00C07B2E" w:rsidRDefault="0089207C" w:rsidP="002D3EBF">
            <w:pPr>
              <w:rPr>
                <w:rFonts w:eastAsia="SimSun"/>
              </w:rPr>
            </w:pPr>
            <w:r w:rsidRPr="00C07B2E">
              <w:rPr>
                <w:rFonts w:eastAsia="SimSun"/>
              </w:rPr>
              <w:t xml:space="preserve">50 мг/кг </w:t>
            </w:r>
          </w:p>
        </w:tc>
        <w:tc>
          <w:tcPr>
            <w:tcW w:w="1276" w:type="dxa"/>
            <w:vAlign w:val="center"/>
          </w:tcPr>
          <w:p w14:paraId="786B16E1" w14:textId="77777777" w:rsidR="0089207C" w:rsidRPr="00C07B2E" w:rsidRDefault="0089207C" w:rsidP="002D3EBF">
            <w:pPr>
              <w:rPr>
                <w:rFonts w:eastAsia="SimSun"/>
              </w:rPr>
            </w:pPr>
            <w:r w:rsidRPr="00C07B2E">
              <w:rPr>
                <w:rFonts w:eastAsia="SimSun"/>
              </w:rPr>
              <w:t>100 мг/кг</w:t>
            </w:r>
          </w:p>
        </w:tc>
        <w:tc>
          <w:tcPr>
            <w:tcW w:w="1701" w:type="dxa"/>
            <w:vAlign w:val="center"/>
          </w:tcPr>
          <w:p w14:paraId="3F59A2AF" w14:textId="77777777" w:rsidR="0089207C" w:rsidRPr="00C07B2E" w:rsidRDefault="0089207C" w:rsidP="002D3EBF">
            <w:pPr>
              <w:rPr>
                <w:rFonts w:eastAsia="SimSun"/>
              </w:rPr>
            </w:pPr>
            <w:r w:rsidRPr="00C07B2E">
              <w:rPr>
                <w:rFonts w:eastAsia="SimSun"/>
              </w:rPr>
              <w:t>С +3 дня по +4 день</w:t>
            </w:r>
          </w:p>
        </w:tc>
        <w:tc>
          <w:tcPr>
            <w:tcW w:w="2268" w:type="dxa"/>
            <w:vAlign w:val="center"/>
          </w:tcPr>
          <w:p w14:paraId="6CC2F19B" w14:textId="77777777" w:rsidR="0089207C" w:rsidRPr="00C07B2E" w:rsidRDefault="0089207C" w:rsidP="002D3EBF">
            <w:pPr>
              <w:rPr>
                <w:rFonts w:eastAsia="SimSun"/>
              </w:rPr>
            </w:pPr>
            <w:r w:rsidRPr="00C07B2E">
              <w:rPr>
                <w:rFonts w:eastAsia="SimSun"/>
              </w:rPr>
              <w:t>В/в, в течение 2 ч</w:t>
            </w:r>
          </w:p>
        </w:tc>
      </w:tr>
    </w:tbl>
    <w:p w14:paraId="77A56120" w14:textId="77777777" w:rsidR="0089207C" w:rsidRPr="00C07B2E" w:rsidRDefault="0089207C" w:rsidP="0089207C">
      <w:pPr>
        <w:rPr>
          <w:rFonts w:eastAsia="SimSun"/>
        </w:rPr>
      </w:pPr>
    </w:p>
    <w:p w14:paraId="1E8BF9C5" w14:textId="77777777" w:rsidR="0089207C" w:rsidRPr="00C07B2E" w:rsidRDefault="0089207C" w:rsidP="0089207C">
      <w:pPr>
        <w:rPr>
          <w:rFonts w:eastAsia="SimSun"/>
        </w:rPr>
        <w:sectPr w:rsidR="0089207C" w:rsidRPr="00C07B2E" w:rsidSect="00980822">
          <w:footerReference w:type="default" r:id="rId16"/>
          <w:type w:val="continuous"/>
          <w:pgSz w:w="11907" w:h="16839" w:code="9"/>
          <w:pgMar w:top="1134" w:right="850" w:bottom="1134" w:left="1701" w:header="709" w:footer="567" w:gutter="0"/>
          <w:cols w:space="708"/>
          <w:docGrid w:linePitch="360"/>
        </w:sectPr>
      </w:pPr>
      <w:r w:rsidRPr="00C07B2E">
        <w:rPr>
          <w:rFonts w:eastAsia="SimSun"/>
        </w:rPr>
        <w:t xml:space="preserve">Схемы и режимы применения препаратов для </w:t>
      </w:r>
      <w:r w:rsidRPr="00723FEA">
        <w:rPr>
          <w:rFonts w:eastAsia="SimSun"/>
          <w:b/>
        </w:rPr>
        <w:t>кондиционирования в режиме пониженной</w:t>
      </w:r>
      <w:r>
        <w:rPr>
          <w:rFonts w:eastAsia="SimSun"/>
        </w:rPr>
        <w:t xml:space="preserve"> интенсивности</w:t>
      </w:r>
      <w:r w:rsidRPr="00C07B2E">
        <w:rPr>
          <w:rFonts w:eastAsia="SimSun"/>
        </w:rPr>
        <w:t xml:space="preserve"> и профилактики РТПХ указаны в Таблице </w:t>
      </w:r>
      <w:r>
        <w:rPr>
          <w:rFonts w:eastAsia="SimSun"/>
        </w:rPr>
        <w:t>5.</w:t>
      </w:r>
      <w:r w:rsidRPr="00C07B2E">
        <w:rPr>
          <w:rFonts w:eastAsia="SimSun"/>
        </w:rPr>
        <w:t>2.2</w:t>
      </w:r>
    </w:p>
    <w:p w14:paraId="7AF9B8D4" w14:textId="77777777" w:rsidR="0089207C" w:rsidRPr="00C07B2E" w:rsidRDefault="0089207C" w:rsidP="0089207C">
      <w:pPr>
        <w:rPr>
          <w:rFonts w:eastAsia="SimSun"/>
        </w:rPr>
      </w:pPr>
      <w:r w:rsidRPr="00C07B2E">
        <w:rPr>
          <w:rFonts w:eastAsia="SimSun"/>
        </w:rPr>
        <w:t xml:space="preserve">Таблица </w:t>
      </w:r>
      <w:r>
        <w:rPr>
          <w:rFonts w:eastAsia="SimSun"/>
        </w:rPr>
        <w:t>5.</w:t>
      </w:r>
      <w:r w:rsidRPr="00C07B2E">
        <w:rPr>
          <w:rFonts w:eastAsia="SimSun"/>
        </w:rPr>
        <w:t xml:space="preserve">2.2 Схемы и режимы применения препаратов для кондиционирования и профилактики РТПХ со ссылками на </w:t>
      </w:r>
      <w:r>
        <w:rPr>
          <w:rFonts w:eastAsia="SimSun"/>
        </w:rPr>
        <w:t>таблицы с описанием</w:t>
      </w:r>
    </w:p>
    <w:p w14:paraId="59349B0B" w14:textId="77777777" w:rsidR="0089207C" w:rsidRPr="00C07B2E" w:rsidRDefault="0089207C" w:rsidP="0089207C">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865"/>
        <w:gridCol w:w="880"/>
        <w:gridCol w:w="1222"/>
        <w:gridCol w:w="1177"/>
        <w:gridCol w:w="1031"/>
        <w:gridCol w:w="1265"/>
        <w:gridCol w:w="1228"/>
        <w:gridCol w:w="902"/>
        <w:gridCol w:w="1356"/>
        <w:gridCol w:w="1091"/>
        <w:gridCol w:w="1142"/>
        <w:gridCol w:w="1125"/>
      </w:tblGrid>
      <w:tr w:rsidR="0089207C" w:rsidRPr="00470E23" w14:paraId="6117CB98" w14:textId="77777777" w:rsidTr="002D3EBF">
        <w:trPr>
          <w:cantSplit/>
          <w:trHeight w:val="498"/>
        </w:trPr>
        <w:tc>
          <w:tcPr>
            <w:tcW w:w="1387" w:type="pct"/>
            <w:gridSpan w:val="4"/>
            <w:vMerge w:val="restart"/>
            <w:shd w:val="clear" w:color="auto" w:fill="auto"/>
            <w:vAlign w:val="center"/>
          </w:tcPr>
          <w:p w14:paraId="522CE2EA" w14:textId="77777777" w:rsidR="0089207C" w:rsidRPr="00470E23" w:rsidRDefault="0089207C" w:rsidP="002D3EBF">
            <w:pPr>
              <w:rPr>
                <w:rFonts w:eastAsia="SimSun"/>
                <w:sz w:val="22"/>
              </w:rPr>
            </w:pPr>
            <w:r w:rsidRPr="00470E23">
              <w:rPr>
                <w:rFonts w:eastAsia="SimSun"/>
                <w:sz w:val="22"/>
              </w:rPr>
              <w:t>Профилактика РТПХ</w:t>
            </w:r>
          </w:p>
        </w:tc>
        <w:tc>
          <w:tcPr>
            <w:tcW w:w="3613" w:type="pct"/>
            <w:gridSpan w:val="9"/>
            <w:shd w:val="clear" w:color="auto" w:fill="auto"/>
            <w:vAlign w:val="center"/>
          </w:tcPr>
          <w:p w14:paraId="1F0A16C2" w14:textId="77777777" w:rsidR="0089207C" w:rsidRPr="00470E23" w:rsidRDefault="0089207C" w:rsidP="002D3EBF">
            <w:pPr>
              <w:rPr>
                <w:rFonts w:eastAsia="SimSun"/>
                <w:sz w:val="22"/>
              </w:rPr>
            </w:pPr>
            <w:r w:rsidRPr="00470E23">
              <w:rPr>
                <w:rFonts w:eastAsia="SimSun"/>
                <w:sz w:val="22"/>
              </w:rPr>
              <w:t>Режим кондиционирования</w:t>
            </w:r>
          </w:p>
        </w:tc>
      </w:tr>
      <w:tr w:rsidR="0089207C" w:rsidRPr="00470E23" w14:paraId="30DA365A" w14:textId="77777777" w:rsidTr="002D3EBF">
        <w:trPr>
          <w:cantSplit/>
          <w:trHeight w:val="433"/>
        </w:trPr>
        <w:tc>
          <w:tcPr>
            <w:tcW w:w="1387" w:type="pct"/>
            <w:gridSpan w:val="4"/>
            <w:vMerge/>
            <w:shd w:val="clear" w:color="auto" w:fill="auto"/>
            <w:vAlign w:val="center"/>
          </w:tcPr>
          <w:p w14:paraId="68EA6C1E" w14:textId="77777777" w:rsidR="0089207C" w:rsidRPr="00470E23" w:rsidRDefault="0089207C" w:rsidP="002D3EBF">
            <w:pPr>
              <w:rPr>
                <w:rFonts w:eastAsia="SimSun"/>
                <w:sz w:val="22"/>
              </w:rPr>
            </w:pPr>
          </w:p>
        </w:tc>
        <w:tc>
          <w:tcPr>
            <w:tcW w:w="412" w:type="pct"/>
            <w:shd w:val="clear" w:color="auto" w:fill="D9D9D9"/>
            <w:vAlign w:val="center"/>
          </w:tcPr>
          <w:p w14:paraId="0442BC4E" w14:textId="77777777" w:rsidR="0089207C" w:rsidRPr="00470E23" w:rsidRDefault="0089207C" w:rsidP="002D3EBF">
            <w:pPr>
              <w:rPr>
                <w:rFonts w:eastAsia="SimSun"/>
                <w:sz w:val="22"/>
              </w:rPr>
            </w:pPr>
            <w:r w:rsidRPr="00470E23">
              <w:rPr>
                <w:rFonts w:eastAsia="SimSun"/>
                <w:sz w:val="22"/>
              </w:rPr>
              <w:t>Flu90</w:t>
            </w:r>
          </w:p>
        </w:tc>
        <w:tc>
          <w:tcPr>
            <w:tcW w:w="803" w:type="pct"/>
            <w:gridSpan w:val="2"/>
            <w:tcBorders>
              <w:right w:val="single" w:sz="4" w:space="0" w:color="00000A"/>
            </w:tcBorders>
            <w:shd w:val="clear" w:color="auto" w:fill="D9D9D9"/>
            <w:vAlign w:val="center"/>
          </w:tcPr>
          <w:p w14:paraId="0F3EA40D" w14:textId="77777777" w:rsidR="0089207C" w:rsidRPr="00470E23" w:rsidRDefault="0089207C" w:rsidP="002D3EBF">
            <w:pPr>
              <w:rPr>
                <w:rFonts w:eastAsia="SimSun"/>
                <w:sz w:val="22"/>
              </w:rPr>
            </w:pPr>
            <w:r w:rsidRPr="00470E23">
              <w:rPr>
                <w:rFonts w:eastAsia="SimSun"/>
                <w:sz w:val="22"/>
              </w:rPr>
              <w:t>Flu150</w:t>
            </w:r>
          </w:p>
        </w:tc>
        <w:tc>
          <w:tcPr>
            <w:tcW w:w="2398" w:type="pct"/>
            <w:gridSpan w:val="6"/>
            <w:tcBorders>
              <w:left w:val="single" w:sz="4" w:space="0" w:color="00000A"/>
            </w:tcBorders>
            <w:shd w:val="clear" w:color="auto" w:fill="D9D9D9"/>
            <w:vAlign w:val="center"/>
          </w:tcPr>
          <w:p w14:paraId="71284489" w14:textId="77777777" w:rsidR="0089207C" w:rsidRPr="00470E23" w:rsidRDefault="0089207C" w:rsidP="002D3EBF">
            <w:pPr>
              <w:rPr>
                <w:rFonts w:eastAsia="SimSun"/>
                <w:sz w:val="22"/>
              </w:rPr>
            </w:pPr>
            <w:r w:rsidRPr="00470E23">
              <w:rPr>
                <w:rFonts w:eastAsia="SimSun"/>
                <w:sz w:val="22"/>
              </w:rPr>
              <w:t>Flu180</w:t>
            </w:r>
          </w:p>
        </w:tc>
      </w:tr>
      <w:tr w:rsidR="0089207C" w:rsidRPr="00470E23" w14:paraId="2BE02B82" w14:textId="77777777" w:rsidTr="002D3EBF">
        <w:trPr>
          <w:cantSplit/>
          <w:trHeight w:val="397"/>
        </w:trPr>
        <w:tc>
          <w:tcPr>
            <w:tcW w:w="1387" w:type="pct"/>
            <w:gridSpan w:val="4"/>
            <w:vMerge/>
            <w:shd w:val="clear" w:color="auto" w:fill="auto"/>
            <w:vAlign w:val="center"/>
          </w:tcPr>
          <w:p w14:paraId="3E63FAD4" w14:textId="77777777" w:rsidR="0089207C" w:rsidRPr="00470E23" w:rsidRDefault="0089207C" w:rsidP="002D3EBF">
            <w:pPr>
              <w:rPr>
                <w:rFonts w:eastAsia="SimSun"/>
                <w:sz w:val="22"/>
              </w:rPr>
            </w:pPr>
          </w:p>
        </w:tc>
        <w:tc>
          <w:tcPr>
            <w:tcW w:w="412" w:type="pct"/>
            <w:shd w:val="clear" w:color="auto" w:fill="D9D9D9"/>
            <w:vAlign w:val="center"/>
          </w:tcPr>
          <w:p w14:paraId="1C9A7295" w14:textId="77777777" w:rsidR="0089207C" w:rsidRPr="00470E23" w:rsidRDefault="0089207C" w:rsidP="002D3EBF">
            <w:pPr>
              <w:rPr>
                <w:rFonts w:eastAsia="SimSun"/>
                <w:sz w:val="22"/>
              </w:rPr>
            </w:pPr>
            <w:r w:rsidRPr="00470E23">
              <w:rPr>
                <w:rFonts w:eastAsia="SimSun"/>
                <w:sz w:val="22"/>
              </w:rPr>
              <w:t>Benda</w:t>
            </w:r>
          </w:p>
        </w:tc>
        <w:tc>
          <w:tcPr>
            <w:tcW w:w="361" w:type="pct"/>
            <w:tcBorders>
              <w:right w:val="single" w:sz="4" w:space="0" w:color="00000A"/>
            </w:tcBorders>
            <w:shd w:val="clear" w:color="auto" w:fill="D9D9D9"/>
            <w:vAlign w:val="center"/>
          </w:tcPr>
          <w:p w14:paraId="6C2A7041" w14:textId="77777777" w:rsidR="0089207C" w:rsidRPr="00470E23" w:rsidRDefault="0089207C" w:rsidP="002D3EBF">
            <w:pPr>
              <w:rPr>
                <w:rFonts w:eastAsia="SimSun"/>
                <w:sz w:val="22"/>
              </w:rPr>
            </w:pPr>
            <w:r w:rsidRPr="00470E23">
              <w:rPr>
                <w:rFonts w:eastAsia="SimSun"/>
                <w:sz w:val="22"/>
              </w:rPr>
              <w:t>-</w:t>
            </w:r>
          </w:p>
        </w:tc>
        <w:tc>
          <w:tcPr>
            <w:tcW w:w="443" w:type="pct"/>
            <w:tcBorders>
              <w:left w:val="single" w:sz="4" w:space="0" w:color="00000A"/>
              <w:right w:val="single" w:sz="4" w:space="0" w:color="00000A"/>
            </w:tcBorders>
            <w:shd w:val="clear" w:color="auto" w:fill="D9D9D9"/>
            <w:vAlign w:val="center"/>
          </w:tcPr>
          <w:p w14:paraId="33215B4F" w14:textId="77777777" w:rsidR="0089207C" w:rsidRPr="00470E23" w:rsidRDefault="0089207C" w:rsidP="002D3EBF">
            <w:pPr>
              <w:rPr>
                <w:rFonts w:eastAsia="SimSun"/>
                <w:sz w:val="22"/>
              </w:rPr>
            </w:pPr>
            <w:r w:rsidRPr="00470E23">
              <w:rPr>
                <w:rFonts w:eastAsia="SimSun"/>
                <w:sz w:val="22"/>
              </w:rPr>
              <w:t>Bu8</w:t>
            </w:r>
          </w:p>
        </w:tc>
        <w:tc>
          <w:tcPr>
            <w:tcW w:w="746" w:type="pct"/>
            <w:gridSpan w:val="2"/>
            <w:shd w:val="clear" w:color="auto" w:fill="D9D9D9"/>
            <w:vAlign w:val="center"/>
          </w:tcPr>
          <w:p w14:paraId="21B8BC8B" w14:textId="77777777" w:rsidR="0089207C" w:rsidRPr="00470E23" w:rsidRDefault="0089207C" w:rsidP="002D3EBF">
            <w:pPr>
              <w:rPr>
                <w:rFonts w:eastAsia="SimSun"/>
                <w:sz w:val="22"/>
              </w:rPr>
            </w:pPr>
            <w:r w:rsidRPr="00470E23">
              <w:rPr>
                <w:rFonts w:eastAsia="SimSun"/>
                <w:sz w:val="22"/>
              </w:rPr>
              <w:t>Bu8</w:t>
            </w:r>
          </w:p>
        </w:tc>
        <w:tc>
          <w:tcPr>
            <w:tcW w:w="475" w:type="pct"/>
            <w:shd w:val="clear" w:color="auto" w:fill="D9D9D9"/>
            <w:vAlign w:val="center"/>
          </w:tcPr>
          <w:p w14:paraId="4725E7FA" w14:textId="77777777" w:rsidR="0089207C" w:rsidRPr="00470E23" w:rsidRDefault="0089207C" w:rsidP="002D3EBF">
            <w:pPr>
              <w:rPr>
                <w:rFonts w:eastAsia="SimSun"/>
                <w:sz w:val="22"/>
              </w:rPr>
            </w:pPr>
            <w:r w:rsidRPr="00470E23">
              <w:rPr>
                <w:rFonts w:eastAsia="SimSun"/>
                <w:sz w:val="22"/>
              </w:rPr>
              <w:t>Bu10</w:t>
            </w:r>
          </w:p>
        </w:tc>
        <w:tc>
          <w:tcPr>
            <w:tcW w:w="382" w:type="pct"/>
            <w:shd w:val="clear" w:color="auto" w:fill="D9D9D9"/>
            <w:vAlign w:val="center"/>
          </w:tcPr>
          <w:p w14:paraId="1441469A" w14:textId="77777777" w:rsidR="0089207C" w:rsidRPr="00470E23" w:rsidRDefault="0089207C" w:rsidP="002D3EBF">
            <w:pPr>
              <w:rPr>
                <w:rFonts w:eastAsia="SimSun"/>
                <w:sz w:val="22"/>
              </w:rPr>
            </w:pPr>
            <w:r w:rsidRPr="00470E23">
              <w:rPr>
                <w:rFonts w:eastAsia="SimSun"/>
                <w:sz w:val="22"/>
              </w:rPr>
              <w:t>Treo36</w:t>
            </w:r>
          </w:p>
        </w:tc>
        <w:tc>
          <w:tcPr>
            <w:tcW w:w="400" w:type="pct"/>
            <w:shd w:val="clear" w:color="auto" w:fill="D9D9D9"/>
            <w:vAlign w:val="center"/>
          </w:tcPr>
          <w:p w14:paraId="273E4130" w14:textId="77777777" w:rsidR="0089207C" w:rsidRPr="00470E23" w:rsidRDefault="0089207C" w:rsidP="002D3EBF">
            <w:pPr>
              <w:rPr>
                <w:rFonts w:eastAsia="SimSun"/>
                <w:sz w:val="22"/>
              </w:rPr>
            </w:pPr>
            <w:r w:rsidRPr="00470E23">
              <w:rPr>
                <w:rFonts w:eastAsia="SimSun"/>
                <w:sz w:val="22"/>
              </w:rPr>
              <w:t>Cy1200</w:t>
            </w:r>
          </w:p>
        </w:tc>
        <w:tc>
          <w:tcPr>
            <w:tcW w:w="394" w:type="pct"/>
            <w:shd w:val="clear" w:color="auto" w:fill="D9D9D9"/>
            <w:vAlign w:val="center"/>
          </w:tcPr>
          <w:p w14:paraId="1A578D9B" w14:textId="77777777" w:rsidR="0089207C" w:rsidRPr="00470E23" w:rsidRDefault="0089207C" w:rsidP="002D3EBF">
            <w:pPr>
              <w:rPr>
                <w:rFonts w:eastAsia="SimSun"/>
                <w:sz w:val="22"/>
              </w:rPr>
            </w:pPr>
            <w:r w:rsidRPr="00470E23">
              <w:rPr>
                <w:rFonts w:eastAsia="SimSun"/>
                <w:sz w:val="22"/>
              </w:rPr>
              <w:t>Mel100</w:t>
            </w:r>
          </w:p>
        </w:tc>
      </w:tr>
      <w:tr w:rsidR="0089207C" w:rsidRPr="00470E23" w14:paraId="323FC8BE" w14:textId="77777777" w:rsidTr="002D3EBF">
        <w:trPr>
          <w:cantSplit/>
          <w:trHeight w:val="417"/>
        </w:trPr>
        <w:tc>
          <w:tcPr>
            <w:tcW w:w="1387" w:type="pct"/>
            <w:gridSpan w:val="4"/>
            <w:vMerge/>
            <w:shd w:val="clear" w:color="auto" w:fill="auto"/>
            <w:vAlign w:val="center"/>
          </w:tcPr>
          <w:p w14:paraId="51F1D68B" w14:textId="77777777" w:rsidR="0089207C" w:rsidRPr="00470E23" w:rsidRDefault="0089207C" w:rsidP="002D3EBF">
            <w:pPr>
              <w:rPr>
                <w:rFonts w:eastAsia="SimSun"/>
                <w:sz w:val="22"/>
              </w:rPr>
            </w:pPr>
          </w:p>
        </w:tc>
        <w:tc>
          <w:tcPr>
            <w:tcW w:w="412" w:type="pct"/>
            <w:shd w:val="clear" w:color="auto" w:fill="D9D9D9"/>
            <w:vAlign w:val="center"/>
          </w:tcPr>
          <w:p w14:paraId="45C074CD" w14:textId="77777777" w:rsidR="0089207C" w:rsidRPr="00470E23" w:rsidRDefault="0089207C" w:rsidP="002D3EBF">
            <w:pPr>
              <w:rPr>
                <w:rFonts w:eastAsia="SimSun"/>
                <w:sz w:val="22"/>
              </w:rPr>
            </w:pPr>
            <w:r w:rsidRPr="00470E23">
              <w:rPr>
                <w:rFonts w:eastAsia="SimSun"/>
                <w:sz w:val="22"/>
              </w:rPr>
              <w:t>-</w:t>
            </w:r>
          </w:p>
        </w:tc>
        <w:tc>
          <w:tcPr>
            <w:tcW w:w="361" w:type="pct"/>
            <w:tcBorders>
              <w:right w:val="single" w:sz="4" w:space="0" w:color="00000A"/>
            </w:tcBorders>
            <w:shd w:val="clear" w:color="auto" w:fill="D9D9D9"/>
            <w:vAlign w:val="center"/>
          </w:tcPr>
          <w:p w14:paraId="034DC24E" w14:textId="77777777" w:rsidR="0089207C" w:rsidRPr="00470E23" w:rsidRDefault="0089207C" w:rsidP="002D3EBF">
            <w:pPr>
              <w:rPr>
                <w:rFonts w:eastAsia="SimSun"/>
                <w:sz w:val="22"/>
              </w:rPr>
            </w:pPr>
            <w:r w:rsidRPr="00470E23">
              <w:rPr>
                <w:rFonts w:eastAsia="SimSun"/>
                <w:sz w:val="22"/>
              </w:rPr>
              <w:t>Thio</w:t>
            </w:r>
          </w:p>
        </w:tc>
        <w:tc>
          <w:tcPr>
            <w:tcW w:w="443" w:type="pct"/>
            <w:tcBorders>
              <w:left w:val="single" w:sz="4" w:space="0" w:color="00000A"/>
            </w:tcBorders>
            <w:shd w:val="clear" w:color="auto" w:fill="D9D9D9"/>
            <w:vAlign w:val="center"/>
          </w:tcPr>
          <w:p w14:paraId="5923D80A" w14:textId="77777777" w:rsidR="0089207C" w:rsidRPr="00470E23" w:rsidRDefault="0089207C" w:rsidP="002D3EBF">
            <w:pPr>
              <w:rPr>
                <w:rFonts w:eastAsia="SimSun"/>
                <w:sz w:val="22"/>
              </w:rPr>
            </w:pPr>
            <w:r w:rsidRPr="00470E23">
              <w:rPr>
                <w:rFonts w:eastAsia="SimSun"/>
                <w:sz w:val="22"/>
              </w:rPr>
              <w:t>Thio</w:t>
            </w:r>
          </w:p>
        </w:tc>
        <w:tc>
          <w:tcPr>
            <w:tcW w:w="430" w:type="pct"/>
            <w:tcBorders>
              <w:right w:val="single" w:sz="4" w:space="0" w:color="00000A"/>
            </w:tcBorders>
            <w:shd w:val="clear" w:color="auto" w:fill="D9D9D9"/>
            <w:vAlign w:val="center"/>
          </w:tcPr>
          <w:p w14:paraId="4F23F032" w14:textId="77777777" w:rsidR="0089207C" w:rsidRPr="00470E23" w:rsidRDefault="0089207C" w:rsidP="002D3EBF">
            <w:pPr>
              <w:rPr>
                <w:rFonts w:eastAsia="SimSun"/>
                <w:sz w:val="22"/>
              </w:rPr>
            </w:pPr>
            <w:r w:rsidRPr="00470E23">
              <w:rPr>
                <w:rFonts w:eastAsia="SimSun"/>
                <w:sz w:val="22"/>
              </w:rPr>
              <w:t>-</w:t>
            </w:r>
          </w:p>
        </w:tc>
        <w:tc>
          <w:tcPr>
            <w:tcW w:w="316" w:type="pct"/>
            <w:tcBorders>
              <w:left w:val="single" w:sz="4" w:space="0" w:color="00000A"/>
            </w:tcBorders>
            <w:shd w:val="clear" w:color="auto" w:fill="D9D9D9"/>
            <w:vAlign w:val="center"/>
          </w:tcPr>
          <w:p w14:paraId="30C2829C" w14:textId="77777777" w:rsidR="0089207C" w:rsidRPr="00470E23" w:rsidRDefault="0089207C" w:rsidP="002D3EBF">
            <w:pPr>
              <w:rPr>
                <w:rFonts w:eastAsia="SimSun"/>
                <w:sz w:val="22"/>
              </w:rPr>
            </w:pPr>
            <w:r w:rsidRPr="00470E23">
              <w:rPr>
                <w:rFonts w:eastAsia="SimSun"/>
                <w:sz w:val="22"/>
              </w:rPr>
              <w:t>Thio</w:t>
            </w:r>
          </w:p>
        </w:tc>
        <w:tc>
          <w:tcPr>
            <w:tcW w:w="475" w:type="pct"/>
            <w:shd w:val="clear" w:color="auto" w:fill="D9D9D9"/>
            <w:vAlign w:val="center"/>
          </w:tcPr>
          <w:p w14:paraId="31196959" w14:textId="77777777" w:rsidR="0089207C" w:rsidRPr="00470E23" w:rsidRDefault="0089207C" w:rsidP="002D3EBF">
            <w:pPr>
              <w:rPr>
                <w:rFonts w:eastAsia="SimSun"/>
                <w:sz w:val="22"/>
              </w:rPr>
            </w:pPr>
            <w:r w:rsidRPr="00470E23">
              <w:rPr>
                <w:rFonts w:eastAsia="SimSun"/>
                <w:sz w:val="22"/>
              </w:rPr>
              <w:t>-</w:t>
            </w:r>
          </w:p>
        </w:tc>
        <w:tc>
          <w:tcPr>
            <w:tcW w:w="382" w:type="pct"/>
            <w:shd w:val="clear" w:color="auto" w:fill="D9D9D9"/>
            <w:vAlign w:val="center"/>
          </w:tcPr>
          <w:p w14:paraId="36EB4A88" w14:textId="77777777" w:rsidR="0089207C" w:rsidRPr="00470E23" w:rsidRDefault="0089207C" w:rsidP="002D3EBF">
            <w:pPr>
              <w:rPr>
                <w:rFonts w:eastAsia="SimSun"/>
                <w:sz w:val="22"/>
              </w:rPr>
            </w:pPr>
            <w:r w:rsidRPr="00470E23">
              <w:rPr>
                <w:rFonts w:eastAsia="SimSun"/>
                <w:sz w:val="22"/>
              </w:rPr>
              <w:t>-</w:t>
            </w:r>
          </w:p>
        </w:tc>
        <w:tc>
          <w:tcPr>
            <w:tcW w:w="400" w:type="pct"/>
            <w:shd w:val="clear" w:color="auto" w:fill="D9D9D9"/>
            <w:vAlign w:val="center"/>
          </w:tcPr>
          <w:p w14:paraId="7B971D04" w14:textId="77777777" w:rsidR="0089207C" w:rsidRPr="00470E23" w:rsidRDefault="0089207C" w:rsidP="002D3EBF">
            <w:pPr>
              <w:rPr>
                <w:rFonts w:eastAsia="SimSun"/>
                <w:sz w:val="22"/>
              </w:rPr>
            </w:pPr>
          </w:p>
        </w:tc>
        <w:tc>
          <w:tcPr>
            <w:tcW w:w="394" w:type="pct"/>
            <w:shd w:val="clear" w:color="auto" w:fill="D9D9D9"/>
            <w:vAlign w:val="center"/>
          </w:tcPr>
          <w:p w14:paraId="6F412BF2" w14:textId="77777777" w:rsidR="0089207C" w:rsidRPr="00470E23" w:rsidRDefault="0089207C" w:rsidP="002D3EBF">
            <w:pPr>
              <w:rPr>
                <w:rFonts w:eastAsia="SimSun"/>
                <w:sz w:val="22"/>
              </w:rPr>
            </w:pPr>
          </w:p>
        </w:tc>
      </w:tr>
      <w:tr w:rsidR="0089207C" w:rsidRPr="00470E23" w14:paraId="6F1F810C" w14:textId="77777777" w:rsidTr="002D3EBF">
        <w:trPr>
          <w:cantSplit/>
          <w:trHeight w:val="606"/>
        </w:trPr>
        <w:tc>
          <w:tcPr>
            <w:tcW w:w="348" w:type="pct"/>
            <w:vMerge w:val="restart"/>
            <w:shd w:val="clear" w:color="auto" w:fill="D9D9D9"/>
            <w:vAlign w:val="center"/>
          </w:tcPr>
          <w:p w14:paraId="5404F52B" w14:textId="77777777" w:rsidR="0089207C" w:rsidRPr="00470E23" w:rsidRDefault="0089207C" w:rsidP="002D3EBF">
            <w:pPr>
              <w:rPr>
                <w:rFonts w:eastAsia="SimSun"/>
                <w:sz w:val="22"/>
              </w:rPr>
            </w:pPr>
            <w:r w:rsidRPr="00470E23">
              <w:rPr>
                <w:rFonts w:eastAsia="SimSun"/>
                <w:sz w:val="22"/>
              </w:rPr>
              <w:t>hATG</w:t>
            </w:r>
          </w:p>
        </w:tc>
        <w:tc>
          <w:tcPr>
            <w:tcW w:w="303" w:type="pct"/>
            <w:shd w:val="clear" w:color="auto" w:fill="D9D9D9"/>
            <w:vAlign w:val="center"/>
          </w:tcPr>
          <w:p w14:paraId="5D3E4BC9" w14:textId="77777777" w:rsidR="0089207C" w:rsidRPr="00470E23" w:rsidRDefault="0089207C" w:rsidP="002D3EBF">
            <w:pPr>
              <w:rPr>
                <w:rFonts w:eastAsia="SimSun"/>
                <w:sz w:val="22"/>
              </w:rPr>
            </w:pPr>
            <w:r w:rsidRPr="00470E23">
              <w:rPr>
                <w:rFonts w:eastAsia="SimSun"/>
                <w:sz w:val="22"/>
              </w:rPr>
              <w:t>CSA</w:t>
            </w:r>
          </w:p>
        </w:tc>
        <w:tc>
          <w:tcPr>
            <w:tcW w:w="308" w:type="pct"/>
            <w:shd w:val="clear" w:color="auto" w:fill="D9D9D9"/>
            <w:vAlign w:val="center"/>
          </w:tcPr>
          <w:p w14:paraId="39EE3DB4" w14:textId="77777777" w:rsidR="0089207C" w:rsidRPr="00470E23" w:rsidRDefault="0089207C" w:rsidP="002D3EBF">
            <w:pPr>
              <w:rPr>
                <w:rFonts w:eastAsia="SimSun"/>
                <w:sz w:val="22"/>
              </w:rPr>
            </w:pPr>
            <w:r w:rsidRPr="00470E23">
              <w:rPr>
                <w:rFonts w:eastAsia="SimSun"/>
                <w:sz w:val="22"/>
              </w:rPr>
              <w:t>MTX</w:t>
            </w:r>
          </w:p>
        </w:tc>
        <w:tc>
          <w:tcPr>
            <w:tcW w:w="428" w:type="pct"/>
            <w:shd w:val="clear" w:color="auto" w:fill="D9D9D9"/>
            <w:vAlign w:val="center"/>
          </w:tcPr>
          <w:p w14:paraId="03C1FA83" w14:textId="77777777" w:rsidR="0089207C" w:rsidRPr="00470E23" w:rsidRDefault="0089207C" w:rsidP="002D3EBF">
            <w:pPr>
              <w:rPr>
                <w:rFonts w:eastAsia="SimSun"/>
                <w:sz w:val="22"/>
              </w:rPr>
            </w:pPr>
            <w:r w:rsidRPr="00470E23">
              <w:rPr>
                <w:rFonts w:eastAsia="SimSun"/>
                <w:sz w:val="22"/>
              </w:rPr>
              <w:t>MMF45</w:t>
            </w:r>
          </w:p>
        </w:tc>
        <w:tc>
          <w:tcPr>
            <w:tcW w:w="412" w:type="pct"/>
            <w:shd w:val="clear" w:color="auto" w:fill="auto"/>
            <w:vAlign w:val="center"/>
          </w:tcPr>
          <w:p w14:paraId="43B41814" w14:textId="77777777" w:rsidR="0089207C" w:rsidRPr="00470E23" w:rsidRDefault="0089207C" w:rsidP="002D3EBF">
            <w:pPr>
              <w:rPr>
                <w:rFonts w:eastAsia="SimSun"/>
                <w:sz w:val="22"/>
              </w:rPr>
            </w:pPr>
            <w:r w:rsidRPr="00470E23">
              <w:rPr>
                <w:rFonts w:eastAsia="SimSun"/>
                <w:sz w:val="22"/>
              </w:rPr>
              <w:t>-</w:t>
            </w:r>
          </w:p>
        </w:tc>
        <w:tc>
          <w:tcPr>
            <w:tcW w:w="361" w:type="pct"/>
            <w:tcBorders>
              <w:right w:val="single" w:sz="4" w:space="0" w:color="00000A"/>
            </w:tcBorders>
            <w:shd w:val="clear" w:color="auto" w:fill="auto"/>
            <w:vAlign w:val="center"/>
          </w:tcPr>
          <w:p w14:paraId="6F0CA2B6" w14:textId="77777777" w:rsidR="0089207C" w:rsidRPr="00470E23" w:rsidRDefault="0089207C" w:rsidP="002D3EBF">
            <w:pPr>
              <w:rPr>
                <w:rFonts w:eastAsia="SimSun"/>
                <w:sz w:val="22"/>
              </w:rPr>
            </w:pPr>
          </w:p>
        </w:tc>
        <w:tc>
          <w:tcPr>
            <w:tcW w:w="443" w:type="pct"/>
            <w:tcBorders>
              <w:left w:val="single" w:sz="4" w:space="0" w:color="00000A"/>
            </w:tcBorders>
            <w:shd w:val="clear" w:color="auto" w:fill="auto"/>
            <w:vAlign w:val="center"/>
          </w:tcPr>
          <w:p w14:paraId="52CB0C17" w14:textId="77777777" w:rsidR="0089207C" w:rsidRPr="00470E23" w:rsidRDefault="0089207C" w:rsidP="002D3EBF">
            <w:pPr>
              <w:rPr>
                <w:rFonts w:eastAsia="SimSun"/>
                <w:sz w:val="22"/>
              </w:rPr>
            </w:pPr>
            <w:r w:rsidRPr="00470E23">
              <w:rPr>
                <w:rFonts w:eastAsia="SimSun"/>
                <w:sz w:val="22"/>
              </w:rPr>
              <w:t>5.2.2.1</w:t>
            </w:r>
          </w:p>
        </w:tc>
        <w:tc>
          <w:tcPr>
            <w:tcW w:w="430" w:type="pct"/>
            <w:tcBorders>
              <w:right w:val="single" w:sz="4" w:space="0" w:color="00000A"/>
            </w:tcBorders>
            <w:shd w:val="clear" w:color="auto" w:fill="auto"/>
            <w:vAlign w:val="center"/>
          </w:tcPr>
          <w:p w14:paraId="529B9E74" w14:textId="77777777" w:rsidR="0089207C" w:rsidRPr="00470E23" w:rsidRDefault="0089207C" w:rsidP="002D3EBF">
            <w:pPr>
              <w:rPr>
                <w:rFonts w:eastAsia="SimSun"/>
                <w:sz w:val="22"/>
              </w:rPr>
            </w:pPr>
            <w:r w:rsidRPr="00470E23">
              <w:rPr>
                <w:rFonts w:eastAsia="SimSun"/>
                <w:sz w:val="22"/>
              </w:rPr>
              <w:t>5.2.2.5</w:t>
            </w:r>
          </w:p>
        </w:tc>
        <w:tc>
          <w:tcPr>
            <w:tcW w:w="316" w:type="pct"/>
            <w:tcBorders>
              <w:left w:val="single" w:sz="4" w:space="0" w:color="00000A"/>
            </w:tcBorders>
            <w:shd w:val="clear" w:color="auto" w:fill="auto"/>
            <w:vAlign w:val="center"/>
          </w:tcPr>
          <w:p w14:paraId="371AA8A6" w14:textId="77777777" w:rsidR="0089207C" w:rsidRPr="00470E23" w:rsidRDefault="0089207C" w:rsidP="002D3EBF">
            <w:pPr>
              <w:rPr>
                <w:rFonts w:eastAsia="SimSun"/>
                <w:sz w:val="22"/>
              </w:rPr>
            </w:pPr>
          </w:p>
        </w:tc>
        <w:tc>
          <w:tcPr>
            <w:tcW w:w="475" w:type="pct"/>
            <w:shd w:val="clear" w:color="auto" w:fill="auto"/>
            <w:vAlign w:val="center"/>
          </w:tcPr>
          <w:p w14:paraId="14C4C059" w14:textId="77777777" w:rsidR="0089207C" w:rsidRPr="00470E23" w:rsidRDefault="0089207C" w:rsidP="002D3EBF">
            <w:pPr>
              <w:rPr>
                <w:rFonts w:eastAsia="SimSun"/>
                <w:sz w:val="22"/>
              </w:rPr>
            </w:pPr>
          </w:p>
        </w:tc>
        <w:tc>
          <w:tcPr>
            <w:tcW w:w="382" w:type="pct"/>
            <w:shd w:val="clear" w:color="auto" w:fill="auto"/>
            <w:vAlign w:val="center"/>
          </w:tcPr>
          <w:p w14:paraId="5B13DA37" w14:textId="77777777" w:rsidR="0089207C" w:rsidRPr="00470E23" w:rsidRDefault="0089207C" w:rsidP="002D3EBF">
            <w:pPr>
              <w:rPr>
                <w:rFonts w:eastAsia="SimSun"/>
                <w:sz w:val="22"/>
              </w:rPr>
            </w:pPr>
          </w:p>
        </w:tc>
        <w:tc>
          <w:tcPr>
            <w:tcW w:w="400" w:type="pct"/>
            <w:shd w:val="clear" w:color="auto" w:fill="auto"/>
            <w:vAlign w:val="center"/>
          </w:tcPr>
          <w:p w14:paraId="23A75F8D" w14:textId="77777777" w:rsidR="0089207C" w:rsidRPr="00470E23" w:rsidRDefault="0089207C" w:rsidP="002D3EBF">
            <w:pPr>
              <w:rPr>
                <w:rFonts w:eastAsia="SimSun"/>
                <w:sz w:val="22"/>
              </w:rPr>
            </w:pPr>
          </w:p>
        </w:tc>
        <w:tc>
          <w:tcPr>
            <w:tcW w:w="394" w:type="pct"/>
            <w:vAlign w:val="center"/>
          </w:tcPr>
          <w:p w14:paraId="67096974" w14:textId="77777777" w:rsidR="0089207C" w:rsidRPr="00470E23" w:rsidRDefault="0089207C" w:rsidP="002D3EBF">
            <w:pPr>
              <w:rPr>
                <w:rFonts w:eastAsia="SimSun"/>
                <w:sz w:val="22"/>
              </w:rPr>
            </w:pPr>
          </w:p>
        </w:tc>
      </w:tr>
      <w:tr w:rsidR="0089207C" w:rsidRPr="00470E23" w14:paraId="1091E333" w14:textId="77777777" w:rsidTr="002D3EBF">
        <w:trPr>
          <w:cantSplit/>
          <w:trHeight w:val="606"/>
        </w:trPr>
        <w:tc>
          <w:tcPr>
            <w:tcW w:w="348" w:type="pct"/>
            <w:vMerge/>
            <w:shd w:val="clear" w:color="auto" w:fill="D9D9D9"/>
            <w:vAlign w:val="center"/>
          </w:tcPr>
          <w:p w14:paraId="26A69781" w14:textId="77777777" w:rsidR="0089207C" w:rsidRPr="00470E23" w:rsidRDefault="0089207C" w:rsidP="002D3EBF">
            <w:pPr>
              <w:rPr>
                <w:rFonts w:eastAsia="SimSun"/>
                <w:sz w:val="22"/>
              </w:rPr>
            </w:pPr>
          </w:p>
        </w:tc>
        <w:tc>
          <w:tcPr>
            <w:tcW w:w="303" w:type="pct"/>
            <w:shd w:val="clear" w:color="auto" w:fill="D9D9D9"/>
            <w:vAlign w:val="center"/>
          </w:tcPr>
          <w:p w14:paraId="600F0A4D" w14:textId="77777777" w:rsidR="0089207C" w:rsidRPr="00470E23" w:rsidRDefault="0089207C" w:rsidP="002D3EBF">
            <w:pPr>
              <w:rPr>
                <w:rFonts w:eastAsia="SimSun"/>
                <w:sz w:val="22"/>
              </w:rPr>
            </w:pPr>
            <w:r w:rsidRPr="00470E23">
              <w:rPr>
                <w:rFonts w:eastAsia="SimSun"/>
                <w:sz w:val="22"/>
              </w:rPr>
              <w:t>Tx</w:t>
            </w:r>
          </w:p>
        </w:tc>
        <w:tc>
          <w:tcPr>
            <w:tcW w:w="308" w:type="pct"/>
            <w:shd w:val="clear" w:color="auto" w:fill="D9D9D9"/>
            <w:vAlign w:val="center"/>
          </w:tcPr>
          <w:p w14:paraId="3C0B0F07" w14:textId="77777777" w:rsidR="0089207C" w:rsidRPr="00470E23" w:rsidRDefault="0089207C" w:rsidP="002D3EBF">
            <w:pPr>
              <w:rPr>
                <w:rFonts w:eastAsia="SimSun"/>
                <w:sz w:val="22"/>
              </w:rPr>
            </w:pPr>
            <w:r w:rsidRPr="00470E23">
              <w:rPr>
                <w:rFonts w:eastAsia="SimSun"/>
                <w:sz w:val="22"/>
              </w:rPr>
              <w:t>-</w:t>
            </w:r>
          </w:p>
        </w:tc>
        <w:tc>
          <w:tcPr>
            <w:tcW w:w="428" w:type="pct"/>
            <w:shd w:val="clear" w:color="auto" w:fill="D9D9D9"/>
            <w:vAlign w:val="center"/>
          </w:tcPr>
          <w:p w14:paraId="0F4C5E55" w14:textId="77777777" w:rsidR="0089207C" w:rsidRPr="00470E23" w:rsidRDefault="0089207C" w:rsidP="002D3EBF">
            <w:pPr>
              <w:rPr>
                <w:rFonts w:eastAsia="SimSun"/>
                <w:sz w:val="22"/>
              </w:rPr>
            </w:pPr>
            <w:r w:rsidRPr="00470E23">
              <w:rPr>
                <w:rFonts w:eastAsia="SimSun"/>
                <w:sz w:val="22"/>
              </w:rPr>
              <w:t>MMF30</w:t>
            </w:r>
          </w:p>
        </w:tc>
        <w:tc>
          <w:tcPr>
            <w:tcW w:w="412" w:type="pct"/>
            <w:shd w:val="clear" w:color="auto" w:fill="auto"/>
            <w:vAlign w:val="center"/>
          </w:tcPr>
          <w:p w14:paraId="7FCB8DBC" w14:textId="77777777" w:rsidR="0089207C" w:rsidRPr="00470E23" w:rsidRDefault="0089207C" w:rsidP="002D3EBF">
            <w:pPr>
              <w:rPr>
                <w:rFonts w:eastAsia="SimSun"/>
                <w:sz w:val="22"/>
              </w:rPr>
            </w:pPr>
          </w:p>
        </w:tc>
        <w:tc>
          <w:tcPr>
            <w:tcW w:w="361" w:type="pct"/>
            <w:tcBorders>
              <w:right w:val="single" w:sz="4" w:space="0" w:color="00000A"/>
            </w:tcBorders>
            <w:shd w:val="clear" w:color="auto" w:fill="auto"/>
            <w:vAlign w:val="center"/>
          </w:tcPr>
          <w:p w14:paraId="3F09619A" w14:textId="77777777" w:rsidR="0089207C" w:rsidRPr="00470E23" w:rsidRDefault="0089207C" w:rsidP="002D3EBF">
            <w:pPr>
              <w:rPr>
                <w:rFonts w:eastAsia="SimSun"/>
                <w:sz w:val="22"/>
              </w:rPr>
            </w:pPr>
            <w:r w:rsidRPr="00470E23">
              <w:rPr>
                <w:rFonts w:eastAsia="SimSun"/>
                <w:sz w:val="22"/>
              </w:rPr>
              <w:t>5.2.2.17</w:t>
            </w:r>
          </w:p>
        </w:tc>
        <w:tc>
          <w:tcPr>
            <w:tcW w:w="443" w:type="pct"/>
            <w:tcBorders>
              <w:left w:val="single" w:sz="4" w:space="0" w:color="00000A"/>
            </w:tcBorders>
            <w:shd w:val="clear" w:color="auto" w:fill="auto"/>
            <w:vAlign w:val="center"/>
          </w:tcPr>
          <w:p w14:paraId="65F237F8" w14:textId="77777777" w:rsidR="0089207C" w:rsidRPr="00470E23" w:rsidRDefault="0089207C" w:rsidP="002D3EBF">
            <w:pPr>
              <w:rPr>
                <w:rFonts w:eastAsia="SimSun"/>
                <w:sz w:val="22"/>
              </w:rPr>
            </w:pPr>
          </w:p>
        </w:tc>
        <w:tc>
          <w:tcPr>
            <w:tcW w:w="430" w:type="pct"/>
            <w:tcBorders>
              <w:right w:val="single" w:sz="4" w:space="0" w:color="00000A"/>
            </w:tcBorders>
            <w:shd w:val="clear" w:color="auto" w:fill="auto"/>
            <w:vAlign w:val="center"/>
          </w:tcPr>
          <w:p w14:paraId="185A1BEF" w14:textId="77777777" w:rsidR="0089207C" w:rsidRPr="00470E23" w:rsidRDefault="0089207C" w:rsidP="002D3EBF">
            <w:pPr>
              <w:rPr>
                <w:rFonts w:eastAsia="SimSun"/>
                <w:sz w:val="22"/>
              </w:rPr>
            </w:pPr>
          </w:p>
        </w:tc>
        <w:tc>
          <w:tcPr>
            <w:tcW w:w="316" w:type="pct"/>
            <w:tcBorders>
              <w:left w:val="single" w:sz="4" w:space="0" w:color="00000A"/>
            </w:tcBorders>
            <w:shd w:val="clear" w:color="auto" w:fill="auto"/>
            <w:vAlign w:val="center"/>
          </w:tcPr>
          <w:p w14:paraId="53EE5672" w14:textId="77777777" w:rsidR="0089207C" w:rsidRPr="00470E23" w:rsidRDefault="0089207C" w:rsidP="002D3EBF">
            <w:pPr>
              <w:rPr>
                <w:rFonts w:eastAsia="SimSun"/>
                <w:sz w:val="22"/>
              </w:rPr>
            </w:pPr>
          </w:p>
        </w:tc>
        <w:tc>
          <w:tcPr>
            <w:tcW w:w="475" w:type="pct"/>
            <w:shd w:val="clear" w:color="auto" w:fill="auto"/>
            <w:vAlign w:val="center"/>
          </w:tcPr>
          <w:p w14:paraId="79773D36" w14:textId="77777777" w:rsidR="0089207C" w:rsidRPr="00470E23" w:rsidRDefault="0089207C" w:rsidP="002D3EBF">
            <w:pPr>
              <w:rPr>
                <w:rFonts w:eastAsia="SimSun"/>
                <w:sz w:val="22"/>
              </w:rPr>
            </w:pPr>
          </w:p>
        </w:tc>
        <w:tc>
          <w:tcPr>
            <w:tcW w:w="382" w:type="pct"/>
            <w:shd w:val="clear" w:color="auto" w:fill="auto"/>
            <w:vAlign w:val="center"/>
          </w:tcPr>
          <w:p w14:paraId="6E742CBC" w14:textId="77777777" w:rsidR="0089207C" w:rsidRPr="00470E23" w:rsidRDefault="0089207C" w:rsidP="002D3EBF">
            <w:pPr>
              <w:rPr>
                <w:rFonts w:eastAsia="SimSun"/>
                <w:sz w:val="22"/>
              </w:rPr>
            </w:pPr>
          </w:p>
        </w:tc>
        <w:tc>
          <w:tcPr>
            <w:tcW w:w="400" w:type="pct"/>
            <w:shd w:val="clear" w:color="auto" w:fill="auto"/>
            <w:vAlign w:val="center"/>
          </w:tcPr>
          <w:p w14:paraId="79E52CB1" w14:textId="77777777" w:rsidR="0089207C" w:rsidRPr="00470E23" w:rsidRDefault="0089207C" w:rsidP="002D3EBF">
            <w:pPr>
              <w:rPr>
                <w:rFonts w:eastAsia="SimSun"/>
                <w:sz w:val="22"/>
              </w:rPr>
            </w:pPr>
            <w:r w:rsidRPr="00470E23">
              <w:rPr>
                <w:rFonts w:eastAsia="SimSun"/>
                <w:sz w:val="22"/>
              </w:rPr>
              <w:t>5.2.2.19</w:t>
            </w:r>
          </w:p>
        </w:tc>
        <w:tc>
          <w:tcPr>
            <w:tcW w:w="394" w:type="pct"/>
            <w:vAlign w:val="center"/>
          </w:tcPr>
          <w:p w14:paraId="67F08101" w14:textId="77777777" w:rsidR="0089207C" w:rsidRPr="00470E23" w:rsidRDefault="0089207C" w:rsidP="002D3EBF">
            <w:pPr>
              <w:rPr>
                <w:rFonts w:eastAsia="SimSun"/>
                <w:sz w:val="22"/>
              </w:rPr>
            </w:pPr>
          </w:p>
        </w:tc>
      </w:tr>
      <w:tr w:rsidR="0089207C" w:rsidRPr="00470E23" w14:paraId="0861BD85" w14:textId="77777777" w:rsidTr="002D3EBF">
        <w:trPr>
          <w:cantSplit/>
          <w:trHeight w:val="606"/>
        </w:trPr>
        <w:tc>
          <w:tcPr>
            <w:tcW w:w="348" w:type="pct"/>
            <w:vMerge w:val="restart"/>
            <w:shd w:val="clear" w:color="auto" w:fill="D9D9D9"/>
            <w:vAlign w:val="center"/>
          </w:tcPr>
          <w:p w14:paraId="47C5DB37" w14:textId="77777777" w:rsidR="0089207C" w:rsidRPr="00470E23" w:rsidRDefault="0089207C" w:rsidP="002D3EBF">
            <w:pPr>
              <w:rPr>
                <w:rFonts w:eastAsia="SimSun"/>
                <w:sz w:val="22"/>
              </w:rPr>
            </w:pPr>
            <w:r w:rsidRPr="00470E23">
              <w:rPr>
                <w:rFonts w:eastAsia="SimSun"/>
                <w:sz w:val="22"/>
              </w:rPr>
              <w:t>rATG</w:t>
            </w:r>
          </w:p>
        </w:tc>
        <w:tc>
          <w:tcPr>
            <w:tcW w:w="303" w:type="pct"/>
            <w:shd w:val="clear" w:color="auto" w:fill="D9D9D9"/>
            <w:vAlign w:val="center"/>
          </w:tcPr>
          <w:p w14:paraId="0C77B5F5" w14:textId="77777777" w:rsidR="0089207C" w:rsidRPr="00470E23" w:rsidRDefault="0089207C" w:rsidP="002D3EBF">
            <w:pPr>
              <w:rPr>
                <w:rFonts w:eastAsia="SimSun"/>
                <w:sz w:val="22"/>
              </w:rPr>
            </w:pPr>
            <w:r w:rsidRPr="00470E23">
              <w:rPr>
                <w:rFonts w:eastAsia="SimSun"/>
                <w:sz w:val="22"/>
              </w:rPr>
              <w:t>CSA</w:t>
            </w:r>
          </w:p>
        </w:tc>
        <w:tc>
          <w:tcPr>
            <w:tcW w:w="308" w:type="pct"/>
            <w:shd w:val="clear" w:color="auto" w:fill="D9D9D9"/>
            <w:vAlign w:val="center"/>
          </w:tcPr>
          <w:p w14:paraId="678C3DD6" w14:textId="77777777" w:rsidR="0089207C" w:rsidRPr="00470E23" w:rsidRDefault="0089207C" w:rsidP="002D3EBF">
            <w:pPr>
              <w:rPr>
                <w:rFonts w:eastAsia="SimSun"/>
                <w:sz w:val="22"/>
              </w:rPr>
            </w:pPr>
            <w:r w:rsidRPr="00470E23">
              <w:rPr>
                <w:rFonts w:eastAsia="SimSun"/>
                <w:sz w:val="22"/>
              </w:rPr>
              <w:t>MTX</w:t>
            </w:r>
          </w:p>
        </w:tc>
        <w:tc>
          <w:tcPr>
            <w:tcW w:w="428" w:type="pct"/>
            <w:shd w:val="clear" w:color="auto" w:fill="D9D9D9"/>
            <w:vAlign w:val="center"/>
          </w:tcPr>
          <w:p w14:paraId="0A2D1FAD" w14:textId="77777777" w:rsidR="0089207C" w:rsidRPr="00470E23" w:rsidRDefault="0089207C" w:rsidP="002D3EBF">
            <w:pPr>
              <w:rPr>
                <w:rFonts w:eastAsia="SimSun"/>
                <w:sz w:val="22"/>
              </w:rPr>
            </w:pPr>
            <w:r w:rsidRPr="00470E23">
              <w:rPr>
                <w:rFonts w:eastAsia="SimSun"/>
                <w:sz w:val="22"/>
              </w:rPr>
              <w:t>MMF45</w:t>
            </w:r>
          </w:p>
        </w:tc>
        <w:tc>
          <w:tcPr>
            <w:tcW w:w="412" w:type="pct"/>
            <w:shd w:val="clear" w:color="auto" w:fill="auto"/>
            <w:vAlign w:val="center"/>
          </w:tcPr>
          <w:p w14:paraId="0024D6AA" w14:textId="77777777" w:rsidR="0089207C" w:rsidRPr="00470E23" w:rsidRDefault="0089207C" w:rsidP="002D3EBF">
            <w:pPr>
              <w:rPr>
                <w:rFonts w:eastAsia="SimSun"/>
                <w:sz w:val="22"/>
              </w:rPr>
            </w:pPr>
          </w:p>
        </w:tc>
        <w:tc>
          <w:tcPr>
            <w:tcW w:w="361" w:type="pct"/>
            <w:tcBorders>
              <w:right w:val="single" w:sz="4" w:space="0" w:color="00000A"/>
            </w:tcBorders>
            <w:shd w:val="clear" w:color="auto" w:fill="auto"/>
            <w:vAlign w:val="center"/>
          </w:tcPr>
          <w:p w14:paraId="204BEEAF" w14:textId="77777777" w:rsidR="0089207C" w:rsidRPr="00470E23" w:rsidRDefault="0089207C" w:rsidP="002D3EBF">
            <w:pPr>
              <w:rPr>
                <w:rFonts w:eastAsia="SimSun"/>
                <w:sz w:val="22"/>
              </w:rPr>
            </w:pPr>
          </w:p>
        </w:tc>
        <w:tc>
          <w:tcPr>
            <w:tcW w:w="443" w:type="pct"/>
            <w:tcBorders>
              <w:left w:val="single" w:sz="4" w:space="0" w:color="00000A"/>
            </w:tcBorders>
            <w:shd w:val="clear" w:color="auto" w:fill="auto"/>
            <w:vAlign w:val="center"/>
          </w:tcPr>
          <w:p w14:paraId="1C106886" w14:textId="77777777" w:rsidR="0089207C" w:rsidRPr="00470E23" w:rsidRDefault="0089207C" w:rsidP="002D3EBF">
            <w:pPr>
              <w:rPr>
                <w:rFonts w:eastAsia="SimSun"/>
                <w:sz w:val="22"/>
              </w:rPr>
            </w:pPr>
            <w:r w:rsidRPr="00470E23">
              <w:rPr>
                <w:rFonts w:eastAsia="SimSun"/>
                <w:sz w:val="22"/>
              </w:rPr>
              <w:t>5.2.2.2</w:t>
            </w:r>
          </w:p>
        </w:tc>
        <w:tc>
          <w:tcPr>
            <w:tcW w:w="430" w:type="pct"/>
            <w:tcBorders>
              <w:right w:val="single" w:sz="4" w:space="0" w:color="00000A"/>
            </w:tcBorders>
            <w:shd w:val="clear" w:color="auto" w:fill="auto"/>
            <w:vAlign w:val="center"/>
          </w:tcPr>
          <w:p w14:paraId="3C86A057" w14:textId="77777777" w:rsidR="0089207C" w:rsidRPr="00470E23" w:rsidRDefault="0089207C" w:rsidP="002D3EBF">
            <w:pPr>
              <w:rPr>
                <w:rFonts w:eastAsia="SimSun"/>
                <w:sz w:val="22"/>
              </w:rPr>
            </w:pPr>
            <w:r w:rsidRPr="00470E23">
              <w:rPr>
                <w:rFonts w:eastAsia="SimSun"/>
                <w:sz w:val="22"/>
              </w:rPr>
              <w:t>5.2.2.6</w:t>
            </w:r>
          </w:p>
        </w:tc>
        <w:tc>
          <w:tcPr>
            <w:tcW w:w="316" w:type="pct"/>
            <w:tcBorders>
              <w:left w:val="single" w:sz="4" w:space="0" w:color="00000A"/>
            </w:tcBorders>
            <w:shd w:val="clear" w:color="auto" w:fill="auto"/>
            <w:vAlign w:val="center"/>
          </w:tcPr>
          <w:p w14:paraId="13C20446" w14:textId="77777777" w:rsidR="0089207C" w:rsidRPr="00470E23" w:rsidRDefault="0089207C" w:rsidP="002D3EBF">
            <w:pPr>
              <w:rPr>
                <w:rFonts w:eastAsia="SimSun"/>
                <w:sz w:val="22"/>
              </w:rPr>
            </w:pPr>
          </w:p>
        </w:tc>
        <w:tc>
          <w:tcPr>
            <w:tcW w:w="475" w:type="pct"/>
            <w:shd w:val="clear" w:color="auto" w:fill="auto"/>
            <w:vAlign w:val="center"/>
          </w:tcPr>
          <w:p w14:paraId="152A9CAB" w14:textId="77777777" w:rsidR="0089207C" w:rsidRPr="00470E23" w:rsidRDefault="0089207C" w:rsidP="002D3EBF">
            <w:pPr>
              <w:rPr>
                <w:rFonts w:eastAsia="SimSun"/>
                <w:sz w:val="22"/>
              </w:rPr>
            </w:pPr>
          </w:p>
        </w:tc>
        <w:tc>
          <w:tcPr>
            <w:tcW w:w="382" w:type="pct"/>
            <w:shd w:val="clear" w:color="auto" w:fill="auto"/>
            <w:vAlign w:val="center"/>
          </w:tcPr>
          <w:p w14:paraId="1EC8F82E" w14:textId="77777777" w:rsidR="0089207C" w:rsidRPr="00470E23" w:rsidRDefault="0089207C" w:rsidP="002D3EBF">
            <w:pPr>
              <w:rPr>
                <w:rFonts w:eastAsia="SimSun"/>
                <w:sz w:val="22"/>
              </w:rPr>
            </w:pPr>
          </w:p>
        </w:tc>
        <w:tc>
          <w:tcPr>
            <w:tcW w:w="400" w:type="pct"/>
            <w:shd w:val="clear" w:color="auto" w:fill="auto"/>
            <w:vAlign w:val="center"/>
          </w:tcPr>
          <w:p w14:paraId="1EE5CF0F" w14:textId="77777777" w:rsidR="0089207C" w:rsidRPr="00470E23" w:rsidRDefault="0089207C" w:rsidP="002D3EBF">
            <w:pPr>
              <w:rPr>
                <w:rFonts w:eastAsia="SimSun"/>
                <w:sz w:val="22"/>
              </w:rPr>
            </w:pPr>
          </w:p>
        </w:tc>
        <w:tc>
          <w:tcPr>
            <w:tcW w:w="394" w:type="pct"/>
            <w:vAlign w:val="center"/>
          </w:tcPr>
          <w:p w14:paraId="71453DD3" w14:textId="77777777" w:rsidR="0089207C" w:rsidRPr="00470E23" w:rsidRDefault="0089207C" w:rsidP="002D3EBF">
            <w:pPr>
              <w:rPr>
                <w:rFonts w:eastAsia="SimSun"/>
                <w:sz w:val="22"/>
              </w:rPr>
            </w:pPr>
          </w:p>
        </w:tc>
      </w:tr>
      <w:tr w:rsidR="0089207C" w:rsidRPr="00470E23" w14:paraId="5B38810C" w14:textId="77777777" w:rsidTr="002D3EBF">
        <w:trPr>
          <w:cantSplit/>
          <w:trHeight w:val="606"/>
        </w:trPr>
        <w:tc>
          <w:tcPr>
            <w:tcW w:w="348" w:type="pct"/>
            <w:vMerge/>
            <w:shd w:val="clear" w:color="auto" w:fill="D9D9D9"/>
            <w:vAlign w:val="center"/>
          </w:tcPr>
          <w:p w14:paraId="28B04027" w14:textId="77777777" w:rsidR="0089207C" w:rsidRPr="00470E23" w:rsidRDefault="0089207C" w:rsidP="002D3EBF">
            <w:pPr>
              <w:rPr>
                <w:rFonts w:eastAsia="SimSun"/>
                <w:sz w:val="22"/>
              </w:rPr>
            </w:pPr>
          </w:p>
        </w:tc>
        <w:tc>
          <w:tcPr>
            <w:tcW w:w="303" w:type="pct"/>
            <w:shd w:val="clear" w:color="auto" w:fill="D9D9D9"/>
            <w:vAlign w:val="center"/>
          </w:tcPr>
          <w:p w14:paraId="0C99F1C9" w14:textId="77777777" w:rsidR="0089207C" w:rsidRPr="00470E23" w:rsidRDefault="0089207C" w:rsidP="002D3EBF">
            <w:pPr>
              <w:rPr>
                <w:rFonts w:eastAsia="SimSun"/>
                <w:sz w:val="22"/>
              </w:rPr>
            </w:pPr>
            <w:r w:rsidRPr="00470E23">
              <w:rPr>
                <w:rFonts w:eastAsia="SimSun"/>
                <w:sz w:val="22"/>
              </w:rPr>
              <w:t>Tx</w:t>
            </w:r>
          </w:p>
        </w:tc>
        <w:tc>
          <w:tcPr>
            <w:tcW w:w="308" w:type="pct"/>
            <w:shd w:val="clear" w:color="auto" w:fill="D9D9D9"/>
            <w:vAlign w:val="center"/>
          </w:tcPr>
          <w:p w14:paraId="08DD68CA" w14:textId="77777777" w:rsidR="0089207C" w:rsidRPr="00470E23" w:rsidRDefault="0089207C" w:rsidP="002D3EBF">
            <w:pPr>
              <w:rPr>
                <w:rFonts w:eastAsia="SimSun"/>
                <w:sz w:val="22"/>
              </w:rPr>
            </w:pPr>
            <w:r w:rsidRPr="00470E23">
              <w:rPr>
                <w:rFonts w:eastAsia="SimSun"/>
                <w:sz w:val="22"/>
              </w:rPr>
              <w:t>-</w:t>
            </w:r>
          </w:p>
        </w:tc>
        <w:tc>
          <w:tcPr>
            <w:tcW w:w="428" w:type="pct"/>
            <w:shd w:val="clear" w:color="auto" w:fill="D9D9D9"/>
            <w:vAlign w:val="center"/>
          </w:tcPr>
          <w:p w14:paraId="3109CCC6" w14:textId="77777777" w:rsidR="0089207C" w:rsidRPr="00470E23" w:rsidRDefault="0089207C" w:rsidP="002D3EBF">
            <w:pPr>
              <w:rPr>
                <w:rFonts w:eastAsia="SimSun"/>
                <w:sz w:val="22"/>
              </w:rPr>
            </w:pPr>
            <w:r w:rsidRPr="00470E23">
              <w:rPr>
                <w:rFonts w:eastAsia="SimSun"/>
                <w:sz w:val="22"/>
              </w:rPr>
              <w:t>MMF30</w:t>
            </w:r>
          </w:p>
        </w:tc>
        <w:tc>
          <w:tcPr>
            <w:tcW w:w="412" w:type="pct"/>
            <w:shd w:val="clear" w:color="auto" w:fill="auto"/>
            <w:vAlign w:val="center"/>
          </w:tcPr>
          <w:p w14:paraId="60019507" w14:textId="77777777" w:rsidR="0089207C" w:rsidRPr="00470E23" w:rsidRDefault="0089207C" w:rsidP="002D3EBF">
            <w:pPr>
              <w:rPr>
                <w:rFonts w:eastAsia="SimSun"/>
                <w:sz w:val="22"/>
              </w:rPr>
            </w:pPr>
          </w:p>
        </w:tc>
        <w:tc>
          <w:tcPr>
            <w:tcW w:w="361" w:type="pct"/>
            <w:tcBorders>
              <w:right w:val="single" w:sz="4" w:space="0" w:color="00000A"/>
            </w:tcBorders>
            <w:shd w:val="clear" w:color="auto" w:fill="auto"/>
            <w:vAlign w:val="center"/>
          </w:tcPr>
          <w:p w14:paraId="37BF2A39" w14:textId="77777777" w:rsidR="0089207C" w:rsidRPr="00470E23" w:rsidRDefault="0089207C" w:rsidP="002D3EBF">
            <w:pPr>
              <w:rPr>
                <w:rFonts w:eastAsia="SimSun"/>
                <w:sz w:val="22"/>
              </w:rPr>
            </w:pPr>
          </w:p>
        </w:tc>
        <w:tc>
          <w:tcPr>
            <w:tcW w:w="443" w:type="pct"/>
            <w:tcBorders>
              <w:left w:val="single" w:sz="4" w:space="0" w:color="00000A"/>
            </w:tcBorders>
            <w:shd w:val="clear" w:color="auto" w:fill="auto"/>
            <w:vAlign w:val="center"/>
          </w:tcPr>
          <w:p w14:paraId="3BC3B023" w14:textId="77777777" w:rsidR="0089207C" w:rsidRPr="00470E23" w:rsidRDefault="0089207C" w:rsidP="002D3EBF">
            <w:pPr>
              <w:rPr>
                <w:rFonts w:eastAsia="SimSun"/>
                <w:sz w:val="22"/>
              </w:rPr>
            </w:pPr>
          </w:p>
        </w:tc>
        <w:tc>
          <w:tcPr>
            <w:tcW w:w="430" w:type="pct"/>
            <w:tcBorders>
              <w:right w:val="single" w:sz="4" w:space="0" w:color="00000A"/>
            </w:tcBorders>
            <w:shd w:val="clear" w:color="auto" w:fill="auto"/>
            <w:vAlign w:val="center"/>
          </w:tcPr>
          <w:p w14:paraId="5D4909FA" w14:textId="77777777" w:rsidR="0089207C" w:rsidRPr="00470E23" w:rsidRDefault="0089207C" w:rsidP="002D3EBF">
            <w:pPr>
              <w:rPr>
                <w:rFonts w:eastAsia="SimSun"/>
                <w:sz w:val="22"/>
              </w:rPr>
            </w:pPr>
          </w:p>
        </w:tc>
        <w:tc>
          <w:tcPr>
            <w:tcW w:w="316" w:type="pct"/>
            <w:tcBorders>
              <w:left w:val="single" w:sz="4" w:space="0" w:color="00000A"/>
            </w:tcBorders>
            <w:shd w:val="clear" w:color="auto" w:fill="auto"/>
            <w:vAlign w:val="center"/>
          </w:tcPr>
          <w:p w14:paraId="56109ECD" w14:textId="77777777" w:rsidR="0089207C" w:rsidRPr="00470E23" w:rsidRDefault="0089207C" w:rsidP="002D3EBF">
            <w:pPr>
              <w:rPr>
                <w:rFonts w:eastAsia="SimSun"/>
                <w:sz w:val="22"/>
              </w:rPr>
            </w:pPr>
          </w:p>
        </w:tc>
        <w:tc>
          <w:tcPr>
            <w:tcW w:w="475" w:type="pct"/>
            <w:shd w:val="clear" w:color="auto" w:fill="auto"/>
            <w:vAlign w:val="center"/>
          </w:tcPr>
          <w:p w14:paraId="56A8F64A" w14:textId="77777777" w:rsidR="0089207C" w:rsidRPr="00470E23" w:rsidRDefault="0089207C" w:rsidP="002D3EBF">
            <w:pPr>
              <w:rPr>
                <w:rFonts w:eastAsia="SimSun"/>
                <w:sz w:val="22"/>
              </w:rPr>
            </w:pPr>
          </w:p>
        </w:tc>
        <w:tc>
          <w:tcPr>
            <w:tcW w:w="382" w:type="pct"/>
            <w:shd w:val="clear" w:color="auto" w:fill="auto"/>
            <w:vAlign w:val="center"/>
          </w:tcPr>
          <w:p w14:paraId="2AFD4A3A" w14:textId="77777777" w:rsidR="0089207C" w:rsidRPr="00470E23" w:rsidRDefault="0089207C" w:rsidP="002D3EBF">
            <w:pPr>
              <w:rPr>
                <w:rFonts w:eastAsia="SimSun"/>
                <w:sz w:val="22"/>
              </w:rPr>
            </w:pPr>
          </w:p>
        </w:tc>
        <w:tc>
          <w:tcPr>
            <w:tcW w:w="400" w:type="pct"/>
            <w:shd w:val="clear" w:color="auto" w:fill="auto"/>
            <w:vAlign w:val="center"/>
          </w:tcPr>
          <w:p w14:paraId="521568A3" w14:textId="77777777" w:rsidR="0089207C" w:rsidRPr="00470E23" w:rsidRDefault="0089207C" w:rsidP="002D3EBF">
            <w:pPr>
              <w:rPr>
                <w:rFonts w:eastAsia="SimSun"/>
                <w:sz w:val="22"/>
              </w:rPr>
            </w:pPr>
            <w:r w:rsidRPr="00470E23">
              <w:rPr>
                <w:rFonts w:eastAsia="SimSun"/>
                <w:sz w:val="22"/>
              </w:rPr>
              <w:t>5.2.2.20</w:t>
            </w:r>
          </w:p>
        </w:tc>
        <w:tc>
          <w:tcPr>
            <w:tcW w:w="394" w:type="pct"/>
            <w:vAlign w:val="center"/>
          </w:tcPr>
          <w:p w14:paraId="1A5C1FB1" w14:textId="77777777" w:rsidR="0089207C" w:rsidRPr="00470E23" w:rsidRDefault="0089207C" w:rsidP="002D3EBF">
            <w:pPr>
              <w:rPr>
                <w:rFonts w:eastAsia="SimSun"/>
                <w:sz w:val="22"/>
              </w:rPr>
            </w:pPr>
          </w:p>
        </w:tc>
      </w:tr>
      <w:tr w:rsidR="0089207C" w:rsidRPr="00470E23" w14:paraId="6BBC073F" w14:textId="77777777" w:rsidTr="002D3EBF">
        <w:trPr>
          <w:cantSplit/>
          <w:trHeight w:val="606"/>
        </w:trPr>
        <w:tc>
          <w:tcPr>
            <w:tcW w:w="348" w:type="pct"/>
            <w:vMerge w:val="restart"/>
            <w:shd w:val="clear" w:color="auto" w:fill="D9D9D9"/>
            <w:vAlign w:val="center"/>
          </w:tcPr>
          <w:p w14:paraId="21BB8898" w14:textId="77777777" w:rsidR="0089207C" w:rsidRPr="00470E23" w:rsidRDefault="0089207C" w:rsidP="002D3EBF">
            <w:pPr>
              <w:rPr>
                <w:rFonts w:eastAsia="SimSun"/>
                <w:sz w:val="22"/>
              </w:rPr>
            </w:pPr>
            <w:r w:rsidRPr="00470E23">
              <w:rPr>
                <w:rFonts w:eastAsia="SimSun"/>
                <w:sz w:val="22"/>
              </w:rPr>
              <w:t>PT-Cy</w:t>
            </w:r>
          </w:p>
          <w:p w14:paraId="327403E4" w14:textId="77777777" w:rsidR="0089207C" w:rsidRPr="00470E23" w:rsidRDefault="0089207C" w:rsidP="002D3EBF">
            <w:pPr>
              <w:rPr>
                <w:rFonts w:eastAsia="SimSun"/>
                <w:sz w:val="22"/>
              </w:rPr>
            </w:pPr>
          </w:p>
        </w:tc>
        <w:tc>
          <w:tcPr>
            <w:tcW w:w="303" w:type="pct"/>
            <w:shd w:val="clear" w:color="auto" w:fill="D9D9D9"/>
            <w:vAlign w:val="center"/>
          </w:tcPr>
          <w:p w14:paraId="27C5FF0C" w14:textId="77777777" w:rsidR="0089207C" w:rsidRPr="00470E23" w:rsidRDefault="0089207C" w:rsidP="002D3EBF">
            <w:pPr>
              <w:rPr>
                <w:rFonts w:eastAsia="SimSun"/>
                <w:sz w:val="22"/>
              </w:rPr>
            </w:pPr>
            <w:r w:rsidRPr="00470E23">
              <w:rPr>
                <w:rFonts w:eastAsia="SimSun"/>
                <w:sz w:val="22"/>
              </w:rPr>
              <w:t>-</w:t>
            </w:r>
          </w:p>
        </w:tc>
        <w:tc>
          <w:tcPr>
            <w:tcW w:w="308" w:type="pct"/>
            <w:shd w:val="clear" w:color="auto" w:fill="D9D9D9"/>
            <w:vAlign w:val="center"/>
          </w:tcPr>
          <w:p w14:paraId="71D63231" w14:textId="77777777" w:rsidR="0089207C" w:rsidRPr="00470E23" w:rsidRDefault="0089207C" w:rsidP="002D3EBF">
            <w:pPr>
              <w:rPr>
                <w:rFonts w:eastAsia="SimSun"/>
                <w:sz w:val="22"/>
              </w:rPr>
            </w:pPr>
            <w:r w:rsidRPr="00470E23">
              <w:rPr>
                <w:rFonts w:eastAsia="SimSun"/>
                <w:sz w:val="22"/>
              </w:rPr>
              <w:t>-</w:t>
            </w:r>
          </w:p>
        </w:tc>
        <w:tc>
          <w:tcPr>
            <w:tcW w:w="428" w:type="pct"/>
            <w:shd w:val="clear" w:color="auto" w:fill="D9D9D9"/>
            <w:vAlign w:val="center"/>
          </w:tcPr>
          <w:p w14:paraId="415082E7" w14:textId="77777777" w:rsidR="0089207C" w:rsidRPr="00470E23" w:rsidRDefault="0089207C" w:rsidP="002D3EBF">
            <w:pPr>
              <w:rPr>
                <w:rFonts w:eastAsia="SimSun"/>
                <w:sz w:val="22"/>
              </w:rPr>
            </w:pPr>
            <w:r w:rsidRPr="00470E23">
              <w:rPr>
                <w:rFonts w:eastAsia="SimSun"/>
                <w:sz w:val="22"/>
              </w:rPr>
              <w:t>-</w:t>
            </w:r>
          </w:p>
        </w:tc>
        <w:tc>
          <w:tcPr>
            <w:tcW w:w="412" w:type="pct"/>
            <w:shd w:val="clear" w:color="auto" w:fill="auto"/>
            <w:vAlign w:val="center"/>
          </w:tcPr>
          <w:p w14:paraId="48BAB08F" w14:textId="77777777" w:rsidR="0089207C" w:rsidRPr="00470E23" w:rsidRDefault="0089207C" w:rsidP="002D3EBF">
            <w:pPr>
              <w:rPr>
                <w:rFonts w:eastAsia="SimSun"/>
                <w:sz w:val="22"/>
              </w:rPr>
            </w:pPr>
            <w:r w:rsidRPr="00470E23">
              <w:rPr>
                <w:rFonts w:eastAsia="SimSun"/>
                <w:sz w:val="22"/>
              </w:rPr>
              <w:t>5.2.2.16</w:t>
            </w:r>
          </w:p>
        </w:tc>
        <w:tc>
          <w:tcPr>
            <w:tcW w:w="361" w:type="pct"/>
            <w:tcBorders>
              <w:right w:val="single" w:sz="4" w:space="0" w:color="00000A"/>
            </w:tcBorders>
            <w:shd w:val="clear" w:color="auto" w:fill="auto"/>
            <w:vAlign w:val="center"/>
          </w:tcPr>
          <w:p w14:paraId="3D143338" w14:textId="77777777" w:rsidR="0089207C" w:rsidRPr="00470E23" w:rsidRDefault="0089207C" w:rsidP="002D3EBF">
            <w:pPr>
              <w:rPr>
                <w:rFonts w:eastAsia="SimSun"/>
                <w:sz w:val="22"/>
              </w:rPr>
            </w:pPr>
          </w:p>
        </w:tc>
        <w:tc>
          <w:tcPr>
            <w:tcW w:w="443" w:type="pct"/>
            <w:tcBorders>
              <w:left w:val="single" w:sz="4" w:space="0" w:color="00000A"/>
            </w:tcBorders>
            <w:shd w:val="clear" w:color="auto" w:fill="auto"/>
            <w:vAlign w:val="center"/>
          </w:tcPr>
          <w:p w14:paraId="4AFDB9F1" w14:textId="77777777" w:rsidR="0089207C" w:rsidRPr="00470E23" w:rsidRDefault="0089207C" w:rsidP="002D3EBF">
            <w:pPr>
              <w:rPr>
                <w:rFonts w:eastAsia="SimSun"/>
                <w:sz w:val="22"/>
              </w:rPr>
            </w:pPr>
          </w:p>
        </w:tc>
        <w:tc>
          <w:tcPr>
            <w:tcW w:w="430" w:type="pct"/>
            <w:tcBorders>
              <w:right w:val="single" w:sz="4" w:space="0" w:color="00000A"/>
            </w:tcBorders>
            <w:shd w:val="clear" w:color="auto" w:fill="auto"/>
            <w:vAlign w:val="center"/>
          </w:tcPr>
          <w:p w14:paraId="02D34126" w14:textId="77777777" w:rsidR="0089207C" w:rsidRPr="00470E23" w:rsidRDefault="0089207C" w:rsidP="002D3EBF">
            <w:pPr>
              <w:rPr>
                <w:rFonts w:eastAsia="SimSun"/>
                <w:sz w:val="22"/>
              </w:rPr>
            </w:pPr>
          </w:p>
        </w:tc>
        <w:tc>
          <w:tcPr>
            <w:tcW w:w="316" w:type="pct"/>
            <w:tcBorders>
              <w:left w:val="single" w:sz="4" w:space="0" w:color="00000A"/>
            </w:tcBorders>
            <w:shd w:val="clear" w:color="auto" w:fill="auto"/>
            <w:vAlign w:val="center"/>
          </w:tcPr>
          <w:p w14:paraId="7D77062C" w14:textId="77777777" w:rsidR="0089207C" w:rsidRPr="00470E23" w:rsidRDefault="0089207C" w:rsidP="002D3EBF">
            <w:pPr>
              <w:rPr>
                <w:rFonts w:eastAsia="SimSun"/>
                <w:sz w:val="22"/>
              </w:rPr>
            </w:pPr>
            <w:r w:rsidRPr="00470E23">
              <w:rPr>
                <w:rFonts w:eastAsia="SimSun"/>
                <w:sz w:val="22"/>
              </w:rPr>
              <w:t>5.2.2.8</w:t>
            </w:r>
          </w:p>
        </w:tc>
        <w:tc>
          <w:tcPr>
            <w:tcW w:w="475" w:type="pct"/>
            <w:shd w:val="clear" w:color="auto" w:fill="auto"/>
            <w:vAlign w:val="center"/>
          </w:tcPr>
          <w:p w14:paraId="5A34CF1B" w14:textId="77777777" w:rsidR="0089207C" w:rsidRPr="00470E23" w:rsidRDefault="0089207C" w:rsidP="002D3EBF">
            <w:pPr>
              <w:rPr>
                <w:rFonts w:eastAsia="SimSun"/>
                <w:sz w:val="22"/>
              </w:rPr>
            </w:pPr>
            <w:r w:rsidRPr="00470E23">
              <w:rPr>
                <w:rFonts w:eastAsia="SimSun"/>
                <w:sz w:val="22"/>
              </w:rPr>
              <w:t>5.2.2.12</w:t>
            </w:r>
          </w:p>
        </w:tc>
        <w:tc>
          <w:tcPr>
            <w:tcW w:w="382" w:type="pct"/>
            <w:shd w:val="clear" w:color="auto" w:fill="auto"/>
            <w:vAlign w:val="center"/>
          </w:tcPr>
          <w:p w14:paraId="36FA18CC" w14:textId="77777777" w:rsidR="0089207C" w:rsidRPr="00470E23" w:rsidRDefault="0089207C" w:rsidP="002D3EBF">
            <w:pPr>
              <w:rPr>
                <w:rFonts w:eastAsia="SimSun"/>
                <w:sz w:val="22"/>
              </w:rPr>
            </w:pPr>
          </w:p>
        </w:tc>
        <w:tc>
          <w:tcPr>
            <w:tcW w:w="400" w:type="pct"/>
            <w:shd w:val="clear" w:color="auto" w:fill="auto"/>
            <w:vAlign w:val="center"/>
          </w:tcPr>
          <w:p w14:paraId="339629B8" w14:textId="77777777" w:rsidR="0089207C" w:rsidRPr="00470E23" w:rsidRDefault="0089207C" w:rsidP="002D3EBF">
            <w:pPr>
              <w:rPr>
                <w:rFonts w:eastAsia="SimSun"/>
                <w:sz w:val="22"/>
              </w:rPr>
            </w:pPr>
          </w:p>
        </w:tc>
        <w:tc>
          <w:tcPr>
            <w:tcW w:w="394" w:type="pct"/>
            <w:vAlign w:val="center"/>
          </w:tcPr>
          <w:p w14:paraId="22CB48FE" w14:textId="77777777" w:rsidR="0089207C" w:rsidRPr="00470E23" w:rsidRDefault="0089207C" w:rsidP="002D3EBF">
            <w:pPr>
              <w:rPr>
                <w:rFonts w:eastAsia="SimSun"/>
                <w:sz w:val="22"/>
              </w:rPr>
            </w:pPr>
          </w:p>
        </w:tc>
      </w:tr>
      <w:tr w:rsidR="0089207C" w:rsidRPr="00470E23" w14:paraId="54697D14" w14:textId="77777777" w:rsidTr="002D3EBF">
        <w:trPr>
          <w:cantSplit/>
          <w:trHeight w:val="606"/>
        </w:trPr>
        <w:tc>
          <w:tcPr>
            <w:tcW w:w="348" w:type="pct"/>
            <w:vMerge/>
            <w:shd w:val="clear" w:color="auto" w:fill="D9D9D9"/>
            <w:vAlign w:val="center"/>
          </w:tcPr>
          <w:p w14:paraId="276EE6F6" w14:textId="77777777" w:rsidR="0089207C" w:rsidRPr="00470E23" w:rsidRDefault="0089207C" w:rsidP="002D3EBF">
            <w:pPr>
              <w:rPr>
                <w:rFonts w:eastAsia="SimSun"/>
                <w:sz w:val="22"/>
              </w:rPr>
            </w:pPr>
          </w:p>
        </w:tc>
        <w:tc>
          <w:tcPr>
            <w:tcW w:w="303" w:type="pct"/>
            <w:vMerge w:val="restart"/>
            <w:shd w:val="clear" w:color="auto" w:fill="D9D9D9"/>
            <w:vAlign w:val="center"/>
          </w:tcPr>
          <w:p w14:paraId="649F3492" w14:textId="77777777" w:rsidR="0089207C" w:rsidRPr="00470E23" w:rsidRDefault="0089207C" w:rsidP="002D3EBF">
            <w:pPr>
              <w:rPr>
                <w:rFonts w:eastAsia="SimSun"/>
                <w:sz w:val="22"/>
              </w:rPr>
            </w:pPr>
            <w:r w:rsidRPr="00470E23">
              <w:rPr>
                <w:rFonts w:eastAsia="SimSun"/>
                <w:sz w:val="22"/>
              </w:rPr>
              <w:t>CSA</w:t>
            </w:r>
          </w:p>
          <w:p w14:paraId="4AB0B0A3" w14:textId="77777777" w:rsidR="0089207C" w:rsidRPr="00470E23" w:rsidRDefault="0089207C" w:rsidP="002D3EBF">
            <w:pPr>
              <w:rPr>
                <w:rFonts w:eastAsia="SimSun"/>
                <w:sz w:val="22"/>
              </w:rPr>
            </w:pPr>
          </w:p>
        </w:tc>
        <w:tc>
          <w:tcPr>
            <w:tcW w:w="308" w:type="pct"/>
            <w:shd w:val="clear" w:color="auto" w:fill="D9D9D9"/>
            <w:vAlign w:val="center"/>
          </w:tcPr>
          <w:p w14:paraId="777530C2" w14:textId="77777777" w:rsidR="0089207C" w:rsidRPr="00470E23" w:rsidRDefault="0089207C" w:rsidP="002D3EBF">
            <w:pPr>
              <w:rPr>
                <w:rFonts w:eastAsia="SimSun"/>
                <w:sz w:val="22"/>
              </w:rPr>
            </w:pPr>
            <w:r w:rsidRPr="00470E23">
              <w:rPr>
                <w:rFonts w:eastAsia="SimSun"/>
                <w:sz w:val="22"/>
              </w:rPr>
              <w:t>-</w:t>
            </w:r>
          </w:p>
        </w:tc>
        <w:tc>
          <w:tcPr>
            <w:tcW w:w="428" w:type="pct"/>
            <w:shd w:val="clear" w:color="auto" w:fill="D9D9D9"/>
            <w:vAlign w:val="center"/>
          </w:tcPr>
          <w:p w14:paraId="65DC709F" w14:textId="77777777" w:rsidR="0089207C" w:rsidRPr="00470E23" w:rsidRDefault="0089207C" w:rsidP="002D3EBF">
            <w:pPr>
              <w:rPr>
                <w:rFonts w:eastAsia="SimSun"/>
                <w:sz w:val="22"/>
              </w:rPr>
            </w:pPr>
            <w:r w:rsidRPr="00470E23">
              <w:rPr>
                <w:rFonts w:eastAsia="SimSun"/>
                <w:sz w:val="22"/>
              </w:rPr>
              <w:t>MMF30</w:t>
            </w:r>
          </w:p>
        </w:tc>
        <w:tc>
          <w:tcPr>
            <w:tcW w:w="412" w:type="pct"/>
            <w:shd w:val="clear" w:color="auto" w:fill="auto"/>
            <w:vAlign w:val="center"/>
          </w:tcPr>
          <w:p w14:paraId="54D95E33" w14:textId="77777777" w:rsidR="0089207C" w:rsidRPr="00470E23" w:rsidRDefault="0089207C" w:rsidP="002D3EBF">
            <w:pPr>
              <w:rPr>
                <w:rFonts w:eastAsia="SimSun"/>
                <w:sz w:val="22"/>
              </w:rPr>
            </w:pPr>
          </w:p>
        </w:tc>
        <w:tc>
          <w:tcPr>
            <w:tcW w:w="361" w:type="pct"/>
            <w:tcBorders>
              <w:right w:val="single" w:sz="4" w:space="0" w:color="00000A"/>
            </w:tcBorders>
            <w:shd w:val="clear" w:color="auto" w:fill="auto"/>
            <w:vAlign w:val="center"/>
          </w:tcPr>
          <w:p w14:paraId="31FFAD95" w14:textId="77777777" w:rsidR="0089207C" w:rsidRPr="00470E23" w:rsidRDefault="0089207C" w:rsidP="002D3EBF">
            <w:pPr>
              <w:rPr>
                <w:rFonts w:eastAsia="SimSun"/>
                <w:sz w:val="22"/>
              </w:rPr>
            </w:pPr>
          </w:p>
        </w:tc>
        <w:tc>
          <w:tcPr>
            <w:tcW w:w="443" w:type="pct"/>
            <w:tcBorders>
              <w:left w:val="single" w:sz="4" w:space="0" w:color="00000A"/>
            </w:tcBorders>
            <w:shd w:val="clear" w:color="auto" w:fill="auto"/>
            <w:vAlign w:val="center"/>
          </w:tcPr>
          <w:p w14:paraId="38B30BEA" w14:textId="77777777" w:rsidR="0089207C" w:rsidRPr="00470E23" w:rsidRDefault="0089207C" w:rsidP="002D3EBF">
            <w:pPr>
              <w:rPr>
                <w:rFonts w:eastAsia="SimSun"/>
                <w:sz w:val="22"/>
              </w:rPr>
            </w:pPr>
            <w:r w:rsidRPr="00470E23">
              <w:rPr>
                <w:rFonts w:eastAsia="SimSun"/>
                <w:sz w:val="22"/>
              </w:rPr>
              <w:t>5.2.2.3</w:t>
            </w:r>
          </w:p>
        </w:tc>
        <w:tc>
          <w:tcPr>
            <w:tcW w:w="430" w:type="pct"/>
            <w:tcBorders>
              <w:right w:val="single" w:sz="4" w:space="0" w:color="00000A"/>
            </w:tcBorders>
            <w:shd w:val="clear" w:color="auto" w:fill="auto"/>
            <w:vAlign w:val="center"/>
          </w:tcPr>
          <w:p w14:paraId="47DCE13B" w14:textId="77777777" w:rsidR="0089207C" w:rsidRPr="00470E23" w:rsidRDefault="0089207C" w:rsidP="002D3EBF">
            <w:pPr>
              <w:rPr>
                <w:rFonts w:eastAsia="SimSun"/>
                <w:sz w:val="22"/>
              </w:rPr>
            </w:pPr>
            <w:r w:rsidRPr="00470E23">
              <w:rPr>
                <w:rFonts w:eastAsia="SimSun"/>
                <w:sz w:val="22"/>
              </w:rPr>
              <w:t>5.2.2.7/11</w:t>
            </w:r>
          </w:p>
        </w:tc>
        <w:tc>
          <w:tcPr>
            <w:tcW w:w="316" w:type="pct"/>
            <w:tcBorders>
              <w:left w:val="single" w:sz="4" w:space="0" w:color="00000A"/>
            </w:tcBorders>
            <w:shd w:val="clear" w:color="auto" w:fill="auto"/>
            <w:vAlign w:val="center"/>
          </w:tcPr>
          <w:p w14:paraId="7FB96A5F" w14:textId="77777777" w:rsidR="0089207C" w:rsidRPr="00470E23" w:rsidRDefault="0089207C" w:rsidP="002D3EBF">
            <w:pPr>
              <w:rPr>
                <w:rFonts w:eastAsia="SimSun"/>
                <w:sz w:val="22"/>
              </w:rPr>
            </w:pPr>
          </w:p>
        </w:tc>
        <w:tc>
          <w:tcPr>
            <w:tcW w:w="475" w:type="pct"/>
            <w:shd w:val="clear" w:color="auto" w:fill="auto"/>
            <w:vAlign w:val="center"/>
          </w:tcPr>
          <w:p w14:paraId="0732CBD5" w14:textId="77777777" w:rsidR="0089207C" w:rsidRPr="00470E23" w:rsidRDefault="0089207C" w:rsidP="002D3EBF">
            <w:pPr>
              <w:rPr>
                <w:rFonts w:eastAsia="SimSun"/>
                <w:sz w:val="22"/>
              </w:rPr>
            </w:pPr>
          </w:p>
        </w:tc>
        <w:tc>
          <w:tcPr>
            <w:tcW w:w="382" w:type="pct"/>
            <w:shd w:val="clear" w:color="auto" w:fill="auto"/>
            <w:vAlign w:val="center"/>
          </w:tcPr>
          <w:p w14:paraId="42C24DAC" w14:textId="77777777" w:rsidR="0089207C" w:rsidRPr="00470E23" w:rsidRDefault="0089207C" w:rsidP="002D3EBF">
            <w:pPr>
              <w:rPr>
                <w:rFonts w:eastAsia="SimSun"/>
                <w:sz w:val="22"/>
              </w:rPr>
            </w:pPr>
            <w:r w:rsidRPr="00470E23">
              <w:rPr>
                <w:rFonts w:eastAsia="SimSun"/>
                <w:sz w:val="22"/>
              </w:rPr>
              <w:t>5.2.2.18</w:t>
            </w:r>
          </w:p>
        </w:tc>
        <w:tc>
          <w:tcPr>
            <w:tcW w:w="400" w:type="pct"/>
            <w:shd w:val="clear" w:color="auto" w:fill="auto"/>
            <w:vAlign w:val="center"/>
          </w:tcPr>
          <w:p w14:paraId="332A882A" w14:textId="77777777" w:rsidR="0089207C" w:rsidRPr="00470E23" w:rsidRDefault="0089207C" w:rsidP="002D3EBF">
            <w:pPr>
              <w:rPr>
                <w:rFonts w:eastAsia="SimSun"/>
                <w:sz w:val="22"/>
              </w:rPr>
            </w:pPr>
          </w:p>
        </w:tc>
        <w:tc>
          <w:tcPr>
            <w:tcW w:w="394" w:type="pct"/>
            <w:vAlign w:val="center"/>
          </w:tcPr>
          <w:p w14:paraId="01B69472" w14:textId="77777777" w:rsidR="0089207C" w:rsidRPr="00470E23" w:rsidRDefault="0089207C" w:rsidP="002D3EBF">
            <w:pPr>
              <w:rPr>
                <w:rFonts w:eastAsia="SimSun"/>
                <w:sz w:val="22"/>
              </w:rPr>
            </w:pPr>
          </w:p>
        </w:tc>
      </w:tr>
      <w:tr w:rsidR="0089207C" w:rsidRPr="00470E23" w14:paraId="12105B3D" w14:textId="77777777" w:rsidTr="002D3EBF">
        <w:trPr>
          <w:cantSplit/>
          <w:trHeight w:val="606"/>
        </w:trPr>
        <w:tc>
          <w:tcPr>
            <w:tcW w:w="348" w:type="pct"/>
            <w:vMerge/>
            <w:shd w:val="clear" w:color="auto" w:fill="D9D9D9"/>
            <w:vAlign w:val="center"/>
          </w:tcPr>
          <w:p w14:paraId="6DF053CA" w14:textId="77777777" w:rsidR="0089207C" w:rsidRPr="00470E23" w:rsidRDefault="0089207C" w:rsidP="002D3EBF">
            <w:pPr>
              <w:rPr>
                <w:rFonts w:eastAsia="SimSun"/>
                <w:sz w:val="22"/>
              </w:rPr>
            </w:pPr>
          </w:p>
        </w:tc>
        <w:tc>
          <w:tcPr>
            <w:tcW w:w="303" w:type="pct"/>
            <w:vMerge/>
            <w:shd w:val="clear" w:color="auto" w:fill="D9D9D9"/>
            <w:vAlign w:val="center"/>
          </w:tcPr>
          <w:p w14:paraId="37CB4FF7" w14:textId="77777777" w:rsidR="0089207C" w:rsidRPr="00470E23" w:rsidRDefault="0089207C" w:rsidP="002D3EBF">
            <w:pPr>
              <w:rPr>
                <w:rFonts w:eastAsia="SimSun"/>
                <w:sz w:val="22"/>
              </w:rPr>
            </w:pPr>
          </w:p>
        </w:tc>
        <w:tc>
          <w:tcPr>
            <w:tcW w:w="308" w:type="pct"/>
            <w:shd w:val="clear" w:color="auto" w:fill="D9D9D9"/>
            <w:vAlign w:val="center"/>
          </w:tcPr>
          <w:p w14:paraId="0DC779A5" w14:textId="77777777" w:rsidR="0089207C" w:rsidRPr="00470E23" w:rsidRDefault="0089207C" w:rsidP="002D3EBF">
            <w:pPr>
              <w:rPr>
                <w:rFonts w:eastAsia="SimSun"/>
                <w:sz w:val="22"/>
              </w:rPr>
            </w:pPr>
            <w:r w:rsidRPr="00470E23">
              <w:rPr>
                <w:rFonts w:eastAsia="SimSun"/>
                <w:sz w:val="22"/>
              </w:rPr>
              <w:t>-</w:t>
            </w:r>
          </w:p>
        </w:tc>
        <w:tc>
          <w:tcPr>
            <w:tcW w:w="428" w:type="pct"/>
            <w:shd w:val="clear" w:color="auto" w:fill="D9D9D9"/>
            <w:vAlign w:val="center"/>
          </w:tcPr>
          <w:p w14:paraId="38926A49" w14:textId="77777777" w:rsidR="0089207C" w:rsidRPr="00470E23" w:rsidRDefault="0089207C" w:rsidP="002D3EBF">
            <w:pPr>
              <w:rPr>
                <w:rFonts w:eastAsia="SimSun"/>
                <w:sz w:val="22"/>
              </w:rPr>
            </w:pPr>
            <w:r w:rsidRPr="00470E23">
              <w:rPr>
                <w:rFonts w:eastAsia="SimSun"/>
                <w:sz w:val="22"/>
              </w:rPr>
              <w:t>MMF45</w:t>
            </w:r>
          </w:p>
        </w:tc>
        <w:tc>
          <w:tcPr>
            <w:tcW w:w="412" w:type="pct"/>
            <w:shd w:val="clear" w:color="auto" w:fill="auto"/>
            <w:vAlign w:val="center"/>
          </w:tcPr>
          <w:p w14:paraId="640446F6" w14:textId="77777777" w:rsidR="0089207C" w:rsidRPr="00470E23" w:rsidRDefault="0089207C" w:rsidP="002D3EBF">
            <w:pPr>
              <w:rPr>
                <w:rFonts w:eastAsia="SimSun"/>
                <w:sz w:val="22"/>
              </w:rPr>
            </w:pPr>
          </w:p>
        </w:tc>
        <w:tc>
          <w:tcPr>
            <w:tcW w:w="361" w:type="pct"/>
            <w:tcBorders>
              <w:right w:val="single" w:sz="4" w:space="0" w:color="00000A"/>
            </w:tcBorders>
            <w:shd w:val="clear" w:color="auto" w:fill="auto"/>
            <w:vAlign w:val="center"/>
          </w:tcPr>
          <w:p w14:paraId="13234069" w14:textId="77777777" w:rsidR="0089207C" w:rsidRPr="00470E23" w:rsidRDefault="0089207C" w:rsidP="002D3EBF">
            <w:pPr>
              <w:rPr>
                <w:rFonts w:eastAsia="SimSun"/>
                <w:sz w:val="22"/>
              </w:rPr>
            </w:pPr>
          </w:p>
        </w:tc>
        <w:tc>
          <w:tcPr>
            <w:tcW w:w="443" w:type="pct"/>
            <w:tcBorders>
              <w:left w:val="single" w:sz="4" w:space="0" w:color="00000A"/>
            </w:tcBorders>
            <w:shd w:val="clear" w:color="auto" w:fill="auto"/>
            <w:vAlign w:val="center"/>
          </w:tcPr>
          <w:p w14:paraId="4A6AA4FB" w14:textId="77777777" w:rsidR="0089207C" w:rsidRPr="00470E23" w:rsidRDefault="0089207C" w:rsidP="002D3EBF">
            <w:pPr>
              <w:rPr>
                <w:rFonts w:eastAsia="SimSun"/>
                <w:sz w:val="22"/>
              </w:rPr>
            </w:pPr>
            <w:r w:rsidRPr="00470E23">
              <w:rPr>
                <w:rFonts w:eastAsia="SimSun"/>
                <w:sz w:val="22"/>
              </w:rPr>
              <w:t>5.2.2.4</w:t>
            </w:r>
          </w:p>
        </w:tc>
        <w:tc>
          <w:tcPr>
            <w:tcW w:w="430" w:type="pct"/>
            <w:tcBorders>
              <w:right w:val="single" w:sz="4" w:space="0" w:color="00000A"/>
            </w:tcBorders>
            <w:shd w:val="clear" w:color="auto" w:fill="auto"/>
            <w:vAlign w:val="center"/>
          </w:tcPr>
          <w:p w14:paraId="78480ACB" w14:textId="77777777" w:rsidR="0089207C" w:rsidRPr="00470E23" w:rsidRDefault="0089207C" w:rsidP="002D3EBF">
            <w:pPr>
              <w:rPr>
                <w:rFonts w:eastAsia="SimSun"/>
                <w:sz w:val="22"/>
              </w:rPr>
            </w:pPr>
          </w:p>
        </w:tc>
        <w:tc>
          <w:tcPr>
            <w:tcW w:w="316" w:type="pct"/>
            <w:tcBorders>
              <w:left w:val="single" w:sz="4" w:space="0" w:color="00000A"/>
            </w:tcBorders>
            <w:shd w:val="clear" w:color="auto" w:fill="auto"/>
            <w:vAlign w:val="center"/>
          </w:tcPr>
          <w:p w14:paraId="7ED3173C" w14:textId="77777777" w:rsidR="0089207C" w:rsidRPr="00470E23" w:rsidRDefault="0089207C" w:rsidP="002D3EBF">
            <w:pPr>
              <w:rPr>
                <w:rFonts w:eastAsia="SimSun"/>
                <w:sz w:val="22"/>
              </w:rPr>
            </w:pPr>
          </w:p>
        </w:tc>
        <w:tc>
          <w:tcPr>
            <w:tcW w:w="475" w:type="pct"/>
            <w:shd w:val="clear" w:color="auto" w:fill="auto"/>
            <w:vAlign w:val="center"/>
          </w:tcPr>
          <w:p w14:paraId="032F64FE" w14:textId="77777777" w:rsidR="0089207C" w:rsidRPr="00470E23" w:rsidRDefault="0089207C" w:rsidP="002D3EBF">
            <w:pPr>
              <w:rPr>
                <w:rFonts w:eastAsia="SimSun"/>
                <w:sz w:val="22"/>
              </w:rPr>
            </w:pPr>
          </w:p>
        </w:tc>
        <w:tc>
          <w:tcPr>
            <w:tcW w:w="382" w:type="pct"/>
            <w:shd w:val="clear" w:color="auto" w:fill="auto"/>
            <w:vAlign w:val="center"/>
          </w:tcPr>
          <w:p w14:paraId="4C42120E" w14:textId="77777777" w:rsidR="0089207C" w:rsidRPr="00470E23" w:rsidRDefault="0089207C" w:rsidP="002D3EBF">
            <w:pPr>
              <w:rPr>
                <w:rFonts w:eastAsia="SimSun"/>
                <w:sz w:val="22"/>
              </w:rPr>
            </w:pPr>
          </w:p>
        </w:tc>
        <w:tc>
          <w:tcPr>
            <w:tcW w:w="400" w:type="pct"/>
            <w:shd w:val="clear" w:color="auto" w:fill="auto"/>
            <w:vAlign w:val="center"/>
          </w:tcPr>
          <w:p w14:paraId="1DBB7C41" w14:textId="77777777" w:rsidR="0089207C" w:rsidRPr="00470E23" w:rsidRDefault="0089207C" w:rsidP="002D3EBF">
            <w:pPr>
              <w:rPr>
                <w:rFonts w:eastAsia="SimSun"/>
                <w:sz w:val="22"/>
              </w:rPr>
            </w:pPr>
          </w:p>
        </w:tc>
        <w:tc>
          <w:tcPr>
            <w:tcW w:w="394" w:type="pct"/>
            <w:vAlign w:val="center"/>
          </w:tcPr>
          <w:p w14:paraId="3C9A99F0" w14:textId="77777777" w:rsidR="0089207C" w:rsidRPr="00470E23" w:rsidRDefault="0089207C" w:rsidP="002D3EBF">
            <w:pPr>
              <w:rPr>
                <w:rFonts w:eastAsia="SimSun"/>
                <w:sz w:val="22"/>
              </w:rPr>
            </w:pPr>
          </w:p>
        </w:tc>
      </w:tr>
      <w:tr w:rsidR="0089207C" w:rsidRPr="00470E23" w14:paraId="6D9C627F" w14:textId="77777777" w:rsidTr="002D3EBF">
        <w:trPr>
          <w:cantSplit/>
          <w:trHeight w:val="606"/>
        </w:trPr>
        <w:tc>
          <w:tcPr>
            <w:tcW w:w="348" w:type="pct"/>
            <w:vMerge/>
            <w:shd w:val="clear" w:color="auto" w:fill="D9D9D9"/>
            <w:vAlign w:val="center"/>
          </w:tcPr>
          <w:p w14:paraId="1888FED7" w14:textId="77777777" w:rsidR="0089207C" w:rsidRPr="00470E23" w:rsidRDefault="0089207C" w:rsidP="002D3EBF">
            <w:pPr>
              <w:rPr>
                <w:rFonts w:eastAsia="SimSun"/>
                <w:sz w:val="22"/>
              </w:rPr>
            </w:pPr>
          </w:p>
        </w:tc>
        <w:tc>
          <w:tcPr>
            <w:tcW w:w="303" w:type="pct"/>
            <w:shd w:val="clear" w:color="auto" w:fill="D9D9D9"/>
            <w:vAlign w:val="center"/>
          </w:tcPr>
          <w:p w14:paraId="5AA5431D" w14:textId="77777777" w:rsidR="0089207C" w:rsidRPr="00470E23" w:rsidRDefault="0089207C" w:rsidP="002D3EBF">
            <w:pPr>
              <w:rPr>
                <w:rFonts w:eastAsia="SimSun"/>
                <w:sz w:val="22"/>
              </w:rPr>
            </w:pPr>
            <w:r w:rsidRPr="00470E23">
              <w:rPr>
                <w:rFonts w:eastAsia="SimSun"/>
                <w:sz w:val="22"/>
              </w:rPr>
              <w:t>Tx</w:t>
            </w:r>
          </w:p>
        </w:tc>
        <w:tc>
          <w:tcPr>
            <w:tcW w:w="308" w:type="pct"/>
            <w:shd w:val="clear" w:color="auto" w:fill="D9D9D9"/>
            <w:vAlign w:val="center"/>
          </w:tcPr>
          <w:p w14:paraId="110C948B" w14:textId="77777777" w:rsidR="0089207C" w:rsidRPr="00470E23" w:rsidRDefault="0089207C" w:rsidP="002D3EBF">
            <w:pPr>
              <w:rPr>
                <w:rFonts w:eastAsia="SimSun"/>
                <w:sz w:val="22"/>
              </w:rPr>
            </w:pPr>
            <w:r w:rsidRPr="00470E23">
              <w:rPr>
                <w:rFonts w:eastAsia="SimSun"/>
                <w:sz w:val="22"/>
              </w:rPr>
              <w:t>-</w:t>
            </w:r>
          </w:p>
        </w:tc>
        <w:tc>
          <w:tcPr>
            <w:tcW w:w="428" w:type="pct"/>
            <w:shd w:val="clear" w:color="auto" w:fill="D9D9D9"/>
            <w:vAlign w:val="center"/>
          </w:tcPr>
          <w:p w14:paraId="2AAB4647" w14:textId="77777777" w:rsidR="0089207C" w:rsidRPr="00470E23" w:rsidRDefault="0089207C" w:rsidP="002D3EBF">
            <w:pPr>
              <w:rPr>
                <w:rFonts w:eastAsia="SimSun"/>
                <w:sz w:val="22"/>
              </w:rPr>
            </w:pPr>
            <w:r w:rsidRPr="00470E23">
              <w:rPr>
                <w:rFonts w:eastAsia="SimSun"/>
                <w:sz w:val="22"/>
              </w:rPr>
              <w:t>MMF30</w:t>
            </w:r>
          </w:p>
        </w:tc>
        <w:tc>
          <w:tcPr>
            <w:tcW w:w="412" w:type="pct"/>
            <w:shd w:val="clear" w:color="auto" w:fill="auto"/>
            <w:vAlign w:val="center"/>
          </w:tcPr>
          <w:p w14:paraId="07B3EAF6" w14:textId="77777777" w:rsidR="0089207C" w:rsidRPr="00470E23" w:rsidRDefault="0089207C" w:rsidP="002D3EBF">
            <w:pPr>
              <w:rPr>
                <w:rFonts w:eastAsia="SimSun"/>
                <w:sz w:val="22"/>
              </w:rPr>
            </w:pPr>
            <w:r w:rsidRPr="00470E23">
              <w:rPr>
                <w:rFonts w:eastAsia="SimSun"/>
                <w:sz w:val="22"/>
              </w:rPr>
              <w:t>5.2.2.15</w:t>
            </w:r>
          </w:p>
        </w:tc>
        <w:tc>
          <w:tcPr>
            <w:tcW w:w="361" w:type="pct"/>
            <w:tcBorders>
              <w:right w:val="single" w:sz="4" w:space="0" w:color="00000A"/>
            </w:tcBorders>
            <w:shd w:val="clear" w:color="auto" w:fill="auto"/>
            <w:vAlign w:val="center"/>
          </w:tcPr>
          <w:p w14:paraId="1C4998B1" w14:textId="77777777" w:rsidR="0089207C" w:rsidRPr="00470E23" w:rsidRDefault="0089207C" w:rsidP="002D3EBF">
            <w:pPr>
              <w:rPr>
                <w:rFonts w:eastAsia="SimSun"/>
                <w:sz w:val="22"/>
              </w:rPr>
            </w:pPr>
          </w:p>
        </w:tc>
        <w:tc>
          <w:tcPr>
            <w:tcW w:w="443" w:type="pct"/>
            <w:tcBorders>
              <w:left w:val="single" w:sz="4" w:space="0" w:color="00000A"/>
            </w:tcBorders>
            <w:shd w:val="clear" w:color="auto" w:fill="auto"/>
            <w:vAlign w:val="center"/>
          </w:tcPr>
          <w:p w14:paraId="4E73700D" w14:textId="77777777" w:rsidR="0089207C" w:rsidRPr="00470E23" w:rsidRDefault="0089207C" w:rsidP="002D3EBF">
            <w:pPr>
              <w:rPr>
                <w:rFonts w:eastAsia="SimSun"/>
                <w:sz w:val="22"/>
              </w:rPr>
            </w:pPr>
          </w:p>
        </w:tc>
        <w:tc>
          <w:tcPr>
            <w:tcW w:w="430" w:type="pct"/>
            <w:tcBorders>
              <w:right w:val="single" w:sz="4" w:space="0" w:color="00000A"/>
            </w:tcBorders>
            <w:shd w:val="clear" w:color="auto" w:fill="auto"/>
            <w:vAlign w:val="center"/>
          </w:tcPr>
          <w:p w14:paraId="3D9E93F1" w14:textId="77777777" w:rsidR="0089207C" w:rsidRPr="00470E23" w:rsidRDefault="0089207C" w:rsidP="002D3EBF">
            <w:pPr>
              <w:rPr>
                <w:rFonts w:eastAsia="SimSun"/>
                <w:sz w:val="22"/>
              </w:rPr>
            </w:pPr>
            <w:r w:rsidRPr="00470E23">
              <w:rPr>
                <w:rFonts w:eastAsia="SimSun"/>
                <w:sz w:val="22"/>
              </w:rPr>
              <w:t>5.2.2.9</w:t>
            </w:r>
          </w:p>
        </w:tc>
        <w:tc>
          <w:tcPr>
            <w:tcW w:w="316" w:type="pct"/>
            <w:tcBorders>
              <w:left w:val="single" w:sz="4" w:space="0" w:color="00000A"/>
            </w:tcBorders>
            <w:shd w:val="clear" w:color="auto" w:fill="auto"/>
            <w:vAlign w:val="center"/>
          </w:tcPr>
          <w:p w14:paraId="079E49A3" w14:textId="77777777" w:rsidR="0089207C" w:rsidRPr="00470E23" w:rsidRDefault="0089207C" w:rsidP="002D3EBF">
            <w:pPr>
              <w:rPr>
                <w:rFonts w:eastAsia="SimSun"/>
                <w:sz w:val="22"/>
              </w:rPr>
            </w:pPr>
          </w:p>
        </w:tc>
        <w:tc>
          <w:tcPr>
            <w:tcW w:w="475" w:type="pct"/>
            <w:shd w:val="clear" w:color="auto" w:fill="auto"/>
            <w:vAlign w:val="center"/>
          </w:tcPr>
          <w:p w14:paraId="5E7BB7D2" w14:textId="77777777" w:rsidR="0089207C" w:rsidRPr="00470E23" w:rsidRDefault="0089207C" w:rsidP="002D3EBF">
            <w:pPr>
              <w:rPr>
                <w:rFonts w:eastAsia="SimSun"/>
                <w:sz w:val="22"/>
              </w:rPr>
            </w:pPr>
            <w:r w:rsidRPr="00470E23">
              <w:rPr>
                <w:rFonts w:eastAsia="SimSun"/>
                <w:sz w:val="22"/>
              </w:rPr>
              <w:t>5.2.2.13</w:t>
            </w:r>
          </w:p>
        </w:tc>
        <w:tc>
          <w:tcPr>
            <w:tcW w:w="382" w:type="pct"/>
            <w:shd w:val="clear" w:color="auto" w:fill="auto"/>
            <w:vAlign w:val="center"/>
          </w:tcPr>
          <w:p w14:paraId="4B47E9AD" w14:textId="77777777" w:rsidR="0089207C" w:rsidRPr="00470E23" w:rsidRDefault="0089207C" w:rsidP="002D3EBF">
            <w:pPr>
              <w:rPr>
                <w:rFonts w:eastAsia="SimSun"/>
                <w:sz w:val="22"/>
              </w:rPr>
            </w:pPr>
          </w:p>
        </w:tc>
        <w:tc>
          <w:tcPr>
            <w:tcW w:w="400" w:type="pct"/>
            <w:shd w:val="clear" w:color="auto" w:fill="auto"/>
            <w:vAlign w:val="center"/>
          </w:tcPr>
          <w:p w14:paraId="20DC6B64" w14:textId="77777777" w:rsidR="0089207C" w:rsidRPr="00470E23" w:rsidRDefault="0089207C" w:rsidP="002D3EBF">
            <w:pPr>
              <w:rPr>
                <w:rFonts w:eastAsia="SimSun"/>
                <w:sz w:val="22"/>
              </w:rPr>
            </w:pPr>
          </w:p>
        </w:tc>
        <w:tc>
          <w:tcPr>
            <w:tcW w:w="394" w:type="pct"/>
            <w:vAlign w:val="center"/>
          </w:tcPr>
          <w:p w14:paraId="43109120" w14:textId="77777777" w:rsidR="0089207C" w:rsidRPr="00470E23" w:rsidRDefault="0089207C" w:rsidP="002D3EBF">
            <w:pPr>
              <w:rPr>
                <w:rFonts w:eastAsia="SimSun"/>
                <w:sz w:val="22"/>
              </w:rPr>
            </w:pPr>
            <w:r w:rsidRPr="00470E23">
              <w:rPr>
                <w:rFonts w:eastAsia="SimSun"/>
                <w:sz w:val="22"/>
              </w:rPr>
              <w:t>5.2.2.21</w:t>
            </w:r>
          </w:p>
        </w:tc>
      </w:tr>
      <w:tr w:rsidR="0089207C" w:rsidRPr="00470E23" w14:paraId="02CEB5EC" w14:textId="77777777" w:rsidTr="002D3EBF">
        <w:trPr>
          <w:cantSplit/>
          <w:trHeight w:val="606"/>
        </w:trPr>
        <w:tc>
          <w:tcPr>
            <w:tcW w:w="348" w:type="pct"/>
            <w:vMerge/>
            <w:shd w:val="clear" w:color="auto" w:fill="D9D9D9"/>
            <w:vAlign w:val="center"/>
          </w:tcPr>
          <w:p w14:paraId="237B953B" w14:textId="77777777" w:rsidR="0089207C" w:rsidRPr="00470E23" w:rsidRDefault="0089207C" w:rsidP="002D3EBF">
            <w:pPr>
              <w:rPr>
                <w:rFonts w:eastAsia="SimSun"/>
                <w:sz w:val="22"/>
              </w:rPr>
            </w:pPr>
          </w:p>
        </w:tc>
        <w:tc>
          <w:tcPr>
            <w:tcW w:w="303" w:type="pct"/>
            <w:shd w:val="clear" w:color="auto" w:fill="D9D9D9"/>
            <w:vAlign w:val="center"/>
          </w:tcPr>
          <w:p w14:paraId="5718ABE9" w14:textId="77777777" w:rsidR="0089207C" w:rsidRPr="00470E23" w:rsidRDefault="0089207C" w:rsidP="002D3EBF">
            <w:pPr>
              <w:rPr>
                <w:rFonts w:eastAsia="SimSun"/>
                <w:sz w:val="22"/>
              </w:rPr>
            </w:pPr>
            <w:r w:rsidRPr="00470E23">
              <w:rPr>
                <w:rFonts w:eastAsia="SimSun"/>
                <w:sz w:val="22"/>
              </w:rPr>
              <w:t>Ruxo</w:t>
            </w:r>
          </w:p>
        </w:tc>
        <w:tc>
          <w:tcPr>
            <w:tcW w:w="308" w:type="pct"/>
            <w:shd w:val="clear" w:color="auto" w:fill="D9D9D9"/>
            <w:vAlign w:val="center"/>
          </w:tcPr>
          <w:p w14:paraId="6887DB50" w14:textId="77777777" w:rsidR="0089207C" w:rsidRPr="00470E23" w:rsidRDefault="0089207C" w:rsidP="002D3EBF">
            <w:pPr>
              <w:rPr>
                <w:rFonts w:eastAsia="SimSun"/>
                <w:sz w:val="22"/>
              </w:rPr>
            </w:pPr>
            <w:r w:rsidRPr="00470E23">
              <w:rPr>
                <w:rFonts w:eastAsia="SimSun"/>
                <w:sz w:val="22"/>
              </w:rPr>
              <w:t>-</w:t>
            </w:r>
          </w:p>
        </w:tc>
        <w:tc>
          <w:tcPr>
            <w:tcW w:w="428" w:type="pct"/>
            <w:shd w:val="clear" w:color="auto" w:fill="D9D9D9"/>
            <w:vAlign w:val="center"/>
          </w:tcPr>
          <w:p w14:paraId="3EF58BD1" w14:textId="77777777" w:rsidR="0089207C" w:rsidRPr="00470E23" w:rsidRDefault="0089207C" w:rsidP="002D3EBF">
            <w:pPr>
              <w:rPr>
                <w:rFonts w:eastAsia="SimSun"/>
                <w:sz w:val="22"/>
              </w:rPr>
            </w:pPr>
            <w:r w:rsidRPr="00470E23">
              <w:rPr>
                <w:rFonts w:eastAsia="SimSun"/>
                <w:sz w:val="22"/>
              </w:rPr>
              <w:t>-</w:t>
            </w:r>
          </w:p>
        </w:tc>
        <w:tc>
          <w:tcPr>
            <w:tcW w:w="412" w:type="pct"/>
            <w:shd w:val="clear" w:color="auto" w:fill="auto"/>
            <w:vAlign w:val="center"/>
          </w:tcPr>
          <w:p w14:paraId="6D019F26" w14:textId="77777777" w:rsidR="0089207C" w:rsidRPr="00470E23" w:rsidRDefault="0089207C" w:rsidP="002D3EBF">
            <w:pPr>
              <w:rPr>
                <w:rFonts w:eastAsia="SimSun"/>
                <w:sz w:val="22"/>
              </w:rPr>
            </w:pPr>
          </w:p>
        </w:tc>
        <w:tc>
          <w:tcPr>
            <w:tcW w:w="361" w:type="pct"/>
            <w:tcBorders>
              <w:right w:val="single" w:sz="4" w:space="0" w:color="00000A"/>
            </w:tcBorders>
            <w:shd w:val="clear" w:color="auto" w:fill="auto"/>
            <w:vAlign w:val="center"/>
          </w:tcPr>
          <w:p w14:paraId="724366EB" w14:textId="77777777" w:rsidR="0089207C" w:rsidRPr="00470E23" w:rsidRDefault="0089207C" w:rsidP="002D3EBF">
            <w:pPr>
              <w:rPr>
                <w:rFonts w:eastAsia="SimSun"/>
                <w:sz w:val="22"/>
              </w:rPr>
            </w:pPr>
          </w:p>
        </w:tc>
        <w:tc>
          <w:tcPr>
            <w:tcW w:w="443" w:type="pct"/>
            <w:tcBorders>
              <w:left w:val="single" w:sz="4" w:space="0" w:color="00000A"/>
            </w:tcBorders>
            <w:shd w:val="clear" w:color="auto" w:fill="auto"/>
            <w:vAlign w:val="center"/>
          </w:tcPr>
          <w:p w14:paraId="1ED037CA" w14:textId="77777777" w:rsidR="0089207C" w:rsidRPr="00470E23" w:rsidRDefault="0089207C" w:rsidP="002D3EBF">
            <w:pPr>
              <w:rPr>
                <w:rFonts w:eastAsia="SimSun"/>
                <w:sz w:val="22"/>
              </w:rPr>
            </w:pPr>
          </w:p>
        </w:tc>
        <w:tc>
          <w:tcPr>
            <w:tcW w:w="430" w:type="pct"/>
            <w:tcBorders>
              <w:right w:val="single" w:sz="4" w:space="0" w:color="00000A"/>
            </w:tcBorders>
            <w:shd w:val="clear" w:color="auto" w:fill="auto"/>
            <w:vAlign w:val="center"/>
          </w:tcPr>
          <w:p w14:paraId="34F901F2" w14:textId="77777777" w:rsidR="0089207C" w:rsidRPr="00470E23" w:rsidRDefault="0089207C" w:rsidP="002D3EBF">
            <w:pPr>
              <w:rPr>
                <w:rFonts w:eastAsia="SimSun"/>
                <w:sz w:val="22"/>
              </w:rPr>
            </w:pPr>
          </w:p>
        </w:tc>
        <w:tc>
          <w:tcPr>
            <w:tcW w:w="316" w:type="pct"/>
            <w:tcBorders>
              <w:left w:val="single" w:sz="4" w:space="0" w:color="00000A"/>
            </w:tcBorders>
            <w:shd w:val="clear" w:color="auto" w:fill="auto"/>
            <w:vAlign w:val="center"/>
          </w:tcPr>
          <w:p w14:paraId="4FCC7848" w14:textId="77777777" w:rsidR="0089207C" w:rsidRPr="00470E23" w:rsidRDefault="0089207C" w:rsidP="002D3EBF">
            <w:pPr>
              <w:rPr>
                <w:rFonts w:eastAsia="SimSun"/>
                <w:sz w:val="22"/>
              </w:rPr>
            </w:pPr>
          </w:p>
        </w:tc>
        <w:tc>
          <w:tcPr>
            <w:tcW w:w="475" w:type="pct"/>
            <w:shd w:val="clear" w:color="auto" w:fill="auto"/>
            <w:vAlign w:val="center"/>
          </w:tcPr>
          <w:p w14:paraId="722F340D" w14:textId="77777777" w:rsidR="0089207C" w:rsidRPr="00470E23" w:rsidRDefault="0089207C" w:rsidP="002D3EBF">
            <w:pPr>
              <w:rPr>
                <w:rFonts w:eastAsia="SimSun"/>
                <w:sz w:val="22"/>
              </w:rPr>
            </w:pPr>
            <w:r w:rsidRPr="00470E23">
              <w:rPr>
                <w:rFonts w:eastAsia="SimSun"/>
                <w:sz w:val="22"/>
              </w:rPr>
              <w:t>5.2.2.14</w:t>
            </w:r>
          </w:p>
        </w:tc>
        <w:tc>
          <w:tcPr>
            <w:tcW w:w="382" w:type="pct"/>
            <w:shd w:val="clear" w:color="auto" w:fill="auto"/>
            <w:vAlign w:val="center"/>
          </w:tcPr>
          <w:p w14:paraId="17ECC505" w14:textId="77777777" w:rsidR="0089207C" w:rsidRPr="00470E23" w:rsidRDefault="0089207C" w:rsidP="002D3EBF">
            <w:pPr>
              <w:rPr>
                <w:rFonts w:eastAsia="SimSun"/>
                <w:sz w:val="22"/>
              </w:rPr>
            </w:pPr>
          </w:p>
        </w:tc>
        <w:tc>
          <w:tcPr>
            <w:tcW w:w="400" w:type="pct"/>
            <w:shd w:val="clear" w:color="auto" w:fill="auto"/>
            <w:vAlign w:val="center"/>
          </w:tcPr>
          <w:p w14:paraId="714F12AD" w14:textId="77777777" w:rsidR="0089207C" w:rsidRPr="00470E23" w:rsidRDefault="0089207C" w:rsidP="002D3EBF">
            <w:pPr>
              <w:rPr>
                <w:rFonts w:eastAsia="SimSun"/>
                <w:sz w:val="22"/>
              </w:rPr>
            </w:pPr>
          </w:p>
        </w:tc>
        <w:tc>
          <w:tcPr>
            <w:tcW w:w="394" w:type="pct"/>
            <w:vAlign w:val="center"/>
          </w:tcPr>
          <w:p w14:paraId="018C6A17" w14:textId="77777777" w:rsidR="0089207C" w:rsidRPr="00470E23" w:rsidRDefault="0089207C" w:rsidP="002D3EBF">
            <w:pPr>
              <w:rPr>
                <w:rFonts w:eastAsia="SimSun"/>
                <w:sz w:val="22"/>
              </w:rPr>
            </w:pPr>
          </w:p>
        </w:tc>
      </w:tr>
      <w:tr w:rsidR="0089207C" w:rsidRPr="00470E23" w14:paraId="6116FAEA" w14:textId="77777777" w:rsidTr="002D3EBF">
        <w:trPr>
          <w:cantSplit/>
          <w:trHeight w:val="606"/>
        </w:trPr>
        <w:tc>
          <w:tcPr>
            <w:tcW w:w="348" w:type="pct"/>
            <w:shd w:val="clear" w:color="auto" w:fill="D9D9D9"/>
            <w:vAlign w:val="center"/>
          </w:tcPr>
          <w:p w14:paraId="4F25CFBD" w14:textId="77777777" w:rsidR="0089207C" w:rsidRPr="00470E23" w:rsidRDefault="0089207C" w:rsidP="002D3EBF">
            <w:pPr>
              <w:rPr>
                <w:rFonts w:eastAsia="SimSun"/>
                <w:sz w:val="22"/>
              </w:rPr>
            </w:pPr>
            <w:r w:rsidRPr="00470E23">
              <w:rPr>
                <w:rFonts w:eastAsia="SimSun"/>
                <w:sz w:val="22"/>
              </w:rPr>
              <w:t>-</w:t>
            </w:r>
          </w:p>
        </w:tc>
        <w:tc>
          <w:tcPr>
            <w:tcW w:w="303" w:type="pct"/>
            <w:shd w:val="clear" w:color="auto" w:fill="D9D9D9"/>
            <w:vAlign w:val="center"/>
          </w:tcPr>
          <w:p w14:paraId="789F630E" w14:textId="77777777" w:rsidR="0089207C" w:rsidRPr="00470E23" w:rsidRDefault="0089207C" w:rsidP="002D3EBF">
            <w:pPr>
              <w:rPr>
                <w:rFonts w:eastAsia="SimSun"/>
                <w:sz w:val="22"/>
              </w:rPr>
            </w:pPr>
            <w:r w:rsidRPr="00470E23">
              <w:rPr>
                <w:rFonts w:eastAsia="SimSun"/>
                <w:sz w:val="22"/>
              </w:rPr>
              <w:t>Tx</w:t>
            </w:r>
          </w:p>
        </w:tc>
        <w:tc>
          <w:tcPr>
            <w:tcW w:w="308" w:type="pct"/>
            <w:shd w:val="clear" w:color="auto" w:fill="D9D9D9"/>
            <w:vAlign w:val="center"/>
          </w:tcPr>
          <w:p w14:paraId="15A7F611" w14:textId="77777777" w:rsidR="0089207C" w:rsidRPr="00470E23" w:rsidRDefault="0089207C" w:rsidP="002D3EBF">
            <w:pPr>
              <w:rPr>
                <w:rFonts w:eastAsia="SimSun"/>
                <w:sz w:val="22"/>
              </w:rPr>
            </w:pPr>
            <w:r w:rsidRPr="00470E23">
              <w:rPr>
                <w:rFonts w:eastAsia="SimSun"/>
                <w:sz w:val="22"/>
              </w:rPr>
              <w:t>-</w:t>
            </w:r>
          </w:p>
        </w:tc>
        <w:tc>
          <w:tcPr>
            <w:tcW w:w="428" w:type="pct"/>
            <w:shd w:val="clear" w:color="auto" w:fill="D9D9D9"/>
            <w:vAlign w:val="center"/>
          </w:tcPr>
          <w:p w14:paraId="6797A5E4" w14:textId="77777777" w:rsidR="0089207C" w:rsidRPr="00470E23" w:rsidRDefault="0089207C" w:rsidP="002D3EBF">
            <w:pPr>
              <w:rPr>
                <w:rFonts w:eastAsia="SimSun"/>
                <w:sz w:val="22"/>
              </w:rPr>
            </w:pPr>
            <w:r w:rsidRPr="00470E23">
              <w:rPr>
                <w:rFonts w:eastAsia="SimSun"/>
                <w:sz w:val="22"/>
              </w:rPr>
              <w:t>MMF30</w:t>
            </w:r>
          </w:p>
        </w:tc>
        <w:tc>
          <w:tcPr>
            <w:tcW w:w="412" w:type="pct"/>
            <w:shd w:val="clear" w:color="auto" w:fill="auto"/>
            <w:vAlign w:val="center"/>
          </w:tcPr>
          <w:p w14:paraId="3FC4131D" w14:textId="77777777" w:rsidR="0089207C" w:rsidRPr="00470E23" w:rsidRDefault="0089207C" w:rsidP="002D3EBF">
            <w:pPr>
              <w:rPr>
                <w:rFonts w:eastAsia="SimSun"/>
                <w:sz w:val="22"/>
              </w:rPr>
            </w:pPr>
          </w:p>
        </w:tc>
        <w:tc>
          <w:tcPr>
            <w:tcW w:w="361" w:type="pct"/>
            <w:tcBorders>
              <w:right w:val="single" w:sz="4" w:space="0" w:color="00000A"/>
            </w:tcBorders>
            <w:shd w:val="clear" w:color="auto" w:fill="auto"/>
            <w:vAlign w:val="center"/>
          </w:tcPr>
          <w:p w14:paraId="601E1FF7" w14:textId="77777777" w:rsidR="0089207C" w:rsidRPr="00470E23" w:rsidRDefault="0089207C" w:rsidP="002D3EBF">
            <w:pPr>
              <w:rPr>
                <w:rFonts w:eastAsia="SimSun"/>
                <w:sz w:val="22"/>
              </w:rPr>
            </w:pPr>
          </w:p>
        </w:tc>
        <w:tc>
          <w:tcPr>
            <w:tcW w:w="443" w:type="pct"/>
            <w:tcBorders>
              <w:left w:val="single" w:sz="4" w:space="0" w:color="00000A"/>
            </w:tcBorders>
            <w:shd w:val="clear" w:color="auto" w:fill="auto"/>
            <w:vAlign w:val="center"/>
          </w:tcPr>
          <w:p w14:paraId="7EBD3E2A" w14:textId="77777777" w:rsidR="0089207C" w:rsidRPr="00470E23" w:rsidRDefault="0089207C" w:rsidP="002D3EBF">
            <w:pPr>
              <w:rPr>
                <w:rFonts w:eastAsia="SimSun"/>
                <w:sz w:val="22"/>
              </w:rPr>
            </w:pPr>
          </w:p>
        </w:tc>
        <w:tc>
          <w:tcPr>
            <w:tcW w:w="430" w:type="pct"/>
            <w:tcBorders>
              <w:right w:val="single" w:sz="4" w:space="0" w:color="00000A"/>
            </w:tcBorders>
            <w:shd w:val="clear" w:color="auto" w:fill="auto"/>
            <w:vAlign w:val="center"/>
          </w:tcPr>
          <w:p w14:paraId="3D06BFA1" w14:textId="77777777" w:rsidR="0089207C" w:rsidRPr="00470E23" w:rsidRDefault="0089207C" w:rsidP="002D3EBF">
            <w:pPr>
              <w:rPr>
                <w:rFonts w:eastAsia="SimSun"/>
                <w:sz w:val="22"/>
              </w:rPr>
            </w:pPr>
            <w:r w:rsidRPr="00470E23">
              <w:rPr>
                <w:rFonts w:eastAsia="SimSun"/>
                <w:sz w:val="22"/>
              </w:rPr>
              <w:t>5.2.2.10</w:t>
            </w:r>
          </w:p>
        </w:tc>
        <w:tc>
          <w:tcPr>
            <w:tcW w:w="316" w:type="pct"/>
            <w:tcBorders>
              <w:left w:val="single" w:sz="4" w:space="0" w:color="00000A"/>
            </w:tcBorders>
            <w:shd w:val="clear" w:color="auto" w:fill="auto"/>
            <w:vAlign w:val="center"/>
          </w:tcPr>
          <w:p w14:paraId="46F24C65" w14:textId="77777777" w:rsidR="0089207C" w:rsidRPr="00470E23" w:rsidRDefault="0089207C" w:rsidP="002D3EBF">
            <w:pPr>
              <w:rPr>
                <w:rFonts w:eastAsia="SimSun"/>
                <w:sz w:val="22"/>
              </w:rPr>
            </w:pPr>
          </w:p>
        </w:tc>
        <w:tc>
          <w:tcPr>
            <w:tcW w:w="475" w:type="pct"/>
            <w:shd w:val="clear" w:color="auto" w:fill="auto"/>
            <w:vAlign w:val="center"/>
          </w:tcPr>
          <w:p w14:paraId="58698E6A" w14:textId="77777777" w:rsidR="0089207C" w:rsidRPr="00470E23" w:rsidRDefault="0089207C" w:rsidP="002D3EBF">
            <w:pPr>
              <w:rPr>
                <w:rFonts w:eastAsia="SimSun"/>
                <w:sz w:val="22"/>
              </w:rPr>
            </w:pPr>
            <w:r w:rsidRPr="00470E23">
              <w:rPr>
                <w:rFonts w:eastAsia="SimSun"/>
                <w:sz w:val="22"/>
              </w:rPr>
              <w:t>5.2.2</w:t>
            </w:r>
          </w:p>
        </w:tc>
        <w:tc>
          <w:tcPr>
            <w:tcW w:w="382" w:type="pct"/>
            <w:shd w:val="clear" w:color="auto" w:fill="auto"/>
            <w:vAlign w:val="center"/>
          </w:tcPr>
          <w:p w14:paraId="64895C89" w14:textId="77777777" w:rsidR="0089207C" w:rsidRPr="00470E23" w:rsidRDefault="0089207C" w:rsidP="002D3EBF">
            <w:pPr>
              <w:rPr>
                <w:rFonts w:eastAsia="SimSun"/>
                <w:sz w:val="22"/>
              </w:rPr>
            </w:pPr>
          </w:p>
        </w:tc>
        <w:tc>
          <w:tcPr>
            <w:tcW w:w="400" w:type="pct"/>
            <w:shd w:val="clear" w:color="auto" w:fill="auto"/>
            <w:vAlign w:val="center"/>
          </w:tcPr>
          <w:p w14:paraId="04AFE06B" w14:textId="77777777" w:rsidR="0089207C" w:rsidRPr="00470E23" w:rsidRDefault="0089207C" w:rsidP="002D3EBF">
            <w:pPr>
              <w:rPr>
                <w:rFonts w:eastAsia="SimSun"/>
                <w:sz w:val="22"/>
              </w:rPr>
            </w:pPr>
          </w:p>
        </w:tc>
        <w:tc>
          <w:tcPr>
            <w:tcW w:w="394" w:type="pct"/>
            <w:vAlign w:val="center"/>
          </w:tcPr>
          <w:p w14:paraId="6A412AE1" w14:textId="77777777" w:rsidR="0089207C" w:rsidRPr="00470E23" w:rsidRDefault="0089207C" w:rsidP="002D3EBF">
            <w:pPr>
              <w:rPr>
                <w:rFonts w:eastAsia="SimSun"/>
                <w:sz w:val="22"/>
              </w:rPr>
            </w:pPr>
          </w:p>
        </w:tc>
      </w:tr>
    </w:tbl>
    <w:p w14:paraId="49A4C28B" w14:textId="77777777" w:rsidR="0089207C" w:rsidRPr="00C07B2E" w:rsidRDefault="0089207C" w:rsidP="0089207C">
      <w:pPr>
        <w:rPr>
          <w:rFonts w:eastAsia="SimSun"/>
        </w:rPr>
      </w:pPr>
    </w:p>
    <w:p w14:paraId="50C818AD" w14:textId="77777777" w:rsidR="0089207C" w:rsidRPr="00C07B2E" w:rsidRDefault="0089207C" w:rsidP="0089207C">
      <w:pPr>
        <w:rPr>
          <w:rFonts w:eastAsia="SimSun"/>
        </w:rPr>
        <w:sectPr w:rsidR="0089207C" w:rsidRPr="00C07B2E" w:rsidSect="00980822">
          <w:type w:val="continuous"/>
          <w:pgSz w:w="16839" w:h="11907" w:orient="landscape" w:code="9"/>
          <w:pgMar w:top="1134" w:right="850" w:bottom="1134" w:left="1701" w:header="709" w:footer="567" w:gutter="0"/>
          <w:cols w:space="708"/>
          <w:docGrid w:linePitch="360"/>
        </w:sectPr>
      </w:pPr>
    </w:p>
    <w:p w14:paraId="276777F2" w14:textId="77777777" w:rsidR="0089207C" w:rsidRPr="00C07B2E" w:rsidRDefault="0089207C" w:rsidP="0089207C">
      <w:pPr>
        <w:rPr>
          <w:rFonts w:eastAsia="SimSun"/>
        </w:rPr>
      </w:pPr>
      <w:bookmarkStart w:id="247" w:name="_Toc44401201"/>
      <w:r w:rsidRPr="00042499">
        <w:rPr>
          <w:rFonts w:eastAsia="SimSun"/>
        </w:rPr>
        <w:t>Таблица</w:t>
      </w:r>
      <w:r w:rsidRPr="00C07B2E">
        <w:rPr>
          <w:rFonts w:eastAsia="SimSun"/>
        </w:rPr>
        <w:t xml:space="preserve"> </w:t>
      </w:r>
      <w:r>
        <w:rPr>
          <w:rFonts w:eastAsia="SimSun"/>
        </w:rPr>
        <w:t>5.</w:t>
      </w:r>
      <w:r w:rsidRPr="00C07B2E">
        <w:rPr>
          <w:rFonts w:eastAsia="SimSun"/>
        </w:rPr>
        <w:t>2.2.1  – Flu150+Bu8+Thio / hATG+ CSA+MTX+MMF45</w:t>
      </w:r>
      <w:bookmarkEnd w:id="247"/>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418"/>
        <w:gridCol w:w="1701"/>
        <w:gridCol w:w="2268"/>
      </w:tblGrid>
      <w:tr w:rsidR="0089207C" w:rsidRPr="00AC3044" w14:paraId="184980A8" w14:textId="77777777" w:rsidTr="002D3EBF">
        <w:trPr>
          <w:cantSplit/>
          <w:trHeight w:val="20"/>
          <w:tblHeader/>
        </w:trPr>
        <w:tc>
          <w:tcPr>
            <w:tcW w:w="993" w:type="dxa"/>
            <w:vAlign w:val="center"/>
          </w:tcPr>
          <w:p w14:paraId="47714340" w14:textId="77777777" w:rsidR="0089207C" w:rsidRPr="00470D3D" w:rsidRDefault="0089207C" w:rsidP="002D3EBF">
            <w:pPr>
              <w:rPr>
                <w:rFonts w:eastAsia="SimSun"/>
              </w:rPr>
            </w:pPr>
          </w:p>
        </w:tc>
        <w:tc>
          <w:tcPr>
            <w:tcW w:w="1701" w:type="dxa"/>
            <w:vAlign w:val="center"/>
          </w:tcPr>
          <w:p w14:paraId="5F2DBAE6" w14:textId="77777777" w:rsidR="0089207C" w:rsidRPr="00AC3044" w:rsidRDefault="0089207C" w:rsidP="002D3EBF">
            <w:pPr>
              <w:rPr>
                <w:rFonts w:eastAsia="SimSun"/>
              </w:rPr>
            </w:pPr>
            <w:r w:rsidRPr="00AC3044">
              <w:rPr>
                <w:rFonts w:eastAsia="SimSun"/>
              </w:rPr>
              <w:t>Препарат</w:t>
            </w:r>
          </w:p>
        </w:tc>
        <w:tc>
          <w:tcPr>
            <w:tcW w:w="1559" w:type="dxa"/>
            <w:vAlign w:val="center"/>
          </w:tcPr>
          <w:p w14:paraId="786802C9" w14:textId="77777777" w:rsidR="0089207C" w:rsidRPr="00AC3044" w:rsidRDefault="0089207C" w:rsidP="002D3EBF">
            <w:pPr>
              <w:rPr>
                <w:rFonts w:eastAsia="SimSun"/>
              </w:rPr>
            </w:pPr>
            <w:r w:rsidRPr="00AC3044">
              <w:rPr>
                <w:rFonts w:eastAsia="SimSun"/>
              </w:rPr>
              <w:t>Суточная доза</w:t>
            </w:r>
          </w:p>
        </w:tc>
        <w:tc>
          <w:tcPr>
            <w:tcW w:w="1418" w:type="dxa"/>
            <w:vAlign w:val="center"/>
          </w:tcPr>
          <w:p w14:paraId="493FD52D" w14:textId="77777777" w:rsidR="0089207C" w:rsidRPr="00AC3044" w:rsidRDefault="0089207C" w:rsidP="002D3EBF">
            <w:pPr>
              <w:rPr>
                <w:rFonts w:eastAsia="SimSun"/>
              </w:rPr>
            </w:pPr>
            <w:r w:rsidRPr="00AC3044">
              <w:rPr>
                <w:rFonts w:eastAsia="SimSun"/>
              </w:rPr>
              <w:t>Курсовая доза</w:t>
            </w:r>
          </w:p>
        </w:tc>
        <w:tc>
          <w:tcPr>
            <w:tcW w:w="1701" w:type="dxa"/>
            <w:vAlign w:val="center"/>
          </w:tcPr>
          <w:p w14:paraId="30E1F870"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6804B967"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1AE9442E" w14:textId="77777777" w:rsidTr="002D3EBF">
        <w:trPr>
          <w:cantSplit/>
          <w:trHeight w:val="20"/>
        </w:trPr>
        <w:tc>
          <w:tcPr>
            <w:tcW w:w="993" w:type="dxa"/>
            <w:vMerge w:val="restart"/>
            <w:textDirection w:val="btLr"/>
            <w:vAlign w:val="center"/>
          </w:tcPr>
          <w:p w14:paraId="56D97782" w14:textId="77777777" w:rsidR="0089207C" w:rsidRPr="00AC3044" w:rsidRDefault="0089207C" w:rsidP="002D3EBF">
            <w:pPr>
              <w:rPr>
                <w:rFonts w:eastAsia="SimSun"/>
              </w:rPr>
            </w:pPr>
            <w:r w:rsidRPr="00AC3044">
              <w:rPr>
                <w:rFonts w:eastAsia="SimSun"/>
              </w:rPr>
              <w:t>Кондиционирование</w:t>
            </w:r>
          </w:p>
        </w:tc>
        <w:tc>
          <w:tcPr>
            <w:tcW w:w="1701" w:type="dxa"/>
            <w:vAlign w:val="center"/>
          </w:tcPr>
          <w:p w14:paraId="6FCAA531" w14:textId="77777777" w:rsidR="0089207C" w:rsidRPr="00AC3044" w:rsidRDefault="0089207C" w:rsidP="002D3EBF">
            <w:pPr>
              <w:rPr>
                <w:rFonts w:eastAsia="SimSun"/>
              </w:rPr>
            </w:pPr>
            <w:r w:rsidRPr="00AC3044">
              <w:rPr>
                <w:rFonts w:eastAsia="SimSun"/>
              </w:rPr>
              <w:t xml:space="preserve">Флударабин </w:t>
            </w:r>
          </w:p>
        </w:tc>
        <w:tc>
          <w:tcPr>
            <w:tcW w:w="1559" w:type="dxa"/>
            <w:vAlign w:val="center"/>
          </w:tcPr>
          <w:p w14:paraId="4C304961" w14:textId="77777777" w:rsidR="0089207C" w:rsidRPr="00AC3044" w:rsidRDefault="0089207C" w:rsidP="002D3EBF">
            <w:pPr>
              <w:rPr>
                <w:rFonts w:eastAsia="SimSun"/>
              </w:rPr>
            </w:pPr>
            <w:r w:rsidRPr="00AC3044">
              <w:rPr>
                <w:rFonts w:eastAsia="SimSun"/>
              </w:rPr>
              <w:t>50 мг/м</w:t>
            </w:r>
            <w:r w:rsidRPr="00DB259E">
              <w:rPr>
                <w:rFonts w:eastAsia="SimSun"/>
                <w:vertAlign w:val="superscript"/>
              </w:rPr>
              <w:t>2</w:t>
            </w:r>
          </w:p>
        </w:tc>
        <w:tc>
          <w:tcPr>
            <w:tcW w:w="1418" w:type="dxa"/>
            <w:vAlign w:val="center"/>
          </w:tcPr>
          <w:p w14:paraId="737BDC63" w14:textId="77777777" w:rsidR="0089207C" w:rsidRPr="00AC3044" w:rsidRDefault="0089207C" w:rsidP="002D3EBF">
            <w:pPr>
              <w:rPr>
                <w:rFonts w:eastAsia="SimSun"/>
              </w:rPr>
            </w:pPr>
            <w:r w:rsidRPr="00AC3044">
              <w:rPr>
                <w:rFonts w:eastAsia="SimSun"/>
              </w:rPr>
              <w:t>150 мг/м</w:t>
            </w:r>
            <w:r w:rsidRPr="00DB259E">
              <w:rPr>
                <w:rFonts w:eastAsia="SimSun"/>
                <w:vertAlign w:val="superscript"/>
              </w:rPr>
              <w:t>2</w:t>
            </w:r>
          </w:p>
        </w:tc>
        <w:tc>
          <w:tcPr>
            <w:tcW w:w="1701" w:type="dxa"/>
            <w:vAlign w:val="center"/>
          </w:tcPr>
          <w:p w14:paraId="71C2AD1C" w14:textId="77777777" w:rsidR="0089207C" w:rsidRPr="00AC3044" w:rsidRDefault="0089207C" w:rsidP="002D3EBF">
            <w:pPr>
              <w:rPr>
                <w:rFonts w:eastAsia="SimSun"/>
              </w:rPr>
            </w:pPr>
            <w:r w:rsidRPr="00AC3044">
              <w:rPr>
                <w:rFonts w:eastAsia="SimSun"/>
              </w:rPr>
              <w:t>С –4 по –2 день</w:t>
            </w:r>
          </w:p>
        </w:tc>
        <w:tc>
          <w:tcPr>
            <w:tcW w:w="2268" w:type="dxa"/>
            <w:vAlign w:val="center"/>
          </w:tcPr>
          <w:p w14:paraId="547801C8"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7FF0310C" w14:textId="77777777" w:rsidTr="002D3EBF">
        <w:trPr>
          <w:cantSplit/>
          <w:trHeight w:val="20"/>
        </w:trPr>
        <w:tc>
          <w:tcPr>
            <w:tcW w:w="993" w:type="dxa"/>
            <w:vMerge/>
            <w:textDirection w:val="btLr"/>
            <w:vAlign w:val="center"/>
          </w:tcPr>
          <w:p w14:paraId="01E9491E" w14:textId="77777777" w:rsidR="0089207C" w:rsidRPr="00AC3044" w:rsidRDefault="0089207C" w:rsidP="002D3EBF">
            <w:pPr>
              <w:rPr>
                <w:rFonts w:eastAsia="SimSun"/>
              </w:rPr>
            </w:pPr>
          </w:p>
        </w:tc>
        <w:tc>
          <w:tcPr>
            <w:tcW w:w="1701" w:type="dxa"/>
            <w:vAlign w:val="center"/>
          </w:tcPr>
          <w:p w14:paraId="6DA6C469" w14:textId="77777777" w:rsidR="0089207C" w:rsidRPr="00AC3044" w:rsidRDefault="0089207C" w:rsidP="002D3EBF">
            <w:pPr>
              <w:rPr>
                <w:rFonts w:eastAsia="SimSun"/>
              </w:rPr>
            </w:pPr>
            <w:r w:rsidRPr="00AC3044">
              <w:rPr>
                <w:rFonts w:eastAsia="SimSun"/>
              </w:rPr>
              <w:t>Бусульфан</w:t>
            </w:r>
          </w:p>
        </w:tc>
        <w:tc>
          <w:tcPr>
            <w:tcW w:w="1559" w:type="dxa"/>
            <w:vAlign w:val="center"/>
          </w:tcPr>
          <w:p w14:paraId="31C9D90C" w14:textId="77777777" w:rsidR="0089207C" w:rsidRPr="00AC3044" w:rsidRDefault="0089207C" w:rsidP="002D3EBF">
            <w:pPr>
              <w:rPr>
                <w:rFonts w:eastAsia="SimSun"/>
              </w:rPr>
            </w:pPr>
            <w:r w:rsidRPr="00AC3044">
              <w:rPr>
                <w:rFonts w:eastAsia="SimSun"/>
              </w:rPr>
              <w:t>4 мг/кг</w:t>
            </w:r>
          </w:p>
        </w:tc>
        <w:tc>
          <w:tcPr>
            <w:tcW w:w="1418" w:type="dxa"/>
            <w:vAlign w:val="center"/>
          </w:tcPr>
          <w:p w14:paraId="2798774E" w14:textId="77777777" w:rsidR="0089207C" w:rsidRPr="00AC3044" w:rsidRDefault="0089207C" w:rsidP="002D3EBF">
            <w:pPr>
              <w:rPr>
                <w:rFonts w:eastAsia="SimSun"/>
              </w:rPr>
            </w:pPr>
            <w:r w:rsidRPr="00AC3044">
              <w:rPr>
                <w:rFonts w:eastAsia="SimSun"/>
              </w:rPr>
              <w:t>8 мг/кг</w:t>
            </w:r>
          </w:p>
        </w:tc>
        <w:tc>
          <w:tcPr>
            <w:tcW w:w="1701" w:type="dxa"/>
            <w:vAlign w:val="center"/>
          </w:tcPr>
          <w:p w14:paraId="1F25ABED" w14:textId="77777777" w:rsidR="0089207C" w:rsidRPr="00AC3044" w:rsidRDefault="0089207C" w:rsidP="002D3EBF">
            <w:pPr>
              <w:rPr>
                <w:rFonts w:eastAsia="SimSun"/>
              </w:rPr>
            </w:pPr>
            <w:r w:rsidRPr="00AC3044">
              <w:rPr>
                <w:rFonts w:eastAsia="SimSun"/>
              </w:rPr>
              <w:t>–3, –2 дни</w:t>
            </w:r>
          </w:p>
        </w:tc>
        <w:tc>
          <w:tcPr>
            <w:tcW w:w="2268" w:type="dxa"/>
            <w:vAlign w:val="center"/>
          </w:tcPr>
          <w:p w14:paraId="03416C9B"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w:t>
            </w:r>
          </w:p>
        </w:tc>
      </w:tr>
      <w:tr w:rsidR="0089207C" w:rsidRPr="00AC3044" w14:paraId="4EA12374" w14:textId="77777777" w:rsidTr="002D3EBF">
        <w:trPr>
          <w:cantSplit/>
          <w:trHeight w:val="20"/>
        </w:trPr>
        <w:tc>
          <w:tcPr>
            <w:tcW w:w="993" w:type="dxa"/>
            <w:vMerge/>
            <w:textDirection w:val="btLr"/>
            <w:vAlign w:val="center"/>
          </w:tcPr>
          <w:p w14:paraId="3C96A926" w14:textId="77777777" w:rsidR="0089207C" w:rsidRPr="00AC3044" w:rsidRDefault="0089207C" w:rsidP="002D3EBF">
            <w:pPr>
              <w:rPr>
                <w:rFonts w:eastAsia="SimSun"/>
              </w:rPr>
            </w:pPr>
          </w:p>
        </w:tc>
        <w:tc>
          <w:tcPr>
            <w:tcW w:w="1701" w:type="dxa"/>
            <w:vAlign w:val="center"/>
          </w:tcPr>
          <w:p w14:paraId="7AE3F716" w14:textId="77777777" w:rsidR="0089207C" w:rsidRPr="00AC3044" w:rsidRDefault="0089207C" w:rsidP="002D3EBF">
            <w:pPr>
              <w:rPr>
                <w:rFonts w:eastAsia="SimSun"/>
              </w:rPr>
            </w:pPr>
            <w:r w:rsidRPr="00AC3044">
              <w:rPr>
                <w:rFonts w:eastAsia="SimSun"/>
              </w:rPr>
              <w:t>Тиотепа</w:t>
            </w:r>
          </w:p>
        </w:tc>
        <w:tc>
          <w:tcPr>
            <w:tcW w:w="1559" w:type="dxa"/>
            <w:vAlign w:val="center"/>
          </w:tcPr>
          <w:p w14:paraId="168AF07E" w14:textId="77777777" w:rsidR="0089207C" w:rsidRPr="00AC3044" w:rsidRDefault="0089207C" w:rsidP="002D3EBF">
            <w:pPr>
              <w:rPr>
                <w:rFonts w:eastAsia="SimSun"/>
              </w:rPr>
            </w:pPr>
            <w:r w:rsidRPr="00AC3044">
              <w:rPr>
                <w:rFonts w:eastAsia="SimSun"/>
              </w:rPr>
              <w:t>5 мг/кг</w:t>
            </w:r>
          </w:p>
        </w:tc>
        <w:tc>
          <w:tcPr>
            <w:tcW w:w="1418" w:type="dxa"/>
            <w:vAlign w:val="center"/>
          </w:tcPr>
          <w:p w14:paraId="6B38E205" w14:textId="77777777" w:rsidR="0089207C" w:rsidRPr="00AC3044" w:rsidRDefault="0089207C" w:rsidP="002D3EBF">
            <w:pPr>
              <w:rPr>
                <w:rFonts w:eastAsia="SimSun"/>
              </w:rPr>
            </w:pPr>
            <w:r w:rsidRPr="00AC3044">
              <w:rPr>
                <w:rFonts w:eastAsia="SimSun"/>
              </w:rPr>
              <w:t>10 мг/кг</w:t>
            </w:r>
          </w:p>
        </w:tc>
        <w:tc>
          <w:tcPr>
            <w:tcW w:w="1701" w:type="dxa"/>
            <w:vAlign w:val="center"/>
          </w:tcPr>
          <w:p w14:paraId="0043C844" w14:textId="77777777" w:rsidR="0089207C" w:rsidRPr="00AC3044" w:rsidRDefault="0089207C" w:rsidP="002D3EBF">
            <w:pPr>
              <w:rPr>
                <w:rFonts w:eastAsia="SimSun"/>
              </w:rPr>
            </w:pPr>
            <w:r w:rsidRPr="00AC3044">
              <w:rPr>
                <w:rFonts w:eastAsia="SimSun"/>
              </w:rPr>
              <w:t>–6, –5 дни</w:t>
            </w:r>
          </w:p>
        </w:tc>
        <w:tc>
          <w:tcPr>
            <w:tcW w:w="2268" w:type="dxa"/>
            <w:vAlign w:val="center"/>
          </w:tcPr>
          <w:p w14:paraId="4366824A"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65775DB2" w14:textId="77777777" w:rsidTr="002D3EBF">
        <w:trPr>
          <w:cantSplit/>
          <w:trHeight w:val="20"/>
        </w:trPr>
        <w:tc>
          <w:tcPr>
            <w:tcW w:w="993" w:type="dxa"/>
            <w:vMerge w:val="restart"/>
            <w:textDirection w:val="btLr"/>
            <w:vAlign w:val="center"/>
          </w:tcPr>
          <w:p w14:paraId="16DA07D0" w14:textId="77777777" w:rsidR="0089207C" w:rsidRPr="00AC3044" w:rsidRDefault="0089207C" w:rsidP="002D3EBF">
            <w:pPr>
              <w:rPr>
                <w:rFonts w:eastAsia="SimSun"/>
              </w:rPr>
            </w:pPr>
            <w:r w:rsidRPr="00AC3044">
              <w:rPr>
                <w:rFonts w:eastAsia="SimSun"/>
              </w:rPr>
              <w:t>Профилактика РТПХ</w:t>
            </w:r>
          </w:p>
        </w:tc>
        <w:tc>
          <w:tcPr>
            <w:tcW w:w="1701" w:type="dxa"/>
            <w:vAlign w:val="center"/>
          </w:tcPr>
          <w:p w14:paraId="456A74E7" w14:textId="77777777" w:rsidR="0089207C" w:rsidRPr="00AC3044" w:rsidRDefault="0089207C" w:rsidP="002D3EBF">
            <w:pPr>
              <w:rPr>
                <w:rFonts w:eastAsia="SimSun"/>
              </w:rPr>
            </w:pPr>
            <w:r w:rsidRPr="00AC3044">
              <w:rPr>
                <w:rFonts w:eastAsia="SimSun"/>
              </w:rPr>
              <w:t>АТГ (лошадиный)</w:t>
            </w:r>
          </w:p>
        </w:tc>
        <w:tc>
          <w:tcPr>
            <w:tcW w:w="1559" w:type="dxa"/>
            <w:vAlign w:val="center"/>
          </w:tcPr>
          <w:p w14:paraId="2013A08E" w14:textId="77777777" w:rsidR="0089207C" w:rsidRPr="00AC3044" w:rsidRDefault="0089207C" w:rsidP="002D3EBF">
            <w:pPr>
              <w:rPr>
                <w:rFonts w:eastAsia="SimSun"/>
              </w:rPr>
            </w:pPr>
            <w:r w:rsidRPr="00AC3044">
              <w:rPr>
                <w:rFonts w:eastAsia="SimSun"/>
              </w:rPr>
              <w:t>10-15 мг/кг</w:t>
            </w:r>
          </w:p>
        </w:tc>
        <w:tc>
          <w:tcPr>
            <w:tcW w:w="1418" w:type="dxa"/>
            <w:vAlign w:val="center"/>
          </w:tcPr>
          <w:p w14:paraId="2C032AE0" w14:textId="77777777" w:rsidR="0089207C" w:rsidRPr="00AC3044" w:rsidRDefault="0089207C" w:rsidP="002D3EBF">
            <w:pPr>
              <w:rPr>
                <w:rFonts w:eastAsia="SimSun"/>
              </w:rPr>
            </w:pPr>
            <w:r w:rsidRPr="00AC3044">
              <w:rPr>
                <w:rFonts w:eastAsia="SimSun"/>
              </w:rPr>
              <w:t>40-60 мг/кг</w:t>
            </w:r>
          </w:p>
        </w:tc>
        <w:tc>
          <w:tcPr>
            <w:tcW w:w="1701" w:type="dxa"/>
            <w:vAlign w:val="center"/>
          </w:tcPr>
          <w:p w14:paraId="10908B33" w14:textId="77777777" w:rsidR="0089207C" w:rsidRPr="00AC3044" w:rsidRDefault="0089207C" w:rsidP="002D3EBF">
            <w:pPr>
              <w:rPr>
                <w:rFonts w:eastAsia="SimSun"/>
              </w:rPr>
            </w:pPr>
            <w:r w:rsidRPr="00AC3044">
              <w:rPr>
                <w:rFonts w:eastAsia="SimSun"/>
              </w:rPr>
              <w:t>С –4 по –1 день</w:t>
            </w:r>
          </w:p>
        </w:tc>
        <w:tc>
          <w:tcPr>
            <w:tcW w:w="2268" w:type="dxa"/>
            <w:vAlign w:val="center"/>
          </w:tcPr>
          <w:p w14:paraId="1438E35F" w14:textId="77777777" w:rsidR="0089207C" w:rsidRPr="00AC3044" w:rsidRDefault="0089207C" w:rsidP="002D3EBF">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89207C" w:rsidRPr="00AC3044" w14:paraId="2D6BF0B2" w14:textId="77777777" w:rsidTr="002D3EBF">
        <w:trPr>
          <w:cantSplit/>
          <w:trHeight w:val="20"/>
        </w:trPr>
        <w:tc>
          <w:tcPr>
            <w:tcW w:w="993" w:type="dxa"/>
            <w:vMerge/>
            <w:textDirection w:val="btLr"/>
          </w:tcPr>
          <w:p w14:paraId="2F52599F" w14:textId="77777777" w:rsidR="0089207C" w:rsidRPr="00AC3044" w:rsidRDefault="0089207C" w:rsidP="002D3EBF">
            <w:pPr>
              <w:rPr>
                <w:rFonts w:eastAsia="SimSun"/>
              </w:rPr>
            </w:pPr>
          </w:p>
        </w:tc>
        <w:tc>
          <w:tcPr>
            <w:tcW w:w="1701" w:type="dxa"/>
            <w:vAlign w:val="center"/>
          </w:tcPr>
          <w:p w14:paraId="0544E814" w14:textId="77777777" w:rsidR="0089207C" w:rsidRPr="00AC3044" w:rsidRDefault="0089207C" w:rsidP="002D3EBF">
            <w:pPr>
              <w:rPr>
                <w:rFonts w:eastAsia="SimSun"/>
              </w:rPr>
            </w:pPr>
            <w:r w:rsidRPr="00AC3044">
              <w:rPr>
                <w:rFonts w:eastAsia="SimSun"/>
              </w:rPr>
              <w:t>Циклоспорин</w:t>
            </w:r>
          </w:p>
        </w:tc>
        <w:tc>
          <w:tcPr>
            <w:tcW w:w="1559" w:type="dxa"/>
            <w:vAlign w:val="center"/>
          </w:tcPr>
          <w:p w14:paraId="3F880D66" w14:textId="77777777" w:rsidR="0089207C" w:rsidRPr="00AC3044" w:rsidRDefault="0089207C" w:rsidP="002D3EBF">
            <w:pPr>
              <w:rPr>
                <w:rFonts w:eastAsia="SimSun"/>
              </w:rPr>
            </w:pPr>
            <w:r w:rsidRPr="00AC3044">
              <w:rPr>
                <w:rFonts w:eastAsia="SimSun"/>
              </w:rPr>
              <w:t>3 мг/кг</w:t>
            </w:r>
          </w:p>
        </w:tc>
        <w:tc>
          <w:tcPr>
            <w:tcW w:w="1418" w:type="dxa"/>
            <w:vAlign w:val="center"/>
          </w:tcPr>
          <w:p w14:paraId="6176DC7E" w14:textId="77777777" w:rsidR="0089207C" w:rsidRPr="00AC3044" w:rsidRDefault="0089207C" w:rsidP="002D3EBF">
            <w:pPr>
              <w:rPr>
                <w:rFonts w:eastAsia="SimSun"/>
              </w:rPr>
            </w:pPr>
            <w:r w:rsidRPr="00AC3044">
              <w:rPr>
                <w:rFonts w:eastAsia="SimSun"/>
              </w:rPr>
              <w:t>–</w:t>
            </w:r>
          </w:p>
        </w:tc>
        <w:tc>
          <w:tcPr>
            <w:tcW w:w="1701" w:type="dxa"/>
            <w:vAlign w:val="center"/>
          </w:tcPr>
          <w:p w14:paraId="27F5B0D5" w14:textId="77777777" w:rsidR="0089207C" w:rsidRPr="00AC3044" w:rsidRDefault="0089207C" w:rsidP="002D3EBF">
            <w:pPr>
              <w:rPr>
                <w:rFonts w:eastAsia="SimSun"/>
              </w:rPr>
            </w:pPr>
            <w:r w:rsidRPr="00AC3044">
              <w:rPr>
                <w:rFonts w:eastAsia="SimSun"/>
              </w:rPr>
              <w:t>С –1 по +90 день, затем постепенное снижение к +180 дню</w:t>
            </w:r>
          </w:p>
        </w:tc>
        <w:tc>
          <w:tcPr>
            <w:tcW w:w="2268" w:type="dxa"/>
            <w:vAlign w:val="center"/>
          </w:tcPr>
          <w:p w14:paraId="178D93CD" w14:textId="77777777" w:rsidR="0089207C" w:rsidRPr="00AC3044" w:rsidRDefault="0089207C" w:rsidP="002D3EBF">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 xml:space="preserve">х </w:t>
            </w:r>
            <w:r w:rsidRPr="00AC3044">
              <w:rPr>
                <w:rFonts w:eastAsia="SimSun"/>
              </w:rPr>
              <w:t>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9207C" w:rsidRPr="00AC3044" w14:paraId="25B382C2" w14:textId="77777777" w:rsidTr="002D3EBF">
        <w:trPr>
          <w:cantSplit/>
          <w:trHeight w:val="20"/>
        </w:trPr>
        <w:tc>
          <w:tcPr>
            <w:tcW w:w="993" w:type="dxa"/>
            <w:vMerge/>
          </w:tcPr>
          <w:p w14:paraId="20FDB29C" w14:textId="77777777" w:rsidR="0089207C" w:rsidRPr="00AC3044" w:rsidRDefault="0089207C" w:rsidP="002D3EBF">
            <w:pPr>
              <w:rPr>
                <w:rFonts w:eastAsia="SimSun"/>
              </w:rPr>
            </w:pPr>
          </w:p>
        </w:tc>
        <w:tc>
          <w:tcPr>
            <w:tcW w:w="1701" w:type="dxa"/>
            <w:vMerge w:val="restart"/>
            <w:vAlign w:val="center"/>
          </w:tcPr>
          <w:p w14:paraId="3FB9CB43" w14:textId="77777777" w:rsidR="0089207C" w:rsidRPr="00AC3044" w:rsidRDefault="0089207C" w:rsidP="002D3EBF">
            <w:pPr>
              <w:rPr>
                <w:rFonts w:eastAsia="SimSun"/>
              </w:rPr>
            </w:pPr>
            <w:r w:rsidRPr="00AC3044">
              <w:rPr>
                <w:rFonts w:eastAsia="SimSun"/>
              </w:rPr>
              <w:t>Метотрексат</w:t>
            </w:r>
          </w:p>
        </w:tc>
        <w:tc>
          <w:tcPr>
            <w:tcW w:w="1559" w:type="dxa"/>
            <w:vAlign w:val="center"/>
          </w:tcPr>
          <w:p w14:paraId="55B792D8" w14:textId="77777777" w:rsidR="0089207C" w:rsidRPr="00AC3044" w:rsidRDefault="0089207C" w:rsidP="002D3EBF">
            <w:pPr>
              <w:rPr>
                <w:rFonts w:eastAsia="SimSun"/>
              </w:rPr>
            </w:pPr>
            <w:r w:rsidRPr="00AC3044">
              <w:rPr>
                <w:rFonts w:eastAsia="SimSun"/>
              </w:rPr>
              <w:t>15 мг/м</w:t>
            </w:r>
            <w:r w:rsidRPr="00DB259E">
              <w:rPr>
                <w:rFonts w:eastAsia="SimSun"/>
                <w:vertAlign w:val="superscript"/>
              </w:rPr>
              <w:t>2</w:t>
            </w:r>
          </w:p>
        </w:tc>
        <w:tc>
          <w:tcPr>
            <w:tcW w:w="1418" w:type="dxa"/>
            <w:vAlign w:val="center"/>
          </w:tcPr>
          <w:p w14:paraId="7E894993" w14:textId="77777777" w:rsidR="0089207C" w:rsidRPr="00AC3044" w:rsidRDefault="0089207C" w:rsidP="002D3EBF">
            <w:pPr>
              <w:rPr>
                <w:rFonts w:eastAsia="SimSun"/>
              </w:rPr>
            </w:pPr>
            <w:r w:rsidRPr="00AC3044">
              <w:rPr>
                <w:rFonts w:eastAsia="SimSun"/>
              </w:rPr>
              <w:t>–</w:t>
            </w:r>
          </w:p>
        </w:tc>
        <w:tc>
          <w:tcPr>
            <w:tcW w:w="1701" w:type="dxa"/>
            <w:vAlign w:val="center"/>
          </w:tcPr>
          <w:p w14:paraId="73D875D3" w14:textId="77777777" w:rsidR="0089207C" w:rsidRPr="00AC3044" w:rsidRDefault="0089207C" w:rsidP="002D3EBF">
            <w:pPr>
              <w:rPr>
                <w:rFonts w:eastAsia="SimSun"/>
              </w:rPr>
            </w:pPr>
            <w:r w:rsidRPr="00AC3044">
              <w:rPr>
                <w:rFonts w:eastAsia="SimSun"/>
              </w:rPr>
              <w:t>+1 день</w:t>
            </w:r>
          </w:p>
        </w:tc>
        <w:tc>
          <w:tcPr>
            <w:tcW w:w="2268" w:type="dxa"/>
            <w:vAlign w:val="center"/>
          </w:tcPr>
          <w:p w14:paraId="522D0F5F" w14:textId="77777777" w:rsidR="0089207C" w:rsidRPr="00AC3044" w:rsidRDefault="0089207C" w:rsidP="002D3EBF">
            <w:pPr>
              <w:rPr>
                <w:rFonts w:eastAsia="SimSun"/>
              </w:rPr>
            </w:pPr>
            <w:r w:rsidRPr="00AC3044">
              <w:rPr>
                <w:rFonts w:eastAsia="SimSun"/>
              </w:rPr>
              <w:t>В/в, в 20 мл физ. р-ра</w:t>
            </w:r>
          </w:p>
        </w:tc>
      </w:tr>
      <w:tr w:rsidR="0089207C" w:rsidRPr="00AC3044" w14:paraId="294A9DED" w14:textId="77777777" w:rsidTr="002D3EBF">
        <w:trPr>
          <w:cantSplit/>
          <w:trHeight w:val="464"/>
        </w:trPr>
        <w:tc>
          <w:tcPr>
            <w:tcW w:w="993" w:type="dxa"/>
            <w:vMerge/>
          </w:tcPr>
          <w:p w14:paraId="72AC1EBF" w14:textId="77777777" w:rsidR="0089207C" w:rsidRPr="00AC3044" w:rsidRDefault="0089207C" w:rsidP="002D3EBF">
            <w:pPr>
              <w:rPr>
                <w:rFonts w:eastAsia="SimSun"/>
              </w:rPr>
            </w:pPr>
          </w:p>
        </w:tc>
        <w:tc>
          <w:tcPr>
            <w:tcW w:w="1701" w:type="dxa"/>
            <w:vMerge/>
            <w:vAlign w:val="center"/>
          </w:tcPr>
          <w:p w14:paraId="50247029" w14:textId="77777777" w:rsidR="0089207C" w:rsidRPr="00AC3044" w:rsidRDefault="0089207C" w:rsidP="002D3EBF">
            <w:pPr>
              <w:rPr>
                <w:rFonts w:eastAsia="SimSun"/>
              </w:rPr>
            </w:pPr>
          </w:p>
        </w:tc>
        <w:tc>
          <w:tcPr>
            <w:tcW w:w="1559" w:type="dxa"/>
            <w:vAlign w:val="center"/>
          </w:tcPr>
          <w:p w14:paraId="20EFA897" w14:textId="77777777" w:rsidR="0089207C" w:rsidRPr="00AC3044" w:rsidRDefault="0089207C" w:rsidP="002D3EBF">
            <w:pPr>
              <w:rPr>
                <w:rFonts w:eastAsia="SimSun"/>
              </w:rPr>
            </w:pPr>
            <w:r w:rsidRPr="00AC3044">
              <w:rPr>
                <w:rFonts w:eastAsia="SimSun"/>
              </w:rPr>
              <w:t>10 мг/м</w:t>
            </w:r>
            <w:r w:rsidRPr="00DB259E">
              <w:rPr>
                <w:rFonts w:eastAsia="SimSun"/>
                <w:vertAlign w:val="superscript"/>
              </w:rPr>
              <w:t>2</w:t>
            </w:r>
          </w:p>
        </w:tc>
        <w:tc>
          <w:tcPr>
            <w:tcW w:w="1418" w:type="dxa"/>
            <w:vAlign w:val="center"/>
          </w:tcPr>
          <w:p w14:paraId="25237E93" w14:textId="77777777" w:rsidR="0089207C" w:rsidRPr="00AC3044" w:rsidRDefault="0089207C" w:rsidP="002D3EBF">
            <w:pPr>
              <w:rPr>
                <w:rFonts w:eastAsia="SimSun"/>
              </w:rPr>
            </w:pPr>
            <w:r w:rsidRPr="00AC3044">
              <w:rPr>
                <w:rFonts w:eastAsia="SimSun"/>
              </w:rPr>
              <w:t>–</w:t>
            </w:r>
          </w:p>
        </w:tc>
        <w:tc>
          <w:tcPr>
            <w:tcW w:w="1701" w:type="dxa"/>
            <w:vAlign w:val="center"/>
          </w:tcPr>
          <w:p w14:paraId="5DBB9F73" w14:textId="77777777" w:rsidR="0089207C" w:rsidRPr="00AC3044" w:rsidRDefault="0089207C" w:rsidP="002D3EBF">
            <w:pPr>
              <w:rPr>
                <w:rFonts w:eastAsia="SimSun"/>
              </w:rPr>
            </w:pPr>
            <w:r w:rsidRPr="00AC3044">
              <w:rPr>
                <w:rFonts w:eastAsia="SimSun"/>
              </w:rPr>
              <w:t>+3, +6, +11 дни</w:t>
            </w:r>
          </w:p>
        </w:tc>
        <w:tc>
          <w:tcPr>
            <w:tcW w:w="2268" w:type="dxa"/>
            <w:vAlign w:val="center"/>
          </w:tcPr>
          <w:p w14:paraId="01E0D4A6" w14:textId="77777777" w:rsidR="0089207C" w:rsidRPr="00AC3044" w:rsidRDefault="0089207C" w:rsidP="002D3EBF">
            <w:pPr>
              <w:rPr>
                <w:rFonts w:eastAsia="SimSun"/>
              </w:rPr>
            </w:pPr>
            <w:r w:rsidRPr="00AC3044">
              <w:rPr>
                <w:rFonts w:eastAsia="SimSun"/>
              </w:rPr>
              <w:t>В/в, в 20 мл физ. р-ра</w:t>
            </w:r>
          </w:p>
        </w:tc>
      </w:tr>
      <w:tr w:rsidR="0089207C" w:rsidRPr="00AC3044" w14:paraId="0B8CF8F0" w14:textId="77777777" w:rsidTr="002D3EBF">
        <w:trPr>
          <w:cantSplit/>
          <w:trHeight w:val="464"/>
        </w:trPr>
        <w:tc>
          <w:tcPr>
            <w:tcW w:w="993" w:type="dxa"/>
            <w:vMerge/>
          </w:tcPr>
          <w:p w14:paraId="2E995ABA" w14:textId="77777777" w:rsidR="0089207C" w:rsidRPr="00AC3044" w:rsidRDefault="0089207C" w:rsidP="002D3EBF">
            <w:pPr>
              <w:rPr>
                <w:rFonts w:eastAsia="SimSun"/>
              </w:rPr>
            </w:pPr>
          </w:p>
        </w:tc>
        <w:tc>
          <w:tcPr>
            <w:tcW w:w="1701" w:type="dxa"/>
            <w:vAlign w:val="center"/>
          </w:tcPr>
          <w:p w14:paraId="4C3A62F1" w14:textId="77777777" w:rsidR="0089207C" w:rsidRPr="00AC3044" w:rsidRDefault="0089207C" w:rsidP="002D3EBF">
            <w:pPr>
              <w:rPr>
                <w:rFonts w:eastAsia="SimSun"/>
              </w:rPr>
            </w:pPr>
            <w:r w:rsidRPr="00AC3044">
              <w:rPr>
                <w:rFonts w:eastAsia="SimSun"/>
              </w:rPr>
              <w:t>Микофенолата мофетил</w:t>
            </w:r>
          </w:p>
        </w:tc>
        <w:tc>
          <w:tcPr>
            <w:tcW w:w="1559" w:type="dxa"/>
            <w:vAlign w:val="center"/>
          </w:tcPr>
          <w:p w14:paraId="76F29B6D" w14:textId="77777777" w:rsidR="0089207C" w:rsidRPr="00AC3044" w:rsidRDefault="0089207C" w:rsidP="002D3EBF">
            <w:pPr>
              <w:rPr>
                <w:rFonts w:eastAsia="SimSun"/>
              </w:rPr>
            </w:pPr>
            <w:r w:rsidRPr="00AC3044">
              <w:rPr>
                <w:rFonts w:eastAsia="SimSun"/>
              </w:rPr>
              <w:t>45 мг/кг</w:t>
            </w:r>
          </w:p>
        </w:tc>
        <w:tc>
          <w:tcPr>
            <w:tcW w:w="1418" w:type="dxa"/>
            <w:vAlign w:val="center"/>
          </w:tcPr>
          <w:p w14:paraId="5441A9AB" w14:textId="77777777" w:rsidR="0089207C" w:rsidRPr="00AC3044" w:rsidRDefault="0089207C" w:rsidP="002D3EBF">
            <w:pPr>
              <w:rPr>
                <w:rFonts w:eastAsia="SimSun"/>
              </w:rPr>
            </w:pPr>
            <w:r w:rsidRPr="00AC3044">
              <w:rPr>
                <w:rFonts w:eastAsia="SimSun"/>
              </w:rPr>
              <w:t>–</w:t>
            </w:r>
          </w:p>
        </w:tc>
        <w:tc>
          <w:tcPr>
            <w:tcW w:w="1701" w:type="dxa"/>
            <w:vAlign w:val="center"/>
          </w:tcPr>
          <w:p w14:paraId="7616F5BC" w14:textId="77777777" w:rsidR="0089207C" w:rsidRPr="00AC3044" w:rsidRDefault="0089207C" w:rsidP="002D3EBF">
            <w:pPr>
              <w:rPr>
                <w:rFonts w:eastAsia="SimSun"/>
              </w:rPr>
            </w:pPr>
            <w:r w:rsidRPr="00AC3044">
              <w:rPr>
                <w:rFonts w:eastAsia="SimSun"/>
              </w:rPr>
              <w:t>С +1 по +90 день</w:t>
            </w:r>
          </w:p>
        </w:tc>
        <w:tc>
          <w:tcPr>
            <w:tcW w:w="2268" w:type="dxa"/>
            <w:vAlign w:val="center"/>
          </w:tcPr>
          <w:p w14:paraId="69DE2DB9" w14:textId="77777777" w:rsidR="0089207C" w:rsidRPr="00AC3044" w:rsidRDefault="0089207C" w:rsidP="002D3EBF">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3A36C3CA" w14:textId="77777777" w:rsidR="0089207C" w:rsidRDefault="0089207C" w:rsidP="0089207C">
      <w:pPr>
        <w:rPr>
          <w:rFonts w:eastAsia="SimSun"/>
        </w:rPr>
      </w:pPr>
      <w:bookmarkStart w:id="248" w:name="_Toc44401202"/>
    </w:p>
    <w:p w14:paraId="6201E37D" w14:textId="77777777" w:rsidR="0089207C" w:rsidRPr="00C07B2E" w:rsidRDefault="0089207C" w:rsidP="0089207C">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2.2.2  – Flu150+Bu8+Thio / rATG+ CSA+MTX+MMF45</w:t>
      </w:r>
      <w:bookmarkEnd w:id="248"/>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418"/>
        <w:gridCol w:w="1701"/>
        <w:gridCol w:w="2268"/>
      </w:tblGrid>
      <w:tr w:rsidR="0089207C" w:rsidRPr="00AC3044" w14:paraId="75E6EFAC" w14:textId="77777777" w:rsidTr="002D3EBF">
        <w:trPr>
          <w:cantSplit/>
          <w:trHeight w:val="20"/>
          <w:tblHeader/>
        </w:trPr>
        <w:tc>
          <w:tcPr>
            <w:tcW w:w="993" w:type="dxa"/>
          </w:tcPr>
          <w:p w14:paraId="7D811AB5" w14:textId="77777777" w:rsidR="0089207C" w:rsidRPr="00470D3D" w:rsidRDefault="0089207C" w:rsidP="002D3EBF">
            <w:pPr>
              <w:rPr>
                <w:rFonts w:eastAsia="SimSun"/>
              </w:rPr>
            </w:pPr>
          </w:p>
        </w:tc>
        <w:tc>
          <w:tcPr>
            <w:tcW w:w="1701" w:type="dxa"/>
            <w:vAlign w:val="center"/>
          </w:tcPr>
          <w:p w14:paraId="5CEA8BF6" w14:textId="77777777" w:rsidR="0089207C" w:rsidRPr="00AC3044" w:rsidRDefault="0089207C" w:rsidP="002D3EBF">
            <w:pPr>
              <w:rPr>
                <w:rFonts w:eastAsia="SimSun"/>
              </w:rPr>
            </w:pPr>
            <w:r w:rsidRPr="00AC3044">
              <w:rPr>
                <w:rFonts w:eastAsia="SimSun"/>
              </w:rPr>
              <w:t>Препарат</w:t>
            </w:r>
          </w:p>
        </w:tc>
        <w:tc>
          <w:tcPr>
            <w:tcW w:w="1559" w:type="dxa"/>
            <w:vAlign w:val="center"/>
          </w:tcPr>
          <w:p w14:paraId="2D084019" w14:textId="77777777" w:rsidR="0089207C" w:rsidRPr="00AC3044" w:rsidRDefault="0089207C" w:rsidP="002D3EBF">
            <w:pPr>
              <w:rPr>
                <w:rFonts w:eastAsia="SimSun"/>
              </w:rPr>
            </w:pPr>
            <w:r w:rsidRPr="00AC3044">
              <w:rPr>
                <w:rFonts w:eastAsia="SimSun"/>
              </w:rPr>
              <w:t>Суточная доза</w:t>
            </w:r>
          </w:p>
        </w:tc>
        <w:tc>
          <w:tcPr>
            <w:tcW w:w="1418" w:type="dxa"/>
            <w:vAlign w:val="center"/>
          </w:tcPr>
          <w:p w14:paraId="308FCFDB" w14:textId="77777777" w:rsidR="0089207C" w:rsidRPr="00AC3044" w:rsidRDefault="0089207C" w:rsidP="002D3EBF">
            <w:pPr>
              <w:rPr>
                <w:rFonts w:eastAsia="SimSun"/>
              </w:rPr>
            </w:pPr>
            <w:r w:rsidRPr="00AC3044">
              <w:rPr>
                <w:rFonts w:eastAsia="SimSun"/>
              </w:rPr>
              <w:t>Курсовая доза</w:t>
            </w:r>
          </w:p>
        </w:tc>
        <w:tc>
          <w:tcPr>
            <w:tcW w:w="1701" w:type="dxa"/>
            <w:vAlign w:val="center"/>
          </w:tcPr>
          <w:p w14:paraId="1825D70F"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7EB80D66"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0EE138F4" w14:textId="77777777" w:rsidTr="002D3EBF">
        <w:trPr>
          <w:cantSplit/>
          <w:trHeight w:val="20"/>
        </w:trPr>
        <w:tc>
          <w:tcPr>
            <w:tcW w:w="993" w:type="dxa"/>
            <w:vMerge w:val="restart"/>
            <w:textDirection w:val="btLr"/>
            <w:vAlign w:val="center"/>
          </w:tcPr>
          <w:p w14:paraId="37858FCC" w14:textId="77777777" w:rsidR="0089207C" w:rsidRPr="00AC3044" w:rsidRDefault="0089207C" w:rsidP="002D3EBF">
            <w:pPr>
              <w:rPr>
                <w:rFonts w:eastAsia="SimSun"/>
              </w:rPr>
            </w:pPr>
            <w:r w:rsidRPr="00AC3044">
              <w:rPr>
                <w:rFonts w:eastAsia="SimSun"/>
              </w:rPr>
              <w:t>Кондиционирование</w:t>
            </w:r>
          </w:p>
        </w:tc>
        <w:tc>
          <w:tcPr>
            <w:tcW w:w="1701" w:type="dxa"/>
            <w:vAlign w:val="center"/>
          </w:tcPr>
          <w:p w14:paraId="19EA57C2" w14:textId="77777777" w:rsidR="0089207C" w:rsidRPr="00AC3044" w:rsidRDefault="0089207C" w:rsidP="002D3EBF">
            <w:pPr>
              <w:rPr>
                <w:rFonts w:eastAsia="SimSun"/>
              </w:rPr>
            </w:pPr>
            <w:r w:rsidRPr="00AC3044">
              <w:rPr>
                <w:rFonts w:eastAsia="SimSun"/>
              </w:rPr>
              <w:t xml:space="preserve">Флударабин </w:t>
            </w:r>
          </w:p>
        </w:tc>
        <w:tc>
          <w:tcPr>
            <w:tcW w:w="1559" w:type="dxa"/>
            <w:vAlign w:val="center"/>
          </w:tcPr>
          <w:p w14:paraId="4E356E5D" w14:textId="77777777" w:rsidR="0089207C" w:rsidRPr="00AC3044" w:rsidRDefault="0089207C" w:rsidP="002D3EBF">
            <w:pPr>
              <w:rPr>
                <w:rFonts w:eastAsia="SimSun"/>
              </w:rPr>
            </w:pPr>
            <w:r w:rsidRPr="00AC3044">
              <w:rPr>
                <w:rFonts w:eastAsia="SimSun"/>
              </w:rPr>
              <w:t>50 мг/м</w:t>
            </w:r>
            <w:r w:rsidRPr="00DB259E">
              <w:rPr>
                <w:rFonts w:eastAsia="SimSun"/>
                <w:vertAlign w:val="superscript"/>
              </w:rPr>
              <w:t>2</w:t>
            </w:r>
          </w:p>
        </w:tc>
        <w:tc>
          <w:tcPr>
            <w:tcW w:w="1418" w:type="dxa"/>
            <w:vAlign w:val="center"/>
          </w:tcPr>
          <w:p w14:paraId="72D7CB29" w14:textId="77777777" w:rsidR="0089207C" w:rsidRPr="00AC3044" w:rsidRDefault="0089207C" w:rsidP="002D3EBF">
            <w:pPr>
              <w:rPr>
                <w:rFonts w:eastAsia="SimSun"/>
              </w:rPr>
            </w:pPr>
            <w:r w:rsidRPr="00AC3044">
              <w:rPr>
                <w:rFonts w:eastAsia="SimSun"/>
              </w:rPr>
              <w:t>150 мг/м</w:t>
            </w:r>
            <w:r w:rsidRPr="00DB259E">
              <w:rPr>
                <w:rFonts w:eastAsia="SimSun"/>
                <w:vertAlign w:val="superscript"/>
              </w:rPr>
              <w:t>2</w:t>
            </w:r>
          </w:p>
        </w:tc>
        <w:tc>
          <w:tcPr>
            <w:tcW w:w="1701" w:type="dxa"/>
            <w:vAlign w:val="center"/>
          </w:tcPr>
          <w:p w14:paraId="5B99DAE1" w14:textId="77777777" w:rsidR="0089207C" w:rsidRPr="00AC3044" w:rsidRDefault="0089207C" w:rsidP="002D3EBF">
            <w:pPr>
              <w:rPr>
                <w:rFonts w:eastAsia="SimSun"/>
              </w:rPr>
            </w:pPr>
            <w:r w:rsidRPr="00AC3044">
              <w:rPr>
                <w:rFonts w:eastAsia="SimSun"/>
              </w:rPr>
              <w:t>С –4 по –2 день</w:t>
            </w:r>
          </w:p>
        </w:tc>
        <w:tc>
          <w:tcPr>
            <w:tcW w:w="2268" w:type="dxa"/>
            <w:vAlign w:val="center"/>
          </w:tcPr>
          <w:p w14:paraId="386ED4A9"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7DEC2E46" w14:textId="77777777" w:rsidTr="002D3EBF">
        <w:trPr>
          <w:cantSplit/>
          <w:trHeight w:val="20"/>
        </w:trPr>
        <w:tc>
          <w:tcPr>
            <w:tcW w:w="993" w:type="dxa"/>
            <w:vMerge/>
            <w:textDirection w:val="btLr"/>
            <w:vAlign w:val="center"/>
          </w:tcPr>
          <w:p w14:paraId="7152AF25" w14:textId="77777777" w:rsidR="0089207C" w:rsidRPr="00AC3044" w:rsidRDefault="0089207C" w:rsidP="002D3EBF">
            <w:pPr>
              <w:rPr>
                <w:rFonts w:eastAsia="SimSun"/>
              </w:rPr>
            </w:pPr>
          </w:p>
        </w:tc>
        <w:tc>
          <w:tcPr>
            <w:tcW w:w="1701" w:type="dxa"/>
            <w:vAlign w:val="center"/>
          </w:tcPr>
          <w:p w14:paraId="0C161BBA" w14:textId="77777777" w:rsidR="0089207C" w:rsidRPr="00AC3044" w:rsidRDefault="0089207C" w:rsidP="002D3EBF">
            <w:pPr>
              <w:rPr>
                <w:rFonts w:eastAsia="SimSun"/>
              </w:rPr>
            </w:pPr>
            <w:r w:rsidRPr="00AC3044">
              <w:rPr>
                <w:rFonts w:eastAsia="SimSun"/>
              </w:rPr>
              <w:t>Бусульфан</w:t>
            </w:r>
          </w:p>
        </w:tc>
        <w:tc>
          <w:tcPr>
            <w:tcW w:w="1559" w:type="dxa"/>
            <w:vAlign w:val="center"/>
          </w:tcPr>
          <w:p w14:paraId="473256A8" w14:textId="77777777" w:rsidR="0089207C" w:rsidRPr="00AC3044" w:rsidRDefault="0089207C" w:rsidP="002D3EBF">
            <w:pPr>
              <w:rPr>
                <w:rFonts w:eastAsia="SimSun"/>
              </w:rPr>
            </w:pPr>
            <w:r w:rsidRPr="00AC3044">
              <w:rPr>
                <w:rFonts w:eastAsia="SimSun"/>
              </w:rPr>
              <w:t>4 мг/кг</w:t>
            </w:r>
          </w:p>
        </w:tc>
        <w:tc>
          <w:tcPr>
            <w:tcW w:w="1418" w:type="dxa"/>
            <w:vAlign w:val="center"/>
          </w:tcPr>
          <w:p w14:paraId="71334BB0" w14:textId="77777777" w:rsidR="0089207C" w:rsidRPr="00AC3044" w:rsidRDefault="0089207C" w:rsidP="002D3EBF">
            <w:pPr>
              <w:rPr>
                <w:rFonts w:eastAsia="SimSun"/>
              </w:rPr>
            </w:pPr>
            <w:r w:rsidRPr="00AC3044">
              <w:rPr>
                <w:rFonts w:eastAsia="SimSun"/>
              </w:rPr>
              <w:t>8 мг/кг</w:t>
            </w:r>
          </w:p>
        </w:tc>
        <w:tc>
          <w:tcPr>
            <w:tcW w:w="1701" w:type="dxa"/>
            <w:vAlign w:val="center"/>
          </w:tcPr>
          <w:p w14:paraId="57EB84EA" w14:textId="77777777" w:rsidR="0089207C" w:rsidRPr="00AC3044" w:rsidRDefault="0089207C" w:rsidP="002D3EBF">
            <w:pPr>
              <w:rPr>
                <w:rFonts w:eastAsia="SimSun"/>
              </w:rPr>
            </w:pPr>
            <w:r w:rsidRPr="00AC3044">
              <w:rPr>
                <w:rFonts w:eastAsia="SimSun"/>
              </w:rPr>
              <w:t>–3, –2 дни</w:t>
            </w:r>
          </w:p>
        </w:tc>
        <w:tc>
          <w:tcPr>
            <w:tcW w:w="2268" w:type="dxa"/>
            <w:vAlign w:val="center"/>
          </w:tcPr>
          <w:p w14:paraId="0156E718"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w:t>
            </w:r>
          </w:p>
        </w:tc>
      </w:tr>
      <w:tr w:rsidR="0089207C" w:rsidRPr="00AC3044" w14:paraId="1FFA433C" w14:textId="77777777" w:rsidTr="002D3EBF">
        <w:trPr>
          <w:cantSplit/>
          <w:trHeight w:val="20"/>
        </w:trPr>
        <w:tc>
          <w:tcPr>
            <w:tcW w:w="993" w:type="dxa"/>
            <w:vMerge/>
            <w:textDirection w:val="btLr"/>
            <w:vAlign w:val="center"/>
          </w:tcPr>
          <w:p w14:paraId="68B83A3A" w14:textId="77777777" w:rsidR="0089207C" w:rsidRPr="00AC3044" w:rsidRDefault="0089207C" w:rsidP="002D3EBF">
            <w:pPr>
              <w:rPr>
                <w:rFonts w:eastAsia="SimSun"/>
              </w:rPr>
            </w:pPr>
          </w:p>
        </w:tc>
        <w:tc>
          <w:tcPr>
            <w:tcW w:w="1701" w:type="dxa"/>
            <w:vAlign w:val="center"/>
          </w:tcPr>
          <w:p w14:paraId="7E9E9FC1" w14:textId="77777777" w:rsidR="0089207C" w:rsidRPr="00AC3044" w:rsidRDefault="0089207C" w:rsidP="002D3EBF">
            <w:pPr>
              <w:rPr>
                <w:rFonts w:eastAsia="SimSun"/>
              </w:rPr>
            </w:pPr>
            <w:r w:rsidRPr="00AC3044">
              <w:rPr>
                <w:rFonts w:eastAsia="SimSun"/>
              </w:rPr>
              <w:t>Тиотепа</w:t>
            </w:r>
          </w:p>
        </w:tc>
        <w:tc>
          <w:tcPr>
            <w:tcW w:w="1559" w:type="dxa"/>
            <w:vAlign w:val="center"/>
          </w:tcPr>
          <w:p w14:paraId="2663A367" w14:textId="77777777" w:rsidR="0089207C" w:rsidRPr="00AC3044" w:rsidRDefault="0089207C" w:rsidP="002D3EBF">
            <w:pPr>
              <w:rPr>
                <w:rFonts w:eastAsia="SimSun"/>
              </w:rPr>
            </w:pPr>
            <w:r w:rsidRPr="00AC3044">
              <w:rPr>
                <w:rFonts w:eastAsia="SimSun"/>
              </w:rPr>
              <w:t>5 мг/кг</w:t>
            </w:r>
          </w:p>
        </w:tc>
        <w:tc>
          <w:tcPr>
            <w:tcW w:w="1418" w:type="dxa"/>
            <w:vAlign w:val="center"/>
          </w:tcPr>
          <w:p w14:paraId="57807CA9" w14:textId="77777777" w:rsidR="0089207C" w:rsidRPr="00AC3044" w:rsidRDefault="0089207C" w:rsidP="002D3EBF">
            <w:pPr>
              <w:rPr>
                <w:rFonts w:eastAsia="SimSun"/>
              </w:rPr>
            </w:pPr>
            <w:r w:rsidRPr="00AC3044">
              <w:rPr>
                <w:rFonts w:eastAsia="SimSun"/>
              </w:rPr>
              <w:t>10 мг/кг</w:t>
            </w:r>
          </w:p>
        </w:tc>
        <w:tc>
          <w:tcPr>
            <w:tcW w:w="1701" w:type="dxa"/>
            <w:vAlign w:val="center"/>
          </w:tcPr>
          <w:p w14:paraId="773B3BDA" w14:textId="77777777" w:rsidR="0089207C" w:rsidRPr="00AC3044" w:rsidRDefault="0089207C" w:rsidP="002D3EBF">
            <w:pPr>
              <w:rPr>
                <w:rFonts w:eastAsia="SimSun"/>
              </w:rPr>
            </w:pPr>
            <w:r w:rsidRPr="00AC3044">
              <w:rPr>
                <w:rFonts w:eastAsia="SimSun"/>
              </w:rPr>
              <w:t>–6,–5 дни</w:t>
            </w:r>
          </w:p>
        </w:tc>
        <w:tc>
          <w:tcPr>
            <w:tcW w:w="2268" w:type="dxa"/>
            <w:vAlign w:val="center"/>
          </w:tcPr>
          <w:p w14:paraId="36741FF1"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00B5888A" w14:textId="77777777" w:rsidTr="002D3EBF">
        <w:trPr>
          <w:cantSplit/>
          <w:trHeight w:val="20"/>
        </w:trPr>
        <w:tc>
          <w:tcPr>
            <w:tcW w:w="993" w:type="dxa"/>
            <w:vMerge w:val="restart"/>
            <w:textDirection w:val="btLr"/>
            <w:vAlign w:val="center"/>
          </w:tcPr>
          <w:p w14:paraId="5EF210BD" w14:textId="77777777" w:rsidR="0089207C" w:rsidRPr="00AC3044" w:rsidRDefault="0089207C" w:rsidP="002D3EBF">
            <w:pPr>
              <w:rPr>
                <w:rFonts w:eastAsia="SimSun"/>
              </w:rPr>
            </w:pPr>
            <w:r w:rsidRPr="00AC3044">
              <w:rPr>
                <w:rFonts w:eastAsia="SimSun"/>
              </w:rPr>
              <w:t>Профилактика РТПХ</w:t>
            </w:r>
          </w:p>
        </w:tc>
        <w:tc>
          <w:tcPr>
            <w:tcW w:w="1701" w:type="dxa"/>
            <w:vAlign w:val="center"/>
          </w:tcPr>
          <w:p w14:paraId="0779087E" w14:textId="77777777" w:rsidR="0089207C" w:rsidRPr="00AC3044" w:rsidRDefault="0089207C" w:rsidP="002D3EBF">
            <w:pPr>
              <w:rPr>
                <w:rFonts w:eastAsia="SimSun"/>
              </w:rPr>
            </w:pPr>
            <w:r w:rsidRPr="00AC3044">
              <w:rPr>
                <w:rFonts w:eastAsia="SimSun"/>
              </w:rPr>
              <w:t>АТГ (кроличий)</w:t>
            </w:r>
          </w:p>
        </w:tc>
        <w:tc>
          <w:tcPr>
            <w:tcW w:w="1559" w:type="dxa"/>
            <w:vAlign w:val="center"/>
          </w:tcPr>
          <w:p w14:paraId="4947777B" w14:textId="77777777" w:rsidR="0089207C" w:rsidRPr="00AC3044" w:rsidRDefault="0089207C" w:rsidP="002D3EBF">
            <w:pPr>
              <w:rPr>
                <w:rFonts w:eastAsia="SimSun"/>
              </w:rPr>
            </w:pPr>
            <w:r w:rsidRPr="00AC3044">
              <w:rPr>
                <w:rFonts w:eastAsia="SimSun"/>
              </w:rPr>
              <w:t>2,5 мг/кг</w:t>
            </w:r>
          </w:p>
        </w:tc>
        <w:tc>
          <w:tcPr>
            <w:tcW w:w="1418" w:type="dxa"/>
            <w:vAlign w:val="center"/>
          </w:tcPr>
          <w:p w14:paraId="55BF7BE1" w14:textId="77777777" w:rsidR="0089207C" w:rsidRPr="00AC3044" w:rsidRDefault="0089207C" w:rsidP="002D3EBF">
            <w:pPr>
              <w:rPr>
                <w:rFonts w:eastAsia="SimSun"/>
              </w:rPr>
            </w:pPr>
            <w:r w:rsidRPr="00AC3044">
              <w:rPr>
                <w:rFonts w:eastAsia="SimSun"/>
              </w:rPr>
              <w:t>5-7,5 мг/кг</w:t>
            </w:r>
          </w:p>
        </w:tc>
        <w:tc>
          <w:tcPr>
            <w:tcW w:w="1701" w:type="dxa"/>
            <w:vAlign w:val="center"/>
          </w:tcPr>
          <w:p w14:paraId="2E004A8B" w14:textId="77777777" w:rsidR="0089207C" w:rsidRPr="00AC3044" w:rsidRDefault="0089207C" w:rsidP="002D3EBF">
            <w:pPr>
              <w:rPr>
                <w:rFonts w:eastAsia="SimSun"/>
              </w:rPr>
            </w:pPr>
            <w:r w:rsidRPr="00AC3044">
              <w:rPr>
                <w:rFonts w:eastAsia="SimSun"/>
              </w:rPr>
              <w:t>С –3 по –2 (-1) день</w:t>
            </w:r>
          </w:p>
        </w:tc>
        <w:tc>
          <w:tcPr>
            <w:tcW w:w="2268" w:type="dxa"/>
            <w:vAlign w:val="center"/>
          </w:tcPr>
          <w:p w14:paraId="5C388E3C" w14:textId="77777777" w:rsidR="0089207C" w:rsidRPr="00AC3044" w:rsidRDefault="0089207C" w:rsidP="002D3EBF">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89207C" w:rsidRPr="00AC3044" w14:paraId="0B43AFA2" w14:textId="77777777" w:rsidTr="002D3EBF">
        <w:trPr>
          <w:cantSplit/>
          <w:trHeight w:val="20"/>
        </w:trPr>
        <w:tc>
          <w:tcPr>
            <w:tcW w:w="993" w:type="dxa"/>
            <w:vMerge/>
            <w:textDirection w:val="btLr"/>
          </w:tcPr>
          <w:p w14:paraId="4F43C975" w14:textId="77777777" w:rsidR="0089207C" w:rsidRPr="00AC3044" w:rsidRDefault="0089207C" w:rsidP="002D3EBF">
            <w:pPr>
              <w:rPr>
                <w:rFonts w:eastAsia="SimSun"/>
              </w:rPr>
            </w:pPr>
          </w:p>
        </w:tc>
        <w:tc>
          <w:tcPr>
            <w:tcW w:w="1701" w:type="dxa"/>
            <w:vAlign w:val="center"/>
          </w:tcPr>
          <w:p w14:paraId="7694779A" w14:textId="77777777" w:rsidR="0089207C" w:rsidRPr="00AC3044" w:rsidRDefault="0089207C" w:rsidP="002D3EBF">
            <w:pPr>
              <w:rPr>
                <w:rFonts w:eastAsia="SimSun"/>
              </w:rPr>
            </w:pPr>
            <w:r w:rsidRPr="00AC3044">
              <w:rPr>
                <w:rFonts w:eastAsia="SimSun"/>
              </w:rPr>
              <w:t>Циклоспорин</w:t>
            </w:r>
          </w:p>
        </w:tc>
        <w:tc>
          <w:tcPr>
            <w:tcW w:w="1559" w:type="dxa"/>
            <w:vAlign w:val="center"/>
          </w:tcPr>
          <w:p w14:paraId="38BD3C0B" w14:textId="77777777" w:rsidR="0089207C" w:rsidRPr="00AC3044" w:rsidRDefault="0089207C" w:rsidP="002D3EBF">
            <w:pPr>
              <w:rPr>
                <w:rFonts w:eastAsia="SimSun"/>
              </w:rPr>
            </w:pPr>
            <w:r w:rsidRPr="00AC3044">
              <w:rPr>
                <w:rFonts w:eastAsia="SimSun"/>
              </w:rPr>
              <w:t>3 мг/кг</w:t>
            </w:r>
          </w:p>
        </w:tc>
        <w:tc>
          <w:tcPr>
            <w:tcW w:w="1418" w:type="dxa"/>
            <w:vAlign w:val="center"/>
          </w:tcPr>
          <w:p w14:paraId="4EB53774" w14:textId="77777777" w:rsidR="0089207C" w:rsidRPr="00AC3044" w:rsidRDefault="0089207C" w:rsidP="002D3EBF">
            <w:pPr>
              <w:rPr>
                <w:rFonts w:eastAsia="SimSun"/>
              </w:rPr>
            </w:pPr>
            <w:r w:rsidRPr="00AC3044">
              <w:rPr>
                <w:rFonts w:eastAsia="SimSun"/>
              </w:rPr>
              <w:t>–</w:t>
            </w:r>
          </w:p>
        </w:tc>
        <w:tc>
          <w:tcPr>
            <w:tcW w:w="1701" w:type="dxa"/>
            <w:vAlign w:val="center"/>
          </w:tcPr>
          <w:p w14:paraId="191D4598" w14:textId="77777777" w:rsidR="0089207C" w:rsidRPr="00AC3044" w:rsidRDefault="0089207C" w:rsidP="002D3EBF">
            <w:pPr>
              <w:rPr>
                <w:rFonts w:eastAsia="SimSun"/>
              </w:rPr>
            </w:pPr>
            <w:r w:rsidRPr="00AC3044">
              <w:rPr>
                <w:rFonts w:eastAsia="SimSun"/>
              </w:rPr>
              <w:t>С–1 по +90 день, затем постепенное снижение к +180 дню</w:t>
            </w:r>
          </w:p>
        </w:tc>
        <w:tc>
          <w:tcPr>
            <w:tcW w:w="2268" w:type="dxa"/>
            <w:vAlign w:val="center"/>
          </w:tcPr>
          <w:p w14:paraId="130393A4" w14:textId="77777777" w:rsidR="0089207C" w:rsidRPr="00AC3044" w:rsidRDefault="0089207C" w:rsidP="002D3EBF">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9207C" w:rsidRPr="00AC3044" w14:paraId="167CF5F1" w14:textId="77777777" w:rsidTr="002D3EBF">
        <w:trPr>
          <w:cantSplit/>
          <w:trHeight w:val="20"/>
        </w:trPr>
        <w:tc>
          <w:tcPr>
            <w:tcW w:w="993" w:type="dxa"/>
            <w:vMerge/>
          </w:tcPr>
          <w:p w14:paraId="3EB57E0B" w14:textId="77777777" w:rsidR="0089207C" w:rsidRPr="00AC3044" w:rsidRDefault="0089207C" w:rsidP="002D3EBF">
            <w:pPr>
              <w:rPr>
                <w:rFonts w:eastAsia="SimSun"/>
              </w:rPr>
            </w:pPr>
          </w:p>
        </w:tc>
        <w:tc>
          <w:tcPr>
            <w:tcW w:w="1701" w:type="dxa"/>
            <w:vMerge w:val="restart"/>
            <w:vAlign w:val="center"/>
          </w:tcPr>
          <w:p w14:paraId="53B13B92" w14:textId="77777777" w:rsidR="0089207C" w:rsidRPr="00AC3044" w:rsidRDefault="0089207C" w:rsidP="002D3EBF">
            <w:pPr>
              <w:rPr>
                <w:rFonts w:eastAsia="SimSun"/>
              </w:rPr>
            </w:pPr>
            <w:r w:rsidRPr="00AC3044">
              <w:rPr>
                <w:rFonts w:eastAsia="SimSun"/>
              </w:rPr>
              <w:t>Метотрексат</w:t>
            </w:r>
          </w:p>
        </w:tc>
        <w:tc>
          <w:tcPr>
            <w:tcW w:w="1559" w:type="dxa"/>
            <w:vAlign w:val="center"/>
          </w:tcPr>
          <w:p w14:paraId="51472622" w14:textId="77777777" w:rsidR="0089207C" w:rsidRPr="00AC3044" w:rsidRDefault="0089207C" w:rsidP="002D3EBF">
            <w:pPr>
              <w:rPr>
                <w:rFonts w:eastAsia="SimSun"/>
              </w:rPr>
            </w:pPr>
            <w:r w:rsidRPr="00AC3044">
              <w:rPr>
                <w:rFonts w:eastAsia="SimSun"/>
              </w:rPr>
              <w:t>15 мг/м</w:t>
            </w:r>
            <w:r w:rsidRPr="00DB259E">
              <w:rPr>
                <w:rFonts w:eastAsia="SimSun"/>
                <w:vertAlign w:val="superscript"/>
              </w:rPr>
              <w:t>2</w:t>
            </w:r>
          </w:p>
        </w:tc>
        <w:tc>
          <w:tcPr>
            <w:tcW w:w="1418" w:type="dxa"/>
            <w:vAlign w:val="center"/>
          </w:tcPr>
          <w:p w14:paraId="318EB4E1" w14:textId="77777777" w:rsidR="0089207C" w:rsidRPr="00AC3044" w:rsidRDefault="0089207C" w:rsidP="002D3EBF">
            <w:pPr>
              <w:rPr>
                <w:rFonts w:eastAsia="SimSun"/>
              </w:rPr>
            </w:pPr>
            <w:r w:rsidRPr="00AC3044">
              <w:rPr>
                <w:rFonts w:eastAsia="SimSun"/>
              </w:rPr>
              <w:t>–</w:t>
            </w:r>
          </w:p>
        </w:tc>
        <w:tc>
          <w:tcPr>
            <w:tcW w:w="1701" w:type="dxa"/>
            <w:vAlign w:val="center"/>
          </w:tcPr>
          <w:p w14:paraId="4ABDDD00" w14:textId="77777777" w:rsidR="0089207C" w:rsidRPr="00AC3044" w:rsidRDefault="0089207C" w:rsidP="002D3EBF">
            <w:pPr>
              <w:rPr>
                <w:rFonts w:eastAsia="SimSun"/>
              </w:rPr>
            </w:pPr>
            <w:r w:rsidRPr="00AC3044">
              <w:rPr>
                <w:rFonts w:eastAsia="SimSun"/>
              </w:rPr>
              <w:t>+1 день</w:t>
            </w:r>
          </w:p>
        </w:tc>
        <w:tc>
          <w:tcPr>
            <w:tcW w:w="2268" w:type="dxa"/>
            <w:vAlign w:val="center"/>
          </w:tcPr>
          <w:p w14:paraId="70D42ADB" w14:textId="77777777" w:rsidR="0089207C" w:rsidRPr="00AC3044" w:rsidRDefault="0089207C" w:rsidP="002D3EBF">
            <w:pPr>
              <w:rPr>
                <w:rFonts w:eastAsia="SimSun"/>
              </w:rPr>
            </w:pPr>
            <w:r w:rsidRPr="00AC3044">
              <w:rPr>
                <w:rFonts w:eastAsia="SimSun"/>
              </w:rPr>
              <w:t xml:space="preserve">В/в, в 20 мл физ. р-ра </w:t>
            </w:r>
          </w:p>
        </w:tc>
      </w:tr>
      <w:tr w:rsidR="0089207C" w:rsidRPr="00AC3044" w14:paraId="33CE3271" w14:textId="77777777" w:rsidTr="002D3EBF">
        <w:trPr>
          <w:cantSplit/>
          <w:trHeight w:val="464"/>
        </w:trPr>
        <w:tc>
          <w:tcPr>
            <w:tcW w:w="993" w:type="dxa"/>
            <w:vMerge/>
          </w:tcPr>
          <w:p w14:paraId="52F3E50F" w14:textId="77777777" w:rsidR="0089207C" w:rsidRPr="00AC3044" w:rsidRDefault="0089207C" w:rsidP="002D3EBF">
            <w:pPr>
              <w:rPr>
                <w:rFonts w:eastAsia="SimSun"/>
              </w:rPr>
            </w:pPr>
          </w:p>
        </w:tc>
        <w:tc>
          <w:tcPr>
            <w:tcW w:w="1701" w:type="dxa"/>
            <w:vMerge/>
            <w:vAlign w:val="center"/>
          </w:tcPr>
          <w:p w14:paraId="71A7475D" w14:textId="77777777" w:rsidR="0089207C" w:rsidRPr="00AC3044" w:rsidRDefault="0089207C" w:rsidP="002D3EBF">
            <w:pPr>
              <w:rPr>
                <w:rFonts w:eastAsia="SimSun"/>
              </w:rPr>
            </w:pPr>
          </w:p>
        </w:tc>
        <w:tc>
          <w:tcPr>
            <w:tcW w:w="1559" w:type="dxa"/>
            <w:vAlign w:val="center"/>
          </w:tcPr>
          <w:p w14:paraId="3969AF99" w14:textId="77777777" w:rsidR="0089207C" w:rsidRPr="00AC3044" w:rsidRDefault="0089207C" w:rsidP="002D3EBF">
            <w:pPr>
              <w:rPr>
                <w:rFonts w:eastAsia="SimSun"/>
              </w:rPr>
            </w:pPr>
            <w:r w:rsidRPr="00AC3044">
              <w:rPr>
                <w:rFonts w:eastAsia="SimSun"/>
              </w:rPr>
              <w:t>10 мг/м</w:t>
            </w:r>
            <w:r w:rsidRPr="00DB259E">
              <w:rPr>
                <w:rFonts w:eastAsia="SimSun"/>
                <w:vertAlign w:val="superscript"/>
              </w:rPr>
              <w:t>2</w:t>
            </w:r>
          </w:p>
        </w:tc>
        <w:tc>
          <w:tcPr>
            <w:tcW w:w="1418" w:type="dxa"/>
            <w:vAlign w:val="center"/>
          </w:tcPr>
          <w:p w14:paraId="26826151" w14:textId="77777777" w:rsidR="0089207C" w:rsidRPr="00AC3044" w:rsidRDefault="0089207C" w:rsidP="002D3EBF">
            <w:pPr>
              <w:rPr>
                <w:rFonts w:eastAsia="SimSun"/>
              </w:rPr>
            </w:pPr>
            <w:r w:rsidRPr="00AC3044">
              <w:rPr>
                <w:rFonts w:eastAsia="SimSun"/>
              </w:rPr>
              <w:t>–</w:t>
            </w:r>
          </w:p>
        </w:tc>
        <w:tc>
          <w:tcPr>
            <w:tcW w:w="1701" w:type="dxa"/>
            <w:vAlign w:val="center"/>
          </w:tcPr>
          <w:p w14:paraId="72DC2701" w14:textId="77777777" w:rsidR="0089207C" w:rsidRPr="00AC3044" w:rsidRDefault="0089207C" w:rsidP="002D3EBF">
            <w:pPr>
              <w:rPr>
                <w:rFonts w:eastAsia="SimSun"/>
              </w:rPr>
            </w:pPr>
            <w:r w:rsidRPr="00AC3044">
              <w:rPr>
                <w:rFonts w:eastAsia="SimSun"/>
              </w:rPr>
              <w:t>+3, +6, +11 дни</w:t>
            </w:r>
          </w:p>
        </w:tc>
        <w:tc>
          <w:tcPr>
            <w:tcW w:w="2268" w:type="dxa"/>
            <w:vAlign w:val="center"/>
          </w:tcPr>
          <w:p w14:paraId="02D1559E" w14:textId="77777777" w:rsidR="0089207C" w:rsidRPr="00AC3044" w:rsidRDefault="0089207C" w:rsidP="002D3EBF">
            <w:pPr>
              <w:rPr>
                <w:rFonts w:eastAsia="SimSun"/>
              </w:rPr>
            </w:pPr>
            <w:r w:rsidRPr="00AC3044">
              <w:rPr>
                <w:rFonts w:eastAsia="SimSun"/>
              </w:rPr>
              <w:t xml:space="preserve">В/в, в 20 мл физ. р-ра </w:t>
            </w:r>
          </w:p>
        </w:tc>
      </w:tr>
      <w:tr w:rsidR="0089207C" w:rsidRPr="00AC3044" w14:paraId="7C37AAC4" w14:textId="77777777" w:rsidTr="002D3EBF">
        <w:trPr>
          <w:cantSplit/>
          <w:trHeight w:val="464"/>
        </w:trPr>
        <w:tc>
          <w:tcPr>
            <w:tcW w:w="993" w:type="dxa"/>
            <w:vMerge/>
          </w:tcPr>
          <w:p w14:paraId="0871DAB2" w14:textId="77777777" w:rsidR="0089207C" w:rsidRPr="00AC3044" w:rsidRDefault="0089207C" w:rsidP="002D3EBF">
            <w:pPr>
              <w:rPr>
                <w:rFonts w:eastAsia="SimSun"/>
              </w:rPr>
            </w:pPr>
          </w:p>
        </w:tc>
        <w:tc>
          <w:tcPr>
            <w:tcW w:w="1701" w:type="dxa"/>
            <w:vAlign w:val="center"/>
          </w:tcPr>
          <w:p w14:paraId="12DF8747" w14:textId="77777777" w:rsidR="0089207C" w:rsidRPr="00AC3044" w:rsidRDefault="0089207C" w:rsidP="002D3EBF">
            <w:pPr>
              <w:rPr>
                <w:rFonts w:eastAsia="SimSun"/>
              </w:rPr>
            </w:pPr>
            <w:r w:rsidRPr="00AC3044">
              <w:rPr>
                <w:rFonts w:eastAsia="SimSun"/>
              </w:rPr>
              <w:t>Микофенолата мофетил</w:t>
            </w:r>
          </w:p>
        </w:tc>
        <w:tc>
          <w:tcPr>
            <w:tcW w:w="1559" w:type="dxa"/>
            <w:vAlign w:val="center"/>
          </w:tcPr>
          <w:p w14:paraId="24557381" w14:textId="77777777" w:rsidR="0089207C" w:rsidRPr="00AC3044" w:rsidRDefault="0089207C" w:rsidP="002D3EBF">
            <w:pPr>
              <w:rPr>
                <w:rFonts w:eastAsia="SimSun"/>
              </w:rPr>
            </w:pPr>
            <w:r w:rsidRPr="00AC3044">
              <w:rPr>
                <w:rFonts w:eastAsia="SimSun"/>
              </w:rPr>
              <w:t>45 мг/кг</w:t>
            </w:r>
          </w:p>
        </w:tc>
        <w:tc>
          <w:tcPr>
            <w:tcW w:w="1418" w:type="dxa"/>
            <w:vAlign w:val="center"/>
          </w:tcPr>
          <w:p w14:paraId="7D3CE4FD" w14:textId="77777777" w:rsidR="0089207C" w:rsidRPr="00AC3044" w:rsidRDefault="0089207C" w:rsidP="002D3EBF">
            <w:pPr>
              <w:rPr>
                <w:rFonts w:eastAsia="SimSun"/>
              </w:rPr>
            </w:pPr>
            <w:r w:rsidRPr="00AC3044">
              <w:rPr>
                <w:rFonts w:eastAsia="SimSun"/>
              </w:rPr>
              <w:t>–</w:t>
            </w:r>
          </w:p>
        </w:tc>
        <w:tc>
          <w:tcPr>
            <w:tcW w:w="1701" w:type="dxa"/>
            <w:vAlign w:val="center"/>
          </w:tcPr>
          <w:p w14:paraId="2429C8E7" w14:textId="77777777" w:rsidR="0089207C" w:rsidRPr="00AC3044" w:rsidRDefault="0089207C" w:rsidP="002D3EBF">
            <w:pPr>
              <w:rPr>
                <w:rFonts w:eastAsia="SimSun"/>
              </w:rPr>
            </w:pPr>
            <w:r w:rsidRPr="00AC3044">
              <w:rPr>
                <w:rFonts w:eastAsia="SimSun"/>
              </w:rPr>
              <w:t>С +1 по +90 день</w:t>
            </w:r>
          </w:p>
        </w:tc>
        <w:tc>
          <w:tcPr>
            <w:tcW w:w="2268" w:type="dxa"/>
            <w:vAlign w:val="center"/>
          </w:tcPr>
          <w:p w14:paraId="720D1DA8" w14:textId="77777777" w:rsidR="0089207C" w:rsidRPr="00AC3044" w:rsidRDefault="0089207C" w:rsidP="002D3EBF">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7E9F2167" w14:textId="77777777" w:rsidR="0089207C" w:rsidRDefault="0089207C" w:rsidP="0089207C">
      <w:pPr>
        <w:rPr>
          <w:rFonts w:eastAsia="SimSun"/>
        </w:rPr>
      </w:pPr>
      <w:bookmarkStart w:id="249" w:name="_Toc44401203"/>
    </w:p>
    <w:p w14:paraId="39D16487" w14:textId="77777777" w:rsidR="0089207C" w:rsidRPr="00C07B2E" w:rsidRDefault="0089207C" w:rsidP="0089207C">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2.2.3  – Flu150+Bu8+Thio / PT-Cy+ CSA+MMF30</w:t>
      </w:r>
      <w:bookmarkEnd w:id="249"/>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418"/>
        <w:gridCol w:w="1701"/>
        <w:gridCol w:w="2268"/>
      </w:tblGrid>
      <w:tr w:rsidR="0089207C" w:rsidRPr="00AC3044" w14:paraId="52E7441C" w14:textId="77777777" w:rsidTr="002D3EBF">
        <w:trPr>
          <w:cantSplit/>
          <w:trHeight w:val="20"/>
          <w:tblHeader/>
        </w:trPr>
        <w:tc>
          <w:tcPr>
            <w:tcW w:w="993" w:type="dxa"/>
          </w:tcPr>
          <w:p w14:paraId="310A6F7A" w14:textId="77777777" w:rsidR="0089207C" w:rsidRPr="00470D3D" w:rsidRDefault="0089207C" w:rsidP="002D3EBF">
            <w:pPr>
              <w:rPr>
                <w:rFonts w:eastAsia="SimSun"/>
              </w:rPr>
            </w:pPr>
          </w:p>
        </w:tc>
        <w:tc>
          <w:tcPr>
            <w:tcW w:w="1701" w:type="dxa"/>
            <w:vAlign w:val="center"/>
          </w:tcPr>
          <w:p w14:paraId="78636C64" w14:textId="77777777" w:rsidR="0089207C" w:rsidRPr="00AC3044" w:rsidRDefault="0089207C" w:rsidP="002D3EBF">
            <w:pPr>
              <w:rPr>
                <w:rFonts w:eastAsia="SimSun"/>
              </w:rPr>
            </w:pPr>
            <w:r w:rsidRPr="00AC3044">
              <w:rPr>
                <w:rFonts w:eastAsia="SimSun"/>
              </w:rPr>
              <w:t>Препарат</w:t>
            </w:r>
          </w:p>
        </w:tc>
        <w:tc>
          <w:tcPr>
            <w:tcW w:w="1559" w:type="dxa"/>
            <w:vAlign w:val="center"/>
          </w:tcPr>
          <w:p w14:paraId="194226B3" w14:textId="77777777" w:rsidR="0089207C" w:rsidRPr="00AC3044" w:rsidRDefault="0089207C" w:rsidP="002D3EBF">
            <w:pPr>
              <w:rPr>
                <w:rFonts w:eastAsia="SimSun"/>
              </w:rPr>
            </w:pPr>
            <w:r w:rsidRPr="00AC3044">
              <w:rPr>
                <w:rFonts w:eastAsia="SimSun"/>
              </w:rPr>
              <w:t>Суточная доза</w:t>
            </w:r>
          </w:p>
        </w:tc>
        <w:tc>
          <w:tcPr>
            <w:tcW w:w="1418" w:type="dxa"/>
            <w:vAlign w:val="center"/>
          </w:tcPr>
          <w:p w14:paraId="19D369EF" w14:textId="77777777" w:rsidR="0089207C" w:rsidRPr="00AC3044" w:rsidRDefault="0089207C" w:rsidP="002D3EBF">
            <w:pPr>
              <w:rPr>
                <w:rFonts w:eastAsia="SimSun"/>
              </w:rPr>
            </w:pPr>
            <w:r w:rsidRPr="00AC3044">
              <w:rPr>
                <w:rFonts w:eastAsia="SimSun"/>
              </w:rPr>
              <w:t>Курсовая доза</w:t>
            </w:r>
          </w:p>
        </w:tc>
        <w:tc>
          <w:tcPr>
            <w:tcW w:w="1701" w:type="dxa"/>
            <w:vAlign w:val="center"/>
          </w:tcPr>
          <w:p w14:paraId="5E93C58C"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660E6FE3"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3C7FB660" w14:textId="77777777" w:rsidTr="002D3EBF">
        <w:trPr>
          <w:cantSplit/>
          <w:trHeight w:val="20"/>
        </w:trPr>
        <w:tc>
          <w:tcPr>
            <w:tcW w:w="993" w:type="dxa"/>
            <w:vMerge w:val="restart"/>
            <w:textDirection w:val="btLr"/>
            <w:vAlign w:val="center"/>
          </w:tcPr>
          <w:p w14:paraId="0D2CCE8D" w14:textId="77777777" w:rsidR="0089207C" w:rsidRPr="00AC3044" w:rsidRDefault="0089207C" w:rsidP="002D3EBF">
            <w:pPr>
              <w:rPr>
                <w:rFonts w:eastAsia="SimSun"/>
              </w:rPr>
            </w:pPr>
            <w:r w:rsidRPr="00AC3044">
              <w:rPr>
                <w:rFonts w:eastAsia="SimSun"/>
              </w:rPr>
              <w:t>Кондиционирование</w:t>
            </w:r>
          </w:p>
        </w:tc>
        <w:tc>
          <w:tcPr>
            <w:tcW w:w="1701" w:type="dxa"/>
            <w:vAlign w:val="center"/>
          </w:tcPr>
          <w:p w14:paraId="0AFCABAD" w14:textId="77777777" w:rsidR="0089207C" w:rsidRPr="00AC3044" w:rsidRDefault="0089207C" w:rsidP="002D3EBF">
            <w:pPr>
              <w:rPr>
                <w:rFonts w:eastAsia="SimSun"/>
              </w:rPr>
            </w:pPr>
            <w:r w:rsidRPr="00AC3044">
              <w:rPr>
                <w:rFonts w:eastAsia="SimSun"/>
              </w:rPr>
              <w:t xml:space="preserve">Флударабин </w:t>
            </w:r>
          </w:p>
        </w:tc>
        <w:tc>
          <w:tcPr>
            <w:tcW w:w="1559" w:type="dxa"/>
            <w:vAlign w:val="center"/>
          </w:tcPr>
          <w:p w14:paraId="1A52C505" w14:textId="77777777" w:rsidR="0089207C" w:rsidRPr="00AC3044" w:rsidRDefault="0089207C" w:rsidP="002D3EBF">
            <w:pPr>
              <w:rPr>
                <w:rFonts w:eastAsia="SimSun"/>
              </w:rPr>
            </w:pPr>
            <w:r w:rsidRPr="00AC3044">
              <w:rPr>
                <w:rFonts w:eastAsia="SimSun"/>
              </w:rPr>
              <w:t>50 мг/м</w:t>
            </w:r>
            <w:r w:rsidRPr="00DB259E">
              <w:rPr>
                <w:rFonts w:eastAsia="SimSun"/>
                <w:vertAlign w:val="superscript"/>
              </w:rPr>
              <w:t>2</w:t>
            </w:r>
          </w:p>
        </w:tc>
        <w:tc>
          <w:tcPr>
            <w:tcW w:w="1418" w:type="dxa"/>
            <w:vAlign w:val="center"/>
          </w:tcPr>
          <w:p w14:paraId="745D1AFE" w14:textId="77777777" w:rsidR="0089207C" w:rsidRPr="00AC3044" w:rsidRDefault="0089207C" w:rsidP="002D3EBF">
            <w:pPr>
              <w:rPr>
                <w:rFonts w:eastAsia="SimSun"/>
              </w:rPr>
            </w:pPr>
            <w:r w:rsidRPr="00AC3044">
              <w:rPr>
                <w:rFonts w:eastAsia="SimSun"/>
              </w:rPr>
              <w:t>150 мг/м</w:t>
            </w:r>
            <w:r w:rsidRPr="00DB259E">
              <w:rPr>
                <w:rFonts w:eastAsia="SimSun"/>
                <w:vertAlign w:val="superscript"/>
              </w:rPr>
              <w:t>2</w:t>
            </w:r>
          </w:p>
        </w:tc>
        <w:tc>
          <w:tcPr>
            <w:tcW w:w="1701" w:type="dxa"/>
            <w:vAlign w:val="center"/>
          </w:tcPr>
          <w:p w14:paraId="32E17BBC" w14:textId="77777777" w:rsidR="0089207C" w:rsidRPr="00AC3044" w:rsidRDefault="0089207C" w:rsidP="002D3EBF">
            <w:pPr>
              <w:rPr>
                <w:rFonts w:eastAsia="SimSun"/>
              </w:rPr>
            </w:pPr>
            <w:r w:rsidRPr="00AC3044">
              <w:rPr>
                <w:rFonts w:eastAsia="SimSun"/>
              </w:rPr>
              <w:t>С –4 по –2 день</w:t>
            </w:r>
          </w:p>
        </w:tc>
        <w:tc>
          <w:tcPr>
            <w:tcW w:w="2268" w:type="dxa"/>
            <w:vAlign w:val="center"/>
          </w:tcPr>
          <w:p w14:paraId="0F549FB6"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09887D69" w14:textId="77777777" w:rsidTr="002D3EBF">
        <w:trPr>
          <w:cantSplit/>
          <w:trHeight w:val="560"/>
        </w:trPr>
        <w:tc>
          <w:tcPr>
            <w:tcW w:w="993" w:type="dxa"/>
            <w:vMerge/>
            <w:textDirection w:val="btLr"/>
            <w:vAlign w:val="center"/>
          </w:tcPr>
          <w:p w14:paraId="0A844FA1" w14:textId="77777777" w:rsidR="0089207C" w:rsidRPr="00AC3044" w:rsidRDefault="0089207C" w:rsidP="002D3EBF">
            <w:pPr>
              <w:rPr>
                <w:rFonts w:eastAsia="SimSun"/>
              </w:rPr>
            </w:pPr>
          </w:p>
        </w:tc>
        <w:tc>
          <w:tcPr>
            <w:tcW w:w="1701" w:type="dxa"/>
            <w:vAlign w:val="center"/>
          </w:tcPr>
          <w:p w14:paraId="10EF834C" w14:textId="77777777" w:rsidR="0089207C" w:rsidRPr="00AC3044" w:rsidRDefault="0089207C" w:rsidP="002D3EBF">
            <w:pPr>
              <w:rPr>
                <w:rFonts w:eastAsia="SimSun"/>
              </w:rPr>
            </w:pPr>
            <w:r w:rsidRPr="00AC3044">
              <w:rPr>
                <w:rFonts w:eastAsia="SimSun"/>
              </w:rPr>
              <w:t>Бусульфан</w:t>
            </w:r>
          </w:p>
        </w:tc>
        <w:tc>
          <w:tcPr>
            <w:tcW w:w="1559" w:type="dxa"/>
            <w:vAlign w:val="center"/>
          </w:tcPr>
          <w:p w14:paraId="4F8CA9BD" w14:textId="77777777" w:rsidR="0089207C" w:rsidRPr="00AC3044" w:rsidRDefault="0089207C" w:rsidP="002D3EBF">
            <w:pPr>
              <w:rPr>
                <w:rFonts w:eastAsia="SimSun"/>
              </w:rPr>
            </w:pPr>
            <w:r w:rsidRPr="00AC3044">
              <w:rPr>
                <w:rFonts w:eastAsia="SimSun"/>
              </w:rPr>
              <w:t>4 мг/кг</w:t>
            </w:r>
          </w:p>
        </w:tc>
        <w:tc>
          <w:tcPr>
            <w:tcW w:w="1418" w:type="dxa"/>
            <w:vAlign w:val="center"/>
          </w:tcPr>
          <w:p w14:paraId="62589B2A" w14:textId="77777777" w:rsidR="0089207C" w:rsidRPr="00AC3044" w:rsidRDefault="0089207C" w:rsidP="002D3EBF">
            <w:pPr>
              <w:rPr>
                <w:rFonts w:eastAsia="SimSun"/>
              </w:rPr>
            </w:pPr>
            <w:r w:rsidRPr="00AC3044">
              <w:rPr>
                <w:rFonts w:eastAsia="SimSun"/>
              </w:rPr>
              <w:t>8 мг/кг</w:t>
            </w:r>
          </w:p>
        </w:tc>
        <w:tc>
          <w:tcPr>
            <w:tcW w:w="1701" w:type="dxa"/>
            <w:vAlign w:val="center"/>
          </w:tcPr>
          <w:p w14:paraId="7C457C7C" w14:textId="77777777" w:rsidR="0089207C" w:rsidRPr="00AC3044" w:rsidRDefault="0089207C" w:rsidP="002D3EBF">
            <w:pPr>
              <w:rPr>
                <w:rFonts w:eastAsia="SimSun"/>
              </w:rPr>
            </w:pPr>
            <w:r w:rsidRPr="00AC3044">
              <w:rPr>
                <w:rFonts w:eastAsia="SimSun"/>
              </w:rPr>
              <w:t>–3, –2 дни</w:t>
            </w:r>
          </w:p>
        </w:tc>
        <w:tc>
          <w:tcPr>
            <w:tcW w:w="2268" w:type="dxa"/>
            <w:vAlign w:val="center"/>
          </w:tcPr>
          <w:p w14:paraId="10C5A646"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w:t>
            </w:r>
          </w:p>
        </w:tc>
      </w:tr>
      <w:tr w:rsidR="0089207C" w:rsidRPr="00AC3044" w14:paraId="0012AC0E" w14:textId="77777777" w:rsidTr="002D3EBF">
        <w:trPr>
          <w:cantSplit/>
          <w:trHeight w:val="809"/>
        </w:trPr>
        <w:tc>
          <w:tcPr>
            <w:tcW w:w="993" w:type="dxa"/>
            <w:vMerge/>
            <w:textDirection w:val="btLr"/>
            <w:vAlign w:val="center"/>
          </w:tcPr>
          <w:p w14:paraId="543FDE8A" w14:textId="77777777" w:rsidR="0089207C" w:rsidRPr="00AC3044" w:rsidRDefault="0089207C" w:rsidP="002D3EBF">
            <w:pPr>
              <w:rPr>
                <w:rFonts w:eastAsia="SimSun"/>
              </w:rPr>
            </w:pPr>
          </w:p>
        </w:tc>
        <w:tc>
          <w:tcPr>
            <w:tcW w:w="1701" w:type="dxa"/>
            <w:vAlign w:val="center"/>
          </w:tcPr>
          <w:p w14:paraId="31493338" w14:textId="77777777" w:rsidR="0089207C" w:rsidRPr="00AC3044" w:rsidRDefault="0089207C" w:rsidP="002D3EBF">
            <w:pPr>
              <w:rPr>
                <w:rFonts w:eastAsia="SimSun"/>
              </w:rPr>
            </w:pPr>
            <w:r w:rsidRPr="00AC3044">
              <w:rPr>
                <w:rFonts w:eastAsia="SimSun"/>
              </w:rPr>
              <w:t>Тиотепа</w:t>
            </w:r>
          </w:p>
        </w:tc>
        <w:tc>
          <w:tcPr>
            <w:tcW w:w="1559" w:type="dxa"/>
            <w:vAlign w:val="center"/>
          </w:tcPr>
          <w:p w14:paraId="603EB213" w14:textId="77777777" w:rsidR="0089207C" w:rsidRPr="00AC3044" w:rsidRDefault="0089207C" w:rsidP="002D3EBF">
            <w:pPr>
              <w:rPr>
                <w:rFonts w:eastAsia="SimSun"/>
              </w:rPr>
            </w:pPr>
            <w:r w:rsidRPr="00AC3044">
              <w:rPr>
                <w:rFonts w:eastAsia="SimSun"/>
              </w:rPr>
              <w:t>5 мг/кг</w:t>
            </w:r>
          </w:p>
        </w:tc>
        <w:tc>
          <w:tcPr>
            <w:tcW w:w="1418" w:type="dxa"/>
            <w:vAlign w:val="center"/>
          </w:tcPr>
          <w:p w14:paraId="60426EB9" w14:textId="77777777" w:rsidR="0089207C" w:rsidRPr="00AC3044" w:rsidRDefault="0089207C" w:rsidP="002D3EBF">
            <w:pPr>
              <w:rPr>
                <w:rFonts w:eastAsia="SimSun"/>
              </w:rPr>
            </w:pPr>
            <w:r w:rsidRPr="00AC3044">
              <w:rPr>
                <w:rFonts w:eastAsia="SimSun"/>
              </w:rPr>
              <w:t>10 мг/кг</w:t>
            </w:r>
          </w:p>
        </w:tc>
        <w:tc>
          <w:tcPr>
            <w:tcW w:w="1701" w:type="dxa"/>
            <w:vAlign w:val="center"/>
          </w:tcPr>
          <w:p w14:paraId="6F9E97A8" w14:textId="77777777" w:rsidR="0089207C" w:rsidRPr="00AC3044" w:rsidRDefault="0089207C" w:rsidP="002D3EBF">
            <w:pPr>
              <w:rPr>
                <w:rFonts w:eastAsia="SimSun"/>
              </w:rPr>
            </w:pPr>
            <w:r w:rsidRPr="00AC3044">
              <w:rPr>
                <w:rFonts w:eastAsia="SimSun"/>
              </w:rPr>
              <w:t>-6,-5 дни</w:t>
            </w:r>
          </w:p>
        </w:tc>
        <w:tc>
          <w:tcPr>
            <w:tcW w:w="2268" w:type="dxa"/>
            <w:vAlign w:val="center"/>
          </w:tcPr>
          <w:p w14:paraId="322CE9D0"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68893414" w14:textId="77777777" w:rsidTr="002D3EBF">
        <w:trPr>
          <w:cantSplit/>
          <w:trHeight w:val="1133"/>
        </w:trPr>
        <w:tc>
          <w:tcPr>
            <w:tcW w:w="993" w:type="dxa"/>
            <w:vMerge w:val="restart"/>
            <w:textDirection w:val="btLr"/>
            <w:vAlign w:val="center"/>
          </w:tcPr>
          <w:p w14:paraId="675F403E" w14:textId="77777777" w:rsidR="0089207C" w:rsidRPr="00AC3044" w:rsidRDefault="0089207C" w:rsidP="002D3EBF">
            <w:pPr>
              <w:rPr>
                <w:rFonts w:eastAsia="SimSun"/>
              </w:rPr>
            </w:pPr>
            <w:r w:rsidRPr="00AC3044">
              <w:rPr>
                <w:rFonts w:eastAsia="SimSun"/>
              </w:rPr>
              <w:t>Профилактика РТПХ</w:t>
            </w:r>
          </w:p>
        </w:tc>
        <w:tc>
          <w:tcPr>
            <w:tcW w:w="1701" w:type="dxa"/>
            <w:vAlign w:val="center"/>
          </w:tcPr>
          <w:p w14:paraId="4C307C57" w14:textId="77777777" w:rsidR="0089207C" w:rsidRPr="00AC3044" w:rsidRDefault="0089207C" w:rsidP="002D3EBF">
            <w:pPr>
              <w:rPr>
                <w:rFonts w:eastAsia="SimSun"/>
              </w:rPr>
            </w:pPr>
            <w:r w:rsidRPr="00AC3044">
              <w:rPr>
                <w:rFonts w:eastAsia="SimSun"/>
              </w:rPr>
              <w:t>Циклоспорин</w:t>
            </w:r>
          </w:p>
        </w:tc>
        <w:tc>
          <w:tcPr>
            <w:tcW w:w="1559" w:type="dxa"/>
            <w:vAlign w:val="center"/>
          </w:tcPr>
          <w:p w14:paraId="7B1EF9B5" w14:textId="77777777" w:rsidR="0089207C" w:rsidRPr="00AC3044" w:rsidRDefault="0089207C" w:rsidP="002D3EBF">
            <w:pPr>
              <w:rPr>
                <w:rFonts w:eastAsia="SimSun"/>
              </w:rPr>
            </w:pPr>
            <w:r w:rsidRPr="00AC3044">
              <w:rPr>
                <w:rFonts w:eastAsia="SimSun"/>
              </w:rPr>
              <w:t>3 мг/кг</w:t>
            </w:r>
          </w:p>
        </w:tc>
        <w:tc>
          <w:tcPr>
            <w:tcW w:w="1418" w:type="dxa"/>
            <w:vAlign w:val="center"/>
          </w:tcPr>
          <w:p w14:paraId="6E5E885E" w14:textId="77777777" w:rsidR="0089207C" w:rsidRPr="00AC3044" w:rsidRDefault="0089207C" w:rsidP="002D3EBF">
            <w:pPr>
              <w:rPr>
                <w:rFonts w:eastAsia="SimSun"/>
              </w:rPr>
            </w:pPr>
            <w:r w:rsidRPr="00AC3044">
              <w:rPr>
                <w:rFonts w:eastAsia="SimSun"/>
              </w:rPr>
              <w:t>–</w:t>
            </w:r>
          </w:p>
        </w:tc>
        <w:tc>
          <w:tcPr>
            <w:tcW w:w="1701" w:type="dxa"/>
            <w:vAlign w:val="center"/>
          </w:tcPr>
          <w:p w14:paraId="3BA2627A" w14:textId="77777777" w:rsidR="0089207C" w:rsidRPr="00AC3044" w:rsidRDefault="0089207C" w:rsidP="002D3EBF">
            <w:pPr>
              <w:rPr>
                <w:rFonts w:eastAsia="SimSun"/>
              </w:rPr>
            </w:pPr>
            <w:r w:rsidRPr="00AC3044">
              <w:rPr>
                <w:rFonts w:eastAsia="SimSun"/>
              </w:rPr>
              <w:t>С +5 дня по +90 день затем постепенное снижение к +180 дню</w:t>
            </w:r>
          </w:p>
        </w:tc>
        <w:tc>
          <w:tcPr>
            <w:tcW w:w="2268" w:type="dxa"/>
            <w:vAlign w:val="center"/>
          </w:tcPr>
          <w:p w14:paraId="5FA8C48D" w14:textId="77777777" w:rsidR="0089207C" w:rsidRPr="00AC3044" w:rsidRDefault="0089207C" w:rsidP="002D3EBF">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9207C" w:rsidRPr="00AC3044" w14:paraId="7163F5A8" w14:textId="77777777" w:rsidTr="002D3EBF">
        <w:trPr>
          <w:cantSplit/>
          <w:trHeight w:val="20"/>
        </w:trPr>
        <w:tc>
          <w:tcPr>
            <w:tcW w:w="993" w:type="dxa"/>
            <w:vMerge/>
            <w:textDirection w:val="btLr"/>
          </w:tcPr>
          <w:p w14:paraId="729FE1D1" w14:textId="77777777" w:rsidR="0089207C" w:rsidRPr="00AC3044" w:rsidRDefault="0089207C" w:rsidP="002D3EBF">
            <w:pPr>
              <w:rPr>
                <w:rFonts w:eastAsia="SimSun"/>
              </w:rPr>
            </w:pPr>
          </w:p>
        </w:tc>
        <w:tc>
          <w:tcPr>
            <w:tcW w:w="1701" w:type="dxa"/>
            <w:vAlign w:val="center"/>
          </w:tcPr>
          <w:p w14:paraId="7AA7071C" w14:textId="77777777" w:rsidR="0089207C" w:rsidRPr="00AC3044" w:rsidRDefault="0089207C" w:rsidP="002D3EBF">
            <w:pPr>
              <w:rPr>
                <w:rFonts w:eastAsia="SimSun"/>
              </w:rPr>
            </w:pPr>
            <w:r w:rsidRPr="00AC3044">
              <w:rPr>
                <w:rFonts w:eastAsia="SimSun"/>
              </w:rPr>
              <w:t>Микофенолата мофетил</w:t>
            </w:r>
          </w:p>
        </w:tc>
        <w:tc>
          <w:tcPr>
            <w:tcW w:w="1559" w:type="dxa"/>
            <w:vAlign w:val="center"/>
          </w:tcPr>
          <w:p w14:paraId="74C8A47F" w14:textId="77777777" w:rsidR="0089207C" w:rsidRPr="00AC3044" w:rsidRDefault="0089207C" w:rsidP="002D3EBF">
            <w:pPr>
              <w:rPr>
                <w:rFonts w:eastAsia="SimSun"/>
              </w:rPr>
            </w:pPr>
            <w:r w:rsidRPr="00AC3044">
              <w:rPr>
                <w:rFonts w:eastAsia="SimSun"/>
              </w:rPr>
              <w:t>30 мг/кг</w:t>
            </w:r>
          </w:p>
        </w:tc>
        <w:tc>
          <w:tcPr>
            <w:tcW w:w="1418" w:type="dxa"/>
            <w:vAlign w:val="center"/>
          </w:tcPr>
          <w:p w14:paraId="505B888F" w14:textId="77777777" w:rsidR="0089207C" w:rsidRPr="00AC3044" w:rsidRDefault="0089207C" w:rsidP="002D3EBF">
            <w:pPr>
              <w:rPr>
                <w:rFonts w:eastAsia="SimSun"/>
              </w:rPr>
            </w:pPr>
            <w:r w:rsidRPr="00AC3044">
              <w:rPr>
                <w:rFonts w:eastAsia="SimSun"/>
              </w:rPr>
              <w:t>–</w:t>
            </w:r>
          </w:p>
        </w:tc>
        <w:tc>
          <w:tcPr>
            <w:tcW w:w="1701" w:type="dxa"/>
            <w:vAlign w:val="center"/>
          </w:tcPr>
          <w:p w14:paraId="6292A97E" w14:textId="77777777" w:rsidR="0089207C" w:rsidRPr="00AC3044" w:rsidRDefault="0089207C" w:rsidP="002D3EBF">
            <w:pPr>
              <w:rPr>
                <w:rFonts w:eastAsia="SimSun"/>
              </w:rPr>
            </w:pPr>
            <w:r w:rsidRPr="00AC3044">
              <w:rPr>
                <w:rFonts w:eastAsia="SimSun"/>
              </w:rPr>
              <w:t>С +5 по +90 день</w:t>
            </w:r>
          </w:p>
        </w:tc>
        <w:tc>
          <w:tcPr>
            <w:tcW w:w="2268" w:type="dxa"/>
            <w:vAlign w:val="center"/>
          </w:tcPr>
          <w:p w14:paraId="2F7D34EB" w14:textId="77777777" w:rsidR="0089207C" w:rsidRPr="00AC3044" w:rsidRDefault="0089207C" w:rsidP="002D3EBF">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89207C" w:rsidRPr="00AC3044" w14:paraId="032D0261" w14:textId="77777777" w:rsidTr="002D3EBF">
        <w:trPr>
          <w:cantSplit/>
          <w:trHeight w:val="20"/>
        </w:trPr>
        <w:tc>
          <w:tcPr>
            <w:tcW w:w="993" w:type="dxa"/>
            <w:vMerge/>
            <w:textDirection w:val="btLr"/>
          </w:tcPr>
          <w:p w14:paraId="22D42984" w14:textId="77777777" w:rsidR="0089207C" w:rsidRPr="00AC3044" w:rsidRDefault="0089207C" w:rsidP="002D3EBF">
            <w:pPr>
              <w:rPr>
                <w:rFonts w:eastAsia="SimSun"/>
              </w:rPr>
            </w:pPr>
          </w:p>
        </w:tc>
        <w:tc>
          <w:tcPr>
            <w:tcW w:w="1701" w:type="dxa"/>
            <w:vAlign w:val="center"/>
          </w:tcPr>
          <w:p w14:paraId="40496D9E" w14:textId="77777777" w:rsidR="0089207C" w:rsidRPr="00AC3044" w:rsidRDefault="0089207C" w:rsidP="002D3EBF">
            <w:pPr>
              <w:rPr>
                <w:rFonts w:eastAsia="SimSun"/>
              </w:rPr>
            </w:pPr>
            <w:r w:rsidRPr="00AC3044">
              <w:rPr>
                <w:rFonts w:eastAsia="SimSun"/>
              </w:rPr>
              <w:t>Циклофосфамид</w:t>
            </w:r>
          </w:p>
        </w:tc>
        <w:tc>
          <w:tcPr>
            <w:tcW w:w="1559" w:type="dxa"/>
            <w:vAlign w:val="center"/>
          </w:tcPr>
          <w:p w14:paraId="5BFF16DF" w14:textId="77777777" w:rsidR="0089207C" w:rsidRPr="00AC3044" w:rsidRDefault="0089207C" w:rsidP="002D3EBF">
            <w:pPr>
              <w:rPr>
                <w:rFonts w:eastAsia="SimSun"/>
              </w:rPr>
            </w:pPr>
            <w:r w:rsidRPr="00AC3044">
              <w:rPr>
                <w:rFonts w:eastAsia="SimSun"/>
              </w:rPr>
              <w:t>50 мг/кг</w:t>
            </w:r>
          </w:p>
        </w:tc>
        <w:tc>
          <w:tcPr>
            <w:tcW w:w="1418" w:type="dxa"/>
            <w:vAlign w:val="center"/>
          </w:tcPr>
          <w:p w14:paraId="641D45FF" w14:textId="77777777" w:rsidR="0089207C" w:rsidRPr="00AC3044" w:rsidRDefault="0089207C" w:rsidP="002D3EBF">
            <w:pPr>
              <w:rPr>
                <w:rFonts w:eastAsia="SimSun"/>
              </w:rPr>
            </w:pPr>
            <w:r w:rsidRPr="00AC3044">
              <w:rPr>
                <w:rFonts w:eastAsia="SimSun"/>
              </w:rPr>
              <w:t>100 мг/кг</w:t>
            </w:r>
          </w:p>
        </w:tc>
        <w:tc>
          <w:tcPr>
            <w:tcW w:w="1701" w:type="dxa"/>
            <w:vAlign w:val="center"/>
          </w:tcPr>
          <w:p w14:paraId="5213316F" w14:textId="77777777" w:rsidR="0089207C" w:rsidRPr="00AC3044" w:rsidRDefault="0089207C" w:rsidP="002D3EBF">
            <w:pPr>
              <w:rPr>
                <w:rFonts w:eastAsia="SimSun"/>
              </w:rPr>
            </w:pPr>
            <w:r w:rsidRPr="00AC3044">
              <w:rPr>
                <w:rFonts w:eastAsia="SimSun"/>
              </w:rPr>
              <w:t xml:space="preserve">+3,+4 дни </w:t>
            </w:r>
          </w:p>
        </w:tc>
        <w:tc>
          <w:tcPr>
            <w:tcW w:w="2268" w:type="dxa"/>
            <w:vAlign w:val="center"/>
          </w:tcPr>
          <w:p w14:paraId="455C5B72" w14:textId="77777777" w:rsidR="0089207C" w:rsidRPr="00AC3044" w:rsidRDefault="0089207C" w:rsidP="002D3EBF">
            <w:pPr>
              <w:rPr>
                <w:rFonts w:eastAsia="SimSun"/>
              </w:rPr>
            </w:pPr>
            <w:r w:rsidRPr="00AC3044">
              <w:rPr>
                <w:rFonts w:eastAsia="SimSun"/>
              </w:rPr>
              <w:t>В/в, в течение 2 часов</w:t>
            </w:r>
          </w:p>
        </w:tc>
      </w:tr>
    </w:tbl>
    <w:p w14:paraId="70C0EE2B" w14:textId="77777777" w:rsidR="0089207C" w:rsidRPr="00C07B2E" w:rsidRDefault="0089207C" w:rsidP="0089207C">
      <w:pPr>
        <w:rPr>
          <w:rFonts w:eastAsia="SimSun"/>
        </w:rPr>
      </w:pPr>
    </w:p>
    <w:p w14:paraId="347DEAE6" w14:textId="77777777" w:rsidR="0089207C" w:rsidRPr="00C07B2E" w:rsidRDefault="0089207C" w:rsidP="0089207C">
      <w:pPr>
        <w:rPr>
          <w:rFonts w:eastAsia="SimSun"/>
        </w:rPr>
      </w:pPr>
      <w:bookmarkStart w:id="250" w:name="_Toc44401204"/>
      <w:r w:rsidRPr="00042499">
        <w:rPr>
          <w:rFonts w:eastAsia="SimSun"/>
        </w:rPr>
        <w:t>Таблица</w:t>
      </w:r>
      <w:r w:rsidRPr="00C07B2E">
        <w:rPr>
          <w:rFonts w:eastAsia="SimSun"/>
        </w:rPr>
        <w:t xml:space="preserve"> </w:t>
      </w:r>
      <w:r>
        <w:rPr>
          <w:rFonts w:eastAsia="SimSun"/>
        </w:rPr>
        <w:t>5.</w:t>
      </w:r>
      <w:r w:rsidRPr="00C07B2E">
        <w:rPr>
          <w:rFonts w:eastAsia="SimSun"/>
        </w:rPr>
        <w:t>2.2.4  – Flu150+Bu8+Thio / PT-Cy+ CSA+MMF45</w:t>
      </w:r>
      <w:bookmarkEnd w:id="250"/>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89207C" w:rsidRPr="00AC3044" w14:paraId="51C83022" w14:textId="77777777" w:rsidTr="002D3EBF">
        <w:trPr>
          <w:cantSplit/>
          <w:trHeight w:val="20"/>
          <w:tblHeader/>
        </w:trPr>
        <w:tc>
          <w:tcPr>
            <w:tcW w:w="851" w:type="dxa"/>
          </w:tcPr>
          <w:p w14:paraId="5DA94D19" w14:textId="77777777" w:rsidR="0089207C" w:rsidRPr="00470D3D" w:rsidRDefault="0089207C" w:rsidP="002D3EBF">
            <w:pPr>
              <w:rPr>
                <w:rFonts w:eastAsia="SimSun"/>
              </w:rPr>
            </w:pPr>
          </w:p>
        </w:tc>
        <w:tc>
          <w:tcPr>
            <w:tcW w:w="1701" w:type="dxa"/>
            <w:vAlign w:val="center"/>
          </w:tcPr>
          <w:p w14:paraId="42FFA63A" w14:textId="77777777" w:rsidR="0089207C" w:rsidRPr="00AC3044" w:rsidRDefault="0089207C" w:rsidP="002D3EBF">
            <w:pPr>
              <w:rPr>
                <w:rFonts w:eastAsia="SimSun"/>
              </w:rPr>
            </w:pPr>
            <w:r w:rsidRPr="00AC3044">
              <w:rPr>
                <w:rFonts w:eastAsia="SimSun"/>
              </w:rPr>
              <w:t>Препарат</w:t>
            </w:r>
          </w:p>
        </w:tc>
        <w:tc>
          <w:tcPr>
            <w:tcW w:w="1559" w:type="dxa"/>
            <w:vAlign w:val="center"/>
          </w:tcPr>
          <w:p w14:paraId="6498D95B" w14:textId="77777777" w:rsidR="0089207C" w:rsidRPr="00AC3044" w:rsidRDefault="0089207C" w:rsidP="002D3EBF">
            <w:pPr>
              <w:rPr>
                <w:rFonts w:eastAsia="SimSun"/>
              </w:rPr>
            </w:pPr>
            <w:r w:rsidRPr="00AC3044">
              <w:rPr>
                <w:rFonts w:eastAsia="SimSun"/>
              </w:rPr>
              <w:t>Суточная доза</w:t>
            </w:r>
          </w:p>
        </w:tc>
        <w:tc>
          <w:tcPr>
            <w:tcW w:w="1418" w:type="dxa"/>
            <w:vAlign w:val="center"/>
          </w:tcPr>
          <w:p w14:paraId="56D7738A" w14:textId="77777777" w:rsidR="0089207C" w:rsidRPr="00AC3044" w:rsidRDefault="0089207C" w:rsidP="002D3EBF">
            <w:pPr>
              <w:rPr>
                <w:rFonts w:eastAsia="SimSun"/>
              </w:rPr>
            </w:pPr>
            <w:r w:rsidRPr="00AC3044">
              <w:rPr>
                <w:rFonts w:eastAsia="SimSun"/>
              </w:rPr>
              <w:t>Курсовая доза</w:t>
            </w:r>
          </w:p>
        </w:tc>
        <w:tc>
          <w:tcPr>
            <w:tcW w:w="1701" w:type="dxa"/>
            <w:vAlign w:val="center"/>
          </w:tcPr>
          <w:p w14:paraId="22785C29"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7E74615D"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27B1604A" w14:textId="77777777" w:rsidTr="002D3EBF">
        <w:trPr>
          <w:cantSplit/>
          <w:trHeight w:val="20"/>
        </w:trPr>
        <w:tc>
          <w:tcPr>
            <w:tcW w:w="851" w:type="dxa"/>
            <w:vMerge w:val="restart"/>
            <w:textDirection w:val="btLr"/>
            <w:vAlign w:val="center"/>
          </w:tcPr>
          <w:p w14:paraId="07EB723B" w14:textId="77777777" w:rsidR="0089207C" w:rsidRPr="00AC3044" w:rsidRDefault="0089207C" w:rsidP="002D3EBF">
            <w:pPr>
              <w:rPr>
                <w:rFonts w:eastAsia="SimSun"/>
              </w:rPr>
            </w:pPr>
            <w:r w:rsidRPr="00AC3044">
              <w:rPr>
                <w:rFonts w:eastAsia="SimSun"/>
              </w:rPr>
              <w:t>Кондиционирование</w:t>
            </w:r>
          </w:p>
        </w:tc>
        <w:tc>
          <w:tcPr>
            <w:tcW w:w="1701" w:type="dxa"/>
            <w:vAlign w:val="center"/>
          </w:tcPr>
          <w:p w14:paraId="6E89E7CB" w14:textId="77777777" w:rsidR="0089207C" w:rsidRPr="00AC3044" w:rsidRDefault="0089207C" w:rsidP="002D3EBF">
            <w:pPr>
              <w:rPr>
                <w:rFonts w:eastAsia="SimSun"/>
              </w:rPr>
            </w:pPr>
            <w:r w:rsidRPr="00AC3044">
              <w:rPr>
                <w:rFonts w:eastAsia="SimSun"/>
              </w:rPr>
              <w:t xml:space="preserve">Флударабин </w:t>
            </w:r>
          </w:p>
        </w:tc>
        <w:tc>
          <w:tcPr>
            <w:tcW w:w="1559" w:type="dxa"/>
            <w:vAlign w:val="center"/>
          </w:tcPr>
          <w:p w14:paraId="3B8E56F3" w14:textId="77777777" w:rsidR="0089207C" w:rsidRPr="00AC3044" w:rsidRDefault="0089207C" w:rsidP="002D3EBF">
            <w:pPr>
              <w:rPr>
                <w:rFonts w:eastAsia="SimSun"/>
              </w:rPr>
            </w:pPr>
            <w:r w:rsidRPr="00AC3044">
              <w:rPr>
                <w:rFonts w:eastAsia="SimSun"/>
              </w:rPr>
              <w:t>50 мг/м</w:t>
            </w:r>
            <w:r w:rsidRPr="00DB259E">
              <w:rPr>
                <w:rFonts w:eastAsia="SimSun"/>
                <w:vertAlign w:val="superscript"/>
              </w:rPr>
              <w:t>2</w:t>
            </w:r>
          </w:p>
        </w:tc>
        <w:tc>
          <w:tcPr>
            <w:tcW w:w="1418" w:type="dxa"/>
            <w:vAlign w:val="center"/>
          </w:tcPr>
          <w:p w14:paraId="5EAA7A06" w14:textId="77777777" w:rsidR="0089207C" w:rsidRPr="00AC3044" w:rsidRDefault="0089207C" w:rsidP="002D3EBF">
            <w:pPr>
              <w:rPr>
                <w:rFonts w:eastAsia="SimSun"/>
              </w:rPr>
            </w:pPr>
            <w:r w:rsidRPr="00AC3044">
              <w:rPr>
                <w:rFonts w:eastAsia="SimSun"/>
              </w:rPr>
              <w:t>150 мг/м</w:t>
            </w:r>
            <w:r w:rsidRPr="00DB259E">
              <w:rPr>
                <w:rFonts w:eastAsia="SimSun"/>
                <w:vertAlign w:val="superscript"/>
              </w:rPr>
              <w:t>2</w:t>
            </w:r>
          </w:p>
        </w:tc>
        <w:tc>
          <w:tcPr>
            <w:tcW w:w="1701" w:type="dxa"/>
            <w:vAlign w:val="center"/>
          </w:tcPr>
          <w:p w14:paraId="4D181889" w14:textId="77777777" w:rsidR="0089207C" w:rsidRPr="00AC3044" w:rsidRDefault="0089207C" w:rsidP="002D3EBF">
            <w:pPr>
              <w:rPr>
                <w:rFonts w:eastAsia="SimSun"/>
              </w:rPr>
            </w:pPr>
            <w:r w:rsidRPr="00AC3044">
              <w:rPr>
                <w:rFonts w:eastAsia="SimSun"/>
              </w:rPr>
              <w:t>С –4 по –2 день</w:t>
            </w:r>
          </w:p>
        </w:tc>
        <w:tc>
          <w:tcPr>
            <w:tcW w:w="2268" w:type="dxa"/>
            <w:vAlign w:val="center"/>
          </w:tcPr>
          <w:p w14:paraId="3072303D"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343E766D" w14:textId="77777777" w:rsidTr="002D3EBF">
        <w:trPr>
          <w:cantSplit/>
          <w:trHeight w:val="1015"/>
        </w:trPr>
        <w:tc>
          <w:tcPr>
            <w:tcW w:w="851" w:type="dxa"/>
            <w:vMerge/>
            <w:textDirection w:val="btLr"/>
            <w:vAlign w:val="center"/>
          </w:tcPr>
          <w:p w14:paraId="5AC7BF56" w14:textId="77777777" w:rsidR="0089207C" w:rsidRPr="00AC3044" w:rsidRDefault="0089207C" w:rsidP="002D3EBF">
            <w:pPr>
              <w:rPr>
                <w:rFonts w:eastAsia="SimSun"/>
              </w:rPr>
            </w:pPr>
          </w:p>
        </w:tc>
        <w:tc>
          <w:tcPr>
            <w:tcW w:w="1701" w:type="dxa"/>
            <w:vAlign w:val="center"/>
          </w:tcPr>
          <w:p w14:paraId="3C0438E2" w14:textId="77777777" w:rsidR="0089207C" w:rsidRPr="00AC3044" w:rsidRDefault="0089207C" w:rsidP="002D3EBF">
            <w:pPr>
              <w:rPr>
                <w:rFonts w:eastAsia="SimSun"/>
              </w:rPr>
            </w:pPr>
            <w:r w:rsidRPr="00AC3044">
              <w:rPr>
                <w:rFonts w:eastAsia="SimSun"/>
              </w:rPr>
              <w:t>Бусульфан</w:t>
            </w:r>
          </w:p>
        </w:tc>
        <w:tc>
          <w:tcPr>
            <w:tcW w:w="1559" w:type="dxa"/>
            <w:vAlign w:val="center"/>
          </w:tcPr>
          <w:p w14:paraId="09070C7F" w14:textId="77777777" w:rsidR="0089207C" w:rsidRPr="00AC3044" w:rsidRDefault="0089207C" w:rsidP="002D3EBF">
            <w:pPr>
              <w:rPr>
                <w:rFonts w:eastAsia="SimSun"/>
              </w:rPr>
            </w:pPr>
            <w:r w:rsidRPr="00AC3044">
              <w:rPr>
                <w:rFonts w:eastAsia="SimSun"/>
              </w:rPr>
              <w:t>4 мг/кг</w:t>
            </w:r>
          </w:p>
        </w:tc>
        <w:tc>
          <w:tcPr>
            <w:tcW w:w="1418" w:type="dxa"/>
            <w:vAlign w:val="center"/>
          </w:tcPr>
          <w:p w14:paraId="6E77282B" w14:textId="77777777" w:rsidR="0089207C" w:rsidRPr="00AC3044" w:rsidRDefault="0089207C" w:rsidP="002D3EBF">
            <w:pPr>
              <w:rPr>
                <w:rFonts w:eastAsia="SimSun"/>
              </w:rPr>
            </w:pPr>
            <w:r w:rsidRPr="00AC3044">
              <w:rPr>
                <w:rFonts w:eastAsia="SimSun"/>
              </w:rPr>
              <w:t>8 мг/кг</w:t>
            </w:r>
          </w:p>
        </w:tc>
        <w:tc>
          <w:tcPr>
            <w:tcW w:w="1701" w:type="dxa"/>
            <w:vAlign w:val="center"/>
          </w:tcPr>
          <w:p w14:paraId="6C4CF720" w14:textId="77777777" w:rsidR="0089207C" w:rsidRPr="00AC3044" w:rsidRDefault="0089207C" w:rsidP="002D3EBF">
            <w:pPr>
              <w:rPr>
                <w:rFonts w:eastAsia="SimSun"/>
              </w:rPr>
            </w:pPr>
            <w:r w:rsidRPr="00AC3044">
              <w:rPr>
                <w:rFonts w:eastAsia="SimSun"/>
              </w:rPr>
              <w:t>–3, –2 дни</w:t>
            </w:r>
          </w:p>
        </w:tc>
        <w:tc>
          <w:tcPr>
            <w:tcW w:w="2268" w:type="dxa"/>
            <w:vAlign w:val="center"/>
          </w:tcPr>
          <w:p w14:paraId="5FB16A0E"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w:t>
            </w:r>
          </w:p>
        </w:tc>
      </w:tr>
      <w:tr w:rsidR="0089207C" w:rsidRPr="00AC3044" w14:paraId="31DE6A4F" w14:textId="77777777" w:rsidTr="002D3EBF">
        <w:trPr>
          <w:cantSplit/>
          <w:trHeight w:val="238"/>
        </w:trPr>
        <w:tc>
          <w:tcPr>
            <w:tcW w:w="851" w:type="dxa"/>
            <w:vMerge/>
            <w:textDirection w:val="btLr"/>
            <w:vAlign w:val="center"/>
          </w:tcPr>
          <w:p w14:paraId="5B51F72E" w14:textId="77777777" w:rsidR="0089207C" w:rsidRPr="00AC3044" w:rsidRDefault="0089207C" w:rsidP="002D3EBF">
            <w:pPr>
              <w:rPr>
                <w:rFonts w:eastAsia="SimSun"/>
              </w:rPr>
            </w:pPr>
          </w:p>
        </w:tc>
        <w:tc>
          <w:tcPr>
            <w:tcW w:w="1701" w:type="dxa"/>
            <w:vAlign w:val="center"/>
          </w:tcPr>
          <w:p w14:paraId="728499C4" w14:textId="77777777" w:rsidR="0089207C" w:rsidRPr="00AC3044" w:rsidRDefault="0089207C" w:rsidP="002D3EBF">
            <w:pPr>
              <w:rPr>
                <w:rFonts w:eastAsia="SimSun"/>
              </w:rPr>
            </w:pPr>
            <w:r w:rsidRPr="00AC3044">
              <w:rPr>
                <w:rFonts w:eastAsia="SimSun"/>
              </w:rPr>
              <w:t>Тиотепа</w:t>
            </w:r>
          </w:p>
        </w:tc>
        <w:tc>
          <w:tcPr>
            <w:tcW w:w="1559" w:type="dxa"/>
            <w:vAlign w:val="center"/>
          </w:tcPr>
          <w:p w14:paraId="640BF048" w14:textId="77777777" w:rsidR="0089207C" w:rsidRPr="00AC3044" w:rsidRDefault="0089207C" w:rsidP="002D3EBF">
            <w:pPr>
              <w:rPr>
                <w:rFonts w:eastAsia="SimSun"/>
              </w:rPr>
            </w:pPr>
            <w:r w:rsidRPr="00AC3044">
              <w:rPr>
                <w:rFonts w:eastAsia="SimSun"/>
              </w:rPr>
              <w:t>5 мг/кг</w:t>
            </w:r>
          </w:p>
        </w:tc>
        <w:tc>
          <w:tcPr>
            <w:tcW w:w="1418" w:type="dxa"/>
            <w:vAlign w:val="center"/>
          </w:tcPr>
          <w:p w14:paraId="390DF291" w14:textId="77777777" w:rsidR="0089207C" w:rsidRPr="00AC3044" w:rsidRDefault="0089207C" w:rsidP="002D3EBF">
            <w:pPr>
              <w:rPr>
                <w:rFonts w:eastAsia="SimSun"/>
              </w:rPr>
            </w:pPr>
            <w:r w:rsidRPr="00AC3044">
              <w:rPr>
                <w:rFonts w:eastAsia="SimSun"/>
              </w:rPr>
              <w:t>10 мг/кг</w:t>
            </w:r>
          </w:p>
        </w:tc>
        <w:tc>
          <w:tcPr>
            <w:tcW w:w="1701" w:type="dxa"/>
            <w:vAlign w:val="center"/>
          </w:tcPr>
          <w:p w14:paraId="671F7A8B" w14:textId="77777777" w:rsidR="0089207C" w:rsidRPr="00AC3044" w:rsidRDefault="0089207C" w:rsidP="002D3EBF">
            <w:pPr>
              <w:rPr>
                <w:rFonts w:eastAsia="SimSun"/>
              </w:rPr>
            </w:pPr>
            <w:r w:rsidRPr="00AC3044">
              <w:rPr>
                <w:rFonts w:eastAsia="SimSun"/>
              </w:rPr>
              <w:t>-6,-5 дни</w:t>
            </w:r>
          </w:p>
        </w:tc>
        <w:tc>
          <w:tcPr>
            <w:tcW w:w="2268" w:type="dxa"/>
            <w:vAlign w:val="center"/>
          </w:tcPr>
          <w:p w14:paraId="3DAD067B"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05C825F0" w14:textId="77777777" w:rsidTr="002D3EBF">
        <w:trPr>
          <w:cantSplit/>
          <w:trHeight w:val="2464"/>
        </w:trPr>
        <w:tc>
          <w:tcPr>
            <w:tcW w:w="851" w:type="dxa"/>
            <w:vMerge w:val="restart"/>
            <w:textDirection w:val="btLr"/>
            <w:vAlign w:val="center"/>
          </w:tcPr>
          <w:p w14:paraId="3CA1396F" w14:textId="77777777" w:rsidR="0089207C" w:rsidRPr="00AC3044" w:rsidRDefault="0089207C" w:rsidP="002D3EBF">
            <w:pPr>
              <w:rPr>
                <w:rFonts w:eastAsia="SimSun"/>
              </w:rPr>
            </w:pPr>
            <w:r w:rsidRPr="00AC3044">
              <w:rPr>
                <w:rFonts w:eastAsia="SimSun"/>
              </w:rPr>
              <w:t>Профилактика РТПХ</w:t>
            </w:r>
          </w:p>
        </w:tc>
        <w:tc>
          <w:tcPr>
            <w:tcW w:w="1701" w:type="dxa"/>
            <w:vAlign w:val="center"/>
          </w:tcPr>
          <w:p w14:paraId="10251DE9" w14:textId="77777777" w:rsidR="0089207C" w:rsidRPr="00AC3044" w:rsidRDefault="0089207C" w:rsidP="002D3EBF">
            <w:pPr>
              <w:rPr>
                <w:rFonts w:eastAsia="SimSun"/>
              </w:rPr>
            </w:pPr>
            <w:r w:rsidRPr="00AC3044">
              <w:rPr>
                <w:rFonts w:eastAsia="SimSun"/>
              </w:rPr>
              <w:t>Циклоспорин</w:t>
            </w:r>
          </w:p>
        </w:tc>
        <w:tc>
          <w:tcPr>
            <w:tcW w:w="1559" w:type="dxa"/>
            <w:vAlign w:val="center"/>
          </w:tcPr>
          <w:p w14:paraId="7AF92B2A" w14:textId="77777777" w:rsidR="0089207C" w:rsidRPr="00AC3044" w:rsidRDefault="0089207C" w:rsidP="002D3EBF">
            <w:pPr>
              <w:rPr>
                <w:rFonts w:eastAsia="SimSun"/>
              </w:rPr>
            </w:pPr>
            <w:r w:rsidRPr="00AC3044">
              <w:rPr>
                <w:rFonts w:eastAsia="SimSun"/>
              </w:rPr>
              <w:t>3 мг/кг</w:t>
            </w:r>
          </w:p>
        </w:tc>
        <w:tc>
          <w:tcPr>
            <w:tcW w:w="1418" w:type="dxa"/>
            <w:vAlign w:val="center"/>
          </w:tcPr>
          <w:p w14:paraId="43F9DAF3" w14:textId="77777777" w:rsidR="0089207C" w:rsidRPr="00AC3044" w:rsidRDefault="0089207C" w:rsidP="002D3EBF">
            <w:pPr>
              <w:rPr>
                <w:rFonts w:eastAsia="SimSun"/>
              </w:rPr>
            </w:pPr>
            <w:r w:rsidRPr="00AC3044">
              <w:rPr>
                <w:rFonts w:eastAsia="SimSun"/>
              </w:rPr>
              <w:t>–</w:t>
            </w:r>
          </w:p>
        </w:tc>
        <w:tc>
          <w:tcPr>
            <w:tcW w:w="1701" w:type="dxa"/>
            <w:vAlign w:val="center"/>
          </w:tcPr>
          <w:p w14:paraId="63517D4F" w14:textId="77777777" w:rsidR="0089207C" w:rsidRPr="00AC3044" w:rsidRDefault="0089207C" w:rsidP="002D3EBF">
            <w:pPr>
              <w:rPr>
                <w:rFonts w:eastAsia="SimSun"/>
              </w:rPr>
            </w:pPr>
            <w:r w:rsidRPr="00AC3044">
              <w:rPr>
                <w:rFonts w:eastAsia="SimSun"/>
              </w:rPr>
              <w:t>С +5 дня по +90 день затем постепенное снижение к +180 дню</w:t>
            </w:r>
          </w:p>
        </w:tc>
        <w:tc>
          <w:tcPr>
            <w:tcW w:w="2268" w:type="dxa"/>
            <w:vAlign w:val="center"/>
          </w:tcPr>
          <w:p w14:paraId="48412228" w14:textId="77777777" w:rsidR="0089207C" w:rsidRPr="00AC3044" w:rsidRDefault="0089207C" w:rsidP="002D3EBF">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9207C" w:rsidRPr="00AC3044" w14:paraId="553D7EF6" w14:textId="77777777" w:rsidTr="002D3EBF">
        <w:trPr>
          <w:cantSplit/>
          <w:trHeight w:val="20"/>
        </w:trPr>
        <w:tc>
          <w:tcPr>
            <w:tcW w:w="851" w:type="dxa"/>
            <w:vMerge/>
            <w:textDirection w:val="btLr"/>
          </w:tcPr>
          <w:p w14:paraId="6A640DA6" w14:textId="77777777" w:rsidR="0089207C" w:rsidRPr="00AC3044" w:rsidRDefault="0089207C" w:rsidP="002D3EBF">
            <w:pPr>
              <w:rPr>
                <w:rFonts w:eastAsia="SimSun"/>
              </w:rPr>
            </w:pPr>
          </w:p>
        </w:tc>
        <w:tc>
          <w:tcPr>
            <w:tcW w:w="1701" w:type="dxa"/>
            <w:vAlign w:val="center"/>
          </w:tcPr>
          <w:p w14:paraId="1B6C929E" w14:textId="77777777" w:rsidR="0089207C" w:rsidRPr="00AC3044" w:rsidRDefault="0089207C" w:rsidP="002D3EBF">
            <w:pPr>
              <w:rPr>
                <w:rFonts w:eastAsia="SimSun"/>
              </w:rPr>
            </w:pPr>
            <w:r w:rsidRPr="00AC3044">
              <w:rPr>
                <w:rFonts w:eastAsia="SimSun"/>
              </w:rPr>
              <w:t>Микофенолата мофетил</w:t>
            </w:r>
          </w:p>
        </w:tc>
        <w:tc>
          <w:tcPr>
            <w:tcW w:w="1559" w:type="dxa"/>
            <w:vAlign w:val="center"/>
          </w:tcPr>
          <w:p w14:paraId="2F416DCC" w14:textId="77777777" w:rsidR="0089207C" w:rsidRPr="00AC3044" w:rsidRDefault="0089207C" w:rsidP="002D3EBF">
            <w:pPr>
              <w:rPr>
                <w:rFonts w:eastAsia="SimSun"/>
              </w:rPr>
            </w:pPr>
            <w:r w:rsidRPr="00AC3044">
              <w:rPr>
                <w:rFonts w:eastAsia="SimSun"/>
              </w:rPr>
              <w:t>45 мг/кг</w:t>
            </w:r>
          </w:p>
        </w:tc>
        <w:tc>
          <w:tcPr>
            <w:tcW w:w="1418" w:type="dxa"/>
            <w:vAlign w:val="center"/>
          </w:tcPr>
          <w:p w14:paraId="7C1E0000" w14:textId="77777777" w:rsidR="0089207C" w:rsidRPr="00AC3044" w:rsidRDefault="0089207C" w:rsidP="002D3EBF">
            <w:pPr>
              <w:rPr>
                <w:rFonts w:eastAsia="SimSun"/>
              </w:rPr>
            </w:pPr>
            <w:r w:rsidRPr="00AC3044">
              <w:rPr>
                <w:rFonts w:eastAsia="SimSun"/>
              </w:rPr>
              <w:t>–</w:t>
            </w:r>
          </w:p>
        </w:tc>
        <w:tc>
          <w:tcPr>
            <w:tcW w:w="1701" w:type="dxa"/>
            <w:vAlign w:val="center"/>
          </w:tcPr>
          <w:p w14:paraId="25F2F87D" w14:textId="77777777" w:rsidR="0089207C" w:rsidRPr="00AC3044" w:rsidRDefault="0089207C" w:rsidP="002D3EBF">
            <w:pPr>
              <w:rPr>
                <w:rFonts w:eastAsia="SimSun"/>
              </w:rPr>
            </w:pPr>
            <w:r w:rsidRPr="00AC3044">
              <w:rPr>
                <w:rFonts w:eastAsia="SimSun"/>
              </w:rPr>
              <w:t>С +5 по +90 день</w:t>
            </w:r>
          </w:p>
        </w:tc>
        <w:tc>
          <w:tcPr>
            <w:tcW w:w="2268" w:type="dxa"/>
            <w:vAlign w:val="center"/>
          </w:tcPr>
          <w:p w14:paraId="753389E1" w14:textId="77777777" w:rsidR="0089207C" w:rsidRPr="00AC3044" w:rsidRDefault="0089207C" w:rsidP="002D3EBF">
            <w:pPr>
              <w:rPr>
                <w:rFonts w:eastAsia="SimSun"/>
              </w:rPr>
            </w:pPr>
            <w:r w:rsidRPr="00AC3044">
              <w:rPr>
                <w:rFonts w:eastAsia="SimSun"/>
              </w:rPr>
              <w:t xml:space="preserve">Внутрь, суммарная суточная доза разделяется на 2- 4 приема (не более 3г/сут).  </w:t>
            </w:r>
          </w:p>
        </w:tc>
      </w:tr>
      <w:tr w:rsidR="0089207C" w:rsidRPr="00AC3044" w14:paraId="43DA8968" w14:textId="77777777" w:rsidTr="002D3EBF">
        <w:trPr>
          <w:cantSplit/>
          <w:trHeight w:val="20"/>
        </w:trPr>
        <w:tc>
          <w:tcPr>
            <w:tcW w:w="851" w:type="dxa"/>
            <w:vMerge/>
            <w:textDirection w:val="btLr"/>
          </w:tcPr>
          <w:p w14:paraId="333C97E2" w14:textId="77777777" w:rsidR="0089207C" w:rsidRPr="00AC3044" w:rsidRDefault="0089207C" w:rsidP="002D3EBF">
            <w:pPr>
              <w:rPr>
                <w:rFonts w:eastAsia="SimSun"/>
              </w:rPr>
            </w:pPr>
          </w:p>
        </w:tc>
        <w:tc>
          <w:tcPr>
            <w:tcW w:w="1701" w:type="dxa"/>
            <w:vAlign w:val="center"/>
          </w:tcPr>
          <w:p w14:paraId="369B7DE3" w14:textId="77777777" w:rsidR="0089207C" w:rsidRPr="00AC3044" w:rsidRDefault="0089207C" w:rsidP="002D3EBF">
            <w:pPr>
              <w:rPr>
                <w:rFonts w:eastAsia="SimSun"/>
              </w:rPr>
            </w:pPr>
            <w:r w:rsidRPr="00AC3044">
              <w:rPr>
                <w:rFonts w:eastAsia="SimSun"/>
              </w:rPr>
              <w:t>Циклофосфамид</w:t>
            </w:r>
          </w:p>
        </w:tc>
        <w:tc>
          <w:tcPr>
            <w:tcW w:w="1559" w:type="dxa"/>
            <w:vAlign w:val="center"/>
          </w:tcPr>
          <w:p w14:paraId="06393D91" w14:textId="77777777" w:rsidR="0089207C" w:rsidRPr="00AC3044" w:rsidRDefault="0089207C" w:rsidP="002D3EBF">
            <w:pPr>
              <w:rPr>
                <w:rFonts w:eastAsia="SimSun"/>
              </w:rPr>
            </w:pPr>
            <w:r w:rsidRPr="00AC3044">
              <w:rPr>
                <w:rFonts w:eastAsia="SimSun"/>
              </w:rPr>
              <w:t>50 мг/кг</w:t>
            </w:r>
          </w:p>
        </w:tc>
        <w:tc>
          <w:tcPr>
            <w:tcW w:w="1418" w:type="dxa"/>
            <w:vAlign w:val="center"/>
          </w:tcPr>
          <w:p w14:paraId="5CFB9DD2" w14:textId="77777777" w:rsidR="0089207C" w:rsidRPr="00AC3044" w:rsidRDefault="0089207C" w:rsidP="002D3EBF">
            <w:pPr>
              <w:rPr>
                <w:rFonts w:eastAsia="SimSun"/>
              </w:rPr>
            </w:pPr>
            <w:r w:rsidRPr="00AC3044">
              <w:rPr>
                <w:rFonts w:eastAsia="SimSun"/>
              </w:rPr>
              <w:t>100 мг/кг</w:t>
            </w:r>
          </w:p>
        </w:tc>
        <w:tc>
          <w:tcPr>
            <w:tcW w:w="1701" w:type="dxa"/>
            <w:vAlign w:val="center"/>
          </w:tcPr>
          <w:p w14:paraId="3BE25955" w14:textId="77777777" w:rsidR="0089207C" w:rsidRPr="00AC3044" w:rsidRDefault="0089207C" w:rsidP="002D3EBF">
            <w:pPr>
              <w:rPr>
                <w:rFonts w:eastAsia="SimSun"/>
              </w:rPr>
            </w:pPr>
            <w:r w:rsidRPr="00AC3044">
              <w:rPr>
                <w:rFonts w:eastAsia="SimSun"/>
              </w:rPr>
              <w:t xml:space="preserve">+3,+4 дни </w:t>
            </w:r>
          </w:p>
        </w:tc>
        <w:tc>
          <w:tcPr>
            <w:tcW w:w="2268" w:type="dxa"/>
            <w:vAlign w:val="center"/>
          </w:tcPr>
          <w:p w14:paraId="7589D5C3" w14:textId="77777777" w:rsidR="0089207C" w:rsidRPr="00AC3044" w:rsidRDefault="0089207C" w:rsidP="002D3EBF">
            <w:pPr>
              <w:rPr>
                <w:rFonts w:eastAsia="SimSun"/>
              </w:rPr>
            </w:pPr>
            <w:r w:rsidRPr="00AC3044">
              <w:rPr>
                <w:rFonts w:eastAsia="SimSun"/>
              </w:rPr>
              <w:t>В/в, в течение 2 часов</w:t>
            </w:r>
          </w:p>
        </w:tc>
      </w:tr>
    </w:tbl>
    <w:p w14:paraId="31D64674" w14:textId="77777777" w:rsidR="0089207C" w:rsidRPr="00C07B2E" w:rsidRDefault="0089207C" w:rsidP="0089207C">
      <w:pPr>
        <w:rPr>
          <w:rFonts w:eastAsia="SimSun"/>
        </w:rPr>
      </w:pPr>
    </w:p>
    <w:p w14:paraId="0459AAA8" w14:textId="77777777" w:rsidR="0089207C" w:rsidRPr="00C07B2E" w:rsidRDefault="0089207C" w:rsidP="0089207C">
      <w:pPr>
        <w:rPr>
          <w:rFonts w:eastAsia="SimSun"/>
        </w:rPr>
      </w:pPr>
      <w:bookmarkStart w:id="251" w:name="_Toc44401205"/>
      <w:r w:rsidRPr="00042499">
        <w:rPr>
          <w:rFonts w:eastAsia="SimSun"/>
        </w:rPr>
        <w:t>Таблица</w:t>
      </w:r>
      <w:r w:rsidRPr="00C07B2E">
        <w:rPr>
          <w:rFonts w:eastAsia="SimSun"/>
        </w:rPr>
        <w:t xml:space="preserve"> </w:t>
      </w:r>
      <w:r>
        <w:rPr>
          <w:rFonts w:eastAsia="SimSun"/>
        </w:rPr>
        <w:t>5.</w:t>
      </w:r>
      <w:r w:rsidRPr="00C07B2E">
        <w:rPr>
          <w:rFonts w:eastAsia="SimSun"/>
        </w:rPr>
        <w:t>2.2.5  – Flu180+Bu8 / hATG+CSA+MTX+MMF45</w:t>
      </w:r>
      <w:bookmarkEnd w:id="251"/>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89207C" w:rsidRPr="00AC3044" w14:paraId="1E9B2AD3" w14:textId="77777777" w:rsidTr="002D3EBF">
        <w:trPr>
          <w:cantSplit/>
          <w:trHeight w:val="20"/>
          <w:tblHeader/>
        </w:trPr>
        <w:tc>
          <w:tcPr>
            <w:tcW w:w="851" w:type="dxa"/>
            <w:vAlign w:val="center"/>
          </w:tcPr>
          <w:p w14:paraId="7EF4B2B0" w14:textId="77777777" w:rsidR="0089207C" w:rsidRPr="00470D3D" w:rsidRDefault="0089207C" w:rsidP="002D3EBF">
            <w:pPr>
              <w:rPr>
                <w:rFonts w:eastAsia="SimSun"/>
              </w:rPr>
            </w:pPr>
          </w:p>
        </w:tc>
        <w:tc>
          <w:tcPr>
            <w:tcW w:w="1701" w:type="dxa"/>
            <w:vAlign w:val="center"/>
          </w:tcPr>
          <w:p w14:paraId="0C780AF8" w14:textId="77777777" w:rsidR="0089207C" w:rsidRPr="00AC3044" w:rsidRDefault="0089207C" w:rsidP="002D3EBF">
            <w:pPr>
              <w:rPr>
                <w:rFonts w:eastAsia="SimSun"/>
              </w:rPr>
            </w:pPr>
            <w:r w:rsidRPr="00AC3044">
              <w:rPr>
                <w:rFonts w:eastAsia="SimSun"/>
              </w:rPr>
              <w:t>Препарат</w:t>
            </w:r>
          </w:p>
        </w:tc>
        <w:tc>
          <w:tcPr>
            <w:tcW w:w="1559" w:type="dxa"/>
            <w:vAlign w:val="center"/>
          </w:tcPr>
          <w:p w14:paraId="74497779" w14:textId="77777777" w:rsidR="0089207C" w:rsidRPr="00AC3044" w:rsidRDefault="0089207C" w:rsidP="002D3EBF">
            <w:pPr>
              <w:rPr>
                <w:rFonts w:eastAsia="SimSun"/>
              </w:rPr>
            </w:pPr>
            <w:r w:rsidRPr="00AC3044">
              <w:rPr>
                <w:rFonts w:eastAsia="SimSun"/>
              </w:rPr>
              <w:t>Суточная доза</w:t>
            </w:r>
          </w:p>
        </w:tc>
        <w:tc>
          <w:tcPr>
            <w:tcW w:w="1418" w:type="dxa"/>
            <w:vAlign w:val="center"/>
          </w:tcPr>
          <w:p w14:paraId="417963AE" w14:textId="77777777" w:rsidR="0089207C" w:rsidRPr="00AC3044" w:rsidRDefault="0089207C" w:rsidP="002D3EBF">
            <w:pPr>
              <w:rPr>
                <w:rFonts w:eastAsia="SimSun"/>
              </w:rPr>
            </w:pPr>
            <w:r w:rsidRPr="00AC3044">
              <w:rPr>
                <w:rFonts w:eastAsia="SimSun"/>
              </w:rPr>
              <w:t>Курсовая доза</w:t>
            </w:r>
          </w:p>
        </w:tc>
        <w:tc>
          <w:tcPr>
            <w:tcW w:w="1701" w:type="dxa"/>
            <w:vAlign w:val="center"/>
          </w:tcPr>
          <w:p w14:paraId="68F1D476"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2070B34C"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2AF3E48C" w14:textId="77777777" w:rsidTr="002D3EBF">
        <w:trPr>
          <w:cantSplit/>
          <w:trHeight w:val="20"/>
        </w:trPr>
        <w:tc>
          <w:tcPr>
            <w:tcW w:w="851" w:type="dxa"/>
            <w:vMerge w:val="restart"/>
            <w:textDirection w:val="btLr"/>
            <w:vAlign w:val="center"/>
          </w:tcPr>
          <w:p w14:paraId="41C6ADAE" w14:textId="77777777" w:rsidR="0089207C" w:rsidRPr="00AC3044" w:rsidRDefault="0089207C" w:rsidP="002D3EBF">
            <w:pPr>
              <w:rPr>
                <w:rFonts w:eastAsia="SimSun"/>
              </w:rPr>
            </w:pPr>
            <w:r w:rsidRPr="00AC3044">
              <w:rPr>
                <w:rFonts w:eastAsia="SimSun"/>
              </w:rPr>
              <w:t>Кондиционирование</w:t>
            </w:r>
          </w:p>
        </w:tc>
        <w:tc>
          <w:tcPr>
            <w:tcW w:w="1701" w:type="dxa"/>
            <w:vAlign w:val="center"/>
          </w:tcPr>
          <w:p w14:paraId="7E01BB8E" w14:textId="77777777" w:rsidR="0089207C" w:rsidRPr="00AC3044" w:rsidRDefault="0089207C" w:rsidP="002D3EBF">
            <w:pPr>
              <w:rPr>
                <w:rFonts w:eastAsia="SimSun"/>
              </w:rPr>
            </w:pPr>
            <w:r w:rsidRPr="00AC3044">
              <w:rPr>
                <w:rFonts w:eastAsia="SimSun"/>
              </w:rPr>
              <w:t xml:space="preserve">Флударабин </w:t>
            </w:r>
          </w:p>
        </w:tc>
        <w:tc>
          <w:tcPr>
            <w:tcW w:w="1559" w:type="dxa"/>
            <w:vAlign w:val="center"/>
          </w:tcPr>
          <w:p w14:paraId="23854481" w14:textId="77777777" w:rsidR="0089207C" w:rsidRPr="00AC3044" w:rsidRDefault="0089207C" w:rsidP="002D3EBF">
            <w:pPr>
              <w:rPr>
                <w:rFonts w:eastAsia="SimSun"/>
              </w:rPr>
            </w:pPr>
            <w:r w:rsidRPr="00AC3044">
              <w:rPr>
                <w:rFonts w:eastAsia="SimSun"/>
              </w:rPr>
              <w:t>30 мг/м</w:t>
            </w:r>
            <w:r w:rsidRPr="00DB259E">
              <w:rPr>
                <w:rFonts w:eastAsia="SimSun"/>
                <w:vertAlign w:val="superscript"/>
              </w:rPr>
              <w:t>2</w:t>
            </w:r>
          </w:p>
        </w:tc>
        <w:tc>
          <w:tcPr>
            <w:tcW w:w="1418" w:type="dxa"/>
            <w:vAlign w:val="center"/>
          </w:tcPr>
          <w:p w14:paraId="4AA1BD8A" w14:textId="77777777" w:rsidR="0089207C" w:rsidRPr="00AC3044" w:rsidRDefault="0089207C" w:rsidP="002D3EBF">
            <w:pPr>
              <w:rPr>
                <w:rFonts w:eastAsia="SimSun"/>
              </w:rPr>
            </w:pPr>
            <w:r w:rsidRPr="00AC3044">
              <w:rPr>
                <w:rFonts w:eastAsia="SimSun"/>
              </w:rPr>
              <w:t>180 мг/м</w:t>
            </w:r>
            <w:r w:rsidRPr="00DB259E">
              <w:rPr>
                <w:rFonts w:eastAsia="SimSun"/>
                <w:vertAlign w:val="superscript"/>
              </w:rPr>
              <w:t>2</w:t>
            </w:r>
          </w:p>
        </w:tc>
        <w:tc>
          <w:tcPr>
            <w:tcW w:w="1701" w:type="dxa"/>
            <w:vAlign w:val="center"/>
          </w:tcPr>
          <w:p w14:paraId="39F12535" w14:textId="77777777" w:rsidR="0089207C" w:rsidRPr="00AC3044" w:rsidRDefault="0089207C" w:rsidP="002D3EBF">
            <w:pPr>
              <w:rPr>
                <w:rFonts w:eastAsia="SimSun"/>
              </w:rPr>
            </w:pPr>
            <w:r w:rsidRPr="00AC3044">
              <w:rPr>
                <w:rFonts w:eastAsia="SimSun"/>
              </w:rPr>
              <w:t>С –10 по –5 день</w:t>
            </w:r>
          </w:p>
        </w:tc>
        <w:tc>
          <w:tcPr>
            <w:tcW w:w="2268" w:type="dxa"/>
            <w:vAlign w:val="center"/>
          </w:tcPr>
          <w:p w14:paraId="732D466E"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769DAF9E" w14:textId="77777777" w:rsidTr="002D3EBF">
        <w:trPr>
          <w:cantSplit/>
          <w:trHeight w:val="20"/>
        </w:trPr>
        <w:tc>
          <w:tcPr>
            <w:tcW w:w="851" w:type="dxa"/>
            <w:vMerge/>
            <w:textDirection w:val="btLr"/>
            <w:vAlign w:val="center"/>
          </w:tcPr>
          <w:p w14:paraId="699388A0" w14:textId="77777777" w:rsidR="0089207C" w:rsidRPr="00AC3044" w:rsidRDefault="0089207C" w:rsidP="002D3EBF">
            <w:pPr>
              <w:rPr>
                <w:rFonts w:eastAsia="SimSun"/>
              </w:rPr>
            </w:pPr>
          </w:p>
        </w:tc>
        <w:tc>
          <w:tcPr>
            <w:tcW w:w="1701" w:type="dxa"/>
            <w:vAlign w:val="center"/>
          </w:tcPr>
          <w:p w14:paraId="5BED640D" w14:textId="77777777" w:rsidR="0089207C" w:rsidRPr="00AC3044" w:rsidRDefault="0089207C" w:rsidP="002D3EBF">
            <w:pPr>
              <w:rPr>
                <w:rFonts w:eastAsia="SimSun"/>
              </w:rPr>
            </w:pPr>
            <w:r w:rsidRPr="00AC3044">
              <w:rPr>
                <w:rFonts w:eastAsia="SimSun"/>
              </w:rPr>
              <w:t>Бусульфан</w:t>
            </w:r>
          </w:p>
        </w:tc>
        <w:tc>
          <w:tcPr>
            <w:tcW w:w="1559" w:type="dxa"/>
            <w:vAlign w:val="center"/>
          </w:tcPr>
          <w:p w14:paraId="3D241F37" w14:textId="77777777" w:rsidR="0089207C" w:rsidRPr="00AC3044" w:rsidRDefault="0089207C" w:rsidP="002D3EBF">
            <w:pPr>
              <w:rPr>
                <w:rFonts w:eastAsia="SimSun"/>
              </w:rPr>
            </w:pPr>
            <w:r w:rsidRPr="00AC3044">
              <w:rPr>
                <w:rFonts w:eastAsia="SimSun"/>
              </w:rPr>
              <w:t>4 мг/кг</w:t>
            </w:r>
          </w:p>
        </w:tc>
        <w:tc>
          <w:tcPr>
            <w:tcW w:w="1418" w:type="dxa"/>
            <w:vAlign w:val="center"/>
          </w:tcPr>
          <w:p w14:paraId="2DCE4850" w14:textId="77777777" w:rsidR="0089207C" w:rsidRPr="00AC3044" w:rsidRDefault="0089207C" w:rsidP="002D3EBF">
            <w:pPr>
              <w:rPr>
                <w:rFonts w:eastAsia="SimSun"/>
              </w:rPr>
            </w:pPr>
            <w:r w:rsidRPr="00AC3044">
              <w:rPr>
                <w:rFonts w:eastAsia="SimSun"/>
              </w:rPr>
              <w:t>8 мг/кг</w:t>
            </w:r>
          </w:p>
        </w:tc>
        <w:tc>
          <w:tcPr>
            <w:tcW w:w="1701" w:type="dxa"/>
            <w:vAlign w:val="center"/>
          </w:tcPr>
          <w:p w14:paraId="5DB8FBE7" w14:textId="77777777" w:rsidR="0089207C" w:rsidRPr="00AC3044" w:rsidRDefault="0089207C" w:rsidP="002D3EBF">
            <w:pPr>
              <w:rPr>
                <w:rFonts w:eastAsia="SimSun"/>
              </w:rPr>
            </w:pPr>
            <w:r w:rsidRPr="00AC3044">
              <w:rPr>
                <w:rFonts w:eastAsia="SimSun"/>
              </w:rPr>
              <w:t>С –6 по –5 день</w:t>
            </w:r>
          </w:p>
        </w:tc>
        <w:tc>
          <w:tcPr>
            <w:tcW w:w="2268" w:type="dxa"/>
            <w:vAlign w:val="center"/>
          </w:tcPr>
          <w:p w14:paraId="1CA4BAC4"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w:t>
            </w:r>
          </w:p>
        </w:tc>
      </w:tr>
      <w:tr w:rsidR="0089207C" w:rsidRPr="00AC3044" w14:paraId="7D11FCE2" w14:textId="77777777" w:rsidTr="002D3EBF">
        <w:trPr>
          <w:cantSplit/>
          <w:trHeight w:val="20"/>
        </w:trPr>
        <w:tc>
          <w:tcPr>
            <w:tcW w:w="851" w:type="dxa"/>
            <w:vMerge w:val="restart"/>
            <w:textDirection w:val="btLr"/>
            <w:vAlign w:val="center"/>
          </w:tcPr>
          <w:p w14:paraId="1A672601" w14:textId="77777777" w:rsidR="0089207C" w:rsidRPr="00AC3044" w:rsidRDefault="0089207C" w:rsidP="002D3EBF">
            <w:pPr>
              <w:rPr>
                <w:rFonts w:eastAsia="SimSun"/>
              </w:rPr>
            </w:pPr>
            <w:r w:rsidRPr="00AC3044">
              <w:rPr>
                <w:rFonts w:eastAsia="SimSun"/>
              </w:rPr>
              <w:t>Профилактика РТПХ</w:t>
            </w:r>
          </w:p>
        </w:tc>
        <w:tc>
          <w:tcPr>
            <w:tcW w:w="1701" w:type="dxa"/>
            <w:vAlign w:val="center"/>
          </w:tcPr>
          <w:p w14:paraId="0229B388" w14:textId="77777777" w:rsidR="0089207C" w:rsidRPr="00AC3044" w:rsidRDefault="0089207C" w:rsidP="002D3EBF">
            <w:pPr>
              <w:rPr>
                <w:rFonts w:eastAsia="SimSun"/>
              </w:rPr>
            </w:pPr>
            <w:r w:rsidRPr="00AC3044">
              <w:rPr>
                <w:rFonts w:eastAsia="SimSun"/>
              </w:rPr>
              <w:t>АТГ (лошадиный)</w:t>
            </w:r>
          </w:p>
        </w:tc>
        <w:tc>
          <w:tcPr>
            <w:tcW w:w="1559" w:type="dxa"/>
            <w:vAlign w:val="center"/>
          </w:tcPr>
          <w:p w14:paraId="14D9209B" w14:textId="77777777" w:rsidR="0089207C" w:rsidRPr="00AC3044" w:rsidRDefault="0089207C" w:rsidP="002D3EBF">
            <w:pPr>
              <w:rPr>
                <w:rFonts w:eastAsia="SimSun"/>
              </w:rPr>
            </w:pPr>
            <w:r w:rsidRPr="00AC3044">
              <w:rPr>
                <w:rFonts w:eastAsia="SimSun"/>
              </w:rPr>
              <w:t>10-15 мг/кг</w:t>
            </w:r>
          </w:p>
        </w:tc>
        <w:tc>
          <w:tcPr>
            <w:tcW w:w="1418" w:type="dxa"/>
            <w:vAlign w:val="center"/>
          </w:tcPr>
          <w:p w14:paraId="68C496A0" w14:textId="77777777" w:rsidR="0089207C" w:rsidRPr="00AC3044" w:rsidRDefault="0089207C" w:rsidP="002D3EBF">
            <w:pPr>
              <w:rPr>
                <w:rFonts w:eastAsia="SimSun"/>
              </w:rPr>
            </w:pPr>
            <w:r w:rsidRPr="00AC3044">
              <w:rPr>
                <w:rFonts w:eastAsia="SimSun"/>
              </w:rPr>
              <w:t>40-60 мг/кг</w:t>
            </w:r>
          </w:p>
        </w:tc>
        <w:tc>
          <w:tcPr>
            <w:tcW w:w="1701" w:type="dxa"/>
            <w:vAlign w:val="center"/>
          </w:tcPr>
          <w:p w14:paraId="58D3716F" w14:textId="77777777" w:rsidR="0089207C" w:rsidRPr="00AC3044" w:rsidRDefault="0089207C" w:rsidP="002D3EBF">
            <w:pPr>
              <w:rPr>
                <w:rFonts w:eastAsia="SimSun"/>
              </w:rPr>
            </w:pPr>
            <w:r w:rsidRPr="00AC3044">
              <w:rPr>
                <w:rFonts w:eastAsia="SimSun"/>
              </w:rPr>
              <w:t>С –4 по –1 день</w:t>
            </w:r>
          </w:p>
        </w:tc>
        <w:tc>
          <w:tcPr>
            <w:tcW w:w="2268" w:type="dxa"/>
            <w:vAlign w:val="center"/>
          </w:tcPr>
          <w:p w14:paraId="42B38C16" w14:textId="77777777" w:rsidR="0089207C" w:rsidRPr="00AC3044" w:rsidRDefault="0089207C" w:rsidP="002D3EBF">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89207C" w:rsidRPr="00AC3044" w14:paraId="4D4F8440" w14:textId="77777777" w:rsidTr="002D3EBF">
        <w:trPr>
          <w:cantSplit/>
          <w:trHeight w:val="20"/>
        </w:trPr>
        <w:tc>
          <w:tcPr>
            <w:tcW w:w="851" w:type="dxa"/>
            <w:vMerge/>
            <w:textDirection w:val="btLr"/>
          </w:tcPr>
          <w:p w14:paraId="361F6296" w14:textId="77777777" w:rsidR="0089207C" w:rsidRPr="00AC3044" w:rsidRDefault="0089207C" w:rsidP="002D3EBF">
            <w:pPr>
              <w:rPr>
                <w:rFonts w:eastAsia="SimSun"/>
              </w:rPr>
            </w:pPr>
          </w:p>
        </w:tc>
        <w:tc>
          <w:tcPr>
            <w:tcW w:w="1701" w:type="dxa"/>
            <w:vAlign w:val="center"/>
          </w:tcPr>
          <w:p w14:paraId="6D15F153" w14:textId="77777777" w:rsidR="0089207C" w:rsidRPr="00AC3044" w:rsidRDefault="0089207C" w:rsidP="002D3EBF">
            <w:pPr>
              <w:rPr>
                <w:rFonts w:eastAsia="SimSun"/>
              </w:rPr>
            </w:pPr>
            <w:r w:rsidRPr="00AC3044">
              <w:rPr>
                <w:rFonts w:eastAsia="SimSun"/>
              </w:rPr>
              <w:t>Циклоспорин</w:t>
            </w:r>
          </w:p>
        </w:tc>
        <w:tc>
          <w:tcPr>
            <w:tcW w:w="1559" w:type="dxa"/>
            <w:vAlign w:val="center"/>
          </w:tcPr>
          <w:p w14:paraId="7DD7FF60" w14:textId="77777777" w:rsidR="0089207C" w:rsidRPr="00AC3044" w:rsidRDefault="0089207C" w:rsidP="002D3EBF">
            <w:pPr>
              <w:rPr>
                <w:rFonts w:eastAsia="SimSun"/>
              </w:rPr>
            </w:pPr>
            <w:r w:rsidRPr="00AC3044">
              <w:rPr>
                <w:rFonts w:eastAsia="SimSun"/>
              </w:rPr>
              <w:t>3 мг/кг</w:t>
            </w:r>
          </w:p>
        </w:tc>
        <w:tc>
          <w:tcPr>
            <w:tcW w:w="1418" w:type="dxa"/>
            <w:vAlign w:val="center"/>
          </w:tcPr>
          <w:p w14:paraId="626CFA63" w14:textId="77777777" w:rsidR="0089207C" w:rsidRPr="00AC3044" w:rsidRDefault="0089207C" w:rsidP="002D3EBF">
            <w:pPr>
              <w:rPr>
                <w:rFonts w:eastAsia="SimSun"/>
              </w:rPr>
            </w:pPr>
            <w:r w:rsidRPr="00AC3044">
              <w:rPr>
                <w:rFonts w:eastAsia="SimSun"/>
              </w:rPr>
              <w:t>–</w:t>
            </w:r>
          </w:p>
        </w:tc>
        <w:tc>
          <w:tcPr>
            <w:tcW w:w="1701" w:type="dxa"/>
            <w:vAlign w:val="center"/>
          </w:tcPr>
          <w:p w14:paraId="09CE9331" w14:textId="77777777" w:rsidR="0089207C" w:rsidRPr="00AC3044" w:rsidRDefault="0089207C" w:rsidP="002D3EBF">
            <w:pPr>
              <w:rPr>
                <w:rFonts w:eastAsia="SimSun"/>
              </w:rPr>
            </w:pPr>
            <w:r w:rsidRPr="00AC3044">
              <w:rPr>
                <w:rFonts w:eastAsia="SimSun"/>
              </w:rPr>
              <w:t>С –1 по +90 день, затем постепенное снижение к +180 дню</w:t>
            </w:r>
          </w:p>
        </w:tc>
        <w:tc>
          <w:tcPr>
            <w:tcW w:w="2268" w:type="dxa"/>
            <w:vAlign w:val="center"/>
          </w:tcPr>
          <w:p w14:paraId="54F16F81" w14:textId="77777777" w:rsidR="0089207C" w:rsidRPr="00AC3044" w:rsidRDefault="0089207C" w:rsidP="002D3EBF">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sidRPr="00DB259E">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9207C" w:rsidRPr="00AC3044" w14:paraId="67322BED" w14:textId="77777777" w:rsidTr="002D3EBF">
        <w:trPr>
          <w:cantSplit/>
          <w:trHeight w:val="20"/>
        </w:trPr>
        <w:tc>
          <w:tcPr>
            <w:tcW w:w="851" w:type="dxa"/>
            <w:vMerge/>
          </w:tcPr>
          <w:p w14:paraId="7E9163A9" w14:textId="77777777" w:rsidR="0089207C" w:rsidRPr="00AC3044" w:rsidRDefault="0089207C" w:rsidP="002D3EBF">
            <w:pPr>
              <w:rPr>
                <w:rFonts w:eastAsia="SimSun"/>
              </w:rPr>
            </w:pPr>
          </w:p>
        </w:tc>
        <w:tc>
          <w:tcPr>
            <w:tcW w:w="1701" w:type="dxa"/>
            <w:vMerge w:val="restart"/>
            <w:vAlign w:val="center"/>
          </w:tcPr>
          <w:p w14:paraId="2AA9577C" w14:textId="77777777" w:rsidR="0089207C" w:rsidRPr="00AC3044" w:rsidRDefault="0089207C" w:rsidP="002D3EBF">
            <w:pPr>
              <w:rPr>
                <w:rFonts w:eastAsia="SimSun"/>
              </w:rPr>
            </w:pPr>
            <w:r w:rsidRPr="00AC3044">
              <w:rPr>
                <w:rFonts w:eastAsia="SimSun"/>
              </w:rPr>
              <w:t>Метотрексат</w:t>
            </w:r>
          </w:p>
        </w:tc>
        <w:tc>
          <w:tcPr>
            <w:tcW w:w="1559" w:type="dxa"/>
            <w:vAlign w:val="center"/>
          </w:tcPr>
          <w:p w14:paraId="3D8E0B16" w14:textId="77777777" w:rsidR="0089207C" w:rsidRPr="00AC3044" w:rsidRDefault="0089207C" w:rsidP="002D3EBF">
            <w:pPr>
              <w:rPr>
                <w:rFonts w:eastAsia="SimSun"/>
              </w:rPr>
            </w:pPr>
            <w:r w:rsidRPr="00AC3044">
              <w:rPr>
                <w:rFonts w:eastAsia="SimSun"/>
              </w:rPr>
              <w:t>15 мг/м</w:t>
            </w:r>
            <w:r w:rsidRPr="00DB259E">
              <w:rPr>
                <w:rFonts w:eastAsia="SimSun"/>
                <w:vertAlign w:val="superscript"/>
              </w:rPr>
              <w:t>2</w:t>
            </w:r>
          </w:p>
        </w:tc>
        <w:tc>
          <w:tcPr>
            <w:tcW w:w="1418" w:type="dxa"/>
            <w:vAlign w:val="center"/>
          </w:tcPr>
          <w:p w14:paraId="0D4C1912" w14:textId="77777777" w:rsidR="0089207C" w:rsidRPr="00AC3044" w:rsidRDefault="0089207C" w:rsidP="002D3EBF">
            <w:pPr>
              <w:rPr>
                <w:rFonts w:eastAsia="SimSun"/>
              </w:rPr>
            </w:pPr>
            <w:r w:rsidRPr="00AC3044">
              <w:rPr>
                <w:rFonts w:eastAsia="SimSun"/>
              </w:rPr>
              <w:t>–</w:t>
            </w:r>
          </w:p>
        </w:tc>
        <w:tc>
          <w:tcPr>
            <w:tcW w:w="1701" w:type="dxa"/>
            <w:vAlign w:val="center"/>
          </w:tcPr>
          <w:p w14:paraId="3B6A855B" w14:textId="77777777" w:rsidR="0089207C" w:rsidRPr="00AC3044" w:rsidRDefault="0089207C" w:rsidP="002D3EBF">
            <w:pPr>
              <w:rPr>
                <w:rFonts w:eastAsia="SimSun"/>
              </w:rPr>
            </w:pPr>
            <w:r w:rsidRPr="00AC3044">
              <w:rPr>
                <w:rFonts w:eastAsia="SimSun"/>
              </w:rPr>
              <w:t>+1 день</w:t>
            </w:r>
          </w:p>
        </w:tc>
        <w:tc>
          <w:tcPr>
            <w:tcW w:w="2268" w:type="dxa"/>
            <w:vAlign w:val="center"/>
          </w:tcPr>
          <w:p w14:paraId="008AC848" w14:textId="77777777" w:rsidR="0089207C" w:rsidRPr="00AC3044" w:rsidRDefault="0089207C" w:rsidP="002D3EBF">
            <w:pPr>
              <w:rPr>
                <w:rFonts w:eastAsia="SimSun"/>
              </w:rPr>
            </w:pPr>
            <w:r w:rsidRPr="00AC3044">
              <w:rPr>
                <w:rFonts w:eastAsia="SimSun"/>
              </w:rPr>
              <w:t xml:space="preserve">В/в, в 20 мл физ. р-ра </w:t>
            </w:r>
          </w:p>
        </w:tc>
      </w:tr>
      <w:tr w:rsidR="0089207C" w:rsidRPr="00AC3044" w14:paraId="73ECFBEB" w14:textId="77777777" w:rsidTr="002D3EBF">
        <w:trPr>
          <w:cantSplit/>
          <w:trHeight w:val="464"/>
        </w:trPr>
        <w:tc>
          <w:tcPr>
            <w:tcW w:w="851" w:type="dxa"/>
            <w:vMerge/>
          </w:tcPr>
          <w:p w14:paraId="0ACBFEAA" w14:textId="77777777" w:rsidR="0089207C" w:rsidRPr="00AC3044" w:rsidRDefault="0089207C" w:rsidP="002D3EBF">
            <w:pPr>
              <w:rPr>
                <w:rFonts w:eastAsia="SimSun"/>
              </w:rPr>
            </w:pPr>
          </w:p>
        </w:tc>
        <w:tc>
          <w:tcPr>
            <w:tcW w:w="1701" w:type="dxa"/>
            <w:vMerge/>
            <w:vAlign w:val="center"/>
          </w:tcPr>
          <w:p w14:paraId="4EF57D59" w14:textId="77777777" w:rsidR="0089207C" w:rsidRPr="00AC3044" w:rsidRDefault="0089207C" w:rsidP="002D3EBF">
            <w:pPr>
              <w:rPr>
                <w:rFonts w:eastAsia="SimSun"/>
              </w:rPr>
            </w:pPr>
          </w:p>
        </w:tc>
        <w:tc>
          <w:tcPr>
            <w:tcW w:w="1559" w:type="dxa"/>
            <w:vAlign w:val="center"/>
          </w:tcPr>
          <w:p w14:paraId="3AD6A503" w14:textId="77777777" w:rsidR="0089207C" w:rsidRPr="00AC3044" w:rsidRDefault="0089207C" w:rsidP="002D3EBF">
            <w:pPr>
              <w:rPr>
                <w:rFonts w:eastAsia="SimSun"/>
              </w:rPr>
            </w:pPr>
            <w:r w:rsidRPr="00AC3044">
              <w:rPr>
                <w:rFonts w:eastAsia="SimSun"/>
              </w:rPr>
              <w:t>10 мг/м</w:t>
            </w:r>
            <w:r w:rsidRPr="00DB259E">
              <w:rPr>
                <w:rFonts w:eastAsia="SimSun"/>
                <w:vertAlign w:val="superscript"/>
              </w:rPr>
              <w:t>2</w:t>
            </w:r>
          </w:p>
        </w:tc>
        <w:tc>
          <w:tcPr>
            <w:tcW w:w="1418" w:type="dxa"/>
            <w:vAlign w:val="center"/>
          </w:tcPr>
          <w:p w14:paraId="57852A39" w14:textId="77777777" w:rsidR="0089207C" w:rsidRPr="00AC3044" w:rsidRDefault="0089207C" w:rsidP="002D3EBF">
            <w:pPr>
              <w:rPr>
                <w:rFonts w:eastAsia="SimSun"/>
              </w:rPr>
            </w:pPr>
            <w:r w:rsidRPr="00AC3044">
              <w:rPr>
                <w:rFonts w:eastAsia="SimSun"/>
              </w:rPr>
              <w:t>–</w:t>
            </w:r>
          </w:p>
        </w:tc>
        <w:tc>
          <w:tcPr>
            <w:tcW w:w="1701" w:type="dxa"/>
            <w:vAlign w:val="center"/>
          </w:tcPr>
          <w:p w14:paraId="2AB1A726" w14:textId="77777777" w:rsidR="0089207C" w:rsidRPr="00AC3044" w:rsidRDefault="0089207C" w:rsidP="002D3EBF">
            <w:pPr>
              <w:rPr>
                <w:rFonts w:eastAsia="SimSun"/>
              </w:rPr>
            </w:pPr>
            <w:r w:rsidRPr="00AC3044">
              <w:rPr>
                <w:rFonts w:eastAsia="SimSun"/>
              </w:rPr>
              <w:t>+3, +6, +11 дни</w:t>
            </w:r>
          </w:p>
        </w:tc>
        <w:tc>
          <w:tcPr>
            <w:tcW w:w="2268" w:type="dxa"/>
            <w:vAlign w:val="center"/>
          </w:tcPr>
          <w:p w14:paraId="7C66197E" w14:textId="77777777" w:rsidR="0089207C" w:rsidRPr="00AC3044" w:rsidRDefault="0089207C" w:rsidP="002D3EBF">
            <w:pPr>
              <w:rPr>
                <w:rFonts w:eastAsia="SimSun"/>
              </w:rPr>
            </w:pPr>
            <w:r w:rsidRPr="00AC3044">
              <w:rPr>
                <w:rFonts w:eastAsia="SimSun"/>
              </w:rPr>
              <w:t>В/в, в 20 мл физ. р-ра</w:t>
            </w:r>
          </w:p>
        </w:tc>
      </w:tr>
      <w:tr w:rsidR="0089207C" w:rsidRPr="00AC3044" w14:paraId="211D2DE7" w14:textId="77777777" w:rsidTr="002D3EBF">
        <w:trPr>
          <w:cantSplit/>
          <w:trHeight w:val="464"/>
        </w:trPr>
        <w:tc>
          <w:tcPr>
            <w:tcW w:w="851" w:type="dxa"/>
            <w:vMerge/>
          </w:tcPr>
          <w:p w14:paraId="65895E08" w14:textId="77777777" w:rsidR="0089207C" w:rsidRPr="00AC3044" w:rsidRDefault="0089207C" w:rsidP="002D3EBF">
            <w:pPr>
              <w:rPr>
                <w:rFonts w:eastAsia="SimSun"/>
              </w:rPr>
            </w:pPr>
          </w:p>
        </w:tc>
        <w:tc>
          <w:tcPr>
            <w:tcW w:w="1701" w:type="dxa"/>
            <w:vAlign w:val="center"/>
          </w:tcPr>
          <w:p w14:paraId="61E935E4" w14:textId="77777777" w:rsidR="0089207C" w:rsidRPr="00AC3044" w:rsidRDefault="0089207C" w:rsidP="002D3EBF">
            <w:pPr>
              <w:rPr>
                <w:rFonts w:eastAsia="SimSun"/>
              </w:rPr>
            </w:pPr>
            <w:r w:rsidRPr="00AC3044">
              <w:rPr>
                <w:rFonts w:eastAsia="SimSun"/>
              </w:rPr>
              <w:t>Микофенолата мофетил</w:t>
            </w:r>
          </w:p>
        </w:tc>
        <w:tc>
          <w:tcPr>
            <w:tcW w:w="1559" w:type="dxa"/>
            <w:vAlign w:val="center"/>
          </w:tcPr>
          <w:p w14:paraId="4AC555A0" w14:textId="77777777" w:rsidR="0089207C" w:rsidRPr="00AC3044" w:rsidRDefault="0089207C" w:rsidP="002D3EBF">
            <w:pPr>
              <w:rPr>
                <w:rFonts w:eastAsia="SimSun"/>
              </w:rPr>
            </w:pPr>
            <w:r w:rsidRPr="00AC3044">
              <w:rPr>
                <w:rFonts w:eastAsia="SimSun"/>
              </w:rPr>
              <w:t>45 мг/кг</w:t>
            </w:r>
          </w:p>
        </w:tc>
        <w:tc>
          <w:tcPr>
            <w:tcW w:w="1418" w:type="dxa"/>
            <w:vAlign w:val="center"/>
          </w:tcPr>
          <w:p w14:paraId="0F72C740" w14:textId="77777777" w:rsidR="0089207C" w:rsidRPr="00AC3044" w:rsidRDefault="0089207C" w:rsidP="002D3EBF">
            <w:pPr>
              <w:rPr>
                <w:rFonts w:eastAsia="SimSun"/>
              </w:rPr>
            </w:pPr>
            <w:r w:rsidRPr="00AC3044">
              <w:rPr>
                <w:rFonts w:eastAsia="SimSun"/>
              </w:rPr>
              <w:t>–</w:t>
            </w:r>
          </w:p>
        </w:tc>
        <w:tc>
          <w:tcPr>
            <w:tcW w:w="1701" w:type="dxa"/>
            <w:vAlign w:val="center"/>
          </w:tcPr>
          <w:p w14:paraId="415299D9" w14:textId="77777777" w:rsidR="0089207C" w:rsidRPr="00AC3044" w:rsidRDefault="0089207C" w:rsidP="002D3EBF">
            <w:pPr>
              <w:rPr>
                <w:rFonts w:eastAsia="SimSun"/>
              </w:rPr>
            </w:pPr>
            <w:r w:rsidRPr="00AC3044">
              <w:rPr>
                <w:rFonts w:eastAsia="SimSun"/>
              </w:rPr>
              <w:t>С +1 по +90 день</w:t>
            </w:r>
          </w:p>
        </w:tc>
        <w:tc>
          <w:tcPr>
            <w:tcW w:w="2268" w:type="dxa"/>
            <w:vAlign w:val="center"/>
          </w:tcPr>
          <w:p w14:paraId="18E4EB22" w14:textId="77777777" w:rsidR="0089207C" w:rsidRPr="00AC3044" w:rsidRDefault="0089207C" w:rsidP="002D3EBF">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7776B362" w14:textId="77777777" w:rsidR="0089207C" w:rsidRDefault="0089207C" w:rsidP="0089207C">
      <w:pPr>
        <w:rPr>
          <w:rFonts w:eastAsia="SimSun"/>
        </w:rPr>
      </w:pPr>
      <w:bookmarkStart w:id="252" w:name="_Toc44401206"/>
    </w:p>
    <w:p w14:paraId="1FCCA6D9" w14:textId="77777777" w:rsidR="0089207C" w:rsidRPr="00C07B2E" w:rsidRDefault="0089207C" w:rsidP="0089207C">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2.2.6  – Flu180+Bu8 / rATG+CSA+MTX+MMF45</w:t>
      </w:r>
      <w:bookmarkEnd w:id="252"/>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89207C" w:rsidRPr="00AC3044" w14:paraId="09435E00" w14:textId="77777777" w:rsidTr="002D3EBF">
        <w:trPr>
          <w:cantSplit/>
          <w:trHeight w:val="20"/>
          <w:tblHeader/>
        </w:trPr>
        <w:tc>
          <w:tcPr>
            <w:tcW w:w="851" w:type="dxa"/>
          </w:tcPr>
          <w:p w14:paraId="09298A35" w14:textId="77777777" w:rsidR="0089207C" w:rsidRPr="00470D3D" w:rsidRDefault="0089207C" w:rsidP="002D3EBF">
            <w:pPr>
              <w:rPr>
                <w:rFonts w:eastAsia="SimSun"/>
              </w:rPr>
            </w:pPr>
          </w:p>
        </w:tc>
        <w:tc>
          <w:tcPr>
            <w:tcW w:w="1701" w:type="dxa"/>
            <w:vAlign w:val="center"/>
          </w:tcPr>
          <w:p w14:paraId="19A7CFA6" w14:textId="77777777" w:rsidR="0089207C" w:rsidRPr="00AC3044" w:rsidRDefault="0089207C" w:rsidP="002D3EBF">
            <w:pPr>
              <w:rPr>
                <w:rFonts w:eastAsia="SimSun"/>
              </w:rPr>
            </w:pPr>
            <w:r w:rsidRPr="00AC3044">
              <w:rPr>
                <w:rFonts w:eastAsia="SimSun"/>
              </w:rPr>
              <w:t>Препарат</w:t>
            </w:r>
          </w:p>
        </w:tc>
        <w:tc>
          <w:tcPr>
            <w:tcW w:w="1559" w:type="dxa"/>
            <w:vAlign w:val="center"/>
          </w:tcPr>
          <w:p w14:paraId="55D5D637" w14:textId="77777777" w:rsidR="0089207C" w:rsidRPr="00AC3044" w:rsidRDefault="0089207C" w:rsidP="002D3EBF">
            <w:pPr>
              <w:rPr>
                <w:rFonts w:eastAsia="SimSun"/>
              </w:rPr>
            </w:pPr>
            <w:r w:rsidRPr="00AC3044">
              <w:rPr>
                <w:rFonts w:eastAsia="SimSun"/>
              </w:rPr>
              <w:t>Суточная доза</w:t>
            </w:r>
          </w:p>
        </w:tc>
        <w:tc>
          <w:tcPr>
            <w:tcW w:w="1418" w:type="dxa"/>
            <w:vAlign w:val="center"/>
          </w:tcPr>
          <w:p w14:paraId="0787DDB1" w14:textId="77777777" w:rsidR="0089207C" w:rsidRPr="00AC3044" w:rsidRDefault="0089207C" w:rsidP="002D3EBF">
            <w:pPr>
              <w:rPr>
                <w:rFonts w:eastAsia="SimSun"/>
              </w:rPr>
            </w:pPr>
            <w:r w:rsidRPr="00AC3044">
              <w:rPr>
                <w:rFonts w:eastAsia="SimSun"/>
              </w:rPr>
              <w:t>Курсовая доза</w:t>
            </w:r>
          </w:p>
        </w:tc>
        <w:tc>
          <w:tcPr>
            <w:tcW w:w="1701" w:type="dxa"/>
            <w:vAlign w:val="center"/>
          </w:tcPr>
          <w:p w14:paraId="02507D63"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64E6E746"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22C6ADDE" w14:textId="77777777" w:rsidTr="002D3EBF">
        <w:trPr>
          <w:cantSplit/>
          <w:trHeight w:val="20"/>
        </w:trPr>
        <w:tc>
          <w:tcPr>
            <w:tcW w:w="851" w:type="dxa"/>
            <w:vMerge w:val="restart"/>
            <w:textDirection w:val="btLr"/>
            <w:vAlign w:val="center"/>
          </w:tcPr>
          <w:p w14:paraId="7879C9E3" w14:textId="77777777" w:rsidR="0089207C" w:rsidRPr="00AC3044" w:rsidRDefault="0089207C" w:rsidP="002D3EBF">
            <w:pPr>
              <w:rPr>
                <w:rFonts w:eastAsia="SimSun"/>
              </w:rPr>
            </w:pPr>
            <w:r w:rsidRPr="00AC3044">
              <w:rPr>
                <w:rFonts w:eastAsia="SimSun"/>
              </w:rPr>
              <w:t>Кондиционирование</w:t>
            </w:r>
          </w:p>
        </w:tc>
        <w:tc>
          <w:tcPr>
            <w:tcW w:w="1701" w:type="dxa"/>
            <w:vAlign w:val="center"/>
          </w:tcPr>
          <w:p w14:paraId="734309E4" w14:textId="77777777" w:rsidR="0089207C" w:rsidRPr="00AC3044" w:rsidRDefault="0089207C" w:rsidP="002D3EBF">
            <w:pPr>
              <w:rPr>
                <w:rFonts w:eastAsia="SimSun"/>
              </w:rPr>
            </w:pPr>
            <w:r w:rsidRPr="00AC3044">
              <w:rPr>
                <w:rFonts w:eastAsia="SimSun"/>
              </w:rPr>
              <w:t xml:space="preserve">Флударабин </w:t>
            </w:r>
          </w:p>
        </w:tc>
        <w:tc>
          <w:tcPr>
            <w:tcW w:w="1559" w:type="dxa"/>
            <w:vAlign w:val="center"/>
          </w:tcPr>
          <w:p w14:paraId="6DDF568D" w14:textId="77777777" w:rsidR="0089207C" w:rsidRPr="00AC3044" w:rsidRDefault="0089207C" w:rsidP="002D3EBF">
            <w:pPr>
              <w:rPr>
                <w:rFonts w:eastAsia="SimSun"/>
              </w:rPr>
            </w:pPr>
            <w:r w:rsidRPr="00AC3044">
              <w:rPr>
                <w:rFonts w:eastAsia="SimSun"/>
              </w:rPr>
              <w:t>30 мг/м</w:t>
            </w:r>
            <w:r w:rsidRPr="00DB259E">
              <w:rPr>
                <w:rFonts w:eastAsia="SimSun"/>
                <w:vertAlign w:val="superscript"/>
              </w:rPr>
              <w:t>2</w:t>
            </w:r>
          </w:p>
        </w:tc>
        <w:tc>
          <w:tcPr>
            <w:tcW w:w="1418" w:type="dxa"/>
            <w:vAlign w:val="center"/>
          </w:tcPr>
          <w:p w14:paraId="2C0860A0" w14:textId="77777777" w:rsidR="0089207C" w:rsidRPr="00AC3044" w:rsidRDefault="0089207C" w:rsidP="002D3EBF">
            <w:pPr>
              <w:rPr>
                <w:rFonts w:eastAsia="SimSun"/>
              </w:rPr>
            </w:pPr>
            <w:r w:rsidRPr="00AC3044">
              <w:rPr>
                <w:rFonts w:eastAsia="SimSun"/>
              </w:rPr>
              <w:t>180 мг/м</w:t>
            </w:r>
            <w:r w:rsidRPr="00DB259E">
              <w:rPr>
                <w:rFonts w:eastAsia="SimSun"/>
                <w:vertAlign w:val="superscript"/>
              </w:rPr>
              <w:t>2</w:t>
            </w:r>
          </w:p>
        </w:tc>
        <w:tc>
          <w:tcPr>
            <w:tcW w:w="1701" w:type="dxa"/>
            <w:vAlign w:val="center"/>
          </w:tcPr>
          <w:p w14:paraId="586FA846" w14:textId="77777777" w:rsidR="0089207C" w:rsidRPr="00AC3044" w:rsidRDefault="0089207C" w:rsidP="002D3EBF">
            <w:pPr>
              <w:rPr>
                <w:rFonts w:eastAsia="SimSun"/>
              </w:rPr>
            </w:pPr>
            <w:r w:rsidRPr="00AC3044">
              <w:rPr>
                <w:rFonts w:eastAsia="SimSun"/>
              </w:rPr>
              <w:t>С –9 по –4 день</w:t>
            </w:r>
          </w:p>
        </w:tc>
        <w:tc>
          <w:tcPr>
            <w:tcW w:w="2268" w:type="dxa"/>
            <w:vAlign w:val="center"/>
          </w:tcPr>
          <w:p w14:paraId="4E977094"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0970421F" w14:textId="77777777" w:rsidTr="002D3EBF">
        <w:trPr>
          <w:cantSplit/>
          <w:trHeight w:val="20"/>
        </w:trPr>
        <w:tc>
          <w:tcPr>
            <w:tcW w:w="851" w:type="dxa"/>
            <w:vMerge/>
            <w:textDirection w:val="btLr"/>
            <w:vAlign w:val="center"/>
          </w:tcPr>
          <w:p w14:paraId="3B08D7CB" w14:textId="77777777" w:rsidR="0089207C" w:rsidRPr="00AC3044" w:rsidRDefault="0089207C" w:rsidP="002D3EBF">
            <w:pPr>
              <w:rPr>
                <w:rFonts w:eastAsia="SimSun"/>
              </w:rPr>
            </w:pPr>
          </w:p>
        </w:tc>
        <w:tc>
          <w:tcPr>
            <w:tcW w:w="1701" w:type="dxa"/>
            <w:vAlign w:val="center"/>
          </w:tcPr>
          <w:p w14:paraId="5D4B5EC9" w14:textId="77777777" w:rsidR="0089207C" w:rsidRPr="00AC3044" w:rsidRDefault="0089207C" w:rsidP="002D3EBF">
            <w:pPr>
              <w:rPr>
                <w:rFonts w:eastAsia="SimSun"/>
              </w:rPr>
            </w:pPr>
            <w:r w:rsidRPr="00AC3044">
              <w:rPr>
                <w:rFonts w:eastAsia="SimSun"/>
              </w:rPr>
              <w:t>Бусульфан</w:t>
            </w:r>
          </w:p>
        </w:tc>
        <w:tc>
          <w:tcPr>
            <w:tcW w:w="1559" w:type="dxa"/>
            <w:vAlign w:val="center"/>
          </w:tcPr>
          <w:p w14:paraId="2F802F45" w14:textId="77777777" w:rsidR="0089207C" w:rsidRPr="00AC3044" w:rsidRDefault="0089207C" w:rsidP="002D3EBF">
            <w:pPr>
              <w:rPr>
                <w:rFonts w:eastAsia="SimSun"/>
              </w:rPr>
            </w:pPr>
            <w:r w:rsidRPr="00AC3044">
              <w:rPr>
                <w:rFonts w:eastAsia="SimSun"/>
              </w:rPr>
              <w:t>4 мг/кг</w:t>
            </w:r>
          </w:p>
        </w:tc>
        <w:tc>
          <w:tcPr>
            <w:tcW w:w="1418" w:type="dxa"/>
            <w:vAlign w:val="center"/>
          </w:tcPr>
          <w:p w14:paraId="63A23345" w14:textId="77777777" w:rsidR="0089207C" w:rsidRPr="00AC3044" w:rsidRDefault="0089207C" w:rsidP="002D3EBF">
            <w:pPr>
              <w:rPr>
                <w:rFonts w:eastAsia="SimSun"/>
              </w:rPr>
            </w:pPr>
            <w:r w:rsidRPr="00AC3044">
              <w:rPr>
                <w:rFonts w:eastAsia="SimSun"/>
              </w:rPr>
              <w:t>8 мг/кг</w:t>
            </w:r>
          </w:p>
        </w:tc>
        <w:tc>
          <w:tcPr>
            <w:tcW w:w="1701" w:type="dxa"/>
            <w:vAlign w:val="center"/>
          </w:tcPr>
          <w:p w14:paraId="6095C9A9" w14:textId="77777777" w:rsidR="0089207C" w:rsidRPr="00AC3044" w:rsidRDefault="0089207C" w:rsidP="002D3EBF">
            <w:pPr>
              <w:rPr>
                <w:rFonts w:eastAsia="SimSun"/>
              </w:rPr>
            </w:pPr>
            <w:r w:rsidRPr="00AC3044">
              <w:rPr>
                <w:rFonts w:eastAsia="SimSun"/>
              </w:rPr>
              <w:t>С –5 по –4 день</w:t>
            </w:r>
          </w:p>
        </w:tc>
        <w:tc>
          <w:tcPr>
            <w:tcW w:w="2268" w:type="dxa"/>
            <w:vAlign w:val="center"/>
          </w:tcPr>
          <w:p w14:paraId="6D66524D"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w:t>
            </w:r>
          </w:p>
        </w:tc>
      </w:tr>
      <w:tr w:rsidR="0089207C" w:rsidRPr="00AC3044" w14:paraId="6208ADF0" w14:textId="77777777" w:rsidTr="002D3EBF">
        <w:trPr>
          <w:cantSplit/>
          <w:trHeight w:val="20"/>
        </w:trPr>
        <w:tc>
          <w:tcPr>
            <w:tcW w:w="851" w:type="dxa"/>
            <w:vMerge w:val="restart"/>
            <w:textDirection w:val="btLr"/>
            <w:vAlign w:val="center"/>
          </w:tcPr>
          <w:p w14:paraId="32A55357" w14:textId="77777777" w:rsidR="0089207C" w:rsidRPr="00AC3044" w:rsidRDefault="0089207C" w:rsidP="002D3EBF">
            <w:pPr>
              <w:rPr>
                <w:rFonts w:eastAsia="SimSun"/>
              </w:rPr>
            </w:pPr>
            <w:r w:rsidRPr="00AC3044">
              <w:rPr>
                <w:rFonts w:eastAsia="SimSun"/>
              </w:rPr>
              <w:t>Профилактика РТПХ</w:t>
            </w:r>
          </w:p>
        </w:tc>
        <w:tc>
          <w:tcPr>
            <w:tcW w:w="1701" w:type="dxa"/>
            <w:vAlign w:val="center"/>
          </w:tcPr>
          <w:p w14:paraId="0B7AED4D" w14:textId="77777777" w:rsidR="0089207C" w:rsidRPr="00AC3044" w:rsidRDefault="0089207C" w:rsidP="002D3EBF">
            <w:pPr>
              <w:rPr>
                <w:rFonts w:eastAsia="SimSun"/>
              </w:rPr>
            </w:pPr>
            <w:r w:rsidRPr="00AC3044">
              <w:rPr>
                <w:rFonts w:eastAsia="SimSun"/>
              </w:rPr>
              <w:t>АТГ (кроличий)</w:t>
            </w:r>
          </w:p>
        </w:tc>
        <w:tc>
          <w:tcPr>
            <w:tcW w:w="1559" w:type="dxa"/>
            <w:vAlign w:val="center"/>
          </w:tcPr>
          <w:p w14:paraId="05EE5B66" w14:textId="77777777" w:rsidR="0089207C" w:rsidRPr="00AC3044" w:rsidRDefault="0089207C" w:rsidP="002D3EBF">
            <w:pPr>
              <w:rPr>
                <w:rFonts w:eastAsia="SimSun"/>
              </w:rPr>
            </w:pPr>
            <w:r w:rsidRPr="00AC3044">
              <w:rPr>
                <w:rFonts w:eastAsia="SimSun"/>
              </w:rPr>
              <w:t>2,5 мг/кг</w:t>
            </w:r>
          </w:p>
        </w:tc>
        <w:tc>
          <w:tcPr>
            <w:tcW w:w="1418" w:type="dxa"/>
            <w:vAlign w:val="center"/>
          </w:tcPr>
          <w:p w14:paraId="243502EA" w14:textId="77777777" w:rsidR="0089207C" w:rsidRPr="00AC3044" w:rsidRDefault="0089207C" w:rsidP="002D3EBF">
            <w:pPr>
              <w:rPr>
                <w:rFonts w:eastAsia="SimSun"/>
              </w:rPr>
            </w:pPr>
            <w:r w:rsidRPr="00AC3044">
              <w:rPr>
                <w:rFonts w:eastAsia="SimSun"/>
              </w:rPr>
              <w:t>5- 7,5 мг/кг2</w:t>
            </w:r>
          </w:p>
        </w:tc>
        <w:tc>
          <w:tcPr>
            <w:tcW w:w="1701" w:type="dxa"/>
            <w:vAlign w:val="center"/>
          </w:tcPr>
          <w:p w14:paraId="20BDA0F4" w14:textId="77777777" w:rsidR="0089207C" w:rsidRPr="00AC3044" w:rsidRDefault="0089207C" w:rsidP="002D3EBF">
            <w:pPr>
              <w:rPr>
                <w:rFonts w:eastAsia="SimSun"/>
              </w:rPr>
            </w:pPr>
            <w:r w:rsidRPr="00AC3044">
              <w:rPr>
                <w:rFonts w:eastAsia="SimSun"/>
              </w:rPr>
              <w:t>С –3 по –2 (-1) день</w:t>
            </w:r>
          </w:p>
        </w:tc>
        <w:tc>
          <w:tcPr>
            <w:tcW w:w="2268" w:type="dxa"/>
            <w:vAlign w:val="center"/>
          </w:tcPr>
          <w:p w14:paraId="25D4713B" w14:textId="77777777" w:rsidR="0089207C" w:rsidRPr="00AC3044" w:rsidRDefault="0089207C" w:rsidP="002D3EBF">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89207C" w:rsidRPr="00AC3044" w14:paraId="798A5029" w14:textId="77777777" w:rsidTr="002D3EBF">
        <w:trPr>
          <w:cantSplit/>
          <w:trHeight w:val="20"/>
        </w:trPr>
        <w:tc>
          <w:tcPr>
            <w:tcW w:w="851" w:type="dxa"/>
            <w:vMerge/>
            <w:textDirection w:val="btLr"/>
          </w:tcPr>
          <w:p w14:paraId="0205B14C" w14:textId="77777777" w:rsidR="0089207C" w:rsidRPr="00AC3044" w:rsidRDefault="0089207C" w:rsidP="002D3EBF">
            <w:pPr>
              <w:rPr>
                <w:rFonts w:eastAsia="SimSun"/>
              </w:rPr>
            </w:pPr>
          </w:p>
        </w:tc>
        <w:tc>
          <w:tcPr>
            <w:tcW w:w="1701" w:type="dxa"/>
            <w:vAlign w:val="center"/>
          </w:tcPr>
          <w:p w14:paraId="2F6F73AC" w14:textId="77777777" w:rsidR="0089207C" w:rsidRPr="00AC3044" w:rsidRDefault="0089207C" w:rsidP="002D3EBF">
            <w:pPr>
              <w:rPr>
                <w:rFonts w:eastAsia="SimSun"/>
              </w:rPr>
            </w:pPr>
            <w:r w:rsidRPr="00AC3044">
              <w:rPr>
                <w:rFonts w:eastAsia="SimSun"/>
              </w:rPr>
              <w:t>Циклоспорин</w:t>
            </w:r>
          </w:p>
        </w:tc>
        <w:tc>
          <w:tcPr>
            <w:tcW w:w="1559" w:type="dxa"/>
            <w:vAlign w:val="center"/>
          </w:tcPr>
          <w:p w14:paraId="61B556C4" w14:textId="77777777" w:rsidR="0089207C" w:rsidRPr="00AC3044" w:rsidRDefault="0089207C" w:rsidP="002D3EBF">
            <w:pPr>
              <w:rPr>
                <w:rFonts w:eastAsia="SimSun"/>
              </w:rPr>
            </w:pPr>
            <w:r w:rsidRPr="00AC3044">
              <w:rPr>
                <w:rFonts w:eastAsia="SimSun"/>
              </w:rPr>
              <w:t>3 мг/кг</w:t>
            </w:r>
          </w:p>
        </w:tc>
        <w:tc>
          <w:tcPr>
            <w:tcW w:w="1418" w:type="dxa"/>
            <w:vAlign w:val="center"/>
          </w:tcPr>
          <w:p w14:paraId="04CE806A" w14:textId="77777777" w:rsidR="0089207C" w:rsidRPr="00AC3044" w:rsidRDefault="0089207C" w:rsidP="002D3EBF">
            <w:pPr>
              <w:rPr>
                <w:rFonts w:eastAsia="SimSun"/>
              </w:rPr>
            </w:pPr>
            <w:r w:rsidRPr="00AC3044">
              <w:rPr>
                <w:rFonts w:eastAsia="SimSun"/>
              </w:rPr>
              <w:t>–</w:t>
            </w:r>
          </w:p>
        </w:tc>
        <w:tc>
          <w:tcPr>
            <w:tcW w:w="1701" w:type="dxa"/>
            <w:vAlign w:val="center"/>
          </w:tcPr>
          <w:p w14:paraId="01210282" w14:textId="77777777" w:rsidR="0089207C" w:rsidRPr="00AC3044" w:rsidRDefault="0089207C" w:rsidP="002D3EBF">
            <w:pPr>
              <w:rPr>
                <w:rFonts w:eastAsia="SimSun"/>
              </w:rPr>
            </w:pPr>
            <w:r w:rsidRPr="00AC3044">
              <w:rPr>
                <w:rFonts w:eastAsia="SimSun"/>
              </w:rPr>
              <w:t>С–1 по +90 день, затем постепенное снижение к +180 дню</w:t>
            </w:r>
          </w:p>
        </w:tc>
        <w:tc>
          <w:tcPr>
            <w:tcW w:w="2268" w:type="dxa"/>
            <w:vAlign w:val="center"/>
          </w:tcPr>
          <w:p w14:paraId="6A69D7D7" w14:textId="77777777" w:rsidR="0089207C" w:rsidRPr="00AC3044" w:rsidRDefault="0089207C" w:rsidP="002D3EBF">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sidRPr="00AC3044">
              <w:rPr>
                <w:rFonts w:eastAsia="SimSun"/>
              </w:rPr>
              <w:t> 109/л, при отсутствии тошноты, рвоты, диареи и возможности приема внутрь. Концентрация 150-350 нг/мл</w:t>
            </w:r>
          </w:p>
        </w:tc>
      </w:tr>
      <w:tr w:rsidR="0089207C" w:rsidRPr="00AC3044" w14:paraId="59594A42" w14:textId="77777777" w:rsidTr="002D3EBF">
        <w:trPr>
          <w:cantSplit/>
          <w:trHeight w:val="20"/>
        </w:trPr>
        <w:tc>
          <w:tcPr>
            <w:tcW w:w="851" w:type="dxa"/>
            <w:vMerge/>
          </w:tcPr>
          <w:p w14:paraId="4A322044" w14:textId="77777777" w:rsidR="0089207C" w:rsidRPr="00AC3044" w:rsidRDefault="0089207C" w:rsidP="002D3EBF">
            <w:pPr>
              <w:rPr>
                <w:rFonts w:eastAsia="SimSun"/>
              </w:rPr>
            </w:pPr>
          </w:p>
        </w:tc>
        <w:tc>
          <w:tcPr>
            <w:tcW w:w="1701" w:type="dxa"/>
            <w:vMerge w:val="restart"/>
            <w:vAlign w:val="center"/>
          </w:tcPr>
          <w:p w14:paraId="000CB5C9" w14:textId="77777777" w:rsidR="0089207C" w:rsidRPr="00AC3044" w:rsidRDefault="0089207C" w:rsidP="002D3EBF">
            <w:pPr>
              <w:rPr>
                <w:rFonts w:eastAsia="SimSun"/>
              </w:rPr>
            </w:pPr>
            <w:r w:rsidRPr="00AC3044">
              <w:rPr>
                <w:rFonts w:eastAsia="SimSun"/>
              </w:rPr>
              <w:t>Метотрексат</w:t>
            </w:r>
          </w:p>
        </w:tc>
        <w:tc>
          <w:tcPr>
            <w:tcW w:w="1559" w:type="dxa"/>
            <w:vAlign w:val="center"/>
          </w:tcPr>
          <w:p w14:paraId="02A694C6" w14:textId="77777777" w:rsidR="0089207C" w:rsidRPr="00AC3044" w:rsidRDefault="0089207C" w:rsidP="002D3EBF">
            <w:pPr>
              <w:rPr>
                <w:rFonts w:eastAsia="SimSun"/>
              </w:rPr>
            </w:pPr>
            <w:r w:rsidRPr="00AC3044">
              <w:rPr>
                <w:rFonts w:eastAsia="SimSun"/>
              </w:rPr>
              <w:t>15 мг/м</w:t>
            </w:r>
            <w:r w:rsidRPr="00DB259E">
              <w:rPr>
                <w:rFonts w:eastAsia="SimSun"/>
                <w:vertAlign w:val="superscript"/>
              </w:rPr>
              <w:t>2</w:t>
            </w:r>
          </w:p>
        </w:tc>
        <w:tc>
          <w:tcPr>
            <w:tcW w:w="1418" w:type="dxa"/>
            <w:vAlign w:val="center"/>
          </w:tcPr>
          <w:p w14:paraId="4BA61E9C" w14:textId="77777777" w:rsidR="0089207C" w:rsidRPr="00AC3044" w:rsidRDefault="0089207C" w:rsidP="002D3EBF">
            <w:pPr>
              <w:rPr>
                <w:rFonts w:eastAsia="SimSun"/>
              </w:rPr>
            </w:pPr>
            <w:r w:rsidRPr="00AC3044">
              <w:rPr>
                <w:rFonts w:eastAsia="SimSun"/>
              </w:rPr>
              <w:t>–</w:t>
            </w:r>
          </w:p>
        </w:tc>
        <w:tc>
          <w:tcPr>
            <w:tcW w:w="1701" w:type="dxa"/>
            <w:vAlign w:val="center"/>
          </w:tcPr>
          <w:p w14:paraId="3EF13463" w14:textId="77777777" w:rsidR="0089207C" w:rsidRPr="00AC3044" w:rsidRDefault="0089207C" w:rsidP="002D3EBF">
            <w:pPr>
              <w:rPr>
                <w:rFonts w:eastAsia="SimSun"/>
              </w:rPr>
            </w:pPr>
            <w:r w:rsidRPr="00AC3044">
              <w:rPr>
                <w:rFonts w:eastAsia="SimSun"/>
              </w:rPr>
              <w:t>+1 день</w:t>
            </w:r>
          </w:p>
        </w:tc>
        <w:tc>
          <w:tcPr>
            <w:tcW w:w="2268" w:type="dxa"/>
            <w:vAlign w:val="center"/>
          </w:tcPr>
          <w:p w14:paraId="467388F0" w14:textId="77777777" w:rsidR="0089207C" w:rsidRPr="00AC3044" w:rsidRDefault="0089207C" w:rsidP="002D3EBF">
            <w:pPr>
              <w:rPr>
                <w:rFonts w:eastAsia="SimSun"/>
              </w:rPr>
            </w:pPr>
            <w:r w:rsidRPr="00AC3044">
              <w:rPr>
                <w:rFonts w:eastAsia="SimSun"/>
              </w:rPr>
              <w:t xml:space="preserve">В/в, в 20 мл физ. р-ра </w:t>
            </w:r>
          </w:p>
        </w:tc>
      </w:tr>
      <w:tr w:rsidR="0089207C" w:rsidRPr="00AC3044" w14:paraId="4970604B" w14:textId="77777777" w:rsidTr="002D3EBF">
        <w:trPr>
          <w:cantSplit/>
          <w:trHeight w:val="464"/>
        </w:trPr>
        <w:tc>
          <w:tcPr>
            <w:tcW w:w="851" w:type="dxa"/>
            <w:vMerge/>
          </w:tcPr>
          <w:p w14:paraId="5182B578" w14:textId="77777777" w:rsidR="0089207C" w:rsidRPr="00AC3044" w:rsidRDefault="0089207C" w:rsidP="002D3EBF">
            <w:pPr>
              <w:rPr>
                <w:rFonts w:eastAsia="SimSun"/>
              </w:rPr>
            </w:pPr>
          </w:p>
        </w:tc>
        <w:tc>
          <w:tcPr>
            <w:tcW w:w="1701" w:type="dxa"/>
            <w:vMerge/>
            <w:vAlign w:val="center"/>
          </w:tcPr>
          <w:p w14:paraId="1E78A13A" w14:textId="77777777" w:rsidR="0089207C" w:rsidRPr="00AC3044" w:rsidRDefault="0089207C" w:rsidP="002D3EBF">
            <w:pPr>
              <w:rPr>
                <w:rFonts w:eastAsia="SimSun"/>
              </w:rPr>
            </w:pPr>
          </w:p>
        </w:tc>
        <w:tc>
          <w:tcPr>
            <w:tcW w:w="1559" w:type="dxa"/>
            <w:vAlign w:val="center"/>
          </w:tcPr>
          <w:p w14:paraId="14CDDF60" w14:textId="77777777" w:rsidR="0089207C" w:rsidRPr="00AC3044" w:rsidRDefault="0089207C" w:rsidP="002D3EBF">
            <w:pPr>
              <w:rPr>
                <w:rFonts w:eastAsia="SimSun"/>
              </w:rPr>
            </w:pPr>
            <w:r w:rsidRPr="00AC3044">
              <w:rPr>
                <w:rFonts w:eastAsia="SimSun"/>
              </w:rPr>
              <w:t>10 мг/м</w:t>
            </w:r>
            <w:r w:rsidRPr="00DB259E">
              <w:rPr>
                <w:rFonts w:eastAsia="SimSun"/>
                <w:vertAlign w:val="superscript"/>
              </w:rPr>
              <w:t>2</w:t>
            </w:r>
          </w:p>
        </w:tc>
        <w:tc>
          <w:tcPr>
            <w:tcW w:w="1418" w:type="dxa"/>
            <w:vAlign w:val="center"/>
          </w:tcPr>
          <w:p w14:paraId="38FF2D48" w14:textId="77777777" w:rsidR="0089207C" w:rsidRPr="00AC3044" w:rsidRDefault="0089207C" w:rsidP="002D3EBF">
            <w:pPr>
              <w:rPr>
                <w:rFonts w:eastAsia="SimSun"/>
              </w:rPr>
            </w:pPr>
            <w:r w:rsidRPr="00AC3044">
              <w:rPr>
                <w:rFonts w:eastAsia="SimSun"/>
              </w:rPr>
              <w:t>–</w:t>
            </w:r>
          </w:p>
        </w:tc>
        <w:tc>
          <w:tcPr>
            <w:tcW w:w="1701" w:type="dxa"/>
            <w:vAlign w:val="center"/>
          </w:tcPr>
          <w:p w14:paraId="307900F8" w14:textId="77777777" w:rsidR="0089207C" w:rsidRPr="00AC3044" w:rsidRDefault="0089207C" w:rsidP="002D3EBF">
            <w:pPr>
              <w:rPr>
                <w:rFonts w:eastAsia="SimSun"/>
              </w:rPr>
            </w:pPr>
            <w:r w:rsidRPr="00AC3044">
              <w:rPr>
                <w:rFonts w:eastAsia="SimSun"/>
              </w:rPr>
              <w:t>+3, +6, +11 дни</w:t>
            </w:r>
          </w:p>
        </w:tc>
        <w:tc>
          <w:tcPr>
            <w:tcW w:w="2268" w:type="dxa"/>
            <w:vAlign w:val="center"/>
          </w:tcPr>
          <w:p w14:paraId="2D26ED75" w14:textId="77777777" w:rsidR="0089207C" w:rsidRPr="00AC3044" w:rsidRDefault="0089207C" w:rsidP="002D3EBF">
            <w:pPr>
              <w:rPr>
                <w:rFonts w:eastAsia="SimSun"/>
              </w:rPr>
            </w:pPr>
            <w:r w:rsidRPr="00AC3044">
              <w:rPr>
                <w:rFonts w:eastAsia="SimSun"/>
              </w:rPr>
              <w:t xml:space="preserve">В/в, в 20 мл физ. р-ра </w:t>
            </w:r>
          </w:p>
        </w:tc>
      </w:tr>
      <w:tr w:rsidR="0089207C" w:rsidRPr="00AC3044" w14:paraId="011F9A63" w14:textId="77777777" w:rsidTr="002D3EBF">
        <w:trPr>
          <w:cantSplit/>
          <w:trHeight w:val="464"/>
        </w:trPr>
        <w:tc>
          <w:tcPr>
            <w:tcW w:w="851" w:type="dxa"/>
            <w:vMerge/>
          </w:tcPr>
          <w:p w14:paraId="772AFF53" w14:textId="77777777" w:rsidR="0089207C" w:rsidRPr="00AC3044" w:rsidRDefault="0089207C" w:rsidP="002D3EBF">
            <w:pPr>
              <w:rPr>
                <w:rFonts w:eastAsia="SimSun"/>
              </w:rPr>
            </w:pPr>
          </w:p>
        </w:tc>
        <w:tc>
          <w:tcPr>
            <w:tcW w:w="1701" w:type="dxa"/>
            <w:vAlign w:val="center"/>
          </w:tcPr>
          <w:p w14:paraId="47920A70" w14:textId="77777777" w:rsidR="0089207C" w:rsidRPr="00AC3044" w:rsidRDefault="0089207C" w:rsidP="002D3EBF">
            <w:pPr>
              <w:rPr>
                <w:rFonts w:eastAsia="SimSun"/>
              </w:rPr>
            </w:pPr>
            <w:r w:rsidRPr="00AC3044">
              <w:rPr>
                <w:rFonts w:eastAsia="SimSun"/>
              </w:rPr>
              <w:t>Микофенолата мофетил</w:t>
            </w:r>
          </w:p>
        </w:tc>
        <w:tc>
          <w:tcPr>
            <w:tcW w:w="1559" w:type="dxa"/>
            <w:vAlign w:val="center"/>
          </w:tcPr>
          <w:p w14:paraId="48A74B1F" w14:textId="77777777" w:rsidR="0089207C" w:rsidRPr="00AC3044" w:rsidRDefault="0089207C" w:rsidP="002D3EBF">
            <w:pPr>
              <w:rPr>
                <w:rFonts w:eastAsia="SimSun"/>
              </w:rPr>
            </w:pPr>
            <w:r w:rsidRPr="00AC3044">
              <w:rPr>
                <w:rFonts w:eastAsia="SimSun"/>
              </w:rPr>
              <w:t>45 мг/кг</w:t>
            </w:r>
          </w:p>
        </w:tc>
        <w:tc>
          <w:tcPr>
            <w:tcW w:w="1418" w:type="dxa"/>
            <w:vAlign w:val="center"/>
          </w:tcPr>
          <w:p w14:paraId="54F9B555" w14:textId="77777777" w:rsidR="0089207C" w:rsidRPr="00AC3044" w:rsidRDefault="0089207C" w:rsidP="002D3EBF">
            <w:pPr>
              <w:rPr>
                <w:rFonts w:eastAsia="SimSun"/>
              </w:rPr>
            </w:pPr>
            <w:r w:rsidRPr="00AC3044">
              <w:rPr>
                <w:rFonts w:eastAsia="SimSun"/>
              </w:rPr>
              <w:t>–</w:t>
            </w:r>
          </w:p>
        </w:tc>
        <w:tc>
          <w:tcPr>
            <w:tcW w:w="1701" w:type="dxa"/>
            <w:vAlign w:val="center"/>
          </w:tcPr>
          <w:p w14:paraId="0AAE6C40" w14:textId="77777777" w:rsidR="0089207C" w:rsidRPr="00AC3044" w:rsidRDefault="0089207C" w:rsidP="002D3EBF">
            <w:pPr>
              <w:rPr>
                <w:rFonts w:eastAsia="SimSun"/>
              </w:rPr>
            </w:pPr>
            <w:r w:rsidRPr="00AC3044">
              <w:rPr>
                <w:rFonts w:eastAsia="SimSun"/>
              </w:rPr>
              <w:t>С +1 по +90 день</w:t>
            </w:r>
          </w:p>
        </w:tc>
        <w:tc>
          <w:tcPr>
            <w:tcW w:w="2268" w:type="dxa"/>
            <w:vAlign w:val="center"/>
          </w:tcPr>
          <w:p w14:paraId="607B9C14" w14:textId="77777777" w:rsidR="0089207C" w:rsidRPr="00AC3044" w:rsidRDefault="0089207C" w:rsidP="002D3EBF">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347289C1" w14:textId="77777777" w:rsidR="0089207C" w:rsidRDefault="0089207C" w:rsidP="0089207C">
      <w:pPr>
        <w:rPr>
          <w:rFonts w:eastAsia="SimSun"/>
        </w:rPr>
      </w:pPr>
      <w:bookmarkStart w:id="253" w:name="_Toc44401207"/>
    </w:p>
    <w:p w14:paraId="291B7706" w14:textId="77777777" w:rsidR="0089207C" w:rsidRPr="00C07B2E" w:rsidRDefault="0089207C" w:rsidP="0089207C">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2.2.7  – Flu180+Bu8 / PT-Cy+CSA+MMF30</w:t>
      </w:r>
      <w:bookmarkEnd w:id="253"/>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89207C" w:rsidRPr="00AC3044" w14:paraId="5415417C" w14:textId="77777777" w:rsidTr="002D3EBF">
        <w:trPr>
          <w:cantSplit/>
          <w:trHeight w:val="20"/>
          <w:tblHeader/>
        </w:trPr>
        <w:tc>
          <w:tcPr>
            <w:tcW w:w="851" w:type="dxa"/>
          </w:tcPr>
          <w:p w14:paraId="1DB1F238" w14:textId="77777777" w:rsidR="0089207C" w:rsidRPr="00470D3D" w:rsidRDefault="0089207C" w:rsidP="002D3EBF">
            <w:pPr>
              <w:rPr>
                <w:rFonts w:eastAsia="SimSun"/>
              </w:rPr>
            </w:pPr>
          </w:p>
        </w:tc>
        <w:tc>
          <w:tcPr>
            <w:tcW w:w="1701" w:type="dxa"/>
            <w:vAlign w:val="center"/>
          </w:tcPr>
          <w:p w14:paraId="4EA5FFAF" w14:textId="77777777" w:rsidR="0089207C" w:rsidRPr="00AC3044" w:rsidRDefault="0089207C" w:rsidP="002D3EBF">
            <w:pPr>
              <w:rPr>
                <w:rFonts w:eastAsia="SimSun"/>
              </w:rPr>
            </w:pPr>
            <w:r w:rsidRPr="00AC3044">
              <w:rPr>
                <w:rFonts w:eastAsia="SimSun"/>
              </w:rPr>
              <w:t>Препарат</w:t>
            </w:r>
          </w:p>
        </w:tc>
        <w:tc>
          <w:tcPr>
            <w:tcW w:w="1559" w:type="dxa"/>
            <w:vAlign w:val="center"/>
          </w:tcPr>
          <w:p w14:paraId="514EBAA5" w14:textId="77777777" w:rsidR="0089207C" w:rsidRPr="00AC3044" w:rsidRDefault="0089207C" w:rsidP="002D3EBF">
            <w:pPr>
              <w:rPr>
                <w:rFonts w:eastAsia="SimSun"/>
              </w:rPr>
            </w:pPr>
            <w:r w:rsidRPr="00AC3044">
              <w:rPr>
                <w:rFonts w:eastAsia="SimSun"/>
              </w:rPr>
              <w:t>Суточная доза</w:t>
            </w:r>
          </w:p>
        </w:tc>
        <w:tc>
          <w:tcPr>
            <w:tcW w:w="1418" w:type="dxa"/>
            <w:vAlign w:val="center"/>
          </w:tcPr>
          <w:p w14:paraId="545B3AD6" w14:textId="77777777" w:rsidR="0089207C" w:rsidRPr="00AC3044" w:rsidRDefault="0089207C" w:rsidP="002D3EBF">
            <w:pPr>
              <w:rPr>
                <w:rFonts w:eastAsia="SimSun"/>
              </w:rPr>
            </w:pPr>
            <w:r w:rsidRPr="00AC3044">
              <w:rPr>
                <w:rFonts w:eastAsia="SimSun"/>
              </w:rPr>
              <w:t>Курсовая доза</w:t>
            </w:r>
          </w:p>
        </w:tc>
        <w:tc>
          <w:tcPr>
            <w:tcW w:w="1701" w:type="dxa"/>
            <w:vAlign w:val="center"/>
          </w:tcPr>
          <w:p w14:paraId="4AECF6FD"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7FCC1A2E"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663BFBEB" w14:textId="77777777" w:rsidTr="002D3EBF">
        <w:trPr>
          <w:cantSplit/>
          <w:trHeight w:val="20"/>
        </w:trPr>
        <w:tc>
          <w:tcPr>
            <w:tcW w:w="851" w:type="dxa"/>
            <w:vMerge w:val="restart"/>
            <w:textDirection w:val="btLr"/>
            <w:vAlign w:val="center"/>
          </w:tcPr>
          <w:p w14:paraId="4E7E05BE" w14:textId="77777777" w:rsidR="0089207C" w:rsidRPr="00AC3044" w:rsidRDefault="0089207C" w:rsidP="002D3EBF">
            <w:pPr>
              <w:rPr>
                <w:rFonts w:eastAsia="SimSun"/>
              </w:rPr>
            </w:pPr>
            <w:r w:rsidRPr="00AC3044">
              <w:rPr>
                <w:rFonts w:eastAsia="SimSun"/>
              </w:rPr>
              <w:t>Кондиционирование</w:t>
            </w:r>
          </w:p>
        </w:tc>
        <w:tc>
          <w:tcPr>
            <w:tcW w:w="1701" w:type="dxa"/>
            <w:vAlign w:val="center"/>
          </w:tcPr>
          <w:p w14:paraId="53AF1FBE" w14:textId="77777777" w:rsidR="0089207C" w:rsidRPr="00AC3044" w:rsidRDefault="0089207C" w:rsidP="002D3EBF">
            <w:pPr>
              <w:rPr>
                <w:rFonts w:eastAsia="SimSun"/>
              </w:rPr>
            </w:pPr>
            <w:r w:rsidRPr="00AC3044">
              <w:rPr>
                <w:rFonts w:eastAsia="SimSun"/>
              </w:rPr>
              <w:t xml:space="preserve">Флударабин </w:t>
            </w:r>
          </w:p>
        </w:tc>
        <w:tc>
          <w:tcPr>
            <w:tcW w:w="1559" w:type="dxa"/>
            <w:vAlign w:val="center"/>
          </w:tcPr>
          <w:p w14:paraId="00618E13" w14:textId="77777777" w:rsidR="0089207C" w:rsidRPr="00AC3044" w:rsidRDefault="0089207C" w:rsidP="002D3EBF">
            <w:pPr>
              <w:rPr>
                <w:rFonts w:eastAsia="SimSun"/>
              </w:rPr>
            </w:pPr>
            <w:r w:rsidRPr="00AC3044">
              <w:rPr>
                <w:rFonts w:eastAsia="SimSun"/>
              </w:rPr>
              <w:t>30 мг/м</w:t>
            </w:r>
            <w:r w:rsidRPr="00DB259E">
              <w:rPr>
                <w:rFonts w:eastAsia="SimSun"/>
                <w:vertAlign w:val="superscript"/>
              </w:rPr>
              <w:t>2</w:t>
            </w:r>
          </w:p>
        </w:tc>
        <w:tc>
          <w:tcPr>
            <w:tcW w:w="1418" w:type="dxa"/>
            <w:vAlign w:val="center"/>
          </w:tcPr>
          <w:p w14:paraId="39941E68" w14:textId="77777777" w:rsidR="0089207C" w:rsidRPr="00AC3044" w:rsidRDefault="0089207C" w:rsidP="002D3EBF">
            <w:pPr>
              <w:rPr>
                <w:rFonts w:eastAsia="SimSun"/>
              </w:rPr>
            </w:pPr>
            <w:r w:rsidRPr="00AC3044">
              <w:rPr>
                <w:rFonts w:eastAsia="SimSun"/>
              </w:rPr>
              <w:t>150 мг/м</w:t>
            </w:r>
            <w:r w:rsidRPr="00DB259E">
              <w:rPr>
                <w:rFonts w:eastAsia="SimSun"/>
                <w:vertAlign w:val="superscript"/>
              </w:rPr>
              <w:t>2</w:t>
            </w:r>
          </w:p>
        </w:tc>
        <w:tc>
          <w:tcPr>
            <w:tcW w:w="1701" w:type="dxa"/>
            <w:vAlign w:val="center"/>
          </w:tcPr>
          <w:p w14:paraId="025F5BC5" w14:textId="77777777" w:rsidR="0089207C" w:rsidRPr="00AC3044" w:rsidRDefault="0089207C" w:rsidP="002D3EBF">
            <w:pPr>
              <w:rPr>
                <w:rFonts w:eastAsia="SimSun"/>
              </w:rPr>
            </w:pPr>
            <w:r w:rsidRPr="00AC3044">
              <w:rPr>
                <w:rFonts w:eastAsia="SimSun"/>
              </w:rPr>
              <w:t>С –6 по –2 день</w:t>
            </w:r>
          </w:p>
        </w:tc>
        <w:tc>
          <w:tcPr>
            <w:tcW w:w="2268" w:type="dxa"/>
            <w:vAlign w:val="center"/>
          </w:tcPr>
          <w:p w14:paraId="1F504A38"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1CD9231A" w14:textId="77777777" w:rsidTr="002D3EBF">
        <w:trPr>
          <w:cantSplit/>
          <w:trHeight w:val="772"/>
        </w:trPr>
        <w:tc>
          <w:tcPr>
            <w:tcW w:w="851" w:type="dxa"/>
            <w:vMerge/>
            <w:textDirection w:val="btLr"/>
            <w:vAlign w:val="center"/>
          </w:tcPr>
          <w:p w14:paraId="263C5258" w14:textId="77777777" w:rsidR="0089207C" w:rsidRPr="00AC3044" w:rsidRDefault="0089207C" w:rsidP="002D3EBF">
            <w:pPr>
              <w:rPr>
                <w:rFonts w:eastAsia="SimSun"/>
              </w:rPr>
            </w:pPr>
          </w:p>
        </w:tc>
        <w:tc>
          <w:tcPr>
            <w:tcW w:w="1701" w:type="dxa"/>
            <w:vAlign w:val="center"/>
          </w:tcPr>
          <w:p w14:paraId="732FC9FD" w14:textId="77777777" w:rsidR="0089207C" w:rsidRPr="00AC3044" w:rsidRDefault="0089207C" w:rsidP="002D3EBF">
            <w:pPr>
              <w:rPr>
                <w:rFonts w:eastAsia="SimSun"/>
              </w:rPr>
            </w:pPr>
            <w:r w:rsidRPr="00AC3044">
              <w:rPr>
                <w:rFonts w:eastAsia="SimSun"/>
              </w:rPr>
              <w:t>Бусульфан</w:t>
            </w:r>
          </w:p>
        </w:tc>
        <w:tc>
          <w:tcPr>
            <w:tcW w:w="1559" w:type="dxa"/>
            <w:vAlign w:val="center"/>
          </w:tcPr>
          <w:p w14:paraId="0B64EED1" w14:textId="77777777" w:rsidR="0089207C" w:rsidRPr="00AC3044" w:rsidRDefault="0089207C" w:rsidP="002D3EBF">
            <w:pPr>
              <w:rPr>
                <w:rFonts w:eastAsia="SimSun"/>
              </w:rPr>
            </w:pPr>
            <w:r w:rsidRPr="00AC3044">
              <w:rPr>
                <w:rFonts w:eastAsia="SimSun"/>
              </w:rPr>
              <w:t>4 мг/кг</w:t>
            </w:r>
          </w:p>
        </w:tc>
        <w:tc>
          <w:tcPr>
            <w:tcW w:w="1418" w:type="dxa"/>
            <w:vAlign w:val="center"/>
          </w:tcPr>
          <w:p w14:paraId="3A2A7DCD" w14:textId="77777777" w:rsidR="0089207C" w:rsidRPr="00AC3044" w:rsidRDefault="0089207C" w:rsidP="002D3EBF">
            <w:pPr>
              <w:rPr>
                <w:rFonts w:eastAsia="SimSun"/>
              </w:rPr>
            </w:pPr>
            <w:r w:rsidRPr="00AC3044">
              <w:rPr>
                <w:rFonts w:eastAsia="SimSun"/>
              </w:rPr>
              <w:t>8 мг/кг</w:t>
            </w:r>
          </w:p>
        </w:tc>
        <w:tc>
          <w:tcPr>
            <w:tcW w:w="1701" w:type="dxa"/>
            <w:vAlign w:val="center"/>
          </w:tcPr>
          <w:p w14:paraId="0B28EBF4" w14:textId="77777777" w:rsidR="0089207C" w:rsidRPr="00AC3044" w:rsidRDefault="0089207C" w:rsidP="002D3EBF">
            <w:pPr>
              <w:rPr>
                <w:rFonts w:eastAsia="SimSun"/>
              </w:rPr>
            </w:pPr>
            <w:r w:rsidRPr="00AC3044">
              <w:rPr>
                <w:rFonts w:eastAsia="SimSun"/>
              </w:rPr>
              <w:t>С –5 по –4 день</w:t>
            </w:r>
          </w:p>
        </w:tc>
        <w:tc>
          <w:tcPr>
            <w:tcW w:w="2268" w:type="dxa"/>
            <w:vAlign w:val="center"/>
          </w:tcPr>
          <w:p w14:paraId="3BF0B83F"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w:t>
            </w:r>
          </w:p>
        </w:tc>
      </w:tr>
      <w:tr w:rsidR="0089207C" w:rsidRPr="00AC3044" w14:paraId="4958875F" w14:textId="77777777" w:rsidTr="002D3EBF">
        <w:trPr>
          <w:cantSplit/>
          <w:trHeight w:val="1337"/>
        </w:trPr>
        <w:tc>
          <w:tcPr>
            <w:tcW w:w="851" w:type="dxa"/>
            <w:vMerge w:val="restart"/>
            <w:textDirection w:val="btLr"/>
            <w:vAlign w:val="center"/>
          </w:tcPr>
          <w:p w14:paraId="51246A98" w14:textId="77777777" w:rsidR="0089207C" w:rsidRPr="00AC3044" w:rsidRDefault="0089207C" w:rsidP="002D3EBF">
            <w:pPr>
              <w:rPr>
                <w:rFonts w:eastAsia="SimSun"/>
              </w:rPr>
            </w:pPr>
            <w:r w:rsidRPr="00AC3044">
              <w:rPr>
                <w:rFonts w:eastAsia="SimSun"/>
              </w:rPr>
              <w:t>Профилактика РТПХ</w:t>
            </w:r>
          </w:p>
        </w:tc>
        <w:tc>
          <w:tcPr>
            <w:tcW w:w="1701" w:type="dxa"/>
            <w:vAlign w:val="center"/>
          </w:tcPr>
          <w:p w14:paraId="7D1A345D" w14:textId="77777777" w:rsidR="0089207C" w:rsidRPr="00AC3044" w:rsidRDefault="0089207C" w:rsidP="002D3EBF">
            <w:pPr>
              <w:rPr>
                <w:rFonts w:eastAsia="SimSun"/>
              </w:rPr>
            </w:pPr>
            <w:r w:rsidRPr="00AC3044">
              <w:rPr>
                <w:rFonts w:eastAsia="SimSun"/>
              </w:rPr>
              <w:t>Циклоспорин</w:t>
            </w:r>
          </w:p>
        </w:tc>
        <w:tc>
          <w:tcPr>
            <w:tcW w:w="1559" w:type="dxa"/>
            <w:vAlign w:val="center"/>
          </w:tcPr>
          <w:p w14:paraId="7157CA3E" w14:textId="77777777" w:rsidR="0089207C" w:rsidRPr="00AC3044" w:rsidRDefault="0089207C" w:rsidP="002D3EBF">
            <w:pPr>
              <w:rPr>
                <w:rFonts w:eastAsia="SimSun"/>
              </w:rPr>
            </w:pPr>
            <w:r w:rsidRPr="00AC3044">
              <w:rPr>
                <w:rFonts w:eastAsia="SimSun"/>
              </w:rPr>
              <w:t>3 мг/кг</w:t>
            </w:r>
          </w:p>
        </w:tc>
        <w:tc>
          <w:tcPr>
            <w:tcW w:w="1418" w:type="dxa"/>
            <w:vAlign w:val="center"/>
          </w:tcPr>
          <w:p w14:paraId="4FF6B378" w14:textId="77777777" w:rsidR="0089207C" w:rsidRPr="00AC3044" w:rsidRDefault="0089207C" w:rsidP="002D3EBF">
            <w:pPr>
              <w:rPr>
                <w:rFonts w:eastAsia="SimSun"/>
              </w:rPr>
            </w:pPr>
            <w:r w:rsidRPr="00AC3044">
              <w:rPr>
                <w:rFonts w:eastAsia="SimSun"/>
              </w:rPr>
              <w:t>–</w:t>
            </w:r>
          </w:p>
        </w:tc>
        <w:tc>
          <w:tcPr>
            <w:tcW w:w="1701" w:type="dxa"/>
            <w:vAlign w:val="center"/>
          </w:tcPr>
          <w:p w14:paraId="464FE1AD" w14:textId="77777777" w:rsidR="0089207C" w:rsidRPr="00AC3044" w:rsidRDefault="0089207C" w:rsidP="002D3EBF">
            <w:pPr>
              <w:rPr>
                <w:rFonts w:eastAsia="SimSun"/>
              </w:rPr>
            </w:pPr>
            <w:r w:rsidRPr="00AC3044">
              <w:rPr>
                <w:rFonts w:eastAsia="SimSun"/>
              </w:rPr>
              <w:t>С +5 дня по +90 день затем постепенное снижение к +180 дню</w:t>
            </w:r>
          </w:p>
        </w:tc>
        <w:tc>
          <w:tcPr>
            <w:tcW w:w="2268" w:type="dxa"/>
            <w:vAlign w:val="center"/>
          </w:tcPr>
          <w:p w14:paraId="019196F3" w14:textId="77777777" w:rsidR="0089207C" w:rsidRPr="00AC3044" w:rsidRDefault="0089207C" w:rsidP="002D3EBF">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9207C" w:rsidRPr="00AC3044" w14:paraId="043EA4B7" w14:textId="77777777" w:rsidTr="002D3EBF">
        <w:trPr>
          <w:cantSplit/>
          <w:trHeight w:val="308"/>
        </w:trPr>
        <w:tc>
          <w:tcPr>
            <w:tcW w:w="851" w:type="dxa"/>
            <w:vMerge/>
            <w:textDirection w:val="btLr"/>
          </w:tcPr>
          <w:p w14:paraId="644E2FF6" w14:textId="77777777" w:rsidR="0089207C" w:rsidRPr="00AC3044" w:rsidRDefault="0089207C" w:rsidP="002D3EBF">
            <w:pPr>
              <w:rPr>
                <w:rFonts w:eastAsia="SimSun"/>
              </w:rPr>
            </w:pPr>
          </w:p>
        </w:tc>
        <w:tc>
          <w:tcPr>
            <w:tcW w:w="1701" w:type="dxa"/>
            <w:vAlign w:val="center"/>
          </w:tcPr>
          <w:p w14:paraId="2692DD9D" w14:textId="77777777" w:rsidR="0089207C" w:rsidRPr="00AC3044" w:rsidRDefault="0089207C" w:rsidP="002D3EBF">
            <w:pPr>
              <w:rPr>
                <w:rFonts w:eastAsia="SimSun"/>
              </w:rPr>
            </w:pPr>
            <w:r w:rsidRPr="00AC3044">
              <w:rPr>
                <w:rFonts w:eastAsia="SimSun"/>
              </w:rPr>
              <w:t>Микофенолата мофетил</w:t>
            </w:r>
          </w:p>
        </w:tc>
        <w:tc>
          <w:tcPr>
            <w:tcW w:w="1559" w:type="dxa"/>
            <w:vAlign w:val="center"/>
          </w:tcPr>
          <w:p w14:paraId="6B4CA36E" w14:textId="77777777" w:rsidR="0089207C" w:rsidRPr="00AC3044" w:rsidRDefault="0089207C" w:rsidP="002D3EBF">
            <w:pPr>
              <w:rPr>
                <w:rFonts w:eastAsia="SimSun"/>
              </w:rPr>
            </w:pPr>
            <w:r w:rsidRPr="00AC3044">
              <w:rPr>
                <w:rFonts w:eastAsia="SimSun"/>
              </w:rPr>
              <w:t>30 мг/кг</w:t>
            </w:r>
          </w:p>
        </w:tc>
        <w:tc>
          <w:tcPr>
            <w:tcW w:w="1418" w:type="dxa"/>
            <w:vAlign w:val="center"/>
          </w:tcPr>
          <w:p w14:paraId="7626932A" w14:textId="77777777" w:rsidR="0089207C" w:rsidRPr="00AC3044" w:rsidRDefault="0089207C" w:rsidP="002D3EBF">
            <w:pPr>
              <w:rPr>
                <w:rFonts w:eastAsia="SimSun"/>
              </w:rPr>
            </w:pPr>
            <w:r w:rsidRPr="00AC3044">
              <w:rPr>
                <w:rFonts w:eastAsia="SimSun"/>
              </w:rPr>
              <w:t>–</w:t>
            </w:r>
          </w:p>
        </w:tc>
        <w:tc>
          <w:tcPr>
            <w:tcW w:w="1701" w:type="dxa"/>
            <w:vAlign w:val="center"/>
          </w:tcPr>
          <w:p w14:paraId="40E8BB27" w14:textId="77777777" w:rsidR="0089207C" w:rsidRPr="00AC3044" w:rsidRDefault="0089207C" w:rsidP="002D3EBF">
            <w:pPr>
              <w:rPr>
                <w:rFonts w:eastAsia="SimSun"/>
              </w:rPr>
            </w:pPr>
            <w:r w:rsidRPr="00AC3044">
              <w:rPr>
                <w:rFonts w:eastAsia="SimSun"/>
              </w:rPr>
              <w:t>С +5 по +90 день</w:t>
            </w:r>
          </w:p>
        </w:tc>
        <w:tc>
          <w:tcPr>
            <w:tcW w:w="2268" w:type="dxa"/>
            <w:vAlign w:val="center"/>
          </w:tcPr>
          <w:p w14:paraId="3B609B9D" w14:textId="77777777" w:rsidR="0089207C" w:rsidRPr="00AC3044" w:rsidRDefault="0089207C" w:rsidP="002D3EBF">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89207C" w:rsidRPr="00AC3044" w14:paraId="07C7E906" w14:textId="77777777" w:rsidTr="002D3EBF">
        <w:trPr>
          <w:cantSplit/>
          <w:trHeight w:val="20"/>
        </w:trPr>
        <w:tc>
          <w:tcPr>
            <w:tcW w:w="851" w:type="dxa"/>
            <w:vMerge/>
            <w:textDirection w:val="btLr"/>
          </w:tcPr>
          <w:p w14:paraId="7241A950" w14:textId="77777777" w:rsidR="0089207C" w:rsidRPr="00AC3044" w:rsidRDefault="0089207C" w:rsidP="002D3EBF">
            <w:pPr>
              <w:rPr>
                <w:rFonts w:eastAsia="SimSun"/>
              </w:rPr>
            </w:pPr>
          </w:p>
        </w:tc>
        <w:tc>
          <w:tcPr>
            <w:tcW w:w="1701" w:type="dxa"/>
            <w:vAlign w:val="center"/>
          </w:tcPr>
          <w:p w14:paraId="5C09620A" w14:textId="77777777" w:rsidR="0089207C" w:rsidRPr="00AC3044" w:rsidRDefault="0089207C" w:rsidP="002D3EBF">
            <w:pPr>
              <w:rPr>
                <w:rFonts w:eastAsia="SimSun"/>
              </w:rPr>
            </w:pPr>
            <w:r w:rsidRPr="00AC3044">
              <w:rPr>
                <w:rFonts w:eastAsia="SimSun"/>
              </w:rPr>
              <w:t>Циклофосфамид</w:t>
            </w:r>
          </w:p>
        </w:tc>
        <w:tc>
          <w:tcPr>
            <w:tcW w:w="1559" w:type="dxa"/>
            <w:vAlign w:val="center"/>
          </w:tcPr>
          <w:p w14:paraId="6F02FCC3" w14:textId="77777777" w:rsidR="0089207C" w:rsidRPr="00AC3044" w:rsidRDefault="0089207C" w:rsidP="002D3EBF">
            <w:pPr>
              <w:rPr>
                <w:rFonts w:eastAsia="SimSun"/>
              </w:rPr>
            </w:pPr>
            <w:r w:rsidRPr="00AC3044">
              <w:rPr>
                <w:rFonts w:eastAsia="SimSun"/>
              </w:rPr>
              <w:t>50 мг/кг</w:t>
            </w:r>
          </w:p>
        </w:tc>
        <w:tc>
          <w:tcPr>
            <w:tcW w:w="1418" w:type="dxa"/>
            <w:vAlign w:val="center"/>
          </w:tcPr>
          <w:p w14:paraId="60A7AA97" w14:textId="77777777" w:rsidR="0089207C" w:rsidRPr="00AC3044" w:rsidRDefault="0089207C" w:rsidP="002D3EBF">
            <w:pPr>
              <w:rPr>
                <w:rFonts w:eastAsia="SimSun"/>
              </w:rPr>
            </w:pPr>
            <w:r w:rsidRPr="00AC3044">
              <w:rPr>
                <w:rFonts w:eastAsia="SimSun"/>
              </w:rPr>
              <w:t>100 мг/кг</w:t>
            </w:r>
          </w:p>
        </w:tc>
        <w:tc>
          <w:tcPr>
            <w:tcW w:w="1701" w:type="dxa"/>
            <w:vAlign w:val="center"/>
          </w:tcPr>
          <w:p w14:paraId="1B485679" w14:textId="77777777" w:rsidR="0089207C" w:rsidRPr="00AC3044" w:rsidRDefault="0089207C" w:rsidP="002D3EBF">
            <w:pPr>
              <w:rPr>
                <w:rFonts w:eastAsia="SimSun"/>
              </w:rPr>
            </w:pPr>
            <w:r w:rsidRPr="00AC3044">
              <w:rPr>
                <w:rFonts w:eastAsia="SimSun"/>
              </w:rPr>
              <w:t xml:space="preserve">+3,+4 дни </w:t>
            </w:r>
          </w:p>
        </w:tc>
        <w:tc>
          <w:tcPr>
            <w:tcW w:w="2268" w:type="dxa"/>
            <w:vAlign w:val="center"/>
          </w:tcPr>
          <w:p w14:paraId="412A1DD9" w14:textId="77777777" w:rsidR="0089207C" w:rsidRPr="00AC3044" w:rsidRDefault="0089207C" w:rsidP="002D3EBF">
            <w:pPr>
              <w:rPr>
                <w:rFonts w:eastAsia="SimSun"/>
              </w:rPr>
            </w:pPr>
            <w:r w:rsidRPr="00AC3044">
              <w:rPr>
                <w:rFonts w:eastAsia="SimSun"/>
              </w:rPr>
              <w:t>В/в, в течение 2 часов</w:t>
            </w:r>
          </w:p>
        </w:tc>
      </w:tr>
    </w:tbl>
    <w:p w14:paraId="1B4340D5" w14:textId="77777777" w:rsidR="0089207C" w:rsidRDefault="0089207C" w:rsidP="0089207C">
      <w:pPr>
        <w:rPr>
          <w:rFonts w:eastAsia="SimSun"/>
        </w:rPr>
      </w:pPr>
      <w:bookmarkStart w:id="254" w:name="_Toc44401208"/>
    </w:p>
    <w:p w14:paraId="7E1AE0F3" w14:textId="77777777" w:rsidR="0089207C" w:rsidRPr="00042499" w:rsidRDefault="0089207C" w:rsidP="0089207C">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2.2.8  – </w:t>
      </w:r>
      <w:r w:rsidRPr="00C07B2E">
        <w:rPr>
          <w:rFonts w:eastAsia="SimSun"/>
        </w:rPr>
        <w:t>Flu</w:t>
      </w:r>
      <w:r w:rsidRPr="00042499">
        <w:rPr>
          <w:rFonts w:eastAsia="SimSun"/>
          <w:lang w:val="en-US"/>
        </w:rPr>
        <w:t>180+</w:t>
      </w:r>
      <w:r w:rsidRPr="00C07B2E">
        <w:rPr>
          <w:rFonts w:eastAsia="SimSun"/>
        </w:rPr>
        <w:t>Bu</w:t>
      </w:r>
      <w:r w:rsidRPr="00042499">
        <w:rPr>
          <w:rFonts w:eastAsia="SimSun"/>
          <w:lang w:val="en-US"/>
        </w:rPr>
        <w:t>8+</w:t>
      </w:r>
      <w:r w:rsidRPr="00C07B2E">
        <w:rPr>
          <w:rFonts w:eastAsia="SimSun"/>
        </w:rPr>
        <w:t>Thio</w:t>
      </w:r>
      <w:r w:rsidRPr="00042499">
        <w:rPr>
          <w:rFonts w:eastAsia="SimSun"/>
          <w:lang w:val="en-US"/>
        </w:rPr>
        <w:t xml:space="preserve"> / </w:t>
      </w:r>
      <w:r w:rsidRPr="00C07B2E">
        <w:rPr>
          <w:rFonts w:eastAsia="SimSun"/>
        </w:rPr>
        <w:t>PT</w:t>
      </w:r>
      <w:r w:rsidRPr="00042499">
        <w:rPr>
          <w:rFonts w:eastAsia="SimSun"/>
          <w:lang w:val="en-US"/>
        </w:rPr>
        <w:t>-</w:t>
      </w:r>
      <w:r w:rsidRPr="00C07B2E">
        <w:rPr>
          <w:rFonts w:eastAsia="SimSun"/>
        </w:rPr>
        <w:t>Cy</w:t>
      </w:r>
      <w:bookmarkEnd w:id="254"/>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89207C" w:rsidRPr="00AC3044" w14:paraId="43ED7A08" w14:textId="77777777" w:rsidTr="002D3EBF">
        <w:trPr>
          <w:cantSplit/>
          <w:trHeight w:val="20"/>
          <w:tblHeader/>
        </w:trPr>
        <w:tc>
          <w:tcPr>
            <w:tcW w:w="851" w:type="dxa"/>
            <w:vAlign w:val="center"/>
          </w:tcPr>
          <w:p w14:paraId="6834C59B" w14:textId="77777777" w:rsidR="0089207C" w:rsidRPr="00723FEA" w:rsidRDefault="0089207C" w:rsidP="002D3EBF">
            <w:pPr>
              <w:rPr>
                <w:rFonts w:eastAsia="SimSun"/>
                <w:lang w:val="en-US"/>
              </w:rPr>
            </w:pPr>
          </w:p>
        </w:tc>
        <w:tc>
          <w:tcPr>
            <w:tcW w:w="1701" w:type="dxa"/>
            <w:vAlign w:val="center"/>
          </w:tcPr>
          <w:p w14:paraId="4B8DCAE9" w14:textId="77777777" w:rsidR="0089207C" w:rsidRPr="00AC3044" w:rsidRDefault="0089207C" w:rsidP="002D3EBF">
            <w:pPr>
              <w:rPr>
                <w:rFonts w:eastAsia="SimSun"/>
              </w:rPr>
            </w:pPr>
            <w:r w:rsidRPr="00AC3044">
              <w:rPr>
                <w:rFonts w:eastAsia="SimSun"/>
              </w:rPr>
              <w:t>Препарат</w:t>
            </w:r>
          </w:p>
        </w:tc>
        <w:tc>
          <w:tcPr>
            <w:tcW w:w="1559" w:type="dxa"/>
            <w:vAlign w:val="center"/>
          </w:tcPr>
          <w:p w14:paraId="19AE334D" w14:textId="77777777" w:rsidR="0089207C" w:rsidRPr="00AC3044" w:rsidRDefault="0089207C" w:rsidP="002D3EBF">
            <w:pPr>
              <w:rPr>
                <w:rFonts w:eastAsia="SimSun"/>
              </w:rPr>
            </w:pPr>
            <w:r w:rsidRPr="00AC3044">
              <w:rPr>
                <w:rFonts w:eastAsia="SimSun"/>
              </w:rPr>
              <w:t>Суточная доза</w:t>
            </w:r>
          </w:p>
        </w:tc>
        <w:tc>
          <w:tcPr>
            <w:tcW w:w="1418" w:type="dxa"/>
            <w:vAlign w:val="center"/>
          </w:tcPr>
          <w:p w14:paraId="4AF2BE9B" w14:textId="77777777" w:rsidR="0089207C" w:rsidRPr="00AC3044" w:rsidRDefault="0089207C" w:rsidP="002D3EBF">
            <w:pPr>
              <w:rPr>
                <w:rFonts w:eastAsia="SimSun"/>
              </w:rPr>
            </w:pPr>
            <w:r w:rsidRPr="00AC3044">
              <w:rPr>
                <w:rFonts w:eastAsia="SimSun"/>
              </w:rPr>
              <w:t>Курсовая доза</w:t>
            </w:r>
          </w:p>
        </w:tc>
        <w:tc>
          <w:tcPr>
            <w:tcW w:w="1701" w:type="dxa"/>
            <w:vAlign w:val="center"/>
          </w:tcPr>
          <w:p w14:paraId="5D870B89"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20D26EB3"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4EDEBC4E" w14:textId="77777777" w:rsidTr="002D3EBF">
        <w:trPr>
          <w:cantSplit/>
          <w:trHeight w:val="20"/>
        </w:trPr>
        <w:tc>
          <w:tcPr>
            <w:tcW w:w="851" w:type="dxa"/>
            <w:vMerge w:val="restart"/>
            <w:textDirection w:val="btLr"/>
            <w:vAlign w:val="center"/>
          </w:tcPr>
          <w:p w14:paraId="086F56CE" w14:textId="77777777" w:rsidR="0089207C" w:rsidRPr="00AC3044" w:rsidRDefault="0089207C" w:rsidP="002D3EBF">
            <w:pPr>
              <w:rPr>
                <w:rFonts w:eastAsia="SimSun"/>
              </w:rPr>
            </w:pPr>
            <w:r w:rsidRPr="00AC3044">
              <w:rPr>
                <w:rFonts w:eastAsia="SimSun"/>
              </w:rPr>
              <w:t>Кондиционирование</w:t>
            </w:r>
          </w:p>
        </w:tc>
        <w:tc>
          <w:tcPr>
            <w:tcW w:w="1701" w:type="dxa"/>
            <w:vAlign w:val="center"/>
          </w:tcPr>
          <w:p w14:paraId="3261E4C5" w14:textId="77777777" w:rsidR="0089207C" w:rsidRPr="00AC3044" w:rsidRDefault="0089207C" w:rsidP="002D3EBF">
            <w:pPr>
              <w:rPr>
                <w:rFonts w:eastAsia="SimSun"/>
              </w:rPr>
            </w:pPr>
            <w:r w:rsidRPr="00AC3044">
              <w:rPr>
                <w:rFonts w:eastAsia="SimSun"/>
              </w:rPr>
              <w:t xml:space="preserve">Флударабин </w:t>
            </w:r>
          </w:p>
        </w:tc>
        <w:tc>
          <w:tcPr>
            <w:tcW w:w="1559" w:type="dxa"/>
            <w:vAlign w:val="center"/>
          </w:tcPr>
          <w:p w14:paraId="70921B6D" w14:textId="77777777" w:rsidR="0089207C" w:rsidRPr="00AC3044" w:rsidRDefault="0089207C" w:rsidP="002D3EBF">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303317D7" w14:textId="77777777" w:rsidR="0089207C" w:rsidRPr="00AC3044" w:rsidRDefault="0089207C" w:rsidP="002D3EBF">
            <w:pPr>
              <w:rPr>
                <w:rFonts w:eastAsia="SimSun"/>
              </w:rPr>
            </w:pPr>
            <w:r w:rsidRPr="00AC3044">
              <w:rPr>
                <w:rFonts w:eastAsia="SimSun"/>
              </w:rPr>
              <w:t>180 мг/м2</w:t>
            </w:r>
          </w:p>
        </w:tc>
        <w:tc>
          <w:tcPr>
            <w:tcW w:w="1701" w:type="dxa"/>
            <w:vAlign w:val="center"/>
          </w:tcPr>
          <w:p w14:paraId="332654AB" w14:textId="77777777" w:rsidR="0089207C" w:rsidRPr="00AC3044" w:rsidRDefault="0089207C" w:rsidP="002D3EBF">
            <w:pPr>
              <w:rPr>
                <w:rFonts w:eastAsia="SimSun"/>
              </w:rPr>
            </w:pPr>
            <w:r w:rsidRPr="00AC3044">
              <w:rPr>
                <w:rFonts w:eastAsia="SimSun"/>
              </w:rPr>
              <w:t>С -7 дня по -2 день</w:t>
            </w:r>
          </w:p>
        </w:tc>
        <w:tc>
          <w:tcPr>
            <w:tcW w:w="2268" w:type="dxa"/>
            <w:vAlign w:val="center"/>
          </w:tcPr>
          <w:p w14:paraId="608AFB7C"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5C486CCE" w14:textId="77777777" w:rsidTr="002D3EBF">
        <w:trPr>
          <w:cantSplit/>
          <w:trHeight w:val="687"/>
        </w:trPr>
        <w:tc>
          <w:tcPr>
            <w:tcW w:w="851" w:type="dxa"/>
            <w:vMerge/>
            <w:vAlign w:val="center"/>
          </w:tcPr>
          <w:p w14:paraId="51EAEAA1" w14:textId="77777777" w:rsidR="0089207C" w:rsidRPr="00AC3044" w:rsidRDefault="0089207C" w:rsidP="002D3EBF">
            <w:pPr>
              <w:rPr>
                <w:rFonts w:eastAsia="SimSun"/>
              </w:rPr>
            </w:pPr>
          </w:p>
        </w:tc>
        <w:tc>
          <w:tcPr>
            <w:tcW w:w="1701" w:type="dxa"/>
            <w:vAlign w:val="center"/>
          </w:tcPr>
          <w:p w14:paraId="3C380AB7" w14:textId="77777777" w:rsidR="0089207C" w:rsidRPr="00AC3044" w:rsidRDefault="0089207C" w:rsidP="002D3EBF">
            <w:pPr>
              <w:rPr>
                <w:rFonts w:eastAsia="SimSun"/>
              </w:rPr>
            </w:pPr>
            <w:r w:rsidRPr="00AC3044">
              <w:rPr>
                <w:rFonts w:eastAsia="SimSun"/>
              </w:rPr>
              <w:t>Бусульфан</w:t>
            </w:r>
          </w:p>
        </w:tc>
        <w:tc>
          <w:tcPr>
            <w:tcW w:w="1559" w:type="dxa"/>
            <w:vAlign w:val="center"/>
          </w:tcPr>
          <w:p w14:paraId="4CFFDB5B" w14:textId="77777777" w:rsidR="0089207C" w:rsidRPr="00AC3044" w:rsidRDefault="0089207C" w:rsidP="002D3EBF">
            <w:pPr>
              <w:rPr>
                <w:rFonts w:eastAsia="SimSun"/>
              </w:rPr>
            </w:pPr>
            <w:r w:rsidRPr="00AC3044">
              <w:rPr>
                <w:rFonts w:eastAsia="SimSun"/>
              </w:rPr>
              <w:t xml:space="preserve">4 мг/кг </w:t>
            </w:r>
          </w:p>
        </w:tc>
        <w:tc>
          <w:tcPr>
            <w:tcW w:w="1418" w:type="dxa"/>
            <w:vAlign w:val="center"/>
          </w:tcPr>
          <w:p w14:paraId="0E8F19D6" w14:textId="77777777" w:rsidR="0089207C" w:rsidRPr="00AC3044" w:rsidRDefault="0089207C" w:rsidP="002D3EBF">
            <w:pPr>
              <w:rPr>
                <w:rFonts w:eastAsia="SimSun"/>
              </w:rPr>
            </w:pPr>
            <w:r w:rsidRPr="00AC3044">
              <w:rPr>
                <w:rFonts w:eastAsia="SimSun"/>
              </w:rPr>
              <w:t xml:space="preserve">8 мг/кг </w:t>
            </w:r>
          </w:p>
        </w:tc>
        <w:tc>
          <w:tcPr>
            <w:tcW w:w="1701" w:type="dxa"/>
            <w:vAlign w:val="center"/>
          </w:tcPr>
          <w:p w14:paraId="22DEF02D" w14:textId="77777777" w:rsidR="0089207C" w:rsidRPr="00AC3044" w:rsidRDefault="0089207C" w:rsidP="002D3EBF">
            <w:pPr>
              <w:rPr>
                <w:rFonts w:eastAsia="SimSun"/>
              </w:rPr>
            </w:pPr>
            <w:r w:rsidRPr="00AC3044">
              <w:rPr>
                <w:rFonts w:eastAsia="SimSun"/>
              </w:rPr>
              <w:t>С -4 дня по -3 день</w:t>
            </w:r>
          </w:p>
        </w:tc>
        <w:tc>
          <w:tcPr>
            <w:tcW w:w="2268" w:type="dxa"/>
            <w:vAlign w:val="center"/>
          </w:tcPr>
          <w:p w14:paraId="5DB0A21F"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w:t>
            </w:r>
          </w:p>
        </w:tc>
      </w:tr>
      <w:tr w:rsidR="0089207C" w:rsidRPr="00AC3044" w14:paraId="16C59086" w14:textId="77777777" w:rsidTr="002D3EBF">
        <w:trPr>
          <w:cantSplit/>
          <w:trHeight w:val="555"/>
        </w:trPr>
        <w:tc>
          <w:tcPr>
            <w:tcW w:w="851" w:type="dxa"/>
            <w:vMerge/>
            <w:vAlign w:val="center"/>
          </w:tcPr>
          <w:p w14:paraId="61830A1A" w14:textId="77777777" w:rsidR="0089207C" w:rsidRPr="00AC3044" w:rsidRDefault="0089207C" w:rsidP="002D3EBF">
            <w:pPr>
              <w:rPr>
                <w:rFonts w:eastAsia="SimSun"/>
              </w:rPr>
            </w:pPr>
          </w:p>
        </w:tc>
        <w:tc>
          <w:tcPr>
            <w:tcW w:w="1701" w:type="dxa"/>
            <w:vAlign w:val="center"/>
          </w:tcPr>
          <w:p w14:paraId="7B277D87" w14:textId="77777777" w:rsidR="0089207C" w:rsidRPr="00AC3044" w:rsidRDefault="0089207C" w:rsidP="002D3EBF">
            <w:pPr>
              <w:rPr>
                <w:rFonts w:eastAsia="SimSun"/>
              </w:rPr>
            </w:pPr>
            <w:r w:rsidRPr="00AC3044">
              <w:rPr>
                <w:rFonts w:eastAsia="SimSun"/>
              </w:rPr>
              <w:t>Тиотепа</w:t>
            </w:r>
          </w:p>
        </w:tc>
        <w:tc>
          <w:tcPr>
            <w:tcW w:w="1559" w:type="dxa"/>
            <w:vAlign w:val="center"/>
          </w:tcPr>
          <w:p w14:paraId="3507AE70" w14:textId="77777777" w:rsidR="0089207C" w:rsidRPr="00AC3044" w:rsidRDefault="0089207C" w:rsidP="002D3EBF">
            <w:pPr>
              <w:rPr>
                <w:rFonts w:eastAsia="SimSun"/>
              </w:rPr>
            </w:pPr>
            <w:r w:rsidRPr="00AC3044">
              <w:rPr>
                <w:rFonts w:eastAsia="SimSun"/>
              </w:rPr>
              <w:t>5 мг/кг</w:t>
            </w:r>
          </w:p>
        </w:tc>
        <w:tc>
          <w:tcPr>
            <w:tcW w:w="1418" w:type="dxa"/>
            <w:vAlign w:val="center"/>
          </w:tcPr>
          <w:p w14:paraId="02BBC50D" w14:textId="77777777" w:rsidR="0089207C" w:rsidRPr="00AC3044" w:rsidRDefault="0089207C" w:rsidP="002D3EBF">
            <w:pPr>
              <w:rPr>
                <w:rFonts w:eastAsia="SimSun"/>
              </w:rPr>
            </w:pPr>
            <w:r w:rsidRPr="00AC3044">
              <w:rPr>
                <w:rFonts w:eastAsia="SimSun"/>
              </w:rPr>
              <w:t>10 мг/кг</w:t>
            </w:r>
          </w:p>
        </w:tc>
        <w:tc>
          <w:tcPr>
            <w:tcW w:w="1701" w:type="dxa"/>
            <w:vAlign w:val="center"/>
          </w:tcPr>
          <w:p w14:paraId="78832656" w14:textId="77777777" w:rsidR="0089207C" w:rsidRPr="00AC3044" w:rsidRDefault="0089207C" w:rsidP="002D3EBF">
            <w:pPr>
              <w:rPr>
                <w:rFonts w:eastAsia="SimSun"/>
              </w:rPr>
            </w:pPr>
            <w:r w:rsidRPr="00AC3044">
              <w:rPr>
                <w:rFonts w:eastAsia="SimSun"/>
              </w:rPr>
              <w:t>-6,-5 дни</w:t>
            </w:r>
          </w:p>
        </w:tc>
        <w:tc>
          <w:tcPr>
            <w:tcW w:w="2268" w:type="dxa"/>
            <w:vAlign w:val="center"/>
          </w:tcPr>
          <w:p w14:paraId="5A62AE4C"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2E3DB742" w14:textId="77777777" w:rsidTr="002D3EBF">
        <w:trPr>
          <w:cantSplit/>
          <w:trHeight w:val="1498"/>
        </w:trPr>
        <w:tc>
          <w:tcPr>
            <w:tcW w:w="851" w:type="dxa"/>
            <w:textDirection w:val="btLr"/>
            <w:vAlign w:val="center"/>
          </w:tcPr>
          <w:p w14:paraId="34462246" w14:textId="77777777" w:rsidR="0089207C" w:rsidRPr="00AC3044" w:rsidRDefault="0089207C" w:rsidP="002D3EBF">
            <w:pPr>
              <w:rPr>
                <w:rFonts w:eastAsia="SimSun"/>
              </w:rPr>
            </w:pPr>
            <w:r w:rsidRPr="00AC3044">
              <w:rPr>
                <w:rFonts w:eastAsia="SimSun"/>
              </w:rPr>
              <w:t>Профилактика РТПХ</w:t>
            </w:r>
          </w:p>
        </w:tc>
        <w:tc>
          <w:tcPr>
            <w:tcW w:w="1701" w:type="dxa"/>
            <w:vAlign w:val="center"/>
          </w:tcPr>
          <w:p w14:paraId="019D96C0" w14:textId="77777777" w:rsidR="0089207C" w:rsidRPr="00AC3044" w:rsidRDefault="0089207C" w:rsidP="002D3EBF">
            <w:pPr>
              <w:rPr>
                <w:rFonts w:eastAsia="SimSun"/>
              </w:rPr>
            </w:pPr>
            <w:r w:rsidRPr="00AC3044">
              <w:rPr>
                <w:rFonts w:eastAsia="SimSun"/>
              </w:rPr>
              <w:t>Циклофосфамид</w:t>
            </w:r>
          </w:p>
        </w:tc>
        <w:tc>
          <w:tcPr>
            <w:tcW w:w="1559" w:type="dxa"/>
            <w:vAlign w:val="center"/>
          </w:tcPr>
          <w:p w14:paraId="15ACE386" w14:textId="77777777" w:rsidR="0089207C" w:rsidRPr="00AC3044" w:rsidRDefault="0089207C" w:rsidP="002D3EBF">
            <w:pPr>
              <w:rPr>
                <w:rFonts w:eastAsia="SimSun"/>
              </w:rPr>
            </w:pPr>
            <w:r w:rsidRPr="00AC3044">
              <w:rPr>
                <w:rFonts w:eastAsia="SimSun"/>
              </w:rPr>
              <w:t>50 мг/кг</w:t>
            </w:r>
          </w:p>
        </w:tc>
        <w:tc>
          <w:tcPr>
            <w:tcW w:w="1418" w:type="dxa"/>
            <w:vAlign w:val="center"/>
          </w:tcPr>
          <w:p w14:paraId="24A13FC2" w14:textId="77777777" w:rsidR="0089207C" w:rsidRPr="00AC3044" w:rsidRDefault="0089207C" w:rsidP="002D3EBF">
            <w:pPr>
              <w:rPr>
                <w:rFonts w:eastAsia="SimSun"/>
              </w:rPr>
            </w:pPr>
            <w:r w:rsidRPr="00AC3044">
              <w:rPr>
                <w:rFonts w:eastAsia="SimSun"/>
              </w:rPr>
              <w:t>100 мг/кг</w:t>
            </w:r>
          </w:p>
        </w:tc>
        <w:tc>
          <w:tcPr>
            <w:tcW w:w="1701" w:type="dxa"/>
            <w:vAlign w:val="center"/>
          </w:tcPr>
          <w:p w14:paraId="5917BDAB" w14:textId="77777777" w:rsidR="0089207C" w:rsidRPr="00AC3044" w:rsidRDefault="0089207C" w:rsidP="002D3EBF">
            <w:pPr>
              <w:rPr>
                <w:rFonts w:eastAsia="SimSun"/>
              </w:rPr>
            </w:pPr>
            <w:r w:rsidRPr="00AC3044">
              <w:rPr>
                <w:rFonts w:eastAsia="SimSun"/>
              </w:rPr>
              <w:t>С +3 дня по +4 день</w:t>
            </w:r>
          </w:p>
        </w:tc>
        <w:tc>
          <w:tcPr>
            <w:tcW w:w="2268" w:type="dxa"/>
            <w:vAlign w:val="center"/>
          </w:tcPr>
          <w:p w14:paraId="7ED4368D" w14:textId="77777777" w:rsidR="0089207C" w:rsidRPr="00AC3044" w:rsidRDefault="0089207C" w:rsidP="002D3EBF">
            <w:pPr>
              <w:rPr>
                <w:rFonts w:eastAsia="SimSun"/>
              </w:rPr>
            </w:pPr>
            <w:r w:rsidRPr="00AC3044">
              <w:rPr>
                <w:rFonts w:eastAsia="SimSun"/>
              </w:rPr>
              <w:t>В/в, в течение 2 часов</w:t>
            </w:r>
          </w:p>
        </w:tc>
      </w:tr>
    </w:tbl>
    <w:p w14:paraId="10AC3885" w14:textId="77777777" w:rsidR="0089207C" w:rsidRDefault="0089207C" w:rsidP="0089207C">
      <w:pPr>
        <w:rPr>
          <w:rFonts w:eastAsia="SimSun"/>
        </w:rPr>
      </w:pPr>
      <w:bookmarkStart w:id="255" w:name="_Toc44401209"/>
    </w:p>
    <w:p w14:paraId="3A00FC1E" w14:textId="77777777" w:rsidR="0089207C" w:rsidRPr="00C07B2E" w:rsidRDefault="0089207C" w:rsidP="0089207C">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2.2.9 – Flu180+Bu8 / PT-Cy+Tx+MMF30</w:t>
      </w:r>
      <w:bookmarkEnd w:id="25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89207C" w:rsidRPr="00AC3044" w14:paraId="688040AC" w14:textId="77777777" w:rsidTr="002D3EBF">
        <w:trPr>
          <w:cantSplit/>
          <w:trHeight w:val="20"/>
          <w:tblHeader/>
        </w:trPr>
        <w:tc>
          <w:tcPr>
            <w:tcW w:w="817" w:type="dxa"/>
            <w:vAlign w:val="center"/>
          </w:tcPr>
          <w:p w14:paraId="52D4CE68" w14:textId="77777777" w:rsidR="0089207C" w:rsidRPr="00470D3D" w:rsidRDefault="0089207C" w:rsidP="002D3EBF">
            <w:pPr>
              <w:rPr>
                <w:rFonts w:eastAsia="SimSun"/>
              </w:rPr>
            </w:pPr>
          </w:p>
        </w:tc>
        <w:tc>
          <w:tcPr>
            <w:tcW w:w="1701" w:type="dxa"/>
            <w:vAlign w:val="center"/>
          </w:tcPr>
          <w:p w14:paraId="48FF5EDF" w14:textId="77777777" w:rsidR="0089207C" w:rsidRPr="00AC3044" w:rsidRDefault="0089207C" w:rsidP="002D3EBF">
            <w:pPr>
              <w:rPr>
                <w:rFonts w:eastAsia="SimSun"/>
              </w:rPr>
            </w:pPr>
            <w:r w:rsidRPr="00AC3044">
              <w:rPr>
                <w:rFonts w:eastAsia="SimSun"/>
              </w:rPr>
              <w:t>Препарат</w:t>
            </w:r>
          </w:p>
        </w:tc>
        <w:tc>
          <w:tcPr>
            <w:tcW w:w="1559" w:type="dxa"/>
            <w:vAlign w:val="center"/>
          </w:tcPr>
          <w:p w14:paraId="07E76ADB" w14:textId="77777777" w:rsidR="0089207C" w:rsidRPr="00AC3044" w:rsidRDefault="0089207C" w:rsidP="002D3EBF">
            <w:pPr>
              <w:rPr>
                <w:rFonts w:eastAsia="SimSun"/>
              </w:rPr>
            </w:pPr>
            <w:r w:rsidRPr="00AC3044">
              <w:rPr>
                <w:rFonts w:eastAsia="SimSun"/>
              </w:rPr>
              <w:t>Суточная доза</w:t>
            </w:r>
          </w:p>
        </w:tc>
        <w:tc>
          <w:tcPr>
            <w:tcW w:w="1418" w:type="dxa"/>
            <w:vAlign w:val="center"/>
          </w:tcPr>
          <w:p w14:paraId="53FAFEDE" w14:textId="77777777" w:rsidR="0089207C" w:rsidRPr="00AC3044" w:rsidRDefault="0089207C" w:rsidP="002D3EBF">
            <w:pPr>
              <w:rPr>
                <w:rFonts w:eastAsia="SimSun"/>
              </w:rPr>
            </w:pPr>
            <w:r w:rsidRPr="00AC3044">
              <w:rPr>
                <w:rFonts w:eastAsia="SimSun"/>
              </w:rPr>
              <w:t>Курсовая доза</w:t>
            </w:r>
          </w:p>
        </w:tc>
        <w:tc>
          <w:tcPr>
            <w:tcW w:w="1701" w:type="dxa"/>
            <w:vAlign w:val="center"/>
          </w:tcPr>
          <w:p w14:paraId="5F106409"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12DAA1DC"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01C1D2DD" w14:textId="77777777" w:rsidTr="002D3EBF">
        <w:trPr>
          <w:cantSplit/>
          <w:trHeight w:val="20"/>
        </w:trPr>
        <w:tc>
          <w:tcPr>
            <w:tcW w:w="817" w:type="dxa"/>
            <w:vMerge w:val="restart"/>
            <w:textDirection w:val="btLr"/>
            <w:vAlign w:val="center"/>
          </w:tcPr>
          <w:p w14:paraId="1B3DF8D4" w14:textId="77777777" w:rsidR="0089207C" w:rsidRPr="00AC3044" w:rsidRDefault="0089207C" w:rsidP="002D3EBF">
            <w:pPr>
              <w:rPr>
                <w:rFonts w:eastAsia="SimSun"/>
              </w:rPr>
            </w:pPr>
            <w:r w:rsidRPr="00AC3044">
              <w:rPr>
                <w:rFonts w:eastAsia="SimSun"/>
              </w:rPr>
              <w:t>Кондиционирование</w:t>
            </w:r>
          </w:p>
        </w:tc>
        <w:tc>
          <w:tcPr>
            <w:tcW w:w="1701" w:type="dxa"/>
            <w:vAlign w:val="center"/>
          </w:tcPr>
          <w:p w14:paraId="337F9789" w14:textId="77777777" w:rsidR="0089207C" w:rsidRPr="00AC3044" w:rsidRDefault="0089207C" w:rsidP="002D3EBF">
            <w:pPr>
              <w:rPr>
                <w:rFonts w:eastAsia="SimSun"/>
              </w:rPr>
            </w:pPr>
            <w:r w:rsidRPr="00AC3044">
              <w:rPr>
                <w:rFonts w:eastAsia="SimSun"/>
              </w:rPr>
              <w:t xml:space="preserve">Флударабин </w:t>
            </w:r>
          </w:p>
        </w:tc>
        <w:tc>
          <w:tcPr>
            <w:tcW w:w="1559" w:type="dxa"/>
            <w:vAlign w:val="center"/>
          </w:tcPr>
          <w:p w14:paraId="40E5374A" w14:textId="77777777" w:rsidR="0089207C" w:rsidRPr="00AC3044" w:rsidRDefault="0089207C" w:rsidP="002D3EBF">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3486E787" w14:textId="77777777" w:rsidR="0089207C" w:rsidRPr="00AC3044" w:rsidRDefault="0089207C" w:rsidP="002D3EBF">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366CF11F" w14:textId="77777777" w:rsidR="0089207C" w:rsidRPr="00AC3044" w:rsidRDefault="0089207C" w:rsidP="002D3EBF">
            <w:pPr>
              <w:rPr>
                <w:rFonts w:eastAsia="SimSun"/>
              </w:rPr>
            </w:pPr>
            <w:r w:rsidRPr="00AC3044">
              <w:rPr>
                <w:rFonts w:eastAsia="SimSun"/>
              </w:rPr>
              <w:t>С -7 дня по -2 день</w:t>
            </w:r>
          </w:p>
        </w:tc>
        <w:tc>
          <w:tcPr>
            <w:tcW w:w="2268" w:type="dxa"/>
            <w:vAlign w:val="center"/>
          </w:tcPr>
          <w:p w14:paraId="0C6B0C41"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42C14A10" w14:textId="77777777" w:rsidTr="002D3EBF">
        <w:trPr>
          <w:cantSplit/>
          <w:trHeight w:val="889"/>
        </w:trPr>
        <w:tc>
          <w:tcPr>
            <w:tcW w:w="817" w:type="dxa"/>
            <w:vMerge/>
            <w:vAlign w:val="center"/>
          </w:tcPr>
          <w:p w14:paraId="03C31313" w14:textId="77777777" w:rsidR="0089207C" w:rsidRPr="00AC3044" w:rsidRDefault="0089207C" w:rsidP="002D3EBF">
            <w:pPr>
              <w:rPr>
                <w:rFonts w:eastAsia="SimSun"/>
              </w:rPr>
            </w:pPr>
          </w:p>
        </w:tc>
        <w:tc>
          <w:tcPr>
            <w:tcW w:w="1701" w:type="dxa"/>
            <w:vAlign w:val="center"/>
          </w:tcPr>
          <w:p w14:paraId="6DBF6883" w14:textId="77777777" w:rsidR="0089207C" w:rsidRPr="00AC3044" w:rsidRDefault="0089207C" w:rsidP="002D3EBF">
            <w:pPr>
              <w:rPr>
                <w:rFonts w:eastAsia="SimSun"/>
              </w:rPr>
            </w:pPr>
            <w:r w:rsidRPr="00AC3044">
              <w:rPr>
                <w:rFonts w:eastAsia="SimSun"/>
              </w:rPr>
              <w:t>Бусульфан</w:t>
            </w:r>
          </w:p>
        </w:tc>
        <w:tc>
          <w:tcPr>
            <w:tcW w:w="1559" w:type="dxa"/>
            <w:vAlign w:val="center"/>
          </w:tcPr>
          <w:p w14:paraId="63196BA7" w14:textId="77777777" w:rsidR="0089207C" w:rsidRPr="00AC3044" w:rsidRDefault="0089207C" w:rsidP="002D3EBF">
            <w:pPr>
              <w:rPr>
                <w:rFonts w:eastAsia="SimSun"/>
              </w:rPr>
            </w:pPr>
            <w:r w:rsidRPr="00AC3044">
              <w:rPr>
                <w:rFonts w:eastAsia="SimSun"/>
              </w:rPr>
              <w:t xml:space="preserve">4 мг/кг </w:t>
            </w:r>
          </w:p>
        </w:tc>
        <w:tc>
          <w:tcPr>
            <w:tcW w:w="1418" w:type="dxa"/>
            <w:vAlign w:val="center"/>
          </w:tcPr>
          <w:p w14:paraId="6143E352" w14:textId="77777777" w:rsidR="0089207C" w:rsidRPr="00AC3044" w:rsidRDefault="0089207C" w:rsidP="002D3EBF">
            <w:pPr>
              <w:rPr>
                <w:rFonts w:eastAsia="SimSun"/>
              </w:rPr>
            </w:pPr>
            <w:r w:rsidRPr="00AC3044">
              <w:rPr>
                <w:rFonts w:eastAsia="SimSun"/>
              </w:rPr>
              <w:t xml:space="preserve">8 мг/кг </w:t>
            </w:r>
          </w:p>
        </w:tc>
        <w:tc>
          <w:tcPr>
            <w:tcW w:w="1701" w:type="dxa"/>
            <w:vAlign w:val="center"/>
          </w:tcPr>
          <w:p w14:paraId="0474B216" w14:textId="77777777" w:rsidR="0089207C" w:rsidRPr="00AC3044" w:rsidRDefault="0089207C" w:rsidP="002D3EBF">
            <w:pPr>
              <w:rPr>
                <w:rFonts w:eastAsia="SimSun"/>
              </w:rPr>
            </w:pPr>
            <w:r w:rsidRPr="00AC3044">
              <w:rPr>
                <w:rFonts w:eastAsia="SimSun"/>
              </w:rPr>
              <w:t>С -4 дня по -3 день</w:t>
            </w:r>
          </w:p>
        </w:tc>
        <w:tc>
          <w:tcPr>
            <w:tcW w:w="2268" w:type="dxa"/>
            <w:vAlign w:val="center"/>
          </w:tcPr>
          <w:p w14:paraId="0BE09BAF"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w:t>
            </w:r>
          </w:p>
        </w:tc>
      </w:tr>
      <w:tr w:rsidR="0089207C" w:rsidRPr="00AC3044" w14:paraId="65484DF6" w14:textId="77777777" w:rsidTr="002D3EBF">
        <w:trPr>
          <w:cantSplit/>
          <w:trHeight w:val="548"/>
        </w:trPr>
        <w:tc>
          <w:tcPr>
            <w:tcW w:w="817" w:type="dxa"/>
            <w:vMerge w:val="restart"/>
            <w:textDirection w:val="btLr"/>
            <w:vAlign w:val="center"/>
          </w:tcPr>
          <w:p w14:paraId="0C431837" w14:textId="77777777" w:rsidR="0089207C" w:rsidRPr="00AC3044" w:rsidRDefault="0089207C" w:rsidP="002D3EBF">
            <w:pPr>
              <w:rPr>
                <w:rFonts w:eastAsia="SimSun"/>
              </w:rPr>
            </w:pPr>
            <w:r w:rsidRPr="00AC3044">
              <w:rPr>
                <w:rFonts w:eastAsia="SimSun"/>
              </w:rPr>
              <w:t>Профилактика РТПХ</w:t>
            </w:r>
          </w:p>
        </w:tc>
        <w:tc>
          <w:tcPr>
            <w:tcW w:w="1701" w:type="dxa"/>
            <w:vAlign w:val="center"/>
          </w:tcPr>
          <w:p w14:paraId="0504A5A4" w14:textId="77777777" w:rsidR="0089207C" w:rsidRPr="00AC3044" w:rsidRDefault="0089207C" w:rsidP="002D3EBF">
            <w:pPr>
              <w:rPr>
                <w:rFonts w:eastAsia="SimSun"/>
              </w:rPr>
            </w:pPr>
            <w:r w:rsidRPr="00AC3044">
              <w:rPr>
                <w:rFonts w:eastAsia="SimSun"/>
              </w:rPr>
              <w:t>Циклофосфамид</w:t>
            </w:r>
          </w:p>
        </w:tc>
        <w:tc>
          <w:tcPr>
            <w:tcW w:w="1559" w:type="dxa"/>
            <w:vAlign w:val="center"/>
          </w:tcPr>
          <w:p w14:paraId="1E5325C6" w14:textId="77777777" w:rsidR="0089207C" w:rsidRPr="00AC3044" w:rsidRDefault="0089207C" w:rsidP="002D3EBF">
            <w:pPr>
              <w:rPr>
                <w:rFonts w:eastAsia="SimSun"/>
              </w:rPr>
            </w:pPr>
            <w:r w:rsidRPr="00AC3044">
              <w:rPr>
                <w:rFonts w:eastAsia="SimSun"/>
              </w:rPr>
              <w:t>50 мг/кг</w:t>
            </w:r>
          </w:p>
        </w:tc>
        <w:tc>
          <w:tcPr>
            <w:tcW w:w="1418" w:type="dxa"/>
            <w:vAlign w:val="center"/>
          </w:tcPr>
          <w:p w14:paraId="76DCE24F" w14:textId="77777777" w:rsidR="0089207C" w:rsidRPr="00AC3044" w:rsidRDefault="0089207C" w:rsidP="002D3EBF">
            <w:pPr>
              <w:rPr>
                <w:rFonts w:eastAsia="SimSun"/>
              </w:rPr>
            </w:pPr>
            <w:r w:rsidRPr="00AC3044">
              <w:rPr>
                <w:rFonts w:eastAsia="SimSun"/>
              </w:rPr>
              <w:t>100 мг/кг</w:t>
            </w:r>
          </w:p>
        </w:tc>
        <w:tc>
          <w:tcPr>
            <w:tcW w:w="1701" w:type="dxa"/>
            <w:vAlign w:val="center"/>
          </w:tcPr>
          <w:p w14:paraId="12E2F88C" w14:textId="77777777" w:rsidR="0089207C" w:rsidRPr="00AC3044" w:rsidRDefault="0089207C" w:rsidP="002D3EBF">
            <w:pPr>
              <w:rPr>
                <w:rFonts w:eastAsia="SimSun"/>
              </w:rPr>
            </w:pPr>
            <w:r w:rsidRPr="00AC3044">
              <w:rPr>
                <w:rFonts w:eastAsia="SimSun"/>
              </w:rPr>
              <w:t>С +3 дня по +4 день</w:t>
            </w:r>
          </w:p>
        </w:tc>
        <w:tc>
          <w:tcPr>
            <w:tcW w:w="2268" w:type="dxa"/>
            <w:vAlign w:val="center"/>
          </w:tcPr>
          <w:p w14:paraId="2865D27A"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7E175BA0" w14:textId="77777777" w:rsidTr="002D3EBF">
        <w:trPr>
          <w:cantSplit/>
          <w:trHeight w:val="958"/>
        </w:trPr>
        <w:tc>
          <w:tcPr>
            <w:tcW w:w="817" w:type="dxa"/>
            <w:vMerge/>
            <w:textDirection w:val="btLr"/>
            <w:vAlign w:val="center"/>
          </w:tcPr>
          <w:p w14:paraId="21E3C6B0" w14:textId="77777777" w:rsidR="0089207C" w:rsidRPr="00AC3044" w:rsidRDefault="0089207C" w:rsidP="002D3EBF">
            <w:pPr>
              <w:rPr>
                <w:rFonts w:eastAsia="SimSun"/>
              </w:rPr>
            </w:pPr>
          </w:p>
        </w:tc>
        <w:tc>
          <w:tcPr>
            <w:tcW w:w="1701" w:type="dxa"/>
            <w:vAlign w:val="center"/>
          </w:tcPr>
          <w:p w14:paraId="3A4A0C21" w14:textId="77777777" w:rsidR="0089207C" w:rsidRPr="00AC3044" w:rsidRDefault="0089207C" w:rsidP="002D3EBF">
            <w:pPr>
              <w:rPr>
                <w:rFonts w:eastAsia="SimSun"/>
              </w:rPr>
            </w:pPr>
            <w:r w:rsidRPr="00AC3044">
              <w:rPr>
                <w:rFonts w:eastAsia="SimSun"/>
              </w:rPr>
              <w:t xml:space="preserve">Такролимус </w:t>
            </w:r>
          </w:p>
        </w:tc>
        <w:tc>
          <w:tcPr>
            <w:tcW w:w="1559" w:type="dxa"/>
            <w:vAlign w:val="center"/>
          </w:tcPr>
          <w:p w14:paraId="45C01EB0" w14:textId="77777777" w:rsidR="0089207C" w:rsidRPr="00AC3044" w:rsidRDefault="0089207C" w:rsidP="002D3EBF">
            <w:pPr>
              <w:rPr>
                <w:rFonts w:eastAsia="SimSun"/>
              </w:rPr>
            </w:pPr>
            <w:r w:rsidRPr="00AC3044">
              <w:rPr>
                <w:rFonts w:eastAsia="SimSun"/>
              </w:rPr>
              <w:t>0,03 мг/кг</w:t>
            </w:r>
          </w:p>
        </w:tc>
        <w:tc>
          <w:tcPr>
            <w:tcW w:w="1418" w:type="dxa"/>
            <w:vAlign w:val="center"/>
          </w:tcPr>
          <w:p w14:paraId="76661176" w14:textId="77777777" w:rsidR="0089207C" w:rsidRPr="00AC3044" w:rsidRDefault="0089207C" w:rsidP="002D3EBF">
            <w:pPr>
              <w:rPr>
                <w:rFonts w:eastAsia="SimSun"/>
              </w:rPr>
            </w:pPr>
            <w:r w:rsidRPr="00AC3044">
              <w:rPr>
                <w:rFonts w:eastAsia="SimSun"/>
              </w:rPr>
              <w:t>–</w:t>
            </w:r>
          </w:p>
        </w:tc>
        <w:tc>
          <w:tcPr>
            <w:tcW w:w="1701" w:type="dxa"/>
            <w:vAlign w:val="center"/>
          </w:tcPr>
          <w:p w14:paraId="44B8DFAB" w14:textId="77777777" w:rsidR="0089207C" w:rsidRPr="00AC3044" w:rsidRDefault="0089207C" w:rsidP="002D3EBF">
            <w:pPr>
              <w:rPr>
                <w:rFonts w:eastAsia="SimSun"/>
              </w:rPr>
            </w:pPr>
            <w:r w:rsidRPr="00AC3044">
              <w:rPr>
                <w:rFonts w:eastAsia="SimSun"/>
              </w:rPr>
              <w:t xml:space="preserve">С +5 дня длительно </w:t>
            </w:r>
          </w:p>
        </w:tc>
        <w:tc>
          <w:tcPr>
            <w:tcW w:w="2268" w:type="dxa"/>
            <w:vAlign w:val="center"/>
          </w:tcPr>
          <w:p w14:paraId="03696A15" w14:textId="77777777" w:rsidR="0089207C" w:rsidRPr="00AC3044" w:rsidRDefault="0089207C" w:rsidP="002D3EBF">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109/л, при отсутствии тошноты, рвоты, диареи и возможности приема внутрь. Концентрация Tx 5-15 нг/мл.    </w:t>
            </w:r>
          </w:p>
        </w:tc>
      </w:tr>
      <w:tr w:rsidR="0089207C" w:rsidRPr="00AC3044" w14:paraId="0B9262E2" w14:textId="77777777" w:rsidTr="002D3EBF">
        <w:trPr>
          <w:cantSplit/>
          <w:trHeight w:val="214"/>
        </w:trPr>
        <w:tc>
          <w:tcPr>
            <w:tcW w:w="817" w:type="dxa"/>
            <w:vMerge/>
            <w:textDirection w:val="btLr"/>
            <w:vAlign w:val="center"/>
          </w:tcPr>
          <w:p w14:paraId="61230B93" w14:textId="77777777" w:rsidR="0089207C" w:rsidRPr="00AC3044" w:rsidRDefault="0089207C" w:rsidP="002D3EBF">
            <w:pPr>
              <w:rPr>
                <w:rFonts w:eastAsia="SimSun"/>
              </w:rPr>
            </w:pPr>
          </w:p>
        </w:tc>
        <w:tc>
          <w:tcPr>
            <w:tcW w:w="1701" w:type="dxa"/>
            <w:vAlign w:val="center"/>
          </w:tcPr>
          <w:p w14:paraId="187FE963" w14:textId="77777777" w:rsidR="0089207C" w:rsidRPr="00AC3044" w:rsidRDefault="0089207C" w:rsidP="002D3EBF">
            <w:pPr>
              <w:rPr>
                <w:rFonts w:eastAsia="SimSun"/>
              </w:rPr>
            </w:pPr>
            <w:r w:rsidRPr="00AC3044">
              <w:rPr>
                <w:rFonts w:eastAsia="SimSun"/>
              </w:rPr>
              <w:t>Микофенолата мофетил</w:t>
            </w:r>
          </w:p>
        </w:tc>
        <w:tc>
          <w:tcPr>
            <w:tcW w:w="1559" w:type="dxa"/>
            <w:vAlign w:val="center"/>
          </w:tcPr>
          <w:p w14:paraId="7E292C6A" w14:textId="77777777" w:rsidR="0089207C" w:rsidRPr="00AC3044" w:rsidRDefault="0089207C" w:rsidP="002D3EBF">
            <w:pPr>
              <w:rPr>
                <w:rFonts w:eastAsia="SimSun"/>
              </w:rPr>
            </w:pPr>
            <w:r w:rsidRPr="00AC3044">
              <w:rPr>
                <w:rFonts w:eastAsia="SimSun"/>
              </w:rPr>
              <w:t xml:space="preserve">30 мг/кг </w:t>
            </w:r>
          </w:p>
        </w:tc>
        <w:tc>
          <w:tcPr>
            <w:tcW w:w="1418" w:type="dxa"/>
            <w:vAlign w:val="center"/>
          </w:tcPr>
          <w:p w14:paraId="0C99DA38" w14:textId="77777777" w:rsidR="0089207C" w:rsidRPr="00AC3044" w:rsidRDefault="0089207C" w:rsidP="002D3EBF">
            <w:pPr>
              <w:rPr>
                <w:rFonts w:eastAsia="SimSun"/>
              </w:rPr>
            </w:pPr>
            <w:r w:rsidRPr="00AC3044">
              <w:rPr>
                <w:rFonts w:eastAsia="SimSun"/>
              </w:rPr>
              <w:t>–</w:t>
            </w:r>
          </w:p>
        </w:tc>
        <w:tc>
          <w:tcPr>
            <w:tcW w:w="1701" w:type="dxa"/>
            <w:vAlign w:val="center"/>
          </w:tcPr>
          <w:p w14:paraId="055545A1" w14:textId="77777777" w:rsidR="0089207C" w:rsidRPr="00AC3044" w:rsidRDefault="0089207C" w:rsidP="002D3EBF">
            <w:pPr>
              <w:rPr>
                <w:rFonts w:eastAsia="SimSun"/>
              </w:rPr>
            </w:pPr>
            <w:r w:rsidRPr="00AC3044">
              <w:rPr>
                <w:rFonts w:eastAsia="SimSun"/>
              </w:rPr>
              <w:t xml:space="preserve">С +5 дня по +35 день </w:t>
            </w:r>
          </w:p>
        </w:tc>
        <w:tc>
          <w:tcPr>
            <w:tcW w:w="2268" w:type="dxa"/>
            <w:vAlign w:val="center"/>
          </w:tcPr>
          <w:p w14:paraId="335CD634" w14:textId="77777777" w:rsidR="0089207C" w:rsidRPr="00AC3044" w:rsidRDefault="0089207C" w:rsidP="002D3EBF">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09E8315A" w14:textId="77777777" w:rsidR="0089207C" w:rsidRDefault="0089207C" w:rsidP="0089207C">
      <w:pPr>
        <w:rPr>
          <w:rFonts w:eastAsia="SimSun"/>
        </w:rPr>
      </w:pPr>
      <w:bookmarkStart w:id="256" w:name="_Toc44401210"/>
    </w:p>
    <w:p w14:paraId="2BB9F47B" w14:textId="77777777" w:rsidR="0089207C" w:rsidRPr="00C07B2E" w:rsidRDefault="0089207C" w:rsidP="0089207C">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2.2.10  – Flu180+Bu8 / Tx+MMF30</w:t>
      </w:r>
      <w:bookmarkEnd w:id="25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89207C" w:rsidRPr="00AC3044" w14:paraId="743841EF" w14:textId="77777777" w:rsidTr="002D3EBF">
        <w:trPr>
          <w:cantSplit/>
          <w:trHeight w:val="20"/>
          <w:tblHeader/>
        </w:trPr>
        <w:tc>
          <w:tcPr>
            <w:tcW w:w="817" w:type="dxa"/>
            <w:vAlign w:val="center"/>
          </w:tcPr>
          <w:p w14:paraId="17E4E1A9" w14:textId="77777777" w:rsidR="0089207C" w:rsidRPr="00AC3044" w:rsidRDefault="0089207C" w:rsidP="002D3EBF">
            <w:pPr>
              <w:rPr>
                <w:rFonts w:eastAsia="SimSun"/>
              </w:rPr>
            </w:pPr>
          </w:p>
        </w:tc>
        <w:tc>
          <w:tcPr>
            <w:tcW w:w="1701" w:type="dxa"/>
            <w:vAlign w:val="center"/>
          </w:tcPr>
          <w:p w14:paraId="42B1D51B" w14:textId="77777777" w:rsidR="0089207C" w:rsidRPr="00AC3044" w:rsidRDefault="0089207C" w:rsidP="002D3EBF">
            <w:pPr>
              <w:rPr>
                <w:rFonts w:eastAsia="SimSun"/>
              </w:rPr>
            </w:pPr>
            <w:r w:rsidRPr="00AC3044">
              <w:rPr>
                <w:rFonts w:eastAsia="SimSun"/>
              </w:rPr>
              <w:t>Препарат</w:t>
            </w:r>
          </w:p>
        </w:tc>
        <w:tc>
          <w:tcPr>
            <w:tcW w:w="1559" w:type="dxa"/>
            <w:vAlign w:val="center"/>
          </w:tcPr>
          <w:p w14:paraId="3B4935F0" w14:textId="77777777" w:rsidR="0089207C" w:rsidRPr="00AC3044" w:rsidRDefault="0089207C" w:rsidP="002D3EBF">
            <w:pPr>
              <w:rPr>
                <w:rFonts w:eastAsia="SimSun"/>
              </w:rPr>
            </w:pPr>
            <w:r w:rsidRPr="00AC3044">
              <w:rPr>
                <w:rFonts w:eastAsia="SimSun"/>
              </w:rPr>
              <w:t>Суточная доза</w:t>
            </w:r>
          </w:p>
        </w:tc>
        <w:tc>
          <w:tcPr>
            <w:tcW w:w="1418" w:type="dxa"/>
            <w:vAlign w:val="center"/>
          </w:tcPr>
          <w:p w14:paraId="02A71CD2" w14:textId="77777777" w:rsidR="0089207C" w:rsidRPr="00AC3044" w:rsidRDefault="0089207C" w:rsidP="002D3EBF">
            <w:pPr>
              <w:rPr>
                <w:rFonts w:eastAsia="SimSun"/>
              </w:rPr>
            </w:pPr>
            <w:r w:rsidRPr="00AC3044">
              <w:rPr>
                <w:rFonts w:eastAsia="SimSun"/>
              </w:rPr>
              <w:t>Курсовая доза</w:t>
            </w:r>
          </w:p>
        </w:tc>
        <w:tc>
          <w:tcPr>
            <w:tcW w:w="1701" w:type="dxa"/>
            <w:vAlign w:val="center"/>
          </w:tcPr>
          <w:p w14:paraId="60095597"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61256FA0"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1E5A473C" w14:textId="77777777" w:rsidTr="002D3EBF">
        <w:trPr>
          <w:cantSplit/>
          <w:trHeight w:val="20"/>
        </w:trPr>
        <w:tc>
          <w:tcPr>
            <w:tcW w:w="817" w:type="dxa"/>
            <w:vMerge w:val="restart"/>
            <w:textDirection w:val="btLr"/>
            <w:vAlign w:val="center"/>
          </w:tcPr>
          <w:p w14:paraId="2D4674D9" w14:textId="77777777" w:rsidR="0089207C" w:rsidRPr="00AC3044" w:rsidRDefault="0089207C" w:rsidP="002D3EBF">
            <w:pPr>
              <w:rPr>
                <w:rFonts w:eastAsia="SimSun"/>
              </w:rPr>
            </w:pPr>
            <w:r w:rsidRPr="00AC3044">
              <w:rPr>
                <w:rFonts w:eastAsia="SimSun"/>
              </w:rPr>
              <w:t>Кондиционирование</w:t>
            </w:r>
          </w:p>
        </w:tc>
        <w:tc>
          <w:tcPr>
            <w:tcW w:w="1701" w:type="dxa"/>
            <w:vAlign w:val="center"/>
          </w:tcPr>
          <w:p w14:paraId="02FD689A" w14:textId="77777777" w:rsidR="0089207C" w:rsidRPr="00AC3044" w:rsidRDefault="0089207C" w:rsidP="002D3EBF">
            <w:pPr>
              <w:rPr>
                <w:rFonts w:eastAsia="SimSun"/>
              </w:rPr>
            </w:pPr>
            <w:r w:rsidRPr="00AC3044">
              <w:rPr>
                <w:rFonts w:eastAsia="SimSun"/>
              </w:rPr>
              <w:t xml:space="preserve">Флударабин </w:t>
            </w:r>
          </w:p>
        </w:tc>
        <w:tc>
          <w:tcPr>
            <w:tcW w:w="1559" w:type="dxa"/>
            <w:vAlign w:val="center"/>
          </w:tcPr>
          <w:p w14:paraId="4EA27F29" w14:textId="77777777" w:rsidR="0089207C" w:rsidRPr="00AC3044" w:rsidRDefault="0089207C" w:rsidP="002D3EBF">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4AF52FF9" w14:textId="77777777" w:rsidR="0089207C" w:rsidRPr="00AC3044" w:rsidRDefault="0089207C" w:rsidP="002D3EBF">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3B3E3967" w14:textId="77777777" w:rsidR="0089207C" w:rsidRPr="00AC3044" w:rsidRDefault="0089207C" w:rsidP="002D3EBF">
            <w:pPr>
              <w:rPr>
                <w:rFonts w:eastAsia="SimSun"/>
              </w:rPr>
            </w:pPr>
            <w:r w:rsidRPr="00AC3044">
              <w:rPr>
                <w:rFonts w:eastAsia="SimSun"/>
              </w:rPr>
              <w:t>С -7 дня по -2 день</w:t>
            </w:r>
          </w:p>
        </w:tc>
        <w:tc>
          <w:tcPr>
            <w:tcW w:w="2268" w:type="dxa"/>
            <w:vAlign w:val="center"/>
          </w:tcPr>
          <w:p w14:paraId="5D2CE501"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4E85DA23" w14:textId="77777777" w:rsidTr="002D3EBF">
        <w:trPr>
          <w:cantSplit/>
          <w:trHeight w:val="1207"/>
        </w:trPr>
        <w:tc>
          <w:tcPr>
            <w:tcW w:w="817" w:type="dxa"/>
            <w:vMerge/>
            <w:vAlign w:val="center"/>
          </w:tcPr>
          <w:p w14:paraId="086B838B" w14:textId="77777777" w:rsidR="0089207C" w:rsidRPr="00AC3044" w:rsidRDefault="0089207C" w:rsidP="002D3EBF">
            <w:pPr>
              <w:rPr>
                <w:rFonts w:eastAsia="SimSun"/>
              </w:rPr>
            </w:pPr>
          </w:p>
        </w:tc>
        <w:tc>
          <w:tcPr>
            <w:tcW w:w="1701" w:type="dxa"/>
            <w:vAlign w:val="center"/>
          </w:tcPr>
          <w:p w14:paraId="1FA22E8F" w14:textId="77777777" w:rsidR="0089207C" w:rsidRPr="00AC3044" w:rsidRDefault="0089207C" w:rsidP="002D3EBF">
            <w:pPr>
              <w:rPr>
                <w:rFonts w:eastAsia="SimSun"/>
              </w:rPr>
            </w:pPr>
            <w:r w:rsidRPr="00AC3044">
              <w:rPr>
                <w:rFonts w:eastAsia="SimSun"/>
              </w:rPr>
              <w:t>Бусульфан</w:t>
            </w:r>
          </w:p>
        </w:tc>
        <w:tc>
          <w:tcPr>
            <w:tcW w:w="1559" w:type="dxa"/>
            <w:vAlign w:val="center"/>
          </w:tcPr>
          <w:p w14:paraId="2BE0ED3B" w14:textId="77777777" w:rsidR="0089207C" w:rsidRPr="00AC3044" w:rsidRDefault="0089207C" w:rsidP="002D3EBF">
            <w:pPr>
              <w:rPr>
                <w:rFonts w:eastAsia="SimSun"/>
              </w:rPr>
            </w:pPr>
            <w:r w:rsidRPr="00AC3044">
              <w:rPr>
                <w:rFonts w:eastAsia="SimSun"/>
              </w:rPr>
              <w:t xml:space="preserve">4 мг/кг </w:t>
            </w:r>
          </w:p>
        </w:tc>
        <w:tc>
          <w:tcPr>
            <w:tcW w:w="1418" w:type="dxa"/>
            <w:vAlign w:val="center"/>
          </w:tcPr>
          <w:p w14:paraId="6EF9BCA2" w14:textId="77777777" w:rsidR="0089207C" w:rsidRPr="00AC3044" w:rsidRDefault="0089207C" w:rsidP="002D3EBF">
            <w:pPr>
              <w:rPr>
                <w:rFonts w:eastAsia="SimSun"/>
              </w:rPr>
            </w:pPr>
            <w:r w:rsidRPr="00AC3044">
              <w:rPr>
                <w:rFonts w:eastAsia="SimSun"/>
              </w:rPr>
              <w:t xml:space="preserve">8 мг/кг </w:t>
            </w:r>
          </w:p>
        </w:tc>
        <w:tc>
          <w:tcPr>
            <w:tcW w:w="1701" w:type="dxa"/>
            <w:vAlign w:val="center"/>
          </w:tcPr>
          <w:p w14:paraId="7DC688A3" w14:textId="77777777" w:rsidR="0089207C" w:rsidRPr="00AC3044" w:rsidRDefault="0089207C" w:rsidP="002D3EBF">
            <w:pPr>
              <w:rPr>
                <w:rFonts w:eastAsia="SimSun"/>
              </w:rPr>
            </w:pPr>
            <w:r w:rsidRPr="00AC3044">
              <w:rPr>
                <w:rFonts w:eastAsia="SimSun"/>
              </w:rPr>
              <w:t>С -4 дня по -3 день</w:t>
            </w:r>
          </w:p>
        </w:tc>
        <w:tc>
          <w:tcPr>
            <w:tcW w:w="2268" w:type="dxa"/>
            <w:vAlign w:val="center"/>
          </w:tcPr>
          <w:p w14:paraId="4474C3BC"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w:t>
            </w:r>
          </w:p>
        </w:tc>
      </w:tr>
      <w:tr w:rsidR="0089207C" w:rsidRPr="00AC3044" w14:paraId="64771E41" w14:textId="77777777" w:rsidTr="002D3EBF">
        <w:trPr>
          <w:cantSplit/>
          <w:trHeight w:val="1498"/>
        </w:trPr>
        <w:tc>
          <w:tcPr>
            <w:tcW w:w="817" w:type="dxa"/>
            <w:vMerge w:val="restart"/>
            <w:textDirection w:val="btLr"/>
            <w:vAlign w:val="center"/>
          </w:tcPr>
          <w:p w14:paraId="000E5E90" w14:textId="77777777" w:rsidR="0089207C" w:rsidRPr="00AC3044" w:rsidRDefault="0089207C" w:rsidP="002D3EBF">
            <w:pPr>
              <w:rPr>
                <w:rFonts w:eastAsia="SimSun"/>
              </w:rPr>
            </w:pPr>
            <w:r w:rsidRPr="00AC3044">
              <w:rPr>
                <w:rFonts w:eastAsia="SimSun"/>
              </w:rPr>
              <w:t>Профилактика РТПХ</w:t>
            </w:r>
          </w:p>
        </w:tc>
        <w:tc>
          <w:tcPr>
            <w:tcW w:w="1701" w:type="dxa"/>
            <w:vAlign w:val="center"/>
          </w:tcPr>
          <w:p w14:paraId="424E78BA" w14:textId="77777777" w:rsidR="0089207C" w:rsidRPr="00AC3044" w:rsidRDefault="0089207C" w:rsidP="002D3EBF">
            <w:pPr>
              <w:rPr>
                <w:rFonts w:eastAsia="SimSun"/>
              </w:rPr>
            </w:pPr>
            <w:r w:rsidRPr="00AC3044">
              <w:rPr>
                <w:rFonts w:eastAsia="SimSun"/>
              </w:rPr>
              <w:t xml:space="preserve">Такролимус </w:t>
            </w:r>
          </w:p>
        </w:tc>
        <w:tc>
          <w:tcPr>
            <w:tcW w:w="1559" w:type="dxa"/>
            <w:vAlign w:val="center"/>
          </w:tcPr>
          <w:p w14:paraId="577A5D2C" w14:textId="77777777" w:rsidR="0089207C" w:rsidRPr="00AC3044" w:rsidRDefault="0089207C" w:rsidP="002D3EBF">
            <w:pPr>
              <w:rPr>
                <w:rFonts w:eastAsia="SimSun"/>
              </w:rPr>
            </w:pPr>
            <w:r w:rsidRPr="00AC3044">
              <w:rPr>
                <w:rFonts w:eastAsia="SimSun"/>
              </w:rPr>
              <w:t>0,03 мг/кг</w:t>
            </w:r>
          </w:p>
        </w:tc>
        <w:tc>
          <w:tcPr>
            <w:tcW w:w="1418" w:type="dxa"/>
            <w:vAlign w:val="center"/>
          </w:tcPr>
          <w:p w14:paraId="0C555427" w14:textId="77777777" w:rsidR="0089207C" w:rsidRPr="00AC3044" w:rsidRDefault="0089207C" w:rsidP="002D3EBF">
            <w:pPr>
              <w:rPr>
                <w:rFonts w:eastAsia="SimSun"/>
              </w:rPr>
            </w:pPr>
            <w:r w:rsidRPr="00AC3044">
              <w:rPr>
                <w:rFonts w:eastAsia="SimSun"/>
              </w:rPr>
              <w:t>–</w:t>
            </w:r>
          </w:p>
        </w:tc>
        <w:tc>
          <w:tcPr>
            <w:tcW w:w="1701" w:type="dxa"/>
            <w:vAlign w:val="center"/>
          </w:tcPr>
          <w:p w14:paraId="408A169D" w14:textId="77777777" w:rsidR="0089207C" w:rsidRPr="00AC3044" w:rsidRDefault="0089207C" w:rsidP="002D3EBF">
            <w:pPr>
              <w:rPr>
                <w:rFonts w:eastAsia="SimSun"/>
              </w:rPr>
            </w:pPr>
            <w:r w:rsidRPr="00AC3044">
              <w:rPr>
                <w:rFonts w:eastAsia="SimSun"/>
              </w:rPr>
              <w:t xml:space="preserve">С +5 дня длительно </w:t>
            </w:r>
          </w:p>
        </w:tc>
        <w:tc>
          <w:tcPr>
            <w:tcW w:w="2268" w:type="dxa"/>
            <w:vAlign w:val="center"/>
          </w:tcPr>
          <w:p w14:paraId="0C925297" w14:textId="77777777" w:rsidR="0089207C" w:rsidRPr="00AC3044" w:rsidRDefault="0089207C" w:rsidP="002D3EBF">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9207C" w:rsidRPr="00AC3044" w14:paraId="56851853" w14:textId="77777777" w:rsidTr="002D3EBF">
        <w:trPr>
          <w:cantSplit/>
          <w:trHeight w:val="570"/>
        </w:trPr>
        <w:tc>
          <w:tcPr>
            <w:tcW w:w="817" w:type="dxa"/>
            <w:vMerge/>
            <w:textDirection w:val="btLr"/>
            <w:vAlign w:val="center"/>
          </w:tcPr>
          <w:p w14:paraId="48D094AE" w14:textId="77777777" w:rsidR="0089207C" w:rsidRPr="00AC3044" w:rsidRDefault="0089207C" w:rsidP="002D3EBF">
            <w:pPr>
              <w:rPr>
                <w:rFonts w:eastAsia="SimSun"/>
              </w:rPr>
            </w:pPr>
          </w:p>
        </w:tc>
        <w:tc>
          <w:tcPr>
            <w:tcW w:w="1701" w:type="dxa"/>
            <w:vAlign w:val="center"/>
          </w:tcPr>
          <w:p w14:paraId="04E4B4BA" w14:textId="77777777" w:rsidR="0089207C" w:rsidRPr="00AC3044" w:rsidRDefault="0089207C" w:rsidP="002D3EBF">
            <w:pPr>
              <w:rPr>
                <w:rFonts w:eastAsia="SimSun"/>
              </w:rPr>
            </w:pPr>
            <w:r w:rsidRPr="00AC3044">
              <w:rPr>
                <w:rFonts w:eastAsia="SimSun"/>
              </w:rPr>
              <w:t>Микофенолата мофетил</w:t>
            </w:r>
          </w:p>
        </w:tc>
        <w:tc>
          <w:tcPr>
            <w:tcW w:w="1559" w:type="dxa"/>
            <w:vAlign w:val="center"/>
          </w:tcPr>
          <w:p w14:paraId="54F5EB0E" w14:textId="77777777" w:rsidR="0089207C" w:rsidRPr="00AC3044" w:rsidRDefault="0089207C" w:rsidP="002D3EBF">
            <w:pPr>
              <w:rPr>
                <w:rFonts w:eastAsia="SimSun"/>
              </w:rPr>
            </w:pPr>
            <w:r w:rsidRPr="00AC3044">
              <w:rPr>
                <w:rFonts w:eastAsia="SimSun"/>
              </w:rPr>
              <w:t xml:space="preserve">30 мг/кг </w:t>
            </w:r>
          </w:p>
        </w:tc>
        <w:tc>
          <w:tcPr>
            <w:tcW w:w="1418" w:type="dxa"/>
            <w:vAlign w:val="center"/>
          </w:tcPr>
          <w:p w14:paraId="79476DB8" w14:textId="77777777" w:rsidR="0089207C" w:rsidRPr="00AC3044" w:rsidRDefault="0089207C" w:rsidP="002D3EBF">
            <w:pPr>
              <w:rPr>
                <w:rFonts w:eastAsia="SimSun"/>
              </w:rPr>
            </w:pPr>
            <w:r w:rsidRPr="00AC3044">
              <w:rPr>
                <w:rFonts w:eastAsia="SimSun"/>
              </w:rPr>
              <w:t>–</w:t>
            </w:r>
          </w:p>
        </w:tc>
        <w:tc>
          <w:tcPr>
            <w:tcW w:w="1701" w:type="dxa"/>
            <w:vAlign w:val="center"/>
          </w:tcPr>
          <w:p w14:paraId="444932CA" w14:textId="77777777" w:rsidR="0089207C" w:rsidRPr="00AC3044" w:rsidRDefault="0089207C" w:rsidP="002D3EBF">
            <w:pPr>
              <w:rPr>
                <w:rFonts w:eastAsia="SimSun"/>
              </w:rPr>
            </w:pPr>
            <w:r w:rsidRPr="00AC3044">
              <w:rPr>
                <w:rFonts w:eastAsia="SimSun"/>
              </w:rPr>
              <w:t xml:space="preserve">С +5 дня по +35 день </w:t>
            </w:r>
          </w:p>
        </w:tc>
        <w:tc>
          <w:tcPr>
            <w:tcW w:w="2268" w:type="dxa"/>
            <w:vAlign w:val="center"/>
          </w:tcPr>
          <w:p w14:paraId="472E4E77" w14:textId="77777777" w:rsidR="0089207C" w:rsidRPr="00AC3044" w:rsidRDefault="0089207C" w:rsidP="002D3EBF">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4B0313F9" w14:textId="77777777" w:rsidR="0089207C" w:rsidRPr="00C07B2E" w:rsidRDefault="0089207C" w:rsidP="0089207C">
      <w:pPr>
        <w:rPr>
          <w:rFonts w:eastAsia="SimSun"/>
        </w:rPr>
      </w:pPr>
    </w:p>
    <w:p w14:paraId="50221FE8" w14:textId="77777777" w:rsidR="0089207C" w:rsidRPr="00C07B2E" w:rsidRDefault="0089207C" w:rsidP="0089207C">
      <w:pPr>
        <w:rPr>
          <w:rFonts w:eastAsia="SimSun"/>
        </w:rPr>
      </w:pPr>
      <w:bookmarkStart w:id="257" w:name="_Toc44401211"/>
      <w:r w:rsidRPr="00042499">
        <w:rPr>
          <w:rFonts w:eastAsia="SimSun"/>
        </w:rPr>
        <w:t>Таблица</w:t>
      </w:r>
      <w:r w:rsidRPr="00C07B2E">
        <w:rPr>
          <w:rFonts w:eastAsia="SimSun"/>
        </w:rPr>
        <w:t xml:space="preserve"> </w:t>
      </w:r>
      <w:r>
        <w:rPr>
          <w:rFonts w:eastAsia="SimSun"/>
        </w:rPr>
        <w:t>5.</w:t>
      </w:r>
      <w:r w:rsidRPr="00C07B2E">
        <w:rPr>
          <w:rFonts w:eastAsia="SimSun"/>
        </w:rPr>
        <w:t>2.2.11 – Flu180+Bu8 / PT-Cy+CSA+MMF30</w:t>
      </w:r>
      <w:bookmarkEnd w:id="257"/>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89207C" w:rsidRPr="00AC3044" w14:paraId="6F02C4A5" w14:textId="77777777" w:rsidTr="002D3EBF">
        <w:trPr>
          <w:cantSplit/>
          <w:trHeight w:val="20"/>
          <w:tblHeader/>
        </w:trPr>
        <w:tc>
          <w:tcPr>
            <w:tcW w:w="817" w:type="dxa"/>
            <w:vAlign w:val="center"/>
          </w:tcPr>
          <w:p w14:paraId="482EE910" w14:textId="77777777" w:rsidR="0089207C" w:rsidRPr="00470D3D" w:rsidRDefault="0089207C" w:rsidP="002D3EBF">
            <w:pPr>
              <w:rPr>
                <w:rFonts w:eastAsia="SimSun"/>
              </w:rPr>
            </w:pPr>
          </w:p>
        </w:tc>
        <w:tc>
          <w:tcPr>
            <w:tcW w:w="1701" w:type="dxa"/>
            <w:vAlign w:val="center"/>
          </w:tcPr>
          <w:p w14:paraId="4AAFE63A" w14:textId="77777777" w:rsidR="0089207C" w:rsidRPr="00AC3044" w:rsidRDefault="0089207C" w:rsidP="002D3EBF">
            <w:pPr>
              <w:rPr>
                <w:rFonts w:eastAsia="SimSun"/>
              </w:rPr>
            </w:pPr>
            <w:r w:rsidRPr="00AC3044">
              <w:rPr>
                <w:rFonts w:eastAsia="SimSun"/>
              </w:rPr>
              <w:t>Препарат</w:t>
            </w:r>
          </w:p>
        </w:tc>
        <w:tc>
          <w:tcPr>
            <w:tcW w:w="1559" w:type="dxa"/>
            <w:vAlign w:val="center"/>
          </w:tcPr>
          <w:p w14:paraId="5920099F" w14:textId="77777777" w:rsidR="0089207C" w:rsidRPr="00AC3044" w:rsidRDefault="0089207C" w:rsidP="002D3EBF">
            <w:pPr>
              <w:rPr>
                <w:rFonts w:eastAsia="SimSun"/>
              </w:rPr>
            </w:pPr>
            <w:r w:rsidRPr="00AC3044">
              <w:rPr>
                <w:rFonts w:eastAsia="SimSun"/>
              </w:rPr>
              <w:t>Суточная доза</w:t>
            </w:r>
          </w:p>
        </w:tc>
        <w:tc>
          <w:tcPr>
            <w:tcW w:w="1418" w:type="dxa"/>
            <w:vAlign w:val="center"/>
          </w:tcPr>
          <w:p w14:paraId="3D1E0EB3" w14:textId="77777777" w:rsidR="0089207C" w:rsidRPr="00AC3044" w:rsidRDefault="0089207C" w:rsidP="002D3EBF">
            <w:pPr>
              <w:rPr>
                <w:rFonts w:eastAsia="SimSun"/>
              </w:rPr>
            </w:pPr>
            <w:r w:rsidRPr="00AC3044">
              <w:rPr>
                <w:rFonts w:eastAsia="SimSun"/>
              </w:rPr>
              <w:t>Курсовая доза</w:t>
            </w:r>
          </w:p>
        </w:tc>
        <w:tc>
          <w:tcPr>
            <w:tcW w:w="1701" w:type="dxa"/>
            <w:vAlign w:val="center"/>
          </w:tcPr>
          <w:p w14:paraId="4526BF1F"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7A7ED6C9"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21384889" w14:textId="77777777" w:rsidTr="002D3EBF">
        <w:trPr>
          <w:cantSplit/>
          <w:trHeight w:val="20"/>
        </w:trPr>
        <w:tc>
          <w:tcPr>
            <w:tcW w:w="817" w:type="dxa"/>
            <w:vMerge w:val="restart"/>
            <w:textDirection w:val="btLr"/>
            <w:vAlign w:val="center"/>
          </w:tcPr>
          <w:p w14:paraId="583ECFDF" w14:textId="77777777" w:rsidR="0089207C" w:rsidRPr="00AC3044" w:rsidRDefault="0089207C" w:rsidP="002D3EBF">
            <w:pPr>
              <w:rPr>
                <w:rFonts w:eastAsia="SimSun"/>
              </w:rPr>
            </w:pPr>
            <w:r w:rsidRPr="00AC3044">
              <w:rPr>
                <w:rFonts w:eastAsia="SimSun"/>
              </w:rPr>
              <w:t>Кондиционирование</w:t>
            </w:r>
          </w:p>
        </w:tc>
        <w:tc>
          <w:tcPr>
            <w:tcW w:w="1701" w:type="dxa"/>
            <w:vAlign w:val="center"/>
          </w:tcPr>
          <w:p w14:paraId="7CB9876F" w14:textId="77777777" w:rsidR="0089207C" w:rsidRPr="00AC3044" w:rsidRDefault="0089207C" w:rsidP="002D3EBF">
            <w:pPr>
              <w:rPr>
                <w:rFonts w:eastAsia="SimSun"/>
              </w:rPr>
            </w:pPr>
            <w:r w:rsidRPr="00AC3044">
              <w:rPr>
                <w:rFonts w:eastAsia="SimSun"/>
              </w:rPr>
              <w:t xml:space="preserve">Флударабин </w:t>
            </w:r>
          </w:p>
        </w:tc>
        <w:tc>
          <w:tcPr>
            <w:tcW w:w="1559" w:type="dxa"/>
            <w:vAlign w:val="center"/>
          </w:tcPr>
          <w:p w14:paraId="748D9CF7" w14:textId="77777777" w:rsidR="0089207C" w:rsidRPr="00AC3044" w:rsidRDefault="0089207C" w:rsidP="002D3EBF">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77CBA271" w14:textId="77777777" w:rsidR="0089207C" w:rsidRPr="00AC3044" w:rsidRDefault="0089207C" w:rsidP="002D3EBF">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5A23CCD9" w14:textId="77777777" w:rsidR="0089207C" w:rsidRPr="00AC3044" w:rsidRDefault="0089207C" w:rsidP="002D3EBF">
            <w:pPr>
              <w:rPr>
                <w:rFonts w:eastAsia="SimSun"/>
              </w:rPr>
            </w:pPr>
            <w:r w:rsidRPr="00AC3044">
              <w:rPr>
                <w:rFonts w:eastAsia="SimSun"/>
              </w:rPr>
              <w:t>С -7 дня по -2 день</w:t>
            </w:r>
          </w:p>
        </w:tc>
        <w:tc>
          <w:tcPr>
            <w:tcW w:w="2268" w:type="dxa"/>
            <w:vAlign w:val="center"/>
          </w:tcPr>
          <w:p w14:paraId="2A768E27"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2EC141D0" w14:textId="77777777" w:rsidTr="002D3EBF">
        <w:trPr>
          <w:cantSplit/>
          <w:trHeight w:val="1207"/>
        </w:trPr>
        <w:tc>
          <w:tcPr>
            <w:tcW w:w="817" w:type="dxa"/>
            <w:vMerge/>
            <w:vAlign w:val="center"/>
          </w:tcPr>
          <w:p w14:paraId="0743657F" w14:textId="77777777" w:rsidR="0089207C" w:rsidRPr="00AC3044" w:rsidRDefault="0089207C" w:rsidP="002D3EBF">
            <w:pPr>
              <w:rPr>
                <w:rFonts w:eastAsia="SimSun"/>
              </w:rPr>
            </w:pPr>
          </w:p>
        </w:tc>
        <w:tc>
          <w:tcPr>
            <w:tcW w:w="1701" w:type="dxa"/>
            <w:vAlign w:val="center"/>
          </w:tcPr>
          <w:p w14:paraId="3F9975AE" w14:textId="77777777" w:rsidR="0089207C" w:rsidRPr="00AC3044" w:rsidRDefault="0089207C" w:rsidP="002D3EBF">
            <w:pPr>
              <w:rPr>
                <w:rFonts w:eastAsia="SimSun"/>
              </w:rPr>
            </w:pPr>
            <w:r w:rsidRPr="00AC3044">
              <w:rPr>
                <w:rFonts w:eastAsia="SimSun"/>
              </w:rPr>
              <w:t>Бусульфан</w:t>
            </w:r>
          </w:p>
        </w:tc>
        <w:tc>
          <w:tcPr>
            <w:tcW w:w="1559" w:type="dxa"/>
            <w:vAlign w:val="center"/>
          </w:tcPr>
          <w:p w14:paraId="7D44650E" w14:textId="77777777" w:rsidR="0089207C" w:rsidRPr="00AC3044" w:rsidRDefault="0089207C" w:rsidP="002D3EBF">
            <w:pPr>
              <w:rPr>
                <w:rFonts w:eastAsia="SimSun"/>
              </w:rPr>
            </w:pPr>
            <w:r w:rsidRPr="00AC3044">
              <w:rPr>
                <w:rFonts w:eastAsia="SimSun"/>
              </w:rPr>
              <w:t xml:space="preserve">4 мг/кг </w:t>
            </w:r>
          </w:p>
        </w:tc>
        <w:tc>
          <w:tcPr>
            <w:tcW w:w="1418" w:type="dxa"/>
            <w:vAlign w:val="center"/>
          </w:tcPr>
          <w:p w14:paraId="43E5C9EA" w14:textId="77777777" w:rsidR="0089207C" w:rsidRPr="00AC3044" w:rsidRDefault="0089207C" w:rsidP="002D3EBF">
            <w:pPr>
              <w:rPr>
                <w:rFonts w:eastAsia="SimSun"/>
              </w:rPr>
            </w:pPr>
            <w:r w:rsidRPr="00AC3044">
              <w:rPr>
                <w:rFonts w:eastAsia="SimSun"/>
              </w:rPr>
              <w:t xml:space="preserve">8 мг/кг </w:t>
            </w:r>
          </w:p>
        </w:tc>
        <w:tc>
          <w:tcPr>
            <w:tcW w:w="1701" w:type="dxa"/>
            <w:vAlign w:val="center"/>
          </w:tcPr>
          <w:p w14:paraId="617FEB59" w14:textId="77777777" w:rsidR="0089207C" w:rsidRPr="00AC3044" w:rsidRDefault="0089207C" w:rsidP="002D3EBF">
            <w:pPr>
              <w:rPr>
                <w:rFonts w:eastAsia="SimSun"/>
              </w:rPr>
            </w:pPr>
            <w:r w:rsidRPr="00AC3044">
              <w:rPr>
                <w:rFonts w:eastAsia="SimSun"/>
              </w:rPr>
              <w:t>С -4 дня по -3 день</w:t>
            </w:r>
          </w:p>
        </w:tc>
        <w:tc>
          <w:tcPr>
            <w:tcW w:w="2268" w:type="dxa"/>
            <w:vAlign w:val="center"/>
          </w:tcPr>
          <w:p w14:paraId="0374B144"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w:t>
            </w:r>
          </w:p>
        </w:tc>
      </w:tr>
      <w:tr w:rsidR="0089207C" w:rsidRPr="00AC3044" w14:paraId="5A8E5D1B" w14:textId="77777777" w:rsidTr="002D3EBF">
        <w:trPr>
          <w:cantSplit/>
          <w:trHeight w:val="520"/>
        </w:trPr>
        <w:tc>
          <w:tcPr>
            <w:tcW w:w="817" w:type="dxa"/>
            <w:vMerge w:val="restart"/>
            <w:textDirection w:val="btLr"/>
            <w:vAlign w:val="center"/>
          </w:tcPr>
          <w:p w14:paraId="4706A6AC" w14:textId="77777777" w:rsidR="0089207C" w:rsidRPr="00AC3044" w:rsidRDefault="0089207C" w:rsidP="002D3EBF">
            <w:pPr>
              <w:rPr>
                <w:rFonts w:eastAsia="SimSun"/>
              </w:rPr>
            </w:pPr>
            <w:r w:rsidRPr="00AC3044">
              <w:rPr>
                <w:rFonts w:eastAsia="SimSun"/>
              </w:rPr>
              <w:t>Профилактика РТПХ</w:t>
            </w:r>
          </w:p>
        </w:tc>
        <w:tc>
          <w:tcPr>
            <w:tcW w:w="1701" w:type="dxa"/>
            <w:vAlign w:val="center"/>
          </w:tcPr>
          <w:p w14:paraId="6534F3B7" w14:textId="77777777" w:rsidR="0089207C" w:rsidRPr="00AC3044" w:rsidRDefault="0089207C" w:rsidP="002D3EBF">
            <w:pPr>
              <w:rPr>
                <w:rFonts w:eastAsia="SimSun"/>
              </w:rPr>
            </w:pPr>
            <w:r w:rsidRPr="00AC3044">
              <w:rPr>
                <w:rFonts w:eastAsia="SimSun"/>
              </w:rPr>
              <w:t>Циклофосфамид</w:t>
            </w:r>
          </w:p>
        </w:tc>
        <w:tc>
          <w:tcPr>
            <w:tcW w:w="1559" w:type="dxa"/>
            <w:vAlign w:val="center"/>
          </w:tcPr>
          <w:p w14:paraId="3B76AE83" w14:textId="77777777" w:rsidR="0089207C" w:rsidRPr="00AC3044" w:rsidRDefault="0089207C" w:rsidP="002D3EBF">
            <w:pPr>
              <w:rPr>
                <w:rFonts w:eastAsia="SimSun"/>
              </w:rPr>
            </w:pPr>
            <w:r w:rsidRPr="00AC3044">
              <w:rPr>
                <w:rFonts w:eastAsia="SimSun"/>
              </w:rPr>
              <w:t>50 мг/кг</w:t>
            </w:r>
          </w:p>
        </w:tc>
        <w:tc>
          <w:tcPr>
            <w:tcW w:w="1418" w:type="dxa"/>
            <w:vAlign w:val="center"/>
          </w:tcPr>
          <w:p w14:paraId="5311BB2B" w14:textId="77777777" w:rsidR="0089207C" w:rsidRPr="00AC3044" w:rsidRDefault="0089207C" w:rsidP="002D3EBF">
            <w:pPr>
              <w:rPr>
                <w:rFonts w:eastAsia="SimSun"/>
              </w:rPr>
            </w:pPr>
            <w:r w:rsidRPr="00AC3044">
              <w:rPr>
                <w:rFonts w:eastAsia="SimSun"/>
              </w:rPr>
              <w:t>100 мг/кг</w:t>
            </w:r>
          </w:p>
        </w:tc>
        <w:tc>
          <w:tcPr>
            <w:tcW w:w="1701" w:type="dxa"/>
            <w:vAlign w:val="center"/>
          </w:tcPr>
          <w:p w14:paraId="6A4649D1" w14:textId="77777777" w:rsidR="0089207C" w:rsidRPr="00AC3044" w:rsidRDefault="0089207C" w:rsidP="002D3EBF">
            <w:pPr>
              <w:rPr>
                <w:rFonts w:eastAsia="SimSun"/>
              </w:rPr>
            </w:pPr>
            <w:r w:rsidRPr="00AC3044">
              <w:rPr>
                <w:rFonts w:eastAsia="SimSun"/>
              </w:rPr>
              <w:t>В +3 день  и +5 день</w:t>
            </w:r>
          </w:p>
        </w:tc>
        <w:tc>
          <w:tcPr>
            <w:tcW w:w="2268" w:type="dxa"/>
            <w:vAlign w:val="center"/>
          </w:tcPr>
          <w:p w14:paraId="258AD807"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7A4081AE" w14:textId="77777777" w:rsidTr="002D3EBF">
        <w:trPr>
          <w:cantSplit/>
          <w:trHeight w:val="486"/>
        </w:trPr>
        <w:tc>
          <w:tcPr>
            <w:tcW w:w="817" w:type="dxa"/>
            <w:vMerge/>
            <w:textDirection w:val="btLr"/>
            <w:vAlign w:val="center"/>
          </w:tcPr>
          <w:p w14:paraId="2296C979" w14:textId="77777777" w:rsidR="0089207C" w:rsidRPr="00AC3044" w:rsidRDefault="0089207C" w:rsidP="002D3EBF">
            <w:pPr>
              <w:rPr>
                <w:rFonts w:eastAsia="SimSun"/>
              </w:rPr>
            </w:pPr>
          </w:p>
        </w:tc>
        <w:tc>
          <w:tcPr>
            <w:tcW w:w="1701" w:type="dxa"/>
            <w:vAlign w:val="center"/>
          </w:tcPr>
          <w:p w14:paraId="0DBBF9AE" w14:textId="77777777" w:rsidR="0089207C" w:rsidRPr="00AC3044" w:rsidRDefault="0089207C" w:rsidP="002D3EBF">
            <w:pPr>
              <w:rPr>
                <w:rFonts w:eastAsia="SimSun"/>
              </w:rPr>
            </w:pPr>
            <w:r w:rsidRPr="00AC3044">
              <w:rPr>
                <w:rFonts w:eastAsia="SimSun"/>
              </w:rPr>
              <w:t>Микофенолата мофетил</w:t>
            </w:r>
          </w:p>
        </w:tc>
        <w:tc>
          <w:tcPr>
            <w:tcW w:w="1559" w:type="dxa"/>
            <w:vAlign w:val="center"/>
          </w:tcPr>
          <w:p w14:paraId="7F665010" w14:textId="77777777" w:rsidR="0089207C" w:rsidRPr="00AC3044" w:rsidRDefault="0089207C" w:rsidP="002D3EBF">
            <w:pPr>
              <w:rPr>
                <w:rFonts w:eastAsia="SimSun"/>
              </w:rPr>
            </w:pPr>
            <w:r w:rsidRPr="00AC3044">
              <w:rPr>
                <w:rFonts w:eastAsia="SimSun"/>
              </w:rPr>
              <w:t xml:space="preserve">30 мг/кг </w:t>
            </w:r>
          </w:p>
        </w:tc>
        <w:tc>
          <w:tcPr>
            <w:tcW w:w="1418" w:type="dxa"/>
            <w:vAlign w:val="center"/>
          </w:tcPr>
          <w:p w14:paraId="131A7D70" w14:textId="77777777" w:rsidR="0089207C" w:rsidRPr="00AC3044" w:rsidRDefault="0089207C" w:rsidP="002D3EBF">
            <w:pPr>
              <w:rPr>
                <w:rFonts w:eastAsia="SimSun"/>
              </w:rPr>
            </w:pPr>
            <w:r w:rsidRPr="00AC3044">
              <w:rPr>
                <w:rFonts w:eastAsia="SimSun"/>
              </w:rPr>
              <w:t>–</w:t>
            </w:r>
          </w:p>
        </w:tc>
        <w:tc>
          <w:tcPr>
            <w:tcW w:w="1701" w:type="dxa"/>
            <w:vAlign w:val="center"/>
          </w:tcPr>
          <w:p w14:paraId="7A4ADC78" w14:textId="77777777" w:rsidR="0089207C" w:rsidRPr="00AC3044" w:rsidRDefault="0089207C" w:rsidP="002D3EBF">
            <w:pPr>
              <w:rPr>
                <w:rFonts w:eastAsia="SimSun"/>
              </w:rPr>
            </w:pPr>
            <w:r w:rsidRPr="00AC3044">
              <w:rPr>
                <w:rFonts w:eastAsia="SimSun"/>
              </w:rPr>
              <w:t xml:space="preserve">С +1 дня по +28 день </w:t>
            </w:r>
          </w:p>
        </w:tc>
        <w:tc>
          <w:tcPr>
            <w:tcW w:w="2268" w:type="dxa"/>
            <w:vAlign w:val="center"/>
          </w:tcPr>
          <w:p w14:paraId="24F8DCEF" w14:textId="77777777" w:rsidR="0089207C" w:rsidRPr="00AC3044" w:rsidRDefault="0089207C" w:rsidP="002D3EBF">
            <w:pPr>
              <w:rPr>
                <w:rFonts w:eastAsia="SimSun"/>
              </w:rPr>
            </w:pPr>
            <w:r w:rsidRPr="00AC3044">
              <w:rPr>
                <w:rFonts w:eastAsia="SimSun"/>
              </w:rPr>
              <w:t xml:space="preserve">Внутрь, суммарная суточная доза разделяется на 2- 4 приема (не более 3г/сут).  </w:t>
            </w:r>
          </w:p>
        </w:tc>
      </w:tr>
      <w:tr w:rsidR="0089207C" w:rsidRPr="00AC3044" w14:paraId="566262B2" w14:textId="77777777" w:rsidTr="002D3EBF">
        <w:trPr>
          <w:cantSplit/>
          <w:trHeight w:val="958"/>
        </w:trPr>
        <w:tc>
          <w:tcPr>
            <w:tcW w:w="817" w:type="dxa"/>
            <w:vMerge/>
            <w:textDirection w:val="btLr"/>
            <w:vAlign w:val="center"/>
          </w:tcPr>
          <w:p w14:paraId="17BBEDA5" w14:textId="77777777" w:rsidR="0089207C" w:rsidRPr="00AC3044" w:rsidRDefault="0089207C" w:rsidP="002D3EBF">
            <w:pPr>
              <w:rPr>
                <w:rFonts w:eastAsia="SimSun"/>
              </w:rPr>
            </w:pPr>
          </w:p>
        </w:tc>
        <w:tc>
          <w:tcPr>
            <w:tcW w:w="1701" w:type="dxa"/>
            <w:vAlign w:val="center"/>
          </w:tcPr>
          <w:p w14:paraId="1F98891E" w14:textId="77777777" w:rsidR="0089207C" w:rsidRPr="00AC3044" w:rsidRDefault="0089207C" w:rsidP="002D3EBF">
            <w:pPr>
              <w:rPr>
                <w:rFonts w:eastAsia="SimSun"/>
              </w:rPr>
            </w:pPr>
            <w:r w:rsidRPr="00AC3044">
              <w:rPr>
                <w:rFonts w:eastAsia="SimSun"/>
              </w:rPr>
              <w:t>Циклоспорин А</w:t>
            </w:r>
          </w:p>
        </w:tc>
        <w:tc>
          <w:tcPr>
            <w:tcW w:w="1559" w:type="dxa"/>
            <w:vAlign w:val="center"/>
          </w:tcPr>
          <w:p w14:paraId="39D103E3" w14:textId="77777777" w:rsidR="0089207C" w:rsidRPr="00AC3044" w:rsidRDefault="0089207C" w:rsidP="002D3EBF">
            <w:pPr>
              <w:rPr>
                <w:rFonts w:eastAsia="SimSun"/>
              </w:rPr>
            </w:pPr>
            <w:r w:rsidRPr="00AC3044">
              <w:rPr>
                <w:rFonts w:eastAsia="SimSun"/>
              </w:rPr>
              <w:t>3  мг/кг</w:t>
            </w:r>
          </w:p>
        </w:tc>
        <w:tc>
          <w:tcPr>
            <w:tcW w:w="1418" w:type="dxa"/>
            <w:vAlign w:val="center"/>
          </w:tcPr>
          <w:p w14:paraId="228EF9F4" w14:textId="77777777" w:rsidR="0089207C" w:rsidRPr="00AC3044" w:rsidRDefault="0089207C" w:rsidP="002D3EBF">
            <w:pPr>
              <w:rPr>
                <w:rFonts w:eastAsia="SimSun"/>
              </w:rPr>
            </w:pPr>
            <w:r w:rsidRPr="00AC3044">
              <w:rPr>
                <w:rFonts w:eastAsia="SimSun"/>
              </w:rPr>
              <w:t>-</w:t>
            </w:r>
          </w:p>
        </w:tc>
        <w:tc>
          <w:tcPr>
            <w:tcW w:w="1701" w:type="dxa"/>
            <w:vAlign w:val="center"/>
          </w:tcPr>
          <w:p w14:paraId="6217BAFD" w14:textId="77777777" w:rsidR="0089207C" w:rsidRPr="00AC3044" w:rsidRDefault="0089207C" w:rsidP="002D3EBF">
            <w:pPr>
              <w:rPr>
                <w:rFonts w:eastAsia="SimSun"/>
              </w:rPr>
            </w:pPr>
            <w:r w:rsidRPr="00AC3044">
              <w:rPr>
                <w:rFonts w:eastAsia="SimSun"/>
              </w:rPr>
              <w:t xml:space="preserve">С -1 дня по +100 день </w:t>
            </w:r>
          </w:p>
        </w:tc>
        <w:tc>
          <w:tcPr>
            <w:tcW w:w="2268" w:type="dxa"/>
            <w:vAlign w:val="center"/>
          </w:tcPr>
          <w:p w14:paraId="436D6256" w14:textId="77777777" w:rsidR="0089207C" w:rsidRPr="00AC3044" w:rsidRDefault="0089207C" w:rsidP="002D3EBF">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17711E42" w14:textId="77777777" w:rsidR="0089207C" w:rsidRPr="00C07B2E" w:rsidRDefault="0089207C" w:rsidP="0089207C">
      <w:pPr>
        <w:rPr>
          <w:rFonts w:eastAsia="SimSun"/>
        </w:rPr>
      </w:pPr>
    </w:p>
    <w:p w14:paraId="69A28A6A" w14:textId="77777777" w:rsidR="0089207C" w:rsidRPr="00C07B2E" w:rsidRDefault="0089207C" w:rsidP="0089207C">
      <w:pPr>
        <w:rPr>
          <w:rFonts w:eastAsia="SimSun"/>
        </w:rPr>
      </w:pPr>
      <w:bookmarkStart w:id="258" w:name="_Toc44401212"/>
      <w:r w:rsidRPr="00042499">
        <w:rPr>
          <w:rFonts w:eastAsia="SimSun"/>
        </w:rPr>
        <w:t>Таблица</w:t>
      </w:r>
      <w:r w:rsidRPr="00C07B2E">
        <w:rPr>
          <w:rFonts w:eastAsia="SimSun"/>
        </w:rPr>
        <w:t xml:space="preserve"> </w:t>
      </w:r>
      <w:r>
        <w:rPr>
          <w:rFonts w:eastAsia="SimSun"/>
        </w:rPr>
        <w:t>5.</w:t>
      </w:r>
      <w:r w:rsidRPr="00C07B2E">
        <w:rPr>
          <w:rFonts w:eastAsia="SimSun"/>
        </w:rPr>
        <w:t>2.2.12  – Flu180+Bu10 / PT-Cy</w:t>
      </w:r>
      <w:bookmarkEnd w:id="25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89207C" w:rsidRPr="00AC3044" w14:paraId="30932B1F" w14:textId="77777777" w:rsidTr="002D3EBF">
        <w:trPr>
          <w:cantSplit/>
          <w:trHeight w:val="20"/>
          <w:tblHeader/>
        </w:trPr>
        <w:tc>
          <w:tcPr>
            <w:tcW w:w="817" w:type="dxa"/>
            <w:vAlign w:val="center"/>
          </w:tcPr>
          <w:p w14:paraId="1BA4E671" w14:textId="77777777" w:rsidR="0089207C" w:rsidRPr="00AC3044" w:rsidRDefault="0089207C" w:rsidP="002D3EBF">
            <w:pPr>
              <w:rPr>
                <w:rFonts w:eastAsia="SimSun"/>
              </w:rPr>
            </w:pPr>
          </w:p>
        </w:tc>
        <w:tc>
          <w:tcPr>
            <w:tcW w:w="1701" w:type="dxa"/>
            <w:vAlign w:val="center"/>
          </w:tcPr>
          <w:p w14:paraId="2029400A" w14:textId="77777777" w:rsidR="0089207C" w:rsidRPr="00AC3044" w:rsidRDefault="0089207C" w:rsidP="002D3EBF">
            <w:pPr>
              <w:rPr>
                <w:rFonts w:eastAsia="SimSun"/>
              </w:rPr>
            </w:pPr>
            <w:r w:rsidRPr="00AC3044">
              <w:rPr>
                <w:rFonts w:eastAsia="SimSun"/>
              </w:rPr>
              <w:t>Препарат</w:t>
            </w:r>
          </w:p>
        </w:tc>
        <w:tc>
          <w:tcPr>
            <w:tcW w:w="1559" w:type="dxa"/>
            <w:vAlign w:val="center"/>
          </w:tcPr>
          <w:p w14:paraId="698A81F1" w14:textId="77777777" w:rsidR="0089207C" w:rsidRPr="00AC3044" w:rsidRDefault="0089207C" w:rsidP="002D3EBF">
            <w:pPr>
              <w:rPr>
                <w:rFonts w:eastAsia="SimSun"/>
              </w:rPr>
            </w:pPr>
            <w:r w:rsidRPr="00AC3044">
              <w:rPr>
                <w:rFonts w:eastAsia="SimSun"/>
              </w:rPr>
              <w:t>Суточная доза</w:t>
            </w:r>
          </w:p>
        </w:tc>
        <w:tc>
          <w:tcPr>
            <w:tcW w:w="1418" w:type="dxa"/>
            <w:vAlign w:val="center"/>
          </w:tcPr>
          <w:p w14:paraId="01A7F13E" w14:textId="77777777" w:rsidR="0089207C" w:rsidRPr="00AC3044" w:rsidRDefault="0089207C" w:rsidP="002D3EBF">
            <w:pPr>
              <w:rPr>
                <w:rFonts w:eastAsia="SimSun"/>
              </w:rPr>
            </w:pPr>
            <w:r w:rsidRPr="00AC3044">
              <w:rPr>
                <w:rFonts w:eastAsia="SimSun"/>
              </w:rPr>
              <w:t>Курсовая доза</w:t>
            </w:r>
          </w:p>
        </w:tc>
        <w:tc>
          <w:tcPr>
            <w:tcW w:w="1701" w:type="dxa"/>
            <w:vAlign w:val="center"/>
          </w:tcPr>
          <w:p w14:paraId="22DE8036"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4CE9634C"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641DBEFD" w14:textId="77777777" w:rsidTr="002D3EBF">
        <w:trPr>
          <w:cantSplit/>
          <w:trHeight w:val="20"/>
        </w:trPr>
        <w:tc>
          <w:tcPr>
            <w:tcW w:w="817" w:type="dxa"/>
            <w:vMerge w:val="restart"/>
            <w:textDirection w:val="btLr"/>
            <w:vAlign w:val="center"/>
          </w:tcPr>
          <w:p w14:paraId="18EA1197" w14:textId="77777777" w:rsidR="0089207C" w:rsidRPr="00AC3044" w:rsidRDefault="0089207C" w:rsidP="002D3EBF">
            <w:pPr>
              <w:rPr>
                <w:rFonts w:eastAsia="SimSun"/>
              </w:rPr>
            </w:pPr>
            <w:r w:rsidRPr="00AC3044">
              <w:rPr>
                <w:rFonts w:eastAsia="SimSun"/>
              </w:rPr>
              <w:t>Кондиционирование</w:t>
            </w:r>
          </w:p>
        </w:tc>
        <w:tc>
          <w:tcPr>
            <w:tcW w:w="1701" w:type="dxa"/>
            <w:vAlign w:val="center"/>
          </w:tcPr>
          <w:p w14:paraId="66B192B6" w14:textId="77777777" w:rsidR="0089207C" w:rsidRPr="00AC3044" w:rsidRDefault="0089207C" w:rsidP="002D3EBF">
            <w:pPr>
              <w:rPr>
                <w:rFonts w:eastAsia="SimSun"/>
              </w:rPr>
            </w:pPr>
            <w:r w:rsidRPr="00AC3044">
              <w:rPr>
                <w:rFonts w:eastAsia="SimSun"/>
              </w:rPr>
              <w:t xml:space="preserve">Флударабин </w:t>
            </w:r>
          </w:p>
        </w:tc>
        <w:tc>
          <w:tcPr>
            <w:tcW w:w="1559" w:type="dxa"/>
            <w:vAlign w:val="center"/>
          </w:tcPr>
          <w:p w14:paraId="45564D8C" w14:textId="77777777" w:rsidR="0089207C" w:rsidRPr="00AC3044" w:rsidRDefault="0089207C" w:rsidP="002D3EBF">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1AE9D040" w14:textId="77777777" w:rsidR="0089207C" w:rsidRPr="00AC3044" w:rsidRDefault="0089207C" w:rsidP="002D3EBF">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16E6D94E" w14:textId="77777777" w:rsidR="0089207C" w:rsidRPr="00AC3044" w:rsidRDefault="0089207C" w:rsidP="002D3EBF">
            <w:pPr>
              <w:rPr>
                <w:rFonts w:eastAsia="SimSun"/>
              </w:rPr>
            </w:pPr>
            <w:r w:rsidRPr="00AC3044">
              <w:rPr>
                <w:rFonts w:eastAsia="SimSun"/>
              </w:rPr>
              <w:t>С -7 дня по -2 день</w:t>
            </w:r>
          </w:p>
        </w:tc>
        <w:tc>
          <w:tcPr>
            <w:tcW w:w="2268" w:type="dxa"/>
            <w:vAlign w:val="center"/>
          </w:tcPr>
          <w:p w14:paraId="312B45B3"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20E36477" w14:textId="77777777" w:rsidTr="002D3EBF">
        <w:trPr>
          <w:cantSplit/>
          <w:trHeight w:val="1207"/>
        </w:trPr>
        <w:tc>
          <w:tcPr>
            <w:tcW w:w="817" w:type="dxa"/>
            <w:vMerge/>
            <w:vAlign w:val="center"/>
          </w:tcPr>
          <w:p w14:paraId="6434DD61" w14:textId="77777777" w:rsidR="0089207C" w:rsidRPr="00AC3044" w:rsidRDefault="0089207C" w:rsidP="002D3EBF">
            <w:pPr>
              <w:rPr>
                <w:rFonts w:eastAsia="SimSun"/>
              </w:rPr>
            </w:pPr>
          </w:p>
        </w:tc>
        <w:tc>
          <w:tcPr>
            <w:tcW w:w="1701" w:type="dxa"/>
            <w:vAlign w:val="center"/>
          </w:tcPr>
          <w:p w14:paraId="5B1DBA8A" w14:textId="77777777" w:rsidR="0089207C" w:rsidRPr="00AC3044" w:rsidRDefault="0089207C" w:rsidP="002D3EBF">
            <w:pPr>
              <w:rPr>
                <w:rFonts w:eastAsia="SimSun"/>
              </w:rPr>
            </w:pPr>
            <w:r w:rsidRPr="00AC3044">
              <w:rPr>
                <w:rFonts w:eastAsia="SimSun"/>
              </w:rPr>
              <w:t>Бусульфан</w:t>
            </w:r>
          </w:p>
        </w:tc>
        <w:tc>
          <w:tcPr>
            <w:tcW w:w="1559" w:type="dxa"/>
            <w:vAlign w:val="center"/>
          </w:tcPr>
          <w:p w14:paraId="1E8A13FB" w14:textId="77777777" w:rsidR="0089207C" w:rsidRPr="00AC3044" w:rsidRDefault="0089207C" w:rsidP="002D3EBF">
            <w:pPr>
              <w:rPr>
                <w:rFonts w:eastAsia="SimSun"/>
              </w:rPr>
            </w:pPr>
            <w:r w:rsidRPr="00AC3044">
              <w:rPr>
                <w:rFonts w:eastAsia="SimSun"/>
              </w:rPr>
              <w:t xml:space="preserve">4 мг/кг </w:t>
            </w:r>
          </w:p>
        </w:tc>
        <w:tc>
          <w:tcPr>
            <w:tcW w:w="1418" w:type="dxa"/>
            <w:vAlign w:val="center"/>
          </w:tcPr>
          <w:p w14:paraId="322D417A" w14:textId="77777777" w:rsidR="0089207C" w:rsidRPr="00AC3044" w:rsidRDefault="0089207C" w:rsidP="002D3EBF">
            <w:pPr>
              <w:rPr>
                <w:rFonts w:eastAsia="SimSun"/>
              </w:rPr>
            </w:pPr>
            <w:r w:rsidRPr="00AC3044">
              <w:rPr>
                <w:rFonts w:eastAsia="SimSun"/>
              </w:rPr>
              <w:t xml:space="preserve">10 мг/кг </w:t>
            </w:r>
          </w:p>
        </w:tc>
        <w:tc>
          <w:tcPr>
            <w:tcW w:w="1701" w:type="dxa"/>
            <w:vAlign w:val="center"/>
          </w:tcPr>
          <w:p w14:paraId="0D35AF21" w14:textId="77777777" w:rsidR="0089207C" w:rsidRPr="00AC3044" w:rsidRDefault="0089207C" w:rsidP="002D3EBF">
            <w:pPr>
              <w:rPr>
                <w:rFonts w:eastAsia="SimSun"/>
              </w:rPr>
            </w:pPr>
            <w:r w:rsidRPr="00AC3044">
              <w:rPr>
                <w:rFonts w:eastAsia="SimSun"/>
              </w:rPr>
              <w:t>С -5 дня по -3 день</w:t>
            </w:r>
          </w:p>
        </w:tc>
        <w:tc>
          <w:tcPr>
            <w:tcW w:w="2268" w:type="dxa"/>
            <w:vAlign w:val="center"/>
          </w:tcPr>
          <w:p w14:paraId="5F8C353E"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89207C" w:rsidRPr="00AC3044" w14:paraId="47A31608" w14:textId="77777777" w:rsidTr="002D3EBF">
        <w:trPr>
          <w:cantSplit/>
          <w:trHeight w:val="1498"/>
        </w:trPr>
        <w:tc>
          <w:tcPr>
            <w:tcW w:w="817" w:type="dxa"/>
            <w:textDirection w:val="btLr"/>
            <w:vAlign w:val="center"/>
          </w:tcPr>
          <w:p w14:paraId="4E91F402" w14:textId="77777777" w:rsidR="0089207C" w:rsidRPr="00AC3044" w:rsidRDefault="0089207C" w:rsidP="002D3EBF">
            <w:pPr>
              <w:rPr>
                <w:rFonts w:eastAsia="SimSun"/>
              </w:rPr>
            </w:pPr>
            <w:r w:rsidRPr="00AC3044">
              <w:rPr>
                <w:rFonts w:eastAsia="SimSun"/>
              </w:rPr>
              <w:t>Профилактика РТПХ</w:t>
            </w:r>
          </w:p>
        </w:tc>
        <w:tc>
          <w:tcPr>
            <w:tcW w:w="1701" w:type="dxa"/>
            <w:vAlign w:val="center"/>
          </w:tcPr>
          <w:p w14:paraId="504AD534" w14:textId="77777777" w:rsidR="0089207C" w:rsidRPr="00AC3044" w:rsidRDefault="0089207C" w:rsidP="002D3EBF">
            <w:pPr>
              <w:rPr>
                <w:rFonts w:eastAsia="SimSun"/>
              </w:rPr>
            </w:pPr>
            <w:r w:rsidRPr="00AC3044">
              <w:rPr>
                <w:rFonts w:eastAsia="SimSun"/>
              </w:rPr>
              <w:t>Циклофосфамид</w:t>
            </w:r>
          </w:p>
        </w:tc>
        <w:tc>
          <w:tcPr>
            <w:tcW w:w="1559" w:type="dxa"/>
            <w:vAlign w:val="center"/>
          </w:tcPr>
          <w:p w14:paraId="61E21BFB" w14:textId="77777777" w:rsidR="0089207C" w:rsidRPr="00AC3044" w:rsidRDefault="0089207C" w:rsidP="002D3EBF">
            <w:pPr>
              <w:rPr>
                <w:rFonts w:eastAsia="SimSun"/>
              </w:rPr>
            </w:pPr>
            <w:r w:rsidRPr="00AC3044">
              <w:rPr>
                <w:rFonts w:eastAsia="SimSun"/>
              </w:rPr>
              <w:t>50 мг/кг</w:t>
            </w:r>
          </w:p>
        </w:tc>
        <w:tc>
          <w:tcPr>
            <w:tcW w:w="1418" w:type="dxa"/>
            <w:vAlign w:val="center"/>
          </w:tcPr>
          <w:p w14:paraId="3A586232" w14:textId="77777777" w:rsidR="0089207C" w:rsidRPr="00AC3044" w:rsidRDefault="0089207C" w:rsidP="002D3EBF">
            <w:pPr>
              <w:rPr>
                <w:rFonts w:eastAsia="SimSun"/>
              </w:rPr>
            </w:pPr>
            <w:r w:rsidRPr="00AC3044">
              <w:rPr>
                <w:rFonts w:eastAsia="SimSun"/>
              </w:rPr>
              <w:t>100 мг/кг</w:t>
            </w:r>
          </w:p>
        </w:tc>
        <w:tc>
          <w:tcPr>
            <w:tcW w:w="1701" w:type="dxa"/>
            <w:vAlign w:val="center"/>
          </w:tcPr>
          <w:p w14:paraId="6BBBF539" w14:textId="77777777" w:rsidR="0089207C" w:rsidRPr="00AC3044" w:rsidRDefault="0089207C" w:rsidP="002D3EBF">
            <w:pPr>
              <w:rPr>
                <w:rFonts w:eastAsia="SimSun"/>
              </w:rPr>
            </w:pPr>
            <w:r w:rsidRPr="00AC3044">
              <w:rPr>
                <w:rFonts w:eastAsia="SimSun"/>
              </w:rPr>
              <w:t>С +3 дня по +4 день</w:t>
            </w:r>
          </w:p>
        </w:tc>
        <w:tc>
          <w:tcPr>
            <w:tcW w:w="2268" w:type="dxa"/>
            <w:vAlign w:val="center"/>
          </w:tcPr>
          <w:p w14:paraId="24BB7C7A" w14:textId="77777777" w:rsidR="0089207C" w:rsidRPr="00AC3044" w:rsidRDefault="0089207C" w:rsidP="002D3EBF">
            <w:pPr>
              <w:rPr>
                <w:rFonts w:eastAsia="SimSun"/>
              </w:rPr>
            </w:pPr>
            <w:r w:rsidRPr="00AC3044">
              <w:rPr>
                <w:rFonts w:eastAsia="SimSun"/>
              </w:rPr>
              <w:t>В/в, в течение 2 часов</w:t>
            </w:r>
          </w:p>
        </w:tc>
      </w:tr>
    </w:tbl>
    <w:p w14:paraId="56911635" w14:textId="77777777" w:rsidR="0089207C" w:rsidRDefault="0089207C" w:rsidP="0089207C">
      <w:pPr>
        <w:rPr>
          <w:rFonts w:eastAsia="SimSun"/>
        </w:rPr>
      </w:pPr>
      <w:bookmarkStart w:id="259" w:name="_Toc44401213"/>
    </w:p>
    <w:p w14:paraId="170DDF46" w14:textId="77777777" w:rsidR="0089207C" w:rsidRPr="00C07B2E" w:rsidRDefault="0089207C" w:rsidP="0089207C">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2.2.13  – Flu180+Bu10 / PT-Cy+Tx+MMF30</w:t>
      </w:r>
      <w:bookmarkEnd w:id="25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89207C" w:rsidRPr="00AC3044" w14:paraId="2D40059D" w14:textId="77777777" w:rsidTr="002D3EBF">
        <w:trPr>
          <w:cantSplit/>
          <w:trHeight w:val="20"/>
          <w:tblHeader/>
        </w:trPr>
        <w:tc>
          <w:tcPr>
            <w:tcW w:w="817" w:type="dxa"/>
            <w:vAlign w:val="center"/>
          </w:tcPr>
          <w:p w14:paraId="0A3B491D" w14:textId="77777777" w:rsidR="0089207C" w:rsidRPr="00470D3D" w:rsidRDefault="0089207C" w:rsidP="002D3EBF">
            <w:pPr>
              <w:rPr>
                <w:rFonts w:eastAsia="SimSun"/>
              </w:rPr>
            </w:pPr>
          </w:p>
        </w:tc>
        <w:tc>
          <w:tcPr>
            <w:tcW w:w="1701" w:type="dxa"/>
            <w:vAlign w:val="center"/>
          </w:tcPr>
          <w:p w14:paraId="1F70985B" w14:textId="77777777" w:rsidR="0089207C" w:rsidRPr="00AC3044" w:rsidRDefault="0089207C" w:rsidP="002D3EBF">
            <w:pPr>
              <w:rPr>
                <w:rFonts w:eastAsia="SimSun"/>
              </w:rPr>
            </w:pPr>
            <w:r w:rsidRPr="00AC3044">
              <w:rPr>
                <w:rFonts w:eastAsia="SimSun"/>
              </w:rPr>
              <w:t>Препарат</w:t>
            </w:r>
          </w:p>
        </w:tc>
        <w:tc>
          <w:tcPr>
            <w:tcW w:w="1559" w:type="dxa"/>
            <w:vAlign w:val="center"/>
          </w:tcPr>
          <w:p w14:paraId="3D91A517" w14:textId="77777777" w:rsidR="0089207C" w:rsidRPr="00AC3044" w:rsidRDefault="0089207C" w:rsidP="002D3EBF">
            <w:pPr>
              <w:rPr>
                <w:rFonts w:eastAsia="SimSun"/>
              </w:rPr>
            </w:pPr>
            <w:r w:rsidRPr="00AC3044">
              <w:rPr>
                <w:rFonts w:eastAsia="SimSun"/>
              </w:rPr>
              <w:t>Суточная доза</w:t>
            </w:r>
          </w:p>
        </w:tc>
        <w:tc>
          <w:tcPr>
            <w:tcW w:w="1418" w:type="dxa"/>
            <w:vAlign w:val="center"/>
          </w:tcPr>
          <w:p w14:paraId="17772884" w14:textId="77777777" w:rsidR="0089207C" w:rsidRPr="00AC3044" w:rsidRDefault="0089207C" w:rsidP="002D3EBF">
            <w:pPr>
              <w:rPr>
                <w:rFonts w:eastAsia="SimSun"/>
              </w:rPr>
            </w:pPr>
            <w:r w:rsidRPr="00AC3044">
              <w:rPr>
                <w:rFonts w:eastAsia="SimSun"/>
              </w:rPr>
              <w:t>Курсовая доза</w:t>
            </w:r>
          </w:p>
        </w:tc>
        <w:tc>
          <w:tcPr>
            <w:tcW w:w="1701" w:type="dxa"/>
            <w:vAlign w:val="center"/>
          </w:tcPr>
          <w:p w14:paraId="515A1C87"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09055950"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7BF5E4A5" w14:textId="77777777" w:rsidTr="002D3EBF">
        <w:trPr>
          <w:cantSplit/>
          <w:trHeight w:val="20"/>
        </w:trPr>
        <w:tc>
          <w:tcPr>
            <w:tcW w:w="817" w:type="dxa"/>
            <w:vMerge w:val="restart"/>
            <w:textDirection w:val="btLr"/>
            <w:vAlign w:val="center"/>
          </w:tcPr>
          <w:p w14:paraId="0C2430AE" w14:textId="77777777" w:rsidR="0089207C" w:rsidRPr="00AC3044" w:rsidRDefault="0089207C" w:rsidP="002D3EBF">
            <w:pPr>
              <w:rPr>
                <w:rFonts w:eastAsia="SimSun"/>
              </w:rPr>
            </w:pPr>
            <w:r w:rsidRPr="00AC3044">
              <w:rPr>
                <w:rFonts w:eastAsia="SimSun"/>
              </w:rPr>
              <w:t>Кондиционирование</w:t>
            </w:r>
          </w:p>
        </w:tc>
        <w:tc>
          <w:tcPr>
            <w:tcW w:w="1701" w:type="dxa"/>
            <w:vAlign w:val="center"/>
          </w:tcPr>
          <w:p w14:paraId="636C321D" w14:textId="77777777" w:rsidR="0089207C" w:rsidRPr="00AC3044" w:rsidRDefault="0089207C" w:rsidP="002D3EBF">
            <w:pPr>
              <w:rPr>
                <w:rFonts w:eastAsia="SimSun"/>
              </w:rPr>
            </w:pPr>
            <w:r w:rsidRPr="00AC3044">
              <w:rPr>
                <w:rFonts w:eastAsia="SimSun"/>
              </w:rPr>
              <w:t xml:space="preserve">Флударабин </w:t>
            </w:r>
          </w:p>
        </w:tc>
        <w:tc>
          <w:tcPr>
            <w:tcW w:w="1559" w:type="dxa"/>
            <w:vAlign w:val="center"/>
          </w:tcPr>
          <w:p w14:paraId="48CB777F" w14:textId="77777777" w:rsidR="0089207C" w:rsidRPr="00AC3044" w:rsidRDefault="0089207C" w:rsidP="002D3EBF">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40B431BB" w14:textId="77777777" w:rsidR="0089207C" w:rsidRPr="00AC3044" w:rsidRDefault="0089207C" w:rsidP="002D3EBF">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5BE4B0AB" w14:textId="77777777" w:rsidR="0089207C" w:rsidRPr="00AC3044" w:rsidRDefault="0089207C" w:rsidP="002D3EBF">
            <w:pPr>
              <w:rPr>
                <w:rFonts w:eastAsia="SimSun"/>
              </w:rPr>
            </w:pPr>
            <w:r w:rsidRPr="00AC3044">
              <w:rPr>
                <w:rFonts w:eastAsia="SimSun"/>
              </w:rPr>
              <w:t>С -7 дня по -2 день</w:t>
            </w:r>
          </w:p>
        </w:tc>
        <w:tc>
          <w:tcPr>
            <w:tcW w:w="2268" w:type="dxa"/>
            <w:vAlign w:val="center"/>
          </w:tcPr>
          <w:p w14:paraId="6F5A72E0"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76848CE0" w14:textId="77777777" w:rsidTr="002D3EBF">
        <w:trPr>
          <w:cantSplit/>
          <w:trHeight w:val="1207"/>
        </w:trPr>
        <w:tc>
          <w:tcPr>
            <w:tcW w:w="817" w:type="dxa"/>
            <w:vMerge/>
            <w:vAlign w:val="center"/>
          </w:tcPr>
          <w:p w14:paraId="23519617" w14:textId="77777777" w:rsidR="0089207C" w:rsidRPr="00AC3044" w:rsidRDefault="0089207C" w:rsidP="002D3EBF">
            <w:pPr>
              <w:rPr>
                <w:rFonts w:eastAsia="SimSun"/>
              </w:rPr>
            </w:pPr>
          </w:p>
        </w:tc>
        <w:tc>
          <w:tcPr>
            <w:tcW w:w="1701" w:type="dxa"/>
            <w:vAlign w:val="center"/>
          </w:tcPr>
          <w:p w14:paraId="0BF7A57C" w14:textId="77777777" w:rsidR="0089207C" w:rsidRPr="00AC3044" w:rsidRDefault="0089207C" w:rsidP="002D3EBF">
            <w:pPr>
              <w:rPr>
                <w:rFonts w:eastAsia="SimSun"/>
              </w:rPr>
            </w:pPr>
            <w:r w:rsidRPr="00AC3044">
              <w:rPr>
                <w:rFonts w:eastAsia="SimSun"/>
              </w:rPr>
              <w:t>Бусульфан</w:t>
            </w:r>
          </w:p>
        </w:tc>
        <w:tc>
          <w:tcPr>
            <w:tcW w:w="1559" w:type="dxa"/>
            <w:vAlign w:val="center"/>
          </w:tcPr>
          <w:p w14:paraId="36943135" w14:textId="77777777" w:rsidR="0089207C" w:rsidRPr="00AC3044" w:rsidRDefault="0089207C" w:rsidP="002D3EBF">
            <w:pPr>
              <w:rPr>
                <w:rFonts w:eastAsia="SimSun"/>
              </w:rPr>
            </w:pPr>
            <w:r w:rsidRPr="00AC3044">
              <w:rPr>
                <w:rFonts w:eastAsia="SimSun"/>
              </w:rPr>
              <w:t xml:space="preserve">4 мг/кг </w:t>
            </w:r>
          </w:p>
        </w:tc>
        <w:tc>
          <w:tcPr>
            <w:tcW w:w="1418" w:type="dxa"/>
            <w:vAlign w:val="center"/>
          </w:tcPr>
          <w:p w14:paraId="6E3089B4" w14:textId="77777777" w:rsidR="0089207C" w:rsidRPr="00AC3044" w:rsidRDefault="0089207C" w:rsidP="002D3EBF">
            <w:pPr>
              <w:rPr>
                <w:rFonts w:eastAsia="SimSun"/>
              </w:rPr>
            </w:pPr>
            <w:r w:rsidRPr="00AC3044">
              <w:rPr>
                <w:rFonts w:eastAsia="SimSun"/>
              </w:rPr>
              <w:t xml:space="preserve">10 мг/кг </w:t>
            </w:r>
          </w:p>
        </w:tc>
        <w:tc>
          <w:tcPr>
            <w:tcW w:w="1701" w:type="dxa"/>
            <w:vAlign w:val="center"/>
          </w:tcPr>
          <w:p w14:paraId="571FBB38" w14:textId="77777777" w:rsidR="0089207C" w:rsidRPr="00AC3044" w:rsidRDefault="0089207C" w:rsidP="002D3EBF">
            <w:pPr>
              <w:rPr>
                <w:rFonts w:eastAsia="SimSun"/>
              </w:rPr>
            </w:pPr>
            <w:r w:rsidRPr="00AC3044">
              <w:rPr>
                <w:rFonts w:eastAsia="SimSun"/>
              </w:rPr>
              <w:t>С -5 дня по -3 день</w:t>
            </w:r>
          </w:p>
        </w:tc>
        <w:tc>
          <w:tcPr>
            <w:tcW w:w="2268" w:type="dxa"/>
            <w:vAlign w:val="center"/>
          </w:tcPr>
          <w:p w14:paraId="775E44DB"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89207C" w:rsidRPr="00AC3044" w14:paraId="2DF74DC7" w14:textId="77777777" w:rsidTr="002D3EBF">
        <w:trPr>
          <w:cantSplit/>
          <w:trHeight w:val="368"/>
        </w:trPr>
        <w:tc>
          <w:tcPr>
            <w:tcW w:w="817" w:type="dxa"/>
            <w:vMerge w:val="restart"/>
            <w:textDirection w:val="btLr"/>
            <w:vAlign w:val="center"/>
          </w:tcPr>
          <w:p w14:paraId="561D6F60" w14:textId="77777777" w:rsidR="0089207C" w:rsidRPr="00AC3044" w:rsidRDefault="0089207C" w:rsidP="002D3EBF">
            <w:pPr>
              <w:rPr>
                <w:rFonts w:eastAsia="SimSun"/>
              </w:rPr>
            </w:pPr>
            <w:r w:rsidRPr="00AC3044">
              <w:rPr>
                <w:rFonts w:eastAsia="SimSun"/>
              </w:rPr>
              <w:t>Профилактика РТПХ</w:t>
            </w:r>
          </w:p>
        </w:tc>
        <w:tc>
          <w:tcPr>
            <w:tcW w:w="1701" w:type="dxa"/>
            <w:vAlign w:val="center"/>
          </w:tcPr>
          <w:p w14:paraId="42469569" w14:textId="77777777" w:rsidR="0089207C" w:rsidRPr="00AC3044" w:rsidRDefault="0089207C" w:rsidP="002D3EBF">
            <w:pPr>
              <w:rPr>
                <w:rFonts w:eastAsia="SimSun"/>
              </w:rPr>
            </w:pPr>
            <w:r w:rsidRPr="00AC3044">
              <w:rPr>
                <w:rFonts w:eastAsia="SimSun"/>
              </w:rPr>
              <w:t>Циклофосфамид</w:t>
            </w:r>
          </w:p>
        </w:tc>
        <w:tc>
          <w:tcPr>
            <w:tcW w:w="1559" w:type="dxa"/>
            <w:vAlign w:val="center"/>
          </w:tcPr>
          <w:p w14:paraId="28DEA753" w14:textId="77777777" w:rsidR="0089207C" w:rsidRPr="00AC3044" w:rsidRDefault="0089207C" w:rsidP="002D3EBF">
            <w:pPr>
              <w:rPr>
                <w:rFonts w:eastAsia="SimSun"/>
              </w:rPr>
            </w:pPr>
            <w:r w:rsidRPr="00AC3044">
              <w:rPr>
                <w:rFonts w:eastAsia="SimSun"/>
              </w:rPr>
              <w:t>50 мг/кг</w:t>
            </w:r>
          </w:p>
        </w:tc>
        <w:tc>
          <w:tcPr>
            <w:tcW w:w="1418" w:type="dxa"/>
            <w:vAlign w:val="center"/>
          </w:tcPr>
          <w:p w14:paraId="00C5EE41" w14:textId="77777777" w:rsidR="0089207C" w:rsidRPr="00AC3044" w:rsidRDefault="0089207C" w:rsidP="002D3EBF">
            <w:pPr>
              <w:rPr>
                <w:rFonts w:eastAsia="SimSun"/>
              </w:rPr>
            </w:pPr>
            <w:r w:rsidRPr="00AC3044">
              <w:rPr>
                <w:rFonts w:eastAsia="SimSun"/>
              </w:rPr>
              <w:t>100 мг/кг</w:t>
            </w:r>
          </w:p>
        </w:tc>
        <w:tc>
          <w:tcPr>
            <w:tcW w:w="1701" w:type="dxa"/>
            <w:vAlign w:val="center"/>
          </w:tcPr>
          <w:p w14:paraId="4451D196" w14:textId="77777777" w:rsidR="0089207C" w:rsidRPr="00AC3044" w:rsidRDefault="0089207C" w:rsidP="002D3EBF">
            <w:pPr>
              <w:rPr>
                <w:rFonts w:eastAsia="SimSun"/>
              </w:rPr>
            </w:pPr>
            <w:r w:rsidRPr="00AC3044">
              <w:rPr>
                <w:rFonts w:eastAsia="SimSun"/>
              </w:rPr>
              <w:t>С +3 дня по +4 день</w:t>
            </w:r>
          </w:p>
        </w:tc>
        <w:tc>
          <w:tcPr>
            <w:tcW w:w="2268" w:type="dxa"/>
            <w:vAlign w:val="center"/>
          </w:tcPr>
          <w:p w14:paraId="11E23426"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20C95997" w14:textId="77777777" w:rsidTr="002D3EBF">
        <w:trPr>
          <w:cantSplit/>
          <w:trHeight w:val="958"/>
        </w:trPr>
        <w:tc>
          <w:tcPr>
            <w:tcW w:w="817" w:type="dxa"/>
            <w:vMerge/>
            <w:textDirection w:val="btLr"/>
            <w:vAlign w:val="center"/>
          </w:tcPr>
          <w:p w14:paraId="036F9913" w14:textId="77777777" w:rsidR="0089207C" w:rsidRPr="00AC3044" w:rsidRDefault="0089207C" w:rsidP="002D3EBF">
            <w:pPr>
              <w:rPr>
                <w:rFonts w:eastAsia="SimSun"/>
              </w:rPr>
            </w:pPr>
          </w:p>
        </w:tc>
        <w:tc>
          <w:tcPr>
            <w:tcW w:w="1701" w:type="dxa"/>
            <w:vAlign w:val="center"/>
          </w:tcPr>
          <w:p w14:paraId="6B500FD8" w14:textId="77777777" w:rsidR="0089207C" w:rsidRPr="00AC3044" w:rsidRDefault="0089207C" w:rsidP="002D3EBF">
            <w:pPr>
              <w:rPr>
                <w:rFonts w:eastAsia="SimSun"/>
              </w:rPr>
            </w:pPr>
            <w:r w:rsidRPr="00AC3044">
              <w:rPr>
                <w:rFonts w:eastAsia="SimSun"/>
              </w:rPr>
              <w:t xml:space="preserve">Такролимус </w:t>
            </w:r>
          </w:p>
        </w:tc>
        <w:tc>
          <w:tcPr>
            <w:tcW w:w="1559" w:type="dxa"/>
            <w:vAlign w:val="center"/>
          </w:tcPr>
          <w:p w14:paraId="797CB62B" w14:textId="77777777" w:rsidR="0089207C" w:rsidRPr="00AC3044" w:rsidRDefault="0089207C" w:rsidP="002D3EBF">
            <w:pPr>
              <w:rPr>
                <w:rFonts w:eastAsia="SimSun"/>
              </w:rPr>
            </w:pPr>
            <w:r w:rsidRPr="00AC3044">
              <w:rPr>
                <w:rFonts w:eastAsia="SimSun"/>
              </w:rPr>
              <w:t>0,03 мг/кг</w:t>
            </w:r>
          </w:p>
        </w:tc>
        <w:tc>
          <w:tcPr>
            <w:tcW w:w="1418" w:type="dxa"/>
            <w:vAlign w:val="center"/>
          </w:tcPr>
          <w:p w14:paraId="4065949E" w14:textId="77777777" w:rsidR="0089207C" w:rsidRPr="00AC3044" w:rsidRDefault="0089207C" w:rsidP="002D3EBF">
            <w:pPr>
              <w:rPr>
                <w:rFonts w:eastAsia="SimSun"/>
              </w:rPr>
            </w:pPr>
            <w:r w:rsidRPr="00AC3044">
              <w:rPr>
                <w:rFonts w:eastAsia="SimSun"/>
              </w:rPr>
              <w:t>–</w:t>
            </w:r>
          </w:p>
        </w:tc>
        <w:tc>
          <w:tcPr>
            <w:tcW w:w="1701" w:type="dxa"/>
            <w:vAlign w:val="center"/>
          </w:tcPr>
          <w:p w14:paraId="14035B20" w14:textId="77777777" w:rsidR="0089207C" w:rsidRPr="00AC3044" w:rsidRDefault="0089207C" w:rsidP="002D3EBF">
            <w:pPr>
              <w:rPr>
                <w:rFonts w:eastAsia="SimSun"/>
              </w:rPr>
            </w:pPr>
            <w:r w:rsidRPr="00AC3044">
              <w:rPr>
                <w:rFonts w:eastAsia="SimSun"/>
              </w:rPr>
              <w:t xml:space="preserve">С +5 дня длительно </w:t>
            </w:r>
          </w:p>
        </w:tc>
        <w:tc>
          <w:tcPr>
            <w:tcW w:w="2268" w:type="dxa"/>
            <w:vAlign w:val="center"/>
          </w:tcPr>
          <w:p w14:paraId="5FCB996A" w14:textId="77777777" w:rsidR="0089207C" w:rsidRPr="00AC3044" w:rsidRDefault="0089207C" w:rsidP="002D3EBF">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9207C" w:rsidRPr="00AC3044" w14:paraId="58CA9E3F" w14:textId="77777777" w:rsidTr="002D3EBF">
        <w:trPr>
          <w:cantSplit/>
          <w:trHeight w:val="446"/>
        </w:trPr>
        <w:tc>
          <w:tcPr>
            <w:tcW w:w="817" w:type="dxa"/>
            <w:vMerge/>
            <w:textDirection w:val="btLr"/>
            <w:vAlign w:val="center"/>
          </w:tcPr>
          <w:p w14:paraId="677EC6C7" w14:textId="77777777" w:rsidR="0089207C" w:rsidRPr="00AC3044" w:rsidRDefault="0089207C" w:rsidP="002D3EBF">
            <w:pPr>
              <w:rPr>
                <w:rFonts w:eastAsia="SimSun"/>
              </w:rPr>
            </w:pPr>
          </w:p>
        </w:tc>
        <w:tc>
          <w:tcPr>
            <w:tcW w:w="1701" w:type="dxa"/>
            <w:vAlign w:val="center"/>
          </w:tcPr>
          <w:p w14:paraId="059CA0BB" w14:textId="77777777" w:rsidR="0089207C" w:rsidRPr="00AC3044" w:rsidRDefault="0089207C" w:rsidP="002D3EBF">
            <w:pPr>
              <w:rPr>
                <w:rFonts w:eastAsia="SimSun"/>
              </w:rPr>
            </w:pPr>
            <w:r w:rsidRPr="00AC3044">
              <w:rPr>
                <w:rFonts w:eastAsia="SimSun"/>
              </w:rPr>
              <w:t>Микофенолата мофетил</w:t>
            </w:r>
          </w:p>
        </w:tc>
        <w:tc>
          <w:tcPr>
            <w:tcW w:w="1559" w:type="dxa"/>
            <w:vAlign w:val="center"/>
          </w:tcPr>
          <w:p w14:paraId="64CED0A4" w14:textId="77777777" w:rsidR="0089207C" w:rsidRPr="00AC3044" w:rsidRDefault="0089207C" w:rsidP="002D3EBF">
            <w:pPr>
              <w:rPr>
                <w:rFonts w:eastAsia="SimSun"/>
              </w:rPr>
            </w:pPr>
            <w:r w:rsidRPr="00AC3044">
              <w:rPr>
                <w:rFonts w:eastAsia="SimSun"/>
              </w:rPr>
              <w:t xml:space="preserve">30 мг/кг </w:t>
            </w:r>
          </w:p>
        </w:tc>
        <w:tc>
          <w:tcPr>
            <w:tcW w:w="1418" w:type="dxa"/>
            <w:vAlign w:val="center"/>
          </w:tcPr>
          <w:p w14:paraId="6D2711F2" w14:textId="77777777" w:rsidR="0089207C" w:rsidRPr="00AC3044" w:rsidRDefault="0089207C" w:rsidP="002D3EBF">
            <w:pPr>
              <w:rPr>
                <w:rFonts w:eastAsia="SimSun"/>
              </w:rPr>
            </w:pPr>
            <w:r w:rsidRPr="00AC3044">
              <w:rPr>
                <w:rFonts w:eastAsia="SimSun"/>
              </w:rPr>
              <w:t>–</w:t>
            </w:r>
          </w:p>
        </w:tc>
        <w:tc>
          <w:tcPr>
            <w:tcW w:w="1701" w:type="dxa"/>
            <w:vAlign w:val="center"/>
          </w:tcPr>
          <w:p w14:paraId="0EE8601C" w14:textId="77777777" w:rsidR="0089207C" w:rsidRPr="00AC3044" w:rsidRDefault="0089207C" w:rsidP="002D3EBF">
            <w:pPr>
              <w:rPr>
                <w:rFonts w:eastAsia="SimSun"/>
              </w:rPr>
            </w:pPr>
            <w:r w:rsidRPr="00AC3044">
              <w:rPr>
                <w:rFonts w:eastAsia="SimSun"/>
              </w:rPr>
              <w:t xml:space="preserve">С +5 дня по +35 день </w:t>
            </w:r>
          </w:p>
        </w:tc>
        <w:tc>
          <w:tcPr>
            <w:tcW w:w="2268" w:type="dxa"/>
            <w:vAlign w:val="center"/>
          </w:tcPr>
          <w:p w14:paraId="03BBDAEE" w14:textId="77777777" w:rsidR="0089207C" w:rsidRPr="00AC3044" w:rsidRDefault="0089207C" w:rsidP="002D3EBF">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7025C328" w14:textId="77777777" w:rsidR="0089207C" w:rsidRDefault="0089207C" w:rsidP="0089207C">
      <w:pPr>
        <w:rPr>
          <w:rFonts w:eastAsia="SimSun"/>
        </w:rPr>
      </w:pPr>
      <w:bookmarkStart w:id="260" w:name="_Toc44401214"/>
    </w:p>
    <w:p w14:paraId="73BCC16D" w14:textId="77777777" w:rsidR="0089207C" w:rsidRPr="00C07B2E" w:rsidRDefault="0089207C" w:rsidP="0089207C">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2.2.14  – Flu180+Bu10 / PT-Cy+Ruxo</w:t>
      </w:r>
      <w:bookmarkEnd w:id="26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89207C" w:rsidRPr="00AC3044" w14:paraId="6B30EE92" w14:textId="77777777" w:rsidTr="002D3EBF">
        <w:trPr>
          <w:cantSplit/>
          <w:trHeight w:val="20"/>
          <w:tblHeader/>
        </w:trPr>
        <w:tc>
          <w:tcPr>
            <w:tcW w:w="817" w:type="dxa"/>
            <w:vAlign w:val="center"/>
          </w:tcPr>
          <w:p w14:paraId="2B556205" w14:textId="77777777" w:rsidR="0089207C" w:rsidRPr="00470D3D" w:rsidRDefault="0089207C" w:rsidP="002D3EBF">
            <w:pPr>
              <w:rPr>
                <w:rFonts w:eastAsia="SimSun"/>
              </w:rPr>
            </w:pPr>
          </w:p>
        </w:tc>
        <w:tc>
          <w:tcPr>
            <w:tcW w:w="1701" w:type="dxa"/>
            <w:vAlign w:val="center"/>
          </w:tcPr>
          <w:p w14:paraId="059E1131" w14:textId="77777777" w:rsidR="0089207C" w:rsidRPr="00AC3044" w:rsidRDefault="0089207C" w:rsidP="002D3EBF">
            <w:pPr>
              <w:rPr>
                <w:rFonts w:eastAsia="SimSun"/>
              </w:rPr>
            </w:pPr>
            <w:r w:rsidRPr="00AC3044">
              <w:rPr>
                <w:rFonts w:eastAsia="SimSun"/>
              </w:rPr>
              <w:t>Препарат</w:t>
            </w:r>
          </w:p>
        </w:tc>
        <w:tc>
          <w:tcPr>
            <w:tcW w:w="1559" w:type="dxa"/>
            <w:vAlign w:val="center"/>
          </w:tcPr>
          <w:p w14:paraId="1C064132" w14:textId="77777777" w:rsidR="0089207C" w:rsidRPr="00AC3044" w:rsidRDefault="0089207C" w:rsidP="002D3EBF">
            <w:pPr>
              <w:rPr>
                <w:rFonts w:eastAsia="SimSun"/>
              </w:rPr>
            </w:pPr>
            <w:r w:rsidRPr="00AC3044">
              <w:rPr>
                <w:rFonts w:eastAsia="SimSun"/>
              </w:rPr>
              <w:t>Суточная доза</w:t>
            </w:r>
          </w:p>
        </w:tc>
        <w:tc>
          <w:tcPr>
            <w:tcW w:w="1418" w:type="dxa"/>
            <w:vAlign w:val="center"/>
          </w:tcPr>
          <w:p w14:paraId="36FFDE13" w14:textId="77777777" w:rsidR="0089207C" w:rsidRPr="00AC3044" w:rsidRDefault="0089207C" w:rsidP="002D3EBF">
            <w:pPr>
              <w:rPr>
                <w:rFonts w:eastAsia="SimSun"/>
              </w:rPr>
            </w:pPr>
            <w:r w:rsidRPr="00AC3044">
              <w:rPr>
                <w:rFonts w:eastAsia="SimSun"/>
              </w:rPr>
              <w:t>Курсовая доза</w:t>
            </w:r>
          </w:p>
        </w:tc>
        <w:tc>
          <w:tcPr>
            <w:tcW w:w="1701" w:type="dxa"/>
            <w:vAlign w:val="center"/>
          </w:tcPr>
          <w:p w14:paraId="10F7609D"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7D42151D"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7A8EBAFC" w14:textId="77777777" w:rsidTr="002D3EBF">
        <w:trPr>
          <w:cantSplit/>
          <w:trHeight w:val="20"/>
        </w:trPr>
        <w:tc>
          <w:tcPr>
            <w:tcW w:w="817" w:type="dxa"/>
            <w:vMerge w:val="restart"/>
            <w:textDirection w:val="btLr"/>
            <w:vAlign w:val="center"/>
          </w:tcPr>
          <w:p w14:paraId="4F3D4CC0" w14:textId="77777777" w:rsidR="0089207C" w:rsidRPr="00AC3044" w:rsidRDefault="0089207C" w:rsidP="002D3EBF">
            <w:pPr>
              <w:rPr>
                <w:rFonts w:eastAsia="SimSun"/>
              </w:rPr>
            </w:pPr>
            <w:r w:rsidRPr="00AC3044">
              <w:rPr>
                <w:rFonts w:eastAsia="SimSun"/>
              </w:rPr>
              <w:t>Кондиционирование</w:t>
            </w:r>
          </w:p>
        </w:tc>
        <w:tc>
          <w:tcPr>
            <w:tcW w:w="1701" w:type="dxa"/>
            <w:vAlign w:val="center"/>
          </w:tcPr>
          <w:p w14:paraId="7DB6495F" w14:textId="77777777" w:rsidR="0089207C" w:rsidRPr="00AC3044" w:rsidRDefault="0089207C" w:rsidP="002D3EBF">
            <w:pPr>
              <w:rPr>
                <w:rFonts w:eastAsia="SimSun"/>
              </w:rPr>
            </w:pPr>
            <w:r w:rsidRPr="00AC3044">
              <w:rPr>
                <w:rFonts w:eastAsia="SimSun"/>
              </w:rPr>
              <w:t xml:space="preserve">Флударабин </w:t>
            </w:r>
          </w:p>
        </w:tc>
        <w:tc>
          <w:tcPr>
            <w:tcW w:w="1559" w:type="dxa"/>
            <w:vAlign w:val="center"/>
          </w:tcPr>
          <w:p w14:paraId="5529C9BB" w14:textId="77777777" w:rsidR="0089207C" w:rsidRPr="00AC3044" w:rsidRDefault="0089207C" w:rsidP="002D3EBF">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3F2CED77" w14:textId="77777777" w:rsidR="0089207C" w:rsidRPr="00AC3044" w:rsidRDefault="0089207C" w:rsidP="002D3EBF">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399EC29A" w14:textId="77777777" w:rsidR="0089207C" w:rsidRPr="00AC3044" w:rsidRDefault="0089207C" w:rsidP="002D3EBF">
            <w:pPr>
              <w:rPr>
                <w:rFonts w:eastAsia="SimSun"/>
              </w:rPr>
            </w:pPr>
            <w:r w:rsidRPr="00AC3044">
              <w:rPr>
                <w:rFonts w:eastAsia="SimSun"/>
              </w:rPr>
              <w:t>С -7 дня по -2 день</w:t>
            </w:r>
          </w:p>
        </w:tc>
        <w:tc>
          <w:tcPr>
            <w:tcW w:w="2268" w:type="dxa"/>
            <w:vAlign w:val="center"/>
          </w:tcPr>
          <w:p w14:paraId="1A9C55A8"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4E6FA9AA" w14:textId="77777777" w:rsidTr="002D3EBF">
        <w:trPr>
          <w:cantSplit/>
          <w:trHeight w:val="1207"/>
        </w:trPr>
        <w:tc>
          <w:tcPr>
            <w:tcW w:w="817" w:type="dxa"/>
            <w:vMerge/>
            <w:vAlign w:val="center"/>
          </w:tcPr>
          <w:p w14:paraId="50A85526" w14:textId="77777777" w:rsidR="0089207C" w:rsidRPr="00AC3044" w:rsidRDefault="0089207C" w:rsidP="002D3EBF">
            <w:pPr>
              <w:rPr>
                <w:rFonts w:eastAsia="SimSun"/>
              </w:rPr>
            </w:pPr>
          </w:p>
        </w:tc>
        <w:tc>
          <w:tcPr>
            <w:tcW w:w="1701" w:type="dxa"/>
            <w:vAlign w:val="center"/>
          </w:tcPr>
          <w:p w14:paraId="64D77988" w14:textId="77777777" w:rsidR="0089207C" w:rsidRPr="00AC3044" w:rsidRDefault="0089207C" w:rsidP="002D3EBF">
            <w:pPr>
              <w:rPr>
                <w:rFonts w:eastAsia="SimSun"/>
              </w:rPr>
            </w:pPr>
            <w:r w:rsidRPr="00AC3044">
              <w:rPr>
                <w:rFonts w:eastAsia="SimSun"/>
              </w:rPr>
              <w:t>Бусульфан</w:t>
            </w:r>
          </w:p>
        </w:tc>
        <w:tc>
          <w:tcPr>
            <w:tcW w:w="1559" w:type="dxa"/>
            <w:vAlign w:val="center"/>
          </w:tcPr>
          <w:p w14:paraId="395E315F" w14:textId="77777777" w:rsidR="0089207C" w:rsidRPr="00AC3044" w:rsidRDefault="0089207C" w:rsidP="002D3EBF">
            <w:pPr>
              <w:rPr>
                <w:rFonts w:eastAsia="SimSun"/>
              </w:rPr>
            </w:pPr>
            <w:r w:rsidRPr="00AC3044">
              <w:rPr>
                <w:rFonts w:eastAsia="SimSun"/>
              </w:rPr>
              <w:t xml:space="preserve">4 мг/кг </w:t>
            </w:r>
          </w:p>
        </w:tc>
        <w:tc>
          <w:tcPr>
            <w:tcW w:w="1418" w:type="dxa"/>
            <w:vAlign w:val="center"/>
          </w:tcPr>
          <w:p w14:paraId="6D98D09E" w14:textId="77777777" w:rsidR="0089207C" w:rsidRPr="00AC3044" w:rsidRDefault="0089207C" w:rsidP="002D3EBF">
            <w:pPr>
              <w:rPr>
                <w:rFonts w:eastAsia="SimSun"/>
              </w:rPr>
            </w:pPr>
            <w:r w:rsidRPr="00AC3044">
              <w:rPr>
                <w:rFonts w:eastAsia="SimSun"/>
              </w:rPr>
              <w:t xml:space="preserve">10 мг/кг </w:t>
            </w:r>
          </w:p>
        </w:tc>
        <w:tc>
          <w:tcPr>
            <w:tcW w:w="1701" w:type="dxa"/>
            <w:vAlign w:val="center"/>
          </w:tcPr>
          <w:p w14:paraId="1A8825B4" w14:textId="77777777" w:rsidR="0089207C" w:rsidRPr="00AC3044" w:rsidRDefault="0089207C" w:rsidP="002D3EBF">
            <w:pPr>
              <w:rPr>
                <w:rFonts w:eastAsia="SimSun"/>
              </w:rPr>
            </w:pPr>
            <w:r w:rsidRPr="00AC3044">
              <w:rPr>
                <w:rFonts w:eastAsia="SimSun"/>
              </w:rPr>
              <w:t>С -5 дня по -3 день</w:t>
            </w:r>
          </w:p>
        </w:tc>
        <w:tc>
          <w:tcPr>
            <w:tcW w:w="2268" w:type="dxa"/>
            <w:vAlign w:val="center"/>
          </w:tcPr>
          <w:p w14:paraId="741B17DF"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89207C" w:rsidRPr="00AC3044" w14:paraId="719B8D85" w14:textId="77777777" w:rsidTr="002D3EBF">
        <w:trPr>
          <w:cantSplit/>
          <w:trHeight w:val="716"/>
        </w:trPr>
        <w:tc>
          <w:tcPr>
            <w:tcW w:w="817" w:type="dxa"/>
            <w:vMerge w:val="restart"/>
            <w:textDirection w:val="btLr"/>
            <w:vAlign w:val="center"/>
          </w:tcPr>
          <w:p w14:paraId="2CCCCF14" w14:textId="77777777" w:rsidR="0089207C" w:rsidRPr="00AC3044" w:rsidRDefault="0089207C" w:rsidP="002D3EBF">
            <w:pPr>
              <w:rPr>
                <w:rFonts w:eastAsia="SimSun"/>
              </w:rPr>
            </w:pPr>
            <w:r w:rsidRPr="00AC3044">
              <w:rPr>
                <w:rFonts w:eastAsia="SimSun"/>
              </w:rPr>
              <w:t>Профилактика РТПХ</w:t>
            </w:r>
          </w:p>
        </w:tc>
        <w:tc>
          <w:tcPr>
            <w:tcW w:w="1701" w:type="dxa"/>
            <w:vAlign w:val="center"/>
          </w:tcPr>
          <w:p w14:paraId="4830F075" w14:textId="77777777" w:rsidR="0089207C" w:rsidRPr="00AC3044" w:rsidRDefault="0089207C" w:rsidP="002D3EBF">
            <w:pPr>
              <w:rPr>
                <w:rFonts w:eastAsia="SimSun"/>
              </w:rPr>
            </w:pPr>
            <w:r w:rsidRPr="00AC3044">
              <w:rPr>
                <w:rFonts w:eastAsia="SimSun"/>
              </w:rPr>
              <w:t>Циклофосфамид</w:t>
            </w:r>
          </w:p>
        </w:tc>
        <w:tc>
          <w:tcPr>
            <w:tcW w:w="1559" w:type="dxa"/>
            <w:vAlign w:val="center"/>
          </w:tcPr>
          <w:p w14:paraId="18858934" w14:textId="77777777" w:rsidR="0089207C" w:rsidRPr="00AC3044" w:rsidRDefault="0089207C" w:rsidP="002D3EBF">
            <w:pPr>
              <w:rPr>
                <w:rFonts w:eastAsia="SimSun"/>
              </w:rPr>
            </w:pPr>
            <w:r w:rsidRPr="00AC3044">
              <w:rPr>
                <w:rFonts w:eastAsia="SimSun"/>
              </w:rPr>
              <w:t>50 мг/кг</w:t>
            </w:r>
          </w:p>
        </w:tc>
        <w:tc>
          <w:tcPr>
            <w:tcW w:w="1418" w:type="dxa"/>
            <w:vAlign w:val="center"/>
          </w:tcPr>
          <w:p w14:paraId="55ED5B6B" w14:textId="77777777" w:rsidR="0089207C" w:rsidRPr="00AC3044" w:rsidRDefault="0089207C" w:rsidP="002D3EBF">
            <w:pPr>
              <w:rPr>
                <w:rFonts w:eastAsia="SimSun"/>
              </w:rPr>
            </w:pPr>
            <w:r w:rsidRPr="00AC3044">
              <w:rPr>
                <w:rFonts w:eastAsia="SimSun"/>
              </w:rPr>
              <w:t>100 мг/кг</w:t>
            </w:r>
          </w:p>
        </w:tc>
        <w:tc>
          <w:tcPr>
            <w:tcW w:w="1701" w:type="dxa"/>
            <w:vAlign w:val="center"/>
          </w:tcPr>
          <w:p w14:paraId="0DD8F54F" w14:textId="77777777" w:rsidR="0089207C" w:rsidRPr="00AC3044" w:rsidRDefault="0089207C" w:rsidP="002D3EBF">
            <w:pPr>
              <w:rPr>
                <w:rFonts w:eastAsia="SimSun"/>
              </w:rPr>
            </w:pPr>
            <w:r w:rsidRPr="00AC3044">
              <w:rPr>
                <w:rFonts w:eastAsia="SimSun"/>
              </w:rPr>
              <w:t>С +3 дня по +4 день</w:t>
            </w:r>
          </w:p>
        </w:tc>
        <w:tc>
          <w:tcPr>
            <w:tcW w:w="2268" w:type="dxa"/>
            <w:vAlign w:val="center"/>
          </w:tcPr>
          <w:p w14:paraId="57479E95"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266E6D73" w14:textId="77777777" w:rsidTr="002D3EBF">
        <w:trPr>
          <w:cantSplit/>
          <w:trHeight w:val="574"/>
        </w:trPr>
        <w:tc>
          <w:tcPr>
            <w:tcW w:w="817" w:type="dxa"/>
            <w:vMerge/>
            <w:textDirection w:val="btLr"/>
            <w:vAlign w:val="center"/>
          </w:tcPr>
          <w:p w14:paraId="77912DE2" w14:textId="77777777" w:rsidR="0089207C" w:rsidRPr="00AC3044" w:rsidRDefault="0089207C" w:rsidP="002D3EBF">
            <w:pPr>
              <w:rPr>
                <w:rFonts w:eastAsia="SimSun"/>
              </w:rPr>
            </w:pPr>
          </w:p>
        </w:tc>
        <w:tc>
          <w:tcPr>
            <w:tcW w:w="1701" w:type="dxa"/>
            <w:vAlign w:val="center"/>
          </w:tcPr>
          <w:p w14:paraId="179A4000" w14:textId="77777777" w:rsidR="0089207C" w:rsidRPr="00AC3044" w:rsidRDefault="0089207C" w:rsidP="002D3EBF">
            <w:pPr>
              <w:rPr>
                <w:rFonts w:eastAsia="SimSun"/>
              </w:rPr>
            </w:pPr>
            <w:r w:rsidRPr="00AC3044">
              <w:rPr>
                <w:rFonts w:eastAsia="SimSun"/>
              </w:rPr>
              <w:t>Руксолитиниб</w:t>
            </w:r>
          </w:p>
        </w:tc>
        <w:tc>
          <w:tcPr>
            <w:tcW w:w="1559" w:type="dxa"/>
            <w:vAlign w:val="center"/>
          </w:tcPr>
          <w:p w14:paraId="1395EE15" w14:textId="77777777" w:rsidR="0089207C" w:rsidRPr="00AC3044" w:rsidRDefault="0089207C" w:rsidP="002D3EBF">
            <w:pPr>
              <w:rPr>
                <w:rFonts w:eastAsia="SimSun"/>
              </w:rPr>
            </w:pPr>
            <w:r w:rsidRPr="00AC3044">
              <w:rPr>
                <w:rFonts w:eastAsia="SimSun"/>
              </w:rPr>
              <w:t>45 мг</w:t>
            </w:r>
          </w:p>
        </w:tc>
        <w:tc>
          <w:tcPr>
            <w:tcW w:w="1418" w:type="dxa"/>
            <w:vAlign w:val="center"/>
          </w:tcPr>
          <w:p w14:paraId="79DB6A4D" w14:textId="77777777" w:rsidR="0089207C" w:rsidRPr="00AC3044" w:rsidRDefault="0089207C" w:rsidP="002D3EBF">
            <w:pPr>
              <w:rPr>
                <w:rFonts w:eastAsia="SimSun"/>
              </w:rPr>
            </w:pPr>
            <w:r w:rsidRPr="00AC3044">
              <w:rPr>
                <w:rFonts w:eastAsia="SimSun"/>
              </w:rPr>
              <w:t>270 мг</w:t>
            </w:r>
          </w:p>
        </w:tc>
        <w:tc>
          <w:tcPr>
            <w:tcW w:w="1701" w:type="dxa"/>
            <w:vAlign w:val="center"/>
          </w:tcPr>
          <w:p w14:paraId="718A0188" w14:textId="77777777" w:rsidR="0089207C" w:rsidRPr="00AC3044" w:rsidRDefault="0089207C" w:rsidP="002D3EBF">
            <w:pPr>
              <w:rPr>
                <w:rFonts w:eastAsia="SimSun"/>
              </w:rPr>
            </w:pPr>
            <w:r w:rsidRPr="00AC3044">
              <w:rPr>
                <w:rFonts w:eastAsia="SimSun"/>
              </w:rPr>
              <w:t xml:space="preserve">С -7 дня по -2 день </w:t>
            </w:r>
          </w:p>
        </w:tc>
        <w:tc>
          <w:tcPr>
            <w:tcW w:w="2268" w:type="dxa"/>
            <w:vAlign w:val="center"/>
          </w:tcPr>
          <w:p w14:paraId="5669BE75" w14:textId="77777777" w:rsidR="0089207C" w:rsidRPr="00AC3044" w:rsidRDefault="0089207C" w:rsidP="002D3EBF">
            <w:pPr>
              <w:rPr>
                <w:rFonts w:eastAsia="SimSun"/>
              </w:rPr>
            </w:pPr>
            <w:r w:rsidRPr="00AC3044">
              <w:rPr>
                <w:rFonts w:eastAsia="SimSun"/>
              </w:rPr>
              <w:t xml:space="preserve">Внутрь суточную дозу </w:t>
            </w:r>
          </w:p>
          <w:p w14:paraId="31BC78AE" w14:textId="77777777" w:rsidR="0089207C" w:rsidRPr="00AC3044" w:rsidRDefault="0089207C" w:rsidP="002D3EBF">
            <w:pPr>
              <w:rPr>
                <w:rFonts w:eastAsia="SimSun"/>
              </w:rPr>
            </w:pPr>
            <w:r w:rsidRPr="00AC3044">
              <w:rPr>
                <w:rFonts w:eastAsia="SimSun"/>
              </w:rPr>
              <w:t>за 3 приема</w:t>
            </w:r>
          </w:p>
        </w:tc>
      </w:tr>
      <w:tr w:rsidR="0089207C" w:rsidRPr="00AC3044" w14:paraId="4B730477" w14:textId="77777777" w:rsidTr="002D3EBF">
        <w:trPr>
          <w:cantSplit/>
          <w:trHeight w:val="498"/>
        </w:trPr>
        <w:tc>
          <w:tcPr>
            <w:tcW w:w="817" w:type="dxa"/>
            <w:vMerge/>
            <w:textDirection w:val="btLr"/>
            <w:vAlign w:val="center"/>
          </w:tcPr>
          <w:p w14:paraId="75699E21" w14:textId="77777777" w:rsidR="0089207C" w:rsidRPr="00AC3044" w:rsidRDefault="0089207C" w:rsidP="002D3EBF">
            <w:pPr>
              <w:rPr>
                <w:rFonts w:eastAsia="SimSun"/>
              </w:rPr>
            </w:pPr>
          </w:p>
        </w:tc>
        <w:tc>
          <w:tcPr>
            <w:tcW w:w="1701" w:type="dxa"/>
            <w:vAlign w:val="center"/>
          </w:tcPr>
          <w:p w14:paraId="6FE45185" w14:textId="77777777" w:rsidR="0089207C" w:rsidRPr="00AC3044" w:rsidRDefault="0089207C" w:rsidP="002D3EBF">
            <w:pPr>
              <w:rPr>
                <w:rFonts w:eastAsia="SimSun"/>
              </w:rPr>
            </w:pPr>
            <w:r w:rsidRPr="00AC3044">
              <w:rPr>
                <w:rFonts w:eastAsia="SimSun"/>
              </w:rPr>
              <w:t xml:space="preserve">Руксолитиниб </w:t>
            </w:r>
          </w:p>
        </w:tc>
        <w:tc>
          <w:tcPr>
            <w:tcW w:w="1559" w:type="dxa"/>
            <w:vAlign w:val="center"/>
          </w:tcPr>
          <w:p w14:paraId="25184D22" w14:textId="77777777" w:rsidR="0089207C" w:rsidRPr="00AC3044" w:rsidRDefault="0089207C" w:rsidP="002D3EBF">
            <w:pPr>
              <w:rPr>
                <w:rFonts w:eastAsia="SimSun"/>
              </w:rPr>
            </w:pPr>
            <w:r w:rsidRPr="00AC3044">
              <w:rPr>
                <w:rFonts w:eastAsia="SimSun"/>
              </w:rPr>
              <w:t>15 мг</w:t>
            </w:r>
          </w:p>
        </w:tc>
        <w:tc>
          <w:tcPr>
            <w:tcW w:w="1418" w:type="dxa"/>
            <w:vAlign w:val="center"/>
          </w:tcPr>
          <w:p w14:paraId="3053E7E5" w14:textId="77777777" w:rsidR="0089207C" w:rsidRPr="00AC3044" w:rsidRDefault="0089207C" w:rsidP="002D3EBF">
            <w:pPr>
              <w:rPr>
                <w:rFonts w:eastAsia="SimSun"/>
              </w:rPr>
            </w:pPr>
            <w:r w:rsidRPr="00AC3044">
              <w:rPr>
                <w:rFonts w:eastAsia="SimSun"/>
              </w:rPr>
              <w:t>-</w:t>
            </w:r>
          </w:p>
        </w:tc>
        <w:tc>
          <w:tcPr>
            <w:tcW w:w="1701" w:type="dxa"/>
            <w:vAlign w:val="center"/>
          </w:tcPr>
          <w:p w14:paraId="1DF40E2A" w14:textId="77777777" w:rsidR="0089207C" w:rsidRPr="00AC3044" w:rsidRDefault="0089207C" w:rsidP="002D3EBF">
            <w:pPr>
              <w:rPr>
                <w:rFonts w:eastAsia="SimSun"/>
              </w:rPr>
            </w:pPr>
            <w:r w:rsidRPr="00AC3044">
              <w:rPr>
                <w:rFonts w:eastAsia="SimSun"/>
              </w:rPr>
              <w:t>С +5 дня по +100 день</w:t>
            </w:r>
          </w:p>
        </w:tc>
        <w:tc>
          <w:tcPr>
            <w:tcW w:w="2268" w:type="dxa"/>
            <w:vAlign w:val="center"/>
          </w:tcPr>
          <w:p w14:paraId="36D03028" w14:textId="77777777" w:rsidR="0089207C" w:rsidRPr="00AC3044" w:rsidRDefault="0089207C" w:rsidP="002D3EBF">
            <w:pPr>
              <w:rPr>
                <w:rFonts w:eastAsia="SimSun"/>
              </w:rPr>
            </w:pPr>
            <w:r w:rsidRPr="00AC3044">
              <w:rPr>
                <w:rFonts w:eastAsia="SimSun"/>
              </w:rPr>
              <w:t xml:space="preserve">Внутрь суточную дозу </w:t>
            </w:r>
          </w:p>
          <w:p w14:paraId="6BD452A2" w14:textId="77777777" w:rsidR="0089207C" w:rsidRPr="00AC3044" w:rsidRDefault="0089207C" w:rsidP="002D3EBF">
            <w:pPr>
              <w:rPr>
                <w:rFonts w:eastAsia="SimSun"/>
              </w:rPr>
            </w:pPr>
            <w:r w:rsidRPr="00AC3044">
              <w:rPr>
                <w:rFonts w:eastAsia="SimSun"/>
              </w:rPr>
              <w:t>за 2 приема</w:t>
            </w:r>
          </w:p>
        </w:tc>
      </w:tr>
    </w:tbl>
    <w:p w14:paraId="167F2D90" w14:textId="77777777" w:rsidR="0089207C" w:rsidRDefault="0089207C" w:rsidP="0089207C">
      <w:pPr>
        <w:rPr>
          <w:rFonts w:eastAsia="SimSun"/>
        </w:rPr>
      </w:pPr>
      <w:bookmarkStart w:id="261" w:name="_Toc44401215"/>
    </w:p>
    <w:p w14:paraId="2803A91B" w14:textId="77777777" w:rsidR="0089207C" w:rsidRPr="00C07B2E" w:rsidRDefault="0089207C" w:rsidP="0089207C">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2.2.15  – Flu90+Benda / PT-Cy+Tx+MMF30</w:t>
      </w:r>
      <w:bookmarkEnd w:id="26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89207C" w:rsidRPr="00AC3044" w14:paraId="0BA6AE72" w14:textId="77777777" w:rsidTr="002D3EBF">
        <w:trPr>
          <w:cantSplit/>
          <w:trHeight w:val="20"/>
          <w:tblHeader/>
        </w:trPr>
        <w:tc>
          <w:tcPr>
            <w:tcW w:w="817" w:type="dxa"/>
            <w:vAlign w:val="center"/>
          </w:tcPr>
          <w:p w14:paraId="2F7B48B3" w14:textId="77777777" w:rsidR="0089207C" w:rsidRPr="00AC3044" w:rsidRDefault="0089207C" w:rsidP="002D3EBF">
            <w:pPr>
              <w:rPr>
                <w:rFonts w:eastAsia="SimSun"/>
              </w:rPr>
            </w:pPr>
          </w:p>
        </w:tc>
        <w:tc>
          <w:tcPr>
            <w:tcW w:w="1701" w:type="dxa"/>
            <w:vAlign w:val="center"/>
          </w:tcPr>
          <w:p w14:paraId="27A0D757" w14:textId="77777777" w:rsidR="0089207C" w:rsidRPr="00AC3044" w:rsidRDefault="0089207C" w:rsidP="002D3EBF">
            <w:pPr>
              <w:rPr>
                <w:rFonts w:eastAsia="SimSun"/>
              </w:rPr>
            </w:pPr>
            <w:r w:rsidRPr="00AC3044">
              <w:rPr>
                <w:rFonts w:eastAsia="SimSun"/>
              </w:rPr>
              <w:t>Препарат</w:t>
            </w:r>
          </w:p>
        </w:tc>
        <w:tc>
          <w:tcPr>
            <w:tcW w:w="1559" w:type="dxa"/>
            <w:vAlign w:val="center"/>
          </w:tcPr>
          <w:p w14:paraId="6071F60D" w14:textId="77777777" w:rsidR="0089207C" w:rsidRPr="00AC3044" w:rsidRDefault="0089207C" w:rsidP="002D3EBF">
            <w:pPr>
              <w:rPr>
                <w:rFonts w:eastAsia="SimSun"/>
              </w:rPr>
            </w:pPr>
            <w:r w:rsidRPr="00AC3044">
              <w:rPr>
                <w:rFonts w:eastAsia="SimSun"/>
              </w:rPr>
              <w:t>Суточная доза</w:t>
            </w:r>
          </w:p>
        </w:tc>
        <w:tc>
          <w:tcPr>
            <w:tcW w:w="1418" w:type="dxa"/>
            <w:vAlign w:val="center"/>
          </w:tcPr>
          <w:p w14:paraId="0EF93B93" w14:textId="77777777" w:rsidR="0089207C" w:rsidRPr="00AC3044" w:rsidRDefault="0089207C" w:rsidP="002D3EBF">
            <w:pPr>
              <w:rPr>
                <w:rFonts w:eastAsia="SimSun"/>
              </w:rPr>
            </w:pPr>
            <w:r w:rsidRPr="00AC3044">
              <w:rPr>
                <w:rFonts w:eastAsia="SimSun"/>
              </w:rPr>
              <w:t>Курсовая доза</w:t>
            </w:r>
          </w:p>
        </w:tc>
        <w:tc>
          <w:tcPr>
            <w:tcW w:w="1701" w:type="dxa"/>
            <w:vAlign w:val="center"/>
          </w:tcPr>
          <w:p w14:paraId="0A6F2AA2"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65C32D1D"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7C445C5D" w14:textId="77777777" w:rsidTr="002D3EBF">
        <w:trPr>
          <w:cantSplit/>
          <w:trHeight w:val="20"/>
        </w:trPr>
        <w:tc>
          <w:tcPr>
            <w:tcW w:w="817" w:type="dxa"/>
            <w:vMerge w:val="restart"/>
            <w:textDirection w:val="btLr"/>
            <w:vAlign w:val="center"/>
          </w:tcPr>
          <w:p w14:paraId="147EF706" w14:textId="77777777" w:rsidR="0089207C" w:rsidRPr="00AC3044" w:rsidRDefault="0089207C" w:rsidP="002D3EBF">
            <w:pPr>
              <w:rPr>
                <w:rFonts w:eastAsia="SimSun"/>
              </w:rPr>
            </w:pPr>
            <w:r w:rsidRPr="00AC3044">
              <w:rPr>
                <w:rFonts w:eastAsia="SimSun"/>
              </w:rPr>
              <w:t>Кондиционирование</w:t>
            </w:r>
          </w:p>
        </w:tc>
        <w:tc>
          <w:tcPr>
            <w:tcW w:w="1701" w:type="dxa"/>
            <w:vAlign w:val="center"/>
          </w:tcPr>
          <w:p w14:paraId="65D77014" w14:textId="77777777" w:rsidR="0089207C" w:rsidRPr="00AC3044" w:rsidRDefault="0089207C" w:rsidP="002D3EBF">
            <w:pPr>
              <w:rPr>
                <w:rFonts w:eastAsia="SimSun"/>
              </w:rPr>
            </w:pPr>
            <w:r w:rsidRPr="00AC3044">
              <w:rPr>
                <w:rFonts w:eastAsia="SimSun"/>
              </w:rPr>
              <w:t xml:space="preserve">Флударабин </w:t>
            </w:r>
          </w:p>
        </w:tc>
        <w:tc>
          <w:tcPr>
            <w:tcW w:w="1559" w:type="dxa"/>
            <w:vAlign w:val="center"/>
          </w:tcPr>
          <w:p w14:paraId="14F3935F" w14:textId="77777777" w:rsidR="0089207C" w:rsidRPr="00AC3044" w:rsidRDefault="0089207C" w:rsidP="002D3EBF">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5F6970C3" w14:textId="77777777" w:rsidR="0089207C" w:rsidRPr="00AC3044" w:rsidRDefault="0089207C" w:rsidP="002D3EBF">
            <w:pPr>
              <w:rPr>
                <w:rFonts w:eastAsia="SimSun"/>
              </w:rPr>
            </w:pPr>
            <w:r w:rsidRPr="00AC3044">
              <w:rPr>
                <w:rFonts w:eastAsia="SimSun"/>
              </w:rPr>
              <w:t>90 мг/м</w:t>
            </w:r>
            <w:r w:rsidRPr="0074195F">
              <w:rPr>
                <w:rFonts w:eastAsia="SimSun"/>
                <w:vertAlign w:val="superscript"/>
              </w:rPr>
              <w:t>2</w:t>
            </w:r>
          </w:p>
        </w:tc>
        <w:tc>
          <w:tcPr>
            <w:tcW w:w="1701" w:type="dxa"/>
            <w:vAlign w:val="center"/>
          </w:tcPr>
          <w:p w14:paraId="6B17CD17" w14:textId="77777777" w:rsidR="0089207C" w:rsidRPr="00AC3044" w:rsidRDefault="0089207C" w:rsidP="002D3EBF">
            <w:pPr>
              <w:rPr>
                <w:rFonts w:eastAsia="SimSun"/>
              </w:rPr>
            </w:pPr>
            <w:r w:rsidRPr="00AC3044">
              <w:rPr>
                <w:rFonts w:eastAsia="SimSun"/>
              </w:rPr>
              <w:t>С -4 дня по -2 день</w:t>
            </w:r>
          </w:p>
        </w:tc>
        <w:tc>
          <w:tcPr>
            <w:tcW w:w="2268" w:type="dxa"/>
            <w:vAlign w:val="center"/>
          </w:tcPr>
          <w:p w14:paraId="0B23ECE9"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75B166A4" w14:textId="77777777" w:rsidTr="002D3EBF">
        <w:trPr>
          <w:cantSplit/>
          <w:trHeight w:val="704"/>
        </w:trPr>
        <w:tc>
          <w:tcPr>
            <w:tcW w:w="817" w:type="dxa"/>
            <w:vMerge/>
            <w:vAlign w:val="center"/>
          </w:tcPr>
          <w:p w14:paraId="6598650D" w14:textId="77777777" w:rsidR="0089207C" w:rsidRPr="00AC3044" w:rsidRDefault="0089207C" w:rsidP="002D3EBF">
            <w:pPr>
              <w:rPr>
                <w:rFonts w:eastAsia="SimSun"/>
              </w:rPr>
            </w:pPr>
          </w:p>
        </w:tc>
        <w:tc>
          <w:tcPr>
            <w:tcW w:w="1701" w:type="dxa"/>
            <w:vAlign w:val="center"/>
          </w:tcPr>
          <w:p w14:paraId="22699AF0" w14:textId="77777777" w:rsidR="0089207C" w:rsidRPr="00AC3044" w:rsidRDefault="0089207C" w:rsidP="002D3EBF">
            <w:pPr>
              <w:rPr>
                <w:rFonts w:eastAsia="SimSun"/>
              </w:rPr>
            </w:pPr>
            <w:r w:rsidRPr="00AC3044">
              <w:rPr>
                <w:rFonts w:eastAsia="SimSun"/>
              </w:rPr>
              <w:t>Бендамустин</w:t>
            </w:r>
          </w:p>
        </w:tc>
        <w:tc>
          <w:tcPr>
            <w:tcW w:w="1559" w:type="dxa"/>
            <w:vAlign w:val="center"/>
          </w:tcPr>
          <w:p w14:paraId="48699C4A" w14:textId="77777777" w:rsidR="0089207C" w:rsidRPr="00AC3044" w:rsidRDefault="0089207C" w:rsidP="002D3EBF">
            <w:pPr>
              <w:rPr>
                <w:rFonts w:eastAsia="SimSun"/>
              </w:rPr>
            </w:pPr>
            <w:r w:rsidRPr="00AC3044">
              <w:rPr>
                <w:rFonts w:eastAsia="SimSun"/>
              </w:rPr>
              <w:t>130 мг/м</w:t>
            </w:r>
            <w:r w:rsidRPr="0074195F">
              <w:rPr>
                <w:rFonts w:eastAsia="SimSun"/>
                <w:vertAlign w:val="superscript"/>
              </w:rPr>
              <w:t>2</w:t>
            </w:r>
            <w:r w:rsidRPr="00AC3044">
              <w:rPr>
                <w:rFonts w:eastAsia="SimSun"/>
              </w:rPr>
              <w:t xml:space="preserve"> </w:t>
            </w:r>
          </w:p>
        </w:tc>
        <w:tc>
          <w:tcPr>
            <w:tcW w:w="1418" w:type="dxa"/>
            <w:vAlign w:val="center"/>
          </w:tcPr>
          <w:p w14:paraId="169D9814" w14:textId="77777777" w:rsidR="0089207C" w:rsidRPr="00AC3044" w:rsidRDefault="0089207C" w:rsidP="002D3EBF">
            <w:pPr>
              <w:rPr>
                <w:rFonts w:eastAsia="SimSun"/>
              </w:rPr>
            </w:pPr>
            <w:r w:rsidRPr="00AC3044">
              <w:rPr>
                <w:rFonts w:eastAsia="SimSun"/>
              </w:rPr>
              <w:t>10 мг/м</w:t>
            </w:r>
            <w:r w:rsidRPr="0074195F">
              <w:rPr>
                <w:rFonts w:eastAsia="SimSun"/>
                <w:vertAlign w:val="superscript"/>
              </w:rPr>
              <w:t>2</w:t>
            </w:r>
          </w:p>
        </w:tc>
        <w:tc>
          <w:tcPr>
            <w:tcW w:w="1701" w:type="dxa"/>
            <w:vAlign w:val="center"/>
          </w:tcPr>
          <w:p w14:paraId="36DFFEE6" w14:textId="77777777" w:rsidR="0089207C" w:rsidRPr="00AC3044" w:rsidRDefault="0089207C" w:rsidP="002D3EBF">
            <w:pPr>
              <w:rPr>
                <w:rFonts w:eastAsia="SimSun"/>
              </w:rPr>
            </w:pPr>
            <w:r w:rsidRPr="00AC3044">
              <w:rPr>
                <w:rFonts w:eastAsia="SimSun"/>
              </w:rPr>
              <w:t xml:space="preserve">  С -4 дня по -2 день</w:t>
            </w:r>
          </w:p>
        </w:tc>
        <w:tc>
          <w:tcPr>
            <w:tcW w:w="2268" w:type="dxa"/>
            <w:vAlign w:val="center"/>
          </w:tcPr>
          <w:p w14:paraId="4A4289E8" w14:textId="77777777" w:rsidR="0089207C" w:rsidRPr="00AC3044" w:rsidRDefault="0089207C" w:rsidP="002D3EBF">
            <w:pPr>
              <w:rPr>
                <w:rFonts w:eastAsia="SimSun"/>
              </w:rPr>
            </w:pPr>
            <w:r w:rsidRPr="00AC3044">
              <w:rPr>
                <w:rFonts w:eastAsia="SimSun"/>
              </w:rPr>
              <w:t>В/в, в течение 1 часа</w:t>
            </w:r>
          </w:p>
        </w:tc>
      </w:tr>
      <w:tr w:rsidR="0089207C" w:rsidRPr="00AC3044" w14:paraId="144BDEAD" w14:textId="77777777" w:rsidTr="002D3EBF">
        <w:trPr>
          <w:cantSplit/>
          <w:trHeight w:val="958"/>
        </w:trPr>
        <w:tc>
          <w:tcPr>
            <w:tcW w:w="817" w:type="dxa"/>
            <w:vMerge w:val="restart"/>
            <w:textDirection w:val="btLr"/>
            <w:vAlign w:val="center"/>
          </w:tcPr>
          <w:p w14:paraId="31BB87DB" w14:textId="77777777" w:rsidR="0089207C" w:rsidRPr="00AC3044" w:rsidRDefault="0089207C" w:rsidP="002D3EBF">
            <w:pPr>
              <w:rPr>
                <w:rFonts w:eastAsia="SimSun"/>
              </w:rPr>
            </w:pPr>
            <w:r w:rsidRPr="00AC3044">
              <w:rPr>
                <w:rFonts w:eastAsia="SimSun"/>
              </w:rPr>
              <w:t>Профилактика РТПХ</w:t>
            </w:r>
          </w:p>
        </w:tc>
        <w:tc>
          <w:tcPr>
            <w:tcW w:w="1701" w:type="dxa"/>
            <w:vAlign w:val="center"/>
          </w:tcPr>
          <w:p w14:paraId="0257B427" w14:textId="77777777" w:rsidR="0089207C" w:rsidRPr="00AC3044" w:rsidRDefault="0089207C" w:rsidP="002D3EBF">
            <w:pPr>
              <w:rPr>
                <w:rFonts w:eastAsia="SimSun"/>
              </w:rPr>
            </w:pPr>
            <w:r w:rsidRPr="00AC3044">
              <w:rPr>
                <w:rFonts w:eastAsia="SimSun"/>
              </w:rPr>
              <w:t xml:space="preserve">Такролимус </w:t>
            </w:r>
          </w:p>
        </w:tc>
        <w:tc>
          <w:tcPr>
            <w:tcW w:w="1559" w:type="dxa"/>
            <w:vAlign w:val="center"/>
          </w:tcPr>
          <w:p w14:paraId="79A6FC9A" w14:textId="77777777" w:rsidR="0089207C" w:rsidRPr="00AC3044" w:rsidRDefault="0089207C" w:rsidP="002D3EBF">
            <w:pPr>
              <w:rPr>
                <w:rFonts w:eastAsia="SimSun"/>
              </w:rPr>
            </w:pPr>
            <w:r w:rsidRPr="00AC3044">
              <w:rPr>
                <w:rFonts w:eastAsia="SimSun"/>
              </w:rPr>
              <w:t>0,03 мг/кг</w:t>
            </w:r>
          </w:p>
        </w:tc>
        <w:tc>
          <w:tcPr>
            <w:tcW w:w="1418" w:type="dxa"/>
            <w:vAlign w:val="center"/>
          </w:tcPr>
          <w:p w14:paraId="1635A83F" w14:textId="77777777" w:rsidR="0089207C" w:rsidRPr="00AC3044" w:rsidRDefault="0089207C" w:rsidP="002D3EBF">
            <w:pPr>
              <w:rPr>
                <w:rFonts w:eastAsia="SimSun"/>
              </w:rPr>
            </w:pPr>
            <w:r w:rsidRPr="00AC3044">
              <w:rPr>
                <w:rFonts w:eastAsia="SimSun"/>
              </w:rPr>
              <w:t>–</w:t>
            </w:r>
          </w:p>
        </w:tc>
        <w:tc>
          <w:tcPr>
            <w:tcW w:w="1701" w:type="dxa"/>
            <w:vAlign w:val="center"/>
          </w:tcPr>
          <w:p w14:paraId="23842C84" w14:textId="77777777" w:rsidR="0089207C" w:rsidRPr="00AC3044" w:rsidRDefault="0089207C" w:rsidP="002D3EBF">
            <w:pPr>
              <w:rPr>
                <w:rFonts w:eastAsia="SimSun"/>
              </w:rPr>
            </w:pPr>
            <w:r w:rsidRPr="00AC3044">
              <w:rPr>
                <w:rFonts w:eastAsia="SimSun"/>
              </w:rPr>
              <w:t xml:space="preserve">С +5 дня длительно </w:t>
            </w:r>
          </w:p>
        </w:tc>
        <w:tc>
          <w:tcPr>
            <w:tcW w:w="2268" w:type="dxa"/>
            <w:vAlign w:val="center"/>
          </w:tcPr>
          <w:p w14:paraId="20AC7D33" w14:textId="77777777" w:rsidR="0089207C" w:rsidRPr="00AC3044" w:rsidRDefault="0089207C" w:rsidP="002D3EBF">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9207C" w:rsidRPr="00AC3044" w14:paraId="2A75CF0A" w14:textId="77777777" w:rsidTr="002D3EBF">
        <w:trPr>
          <w:cantSplit/>
          <w:trHeight w:val="542"/>
        </w:trPr>
        <w:tc>
          <w:tcPr>
            <w:tcW w:w="817" w:type="dxa"/>
            <w:vMerge/>
            <w:textDirection w:val="btLr"/>
            <w:vAlign w:val="center"/>
          </w:tcPr>
          <w:p w14:paraId="3DAA61D3" w14:textId="77777777" w:rsidR="0089207C" w:rsidRPr="00AC3044" w:rsidRDefault="0089207C" w:rsidP="002D3EBF">
            <w:pPr>
              <w:rPr>
                <w:rFonts w:eastAsia="SimSun"/>
              </w:rPr>
            </w:pPr>
          </w:p>
        </w:tc>
        <w:tc>
          <w:tcPr>
            <w:tcW w:w="1701" w:type="dxa"/>
            <w:vAlign w:val="center"/>
          </w:tcPr>
          <w:p w14:paraId="4C77A05C" w14:textId="77777777" w:rsidR="0089207C" w:rsidRPr="00AC3044" w:rsidRDefault="0089207C" w:rsidP="002D3EBF">
            <w:pPr>
              <w:rPr>
                <w:rFonts w:eastAsia="SimSun"/>
              </w:rPr>
            </w:pPr>
            <w:r w:rsidRPr="00AC3044">
              <w:rPr>
                <w:rFonts w:eastAsia="SimSun"/>
              </w:rPr>
              <w:t>Циклофосфамид</w:t>
            </w:r>
          </w:p>
        </w:tc>
        <w:tc>
          <w:tcPr>
            <w:tcW w:w="1559" w:type="dxa"/>
            <w:vAlign w:val="center"/>
          </w:tcPr>
          <w:p w14:paraId="244FD8EB" w14:textId="77777777" w:rsidR="0089207C" w:rsidRPr="00AC3044" w:rsidRDefault="0089207C" w:rsidP="002D3EBF">
            <w:pPr>
              <w:rPr>
                <w:rFonts w:eastAsia="SimSun"/>
              </w:rPr>
            </w:pPr>
            <w:r w:rsidRPr="00AC3044">
              <w:rPr>
                <w:rFonts w:eastAsia="SimSun"/>
              </w:rPr>
              <w:t>50 мг/кг</w:t>
            </w:r>
          </w:p>
        </w:tc>
        <w:tc>
          <w:tcPr>
            <w:tcW w:w="1418" w:type="dxa"/>
            <w:vAlign w:val="center"/>
          </w:tcPr>
          <w:p w14:paraId="26416DA3" w14:textId="77777777" w:rsidR="0089207C" w:rsidRPr="00AC3044" w:rsidRDefault="0089207C" w:rsidP="002D3EBF">
            <w:pPr>
              <w:rPr>
                <w:rFonts w:eastAsia="SimSun"/>
              </w:rPr>
            </w:pPr>
            <w:r w:rsidRPr="00AC3044">
              <w:rPr>
                <w:rFonts w:eastAsia="SimSun"/>
              </w:rPr>
              <w:t>100 мг/кг</w:t>
            </w:r>
          </w:p>
        </w:tc>
        <w:tc>
          <w:tcPr>
            <w:tcW w:w="1701" w:type="dxa"/>
            <w:vAlign w:val="center"/>
          </w:tcPr>
          <w:p w14:paraId="3717DDE2" w14:textId="77777777" w:rsidR="0089207C" w:rsidRPr="00AC3044" w:rsidRDefault="0089207C" w:rsidP="002D3EBF">
            <w:pPr>
              <w:rPr>
                <w:rFonts w:eastAsia="SimSun"/>
              </w:rPr>
            </w:pPr>
            <w:r w:rsidRPr="00AC3044">
              <w:rPr>
                <w:rFonts w:eastAsia="SimSun"/>
              </w:rPr>
              <w:t xml:space="preserve">В дни +3, +4 </w:t>
            </w:r>
          </w:p>
        </w:tc>
        <w:tc>
          <w:tcPr>
            <w:tcW w:w="2268" w:type="dxa"/>
            <w:vAlign w:val="center"/>
          </w:tcPr>
          <w:p w14:paraId="29A7EE83"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7B02E1B9" w14:textId="77777777" w:rsidTr="002D3EBF">
        <w:trPr>
          <w:cantSplit/>
          <w:trHeight w:val="550"/>
        </w:trPr>
        <w:tc>
          <w:tcPr>
            <w:tcW w:w="817" w:type="dxa"/>
            <w:vMerge/>
            <w:textDirection w:val="btLr"/>
            <w:vAlign w:val="center"/>
          </w:tcPr>
          <w:p w14:paraId="049475FF" w14:textId="77777777" w:rsidR="0089207C" w:rsidRPr="00AC3044" w:rsidRDefault="0089207C" w:rsidP="002D3EBF">
            <w:pPr>
              <w:rPr>
                <w:rFonts w:eastAsia="SimSun"/>
              </w:rPr>
            </w:pPr>
          </w:p>
        </w:tc>
        <w:tc>
          <w:tcPr>
            <w:tcW w:w="1701" w:type="dxa"/>
            <w:vAlign w:val="center"/>
          </w:tcPr>
          <w:p w14:paraId="4E7F766D" w14:textId="77777777" w:rsidR="0089207C" w:rsidRPr="00AC3044" w:rsidRDefault="0089207C" w:rsidP="002D3EBF">
            <w:pPr>
              <w:rPr>
                <w:rFonts w:eastAsia="SimSun"/>
              </w:rPr>
            </w:pPr>
            <w:r w:rsidRPr="00AC3044">
              <w:rPr>
                <w:rFonts w:eastAsia="SimSun"/>
              </w:rPr>
              <w:t>Микофенолата мофетил</w:t>
            </w:r>
          </w:p>
        </w:tc>
        <w:tc>
          <w:tcPr>
            <w:tcW w:w="1559" w:type="dxa"/>
            <w:vAlign w:val="center"/>
          </w:tcPr>
          <w:p w14:paraId="0AEF15AF" w14:textId="77777777" w:rsidR="0089207C" w:rsidRPr="00AC3044" w:rsidRDefault="0089207C" w:rsidP="002D3EBF">
            <w:pPr>
              <w:rPr>
                <w:rFonts w:eastAsia="SimSun"/>
              </w:rPr>
            </w:pPr>
            <w:r w:rsidRPr="00AC3044">
              <w:rPr>
                <w:rFonts w:eastAsia="SimSun"/>
              </w:rPr>
              <w:t xml:space="preserve">30 мг/кг </w:t>
            </w:r>
          </w:p>
        </w:tc>
        <w:tc>
          <w:tcPr>
            <w:tcW w:w="1418" w:type="dxa"/>
            <w:vAlign w:val="center"/>
          </w:tcPr>
          <w:p w14:paraId="111F8523" w14:textId="77777777" w:rsidR="0089207C" w:rsidRPr="00AC3044" w:rsidRDefault="0089207C" w:rsidP="002D3EBF">
            <w:pPr>
              <w:rPr>
                <w:rFonts w:eastAsia="SimSun"/>
              </w:rPr>
            </w:pPr>
            <w:r w:rsidRPr="00AC3044">
              <w:rPr>
                <w:rFonts w:eastAsia="SimSun"/>
              </w:rPr>
              <w:t>–</w:t>
            </w:r>
          </w:p>
        </w:tc>
        <w:tc>
          <w:tcPr>
            <w:tcW w:w="1701" w:type="dxa"/>
            <w:vAlign w:val="center"/>
          </w:tcPr>
          <w:p w14:paraId="014349CA" w14:textId="77777777" w:rsidR="0089207C" w:rsidRPr="00AC3044" w:rsidRDefault="0089207C" w:rsidP="002D3EBF">
            <w:pPr>
              <w:rPr>
                <w:rFonts w:eastAsia="SimSun"/>
              </w:rPr>
            </w:pPr>
            <w:r w:rsidRPr="00AC3044">
              <w:rPr>
                <w:rFonts w:eastAsia="SimSun"/>
              </w:rPr>
              <w:t xml:space="preserve">С +5 дня по +35 день </w:t>
            </w:r>
          </w:p>
        </w:tc>
        <w:tc>
          <w:tcPr>
            <w:tcW w:w="2268" w:type="dxa"/>
            <w:vAlign w:val="center"/>
          </w:tcPr>
          <w:p w14:paraId="0D727518" w14:textId="77777777" w:rsidR="0089207C" w:rsidRPr="00AC3044" w:rsidRDefault="0089207C" w:rsidP="002D3EBF">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389A70E7" w14:textId="77777777" w:rsidR="0089207C" w:rsidRPr="0074195F" w:rsidRDefault="0089207C" w:rsidP="0089207C">
      <w:pPr>
        <w:rPr>
          <w:rFonts w:eastAsia="SimSun"/>
        </w:rPr>
      </w:pPr>
      <w:bookmarkStart w:id="262" w:name="_Toc44401216"/>
    </w:p>
    <w:p w14:paraId="17EA255D" w14:textId="77777777" w:rsidR="0089207C" w:rsidRPr="00042499" w:rsidRDefault="0089207C" w:rsidP="0089207C">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2.2.16  – </w:t>
      </w:r>
      <w:r w:rsidRPr="00C07B2E">
        <w:rPr>
          <w:rFonts w:eastAsia="SimSun"/>
        </w:rPr>
        <w:t>Flu</w:t>
      </w:r>
      <w:r w:rsidRPr="00042499">
        <w:rPr>
          <w:rFonts w:eastAsia="SimSun"/>
          <w:lang w:val="en-US"/>
        </w:rPr>
        <w:t>90+</w:t>
      </w:r>
      <w:r w:rsidRPr="00C07B2E">
        <w:rPr>
          <w:rFonts w:eastAsia="SimSun"/>
        </w:rPr>
        <w:t>Benda</w:t>
      </w:r>
      <w:r w:rsidRPr="00042499">
        <w:rPr>
          <w:rFonts w:eastAsia="SimSun"/>
          <w:lang w:val="en-US"/>
        </w:rPr>
        <w:t xml:space="preserve"> / </w:t>
      </w:r>
      <w:r w:rsidRPr="00C07B2E">
        <w:rPr>
          <w:rFonts w:eastAsia="SimSun"/>
        </w:rPr>
        <w:t>PT</w:t>
      </w:r>
      <w:r w:rsidRPr="00042499">
        <w:rPr>
          <w:rFonts w:eastAsia="SimSun"/>
          <w:lang w:val="en-US"/>
        </w:rPr>
        <w:t>-</w:t>
      </w:r>
      <w:r w:rsidRPr="00C07B2E">
        <w:rPr>
          <w:rFonts w:eastAsia="SimSun"/>
        </w:rPr>
        <w:t>Cy</w:t>
      </w:r>
      <w:bookmarkEnd w:id="26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89207C" w:rsidRPr="00AC3044" w14:paraId="2374B0C8" w14:textId="77777777" w:rsidTr="002D3EBF">
        <w:trPr>
          <w:cantSplit/>
          <w:trHeight w:val="20"/>
          <w:tblHeader/>
        </w:trPr>
        <w:tc>
          <w:tcPr>
            <w:tcW w:w="817" w:type="dxa"/>
            <w:vAlign w:val="center"/>
          </w:tcPr>
          <w:p w14:paraId="0CA8134A" w14:textId="77777777" w:rsidR="0089207C" w:rsidRPr="00942A16" w:rsidRDefault="0089207C" w:rsidP="002D3EBF">
            <w:pPr>
              <w:rPr>
                <w:rFonts w:eastAsia="SimSun"/>
                <w:lang w:val="en-US"/>
              </w:rPr>
            </w:pPr>
          </w:p>
        </w:tc>
        <w:tc>
          <w:tcPr>
            <w:tcW w:w="1701" w:type="dxa"/>
            <w:vAlign w:val="center"/>
          </w:tcPr>
          <w:p w14:paraId="26F8C1B2" w14:textId="77777777" w:rsidR="0089207C" w:rsidRPr="00AC3044" w:rsidRDefault="0089207C" w:rsidP="002D3EBF">
            <w:pPr>
              <w:rPr>
                <w:rFonts w:eastAsia="SimSun"/>
              </w:rPr>
            </w:pPr>
            <w:r w:rsidRPr="00AC3044">
              <w:rPr>
                <w:rFonts w:eastAsia="SimSun"/>
              </w:rPr>
              <w:t>Препарат</w:t>
            </w:r>
          </w:p>
        </w:tc>
        <w:tc>
          <w:tcPr>
            <w:tcW w:w="1559" w:type="dxa"/>
            <w:vAlign w:val="center"/>
          </w:tcPr>
          <w:p w14:paraId="302B8BE7" w14:textId="77777777" w:rsidR="0089207C" w:rsidRPr="00AC3044" w:rsidRDefault="0089207C" w:rsidP="002D3EBF">
            <w:pPr>
              <w:rPr>
                <w:rFonts w:eastAsia="SimSun"/>
              </w:rPr>
            </w:pPr>
            <w:r w:rsidRPr="00AC3044">
              <w:rPr>
                <w:rFonts w:eastAsia="SimSun"/>
              </w:rPr>
              <w:t>Суточная доза</w:t>
            </w:r>
          </w:p>
        </w:tc>
        <w:tc>
          <w:tcPr>
            <w:tcW w:w="1418" w:type="dxa"/>
            <w:vAlign w:val="center"/>
          </w:tcPr>
          <w:p w14:paraId="11A2E647" w14:textId="77777777" w:rsidR="0089207C" w:rsidRPr="00AC3044" w:rsidRDefault="0089207C" w:rsidP="002D3EBF">
            <w:pPr>
              <w:rPr>
                <w:rFonts w:eastAsia="SimSun"/>
              </w:rPr>
            </w:pPr>
            <w:r w:rsidRPr="00AC3044">
              <w:rPr>
                <w:rFonts w:eastAsia="SimSun"/>
              </w:rPr>
              <w:t>Курсовая доза</w:t>
            </w:r>
          </w:p>
        </w:tc>
        <w:tc>
          <w:tcPr>
            <w:tcW w:w="1701" w:type="dxa"/>
            <w:vAlign w:val="center"/>
          </w:tcPr>
          <w:p w14:paraId="3168DE9A"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1F308540"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49C4290E" w14:textId="77777777" w:rsidTr="002D3EBF">
        <w:trPr>
          <w:cantSplit/>
          <w:trHeight w:val="20"/>
        </w:trPr>
        <w:tc>
          <w:tcPr>
            <w:tcW w:w="817" w:type="dxa"/>
            <w:vMerge w:val="restart"/>
            <w:textDirection w:val="btLr"/>
            <w:vAlign w:val="center"/>
          </w:tcPr>
          <w:p w14:paraId="4EAEBBE7" w14:textId="77777777" w:rsidR="0089207C" w:rsidRPr="00AC3044" w:rsidRDefault="0089207C" w:rsidP="002D3EBF">
            <w:pPr>
              <w:rPr>
                <w:rFonts w:eastAsia="SimSun"/>
              </w:rPr>
            </w:pPr>
            <w:r w:rsidRPr="00AC3044">
              <w:rPr>
                <w:rFonts w:eastAsia="SimSun"/>
              </w:rPr>
              <w:t>Кондиционирование</w:t>
            </w:r>
          </w:p>
        </w:tc>
        <w:tc>
          <w:tcPr>
            <w:tcW w:w="1701" w:type="dxa"/>
            <w:vAlign w:val="center"/>
          </w:tcPr>
          <w:p w14:paraId="206B5F31" w14:textId="77777777" w:rsidR="0089207C" w:rsidRPr="00AC3044" w:rsidRDefault="0089207C" w:rsidP="002D3EBF">
            <w:pPr>
              <w:rPr>
                <w:rFonts w:eastAsia="SimSun"/>
              </w:rPr>
            </w:pPr>
            <w:r w:rsidRPr="00AC3044">
              <w:rPr>
                <w:rFonts w:eastAsia="SimSun"/>
              </w:rPr>
              <w:t xml:space="preserve">Флударабин </w:t>
            </w:r>
          </w:p>
        </w:tc>
        <w:tc>
          <w:tcPr>
            <w:tcW w:w="1559" w:type="dxa"/>
            <w:vAlign w:val="center"/>
          </w:tcPr>
          <w:p w14:paraId="522F9F36" w14:textId="77777777" w:rsidR="0089207C" w:rsidRPr="00AC3044" w:rsidRDefault="0089207C" w:rsidP="002D3EBF">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07FBAE3E" w14:textId="77777777" w:rsidR="0089207C" w:rsidRPr="00AC3044" w:rsidRDefault="0089207C" w:rsidP="002D3EBF">
            <w:pPr>
              <w:rPr>
                <w:rFonts w:eastAsia="SimSun"/>
              </w:rPr>
            </w:pPr>
            <w:r w:rsidRPr="00AC3044">
              <w:rPr>
                <w:rFonts w:eastAsia="SimSun"/>
              </w:rPr>
              <w:t>90 мг/м</w:t>
            </w:r>
            <w:r w:rsidRPr="0074195F">
              <w:rPr>
                <w:rFonts w:eastAsia="SimSun"/>
                <w:vertAlign w:val="superscript"/>
              </w:rPr>
              <w:t>2</w:t>
            </w:r>
          </w:p>
        </w:tc>
        <w:tc>
          <w:tcPr>
            <w:tcW w:w="1701" w:type="dxa"/>
            <w:vAlign w:val="center"/>
          </w:tcPr>
          <w:p w14:paraId="5D5828E9" w14:textId="77777777" w:rsidR="0089207C" w:rsidRPr="00AC3044" w:rsidRDefault="0089207C" w:rsidP="002D3EBF">
            <w:pPr>
              <w:rPr>
                <w:rFonts w:eastAsia="SimSun"/>
              </w:rPr>
            </w:pPr>
            <w:r w:rsidRPr="00AC3044">
              <w:rPr>
                <w:rFonts w:eastAsia="SimSun"/>
              </w:rPr>
              <w:t>С -4 дня по -2 день</w:t>
            </w:r>
          </w:p>
        </w:tc>
        <w:tc>
          <w:tcPr>
            <w:tcW w:w="2268" w:type="dxa"/>
            <w:vAlign w:val="center"/>
          </w:tcPr>
          <w:p w14:paraId="1A2648D1"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289622B9" w14:textId="77777777" w:rsidTr="002D3EBF">
        <w:trPr>
          <w:cantSplit/>
          <w:trHeight w:val="1207"/>
        </w:trPr>
        <w:tc>
          <w:tcPr>
            <w:tcW w:w="817" w:type="dxa"/>
            <w:vMerge/>
            <w:vAlign w:val="center"/>
          </w:tcPr>
          <w:p w14:paraId="0567E198" w14:textId="77777777" w:rsidR="0089207C" w:rsidRPr="00AC3044" w:rsidRDefault="0089207C" w:rsidP="002D3EBF">
            <w:pPr>
              <w:rPr>
                <w:rFonts w:eastAsia="SimSun"/>
              </w:rPr>
            </w:pPr>
          </w:p>
        </w:tc>
        <w:tc>
          <w:tcPr>
            <w:tcW w:w="1701" w:type="dxa"/>
            <w:vAlign w:val="center"/>
          </w:tcPr>
          <w:p w14:paraId="7D464015" w14:textId="77777777" w:rsidR="0089207C" w:rsidRPr="00AC3044" w:rsidRDefault="0089207C" w:rsidP="002D3EBF">
            <w:pPr>
              <w:rPr>
                <w:rFonts w:eastAsia="SimSun"/>
              </w:rPr>
            </w:pPr>
            <w:r w:rsidRPr="00AC3044">
              <w:rPr>
                <w:rFonts w:eastAsia="SimSun"/>
              </w:rPr>
              <w:t>Бендамустин</w:t>
            </w:r>
          </w:p>
        </w:tc>
        <w:tc>
          <w:tcPr>
            <w:tcW w:w="1559" w:type="dxa"/>
            <w:vAlign w:val="center"/>
          </w:tcPr>
          <w:p w14:paraId="0B156ADB" w14:textId="77777777" w:rsidR="0089207C" w:rsidRPr="00AC3044" w:rsidRDefault="0089207C" w:rsidP="002D3EBF">
            <w:pPr>
              <w:rPr>
                <w:rFonts w:eastAsia="SimSun"/>
              </w:rPr>
            </w:pPr>
            <w:r w:rsidRPr="00AC3044">
              <w:rPr>
                <w:rFonts w:eastAsia="SimSun"/>
              </w:rPr>
              <w:t>130 мг/м</w:t>
            </w:r>
            <w:r w:rsidRPr="0074195F">
              <w:rPr>
                <w:rFonts w:eastAsia="SimSun"/>
                <w:vertAlign w:val="superscript"/>
              </w:rPr>
              <w:t>2</w:t>
            </w:r>
            <w:r w:rsidRPr="00AC3044">
              <w:rPr>
                <w:rFonts w:eastAsia="SimSun"/>
              </w:rPr>
              <w:t xml:space="preserve"> </w:t>
            </w:r>
          </w:p>
        </w:tc>
        <w:tc>
          <w:tcPr>
            <w:tcW w:w="1418" w:type="dxa"/>
            <w:vAlign w:val="center"/>
          </w:tcPr>
          <w:p w14:paraId="4FB10589" w14:textId="77777777" w:rsidR="0089207C" w:rsidRPr="00AC3044" w:rsidRDefault="0089207C" w:rsidP="002D3EBF">
            <w:pPr>
              <w:rPr>
                <w:rFonts w:eastAsia="SimSun"/>
              </w:rPr>
            </w:pPr>
            <w:r w:rsidRPr="00AC3044">
              <w:rPr>
                <w:rFonts w:eastAsia="SimSun"/>
              </w:rPr>
              <w:t>10 мг/м</w:t>
            </w:r>
            <w:r w:rsidRPr="0074195F">
              <w:rPr>
                <w:rFonts w:eastAsia="SimSun"/>
                <w:vertAlign w:val="superscript"/>
              </w:rPr>
              <w:t>2</w:t>
            </w:r>
          </w:p>
        </w:tc>
        <w:tc>
          <w:tcPr>
            <w:tcW w:w="1701" w:type="dxa"/>
            <w:vAlign w:val="center"/>
          </w:tcPr>
          <w:p w14:paraId="552E3887" w14:textId="77777777" w:rsidR="0089207C" w:rsidRPr="00AC3044" w:rsidRDefault="0089207C" w:rsidP="002D3EBF">
            <w:pPr>
              <w:rPr>
                <w:rFonts w:eastAsia="SimSun"/>
              </w:rPr>
            </w:pPr>
            <w:r w:rsidRPr="00AC3044">
              <w:rPr>
                <w:rFonts w:eastAsia="SimSun"/>
              </w:rPr>
              <w:t xml:space="preserve">  С -4 дня по -2 день</w:t>
            </w:r>
          </w:p>
        </w:tc>
        <w:tc>
          <w:tcPr>
            <w:tcW w:w="2268" w:type="dxa"/>
            <w:vAlign w:val="center"/>
          </w:tcPr>
          <w:p w14:paraId="693B7220" w14:textId="77777777" w:rsidR="0089207C" w:rsidRPr="00AC3044" w:rsidRDefault="0089207C" w:rsidP="002D3EBF">
            <w:pPr>
              <w:rPr>
                <w:rFonts w:eastAsia="SimSun"/>
              </w:rPr>
            </w:pPr>
            <w:r w:rsidRPr="00AC3044">
              <w:rPr>
                <w:rFonts w:eastAsia="SimSun"/>
              </w:rPr>
              <w:t>В/в, в течение 1 часа</w:t>
            </w:r>
          </w:p>
        </w:tc>
      </w:tr>
      <w:tr w:rsidR="0089207C" w:rsidRPr="00AC3044" w14:paraId="2241C468" w14:textId="77777777" w:rsidTr="002D3EBF">
        <w:trPr>
          <w:cantSplit/>
          <w:trHeight w:val="958"/>
        </w:trPr>
        <w:tc>
          <w:tcPr>
            <w:tcW w:w="817" w:type="dxa"/>
            <w:textDirection w:val="btLr"/>
            <w:vAlign w:val="center"/>
          </w:tcPr>
          <w:p w14:paraId="22BED8AB" w14:textId="77777777" w:rsidR="0089207C" w:rsidRPr="00AC3044" w:rsidRDefault="0089207C" w:rsidP="002D3EBF">
            <w:pPr>
              <w:rPr>
                <w:rFonts w:eastAsia="SimSun"/>
              </w:rPr>
            </w:pPr>
            <w:r w:rsidRPr="00AC3044">
              <w:rPr>
                <w:rFonts w:eastAsia="SimSun"/>
              </w:rPr>
              <w:t>Профилактика РТПХ</w:t>
            </w:r>
          </w:p>
        </w:tc>
        <w:tc>
          <w:tcPr>
            <w:tcW w:w="1701" w:type="dxa"/>
            <w:vAlign w:val="center"/>
          </w:tcPr>
          <w:p w14:paraId="0E8ADA36" w14:textId="77777777" w:rsidR="0089207C" w:rsidRPr="00AC3044" w:rsidRDefault="0089207C" w:rsidP="002D3EBF">
            <w:pPr>
              <w:rPr>
                <w:rFonts w:eastAsia="SimSun"/>
              </w:rPr>
            </w:pPr>
            <w:r w:rsidRPr="00AC3044">
              <w:rPr>
                <w:rFonts w:eastAsia="SimSun"/>
              </w:rPr>
              <w:t>Циклофосфамид</w:t>
            </w:r>
          </w:p>
        </w:tc>
        <w:tc>
          <w:tcPr>
            <w:tcW w:w="1559" w:type="dxa"/>
            <w:vAlign w:val="center"/>
          </w:tcPr>
          <w:p w14:paraId="7FE20508" w14:textId="77777777" w:rsidR="0089207C" w:rsidRPr="00AC3044" w:rsidRDefault="0089207C" w:rsidP="002D3EBF">
            <w:pPr>
              <w:rPr>
                <w:rFonts w:eastAsia="SimSun"/>
              </w:rPr>
            </w:pPr>
            <w:r w:rsidRPr="00AC3044">
              <w:rPr>
                <w:rFonts w:eastAsia="SimSun"/>
              </w:rPr>
              <w:t>50 мг/кг</w:t>
            </w:r>
          </w:p>
        </w:tc>
        <w:tc>
          <w:tcPr>
            <w:tcW w:w="1418" w:type="dxa"/>
            <w:vAlign w:val="center"/>
          </w:tcPr>
          <w:p w14:paraId="1CE805AF" w14:textId="77777777" w:rsidR="0089207C" w:rsidRPr="00AC3044" w:rsidRDefault="0089207C" w:rsidP="002D3EBF">
            <w:pPr>
              <w:rPr>
                <w:rFonts w:eastAsia="SimSun"/>
              </w:rPr>
            </w:pPr>
            <w:r w:rsidRPr="00AC3044">
              <w:rPr>
                <w:rFonts w:eastAsia="SimSun"/>
              </w:rPr>
              <w:t>100 мг/кг</w:t>
            </w:r>
          </w:p>
        </w:tc>
        <w:tc>
          <w:tcPr>
            <w:tcW w:w="1701" w:type="dxa"/>
            <w:vAlign w:val="center"/>
          </w:tcPr>
          <w:p w14:paraId="0C2ED522" w14:textId="77777777" w:rsidR="0089207C" w:rsidRPr="00AC3044" w:rsidRDefault="0089207C" w:rsidP="002D3EBF">
            <w:pPr>
              <w:rPr>
                <w:rFonts w:eastAsia="SimSun"/>
              </w:rPr>
            </w:pPr>
            <w:r w:rsidRPr="00AC3044">
              <w:rPr>
                <w:rFonts w:eastAsia="SimSun"/>
              </w:rPr>
              <w:t xml:space="preserve">В дни +3, +4 </w:t>
            </w:r>
          </w:p>
        </w:tc>
        <w:tc>
          <w:tcPr>
            <w:tcW w:w="2268" w:type="dxa"/>
            <w:vAlign w:val="center"/>
          </w:tcPr>
          <w:p w14:paraId="7BB3228F" w14:textId="77777777" w:rsidR="0089207C" w:rsidRPr="00AC3044" w:rsidRDefault="0089207C" w:rsidP="002D3EBF">
            <w:pPr>
              <w:rPr>
                <w:rFonts w:eastAsia="SimSun"/>
              </w:rPr>
            </w:pPr>
            <w:r w:rsidRPr="00AC3044">
              <w:rPr>
                <w:rFonts w:eastAsia="SimSun"/>
              </w:rPr>
              <w:t>В/в, в течение 2 часов</w:t>
            </w:r>
          </w:p>
        </w:tc>
      </w:tr>
    </w:tbl>
    <w:p w14:paraId="50189861" w14:textId="77777777" w:rsidR="0089207C" w:rsidRDefault="0089207C" w:rsidP="0089207C">
      <w:pPr>
        <w:rPr>
          <w:rFonts w:eastAsia="SimSun"/>
        </w:rPr>
      </w:pPr>
      <w:bookmarkStart w:id="263" w:name="_Toc44401217"/>
    </w:p>
    <w:p w14:paraId="5A9AAFD5" w14:textId="77777777" w:rsidR="0089207C" w:rsidRPr="00042499" w:rsidRDefault="0089207C" w:rsidP="0089207C">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2.2.17  – </w:t>
      </w:r>
      <w:r w:rsidRPr="00C07B2E">
        <w:rPr>
          <w:rFonts w:eastAsia="SimSun"/>
        </w:rPr>
        <w:t>Flu</w:t>
      </w:r>
      <w:r w:rsidRPr="00042499">
        <w:rPr>
          <w:rFonts w:eastAsia="SimSun"/>
          <w:lang w:val="en-US"/>
        </w:rPr>
        <w:t>150+</w:t>
      </w:r>
      <w:r w:rsidRPr="00C07B2E">
        <w:rPr>
          <w:rFonts w:eastAsia="SimSun"/>
        </w:rPr>
        <w:t>Thio</w:t>
      </w:r>
      <w:r w:rsidRPr="00042499">
        <w:rPr>
          <w:rFonts w:eastAsia="SimSun"/>
          <w:lang w:val="en-US"/>
        </w:rPr>
        <w:t xml:space="preserve"> / </w:t>
      </w:r>
      <w:r w:rsidRPr="00C07B2E">
        <w:rPr>
          <w:rFonts w:eastAsia="SimSun"/>
        </w:rPr>
        <w:t>hATG</w:t>
      </w:r>
      <w:r w:rsidRPr="00042499">
        <w:rPr>
          <w:rFonts w:eastAsia="SimSun"/>
          <w:lang w:val="en-US"/>
        </w:rPr>
        <w:t>+</w:t>
      </w:r>
      <w:r w:rsidRPr="00C07B2E">
        <w:rPr>
          <w:rFonts w:eastAsia="SimSun"/>
        </w:rPr>
        <w:t>Tx</w:t>
      </w:r>
      <w:r w:rsidRPr="00042499">
        <w:rPr>
          <w:rFonts w:eastAsia="SimSun"/>
          <w:lang w:val="en-US"/>
        </w:rPr>
        <w:t>+</w:t>
      </w:r>
      <w:r w:rsidRPr="00C07B2E">
        <w:rPr>
          <w:rFonts w:eastAsia="SimSun"/>
        </w:rPr>
        <w:t>MMF</w:t>
      </w:r>
      <w:r w:rsidRPr="00042499">
        <w:rPr>
          <w:rFonts w:eastAsia="SimSun"/>
          <w:lang w:val="en-US"/>
        </w:rPr>
        <w:t>30</w:t>
      </w:r>
      <w:bookmarkEnd w:id="26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89207C" w:rsidRPr="00AC3044" w14:paraId="01B1DC7D" w14:textId="77777777" w:rsidTr="002D3EBF">
        <w:trPr>
          <w:cantSplit/>
          <w:trHeight w:val="20"/>
          <w:tblHeader/>
        </w:trPr>
        <w:tc>
          <w:tcPr>
            <w:tcW w:w="817" w:type="dxa"/>
            <w:vAlign w:val="center"/>
          </w:tcPr>
          <w:p w14:paraId="7B585C1C" w14:textId="77777777" w:rsidR="0089207C" w:rsidRPr="00942A16" w:rsidRDefault="0089207C" w:rsidP="002D3EBF">
            <w:pPr>
              <w:rPr>
                <w:rFonts w:eastAsia="SimSun"/>
                <w:lang w:val="en-US"/>
              </w:rPr>
            </w:pPr>
          </w:p>
        </w:tc>
        <w:tc>
          <w:tcPr>
            <w:tcW w:w="1701" w:type="dxa"/>
            <w:vAlign w:val="center"/>
          </w:tcPr>
          <w:p w14:paraId="07D2A74B" w14:textId="77777777" w:rsidR="0089207C" w:rsidRPr="00AC3044" w:rsidRDefault="0089207C" w:rsidP="002D3EBF">
            <w:pPr>
              <w:rPr>
                <w:rFonts w:eastAsia="SimSun"/>
              </w:rPr>
            </w:pPr>
            <w:r w:rsidRPr="00AC3044">
              <w:rPr>
                <w:rFonts w:eastAsia="SimSun"/>
              </w:rPr>
              <w:t>Препарат</w:t>
            </w:r>
          </w:p>
        </w:tc>
        <w:tc>
          <w:tcPr>
            <w:tcW w:w="1559" w:type="dxa"/>
            <w:vAlign w:val="center"/>
          </w:tcPr>
          <w:p w14:paraId="3768AB4F" w14:textId="77777777" w:rsidR="0089207C" w:rsidRPr="00AC3044" w:rsidRDefault="0089207C" w:rsidP="002D3EBF">
            <w:pPr>
              <w:rPr>
                <w:rFonts w:eastAsia="SimSun"/>
              </w:rPr>
            </w:pPr>
            <w:r w:rsidRPr="00AC3044">
              <w:rPr>
                <w:rFonts w:eastAsia="SimSun"/>
              </w:rPr>
              <w:t>Суточная доза</w:t>
            </w:r>
          </w:p>
        </w:tc>
        <w:tc>
          <w:tcPr>
            <w:tcW w:w="1418" w:type="dxa"/>
            <w:vAlign w:val="center"/>
          </w:tcPr>
          <w:p w14:paraId="4580BEFB" w14:textId="77777777" w:rsidR="0089207C" w:rsidRPr="00AC3044" w:rsidRDefault="0089207C" w:rsidP="002D3EBF">
            <w:pPr>
              <w:rPr>
                <w:rFonts w:eastAsia="SimSun"/>
              </w:rPr>
            </w:pPr>
            <w:r w:rsidRPr="00AC3044">
              <w:rPr>
                <w:rFonts w:eastAsia="SimSun"/>
              </w:rPr>
              <w:t>Курсовая доза</w:t>
            </w:r>
          </w:p>
        </w:tc>
        <w:tc>
          <w:tcPr>
            <w:tcW w:w="1701" w:type="dxa"/>
            <w:vAlign w:val="center"/>
          </w:tcPr>
          <w:p w14:paraId="772B6F62"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585CF863"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1EF6D85D" w14:textId="77777777" w:rsidTr="002D3EBF">
        <w:trPr>
          <w:cantSplit/>
          <w:trHeight w:val="20"/>
        </w:trPr>
        <w:tc>
          <w:tcPr>
            <w:tcW w:w="817" w:type="dxa"/>
            <w:vMerge w:val="restart"/>
            <w:textDirection w:val="btLr"/>
            <w:vAlign w:val="center"/>
          </w:tcPr>
          <w:p w14:paraId="1F6457D1" w14:textId="77777777" w:rsidR="0089207C" w:rsidRPr="00AC3044" w:rsidRDefault="0089207C" w:rsidP="002D3EBF">
            <w:pPr>
              <w:rPr>
                <w:rFonts w:eastAsia="SimSun"/>
              </w:rPr>
            </w:pPr>
            <w:r w:rsidRPr="00AC3044">
              <w:rPr>
                <w:rFonts w:eastAsia="SimSun"/>
              </w:rPr>
              <w:t>Кондиционирование</w:t>
            </w:r>
          </w:p>
        </w:tc>
        <w:tc>
          <w:tcPr>
            <w:tcW w:w="1701" w:type="dxa"/>
            <w:vAlign w:val="center"/>
          </w:tcPr>
          <w:p w14:paraId="6789AD70" w14:textId="77777777" w:rsidR="0089207C" w:rsidRPr="00AC3044" w:rsidRDefault="0089207C" w:rsidP="002D3EBF">
            <w:pPr>
              <w:rPr>
                <w:rFonts w:eastAsia="SimSun"/>
              </w:rPr>
            </w:pPr>
            <w:r w:rsidRPr="00AC3044">
              <w:rPr>
                <w:rFonts w:eastAsia="SimSun"/>
              </w:rPr>
              <w:t xml:space="preserve">Флударабин </w:t>
            </w:r>
          </w:p>
        </w:tc>
        <w:tc>
          <w:tcPr>
            <w:tcW w:w="1559" w:type="dxa"/>
            <w:vAlign w:val="center"/>
          </w:tcPr>
          <w:p w14:paraId="27CFA198" w14:textId="77777777" w:rsidR="0089207C" w:rsidRPr="00AC3044" w:rsidRDefault="0089207C" w:rsidP="002D3EBF">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6376FA04" w14:textId="77777777" w:rsidR="0089207C" w:rsidRPr="00AC3044" w:rsidRDefault="0089207C" w:rsidP="002D3EBF">
            <w:pPr>
              <w:rPr>
                <w:rFonts w:eastAsia="SimSun"/>
              </w:rPr>
            </w:pPr>
            <w:r w:rsidRPr="00AC3044">
              <w:rPr>
                <w:rFonts w:eastAsia="SimSun"/>
              </w:rPr>
              <w:t>150 мг/м</w:t>
            </w:r>
            <w:r w:rsidRPr="0074195F">
              <w:rPr>
                <w:rFonts w:eastAsia="SimSun"/>
                <w:vertAlign w:val="superscript"/>
              </w:rPr>
              <w:t>2</w:t>
            </w:r>
          </w:p>
        </w:tc>
        <w:tc>
          <w:tcPr>
            <w:tcW w:w="1701" w:type="dxa"/>
            <w:vAlign w:val="center"/>
          </w:tcPr>
          <w:p w14:paraId="66625553" w14:textId="77777777" w:rsidR="0089207C" w:rsidRPr="00AC3044" w:rsidRDefault="0089207C" w:rsidP="002D3EBF">
            <w:pPr>
              <w:rPr>
                <w:rFonts w:eastAsia="SimSun"/>
              </w:rPr>
            </w:pPr>
            <w:r w:rsidRPr="00AC3044">
              <w:rPr>
                <w:rFonts w:eastAsia="SimSun"/>
              </w:rPr>
              <w:t>С -6 дня по -2 день</w:t>
            </w:r>
          </w:p>
        </w:tc>
        <w:tc>
          <w:tcPr>
            <w:tcW w:w="2268" w:type="dxa"/>
            <w:vAlign w:val="center"/>
          </w:tcPr>
          <w:p w14:paraId="6570443E"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2B157768" w14:textId="77777777" w:rsidTr="002D3EBF">
        <w:trPr>
          <w:cantSplit/>
          <w:trHeight w:val="510"/>
        </w:trPr>
        <w:tc>
          <w:tcPr>
            <w:tcW w:w="817" w:type="dxa"/>
            <w:vMerge/>
            <w:vAlign w:val="center"/>
          </w:tcPr>
          <w:p w14:paraId="7ED73974" w14:textId="77777777" w:rsidR="0089207C" w:rsidRPr="00AC3044" w:rsidRDefault="0089207C" w:rsidP="002D3EBF">
            <w:pPr>
              <w:rPr>
                <w:rFonts w:eastAsia="SimSun"/>
              </w:rPr>
            </w:pPr>
          </w:p>
        </w:tc>
        <w:tc>
          <w:tcPr>
            <w:tcW w:w="1701" w:type="dxa"/>
            <w:vAlign w:val="center"/>
          </w:tcPr>
          <w:p w14:paraId="21C416E5" w14:textId="77777777" w:rsidR="0089207C" w:rsidRPr="00AC3044" w:rsidRDefault="0089207C" w:rsidP="002D3EBF">
            <w:pPr>
              <w:rPr>
                <w:rFonts w:eastAsia="SimSun"/>
              </w:rPr>
            </w:pPr>
            <w:r w:rsidRPr="00AC3044">
              <w:rPr>
                <w:rFonts w:eastAsia="SimSun"/>
              </w:rPr>
              <w:t>Тиотепа</w:t>
            </w:r>
          </w:p>
        </w:tc>
        <w:tc>
          <w:tcPr>
            <w:tcW w:w="1559" w:type="dxa"/>
            <w:vAlign w:val="center"/>
          </w:tcPr>
          <w:p w14:paraId="7AAF1D7D" w14:textId="77777777" w:rsidR="0089207C" w:rsidRPr="00AC3044" w:rsidRDefault="0089207C" w:rsidP="002D3EBF">
            <w:pPr>
              <w:rPr>
                <w:rFonts w:eastAsia="SimSun"/>
              </w:rPr>
            </w:pPr>
            <w:r w:rsidRPr="00AC3044">
              <w:rPr>
                <w:rFonts w:eastAsia="SimSun"/>
              </w:rPr>
              <w:t>5 мг/м</w:t>
            </w:r>
            <w:r w:rsidRPr="0074195F">
              <w:rPr>
                <w:rFonts w:eastAsia="SimSun"/>
                <w:vertAlign w:val="superscript"/>
              </w:rPr>
              <w:t>2</w:t>
            </w:r>
            <w:r w:rsidRPr="00AC3044">
              <w:rPr>
                <w:rFonts w:eastAsia="SimSun"/>
              </w:rPr>
              <w:t xml:space="preserve"> </w:t>
            </w:r>
          </w:p>
        </w:tc>
        <w:tc>
          <w:tcPr>
            <w:tcW w:w="1418" w:type="dxa"/>
            <w:vAlign w:val="center"/>
          </w:tcPr>
          <w:p w14:paraId="2B0B3D7F" w14:textId="77777777" w:rsidR="0089207C" w:rsidRPr="00AC3044" w:rsidRDefault="0089207C" w:rsidP="002D3EBF">
            <w:pPr>
              <w:rPr>
                <w:rFonts w:eastAsia="SimSun"/>
              </w:rPr>
            </w:pPr>
            <w:r w:rsidRPr="00AC3044">
              <w:rPr>
                <w:rFonts w:eastAsia="SimSun"/>
              </w:rPr>
              <w:t>10 мг/м</w:t>
            </w:r>
            <w:r w:rsidRPr="0074195F">
              <w:rPr>
                <w:rFonts w:eastAsia="SimSun"/>
                <w:vertAlign w:val="superscript"/>
              </w:rPr>
              <w:t>2</w:t>
            </w:r>
          </w:p>
        </w:tc>
        <w:tc>
          <w:tcPr>
            <w:tcW w:w="1701" w:type="dxa"/>
            <w:vAlign w:val="center"/>
          </w:tcPr>
          <w:p w14:paraId="6942F8FE" w14:textId="77777777" w:rsidR="0089207C" w:rsidRPr="00AC3044" w:rsidRDefault="0089207C" w:rsidP="002D3EBF">
            <w:pPr>
              <w:rPr>
                <w:rFonts w:eastAsia="SimSun"/>
              </w:rPr>
            </w:pPr>
            <w:r w:rsidRPr="00AC3044">
              <w:rPr>
                <w:rFonts w:eastAsia="SimSun"/>
              </w:rPr>
              <w:t xml:space="preserve"> Дни -5; -4  </w:t>
            </w:r>
          </w:p>
        </w:tc>
        <w:tc>
          <w:tcPr>
            <w:tcW w:w="2268" w:type="dxa"/>
            <w:vAlign w:val="center"/>
          </w:tcPr>
          <w:p w14:paraId="49570988"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293125E4" w14:textId="77777777" w:rsidTr="002D3EBF">
        <w:trPr>
          <w:cantSplit/>
          <w:trHeight w:val="712"/>
        </w:trPr>
        <w:tc>
          <w:tcPr>
            <w:tcW w:w="817" w:type="dxa"/>
            <w:vMerge w:val="restart"/>
            <w:textDirection w:val="btLr"/>
            <w:vAlign w:val="center"/>
          </w:tcPr>
          <w:p w14:paraId="719291D1" w14:textId="77777777" w:rsidR="0089207C" w:rsidRPr="00AC3044" w:rsidRDefault="0089207C" w:rsidP="002D3EBF">
            <w:pPr>
              <w:rPr>
                <w:rFonts w:eastAsia="SimSun"/>
              </w:rPr>
            </w:pPr>
            <w:r w:rsidRPr="00AC3044">
              <w:rPr>
                <w:rFonts w:eastAsia="SimSun"/>
              </w:rPr>
              <w:t>Профилактика РТПХ</w:t>
            </w:r>
          </w:p>
        </w:tc>
        <w:tc>
          <w:tcPr>
            <w:tcW w:w="1701" w:type="dxa"/>
            <w:vAlign w:val="center"/>
          </w:tcPr>
          <w:p w14:paraId="1EF0F23E" w14:textId="77777777" w:rsidR="0089207C" w:rsidRPr="00AC3044" w:rsidRDefault="0089207C" w:rsidP="002D3EBF">
            <w:pPr>
              <w:rPr>
                <w:rFonts w:eastAsia="SimSun"/>
              </w:rPr>
            </w:pPr>
            <w:r w:rsidRPr="00AC3044">
              <w:rPr>
                <w:rFonts w:eastAsia="SimSun"/>
              </w:rPr>
              <w:t>АТГ (лошадиный)</w:t>
            </w:r>
          </w:p>
        </w:tc>
        <w:tc>
          <w:tcPr>
            <w:tcW w:w="1559" w:type="dxa"/>
            <w:vAlign w:val="center"/>
          </w:tcPr>
          <w:p w14:paraId="1C89FCFB" w14:textId="77777777" w:rsidR="0089207C" w:rsidRPr="00AC3044" w:rsidRDefault="0089207C" w:rsidP="002D3EBF">
            <w:pPr>
              <w:rPr>
                <w:rFonts w:eastAsia="SimSun"/>
              </w:rPr>
            </w:pPr>
            <w:r w:rsidRPr="00AC3044">
              <w:rPr>
                <w:rFonts w:eastAsia="SimSun"/>
              </w:rPr>
              <w:t>20 мг/кг</w:t>
            </w:r>
          </w:p>
        </w:tc>
        <w:tc>
          <w:tcPr>
            <w:tcW w:w="1418" w:type="dxa"/>
            <w:vAlign w:val="center"/>
          </w:tcPr>
          <w:p w14:paraId="74BAF575" w14:textId="77777777" w:rsidR="0089207C" w:rsidRPr="00AC3044" w:rsidRDefault="0089207C" w:rsidP="002D3EBF">
            <w:pPr>
              <w:rPr>
                <w:rFonts w:eastAsia="SimSun"/>
              </w:rPr>
            </w:pPr>
            <w:r w:rsidRPr="00AC3044">
              <w:rPr>
                <w:rFonts w:eastAsia="SimSun"/>
              </w:rPr>
              <w:t>60 мг/кг</w:t>
            </w:r>
          </w:p>
        </w:tc>
        <w:tc>
          <w:tcPr>
            <w:tcW w:w="1701" w:type="dxa"/>
            <w:vAlign w:val="center"/>
          </w:tcPr>
          <w:p w14:paraId="43678642" w14:textId="77777777" w:rsidR="0089207C" w:rsidRPr="00AC3044" w:rsidRDefault="0089207C" w:rsidP="002D3EBF">
            <w:pPr>
              <w:rPr>
                <w:rFonts w:eastAsia="SimSun"/>
              </w:rPr>
            </w:pPr>
            <w:r w:rsidRPr="00AC3044">
              <w:rPr>
                <w:rFonts w:eastAsia="SimSun"/>
              </w:rPr>
              <w:t>В дни -3, -2, -1</w:t>
            </w:r>
          </w:p>
        </w:tc>
        <w:tc>
          <w:tcPr>
            <w:tcW w:w="2268" w:type="dxa"/>
            <w:vAlign w:val="center"/>
          </w:tcPr>
          <w:p w14:paraId="75967C72" w14:textId="77777777" w:rsidR="0089207C" w:rsidRPr="00AC3044" w:rsidRDefault="0089207C" w:rsidP="002D3EBF">
            <w:pPr>
              <w:rPr>
                <w:rFonts w:eastAsia="SimSun"/>
              </w:rPr>
            </w:pPr>
            <w:r w:rsidRPr="00AC3044">
              <w:rPr>
                <w:rFonts w:eastAsia="SimSun"/>
              </w:rPr>
              <w:t xml:space="preserve"> В/в. Суточная доза разделяется на 2 введения (см. «Инфузия АТГ»)</w:t>
            </w:r>
          </w:p>
        </w:tc>
      </w:tr>
      <w:tr w:rsidR="0089207C" w:rsidRPr="00AC3044" w14:paraId="37D531FC" w14:textId="77777777" w:rsidTr="002D3EBF">
        <w:trPr>
          <w:cantSplit/>
          <w:trHeight w:val="958"/>
        </w:trPr>
        <w:tc>
          <w:tcPr>
            <w:tcW w:w="817" w:type="dxa"/>
            <w:vMerge/>
            <w:textDirection w:val="btLr"/>
            <w:vAlign w:val="center"/>
          </w:tcPr>
          <w:p w14:paraId="5D8754B2" w14:textId="77777777" w:rsidR="0089207C" w:rsidRPr="00AC3044" w:rsidRDefault="0089207C" w:rsidP="002D3EBF">
            <w:pPr>
              <w:rPr>
                <w:rFonts w:eastAsia="SimSun"/>
              </w:rPr>
            </w:pPr>
          </w:p>
        </w:tc>
        <w:tc>
          <w:tcPr>
            <w:tcW w:w="1701" w:type="dxa"/>
            <w:vAlign w:val="center"/>
          </w:tcPr>
          <w:p w14:paraId="2BC92BB3" w14:textId="77777777" w:rsidR="0089207C" w:rsidRPr="00AC3044" w:rsidRDefault="0089207C" w:rsidP="002D3EBF">
            <w:pPr>
              <w:rPr>
                <w:rFonts w:eastAsia="SimSun"/>
              </w:rPr>
            </w:pPr>
            <w:r w:rsidRPr="00AC3044">
              <w:rPr>
                <w:rFonts w:eastAsia="SimSun"/>
              </w:rPr>
              <w:t xml:space="preserve">Такролимус </w:t>
            </w:r>
          </w:p>
        </w:tc>
        <w:tc>
          <w:tcPr>
            <w:tcW w:w="1559" w:type="dxa"/>
            <w:vAlign w:val="center"/>
          </w:tcPr>
          <w:p w14:paraId="5F9E2F3E" w14:textId="77777777" w:rsidR="0089207C" w:rsidRPr="00AC3044" w:rsidRDefault="0089207C" w:rsidP="002D3EBF">
            <w:pPr>
              <w:rPr>
                <w:rFonts w:eastAsia="SimSun"/>
              </w:rPr>
            </w:pPr>
            <w:r w:rsidRPr="00AC3044">
              <w:rPr>
                <w:rFonts w:eastAsia="SimSun"/>
              </w:rPr>
              <w:t>0,03 мг/кг</w:t>
            </w:r>
          </w:p>
        </w:tc>
        <w:tc>
          <w:tcPr>
            <w:tcW w:w="1418" w:type="dxa"/>
            <w:vAlign w:val="center"/>
          </w:tcPr>
          <w:p w14:paraId="528746B9" w14:textId="77777777" w:rsidR="0089207C" w:rsidRPr="00AC3044" w:rsidRDefault="0089207C" w:rsidP="002D3EBF">
            <w:pPr>
              <w:rPr>
                <w:rFonts w:eastAsia="SimSun"/>
              </w:rPr>
            </w:pPr>
            <w:r w:rsidRPr="00AC3044">
              <w:rPr>
                <w:rFonts w:eastAsia="SimSun"/>
              </w:rPr>
              <w:t>–</w:t>
            </w:r>
          </w:p>
        </w:tc>
        <w:tc>
          <w:tcPr>
            <w:tcW w:w="1701" w:type="dxa"/>
            <w:vAlign w:val="center"/>
          </w:tcPr>
          <w:p w14:paraId="2AB101F2" w14:textId="77777777" w:rsidR="0089207C" w:rsidRPr="00AC3044" w:rsidRDefault="0089207C" w:rsidP="002D3EBF">
            <w:pPr>
              <w:rPr>
                <w:rFonts w:eastAsia="SimSun"/>
              </w:rPr>
            </w:pPr>
            <w:r w:rsidRPr="00AC3044">
              <w:rPr>
                <w:rFonts w:eastAsia="SimSun"/>
              </w:rPr>
              <w:t xml:space="preserve">С -1 дня длительно </w:t>
            </w:r>
          </w:p>
        </w:tc>
        <w:tc>
          <w:tcPr>
            <w:tcW w:w="2268" w:type="dxa"/>
            <w:vAlign w:val="center"/>
          </w:tcPr>
          <w:p w14:paraId="63A4797A" w14:textId="77777777" w:rsidR="0089207C" w:rsidRPr="00AC3044" w:rsidRDefault="0089207C" w:rsidP="002D3EBF">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9207C" w:rsidRPr="00AC3044" w14:paraId="4DFC8D51" w14:textId="77777777" w:rsidTr="002D3EBF">
        <w:trPr>
          <w:cantSplit/>
          <w:trHeight w:val="362"/>
        </w:trPr>
        <w:tc>
          <w:tcPr>
            <w:tcW w:w="817" w:type="dxa"/>
            <w:vMerge/>
            <w:textDirection w:val="btLr"/>
            <w:vAlign w:val="center"/>
          </w:tcPr>
          <w:p w14:paraId="08EB6345" w14:textId="77777777" w:rsidR="0089207C" w:rsidRPr="00AC3044" w:rsidRDefault="0089207C" w:rsidP="002D3EBF">
            <w:pPr>
              <w:rPr>
                <w:rFonts w:eastAsia="SimSun"/>
              </w:rPr>
            </w:pPr>
          </w:p>
        </w:tc>
        <w:tc>
          <w:tcPr>
            <w:tcW w:w="1701" w:type="dxa"/>
            <w:vAlign w:val="center"/>
          </w:tcPr>
          <w:p w14:paraId="494C15EC" w14:textId="77777777" w:rsidR="0089207C" w:rsidRPr="00AC3044" w:rsidRDefault="0089207C" w:rsidP="002D3EBF">
            <w:pPr>
              <w:rPr>
                <w:rFonts w:eastAsia="SimSun"/>
              </w:rPr>
            </w:pPr>
            <w:r w:rsidRPr="00AC3044">
              <w:rPr>
                <w:rFonts w:eastAsia="SimSun"/>
              </w:rPr>
              <w:t>Микофенолата мофетил</w:t>
            </w:r>
          </w:p>
        </w:tc>
        <w:tc>
          <w:tcPr>
            <w:tcW w:w="1559" w:type="dxa"/>
            <w:vAlign w:val="center"/>
          </w:tcPr>
          <w:p w14:paraId="06F1DFFF" w14:textId="77777777" w:rsidR="0089207C" w:rsidRPr="00AC3044" w:rsidRDefault="0089207C" w:rsidP="002D3EBF">
            <w:pPr>
              <w:rPr>
                <w:rFonts w:eastAsia="SimSun"/>
              </w:rPr>
            </w:pPr>
            <w:r w:rsidRPr="00AC3044">
              <w:rPr>
                <w:rFonts w:eastAsia="SimSun"/>
              </w:rPr>
              <w:t xml:space="preserve">30 мг/кг </w:t>
            </w:r>
          </w:p>
        </w:tc>
        <w:tc>
          <w:tcPr>
            <w:tcW w:w="1418" w:type="dxa"/>
            <w:vAlign w:val="center"/>
          </w:tcPr>
          <w:p w14:paraId="082AE446" w14:textId="77777777" w:rsidR="0089207C" w:rsidRPr="00AC3044" w:rsidRDefault="0089207C" w:rsidP="002D3EBF">
            <w:pPr>
              <w:rPr>
                <w:rFonts w:eastAsia="SimSun"/>
              </w:rPr>
            </w:pPr>
            <w:r w:rsidRPr="00AC3044">
              <w:rPr>
                <w:rFonts w:eastAsia="SimSun"/>
              </w:rPr>
              <w:t>–</w:t>
            </w:r>
          </w:p>
        </w:tc>
        <w:tc>
          <w:tcPr>
            <w:tcW w:w="1701" w:type="dxa"/>
            <w:vAlign w:val="center"/>
          </w:tcPr>
          <w:p w14:paraId="70841277" w14:textId="77777777" w:rsidR="0089207C" w:rsidRPr="00AC3044" w:rsidRDefault="0089207C" w:rsidP="002D3EBF">
            <w:pPr>
              <w:rPr>
                <w:rFonts w:eastAsia="SimSun"/>
              </w:rPr>
            </w:pPr>
            <w:r w:rsidRPr="00AC3044">
              <w:rPr>
                <w:rFonts w:eastAsia="SimSun"/>
              </w:rPr>
              <w:t xml:space="preserve">С -1 дня по +30 день </w:t>
            </w:r>
          </w:p>
        </w:tc>
        <w:tc>
          <w:tcPr>
            <w:tcW w:w="2268" w:type="dxa"/>
            <w:vAlign w:val="center"/>
          </w:tcPr>
          <w:p w14:paraId="15C5528C" w14:textId="77777777" w:rsidR="0089207C" w:rsidRPr="00AC3044" w:rsidRDefault="0089207C" w:rsidP="002D3EBF">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6CC628B3" w14:textId="77777777" w:rsidR="0089207C" w:rsidRDefault="0089207C" w:rsidP="0089207C">
      <w:pPr>
        <w:rPr>
          <w:rFonts w:eastAsia="SimSun"/>
        </w:rPr>
      </w:pPr>
      <w:bookmarkStart w:id="264" w:name="_Toc44401218"/>
    </w:p>
    <w:p w14:paraId="091457C9" w14:textId="77777777" w:rsidR="0089207C" w:rsidRPr="00C07B2E" w:rsidRDefault="0089207C" w:rsidP="0089207C">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2.2.18  – Flu180+Treo36 / PT-Cy+CSA+MMF30</w:t>
      </w:r>
      <w:bookmarkEnd w:id="264"/>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701"/>
        <w:gridCol w:w="1559"/>
        <w:gridCol w:w="1418"/>
        <w:gridCol w:w="1701"/>
        <w:gridCol w:w="2268"/>
      </w:tblGrid>
      <w:tr w:rsidR="0089207C" w:rsidRPr="00AC3044" w14:paraId="6F868BEF" w14:textId="77777777" w:rsidTr="002D3EBF">
        <w:trPr>
          <w:cantSplit/>
          <w:trHeight w:val="20"/>
          <w:tblHeader/>
        </w:trPr>
        <w:tc>
          <w:tcPr>
            <w:tcW w:w="709" w:type="dxa"/>
          </w:tcPr>
          <w:p w14:paraId="6C787E21" w14:textId="77777777" w:rsidR="0089207C" w:rsidRPr="00470D3D" w:rsidRDefault="0089207C" w:rsidP="002D3EBF">
            <w:pPr>
              <w:rPr>
                <w:rFonts w:eastAsia="SimSun"/>
              </w:rPr>
            </w:pPr>
          </w:p>
        </w:tc>
        <w:tc>
          <w:tcPr>
            <w:tcW w:w="1701" w:type="dxa"/>
            <w:vAlign w:val="center"/>
          </w:tcPr>
          <w:p w14:paraId="658B9619" w14:textId="77777777" w:rsidR="0089207C" w:rsidRPr="00AC3044" w:rsidRDefault="0089207C" w:rsidP="002D3EBF">
            <w:pPr>
              <w:rPr>
                <w:rFonts w:eastAsia="SimSun"/>
              </w:rPr>
            </w:pPr>
            <w:r w:rsidRPr="00AC3044">
              <w:rPr>
                <w:rFonts w:eastAsia="SimSun"/>
              </w:rPr>
              <w:t>Препарат</w:t>
            </w:r>
          </w:p>
        </w:tc>
        <w:tc>
          <w:tcPr>
            <w:tcW w:w="1559" w:type="dxa"/>
            <w:vAlign w:val="center"/>
          </w:tcPr>
          <w:p w14:paraId="370A1C51" w14:textId="77777777" w:rsidR="0089207C" w:rsidRPr="00AC3044" w:rsidRDefault="0089207C" w:rsidP="002D3EBF">
            <w:pPr>
              <w:rPr>
                <w:rFonts w:eastAsia="SimSun"/>
              </w:rPr>
            </w:pPr>
            <w:r w:rsidRPr="00AC3044">
              <w:rPr>
                <w:rFonts w:eastAsia="SimSun"/>
              </w:rPr>
              <w:t>Суточная доза</w:t>
            </w:r>
          </w:p>
        </w:tc>
        <w:tc>
          <w:tcPr>
            <w:tcW w:w="1418" w:type="dxa"/>
            <w:vAlign w:val="center"/>
          </w:tcPr>
          <w:p w14:paraId="19ED2419" w14:textId="77777777" w:rsidR="0089207C" w:rsidRPr="00AC3044" w:rsidRDefault="0089207C" w:rsidP="002D3EBF">
            <w:pPr>
              <w:rPr>
                <w:rFonts w:eastAsia="SimSun"/>
              </w:rPr>
            </w:pPr>
            <w:r w:rsidRPr="00AC3044">
              <w:rPr>
                <w:rFonts w:eastAsia="SimSun"/>
              </w:rPr>
              <w:t>Курсовая доза</w:t>
            </w:r>
          </w:p>
        </w:tc>
        <w:tc>
          <w:tcPr>
            <w:tcW w:w="1701" w:type="dxa"/>
            <w:vAlign w:val="center"/>
          </w:tcPr>
          <w:p w14:paraId="398E904D"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2D429CCF"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396A4C1E" w14:textId="77777777" w:rsidTr="002D3EBF">
        <w:trPr>
          <w:cantSplit/>
          <w:trHeight w:val="20"/>
        </w:trPr>
        <w:tc>
          <w:tcPr>
            <w:tcW w:w="709" w:type="dxa"/>
            <w:vMerge w:val="restart"/>
            <w:textDirection w:val="btLr"/>
            <w:vAlign w:val="center"/>
          </w:tcPr>
          <w:p w14:paraId="17B34EC1" w14:textId="77777777" w:rsidR="0089207C" w:rsidRPr="00AC3044" w:rsidRDefault="0089207C" w:rsidP="002D3EBF">
            <w:pPr>
              <w:rPr>
                <w:rFonts w:eastAsia="SimSun"/>
              </w:rPr>
            </w:pPr>
            <w:r w:rsidRPr="00AC3044">
              <w:rPr>
                <w:rFonts w:eastAsia="SimSun"/>
              </w:rPr>
              <w:t>Кондиционирование</w:t>
            </w:r>
          </w:p>
        </w:tc>
        <w:tc>
          <w:tcPr>
            <w:tcW w:w="1701" w:type="dxa"/>
            <w:vAlign w:val="center"/>
          </w:tcPr>
          <w:p w14:paraId="54E11090" w14:textId="77777777" w:rsidR="0089207C" w:rsidRPr="00AC3044" w:rsidRDefault="0089207C" w:rsidP="002D3EBF">
            <w:pPr>
              <w:rPr>
                <w:rFonts w:eastAsia="SimSun"/>
              </w:rPr>
            </w:pPr>
            <w:r w:rsidRPr="00AC3044">
              <w:rPr>
                <w:rFonts w:eastAsia="SimSun"/>
              </w:rPr>
              <w:t xml:space="preserve">Флударабин </w:t>
            </w:r>
          </w:p>
        </w:tc>
        <w:tc>
          <w:tcPr>
            <w:tcW w:w="1559" w:type="dxa"/>
            <w:vAlign w:val="center"/>
          </w:tcPr>
          <w:p w14:paraId="594544F8" w14:textId="77777777" w:rsidR="0089207C" w:rsidRPr="00AC3044" w:rsidRDefault="0089207C" w:rsidP="002D3EBF">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5173C412" w14:textId="77777777" w:rsidR="0089207C" w:rsidRPr="00AC3044" w:rsidRDefault="0089207C" w:rsidP="002D3EBF">
            <w:pPr>
              <w:rPr>
                <w:rFonts w:eastAsia="SimSun"/>
              </w:rPr>
            </w:pPr>
            <w:r w:rsidRPr="00AC3044">
              <w:rPr>
                <w:rFonts w:eastAsia="SimSun"/>
              </w:rPr>
              <w:t>150 мг/м</w:t>
            </w:r>
            <w:r w:rsidRPr="0074195F">
              <w:rPr>
                <w:rFonts w:eastAsia="SimSun"/>
                <w:vertAlign w:val="superscript"/>
              </w:rPr>
              <w:t>2</w:t>
            </w:r>
          </w:p>
        </w:tc>
        <w:tc>
          <w:tcPr>
            <w:tcW w:w="1701" w:type="dxa"/>
            <w:vAlign w:val="center"/>
          </w:tcPr>
          <w:p w14:paraId="6135C88B" w14:textId="77777777" w:rsidR="0089207C" w:rsidRPr="00AC3044" w:rsidRDefault="0089207C" w:rsidP="002D3EBF">
            <w:pPr>
              <w:rPr>
                <w:rFonts w:eastAsia="SimSun"/>
              </w:rPr>
            </w:pPr>
            <w:r w:rsidRPr="00AC3044">
              <w:rPr>
                <w:rFonts w:eastAsia="SimSun"/>
              </w:rPr>
              <w:t>С –6 по –2 день</w:t>
            </w:r>
          </w:p>
        </w:tc>
        <w:tc>
          <w:tcPr>
            <w:tcW w:w="2268" w:type="dxa"/>
            <w:vAlign w:val="center"/>
          </w:tcPr>
          <w:p w14:paraId="675B6CD0"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7A1ACBBA" w14:textId="77777777" w:rsidTr="002D3EBF">
        <w:trPr>
          <w:cantSplit/>
          <w:trHeight w:val="899"/>
        </w:trPr>
        <w:tc>
          <w:tcPr>
            <w:tcW w:w="709" w:type="dxa"/>
            <w:vMerge/>
            <w:textDirection w:val="btLr"/>
            <w:vAlign w:val="center"/>
          </w:tcPr>
          <w:p w14:paraId="3DF6EB99" w14:textId="77777777" w:rsidR="0089207C" w:rsidRPr="00AC3044" w:rsidRDefault="0089207C" w:rsidP="002D3EBF">
            <w:pPr>
              <w:rPr>
                <w:rFonts w:eastAsia="SimSun"/>
              </w:rPr>
            </w:pPr>
          </w:p>
        </w:tc>
        <w:tc>
          <w:tcPr>
            <w:tcW w:w="1701" w:type="dxa"/>
            <w:vAlign w:val="center"/>
          </w:tcPr>
          <w:p w14:paraId="44B9181C" w14:textId="77777777" w:rsidR="0089207C" w:rsidRPr="00AC3044" w:rsidRDefault="0089207C" w:rsidP="002D3EBF">
            <w:pPr>
              <w:rPr>
                <w:rFonts w:eastAsia="SimSun"/>
              </w:rPr>
            </w:pPr>
            <w:r w:rsidRPr="00AC3044">
              <w:rPr>
                <w:rFonts w:eastAsia="SimSun"/>
              </w:rPr>
              <w:t>Треосульфан</w:t>
            </w:r>
          </w:p>
        </w:tc>
        <w:tc>
          <w:tcPr>
            <w:tcW w:w="1559" w:type="dxa"/>
            <w:vAlign w:val="center"/>
          </w:tcPr>
          <w:p w14:paraId="0BDEC79C" w14:textId="77777777" w:rsidR="0089207C" w:rsidRPr="00AC3044" w:rsidRDefault="0089207C" w:rsidP="002D3EBF">
            <w:pPr>
              <w:rPr>
                <w:rFonts w:eastAsia="SimSun"/>
              </w:rPr>
            </w:pPr>
            <w:r w:rsidRPr="00AC3044">
              <w:rPr>
                <w:rFonts w:eastAsia="SimSun"/>
              </w:rPr>
              <w:t>12 г/м</w:t>
            </w:r>
            <w:r w:rsidRPr="0074195F">
              <w:rPr>
                <w:rFonts w:eastAsia="SimSun"/>
                <w:vertAlign w:val="superscript"/>
              </w:rPr>
              <w:t>2</w:t>
            </w:r>
          </w:p>
        </w:tc>
        <w:tc>
          <w:tcPr>
            <w:tcW w:w="1418" w:type="dxa"/>
            <w:vAlign w:val="center"/>
          </w:tcPr>
          <w:p w14:paraId="7C9C728D" w14:textId="77777777" w:rsidR="0089207C" w:rsidRPr="00AC3044" w:rsidRDefault="0089207C" w:rsidP="002D3EBF">
            <w:pPr>
              <w:rPr>
                <w:rFonts w:eastAsia="SimSun"/>
              </w:rPr>
            </w:pPr>
            <w:r w:rsidRPr="00AC3044">
              <w:rPr>
                <w:rFonts w:eastAsia="SimSun"/>
              </w:rPr>
              <w:t>36 г/м</w:t>
            </w:r>
            <w:r w:rsidRPr="0074195F">
              <w:rPr>
                <w:rFonts w:eastAsia="SimSun"/>
                <w:vertAlign w:val="superscript"/>
              </w:rPr>
              <w:t>2</w:t>
            </w:r>
          </w:p>
        </w:tc>
        <w:tc>
          <w:tcPr>
            <w:tcW w:w="1701" w:type="dxa"/>
            <w:vAlign w:val="center"/>
          </w:tcPr>
          <w:p w14:paraId="18E384FC" w14:textId="77777777" w:rsidR="0089207C" w:rsidRPr="00AC3044" w:rsidRDefault="0089207C" w:rsidP="002D3EBF">
            <w:pPr>
              <w:rPr>
                <w:rFonts w:eastAsia="SimSun"/>
              </w:rPr>
            </w:pPr>
            <w:r w:rsidRPr="00AC3044">
              <w:rPr>
                <w:rFonts w:eastAsia="SimSun"/>
              </w:rPr>
              <w:t>С –6 по –4 день</w:t>
            </w:r>
          </w:p>
        </w:tc>
        <w:tc>
          <w:tcPr>
            <w:tcW w:w="2268" w:type="dxa"/>
            <w:vAlign w:val="center"/>
          </w:tcPr>
          <w:p w14:paraId="6B717177"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1FFE7017" w14:textId="77777777" w:rsidTr="002D3EBF">
        <w:trPr>
          <w:cantSplit/>
          <w:trHeight w:val="1394"/>
        </w:trPr>
        <w:tc>
          <w:tcPr>
            <w:tcW w:w="709" w:type="dxa"/>
            <w:vMerge w:val="restart"/>
            <w:textDirection w:val="btLr"/>
            <w:vAlign w:val="center"/>
          </w:tcPr>
          <w:p w14:paraId="7106952E" w14:textId="77777777" w:rsidR="0089207C" w:rsidRPr="00AC3044" w:rsidRDefault="0089207C" w:rsidP="002D3EBF">
            <w:pPr>
              <w:rPr>
                <w:rFonts w:eastAsia="SimSun"/>
              </w:rPr>
            </w:pPr>
            <w:r w:rsidRPr="00AC3044">
              <w:rPr>
                <w:rFonts w:eastAsia="SimSun"/>
              </w:rPr>
              <w:t>Профилактика РТПХ</w:t>
            </w:r>
          </w:p>
        </w:tc>
        <w:tc>
          <w:tcPr>
            <w:tcW w:w="1701" w:type="dxa"/>
            <w:vAlign w:val="center"/>
          </w:tcPr>
          <w:p w14:paraId="2495F43B" w14:textId="77777777" w:rsidR="0089207C" w:rsidRPr="00AC3044" w:rsidRDefault="0089207C" w:rsidP="002D3EBF">
            <w:pPr>
              <w:rPr>
                <w:rFonts w:eastAsia="SimSun"/>
              </w:rPr>
            </w:pPr>
            <w:r w:rsidRPr="00AC3044">
              <w:rPr>
                <w:rFonts w:eastAsia="SimSun"/>
              </w:rPr>
              <w:t>Циклоспорин</w:t>
            </w:r>
          </w:p>
        </w:tc>
        <w:tc>
          <w:tcPr>
            <w:tcW w:w="1559" w:type="dxa"/>
            <w:vAlign w:val="center"/>
          </w:tcPr>
          <w:p w14:paraId="27C75247" w14:textId="77777777" w:rsidR="0089207C" w:rsidRPr="00AC3044" w:rsidRDefault="0089207C" w:rsidP="002D3EBF">
            <w:pPr>
              <w:rPr>
                <w:rFonts w:eastAsia="SimSun"/>
              </w:rPr>
            </w:pPr>
            <w:r w:rsidRPr="00AC3044">
              <w:rPr>
                <w:rFonts w:eastAsia="SimSun"/>
              </w:rPr>
              <w:t>3 мг/кг</w:t>
            </w:r>
          </w:p>
        </w:tc>
        <w:tc>
          <w:tcPr>
            <w:tcW w:w="1418" w:type="dxa"/>
            <w:vAlign w:val="center"/>
          </w:tcPr>
          <w:p w14:paraId="24AC3547" w14:textId="77777777" w:rsidR="0089207C" w:rsidRPr="00AC3044" w:rsidRDefault="0089207C" w:rsidP="002D3EBF">
            <w:pPr>
              <w:rPr>
                <w:rFonts w:eastAsia="SimSun"/>
              </w:rPr>
            </w:pPr>
            <w:r w:rsidRPr="00AC3044">
              <w:rPr>
                <w:rFonts w:eastAsia="SimSun"/>
              </w:rPr>
              <w:t>–</w:t>
            </w:r>
          </w:p>
        </w:tc>
        <w:tc>
          <w:tcPr>
            <w:tcW w:w="1701" w:type="dxa"/>
            <w:vAlign w:val="center"/>
          </w:tcPr>
          <w:p w14:paraId="7D84A334" w14:textId="77777777" w:rsidR="0089207C" w:rsidRPr="00AC3044" w:rsidRDefault="0089207C" w:rsidP="002D3EBF">
            <w:pPr>
              <w:rPr>
                <w:rFonts w:eastAsia="SimSun"/>
              </w:rPr>
            </w:pPr>
            <w:r w:rsidRPr="00AC3044">
              <w:rPr>
                <w:rFonts w:eastAsia="SimSun"/>
              </w:rPr>
              <w:t>С +5 дня по +90 день затем постепенное снижение к +180 дню</w:t>
            </w:r>
          </w:p>
        </w:tc>
        <w:tc>
          <w:tcPr>
            <w:tcW w:w="2268" w:type="dxa"/>
            <w:vAlign w:val="center"/>
          </w:tcPr>
          <w:p w14:paraId="64760DDB" w14:textId="77777777" w:rsidR="0089207C" w:rsidRPr="00AC3044" w:rsidRDefault="0089207C" w:rsidP="002D3EBF">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74195F">
              <w:rPr>
                <w:rFonts w:eastAsia="SimSun"/>
              </w:rPr>
              <w:t>/</w:t>
            </w:r>
            <w:r w:rsidRPr="00AC3044">
              <w:rPr>
                <w:rFonts w:eastAsia="SimSun"/>
              </w:rPr>
              <w:t>л, при отсутствии тошноты, рвоты, диареи и возможности приема внутрь. Концентрация 150-350 нг/мл</w:t>
            </w:r>
          </w:p>
        </w:tc>
      </w:tr>
      <w:tr w:rsidR="0089207C" w:rsidRPr="00AC3044" w14:paraId="47FAFB17" w14:textId="77777777" w:rsidTr="002D3EBF">
        <w:trPr>
          <w:cantSplit/>
          <w:trHeight w:val="20"/>
        </w:trPr>
        <w:tc>
          <w:tcPr>
            <w:tcW w:w="709" w:type="dxa"/>
            <w:vMerge/>
            <w:textDirection w:val="btLr"/>
          </w:tcPr>
          <w:p w14:paraId="7F1EDA8C" w14:textId="77777777" w:rsidR="0089207C" w:rsidRPr="00AC3044" w:rsidRDefault="0089207C" w:rsidP="002D3EBF">
            <w:pPr>
              <w:rPr>
                <w:rFonts w:eastAsia="SimSun"/>
              </w:rPr>
            </w:pPr>
          </w:p>
        </w:tc>
        <w:tc>
          <w:tcPr>
            <w:tcW w:w="1701" w:type="dxa"/>
            <w:vAlign w:val="center"/>
          </w:tcPr>
          <w:p w14:paraId="5DB335E7" w14:textId="77777777" w:rsidR="0089207C" w:rsidRPr="00AC3044" w:rsidRDefault="0089207C" w:rsidP="002D3EBF">
            <w:pPr>
              <w:rPr>
                <w:rFonts w:eastAsia="SimSun"/>
              </w:rPr>
            </w:pPr>
            <w:r w:rsidRPr="00AC3044">
              <w:rPr>
                <w:rFonts w:eastAsia="SimSun"/>
              </w:rPr>
              <w:t>Микофенолата мофетил</w:t>
            </w:r>
          </w:p>
        </w:tc>
        <w:tc>
          <w:tcPr>
            <w:tcW w:w="1559" w:type="dxa"/>
            <w:vAlign w:val="center"/>
          </w:tcPr>
          <w:p w14:paraId="3F27C14D" w14:textId="77777777" w:rsidR="0089207C" w:rsidRPr="00AC3044" w:rsidRDefault="0089207C" w:rsidP="002D3EBF">
            <w:pPr>
              <w:rPr>
                <w:rFonts w:eastAsia="SimSun"/>
              </w:rPr>
            </w:pPr>
            <w:r w:rsidRPr="00AC3044">
              <w:rPr>
                <w:rFonts w:eastAsia="SimSun"/>
              </w:rPr>
              <w:t>30 мг/кг</w:t>
            </w:r>
          </w:p>
        </w:tc>
        <w:tc>
          <w:tcPr>
            <w:tcW w:w="1418" w:type="dxa"/>
            <w:vAlign w:val="center"/>
          </w:tcPr>
          <w:p w14:paraId="732F6D67" w14:textId="77777777" w:rsidR="0089207C" w:rsidRPr="00AC3044" w:rsidRDefault="0089207C" w:rsidP="002D3EBF">
            <w:pPr>
              <w:rPr>
                <w:rFonts w:eastAsia="SimSun"/>
              </w:rPr>
            </w:pPr>
            <w:r w:rsidRPr="00AC3044">
              <w:rPr>
                <w:rFonts w:eastAsia="SimSun"/>
              </w:rPr>
              <w:t>–</w:t>
            </w:r>
          </w:p>
        </w:tc>
        <w:tc>
          <w:tcPr>
            <w:tcW w:w="1701" w:type="dxa"/>
            <w:vAlign w:val="center"/>
          </w:tcPr>
          <w:p w14:paraId="7D84FEBA" w14:textId="77777777" w:rsidR="0089207C" w:rsidRPr="00AC3044" w:rsidRDefault="0089207C" w:rsidP="002D3EBF">
            <w:pPr>
              <w:rPr>
                <w:rFonts w:eastAsia="SimSun"/>
              </w:rPr>
            </w:pPr>
            <w:r w:rsidRPr="00AC3044">
              <w:rPr>
                <w:rFonts w:eastAsia="SimSun"/>
              </w:rPr>
              <w:t>С +5 по +90 день</w:t>
            </w:r>
          </w:p>
        </w:tc>
        <w:tc>
          <w:tcPr>
            <w:tcW w:w="2268" w:type="dxa"/>
            <w:vAlign w:val="center"/>
          </w:tcPr>
          <w:p w14:paraId="722D1E94" w14:textId="77777777" w:rsidR="0089207C" w:rsidRPr="00AC3044" w:rsidRDefault="0089207C" w:rsidP="002D3EBF">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89207C" w:rsidRPr="00AC3044" w14:paraId="07F704B0" w14:textId="77777777" w:rsidTr="002D3EBF">
        <w:trPr>
          <w:cantSplit/>
          <w:trHeight w:val="20"/>
        </w:trPr>
        <w:tc>
          <w:tcPr>
            <w:tcW w:w="709" w:type="dxa"/>
            <w:vMerge/>
            <w:textDirection w:val="btLr"/>
          </w:tcPr>
          <w:p w14:paraId="027F8DC8" w14:textId="77777777" w:rsidR="0089207C" w:rsidRPr="00AC3044" w:rsidRDefault="0089207C" w:rsidP="002D3EBF">
            <w:pPr>
              <w:rPr>
                <w:rFonts w:eastAsia="SimSun"/>
              </w:rPr>
            </w:pPr>
          </w:p>
        </w:tc>
        <w:tc>
          <w:tcPr>
            <w:tcW w:w="1701" w:type="dxa"/>
            <w:vAlign w:val="center"/>
          </w:tcPr>
          <w:p w14:paraId="726EDEC3" w14:textId="77777777" w:rsidR="0089207C" w:rsidRPr="00AC3044" w:rsidRDefault="0089207C" w:rsidP="002D3EBF">
            <w:pPr>
              <w:rPr>
                <w:rFonts w:eastAsia="SimSun"/>
              </w:rPr>
            </w:pPr>
            <w:r w:rsidRPr="00AC3044">
              <w:rPr>
                <w:rFonts w:eastAsia="SimSun"/>
              </w:rPr>
              <w:t>Циклофосфамид</w:t>
            </w:r>
          </w:p>
        </w:tc>
        <w:tc>
          <w:tcPr>
            <w:tcW w:w="1559" w:type="dxa"/>
            <w:vAlign w:val="center"/>
          </w:tcPr>
          <w:p w14:paraId="2264C605" w14:textId="77777777" w:rsidR="0089207C" w:rsidRPr="00AC3044" w:rsidRDefault="0089207C" w:rsidP="002D3EBF">
            <w:pPr>
              <w:rPr>
                <w:rFonts w:eastAsia="SimSun"/>
              </w:rPr>
            </w:pPr>
            <w:r w:rsidRPr="00AC3044">
              <w:rPr>
                <w:rFonts w:eastAsia="SimSun"/>
              </w:rPr>
              <w:t>50 мг/кг</w:t>
            </w:r>
          </w:p>
        </w:tc>
        <w:tc>
          <w:tcPr>
            <w:tcW w:w="1418" w:type="dxa"/>
            <w:vAlign w:val="center"/>
          </w:tcPr>
          <w:p w14:paraId="0F0D7CDE" w14:textId="77777777" w:rsidR="0089207C" w:rsidRPr="00AC3044" w:rsidRDefault="0089207C" w:rsidP="002D3EBF">
            <w:pPr>
              <w:rPr>
                <w:rFonts w:eastAsia="SimSun"/>
              </w:rPr>
            </w:pPr>
            <w:r w:rsidRPr="00AC3044">
              <w:rPr>
                <w:rFonts w:eastAsia="SimSun"/>
              </w:rPr>
              <w:t>100 мг/кг</w:t>
            </w:r>
          </w:p>
        </w:tc>
        <w:tc>
          <w:tcPr>
            <w:tcW w:w="1701" w:type="dxa"/>
            <w:vAlign w:val="center"/>
          </w:tcPr>
          <w:p w14:paraId="137C1C54" w14:textId="77777777" w:rsidR="0089207C" w:rsidRPr="00AC3044" w:rsidRDefault="0089207C" w:rsidP="002D3EBF">
            <w:pPr>
              <w:rPr>
                <w:rFonts w:eastAsia="SimSun"/>
              </w:rPr>
            </w:pPr>
            <w:r w:rsidRPr="00AC3044">
              <w:rPr>
                <w:rFonts w:eastAsia="SimSun"/>
              </w:rPr>
              <w:t xml:space="preserve">+3,+4 дни </w:t>
            </w:r>
          </w:p>
        </w:tc>
        <w:tc>
          <w:tcPr>
            <w:tcW w:w="2268" w:type="dxa"/>
            <w:vAlign w:val="center"/>
          </w:tcPr>
          <w:p w14:paraId="1B578787" w14:textId="77777777" w:rsidR="0089207C" w:rsidRPr="00AC3044" w:rsidRDefault="0089207C" w:rsidP="002D3EBF">
            <w:pPr>
              <w:rPr>
                <w:rFonts w:eastAsia="SimSun"/>
              </w:rPr>
            </w:pPr>
            <w:r w:rsidRPr="00AC3044">
              <w:rPr>
                <w:rFonts w:eastAsia="SimSun"/>
              </w:rPr>
              <w:t>В/в, в течение 2 часов</w:t>
            </w:r>
          </w:p>
        </w:tc>
      </w:tr>
    </w:tbl>
    <w:p w14:paraId="2A7B81B8" w14:textId="77777777" w:rsidR="0089207C" w:rsidRDefault="0089207C" w:rsidP="0089207C">
      <w:pPr>
        <w:rPr>
          <w:rFonts w:eastAsia="SimSun"/>
        </w:rPr>
      </w:pPr>
      <w:bookmarkStart w:id="265" w:name="_Toc44401219"/>
    </w:p>
    <w:p w14:paraId="5F2C4902" w14:textId="77777777" w:rsidR="0089207C" w:rsidRPr="00C07B2E" w:rsidRDefault="0089207C" w:rsidP="0089207C">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2.2.19  – Flu180+Cy1200 / hATG+Tx+MMF30</w:t>
      </w:r>
      <w:bookmarkEnd w:id="26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89207C" w:rsidRPr="00AC3044" w14:paraId="0E422575" w14:textId="77777777" w:rsidTr="002D3EBF">
        <w:trPr>
          <w:cantSplit/>
          <w:trHeight w:val="20"/>
          <w:tblHeader/>
        </w:trPr>
        <w:tc>
          <w:tcPr>
            <w:tcW w:w="817" w:type="dxa"/>
            <w:vAlign w:val="center"/>
          </w:tcPr>
          <w:p w14:paraId="40F9B169" w14:textId="77777777" w:rsidR="0089207C" w:rsidRPr="00AC3044" w:rsidRDefault="0089207C" w:rsidP="002D3EBF">
            <w:pPr>
              <w:rPr>
                <w:rFonts w:eastAsia="SimSun"/>
              </w:rPr>
            </w:pPr>
          </w:p>
        </w:tc>
        <w:tc>
          <w:tcPr>
            <w:tcW w:w="1701" w:type="dxa"/>
            <w:vAlign w:val="center"/>
          </w:tcPr>
          <w:p w14:paraId="4617E143" w14:textId="77777777" w:rsidR="0089207C" w:rsidRPr="00AC3044" w:rsidRDefault="0089207C" w:rsidP="002D3EBF">
            <w:pPr>
              <w:rPr>
                <w:rFonts w:eastAsia="SimSun"/>
              </w:rPr>
            </w:pPr>
            <w:r w:rsidRPr="00AC3044">
              <w:rPr>
                <w:rFonts w:eastAsia="SimSun"/>
              </w:rPr>
              <w:t>Препарат</w:t>
            </w:r>
          </w:p>
        </w:tc>
        <w:tc>
          <w:tcPr>
            <w:tcW w:w="1559" w:type="dxa"/>
            <w:vAlign w:val="center"/>
          </w:tcPr>
          <w:p w14:paraId="1D299232" w14:textId="77777777" w:rsidR="0089207C" w:rsidRPr="00AC3044" w:rsidRDefault="0089207C" w:rsidP="002D3EBF">
            <w:pPr>
              <w:rPr>
                <w:rFonts w:eastAsia="SimSun"/>
              </w:rPr>
            </w:pPr>
            <w:r w:rsidRPr="00AC3044">
              <w:rPr>
                <w:rFonts w:eastAsia="SimSun"/>
              </w:rPr>
              <w:t>Суточная доза</w:t>
            </w:r>
          </w:p>
        </w:tc>
        <w:tc>
          <w:tcPr>
            <w:tcW w:w="1418" w:type="dxa"/>
            <w:vAlign w:val="center"/>
          </w:tcPr>
          <w:p w14:paraId="5EDA4D3F" w14:textId="77777777" w:rsidR="0089207C" w:rsidRPr="00AC3044" w:rsidRDefault="0089207C" w:rsidP="002D3EBF">
            <w:pPr>
              <w:rPr>
                <w:rFonts w:eastAsia="SimSun"/>
              </w:rPr>
            </w:pPr>
            <w:r w:rsidRPr="00AC3044">
              <w:rPr>
                <w:rFonts w:eastAsia="SimSun"/>
              </w:rPr>
              <w:t>Курсовая доза</w:t>
            </w:r>
          </w:p>
        </w:tc>
        <w:tc>
          <w:tcPr>
            <w:tcW w:w="1701" w:type="dxa"/>
            <w:vAlign w:val="center"/>
          </w:tcPr>
          <w:p w14:paraId="77D255DB"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5B34A8F2"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0C4AE14A" w14:textId="77777777" w:rsidTr="002D3EBF">
        <w:trPr>
          <w:cantSplit/>
          <w:trHeight w:val="20"/>
        </w:trPr>
        <w:tc>
          <w:tcPr>
            <w:tcW w:w="817" w:type="dxa"/>
            <w:vMerge w:val="restart"/>
            <w:textDirection w:val="btLr"/>
            <w:vAlign w:val="center"/>
          </w:tcPr>
          <w:p w14:paraId="1AA3AF4E" w14:textId="77777777" w:rsidR="0089207C" w:rsidRPr="00AC3044" w:rsidRDefault="0089207C" w:rsidP="002D3EBF">
            <w:pPr>
              <w:rPr>
                <w:rFonts w:eastAsia="SimSun"/>
              </w:rPr>
            </w:pPr>
            <w:r w:rsidRPr="00AC3044">
              <w:rPr>
                <w:rFonts w:eastAsia="SimSun"/>
              </w:rPr>
              <w:t>Кондиционирование</w:t>
            </w:r>
          </w:p>
        </w:tc>
        <w:tc>
          <w:tcPr>
            <w:tcW w:w="1701" w:type="dxa"/>
            <w:vAlign w:val="center"/>
          </w:tcPr>
          <w:p w14:paraId="148906D9" w14:textId="77777777" w:rsidR="0089207C" w:rsidRPr="00AC3044" w:rsidRDefault="0089207C" w:rsidP="002D3EBF">
            <w:pPr>
              <w:rPr>
                <w:rFonts w:eastAsia="SimSun"/>
              </w:rPr>
            </w:pPr>
            <w:r w:rsidRPr="00AC3044">
              <w:rPr>
                <w:rFonts w:eastAsia="SimSun"/>
              </w:rPr>
              <w:t xml:space="preserve">Флударабин </w:t>
            </w:r>
          </w:p>
        </w:tc>
        <w:tc>
          <w:tcPr>
            <w:tcW w:w="1559" w:type="dxa"/>
            <w:vAlign w:val="center"/>
          </w:tcPr>
          <w:p w14:paraId="67D87F8E" w14:textId="77777777" w:rsidR="0089207C" w:rsidRPr="00AC3044" w:rsidRDefault="0089207C" w:rsidP="002D3EBF">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77A26AC9" w14:textId="77777777" w:rsidR="0089207C" w:rsidRPr="00AC3044" w:rsidRDefault="0089207C" w:rsidP="002D3EBF">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2CE7990E" w14:textId="77777777" w:rsidR="0089207C" w:rsidRPr="00AC3044" w:rsidRDefault="0089207C" w:rsidP="002D3EBF">
            <w:pPr>
              <w:rPr>
                <w:rFonts w:eastAsia="SimSun"/>
              </w:rPr>
            </w:pPr>
            <w:r w:rsidRPr="00AC3044">
              <w:rPr>
                <w:rFonts w:eastAsia="SimSun"/>
              </w:rPr>
              <w:t>С -7 дня по -2 день</w:t>
            </w:r>
          </w:p>
        </w:tc>
        <w:tc>
          <w:tcPr>
            <w:tcW w:w="2268" w:type="dxa"/>
            <w:vAlign w:val="center"/>
          </w:tcPr>
          <w:p w14:paraId="4BE787A0"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1848A149" w14:textId="77777777" w:rsidTr="002D3EBF">
        <w:trPr>
          <w:cantSplit/>
          <w:trHeight w:val="736"/>
        </w:trPr>
        <w:tc>
          <w:tcPr>
            <w:tcW w:w="817" w:type="dxa"/>
            <w:vMerge/>
            <w:vAlign w:val="center"/>
          </w:tcPr>
          <w:p w14:paraId="2FB19765" w14:textId="77777777" w:rsidR="0089207C" w:rsidRPr="00AC3044" w:rsidRDefault="0089207C" w:rsidP="002D3EBF">
            <w:pPr>
              <w:rPr>
                <w:rFonts w:eastAsia="SimSun"/>
              </w:rPr>
            </w:pPr>
          </w:p>
        </w:tc>
        <w:tc>
          <w:tcPr>
            <w:tcW w:w="1701" w:type="dxa"/>
            <w:vAlign w:val="center"/>
          </w:tcPr>
          <w:p w14:paraId="4B09CA6B" w14:textId="77777777" w:rsidR="0089207C" w:rsidRPr="00AC3044" w:rsidRDefault="0089207C" w:rsidP="002D3EBF">
            <w:pPr>
              <w:rPr>
                <w:rFonts w:eastAsia="SimSun"/>
              </w:rPr>
            </w:pPr>
            <w:r w:rsidRPr="00AC3044">
              <w:rPr>
                <w:rFonts w:eastAsia="SimSun"/>
              </w:rPr>
              <w:t>Циклофосфамид</w:t>
            </w:r>
          </w:p>
        </w:tc>
        <w:tc>
          <w:tcPr>
            <w:tcW w:w="1559" w:type="dxa"/>
            <w:vAlign w:val="center"/>
          </w:tcPr>
          <w:p w14:paraId="51A744B6" w14:textId="77777777" w:rsidR="0089207C" w:rsidRPr="00AC3044" w:rsidRDefault="0089207C" w:rsidP="002D3EBF">
            <w:pPr>
              <w:rPr>
                <w:rFonts w:eastAsia="SimSun"/>
              </w:rPr>
            </w:pPr>
            <w:r w:rsidRPr="00AC3044">
              <w:rPr>
                <w:rFonts w:eastAsia="SimSun"/>
              </w:rPr>
              <w:t>300 мг/м</w:t>
            </w:r>
            <w:r w:rsidRPr="0074195F">
              <w:rPr>
                <w:rFonts w:eastAsia="SimSun"/>
                <w:vertAlign w:val="superscript"/>
              </w:rPr>
              <w:t>2</w:t>
            </w:r>
            <w:r w:rsidRPr="00AC3044">
              <w:rPr>
                <w:rFonts w:eastAsia="SimSun"/>
              </w:rPr>
              <w:t xml:space="preserve"> </w:t>
            </w:r>
          </w:p>
        </w:tc>
        <w:tc>
          <w:tcPr>
            <w:tcW w:w="1418" w:type="dxa"/>
            <w:vAlign w:val="center"/>
          </w:tcPr>
          <w:p w14:paraId="1903CBCB" w14:textId="77777777" w:rsidR="0089207C" w:rsidRPr="00AC3044" w:rsidRDefault="0089207C" w:rsidP="002D3EBF">
            <w:pPr>
              <w:rPr>
                <w:rFonts w:eastAsia="SimSun"/>
              </w:rPr>
            </w:pPr>
            <w:r w:rsidRPr="00AC3044">
              <w:rPr>
                <w:rFonts w:eastAsia="SimSun"/>
              </w:rPr>
              <w:t>1200 мг/м</w:t>
            </w:r>
            <w:r w:rsidRPr="0074195F">
              <w:rPr>
                <w:rFonts w:eastAsia="SimSun"/>
                <w:vertAlign w:val="superscript"/>
              </w:rPr>
              <w:t>2</w:t>
            </w:r>
          </w:p>
        </w:tc>
        <w:tc>
          <w:tcPr>
            <w:tcW w:w="1701" w:type="dxa"/>
            <w:vAlign w:val="center"/>
          </w:tcPr>
          <w:p w14:paraId="41ADDDC6" w14:textId="77777777" w:rsidR="0089207C" w:rsidRPr="00AC3044" w:rsidRDefault="0089207C" w:rsidP="002D3EBF">
            <w:pPr>
              <w:rPr>
                <w:rFonts w:eastAsia="SimSun"/>
              </w:rPr>
            </w:pPr>
            <w:r w:rsidRPr="00AC3044">
              <w:rPr>
                <w:rFonts w:eastAsia="SimSun"/>
              </w:rPr>
              <w:t xml:space="preserve"> С -5 дня по -2 день </w:t>
            </w:r>
          </w:p>
        </w:tc>
        <w:tc>
          <w:tcPr>
            <w:tcW w:w="2268" w:type="dxa"/>
            <w:vAlign w:val="center"/>
          </w:tcPr>
          <w:p w14:paraId="4621C328"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0D01E3A9" w14:textId="77777777" w:rsidTr="002D3EBF">
        <w:trPr>
          <w:cantSplit/>
          <w:trHeight w:val="654"/>
        </w:trPr>
        <w:tc>
          <w:tcPr>
            <w:tcW w:w="817" w:type="dxa"/>
            <w:vMerge w:val="restart"/>
            <w:textDirection w:val="btLr"/>
            <w:vAlign w:val="center"/>
          </w:tcPr>
          <w:p w14:paraId="3560397F" w14:textId="77777777" w:rsidR="0089207C" w:rsidRPr="00AC3044" w:rsidRDefault="0089207C" w:rsidP="002D3EBF">
            <w:pPr>
              <w:rPr>
                <w:rFonts w:eastAsia="SimSun"/>
              </w:rPr>
            </w:pPr>
            <w:r w:rsidRPr="00AC3044">
              <w:rPr>
                <w:rFonts w:eastAsia="SimSun"/>
              </w:rPr>
              <w:t>Профилактика РТПХ</w:t>
            </w:r>
          </w:p>
        </w:tc>
        <w:tc>
          <w:tcPr>
            <w:tcW w:w="1701" w:type="dxa"/>
            <w:vAlign w:val="center"/>
          </w:tcPr>
          <w:p w14:paraId="478A9E05" w14:textId="77777777" w:rsidR="0089207C" w:rsidRPr="00AC3044" w:rsidRDefault="0089207C" w:rsidP="002D3EBF">
            <w:pPr>
              <w:rPr>
                <w:rFonts w:eastAsia="SimSun"/>
              </w:rPr>
            </w:pPr>
            <w:r w:rsidRPr="00AC3044">
              <w:rPr>
                <w:rFonts w:eastAsia="SimSun"/>
              </w:rPr>
              <w:t xml:space="preserve">АТГ (лошадиный) </w:t>
            </w:r>
          </w:p>
        </w:tc>
        <w:tc>
          <w:tcPr>
            <w:tcW w:w="1559" w:type="dxa"/>
            <w:vAlign w:val="center"/>
          </w:tcPr>
          <w:p w14:paraId="2BDCFA56" w14:textId="77777777" w:rsidR="0089207C" w:rsidRPr="00AC3044" w:rsidRDefault="0089207C" w:rsidP="002D3EBF">
            <w:pPr>
              <w:rPr>
                <w:rFonts w:eastAsia="SimSun"/>
              </w:rPr>
            </w:pPr>
            <w:r w:rsidRPr="00AC3044">
              <w:rPr>
                <w:rFonts w:eastAsia="SimSun"/>
              </w:rPr>
              <w:t>20 мг/кг</w:t>
            </w:r>
          </w:p>
        </w:tc>
        <w:tc>
          <w:tcPr>
            <w:tcW w:w="1418" w:type="dxa"/>
            <w:vAlign w:val="center"/>
          </w:tcPr>
          <w:p w14:paraId="577C8AE2" w14:textId="77777777" w:rsidR="0089207C" w:rsidRPr="00AC3044" w:rsidRDefault="0089207C" w:rsidP="002D3EBF">
            <w:pPr>
              <w:rPr>
                <w:rFonts w:eastAsia="SimSun"/>
              </w:rPr>
            </w:pPr>
            <w:r w:rsidRPr="00AC3044">
              <w:rPr>
                <w:rFonts w:eastAsia="SimSun"/>
              </w:rPr>
              <w:t>60 мг/кг</w:t>
            </w:r>
          </w:p>
        </w:tc>
        <w:tc>
          <w:tcPr>
            <w:tcW w:w="1701" w:type="dxa"/>
            <w:vAlign w:val="center"/>
          </w:tcPr>
          <w:p w14:paraId="5FE8F18B" w14:textId="77777777" w:rsidR="0089207C" w:rsidRPr="00AC3044" w:rsidRDefault="0089207C" w:rsidP="002D3EBF">
            <w:pPr>
              <w:rPr>
                <w:rFonts w:eastAsia="SimSun"/>
              </w:rPr>
            </w:pPr>
            <w:r w:rsidRPr="00AC3044">
              <w:rPr>
                <w:rFonts w:eastAsia="SimSun"/>
              </w:rPr>
              <w:t>В дни -3, -2, -1</w:t>
            </w:r>
          </w:p>
        </w:tc>
        <w:tc>
          <w:tcPr>
            <w:tcW w:w="2268" w:type="dxa"/>
            <w:vAlign w:val="center"/>
          </w:tcPr>
          <w:p w14:paraId="06873B7D" w14:textId="77777777" w:rsidR="0089207C" w:rsidRPr="00AC3044" w:rsidRDefault="0089207C" w:rsidP="002D3EBF">
            <w:pPr>
              <w:rPr>
                <w:rFonts w:eastAsia="SimSun"/>
              </w:rPr>
            </w:pPr>
            <w:r w:rsidRPr="00AC3044">
              <w:rPr>
                <w:rFonts w:eastAsia="SimSun"/>
              </w:rPr>
              <w:t>В/в. Суточная доза разделяется на 2 введения (см. «Инфузия АТГ»)</w:t>
            </w:r>
          </w:p>
        </w:tc>
      </w:tr>
      <w:tr w:rsidR="0089207C" w:rsidRPr="00AC3044" w14:paraId="5ECA50FA" w14:textId="77777777" w:rsidTr="002D3EBF">
        <w:trPr>
          <w:cantSplit/>
          <w:trHeight w:val="958"/>
        </w:trPr>
        <w:tc>
          <w:tcPr>
            <w:tcW w:w="817" w:type="dxa"/>
            <w:vMerge/>
            <w:textDirection w:val="btLr"/>
            <w:vAlign w:val="center"/>
          </w:tcPr>
          <w:p w14:paraId="1C87752E" w14:textId="77777777" w:rsidR="0089207C" w:rsidRPr="00AC3044" w:rsidRDefault="0089207C" w:rsidP="002D3EBF">
            <w:pPr>
              <w:rPr>
                <w:rFonts w:eastAsia="SimSun"/>
              </w:rPr>
            </w:pPr>
          </w:p>
        </w:tc>
        <w:tc>
          <w:tcPr>
            <w:tcW w:w="1701" w:type="dxa"/>
            <w:vAlign w:val="center"/>
          </w:tcPr>
          <w:p w14:paraId="13A734B0" w14:textId="77777777" w:rsidR="0089207C" w:rsidRPr="00AC3044" w:rsidRDefault="0089207C" w:rsidP="002D3EBF">
            <w:pPr>
              <w:rPr>
                <w:rFonts w:eastAsia="SimSun"/>
              </w:rPr>
            </w:pPr>
            <w:r w:rsidRPr="00AC3044">
              <w:rPr>
                <w:rFonts w:eastAsia="SimSun"/>
              </w:rPr>
              <w:t xml:space="preserve">Такролимус </w:t>
            </w:r>
          </w:p>
        </w:tc>
        <w:tc>
          <w:tcPr>
            <w:tcW w:w="1559" w:type="dxa"/>
            <w:vAlign w:val="center"/>
          </w:tcPr>
          <w:p w14:paraId="109D08A6" w14:textId="77777777" w:rsidR="0089207C" w:rsidRPr="00AC3044" w:rsidRDefault="0089207C" w:rsidP="002D3EBF">
            <w:pPr>
              <w:rPr>
                <w:rFonts w:eastAsia="SimSun"/>
              </w:rPr>
            </w:pPr>
            <w:r w:rsidRPr="00AC3044">
              <w:rPr>
                <w:rFonts w:eastAsia="SimSun"/>
              </w:rPr>
              <w:t>0,03 мг/кг</w:t>
            </w:r>
          </w:p>
        </w:tc>
        <w:tc>
          <w:tcPr>
            <w:tcW w:w="1418" w:type="dxa"/>
            <w:vAlign w:val="center"/>
          </w:tcPr>
          <w:p w14:paraId="7361916F" w14:textId="77777777" w:rsidR="0089207C" w:rsidRPr="00AC3044" w:rsidRDefault="0089207C" w:rsidP="002D3EBF">
            <w:pPr>
              <w:rPr>
                <w:rFonts w:eastAsia="SimSun"/>
              </w:rPr>
            </w:pPr>
            <w:r w:rsidRPr="00AC3044">
              <w:rPr>
                <w:rFonts w:eastAsia="SimSun"/>
              </w:rPr>
              <w:t>–</w:t>
            </w:r>
          </w:p>
        </w:tc>
        <w:tc>
          <w:tcPr>
            <w:tcW w:w="1701" w:type="dxa"/>
            <w:vAlign w:val="center"/>
          </w:tcPr>
          <w:p w14:paraId="011533F5" w14:textId="77777777" w:rsidR="0089207C" w:rsidRPr="00AC3044" w:rsidRDefault="0089207C" w:rsidP="002D3EBF">
            <w:pPr>
              <w:rPr>
                <w:rFonts w:eastAsia="SimSun"/>
              </w:rPr>
            </w:pPr>
            <w:r w:rsidRPr="00AC3044">
              <w:rPr>
                <w:rFonts w:eastAsia="SimSun"/>
              </w:rPr>
              <w:t xml:space="preserve">С -1 дня длительно </w:t>
            </w:r>
          </w:p>
        </w:tc>
        <w:tc>
          <w:tcPr>
            <w:tcW w:w="2268" w:type="dxa"/>
            <w:vAlign w:val="center"/>
          </w:tcPr>
          <w:p w14:paraId="2576EF62" w14:textId="77777777" w:rsidR="0089207C" w:rsidRPr="00AC3044" w:rsidRDefault="0089207C" w:rsidP="002D3EBF">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9207C" w:rsidRPr="00AC3044" w14:paraId="6AE95BB2" w14:textId="77777777" w:rsidTr="002D3EBF">
        <w:trPr>
          <w:cantSplit/>
          <w:trHeight w:val="392"/>
        </w:trPr>
        <w:tc>
          <w:tcPr>
            <w:tcW w:w="817" w:type="dxa"/>
            <w:vMerge/>
            <w:textDirection w:val="btLr"/>
            <w:vAlign w:val="center"/>
          </w:tcPr>
          <w:p w14:paraId="12916C04" w14:textId="77777777" w:rsidR="0089207C" w:rsidRPr="00AC3044" w:rsidRDefault="0089207C" w:rsidP="002D3EBF">
            <w:pPr>
              <w:rPr>
                <w:rFonts w:eastAsia="SimSun"/>
              </w:rPr>
            </w:pPr>
          </w:p>
        </w:tc>
        <w:tc>
          <w:tcPr>
            <w:tcW w:w="1701" w:type="dxa"/>
            <w:vAlign w:val="center"/>
          </w:tcPr>
          <w:p w14:paraId="6FE98182" w14:textId="77777777" w:rsidR="0089207C" w:rsidRPr="00AC3044" w:rsidRDefault="0089207C" w:rsidP="002D3EBF">
            <w:pPr>
              <w:rPr>
                <w:rFonts w:eastAsia="SimSun"/>
              </w:rPr>
            </w:pPr>
            <w:r w:rsidRPr="00AC3044">
              <w:rPr>
                <w:rFonts w:eastAsia="SimSun"/>
              </w:rPr>
              <w:t>Микофенолата мофетил</w:t>
            </w:r>
          </w:p>
        </w:tc>
        <w:tc>
          <w:tcPr>
            <w:tcW w:w="1559" w:type="dxa"/>
            <w:vAlign w:val="center"/>
          </w:tcPr>
          <w:p w14:paraId="6C1A50EF" w14:textId="77777777" w:rsidR="0089207C" w:rsidRPr="00AC3044" w:rsidRDefault="0089207C" w:rsidP="002D3EBF">
            <w:pPr>
              <w:rPr>
                <w:rFonts w:eastAsia="SimSun"/>
              </w:rPr>
            </w:pPr>
            <w:r w:rsidRPr="00AC3044">
              <w:rPr>
                <w:rFonts w:eastAsia="SimSun"/>
              </w:rPr>
              <w:t xml:space="preserve">30 мг/кг </w:t>
            </w:r>
          </w:p>
        </w:tc>
        <w:tc>
          <w:tcPr>
            <w:tcW w:w="1418" w:type="dxa"/>
            <w:vAlign w:val="center"/>
          </w:tcPr>
          <w:p w14:paraId="489FD2A4" w14:textId="77777777" w:rsidR="0089207C" w:rsidRPr="00AC3044" w:rsidRDefault="0089207C" w:rsidP="002D3EBF">
            <w:pPr>
              <w:rPr>
                <w:rFonts w:eastAsia="SimSun"/>
              </w:rPr>
            </w:pPr>
            <w:r w:rsidRPr="00AC3044">
              <w:rPr>
                <w:rFonts w:eastAsia="SimSun"/>
              </w:rPr>
              <w:t>–</w:t>
            </w:r>
          </w:p>
        </w:tc>
        <w:tc>
          <w:tcPr>
            <w:tcW w:w="1701" w:type="dxa"/>
            <w:vAlign w:val="center"/>
          </w:tcPr>
          <w:p w14:paraId="3660B41F" w14:textId="77777777" w:rsidR="0089207C" w:rsidRPr="00AC3044" w:rsidRDefault="0089207C" w:rsidP="002D3EBF">
            <w:pPr>
              <w:rPr>
                <w:rFonts w:eastAsia="SimSun"/>
              </w:rPr>
            </w:pPr>
            <w:r w:rsidRPr="00AC3044">
              <w:rPr>
                <w:rFonts w:eastAsia="SimSun"/>
              </w:rPr>
              <w:t xml:space="preserve">С -1 дня по +30 день </w:t>
            </w:r>
          </w:p>
        </w:tc>
        <w:tc>
          <w:tcPr>
            <w:tcW w:w="2268" w:type="dxa"/>
            <w:vAlign w:val="center"/>
          </w:tcPr>
          <w:p w14:paraId="36EADB3C" w14:textId="77777777" w:rsidR="0089207C" w:rsidRPr="00AC3044" w:rsidRDefault="0089207C" w:rsidP="002D3EBF">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156F9FC5" w14:textId="77777777" w:rsidR="0089207C" w:rsidRPr="0074195F" w:rsidRDefault="0089207C" w:rsidP="0089207C">
      <w:pPr>
        <w:rPr>
          <w:rFonts w:eastAsia="SimSun"/>
        </w:rPr>
      </w:pPr>
      <w:bookmarkStart w:id="266" w:name="_Toc44401220"/>
    </w:p>
    <w:p w14:paraId="765115D1" w14:textId="77777777" w:rsidR="0089207C" w:rsidRPr="00EE51B1" w:rsidRDefault="0089207C" w:rsidP="0089207C">
      <w:pPr>
        <w:rPr>
          <w:rFonts w:eastAsia="SimSun"/>
          <w:lang w:val="en-US"/>
        </w:rPr>
      </w:pPr>
      <w:r>
        <w:rPr>
          <w:rFonts w:eastAsia="SimSun"/>
        </w:rPr>
        <w:t>Таблица</w:t>
      </w:r>
      <w:r w:rsidRPr="00EE51B1">
        <w:rPr>
          <w:rFonts w:eastAsia="SimSun"/>
          <w:lang w:val="en-US"/>
        </w:rPr>
        <w:t xml:space="preserve"> </w:t>
      </w:r>
      <w:r>
        <w:rPr>
          <w:rFonts w:eastAsia="SimSun"/>
          <w:lang w:val="en-US"/>
        </w:rPr>
        <w:t>5.</w:t>
      </w:r>
      <w:r w:rsidRPr="00EE51B1">
        <w:rPr>
          <w:rFonts w:eastAsia="SimSun"/>
          <w:lang w:val="en-US"/>
        </w:rPr>
        <w:t xml:space="preserve">2.2.20  – </w:t>
      </w:r>
      <w:r w:rsidRPr="00C07B2E">
        <w:rPr>
          <w:rFonts w:eastAsia="SimSun"/>
        </w:rPr>
        <w:t>Flu</w:t>
      </w:r>
      <w:r w:rsidRPr="00EE51B1">
        <w:rPr>
          <w:rFonts w:eastAsia="SimSun"/>
          <w:lang w:val="en-US"/>
        </w:rPr>
        <w:t>180+</w:t>
      </w:r>
      <w:r w:rsidRPr="00C07B2E">
        <w:rPr>
          <w:rFonts w:eastAsia="SimSun"/>
        </w:rPr>
        <w:t>Cy</w:t>
      </w:r>
      <w:r w:rsidRPr="00EE51B1">
        <w:rPr>
          <w:rFonts w:eastAsia="SimSun"/>
          <w:lang w:val="en-US"/>
        </w:rPr>
        <w:t xml:space="preserve">1200 / </w:t>
      </w:r>
      <w:r w:rsidRPr="00C07B2E">
        <w:rPr>
          <w:rFonts w:eastAsia="SimSun"/>
        </w:rPr>
        <w:t>rATG</w:t>
      </w:r>
      <w:r w:rsidRPr="00EE51B1">
        <w:rPr>
          <w:rFonts w:eastAsia="SimSun"/>
          <w:lang w:val="en-US"/>
        </w:rPr>
        <w:t>+</w:t>
      </w:r>
      <w:r w:rsidRPr="00C07B2E">
        <w:rPr>
          <w:rFonts w:eastAsia="SimSun"/>
        </w:rPr>
        <w:t>Tx</w:t>
      </w:r>
      <w:r w:rsidRPr="00EE51B1">
        <w:rPr>
          <w:rFonts w:eastAsia="SimSun"/>
          <w:lang w:val="en-US"/>
        </w:rPr>
        <w:t>+</w:t>
      </w:r>
      <w:r w:rsidRPr="00C07B2E">
        <w:rPr>
          <w:rFonts w:eastAsia="SimSun"/>
        </w:rPr>
        <w:t>MMF</w:t>
      </w:r>
      <w:r w:rsidRPr="00EE51B1">
        <w:rPr>
          <w:rFonts w:eastAsia="SimSun"/>
          <w:lang w:val="en-US"/>
        </w:rPr>
        <w:t>30</w:t>
      </w:r>
      <w:bookmarkEnd w:id="26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89207C" w:rsidRPr="00AC3044" w14:paraId="4951C313" w14:textId="77777777" w:rsidTr="002D3EBF">
        <w:trPr>
          <w:cantSplit/>
          <w:trHeight w:val="20"/>
          <w:tblHeader/>
        </w:trPr>
        <w:tc>
          <w:tcPr>
            <w:tcW w:w="817" w:type="dxa"/>
            <w:vAlign w:val="center"/>
          </w:tcPr>
          <w:p w14:paraId="1FBED72F" w14:textId="77777777" w:rsidR="0089207C" w:rsidRPr="00AC3044" w:rsidRDefault="0089207C" w:rsidP="002D3EBF">
            <w:pPr>
              <w:rPr>
                <w:rFonts w:eastAsia="SimSun"/>
                <w:lang w:val="en-US"/>
              </w:rPr>
            </w:pPr>
          </w:p>
        </w:tc>
        <w:tc>
          <w:tcPr>
            <w:tcW w:w="1701" w:type="dxa"/>
            <w:vAlign w:val="center"/>
          </w:tcPr>
          <w:p w14:paraId="7751DB0C" w14:textId="77777777" w:rsidR="0089207C" w:rsidRPr="00AC3044" w:rsidRDefault="0089207C" w:rsidP="002D3EBF">
            <w:pPr>
              <w:rPr>
                <w:rFonts w:eastAsia="SimSun"/>
              </w:rPr>
            </w:pPr>
            <w:r w:rsidRPr="00AC3044">
              <w:rPr>
                <w:rFonts w:eastAsia="SimSun"/>
              </w:rPr>
              <w:t>Препарат</w:t>
            </w:r>
          </w:p>
        </w:tc>
        <w:tc>
          <w:tcPr>
            <w:tcW w:w="1559" w:type="dxa"/>
            <w:vAlign w:val="center"/>
          </w:tcPr>
          <w:p w14:paraId="1A4D4550" w14:textId="77777777" w:rsidR="0089207C" w:rsidRPr="00AC3044" w:rsidRDefault="0089207C" w:rsidP="002D3EBF">
            <w:pPr>
              <w:rPr>
                <w:rFonts w:eastAsia="SimSun"/>
              </w:rPr>
            </w:pPr>
            <w:r w:rsidRPr="00AC3044">
              <w:rPr>
                <w:rFonts w:eastAsia="SimSun"/>
              </w:rPr>
              <w:t>Суточная доза</w:t>
            </w:r>
          </w:p>
        </w:tc>
        <w:tc>
          <w:tcPr>
            <w:tcW w:w="1418" w:type="dxa"/>
            <w:vAlign w:val="center"/>
          </w:tcPr>
          <w:p w14:paraId="2168BB8C" w14:textId="77777777" w:rsidR="0089207C" w:rsidRPr="00AC3044" w:rsidRDefault="0089207C" w:rsidP="002D3EBF">
            <w:pPr>
              <w:rPr>
                <w:rFonts w:eastAsia="SimSun"/>
              </w:rPr>
            </w:pPr>
            <w:r w:rsidRPr="00AC3044">
              <w:rPr>
                <w:rFonts w:eastAsia="SimSun"/>
              </w:rPr>
              <w:t>Курсовая доза</w:t>
            </w:r>
          </w:p>
        </w:tc>
        <w:tc>
          <w:tcPr>
            <w:tcW w:w="1701" w:type="dxa"/>
            <w:vAlign w:val="center"/>
          </w:tcPr>
          <w:p w14:paraId="49EFA727"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09EC4CFA"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5034D9F2" w14:textId="77777777" w:rsidTr="002D3EBF">
        <w:trPr>
          <w:cantSplit/>
          <w:trHeight w:val="20"/>
        </w:trPr>
        <w:tc>
          <w:tcPr>
            <w:tcW w:w="817" w:type="dxa"/>
            <w:vMerge w:val="restart"/>
            <w:textDirection w:val="btLr"/>
            <w:vAlign w:val="center"/>
          </w:tcPr>
          <w:p w14:paraId="60B588D7" w14:textId="77777777" w:rsidR="0089207C" w:rsidRPr="00AC3044" w:rsidRDefault="0089207C" w:rsidP="002D3EBF">
            <w:pPr>
              <w:rPr>
                <w:rFonts w:eastAsia="SimSun"/>
              </w:rPr>
            </w:pPr>
            <w:r w:rsidRPr="00AC3044">
              <w:rPr>
                <w:rFonts w:eastAsia="SimSun"/>
              </w:rPr>
              <w:t>Кондиционирование</w:t>
            </w:r>
          </w:p>
        </w:tc>
        <w:tc>
          <w:tcPr>
            <w:tcW w:w="1701" w:type="dxa"/>
            <w:vAlign w:val="center"/>
          </w:tcPr>
          <w:p w14:paraId="2F4F9140" w14:textId="77777777" w:rsidR="0089207C" w:rsidRPr="00AC3044" w:rsidRDefault="0089207C" w:rsidP="002D3EBF">
            <w:pPr>
              <w:rPr>
                <w:rFonts w:eastAsia="SimSun"/>
              </w:rPr>
            </w:pPr>
            <w:r w:rsidRPr="00AC3044">
              <w:rPr>
                <w:rFonts w:eastAsia="SimSun"/>
              </w:rPr>
              <w:t xml:space="preserve">Флударабин </w:t>
            </w:r>
          </w:p>
        </w:tc>
        <w:tc>
          <w:tcPr>
            <w:tcW w:w="1559" w:type="dxa"/>
            <w:vAlign w:val="center"/>
          </w:tcPr>
          <w:p w14:paraId="1A84025E" w14:textId="77777777" w:rsidR="0089207C" w:rsidRPr="0074195F" w:rsidRDefault="0089207C" w:rsidP="002D3EBF">
            <w:pPr>
              <w:rPr>
                <w:rFonts w:eastAsia="SimSun"/>
                <w:vertAlign w:val="superscript"/>
              </w:rPr>
            </w:pPr>
            <w:r w:rsidRPr="00AC3044">
              <w:rPr>
                <w:rFonts w:eastAsia="SimSun"/>
              </w:rPr>
              <w:t>30 мг/м</w:t>
            </w:r>
            <w:r w:rsidRPr="0074195F">
              <w:rPr>
                <w:rFonts w:eastAsia="SimSun"/>
                <w:vertAlign w:val="superscript"/>
              </w:rPr>
              <w:t>2</w:t>
            </w:r>
          </w:p>
        </w:tc>
        <w:tc>
          <w:tcPr>
            <w:tcW w:w="1418" w:type="dxa"/>
            <w:vAlign w:val="center"/>
          </w:tcPr>
          <w:p w14:paraId="555B99E0" w14:textId="77777777" w:rsidR="0089207C" w:rsidRPr="00AC3044" w:rsidRDefault="0089207C" w:rsidP="002D3EBF">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362B1C63" w14:textId="77777777" w:rsidR="0089207C" w:rsidRPr="00AC3044" w:rsidRDefault="0089207C" w:rsidP="002D3EBF">
            <w:pPr>
              <w:rPr>
                <w:rFonts w:eastAsia="SimSun"/>
              </w:rPr>
            </w:pPr>
            <w:r w:rsidRPr="00AC3044">
              <w:rPr>
                <w:rFonts w:eastAsia="SimSun"/>
              </w:rPr>
              <w:t>С -7 дня по -2 день</w:t>
            </w:r>
          </w:p>
        </w:tc>
        <w:tc>
          <w:tcPr>
            <w:tcW w:w="2268" w:type="dxa"/>
            <w:vAlign w:val="center"/>
          </w:tcPr>
          <w:p w14:paraId="2EECDF07"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3EAF6A49" w14:textId="77777777" w:rsidTr="002D3EBF">
        <w:trPr>
          <w:cantSplit/>
          <w:trHeight w:val="721"/>
        </w:trPr>
        <w:tc>
          <w:tcPr>
            <w:tcW w:w="817" w:type="dxa"/>
            <w:vMerge/>
            <w:vAlign w:val="center"/>
          </w:tcPr>
          <w:p w14:paraId="169A00EB" w14:textId="77777777" w:rsidR="0089207C" w:rsidRPr="00AC3044" w:rsidRDefault="0089207C" w:rsidP="002D3EBF">
            <w:pPr>
              <w:rPr>
                <w:rFonts w:eastAsia="SimSun"/>
              </w:rPr>
            </w:pPr>
          </w:p>
        </w:tc>
        <w:tc>
          <w:tcPr>
            <w:tcW w:w="1701" w:type="dxa"/>
            <w:vAlign w:val="center"/>
          </w:tcPr>
          <w:p w14:paraId="2D21EF58" w14:textId="77777777" w:rsidR="0089207C" w:rsidRPr="00AC3044" w:rsidRDefault="0089207C" w:rsidP="002D3EBF">
            <w:pPr>
              <w:rPr>
                <w:rFonts w:eastAsia="SimSun"/>
              </w:rPr>
            </w:pPr>
            <w:r w:rsidRPr="00AC3044">
              <w:rPr>
                <w:rFonts w:eastAsia="SimSun"/>
              </w:rPr>
              <w:t>Циклофосфамид</w:t>
            </w:r>
          </w:p>
        </w:tc>
        <w:tc>
          <w:tcPr>
            <w:tcW w:w="1559" w:type="dxa"/>
            <w:vAlign w:val="center"/>
          </w:tcPr>
          <w:p w14:paraId="09E7D0BF" w14:textId="77777777" w:rsidR="0089207C" w:rsidRPr="00AC3044" w:rsidRDefault="0089207C" w:rsidP="002D3EBF">
            <w:pPr>
              <w:rPr>
                <w:rFonts w:eastAsia="SimSun"/>
              </w:rPr>
            </w:pPr>
            <w:r w:rsidRPr="00AC3044">
              <w:rPr>
                <w:rFonts w:eastAsia="SimSun"/>
              </w:rPr>
              <w:t>300 мг/м</w:t>
            </w:r>
            <w:r w:rsidRPr="0074195F">
              <w:rPr>
                <w:rFonts w:eastAsia="SimSun"/>
                <w:vertAlign w:val="superscript"/>
              </w:rPr>
              <w:t>2</w:t>
            </w:r>
            <w:r w:rsidRPr="00AC3044">
              <w:rPr>
                <w:rFonts w:eastAsia="SimSun"/>
              </w:rPr>
              <w:t xml:space="preserve"> </w:t>
            </w:r>
          </w:p>
        </w:tc>
        <w:tc>
          <w:tcPr>
            <w:tcW w:w="1418" w:type="dxa"/>
            <w:vAlign w:val="center"/>
          </w:tcPr>
          <w:p w14:paraId="1D3FF7B2" w14:textId="77777777" w:rsidR="0089207C" w:rsidRPr="00AC3044" w:rsidRDefault="0089207C" w:rsidP="002D3EBF">
            <w:pPr>
              <w:rPr>
                <w:rFonts w:eastAsia="SimSun"/>
              </w:rPr>
            </w:pPr>
            <w:r w:rsidRPr="00AC3044">
              <w:rPr>
                <w:rFonts w:eastAsia="SimSun"/>
              </w:rPr>
              <w:t>1200 мг/м</w:t>
            </w:r>
            <w:r w:rsidRPr="0074195F">
              <w:rPr>
                <w:rFonts w:eastAsia="SimSun"/>
                <w:vertAlign w:val="superscript"/>
              </w:rPr>
              <w:t>2</w:t>
            </w:r>
          </w:p>
        </w:tc>
        <w:tc>
          <w:tcPr>
            <w:tcW w:w="1701" w:type="dxa"/>
            <w:vAlign w:val="center"/>
          </w:tcPr>
          <w:p w14:paraId="3A0E2601" w14:textId="77777777" w:rsidR="0089207C" w:rsidRPr="00AC3044" w:rsidRDefault="0089207C" w:rsidP="002D3EBF">
            <w:pPr>
              <w:rPr>
                <w:rFonts w:eastAsia="SimSun"/>
              </w:rPr>
            </w:pPr>
            <w:r w:rsidRPr="00AC3044">
              <w:rPr>
                <w:rFonts w:eastAsia="SimSun"/>
              </w:rPr>
              <w:t xml:space="preserve"> С -5 дня по -2 день </w:t>
            </w:r>
          </w:p>
        </w:tc>
        <w:tc>
          <w:tcPr>
            <w:tcW w:w="2268" w:type="dxa"/>
            <w:vAlign w:val="center"/>
          </w:tcPr>
          <w:p w14:paraId="4BD4D2FF"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4029C630" w14:textId="77777777" w:rsidTr="002D3EBF">
        <w:trPr>
          <w:cantSplit/>
          <w:trHeight w:val="547"/>
        </w:trPr>
        <w:tc>
          <w:tcPr>
            <w:tcW w:w="817" w:type="dxa"/>
            <w:vMerge w:val="restart"/>
            <w:textDirection w:val="btLr"/>
            <w:vAlign w:val="center"/>
          </w:tcPr>
          <w:p w14:paraId="6A8D50B4" w14:textId="77777777" w:rsidR="0089207C" w:rsidRPr="00AC3044" w:rsidRDefault="0089207C" w:rsidP="002D3EBF">
            <w:pPr>
              <w:rPr>
                <w:rFonts w:eastAsia="SimSun"/>
              </w:rPr>
            </w:pPr>
            <w:r w:rsidRPr="00AC3044">
              <w:rPr>
                <w:rFonts w:eastAsia="SimSun"/>
              </w:rPr>
              <w:t>Профилактика РТПХ</w:t>
            </w:r>
          </w:p>
        </w:tc>
        <w:tc>
          <w:tcPr>
            <w:tcW w:w="1701" w:type="dxa"/>
            <w:vAlign w:val="center"/>
          </w:tcPr>
          <w:p w14:paraId="4A5DEF98" w14:textId="77777777" w:rsidR="0089207C" w:rsidRPr="00AC3044" w:rsidRDefault="0089207C" w:rsidP="002D3EBF">
            <w:pPr>
              <w:rPr>
                <w:rFonts w:eastAsia="SimSun"/>
              </w:rPr>
            </w:pPr>
            <w:r w:rsidRPr="00AC3044">
              <w:rPr>
                <w:rFonts w:eastAsia="SimSun"/>
              </w:rPr>
              <w:t>АТГ (кроличий)</w:t>
            </w:r>
          </w:p>
        </w:tc>
        <w:tc>
          <w:tcPr>
            <w:tcW w:w="1559" w:type="dxa"/>
            <w:vAlign w:val="center"/>
          </w:tcPr>
          <w:p w14:paraId="10BD6AC5" w14:textId="77777777" w:rsidR="0089207C" w:rsidRPr="00AC3044" w:rsidRDefault="0089207C" w:rsidP="002D3EBF">
            <w:pPr>
              <w:rPr>
                <w:rFonts w:eastAsia="SimSun"/>
              </w:rPr>
            </w:pPr>
            <w:r w:rsidRPr="00AC3044">
              <w:rPr>
                <w:rFonts w:eastAsia="SimSun"/>
              </w:rPr>
              <w:t>5 мг/кг</w:t>
            </w:r>
          </w:p>
        </w:tc>
        <w:tc>
          <w:tcPr>
            <w:tcW w:w="1418" w:type="dxa"/>
            <w:vAlign w:val="center"/>
          </w:tcPr>
          <w:p w14:paraId="4DB5C528" w14:textId="77777777" w:rsidR="0089207C" w:rsidRPr="00AC3044" w:rsidRDefault="0089207C" w:rsidP="002D3EBF">
            <w:pPr>
              <w:rPr>
                <w:rFonts w:eastAsia="SimSun"/>
              </w:rPr>
            </w:pPr>
            <w:r w:rsidRPr="00AC3044">
              <w:rPr>
                <w:rFonts w:eastAsia="SimSun"/>
              </w:rPr>
              <w:t>10 мг/кг</w:t>
            </w:r>
          </w:p>
        </w:tc>
        <w:tc>
          <w:tcPr>
            <w:tcW w:w="1701" w:type="dxa"/>
            <w:vAlign w:val="center"/>
          </w:tcPr>
          <w:p w14:paraId="51597535" w14:textId="77777777" w:rsidR="0089207C" w:rsidRPr="00AC3044" w:rsidRDefault="0089207C" w:rsidP="002D3EBF">
            <w:pPr>
              <w:rPr>
                <w:rFonts w:eastAsia="SimSun"/>
              </w:rPr>
            </w:pPr>
            <w:r w:rsidRPr="00AC3044">
              <w:rPr>
                <w:rFonts w:eastAsia="SimSun"/>
              </w:rPr>
              <w:t>В дни -2, -1</w:t>
            </w:r>
          </w:p>
        </w:tc>
        <w:tc>
          <w:tcPr>
            <w:tcW w:w="2268" w:type="dxa"/>
            <w:vAlign w:val="center"/>
          </w:tcPr>
          <w:p w14:paraId="6FF25EBF" w14:textId="77777777" w:rsidR="0089207C" w:rsidRPr="00AC3044" w:rsidRDefault="0089207C" w:rsidP="002D3EBF">
            <w:pPr>
              <w:rPr>
                <w:rFonts w:eastAsia="SimSun"/>
              </w:rPr>
            </w:pPr>
            <w:r w:rsidRPr="00AC3044">
              <w:rPr>
                <w:rFonts w:eastAsia="SimSun"/>
              </w:rPr>
              <w:t>В/в. Суточная доза разделяется на 2 введения (см.</w:t>
            </w:r>
            <w:r>
              <w:rPr>
                <w:rFonts w:eastAsia="SimSun"/>
              </w:rPr>
              <w:t xml:space="preserve"> </w:t>
            </w:r>
            <w:r w:rsidRPr="00AC3044">
              <w:rPr>
                <w:rFonts w:eastAsia="SimSun"/>
              </w:rPr>
              <w:t>«Инфузия АТГ»)</w:t>
            </w:r>
          </w:p>
        </w:tc>
      </w:tr>
      <w:tr w:rsidR="0089207C" w:rsidRPr="00AC3044" w14:paraId="4F692355" w14:textId="77777777" w:rsidTr="002D3EBF">
        <w:trPr>
          <w:cantSplit/>
          <w:trHeight w:val="958"/>
        </w:trPr>
        <w:tc>
          <w:tcPr>
            <w:tcW w:w="817" w:type="dxa"/>
            <w:vMerge/>
            <w:textDirection w:val="btLr"/>
            <w:vAlign w:val="center"/>
          </w:tcPr>
          <w:p w14:paraId="1DA50292" w14:textId="77777777" w:rsidR="0089207C" w:rsidRPr="00AC3044" w:rsidRDefault="0089207C" w:rsidP="002D3EBF">
            <w:pPr>
              <w:rPr>
                <w:rFonts w:eastAsia="SimSun"/>
              </w:rPr>
            </w:pPr>
          </w:p>
        </w:tc>
        <w:tc>
          <w:tcPr>
            <w:tcW w:w="1701" w:type="dxa"/>
            <w:vAlign w:val="center"/>
          </w:tcPr>
          <w:p w14:paraId="5E605A6D" w14:textId="77777777" w:rsidR="0089207C" w:rsidRPr="00AC3044" w:rsidRDefault="0089207C" w:rsidP="002D3EBF">
            <w:pPr>
              <w:rPr>
                <w:rFonts w:eastAsia="SimSun"/>
              </w:rPr>
            </w:pPr>
            <w:r w:rsidRPr="00AC3044">
              <w:rPr>
                <w:rFonts w:eastAsia="SimSun"/>
              </w:rPr>
              <w:t xml:space="preserve">Такролимус </w:t>
            </w:r>
          </w:p>
        </w:tc>
        <w:tc>
          <w:tcPr>
            <w:tcW w:w="1559" w:type="dxa"/>
            <w:vAlign w:val="center"/>
          </w:tcPr>
          <w:p w14:paraId="3179FB10" w14:textId="77777777" w:rsidR="0089207C" w:rsidRPr="00AC3044" w:rsidRDefault="0089207C" w:rsidP="002D3EBF">
            <w:pPr>
              <w:rPr>
                <w:rFonts w:eastAsia="SimSun"/>
              </w:rPr>
            </w:pPr>
            <w:r w:rsidRPr="00AC3044">
              <w:rPr>
                <w:rFonts w:eastAsia="SimSun"/>
              </w:rPr>
              <w:t>0,03 мг/кг</w:t>
            </w:r>
          </w:p>
        </w:tc>
        <w:tc>
          <w:tcPr>
            <w:tcW w:w="1418" w:type="dxa"/>
            <w:vAlign w:val="center"/>
          </w:tcPr>
          <w:p w14:paraId="2FA16B22" w14:textId="77777777" w:rsidR="0089207C" w:rsidRPr="00AC3044" w:rsidRDefault="0089207C" w:rsidP="002D3EBF">
            <w:pPr>
              <w:rPr>
                <w:rFonts w:eastAsia="SimSun"/>
              </w:rPr>
            </w:pPr>
            <w:r w:rsidRPr="00AC3044">
              <w:rPr>
                <w:rFonts w:eastAsia="SimSun"/>
              </w:rPr>
              <w:t>–</w:t>
            </w:r>
          </w:p>
        </w:tc>
        <w:tc>
          <w:tcPr>
            <w:tcW w:w="1701" w:type="dxa"/>
            <w:vAlign w:val="center"/>
          </w:tcPr>
          <w:p w14:paraId="5E97B46B" w14:textId="77777777" w:rsidR="0089207C" w:rsidRPr="00AC3044" w:rsidRDefault="0089207C" w:rsidP="002D3EBF">
            <w:pPr>
              <w:rPr>
                <w:rFonts w:eastAsia="SimSun"/>
              </w:rPr>
            </w:pPr>
            <w:r w:rsidRPr="00AC3044">
              <w:rPr>
                <w:rFonts w:eastAsia="SimSun"/>
              </w:rPr>
              <w:t xml:space="preserve">С -1 дня длительно </w:t>
            </w:r>
          </w:p>
        </w:tc>
        <w:tc>
          <w:tcPr>
            <w:tcW w:w="2268" w:type="dxa"/>
            <w:vAlign w:val="center"/>
          </w:tcPr>
          <w:p w14:paraId="7CF14821" w14:textId="77777777" w:rsidR="0089207C" w:rsidRPr="00AC3044" w:rsidRDefault="0089207C" w:rsidP="002D3EBF">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9207C" w:rsidRPr="00AC3044" w14:paraId="7EB19B32" w14:textId="77777777" w:rsidTr="002D3EBF">
        <w:trPr>
          <w:cantSplit/>
          <w:trHeight w:val="654"/>
        </w:trPr>
        <w:tc>
          <w:tcPr>
            <w:tcW w:w="817" w:type="dxa"/>
            <w:vMerge/>
            <w:textDirection w:val="btLr"/>
            <w:vAlign w:val="center"/>
          </w:tcPr>
          <w:p w14:paraId="0F7D4BC6" w14:textId="77777777" w:rsidR="0089207C" w:rsidRPr="00AC3044" w:rsidRDefault="0089207C" w:rsidP="002D3EBF">
            <w:pPr>
              <w:rPr>
                <w:rFonts w:eastAsia="SimSun"/>
              </w:rPr>
            </w:pPr>
          </w:p>
        </w:tc>
        <w:tc>
          <w:tcPr>
            <w:tcW w:w="1701" w:type="dxa"/>
            <w:vAlign w:val="center"/>
          </w:tcPr>
          <w:p w14:paraId="54D0A0E1" w14:textId="77777777" w:rsidR="0089207C" w:rsidRPr="00AC3044" w:rsidRDefault="0089207C" w:rsidP="002D3EBF">
            <w:pPr>
              <w:rPr>
                <w:rFonts w:eastAsia="SimSun"/>
              </w:rPr>
            </w:pPr>
            <w:r w:rsidRPr="00AC3044">
              <w:rPr>
                <w:rFonts w:eastAsia="SimSun"/>
              </w:rPr>
              <w:t>Микофенолата мофетил</w:t>
            </w:r>
          </w:p>
        </w:tc>
        <w:tc>
          <w:tcPr>
            <w:tcW w:w="1559" w:type="dxa"/>
            <w:vAlign w:val="center"/>
          </w:tcPr>
          <w:p w14:paraId="62B8A92F" w14:textId="77777777" w:rsidR="0089207C" w:rsidRPr="00AC3044" w:rsidRDefault="0089207C" w:rsidP="002D3EBF">
            <w:pPr>
              <w:rPr>
                <w:rFonts w:eastAsia="SimSun"/>
              </w:rPr>
            </w:pPr>
            <w:r w:rsidRPr="00AC3044">
              <w:rPr>
                <w:rFonts w:eastAsia="SimSun"/>
              </w:rPr>
              <w:t xml:space="preserve">30 мг/кг </w:t>
            </w:r>
          </w:p>
        </w:tc>
        <w:tc>
          <w:tcPr>
            <w:tcW w:w="1418" w:type="dxa"/>
            <w:vAlign w:val="center"/>
          </w:tcPr>
          <w:p w14:paraId="613F5AEC" w14:textId="77777777" w:rsidR="0089207C" w:rsidRPr="00AC3044" w:rsidRDefault="0089207C" w:rsidP="002D3EBF">
            <w:pPr>
              <w:rPr>
                <w:rFonts w:eastAsia="SimSun"/>
              </w:rPr>
            </w:pPr>
            <w:r w:rsidRPr="00AC3044">
              <w:rPr>
                <w:rFonts w:eastAsia="SimSun"/>
              </w:rPr>
              <w:t>–</w:t>
            </w:r>
          </w:p>
        </w:tc>
        <w:tc>
          <w:tcPr>
            <w:tcW w:w="1701" w:type="dxa"/>
            <w:vAlign w:val="center"/>
          </w:tcPr>
          <w:p w14:paraId="568FEA52" w14:textId="77777777" w:rsidR="0089207C" w:rsidRPr="00AC3044" w:rsidRDefault="0089207C" w:rsidP="002D3EBF">
            <w:pPr>
              <w:rPr>
                <w:rFonts w:eastAsia="SimSun"/>
              </w:rPr>
            </w:pPr>
            <w:r w:rsidRPr="00AC3044">
              <w:rPr>
                <w:rFonts w:eastAsia="SimSun"/>
              </w:rPr>
              <w:t xml:space="preserve">С -1 дня по +30 день </w:t>
            </w:r>
          </w:p>
        </w:tc>
        <w:tc>
          <w:tcPr>
            <w:tcW w:w="2268" w:type="dxa"/>
            <w:vAlign w:val="center"/>
          </w:tcPr>
          <w:p w14:paraId="6A1D3CC7" w14:textId="77777777" w:rsidR="0089207C" w:rsidRPr="00AC3044" w:rsidRDefault="0089207C" w:rsidP="002D3EBF">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7E9BC57F" w14:textId="77777777" w:rsidR="0089207C" w:rsidRPr="00C07B2E" w:rsidRDefault="0089207C" w:rsidP="0089207C">
      <w:pPr>
        <w:rPr>
          <w:rFonts w:eastAsia="SimSun"/>
        </w:rPr>
      </w:pPr>
    </w:p>
    <w:p w14:paraId="38F48E8D" w14:textId="77777777" w:rsidR="0089207C" w:rsidRPr="00C07B2E" w:rsidRDefault="0089207C" w:rsidP="0089207C">
      <w:pPr>
        <w:rPr>
          <w:rFonts w:eastAsia="SimSun"/>
        </w:rPr>
      </w:pPr>
      <w:bookmarkStart w:id="267" w:name="_Toc44401221"/>
      <w:r w:rsidRPr="00EE51B1">
        <w:rPr>
          <w:rFonts w:eastAsia="SimSun"/>
        </w:rPr>
        <w:t>Таблица</w:t>
      </w:r>
      <w:r w:rsidRPr="00C07B2E">
        <w:rPr>
          <w:rFonts w:eastAsia="SimSun"/>
        </w:rPr>
        <w:t xml:space="preserve"> </w:t>
      </w:r>
      <w:r>
        <w:rPr>
          <w:rFonts w:eastAsia="SimSun"/>
        </w:rPr>
        <w:t>5.</w:t>
      </w:r>
      <w:r w:rsidRPr="00C07B2E">
        <w:rPr>
          <w:rFonts w:eastAsia="SimSun"/>
        </w:rPr>
        <w:t>2.2.21 – Flu180+Mel100/ PT-Cy+Tx+MMF30</w:t>
      </w:r>
      <w:bookmarkEnd w:id="267"/>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89207C" w:rsidRPr="00AC3044" w14:paraId="5E1615C5" w14:textId="77777777" w:rsidTr="002D3EBF">
        <w:trPr>
          <w:cantSplit/>
          <w:trHeight w:val="20"/>
          <w:tblHeader/>
        </w:trPr>
        <w:tc>
          <w:tcPr>
            <w:tcW w:w="817" w:type="dxa"/>
            <w:vAlign w:val="center"/>
          </w:tcPr>
          <w:p w14:paraId="190D82FA" w14:textId="77777777" w:rsidR="0089207C" w:rsidRPr="00AC3044" w:rsidRDefault="0089207C" w:rsidP="002D3EBF">
            <w:pPr>
              <w:rPr>
                <w:rFonts w:eastAsia="SimSun"/>
              </w:rPr>
            </w:pPr>
          </w:p>
        </w:tc>
        <w:tc>
          <w:tcPr>
            <w:tcW w:w="1701" w:type="dxa"/>
            <w:vAlign w:val="center"/>
          </w:tcPr>
          <w:p w14:paraId="36667CCC" w14:textId="77777777" w:rsidR="0089207C" w:rsidRPr="00AC3044" w:rsidRDefault="0089207C" w:rsidP="002D3EBF">
            <w:pPr>
              <w:rPr>
                <w:rFonts w:eastAsia="SimSun"/>
              </w:rPr>
            </w:pPr>
            <w:r w:rsidRPr="00AC3044">
              <w:rPr>
                <w:rFonts w:eastAsia="SimSun"/>
              </w:rPr>
              <w:t>Препарат</w:t>
            </w:r>
          </w:p>
        </w:tc>
        <w:tc>
          <w:tcPr>
            <w:tcW w:w="1559" w:type="dxa"/>
            <w:vAlign w:val="center"/>
          </w:tcPr>
          <w:p w14:paraId="14CE7EFF" w14:textId="77777777" w:rsidR="0089207C" w:rsidRPr="00AC3044" w:rsidRDefault="0089207C" w:rsidP="002D3EBF">
            <w:pPr>
              <w:rPr>
                <w:rFonts w:eastAsia="SimSun"/>
              </w:rPr>
            </w:pPr>
            <w:r w:rsidRPr="00AC3044">
              <w:rPr>
                <w:rFonts w:eastAsia="SimSun"/>
              </w:rPr>
              <w:t>Суточная доза</w:t>
            </w:r>
          </w:p>
        </w:tc>
        <w:tc>
          <w:tcPr>
            <w:tcW w:w="1418" w:type="dxa"/>
            <w:vAlign w:val="center"/>
          </w:tcPr>
          <w:p w14:paraId="50EAAACB" w14:textId="77777777" w:rsidR="0089207C" w:rsidRPr="00AC3044" w:rsidRDefault="0089207C" w:rsidP="002D3EBF">
            <w:pPr>
              <w:rPr>
                <w:rFonts w:eastAsia="SimSun"/>
              </w:rPr>
            </w:pPr>
            <w:r w:rsidRPr="00AC3044">
              <w:rPr>
                <w:rFonts w:eastAsia="SimSun"/>
              </w:rPr>
              <w:t>Курсовая доза</w:t>
            </w:r>
          </w:p>
        </w:tc>
        <w:tc>
          <w:tcPr>
            <w:tcW w:w="1701" w:type="dxa"/>
            <w:vAlign w:val="center"/>
          </w:tcPr>
          <w:p w14:paraId="55A70363" w14:textId="77777777" w:rsidR="0089207C" w:rsidRPr="00AC3044" w:rsidRDefault="0089207C" w:rsidP="002D3EBF">
            <w:pPr>
              <w:rPr>
                <w:rFonts w:eastAsia="SimSun"/>
              </w:rPr>
            </w:pPr>
            <w:r w:rsidRPr="00AC3044">
              <w:rPr>
                <w:rFonts w:eastAsia="SimSun"/>
              </w:rPr>
              <w:t>Дни введения</w:t>
            </w:r>
          </w:p>
        </w:tc>
        <w:tc>
          <w:tcPr>
            <w:tcW w:w="2268" w:type="dxa"/>
            <w:vAlign w:val="center"/>
          </w:tcPr>
          <w:p w14:paraId="0339DE69"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11AD9A93" w14:textId="77777777" w:rsidTr="002D3EBF">
        <w:trPr>
          <w:cantSplit/>
          <w:trHeight w:val="20"/>
        </w:trPr>
        <w:tc>
          <w:tcPr>
            <w:tcW w:w="817" w:type="dxa"/>
            <w:vMerge w:val="restart"/>
            <w:textDirection w:val="btLr"/>
            <w:vAlign w:val="center"/>
          </w:tcPr>
          <w:p w14:paraId="104E062E" w14:textId="77777777" w:rsidR="0089207C" w:rsidRPr="00AC3044" w:rsidRDefault="0089207C" w:rsidP="002D3EBF">
            <w:pPr>
              <w:rPr>
                <w:rFonts w:eastAsia="SimSun"/>
              </w:rPr>
            </w:pPr>
            <w:r w:rsidRPr="00AC3044">
              <w:rPr>
                <w:rFonts w:eastAsia="SimSun"/>
              </w:rPr>
              <w:t>Кондиционирование</w:t>
            </w:r>
          </w:p>
        </w:tc>
        <w:tc>
          <w:tcPr>
            <w:tcW w:w="1701" w:type="dxa"/>
            <w:vAlign w:val="center"/>
          </w:tcPr>
          <w:p w14:paraId="1C4FD480" w14:textId="77777777" w:rsidR="0089207C" w:rsidRPr="00AC3044" w:rsidRDefault="0089207C" w:rsidP="002D3EBF">
            <w:pPr>
              <w:rPr>
                <w:rFonts w:eastAsia="SimSun"/>
              </w:rPr>
            </w:pPr>
            <w:r w:rsidRPr="00AC3044">
              <w:rPr>
                <w:rFonts w:eastAsia="SimSun"/>
              </w:rPr>
              <w:t xml:space="preserve">Флударабин </w:t>
            </w:r>
          </w:p>
        </w:tc>
        <w:tc>
          <w:tcPr>
            <w:tcW w:w="1559" w:type="dxa"/>
            <w:vAlign w:val="center"/>
          </w:tcPr>
          <w:p w14:paraId="3D97F869" w14:textId="77777777" w:rsidR="0089207C" w:rsidRPr="00AC3044" w:rsidRDefault="0089207C" w:rsidP="002D3EBF">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0A2199AE" w14:textId="77777777" w:rsidR="0089207C" w:rsidRPr="00AC3044" w:rsidRDefault="0089207C" w:rsidP="002D3EBF">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46117144" w14:textId="77777777" w:rsidR="0089207C" w:rsidRPr="00AC3044" w:rsidRDefault="0089207C" w:rsidP="002D3EBF">
            <w:pPr>
              <w:rPr>
                <w:rFonts w:eastAsia="SimSun"/>
              </w:rPr>
            </w:pPr>
            <w:r w:rsidRPr="00AC3044">
              <w:rPr>
                <w:rFonts w:eastAsia="SimSun"/>
              </w:rPr>
              <w:t>С -7 дня по -2 день</w:t>
            </w:r>
          </w:p>
        </w:tc>
        <w:tc>
          <w:tcPr>
            <w:tcW w:w="2268" w:type="dxa"/>
            <w:vAlign w:val="center"/>
          </w:tcPr>
          <w:p w14:paraId="26331B5E"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5D27EC5E" w14:textId="77777777" w:rsidTr="002D3EBF">
        <w:trPr>
          <w:cantSplit/>
          <w:trHeight w:val="450"/>
        </w:trPr>
        <w:tc>
          <w:tcPr>
            <w:tcW w:w="817" w:type="dxa"/>
            <w:vMerge/>
            <w:vAlign w:val="center"/>
          </w:tcPr>
          <w:p w14:paraId="4C0FC06F" w14:textId="77777777" w:rsidR="0089207C" w:rsidRPr="00AC3044" w:rsidRDefault="0089207C" w:rsidP="002D3EBF">
            <w:pPr>
              <w:rPr>
                <w:rFonts w:eastAsia="SimSun"/>
              </w:rPr>
            </w:pPr>
          </w:p>
        </w:tc>
        <w:tc>
          <w:tcPr>
            <w:tcW w:w="1701" w:type="dxa"/>
            <w:vAlign w:val="center"/>
          </w:tcPr>
          <w:p w14:paraId="135643A9" w14:textId="77777777" w:rsidR="0089207C" w:rsidRPr="00AC3044" w:rsidRDefault="0089207C" w:rsidP="002D3EBF">
            <w:pPr>
              <w:rPr>
                <w:rFonts w:eastAsia="SimSun"/>
              </w:rPr>
            </w:pPr>
            <w:r w:rsidRPr="00AC3044">
              <w:rPr>
                <w:rFonts w:eastAsia="SimSun"/>
              </w:rPr>
              <w:t>Мелфалан</w:t>
            </w:r>
          </w:p>
        </w:tc>
        <w:tc>
          <w:tcPr>
            <w:tcW w:w="1559" w:type="dxa"/>
            <w:vAlign w:val="center"/>
          </w:tcPr>
          <w:p w14:paraId="6F6E5BFF" w14:textId="77777777" w:rsidR="0089207C" w:rsidRPr="00AC3044" w:rsidRDefault="0089207C" w:rsidP="002D3EBF">
            <w:pPr>
              <w:rPr>
                <w:rFonts w:eastAsia="SimSun"/>
              </w:rPr>
            </w:pPr>
            <w:r w:rsidRPr="00AC3044">
              <w:rPr>
                <w:rFonts w:eastAsia="SimSun"/>
              </w:rPr>
              <w:t>100 мг/м</w:t>
            </w:r>
            <w:r w:rsidRPr="0074195F">
              <w:rPr>
                <w:rFonts w:eastAsia="SimSun"/>
                <w:vertAlign w:val="superscript"/>
              </w:rPr>
              <w:t>2</w:t>
            </w:r>
            <w:r w:rsidRPr="00AC3044">
              <w:rPr>
                <w:rFonts w:eastAsia="SimSun"/>
              </w:rPr>
              <w:t xml:space="preserve"> </w:t>
            </w:r>
          </w:p>
        </w:tc>
        <w:tc>
          <w:tcPr>
            <w:tcW w:w="1418" w:type="dxa"/>
            <w:vAlign w:val="center"/>
          </w:tcPr>
          <w:p w14:paraId="77CC28EA" w14:textId="77777777" w:rsidR="0089207C" w:rsidRPr="00AC3044" w:rsidRDefault="0089207C" w:rsidP="002D3EBF">
            <w:pPr>
              <w:rPr>
                <w:rFonts w:eastAsia="SimSun"/>
              </w:rPr>
            </w:pPr>
            <w:r w:rsidRPr="00AC3044">
              <w:rPr>
                <w:rFonts w:eastAsia="SimSun"/>
              </w:rPr>
              <w:t>100 мг/м</w:t>
            </w:r>
            <w:r w:rsidRPr="0074195F">
              <w:rPr>
                <w:rFonts w:eastAsia="SimSun"/>
                <w:vertAlign w:val="superscript"/>
              </w:rPr>
              <w:t>2</w:t>
            </w:r>
          </w:p>
        </w:tc>
        <w:tc>
          <w:tcPr>
            <w:tcW w:w="1701" w:type="dxa"/>
            <w:vAlign w:val="center"/>
          </w:tcPr>
          <w:p w14:paraId="6E4A8CC5" w14:textId="77777777" w:rsidR="0089207C" w:rsidRPr="00AC3044" w:rsidRDefault="0089207C" w:rsidP="002D3EBF">
            <w:pPr>
              <w:rPr>
                <w:rFonts w:eastAsia="SimSun"/>
              </w:rPr>
            </w:pPr>
            <w:r w:rsidRPr="00AC3044">
              <w:rPr>
                <w:rFonts w:eastAsia="SimSun"/>
              </w:rPr>
              <w:t xml:space="preserve">В -2 день </w:t>
            </w:r>
          </w:p>
        </w:tc>
        <w:tc>
          <w:tcPr>
            <w:tcW w:w="2268" w:type="dxa"/>
            <w:vAlign w:val="center"/>
          </w:tcPr>
          <w:p w14:paraId="3D0753D5" w14:textId="77777777" w:rsidR="0089207C" w:rsidRPr="00AC3044" w:rsidRDefault="0089207C" w:rsidP="002D3EBF">
            <w:pPr>
              <w:rPr>
                <w:rFonts w:eastAsia="SimSun"/>
              </w:rPr>
            </w:pPr>
            <w:r w:rsidRPr="00AC3044">
              <w:rPr>
                <w:rFonts w:eastAsia="SimSun"/>
              </w:rPr>
              <w:t>В/в, в течение 1 часа</w:t>
            </w:r>
          </w:p>
        </w:tc>
      </w:tr>
      <w:tr w:rsidR="0089207C" w:rsidRPr="00AC3044" w14:paraId="7A3B2FD8" w14:textId="77777777" w:rsidTr="002D3EBF">
        <w:trPr>
          <w:cantSplit/>
          <w:trHeight w:val="450"/>
        </w:trPr>
        <w:tc>
          <w:tcPr>
            <w:tcW w:w="817" w:type="dxa"/>
            <w:vMerge w:val="restart"/>
            <w:textDirection w:val="btLr"/>
            <w:vAlign w:val="center"/>
          </w:tcPr>
          <w:p w14:paraId="5FA3B1C1" w14:textId="77777777" w:rsidR="0089207C" w:rsidRPr="00AC3044" w:rsidRDefault="0089207C" w:rsidP="002D3EBF">
            <w:pPr>
              <w:rPr>
                <w:rFonts w:eastAsia="SimSun"/>
              </w:rPr>
            </w:pPr>
            <w:r w:rsidRPr="00AC3044">
              <w:rPr>
                <w:rFonts w:eastAsia="SimSun"/>
              </w:rPr>
              <w:t>Профилактика РТПХ</w:t>
            </w:r>
          </w:p>
        </w:tc>
        <w:tc>
          <w:tcPr>
            <w:tcW w:w="1701" w:type="dxa"/>
            <w:vAlign w:val="center"/>
          </w:tcPr>
          <w:p w14:paraId="25E730A0" w14:textId="77777777" w:rsidR="0089207C" w:rsidRPr="00AC3044" w:rsidRDefault="0089207C" w:rsidP="002D3EBF">
            <w:pPr>
              <w:rPr>
                <w:rFonts w:eastAsia="SimSun"/>
              </w:rPr>
            </w:pPr>
            <w:r w:rsidRPr="00AC3044">
              <w:rPr>
                <w:rFonts w:eastAsia="SimSun"/>
              </w:rPr>
              <w:t>Циклофосфамид</w:t>
            </w:r>
          </w:p>
        </w:tc>
        <w:tc>
          <w:tcPr>
            <w:tcW w:w="1559" w:type="dxa"/>
            <w:vAlign w:val="center"/>
          </w:tcPr>
          <w:p w14:paraId="3141391A" w14:textId="77777777" w:rsidR="0089207C" w:rsidRPr="00AC3044" w:rsidRDefault="0089207C" w:rsidP="002D3EBF">
            <w:pPr>
              <w:rPr>
                <w:rFonts w:eastAsia="SimSun"/>
              </w:rPr>
            </w:pPr>
            <w:r w:rsidRPr="00AC3044">
              <w:rPr>
                <w:rFonts w:eastAsia="SimSun"/>
              </w:rPr>
              <w:t>50 мг/кг</w:t>
            </w:r>
          </w:p>
        </w:tc>
        <w:tc>
          <w:tcPr>
            <w:tcW w:w="1418" w:type="dxa"/>
            <w:vAlign w:val="center"/>
          </w:tcPr>
          <w:p w14:paraId="2E385F28" w14:textId="77777777" w:rsidR="0089207C" w:rsidRPr="00AC3044" w:rsidRDefault="0089207C" w:rsidP="002D3EBF">
            <w:pPr>
              <w:rPr>
                <w:rFonts w:eastAsia="SimSun"/>
              </w:rPr>
            </w:pPr>
            <w:r w:rsidRPr="00AC3044">
              <w:rPr>
                <w:rFonts w:eastAsia="SimSun"/>
              </w:rPr>
              <w:t>100 мг/кг</w:t>
            </w:r>
          </w:p>
        </w:tc>
        <w:tc>
          <w:tcPr>
            <w:tcW w:w="1701" w:type="dxa"/>
            <w:vAlign w:val="center"/>
          </w:tcPr>
          <w:p w14:paraId="43A74AA9" w14:textId="77777777" w:rsidR="0089207C" w:rsidRPr="00AC3044" w:rsidRDefault="0089207C" w:rsidP="002D3EBF">
            <w:pPr>
              <w:rPr>
                <w:rFonts w:eastAsia="SimSun"/>
              </w:rPr>
            </w:pPr>
            <w:r w:rsidRPr="00AC3044">
              <w:rPr>
                <w:rFonts w:eastAsia="SimSun"/>
              </w:rPr>
              <w:t xml:space="preserve">+3,+4 дни </w:t>
            </w:r>
          </w:p>
        </w:tc>
        <w:tc>
          <w:tcPr>
            <w:tcW w:w="2268" w:type="dxa"/>
            <w:vAlign w:val="center"/>
          </w:tcPr>
          <w:p w14:paraId="03E81A07"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3C5A7EF4" w14:textId="77777777" w:rsidTr="002D3EBF">
        <w:trPr>
          <w:cantSplit/>
          <w:trHeight w:val="958"/>
        </w:trPr>
        <w:tc>
          <w:tcPr>
            <w:tcW w:w="817" w:type="dxa"/>
            <w:vMerge/>
            <w:textDirection w:val="btLr"/>
            <w:vAlign w:val="center"/>
          </w:tcPr>
          <w:p w14:paraId="4BA75F3D" w14:textId="77777777" w:rsidR="0089207C" w:rsidRPr="00AC3044" w:rsidRDefault="0089207C" w:rsidP="002D3EBF">
            <w:pPr>
              <w:rPr>
                <w:rFonts w:eastAsia="SimSun"/>
              </w:rPr>
            </w:pPr>
          </w:p>
        </w:tc>
        <w:tc>
          <w:tcPr>
            <w:tcW w:w="1701" w:type="dxa"/>
            <w:vAlign w:val="center"/>
          </w:tcPr>
          <w:p w14:paraId="6EFD850B" w14:textId="77777777" w:rsidR="0089207C" w:rsidRPr="00AC3044" w:rsidRDefault="0089207C" w:rsidP="002D3EBF">
            <w:pPr>
              <w:rPr>
                <w:rFonts w:eastAsia="SimSun"/>
              </w:rPr>
            </w:pPr>
            <w:r w:rsidRPr="00AC3044">
              <w:rPr>
                <w:rFonts w:eastAsia="SimSun"/>
              </w:rPr>
              <w:t xml:space="preserve">Такролимус </w:t>
            </w:r>
          </w:p>
        </w:tc>
        <w:tc>
          <w:tcPr>
            <w:tcW w:w="1559" w:type="dxa"/>
            <w:vAlign w:val="center"/>
          </w:tcPr>
          <w:p w14:paraId="0EE5E7B1" w14:textId="77777777" w:rsidR="0089207C" w:rsidRPr="00AC3044" w:rsidRDefault="0089207C" w:rsidP="002D3EBF">
            <w:pPr>
              <w:rPr>
                <w:rFonts w:eastAsia="SimSun"/>
              </w:rPr>
            </w:pPr>
            <w:r w:rsidRPr="00AC3044">
              <w:rPr>
                <w:rFonts w:eastAsia="SimSun"/>
              </w:rPr>
              <w:t>0,03 мг/кг</w:t>
            </w:r>
          </w:p>
        </w:tc>
        <w:tc>
          <w:tcPr>
            <w:tcW w:w="1418" w:type="dxa"/>
            <w:vAlign w:val="center"/>
          </w:tcPr>
          <w:p w14:paraId="24F62BF9" w14:textId="77777777" w:rsidR="0089207C" w:rsidRPr="00AC3044" w:rsidRDefault="0089207C" w:rsidP="002D3EBF">
            <w:pPr>
              <w:rPr>
                <w:rFonts w:eastAsia="SimSun"/>
              </w:rPr>
            </w:pPr>
            <w:r w:rsidRPr="00AC3044">
              <w:rPr>
                <w:rFonts w:eastAsia="SimSun"/>
              </w:rPr>
              <w:t>–</w:t>
            </w:r>
          </w:p>
        </w:tc>
        <w:tc>
          <w:tcPr>
            <w:tcW w:w="1701" w:type="dxa"/>
            <w:vAlign w:val="center"/>
          </w:tcPr>
          <w:p w14:paraId="1301AB8D" w14:textId="77777777" w:rsidR="0089207C" w:rsidRPr="00AC3044" w:rsidRDefault="0089207C" w:rsidP="002D3EBF">
            <w:pPr>
              <w:rPr>
                <w:rFonts w:eastAsia="SimSun"/>
              </w:rPr>
            </w:pPr>
            <w:r w:rsidRPr="00AC3044">
              <w:rPr>
                <w:rFonts w:eastAsia="SimSun"/>
              </w:rPr>
              <w:t xml:space="preserve">С -1 дня длительно </w:t>
            </w:r>
          </w:p>
        </w:tc>
        <w:tc>
          <w:tcPr>
            <w:tcW w:w="2268" w:type="dxa"/>
            <w:vAlign w:val="center"/>
          </w:tcPr>
          <w:p w14:paraId="421F0DA0" w14:textId="77777777" w:rsidR="0089207C" w:rsidRPr="00AC3044" w:rsidRDefault="0089207C" w:rsidP="002D3EBF">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9207C" w:rsidRPr="00AC3044" w14:paraId="022C54CA" w14:textId="77777777" w:rsidTr="002D3EBF">
        <w:trPr>
          <w:cantSplit/>
          <w:trHeight w:val="528"/>
        </w:trPr>
        <w:tc>
          <w:tcPr>
            <w:tcW w:w="817" w:type="dxa"/>
            <w:vMerge/>
            <w:textDirection w:val="btLr"/>
            <w:vAlign w:val="center"/>
          </w:tcPr>
          <w:p w14:paraId="76C52995" w14:textId="77777777" w:rsidR="0089207C" w:rsidRPr="00AC3044" w:rsidRDefault="0089207C" w:rsidP="002D3EBF">
            <w:pPr>
              <w:rPr>
                <w:rFonts w:eastAsia="SimSun"/>
              </w:rPr>
            </w:pPr>
          </w:p>
        </w:tc>
        <w:tc>
          <w:tcPr>
            <w:tcW w:w="1701" w:type="dxa"/>
            <w:vAlign w:val="center"/>
          </w:tcPr>
          <w:p w14:paraId="04D93C42" w14:textId="77777777" w:rsidR="0089207C" w:rsidRPr="00AC3044" w:rsidRDefault="0089207C" w:rsidP="002D3EBF">
            <w:pPr>
              <w:rPr>
                <w:rFonts w:eastAsia="SimSun"/>
              </w:rPr>
            </w:pPr>
            <w:r w:rsidRPr="00AC3044">
              <w:rPr>
                <w:rFonts w:eastAsia="SimSun"/>
              </w:rPr>
              <w:t>Микофенолата мофетил</w:t>
            </w:r>
          </w:p>
        </w:tc>
        <w:tc>
          <w:tcPr>
            <w:tcW w:w="1559" w:type="dxa"/>
            <w:vAlign w:val="center"/>
          </w:tcPr>
          <w:p w14:paraId="1CE95EA9" w14:textId="77777777" w:rsidR="0089207C" w:rsidRPr="00AC3044" w:rsidRDefault="0089207C" w:rsidP="002D3EBF">
            <w:pPr>
              <w:rPr>
                <w:rFonts w:eastAsia="SimSun"/>
              </w:rPr>
            </w:pPr>
            <w:r w:rsidRPr="00AC3044">
              <w:rPr>
                <w:rFonts w:eastAsia="SimSun"/>
              </w:rPr>
              <w:t xml:space="preserve">30 мг/кг </w:t>
            </w:r>
          </w:p>
        </w:tc>
        <w:tc>
          <w:tcPr>
            <w:tcW w:w="1418" w:type="dxa"/>
            <w:vAlign w:val="center"/>
          </w:tcPr>
          <w:p w14:paraId="3FE13317" w14:textId="77777777" w:rsidR="0089207C" w:rsidRPr="00AC3044" w:rsidRDefault="0089207C" w:rsidP="002D3EBF">
            <w:pPr>
              <w:rPr>
                <w:rFonts w:eastAsia="SimSun"/>
              </w:rPr>
            </w:pPr>
            <w:r w:rsidRPr="00AC3044">
              <w:rPr>
                <w:rFonts w:eastAsia="SimSun"/>
              </w:rPr>
              <w:t>–</w:t>
            </w:r>
          </w:p>
        </w:tc>
        <w:tc>
          <w:tcPr>
            <w:tcW w:w="1701" w:type="dxa"/>
            <w:vAlign w:val="center"/>
          </w:tcPr>
          <w:p w14:paraId="3D71CDF3" w14:textId="77777777" w:rsidR="0089207C" w:rsidRPr="00AC3044" w:rsidRDefault="0089207C" w:rsidP="002D3EBF">
            <w:pPr>
              <w:rPr>
                <w:rFonts w:eastAsia="SimSun"/>
              </w:rPr>
            </w:pPr>
            <w:r w:rsidRPr="00AC3044">
              <w:rPr>
                <w:rFonts w:eastAsia="SimSun"/>
              </w:rPr>
              <w:t xml:space="preserve">С -1 дня по +30 день </w:t>
            </w:r>
          </w:p>
        </w:tc>
        <w:tc>
          <w:tcPr>
            <w:tcW w:w="2268" w:type="dxa"/>
            <w:vAlign w:val="center"/>
          </w:tcPr>
          <w:p w14:paraId="51F6BFE3" w14:textId="77777777" w:rsidR="0089207C" w:rsidRPr="00AC3044" w:rsidRDefault="0089207C" w:rsidP="002D3EBF">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79BD7D61" w14:textId="77777777" w:rsidR="0089207C" w:rsidRPr="00C07B2E" w:rsidRDefault="0089207C" w:rsidP="0089207C">
      <w:pPr>
        <w:rPr>
          <w:rFonts w:eastAsia="SimSun"/>
        </w:rPr>
        <w:sectPr w:rsidR="0089207C" w:rsidRPr="00C07B2E" w:rsidSect="00980822">
          <w:footerReference w:type="default" r:id="rId17"/>
          <w:type w:val="continuous"/>
          <w:pgSz w:w="11907" w:h="16839" w:code="9"/>
          <w:pgMar w:top="1134" w:right="850" w:bottom="1134" w:left="1701" w:header="709" w:footer="567" w:gutter="0"/>
          <w:cols w:space="708"/>
          <w:docGrid w:linePitch="360"/>
        </w:sectPr>
      </w:pPr>
    </w:p>
    <w:p w14:paraId="757FF4B0" w14:textId="77777777" w:rsidR="0089207C" w:rsidRPr="0074195F" w:rsidRDefault="0089207C" w:rsidP="0089207C">
      <w:pPr>
        <w:rPr>
          <w:rFonts w:eastAsia="SimSun"/>
        </w:rPr>
      </w:pPr>
      <w:bookmarkStart w:id="268" w:name="_Toc44401222"/>
    </w:p>
    <w:p w14:paraId="48DAFDD8" w14:textId="77777777" w:rsidR="0089207C" w:rsidRPr="00030511" w:rsidRDefault="0089207C" w:rsidP="0089207C">
      <w:pPr>
        <w:rPr>
          <w:rFonts w:eastAsia="SimSun"/>
          <w:i/>
          <w:u w:val="single"/>
        </w:rPr>
      </w:pPr>
      <w:r w:rsidRPr="00030511">
        <w:rPr>
          <w:rFonts w:eastAsia="SimSun"/>
          <w:i/>
          <w:u w:val="single"/>
        </w:rPr>
        <w:t>3. Неродственный частично совместимый или родственный гаплоидентичный донор</w:t>
      </w:r>
      <w:bookmarkEnd w:id="268"/>
    </w:p>
    <w:p w14:paraId="144935B1" w14:textId="77777777" w:rsidR="0089207C" w:rsidRDefault="0089207C" w:rsidP="0089207C">
      <w:pPr>
        <w:rPr>
          <w:rFonts w:eastAsia="SimSun"/>
        </w:rPr>
      </w:pPr>
      <w:bookmarkStart w:id="269" w:name="_Toc44401223"/>
    </w:p>
    <w:bookmarkEnd w:id="269"/>
    <w:p w14:paraId="579D8231" w14:textId="77777777" w:rsidR="0089207C" w:rsidRDefault="0089207C" w:rsidP="0089207C">
      <w:pPr>
        <w:rPr>
          <w:rFonts w:eastAsia="SimSun"/>
        </w:rPr>
      </w:pPr>
      <w:r w:rsidRPr="00C07B2E">
        <w:rPr>
          <w:rFonts w:eastAsia="SimSun"/>
        </w:rPr>
        <w:t>Схемы и режимы применения препаратов для кондиционирования</w:t>
      </w:r>
      <w:r>
        <w:rPr>
          <w:rFonts w:eastAsia="SimSun"/>
        </w:rPr>
        <w:t xml:space="preserve"> </w:t>
      </w:r>
      <w:r w:rsidRPr="00030511">
        <w:rPr>
          <w:rFonts w:eastAsia="SimSun"/>
        </w:rPr>
        <w:t>в миелоаблативном режиме и режиме пониженной интенсивности</w:t>
      </w:r>
      <w:r w:rsidRPr="00C07B2E">
        <w:rPr>
          <w:rFonts w:eastAsia="SimSun"/>
        </w:rPr>
        <w:t xml:space="preserve"> и профилактики РТПХ со ссылками на приложения указаны в Таблице </w:t>
      </w:r>
      <w:r>
        <w:rPr>
          <w:rFonts w:eastAsia="SimSun"/>
        </w:rPr>
        <w:t>5.</w:t>
      </w:r>
      <w:r w:rsidRPr="00C07B2E">
        <w:rPr>
          <w:rFonts w:eastAsia="SimSun"/>
        </w:rPr>
        <w:t>3.1</w:t>
      </w:r>
    </w:p>
    <w:p w14:paraId="50988929" w14:textId="77777777" w:rsidR="0089207C" w:rsidRPr="00C07B2E" w:rsidRDefault="0089207C" w:rsidP="0089207C">
      <w:pPr>
        <w:rPr>
          <w:rFonts w:eastAsia="SimSun"/>
        </w:rPr>
        <w:sectPr w:rsidR="0089207C" w:rsidRPr="00C07B2E" w:rsidSect="00980822">
          <w:footerReference w:type="default" r:id="rId18"/>
          <w:type w:val="continuous"/>
          <w:pgSz w:w="11907" w:h="16839" w:code="9"/>
          <w:pgMar w:top="1134" w:right="850" w:bottom="1134" w:left="1701" w:header="709" w:footer="567" w:gutter="0"/>
          <w:cols w:space="708"/>
          <w:docGrid w:linePitch="360"/>
        </w:sectPr>
      </w:pPr>
    </w:p>
    <w:p w14:paraId="06D2D14D" w14:textId="77777777" w:rsidR="0089207C" w:rsidRPr="00C07B2E" w:rsidRDefault="0089207C" w:rsidP="0089207C">
      <w:pPr>
        <w:rPr>
          <w:rFonts w:eastAsia="SimSun"/>
        </w:rPr>
      </w:pPr>
      <w:r w:rsidRPr="00C07B2E">
        <w:rPr>
          <w:rFonts w:eastAsia="SimSun"/>
        </w:rPr>
        <w:t xml:space="preserve">Таблица </w:t>
      </w:r>
      <w:r>
        <w:rPr>
          <w:rFonts w:eastAsia="SimSun"/>
        </w:rPr>
        <w:t>5.</w:t>
      </w:r>
      <w:r w:rsidRPr="00C07B2E">
        <w:rPr>
          <w:rFonts w:eastAsia="SimSun"/>
        </w:rPr>
        <w:t>3.1 Схемы и режимы применения препаратов для кондиционирования и профилактики РТПХ со ссылками на приложения</w:t>
      </w:r>
    </w:p>
    <w:p w14:paraId="60B41D8F" w14:textId="77777777" w:rsidR="0089207C" w:rsidRPr="00C07B2E" w:rsidRDefault="0089207C" w:rsidP="0089207C">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1053"/>
        <w:gridCol w:w="917"/>
        <w:gridCol w:w="1302"/>
        <w:gridCol w:w="1268"/>
        <w:gridCol w:w="1154"/>
        <w:gridCol w:w="1331"/>
        <w:gridCol w:w="1268"/>
        <w:gridCol w:w="954"/>
        <w:gridCol w:w="954"/>
        <w:gridCol w:w="954"/>
        <w:gridCol w:w="1214"/>
        <w:gridCol w:w="1202"/>
      </w:tblGrid>
      <w:tr w:rsidR="0089207C" w:rsidRPr="00470E23" w14:paraId="245F050C" w14:textId="77777777" w:rsidTr="002D3EBF">
        <w:trPr>
          <w:cantSplit/>
          <w:trHeight w:val="1020"/>
        </w:trPr>
        <w:tc>
          <w:tcPr>
            <w:tcW w:w="1394" w:type="pct"/>
            <w:gridSpan w:val="4"/>
            <w:vMerge w:val="restart"/>
            <w:tcBorders>
              <w:right w:val="single" w:sz="4" w:space="0" w:color="00000A"/>
            </w:tcBorders>
            <w:shd w:val="clear" w:color="auto" w:fill="auto"/>
            <w:vAlign w:val="center"/>
          </w:tcPr>
          <w:p w14:paraId="78DEE5B1" w14:textId="77777777" w:rsidR="0089207C" w:rsidRPr="00470E23" w:rsidRDefault="0089207C" w:rsidP="002D3EBF">
            <w:pPr>
              <w:rPr>
                <w:rFonts w:eastAsia="SimSun"/>
                <w:sz w:val="22"/>
              </w:rPr>
            </w:pPr>
            <w:r w:rsidRPr="00470E23">
              <w:rPr>
                <w:rFonts w:eastAsia="SimSun"/>
                <w:sz w:val="22"/>
              </w:rPr>
              <w:t>Профилактика РТПХ</w:t>
            </w:r>
          </w:p>
        </w:tc>
        <w:tc>
          <w:tcPr>
            <w:tcW w:w="3606" w:type="pct"/>
            <w:gridSpan w:val="9"/>
            <w:tcBorders>
              <w:left w:val="single" w:sz="4" w:space="0" w:color="00000A"/>
              <w:right w:val="single" w:sz="4" w:space="0" w:color="00000A"/>
            </w:tcBorders>
            <w:shd w:val="clear" w:color="auto" w:fill="auto"/>
            <w:vAlign w:val="center"/>
          </w:tcPr>
          <w:p w14:paraId="1A1EA2FA" w14:textId="77777777" w:rsidR="0089207C" w:rsidRPr="00470E23" w:rsidRDefault="0089207C" w:rsidP="002D3EBF">
            <w:pPr>
              <w:rPr>
                <w:rFonts w:eastAsia="SimSun"/>
                <w:sz w:val="22"/>
              </w:rPr>
            </w:pPr>
            <w:r w:rsidRPr="00470E23">
              <w:rPr>
                <w:rFonts w:eastAsia="SimSun"/>
                <w:sz w:val="22"/>
              </w:rPr>
              <w:t>Режим кондиционирования</w:t>
            </w:r>
          </w:p>
        </w:tc>
      </w:tr>
      <w:tr w:rsidR="0089207C" w:rsidRPr="00470E23" w14:paraId="1E6CAE4F" w14:textId="77777777" w:rsidTr="002D3EBF">
        <w:trPr>
          <w:cantSplit/>
          <w:trHeight w:val="1020"/>
        </w:trPr>
        <w:tc>
          <w:tcPr>
            <w:tcW w:w="1394" w:type="pct"/>
            <w:gridSpan w:val="4"/>
            <w:vMerge/>
            <w:tcBorders>
              <w:right w:val="single" w:sz="4" w:space="0" w:color="00000A"/>
            </w:tcBorders>
            <w:shd w:val="clear" w:color="auto" w:fill="auto"/>
            <w:vAlign w:val="center"/>
          </w:tcPr>
          <w:p w14:paraId="6C5167FC" w14:textId="77777777" w:rsidR="0089207C" w:rsidRPr="00470E23" w:rsidRDefault="0089207C" w:rsidP="002D3EBF">
            <w:pPr>
              <w:rPr>
                <w:rFonts w:eastAsia="SimSun"/>
                <w:sz w:val="22"/>
              </w:rPr>
            </w:pPr>
          </w:p>
        </w:tc>
        <w:tc>
          <w:tcPr>
            <w:tcW w:w="1314" w:type="pct"/>
            <w:gridSpan w:val="3"/>
            <w:tcBorders>
              <w:left w:val="single" w:sz="4" w:space="0" w:color="00000A"/>
              <w:right w:val="single" w:sz="4" w:space="0" w:color="00000A"/>
            </w:tcBorders>
            <w:shd w:val="clear" w:color="auto" w:fill="D9D9D9"/>
            <w:vAlign w:val="center"/>
          </w:tcPr>
          <w:p w14:paraId="0A0F2B75" w14:textId="77777777" w:rsidR="0089207C" w:rsidRPr="00470E23" w:rsidRDefault="0089207C" w:rsidP="002D3EBF">
            <w:pPr>
              <w:rPr>
                <w:rFonts w:eastAsia="SimSun"/>
                <w:sz w:val="22"/>
              </w:rPr>
            </w:pPr>
            <w:r w:rsidRPr="00470E23">
              <w:rPr>
                <w:rFonts w:eastAsia="SimSun"/>
                <w:sz w:val="22"/>
              </w:rPr>
              <w:t>Flu150</w:t>
            </w:r>
          </w:p>
        </w:tc>
        <w:tc>
          <w:tcPr>
            <w:tcW w:w="2293" w:type="pct"/>
            <w:gridSpan w:val="6"/>
            <w:tcBorders>
              <w:left w:val="single" w:sz="4" w:space="0" w:color="00000A"/>
              <w:right w:val="single" w:sz="4" w:space="0" w:color="00000A"/>
            </w:tcBorders>
            <w:shd w:val="clear" w:color="auto" w:fill="D9D9D9"/>
            <w:vAlign w:val="center"/>
          </w:tcPr>
          <w:p w14:paraId="0302D331" w14:textId="77777777" w:rsidR="0089207C" w:rsidRPr="00470E23" w:rsidRDefault="0089207C" w:rsidP="002D3EBF">
            <w:pPr>
              <w:rPr>
                <w:rFonts w:eastAsia="SimSun"/>
                <w:sz w:val="22"/>
              </w:rPr>
            </w:pPr>
            <w:r w:rsidRPr="00470E23">
              <w:rPr>
                <w:rFonts w:eastAsia="SimSun"/>
                <w:sz w:val="22"/>
              </w:rPr>
              <w:t>Flu180</w:t>
            </w:r>
          </w:p>
        </w:tc>
      </w:tr>
      <w:tr w:rsidR="0089207C" w:rsidRPr="00470E23" w14:paraId="2C742CC6" w14:textId="77777777" w:rsidTr="002D3EBF">
        <w:trPr>
          <w:cantSplit/>
          <w:trHeight w:val="1020"/>
        </w:trPr>
        <w:tc>
          <w:tcPr>
            <w:tcW w:w="1394" w:type="pct"/>
            <w:gridSpan w:val="4"/>
            <w:vMerge/>
            <w:tcBorders>
              <w:right w:val="single" w:sz="4" w:space="0" w:color="00000A"/>
            </w:tcBorders>
            <w:shd w:val="clear" w:color="auto" w:fill="auto"/>
            <w:vAlign w:val="center"/>
          </w:tcPr>
          <w:p w14:paraId="4A67C652" w14:textId="77777777" w:rsidR="0089207C" w:rsidRPr="00470E23" w:rsidRDefault="0089207C" w:rsidP="002D3EBF">
            <w:pPr>
              <w:rPr>
                <w:rFonts w:eastAsia="SimSun"/>
                <w:sz w:val="22"/>
              </w:rPr>
            </w:pPr>
          </w:p>
        </w:tc>
        <w:tc>
          <w:tcPr>
            <w:tcW w:w="444" w:type="pct"/>
            <w:tcBorders>
              <w:left w:val="single" w:sz="4" w:space="0" w:color="00000A"/>
              <w:right w:val="single" w:sz="4" w:space="0" w:color="00000A"/>
            </w:tcBorders>
            <w:shd w:val="clear" w:color="auto" w:fill="D9D9D9"/>
            <w:vAlign w:val="center"/>
          </w:tcPr>
          <w:p w14:paraId="0A301C6C" w14:textId="77777777" w:rsidR="0089207C" w:rsidRPr="00470E23" w:rsidRDefault="0089207C" w:rsidP="002D3EBF">
            <w:pPr>
              <w:rPr>
                <w:rFonts w:eastAsia="SimSun"/>
                <w:sz w:val="22"/>
              </w:rPr>
            </w:pPr>
            <w:r w:rsidRPr="00470E23">
              <w:rPr>
                <w:rFonts w:eastAsia="SimSun"/>
                <w:sz w:val="22"/>
              </w:rPr>
              <w:t>Bu8</w:t>
            </w:r>
          </w:p>
        </w:tc>
        <w:tc>
          <w:tcPr>
            <w:tcW w:w="404" w:type="pct"/>
            <w:shd w:val="clear" w:color="auto" w:fill="D9D9D9"/>
            <w:vAlign w:val="center"/>
          </w:tcPr>
          <w:p w14:paraId="72BF0C89" w14:textId="77777777" w:rsidR="0089207C" w:rsidRPr="00470E23" w:rsidRDefault="0089207C" w:rsidP="002D3EBF">
            <w:pPr>
              <w:rPr>
                <w:rFonts w:eastAsia="SimSun"/>
                <w:sz w:val="22"/>
              </w:rPr>
            </w:pPr>
            <w:r w:rsidRPr="00470E23">
              <w:rPr>
                <w:rFonts w:eastAsia="SimSun"/>
                <w:sz w:val="22"/>
              </w:rPr>
              <w:t>Treo36</w:t>
            </w:r>
          </w:p>
        </w:tc>
        <w:tc>
          <w:tcPr>
            <w:tcW w:w="466" w:type="pct"/>
            <w:shd w:val="clear" w:color="auto" w:fill="D9D9D9"/>
            <w:vAlign w:val="center"/>
          </w:tcPr>
          <w:p w14:paraId="2650D18B" w14:textId="77777777" w:rsidR="0089207C" w:rsidRPr="00470E23" w:rsidRDefault="0089207C" w:rsidP="002D3EBF">
            <w:pPr>
              <w:rPr>
                <w:rFonts w:eastAsia="SimSun"/>
                <w:sz w:val="22"/>
              </w:rPr>
            </w:pPr>
            <w:r w:rsidRPr="00470E23">
              <w:rPr>
                <w:rFonts w:eastAsia="SimSun"/>
                <w:sz w:val="22"/>
              </w:rPr>
              <w:t>Cy14</w:t>
            </w:r>
          </w:p>
        </w:tc>
        <w:tc>
          <w:tcPr>
            <w:tcW w:w="444" w:type="pct"/>
            <w:shd w:val="clear" w:color="auto" w:fill="D9D9D9"/>
            <w:vAlign w:val="center"/>
          </w:tcPr>
          <w:p w14:paraId="05837906" w14:textId="77777777" w:rsidR="0089207C" w:rsidRPr="00470E23" w:rsidRDefault="0089207C" w:rsidP="002D3EBF">
            <w:pPr>
              <w:rPr>
                <w:rFonts w:eastAsia="SimSun"/>
                <w:sz w:val="22"/>
              </w:rPr>
            </w:pPr>
            <w:r w:rsidRPr="00470E23">
              <w:rPr>
                <w:rFonts w:eastAsia="SimSun"/>
                <w:sz w:val="22"/>
              </w:rPr>
              <w:t>Bu8</w:t>
            </w:r>
          </w:p>
        </w:tc>
        <w:tc>
          <w:tcPr>
            <w:tcW w:w="334" w:type="pct"/>
            <w:shd w:val="clear" w:color="auto" w:fill="D9D9D9"/>
            <w:vAlign w:val="center"/>
          </w:tcPr>
          <w:p w14:paraId="1FC67F26" w14:textId="77777777" w:rsidR="0089207C" w:rsidRPr="00470E23" w:rsidRDefault="0089207C" w:rsidP="002D3EBF">
            <w:pPr>
              <w:rPr>
                <w:rFonts w:eastAsia="SimSun"/>
                <w:sz w:val="22"/>
              </w:rPr>
            </w:pPr>
            <w:r w:rsidRPr="00470E23">
              <w:rPr>
                <w:rFonts w:eastAsia="SimSun"/>
                <w:sz w:val="22"/>
              </w:rPr>
              <w:t>Bu10</w:t>
            </w:r>
          </w:p>
        </w:tc>
        <w:tc>
          <w:tcPr>
            <w:tcW w:w="334" w:type="pct"/>
            <w:shd w:val="clear" w:color="auto" w:fill="D9D9D9"/>
            <w:vAlign w:val="center"/>
          </w:tcPr>
          <w:p w14:paraId="1D088F7A" w14:textId="77777777" w:rsidR="0089207C" w:rsidRPr="00470E23" w:rsidRDefault="0089207C" w:rsidP="002D3EBF">
            <w:pPr>
              <w:rPr>
                <w:rFonts w:eastAsia="SimSun"/>
                <w:sz w:val="22"/>
              </w:rPr>
            </w:pPr>
            <w:r w:rsidRPr="00470E23">
              <w:rPr>
                <w:rFonts w:eastAsia="SimSun"/>
                <w:sz w:val="22"/>
              </w:rPr>
              <w:t>Bu12</w:t>
            </w:r>
          </w:p>
        </w:tc>
        <w:tc>
          <w:tcPr>
            <w:tcW w:w="334" w:type="pct"/>
            <w:shd w:val="clear" w:color="auto" w:fill="D9D9D9"/>
            <w:vAlign w:val="center"/>
          </w:tcPr>
          <w:p w14:paraId="6C74F769" w14:textId="77777777" w:rsidR="0089207C" w:rsidRPr="00470E23" w:rsidRDefault="0089207C" w:rsidP="002D3EBF">
            <w:pPr>
              <w:rPr>
                <w:rFonts w:eastAsia="SimSun"/>
                <w:sz w:val="22"/>
              </w:rPr>
            </w:pPr>
            <w:r w:rsidRPr="00470E23">
              <w:rPr>
                <w:rFonts w:eastAsia="SimSun"/>
                <w:sz w:val="22"/>
              </w:rPr>
              <w:t>Bu14</w:t>
            </w:r>
          </w:p>
        </w:tc>
        <w:tc>
          <w:tcPr>
            <w:tcW w:w="425" w:type="pct"/>
            <w:shd w:val="clear" w:color="auto" w:fill="D9D9D9"/>
            <w:vAlign w:val="center"/>
          </w:tcPr>
          <w:p w14:paraId="5E446AE8" w14:textId="77777777" w:rsidR="0089207C" w:rsidRPr="00470E23" w:rsidRDefault="0089207C" w:rsidP="002D3EBF">
            <w:pPr>
              <w:rPr>
                <w:rFonts w:eastAsia="SimSun"/>
                <w:sz w:val="22"/>
              </w:rPr>
            </w:pPr>
            <w:r w:rsidRPr="00470E23">
              <w:rPr>
                <w:rFonts w:eastAsia="SimSun"/>
                <w:sz w:val="22"/>
              </w:rPr>
              <w:t>Cy1200</w:t>
            </w:r>
          </w:p>
        </w:tc>
        <w:tc>
          <w:tcPr>
            <w:tcW w:w="422" w:type="pct"/>
            <w:shd w:val="clear" w:color="auto" w:fill="D9D9D9"/>
            <w:vAlign w:val="center"/>
          </w:tcPr>
          <w:p w14:paraId="01C6388D" w14:textId="77777777" w:rsidR="0089207C" w:rsidRPr="00470E23" w:rsidRDefault="0089207C" w:rsidP="002D3EBF">
            <w:pPr>
              <w:rPr>
                <w:rFonts w:eastAsia="SimSun"/>
                <w:sz w:val="22"/>
              </w:rPr>
            </w:pPr>
            <w:r w:rsidRPr="00470E23">
              <w:rPr>
                <w:rFonts w:eastAsia="SimSun"/>
                <w:sz w:val="22"/>
              </w:rPr>
              <w:t>Mel100</w:t>
            </w:r>
          </w:p>
        </w:tc>
      </w:tr>
      <w:tr w:rsidR="0089207C" w:rsidRPr="00470E23" w14:paraId="7F52548A" w14:textId="77777777" w:rsidTr="002D3EBF">
        <w:trPr>
          <w:cantSplit/>
          <w:trHeight w:val="1020"/>
        </w:trPr>
        <w:tc>
          <w:tcPr>
            <w:tcW w:w="1394" w:type="pct"/>
            <w:gridSpan w:val="4"/>
            <w:vMerge/>
            <w:tcBorders>
              <w:right w:val="single" w:sz="4" w:space="0" w:color="00000A"/>
            </w:tcBorders>
            <w:shd w:val="clear" w:color="auto" w:fill="auto"/>
            <w:vAlign w:val="center"/>
          </w:tcPr>
          <w:p w14:paraId="7FE68092" w14:textId="77777777" w:rsidR="0089207C" w:rsidRPr="00470E23" w:rsidRDefault="0089207C" w:rsidP="002D3EBF">
            <w:pPr>
              <w:rPr>
                <w:rFonts w:eastAsia="SimSun"/>
                <w:sz w:val="22"/>
              </w:rPr>
            </w:pPr>
          </w:p>
        </w:tc>
        <w:tc>
          <w:tcPr>
            <w:tcW w:w="444" w:type="pct"/>
            <w:tcBorders>
              <w:left w:val="single" w:sz="4" w:space="0" w:color="00000A"/>
            </w:tcBorders>
            <w:shd w:val="clear" w:color="auto" w:fill="D9D9D9"/>
            <w:vAlign w:val="center"/>
          </w:tcPr>
          <w:p w14:paraId="48DF4D4F" w14:textId="77777777" w:rsidR="0089207C" w:rsidRPr="00470E23" w:rsidRDefault="0089207C" w:rsidP="002D3EBF">
            <w:pPr>
              <w:rPr>
                <w:rFonts w:eastAsia="SimSun"/>
                <w:sz w:val="22"/>
              </w:rPr>
            </w:pPr>
          </w:p>
          <w:p w14:paraId="39A5BBAC" w14:textId="77777777" w:rsidR="0089207C" w:rsidRPr="00470E23" w:rsidRDefault="0089207C" w:rsidP="002D3EBF">
            <w:pPr>
              <w:rPr>
                <w:rFonts w:eastAsia="SimSun"/>
                <w:sz w:val="22"/>
              </w:rPr>
            </w:pPr>
            <w:r w:rsidRPr="00470E23">
              <w:rPr>
                <w:rFonts w:eastAsia="SimSun"/>
                <w:sz w:val="22"/>
              </w:rPr>
              <w:t>Thio</w:t>
            </w:r>
          </w:p>
        </w:tc>
        <w:tc>
          <w:tcPr>
            <w:tcW w:w="404" w:type="pct"/>
            <w:shd w:val="clear" w:color="auto" w:fill="D9D9D9"/>
            <w:vAlign w:val="center"/>
          </w:tcPr>
          <w:p w14:paraId="261D8582" w14:textId="77777777" w:rsidR="0089207C" w:rsidRPr="00470E23" w:rsidRDefault="0089207C" w:rsidP="002D3EBF">
            <w:pPr>
              <w:rPr>
                <w:rFonts w:eastAsia="SimSun"/>
                <w:sz w:val="22"/>
              </w:rPr>
            </w:pPr>
            <w:r w:rsidRPr="00470E23">
              <w:rPr>
                <w:rFonts w:eastAsia="SimSun"/>
                <w:sz w:val="22"/>
              </w:rPr>
              <w:t>-</w:t>
            </w:r>
          </w:p>
        </w:tc>
        <w:tc>
          <w:tcPr>
            <w:tcW w:w="466" w:type="pct"/>
            <w:shd w:val="clear" w:color="auto" w:fill="D9D9D9"/>
            <w:vAlign w:val="center"/>
          </w:tcPr>
          <w:p w14:paraId="5597A5C4" w14:textId="77777777" w:rsidR="0089207C" w:rsidRPr="00470E23" w:rsidRDefault="0089207C" w:rsidP="002D3EBF">
            <w:pPr>
              <w:rPr>
                <w:rFonts w:eastAsia="SimSun"/>
                <w:sz w:val="22"/>
              </w:rPr>
            </w:pPr>
            <w:r w:rsidRPr="00470E23">
              <w:rPr>
                <w:rFonts w:eastAsia="SimSun"/>
                <w:sz w:val="22"/>
              </w:rPr>
              <w:t>TBI</w:t>
            </w:r>
          </w:p>
        </w:tc>
        <w:tc>
          <w:tcPr>
            <w:tcW w:w="444" w:type="pct"/>
            <w:shd w:val="clear" w:color="auto" w:fill="D9D9D9"/>
            <w:vAlign w:val="center"/>
          </w:tcPr>
          <w:p w14:paraId="35BF2C5E" w14:textId="77777777" w:rsidR="0089207C" w:rsidRPr="00470E23" w:rsidRDefault="0089207C" w:rsidP="002D3EBF">
            <w:pPr>
              <w:rPr>
                <w:rFonts w:eastAsia="SimSun"/>
                <w:sz w:val="22"/>
              </w:rPr>
            </w:pPr>
            <w:r w:rsidRPr="00470E23">
              <w:rPr>
                <w:rFonts w:eastAsia="SimSun"/>
                <w:sz w:val="22"/>
              </w:rPr>
              <w:t>-</w:t>
            </w:r>
          </w:p>
        </w:tc>
        <w:tc>
          <w:tcPr>
            <w:tcW w:w="334" w:type="pct"/>
            <w:shd w:val="clear" w:color="auto" w:fill="D9D9D9"/>
            <w:vAlign w:val="center"/>
          </w:tcPr>
          <w:p w14:paraId="0215D5AA" w14:textId="77777777" w:rsidR="0089207C" w:rsidRPr="00470E23" w:rsidRDefault="0089207C" w:rsidP="002D3EBF">
            <w:pPr>
              <w:rPr>
                <w:rFonts w:eastAsia="SimSun"/>
                <w:sz w:val="22"/>
              </w:rPr>
            </w:pPr>
            <w:r w:rsidRPr="00470E23">
              <w:rPr>
                <w:rFonts w:eastAsia="SimSun"/>
                <w:sz w:val="22"/>
              </w:rPr>
              <w:t>-</w:t>
            </w:r>
          </w:p>
        </w:tc>
        <w:tc>
          <w:tcPr>
            <w:tcW w:w="334" w:type="pct"/>
            <w:shd w:val="clear" w:color="auto" w:fill="D9D9D9"/>
            <w:vAlign w:val="center"/>
          </w:tcPr>
          <w:p w14:paraId="1AB28120" w14:textId="77777777" w:rsidR="0089207C" w:rsidRPr="00470E23" w:rsidRDefault="0089207C" w:rsidP="002D3EBF">
            <w:pPr>
              <w:rPr>
                <w:rFonts w:eastAsia="SimSun"/>
                <w:sz w:val="22"/>
              </w:rPr>
            </w:pPr>
            <w:r w:rsidRPr="00470E23">
              <w:rPr>
                <w:rFonts w:eastAsia="SimSun"/>
                <w:sz w:val="22"/>
              </w:rPr>
              <w:t>-</w:t>
            </w:r>
          </w:p>
        </w:tc>
        <w:tc>
          <w:tcPr>
            <w:tcW w:w="334" w:type="pct"/>
            <w:shd w:val="clear" w:color="auto" w:fill="D9D9D9"/>
            <w:vAlign w:val="center"/>
          </w:tcPr>
          <w:p w14:paraId="4D105C1A" w14:textId="77777777" w:rsidR="0089207C" w:rsidRPr="00470E23" w:rsidRDefault="0089207C" w:rsidP="002D3EBF">
            <w:pPr>
              <w:rPr>
                <w:rFonts w:eastAsia="SimSun"/>
                <w:sz w:val="22"/>
              </w:rPr>
            </w:pPr>
            <w:r w:rsidRPr="00470E23">
              <w:rPr>
                <w:rFonts w:eastAsia="SimSun"/>
                <w:sz w:val="22"/>
              </w:rPr>
              <w:t>-</w:t>
            </w:r>
          </w:p>
        </w:tc>
        <w:tc>
          <w:tcPr>
            <w:tcW w:w="425" w:type="pct"/>
            <w:shd w:val="clear" w:color="auto" w:fill="D9D9D9"/>
            <w:vAlign w:val="center"/>
          </w:tcPr>
          <w:p w14:paraId="07AA3A20" w14:textId="77777777" w:rsidR="0089207C" w:rsidRPr="00470E23" w:rsidRDefault="0089207C" w:rsidP="002D3EBF">
            <w:pPr>
              <w:rPr>
                <w:rFonts w:eastAsia="SimSun"/>
                <w:sz w:val="22"/>
              </w:rPr>
            </w:pPr>
            <w:r w:rsidRPr="00470E23">
              <w:rPr>
                <w:rFonts w:eastAsia="SimSun"/>
                <w:sz w:val="22"/>
              </w:rPr>
              <w:t>-</w:t>
            </w:r>
          </w:p>
        </w:tc>
        <w:tc>
          <w:tcPr>
            <w:tcW w:w="422" w:type="pct"/>
            <w:shd w:val="clear" w:color="auto" w:fill="D9D9D9"/>
            <w:vAlign w:val="center"/>
          </w:tcPr>
          <w:p w14:paraId="28848796" w14:textId="77777777" w:rsidR="0089207C" w:rsidRPr="00470E23" w:rsidRDefault="0089207C" w:rsidP="002D3EBF">
            <w:pPr>
              <w:rPr>
                <w:rFonts w:eastAsia="SimSun"/>
                <w:sz w:val="22"/>
              </w:rPr>
            </w:pPr>
            <w:r w:rsidRPr="00470E23">
              <w:rPr>
                <w:rFonts w:eastAsia="SimSun"/>
                <w:sz w:val="22"/>
              </w:rPr>
              <w:t>-</w:t>
            </w:r>
          </w:p>
        </w:tc>
      </w:tr>
      <w:tr w:rsidR="0089207C" w:rsidRPr="00470E23" w14:paraId="52297FA7" w14:textId="77777777" w:rsidTr="002D3EBF">
        <w:trPr>
          <w:cantSplit/>
          <w:trHeight w:val="1020"/>
        </w:trPr>
        <w:tc>
          <w:tcPr>
            <w:tcW w:w="248" w:type="pct"/>
            <w:vMerge w:val="restart"/>
            <w:tcBorders>
              <w:top w:val="single" w:sz="4" w:space="0" w:color="00000A"/>
            </w:tcBorders>
            <w:shd w:val="clear" w:color="auto" w:fill="D9D9D9"/>
            <w:vAlign w:val="center"/>
          </w:tcPr>
          <w:p w14:paraId="1482242D" w14:textId="77777777" w:rsidR="0089207C" w:rsidRPr="00470E23" w:rsidRDefault="0089207C" w:rsidP="002D3EBF">
            <w:pPr>
              <w:rPr>
                <w:rFonts w:eastAsia="SimSun"/>
                <w:sz w:val="22"/>
              </w:rPr>
            </w:pPr>
            <w:r w:rsidRPr="00470E23">
              <w:rPr>
                <w:rFonts w:eastAsia="SimSun"/>
                <w:sz w:val="22"/>
              </w:rPr>
              <w:t>PT-Cy</w:t>
            </w:r>
          </w:p>
        </w:tc>
        <w:tc>
          <w:tcPr>
            <w:tcW w:w="369" w:type="pct"/>
            <w:shd w:val="clear" w:color="auto" w:fill="D9D9D9"/>
            <w:vAlign w:val="center"/>
          </w:tcPr>
          <w:p w14:paraId="5FB29781" w14:textId="77777777" w:rsidR="0089207C" w:rsidRPr="00470E23" w:rsidRDefault="0089207C" w:rsidP="002D3EBF">
            <w:pPr>
              <w:rPr>
                <w:rFonts w:eastAsia="SimSun"/>
                <w:sz w:val="22"/>
              </w:rPr>
            </w:pPr>
            <w:r w:rsidRPr="00470E23">
              <w:rPr>
                <w:rFonts w:eastAsia="SimSun"/>
                <w:sz w:val="22"/>
              </w:rPr>
              <w:t>-</w:t>
            </w:r>
          </w:p>
        </w:tc>
        <w:tc>
          <w:tcPr>
            <w:tcW w:w="321" w:type="pct"/>
            <w:shd w:val="clear" w:color="auto" w:fill="D9D9D9"/>
            <w:vAlign w:val="center"/>
          </w:tcPr>
          <w:p w14:paraId="616B22CD" w14:textId="77777777" w:rsidR="0089207C" w:rsidRPr="00470E23" w:rsidRDefault="0089207C" w:rsidP="002D3EBF">
            <w:pPr>
              <w:rPr>
                <w:rFonts w:eastAsia="SimSun"/>
                <w:sz w:val="22"/>
              </w:rPr>
            </w:pPr>
            <w:r w:rsidRPr="00470E23">
              <w:rPr>
                <w:rFonts w:eastAsia="SimSun"/>
                <w:sz w:val="22"/>
              </w:rPr>
              <w:t>CSA</w:t>
            </w:r>
          </w:p>
        </w:tc>
        <w:tc>
          <w:tcPr>
            <w:tcW w:w="455" w:type="pct"/>
            <w:shd w:val="clear" w:color="auto" w:fill="D9D9D9"/>
            <w:vAlign w:val="center"/>
          </w:tcPr>
          <w:p w14:paraId="662304BC" w14:textId="77777777" w:rsidR="0089207C" w:rsidRPr="00470E23" w:rsidRDefault="0089207C" w:rsidP="002D3EBF">
            <w:pPr>
              <w:rPr>
                <w:rFonts w:eastAsia="SimSun"/>
                <w:sz w:val="22"/>
              </w:rPr>
            </w:pPr>
            <w:r w:rsidRPr="00470E23">
              <w:rPr>
                <w:rFonts w:eastAsia="SimSun"/>
                <w:sz w:val="22"/>
              </w:rPr>
              <w:t>MMF30</w:t>
            </w:r>
          </w:p>
        </w:tc>
        <w:tc>
          <w:tcPr>
            <w:tcW w:w="444" w:type="pct"/>
            <w:tcBorders>
              <w:left w:val="single" w:sz="4" w:space="0" w:color="00000A"/>
            </w:tcBorders>
            <w:shd w:val="clear" w:color="auto" w:fill="auto"/>
            <w:vAlign w:val="center"/>
          </w:tcPr>
          <w:p w14:paraId="6879A092" w14:textId="77777777" w:rsidR="0089207C" w:rsidRPr="00470E23" w:rsidRDefault="0089207C" w:rsidP="002D3EBF">
            <w:pPr>
              <w:rPr>
                <w:rFonts w:eastAsia="SimSun"/>
                <w:sz w:val="22"/>
              </w:rPr>
            </w:pPr>
            <w:r w:rsidRPr="00470E23">
              <w:rPr>
                <w:rFonts w:eastAsia="SimSun"/>
                <w:sz w:val="22"/>
              </w:rPr>
              <w:t>5.3.1.1</w:t>
            </w:r>
          </w:p>
        </w:tc>
        <w:tc>
          <w:tcPr>
            <w:tcW w:w="404" w:type="pct"/>
            <w:shd w:val="clear" w:color="auto" w:fill="auto"/>
            <w:vAlign w:val="center"/>
          </w:tcPr>
          <w:p w14:paraId="1D12000C" w14:textId="77777777" w:rsidR="0089207C" w:rsidRPr="00470E23" w:rsidRDefault="0089207C" w:rsidP="002D3EBF">
            <w:pPr>
              <w:rPr>
                <w:rFonts w:eastAsia="SimSun"/>
                <w:sz w:val="22"/>
              </w:rPr>
            </w:pPr>
            <w:r w:rsidRPr="00470E23">
              <w:rPr>
                <w:rFonts w:eastAsia="SimSun"/>
                <w:sz w:val="22"/>
              </w:rPr>
              <w:t>5.3.1.10</w:t>
            </w:r>
          </w:p>
        </w:tc>
        <w:tc>
          <w:tcPr>
            <w:tcW w:w="466" w:type="pct"/>
            <w:shd w:val="clear" w:color="auto" w:fill="auto"/>
            <w:vAlign w:val="center"/>
          </w:tcPr>
          <w:p w14:paraId="56987B43" w14:textId="77777777" w:rsidR="0089207C" w:rsidRPr="00470E23" w:rsidRDefault="0089207C" w:rsidP="002D3EBF">
            <w:pPr>
              <w:rPr>
                <w:rFonts w:eastAsia="SimSun"/>
                <w:sz w:val="22"/>
              </w:rPr>
            </w:pPr>
            <w:r w:rsidRPr="00470E23">
              <w:rPr>
                <w:rFonts w:eastAsia="SimSun"/>
                <w:sz w:val="22"/>
              </w:rPr>
              <w:t>-</w:t>
            </w:r>
          </w:p>
        </w:tc>
        <w:tc>
          <w:tcPr>
            <w:tcW w:w="444" w:type="pct"/>
            <w:shd w:val="clear" w:color="auto" w:fill="auto"/>
            <w:vAlign w:val="center"/>
          </w:tcPr>
          <w:p w14:paraId="32BDAE4E" w14:textId="77777777" w:rsidR="0089207C" w:rsidRPr="00470E23" w:rsidRDefault="0089207C" w:rsidP="002D3EBF">
            <w:pPr>
              <w:rPr>
                <w:rFonts w:eastAsia="SimSun"/>
                <w:sz w:val="22"/>
              </w:rPr>
            </w:pPr>
            <w:r w:rsidRPr="00470E23">
              <w:rPr>
                <w:rFonts w:eastAsia="SimSun"/>
                <w:sz w:val="22"/>
              </w:rPr>
              <w:t>5.3.1.4</w:t>
            </w:r>
          </w:p>
        </w:tc>
        <w:tc>
          <w:tcPr>
            <w:tcW w:w="334" w:type="pct"/>
            <w:shd w:val="clear" w:color="auto" w:fill="auto"/>
            <w:vAlign w:val="center"/>
          </w:tcPr>
          <w:p w14:paraId="31D4AE91" w14:textId="77777777" w:rsidR="0089207C" w:rsidRPr="00470E23" w:rsidRDefault="0089207C" w:rsidP="002D3EBF">
            <w:pPr>
              <w:rPr>
                <w:rFonts w:eastAsia="SimSun"/>
                <w:sz w:val="22"/>
              </w:rPr>
            </w:pPr>
            <w:r w:rsidRPr="00470E23">
              <w:rPr>
                <w:rFonts w:eastAsia="SimSun"/>
                <w:sz w:val="22"/>
              </w:rPr>
              <w:t>-</w:t>
            </w:r>
          </w:p>
        </w:tc>
        <w:tc>
          <w:tcPr>
            <w:tcW w:w="334" w:type="pct"/>
            <w:shd w:val="clear" w:color="auto" w:fill="auto"/>
            <w:vAlign w:val="center"/>
          </w:tcPr>
          <w:p w14:paraId="4739CE69" w14:textId="77777777" w:rsidR="0089207C" w:rsidRPr="00470E23" w:rsidRDefault="0089207C" w:rsidP="002D3EBF">
            <w:pPr>
              <w:rPr>
                <w:rFonts w:eastAsia="SimSun"/>
                <w:sz w:val="22"/>
              </w:rPr>
            </w:pPr>
            <w:r w:rsidRPr="00470E23">
              <w:rPr>
                <w:rFonts w:eastAsia="SimSun"/>
                <w:sz w:val="22"/>
              </w:rPr>
              <w:t>-</w:t>
            </w:r>
          </w:p>
        </w:tc>
        <w:tc>
          <w:tcPr>
            <w:tcW w:w="334" w:type="pct"/>
            <w:shd w:val="clear" w:color="auto" w:fill="auto"/>
            <w:vAlign w:val="center"/>
          </w:tcPr>
          <w:p w14:paraId="0FB074E7" w14:textId="77777777" w:rsidR="0089207C" w:rsidRPr="00470E23" w:rsidRDefault="0089207C" w:rsidP="002D3EBF">
            <w:pPr>
              <w:rPr>
                <w:rFonts w:eastAsia="SimSun"/>
                <w:sz w:val="22"/>
              </w:rPr>
            </w:pPr>
            <w:r w:rsidRPr="00470E23">
              <w:rPr>
                <w:rFonts w:eastAsia="SimSun"/>
                <w:sz w:val="22"/>
              </w:rPr>
              <w:t>-</w:t>
            </w:r>
          </w:p>
        </w:tc>
        <w:tc>
          <w:tcPr>
            <w:tcW w:w="425" w:type="pct"/>
            <w:shd w:val="clear" w:color="auto" w:fill="auto"/>
            <w:vAlign w:val="center"/>
          </w:tcPr>
          <w:p w14:paraId="7F8184D3" w14:textId="77777777" w:rsidR="0089207C" w:rsidRPr="00470E23" w:rsidRDefault="0089207C" w:rsidP="002D3EBF">
            <w:pPr>
              <w:rPr>
                <w:rFonts w:eastAsia="SimSun"/>
                <w:sz w:val="22"/>
              </w:rPr>
            </w:pPr>
            <w:r w:rsidRPr="00470E23">
              <w:rPr>
                <w:rFonts w:eastAsia="SimSun"/>
                <w:sz w:val="22"/>
              </w:rPr>
              <w:t>-</w:t>
            </w:r>
          </w:p>
        </w:tc>
        <w:tc>
          <w:tcPr>
            <w:tcW w:w="422" w:type="pct"/>
            <w:vAlign w:val="center"/>
          </w:tcPr>
          <w:p w14:paraId="26D19AB9" w14:textId="77777777" w:rsidR="0089207C" w:rsidRPr="00470E23" w:rsidRDefault="0089207C" w:rsidP="002D3EBF">
            <w:pPr>
              <w:rPr>
                <w:rFonts w:eastAsia="SimSun"/>
                <w:sz w:val="22"/>
              </w:rPr>
            </w:pPr>
          </w:p>
        </w:tc>
      </w:tr>
      <w:tr w:rsidR="0089207C" w:rsidRPr="00470E23" w14:paraId="34623F31" w14:textId="77777777" w:rsidTr="002D3EBF">
        <w:trPr>
          <w:cantSplit/>
          <w:trHeight w:val="1020"/>
        </w:trPr>
        <w:tc>
          <w:tcPr>
            <w:tcW w:w="248" w:type="pct"/>
            <w:vMerge/>
            <w:shd w:val="clear" w:color="auto" w:fill="D9D9D9"/>
            <w:vAlign w:val="center"/>
          </w:tcPr>
          <w:p w14:paraId="1D12F858" w14:textId="77777777" w:rsidR="0089207C" w:rsidRPr="00470E23" w:rsidRDefault="0089207C" w:rsidP="002D3EBF">
            <w:pPr>
              <w:rPr>
                <w:rFonts w:eastAsia="SimSun"/>
                <w:sz w:val="22"/>
              </w:rPr>
            </w:pPr>
          </w:p>
        </w:tc>
        <w:tc>
          <w:tcPr>
            <w:tcW w:w="369" w:type="pct"/>
            <w:tcBorders>
              <w:bottom w:val="single" w:sz="4" w:space="0" w:color="00000A"/>
            </w:tcBorders>
            <w:shd w:val="clear" w:color="auto" w:fill="D9D9D9"/>
            <w:vAlign w:val="center"/>
          </w:tcPr>
          <w:p w14:paraId="7BCE172A" w14:textId="77777777" w:rsidR="0089207C" w:rsidRPr="00470E23" w:rsidRDefault="0089207C" w:rsidP="002D3EBF">
            <w:pPr>
              <w:rPr>
                <w:rFonts w:eastAsia="SimSun"/>
                <w:sz w:val="22"/>
              </w:rPr>
            </w:pPr>
            <w:r w:rsidRPr="00470E23">
              <w:rPr>
                <w:rFonts w:eastAsia="SimSun"/>
                <w:sz w:val="22"/>
              </w:rPr>
              <w:t>hATG</w:t>
            </w:r>
          </w:p>
        </w:tc>
        <w:tc>
          <w:tcPr>
            <w:tcW w:w="321" w:type="pct"/>
            <w:tcBorders>
              <w:bottom w:val="single" w:sz="4" w:space="0" w:color="00000A"/>
            </w:tcBorders>
            <w:shd w:val="clear" w:color="auto" w:fill="D9D9D9"/>
            <w:vAlign w:val="center"/>
          </w:tcPr>
          <w:p w14:paraId="2C5BA63D" w14:textId="77777777" w:rsidR="0089207C" w:rsidRPr="00470E23" w:rsidRDefault="0089207C" w:rsidP="002D3EBF">
            <w:pPr>
              <w:rPr>
                <w:rFonts w:eastAsia="SimSun"/>
                <w:sz w:val="22"/>
              </w:rPr>
            </w:pPr>
            <w:r w:rsidRPr="00470E23">
              <w:rPr>
                <w:rFonts w:eastAsia="SimSun"/>
                <w:sz w:val="22"/>
              </w:rPr>
              <w:t>CSA</w:t>
            </w:r>
          </w:p>
        </w:tc>
        <w:tc>
          <w:tcPr>
            <w:tcW w:w="455" w:type="pct"/>
            <w:shd w:val="clear" w:color="auto" w:fill="D9D9D9"/>
            <w:vAlign w:val="center"/>
          </w:tcPr>
          <w:p w14:paraId="53052EED" w14:textId="77777777" w:rsidR="0089207C" w:rsidRPr="00470E23" w:rsidRDefault="0089207C" w:rsidP="002D3EBF">
            <w:pPr>
              <w:rPr>
                <w:rFonts w:eastAsia="SimSun"/>
                <w:sz w:val="22"/>
              </w:rPr>
            </w:pPr>
            <w:r w:rsidRPr="00470E23">
              <w:rPr>
                <w:rFonts w:eastAsia="SimSun"/>
                <w:sz w:val="22"/>
              </w:rPr>
              <w:t>MMF45</w:t>
            </w:r>
          </w:p>
        </w:tc>
        <w:tc>
          <w:tcPr>
            <w:tcW w:w="444" w:type="pct"/>
            <w:tcBorders>
              <w:left w:val="single" w:sz="4" w:space="0" w:color="00000A"/>
            </w:tcBorders>
            <w:shd w:val="clear" w:color="auto" w:fill="auto"/>
            <w:vAlign w:val="center"/>
          </w:tcPr>
          <w:p w14:paraId="08E61FDB" w14:textId="77777777" w:rsidR="0089207C" w:rsidRPr="00470E23" w:rsidRDefault="0089207C" w:rsidP="002D3EBF">
            <w:pPr>
              <w:rPr>
                <w:rFonts w:eastAsia="SimSun"/>
                <w:sz w:val="22"/>
              </w:rPr>
            </w:pPr>
            <w:r w:rsidRPr="00470E23">
              <w:rPr>
                <w:rFonts w:eastAsia="SimSun"/>
                <w:sz w:val="22"/>
              </w:rPr>
              <w:t>-</w:t>
            </w:r>
          </w:p>
        </w:tc>
        <w:tc>
          <w:tcPr>
            <w:tcW w:w="404" w:type="pct"/>
            <w:shd w:val="clear" w:color="auto" w:fill="auto"/>
            <w:vAlign w:val="center"/>
          </w:tcPr>
          <w:p w14:paraId="7F60BB4B" w14:textId="77777777" w:rsidR="0089207C" w:rsidRPr="00470E23" w:rsidRDefault="0089207C" w:rsidP="002D3EBF">
            <w:pPr>
              <w:rPr>
                <w:rFonts w:eastAsia="SimSun"/>
                <w:sz w:val="22"/>
              </w:rPr>
            </w:pPr>
            <w:r w:rsidRPr="00470E23">
              <w:rPr>
                <w:rFonts w:eastAsia="SimSun"/>
                <w:sz w:val="22"/>
              </w:rPr>
              <w:t>-</w:t>
            </w:r>
          </w:p>
        </w:tc>
        <w:tc>
          <w:tcPr>
            <w:tcW w:w="466" w:type="pct"/>
            <w:shd w:val="clear" w:color="auto" w:fill="auto"/>
            <w:vAlign w:val="center"/>
          </w:tcPr>
          <w:p w14:paraId="3CFE28ED" w14:textId="77777777" w:rsidR="0089207C" w:rsidRPr="00470E23" w:rsidRDefault="0089207C" w:rsidP="002D3EBF">
            <w:pPr>
              <w:rPr>
                <w:rFonts w:eastAsia="SimSun"/>
                <w:sz w:val="22"/>
              </w:rPr>
            </w:pPr>
            <w:r w:rsidRPr="00470E23">
              <w:rPr>
                <w:rFonts w:eastAsia="SimSun"/>
                <w:sz w:val="22"/>
              </w:rPr>
              <w:t>-</w:t>
            </w:r>
          </w:p>
        </w:tc>
        <w:tc>
          <w:tcPr>
            <w:tcW w:w="444" w:type="pct"/>
            <w:shd w:val="clear" w:color="auto" w:fill="auto"/>
            <w:vAlign w:val="center"/>
          </w:tcPr>
          <w:p w14:paraId="7D74EF86" w14:textId="77777777" w:rsidR="0089207C" w:rsidRPr="00470E23" w:rsidRDefault="0089207C" w:rsidP="002D3EBF">
            <w:pPr>
              <w:rPr>
                <w:rFonts w:eastAsia="SimSun"/>
                <w:sz w:val="22"/>
              </w:rPr>
            </w:pPr>
            <w:r w:rsidRPr="00470E23">
              <w:rPr>
                <w:rFonts w:eastAsia="SimSun"/>
                <w:sz w:val="22"/>
              </w:rPr>
              <w:t>5.3.1.3</w:t>
            </w:r>
          </w:p>
        </w:tc>
        <w:tc>
          <w:tcPr>
            <w:tcW w:w="334" w:type="pct"/>
            <w:shd w:val="clear" w:color="auto" w:fill="auto"/>
            <w:vAlign w:val="center"/>
          </w:tcPr>
          <w:p w14:paraId="0A15E94F" w14:textId="77777777" w:rsidR="0089207C" w:rsidRPr="00470E23" w:rsidRDefault="0089207C" w:rsidP="002D3EBF">
            <w:pPr>
              <w:rPr>
                <w:rFonts w:eastAsia="SimSun"/>
                <w:sz w:val="22"/>
              </w:rPr>
            </w:pPr>
            <w:r w:rsidRPr="00470E23">
              <w:rPr>
                <w:rFonts w:eastAsia="SimSun"/>
                <w:sz w:val="22"/>
              </w:rPr>
              <w:t>-</w:t>
            </w:r>
          </w:p>
        </w:tc>
        <w:tc>
          <w:tcPr>
            <w:tcW w:w="334" w:type="pct"/>
            <w:shd w:val="clear" w:color="auto" w:fill="auto"/>
            <w:vAlign w:val="center"/>
          </w:tcPr>
          <w:p w14:paraId="05A43878" w14:textId="77777777" w:rsidR="0089207C" w:rsidRPr="00470E23" w:rsidRDefault="0089207C" w:rsidP="002D3EBF">
            <w:pPr>
              <w:rPr>
                <w:rFonts w:eastAsia="SimSun"/>
                <w:sz w:val="22"/>
              </w:rPr>
            </w:pPr>
            <w:r w:rsidRPr="00470E23">
              <w:rPr>
                <w:rFonts w:eastAsia="SimSun"/>
                <w:sz w:val="22"/>
              </w:rPr>
              <w:t>-</w:t>
            </w:r>
          </w:p>
        </w:tc>
        <w:tc>
          <w:tcPr>
            <w:tcW w:w="334" w:type="pct"/>
            <w:shd w:val="clear" w:color="auto" w:fill="auto"/>
            <w:vAlign w:val="center"/>
          </w:tcPr>
          <w:p w14:paraId="081712FD" w14:textId="77777777" w:rsidR="0089207C" w:rsidRPr="00470E23" w:rsidRDefault="0089207C" w:rsidP="002D3EBF">
            <w:pPr>
              <w:rPr>
                <w:rFonts w:eastAsia="SimSun"/>
                <w:sz w:val="22"/>
              </w:rPr>
            </w:pPr>
            <w:r w:rsidRPr="00470E23">
              <w:rPr>
                <w:rFonts w:eastAsia="SimSun"/>
                <w:sz w:val="22"/>
              </w:rPr>
              <w:t>-</w:t>
            </w:r>
          </w:p>
        </w:tc>
        <w:tc>
          <w:tcPr>
            <w:tcW w:w="425" w:type="pct"/>
            <w:shd w:val="clear" w:color="auto" w:fill="auto"/>
            <w:vAlign w:val="center"/>
          </w:tcPr>
          <w:p w14:paraId="78401AA5" w14:textId="77777777" w:rsidR="0089207C" w:rsidRPr="00470E23" w:rsidRDefault="0089207C" w:rsidP="002D3EBF">
            <w:pPr>
              <w:rPr>
                <w:rFonts w:eastAsia="SimSun"/>
                <w:sz w:val="22"/>
              </w:rPr>
            </w:pPr>
            <w:r w:rsidRPr="00470E23">
              <w:rPr>
                <w:rFonts w:eastAsia="SimSun"/>
                <w:sz w:val="22"/>
              </w:rPr>
              <w:t>-</w:t>
            </w:r>
          </w:p>
        </w:tc>
        <w:tc>
          <w:tcPr>
            <w:tcW w:w="422" w:type="pct"/>
            <w:vAlign w:val="center"/>
          </w:tcPr>
          <w:p w14:paraId="4E4B289F" w14:textId="77777777" w:rsidR="0089207C" w:rsidRPr="00470E23" w:rsidRDefault="0089207C" w:rsidP="002D3EBF">
            <w:pPr>
              <w:rPr>
                <w:rFonts w:eastAsia="SimSun"/>
                <w:sz w:val="22"/>
              </w:rPr>
            </w:pPr>
          </w:p>
        </w:tc>
      </w:tr>
      <w:tr w:rsidR="0089207C" w:rsidRPr="00470E23" w14:paraId="3709795F" w14:textId="77777777" w:rsidTr="002D3EBF">
        <w:trPr>
          <w:cantSplit/>
          <w:trHeight w:val="1020"/>
        </w:trPr>
        <w:tc>
          <w:tcPr>
            <w:tcW w:w="248" w:type="pct"/>
            <w:vMerge/>
            <w:shd w:val="clear" w:color="auto" w:fill="D9D9D9"/>
            <w:vAlign w:val="center"/>
          </w:tcPr>
          <w:p w14:paraId="381F1610" w14:textId="77777777" w:rsidR="0089207C" w:rsidRPr="00470E23" w:rsidRDefault="0089207C" w:rsidP="002D3EBF">
            <w:pPr>
              <w:rPr>
                <w:rFonts w:eastAsia="SimSun"/>
                <w:sz w:val="22"/>
              </w:rPr>
            </w:pPr>
          </w:p>
        </w:tc>
        <w:tc>
          <w:tcPr>
            <w:tcW w:w="369" w:type="pct"/>
            <w:tcBorders>
              <w:top w:val="single" w:sz="4" w:space="0" w:color="00000A"/>
              <w:bottom w:val="single" w:sz="4" w:space="0" w:color="00000A"/>
            </w:tcBorders>
            <w:shd w:val="clear" w:color="auto" w:fill="D9D9D9"/>
            <w:vAlign w:val="center"/>
          </w:tcPr>
          <w:p w14:paraId="1B9E46CC" w14:textId="77777777" w:rsidR="0089207C" w:rsidRPr="00470E23" w:rsidRDefault="0089207C" w:rsidP="002D3EBF">
            <w:pPr>
              <w:rPr>
                <w:rFonts w:eastAsia="SimSun"/>
                <w:sz w:val="22"/>
              </w:rPr>
            </w:pPr>
            <w:r w:rsidRPr="00470E23">
              <w:rPr>
                <w:rFonts w:eastAsia="SimSun"/>
                <w:sz w:val="22"/>
              </w:rPr>
              <w:t>-</w:t>
            </w:r>
          </w:p>
        </w:tc>
        <w:tc>
          <w:tcPr>
            <w:tcW w:w="321" w:type="pct"/>
            <w:tcBorders>
              <w:top w:val="single" w:sz="4" w:space="0" w:color="00000A"/>
              <w:bottom w:val="single" w:sz="4" w:space="0" w:color="00000A"/>
            </w:tcBorders>
            <w:shd w:val="clear" w:color="auto" w:fill="D9D9D9"/>
            <w:vAlign w:val="center"/>
          </w:tcPr>
          <w:p w14:paraId="220EB190" w14:textId="77777777" w:rsidR="0089207C" w:rsidRPr="00470E23" w:rsidRDefault="0089207C" w:rsidP="002D3EBF">
            <w:pPr>
              <w:rPr>
                <w:rFonts w:eastAsia="SimSun"/>
                <w:sz w:val="22"/>
              </w:rPr>
            </w:pPr>
            <w:r w:rsidRPr="00470E23">
              <w:rPr>
                <w:rFonts w:eastAsia="SimSun"/>
                <w:sz w:val="22"/>
              </w:rPr>
              <w:t>CSA</w:t>
            </w:r>
          </w:p>
        </w:tc>
        <w:tc>
          <w:tcPr>
            <w:tcW w:w="455" w:type="pct"/>
            <w:shd w:val="clear" w:color="auto" w:fill="D9D9D9"/>
            <w:vAlign w:val="center"/>
          </w:tcPr>
          <w:p w14:paraId="28BEB6A8" w14:textId="77777777" w:rsidR="0089207C" w:rsidRPr="00470E23" w:rsidRDefault="0089207C" w:rsidP="002D3EBF">
            <w:pPr>
              <w:rPr>
                <w:rFonts w:eastAsia="SimSun"/>
                <w:sz w:val="22"/>
              </w:rPr>
            </w:pPr>
            <w:r w:rsidRPr="00470E23">
              <w:rPr>
                <w:rFonts w:eastAsia="SimSun"/>
                <w:sz w:val="22"/>
              </w:rPr>
              <w:t>MMF45</w:t>
            </w:r>
          </w:p>
        </w:tc>
        <w:tc>
          <w:tcPr>
            <w:tcW w:w="444" w:type="pct"/>
            <w:tcBorders>
              <w:left w:val="single" w:sz="4" w:space="0" w:color="00000A"/>
            </w:tcBorders>
            <w:shd w:val="clear" w:color="auto" w:fill="auto"/>
            <w:vAlign w:val="center"/>
          </w:tcPr>
          <w:p w14:paraId="3772209A" w14:textId="77777777" w:rsidR="0089207C" w:rsidRPr="00470E23" w:rsidRDefault="0089207C" w:rsidP="002D3EBF">
            <w:pPr>
              <w:rPr>
                <w:rFonts w:eastAsia="SimSun"/>
                <w:sz w:val="22"/>
              </w:rPr>
            </w:pPr>
            <w:r w:rsidRPr="00470E23">
              <w:rPr>
                <w:rFonts w:eastAsia="SimSun"/>
                <w:sz w:val="22"/>
              </w:rPr>
              <w:t>5.3.1.2</w:t>
            </w:r>
          </w:p>
        </w:tc>
        <w:tc>
          <w:tcPr>
            <w:tcW w:w="404" w:type="pct"/>
            <w:shd w:val="clear" w:color="auto" w:fill="auto"/>
            <w:vAlign w:val="center"/>
          </w:tcPr>
          <w:p w14:paraId="3059780E" w14:textId="77777777" w:rsidR="0089207C" w:rsidRPr="00470E23" w:rsidRDefault="0089207C" w:rsidP="002D3EBF">
            <w:pPr>
              <w:rPr>
                <w:rFonts w:eastAsia="SimSun"/>
                <w:sz w:val="22"/>
              </w:rPr>
            </w:pPr>
            <w:r w:rsidRPr="00470E23">
              <w:rPr>
                <w:rFonts w:eastAsia="SimSun"/>
                <w:sz w:val="22"/>
              </w:rPr>
              <w:t>5.3.1.11</w:t>
            </w:r>
          </w:p>
        </w:tc>
        <w:tc>
          <w:tcPr>
            <w:tcW w:w="466" w:type="pct"/>
            <w:shd w:val="clear" w:color="auto" w:fill="auto"/>
            <w:vAlign w:val="center"/>
          </w:tcPr>
          <w:p w14:paraId="735F8F31" w14:textId="77777777" w:rsidR="0089207C" w:rsidRPr="00470E23" w:rsidRDefault="0089207C" w:rsidP="002D3EBF">
            <w:pPr>
              <w:rPr>
                <w:rFonts w:eastAsia="SimSun"/>
                <w:sz w:val="22"/>
              </w:rPr>
            </w:pPr>
            <w:r w:rsidRPr="00470E23">
              <w:rPr>
                <w:rFonts w:eastAsia="SimSun"/>
                <w:sz w:val="22"/>
              </w:rPr>
              <w:t>5.3.1.12</w:t>
            </w:r>
          </w:p>
        </w:tc>
        <w:tc>
          <w:tcPr>
            <w:tcW w:w="444" w:type="pct"/>
            <w:shd w:val="clear" w:color="auto" w:fill="auto"/>
            <w:vAlign w:val="center"/>
          </w:tcPr>
          <w:p w14:paraId="34055066" w14:textId="77777777" w:rsidR="0089207C" w:rsidRPr="00470E23" w:rsidRDefault="0089207C" w:rsidP="002D3EBF">
            <w:pPr>
              <w:rPr>
                <w:rFonts w:eastAsia="SimSun"/>
                <w:sz w:val="22"/>
              </w:rPr>
            </w:pPr>
            <w:r w:rsidRPr="00470E23">
              <w:rPr>
                <w:rFonts w:eastAsia="SimSun"/>
                <w:sz w:val="22"/>
              </w:rPr>
              <w:t>5.3.1.5</w:t>
            </w:r>
          </w:p>
        </w:tc>
        <w:tc>
          <w:tcPr>
            <w:tcW w:w="334" w:type="pct"/>
            <w:shd w:val="clear" w:color="auto" w:fill="auto"/>
            <w:vAlign w:val="center"/>
          </w:tcPr>
          <w:p w14:paraId="4AEA2DCC" w14:textId="77777777" w:rsidR="0089207C" w:rsidRPr="00470E23" w:rsidRDefault="0089207C" w:rsidP="002D3EBF">
            <w:pPr>
              <w:rPr>
                <w:rFonts w:eastAsia="SimSun"/>
                <w:sz w:val="22"/>
              </w:rPr>
            </w:pPr>
          </w:p>
        </w:tc>
        <w:tc>
          <w:tcPr>
            <w:tcW w:w="334" w:type="pct"/>
            <w:shd w:val="clear" w:color="auto" w:fill="auto"/>
            <w:vAlign w:val="center"/>
          </w:tcPr>
          <w:p w14:paraId="14EBD5A9" w14:textId="77777777" w:rsidR="0089207C" w:rsidRPr="00470E23" w:rsidRDefault="0089207C" w:rsidP="002D3EBF">
            <w:pPr>
              <w:rPr>
                <w:rFonts w:eastAsia="SimSun"/>
                <w:sz w:val="22"/>
              </w:rPr>
            </w:pPr>
          </w:p>
        </w:tc>
        <w:tc>
          <w:tcPr>
            <w:tcW w:w="334" w:type="pct"/>
            <w:shd w:val="clear" w:color="auto" w:fill="auto"/>
            <w:vAlign w:val="center"/>
          </w:tcPr>
          <w:p w14:paraId="3670731C" w14:textId="77777777" w:rsidR="0089207C" w:rsidRPr="00470E23" w:rsidRDefault="0089207C" w:rsidP="002D3EBF">
            <w:pPr>
              <w:rPr>
                <w:rFonts w:eastAsia="SimSun"/>
                <w:sz w:val="22"/>
              </w:rPr>
            </w:pPr>
          </w:p>
        </w:tc>
        <w:tc>
          <w:tcPr>
            <w:tcW w:w="425" w:type="pct"/>
            <w:shd w:val="clear" w:color="auto" w:fill="auto"/>
            <w:vAlign w:val="center"/>
          </w:tcPr>
          <w:p w14:paraId="12FCD44A" w14:textId="77777777" w:rsidR="0089207C" w:rsidRPr="00470E23" w:rsidRDefault="0089207C" w:rsidP="002D3EBF">
            <w:pPr>
              <w:rPr>
                <w:rFonts w:eastAsia="SimSun"/>
                <w:sz w:val="22"/>
              </w:rPr>
            </w:pPr>
          </w:p>
        </w:tc>
        <w:tc>
          <w:tcPr>
            <w:tcW w:w="422" w:type="pct"/>
            <w:vAlign w:val="center"/>
          </w:tcPr>
          <w:p w14:paraId="0868C991" w14:textId="77777777" w:rsidR="0089207C" w:rsidRPr="00470E23" w:rsidRDefault="0089207C" w:rsidP="002D3EBF">
            <w:pPr>
              <w:rPr>
                <w:rFonts w:eastAsia="SimSun"/>
                <w:sz w:val="22"/>
              </w:rPr>
            </w:pPr>
          </w:p>
        </w:tc>
      </w:tr>
      <w:tr w:rsidR="0089207C" w:rsidRPr="00470E23" w14:paraId="02F72D02" w14:textId="77777777" w:rsidTr="002D3EBF">
        <w:trPr>
          <w:cantSplit/>
          <w:trHeight w:val="1020"/>
        </w:trPr>
        <w:tc>
          <w:tcPr>
            <w:tcW w:w="248" w:type="pct"/>
            <w:vMerge/>
            <w:tcBorders>
              <w:bottom w:val="single" w:sz="4" w:space="0" w:color="00000A"/>
            </w:tcBorders>
            <w:shd w:val="clear" w:color="auto" w:fill="D9D9D9"/>
            <w:vAlign w:val="center"/>
          </w:tcPr>
          <w:p w14:paraId="0182061C" w14:textId="77777777" w:rsidR="0089207C" w:rsidRPr="00470E23" w:rsidRDefault="0089207C" w:rsidP="002D3EBF">
            <w:pPr>
              <w:rPr>
                <w:rFonts w:eastAsia="SimSun"/>
                <w:sz w:val="22"/>
              </w:rPr>
            </w:pPr>
          </w:p>
        </w:tc>
        <w:tc>
          <w:tcPr>
            <w:tcW w:w="369" w:type="pct"/>
            <w:tcBorders>
              <w:top w:val="single" w:sz="4" w:space="0" w:color="00000A"/>
            </w:tcBorders>
            <w:shd w:val="clear" w:color="auto" w:fill="D9D9D9"/>
            <w:vAlign w:val="center"/>
          </w:tcPr>
          <w:p w14:paraId="7431166B" w14:textId="77777777" w:rsidR="0089207C" w:rsidRPr="00470E23" w:rsidRDefault="0089207C" w:rsidP="002D3EBF">
            <w:pPr>
              <w:rPr>
                <w:rFonts w:eastAsia="SimSun"/>
                <w:sz w:val="22"/>
              </w:rPr>
            </w:pPr>
            <w:r w:rsidRPr="00470E23">
              <w:rPr>
                <w:rFonts w:eastAsia="SimSun"/>
                <w:sz w:val="22"/>
              </w:rPr>
              <w:t>-</w:t>
            </w:r>
          </w:p>
        </w:tc>
        <w:tc>
          <w:tcPr>
            <w:tcW w:w="321" w:type="pct"/>
            <w:tcBorders>
              <w:top w:val="single" w:sz="4" w:space="0" w:color="00000A"/>
            </w:tcBorders>
            <w:shd w:val="clear" w:color="auto" w:fill="D9D9D9"/>
            <w:vAlign w:val="center"/>
          </w:tcPr>
          <w:p w14:paraId="1A35F432" w14:textId="77777777" w:rsidR="0089207C" w:rsidRPr="00470E23" w:rsidRDefault="0089207C" w:rsidP="002D3EBF">
            <w:pPr>
              <w:rPr>
                <w:rFonts w:eastAsia="SimSun"/>
                <w:sz w:val="22"/>
              </w:rPr>
            </w:pPr>
            <w:r w:rsidRPr="00470E23">
              <w:rPr>
                <w:rFonts w:eastAsia="SimSun"/>
                <w:sz w:val="22"/>
              </w:rPr>
              <w:t>Tx</w:t>
            </w:r>
          </w:p>
        </w:tc>
        <w:tc>
          <w:tcPr>
            <w:tcW w:w="455" w:type="pct"/>
            <w:shd w:val="clear" w:color="auto" w:fill="D9D9D9"/>
            <w:vAlign w:val="center"/>
          </w:tcPr>
          <w:p w14:paraId="22E5E1C8" w14:textId="77777777" w:rsidR="0089207C" w:rsidRPr="00470E23" w:rsidRDefault="0089207C" w:rsidP="002D3EBF">
            <w:pPr>
              <w:rPr>
                <w:rFonts w:eastAsia="SimSun"/>
                <w:sz w:val="22"/>
              </w:rPr>
            </w:pPr>
            <w:r w:rsidRPr="00470E23">
              <w:rPr>
                <w:rFonts w:eastAsia="SimSun"/>
                <w:sz w:val="22"/>
              </w:rPr>
              <w:t>MMF45</w:t>
            </w:r>
          </w:p>
        </w:tc>
        <w:tc>
          <w:tcPr>
            <w:tcW w:w="444" w:type="pct"/>
            <w:tcBorders>
              <w:left w:val="single" w:sz="4" w:space="0" w:color="00000A"/>
            </w:tcBorders>
            <w:shd w:val="clear" w:color="auto" w:fill="auto"/>
            <w:vAlign w:val="center"/>
          </w:tcPr>
          <w:p w14:paraId="6813714C" w14:textId="77777777" w:rsidR="0089207C" w:rsidRPr="00470E23" w:rsidRDefault="0089207C" w:rsidP="002D3EBF">
            <w:pPr>
              <w:rPr>
                <w:rFonts w:eastAsia="SimSun"/>
                <w:sz w:val="22"/>
              </w:rPr>
            </w:pPr>
            <w:r w:rsidRPr="00470E23">
              <w:rPr>
                <w:rFonts w:eastAsia="SimSun"/>
                <w:sz w:val="22"/>
              </w:rPr>
              <w:t>-</w:t>
            </w:r>
          </w:p>
        </w:tc>
        <w:tc>
          <w:tcPr>
            <w:tcW w:w="404" w:type="pct"/>
            <w:shd w:val="clear" w:color="auto" w:fill="auto"/>
            <w:vAlign w:val="center"/>
          </w:tcPr>
          <w:p w14:paraId="4CEE60ED" w14:textId="77777777" w:rsidR="0089207C" w:rsidRPr="00470E23" w:rsidRDefault="0089207C" w:rsidP="002D3EBF">
            <w:pPr>
              <w:rPr>
                <w:rFonts w:eastAsia="SimSun"/>
                <w:sz w:val="22"/>
              </w:rPr>
            </w:pPr>
            <w:r w:rsidRPr="00470E23">
              <w:rPr>
                <w:rFonts w:eastAsia="SimSun"/>
                <w:sz w:val="22"/>
              </w:rPr>
              <w:t>-</w:t>
            </w:r>
          </w:p>
        </w:tc>
        <w:tc>
          <w:tcPr>
            <w:tcW w:w="466" w:type="pct"/>
            <w:shd w:val="clear" w:color="auto" w:fill="auto"/>
            <w:vAlign w:val="center"/>
          </w:tcPr>
          <w:p w14:paraId="700948A6" w14:textId="77777777" w:rsidR="0089207C" w:rsidRPr="00470E23" w:rsidRDefault="0089207C" w:rsidP="002D3EBF">
            <w:pPr>
              <w:rPr>
                <w:rFonts w:eastAsia="SimSun"/>
                <w:sz w:val="22"/>
              </w:rPr>
            </w:pPr>
            <w:r w:rsidRPr="00470E23">
              <w:rPr>
                <w:rFonts w:eastAsia="SimSun"/>
                <w:sz w:val="22"/>
              </w:rPr>
              <w:t>-</w:t>
            </w:r>
          </w:p>
        </w:tc>
        <w:tc>
          <w:tcPr>
            <w:tcW w:w="444" w:type="pct"/>
            <w:shd w:val="clear" w:color="auto" w:fill="auto"/>
            <w:vAlign w:val="center"/>
          </w:tcPr>
          <w:p w14:paraId="2F34FF5E" w14:textId="77777777" w:rsidR="0089207C" w:rsidRPr="00470E23" w:rsidRDefault="0089207C" w:rsidP="002D3EBF">
            <w:pPr>
              <w:rPr>
                <w:rFonts w:eastAsia="SimSun"/>
                <w:sz w:val="22"/>
              </w:rPr>
            </w:pPr>
            <w:r w:rsidRPr="00470E23">
              <w:rPr>
                <w:rFonts w:eastAsia="SimSun"/>
                <w:sz w:val="22"/>
              </w:rPr>
              <w:t>5.3.1.6</w:t>
            </w:r>
          </w:p>
        </w:tc>
        <w:tc>
          <w:tcPr>
            <w:tcW w:w="334" w:type="pct"/>
            <w:shd w:val="clear" w:color="auto" w:fill="auto"/>
            <w:vAlign w:val="center"/>
          </w:tcPr>
          <w:p w14:paraId="1F3584C1" w14:textId="77777777" w:rsidR="0089207C" w:rsidRPr="00470E23" w:rsidRDefault="0089207C" w:rsidP="002D3EBF">
            <w:pPr>
              <w:rPr>
                <w:rFonts w:eastAsia="SimSun"/>
                <w:sz w:val="22"/>
              </w:rPr>
            </w:pPr>
            <w:r w:rsidRPr="00470E23">
              <w:rPr>
                <w:rFonts w:eastAsia="SimSun"/>
                <w:sz w:val="22"/>
              </w:rPr>
              <w:t>5.3.1.7</w:t>
            </w:r>
          </w:p>
        </w:tc>
        <w:tc>
          <w:tcPr>
            <w:tcW w:w="334" w:type="pct"/>
            <w:shd w:val="clear" w:color="auto" w:fill="auto"/>
            <w:vAlign w:val="center"/>
          </w:tcPr>
          <w:p w14:paraId="63329E27" w14:textId="77777777" w:rsidR="0089207C" w:rsidRPr="00470E23" w:rsidRDefault="0089207C" w:rsidP="002D3EBF">
            <w:pPr>
              <w:rPr>
                <w:rFonts w:eastAsia="SimSun"/>
                <w:sz w:val="22"/>
              </w:rPr>
            </w:pPr>
            <w:r w:rsidRPr="00470E23">
              <w:rPr>
                <w:rFonts w:eastAsia="SimSun"/>
                <w:sz w:val="22"/>
              </w:rPr>
              <w:t>5.3.1.8</w:t>
            </w:r>
          </w:p>
        </w:tc>
        <w:tc>
          <w:tcPr>
            <w:tcW w:w="334" w:type="pct"/>
            <w:shd w:val="clear" w:color="auto" w:fill="auto"/>
            <w:vAlign w:val="center"/>
          </w:tcPr>
          <w:p w14:paraId="27EA274B" w14:textId="77777777" w:rsidR="0089207C" w:rsidRPr="00470E23" w:rsidRDefault="0089207C" w:rsidP="002D3EBF">
            <w:pPr>
              <w:rPr>
                <w:rFonts w:eastAsia="SimSun"/>
                <w:sz w:val="22"/>
              </w:rPr>
            </w:pPr>
            <w:r w:rsidRPr="00470E23">
              <w:rPr>
                <w:rFonts w:eastAsia="SimSun"/>
                <w:sz w:val="22"/>
              </w:rPr>
              <w:t>5.3.1.9</w:t>
            </w:r>
          </w:p>
        </w:tc>
        <w:tc>
          <w:tcPr>
            <w:tcW w:w="425" w:type="pct"/>
            <w:shd w:val="clear" w:color="auto" w:fill="auto"/>
            <w:vAlign w:val="center"/>
          </w:tcPr>
          <w:p w14:paraId="5CF23C04" w14:textId="77777777" w:rsidR="0089207C" w:rsidRPr="00470E23" w:rsidRDefault="0089207C" w:rsidP="002D3EBF">
            <w:pPr>
              <w:rPr>
                <w:rFonts w:eastAsia="SimSun"/>
                <w:sz w:val="22"/>
              </w:rPr>
            </w:pPr>
            <w:r w:rsidRPr="00470E23">
              <w:rPr>
                <w:rFonts w:eastAsia="SimSun"/>
                <w:sz w:val="22"/>
              </w:rPr>
              <w:t>5.3.1.13</w:t>
            </w:r>
          </w:p>
        </w:tc>
        <w:tc>
          <w:tcPr>
            <w:tcW w:w="422" w:type="pct"/>
            <w:vAlign w:val="center"/>
          </w:tcPr>
          <w:p w14:paraId="53F54223" w14:textId="77777777" w:rsidR="0089207C" w:rsidRPr="00470E23" w:rsidRDefault="0089207C" w:rsidP="002D3EBF">
            <w:pPr>
              <w:rPr>
                <w:rFonts w:eastAsia="SimSun"/>
                <w:sz w:val="22"/>
              </w:rPr>
            </w:pPr>
            <w:r w:rsidRPr="00470E23">
              <w:rPr>
                <w:rFonts w:eastAsia="SimSun"/>
                <w:sz w:val="22"/>
              </w:rPr>
              <w:t>5.3.1.14</w:t>
            </w:r>
          </w:p>
        </w:tc>
      </w:tr>
    </w:tbl>
    <w:p w14:paraId="5F86559B" w14:textId="77777777" w:rsidR="0089207C" w:rsidRPr="00C07B2E" w:rsidRDefault="0089207C" w:rsidP="0089207C">
      <w:pPr>
        <w:rPr>
          <w:rFonts w:eastAsia="SimSun"/>
        </w:rPr>
      </w:pPr>
    </w:p>
    <w:p w14:paraId="3F8EF7C6" w14:textId="77777777" w:rsidR="0089207C" w:rsidRPr="00C07B2E" w:rsidRDefault="0089207C" w:rsidP="0089207C">
      <w:pPr>
        <w:rPr>
          <w:rFonts w:eastAsia="SimSun"/>
        </w:rPr>
        <w:sectPr w:rsidR="0089207C" w:rsidRPr="00C07B2E" w:rsidSect="00980822">
          <w:headerReference w:type="default" r:id="rId19"/>
          <w:footerReference w:type="default" r:id="rId20"/>
          <w:type w:val="continuous"/>
          <w:pgSz w:w="16839" w:h="11907" w:orient="landscape" w:code="9"/>
          <w:pgMar w:top="1134" w:right="850" w:bottom="1134" w:left="1701" w:header="709" w:footer="567" w:gutter="0"/>
          <w:cols w:space="708"/>
          <w:docGrid w:linePitch="360"/>
        </w:sectPr>
      </w:pPr>
    </w:p>
    <w:p w14:paraId="6AC436F3" w14:textId="77777777" w:rsidR="0089207C" w:rsidRPr="00C07B2E" w:rsidRDefault="0089207C" w:rsidP="0089207C">
      <w:pPr>
        <w:rPr>
          <w:rFonts w:eastAsia="SimSun"/>
        </w:rPr>
      </w:pPr>
      <w:bookmarkStart w:id="270" w:name="_Toc44401226"/>
      <w:r w:rsidRPr="00EE51B1">
        <w:rPr>
          <w:rFonts w:eastAsia="SimSun"/>
        </w:rPr>
        <w:t>Таблица</w:t>
      </w:r>
      <w:r w:rsidRPr="00C07B2E">
        <w:rPr>
          <w:rFonts w:eastAsia="SimSun"/>
        </w:rPr>
        <w:t xml:space="preserve"> </w:t>
      </w:r>
      <w:r>
        <w:rPr>
          <w:rFonts w:eastAsia="SimSun"/>
        </w:rPr>
        <w:t>5.</w:t>
      </w:r>
      <w:r w:rsidRPr="00C07B2E">
        <w:rPr>
          <w:rFonts w:eastAsia="SimSun"/>
        </w:rPr>
        <w:t>3.1.1  – Flu150+Bu8+Thio / PT-Cy+CSA+MMF30</w:t>
      </w:r>
      <w:bookmarkEnd w:id="270"/>
    </w:p>
    <w:p w14:paraId="047D082F" w14:textId="77777777" w:rsidR="0089207C" w:rsidRPr="00C07B2E" w:rsidRDefault="0089207C" w:rsidP="0089207C">
      <w:pPr>
        <w:rPr>
          <w:rFonts w:eastAsia="SimSun"/>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89207C" w:rsidRPr="00AC3044" w14:paraId="0D25E0F6" w14:textId="77777777" w:rsidTr="002D3EBF">
        <w:trPr>
          <w:cantSplit/>
          <w:trHeight w:val="20"/>
          <w:tblHeader/>
        </w:trPr>
        <w:tc>
          <w:tcPr>
            <w:tcW w:w="1135" w:type="dxa"/>
          </w:tcPr>
          <w:p w14:paraId="4BAFA8F3" w14:textId="77777777" w:rsidR="0089207C" w:rsidRPr="006A5E21" w:rsidRDefault="0089207C" w:rsidP="002D3EBF">
            <w:pPr>
              <w:rPr>
                <w:rFonts w:eastAsia="SimSun"/>
              </w:rPr>
            </w:pPr>
          </w:p>
        </w:tc>
        <w:tc>
          <w:tcPr>
            <w:tcW w:w="1559" w:type="dxa"/>
          </w:tcPr>
          <w:p w14:paraId="2CF13CC2" w14:textId="77777777" w:rsidR="0089207C" w:rsidRPr="00AC3044" w:rsidRDefault="0089207C" w:rsidP="002D3EBF">
            <w:pPr>
              <w:rPr>
                <w:rFonts w:eastAsia="SimSun"/>
              </w:rPr>
            </w:pPr>
            <w:r w:rsidRPr="00AC3044">
              <w:rPr>
                <w:rFonts w:eastAsia="SimSun"/>
              </w:rPr>
              <w:t>Препарат</w:t>
            </w:r>
          </w:p>
        </w:tc>
        <w:tc>
          <w:tcPr>
            <w:tcW w:w="1418" w:type="dxa"/>
          </w:tcPr>
          <w:p w14:paraId="3DB4A715" w14:textId="77777777" w:rsidR="0089207C" w:rsidRPr="00AC3044" w:rsidRDefault="0089207C" w:rsidP="002D3EBF">
            <w:pPr>
              <w:rPr>
                <w:rFonts w:eastAsia="SimSun"/>
              </w:rPr>
            </w:pPr>
            <w:r w:rsidRPr="00AC3044">
              <w:rPr>
                <w:rFonts w:eastAsia="SimSun"/>
              </w:rPr>
              <w:t>Суточная доза</w:t>
            </w:r>
          </w:p>
        </w:tc>
        <w:tc>
          <w:tcPr>
            <w:tcW w:w="1559" w:type="dxa"/>
          </w:tcPr>
          <w:p w14:paraId="567AAAD7" w14:textId="77777777" w:rsidR="0089207C" w:rsidRPr="00AC3044" w:rsidRDefault="0089207C" w:rsidP="002D3EBF">
            <w:pPr>
              <w:rPr>
                <w:rFonts w:eastAsia="SimSun"/>
              </w:rPr>
            </w:pPr>
            <w:r w:rsidRPr="00AC3044">
              <w:rPr>
                <w:rFonts w:eastAsia="SimSun"/>
              </w:rPr>
              <w:t>Курсовая доза</w:t>
            </w:r>
          </w:p>
        </w:tc>
        <w:tc>
          <w:tcPr>
            <w:tcW w:w="1559" w:type="dxa"/>
          </w:tcPr>
          <w:p w14:paraId="3AF8EE9F" w14:textId="77777777" w:rsidR="0089207C" w:rsidRPr="00AC3044" w:rsidRDefault="0089207C" w:rsidP="002D3EBF">
            <w:pPr>
              <w:rPr>
                <w:rFonts w:eastAsia="SimSun"/>
              </w:rPr>
            </w:pPr>
            <w:r w:rsidRPr="00AC3044">
              <w:rPr>
                <w:rFonts w:eastAsia="SimSun"/>
              </w:rPr>
              <w:t>Дни введения</w:t>
            </w:r>
          </w:p>
        </w:tc>
        <w:tc>
          <w:tcPr>
            <w:tcW w:w="2410" w:type="dxa"/>
          </w:tcPr>
          <w:p w14:paraId="7AE70E8B"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7BB48A43" w14:textId="77777777" w:rsidTr="002D3EBF">
        <w:trPr>
          <w:cantSplit/>
          <w:trHeight w:val="20"/>
        </w:trPr>
        <w:tc>
          <w:tcPr>
            <w:tcW w:w="1135" w:type="dxa"/>
            <w:vMerge w:val="restart"/>
            <w:textDirection w:val="btLr"/>
          </w:tcPr>
          <w:p w14:paraId="0133F797" w14:textId="77777777" w:rsidR="0089207C" w:rsidRPr="00AC3044" w:rsidRDefault="0089207C" w:rsidP="002D3EBF">
            <w:pPr>
              <w:rPr>
                <w:rFonts w:eastAsia="SimSun"/>
              </w:rPr>
            </w:pPr>
            <w:r w:rsidRPr="00AC3044">
              <w:rPr>
                <w:rFonts w:eastAsia="SimSun"/>
              </w:rPr>
              <w:t>Кондиционирование</w:t>
            </w:r>
          </w:p>
        </w:tc>
        <w:tc>
          <w:tcPr>
            <w:tcW w:w="1559" w:type="dxa"/>
          </w:tcPr>
          <w:p w14:paraId="41AE1480" w14:textId="77777777" w:rsidR="0089207C" w:rsidRPr="00AC3044" w:rsidRDefault="0089207C" w:rsidP="002D3EBF">
            <w:pPr>
              <w:rPr>
                <w:rFonts w:eastAsia="SimSun"/>
              </w:rPr>
            </w:pPr>
            <w:r w:rsidRPr="00AC3044">
              <w:rPr>
                <w:rFonts w:eastAsia="SimSun"/>
              </w:rPr>
              <w:t xml:space="preserve">Флударабин </w:t>
            </w:r>
          </w:p>
        </w:tc>
        <w:tc>
          <w:tcPr>
            <w:tcW w:w="1418" w:type="dxa"/>
          </w:tcPr>
          <w:p w14:paraId="4E5558A1" w14:textId="77777777" w:rsidR="0089207C" w:rsidRPr="00AC3044" w:rsidRDefault="0089207C" w:rsidP="002D3EBF">
            <w:pPr>
              <w:rPr>
                <w:rFonts w:eastAsia="SimSun"/>
              </w:rPr>
            </w:pPr>
            <w:r w:rsidRPr="00AC3044">
              <w:rPr>
                <w:rFonts w:eastAsia="SimSun"/>
              </w:rPr>
              <w:t>50 мг/м</w:t>
            </w:r>
            <w:r w:rsidRPr="0074195F">
              <w:rPr>
                <w:rFonts w:eastAsia="SimSun"/>
                <w:vertAlign w:val="superscript"/>
              </w:rPr>
              <w:t>2</w:t>
            </w:r>
          </w:p>
        </w:tc>
        <w:tc>
          <w:tcPr>
            <w:tcW w:w="1559" w:type="dxa"/>
          </w:tcPr>
          <w:p w14:paraId="3B35ED88" w14:textId="77777777" w:rsidR="0089207C" w:rsidRPr="00AC3044" w:rsidRDefault="0089207C" w:rsidP="002D3EBF">
            <w:pPr>
              <w:rPr>
                <w:rFonts w:eastAsia="SimSun"/>
              </w:rPr>
            </w:pPr>
            <w:r w:rsidRPr="00AC3044">
              <w:rPr>
                <w:rFonts w:eastAsia="SimSun"/>
              </w:rPr>
              <w:t>150 мг/м</w:t>
            </w:r>
            <w:r w:rsidRPr="0074195F">
              <w:rPr>
                <w:rFonts w:eastAsia="SimSun"/>
                <w:vertAlign w:val="superscript"/>
              </w:rPr>
              <w:t>2</w:t>
            </w:r>
          </w:p>
        </w:tc>
        <w:tc>
          <w:tcPr>
            <w:tcW w:w="1559" w:type="dxa"/>
          </w:tcPr>
          <w:p w14:paraId="1EE65A77" w14:textId="77777777" w:rsidR="0089207C" w:rsidRPr="00AC3044" w:rsidRDefault="0089207C" w:rsidP="002D3EBF">
            <w:pPr>
              <w:rPr>
                <w:rFonts w:eastAsia="SimSun"/>
              </w:rPr>
            </w:pPr>
            <w:r w:rsidRPr="00AC3044">
              <w:rPr>
                <w:rFonts w:eastAsia="SimSun"/>
              </w:rPr>
              <w:t>С –4 по –2 день</w:t>
            </w:r>
          </w:p>
        </w:tc>
        <w:tc>
          <w:tcPr>
            <w:tcW w:w="2410" w:type="dxa"/>
          </w:tcPr>
          <w:p w14:paraId="06295BD4"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44396DCE" w14:textId="77777777" w:rsidTr="002D3EBF">
        <w:trPr>
          <w:cantSplit/>
          <w:trHeight w:val="642"/>
        </w:trPr>
        <w:tc>
          <w:tcPr>
            <w:tcW w:w="1135" w:type="dxa"/>
            <w:vMerge/>
            <w:textDirection w:val="btLr"/>
          </w:tcPr>
          <w:p w14:paraId="582919A9" w14:textId="77777777" w:rsidR="0089207C" w:rsidRPr="00AC3044" w:rsidRDefault="0089207C" w:rsidP="002D3EBF">
            <w:pPr>
              <w:rPr>
                <w:rFonts w:eastAsia="SimSun"/>
              </w:rPr>
            </w:pPr>
          </w:p>
        </w:tc>
        <w:tc>
          <w:tcPr>
            <w:tcW w:w="1559" w:type="dxa"/>
          </w:tcPr>
          <w:p w14:paraId="3BCA42D5" w14:textId="77777777" w:rsidR="0089207C" w:rsidRPr="00AC3044" w:rsidRDefault="0089207C" w:rsidP="002D3EBF">
            <w:pPr>
              <w:rPr>
                <w:rFonts w:eastAsia="SimSun"/>
              </w:rPr>
            </w:pPr>
            <w:r w:rsidRPr="00AC3044">
              <w:rPr>
                <w:rFonts w:eastAsia="SimSun"/>
              </w:rPr>
              <w:t>Бусульфан</w:t>
            </w:r>
          </w:p>
        </w:tc>
        <w:tc>
          <w:tcPr>
            <w:tcW w:w="1418" w:type="dxa"/>
          </w:tcPr>
          <w:p w14:paraId="5972C86F" w14:textId="77777777" w:rsidR="0089207C" w:rsidRPr="00AC3044" w:rsidRDefault="0089207C" w:rsidP="002D3EBF">
            <w:pPr>
              <w:rPr>
                <w:rFonts w:eastAsia="SimSun"/>
              </w:rPr>
            </w:pPr>
            <w:r w:rsidRPr="00AC3044">
              <w:rPr>
                <w:rFonts w:eastAsia="SimSun"/>
              </w:rPr>
              <w:t>4 мг/кг</w:t>
            </w:r>
          </w:p>
        </w:tc>
        <w:tc>
          <w:tcPr>
            <w:tcW w:w="1559" w:type="dxa"/>
          </w:tcPr>
          <w:p w14:paraId="2380291C" w14:textId="77777777" w:rsidR="0089207C" w:rsidRPr="00AC3044" w:rsidRDefault="0089207C" w:rsidP="002D3EBF">
            <w:pPr>
              <w:rPr>
                <w:rFonts w:eastAsia="SimSun"/>
              </w:rPr>
            </w:pPr>
            <w:r w:rsidRPr="00AC3044">
              <w:rPr>
                <w:rFonts w:eastAsia="SimSun"/>
              </w:rPr>
              <w:t>8 мг/кг</w:t>
            </w:r>
          </w:p>
        </w:tc>
        <w:tc>
          <w:tcPr>
            <w:tcW w:w="1559" w:type="dxa"/>
          </w:tcPr>
          <w:p w14:paraId="06B5E866" w14:textId="77777777" w:rsidR="0089207C" w:rsidRPr="00AC3044" w:rsidRDefault="0089207C" w:rsidP="002D3EBF">
            <w:pPr>
              <w:rPr>
                <w:rFonts w:eastAsia="SimSun"/>
              </w:rPr>
            </w:pPr>
            <w:r w:rsidRPr="00AC3044">
              <w:rPr>
                <w:rFonts w:eastAsia="SimSun"/>
              </w:rPr>
              <w:t>–3, –2 дни</w:t>
            </w:r>
          </w:p>
        </w:tc>
        <w:tc>
          <w:tcPr>
            <w:tcW w:w="2410" w:type="dxa"/>
          </w:tcPr>
          <w:p w14:paraId="0BA140A3"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w:t>
            </w:r>
          </w:p>
        </w:tc>
      </w:tr>
      <w:tr w:rsidR="0089207C" w:rsidRPr="00AC3044" w14:paraId="28B5D057" w14:textId="77777777" w:rsidTr="002D3EBF">
        <w:trPr>
          <w:cantSplit/>
          <w:trHeight w:val="552"/>
        </w:trPr>
        <w:tc>
          <w:tcPr>
            <w:tcW w:w="1135" w:type="dxa"/>
            <w:vMerge/>
            <w:textDirection w:val="btLr"/>
          </w:tcPr>
          <w:p w14:paraId="6A364157" w14:textId="77777777" w:rsidR="0089207C" w:rsidRPr="00AC3044" w:rsidRDefault="0089207C" w:rsidP="002D3EBF">
            <w:pPr>
              <w:rPr>
                <w:rFonts w:eastAsia="SimSun"/>
              </w:rPr>
            </w:pPr>
          </w:p>
        </w:tc>
        <w:tc>
          <w:tcPr>
            <w:tcW w:w="1559" w:type="dxa"/>
          </w:tcPr>
          <w:p w14:paraId="3E7587B7" w14:textId="77777777" w:rsidR="0089207C" w:rsidRPr="00AC3044" w:rsidRDefault="0089207C" w:rsidP="002D3EBF">
            <w:pPr>
              <w:rPr>
                <w:rFonts w:eastAsia="SimSun"/>
              </w:rPr>
            </w:pPr>
            <w:r w:rsidRPr="00AC3044">
              <w:rPr>
                <w:rFonts w:eastAsia="SimSun"/>
              </w:rPr>
              <w:t>Тиотепа</w:t>
            </w:r>
          </w:p>
        </w:tc>
        <w:tc>
          <w:tcPr>
            <w:tcW w:w="1418" w:type="dxa"/>
          </w:tcPr>
          <w:p w14:paraId="3DE43A8B" w14:textId="77777777" w:rsidR="0089207C" w:rsidRPr="00AC3044" w:rsidRDefault="0089207C" w:rsidP="002D3EBF">
            <w:pPr>
              <w:rPr>
                <w:rFonts w:eastAsia="SimSun"/>
              </w:rPr>
            </w:pPr>
            <w:r w:rsidRPr="00AC3044">
              <w:rPr>
                <w:rFonts w:eastAsia="SimSun"/>
              </w:rPr>
              <w:t>5 мг/кг</w:t>
            </w:r>
          </w:p>
        </w:tc>
        <w:tc>
          <w:tcPr>
            <w:tcW w:w="1559" w:type="dxa"/>
          </w:tcPr>
          <w:p w14:paraId="77A6AFC6" w14:textId="77777777" w:rsidR="0089207C" w:rsidRPr="00AC3044" w:rsidRDefault="0089207C" w:rsidP="002D3EBF">
            <w:pPr>
              <w:rPr>
                <w:rFonts w:eastAsia="SimSun"/>
              </w:rPr>
            </w:pPr>
            <w:r w:rsidRPr="00AC3044">
              <w:rPr>
                <w:rFonts w:eastAsia="SimSun"/>
              </w:rPr>
              <w:t>10 мг/кг</w:t>
            </w:r>
          </w:p>
        </w:tc>
        <w:tc>
          <w:tcPr>
            <w:tcW w:w="1559" w:type="dxa"/>
          </w:tcPr>
          <w:p w14:paraId="50B2317F" w14:textId="77777777" w:rsidR="0089207C" w:rsidRPr="00AC3044" w:rsidRDefault="0089207C" w:rsidP="002D3EBF">
            <w:pPr>
              <w:rPr>
                <w:rFonts w:eastAsia="SimSun"/>
              </w:rPr>
            </w:pPr>
            <w:r w:rsidRPr="00AC3044">
              <w:rPr>
                <w:rFonts w:eastAsia="SimSun"/>
              </w:rPr>
              <w:t>-6,-5 дни</w:t>
            </w:r>
          </w:p>
        </w:tc>
        <w:tc>
          <w:tcPr>
            <w:tcW w:w="2410" w:type="dxa"/>
          </w:tcPr>
          <w:p w14:paraId="5F21A4A2"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26B2DF8D" w14:textId="77777777" w:rsidTr="002D3EBF">
        <w:trPr>
          <w:cantSplit/>
          <w:trHeight w:val="1357"/>
        </w:trPr>
        <w:tc>
          <w:tcPr>
            <w:tcW w:w="1135" w:type="dxa"/>
            <w:vMerge w:val="restart"/>
            <w:textDirection w:val="btLr"/>
          </w:tcPr>
          <w:p w14:paraId="62066C40" w14:textId="77777777" w:rsidR="0089207C" w:rsidRPr="00AC3044" w:rsidRDefault="0089207C" w:rsidP="002D3EBF">
            <w:pPr>
              <w:rPr>
                <w:rFonts w:eastAsia="SimSun"/>
              </w:rPr>
            </w:pPr>
            <w:r w:rsidRPr="00AC3044">
              <w:rPr>
                <w:rFonts w:eastAsia="SimSun"/>
              </w:rPr>
              <w:t>Профилактика РТПХ</w:t>
            </w:r>
          </w:p>
        </w:tc>
        <w:tc>
          <w:tcPr>
            <w:tcW w:w="1559" w:type="dxa"/>
          </w:tcPr>
          <w:p w14:paraId="2B73BA81" w14:textId="77777777" w:rsidR="0089207C" w:rsidRPr="00AC3044" w:rsidRDefault="0089207C" w:rsidP="002D3EBF">
            <w:pPr>
              <w:rPr>
                <w:rFonts w:eastAsia="SimSun"/>
              </w:rPr>
            </w:pPr>
            <w:r w:rsidRPr="00AC3044">
              <w:rPr>
                <w:rFonts w:eastAsia="SimSun"/>
              </w:rPr>
              <w:t>Циклоспорин</w:t>
            </w:r>
          </w:p>
        </w:tc>
        <w:tc>
          <w:tcPr>
            <w:tcW w:w="1418" w:type="dxa"/>
          </w:tcPr>
          <w:p w14:paraId="11C6A5E2" w14:textId="77777777" w:rsidR="0089207C" w:rsidRPr="00AC3044" w:rsidRDefault="0089207C" w:rsidP="002D3EBF">
            <w:pPr>
              <w:rPr>
                <w:rFonts w:eastAsia="SimSun"/>
              </w:rPr>
            </w:pPr>
            <w:r w:rsidRPr="00AC3044">
              <w:rPr>
                <w:rFonts w:eastAsia="SimSun"/>
              </w:rPr>
              <w:t>3 мг/кг</w:t>
            </w:r>
          </w:p>
        </w:tc>
        <w:tc>
          <w:tcPr>
            <w:tcW w:w="1559" w:type="dxa"/>
          </w:tcPr>
          <w:p w14:paraId="0CD6795D" w14:textId="77777777" w:rsidR="0089207C" w:rsidRPr="00AC3044" w:rsidRDefault="0089207C" w:rsidP="002D3EBF">
            <w:pPr>
              <w:rPr>
                <w:rFonts w:eastAsia="SimSun"/>
              </w:rPr>
            </w:pPr>
            <w:r w:rsidRPr="00AC3044">
              <w:rPr>
                <w:rFonts w:eastAsia="SimSun"/>
              </w:rPr>
              <w:t>–</w:t>
            </w:r>
          </w:p>
        </w:tc>
        <w:tc>
          <w:tcPr>
            <w:tcW w:w="1559" w:type="dxa"/>
          </w:tcPr>
          <w:p w14:paraId="1AFAA959" w14:textId="77777777" w:rsidR="0089207C" w:rsidRPr="00AC3044" w:rsidRDefault="0089207C" w:rsidP="002D3EBF">
            <w:pPr>
              <w:rPr>
                <w:rFonts w:eastAsia="SimSun"/>
              </w:rPr>
            </w:pPr>
            <w:r w:rsidRPr="00AC3044">
              <w:rPr>
                <w:rFonts w:eastAsia="SimSun"/>
              </w:rPr>
              <w:t>С +5 дня по +90 день затем постепенное снижение к +180 дню</w:t>
            </w:r>
          </w:p>
        </w:tc>
        <w:tc>
          <w:tcPr>
            <w:tcW w:w="2410" w:type="dxa"/>
          </w:tcPr>
          <w:p w14:paraId="1D3F7687" w14:textId="77777777" w:rsidR="0089207C" w:rsidRPr="00AC3044" w:rsidRDefault="0089207C" w:rsidP="002D3EBF">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9207C" w:rsidRPr="00AC3044" w14:paraId="3CC591C9" w14:textId="77777777" w:rsidTr="002D3EBF">
        <w:trPr>
          <w:cantSplit/>
          <w:trHeight w:val="20"/>
        </w:trPr>
        <w:tc>
          <w:tcPr>
            <w:tcW w:w="1135" w:type="dxa"/>
            <w:vMerge/>
            <w:textDirection w:val="btLr"/>
          </w:tcPr>
          <w:p w14:paraId="3736FB24" w14:textId="77777777" w:rsidR="0089207C" w:rsidRPr="00AC3044" w:rsidRDefault="0089207C" w:rsidP="002D3EBF">
            <w:pPr>
              <w:rPr>
                <w:rFonts w:eastAsia="SimSun"/>
              </w:rPr>
            </w:pPr>
          </w:p>
        </w:tc>
        <w:tc>
          <w:tcPr>
            <w:tcW w:w="1559" w:type="dxa"/>
          </w:tcPr>
          <w:p w14:paraId="534D6287" w14:textId="77777777" w:rsidR="0089207C" w:rsidRPr="00AC3044" w:rsidRDefault="0089207C" w:rsidP="002D3EBF">
            <w:pPr>
              <w:rPr>
                <w:rFonts w:eastAsia="SimSun"/>
              </w:rPr>
            </w:pPr>
            <w:r w:rsidRPr="00AC3044">
              <w:rPr>
                <w:rFonts w:eastAsia="SimSun"/>
              </w:rPr>
              <w:t>Микофенолата мофетил</w:t>
            </w:r>
          </w:p>
        </w:tc>
        <w:tc>
          <w:tcPr>
            <w:tcW w:w="1418" w:type="dxa"/>
          </w:tcPr>
          <w:p w14:paraId="5AC9B5B3" w14:textId="77777777" w:rsidR="0089207C" w:rsidRPr="00AC3044" w:rsidRDefault="0089207C" w:rsidP="002D3EBF">
            <w:pPr>
              <w:rPr>
                <w:rFonts w:eastAsia="SimSun"/>
              </w:rPr>
            </w:pPr>
            <w:r w:rsidRPr="00AC3044">
              <w:rPr>
                <w:rFonts w:eastAsia="SimSun"/>
              </w:rPr>
              <w:t>30 мг/кг</w:t>
            </w:r>
          </w:p>
        </w:tc>
        <w:tc>
          <w:tcPr>
            <w:tcW w:w="1559" w:type="dxa"/>
          </w:tcPr>
          <w:p w14:paraId="074C7A02" w14:textId="77777777" w:rsidR="0089207C" w:rsidRPr="00AC3044" w:rsidRDefault="0089207C" w:rsidP="002D3EBF">
            <w:pPr>
              <w:rPr>
                <w:rFonts w:eastAsia="SimSun"/>
              </w:rPr>
            </w:pPr>
            <w:r w:rsidRPr="00AC3044">
              <w:rPr>
                <w:rFonts w:eastAsia="SimSun"/>
              </w:rPr>
              <w:t>–</w:t>
            </w:r>
          </w:p>
        </w:tc>
        <w:tc>
          <w:tcPr>
            <w:tcW w:w="1559" w:type="dxa"/>
          </w:tcPr>
          <w:p w14:paraId="1BF15A5F" w14:textId="77777777" w:rsidR="0089207C" w:rsidRPr="00AC3044" w:rsidRDefault="0089207C" w:rsidP="002D3EBF">
            <w:pPr>
              <w:rPr>
                <w:rFonts w:eastAsia="SimSun"/>
              </w:rPr>
            </w:pPr>
            <w:r w:rsidRPr="00AC3044">
              <w:rPr>
                <w:rFonts w:eastAsia="SimSun"/>
              </w:rPr>
              <w:t>С +5 по +90 день</w:t>
            </w:r>
          </w:p>
        </w:tc>
        <w:tc>
          <w:tcPr>
            <w:tcW w:w="2410" w:type="dxa"/>
          </w:tcPr>
          <w:p w14:paraId="1524B878" w14:textId="77777777" w:rsidR="0089207C" w:rsidRPr="00AC3044" w:rsidRDefault="0089207C" w:rsidP="002D3EBF">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89207C" w:rsidRPr="00AC3044" w14:paraId="18189623" w14:textId="77777777" w:rsidTr="002D3EBF">
        <w:trPr>
          <w:cantSplit/>
          <w:trHeight w:val="20"/>
        </w:trPr>
        <w:tc>
          <w:tcPr>
            <w:tcW w:w="1135" w:type="dxa"/>
            <w:vMerge/>
            <w:textDirection w:val="btLr"/>
          </w:tcPr>
          <w:p w14:paraId="02769CB9" w14:textId="77777777" w:rsidR="0089207C" w:rsidRPr="00AC3044" w:rsidRDefault="0089207C" w:rsidP="002D3EBF">
            <w:pPr>
              <w:rPr>
                <w:rFonts w:eastAsia="SimSun"/>
              </w:rPr>
            </w:pPr>
          </w:p>
        </w:tc>
        <w:tc>
          <w:tcPr>
            <w:tcW w:w="1559" w:type="dxa"/>
          </w:tcPr>
          <w:p w14:paraId="1B670A60" w14:textId="77777777" w:rsidR="0089207C" w:rsidRPr="00AC3044" w:rsidRDefault="0089207C" w:rsidP="002D3EBF">
            <w:pPr>
              <w:rPr>
                <w:rFonts w:eastAsia="SimSun"/>
              </w:rPr>
            </w:pPr>
            <w:r w:rsidRPr="00AC3044">
              <w:rPr>
                <w:rFonts w:eastAsia="SimSun"/>
              </w:rPr>
              <w:t>Циклофосфамид</w:t>
            </w:r>
          </w:p>
        </w:tc>
        <w:tc>
          <w:tcPr>
            <w:tcW w:w="1418" w:type="dxa"/>
          </w:tcPr>
          <w:p w14:paraId="5B05BBF3" w14:textId="77777777" w:rsidR="0089207C" w:rsidRPr="00AC3044" w:rsidRDefault="0089207C" w:rsidP="002D3EBF">
            <w:pPr>
              <w:rPr>
                <w:rFonts w:eastAsia="SimSun"/>
              </w:rPr>
            </w:pPr>
            <w:r w:rsidRPr="00AC3044">
              <w:rPr>
                <w:rFonts w:eastAsia="SimSun"/>
              </w:rPr>
              <w:t>50 мг/кг</w:t>
            </w:r>
          </w:p>
        </w:tc>
        <w:tc>
          <w:tcPr>
            <w:tcW w:w="1559" w:type="dxa"/>
          </w:tcPr>
          <w:p w14:paraId="0608372B" w14:textId="77777777" w:rsidR="0089207C" w:rsidRPr="00AC3044" w:rsidRDefault="0089207C" w:rsidP="002D3EBF">
            <w:pPr>
              <w:rPr>
                <w:rFonts w:eastAsia="SimSun"/>
              </w:rPr>
            </w:pPr>
            <w:r w:rsidRPr="00AC3044">
              <w:rPr>
                <w:rFonts w:eastAsia="SimSun"/>
              </w:rPr>
              <w:t>100 мг/кг</w:t>
            </w:r>
          </w:p>
        </w:tc>
        <w:tc>
          <w:tcPr>
            <w:tcW w:w="1559" w:type="dxa"/>
          </w:tcPr>
          <w:p w14:paraId="04391097" w14:textId="77777777" w:rsidR="0089207C" w:rsidRPr="00AC3044" w:rsidRDefault="0089207C" w:rsidP="002D3EBF">
            <w:pPr>
              <w:rPr>
                <w:rFonts w:eastAsia="SimSun"/>
              </w:rPr>
            </w:pPr>
            <w:r w:rsidRPr="00AC3044">
              <w:rPr>
                <w:rFonts w:eastAsia="SimSun"/>
              </w:rPr>
              <w:t xml:space="preserve">+3,+4 дни </w:t>
            </w:r>
          </w:p>
        </w:tc>
        <w:tc>
          <w:tcPr>
            <w:tcW w:w="2410" w:type="dxa"/>
          </w:tcPr>
          <w:p w14:paraId="1C3E2B87" w14:textId="77777777" w:rsidR="0089207C" w:rsidRPr="00AC3044" w:rsidRDefault="0089207C" w:rsidP="002D3EBF">
            <w:pPr>
              <w:rPr>
                <w:rFonts w:eastAsia="SimSun"/>
              </w:rPr>
            </w:pPr>
            <w:r w:rsidRPr="00AC3044">
              <w:rPr>
                <w:rFonts w:eastAsia="SimSun"/>
              </w:rPr>
              <w:t>В/в, в течение 2 часов</w:t>
            </w:r>
          </w:p>
        </w:tc>
      </w:tr>
    </w:tbl>
    <w:p w14:paraId="02448A1F" w14:textId="77777777" w:rsidR="0089207C" w:rsidRDefault="0089207C" w:rsidP="0089207C">
      <w:pPr>
        <w:rPr>
          <w:rFonts w:eastAsia="SimSun"/>
        </w:rPr>
      </w:pPr>
      <w:bookmarkStart w:id="271" w:name="_Toc44401227"/>
    </w:p>
    <w:p w14:paraId="1A736CBA" w14:textId="77777777" w:rsidR="0089207C" w:rsidRPr="00C07B2E" w:rsidRDefault="0089207C" w:rsidP="0089207C">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3.1.2  – Flu150+Bu8+Thio / PT-Cy+CSA+MMF45</w:t>
      </w:r>
      <w:bookmarkEnd w:id="271"/>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89207C" w:rsidRPr="00AC3044" w14:paraId="49F87D91" w14:textId="77777777" w:rsidTr="002D3EBF">
        <w:trPr>
          <w:cantSplit/>
          <w:trHeight w:val="20"/>
          <w:tblHeader/>
        </w:trPr>
        <w:tc>
          <w:tcPr>
            <w:tcW w:w="1135" w:type="dxa"/>
          </w:tcPr>
          <w:p w14:paraId="591EEE84" w14:textId="77777777" w:rsidR="0089207C" w:rsidRPr="006A5E21" w:rsidRDefault="0089207C" w:rsidP="002D3EBF">
            <w:pPr>
              <w:rPr>
                <w:rFonts w:eastAsia="SimSun"/>
              </w:rPr>
            </w:pPr>
          </w:p>
        </w:tc>
        <w:tc>
          <w:tcPr>
            <w:tcW w:w="1559" w:type="dxa"/>
            <w:vAlign w:val="center"/>
          </w:tcPr>
          <w:p w14:paraId="12B131B8" w14:textId="77777777" w:rsidR="0089207C" w:rsidRPr="00AC3044" w:rsidRDefault="0089207C" w:rsidP="002D3EBF">
            <w:pPr>
              <w:rPr>
                <w:rFonts w:eastAsia="SimSun"/>
              </w:rPr>
            </w:pPr>
            <w:r w:rsidRPr="00AC3044">
              <w:rPr>
                <w:rFonts w:eastAsia="SimSun"/>
              </w:rPr>
              <w:t>Препарат</w:t>
            </w:r>
          </w:p>
        </w:tc>
        <w:tc>
          <w:tcPr>
            <w:tcW w:w="1418" w:type="dxa"/>
            <w:vAlign w:val="center"/>
          </w:tcPr>
          <w:p w14:paraId="32CD2BAC" w14:textId="77777777" w:rsidR="0089207C" w:rsidRPr="00AC3044" w:rsidRDefault="0089207C" w:rsidP="002D3EBF">
            <w:pPr>
              <w:rPr>
                <w:rFonts w:eastAsia="SimSun"/>
              </w:rPr>
            </w:pPr>
            <w:r w:rsidRPr="00AC3044">
              <w:rPr>
                <w:rFonts w:eastAsia="SimSun"/>
              </w:rPr>
              <w:t>Суточная доза</w:t>
            </w:r>
          </w:p>
        </w:tc>
        <w:tc>
          <w:tcPr>
            <w:tcW w:w="1559" w:type="dxa"/>
            <w:vAlign w:val="center"/>
          </w:tcPr>
          <w:p w14:paraId="0411386F" w14:textId="77777777" w:rsidR="0089207C" w:rsidRPr="00AC3044" w:rsidRDefault="0089207C" w:rsidP="002D3EBF">
            <w:pPr>
              <w:rPr>
                <w:rFonts w:eastAsia="SimSun"/>
              </w:rPr>
            </w:pPr>
            <w:r w:rsidRPr="00AC3044">
              <w:rPr>
                <w:rFonts w:eastAsia="SimSun"/>
              </w:rPr>
              <w:t>Курсовая доза</w:t>
            </w:r>
          </w:p>
        </w:tc>
        <w:tc>
          <w:tcPr>
            <w:tcW w:w="1559" w:type="dxa"/>
            <w:vAlign w:val="center"/>
          </w:tcPr>
          <w:p w14:paraId="23AEB0B9" w14:textId="77777777" w:rsidR="0089207C" w:rsidRPr="00AC3044" w:rsidRDefault="0089207C" w:rsidP="002D3EBF">
            <w:pPr>
              <w:rPr>
                <w:rFonts w:eastAsia="SimSun"/>
              </w:rPr>
            </w:pPr>
            <w:r w:rsidRPr="00AC3044">
              <w:rPr>
                <w:rFonts w:eastAsia="SimSun"/>
              </w:rPr>
              <w:t>Дни введения</w:t>
            </w:r>
          </w:p>
        </w:tc>
        <w:tc>
          <w:tcPr>
            <w:tcW w:w="2410" w:type="dxa"/>
            <w:vAlign w:val="center"/>
          </w:tcPr>
          <w:p w14:paraId="7FBE7E19"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3EA8F030" w14:textId="77777777" w:rsidTr="002D3EBF">
        <w:trPr>
          <w:cantSplit/>
          <w:trHeight w:val="20"/>
        </w:trPr>
        <w:tc>
          <w:tcPr>
            <w:tcW w:w="1135" w:type="dxa"/>
            <w:vMerge w:val="restart"/>
            <w:textDirection w:val="btLr"/>
            <w:vAlign w:val="center"/>
          </w:tcPr>
          <w:p w14:paraId="5CF60083" w14:textId="77777777" w:rsidR="0089207C" w:rsidRPr="00AC3044" w:rsidRDefault="0089207C" w:rsidP="002D3EBF">
            <w:pPr>
              <w:rPr>
                <w:rFonts w:eastAsia="SimSun"/>
              </w:rPr>
            </w:pPr>
            <w:r w:rsidRPr="00AC3044">
              <w:rPr>
                <w:rFonts w:eastAsia="SimSun"/>
              </w:rPr>
              <w:t>Кондиционирование</w:t>
            </w:r>
          </w:p>
        </w:tc>
        <w:tc>
          <w:tcPr>
            <w:tcW w:w="1559" w:type="dxa"/>
            <w:vAlign w:val="center"/>
          </w:tcPr>
          <w:p w14:paraId="647E7D73" w14:textId="77777777" w:rsidR="0089207C" w:rsidRPr="00AC3044" w:rsidRDefault="0089207C" w:rsidP="002D3EBF">
            <w:pPr>
              <w:rPr>
                <w:rFonts w:eastAsia="SimSun"/>
              </w:rPr>
            </w:pPr>
            <w:r w:rsidRPr="00AC3044">
              <w:rPr>
                <w:rFonts w:eastAsia="SimSun"/>
              </w:rPr>
              <w:t xml:space="preserve">Флударабин </w:t>
            </w:r>
          </w:p>
        </w:tc>
        <w:tc>
          <w:tcPr>
            <w:tcW w:w="1418" w:type="dxa"/>
            <w:vAlign w:val="center"/>
          </w:tcPr>
          <w:p w14:paraId="639F9924" w14:textId="77777777" w:rsidR="0089207C" w:rsidRPr="00AC3044" w:rsidRDefault="0089207C" w:rsidP="002D3EBF">
            <w:pPr>
              <w:rPr>
                <w:rFonts w:eastAsia="SimSun"/>
              </w:rPr>
            </w:pPr>
            <w:r w:rsidRPr="00AC3044">
              <w:rPr>
                <w:rFonts w:eastAsia="SimSun"/>
              </w:rPr>
              <w:t>50 мг/м</w:t>
            </w:r>
            <w:r w:rsidRPr="0074195F">
              <w:rPr>
                <w:rFonts w:eastAsia="SimSun"/>
                <w:vertAlign w:val="superscript"/>
              </w:rPr>
              <w:t>2</w:t>
            </w:r>
          </w:p>
        </w:tc>
        <w:tc>
          <w:tcPr>
            <w:tcW w:w="1559" w:type="dxa"/>
            <w:vAlign w:val="center"/>
          </w:tcPr>
          <w:p w14:paraId="7CC2D749" w14:textId="77777777" w:rsidR="0089207C" w:rsidRPr="00AC3044" w:rsidRDefault="0089207C" w:rsidP="002D3EBF">
            <w:pPr>
              <w:rPr>
                <w:rFonts w:eastAsia="SimSun"/>
              </w:rPr>
            </w:pPr>
            <w:r w:rsidRPr="00AC3044">
              <w:rPr>
                <w:rFonts w:eastAsia="SimSun"/>
              </w:rPr>
              <w:t>150 мг/м</w:t>
            </w:r>
            <w:r w:rsidRPr="0074195F">
              <w:rPr>
                <w:rFonts w:eastAsia="SimSun"/>
                <w:vertAlign w:val="superscript"/>
              </w:rPr>
              <w:t>2</w:t>
            </w:r>
          </w:p>
        </w:tc>
        <w:tc>
          <w:tcPr>
            <w:tcW w:w="1559" w:type="dxa"/>
            <w:vAlign w:val="center"/>
          </w:tcPr>
          <w:p w14:paraId="59CA0A39" w14:textId="77777777" w:rsidR="0089207C" w:rsidRPr="00AC3044" w:rsidRDefault="0089207C" w:rsidP="002D3EBF">
            <w:pPr>
              <w:rPr>
                <w:rFonts w:eastAsia="SimSun"/>
              </w:rPr>
            </w:pPr>
            <w:r w:rsidRPr="00AC3044">
              <w:rPr>
                <w:rFonts w:eastAsia="SimSun"/>
              </w:rPr>
              <w:t>С –4 по –2 день</w:t>
            </w:r>
          </w:p>
        </w:tc>
        <w:tc>
          <w:tcPr>
            <w:tcW w:w="2410" w:type="dxa"/>
            <w:vAlign w:val="center"/>
          </w:tcPr>
          <w:p w14:paraId="36F70C8B"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449FD24C" w14:textId="77777777" w:rsidTr="002D3EBF">
        <w:trPr>
          <w:cantSplit/>
          <w:trHeight w:val="550"/>
        </w:trPr>
        <w:tc>
          <w:tcPr>
            <w:tcW w:w="1135" w:type="dxa"/>
            <w:vMerge/>
            <w:textDirection w:val="btLr"/>
            <w:vAlign w:val="center"/>
          </w:tcPr>
          <w:p w14:paraId="7213240C" w14:textId="77777777" w:rsidR="0089207C" w:rsidRPr="00AC3044" w:rsidRDefault="0089207C" w:rsidP="002D3EBF">
            <w:pPr>
              <w:rPr>
                <w:rFonts w:eastAsia="SimSun"/>
              </w:rPr>
            </w:pPr>
          </w:p>
        </w:tc>
        <w:tc>
          <w:tcPr>
            <w:tcW w:w="1559" w:type="dxa"/>
            <w:vAlign w:val="center"/>
          </w:tcPr>
          <w:p w14:paraId="635ACC8E" w14:textId="77777777" w:rsidR="0089207C" w:rsidRPr="00AC3044" w:rsidRDefault="0089207C" w:rsidP="002D3EBF">
            <w:pPr>
              <w:rPr>
                <w:rFonts w:eastAsia="SimSun"/>
              </w:rPr>
            </w:pPr>
            <w:r w:rsidRPr="00AC3044">
              <w:rPr>
                <w:rFonts w:eastAsia="SimSun"/>
              </w:rPr>
              <w:t>Бусульфан</w:t>
            </w:r>
          </w:p>
        </w:tc>
        <w:tc>
          <w:tcPr>
            <w:tcW w:w="1418" w:type="dxa"/>
            <w:vAlign w:val="center"/>
          </w:tcPr>
          <w:p w14:paraId="2D664884" w14:textId="77777777" w:rsidR="0089207C" w:rsidRPr="00AC3044" w:rsidRDefault="0089207C" w:rsidP="002D3EBF">
            <w:pPr>
              <w:rPr>
                <w:rFonts w:eastAsia="SimSun"/>
              </w:rPr>
            </w:pPr>
            <w:r w:rsidRPr="00AC3044">
              <w:rPr>
                <w:rFonts w:eastAsia="SimSun"/>
              </w:rPr>
              <w:t>4 мг/кг</w:t>
            </w:r>
          </w:p>
        </w:tc>
        <w:tc>
          <w:tcPr>
            <w:tcW w:w="1559" w:type="dxa"/>
            <w:vAlign w:val="center"/>
          </w:tcPr>
          <w:p w14:paraId="47F8BD21" w14:textId="77777777" w:rsidR="0089207C" w:rsidRPr="00AC3044" w:rsidRDefault="0089207C" w:rsidP="002D3EBF">
            <w:pPr>
              <w:rPr>
                <w:rFonts w:eastAsia="SimSun"/>
              </w:rPr>
            </w:pPr>
            <w:r w:rsidRPr="00AC3044">
              <w:rPr>
                <w:rFonts w:eastAsia="SimSun"/>
              </w:rPr>
              <w:t>8 мг/кг</w:t>
            </w:r>
          </w:p>
        </w:tc>
        <w:tc>
          <w:tcPr>
            <w:tcW w:w="1559" w:type="dxa"/>
            <w:vAlign w:val="center"/>
          </w:tcPr>
          <w:p w14:paraId="2C7C7847" w14:textId="77777777" w:rsidR="0089207C" w:rsidRPr="00AC3044" w:rsidRDefault="0089207C" w:rsidP="002D3EBF">
            <w:pPr>
              <w:rPr>
                <w:rFonts w:eastAsia="SimSun"/>
              </w:rPr>
            </w:pPr>
            <w:r w:rsidRPr="00AC3044">
              <w:rPr>
                <w:rFonts w:eastAsia="SimSun"/>
              </w:rPr>
              <w:t>–3, –2 дни</w:t>
            </w:r>
          </w:p>
        </w:tc>
        <w:tc>
          <w:tcPr>
            <w:tcW w:w="2410" w:type="dxa"/>
            <w:vAlign w:val="center"/>
          </w:tcPr>
          <w:p w14:paraId="3E1EF4BD"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w:t>
            </w:r>
          </w:p>
        </w:tc>
      </w:tr>
      <w:tr w:rsidR="0089207C" w:rsidRPr="00AC3044" w14:paraId="15DBFE10" w14:textId="77777777" w:rsidTr="002D3EBF">
        <w:trPr>
          <w:cantSplit/>
          <w:trHeight w:val="516"/>
        </w:trPr>
        <w:tc>
          <w:tcPr>
            <w:tcW w:w="1135" w:type="dxa"/>
            <w:vMerge/>
            <w:textDirection w:val="btLr"/>
            <w:vAlign w:val="center"/>
          </w:tcPr>
          <w:p w14:paraId="42538D11" w14:textId="77777777" w:rsidR="0089207C" w:rsidRPr="00AC3044" w:rsidRDefault="0089207C" w:rsidP="002D3EBF">
            <w:pPr>
              <w:rPr>
                <w:rFonts w:eastAsia="SimSun"/>
              </w:rPr>
            </w:pPr>
          </w:p>
        </w:tc>
        <w:tc>
          <w:tcPr>
            <w:tcW w:w="1559" w:type="dxa"/>
            <w:vAlign w:val="center"/>
          </w:tcPr>
          <w:p w14:paraId="1A57AEC1" w14:textId="77777777" w:rsidR="0089207C" w:rsidRPr="00AC3044" w:rsidRDefault="0089207C" w:rsidP="002D3EBF">
            <w:pPr>
              <w:rPr>
                <w:rFonts w:eastAsia="SimSun"/>
              </w:rPr>
            </w:pPr>
            <w:r w:rsidRPr="00AC3044">
              <w:rPr>
                <w:rFonts w:eastAsia="SimSun"/>
              </w:rPr>
              <w:t>Тиотепа</w:t>
            </w:r>
          </w:p>
        </w:tc>
        <w:tc>
          <w:tcPr>
            <w:tcW w:w="1418" w:type="dxa"/>
            <w:vAlign w:val="center"/>
          </w:tcPr>
          <w:p w14:paraId="30D7D2F8" w14:textId="77777777" w:rsidR="0089207C" w:rsidRPr="00AC3044" w:rsidRDefault="0089207C" w:rsidP="002D3EBF">
            <w:pPr>
              <w:rPr>
                <w:rFonts w:eastAsia="SimSun"/>
              </w:rPr>
            </w:pPr>
            <w:r w:rsidRPr="00AC3044">
              <w:rPr>
                <w:rFonts w:eastAsia="SimSun"/>
              </w:rPr>
              <w:t>5 мг/кг</w:t>
            </w:r>
          </w:p>
        </w:tc>
        <w:tc>
          <w:tcPr>
            <w:tcW w:w="1559" w:type="dxa"/>
            <w:vAlign w:val="center"/>
          </w:tcPr>
          <w:p w14:paraId="62C5380D" w14:textId="77777777" w:rsidR="0089207C" w:rsidRPr="00AC3044" w:rsidRDefault="0089207C" w:rsidP="002D3EBF">
            <w:pPr>
              <w:rPr>
                <w:rFonts w:eastAsia="SimSun"/>
              </w:rPr>
            </w:pPr>
            <w:r w:rsidRPr="00AC3044">
              <w:rPr>
                <w:rFonts w:eastAsia="SimSun"/>
              </w:rPr>
              <w:t>10 мг/кг</w:t>
            </w:r>
          </w:p>
        </w:tc>
        <w:tc>
          <w:tcPr>
            <w:tcW w:w="1559" w:type="dxa"/>
            <w:vAlign w:val="center"/>
          </w:tcPr>
          <w:p w14:paraId="43044142" w14:textId="77777777" w:rsidR="0089207C" w:rsidRPr="00AC3044" w:rsidRDefault="0089207C" w:rsidP="002D3EBF">
            <w:pPr>
              <w:rPr>
                <w:rFonts w:eastAsia="SimSun"/>
              </w:rPr>
            </w:pPr>
            <w:r w:rsidRPr="00AC3044">
              <w:rPr>
                <w:rFonts w:eastAsia="SimSun"/>
              </w:rPr>
              <w:t>-6,-5 дни</w:t>
            </w:r>
          </w:p>
        </w:tc>
        <w:tc>
          <w:tcPr>
            <w:tcW w:w="2410" w:type="dxa"/>
            <w:vAlign w:val="center"/>
          </w:tcPr>
          <w:p w14:paraId="15486875"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10E378F2" w14:textId="77777777" w:rsidTr="002D3EBF">
        <w:trPr>
          <w:cantSplit/>
          <w:trHeight w:val="1558"/>
        </w:trPr>
        <w:tc>
          <w:tcPr>
            <w:tcW w:w="1135" w:type="dxa"/>
            <w:vMerge w:val="restart"/>
            <w:textDirection w:val="btLr"/>
            <w:vAlign w:val="center"/>
          </w:tcPr>
          <w:p w14:paraId="33AE7013" w14:textId="77777777" w:rsidR="0089207C" w:rsidRPr="00AC3044" w:rsidRDefault="0089207C" w:rsidP="002D3EBF">
            <w:pPr>
              <w:rPr>
                <w:rFonts w:eastAsia="SimSun"/>
              </w:rPr>
            </w:pPr>
            <w:r w:rsidRPr="00AC3044">
              <w:rPr>
                <w:rFonts w:eastAsia="SimSun"/>
              </w:rPr>
              <w:t>Профилактика РТПХ</w:t>
            </w:r>
          </w:p>
        </w:tc>
        <w:tc>
          <w:tcPr>
            <w:tcW w:w="1559" w:type="dxa"/>
            <w:vAlign w:val="center"/>
          </w:tcPr>
          <w:p w14:paraId="460E4E96" w14:textId="77777777" w:rsidR="0089207C" w:rsidRPr="00AC3044" w:rsidRDefault="0089207C" w:rsidP="002D3EBF">
            <w:pPr>
              <w:rPr>
                <w:rFonts w:eastAsia="SimSun"/>
              </w:rPr>
            </w:pPr>
            <w:r w:rsidRPr="00AC3044">
              <w:rPr>
                <w:rFonts w:eastAsia="SimSun"/>
              </w:rPr>
              <w:t>Циклоспорин</w:t>
            </w:r>
          </w:p>
        </w:tc>
        <w:tc>
          <w:tcPr>
            <w:tcW w:w="1418" w:type="dxa"/>
            <w:vAlign w:val="center"/>
          </w:tcPr>
          <w:p w14:paraId="2DE9A77C" w14:textId="77777777" w:rsidR="0089207C" w:rsidRPr="00AC3044" w:rsidRDefault="0089207C" w:rsidP="002D3EBF">
            <w:pPr>
              <w:rPr>
                <w:rFonts w:eastAsia="SimSun"/>
              </w:rPr>
            </w:pPr>
            <w:r w:rsidRPr="00AC3044">
              <w:rPr>
                <w:rFonts w:eastAsia="SimSun"/>
              </w:rPr>
              <w:t>3 мг/кг</w:t>
            </w:r>
          </w:p>
        </w:tc>
        <w:tc>
          <w:tcPr>
            <w:tcW w:w="1559" w:type="dxa"/>
            <w:vAlign w:val="center"/>
          </w:tcPr>
          <w:p w14:paraId="77CB1576" w14:textId="77777777" w:rsidR="0089207C" w:rsidRPr="00AC3044" w:rsidRDefault="0089207C" w:rsidP="002D3EBF">
            <w:pPr>
              <w:rPr>
                <w:rFonts w:eastAsia="SimSun"/>
              </w:rPr>
            </w:pPr>
            <w:r w:rsidRPr="00AC3044">
              <w:rPr>
                <w:rFonts w:eastAsia="SimSun"/>
              </w:rPr>
              <w:t>–</w:t>
            </w:r>
          </w:p>
        </w:tc>
        <w:tc>
          <w:tcPr>
            <w:tcW w:w="1559" w:type="dxa"/>
            <w:vAlign w:val="center"/>
          </w:tcPr>
          <w:p w14:paraId="450352C4" w14:textId="77777777" w:rsidR="0089207C" w:rsidRPr="00AC3044" w:rsidRDefault="0089207C" w:rsidP="002D3EBF">
            <w:pPr>
              <w:rPr>
                <w:rFonts w:eastAsia="SimSun"/>
              </w:rPr>
            </w:pPr>
            <w:r w:rsidRPr="00AC3044">
              <w:rPr>
                <w:rFonts w:eastAsia="SimSun"/>
              </w:rPr>
              <w:t>С +5 дня по +90 день затем постепенное снижение к +180 дню</w:t>
            </w:r>
          </w:p>
        </w:tc>
        <w:tc>
          <w:tcPr>
            <w:tcW w:w="2410" w:type="dxa"/>
            <w:vAlign w:val="center"/>
          </w:tcPr>
          <w:p w14:paraId="2B8B0FA2" w14:textId="77777777" w:rsidR="0089207C" w:rsidRPr="00AC3044" w:rsidRDefault="0089207C" w:rsidP="002D3EBF">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9207C" w:rsidRPr="00AC3044" w14:paraId="7B0753E1" w14:textId="77777777" w:rsidTr="002D3EBF">
        <w:trPr>
          <w:cantSplit/>
          <w:trHeight w:val="20"/>
        </w:trPr>
        <w:tc>
          <w:tcPr>
            <w:tcW w:w="1135" w:type="dxa"/>
            <w:vMerge/>
            <w:textDirection w:val="btLr"/>
          </w:tcPr>
          <w:p w14:paraId="01A38D25" w14:textId="77777777" w:rsidR="0089207C" w:rsidRPr="00AC3044" w:rsidRDefault="0089207C" w:rsidP="002D3EBF">
            <w:pPr>
              <w:rPr>
                <w:rFonts w:eastAsia="SimSun"/>
              </w:rPr>
            </w:pPr>
          </w:p>
        </w:tc>
        <w:tc>
          <w:tcPr>
            <w:tcW w:w="1559" w:type="dxa"/>
            <w:vAlign w:val="center"/>
          </w:tcPr>
          <w:p w14:paraId="7A6A84E0" w14:textId="77777777" w:rsidR="0089207C" w:rsidRPr="00AC3044" w:rsidRDefault="0089207C" w:rsidP="002D3EBF">
            <w:pPr>
              <w:rPr>
                <w:rFonts w:eastAsia="SimSun"/>
              </w:rPr>
            </w:pPr>
            <w:r w:rsidRPr="00AC3044">
              <w:rPr>
                <w:rFonts w:eastAsia="SimSun"/>
              </w:rPr>
              <w:t>Микофенолата мофетил</w:t>
            </w:r>
          </w:p>
        </w:tc>
        <w:tc>
          <w:tcPr>
            <w:tcW w:w="1418" w:type="dxa"/>
            <w:vAlign w:val="center"/>
          </w:tcPr>
          <w:p w14:paraId="63788DAB" w14:textId="77777777" w:rsidR="0089207C" w:rsidRPr="00AC3044" w:rsidRDefault="0089207C" w:rsidP="002D3EBF">
            <w:pPr>
              <w:rPr>
                <w:rFonts w:eastAsia="SimSun"/>
              </w:rPr>
            </w:pPr>
            <w:r w:rsidRPr="00AC3044">
              <w:rPr>
                <w:rFonts w:eastAsia="SimSun"/>
              </w:rPr>
              <w:t>45 мг/кг</w:t>
            </w:r>
          </w:p>
        </w:tc>
        <w:tc>
          <w:tcPr>
            <w:tcW w:w="1559" w:type="dxa"/>
            <w:vAlign w:val="center"/>
          </w:tcPr>
          <w:p w14:paraId="22DFCE16" w14:textId="77777777" w:rsidR="0089207C" w:rsidRPr="00AC3044" w:rsidRDefault="0089207C" w:rsidP="002D3EBF">
            <w:pPr>
              <w:rPr>
                <w:rFonts w:eastAsia="SimSun"/>
              </w:rPr>
            </w:pPr>
            <w:r w:rsidRPr="00AC3044">
              <w:rPr>
                <w:rFonts w:eastAsia="SimSun"/>
              </w:rPr>
              <w:t>–</w:t>
            </w:r>
          </w:p>
        </w:tc>
        <w:tc>
          <w:tcPr>
            <w:tcW w:w="1559" w:type="dxa"/>
            <w:vAlign w:val="center"/>
          </w:tcPr>
          <w:p w14:paraId="7EF1EA38" w14:textId="77777777" w:rsidR="0089207C" w:rsidRPr="00AC3044" w:rsidRDefault="0089207C" w:rsidP="002D3EBF">
            <w:pPr>
              <w:rPr>
                <w:rFonts w:eastAsia="SimSun"/>
              </w:rPr>
            </w:pPr>
            <w:r w:rsidRPr="00AC3044">
              <w:rPr>
                <w:rFonts w:eastAsia="SimSun"/>
              </w:rPr>
              <w:t>С +5 по +90 день</w:t>
            </w:r>
          </w:p>
        </w:tc>
        <w:tc>
          <w:tcPr>
            <w:tcW w:w="2410" w:type="dxa"/>
            <w:vAlign w:val="center"/>
          </w:tcPr>
          <w:p w14:paraId="21B36A72" w14:textId="77777777" w:rsidR="0089207C" w:rsidRPr="00AC3044" w:rsidRDefault="0089207C" w:rsidP="002D3EBF">
            <w:pPr>
              <w:rPr>
                <w:rFonts w:eastAsia="SimSun"/>
              </w:rPr>
            </w:pPr>
            <w:r w:rsidRPr="00AC3044">
              <w:rPr>
                <w:rFonts w:eastAsia="SimSun"/>
              </w:rPr>
              <w:t xml:space="preserve">Внутрь, суммарная суточная доза разделяется на 2- 4 приема (не более 3г/сут).  </w:t>
            </w:r>
          </w:p>
        </w:tc>
      </w:tr>
      <w:tr w:rsidR="0089207C" w:rsidRPr="00AC3044" w14:paraId="67CB42B1" w14:textId="77777777" w:rsidTr="002D3EBF">
        <w:trPr>
          <w:cantSplit/>
          <w:trHeight w:val="20"/>
        </w:trPr>
        <w:tc>
          <w:tcPr>
            <w:tcW w:w="1135" w:type="dxa"/>
            <w:vMerge/>
            <w:textDirection w:val="btLr"/>
          </w:tcPr>
          <w:p w14:paraId="6329CEFB" w14:textId="77777777" w:rsidR="0089207C" w:rsidRPr="00AC3044" w:rsidRDefault="0089207C" w:rsidP="002D3EBF">
            <w:pPr>
              <w:rPr>
                <w:rFonts w:eastAsia="SimSun"/>
              </w:rPr>
            </w:pPr>
          </w:p>
        </w:tc>
        <w:tc>
          <w:tcPr>
            <w:tcW w:w="1559" w:type="dxa"/>
            <w:vAlign w:val="center"/>
          </w:tcPr>
          <w:p w14:paraId="55F650EB" w14:textId="77777777" w:rsidR="0089207C" w:rsidRPr="00AC3044" w:rsidRDefault="0089207C" w:rsidP="002D3EBF">
            <w:pPr>
              <w:rPr>
                <w:rFonts w:eastAsia="SimSun"/>
              </w:rPr>
            </w:pPr>
            <w:r w:rsidRPr="00AC3044">
              <w:rPr>
                <w:rFonts w:eastAsia="SimSun"/>
              </w:rPr>
              <w:t>Циклофосфамид</w:t>
            </w:r>
          </w:p>
        </w:tc>
        <w:tc>
          <w:tcPr>
            <w:tcW w:w="1418" w:type="dxa"/>
            <w:vAlign w:val="center"/>
          </w:tcPr>
          <w:p w14:paraId="658B2A20" w14:textId="77777777" w:rsidR="0089207C" w:rsidRPr="00AC3044" w:rsidRDefault="0089207C" w:rsidP="002D3EBF">
            <w:pPr>
              <w:rPr>
                <w:rFonts w:eastAsia="SimSun"/>
              </w:rPr>
            </w:pPr>
            <w:r w:rsidRPr="00AC3044">
              <w:rPr>
                <w:rFonts w:eastAsia="SimSun"/>
              </w:rPr>
              <w:t>50 мг/кг</w:t>
            </w:r>
          </w:p>
        </w:tc>
        <w:tc>
          <w:tcPr>
            <w:tcW w:w="1559" w:type="dxa"/>
            <w:vAlign w:val="center"/>
          </w:tcPr>
          <w:p w14:paraId="26DBF6E7" w14:textId="77777777" w:rsidR="0089207C" w:rsidRPr="00AC3044" w:rsidRDefault="0089207C" w:rsidP="002D3EBF">
            <w:pPr>
              <w:rPr>
                <w:rFonts w:eastAsia="SimSun"/>
              </w:rPr>
            </w:pPr>
            <w:r w:rsidRPr="00AC3044">
              <w:rPr>
                <w:rFonts w:eastAsia="SimSun"/>
              </w:rPr>
              <w:t>100 мг/кг</w:t>
            </w:r>
          </w:p>
        </w:tc>
        <w:tc>
          <w:tcPr>
            <w:tcW w:w="1559" w:type="dxa"/>
            <w:vAlign w:val="center"/>
          </w:tcPr>
          <w:p w14:paraId="5F9BB742" w14:textId="77777777" w:rsidR="0089207C" w:rsidRPr="00AC3044" w:rsidRDefault="0089207C" w:rsidP="002D3EBF">
            <w:pPr>
              <w:rPr>
                <w:rFonts w:eastAsia="SimSun"/>
              </w:rPr>
            </w:pPr>
            <w:r w:rsidRPr="00AC3044">
              <w:rPr>
                <w:rFonts w:eastAsia="SimSun"/>
              </w:rPr>
              <w:t xml:space="preserve">+3,+4 дни </w:t>
            </w:r>
          </w:p>
        </w:tc>
        <w:tc>
          <w:tcPr>
            <w:tcW w:w="2410" w:type="dxa"/>
            <w:vAlign w:val="center"/>
          </w:tcPr>
          <w:p w14:paraId="73D259C8" w14:textId="77777777" w:rsidR="0089207C" w:rsidRPr="00AC3044" w:rsidRDefault="0089207C" w:rsidP="002D3EBF">
            <w:pPr>
              <w:rPr>
                <w:rFonts w:eastAsia="SimSun"/>
              </w:rPr>
            </w:pPr>
            <w:r w:rsidRPr="00AC3044">
              <w:rPr>
                <w:rFonts w:eastAsia="SimSun"/>
              </w:rPr>
              <w:t>В/в, в течение 2 часов</w:t>
            </w:r>
          </w:p>
        </w:tc>
      </w:tr>
    </w:tbl>
    <w:p w14:paraId="7BCA7603" w14:textId="77777777" w:rsidR="0089207C" w:rsidRPr="00C07B2E" w:rsidRDefault="0089207C" w:rsidP="0089207C">
      <w:pPr>
        <w:rPr>
          <w:rFonts w:eastAsia="SimSun"/>
        </w:rPr>
      </w:pPr>
    </w:p>
    <w:p w14:paraId="211E38A5" w14:textId="77777777" w:rsidR="0089207C" w:rsidRPr="00C07B2E" w:rsidRDefault="0089207C" w:rsidP="0089207C">
      <w:pPr>
        <w:rPr>
          <w:rFonts w:eastAsia="SimSun"/>
        </w:rPr>
      </w:pPr>
      <w:bookmarkStart w:id="272" w:name="_Toc44401228"/>
      <w:r w:rsidRPr="00EE51B1">
        <w:rPr>
          <w:rFonts w:eastAsia="SimSun"/>
        </w:rPr>
        <w:t>Таблица</w:t>
      </w:r>
      <w:r w:rsidRPr="00C07B2E">
        <w:rPr>
          <w:rFonts w:eastAsia="SimSun"/>
        </w:rPr>
        <w:t xml:space="preserve"> </w:t>
      </w:r>
      <w:r>
        <w:rPr>
          <w:rFonts w:eastAsia="SimSun"/>
        </w:rPr>
        <w:t>5.</w:t>
      </w:r>
      <w:r w:rsidRPr="00C07B2E">
        <w:rPr>
          <w:rFonts w:eastAsia="SimSun"/>
        </w:rPr>
        <w:t>3.1.3  – Flu180+Bu8 / PT-Cy+hATG+CSA+MMF45</w:t>
      </w:r>
      <w:bookmarkEnd w:id="272"/>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89207C" w:rsidRPr="00AC3044" w14:paraId="1407422B" w14:textId="77777777" w:rsidTr="002D3EBF">
        <w:trPr>
          <w:cantSplit/>
          <w:trHeight w:val="20"/>
          <w:tblHeader/>
        </w:trPr>
        <w:tc>
          <w:tcPr>
            <w:tcW w:w="1135" w:type="dxa"/>
          </w:tcPr>
          <w:p w14:paraId="1F6FC69E" w14:textId="77777777" w:rsidR="0089207C" w:rsidRPr="006A5E21" w:rsidRDefault="0089207C" w:rsidP="002D3EBF">
            <w:pPr>
              <w:rPr>
                <w:rFonts w:eastAsia="SimSun"/>
              </w:rPr>
            </w:pPr>
          </w:p>
        </w:tc>
        <w:tc>
          <w:tcPr>
            <w:tcW w:w="1559" w:type="dxa"/>
            <w:vAlign w:val="center"/>
          </w:tcPr>
          <w:p w14:paraId="1E23697A" w14:textId="77777777" w:rsidR="0089207C" w:rsidRPr="00AC3044" w:rsidRDefault="0089207C" w:rsidP="002D3EBF">
            <w:pPr>
              <w:rPr>
                <w:rFonts w:eastAsia="SimSun"/>
              </w:rPr>
            </w:pPr>
            <w:r w:rsidRPr="00AC3044">
              <w:rPr>
                <w:rFonts w:eastAsia="SimSun"/>
              </w:rPr>
              <w:t>Препарат</w:t>
            </w:r>
          </w:p>
        </w:tc>
        <w:tc>
          <w:tcPr>
            <w:tcW w:w="1418" w:type="dxa"/>
            <w:vAlign w:val="center"/>
          </w:tcPr>
          <w:p w14:paraId="4F922B23" w14:textId="77777777" w:rsidR="0089207C" w:rsidRPr="00AC3044" w:rsidRDefault="0089207C" w:rsidP="002D3EBF">
            <w:pPr>
              <w:rPr>
                <w:rFonts w:eastAsia="SimSun"/>
              </w:rPr>
            </w:pPr>
            <w:r w:rsidRPr="00AC3044">
              <w:rPr>
                <w:rFonts w:eastAsia="SimSun"/>
              </w:rPr>
              <w:t>Суточная доза</w:t>
            </w:r>
          </w:p>
        </w:tc>
        <w:tc>
          <w:tcPr>
            <w:tcW w:w="1559" w:type="dxa"/>
            <w:vAlign w:val="center"/>
          </w:tcPr>
          <w:p w14:paraId="358DB1EF" w14:textId="77777777" w:rsidR="0089207C" w:rsidRPr="00AC3044" w:rsidRDefault="0089207C" w:rsidP="002D3EBF">
            <w:pPr>
              <w:rPr>
                <w:rFonts w:eastAsia="SimSun"/>
              </w:rPr>
            </w:pPr>
            <w:r w:rsidRPr="00AC3044">
              <w:rPr>
                <w:rFonts w:eastAsia="SimSun"/>
              </w:rPr>
              <w:t>Курсовая доза</w:t>
            </w:r>
          </w:p>
        </w:tc>
        <w:tc>
          <w:tcPr>
            <w:tcW w:w="1559" w:type="dxa"/>
            <w:vAlign w:val="center"/>
          </w:tcPr>
          <w:p w14:paraId="17EFFDF6" w14:textId="77777777" w:rsidR="0089207C" w:rsidRPr="00AC3044" w:rsidRDefault="0089207C" w:rsidP="002D3EBF">
            <w:pPr>
              <w:rPr>
                <w:rFonts w:eastAsia="SimSun"/>
              </w:rPr>
            </w:pPr>
            <w:r w:rsidRPr="00AC3044">
              <w:rPr>
                <w:rFonts w:eastAsia="SimSun"/>
              </w:rPr>
              <w:t>Дни введения</w:t>
            </w:r>
          </w:p>
        </w:tc>
        <w:tc>
          <w:tcPr>
            <w:tcW w:w="2410" w:type="dxa"/>
            <w:vAlign w:val="center"/>
          </w:tcPr>
          <w:p w14:paraId="6CEE7B90"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32E5DE8E" w14:textId="77777777" w:rsidTr="002D3EBF">
        <w:trPr>
          <w:cantSplit/>
          <w:trHeight w:val="20"/>
        </w:trPr>
        <w:tc>
          <w:tcPr>
            <w:tcW w:w="1135" w:type="dxa"/>
            <w:vMerge w:val="restart"/>
            <w:textDirection w:val="btLr"/>
            <w:vAlign w:val="center"/>
          </w:tcPr>
          <w:p w14:paraId="75823306" w14:textId="77777777" w:rsidR="0089207C" w:rsidRPr="00AC3044" w:rsidRDefault="0089207C" w:rsidP="002D3EBF">
            <w:pPr>
              <w:rPr>
                <w:rFonts w:eastAsia="SimSun"/>
              </w:rPr>
            </w:pPr>
            <w:r w:rsidRPr="00AC3044">
              <w:rPr>
                <w:rFonts w:eastAsia="SimSun"/>
              </w:rPr>
              <w:t>Кондиционирование</w:t>
            </w:r>
          </w:p>
        </w:tc>
        <w:tc>
          <w:tcPr>
            <w:tcW w:w="1559" w:type="dxa"/>
            <w:vAlign w:val="center"/>
          </w:tcPr>
          <w:p w14:paraId="1EEC715B" w14:textId="77777777" w:rsidR="0089207C" w:rsidRPr="00AC3044" w:rsidRDefault="0089207C" w:rsidP="002D3EBF">
            <w:pPr>
              <w:rPr>
                <w:rFonts w:eastAsia="SimSun"/>
              </w:rPr>
            </w:pPr>
            <w:r w:rsidRPr="00AC3044">
              <w:rPr>
                <w:rFonts w:eastAsia="SimSun"/>
              </w:rPr>
              <w:t xml:space="preserve">Флударабин </w:t>
            </w:r>
          </w:p>
        </w:tc>
        <w:tc>
          <w:tcPr>
            <w:tcW w:w="1418" w:type="dxa"/>
            <w:vAlign w:val="center"/>
          </w:tcPr>
          <w:p w14:paraId="6FC5736B" w14:textId="77777777" w:rsidR="0089207C" w:rsidRPr="00AC3044" w:rsidRDefault="0089207C" w:rsidP="002D3EBF">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04E9B507" w14:textId="77777777" w:rsidR="0089207C" w:rsidRPr="00AC3044" w:rsidRDefault="0089207C" w:rsidP="002D3EBF">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14D2896A" w14:textId="77777777" w:rsidR="0089207C" w:rsidRPr="00AC3044" w:rsidRDefault="0089207C" w:rsidP="002D3EBF">
            <w:pPr>
              <w:rPr>
                <w:rFonts w:eastAsia="SimSun"/>
              </w:rPr>
            </w:pPr>
            <w:r w:rsidRPr="00AC3044">
              <w:rPr>
                <w:rFonts w:eastAsia="SimSun"/>
              </w:rPr>
              <w:t>С –10 по –5 день</w:t>
            </w:r>
          </w:p>
        </w:tc>
        <w:tc>
          <w:tcPr>
            <w:tcW w:w="2410" w:type="dxa"/>
            <w:vAlign w:val="center"/>
          </w:tcPr>
          <w:p w14:paraId="6BEE6000"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6CB78184" w14:textId="77777777" w:rsidTr="002D3EBF">
        <w:trPr>
          <w:cantSplit/>
          <w:trHeight w:val="2123"/>
        </w:trPr>
        <w:tc>
          <w:tcPr>
            <w:tcW w:w="1135" w:type="dxa"/>
            <w:vMerge/>
            <w:textDirection w:val="btLr"/>
            <w:vAlign w:val="center"/>
          </w:tcPr>
          <w:p w14:paraId="3797BF7C" w14:textId="77777777" w:rsidR="0089207C" w:rsidRPr="00AC3044" w:rsidRDefault="0089207C" w:rsidP="002D3EBF">
            <w:pPr>
              <w:rPr>
                <w:rFonts w:eastAsia="SimSun"/>
              </w:rPr>
            </w:pPr>
          </w:p>
        </w:tc>
        <w:tc>
          <w:tcPr>
            <w:tcW w:w="1559" w:type="dxa"/>
            <w:vAlign w:val="center"/>
          </w:tcPr>
          <w:p w14:paraId="5399BFFA" w14:textId="77777777" w:rsidR="0089207C" w:rsidRPr="00AC3044" w:rsidRDefault="0089207C" w:rsidP="002D3EBF">
            <w:pPr>
              <w:rPr>
                <w:rFonts w:eastAsia="SimSun"/>
              </w:rPr>
            </w:pPr>
            <w:r w:rsidRPr="00AC3044">
              <w:rPr>
                <w:rFonts w:eastAsia="SimSun"/>
              </w:rPr>
              <w:t>Бусульфан</w:t>
            </w:r>
          </w:p>
        </w:tc>
        <w:tc>
          <w:tcPr>
            <w:tcW w:w="1418" w:type="dxa"/>
            <w:vAlign w:val="center"/>
          </w:tcPr>
          <w:p w14:paraId="4C66C20C" w14:textId="77777777" w:rsidR="0089207C" w:rsidRPr="00AC3044" w:rsidRDefault="0089207C" w:rsidP="002D3EBF">
            <w:pPr>
              <w:rPr>
                <w:rFonts w:eastAsia="SimSun"/>
              </w:rPr>
            </w:pPr>
            <w:r w:rsidRPr="00AC3044">
              <w:rPr>
                <w:rFonts w:eastAsia="SimSun"/>
              </w:rPr>
              <w:t>4 мг/кг</w:t>
            </w:r>
          </w:p>
        </w:tc>
        <w:tc>
          <w:tcPr>
            <w:tcW w:w="1559" w:type="dxa"/>
            <w:vAlign w:val="center"/>
          </w:tcPr>
          <w:p w14:paraId="1D2F133D" w14:textId="77777777" w:rsidR="0089207C" w:rsidRPr="00AC3044" w:rsidRDefault="0089207C" w:rsidP="002D3EBF">
            <w:pPr>
              <w:rPr>
                <w:rFonts w:eastAsia="SimSun"/>
              </w:rPr>
            </w:pPr>
            <w:r w:rsidRPr="00AC3044">
              <w:rPr>
                <w:rFonts w:eastAsia="SimSun"/>
              </w:rPr>
              <w:t>8 мг/кг</w:t>
            </w:r>
          </w:p>
        </w:tc>
        <w:tc>
          <w:tcPr>
            <w:tcW w:w="1559" w:type="dxa"/>
            <w:vAlign w:val="center"/>
          </w:tcPr>
          <w:p w14:paraId="3201CC93" w14:textId="77777777" w:rsidR="0089207C" w:rsidRPr="00AC3044" w:rsidRDefault="0089207C" w:rsidP="002D3EBF">
            <w:pPr>
              <w:rPr>
                <w:rFonts w:eastAsia="SimSun"/>
              </w:rPr>
            </w:pPr>
            <w:r w:rsidRPr="00AC3044">
              <w:rPr>
                <w:rFonts w:eastAsia="SimSun"/>
              </w:rPr>
              <w:t xml:space="preserve"> –6, –5 дни</w:t>
            </w:r>
          </w:p>
        </w:tc>
        <w:tc>
          <w:tcPr>
            <w:tcW w:w="2410" w:type="dxa"/>
            <w:vAlign w:val="center"/>
          </w:tcPr>
          <w:p w14:paraId="0A11ECD6"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w:t>
            </w:r>
          </w:p>
        </w:tc>
      </w:tr>
      <w:tr w:rsidR="0089207C" w:rsidRPr="00AC3044" w14:paraId="38A284C4" w14:textId="77777777" w:rsidTr="002D3EBF">
        <w:trPr>
          <w:cantSplit/>
          <w:trHeight w:val="20"/>
        </w:trPr>
        <w:tc>
          <w:tcPr>
            <w:tcW w:w="1135" w:type="dxa"/>
            <w:vMerge w:val="restart"/>
            <w:textDirection w:val="btLr"/>
            <w:vAlign w:val="center"/>
          </w:tcPr>
          <w:p w14:paraId="56F0927F" w14:textId="77777777" w:rsidR="0089207C" w:rsidRPr="00AC3044" w:rsidRDefault="0089207C" w:rsidP="002D3EBF">
            <w:pPr>
              <w:rPr>
                <w:rFonts w:eastAsia="SimSun"/>
              </w:rPr>
            </w:pPr>
            <w:r w:rsidRPr="00AC3044">
              <w:rPr>
                <w:rFonts w:eastAsia="SimSun"/>
              </w:rPr>
              <w:t>Профилактика РТПХ</w:t>
            </w:r>
          </w:p>
        </w:tc>
        <w:tc>
          <w:tcPr>
            <w:tcW w:w="1559" w:type="dxa"/>
            <w:vAlign w:val="center"/>
          </w:tcPr>
          <w:p w14:paraId="6631018E" w14:textId="77777777" w:rsidR="0089207C" w:rsidRPr="00AC3044" w:rsidRDefault="0089207C" w:rsidP="002D3EBF">
            <w:pPr>
              <w:rPr>
                <w:rFonts w:eastAsia="SimSun"/>
              </w:rPr>
            </w:pPr>
            <w:r w:rsidRPr="00AC3044">
              <w:rPr>
                <w:rFonts w:eastAsia="SimSun"/>
              </w:rPr>
              <w:t>АТГ (лошадиный)</w:t>
            </w:r>
          </w:p>
        </w:tc>
        <w:tc>
          <w:tcPr>
            <w:tcW w:w="1418" w:type="dxa"/>
            <w:vAlign w:val="center"/>
          </w:tcPr>
          <w:p w14:paraId="01158240" w14:textId="77777777" w:rsidR="0089207C" w:rsidRPr="00AC3044" w:rsidRDefault="0089207C" w:rsidP="002D3EBF">
            <w:pPr>
              <w:rPr>
                <w:rFonts w:eastAsia="SimSun"/>
              </w:rPr>
            </w:pPr>
            <w:r w:rsidRPr="00AC3044">
              <w:rPr>
                <w:rFonts w:eastAsia="SimSun"/>
              </w:rPr>
              <w:t>10-15 мг/кг</w:t>
            </w:r>
          </w:p>
        </w:tc>
        <w:tc>
          <w:tcPr>
            <w:tcW w:w="1559" w:type="dxa"/>
            <w:vAlign w:val="center"/>
          </w:tcPr>
          <w:p w14:paraId="313286AD" w14:textId="77777777" w:rsidR="0089207C" w:rsidRPr="00AC3044" w:rsidRDefault="0089207C" w:rsidP="002D3EBF">
            <w:pPr>
              <w:rPr>
                <w:rFonts w:eastAsia="SimSun"/>
              </w:rPr>
            </w:pPr>
            <w:r w:rsidRPr="00AC3044">
              <w:rPr>
                <w:rFonts w:eastAsia="SimSun"/>
              </w:rPr>
              <w:t>40-60 мг/кг</w:t>
            </w:r>
          </w:p>
        </w:tc>
        <w:tc>
          <w:tcPr>
            <w:tcW w:w="1559" w:type="dxa"/>
            <w:vAlign w:val="center"/>
          </w:tcPr>
          <w:p w14:paraId="7A6561E1" w14:textId="77777777" w:rsidR="0089207C" w:rsidRPr="00AC3044" w:rsidRDefault="0089207C" w:rsidP="002D3EBF">
            <w:pPr>
              <w:rPr>
                <w:rFonts w:eastAsia="SimSun"/>
              </w:rPr>
            </w:pPr>
            <w:r w:rsidRPr="00AC3044">
              <w:rPr>
                <w:rFonts w:eastAsia="SimSun"/>
              </w:rPr>
              <w:t>С –4 по –1 день</w:t>
            </w:r>
          </w:p>
        </w:tc>
        <w:tc>
          <w:tcPr>
            <w:tcW w:w="2410" w:type="dxa"/>
            <w:vAlign w:val="center"/>
          </w:tcPr>
          <w:p w14:paraId="1E68E193" w14:textId="77777777" w:rsidR="0089207C" w:rsidRPr="00AC3044" w:rsidRDefault="0089207C" w:rsidP="002D3EBF">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89207C" w:rsidRPr="00AC3044" w14:paraId="78910A86" w14:textId="77777777" w:rsidTr="002D3EBF">
        <w:trPr>
          <w:cantSplit/>
          <w:trHeight w:val="20"/>
        </w:trPr>
        <w:tc>
          <w:tcPr>
            <w:tcW w:w="1135" w:type="dxa"/>
            <w:vMerge/>
            <w:textDirection w:val="btLr"/>
          </w:tcPr>
          <w:p w14:paraId="4DCC2E2A" w14:textId="77777777" w:rsidR="0089207C" w:rsidRPr="00AC3044" w:rsidRDefault="0089207C" w:rsidP="002D3EBF">
            <w:pPr>
              <w:rPr>
                <w:rFonts w:eastAsia="SimSun"/>
              </w:rPr>
            </w:pPr>
          </w:p>
        </w:tc>
        <w:tc>
          <w:tcPr>
            <w:tcW w:w="1559" w:type="dxa"/>
            <w:vAlign w:val="center"/>
          </w:tcPr>
          <w:p w14:paraId="2D13EEBB" w14:textId="77777777" w:rsidR="0089207C" w:rsidRPr="00AC3044" w:rsidRDefault="0089207C" w:rsidP="002D3EBF">
            <w:pPr>
              <w:rPr>
                <w:rFonts w:eastAsia="SimSun"/>
              </w:rPr>
            </w:pPr>
            <w:r w:rsidRPr="00AC3044">
              <w:rPr>
                <w:rFonts w:eastAsia="SimSun"/>
              </w:rPr>
              <w:t>Циклоспорин</w:t>
            </w:r>
          </w:p>
        </w:tc>
        <w:tc>
          <w:tcPr>
            <w:tcW w:w="1418" w:type="dxa"/>
            <w:vAlign w:val="center"/>
          </w:tcPr>
          <w:p w14:paraId="70BA3DDE" w14:textId="77777777" w:rsidR="0089207C" w:rsidRPr="00AC3044" w:rsidRDefault="0089207C" w:rsidP="002D3EBF">
            <w:pPr>
              <w:rPr>
                <w:rFonts w:eastAsia="SimSun"/>
              </w:rPr>
            </w:pPr>
            <w:r w:rsidRPr="00AC3044">
              <w:rPr>
                <w:rFonts w:eastAsia="SimSun"/>
              </w:rPr>
              <w:t>3 мг/кг</w:t>
            </w:r>
          </w:p>
        </w:tc>
        <w:tc>
          <w:tcPr>
            <w:tcW w:w="1559" w:type="dxa"/>
            <w:vAlign w:val="center"/>
          </w:tcPr>
          <w:p w14:paraId="33E467DC" w14:textId="77777777" w:rsidR="0089207C" w:rsidRPr="00AC3044" w:rsidRDefault="0089207C" w:rsidP="002D3EBF">
            <w:pPr>
              <w:rPr>
                <w:rFonts w:eastAsia="SimSun"/>
              </w:rPr>
            </w:pPr>
            <w:r w:rsidRPr="00AC3044">
              <w:rPr>
                <w:rFonts w:eastAsia="SimSun"/>
              </w:rPr>
              <w:t>–</w:t>
            </w:r>
          </w:p>
        </w:tc>
        <w:tc>
          <w:tcPr>
            <w:tcW w:w="1559" w:type="dxa"/>
            <w:vAlign w:val="center"/>
          </w:tcPr>
          <w:p w14:paraId="5C712049" w14:textId="77777777" w:rsidR="0089207C" w:rsidRPr="00AC3044" w:rsidRDefault="0089207C" w:rsidP="002D3EBF">
            <w:pPr>
              <w:rPr>
                <w:rFonts w:eastAsia="SimSun"/>
              </w:rPr>
            </w:pPr>
            <w:r w:rsidRPr="00AC3044">
              <w:rPr>
                <w:rFonts w:eastAsia="SimSun"/>
              </w:rPr>
              <w:t>С +5 по +90 день, затем постепенное снижение к +180 дню</w:t>
            </w:r>
          </w:p>
        </w:tc>
        <w:tc>
          <w:tcPr>
            <w:tcW w:w="2410" w:type="dxa"/>
            <w:vAlign w:val="center"/>
          </w:tcPr>
          <w:p w14:paraId="7AF087A7" w14:textId="77777777" w:rsidR="0089207C" w:rsidRPr="00AC3044" w:rsidRDefault="0089207C" w:rsidP="002D3EBF">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9207C" w:rsidRPr="00AC3044" w14:paraId="36F61DAA" w14:textId="77777777" w:rsidTr="002D3EBF">
        <w:trPr>
          <w:cantSplit/>
          <w:trHeight w:val="20"/>
        </w:trPr>
        <w:tc>
          <w:tcPr>
            <w:tcW w:w="1135" w:type="dxa"/>
            <w:vMerge/>
          </w:tcPr>
          <w:p w14:paraId="6F4DB66E" w14:textId="77777777" w:rsidR="0089207C" w:rsidRPr="00AC3044" w:rsidRDefault="0089207C" w:rsidP="002D3EBF">
            <w:pPr>
              <w:rPr>
                <w:rFonts w:eastAsia="SimSun"/>
              </w:rPr>
            </w:pPr>
          </w:p>
        </w:tc>
        <w:tc>
          <w:tcPr>
            <w:tcW w:w="1559" w:type="dxa"/>
            <w:vAlign w:val="center"/>
          </w:tcPr>
          <w:p w14:paraId="135C8EA1" w14:textId="77777777" w:rsidR="0089207C" w:rsidRPr="00AC3044" w:rsidRDefault="0089207C" w:rsidP="002D3EBF">
            <w:pPr>
              <w:rPr>
                <w:rFonts w:eastAsia="SimSun"/>
              </w:rPr>
            </w:pPr>
            <w:r w:rsidRPr="00AC3044">
              <w:rPr>
                <w:rFonts w:eastAsia="SimSun"/>
              </w:rPr>
              <w:t>Микофенолата мофетил</w:t>
            </w:r>
          </w:p>
        </w:tc>
        <w:tc>
          <w:tcPr>
            <w:tcW w:w="1418" w:type="dxa"/>
            <w:vAlign w:val="center"/>
          </w:tcPr>
          <w:p w14:paraId="60D862EB" w14:textId="77777777" w:rsidR="0089207C" w:rsidRPr="00AC3044" w:rsidRDefault="0089207C" w:rsidP="002D3EBF">
            <w:pPr>
              <w:rPr>
                <w:rFonts w:eastAsia="SimSun"/>
              </w:rPr>
            </w:pPr>
            <w:r w:rsidRPr="00AC3044">
              <w:rPr>
                <w:rFonts w:eastAsia="SimSun"/>
              </w:rPr>
              <w:t>45 мг/кг</w:t>
            </w:r>
          </w:p>
        </w:tc>
        <w:tc>
          <w:tcPr>
            <w:tcW w:w="1559" w:type="dxa"/>
            <w:vAlign w:val="center"/>
          </w:tcPr>
          <w:p w14:paraId="6857C68F" w14:textId="77777777" w:rsidR="0089207C" w:rsidRPr="00AC3044" w:rsidRDefault="0089207C" w:rsidP="002D3EBF">
            <w:pPr>
              <w:rPr>
                <w:rFonts w:eastAsia="SimSun"/>
              </w:rPr>
            </w:pPr>
            <w:r w:rsidRPr="00AC3044">
              <w:rPr>
                <w:rFonts w:eastAsia="SimSun"/>
              </w:rPr>
              <w:t>–</w:t>
            </w:r>
          </w:p>
        </w:tc>
        <w:tc>
          <w:tcPr>
            <w:tcW w:w="1559" w:type="dxa"/>
            <w:vAlign w:val="center"/>
          </w:tcPr>
          <w:p w14:paraId="0A693917" w14:textId="77777777" w:rsidR="0089207C" w:rsidRPr="00AC3044" w:rsidRDefault="0089207C" w:rsidP="002D3EBF">
            <w:pPr>
              <w:rPr>
                <w:rFonts w:eastAsia="SimSun"/>
              </w:rPr>
            </w:pPr>
            <w:r w:rsidRPr="00AC3044">
              <w:rPr>
                <w:rFonts w:eastAsia="SimSun"/>
              </w:rPr>
              <w:t>С +5 по +90 день</w:t>
            </w:r>
          </w:p>
        </w:tc>
        <w:tc>
          <w:tcPr>
            <w:tcW w:w="2410" w:type="dxa"/>
            <w:vAlign w:val="center"/>
          </w:tcPr>
          <w:p w14:paraId="01BFD25E" w14:textId="77777777" w:rsidR="0089207C" w:rsidRPr="00AC3044" w:rsidRDefault="0089207C" w:rsidP="002D3EBF">
            <w:pPr>
              <w:rPr>
                <w:rFonts w:eastAsia="SimSun"/>
              </w:rPr>
            </w:pPr>
            <w:r w:rsidRPr="00AC3044">
              <w:rPr>
                <w:rFonts w:eastAsia="SimSun"/>
              </w:rPr>
              <w:t xml:space="preserve">Внутрь, суммарная суточная доза разделяется на 2- 4 приема (не более 3г/сут).  </w:t>
            </w:r>
          </w:p>
        </w:tc>
      </w:tr>
      <w:tr w:rsidR="0089207C" w:rsidRPr="00AC3044" w14:paraId="5907C960" w14:textId="77777777" w:rsidTr="002D3EBF">
        <w:trPr>
          <w:cantSplit/>
          <w:trHeight w:val="464"/>
        </w:trPr>
        <w:tc>
          <w:tcPr>
            <w:tcW w:w="1135" w:type="dxa"/>
            <w:vMerge/>
          </w:tcPr>
          <w:p w14:paraId="1ADCE179" w14:textId="77777777" w:rsidR="0089207C" w:rsidRPr="00AC3044" w:rsidRDefault="0089207C" w:rsidP="002D3EBF">
            <w:pPr>
              <w:rPr>
                <w:rFonts w:eastAsia="SimSun"/>
              </w:rPr>
            </w:pPr>
            <w:bookmarkStart w:id="273" w:name="_Hlk716839"/>
          </w:p>
        </w:tc>
        <w:tc>
          <w:tcPr>
            <w:tcW w:w="1559" w:type="dxa"/>
            <w:vAlign w:val="center"/>
          </w:tcPr>
          <w:p w14:paraId="26C299DA" w14:textId="77777777" w:rsidR="0089207C" w:rsidRPr="00AC3044" w:rsidRDefault="0089207C" w:rsidP="002D3EBF">
            <w:pPr>
              <w:rPr>
                <w:rFonts w:eastAsia="SimSun"/>
              </w:rPr>
            </w:pPr>
            <w:r w:rsidRPr="00AC3044">
              <w:rPr>
                <w:rFonts w:eastAsia="SimSun"/>
              </w:rPr>
              <w:t>Циклофосфамид</w:t>
            </w:r>
          </w:p>
        </w:tc>
        <w:tc>
          <w:tcPr>
            <w:tcW w:w="1418" w:type="dxa"/>
            <w:vAlign w:val="center"/>
          </w:tcPr>
          <w:p w14:paraId="12951132" w14:textId="77777777" w:rsidR="0089207C" w:rsidRPr="00AC3044" w:rsidRDefault="0089207C" w:rsidP="002D3EBF">
            <w:pPr>
              <w:rPr>
                <w:rFonts w:eastAsia="SimSun"/>
              </w:rPr>
            </w:pPr>
            <w:r w:rsidRPr="00AC3044">
              <w:rPr>
                <w:rFonts w:eastAsia="SimSun"/>
              </w:rPr>
              <w:t>50 мг/кг</w:t>
            </w:r>
          </w:p>
        </w:tc>
        <w:tc>
          <w:tcPr>
            <w:tcW w:w="1559" w:type="dxa"/>
            <w:vAlign w:val="center"/>
          </w:tcPr>
          <w:p w14:paraId="7BC16C33" w14:textId="77777777" w:rsidR="0089207C" w:rsidRPr="00AC3044" w:rsidRDefault="0089207C" w:rsidP="002D3EBF">
            <w:pPr>
              <w:rPr>
                <w:rFonts w:eastAsia="SimSun"/>
              </w:rPr>
            </w:pPr>
            <w:r w:rsidRPr="00AC3044">
              <w:rPr>
                <w:rFonts w:eastAsia="SimSun"/>
              </w:rPr>
              <w:t>100 мг/кг</w:t>
            </w:r>
          </w:p>
        </w:tc>
        <w:tc>
          <w:tcPr>
            <w:tcW w:w="1559" w:type="dxa"/>
            <w:vAlign w:val="center"/>
          </w:tcPr>
          <w:p w14:paraId="4660D3D8" w14:textId="77777777" w:rsidR="0089207C" w:rsidRPr="00AC3044" w:rsidRDefault="0089207C" w:rsidP="002D3EBF">
            <w:pPr>
              <w:rPr>
                <w:rFonts w:eastAsia="SimSun"/>
              </w:rPr>
            </w:pPr>
            <w:r w:rsidRPr="00AC3044">
              <w:rPr>
                <w:rFonts w:eastAsia="SimSun"/>
              </w:rPr>
              <w:t xml:space="preserve">+3, +4 дни </w:t>
            </w:r>
          </w:p>
        </w:tc>
        <w:tc>
          <w:tcPr>
            <w:tcW w:w="2410" w:type="dxa"/>
            <w:vAlign w:val="center"/>
          </w:tcPr>
          <w:p w14:paraId="0BABCDEE" w14:textId="77777777" w:rsidR="0089207C" w:rsidRPr="00AC3044" w:rsidRDefault="0089207C" w:rsidP="002D3EBF">
            <w:pPr>
              <w:rPr>
                <w:rFonts w:eastAsia="SimSun"/>
              </w:rPr>
            </w:pPr>
            <w:r w:rsidRPr="00AC3044">
              <w:rPr>
                <w:rFonts w:eastAsia="SimSun"/>
              </w:rPr>
              <w:t>В/в, в течение 2 часов</w:t>
            </w:r>
          </w:p>
        </w:tc>
      </w:tr>
    </w:tbl>
    <w:p w14:paraId="1AC53E45" w14:textId="77777777" w:rsidR="0089207C" w:rsidRDefault="0089207C" w:rsidP="0089207C">
      <w:pPr>
        <w:rPr>
          <w:rFonts w:eastAsia="SimSun"/>
        </w:rPr>
      </w:pPr>
      <w:bookmarkStart w:id="274" w:name="_Toc44401229"/>
      <w:bookmarkEnd w:id="273"/>
    </w:p>
    <w:p w14:paraId="1BF2A11B" w14:textId="77777777" w:rsidR="0089207C" w:rsidRPr="00C07B2E" w:rsidRDefault="0089207C" w:rsidP="0089207C">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3.1.4  – Flu180+Bu8 / PT-Cy+CSA+MMF30</w:t>
      </w:r>
      <w:bookmarkEnd w:id="274"/>
    </w:p>
    <w:tbl>
      <w:tblPr>
        <w:tblW w:w="9588" w:type="dxa"/>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3"/>
        <w:gridCol w:w="1559"/>
        <w:gridCol w:w="1418"/>
        <w:gridCol w:w="1559"/>
        <w:gridCol w:w="1559"/>
        <w:gridCol w:w="2410"/>
      </w:tblGrid>
      <w:tr w:rsidR="0089207C" w:rsidRPr="00AC3044" w14:paraId="547935D0" w14:textId="77777777" w:rsidTr="002D3EBF">
        <w:trPr>
          <w:cantSplit/>
          <w:trHeight w:val="20"/>
          <w:tblHeader/>
        </w:trPr>
        <w:tc>
          <w:tcPr>
            <w:tcW w:w="1083" w:type="dxa"/>
          </w:tcPr>
          <w:p w14:paraId="461B3996" w14:textId="77777777" w:rsidR="0089207C" w:rsidRPr="006A5E21" w:rsidRDefault="0089207C" w:rsidP="002D3EBF">
            <w:pPr>
              <w:rPr>
                <w:rFonts w:eastAsia="SimSun"/>
              </w:rPr>
            </w:pPr>
          </w:p>
        </w:tc>
        <w:tc>
          <w:tcPr>
            <w:tcW w:w="1559" w:type="dxa"/>
            <w:vAlign w:val="center"/>
          </w:tcPr>
          <w:p w14:paraId="1D7D12D9" w14:textId="77777777" w:rsidR="0089207C" w:rsidRPr="00AC3044" w:rsidRDefault="0089207C" w:rsidP="002D3EBF">
            <w:pPr>
              <w:rPr>
                <w:rFonts w:eastAsia="SimSun"/>
              </w:rPr>
            </w:pPr>
            <w:r w:rsidRPr="00AC3044">
              <w:rPr>
                <w:rFonts w:eastAsia="SimSun"/>
              </w:rPr>
              <w:t>Препарат</w:t>
            </w:r>
          </w:p>
        </w:tc>
        <w:tc>
          <w:tcPr>
            <w:tcW w:w="1418" w:type="dxa"/>
            <w:vAlign w:val="center"/>
          </w:tcPr>
          <w:p w14:paraId="6248E320" w14:textId="77777777" w:rsidR="0089207C" w:rsidRPr="00AC3044" w:rsidRDefault="0089207C" w:rsidP="002D3EBF">
            <w:pPr>
              <w:rPr>
                <w:rFonts w:eastAsia="SimSun"/>
              </w:rPr>
            </w:pPr>
            <w:r w:rsidRPr="00AC3044">
              <w:rPr>
                <w:rFonts w:eastAsia="SimSun"/>
              </w:rPr>
              <w:t>Суточная доза</w:t>
            </w:r>
          </w:p>
        </w:tc>
        <w:tc>
          <w:tcPr>
            <w:tcW w:w="1559" w:type="dxa"/>
            <w:vAlign w:val="center"/>
          </w:tcPr>
          <w:p w14:paraId="213E29BB" w14:textId="77777777" w:rsidR="0089207C" w:rsidRPr="00AC3044" w:rsidRDefault="0089207C" w:rsidP="002D3EBF">
            <w:pPr>
              <w:rPr>
                <w:rFonts w:eastAsia="SimSun"/>
              </w:rPr>
            </w:pPr>
            <w:r w:rsidRPr="00AC3044">
              <w:rPr>
                <w:rFonts w:eastAsia="SimSun"/>
              </w:rPr>
              <w:t>Курсовая доза</w:t>
            </w:r>
          </w:p>
        </w:tc>
        <w:tc>
          <w:tcPr>
            <w:tcW w:w="1559" w:type="dxa"/>
            <w:vAlign w:val="center"/>
          </w:tcPr>
          <w:p w14:paraId="68D39C02" w14:textId="77777777" w:rsidR="0089207C" w:rsidRPr="00AC3044" w:rsidRDefault="0089207C" w:rsidP="002D3EBF">
            <w:pPr>
              <w:rPr>
                <w:rFonts w:eastAsia="SimSun"/>
              </w:rPr>
            </w:pPr>
            <w:r w:rsidRPr="00AC3044">
              <w:rPr>
                <w:rFonts w:eastAsia="SimSun"/>
              </w:rPr>
              <w:t>Дни введения</w:t>
            </w:r>
          </w:p>
        </w:tc>
        <w:tc>
          <w:tcPr>
            <w:tcW w:w="2410" w:type="dxa"/>
            <w:vAlign w:val="center"/>
          </w:tcPr>
          <w:p w14:paraId="1914F7F5"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064A76BC" w14:textId="77777777" w:rsidTr="002D3EBF">
        <w:trPr>
          <w:cantSplit/>
          <w:trHeight w:val="20"/>
        </w:trPr>
        <w:tc>
          <w:tcPr>
            <w:tcW w:w="1083" w:type="dxa"/>
            <w:vMerge w:val="restart"/>
            <w:textDirection w:val="btLr"/>
            <w:vAlign w:val="center"/>
          </w:tcPr>
          <w:p w14:paraId="4912552A" w14:textId="77777777" w:rsidR="0089207C" w:rsidRPr="00AC3044" w:rsidRDefault="0089207C" w:rsidP="002D3EBF">
            <w:pPr>
              <w:rPr>
                <w:rFonts w:eastAsia="SimSun"/>
              </w:rPr>
            </w:pPr>
            <w:r w:rsidRPr="00AC3044">
              <w:rPr>
                <w:rFonts w:eastAsia="SimSun"/>
              </w:rPr>
              <w:t>Кондиционирование</w:t>
            </w:r>
          </w:p>
        </w:tc>
        <w:tc>
          <w:tcPr>
            <w:tcW w:w="1559" w:type="dxa"/>
            <w:vAlign w:val="center"/>
          </w:tcPr>
          <w:p w14:paraId="5F59F59C" w14:textId="77777777" w:rsidR="0089207C" w:rsidRPr="00AC3044" w:rsidRDefault="0089207C" w:rsidP="002D3EBF">
            <w:pPr>
              <w:rPr>
                <w:rFonts w:eastAsia="SimSun"/>
              </w:rPr>
            </w:pPr>
            <w:r w:rsidRPr="00AC3044">
              <w:rPr>
                <w:rFonts w:eastAsia="SimSun"/>
              </w:rPr>
              <w:t xml:space="preserve">Флударабин </w:t>
            </w:r>
          </w:p>
        </w:tc>
        <w:tc>
          <w:tcPr>
            <w:tcW w:w="1418" w:type="dxa"/>
            <w:vAlign w:val="center"/>
          </w:tcPr>
          <w:p w14:paraId="19305B35" w14:textId="77777777" w:rsidR="0089207C" w:rsidRPr="00AC3044" w:rsidRDefault="0089207C" w:rsidP="002D3EBF">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6F27CB8E" w14:textId="77777777" w:rsidR="0089207C" w:rsidRPr="00AC3044" w:rsidRDefault="0089207C" w:rsidP="002D3EBF">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64B8F57A" w14:textId="77777777" w:rsidR="0089207C" w:rsidRPr="00AC3044" w:rsidRDefault="0089207C" w:rsidP="002D3EBF">
            <w:pPr>
              <w:rPr>
                <w:rFonts w:eastAsia="SimSun"/>
              </w:rPr>
            </w:pPr>
            <w:r w:rsidRPr="00AC3044">
              <w:rPr>
                <w:rFonts w:eastAsia="SimSun"/>
              </w:rPr>
              <w:t>С –7 по –2 день</w:t>
            </w:r>
          </w:p>
        </w:tc>
        <w:tc>
          <w:tcPr>
            <w:tcW w:w="2410" w:type="dxa"/>
            <w:vAlign w:val="center"/>
          </w:tcPr>
          <w:p w14:paraId="26AE42EE"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52959BFE" w14:textId="77777777" w:rsidTr="002D3EBF">
        <w:trPr>
          <w:cantSplit/>
          <w:trHeight w:val="1123"/>
        </w:trPr>
        <w:tc>
          <w:tcPr>
            <w:tcW w:w="1083" w:type="dxa"/>
            <w:vMerge/>
            <w:textDirection w:val="btLr"/>
            <w:vAlign w:val="center"/>
          </w:tcPr>
          <w:p w14:paraId="71B9CEB4" w14:textId="77777777" w:rsidR="0089207C" w:rsidRPr="00AC3044" w:rsidRDefault="0089207C" w:rsidP="002D3EBF">
            <w:pPr>
              <w:rPr>
                <w:rFonts w:eastAsia="SimSun"/>
              </w:rPr>
            </w:pPr>
          </w:p>
        </w:tc>
        <w:tc>
          <w:tcPr>
            <w:tcW w:w="1559" w:type="dxa"/>
            <w:vAlign w:val="center"/>
          </w:tcPr>
          <w:p w14:paraId="003BC961" w14:textId="77777777" w:rsidR="0089207C" w:rsidRPr="00AC3044" w:rsidRDefault="0089207C" w:rsidP="002D3EBF">
            <w:pPr>
              <w:rPr>
                <w:rFonts w:eastAsia="SimSun"/>
              </w:rPr>
            </w:pPr>
            <w:r w:rsidRPr="00AC3044">
              <w:rPr>
                <w:rFonts w:eastAsia="SimSun"/>
              </w:rPr>
              <w:t>Бусульфан</w:t>
            </w:r>
          </w:p>
        </w:tc>
        <w:tc>
          <w:tcPr>
            <w:tcW w:w="1418" w:type="dxa"/>
            <w:vAlign w:val="center"/>
          </w:tcPr>
          <w:p w14:paraId="10A936A1" w14:textId="77777777" w:rsidR="0089207C" w:rsidRPr="00AC3044" w:rsidRDefault="0089207C" w:rsidP="002D3EBF">
            <w:pPr>
              <w:rPr>
                <w:rFonts w:eastAsia="SimSun"/>
              </w:rPr>
            </w:pPr>
            <w:r w:rsidRPr="00AC3044">
              <w:rPr>
                <w:rFonts w:eastAsia="SimSun"/>
              </w:rPr>
              <w:t>4 мг/кг</w:t>
            </w:r>
          </w:p>
        </w:tc>
        <w:tc>
          <w:tcPr>
            <w:tcW w:w="1559" w:type="dxa"/>
            <w:vAlign w:val="center"/>
          </w:tcPr>
          <w:p w14:paraId="46A16E4B" w14:textId="77777777" w:rsidR="0089207C" w:rsidRPr="00AC3044" w:rsidRDefault="0089207C" w:rsidP="002D3EBF">
            <w:pPr>
              <w:rPr>
                <w:rFonts w:eastAsia="SimSun"/>
              </w:rPr>
            </w:pPr>
            <w:r w:rsidRPr="00AC3044">
              <w:rPr>
                <w:rFonts w:eastAsia="SimSun"/>
              </w:rPr>
              <w:t>8 мг/кг</w:t>
            </w:r>
          </w:p>
        </w:tc>
        <w:tc>
          <w:tcPr>
            <w:tcW w:w="1559" w:type="dxa"/>
            <w:vAlign w:val="center"/>
          </w:tcPr>
          <w:p w14:paraId="3A11171C" w14:textId="77777777" w:rsidR="0089207C" w:rsidRPr="00AC3044" w:rsidRDefault="0089207C" w:rsidP="002D3EBF">
            <w:pPr>
              <w:rPr>
                <w:rFonts w:eastAsia="SimSun"/>
              </w:rPr>
            </w:pPr>
            <w:r w:rsidRPr="00AC3044">
              <w:rPr>
                <w:rFonts w:eastAsia="SimSun"/>
              </w:rPr>
              <w:t>–3, –2 дни</w:t>
            </w:r>
          </w:p>
        </w:tc>
        <w:tc>
          <w:tcPr>
            <w:tcW w:w="2410" w:type="dxa"/>
            <w:vAlign w:val="center"/>
          </w:tcPr>
          <w:p w14:paraId="3CB04D63"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w:t>
            </w:r>
          </w:p>
        </w:tc>
      </w:tr>
      <w:tr w:rsidR="0089207C" w:rsidRPr="00AC3044" w14:paraId="0268D08D" w14:textId="77777777" w:rsidTr="002D3EBF">
        <w:trPr>
          <w:cantSplit/>
          <w:trHeight w:val="20"/>
        </w:trPr>
        <w:tc>
          <w:tcPr>
            <w:tcW w:w="1083" w:type="dxa"/>
            <w:vMerge w:val="restart"/>
            <w:textDirection w:val="btLr"/>
            <w:vAlign w:val="center"/>
          </w:tcPr>
          <w:p w14:paraId="508E2E9F" w14:textId="77777777" w:rsidR="0089207C" w:rsidRPr="00AC3044" w:rsidRDefault="0089207C" w:rsidP="002D3EBF">
            <w:pPr>
              <w:rPr>
                <w:rFonts w:eastAsia="SimSun"/>
              </w:rPr>
            </w:pPr>
            <w:r w:rsidRPr="00AC3044">
              <w:rPr>
                <w:rFonts w:eastAsia="SimSun"/>
              </w:rPr>
              <w:t>Профилактика РТПХ</w:t>
            </w:r>
          </w:p>
        </w:tc>
        <w:tc>
          <w:tcPr>
            <w:tcW w:w="1559" w:type="dxa"/>
            <w:vAlign w:val="center"/>
          </w:tcPr>
          <w:p w14:paraId="799F714F" w14:textId="77777777" w:rsidR="0089207C" w:rsidRPr="00AC3044" w:rsidRDefault="0089207C" w:rsidP="002D3EBF">
            <w:pPr>
              <w:rPr>
                <w:rFonts w:eastAsia="SimSun"/>
              </w:rPr>
            </w:pPr>
            <w:r w:rsidRPr="00AC3044">
              <w:rPr>
                <w:rFonts w:eastAsia="SimSun"/>
              </w:rPr>
              <w:t>Циклоспорин</w:t>
            </w:r>
          </w:p>
        </w:tc>
        <w:tc>
          <w:tcPr>
            <w:tcW w:w="1418" w:type="dxa"/>
            <w:vAlign w:val="center"/>
          </w:tcPr>
          <w:p w14:paraId="74CAE4F3" w14:textId="77777777" w:rsidR="0089207C" w:rsidRPr="00AC3044" w:rsidRDefault="0089207C" w:rsidP="002D3EBF">
            <w:pPr>
              <w:rPr>
                <w:rFonts w:eastAsia="SimSun"/>
              </w:rPr>
            </w:pPr>
            <w:r w:rsidRPr="00AC3044">
              <w:rPr>
                <w:rFonts w:eastAsia="SimSun"/>
              </w:rPr>
              <w:t>3 мг/кг</w:t>
            </w:r>
          </w:p>
        </w:tc>
        <w:tc>
          <w:tcPr>
            <w:tcW w:w="1559" w:type="dxa"/>
            <w:vAlign w:val="center"/>
          </w:tcPr>
          <w:p w14:paraId="26BE24DB" w14:textId="77777777" w:rsidR="0089207C" w:rsidRPr="00AC3044" w:rsidRDefault="0089207C" w:rsidP="002D3EBF">
            <w:pPr>
              <w:rPr>
                <w:rFonts w:eastAsia="SimSun"/>
              </w:rPr>
            </w:pPr>
            <w:r w:rsidRPr="00AC3044">
              <w:rPr>
                <w:rFonts w:eastAsia="SimSun"/>
              </w:rPr>
              <w:t>–</w:t>
            </w:r>
          </w:p>
        </w:tc>
        <w:tc>
          <w:tcPr>
            <w:tcW w:w="1559" w:type="dxa"/>
            <w:vAlign w:val="center"/>
          </w:tcPr>
          <w:p w14:paraId="6798B2A8" w14:textId="77777777" w:rsidR="0089207C" w:rsidRPr="00AC3044" w:rsidRDefault="0089207C" w:rsidP="002D3EBF">
            <w:pPr>
              <w:rPr>
                <w:rFonts w:eastAsia="SimSun"/>
              </w:rPr>
            </w:pPr>
            <w:r w:rsidRPr="00AC3044">
              <w:rPr>
                <w:rFonts w:eastAsia="SimSun"/>
              </w:rPr>
              <w:t>С +5 по +90 день, затем постепенное снижение к +180 дню</w:t>
            </w:r>
          </w:p>
        </w:tc>
        <w:tc>
          <w:tcPr>
            <w:tcW w:w="2410" w:type="dxa"/>
            <w:vAlign w:val="center"/>
          </w:tcPr>
          <w:p w14:paraId="680AD3B6" w14:textId="77777777" w:rsidR="0089207C" w:rsidRPr="00AC3044" w:rsidRDefault="0089207C" w:rsidP="002D3EBF">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9207C" w:rsidRPr="00AC3044" w14:paraId="45626E26" w14:textId="77777777" w:rsidTr="002D3EBF">
        <w:trPr>
          <w:cantSplit/>
          <w:trHeight w:val="20"/>
        </w:trPr>
        <w:tc>
          <w:tcPr>
            <w:tcW w:w="1083" w:type="dxa"/>
            <w:vMerge/>
          </w:tcPr>
          <w:p w14:paraId="0A156620" w14:textId="77777777" w:rsidR="0089207C" w:rsidRPr="00AC3044" w:rsidRDefault="0089207C" w:rsidP="002D3EBF">
            <w:pPr>
              <w:rPr>
                <w:rFonts w:eastAsia="SimSun"/>
              </w:rPr>
            </w:pPr>
          </w:p>
        </w:tc>
        <w:tc>
          <w:tcPr>
            <w:tcW w:w="1559" w:type="dxa"/>
            <w:vAlign w:val="center"/>
          </w:tcPr>
          <w:p w14:paraId="71FB963E" w14:textId="77777777" w:rsidR="0089207C" w:rsidRPr="00AC3044" w:rsidRDefault="0089207C" w:rsidP="002D3EBF">
            <w:pPr>
              <w:rPr>
                <w:rFonts w:eastAsia="SimSun"/>
              </w:rPr>
            </w:pPr>
            <w:r w:rsidRPr="00AC3044">
              <w:rPr>
                <w:rFonts w:eastAsia="SimSun"/>
              </w:rPr>
              <w:t>Микофенолата мофетил</w:t>
            </w:r>
          </w:p>
        </w:tc>
        <w:tc>
          <w:tcPr>
            <w:tcW w:w="1418" w:type="dxa"/>
            <w:vAlign w:val="center"/>
          </w:tcPr>
          <w:p w14:paraId="5BBFB755" w14:textId="77777777" w:rsidR="0089207C" w:rsidRPr="00AC3044" w:rsidRDefault="0089207C" w:rsidP="002D3EBF">
            <w:pPr>
              <w:rPr>
                <w:rFonts w:eastAsia="SimSun"/>
              </w:rPr>
            </w:pPr>
            <w:r w:rsidRPr="00AC3044">
              <w:rPr>
                <w:rFonts w:eastAsia="SimSun"/>
              </w:rPr>
              <w:t>30 мг/кг</w:t>
            </w:r>
          </w:p>
        </w:tc>
        <w:tc>
          <w:tcPr>
            <w:tcW w:w="1559" w:type="dxa"/>
            <w:vAlign w:val="center"/>
          </w:tcPr>
          <w:p w14:paraId="64E91B4F" w14:textId="77777777" w:rsidR="0089207C" w:rsidRPr="00AC3044" w:rsidRDefault="0089207C" w:rsidP="002D3EBF">
            <w:pPr>
              <w:rPr>
                <w:rFonts w:eastAsia="SimSun"/>
              </w:rPr>
            </w:pPr>
            <w:r w:rsidRPr="00AC3044">
              <w:rPr>
                <w:rFonts w:eastAsia="SimSun"/>
              </w:rPr>
              <w:t>–</w:t>
            </w:r>
          </w:p>
        </w:tc>
        <w:tc>
          <w:tcPr>
            <w:tcW w:w="1559" w:type="dxa"/>
            <w:vAlign w:val="center"/>
          </w:tcPr>
          <w:p w14:paraId="5DC980F6" w14:textId="77777777" w:rsidR="0089207C" w:rsidRPr="00AC3044" w:rsidRDefault="0089207C" w:rsidP="002D3EBF">
            <w:pPr>
              <w:rPr>
                <w:rFonts w:eastAsia="SimSun"/>
              </w:rPr>
            </w:pPr>
            <w:r w:rsidRPr="00AC3044">
              <w:rPr>
                <w:rFonts w:eastAsia="SimSun"/>
              </w:rPr>
              <w:t>С +5 по +90 день</w:t>
            </w:r>
          </w:p>
        </w:tc>
        <w:tc>
          <w:tcPr>
            <w:tcW w:w="2410" w:type="dxa"/>
            <w:vAlign w:val="center"/>
          </w:tcPr>
          <w:p w14:paraId="1665405A" w14:textId="77777777" w:rsidR="0089207C" w:rsidRPr="00AC3044" w:rsidRDefault="0089207C" w:rsidP="002D3EBF">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89207C" w:rsidRPr="00AC3044" w14:paraId="303B66D5" w14:textId="77777777" w:rsidTr="002D3EBF">
        <w:trPr>
          <w:cantSplit/>
          <w:trHeight w:val="464"/>
        </w:trPr>
        <w:tc>
          <w:tcPr>
            <w:tcW w:w="1083" w:type="dxa"/>
            <w:vMerge/>
          </w:tcPr>
          <w:p w14:paraId="6C287D25" w14:textId="77777777" w:rsidR="0089207C" w:rsidRPr="00AC3044" w:rsidRDefault="0089207C" w:rsidP="002D3EBF">
            <w:pPr>
              <w:rPr>
                <w:rFonts w:eastAsia="SimSun"/>
              </w:rPr>
            </w:pPr>
          </w:p>
        </w:tc>
        <w:tc>
          <w:tcPr>
            <w:tcW w:w="1559" w:type="dxa"/>
            <w:vAlign w:val="center"/>
          </w:tcPr>
          <w:p w14:paraId="6855F05F" w14:textId="77777777" w:rsidR="0089207C" w:rsidRPr="00AC3044" w:rsidRDefault="0089207C" w:rsidP="002D3EBF">
            <w:pPr>
              <w:rPr>
                <w:rFonts w:eastAsia="SimSun"/>
              </w:rPr>
            </w:pPr>
            <w:r w:rsidRPr="00AC3044">
              <w:rPr>
                <w:rFonts w:eastAsia="SimSun"/>
              </w:rPr>
              <w:t>Циклофосфамид</w:t>
            </w:r>
          </w:p>
        </w:tc>
        <w:tc>
          <w:tcPr>
            <w:tcW w:w="1418" w:type="dxa"/>
            <w:vAlign w:val="center"/>
          </w:tcPr>
          <w:p w14:paraId="43F35722" w14:textId="77777777" w:rsidR="0089207C" w:rsidRPr="00AC3044" w:rsidRDefault="0089207C" w:rsidP="002D3EBF">
            <w:pPr>
              <w:rPr>
                <w:rFonts w:eastAsia="SimSun"/>
              </w:rPr>
            </w:pPr>
            <w:r w:rsidRPr="00AC3044">
              <w:rPr>
                <w:rFonts w:eastAsia="SimSun"/>
              </w:rPr>
              <w:t>50 мг/кг</w:t>
            </w:r>
          </w:p>
        </w:tc>
        <w:tc>
          <w:tcPr>
            <w:tcW w:w="1559" w:type="dxa"/>
            <w:vAlign w:val="center"/>
          </w:tcPr>
          <w:p w14:paraId="69629F65" w14:textId="77777777" w:rsidR="0089207C" w:rsidRPr="00AC3044" w:rsidRDefault="0089207C" w:rsidP="002D3EBF">
            <w:pPr>
              <w:rPr>
                <w:rFonts w:eastAsia="SimSun"/>
              </w:rPr>
            </w:pPr>
            <w:r w:rsidRPr="00AC3044">
              <w:rPr>
                <w:rFonts w:eastAsia="SimSun"/>
              </w:rPr>
              <w:t>100 мг/кг</w:t>
            </w:r>
          </w:p>
        </w:tc>
        <w:tc>
          <w:tcPr>
            <w:tcW w:w="1559" w:type="dxa"/>
            <w:vAlign w:val="center"/>
          </w:tcPr>
          <w:p w14:paraId="0789E30D" w14:textId="77777777" w:rsidR="0089207C" w:rsidRPr="00AC3044" w:rsidRDefault="0089207C" w:rsidP="002D3EBF">
            <w:pPr>
              <w:rPr>
                <w:rFonts w:eastAsia="SimSun"/>
              </w:rPr>
            </w:pPr>
            <w:r w:rsidRPr="00AC3044">
              <w:rPr>
                <w:rFonts w:eastAsia="SimSun"/>
              </w:rPr>
              <w:t xml:space="preserve">+3, +4 дни </w:t>
            </w:r>
          </w:p>
        </w:tc>
        <w:tc>
          <w:tcPr>
            <w:tcW w:w="2410" w:type="dxa"/>
            <w:vAlign w:val="center"/>
          </w:tcPr>
          <w:p w14:paraId="4FD818C7" w14:textId="77777777" w:rsidR="0089207C" w:rsidRPr="00AC3044" w:rsidRDefault="0089207C" w:rsidP="002D3EBF">
            <w:pPr>
              <w:rPr>
                <w:rFonts w:eastAsia="SimSun"/>
              </w:rPr>
            </w:pPr>
            <w:r w:rsidRPr="00AC3044">
              <w:rPr>
                <w:rFonts w:eastAsia="SimSun"/>
              </w:rPr>
              <w:t>В/в, в течение 2 часов</w:t>
            </w:r>
          </w:p>
        </w:tc>
      </w:tr>
    </w:tbl>
    <w:p w14:paraId="71E4B95D" w14:textId="77777777" w:rsidR="0089207C" w:rsidRDefault="0089207C" w:rsidP="0089207C">
      <w:pPr>
        <w:rPr>
          <w:rFonts w:eastAsia="SimSun"/>
        </w:rPr>
      </w:pPr>
      <w:bookmarkStart w:id="275" w:name="_Toc44401230"/>
    </w:p>
    <w:p w14:paraId="6EA829A1" w14:textId="77777777" w:rsidR="0089207C" w:rsidRPr="00C07B2E" w:rsidRDefault="0089207C" w:rsidP="0089207C">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3.1.5  – Flu180+Bu8 / PT-Cy+CSA+MMF45</w:t>
      </w:r>
      <w:bookmarkEnd w:id="275"/>
    </w:p>
    <w:tbl>
      <w:tblPr>
        <w:tblW w:w="960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3"/>
        <w:gridCol w:w="1559"/>
        <w:gridCol w:w="1418"/>
        <w:gridCol w:w="1559"/>
        <w:gridCol w:w="1559"/>
        <w:gridCol w:w="2410"/>
      </w:tblGrid>
      <w:tr w:rsidR="0089207C" w:rsidRPr="00AC3044" w14:paraId="3432A2CF" w14:textId="77777777" w:rsidTr="002D3EBF">
        <w:trPr>
          <w:cantSplit/>
          <w:trHeight w:val="20"/>
          <w:tblHeader/>
        </w:trPr>
        <w:tc>
          <w:tcPr>
            <w:tcW w:w="1103" w:type="dxa"/>
          </w:tcPr>
          <w:p w14:paraId="445207A4" w14:textId="77777777" w:rsidR="0089207C" w:rsidRPr="006A5E21" w:rsidRDefault="0089207C" w:rsidP="002D3EBF">
            <w:pPr>
              <w:rPr>
                <w:rFonts w:eastAsia="SimSun"/>
              </w:rPr>
            </w:pPr>
          </w:p>
        </w:tc>
        <w:tc>
          <w:tcPr>
            <w:tcW w:w="1559" w:type="dxa"/>
            <w:vAlign w:val="center"/>
          </w:tcPr>
          <w:p w14:paraId="19FBE5B0" w14:textId="77777777" w:rsidR="0089207C" w:rsidRPr="00AC3044" w:rsidRDefault="0089207C" w:rsidP="002D3EBF">
            <w:pPr>
              <w:rPr>
                <w:rFonts w:eastAsia="SimSun"/>
              </w:rPr>
            </w:pPr>
            <w:r w:rsidRPr="00AC3044">
              <w:rPr>
                <w:rFonts w:eastAsia="SimSun"/>
              </w:rPr>
              <w:t>Препарат</w:t>
            </w:r>
          </w:p>
        </w:tc>
        <w:tc>
          <w:tcPr>
            <w:tcW w:w="1418" w:type="dxa"/>
            <w:vAlign w:val="center"/>
          </w:tcPr>
          <w:p w14:paraId="6FA752DF" w14:textId="77777777" w:rsidR="0089207C" w:rsidRPr="00AC3044" w:rsidRDefault="0089207C" w:rsidP="002D3EBF">
            <w:pPr>
              <w:rPr>
                <w:rFonts w:eastAsia="SimSun"/>
              </w:rPr>
            </w:pPr>
            <w:r w:rsidRPr="00AC3044">
              <w:rPr>
                <w:rFonts w:eastAsia="SimSun"/>
              </w:rPr>
              <w:t>Суточная доза</w:t>
            </w:r>
          </w:p>
        </w:tc>
        <w:tc>
          <w:tcPr>
            <w:tcW w:w="1559" w:type="dxa"/>
            <w:vAlign w:val="center"/>
          </w:tcPr>
          <w:p w14:paraId="01232F39" w14:textId="77777777" w:rsidR="0089207C" w:rsidRPr="00AC3044" w:rsidRDefault="0089207C" w:rsidP="002D3EBF">
            <w:pPr>
              <w:rPr>
                <w:rFonts w:eastAsia="SimSun"/>
              </w:rPr>
            </w:pPr>
            <w:r w:rsidRPr="00AC3044">
              <w:rPr>
                <w:rFonts w:eastAsia="SimSun"/>
              </w:rPr>
              <w:t>Курсовая доза</w:t>
            </w:r>
          </w:p>
        </w:tc>
        <w:tc>
          <w:tcPr>
            <w:tcW w:w="1559" w:type="dxa"/>
            <w:vAlign w:val="center"/>
          </w:tcPr>
          <w:p w14:paraId="3DD75B13" w14:textId="77777777" w:rsidR="0089207C" w:rsidRPr="00AC3044" w:rsidRDefault="0089207C" w:rsidP="002D3EBF">
            <w:pPr>
              <w:rPr>
                <w:rFonts w:eastAsia="SimSun"/>
              </w:rPr>
            </w:pPr>
            <w:r w:rsidRPr="00AC3044">
              <w:rPr>
                <w:rFonts w:eastAsia="SimSun"/>
              </w:rPr>
              <w:t>Дни введения</w:t>
            </w:r>
          </w:p>
        </w:tc>
        <w:tc>
          <w:tcPr>
            <w:tcW w:w="2410" w:type="dxa"/>
            <w:vAlign w:val="center"/>
          </w:tcPr>
          <w:p w14:paraId="09CDB8AE"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696DA89D" w14:textId="77777777" w:rsidTr="002D3EBF">
        <w:trPr>
          <w:cantSplit/>
          <w:trHeight w:val="20"/>
        </w:trPr>
        <w:tc>
          <w:tcPr>
            <w:tcW w:w="1103" w:type="dxa"/>
            <w:vMerge w:val="restart"/>
            <w:textDirection w:val="btLr"/>
            <w:vAlign w:val="center"/>
          </w:tcPr>
          <w:p w14:paraId="159CB080" w14:textId="77777777" w:rsidR="0089207C" w:rsidRPr="00AC3044" w:rsidRDefault="0089207C" w:rsidP="002D3EBF">
            <w:pPr>
              <w:rPr>
                <w:rFonts w:eastAsia="SimSun"/>
              </w:rPr>
            </w:pPr>
            <w:r w:rsidRPr="00AC3044">
              <w:rPr>
                <w:rFonts w:eastAsia="SimSun"/>
              </w:rPr>
              <w:t>Кондиционирование</w:t>
            </w:r>
          </w:p>
        </w:tc>
        <w:tc>
          <w:tcPr>
            <w:tcW w:w="1559" w:type="dxa"/>
            <w:vAlign w:val="center"/>
          </w:tcPr>
          <w:p w14:paraId="372BD50C" w14:textId="77777777" w:rsidR="0089207C" w:rsidRPr="00AC3044" w:rsidRDefault="0089207C" w:rsidP="002D3EBF">
            <w:pPr>
              <w:rPr>
                <w:rFonts w:eastAsia="SimSun"/>
              </w:rPr>
            </w:pPr>
            <w:r w:rsidRPr="00AC3044">
              <w:rPr>
                <w:rFonts w:eastAsia="SimSun"/>
              </w:rPr>
              <w:t xml:space="preserve">Флударабин </w:t>
            </w:r>
          </w:p>
        </w:tc>
        <w:tc>
          <w:tcPr>
            <w:tcW w:w="1418" w:type="dxa"/>
            <w:vAlign w:val="center"/>
          </w:tcPr>
          <w:p w14:paraId="27991031" w14:textId="77777777" w:rsidR="0089207C" w:rsidRPr="00AC3044" w:rsidRDefault="0089207C" w:rsidP="002D3EBF">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360EF1AE" w14:textId="77777777" w:rsidR="0089207C" w:rsidRPr="00AC3044" w:rsidRDefault="0089207C" w:rsidP="002D3EBF">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765A7DCB" w14:textId="77777777" w:rsidR="0089207C" w:rsidRPr="00AC3044" w:rsidRDefault="0089207C" w:rsidP="002D3EBF">
            <w:pPr>
              <w:rPr>
                <w:rFonts w:eastAsia="SimSun"/>
              </w:rPr>
            </w:pPr>
            <w:r w:rsidRPr="00AC3044">
              <w:rPr>
                <w:rFonts w:eastAsia="SimSun"/>
              </w:rPr>
              <w:t>С –7 по –2 день</w:t>
            </w:r>
          </w:p>
        </w:tc>
        <w:tc>
          <w:tcPr>
            <w:tcW w:w="2410" w:type="dxa"/>
            <w:vAlign w:val="center"/>
          </w:tcPr>
          <w:p w14:paraId="0898CFEF"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5F0094CB" w14:textId="77777777" w:rsidTr="002D3EBF">
        <w:trPr>
          <w:cantSplit/>
          <w:trHeight w:val="606"/>
        </w:trPr>
        <w:tc>
          <w:tcPr>
            <w:tcW w:w="1103" w:type="dxa"/>
            <w:vMerge/>
            <w:textDirection w:val="btLr"/>
            <w:vAlign w:val="center"/>
          </w:tcPr>
          <w:p w14:paraId="2EEA6FFE" w14:textId="77777777" w:rsidR="0089207C" w:rsidRPr="00AC3044" w:rsidRDefault="0089207C" w:rsidP="002D3EBF">
            <w:pPr>
              <w:rPr>
                <w:rFonts w:eastAsia="SimSun"/>
              </w:rPr>
            </w:pPr>
          </w:p>
        </w:tc>
        <w:tc>
          <w:tcPr>
            <w:tcW w:w="1559" w:type="dxa"/>
            <w:vAlign w:val="center"/>
          </w:tcPr>
          <w:p w14:paraId="72D73EC2" w14:textId="77777777" w:rsidR="0089207C" w:rsidRPr="00AC3044" w:rsidRDefault="0089207C" w:rsidP="002D3EBF">
            <w:pPr>
              <w:rPr>
                <w:rFonts w:eastAsia="SimSun"/>
              </w:rPr>
            </w:pPr>
            <w:r w:rsidRPr="00AC3044">
              <w:rPr>
                <w:rFonts w:eastAsia="SimSun"/>
              </w:rPr>
              <w:t>Бусульфан</w:t>
            </w:r>
          </w:p>
        </w:tc>
        <w:tc>
          <w:tcPr>
            <w:tcW w:w="1418" w:type="dxa"/>
            <w:vAlign w:val="center"/>
          </w:tcPr>
          <w:p w14:paraId="468F905D" w14:textId="77777777" w:rsidR="0089207C" w:rsidRPr="00AC3044" w:rsidRDefault="0089207C" w:rsidP="002D3EBF">
            <w:pPr>
              <w:rPr>
                <w:rFonts w:eastAsia="SimSun"/>
              </w:rPr>
            </w:pPr>
            <w:r w:rsidRPr="00AC3044">
              <w:rPr>
                <w:rFonts w:eastAsia="SimSun"/>
              </w:rPr>
              <w:t>4 мг/кг</w:t>
            </w:r>
          </w:p>
        </w:tc>
        <w:tc>
          <w:tcPr>
            <w:tcW w:w="1559" w:type="dxa"/>
            <w:vAlign w:val="center"/>
          </w:tcPr>
          <w:p w14:paraId="0CA20B3E" w14:textId="77777777" w:rsidR="0089207C" w:rsidRPr="00AC3044" w:rsidRDefault="0089207C" w:rsidP="002D3EBF">
            <w:pPr>
              <w:rPr>
                <w:rFonts w:eastAsia="SimSun"/>
              </w:rPr>
            </w:pPr>
            <w:r w:rsidRPr="00AC3044">
              <w:rPr>
                <w:rFonts w:eastAsia="SimSun"/>
              </w:rPr>
              <w:t>8 мг/кг</w:t>
            </w:r>
          </w:p>
        </w:tc>
        <w:tc>
          <w:tcPr>
            <w:tcW w:w="1559" w:type="dxa"/>
            <w:vAlign w:val="center"/>
          </w:tcPr>
          <w:p w14:paraId="3F95F9A1" w14:textId="77777777" w:rsidR="0089207C" w:rsidRPr="00AC3044" w:rsidRDefault="0089207C" w:rsidP="002D3EBF">
            <w:pPr>
              <w:rPr>
                <w:rFonts w:eastAsia="SimSun"/>
              </w:rPr>
            </w:pPr>
            <w:r w:rsidRPr="00AC3044">
              <w:rPr>
                <w:rFonts w:eastAsia="SimSun"/>
              </w:rPr>
              <w:t>–3, –2 дни</w:t>
            </w:r>
          </w:p>
        </w:tc>
        <w:tc>
          <w:tcPr>
            <w:tcW w:w="2410" w:type="dxa"/>
            <w:vAlign w:val="center"/>
          </w:tcPr>
          <w:p w14:paraId="7796607D"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w:t>
            </w:r>
          </w:p>
        </w:tc>
      </w:tr>
      <w:tr w:rsidR="0089207C" w:rsidRPr="00AC3044" w14:paraId="19EFEC49" w14:textId="77777777" w:rsidTr="002D3EBF">
        <w:trPr>
          <w:cantSplit/>
          <w:trHeight w:val="20"/>
        </w:trPr>
        <w:tc>
          <w:tcPr>
            <w:tcW w:w="1103" w:type="dxa"/>
            <w:vMerge w:val="restart"/>
            <w:textDirection w:val="btLr"/>
            <w:vAlign w:val="center"/>
          </w:tcPr>
          <w:p w14:paraId="3459137A" w14:textId="77777777" w:rsidR="0089207C" w:rsidRPr="00AC3044" w:rsidRDefault="0089207C" w:rsidP="002D3EBF">
            <w:pPr>
              <w:rPr>
                <w:rFonts w:eastAsia="SimSun"/>
              </w:rPr>
            </w:pPr>
            <w:r w:rsidRPr="00AC3044">
              <w:rPr>
                <w:rFonts w:eastAsia="SimSun"/>
              </w:rPr>
              <w:t>Профилактика РТПХ</w:t>
            </w:r>
          </w:p>
        </w:tc>
        <w:tc>
          <w:tcPr>
            <w:tcW w:w="1559" w:type="dxa"/>
            <w:vAlign w:val="center"/>
          </w:tcPr>
          <w:p w14:paraId="584D0018" w14:textId="77777777" w:rsidR="0089207C" w:rsidRPr="00AC3044" w:rsidRDefault="0089207C" w:rsidP="002D3EBF">
            <w:pPr>
              <w:rPr>
                <w:rFonts w:eastAsia="SimSun"/>
              </w:rPr>
            </w:pPr>
            <w:r w:rsidRPr="00AC3044">
              <w:rPr>
                <w:rFonts w:eastAsia="SimSun"/>
              </w:rPr>
              <w:t>Циклоспорин</w:t>
            </w:r>
          </w:p>
        </w:tc>
        <w:tc>
          <w:tcPr>
            <w:tcW w:w="1418" w:type="dxa"/>
            <w:vAlign w:val="center"/>
          </w:tcPr>
          <w:p w14:paraId="1D096B38" w14:textId="77777777" w:rsidR="0089207C" w:rsidRPr="00AC3044" w:rsidRDefault="0089207C" w:rsidP="002D3EBF">
            <w:pPr>
              <w:rPr>
                <w:rFonts w:eastAsia="SimSun"/>
              </w:rPr>
            </w:pPr>
            <w:r w:rsidRPr="00AC3044">
              <w:rPr>
                <w:rFonts w:eastAsia="SimSun"/>
              </w:rPr>
              <w:t>3 мг/кг</w:t>
            </w:r>
          </w:p>
        </w:tc>
        <w:tc>
          <w:tcPr>
            <w:tcW w:w="1559" w:type="dxa"/>
            <w:vAlign w:val="center"/>
          </w:tcPr>
          <w:p w14:paraId="0D62F64C" w14:textId="77777777" w:rsidR="0089207C" w:rsidRPr="00AC3044" w:rsidRDefault="0089207C" w:rsidP="002D3EBF">
            <w:pPr>
              <w:rPr>
                <w:rFonts w:eastAsia="SimSun"/>
              </w:rPr>
            </w:pPr>
            <w:r w:rsidRPr="00AC3044">
              <w:rPr>
                <w:rFonts w:eastAsia="SimSun"/>
              </w:rPr>
              <w:t>–</w:t>
            </w:r>
          </w:p>
        </w:tc>
        <w:tc>
          <w:tcPr>
            <w:tcW w:w="1559" w:type="dxa"/>
            <w:vAlign w:val="center"/>
          </w:tcPr>
          <w:p w14:paraId="288F88DE" w14:textId="77777777" w:rsidR="0089207C" w:rsidRPr="00AC3044" w:rsidRDefault="0089207C" w:rsidP="002D3EBF">
            <w:pPr>
              <w:rPr>
                <w:rFonts w:eastAsia="SimSun"/>
              </w:rPr>
            </w:pPr>
            <w:r w:rsidRPr="00AC3044">
              <w:rPr>
                <w:rFonts w:eastAsia="SimSun"/>
              </w:rPr>
              <w:t>С +5 по +90 день, затем постепенное снижение к +180 дню</w:t>
            </w:r>
          </w:p>
        </w:tc>
        <w:tc>
          <w:tcPr>
            <w:tcW w:w="2410" w:type="dxa"/>
            <w:vAlign w:val="center"/>
          </w:tcPr>
          <w:p w14:paraId="25827C86" w14:textId="77777777" w:rsidR="0089207C" w:rsidRPr="00AC3044" w:rsidRDefault="0089207C" w:rsidP="002D3EBF">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9207C" w:rsidRPr="00AC3044" w14:paraId="62CC6E00" w14:textId="77777777" w:rsidTr="002D3EBF">
        <w:trPr>
          <w:cantSplit/>
          <w:trHeight w:val="20"/>
        </w:trPr>
        <w:tc>
          <w:tcPr>
            <w:tcW w:w="1103" w:type="dxa"/>
            <w:vMerge/>
          </w:tcPr>
          <w:p w14:paraId="24486A90" w14:textId="77777777" w:rsidR="0089207C" w:rsidRPr="00AC3044" w:rsidRDefault="0089207C" w:rsidP="002D3EBF">
            <w:pPr>
              <w:rPr>
                <w:rFonts w:eastAsia="SimSun"/>
              </w:rPr>
            </w:pPr>
          </w:p>
        </w:tc>
        <w:tc>
          <w:tcPr>
            <w:tcW w:w="1559" w:type="dxa"/>
            <w:vAlign w:val="center"/>
          </w:tcPr>
          <w:p w14:paraId="092CD914" w14:textId="77777777" w:rsidR="0089207C" w:rsidRPr="00AC3044" w:rsidRDefault="0089207C" w:rsidP="002D3EBF">
            <w:pPr>
              <w:rPr>
                <w:rFonts w:eastAsia="SimSun"/>
              </w:rPr>
            </w:pPr>
            <w:r w:rsidRPr="00AC3044">
              <w:rPr>
                <w:rFonts w:eastAsia="SimSun"/>
              </w:rPr>
              <w:t>Микофенолата мофетил</w:t>
            </w:r>
          </w:p>
        </w:tc>
        <w:tc>
          <w:tcPr>
            <w:tcW w:w="1418" w:type="dxa"/>
            <w:vAlign w:val="center"/>
          </w:tcPr>
          <w:p w14:paraId="189081AD" w14:textId="77777777" w:rsidR="0089207C" w:rsidRPr="00AC3044" w:rsidRDefault="0089207C" w:rsidP="002D3EBF">
            <w:pPr>
              <w:rPr>
                <w:rFonts w:eastAsia="SimSun"/>
              </w:rPr>
            </w:pPr>
            <w:r w:rsidRPr="00AC3044">
              <w:rPr>
                <w:rFonts w:eastAsia="SimSun"/>
              </w:rPr>
              <w:t>45 мг/кг</w:t>
            </w:r>
          </w:p>
        </w:tc>
        <w:tc>
          <w:tcPr>
            <w:tcW w:w="1559" w:type="dxa"/>
            <w:vAlign w:val="center"/>
          </w:tcPr>
          <w:p w14:paraId="7ACB802B" w14:textId="77777777" w:rsidR="0089207C" w:rsidRPr="00AC3044" w:rsidRDefault="0089207C" w:rsidP="002D3EBF">
            <w:pPr>
              <w:rPr>
                <w:rFonts w:eastAsia="SimSun"/>
              </w:rPr>
            </w:pPr>
            <w:r w:rsidRPr="00AC3044">
              <w:rPr>
                <w:rFonts w:eastAsia="SimSun"/>
              </w:rPr>
              <w:t>–</w:t>
            </w:r>
          </w:p>
        </w:tc>
        <w:tc>
          <w:tcPr>
            <w:tcW w:w="1559" w:type="dxa"/>
            <w:vAlign w:val="center"/>
          </w:tcPr>
          <w:p w14:paraId="6C00E5E8" w14:textId="77777777" w:rsidR="0089207C" w:rsidRPr="00AC3044" w:rsidRDefault="0089207C" w:rsidP="002D3EBF">
            <w:pPr>
              <w:rPr>
                <w:rFonts w:eastAsia="SimSun"/>
              </w:rPr>
            </w:pPr>
            <w:r w:rsidRPr="00AC3044">
              <w:rPr>
                <w:rFonts w:eastAsia="SimSun"/>
              </w:rPr>
              <w:t>С +5 по +90 день</w:t>
            </w:r>
          </w:p>
        </w:tc>
        <w:tc>
          <w:tcPr>
            <w:tcW w:w="2410" w:type="dxa"/>
            <w:vAlign w:val="center"/>
          </w:tcPr>
          <w:p w14:paraId="7980F1E2" w14:textId="77777777" w:rsidR="0089207C" w:rsidRPr="00AC3044" w:rsidRDefault="0089207C" w:rsidP="002D3EBF">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89207C" w:rsidRPr="00AC3044" w14:paraId="381B1E31" w14:textId="77777777" w:rsidTr="002D3EBF">
        <w:trPr>
          <w:cantSplit/>
          <w:trHeight w:val="464"/>
        </w:trPr>
        <w:tc>
          <w:tcPr>
            <w:tcW w:w="1103" w:type="dxa"/>
            <w:vMerge/>
          </w:tcPr>
          <w:p w14:paraId="57A4DC6D" w14:textId="77777777" w:rsidR="0089207C" w:rsidRPr="00AC3044" w:rsidRDefault="0089207C" w:rsidP="002D3EBF">
            <w:pPr>
              <w:rPr>
                <w:rFonts w:eastAsia="SimSun"/>
              </w:rPr>
            </w:pPr>
          </w:p>
        </w:tc>
        <w:tc>
          <w:tcPr>
            <w:tcW w:w="1559" w:type="dxa"/>
            <w:vAlign w:val="center"/>
          </w:tcPr>
          <w:p w14:paraId="6AA9270C" w14:textId="77777777" w:rsidR="0089207C" w:rsidRPr="00AC3044" w:rsidRDefault="0089207C" w:rsidP="002D3EBF">
            <w:pPr>
              <w:rPr>
                <w:rFonts w:eastAsia="SimSun"/>
              </w:rPr>
            </w:pPr>
            <w:r w:rsidRPr="00AC3044">
              <w:rPr>
                <w:rFonts w:eastAsia="SimSun"/>
              </w:rPr>
              <w:t>Циклофосфамид</w:t>
            </w:r>
          </w:p>
        </w:tc>
        <w:tc>
          <w:tcPr>
            <w:tcW w:w="1418" w:type="dxa"/>
            <w:vAlign w:val="center"/>
          </w:tcPr>
          <w:p w14:paraId="764BF550" w14:textId="77777777" w:rsidR="0089207C" w:rsidRPr="00AC3044" w:rsidRDefault="0089207C" w:rsidP="002D3EBF">
            <w:pPr>
              <w:rPr>
                <w:rFonts w:eastAsia="SimSun"/>
              </w:rPr>
            </w:pPr>
            <w:r w:rsidRPr="00AC3044">
              <w:rPr>
                <w:rFonts w:eastAsia="SimSun"/>
              </w:rPr>
              <w:t>50 мг/кг</w:t>
            </w:r>
          </w:p>
        </w:tc>
        <w:tc>
          <w:tcPr>
            <w:tcW w:w="1559" w:type="dxa"/>
            <w:vAlign w:val="center"/>
          </w:tcPr>
          <w:p w14:paraId="5B0EE4DD" w14:textId="77777777" w:rsidR="0089207C" w:rsidRPr="00AC3044" w:rsidRDefault="0089207C" w:rsidP="002D3EBF">
            <w:pPr>
              <w:rPr>
                <w:rFonts w:eastAsia="SimSun"/>
              </w:rPr>
            </w:pPr>
            <w:r w:rsidRPr="00AC3044">
              <w:rPr>
                <w:rFonts w:eastAsia="SimSun"/>
              </w:rPr>
              <w:t>100 мг/кг</w:t>
            </w:r>
          </w:p>
        </w:tc>
        <w:tc>
          <w:tcPr>
            <w:tcW w:w="1559" w:type="dxa"/>
            <w:vAlign w:val="center"/>
          </w:tcPr>
          <w:p w14:paraId="656ED437" w14:textId="77777777" w:rsidR="0089207C" w:rsidRPr="00AC3044" w:rsidRDefault="0089207C" w:rsidP="002D3EBF">
            <w:pPr>
              <w:rPr>
                <w:rFonts w:eastAsia="SimSun"/>
              </w:rPr>
            </w:pPr>
            <w:r w:rsidRPr="00AC3044">
              <w:rPr>
                <w:rFonts w:eastAsia="SimSun"/>
              </w:rPr>
              <w:t xml:space="preserve">+3, +4 дни </w:t>
            </w:r>
          </w:p>
        </w:tc>
        <w:tc>
          <w:tcPr>
            <w:tcW w:w="2410" w:type="dxa"/>
            <w:vAlign w:val="center"/>
          </w:tcPr>
          <w:p w14:paraId="67D02B54" w14:textId="77777777" w:rsidR="0089207C" w:rsidRPr="00AC3044" w:rsidRDefault="0089207C" w:rsidP="002D3EBF">
            <w:pPr>
              <w:rPr>
                <w:rFonts w:eastAsia="SimSun"/>
              </w:rPr>
            </w:pPr>
            <w:r w:rsidRPr="00AC3044">
              <w:rPr>
                <w:rFonts w:eastAsia="SimSun"/>
              </w:rPr>
              <w:t>В/в, в течение 2 часов</w:t>
            </w:r>
          </w:p>
        </w:tc>
      </w:tr>
    </w:tbl>
    <w:p w14:paraId="03620E21" w14:textId="77777777" w:rsidR="0089207C" w:rsidRDefault="0089207C" w:rsidP="0089207C">
      <w:pPr>
        <w:rPr>
          <w:rFonts w:eastAsia="SimSun"/>
        </w:rPr>
      </w:pPr>
      <w:bookmarkStart w:id="276" w:name="_Toc44401231"/>
    </w:p>
    <w:p w14:paraId="63C4B0AC" w14:textId="77777777" w:rsidR="0089207C" w:rsidRPr="00C07B2E" w:rsidRDefault="0089207C" w:rsidP="0089207C">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3.1.6  – Flu180+Bu8 / PT-Cy+Tx+MMF45</w:t>
      </w:r>
      <w:bookmarkEnd w:id="276"/>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89207C" w:rsidRPr="00AC3044" w14:paraId="509C023D" w14:textId="77777777" w:rsidTr="002D3EBF">
        <w:trPr>
          <w:cantSplit/>
          <w:trHeight w:val="20"/>
          <w:tblHeader/>
        </w:trPr>
        <w:tc>
          <w:tcPr>
            <w:tcW w:w="1135" w:type="dxa"/>
            <w:vAlign w:val="center"/>
          </w:tcPr>
          <w:p w14:paraId="0BBAA887" w14:textId="77777777" w:rsidR="0089207C" w:rsidRPr="006A5E21" w:rsidRDefault="0089207C" w:rsidP="002D3EBF">
            <w:pPr>
              <w:rPr>
                <w:rFonts w:eastAsia="SimSun"/>
              </w:rPr>
            </w:pPr>
          </w:p>
        </w:tc>
        <w:tc>
          <w:tcPr>
            <w:tcW w:w="1559" w:type="dxa"/>
            <w:vAlign w:val="center"/>
          </w:tcPr>
          <w:p w14:paraId="12E0080E" w14:textId="77777777" w:rsidR="0089207C" w:rsidRPr="00AC3044" w:rsidRDefault="0089207C" w:rsidP="002D3EBF">
            <w:pPr>
              <w:rPr>
                <w:rFonts w:eastAsia="SimSun"/>
              </w:rPr>
            </w:pPr>
            <w:r w:rsidRPr="00AC3044">
              <w:rPr>
                <w:rFonts w:eastAsia="SimSun"/>
              </w:rPr>
              <w:t>Препарат</w:t>
            </w:r>
          </w:p>
        </w:tc>
        <w:tc>
          <w:tcPr>
            <w:tcW w:w="1418" w:type="dxa"/>
            <w:vAlign w:val="center"/>
          </w:tcPr>
          <w:p w14:paraId="37A1BFBA" w14:textId="77777777" w:rsidR="0089207C" w:rsidRPr="00AC3044" w:rsidRDefault="0089207C" w:rsidP="002D3EBF">
            <w:pPr>
              <w:rPr>
                <w:rFonts w:eastAsia="SimSun"/>
              </w:rPr>
            </w:pPr>
            <w:r w:rsidRPr="00AC3044">
              <w:rPr>
                <w:rFonts w:eastAsia="SimSun"/>
              </w:rPr>
              <w:t>Суточная доза</w:t>
            </w:r>
          </w:p>
        </w:tc>
        <w:tc>
          <w:tcPr>
            <w:tcW w:w="1559" w:type="dxa"/>
            <w:vAlign w:val="center"/>
          </w:tcPr>
          <w:p w14:paraId="534516B7" w14:textId="77777777" w:rsidR="0089207C" w:rsidRPr="00AC3044" w:rsidRDefault="0089207C" w:rsidP="002D3EBF">
            <w:pPr>
              <w:rPr>
                <w:rFonts w:eastAsia="SimSun"/>
              </w:rPr>
            </w:pPr>
            <w:r w:rsidRPr="00AC3044">
              <w:rPr>
                <w:rFonts w:eastAsia="SimSun"/>
              </w:rPr>
              <w:t>Курсовая доза</w:t>
            </w:r>
          </w:p>
        </w:tc>
        <w:tc>
          <w:tcPr>
            <w:tcW w:w="1559" w:type="dxa"/>
            <w:vAlign w:val="center"/>
          </w:tcPr>
          <w:p w14:paraId="1C8543A6" w14:textId="77777777" w:rsidR="0089207C" w:rsidRPr="00AC3044" w:rsidRDefault="0089207C" w:rsidP="002D3EBF">
            <w:pPr>
              <w:rPr>
                <w:rFonts w:eastAsia="SimSun"/>
              </w:rPr>
            </w:pPr>
            <w:r w:rsidRPr="00AC3044">
              <w:rPr>
                <w:rFonts w:eastAsia="SimSun"/>
              </w:rPr>
              <w:t>Дни введения</w:t>
            </w:r>
          </w:p>
        </w:tc>
        <w:tc>
          <w:tcPr>
            <w:tcW w:w="2410" w:type="dxa"/>
            <w:vAlign w:val="center"/>
          </w:tcPr>
          <w:p w14:paraId="3F80F0A0"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680D3095" w14:textId="77777777" w:rsidTr="002D3EBF">
        <w:trPr>
          <w:cantSplit/>
          <w:trHeight w:val="20"/>
        </w:trPr>
        <w:tc>
          <w:tcPr>
            <w:tcW w:w="1135" w:type="dxa"/>
            <w:vMerge w:val="restart"/>
            <w:textDirection w:val="btLr"/>
            <w:vAlign w:val="center"/>
          </w:tcPr>
          <w:p w14:paraId="0C0ECF61" w14:textId="77777777" w:rsidR="0089207C" w:rsidRPr="00AC3044" w:rsidRDefault="0089207C" w:rsidP="002D3EBF">
            <w:pPr>
              <w:rPr>
                <w:rFonts w:eastAsia="SimSun"/>
              </w:rPr>
            </w:pPr>
            <w:r w:rsidRPr="00AC3044">
              <w:rPr>
                <w:rFonts w:eastAsia="SimSun"/>
              </w:rPr>
              <w:t>Кондиционирование</w:t>
            </w:r>
          </w:p>
        </w:tc>
        <w:tc>
          <w:tcPr>
            <w:tcW w:w="1559" w:type="dxa"/>
            <w:vAlign w:val="center"/>
          </w:tcPr>
          <w:p w14:paraId="2F368153" w14:textId="77777777" w:rsidR="0089207C" w:rsidRPr="00AC3044" w:rsidRDefault="0089207C" w:rsidP="002D3EBF">
            <w:pPr>
              <w:rPr>
                <w:rFonts w:eastAsia="SimSun"/>
              </w:rPr>
            </w:pPr>
            <w:r w:rsidRPr="00AC3044">
              <w:rPr>
                <w:rFonts w:eastAsia="SimSun"/>
              </w:rPr>
              <w:t xml:space="preserve">Флударабин </w:t>
            </w:r>
          </w:p>
        </w:tc>
        <w:tc>
          <w:tcPr>
            <w:tcW w:w="1418" w:type="dxa"/>
            <w:vAlign w:val="center"/>
          </w:tcPr>
          <w:p w14:paraId="590C12C2" w14:textId="77777777" w:rsidR="0089207C" w:rsidRPr="00AC3044" w:rsidRDefault="0089207C" w:rsidP="002D3EBF">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3F3892DD" w14:textId="77777777" w:rsidR="0089207C" w:rsidRPr="00AC3044" w:rsidRDefault="0089207C" w:rsidP="002D3EBF">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786701D2" w14:textId="77777777" w:rsidR="0089207C" w:rsidRPr="00AC3044" w:rsidRDefault="0089207C" w:rsidP="002D3EBF">
            <w:pPr>
              <w:rPr>
                <w:rFonts w:eastAsia="SimSun"/>
              </w:rPr>
            </w:pPr>
            <w:r w:rsidRPr="00AC3044">
              <w:rPr>
                <w:rFonts w:eastAsia="SimSun"/>
              </w:rPr>
              <w:t>С -7 дня по -2 день</w:t>
            </w:r>
          </w:p>
        </w:tc>
        <w:tc>
          <w:tcPr>
            <w:tcW w:w="2410" w:type="dxa"/>
            <w:vAlign w:val="center"/>
          </w:tcPr>
          <w:p w14:paraId="22BDD7D1"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6603F022" w14:textId="77777777" w:rsidTr="002D3EBF">
        <w:trPr>
          <w:cantSplit/>
          <w:trHeight w:val="436"/>
        </w:trPr>
        <w:tc>
          <w:tcPr>
            <w:tcW w:w="1135" w:type="dxa"/>
            <w:vMerge/>
            <w:vAlign w:val="center"/>
          </w:tcPr>
          <w:p w14:paraId="5D0DC527" w14:textId="77777777" w:rsidR="0089207C" w:rsidRPr="00AC3044" w:rsidRDefault="0089207C" w:rsidP="002D3EBF">
            <w:pPr>
              <w:rPr>
                <w:rFonts w:eastAsia="SimSun"/>
              </w:rPr>
            </w:pPr>
          </w:p>
        </w:tc>
        <w:tc>
          <w:tcPr>
            <w:tcW w:w="1559" w:type="dxa"/>
            <w:vAlign w:val="center"/>
          </w:tcPr>
          <w:p w14:paraId="74516120" w14:textId="77777777" w:rsidR="0089207C" w:rsidRPr="00AC3044" w:rsidRDefault="0089207C" w:rsidP="002D3EBF">
            <w:pPr>
              <w:rPr>
                <w:rFonts w:eastAsia="SimSun"/>
              </w:rPr>
            </w:pPr>
            <w:r w:rsidRPr="00AC3044">
              <w:rPr>
                <w:rFonts w:eastAsia="SimSun"/>
              </w:rPr>
              <w:t>Бусульфан</w:t>
            </w:r>
          </w:p>
        </w:tc>
        <w:tc>
          <w:tcPr>
            <w:tcW w:w="1418" w:type="dxa"/>
            <w:vAlign w:val="center"/>
          </w:tcPr>
          <w:p w14:paraId="71080168" w14:textId="77777777" w:rsidR="0089207C" w:rsidRPr="00AC3044" w:rsidRDefault="0089207C" w:rsidP="002D3EBF">
            <w:pPr>
              <w:rPr>
                <w:rFonts w:eastAsia="SimSun"/>
              </w:rPr>
            </w:pPr>
            <w:r w:rsidRPr="00AC3044">
              <w:rPr>
                <w:rFonts w:eastAsia="SimSun"/>
              </w:rPr>
              <w:t xml:space="preserve">4 мг/кг </w:t>
            </w:r>
          </w:p>
        </w:tc>
        <w:tc>
          <w:tcPr>
            <w:tcW w:w="1559" w:type="dxa"/>
            <w:vAlign w:val="center"/>
          </w:tcPr>
          <w:p w14:paraId="5B2AEB7D" w14:textId="77777777" w:rsidR="0089207C" w:rsidRPr="00AC3044" w:rsidRDefault="0089207C" w:rsidP="002D3EBF">
            <w:pPr>
              <w:rPr>
                <w:rFonts w:eastAsia="SimSun"/>
              </w:rPr>
            </w:pPr>
            <w:r w:rsidRPr="00AC3044">
              <w:rPr>
                <w:rFonts w:eastAsia="SimSun"/>
              </w:rPr>
              <w:t xml:space="preserve">8 мг/кг </w:t>
            </w:r>
          </w:p>
        </w:tc>
        <w:tc>
          <w:tcPr>
            <w:tcW w:w="1559" w:type="dxa"/>
            <w:vAlign w:val="center"/>
          </w:tcPr>
          <w:p w14:paraId="18990C3B" w14:textId="77777777" w:rsidR="0089207C" w:rsidRPr="00AC3044" w:rsidRDefault="0089207C" w:rsidP="002D3EBF">
            <w:pPr>
              <w:rPr>
                <w:rFonts w:eastAsia="SimSun"/>
              </w:rPr>
            </w:pPr>
            <w:r w:rsidRPr="00AC3044">
              <w:rPr>
                <w:rFonts w:eastAsia="SimSun"/>
              </w:rPr>
              <w:t>С -4 дня по -3 день</w:t>
            </w:r>
          </w:p>
        </w:tc>
        <w:tc>
          <w:tcPr>
            <w:tcW w:w="2410" w:type="dxa"/>
            <w:vAlign w:val="center"/>
          </w:tcPr>
          <w:p w14:paraId="4276E38A" w14:textId="77777777" w:rsidR="0089207C" w:rsidRPr="00AC3044" w:rsidRDefault="0089207C" w:rsidP="002D3EBF">
            <w:pPr>
              <w:rPr>
                <w:rFonts w:eastAsia="SimSun"/>
              </w:rPr>
            </w:pPr>
            <w:r w:rsidRPr="00AC3044">
              <w:rPr>
                <w:rFonts w:eastAsia="SimSun"/>
              </w:rPr>
              <w:t xml:space="preserve">Внутрь, суммарная суточная доза разделяется на 4 приема с интервалом 6 часов. </w:t>
            </w:r>
          </w:p>
        </w:tc>
      </w:tr>
      <w:tr w:rsidR="0089207C" w:rsidRPr="00AC3044" w14:paraId="4353300F" w14:textId="77777777" w:rsidTr="002D3EBF">
        <w:trPr>
          <w:cantSplit/>
          <w:trHeight w:val="416"/>
        </w:trPr>
        <w:tc>
          <w:tcPr>
            <w:tcW w:w="1135" w:type="dxa"/>
            <w:vMerge w:val="restart"/>
            <w:textDirection w:val="btLr"/>
            <w:vAlign w:val="center"/>
          </w:tcPr>
          <w:p w14:paraId="402041BC" w14:textId="77777777" w:rsidR="0089207C" w:rsidRPr="00AC3044" w:rsidRDefault="0089207C" w:rsidP="002D3EBF">
            <w:pPr>
              <w:rPr>
                <w:rFonts w:eastAsia="SimSun"/>
              </w:rPr>
            </w:pPr>
            <w:r w:rsidRPr="00AC3044">
              <w:rPr>
                <w:rFonts w:eastAsia="SimSun"/>
              </w:rPr>
              <w:t>Профилактика РТПХ</w:t>
            </w:r>
          </w:p>
        </w:tc>
        <w:tc>
          <w:tcPr>
            <w:tcW w:w="1559" w:type="dxa"/>
            <w:vAlign w:val="center"/>
          </w:tcPr>
          <w:p w14:paraId="3086AD07" w14:textId="77777777" w:rsidR="0089207C" w:rsidRPr="00AC3044" w:rsidRDefault="0089207C" w:rsidP="002D3EBF">
            <w:pPr>
              <w:rPr>
                <w:rFonts w:eastAsia="SimSun"/>
              </w:rPr>
            </w:pPr>
            <w:r w:rsidRPr="00AC3044">
              <w:rPr>
                <w:rFonts w:eastAsia="SimSun"/>
              </w:rPr>
              <w:t>Циклофосфамид</w:t>
            </w:r>
          </w:p>
        </w:tc>
        <w:tc>
          <w:tcPr>
            <w:tcW w:w="1418" w:type="dxa"/>
            <w:vAlign w:val="center"/>
          </w:tcPr>
          <w:p w14:paraId="39A8B651" w14:textId="77777777" w:rsidR="0089207C" w:rsidRPr="00AC3044" w:rsidRDefault="0089207C" w:rsidP="002D3EBF">
            <w:pPr>
              <w:rPr>
                <w:rFonts w:eastAsia="SimSun"/>
              </w:rPr>
            </w:pPr>
            <w:r w:rsidRPr="00AC3044">
              <w:rPr>
                <w:rFonts w:eastAsia="SimSun"/>
              </w:rPr>
              <w:t>50 мг/кг</w:t>
            </w:r>
          </w:p>
        </w:tc>
        <w:tc>
          <w:tcPr>
            <w:tcW w:w="1559" w:type="dxa"/>
            <w:vAlign w:val="center"/>
          </w:tcPr>
          <w:p w14:paraId="186713ED" w14:textId="77777777" w:rsidR="0089207C" w:rsidRPr="00AC3044" w:rsidRDefault="0089207C" w:rsidP="002D3EBF">
            <w:pPr>
              <w:rPr>
                <w:rFonts w:eastAsia="SimSun"/>
              </w:rPr>
            </w:pPr>
            <w:r w:rsidRPr="00AC3044">
              <w:rPr>
                <w:rFonts w:eastAsia="SimSun"/>
              </w:rPr>
              <w:t>100 мг/кг</w:t>
            </w:r>
          </w:p>
        </w:tc>
        <w:tc>
          <w:tcPr>
            <w:tcW w:w="1559" w:type="dxa"/>
            <w:vAlign w:val="center"/>
          </w:tcPr>
          <w:p w14:paraId="45741E0D" w14:textId="77777777" w:rsidR="0089207C" w:rsidRPr="00AC3044" w:rsidRDefault="0089207C" w:rsidP="002D3EBF">
            <w:pPr>
              <w:rPr>
                <w:rFonts w:eastAsia="SimSun"/>
              </w:rPr>
            </w:pPr>
            <w:r w:rsidRPr="00AC3044">
              <w:rPr>
                <w:rFonts w:eastAsia="SimSun"/>
              </w:rPr>
              <w:t>С +3 дня по +4 день</w:t>
            </w:r>
          </w:p>
        </w:tc>
        <w:tc>
          <w:tcPr>
            <w:tcW w:w="2410" w:type="dxa"/>
            <w:vAlign w:val="center"/>
          </w:tcPr>
          <w:p w14:paraId="12B19FFC"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0889D300" w14:textId="77777777" w:rsidTr="002D3EBF">
        <w:trPr>
          <w:cantSplit/>
          <w:trHeight w:val="958"/>
        </w:trPr>
        <w:tc>
          <w:tcPr>
            <w:tcW w:w="1135" w:type="dxa"/>
            <w:vMerge/>
            <w:textDirection w:val="btLr"/>
            <w:vAlign w:val="center"/>
          </w:tcPr>
          <w:p w14:paraId="69677B0D" w14:textId="77777777" w:rsidR="0089207C" w:rsidRPr="00AC3044" w:rsidRDefault="0089207C" w:rsidP="002D3EBF">
            <w:pPr>
              <w:rPr>
                <w:rFonts w:eastAsia="SimSun"/>
              </w:rPr>
            </w:pPr>
          </w:p>
        </w:tc>
        <w:tc>
          <w:tcPr>
            <w:tcW w:w="1559" w:type="dxa"/>
            <w:vAlign w:val="center"/>
          </w:tcPr>
          <w:p w14:paraId="41E88620" w14:textId="77777777" w:rsidR="0089207C" w:rsidRPr="00AC3044" w:rsidRDefault="0089207C" w:rsidP="002D3EBF">
            <w:pPr>
              <w:rPr>
                <w:rFonts w:eastAsia="SimSun"/>
              </w:rPr>
            </w:pPr>
            <w:r w:rsidRPr="00AC3044">
              <w:rPr>
                <w:rFonts w:eastAsia="SimSun"/>
              </w:rPr>
              <w:t xml:space="preserve">Такролимус </w:t>
            </w:r>
          </w:p>
        </w:tc>
        <w:tc>
          <w:tcPr>
            <w:tcW w:w="1418" w:type="dxa"/>
            <w:vAlign w:val="center"/>
          </w:tcPr>
          <w:p w14:paraId="106E62C1" w14:textId="77777777" w:rsidR="0089207C" w:rsidRPr="00AC3044" w:rsidRDefault="0089207C" w:rsidP="002D3EBF">
            <w:pPr>
              <w:rPr>
                <w:rFonts w:eastAsia="SimSun"/>
              </w:rPr>
            </w:pPr>
            <w:r w:rsidRPr="00AC3044">
              <w:rPr>
                <w:rFonts w:eastAsia="SimSun"/>
              </w:rPr>
              <w:t>0,03 мг/кг</w:t>
            </w:r>
          </w:p>
        </w:tc>
        <w:tc>
          <w:tcPr>
            <w:tcW w:w="1559" w:type="dxa"/>
            <w:vAlign w:val="center"/>
          </w:tcPr>
          <w:p w14:paraId="75CF3384" w14:textId="77777777" w:rsidR="0089207C" w:rsidRPr="00AC3044" w:rsidRDefault="0089207C" w:rsidP="002D3EBF">
            <w:pPr>
              <w:rPr>
                <w:rFonts w:eastAsia="SimSun"/>
              </w:rPr>
            </w:pPr>
            <w:r w:rsidRPr="00AC3044">
              <w:rPr>
                <w:rFonts w:eastAsia="SimSun"/>
              </w:rPr>
              <w:t>–</w:t>
            </w:r>
          </w:p>
        </w:tc>
        <w:tc>
          <w:tcPr>
            <w:tcW w:w="1559" w:type="dxa"/>
            <w:vAlign w:val="center"/>
          </w:tcPr>
          <w:p w14:paraId="28F85201" w14:textId="77777777" w:rsidR="0089207C" w:rsidRPr="00AC3044" w:rsidRDefault="0089207C" w:rsidP="002D3EBF">
            <w:pPr>
              <w:rPr>
                <w:rFonts w:eastAsia="SimSun"/>
              </w:rPr>
            </w:pPr>
            <w:r w:rsidRPr="00AC3044">
              <w:rPr>
                <w:rFonts w:eastAsia="SimSun"/>
              </w:rPr>
              <w:t xml:space="preserve">С +5 дня длительно </w:t>
            </w:r>
          </w:p>
        </w:tc>
        <w:tc>
          <w:tcPr>
            <w:tcW w:w="2410" w:type="dxa"/>
            <w:vAlign w:val="center"/>
          </w:tcPr>
          <w:p w14:paraId="596EBE5D" w14:textId="77777777" w:rsidR="0089207C" w:rsidRPr="00AC3044" w:rsidRDefault="0089207C" w:rsidP="002D3EBF">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9207C" w:rsidRPr="00AC3044" w14:paraId="3614DB04" w14:textId="77777777" w:rsidTr="002D3EBF">
        <w:trPr>
          <w:cantSplit/>
          <w:trHeight w:val="508"/>
        </w:trPr>
        <w:tc>
          <w:tcPr>
            <w:tcW w:w="1135" w:type="dxa"/>
            <w:vMerge/>
            <w:textDirection w:val="btLr"/>
            <w:vAlign w:val="center"/>
          </w:tcPr>
          <w:p w14:paraId="2A7058FB" w14:textId="77777777" w:rsidR="0089207C" w:rsidRPr="00AC3044" w:rsidRDefault="0089207C" w:rsidP="002D3EBF">
            <w:pPr>
              <w:rPr>
                <w:rFonts w:eastAsia="SimSun"/>
              </w:rPr>
            </w:pPr>
          </w:p>
        </w:tc>
        <w:tc>
          <w:tcPr>
            <w:tcW w:w="1559" w:type="dxa"/>
            <w:vAlign w:val="center"/>
          </w:tcPr>
          <w:p w14:paraId="33124E94" w14:textId="77777777" w:rsidR="0089207C" w:rsidRPr="00AC3044" w:rsidRDefault="0089207C" w:rsidP="002D3EBF">
            <w:pPr>
              <w:rPr>
                <w:rFonts w:eastAsia="SimSun"/>
              </w:rPr>
            </w:pPr>
            <w:r w:rsidRPr="00AC3044">
              <w:rPr>
                <w:rFonts w:eastAsia="SimSun"/>
              </w:rPr>
              <w:t>Микофенолата мофетил</w:t>
            </w:r>
          </w:p>
        </w:tc>
        <w:tc>
          <w:tcPr>
            <w:tcW w:w="1418" w:type="dxa"/>
            <w:vAlign w:val="center"/>
          </w:tcPr>
          <w:p w14:paraId="605D62D9" w14:textId="77777777" w:rsidR="0089207C" w:rsidRPr="00AC3044" w:rsidRDefault="0089207C" w:rsidP="002D3EBF">
            <w:pPr>
              <w:rPr>
                <w:rFonts w:eastAsia="SimSun"/>
              </w:rPr>
            </w:pPr>
            <w:r w:rsidRPr="00AC3044">
              <w:rPr>
                <w:rFonts w:eastAsia="SimSun"/>
              </w:rPr>
              <w:t xml:space="preserve">45 мг/кг </w:t>
            </w:r>
          </w:p>
        </w:tc>
        <w:tc>
          <w:tcPr>
            <w:tcW w:w="1559" w:type="dxa"/>
            <w:vAlign w:val="center"/>
          </w:tcPr>
          <w:p w14:paraId="79A60BED" w14:textId="77777777" w:rsidR="0089207C" w:rsidRPr="00AC3044" w:rsidRDefault="0089207C" w:rsidP="002D3EBF">
            <w:pPr>
              <w:rPr>
                <w:rFonts w:eastAsia="SimSun"/>
              </w:rPr>
            </w:pPr>
            <w:r w:rsidRPr="00AC3044">
              <w:rPr>
                <w:rFonts w:eastAsia="SimSun"/>
              </w:rPr>
              <w:t>–</w:t>
            </w:r>
          </w:p>
        </w:tc>
        <w:tc>
          <w:tcPr>
            <w:tcW w:w="1559" w:type="dxa"/>
            <w:vAlign w:val="center"/>
          </w:tcPr>
          <w:p w14:paraId="72246EEB" w14:textId="77777777" w:rsidR="0089207C" w:rsidRPr="00AC3044" w:rsidRDefault="0089207C" w:rsidP="002D3EBF">
            <w:pPr>
              <w:rPr>
                <w:rFonts w:eastAsia="SimSun"/>
              </w:rPr>
            </w:pPr>
            <w:r w:rsidRPr="00AC3044">
              <w:rPr>
                <w:rFonts w:eastAsia="SimSun"/>
              </w:rPr>
              <w:t xml:space="preserve">С +5 дня по +35 день </w:t>
            </w:r>
          </w:p>
        </w:tc>
        <w:tc>
          <w:tcPr>
            <w:tcW w:w="2410" w:type="dxa"/>
            <w:vAlign w:val="center"/>
          </w:tcPr>
          <w:p w14:paraId="7AC015E5" w14:textId="77777777" w:rsidR="0089207C" w:rsidRPr="00AC3044" w:rsidRDefault="0089207C" w:rsidP="002D3EBF">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592306C9" w14:textId="77777777" w:rsidR="0089207C" w:rsidRDefault="0089207C" w:rsidP="0089207C">
      <w:pPr>
        <w:rPr>
          <w:rFonts w:eastAsia="SimSun"/>
        </w:rPr>
      </w:pPr>
      <w:bookmarkStart w:id="277" w:name="_Toc44401232"/>
    </w:p>
    <w:p w14:paraId="2FC84129" w14:textId="77777777" w:rsidR="0089207C" w:rsidRPr="00C07B2E" w:rsidRDefault="0089207C" w:rsidP="0089207C">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3.1.7  – Flu180+Bu10 / PT-Cy+Tx+MMF45</w:t>
      </w:r>
      <w:bookmarkEnd w:id="277"/>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89207C" w:rsidRPr="00AC3044" w14:paraId="1FFF40A2" w14:textId="77777777" w:rsidTr="002D3EBF">
        <w:trPr>
          <w:cantSplit/>
          <w:trHeight w:val="20"/>
          <w:tblHeader/>
        </w:trPr>
        <w:tc>
          <w:tcPr>
            <w:tcW w:w="1135" w:type="dxa"/>
            <w:vAlign w:val="center"/>
          </w:tcPr>
          <w:p w14:paraId="30788A34" w14:textId="77777777" w:rsidR="0089207C" w:rsidRPr="006A5E21" w:rsidRDefault="0089207C" w:rsidP="002D3EBF">
            <w:pPr>
              <w:rPr>
                <w:rFonts w:eastAsia="SimSun"/>
              </w:rPr>
            </w:pPr>
          </w:p>
        </w:tc>
        <w:tc>
          <w:tcPr>
            <w:tcW w:w="1559" w:type="dxa"/>
            <w:vAlign w:val="center"/>
          </w:tcPr>
          <w:p w14:paraId="1B5AAB3C" w14:textId="77777777" w:rsidR="0089207C" w:rsidRPr="00AC3044" w:rsidRDefault="0089207C" w:rsidP="002D3EBF">
            <w:pPr>
              <w:rPr>
                <w:rFonts w:eastAsia="SimSun"/>
              </w:rPr>
            </w:pPr>
            <w:r w:rsidRPr="00AC3044">
              <w:rPr>
                <w:rFonts w:eastAsia="SimSun"/>
              </w:rPr>
              <w:t>Препарат</w:t>
            </w:r>
          </w:p>
        </w:tc>
        <w:tc>
          <w:tcPr>
            <w:tcW w:w="1418" w:type="dxa"/>
            <w:vAlign w:val="center"/>
          </w:tcPr>
          <w:p w14:paraId="0067D512" w14:textId="77777777" w:rsidR="0089207C" w:rsidRPr="00AC3044" w:rsidRDefault="0089207C" w:rsidP="002D3EBF">
            <w:pPr>
              <w:rPr>
                <w:rFonts w:eastAsia="SimSun"/>
              </w:rPr>
            </w:pPr>
            <w:r w:rsidRPr="00AC3044">
              <w:rPr>
                <w:rFonts w:eastAsia="SimSun"/>
              </w:rPr>
              <w:t>Суточная доза</w:t>
            </w:r>
          </w:p>
        </w:tc>
        <w:tc>
          <w:tcPr>
            <w:tcW w:w="1559" w:type="dxa"/>
            <w:vAlign w:val="center"/>
          </w:tcPr>
          <w:p w14:paraId="2A65D6D4" w14:textId="77777777" w:rsidR="0089207C" w:rsidRPr="00AC3044" w:rsidRDefault="0089207C" w:rsidP="002D3EBF">
            <w:pPr>
              <w:rPr>
                <w:rFonts w:eastAsia="SimSun"/>
              </w:rPr>
            </w:pPr>
            <w:r w:rsidRPr="00AC3044">
              <w:rPr>
                <w:rFonts w:eastAsia="SimSun"/>
              </w:rPr>
              <w:t>Курсовая доза</w:t>
            </w:r>
          </w:p>
        </w:tc>
        <w:tc>
          <w:tcPr>
            <w:tcW w:w="1559" w:type="dxa"/>
            <w:vAlign w:val="center"/>
          </w:tcPr>
          <w:p w14:paraId="1FEF3AD7" w14:textId="77777777" w:rsidR="0089207C" w:rsidRPr="00AC3044" w:rsidRDefault="0089207C" w:rsidP="002D3EBF">
            <w:pPr>
              <w:rPr>
                <w:rFonts w:eastAsia="SimSun"/>
              </w:rPr>
            </w:pPr>
            <w:r w:rsidRPr="00AC3044">
              <w:rPr>
                <w:rFonts w:eastAsia="SimSun"/>
              </w:rPr>
              <w:t>Дни введения</w:t>
            </w:r>
          </w:p>
        </w:tc>
        <w:tc>
          <w:tcPr>
            <w:tcW w:w="2410" w:type="dxa"/>
            <w:vAlign w:val="center"/>
          </w:tcPr>
          <w:p w14:paraId="37B11855"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7962A91A" w14:textId="77777777" w:rsidTr="002D3EBF">
        <w:trPr>
          <w:cantSplit/>
          <w:trHeight w:val="20"/>
        </w:trPr>
        <w:tc>
          <w:tcPr>
            <w:tcW w:w="1135" w:type="dxa"/>
            <w:vMerge w:val="restart"/>
            <w:textDirection w:val="btLr"/>
            <w:vAlign w:val="center"/>
          </w:tcPr>
          <w:p w14:paraId="1E5F52D5" w14:textId="77777777" w:rsidR="0089207C" w:rsidRPr="00AC3044" w:rsidRDefault="0089207C" w:rsidP="002D3EBF">
            <w:pPr>
              <w:rPr>
                <w:rFonts w:eastAsia="SimSun"/>
              </w:rPr>
            </w:pPr>
            <w:r w:rsidRPr="00AC3044">
              <w:rPr>
                <w:rFonts w:eastAsia="SimSun"/>
              </w:rPr>
              <w:t>Кондиционирование</w:t>
            </w:r>
          </w:p>
        </w:tc>
        <w:tc>
          <w:tcPr>
            <w:tcW w:w="1559" w:type="dxa"/>
            <w:vAlign w:val="center"/>
          </w:tcPr>
          <w:p w14:paraId="49F96FE6" w14:textId="77777777" w:rsidR="0089207C" w:rsidRPr="00AC3044" w:rsidRDefault="0089207C" w:rsidP="002D3EBF">
            <w:pPr>
              <w:rPr>
                <w:rFonts w:eastAsia="SimSun"/>
              </w:rPr>
            </w:pPr>
            <w:r w:rsidRPr="00AC3044">
              <w:rPr>
                <w:rFonts w:eastAsia="SimSun"/>
              </w:rPr>
              <w:t xml:space="preserve">Флударабин </w:t>
            </w:r>
          </w:p>
        </w:tc>
        <w:tc>
          <w:tcPr>
            <w:tcW w:w="1418" w:type="dxa"/>
            <w:vAlign w:val="center"/>
          </w:tcPr>
          <w:p w14:paraId="01469F14" w14:textId="77777777" w:rsidR="0089207C" w:rsidRPr="00AC3044" w:rsidRDefault="0089207C" w:rsidP="002D3EBF">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0D51718C" w14:textId="77777777" w:rsidR="0089207C" w:rsidRPr="00AC3044" w:rsidRDefault="0089207C" w:rsidP="002D3EBF">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087DD2F1" w14:textId="77777777" w:rsidR="0089207C" w:rsidRPr="00AC3044" w:rsidRDefault="0089207C" w:rsidP="002D3EBF">
            <w:pPr>
              <w:rPr>
                <w:rFonts w:eastAsia="SimSun"/>
              </w:rPr>
            </w:pPr>
            <w:r w:rsidRPr="00AC3044">
              <w:rPr>
                <w:rFonts w:eastAsia="SimSun"/>
              </w:rPr>
              <w:t>С -7 дня по -2 день</w:t>
            </w:r>
          </w:p>
        </w:tc>
        <w:tc>
          <w:tcPr>
            <w:tcW w:w="2410" w:type="dxa"/>
            <w:vAlign w:val="center"/>
          </w:tcPr>
          <w:p w14:paraId="5E1226AD"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2B8DE163" w14:textId="77777777" w:rsidTr="002D3EBF">
        <w:trPr>
          <w:cantSplit/>
          <w:trHeight w:val="390"/>
        </w:trPr>
        <w:tc>
          <w:tcPr>
            <w:tcW w:w="1135" w:type="dxa"/>
            <w:vMerge/>
            <w:vAlign w:val="center"/>
          </w:tcPr>
          <w:p w14:paraId="58FE4254" w14:textId="77777777" w:rsidR="0089207C" w:rsidRPr="00AC3044" w:rsidRDefault="0089207C" w:rsidP="002D3EBF">
            <w:pPr>
              <w:rPr>
                <w:rFonts w:eastAsia="SimSun"/>
              </w:rPr>
            </w:pPr>
          </w:p>
        </w:tc>
        <w:tc>
          <w:tcPr>
            <w:tcW w:w="1559" w:type="dxa"/>
            <w:vAlign w:val="center"/>
          </w:tcPr>
          <w:p w14:paraId="2D438255" w14:textId="77777777" w:rsidR="0089207C" w:rsidRPr="00AC3044" w:rsidRDefault="0089207C" w:rsidP="002D3EBF">
            <w:pPr>
              <w:rPr>
                <w:rFonts w:eastAsia="SimSun"/>
              </w:rPr>
            </w:pPr>
            <w:r w:rsidRPr="00AC3044">
              <w:rPr>
                <w:rFonts w:eastAsia="SimSun"/>
              </w:rPr>
              <w:t>Бусульфан</w:t>
            </w:r>
          </w:p>
        </w:tc>
        <w:tc>
          <w:tcPr>
            <w:tcW w:w="1418" w:type="dxa"/>
            <w:vAlign w:val="center"/>
          </w:tcPr>
          <w:p w14:paraId="11EBCD59" w14:textId="77777777" w:rsidR="0089207C" w:rsidRPr="00AC3044" w:rsidRDefault="0089207C" w:rsidP="002D3EBF">
            <w:pPr>
              <w:rPr>
                <w:rFonts w:eastAsia="SimSun"/>
              </w:rPr>
            </w:pPr>
            <w:r w:rsidRPr="00AC3044">
              <w:rPr>
                <w:rFonts w:eastAsia="SimSun"/>
              </w:rPr>
              <w:t xml:space="preserve">4 мг/кг </w:t>
            </w:r>
          </w:p>
        </w:tc>
        <w:tc>
          <w:tcPr>
            <w:tcW w:w="1559" w:type="dxa"/>
            <w:vAlign w:val="center"/>
          </w:tcPr>
          <w:p w14:paraId="1E319A56" w14:textId="77777777" w:rsidR="0089207C" w:rsidRPr="00AC3044" w:rsidRDefault="0089207C" w:rsidP="002D3EBF">
            <w:pPr>
              <w:rPr>
                <w:rFonts w:eastAsia="SimSun"/>
              </w:rPr>
            </w:pPr>
            <w:r w:rsidRPr="00AC3044">
              <w:rPr>
                <w:rFonts w:eastAsia="SimSun"/>
              </w:rPr>
              <w:t xml:space="preserve">10 мг/кг </w:t>
            </w:r>
          </w:p>
        </w:tc>
        <w:tc>
          <w:tcPr>
            <w:tcW w:w="1559" w:type="dxa"/>
            <w:vAlign w:val="center"/>
          </w:tcPr>
          <w:p w14:paraId="6FFAA843" w14:textId="77777777" w:rsidR="0089207C" w:rsidRPr="00AC3044" w:rsidRDefault="0089207C" w:rsidP="002D3EBF">
            <w:pPr>
              <w:rPr>
                <w:rFonts w:eastAsia="SimSun"/>
              </w:rPr>
            </w:pPr>
            <w:r w:rsidRPr="00AC3044">
              <w:rPr>
                <w:rFonts w:eastAsia="SimSun"/>
              </w:rPr>
              <w:t>С -5 дня по -3 день</w:t>
            </w:r>
          </w:p>
        </w:tc>
        <w:tc>
          <w:tcPr>
            <w:tcW w:w="2410" w:type="dxa"/>
            <w:vAlign w:val="center"/>
          </w:tcPr>
          <w:p w14:paraId="7E15F611"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w:t>
            </w:r>
          </w:p>
        </w:tc>
      </w:tr>
      <w:tr w:rsidR="0089207C" w:rsidRPr="00AC3044" w14:paraId="4A65B67C" w14:textId="77777777" w:rsidTr="002D3EBF">
        <w:trPr>
          <w:cantSplit/>
          <w:trHeight w:val="1498"/>
        </w:trPr>
        <w:tc>
          <w:tcPr>
            <w:tcW w:w="1135" w:type="dxa"/>
            <w:vMerge w:val="restart"/>
            <w:textDirection w:val="btLr"/>
            <w:vAlign w:val="center"/>
          </w:tcPr>
          <w:p w14:paraId="7D0C6C80" w14:textId="77777777" w:rsidR="0089207C" w:rsidRPr="00AC3044" w:rsidRDefault="0089207C" w:rsidP="002D3EBF">
            <w:pPr>
              <w:rPr>
                <w:rFonts w:eastAsia="SimSun"/>
              </w:rPr>
            </w:pPr>
            <w:r w:rsidRPr="00AC3044">
              <w:rPr>
                <w:rFonts w:eastAsia="SimSun"/>
              </w:rPr>
              <w:t>Профилактика РТПХ</w:t>
            </w:r>
          </w:p>
        </w:tc>
        <w:tc>
          <w:tcPr>
            <w:tcW w:w="1559" w:type="dxa"/>
            <w:vAlign w:val="center"/>
          </w:tcPr>
          <w:p w14:paraId="60AB6D06" w14:textId="77777777" w:rsidR="0089207C" w:rsidRPr="00AC3044" w:rsidRDefault="0089207C" w:rsidP="002D3EBF">
            <w:pPr>
              <w:rPr>
                <w:rFonts w:eastAsia="SimSun"/>
              </w:rPr>
            </w:pPr>
            <w:r w:rsidRPr="00AC3044">
              <w:rPr>
                <w:rFonts w:eastAsia="SimSun"/>
              </w:rPr>
              <w:t>Циклофосфамид</w:t>
            </w:r>
          </w:p>
        </w:tc>
        <w:tc>
          <w:tcPr>
            <w:tcW w:w="1418" w:type="dxa"/>
            <w:vAlign w:val="center"/>
          </w:tcPr>
          <w:p w14:paraId="2B826934" w14:textId="77777777" w:rsidR="0089207C" w:rsidRPr="00AC3044" w:rsidRDefault="0089207C" w:rsidP="002D3EBF">
            <w:pPr>
              <w:rPr>
                <w:rFonts w:eastAsia="SimSun"/>
              </w:rPr>
            </w:pPr>
            <w:r w:rsidRPr="00AC3044">
              <w:rPr>
                <w:rFonts w:eastAsia="SimSun"/>
              </w:rPr>
              <w:t>50 мг/кг</w:t>
            </w:r>
          </w:p>
        </w:tc>
        <w:tc>
          <w:tcPr>
            <w:tcW w:w="1559" w:type="dxa"/>
            <w:vAlign w:val="center"/>
          </w:tcPr>
          <w:p w14:paraId="450ACA8E" w14:textId="77777777" w:rsidR="0089207C" w:rsidRPr="00AC3044" w:rsidRDefault="0089207C" w:rsidP="002D3EBF">
            <w:pPr>
              <w:rPr>
                <w:rFonts w:eastAsia="SimSun"/>
              </w:rPr>
            </w:pPr>
            <w:r w:rsidRPr="00AC3044">
              <w:rPr>
                <w:rFonts w:eastAsia="SimSun"/>
              </w:rPr>
              <w:t>100 мг/кг</w:t>
            </w:r>
          </w:p>
        </w:tc>
        <w:tc>
          <w:tcPr>
            <w:tcW w:w="1559" w:type="dxa"/>
            <w:vAlign w:val="center"/>
          </w:tcPr>
          <w:p w14:paraId="4A097B2F" w14:textId="77777777" w:rsidR="0089207C" w:rsidRPr="00AC3044" w:rsidRDefault="0089207C" w:rsidP="002D3EBF">
            <w:pPr>
              <w:rPr>
                <w:rFonts w:eastAsia="SimSun"/>
              </w:rPr>
            </w:pPr>
            <w:r w:rsidRPr="00AC3044">
              <w:rPr>
                <w:rFonts w:eastAsia="SimSun"/>
              </w:rPr>
              <w:t>С +3 дня по +4 день</w:t>
            </w:r>
          </w:p>
        </w:tc>
        <w:tc>
          <w:tcPr>
            <w:tcW w:w="2410" w:type="dxa"/>
            <w:vAlign w:val="center"/>
          </w:tcPr>
          <w:p w14:paraId="68C78C7E"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0EC95C9B" w14:textId="77777777" w:rsidTr="002D3EBF">
        <w:trPr>
          <w:cantSplit/>
          <w:trHeight w:val="1598"/>
        </w:trPr>
        <w:tc>
          <w:tcPr>
            <w:tcW w:w="1135" w:type="dxa"/>
            <w:vMerge/>
            <w:textDirection w:val="btLr"/>
            <w:vAlign w:val="center"/>
          </w:tcPr>
          <w:p w14:paraId="3B167E6D" w14:textId="77777777" w:rsidR="0089207C" w:rsidRPr="00AC3044" w:rsidRDefault="0089207C" w:rsidP="002D3EBF">
            <w:pPr>
              <w:rPr>
                <w:rFonts w:eastAsia="SimSun"/>
              </w:rPr>
            </w:pPr>
          </w:p>
        </w:tc>
        <w:tc>
          <w:tcPr>
            <w:tcW w:w="1559" w:type="dxa"/>
            <w:vAlign w:val="center"/>
          </w:tcPr>
          <w:p w14:paraId="68FCEB18" w14:textId="77777777" w:rsidR="0089207C" w:rsidRPr="00AC3044" w:rsidRDefault="0089207C" w:rsidP="002D3EBF">
            <w:pPr>
              <w:rPr>
                <w:rFonts w:eastAsia="SimSun"/>
              </w:rPr>
            </w:pPr>
            <w:r w:rsidRPr="00AC3044">
              <w:rPr>
                <w:rFonts w:eastAsia="SimSun"/>
              </w:rPr>
              <w:t xml:space="preserve">Такролимус </w:t>
            </w:r>
          </w:p>
        </w:tc>
        <w:tc>
          <w:tcPr>
            <w:tcW w:w="1418" w:type="dxa"/>
            <w:vAlign w:val="center"/>
          </w:tcPr>
          <w:p w14:paraId="49D3ED35" w14:textId="77777777" w:rsidR="0089207C" w:rsidRPr="00AC3044" w:rsidRDefault="0089207C" w:rsidP="002D3EBF">
            <w:pPr>
              <w:rPr>
                <w:rFonts w:eastAsia="SimSun"/>
              </w:rPr>
            </w:pPr>
            <w:r w:rsidRPr="00AC3044">
              <w:rPr>
                <w:rFonts w:eastAsia="SimSun"/>
              </w:rPr>
              <w:t>0,03 мг/кг</w:t>
            </w:r>
          </w:p>
        </w:tc>
        <w:tc>
          <w:tcPr>
            <w:tcW w:w="1559" w:type="dxa"/>
            <w:vAlign w:val="center"/>
          </w:tcPr>
          <w:p w14:paraId="623FDCE6" w14:textId="77777777" w:rsidR="0089207C" w:rsidRPr="00AC3044" w:rsidRDefault="0089207C" w:rsidP="002D3EBF">
            <w:pPr>
              <w:rPr>
                <w:rFonts w:eastAsia="SimSun"/>
              </w:rPr>
            </w:pPr>
            <w:r w:rsidRPr="00AC3044">
              <w:rPr>
                <w:rFonts w:eastAsia="SimSun"/>
              </w:rPr>
              <w:t>–</w:t>
            </w:r>
          </w:p>
        </w:tc>
        <w:tc>
          <w:tcPr>
            <w:tcW w:w="1559" w:type="dxa"/>
            <w:vAlign w:val="center"/>
          </w:tcPr>
          <w:p w14:paraId="470A4ACE" w14:textId="77777777" w:rsidR="0089207C" w:rsidRPr="00AC3044" w:rsidRDefault="0089207C" w:rsidP="002D3EBF">
            <w:pPr>
              <w:rPr>
                <w:rFonts w:eastAsia="SimSun"/>
              </w:rPr>
            </w:pPr>
            <w:r w:rsidRPr="00AC3044">
              <w:rPr>
                <w:rFonts w:eastAsia="SimSun"/>
              </w:rPr>
              <w:t xml:space="preserve">С +5 дня длительно </w:t>
            </w:r>
          </w:p>
        </w:tc>
        <w:tc>
          <w:tcPr>
            <w:tcW w:w="2410" w:type="dxa"/>
            <w:vAlign w:val="center"/>
          </w:tcPr>
          <w:p w14:paraId="70E4A636" w14:textId="77777777" w:rsidR="0089207C" w:rsidRPr="00AC3044" w:rsidRDefault="0089207C" w:rsidP="002D3EBF">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9207C" w:rsidRPr="00AC3044" w14:paraId="31594018" w14:textId="77777777" w:rsidTr="002D3EBF">
        <w:trPr>
          <w:cantSplit/>
          <w:trHeight w:val="434"/>
        </w:trPr>
        <w:tc>
          <w:tcPr>
            <w:tcW w:w="1135" w:type="dxa"/>
            <w:vMerge/>
            <w:textDirection w:val="btLr"/>
            <w:vAlign w:val="center"/>
          </w:tcPr>
          <w:p w14:paraId="5DF26ADE" w14:textId="77777777" w:rsidR="0089207C" w:rsidRPr="00AC3044" w:rsidRDefault="0089207C" w:rsidP="002D3EBF">
            <w:pPr>
              <w:rPr>
                <w:rFonts w:eastAsia="SimSun"/>
              </w:rPr>
            </w:pPr>
          </w:p>
        </w:tc>
        <w:tc>
          <w:tcPr>
            <w:tcW w:w="1559" w:type="dxa"/>
            <w:vAlign w:val="center"/>
          </w:tcPr>
          <w:p w14:paraId="37FAA835" w14:textId="77777777" w:rsidR="0089207C" w:rsidRPr="00AC3044" w:rsidRDefault="0089207C" w:rsidP="002D3EBF">
            <w:pPr>
              <w:rPr>
                <w:rFonts w:eastAsia="SimSun"/>
              </w:rPr>
            </w:pPr>
            <w:r w:rsidRPr="00AC3044">
              <w:rPr>
                <w:rFonts w:eastAsia="SimSun"/>
              </w:rPr>
              <w:t>Микофенолата мофетил</w:t>
            </w:r>
          </w:p>
        </w:tc>
        <w:tc>
          <w:tcPr>
            <w:tcW w:w="1418" w:type="dxa"/>
            <w:vAlign w:val="center"/>
          </w:tcPr>
          <w:p w14:paraId="2613BFC3" w14:textId="77777777" w:rsidR="0089207C" w:rsidRPr="00AC3044" w:rsidRDefault="0089207C" w:rsidP="002D3EBF">
            <w:pPr>
              <w:rPr>
                <w:rFonts w:eastAsia="SimSun"/>
              </w:rPr>
            </w:pPr>
            <w:r w:rsidRPr="00AC3044">
              <w:rPr>
                <w:rFonts w:eastAsia="SimSun"/>
              </w:rPr>
              <w:t xml:space="preserve">45 мг/кг </w:t>
            </w:r>
          </w:p>
        </w:tc>
        <w:tc>
          <w:tcPr>
            <w:tcW w:w="1559" w:type="dxa"/>
            <w:vAlign w:val="center"/>
          </w:tcPr>
          <w:p w14:paraId="5EB072C1" w14:textId="77777777" w:rsidR="0089207C" w:rsidRPr="00AC3044" w:rsidRDefault="0089207C" w:rsidP="002D3EBF">
            <w:pPr>
              <w:rPr>
                <w:rFonts w:eastAsia="SimSun"/>
              </w:rPr>
            </w:pPr>
            <w:r w:rsidRPr="00AC3044">
              <w:rPr>
                <w:rFonts w:eastAsia="SimSun"/>
              </w:rPr>
              <w:t>–</w:t>
            </w:r>
          </w:p>
        </w:tc>
        <w:tc>
          <w:tcPr>
            <w:tcW w:w="1559" w:type="dxa"/>
            <w:vAlign w:val="center"/>
          </w:tcPr>
          <w:p w14:paraId="322F4AED" w14:textId="77777777" w:rsidR="0089207C" w:rsidRPr="00AC3044" w:rsidRDefault="0089207C" w:rsidP="002D3EBF">
            <w:pPr>
              <w:rPr>
                <w:rFonts w:eastAsia="SimSun"/>
              </w:rPr>
            </w:pPr>
            <w:r w:rsidRPr="00AC3044">
              <w:rPr>
                <w:rFonts w:eastAsia="SimSun"/>
              </w:rPr>
              <w:t xml:space="preserve">С +5 дня по +35 день </w:t>
            </w:r>
          </w:p>
        </w:tc>
        <w:tc>
          <w:tcPr>
            <w:tcW w:w="2410" w:type="dxa"/>
            <w:vAlign w:val="center"/>
          </w:tcPr>
          <w:p w14:paraId="5B5A46C1" w14:textId="77777777" w:rsidR="0089207C" w:rsidRPr="00AC3044" w:rsidRDefault="0089207C" w:rsidP="002D3EBF">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47FC945D" w14:textId="77777777" w:rsidR="0089207C" w:rsidRDefault="0089207C" w:rsidP="0089207C">
      <w:pPr>
        <w:rPr>
          <w:rFonts w:eastAsia="SimSun"/>
        </w:rPr>
      </w:pPr>
      <w:bookmarkStart w:id="278" w:name="_Toc44401233"/>
    </w:p>
    <w:p w14:paraId="3FD47DBD" w14:textId="77777777" w:rsidR="0089207C" w:rsidRPr="00C07B2E" w:rsidRDefault="0089207C" w:rsidP="0089207C">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3.1.8  – Flu180+Bu12 / PT-Cy+Tx+MMF45</w:t>
      </w:r>
      <w:bookmarkEnd w:id="278"/>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89207C" w:rsidRPr="00AC3044" w14:paraId="7518F7E8" w14:textId="77777777" w:rsidTr="002D3EBF">
        <w:trPr>
          <w:cantSplit/>
          <w:trHeight w:val="20"/>
          <w:tblHeader/>
        </w:trPr>
        <w:tc>
          <w:tcPr>
            <w:tcW w:w="1135" w:type="dxa"/>
            <w:vAlign w:val="center"/>
          </w:tcPr>
          <w:p w14:paraId="55E8A037" w14:textId="77777777" w:rsidR="0089207C" w:rsidRPr="006A5E21" w:rsidRDefault="0089207C" w:rsidP="002D3EBF">
            <w:pPr>
              <w:rPr>
                <w:rFonts w:eastAsia="SimSun"/>
              </w:rPr>
            </w:pPr>
          </w:p>
        </w:tc>
        <w:tc>
          <w:tcPr>
            <w:tcW w:w="1559" w:type="dxa"/>
            <w:vAlign w:val="center"/>
          </w:tcPr>
          <w:p w14:paraId="58572EAD" w14:textId="77777777" w:rsidR="0089207C" w:rsidRPr="00AC3044" w:rsidRDefault="0089207C" w:rsidP="002D3EBF">
            <w:pPr>
              <w:rPr>
                <w:rFonts w:eastAsia="SimSun"/>
              </w:rPr>
            </w:pPr>
            <w:r w:rsidRPr="00AC3044">
              <w:rPr>
                <w:rFonts w:eastAsia="SimSun"/>
              </w:rPr>
              <w:t>Препарат</w:t>
            </w:r>
          </w:p>
        </w:tc>
        <w:tc>
          <w:tcPr>
            <w:tcW w:w="1418" w:type="dxa"/>
            <w:vAlign w:val="center"/>
          </w:tcPr>
          <w:p w14:paraId="23A694BE" w14:textId="77777777" w:rsidR="0089207C" w:rsidRPr="00AC3044" w:rsidRDefault="0089207C" w:rsidP="002D3EBF">
            <w:pPr>
              <w:rPr>
                <w:rFonts w:eastAsia="SimSun"/>
              </w:rPr>
            </w:pPr>
            <w:r w:rsidRPr="00AC3044">
              <w:rPr>
                <w:rFonts w:eastAsia="SimSun"/>
              </w:rPr>
              <w:t>Суточная доза</w:t>
            </w:r>
          </w:p>
        </w:tc>
        <w:tc>
          <w:tcPr>
            <w:tcW w:w="1559" w:type="dxa"/>
            <w:vAlign w:val="center"/>
          </w:tcPr>
          <w:p w14:paraId="48A4F418" w14:textId="77777777" w:rsidR="0089207C" w:rsidRPr="00AC3044" w:rsidRDefault="0089207C" w:rsidP="002D3EBF">
            <w:pPr>
              <w:rPr>
                <w:rFonts w:eastAsia="SimSun"/>
              </w:rPr>
            </w:pPr>
            <w:r w:rsidRPr="00AC3044">
              <w:rPr>
                <w:rFonts w:eastAsia="SimSun"/>
              </w:rPr>
              <w:t>Курсовая доза</w:t>
            </w:r>
          </w:p>
        </w:tc>
        <w:tc>
          <w:tcPr>
            <w:tcW w:w="1559" w:type="dxa"/>
            <w:vAlign w:val="center"/>
          </w:tcPr>
          <w:p w14:paraId="7B3529F6" w14:textId="77777777" w:rsidR="0089207C" w:rsidRPr="00AC3044" w:rsidRDefault="0089207C" w:rsidP="002D3EBF">
            <w:pPr>
              <w:rPr>
                <w:rFonts w:eastAsia="SimSun"/>
              </w:rPr>
            </w:pPr>
            <w:r w:rsidRPr="00AC3044">
              <w:rPr>
                <w:rFonts w:eastAsia="SimSun"/>
              </w:rPr>
              <w:t>Дни введения</w:t>
            </w:r>
          </w:p>
        </w:tc>
        <w:tc>
          <w:tcPr>
            <w:tcW w:w="2410" w:type="dxa"/>
            <w:vAlign w:val="center"/>
          </w:tcPr>
          <w:p w14:paraId="4197BC20"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2943CC8E" w14:textId="77777777" w:rsidTr="002D3EBF">
        <w:trPr>
          <w:cantSplit/>
          <w:trHeight w:val="20"/>
        </w:trPr>
        <w:tc>
          <w:tcPr>
            <w:tcW w:w="1135" w:type="dxa"/>
            <w:vMerge w:val="restart"/>
            <w:textDirection w:val="btLr"/>
            <w:vAlign w:val="center"/>
          </w:tcPr>
          <w:p w14:paraId="59EB68C7" w14:textId="77777777" w:rsidR="0089207C" w:rsidRPr="00AC3044" w:rsidRDefault="0089207C" w:rsidP="002D3EBF">
            <w:pPr>
              <w:rPr>
                <w:rFonts w:eastAsia="SimSun"/>
              </w:rPr>
            </w:pPr>
            <w:r w:rsidRPr="00AC3044">
              <w:rPr>
                <w:rFonts w:eastAsia="SimSun"/>
              </w:rPr>
              <w:t>Кондиционирование</w:t>
            </w:r>
          </w:p>
        </w:tc>
        <w:tc>
          <w:tcPr>
            <w:tcW w:w="1559" w:type="dxa"/>
            <w:vAlign w:val="center"/>
          </w:tcPr>
          <w:p w14:paraId="371F90E8" w14:textId="77777777" w:rsidR="0089207C" w:rsidRPr="00AC3044" w:rsidRDefault="0089207C" w:rsidP="002D3EBF">
            <w:pPr>
              <w:rPr>
                <w:rFonts w:eastAsia="SimSun"/>
              </w:rPr>
            </w:pPr>
            <w:r w:rsidRPr="00AC3044">
              <w:rPr>
                <w:rFonts w:eastAsia="SimSun"/>
              </w:rPr>
              <w:t xml:space="preserve">Флударабин </w:t>
            </w:r>
          </w:p>
        </w:tc>
        <w:tc>
          <w:tcPr>
            <w:tcW w:w="1418" w:type="dxa"/>
            <w:vAlign w:val="center"/>
          </w:tcPr>
          <w:p w14:paraId="5106DC5D" w14:textId="77777777" w:rsidR="0089207C" w:rsidRPr="00AC3044" w:rsidRDefault="0089207C" w:rsidP="002D3EBF">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0F40AB96" w14:textId="77777777" w:rsidR="0089207C" w:rsidRPr="00AC3044" w:rsidRDefault="0089207C" w:rsidP="002D3EBF">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3F035E20" w14:textId="77777777" w:rsidR="0089207C" w:rsidRPr="00AC3044" w:rsidRDefault="0089207C" w:rsidP="002D3EBF">
            <w:pPr>
              <w:rPr>
                <w:rFonts w:eastAsia="SimSun"/>
              </w:rPr>
            </w:pPr>
            <w:r w:rsidRPr="00AC3044">
              <w:rPr>
                <w:rFonts w:eastAsia="SimSun"/>
              </w:rPr>
              <w:t>С -7 дня по -2 день</w:t>
            </w:r>
          </w:p>
        </w:tc>
        <w:tc>
          <w:tcPr>
            <w:tcW w:w="2410" w:type="dxa"/>
            <w:vAlign w:val="center"/>
          </w:tcPr>
          <w:p w14:paraId="7F3EDA25"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32DD9319" w14:textId="77777777" w:rsidTr="002D3EBF">
        <w:trPr>
          <w:cantSplit/>
          <w:trHeight w:val="1207"/>
        </w:trPr>
        <w:tc>
          <w:tcPr>
            <w:tcW w:w="1135" w:type="dxa"/>
            <w:vMerge/>
            <w:vAlign w:val="center"/>
          </w:tcPr>
          <w:p w14:paraId="290B3B07" w14:textId="77777777" w:rsidR="0089207C" w:rsidRPr="00AC3044" w:rsidRDefault="0089207C" w:rsidP="002D3EBF">
            <w:pPr>
              <w:rPr>
                <w:rFonts w:eastAsia="SimSun"/>
              </w:rPr>
            </w:pPr>
          </w:p>
        </w:tc>
        <w:tc>
          <w:tcPr>
            <w:tcW w:w="1559" w:type="dxa"/>
            <w:vAlign w:val="center"/>
          </w:tcPr>
          <w:p w14:paraId="2EE45469" w14:textId="77777777" w:rsidR="0089207C" w:rsidRPr="00AC3044" w:rsidRDefault="0089207C" w:rsidP="002D3EBF">
            <w:pPr>
              <w:rPr>
                <w:rFonts w:eastAsia="SimSun"/>
              </w:rPr>
            </w:pPr>
            <w:r w:rsidRPr="00AC3044">
              <w:rPr>
                <w:rFonts w:eastAsia="SimSun"/>
              </w:rPr>
              <w:t>Бусульфан</w:t>
            </w:r>
          </w:p>
        </w:tc>
        <w:tc>
          <w:tcPr>
            <w:tcW w:w="1418" w:type="dxa"/>
            <w:vAlign w:val="center"/>
          </w:tcPr>
          <w:p w14:paraId="088703F5" w14:textId="77777777" w:rsidR="0089207C" w:rsidRPr="00AC3044" w:rsidRDefault="0089207C" w:rsidP="002D3EBF">
            <w:pPr>
              <w:rPr>
                <w:rFonts w:eastAsia="SimSun"/>
              </w:rPr>
            </w:pPr>
            <w:r w:rsidRPr="00AC3044">
              <w:rPr>
                <w:rFonts w:eastAsia="SimSun"/>
              </w:rPr>
              <w:t xml:space="preserve">4 мг/кг </w:t>
            </w:r>
          </w:p>
        </w:tc>
        <w:tc>
          <w:tcPr>
            <w:tcW w:w="1559" w:type="dxa"/>
            <w:vAlign w:val="center"/>
          </w:tcPr>
          <w:p w14:paraId="3EAF903E" w14:textId="77777777" w:rsidR="0089207C" w:rsidRPr="00AC3044" w:rsidRDefault="0089207C" w:rsidP="002D3EBF">
            <w:pPr>
              <w:rPr>
                <w:rFonts w:eastAsia="SimSun"/>
              </w:rPr>
            </w:pPr>
            <w:r w:rsidRPr="00AC3044">
              <w:rPr>
                <w:rFonts w:eastAsia="SimSun"/>
              </w:rPr>
              <w:t xml:space="preserve">12 мг/кг </w:t>
            </w:r>
          </w:p>
        </w:tc>
        <w:tc>
          <w:tcPr>
            <w:tcW w:w="1559" w:type="dxa"/>
            <w:vAlign w:val="center"/>
          </w:tcPr>
          <w:p w14:paraId="703D63E0" w14:textId="77777777" w:rsidR="0089207C" w:rsidRPr="00AC3044" w:rsidRDefault="0089207C" w:rsidP="002D3EBF">
            <w:pPr>
              <w:rPr>
                <w:rFonts w:eastAsia="SimSun"/>
              </w:rPr>
            </w:pPr>
            <w:r w:rsidRPr="00AC3044">
              <w:rPr>
                <w:rFonts w:eastAsia="SimSun"/>
              </w:rPr>
              <w:t>С -5 дня по -3 день</w:t>
            </w:r>
          </w:p>
        </w:tc>
        <w:tc>
          <w:tcPr>
            <w:tcW w:w="2410" w:type="dxa"/>
            <w:vAlign w:val="center"/>
          </w:tcPr>
          <w:p w14:paraId="7E2D81E8"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w:t>
            </w:r>
          </w:p>
        </w:tc>
      </w:tr>
      <w:tr w:rsidR="0089207C" w:rsidRPr="00AC3044" w14:paraId="418B4E1B" w14:textId="77777777" w:rsidTr="002D3EBF">
        <w:trPr>
          <w:cantSplit/>
          <w:trHeight w:val="660"/>
        </w:trPr>
        <w:tc>
          <w:tcPr>
            <w:tcW w:w="1135" w:type="dxa"/>
            <w:vMerge w:val="restart"/>
            <w:textDirection w:val="btLr"/>
            <w:vAlign w:val="center"/>
          </w:tcPr>
          <w:p w14:paraId="7960FC9F" w14:textId="77777777" w:rsidR="0089207C" w:rsidRPr="00AC3044" w:rsidRDefault="0089207C" w:rsidP="002D3EBF">
            <w:pPr>
              <w:rPr>
                <w:rFonts w:eastAsia="SimSun"/>
              </w:rPr>
            </w:pPr>
            <w:r w:rsidRPr="00AC3044">
              <w:rPr>
                <w:rFonts w:eastAsia="SimSun"/>
              </w:rPr>
              <w:t>Профилактика РТПХ</w:t>
            </w:r>
          </w:p>
        </w:tc>
        <w:tc>
          <w:tcPr>
            <w:tcW w:w="1559" w:type="dxa"/>
            <w:vAlign w:val="center"/>
          </w:tcPr>
          <w:p w14:paraId="18C85819" w14:textId="77777777" w:rsidR="0089207C" w:rsidRPr="00AC3044" w:rsidRDefault="0089207C" w:rsidP="002D3EBF">
            <w:pPr>
              <w:rPr>
                <w:rFonts w:eastAsia="SimSun"/>
              </w:rPr>
            </w:pPr>
            <w:r w:rsidRPr="00AC3044">
              <w:rPr>
                <w:rFonts w:eastAsia="SimSun"/>
              </w:rPr>
              <w:t>Циклофосфамид</w:t>
            </w:r>
          </w:p>
        </w:tc>
        <w:tc>
          <w:tcPr>
            <w:tcW w:w="1418" w:type="dxa"/>
            <w:vAlign w:val="center"/>
          </w:tcPr>
          <w:p w14:paraId="58E88621" w14:textId="77777777" w:rsidR="0089207C" w:rsidRPr="00AC3044" w:rsidRDefault="0089207C" w:rsidP="002D3EBF">
            <w:pPr>
              <w:rPr>
                <w:rFonts w:eastAsia="SimSun"/>
              </w:rPr>
            </w:pPr>
            <w:r w:rsidRPr="00AC3044">
              <w:rPr>
                <w:rFonts w:eastAsia="SimSun"/>
              </w:rPr>
              <w:t>50 мг/кг</w:t>
            </w:r>
          </w:p>
        </w:tc>
        <w:tc>
          <w:tcPr>
            <w:tcW w:w="1559" w:type="dxa"/>
            <w:vAlign w:val="center"/>
          </w:tcPr>
          <w:p w14:paraId="6B6E9207" w14:textId="77777777" w:rsidR="0089207C" w:rsidRPr="00AC3044" w:rsidRDefault="0089207C" w:rsidP="002D3EBF">
            <w:pPr>
              <w:rPr>
                <w:rFonts w:eastAsia="SimSun"/>
              </w:rPr>
            </w:pPr>
            <w:r w:rsidRPr="00AC3044">
              <w:rPr>
                <w:rFonts w:eastAsia="SimSun"/>
              </w:rPr>
              <w:t>100 мг/кг</w:t>
            </w:r>
          </w:p>
        </w:tc>
        <w:tc>
          <w:tcPr>
            <w:tcW w:w="1559" w:type="dxa"/>
            <w:vAlign w:val="center"/>
          </w:tcPr>
          <w:p w14:paraId="0BE501EB" w14:textId="77777777" w:rsidR="0089207C" w:rsidRPr="00AC3044" w:rsidRDefault="0089207C" w:rsidP="002D3EBF">
            <w:pPr>
              <w:rPr>
                <w:rFonts w:eastAsia="SimSun"/>
              </w:rPr>
            </w:pPr>
            <w:r w:rsidRPr="00AC3044">
              <w:rPr>
                <w:rFonts w:eastAsia="SimSun"/>
              </w:rPr>
              <w:t>С +3 дня по +4 день</w:t>
            </w:r>
          </w:p>
        </w:tc>
        <w:tc>
          <w:tcPr>
            <w:tcW w:w="2410" w:type="dxa"/>
            <w:vAlign w:val="center"/>
          </w:tcPr>
          <w:p w14:paraId="6B875315"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2C306BAB" w14:textId="77777777" w:rsidTr="002D3EBF">
        <w:trPr>
          <w:cantSplit/>
          <w:trHeight w:val="958"/>
        </w:trPr>
        <w:tc>
          <w:tcPr>
            <w:tcW w:w="1135" w:type="dxa"/>
            <w:vMerge/>
            <w:textDirection w:val="btLr"/>
            <w:vAlign w:val="center"/>
          </w:tcPr>
          <w:p w14:paraId="184036DB" w14:textId="77777777" w:rsidR="0089207C" w:rsidRPr="00AC3044" w:rsidRDefault="0089207C" w:rsidP="002D3EBF">
            <w:pPr>
              <w:rPr>
                <w:rFonts w:eastAsia="SimSun"/>
              </w:rPr>
            </w:pPr>
          </w:p>
        </w:tc>
        <w:tc>
          <w:tcPr>
            <w:tcW w:w="1559" w:type="dxa"/>
            <w:vAlign w:val="center"/>
          </w:tcPr>
          <w:p w14:paraId="72852940" w14:textId="77777777" w:rsidR="0089207C" w:rsidRPr="00AC3044" w:rsidRDefault="0089207C" w:rsidP="002D3EBF">
            <w:pPr>
              <w:rPr>
                <w:rFonts w:eastAsia="SimSun"/>
              </w:rPr>
            </w:pPr>
            <w:r w:rsidRPr="00AC3044">
              <w:rPr>
                <w:rFonts w:eastAsia="SimSun"/>
              </w:rPr>
              <w:t xml:space="preserve">Такролимус </w:t>
            </w:r>
          </w:p>
        </w:tc>
        <w:tc>
          <w:tcPr>
            <w:tcW w:w="1418" w:type="dxa"/>
            <w:vAlign w:val="center"/>
          </w:tcPr>
          <w:p w14:paraId="798C7734" w14:textId="77777777" w:rsidR="0089207C" w:rsidRPr="00AC3044" w:rsidRDefault="0089207C" w:rsidP="002D3EBF">
            <w:pPr>
              <w:rPr>
                <w:rFonts w:eastAsia="SimSun"/>
              </w:rPr>
            </w:pPr>
            <w:r w:rsidRPr="00AC3044">
              <w:rPr>
                <w:rFonts w:eastAsia="SimSun"/>
              </w:rPr>
              <w:t>0,03 мг/кг</w:t>
            </w:r>
          </w:p>
        </w:tc>
        <w:tc>
          <w:tcPr>
            <w:tcW w:w="1559" w:type="dxa"/>
            <w:vAlign w:val="center"/>
          </w:tcPr>
          <w:p w14:paraId="1CC608F1" w14:textId="77777777" w:rsidR="0089207C" w:rsidRPr="00AC3044" w:rsidRDefault="0089207C" w:rsidP="002D3EBF">
            <w:pPr>
              <w:rPr>
                <w:rFonts w:eastAsia="SimSun"/>
              </w:rPr>
            </w:pPr>
            <w:r w:rsidRPr="00AC3044">
              <w:rPr>
                <w:rFonts w:eastAsia="SimSun"/>
              </w:rPr>
              <w:t>–</w:t>
            </w:r>
          </w:p>
        </w:tc>
        <w:tc>
          <w:tcPr>
            <w:tcW w:w="1559" w:type="dxa"/>
            <w:vAlign w:val="center"/>
          </w:tcPr>
          <w:p w14:paraId="7451D38C" w14:textId="77777777" w:rsidR="0089207C" w:rsidRPr="00AC3044" w:rsidRDefault="0089207C" w:rsidP="002D3EBF">
            <w:pPr>
              <w:rPr>
                <w:rFonts w:eastAsia="SimSun"/>
              </w:rPr>
            </w:pPr>
            <w:r w:rsidRPr="00AC3044">
              <w:rPr>
                <w:rFonts w:eastAsia="SimSun"/>
              </w:rPr>
              <w:t xml:space="preserve">С +5 дня длительно </w:t>
            </w:r>
          </w:p>
        </w:tc>
        <w:tc>
          <w:tcPr>
            <w:tcW w:w="2410" w:type="dxa"/>
            <w:vAlign w:val="center"/>
          </w:tcPr>
          <w:p w14:paraId="022DA570" w14:textId="77777777" w:rsidR="0089207C" w:rsidRPr="00AC3044" w:rsidRDefault="0089207C" w:rsidP="002D3EBF">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bl>
    <w:p w14:paraId="589F3884" w14:textId="77777777" w:rsidR="0089207C" w:rsidRDefault="0089207C" w:rsidP="0089207C">
      <w:pPr>
        <w:rPr>
          <w:rFonts w:eastAsia="SimSun"/>
        </w:rPr>
      </w:pPr>
      <w:bookmarkStart w:id="279" w:name="_Toc44401234"/>
    </w:p>
    <w:p w14:paraId="6F48160A" w14:textId="77777777" w:rsidR="0089207C" w:rsidRPr="00030511" w:rsidRDefault="0089207C" w:rsidP="0089207C">
      <w:pPr>
        <w:rPr>
          <w:rFonts w:eastAsia="SimSun"/>
        </w:rPr>
      </w:pPr>
      <w:r w:rsidRPr="00030511">
        <w:rPr>
          <w:rFonts w:eastAsia="SimSun"/>
        </w:rPr>
        <w:t xml:space="preserve">Таблица 5.3.1.9  – </w:t>
      </w:r>
      <w:r w:rsidRPr="00C07B2E">
        <w:rPr>
          <w:rFonts w:eastAsia="SimSun"/>
        </w:rPr>
        <w:t>Flu</w:t>
      </w:r>
      <w:r w:rsidRPr="00030511">
        <w:rPr>
          <w:rFonts w:eastAsia="SimSun"/>
        </w:rPr>
        <w:t>180+</w:t>
      </w:r>
      <w:r w:rsidRPr="00C07B2E">
        <w:rPr>
          <w:rFonts w:eastAsia="SimSun"/>
        </w:rPr>
        <w:t>Bu</w:t>
      </w:r>
      <w:r w:rsidRPr="00030511">
        <w:rPr>
          <w:rFonts w:eastAsia="SimSun"/>
        </w:rPr>
        <w:t xml:space="preserve">14 / </w:t>
      </w:r>
      <w:r w:rsidRPr="00C07B2E">
        <w:rPr>
          <w:rFonts w:eastAsia="SimSun"/>
        </w:rPr>
        <w:t>PT</w:t>
      </w:r>
      <w:r w:rsidRPr="00030511">
        <w:rPr>
          <w:rFonts w:eastAsia="SimSun"/>
        </w:rPr>
        <w:t>-</w:t>
      </w:r>
      <w:r w:rsidRPr="00C07B2E">
        <w:rPr>
          <w:rFonts w:eastAsia="SimSun"/>
        </w:rPr>
        <w:t>Cy</w:t>
      </w:r>
      <w:r w:rsidRPr="00030511">
        <w:rPr>
          <w:rFonts w:eastAsia="SimSun"/>
        </w:rPr>
        <w:t>+</w:t>
      </w:r>
      <w:r w:rsidRPr="00C07B2E">
        <w:rPr>
          <w:rFonts w:eastAsia="SimSun"/>
        </w:rPr>
        <w:t>Tx</w:t>
      </w:r>
      <w:r w:rsidRPr="00030511">
        <w:rPr>
          <w:rFonts w:eastAsia="SimSun"/>
        </w:rPr>
        <w:t>+</w:t>
      </w:r>
      <w:r w:rsidRPr="00C07B2E">
        <w:rPr>
          <w:rFonts w:eastAsia="SimSun"/>
        </w:rPr>
        <w:t>MMF</w:t>
      </w:r>
      <w:r w:rsidRPr="00030511">
        <w:rPr>
          <w:rFonts w:eastAsia="SimSun"/>
        </w:rPr>
        <w:t>45</w:t>
      </w:r>
      <w:bookmarkEnd w:id="279"/>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89207C" w:rsidRPr="00AC3044" w14:paraId="5A2FA4DD" w14:textId="77777777" w:rsidTr="002D3EBF">
        <w:trPr>
          <w:cantSplit/>
          <w:trHeight w:val="20"/>
          <w:tblHeader/>
        </w:trPr>
        <w:tc>
          <w:tcPr>
            <w:tcW w:w="1135" w:type="dxa"/>
            <w:vAlign w:val="center"/>
          </w:tcPr>
          <w:p w14:paraId="3B8261AA" w14:textId="77777777" w:rsidR="0089207C" w:rsidRPr="00AC3044" w:rsidRDefault="0089207C" w:rsidP="002D3EBF">
            <w:pPr>
              <w:rPr>
                <w:rFonts w:eastAsia="SimSun"/>
              </w:rPr>
            </w:pPr>
          </w:p>
        </w:tc>
        <w:tc>
          <w:tcPr>
            <w:tcW w:w="1559" w:type="dxa"/>
            <w:vAlign w:val="center"/>
          </w:tcPr>
          <w:p w14:paraId="13E97D1E" w14:textId="77777777" w:rsidR="0089207C" w:rsidRPr="00AC3044" w:rsidRDefault="0089207C" w:rsidP="002D3EBF">
            <w:pPr>
              <w:rPr>
                <w:rFonts w:eastAsia="SimSun"/>
              </w:rPr>
            </w:pPr>
            <w:r w:rsidRPr="00AC3044">
              <w:rPr>
                <w:rFonts w:eastAsia="SimSun"/>
              </w:rPr>
              <w:t>Препарат</w:t>
            </w:r>
          </w:p>
        </w:tc>
        <w:tc>
          <w:tcPr>
            <w:tcW w:w="1418" w:type="dxa"/>
            <w:vAlign w:val="center"/>
          </w:tcPr>
          <w:p w14:paraId="7F71B0E0" w14:textId="77777777" w:rsidR="0089207C" w:rsidRPr="00AC3044" w:rsidRDefault="0089207C" w:rsidP="002D3EBF">
            <w:pPr>
              <w:rPr>
                <w:rFonts w:eastAsia="SimSun"/>
              </w:rPr>
            </w:pPr>
            <w:r w:rsidRPr="00AC3044">
              <w:rPr>
                <w:rFonts w:eastAsia="SimSun"/>
              </w:rPr>
              <w:t>Суточная доза</w:t>
            </w:r>
          </w:p>
        </w:tc>
        <w:tc>
          <w:tcPr>
            <w:tcW w:w="1559" w:type="dxa"/>
            <w:vAlign w:val="center"/>
          </w:tcPr>
          <w:p w14:paraId="479B7E6E" w14:textId="77777777" w:rsidR="0089207C" w:rsidRPr="00AC3044" w:rsidRDefault="0089207C" w:rsidP="002D3EBF">
            <w:pPr>
              <w:rPr>
                <w:rFonts w:eastAsia="SimSun"/>
              </w:rPr>
            </w:pPr>
            <w:r w:rsidRPr="00AC3044">
              <w:rPr>
                <w:rFonts w:eastAsia="SimSun"/>
              </w:rPr>
              <w:t>Курсовая доза</w:t>
            </w:r>
          </w:p>
        </w:tc>
        <w:tc>
          <w:tcPr>
            <w:tcW w:w="1559" w:type="dxa"/>
            <w:vAlign w:val="center"/>
          </w:tcPr>
          <w:p w14:paraId="334E21F2" w14:textId="77777777" w:rsidR="0089207C" w:rsidRPr="00AC3044" w:rsidRDefault="0089207C" w:rsidP="002D3EBF">
            <w:pPr>
              <w:rPr>
                <w:rFonts w:eastAsia="SimSun"/>
              </w:rPr>
            </w:pPr>
            <w:r w:rsidRPr="00AC3044">
              <w:rPr>
                <w:rFonts w:eastAsia="SimSun"/>
              </w:rPr>
              <w:t>Дни введения</w:t>
            </w:r>
          </w:p>
        </w:tc>
        <w:tc>
          <w:tcPr>
            <w:tcW w:w="2410" w:type="dxa"/>
            <w:vAlign w:val="center"/>
          </w:tcPr>
          <w:p w14:paraId="57790E8A"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4F5AF620" w14:textId="77777777" w:rsidTr="002D3EBF">
        <w:trPr>
          <w:cantSplit/>
          <w:trHeight w:val="450"/>
        </w:trPr>
        <w:tc>
          <w:tcPr>
            <w:tcW w:w="1135" w:type="dxa"/>
            <w:vMerge w:val="restart"/>
            <w:textDirection w:val="btLr"/>
            <w:vAlign w:val="center"/>
          </w:tcPr>
          <w:p w14:paraId="70D49F3A" w14:textId="77777777" w:rsidR="0089207C" w:rsidRPr="00AC3044" w:rsidRDefault="0089207C" w:rsidP="002D3EBF">
            <w:pPr>
              <w:rPr>
                <w:rFonts w:eastAsia="SimSun"/>
              </w:rPr>
            </w:pPr>
            <w:r w:rsidRPr="00AC3044">
              <w:rPr>
                <w:rFonts w:eastAsia="SimSun"/>
              </w:rPr>
              <w:t>Кондиционирование</w:t>
            </w:r>
          </w:p>
        </w:tc>
        <w:tc>
          <w:tcPr>
            <w:tcW w:w="1559" w:type="dxa"/>
            <w:vAlign w:val="center"/>
          </w:tcPr>
          <w:p w14:paraId="27ED7852" w14:textId="77777777" w:rsidR="0089207C" w:rsidRPr="00AC3044" w:rsidRDefault="0089207C" w:rsidP="002D3EBF">
            <w:pPr>
              <w:rPr>
                <w:rFonts w:eastAsia="SimSun"/>
              </w:rPr>
            </w:pPr>
            <w:r w:rsidRPr="00AC3044">
              <w:rPr>
                <w:rFonts w:eastAsia="SimSun"/>
              </w:rPr>
              <w:t xml:space="preserve">Флударабин </w:t>
            </w:r>
          </w:p>
        </w:tc>
        <w:tc>
          <w:tcPr>
            <w:tcW w:w="1418" w:type="dxa"/>
            <w:vAlign w:val="center"/>
          </w:tcPr>
          <w:p w14:paraId="5C2DAC31" w14:textId="77777777" w:rsidR="0089207C" w:rsidRPr="00AC3044" w:rsidRDefault="0089207C" w:rsidP="002D3EBF">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5F33BBCD" w14:textId="77777777" w:rsidR="0089207C" w:rsidRPr="00AC3044" w:rsidRDefault="0089207C" w:rsidP="002D3EBF">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5EB885CE" w14:textId="77777777" w:rsidR="0089207C" w:rsidRPr="00AC3044" w:rsidRDefault="0089207C" w:rsidP="002D3EBF">
            <w:pPr>
              <w:rPr>
                <w:rFonts w:eastAsia="SimSun"/>
              </w:rPr>
            </w:pPr>
            <w:r w:rsidRPr="00AC3044">
              <w:rPr>
                <w:rFonts w:eastAsia="SimSun"/>
              </w:rPr>
              <w:t>С -7 дня по -2 день</w:t>
            </w:r>
          </w:p>
        </w:tc>
        <w:tc>
          <w:tcPr>
            <w:tcW w:w="2410" w:type="dxa"/>
            <w:vAlign w:val="center"/>
          </w:tcPr>
          <w:p w14:paraId="67F223F9"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4391BCA2" w14:textId="77777777" w:rsidTr="002D3EBF">
        <w:trPr>
          <w:cantSplit/>
          <w:trHeight w:val="1207"/>
        </w:trPr>
        <w:tc>
          <w:tcPr>
            <w:tcW w:w="1135" w:type="dxa"/>
            <w:vMerge/>
            <w:vAlign w:val="center"/>
          </w:tcPr>
          <w:p w14:paraId="6FA10E53" w14:textId="77777777" w:rsidR="0089207C" w:rsidRPr="00AC3044" w:rsidRDefault="0089207C" w:rsidP="002D3EBF">
            <w:pPr>
              <w:rPr>
                <w:rFonts w:eastAsia="SimSun"/>
              </w:rPr>
            </w:pPr>
          </w:p>
        </w:tc>
        <w:tc>
          <w:tcPr>
            <w:tcW w:w="1559" w:type="dxa"/>
            <w:vAlign w:val="center"/>
          </w:tcPr>
          <w:p w14:paraId="10AF8B27" w14:textId="77777777" w:rsidR="0089207C" w:rsidRPr="00AC3044" w:rsidRDefault="0089207C" w:rsidP="002D3EBF">
            <w:pPr>
              <w:rPr>
                <w:rFonts w:eastAsia="SimSun"/>
              </w:rPr>
            </w:pPr>
            <w:r w:rsidRPr="00AC3044">
              <w:rPr>
                <w:rFonts w:eastAsia="SimSun"/>
              </w:rPr>
              <w:t>Бусульфан</w:t>
            </w:r>
          </w:p>
        </w:tc>
        <w:tc>
          <w:tcPr>
            <w:tcW w:w="1418" w:type="dxa"/>
            <w:vAlign w:val="center"/>
          </w:tcPr>
          <w:p w14:paraId="397A1A87" w14:textId="77777777" w:rsidR="0089207C" w:rsidRPr="00AC3044" w:rsidRDefault="0089207C" w:rsidP="002D3EBF">
            <w:pPr>
              <w:rPr>
                <w:rFonts w:eastAsia="SimSun"/>
              </w:rPr>
            </w:pPr>
            <w:r w:rsidRPr="00AC3044">
              <w:rPr>
                <w:rFonts w:eastAsia="SimSun"/>
              </w:rPr>
              <w:t xml:space="preserve">4 мг/кг </w:t>
            </w:r>
          </w:p>
        </w:tc>
        <w:tc>
          <w:tcPr>
            <w:tcW w:w="1559" w:type="dxa"/>
            <w:vAlign w:val="center"/>
          </w:tcPr>
          <w:p w14:paraId="1C589233" w14:textId="77777777" w:rsidR="0089207C" w:rsidRPr="00AC3044" w:rsidRDefault="0089207C" w:rsidP="002D3EBF">
            <w:pPr>
              <w:rPr>
                <w:rFonts w:eastAsia="SimSun"/>
              </w:rPr>
            </w:pPr>
            <w:r w:rsidRPr="00AC3044">
              <w:rPr>
                <w:rFonts w:eastAsia="SimSun"/>
              </w:rPr>
              <w:t xml:space="preserve">14 мг/кг </w:t>
            </w:r>
          </w:p>
        </w:tc>
        <w:tc>
          <w:tcPr>
            <w:tcW w:w="1559" w:type="dxa"/>
            <w:vAlign w:val="center"/>
          </w:tcPr>
          <w:p w14:paraId="0CED6A40" w14:textId="77777777" w:rsidR="0089207C" w:rsidRPr="00AC3044" w:rsidRDefault="0089207C" w:rsidP="002D3EBF">
            <w:pPr>
              <w:rPr>
                <w:rFonts w:eastAsia="SimSun"/>
              </w:rPr>
            </w:pPr>
            <w:r w:rsidRPr="00AC3044">
              <w:rPr>
                <w:rFonts w:eastAsia="SimSun"/>
              </w:rPr>
              <w:t>С -6 дня по -3 день</w:t>
            </w:r>
          </w:p>
        </w:tc>
        <w:tc>
          <w:tcPr>
            <w:tcW w:w="2410" w:type="dxa"/>
            <w:vAlign w:val="center"/>
          </w:tcPr>
          <w:p w14:paraId="0B11C3D0"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89207C" w:rsidRPr="00AC3044" w14:paraId="4874A376" w14:textId="77777777" w:rsidTr="002D3EBF">
        <w:trPr>
          <w:cantSplit/>
          <w:trHeight w:val="606"/>
        </w:trPr>
        <w:tc>
          <w:tcPr>
            <w:tcW w:w="1135" w:type="dxa"/>
            <w:vMerge w:val="restart"/>
            <w:textDirection w:val="btLr"/>
            <w:vAlign w:val="center"/>
          </w:tcPr>
          <w:p w14:paraId="48FE63EC" w14:textId="77777777" w:rsidR="0089207C" w:rsidRPr="00AC3044" w:rsidRDefault="0089207C" w:rsidP="002D3EBF">
            <w:pPr>
              <w:rPr>
                <w:rFonts w:eastAsia="SimSun"/>
              </w:rPr>
            </w:pPr>
            <w:r w:rsidRPr="00AC3044">
              <w:rPr>
                <w:rFonts w:eastAsia="SimSun"/>
              </w:rPr>
              <w:t>Профилактика РТПХ</w:t>
            </w:r>
          </w:p>
        </w:tc>
        <w:tc>
          <w:tcPr>
            <w:tcW w:w="1559" w:type="dxa"/>
            <w:vAlign w:val="center"/>
          </w:tcPr>
          <w:p w14:paraId="624C431A" w14:textId="77777777" w:rsidR="0089207C" w:rsidRPr="00AC3044" w:rsidRDefault="0089207C" w:rsidP="002D3EBF">
            <w:pPr>
              <w:rPr>
                <w:rFonts w:eastAsia="SimSun"/>
              </w:rPr>
            </w:pPr>
            <w:r w:rsidRPr="00AC3044">
              <w:rPr>
                <w:rFonts w:eastAsia="SimSun"/>
              </w:rPr>
              <w:t>Циклофосфамид</w:t>
            </w:r>
          </w:p>
        </w:tc>
        <w:tc>
          <w:tcPr>
            <w:tcW w:w="1418" w:type="dxa"/>
            <w:vAlign w:val="center"/>
          </w:tcPr>
          <w:p w14:paraId="22B72BA4" w14:textId="77777777" w:rsidR="0089207C" w:rsidRPr="00AC3044" w:rsidRDefault="0089207C" w:rsidP="002D3EBF">
            <w:pPr>
              <w:rPr>
                <w:rFonts w:eastAsia="SimSun"/>
              </w:rPr>
            </w:pPr>
            <w:r w:rsidRPr="00AC3044">
              <w:rPr>
                <w:rFonts w:eastAsia="SimSun"/>
              </w:rPr>
              <w:t>50 мг/кг</w:t>
            </w:r>
          </w:p>
        </w:tc>
        <w:tc>
          <w:tcPr>
            <w:tcW w:w="1559" w:type="dxa"/>
            <w:vAlign w:val="center"/>
          </w:tcPr>
          <w:p w14:paraId="6811FB55" w14:textId="77777777" w:rsidR="0089207C" w:rsidRPr="00AC3044" w:rsidRDefault="0089207C" w:rsidP="002D3EBF">
            <w:pPr>
              <w:rPr>
                <w:rFonts w:eastAsia="SimSun"/>
              </w:rPr>
            </w:pPr>
            <w:r w:rsidRPr="00AC3044">
              <w:rPr>
                <w:rFonts w:eastAsia="SimSun"/>
              </w:rPr>
              <w:t>100 мг/кг</w:t>
            </w:r>
          </w:p>
        </w:tc>
        <w:tc>
          <w:tcPr>
            <w:tcW w:w="1559" w:type="dxa"/>
            <w:vAlign w:val="center"/>
          </w:tcPr>
          <w:p w14:paraId="14E3D408" w14:textId="77777777" w:rsidR="0089207C" w:rsidRPr="00AC3044" w:rsidRDefault="0089207C" w:rsidP="002D3EBF">
            <w:pPr>
              <w:rPr>
                <w:rFonts w:eastAsia="SimSun"/>
              </w:rPr>
            </w:pPr>
            <w:r w:rsidRPr="00AC3044">
              <w:rPr>
                <w:rFonts w:eastAsia="SimSun"/>
              </w:rPr>
              <w:t>С +3 дня по +4 день</w:t>
            </w:r>
          </w:p>
        </w:tc>
        <w:tc>
          <w:tcPr>
            <w:tcW w:w="2410" w:type="dxa"/>
            <w:vAlign w:val="center"/>
          </w:tcPr>
          <w:p w14:paraId="0349FCD2"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7342EA99" w14:textId="77777777" w:rsidTr="002D3EBF">
        <w:trPr>
          <w:cantSplit/>
          <w:trHeight w:val="958"/>
        </w:trPr>
        <w:tc>
          <w:tcPr>
            <w:tcW w:w="1135" w:type="dxa"/>
            <w:vMerge/>
            <w:textDirection w:val="btLr"/>
            <w:vAlign w:val="center"/>
          </w:tcPr>
          <w:p w14:paraId="3DAFAEED" w14:textId="77777777" w:rsidR="0089207C" w:rsidRPr="00AC3044" w:rsidRDefault="0089207C" w:rsidP="002D3EBF">
            <w:pPr>
              <w:rPr>
                <w:rFonts w:eastAsia="SimSun"/>
              </w:rPr>
            </w:pPr>
          </w:p>
        </w:tc>
        <w:tc>
          <w:tcPr>
            <w:tcW w:w="1559" w:type="dxa"/>
            <w:vAlign w:val="center"/>
          </w:tcPr>
          <w:p w14:paraId="17D68867" w14:textId="77777777" w:rsidR="0089207C" w:rsidRPr="00AC3044" w:rsidRDefault="0089207C" w:rsidP="002D3EBF">
            <w:pPr>
              <w:rPr>
                <w:rFonts w:eastAsia="SimSun"/>
              </w:rPr>
            </w:pPr>
            <w:r w:rsidRPr="00AC3044">
              <w:rPr>
                <w:rFonts w:eastAsia="SimSun"/>
              </w:rPr>
              <w:t xml:space="preserve">Такролимус </w:t>
            </w:r>
          </w:p>
        </w:tc>
        <w:tc>
          <w:tcPr>
            <w:tcW w:w="1418" w:type="dxa"/>
            <w:vAlign w:val="center"/>
          </w:tcPr>
          <w:p w14:paraId="1C3B83C7" w14:textId="77777777" w:rsidR="0089207C" w:rsidRPr="00AC3044" w:rsidRDefault="0089207C" w:rsidP="002D3EBF">
            <w:pPr>
              <w:rPr>
                <w:rFonts w:eastAsia="SimSun"/>
              </w:rPr>
            </w:pPr>
            <w:r w:rsidRPr="00AC3044">
              <w:rPr>
                <w:rFonts w:eastAsia="SimSun"/>
              </w:rPr>
              <w:t>0,03 мг/кг</w:t>
            </w:r>
          </w:p>
        </w:tc>
        <w:tc>
          <w:tcPr>
            <w:tcW w:w="1559" w:type="dxa"/>
            <w:vAlign w:val="center"/>
          </w:tcPr>
          <w:p w14:paraId="323B3126" w14:textId="77777777" w:rsidR="0089207C" w:rsidRPr="00AC3044" w:rsidRDefault="0089207C" w:rsidP="002D3EBF">
            <w:pPr>
              <w:rPr>
                <w:rFonts w:eastAsia="SimSun"/>
              </w:rPr>
            </w:pPr>
            <w:r w:rsidRPr="00AC3044">
              <w:rPr>
                <w:rFonts w:eastAsia="SimSun"/>
              </w:rPr>
              <w:t>–</w:t>
            </w:r>
          </w:p>
        </w:tc>
        <w:tc>
          <w:tcPr>
            <w:tcW w:w="1559" w:type="dxa"/>
            <w:vAlign w:val="center"/>
          </w:tcPr>
          <w:p w14:paraId="23D96010" w14:textId="77777777" w:rsidR="0089207C" w:rsidRPr="00AC3044" w:rsidRDefault="0089207C" w:rsidP="002D3EBF">
            <w:pPr>
              <w:rPr>
                <w:rFonts w:eastAsia="SimSun"/>
              </w:rPr>
            </w:pPr>
            <w:r w:rsidRPr="00AC3044">
              <w:rPr>
                <w:rFonts w:eastAsia="SimSun"/>
              </w:rPr>
              <w:t xml:space="preserve">С +5 дня длительно </w:t>
            </w:r>
          </w:p>
        </w:tc>
        <w:tc>
          <w:tcPr>
            <w:tcW w:w="2410" w:type="dxa"/>
            <w:vAlign w:val="center"/>
          </w:tcPr>
          <w:p w14:paraId="654716CF" w14:textId="77777777" w:rsidR="0089207C" w:rsidRPr="00AC3044" w:rsidRDefault="0089207C" w:rsidP="002D3EBF">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9207C" w:rsidRPr="00AC3044" w14:paraId="6A1DEB36" w14:textId="77777777" w:rsidTr="002D3EBF">
        <w:trPr>
          <w:cantSplit/>
          <w:trHeight w:val="576"/>
        </w:trPr>
        <w:tc>
          <w:tcPr>
            <w:tcW w:w="1135" w:type="dxa"/>
            <w:vMerge/>
            <w:textDirection w:val="btLr"/>
            <w:vAlign w:val="center"/>
          </w:tcPr>
          <w:p w14:paraId="692EE2E5" w14:textId="77777777" w:rsidR="0089207C" w:rsidRPr="00AC3044" w:rsidRDefault="0089207C" w:rsidP="002D3EBF">
            <w:pPr>
              <w:rPr>
                <w:rFonts w:eastAsia="SimSun"/>
              </w:rPr>
            </w:pPr>
          </w:p>
        </w:tc>
        <w:tc>
          <w:tcPr>
            <w:tcW w:w="1559" w:type="dxa"/>
            <w:vAlign w:val="center"/>
          </w:tcPr>
          <w:p w14:paraId="46C35A03" w14:textId="77777777" w:rsidR="0089207C" w:rsidRPr="00AC3044" w:rsidRDefault="0089207C" w:rsidP="002D3EBF">
            <w:pPr>
              <w:rPr>
                <w:rFonts w:eastAsia="SimSun"/>
              </w:rPr>
            </w:pPr>
            <w:r w:rsidRPr="00AC3044">
              <w:rPr>
                <w:rFonts w:eastAsia="SimSun"/>
              </w:rPr>
              <w:t>Микофенолата мофетил</w:t>
            </w:r>
          </w:p>
        </w:tc>
        <w:tc>
          <w:tcPr>
            <w:tcW w:w="1418" w:type="dxa"/>
            <w:vAlign w:val="center"/>
          </w:tcPr>
          <w:p w14:paraId="4F60F15E" w14:textId="77777777" w:rsidR="0089207C" w:rsidRPr="00AC3044" w:rsidRDefault="0089207C" w:rsidP="002D3EBF">
            <w:pPr>
              <w:rPr>
                <w:rFonts w:eastAsia="SimSun"/>
              </w:rPr>
            </w:pPr>
            <w:r w:rsidRPr="00AC3044">
              <w:rPr>
                <w:rFonts w:eastAsia="SimSun"/>
              </w:rPr>
              <w:t xml:space="preserve">45 мг/кг </w:t>
            </w:r>
          </w:p>
        </w:tc>
        <w:tc>
          <w:tcPr>
            <w:tcW w:w="1559" w:type="dxa"/>
            <w:vAlign w:val="center"/>
          </w:tcPr>
          <w:p w14:paraId="5518798A" w14:textId="77777777" w:rsidR="0089207C" w:rsidRPr="00AC3044" w:rsidRDefault="0089207C" w:rsidP="002D3EBF">
            <w:pPr>
              <w:rPr>
                <w:rFonts w:eastAsia="SimSun"/>
              </w:rPr>
            </w:pPr>
            <w:r w:rsidRPr="00AC3044">
              <w:rPr>
                <w:rFonts w:eastAsia="SimSun"/>
              </w:rPr>
              <w:t>–</w:t>
            </w:r>
          </w:p>
        </w:tc>
        <w:tc>
          <w:tcPr>
            <w:tcW w:w="1559" w:type="dxa"/>
            <w:vAlign w:val="center"/>
          </w:tcPr>
          <w:p w14:paraId="26FB8D88" w14:textId="77777777" w:rsidR="0089207C" w:rsidRPr="00AC3044" w:rsidRDefault="0089207C" w:rsidP="002D3EBF">
            <w:pPr>
              <w:rPr>
                <w:rFonts w:eastAsia="SimSun"/>
              </w:rPr>
            </w:pPr>
            <w:r w:rsidRPr="00AC3044">
              <w:rPr>
                <w:rFonts w:eastAsia="SimSun"/>
              </w:rPr>
              <w:t xml:space="preserve">С +5 дня по +35 день </w:t>
            </w:r>
          </w:p>
        </w:tc>
        <w:tc>
          <w:tcPr>
            <w:tcW w:w="2410" w:type="dxa"/>
            <w:vAlign w:val="center"/>
          </w:tcPr>
          <w:p w14:paraId="1B71718D" w14:textId="77777777" w:rsidR="0089207C" w:rsidRPr="00AC3044" w:rsidRDefault="0089207C" w:rsidP="002D3EBF">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18D57147" w14:textId="77777777" w:rsidR="0089207C" w:rsidRPr="00C07B2E" w:rsidRDefault="0089207C" w:rsidP="0089207C">
      <w:pPr>
        <w:rPr>
          <w:rFonts w:eastAsia="SimSun"/>
        </w:rPr>
      </w:pPr>
    </w:p>
    <w:p w14:paraId="4F677188" w14:textId="77777777" w:rsidR="0089207C" w:rsidRPr="00C07B2E" w:rsidRDefault="0089207C" w:rsidP="0089207C">
      <w:pPr>
        <w:rPr>
          <w:rFonts w:eastAsia="SimSun"/>
        </w:rPr>
      </w:pPr>
      <w:bookmarkStart w:id="280" w:name="_Toc44401235"/>
      <w:r w:rsidRPr="00EE51B1">
        <w:rPr>
          <w:rFonts w:eastAsia="SimSun"/>
        </w:rPr>
        <w:t>Таблица</w:t>
      </w:r>
      <w:r w:rsidRPr="00C07B2E">
        <w:rPr>
          <w:rFonts w:eastAsia="SimSun"/>
        </w:rPr>
        <w:t xml:space="preserve"> </w:t>
      </w:r>
      <w:r>
        <w:rPr>
          <w:rFonts w:eastAsia="SimSun"/>
        </w:rPr>
        <w:t>5.</w:t>
      </w:r>
      <w:r w:rsidRPr="00C07B2E">
        <w:rPr>
          <w:rFonts w:eastAsia="SimSun"/>
        </w:rPr>
        <w:t>3.1.10  – Flu150+Treo36 / PT-Cy+CSA+MMF30</w:t>
      </w:r>
      <w:bookmarkEnd w:id="280"/>
    </w:p>
    <w:tbl>
      <w:tblPr>
        <w:tblW w:w="960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3"/>
        <w:gridCol w:w="1559"/>
        <w:gridCol w:w="1418"/>
        <w:gridCol w:w="1559"/>
        <w:gridCol w:w="1559"/>
        <w:gridCol w:w="2410"/>
      </w:tblGrid>
      <w:tr w:rsidR="0089207C" w:rsidRPr="00AC3044" w14:paraId="5AB34174" w14:textId="77777777" w:rsidTr="002D3EBF">
        <w:trPr>
          <w:cantSplit/>
          <w:trHeight w:val="20"/>
          <w:tblHeader/>
        </w:trPr>
        <w:tc>
          <w:tcPr>
            <w:tcW w:w="1103" w:type="dxa"/>
          </w:tcPr>
          <w:p w14:paraId="4E7B45D9" w14:textId="77777777" w:rsidR="0089207C" w:rsidRPr="006A5E21" w:rsidRDefault="0089207C" w:rsidP="002D3EBF">
            <w:pPr>
              <w:rPr>
                <w:rFonts w:eastAsia="SimSun"/>
              </w:rPr>
            </w:pPr>
          </w:p>
        </w:tc>
        <w:tc>
          <w:tcPr>
            <w:tcW w:w="1559" w:type="dxa"/>
            <w:vAlign w:val="center"/>
          </w:tcPr>
          <w:p w14:paraId="6A336EB2" w14:textId="77777777" w:rsidR="0089207C" w:rsidRPr="00AC3044" w:rsidRDefault="0089207C" w:rsidP="002D3EBF">
            <w:pPr>
              <w:rPr>
                <w:rFonts w:eastAsia="SimSun"/>
              </w:rPr>
            </w:pPr>
            <w:r w:rsidRPr="00AC3044">
              <w:rPr>
                <w:rFonts w:eastAsia="SimSun"/>
              </w:rPr>
              <w:t>Препарат</w:t>
            </w:r>
          </w:p>
        </w:tc>
        <w:tc>
          <w:tcPr>
            <w:tcW w:w="1418" w:type="dxa"/>
            <w:vAlign w:val="center"/>
          </w:tcPr>
          <w:p w14:paraId="522A8CD6" w14:textId="77777777" w:rsidR="0089207C" w:rsidRPr="00AC3044" w:rsidRDefault="0089207C" w:rsidP="002D3EBF">
            <w:pPr>
              <w:rPr>
                <w:rFonts w:eastAsia="SimSun"/>
              </w:rPr>
            </w:pPr>
            <w:r w:rsidRPr="00AC3044">
              <w:rPr>
                <w:rFonts w:eastAsia="SimSun"/>
              </w:rPr>
              <w:t>Суточная доза</w:t>
            </w:r>
          </w:p>
        </w:tc>
        <w:tc>
          <w:tcPr>
            <w:tcW w:w="1559" w:type="dxa"/>
            <w:vAlign w:val="center"/>
          </w:tcPr>
          <w:p w14:paraId="4569D658" w14:textId="77777777" w:rsidR="0089207C" w:rsidRPr="00AC3044" w:rsidRDefault="0089207C" w:rsidP="002D3EBF">
            <w:pPr>
              <w:rPr>
                <w:rFonts w:eastAsia="SimSun"/>
              </w:rPr>
            </w:pPr>
            <w:r w:rsidRPr="00AC3044">
              <w:rPr>
                <w:rFonts w:eastAsia="SimSun"/>
              </w:rPr>
              <w:t>Курсовая доза</w:t>
            </w:r>
          </w:p>
        </w:tc>
        <w:tc>
          <w:tcPr>
            <w:tcW w:w="1559" w:type="dxa"/>
            <w:vAlign w:val="center"/>
          </w:tcPr>
          <w:p w14:paraId="0850B754" w14:textId="77777777" w:rsidR="0089207C" w:rsidRPr="00AC3044" w:rsidRDefault="0089207C" w:rsidP="002D3EBF">
            <w:pPr>
              <w:rPr>
                <w:rFonts w:eastAsia="SimSun"/>
              </w:rPr>
            </w:pPr>
            <w:r w:rsidRPr="00AC3044">
              <w:rPr>
                <w:rFonts w:eastAsia="SimSun"/>
              </w:rPr>
              <w:t>Дни введения</w:t>
            </w:r>
          </w:p>
        </w:tc>
        <w:tc>
          <w:tcPr>
            <w:tcW w:w="2410" w:type="dxa"/>
            <w:vAlign w:val="center"/>
          </w:tcPr>
          <w:p w14:paraId="1B95BE53"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1C1C9F58" w14:textId="77777777" w:rsidTr="002D3EBF">
        <w:trPr>
          <w:cantSplit/>
          <w:trHeight w:val="20"/>
        </w:trPr>
        <w:tc>
          <w:tcPr>
            <w:tcW w:w="1103" w:type="dxa"/>
            <w:vMerge w:val="restart"/>
            <w:textDirection w:val="btLr"/>
            <w:vAlign w:val="center"/>
          </w:tcPr>
          <w:p w14:paraId="29E2EE09" w14:textId="77777777" w:rsidR="0089207C" w:rsidRPr="00AC3044" w:rsidRDefault="0089207C" w:rsidP="002D3EBF">
            <w:pPr>
              <w:rPr>
                <w:rFonts w:eastAsia="SimSun"/>
              </w:rPr>
            </w:pPr>
            <w:r w:rsidRPr="00AC3044">
              <w:rPr>
                <w:rFonts w:eastAsia="SimSun"/>
              </w:rPr>
              <w:t>Кондиционирование</w:t>
            </w:r>
          </w:p>
        </w:tc>
        <w:tc>
          <w:tcPr>
            <w:tcW w:w="1559" w:type="dxa"/>
            <w:vAlign w:val="center"/>
          </w:tcPr>
          <w:p w14:paraId="01D2A285" w14:textId="77777777" w:rsidR="0089207C" w:rsidRPr="00AC3044" w:rsidRDefault="0089207C" w:rsidP="002D3EBF">
            <w:pPr>
              <w:rPr>
                <w:rFonts w:eastAsia="SimSun"/>
              </w:rPr>
            </w:pPr>
            <w:r w:rsidRPr="00AC3044">
              <w:rPr>
                <w:rFonts w:eastAsia="SimSun"/>
              </w:rPr>
              <w:t xml:space="preserve">Флударабин </w:t>
            </w:r>
          </w:p>
        </w:tc>
        <w:tc>
          <w:tcPr>
            <w:tcW w:w="1418" w:type="dxa"/>
            <w:vAlign w:val="center"/>
          </w:tcPr>
          <w:p w14:paraId="08B1743A" w14:textId="77777777" w:rsidR="0089207C" w:rsidRPr="00AC3044" w:rsidRDefault="0089207C" w:rsidP="002D3EBF">
            <w:pPr>
              <w:rPr>
                <w:rFonts w:eastAsia="SimSun"/>
              </w:rPr>
            </w:pPr>
            <w:r w:rsidRPr="00AC3044">
              <w:rPr>
                <w:rFonts w:eastAsia="SimSun"/>
              </w:rPr>
              <w:t>30 мг/м2</w:t>
            </w:r>
          </w:p>
        </w:tc>
        <w:tc>
          <w:tcPr>
            <w:tcW w:w="1559" w:type="dxa"/>
            <w:vAlign w:val="center"/>
          </w:tcPr>
          <w:p w14:paraId="1AC4997C" w14:textId="77777777" w:rsidR="0089207C" w:rsidRPr="00AC3044" w:rsidRDefault="0089207C" w:rsidP="002D3EBF">
            <w:pPr>
              <w:rPr>
                <w:rFonts w:eastAsia="SimSun"/>
              </w:rPr>
            </w:pPr>
            <w:r w:rsidRPr="00AC3044">
              <w:rPr>
                <w:rFonts w:eastAsia="SimSun"/>
              </w:rPr>
              <w:t>150 мг/м</w:t>
            </w:r>
            <w:r w:rsidRPr="0074195F">
              <w:rPr>
                <w:rFonts w:eastAsia="SimSun"/>
                <w:vertAlign w:val="superscript"/>
              </w:rPr>
              <w:t>2</w:t>
            </w:r>
          </w:p>
        </w:tc>
        <w:tc>
          <w:tcPr>
            <w:tcW w:w="1559" w:type="dxa"/>
            <w:vAlign w:val="center"/>
          </w:tcPr>
          <w:p w14:paraId="0340EE4D" w14:textId="77777777" w:rsidR="0089207C" w:rsidRPr="00AC3044" w:rsidRDefault="0089207C" w:rsidP="002D3EBF">
            <w:pPr>
              <w:rPr>
                <w:rFonts w:eastAsia="SimSun"/>
              </w:rPr>
            </w:pPr>
            <w:r w:rsidRPr="00AC3044">
              <w:rPr>
                <w:rFonts w:eastAsia="SimSun"/>
              </w:rPr>
              <w:t>С –6 по –2 день</w:t>
            </w:r>
          </w:p>
        </w:tc>
        <w:tc>
          <w:tcPr>
            <w:tcW w:w="2410" w:type="dxa"/>
            <w:vAlign w:val="center"/>
          </w:tcPr>
          <w:p w14:paraId="6D02B668"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28F8AC6A" w14:textId="77777777" w:rsidTr="002D3EBF">
        <w:trPr>
          <w:cantSplit/>
          <w:trHeight w:val="879"/>
        </w:trPr>
        <w:tc>
          <w:tcPr>
            <w:tcW w:w="1103" w:type="dxa"/>
            <w:vMerge/>
            <w:textDirection w:val="btLr"/>
            <w:vAlign w:val="center"/>
          </w:tcPr>
          <w:p w14:paraId="1119C6F7" w14:textId="77777777" w:rsidR="0089207C" w:rsidRPr="00AC3044" w:rsidRDefault="0089207C" w:rsidP="002D3EBF">
            <w:pPr>
              <w:rPr>
                <w:rFonts w:eastAsia="SimSun"/>
              </w:rPr>
            </w:pPr>
          </w:p>
        </w:tc>
        <w:tc>
          <w:tcPr>
            <w:tcW w:w="1559" w:type="dxa"/>
            <w:vAlign w:val="center"/>
          </w:tcPr>
          <w:p w14:paraId="24F2BCF6" w14:textId="77777777" w:rsidR="0089207C" w:rsidRPr="00AC3044" w:rsidRDefault="0089207C" w:rsidP="002D3EBF">
            <w:pPr>
              <w:rPr>
                <w:rFonts w:eastAsia="SimSun"/>
              </w:rPr>
            </w:pPr>
            <w:r w:rsidRPr="00AC3044">
              <w:rPr>
                <w:rFonts w:eastAsia="SimSun"/>
              </w:rPr>
              <w:t>Треосульфан</w:t>
            </w:r>
          </w:p>
        </w:tc>
        <w:tc>
          <w:tcPr>
            <w:tcW w:w="1418" w:type="dxa"/>
            <w:vAlign w:val="center"/>
          </w:tcPr>
          <w:p w14:paraId="0F47EAEF" w14:textId="77777777" w:rsidR="0089207C" w:rsidRPr="00AC3044" w:rsidRDefault="0089207C" w:rsidP="002D3EBF">
            <w:pPr>
              <w:rPr>
                <w:rFonts w:eastAsia="SimSun"/>
              </w:rPr>
            </w:pPr>
            <w:r w:rsidRPr="00AC3044">
              <w:rPr>
                <w:rFonts w:eastAsia="SimSun"/>
              </w:rPr>
              <w:t>12 г/м2</w:t>
            </w:r>
          </w:p>
        </w:tc>
        <w:tc>
          <w:tcPr>
            <w:tcW w:w="1559" w:type="dxa"/>
            <w:vAlign w:val="center"/>
          </w:tcPr>
          <w:p w14:paraId="550C83D4" w14:textId="77777777" w:rsidR="0089207C" w:rsidRPr="00AC3044" w:rsidRDefault="0089207C" w:rsidP="002D3EBF">
            <w:pPr>
              <w:rPr>
                <w:rFonts w:eastAsia="SimSun"/>
              </w:rPr>
            </w:pPr>
            <w:r w:rsidRPr="00AC3044">
              <w:rPr>
                <w:rFonts w:eastAsia="SimSun"/>
              </w:rPr>
              <w:t>36 г/м</w:t>
            </w:r>
            <w:r w:rsidRPr="0074195F">
              <w:rPr>
                <w:rFonts w:eastAsia="SimSun"/>
                <w:vertAlign w:val="superscript"/>
              </w:rPr>
              <w:t>2</w:t>
            </w:r>
          </w:p>
        </w:tc>
        <w:tc>
          <w:tcPr>
            <w:tcW w:w="1559" w:type="dxa"/>
            <w:vAlign w:val="center"/>
          </w:tcPr>
          <w:p w14:paraId="5C2A2DE9" w14:textId="77777777" w:rsidR="0089207C" w:rsidRPr="00AC3044" w:rsidRDefault="0089207C" w:rsidP="002D3EBF">
            <w:pPr>
              <w:rPr>
                <w:rFonts w:eastAsia="SimSun"/>
              </w:rPr>
            </w:pPr>
            <w:r w:rsidRPr="00AC3044">
              <w:rPr>
                <w:rFonts w:eastAsia="SimSun"/>
              </w:rPr>
              <w:t>С –6 по –4 день</w:t>
            </w:r>
          </w:p>
        </w:tc>
        <w:tc>
          <w:tcPr>
            <w:tcW w:w="2410" w:type="dxa"/>
            <w:vAlign w:val="center"/>
          </w:tcPr>
          <w:p w14:paraId="593031F0"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4BA447FA" w14:textId="77777777" w:rsidTr="002D3EBF">
        <w:trPr>
          <w:cantSplit/>
          <w:trHeight w:val="1534"/>
        </w:trPr>
        <w:tc>
          <w:tcPr>
            <w:tcW w:w="1103" w:type="dxa"/>
            <w:vMerge w:val="restart"/>
            <w:textDirection w:val="btLr"/>
            <w:vAlign w:val="center"/>
          </w:tcPr>
          <w:p w14:paraId="66FB2B62" w14:textId="77777777" w:rsidR="0089207C" w:rsidRPr="00AC3044" w:rsidRDefault="0089207C" w:rsidP="002D3EBF">
            <w:pPr>
              <w:rPr>
                <w:rFonts w:eastAsia="SimSun"/>
              </w:rPr>
            </w:pPr>
            <w:r w:rsidRPr="00AC3044">
              <w:rPr>
                <w:rFonts w:eastAsia="SimSun"/>
              </w:rPr>
              <w:t>Профилактика РТПХ</w:t>
            </w:r>
          </w:p>
        </w:tc>
        <w:tc>
          <w:tcPr>
            <w:tcW w:w="1559" w:type="dxa"/>
            <w:vAlign w:val="center"/>
          </w:tcPr>
          <w:p w14:paraId="4CBC3660" w14:textId="77777777" w:rsidR="0089207C" w:rsidRPr="00AC3044" w:rsidRDefault="0089207C" w:rsidP="002D3EBF">
            <w:pPr>
              <w:rPr>
                <w:rFonts w:eastAsia="SimSun"/>
              </w:rPr>
            </w:pPr>
            <w:r w:rsidRPr="00AC3044">
              <w:rPr>
                <w:rFonts w:eastAsia="SimSun"/>
              </w:rPr>
              <w:t>Циклоспорин</w:t>
            </w:r>
          </w:p>
        </w:tc>
        <w:tc>
          <w:tcPr>
            <w:tcW w:w="1418" w:type="dxa"/>
            <w:vAlign w:val="center"/>
          </w:tcPr>
          <w:p w14:paraId="6B7EF0AA" w14:textId="77777777" w:rsidR="0089207C" w:rsidRPr="00AC3044" w:rsidRDefault="0089207C" w:rsidP="002D3EBF">
            <w:pPr>
              <w:rPr>
                <w:rFonts w:eastAsia="SimSun"/>
              </w:rPr>
            </w:pPr>
            <w:r w:rsidRPr="00AC3044">
              <w:rPr>
                <w:rFonts w:eastAsia="SimSun"/>
              </w:rPr>
              <w:t>3 мг/кг</w:t>
            </w:r>
          </w:p>
        </w:tc>
        <w:tc>
          <w:tcPr>
            <w:tcW w:w="1559" w:type="dxa"/>
            <w:vAlign w:val="center"/>
          </w:tcPr>
          <w:p w14:paraId="7FE3AA42" w14:textId="77777777" w:rsidR="0089207C" w:rsidRPr="00AC3044" w:rsidRDefault="0089207C" w:rsidP="002D3EBF">
            <w:pPr>
              <w:rPr>
                <w:rFonts w:eastAsia="SimSun"/>
              </w:rPr>
            </w:pPr>
            <w:r w:rsidRPr="00AC3044">
              <w:rPr>
                <w:rFonts w:eastAsia="SimSun"/>
              </w:rPr>
              <w:t>–</w:t>
            </w:r>
          </w:p>
        </w:tc>
        <w:tc>
          <w:tcPr>
            <w:tcW w:w="1559" w:type="dxa"/>
            <w:vAlign w:val="center"/>
          </w:tcPr>
          <w:p w14:paraId="5C079398" w14:textId="77777777" w:rsidR="0089207C" w:rsidRPr="00AC3044" w:rsidRDefault="0089207C" w:rsidP="002D3EBF">
            <w:pPr>
              <w:rPr>
                <w:rFonts w:eastAsia="SimSun"/>
              </w:rPr>
            </w:pPr>
            <w:r w:rsidRPr="00AC3044">
              <w:rPr>
                <w:rFonts w:eastAsia="SimSun"/>
              </w:rPr>
              <w:t>С +5 дня по +90 день затем постепенное снижение к +180 дню</w:t>
            </w:r>
          </w:p>
        </w:tc>
        <w:tc>
          <w:tcPr>
            <w:tcW w:w="2410" w:type="dxa"/>
            <w:vAlign w:val="center"/>
          </w:tcPr>
          <w:p w14:paraId="29B62488" w14:textId="77777777" w:rsidR="0089207C" w:rsidRPr="00AC3044" w:rsidRDefault="0089207C" w:rsidP="002D3EBF">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9207C" w:rsidRPr="00AC3044" w14:paraId="086E9909" w14:textId="77777777" w:rsidTr="002D3EBF">
        <w:trPr>
          <w:cantSplit/>
          <w:trHeight w:val="20"/>
        </w:trPr>
        <w:tc>
          <w:tcPr>
            <w:tcW w:w="1103" w:type="dxa"/>
            <w:vMerge/>
            <w:textDirection w:val="btLr"/>
          </w:tcPr>
          <w:p w14:paraId="786A221A" w14:textId="77777777" w:rsidR="0089207C" w:rsidRPr="00AC3044" w:rsidRDefault="0089207C" w:rsidP="002D3EBF">
            <w:pPr>
              <w:rPr>
                <w:rFonts w:eastAsia="SimSun"/>
              </w:rPr>
            </w:pPr>
          </w:p>
        </w:tc>
        <w:tc>
          <w:tcPr>
            <w:tcW w:w="1559" w:type="dxa"/>
            <w:vAlign w:val="center"/>
          </w:tcPr>
          <w:p w14:paraId="1AAB28F2" w14:textId="77777777" w:rsidR="0089207C" w:rsidRPr="00AC3044" w:rsidRDefault="0089207C" w:rsidP="002D3EBF">
            <w:pPr>
              <w:rPr>
                <w:rFonts w:eastAsia="SimSun"/>
              </w:rPr>
            </w:pPr>
            <w:r w:rsidRPr="00AC3044">
              <w:rPr>
                <w:rFonts w:eastAsia="SimSun"/>
              </w:rPr>
              <w:t>Микофенолата мофетил</w:t>
            </w:r>
          </w:p>
        </w:tc>
        <w:tc>
          <w:tcPr>
            <w:tcW w:w="1418" w:type="dxa"/>
            <w:vAlign w:val="center"/>
          </w:tcPr>
          <w:p w14:paraId="334E9C2A" w14:textId="77777777" w:rsidR="0089207C" w:rsidRPr="00AC3044" w:rsidRDefault="0089207C" w:rsidP="002D3EBF">
            <w:pPr>
              <w:rPr>
                <w:rFonts w:eastAsia="SimSun"/>
              </w:rPr>
            </w:pPr>
            <w:r w:rsidRPr="00AC3044">
              <w:rPr>
                <w:rFonts w:eastAsia="SimSun"/>
              </w:rPr>
              <w:t>30 мг/кг</w:t>
            </w:r>
          </w:p>
        </w:tc>
        <w:tc>
          <w:tcPr>
            <w:tcW w:w="1559" w:type="dxa"/>
            <w:vAlign w:val="center"/>
          </w:tcPr>
          <w:p w14:paraId="69C9BF56" w14:textId="77777777" w:rsidR="0089207C" w:rsidRPr="00AC3044" w:rsidRDefault="0089207C" w:rsidP="002D3EBF">
            <w:pPr>
              <w:rPr>
                <w:rFonts w:eastAsia="SimSun"/>
              </w:rPr>
            </w:pPr>
            <w:r w:rsidRPr="00AC3044">
              <w:rPr>
                <w:rFonts w:eastAsia="SimSun"/>
              </w:rPr>
              <w:t>–</w:t>
            </w:r>
          </w:p>
        </w:tc>
        <w:tc>
          <w:tcPr>
            <w:tcW w:w="1559" w:type="dxa"/>
            <w:vAlign w:val="center"/>
          </w:tcPr>
          <w:p w14:paraId="7BBE3C67" w14:textId="77777777" w:rsidR="0089207C" w:rsidRPr="00AC3044" w:rsidRDefault="0089207C" w:rsidP="002D3EBF">
            <w:pPr>
              <w:rPr>
                <w:rFonts w:eastAsia="SimSun"/>
              </w:rPr>
            </w:pPr>
            <w:r w:rsidRPr="00AC3044">
              <w:rPr>
                <w:rFonts w:eastAsia="SimSun"/>
              </w:rPr>
              <w:t>С +5 по +90 день</w:t>
            </w:r>
          </w:p>
        </w:tc>
        <w:tc>
          <w:tcPr>
            <w:tcW w:w="2410" w:type="dxa"/>
            <w:vAlign w:val="center"/>
          </w:tcPr>
          <w:p w14:paraId="4C20266A" w14:textId="77777777" w:rsidR="0089207C" w:rsidRPr="00AC3044" w:rsidRDefault="0089207C" w:rsidP="002D3EBF">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89207C" w:rsidRPr="00AC3044" w14:paraId="0D3362A3" w14:textId="77777777" w:rsidTr="002D3EBF">
        <w:trPr>
          <w:cantSplit/>
          <w:trHeight w:val="20"/>
        </w:trPr>
        <w:tc>
          <w:tcPr>
            <w:tcW w:w="1103" w:type="dxa"/>
            <w:vMerge/>
            <w:textDirection w:val="btLr"/>
          </w:tcPr>
          <w:p w14:paraId="15F1B0A9" w14:textId="77777777" w:rsidR="0089207C" w:rsidRPr="00AC3044" w:rsidRDefault="0089207C" w:rsidP="002D3EBF">
            <w:pPr>
              <w:rPr>
                <w:rFonts w:eastAsia="SimSun"/>
              </w:rPr>
            </w:pPr>
          </w:p>
        </w:tc>
        <w:tc>
          <w:tcPr>
            <w:tcW w:w="1559" w:type="dxa"/>
            <w:vAlign w:val="center"/>
          </w:tcPr>
          <w:p w14:paraId="7412F452" w14:textId="77777777" w:rsidR="0089207C" w:rsidRPr="00AC3044" w:rsidRDefault="0089207C" w:rsidP="002D3EBF">
            <w:pPr>
              <w:rPr>
                <w:rFonts w:eastAsia="SimSun"/>
              </w:rPr>
            </w:pPr>
            <w:r w:rsidRPr="00AC3044">
              <w:rPr>
                <w:rFonts w:eastAsia="SimSun"/>
              </w:rPr>
              <w:t>Циклофосфамид</w:t>
            </w:r>
          </w:p>
        </w:tc>
        <w:tc>
          <w:tcPr>
            <w:tcW w:w="1418" w:type="dxa"/>
            <w:vAlign w:val="center"/>
          </w:tcPr>
          <w:p w14:paraId="1633DF15" w14:textId="77777777" w:rsidR="0089207C" w:rsidRPr="00AC3044" w:rsidRDefault="0089207C" w:rsidP="002D3EBF">
            <w:pPr>
              <w:rPr>
                <w:rFonts w:eastAsia="SimSun"/>
              </w:rPr>
            </w:pPr>
            <w:r w:rsidRPr="00AC3044">
              <w:rPr>
                <w:rFonts w:eastAsia="SimSun"/>
              </w:rPr>
              <w:t>50 мг/кг</w:t>
            </w:r>
          </w:p>
        </w:tc>
        <w:tc>
          <w:tcPr>
            <w:tcW w:w="1559" w:type="dxa"/>
            <w:vAlign w:val="center"/>
          </w:tcPr>
          <w:p w14:paraId="5F01F4AE" w14:textId="77777777" w:rsidR="0089207C" w:rsidRPr="00AC3044" w:rsidRDefault="0089207C" w:rsidP="002D3EBF">
            <w:pPr>
              <w:rPr>
                <w:rFonts w:eastAsia="SimSun"/>
              </w:rPr>
            </w:pPr>
            <w:r w:rsidRPr="00AC3044">
              <w:rPr>
                <w:rFonts w:eastAsia="SimSun"/>
              </w:rPr>
              <w:t>100 мг/кг</w:t>
            </w:r>
          </w:p>
        </w:tc>
        <w:tc>
          <w:tcPr>
            <w:tcW w:w="1559" w:type="dxa"/>
            <w:vAlign w:val="center"/>
          </w:tcPr>
          <w:p w14:paraId="69149F0F" w14:textId="77777777" w:rsidR="0089207C" w:rsidRPr="00AC3044" w:rsidRDefault="0089207C" w:rsidP="002D3EBF">
            <w:pPr>
              <w:rPr>
                <w:rFonts w:eastAsia="SimSun"/>
              </w:rPr>
            </w:pPr>
            <w:r w:rsidRPr="00AC3044">
              <w:rPr>
                <w:rFonts w:eastAsia="SimSun"/>
              </w:rPr>
              <w:t xml:space="preserve">+3,+4 дни </w:t>
            </w:r>
          </w:p>
        </w:tc>
        <w:tc>
          <w:tcPr>
            <w:tcW w:w="2410" w:type="dxa"/>
            <w:vAlign w:val="center"/>
          </w:tcPr>
          <w:p w14:paraId="5726F936" w14:textId="77777777" w:rsidR="0089207C" w:rsidRPr="00AC3044" w:rsidRDefault="0089207C" w:rsidP="002D3EBF">
            <w:pPr>
              <w:rPr>
                <w:rFonts w:eastAsia="SimSun"/>
              </w:rPr>
            </w:pPr>
            <w:r w:rsidRPr="00AC3044">
              <w:rPr>
                <w:rFonts w:eastAsia="SimSun"/>
              </w:rPr>
              <w:t>В/в, в течение 2 часов</w:t>
            </w:r>
          </w:p>
        </w:tc>
      </w:tr>
    </w:tbl>
    <w:p w14:paraId="075BCEC6" w14:textId="77777777" w:rsidR="0089207C" w:rsidRDefault="0089207C" w:rsidP="0089207C">
      <w:pPr>
        <w:rPr>
          <w:rFonts w:eastAsia="SimSun"/>
        </w:rPr>
      </w:pPr>
      <w:bookmarkStart w:id="281" w:name="_Toc44401236"/>
    </w:p>
    <w:p w14:paraId="68184750" w14:textId="77777777" w:rsidR="0089207C" w:rsidRPr="00C07B2E" w:rsidRDefault="0089207C" w:rsidP="0089207C">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3.1.11  – Flu150+Treo36 / PT-Cy+CSA+MMF45</w:t>
      </w:r>
      <w:bookmarkEnd w:id="281"/>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89207C" w:rsidRPr="00AC3044" w14:paraId="4C0A178F" w14:textId="77777777" w:rsidTr="002D3EBF">
        <w:trPr>
          <w:cantSplit/>
          <w:trHeight w:val="20"/>
          <w:tblHeader/>
        </w:trPr>
        <w:tc>
          <w:tcPr>
            <w:tcW w:w="1135" w:type="dxa"/>
          </w:tcPr>
          <w:p w14:paraId="0674A98C" w14:textId="77777777" w:rsidR="0089207C" w:rsidRPr="006A5E21" w:rsidRDefault="0089207C" w:rsidP="002D3EBF">
            <w:pPr>
              <w:rPr>
                <w:rFonts w:eastAsia="SimSun"/>
              </w:rPr>
            </w:pPr>
          </w:p>
        </w:tc>
        <w:tc>
          <w:tcPr>
            <w:tcW w:w="1559" w:type="dxa"/>
            <w:vAlign w:val="center"/>
          </w:tcPr>
          <w:p w14:paraId="44991F66" w14:textId="77777777" w:rsidR="0089207C" w:rsidRPr="00AC3044" w:rsidRDefault="0089207C" w:rsidP="002D3EBF">
            <w:pPr>
              <w:rPr>
                <w:rFonts w:eastAsia="SimSun"/>
              </w:rPr>
            </w:pPr>
            <w:r w:rsidRPr="00AC3044">
              <w:rPr>
                <w:rFonts w:eastAsia="SimSun"/>
              </w:rPr>
              <w:t>Препарат</w:t>
            </w:r>
          </w:p>
        </w:tc>
        <w:tc>
          <w:tcPr>
            <w:tcW w:w="1418" w:type="dxa"/>
            <w:vAlign w:val="center"/>
          </w:tcPr>
          <w:p w14:paraId="41566718" w14:textId="77777777" w:rsidR="0089207C" w:rsidRPr="00AC3044" w:rsidRDefault="0089207C" w:rsidP="002D3EBF">
            <w:pPr>
              <w:rPr>
                <w:rFonts w:eastAsia="SimSun"/>
              </w:rPr>
            </w:pPr>
            <w:r w:rsidRPr="00AC3044">
              <w:rPr>
                <w:rFonts w:eastAsia="SimSun"/>
              </w:rPr>
              <w:t>Суточная доза</w:t>
            </w:r>
          </w:p>
        </w:tc>
        <w:tc>
          <w:tcPr>
            <w:tcW w:w="1559" w:type="dxa"/>
            <w:vAlign w:val="center"/>
          </w:tcPr>
          <w:p w14:paraId="2ABDD1CC" w14:textId="77777777" w:rsidR="0089207C" w:rsidRPr="00AC3044" w:rsidRDefault="0089207C" w:rsidP="002D3EBF">
            <w:pPr>
              <w:rPr>
                <w:rFonts w:eastAsia="SimSun"/>
              </w:rPr>
            </w:pPr>
            <w:r w:rsidRPr="00AC3044">
              <w:rPr>
                <w:rFonts w:eastAsia="SimSun"/>
              </w:rPr>
              <w:t>Курсовая доза</w:t>
            </w:r>
          </w:p>
        </w:tc>
        <w:tc>
          <w:tcPr>
            <w:tcW w:w="1559" w:type="dxa"/>
            <w:vAlign w:val="center"/>
          </w:tcPr>
          <w:p w14:paraId="4F263CED" w14:textId="77777777" w:rsidR="0089207C" w:rsidRPr="00AC3044" w:rsidRDefault="0089207C" w:rsidP="002D3EBF">
            <w:pPr>
              <w:rPr>
                <w:rFonts w:eastAsia="SimSun"/>
              </w:rPr>
            </w:pPr>
            <w:r w:rsidRPr="00AC3044">
              <w:rPr>
                <w:rFonts w:eastAsia="SimSun"/>
              </w:rPr>
              <w:t>Дни введения</w:t>
            </w:r>
          </w:p>
        </w:tc>
        <w:tc>
          <w:tcPr>
            <w:tcW w:w="2410" w:type="dxa"/>
            <w:vAlign w:val="center"/>
          </w:tcPr>
          <w:p w14:paraId="08FC2452"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593C5186" w14:textId="77777777" w:rsidTr="002D3EBF">
        <w:trPr>
          <w:cantSplit/>
          <w:trHeight w:val="20"/>
        </w:trPr>
        <w:tc>
          <w:tcPr>
            <w:tcW w:w="1135" w:type="dxa"/>
            <w:vMerge w:val="restart"/>
            <w:textDirection w:val="btLr"/>
            <w:vAlign w:val="center"/>
          </w:tcPr>
          <w:p w14:paraId="3A36A483" w14:textId="77777777" w:rsidR="0089207C" w:rsidRPr="00AC3044" w:rsidRDefault="0089207C" w:rsidP="002D3EBF">
            <w:pPr>
              <w:rPr>
                <w:rFonts w:eastAsia="SimSun"/>
              </w:rPr>
            </w:pPr>
            <w:r w:rsidRPr="00AC3044">
              <w:rPr>
                <w:rFonts w:eastAsia="SimSun"/>
              </w:rPr>
              <w:t>Кондиционирование</w:t>
            </w:r>
          </w:p>
        </w:tc>
        <w:tc>
          <w:tcPr>
            <w:tcW w:w="1559" w:type="dxa"/>
            <w:vAlign w:val="center"/>
          </w:tcPr>
          <w:p w14:paraId="5D520E14" w14:textId="77777777" w:rsidR="0089207C" w:rsidRPr="00AC3044" w:rsidRDefault="0089207C" w:rsidP="002D3EBF">
            <w:pPr>
              <w:rPr>
                <w:rFonts w:eastAsia="SimSun"/>
              </w:rPr>
            </w:pPr>
            <w:r w:rsidRPr="00AC3044">
              <w:rPr>
                <w:rFonts w:eastAsia="SimSun"/>
              </w:rPr>
              <w:t xml:space="preserve">Флударабин </w:t>
            </w:r>
          </w:p>
        </w:tc>
        <w:tc>
          <w:tcPr>
            <w:tcW w:w="1418" w:type="dxa"/>
            <w:vAlign w:val="center"/>
          </w:tcPr>
          <w:p w14:paraId="2FF302F6" w14:textId="77777777" w:rsidR="0089207C" w:rsidRPr="00AC3044" w:rsidRDefault="0089207C" w:rsidP="002D3EBF">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18C56E36" w14:textId="77777777" w:rsidR="0089207C" w:rsidRPr="00AC3044" w:rsidRDefault="0089207C" w:rsidP="002D3EBF">
            <w:pPr>
              <w:rPr>
                <w:rFonts w:eastAsia="SimSun"/>
              </w:rPr>
            </w:pPr>
            <w:r w:rsidRPr="00AC3044">
              <w:rPr>
                <w:rFonts w:eastAsia="SimSun"/>
              </w:rPr>
              <w:t>150 мг/м</w:t>
            </w:r>
            <w:r w:rsidRPr="0074195F">
              <w:rPr>
                <w:rFonts w:eastAsia="SimSun"/>
                <w:vertAlign w:val="superscript"/>
              </w:rPr>
              <w:t>2</w:t>
            </w:r>
          </w:p>
        </w:tc>
        <w:tc>
          <w:tcPr>
            <w:tcW w:w="1559" w:type="dxa"/>
            <w:vAlign w:val="center"/>
          </w:tcPr>
          <w:p w14:paraId="6921D519" w14:textId="77777777" w:rsidR="0089207C" w:rsidRPr="00AC3044" w:rsidRDefault="0089207C" w:rsidP="002D3EBF">
            <w:pPr>
              <w:rPr>
                <w:rFonts w:eastAsia="SimSun"/>
              </w:rPr>
            </w:pPr>
            <w:r w:rsidRPr="00AC3044">
              <w:rPr>
                <w:rFonts w:eastAsia="SimSun"/>
              </w:rPr>
              <w:t>С –6 по –2 день</w:t>
            </w:r>
          </w:p>
        </w:tc>
        <w:tc>
          <w:tcPr>
            <w:tcW w:w="2410" w:type="dxa"/>
            <w:vAlign w:val="center"/>
          </w:tcPr>
          <w:p w14:paraId="51F904DC" w14:textId="77777777" w:rsidR="0089207C" w:rsidRPr="00AC3044" w:rsidRDefault="0089207C" w:rsidP="002D3EBF">
            <w:pPr>
              <w:rPr>
                <w:rFonts w:eastAsia="SimSun"/>
              </w:rPr>
            </w:pPr>
            <w:r w:rsidRPr="00AC3044">
              <w:rPr>
                <w:rFonts w:eastAsia="SimSun"/>
              </w:rPr>
              <w:t xml:space="preserve"> В/в, в течение 30 -60 мин</w:t>
            </w:r>
          </w:p>
        </w:tc>
      </w:tr>
      <w:tr w:rsidR="0089207C" w:rsidRPr="00AC3044" w14:paraId="77C7CF10" w14:textId="77777777" w:rsidTr="002D3EBF">
        <w:trPr>
          <w:cantSplit/>
          <w:trHeight w:val="985"/>
        </w:trPr>
        <w:tc>
          <w:tcPr>
            <w:tcW w:w="1135" w:type="dxa"/>
            <w:vMerge/>
            <w:textDirection w:val="btLr"/>
            <w:vAlign w:val="center"/>
          </w:tcPr>
          <w:p w14:paraId="7A106734" w14:textId="77777777" w:rsidR="0089207C" w:rsidRPr="00AC3044" w:rsidRDefault="0089207C" w:rsidP="002D3EBF">
            <w:pPr>
              <w:rPr>
                <w:rFonts w:eastAsia="SimSun"/>
              </w:rPr>
            </w:pPr>
          </w:p>
        </w:tc>
        <w:tc>
          <w:tcPr>
            <w:tcW w:w="1559" w:type="dxa"/>
            <w:vAlign w:val="center"/>
          </w:tcPr>
          <w:p w14:paraId="62543AD0" w14:textId="77777777" w:rsidR="0089207C" w:rsidRPr="00AC3044" w:rsidRDefault="0089207C" w:rsidP="002D3EBF">
            <w:pPr>
              <w:rPr>
                <w:rFonts w:eastAsia="SimSun"/>
              </w:rPr>
            </w:pPr>
            <w:r w:rsidRPr="00AC3044">
              <w:rPr>
                <w:rFonts w:eastAsia="SimSun"/>
              </w:rPr>
              <w:t>Треосульфан</w:t>
            </w:r>
          </w:p>
        </w:tc>
        <w:tc>
          <w:tcPr>
            <w:tcW w:w="1418" w:type="dxa"/>
            <w:vAlign w:val="center"/>
          </w:tcPr>
          <w:p w14:paraId="54612064" w14:textId="77777777" w:rsidR="0089207C" w:rsidRPr="00AC3044" w:rsidRDefault="0089207C" w:rsidP="002D3EBF">
            <w:pPr>
              <w:rPr>
                <w:rFonts w:eastAsia="SimSun"/>
              </w:rPr>
            </w:pPr>
            <w:r w:rsidRPr="00AC3044">
              <w:rPr>
                <w:rFonts w:eastAsia="SimSun"/>
              </w:rPr>
              <w:t>12 г/м</w:t>
            </w:r>
            <w:r w:rsidRPr="0074195F">
              <w:rPr>
                <w:rFonts w:eastAsia="SimSun"/>
                <w:vertAlign w:val="superscript"/>
              </w:rPr>
              <w:t>2</w:t>
            </w:r>
          </w:p>
        </w:tc>
        <w:tc>
          <w:tcPr>
            <w:tcW w:w="1559" w:type="dxa"/>
            <w:vAlign w:val="center"/>
          </w:tcPr>
          <w:p w14:paraId="2D248C92" w14:textId="77777777" w:rsidR="0089207C" w:rsidRPr="00AC3044" w:rsidRDefault="0089207C" w:rsidP="002D3EBF">
            <w:pPr>
              <w:rPr>
                <w:rFonts w:eastAsia="SimSun"/>
              </w:rPr>
            </w:pPr>
            <w:r w:rsidRPr="00AC3044">
              <w:rPr>
                <w:rFonts w:eastAsia="SimSun"/>
              </w:rPr>
              <w:t>36 г/м</w:t>
            </w:r>
            <w:r w:rsidRPr="0074195F">
              <w:rPr>
                <w:rFonts w:eastAsia="SimSun"/>
                <w:vertAlign w:val="superscript"/>
              </w:rPr>
              <w:t>2</w:t>
            </w:r>
          </w:p>
        </w:tc>
        <w:tc>
          <w:tcPr>
            <w:tcW w:w="1559" w:type="dxa"/>
            <w:vAlign w:val="center"/>
          </w:tcPr>
          <w:p w14:paraId="6E319A9F" w14:textId="77777777" w:rsidR="0089207C" w:rsidRPr="00AC3044" w:rsidRDefault="0089207C" w:rsidP="002D3EBF">
            <w:pPr>
              <w:rPr>
                <w:rFonts w:eastAsia="SimSun"/>
              </w:rPr>
            </w:pPr>
            <w:r w:rsidRPr="00AC3044">
              <w:rPr>
                <w:rFonts w:eastAsia="SimSun"/>
              </w:rPr>
              <w:t>С –6 по –4 день</w:t>
            </w:r>
          </w:p>
        </w:tc>
        <w:tc>
          <w:tcPr>
            <w:tcW w:w="2410" w:type="dxa"/>
            <w:vAlign w:val="center"/>
          </w:tcPr>
          <w:p w14:paraId="0005C0F3"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469024E8" w14:textId="77777777" w:rsidTr="002D3EBF">
        <w:trPr>
          <w:cantSplit/>
          <w:trHeight w:val="1680"/>
        </w:trPr>
        <w:tc>
          <w:tcPr>
            <w:tcW w:w="1135" w:type="dxa"/>
            <w:vMerge w:val="restart"/>
            <w:textDirection w:val="btLr"/>
            <w:vAlign w:val="center"/>
          </w:tcPr>
          <w:p w14:paraId="475FA022" w14:textId="77777777" w:rsidR="0089207C" w:rsidRPr="00AC3044" w:rsidRDefault="0089207C" w:rsidP="002D3EBF">
            <w:pPr>
              <w:rPr>
                <w:rFonts w:eastAsia="SimSun"/>
              </w:rPr>
            </w:pPr>
            <w:r w:rsidRPr="00AC3044">
              <w:rPr>
                <w:rFonts w:eastAsia="SimSun"/>
              </w:rPr>
              <w:t>Профилактика РТПХ</w:t>
            </w:r>
          </w:p>
        </w:tc>
        <w:tc>
          <w:tcPr>
            <w:tcW w:w="1559" w:type="dxa"/>
            <w:vAlign w:val="center"/>
          </w:tcPr>
          <w:p w14:paraId="3A8F21C7" w14:textId="77777777" w:rsidR="0089207C" w:rsidRPr="00AC3044" w:rsidRDefault="0089207C" w:rsidP="002D3EBF">
            <w:pPr>
              <w:rPr>
                <w:rFonts w:eastAsia="SimSun"/>
              </w:rPr>
            </w:pPr>
            <w:r w:rsidRPr="00AC3044">
              <w:rPr>
                <w:rFonts w:eastAsia="SimSun"/>
              </w:rPr>
              <w:t>Циклоспорин</w:t>
            </w:r>
          </w:p>
        </w:tc>
        <w:tc>
          <w:tcPr>
            <w:tcW w:w="1418" w:type="dxa"/>
            <w:vAlign w:val="center"/>
          </w:tcPr>
          <w:p w14:paraId="200F9893" w14:textId="77777777" w:rsidR="0089207C" w:rsidRPr="00AC3044" w:rsidRDefault="0089207C" w:rsidP="002D3EBF">
            <w:pPr>
              <w:rPr>
                <w:rFonts w:eastAsia="SimSun"/>
              </w:rPr>
            </w:pPr>
            <w:r w:rsidRPr="00AC3044">
              <w:rPr>
                <w:rFonts w:eastAsia="SimSun"/>
              </w:rPr>
              <w:t>3 мг/кг</w:t>
            </w:r>
          </w:p>
        </w:tc>
        <w:tc>
          <w:tcPr>
            <w:tcW w:w="1559" w:type="dxa"/>
            <w:vAlign w:val="center"/>
          </w:tcPr>
          <w:p w14:paraId="115D0B9C" w14:textId="77777777" w:rsidR="0089207C" w:rsidRPr="00AC3044" w:rsidRDefault="0089207C" w:rsidP="002D3EBF">
            <w:pPr>
              <w:rPr>
                <w:rFonts w:eastAsia="SimSun"/>
              </w:rPr>
            </w:pPr>
            <w:r w:rsidRPr="00AC3044">
              <w:rPr>
                <w:rFonts w:eastAsia="SimSun"/>
              </w:rPr>
              <w:t>–</w:t>
            </w:r>
          </w:p>
        </w:tc>
        <w:tc>
          <w:tcPr>
            <w:tcW w:w="1559" w:type="dxa"/>
            <w:vAlign w:val="center"/>
          </w:tcPr>
          <w:p w14:paraId="399308BC" w14:textId="77777777" w:rsidR="0089207C" w:rsidRPr="00AC3044" w:rsidRDefault="0089207C" w:rsidP="002D3EBF">
            <w:pPr>
              <w:rPr>
                <w:rFonts w:eastAsia="SimSun"/>
              </w:rPr>
            </w:pPr>
            <w:r w:rsidRPr="00AC3044">
              <w:rPr>
                <w:rFonts w:eastAsia="SimSun"/>
              </w:rPr>
              <w:t>С +5 дня по +90 день затем постепенное снижение к +180 дню</w:t>
            </w:r>
          </w:p>
        </w:tc>
        <w:tc>
          <w:tcPr>
            <w:tcW w:w="2410" w:type="dxa"/>
            <w:vAlign w:val="center"/>
          </w:tcPr>
          <w:p w14:paraId="58C2DC74" w14:textId="77777777" w:rsidR="0089207C" w:rsidRPr="00AC3044" w:rsidRDefault="0089207C" w:rsidP="002D3EBF">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9207C" w:rsidRPr="00AC3044" w14:paraId="4B173826" w14:textId="77777777" w:rsidTr="002D3EBF">
        <w:trPr>
          <w:cantSplit/>
          <w:trHeight w:val="20"/>
        </w:trPr>
        <w:tc>
          <w:tcPr>
            <w:tcW w:w="1135" w:type="dxa"/>
            <w:vMerge/>
            <w:textDirection w:val="btLr"/>
          </w:tcPr>
          <w:p w14:paraId="22E4BF29" w14:textId="77777777" w:rsidR="0089207C" w:rsidRPr="00AC3044" w:rsidRDefault="0089207C" w:rsidP="002D3EBF">
            <w:pPr>
              <w:rPr>
                <w:rFonts w:eastAsia="SimSun"/>
              </w:rPr>
            </w:pPr>
          </w:p>
        </w:tc>
        <w:tc>
          <w:tcPr>
            <w:tcW w:w="1559" w:type="dxa"/>
            <w:vAlign w:val="center"/>
          </w:tcPr>
          <w:p w14:paraId="3C864A6E" w14:textId="77777777" w:rsidR="0089207C" w:rsidRPr="00AC3044" w:rsidRDefault="0089207C" w:rsidP="002D3EBF">
            <w:pPr>
              <w:rPr>
                <w:rFonts w:eastAsia="SimSun"/>
              </w:rPr>
            </w:pPr>
            <w:r w:rsidRPr="00AC3044">
              <w:rPr>
                <w:rFonts w:eastAsia="SimSun"/>
              </w:rPr>
              <w:t>Микофенолата мофетил</w:t>
            </w:r>
          </w:p>
        </w:tc>
        <w:tc>
          <w:tcPr>
            <w:tcW w:w="1418" w:type="dxa"/>
            <w:vAlign w:val="center"/>
          </w:tcPr>
          <w:p w14:paraId="06E24331" w14:textId="77777777" w:rsidR="0089207C" w:rsidRPr="00AC3044" w:rsidRDefault="0089207C" w:rsidP="002D3EBF">
            <w:pPr>
              <w:rPr>
                <w:rFonts w:eastAsia="SimSun"/>
              </w:rPr>
            </w:pPr>
            <w:r w:rsidRPr="00AC3044">
              <w:rPr>
                <w:rFonts w:eastAsia="SimSun"/>
              </w:rPr>
              <w:t>45 мг/кг</w:t>
            </w:r>
          </w:p>
        </w:tc>
        <w:tc>
          <w:tcPr>
            <w:tcW w:w="1559" w:type="dxa"/>
            <w:vAlign w:val="center"/>
          </w:tcPr>
          <w:p w14:paraId="3138717D" w14:textId="77777777" w:rsidR="0089207C" w:rsidRPr="00AC3044" w:rsidRDefault="0089207C" w:rsidP="002D3EBF">
            <w:pPr>
              <w:rPr>
                <w:rFonts w:eastAsia="SimSun"/>
              </w:rPr>
            </w:pPr>
            <w:r w:rsidRPr="00AC3044">
              <w:rPr>
                <w:rFonts w:eastAsia="SimSun"/>
              </w:rPr>
              <w:t>–</w:t>
            </w:r>
          </w:p>
        </w:tc>
        <w:tc>
          <w:tcPr>
            <w:tcW w:w="1559" w:type="dxa"/>
            <w:vAlign w:val="center"/>
          </w:tcPr>
          <w:p w14:paraId="5D669536" w14:textId="77777777" w:rsidR="0089207C" w:rsidRPr="00AC3044" w:rsidRDefault="0089207C" w:rsidP="002D3EBF">
            <w:pPr>
              <w:rPr>
                <w:rFonts w:eastAsia="SimSun"/>
              </w:rPr>
            </w:pPr>
            <w:r w:rsidRPr="00AC3044">
              <w:rPr>
                <w:rFonts w:eastAsia="SimSun"/>
              </w:rPr>
              <w:t>С +5 по +90 день</w:t>
            </w:r>
          </w:p>
        </w:tc>
        <w:tc>
          <w:tcPr>
            <w:tcW w:w="2410" w:type="dxa"/>
            <w:vAlign w:val="center"/>
          </w:tcPr>
          <w:p w14:paraId="4377196D" w14:textId="77777777" w:rsidR="0089207C" w:rsidRPr="00AC3044" w:rsidRDefault="0089207C" w:rsidP="002D3EBF">
            <w:pPr>
              <w:rPr>
                <w:rFonts w:eastAsia="SimSun"/>
              </w:rPr>
            </w:pPr>
            <w:r w:rsidRPr="00AC3044">
              <w:rPr>
                <w:rFonts w:eastAsia="SimSun"/>
              </w:rPr>
              <w:t xml:space="preserve">Внутрь, суммарная суточная доза разделяется на 2- 4 приема (не более 3г/сут).  </w:t>
            </w:r>
          </w:p>
        </w:tc>
      </w:tr>
      <w:tr w:rsidR="0089207C" w:rsidRPr="00AC3044" w14:paraId="42EC9334" w14:textId="77777777" w:rsidTr="002D3EBF">
        <w:trPr>
          <w:cantSplit/>
          <w:trHeight w:val="20"/>
        </w:trPr>
        <w:tc>
          <w:tcPr>
            <w:tcW w:w="1135" w:type="dxa"/>
            <w:vMerge/>
            <w:textDirection w:val="btLr"/>
          </w:tcPr>
          <w:p w14:paraId="54D1E391" w14:textId="77777777" w:rsidR="0089207C" w:rsidRPr="00AC3044" w:rsidRDefault="0089207C" w:rsidP="002D3EBF">
            <w:pPr>
              <w:rPr>
                <w:rFonts w:eastAsia="SimSun"/>
              </w:rPr>
            </w:pPr>
          </w:p>
        </w:tc>
        <w:tc>
          <w:tcPr>
            <w:tcW w:w="1559" w:type="dxa"/>
            <w:vAlign w:val="center"/>
          </w:tcPr>
          <w:p w14:paraId="131422BF" w14:textId="77777777" w:rsidR="0089207C" w:rsidRPr="00AC3044" w:rsidRDefault="0089207C" w:rsidP="002D3EBF">
            <w:pPr>
              <w:rPr>
                <w:rFonts w:eastAsia="SimSun"/>
              </w:rPr>
            </w:pPr>
            <w:r w:rsidRPr="00AC3044">
              <w:rPr>
                <w:rFonts w:eastAsia="SimSun"/>
              </w:rPr>
              <w:t>Циклофосфамид</w:t>
            </w:r>
          </w:p>
        </w:tc>
        <w:tc>
          <w:tcPr>
            <w:tcW w:w="1418" w:type="dxa"/>
            <w:vAlign w:val="center"/>
          </w:tcPr>
          <w:p w14:paraId="0685B08A" w14:textId="77777777" w:rsidR="0089207C" w:rsidRPr="00AC3044" w:rsidRDefault="0089207C" w:rsidP="002D3EBF">
            <w:pPr>
              <w:rPr>
                <w:rFonts w:eastAsia="SimSun"/>
              </w:rPr>
            </w:pPr>
            <w:r w:rsidRPr="00AC3044">
              <w:rPr>
                <w:rFonts w:eastAsia="SimSun"/>
              </w:rPr>
              <w:t>50 мг/кг</w:t>
            </w:r>
          </w:p>
        </w:tc>
        <w:tc>
          <w:tcPr>
            <w:tcW w:w="1559" w:type="dxa"/>
            <w:vAlign w:val="center"/>
          </w:tcPr>
          <w:p w14:paraId="51D2459F" w14:textId="77777777" w:rsidR="0089207C" w:rsidRPr="00AC3044" w:rsidRDefault="0089207C" w:rsidP="002D3EBF">
            <w:pPr>
              <w:rPr>
                <w:rFonts w:eastAsia="SimSun"/>
              </w:rPr>
            </w:pPr>
            <w:r w:rsidRPr="00AC3044">
              <w:rPr>
                <w:rFonts w:eastAsia="SimSun"/>
              </w:rPr>
              <w:t>100 мг/кг</w:t>
            </w:r>
          </w:p>
        </w:tc>
        <w:tc>
          <w:tcPr>
            <w:tcW w:w="1559" w:type="dxa"/>
            <w:vAlign w:val="center"/>
          </w:tcPr>
          <w:p w14:paraId="0AC5B40A" w14:textId="77777777" w:rsidR="0089207C" w:rsidRPr="00AC3044" w:rsidRDefault="0089207C" w:rsidP="002D3EBF">
            <w:pPr>
              <w:rPr>
                <w:rFonts w:eastAsia="SimSun"/>
              </w:rPr>
            </w:pPr>
            <w:r w:rsidRPr="00AC3044">
              <w:rPr>
                <w:rFonts w:eastAsia="SimSun"/>
              </w:rPr>
              <w:t xml:space="preserve">+3,+4 дни </w:t>
            </w:r>
          </w:p>
        </w:tc>
        <w:tc>
          <w:tcPr>
            <w:tcW w:w="2410" w:type="dxa"/>
            <w:vAlign w:val="center"/>
          </w:tcPr>
          <w:p w14:paraId="5D989DDA" w14:textId="77777777" w:rsidR="0089207C" w:rsidRPr="00AC3044" w:rsidRDefault="0089207C" w:rsidP="002D3EBF">
            <w:pPr>
              <w:rPr>
                <w:rFonts w:eastAsia="SimSun"/>
              </w:rPr>
            </w:pPr>
            <w:r w:rsidRPr="00AC3044">
              <w:rPr>
                <w:rFonts w:eastAsia="SimSun"/>
              </w:rPr>
              <w:t>В/в, в течение 2 часов</w:t>
            </w:r>
          </w:p>
        </w:tc>
      </w:tr>
    </w:tbl>
    <w:p w14:paraId="08D81806" w14:textId="77777777" w:rsidR="0089207C" w:rsidRPr="00C07B2E" w:rsidRDefault="0089207C" w:rsidP="0089207C">
      <w:pPr>
        <w:rPr>
          <w:rFonts w:eastAsia="SimSun"/>
        </w:rPr>
      </w:pPr>
    </w:p>
    <w:p w14:paraId="651E4165" w14:textId="77777777" w:rsidR="0089207C" w:rsidRPr="00C07B2E" w:rsidRDefault="0089207C" w:rsidP="0089207C">
      <w:pPr>
        <w:rPr>
          <w:rFonts w:eastAsia="SimSun"/>
        </w:rPr>
      </w:pPr>
    </w:p>
    <w:p w14:paraId="54BFA7C4" w14:textId="77777777" w:rsidR="0089207C" w:rsidRPr="00C07B2E" w:rsidRDefault="0089207C" w:rsidP="0089207C">
      <w:pPr>
        <w:rPr>
          <w:rFonts w:eastAsia="SimSun"/>
        </w:rPr>
      </w:pPr>
      <w:bookmarkStart w:id="282" w:name="_Toc44401237"/>
      <w:r>
        <w:rPr>
          <w:rFonts w:eastAsia="SimSun"/>
        </w:rPr>
        <w:t>Таблица</w:t>
      </w:r>
      <w:r w:rsidRPr="00C07B2E">
        <w:rPr>
          <w:rFonts w:eastAsia="SimSun"/>
        </w:rPr>
        <w:t xml:space="preserve"> </w:t>
      </w:r>
      <w:r>
        <w:rPr>
          <w:rFonts w:eastAsia="SimSun"/>
        </w:rPr>
        <w:t>5.</w:t>
      </w:r>
      <w:r w:rsidRPr="00C07B2E">
        <w:rPr>
          <w:rFonts w:eastAsia="SimSun"/>
        </w:rPr>
        <w:t>3.1. 12 – Flu150+Cy29+TBI / PT-Cy+CSA+MMF45</w:t>
      </w:r>
      <w:bookmarkEnd w:id="282"/>
    </w:p>
    <w:tbl>
      <w:tblPr>
        <w:tblW w:w="503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3"/>
        <w:gridCol w:w="1524"/>
        <w:gridCol w:w="1387"/>
        <w:gridCol w:w="1519"/>
        <w:gridCol w:w="1382"/>
        <w:gridCol w:w="2478"/>
      </w:tblGrid>
      <w:tr w:rsidR="0089207C" w:rsidRPr="00AC3044" w14:paraId="2FAB14F4" w14:textId="77777777" w:rsidTr="002D3EBF">
        <w:trPr>
          <w:cantSplit/>
          <w:trHeight w:val="20"/>
          <w:tblHeader/>
        </w:trPr>
        <w:tc>
          <w:tcPr>
            <w:tcW w:w="596" w:type="pct"/>
            <w:vAlign w:val="center"/>
          </w:tcPr>
          <w:p w14:paraId="5793EF81" w14:textId="77777777" w:rsidR="0089207C" w:rsidRPr="00AC3044" w:rsidRDefault="0089207C" w:rsidP="002D3EBF">
            <w:pPr>
              <w:rPr>
                <w:rFonts w:eastAsia="SimSun"/>
              </w:rPr>
            </w:pPr>
          </w:p>
        </w:tc>
        <w:tc>
          <w:tcPr>
            <w:tcW w:w="809" w:type="pct"/>
            <w:vAlign w:val="center"/>
          </w:tcPr>
          <w:p w14:paraId="615817E1" w14:textId="77777777" w:rsidR="0089207C" w:rsidRPr="00AC3044" w:rsidRDefault="0089207C" w:rsidP="002D3EBF">
            <w:pPr>
              <w:rPr>
                <w:rFonts w:eastAsia="SimSun"/>
              </w:rPr>
            </w:pPr>
            <w:r w:rsidRPr="00AC3044">
              <w:rPr>
                <w:rFonts w:eastAsia="SimSun"/>
              </w:rPr>
              <w:t>Препарат</w:t>
            </w:r>
          </w:p>
        </w:tc>
        <w:tc>
          <w:tcPr>
            <w:tcW w:w="737" w:type="pct"/>
            <w:vAlign w:val="center"/>
          </w:tcPr>
          <w:p w14:paraId="0B9901C9" w14:textId="77777777" w:rsidR="0089207C" w:rsidRPr="00AC3044" w:rsidRDefault="0089207C" w:rsidP="002D3EBF">
            <w:pPr>
              <w:rPr>
                <w:rFonts w:eastAsia="SimSun"/>
              </w:rPr>
            </w:pPr>
            <w:r w:rsidRPr="00AC3044">
              <w:rPr>
                <w:rFonts w:eastAsia="SimSun"/>
              </w:rPr>
              <w:t>Суточная доза</w:t>
            </w:r>
          </w:p>
        </w:tc>
        <w:tc>
          <w:tcPr>
            <w:tcW w:w="807" w:type="pct"/>
            <w:vAlign w:val="center"/>
          </w:tcPr>
          <w:p w14:paraId="07E636D8" w14:textId="77777777" w:rsidR="0089207C" w:rsidRPr="00AC3044" w:rsidRDefault="0089207C" w:rsidP="002D3EBF">
            <w:pPr>
              <w:rPr>
                <w:rFonts w:eastAsia="SimSun"/>
              </w:rPr>
            </w:pPr>
            <w:r w:rsidRPr="00AC3044">
              <w:rPr>
                <w:rFonts w:eastAsia="SimSun"/>
              </w:rPr>
              <w:t>Курсовая доза</w:t>
            </w:r>
          </w:p>
        </w:tc>
        <w:tc>
          <w:tcPr>
            <w:tcW w:w="734" w:type="pct"/>
            <w:vAlign w:val="center"/>
          </w:tcPr>
          <w:p w14:paraId="25D2A023" w14:textId="77777777" w:rsidR="0089207C" w:rsidRPr="00AC3044" w:rsidRDefault="0089207C" w:rsidP="002D3EBF">
            <w:pPr>
              <w:rPr>
                <w:rFonts w:eastAsia="SimSun"/>
              </w:rPr>
            </w:pPr>
            <w:r w:rsidRPr="00AC3044">
              <w:rPr>
                <w:rFonts w:eastAsia="SimSun"/>
              </w:rPr>
              <w:t>Дни введения</w:t>
            </w:r>
          </w:p>
        </w:tc>
        <w:tc>
          <w:tcPr>
            <w:tcW w:w="1316" w:type="pct"/>
            <w:vAlign w:val="center"/>
          </w:tcPr>
          <w:p w14:paraId="1C5623E0"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08C51FA0" w14:textId="77777777" w:rsidTr="002D3EBF">
        <w:trPr>
          <w:cantSplit/>
          <w:trHeight w:val="20"/>
        </w:trPr>
        <w:tc>
          <w:tcPr>
            <w:tcW w:w="596" w:type="pct"/>
            <w:vMerge w:val="restart"/>
            <w:textDirection w:val="btLr"/>
            <w:vAlign w:val="center"/>
          </w:tcPr>
          <w:p w14:paraId="514FA08B" w14:textId="77777777" w:rsidR="0089207C" w:rsidRPr="00AC3044" w:rsidRDefault="0089207C" w:rsidP="002D3EBF">
            <w:pPr>
              <w:rPr>
                <w:rFonts w:eastAsia="SimSun"/>
              </w:rPr>
            </w:pPr>
            <w:r w:rsidRPr="00AC3044">
              <w:rPr>
                <w:rFonts w:eastAsia="SimSun"/>
              </w:rPr>
              <w:t>Кондиционирование</w:t>
            </w:r>
          </w:p>
        </w:tc>
        <w:tc>
          <w:tcPr>
            <w:tcW w:w="809" w:type="pct"/>
          </w:tcPr>
          <w:p w14:paraId="76CECE68" w14:textId="77777777" w:rsidR="0089207C" w:rsidRPr="00AC3044" w:rsidRDefault="0089207C" w:rsidP="002D3EBF">
            <w:pPr>
              <w:rPr>
                <w:rFonts w:eastAsia="SimSun"/>
              </w:rPr>
            </w:pPr>
            <w:r w:rsidRPr="00AC3044">
              <w:rPr>
                <w:rFonts w:eastAsia="SimSun"/>
              </w:rPr>
              <w:t xml:space="preserve">Флударабин </w:t>
            </w:r>
          </w:p>
        </w:tc>
        <w:tc>
          <w:tcPr>
            <w:tcW w:w="737" w:type="pct"/>
          </w:tcPr>
          <w:p w14:paraId="76D16AC8" w14:textId="77777777" w:rsidR="0089207C" w:rsidRPr="00AC3044" w:rsidRDefault="0089207C" w:rsidP="002D3EBF">
            <w:pPr>
              <w:rPr>
                <w:rFonts w:eastAsia="SimSun"/>
              </w:rPr>
            </w:pPr>
            <w:r w:rsidRPr="00AC3044">
              <w:rPr>
                <w:rFonts w:eastAsia="SimSun"/>
              </w:rPr>
              <w:t>30 мг/м</w:t>
            </w:r>
            <w:r w:rsidRPr="0074195F">
              <w:rPr>
                <w:rFonts w:eastAsia="SimSun"/>
                <w:vertAlign w:val="superscript"/>
              </w:rPr>
              <w:t>2</w:t>
            </w:r>
          </w:p>
        </w:tc>
        <w:tc>
          <w:tcPr>
            <w:tcW w:w="807" w:type="pct"/>
          </w:tcPr>
          <w:p w14:paraId="5AFA765D" w14:textId="77777777" w:rsidR="0089207C" w:rsidRPr="00AC3044" w:rsidRDefault="0089207C" w:rsidP="002D3EBF">
            <w:pPr>
              <w:rPr>
                <w:rFonts w:eastAsia="SimSun"/>
              </w:rPr>
            </w:pPr>
            <w:r w:rsidRPr="00AC3044">
              <w:rPr>
                <w:rFonts w:eastAsia="SimSun"/>
              </w:rPr>
              <w:t>150 мг/м</w:t>
            </w:r>
            <w:r w:rsidRPr="0074195F">
              <w:rPr>
                <w:rFonts w:eastAsia="SimSun"/>
                <w:vertAlign w:val="superscript"/>
              </w:rPr>
              <w:t>2</w:t>
            </w:r>
          </w:p>
        </w:tc>
        <w:tc>
          <w:tcPr>
            <w:tcW w:w="734" w:type="pct"/>
          </w:tcPr>
          <w:p w14:paraId="559BA36D" w14:textId="77777777" w:rsidR="0089207C" w:rsidRPr="00AC3044" w:rsidRDefault="0089207C" w:rsidP="002D3EBF">
            <w:pPr>
              <w:rPr>
                <w:rFonts w:eastAsia="SimSun"/>
              </w:rPr>
            </w:pPr>
            <w:r w:rsidRPr="00AC3044">
              <w:rPr>
                <w:rFonts w:eastAsia="SimSun"/>
              </w:rPr>
              <w:t>С –6 по –2 день</w:t>
            </w:r>
          </w:p>
        </w:tc>
        <w:tc>
          <w:tcPr>
            <w:tcW w:w="1316" w:type="pct"/>
          </w:tcPr>
          <w:p w14:paraId="4ED97E0A" w14:textId="77777777" w:rsidR="0089207C" w:rsidRPr="00AC3044" w:rsidRDefault="0089207C" w:rsidP="002D3EBF">
            <w:pPr>
              <w:rPr>
                <w:rFonts w:eastAsia="SimSun"/>
              </w:rPr>
            </w:pPr>
            <w:r w:rsidRPr="00C07B2E">
              <w:rPr>
                <w:rFonts w:eastAsia="SimSun"/>
              </w:rPr>
              <w:t>В/в, в течение 30 -60 мин</w:t>
            </w:r>
          </w:p>
        </w:tc>
      </w:tr>
      <w:tr w:rsidR="0089207C" w:rsidRPr="00AC3044" w14:paraId="210A13A9" w14:textId="77777777" w:rsidTr="002D3EBF">
        <w:trPr>
          <w:cantSplit/>
          <w:trHeight w:val="586"/>
        </w:trPr>
        <w:tc>
          <w:tcPr>
            <w:tcW w:w="596" w:type="pct"/>
            <w:vMerge/>
            <w:vAlign w:val="center"/>
          </w:tcPr>
          <w:p w14:paraId="0D5AF660" w14:textId="77777777" w:rsidR="0089207C" w:rsidRPr="00AC3044" w:rsidRDefault="0089207C" w:rsidP="002D3EBF">
            <w:pPr>
              <w:rPr>
                <w:rFonts w:eastAsia="SimSun"/>
              </w:rPr>
            </w:pPr>
          </w:p>
        </w:tc>
        <w:tc>
          <w:tcPr>
            <w:tcW w:w="809" w:type="pct"/>
            <w:vAlign w:val="center"/>
          </w:tcPr>
          <w:p w14:paraId="75AA6BA8" w14:textId="77777777" w:rsidR="0089207C" w:rsidRPr="00AC3044" w:rsidRDefault="0089207C" w:rsidP="002D3EBF">
            <w:pPr>
              <w:rPr>
                <w:rFonts w:eastAsia="SimSun"/>
              </w:rPr>
            </w:pPr>
            <w:r w:rsidRPr="00AC3044">
              <w:rPr>
                <w:rFonts w:eastAsia="SimSun"/>
              </w:rPr>
              <w:t>Циклофосфамид</w:t>
            </w:r>
          </w:p>
        </w:tc>
        <w:tc>
          <w:tcPr>
            <w:tcW w:w="737" w:type="pct"/>
            <w:vAlign w:val="center"/>
          </w:tcPr>
          <w:p w14:paraId="25F1015F" w14:textId="77777777" w:rsidR="0089207C" w:rsidRPr="00AC3044" w:rsidRDefault="0089207C" w:rsidP="002D3EBF">
            <w:pPr>
              <w:rPr>
                <w:rFonts w:eastAsia="SimSun"/>
              </w:rPr>
            </w:pPr>
            <w:r w:rsidRPr="00AC3044">
              <w:rPr>
                <w:rFonts w:eastAsia="SimSun"/>
              </w:rPr>
              <w:t>14,5 мг/кг</w:t>
            </w:r>
          </w:p>
        </w:tc>
        <w:tc>
          <w:tcPr>
            <w:tcW w:w="807" w:type="pct"/>
            <w:vAlign w:val="center"/>
          </w:tcPr>
          <w:p w14:paraId="29CE5E5F" w14:textId="77777777" w:rsidR="0089207C" w:rsidRPr="00AC3044" w:rsidRDefault="0089207C" w:rsidP="002D3EBF">
            <w:pPr>
              <w:rPr>
                <w:rFonts w:eastAsia="SimSun"/>
              </w:rPr>
            </w:pPr>
            <w:r w:rsidRPr="00AC3044">
              <w:rPr>
                <w:rFonts w:eastAsia="SimSun"/>
              </w:rPr>
              <w:t>29 мг/кг</w:t>
            </w:r>
          </w:p>
        </w:tc>
        <w:tc>
          <w:tcPr>
            <w:tcW w:w="734" w:type="pct"/>
            <w:vAlign w:val="center"/>
          </w:tcPr>
          <w:p w14:paraId="6D073993" w14:textId="77777777" w:rsidR="0089207C" w:rsidRPr="00AC3044" w:rsidRDefault="0089207C" w:rsidP="002D3EBF">
            <w:pPr>
              <w:rPr>
                <w:rFonts w:eastAsia="SimSun"/>
              </w:rPr>
            </w:pPr>
            <w:r w:rsidRPr="00AC3044">
              <w:rPr>
                <w:rFonts w:eastAsia="SimSun"/>
              </w:rPr>
              <w:t xml:space="preserve">–6, –5 дни </w:t>
            </w:r>
          </w:p>
        </w:tc>
        <w:tc>
          <w:tcPr>
            <w:tcW w:w="1316" w:type="pct"/>
            <w:vAlign w:val="center"/>
          </w:tcPr>
          <w:p w14:paraId="4938BF27" w14:textId="77777777" w:rsidR="0089207C" w:rsidRPr="00AC3044" w:rsidRDefault="0089207C" w:rsidP="002D3EBF">
            <w:pPr>
              <w:rPr>
                <w:rFonts w:eastAsia="SimSun"/>
              </w:rPr>
            </w:pPr>
            <w:r w:rsidRPr="00AC3044">
              <w:rPr>
                <w:rFonts w:eastAsia="SimSun"/>
              </w:rPr>
              <w:t>В/в, в течение 1 часа</w:t>
            </w:r>
          </w:p>
        </w:tc>
      </w:tr>
      <w:tr w:rsidR="0089207C" w:rsidRPr="00AC3044" w14:paraId="382572F3" w14:textId="77777777" w:rsidTr="002D3EBF">
        <w:trPr>
          <w:cantSplit/>
          <w:trHeight w:val="566"/>
        </w:trPr>
        <w:tc>
          <w:tcPr>
            <w:tcW w:w="596" w:type="pct"/>
            <w:vMerge/>
            <w:vAlign w:val="center"/>
          </w:tcPr>
          <w:p w14:paraId="1AA101BB" w14:textId="77777777" w:rsidR="0089207C" w:rsidRPr="00AC3044" w:rsidRDefault="0089207C" w:rsidP="002D3EBF">
            <w:pPr>
              <w:rPr>
                <w:rFonts w:eastAsia="SimSun"/>
              </w:rPr>
            </w:pPr>
          </w:p>
        </w:tc>
        <w:tc>
          <w:tcPr>
            <w:tcW w:w="809" w:type="pct"/>
            <w:vAlign w:val="center"/>
          </w:tcPr>
          <w:p w14:paraId="2DCC136A" w14:textId="77777777" w:rsidR="0089207C" w:rsidRPr="00AC3044" w:rsidRDefault="0089207C" w:rsidP="002D3EBF">
            <w:pPr>
              <w:rPr>
                <w:rFonts w:eastAsia="SimSun"/>
              </w:rPr>
            </w:pPr>
            <w:r w:rsidRPr="00AC3044">
              <w:rPr>
                <w:rFonts w:eastAsia="SimSun"/>
              </w:rPr>
              <w:t>ТТО</w:t>
            </w:r>
          </w:p>
        </w:tc>
        <w:tc>
          <w:tcPr>
            <w:tcW w:w="737" w:type="pct"/>
            <w:vAlign w:val="center"/>
          </w:tcPr>
          <w:p w14:paraId="091190FE" w14:textId="77777777" w:rsidR="0089207C" w:rsidRPr="00AC3044" w:rsidRDefault="0089207C" w:rsidP="002D3EBF">
            <w:pPr>
              <w:rPr>
                <w:rFonts w:eastAsia="SimSun"/>
              </w:rPr>
            </w:pPr>
            <w:r w:rsidRPr="00AC3044">
              <w:rPr>
                <w:rFonts w:eastAsia="SimSun"/>
              </w:rPr>
              <w:t>2 Гр</w:t>
            </w:r>
          </w:p>
        </w:tc>
        <w:tc>
          <w:tcPr>
            <w:tcW w:w="807" w:type="pct"/>
            <w:vAlign w:val="center"/>
          </w:tcPr>
          <w:p w14:paraId="01F41EB1" w14:textId="77777777" w:rsidR="0089207C" w:rsidRPr="00AC3044" w:rsidRDefault="0089207C" w:rsidP="002D3EBF">
            <w:pPr>
              <w:rPr>
                <w:rFonts w:eastAsia="SimSun"/>
              </w:rPr>
            </w:pPr>
            <w:r w:rsidRPr="00AC3044">
              <w:rPr>
                <w:rFonts w:eastAsia="SimSun"/>
              </w:rPr>
              <w:t>2 Гр</w:t>
            </w:r>
          </w:p>
        </w:tc>
        <w:tc>
          <w:tcPr>
            <w:tcW w:w="734" w:type="pct"/>
            <w:vAlign w:val="center"/>
          </w:tcPr>
          <w:p w14:paraId="0D4A2B8B" w14:textId="77777777" w:rsidR="0089207C" w:rsidRPr="00AC3044" w:rsidRDefault="0089207C" w:rsidP="002D3EBF">
            <w:pPr>
              <w:rPr>
                <w:rFonts w:eastAsia="SimSun"/>
              </w:rPr>
            </w:pPr>
            <w:r w:rsidRPr="00AC3044">
              <w:rPr>
                <w:rFonts w:eastAsia="SimSun"/>
              </w:rPr>
              <w:t xml:space="preserve">Д-1 </w:t>
            </w:r>
          </w:p>
        </w:tc>
        <w:tc>
          <w:tcPr>
            <w:tcW w:w="1316" w:type="pct"/>
            <w:vAlign w:val="center"/>
          </w:tcPr>
          <w:p w14:paraId="717532A9" w14:textId="77777777" w:rsidR="0089207C" w:rsidRPr="00AC3044" w:rsidRDefault="0089207C" w:rsidP="002D3EBF">
            <w:pPr>
              <w:rPr>
                <w:rFonts w:eastAsia="SimSun"/>
              </w:rPr>
            </w:pPr>
            <w:r w:rsidRPr="00AC3044">
              <w:rPr>
                <w:rFonts w:eastAsia="SimSun"/>
              </w:rPr>
              <w:t>1 фракция 2 Гр за 2 часа  без экранированиия легких</w:t>
            </w:r>
          </w:p>
        </w:tc>
      </w:tr>
      <w:tr w:rsidR="0089207C" w:rsidRPr="00AC3044" w14:paraId="451EC95B" w14:textId="77777777" w:rsidTr="002D3EBF">
        <w:trPr>
          <w:cantSplit/>
          <w:trHeight w:val="20"/>
        </w:trPr>
        <w:tc>
          <w:tcPr>
            <w:tcW w:w="596" w:type="pct"/>
            <w:vMerge w:val="restart"/>
            <w:textDirection w:val="btLr"/>
            <w:vAlign w:val="center"/>
          </w:tcPr>
          <w:p w14:paraId="0FB79EAF" w14:textId="77777777" w:rsidR="0089207C" w:rsidRPr="00AC3044" w:rsidRDefault="0089207C" w:rsidP="002D3EBF">
            <w:pPr>
              <w:rPr>
                <w:rFonts w:eastAsia="SimSun"/>
              </w:rPr>
            </w:pPr>
            <w:r w:rsidRPr="00AC3044">
              <w:rPr>
                <w:rFonts w:eastAsia="SimSun"/>
              </w:rPr>
              <w:t>Профилактика РТПХ</w:t>
            </w:r>
          </w:p>
        </w:tc>
        <w:tc>
          <w:tcPr>
            <w:tcW w:w="809" w:type="pct"/>
          </w:tcPr>
          <w:p w14:paraId="124F6137" w14:textId="77777777" w:rsidR="0089207C" w:rsidRPr="00AC3044" w:rsidRDefault="0089207C" w:rsidP="002D3EBF">
            <w:pPr>
              <w:rPr>
                <w:rFonts w:eastAsia="SimSun"/>
              </w:rPr>
            </w:pPr>
            <w:r w:rsidRPr="00AC3044">
              <w:rPr>
                <w:rFonts w:eastAsia="SimSun"/>
              </w:rPr>
              <w:t>Циклофосфамид</w:t>
            </w:r>
          </w:p>
        </w:tc>
        <w:tc>
          <w:tcPr>
            <w:tcW w:w="737" w:type="pct"/>
          </w:tcPr>
          <w:p w14:paraId="0A5132F5" w14:textId="77777777" w:rsidR="0089207C" w:rsidRPr="00AC3044" w:rsidRDefault="0089207C" w:rsidP="002D3EBF">
            <w:pPr>
              <w:rPr>
                <w:rFonts w:eastAsia="SimSun"/>
              </w:rPr>
            </w:pPr>
            <w:r w:rsidRPr="00AC3044">
              <w:rPr>
                <w:rFonts w:eastAsia="SimSun"/>
              </w:rPr>
              <w:t>50 мг/кг</w:t>
            </w:r>
          </w:p>
        </w:tc>
        <w:tc>
          <w:tcPr>
            <w:tcW w:w="807" w:type="pct"/>
          </w:tcPr>
          <w:p w14:paraId="681C886A" w14:textId="77777777" w:rsidR="0089207C" w:rsidRPr="00AC3044" w:rsidRDefault="0089207C" w:rsidP="002D3EBF">
            <w:pPr>
              <w:rPr>
                <w:rFonts w:eastAsia="SimSun"/>
              </w:rPr>
            </w:pPr>
            <w:r w:rsidRPr="00AC3044">
              <w:rPr>
                <w:rFonts w:eastAsia="SimSun"/>
              </w:rPr>
              <w:t>100 мг/кг</w:t>
            </w:r>
          </w:p>
        </w:tc>
        <w:tc>
          <w:tcPr>
            <w:tcW w:w="734" w:type="pct"/>
          </w:tcPr>
          <w:p w14:paraId="29AA392E" w14:textId="77777777" w:rsidR="0089207C" w:rsidRPr="00AC3044" w:rsidRDefault="0089207C" w:rsidP="002D3EBF">
            <w:pPr>
              <w:rPr>
                <w:rFonts w:eastAsia="SimSun"/>
              </w:rPr>
            </w:pPr>
            <w:r w:rsidRPr="00AC3044">
              <w:rPr>
                <w:rFonts w:eastAsia="SimSun"/>
              </w:rPr>
              <w:t xml:space="preserve">+3,+4 дни </w:t>
            </w:r>
          </w:p>
        </w:tc>
        <w:tc>
          <w:tcPr>
            <w:tcW w:w="1316" w:type="pct"/>
          </w:tcPr>
          <w:p w14:paraId="0260580E"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72AC3492" w14:textId="77777777" w:rsidTr="002D3EBF">
        <w:trPr>
          <w:cantSplit/>
          <w:trHeight w:val="20"/>
        </w:trPr>
        <w:tc>
          <w:tcPr>
            <w:tcW w:w="596" w:type="pct"/>
            <w:vMerge/>
          </w:tcPr>
          <w:p w14:paraId="491F91B6" w14:textId="77777777" w:rsidR="0089207C" w:rsidRPr="00AC3044" w:rsidRDefault="0089207C" w:rsidP="002D3EBF">
            <w:pPr>
              <w:rPr>
                <w:rFonts w:eastAsia="SimSun"/>
              </w:rPr>
            </w:pPr>
          </w:p>
        </w:tc>
        <w:tc>
          <w:tcPr>
            <w:tcW w:w="809" w:type="pct"/>
            <w:vAlign w:val="center"/>
          </w:tcPr>
          <w:p w14:paraId="5B25C1F1" w14:textId="77777777" w:rsidR="0089207C" w:rsidRPr="00AC3044" w:rsidRDefault="0089207C" w:rsidP="002D3EBF">
            <w:pPr>
              <w:rPr>
                <w:rFonts w:eastAsia="SimSun"/>
              </w:rPr>
            </w:pPr>
            <w:r w:rsidRPr="00AC3044">
              <w:rPr>
                <w:rFonts w:eastAsia="SimSun"/>
              </w:rPr>
              <w:t xml:space="preserve">Такролимус </w:t>
            </w:r>
          </w:p>
        </w:tc>
        <w:tc>
          <w:tcPr>
            <w:tcW w:w="737" w:type="pct"/>
            <w:vAlign w:val="center"/>
          </w:tcPr>
          <w:p w14:paraId="528E17B0" w14:textId="77777777" w:rsidR="0089207C" w:rsidRPr="00AC3044" w:rsidRDefault="0089207C" w:rsidP="002D3EBF">
            <w:pPr>
              <w:rPr>
                <w:rFonts w:eastAsia="SimSun"/>
              </w:rPr>
            </w:pPr>
            <w:r w:rsidRPr="00AC3044">
              <w:rPr>
                <w:rFonts w:eastAsia="SimSun"/>
              </w:rPr>
              <w:t>0,03 мг/кг</w:t>
            </w:r>
          </w:p>
        </w:tc>
        <w:tc>
          <w:tcPr>
            <w:tcW w:w="807" w:type="pct"/>
            <w:vAlign w:val="center"/>
          </w:tcPr>
          <w:p w14:paraId="302F8C50" w14:textId="77777777" w:rsidR="0089207C" w:rsidRPr="00AC3044" w:rsidRDefault="0089207C" w:rsidP="002D3EBF">
            <w:pPr>
              <w:rPr>
                <w:rFonts w:eastAsia="SimSun"/>
              </w:rPr>
            </w:pPr>
            <w:r w:rsidRPr="00AC3044">
              <w:rPr>
                <w:rFonts w:eastAsia="SimSun"/>
              </w:rPr>
              <w:t>–</w:t>
            </w:r>
          </w:p>
        </w:tc>
        <w:tc>
          <w:tcPr>
            <w:tcW w:w="734" w:type="pct"/>
            <w:vAlign w:val="center"/>
          </w:tcPr>
          <w:p w14:paraId="2B269695" w14:textId="77777777" w:rsidR="0089207C" w:rsidRPr="00AC3044" w:rsidRDefault="0089207C" w:rsidP="002D3EBF">
            <w:pPr>
              <w:rPr>
                <w:rFonts w:eastAsia="SimSun"/>
              </w:rPr>
            </w:pPr>
            <w:r w:rsidRPr="00AC3044">
              <w:rPr>
                <w:rFonts w:eastAsia="SimSun"/>
              </w:rPr>
              <w:t>С +5 по +100 день, затем постепенное снижение к +180 дню</w:t>
            </w:r>
          </w:p>
        </w:tc>
        <w:tc>
          <w:tcPr>
            <w:tcW w:w="1316" w:type="pct"/>
            <w:vAlign w:val="center"/>
          </w:tcPr>
          <w:p w14:paraId="026B8A7B" w14:textId="77777777" w:rsidR="0089207C" w:rsidRPr="00AC3044" w:rsidRDefault="0089207C" w:rsidP="002D3EBF">
            <w:pPr>
              <w:rPr>
                <w:rFonts w:eastAsia="SimSun"/>
              </w:rPr>
            </w:pPr>
            <w:r w:rsidRPr="00C07B2E">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C07B2E">
              <w:rPr>
                <w:rFonts w:eastAsia="SimSun"/>
              </w:rPr>
              <w:t>10</w:t>
            </w:r>
            <w:r w:rsidRPr="0074195F">
              <w:rPr>
                <w:rFonts w:eastAsia="SimSun"/>
                <w:vertAlign w:val="superscript"/>
              </w:rPr>
              <w:t>9</w:t>
            </w:r>
            <w:r w:rsidRPr="00C07B2E">
              <w:rPr>
                <w:rFonts w:eastAsia="SimSun"/>
              </w:rPr>
              <w:t xml:space="preserve">/л, при отсутствии тошноты, рвоты, диареи и возможности приема внутрь. Концентрация Tx 5-15 нг/мл.    </w:t>
            </w:r>
          </w:p>
        </w:tc>
      </w:tr>
      <w:tr w:rsidR="0089207C" w:rsidRPr="00AC3044" w14:paraId="2EE66AF3" w14:textId="77777777" w:rsidTr="002D3EBF">
        <w:trPr>
          <w:cantSplit/>
          <w:trHeight w:val="464"/>
        </w:trPr>
        <w:tc>
          <w:tcPr>
            <w:tcW w:w="596" w:type="pct"/>
            <w:vMerge/>
          </w:tcPr>
          <w:p w14:paraId="5369C578" w14:textId="77777777" w:rsidR="0089207C" w:rsidRPr="00AC3044" w:rsidRDefault="0089207C" w:rsidP="002D3EBF">
            <w:pPr>
              <w:rPr>
                <w:rFonts w:eastAsia="SimSun"/>
              </w:rPr>
            </w:pPr>
          </w:p>
        </w:tc>
        <w:tc>
          <w:tcPr>
            <w:tcW w:w="809" w:type="pct"/>
          </w:tcPr>
          <w:p w14:paraId="1BC963E3" w14:textId="77777777" w:rsidR="0089207C" w:rsidRPr="00AC3044" w:rsidRDefault="0089207C" w:rsidP="002D3EBF">
            <w:pPr>
              <w:rPr>
                <w:rFonts w:eastAsia="SimSun"/>
              </w:rPr>
            </w:pPr>
            <w:r w:rsidRPr="00AC3044">
              <w:rPr>
                <w:rFonts w:eastAsia="SimSun"/>
              </w:rPr>
              <w:t>Микофенолата мофетил</w:t>
            </w:r>
          </w:p>
        </w:tc>
        <w:tc>
          <w:tcPr>
            <w:tcW w:w="737" w:type="pct"/>
          </w:tcPr>
          <w:p w14:paraId="1809C665" w14:textId="77777777" w:rsidR="0089207C" w:rsidRPr="00AC3044" w:rsidRDefault="0089207C" w:rsidP="002D3EBF">
            <w:pPr>
              <w:rPr>
                <w:rFonts w:eastAsia="SimSun"/>
              </w:rPr>
            </w:pPr>
            <w:r w:rsidRPr="00AC3044">
              <w:rPr>
                <w:rFonts w:eastAsia="SimSun"/>
              </w:rPr>
              <w:t>45мг/кг</w:t>
            </w:r>
          </w:p>
        </w:tc>
        <w:tc>
          <w:tcPr>
            <w:tcW w:w="807" w:type="pct"/>
          </w:tcPr>
          <w:p w14:paraId="4A0CDCBE" w14:textId="77777777" w:rsidR="0089207C" w:rsidRPr="00AC3044" w:rsidRDefault="0089207C" w:rsidP="002D3EBF">
            <w:pPr>
              <w:rPr>
                <w:rFonts w:eastAsia="SimSun"/>
              </w:rPr>
            </w:pPr>
            <w:r w:rsidRPr="00AC3044">
              <w:rPr>
                <w:rFonts w:eastAsia="SimSun"/>
              </w:rPr>
              <w:t>–</w:t>
            </w:r>
          </w:p>
        </w:tc>
        <w:tc>
          <w:tcPr>
            <w:tcW w:w="734" w:type="pct"/>
          </w:tcPr>
          <w:p w14:paraId="6A7D4CDF" w14:textId="77777777" w:rsidR="0089207C" w:rsidRPr="00AC3044" w:rsidRDefault="0089207C" w:rsidP="002D3EBF">
            <w:pPr>
              <w:rPr>
                <w:rFonts w:eastAsia="SimSun"/>
              </w:rPr>
            </w:pPr>
            <w:r w:rsidRPr="00AC3044">
              <w:rPr>
                <w:rFonts w:eastAsia="SimSun"/>
              </w:rPr>
              <w:t>С +5 по +35 день</w:t>
            </w:r>
          </w:p>
        </w:tc>
        <w:tc>
          <w:tcPr>
            <w:tcW w:w="1316" w:type="pct"/>
          </w:tcPr>
          <w:p w14:paraId="63FAFDC5" w14:textId="77777777" w:rsidR="0089207C" w:rsidRPr="00AC3044" w:rsidRDefault="0089207C" w:rsidP="002D3EBF">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58A1B3D5" w14:textId="77777777" w:rsidR="0089207C" w:rsidRDefault="0089207C" w:rsidP="0089207C">
      <w:pPr>
        <w:rPr>
          <w:rFonts w:eastAsia="SimSun"/>
        </w:rPr>
      </w:pPr>
      <w:bookmarkStart w:id="283" w:name="_Toc44401238"/>
    </w:p>
    <w:p w14:paraId="4E7CDE20" w14:textId="77777777" w:rsidR="0089207C" w:rsidRPr="00C07B2E" w:rsidRDefault="0089207C" w:rsidP="0089207C">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3.1.13  – Flu180+Cy1200 / PT-Cy+Tx+MMF45</w:t>
      </w:r>
      <w:bookmarkEnd w:id="283"/>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417"/>
        <w:gridCol w:w="2552"/>
      </w:tblGrid>
      <w:tr w:rsidR="0089207C" w:rsidRPr="00AC3044" w14:paraId="3345A30E" w14:textId="77777777" w:rsidTr="002D3EBF">
        <w:trPr>
          <w:cantSplit/>
          <w:trHeight w:val="20"/>
          <w:tblHeader/>
        </w:trPr>
        <w:tc>
          <w:tcPr>
            <w:tcW w:w="1135" w:type="dxa"/>
            <w:vAlign w:val="center"/>
          </w:tcPr>
          <w:p w14:paraId="2762531C" w14:textId="77777777" w:rsidR="0089207C" w:rsidRPr="00AC3044" w:rsidRDefault="0089207C" w:rsidP="002D3EBF">
            <w:pPr>
              <w:rPr>
                <w:rFonts w:eastAsia="SimSun"/>
              </w:rPr>
            </w:pPr>
          </w:p>
        </w:tc>
        <w:tc>
          <w:tcPr>
            <w:tcW w:w="1559" w:type="dxa"/>
            <w:vAlign w:val="center"/>
          </w:tcPr>
          <w:p w14:paraId="021B18B7" w14:textId="77777777" w:rsidR="0089207C" w:rsidRPr="00AC3044" w:rsidRDefault="0089207C" w:rsidP="002D3EBF">
            <w:pPr>
              <w:rPr>
                <w:rFonts w:eastAsia="SimSun"/>
              </w:rPr>
            </w:pPr>
            <w:r w:rsidRPr="00AC3044">
              <w:rPr>
                <w:rFonts w:eastAsia="SimSun"/>
              </w:rPr>
              <w:t>Препарат</w:t>
            </w:r>
          </w:p>
        </w:tc>
        <w:tc>
          <w:tcPr>
            <w:tcW w:w="1418" w:type="dxa"/>
            <w:vAlign w:val="center"/>
          </w:tcPr>
          <w:p w14:paraId="648FD927" w14:textId="77777777" w:rsidR="0089207C" w:rsidRPr="00AC3044" w:rsidRDefault="0089207C" w:rsidP="002D3EBF">
            <w:pPr>
              <w:rPr>
                <w:rFonts w:eastAsia="SimSun"/>
              </w:rPr>
            </w:pPr>
            <w:r w:rsidRPr="00AC3044">
              <w:rPr>
                <w:rFonts w:eastAsia="SimSun"/>
              </w:rPr>
              <w:t>Суточная доза</w:t>
            </w:r>
          </w:p>
        </w:tc>
        <w:tc>
          <w:tcPr>
            <w:tcW w:w="1559" w:type="dxa"/>
            <w:vAlign w:val="center"/>
          </w:tcPr>
          <w:p w14:paraId="7D8AA19B" w14:textId="77777777" w:rsidR="0089207C" w:rsidRPr="00AC3044" w:rsidRDefault="0089207C" w:rsidP="002D3EBF">
            <w:pPr>
              <w:rPr>
                <w:rFonts w:eastAsia="SimSun"/>
              </w:rPr>
            </w:pPr>
            <w:r w:rsidRPr="00AC3044">
              <w:rPr>
                <w:rFonts w:eastAsia="SimSun"/>
              </w:rPr>
              <w:t>Курсовая доза</w:t>
            </w:r>
          </w:p>
        </w:tc>
        <w:tc>
          <w:tcPr>
            <w:tcW w:w="1417" w:type="dxa"/>
            <w:vAlign w:val="center"/>
          </w:tcPr>
          <w:p w14:paraId="4A66B27E" w14:textId="77777777" w:rsidR="0089207C" w:rsidRPr="00AC3044" w:rsidRDefault="0089207C" w:rsidP="002D3EBF">
            <w:pPr>
              <w:rPr>
                <w:rFonts w:eastAsia="SimSun"/>
              </w:rPr>
            </w:pPr>
            <w:r w:rsidRPr="00AC3044">
              <w:rPr>
                <w:rFonts w:eastAsia="SimSun"/>
              </w:rPr>
              <w:t>Дни введения</w:t>
            </w:r>
          </w:p>
        </w:tc>
        <w:tc>
          <w:tcPr>
            <w:tcW w:w="2552" w:type="dxa"/>
            <w:vAlign w:val="center"/>
          </w:tcPr>
          <w:p w14:paraId="60DA56ED"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4FE283FE" w14:textId="77777777" w:rsidTr="002D3EBF">
        <w:trPr>
          <w:cantSplit/>
          <w:trHeight w:val="20"/>
        </w:trPr>
        <w:tc>
          <w:tcPr>
            <w:tcW w:w="1135" w:type="dxa"/>
            <w:vMerge w:val="restart"/>
            <w:textDirection w:val="btLr"/>
            <w:vAlign w:val="center"/>
          </w:tcPr>
          <w:p w14:paraId="118D2B94" w14:textId="77777777" w:rsidR="0089207C" w:rsidRPr="00AC3044" w:rsidRDefault="0089207C" w:rsidP="002D3EBF">
            <w:pPr>
              <w:rPr>
                <w:rFonts w:eastAsia="SimSun"/>
              </w:rPr>
            </w:pPr>
            <w:r w:rsidRPr="00AC3044">
              <w:rPr>
                <w:rFonts w:eastAsia="SimSun"/>
              </w:rPr>
              <w:t>Кондиционирование</w:t>
            </w:r>
          </w:p>
        </w:tc>
        <w:tc>
          <w:tcPr>
            <w:tcW w:w="1559" w:type="dxa"/>
            <w:vAlign w:val="center"/>
          </w:tcPr>
          <w:p w14:paraId="6FCD77EC" w14:textId="77777777" w:rsidR="0089207C" w:rsidRPr="00AC3044" w:rsidRDefault="0089207C" w:rsidP="002D3EBF">
            <w:pPr>
              <w:rPr>
                <w:rFonts w:eastAsia="SimSun"/>
              </w:rPr>
            </w:pPr>
            <w:r w:rsidRPr="00AC3044">
              <w:rPr>
                <w:rFonts w:eastAsia="SimSun"/>
              </w:rPr>
              <w:t xml:space="preserve">Флударабин </w:t>
            </w:r>
          </w:p>
        </w:tc>
        <w:tc>
          <w:tcPr>
            <w:tcW w:w="1418" w:type="dxa"/>
            <w:vAlign w:val="center"/>
          </w:tcPr>
          <w:p w14:paraId="387E8A8D" w14:textId="77777777" w:rsidR="0089207C" w:rsidRPr="00AC3044" w:rsidRDefault="0089207C" w:rsidP="002D3EBF">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699619C3" w14:textId="77777777" w:rsidR="0089207C" w:rsidRPr="00AC3044" w:rsidRDefault="0089207C" w:rsidP="002D3EBF">
            <w:pPr>
              <w:rPr>
                <w:rFonts w:eastAsia="SimSun"/>
              </w:rPr>
            </w:pPr>
            <w:r w:rsidRPr="00AC3044">
              <w:rPr>
                <w:rFonts w:eastAsia="SimSun"/>
              </w:rPr>
              <w:t>120 мг/м</w:t>
            </w:r>
            <w:r w:rsidRPr="0074195F">
              <w:rPr>
                <w:rFonts w:eastAsia="SimSun"/>
                <w:vertAlign w:val="superscript"/>
              </w:rPr>
              <w:t>2</w:t>
            </w:r>
          </w:p>
        </w:tc>
        <w:tc>
          <w:tcPr>
            <w:tcW w:w="1417" w:type="dxa"/>
            <w:vAlign w:val="center"/>
          </w:tcPr>
          <w:p w14:paraId="3E67462D" w14:textId="77777777" w:rsidR="0089207C" w:rsidRPr="00AC3044" w:rsidRDefault="0089207C" w:rsidP="002D3EBF">
            <w:pPr>
              <w:rPr>
                <w:rFonts w:eastAsia="SimSun"/>
              </w:rPr>
            </w:pPr>
            <w:r w:rsidRPr="00AC3044">
              <w:rPr>
                <w:rFonts w:eastAsia="SimSun"/>
              </w:rPr>
              <w:t>С -5 дня по -2 день</w:t>
            </w:r>
          </w:p>
        </w:tc>
        <w:tc>
          <w:tcPr>
            <w:tcW w:w="2552" w:type="dxa"/>
            <w:vAlign w:val="center"/>
          </w:tcPr>
          <w:p w14:paraId="1AFBFB40"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1D781A22" w14:textId="77777777" w:rsidTr="002D3EBF">
        <w:trPr>
          <w:cantSplit/>
          <w:trHeight w:val="855"/>
        </w:trPr>
        <w:tc>
          <w:tcPr>
            <w:tcW w:w="1135" w:type="dxa"/>
            <w:vMerge/>
            <w:vAlign w:val="center"/>
          </w:tcPr>
          <w:p w14:paraId="3FEE7486" w14:textId="77777777" w:rsidR="0089207C" w:rsidRPr="00AC3044" w:rsidRDefault="0089207C" w:rsidP="002D3EBF">
            <w:pPr>
              <w:rPr>
                <w:rFonts w:eastAsia="SimSun"/>
              </w:rPr>
            </w:pPr>
          </w:p>
        </w:tc>
        <w:tc>
          <w:tcPr>
            <w:tcW w:w="1559" w:type="dxa"/>
            <w:vAlign w:val="center"/>
          </w:tcPr>
          <w:p w14:paraId="39F91CEF" w14:textId="77777777" w:rsidR="0089207C" w:rsidRPr="00AC3044" w:rsidRDefault="0089207C" w:rsidP="002D3EBF">
            <w:pPr>
              <w:rPr>
                <w:rFonts w:eastAsia="SimSun"/>
              </w:rPr>
            </w:pPr>
            <w:r w:rsidRPr="00AC3044">
              <w:rPr>
                <w:rFonts w:eastAsia="SimSun"/>
              </w:rPr>
              <w:t>Циклофосфамид</w:t>
            </w:r>
          </w:p>
        </w:tc>
        <w:tc>
          <w:tcPr>
            <w:tcW w:w="1418" w:type="dxa"/>
            <w:vAlign w:val="center"/>
          </w:tcPr>
          <w:p w14:paraId="24D7D804" w14:textId="77777777" w:rsidR="0089207C" w:rsidRPr="00AC3044" w:rsidRDefault="0089207C" w:rsidP="002D3EBF">
            <w:pPr>
              <w:rPr>
                <w:rFonts w:eastAsia="SimSun"/>
              </w:rPr>
            </w:pPr>
            <w:r w:rsidRPr="00AC3044">
              <w:rPr>
                <w:rFonts w:eastAsia="SimSun"/>
              </w:rPr>
              <w:t>300 мг/м</w:t>
            </w:r>
            <w:r w:rsidRPr="0074195F">
              <w:rPr>
                <w:rFonts w:eastAsia="SimSun"/>
                <w:vertAlign w:val="superscript"/>
              </w:rPr>
              <w:t>2</w:t>
            </w:r>
            <w:r w:rsidRPr="00AC3044">
              <w:rPr>
                <w:rFonts w:eastAsia="SimSun"/>
              </w:rPr>
              <w:t xml:space="preserve"> </w:t>
            </w:r>
          </w:p>
        </w:tc>
        <w:tc>
          <w:tcPr>
            <w:tcW w:w="1559" w:type="dxa"/>
            <w:vAlign w:val="center"/>
          </w:tcPr>
          <w:p w14:paraId="0786C71B" w14:textId="77777777" w:rsidR="0089207C" w:rsidRPr="00AC3044" w:rsidRDefault="0089207C" w:rsidP="002D3EBF">
            <w:pPr>
              <w:rPr>
                <w:rFonts w:eastAsia="SimSun"/>
              </w:rPr>
            </w:pPr>
            <w:r w:rsidRPr="00AC3044">
              <w:rPr>
                <w:rFonts w:eastAsia="SimSun"/>
              </w:rPr>
              <w:t>1200 мг/м</w:t>
            </w:r>
            <w:r w:rsidRPr="0074195F">
              <w:rPr>
                <w:rFonts w:eastAsia="SimSun"/>
                <w:vertAlign w:val="superscript"/>
              </w:rPr>
              <w:t>2</w:t>
            </w:r>
          </w:p>
        </w:tc>
        <w:tc>
          <w:tcPr>
            <w:tcW w:w="1417" w:type="dxa"/>
            <w:vAlign w:val="center"/>
          </w:tcPr>
          <w:p w14:paraId="58910C62" w14:textId="77777777" w:rsidR="0089207C" w:rsidRPr="00AC3044" w:rsidRDefault="0089207C" w:rsidP="002D3EBF">
            <w:pPr>
              <w:rPr>
                <w:rFonts w:eastAsia="SimSun"/>
              </w:rPr>
            </w:pPr>
            <w:r w:rsidRPr="00AC3044">
              <w:rPr>
                <w:rFonts w:eastAsia="SimSun"/>
              </w:rPr>
              <w:t xml:space="preserve"> С -5 дня по -2 день </w:t>
            </w:r>
          </w:p>
        </w:tc>
        <w:tc>
          <w:tcPr>
            <w:tcW w:w="2552" w:type="dxa"/>
            <w:vAlign w:val="center"/>
          </w:tcPr>
          <w:p w14:paraId="4F94E092"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5FF90FB5" w14:textId="77777777" w:rsidTr="002D3EBF">
        <w:trPr>
          <w:cantSplit/>
          <w:trHeight w:val="556"/>
        </w:trPr>
        <w:tc>
          <w:tcPr>
            <w:tcW w:w="1135" w:type="dxa"/>
            <w:vMerge w:val="restart"/>
            <w:textDirection w:val="btLr"/>
            <w:vAlign w:val="center"/>
          </w:tcPr>
          <w:p w14:paraId="238F3CB5" w14:textId="77777777" w:rsidR="0089207C" w:rsidRPr="00AC3044" w:rsidRDefault="0089207C" w:rsidP="002D3EBF">
            <w:pPr>
              <w:rPr>
                <w:rFonts w:eastAsia="SimSun"/>
              </w:rPr>
            </w:pPr>
            <w:r w:rsidRPr="00AC3044">
              <w:rPr>
                <w:rFonts w:eastAsia="SimSun"/>
              </w:rPr>
              <w:t>Профилактика РТПХ</w:t>
            </w:r>
          </w:p>
        </w:tc>
        <w:tc>
          <w:tcPr>
            <w:tcW w:w="1559" w:type="dxa"/>
            <w:vAlign w:val="center"/>
          </w:tcPr>
          <w:p w14:paraId="4918A1A1" w14:textId="77777777" w:rsidR="0089207C" w:rsidRPr="00AC3044" w:rsidRDefault="0089207C" w:rsidP="002D3EBF">
            <w:pPr>
              <w:rPr>
                <w:rFonts w:eastAsia="SimSun"/>
              </w:rPr>
            </w:pPr>
            <w:r w:rsidRPr="00AC3044">
              <w:rPr>
                <w:rFonts w:eastAsia="SimSun"/>
              </w:rPr>
              <w:t>Циклофосфамид</w:t>
            </w:r>
          </w:p>
        </w:tc>
        <w:tc>
          <w:tcPr>
            <w:tcW w:w="1418" w:type="dxa"/>
            <w:vAlign w:val="center"/>
          </w:tcPr>
          <w:p w14:paraId="50FD67F7" w14:textId="77777777" w:rsidR="0089207C" w:rsidRPr="00AC3044" w:rsidRDefault="0089207C" w:rsidP="002D3EBF">
            <w:pPr>
              <w:rPr>
                <w:rFonts w:eastAsia="SimSun"/>
              </w:rPr>
            </w:pPr>
            <w:r w:rsidRPr="00AC3044">
              <w:rPr>
                <w:rFonts w:eastAsia="SimSun"/>
              </w:rPr>
              <w:t>50 мг/кг</w:t>
            </w:r>
          </w:p>
        </w:tc>
        <w:tc>
          <w:tcPr>
            <w:tcW w:w="1559" w:type="dxa"/>
            <w:vAlign w:val="center"/>
          </w:tcPr>
          <w:p w14:paraId="248A5DB4" w14:textId="77777777" w:rsidR="0089207C" w:rsidRPr="00AC3044" w:rsidRDefault="0089207C" w:rsidP="002D3EBF">
            <w:pPr>
              <w:rPr>
                <w:rFonts w:eastAsia="SimSun"/>
              </w:rPr>
            </w:pPr>
            <w:r w:rsidRPr="00AC3044">
              <w:rPr>
                <w:rFonts w:eastAsia="SimSun"/>
              </w:rPr>
              <w:t>100 мг/кг</w:t>
            </w:r>
          </w:p>
        </w:tc>
        <w:tc>
          <w:tcPr>
            <w:tcW w:w="1417" w:type="dxa"/>
            <w:vAlign w:val="center"/>
          </w:tcPr>
          <w:p w14:paraId="6B39763D" w14:textId="77777777" w:rsidR="0089207C" w:rsidRPr="00AC3044" w:rsidRDefault="0089207C" w:rsidP="002D3EBF">
            <w:pPr>
              <w:rPr>
                <w:rFonts w:eastAsia="SimSun"/>
              </w:rPr>
            </w:pPr>
            <w:r w:rsidRPr="00AC3044">
              <w:rPr>
                <w:rFonts w:eastAsia="SimSun"/>
              </w:rPr>
              <w:t>С +3 дня по +4 день</w:t>
            </w:r>
          </w:p>
        </w:tc>
        <w:tc>
          <w:tcPr>
            <w:tcW w:w="2552" w:type="dxa"/>
            <w:vAlign w:val="center"/>
          </w:tcPr>
          <w:p w14:paraId="1679F6AD"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112E34BF" w14:textId="77777777" w:rsidTr="002D3EBF">
        <w:trPr>
          <w:cantSplit/>
          <w:trHeight w:val="958"/>
        </w:trPr>
        <w:tc>
          <w:tcPr>
            <w:tcW w:w="1135" w:type="dxa"/>
            <w:vMerge/>
            <w:textDirection w:val="btLr"/>
            <w:vAlign w:val="center"/>
          </w:tcPr>
          <w:p w14:paraId="70DC69D1" w14:textId="77777777" w:rsidR="0089207C" w:rsidRPr="00AC3044" w:rsidRDefault="0089207C" w:rsidP="002D3EBF">
            <w:pPr>
              <w:rPr>
                <w:rFonts w:eastAsia="SimSun"/>
              </w:rPr>
            </w:pPr>
          </w:p>
        </w:tc>
        <w:tc>
          <w:tcPr>
            <w:tcW w:w="1559" w:type="dxa"/>
            <w:vAlign w:val="center"/>
          </w:tcPr>
          <w:p w14:paraId="52D479AD" w14:textId="77777777" w:rsidR="0089207C" w:rsidRPr="00AC3044" w:rsidRDefault="0089207C" w:rsidP="002D3EBF">
            <w:pPr>
              <w:rPr>
                <w:rFonts w:eastAsia="SimSun"/>
              </w:rPr>
            </w:pPr>
            <w:r w:rsidRPr="00AC3044">
              <w:rPr>
                <w:rFonts w:eastAsia="SimSun"/>
              </w:rPr>
              <w:t xml:space="preserve">Такролимус </w:t>
            </w:r>
          </w:p>
        </w:tc>
        <w:tc>
          <w:tcPr>
            <w:tcW w:w="1418" w:type="dxa"/>
            <w:vAlign w:val="center"/>
          </w:tcPr>
          <w:p w14:paraId="3C4CBA57" w14:textId="77777777" w:rsidR="0089207C" w:rsidRPr="00AC3044" w:rsidRDefault="0089207C" w:rsidP="002D3EBF">
            <w:pPr>
              <w:rPr>
                <w:rFonts w:eastAsia="SimSun"/>
              </w:rPr>
            </w:pPr>
            <w:r w:rsidRPr="00AC3044">
              <w:rPr>
                <w:rFonts w:eastAsia="SimSun"/>
              </w:rPr>
              <w:t>0,03 мг/кг</w:t>
            </w:r>
          </w:p>
        </w:tc>
        <w:tc>
          <w:tcPr>
            <w:tcW w:w="1559" w:type="dxa"/>
            <w:vAlign w:val="center"/>
          </w:tcPr>
          <w:p w14:paraId="669562EF" w14:textId="77777777" w:rsidR="0089207C" w:rsidRPr="00AC3044" w:rsidRDefault="0089207C" w:rsidP="002D3EBF">
            <w:pPr>
              <w:rPr>
                <w:rFonts w:eastAsia="SimSun"/>
              </w:rPr>
            </w:pPr>
            <w:r w:rsidRPr="00AC3044">
              <w:rPr>
                <w:rFonts w:eastAsia="SimSun"/>
              </w:rPr>
              <w:t>–</w:t>
            </w:r>
          </w:p>
        </w:tc>
        <w:tc>
          <w:tcPr>
            <w:tcW w:w="1417" w:type="dxa"/>
            <w:vAlign w:val="center"/>
          </w:tcPr>
          <w:p w14:paraId="0C016808" w14:textId="77777777" w:rsidR="0089207C" w:rsidRPr="00AC3044" w:rsidRDefault="0089207C" w:rsidP="002D3EBF">
            <w:pPr>
              <w:rPr>
                <w:rFonts w:eastAsia="SimSun"/>
              </w:rPr>
            </w:pPr>
            <w:r w:rsidRPr="00AC3044">
              <w:rPr>
                <w:rFonts w:eastAsia="SimSun"/>
              </w:rPr>
              <w:t xml:space="preserve">С +5 дня длительно </w:t>
            </w:r>
          </w:p>
        </w:tc>
        <w:tc>
          <w:tcPr>
            <w:tcW w:w="2552" w:type="dxa"/>
            <w:vAlign w:val="center"/>
          </w:tcPr>
          <w:p w14:paraId="2D00C264" w14:textId="77777777" w:rsidR="0089207C" w:rsidRPr="00AC3044" w:rsidRDefault="0089207C" w:rsidP="002D3EBF">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9207C" w:rsidRPr="00AC3044" w14:paraId="7404A861" w14:textId="77777777" w:rsidTr="002D3EBF">
        <w:trPr>
          <w:cantSplit/>
          <w:trHeight w:val="491"/>
        </w:trPr>
        <w:tc>
          <w:tcPr>
            <w:tcW w:w="1135" w:type="dxa"/>
            <w:vMerge/>
            <w:textDirection w:val="btLr"/>
            <w:vAlign w:val="center"/>
          </w:tcPr>
          <w:p w14:paraId="34AA42A1" w14:textId="77777777" w:rsidR="0089207C" w:rsidRPr="00AC3044" w:rsidRDefault="0089207C" w:rsidP="002D3EBF">
            <w:pPr>
              <w:rPr>
                <w:rFonts w:eastAsia="SimSun"/>
              </w:rPr>
            </w:pPr>
          </w:p>
        </w:tc>
        <w:tc>
          <w:tcPr>
            <w:tcW w:w="1559" w:type="dxa"/>
            <w:vAlign w:val="center"/>
          </w:tcPr>
          <w:p w14:paraId="02CAD9A8" w14:textId="77777777" w:rsidR="0089207C" w:rsidRPr="00AC3044" w:rsidRDefault="0089207C" w:rsidP="002D3EBF">
            <w:pPr>
              <w:rPr>
                <w:rFonts w:eastAsia="SimSun"/>
              </w:rPr>
            </w:pPr>
            <w:r w:rsidRPr="00AC3044">
              <w:rPr>
                <w:rFonts w:eastAsia="SimSun"/>
              </w:rPr>
              <w:t>Микофенолата мофетил</w:t>
            </w:r>
          </w:p>
        </w:tc>
        <w:tc>
          <w:tcPr>
            <w:tcW w:w="1418" w:type="dxa"/>
            <w:vAlign w:val="center"/>
          </w:tcPr>
          <w:p w14:paraId="3B0CBA3A" w14:textId="77777777" w:rsidR="0089207C" w:rsidRPr="00AC3044" w:rsidRDefault="0089207C" w:rsidP="002D3EBF">
            <w:pPr>
              <w:rPr>
                <w:rFonts w:eastAsia="SimSun"/>
              </w:rPr>
            </w:pPr>
            <w:r w:rsidRPr="00AC3044">
              <w:rPr>
                <w:rFonts w:eastAsia="SimSun"/>
              </w:rPr>
              <w:t xml:space="preserve">45 мг/кг </w:t>
            </w:r>
          </w:p>
        </w:tc>
        <w:tc>
          <w:tcPr>
            <w:tcW w:w="1559" w:type="dxa"/>
            <w:vAlign w:val="center"/>
          </w:tcPr>
          <w:p w14:paraId="725125C0" w14:textId="77777777" w:rsidR="0089207C" w:rsidRPr="00AC3044" w:rsidRDefault="0089207C" w:rsidP="002D3EBF">
            <w:pPr>
              <w:rPr>
                <w:rFonts w:eastAsia="SimSun"/>
              </w:rPr>
            </w:pPr>
            <w:r w:rsidRPr="00AC3044">
              <w:rPr>
                <w:rFonts w:eastAsia="SimSun"/>
              </w:rPr>
              <w:t>–</w:t>
            </w:r>
          </w:p>
        </w:tc>
        <w:tc>
          <w:tcPr>
            <w:tcW w:w="1417" w:type="dxa"/>
            <w:vAlign w:val="center"/>
          </w:tcPr>
          <w:p w14:paraId="2E22300F" w14:textId="77777777" w:rsidR="0089207C" w:rsidRPr="00AC3044" w:rsidRDefault="0089207C" w:rsidP="002D3EBF">
            <w:pPr>
              <w:rPr>
                <w:rFonts w:eastAsia="SimSun"/>
              </w:rPr>
            </w:pPr>
            <w:r w:rsidRPr="00AC3044">
              <w:rPr>
                <w:rFonts w:eastAsia="SimSun"/>
              </w:rPr>
              <w:t xml:space="preserve">С +5 дня по +35 день </w:t>
            </w:r>
          </w:p>
        </w:tc>
        <w:tc>
          <w:tcPr>
            <w:tcW w:w="2552" w:type="dxa"/>
            <w:vAlign w:val="center"/>
          </w:tcPr>
          <w:p w14:paraId="709A8C48" w14:textId="77777777" w:rsidR="0089207C" w:rsidRPr="00AC3044" w:rsidRDefault="0089207C" w:rsidP="002D3EBF">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71BC85C0" w14:textId="77777777" w:rsidR="0089207C" w:rsidRDefault="0089207C" w:rsidP="0089207C">
      <w:pPr>
        <w:rPr>
          <w:rFonts w:eastAsia="SimSun"/>
        </w:rPr>
      </w:pPr>
      <w:bookmarkStart w:id="284" w:name="_Toc44401239"/>
    </w:p>
    <w:p w14:paraId="686401F8" w14:textId="77777777" w:rsidR="0089207C" w:rsidRPr="00C07B2E" w:rsidRDefault="0089207C" w:rsidP="0089207C">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3.1.14  – Flu180+Mel100 / PT-Cy+Tx+MMF45</w:t>
      </w:r>
      <w:bookmarkEnd w:id="284"/>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417"/>
        <w:gridCol w:w="2552"/>
      </w:tblGrid>
      <w:tr w:rsidR="0089207C" w:rsidRPr="00AC3044" w14:paraId="4077494F" w14:textId="77777777" w:rsidTr="002D3EBF">
        <w:trPr>
          <w:cantSplit/>
          <w:trHeight w:val="20"/>
          <w:tblHeader/>
        </w:trPr>
        <w:tc>
          <w:tcPr>
            <w:tcW w:w="1135" w:type="dxa"/>
            <w:vAlign w:val="center"/>
          </w:tcPr>
          <w:p w14:paraId="5FAC8499" w14:textId="77777777" w:rsidR="0089207C" w:rsidRPr="00AC3044" w:rsidRDefault="0089207C" w:rsidP="002D3EBF">
            <w:pPr>
              <w:rPr>
                <w:rFonts w:eastAsia="SimSun"/>
              </w:rPr>
            </w:pPr>
          </w:p>
        </w:tc>
        <w:tc>
          <w:tcPr>
            <w:tcW w:w="1559" w:type="dxa"/>
            <w:vAlign w:val="center"/>
          </w:tcPr>
          <w:p w14:paraId="7867C4EF" w14:textId="77777777" w:rsidR="0089207C" w:rsidRPr="00AC3044" w:rsidRDefault="0089207C" w:rsidP="002D3EBF">
            <w:pPr>
              <w:rPr>
                <w:rFonts w:eastAsia="SimSun"/>
              </w:rPr>
            </w:pPr>
            <w:r w:rsidRPr="00AC3044">
              <w:rPr>
                <w:rFonts w:eastAsia="SimSun"/>
              </w:rPr>
              <w:t>Препарат</w:t>
            </w:r>
          </w:p>
        </w:tc>
        <w:tc>
          <w:tcPr>
            <w:tcW w:w="1418" w:type="dxa"/>
            <w:vAlign w:val="center"/>
          </w:tcPr>
          <w:p w14:paraId="3FFAFF7B" w14:textId="77777777" w:rsidR="0089207C" w:rsidRPr="00AC3044" w:rsidRDefault="0089207C" w:rsidP="002D3EBF">
            <w:pPr>
              <w:rPr>
                <w:rFonts w:eastAsia="SimSun"/>
              </w:rPr>
            </w:pPr>
            <w:r w:rsidRPr="00AC3044">
              <w:rPr>
                <w:rFonts w:eastAsia="SimSun"/>
              </w:rPr>
              <w:t>Суточная доза</w:t>
            </w:r>
          </w:p>
        </w:tc>
        <w:tc>
          <w:tcPr>
            <w:tcW w:w="1559" w:type="dxa"/>
            <w:vAlign w:val="center"/>
          </w:tcPr>
          <w:p w14:paraId="1B27F8DD" w14:textId="77777777" w:rsidR="0089207C" w:rsidRPr="00AC3044" w:rsidRDefault="0089207C" w:rsidP="002D3EBF">
            <w:pPr>
              <w:rPr>
                <w:rFonts w:eastAsia="SimSun"/>
              </w:rPr>
            </w:pPr>
            <w:r w:rsidRPr="00AC3044">
              <w:rPr>
                <w:rFonts w:eastAsia="SimSun"/>
              </w:rPr>
              <w:t>Курсовая доза</w:t>
            </w:r>
          </w:p>
        </w:tc>
        <w:tc>
          <w:tcPr>
            <w:tcW w:w="1417" w:type="dxa"/>
            <w:vAlign w:val="center"/>
          </w:tcPr>
          <w:p w14:paraId="6782EE54" w14:textId="77777777" w:rsidR="0089207C" w:rsidRPr="00AC3044" w:rsidRDefault="0089207C" w:rsidP="002D3EBF">
            <w:pPr>
              <w:rPr>
                <w:rFonts w:eastAsia="SimSun"/>
              </w:rPr>
            </w:pPr>
            <w:r w:rsidRPr="00AC3044">
              <w:rPr>
                <w:rFonts w:eastAsia="SimSun"/>
              </w:rPr>
              <w:t>Дни введения</w:t>
            </w:r>
          </w:p>
        </w:tc>
        <w:tc>
          <w:tcPr>
            <w:tcW w:w="2552" w:type="dxa"/>
            <w:vAlign w:val="center"/>
          </w:tcPr>
          <w:p w14:paraId="24FE07A0"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2463CDAD" w14:textId="77777777" w:rsidTr="002D3EBF">
        <w:trPr>
          <w:cantSplit/>
          <w:trHeight w:val="20"/>
        </w:trPr>
        <w:tc>
          <w:tcPr>
            <w:tcW w:w="1135" w:type="dxa"/>
            <w:vMerge w:val="restart"/>
            <w:textDirection w:val="btLr"/>
            <w:vAlign w:val="center"/>
          </w:tcPr>
          <w:p w14:paraId="3B4440C7" w14:textId="77777777" w:rsidR="0089207C" w:rsidRPr="00AC3044" w:rsidRDefault="0089207C" w:rsidP="002D3EBF">
            <w:pPr>
              <w:rPr>
                <w:rFonts w:eastAsia="SimSun"/>
              </w:rPr>
            </w:pPr>
            <w:r w:rsidRPr="00AC3044">
              <w:rPr>
                <w:rFonts w:eastAsia="SimSun"/>
              </w:rPr>
              <w:t>Кондиционирование</w:t>
            </w:r>
          </w:p>
        </w:tc>
        <w:tc>
          <w:tcPr>
            <w:tcW w:w="1559" w:type="dxa"/>
            <w:vAlign w:val="center"/>
          </w:tcPr>
          <w:p w14:paraId="4475ED68" w14:textId="77777777" w:rsidR="0089207C" w:rsidRPr="00AC3044" w:rsidRDefault="0089207C" w:rsidP="002D3EBF">
            <w:pPr>
              <w:rPr>
                <w:rFonts w:eastAsia="SimSun"/>
              </w:rPr>
            </w:pPr>
            <w:r w:rsidRPr="00AC3044">
              <w:rPr>
                <w:rFonts w:eastAsia="SimSun"/>
              </w:rPr>
              <w:t xml:space="preserve">Флударабин </w:t>
            </w:r>
          </w:p>
        </w:tc>
        <w:tc>
          <w:tcPr>
            <w:tcW w:w="1418" w:type="dxa"/>
            <w:vAlign w:val="center"/>
          </w:tcPr>
          <w:p w14:paraId="7B2183D2" w14:textId="77777777" w:rsidR="0089207C" w:rsidRPr="00AC3044" w:rsidRDefault="0089207C" w:rsidP="002D3EBF">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4FCB15B6" w14:textId="77777777" w:rsidR="0089207C" w:rsidRPr="00AC3044" w:rsidRDefault="0089207C" w:rsidP="002D3EBF">
            <w:pPr>
              <w:rPr>
                <w:rFonts w:eastAsia="SimSun"/>
              </w:rPr>
            </w:pPr>
            <w:r w:rsidRPr="00AC3044">
              <w:rPr>
                <w:rFonts w:eastAsia="SimSun"/>
              </w:rPr>
              <w:t>180 мг/м</w:t>
            </w:r>
            <w:r w:rsidRPr="0074195F">
              <w:rPr>
                <w:rFonts w:eastAsia="SimSun"/>
                <w:vertAlign w:val="superscript"/>
              </w:rPr>
              <w:t>2</w:t>
            </w:r>
          </w:p>
        </w:tc>
        <w:tc>
          <w:tcPr>
            <w:tcW w:w="1417" w:type="dxa"/>
            <w:vAlign w:val="center"/>
          </w:tcPr>
          <w:p w14:paraId="3D0CBBDD" w14:textId="77777777" w:rsidR="0089207C" w:rsidRPr="00AC3044" w:rsidRDefault="0089207C" w:rsidP="002D3EBF">
            <w:pPr>
              <w:rPr>
                <w:rFonts w:eastAsia="SimSun"/>
              </w:rPr>
            </w:pPr>
            <w:r w:rsidRPr="00AC3044">
              <w:rPr>
                <w:rFonts w:eastAsia="SimSun"/>
              </w:rPr>
              <w:t>С -7 дня по -2 день</w:t>
            </w:r>
          </w:p>
        </w:tc>
        <w:tc>
          <w:tcPr>
            <w:tcW w:w="2552" w:type="dxa"/>
            <w:vAlign w:val="center"/>
          </w:tcPr>
          <w:p w14:paraId="2C8FD179"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18CEB3FB" w14:textId="77777777" w:rsidTr="002D3EBF">
        <w:trPr>
          <w:cantSplit/>
          <w:trHeight w:val="1207"/>
        </w:trPr>
        <w:tc>
          <w:tcPr>
            <w:tcW w:w="1135" w:type="dxa"/>
            <w:vMerge/>
            <w:vAlign w:val="center"/>
          </w:tcPr>
          <w:p w14:paraId="23D61A99" w14:textId="77777777" w:rsidR="0089207C" w:rsidRPr="00AC3044" w:rsidRDefault="0089207C" w:rsidP="002D3EBF">
            <w:pPr>
              <w:rPr>
                <w:rFonts w:eastAsia="SimSun"/>
              </w:rPr>
            </w:pPr>
          </w:p>
        </w:tc>
        <w:tc>
          <w:tcPr>
            <w:tcW w:w="1559" w:type="dxa"/>
            <w:vAlign w:val="center"/>
          </w:tcPr>
          <w:p w14:paraId="67C734A0" w14:textId="77777777" w:rsidR="0089207C" w:rsidRPr="00AC3044" w:rsidRDefault="0089207C" w:rsidP="002D3EBF">
            <w:pPr>
              <w:rPr>
                <w:rFonts w:eastAsia="SimSun"/>
              </w:rPr>
            </w:pPr>
            <w:r w:rsidRPr="00AC3044">
              <w:rPr>
                <w:rFonts w:eastAsia="SimSun"/>
              </w:rPr>
              <w:t>Мелфалан</w:t>
            </w:r>
          </w:p>
        </w:tc>
        <w:tc>
          <w:tcPr>
            <w:tcW w:w="1418" w:type="dxa"/>
            <w:vAlign w:val="center"/>
          </w:tcPr>
          <w:p w14:paraId="603ABE2E" w14:textId="77777777" w:rsidR="0089207C" w:rsidRPr="00AC3044" w:rsidRDefault="0089207C" w:rsidP="002D3EBF">
            <w:pPr>
              <w:rPr>
                <w:rFonts w:eastAsia="SimSun"/>
              </w:rPr>
            </w:pPr>
            <w:r w:rsidRPr="00AC3044">
              <w:rPr>
                <w:rFonts w:eastAsia="SimSun"/>
              </w:rPr>
              <w:t>100 мг/м</w:t>
            </w:r>
            <w:r w:rsidRPr="0074195F">
              <w:rPr>
                <w:rFonts w:eastAsia="SimSun"/>
                <w:vertAlign w:val="superscript"/>
              </w:rPr>
              <w:t>2</w:t>
            </w:r>
            <w:r w:rsidRPr="00AC3044">
              <w:rPr>
                <w:rFonts w:eastAsia="SimSun"/>
              </w:rPr>
              <w:t xml:space="preserve"> </w:t>
            </w:r>
          </w:p>
        </w:tc>
        <w:tc>
          <w:tcPr>
            <w:tcW w:w="1559" w:type="dxa"/>
            <w:vAlign w:val="center"/>
          </w:tcPr>
          <w:p w14:paraId="489EE5AB" w14:textId="77777777" w:rsidR="0089207C" w:rsidRPr="00AC3044" w:rsidRDefault="0089207C" w:rsidP="002D3EBF">
            <w:pPr>
              <w:rPr>
                <w:rFonts w:eastAsia="SimSun"/>
              </w:rPr>
            </w:pPr>
            <w:r w:rsidRPr="00AC3044">
              <w:rPr>
                <w:rFonts w:eastAsia="SimSun"/>
              </w:rPr>
              <w:t>100 мг/м</w:t>
            </w:r>
            <w:r w:rsidRPr="0074195F">
              <w:rPr>
                <w:rFonts w:eastAsia="SimSun"/>
                <w:vertAlign w:val="superscript"/>
              </w:rPr>
              <w:t>2</w:t>
            </w:r>
          </w:p>
        </w:tc>
        <w:tc>
          <w:tcPr>
            <w:tcW w:w="1417" w:type="dxa"/>
            <w:vAlign w:val="center"/>
          </w:tcPr>
          <w:p w14:paraId="12DDADBC" w14:textId="77777777" w:rsidR="0089207C" w:rsidRPr="00AC3044" w:rsidRDefault="0089207C" w:rsidP="002D3EBF">
            <w:pPr>
              <w:rPr>
                <w:rFonts w:eastAsia="SimSun"/>
              </w:rPr>
            </w:pPr>
            <w:r w:rsidRPr="00AC3044">
              <w:rPr>
                <w:rFonts w:eastAsia="SimSun"/>
              </w:rPr>
              <w:t xml:space="preserve">В -2 день </w:t>
            </w:r>
          </w:p>
        </w:tc>
        <w:tc>
          <w:tcPr>
            <w:tcW w:w="2552" w:type="dxa"/>
            <w:vAlign w:val="center"/>
          </w:tcPr>
          <w:p w14:paraId="5D5ECC41" w14:textId="77777777" w:rsidR="0089207C" w:rsidRPr="00AC3044" w:rsidRDefault="0089207C" w:rsidP="002D3EBF">
            <w:pPr>
              <w:rPr>
                <w:rFonts w:eastAsia="SimSun"/>
              </w:rPr>
            </w:pPr>
            <w:r w:rsidRPr="00AC3044">
              <w:rPr>
                <w:rFonts w:eastAsia="SimSun"/>
              </w:rPr>
              <w:t>В/в, в течение 1 часа</w:t>
            </w:r>
          </w:p>
        </w:tc>
      </w:tr>
      <w:tr w:rsidR="0089207C" w:rsidRPr="00AC3044" w14:paraId="07B36C63" w14:textId="77777777" w:rsidTr="002D3EBF">
        <w:trPr>
          <w:cantSplit/>
          <w:trHeight w:val="606"/>
        </w:trPr>
        <w:tc>
          <w:tcPr>
            <w:tcW w:w="1135" w:type="dxa"/>
            <w:vMerge w:val="restart"/>
            <w:textDirection w:val="btLr"/>
            <w:vAlign w:val="center"/>
          </w:tcPr>
          <w:p w14:paraId="4CDB59E8" w14:textId="77777777" w:rsidR="0089207C" w:rsidRPr="00AC3044" w:rsidRDefault="0089207C" w:rsidP="002D3EBF">
            <w:pPr>
              <w:rPr>
                <w:rFonts w:eastAsia="SimSun"/>
              </w:rPr>
            </w:pPr>
            <w:r w:rsidRPr="00AC3044">
              <w:rPr>
                <w:rFonts w:eastAsia="SimSun"/>
              </w:rPr>
              <w:t>Профилактика РТПХ</w:t>
            </w:r>
          </w:p>
        </w:tc>
        <w:tc>
          <w:tcPr>
            <w:tcW w:w="1559" w:type="dxa"/>
            <w:vAlign w:val="center"/>
          </w:tcPr>
          <w:p w14:paraId="1614FC31" w14:textId="77777777" w:rsidR="0089207C" w:rsidRPr="00AC3044" w:rsidRDefault="0089207C" w:rsidP="002D3EBF">
            <w:pPr>
              <w:rPr>
                <w:rFonts w:eastAsia="SimSun"/>
              </w:rPr>
            </w:pPr>
            <w:r w:rsidRPr="00AC3044">
              <w:rPr>
                <w:rFonts w:eastAsia="SimSun"/>
              </w:rPr>
              <w:t>Циклофосфамид</w:t>
            </w:r>
          </w:p>
        </w:tc>
        <w:tc>
          <w:tcPr>
            <w:tcW w:w="1418" w:type="dxa"/>
            <w:vAlign w:val="center"/>
          </w:tcPr>
          <w:p w14:paraId="3E1B8E49" w14:textId="77777777" w:rsidR="0089207C" w:rsidRPr="00AC3044" w:rsidRDefault="0089207C" w:rsidP="002D3EBF">
            <w:pPr>
              <w:rPr>
                <w:rFonts w:eastAsia="SimSun"/>
              </w:rPr>
            </w:pPr>
            <w:r w:rsidRPr="00AC3044">
              <w:rPr>
                <w:rFonts w:eastAsia="SimSun"/>
              </w:rPr>
              <w:t>50 мг/кг</w:t>
            </w:r>
          </w:p>
        </w:tc>
        <w:tc>
          <w:tcPr>
            <w:tcW w:w="1559" w:type="dxa"/>
            <w:vAlign w:val="center"/>
          </w:tcPr>
          <w:p w14:paraId="422E5FFC" w14:textId="77777777" w:rsidR="0089207C" w:rsidRPr="00AC3044" w:rsidRDefault="0089207C" w:rsidP="002D3EBF">
            <w:pPr>
              <w:rPr>
                <w:rFonts w:eastAsia="SimSun"/>
              </w:rPr>
            </w:pPr>
            <w:r w:rsidRPr="00AC3044">
              <w:rPr>
                <w:rFonts w:eastAsia="SimSun"/>
              </w:rPr>
              <w:t>100 мг/кг</w:t>
            </w:r>
          </w:p>
        </w:tc>
        <w:tc>
          <w:tcPr>
            <w:tcW w:w="1417" w:type="dxa"/>
            <w:vAlign w:val="center"/>
          </w:tcPr>
          <w:p w14:paraId="08251BBE" w14:textId="77777777" w:rsidR="0089207C" w:rsidRPr="00AC3044" w:rsidRDefault="0089207C" w:rsidP="002D3EBF">
            <w:pPr>
              <w:rPr>
                <w:rFonts w:eastAsia="SimSun"/>
              </w:rPr>
            </w:pPr>
            <w:r w:rsidRPr="00AC3044">
              <w:rPr>
                <w:rFonts w:eastAsia="SimSun"/>
              </w:rPr>
              <w:t xml:space="preserve">+3,+4 дни </w:t>
            </w:r>
          </w:p>
        </w:tc>
        <w:tc>
          <w:tcPr>
            <w:tcW w:w="2552" w:type="dxa"/>
            <w:vAlign w:val="center"/>
          </w:tcPr>
          <w:p w14:paraId="12A60FA8"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3DBF678A" w14:textId="77777777" w:rsidTr="002D3EBF">
        <w:trPr>
          <w:cantSplit/>
          <w:trHeight w:val="958"/>
        </w:trPr>
        <w:tc>
          <w:tcPr>
            <w:tcW w:w="1135" w:type="dxa"/>
            <w:vMerge/>
            <w:textDirection w:val="btLr"/>
            <w:vAlign w:val="center"/>
          </w:tcPr>
          <w:p w14:paraId="0951C8F7" w14:textId="77777777" w:rsidR="0089207C" w:rsidRPr="00AC3044" w:rsidRDefault="0089207C" w:rsidP="002D3EBF">
            <w:pPr>
              <w:rPr>
                <w:rFonts w:eastAsia="SimSun"/>
              </w:rPr>
            </w:pPr>
          </w:p>
        </w:tc>
        <w:tc>
          <w:tcPr>
            <w:tcW w:w="1559" w:type="dxa"/>
            <w:vAlign w:val="center"/>
          </w:tcPr>
          <w:p w14:paraId="21976BA6" w14:textId="77777777" w:rsidR="0089207C" w:rsidRPr="00AC3044" w:rsidRDefault="0089207C" w:rsidP="002D3EBF">
            <w:pPr>
              <w:rPr>
                <w:rFonts w:eastAsia="SimSun"/>
              </w:rPr>
            </w:pPr>
            <w:r w:rsidRPr="00AC3044">
              <w:rPr>
                <w:rFonts w:eastAsia="SimSun"/>
              </w:rPr>
              <w:t xml:space="preserve">Такролимус </w:t>
            </w:r>
          </w:p>
        </w:tc>
        <w:tc>
          <w:tcPr>
            <w:tcW w:w="1418" w:type="dxa"/>
            <w:vAlign w:val="center"/>
          </w:tcPr>
          <w:p w14:paraId="49097075" w14:textId="77777777" w:rsidR="0089207C" w:rsidRPr="00AC3044" w:rsidRDefault="0089207C" w:rsidP="002D3EBF">
            <w:pPr>
              <w:rPr>
                <w:rFonts w:eastAsia="SimSun"/>
              </w:rPr>
            </w:pPr>
            <w:r w:rsidRPr="00AC3044">
              <w:rPr>
                <w:rFonts w:eastAsia="SimSun"/>
              </w:rPr>
              <w:t>0,03 мг/кг</w:t>
            </w:r>
          </w:p>
        </w:tc>
        <w:tc>
          <w:tcPr>
            <w:tcW w:w="1559" w:type="dxa"/>
            <w:vAlign w:val="center"/>
          </w:tcPr>
          <w:p w14:paraId="0A2C1857" w14:textId="77777777" w:rsidR="0089207C" w:rsidRPr="00AC3044" w:rsidRDefault="0089207C" w:rsidP="002D3EBF">
            <w:pPr>
              <w:rPr>
                <w:rFonts w:eastAsia="SimSun"/>
              </w:rPr>
            </w:pPr>
            <w:r w:rsidRPr="00AC3044">
              <w:rPr>
                <w:rFonts w:eastAsia="SimSun"/>
              </w:rPr>
              <w:t>–</w:t>
            </w:r>
          </w:p>
        </w:tc>
        <w:tc>
          <w:tcPr>
            <w:tcW w:w="1417" w:type="dxa"/>
            <w:vAlign w:val="center"/>
          </w:tcPr>
          <w:p w14:paraId="58AE814B" w14:textId="77777777" w:rsidR="0089207C" w:rsidRPr="00AC3044" w:rsidRDefault="0089207C" w:rsidP="002D3EBF">
            <w:pPr>
              <w:rPr>
                <w:rFonts w:eastAsia="SimSun"/>
              </w:rPr>
            </w:pPr>
            <w:r w:rsidRPr="00AC3044">
              <w:rPr>
                <w:rFonts w:eastAsia="SimSun"/>
              </w:rPr>
              <w:t xml:space="preserve">С -1 дня длительно </w:t>
            </w:r>
          </w:p>
        </w:tc>
        <w:tc>
          <w:tcPr>
            <w:tcW w:w="2552" w:type="dxa"/>
            <w:vAlign w:val="center"/>
          </w:tcPr>
          <w:p w14:paraId="39A30339" w14:textId="77777777" w:rsidR="0089207C" w:rsidRPr="00AC3044" w:rsidRDefault="0089207C" w:rsidP="002D3EBF">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89207C" w:rsidRPr="00AC3044" w14:paraId="77ADEF26" w14:textId="77777777" w:rsidTr="002D3EBF">
        <w:trPr>
          <w:cantSplit/>
          <w:trHeight w:val="386"/>
        </w:trPr>
        <w:tc>
          <w:tcPr>
            <w:tcW w:w="1135" w:type="dxa"/>
            <w:vMerge/>
            <w:textDirection w:val="btLr"/>
            <w:vAlign w:val="center"/>
          </w:tcPr>
          <w:p w14:paraId="72F3FE0F" w14:textId="77777777" w:rsidR="0089207C" w:rsidRPr="00AC3044" w:rsidRDefault="0089207C" w:rsidP="002D3EBF">
            <w:pPr>
              <w:rPr>
                <w:rFonts w:eastAsia="SimSun"/>
              </w:rPr>
            </w:pPr>
          </w:p>
        </w:tc>
        <w:tc>
          <w:tcPr>
            <w:tcW w:w="1559" w:type="dxa"/>
            <w:vAlign w:val="center"/>
          </w:tcPr>
          <w:p w14:paraId="156678FE" w14:textId="77777777" w:rsidR="0089207C" w:rsidRPr="00AC3044" w:rsidRDefault="0089207C" w:rsidP="002D3EBF">
            <w:pPr>
              <w:rPr>
                <w:rFonts w:eastAsia="SimSun"/>
              </w:rPr>
            </w:pPr>
            <w:r w:rsidRPr="00AC3044">
              <w:rPr>
                <w:rFonts w:eastAsia="SimSun"/>
              </w:rPr>
              <w:t>Микофенолата мофетил</w:t>
            </w:r>
          </w:p>
        </w:tc>
        <w:tc>
          <w:tcPr>
            <w:tcW w:w="1418" w:type="dxa"/>
            <w:vAlign w:val="center"/>
          </w:tcPr>
          <w:p w14:paraId="173C5F59" w14:textId="77777777" w:rsidR="0089207C" w:rsidRPr="00AC3044" w:rsidRDefault="0089207C" w:rsidP="002D3EBF">
            <w:pPr>
              <w:rPr>
                <w:rFonts w:eastAsia="SimSun"/>
              </w:rPr>
            </w:pPr>
            <w:r w:rsidRPr="00AC3044">
              <w:rPr>
                <w:rFonts w:eastAsia="SimSun"/>
              </w:rPr>
              <w:t xml:space="preserve">30 мг/кг </w:t>
            </w:r>
          </w:p>
        </w:tc>
        <w:tc>
          <w:tcPr>
            <w:tcW w:w="1559" w:type="dxa"/>
            <w:vAlign w:val="center"/>
          </w:tcPr>
          <w:p w14:paraId="0222A038" w14:textId="77777777" w:rsidR="0089207C" w:rsidRPr="00AC3044" w:rsidRDefault="0089207C" w:rsidP="002D3EBF">
            <w:pPr>
              <w:rPr>
                <w:rFonts w:eastAsia="SimSun"/>
              </w:rPr>
            </w:pPr>
            <w:r w:rsidRPr="00AC3044">
              <w:rPr>
                <w:rFonts w:eastAsia="SimSun"/>
              </w:rPr>
              <w:t>–</w:t>
            </w:r>
          </w:p>
        </w:tc>
        <w:tc>
          <w:tcPr>
            <w:tcW w:w="1417" w:type="dxa"/>
            <w:vAlign w:val="center"/>
          </w:tcPr>
          <w:p w14:paraId="05693161" w14:textId="77777777" w:rsidR="0089207C" w:rsidRPr="00AC3044" w:rsidRDefault="0089207C" w:rsidP="002D3EBF">
            <w:pPr>
              <w:rPr>
                <w:rFonts w:eastAsia="SimSun"/>
              </w:rPr>
            </w:pPr>
            <w:r w:rsidRPr="00AC3044">
              <w:rPr>
                <w:rFonts w:eastAsia="SimSun"/>
              </w:rPr>
              <w:t xml:space="preserve">С -1 дня по +30 день </w:t>
            </w:r>
          </w:p>
        </w:tc>
        <w:tc>
          <w:tcPr>
            <w:tcW w:w="2552" w:type="dxa"/>
            <w:vAlign w:val="center"/>
          </w:tcPr>
          <w:p w14:paraId="2F981016" w14:textId="77777777" w:rsidR="0089207C" w:rsidRPr="00AC3044" w:rsidRDefault="0089207C" w:rsidP="002D3EBF">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66BC8D96" w14:textId="77777777" w:rsidR="0089207C" w:rsidRPr="00C07B2E" w:rsidRDefault="0089207C" w:rsidP="0089207C">
      <w:pPr>
        <w:rPr>
          <w:rFonts w:eastAsia="SimSun"/>
        </w:rPr>
      </w:pPr>
    </w:p>
    <w:p w14:paraId="6A9090A0" w14:textId="77777777" w:rsidR="0089207C" w:rsidRPr="000F445E" w:rsidRDefault="0089207C" w:rsidP="0089207C">
      <w:pPr>
        <w:rPr>
          <w:rFonts w:eastAsia="SimSun"/>
          <w:i/>
          <w:u w:val="single"/>
        </w:rPr>
      </w:pPr>
      <w:bookmarkStart w:id="285" w:name="_Toc44401240"/>
      <w:r w:rsidRPr="000F445E">
        <w:rPr>
          <w:rFonts w:eastAsia="SimSun"/>
          <w:i/>
          <w:u w:val="single"/>
        </w:rPr>
        <w:t>4.  Алло-ТГСК с использованием манипулированных  трансплантатов (ex vivo Т-клеточная деплеция, позитивная CD34+ селекция)</w:t>
      </w:r>
      <w:bookmarkEnd w:id="285"/>
      <w:r w:rsidRPr="000F445E">
        <w:rPr>
          <w:rFonts w:eastAsia="SimSun"/>
          <w:i/>
          <w:u w:val="single"/>
        </w:rPr>
        <w:t xml:space="preserve"> </w:t>
      </w:r>
    </w:p>
    <w:p w14:paraId="470941DC" w14:textId="77777777" w:rsidR="0089207C" w:rsidRDefault="0089207C" w:rsidP="0089207C">
      <w:pPr>
        <w:rPr>
          <w:rFonts w:eastAsia="SimSun"/>
        </w:rPr>
      </w:pPr>
      <w:bookmarkStart w:id="286" w:name="_Toc44401242"/>
    </w:p>
    <w:bookmarkEnd w:id="286"/>
    <w:p w14:paraId="493078CD" w14:textId="77777777" w:rsidR="0089207C" w:rsidRPr="00C07B2E" w:rsidRDefault="0089207C" w:rsidP="0089207C">
      <w:pPr>
        <w:rPr>
          <w:rFonts w:eastAsia="SimSun"/>
        </w:rPr>
      </w:pPr>
      <w:r w:rsidRPr="00C07B2E">
        <w:rPr>
          <w:rFonts w:eastAsia="SimSun"/>
        </w:rPr>
        <w:t xml:space="preserve">Схема и режим применения препаратов для кондиционирования и профилактики РТПХ приведены в </w:t>
      </w:r>
      <w:r>
        <w:rPr>
          <w:rFonts w:eastAsia="SimSun"/>
        </w:rPr>
        <w:t>Таблицах</w:t>
      </w:r>
      <w:r w:rsidRPr="00C07B2E">
        <w:rPr>
          <w:rFonts w:eastAsia="SimSun"/>
        </w:rPr>
        <w:t xml:space="preserve"> </w:t>
      </w:r>
      <w:r>
        <w:rPr>
          <w:rFonts w:eastAsia="SimSun"/>
        </w:rPr>
        <w:t>5.</w:t>
      </w:r>
      <w:r w:rsidRPr="00C07B2E">
        <w:rPr>
          <w:rFonts w:eastAsia="SimSun"/>
        </w:rPr>
        <w:t xml:space="preserve">4.1, </w:t>
      </w:r>
      <w:r>
        <w:rPr>
          <w:rFonts w:eastAsia="SimSun"/>
        </w:rPr>
        <w:t>5.</w:t>
      </w:r>
      <w:r w:rsidRPr="00C07B2E">
        <w:rPr>
          <w:rFonts w:eastAsia="SimSun"/>
        </w:rPr>
        <w:t xml:space="preserve">4.2 и </w:t>
      </w:r>
      <w:r>
        <w:rPr>
          <w:rFonts w:eastAsia="SimSun"/>
        </w:rPr>
        <w:t>5.</w:t>
      </w:r>
      <w:r w:rsidRPr="00C07B2E">
        <w:rPr>
          <w:rFonts w:eastAsia="SimSun"/>
        </w:rPr>
        <w:t xml:space="preserve">4.3. </w:t>
      </w:r>
    </w:p>
    <w:p w14:paraId="63972F2E" w14:textId="77777777" w:rsidR="0089207C" w:rsidRDefault="0089207C" w:rsidP="0089207C">
      <w:pPr>
        <w:rPr>
          <w:rFonts w:eastAsia="SimSun"/>
        </w:rPr>
      </w:pPr>
      <w:bookmarkStart w:id="287" w:name="_Toc44401243"/>
    </w:p>
    <w:p w14:paraId="39F9E854" w14:textId="77777777" w:rsidR="0089207C" w:rsidRPr="00EE51B1" w:rsidRDefault="0089207C" w:rsidP="0089207C">
      <w:pPr>
        <w:rPr>
          <w:rFonts w:eastAsia="SimSun"/>
          <w:lang w:val="en-US"/>
        </w:rPr>
      </w:pPr>
      <w:r>
        <w:rPr>
          <w:rFonts w:eastAsia="SimSun"/>
        </w:rPr>
        <w:t>Таблица</w:t>
      </w:r>
      <w:r w:rsidRPr="00EE51B1">
        <w:rPr>
          <w:rFonts w:eastAsia="SimSun"/>
          <w:lang w:val="en-US"/>
        </w:rPr>
        <w:t xml:space="preserve"> </w:t>
      </w:r>
      <w:r>
        <w:rPr>
          <w:rFonts w:eastAsia="SimSun"/>
          <w:lang w:val="en-US"/>
        </w:rPr>
        <w:t>5.</w:t>
      </w:r>
      <w:r w:rsidRPr="00EE51B1">
        <w:rPr>
          <w:rFonts w:eastAsia="SimSun"/>
          <w:lang w:val="en-US"/>
        </w:rPr>
        <w:t xml:space="preserve">4.1  – </w:t>
      </w:r>
      <w:r w:rsidRPr="00C07B2E">
        <w:rPr>
          <w:rFonts w:eastAsia="SimSun"/>
        </w:rPr>
        <w:t>Flu</w:t>
      </w:r>
      <w:r w:rsidRPr="00EE51B1">
        <w:rPr>
          <w:rFonts w:eastAsia="SimSun"/>
          <w:lang w:val="en-US"/>
        </w:rPr>
        <w:t>150+</w:t>
      </w:r>
      <w:r w:rsidRPr="00C07B2E">
        <w:rPr>
          <w:rFonts w:eastAsia="SimSun"/>
        </w:rPr>
        <w:t>Treo</w:t>
      </w:r>
      <w:r w:rsidRPr="00EE51B1">
        <w:rPr>
          <w:rFonts w:eastAsia="SimSun"/>
          <w:lang w:val="en-US"/>
        </w:rPr>
        <w:t>42+</w:t>
      </w:r>
      <w:r w:rsidRPr="00C07B2E">
        <w:rPr>
          <w:rFonts w:eastAsia="SimSun"/>
        </w:rPr>
        <w:t>Thio</w:t>
      </w:r>
      <w:r w:rsidRPr="00EE51B1">
        <w:rPr>
          <w:rFonts w:eastAsia="SimSun"/>
          <w:lang w:val="en-US"/>
        </w:rPr>
        <w:t xml:space="preserve"> / </w:t>
      </w:r>
      <w:r w:rsidRPr="00C07B2E">
        <w:rPr>
          <w:rFonts w:eastAsia="SimSun"/>
        </w:rPr>
        <w:t>TCRαβ</w:t>
      </w:r>
      <w:r w:rsidRPr="00EE51B1">
        <w:rPr>
          <w:rFonts w:eastAsia="SimSun"/>
          <w:lang w:val="en-US"/>
        </w:rPr>
        <w:t>-</w:t>
      </w:r>
      <w:r w:rsidRPr="00C07B2E">
        <w:rPr>
          <w:rFonts w:eastAsia="SimSun"/>
        </w:rPr>
        <w:t>CD</w:t>
      </w:r>
      <w:r w:rsidRPr="00EE51B1">
        <w:rPr>
          <w:rFonts w:eastAsia="SimSun"/>
          <w:lang w:val="en-US"/>
        </w:rPr>
        <w:t>19</w:t>
      </w:r>
      <w:bookmarkEnd w:id="287"/>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268"/>
        <w:gridCol w:w="1276"/>
        <w:gridCol w:w="1417"/>
        <w:gridCol w:w="1843"/>
        <w:gridCol w:w="2835"/>
      </w:tblGrid>
      <w:tr w:rsidR="0089207C" w:rsidRPr="00AC3044" w14:paraId="31363999" w14:textId="77777777" w:rsidTr="002D3EBF">
        <w:trPr>
          <w:cantSplit/>
          <w:trHeight w:val="20"/>
          <w:tblHeader/>
        </w:trPr>
        <w:tc>
          <w:tcPr>
            <w:tcW w:w="851" w:type="dxa"/>
          </w:tcPr>
          <w:p w14:paraId="4352B894" w14:textId="77777777" w:rsidR="0089207C" w:rsidRPr="000F445E" w:rsidRDefault="0089207C" w:rsidP="002D3EBF">
            <w:pPr>
              <w:rPr>
                <w:rFonts w:eastAsia="SimSun"/>
                <w:lang w:val="en-US"/>
              </w:rPr>
            </w:pPr>
          </w:p>
        </w:tc>
        <w:tc>
          <w:tcPr>
            <w:tcW w:w="2268" w:type="dxa"/>
            <w:vAlign w:val="center"/>
          </w:tcPr>
          <w:p w14:paraId="577FEC57" w14:textId="77777777" w:rsidR="0089207C" w:rsidRPr="00AC3044" w:rsidRDefault="0089207C" w:rsidP="002D3EBF">
            <w:pPr>
              <w:rPr>
                <w:rFonts w:eastAsia="SimSun"/>
              </w:rPr>
            </w:pPr>
            <w:r w:rsidRPr="00AC3044">
              <w:rPr>
                <w:rFonts w:eastAsia="SimSun"/>
              </w:rPr>
              <w:t>Препарат</w:t>
            </w:r>
          </w:p>
        </w:tc>
        <w:tc>
          <w:tcPr>
            <w:tcW w:w="1276" w:type="dxa"/>
            <w:vAlign w:val="center"/>
          </w:tcPr>
          <w:p w14:paraId="619AB8FE" w14:textId="77777777" w:rsidR="0089207C" w:rsidRPr="00AC3044" w:rsidRDefault="0089207C" w:rsidP="002D3EBF">
            <w:pPr>
              <w:rPr>
                <w:rFonts w:eastAsia="SimSun"/>
              </w:rPr>
            </w:pPr>
            <w:r w:rsidRPr="00AC3044">
              <w:rPr>
                <w:rFonts w:eastAsia="SimSun"/>
              </w:rPr>
              <w:t>Суточная доза</w:t>
            </w:r>
          </w:p>
        </w:tc>
        <w:tc>
          <w:tcPr>
            <w:tcW w:w="1417" w:type="dxa"/>
            <w:vAlign w:val="center"/>
          </w:tcPr>
          <w:p w14:paraId="07B7DDFD" w14:textId="77777777" w:rsidR="0089207C" w:rsidRPr="00AC3044" w:rsidRDefault="0089207C" w:rsidP="002D3EBF">
            <w:pPr>
              <w:rPr>
                <w:rFonts w:eastAsia="SimSun"/>
              </w:rPr>
            </w:pPr>
            <w:r w:rsidRPr="00AC3044">
              <w:rPr>
                <w:rFonts w:eastAsia="SimSun"/>
              </w:rPr>
              <w:t>Курсовая доза</w:t>
            </w:r>
          </w:p>
        </w:tc>
        <w:tc>
          <w:tcPr>
            <w:tcW w:w="1843" w:type="dxa"/>
            <w:vAlign w:val="center"/>
          </w:tcPr>
          <w:p w14:paraId="33CBF419" w14:textId="77777777" w:rsidR="0089207C" w:rsidRPr="00AC3044" w:rsidRDefault="0089207C" w:rsidP="002D3EBF">
            <w:pPr>
              <w:rPr>
                <w:rFonts w:eastAsia="SimSun"/>
              </w:rPr>
            </w:pPr>
            <w:r w:rsidRPr="00AC3044">
              <w:rPr>
                <w:rFonts w:eastAsia="SimSun"/>
              </w:rPr>
              <w:t>Дни введения</w:t>
            </w:r>
          </w:p>
        </w:tc>
        <w:tc>
          <w:tcPr>
            <w:tcW w:w="2835" w:type="dxa"/>
            <w:vAlign w:val="center"/>
          </w:tcPr>
          <w:p w14:paraId="32603DF9"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6A651637" w14:textId="77777777" w:rsidTr="002D3EBF">
        <w:trPr>
          <w:cantSplit/>
          <w:trHeight w:val="20"/>
        </w:trPr>
        <w:tc>
          <w:tcPr>
            <w:tcW w:w="851" w:type="dxa"/>
            <w:vMerge w:val="restart"/>
            <w:textDirection w:val="btLr"/>
            <w:vAlign w:val="center"/>
          </w:tcPr>
          <w:p w14:paraId="084C68A5" w14:textId="77777777" w:rsidR="0089207C" w:rsidRPr="00AC3044" w:rsidRDefault="0089207C" w:rsidP="002D3EBF">
            <w:pPr>
              <w:rPr>
                <w:rFonts w:eastAsia="SimSun"/>
              </w:rPr>
            </w:pPr>
            <w:r w:rsidRPr="00AC3044">
              <w:rPr>
                <w:rFonts w:eastAsia="SimSun"/>
              </w:rPr>
              <w:t>Кондиционирование</w:t>
            </w:r>
          </w:p>
        </w:tc>
        <w:tc>
          <w:tcPr>
            <w:tcW w:w="2268" w:type="dxa"/>
            <w:vAlign w:val="center"/>
          </w:tcPr>
          <w:p w14:paraId="76572F0C" w14:textId="77777777" w:rsidR="0089207C" w:rsidRPr="00AC3044" w:rsidRDefault="0089207C" w:rsidP="002D3EBF">
            <w:pPr>
              <w:rPr>
                <w:rFonts w:eastAsia="SimSun"/>
              </w:rPr>
            </w:pPr>
            <w:r w:rsidRPr="00AC3044">
              <w:rPr>
                <w:rFonts w:eastAsia="SimSun"/>
              </w:rPr>
              <w:t>Треосульфан</w:t>
            </w:r>
          </w:p>
        </w:tc>
        <w:tc>
          <w:tcPr>
            <w:tcW w:w="1276" w:type="dxa"/>
            <w:vAlign w:val="center"/>
          </w:tcPr>
          <w:p w14:paraId="09B4C68A" w14:textId="77777777" w:rsidR="0089207C" w:rsidRPr="00AC3044" w:rsidRDefault="0089207C" w:rsidP="002D3EBF">
            <w:pPr>
              <w:rPr>
                <w:rFonts w:eastAsia="SimSun"/>
              </w:rPr>
            </w:pPr>
            <w:r w:rsidRPr="00AC3044">
              <w:rPr>
                <w:rFonts w:eastAsia="SimSun"/>
              </w:rPr>
              <w:t>14 г/м</w:t>
            </w:r>
            <w:r w:rsidRPr="0074195F">
              <w:rPr>
                <w:rFonts w:eastAsia="SimSun"/>
                <w:vertAlign w:val="superscript"/>
              </w:rPr>
              <w:t>2</w:t>
            </w:r>
          </w:p>
        </w:tc>
        <w:tc>
          <w:tcPr>
            <w:tcW w:w="1417" w:type="dxa"/>
            <w:vAlign w:val="center"/>
          </w:tcPr>
          <w:p w14:paraId="77315440" w14:textId="77777777" w:rsidR="0089207C" w:rsidRPr="00AC3044" w:rsidRDefault="0089207C" w:rsidP="002D3EBF">
            <w:pPr>
              <w:rPr>
                <w:rFonts w:eastAsia="SimSun"/>
              </w:rPr>
            </w:pPr>
            <w:r w:rsidRPr="00AC3044">
              <w:rPr>
                <w:rFonts w:eastAsia="SimSun"/>
              </w:rPr>
              <w:t>42 г/м</w:t>
            </w:r>
            <w:r w:rsidRPr="0074195F">
              <w:rPr>
                <w:rFonts w:eastAsia="SimSun"/>
                <w:vertAlign w:val="superscript"/>
              </w:rPr>
              <w:t>2</w:t>
            </w:r>
          </w:p>
        </w:tc>
        <w:tc>
          <w:tcPr>
            <w:tcW w:w="1843" w:type="dxa"/>
            <w:vAlign w:val="center"/>
          </w:tcPr>
          <w:p w14:paraId="3A7A1D54" w14:textId="77777777" w:rsidR="0089207C" w:rsidRPr="00AC3044" w:rsidRDefault="0089207C" w:rsidP="002D3EBF">
            <w:pPr>
              <w:rPr>
                <w:rFonts w:eastAsia="SimSun"/>
              </w:rPr>
            </w:pPr>
            <w:r w:rsidRPr="00AC3044">
              <w:rPr>
                <w:rFonts w:eastAsia="SimSun"/>
              </w:rPr>
              <w:t>–5,–4,–3</w:t>
            </w:r>
          </w:p>
        </w:tc>
        <w:tc>
          <w:tcPr>
            <w:tcW w:w="2835" w:type="dxa"/>
            <w:vAlign w:val="center"/>
          </w:tcPr>
          <w:p w14:paraId="79C3DF93"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4BA71483" w14:textId="77777777" w:rsidTr="002D3EBF">
        <w:trPr>
          <w:cantSplit/>
          <w:trHeight w:val="457"/>
        </w:trPr>
        <w:tc>
          <w:tcPr>
            <w:tcW w:w="851" w:type="dxa"/>
            <w:vMerge/>
            <w:textDirection w:val="btLr"/>
            <w:vAlign w:val="center"/>
          </w:tcPr>
          <w:p w14:paraId="43123A16" w14:textId="77777777" w:rsidR="0089207C" w:rsidRPr="00AC3044" w:rsidRDefault="0089207C" w:rsidP="002D3EBF">
            <w:pPr>
              <w:rPr>
                <w:rFonts w:eastAsia="SimSun"/>
              </w:rPr>
            </w:pPr>
          </w:p>
        </w:tc>
        <w:tc>
          <w:tcPr>
            <w:tcW w:w="2268" w:type="dxa"/>
            <w:vAlign w:val="center"/>
          </w:tcPr>
          <w:p w14:paraId="2D4B2C5E" w14:textId="77777777" w:rsidR="0089207C" w:rsidRPr="00AC3044" w:rsidRDefault="0089207C" w:rsidP="002D3EBF">
            <w:pPr>
              <w:rPr>
                <w:rFonts w:eastAsia="SimSun"/>
              </w:rPr>
            </w:pPr>
            <w:r w:rsidRPr="00AC3044">
              <w:rPr>
                <w:rFonts w:eastAsia="SimSun"/>
              </w:rPr>
              <w:t>Тиотепа</w:t>
            </w:r>
          </w:p>
        </w:tc>
        <w:tc>
          <w:tcPr>
            <w:tcW w:w="1276" w:type="dxa"/>
            <w:vAlign w:val="center"/>
          </w:tcPr>
          <w:p w14:paraId="37F1EBD7" w14:textId="77777777" w:rsidR="0089207C" w:rsidRPr="00AC3044" w:rsidRDefault="0089207C" w:rsidP="002D3EBF">
            <w:pPr>
              <w:rPr>
                <w:rFonts w:eastAsia="SimSun"/>
              </w:rPr>
            </w:pPr>
            <w:r w:rsidRPr="00AC3044">
              <w:rPr>
                <w:rFonts w:eastAsia="SimSun"/>
              </w:rPr>
              <w:t xml:space="preserve">5мг/кг </w:t>
            </w:r>
          </w:p>
        </w:tc>
        <w:tc>
          <w:tcPr>
            <w:tcW w:w="1417" w:type="dxa"/>
            <w:vAlign w:val="center"/>
          </w:tcPr>
          <w:p w14:paraId="56F15AD7" w14:textId="77777777" w:rsidR="0089207C" w:rsidRPr="00AC3044" w:rsidRDefault="0089207C" w:rsidP="002D3EBF">
            <w:pPr>
              <w:rPr>
                <w:rFonts w:eastAsia="SimSun"/>
              </w:rPr>
            </w:pPr>
            <w:r w:rsidRPr="00AC3044">
              <w:rPr>
                <w:rFonts w:eastAsia="SimSun"/>
              </w:rPr>
              <w:t>10 мг/кг</w:t>
            </w:r>
          </w:p>
        </w:tc>
        <w:tc>
          <w:tcPr>
            <w:tcW w:w="1843" w:type="dxa"/>
            <w:vAlign w:val="center"/>
          </w:tcPr>
          <w:p w14:paraId="0436CBBE" w14:textId="77777777" w:rsidR="0089207C" w:rsidRPr="00AC3044" w:rsidRDefault="0089207C" w:rsidP="002D3EBF">
            <w:pPr>
              <w:rPr>
                <w:rFonts w:eastAsia="SimSun"/>
              </w:rPr>
            </w:pPr>
            <w:r w:rsidRPr="00AC3044">
              <w:rPr>
                <w:rFonts w:eastAsia="SimSun"/>
              </w:rPr>
              <w:t>–6,–5</w:t>
            </w:r>
          </w:p>
        </w:tc>
        <w:tc>
          <w:tcPr>
            <w:tcW w:w="2835" w:type="dxa"/>
            <w:vAlign w:val="center"/>
          </w:tcPr>
          <w:p w14:paraId="4532DF23"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1BFD63B1" w14:textId="77777777" w:rsidTr="002D3EBF">
        <w:trPr>
          <w:cantSplit/>
          <w:trHeight w:val="262"/>
        </w:trPr>
        <w:tc>
          <w:tcPr>
            <w:tcW w:w="851" w:type="dxa"/>
            <w:vMerge/>
            <w:textDirection w:val="btLr"/>
            <w:vAlign w:val="center"/>
          </w:tcPr>
          <w:p w14:paraId="63CAB46A" w14:textId="77777777" w:rsidR="0089207C" w:rsidRPr="00AC3044" w:rsidRDefault="0089207C" w:rsidP="002D3EBF">
            <w:pPr>
              <w:rPr>
                <w:rFonts w:eastAsia="SimSun"/>
              </w:rPr>
            </w:pPr>
          </w:p>
        </w:tc>
        <w:tc>
          <w:tcPr>
            <w:tcW w:w="2268" w:type="dxa"/>
            <w:vAlign w:val="center"/>
          </w:tcPr>
          <w:p w14:paraId="727823A4" w14:textId="77777777" w:rsidR="0089207C" w:rsidRPr="00AC3044" w:rsidRDefault="0089207C" w:rsidP="002D3EBF">
            <w:pPr>
              <w:rPr>
                <w:rFonts w:eastAsia="SimSun"/>
              </w:rPr>
            </w:pPr>
            <w:r w:rsidRPr="00AC3044">
              <w:rPr>
                <w:rFonts w:eastAsia="SimSun"/>
              </w:rPr>
              <w:t>Флударабин</w:t>
            </w:r>
          </w:p>
        </w:tc>
        <w:tc>
          <w:tcPr>
            <w:tcW w:w="1276" w:type="dxa"/>
            <w:vAlign w:val="center"/>
          </w:tcPr>
          <w:p w14:paraId="05FC4251" w14:textId="77777777" w:rsidR="0089207C" w:rsidRPr="00AC3044" w:rsidRDefault="0089207C" w:rsidP="002D3EBF">
            <w:pPr>
              <w:rPr>
                <w:rFonts w:eastAsia="SimSun"/>
              </w:rPr>
            </w:pPr>
            <w:r w:rsidRPr="00AC3044">
              <w:rPr>
                <w:rFonts w:eastAsia="SimSun"/>
              </w:rPr>
              <w:t>30 мг/м</w:t>
            </w:r>
            <w:r w:rsidRPr="0074195F">
              <w:rPr>
                <w:rFonts w:eastAsia="SimSun"/>
                <w:vertAlign w:val="superscript"/>
              </w:rPr>
              <w:t>2</w:t>
            </w:r>
          </w:p>
        </w:tc>
        <w:tc>
          <w:tcPr>
            <w:tcW w:w="1417" w:type="dxa"/>
            <w:vAlign w:val="center"/>
          </w:tcPr>
          <w:p w14:paraId="3988DB18" w14:textId="77777777" w:rsidR="0089207C" w:rsidRPr="00AC3044" w:rsidRDefault="0089207C" w:rsidP="002D3EBF">
            <w:pPr>
              <w:rPr>
                <w:rFonts w:eastAsia="SimSun"/>
              </w:rPr>
            </w:pPr>
            <w:r w:rsidRPr="00AC3044">
              <w:rPr>
                <w:rFonts w:eastAsia="SimSun"/>
              </w:rPr>
              <w:t>150 мг/м</w:t>
            </w:r>
            <w:r w:rsidRPr="0074195F">
              <w:rPr>
                <w:rFonts w:eastAsia="SimSun"/>
                <w:vertAlign w:val="superscript"/>
              </w:rPr>
              <w:t>2</w:t>
            </w:r>
          </w:p>
        </w:tc>
        <w:tc>
          <w:tcPr>
            <w:tcW w:w="1843" w:type="dxa"/>
            <w:vAlign w:val="center"/>
          </w:tcPr>
          <w:p w14:paraId="5249EE00" w14:textId="77777777" w:rsidR="0089207C" w:rsidRPr="00AC3044" w:rsidRDefault="0089207C" w:rsidP="002D3EBF">
            <w:pPr>
              <w:rPr>
                <w:rFonts w:eastAsia="SimSun"/>
              </w:rPr>
            </w:pPr>
            <w:r w:rsidRPr="00AC3044">
              <w:rPr>
                <w:rFonts w:eastAsia="SimSun"/>
              </w:rPr>
              <w:t>–6,–5,–4, –3, –2</w:t>
            </w:r>
          </w:p>
        </w:tc>
        <w:tc>
          <w:tcPr>
            <w:tcW w:w="2835" w:type="dxa"/>
            <w:vAlign w:val="center"/>
          </w:tcPr>
          <w:p w14:paraId="793C5E5F"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517B876B" w14:textId="77777777" w:rsidTr="002D3EBF">
        <w:trPr>
          <w:cantSplit/>
          <w:trHeight w:val="388"/>
        </w:trPr>
        <w:tc>
          <w:tcPr>
            <w:tcW w:w="851" w:type="dxa"/>
            <w:vMerge w:val="restart"/>
            <w:textDirection w:val="btLr"/>
            <w:vAlign w:val="center"/>
          </w:tcPr>
          <w:p w14:paraId="62E63678" w14:textId="77777777" w:rsidR="0089207C" w:rsidRPr="00AC3044" w:rsidRDefault="0089207C" w:rsidP="002D3EBF">
            <w:pPr>
              <w:rPr>
                <w:rFonts w:eastAsia="SimSun"/>
              </w:rPr>
            </w:pPr>
            <w:r w:rsidRPr="00AC3044">
              <w:rPr>
                <w:rFonts w:eastAsia="SimSun"/>
              </w:rPr>
              <w:t>Профилактика РТПХ</w:t>
            </w:r>
          </w:p>
        </w:tc>
        <w:tc>
          <w:tcPr>
            <w:tcW w:w="2268" w:type="dxa"/>
            <w:vAlign w:val="center"/>
          </w:tcPr>
          <w:p w14:paraId="34C48A23" w14:textId="77777777" w:rsidR="0089207C" w:rsidRPr="00AC3044" w:rsidRDefault="0089207C" w:rsidP="002D3EBF">
            <w:pPr>
              <w:rPr>
                <w:rFonts w:eastAsia="SimSun"/>
              </w:rPr>
            </w:pPr>
            <w:r w:rsidRPr="00AC3044">
              <w:rPr>
                <w:rFonts w:eastAsia="SimSun"/>
              </w:rPr>
              <w:t>Ритуксимаб</w:t>
            </w:r>
          </w:p>
        </w:tc>
        <w:tc>
          <w:tcPr>
            <w:tcW w:w="1276" w:type="dxa"/>
            <w:vAlign w:val="center"/>
          </w:tcPr>
          <w:p w14:paraId="72F433CF" w14:textId="77777777" w:rsidR="0089207C" w:rsidRPr="00AC3044" w:rsidRDefault="0089207C" w:rsidP="002D3EBF">
            <w:pPr>
              <w:rPr>
                <w:rFonts w:eastAsia="SimSun"/>
              </w:rPr>
            </w:pPr>
            <w:r w:rsidRPr="00AC3044">
              <w:rPr>
                <w:rFonts w:eastAsia="SimSun"/>
              </w:rPr>
              <w:t>100  мг/м</w:t>
            </w:r>
            <w:r w:rsidRPr="0074195F">
              <w:rPr>
                <w:rFonts w:eastAsia="SimSun"/>
                <w:vertAlign w:val="superscript"/>
              </w:rPr>
              <w:t>2</w:t>
            </w:r>
          </w:p>
        </w:tc>
        <w:tc>
          <w:tcPr>
            <w:tcW w:w="1417" w:type="dxa"/>
            <w:vAlign w:val="center"/>
          </w:tcPr>
          <w:p w14:paraId="1D7476E6" w14:textId="77777777" w:rsidR="0089207C" w:rsidRPr="00AC3044" w:rsidRDefault="0089207C" w:rsidP="002D3EBF">
            <w:pPr>
              <w:rPr>
                <w:rFonts w:eastAsia="SimSun"/>
              </w:rPr>
            </w:pPr>
            <w:r w:rsidRPr="00AC3044">
              <w:rPr>
                <w:rFonts w:eastAsia="SimSun"/>
              </w:rPr>
              <w:t>100  мг/м</w:t>
            </w:r>
            <w:r w:rsidRPr="0074195F">
              <w:rPr>
                <w:rFonts w:eastAsia="SimSun"/>
                <w:vertAlign w:val="superscript"/>
              </w:rPr>
              <w:t>2</w:t>
            </w:r>
          </w:p>
        </w:tc>
        <w:tc>
          <w:tcPr>
            <w:tcW w:w="1843" w:type="dxa"/>
            <w:vAlign w:val="center"/>
          </w:tcPr>
          <w:p w14:paraId="18022236" w14:textId="77777777" w:rsidR="0089207C" w:rsidRPr="00AC3044" w:rsidRDefault="0089207C" w:rsidP="002D3EBF">
            <w:pPr>
              <w:rPr>
                <w:rFonts w:eastAsia="SimSun"/>
              </w:rPr>
            </w:pPr>
            <w:r w:rsidRPr="00AC3044">
              <w:rPr>
                <w:rFonts w:eastAsia="SimSun"/>
              </w:rPr>
              <w:t>–1</w:t>
            </w:r>
          </w:p>
        </w:tc>
        <w:tc>
          <w:tcPr>
            <w:tcW w:w="2835" w:type="dxa"/>
            <w:vAlign w:val="center"/>
          </w:tcPr>
          <w:p w14:paraId="24E71E20"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1E4DDD53" w14:textId="77777777" w:rsidTr="002D3EBF">
        <w:trPr>
          <w:cantSplit/>
          <w:trHeight w:val="20"/>
        </w:trPr>
        <w:tc>
          <w:tcPr>
            <w:tcW w:w="851" w:type="dxa"/>
            <w:vMerge/>
            <w:textDirection w:val="btLr"/>
          </w:tcPr>
          <w:p w14:paraId="0B06ECE4" w14:textId="77777777" w:rsidR="0089207C" w:rsidRPr="00AC3044" w:rsidRDefault="0089207C" w:rsidP="002D3EBF">
            <w:pPr>
              <w:rPr>
                <w:rFonts w:eastAsia="SimSun"/>
              </w:rPr>
            </w:pPr>
          </w:p>
        </w:tc>
        <w:tc>
          <w:tcPr>
            <w:tcW w:w="2268" w:type="dxa"/>
            <w:vAlign w:val="center"/>
          </w:tcPr>
          <w:p w14:paraId="23BA9237" w14:textId="77777777" w:rsidR="0089207C" w:rsidRPr="00AC3044" w:rsidRDefault="0089207C" w:rsidP="002D3EBF">
            <w:pPr>
              <w:rPr>
                <w:rFonts w:eastAsia="SimSun"/>
              </w:rPr>
            </w:pPr>
            <w:r w:rsidRPr="00AC3044">
              <w:rPr>
                <w:rFonts w:eastAsia="SimSun"/>
              </w:rPr>
              <w:t>Тоцилизумаб</w:t>
            </w:r>
          </w:p>
        </w:tc>
        <w:tc>
          <w:tcPr>
            <w:tcW w:w="1276" w:type="dxa"/>
            <w:vAlign w:val="center"/>
          </w:tcPr>
          <w:p w14:paraId="478801FA" w14:textId="77777777" w:rsidR="0089207C" w:rsidRPr="00AC3044" w:rsidRDefault="0089207C" w:rsidP="002D3EBF">
            <w:pPr>
              <w:rPr>
                <w:rFonts w:eastAsia="SimSun"/>
              </w:rPr>
            </w:pPr>
            <w:r w:rsidRPr="00AC3044">
              <w:rPr>
                <w:rFonts w:eastAsia="SimSun"/>
              </w:rPr>
              <w:t>8 мг/кг</w:t>
            </w:r>
          </w:p>
        </w:tc>
        <w:tc>
          <w:tcPr>
            <w:tcW w:w="1417" w:type="dxa"/>
            <w:vAlign w:val="center"/>
          </w:tcPr>
          <w:p w14:paraId="47C09DED" w14:textId="77777777" w:rsidR="0089207C" w:rsidRPr="00AC3044" w:rsidRDefault="0089207C" w:rsidP="002D3EBF">
            <w:pPr>
              <w:rPr>
                <w:rFonts w:eastAsia="SimSun"/>
              </w:rPr>
            </w:pPr>
            <w:r w:rsidRPr="00AC3044">
              <w:rPr>
                <w:rFonts w:eastAsia="SimSun"/>
              </w:rPr>
              <w:t>8 мг/кг</w:t>
            </w:r>
          </w:p>
        </w:tc>
        <w:tc>
          <w:tcPr>
            <w:tcW w:w="1843" w:type="dxa"/>
            <w:vAlign w:val="center"/>
          </w:tcPr>
          <w:p w14:paraId="4377593A" w14:textId="77777777" w:rsidR="0089207C" w:rsidRPr="00AC3044" w:rsidRDefault="0089207C" w:rsidP="002D3EBF">
            <w:pPr>
              <w:rPr>
                <w:rFonts w:eastAsia="SimSun"/>
              </w:rPr>
            </w:pPr>
            <w:r w:rsidRPr="00AC3044">
              <w:rPr>
                <w:rFonts w:eastAsia="SimSun"/>
              </w:rPr>
              <w:t>–1, +21</w:t>
            </w:r>
          </w:p>
        </w:tc>
        <w:tc>
          <w:tcPr>
            <w:tcW w:w="2835" w:type="dxa"/>
            <w:vAlign w:val="center"/>
          </w:tcPr>
          <w:p w14:paraId="54A6CE86" w14:textId="77777777" w:rsidR="0089207C" w:rsidRPr="00AC3044" w:rsidRDefault="0089207C" w:rsidP="002D3EBF">
            <w:pPr>
              <w:rPr>
                <w:rFonts w:eastAsia="SimSun"/>
              </w:rPr>
            </w:pPr>
            <w:r w:rsidRPr="00AC3044">
              <w:rPr>
                <w:rFonts w:eastAsia="SimSun"/>
              </w:rPr>
              <w:t>В/в, в течение 1 часа</w:t>
            </w:r>
          </w:p>
        </w:tc>
      </w:tr>
      <w:tr w:rsidR="0089207C" w:rsidRPr="00AC3044" w14:paraId="72BAECDC" w14:textId="77777777" w:rsidTr="002D3EBF">
        <w:trPr>
          <w:cantSplit/>
          <w:trHeight w:val="20"/>
        </w:trPr>
        <w:tc>
          <w:tcPr>
            <w:tcW w:w="851" w:type="dxa"/>
            <w:vMerge/>
            <w:textDirection w:val="btLr"/>
          </w:tcPr>
          <w:p w14:paraId="2C30692F" w14:textId="77777777" w:rsidR="0089207C" w:rsidRPr="00AC3044" w:rsidRDefault="0089207C" w:rsidP="002D3EBF">
            <w:pPr>
              <w:rPr>
                <w:rFonts w:eastAsia="SimSun"/>
              </w:rPr>
            </w:pPr>
          </w:p>
        </w:tc>
        <w:tc>
          <w:tcPr>
            <w:tcW w:w="2268" w:type="dxa"/>
            <w:vAlign w:val="center"/>
          </w:tcPr>
          <w:p w14:paraId="583FF41C" w14:textId="77777777" w:rsidR="0089207C" w:rsidRPr="00AC3044" w:rsidRDefault="0089207C" w:rsidP="002D3EBF">
            <w:pPr>
              <w:rPr>
                <w:rFonts w:eastAsia="SimSun"/>
              </w:rPr>
            </w:pPr>
            <w:r w:rsidRPr="00AC3044">
              <w:rPr>
                <w:rFonts w:eastAsia="SimSun"/>
              </w:rPr>
              <w:t>Абатацепт1</w:t>
            </w:r>
          </w:p>
        </w:tc>
        <w:tc>
          <w:tcPr>
            <w:tcW w:w="1276" w:type="dxa"/>
            <w:vAlign w:val="center"/>
          </w:tcPr>
          <w:p w14:paraId="2884AD51" w14:textId="77777777" w:rsidR="0089207C" w:rsidRPr="00AC3044" w:rsidRDefault="0089207C" w:rsidP="002D3EBF">
            <w:pPr>
              <w:rPr>
                <w:rFonts w:eastAsia="SimSun"/>
              </w:rPr>
            </w:pPr>
            <w:r w:rsidRPr="00AC3044">
              <w:rPr>
                <w:rFonts w:eastAsia="SimSun"/>
              </w:rPr>
              <w:t>10 мг/кг</w:t>
            </w:r>
          </w:p>
        </w:tc>
        <w:tc>
          <w:tcPr>
            <w:tcW w:w="1417" w:type="dxa"/>
            <w:vAlign w:val="center"/>
          </w:tcPr>
          <w:p w14:paraId="04F9B96C" w14:textId="77777777" w:rsidR="0089207C" w:rsidRPr="00AC3044" w:rsidRDefault="0089207C" w:rsidP="002D3EBF">
            <w:pPr>
              <w:rPr>
                <w:rFonts w:eastAsia="SimSun"/>
              </w:rPr>
            </w:pPr>
            <w:r w:rsidRPr="00AC3044">
              <w:rPr>
                <w:rFonts w:eastAsia="SimSun"/>
              </w:rPr>
              <w:t>40 мг/кг</w:t>
            </w:r>
          </w:p>
        </w:tc>
        <w:tc>
          <w:tcPr>
            <w:tcW w:w="1843" w:type="dxa"/>
            <w:vAlign w:val="center"/>
          </w:tcPr>
          <w:p w14:paraId="7B4B122A" w14:textId="77777777" w:rsidR="0089207C" w:rsidRPr="00AC3044" w:rsidRDefault="0089207C" w:rsidP="002D3EBF">
            <w:pPr>
              <w:rPr>
                <w:rFonts w:eastAsia="SimSun"/>
              </w:rPr>
            </w:pPr>
            <w:r w:rsidRPr="00AC3044">
              <w:rPr>
                <w:rFonts w:eastAsia="SimSun"/>
              </w:rPr>
              <w:t>–1,+7,+14,+28</w:t>
            </w:r>
          </w:p>
        </w:tc>
        <w:tc>
          <w:tcPr>
            <w:tcW w:w="2835" w:type="dxa"/>
            <w:vAlign w:val="center"/>
          </w:tcPr>
          <w:p w14:paraId="0A04BC5D" w14:textId="77777777" w:rsidR="0089207C" w:rsidRPr="00AC3044" w:rsidRDefault="0089207C" w:rsidP="002D3EBF">
            <w:pPr>
              <w:rPr>
                <w:rFonts w:eastAsia="SimSun"/>
              </w:rPr>
            </w:pPr>
            <w:r w:rsidRPr="00AC3044">
              <w:rPr>
                <w:rFonts w:eastAsia="SimSun"/>
              </w:rPr>
              <w:t>В/в, в течение 30 мин</w:t>
            </w:r>
          </w:p>
        </w:tc>
      </w:tr>
      <w:tr w:rsidR="0089207C" w:rsidRPr="00AC3044" w14:paraId="050B03A9" w14:textId="77777777" w:rsidTr="002D3EBF">
        <w:trPr>
          <w:cantSplit/>
          <w:trHeight w:val="1482"/>
        </w:trPr>
        <w:tc>
          <w:tcPr>
            <w:tcW w:w="851" w:type="dxa"/>
            <w:textDirection w:val="btLr"/>
            <w:vAlign w:val="center"/>
          </w:tcPr>
          <w:p w14:paraId="081DB327" w14:textId="77777777" w:rsidR="0089207C" w:rsidRPr="00AC3044" w:rsidRDefault="0089207C" w:rsidP="002D3EBF">
            <w:pPr>
              <w:rPr>
                <w:rFonts w:eastAsia="SimSun"/>
              </w:rPr>
            </w:pPr>
            <w:r w:rsidRPr="00AC3044">
              <w:rPr>
                <w:rFonts w:eastAsia="SimSun"/>
              </w:rPr>
              <w:t xml:space="preserve">Ex vivo манипуляция с трансплантатом </w:t>
            </w:r>
          </w:p>
        </w:tc>
        <w:tc>
          <w:tcPr>
            <w:tcW w:w="2268" w:type="dxa"/>
            <w:vAlign w:val="center"/>
          </w:tcPr>
          <w:p w14:paraId="766EA320" w14:textId="77777777" w:rsidR="0089207C" w:rsidRPr="00AC3044" w:rsidRDefault="0089207C" w:rsidP="002D3EBF">
            <w:pPr>
              <w:rPr>
                <w:rFonts w:eastAsia="SimSun"/>
              </w:rPr>
            </w:pPr>
            <w:r w:rsidRPr="00AC3044">
              <w:rPr>
                <w:rFonts w:eastAsia="SimSun"/>
              </w:rPr>
              <w:t>Комплексная услуга TCRαβ/CD19 деплеция</w:t>
            </w:r>
          </w:p>
        </w:tc>
        <w:tc>
          <w:tcPr>
            <w:tcW w:w="1276" w:type="dxa"/>
            <w:vAlign w:val="center"/>
          </w:tcPr>
          <w:p w14:paraId="0D74F92A" w14:textId="77777777" w:rsidR="0089207C" w:rsidRPr="00AC3044" w:rsidRDefault="0089207C" w:rsidP="002D3EBF">
            <w:pPr>
              <w:rPr>
                <w:rFonts w:eastAsia="SimSun"/>
              </w:rPr>
            </w:pPr>
            <w:r w:rsidRPr="00AC3044">
              <w:rPr>
                <w:rFonts w:eastAsia="SimSun"/>
              </w:rPr>
              <w:t>–</w:t>
            </w:r>
          </w:p>
        </w:tc>
        <w:tc>
          <w:tcPr>
            <w:tcW w:w="1417" w:type="dxa"/>
            <w:vAlign w:val="center"/>
          </w:tcPr>
          <w:p w14:paraId="5B878185" w14:textId="77777777" w:rsidR="0089207C" w:rsidRPr="00AC3044" w:rsidRDefault="0089207C" w:rsidP="002D3EBF">
            <w:pPr>
              <w:rPr>
                <w:rFonts w:eastAsia="SimSun"/>
              </w:rPr>
            </w:pPr>
            <w:r w:rsidRPr="00AC3044">
              <w:rPr>
                <w:rFonts w:eastAsia="SimSun"/>
              </w:rPr>
              <w:t>–</w:t>
            </w:r>
          </w:p>
        </w:tc>
        <w:tc>
          <w:tcPr>
            <w:tcW w:w="1843" w:type="dxa"/>
            <w:vAlign w:val="center"/>
          </w:tcPr>
          <w:p w14:paraId="7880AD2B" w14:textId="77777777" w:rsidR="0089207C" w:rsidRPr="00AC3044" w:rsidRDefault="0089207C" w:rsidP="002D3EBF">
            <w:pPr>
              <w:rPr>
                <w:rFonts w:eastAsia="SimSun"/>
              </w:rPr>
            </w:pPr>
            <w:r w:rsidRPr="00AC3044">
              <w:rPr>
                <w:rFonts w:eastAsia="SimSun"/>
              </w:rPr>
              <w:t>0</w:t>
            </w:r>
          </w:p>
        </w:tc>
        <w:tc>
          <w:tcPr>
            <w:tcW w:w="2835" w:type="dxa"/>
            <w:vAlign w:val="center"/>
          </w:tcPr>
          <w:p w14:paraId="7B80535D" w14:textId="77777777" w:rsidR="0089207C" w:rsidRPr="00AC3044" w:rsidRDefault="0089207C" w:rsidP="002D3EBF">
            <w:pPr>
              <w:rPr>
                <w:rFonts w:eastAsia="SimSun"/>
              </w:rPr>
            </w:pPr>
            <w:r w:rsidRPr="00AC3044">
              <w:rPr>
                <w:rFonts w:eastAsia="SimSun"/>
              </w:rPr>
              <w:t>-</w:t>
            </w:r>
          </w:p>
        </w:tc>
      </w:tr>
      <w:tr w:rsidR="0089207C" w:rsidRPr="00AC3044" w14:paraId="033EEC1F" w14:textId="77777777" w:rsidTr="002D3EBF">
        <w:trPr>
          <w:trHeight w:val="20"/>
        </w:trPr>
        <w:tc>
          <w:tcPr>
            <w:tcW w:w="10490" w:type="dxa"/>
            <w:gridSpan w:val="6"/>
          </w:tcPr>
          <w:p w14:paraId="12981B07" w14:textId="77777777" w:rsidR="0089207C" w:rsidRPr="00AC3044" w:rsidRDefault="0089207C" w:rsidP="002D3EBF">
            <w:pPr>
              <w:rPr>
                <w:rFonts w:eastAsia="SimSun"/>
              </w:rPr>
            </w:pPr>
            <w:r w:rsidRPr="00AC3044">
              <w:rPr>
                <w:rFonts w:eastAsia="SimSun"/>
              </w:rPr>
              <w:t>1 Раствор абатацепта нельзя использовать с оборудованием, имеющим в своём составе силикон.  Содержимое одного флакона растворяют в 10 мл воды для инъекций, используя одноразовый бессиликоновый шприц, имеющийся в комплекте с препаратом. Полученный концентрат немедленно разбавляют 0.9% раствором натрия хлорида для инъекций для получения инфузионного раствора, который немедленно вводится в/в за 30мин через инфузионную систему.  Абатацепт нельзя вводить одновременно с другими препаратами через одну инфузионную систему.</w:t>
            </w:r>
          </w:p>
          <w:p w14:paraId="70518A98" w14:textId="77777777" w:rsidR="0089207C" w:rsidRPr="00AC3044" w:rsidRDefault="0089207C" w:rsidP="002D3EBF">
            <w:pPr>
              <w:rPr>
                <w:rFonts w:eastAsia="SimSun"/>
              </w:rPr>
            </w:pPr>
          </w:p>
        </w:tc>
      </w:tr>
    </w:tbl>
    <w:p w14:paraId="1FF52154" w14:textId="77777777" w:rsidR="0089207C" w:rsidRPr="00C07B2E" w:rsidRDefault="0089207C" w:rsidP="0089207C">
      <w:pPr>
        <w:rPr>
          <w:rFonts w:eastAsia="SimSun"/>
        </w:rPr>
      </w:pPr>
    </w:p>
    <w:p w14:paraId="1A0C529C" w14:textId="77777777" w:rsidR="0089207C" w:rsidRPr="00C07B2E" w:rsidRDefault="0089207C" w:rsidP="0089207C">
      <w:pPr>
        <w:rPr>
          <w:rFonts w:eastAsia="SimSun"/>
        </w:rPr>
      </w:pPr>
      <w:bookmarkStart w:id="288" w:name="_Toc44401244"/>
      <w:r>
        <w:rPr>
          <w:rFonts w:eastAsia="SimSun"/>
        </w:rPr>
        <w:t>Таблица</w:t>
      </w:r>
      <w:r w:rsidRPr="00C07B2E">
        <w:rPr>
          <w:rFonts w:eastAsia="SimSun"/>
        </w:rPr>
        <w:t xml:space="preserve"> </w:t>
      </w:r>
      <w:r>
        <w:rPr>
          <w:rFonts w:eastAsia="SimSun"/>
        </w:rPr>
        <w:t>5.</w:t>
      </w:r>
      <w:r w:rsidRPr="00C07B2E">
        <w:rPr>
          <w:rFonts w:eastAsia="SimSun"/>
        </w:rPr>
        <w:t>4.2.  – Flu150+Treo42+Mel140 / TCRαβ-CD19</w:t>
      </w:r>
      <w:bookmarkEnd w:id="288"/>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410"/>
        <w:gridCol w:w="1276"/>
        <w:gridCol w:w="1417"/>
        <w:gridCol w:w="1843"/>
        <w:gridCol w:w="2835"/>
      </w:tblGrid>
      <w:tr w:rsidR="0089207C" w:rsidRPr="00AC3044" w14:paraId="003A84BF" w14:textId="77777777" w:rsidTr="002D3EBF">
        <w:trPr>
          <w:cantSplit/>
          <w:trHeight w:val="20"/>
          <w:tblHeader/>
        </w:trPr>
        <w:tc>
          <w:tcPr>
            <w:tcW w:w="709" w:type="dxa"/>
          </w:tcPr>
          <w:p w14:paraId="65C9F2E7" w14:textId="77777777" w:rsidR="0089207C" w:rsidRPr="00AC3044" w:rsidRDefault="0089207C" w:rsidP="002D3EBF">
            <w:pPr>
              <w:rPr>
                <w:rFonts w:eastAsia="SimSun"/>
              </w:rPr>
            </w:pPr>
          </w:p>
        </w:tc>
        <w:tc>
          <w:tcPr>
            <w:tcW w:w="2410" w:type="dxa"/>
            <w:vAlign w:val="center"/>
          </w:tcPr>
          <w:p w14:paraId="0F7865A8" w14:textId="77777777" w:rsidR="0089207C" w:rsidRPr="00AC3044" w:rsidRDefault="0089207C" w:rsidP="002D3EBF">
            <w:pPr>
              <w:rPr>
                <w:rFonts w:eastAsia="SimSun"/>
              </w:rPr>
            </w:pPr>
            <w:r w:rsidRPr="00AC3044">
              <w:rPr>
                <w:rFonts w:eastAsia="SimSun"/>
              </w:rPr>
              <w:t>Препарат</w:t>
            </w:r>
          </w:p>
        </w:tc>
        <w:tc>
          <w:tcPr>
            <w:tcW w:w="1276" w:type="dxa"/>
            <w:vAlign w:val="center"/>
          </w:tcPr>
          <w:p w14:paraId="18E09A6D" w14:textId="77777777" w:rsidR="0089207C" w:rsidRPr="00AC3044" w:rsidRDefault="0089207C" w:rsidP="002D3EBF">
            <w:pPr>
              <w:rPr>
                <w:rFonts w:eastAsia="SimSun"/>
              </w:rPr>
            </w:pPr>
            <w:r w:rsidRPr="00AC3044">
              <w:rPr>
                <w:rFonts w:eastAsia="SimSun"/>
              </w:rPr>
              <w:t>Суточная доза</w:t>
            </w:r>
          </w:p>
        </w:tc>
        <w:tc>
          <w:tcPr>
            <w:tcW w:w="1417" w:type="dxa"/>
            <w:vAlign w:val="center"/>
          </w:tcPr>
          <w:p w14:paraId="7B910A81" w14:textId="77777777" w:rsidR="0089207C" w:rsidRPr="00AC3044" w:rsidRDefault="0089207C" w:rsidP="002D3EBF">
            <w:pPr>
              <w:rPr>
                <w:rFonts w:eastAsia="SimSun"/>
              </w:rPr>
            </w:pPr>
            <w:r w:rsidRPr="00AC3044">
              <w:rPr>
                <w:rFonts w:eastAsia="SimSun"/>
              </w:rPr>
              <w:t>Курсовая доза</w:t>
            </w:r>
          </w:p>
        </w:tc>
        <w:tc>
          <w:tcPr>
            <w:tcW w:w="1843" w:type="dxa"/>
            <w:vAlign w:val="center"/>
          </w:tcPr>
          <w:p w14:paraId="064CFEF0" w14:textId="77777777" w:rsidR="0089207C" w:rsidRPr="00AC3044" w:rsidRDefault="0089207C" w:rsidP="002D3EBF">
            <w:pPr>
              <w:rPr>
                <w:rFonts w:eastAsia="SimSun"/>
              </w:rPr>
            </w:pPr>
            <w:r w:rsidRPr="00AC3044">
              <w:rPr>
                <w:rFonts w:eastAsia="SimSun"/>
              </w:rPr>
              <w:t>Дни введения</w:t>
            </w:r>
          </w:p>
        </w:tc>
        <w:tc>
          <w:tcPr>
            <w:tcW w:w="2835" w:type="dxa"/>
            <w:vAlign w:val="center"/>
          </w:tcPr>
          <w:p w14:paraId="52DCEB45"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58F4C4F2" w14:textId="77777777" w:rsidTr="002D3EBF">
        <w:trPr>
          <w:cantSplit/>
          <w:trHeight w:val="20"/>
        </w:trPr>
        <w:tc>
          <w:tcPr>
            <w:tcW w:w="709" w:type="dxa"/>
            <w:vMerge w:val="restart"/>
            <w:textDirection w:val="btLr"/>
            <w:vAlign w:val="center"/>
          </w:tcPr>
          <w:p w14:paraId="60033C39" w14:textId="77777777" w:rsidR="0089207C" w:rsidRPr="00AC3044" w:rsidRDefault="0089207C" w:rsidP="002D3EBF">
            <w:pPr>
              <w:rPr>
                <w:rFonts w:eastAsia="SimSun"/>
              </w:rPr>
            </w:pPr>
            <w:r w:rsidRPr="00AC3044">
              <w:rPr>
                <w:rFonts w:eastAsia="SimSun"/>
              </w:rPr>
              <w:t>Кондиционирование</w:t>
            </w:r>
          </w:p>
        </w:tc>
        <w:tc>
          <w:tcPr>
            <w:tcW w:w="2410" w:type="dxa"/>
          </w:tcPr>
          <w:p w14:paraId="772A3052" w14:textId="77777777" w:rsidR="0089207C" w:rsidRPr="00AC3044" w:rsidRDefault="0089207C" w:rsidP="002D3EBF">
            <w:pPr>
              <w:rPr>
                <w:rFonts w:eastAsia="SimSun"/>
              </w:rPr>
            </w:pPr>
            <w:r w:rsidRPr="00AC3044">
              <w:rPr>
                <w:rFonts w:eastAsia="SimSun"/>
              </w:rPr>
              <w:t>Треосульфан</w:t>
            </w:r>
          </w:p>
        </w:tc>
        <w:tc>
          <w:tcPr>
            <w:tcW w:w="1276" w:type="dxa"/>
            <w:vAlign w:val="center"/>
          </w:tcPr>
          <w:p w14:paraId="288CAB4F" w14:textId="77777777" w:rsidR="0089207C" w:rsidRPr="00AC3044" w:rsidRDefault="0089207C" w:rsidP="002D3EBF">
            <w:pPr>
              <w:rPr>
                <w:rFonts w:eastAsia="SimSun"/>
              </w:rPr>
            </w:pPr>
            <w:r w:rsidRPr="00AC3044">
              <w:rPr>
                <w:rFonts w:eastAsia="SimSun"/>
              </w:rPr>
              <w:t>14 г/м</w:t>
            </w:r>
            <w:r w:rsidRPr="0074195F">
              <w:rPr>
                <w:rFonts w:eastAsia="SimSun"/>
                <w:vertAlign w:val="superscript"/>
              </w:rPr>
              <w:t>2</w:t>
            </w:r>
          </w:p>
        </w:tc>
        <w:tc>
          <w:tcPr>
            <w:tcW w:w="1417" w:type="dxa"/>
            <w:vAlign w:val="center"/>
          </w:tcPr>
          <w:p w14:paraId="3794B05E" w14:textId="77777777" w:rsidR="0089207C" w:rsidRPr="00AC3044" w:rsidRDefault="0089207C" w:rsidP="002D3EBF">
            <w:pPr>
              <w:rPr>
                <w:rFonts w:eastAsia="SimSun"/>
              </w:rPr>
            </w:pPr>
            <w:r w:rsidRPr="00AC3044">
              <w:rPr>
                <w:rFonts w:eastAsia="SimSun"/>
              </w:rPr>
              <w:t>42 г/м</w:t>
            </w:r>
            <w:r w:rsidRPr="0074195F">
              <w:rPr>
                <w:rFonts w:eastAsia="SimSun"/>
                <w:vertAlign w:val="superscript"/>
              </w:rPr>
              <w:t>2</w:t>
            </w:r>
          </w:p>
        </w:tc>
        <w:tc>
          <w:tcPr>
            <w:tcW w:w="1843" w:type="dxa"/>
            <w:vAlign w:val="center"/>
          </w:tcPr>
          <w:p w14:paraId="5E3EE89A" w14:textId="77777777" w:rsidR="0089207C" w:rsidRPr="00AC3044" w:rsidRDefault="0089207C" w:rsidP="002D3EBF">
            <w:pPr>
              <w:rPr>
                <w:rFonts w:eastAsia="SimSun"/>
              </w:rPr>
            </w:pPr>
            <w:r w:rsidRPr="00AC3044">
              <w:rPr>
                <w:rFonts w:eastAsia="SimSun"/>
              </w:rPr>
              <w:t>–5,–4,–3</w:t>
            </w:r>
          </w:p>
        </w:tc>
        <w:tc>
          <w:tcPr>
            <w:tcW w:w="2835" w:type="dxa"/>
            <w:vAlign w:val="center"/>
          </w:tcPr>
          <w:p w14:paraId="2E6E4FB6"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162BC5E3" w14:textId="77777777" w:rsidTr="002D3EBF">
        <w:trPr>
          <w:cantSplit/>
          <w:trHeight w:val="785"/>
        </w:trPr>
        <w:tc>
          <w:tcPr>
            <w:tcW w:w="709" w:type="dxa"/>
            <w:vMerge/>
            <w:textDirection w:val="btLr"/>
            <w:vAlign w:val="center"/>
          </w:tcPr>
          <w:p w14:paraId="41344ADC" w14:textId="77777777" w:rsidR="0089207C" w:rsidRPr="00AC3044" w:rsidRDefault="0089207C" w:rsidP="002D3EBF">
            <w:pPr>
              <w:rPr>
                <w:rFonts w:eastAsia="SimSun"/>
              </w:rPr>
            </w:pPr>
          </w:p>
        </w:tc>
        <w:tc>
          <w:tcPr>
            <w:tcW w:w="2410" w:type="dxa"/>
          </w:tcPr>
          <w:p w14:paraId="0E28B6B0" w14:textId="77777777" w:rsidR="0089207C" w:rsidRPr="00AC3044" w:rsidRDefault="0089207C" w:rsidP="002D3EBF">
            <w:pPr>
              <w:rPr>
                <w:rFonts w:eastAsia="SimSun"/>
              </w:rPr>
            </w:pPr>
            <w:r w:rsidRPr="00AC3044">
              <w:rPr>
                <w:rFonts w:eastAsia="SimSun"/>
              </w:rPr>
              <w:t>Мелфалан</w:t>
            </w:r>
          </w:p>
        </w:tc>
        <w:tc>
          <w:tcPr>
            <w:tcW w:w="1276" w:type="dxa"/>
          </w:tcPr>
          <w:p w14:paraId="4AF52C78" w14:textId="77777777" w:rsidR="0089207C" w:rsidRPr="00AC3044" w:rsidRDefault="0089207C" w:rsidP="002D3EBF">
            <w:pPr>
              <w:rPr>
                <w:rFonts w:eastAsia="SimSun"/>
              </w:rPr>
            </w:pPr>
            <w:r w:rsidRPr="00AC3044">
              <w:rPr>
                <w:rFonts w:eastAsia="SimSun"/>
              </w:rPr>
              <w:t>70 мг/м</w:t>
            </w:r>
            <w:r w:rsidRPr="0074195F">
              <w:rPr>
                <w:rFonts w:eastAsia="SimSun"/>
                <w:vertAlign w:val="superscript"/>
              </w:rPr>
              <w:t>2</w:t>
            </w:r>
          </w:p>
        </w:tc>
        <w:tc>
          <w:tcPr>
            <w:tcW w:w="1417" w:type="dxa"/>
          </w:tcPr>
          <w:p w14:paraId="3AB7C9B7" w14:textId="77777777" w:rsidR="0089207C" w:rsidRPr="00AC3044" w:rsidRDefault="0089207C" w:rsidP="002D3EBF">
            <w:pPr>
              <w:rPr>
                <w:rFonts w:eastAsia="SimSun"/>
              </w:rPr>
            </w:pPr>
            <w:r w:rsidRPr="00AC3044">
              <w:rPr>
                <w:rFonts w:eastAsia="SimSun"/>
              </w:rPr>
              <w:t>140 мг/м</w:t>
            </w:r>
            <w:r w:rsidRPr="0074195F">
              <w:rPr>
                <w:rFonts w:eastAsia="SimSun"/>
                <w:vertAlign w:val="superscript"/>
              </w:rPr>
              <w:t>2</w:t>
            </w:r>
          </w:p>
        </w:tc>
        <w:tc>
          <w:tcPr>
            <w:tcW w:w="1843" w:type="dxa"/>
          </w:tcPr>
          <w:p w14:paraId="37C24E51" w14:textId="77777777" w:rsidR="0089207C" w:rsidRPr="00AC3044" w:rsidRDefault="0089207C" w:rsidP="002D3EBF">
            <w:pPr>
              <w:rPr>
                <w:rFonts w:eastAsia="SimSun"/>
              </w:rPr>
            </w:pPr>
            <w:r w:rsidRPr="00AC3044">
              <w:rPr>
                <w:rFonts w:eastAsia="SimSun"/>
              </w:rPr>
              <w:t>–3, –2</w:t>
            </w:r>
          </w:p>
        </w:tc>
        <w:tc>
          <w:tcPr>
            <w:tcW w:w="2835" w:type="dxa"/>
          </w:tcPr>
          <w:p w14:paraId="3443554A" w14:textId="77777777" w:rsidR="0089207C" w:rsidRPr="00AC3044" w:rsidRDefault="0089207C" w:rsidP="002D3EBF">
            <w:pPr>
              <w:rPr>
                <w:rFonts w:eastAsia="SimSun"/>
              </w:rPr>
            </w:pPr>
            <w:r w:rsidRPr="00AC3044">
              <w:rPr>
                <w:rFonts w:eastAsia="SimSun"/>
              </w:rPr>
              <w:t>В/в, в течение 1 часа, через 2 часа после введения флударабина</w:t>
            </w:r>
          </w:p>
        </w:tc>
      </w:tr>
      <w:tr w:rsidR="0089207C" w:rsidRPr="00AC3044" w14:paraId="495A289F" w14:textId="77777777" w:rsidTr="002D3EBF">
        <w:trPr>
          <w:cantSplit/>
          <w:trHeight w:val="56"/>
        </w:trPr>
        <w:tc>
          <w:tcPr>
            <w:tcW w:w="709" w:type="dxa"/>
            <w:vMerge/>
            <w:textDirection w:val="btLr"/>
            <w:vAlign w:val="center"/>
          </w:tcPr>
          <w:p w14:paraId="28534C50" w14:textId="77777777" w:rsidR="0089207C" w:rsidRPr="00AC3044" w:rsidRDefault="0089207C" w:rsidP="002D3EBF">
            <w:pPr>
              <w:rPr>
                <w:rFonts w:eastAsia="SimSun"/>
              </w:rPr>
            </w:pPr>
          </w:p>
        </w:tc>
        <w:tc>
          <w:tcPr>
            <w:tcW w:w="2410" w:type="dxa"/>
            <w:vAlign w:val="center"/>
          </w:tcPr>
          <w:p w14:paraId="1EA37168" w14:textId="77777777" w:rsidR="0089207C" w:rsidRPr="00AC3044" w:rsidRDefault="0089207C" w:rsidP="002D3EBF">
            <w:pPr>
              <w:rPr>
                <w:rFonts w:eastAsia="SimSun"/>
              </w:rPr>
            </w:pPr>
            <w:r w:rsidRPr="00AC3044">
              <w:rPr>
                <w:rFonts w:eastAsia="SimSun"/>
              </w:rPr>
              <w:t>Флударабин</w:t>
            </w:r>
          </w:p>
        </w:tc>
        <w:tc>
          <w:tcPr>
            <w:tcW w:w="1276" w:type="dxa"/>
            <w:vAlign w:val="center"/>
          </w:tcPr>
          <w:p w14:paraId="7F425C2C" w14:textId="77777777" w:rsidR="0089207C" w:rsidRPr="00AC3044" w:rsidRDefault="0089207C" w:rsidP="002D3EBF">
            <w:pPr>
              <w:rPr>
                <w:rFonts w:eastAsia="SimSun"/>
              </w:rPr>
            </w:pPr>
            <w:r w:rsidRPr="00AC3044">
              <w:rPr>
                <w:rFonts w:eastAsia="SimSun"/>
              </w:rPr>
              <w:t>30 мг/м</w:t>
            </w:r>
            <w:r w:rsidRPr="0074195F">
              <w:rPr>
                <w:rFonts w:eastAsia="SimSun"/>
                <w:vertAlign w:val="superscript"/>
              </w:rPr>
              <w:t>2</w:t>
            </w:r>
          </w:p>
        </w:tc>
        <w:tc>
          <w:tcPr>
            <w:tcW w:w="1417" w:type="dxa"/>
            <w:vAlign w:val="center"/>
          </w:tcPr>
          <w:p w14:paraId="2FD7096F" w14:textId="77777777" w:rsidR="0089207C" w:rsidRPr="00AC3044" w:rsidRDefault="0089207C" w:rsidP="002D3EBF">
            <w:pPr>
              <w:rPr>
                <w:rFonts w:eastAsia="SimSun"/>
              </w:rPr>
            </w:pPr>
            <w:r w:rsidRPr="00AC3044">
              <w:rPr>
                <w:rFonts w:eastAsia="SimSun"/>
              </w:rPr>
              <w:t>150 мг/м</w:t>
            </w:r>
            <w:r w:rsidRPr="0074195F">
              <w:rPr>
                <w:rFonts w:eastAsia="SimSun"/>
                <w:vertAlign w:val="superscript"/>
              </w:rPr>
              <w:t>2</w:t>
            </w:r>
          </w:p>
        </w:tc>
        <w:tc>
          <w:tcPr>
            <w:tcW w:w="1843" w:type="dxa"/>
            <w:vAlign w:val="center"/>
          </w:tcPr>
          <w:p w14:paraId="6791AE21" w14:textId="77777777" w:rsidR="0089207C" w:rsidRPr="00AC3044" w:rsidRDefault="0089207C" w:rsidP="002D3EBF">
            <w:pPr>
              <w:rPr>
                <w:rFonts w:eastAsia="SimSun"/>
              </w:rPr>
            </w:pPr>
            <w:r w:rsidRPr="00AC3044">
              <w:rPr>
                <w:rFonts w:eastAsia="SimSun"/>
              </w:rPr>
              <w:t>–6,–5,–4, –3, –2</w:t>
            </w:r>
          </w:p>
        </w:tc>
        <w:tc>
          <w:tcPr>
            <w:tcW w:w="2835" w:type="dxa"/>
            <w:vAlign w:val="center"/>
          </w:tcPr>
          <w:p w14:paraId="5AD21AC7"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3D33B56E" w14:textId="77777777" w:rsidTr="002D3EBF">
        <w:trPr>
          <w:cantSplit/>
          <w:trHeight w:val="548"/>
        </w:trPr>
        <w:tc>
          <w:tcPr>
            <w:tcW w:w="709" w:type="dxa"/>
            <w:vMerge w:val="restart"/>
            <w:textDirection w:val="btLr"/>
            <w:vAlign w:val="center"/>
          </w:tcPr>
          <w:p w14:paraId="22D53DEB" w14:textId="77777777" w:rsidR="0089207C" w:rsidRPr="00AC3044" w:rsidRDefault="0089207C" w:rsidP="002D3EBF">
            <w:pPr>
              <w:rPr>
                <w:rFonts w:eastAsia="SimSun"/>
              </w:rPr>
            </w:pPr>
            <w:r w:rsidRPr="00AC3044">
              <w:rPr>
                <w:rFonts w:eastAsia="SimSun"/>
              </w:rPr>
              <w:t>Профилактика РТПХ</w:t>
            </w:r>
          </w:p>
        </w:tc>
        <w:tc>
          <w:tcPr>
            <w:tcW w:w="2410" w:type="dxa"/>
            <w:vAlign w:val="center"/>
          </w:tcPr>
          <w:p w14:paraId="69B53842" w14:textId="77777777" w:rsidR="0089207C" w:rsidRPr="00AC3044" w:rsidRDefault="0089207C" w:rsidP="002D3EBF">
            <w:pPr>
              <w:rPr>
                <w:rFonts w:eastAsia="SimSun"/>
              </w:rPr>
            </w:pPr>
            <w:r w:rsidRPr="00AC3044">
              <w:rPr>
                <w:rFonts w:eastAsia="SimSun"/>
              </w:rPr>
              <w:t>Ритуксимаб</w:t>
            </w:r>
          </w:p>
        </w:tc>
        <w:tc>
          <w:tcPr>
            <w:tcW w:w="1276" w:type="dxa"/>
            <w:vAlign w:val="center"/>
          </w:tcPr>
          <w:p w14:paraId="683C3EA6" w14:textId="77777777" w:rsidR="0089207C" w:rsidRPr="00AC3044" w:rsidRDefault="0089207C" w:rsidP="002D3EBF">
            <w:pPr>
              <w:rPr>
                <w:rFonts w:eastAsia="SimSun"/>
              </w:rPr>
            </w:pPr>
            <w:r w:rsidRPr="00AC3044">
              <w:rPr>
                <w:rFonts w:eastAsia="SimSun"/>
              </w:rPr>
              <w:t>100  мг/м</w:t>
            </w:r>
            <w:r w:rsidRPr="0074195F">
              <w:rPr>
                <w:rFonts w:eastAsia="SimSun"/>
                <w:vertAlign w:val="superscript"/>
              </w:rPr>
              <w:t>2</w:t>
            </w:r>
          </w:p>
        </w:tc>
        <w:tc>
          <w:tcPr>
            <w:tcW w:w="1417" w:type="dxa"/>
            <w:vAlign w:val="center"/>
          </w:tcPr>
          <w:p w14:paraId="6A3C5E1D" w14:textId="77777777" w:rsidR="0089207C" w:rsidRPr="00AC3044" w:rsidRDefault="0089207C" w:rsidP="002D3EBF">
            <w:pPr>
              <w:rPr>
                <w:rFonts w:eastAsia="SimSun"/>
              </w:rPr>
            </w:pPr>
            <w:r w:rsidRPr="00AC3044">
              <w:rPr>
                <w:rFonts w:eastAsia="SimSun"/>
              </w:rPr>
              <w:t>100  мг/м</w:t>
            </w:r>
            <w:r w:rsidRPr="0074195F">
              <w:rPr>
                <w:rFonts w:eastAsia="SimSun"/>
                <w:vertAlign w:val="superscript"/>
              </w:rPr>
              <w:t>2</w:t>
            </w:r>
          </w:p>
        </w:tc>
        <w:tc>
          <w:tcPr>
            <w:tcW w:w="1843" w:type="dxa"/>
            <w:vAlign w:val="center"/>
          </w:tcPr>
          <w:p w14:paraId="28F36962" w14:textId="77777777" w:rsidR="0089207C" w:rsidRPr="00AC3044" w:rsidRDefault="0089207C" w:rsidP="002D3EBF">
            <w:pPr>
              <w:rPr>
                <w:rFonts w:eastAsia="SimSun"/>
              </w:rPr>
            </w:pPr>
            <w:r w:rsidRPr="00AC3044">
              <w:rPr>
                <w:rFonts w:eastAsia="SimSun"/>
              </w:rPr>
              <w:t>–1</w:t>
            </w:r>
          </w:p>
        </w:tc>
        <w:tc>
          <w:tcPr>
            <w:tcW w:w="2835" w:type="dxa"/>
            <w:vAlign w:val="center"/>
          </w:tcPr>
          <w:p w14:paraId="1D1EAF31"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6972AB6A" w14:textId="77777777" w:rsidTr="002D3EBF">
        <w:trPr>
          <w:cantSplit/>
          <w:trHeight w:val="20"/>
        </w:trPr>
        <w:tc>
          <w:tcPr>
            <w:tcW w:w="709" w:type="dxa"/>
            <w:vMerge/>
            <w:textDirection w:val="btLr"/>
          </w:tcPr>
          <w:p w14:paraId="03C41382" w14:textId="77777777" w:rsidR="0089207C" w:rsidRPr="00AC3044" w:rsidRDefault="0089207C" w:rsidP="002D3EBF">
            <w:pPr>
              <w:rPr>
                <w:rFonts w:eastAsia="SimSun"/>
              </w:rPr>
            </w:pPr>
          </w:p>
        </w:tc>
        <w:tc>
          <w:tcPr>
            <w:tcW w:w="2410" w:type="dxa"/>
            <w:vAlign w:val="center"/>
          </w:tcPr>
          <w:p w14:paraId="142D0DD6" w14:textId="77777777" w:rsidR="0089207C" w:rsidRPr="00AC3044" w:rsidRDefault="0089207C" w:rsidP="002D3EBF">
            <w:pPr>
              <w:rPr>
                <w:rFonts w:eastAsia="SimSun"/>
              </w:rPr>
            </w:pPr>
            <w:r w:rsidRPr="00AC3044">
              <w:rPr>
                <w:rFonts w:eastAsia="SimSun"/>
              </w:rPr>
              <w:t>Тоцилизумаб</w:t>
            </w:r>
          </w:p>
        </w:tc>
        <w:tc>
          <w:tcPr>
            <w:tcW w:w="1276" w:type="dxa"/>
            <w:vAlign w:val="center"/>
          </w:tcPr>
          <w:p w14:paraId="1F7899A5" w14:textId="77777777" w:rsidR="0089207C" w:rsidRPr="00AC3044" w:rsidRDefault="0089207C" w:rsidP="002D3EBF">
            <w:pPr>
              <w:rPr>
                <w:rFonts w:eastAsia="SimSun"/>
              </w:rPr>
            </w:pPr>
            <w:r w:rsidRPr="00AC3044">
              <w:rPr>
                <w:rFonts w:eastAsia="SimSun"/>
              </w:rPr>
              <w:t>8 мг/кг</w:t>
            </w:r>
          </w:p>
        </w:tc>
        <w:tc>
          <w:tcPr>
            <w:tcW w:w="1417" w:type="dxa"/>
            <w:vAlign w:val="center"/>
          </w:tcPr>
          <w:p w14:paraId="70AB0CAE" w14:textId="77777777" w:rsidR="0089207C" w:rsidRPr="00AC3044" w:rsidRDefault="0089207C" w:rsidP="002D3EBF">
            <w:pPr>
              <w:rPr>
                <w:rFonts w:eastAsia="SimSun"/>
              </w:rPr>
            </w:pPr>
            <w:r w:rsidRPr="00AC3044">
              <w:rPr>
                <w:rFonts w:eastAsia="SimSun"/>
              </w:rPr>
              <w:t>8 мг/кг</w:t>
            </w:r>
          </w:p>
        </w:tc>
        <w:tc>
          <w:tcPr>
            <w:tcW w:w="1843" w:type="dxa"/>
            <w:vAlign w:val="center"/>
          </w:tcPr>
          <w:p w14:paraId="6D1262D3" w14:textId="77777777" w:rsidR="0089207C" w:rsidRPr="00AC3044" w:rsidRDefault="0089207C" w:rsidP="002D3EBF">
            <w:pPr>
              <w:rPr>
                <w:rFonts w:eastAsia="SimSun"/>
              </w:rPr>
            </w:pPr>
            <w:r w:rsidRPr="00AC3044">
              <w:rPr>
                <w:rFonts w:eastAsia="SimSun"/>
              </w:rPr>
              <w:t>–1, +21</w:t>
            </w:r>
          </w:p>
        </w:tc>
        <w:tc>
          <w:tcPr>
            <w:tcW w:w="2835" w:type="dxa"/>
            <w:vAlign w:val="center"/>
          </w:tcPr>
          <w:p w14:paraId="75661CFA" w14:textId="77777777" w:rsidR="0089207C" w:rsidRPr="00AC3044" w:rsidRDefault="0089207C" w:rsidP="002D3EBF">
            <w:pPr>
              <w:rPr>
                <w:rFonts w:eastAsia="SimSun"/>
              </w:rPr>
            </w:pPr>
            <w:r w:rsidRPr="00AC3044">
              <w:rPr>
                <w:rFonts w:eastAsia="SimSun"/>
              </w:rPr>
              <w:t>В/в, в течение 1 часа</w:t>
            </w:r>
          </w:p>
        </w:tc>
      </w:tr>
      <w:tr w:rsidR="0089207C" w:rsidRPr="00AC3044" w14:paraId="156550F6" w14:textId="77777777" w:rsidTr="002D3EBF">
        <w:trPr>
          <w:cantSplit/>
          <w:trHeight w:val="20"/>
        </w:trPr>
        <w:tc>
          <w:tcPr>
            <w:tcW w:w="709" w:type="dxa"/>
            <w:vMerge/>
            <w:textDirection w:val="btLr"/>
          </w:tcPr>
          <w:p w14:paraId="6F26E070" w14:textId="77777777" w:rsidR="0089207C" w:rsidRPr="00AC3044" w:rsidRDefault="0089207C" w:rsidP="002D3EBF">
            <w:pPr>
              <w:rPr>
                <w:rFonts w:eastAsia="SimSun"/>
              </w:rPr>
            </w:pPr>
          </w:p>
        </w:tc>
        <w:tc>
          <w:tcPr>
            <w:tcW w:w="2410" w:type="dxa"/>
            <w:vAlign w:val="center"/>
          </w:tcPr>
          <w:p w14:paraId="417D2E36" w14:textId="77777777" w:rsidR="0089207C" w:rsidRPr="00AC3044" w:rsidRDefault="0089207C" w:rsidP="002D3EBF">
            <w:pPr>
              <w:rPr>
                <w:rFonts w:eastAsia="SimSun"/>
              </w:rPr>
            </w:pPr>
            <w:r w:rsidRPr="00AC3044">
              <w:rPr>
                <w:rFonts w:eastAsia="SimSun"/>
              </w:rPr>
              <w:t>Абатацепт1</w:t>
            </w:r>
          </w:p>
        </w:tc>
        <w:tc>
          <w:tcPr>
            <w:tcW w:w="1276" w:type="dxa"/>
            <w:vAlign w:val="center"/>
          </w:tcPr>
          <w:p w14:paraId="7A629B77" w14:textId="77777777" w:rsidR="0089207C" w:rsidRPr="00AC3044" w:rsidRDefault="0089207C" w:rsidP="002D3EBF">
            <w:pPr>
              <w:rPr>
                <w:rFonts w:eastAsia="SimSun"/>
              </w:rPr>
            </w:pPr>
            <w:r w:rsidRPr="00AC3044">
              <w:rPr>
                <w:rFonts w:eastAsia="SimSun"/>
              </w:rPr>
              <w:t>10 мг/кг</w:t>
            </w:r>
          </w:p>
        </w:tc>
        <w:tc>
          <w:tcPr>
            <w:tcW w:w="1417" w:type="dxa"/>
            <w:vAlign w:val="center"/>
          </w:tcPr>
          <w:p w14:paraId="33F319DE" w14:textId="77777777" w:rsidR="0089207C" w:rsidRPr="00AC3044" w:rsidRDefault="0089207C" w:rsidP="002D3EBF">
            <w:pPr>
              <w:rPr>
                <w:rFonts w:eastAsia="SimSun"/>
              </w:rPr>
            </w:pPr>
            <w:r w:rsidRPr="00AC3044">
              <w:rPr>
                <w:rFonts w:eastAsia="SimSun"/>
              </w:rPr>
              <w:t>40 мг/кг</w:t>
            </w:r>
          </w:p>
        </w:tc>
        <w:tc>
          <w:tcPr>
            <w:tcW w:w="1843" w:type="dxa"/>
            <w:vAlign w:val="center"/>
          </w:tcPr>
          <w:p w14:paraId="10343A62" w14:textId="77777777" w:rsidR="0089207C" w:rsidRPr="00AC3044" w:rsidRDefault="0089207C" w:rsidP="002D3EBF">
            <w:pPr>
              <w:rPr>
                <w:rFonts w:eastAsia="SimSun"/>
              </w:rPr>
            </w:pPr>
            <w:r w:rsidRPr="00AC3044">
              <w:rPr>
                <w:rFonts w:eastAsia="SimSun"/>
              </w:rPr>
              <w:t>–1,+7,+14,+28</w:t>
            </w:r>
          </w:p>
        </w:tc>
        <w:tc>
          <w:tcPr>
            <w:tcW w:w="2835" w:type="dxa"/>
            <w:vAlign w:val="center"/>
          </w:tcPr>
          <w:p w14:paraId="3EB0882F" w14:textId="77777777" w:rsidR="0089207C" w:rsidRPr="00AC3044" w:rsidRDefault="0089207C" w:rsidP="002D3EBF">
            <w:pPr>
              <w:rPr>
                <w:rFonts w:eastAsia="SimSun"/>
              </w:rPr>
            </w:pPr>
            <w:r w:rsidRPr="00AC3044">
              <w:rPr>
                <w:rFonts w:eastAsia="SimSun"/>
              </w:rPr>
              <w:t>В/в, в течение 30 мин</w:t>
            </w:r>
          </w:p>
        </w:tc>
      </w:tr>
      <w:tr w:rsidR="0089207C" w:rsidRPr="00AC3044" w14:paraId="0577D7C1" w14:textId="77777777" w:rsidTr="002D3EBF">
        <w:trPr>
          <w:cantSplit/>
          <w:trHeight w:val="1797"/>
        </w:trPr>
        <w:tc>
          <w:tcPr>
            <w:tcW w:w="709" w:type="dxa"/>
            <w:textDirection w:val="btLr"/>
            <w:vAlign w:val="center"/>
          </w:tcPr>
          <w:p w14:paraId="6ADFB7B2" w14:textId="77777777" w:rsidR="0089207C" w:rsidRPr="00AC3044" w:rsidRDefault="0089207C" w:rsidP="002D3EBF">
            <w:pPr>
              <w:rPr>
                <w:rFonts w:eastAsia="SimSun"/>
              </w:rPr>
            </w:pPr>
            <w:r w:rsidRPr="00AC3044">
              <w:rPr>
                <w:rFonts w:eastAsia="SimSun"/>
              </w:rPr>
              <w:t>Ex vivo манипуляция  с трансплантатом</w:t>
            </w:r>
          </w:p>
        </w:tc>
        <w:tc>
          <w:tcPr>
            <w:tcW w:w="2410" w:type="dxa"/>
            <w:vAlign w:val="center"/>
          </w:tcPr>
          <w:p w14:paraId="239708B3" w14:textId="77777777" w:rsidR="0089207C" w:rsidRPr="00AC3044" w:rsidRDefault="0089207C" w:rsidP="002D3EBF">
            <w:pPr>
              <w:rPr>
                <w:rFonts w:eastAsia="SimSun"/>
              </w:rPr>
            </w:pPr>
            <w:r w:rsidRPr="00AC3044">
              <w:rPr>
                <w:rFonts w:eastAsia="SimSun"/>
              </w:rPr>
              <w:t>Комплексная услуга TCRαβ/CD19 деплеция</w:t>
            </w:r>
          </w:p>
        </w:tc>
        <w:tc>
          <w:tcPr>
            <w:tcW w:w="1276" w:type="dxa"/>
            <w:vAlign w:val="center"/>
          </w:tcPr>
          <w:p w14:paraId="74357731" w14:textId="77777777" w:rsidR="0089207C" w:rsidRPr="00AC3044" w:rsidRDefault="0089207C" w:rsidP="002D3EBF">
            <w:pPr>
              <w:rPr>
                <w:rFonts w:eastAsia="SimSun"/>
              </w:rPr>
            </w:pPr>
            <w:r w:rsidRPr="00AC3044">
              <w:rPr>
                <w:rFonts w:eastAsia="SimSun"/>
              </w:rPr>
              <w:t>–</w:t>
            </w:r>
          </w:p>
        </w:tc>
        <w:tc>
          <w:tcPr>
            <w:tcW w:w="1417" w:type="dxa"/>
            <w:vAlign w:val="center"/>
          </w:tcPr>
          <w:p w14:paraId="422A8D89" w14:textId="77777777" w:rsidR="0089207C" w:rsidRPr="00AC3044" w:rsidRDefault="0089207C" w:rsidP="002D3EBF">
            <w:pPr>
              <w:rPr>
                <w:rFonts w:eastAsia="SimSun"/>
              </w:rPr>
            </w:pPr>
            <w:r w:rsidRPr="00AC3044">
              <w:rPr>
                <w:rFonts w:eastAsia="SimSun"/>
              </w:rPr>
              <w:t>–</w:t>
            </w:r>
          </w:p>
        </w:tc>
        <w:tc>
          <w:tcPr>
            <w:tcW w:w="1843" w:type="dxa"/>
            <w:vAlign w:val="center"/>
          </w:tcPr>
          <w:p w14:paraId="7584889F" w14:textId="77777777" w:rsidR="0089207C" w:rsidRPr="00AC3044" w:rsidRDefault="0089207C" w:rsidP="002D3EBF">
            <w:pPr>
              <w:rPr>
                <w:rFonts w:eastAsia="SimSun"/>
              </w:rPr>
            </w:pPr>
            <w:r w:rsidRPr="00AC3044">
              <w:rPr>
                <w:rFonts w:eastAsia="SimSun"/>
              </w:rPr>
              <w:t>0</w:t>
            </w:r>
          </w:p>
        </w:tc>
        <w:tc>
          <w:tcPr>
            <w:tcW w:w="2835" w:type="dxa"/>
            <w:vAlign w:val="center"/>
          </w:tcPr>
          <w:p w14:paraId="787A4361" w14:textId="77777777" w:rsidR="0089207C" w:rsidRPr="00AC3044" w:rsidRDefault="0089207C" w:rsidP="002D3EBF">
            <w:pPr>
              <w:rPr>
                <w:rFonts w:eastAsia="SimSun"/>
              </w:rPr>
            </w:pPr>
            <w:r w:rsidRPr="00AC3044">
              <w:rPr>
                <w:rFonts w:eastAsia="SimSun"/>
              </w:rPr>
              <w:t>-</w:t>
            </w:r>
          </w:p>
        </w:tc>
      </w:tr>
      <w:tr w:rsidR="0089207C" w:rsidRPr="00AC3044" w14:paraId="51B1F82D" w14:textId="77777777" w:rsidTr="002D3EBF">
        <w:trPr>
          <w:trHeight w:val="20"/>
        </w:trPr>
        <w:tc>
          <w:tcPr>
            <w:tcW w:w="10490" w:type="dxa"/>
            <w:gridSpan w:val="6"/>
          </w:tcPr>
          <w:p w14:paraId="619CAFCC" w14:textId="77777777" w:rsidR="0089207C" w:rsidRPr="00AC3044" w:rsidRDefault="0089207C" w:rsidP="002D3EBF">
            <w:pPr>
              <w:rPr>
                <w:rFonts w:eastAsia="SimSun"/>
              </w:rPr>
            </w:pPr>
            <w:r w:rsidRPr="00AC3044">
              <w:rPr>
                <w:rFonts w:eastAsia="SimSun"/>
              </w:rPr>
              <w:t>1 Раствор абатацепта нельзя использовать с оборудованием, имеющим в своём составе силикон.  Содержимое одного флакона растворяют в 10 мл воды для инъекций, используя одноразовый бессиликоновый шприц, имеющийся в комплекте с препаратом. Полученный концентрат немедленно разбавляют 0.9% раствором натрия хлорида для инъекций для получения инфузионного раствора, который немедленно вводится в/в за 30мин через инфузионную систему.  Абатацепт нельзя вводить одновременно с другими препаратами через одну инфузионную систему.</w:t>
            </w:r>
          </w:p>
          <w:p w14:paraId="53111726" w14:textId="77777777" w:rsidR="0089207C" w:rsidRPr="00AC3044" w:rsidRDefault="0089207C" w:rsidP="002D3EBF">
            <w:pPr>
              <w:rPr>
                <w:rFonts w:eastAsia="SimSun"/>
              </w:rPr>
            </w:pPr>
          </w:p>
        </w:tc>
      </w:tr>
    </w:tbl>
    <w:p w14:paraId="338ABB5A" w14:textId="77777777" w:rsidR="0089207C" w:rsidRDefault="0089207C" w:rsidP="0089207C">
      <w:pPr>
        <w:rPr>
          <w:rFonts w:eastAsia="SimSun"/>
        </w:rPr>
      </w:pPr>
      <w:bookmarkStart w:id="289" w:name="_Toc44401245"/>
    </w:p>
    <w:p w14:paraId="6C423FD6" w14:textId="77777777" w:rsidR="0089207C" w:rsidRPr="00C07B2E" w:rsidRDefault="0089207C" w:rsidP="0089207C">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4.3  – Flu150+Bu12+Thio / TCRαβ-CD19</w:t>
      </w:r>
      <w:bookmarkEnd w:id="289"/>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410"/>
        <w:gridCol w:w="1276"/>
        <w:gridCol w:w="1417"/>
        <w:gridCol w:w="1843"/>
        <w:gridCol w:w="2835"/>
      </w:tblGrid>
      <w:tr w:rsidR="0089207C" w:rsidRPr="00AC3044" w14:paraId="1AC0C232" w14:textId="77777777" w:rsidTr="002D3EBF">
        <w:trPr>
          <w:cantSplit/>
          <w:trHeight w:val="20"/>
          <w:tblHeader/>
        </w:trPr>
        <w:tc>
          <w:tcPr>
            <w:tcW w:w="709" w:type="dxa"/>
          </w:tcPr>
          <w:p w14:paraId="4497F445" w14:textId="77777777" w:rsidR="0089207C" w:rsidRPr="006A5E21" w:rsidRDefault="0089207C" w:rsidP="002D3EBF">
            <w:pPr>
              <w:rPr>
                <w:rFonts w:eastAsia="SimSun"/>
              </w:rPr>
            </w:pPr>
          </w:p>
        </w:tc>
        <w:tc>
          <w:tcPr>
            <w:tcW w:w="2410" w:type="dxa"/>
            <w:vAlign w:val="center"/>
          </w:tcPr>
          <w:p w14:paraId="1482DAE7" w14:textId="77777777" w:rsidR="0089207C" w:rsidRPr="00AC3044" w:rsidRDefault="0089207C" w:rsidP="002D3EBF">
            <w:pPr>
              <w:rPr>
                <w:rFonts w:eastAsia="SimSun"/>
              </w:rPr>
            </w:pPr>
            <w:r w:rsidRPr="00AC3044">
              <w:rPr>
                <w:rFonts w:eastAsia="SimSun"/>
              </w:rPr>
              <w:t>Препарат</w:t>
            </w:r>
          </w:p>
        </w:tc>
        <w:tc>
          <w:tcPr>
            <w:tcW w:w="1276" w:type="dxa"/>
            <w:vAlign w:val="center"/>
          </w:tcPr>
          <w:p w14:paraId="7B148F9B" w14:textId="77777777" w:rsidR="0089207C" w:rsidRPr="00AC3044" w:rsidRDefault="0089207C" w:rsidP="002D3EBF">
            <w:pPr>
              <w:rPr>
                <w:rFonts w:eastAsia="SimSun"/>
              </w:rPr>
            </w:pPr>
            <w:r w:rsidRPr="00AC3044">
              <w:rPr>
                <w:rFonts w:eastAsia="SimSun"/>
              </w:rPr>
              <w:t>Суточная доза</w:t>
            </w:r>
          </w:p>
        </w:tc>
        <w:tc>
          <w:tcPr>
            <w:tcW w:w="1417" w:type="dxa"/>
            <w:vAlign w:val="center"/>
          </w:tcPr>
          <w:p w14:paraId="5ED61648" w14:textId="77777777" w:rsidR="0089207C" w:rsidRPr="00AC3044" w:rsidRDefault="0089207C" w:rsidP="002D3EBF">
            <w:pPr>
              <w:rPr>
                <w:rFonts w:eastAsia="SimSun"/>
              </w:rPr>
            </w:pPr>
            <w:r w:rsidRPr="00AC3044">
              <w:rPr>
                <w:rFonts w:eastAsia="SimSun"/>
              </w:rPr>
              <w:t>Курсовая доза</w:t>
            </w:r>
          </w:p>
        </w:tc>
        <w:tc>
          <w:tcPr>
            <w:tcW w:w="1843" w:type="dxa"/>
            <w:vAlign w:val="center"/>
          </w:tcPr>
          <w:p w14:paraId="5621B46D" w14:textId="77777777" w:rsidR="0089207C" w:rsidRPr="00AC3044" w:rsidRDefault="0089207C" w:rsidP="002D3EBF">
            <w:pPr>
              <w:rPr>
                <w:rFonts w:eastAsia="SimSun"/>
              </w:rPr>
            </w:pPr>
            <w:r w:rsidRPr="00AC3044">
              <w:rPr>
                <w:rFonts w:eastAsia="SimSun"/>
              </w:rPr>
              <w:t>Дни введения</w:t>
            </w:r>
          </w:p>
        </w:tc>
        <w:tc>
          <w:tcPr>
            <w:tcW w:w="2835" w:type="dxa"/>
            <w:vAlign w:val="center"/>
          </w:tcPr>
          <w:p w14:paraId="6613A57E"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70127AB5" w14:textId="77777777" w:rsidTr="002D3EBF">
        <w:trPr>
          <w:cantSplit/>
          <w:trHeight w:val="20"/>
        </w:trPr>
        <w:tc>
          <w:tcPr>
            <w:tcW w:w="709" w:type="dxa"/>
            <w:vMerge w:val="restart"/>
            <w:textDirection w:val="btLr"/>
            <w:vAlign w:val="center"/>
          </w:tcPr>
          <w:p w14:paraId="6FE6AF75" w14:textId="77777777" w:rsidR="0089207C" w:rsidRPr="00AC3044" w:rsidRDefault="0089207C" w:rsidP="002D3EBF">
            <w:pPr>
              <w:rPr>
                <w:rFonts w:eastAsia="SimSun"/>
              </w:rPr>
            </w:pPr>
            <w:r w:rsidRPr="00AC3044">
              <w:rPr>
                <w:rFonts w:eastAsia="SimSun"/>
              </w:rPr>
              <w:t>Кондиционирование</w:t>
            </w:r>
          </w:p>
        </w:tc>
        <w:tc>
          <w:tcPr>
            <w:tcW w:w="2410" w:type="dxa"/>
          </w:tcPr>
          <w:p w14:paraId="7FE61DA7" w14:textId="77777777" w:rsidR="0089207C" w:rsidRPr="00AC3044" w:rsidRDefault="0089207C" w:rsidP="002D3EBF">
            <w:pPr>
              <w:rPr>
                <w:rFonts w:eastAsia="SimSun"/>
              </w:rPr>
            </w:pPr>
            <w:r w:rsidRPr="00AC3044">
              <w:rPr>
                <w:rFonts w:eastAsia="SimSun"/>
              </w:rPr>
              <w:t>Бусульфан</w:t>
            </w:r>
          </w:p>
        </w:tc>
        <w:tc>
          <w:tcPr>
            <w:tcW w:w="1276" w:type="dxa"/>
          </w:tcPr>
          <w:p w14:paraId="3A0C7D24" w14:textId="77777777" w:rsidR="0089207C" w:rsidRPr="00AC3044" w:rsidRDefault="0089207C" w:rsidP="002D3EBF">
            <w:pPr>
              <w:rPr>
                <w:rFonts w:eastAsia="SimSun"/>
              </w:rPr>
            </w:pPr>
            <w:r w:rsidRPr="00AC3044">
              <w:rPr>
                <w:rFonts w:eastAsia="SimSun"/>
              </w:rPr>
              <w:t>4 мг/кг</w:t>
            </w:r>
          </w:p>
        </w:tc>
        <w:tc>
          <w:tcPr>
            <w:tcW w:w="1417" w:type="dxa"/>
          </w:tcPr>
          <w:p w14:paraId="0C299018" w14:textId="77777777" w:rsidR="0089207C" w:rsidRPr="00AC3044" w:rsidRDefault="0089207C" w:rsidP="002D3EBF">
            <w:pPr>
              <w:rPr>
                <w:rFonts w:eastAsia="SimSun"/>
              </w:rPr>
            </w:pPr>
            <w:r w:rsidRPr="00AC3044">
              <w:rPr>
                <w:rFonts w:eastAsia="SimSun"/>
              </w:rPr>
              <w:t>12мг/кг</w:t>
            </w:r>
          </w:p>
        </w:tc>
        <w:tc>
          <w:tcPr>
            <w:tcW w:w="1843" w:type="dxa"/>
          </w:tcPr>
          <w:p w14:paraId="31899D2B" w14:textId="77777777" w:rsidR="0089207C" w:rsidRPr="00AC3044" w:rsidRDefault="0089207C" w:rsidP="002D3EBF">
            <w:pPr>
              <w:rPr>
                <w:rFonts w:eastAsia="SimSun"/>
              </w:rPr>
            </w:pPr>
            <w:r w:rsidRPr="00AC3044">
              <w:rPr>
                <w:rFonts w:eastAsia="SimSun"/>
              </w:rPr>
              <w:t>–5,–4,–3</w:t>
            </w:r>
          </w:p>
        </w:tc>
        <w:tc>
          <w:tcPr>
            <w:tcW w:w="2835" w:type="dxa"/>
          </w:tcPr>
          <w:p w14:paraId="075F5A29" w14:textId="77777777" w:rsidR="0089207C" w:rsidRPr="00AC3044" w:rsidRDefault="0089207C" w:rsidP="002D3EBF">
            <w:pPr>
              <w:rPr>
                <w:rFonts w:eastAsia="SimSun"/>
              </w:rPr>
            </w:pPr>
            <w:r w:rsidRPr="00AC3044">
              <w:rPr>
                <w:rFonts w:eastAsia="SimSun"/>
              </w:rPr>
              <w:t>Внутрь, суммарная суточная доза разделяется на 4 приема с интервалом 6 часов.</w:t>
            </w:r>
          </w:p>
        </w:tc>
      </w:tr>
      <w:tr w:rsidR="0089207C" w:rsidRPr="00AC3044" w14:paraId="2B48ADEB" w14:textId="77777777" w:rsidTr="002D3EBF">
        <w:trPr>
          <w:cantSplit/>
          <w:trHeight w:val="458"/>
        </w:trPr>
        <w:tc>
          <w:tcPr>
            <w:tcW w:w="709" w:type="dxa"/>
            <w:vMerge/>
            <w:textDirection w:val="btLr"/>
            <w:vAlign w:val="center"/>
          </w:tcPr>
          <w:p w14:paraId="0FFA6B37" w14:textId="77777777" w:rsidR="0089207C" w:rsidRPr="00AC3044" w:rsidRDefault="0089207C" w:rsidP="002D3EBF">
            <w:pPr>
              <w:rPr>
                <w:rFonts w:eastAsia="SimSun"/>
              </w:rPr>
            </w:pPr>
          </w:p>
        </w:tc>
        <w:tc>
          <w:tcPr>
            <w:tcW w:w="2410" w:type="dxa"/>
            <w:vAlign w:val="center"/>
          </w:tcPr>
          <w:p w14:paraId="14EFE165" w14:textId="77777777" w:rsidR="0089207C" w:rsidRPr="00AC3044" w:rsidRDefault="0089207C" w:rsidP="002D3EBF">
            <w:pPr>
              <w:rPr>
                <w:rFonts w:eastAsia="SimSun"/>
              </w:rPr>
            </w:pPr>
            <w:r w:rsidRPr="00AC3044">
              <w:rPr>
                <w:rFonts w:eastAsia="SimSun"/>
              </w:rPr>
              <w:t>Тиотепа</w:t>
            </w:r>
          </w:p>
        </w:tc>
        <w:tc>
          <w:tcPr>
            <w:tcW w:w="1276" w:type="dxa"/>
            <w:vAlign w:val="center"/>
          </w:tcPr>
          <w:p w14:paraId="51A68CF3" w14:textId="77777777" w:rsidR="0089207C" w:rsidRPr="00AC3044" w:rsidRDefault="0089207C" w:rsidP="002D3EBF">
            <w:pPr>
              <w:rPr>
                <w:rFonts w:eastAsia="SimSun"/>
              </w:rPr>
            </w:pPr>
            <w:r w:rsidRPr="00AC3044">
              <w:rPr>
                <w:rFonts w:eastAsia="SimSun"/>
              </w:rPr>
              <w:t xml:space="preserve">5мг/кг </w:t>
            </w:r>
          </w:p>
        </w:tc>
        <w:tc>
          <w:tcPr>
            <w:tcW w:w="1417" w:type="dxa"/>
            <w:vAlign w:val="center"/>
          </w:tcPr>
          <w:p w14:paraId="7D7A1506" w14:textId="77777777" w:rsidR="0089207C" w:rsidRPr="00AC3044" w:rsidRDefault="0089207C" w:rsidP="002D3EBF">
            <w:pPr>
              <w:rPr>
                <w:rFonts w:eastAsia="SimSun"/>
              </w:rPr>
            </w:pPr>
            <w:r w:rsidRPr="00AC3044">
              <w:rPr>
                <w:rFonts w:eastAsia="SimSun"/>
              </w:rPr>
              <w:t>10 мг/кг</w:t>
            </w:r>
          </w:p>
        </w:tc>
        <w:tc>
          <w:tcPr>
            <w:tcW w:w="1843" w:type="dxa"/>
            <w:vAlign w:val="center"/>
          </w:tcPr>
          <w:p w14:paraId="4F8583B6" w14:textId="77777777" w:rsidR="0089207C" w:rsidRPr="00AC3044" w:rsidRDefault="0089207C" w:rsidP="002D3EBF">
            <w:pPr>
              <w:rPr>
                <w:rFonts w:eastAsia="SimSun"/>
              </w:rPr>
            </w:pPr>
            <w:r w:rsidRPr="00AC3044">
              <w:rPr>
                <w:rFonts w:eastAsia="SimSun"/>
              </w:rPr>
              <w:t>–6,–5</w:t>
            </w:r>
          </w:p>
        </w:tc>
        <w:tc>
          <w:tcPr>
            <w:tcW w:w="2835" w:type="dxa"/>
            <w:vAlign w:val="center"/>
          </w:tcPr>
          <w:p w14:paraId="501AB2C2"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4B1147D4" w14:textId="77777777" w:rsidTr="002D3EBF">
        <w:trPr>
          <w:cantSplit/>
          <w:trHeight w:val="550"/>
        </w:trPr>
        <w:tc>
          <w:tcPr>
            <w:tcW w:w="709" w:type="dxa"/>
            <w:vMerge/>
            <w:textDirection w:val="btLr"/>
            <w:vAlign w:val="center"/>
          </w:tcPr>
          <w:p w14:paraId="1E44EA5D" w14:textId="77777777" w:rsidR="0089207C" w:rsidRPr="00AC3044" w:rsidRDefault="0089207C" w:rsidP="002D3EBF">
            <w:pPr>
              <w:rPr>
                <w:rFonts w:eastAsia="SimSun"/>
              </w:rPr>
            </w:pPr>
          </w:p>
        </w:tc>
        <w:tc>
          <w:tcPr>
            <w:tcW w:w="2410" w:type="dxa"/>
            <w:vAlign w:val="center"/>
          </w:tcPr>
          <w:p w14:paraId="54DFAB08" w14:textId="77777777" w:rsidR="0089207C" w:rsidRPr="00AC3044" w:rsidRDefault="0089207C" w:rsidP="002D3EBF">
            <w:pPr>
              <w:rPr>
                <w:rFonts w:eastAsia="SimSun"/>
              </w:rPr>
            </w:pPr>
            <w:r w:rsidRPr="00AC3044">
              <w:rPr>
                <w:rFonts w:eastAsia="SimSun"/>
              </w:rPr>
              <w:t>Флударабин</w:t>
            </w:r>
          </w:p>
        </w:tc>
        <w:tc>
          <w:tcPr>
            <w:tcW w:w="1276" w:type="dxa"/>
            <w:vAlign w:val="center"/>
          </w:tcPr>
          <w:p w14:paraId="23B1230E" w14:textId="77777777" w:rsidR="0089207C" w:rsidRPr="00AC3044" w:rsidRDefault="0089207C" w:rsidP="002D3EBF">
            <w:pPr>
              <w:rPr>
                <w:rFonts w:eastAsia="SimSun"/>
              </w:rPr>
            </w:pPr>
            <w:r w:rsidRPr="00AC3044">
              <w:rPr>
                <w:rFonts w:eastAsia="SimSun"/>
              </w:rPr>
              <w:t>30 мг/м</w:t>
            </w:r>
            <w:r w:rsidRPr="0074195F">
              <w:rPr>
                <w:rFonts w:eastAsia="SimSun"/>
                <w:vertAlign w:val="superscript"/>
              </w:rPr>
              <w:t>2</w:t>
            </w:r>
          </w:p>
        </w:tc>
        <w:tc>
          <w:tcPr>
            <w:tcW w:w="1417" w:type="dxa"/>
            <w:vAlign w:val="center"/>
          </w:tcPr>
          <w:p w14:paraId="5D9A9F0F" w14:textId="77777777" w:rsidR="0089207C" w:rsidRPr="00AC3044" w:rsidRDefault="0089207C" w:rsidP="002D3EBF">
            <w:pPr>
              <w:rPr>
                <w:rFonts w:eastAsia="SimSun"/>
              </w:rPr>
            </w:pPr>
            <w:r w:rsidRPr="00AC3044">
              <w:rPr>
                <w:rFonts w:eastAsia="SimSun"/>
              </w:rPr>
              <w:t>150 мг/м</w:t>
            </w:r>
            <w:r w:rsidRPr="0074195F">
              <w:rPr>
                <w:rFonts w:eastAsia="SimSun"/>
                <w:vertAlign w:val="superscript"/>
              </w:rPr>
              <w:t>2</w:t>
            </w:r>
          </w:p>
        </w:tc>
        <w:tc>
          <w:tcPr>
            <w:tcW w:w="1843" w:type="dxa"/>
            <w:vAlign w:val="center"/>
          </w:tcPr>
          <w:p w14:paraId="0FD4ED86" w14:textId="77777777" w:rsidR="0089207C" w:rsidRPr="00AC3044" w:rsidRDefault="0089207C" w:rsidP="002D3EBF">
            <w:pPr>
              <w:rPr>
                <w:rFonts w:eastAsia="SimSun"/>
              </w:rPr>
            </w:pPr>
            <w:r w:rsidRPr="00AC3044">
              <w:rPr>
                <w:rFonts w:eastAsia="SimSun"/>
              </w:rPr>
              <w:t>–6,–5,–4, –3, –2</w:t>
            </w:r>
          </w:p>
        </w:tc>
        <w:tc>
          <w:tcPr>
            <w:tcW w:w="2835" w:type="dxa"/>
            <w:vAlign w:val="center"/>
          </w:tcPr>
          <w:p w14:paraId="76A8F6CF" w14:textId="77777777" w:rsidR="0089207C" w:rsidRPr="00AC3044" w:rsidRDefault="0089207C" w:rsidP="002D3EBF">
            <w:pPr>
              <w:rPr>
                <w:rFonts w:eastAsia="SimSun"/>
              </w:rPr>
            </w:pPr>
            <w:r w:rsidRPr="00AC3044">
              <w:rPr>
                <w:rFonts w:eastAsia="SimSun"/>
              </w:rPr>
              <w:t>В/в, в течение 30 -60 мин</w:t>
            </w:r>
          </w:p>
        </w:tc>
      </w:tr>
      <w:tr w:rsidR="0089207C" w:rsidRPr="00AC3044" w14:paraId="3457F90C" w14:textId="77777777" w:rsidTr="002D3EBF">
        <w:trPr>
          <w:cantSplit/>
          <w:trHeight w:val="416"/>
        </w:trPr>
        <w:tc>
          <w:tcPr>
            <w:tcW w:w="709" w:type="dxa"/>
            <w:vMerge w:val="restart"/>
            <w:textDirection w:val="btLr"/>
            <w:vAlign w:val="center"/>
          </w:tcPr>
          <w:p w14:paraId="70FD67C1" w14:textId="77777777" w:rsidR="0089207C" w:rsidRPr="00AC3044" w:rsidRDefault="0089207C" w:rsidP="002D3EBF">
            <w:pPr>
              <w:rPr>
                <w:rFonts w:eastAsia="SimSun"/>
              </w:rPr>
            </w:pPr>
            <w:r w:rsidRPr="00AC3044">
              <w:rPr>
                <w:rFonts w:eastAsia="SimSun"/>
              </w:rPr>
              <w:t>Профилактика РТПХ</w:t>
            </w:r>
          </w:p>
        </w:tc>
        <w:tc>
          <w:tcPr>
            <w:tcW w:w="2410" w:type="dxa"/>
            <w:vAlign w:val="center"/>
          </w:tcPr>
          <w:p w14:paraId="44824BDA" w14:textId="77777777" w:rsidR="0089207C" w:rsidRPr="00AC3044" w:rsidRDefault="0089207C" w:rsidP="002D3EBF">
            <w:pPr>
              <w:rPr>
                <w:rFonts w:eastAsia="SimSun"/>
              </w:rPr>
            </w:pPr>
            <w:r w:rsidRPr="00AC3044">
              <w:rPr>
                <w:rFonts w:eastAsia="SimSun"/>
              </w:rPr>
              <w:t>Ритуксимаб</w:t>
            </w:r>
          </w:p>
        </w:tc>
        <w:tc>
          <w:tcPr>
            <w:tcW w:w="1276" w:type="dxa"/>
            <w:vAlign w:val="center"/>
          </w:tcPr>
          <w:p w14:paraId="55A4C409" w14:textId="77777777" w:rsidR="0089207C" w:rsidRPr="00AC3044" w:rsidRDefault="0089207C" w:rsidP="002D3EBF">
            <w:pPr>
              <w:rPr>
                <w:rFonts w:eastAsia="SimSun"/>
              </w:rPr>
            </w:pPr>
            <w:r w:rsidRPr="00AC3044">
              <w:rPr>
                <w:rFonts w:eastAsia="SimSun"/>
              </w:rPr>
              <w:t>100 мг/м</w:t>
            </w:r>
            <w:r w:rsidRPr="0074195F">
              <w:rPr>
                <w:rFonts w:eastAsia="SimSun"/>
                <w:vertAlign w:val="superscript"/>
              </w:rPr>
              <w:t>2</w:t>
            </w:r>
          </w:p>
        </w:tc>
        <w:tc>
          <w:tcPr>
            <w:tcW w:w="1417" w:type="dxa"/>
            <w:vAlign w:val="center"/>
          </w:tcPr>
          <w:p w14:paraId="2D015EF1" w14:textId="77777777" w:rsidR="0089207C" w:rsidRPr="00AC3044" w:rsidRDefault="0089207C" w:rsidP="002D3EBF">
            <w:pPr>
              <w:rPr>
                <w:rFonts w:eastAsia="SimSun"/>
              </w:rPr>
            </w:pPr>
            <w:r w:rsidRPr="00AC3044">
              <w:rPr>
                <w:rFonts w:eastAsia="SimSun"/>
              </w:rPr>
              <w:t>100 мг/м</w:t>
            </w:r>
            <w:r w:rsidRPr="0074195F">
              <w:rPr>
                <w:rFonts w:eastAsia="SimSun"/>
                <w:vertAlign w:val="superscript"/>
              </w:rPr>
              <w:t>2</w:t>
            </w:r>
          </w:p>
        </w:tc>
        <w:tc>
          <w:tcPr>
            <w:tcW w:w="1843" w:type="dxa"/>
            <w:vAlign w:val="center"/>
          </w:tcPr>
          <w:p w14:paraId="28A41CF1" w14:textId="77777777" w:rsidR="0089207C" w:rsidRPr="00AC3044" w:rsidRDefault="0089207C" w:rsidP="002D3EBF">
            <w:pPr>
              <w:rPr>
                <w:rFonts w:eastAsia="SimSun"/>
              </w:rPr>
            </w:pPr>
            <w:r w:rsidRPr="00AC3044">
              <w:rPr>
                <w:rFonts w:eastAsia="SimSun"/>
              </w:rPr>
              <w:t>–1</w:t>
            </w:r>
          </w:p>
        </w:tc>
        <w:tc>
          <w:tcPr>
            <w:tcW w:w="2835" w:type="dxa"/>
            <w:vAlign w:val="center"/>
          </w:tcPr>
          <w:p w14:paraId="3AF717C7" w14:textId="77777777" w:rsidR="0089207C" w:rsidRPr="00AC3044" w:rsidRDefault="0089207C" w:rsidP="002D3EBF">
            <w:pPr>
              <w:rPr>
                <w:rFonts w:eastAsia="SimSun"/>
              </w:rPr>
            </w:pPr>
            <w:r w:rsidRPr="00AC3044">
              <w:rPr>
                <w:rFonts w:eastAsia="SimSun"/>
              </w:rPr>
              <w:t>В/в, в течение 2 часов</w:t>
            </w:r>
          </w:p>
        </w:tc>
      </w:tr>
      <w:tr w:rsidR="0089207C" w:rsidRPr="00AC3044" w14:paraId="32D943A7" w14:textId="77777777" w:rsidTr="002D3EBF">
        <w:trPr>
          <w:cantSplit/>
          <w:trHeight w:val="20"/>
        </w:trPr>
        <w:tc>
          <w:tcPr>
            <w:tcW w:w="709" w:type="dxa"/>
            <w:vMerge/>
            <w:textDirection w:val="btLr"/>
          </w:tcPr>
          <w:p w14:paraId="2DFA0D57" w14:textId="77777777" w:rsidR="0089207C" w:rsidRPr="00AC3044" w:rsidRDefault="0089207C" w:rsidP="002D3EBF">
            <w:pPr>
              <w:rPr>
                <w:rFonts w:eastAsia="SimSun"/>
              </w:rPr>
            </w:pPr>
          </w:p>
        </w:tc>
        <w:tc>
          <w:tcPr>
            <w:tcW w:w="2410" w:type="dxa"/>
            <w:vAlign w:val="center"/>
          </w:tcPr>
          <w:p w14:paraId="6CDE7D1F" w14:textId="77777777" w:rsidR="0089207C" w:rsidRPr="00AC3044" w:rsidRDefault="0089207C" w:rsidP="002D3EBF">
            <w:pPr>
              <w:rPr>
                <w:rFonts w:eastAsia="SimSun"/>
              </w:rPr>
            </w:pPr>
            <w:r w:rsidRPr="00AC3044">
              <w:rPr>
                <w:rFonts w:eastAsia="SimSun"/>
              </w:rPr>
              <w:t>Тоцилизумаб</w:t>
            </w:r>
          </w:p>
        </w:tc>
        <w:tc>
          <w:tcPr>
            <w:tcW w:w="1276" w:type="dxa"/>
            <w:vAlign w:val="center"/>
          </w:tcPr>
          <w:p w14:paraId="2E730925" w14:textId="77777777" w:rsidR="0089207C" w:rsidRPr="00AC3044" w:rsidRDefault="0089207C" w:rsidP="002D3EBF">
            <w:pPr>
              <w:rPr>
                <w:rFonts w:eastAsia="SimSun"/>
              </w:rPr>
            </w:pPr>
            <w:r w:rsidRPr="00AC3044">
              <w:rPr>
                <w:rFonts w:eastAsia="SimSun"/>
              </w:rPr>
              <w:t>8 мг/кг</w:t>
            </w:r>
          </w:p>
        </w:tc>
        <w:tc>
          <w:tcPr>
            <w:tcW w:w="1417" w:type="dxa"/>
            <w:vAlign w:val="center"/>
          </w:tcPr>
          <w:p w14:paraId="0E32A616" w14:textId="77777777" w:rsidR="0089207C" w:rsidRPr="00AC3044" w:rsidRDefault="0089207C" w:rsidP="002D3EBF">
            <w:pPr>
              <w:rPr>
                <w:rFonts w:eastAsia="SimSun"/>
              </w:rPr>
            </w:pPr>
            <w:r w:rsidRPr="00AC3044">
              <w:rPr>
                <w:rFonts w:eastAsia="SimSun"/>
              </w:rPr>
              <w:t>8 мг/кг</w:t>
            </w:r>
          </w:p>
        </w:tc>
        <w:tc>
          <w:tcPr>
            <w:tcW w:w="1843" w:type="dxa"/>
            <w:vAlign w:val="center"/>
          </w:tcPr>
          <w:p w14:paraId="481A6512" w14:textId="77777777" w:rsidR="0089207C" w:rsidRPr="00AC3044" w:rsidRDefault="0089207C" w:rsidP="002D3EBF">
            <w:pPr>
              <w:rPr>
                <w:rFonts w:eastAsia="SimSun"/>
              </w:rPr>
            </w:pPr>
            <w:r w:rsidRPr="00AC3044">
              <w:rPr>
                <w:rFonts w:eastAsia="SimSun"/>
              </w:rPr>
              <w:t>–1, +21</w:t>
            </w:r>
          </w:p>
        </w:tc>
        <w:tc>
          <w:tcPr>
            <w:tcW w:w="2835" w:type="dxa"/>
            <w:vAlign w:val="center"/>
          </w:tcPr>
          <w:p w14:paraId="37A43D87" w14:textId="77777777" w:rsidR="0089207C" w:rsidRPr="00AC3044" w:rsidRDefault="0089207C" w:rsidP="002D3EBF">
            <w:pPr>
              <w:rPr>
                <w:rFonts w:eastAsia="SimSun"/>
              </w:rPr>
            </w:pPr>
            <w:r w:rsidRPr="00AC3044">
              <w:rPr>
                <w:rFonts w:eastAsia="SimSun"/>
              </w:rPr>
              <w:t>В/в, в течение 1 часа</w:t>
            </w:r>
          </w:p>
        </w:tc>
      </w:tr>
      <w:tr w:rsidR="0089207C" w:rsidRPr="00AC3044" w14:paraId="46920206" w14:textId="77777777" w:rsidTr="002D3EBF">
        <w:trPr>
          <w:cantSplit/>
          <w:trHeight w:val="20"/>
        </w:trPr>
        <w:tc>
          <w:tcPr>
            <w:tcW w:w="709" w:type="dxa"/>
            <w:vMerge/>
            <w:textDirection w:val="btLr"/>
          </w:tcPr>
          <w:p w14:paraId="54052ED0" w14:textId="77777777" w:rsidR="0089207C" w:rsidRPr="00AC3044" w:rsidRDefault="0089207C" w:rsidP="002D3EBF">
            <w:pPr>
              <w:rPr>
                <w:rFonts w:eastAsia="SimSun"/>
              </w:rPr>
            </w:pPr>
          </w:p>
        </w:tc>
        <w:tc>
          <w:tcPr>
            <w:tcW w:w="2410" w:type="dxa"/>
            <w:vAlign w:val="center"/>
          </w:tcPr>
          <w:p w14:paraId="65E1D6E6" w14:textId="77777777" w:rsidR="0089207C" w:rsidRPr="00AC3044" w:rsidRDefault="0089207C" w:rsidP="002D3EBF">
            <w:pPr>
              <w:rPr>
                <w:rFonts w:eastAsia="SimSun"/>
              </w:rPr>
            </w:pPr>
            <w:r w:rsidRPr="00AC3044">
              <w:rPr>
                <w:rFonts w:eastAsia="SimSun"/>
              </w:rPr>
              <w:t>Абатацепт1</w:t>
            </w:r>
          </w:p>
        </w:tc>
        <w:tc>
          <w:tcPr>
            <w:tcW w:w="1276" w:type="dxa"/>
            <w:vAlign w:val="center"/>
          </w:tcPr>
          <w:p w14:paraId="23FE20A1" w14:textId="77777777" w:rsidR="0089207C" w:rsidRPr="00AC3044" w:rsidRDefault="0089207C" w:rsidP="002D3EBF">
            <w:pPr>
              <w:rPr>
                <w:rFonts w:eastAsia="SimSun"/>
              </w:rPr>
            </w:pPr>
            <w:r w:rsidRPr="00AC3044">
              <w:rPr>
                <w:rFonts w:eastAsia="SimSun"/>
              </w:rPr>
              <w:t>10 мг/кг</w:t>
            </w:r>
          </w:p>
        </w:tc>
        <w:tc>
          <w:tcPr>
            <w:tcW w:w="1417" w:type="dxa"/>
            <w:vAlign w:val="center"/>
          </w:tcPr>
          <w:p w14:paraId="6736899E" w14:textId="77777777" w:rsidR="0089207C" w:rsidRPr="00AC3044" w:rsidRDefault="0089207C" w:rsidP="002D3EBF">
            <w:pPr>
              <w:rPr>
                <w:rFonts w:eastAsia="SimSun"/>
              </w:rPr>
            </w:pPr>
            <w:r w:rsidRPr="00AC3044">
              <w:rPr>
                <w:rFonts w:eastAsia="SimSun"/>
              </w:rPr>
              <w:t>40 мг/кг</w:t>
            </w:r>
          </w:p>
        </w:tc>
        <w:tc>
          <w:tcPr>
            <w:tcW w:w="1843" w:type="dxa"/>
            <w:vAlign w:val="center"/>
          </w:tcPr>
          <w:p w14:paraId="324A5707" w14:textId="77777777" w:rsidR="0089207C" w:rsidRPr="00AC3044" w:rsidRDefault="0089207C" w:rsidP="002D3EBF">
            <w:pPr>
              <w:rPr>
                <w:rFonts w:eastAsia="SimSun"/>
              </w:rPr>
            </w:pPr>
            <w:r w:rsidRPr="00AC3044">
              <w:rPr>
                <w:rFonts w:eastAsia="SimSun"/>
              </w:rPr>
              <w:t>–1,+7,+14,+28</w:t>
            </w:r>
          </w:p>
        </w:tc>
        <w:tc>
          <w:tcPr>
            <w:tcW w:w="2835" w:type="dxa"/>
            <w:vAlign w:val="center"/>
          </w:tcPr>
          <w:p w14:paraId="68F97F35" w14:textId="77777777" w:rsidR="0089207C" w:rsidRPr="00AC3044" w:rsidRDefault="0089207C" w:rsidP="002D3EBF">
            <w:pPr>
              <w:rPr>
                <w:rFonts w:eastAsia="SimSun"/>
              </w:rPr>
            </w:pPr>
            <w:r w:rsidRPr="00AC3044">
              <w:rPr>
                <w:rFonts w:eastAsia="SimSun"/>
              </w:rPr>
              <w:t>В/в, в течение 30 мин</w:t>
            </w:r>
          </w:p>
        </w:tc>
      </w:tr>
      <w:tr w:rsidR="0089207C" w:rsidRPr="00AC3044" w14:paraId="0EABCAEC" w14:textId="77777777" w:rsidTr="002D3EBF">
        <w:trPr>
          <w:cantSplit/>
          <w:trHeight w:val="1797"/>
        </w:trPr>
        <w:tc>
          <w:tcPr>
            <w:tcW w:w="709" w:type="dxa"/>
            <w:textDirection w:val="btLr"/>
            <w:vAlign w:val="center"/>
          </w:tcPr>
          <w:p w14:paraId="6A647DFD" w14:textId="77777777" w:rsidR="0089207C" w:rsidRPr="00AC3044" w:rsidRDefault="0089207C" w:rsidP="002D3EBF">
            <w:pPr>
              <w:rPr>
                <w:rFonts w:eastAsia="SimSun"/>
              </w:rPr>
            </w:pPr>
            <w:r w:rsidRPr="00AC3044">
              <w:rPr>
                <w:rFonts w:eastAsia="SimSun"/>
              </w:rPr>
              <w:t>Ex vivo манипуляция  с трансплантатом</w:t>
            </w:r>
          </w:p>
        </w:tc>
        <w:tc>
          <w:tcPr>
            <w:tcW w:w="2410" w:type="dxa"/>
            <w:vAlign w:val="center"/>
          </w:tcPr>
          <w:p w14:paraId="2C423CA3" w14:textId="77777777" w:rsidR="0089207C" w:rsidRPr="00AC3044" w:rsidRDefault="0089207C" w:rsidP="002D3EBF">
            <w:pPr>
              <w:rPr>
                <w:rFonts w:eastAsia="SimSun"/>
              </w:rPr>
            </w:pPr>
            <w:r w:rsidRPr="00AC3044">
              <w:rPr>
                <w:rFonts w:eastAsia="SimSun"/>
              </w:rPr>
              <w:t>Комплексная услуга TCRαβ/CD19 деплеция</w:t>
            </w:r>
          </w:p>
        </w:tc>
        <w:tc>
          <w:tcPr>
            <w:tcW w:w="1276" w:type="dxa"/>
            <w:vAlign w:val="center"/>
          </w:tcPr>
          <w:p w14:paraId="041CF802" w14:textId="77777777" w:rsidR="0089207C" w:rsidRPr="00AC3044" w:rsidRDefault="0089207C" w:rsidP="002D3EBF">
            <w:pPr>
              <w:rPr>
                <w:rFonts w:eastAsia="SimSun"/>
              </w:rPr>
            </w:pPr>
            <w:r w:rsidRPr="00AC3044">
              <w:rPr>
                <w:rFonts w:eastAsia="SimSun"/>
              </w:rPr>
              <w:t>–</w:t>
            </w:r>
          </w:p>
        </w:tc>
        <w:tc>
          <w:tcPr>
            <w:tcW w:w="1417" w:type="dxa"/>
            <w:vAlign w:val="center"/>
          </w:tcPr>
          <w:p w14:paraId="66632071" w14:textId="77777777" w:rsidR="0089207C" w:rsidRPr="00AC3044" w:rsidRDefault="0089207C" w:rsidP="002D3EBF">
            <w:pPr>
              <w:rPr>
                <w:rFonts w:eastAsia="SimSun"/>
              </w:rPr>
            </w:pPr>
            <w:r w:rsidRPr="00AC3044">
              <w:rPr>
                <w:rFonts w:eastAsia="SimSun"/>
              </w:rPr>
              <w:t>–</w:t>
            </w:r>
          </w:p>
        </w:tc>
        <w:tc>
          <w:tcPr>
            <w:tcW w:w="1843" w:type="dxa"/>
            <w:vAlign w:val="center"/>
          </w:tcPr>
          <w:p w14:paraId="03E08657" w14:textId="77777777" w:rsidR="0089207C" w:rsidRPr="00AC3044" w:rsidRDefault="0089207C" w:rsidP="002D3EBF">
            <w:pPr>
              <w:rPr>
                <w:rFonts w:eastAsia="SimSun"/>
              </w:rPr>
            </w:pPr>
            <w:r w:rsidRPr="00AC3044">
              <w:rPr>
                <w:rFonts w:eastAsia="SimSun"/>
              </w:rPr>
              <w:t>0</w:t>
            </w:r>
          </w:p>
        </w:tc>
        <w:tc>
          <w:tcPr>
            <w:tcW w:w="2835" w:type="dxa"/>
            <w:vAlign w:val="center"/>
          </w:tcPr>
          <w:p w14:paraId="578E71AC" w14:textId="77777777" w:rsidR="0089207C" w:rsidRPr="00AC3044" w:rsidRDefault="0089207C" w:rsidP="002D3EBF">
            <w:pPr>
              <w:rPr>
                <w:rFonts w:eastAsia="SimSun"/>
              </w:rPr>
            </w:pPr>
            <w:r w:rsidRPr="00AC3044">
              <w:rPr>
                <w:rFonts w:eastAsia="SimSun"/>
              </w:rPr>
              <w:t>-</w:t>
            </w:r>
          </w:p>
        </w:tc>
      </w:tr>
      <w:tr w:rsidR="0089207C" w:rsidRPr="00AC3044" w14:paraId="15193651" w14:textId="77777777" w:rsidTr="002D3EBF">
        <w:trPr>
          <w:trHeight w:val="20"/>
        </w:trPr>
        <w:tc>
          <w:tcPr>
            <w:tcW w:w="10490" w:type="dxa"/>
            <w:gridSpan w:val="6"/>
          </w:tcPr>
          <w:p w14:paraId="6F9487BD" w14:textId="77777777" w:rsidR="0089207C" w:rsidRPr="00AC3044" w:rsidRDefault="0089207C" w:rsidP="002D3EBF">
            <w:pPr>
              <w:rPr>
                <w:rFonts w:eastAsia="SimSun"/>
              </w:rPr>
            </w:pPr>
            <w:r w:rsidRPr="00AC3044">
              <w:rPr>
                <w:rFonts w:eastAsia="SimSun"/>
              </w:rPr>
              <w:t>1 Раствор абатацепта нельзя использовать с оборудованием, имеющим в своём составе силикон.  Содержимое одного флакона растворяют в 10 мл воды для инъекций, используя одноразовый бессиликоновый шприц, имеющийся в комплекте с препаратом. Полученный концентрат немедленно разбавляют 0.9% раствором натрия хлорида для инъекций для получения инфузионного раствора, который немедленно вводится в/в за 30мин через инфузионную систему.  Абатацепт нельзя вводить одновременно с другими препаратами через одну инфузионную систему.</w:t>
            </w:r>
          </w:p>
          <w:p w14:paraId="30284CDB" w14:textId="77777777" w:rsidR="0089207C" w:rsidRPr="00AC3044" w:rsidRDefault="0089207C" w:rsidP="002D3EBF">
            <w:pPr>
              <w:rPr>
                <w:rFonts w:eastAsia="SimSun"/>
              </w:rPr>
            </w:pPr>
          </w:p>
        </w:tc>
      </w:tr>
    </w:tbl>
    <w:p w14:paraId="03458338" w14:textId="77777777" w:rsidR="0089207C" w:rsidRDefault="0089207C" w:rsidP="0089207C">
      <w:pPr>
        <w:rPr>
          <w:rFonts w:eastAsia="SimSun"/>
        </w:rPr>
      </w:pPr>
      <w:bookmarkStart w:id="290" w:name="_Toc44401246"/>
    </w:p>
    <w:p w14:paraId="1CC79AE4" w14:textId="77777777" w:rsidR="0089207C" w:rsidRPr="00C07B2E" w:rsidRDefault="0089207C" w:rsidP="0089207C">
      <w:pPr>
        <w:rPr>
          <w:rFonts w:eastAsia="SimSun"/>
        </w:rPr>
      </w:pPr>
      <w:r>
        <w:rPr>
          <w:rFonts w:eastAsia="SimSun"/>
        </w:rPr>
        <w:t>Таблица</w:t>
      </w:r>
      <w:r w:rsidRPr="00C07B2E">
        <w:rPr>
          <w:rFonts w:eastAsia="SimSun"/>
        </w:rPr>
        <w:t xml:space="preserve"> </w:t>
      </w:r>
      <w:r>
        <w:rPr>
          <w:rFonts w:eastAsia="SimSun"/>
        </w:rPr>
        <w:t>5.</w:t>
      </w:r>
      <w:r w:rsidRPr="00C07B2E">
        <w:rPr>
          <w:rFonts w:eastAsia="SimSun"/>
        </w:rPr>
        <w:t>4.4.  – CD34+ ("boost")</w:t>
      </w:r>
      <w:bookmarkEnd w:id="290"/>
    </w:p>
    <w:p w14:paraId="308DE25D" w14:textId="77777777" w:rsidR="0089207C" w:rsidRPr="00C07B2E" w:rsidRDefault="0089207C" w:rsidP="0089207C">
      <w:pPr>
        <w:rPr>
          <w:rFonts w:eastAsia="SimSun"/>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3"/>
        <w:gridCol w:w="1843"/>
        <w:gridCol w:w="1417"/>
        <w:gridCol w:w="1843"/>
        <w:gridCol w:w="2835"/>
      </w:tblGrid>
      <w:tr w:rsidR="0089207C" w:rsidRPr="00AC3044" w14:paraId="017E8FC5" w14:textId="77777777" w:rsidTr="002D3EBF">
        <w:trPr>
          <w:cantSplit/>
          <w:trHeight w:val="20"/>
          <w:tblHeader/>
        </w:trPr>
        <w:tc>
          <w:tcPr>
            <w:tcW w:w="709" w:type="dxa"/>
          </w:tcPr>
          <w:p w14:paraId="4E31E9D8" w14:textId="77777777" w:rsidR="0089207C" w:rsidRPr="00AC3044" w:rsidRDefault="0089207C" w:rsidP="002D3EBF">
            <w:pPr>
              <w:rPr>
                <w:rFonts w:eastAsia="SimSun"/>
              </w:rPr>
            </w:pPr>
          </w:p>
        </w:tc>
        <w:tc>
          <w:tcPr>
            <w:tcW w:w="1843" w:type="dxa"/>
            <w:vAlign w:val="center"/>
          </w:tcPr>
          <w:p w14:paraId="6BE4D80F" w14:textId="77777777" w:rsidR="0089207C" w:rsidRPr="00AC3044" w:rsidRDefault="0089207C" w:rsidP="002D3EBF">
            <w:pPr>
              <w:rPr>
                <w:rFonts w:eastAsia="SimSun"/>
              </w:rPr>
            </w:pPr>
            <w:r w:rsidRPr="00AC3044">
              <w:rPr>
                <w:rFonts w:eastAsia="SimSun"/>
              </w:rPr>
              <w:t>Препарат</w:t>
            </w:r>
          </w:p>
        </w:tc>
        <w:tc>
          <w:tcPr>
            <w:tcW w:w="1843" w:type="dxa"/>
            <w:vAlign w:val="center"/>
          </w:tcPr>
          <w:p w14:paraId="4541BA6D" w14:textId="77777777" w:rsidR="0089207C" w:rsidRPr="00AC3044" w:rsidRDefault="0089207C" w:rsidP="002D3EBF">
            <w:pPr>
              <w:rPr>
                <w:rFonts w:eastAsia="SimSun"/>
              </w:rPr>
            </w:pPr>
            <w:r w:rsidRPr="00AC3044">
              <w:rPr>
                <w:rFonts w:eastAsia="SimSun"/>
              </w:rPr>
              <w:t>Суточная доза</w:t>
            </w:r>
          </w:p>
        </w:tc>
        <w:tc>
          <w:tcPr>
            <w:tcW w:w="1417" w:type="dxa"/>
            <w:vAlign w:val="center"/>
          </w:tcPr>
          <w:p w14:paraId="0599AE8F" w14:textId="77777777" w:rsidR="0089207C" w:rsidRPr="00AC3044" w:rsidRDefault="0089207C" w:rsidP="002D3EBF">
            <w:pPr>
              <w:rPr>
                <w:rFonts w:eastAsia="SimSun"/>
              </w:rPr>
            </w:pPr>
            <w:r w:rsidRPr="00AC3044">
              <w:rPr>
                <w:rFonts w:eastAsia="SimSun"/>
              </w:rPr>
              <w:t>Курсовая доза</w:t>
            </w:r>
          </w:p>
        </w:tc>
        <w:tc>
          <w:tcPr>
            <w:tcW w:w="1843" w:type="dxa"/>
            <w:vAlign w:val="center"/>
          </w:tcPr>
          <w:p w14:paraId="73CA57F2" w14:textId="77777777" w:rsidR="0089207C" w:rsidRPr="00AC3044" w:rsidRDefault="0089207C" w:rsidP="002D3EBF">
            <w:pPr>
              <w:rPr>
                <w:rFonts w:eastAsia="SimSun"/>
              </w:rPr>
            </w:pPr>
            <w:r w:rsidRPr="00AC3044">
              <w:rPr>
                <w:rFonts w:eastAsia="SimSun"/>
              </w:rPr>
              <w:t>Дни введения</w:t>
            </w:r>
          </w:p>
        </w:tc>
        <w:tc>
          <w:tcPr>
            <w:tcW w:w="2835" w:type="dxa"/>
            <w:vAlign w:val="center"/>
          </w:tcPr>
          <w:p w14:paraId="349CE15E"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3F112114" w14:textId="77777777" w:rsidTr="002D3EBF">
        <w:trPr>
          <w:cantSplit/>
          <w:trHeight w:val="1831"/>
        </w:trPr>
        <w:tc>
          <w:tcPr>
            <w:tcW w:w="709" w:type="dxa"/>
            <w:textDirection w:val="btLr"/>
            <w:vAlign w:val="center"/>
          </w:tcPr>
          <w:p w14:paraId="6F5E2A04" w14:textId="77777777" w:rsidR="0089207C" w:rsidRPr="00AC3044" w:rsidRDefault="0089207C" w:rsidP="002D3EBF">
            <w:pPr>
              <w:rPr>
                <w:rFonts w:eastAsia="SimSun"/>
              </w:rPr>
            </w:pPr>
            <w:r w:rsidRPr="00AC3044">
              <w:rPr>
                <w:rFonts w:eastAsia="SimSun"/>
              </w:rPr>
              <w:t>Кондиционирование</w:t>
            </w:r>
          </w:p>
        </w:tc>
        <w:tc>
          <w:tcPr>
            <w:tcW w:w="9781" w:type="dxa"/>
            <w:gridSpan w:val="5"/>
            <w:vAlign w:val="center"/>
          </w:tcPr>
          <w:p w14:paraId="0A7ED72A" w14:textId="77777777" w:rsidR="0089207C" w:rsidRPr="00AC3044" w:rsidRDefault="0089207C" w:rsidP="002D3EBF">
            <w:pPr>
              <w:rPr>
                <w:rFonts w:eastAsia="SimSun"/>
              </w:rPr>
            </w:pPr>
            <w:r w:rsidRPr="00AC3044">
              <w:rPr>
                <w:rFonts w:eastAsia="SimSun"/>
              </w:rPr>
              <w:t>Без предварительного кондиционирования</w:t>
            </w:r>
          </w:p>
        </w:tc>
      </w:tr>
      <w:tr w:rsidR="0089207C" w:rsidRPr="00AC3044" w14:paraId="0348804C" w14:textId="77777777" w:rsidTr="002D3EBF">
        <w:trPr>
          <w:cantSplit/>
          <w:trHeight w:val="1688"/>
        </w:trPr>
        <w:tc>
          <w:tcPr>
            <w:tcW w:w="709" w:type="dxa"/>
            <w:vMerge w:val="restart"/>
            <w:textDirection w:val="btLr"/>
            <w:vAlign w:val="center"/>
          </w:tcPr>
          <w:p w14:paraId="0F2EC64C" w14:textId="77777777" w:rsidR="0089207C" w:rsidRPr="00AC3044" w:rsidRDefault="0089207C" w:rsidP="002D3EBF">
            <w:pPr>
              <w:rPr>
                <w:rFonts w:eastAsia="SimSun"/>
              </w:rPr>
            </w:pPr>
            <w:r w:rsidRPr="00AC3044">
              <w:rPr>
                <w:rFonts w:eastAsia="SimSun"/>
              </w:rPr>
              <w:t>Профилактика РТПХ</w:t>
            </w:r>
          </w:p>
        </w:tc>
        <w:tc>
          <w:tcPr>
            <w:tcW w:w="1843" w:type="dxa"/>
            <w:vAlign w:val="center"/>
          </w:tcPr>
          <w:p w14:paraId="107A16C5" w14:textId="77777777" w:rsidR="0089207C" w:rsidRPr="00AC3044" w:rsidRDefault="0089207C" w:rsidP="002D3EBF">
            <w:pPr>
              <w:rPr>
                <w:rFonts w:eastAsia="SimSun"/>
              </w:rPr>
            </w:pPr>
            <w:r w:rsidRPr="00AC3044">
              <w:rPr>
                <w:rFonts w:eastAsia="SimSun"/>
              </w:rPr>
              <w:t>Циклоспорин</w:t>
            </w:r>
          </w:p>
        </w:tc>
        <w:tc>
          <w:tcPr>
            <w:tcW w:w="1843" w:type="dxa"/>
            <w:vAlign w:val="center"/>
          </w:tcPr>
          <w:p w14:paraId="36C85025" w14:textId="77777777" w:rsidR="0089207C" w:rsidRPr="00AC3044" w:rsidRDefault="0089207C" w:rsidP="002D3EBF">
            <w:pPr>
              <w:rPr>
                <w:rFonts w:eastAsia="SimSun"/>
              </w:rPr>
            </w:pPr>
            <w:r w:rsidRPr="00AC3044">
              <w:rPr>
                <w:rFonts w:eastAsia="SimSun"/>
              </w:rPr>
              <w:t>3 мг/кг</w:t>
            </w:r>
          </w:p>
        </w:tc>
        <w:tc>
          <w:tcPr>
            <w:tcW w:w="1417" w:type="dxa"/>
            <w:vAlign w:val="center"/>
          </w:tcPr>
          <w:p w14:paraId="3DB76758" w14:textId="77777777" w:rsidR="0089207C" w:rsidRPr="00AC3044" w:rsidRDefault="0089207C" w:rsidP="002D3EBF">
            <w:pPr>
              <w:rPr>
                <w:rFonts w:eastAsia="SimSun"/>
              </w:rPr>
            </w:pPr>
            <w:r w:rsidRPr="00AC3044">
              <w:rPr>
                <w:rFonts w:eastAsia="SimSun"/>
              </w:rPr>
              <w:t>–</w:t>
            </w:r>
          </w:p>
        </w:tc>
        <w:tc>
          <w:tcPr>
            <w:tcW w:w="1843" w:type="dxa"/>
            <w:vAlign w:val="center"/>
          </w:tcPr>
          <w:p w14:paraId="400474E2" w14:textId="77777777" w:rsidR="0089207C" w:rsidRPr="00AC3044" w:rsidRDefault="0089207C" w:rsidP="002D3EBF">
            <w:pPr>
              <w:rPr>
                <w:rFonts w:eastAsia="SimSun"/>
              </w:rPr>
            </w:pPr>
            <w:r w:rsidRPr="00AC3044">
              <w:rPr>
                <w:rFonts w:eastAsia="SimSun"/>
              </w:rPr>
              <w:t>С +5 дня по +90 день затем постепенное снижение к +180 дню</w:t>
            </w:r>
          </w:p>
        </w:tc>
        <w:tc>
          <w:tcPr>
            <w:tcW w:w="2835" w:type="dxa"/>
            <w:vAlign w:val="center"/>
          </w:tcPr>
          <w:p w14:paraId="0604DABF" w14:textId="77777777" w:rsidR="0089207C" w:rsidRPr="00AC3044" w:rsidRDefault="0089207C" w:rsidP="002D3EBF">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72099">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89207C" w:rsidRPr="00AC3044" w14:paraId="63895881" w14:textId="77777777" w:rsidTr="002D3EBF">
        <w:trPr>
          <w:cantSplit/>
          <w:trHeight w:val="20"/>
        </w:trPr>
        <w:tc>
          <w:tcPr>
            <w:tcW w:w="709" w:type="dxa"/>
            <w:vMerge/>
            <w:textDirection w:val="btLr"/>
          </w:tcPr>
          <w:p w14:paraId="0F6E8BD9" w14:textId="77777777" w:rsidR="0089207C" w:rsidRPr="00AC3044" w:rsidRDefault="0089207C" w:rsidP="002D3EBF">
            <w:pPr>
              <w:rPr>
                <w:rFonts w:eastAsia="SimSun"/>
              </w:rPr>
            </w:pPr>
          </w:p>
        </w:tc>
        <w:tc>
          <w:tcPr>
            <w:tcW w:w="1843" w:type="dxa"/>
            <w:vAlign w:val="center"/>
          </w:tcPr>
          <w:p w14:paraId="1EF7CC11" w14:textId="77777777" w:rsidR="0089207C" w:rsidRPr="00AC3044" w:rsidRDefault="0089207C" w:rsidP="002D3EBF">
            <w:pPr>
              <w:rPr>
                <w:rFonts w:eastAsia="SimSun"/>
              </w:rPr>
            </w:pPr>
            <w:r w:rsidRPr="00AC3044">
              <w:rPr>
                <w:rFonts w:eastAsia="SimSun"/>
              </w:rPr>
              <w:t>Микофенолата мофетил</w:t>
            </w:r>
          </w:p>
        </w:tc>
        <w:tc>
          <w:tcPr>
            <w:tcW w:w="1843" w:type="dxa"/>
            <w:vAlign w:val="center"/>
          </w:tcPr>
          <w:p w14:paraId="235C768E" w14:textId="77777777" w:rsidR="0089207C" w:rsidRPr="00AC3044" w:rsidRDefault="0089207C" w:rsidP="002D3EBF">
            <w:pPr>
              <w:rPr>
                <w:rFonts w:eastAsia="SimSun"/>
              </w:rPr>
            </w:pPr>
            <w:r w:rsidRPr="00AC3044">
              <w:rPr>
                <w:rFonts w:eastAsia="SimSun"/>
              </w:rPr>
              <w:t>30 мг/кг</w:t>
            </w:r>
          </w:p>
        </w:tc>
        <w:tc>
          <w:tcPr>
            <w:tcW w:w="1417" w:type="dxa"/>
            <w:vAlign w:val="center"/>
          </w:tcPr>
          <w:p w14:paraId="2D3CD8EA" w14:textId="77777777" w:rsidR="0089207C" w:rsidRPr="00AC3044" w:rsidRDefault="0089207C" w:rsidP="002D3EBF">
            <w:pPr>
              <w:rPr>
                <w:rFonts w:eastAsia="SimSun"/>
              </w:rPr>
            </w:pPr>
            <w:r w:rsidRPr="00AC3044">
              <w:rPr>
                <w:rFonts w:eastAsia="SimSun"/>
              </w:rPr>
              <w:t>–</w:t>
            </w:r>
          </w:p>
        </w:tc>
        <w:tc>
          <w:tcPr>
            <w:tcW w:w="1843" w:type="dxa"/>
            <w:vAlign w:val="center"/>
          </w:tcPr>
          <w:p w14:paraId="125A4CBF" w14:textId="77777777" w:rsidR="0089207C" w:rsidRPr="00AC3044" w:rsidRDefault="0089207C" w:rsidP="002D3EBF">
            <w:pPr>
              <w:rPr>
                <w:rFonts w:eastAsia="SimSun"/>
              </w:rPr>
            </w:pPr>
            <w:r w:rsidRPr="00AC3044">
              <w:rPr>
                <w:rFonts w:eastAsia="SimSun"/>
              </w:rPr>
              <w:t>С +5 по +90 день</w:t>
            </w:r>
          </w:p>
        </w:tc>
        <w:tc>
          <w:tcPr>
            <w:tcW w:w="2835" w:type="dxa"/>
            <w:vAlign w:val="center"/>
          </w:tcPr>
          <w:p w14:paraId="2D3EF6A8" w14:textId="77777777" w:rsidR="0089207C" w:rsidRPr="00AC3044" w:rsidRDefault="0089207C" w:rsidP="002D3EBF">
            <w:pPr>
              <w:rPr>
                <w:rFonts w:eastAsia="SimSun"/>
              </w:rPr>
            </w:pPr>
            <w:r w:rsidRPr="00AC3044">
              <w:rPr>
                <w:rFonts w:eastAsia="SimSun"/>
              </w:rPr>
              <w:t xml:space="preserve">Внутрь, суммарная суточная доза разделяется на 2- 4 приема (не более 3г/сут).  </w:t>
            </w:r>
          </w:p>
        </w:tc>
      </w:tr>
      <w:tr w:rsidR="0089207C" w:rsidRPr="00AC3044" w14:paraId="330820AA" w14:textId="77777777" w:rsidTr="002D3EBF">
        <w:trPr>
          <w:cantSplit/>
          <w:trHeight w:val="1797"/>
        </w:trPr>
        <w:tc>
          <w:tcPr>
            <w:tcW w:w="709" w:type="dxa"/>
            <w:textDirection w:val="btLr"/>
            <w:vAlign w:val="center"/>
          </w:tcPr>
          <w:p w14:paraId="27154606" w14:textId="77777777" w:rsidR="0089207C" w:rsidRPr="00AC3044" w:rsidRDefault="0089207C" w:rsidP="002D3EBF">
            <w:pPr>
              <w:rPr>
                <w:rFonts w:eastAsia="SimSun"/>
              </w:rPr>
            </w:pPr>
            <w:r w:rsidRPr="00AC3044">
              <w:rPr>
                <w:rFonts w:eastAsia="SimSun"/>
              </w:rPr>
              <w:t>Ex vivo манипуляция  с трансплантатом</w:t>
            </w:r>
          </w:p>
        </w:tc>
        <w:tc>
          <w:tcPr>
            <w:tcW w:w="1843" w:type="dxa"/>
            <w:vAlign w:val="center"/>
          </w:tcPr>
          <w:p w14:paraId="762C2300" w14:textId="77777777" w:rsidR="0089207C" w:rsidRPr="00AC3044" w:rsidRDefault="0089207C" w:rsidP="002D3EBF">
            <w:pPr>
              <w:rPr>
                <w:rFonts w:eastAsia="SimSun"/>
              </w:rPr>
            </w:pPr>
            <w:r w:rsidRPr="00AC3044">
              <w:rPr>
                <w:rFonts w:eastAsia="SimSun"/>
              </w:rPr>
              <w:t>CD34+ селекция (A18.05.017.004)</w:t>
            </w:r>
          </w:p>
        </w:tc>
        <w:tc>
          <w:tcPr>
            <w:tcW w:w="1843" w:type="dxa"/>
            <w:vAlign w:val="center"/>
          </w:tcPr>
          <w:p w14:paraId="1647BA81" w14:textId="77777777" w:rsidR="0089207C" w:rsidRPr="00AC3044" w:rsidRDefault="0089207C" w:rsidP="002D3EBF">
            <w:pPr>
              <w:rPr>
                <w:rFonts w:eastAsia="SimSun"/>
              </w:rPr>
            </w:pPr>
            <w:r w:rsidRPr="00AC3044">
              <w:rPr>
                <w:rFonts w:eastAsia="SimSun"/>
              </w:rPr>
              <w:t>–</w:t>
            </w:r>
          </w:p>
        </w:tc>
        <w:tc>
          <w:tcPr>
            <w:tcW w:w="1417" w:type="dxa"/>
            <w:vAlign w:val="center"/>
          </w:tcPr>
          <w:p w14:paraId="58CA91F2" w14:textId="77777777" w:rsidR="0089207C" w:rsidRPr="00AC3044" w:rsidRDefault="0089207C" w:rsidP="002D3EBF">
            <w:pPr>
              <w:rPr>
                <w:rFonts w:eastAsia="SimSun"/>
              </w:rPr>
            </w:pPr>
            <w:r w:rsidRPr="00AC3044">
              <w:rPr>
                <w:rFonts w:eastAsia="SimSun"/>
              </w:rPr>
              <w:t>–</w:t>
            </w:r>
          </w:p>
        </w:tc>
        <w:tc>
          <w:tcPr>
            <w:tcW w:w="1843" w:type="dxa"/>
            <w:vAlign w:val="center"/>
          </w:tcPr>
          <w:p w14:paraId="6E4DDBC2" w14:textId="77777777" w:rsidR="0089207C" w:rsidRPr="00AC3044" w:rsidRDefault="0089207C" w:rsidP="002D3EBF">
            <w:pPr>
              <w:rPr>
                <w:rFonts w:eastAsia="SimSun"/>
              </w:rPr>
            </w:pPr>
            <w:r w:rsidRPr="00AC3044">
              <w:rPr>
                <w:rFonts w:eastAsia="SimSun"/>
              </w:rPr>
              <w:t>0</w:t>
            </w:r>
          </w:p>
        </w:tc>
        <w:tc>
          <w:tcPr>
            <w:tcW w:w="2835" w:type="dxa"/>
            <w:vAlign w:val="center"/>
          </w:tcPr>
          <w:p w14:paraId="3BF4A26E" w14:textId="77777777" w:rsidR="0089207C" w:rsidRPr="00AC3044" w:rsidRDefault="0089207C" w:rsidP="002D3EBF">
            <w:pPr>
              <w:rPr>
                <w:rFonts w:eastAsia="SimSun"/>
              </w:rPr>
            </w:pPr>
            <w:r w:rsidRPr="00AC3044">
              <w:rPr>
                <w:rFonts w:eastAsia="SimSun"/>
              </w:rPr>
              <w:t>–</w:t>
            </w:r>
          </w:p>
        </w:tc>
      </w:tr>
      <w:tr w:rsidR="0089207C" w:rsidRPr="00AC3044" w14:paraId="117DE9C2" w14:textId="77777777" w:rsidTr="002D3EBF">
        <w:trPr>
          <w:cantSplit/>
          <w:trHeight w:val="1420"/>
        </w:trPr>
        <w:tc>
          <w:tcPr>
            <w:tcW w:w="709" w:type="dxa"/>
            <w:textDirection w:val="btLr"/>
            <w:vAlign w:val="center"/>
          </w:tcPr>
          <w:p w14:paraId="59D9F744" w14:textId="77777777" w:rsidR="0089207C" w:rsidRPr="00AC3044" w:rsidRDefault="0089207C" w:rsidP="002D3EBF">
            <w:pPr>
              <w:rPr>
                <w:rFonts w:eastAsia="SimSun"/>
              </w:rPr>
            </w:pPr>
            <w:r w:rsidRPr="00AC3044">
              <w:rPr>
                <w:rFonts w:eastAsia="SimSun"/>
              </w:rPr>
              <w:t>Сопроводительная терапия</w:t>
            </w:r>
          </w:p>
        </w:tc>
        <w:tc>
          <w:tcPr>
            <w:tcW w:w="1843" w:type="dxa"/>
            <w:vAlign w:val="center"/>
          </w:tcPr>
          <w:p w14:paraId="19EFDFEB" w14:textId="77777777" w:rsidR="0089207C" w:rsidRPr="00AC3044" w:rsidRDefault="0089207C" w:rsidP="002D3EBF">
            <w:pPr>
              <w:rPr>
                <w:rFonts w:eastAsia="SimSun"/>
              </w:rPr>
            </w:pPr>
            <w:r w:rsidRPr="00AC3044">
              <w:rPr>
                <w:rFonts w:eastAsia="SimSun"/>
              </w:rPr>
              <w:t>Урсодезоксихолевая кислота</w:t>
            </w:r>
          </w:p>
        </w:tc>
        <w:tc>
          <w:tcPr>
            <w:tcW w:w="1843" w:type="dxa"/>
            <w:vAlign w:val="center"/>
          </w:tcPr>
          <w:p w14:paraId="226E09A6" w14:textId="77777777" w:rsidR="0089207C" w:rsidRPr="00AC3044" w:rsidRDefault="0089207C" w:rsidP="002D3EBF">
            <w:pPr>
              <w:rPr>
                <w:rFonts w:eastAsia="SimSun"/>
              </w:rPr>
            </w:pPr>
            <w:r w:rsidRPr="00AC3044">
              <w:rPr>
                <w:rFonts w:eastAsia="SimSun"/>
              </w:rPr>
              <w:t>12 мг/кг</w:t>
            </w:r>
          </w:p>
        </w:tc>
        <w:tc>
          <w:tcPr>
            <w:tcW w:w="1417" w:type="dxa"/>
            <w:vAlign w:val="center"/>
          </w:tcPr>
          <w:p w14:paraId="7274DF85" w14:textId="77777777" w:rsidR="0089207C" w:rsidRPr="00AC3044" w:rsidRDefault="0089207C" w:rsidP="002D3EBF">
            <w:pPr>
              <w:rPr>
                <w:rFonts w:eastAsia="SimSun"/>
              </w:rPr>
            </w:pPr>
            <w:r w:rsidRPr="00AC3044">
              <w:rPr>
                <w:rFonts w:eastAsia="SimSun"/>
              </w:rPr>
              <w:t>–</w:t>
            </w:r>
          </w:p>
        </w:tc>
        <w:tc>
          <w:tcPr>
            <w:tcW w:w="1843" w:type="dxa"/>
            <w:vAlign w:val="center"/>
          </w:tcPr>
          <w:p w14:paraId="08AFF6B1" w14:textId="77777777" w:rsidR="0089207C" w:rsidRPr="00AC3044" w:rsidRDefault="0089207C" w:rsidP="002D3EBF">
            <w:pPr>
              <w:rPr>
                <w:rFonts w:eastAsia="SimSun"/>
              </w:rPr>
            </w:pPr>
            <w:r w:rsidRPr="00AC3044">
              <w:rPr>
                <w:rFonts w:eastAsia="SimSun"/>
              </w:rPr>
              <w:t>С 0 по +180 день</w:t>
            </w:r>
          </w:p>
        </w:tc>
        <w:tc>
          <w:tcPr>
            <w:tcW w:w="2835" w:type="dxa"/>
            <w:vAlign w:val="center"/>
          </w:tcPr>
          <w:p w14:paraId="6197A410" w14:textId="77777777" w:rsidR="0089207C" w:rsidRPr="00AC3044" w:rsidRDefault="0089207C" w:rsidP="002D3EBF">
            <w:pPr>
              <w:rPr>
                <w:rFonts w:eastAsia="SimSun"/>
              </w:rPr>
            </w:pPr>
            <w:r w:rsidRPr="00AC3044">
              <w:rPr>
                <w:rFonts w:eastAsia="SimSun"/>
              </w:rPr>
              <w:t>Внутрь, суточная доза разделяется на 1–2 приема (вечер или день и вечер)</w:t>
            </w:r>
          </w:p>
        </w:tc>
      </w:tr>
    </w:tbl>
    <w:p w14:paraId="267D7931" w14:textId="77777777" w:rsidR="0089207C" w:rsidRPr="00C07B2E" w:rsidRDefault="0089207C" w:rsidP="0089207C">
      <w:pPr>
        <w:rPr>
          <w:rFonts w:eastAsia="SimSun"/>
        </w:rPr>
        <w:sectPr w:rsidR="0089207C" w:rsidRPr="00C07B2E" w:rsidSect="00980822">
          <w:type w:val="continuous"/>
          <w:pgSz w:w="11907" w:h="16839" w:code="9"/>
          <w:pgMar w:top="1134" w:right="850" w:bottom="1134" w:left="1701" w:header="709" w:footer="567" w:gutter="0"/>
          <w:cols w:space="708"/>
          <w:docGrid w:linePitch="360"/>
        </w:sectPr>
      </w:pPr>
    </w:p>
    <w:p w14:paraId="369F0BBE" w14:textId="77777777" w:rsidR="0089207C" w:rsidRDefault="0089207C" w:rsidP="0089207C">
      <w:pPr>
        <w:rPr>
          <w:rFonts w:eastAsia="SimSun"/>
        </w:rPr>
      </w:pPr>
      <w:bookmarkStart w:id="291" w:name="_Toc44401247"/>
    </w:p>
    <w:p w14:paraId="0E9241AE" w14:textId="77777777" w:rsidR="0089207C" w:rsidRPr="000F445E" w:rsidRDefault="0089207C" w:rsidP="0089207C">
      <w:pPr>
        <w:rPr>
          <w:rFonts w:eastAsia="SimSun"/>
          <w:b/>
        </w:rPr>
      </w:pPr>
      <w:r>
        <w:rPr>
          <w:rFonts w:eastAsia="SimSun"/>
          <w:b/>
        </w:rPr>
        <w:t>6</w:t>
      </w:r>
      <w:r w:rsidRPr="000F445E">
        <w:rPr>
          <w:rFonts w:eastAsia="SimSun"/>
          <w:b/>
        </w:rPr>
        <w:t>.  Сопроводительная терапия</w:t>
      </w:r>
      <w:bookmarkEnd w:id="291"/>
    </w:p>
    <w:p w14:paraId="26A0A403" w14:textId="77777777" w:rsidR="0089207C" w:rsidRPr="00C07B2E" w:rsidRDefault="0089207C" w:rsidP="00B415FE">
      <w:pPr>
        <w:ind w:firstLine="709"/>
        <w:rPr>
          <w:rFonts w:eastAsia="SimSun"/>
        </w:rPr>
      </w:pPr>
      <w:r w:rsidRPr="00C07B2E">
        <w:rPr>
          <w:rFonts w:eastAsia="SimSun"/>
        </w:rPr>
        <w:t xml:space="preserve">Основные препараты для сопроводительной терапии и их варианты применения указаны в </w:t>
      </w:r>
      <w:r>
        <w:rPr>
          <w:rFonts w:eastAsia="SimSun"/>
        </w:rPr>
        <w:t>Таблице</w:t>
      </w:r>
      <w:r w:rsidRPr="00C07B2E">
        <w:rPr>
          <w:rFonts w:eastAsia="SimSun"/>
        </w:rPr>
        <w:t xml:space="preserve"> </w:t>
      </w:r>
      <w:r>
        <w:rPr>
          <w:rFonts w:eastAsia="SimSun"/>
        </w:rPr>
        <w:t>6</w:t>
      </w:r>
      <w:r w:rsidRPr="00C07B2E">
        <w:rPr>
          <w:rFonts w:eastAsia="SimSun"/>
        </w:rPr>
        <w:t>.1. Допускается использование как отдельных вариантнов так и их комбинаций.</w:t>
      </w:r>
    </w:p>
    <w:p w14:paraId="7BC0D11E" w14:textId="77777777" w:rsidR="0089207C" w:rsidRPr="00C07B2E" w:rsidRDefault="0089207C" w:rsidP="00B415FE">
      <w:pPr>
        <w:ind w:firstLine="709"/>
        <w:rPr>
          <w:rFonts w:eastAsia="SimSun"/>
        </w:rPr>
      </w:pPr>
    </w:p>
    <w:p w14:paraId="2F23576C" w14:textId="77777777" w:rsidR="0089207C" w:rsidRPr="000F445E" w:rsidRDefault="0089207C" w:rsidP="00B415FE">
      <w:pPr>
        <w:ind w:firstLine="709"/>
        <w:rPr>
          <w:rFonts w:eastAsia="SimSun"/>
        </w:rPr>
      </w:pPr>
      <w:bookmarkStart w:id="292" w:name="_Toc44401250"/>
      <w:r w:rsidRPr="000F445E">
        <w:rPr>
          <w:rFonts w:eastAsia="SimSun"/>
        </w:rPr>
        <w:t xml:space="preserve">Таблица </w:t>
      </w:r>
      <w:r>
        <w:rPr>
          <w:rFonts w:eastAsia="SimSun"/>
        </w:rPr>
        <w:t>6</w:t>
      </w:r>
      <w:r w:rsidRPr="000F445E">
        <w:rPr>
          <w:rFonts w:eastAsia="SimSun"/>
        </w:rPr>
        <w:t>.1 Основные препараты для сопроводительной терапии и их варианты применения</w:t>
      </w:r>
      <w:bookmarkEnd w:id="292"/>
    </w:p>
    <w:p w14:paraId="79DD96E2" w14:textId="77777777" w:rsidR="0089207C" w:rsidRPr="00C07B2E" w:rsidRDefault="0089207C" w:rsidP="0089207C">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9"/>
        <w:gridCol w:w="1830"/>
        <w:gridCol w:w="1270"/>
        <w:gridCol w:w="946"/>
        <w:gridCol w:w="2271"/>
        <w:gridCol w:w="1593"/>
      </w:tblGrid>
      <w:tr w:rsidR="0089207C" w:rsidRPr="00AC3044" w14:paraId="49462350" w14:textId="77777777" w:rsidTr="002D3EBF">
        <w:trPr>
          <w:cantSplit/>
          <w:trHeight w:val="464"/>
        </w:trPr>
        <w:tc>
          <w:tcPr>
            <w:tcW w:w="168" w:type="pct"/>
            <w:tcBorders>
              <w:top w:val="single" w:sz="4" w:space="0" w:color="auto"/>
              <w:left w:val="single" w:sz="4" w:space="0" w:color="auto"/>
              <w:bottom w:val="single" w:sz="4" w:space="0" w:color="auto"/>
              <w:right w:val="single" w:sz="4" w:space="0" w:color="auto"/>
            </w:tcBorders>
            <w:vAlign w:val="center"/>
          </w:tcPr>
          <w:p w14:paraId="44F25556" w14:textId="77777777" w:rsidR="0089207C" w:rsidRPr="00AC3044" w:rsidRDefault="0089207C" w:rsidP="002D3EBF">
            <w:pPr>
              <w:rPr>
                <w:rFonts w:eastAsia="SimSun"/>
              </w:rPr>
            </w:pPr>
            <w:r w:rsidRPr="00AC3044">
              <w:rPr>
                <w:rFonts w:eastAsia="SimSun"/>
              </w:rPr>
              <w:t>Вариант</w:t>
            </w:r>
          </w:p>
        </w:tc>
        <w:tc>
          <w:tcPr>
            <w:tcW w:w="1133" w:type="pct"/>
            <w:tcBorders>
              <w:top w:val="single" w:sz="4" w:space="0" w:color="auto"/>
              <w:left w:val="single" w:sz="4" w:space="0" w:color="auto"/>
              <w:bottom w:val="single" w:sz="4" w:space="0" w:color="auto"/>
              <w:right w:val="single" w:sz="4" w:space="0" w:color="auto"/>
            </w:tcBorders>
            <w:vAlign w:val="center"/>
          </w:tcPr>
          <w:p w14:paraId="1FC09A30" w14:textId="77777777" w:rsidR="0089207C" w:rsidRPr="00AC3044" w:rsidRDefault="0089207C" w:rsidP="002D3EBF">
            <w:pPr>
              <w:rPr>
                <w:rFonts w:eastAsia="SimSun"/>
              </w:rPr>
            </w:pPr>
            <w:r w:rsidRPr="00AC3044">
              <w:rPr>
                <w:rFonts w:eastAsia="SimSun"/>
              </w:rPr>
              <w:t>Препарат</w:t>
            </w:r>
          </w:p>
        </w:tc>
        <w:tc>
          <w:tcPr>
            <w:tcW w:w="614" w:type="pct"/>
            <w:tcBorders>
              <w:top w:val="single" w:sz="4" w:space="0" w:color="auto"/>
              <w:left w:val="single" w:sz="4" w:space="0" w:color="auto"/>
              <w:bottom w:val="single" w:sz="4" w:space="0" w:color="auto"/>
              <w:right w:val="single" w:sz="4" w:space="0" w:color="auto"/>
            </w:tcBorders>
            <w:vAlign w:val="center"/>
          </w:tcPr>
          <w:p w14:paraId="3AE7E407" w14:textId="77777777" w:rsidR="0089207C" w:rsidRPr="00AC3044" w:rsidRDefault="0089207C" w:rsidP="002D3EBF">
            <w:pPr>
              <w:rPr>
                <w:rFonts w:eastAsia="SimSun"/>
              </w:rPr>
            </w:pPr>
            <w:r w:rsidRPr="00AC3044">
              <w:rPr>
                <w:rFonts w:eastAsia="SimSun"/>
              </w:rPr>
              <w:t>Суточная доза</w:t>
            </w:r>
          </w:p>
        </w:tc>
        <w:tc>
          <w:tcPr>
            <w:tcW w:w="486" w:type="pct"/>
            <w:tcBorders>
              <w:top w:val="single" w:sz="4" w:space="0" w:color="auto"/>
              <w:left w:val="single" w:sz="4" w:space="0" w:color="auto"/>
              <w:bottom w:val="single" w:sz="4" w:space="0" w:color="auto"/>
              <w:right w:val="single" w:sz="4" w:space="0" w:color="auto"/>
            </w:tcBorders>
            <w:vAlign w:val="center"/>
          </w:tcPr>
          <w:p w14:paraId="6D23AA0C" w14:textId="77777777" w:rsidR="0089207C" w:rsidRPr="00AC3044" w:rsidRDefault="0089207C" w:rsidP="002D3EBF">
            <w:pPr>
              <w:rPr>
                <w:rFonts w:eastAsia="SimSun"/>
              </w:rPr>
            </w:pPr>
            <w:r w:rsidRPr="00AC3044">
              <w:rPr>
                <w:rFonts w:eastAsia="SimSun"/>
              </w:rPr>
              <w:t>Курсовая доза</w:t>
            </w:r>
          </w:p>
        </w:tc>
        <w:tc>
          <w:tcPr>
            <w:tcW w:w="1370" w:type="pct"/>
            <w:tcBorders>
              <w:top w:val="single" w:sz="4" w:space="0" w:color="auto"/>
              <w:left w:val="single" w:sz="4" w:space="0" w:color="auto"/>
              <w:bottom w:val="single" w:sz="4" w:space="0" w:color="auto"/>
              <w:right w:val="single" w:sz="4" w:space="0" w:color="auto"/>
            </w:tcBorders>
            <w:vAlign w:val="center"/>
          </w:tcPr>
          <w:p w14:paraId="0C3F6F78" w14:textId="77777777" w:rsidR="0089207C" w:rsidRPr="00AC3044" w:rsidRDefault="0089207C" w:rsidP="002D3EBF">
            <w:pPr>
              <w:rPr>
                <w:rFonts w:eastAsia="SimSun"/>
              </w:rPr>
            </w:pPr>
            <w:r w:rsidRPr="00AC3044">
              <w:rPr>
                <w:rFonts w:eastAsia="SimSun"/>
              </w:rPr>
              <w:t>Дни введения</w:t>
            </w:r>
          </w:p>
        </w:tc>
        <w:tc>
          <w:tcPr>
            <w:tcW w:w="1229" w:type="pct"/>
            <w:tcBorders>
              <w:top w:val="single" w:sz="4" w:space="0" w:color="auto"/>
              <w:left w:val="single" w:sz="4" w:space="0" w:color="auto"/>
              <w:bottom w:val="single" w:sz="4" w:space="0" w:color="auto"/>
              <w:right w:val="single" w:sz="4" w:space="0" w:color="auto"/>
            </w:tcBorders>
            <w:vAlign w:val="center"/>
          </w:tcPr>
          <w:p w14:paraId="78A411A7" w14:textId="77777777" w:rsidR="0089207C" w:rsidRPr="00AC3044" w:rsidRDefault="0089207C" w:rsidP="002D3EBF">
            <w:pPr>
              <w:rPr>
                <w:rFonts w:eastAsia="SimSun"/>
              </w:rPr>
            </w:pPr>
            <w:r w:rsidRPr="00AC3044">
              <w:rPr>
                <w:rFonts w:eastAsia="SimSun"/>
              </w:rPr>
              <w:t>Порядок введения</w:t>
            </w:r>
          </w:p>
        </w:tc>
      </w:tr>
      <w:tr w:rsidR="0089207C" w:rsidRPr="00AC3044" w14:paraId="0DDC3FDF" w14:textId="77777777" w:rsidTr="002D3EBF">
        <w:trPr>
          <w:cantSplit/>
          <w:trHeight w:val="464"/>
        </w:trPr>
        <w:tc>
          <w:tcPr>
            <w:tcW w:w="5000" w:type="pct"/>
            <w:gridSpan w:val="6"/>
          </w:tcPr>
          <w:p w14:paraId="22C5806B" w14:textId="77777777" w:rsidR="0089207C" w:rsidRPr="00AC3044" w:rsidRDefault="0089207C" w:rsidP="002D3EBF">
            <w:pPr>
              <w:rPr>
                <w:rFonts w:eastAsia="SimSun"/>
              </w:rPr>
            </w:pPr>
            <w:r w:rsidRPr="00AC3044">
              <w:rPr>
                <w:rFonts w:eastAsia="SimSun"/>
              </w:rPr>
              <w:t>Инфузионная терапия</w:t>
            </w:r>
          </w:p>
        </w:tc>
      </w:tr>
      <w:tr w:rsidR="0089207C" w:rsidRPr="00AC3044" w14:paraId="29015718" w14:textId="77777777" w:rsidTr="002D3EBF">
        <w:trPr>
          <w:cantSplit/>
          <w:trHeight w:val="464"/>
        </w:trPr>
        <w:tc>
          <w:tcPr>
            <w:tcW w:w="168" w:type="pct"/>
          </w:tcPr>
          <w:p w14:paraId="558B0DED" w14:textId="77777777" w:rsidR="0089207C" w:rsidRPr="00AC3044" w:rsidRDefault="0089207C" w:rsidP="002D3EBF">
            <w:pPr>
              <w:rPr>
                <w:rFonts w:eastAsia="SimSun"/>
              </w:rPr>
            </w:pPr>
            <w:r w:rsidRPr="00AC3044">
              <w:rPr>
                <w:rFonts w:eastAsia="SimSun"/>
              </w:rPr>
              <w:t>1</w:t>
            </w:r>
          </w:p>
        </w:tc>
        <w:tc>
          <w:tcPr>
            <w:tcW w:w="1133" w:type="pct"/>
            <w:vAlign w:val="center"/>
          </w:tcPr>
          <w:p w14:paraId="52A2149D" w14:textId="77777777" w:rsidR="0089207C" w:rsidRPr="00AC3044" w:rsidRDefault="0089207C" w:rsidP="002D3EBF">
            <w:pPr>
              <w:rPr>
                <w:rFonts w:eastAsia="SimSun"/>
              </w:rPr>
            </w:pPr>
            <w:r w:rsidRPr="00AC3044">
              <w:rPr>
                <w:rFonts w:eastAsia="SimSun"/>
              </w:rPr>
              <w:t xml:space="preserve">Натрия бикарбонат </w:t>
            </w:r>
          </w:p>
        </w:tc>
        <w:tc>
          <w:tcPr>
            <w:tcW w:w="614" w:type="pct"/>
            <w:vAlign w:val="center"/>
          </w:tcPr>
          <w:p w14:paraId="2EFDAADF" w14:textId="77777777" w:rsidR="0089207C" w:rsidRPr="00AC3044" w:rsidRDefault="0089207C" w:rsidP="002D3EBF">
            <w:pPr>
              <w:rPr>
                <w:rFonts w:eastAsia="SimSun"/>
              </w:rPr>
            </w:pPr>
            <w:r w:rsidRPr="00AC3044">
              <w:rPr>
                <w:rFonts w:eastAsia="SimSun"/>
              </w:rPr>
              <w:t>1200 мг/литр инфузионной терапии</w:t>
            </w:r>
          </w:p>
        </w:tc>
        <w:tc>
          <w:tcPr>
            <w:tcW w:w="486" w:type="pct"/>
            <w:vAlign w:val="center"/>
          </w:tcPr>
          <w:p w14:paraId="5490ECB3" w14:textId="77777777" w:rsidR="0089207C" w:rsidRPr="00AC3044" w:rsidRDefault="0089207C" w:rsidP="002D3EBF">
            <w:pPr>
              <w:rPr>
                <w:rFonts w:eastAsia="SimSun"/>
              </w:rPr>
            </w:pPr>
            <w:r w:rsidRPr="00AC3044">
              <w:rPr>
                <w:rFonts w:eastAsia="SimSun"/>
              </w:rPr>
              <w:t>–</w:t>
            </w:r>
          </w:p>
        </w:tc>
        <w:tc>
          <w:tcPr>
            <w:tcW w:w="1370" w:type="pct"/>
            <w:vAlign w:val="center"/>
          </w:tcPr>
          <w:p w14:paraId="56D57800" w14:textId="77777777" w:rsidR="0089207C" w:rsidRPr="00AC3044" w:rsidRDefault="0089207C" w:rsidP="002D3EBF">
            <w:pPr>
              <w:rPr>
                <w:rFonts w:eastAsia="SimSun"/>
              </w:rPr>
            </w:pPr>
            <w:r w:rsidRPr="00AC3044">
              <w:rPr>
                <w:rFonts w:eastAsia="SimSun"/>
              </w:rPr>
              <w:t xml:space="preserve">С дня -7 по -2 день </w:t>
            </w:r>
          </w:p>
        </w:tc>
        <w:tc>
          <w:tcPr>
            <w:tcW w:w="1229" w:type="pct"/>
            <w:vAlign w:val="center"/>
          </w:tcPr>
          <w:p w14:paraId="56698432" w14:textId="77777777" w:rsidR="0089207C" w:rsidRPr="00AC3044" w:rsidRDefault="0089207C" w:rsidP="002D3EBF">
            <w:pPr>
              <w:rPr>
                <w:rFonts w:eastAsia="SimSun"/>
              </w:rPr>
            </w:pPr>
            <w:r w:rsidRPr="00AC3044">
              <w:rPr>
                <w:rFonts w:eastAsia="SimSun"/>
              </w:rPr>
              <w:t>В/в инфузия в течение 3 часов, 30 мл 4% р-ра натрия бикарбоната на 1 литр инфузионной терапии сразу после внутривенного введения химиопрепаратов</w:t>
            </w:r>
          </w:p>
        </w:tc>
      </w:tr>
      <w:tr w:rsidR="0089207C" w:rsidRPr="00AC3044" w14:paraId="0C2CBC16" w14:textId="77777777" w:rsidTr="002D3EBF">
        <w:trPr>
          <w:cantSplit/>
          <w:trHeight w:val="464"/>
        </w:trPr>
        <w:tc>
          <w:tcPr>
            <w:tcW w:w="168" w:type="pct"/>
          </w:tcPr>
          <w:p w14:paraId="337700E5" w14:textId="77777777" w:rsidR="0089207C" w:rsidRPr="00AC3044" w:rsidRDefault="0089207C" w:rsidP="002D3EBF">
            <w:pPr>
              <w:rPr>
                <w:rFonts w:eastAsia="SimSun"/>
              </w:rPr>
            </w:pPr>
            <w:r w:rsidRPr="00AC3044">
              <w:rPr>
                <w:rFonts w:eastAsia="SimSun"/>
              </w:rPr>
              <w:t>2</w:t>
            </w:r>
          </w:p>
        </w:tc>
        <w:tc>
          <w:tcPr>
            <w:tcW w:w="1133" w:type="pct"/>
            <w:vAlign w:val="center"/>
          </w:tcPr>
          <w:p w14:paraId="776A2E79" w14:textId="77777777" w:rsidR="0089207C" w:rsidRPr="00AC3044" w:rsidRDefault="0089207C" w:rsidP="002D3EBF">
            <w:pPr>
              <w:rPr>
                <w:rFonts w:eastAsia="SimSun"/>
              </w:rPr>
            </w:pPr>
            <w:r w:rsidRPr="00AC3044">
              <w:rPr>
                <w:rFonts w:eastAsia="SimSun"/>
              </w:rPr>
              <w:t xml:space="preserve">Раствор 5% глюкозы </w:t>
            </w:r>
          </w:p>
        </w:tc>
        <w:tc>
          <w:tcPr>
            <w:tcW w:w="2470" w:type="pct"/>
            <w:gridSpan w:val="3"/>
            <w:vAlign w:val="center"/>
          </w:tcPr>
          <w:p w14:paraId="3F85DDA1" w14:textId="77777777" w:rsidR="0089207C" w:rsidRPr="00AC3044" w:rsidRDefault="0089207C" w:rsidP="002D3EBF">
            <w:pPr>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0D944521" w14:textId="77777777" w:rsidR="0089207C" w:rsidRPr="00AC3044" w:rsidRDefault="0089207C" w:rsidP="002D3EBF">
            <w:pPr>
              <w:rPr>
                <w:rFonts w:eastAsia="SimSun"/>
              </w:rPr>
            </w:pPr>
            <w:r w:rsidRPr="00AC3044">
              <w:rPr>
                <w:rFonts w:eastAsia="SimSun"/>
              </w:rPr>
              <w:t>В/в инфузия</w:t>
            </w:r>
          </w:p>
        </w:tc>
      </w:tr>
      <w:tr w:rsidR="0089207C" w:rsidRPr="00AC3044" w14:paraId="6A97DF4E" w14:textId="77777777" w:rsidTr="002D3EBF">
        <w:trPr>
          <w:cantSplit/>
          <w:trHeight w:val="464"/>
        </w:trPr>
        <w:tc>
          <w:tcPr>
            <w:tcW w:w="168" w:type="pct"/>
          </w:tcPr>
          <w:p w14:paraId="2B385B34" w14:textId="77777777" w:rsidR="0089207C" w:rsidRPr="00AC3044" w:rsidRDefault="0089207C" w:rsidP="002D3EBF">
            <w:pPr>
              <w:rPr>
                <w:rFonts w:eastAsia="SimSun"/>
              </w:rPr>
            </w:pPr>
            <w:r w:rsidRPr="00AC3044">
              <w:rPr>
                <w:rFonts w:eastAsia="SimSun"/>
              </w:rPr>
              <w:t>3</w:t>
            </w:r>
          </w:p>
        </w:tc>
        <w:tc>
          <w:tcPr>
            <w:tcW w:w="1133" w:type="pct"/>
            <w:vAlign w:val="center"/>
          </w:tcPr>
          <w:p w14:paraId="2C0FB11C" w14:textId="77777777" w:rsidR="0089207C" w:rsidRPr="00AC3044" w:rsidRDefault="0089207C" w:rsidP="002D3EBF">
            <w:pPr>
              <w:rPr>
                <w:rFonts w:eastAsia="SimSun"/>
              </w:rPr>
            </w:pPr>
            <w:r w:rsidRPr="00AC3044">
              <w:rPr>
                <w:rFonts w:eastAsia="SimSun"/>
              </w:rPr>
              <w:t>Раствор хлорида натрия (0,9% NaCl)</w:t>
            </w:r>
          </w:p>
        </w:tc>
        <w:tc>
          <w:tcPr>
            <w:tcW w:w="2470" w:type="pct"/>
            <w:gridSpan w:val="3"/>
            <w:vAlign w:val="center"/>
          </w:tcPr>
          <w:p w14:paraId="710A4321" w14:textId="77777777" w:rsidR="0089207C" w:rsidRPr="00AC3044" w:rsidRDefault="0089207C" w:rsidP="002D3EBF">
            <w:pPr>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31BE3F87" w14:textId="77777777" w:rsidR="0089207C" w:rsidRPr="00AC3044" w:rsidRDefault="0089207C" w:rsidP="002D3EBF">
            <w:pPr>
              <w:rPr>
                <w:rFonts w:eastAsia="SimSun"/>
              </w:rPr>
            </w:pPr>
            <w:r w:rsidRPr="00AC3044">
              <w:rPr>
                <w:rFonts w:eastAsia="SimSun"/>
              </w:rPr>
              <w:t>В/в инфузия</w:t>
            </w:r>
          </w:p>
        </w:tc>
      </w:tr>
      <w:tr w:rsidR="0089207C" w:rsidRPr="00AC3044" w14:paraId="40ACAFEB" w14:textId="77777777" w:rsidTr="002D3EBF">
        <w:trPr>
          <w:cantSplit/>
          <w:trHeight w:val="464"/>
        </w:trPr>
        <w:tc>
          <w:tcPr>
            <w:tcW w:w="168" w:type="pct"/>
          </w:tcPr>
          <w:p w14:paraId="5F5E9531" w14:textId="77777777" w:rsidR="0089207C" w:rsidRPr="00AC3044" w:rsidRDefault="0089207C" w:rsidP="002D3EBF">
            <w:pPr>
              <w:rPr>
                <w:rFonts w:eastAsia="SimSun"/>
              </w:rPr>
            </w:pPr>
            <w:r w:rsidRPr="00AC3044">
              <w:rPr>
                <w:rFonts w:eastAsia="SimSun"/>
              </w:rPr>
              <w:t>4</w:t>
            </w:r>
          </w:p>
        </w:tc>
        <w:tc>
          <w:tcPr>
            <w:tcW w:w="1133" w:type="pct"/>
            <w:vAlign w:val="center"/>
          </w:tcPr>
          <w:p w14:paraId="4A8E5B2E" w14:textId="77777777" w:rsidR="0089207C" w:rsidRPr="00AC3044" w:rsidRDefault="0089207C" w:rsidP="002D3EBF">
            <w:pPr>
              <w:rPr>
                <w:rFonts w:eastAsia="SimSun"/>
              </w:rPr>
            </w:pPr>
            <w:r w:rsidRPr="00AC3044">
              <w:rPr>
                <w:rFonts w:eastAsia="SimSun"/>
              </w:rPr>
              <w:t>Раствор Рингера</w:t>
            </w:r>
          </w:p>
        </w:tc>
        <w:tc>
          <w:tcPr>
            <w:tcW w:w="2470" w:type="pct"/>
            <w:gridSpan w:val="3"/>
            <w:vAlign w:val="center"/>
          </w:tcPr>
          <w:p w14:paraId="524CE082" w14:textId="77777777" w:rsidR="0089207C" w:rsidRPr="00AC3044" w:rsidRDefault="0089207C" w:rsidP="002D3EBF">
            <w:pPr>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6A4DAB2C" w14:textId="77777777" w:rsidR="0089207C" w:rsidRPr="00AC3044" w:rsidRDefault="0089207C" w:rsidP="002D3EBF">
            <w:pPr>
              <w:rPr>
                <w:rFonts w:eastAsia="SimSun"/>
              </w:rPr>
            </w:pPr>
            <w:r w:rsidRPr="00AC3044">
              <w:rPr>
                <w:rFonts w:eastAsia="SimSun"/>
              </w:rPr>
              <w:t>В/в инфузия</w:t>
            </w:r>
          </w:p>
        </w:tc>
      </w:tr>
      <w:tr w:rsidR="0089207C" w:rsidRPr="00AC3044" w14:paraId="57AC5263" w14:textId="77777777" w:rsidTr="002D3EBF">
        <w:trPr>
          <w:cantSplit/>
          <w:trHeight w:val="464"/>
        </w:trPr>
        <w:tc>
          <w:tcPr>
            <w:tcW w:w="168" w:type="pct"/>
          </w:tcPr>
          <w:p w14:paraId="3BE5AAA8" w14:textId="77777777" w:rsidR="0089207C" w:rsidRPr="00AC3044" w:rsidRDefault="0089207C" w:rsidP="002D3EBF">
            <w:pPr>
              <w:rPr>
                <w:rFonts w:eastAsia="SimSun"/>
              </w:rPr>
            </w:pPr>
            <w:r w:rsidRPr="00AC3044">
              <w:rPr>
                <w:rFonts w:eastAsia="SimSun"/>
              </w:rPr>
              <w:t>5</w:t>
            </w:r>
          </w:p>
        </w:tc>
        <w:tc>
          <w:tcPr>
            <w:tcW w:w="1133" w:type="pct"/>
            <w:vAlign w:val="center"/>
          </w:tcPr>
          <w:p w14:paraId="74D0B22A" w14:textId="77777777" w:rsidR="0089207C" w:rsidRPr="00AC3044" w:rsidRDefault="0089207C" w:rsidP="002D3EBF">
            <w:pPr>
              <w:rPr>
                <w:rFonts w:eastAsia="SimSun"/>
              </w:rPr>
            </w:pPr>
            <w:r w:rsidRPr="00AC3044">
              <w:rPr>
                <w:rFonts w:eastAsia="SimSun"/>
              </w:rPr>
              <w:t>Калия и магния аспарагинат</w:t>
            </w:r>
          </w:p>
        </w:tc>
        <w:tc>
          <w:tcPr>
            <w:tcW w:w="2470" w:type="pct"/>
            <w:gridSpan w:val="3"/>
            <w:vAlign w:val="center"/>
          </w:tcPr>
          <w:p w14:paraId="054FEBE0" w14:textId="77777777" w:rsidR="0089207C" w:rsidRPr="00AC3044" w:rsidRDefault="0089207C" w:rsidP="002D3EBF">
            <w:pPr>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6618922A" w14:textId="77777777" w:rsidR="0089207C" w:rsidRPr="00AC3044" w:rsidRDefault="0089207C" w:rsidP="002D3EBF">
            <w:pPr>
              <w:rPr>
                <w:rFonts w:eastAsia="SimSun"/>
              </w:rPr>
            </w:pPr>
            <w:r w:rsidRPr="00AC3044">
              <w:rPr>
                <w:rFonts w:eastAsia="SimSun"/>
              </w:rPr>
              <w:t>В/в инфузия</w:t>
            </w:r>
          </w:p>
        </w:tc>
      </w:tr>
      <w:tr w:rsidR="0089207C" w:rsidRPr="00AC3044" w14:paraId="0A7D0416" w14:textId="77777777" w:rsidTr="002D3EBF">
        <w:trPr>
          <w:cantSplit/>
          <w:trHeight w:val="464"/>
        </w:trPr>
        <w:tc>
          <w:tcPr>
            <w:tcW w:w="168" w:type="pct"/>
          </w:tcPr>
          <w:p w14:paraId="08E186D8" w14:textId="77777777" w:rsidR="0089207C" w:rsidRPr="00AC3044" w:rsidRDefault="0089207C" w:rsidP="002D3EBF">
            <w:pPr>
              <w:rPr>
                <w:rFonts w:eastAsia="SimSun"/>
              </w:rPr>
            </w:pPr>
            <w:r w:rsidRPr="00AC3044">
              <w:rPr>
                <w:rFonts w:eastAsia="SimSun"/>
              </w:rPr>
              <w:t>6</w:t>
            </w:r>
          </w:p>
        </w:tc>
        <w:tc>
          <w:tcPr>
            <w:tcW w:w="1133" w:type="pct"/>
            <w:vAlign w:val="center"/>
          </w:tcPr>
          <w:p w14:paraId="4EFECF01" w14:textId="77777777" w:rsidR="0089207C" w:rsidRPr="00AC3044" w:rsidRDefault="0089207C" w:rsidP="002D3EBF">
            <w:pPr>
              <w:rPr>
                <w:rFonts w:eastAsia="SimSun"/>
              </w:rPr>
            </w:pPr>
            <w:r w:rsidRPr="00AC3044">
              <w:rPr>
                <w:rFonts w:eastAsia="SimSun"/>
              </w:rPr>
              <w:t>4% хлорида калия (KCl)</w:t>
            </w:r>
          </w:p>
        </w:tc>
        <w:tc>
          <w:tcPr>
            <w:tcW w:w="2470" w:type="pct"/>
            <w:gridSpan w:val="3"/>
            <w:vAlign w:val="center"/>
          </w:tcPr>
          <w:p w14:paraId="20583E98" w14:textId="77777777" w:rsidR="0089207C" w:rsidRPr="00AC3044" w:rsidRDefault="0089207C" w:rsidP="002D3EBF">
            <w:pPr>
              <w:rPr>
                <w:rFonts w:eastAsia="SimSun"/>
              </w:rPr>
            </w:pPr>
            <w:r w:rsidRPr="00AC3044">
              <w:rPr>
                <w:rFonts w:eastAsia="SimSun"/>
              </w:rPr>
              <w:t>В соответсвии с лабораторными показателями, в среднем 14-52 дня</w:t>
            </w:r>
          </w:p>
        </w:tc>
        <w:tc>
          <w:tcPr>
            <w:tcW w:w="1229" w:type="pct"/>
            <w:vAlign w:val="center"/>
          </w:tcPr>
          <w:p w14:paraId="74660FE7" w14:textId="77777777" w:rsidR="0089207C" w:rsidRPr="00AC3044" w:rsidRDefault="0089207C" w:rsidP="002D3EBF">
            <w:pPr>
              <w:rPr>
                <w:rFonts w:eastAsia="SimSun"/>
              </w:rPr>
            </w:pPr>
            <w:r w:rsidRPr="00AC3044">
              <w:rPr>
                <w:rFonts w:eastAsia="SimSun"/>
              </w:rPr>
              <w:t>В/в инфузия</w:t>
            </w:r>
          </w:p>
        </w:tc>
      </w:tr>
      <w:tr w:rsidR="0089207C" w:rsidRPr="00AC3044" w14:paraId="3EE8F05B" w14:textId="77777777" w:rsidTr="002D3EBF">
        <w:trPr>
          <w:cantSplit/>
          <w:trHeight w:val="464"/>
        </w:trPr>
        <w:tc>
          <w:tcPr>
            <w:tcW w:w="168" w:type="pct"/>
          </w:tcPr>
          <w:p w14:paraId="79127A82" w14:textId="77777777" w:rsidR="0089207C" w:rsidRPr="00AC3044" w:rsidRDefault="0089207C" w:rsidP="002D3EBF">
            <w:pPr>
              <w:rPr>
                <w:rFonts w:eastAsia="SimSun"/>
              </w:rPr>
            </w:pPr>
            <w:r w:rsidRPr="00AC3044">
              <w:rPr>
                <w:rFonts w:eastAsia="SimSun"/>
              </w:rPr>
              <w:t>7</w:t>
            </w:r>
          </w:p>
        </w:tc>
        <w:tc>
          <w:tcPr>
            <w:tcW w:w="1133" w:type="pct"/>
            <w:vAlign w:val="center"/>
          </w:tcPr>
          <w:p w14:paraId="54F2C81C" w14:textId="77777777" w:rsidR="0089207C" w:rsidRPr="00AC3044" w:rsidRDefault="0089207C" w:rsidP="002D3EBF">
            <w:pPr>
              <w:rPr>
                <w:rFonts w:eastAsia="SimSun"/>
              </w:rPr>
            </w:pPr>
            <w:r w:rsidRPr="00AC3044">
              <w:rPr>
                <w:rFonts w:eastAsia="SimSun"/>
              </w:rPr>
              <w:t>25% сульфат магния (MgSO4)</w:t>
            </w:r>
          </w:p>
        </w:tc>
        <w:tc>
          <w:tcPr>
            <w:tcW w:w="2470" w:type="pct"/>
            <w:gridSpan w:val="3"/>
            <w:vAlign w:val="center"/>
          </w:tcPr>
          <w:p w14:paraId="00F3AFD2" w14:textId="77777777" w:rsidR="0089207C" w:rsidRPr="00AC3044" w:rsidRDefault="0089207C" w:rsidP="002D3EBF">
            <w:pPr>
              <w:rPr>
                <w:rFonts w:eastAsia="SimSun"/>
              </w:rPr>
            </w:pPr>
            <w:r w:rsidRPr="00AC3044">
              <w:rPr>
                <w:rFonts w:eastAsia="SimSun"/>
              </w:rPr>
              <w:t>В соответсвии с лабораторными показателями, в среднем 14-52 дня</w:t>
            </w:r>
          </w:p>
        </w:tc>
        <w:tc>
          <w:tcPr>
            <w:tcW w:w="1229" w:type="pct"/>
            <w:vAlign w:val="center"/>
          </w:tcPr>
          <w:p w14:paraId="1FACB002" w14:textId="77777777" w:rsidR="0089207C" w:rsidRPr="00AC3044" w:rsidRDefault="0089207C" w:rsidP="002D3EBF">
            <w:pPr>
              <w:rPr>
                <w:rFonts w:eastAsia="SimSun"/>
              </w:rPr>
            </w:pPr>
            <w:r w:rsidRPr="00AC3044">
              <w:rPr>
                <w:rFonts w:eastAsia="SimSun"/>
              </w:rPr>
              <w:t>В/в инфузия</w:t>
            </w:r>
          </w:p>
        </w:tc>
      </w:tr>
      <w:tr w:rsidR="0089207C" w:rsidRPr="00AC3044" w14:paraId="4D219998" w14:textId="77777777" w:rsidTr="002D3EBF">
        <w:trPr>
          <w:cantSplit/>
          <w:trHeight w:val="464"/>
        </w:trPr>
        <w:tc>
          <w:tcPr>
            <w:tcW w:w="5000" w:type="pct"/>
            <w:gridSpan w:val="6"/>
          </w:tcPr>
          <w:p w14:paraId="095997CF" w14:textId="77777777" w:rsidR="0089207C" w:rsidRPr="00AC3044" w:rsidRDefault="0089207C" w:rsidP="002D3EBF">
            <w:pPr>
              <w:rPr>
                <w:rFonts w:eastAsia="SimSun"/>
              </w:rPr>
            </w:pPr>
            <w:r w:rsidRPr="00AC3044">
              <w:rPr>
                <w:rFonts w:eastAsia="SimSun"/>
              </w:rPr>
              <w:t>Антиэметическая терапия</w:t>
            </w:r>
          </w:p>
        </w:tc>
      </w:tr>
      <w:tr w:rsidR="0089207C" w:rsidRPr="00AC3044" w14:paraId="1C26DE4E" w14:textId="77777777" w:rsidTr="002D3EBF">
        <w:trPr>
          <w:cantSplit/>
          <w:trHeight w:val="464"/>
        </w:trPr>
        <w:tc>
          <w:tcPr>
            <w:tcW w:w="168" w:type="pct"/>
          </w:tcPr>
          <w:p w14:paraId="1D0E3B4E" w14:textId="77777777" w:rsidR="0089207C" w:rsidRPr="00AC3044" w:rsidRDefault="0089207C" w:rsidP="002D3EBF">
            <w:pPr>
              <w:rPr>
                <w:rFonts w:eastAsia="SimSun"/>
              </w:rPr>
            </w:pPr>
            <w:r w:rsidRPr="00AC3044">
              <w:rPr>
                <w:rFonts w:eastAsia="SimSun"/>
              </w:rPr>
              <w:t>1</w:t>
            </w:r>
          </w:p>
        </w:tc>
        <w:tc>
          <w:tcPr>
            <w:tcW w:w="1133" w:type="pct"/>
            <w:vAlign w:val="center"/>
          </w:tcPr>
          <w:p w14:paraId="4605E611" w14:textId="77777777" w:rsidR="0089207C" w:rsidRPr="00AC3044" w:rsidRDefault="0089207C" w:rsidP="002D3EBF">
            <w:pPr>
              <w:rPr>
                <w:rFonts w:eastAsia="SimSun"/>
              </w:rPr>
            </w:pPr>
            <w:r w:rsidRPr="00AC3044">
              <w:rPr>
                <w:rFonts w:eastAsia="SimSun"/>
              </w:rPr>
              <w:t xml:space="preserve">Ондансетрон </w:t>
            </w:r>
          </w:p>
        </w:tc>
        <w:tc>
          <w:tcPr>
            <w:tcW w:w="614" w:type="pct"/>
            <w:vAlign w:val="center"/>
          </w:tcPr>
          <w:p w14:paraId="6B5805FF" w14:textId="77777777" w:rsidR="0089207C" w:rsidRPr="00AC3044" w:rsidRDefault="0089207C" w:rsidP="002D3EBF">
            <w:pPr>
              <w:rPr>
                <w:rFonts w:eastAsia="SimSun"/>
              </w:rPr>
            </w:pPr>
            <w:r w:rsidRPr="00AC3044">
              <w:rPr>
                <w:rFonts w:eastAsia="SimSun"/>
              </w:rPr>
              <w:t>24 мг</w:t>
            </w:r>
          </w:p>
        </w:tc>
        <w:tc>
          <w:tcPr>
            <w:tcW w:w="486" w:type="pct"/>
            <w:vAlign w:val="center"/>
          </w:tcPr>
          <w:p w14:paraId="2AEAF017" w14:textId="77777777" w:rsidR="0089207C" w:rsidRPr="00AC3044" w:rsidRDefault="0089207C" w:rsidP="002D3EBF">
            <w:pPr>
              <w:rPr>
                <w:rFonts w:eastAsia="SimSun"/>
              </w:rPr>
            </w:pPr>
            <w:r w:rsidRPr="00AC3044">
              <w:rPr>
                <w:rFonts w:eastAsia="SimSun"/>
              </w:rPr>
              <w:t>–</w:t>
            </w:r>
          </w:p>
        </w:tc>
        <w:tc>
          <w:tcPr>
            <w:tcW w:w="1370" w:type="pct"/>
            <w:vAlign w:val="center"/>
          </w:tcPr>
          <w:p w14:paraId="12095DED" w14:textId="77777777" w:rsidR="0089207C" w:rsidRPr="00AC3044" w:rsidRDefault="0089207C" w:rsidP="002D3EBF">
            <w:pPr>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0C651016" w14:textId="77777777" w:rsidR="0089207C" w:rsidRPr="00AC3044" w:rsidRDefault="0089207C" w:rsidP="002D3EBF">
            <w:pPr>
              <w:rPr>
                <w:rFonts w:eastAsia="SimSun"/>
              </w:rPr>
            </w:pPr>
            <w:r w:rsidRPr="00AC3044">
              <w:rPr>
                <w:rFonts w:eastAsia="SimSun"/>
              </w:rPr>
              <w:t xml:space="preserve">В/в, 8 мг 3 раза/сут  </w:t>
            </w:r>
          </w:p>
        </w:tc>
      </w:tr>
      <w:tr w:rsidR="0089207C" w:rsidRPr="00AC3044" w14:paraId="2544F907" w14:textId="77777777" w:rsidTr="002D3EBF">
        <w:trPr>
          <w:cantSplit/>
          <w:trHeight w:val="464"/>
        </w:trPr>
        <w:tc>
          <w:tcPr>
            <w:tcW w:w="168" w:type="pct"/>
          </w:tcPr>
          <w:p w14:paraId="1A2B26A9" w14:textId="77777777" w:rsidR="0089207C" w:rsidRPr="00AC3044" w:rsidRDefault="0089207C" w:rsidP="002D3EBF">
            <w:pPr>
              <w:rPr>
                <w:rFonts w:eastAsia="SimSun"/>
              </w:rPr>
            </w:pPr>
            <w:r w:rsidRPr="00AC3044">
              <w:rPr>
                <w:rFonts w:eastAsia="SimSun"/>
              </w:rPr>
              <w:t>2</w:t>
            </w:r>
          </w:p>
        </w:tc>
        <w:tc>
          <w:tcPr>
            <w:tcW w:w="1133" w:type="pct"/>
            <w:vAlign w:val="center"/>
          </w:tcPr>
          <w:p w14:paraId="0476F073" w14:textId="77777777" w:rsidR="0089207C" w:rsidRPr="00AC3044" w:rsidRDefault="0089207C" w:rsidP="002D3EBF">
            <w:pPr>
              <w:rPr>
                <w:rFonts w:eastAsia="SimSun"/>
              </w:rPr>
            </w:pPr>
            <w:r w:rsidRPr="00AC3044">
              <w:rPr>
                <w:rFonts w:eastAsia="SimSun"/>
              </w:rPr>
              <w:t>Гранисетрон</w:t>
            </w:r>
          </w:p>
        </w:tc>
        <w:tc>
          <w:tcPr>
            <w:tcW w:w="614" w:type="pct"/>
            <w:vAlign w:val="center"/>
          </w:tcPr>
          <w:p w14:paraId="61F31117" w14:textId="77777777" w:rsidR="0089207C" w:rsidRPr="00AC3044" w:rsidRDefault="0089207C" w:rsidP="002D3EBF">
            <w:pPr>
              <w:rPr>
                <w:rFonts w:eastAsia="SimSun"/>
              </w:rPr>
            </w:pPr>
            <w:r w:rsidRPr="00AC3044">
              <w:rPr>
                <w:rFonts w:eastAsia="SimSun"/>
              </w:rPr>
              <w:t>9 мг</w:t>
            </w:r>
          </w:p>
        </w:tc>
        <w:tc>
          <w:tcPr>
            <w:tcW w:w="486" w:type="pct"/>
            <w:vAlign w:val="center"/>
          </w:tcPr>
          <w:p w14:paraId="44E38ABA" w14:textId="77777777" w:rsidR="0089207C" w:rsidRPr="00AC3044" w:rsidRDefault="0089207C" w:rsidP="002D3EBF">
            <w:pPr>
              <w:rPr>
                <w:rFonts w:eastAsia="SimSun"/>
              </w:rPr>
            </w:pPr>
            <w:r w:rsidRPr="00AC3044">
              <w:rPr>
                <w:rFonts w:eastAsia="SimSun"/>
              </w:rPr>
              <w:t>–</w:t>
            </w:r>
          </w:p>
        </w:tc>
        <w:tc>
          <w:tcPr>
            <w:tcW w:w="1370" w:type="pct"/>
            <w:vAlign w:val="center"/>
          </w:tcPr>
          <w:p w14:paraId="684DE692" w14:textId="77777777" w:rsidR="0089207C" w:rsidRPr="00AC3044" w:rsidRDefault="0089207C" w:rsidP="002D3EBF">
            <w:pPr>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0F93698D" w14:textId="77777777" w:rsidR="0089207C" w:rsidRPr="00AC3044" w:rsidRDefault="0089207C" w:rsidP="002D3EBF">
            <w:pPr>
              <w:rPr>
                <w:rFonts w:eastAsia="SimSun"/>
              </w:rPr>
            </w:pPr>
            <w:r w:rsidRPr="00AC3044">
              <w:rPr>
                <w:rFonts w:eastAsia="SimSun"/>
              </w:rPr>
              <w:t xml:space="preserve">В/в, 3 мг 3 раза/сут  </w:t>
            </w:r>
          </w:p>
        </w:tc>
      </w:tr>
      <w:tr w:rsidR="0089207C" w:rsidRPr="00AC3044" w14:paraId="15E621FD" w14:textId="77777777" w:rsidTr="002D3EBF">
        <w:trPr>
          <w:cantSplit/>
          <w:trHeight w:val="464"/>
        </w:trPr>
        <w:tc>
          <w:tcPr>
            <w:tcW w:w="168" w:type="pct"/>
          </w:tcPr>
          <w:p w14:paraId="62123ADD" w14:textId="77777777" w:rsidR="0089207C" w:rsidRPr="00AC3044" w:rsidRDefault="0089207C" w:rsidP="002D3EBF">
            <w:pPr>
              <w:rPr>
                <w:rFonts w:eastAsia="SimSun"/>
              </w:rPr>
            </w:pPr>
            <w:r w:rsidRPr="00AC3044">
              <w:rPr>
                <w:rFonts w:eastAsia="SimSun"/>
              </w:rPr>
              <w:t>3</w:t>
            </w:r>
          </w:p>
        </w:tc>
        <w:tc>
          <w:tcPr>
            <w:tcW w:w="1133" w:type="pct"/>
            <w:vAlign w:val="center"/>
          </w:tcPr>
          <w:p w14:paraId="70690866" w14:textId="77777777" w:rsidR="0089207C" w:rsidRPr="00AC3044" w:rsidRDefault="0089207C" w:rsidP="002D3EBF">
            <w:pPr>
              <w:rPr>
                <w:rFonts w:eastAsia="SimSun"/>
              </w:rPr>
            </w:pPr>
            <w:r w:rsidRPr="00AC3044">
              <w:rPr>
                <w:rFonts w:eastAsia="SimSun"/>
              </w:rPr>
              <w:t>Трописетрон</w:t>
            </w:r>
          </w:p>
        </w:tc>
        <w:tc>
          <w:tcPr>
            <w:tcW w:w="614" w:type="pct"/>
            <w:vAlign w:val="center"/>
          </w:tcPr>
          <w:p w14:paraId="08742246" w14:textId="77777777" w:rsidR="0089207C" w:rsidRPr="00AC3044" w:rsidRDefault="0089207C" w:rsidP="002D3EBF">
            <w:pPr>
              <w:rPr>
                <w:rFonts w:eastAsia="SimSun"/>
              </w:rPr>
            </w:pPr>
            <w:r w:rsidRPr="00AC3044">
              <w:rPr>
                <w:rFonts w:eastAsia="SimSun"/>
              </w:rPr>
              <w:t>5 мг</w:t>
            </w:r>
          </w:p>
        </w:tc>
        <w:tc>
          <w:tcPr>
            <w:tcW w:w="486" w:type="pct"/>
            <w:vAlign w:val="center"/>
          </w:tcPr>
          <w:p w14:paraId="6A539C96" w14:textId="77777777" w:rsidR="0089207C" w:rsidRPr="00AC3044" w:rsidRDefault="0089207C" w:rsidP="002D3EBF">
            <w:pPr>
              <w:rPr>
                <w:rFonts w:eastAsia="SimSun"/>
              </w:rPr>
            </w:pPr>
            <w:r w:rsidRPr="00AC3044">
              <w:rPr>
                <w:rFonts w:eastAsia="SimSun"/>
              </w:rPr>
              <w:t>–</w:t>
            </w:r>
          </w:p>
        </w:tc>
        <w:tc>
          <w:tcPr>
            <w:tcW w:w="1370" w:type="pct"/>
            <w:vAlign w:val="center"/>
          </w:tcPr>
          <w:p w14:paraId="24AB196F" w14:textId="77777777" w:rsidR="0089207C" w:rsidRPr="00AC3044" w:rsidRDefault="0089207C" w:rsidP="002D3EBF">
            <w:pPr>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52FB833A" w14:textId="77777777" w:rsidR="0089207C" w:rsidRPr="00AC3044" w:rsidRDefault="0089207C" w:rsidP="002D3EBF">
            <w:pPr>
              <w:rPr>
                <w:rFonts w:eastAsia="SimSun"/>
              </w:rPr>
            </w:pPr>
            <w:r w:rsidRPr="00AC3044">
              <w:rPr>
                <w:rFonts w:eastAsia="SimSun"/>
              </w:rPr>
              <w:t>В/в, 5 мг 1 раз/сут</w:t>
            </w:r>
          </w:p>
        </w:tc>
      </w:tr>
      <w:tr w:rsidR="0089207C" w:rsidRPr="00AC3044" w14:paraId="3AD78971" w14:textId="77777777" w:rsidTr="002D3EBF">
        <w:trPr>
          <w:cantSplit/>
          <w:trHeight w:val="464"/>
        </w:trPr>
        <w:tc>
          <w:tcPr>
            <w:tcW w:w="168" w:type="pct"/>
          </w:tcPr>
          <w:p w14:paraId="38B29930" w14:textId="77777777" w:rsidR="0089207C" w:rsidRPr="00AC3044" w:rsidRDefault="0089207C" w:rsidP="002D3EBF">
            <w:pPr>
              <w:rPr>
                <w:rFonts w:eastAsia="SimSun"/>
              </w:rPr>
            </w:pPr>
            <w:r w:rsidRPr="00AC3044">
              <w:rPr>
                <w:rFonts w:eastAsia="SimSun"/>
              </w:rPr>
              <w:t>4</w:t>
            </w:r>
          </w:p>
        </w:tc>
        <w:tc>
          <w:tcPr>
            <w:tcW w:w="1133" w:type="pct"/>
            <w:vAlign w:val="center"/>
          </w:tcPr>
          <w:p w14:paraId="36AB9BB5" w14:textId="77777777" w:rsidR="0089207C" w:rsidRPr="00AC3044" w:rsidRDefault="0089207C" w:rsidP="002D3EBF">
            <w:pPr>
              <w:rPr>
                <w:rFonts w:eastAsia="SimSun"/>
              </w:rPr>
            </w:pPr>
            <w:r w:rsidRPr="00AC3044">
              <w:rPr>
                <w:rFonts w:eastAsia="SimSun"/>
              </w:rPr>
              <w:t>Палоносетрон</w:t>
            </w:r>
          </w:p>
        </w:tc>
        <w:tc>
          <w:tcPr>
            <w:tcW w:w="614" w:type="pct"/>
            <w:vAlign w:val="center"/>
          </w:tcPr>
          <w:p w14:paraId="70813D5A" w14:textId="77777777" w:rsidR="0089207C" w:rsidRPr="00AC3044" w:rsidRDefault="0089207C" w:rsidP="002D3EBF">
            <w:pPr>
              <w:rPr>
                <w:rFonts w:eastAsia="SimSun"/>
              </w:rPr>
            </w:pPr>
            <w:r w:rsidRPr="00AC3044">
              <w:rPr>
                <w:rFonts w:eastAsia="SimSun"/>
              </w:rPr>
              <w:t>0,25 мг</w:t>
            </w:r>
          </w:p>
        </w:tc>
        <w:tc>
          <w:tcPr>
            <w:tcW w:w="486" w:type="pct"/>
            <w:vAlign w:val="center"/>
          </w:tcPr>
          <w:p w14:paraId="291B944B" w14:textId="77777777" w:rsidR="0089207C" w:rsidRPr="00AC3044" w:rsidRDefault="0089207C" w:rsidP="002D3EBF">
            <w:pPr>
              <w:rPr>
                <w:rFonts w:eastAsia="SimSun"/>
              </w:rPr>
            </w:pPr>
            <w:r w:rsidRPr="00AC3044">
              <w:rPr>
                <w:rFonts w:eastAsia="SimSun"/>
              </w:rPr>
              <w:t>–</w:t>
            </w:r>
          </w:p>
        </w:tc>
        <w:tc>
          <w:tcPr>
            <w:tcW w:w="1370" w:type="pct"/>
            <w:vAlign w:val="center"/>
          </w:tcPr>
          <w:p w14:paraId="2214B89F" w14:textId="77777777" w:rsidR="0089207C" w:rsidRPr="00AC3044" w:rsidRDefault="0089207C" w:rsidP="002D3EBF">
            <w:pPr>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0FFB6828" w14:textId="77777777" w:rsidR="0089207C" w:rsidRPr="00AC3044" w:rsidRDefault="0089207C" w:rsidP="002D3EBF">
            <w:pPr>
              <w:rPr>
                <w:rFonts w:eastAsia="SimSun"/>
              </w:rPr>
            </w:pPr>
            <w:r w:rsidRPr="00AC3044">
              <w:rPr>
                <w:rFonts w:eastAsia="SimSun"/>
              </w:rPr>
              <w:t>В/в</w:t>
            </w:r>
          </w:p>
        </w:tc>
      </w:tr>
      <w:tr w:rsidR="0089207C" w:rsidRPr="00AC3044" w14:paraId="6FCE1B4C" w14:textId="77777777" w:rsidTr="002D3EBF">
        <w:trPr>
          <w:cantSplit/>
          <w:trHeight w:val="464"/>
        </w:trPr>
        <w:tc>
          <w:tcPr>
            <w:tcW w:w="168" w:type="pct"/>
          </w:tcPr>
          <w:p w14:paraId="79C095C1" w14:textId="77777777" w:rsidR="0089207C" w:rsidRPr="00AC3044" w:rsidRDefault="0089207C" w:rsidP="002D3EBF">
            <w:pPr>
              <w:rPr>
                <w:rFonts w:eastAsia="SimSun"/>
              </w:rPr>
            </w:pPr>
            <w:r w:rsidRPr="00AC3044">
              <w:rPr>
                <w:rFonts w:eastAsia="SimSun"/>
              </w:rPr>
              <w:t>5</w:t>
            </w:r>
          </w:p>
        </w:tc>
        <w:tc>
          <w:tcPr>
            <w:tcW w:w="1133" w:type="pct"/>
            <w:vAlign w:val="center"/>
          </w:tcPr>
          <w:p w14:paraId="6C3E07EB" w14:textId="77777777" w:rsidR="0089207C" w:rsidRPr="00AC3044" w:rsidRDefault="0089207C" w:rsidP="002D3EBF">
            <w:pPr>
              <w:rPr>
                <w:rFonts w:eastAsia="SimSun"/>
              </w:rPr>
            </w:pPr>
            <w:r w:rsidRPr="00AC3044">
              <w:rPr>
                <w:rFonts w:eastAsia="SimSun"/>
              </w:rPr>
              <w:t>Апрепитант</w:t>
            </w:r>
          </w:p>
        </w:tc>
        <w:tc>
          <w:tcPr>
            <w:tcW w:w="614" w:type="pct"/>
            <w:vAlign w:val="center"/>
          </w:tcPr>
          <w:p w14:paraId="22C2B77C" w14:textId="77777777" w:rsidR="0089207C" w:rsidRPr="00AC3044" w:rsidRDefault="0089207C" w:rsidP="002D3EBF">
            <w:pPr>
              <w:rPr>
                <w:rFonts w:eastAsia="SimSun"/>
              </w:rPr>
            </w:pPr>
            <w:r w:rsidRPr="00AC3044">
              <w:rPr>
                <w:rFonts w:eastAsia="SimSun"/>
              </w:rPr>
              <w:t>125, 80, 80 мг</w:t>
            </w:r>
          </w:p>
        </w:tc>
        <w:tc>
          <w:tcPr>
            <w:tcW w:w="486" w:type="pct"/>
            <w:vAlign w:val="center"/>
          </w:tcPr>
          <w:p w14:paraId="2305E64B" w14:textId="77777777" w:rsidR="0089207C" w:rsidRPr="00AC3044" w:rsidRDefault="0089207C" w:rsidP="002D3EBF">
            <w:pPr>
              <w:rPr>
                <w:rFonts w:eastAsia="SimSun"/>
              </w:rPr>
            </w:pPr>
            <w:r w:rsidRPr="00AC3044">
              <w:rPr>
                <w:rFonts w:eastAsia="SimSun"/>
              </w:rPr>
              <w:t>–</w:t>
            </w:r>
          </w:p>
        </w:tc>
        <w:tc>
          <w:tcPr>
            <w:tcW w:w="1370" w:type="pct"/>
            <w:vAlign w:val="center"/>
          </w:tcPr>
          <w:p w14:paraId="34608158" w14:textId="77777777" w:rsidR="0089207C" w:rsidRPr="00AC3044" w:rsidRDefault="0089207C" w:rsidP="002D3EBF">
            <w:pPr>
              <w:rPr>
                <w:rFonts w:eastAsia="SimSun"/>
              </w:rPr>
            </w:pPr>
            <w:r w:rsidRPr="00AC3044">
              <w:rPr>
                <w:rFonts w:eastAsia="SimSun"/>
              </w:rPr>
              <w:t>При проведении ТТО -3 по -1 дни</w:t>
            </w:r>
          </w:p>
        </w:tc>
        <w:tc>
          <w:tcPr>
            <w:tcW w:w="1229" w:type="pct"/>
            <w:vAlign w:val="center"/>
          </w:tcPr>
          <w:p w14:paraId="754EEC59" w14:textId="77777777" w:rsidR="0089207C" w:rsidRPr="00AC3044" w:rsidRDefault="0089207C" w:rsidP="002D3EBF">
            <w:pPr>
              <w:rPr>
                <w:rFonts w:eastAsia="SimSun"/>
              </w:rPr>
            </w:pPr>
            <w:r w:rsidRPr="00AC3044">
              <w:rPr>
                <w:rFonts w:eastAsia="SimSun"/>
              </w:rPr>
              <w:t>Внутрь, перед  утренней фракцией ТТО</w:t>
            </w:r>
          </w:p>
        </w:tc>
      </w:tr>
      <w:tr w:rsidR="0089207C" w:rsidRPr="00AC3044" w14:paraId="69A0448D" w14:textId="77777777" w:rsidTr="002D3EBF">
        <w:trPr>
          <w:cantSplit/>
          <w:trHeight w:val="464"/>
        </w:trPr>
        <w:tc>
          <w:tcPr>
            <w:tcW w:w="168" w:type="pct"/>
          </w:tcPr>
          <w:p w14:paraId="50FA344F" w14:textId="77777777" w:rsidR="0089207C" w:rsidRPr="00AC3044" w:rsidRDefault="0089207C" w:rsidP="002D3EBF">
            <w:pPr>
              <w:rPr>
                <w:rFonts w:eastAsia="SimSun"/>
              </w:rPr>
            </w:pPr>
            <w:r w:rsidRPr="00AC3044">
              <w:rPr>
                <w:rFonts w:eastAsia="SimSun"/>
              </w:rPr>
              <w:t>6</w:t>
            </w:r>
          </w:p>
        </w:tc>
        <w:tc>
          <w:tcPr>
            <w:tcW w:w="1133" w:type="pct"/>
            <w:vAlign w:val="center"/>
          </w:tcPr>
          <w:p w14:paraId="29B5A4B9" w14:textId="77777777" w:rsidR="0089207C" w:rsidRPr="00AC3044" w:rsidRDefault="0089207C" w:rsidP="002D3EBF">
            <w:pPr>
              <w:rPr>
                <w:rFonts w:eastAsia="SimSun"/>
              </w:rPr>
            </w:pPr>
            <w:r w:rsidRPr="00AC3044">
              <w:rPr>
                <w:rFonts w:eastAsia="SimSun"/>
              </w:rPr>
              <w:t>Фосапрепитант</w:t>
            </w:r>
            <w:r w:rsidRPr="00AC3044">
              <w:rPr>
                <w:rFonts w:eastAsia="SimSun"/>
              </w:rPr>
              <w:tab/>
            </w:r>
          </w:p>
        </w:tc>
        <w:tc>
          <w:tcPr>
            <w:tcW w:w="614" w:type="pct"/>
            <w:vAlign w:val="center"/>
          </w:tcPr>
          <w:p w14:paraId="387D27DF" w14:textId="77777777" w:rsidR="0089207C" w:rsidRPr="00AC3044" w:rsidRDefault="0089207C" w:rsidP="002D3EBF">
            <w:pPr>
              <w:rPr>
                <w:rFonts w:eastAsia="SimSun"/>
              </w:rPr>
            </w:pPr>
            <w:r w:rsidRPr="00AC3044">
              <w:rPr>
                <w:rFonts w:eastAsia="SimSun"/>
              </w:rPr>
              <w:t>150 мг</w:t>
            </w:r>
          </w:p>
        </w:tc>
        <w:tc>
          <w:tcPr>
            <w:tcW w:w="486" w:type="pct"/>
            <w:vAlign w:val="center"/>
          </w:tcPr>
          <w:p w14:paraId="346F679C" w14:textId="77777777" w:rsidR="0089207C" w:rsidRPr="00AC3044" w:rsidRDefault="0089207C" w:rsidP="002D3EBF">
            <w:pPr>
              <w:rPr>
                <w:rFonts w:eastAsia="SimSun"/>
              </w:rPr>
            </w:pPr>
            <w:r w:rsidRPr="00AC3044">
              <w:rPr>
                <w:rFonts w:eastAsia="SimSun"/>
              </w:rPr>
              <w:t>–</w:t>
            </w:r>
          </w:p>
        </w:tc>
        <w:tc>
          <w:tcPr>
            <w:tcW w:w="1370" w:type="pct"/>
            <w:vAlign w:val="center"/>
          </w:tcPr>
          <w:p w14:paraId="30E69E18" w14:textId="77777777" w:rsidR="0089207C" w:rsidRPr="00AC3044" w:rsidRDefault="0089207C" w:rsidP="002D3EBF">
            <w:pPr>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1A4BD111" w14:textId="77777777" w:rsidR="0089207C" w:rsidRPr="00AC3044" w:rsidRDefault="0089207C" w:rsidP="002D3EBF">
            <w:pPr>
              <w:rPr>
                <w:rFonts w:eastAsia="SimSun"/>
              </w:rPr>
            </w:pPr>
            <w:r w:rsidRPr="00AC3044">
              <w:rPr>
                <w:rFonts w:eastAsia="SimSun"/>
              </w:rPr>
              <w:t>В/в, однократно</w:t>
            </w:r>
          </w:p>
        </w:tc>
      </w:tr>
      <w:tr w:rsidR="0089207C" w:rsidRPr="00AC3044" w14:paraId="02E5DA1F" w14:textId="77777777" w:rsidTr="002D3EBF">
        <w:trPr>
          <w:cantSplit/>
          <w:trHeight w:val="464"/>
        </w:trPr>
        <w:tc>
          <w:tcPr>
            <w:tcW w:w="5000" w:type="pct"/>
            <w:gridSpan w:val="6"/>
          </w:tcPr>
          <w:p w14:paraId="4472CB16" w14:textId="77777777" w:rsidR="0089207C" w:rsidRPr="00AC3044" w:rsidRDefault="0089207C" w:rsidP="002D3EBF">
            <w:pPr>
              <w:rPr>
                <w:rFonts w:eastAsia="SimSun"/>
              </w:rPr>
            </w:pPr>
            <w:r w:rsidRPr="00AC3044">
              <w:rPr>
                <w:rFonts w:eastAsia="SimSun"/>
              </w:rPr>
              <w:t>Антикоагулянтная терапия</w:t>
            </w:r>
          </w:p>
        </w:tc>
      </w:tr>
      <w:tr w:rsidR="0089207C" w:rsidRPr="00AC3044" w14:paraId="150A5C29" w14:textId="77777777" w:rsidTr="002D3EBF">
        <w:trPr>
          <w:cantSplit/>
          <w:trHeight w:val="464"/>
        </w:trPr>
        <w:tc>
          <w:tcPr>
            <w:tcW w:w="168" w:type="pct"/>
          </w:tcPr>
          <w:p w14:paraId="46ED838B" w14:textId="77777777" w:rsidR="0089207C" w:rsidRPr="00AC3044" w:rsidRDefault="0089207C" w:rsidP="002D3EBF">
            <w:pPr>
              <w:rPr>
                <w:rFonts w:eastAsia="SimSun"/>
              </w:rPr>
            </w:pPr>
            <w:r w:rsidRPr="00AC3044">
              <w:rPr>
                <w:rFonts w:eastAsia="SimSun"/>
              </w:rPr>
              <w:t>1</w:t>
            </w:r>
          </w:p>
        </w:tc>
        <w:tc>
          <w:tcPr>
            <w:tcW w:w="1133" w:type="pct"/>
            <w:vAlign w:val="center"/>
          </w:tcPr>
          <w:p w14:paraId="20DC52C0" w14:textId="77777777" w:rsidR="0089207C" w:rsidRPr="00AC3044" w:rsidRDefault="0089207C" w:rsidP="002D3EBF">
            <w:pPr>
              <w:rPr>
                <w:rFonts w:eastAsia="SimSun"/>
              </w:rPr>
            </w:pPr>
            <w:r w:rsidRPr="00AC3044">
              <w:rPr>
                <w:rFonts w:eastAsia="SimSun"/>
              </w:rPr>
              <w:t>Гепарин</w:t>
            </w:r>
          </w:p>
        </w:tc>
        <w:tc>
          <w:tcPr>
            <w:tcW w:w="614" w:type="pct"/>
            <w:vAlign w:val="center"/>
          </w:tcPr>
          <w:p w14:paraId="3F5F65C5" w14:textId="77777777" w:rsidR="0089207C" w:rsidRPr="00AC3044" w:rsidRDefault="0089207C" w:rsidP="002D3EBF">
            <w:pPr>
              <w:rPr>
                <w:rFonts w:eastAsia="SimSun"/>
              </w:rPr>
            </w:pPr>
            <w:r w:rsidRPr="00AC3044">
              <w:rPr>
                <w:rFonts w:eastAsia="SimSun"/>
              </w:rPr>
              <w:t xml:space="preserve">12000 ЕД/сут </w:t>
            </w:r>
          </w:p>
        </w:tc>
        <w:tc>
          <w:tcPr>
            <w:tcW w:w="486" w:type="pct"/>
            <w:vAlign w:val="center"/>
          </w:tcPr>
          <w:p w14:paraId="49CFFE1F" w14:textId="77777777" w:rsidR="0089207C" w:rsidRPr="00AC3044" w:rsidRDefault="0089207C" w:rsidP="002D3EBF">
            <w:pPr>
              <w:rPr>
                <w:rFonts w:eastAsia="SimSun"/>
              </w:rPr>
            </w:pPr>
            <w:r w:rsidRPr="00AC3044">
              <w:rPr>
                <w:rFonts w:eastAsia="SimSun"/>
              </w:rPr>
              <w:t>–</w:t>
            </w:r>
          </w:p>
        </w:tc>
        <w:tc>
          <w:tcPr>
            <w:tcW w:w="1370" w:type="pct"/>
            <w:vAlign w:val="center"/>
          </w:tcPr>
          <w:p w14:paraId="4B54D702" w14:textId="77777777" w:rsidR="0089207C" w:rsidRPr="00AC3044" w:rsidRDefault="0089207C" w:rsidP="002D3EBF">
            <w:pPr>
              <w:rPr>
                <w:rFonts w:eastAsia="SimSun"/>
              </w:rPr>
            </w:pPr>
            <w:r w:rsidRPr="00AC3044">
              <w:rPr>
                <w:rFonts w:eastAsia="SimSun"/>
              </w:rPr>
              <w:t>За день до начала кондиционирования по +14 день (до +28 дня включительно при инфицировании гепатитом В, С и/или тромбозах в анамнезе)</w:t>
            </w:r>
          </w:p>
        </w:tc>
        <w:tc>
          <w:tcPr>
            <w:tcW w:w="1229" w:type="pct"/>
            <w:vAlign w:val="center"/>
          </w:tcPr>
          <w:p w14:paraId="10C94936" w14:textId="77777777" w:rsidR="0089207C" w:rsidRPr="00AC3044" w:rsidRDefault="0089207C" w:rsidP="002D3EBF">
            <w:pPr>
              <w:rPr>
                <w:rFonts w:eastAsia="SimSun"/>
              </w:rPr>
            </w:pPr>
            <w:r w:rsidRPr="00AC3044">
              <w:rPr>
                <w:rFonts w:eastAsia="SimSun"/>
              </w:rPr>
              <w:t>В/в, инфузия в течение 24 ч</w:t>
            </w:r>
          </w:p>
        </w:tc>
      </w:tr>
      <w:tr w:rsidR="0089207C" w:rsidRPr="00AC3044" w14:paraId="5B5EC7F0" w14:textId="77777777" w:rsidTr="002D3EBF">
        <w:trPr>
          <w:cantSplit/>
          <w:trHeight w:val="464"/>
        </w:trPr>
        <w:tc>
          <w:tcPr>
            <w:tcW w:w="168" w:type="pct"/>
          </w:tcPr>
          <w:p w14:paraId="497E4592" w14:textId="77777777" w:rsidR="0089207C" w:rsidRPr="00AC3044" w:rsidRDefault="0089207C" w:rsidP="002D3EBF">
            <w:pPr>
              <w:rPr>
                <w:rFonts w:eastAsia="SimSun"/>
              </w:rPr>
            </w:pPr>
            <w:r w:rsidRPr="00AC3044">
              <w:rPr>
                <w:rFonts w:eastAsia="SimSun"/>
              </w:rPr>
              <w:t>2</w:t>
            </w:r>
          </w:p>
        </w:tc>
        <w:tc>
          <w:tcPr>
            <w:tcW w:w="1133" w:type="pct"/>
            <w:vAlign w:val="center"/>
          </w:tcPr>
          <w:p w14:paraId="0C3FC01E" w14:textId="77777777" w:rsidR="0089207C" w:rsidRPr="00AC3044" w:rsidRDefault="0089207C" w:rsidP="002D3EBF">
            <w:pPr>
              <w:rPr>
                <w:rFonts w:eastAsia="SimSun"/>
              </w:rPr>
            </w:pPr>
            <w:r w:rsidRPr="00AC3044">
              <w:rPr>
                <w:rFonts w:eastAsia="SimSun"/>
              </w:rPr>
              <w:t>Гепарин</w:t>
            </w:r>
          </w:p>
        </w:tc>
        <w:tc>
          <w:tcPr>
            <w:tcW w:w="614" w:type="pct"/>
            <w:vAlign w:val="center"/>
          </w:tcPr>
          <w:p w14:paraId="04B9FCB8" w14:textId="77777777" w:rsidR="0089207C" w:rsidRPr="00AC3044" w:rsidRDefault="0089207C" w:rsidP="002D3EBF">
            <w:pPr>
              <w:rPr>
                <w:rFonts w:eastAsia="SimSun"/>
              </w:rPr>
            </w:pPr>
            <w:r w:rsidRPr="00AC3044">
              <w:rPr>
                <w:rFonts w:eastAsia="SimSun"/>
              </w:rPr>
              <w:t xml:space="preserve">100 ЕД/кг </w:t>
            </w:r>
          </w:p>
        </w:tc>
        <w:tc>
          <w:tcPr>
            <w:tcW w:w="486" w:type="pct"/>
            <w:vAlign w:val="center"/>
          </w:tcPr>
          <w:p w14:paraId="6E20CCB3" w14:textId="77777777" w:rsidR="0089207C" w:rsidRPr="00AC3044" w:rsidRDefault="0089207C" w:rsidP="002D3EBF">
            <w:pPr>
              <w:rPr>
                <w:rFonts w:eastAsia="SimSun"/>
              </w:rPr>
            </w:pPr>
            <w:r w:rsidRPr="00AC3044">
              <w:rPr>
                <w:rFonts w:eastAsia="SimSun"/>
              </w:rPr>
              <w:t>–</w:t>
            </w:r>
          </w:p>
        </w:tc>
        <w:tc>
          <w:tcPr>
            <w:tcW w:w="1370" w:type="pct"/>
            <w:vAlign w:val="center"/>
          </w:tcPr>
          <w:p w14:paraId="7B59CF28" w14:textId="77777777" w:rsidR="0089207C" w:rsidRPr="00AC3044" w:rsidRDefault="0089207C" w:rsidP="002D3EBF">
            <w:pPr>
              <w:rPr>
                <w:rFonts w:eastAsia="SimSun"/>
              </w:rPr>
            </w:pPr>
            <w:r w:rsidRPr="00AC3044">
              <w:rPr>
                <w:rFonts w:eastAsia="SimSun"/>
              </w:rPr>
              <w:t>Весь период использования ЦВК</w:t>
            </w:r>
          </w:p>
        </w:tc>
        <w:tc>
          <w:tcPr>
            <w:tcW w:w="1229" w:type="pct"/>
            <w:vAlign w:val="center"/>
          </w:tcPr>
          <w:p w14:paraId="3F6D3388" w14:textId="77777777" w:rsidR="0089207C" w:rsidRPr="00AC3044" w:rsidRDefault="0089207C" w:rsidP="002D3EBF">
            <w:pPr>
              <w:rPr>
                <w:rFonts w:eastAsia="SimSun"/>
              </w:rPr>
            </w:pPr>
            <w:r w:rsidRPr="00AC3044">
              <w:rPr>
                <w:rFonts w:eastAsia="SimSun"/>
              </w:rPr>
              <w:t>В/в, инфузия в течение 24 ч</w:t>
            </w:r>
          </w:p>
        </w:tc>
      </w:tr>
      <w:tr w:rsidR="0089207C" w:rsidRPr="00AC3044" w14:paraId="15CEE3BC" w14:textId="77777777" w:rsidTr="002D3EBF">
        <w:trPr>
          <w:cantSplit/>
          <w:trHeight w:val="464"/>
        </w:trPr>
        <w:tc>
          <w:tcPr>
            <w:tcW w:w="168" w:type="pct"/>
          </w:tcPr>
          <w:p w14:paraId="5E2932BA" w14:textId="77777777" w:rsidR="0089207C" w:rsidRPr="00AC3044" w:rsidRDefault="0089207C" w:rsidP="002D3EBF">
            <w:pPr>
              <w:rPr>
                <w:rFonts w:eastAsia="SimSun"/>
              </w:rPr>
            </w:pPr>
            <w:r w:rsidRPr="00AC3044">
              <w:rPr>
                <w:rFonts w:eastAsia="SimSun"/>
              </w:rPr>
              <w:t>3</w:t>
            </w:r>
          </w:p>
        </w:tc>
        <w:tc>
          <w:tcPr>
            <w:tcW w:w="1133" w:type="pct"/>
            <w:vAlign w:val="center"/>
          </w:tcPr>
          <w:p w14:paraId="6D8C0307" w14:textId="77777777" w:rsidR="0089207C" w:rsidRPr="00AC3044" w:rsidRDefault="0089207C" w:rsidP="002D3EBF">
            <w:pPr>
              <w:rPr>
                <w:rFonts w:eastAsia="SimSun"/>
              </w:rPr>
            </w:pPr>
            <w:r w:rsidRPr="00AC3044">
              <w:rPr>
                <w:rFonts w:eastAsia="SimSun"/>
              </w:rPr>
              <w:t>Гепарин</w:t>
            </w:r>
          </w:p>
        </w:tc>
        <w:tc>
          <w:tcPr>
            <w:tcW w:w="614" w:type="pct"/>
            <w:vAlign w:val="center"/>
          </w:tcPr>
          <w:p w14:paraId="2F5D0E3E" w14:textId="77777777" w:rsidR="0089207C" w:rsidRPr="00AC3044" w:rsidRDefault="0089207C" w:rsidP="002D3EBF">
            <w:pPr>
              <w:rPr>
                <w:rFonts w:eastAsia="SimSun"/>
              </w:rPr>
            </w:pPr>
            <w:r w:rsidRPr="00AC3044">
              <w:rPr>
                <w:rFonts w:eastAsia="SimSun"/>
              </w:rPr>
              <w:t xml:space="preserve">100-500 ЕД/кг </w:t>
            </w:r>
          </w:p>
        </w:tc>
        <w:tc>
          <w:tcPr>
            <w:tcW w:w="486" w:type="pct"/>
            <w:vAlign w:val="center"/>
          </w:tcPr>
          <w:p w14:paraId="1FF82D2D" w14:textId="77777777" w:rsidR="0089207C" w:rsidRPr="00AC3044" w:rsidRDefault="0089207C" w:rsidP="002D3EBF">
            <w:pPr>
              <w:rPr>
                <w:rFonts w:eastAsia="SimSun"/>
              </w:rPr>
            </w:pPr>
            <w:r w:rsidRPr="00AC3044">
              <w:rPr>
                <w:rFonts w:eastAsia="SimSun"/>
              </w:rPr>
              <w:t>–</w:t>
            </w:r>
          </w:p>
        </w:tc>
        <w:tc>
          <w:tcPr>
            <w:tcW w:w="1370" w:type="pct"/>
            <w:vAlign w:val="center"/>
          </w:tcPr>
          <w:p w14:paraId="0EE9EA39" w14:textId="77777777" w:rsidR="0089207C" w:rsidRPr="00AC3044" w:rsidRDefault="0089207C" w:rsidP="002D3EBF">
            <w:pPr>
              <w:rPr>
                <w:rFonts w:eastAsia="SimSun"/>
              </w:rPr>
            </w:pPr>
            <w:r w:rsidRPr="00AC3044">
              <w:rPr>
                <w:rFonts w:eastAsia="SimSun"/>
              </w:rPr>
              <w:t>Под контролем АЧТВ, в среднем 14-42 дня</w:t>
            </w:r>
          </w:p>
        </w:tc>
        <w:tc>
          <w:tcPr>
            <w:tcW w:w="1229" w:type="pct"/>
            <w:vAlign w:val="center"/>
          </w:tcPr>
          <w:p w14:paraId="3ECB3C23" w14:textId="77777777" w:rsidR="0089207C" w:rsidRPr="00AC3044" w:rsidRDefault="0089207C" w:rsidP="002D3EBF">
            <w:pPr>
              <w:rPr>
                <w:rFonts w:eastAsia="SimSun"/>
              </w:rPr>
            </w:pPr>
            <w:r w:rsidRPr="00AC3044">
              <w:rPr>
                <w:rFonts w:eastAsia="SimSun"/>
              </w:rPr>
              <w:t>В/в, инфузия в течение 24 ч</w:t>
            </w:r>
          </w:p>
        </w:tc>
      </w:tr>
      <w:tr w:rsidR="0089207C" w:rsidRPr="00AC3044" w14:paraId="0C08C792" w14:textId="77777777" w:rsidTr="002D3EBF">
        <w:trPr>
          <w:cantSplit/>
          <w:trHeight w:val="464"/>
        </w:trPr>
        <w:tc>
          <w:tcPr>
            <w:tcW w:w="168" w:type="pct"/>
          </w:tcPr>
          <w:p w14:paraId="3D034EAE" w14:textId="77777777" w:rsidR="0089207C" w:rsidRPr="00AC3044" w:rsidRDefault="0089207C" w:rsidP="002D3EBF">
            <w:pPr>
              <w:rPr>
                <w:rFonts w:eastAsia="SimSun"/>
              </w:rPr>
            </w:pPr>
            <w:r w:rsidRPr="00AC3044">
              <w:rPr>
                <w:rFonts w:eastAsia="SimSun"/>
              </w:rPr>
              <w:t>4</w:t>
            </w:r>
          </w:p>
        </w:tc>
        <w:tc>
          <w:tcPr>
            <w:tcW w:w="1133" w:type="pct"/>
            <w:vAlign w:val="center"/>
          </w:tcPr>
          <w:p w14:paraId="42EE4992" w14:textId="77777777" w:rsidR="0089207C" w:rsidRPr="00AC3044" w:rsidRDefault="0089207C" w:rsidP="002D3EBF">
            <w:pPr>
              <w:rPr>
                <w:rFonts w:eastAsia="SimSun"/>
              </w:rPr>
            </w:pPr>
            <w:r w:rsidRPr="00AC3044">
              <w:rPr>
                <w:rFonts w:eastAsia="SimSun"/>
              </w:rPr>
              <w:t>Низкомолекулряные гепарины</w:t>
            </w:r>
          </w:p>
        </w:tc>
        <w:tc>
          <w:tcPr>
            <w:tcW w:w="3699" w:type="pct"/>
            <w:gridSpan w:val="4"/>
            <w:vAlign w:val="center"/>
          </w:tcPr>
          <w:p w14:paraId="4A893025" w14:textId="77777777" w:rsidR="0089207C" w:rsidRPr="00AC3044" w:rsidRDefault="0089207C" w:rsidP="002D3EBF">
            <w:pPr>
              <w:rPr>
                <w:rFonts w:eastAsia="SimSun"/>
              </w:rPr>
            </w:pPr>
            <w:r w:rsidRPr="00AC3044">
              <w:rPr>
                <w:rFonts w:eastAsia="SimSun"/>
              </w:rPr>
              <w:t>В соответсвии с рекомендациями производителя и клинической ситуации, в среднем 14-42 дня.</w:t>
            </w:r>
          </w:p>
        </w:tc>
      </w:tr>
      <w:tr w:rsidR="0089207C" w:rsidRPr="00AC3044" w14:paraId="029C786B" w14:textId="77777777" w:rsidTr="002D3EBF">
        <w:trPr>
          <w:cantSplit/>
          <w:trHeight w:val="464"/>
        </w:trPr>
        <w:tc>
          <w:tcPr>
            <w:tcW w:w="5000" w:type="pct"/>
            <w:gridSpan w:val="6"/>
          </w:tcPr>
          <w:p w14:paraId="47DCF47F" w14:textId="77777777" w:rsidR="0089207C" w:rsidRPr="00AC3044" w:rsidRDefault="0089207C" w:rsidP="002D3EBF">
            <w:pPr>
              <w:rPr>
                <w:rFonts w:eastAsia="SimSun"/>
              </w:rPr>
            </w:pPr>
            <w:r w:rsidRPr="00AC3044">
              <w:rPr>
                <w:rFonts w:eastAsia="SimSun"/>
              </w:rPr>
              <w:t>Противосудорожная терапия</w:t>
            </w:r>
          </w:p>
        </w:tc>
      </w:tr>
      <w:tr w:rsidR="0089207C" w:rsidRPr="00AC3044" w14:paraId="3432BE01" w14:textId="77777777" w:rsidTr="002D3EBF">
        <w:trPr>
          <w:cantSplit/>
          <w:trHeight w:val="464"/>
        </w:trPr>
        <w:tc>
          <w:tcPr>
            <w:tcW w:w="168" w:type="pct"/>
          </w:tcPr>
          <w:p w14:paraId="47C450E6" w14:textId="77777777" w:rsidR="0089207C" w:rsidRPr="00AC3044" w:rsidRDefault="0089207C" w:rsidP="002D3EBF">
            <w:pPr>
              <w:rPr>
                <w:rFonts w:eastAsia="SimSun"/>
              </w:rPr>
            </w:pPr>
            <w:r w:rsidRPr="00AC3044">
              <w:rPr>
                <w:rFonts w:eastAsia="SimSun"/>
              </w:rPr>
              <w:t>1</w:t>
            </w:r>
          </w:p>
        </w:tc>
        <w:tc>
          <w:tcPr>
            <w:tcW w:w="1133" w:type="pct"/>
            <w:vAlign w:val="center"/>
          </w:tcPr>
          <w:p w14:paraId="516071F4" w14:textId="77777777" w:rsidR="0089207C" w:rsidRPr="00AC3044" w:rsidRDefault="0089207C" w:rsidP="002D3EBF">
            <w:pPr>
              <w:rPr>
                <w:rFonts w:eastAsia="SimSun"/>
              </w:rPr>
            </w:pPr>
            <w:r w:rsidRPr="00AC3044">
              <w:rPr>
                <w:rFonts w:eastAsia="SimSun"/>
              </w:rPr>
              <w:t>Карбамазепин</w:t>
            </w:r>
          </w:p>
        </w:tc>
        <w:tc>
          <w:tcPr>
            <w:tcW w:w="614" w:type="pct"/>
            <w:vAlign w:val="center"/>
          </w:tcPr>
          <w:p w14:paraId="7C008BC8" w14:textId="77777777" w:rsidR="0089207C" w:rsidRPr="00AC3044" w:rsidRDefault="0089207C" w:rsidP="002D3EBF">
            <w:pPr>
              <w:rPr>
                <w:rFonts w:eastAsia="SimSun"/>
              </w:rPr>
            </w:pPr>
            <w:r w:rsidRPr="00AC3044">
              <w:rPr>
                <w:rFonts w:eastAsia="SimSun"/>
              </w:rPr>
              <w:t>200 мг</w:t>
            </w:r>
          </w:p>
        </w:tc>
        <w:tc>
          <w:tcPr>
            <w:tcW w:w="486" w:type="pct"/>
            <w:vAlign w:val="center"/>
          </w:tcPr>
          <w:p w14:paraId="3BFF784F" w14:textId="77777777" w:rsidR="0089207C" w:rsidRPr="00AC3044" w:rsidRDefault="0089207C" w:rsidP="002D3EBF">
            <w:pPr>
              <w:rPr>
                <w:rFonts w:eastAsia="SimSun"/>
              </w:rPr>
            </w:pPr>
            <w:r w:rsidRPr="00AC3044">
              <w:rPr>
                <w:rFonts w:eastAsia="SimSun"/>
              </w:rPr>
              <w:t>–</w:t>
            </w:r>
          </w:p>
        </w:tc>
        <w:tc>
          <w:tcPr>
            <w:tcW w:w="1370" w:type="pct"/>
            <w:vAlign w:val="center"/>
          </w:tcPr>
          <w:p w14:paraId="52B743E4" w14:textId="77777777" w:rsidR="0089207C" w:rsidRPr="00AC3044" w:rsidRDefault="0089207C" w:rsidP="002D3EBF">
            <w:pPr>
              <w:rPr>
                <w:rFonts w:eastAsia="SimSun"/>
              </w:rPr>
            </w:pPr>
            <w:r w:rsidRPr="00AC3044">
              <w:rPr>
                <w:rFonts w:eastAsia="SimSun"/>
              </w:rPr>
              <w:t xml:space="preserve">За сутки до введения бусульфана, в дни приема бусульфана, день следующий после окончания приема бусульфана </w:t>
            </w:r>
          </w:p>
        </w:tc>
        <w:tc>
          <w:tcPr>
            <w:tcW w:w="1229" w:type="pct"/>
            <w:vAlign w:val="center"/>
          </w:tcPr>
          <w:p w14:paraId="5BB46FD2" w14:textId="77777777" w:rsidR="0089207C" w:rsidRPr="00AC3044" w:rsidRDefault="0089207C" w:rsidP="002D3EBF">
            <w:pPr>
              <w:rPr>
                <w:rFonts w:eastAsia="SimSun"/>
              </w:rPr>
            </w:pPr>
            <w:r w:rsidRPr="00AC3044">
              <w:rPr>
                <w:rFonts w:eastAsia="SimSun"/>
              </w:rPr>
              <w:t>Внутрь, 100 мг 2 раза/сут</w:t>
            </w:r>
          </w:p>
        </w:tc>
      </w:tr>
      <w:tr w:rsidR="0089207C" w:rsidRPr="00AC3044" w14:paraId="74E14195" w14:textId="77777777" w:rsidTr="002D3EBF">
        <w:trPr>
          <w:cantSplit/>
          <w:trHeight w:val="464"/>
        </w:trPr>
        <w:tc>
          <w:tcPr>
            <w:tcW w:w="168" w:type="pct"/>
          </w:tcPr>
          <w:p w14:paraId="19B009BA" w14:textId="77777777" w:rsidR="0089207C" w:rsidRPr="00AC3044" w:rsidRDefault="0089207C" w:rsidP="002D3EBF">
            <w:pPr>
              <w:rPr>
                <w:rFonts w:eastAsia="SimSun"/>
              </w:rPr>
            </w:pPr>
            <w:r w:rsidRPr="00AC3044">
              <w:rPr>
                <w:rFonts w:eastAsia="SimSun"/>
              </w:rPr>
              <w:t>2</w:t>
            </w:r>
          </w:p>
        </w:tc>
        <w:tc>
          <w:tcPr>
            <w:tcW w:w="1133" w:type="pct"/>
            <w:vAlign w:val="center"/>
          </w:tcPr>
          <w:p w14:paraId="1171E47D" w14:textId="77777777" w:rsidR="0089207C" w:rsidRPr="00AC3044" w:rsidRDefault="0089207C" w:rsidP="002D3EBF">
            <w:pPr>
              <w:rPr>
                <w:rFonts w:eastAsia="SimSun"/>
              </w:rPr>
            </w:pPr>
            <w:r w:rsidRPr="00AC3044">
              <w:rPr>
                <w:rFonts w:eastAsia="SimSun"/>
              </w:rPr>
              <w:t>Диазепам (допускается, особенно при наличии судорожного синдрома в анамнезе)</w:t>
            </w:r>
          </w:p>
        </w:tc>
        <w:tc>
          <w:tcPr>
            <w:tcW w:w="614" w:type="pct"/>
            <w:vAlign w:val="center"/>
          </w:tcPr>
          <w:p w14:paraId="59574090" w14:textId="77777777" w:rsidR="0089207C" w:rsidRPr="00AC3044" w:rsidRDefault="0089207C" w:rsidP="002D3EBF">
            <w:pPr>
              <w:rPr>
                <w:rFonts w:eastAsia="SimSun"/>
              </w:rPr>
            </w:pPr>
            <w:r w:rsidRPr="00AC3044">
              <w:rPr>
                <w:rFonts w:eastAsia="SimSun"/>
              </w:rPr>
              <w:t>10 мг</w:t>
            </w:r>
          </w:p>
        </w:tc>
        <w:tc>
          <w:tcPr>
            <w:tcW w:w="486" w:type="pct"/>
            <w:vAlign w:val="center"/>
          </w:tcPr>
          <w:p w14:paraId="0354B426" w14:textId="77777777" w:rsidR="0089207C" w:rsidRPr="00AC3044" w:rsidRDefault="0089207C" w:rsidP="002D3EBF">
            <w:pPr>
              <w:rPr>
                <w:rFonts w:eastAsia="SimSun"/>
              </w:rPr>
            </w:pPr>
            <w:r w:rsidRPr="00AC3044">
              <w:rPr>
                <w:rFonts w:eastAsia="SimSun"/>
              </w:rPr>
              <w:t>–</w:t>
            </w:r>
          </w:p>
        </w:tc>
        <w:tc>
          <w:tcPr>
            <w:tcW w:w="1370" w:type="pct"/>
            <w:vAlign w:val="center"/>
          </w:tcPr>
          <w:p w14:paraId="638FD57E" w14:textId="77777777" w:rsidR="0089207C" w:rsidRPr="00AC3044" w:rsidRDefault="0089207C" w:rsidP="002D3EBF">
            <w:pPr>
              <w:rPr>
                <w:rFonts w:eastAsia="SimSun"/>
              </w:rPr>
            </w:pPr>
            <w:r w:rsidRPr="00AC3044">
              <w:rPr>
                <w:rFonts w:eastAsia="SimSun"/>
              </w:rPr>
              <w:t>В дни введения ЦФ</w:t>
            </w:r>
          </w:p>
        </w:tc>
        <w:tc>
          <w:tcPr>
            <w:tcW w:w="1229" w:type="pct"/>
            <w:vAlign w:val="center"/>
          </w:tcPr>
          <w:p w14:paraId="1FFE2BC1" w14:textId="77777777" w:rsidR="0089207C" w:rsidRPr="00AC3044" w:rsidRDefault="0089207C" w:rsidP="002D3EBF">
            <w:pPr>
              <w:rPr>
                <w:rFonts w:eastAsia="SimSun"/>
              </w:rPr>
            </w:pPr>
            <w:r w:rsidRPr="00AC3044">
              <w:rPr>
                <w:rFonts w:eastAsia="SimSun"/>
              </w:rPr>
              <w:t>В/в, на ночь</w:t>
            </w:r>
          </w:p>
        </w:tc>
      </w:tr>
      <w:tr w:rsidR="0089207C" w:rsidRPr="00AC3044" w14:paraId="3116628E" w14:textId="77777777" w:rsidTr="002D3EBF">
        <w:trPr>
          <w:cantSplit/>
          <w:trHeight w:val="464"/>
        </w:trPr>
        <w:tc>
          <w:tcPr>
            <w:tcW w:w="168" w:type="pct"/>
          </w:tcPr>
          <w:p w14:paraId="009DF35C" w14:textId="77777777" w:rsidR="0089207C" w:rsidRPr="00AC3044" w:rsidRDefault="0089207C" w:rsidP="002D3EBF">
            <w:pPr>
              <w:rPr>
                <w:rFonts w:eastAsia="SimSun"/>
              </w:rPr>
            </w:pPr>
            <w:r w:rsidRPr="00AC3044">
              <w:rPr>
                <w:rFonts w:eastAsia="SimSun"/>
              </w:rPr>
              <w:t>3</w:t>
            </w:r>
          </w:p>
        </w:tc>
        <w:tc>
          <w:tcPr>
            <w:tcW w:w="1133" w:type="pct"/>
            <w:vAlign w:val="center"/>
          </w:tcPr>
          <w:p w14:paraId="468DB835" w14:textId="77777777" w:rsidR="0089207C" w:rsidRPr="00AC3044" w:rsidRDefault="0089207C" w:rsidP="002D3EBF">
            <w:pPr>
              <w:rPr>
                <w:rFonts w:eastAsia="SimSun"/>
              </w:rPr>
            </w:pPr>
            <w:r w:rsidRPr="00AC3044">
              <w:rPr>
                <w:rFonts w:eastAsia="SimSun"/>
              </w:rPr>
              <w:t>Левитирацетам</w:t>
            </w:r>
          </w:p>
        </w:tc>
        <w:tc>
          <w:tcPr>
            <w:tcW w:w="614" w:type="pct"/>
            <w:vAlign w:val="center"/>
          </w:tcPr>
          <w:p w14:paraId="45E0B467" w14:textId="77777777" w:rsidR="0089207C" w:rsidRPr="00AC3044" w:rsidRDefault="0089207C" w:rsidP="002D3EBF">
            <w:pPr>
              <w:rPr>
                <w:rFonts w:eastAsia="SimSun"/>
              </w:rPr>
            </w:pPr>
            <w:r w:rsidRPr="00AC3044">
              <w:rPr>
                <w:rFonts w:eastAsia="SimSun"/>
              </w:rPr>
              <w:t>500 мг</w:t>
            </w:r>
          </w:p>
        </w:tc>
        <w:tc>
          <w:tcPr>
            <w:tcW w:w="486" w:type="pct"/>
            <w:vAlign w:val="center"/>
          </w:tcPr>
          <w:p w14:paraId="5875AEFB" w14:textId="77777777" w:rsidR="0089207C" w:rsidRPr="00AC3044" w:rsidRDefault="0089207C" w:rsidP="002D3EBF">
            <w:pPr>
              <w:rPr>
                <w:rFonts w:eastAsia="SimSun"/>
              </w:rPr>
            </w:pPr>
            <w:r w:rsidRPr="00AC3044">
              <w:rPr>
                <w:rFonts w:eastAsia="SimSun"/>
              </w:rPr>
              <w:t>–</w:t>
            </w:r>
          </w:p>
        </w:tc>
        <w:tc>
          <w:tcPr>
            <w:tcW w:w="1370" w:type="pct"/>
            <w:vAlign w:val="center"/>
          </w:tcPr>
          <w:p w14:paraId="35C6ABAD" w14:textId="77777777" w:rsidR="0089207C" w:rsidRPr="00AC3044" w:rsidRDefault="0089207C" w:rsidP="002D3EBF">
            <w:pPr>
              <w:rPr>
                <w:rFonts w:eastAsia="SimSun"/>
              </w:rPr>
            </w:pPr>
            <w:r w:rsidRPr="00AC3044">
              <w:rPr>
                <w:rFonts w:eastAsia="SimSun"/>
              </w:rPr>
              <w:t>За сутки до введения бусульфана, в дни приема бусульфана, день следующий после окончания приема бусульфана</w:t>
            </w:r>
          </w:p>
        </w:tc>
        <w:tc>
          <w:tcPr>
            <w:tcW w:w="1229" w:type="pct"/>
            <w:vAlign w:val="center"/>
          </w:tcPr>
          <w:p w14:paraId="21B4D32E" w14:textId="77777777" w:rsidR="0089207C" w:rsidRPr="00AC3044" w:rsidRDefault="0089207C" w:rsidP="002D3EBF">
            <w:pPr>
              <w:rPr>
                <w:rFonts w:eastAsia="SimSun"/>
              </w:rPr>
            </w:pPr>
            <w:r w:rsidRPr="00AC3044">
              <w:rPr>
                <w:rFonts w:eastAsia="SimSun"/>
              </w:rPr>
              <w:t>Внутрь, по 250 мг 2 раза/сут</w:t>
            </w:r>
          </w:p>
        </w:tc>
      </w:tr>
      <w:tr w:rsidR="0089207C" w:rsidRPr="00AC3044" w14:paraId="6B2A000C" w14:textId="77777777" w:rsidTr="002D3EBF">
        <w:trPr>
          <w:cantSplit/>
          <w:trHeight w:val="464"/>
        </w:trPr>
        <w:tc>
          <w:tcPr>
            <w:tcW w:w="168" w:type="pct"/>
          </w:tcPr>
          <w:p w14:paraId="42CFA911" w14:textId="77777777" w:rsidR="0089207C" w:rsidRPr="00AC3044" w:rsidRDefault="0089207C" w:rsidP="002D3EBF">
            <w:pPr>
              <w:rPr>
                <w:rFonts w:eastAsia="SimSun"/>
              </w:rPr>
            </w:pPr>
            <w:r w:rsidRPr="00AC3044">
              <w:rPr>
                <w:rFonts w:eastAsia="SimSun"/>
              </w:rPr>
              <w:t>4</w:t>
            </w:r>
          </w:p>
        </w:tc>
        <w:tc>
          <w:tcPr>
            <w:tcW w:w="1133" w:type="pct"/>
            <w:vAlign w:val="center"/>
          </w:tcPr>
          <w:p w14:paraId="3395D5F5" w14:textId="77777777" w:rsidR="0089207C" w:rsidRPr="00AC3044" w:rsidRDefault="0089207C" w:rsidP="002D3EBF">
            <w:pPr>
              <w:rPr>
                <w:rFonts w:eastAsia="SimSun"/>
              </w:rPr>
            </w:pPr>
            <w:r w:rsidRPr="00AC3044">
              <w:rPr>
                <w:rFonts w:eastAsia="SimSun"/>
              </w:rPr>
              <w:t>Левитирацетам</w:t>
            </w:r>
          </w:p>
        </w:tc>
        <w:tc>
          <w:tcPr>
            <w:tcW w:w="614" w:type="pct"/>
            <w:vAlign w:val="center"/>
          </w:tcPr>
          <w:p w14:paraId="163DD73F" w14:textId="77777777" w:rsidR="0089207C" w:rsidRPr="00AC3044" w:rsidRDefault="0089207C" w:rsidP="002D3EBF">
            <w:pPr>
              <w:rPr>
                <w:rFonts w:eastAsia="SimSun"/>
              </w:rPr>
            </w:pPr>
            <w:r w:rsidRPr="00AC3044">
              <w:rPr>
                <w:rFonts w:eastAsia="SimSun"/>
              </w:rPr>
              <w:t>1000 мг</w:t>
            </w:r>
          </w:p>
        </w:tc>
        <w:tc>
          <w:tcPr>
            <w:tcW w:w="486" w:type="pct"/>
            <w:vAlign w:val="center"/>
          </w:tcPr>
          <w:p w14:paraId="5D774B0D" w14:textId="77777777" w:rsidR="0089207C" w:rsidRPr="00AC3044" w:rsidRDefault="0089207C" w:rsidP="002D3EBF">
            <w:pPr>
              <w:rPr>
                <w:rFonts w:eastAsia="SimSun"/>
              </w:rPr>
            </w:pPr>
            <w:r w:rsidRPr="00AC3044">
              <w:rPr>
                <w:rFonts w:eastAsia="SimSun"/>
              </w:rPr>
              <w:t>–</w:t>
            </w:r>
          </w:p>
        </w:tc>
        <w:tc>
          <w:tcPr>
            <w:tcW w:w="1370" w:type="pct"/>
            <w:vAlign w:val="center"/>
          </w:tcPr>
          <w:p w14:paraId="44871048" w14:textId="77777777" w:rsidR="0089207C" w:rsidRPr="00AC3044" w:rsidRDefault="0089207C" w:rsidP="002D3EBF">
            <w:pPr>
              <w:rPr>
                <w:rFonts w:eastAsia="SimSun"/>
              </w:rPr>
            </w:pPr>
            <w:r w:rsidRPr="00AC3044">
              <w:rPr>
                <w:rFonts w:eastAsia="SimSun"/>
              </w:rPr>
              <w:t>За сутки до введения бусульфана, в дни приема бусульфана, день следующий после окончания приема бусульфана</w:t>
            </w:r>
          </w:p>
        </w:tc>
        <w:tc>
          <w:tcPr>
            <w:tcW w:w="1229" w:type="pct"/>
            <w:vAlign w:val="center"/>
          </w:tcPr>
          <w:p w14:paraId="0C887CD7" w14:textId="77777777" w:rsidR="0089207C" w:rsidRPr="00AC3044" w:rsidRDefault="0089207C" w:rsidP="002D3EBF">
            <w:pPr>
              <w:rPr>
                <w:rFonts w:eastAsia="SimSun"/>
              </w:rPr>
            </w:pPr>
            <w:r w:rsidRPr="00AC3044">
              <w:rPr>
                <w:rFonts w:eastAsia="SimSun"/>
              </w:rPr>
              <w:t>Внутрь, по 1000 мг 2 раза/сут</w:t>
            </w:r>
          </w:p>
        </w:tc>
      </w:tr>
      <w:tr w:rsidR="0089207C" w:rsidRPr="00AC3044" w14:paraId="43D0AF95" w14:textId="77777777" w:rsidTr="002D3EBF">
        <w:trPr>
          <w:cantSplit/>
          <w:trHeight w:val="464"/>
        </w:trPr>
        <w:tc>
          <w:tcPr>
            <w:tcW w:w="5000" w:type="pct"/>
            <w:gridSpan w:val="6"/>
          </w:tcPr>
          <w:p w14:paraId="4550B230" w14:textId="77777777" w:rsidR="0089207C" w:rsidRPr="00AC3044" w:rsidRDefault="0089207C" w:rsidP="002D3EBF">
            <w:pPr>
              <w:rPr>
                <w:rFonts w:eastAsia="SimSun"/>
              </w:rPr>
            </w:pPr>
            <w:r w:rsidRPr="00AC3044">
              <w:rPr>
                <w:rFonts w:eastAsia="SimSun"/>
              </w:rPr>
              <w:t>Антисекреторная терапия</w:t>
            </w:r>
          </w:p>
        </w:tc>
      </w:tr>
      <w:tr w:rsidR="0089207C" w:rsidRPr="00AC3044" w14:paraId="01EE2F8A" w14:textId="77777777" w:rsidTr="002D3EBF">
        <w:trPr>
          <w:cantSplit/>
          <w:trHeight w:val="464"/>
        </w:trPr>
        <w:tc>
          <w:tcPr>
            <w:tcW w:w="168" w:type="pct"/>
          </w:tcPr>
          <w:p w14:paraId="37ECC04B" w14:textId="77777777" w:rsidR="0089207C" w:rsidRPr="00AC3044" w:rsidRDefault="0089207C" w:rsidP="002D3EBF">
            <w:pPr>
              <w:rPr>
                <w:rFonts w:eastAsia="SimSun"/>
              </w:rPr>
            </w:pPr>
            <w:r w:rsidRPr="00AC3044">
              <w:rPr>
                <w:rFonts w:eastAsia="SimSun"/>
              </w:rPr>
              <w:t>1</w:t>
            </w:r>
          </w:p>
        </w:tc>
        <w:tc>
          <w:tcPr>
            <w:tcW w:w="1133" w:type="pct"/>
            <w:vAlign w:val="center"/>
          </w:tcPr>
          <w:p w14:paraId="1099DCEF" w14:textId="77777777" w:rsidR="0089207C" w:rsidRPr="00AC3044" w:rsidRDefault="0089207C" w:rsidP="002D3EBF">
            <w:pPr>
              <w:rPr>
                <w:rFonts w:eastAsia="SimSun"/>
              </w:rPr>
            </w:pPr>
            <w:r w:rsidRPr="00AC3044">
              <w:rPr>
                <w:rFonts w:eastAsia="SimSun"/>
              </w:rPr>
              <w:t xml:space="preserve">Омепразол </w:t>
            </w:r>
          </w:p>
        </w:tc>
        <w:tc>
          <w:tcPr>
            <w:tcW w:w="614" w:type="pct"/>
            <w:vAlign w:val="center"/>
          </w:tcPr>
          <w:p w14:paraId="79BD6E93" w14:textId="77777777" w:rsidR="0089207C" w:rsidRPr="00AC3044" w:rsidRDefault="0089207C" w:rsidP="002D3EBF">
            <w:pPr>
              <w:rPr>
                <w:rFonts w:eastAsia="SimSun"/>
              </w:rPr>
            </w:pPr>
            <w:r w:rsidRPr="00AC3044">
              <w:rPr>
                <w:rFonts w:eastAsia="SimSun"/>
              </w:rPr>
              <w:t>20-40 мг</w:t>
            </w:r>
          </w:p>
        </w:tc>
        <w:tc>
          <w:tcPr>
            <w:tcW w:w="486" w:type="pct"/>
            <w:vAlign w:val="center"/>
          </w:tcPr>
          <w:p w14:paraId="7347EE9E" w14:textId="77777777" w:rsidR="0089207C" w:rsidRPr="00AC3044" w:rsidRDefault="0089207C" w:rsidP="002D3EBF">
            <w:pPr>
              <w:rPr>
                <w:rFonts w:eastAsia="SimSun"/>
              </w:rPr>
            </w:pPr>
            <w:r w:rsidRPr="00AC3044">
              <w:rPr>
                <w:rFonts w:eastAsia="SimSun"/>
              </w:rPr>
              <w:t>–</w:t>
            </w:r>
          </w:p>
        </w:tc>
        <w:tc>
          <w:tcPr>
            <w:tcW w:w="1370" w:type="pct"/>
            <w:vAlign w:val="center"/>
          </w:tcPr>
          <w:p w14:paraId="299A0EEC" w14:textId="77777777" w:rsidR="0089207C" w:rsidRPr="00AC3044" w:rsidRDefault="0089207C" w:rsidP="002D3EBF">
            <w:pPr>
              <w:rPr>
                <w:rFonts w:eastAsia="SimSun"/>
              </w:rPr>
            </w:pPr>
            <w:r w:rsidRPr="00AC3044">
              <w:rPr>
                <w:rFonts w:eastAsia="SimSun"/>
              </w:rPr>
              <w:t>В соответсвии с клинической ситуацией, в среднем 14-42 дня</w:t>
            </w:r>
          </w:p>
        </w:tc>
        <w:tc>
          <w:tcPr>
            <w:tcW w:w="1229" w:type="pct"/>
          </w:tcPr>
          <w:p w14:paraId="163B4064" w14:textId="77777777" w:rsidR="0089207C" w:rsidRPr="00AC3044" w:rsidRDefault="0089207C" w:rsidP="002D3EBF">
            <w:pPr>
              <w:rPr>
                <w:rFonts w:eastAsia="SimSun"/>
              </w:rPr>
            </w:pPr>
            <w:r w:rsidRPr="00AC3044">
              <w:rPr>
                <w:rFonts w:eastAsia="SimSun"/>
              </w:rPr>
              <w:t>Внутрь, 1 раз в сутки;</w:t>
            </w:r>
          </w:p>
          <w:p w14:paraId="7A21E8D5" w14:textId="77777777" w:rsidR="0089207C" w:rsidRPr="00AC3044" w:rsidRDefault="0089207C" w:rsidP="002D3EBF">
            <w:pPr>
              <w:rPr>
                <w:rFonts w:eastAsia="SimSun"/>
              </w:rPr>
            </w:pPr>
            <w:r w:rsidRPr="00AC3044">
              <w:rPr>
                <w:rFonts w:eastAsia="SimSun"/>
              </w:rPr>
              <w:t>в/в, 1 раз в сутки</w:t>
            </w:r>
          </w:p>
        </w:tc>
      </w:tr>
      <w:tr w:rsidR="0089207C" w:rsidRPr="00AC3044" w14:paraId="448DF04B" w14:textId="77777777" w:rsidTr="002D3EBF">
        <w:trPr>
          <w:cantSplit/>
          <w:trHeight w:val="464"/>
        </w:trPr>
        <w:tc>
          <w:tcPr>
            <w:tcW w:w="168" w:type="pct"/>
          </w:tcPr>
          <w:p w14:paraId="29A273DC" w14:textId="77777777" w:rsidR="0089207C" w:rsidRPr="00AC3044" w:rsidRDefault="0089207C" w:rsidP="002D3EBF">
            <w:pPr>
              <w:rPr>
                <w:rFonts w:eastAsia="SimSun"/>
              </w:rPr>
            </w:pPr>
            <w:r w:rsidRPr="00AC3044">
              <w:rPr>
                <w:rFonts w:eastAsia="SimSun"/>
              </w:rPr>
              <w:t>2</w:t>
            </w:r>
          </w:p>
        </w:tc>
        <w:tc>
          <w:tcPr>
            <w:tcW w:w="1133" w:type="pct"/>
          </w:tcPr>
          <w:p w14:paraId="584397A3" w14:textId="77777777" w:rsidR="0089207C" w:rsidRPr="00AC3044" w:rsidRDefault="0089207C" w:rsidP="002D3EBF">
            <w:pPr>
              <w:rPr>
                <w:rFonts w:eastAsia="SimSun"/>
              </w:rPr>
            </w:pPr>
            <w:r w:rsidRPr="00AC3044">
              <w:rPr>
                <w:rFonts w:eastAsia="SimSun"/>
              </w:rPr>
              <w:t>Лансопразол</w:t>
            </w:r>
          </w:p>
        </w:tc>
        <w:tc>
          <w:tcPr>
            <w:tcW w:w="614" w:type="pct"/>
          </w:tcPr>
          <w:p w14:paraId="341D3B75" w14:textId="77777777" w:rsidR="0089207C" w:rsidRPr="00AC3044" w:rsidRDefault="0089207C" w:rsidP="002D3EBF">
            <w:pPr>
              <w:rPr>
                <w:rFonts w:eastAsia="SimSun"/>
              </w:rPr>
            </w:pPr>
            <w:r w:rsidRPr="00AC3044">
              <w:rPr>
                <w:rFonts w:eastAsia="SimSun"/>
              </w:rPr>
              <w:t xml:space="preserve">30 </w:t>
            </w:r>
          </w:p>
        </w:tc>
        <w:tc>
          <w:tcPr>
            <w:tcW w:w="486" w:type="pct"/>
            <w:vAlign w:val="center"/>
          </w:tcPr>
          <w:p w14:paraId="607EB8EA" w14:textId="77777777" w:rsidR="0089207C" w:rsidRPr="00AC3044" w:rsidRDefault="0089207C" w:rsidP="002D3EBF">
            <w:pPr>
              <w:rPr>
                <w:rFonts w:eastAsia="SimSun"/>
              </w:rPr>
            </w:pPr>
            <w:r w:rsidRPr="00AC3044">
              <w:rPr>
                <w:rFonts w:eastAsia="SimSun"/>
              </w:rPr>
              <w:t>–</w:t>
            </w:r>
          </w:p>
        </w:tc>
        <w:tc>
          <w:tcPr>
            <w:tcW w:w="1370" w:type="pct"/>
            <w:vAlign w:val="center"/>
          </w:tcPr>
          <w:p w14:paraId="7888D8CC" w14:textId="77777777" w:rsidR="0089207C" w:rsidRPr="00AC3044" w:rsidRDefault="0089207C" w:rsidP="002D3EBF">
            <w:pPr>
              <w:rPr>
                <w:rFonts w:eastAsia="SimSun"/>
              </w:rPr>
            </w:pPr>
            <w:r w:rsidRPr="00AC3044">
              <w:rPr>
                <w:rFonts w:eastAsia="SimSun"/>
              </w:rPr>
              <w:t>В соответсвии с клинической ситуацией, в среднем 14-42 дня</w:t>
            </w:r>
          </w:p>
        </w:tc>
        <w:tc>
          <w:tcPr>
            <w:tcW w:w="1229" w:type="pct"/>
          </w:tcPr>
          <w:p w14:paraId="34F20A9D" w14:textId="77777777" w:rsidR="0089207C" w:rsidRPr="00AC3044" w:rsidRDefault="0089207C" w:rsidP="002D3EBF">
            <w:pPr>
              <w:rPr>
                <w:rFonts w:eastAsia="SimSun"/>
              </w:rPr>
            </w:pPr>
            <w:r w:rsidRPr="00AC3044">
              <w:rPr>
                <w:rFonts w:eastAsia="SimSun"/>
              </w:rPr>
              <w:t>Внутрь, 1 раз в сутки</w:t>
            </w:r>
          </w:p>
        </w:tc>
      </w:tr>
      <w:tr w:rsidR="0089207C" w:rsidRPr="00AC3044" w14:paraId="654A04D9" w14:textId="77777777" w:rsidTr="002D3EBF">
        <w:trPr>
          <w:cantSplit/>
          <w:trHeight w:val="464"/>
        </w:trPr>
        <w:tc>
          <w:tcPr>
            <w:tcW w:w="168" w:type="pct"/>
          </w:tcPr>
          <w:p w14:paraId="14483D1F" w14:textId="77777777" w:rsidR="0089207C" w:rsidRPr="00AC3044" w:rsidRDefault="0089207C" w:rsidP="002D3EBF">
            <w:pPr>
              <w:rPr>
                <w:rFonts w:eastAsia="SimSun"/>
              </w:rPr>
            </w:pPr>
            <w:r w:rsidRPr="00AC3044">
              <w:rPr>
                <w:rFonts w:eastAsia="SimSun"/>
              </w:rPr>
              <w:t>3</w:t>
            </w:r>
          </w:p>
        </w:tc>
        <w:tc>
          <w:tcPr>
            <w:tcW w:w="1133" w:type="pct"/>
          </w:tcPr>
          <w:p w14:paraId="325D99DE" w14:textId="77777777" w:rsidR="0089207C" w:rsidRPr="00AC3044" w:rsidRDefault="0089207C" w:rsidP="002D3EBF">
            <w:pPr>
              <w:rPr>
                <w:rFonts w:eastAsia="SimSun"/>
              </w:rPr>
            </w:pPr>
            <w:r w:rsidRPr="00AC3044">
              <w:rPr>
                <w:rFonts w:eastAsia="SimSun"/>
              </w:rPr>
              <w:t>Пантопразол</w:t>
            </w:r>
          </w:p>
        </w:tc>
        <w:tc>
          <w:tcPr>
            <w:tcW w:w="614" w:type="pct"/>
          </w:tcPr>
          <w:p w14:paraId="4BE497B0" w14:textId="77777777" w:rsidR="0089207C" w:rsidRPr="00AC3044" w:rsidRDefault="0089207C" w:rsidP="002D3EBF">
            <w:pPr>
              <w:rPr>
                <w:rFonts w:eastAsia="SimSun"/>
              </w:rPr>
            </w:pPr>
            <w:r w:rsidRPr="00AC3044">
              <w:rPr>
                <w:rFonts w:eastAsia="SimSun"/>
              </w:rPr>
              <w:t xml:space="preserve">40 </w:t>
            </w:r>
          </w:p>
        </w:tc>
        <w:tc>
          <w:tcPr>
            <w:tcW w:w="486" w:type="pct"/>
            <w:vAlign w:val="center"/>
          </w:tcPr>
          <w:p w14:paraId="1B9C2410" w14:textId="77777777" w:rsidR="0089207C" w:rsidRPr="00AC3044" w:rsidRDefault="0089207C" w:rsidP="002D3EBF">
            <w:pPr>
              <w:rPr>
                <w:rFonts w:eastAsia="SimSun"/>
              </w:rPr>
            </w:pPr>
            <w:r w:rsidRPr="00AC3044">
              <w:rPr>
                <w:rFonts w:eastAsia="SimSun"/>
              </w:rPr>
              <w:t>–</w:t>
            </w:r>
          </w:p>
        </w:tc>
        <w:tc>
          <w:tcPr>
            <w:tcW w:w="1370" w:type="pct"/>
            <w:vAlign w:val="center"/>
          </w:tcPr>
          <w:p w14:paraId="50204D95" w14:textId="77777777" w:rsidR="0089207C" w:rsidRPr="00AC3044" w:rsidRDefault="0089207C" w:rsidP="002D3EBF">
            <w:pPr>
              <w:rPr>
                <w:rFonts w:eastAsia="SimSun"/>
              </w:rPr>
            </w:pPr>
            <w:r w:rsidRPr="00AC3044">
              <w:rPr>
                <w:rFonts w:eastAsia="SimSun"/>
              </w:rPr>
              <w:t>В соответсвии с клинической ситуацией, в среднем 14-42 дня</w:t>
            </w:r>
          </w:p>
        </w:tc>
        <w:tc>
          <w:tcPr>
            <w:tcW w:w="1229" w:type="pct"/>
          </w:tcPr>
          <w:p w14:paraId="024D29D2" w14:textId="77777777" w:rsidR="0089207C" w:rsidRPr="00AC3044" w:rsidRDefault="0089207C" w:rsidP="002D3EBF">
            <w:pPr>
              <w:rPr>
                <w:rFonts w:eastAsia="SimSun"/>
              </w:rPr>
            </w:pPr>
            <w:r w:rsidRPr="00AC3044">
              <w:rPr>
                <w:rFonts w:eastAsia="SimSun"/>
              </w:rPr>
              <w:t>Внутрь, 1 раз в сутки</w:t>
            </w:r>
          </w:p>
        </w:tc>
      </w:tr>
      <w:tr w:rsidR="0089207C" w:rsidRPr="00AC3044" w14:paraId="7E15DEFC" w14:textId="77777777" w:rsidTr="002D3EBF">
        <w:trPr>
          <w:cantSplit/>
          <w:trHeight w:val="464"/>
        </w:trPr>
        <w:tc>
          <w:tcPr>
            <w:tcW w:w="168" w:type="pct"/>
          </w:tcPr>
          <w:p w14:paraId="63A8F570" w14:textId="77777777" w:rsidR="0089207C" w:rsidRPr="00AC3044" w:rsidRDefault="0089207C" w:rsidP="002D3EBF">
            <w:pPr>
              <w:rPr>
                <w:rFonts w:eastAsia="SimSun"/>
              </w:rPr>
            </w:pPr>
            <w:r w:rsidRPr="00AC3044">
              <w:rPr>
                <w:rFonts w:eastAsia="SimSun"/>
              </w:rPr>
              <w:t>4</w:t>
            </w:r>
          </w:p>
        </w:tc>
        <w:tc>
          <w:tcPr>
            <w:tcW w:w="1133" w:type="pct"/>
          </w:tcPr>
          <w:p w14:paraId="63DCBD26" w14:textId="77777777" w:rsidR="0089207C" w:rsidRPr="00AC3044" w:rsidRDefault="0089207C" w:rsidP="002D3EBF">
            <w:pPr>
              <w:rPr>
                <w:rFonts w:eastAsia="SimSun"/>
              </w:rPr>
            </w:pPr>
            <w:r w:rsidRPr="00AC3044">
              <w:rPr>
                <w:rFonts w:eastAsia="SimSun"/>
              </w:rPr>
              <w:t>Рабепразол</w:t>
            </w:r>
          </w:p>
        </w:tc>
        <w:tc>
          <w:tcPr>
            <w:tcW w:w="614" w:type="pct"/>
          </w:tcPr>
          <w:p w14:paraId="2651577D" w14:textId="77777777" w:rsidR="0089207C" w:rsidRPr="00AC3044" w:rsidRDefault="0089207C" w:rsidP="002D3EBF">
            <w:pPr>
              <w:rPr>
                <w:rFonts w:eastAsia="SimSun"/>
              </w:rPr>
            </w:pPr>
            <w:r w:rsidRPr="00AC3044">
              <w:rPr>
                <w:rFonts w:eastAsia="SimSun"/>
              </w:rPr>
              <w:t>20</w:t>
            </w:r>
          </w:p>
        </w:tc>
        <w:tc>
          <w:tcPr>
            <w:tcW w:w="486" w:type="pct"/>
            <w:vAlign w:val="center"/>
          </w:tcPr>
          <w:p w14:paraId="1996137B" w14:textId="77777777" w:rsidR="0089207C" w:rsidRPr="00AC3044" w:rsidRDefault="0089207C" w:rsidP="002D3EBF">
            <w:pPr>
              <w:rPr>
                <w:rFonts w:eastAsia="SimSun"/>
              </w:rPr>
            </w:pPr>
            <w:r w:rsidRPr="00AC3044">
              <w:rPr>
                <w:rFonts w:eastAsia="SimSun"/>
              </w:rPr>
              <w:t>–</w:t>
            </w:r>
          </w:p>
        </w:tc>
        <w:tc>
          <w:tcPr>
            <w:tcW w:w="1370" w:type="pct"/>
            <w:vAlign w:val="center"/>
          </w:tcPr>
          <w:p w14:paraId="2D760A96" w14:textId="77777777" w:rsidR="0089207C" w:rsidRPr="00AC3044" w:rsidRDefault="0089207C" w:rsidP="002D3EBF">
            <w:pPr>
              <w:rPr>
                <w:rFonts w:eastAsia="SimSun"/>
              </w:rPr>
            </w:pPr>
            <w:r w:rsidRPr="00AC3044">
              <w:rPr>
                <w:rFonts w:eastAsia="SimSun"/>
              </w:rPr>
              <w:t>В соответсвии с клинической ситуацией, в среднем 14-42 дня</w:t>
            </w:r>
          </w:p>
        </w:tc>
        <w:tc>
          <w:tcPr>
            <w:tcW w:w="1229" w:type="pct"/>
          </w:tcPr>
          <w:p w14:paraId="2480D91C" w14:textId="77777777" w:rsidR="0089207C" w:rsidRPr="00AC3044" w:rsidRDefault="0089207C" w:rsidP="002D3EBF">
            <w:pPr>
              <w:rPr>
                <w:rFonts w:eastAsia="SimSun"/>
              </w:rPr>
            </w:pPr>
            <w:r w:rsidRPr="00AC3044">
              <w:rPr>
                <w:rFonts w:eastAsia="SimSun"/>
              </w:rPr>
              <w:t>Внутрь, 1 раз в сутки</w:t>
            </w:r>
          </w:p>
        </w:tc>
      </w:tr>
      <w:tr w:rsidR="0089207C" w:rsidRPr="00AC3044" w14:paraId="4C6AACA3" w14:textId="77777777" w:rsidTr="002D3EBF">
        <w:trPr>
          <w:cantSplit/>
          <w:trHeight w:val="464"/>
        </w:trPr>
        <w:tc>
          <w:tcPr>
            <w:tcW w:w="168" w:type="pct"/>
          </w:tcPr>
          <w:p w14:paraId="28186541" w14:textId="77777777" w:rsidR="0089207C" w:rsidRPr="00AC3044" w:rsidRDefault="0089207C" w:rsidP="002D3EBF">
            <w:pPr>
              <w:rPr>
                <w:rFonts w:eastAsia="SimSun"/>
              </w:rPr>
            </w:pPr>
            <w:r w:rsidRPr="00AC3044">
              <w:rPr>
                <w:rFonts w:eastAsia="SimSun"/>
              </w:rPr>
              <w:t>5</w:t>
            </w:r>
          </w:p>
        </w:tc>
        <w:tc>
          <w:tcPr>
            <w:tcW w:w="1133" w:type="pct"/>
          </w:tcPr>
          <w:p w14:paraId="4AF14442" w14:textId="77777777" w:rsidR="0089207C" w:rsidRPr="00AC3044" w:rsidRDefault="0089207C" w:rsidP="002D3EBF">
            <w:pPr>
              <w:rPr>
                <w:rFonts w:eastAsia="SimSun"/>
              </w:rPr>
            </w:pPr>
            <w:r w:rsidRPr="00AC3044">
              <w:rPr>
                <w:rFonts w:eastAsia="SimSun"/>
              </w:rPr>
              <w:t>Эзомепразол</w:t>
            </w:r>
          </w:p>
        </w:tc>
        <w:tc>
          <w:tcPr>
            <w:tcW w:w="614" w:type="pct"/>
          </w:tcPr>
          <w:p w14:paraId="24D4630F" w14:textId="77777777" w:rsidR="0089207C" w:rsidRPr="00AC3044" w:rsidRDefault="0089207C" w:rsidP="002D3EBF">
            <w:pPr>
              <w:rPr>
                <w:rFonts w:eastAsia="SimSun"/>
              </w:rPr>
            </w:pPr>
            <w:r w:rsidRPr="00AC3044">
              <w:rPr>
                <w:rFonts w:eastAsia="SimSun"/>
              </w:rPr>
              <w:t>20</w:t>
            </w:r>
          </w:p>
        </w:tc>
        <w:tc>
          <w:tcPr>
            <w:tcW w:w="486" w:type="pct"/>
            <w:vAlign w:val="center"/>
          </w:tcPr>
          <w:p w14:paraId="02E8EA14" w14:textId="77777777" w:rsidR="0089207C" w:rsidRPr="00AC3044" w:rsidRDefault="0089207C" w:rsidP="002D3EBF">
            <w:pPr>
              <w:rPr>
                <w:rFonts w:eastAsia="SimSun"/>
              </w:rPr>
            </w:pPr>
            <w:r w:rsidRPr="00AC3044">
              <w:rPr>
                <w:rFonts w:eastAsia="SimSun"/>
              </w:rPr>
              <w:t>–</w:t>
            </w:r>
          </w:p>
        </w:tc>
        <w:tc>
          <w:tcPr>
            <w:tcW w:w="1370" w:type="pct"/>
            <w:vAlign w:val="center"/>
          </w:tcPr>
          <w:p w14:paraId="3C68BA83" w14:textId="77777777" w:rsidR="0089207C" w:rsidRPr="00AC3044" w:rsidRDefault="0089207C" w:rsidP="002D3EBF">
            <w:pPr>
              <w:rPr>
                <w:rFonts w:eastAsia="SimSun"/>
              </w:rPr>
            </w:pPr>
            <w:r w:rsidRPr="00AC3044">
              <w:rPr>
                <w:rFonts w:eastAsia="SimSun"/>
              </w:rPr>
              <w:t>В соответсвии с клинической ситуацией, в среднем 14-42 дня</w:t>
            </w:r>
          </w:p>
        </w:tc>
        <w:tc>
          <w:tcPr>
            <w:tcW w:w="1229" w:type="pct"/>
          </w:tcPr>
          <w:p w14:paraId="18C804BE" w14:textId="77777777" w:rsidR="0089207C" w:rsidRPr="00AC3044" w:rsidRDefault="0089207C" w:rsidP="002D3EBF">
            <w:pPr>
              <w:rPr>
                <w:rFonts w:eastAsia="SimSun"/>
              </w:rPr>
            </w:pPr>
            <w:r w:rsidRPr="00AC3044">
              <w:rPr>
                <w:rFonts w:eastAsia="SimSun"/>
              </w:rPr>
              <w:t>Внутрь или в/в, 1 раз в сутки</w:t>
            </w:r>
          </w:p>
        </w:tc>
      </w:tr>
      <w:tr w:rsidR="0089207C" w:rsidRPr="00AC3044" w14:paraId="47DCF188" w14:textId="77777777" w:rsidTr="002D3EBF">
        <w:trPr>
          <w:cantSplit/>
          <w:trHeight w:val="464"/>
        </w:trPr>
        <w:tc>
          <w:tcPr>
            <w:tcW w:w="168" w:type="pct"/>
          </w:tcPr>
          <w:p w14:paraId="336DCB39" w14:textId="77777777" w:rsidR="0089207C" w:rsidRPr="00AC3044" w:rsidRDefault="0089207C" w:rsidP="002D3EBF">
            <w:pPr>
              <w:rPr>
                <w:rFonts w:eastAsia="SimSun"/>
              </w:rPr>
            </w:pPr>
            <w:r w:rsidRPr="00AC3044">
              <w:rPr>
                <w:rFonts w:eastAsia="SimSun"/>
              </w:rPr>
              <w:t>6</w:t>
            </w:r>
          </w:p>
        </w:tc>
        <w:tc>
          <w:tcPr>
            <w:tcW w:w="1133" w:type="pct"/>
          </w:tcPr>
          <w:p w14:paraId="161A13AA" w14:textId="77777777" w:rsidR="0089207C" w:rsidRPr="00AC3044" w:rsidRDefault="0089207C" w:rsidP="002D3EBF">
            <w:pPr>
              <w:rPr>
                <w:rFonts w:eastAsia="SimSun"/>
              </w:rPr>
            </w:pPr>
            <w:r w:rsidRPr="00AC3044">
              <w:rPr>
                <w:rFonts w:eastAsia="SimSun"/>
              </w:rPr>
              <w:t>Ранитидин</w:t>
            </w:r>
          </w:p>
        </w:tc>
        <w:tc>
          <w:tcPr>
            <w:tcW w:w="614" w:type="pct"/>
          </w:tcPr>
          <w:p w14:paraId="01711EF4" w14:textId="77777777" w:rsidR="0089207C" w:rsidRPr="00AC3044" w:rsidRDefault="0089207C" w:rsidP="002D3EBF">
            <w:pPr>
              <w:rPr>
                <w:rFonts w:eastAsia="SimSun"/>
              </w:rPr>
            </w:pPr>
            <w:r w:rsidRPr="00AC3044">
              <w:rPr>
                <w:rFonts w:eastAsia="SimSun"/>
              </w:rPr>
              <w:t>150</w:t>
            </w:r>
          </w:p>
        </w:tc>
        <w:tc>
          <w:tcPr>
            <w:tcW w:w="486" w:type="pct"/>
            <w:vAlign w:val="center"/>
          </w:tcPr>
          <w:p w14:paraId="6BBD20F9" w14:textId="77777777" w:rsidR="0089207C" w:rsidRPr="00AC3044" w:rsidRDefault="0089207C" w:rsidP="002D3EBF">
            <w:pPr>
              <w:rPr>
                <w:rFonts w:eastAsia="SimSun"/>
              </w:rPr>
            </w:pPr>
            <w:r w:rsidRPr="00AC3044">
              <w:rPr>
                <w:rFonts w:eastAsia="SimSun"/>
              </w:rPr>
              <w:t>–</w:t>
            </w:r>
          </w:p>
        </w:tc>
        <w:tc>
          <w:tcPr>
            <w:tcW w:w="1370" w:type="pct"/>
            <w:vAlign w:val="center"/>
          </w:tcPr>
          <w:p w14:paraId="51A6E259" w14:textId="77777777" w:rsidR="0089207C" w:rsidRPr="00AC3044" w:rsidRDefault="0089207C" w:rsidP="002D3EBF">
            <w:pPr>
              <w:rPr>
                <w:rFonts w:eastAsia="SimSun"/>
              </w:rPr>
            </w:pPr>
            <w:r w:rsidRPr="00AC3044">
              <w:rPr>
                <w:rFonts w:eastAsia="SimSun"/>
              </w:rPr>
              <w:t>В соответсвии с клинической ситуацией, в среднем 14-42 дня</w:t>
            </w:r>
          </w:p>
        </w:tc>
        <w:tc>
          <w:tcPr>
            <w:tcW w:w="1229" w:type="pct"/>
          </w:tcPr>
          <w:p w14:paraId="0A46594F" w14:textId="77777777" w:rsidR="0089207C" w:rsidRPr="00AC3044" w:rsidRDefault="0089207C" w:rsidP="002D3EBF">
            <w:pPr>
              <w:rPr>
                <w:rFonts w:eastAsia="SimSun"/>
              </w:rPr>
            </w:pPr>
            <w:r w:rsidRPr="00AC3044">
              <w:rPr>
                <w:rFonts w:eastAsia="SimSun"/>
              </w:rPr>
              <w:t>Внутрь, 1 раз в сутки, на ночь</w:t>
            </w:r>
          </w:p>
        </w:tc>
      </w:tr>
      <w:tr w:rsidR="0089207C" w:rsidRPr="00AC3044" w14:paraId="016483CF" w14:textId="77777777" w:rsidTr="002D3EBF">
        <w:trPr>
          <w:cantSplit/>
          <w:trHeight w:val="464"/>
        </w:trPr>
        <w:tc>
          <w:tcPr>
            <w:tcW w:w="168" w:type="pct"/>
          </w:tcPr>
          <w:p w14:paraId="022AD357" w14:textId="77777777" w:rsidR="0089207C" w:rsidRPr="00AC3044" w:rsidRDefault="0089207C" w:rsidP="002D3EBF">
            <w:pPr>
              <w:rPr>
                <w:rFonts w:eastAsia="SimSun"/>
              </w:rPr>
            </w:pPr>
            <w:r w:rsidRPr="00AC3044">
              <w:rPr>
                <w:rFonts w:eastAsia="SimSun"/>
              </w:rPr>
              <w:t>7</w:t>
            </w:r>
          </w:p>
        </w:tc>
        <w:tc>
          <w:tcPr>
            <w:tcW w:w="1133" w:type="pct"/>
          </w:tcPr>
          <w:p w14:paraId="3FFA576B" w14:textId="77777777" w:rsidR="0089207C" w:rsidRPr="00AC3044" w:rsidRDefault="0089207C" w:rsidP="002D3EBF">
            <w:pPr>
              <w:rPr>
                <w:rFonts w:eastAsia="SimSun"/>
              </w:rPr>
            </w:pPr>
            <w:r w:rsidRPr="00AC3044">
              <w:rPr>
                <w:rFonts w:eastAsia="SimSun"/>
              </w:rPr>
              <w:t>Фамотидин</w:t>
            </w:r>
          </w:p>
        </w:tc>
        <w:tc>
          <w:tcPr>
            <w:tcW w:w="614" w:type="pct"/>
          </w:tcPr>
          <w:p w14:paraId="01F8812A" w14:textId="77777777" w:rsidR="0089207C" w:rsidRPr="00AC3044" w:rsidRDefault="0089207C" w:rsidP="002D3EBF">
            <w:pPr>
              <w:rPr>
                <w:rFonts w:eastAsia="SimSun"/>
              </w:rPr>
            </w:pPr>
            <w:r w:rsidRPr="00AC3044">
              <w:rPr>
                <w:rFonts w:eastAsia="SimSun"/>
              </w:rPr>
              <w:t xml:space="preserve">20 </w:t>
            </w:r>
          </w:p>
        </w:tc>
        <w:tc>
          <w:tcPr>
            <w:tcW w:w="486" w:type="pct"/>
            <w:vAlign w:val="center"/>
          </w:tcPr>
          <w:p w14:paraId="357FD1D8" w14:textId="77777777" w:rsidR="0089207C" w:rsidRPr="00AC3044" w:rsidRDefault="0089207C" w:rsidP="002D3EBF">
            <w:pPr>
              <w:rPr>
                <w:rFonts w:eastAsia="SimSun"/>
              </w:rPr>
            </w:pPr>
            <w:r w:rsidRPr="00AC3044">
              <w:rPr>
                <w:rFonts w:eastAsia="SimSun"/>
              </w:rPr>
              <w:t>–</w:t>
            </w:r>
          </w:p>
        </w:tc>
        <w:tc>
          <w:tcPr>
            <w:tcW w:w="1370" w:type="pct"/>
            <w:vAlign w:val="center"/>
          </w:tcPr>
          <w:p w14:paraId="03A21E0C" w14:textId="77777777" w:rsidR="0089207C" w:rsidRPr="00AC3044" w:rsidRDefault="0089207C" w:rsidP="002D3EBF">
            <w:pPr>
              <w:rPr>
                <w:rFonts w:eastAsia="SimSun"/>
              </w:rPr>
            </w:pPr>
            <w:r w:rsidRPr="00AC3044">
              <w:rPr>
                <w:rFonts w:eastAsia="SimSun"/>
              </w:rPr>
              <w:t>В соответсвии с клинической ситуацией, в среднем 14-42 дня</w:t>
            </w:r>
          </w:p>
        </w:tc>
        <w:tc>
          <w:tcPr>
            <w:tcW w:w="1229" w:type="pct"/>
          </w:tcPr>
          <w:p w14:paraId="7D675CEA" w14:textId="77777777" w:rsidR="0089207C" w:rsidRPr="00AC3044" w:rsidRDefault="0089207C" w:rsidP="002D3EBF">
            <w:pPr>
              <w:rPr>
                <w:rFonts w:eastAsia="SimSun"/>
              </w:rPr>
            </w:pPr>
            <w:r w:rsidRPr="00AC3044">
              <w:rPr>
                <w:rFonts w:eastAsia="SimSun"/>
              </w:rPr>
              <w:t>Внутрь, 1 раз в сутки, на ночь</w:t>
            </w:r>
          </w:p>
        </w:tc>
      </w:tr>
      <w:tr w:rsidR="0089207C" w:rsidRPr="00AC3044" w14:paraId="7FAD0085" w14:textId="77777777" w:rsidTr="002D3EBF">
        <w:trPr>
          <w:cantSplit/>
          <w:trHeight w:val="20"/>
        </w:trPr>
        <w:tc>
          <w:tcPr>
            <w:tcW w:w="5000" w:type="pct"/>
            <w:gridSpan w:val="6"/>
          </w:tcPr>
          <w:p w14:paraId="082146FD" w14:textId="77777777" w:rsidR="0089207C" w:rsidRPr="00AC3044" w:rsidRDefault="0089207C" w:rsidP="002D3EBF">
            <w:pPr>
              <w:rPr>
                <w:rFonts w:eastAsia="SimSun"/>
              </w:rPr>
            </w:pPr>
            <w:r w:rsidRPr="00AC3044">
              <w:rPr>
                <w:rFonts w:eastAsia="SimSun"/>
              </w:rPr>
              <w:t>Наркотическая обезболивающая терапия</w:t>
            </w:r>
          </w:p>
        </w:tc>
      </w:tr>
      <w:tr w:rsidR="0089207C" w:rsidRPr="00AC3044" w14:paraId="41ADE9AB" w14:textId="77777777" w:rsidTr="002D3EBF">
        <w:trPr>
          <w:cantSplit/>
          <w:trHeight w:val="20"/>
        </w:trPr>
        <w:tc>
          <w:tcPr>
            <w:tcW w:w="168" w:type="pct"/>
          </w:tcPr>
          <w:p w14:paraId="2AF9E4E4" w14:textId="77777777" w:rsidR="0089207C" w:rsidRPr="00AC3044" w:rsidRDefault="0089207C" w:rsidP="002D3EBF">
            <w:pPr>
              <w:rPr>
                <w:rFonts w:eastAsia="SimSun"/>
              </w:rPr>
            </w:pPr>
            <w:r w:rsidRPr="00AC3044">
              <w:rPr>
                <w:rFonts w:eastAsia="SimSun"/>
              </w:rPr>
              <w:t>1</w:t>
            </w:r>
          </w:p>
        </w:tc>
        <w:tc>
          <w:tcPr>
            <w:tcW w:w="1133" w:type="pct"/>
            <w:vAlign w:val="center"/>
          </w:tcPr>
          <w:p w14:paraId="4FCED6B8" w14:textId="77777777" w:rsidR="0089207C" w:rsidRPr="00AC3044" w:rsidRDefault="0089207C" w:rsidP="002D3EBF">
            <w:pPr>
              <w:rPr>
                <w:rFonts w:eastAsia="SimSun"/>
              </w:rPr>
            </w:pPr>
            <w:r w:rsidRPr="00AC3044">
              <w:rPr>
                <w:rFonts w:eastAsia="SimSun"/>
              </w:rPr>
              <w:t xml:space="preserve">Промедол </w:t>
            </w:r>
          </w:p>
        </w:tc>
        <w:tc>
          <w:tcPr>
            <w:tcW w:w="2470" w:type="pct"/>
            <w:gridSpan w:val="3"/>
            <w:vAlign w:val="center"/>
          </w:tcPr>
          <w:p w14:paraId="4D102D28" w14:textId="77777777" w:rsidR="0089207C" w:rsidRPr="00AC3044" w:rsidRDefault="0089207C" w:rsidP="002D3EBF">
            <w:pPr>
              <w:rPr>
                <w:rFonts w:eastAsia="SimSun"/>
              </w:rPr>
            </w:pPr>
            <w:r w:rsidRPr="00AC3044">
              <w:rPr>
                <w:rFonts w:eastAsia="SimSun"/>
              </w:rPr>
              <w:t>В соответсвии с клинической ситуацией</w:t>
            </w:r>
          </w:p>
        </w:tc>
        <w:tc>
          <w:tcPr>
            <w:tcW w:w="1229" w:type="pct"/>
            <w:vAlign w:val="center"/>
          </w:tcPr>
          <w:p w14:paraId="00A128FC" w14:textId="77777777" w:rsidR="0089207C" w:rsidRPr="00AC3044" w:rsidRDefault="0089207C" w:rsidP="002D3EBF">
            <w:pPr>
              <w:rPr>
                <w:rFonts w:eastAsia="SimSun"/>
              </w:rPr>
            </w:pPr>
            <w:r w:rsidRPr="00AC3044">
              <w:rPr>
                <w:rFonts w:eastAsia="SimSun"/>
              </w:rPr>
              <w:t>В/в</w:t>
            </w:r>
          </w:p>
        </w:tc>
      </w:tr>
      <w:tr w:rsidR="0089207C" w:rsidRPr="00AC3044" w14:paraId="2D90E840" w14:textId="77777777" w:rsidTr="002D3EBF">
        <w:trPr>
          <w:cantSplit/>
          <w:trHeight w:val="20"/>
        </w:trPr>
        <w:tc>
          <w:tcPr>
            <w:tcW w:w="168" w:type="pct"/>
          </w:tcPr>
          <w:p w14:paraId="47EA1FB6" w14:textId="77777777" w:rsidR="0089207C" w:rsidRPr="00AC3044" w:rsidRDefault="0089207C" w:rsidP="002D3EBF">
            <w:pPr>
              <w:rPr>
                <w:rFonts w:eastAsia="SimSun"/>
              </w:rPr>
            </w:pPr>
            <w:r w:rsidRPr="00AC3044">
              <w:rPr>
                <w:rFonts w:eastAsia="SimSun"/>
              </w:rPr>
              <w:t>2</w:t>
            </w:r>
          </w:p>
        </w:tc>
        <w:tc>
          <w:tcPr>
            <w:tcW w:w="1133" w:type="pct"/>
            <w:vAlign w:val="center"/>
          </w:tcPr>
          <w:p w14:paraId="7BCF5F35" w14:textId="77777777" w:rsidR="0089207C" w:rsidRPr="00AC3044" w:rsidRDefault="0089207C" w:rsidP="002D3EBF">
            <w:pPr>
              <w:rPr>
                <w:rFonts w:eastAsia="SimSun"/>
              </w:rPr>
            </w:pPr>
            <w:r w:rsidRPr="00AC3044">
              <w:rPr>
                <w:rFonts w:eastAsia="SimSun"/>
              </w:rPr>
              <w:t>Трамадол</w:t>
            </w:r>
          </w:p>
        </w:tc>
        <w:tc>
          <w:tcPr>
            <w:tcW w:w="2470" w:type="pct"/>
            <w:gridSpan w:val="3"/>
            <w:vAlign w:val="center"/>
          </w:tcPr>
          <w:p w14:paraId="5D846924" w14:textId="77777777" w:rsidR="0089207C" w:rsidRPr="00AC3044" w:rsidRDefault="0089207C" w:rsidP="002D3EBF">
            <w:pPr>
              <w:rPr>
                <w:rFonts w:eastAsia="SimSun"/>
              </w:rPr>
            </w:pPr>
            <w:r w:rsidRPr="00AC3044">
              <w:rPr>
                <w:rFonts w:eastAsia="SimSun"/>
              </w:rPr>
              <w:t>В соответсвии с клинической ситуацией</w:t>
            </w:r>
          </w:p>
        </w:tc>
        <w:tc>
          <w:tcPr>
            <w:tcW w:w="1229" w:type="pct"/>
            <w:vAlign w:val="center"/>
          </w:tcPr>
          <w:p w14:paraId="3BC271B4" w14:textId="77777777" w:rsidR="0089207C" w:rsidRPr="00AC3044" w:rsidRDefault="0089207C" w:rsidP="002D3EBF">
            <w:pPr>
              <w:rPr>
                <w:rFonts w:eastAsia="SimSun"/>
              </w:rPr>
            </w:pPr>
            <w:r w:rsidRPr="00AC3044">
              <w:rPr>
                <w:rFonts w:eastAsia="SimSun"/>
              </w:rPr>
              <w:t>В/в</w:t>
            </w:r>
          </w:p>
        </w:tc>
      </w:tr>
      <w:tr w:rsidR="0089207C" w:rsidRPr="00AC3044" w14:paraId="16FED69E" w14:textId="77777777" w:rsidTr="002D3EBF">
        <w:trPr>
          <w:cantSplit/>
          <w:trHeight w:val="20"/>
        </w:trPr>
        <w:tc>
          <w:tcPr>
            <w:tcW w:w="168" w:type="pct"/>
          </w:tcPr>
          <w:p w14:paraId="2B2A9B45" w14:textId="77777777" w:rsidR="0089207C" w:rsidRPr="00AC3044" w:rsidRDefault="0089207C" w:rsidP="002D3EBF">
            <w:pPr>
              <w:rPr>
                <w:rFonts w:eastAsia="SimSun"/>
              </w:rPr>
            </w:pPr>
            <w:r w:rsidRPr="00AC3044">
              <w:rPr>
                <w:rFonts w:eastAsia="SimSun"/>
              </w:rPr>
              <w:t>3</w:t>
            </w:r>
          </w:p>
        </w:tc>
        <w:tc>
          <w:tcPr>
            <w:tcW w:w="1133" w:type="pct"/>
            <w:vAlign w:val="center"/>
          </w:tcPr>
          <w:p w14:paraId="1C936C80" w14:textId="77777777" w:rsidR="0089207C" w:rsidRPr="00AC3044" w:rsidRDefault="0089207C" w:rsidP="002D3EBF">
            <w:pPr>
              <w:rPr>
                <w:rFonts w:eastAsia="SimSun"/>
              </w:rPr>
            </w:pPr>
            <w:r w:rsidRPr="00AC3044">
              <w:rPr>
                <w:rFonts w:eastAsia="SimSun"/>
              </w:rPr>
              <w:t>Фентанил</w:t>
            </w:r>
          </w:p>
        </w:tc>
        <w:tc>
          <w:tcPr>
            <w:tcW w:w="2470" w:type="pct"/>
            <w:gridSpan w:val="3"/>
            <w:vAlign w:val="center"/>
          </w:tcPr>
          <w:p w14:paraId="5EB63A72" w14:textId="77777777" w:rsidR="0089207C" w:rsidRPr="00AC3044" w:rsidRDefault="0089207C" w:rsidP="002D3EBF">
            <w:pPr>
              <w:rPr>
                <w:rFonts w:eastAsia="SimSun"/>
              </w:rPr>
            </w:pPr>
            <w:r w:rsidRPr="00AC3044">
              <w:rPr>
                <w:rFonts w:eastAsia="SimSun"/>
              </w:rPr>
              <w:t>В соответсвии с клинической ситуацией</w:t>
            </w:r>
          </w:p>
        </w:tc>
        <w:tc>
          <w:tcPr>
            <w:tcW w:w="1229" w:type="pct"/>
            <w:vAlign w:val="center"/>
          </w:tcPr>
          <w:p w14:paraId="0FED205A" w14:textId="77777777" w:rsidR="0089207C" w:rsidRPr="00AC3044" w:rsidRDefault="0089207C" w:rsidP="002D3EBF">
            <w:pPr>
              <w:rPr>
                <w:rFonts w:eastAsia="SimSun"/>
              </w:rPr>
            </w:pPr>
            <w:r w:rsidRPr="00AC3044">
              <w:rPr>
                <w:rFonts w:eastAsia="SimSun"/>
              </w:rPr>
              <w:t>Трансдермально</w:t>
            </w:r>
          </w:p>
        </w:tc>
      </w:tr>
      <w:tr w:rsidR="0089207C" w:rsidRPr="00AC3044" w14:paraId="446577B1" w14:textId="77777777" w:rsidTr="002D3EBF">
        <w:trPr>
          <w:cantSplit/>
          <w:trHeight w:val="20"/>
        </w:trPr>
        <w:tc>
          <w:tcPr>
            <w:tcW w:w="168" w:type="pct"/>
          </w:tcPr>
          <w:p w14:paraId="497C2E89" w14:textId="77777777" w:rsidR="0089207C" w:rsidRPr="00AC3044" w:rsidRDefault="0089207C" w:rsidP="002D3EBF">
            <w:pPr>
              <w:rPr>
                <w:rFonts w:eastAsia="SimSun"/>
              </w:rPr>
            </w:pPr>
            <w:r w:rsidRPr="00AC3044">
              <w:rPr>
                <w:rFonts w:eastAsia="SimSun"/>
              </w:rPr>
              <w:t>4</w:t>
            </w:r>
          </w:p>
        </w:tc>
        <w:tc>
          <w:tcPr>
            <w:tcW w:w="1133" w:type="pct"/>
            <w:vAlign w:val="center"/>
          </w:tcPr>
          <w:p w14:paraId="3C120E05" w14:textId="77777777" w:rsidR="0089207C" w:rsidRPr="00AC3044" w:rsidRDefault="0089207C" w:rsidP="002D3EBF">
            <w:pPr>
              <w:rPr>
                <w:rFonts w:eastAsia="SimSun"/>
              </w:rPr>
            </w:pPr>
            <w:r w:rsidRPr="00AC3044">
              <w:rPr>
                <w:rFonts w:eastAsia="SimSun"/>
              </w:rPr>
              <w:t>Морфин</w:t>
            </w:r>
          </w:p>
        </w:tc>
        <w:tc>
          <w:tcPr>
            <w:tcW w:w="2470" w:type="pct"/>
            <w:gridSpan w:val="3"/>
            <w:vAlign w:val="center"/>
          </w:tcPr>
          <w:p w14:paraId="1BB09DE6" w14:textId="77777777" w:rsidR="0089207C" w:rsidRPr="00AC3044" w:rsidRDefault="0089207C" w:rsidP="002D3EBF">
            <w:pPr>
              <w:rPr>
                <w:rFonts w:eastAsia="SimSun"/>
              </w:rPr>
            </w:pPr>
            <w:r w:rsidRPr="00AC3044">
              <w:rPr>
                <w:rFonts w:eastAsia="SimSun"/>
              </w:rPr>
              <w:t>В соответсвии с клинической ситуацией</w:t>
            </w:r>
          </w:p>
        </w:tc>
        <w:tc>
          <w:tcPr>
            <w:tcW w:w="1229" w:type="pct"/>
            <w:vAlign w:val="center"/>
          </w:tcPr>
          <w:p w14:paraId="61A6505A" w14:textId="77777777" w:rsidR="0089207C" w:rsidRPr="00AC3044" w:rsidRDefault="0089207C" w:rsidP="002D3EBF">
            <w:pPr>
              <w:rPr>
                <w:rFonts w:eastAsia="SimSun"/>
              </w:rPr>
            </w:pPr>
            <w:r w:rsidRPr="00AC3044">
              <w:rPr>
                <w:rFonts w:eastAsia="SimSun"/>
              </w:rPr>
              <w:t>В/в</w:t>
            </w:r>
          </w:p>
        </w:tc>
      </w:tr>
      <w:tr w:rsidR="0089207C" w:rsidRPr="00AC3044" w14:paraId="3858EC67" w14:textId="77777777" w:rsidTr="002D3EBF">
        <w:trPr>
          <w:cantSplit/>
          <w:trHeight w:val="20"/>
        </w:trPr>
        <w:tc>
          <w:tcPr>
            <w:tcW w:w="5000" w:type="pct"/>
            <w:gridSpan w:val="6"/>
          </w:tcPr>
          <w:p w14:paraId="03ADA9D4" w14:textId="77777777" w:rsidR="0089207C" w:rsidRPr="00AC3044" w:rsidRDefault="0089207C" w:rsidP="002D3EBF">
            <w:pPr>
              <w:rPr>
                <w:rFonts w:eastAsia="SimSun"/>
              </w:rPr>
            </w:pPr>
            <w:r w:rsidRPr="00AC3044">
              <w:rPr>
                <w:rFonts w:eastAsia="SimSun"/>
              </w:rPr>
              <w:t>Другое</w:t>
            </w:r>
          </w:p>
        </w:tc>
      </w:tr>
      <w:tr w:rsidR="0089207C" w:rsidRPr="00AC3044" w14:paraId="2BC3A671" w14:textId="77777777" w:rsidTr="002D3EBF">
        <w:trPr>
          <w:cantSplit/>
          <w:trHeight w:val="20"/>
        </w:trPr>
        <w:tc>
          <w:tcPr>
            <w:tcW w:w="168" w:type="pct"/>
          </w:tcPr>
          <w:p w14:paraId="467202B6" w14:textId="77777777" w:rsidR="0089207C" w:rsidRPr="00AC3044" w:rsidRDefault="0089207C" w:rsidP="002D3EBF">
            <w:pPr>
              <w:rPr>
                <w:rFonts w:eastAsia="SimSun"/>
              </w:rPr>
            </w:pPr>
            <w:r w:rsidRPr="00AC3044">
              <w:rPr>
                <w:rFonts w:eastAsia="SimSun"/>
              </w:rPr>
              <w:t>1</w:t>
            </w:r>
          </w:p>
        </w:tc>
        <w:tc>
          <w:tcPr>
            <w:tcW w:w="1133" w:type="pct"/>
            <w:vAlign w:val="center"/>
          </w:tcPr>
          <w:p w14:paraId="1EDECB0C" w14:textId="77777777" w:rsidR="0089207C" w:rsidRPr="00AC3044" w:rsidRDefault="0089207C" w:rsidP="002D3EBF">
            <w:pPr>
              <w:rPr>
                <w:rFonts w:eastAsia="SimSun"/>
              </w:rPr>
            </w:pPr>
            <w:r w:rsidRPr="00AC3044">
              <w:rPr>
                <w:rFonts w:eastAsia="SimSun"/>
              </w:rPr>
              <w:t>Месна</w:t>
            </w:r>
          </w:p>
        </w:tc>
        <w:tc>
          <w:tcPr>
            <w:tcW w:w="614" w:type="pct"/>
            <w:vAlign w:val="center"/>
          </w:tcPr>
          <w:p w14:paraId="64205769" w14:textId="77777777" w:rsidR="0089207C" w:rsidRPr="00AC3044" w:rsidRDefault="0089207C" w:rsidP="002D3EBF">
            <w:pPr>
              <w:rPr>
                <w:rFonts w:eastAsia="SimSun"/>
              </w:rPr>
            </w:pPr>
            <w:r w:rsidRPr="00AC3044">
              <w:rPr>
                <w:rFonts w:eastAsia="SimSun"/>
              </w:rPr>
              <w:t>120% от дозы ЦФ</w:t>
            </w:r>
          </w:p>
        </w:tc>
        <w:tc>
          <w:tcPr>
            <w:tcW w:w="486" w:type="pct"/>
            <w:vAlign w:val="center"/>
          </w:tcPr>
          <w:p w14:paraId="47C63EFF" w14:textId="77777777" w:rsidR="0089207C" w:rsidRPr="00AC3044" w:rsidRDefault="0089207C" w:rsidP="002D3EBF">
            <w:pPr>
              <w:rPr>
                <w:rFonts w:eastAsia="SimSun"/>
              </w:rPr>
            </w:pPr>
            <w:r w:rsidRPr="00AC3044">
              <w:rPr>
                <w:rFonts w:eastAsia="SimSun"/>
              </w:rPr>
              <w:t>–</w:t>
            </w:r>
          </w:p>
        </w:tc>
        <w:tc>
          <w:tcPr>
            <w:tcW w:w="1370" w:type="pct"/>
            <w:vAlign w:val="center"/>
          </w:tcPr>
          <w:p w14:paraId="1B6B8D0A" w14:textId="77777777" w:rsidR="0089207C" w:rsidRPr="00AC3044" w:rsidRDefault="0089207C" w:rsidP="002D3EBF">
            <w:pPr>
              <w:rPr>
                <w:rFonts w:eastAsia="SimSun"/>
              </w:rPr>
            </w:pPr>
            <w:r w:rsidRPr="00AC3044">
              <w:rPr>
                <w:rFonts w:eastAsia="SimSun"/>
              </w:rPr>
              <w:t>В дни введения ЦФ</w:t>
            </w:r>
          </w:p>
        </w:tc>
        <w:tc>
          <w:tcPr>
            <w:tcW w:w="1229" w:type="pct"/>
            <w:vAlign w:val="center"/>
          </w:tcPr>
          <w:p w14:paraId="080E684A" w14:textId="77777777" w:rsidR="0089207C" w:rsidRPr="00AC3044" w:rsidRDefault="0089207C" w:rsidP="002D3EBF">
            <w:pPr>
              <w:rPr>
                <w:rFonts w:eastAsia="SimSun"/>
              </w:rPr>
            </w:pPr>
            <w:r w:rsidRPr="00AC3044">
              <w:rPr>
                <w:rFonts w:eastAsia="SimSun"/>
              </w:rPr>
              <w:t xml:space="preserve">В/в, инфузия в течение 24 ч, начиная за 2 ч до введения ЦФ </w:t>
            </w:r>
          </w:p>
        </w:tc>
      </w:tr>
      <w:tr w:rsidR="0089207C" w:rsidRPr="00AC3044" w14:paraId="7EC40219" w14:textId="77777777" w:rsidTr="002D3EBF">
        <w:trPr>
          <w:cantSplit/>
          <w:trHeight w:val="20"/>
        </w:trPr>
        <w:tc>
          <w:tcPr>
            <w:tcW w:w="168" w:type="pct"/>
          </w:tcPr>
          <w:p w14:paraId="0BD50270" w14:textId="77777777" w:rsidR="0089207C" w:rsidRPr="00AC3044" w:rsidRDefault="0089207C" w:rsidP="002D3EBF">
            <w:pPr>
              <w:rPr>
                <w:rFonts w:eastAsia="SimSun"/>
              </w:rPr>
            </w:pPr>
            <w:r w:rsidRPr="00AC3044">
              <w:rPr>
                <w:rFonts w:eastAsia="SimSun"/>
              </w:rPr>
              <w:t>2</w:t>
            </w:r>
          </w:p>
        </w:tc>
        <w:tc>
          <w:tcPr>
            <w:tcW w:w="1133" w:type="pct"/>
            <w:vAlign w:val="center"/>
          </w:tcPr>
          <w:p w14:paraId="05CB3DCF" w14:textId="77777777" w:rsidR="0089207C" w:rsidRPr="00AC3044" w:rsidRDefault="0089207C" w:rsidP="002D3EBF">
            <w:pPr>
              <w:rPr>
                <w:rFonts w:eastAsia="SimSun"/>
              </w:rPr>
            </w:pPr>
            <w:r w:rsidRPr="00AC3044">
              <w:rPr>
                <w:rFonts w:eastAsia="SimSun"/>
              </w:rPr>
              <w:t>Кальция фолинат</w:t>
            </w:r>
          </w:p>
        </w:tc>
        <w:tc>
          <w:tcPr>
            <w:tcW w:w="614" w:type="pct"/>
            <w:vAlign w:val="center"/>
          </w:tcPr>
          <w:p w14:paraId="610EEDBD" w14:textId="77777777" w:rsidR="0089207C" w:rsidRPr="00AC3044" w:rsidRDefault="0089207C" w:rsidP="002D3EBF">
            <w:pPr>
              <w:rPr>
                <w:rFonts w:eastAsia="SimSun"/>
              </w:rPr>
            </w:pPr>
            <w:r w:rsidRPr="00AC3044">
              <w:rPr>
                <w:rFonts w:eastAsia="SimSun"/>
              </w:rPr>
              <w:t>50 мг</w:t>
            </w:r>
          </w:p>
        </w:tc>
        <w:tc>
          <w:tcPr>
            <w:tcW w:w="486" w:type="pct"/>
            <w:vAlign w:val="center"/>
          </w:tcPr>
          <w:p w14:paraId="14C346B3" w14:textId="77777777" w:rsidR="0089207C" w:rsidRPr="00AC3044" w:rsidRDefault="0089207C" w:rsidP="002D3EBF">
            <w:pPr>
              <w:rPr>
                <w:rFonts w:eastAsia="SimSun"/>
              </w:rPr>
            </w:pPr>
            <w:r w:rsidRPr="00AC3044">
              <w:rPr>
                <w:rFonts w:eastAsia="SimSun"/>
              </w:rPr>
              <w:t>–</w:t>
            </w:r>
          </w:p>
        </w:tc>
        <w:tc>
          <w:tcPr>
            <w:tcW w:w="1370" w:type="pct"/>
            <w:vAlign w:val="center"/>
          </w:tcPr>
          <w:p w14:paraId="227C0F1B" w14:textId="77777777" w:rsidR="0089207C" w:rsidRPr="00AC3044" w:rsidRDefault="0089207C" w:rsidP="002D3EBF">
            <w:pPr>
              <w:rPr>
                <w:rFonts w:eastAsia="SimSun"/>
              </w:rPr>
            </w:pPr>
            <w:r w:rsidRPr="00AC3044">
              <w:rPr>
                <w:rFonts w:eastAsia="SimSun"/>
              </w:rPr>
              <w:t>В случае применения метотрексата в качестве профилактики РТПХ</w:t>
            </w:r>
          </w:p>
          <w:p w14:paraId="0C5C3CA1" w14:textId="77777777" w:rsidR="0089207C" w:rsidRPr="00AC3044" w:rsidRDefault="0089207C" w:rsidP="002D3EBF">
            <w:pPr>
              <w:rPr>
                <w:rFonts w:eastAsia="SimSun"/>
              </w:rPr>
            </w:pPr>
            <w:r w:rsidRPr="00AC3044">
              <w:rPr>
                <w:rFonts w:eastAsia="SimSun"/>
              </w:rPr>
              <w:t xml:space="preserve">+2, +4, +7, +12 дни </w:t>
            </w:r>
          </w:p>
        </w:tc>
        <w:tc>
          <w:tcPr>
            <w:tcW w:w="1229" w:type="pct"/>
            <w:vAlign w:val="center"/>
          </w:tcPr>
          <w:p w14:paraId="498E9A58" w14:textId="77777777" w:rsidR="0089207C" w:rsidRPr="00AC3044" w:rsidRDefault="0089207C" w:rsidP="002D3EBF">
            <w:pPr>
              <w:rPr>
                <w:rFonts w:eastAsia="SimSun"/>
              </w:rPr>
            </w:pPr>
            <w:r w:rsidRPr="00AC3044">
              <w:rPr>
                <w:rFonts w:eastAsia="SimSun"/>
              </w:rPr>
              <w:t xml:space="preserve">В/в, в 20 мл физ. р-ра  </w:t>
            </w:r>
          </w:p>
        </w:tc>
      </w:tr>
      <w:tr w:rsidR="0089207C" w:rsidRPr="00AC3044" w14:paraId="7B29F9BD" w14:textId="77777777" w:rsidTr="002D3EBF">
        <w:trPr>
          <w:trHeight w:val="20"/>
        </w:trPr>
        <w:tc>
          <w:tcPr>
            <w:tcW w:w="168" w:type="pct"/>
          </w:tcPr>
          <w:p w14:paraId="40917B02" w14:textId="77777777" w:rsidR="0089207C" w:rsidRPr="00AC3044" w:rsidRDefault="0089207C" w:rsidP="002D3EBF">
            <w:pPr>
              <w:rPr>
                <w:rFonts w:eastAsia="SimSun"/>
              </w:rPr>
            </w:pPr>
            <w:r w:rsidRPr="00AC3044">
              <w:rPr>
                <w:rFonts w:eastAsia="SimSun"/>
              </w:rPr>
              <w:t>3</w:t>
            </w:r>
          </w:p>
        </w:tc>
        <w:tc>
          <w:tcPr>
            <w:tcW w:w="1133" w:type="pct"/>
            <w:vAlign w:val="center"/>
          </w:tcPr>
          <w:p w14:paraId="2828D45E" w14:textId="77777777" w:rsidR="0089207C" w:rsidRPr="00AC3044" w:rsidRDefault="0089207C" w:rsidP="002D3EBF">
            <w:pPr>
              <w:rPr>
                <w:rFonts w:eastAsia="SimSun"/>
              </w:rPr>
            </w:pPr>
            <w:r w:rsidRPr="00AC3044">
              <w:rPr>
                <w:rFonts w:eastAsia="SimSun"/>
              </w:rPr>
              <w:t xml:space="preserve">Аллопуринол </w:t>
            </w:r>
          </w:p>
        </w:tc>
        <w:tc>
          <w:tcPr>
            <w:tcW w:w="614" w:type="pct"/>
            <w:vAlign w:val="center"/>
          </w:tcPr>
          <w:p w14:paraId="4167EF6B" w14:textId="77777777" w:rsidR="0089207C" w:rsidRPr="00AC3044" w:rsidRDefault="0089207C" w:rsidP="002D3EBF">
            <w:pPr>
              <w:rPr>
                <w:rFonts w:eastAsia="SimSun"/>
              </w:rPr>
            </w:pPr>
            <w:r w:rsidRPr="00AC3044">
              <w:rPr>
                <w:rFonts w:eastAsia="SimSun"/>
              </w:rPr>
              <w:t>200 мг/м</w:t>
            </w:r>
            <w:r w:rsidRPr="00271D11">
              <w:rPr>
                <w:rFonts w:eastAsia="SimSun"/>
                <w:vertAlign w:val="superscript"/>
              </w:rPr>
              <w:t>2</w:t>
            </w:r>
            <w:r w:rsidRPr="00AC3044">
              <w:rPr>
                <w:rFonts w:eastAsia="SimSun"/>
              </w:rPr>
              <w:t xml:space="preserve"> </w:t>
            </w:r>
          </w:p>
        </w:tc>
        <w:tc>
          <w:tcPr>
            <w:tcW w:w="486" w:type="pct"/>
            <w:vAlign w:val="center"/>
          </w:tcPr>
          <w:p w14:paraId="4B58AA78" w14:textId="77777777" w:rsidR="0089207C" w:rsidRPr="00AC3044" w:rsidRDefault="0089207C" w:rsidP="002D3EBF">
            <w:pPr>
              <w:rPr>
                <w:rFonts w:eastAsia="SimSun"/>
              </w:rPr>
            </w:pPr>
            <w:r w:rsidRPr="00AC3044">
              <w:rPr>
                <w:rFonts w:eastAsia="SimSun"/>
              </w:rPr>
              <w:t>–</w:t>
            </w:r>
          </w:p>
        </w:tc>
        <w:tc>
          <w:tcPr>
            <w:tcW w:w="1370" w:type="pct"/>
            <w:vAlign w:val="center"/>
          </w:tcPr>
          <w:p w14:paraId="2390AC31" w14:textId="77777777" w:rsidR="0089207C" w:rsidRPr="00AC3044" w:rsidRDefault="0089207C" w:rsidP="002D3EBF">
            <w:pPr>
              <w:rPr>
                <w:rFonts w:eastAsia="SimSun"/>
              </w:rPr>
            </w:pPr>
            <w:r w:rsidRPr="00AC3044">
              <w:rPr>
                <w:rFonts w:eastAsia="SimSun"/>
              </w:rPr>
              <w:t>За день до начала кондиционирования по –1 день кондиционирования, а также в дни введения посттрансплантационного циклофосфамида</w:t>
            </w:r>
          </w:p>
        </w:tc>
        <w:tc>
          <w:tcPr>
            <w:tcW w:w="1229" w:type="pct"/>
            <w:vAlign w:val="center"/>
          </w:tcPr>
          <w:p w14:paraId="002A8B2D" w14:textId="77777777" w:rsidR="0089207C" w:rsidRPr="00AC3044" w:rsidRDefault="0089207C" w:rsidP="002D3EBF">
            <w:pPr>
              <w:rPr>
                <w:rFonts w:eastAsia="SimSun"/>
              </w:rPr>
            </w:pPr>
            <w:r w:rsidRPr="00AC3044">
              <w:rPr>
                <w:rFonts w:eastAsia="SimSun"/>
              </w:rPr>
              <w:t>Внутрь, однократно или доза разделяется на 2 приема</w:t>
            </w:r>
          </w:p>
        </w:tc>
      </w:tr>
      <w:tr w:rsidR="0089207C" w:rsidRPr="00AC3044" w14:paraId="01DA4867" w14:textId="77777777" w:rsidTr="002D3EBF">
        <w:trPr>
          <w:trHeight w:val="20"/>
        </w:trPr>
        <w:tc>
          <w:tcPr>
            <w:tcW w:w="168" w:type="pct"/>
          </w:tcPr>
          <w:p w14:paraId="145EB0F0" w14:textId="77777777" w:rsidR="0089207C" w:rsidRPr="00AC3044" w:rsidRDefault="0089207C" w:rsidP="002D3EBF">
            <w:pPr>
              <w:rPr>
                <w:rFonts w:eastAsia="SimSun"/>
              </w:rPr>
            </w:pPr>
            <w:r w:rsidRPr="00AC3044">
              <w:rPr>
                <w:rFonts w:eastAsia="SimSun"/>
              </w:rPr>
              <w:t>4</w:t>
            </w:r>
          </w:p>
        </w:tc>
        <w:tc>
          <w:tcPr>
            <w:tcW w:w="1133" w:type="pct"/>
            <w:vAlign w:val="center"/>
          </w:tcPr>
          <w:p w14:paraId="0FB6B0FF" w14:textId="77777777" w:rsidR="0089207C" w:rsidRPr="00AC3044" w:rsidRDefault="0089207C" w:rsidP="002D3EBF">
            <w:pPr>
              <w:rPr>
                <w:rFonts w:eastAsia="SimSun"/>
              </w:rPr>
            </w:pPr>
            <w:r w:rsidRPr="00AC3044">
              <w:rPr>
                <w:rFonts w:eastAsia="SimSun"/>
              </w:rPr>
              <w:t xml:space="preserve">Аллопуринол </w:t>
            </w:r>
          </w:p>
        </w:tc>
        <w:tc>
          <w:tcPr>
            <w:tcW w:w="614" w:type="pct"/>
            <w:vAlign w:val="center"/>
          </w:tcPr>
          <w:p w14:paraId="6EB0D6E3" w14:textId="77777777" w:rsidR="0089207C" w:rsidRPr="00AC3044" w:rsidRDefault="0089207C" w:rsidP="002D3EBF">
            <w:pPr>
              <w:rPr>
                <w:rFonts w:eastAsia="SimSun"/>
              </w:rPr>
            </w:pPr>
            <w:r w:rsidRPr="00AC3044">
              <w:rPr>
                <w:rFonts w:eastAsia="SimSun"/>
              </w:rPr>
              <w:t xml:space="preserve">300мг </w:t>
            </w:r>
          </w:p>
        </w:tc>
        <w:tc>
          <w:tcPr>
            <w:tcW w:w="486" w:type="pct"/>
            <w:vAlign w:val="center"/>
          </w:tcPr>
          <w:p w14:paraId="1130C1C5" w14:textId="77777777" w:rsidR="0089207C" w:rsidRPr="00AC3044" w:rsidRDefault="0089207C" w:rsidP="002D3EBF">
            <w:pPr>
              <w:rPr>
                <w:rFonts w:eastAsia="SimSun"/>
              </w:rPr>
            </w:pPr>
            <w:r w:rsidRPr="00AC3044">
              <w:rPr>
                <w:rFonts w:eastAsia="SimSun"/>
              </w:rPr>
              <w:t>–</w:t>
            </w:r>
          </w:p>
        </w:tc>
        <w:tc>
          <w:tcPr>
            <w:tcW w:w="1370" w:type="pct"/>
            <w:vAlign w:val="center"/>
          </w:tcPr>
          <w:p w14:paraId="16866D6C" w14:textId="77777777" w:rsidR="0089207C" w:rsidRPr="00AC3044" w:rsidRDefault="0089207C" w:rsidP="002D3EBF">
            <w:pPr>
              <w:rPr>
                <w:rFonts w:eastAsia="SimSun"/>
              </w:rPr>
            </w:pPr>
            <w:r w:rsidRPr="00AC3044">
              <w:rPr>
                <w:rFonts w:eastAsia="SimSun"/>
              </w:rPr>
              <w:t>За день до начала кондиционирования по –1 день кондиционирования, а также в дни введения посттрансплантационного циклофосфамида</w:t>
            </w:r>
          </w:p>
        </w:tc>
        <w:tc>
          <w:tcPr>
            <w:tcW w:w="1229" w:type="pct"/>
            <w:vAlign w:val="center"/>
          </w:tcPr>
          <w:p w14:paraId="3E208D52" w14:textId="77777777" w:rsidR="0089207C" w:rsidRPr="00AC3044" w:rsidRDefault="0089207C" w:rsidP="002D3EBF">
            <w:pPr>
              <w:rPr>
                <w:rFonts w:eastAsia="SimSun"/>
              </w:rPr>
            </w:pPr>
            <w:r w:rsidRPr="00AC3044">
              <w:rPr>
                <w:rFonts w:eastAsia="SimSun"/>
              </w:rPr>
              <w:t>Внутрь, однократно или доза разделяется на 2 приема</w:t>
            </w:r>
          </w:p>
        </w:tc>
      </w:tr>
      <w:tr w:rsidR="0089207C" w:rsidRPr="00AC3044" w14:paraId="4895B65C" w14:textId="77777777" w:rsidTr="002D3EBF">
        <w:trPr>
          <w:trHeight w:val="20"/>
        </w:trPr>
        <w:tc>
          <w:tcPr>
            <w:tcW w:w="168" w:type="pct"/>
          </w:tcPr>
          <w:p w14:paraId="2E184114" w14:textId="77777777" w:rsidR="0089207C" w:rsidRPr="00AC3044" w:rsidRDefault="0089207C" w:rsidP="002D3EBF">
            <w:pPr>
              <w:rPr>
                <w:rFonts w:eastAsia="SimSun"/>
              </w:rPr>
            </w:pPr>
            <w:r w:rsidRPr="00AC3044">
              <w:rPr>
                <w:rFonts w:eastAsia="SimSun"/>
              </w:rPr>
              <w:t>5</w:t>
            </w:r>
          </w:p>
        </w:tc>
        <w:tc>
          <w:tcPr>
            <w:tcW w:w="1133" w:type="pct"/>
            <w:vAlign w:val="center"/>
          </w:tcPr>
          <w:p w14:paraId="738575CE" w14:textId="77777777" w:rsidR="0089207C" w:rsidRPr="00AC3044" w:rsidRDefault="0089207C" w:rsidP="002D3EBF">
            <w:pPr>
              <w:rPr>
                <w:rFonts w:eastAsia="SimSun"/>
              </w:rPr>
            </w:pPr>
            <w:r w:rsidRPr="00AC3044">
              <w:rPr>
                <w:rFonts w:eastAsia="SimSun"/>
              </w:rPr>
              <w:t>Урсодезоксихолевая кислота (рекомендуется)</w:t>
            </w:r>
          </w:p>
        </w:tc>
        <w:tc>
          <w:tcPr>
            <w:tcW w:w="614" w:type="pct"/>
            <w:vAlign w:val="center"/>
          </w:tcPr>
          <w:p w14:paraId="62055300" w14:textId="77777777" w:rsidR="0089207C" w:rsidRPr="00AC3044" w:rsidRDefault="0089207C" w:rsidP="002D3EBF">
            <w:pPr>
              <w:rPr>
                <w:rFonts w:eastAsia="SimSun"/>
              </w:rPr>
            </w:pPr>
            <w:r w:rsidRPr="00AC3044">
              <w:rPr>
                <w:rFonts w:eastAsia="SimSun"/>
              </w:rPr>
              <w:t>12 мг/кг</w:t>
            </w:r>
          </w:p>
        </w:tc>
        <w:tc>
          <w:tcPr>
            <w:tcW w:w="486" w:type="pct"/>
            <w:vAlign w:val="center"/>
          </w:tcPr>
          <w:p w14:paraId="014E07E3" w14:textId="77777777" w:rsidR="0089207C" w:rsidRPr="00AC3044" w:rsidRDefault="0089207C" w:rsidP="002D3EBF">
            <w:pPr>
              <w:rPr>
                <w:rFonts w:eastAsia="SimSun"/>
              </w:rPr>
            </w:pPr>
            <w:r w:rsidRPr="00AC3044">
              <w:rPr>
                <w:rFonts w:eastAsia="SimSun"/>
              </w:rPr>
              <w:t>–</w:t>
            </w:r>
          </w:p>
        </w:tc>
        <w:tc>
          <w:tcPr>
            <w:tcW w:w="1370" w:type="pct"/>
            <w:vAlign w:val="center"/>
          </w:tcPr>
          <w:p w14:paraId="29913D9F" w14:textId="77777777" w:rsidR="0089207C" w:rsidRPr="00AC3044" w:rsidRDefault="0089207C" w:rsidP="002D3EBF">
            <w:pPr>
              <w:rPr>
                <w:rFonts w:eastAsia="SimSun"/>
              </w:rPr>
            </w:pPr>
            <w:r w:rsidRPr="00AC3044">
              <w:rPr>
                <w:rFonts w:eastAsia="SimSun"/>
              </w:rPr>
              <w:t>C –6 по +180 день</w:t>
            </w:r>
          </w:p>
        </w:tc>
        <w:tc>
          <w:tcPr>
            <w:tcW w:w="1229" w:type="pct"/>
            <w:vAlign w:val="center"/>
          </w:tcPr>
          <w:p w14:paraId="43F5D268" w14:textId="77777777" w:rsidR="0089207C" w:rsidRPr="00AC3044" w:rsidRDefault="0089207C" w:rsidP="002D3EBF">
            <w:pPr>
              <w:rPr>
                <w:rFonts w:eastAsia="SimSun"/>
              </w:rPr>
            </w:pPr>
            <w:r w:rsidRPr="00AC3044">
              <w:rPr>
                <w:rFonts w:eastAsia="SimSun"/>
              </w:rPr>
              <w:t>Внутрь, суточная доза разделяется на 1–2 приема (вечер или день и вечер)</w:t>
            </w:r>
          </w:p>
        </w:tc>
      </w:tr>
      <w:tr w:rsidR="0089207C" w:rsidRPr="00AC3044" w14:paraId="29A511DB" w14:textId="77777777" w:rsidTr="002D3EBF">
        <w:trPr>
          <w:trHeight w:val="20"/>
        </w:trPr>
        <w:tc>
          <w:tcPr>
            <w:tcW w:w="168" w:type="pct"/>
          </w:tcPr>
          <w:p w14:paraId="3281D006" w14:textId="77777777" w:rsidR="0089207C" w:rsidRPr="00AC3044" w:rsidRDefault="0089207C" w:rsidP="002D3EBF">
            <w:pPr>
              <w:rPr>
                <w:rFonts w:eastAsia="SimSun"/>
              </w:rPr>
            </w:pPr>
            <w:r w:rsidRPr="00AC3044">
              <w:rPr>
                <w:rFonts w:eastAsia="SimSun"/>
              </w:rPr>
              <w:t>6</w:t>
            </w:r>
          </w:p>
        </w:tc>
        <w:tc>
          <w:tcPr>
            <w:tcW w:w="1133" w:type="pct"/>
            <w:vAlign w:val="center"/>
          </w:tcPr>
          <w:p w14:paraId="39163F89" w14:textId="77777777" w:rsidR="0089207C" w:rsidRPr="00AC3044" w:rsidRDefault="0089207C" w:rsidP="002D3EBF">
            <w:pPr>
              <w:rPr>
                <w:rFonts w:eastAsia="SimSun"/>
              </w:rPr>
            </w:pPr>
            <w:r w:rsidRPr="00AC3044">
              <w:rPr>
                <w:rFonts w:eastAsia="SimSun"/>
              </w:rPr>
              <w:t xml:space="preserve">Метилпреднизолон </w:t>
            </w:r>
          </w:p>
        </w:tc>
        <w:tc>
          <w:tcPr>
            <w:tcW w:w="3699" w:type="pct"/>
            <w:gridSpan w:val="4"/>
            <w:vAlign w:val="center"/>
          </w:tcPr>
          <w:p w14:paraId="25903DF1" w14:textId="77777777" w:rsidR="0089207C" w:rsidRPr="00AC3044" w:rsidRDefault="0089207C" w:rsidP="002D3EBF">
            <w:pPr>
              <w:rPr>
                <w:rFonts w:eastAsia="SimSun"/>
              </w:rPr>
            </w:pPr>
            <w:r w:rsidRPr="00AC3044">
              <w:rPr>
                <w:rFonts w:eastAsia="SimSun"/>
              </w:rPr>
              <w:t>см. «Инфузия АТГ»</w:t>
            </w:r>
          </w:p>
        </w:tc>
      </w:tr>
      <w:tr w:rsidR="0089207C" w:rsidRPr="00AC3044" w14:paraId="28C8C6E8" w14:textId="77777777" w:rsidTr="002D3EBF">
        <w:trPr>
          <w:trHeight w:val="20"/>
        </w:trPr>
        <w:tc>
          <w:tcPr>
            <w:tcW w:w="168" w:type="pct"/>
          </w:tcPr>
          <w:p w14:paraId="3CAAC717" w14:textId="77777777" w:rsidR="0089207C" w:rsidRPr="00AC3044" w:rsidRDefault="0089207C" w:rsidP="002D3EBF">
            <w:pPr>
              <w:rPr>
                <w:rFonts w:eastAsia="SimSun"/>
              </w:rPr>
            </w:pPr>
            <w:r w:rsidRPr="00AC3044">
              <w:rPr>
                <w:rFonts w:eastAsia="SimSun"/>
              </w:rPr>
              <w:t>7</w:t>
            </w:r>
          </w:p>
        </w:tc>
        <w:tc>
          <w:tcPr>
            <w:tcW w:w="1133" w:type="pct"/>
            <w:vAlign w:val="center"/>
          </w:tcPr>
          <w:p w14:paraId="7EA49099" w14:textId="77777777" w:rsidR="0089207C" w:rsidRPr="00AC3044" w:rsidRDefault="0089207C" w:rsidP="002D3EBF">
            <w:pPr>
              <w:rPr>
                <w:rFonts w:eastAsia="SimSun"/>
              </w:rPr>
            </w:pPr>
            <w:r w:rsidRPr="00AC3044">
              <w:rPr>
                <w:rFonts w:eastAsia="SimSun"/>
              </w:rPr>
              <w:t>Преднизолон</w:t>
            </w:r>
          </w:p>
        </w:tc>
        <w:tc>
          <w:tcPr>
            <w:tcW w:w="3699" w:type="pct"/>
            <w:gridSpan w:val="4"/>
            <w:vAlign w:val="center"/>
          </w:tcPr>
          <w:p w14:paraId="0A4C3638" w14:textId="77777777" w:rsidR="0089207C" w:rsidRPr="00AC3044" w:rsidRDefault="0089207C" w:rsidP="002D3EBF">
            <w:pPr>
              <w:rPr>
                <w:rFonts w:eastAsia="SimSun"/>
              </w:rPr>
            </w:pPr>
            <w:r w:rsidRPr="00AC3044">
              <w:rPr>
                <w:rFonts w:eastAsia="SimSun"/>
              </w:rPr>
              <w:t>см. «Инфузия АТГ»</w:t>
            </w:r>
          </w:p>
        </w:tc>
      </w:tr>
    </w:tbl>
    <w:p w14:paraId="39836D7A" w14:textId="77777777" w:rsidR="0089207C" w:rsidRPr="00C07B2E" w:rsidRDefault="0089207C" w:rsidP="0089207C">
      <w:pPr>
        <w:rPr>
          <w:rFonts w:eastAsia="SimSun"/>
        </w:rPr>
      </w:pPr>
    </w:p>
    <w:p w14:paraId="371C7CA5" w14:textId="77777777" w:rsidR="00FC25DA" w:rsidRPr="007C2EE2" w:rsidRDefault="00FC25DA" w:rsidP="00623BAE">
      <w:pPr>
        <w:pStyle w:val="afe"/>
        <w:tabs>
          <w:tab w:val="left" w:pos="0"/>
        </w:tabs>
        <w:ind w:left="0" w:firstLine="567"/>
        <w:rPr>
          <w:szCs w:val="24"/>
        </w:rPr>
      </w:pPr>
    </w:p>
    <w:p w14:paraId="717C4ABB" w14:textId="7DBEFC4C" w:rsidR="00623BAE" w:rsidRDefault="00623BAE" w:rsidP="00623BAE">
      <w:pPr>
        <w:spacing w:line="240" w:lineRule="auto"/>
        <w:jc w:val="left"/>
        <w:rPr>
          <w:lang w:bidi="ru-RU"/>
        </w:rPr>
      </w:pPr>
      <w:r>
        <w:rPr>
          <w:lang w:bidi="ru-RU"/>
        </w:rPr>
        <w:br w:type="page"/>
      </w:r>
    </w:p>
    <w:p w14:paraId="52F3D179" w14:textId="77777777" w:rsidR="000414F6" w:rsidRPr="000322E4" w:rsidRDefault="00CB71DA" w:rsidP="008E3584">
      <w:pPr>
        <w:pStyle w:val="afff2"/>
      </w:pPr>
      <w:bookmarkStart w:id="293" w:name="_Toc66096873"/>
      <w:r w:rsidRPr="000322E4">
        <w:t xml:space="preserve">Приложение Б. Алгоритмы </w:t>
      </w:r>
      <w:bookmarkEnd w:id="107"/>
      <w:r w:rsidR="003527A8" w:rsidRPr="000322E4">
        <w:t>действий врача</w:t>
      </w:r>
      <w:bookmarkEnd w:id="293"/>
    </w:p>
    <w:p w14:paraId="6EB7FE86" w14:textId="77777777" w:rsidR="0066496D" w:rsidRPr="000322E4" w:rsidRDefault="0066496D" w:rsidP="008E3584">
      <w:pPr>
        <w:divId w:val="764688137"/>
      </w:pPr>
      <w:r w:rsidRPr="000322E4">
        <w:t>Приложение Б1.1 Алгоритм первой линии терапии пациента с ДВКЛ</w:t>
      </w:r>
    </w:p>
    <w:p w14:paraId="23AC4647" w14:textId="77777777" w:rsidR="0066496D" w:rsidRPr="000322E4" w:rsidRDefault="0066496D" w:rsidP="008E3584">
      <w:pPr>
        <w:ind w:left="-426"/>
        <w:divId w:val="764688137"/>
      </w:pPr>
      <w:r w:rsidRPr="000322E4">
        <w:rPr>
          <w:noProof/>
        </w:rPr>
        <w:drawing>
          <wp:inline distT="0" distB="0" distL="0" distR="0" wp14:anchorId="670BA358" wp14:editId="44864C1F">
            <wp:extent cx="6448425" cy="3474720"/>
            <wp:effectExtent l="19050" t="0" r="9525" b="0"/>
            <wp:docPr id="99" name="Рисунок 99"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 cstate="print"/>
                    <a:srcRect/>
                    <a:stretch>
                      <a:fillRect/>
                    </a:stretch>
                  </pic:blipFill>
                  <pic:spPr bwMode="auto">
                    <a:xfrm>
                      <a:off x="0" y="0"/>
                      <a:ext cx="6448425" cy="3474720"/>
                    </a:xfrm>
                    <a:prstGeom prst="rect">
                      <a:avLst/>
                    </a:prstGeom>
                    <a:noFill/>
                    <a:ln w="9525">
                      <a:noFill/>
                      <a:miter lim="800000"/>
                      <a:headEnd/>
                      <a:tailEnd/>
                    </a:ln>
                  </pic:spPr>
                </pic:pic>
              </a:graphicData>
            </a:graphic>
          </wp:inline>
        </w:drawing>
      </w:r>
    </w:p>
    <w:p w14:paraId="2310E557" w14:textId="77777777" w:rsidR="0066496D" w:rsidRPr="000322E4" w:rsidRDefault="0066496D" w:rsidP="008E3584">
      <w:pPr>
        <w:divId w:val="764688137"/>
      </w:pPr>
      <w:r w:rsidRPr="000322E4">
        <w:t>Приложение Б1.2 Алгоритм второй линии терапии пациента с ДВКЛ</w:t>
      </w:r>
    </w:p>
    <w:p w14:paraId="5A3B0263" w14:textId="77777777" w:rsidR="00C4630C" w:rsidRPr="000322E4" w:rsidRDefault="00204469" w:rsidP="008E3584">
      <w:pPr>
        <w:divId w:val="764688137"/>
        <w:rPr>
          <w:noProof/>
        </w:rPr>
      </w:pPr>
      <w:r w:rsidRPr="000322E4">
        <w:rPr>
          <w:noProof/>
        </w:rPr>
        <w:drawing>
          <wp:inline distT="0" distB="0" distL="0" distR="0" wp14:anchorId="6F232357" wp14:editId="320FB7E4">
            <wp:extent cx="5581015" cy="3424135"/>
            <wp:effectExtent l="0" t="0" r="0" b="5080"/>
            <wp:docPr id="101" name="Рисунок 101"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 cstate="print"/>
                    <a:srcRect/>
                    <a:stretch>
                      <a:fillRect/>
                    </a:stretch>
                  </pic:blipFill>
                  <pic:spPr bwMode="auto">
                    <a:xfrm>
                      <a:off x="0" y="0"/>
                      <a:ext cx="5581015" cy="3424135"/>
                    </a:xfrm>
                    <a:prstGeom prst="rect">
                      <a:avLst/>
                    </a:prstGeom>
                    <a:noFill/>
                    <a:ln w="9525">
                      <a:noFill/>
                      <a:miter lim="800000"/>
                      <a:headEnd/>
                      <a:tailEnd/>
                    </a:ln>
                  </pic:spPr>
                </pic:pic>
              </a:graphicData>
            </a:graphic>
          </wp:inline>
        </w:drawing>
      </w:r>
    </w:p>
    <w:p w14:paraId="24D76A41" w14:textId="77777777" w:rsidR="00204469" w:rsidRPr="000322E4" w:rsidRDefault="00204469" w:rsidP="008E3584">
      <w:pPr>
        <w:divId w:val="764688137"/>
      </w:pPr>
    </w:p>
    <w:p w14:paraId="771414BB" w14:textId="77777777" w:rsidR="00204469" w:rsidRPr="000322E4" w:rsidRDefault="00204469" w:rsidP="008E3584">
      <w:pPr>
        <w:divId w:val="764688137"/>
      </w:pPr>
      <w:r w:rsidRPr="000322E4">
        <w:t>Приложение Б2. Алгоритм первой линии терапии пациента с ПЛЦНС</w:t>
      </w:r>
    </w:p>
    <w:p w14:paraId="586C30F5" w14:textId="77777777" w:rsidR="00204469" w:rsidRPr="000322E4" w:rsidRDefault="00204469" w:rsidP="008E3584">
      <w:pPr>
        <w:ind w:left="-567"/>
        <w:divId w:val="764688137"/>
        <w:rPr>
          <w:b/>
          <w:u w:val="single"/>
        </w:rPr>
      </w:pPr>
      <w:r w:rsidRPr="000322E4">
        <w:rPr>
          <w:b/>
          <w:noProof/>
          <w:u w:val="single"/>
        </w:rPr>
        <w:drawing>
          <wp:inline distT="0" distB="0" distL="0" distR="0" wp14:anchorId="200E8643" wp14:editId="68418969">
            <wp:extent cx="6448425" cy="3300095"/>
            <wp:effectExtent l="19050" t="0" r="9525" b="0"/>
            <wp:docPr id="100" name="Рисунок 100"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3" cstate="print"/>
                    <a:srcRect/>
                    <a:stretch>
                      <a:fillRect/>
                    </a:stretch>
                  </pic:blipFill>
                  <pic:spPr bwMode="auto">
                    <a:xfrm>
                      <a:off x="0" y="0"/>
                      <a:ext cx="6448425" cy="3300095"/>
                    </a:xfrm>
                    <a:prstGeom prst="rect">
                      <a:avLst/>
                    </a:prstGeom>
                    <a:noFill/>
                    <a:ln w="9525">
                      <a:noFill/>
                      <a:miter lim="800000"/>
                      <a:headEnd/>
                      <a:tailEnd/>
                    </a:ln>
                  </pic:spPr>
                </pic:pic>
              </a:graphicData>
            </a:graphic>
          </wp:inline>
        </w:drawing>
      </w:r>
    </w:p>
    <w:p w14:paraId="499F1DEA" w14:textId="77777777" w:rsidR="00204469" w:rsidRPr="000322E4" w:rsidRDefault="00204469" w:rsidP="008E3584">
      <w:pPr>
        <w:divId w:val="764688137"/>
      </w:pPr>
    </w:p>
    <w:p w14:paraId="784B7DF6" w14:textId="77777777" w:rsidR="00204469" w:rsidRPr="000322E4" w:rsidRDefault="00204469" w:rsidP="008E3584">
      <w:pPr>
        <w:divId w:val="764688137"/>
      </w:pPr>
      <w:r w:rsidRPr="000322E4">
        <w:t>Приложение Б3. Алгоритм первой линии терапии пациента ПМВККЛ</w:t>
      </w:r>
      <w:r w:rsidRPr="000322E4">
        <w:rPr>
          <w:b/>
          <w:noProof/>
        </w:rPr>
        <w:drawing>
          <wp:inline distT="0" distB="0" distL="0" distR="0" wp14:anchorId="35416F84" wp14:editId="2A5FE3C9">
            <wp:extent cx="6242050" cy="2894330"/>
            <wp:effectExtent l="19050" t="0" r="6350" b="0"/>
            <wp:docPr id="102" name="Рисунок 102"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 cstate="print"/>
                    <a:srcRect/>
                    <a:stretch>
                      <a:fillRect/>
                    </a:stretch>
                  </pic:blipFill>
                  <pic:spPr bwMode="auto">
                    <a:xfrm>
                      <a:off x="0" y="0"/>
                      <a:ext cx="6242050" cy="2894330"/>
                    </a:xfrm>
                    <a:prstGeom prst="rect">
                      <a:avLst/>
                    </a:prstGeom>
                    <a:noFill/>
                    <a:ln w="9525">
                      <a:noFill/>
                      <a:miter lim="800000"/>
                      <a:headEnd/>
                      <a:tailEnd/>
                    </a:ln>
                  </pic:spPr>
                </pic:pic>
              </a:graphicData>
            </a:graphic>
          </wp:inline>
        </w:drawing>
      </w:r>
    </w:p>
    <w:p w14:paraId="032C2C0D" w14:textId="77777777" w:rsidR="00D41455" w:rsidRPr="000322E4" w:rsidRDefault="00D41455" w:rsidP="008E3584">
      <w:pPr>
        <w:pStyle w:val="afd"/>
        <w:spacing w:beforeAutospacing="0" w:afterAutospacing="0" w:line="360" w:lineRule="auto"/>
        <w:divId w:val="764688137"/>
      </w:pPr>
    </w:p>
    <w:p w14:paraId="50A28E91" w14:textId="77777777" w:rsidR="00494319" w:rsidRPr="000322E4" w:rsidRDefault="00494319" w:rsidP="008E3584">
      <w:pPr>
        <w:pStyle w:val="afd"/>
        <w:spacing w:beforeAutospacing="0" w:afterAutospacing="0" w:line="360" w:lineRule="auto"/>
        <w:rPr>
          <w:noProof/>
        </w:rPr>
      </w:pPr>
    </w:p>
    <w:p w14:paraId="07443217" w14:textId="77777777" w:rsidR="000414F6" w:rsidRPr="000322E4" w:rsidRDefault="00CB71DA" w:rsidP="008E3584">
      <w:pPr>
        <w:pStyle w:val="afff2"/>
      </w:pPr>
      <w:r w:rsidRPr="000322E4">
        <w:br w:type="page"/>
      </w:r>
      <w:bookmarkStart w:id="294" w:name="__RefHeading___doc_v"/>
      <w:bookmarkStart w:id="295" w:name="_Toc66096874"/>
      <w:r w:rsidRPr="000322E4">
        <w:t>Приложение В. Информация для пациент</w:t>
      </w:r>
      <w:bookmarkEnd w:id="294"/>
      <w:r w:rsidR="003527A8" w:rsidRPr="000322E4">
        <w:t>а</w:t>
      </w:r>
      <w:bookmarkEnd w:id="295"/>
    </w:p>
    <w:p w14:paraId="5E424591" w14:textId="77777777" w:rsidR="006E172F" w:rsidRPr="000322E4" w:rsidRDefault="006E172F" w:rsidP="00CA442F">
      <w:pPr>
        <w:pStyle w:val="aff8"/>
      </w:pPr>
      <w:r w:rsidRPr="000322E4">
        <w:t>Лимфомы – это опухоли из лимфоидных клеток. Лимфома – не одна болезнь, это большая группа, включающая более 30 разных заболеваний, которые отличаются друг от друга по своим проявлениям, по течению, по ответу на лечение. Лимфомы ведут себя и лечатся совершенно по-разному. Поэтому просто слово «лимфома» ни о чем не говорит – чтобы понимать, как лечить, надо знать конкретный вариант лимфомы.</w:t>
      </w:r>
    </w:p>
    <w:p w14:paraId="2F73A1C5" w14:textId="77777777" w:rsidR="00204469" w:rsidRPr="000322E4" w:rsidRDefault="00204469" w:rsidP="008E3584">
      <w:pPr>
        <w:pStyle w:val="afd"/>
        <w:numPr>
          <w:ilvl w:val="0"/>
          <w:numId w:val="53"/>
        </w:numPr>
        <w:suppressAutoHyphens/>
        <w:spacing w:beforeAutospacing="0" w:afterAutospacing="0" w:line="360" w:lineRule="auto"/>
        <w:ind w:firstLine="709"/>
      </w:pPr>
      <w:r w:rsidRPr="000322E4">
        <w:t>Диффузная В-крупноклеточная лимфома – агрессивное лимфопролиферативное заболевание. Прогноз зависит от многих факторов, в том числе от объема поражения, в связи с чем необходимо полное и всестороннее обследование.  Своевременное и адекватное лечение является залогом успеха. Пациент должен четко выполнять все рекомедации врача относительно времени и сроков диагностических процедур, а также все назначения, касающиеся противоопухолевого лечения и сопроводительной терапии.</w:t>
      </w:r>
    </w:p>
    <w:p w14:paraId="0211D118" w14:textId="77777777" w:rsidR="00204469" w:rsidRPr="000322E4" w:rsidRDefault="00204469" w:rsidP="008E3584">
      <w:pPr>
        <w:pStyle w:val="afd"/>
        <w:numPr>
          <w:ilvl w:val="0"/>
          <w:numId w:val="53"/>
        </w:numPr>
        <w:suppressAutoHyphens/>
        <w:spacing w:beforeAutospacing="0" w:afterAutospacing="0" w:line="360" w:lineRule="auto"/>
        <w:ind w:firstLine="709"/>
      </w:pPr>
      <w:r w:rsidRPr="000322E4">
        <w:t>Во время прохождения лечения при появлении нежелательных явлений пациент обязан вовремя сообщить о них врачу для принятия своевременных решений об их коррекции.</w:t>
      </w:r>
    </w:p>
    <w:p w14:paraId="008F46FC" w14:textId="77777777" w:rsidR="006E172F" w:rsidRPr="000322E4" w:rsidRDefault="006E172F" w:rsidP="00CA442F">
      <w:pPr>
        <w:pStyle w:val="aff8"/>
      </w:pPr>
    </w:p>
    <w:p w14:paraId="13A2ED0C" w14:textId="77777777" w:rsidR="00174593" w:rsidRPr="000322E4" w:rsidRDefault="00174593" w:rsidP="00CA442F">
      <w:pPr>
        <w:pStyle w:val="aff8"/>
      </w:pPr>
    </w:p>
    <w:p w14:paraId="6C6C9202" w14:textId="77777777" w:rsidR="00427B0E" w:rsidRPr="000322E4" w:rsidRDefault="00CB71DA" w:rsidP="008E3584">
      <w:pPr>
        <w:pStyle w:val="afff2"/>
        <w:spacing w:before="0"/>
        <w:jc w:val="both"/>
      </w:pPr>
      <w:r w:rsidRPr="000322E4">
        <w:br w:type="page"/>
      </w:r>
      <w:bookmarkStart w:id="296" w:name="__RefHeading___doc_g"/>
      <w:bookmarkStart w:id="297" w:name="_Toc66096875"/>
      <w:r w:rsidRPr="000322E4">
        <w:t>Приложение</w:t>
      </w:r>
      <w:bookmarkEnd w:id="296"/>
      <w:r w:rsidR="003527A8" w:rsidRPr="000322E4">
        <w:t xml:space="preserve"> Г. Шкалы оценки, вопросники и другие оценочные инструменты состояния пациента, приведенные в клинических рекомендациях</w:t>
      </w:r>
      <w:bookmarkStart w:id="298" w:name="bookmark6"/>
      <w:bookmarkEnd w:id="297"/>
    </w:p>
    <w:p w14:paraId="1C2A4DB2" w14:textId="77777777" w:rsidR="00A54C2B" w:rsidRPr="000322E4" w:rsidRDefault="00A54C2B" w:rsidP="008E3584">
      <w:pPr>
        <w:pStyle w:val="2"/>
        <w:spacing w:before="0"/>
      </w:pPr>
      <w:bookmarkStart w:id="299" w:name="_Toc11747754"/>
      <w:bookmarkStart w:id="300" w:name="_Toc24572141"/>
      <w:bookmarkStart w:id="301" w:name="_Toc24964262"/>
      <w:bookmarkStart w:id="302" w:name="_Toc66096876"/>
      <w:bookmarkEnd w:id="298"/>
      <w:r w:rsidRPr="000322E4">
        <w:t>Приложение Г</w:t>
      </w:r>
      <w:bookmarkStart w:id="303" w:name="_Toc19799875"/>
      <w:bookmarkStart w:id="304" w:name="_Toc16755716"/>
      <w:bookmarkEnd w:id="299"/>
      <w:r w:rsidRPr="000322E4">
        <w:t>1. Шкала оценки общего состояния пациента Восточной объединенной онкологической группы (ECOG</w:t>
      </w:r>
      <w:bookmarkEnd w:id="303"/>
      <w:r w:rsidRPr="000322E4">
        <w:t>)</w:t>
      </w:r>
      <w:bookmarkEnd w:id="300"/>
      <w:bookmarkEnd w:id="301"/>
      <w:bookmarkEnd w:id="302"/>
    </w:p>
    <w:p w14:paraId="1DF3722B" w14:textId="77777777" w:rsidR="00A54C2B" w:rsidRPr="000322E4" w:rsidRDefault="00A54C2B" w:rsidP="008E3584">
      <w:pPr>
        <w:rPr>
          <w:lang w:val="en-US"/>
        </w:rPr>
      </w:pPr>
      <w:r w:rsidRPr="000322E4">
        <w:t>Оригинальное</w:t>
      </w:r>
      <w:r w:rsidRPr="000322E4">
        <w:rPr>
          <w:lang w:val="en-US"/>
        </w:rPr>
        <w:t xml:space="preserve"> </w:t>
      </w:r>
      <w:r w:rsidRPr="000322E4">
        <w:t>название</w:t>
      </w:r>
      <w:r w:rsidRPr="000322E4">
        <w:rPr>
          <w:lang w:val="en-US"/>
        </w:rPr>
        <w:t>: The ECOG Scale of Performance Status</w:t>
      </w:r>
    </w:p>
    <w:p w14:paraId="1F6FA08F" w14:textId="38B31333" w:rsidR="00A54C2B" w:rsidRPr="000322E4" w:rsidRDefault="00A54C2B" w:rsidP="008E3584">
      <w:r w:rsidRPr="000322E4">
        <w:t>Источник</w:t>
      </w:r>
      <w:r w:rsidRPr="000322E4">
        <w:rPr>
          <w:lang w:val="en-US"/>
        </w:rPr>
        <w:t>: Oken M.M. et al. Toxicity and response criteria of the Eastern Cooperative Oncology Group. Am</w:t>
      </w:r>
      <w:r w:rsidRPr="0089207C">
        <w:t xml:space="preserve">. </w:t>
      </w:r>
      <w:r w:rsidRPr="000322E4">
        <w:rPr>
          <w:lang w:val="en-US"/>
        </w:rPr>
        <w:t>J</w:t>
      </w:r>
      <w:r w:rsidRPr="0089207C">
        <w:t xml:space="preserve">. </w:t>
      </w:r>
      <w:r w:rsidRPr="000322E4">
        <w:rPr>
          <w:lang w:val="en-US"/>
        </w:rPr>
        <w:t>Clin</w:t>
      </w:r>
      <w:r w:rsidRPr="0089207C">
        <w:t xml:space="preserve">. </w:t>
      </w:r>
      <w:r w:rsidRPr="000322E4">
        <w:rPr>
          <w:lang w:val="en-US"/>
        </w:rPr>
        <w:t>Oncol</w:t>
      </w:r>
      <w:r w:rsidRPr="000322E4">
        <w:t xml:space="preserve">. 1982;5(6):649–65 </w:t>
      </w:r>
      <w:r w:rsidRPr="000322E4">
        <w:fldChar w:fldCharType="begin" w:fldLock="1"/>
      </w:r>
      <w:r w:rsidR="002736BA">
        <w:rPr>
          <w:lang w:val="en-US"/>
        </w:rPr>
        <w:instrText>ADDIN</w:instrText>
      </w:r>
      <w:r w:rsidR="002736BA" w:rsidRPr="0089207C">
        <w:instrText xml:space="preserve"> </w:instrText>
      </w:r>
      <w:r w:rsidR="002736BA">
        <w:rPr>
          <w:lang w:val="en-US"/>
        </w:rPr>
        <w:instrText>CSL</w:instrText>
      </w:r>
      <w:r w:rsidR="002736BA" w:rsidRPr="0089207C">
        <w:instrText>_</w:instrText>
      </w:r>
      <w:r w:rsidR="002736BA">
        <w:rPr>
          <w:lang w:val="en-US"/>
        </w:rPr>
        <w:instrText>CITATION</w:instrText>
      </w:r>
      <w:r w:rsidR="002736BA" w:rsidRPr="0089207C">
        <w:instrText xml:space="preserve"> {"</w:instrText>
      </w:r>
      <w:r w:rsidR="002736BA">
        <w:rPr>
          <w:lang w:val="en-US"/>
        </w:rPr>
        <w:instrText>citationItems</w:instrText>
      </w:r>
      <w:r w:rsidR="002736BA" w:rsidRPr="0089207C">
        <w:instrText>":[{"</w:instrText>
      </w:r>
      <w:r w:rsidR="002736BA">
        <w:rPr>
          <w:lang w:val="en-US"/>
        </w:rPr>
        <w:instrText>id</w:instrText>
      </w:r>
      <w:r w:rsidR="002736BA" w:rsidRPr="0089207C">
        <w:instrText>":"</w:instrText>
      </w:r>
      <w:r w:rsidR="002736BA">
        <w:rPr>
          <w:lang w:val="en-US"/>
        </w:rPr>
        <w:instrText>ITEM</w:instrText>
      </w:r>
      <w:r w:rsidR="002736BA" w:rsidRPr="0089207C">
        <w:instrText>-1","</w:instrText>
      </w:r>
      <w:r w:rsidR="002736BA">
        <w:rPr>
          <w:lang w:val="en-US"/>
        </w:rPr>
        <w:instrText>itemData</w:instrText>
      </w:r>
      <w:r w:rsidR="002736BA" w:rsidRPr="0089207C">
        <w:instrText>":{"</w:instrText>
      </w:r>
      <w:r w:rsidR="002736BA">
        <w:rPr>
          <w:lang w:val="en-US"/>
        </w:rPr>
        <w:instrText>DOI</w:instrText>
      </w:r>
      <w:r w:rsidR="002736BA" w:rsidRPr="0089207C">
        <w:instrText>":"10.1097/00000421-198212000-00014","</w:instrText>
      </w:r>
      <w:r w:rsidR="002736BA">
        <w:rPr>
          <w:lang w:val="en-US"/>
        </w:rPr>
        <w:instrText>ISSN</w:instrText>
      </w:r>
      <w:r w:rsidR="002736BA" w:rsidRPr="0089207C">
        <w:instrText>":"02773732","</w:instrText>
      </w:r>
      <w:r w:rsidR="002736BA">
        <w:rPr>
          <w:lang w:val="en-US"/>
        </w:rPr>
        <w:instrText>PMID</w:instrText>
      </w:r>
      <w:r w:rsidR="002736BA" w:rsidRPr="0089207C">
        <w:instrText>":"7165009","</w:instrText>
      </w:r>
      <w:r w:rsidR="002736BA">
        <w:rPr>
          <w:lang w:val="en-US"/>
        </w:rPr>
        <w:instrText>abstract</w:instrText>
      </w:r>
      <w:r w:rsidR="002736BA" w:rsidRPr="0089207C">
        <w:instrText>":"</w:instrText>
      </w:r>
      <w:r w:rsidR="002736BA">
        <w:rPr>
          <w:lang w:val="en-US"/>
        </w:rPr>
        <w:instrText>Standard</w:instrText>
      </w:r>
      <w:r w:rsidR="002736BA" w:rsidRPr="0089207C">
        <w:instrText xml:space="preserve"> </w:instrText>
      </w:r>
      <w:r w:rsidR="002736BA">
        <w:rPr>
          <w:lang w:val="en-US"/>
        </w:rPr>
        <w:instrText>criteria</w:instrText>
      </w:r>
      <w:r w:rsidR="002736BA" w:rsidRPr="0089207C">
        <w:instrText xml:space="preserve"> </w:instrText>
      </w:r>
      <w:r w:rsidR="002736BA">
        <w:rPr>
          <w:lang w:val="en-US"/>
        </w:rPr>
        <w:instrText>for</w:instrText>
      </w:r>
      <w:r w:rsidR="002736BA" w:rsidRPr="0089207C">
        <w:instrText xml:space="preserve"> </w:instrText>
      </w:r>
      <w:r w:rsidR="002736BA">
        <w:rPr>
          <w:lang w:val="en-US"/>
        </w:rPr>
        <w:instrText>toxicity</w:instrText>
      </w:r>
      <w:r w:rsidR="002736BA" w:rsidRPr="0089207C">
        <w:instrText xml:space="preserve"> </w:instrText>
      </w:r>
      <w:r w:rsidR="002736BA">
        <w:rPr>
          <w:lang w:val="en-US"/>
        </w:rPr>
        <w:instrText>and</w:instrText>
      </w:r>
      <w:r w:rsidR="002736BA" w:rsidRPr="0089207C">
        <w:instrText xml:space="preserve"> </w:instrText>
      </w:r>
      <w:r w:rsidR="002736BA">
        <w:rPr>
          <w:lang w:val="en-US"/>
        </w:rPr>
        <w:instrText>for</w:instrText>
      </w:r>
      <w:r w:rsidR="002736BA" w:rsidRPr="0089207C">
        <w:instrText xml:space="preserve"> </w:instrText>
      </w:r>
      <w:r w:rsidR="002736BA">
        <w:rPr>
          <w:lang w:val="en-US"/>
        </w:rPr>
        <w:instrText>response</w:instrText>
      </w:r>
      <w:r w:rsidR="002736BA" w:rsidRPr="0089207C">
        <w:instrText xml:space="preserve"> </w:instrText>
      </w:r>
      <w:r w:rsidR="002736BA">
        <w:rPr>
          <w:lang w:val="en-US"/>
        </w:rPr>
        <w:instrText>to</w:instrText>
      </w:r>
      <w:r w:rsidR="002736BA" w:rsidRPr="0089207C">
        <w:instrText xml:space="preserve"> </w:instrText>
      </w:r>
      <w:r w:rsidR="002736BA">
        <w:rPr>
          <w:lang w:val="en-US"/>
        </w:rPr>
        <w:instrText>treatment</w:instrText>
      </w:r>
      <w:r w:rsidR="002736BA" w:rsidRPr="0089207C">
        <w:instrText xml:space="preserve"> </w:instrText>
      </w:r>
      <w:r w:rsidR="002736BA">
        <w:rPr>
          <w:lang w:val="en-US"/>
        </w:rPr>
        <w:instrText>are</w:instrText>
      </w:r>
      <w:r w:rsidR="002736BA" w:rsidRPr="0089207C">
        <w:instrText xml:space="preserve"> </w:instrText>
      </w:r>
      <w:r w:rsidR="002736BA">
        <w:rPr>
          <w:lang w:val="en-US"/>
        </w:rPr>
        <w:instrText>important</w:instrText>
      </w:r>
      <w:r w:rsidR="002736BA" w:rsidRPr="0089207C">
        <w:instrText xml:space="preserve"> </w:instrText>
      </w:r>
      <w:r w:rsidR="002736BA">
        <w:rPr>
          <w:lang w:val="en-US"/>
        </w:rPr>
        <w:instrText>prerequisites</w:instrText>
      </w:r>
      <w:r w:rsidR="002736BA" w:rsidRPr="0089207C">
        <w:instrText xml:space="preserve"> </w:instrText>
      </w:r>
      <w:r w:rsidR="002736BA">
        <w:rPr>
          <w:lang w:val="en-US"/>
        </w:rPr>
        <w:instrText>to</w:instrText>
      </w:r>
      <w:r w:rsidR="002736BA" w:rsidRPr="0089207C">
        <w:instrText xml:space="preserve"> </w:instrText>
      </w:r>
      <w:r w:rsidR="002736BA">
        <w:rPr>
          <w:lang w:val="en-US"/>
        </w:rPr>
        <w:instrText>the</w:instrText>
      </w:r>
      <w:r w:rsidR="002736BA" w:rsidRPr="0089207C">
        <w:instrText xml:space="preserve"> </w:instrText>
      </w:r>
      <w:r w:rsidR="002736BA">
        <w:rPr>
          <w:lang w:val="en-US"/>
        </w:rPr>
        <w:instrText>conduct</w:instrText>
      </w:r>
      <w:r w:rsidR="002736BA" w:rsidRPr="0089207C">
        <w:instrText xml:space="preserve"> </w:instrText>
      </w:r>
      <w:r w:rsidR="002736BA">
        <w:rPr>
          <w:lang w:val="en-US"/>
        </w:rPr>
        <w:instrText>of</w:instrText>
      </w:r>
      <w:r w:rsidR="002736BA" w:rsidRPr="0089207C">
        <w:instrText xml:space="preserve"> </w:instrText>
      </w:r>
      <w:r w:rsidR="002736BA">
        <w:rPr>
          <w:lang w:val="en-US"/>
        </w:rPr>
        <w:instrText>cancer</w:instrText>
      </w:r>
      <w:r w:rsidR="002736BA" w:rsidRPr="0089207C">
        <w:instrText xml:space="preserve"> </w:instrText>
      </w:r>
      <w:r w:rsidR="002736BA">
        <w:rPr>
          <w:lang w:val="en-US"/>
        </w:rPr>
        <w:instrText>trials</w:instrText>
      </w:r>
      <w:r w:rsidR="002736BA" w:rsidRPr="0089207C">
        <w:instrText xml:space="preserve">. </w:instrText>
      </w:r>
      <w:r w:rsidR="002736BA">
        <w:rPr>
          <w:lang w:val="en-US"/>
        </w:rPr>
        <w:instrText>The</w:instrText>
      </w:r>
      <w:r w:rsidR="002736BA" w:rsidRPr="0089207C">
        <w:instrText xml:space="preserve"> </w:instrText>
      </w:r>
      <w:r w:rsidR="002736BA">
        <w:rPr>
          <w:lang w:val="en-US"/>
        </w:rPr>
        <w:instrText>Eastern</w:instrText>
      </w:r>
      <w:r w:rsidR="002736BA" w:rsidRPr="0089207C">
        <w:instrText xml:space="preserve"> </w:instrText>
      </w:r>
      <w:r w:rsidR="002736BA">
        <w:rPr>
          <w:lang w:val="en-US"/>
        </w:rPr>
        <w:instrText>Cooperative</w:instrText>
      </w:r>
      <w:r w:rsidR="002736BA" w:rsidRPr="0089207C">
        <w:instrText xml:space="preserve"> </w:instrText>
      </w:r>
      <w:r w:rsidR="002736BA">
        <w:rPr>
          <w:lang w:val="en-US"/>
        </w:rPr>
        <w:instrText>Oncology</w:instrText>
      </w:r>
      <w:r w:rsidR="002736BA" w:rsidRPr="0089207C">
        <w:instrText xml:space="preserve"> </w:instrText>
      </w:r>
      <w:r w:rsidR="002736BA">
        <w:rPr>
          <w:lang w:val="en-US"/>
        </w:rPr>
        <w:instrText>Group</w:instrText>
      </w:r>
      <w:r w:rsidR="002736BA" w:rsidRPr="0089207C">
        <w:instrText xml:space="preserve"> </w:instrText>
      </w:r>
      <w:r w:rsidR="002736BA">
        <w:rPr>
          <w:lang w:val="en-US"/>
        </w:rPr>
        <w:instrText>criteria</w:instrText>
      </w:r>
      <w:r w:rsidR="002736BA" w:rsidRPr="0089207C">
        <w:instrText xml:space="preserve"> </w:instrText>
      </w:r>
      <w:r w:rsidR="002736BA">
        <w:rPr>
          <w:lang w:val="en-US"/>
        </w:rPr>
        <w:instrText>for</w:instrText>
      </w:r>
      <w:r w:rsidR="002736BA" w:rsidRPr="0089207C">
        <w:instrText xml:space="preserve"> </w:instrText>
      </w:r>
      <w:r w:rsidR="002736BA">
        <w:rPr>
          <w:lang w:val="en-US"/>
        </w:rPr>
        <w:instrText>toxicity</w:instrText>
      </w:r>
      <w:r w:rsidR="002736BA" w:rsidRPr="0089207C">
        <w:instrText xml:space="preserve"> </w:instrText>
      </w:r>
      <w:r w:rsidR="002736BA">
        <w:rPr>
          <w:lang w:val="en-US"/>
        </w:rPr>
        <w:instrText>and</w:instrText>
      </w:r>
      <w:r w:rsidR="002736BA" w:rsidRPr="0089207C">
        <w:instrText xml:space="preserve"> </w:instrText>
      </w:r>
      <w:r w:rsidR="002736BA">
        <w:rPr>
          <w:lang w:val="en-US"/>
        </w:rPr>
        <w:instrText>response</w:instrText>
      </w:r>
      <w:r w:rsidR="002736BA" w:rsidRPr="0089207C">
        <w:instrText xml:space="preserve"> </w:instrText>
      </w:r>
      <w:r w:rsidR="002736BA">
        <w:rPr>
          <w:lang w:val="en-US"/>
        </w:rPr>
        <w:instrText>are</w:instrText>
      </w:r>
      <w:r w:rsidR="002736BA" w:rsidRPr="0089207C">
        <w:instrText xml:space="preserve"> </w:instrText>
      </w:r>
      <w:r w:rsidR="002736BA">
        <w:rPr>
          <w:lang w:val="en-US"/>
        </w:rPr>
        <w:instrText>presented</w:instrText>
      </w:r>
      <w:r w:rsidR="002736BA" w:rsidRPr="0089207C">
        <w:instrText xml:space="preserve"> </w:instrText>
      </w:r>
      <w:r w:rsidR="002736BA">
        <w:rPr>
          <w:lang w:val="en-US"/>
        </w:rPr>
        <w:instrText>to</w:instrText>
      </w:r>
      <w:r w:rsidR="002736BA" w:rsidRPr="0089207C">
        <w:instrText xml:space="preserve"> </w:instrText>
      </w:r>
      <w:r w:rsidR="002736BA">
        <w:rPr>
          <w:lang w:val="en-US"/>
        </w:rPr>
        <w:instrText>facilitate</w:instrText>
      </w:r>
      <w:r w:rsidR="002736BA" w:rsidRPr="0089207C">
        <w:instrText xml:space="preserve"> </w:instrText>
      </w:r>
      <w:r w:rsidR="002736BA">
        <w:rPr>
          <w:lang w:val="en-US"/>
        </w:rPr>
        <w:instrText>future</w:instrText>
      </w:r>
      <w:r w:rsidR="002736BA" w:rsidRPr="0089207C">
        <w:instrText xml:space="preserve"> </w:instrText>
      </w:r>
      <w:r w:rsidR="002736BA">
        <w:rPr>
          <w:lang w:val="en-US"/>
        </w:rPr>
        <w:instrText>reference</w:instrText>
      </w:r>
      <w:r w:rsidR="002736BA" w:rsidRPr="0089207C">
        <w:instrText xml:space="preserve"> </w:instrText>
      </w:r>
      <w:r w:rsidR="002736BA">
        <w:rPr>
          <w:lang w:val="en-US"/>
        </w:rPr>
        <w:instrText>and</w:instrText>
      </w:r>
      <w:r w:rsidR="002736BA" w:rsidRPr="0089207C">
        <w:instrText xml:space="preserve"> </w:instrText>
      </w:r>
      <w:r w:rsidR="002736BA">
        <w:rPr>
          <w:lang w:val="en-US"/>
        </w:rPr>
        <w:instrText>to</w:instrText>
      </w:r>
      <w:r w:rsidR="002736BA" w:rsidRPr="0089207C">
        <w:instrText xml:space="preserve"> </w:instrText>
      </w:r>
      <w:r w:rsidR="002736BA">
        <w:rPr>
          <w:lang w:val="en-US"/>
        </w:rPr>
        <w:instrText>encourage</w:instrText>
      </w:r>
      <w:r w:rsidR="002736BA" w:rsidRPr="0089207C">
        <w:instrText xml:space="preserve"> </w:instrText>
      </w:r>
      <w:r w:rsidR="002736BA">
        <w:rPr>
          <w:lang w:val="en-US"/>
        </w:rPr>
        <w:instrText>further</w:instrText>
      </w:r>
      <w:r w:rsidR="002736BA" w:rsidRPr="0089207C">
        <w:instrText xml:space="preserve"> </w:instrText>
      </w:r>
      <w:r w:rsidR="002736BA">
        <w:rPr>
          <w:lang w:val="en-US"/>
        </w:rPr>
        <w:instrText>standardization</w:instrText>
      </w:r>
      <w:r w:rsidR="002736BA" w:rsidRPr="0089207C">
        <w:instrText xml:space="preserve"> </w:instrText>
      </w:r>
      <w:r w:rsidR="002736BA">
        <w:rPr>
          <w:lang w:val="en-US"/>
        </w:rPr>
        <w:instrText>among</w:instrText>
      </w:r>
      <w:r w:rsidR="002736BA" w:rsidRPr="0089207C">
        <w:instrText xml:space="preserve"> </w:instrText>
      </w:r>
      <w:r w:rsidR="002736BA">
        <w:rPr>
          <w:lang w:val="en-US"/>
        </w:rPr>
        <w:instrText>those</w:instrText>
      </w:r>
      <w:r w:rsidR="002736BA" w:rsidRPr="0089207C">
        <w:instrText xml:space="preserve"> </w:instrText>
      </w:r>
      <w:r w:rsidR="002736BA">
        <w:rPr>
          <w:lang w:val="en-US"/>
        </w:rPr>
        <w:instrText>conducting</w:instrText>
      </w:r>
      <w:r w:rsidR="002736BA" w:rsidRPr="0089207C">
        <w:instrText xml:space="preserve"> </w:instrText>
      </w:r>
      <w:r w:rsidR="002736BA">
        <w:rPr>
          <w:lang w:val="en-US"/>
        </w:rPr>
        <w:instrText>clinical</w:instrText>
      </w:r>
      <w:r w:rsidR="002736BA" w:rsidRPr="0089207C">
        <w:instrText xml:space="preserve"> </w:instrText>
      </w:r>
      <w:r w:rsidR="002736BA">
        <w:rPr>
          <w:lang w:val="en-US"/>
        </w:rPr>
        <w:instrText>trials</w:instrText>
      </w:r>
      <w:r w:rsidR="002736BA" w:rsidRPr="0089207C">
        <w:instrText>.","</w:instrText>
      </w:r>
      <w:r w:rsidR="002736BA">
        <w:rPr>
          <w:lang w:val="en-US"/>
        </w:rPr>
        <w:instrText>author</w:instrText>
      </w:r>
      <w:r w:rsidR="002736BA" w:rsidRPr="0089207C">
        <w:instrText>":[{"</w:instrText>
      </w:r>
      <w:r w:rsidR="002736BA">
        <w:rPr>
          <w:lang w:val="en-US"/>
        </w:rPr>
        <w:instrText>dropping</w:instrText>
      </w:r>
      <w:r w:rsidR="002736BA" w:rsidRPr="0089207C">
        <w:instrText>-</w:instrText>
      </w:r>
      <w:r w:rsidR="002736BA">
        <w:rPr>
          <w:lang w:val="en-US"/>
        </w:rPr>
        <w:instrText>particle</w:instrText>
      </w:r>
      <w:r w:rsidR="002736BA" w:rsidRPr="0089207C">
        <w:instrText>":"","</w:instrText>
      </w:r>
      <w:r w:rsidR="002736BA">
        <w:rPr>
          <w:lang w:val="en-US"/>
        </w:rPr>
        <w:instrText>family</w:instrText>
      </w:r>
      <w:r w:rsidR="002736BA" w:rsidRPr="0089207C">
        <w:instrText>":"</w:instrText>
      </w:r>
      <w:r w:rsidR="002736BA">
        <w:rPr>
          <w:lang w:val="en-US"/>
        </w:rPr>
        <w:instrText>Oken</w:instrText>
      </w:r>
      <w:r w:rsidR="002736BA" w:rsidRPr="0089207C">
        <w:instrText>","</w:instrText>
      </w:r>
      <w:r w:rsidR="002736BA">
        <w:rPr>
          <w:lang w:val="en-US"/>
        </w:rPr>
        <w:instrText>given</w:instrText>
      </w:r>
      <w:r w:rsidR="002736BA" w:rsidRPr="0089207C">
        <w:instrText>":"</w:instrText>
      </w:r>
      <w:r w:rsidR="002736BA">
        <w:rPr>
          <w:lang w:val="en-US"/>
        </w:rPr>
        <w:instrText>M</w:instrText>
      </w:r>
      <w:r w:rsidR="002736BA" w:rsidRPr="0089207C">
        <w:instrText>.</w:instrText>
      </w:r>
      <w:r w:rsidR="002736BA">
        <w:rPr>
          <w:lang w:val="en-US"/>
        </w:rPr>
        <w:instrText>M</w:instrText>
      </w:r>
      <w:r w:rsidR="002736BA" w:rsidRPr="0089207C">
        <w:instrText>.","</w:instrText>
      </w:r>
      <w:r w:rsidR="002736BA">
        <w:rPr>
          <w:lang w:val="en-US"/>
        </w:rPr>
        <w:instrText>non</w:instrText>
      </w:r>
      <w:r w:rsidR="002736BA" w:rsidRPr="0089207C">
        <w:instrText>-</w:instrText>
      </w:r>
      <w:r w:rsidR="002736BA">
        <w:rPr>
          <w:lang w:val="en-US"/>
        </w:rPr>
        <w:instrText>dropping</w:instrText>
      </w:r>
      <w:r w:rsidR="002736BA" w:rsidRPr="0089207C">
        <w:instrText>-</w:instrText>
      </w:r>
      <w:r w:rsidR="002736BA">
        <w:rPr>
          <w:lang w:val="en-US"/>
        </w:rPr>
        <w:instrText>particle</w:instrText>
      </w:r>
      <w:r w:rsidR="002736BA" w:rsidRPr="0089207C">
        <w:instrText>":"","</w:instrText>
      </w:r>
      <w:r w:rsidR="002736BA">
        <w:rPr>
          <w:lang w:val="en-US"/>
        </w:rPr>
        <w:instrText>parse</w:instrText>
      </w:r>
      <w:r w:rsidR="002736BA" w:rsidRPr="0089207C">
        <w:instrText>-</w:instrText>
      </w:r>
      <w:r w:rsidR="002736BA">
        <w:rPr>
          <w:lang w:val="en-US"/>
        </w:rPr>
        <w:instrText>names</w:instrText>
      </w:r>
      <w:r w:rsidR="002736BA" w:rsidRPr="0089207C">
        <w:instrText>":</w:instrText>
      </w:r>
      <w:r w:rsidR="002736BA">
        <w:rPr>
          <w:lang w:val="en-US"/>
        </w:rPr>
        <w:instrText>false</w:instrText>
      </w:r>
      <w:r w:rsidR="002736BA" w:rsidRPr="0089207C">
        <w:instrText>,"</w:instrText>
      </w:r>
      <w:r w:rsidR="002736BA">
        <w:rPr>
          <w:lang w:val="en-US"/>
        </w:rPr>
        <w:instrText>suffix</w:instrText>
      </w:r>
      <w:r w:rsidR="002736BA" w:rsidRPr="0089207C">
        <w:instrText>":""},{"</w:instrText>
      </w:r>
      <w:r w:rsidR="002736BA">
        <w:rPr>
          <w:lang w:val="en-US"/>
        </w:rPr>
        <w:instrText>dropping</w:instrText>
      </w:r>
      <w:r w:rsidR="002736BA" w:rsidRPr="0089207C">
        <w:instrText>-</w:instrText>
      </w:r>
      <w:r w:rsidR="002736BA">
        <w:rPr>
          <w:lang w:val="en-US"/>
        </w:rPr>
        <w:instrText>particle</w:instrText>
      </w:r>
      <w:r w:rsidR="002736BA" w:rsidRPr="0089207C">
        <w:instrText>":"","</w:instrText>
      </w:r>
      <w:r w:rsidR="002736BA">
        <w:rPr>
          <w:lang w:val="en-US"/>
        </w:rPr>
        <w:instrText>family</w:instrText>
      </w:r>
      <w:r w:rsidR="002736BA" w:rsidRPr="0089207C">
        <w:instrText>":"</w:instrText>
      </w:r>
      <w:r w:rsidR="002736BA">
        <w:rPr>
          <w:lang w:val="en-US"/>
        </w:rPr>
        <w:instrText>Creech</w:instrText>
      </w:r>
      <w:r w:rsidR="002736BA" w:rsidRPr="0089207C">
        <w:instrText>","</w:instrText>
      </w:r>
      <w:r w:rsidR="002736BA">
        <w:rPr>
          <w:lang w:val="en-US"/>
        </w:rPr>
        <w:instrText>given</w:instrText>
      </w:r>
      <w:r w:rsidR="002736BA" w:rsidRPr="0089207C">
        <w:instrText>":"</w:instrText>
      </w:r>
      <w:r w:rsidR="002736BA">
        <w:rPr>
          <w:lang w:val="en-US"/>
        </w:rPr>
        <w:instrText>R</w:instrText>
      </w:r>
      <w:r w:rsidR="002736BA" w:rsidRPr="0089207C">
        <w:instrText>.</w:instrText>
      </w:r>
      <w:r w:rsidR="002736BA">
        <w:rPr>
          <w:lang w:val="en-US"/>
        </w:rPr>
        <w:instrText>H</w:instrText>
      </w:r>
      <w:r w:rsidR="002736BA" w:rsidRPr="0089207C">
        <w:instrText>.","</w:instrText>
      </w:r>
      <w:r w:rsidR="002736BA">
        <w:rPr>
          <w:lang w:val="en-US"/>
        </w:rPr>
        <w:instrText>non</w:instrText>
      </w:r>
      <w:r w:rsidR="002736BA" w:rsidRPr="0089207C">
        <w:instrText>-</w:instrText>
      </w:r>
      <w:r w:rsidR="002736BA">
        <w:rPr>
          <w:lang w:val="en-US"/>
        </w:rPr>
        <w:instrText>dropping</w:instrText>
      </w:r>
      <w:r w:rsidR="002736BA" w:rsidRPr="0089207C">
        <w:instrText>-</w:instrText>
      </w:r>
      <w:r w:rsidR="002736BA">
        <w:rPr>
          <w:lang w:val="en-US"/>
        </w:rPr>
        <w:instrText>particle</w:instrText>
      </w:r>
      <w:r w:rsidR="002736BA" w:rsidRPr="0089207C">
        <w:instrText>":"","</w:instrText>
      </w:r>
      <w:r w:rsidR="002736BA">
        <w:rPr>
          <w:lang w:val="en-US"/>
        </w:rPr>
        <w:instrText>parse</w:instrText>
      </w:r>
      <w:r w:rsidR="002736BA" w:rsidRPr="0089207C">
        <w:instrText>-</w:instrText>
      </w:r>
      <w:r w:rsidR="002736BA">
        <w:rPr>
          <w:lang w:val="en-US"/>
        </w:rPr>
        <w:instrText>names</w:instrText>
      </w:r>
      <w:r w:rsidR="002736BA" w:rsidRPr="0089207C">
        <w:instrText>":</w:instrText>
      </w:r>
      <w:r w:rsidR="002736BA">
        <w:rPr>
          <w:lang w:val="en-US"/>
        </w:rPr>
        <w:instrText>false</w:instrText>
      </w:r>
      <w:r w:rsidR="002736BA" w:rsidRPr="0089207C">
        <w:instrText>,"</w:instrText>
      </w:r>
      <w:r w:rsidR="002736BA">
        <w:rPr>
          <w:lang w:val="en-US"/>
        </w:rPr>
        <w:instrText>suffix</w:instrText>
      </w:r>
      <w:r w:rsidR="002736BA" w:rsidRPr="0089207C">
        <w:instrText>":""},{"</w:instrText>
      </w:r>
      <w:r w:rsidR="002736BA">
        <w:rPr>
          <w:lang w:val="en-US"/>
        </w:rPr>
        <w:instrText>dropping</w:instrText>
      </w:r>
      <w:r w:rsidR="002736BA" w:rsidRPr="0089207C">
        <w:instrText>-</w:instrText>
      </w:r>
      <w:r w:rsidR="002736BA">
        <w:rPr>
          <w:lang w:val="en-US"/>
        </w:rPr>
        <w:instrText>particle</w:instrText>
      </w:r>
      <w:r w:rsidR="002736BA" w:rsidRPr="0089207C">
        <w:instrText>":"","</w:instrText>
      </w:r>
      <w:r w:rsidR="002736BA">
        <w:rPr>
          <w:lang w:val="en-US"/>
        </w:rPr>
        <w:instrText>family</w:instrText>
      </w:r>
      <w:r w:rsidR="002736BA" w:rsidRPr="0089207C">
        <w:instrText>":"</w:instrText>
      </w:r>
      <w:r w:rsidR="002736BA">
        <w:rPr>
          <w:lang w:val="en-US"/>
        </w:rPr>
        <w:instrText>Tormey</w:instrText>
      </w:r>
      <w:r w:rsidR="002736BA" w:rsidRPr="0089207C">
        <w:instrText>","</w:instrText>
      </w:r>
      <w:r w:rsidR="002736BA">
        <w:rPr>
          <w:lang w:val="en-US"/>
        </w:rPr>
        <w:instrText>given</w:instrText>
      </w:r>
      <w:r w:rsidR="002736BA" w:rsidRPr="0089207C">
        <w:instrText>":"</w:instrText>
      </w:r>
      <w:r w:rsidR="002736BA">
        <w:rPr>
          <w:lang w:val="en-US"/>
        </w:rPr>
        <w:instrText>D</w:instrText>
      </w:r>
      <w:r w:rsidR="002736BA" w:rsidRPr="0089207C">
        <w:instrText>.</w:instrText>
      </w:r>
      <w:r w:rsidR="002736BA">
        <w:rPr>
          <w:lang w:val="en-US"/>
        </w:rPr>
        <w:instrText>C</w:instrText>
      </w:r>
      <w:r w:rsidR="002736BA" w:rsidRPr="0089207C">
        <w:instrText>.","</w:instrText>
      </w:r>
      <w:r w:rsidR="002736BA">
        <w:rPr>
          <w:lang w:val="en-US"/>
        </w:rPr>
        <w:instrText>non</w:instrText>
      </w:r>
      <w:r w:rsidR="002736BA" w:rsidRPr="0089207C">
        <w:instrText>-</w:instrText>
      </w:r>
      <w:r w:rsidR="002736BA">
        <w:rPr>
          <w:lang w:val="en-US"/>
        </w:rPr>
        <w:instrText>dropping</w:instrText>
      </w:r>
      <w:r w:rsidR="002736BA" w:rsidRPr="0089207C">
        <w:instrText>-</w:instrText>
      </w:r>
      <w:r w:rsidR="002736BA">
        <w:rPr>
          <w:lang w:val="en-US"/>
        </w:rPr>
        <w:instrText>particle</w:instrText>
      </w:r>
      <w:r w:rsidR="002736BA" w:rsidRPr="0089207C">
        <w:instrText>":"","</w:instrText>
      </w:r>
      <w:r w:rsidR="002736BA">
        <w:rPr>
          <w:lang w:val="en-US"/>
        </w:rPr>
        <w:instrText>parse</w:instrText>
      </w:r>
      <w:r w:rsidR="002736BA" w:rsidRPr="0089207C">
        <w:instrText>-</w:instrText>
      </w:r>
      <w:r w:rsidR="002736BA">
        <w:rPr>
          <w:lang w:val="en-US"/>
        </w:rPr>
        <w:instrText>names</w:instrText>
      </w:r>
      <w:r w:rsidR="002736BA" w:rsidRPr="0089207C">
        <w:instrText>":</w:instrText>
      </w:r>
      <w:r w:rsidR="002736BA">
        <w:rPr>
          <w:lang w:val="en-US"/>
        </w:rPr>
        <w:instrText>false</w:instrText>
      </w:r>
      <w:r w:rsidR="002736BA" w:rsidRPr="0089207C">
        <w:instrText>,"</w:instrText>
      </w:r>
      <w:r w:rsidR="002736BA">
        <w:rPr>
          <w:lang w:val="en-US"/>
        </w:rPr>
        <w:instrText>suffix</w:instrText>
      </w:r>
      <w:r w:rsidR="002736BA" w:rsidRPr="0089207C">
        <w:instrText>":""},{"</w:instrText>
      </w:r>
      <w:r w:rsidR="002736BA">
        <w:rPr>
          <w:lang w:val="en-US"/>
        </w:rPr>
        <w:instrText>dropping</w:instrText>
      </w:r>
      <w:r w:rsidR="002736BA" w:rsidRPr="0089207C">
        <w:instrText>-</w:instrText>
      </w:r>
      <w:r w:rsidR="002736BA">
        <w:rPr>
          <w:lang w:val="en-US"/>
        </w:rPr>
        <w:instrText>particle</w:instrText>
      </w:r>
      <w:r w:rsidR="002736BA" w:rsidRPr="0089207C">
        <w:instrText>":"","</w:instrText>
      </w:r>
      <w:r w:rsidR="002736BA">
        <w:rPr>
          <w:lang w:val="en-US"/>
        </w:rPr>
        <w:instrText>family</w:instrText>
      </w:r>
      <w:r w:rsidR="002736BA" w:rsidRPr="0089207C">
        <w:instrText>":"</w:instrText>
      </w:r>
      <w:r w:rsidR="002736BA">
        <w:rPr>
          <w:lang w:val="en-US"/>
        </w:rPr>
        <w:instrText>Horton</w:instrText>
      </w:r>
      <w:r w:rsidR="002736BA" w:rsidRPr="0089207C">
        <w:instrText>","</w:instrText>
      </w:r>
      <w:r w:rsidR="002736BA">
        <w:rPr>
          <w:lang w:val="en-US"/>
        </w:rPr>
        <w:instrText>given</w:instrText>
      </w:r>
      <w:r w:rsidR="002736BA" w:rsidRPr="0089207C">
        <w:instrText>":"</w:instrText>
      </w:r>
      <w:r w:rsidR="002736BA">
        <w:rPr>
          <w:lang w:val="en-US"/>
        </w:rPr>
        <w:instrText>J</w:instrText>
      </w:r>
      <w:r w:rsidR="002736BA" w:rsidRPr="0089207C">
        <w:instrText>.","</w:instrText>
      </w:r>
      <w:r w:rsidR="002736BA">
        <w:rPr>
          <w:lang w:val="en-US"/>
        </w:rPr>
        <w:instrText>non</w:instrText>
      </w:r>
      <w:r w:rsidR="002736BA" w:rsidRPr="0089207C">
        <w:instrText>-</w:instrText>
      </w:r>
      <w:r w:rsidR="002736BA">
        <w:rPr>
          <w:lang w:val="en-US"/>
        </w:rPr>
        <w:instrText>dropping</w:instrText>
      </w:r>
      <w:r w:rsidR="002736BA" w:rsidRPr="0089207C">
        <w:instrText>-</w:instrText>
      </w:r>
      <w:r w:rsidR="002736BA">
        <w:rPr>
          <w:lang w:val="en-US"/>
        </w:rPr>
        <w:instrText>particle</w:instrText>
      </w:r>
      <w:r w:rsidR="002736BA" w:rsidRPr="0089207C">
        <w:instrText>":"","</w:instrText>
      </w:r>
      <w:r w:rsidR="002736BA">
        <w:rPr>
          <w:lang w:val="en-US"/>
        </w:rPr>
        <w:instrText>parse</w:instrText>
      </w:r>
      <w:r w:rsidR="002736BA" w:rsidRPr="0089207C">
        <w:instrText>-</w:instrText>
      </w:r>
      <w:r w:rsidR="002736BA">
        <w:rPr>
          <w:lang w:val="en-US"/>
        </w:rPr>
        <w:instrText>names</w:instrText>
      </w:r>
      <w:r w:rsidR="002736BA" w:rsidRPr="0089207C">
        <w:instrText>":</w:instrText>
      </w:r>
      <w:r w:rsidR="002736BA">
        <w:rPr>
          <w:lang w:val="en-US"/>
        </w:rPr>
        <w:instrText>false</w:instrText>
      </w:r>
      <w:r w:rsidR="002736BA" w:rsidRPr="0089207C">
        <w:instrText>,"</w:instrText>
      </w:r>
      <w:r w:rsidR="002736BA">
        <w:rPr>
          <w:lang w:val="en-US"/>
        </w:rPr>
        <w:instrText>suffix</w:instrText>
      </w:r>
      <w:r w:rsidR="002736BA" w:rsidRPr="0089207C">
        <w:instrText>":""},{"</w:instrText>
      </w:r>
      <w:r w:rsidR="002736BA">
        <w:rPr>
          <w:lang w:val="en-US"/>
        </w:rPr>
        <w:instrText>dropping</w:instrText>
      </w:r>
      <w:r w:rsidR="002736BA" w:rsidRPr="0089207C">
        <w:instrText>-</w:instrText>
      </w:r>
      <w:r w:rsidR="002736BA">
        <w:rPr>
          <w:lang w:val="en-US"/>
        </w:rPr>
        <w:instrText>particle</w:instrText>
      </w:r>
      <w:r w:rsidR="002736BA" w:rsidRPr="0089207C">
        <w:instrText>":"","</w:instrText>
      </w:r>
      <w:r w:rsidR="002736BA">
        <w:rPr>
          <w:lang w:val="en-US"/>
        </w:rPr>
        <w:instrText>family</w:instrText>
      </w:r>
      <w:r w:rsidR="002736BA" w:rsidRPr="0089207C">
        <w:instrText>":"</w:instrText>
      </w:r>
      <w:r w:rsidR="002736BA">
        <w:rPr>
          <w:lang w:val="en-US"/>
        </w:rPr>
        <w:instrText>Davis</w:instrText>
      </w:r>
      <w:r w:rsidR="002736BA" w:rsidRPr="0089207C">
        <w:instrText>","</w:instrText>
      </w:r>
      <w:r w:rsidR="002736BA">
        <w:rPr>
          <w:lang w:val="en-US"/>
        </w:rPr>
        <w:instrText>given</w:instrText>
      </w:r>
      <w:r w:rsidR="002736BA" w:rsidRPr="0089207C">
        <w:instrText>":"</w:instrText>
      </w:r>
      <w:r w:rsidR="002736BA">
        <w:rPr>
          <w:lang w:val="en-US"/>
        </w:rPr>
        <w:instrText>T</w:instrText>
      </w:r>
      <w:r w:rsidR="002736BA" w:rsidRPr="0089207C">
        <w:instrText>.</w:instrText>
      </w:r>
      <w:r w:rsidR="002736BA">
        <w:rPr>
          <w:lang w:val="en-US"/>
        </w:rPr>
        <w:instrText>E</w:instrText>
      </w:r>
      <w:r w:rsidR="002736BA" w:rsidRPr="0089207C">
        <w:instrText>.","</w:instrText>
      </w:r>
      <w:r w:rsidR="002736BA">
        <w:rPr>
          <w:lang w:val="en-US"/>
        </w:rPr>
        <w:instrText>non</w:instrText>
      </w:r>
      <w:r w:rsidR="002736BA" w:rsidRPr="0089207C">
        <w:instrText>-</w:instrText>
      </w:r>
      <w:r w:rsidR="002736BA">
        <w:rPr>
          <w:lang w:val="en-US"/>
        </w:rPr>
        <w:instrText>dropping</w:instrText>
      </w:r>
      <w:r w:rsidR="002736BA" w:rsidRPr="0089207C">
        <w:instrText>-</w:instrText>
      </w:r>
      <w:r w:rsidR="002736BA">
        <w:rPr>
          <w:lang w:val="en-US"/>
        </w:rPr>
        <w:instrText>particle</w:instrText>
      </w:r>
      <w:r w:rsidR="002736BA" w:rsidRPr="0089207C">
        <w:instrText>":"","</w:instrText>
      </w:r>
      <w:r w:rsidR="002736BA">
        <w:rPr>
          <w:lang w:val="en-US"/>
        </w:rPr>
        <w:instrText>parse</w:instrText>
      </w:r>
      <w:r w:rsidR="002736BA" w:rsidRPr="0089207C">
        <w:instrText>-</w:instrText>
      </w:r>
      <w:r w:rsidR="002736BA">
        <w:rPr>
          <w:lang w:val="en-US"/>
        </w:rPr>
        <w:instrText>names</w:instrText>
      </w:r>
      <w:r w:rsidR="002736BA" w:rsidRPr="0089207C">
        <w:instrText>":</w:instrText>
      </w:r>
      <w:r w:rsidR="002736BA">
        <w:rPr>
          <w:lang w:val="en-US"/>
        </w:rPr>
        <w:instrText>false</w:instrText>
      </w:r>
      <w:r w:rsidR="002736BA" w:rsidRPr="0089207C">
        <w:instrText>,"</w:instrText>
      </w:r>
      <w:r w:rsidR="002736BA">
        <w:rPr>
          <w:lang w:val="en-US"/>
        </w:rPr>
        <w:instrText>suffix</w:instrText>
      </w:r>
      <w:r w:rsidR="002736BA" w:rsidRPr="0089207C">
        <w:instrText>":""},{"</w:instrText>
      </w:r>
      <w:r w:rsidR="002736BA">
        <w:rPr>
          <w:lang w:val="en-US"/>
        </w:rPr>
        <w:instrText>dropping</w:instrText>
      </w:r>
      <w:r w:rsidR="002736BA" w:rsidRPr="0089207C">
        <w:instrText>-</w:instrText>
      </w:r>
      <w:r w:rsidR="002736BA">
        <w:rPr>
          <w:lang w:val="en-US"/>
        </w:rPr>
        <w:instrText>particle</w:instrText>
      </w:r>
      <w:r w:rsidR="002736BA" w:rsidRPr="0089207C">
        <w:instrText>":"","</w:instrText>
      </w:r>
      <w:r w:rsidR="002736BA">
        <w:rPr>
          <w:lang w:val="en-US"/>
        </w:rPr>
        <w:instrText>family</w:instrText>
      </w:r>
      <w:r w:rsidR="002736BA" w:rsidRPr="0089207C">
        <w:instrText>":"</w:instrText>
      </w:r>
      <w:r w:rsidR="002736BA">
        <w:rPr>
          <w:lang w:val="en-US"/>
        </w:rPr>
        <w:instrText>McFadden</w:instrText>
      </w:r>
      <w:r w:rsidR="002736BA" w:rsidRPr="0089207C">
        <w:instrText>","</w:instrText>
      </w:r>
      <w:r w:rsidR="002736BA">
        <w:rPr>
          <w:lang w:val="en-US"/>
        </w:rPr>
        <w:instrText>given</w:instrText>
      </w:r>
      <w:r w:rsidR="002736BA" w:rsidRPr="0089207C">
        <w:instrText>":"</w:instrText>
      </w:r>
      <w:r w:rsidR="002736BA">
        <w:rPr>
          <w:lang w:val="en-US"/>
        </w:rPr>
        <w:instrText>E</w:instrText>
      </w:r>
      <w:r w:rsidR="002736BA" w:rsidRPr="0089207C">
        <w:instrText>.</w:instrText>
      </w:r>
      <w:r w:rsidR="002736BA">
        <w:rPr>
          <w:lang w:val="en-US"/>
        </w:rPr>
        <w:instrText>T</w:instrText>
      </w:r>
      <w:r w:rsidR="002736BA" w:rsidRPr="0089207C">
        <w:instrText>.","</w:instrText>
      </w:r>
      <w:r w:rsidR="002736BA">
        <w:rPr>
          <w:lang w:val="en-US"/>
        </w:rPr>
        <w:instrText>non</w:instrText>
      </w:r>
      <w:r w:rsidR="002736BA" w:rsidRPr="0089207C">
        <w:instrText>-</w:instrText>
      </w:r>
      <w:r w:rsidR="002736BA">
        <w:rPr>
          <w:lang w:val="en-US"/>
        </w:rPr>
        <w:instrText>dropping</w:instrText>
      </w:r>
      <w:r w:rsidR="002736BA" w:rsidRPr="0089207C">
        <w:instrText>-</w:instrText>
      </w:r>
      <w:r w:rsidR="002736BA">
        <w:rPr>
          <w:lang w:val="en-US"/>
        </w:rPr>
        <w:instrText>particle</w:instrText>
      </w:r>
      <w:r w:rsidR="002736BA" w:rsidRPr="0089207C">
        <w:instrText>":"","</w:instrText>
      </w:r>
      <w:r w:rsidR="002736BA">
        <w:rPr>
          <w:lang w:val="en-US"/>
        </w:rPr>
        <w:instrText>parse</w:instrText>
      </w:r>
      <w:r w:rsidR="002736BA" w:rsidRPr="0089207C">
        <w:instrText>-</w:instrText>
      </w:r>
      <w:r w:rsidR="002736BA">
        <w:rPr>
          <w:lang w:val="en-US"/>
        </w:rPr>
        <w:instrText>names</w:instrText>
      </w:r>
      <w:r w:rsidR="002736BA" w:rsidRPr="0089207C">
        <w:instrText>":</w:instrText>
      </w:r>
      <w:r w:rsidR="002736BA">
        <w:rPr>
          <w:lang w:val="en-US"/>
        </w:rPr>
        <w:instrText>false</w:instrText>
      </w:r>
      <w:r w:rsidR="002736BA" w:rsidRPr="0089207C">
        <w:instrText>,"</w:instrText>
      </w:r>
      <w:r w:rsidR="002736BA">
        <w:rPr>
          <w:lang w:val="en-US"/>
        </w:rPr>
        <w:instrText>suffix</w:instrText>
      </w:r>
      <w:r w:rsidR="002736BA" w:rsidRPr="0089207C">
        <w:instrText>":""},{"</w:instrText>
      </w:r>
      <w:r w:rsidR="002736BA">
        <w:rPr>
          <w:lang w:val="en-US"/>
        </w:rPr>
        <w:instrText>dropping</w:instrText>
      </w:r>
      <w:r w:rsidR="002736BA" w:rsidRPr="0089207C">
        <w:instrText>-</w:instrText>
      </w:r>
      <w:r w:rsidR="002736BA">
        <w:rPr>
          <w:lang w:val="en-US"/>
        </w:rPr>
        <w:instrText>particle</w:instrText>
      </w:r>
      <w:r w:rsidR="002736BA" w:rsidRPr="0089207C">
        <w:instrText>":"","</w:instrText>
      </w:r>
      <w:r w:rsidR="002736BA">
        <w:rPr>
          <w:lang w:val="en-US"/>
        </w:rPr>
        <w:instrText>family</w:instrText>
      </w:r>
      <w:r w:rsidR="002736BA" w:rsidRPr="0089207C">
        <w:instrText>":"</w:instrText>
      </w:r>
      <w:r w:rsidR="002736BA">
        <w:rPr>
          <w:lang w:val="en-US"/>
        </w:rPr>
        <w:instrText>Carbone</w:instrText>
      </w:r>
      <w:r w:rsidR="002736BA" w:rsidRPr="0089207C">
        <w:instrText>","</w:instrText>
      </w:r>
      <w:r w:rsidR="002736BA">
        <w:rPr>
          <w:lang w:val="en-US"/>
        </w:rPr>
        <w:instrText>given</w:instrText>
      </w:r>
      <w:r w:rsidR="002736BA" w:rsidRPr="0089207C">
        <w:instrText>":"</w:instrText>
      </w:r>
      <w:r w:rsidR="002736BA">
        <w:rPr>
          <w:lang w:val="en-US"/>
        </w:rPr>
        <w:instrText>P</w:instrText>
      </w:r>
      <w:r w:rsidR="002736BA" w:rsidRPr="0089207C">
        <w:instrText>.</w:instrText>
      </w:r>
      <w:r w:rsidR="002736BA">
        <w:rPr>
          <w:lang w:val="en-US"/>
        </w:rPr>
        <w:instrText>P</w:instrText>
      </w:r>
      <w:r w:rsidR="002736BA" w:rsidRPr="0089207C">
        <w:instrText>.","</w:instrText>
      </w:r>
      <w:r w:rsidR="002736BA">
        <w:rPr>
          <w:lang w:val="en-US"/>
        </w:rPr>
        <w:instrText>non</w:instrText>
      </w:r>
      <w:r w:rsidR="002736BA" w:rsidRPr="0089207C">
        <w:instrText>-</w:instrText>
      </w:r>
      <w:r w:rsidR="002736BA">
        <w:rPr>
          <w:lang w:val="en-US"/>
        </w:rPr>
        <w:instrText>dropping</w:instrText>
      </w:r>
      <w:r w:rsidR="002736BA" w:rsidRPr="0089207C">
        <w:instrText>-</w:instrText>
      </w:r>
      <w:r w:rsidR="002736BA">
        <w:rPr>
          <w:lang w:val="en-US"/>
        </w:rPr>
        <w:instrText>particle</w:instrText>
      </w:r>
      <w:r w:rsidR="002736BA" w:rsidRPr="0089207C">
        <w:instrText>":"","</w:instrText>
      </w:r>
      <w:r w:rsidR="002736BA">
        <w:rPr>
          <w:lang w:val="en-US"/>
        </w:rPr>
        <w:instrText>parse</w:instrText>
      </w:r>
      <w:r w:rsidR="002736BA" w:rsidRPr="0089207C">
        <w:instrText>-</w:instrText>
      </w:r>
      <w:r w:rsidR="002736BA">
        <w:rPr>
          <w:lang w:val="en-US"/>
        </w:rPr>
        <w:instrText>names</w:instrText>
      </w:r>
      <w:r w:rsidR="002736BA" w:rsidRPr="0089207C">
        <w:instrText>":</w:instrText>
      </w:r>
      <w:r w:rsidR="002736BA">
        <w:rPr>
          <w:lang w:val="en-US"/>
        </w:rPr>
        <w:instrText>false</w:instrText>
      </w:r>
      <w:r w:rsidR="002736BA" w:rsidRPr="0089207C">
        <w:instrText>,"</w:instrText>
      </w:r>
      <w:r w:rsidR="002736BA">
        <w:rPr>
          <w:lang w:val="en-US"/>
        </w:rPr>
        <w:instrText>suffix</w:instrText>
      </w:r>
      <w:r w:rsidR="002736BA" w:rsidRPr="0089207C">
        <w:instrText>":""}],"</w:instrText>
      </w:r>
      <w:r w:rsidR="002736BA">
        <w:rPr>
          <w:lang w:val="en-US"/>
        </w:rPr>
        <w:instrText>container</w:instrText>
      </w:r>
      <w:r w:rsidR="002736BA" w:rsidRPr="0089207C">
        <w:instrText>-</w:instrText>
      </w:r>
      <w:r w:rsidR="002736BA">
        <w:rPr>
          <w:lang w:val="en-US"/>
        </w:rPr>
        <w:instrText>title</w:instrText>
      </w:r>
      <w:r w:rsidR="002736BA" w:rsidRPr="0089207C">
        <w:instrText>":"</w:instrText>
      </w:r>
      <w:r w:rsidR="002736BA">
        <w:rPr>
          <w:lang w:val="en-US"/>
        </w:rPr>
        <w:instrText>American</w:instrText>
      </w:r>
      <w:r w:rsidR="002736BA" w:rsidRPr="0089207C">
        <w:instrText xml:space="preserve"> </w:instrText>
      </w:r>
      <w:r w:rsidR="002736BA">
        <w:rPr>
          <w:lang w:val="en-US"/>
        </w:rPr>
        <w:instrText>Journal</w:instrText>
      </w:r>
      <w:r w:rsidR="002736BA" w:rsidRPr="0089207C">
        <w:instrText xml:space="preserve"> </w:instrText>
      </w:r>
      <w:r w:rsidR="002736BA">
        <w:rPr>
          <w:lang w:val="en-US"/>
        </w:rPr>
        <w:instrText>of</w:instrText>
      </w:r>
      <w:r w:rsidR="002736BA" w:rsidRPr="0089207C">
        <w:instrText xml:space="preserve"> </w:instrText>
      </w:r>
      <w:r w:rsidR="002736BA">
        <w:rPr>
          <w:lang w:val="en-US"/>
        </w:rPr>
        <w:instrText>Clinical</w:instrText>
      </w:r>
      <w:r w:rsidR="002736BA" w:rsidRPr="0089207C">
        <w:instrText xml:space="preserve"> </w:instrText>
      </w:r>
      <w:r w:rsidR="002736BA">
        <w:rPr>
          <w:lang w:val="en-US"/>
        </w:rPr>
        <w:instrText>Oncology</w:instrText>
      </w:r>
      <w:r w:rsidR="002736BA" w:rsidRPr="0089207C">
        <w:instrText>","</w:instrText>
      </w:r>
      <w:r w:rsidR="002736BA">
        <w:rPr>
          <w:lang w:val="en-US"/>
        </w:rPr>
        <w:instrText>id</w:instrText>
      </w:r>
      <w:r w:rsidR="002736BA" w:rsidRPr="0089207C">
        <w:instrText>":"</w:instrText>
      </w:r>
      <w:r w:rsidR="002736BA">
        <w:rPr>
          <w:lang w:val="en-US"/>
        </w:rPr>
        <w:instrText>ITEM</w:instrText>
      </w:r>
      <w:r w:rsidR="002736BA" w:rsidRPr="0089207C">
        <w:instrText>-1","</w:instrText>
      </w:r>
      <w:r w:rsidR="002736BA">
        <w:rPr>
          <w:lang w:val="en-US"/>
        </w:rPr>
        <w:instrText>issue</w:instrText>
      </w:r>
      <w:r w:rsidR="002736BA" w:rsidRPr="0089207C">
        <w:instrText>":"6","</w:instrText>
      </w:r>
      <w:r w:rsidR="002736BA">
        <w:rPr>
          <w:lang w:val="en-US"/>
        </w:rPr>
        <w:instrText>issued</w:instrText>
      </w:r>
      <w:r w:rsidR="002736BA" w:rsidRPr="0089207C">
        <w:instrText>":{"</w:instrText>
      </w:r>
      <w:r w:rsidR="002736BA">
        <w:rPr>
          <w:lang w:val="en-US"/>
        </w:rPr>
        <w:instrText>date</w:instrText>
      </w:r>
      <w:r w:rsidR="002736BA" w:rsidRPr="0089207C">
        <w:instrText>-</w:instrText>
      </w:r>
      <w:r w:rsidR="002736BA">
        <w:rPr>
          <w:lang w:val="en-US"/>
        </w:rPr>
        <w:instrText>parts</w:instrText>
      </w:r>
      <w:r w:rsidR="002736BA" w:rsidRPr="0089207C">
        <w:instrText>":[["1982"]]},"</w:instrText>
      </w:r>
      <w:r w:rsidR="002736BA">
        <w:rPr>
          <w:lang w:val="en-US"/>
        </w:rPr>
        <w:instrText>page</w:instrText>
      </w:r>
      <w:r w:rsidR="002736BA" w:rsidRPr="0089207C">
        <w:instrText>":"649-655","</w:instrText>
      </w:r>
      <w:r w:rsidR="002736BA">
        <w:rPr>
          <w:lang w:val="en-US"/>
        </w:rPr>
        <w:instrText>title</w:instrText>
      </w:r>
      <w:r w:rsidR="002736BA" w:rsidRPr="0089207C">
        <w:instrText>":"</w:instrText>
      </w:r>
      <w:r w:rsidR="002736BA">
        <w:rPr>
          <w:lang w:val="en-US"/>
        </w:rPr>
        <w:instrText>Toxicity</w:instrText>
      </w:r>
      <w:r w:rsidR="002736BA" w:rsidRPr="0089207C">
        <w:instrText xml:space="preserve"> </w:instrText>
      </w:r>
      <w:r w:rsidR="002736BA">
        <w:rPr>
          <w:lang w:val="en-US"/>
        </w:rPr>
        <w:instrText>and</w:instrText>
      </w:r>
      <w:r w:rsidR="002736BA" w:rsidRPr="0089207C">
        <w:instrText xml:space="preserve"> </w:instrText>
      </w:r>
      <w:r w:rsidR="002736BA">
        <w:rPr>
          <w:lang w:val="en-US"/>
        </w:rPr>
        <w:instrText>response</w:instrText>
      </w:r>
      <w:r w:rsidR="002736BA" w:rsidRPr="0089207C">
        <w:instrText xml:space="preserve"> </w:instrText>
      </w:r>
      <w:r w:rsidR="002736BA">
        <w:rPr>
          <w:lang w:val="en-US"/>
        </w:rPr>
        <w:instrText>criteria</w:instrText>
      </w:r>
      <w:r w:rsidR="002736BA" w:rsidRPr="0089207C">
        <w:instrText xml:space="preserve"> </w:instrText>
      </w:r>
      <w:r w:rsidR="002736BA">
        <w:rPr>
          <w:lang w:val="en-US"/>
        </w:rPr>
        <w:instrText>of</w:instrText>
      </w:r>
      <w:r w:rsidR="002736BA" w:rsidRPr="0089207C">
        <w:instrText xml:space="preserve"> </w:instrText>
      </w:r>
      <w:r w:rsidR="002736BA">
        <w:rPr>
          <w:lang w:val="en-US"/>
        </w:rPr>
        <w:instrText>the</w:instrText>
      </w:r>
      <w:r w:rsidR="002736BA" w:rsidRPr="0089207C">
        <w:instrText xml:space="preserve"> </w:instrText>
      </w:r>
      <w:r w:rsidR="002736BA">
        <w:rPr>
          <w:lang w:val="en-US"/>
        </w:rPr>
        <w:instrText>Eastern</w:instrText>
      </w:r>
      <w:r w:rsidR="002736BA" w:rsidRPr="0089207C">
        <w:instrText xml:space="preserve"> </w:instrText>
      </w:r>
      <w:r w:rsidR="002736BA">
        <w:rPr>
          <w:lang w:val="en-US"/>
        </w:rPr>
        <w:instrText>Cooperative</w:instrText>
      </w:r>
      <w:r w:rsidR="002736BA" w:rsidRPr="0089207C">
        <w:instrText xml:space="preserve"> </w:instrText>
      </w:r>
      <w:r w:rsidR="002736BA">
        <w:rPr>
          <w:lang w:val="en-US"/>
        </w:rPr>
        <w:instrText>Oncology</w:instrText>
      </w:r>
      <w:r w:rsidR="002736BA" w:rsidRPr="0089207C">
        <w:instrText xml:space="preserve"> </w:instrText>
      </w:r>
      <w:r w:rsidR="002736BA">
        <w:rPr>
          <w:lang w:val="en-US"/>
        </w:rPr>
        <w:instrText>Group</w:instrText>
      </w:r>
      <w:r w:rsidR="002736BA" w:rsidRPr="0089207C">
        <w:instrText>","</w:instrText>
      </w:r>
      <w:r w:rsidR="002736BA">
        <w:rPr>
          <w:lang w:val="en-US"/>
        </w:rPr>
        <w:instrText>type</w:instrText>
      </w:r>
      <w:r w:rsidR="002736BA" w:rsidRPr="0089207C">
        <w:instrText>":"</w:instrText>
      </w:r>
      <w:r w:rsidR="002736BA">
        <w:rPr>
          <w:lang w:val="en-US"/>
        </w:rPr>
        <w:instrText>article</w:instrText>
      </w:r>
      <w:r w:rsidR="002736BA" w:rsidRPr="0089207C">
        <w:instrText>-</w:instrText>
      </w:r>
      <w:r w:rsidR="002736BA">
        <w:rPr>
          <w:lang w:val="en-US"/>
        </w:rPr>
        <w:instrText>journal</w:instrText>
      </w:r>
      <w:r w:rsidR="002736BA" w:rsidRPr="0089207C">
        <w:instrText>","</w:instrText>
      </w:r>
      <w:r w:rsidR="002736BA">
        <w:rPr>
          <w:lang w:val="en-US"/>
        </w:rPr>
        <w:instrText>volume</w:instrText>
      </w:r>
      <w:r w:rsidR="002736BA" w:rsidRPr="0089207C">
        <w:instrText>":"5"},"</w:instrText>
      </w:r>
      <w:r w:rsidR="002736BA">
        <w:rPr>
          <w:lang w:val="en-US"/>
        </w:rPr>
        <w:instrText>uris</w:instrText>
      </w:r>
      <w:r w:rsidR="002736BA" w:rsidRPr="0089207C">
        <w:instrText>":["</w:instrText>
      </w:r>
      <w:r w:rsidR="002736BA">
        <w:rPr>
          <w:lang w:val="en-US"/>
        </w:rPr>
        <w:instrText>http</w:instrText>
      </w:r>
      <w:r w:rsidR="002736BA" w:rsidRPr="0089207C">
        <w:instrText>://</w:instrText>
      </w:r>
      <w:r w:rsidR="002736BA">
        <w:rPr>
          <w:lang w:val="en-US"/>
        </w:rPr>
        <w:instrText>www</w:instrText>
      </w:r>
      <w:r w:rsidR="002736BA" w:rsidRPr="0089207C">
        <w:instrText>.</w:instrText>
      </w:r>
      <w:r w:rsidR="002736BA">
        <w:rPr>
          <w:lang w:val="en-US"/>
        </w:rPr>
        <w:instrText>mendeley</w:instrText>
      </w:r>
      <w:r w:rsidR="002736BA" w:rsidRPr="0089207C">
        <w:instrText>.</w:instrText>
      </w:r>
      <w:r w:rsidR="002736BA">
        <w:rPr>
          <w:lang w:val="en-US"/>
        </w:rPr>
        <w:instrText>com</w:instrText>
      </w:r>
      <w:r w:rsidR="002736BA" w:rsidRPr="0089207C">
        <w:instrText>/</w:instrText>
      </w:r>
      <w:r w:rsidR="002736BA">
        <w:rPr>
          <w:lang w:val="en-US"/>
        </w:rPr>
        <w:instrText>documents</w:instrText>
      </w:r>
      <w:r w:rsidR="002736BA" w:rsidRPr="0089207C">
        <w:instrText>/?</w:instrText>
      </w:r>
      <w:r w:rsidR="002736BA">
        <w:rPr>
          <w:lang w:val="en-US"/>
        </w:rPr>
        <w:instrText>uuid</w:instrText>
      </w:r>
      <w:r w:rsidR="002736BA" w:rsidRPr="0089207C">
        <w:instrText>=</w:instrText>
      </w:r>
      <w:r w:rsidR="002736BA">
        <w:rPr>
          <w:lang w:val="en-US"/>
        </w:rPr>
        <w:instrText>a</w:instrText>
      </w:r>
      <w:r w:rsidR="002736BA" w:rsidRPr="0089207C">
        <w:instrText>75</w:instrText>
      </w:r>
      <w:r w:rsidR="002736BA">
        <w:rPr>
          <w:lang w:val="en-US"/>
        </w:rPr>
        <w:instrText>f</w:instrText>
      </w:r>
      <w:r w:rsidR="002736BA" w:rsidRPr="0089207C">
        <w:instrText>02</w:instrText>
      </w:r>
      <w:r w:rsidR="002736BA">
        <w:rPr>
          <w:lang w:val="en-US"/>
        </w:rPr>
        <w:instrText>f</w:instrText>
      </w:r>
      <w:r w:rsidR="002736BA" w:rsidRPr="0089207C">
        <w:instrText>1-</w:instrText>
      </w:r>
      <w:r w:rsidR="002736BA">
        <w:rPr>
          <w:lang w:val="en-US"/>
        </w:rPr>
        <w:instrText>b</w:instrText>
      </w:r>
      <w:r w:rsidR="002736BA" w:rsidRPr="0089207C">
        <w:instrText>78</w:instrText>
      </w:r>
      <w:r w:rsidR="002736BA">
        <w:rPr>
          <w:lang w:val="en-US"/>
        </w:rPr>
        <w:instrText>b</w:instrText>
      </w:r>
      <w:r w:rsidR="002736BA" w:rsidRPr="0089207C">
        <w:instrText>-458</w:instrText>
      </w:r>
      <w:r w:rsidR="002736BA">
        <w:rPr>
          <w:lang w:val="en-US"/>
        </w:rPr>
        <w:instrText>d</w:instrText>
      </w:r>
      <w:r w:rsidR="002736BA" w:rsidRPr="0089207C">
        <w:instrText>-</w:instrText>
      </w:r>
      <w:r w:rsidR="002736BA">
        <w:rPr>
          <w:lang w:val="en-US"/>
        </w:rPr>
        <w:instrText>b</w:instrText>
      </w:r>
      <w:r w:rsidR="002736BA" w:rsidRPr="0089207C">
        <w:instrText>3</w:instrText>
      </w:r>
      <w:r w:rsidR="002736BA">
        <w:rPr>
          <w:lang w:val="en-US"/>
        </w:rPr>
        <w:instrText>c</w:instrText>
      </w:r>
      <w:r w:rsidR="002736BA" w:rsidRPr="0089207C">
        <w:instrText>4-9</w:instrText>
      </w:r>
      <w:r w:rsidR="002736BA">
        <w:rPr>
          <w:lang w:val="en-US"/>
        </w:rPr>
        <w:instrText>c</w:instrText>
      </w:r>
      <w:r w:rsidR="002736BA" w:rsidRPr="0089207C">
        <w:instrText>8</w:instrText>
      </w:r>
      <w:r w:rsidR="002736BA">
        <w:rPr>
          <w:lang w:val="en-US"/>
        </w:rPr>
        <w:instrText>b</w:instrText>
      </w:r>
      <w:r w:rsidR="002736BA" w:rsidRPr="0089207C">
        <w:instrText>402</w:instrText>
      </w:r>
      <w:r w:rsidR="002736BA">
        <w:rPr>
          <w:lang w:val="en-US"/>
        </w:rPr>
        <w:instrText>a</w:instrText>
      </w:r>
      <w:r w:rsidR="002736BA" w:rsidRPr="0089207C">
        <w:instrText>67</w:instrText>
      </w:r>
      <w:r w:rsidR="002736BA">
        <w:rPr>
          <w:lang w:val="en-US"/>
        </w:rPr>
        <w:instrText>f</w:instrText>
      </w:r>
      <w:r w:rsidR="002736BA" w:rsidRPr="0089207C">
        <w:instrText>0"]}],"</w:instrText>
      </w:r>
      <w:r w:rsidR="002736BA">
        <w:rPr>
          <w:lang w:val="en-US"/>
        </w:rPr>
        <w:instrText>mendeley</w:instrText>
      </w:r>
      <w:r w:rsidR="002736BA" w:rsidRPr="0089207C">
        <w:instrText>":{"</w:instrText>
      </w:r>
      <w:r w:rsidR="002736BA">
        <w:rPr>
          <w:lang w:val="en-US"/>
        </w:rPr>
        <w:instrText>formattedCitation</w:instrText>
      </w:r>
      <w:r w:rsidR="002736BA" w:rsidRPr="0089207C">
        <w:instrText>":"[268]","</w:instrText>
      </w:r>
      <w:r w:rsidR="002736BA">
        <w:rPr>
          <w:lang w:val="en-US"/>
        </w:rPr>
        <w:instrText>plainTextFormattedCitation</w:instrText>
      </w:r>
      <w:r w:rsidR="002736BA" w:rsidRPr="0089207C">
        <w:instrText>":"[268]","</w:instrText>
      </w:r>
      <w:r w:rsidR="002736BA">
        <w:rPr>
          <w:lang w:val="en-US"/>
        </w:rPr>
        <w:instrText>previouslyFormattedCitation</w:instrText>
      </w:r>
      <w:r w:rsidR="002736BA" w:rsidRPr="0089207C">
        <w:instrText>":"[268]"},"</w:instrText>
      </w:r>
      <w:r w:rsidR="002736BA">
        <w:rPr>
          <w:lang w:val="en-US"/>
        </w:rPr>
        <w:instrText>properties</w:instrText>
      </w:r>
      <w:r w:rsidR="002736BA" w:rsidRPr="0089207C">
        <w:instrText>":{"</w:instrText>
      </w:r>
      <w:r w:rsidR="002736BA">
        <w:rPr>
          <w:lang w:val="en-US"/>
        </w:rPr>
        <w:instrText>noteIndex</w:instrText>
      </w:r>
      <w:r w:rsidR="002736BA" w:rsidRPr="0089207C">
        <w:instrText>":0},"</w:instrText>
      </w:r>
      <w:r w:rsidR="002736BA">
        <w:rPr>
          <w:lang w:val="en-US"/>
        </w:rPr>
        <w:instrText>schema</w:instrText>
      </w:r>
      <w:r w:rsidR="002736BA" w:rsidRPr="0089207C">
        <w:instrText>":"</w:instrText>
      </w:r>
      <w:r w:rsidR="002736BA">
        <w:rPr>
          <w:lang w:val="en-US"/>
        </w:rPr>
        <w:instrText>https</w:instrText>
      </w:r>
      <w:r w:rsidR="002736BA" w:rsidRPr="0089207C">
        <w:instrText>://</w:instrText>
      </w:r>
      <w:r w:rsidR="002736BA">
        <w:rPr>
          <w:lang w:val="en-US"/>
        </w:rPr>
        <w:instrText>github</w:instrText>
      </w:r>
      <w:r w:rsidR="002736BA" w:rsidRPr="0089207C">
        <w:instrText>.</w:instrText>
      </w:r>
      <w:r w:rsidR="002736BA">
        <w:rPr>
          <w:lang w:val="en-US"/>
        </w:rPr>
        <w:instrText>com</w:instrText>
      </w:r>
      <w:r w:rsidR="002736BA" w:rsidRPr="0089207C">
        <w:instrText>/</w:instrText>
      </w:r>
      <w:r w:rsidR="002736BA">
        <w:rPr>
          <w:lang w:val="en-US"/>
        </w:rPr>
        <w:instrText>citation</w:instrText>
      </w:r>
      <w:r w:rsidR="002736BA" w:rsidRPr="0089207C">
        <w:instrText>-</w:instrText>
      </w:r>
      <w:r w:rsidR="002736BA">
        <w:rPr>
          <w:lang w:val="en-US"/>
        </w:rPr>
        <w:instrText>style</w:instrText>
      </w:r>
      <w:r w:rsidR="002736BA" w:rsidRPr="0089207C">
        <w:instrText>-</w:instrText>
      </w:r>
      <w:r w:rsidR="002736BA">
        <w:rPr>
          <w:lang w:val="en-US"/>
        </w:rPr>
        <w:instrText>language</w:instrText>
      </w:r>
      <w:r w:rsidR="002736BA" w:rsidRPr="0089207C">
        <w:instrText>/</w:instrText>
      </w:r>
      <w:r w:rsidR="002736BA">
        <w:rPr>
          <w:lang w:val="en-US"/>
        </w:rPr>
        <w:instrText>schema</w:instrText>
      </w:r>
      <w:r w:rsidR="002736BA" w:rsidRPr="0089207C">
        <w:instrText>/</w:instrText>
      </w:r>
      <w:r w:rsidR="002736BA">
        <w:rPr>
          <w:lang w:val="en-US"/>
        </w:rPr>
        <w:instrText>raw</w:instrText>
      </w:r>
      <w:r w:rsidR="002736BA" w:rsidRPr="0089207C">
        <w:instrText>/</w:instrText>
      </w:r>
      <w:r w:rsidR="002736BA">
        <w:rPr>
          <w:lang w:val="en-US"/>
        </w:rPr>
        <w:instrText>master</w:instrText>
      </w:r>
      <w:r w:rsidR="002736BA" w:rsidRPr="0089207C">
        <w:instrText>/</w:instrText>
      </w:r>
      <w:r w:rsidR="002736BA">
        <w:rPr>
          <w:lang w:val="en-US"/>
        </w:rPr>
        <w:instrText>csl</w:instrText>
      </w:r>
      <w:r w:rsidR="002736BA" w:rsidRPr="0089207C">
        <w:instrText>-</w:instrText>
      </w:r>
      <w:r w:rsidR="002736BA">
        <w:rPr>
          <w:lang w:val="en-US"/>
        </w:rPr>
        <w:instrText>citation</w:instrText>
      </w:r>
      <w:r w:rsidR="002736BA" w:rsidRPr="0089207C">
        <w:instrText>.</w:instrText>
      </w:r>
      <w:r w:rsidR="002736BA">
        <w:rPr>
          <w:lang w:val="en-US"/>
        </w:rPr>
        <w:instrText>json</w:instrText>
      </w:r>
      <w:r w:rsidR="002736BA" w:rsidRPr="0089207C">
        <w:instrText>"}</w:instrText>
      </w:r>
      <w:r w:rsidRPr="000322E4">
        <w:fldChar w:fldCharType="separate"/>
      </w:r>
      <w:r w:rsidR="006E1ADA" w:rsidRPr="006E1ADA">
        <w:rPr>
          <w:noProof/>
        </w:rPr>
        <w:t>[268]</w:t>
      </w:r>
      <w:r w:rsidRPr="000322E4">
        <w:fldChar w:fldCharType="end"/>
      </w:r>
    </w:p>
    <w:p w14:paraId="186F45A0" w14:textId="77777777" w:rsidR="00A54C2B" w:rsidRPr="000322E4" w:rsidRDefault="00A54C2B" w:rsidP="008E3584">
      <w:r w:rsidRPr="000322E4">
        <w:t>Тип: шкала оценки</w:t>
      </w:r>
    </w:p>
    <w:p w14:paraId="7FCEBD06" w14:textId="77777777" w:rsidR="00A54C2B" w:rsidRPr="000322E4" w:rsidRDefault="00A54C2B" w:rsidP="008E3584">
      <w:r w:rsidRPr="000322E4">
        <w:t xml:space="preserve">Назначение: клиническая оценка общего состояния пациента </w:t>
      </w:r>
    </w:p>
    <w:p w14:paraId="39368E55" w14:textId="77777777" w:rsidR="00A54C2B" w:rsidRPr="000322E4" w:rsidRDefault="00A54C2B" w:rsidP="008E3584">
      <w:pPr>
        <w:rPr>
          <w:bCs/>
        </w:rPr>
      </w:pPr>
      <w:r w:rsidRPr="000322E4">
        <w:rPr>
          <w:bCs/>
        </w:rPr>
        <w:t>Содержание и интерпретация: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839"/>
        <w:gridCol w:w="6940"/>
      </w:tblGrid>
      <w:tr w:rsidR="00A54C2B" w:rsidRPr="000322E4" w14:paraId="1A229F92" w14:textId="77777777" w:rsidTr="004F0134">
        <w:tc>
          <w:tcPr>
            <w:tcW w:w="1950" w:type="dxa"/>
            <w:tcBorders>
              <w:top w:val="single" w:sz="4" w:space="0" w:color="auto"/>
              <w:left w:val="single" w:sz="4" w:space="0" w:color="auto"/>
              <w:bottom w:val="single" w:sz="4" w:space="0" w:color="auto"/>
              <w:right w:val="single" w:sz="4" w:space="0" w:color="auto"/>
            </w:tcBorders>
          </w:tcPr>
          <w:p w14:paraId="7CFF3628" w14:textId="77777777" w:rsidR="00A54C2B" w:rsidRPr="000322E4" w:rsidRDefault="00A54C2B" w:rsidP="008E3584">
            <w:pPr>
              <w:pStyle w:val="afd"/>
              <w:spacing w:beforeAutospacing="0" w:afterAutospacing="0" w:line="360" w:lineRule="auto"/>
              <w:ind w:firstLine="0"/>
              <w:rPr>
                <w:rStyle w:val="affb"/>
                <w:b w:val="0"/>
              </w:rPr>
            </w:pPr>
            <w:r w:rsidRPr="000322E4">
              <w:rPr>
                <w:rStyle w:val="affb"/>
                <w:b w:val="0"/>
              </w:rPr>
              <w:t>С</w:t>
            </w:r>
            <w:r w:rsidRPr="000322E4">
              <w:rPr>
                <w:rStyle w:val="affb"/>
              </w:rPr>
              <w:t>татус (баллы)</w:t>
            </w:r>
          </w:p>
        </w:tc>
        <w:tc>
          <w:tcPr>
            <w:tcW w:w="7615" w:type="dxa"/>
            <w:tcBorders>
              <w:top w:val="single" w:sz="4" w:space="0" w:color="auto"/>
              <w:left w:val="single" w:sz="4" w:space="0" w:color="auto"/>
              <w:bottom w:val="single" w:sz="4" w:space="0" w:color="auto"/>
              <w:right w:val="single" w:sz="4" w:space="0" w:color="auto"/>
            </w:tcBorders>
          </w:tcPr>
          <w:p w14:paraId="65CD9038" w14:textId="77777777" w:rsidR="00A54C2B" w:rsidRPr="000322E4" w:rsidRDefault="00A54C2B" w:rsidP="008E3584">
            <w:pPr>
              <w:pStyle w:val="afd"/>
              <w:spacing w:beforeAutospacing="0" w:afterAutospacing="0" w:line="360" w:lineRule="auto"/>
              <w:ind w:firstLine="36"/>
              <w:rPr>
                <w:rStyle w:val="affb"/>
                <w:b w:val="0"/>
              </w:rPr>
            </w:pPr>
            <w:r w:rsidRPr="000322E4">
              <w:rPr>
                <w:rStyle w:val="affb"/>
                <w:b w:val="0"/>
              </w:rPr>
              <w:t>О</w:t>
            </w:r>
            <w:r w:rsidRPr="000322E4">
              <w:rPr>
                <w:rStyle w:val="affb"/>
              </w:rPr>
              <w:t>писание общего состояния пациента</w:t>
            </w:r>
          </w:p>
        </w:tc>
      </w:tr>
      <w:tr w:rsidR="00A54C2B" w:rsidRPr="000322E4" w14:paraId="39D46990" w14:textId="77777777" w:rsidTr="004F0134">
        <w:tc>
          <w:tcPr>
            <w:tcW w:w="1950" w:type="dxa"/>
            <w:tcBorders>
              <w:top w:val="single" w:sz="4" w:space="0" w:color="auto"/>
              <w:left w:val="single" w:sz="4" w:space="0" w:color="auto"/>
              <w:bottom w:val="single" w:sz="4" w:space="0" w:color="auto"/>
              <w:right w:val="single" w:sz="4" w:space="0" w:color="auto"/>
            </w:tcBorders>
          </w:tcPr>
          <w:p w14:paraId="3D5054BE" w14:textId="77777777" w:rsidR="00A54C2B" w:rsidRPr="000322E4" w:rsidRDefault="00A54C2B" w:rsidP="008E3584">
            <w:pPr>
              <w:pStyle w:val="afd"/>
              <w:spacing w:beforeAutospacing="0" w:afterAutospacing="0" w:line="360" w:lineRule="auto"/>
              <w:rPr>
                <w:rStyle w:val="affb"/>
                <w:b w:val="0"/>
                <w:lang w:val="en-US"/>
              </w:rPr>
            </w:pPr>
            <w:r w:rsidRPr="000322E4">
              <w:rPr>
                <w:rStyle w:val="affb"/>
                <w:b w:val="0"/>
                <w:lang w:val="en-US"/>
              </w:rPr>
              <w:t>0</w:t>
            </w:r>
          </w:p>
        </w:tc>
        <w:tc>
          <w:tcPr>
            <w:tcW w:w="7615" w:type="dxa"/>
            <w:tcBorders>
              <w:top w:val="single" w:sz="4" w:space="0" w:color="auto"/>
              <w:left w:val="single" w:sz="4" w:space="0" w:color="auto"/>
              <w:bottom w:val="single" w:sz="4" w:space="0" w:color="auto"/>
              <w:right w:val="single" w:sz="4" w:space="0" w:color="auto"/>
            </w:tcBorders>
          </w:tcPr>
          <w:p w14:paraId="4DCFD969" w14:textId="77777777" w:rsidR="00A54C2B" w:rsidRPr="000322E4" w:rsidRDefault="00A54C2B" w:rsidP="008E3584">
            <w:pPr>
              <w:pStyle w:val="afd"/>
              <w:spacing w:beforeAutospacing="0" w:afterAutospacing="0" w:line="360" w:lineRule="auto"/>
              <w:ind w:firstLine="0"/>
              <w:rPr>
                <w:rStyle w:val="affb"/>
                <w:b w:val="0"/>
              </w:rPr>
            </w:pPr>
            <w:r w:rsidRPr="000322E4">
              <w:rPr>
                <w:rStyle w:val="affb"/>
                <w:b w:val="0"/>
              </w:rPr>
              <w:t>Пациент полностью активен, способен выполнять все, как и до заболевания.</w:t>
            </w:r>
          </w:p>
        </w:tc>
      </w:tr>
      <w:tr w:rsidR="00A54C2B" w:rsidRPr="000322E4" w14:paraId="29F23EAC" w14:textId="77777777" w:rsidTr="004F0134">
        <w:tc>
          <w:tcPr>
            <w:tcW w:w="1950" w:type="dxa"/>
            <w:tcBorders>
              <w:top w:val="single" w:sz="4" w:space="0" w:color="auto"/>
              <w:left w:val="single" w:sz="4" w:space="0" w:color="auto"/>
              <w:bottom w:val="single" w:sz="4" w:space="0" w:color="auto"/>
              <w:right w:val="single" w:sz="4" w:space="0" w:color="auto"/>
            </w:tcBorders>
          </w:tcPr>
          <w:p w14:paraId="24E279AE" w14:textId="77777777" w:rsidR="00A54C2B" w:rsidRPr="000322E4" w:rsidRDefault="00A54C2B" w:rsidP="008E3584">
            <w:pPr>
              <w:pStyle w:val="afd"/>
              <w:spacing w:beforeAutospacing="0" w:afterAutospacing="0" w:line="360" w:lineRule="auto"/>
              <w:rPr>
                <w:rStyle w:val="affb"/>
                <w:b w:val="0"/>
              </w:rPr>
            </w:pPr>
            <w:r w:rsidRPr="000322E4">
              <w:rPr>
                <w:rStyle w:val="affb"/>
                <w:b w:val="0"/>
              </w:rPr>
              <w:t>1</w:t>
            </w:r>
          </w:p>
        </w:tc>
        <w:tc>
          <w:tcPr>
            <w:tcW w:w="7615" w:type="dxa"/>
            <w:tcBorders>
              <w:top w:val="single" w:sz="4" w:space="0" w:color="auto"/>
              <w:left w:val="single" w:sz="4" w:space="0" w:color="auto"/>
              <w:bottom w:val="single" w:sz="4" w:space="0" w:color="auto"/>
              <w:right w:val="single" w:sz="4" w:space="0" w:color="auto"/>
            </w:tcBorders>
          </w:tcPr>
          <w:p w14:paraId="1F62BCD0" w14:textId="77777777" w:rsidR="00A54C2B" w:rsidRPr="000322E4" w:rsidRDefault="00A54C2B" w:rsidP="008E3584">
            <w:pPr>
              <w:pStyle w:val="afd"/>
              <w:spacing w:beforeAutospacing="0" w:afterAutospacing="0" w:line="360" w:lineRule="auto"/>
              <w:ind w:firstLine="0"/>
              <w:rPr>
                <w:rStyle w:val="affb"/>
                <w:b w:val="0"/>
              </w:rPr>
            </w:pPr>
            <w:r w:rsidRPr="000322E4">
              <w:rPr>
                <w:rStyle w:val="affb"/>
                <w:b w:val="0"/>
              </w:rPr>
              <w:t>Пациент неспособен выполнять тяжелую, но может выполнять легкую или сидячую работу (например, легкую домашнюю или канцелярскую работу).</w:t>
            </w:r>
          </w:p>
        </w:tc>
      </w:tr>
      <w:tr w:rsidR="00A54C2B" w:rsidRPr="000322E4" w14:paraId="2ADFF7EC" w14:textId="77777777" w:rsidTr="004F0134">
        <w:tc>
          <w:tcPr>
            <w:tcW w:w="1950" w:type="dxa"/>
            <w:tcBorders>
              <w:top w:val="single" w:sz="4" w:space="0" w:color="auto"/>
              <w:left w:val="single" w:sz="4" w:space="0" w:color="auto"/>
              <w:bottom w:val="single" w:sz="4" w:space="0" w:color="auto"/>
              <w:right w:val="single" w:sz="4" w:space="0" w:color="auto"/>
            </w:tcBorders>
          </w:tcPr>
          <w:p w14:paraId="4D5B0E6C" w14:textId="77777777" w:rsidR="00A54C2B" w:rsidRPr="000322E4" w:rsidRDefault="00A54C2B" w:rsidP="008E3584">
            <w:pPr>
              <w:pStyle w:val="afd"/>
              <w:spacing w:beforeAutospacing="0" w:afterAutospacing="0" w:line="360" w:lineRule="auto"/>
              <w:rPr>
                <w:rStyle w:val="affb"/>
                <w:b w:val="0"/>
              </w:rPr>
            </w:pPr>
            <w:r w:rsidRPr="000322E4">
              <w:rPr>
                <w:rStyle w:val="affb"/>
                <w:b w:val="0"/>
              </w:rPr>
              <w:t>2</w:t>
            </w:r>
          </w:p>
        </w:tc>
        <w:tc>
          <w:tcPr>
            <w:tcW w:w="7615" w:type="dxa"/>
            <w:tcBorders>
              <w:top w:val="single" w:sz="4" w:space="0" w:color="auto"/>
              <w:left w:val="single" w:sz="4" w:space="0" w:color="auto"/>
              <w:bottom w:val="single" w:sz="4" w:space="0" w:color="auto"/>
              <w:right w:val="single" w:sz="4" w:space="0" w:color="auto"/>
            </w:tcBorders>
          </w:tcPr>
          <w:p w14:paraId="39451914" w14:textId="77777777" w:rsidR="00A54C2B" w:rsidRPr="000322E4" w:rsidRDefault="00A54C2B" w:rsidP="008E3584">
            <w:pPr>
              <w:pStyle w:val="afd"/>
              <w:spacing w:beforeAutospacing="0" w:afterAutospacing="0" w:line="360" w:lineRule="auto"/>
              <w:ind w:firstLine="0"/>
              <w:rPr>
                <w:rStyle w:val="affb"/>
                <w:b w:val="0"/>
              </w:rPr>
            </w:pPr>
            <w:r w:rsidRPr="000322E4">
              <w:rPr>
                <w:rStyle w:val="affb"/>
                <w:b w:val="0"/>
              </w:rPr>
              <w:t>Пациент лечится амбулаторно, способен к самообслуживанию, но не может выполнять работу. Более 50 % времени проводит активно – в вертикальном положении.</w:t>
            </w:r>
          </w:p>
        </w:tc>
      </w:tr>
      <w:tr w:rsidR="00A54C2B" w:rsidRPr="000322E4" w14:paraId="52E004B0" w14:textId="77777777" w:rsidTr="004F0134">
        <w:tc>
          <w:tcPr>
            <w:tcW w:w="1950" w:type="dxa"/>
            <w:tcBorders>
              <w:top w:val="single" w:sz="4" w:space="0" w:color="auto"/>
              <w:left w:val="single" w:sz="4" w:space="0" w:color="auto"/>
              <w:bottom w:val="single" w:sz="4" w:space="0" w:color="auto"/>
              <w:right w:val="single" w:sz="4" w:space="0" w:color="auto"/>
            </w:tcBorders>
          </w:tcPr>
          <w:p w14:paraId="6D36E289" w14:textId="77777777" w:rsidR="00A54C2B" w:rsidRPr="000322E4" w:rsidRDefault="00A54C2B" w:rsidP="008E3584">
            <w:pPr>
              <w:pStyle w:val="afd"/>
              <w:spacing w:beforeAutospacing="0" w:afterAutospacing="0" w:line="360" w:lineRule="auto"/>
              <w:rPr>
                <w:rStyle w:val="affb"/>
                <w:b w:val="0"/>
              </w:rPr>
            </w:pPr>
            <w:r w:rsidRPr="000322E4">
              <w:rPr>
                <w:rStyle w:val="affb"/>
                <w:b w:val="0"/>
              </w:rPr>
              <w:t>3</w:t>
            </w:r>
          </w:p>
        </w:tc>
        <w:tc>
          <w:tcPr>
            <w:tcW w:w="7615" w:type="dxa"/>
            <w:tcBorders>
              <w:top w:val="single" w:sz="4" w:space="0" w:color="auto"/>
              <w:left w:val="single" w:sz="4" w:space="0" w:color="auto"/>
              <w:bottom w:val="single" w:sz="4" w:space="0" w:color="auto"/>
              <w:right w:val="single" w:sz="4" w:space="0" w:color="auto"/>
            </w:tcBorders>
          </w:tcPr>
          <w:p w14:paraId="6D9D9EBF" w14:textId="77777777" w:rsidR="00A54C2B" w:rsidRPr="000322E4" w:rsidRDefault="00A54C2B" w:rsidP="008E3584">
            <w:pPr>
              <w:pStyle w:val="afd"/>
              <w:spacing w:beforeAutospacing="0" w:afterAutospacing="0" w:line="360" w:lineRule="auto"/>
              <w:ind w:firstLine="0"/>
              <w:rPr>
                <w:rStyle w:val="affb"/>
                <w:b w:val="0"/>
              </w:rPr>
            </w:pPr>
            <w:r w:rsidRPr="000322E4">
              <w:rPr>
                <w:rStyle w:val="affb"/>
                <w:b w:val="0"/>
              </w:rPr>
              <w:t>Пациент способен лишь к ограниченному самообслуживанию, проводит в кресле или постели более 50 % времени бодрствования.</w:t>
            </w:r>
          </w:p>
        </w:tc>
      </w:tr>
      <w:tr w:rsidR="00A54C2B" w:rsidRPr="000322E4" w14:paraId="6F12F727" w14:textId="77777777" w:rsidTr="004F0134">
        <w:tc>
          <w:tcPr>
            <w:tcW w:w="1950" w:type="dxa"/>
            <w:tcBorders>
              <w:top w:val="single" w:sz="4" w:space="0" w:color="auto"/>
              <w:left w:val="single" w:sz="4" w:space="0" w:color="auto"/>
              <w:bottom w:val="single" w:sz="4" w:space="0" w:color="auto"/>
              <w:right w:val="single" w:sz="4" w:space="0" w:color="auto"/>
            </w:tcBorders>
          </w:tcPr>
          <w:p w14:paraId="7720C527" w14:textId="77777777" w:rsidR="00A54C2B" w:rsidRPr="000322E4" w:rsidRDefault="00A54C2B" w:rsidP="008E3584">
            <w:pPr>
              <w:pStyle w:val="afd"/>
              <w:spacing w:beforeAutospacing="0" w:afterAutospacing="0" w:line="360" w:lineRule="auto"/>
              <w:rPr>
                <w:rStyle w:val="affb"/>
                <w:b w:val="0"/>
              </w:rPr>
            </w:pPr>
            <w:r w:rsidRPr="000322E4">
              <w:rPr>
                <w:rStyle w:val="affb"/>
                <w:b w:val="0"/>
              </w:rPr>
              <w:t>4</w:t>
            </w:r>
          </w:p>
        </w:tc>
        <w:tc>
          <w:tcPr>
            <w:tcW w:w="7615" w:type="dxa"/>
            <w:tcBorders>
              <w:top w:val="single" w:sz="4" w:space="0" w:color="auto"/>
              <w:left w:val="single" w:sz="4" w:space="0" w:color="auto"/>
              <w:bottom w:val="single" w:sz="4" w:space="0" w:color="auto"/>
              <w:right w:val="single" w:sz="4" w:space="0" w:color="auto"/>
            </w:tcBorders>
          </w:tcPr>
          <w:p w14:paraId="3F38549E" w14:textId="77777777" w:rsidR="00A54C2B" w:rsidRPr="000322E4" w:rsidRDefault="00A54C2B" w:rsidP="008E3584">
            <w:pPr>
              <w:pStyle w:val="afd"/>
              <w:spacing w:beforeAutospacing="0" w:afterAutospacing="0" w:line="360" w:lineRule="auto"/>
              <w:ind w:firstLine="0"/>
              <w:rPr>
                <w:rStyle w:val="affb"/>
                <w:b w:val="0"/>
              </w:rPr>
            </w:pPr>
            <w:r w:rsidRPr="000322E4">
              <w:rPr>
                <w:rStyle w:val="affb"/>
                <w:b w:val="0"/>
              </w:rPr>
              <w:t>Инвалид, совершенно не способен к самообслуживанию, прикован к креслу или постели.</w:t>
            </w:r>
          </w:p>
        </w:tc>
      </w:tr>
      <w:tr w:rsidR="00A54C2B" w:rsidRPr="000322E4" w14:paraId="0DBCE532" w14:textId="77777777" w:rsidTr="004F0134">
        <w:tc>
          <w:tcPr>
            <w:tcW w:w="1950" w:type="dxa"/>
            <w:tcBorders>
              <w:top w:val="single" w:sz="4" w:space="0" w:color="auto"/>
              <w:left w:val="single" w:sz="4" w:space="0" w:color="auto"/>
              <w:bottom w:val="single" w:sz="4" w:space="0" w:color="auto"/>
              <w:right w:val="single" w:sz="4" w:space="0" w:color="auto"/>
            </w:tcBorders>
          </w:tcPr>
          <w:p w14:paraId="45A0977E" w14:textId="77777777" w:rsidR="00A54C2B" w:rsidRPr="000322E4" w:rsidRDefault="00A54C2B" w:rsidP="008E3584">
            <w:pPr>
              <w:pStyle w:val="afd"/>
              <w:spacing w:beforeAutospacing="0" w:afterAutospacing="0" w:line="360" w:lineRule="auto"/>
              <w:rPr>
                <w:rStyle w:val="affb"/>
                <w:b w:val="0"/>
              </w:rPr>
            </w:pPr>
            <w:r w:rsidRPr="000322E4">
              <w:rPr>
                <w:rStyle w:val="affb"/>
                <w:b w:val="0"/>
              </w:rPr>
              <w:t>5</w:t>
            </w:r>
          </w:p>
        </w:tc>
        <w:tc>
          <w:tcPr>
            <w:tcW w:w="7615" w:type="dxa"/>
            <w:tcBorders>
              <w:top w:val="single" w:sz="4" w:space="0" w:color="auto"/>
              <w:left w:val="single" w:sz="4" w:space="0" w:color="auto"/>
              <w:bottom w:val="single" w:sz="4" w:space="0" w:color="auto"/>
              <w:right w:val="single" w:sz="4" w:space="0" w:color="auto"/>
            </w:tcBorders>
          </w:tcPr>
          <w:p w14:paraId="3CE08E39" w14:textId="77777777" w:rsidR="00A54C2B" w:rsidRPr="000322E4" w:rsidRDefault="00A54C2B" w:rsidP="008E3584">
            <w:pPr>
              <w:pStyle w:val="afd"/>
              <w:spacing w:beforeAutospacing="0" w:afterAutospacing="0" w:line="360" w:lineRule="auto"/>
              <w:ind w:firstLine="0"/>
              <w:rPr>
                <w:rStyle w:val="affb"/>
                <w:b w:val="0"/>
              </w:rPr>
            </w:pPr>
            <w:r w:rsidRPr="000322E4">
              <w:rPr>
                <w:rStyle w:val="affb"/>
                <w:b w:val="0"/>
              </w:rPr>
              <w:t>Смерть пациента</w:t>
            </w:r>
          </w:p>
        </w:tc>
      </w:tr>
      <w:bookmarkEnd w:id="304"/>
    </w:tbl>
    <w:p w14:paraId="22B16364" w14:textId="77777777" w:rsidR="00AE3406" w:rsidRPr="000322E4" w:rsidRDefault="00AE3406" w:rsidP="00CA442F">
      <w:pPr>
        <w:pStyle w:val="afffb"/>
        <w:ind w:firstLine="0"/>
      </w:pPr>
    </w:p>
    <w:p w14:paraId="0A3EBDF6" w14:textId="77777777" w:rsidR="00A54C2B" w:rsidRPr="000322E4" w:rsidRDefault="00A54C2B" w:rsidP="008E3584">
      <w:pPr>
        <w:pStyle w:val="2"/>
        <w:spacing w:before="0"/>
      </w:pPr>
      <w:bookmarkStart w:id="305" w:name="_Toc14773437"/>
      <w:bookmarkStart w:id="306" w:name="_Toc66096877"/>
      <w:r w:rsidRPr="000322E4">
        <w:t>Приложение Г2. Шкала визуальной оценки ПЭТ-данных</w:t>
      </w:r>
      <w:bookmarkEnd w:id="305"/>
      <w:bookmarkEnd w:id="306"/>
    </w:p>
    <w:p w14:paraId="240A368C" w14:textId="77777777" w:rsidR="00A54C2B" w:rsidRPr="000322E4" w:rsidRDefault="00A54C2B" w:rsidP="008E3584">
      <w:pPr>
        <w:rPr>
          <w:lang w:val="en-US"/>
        </w:rPr>
      </w:pPr>
      <w:r w:rsidRPr="000322E4">
        <w:t>Оригинальное</w:t>
      </w:r>
      <w:r w:rsidRPr="000322E4">
        <w:rPr>
          <w:lang w:val="en-US"/>
        </w:rPr>
        <w:t xml:space="preserve"> </w:t>
      </w:r>
      <w:r w:rsidRPr="000322E4">
        <w:t>название</w:t>
      </w:r>
      <w:r w:rsidRPr="000322E4">
        <w:rPr>
          <w:lang w:val="en-US"/>
        </w:rPr>
        <w:t xml:space="preserve">: </w:t>
      </w:r>
      <w:r w:rsidR="00A519D4" w:rsidRPr="000322E4">
        <w:rPr>
          <w:lang w:val="en-US"/>
        </w:rPr>
        <w:t>The Deauville five point scale</w:t>
      </w:r>
    </w:p>
    <w:p w14:paraId="36DB6AD5" w14:textId="4578FB02" w:rsidR="00A54C2B" w:rsidRPr="000322E4" w:rsidRDefault="00A54C2B" w:rsidP="008E3584">
      <w:r w:rsidRPr="000322E4">
        <w:t>Источник</w:t>
      </w:r>
      <w:r w:rsidRPr="000322E4">
        <w:rPr>
          <w:lang w:val="en-US"/>
        </w:rPr>
        <w:t xml:space="preserve">: </w:t>
      </w:r>
      <w:r w:rsidR="00A519D4" w:rsidRPr="000322E4">
        <w:rPr>
          <w:lang w:val="en-US"/>
        </w:rPr>
        <w:t xml:space="preserve">Meignan </w:t>
      </w:r>
      <w:r w:rsidRPr="000322E4">
        <w:rPr>
          <w:lang w:val="en-US"/>
        </w:rPr>
        <w:t xml:space="preserve">M. et al. </w:t>
      </w:r>
      <w:r w:rsidR="00A519D4" w:rsidRPr="000322E4">
        <w:rPr>
          <w:lang w:val="en-US"/>
        </w:rPr>
        <w:t>Report on the First International Workshop on Interim-PET-Scan in Lymphoma</w:t>
      </w:r>
      <w:r w:rsidRPr="000322E4">
        <w:rPr>
          <w:lang w:val="en-US"/>
        </w:rPr>
        <w:t xml:space="preserve">. </w:t>
      </w:r>
      <w:r w:rsidR="00A519D4" w:rsidRPr="000322E4">
        <w:rPr>
          <w:lang w:val="en-US"/>
        </w:rPr>
        <w:t>Leuk</w:t>
      </w:r>
      <w:r w:rsidR="00A519D4" w:rsidRPr="0089207C">
        <w:t xml:space="preserve"> </w:t>
      </w:r>
      <w:r w:rsidR="00A519D4" w:rsidRPr="000322E4">
        <w:rPr>
          <w:lang w:val="en-US"/>
        </w:rPr>
        <w:t>Lymphoma</w:t>
      </w:r>
      <w:r w:rsidRPr="0089207C">
        <w:t xml:space="preserve">. </w:t>
      </w:r>
      <w:r w:rsidR="00A519D4" w:rsidRPr="000322E4">
        <w:t>2009</w:t>
      </w:r>
      <w:r w:rsidRPr="000322E4">
        <w:t>;5</w:t>
      </w:r>
      <w:r w:rsidR="00A519D4" w:rsidRPr="000322E4">
        <w:t>0</w:t>
      </w:r>
      <w:r w:rsidRPr="000322E4">
        <w:t>(</w:t>
      </w:r>
      <w:r w:rsidR="00A519D4" w:rsidRPr="000322E4">
        <w:t>8</w:t>
      </w:r>
      <w:r w:rsidRPr="000322E4">
        <w:t>):</w:t>
      </w:r>
      <w:r w:rsidR="00A519D4" w:rsidRPr="000322E4">
        <w:t>1257-1260</w:t>
      </w:r>
      <w:r w:rsidRPr="000322E4">
        <w:t xml:space="preserve"> </w:t>
      </w:r>
      <w:r w:rsidRPr="000322E4">
        <w:fldChar w:fldCharType="begin" w:fldLock="1"/>
      </w:r>
      <w:r w:rsidR="002736BA">
        <w:rPr>
          <w:lang w:val="en-US"/>
        </w:rPr>
        <w:instrText>ADDIN</w:instrText>
      </w:r>
      <w:r w:rsidR="002736BA" w:rsidRPr="0089207C">
        <w:instrText xml:space="preserve"> </w:instrText>
      </w:r>
      <w:r w:rsidR="002736BA">
        <w:rPr>
          <w:lang w:val="en-US"/>
        </w:rPr>
        <w:instrText>CSL</w:instrText>
      </w:r>
      <w:r w:rsidR="002736BA" w:rsidRPr="0089207C">
        <w:instrText>_</w:instrText>
      </w:r>
      <w:r w:rsidR="002736BA">
        <w:rPr>
          <w:lang w:val="en-US"/>
        </w:rPr>
        <w:instrText>CITATION</w:instrText>
      </w:r>
      <w:r w:rsidR="002736BA" w:rsidRPr="0089207C">
        <w:instrText xml:space="preserve"> {"</w:instrText>
      </w:r>
      <w:r w:rsidR="002736BA">
        <w:rPr>
          <w:lang w:val="en-US"/>
        </w:rPr>
        <w:instrText>citationItems</w:instrText>
      </w:r>
      <w:r w:rsidR="002736BA" w:rsidRPr="0089207C">
        <w:instrText>":[{"</w:instrText>
      </w:r>
      <w:r w:rsidR="002736BA">
        <w:rPr>
          <w:lang w:val="en-US"/>
        </w:rPr>
        <w:instrText>id</w:instrText>
      </w:r>
      <w:r w:rsidR="002736BA" w:rsidRPr="0089207C">
        <w:instrText>":"</w:instrText>
      </w:r>
      <w:r w:rsidR="002736BA">
        <w:rPr>
          <w:lang w:val="en-US"/>
        </w:rPr>
        <w:instrText>ITEM</w:instrText>
      </w:r>
      <w:r w:rsidR="002736BA" w:rsidRPr="0089207C">
        <w:instrText>-1","</w:instrText>
      </w:r>
      <w:r w:rsidR="002736BA">
        <w:rPr>
          <w:lang w:val="en-US"/>
        </w:rPr>
        <w:instrText>itemData</w:instrText>
      </w:r>
      <w:r w:rsidR="002736BA" w:rsidRPr="0089207C">
        <w:instrText>":{"</w:instrText>
      </w:r>
      <w:r w:rsidR="002736BA">
        <w:rPr>
          <w:lang w:val="en-US"/>
        </w:rPr>
        <w:instrText>DOI</w:instrText>
      </w:r>
      <w:r w:rsidR="002736BA" w:rsidRPr="0089207C">
        <w:instrText>":"10.1080/10428190903040048","</w:instrText>
      </w:r>
      <w:r w:rsidR="002736BA">
        <w:rPr>
          <w:lang w:val="en-US"/>
        </w:rPr>
        <w:instrText>ISSN</w:instrText>
      </w:r>
      <w:r w:rsidR="002736BA" w:rsidRPr="0089207C">
        <w:instrText>":"10428194","</w:instrText>
      </w:r>
      <w:r w:rsidR="002736BA">
        <w:rPr>
          <w:lang w:val="en-US"/>
        </w:rPr>
        <w:instrText>abstract</w:instrText>
      </w:r>
      <w:r w:rsidR="002736BA" w:rsidRPr="0089207C">
        <w:instrText>":"</w:instrText>
      </w:r>
      <w:r w:rsidR="002736BA">
        <w:rPr>
          <w:lang w:val="en-US"/>
        </w:rPr>
        <w:instrText>An</w:instrText>
      </w:r>
      <w:r w:rsidR="002736BA" w:rsidRPr="0089207C">
        <w:instrText xml:space="preserve"> </w:instrText>
      </w:r>
      <w:r w:rsidR="002736BA">
        <w:rPr>
          <w:lang w:val="en-US"/>
        </w:rPr>
        <w:instrText>international</w:instrText>
      </w:r>
      <w:r w:rsidR="002736BA" w:rsidRPr="0089207C">
        <w:instrText xml:space="preserve"> </w:instrText>
      </w:r>
      <w:r w:rsidR="002736BA">
        <w:rPr>
          <w:lang w:val="en-US"/>
        </w:rPr>
        <w:instrText>workshop</w:instrText>
      </w:r>
      <w:r w:rsidR="002736BA" w:rsidRPr="0089207C">
        <w:instrText xml:space="preserve">, </w:instrText>
      </w:r>
      <w:r w:rsidR="002736BA">
        <w:rPr>
          <w:lang w:val="en-US"/>
        </w:rPr>
        <w:instrText>under</w:instrText>
      </w:r>
      <w:r w:rsidR="002736BA" w:rsidRPr="0089207C">
        <w:instrText xml:space="preserve"> </w:instrText>
      </w:r>
      <w:r w:rsidR="002736BA">
        <w:rPr>
          <w:lang w:val="en-US"/>
        </w:rPr>
        <w:instrText>the</w:instrText>
      </w:r>
      <w:r w:rsidR="002736BA" w:rsidRPr="0089207C">
        <w:instrText xml:space="preserve"> </w:instrText>
      </w:r>
      <w:r w:rsidR="002736BA">
        <w:rPr>
          <w:lang w:val="en-US"/>
        </w:rPr>
        <w:instrText>auspices</w:instrText>
      </w:r>
      <w:r w:rsidR="002736BA" w:rsidRPr="0089207C">
        <w:instrText xml:space="preserve"> </w:instrText>
      </w:r>
      <w:r w:rsidR="002736BA">
        <w:rPr>
          <w:lang w:val="en-US"/>
        </w:rPr>
        <w:instrText>of</w:instrText>
      </w:r>
      <w:r w:rsidR="002736BA" w:rsidRPr="0089207C">
        <w:instrText xml:space="preserve"> </w:instrText>
      </w:r>
      <w:r w:rsidR="002736BA">
        <w:rPr>
          <w:lang w:val="en-US"/>
        </w:rPr>
        <w:instrText>Group</w:instrText>
      </w:r>
      <w:r w:rsidR="002736BA" w:rsidRPr="0089207C">
        <w:instrText xml:space="preserve"> </w:instrText>
      </w:r>
      <w:r w:rsidR="002736BA">
        <w:rPr>
          <w:lang w:val="en-US"/>
        </w:rPr>
        <w:instrText>d</w:instrText>
      </w:r>
      <w:r w:rsidR="002736BA" w:rsidRPr="0089207C">
        <w:instrText>'</w:instrText>
      </w:r>
      <w:r w:rsidR="002736BA">
        <w:rPr>
          <w:lang w:val="en-US"/>
        </w:rPr>
        <w:instrText>Etude</w:instrText>
      </w:r>
      <w:r w:rsidR="002736BA" w:rsidRPr="0089207C">
        <w:instrText xml:space="preserve"> </w:instrText>
      </w:r>
      <w:r w:rsidR="002736BA">
        <w:rPr>
          <w:lang w:val="en-US"/>
        </w:rPr>
        <w:instrText>des</w:instrText>
      </w:r>
      <w:r w:rsidR="002736BA" w:rsidRPr="0089207C">
        <w:instrText xml:space="preserve"> </w:instrText>
      </w:r>
      <w:r w:rsidR="002736BA">
        <w:rPr>
          <w:lang w:val="en-US"/>
        </w:rPr>
        <w:instrText>Lymphomes</w:instrText>
      </w:r>
      <w:r w:rsidR="002736BA" w:rsidRPr="0089207C">
        <w:instrText xml:space="preserve"> </w:instrText>
      </w:r>
      <w:r w:rsidR="002736BA">
        <w:rPr>
          <w:lang w:val="en-US"/>
        </w:rPr>
        <w:instrText>de</w:instrText>
      </w:r>
      <w:r w:rsidR="002736BA" w:rsidRPr="0089207C">
        <w:instrText xml:space="preserve"> </w:instrText>
      </w:r>
      <w:r w:rsidR="002736BA">
        <w:rPr>
          <w:lang w:val="en-US"/>
        </w:rPr>
        <w:instrText>l</w:instrText>
      </w:r>
      <w:r w:rsidR="002736BA" w:rsidRPr="0089207C">
        <w:instrText>'</w:instrText>
      </w:r>
      <w:r w:rsidR="002736BA">
        <w:rPr>
          <w:lang w:val="en-US"/>
        </w:rPr>
        <w:instrText>Adulte</w:instrText>
      </w:r>
      <w:r w:rsidR="002736BA" w:rsidRPr="0089207C">
        <w:instrText xml:space="preserve"> (</w:instrText>
      </w:r>
      <w:r w:rsidR="002736BA">
        <w:rPr>
          <w:lang w:val="en-US"/>
        </w:rPr>
        <w:instrText>GELA</w:instrText>
      </w:r>
      <w:r w:rsidR="002736BA" w:rsidRPr="0089207C">
        <w:instrText xml:space="preserve">) </w:instrText>
      </w:r>
      <w:r w:rsidR="002736BA">
        <w:rPr>
          <w:lang w:val="en-US"/>
        </w:rPr>
        <w:instrText>took</w:instrText>
      </w:r>
      <w:r w:rsidR="002736BA" w:rsidRPr="0089207C">
        <w:instrText xml:space="preserve"> </w:instrText>
      </w:r>
      <w:r w:rsidR="002736BA">
        <w:rPr>
          <w:lang w:val="en-US"/>
        </w:rPr>
        <w:instrText>place</w:instrText>
      </w:r>
      <w:r w:rsidR="002736BA" w:rsidRPr="0089207C">
        <w:instrText xml:space="preserve"> </w:instrText>
      </w:r>
      <w:r w:rsidR="002736BA">
        <w:rPr>
          <w:lang w:val="en-US"/>
        </w:rPr>
        <w:instrText>in</w:instrText>
      </w:r>
      <w:r w:rsidR="002736BA" w:rsidRPr="0089207C">
        <w:instrText xml:space="preserve"> </w:instrText>
      </w:r>
      <w:r w:rsidR="002736BA">
        <w:rPr>
          <w:lang w:val="en-US"/>
        </w:rPr>
        <w:instrText>Deauville</w:instrText>
      </w:r>
      <w:r w:rsidR="002736BA" w:rsidRPr="0089207C">
        <w:instrText xml:space="preserve">, </w:instrText>
      </w:r>
      <w:r w:rsidR="002736BA">
        <w:rPr>
          <w:lang w:val="en-US"/>
        </w:rPr>
        <w:instrText>France</w:instrText>
      </w:r>
      <w:r w:rsidR="002736BA" w:rsidRPr="0089207C">
        <w:instrText xml:space="preserve">, </w:instrText>
      </w:r>
      <w:r w:rsidR="002736BA">
        <w:rPr>
          <w:lang w:val="en-US"/>
        </w:rPr>
        <w:instrText>in</w:instrText>
      </w:r>
      <w:r w:rsidR="002736BA" w:rsidRPr="0089207C">
        <w:instrText xml:space="preserve"> </w:instrText>
      </w:r>
      <w:r w:rsidR="002736BA">
        <w:rPr>
          <w:lang w:val="en-US"/>
        </w:rPr>
        <w:instrText>April</w:instrText>
      </w:r>
      <w:r w:rsidR="002736BA" w:rsidRPr="0089207C">
        <w:instrText xml:space="preserve"> 3-4, 2009. </w:instrText>
      </w:r>
      <w:r w:rsidR="002736BA">
        <w:rPr>
          <w:lang w:val="en-US"/>
        </w:rPr>
        <w:instrText>The</w:instrText>
      </w:r>
      <w:r w:rsidR="002736BA" w:rsidRPr="0089207C">
        <w:instrText xml:space="preserve"> </w:instrText>
      </w:r>
      <w:r w:rsidR="002736BA">
        <w:rPr>
          <w:lang w:val="en-US"/>
        </w:rPr>
        <w:instrText>European</w:instrText>
      </w:r>
      <w:r w:rsidR="002736BA" w:rsidRPr="0089207C">
        <w:instrText xml:space="preserve"> </w:instrText>
      </w:r>
      <w:r w:rsidR="002736BA">
        <w:rPr>
          <w:lang w:val="en-US"/>
        </w:rPr>
        <w:instrText>experts</w:instrText>
      </w:r>
      <w:r w:rsidR="002736BA" w:rsidRPr="0089207C">
        <w:instrText xml:space="preserve"> </w:instrText>
      </w:r>
      <w:r w:rsidR="002736BA">
        <w:rPr>
          <w:lang w:val="en-US"/>
        </w:rPr>
        <w:instrText>with</w:instrText>
      </w:r>
      <w:r w:rsidR="002736BA" w:rsidRPr="0089207C">
        <w:instrText xml:space="preserve"> </w:instrText>
      </w:r>
      <w:r w:rsidR="002736BA">
        <w:rPr>
          <w:lang w:val="en-US"/>
        </w:rPr>
        <w:instrText>a</w:instrText>
      </w:r>
      <w:r w:rsidR="002736BA" w:rsidRPr="0089207C">
        <w:instrText xml:space="preserve"> </w:instrText>
      </w:r>
      <w:r w:rsidR="002736BA">
        <w:rPr>
          <w:lang w:val="en-US"/>
        </w:rPr>
        <w:instrText>published</w:instrText>
      </w:r>
      <w:r w:rsidR="002736BA" w:rsidRPr="0089207C">
        <w:instrText xml:space="preserve"> </w:instrText>
      </w:r>
      <w:r w:rsidR="002736BA">
        <w:rPr>
          <w:lang w:val="en-US"/>
        </w:rPr>
        <w:instrText>or</w:instrText>
      </w:r>
      <w:r w:rsidR="002736BA" w:rsidRPr="0089207C">
        <w:instrText xml:space="preserve"> </w:instrText>
      </w:r>
      <w:r w:rsidR="002736BA">
        <w:rPr>
          <w:lang w:val="en-US"/>
        </w:rPr>
        <w:instrText>personal</w:instrText>
      </w:r>
      <w:r w:rsidR="002736BA" w:rsidRPr="0089207C">
        <w:instrText xml:space="preserve"> </w:instrText>
      </w:r>
      <w:r w:rsidR="002736BA">
        <w:rPr>
          <w:lang w:val="en-US"/>
        </w:rPr>
        <w:instrText>experience</w:instrText>
      </w:r>
      <w:r w:rsidR="002736BA" w:rsidRPr="0089207C">
        <w:instrText xml:space="preserve"> </w:instrText>
      </w:r>
      <w:r w:rsidR="002736BA">
        <w:rPr>
          <w:lang w:val="en-US"/>
        </w:rPr>
        <w:instrText>on</w:instrText>
      </w:r>
      <w:r w:rsidR="002736BA" w:rsidRPr="0089207C">
        <w:instrText xml:space="preserve"> </w:instrText>
      </w:r>
      <w:r w:rsidR="002736BA">
        <w:rPr>
          <w:lang w:val="en-US"/>
        </w:rPr>
        <w:instrText>interim</w:instrText>
      </w:r>
      <w:r w:rsidR="002736BA" w:rsidRPr="0089207C">
        <w:instrText>-</w:instrText>
      </w:r>
      <w:r w:rsidR="002736BA">
        <w:rPr>
          <w:lang w:val="en-US"/>
        </w:rPr>
        <w:instrText>PET</w:instrText>
      </w:r>
      <w:r w:rsidR="002736BA" w:rsidRPr="0089207C">
        <w:instrText xml:space="preserve"> </w:instrText>
      </w:r>
      <w:r w:rsidR="002736BA">
        <w:rPr>
          <w:lang w:val="en-US"/>
        </w:rPr>
        <w:instrText>in</w:instrText>
      </w:r>
      <w:r w:rsidR="002736BA" w:rsidRPr="0089207C">
        <w:instrText xml:space="preserve"> </w:instrText>
      </w:r>
      <w:r w:rsidR="002736BA">
        <w:rPr>
          <w:lang w:val="en-US"/>
        </w:rPr>
        <w:instrText>lymphoma</w:instrText>
      </w:r>
      <w:r w:rsidR="002736BA" w:rsidRPr="0089207C">
        <w:instrText xml:space="preserve"> </w:instrText>
      </w:r>
      <w:r w:rsidR="002736BA">
        <w:rPr>
          <w:lang w:val="en-US"/>
        </w:rPr>
        <w:instrText>were</w:instrText>
      </w:r>
      <w:r w:rsidR="002736BA" w:rsidRPr="0089207C">
        <w:instrText xml:space="preserve"> </w:instrText>
      </w:r>
      <w:r w:rsidR="002736BA">
        <w:rPr>
          <w:lang w:val="en-US"/>
        </w:rPr>
        <w:instrText>invited</w:instrText>
      </w:r>
      <w:r w:rsidR="002736BA" w:rsidRPr="0089207C">
        <w:instrText xml:space="preserve"> </w:instrText>
      </w:r>
      <w:r w:rsidR="002736BA">
        <w:rPr>
          <w:lang w:val="en-US"/>
        </w:rPr>
        <w:instrText>to</w:instrText>
      </w:r>
      <w:r w:rsidR="002736BA" w:rsidRPr="0089207C">
        <w:instrText xml:space="preserve"> </w:instrText>
      </w:r>
      <w:r w:rsidR="002736BA">
        <w:rPr>
          <w:lang w:val="en-US"/>
        </w:rPr>
        <w:instrText>the</w:instrText>
      </w:r>
      <w:r w:rsidR="002736BA" w:rsidRPr="0089207C">
        <w:instrText xml:space="preserve"> </w:instrText>
      </w:r>
      <w:r w:rsidR="002736BA">
        <w:rPr>
          <w:lang w:val="en-US"/>
        </w:rPr>
        <w:instrText>meeting</w:instrText>
      </w:r>
      <w:r w:rsidR="002736BA" w:rsidRPr="0089207C">
        <w:instrText xml:space="preserve">. </w:instrText>
      </w:r>
      <w:r w:rsidR="002736BA">
        <w:rPr>
          <w:lang w:val="en-US"/>
        </w:rPr>
        <w:instrText>The</w:instrText>
      </w:r>
      <w:r w:rsidR="002736BA" w:rsidRPr="0089207C">
        <w:instrText xml:space="preserve"> </w:instrText>
      </w:r>
      <w:r w:rsidR="002736BA">
        <w:rPr>
          <w:lang w:val="en-US"/>
        </w:rPr>
        <w:instrText>aim</w:instrText>
      </w:r>
      <w:r w:rsidR="002736BA" w:rsidRPr="0089207C">
        <w:instrText xml:space="preserve"> </w:instrText>
      </w:r>
      <w:r w:rsidR="002736BA">
        <w:rPr>
          <w:lang w:val="en-US"/>
        </w:rPr>
        <w:instrText>of</w:instrText>
      </w:r>
      <w:r w:rsidR="002736BA" w:rsidRPr="0089207C">
        <w:instrText xml:space="preserve"> </w:instrText>
      </w:r>
      <w:r w:rsidR="002736BA">
        <w:rPr>
          <w:lang w:val="en-US"/>
        </w:rPr>
        <w:instrText>the</w:instrText>
      </w:r>
      <w:r w:rsidR="002736BA" w:rsidRPr="0089207C">
        <w:instrText xml:space="preserve"> </w:instrText>
      </w:r>
      <w:r w:rsidR="002736BA">
        <w:rPr>
          <w:lang w:val="en-US"/>
        </w:rPr>
        <w:instrText>workshop</w:instrText>
      </w:r>
      <w:r w:rsidR="002736BA" w:rsidRPr="0089207C">
        <w:instrText xml:space="preserve"> </w:instrText>
      </w:r>
      <w:r w:rsidR="002736BA">
        <w:rPr>
          <w:lang w:val="en-US"/>
        </w:rPr>
        <w:instrText>was</w:instrText>
      </w:r>
      <w:r w:rsidR="002736BA" w:rsidRPr="0089207C">
        <w:instrText xml:space="preserve"> </w:instrText>
      </w:r>
      <w:r w:rsidR="002736BA">
        <w:rPr>
          <w:lang w:val="en-US"/>
        </w:rPr>
        <w:instrText>twofold</w:instrText>
      </w:r>
      <w:r w:rsidR="002736BA" w:rsidRPr="0089207C">
        <w:instrText xml:space="preserve">: (1) </w:instrText>
      </w:r>
      <w:r w:rsidR="002736BA">
        <w:rPr>
          <w:lang w:val="en-US"/>
        </w:rPr>
        <w:instrText>to</w:instrText>
      </w:r>
      <w:r w:rsidR="002736BA" w:rsidRPr="0089207C">
        <w:instrText xml:space="preserve"> </w:instrText>
      </w:r>
      <w:r w:rsidR="002736BA">
        <w:rPr>
          <w:lang w:val="en-US"/>
        </w:rPr>
        <w:instrText>reach</w:instrText>
      </w:r>
      <w:r w:rsidR="002736BA" w:rsidRPr="0089207C">
        <w:instrText xml:space="preserve"> </w:instrText>
      </w:r>
      <w:r w:rsidR="002736BA">
        <w:rPr>
          <w:lang w:val="en-US"/>
        </w:rPr>
        <w:instrText>a</w:instrText>
      </w:r>
      <w:r w:rsidR="002736BA" w:rsidRPr="0089207C">
        <w:instrText xml:space="preserve"> </w:instrText>
      </w:r>
      <w:r w:rsidR="002736BA">
        <w:rPr>
          <w:lang w:val="en-US"/>
        </w:rPr>
        <w:instrText>consensus</w:instrText>
      </w:r>
      <w:r w:rsidR="002736BA" w:rsidRPr="0089207C">
        <w:instrText xml:space="preserve"> </w:instrText>
      </w:r>
      <w:r w:rsidR="002736BA">
        <w:rPr>
          <w:lang w:val="en-US"/>
        </w:rPr>
        <w:instrText>on</w:instrText>
      </w:r>
      <w:r w:rsidR="002736BA" w:rsidRPr="0089207C">
        <w:instrText xml:space="preserve"> </w:instrText>
      </w:r>
      <w:r w:rsidR="002736BA">
        <w:rPr>
          <w:lang w:val="en-US"/>
        </w:rPr>
        <w:instrText>simple</w:instrText>
      </w:r>
      <w:r w:rsidR="002736BA" w:rsidRPr="0089207C">
        <w:instrText xml:space="preserve">, </w:instrText>
      </w:r>
      <w:r w:rsidR="002736BA">
        <w:rPr>
          <w:lang w:val="en-US"/>
        </w:rPr>
        <w:instrText>reproducible</w:instrText>
      </w:r>
      <w:r w:rsidR="002736BA" w:rsidRPr="0089207C">
        <w:instrText xml:space="preserve"> </w:instrText>
      </w:r>
      <w:r w:rsidR="002736BA">
        <w:rPr>
          <w:lang w:val="en-US"/>
        </w:rPr>
        <w:instrText>criteria</w:instrText>
      </w:r>
      <w:r w:rsidR="002736BA" w:rsidRPr="0089207C">
        <w:instrText xml:space="preserve"> </w:instrText>
      </w:r>
      <w:r w:rsidR="002736BA">
        <w:rPr>
          <w:lang w:val="en-US"/>
        </w:rPr>
        <w:instrText>for</w:instrText>
      </w:r>
      <w:r w:rsidR="002736BA" w:rsidRPr="0089207C">
        <w:instrText xml:space="preserve"> </w:instrText>
      </w:r>
      <w:r w:rsidR="002736BA">
        <w:rPr>
          <w:lang w:val="en-US"/>
        </w:rPr>
        <w:instrText>interim</w:instrText>
      </w:r>
      <w:r w:rsidR="002736BA" w:rsidRPr="0089207C">
        <w:instrText>-</w:instrText>
      </w:r>
      <w:r w:rsidR="002736BA">
        <w:rPr>
          <w:lang w:val="en-US"/>
        </w:rPr>
        <w:instrText>PET</w:instrText>
      </w:r>
      <w:r w:rsidR="002736BA" w:rsidRPr="0089207C">
        <w:instrText xml:space="preserve"> </w:instrText>
      </w:r>
      <w:r w:rsidR="002736BA">
        <w:rPr>
          <w:lang w:val="en-US"/>
        </w:rPr>
        <w:instrText>interpretation</w:instrText>
      </w:r>
      <w:r w:rsidR="002736BA" w:rsidRPr="0089207C">
        <w:instrText xml:space="preserve"> </w:instrText>
      </w:r>
      <w:r w:rsidR="002736BA">
        <w:rPr>
          <w:lang w:val="en-US"/>
        </w:rPr>
        <w:instrText>in</w:instrText>
      </w:r>
      <w:r w:rsidR="002736BA" w:rsidRPr="0089207C">
        <w:instrText xml:space="preserve"> </w:instrText>
      </w:r>
      <w:r w:rsidR="002736BA">
        <w:rPr>
          <w:lang w:val="en-US"/>
        </w:rPr>
        <w:instrText>Hodgkin</w:instrText>
      </w:r>
      <w:r w:rsidR="002736BA" w:rsidRPr="0089207C">
        <w:instrText xml:space="preserve"> </w:instrText>
      </w:r>
      <w:r w:rsidR="002736BA">
        <w:rPr>
          <w:lang w:val="en-US"/>
        </w:rPr>
        <w:instrText>lymphoma</w:instrText>
      </w:r>
      <w:r w:rsidR="002736BA" w:rsidRPr="0089207C">
        <w:instrText xml:space="preserve"> </w:instrText>
      </w:r>
      <w:r w:rsidR="002736BA">
        <w:rPr>
          <w:lang w:val="en-US"/>
        </w:rPr>
        <w:instrText>and</w:instrText>
      </w:r>
      <w:r w:rsidR="002736BA" w:rsidRPr="0089207C">
        <w:instrText xml:space="preserve"> </w:instrText>
      </w:r>
      <w:r w:rsidR="002736BA">
        <w:rPr>
          <w:lang w:val="en-US"/>
        </w:rPr>
        <w:instrText>diffuse</w:instrText>
      </w:r>
      <w:r w:rsidR="002736BA" w:rsidRPr="0089207C">
        <w:instrText xml:space="preserve"> </w:instrText>
      </w:r>
      <w:r w:rsidR="002736BA">
        <w:rPr>
          <w:lang w:val="en-US"/>
        </w:rPr>
        <w:instrText>large</w:instrText>
      </w:r>
      <w:r w:rsidR="002736BA" w:rsidRPr="0089207C">
        <w:instrText xml:space="preserve"> </w:instrText>
      </w:r>
      <w:r w:rsidR="002736BA">
        <w:rPr>
          <w:lang w:val="en-US"/>
        </w:rPr>
        <w:instrText>B</w:instrText>
      </w:r>
      <w:r w:rsidR="002736BA" w:rsidRPr="0089207C">
        <w:instrText>-</w:instrText>
      </w:r>
      <w:r w:rsidR="002736BA">
        <w:rPr>
          <w:lang w:val="en-US"/>
        </w:rPr>
        <w:instrText>cell</w:instrText>
      </w:r>
      <w:r w:rsidR="002736BA" w:rsidRPr="0089207C">
        <w:instrText xml:space="preserve"> </w:instrText>
      </w:r>
      <w:r w:rsidR="002736BA">
        <w:rPr>
          <w:lang w:val="en-US"/>
        </w:rPr>
        <w:instrText>lymphoma</w:instrText>
      </w:r>
      <w:r w:rsidR="002736BA" w:rsidRPr="0089207C">
        <w:instrText xml:space="preserve"> (</w:instrText>
      </w:r>
      <w:r w:rsidR="002736BA">
        <w:rPr>
          <w:lang w:val="en-US"/>
        </w:rPr>
        <w:instrText>DLBCL</w:instrText>
      </w:r>
      <w:r w:rsidR="002736BA" w:rsidRPr="0089207C">
        <w:instrText xml:space="preserve">), </w:instrText>
      </w:r>
      <w:r w:rsidR="002736BA">
        <w:rPr>
          <w:lang w:val="en-US"/>
        </w:rPr>
        <w:instrText>and</w:instrText>
      </w:r>
      <w:r w:rsidR="002736BA" w:rsidRPr="0089207C">
        <w:instrText xml:space="preserve"> (2) </w:instrText>
      </w:r>
      <w:r w:rsidR="002736BA">
        <w:rPr>
          <w:lang w:val="en-US"/>
        </w:rPr>
        <w:instrText>to</w:instrText>
      </w:r>
      <w:r w:rsidR="002736BA" w:rsidRPr="0089207C">
        <w:instrText xml:space="preserve"> </w:instrText>
      </w:r>
      <w:r w:rsidR="002736BA">
        <w:rPr>
          <w:lang w:val="en-US"/>
        </w:rPr>
        <w:instrText>launch</w:instrText>
      </w:r>
      <w:r w:rsidR="002736BA" w:rsidRPr="0089207C">
        <w:instrText xml:space="preserve"> </w:instrText>
      </w:r>
      <w:r w:rsidR="002736BA">
        <w:rPr>
          <w:lang w:val="en-US"/>
        </w:rPr>
        <w:instrText>two</w:instrText>
      </w:r>
      <w:r w:rsidR="002736BA" w:rsidRPr="0089207C">
        <w:instrText xml:space="preserve"> </w:instrText>
      </w:r>
      <w:r w:rsidR="002736BA">
        <w:rPr>
          <w:lang w:val="en-US"/>
        </w:rPr>
        <w:instrText>or</w:instrText>
      </w:r>
      <w:r w:rsidR="002736BA" w:rsidRPr="0089207C">
        <w:instrText xml:space="preserve"> </w:instrText>
      </w:r>
      <w:r w:rsidR="002736BA">
        <w:rPr>
          <w:lang w:val="en-US"/>
        </w:rPr>
        <w:instrText>more</w:instrText>
      </w:r>
      <w:r w:rsidR="002736BA" w:rsidRPr="0089207C">
        <w:instrText xml:space="preserve"> </w:instrText>
      </w:r>
      <w:r w:rsidR="002736BA">
        <w:rPr>
          <w:lang w:val="en-US"/>
        </w:rPr>
        <w:instrText>international</w:instrText>
      </w:r>
      <w:r w:rsidR="002736BA" w:rsidRPr="0089207C">
        <w:instrText xml:space="preserve"> </w:instrText>
      </w:r>
      <w:r w:rsidR="002736BA">
        <w:rPr>
          <w:lang w:val="en-US"/>
        </w:rPr>
        <w:instrText>validation</w:instrText>
      </w:r>
      <w:r w:rsidR="002736BA" w:rsidRPr="0089207C">
        <w:instrText xml:space="preserve"> </w:instrText>
      </w:r>
      <w:r w:rsidR="002736BA">
        <w:rPr>
          <w:lang w:val="en-US"/>
        </w:rPr>
        <w:instrText>studies</w:instrText>
      </w:r>
      <w:r w:rsidR="002736BA" w:rsidRPr="0089207C">
        <w:instrText xml:space="preserve">, </w:instrText>
      </w:r>
      <w:r w:rsidR="002736BA">
        <w:rPr>
          <w:lang w:val="en-US"/>
        </w:rPr>
        <w:instrText>in</w:instrText>
      </w:r>
      <w:r w:rsidR="002736BA" w:rsidRPr="0089207C">
        <w:instrText xml:space="preserve"> </w:instrText>
      </w:r>
      <w:r w:rsidR="002736BA">
        <w:rPr>
          <w:lang w:val="en-US"/>
        </w:rPr>
        <w:instrText>an</w:instrText>
      </w:r>
      <w:r w:rsidR="002736BA" w:rsidRPr="0089207C">
        <w:instrText xml:space="preserve"> </w:instrText>
      </w:r>
      <w:r w:rsidR="002736BA">
        <w:rPr>
          <w:lang w:val="en-US"/>
        </w:rPr>
        <w:instrText>attempt</w:instrText>
      </w:r>
      <w:r w:rsidR="002736BA" w:rsidRPr="0089207C">
        <w:instrText xml:space="preserve"> </w:instrText>
      </w:r>
      <w:r w:rsidR="002736BA">
        <w:rPr>
          <w:lang w:val="en-US"/>
        </w:rPr>
        <w:instrText>to</w:instrText>
      </w:r>
      <w:r w:rsidR="002736BA" w:rsidRPr="0089207C">
        <w:instrText xml:space="preserve"> </w:instrText>
      </w:r>
      <w:r w:rsidR="002736BA">
        <w:rPr>
          <w:lang w:val="en-US"/>
        </w:rPr>
        <w:instrText>validate</w:instrText>
      </w:r>
      <w:r w:rsidR="002736BA" w:rsidRPr="0089207C">
        <w:instrText xml:space="preserve"> </w:instrText>
      </w:r>
      <w:r w:rsidR="002736BA">
        <w:rPr>
          <w:lang w:val="en-US"/>
        </w:rPr>
        <w:instrText>these</w:instrText>
      </w:r>
      <w:r w:rsidR="002736BA" w:rsidRPr="0089207C">
        <w:instrText xml:space="preserve"> </w:instrText>
      </w:r>
      <w:r w:rsidR="002736BA">
        <w:rPr>
          <w:lang w:val="en-US"/>
        </w:rPr>
        <w:instrText>rules</w:instrText>
      </w:r>
      <w:r w:rsidR="002736BA" w:rsidRPr="0089207C">
        <w:instrText xml:space="preserve">. </w:instrText>
      </w:r>
      <w:r w:rsidR="002736BA">
        <w:rPr>
          <w:lang w:val="en-US"/>
        </w:rPr>
        <w:instrText>We</w:instrText>
      </w:r>
      <w:r w:rsidR="002736BA" w:rsidRPr="0089207C">
        <w:instrText xml:space="preserve"> </w:instrText>
      </w:r>
      <w:r w:rsidR="002736BA">
        <w:rPr>
          <w:lang w:val="en-US"/>
        </w:rPr>
        <w:instrText>concisely</w:instrText>
      </w:r>
      <w:r w:rsidR="002736BA" w:rsidRPr="0089207C">
        <w:instrText xml:space="preserve"> </w:instrText>
      </w:r>
      <w:r w:rsidR="002736BA">
        <w:rPr>
          <w:lang w:val="en-US"/>
        </w:rPr>
        <w:instrText>report</w:instrText>
      </w:r>
      <w:r w:rsidR="002736BA" w:rsidRPr="0089207C">
        <w:instrText xml:space="preserve"> </w:instrText>
      </w:r>
      <w:r w:rsidR="002736BA">
        <w:rPr>
          <w:lang w:val="en-US"/>
        </w:rPr>
        <w:instrText>here</w:instrText>
      </w:r>
      <w:r w:rsidR="002736BA" w:rsidRPr="0089207C">
        <w:instrText xml:space="preserve"> </w:instrText>
      </w:r>
      <w:r w:rsidR="002736BA">
        <w:rPr>
          <w:lang w:val="en-US"/>
        </w:rPr>
        <w:instrText>the</w:instrText>
      </w:r>
      <w:r w:rsidR="002736BA" w:rsidRPr="0089207C">
        <w:instrText xml:space="preserve"> </w:instrText>
      </w:r>
      <w:r w:rsidR="002736BA">
        <w:rPr>
          <w:lang w:val="en-US"/>
        </w:rPr>
        <w:instrText>minutes</w:instrText>
      </w:r>
      <w:r w:rsidR="002736BA" w:rsidRPr="0089207C">
        <w:instrText xml:space="preserve"> </w:instrText>
      </w:r>
      <w:r w:rsidR="002736BA">
        <w:rPr>
          <w:lang w:val="en-US"/>
        </w:rPr>
        <w:instrText>of</w:instrText>
      </w:r>
      <w:r w:rsidR="002736BA" w:rsidRPr="0089207C">
        <w:instrText xml:space="preserve"> </w:instrText>
      </w:r>
      <w:r w:rsidR="002736BA">
        <w:rPr>
          <w:lang w:val="en-US"/>
        </w:rPr>
        <w:instrText>the</w:instrText>
      </w:r>
      <w:r w:rsidR="002736BA" w:rsidRPr="0089207C">
        <w:instrText xml:space="preserve"> </w:instrText>
      </w:r>
      <w:r w:rsidR="002736BA">
        <w:rPr>
          <w:lang w:val="en-US"/>
        </w:rPr>
        <w:instrText>meeting</w:instrText>
      </w:r>
      <w:r w:rsidR="002736BA" w:rsidRPr="0089207C">
        <w:instrText xml:space="preserve"> </w:instrText>
      </w:r>
      <w:r w:rsidR="002736BA">
        <w:rPr>
          <w:lang w:val="en-US"/>
        </w:rPr>
        <w:instrText>and</w:instrText>
      </w:r>
      <w:r w:rsidR="002736BA" w:rsidRPr="0089207C">
        <w:instrText xml:space="preserve"> </w:instrText>
      </w:r>
      <w:r w:rsidR="002736BA">
        <w:rPr>
          <w:lang w:val="en-US"/>
        </w:rPr>
        <w:instrText>the</w:instrText>
      </w:r>
      <w:r w:rsidR="002736BA" w:rsidRPr="0089207C">
        <w:instrText xml:space="preserve"> </w:instrText>
      </w:r>
      <w:r w:rsidR="002736BA">
        <w:rPr>
          <w:lang w:val="en-US"/>
        </w:rPr>
        <w:instrText>conclusions</w:instrText>
      </w:r>
      <w:r w:rsidR="002736BA" w:rsidRPr="0089207C">
        <w:instrText>/</w:instrText>
      </w:r>
      <w:r w:rsidR="002736BA">
        <w:rPr>
          <w:lang w:val="en-US"/>
        </w:rPr>
        <w:instrText>statements</w:instrText>
      </w:r>
      <w:r w:rsidR="002736BA" w:rsidRPr="0089207C">
        <w:instrText xml:space="preserve"> </w:instrText>
      </w:r>
      <w:r w:rsidR="002736BA">
        <w:rPr>
          <w:lang w:val="en-US"/>
        </w:rPr>
        <w:instrText>that</w:instrText>
      </w:r>
      <w:r w:rsidR="002736BA" w:rsidRPr="0089207C">
        <w:instrText xml:space="preserve"> </w:instrText>
      </w:r>
      <w:r w:rsidR="002736BA">
        <w:rPr>
          <w:lang w:val="en-US"/>
        </w:rPr>
        <w:instrText>have</w:instrText>
      </w:r>
      <w:r w:rsidR="002736BA" w:rsidRPr="0089207C">
        <w:instrText xml:space="preserve"> </w:instrText>
      </w:r>
      <w:r w:rsidR="002736BA">
        <w:rPr>
          <w:lang w:val="en-US"/>
        </w:rPr>
        <w:instrText>been</w:instrText>
      </w:r>
      <w:r w:rsidR="002736BA" w:rsidRPr="0089207C">
        <w:instrText xml:space="preserve"> </w:instrText>
      </w:r>
      <w:r w:rsidR="002736BA">
        <w:rPr>
          <w:lang w:val="en-US"/>
        </w:rPr>
        <w:instrText>reached</w:instrText>
      </w:r>
      <w:r w:rsidR="002736BA" w:rsidRPr="0089207C">
        <w:instrText xml:space="preserve">. © 2009 </w:instrText>
      </w:r>
      <w:r w:rsidR="002736BA">
        <w:rPr>
          <w:lang w:val="en-US"/>
        </w:rPr>
        <w:instrText>Informa</w:instrText>
      </w:r>
      <w:r w:rsidR="002736BA" w:rsidRPr="0089207C">
        <w:instrText xml:space="preserve"> </w:instrText>
      </w:r>
      <w:r w:rsidR="002736BA">
        <w:rPr>
          <w:lang w:val="en-US"/>
        </w:rPr>
        <w:instrText>UK</w:instrText>
      </w:r>
      <w:r w:rsidR="002736BA" w:rsidRPr="0089207C">
        <w:instrText xml:space="preserve"> </w:instrText>
      </w:r>
      <w:r w:rsidR="002736BA">
        <w:rPr>
          <w:lang w:val="en-US"/>
        </w:rPr>
        <w:instrText>Ltd</w:instrText>
      </w:r>
      <w:r w:rsidR="002736BA" w:rsidRPr="0089207C">
        <w:instrText xml:space="preserve"> </w:instrText>
      </w:r>
      <w:r w:rsidR="002736BA">
        <w:rPr>
          <w:lang w:val="en-US"/>
        </w:rPr>
        <w:instrText>All</w:instrText>
      </w:r>
      <w:r w:rsidR="002736BA" w:rsidRPr="0089207C">
        <w:instrText xml:space="preserve"> </w:instrText>
      </w:r>
      <w:r w:rsidR="002736BA">
        <w:rPr>
          <w:lang w:val="en-US"/>
        </w:rPr>
        <w:instrText>rights</w:instrText>
      </w:r>
      <w:r w:rsidR="002736BA" w:rsidRPr="0089207C">
        <w:instrText xml:space="preserve"> </w:instrText>
      </w:r>
      <w:r w:rsidR="002736BA">
        <w:rPr>
          <w:lang w:val="en-US"/>
        </w:rPr>
        <w:instrText>reserved</w:instrText>
      </w:r>
      <w:r w:rsidR="002736BA" w:rsidRPr="0089207C">
        <w:instrText>.","</w:instrText>
      </w:r>
      <w:r w:rsidR="002736BA">
        <w:rPr>
          <w:lang w:val="en-US"/>
        </w:rPr>
        <w:instrText>author</w:instrText>
      </w:r>
      <w:r w:rsidR="002736BA" w:rsidRPr="0089207C">
        <w:instrText>":[{"</w:instrText>
      </w:r>
      <w:r w:rsidR="002736BA">
        <w:rPr>
          <w:lang w:val="en-US"/>
        </w:rPr>
        <w:instrText>dropping</w:instrText>
      </w:r>
      <w:r w:rsidR="002736BA" w:rsidRPr="0089207C">
        <w:instrText>-</w:instrText>
      </w:r>
      <w:r w:rsidR="002736BA">
        <w:rPr>
          <w:lang w:val="en-US"/>
        </w:rPr>
        <w:instrText>particle</w:instrText>
      </w:r>
      <w:r w:rsidR="002736BA" w:rsidRPr="0089207C">
        <w:instrText>":"","</w:instrText>
      </w:r>
      <w:r w:rsidR="002736BA">
        <w:rPr>
          <w:lang w:val="en-US"/>
        </w:rPr>
        <w:instrText>family</w:instrText>
      </w:r>
      <w:r w:rsidR="002736BA" w:rsidRPr="0089207C">
        <w:instrText>":"</w:instrText>
      </w:r>
      <w:r w:rsidR="002736BA">
        <w:rPr>
          <w:lang w:val="en-US"/>
        </w:rPr>
        <w:instrText>Meignan</w:instrText>
      </w:r>
      <w:r w:rsidR="002736BA" w:rsidRPr="0089207C">
        <w:instrText>","</w:instrText>
      </w:r>
      <w:r w:rsidR="002736BA">
        <w:rPr>
          <w:lang w:val="en-US"/>
        </w:rPr>
        <w:instrText>given</w:instrText>
      </w:r>
      <w:r w:rsidR="002736BA" w:rsidRPr="0089207C">
        <w:instrText>":"</w:instrText>
      </w:r>
      <w:r w:rsidR="002736BA">
        <w:rPr>
          <w:lang w:val="en-US"/>
        </w:rPr>
        <w:instrText>Michel</w:instrText>
      </w:r>
      <w:r w:rsidR="002736BA" w:rsidRPr="0089207C">
        <w:instrText>","</w:instrText>
      </w:r>
      <w:r w:rsidR="002736BA">
        <w:rPr>
          <w:lang w:val="en-US"/>
        </w:rPr>
        <w:instrText>non</w:instrText>
      </w:r>
      <w:r w:rsidR="002736BA" w:rsidRPr="0089207C">
        <w:instrText>-</w:instrText>
      </w:r>
      <w:r w:rsidR="002736BA">
        <w:rPr>
          <w:lang w:val="en-US"/>
        </w:rPr>
        <w:instrText>dropping</w:instrText>
      </w:r>
      <w:r w:rsidR="002736BA" w:rsidRPr="0089207C">
        <w:instrText>-</w:instrText>
      </w:r>
      <w:r w:rsidR="002736BA">
        <w:rPr>
          <w:lang w:val="en-US"/>
        </w:rPr>
        <w:instrText>particle</w:instrText>
      </w:r>
      <w:r w:rsidR="002736BA" w:rsidRPr="0089207C">
        <w:instrText>":"","</w:instrText>
      </w:r>
      <w:r w:rsidR="002736BA">
        <w:rPr>
          <w:lang w:val="en-US"/>
        </w:rPr>
        <w:instrText>parse</w:instrText>
      </w:r>
      <w:r w:rsidR="002736BA" w:rsidRPr="0089207C">
        <w:instrText>-</w:instrText>
      </w:r>
      <w:r w:rsidR="002736BA">
        <w:rPr>
          <w:lang w:val="en-US"/>
        </w:rPr>
        <w:instrText>names</w:instrText>
      </w:r>
      <w:r w:rsidR="002736BA" w:rsidRPr="0089207C">
        <w:instrText>":</w:instrText>
      </w:r>
      <w:r w:rsidR="002736BA">
        <w:rPr>
          <w:lang w:val="en-US"/>
        </w:rPr>
        <w:instrText>false</w:instrText>
      </w:r>
      <w:r w:rsidR="002736BA" w:rsidRPr="0089207C">
        <w:instrText>,"</w:instrText>
      </w:r>
      <w:r w:rsidR="002736BA">
        <w:rPr>
          <w:lang w:val="en-US"/>
        </w:rPr>
        <w:instrText>suffix</w:instrText>
      </w:r>
      <w:r w:rsidR="002736BA" w:rsidRPr="0089207C">
        <w:instrText>":""},{"</w:instrText>
      </w:r>
      <w:r w:rsidR="002736BA">
        <w:rPr>
          <w:lang w:val="en-US"/>
        </w:rPr>
        <w:instrText>dropping</w:instrText>
      </w:r>
      <w:r w:rsidR="002736BA" w:rsidRPr="0089207C">
        <w:instrText>-</w:instrText>
      </w:r>
      <w:r w:rsidR="002736BA">
        <w:rPr>
          <w:lang w:val="en-US"/>
        </w:rPr>
        <w:instrText>particle</w:instrText>
      </w:r>
      <w:r w:rsidR="002736BA" w:rsidRPr="0089207C">
        <w:instrText>":"","</w:instrText>
      </w:r>
      <w:r w:rsidR="002736BA">
        <w:rPr>
          <w:lang w:val="en-US"/>
        </w:rPr>
        <w:instrText>family</w:instrText>
      </w:r>
      <w:r w:rsidR="002736BA" w:rsidRPr="0089207C">
        <w:instrText>":"</w:instrText>
      </w:r>
      <w:r w:rsidR="002736BA">
        <w:rPr>
          <w:lang w:val="en-US"/>
        </w:rPr>
        <w:instrText>Gallamini</w:instrText>
      </w:r>
      <w:r w:rsidR="002736BA" w:rsidRPr="0089207C">
        <w:instrText>","</w:instrText>
      </w:r>
      <w:r w:rsidR="002736BA">
        <w:rPr>
          <w:lang w:val="en-US"/>
        </w:rPr>
        <w:instrText>given</w:instrText>
      </w:r>
      <w:r w:rsidR="002736BA" w:rsidRPr="0089207C">
        <w:instrText>":"</w:instrText>
      </w:r>
      <w:r w:rsidR="002736BA">
        <w:rPr>
          <w:lang w:val="en-US"/>
        </w:rPr>
        <w:instrText>Andrea</w:instrText>
      </w:r>
      <w:r w:rsidR="002736BA" w:rsidRPr="0089207C">
        <w:instrText>","</w:instrText>
      </w:r>
      <w:r w:rsidR="002736BA">
        <w:rPr>
          <w:lang w:val="en-US"/>
        </w:rPr>
        <w:instrText>non</w:instrText>
      </w:r>
      <w:r w:rsidR="002736BA" w:rsidRPr="0089207C">
        <w:instrText>-</w:instrText>
      </w:r>
      <w:r w:rsidR="002736BA">
        <w:rPr>
          <w:lang w:val="en-US"/>
        </w:rPr>
        <w:instrText>dropping</w:instrText>
      </w:r>
      <w:r w:rsidR="002736BA" w:rsidRPr="0089207C">
        <w:instrText>-</w:instrText>
      </w:r>
      <w:r w:rsidR="002736BA">
        <w:rPr>
          <w:lang w:val="en-US"/>
        </w:rPr>
        <w:instrText>particle</w:instrText>
      </w:r>
      <w:r w:rsidR="002736BA" w:rsidRPr="0089207C">
        <w:instrText>":"","</w:instrText>
      </w:r>
      <w:r w:rsidR="002736BA">
        <w:rPr>
          <w:lang w:val="en-US"/>
        </w:rPr>
        <w:instrText>parse</w:instrText>
      </w:r>
      <w:r w:rsidR="002736BA" w:rsidRPr="0089207C">
        <w:instrText>-</w:instrText>
      </w:r>
      <w:r w:rsidR="002736BA">
        <w:rPr>
          <w:lang w:val="en-US"/>
        </w:rPr>
        <w:instrText>names</w:instrText>
      </w:r>
      <w:r w:rsidR="002736BA" w:rsidRPr="0089207C">
        <w:instrText>":</w:instrText>
      </w:r>
      <w:r w:rsidR="002736BA">
        <w:rPr>
          <w:lang w:val="en-US"/>
        </w:rPr>
        <w:instrText>false</w:instrText>
      </w:r>
      <w:r w:rsidR="002736BA" w:rsidRPr="0089207C">
        <w:instrText>,"</w:instrText>
      </w:r>
      <w:r w:rsidR="002736BA">
        <w:rPr>
          <w:lang w:val="en-US"/>
        </w:rPr>
        <w:instrText>suffix</w:instrText>
      </w:r>
      <w:r w:rsidR="002736BA" w:rsidRPr="0089207C">
        <w:instrText>":""},{"</w:instrText>
      </w:r>
      <w:r w:rsidR="002736BA">
        <w:rPr>
          <w:lang w:val="en-US"/>
        </w:rPr>
        <w:instrText>dropping</w:instrText>
      </w:r>
      <w:r w:rsidR="002736BA" w:rsidRPr="0089207C">
        <w:instrText>-</w:instrText>
      </w:r>
      <w:r w:rsidR="002736BA">
        <w:rPr>
          <w:lang w:val="en-US"/>
        </w:rPr>
        <w:instrText>particle</w:instrText>
      </w:r>
      <w:r w:rsidR="002736BA" w:rsidRPr="0089207C">
        <w:instrText>":"","</w:instrText>
      </w:r>
      <w:r w:rsidR="002736BA">
        <w:rPr>
          <w:lang w:val="en-US"/>
        </w:rPr>
        <w:instrText>family</w:instrText>
      </w:r>
      <w:r w:rsidR="002736BA" w:rsidRPr="0089207C">
        <w:instrText>":"</w:instrText>
      </w:r>
      <w:r w:rsidR="002736BA">
        <w:rPr>
          <w:lang w:val="en-US"/>
        </w:rPr>
        <w:instrText>Haioun</w:instrText>
      </w:r>
      <w:r w:rsidR="002736BA" w:rsidRPr="0089207C">
        <w:instrText>","</w:instrText>
      </w:r>
      <w:r w:rsidR="002736BA">
        <w:rPr>
          <w:lang w:val="en-US"/>
        </w:rPr>
        <w:instrText>given</w:instrText>
      </w:r>
      <w:r w:rsidR="002736BA" w:rsidRPr="0089207C">
        <w:instrText>":"</w:instrText>
      </w:r>
      <w:r w:rsidR="002736BA">
        <w:rPr>
          <w:lang w:val="en-US"/>
        </w:rPr>
        <w:instrText>Corinne</w:instrText>
      </w:r>
      <w:r w:rsidR="002736BA" w:rsidRPr="0089207C">
        <w:instrText>","</w:instrText>
      </w:r>
      <w:r w:rsidR="002736BA">
        <w:rPr>
          <w:lang w:val="en-US"/>
        </w:rPr>
        <w:instrText>non</w:instrText>
      </w:r>
      <w:r w:rsidR="002736BA" w:rsidRPr="0089207C">
        <w:instrText>-</w:instrText>
      </w:r>
      <w:r w:rsidR="002736BA">
        <w:rPr>
          <w:lang w:val="en-US"/>
        </w:rPr>
        <w:instrText>dropping</w:instrText>
      </w:r>
      <w:r w:rsidR="002736BA" w:rsidRPr="0089207C">
        <w:instrText>-</w:instrText>
      </w:r>
      <w:r w:rsidR="002736BA">
        <w:rPr>
          <w:lang w:val="en-US"/>
        </w:rPr>
        <w:instrText>particle</w:instrText>
      </w:r>
      <w:r w:rsidR="002736BA" w:rsidRPr="0089207C">
        <w:instrText>":"","</w:instrText>
      </w:r>
      <w:r w:rsidR="002736BA">
        <w:rPr>
          <w:lang w:val="en-US"/>
        </w:rPr>
        <w:instrText>parse</w:instrText>
      </w:r>
      <w:r w:rsidR="002736BA" w:rsidRPr="0089207C">
        <w:instrText>-</w:instrText>
      </w:r>
      <w:r w:rsidR="002736BA">
        <w:rPr>
          <w:lang w:val="en-US"/>
        </w:rPr>
        <w:instrText>names</w:instrText>
      </w:r>
      <w:r w:rsidR="002736BA" w:rsidRPr="0089207C">
        <w:instrText>":</w:instrText>
      </w:r>
      <w:r w:rsidR="002736BA">
        <w:rPr>
          <w:lang w:val="en-US"/>
        </w:rPr>
        <w:instrText>false</w:instrText>
      </w:r>
      <w:r w:rsidR="002736BA" w:rsidRPr="0089207C">
        <w:instrText>,"</w:instrText>
      </w:r>
      <w:r w:rsidR="002736BA">
        <w:rPr>
          <w:lang w:val="en-US"/>
        </w:rPr>
        <w:instrText>suffix</w:instrText>
      </w:r>
      <w:r w:rsidR="002736BA" w:rsidRPr="0089207C">
        <w:instrText>":""}],"</w:instrText>
      </w:r>
      <w:r w:rsidR="002736BA">
        <w:rPr>
          <w:lang w:val="en-US"/>
        </w:rPr>
        <w:instrText>container</w:instrText>
      </w:r>
      <w:r w:rsidR="002736BA" w:rsidRPr="0089207C">
        <w:instrText>-</w:instrText>
      </w:r>
      <w:r w:rsidR="002736BA">
        <w:rPr>
          <w:lang w:val="en-US"/>
        </w:rPr>
        <w:instrText>title</w:instrText>
      </w:r>
      <w:r w:rsidR="002736BA" w:rsidRPr="0089207C">
        <w:instrText>":"</w:instrText>
      </w:r>
      <w:r w:rsidR="002736BA">
        <w:rPr>
          <w:lang w:val="en-US"/>
        </w:rPr>
        <w:instrText>Leukemia</w:instrText>
      </w:r>
      <w:r w:rsidR="002736BA" w:rsidRPr="0089207C">
        <w:instrText xml:space="preserve"> </w:instrText>
      </w:r>
      <w:r w:rsidR="002736BA">
        <w:rPr>
          <w:lang w:val="en-US"/>
        </w:rPr>
        <w:instrText>and</w:instrText>
      </w:r>
      <w:r w:rsidR="002736BA" w:rsidRPr="0089207C">
        <w:instrText xml:space="preserve"> </w:instrText>
      </w:r>
      <w:r w:rsidR="002736BA">
        <w:rPr>
          <w:lang w:val="en-US"/>
        </w:rPr>
        <w:instrText>Lymphoma</w:instrText>
      </w:r>
      <w:r w:rsidR="002736BA" w:rsidRPr="0089207C">
        <w:instrText>","</w:instrText>
      </w:r>
      <w:r w:rsidR="002736BA">
        <w:rPr>
          <w:lang w:val="en-US"/>
        </w:rPr>
        <w:instrText>id</w:instrText>
      </w:r>
      <w:r w:rsidR="002736BA" w:rsidRPr="0089207C">
        <w:instrText>":"</w:instrText>
      </w:r>
      <w:r w:rsidR="002736BA">
        <w:rPr>
          <w:lang w:val="en-US"/>
        </w:rPr>
        <w:instrText>ITEM</w:instrText>
      </w:r>
      <w:r w:rsidR="002736BA" w:rsidRPr="0089207C">
        <w:instrText>-1","</w:instrText>
      </w:r>
      <w:r w:rsidR="002736BA">
        <w:rPr>
          <w:lang w:val="en-US"/>
        </w:rPr>
        <w:instrText>issue</w:instrText>
      </w:r>
      <w:r w:rsidR="002736BA" w:rsidRPr="0089207C">
        <w:instrText>":"8","</w:instrText>
      </w:r>
      <w:r w:rsidR="002736BA">
        <w:rPr>
          <w:lang w:val="en-US"/>
        </w:rPr>
        <w:instrText>issued</w:instrText>
      </w:r>
      <w:r w:rsidR="002736BA" w:rsidRPr="0089207C">
        <w:instrText>":{"</w:instrText>
      </w:r>
      <w:r w:rsidR="002736BA">
        <w:rPr>
          <w:lang w:val="en-US"/>
        </w:rPr>
        <w:instrText>date</w:instrText>
      </w:r>
      <w:r w:rsidR="002736BA" w:rsidRPr="0089207C">
        <w:instrText>-</w:instrText>
      </w:r>
      <w:r w:rsidR="002736BA">
        <w:rPr>
          <w:lang w:val="en-US"/>
        </w:rPr>
        <w:instrText>parts</w:instrText>
      </w:r>
      <w:r w:rsidR="002736BA" w:rsidRPr="0089207C">
        <w:instrText>":[["2009"]]},"</w:instrText>
      </w:r>
      <w:r w:rsidR="002736BA">
        <w:rPr>
          <w:lang w:val="en-US"/>
        </w:rPr>
        <w:instrText>page</w:instrText>
      </w:r>
      <w:r w:rsidR="002736BA" w:rsidRPr="0089207C">
        <w:instrText>":"1257-1260","</w:instrText>
      </w:r>
      <w:r w:rsidR="002736BA">
        <w:rPr>
          <w:lang w:val="en-US"/>
        </w:rPr>
        <w:instrText>title</w:instrText>
      </w:r>
      <w:r w:rsidR="002736BA" w:rsidRPr="0089207C">
        <w:instrText>":"</w:instrText>
      </w:r>
      <w:r w:rsidR="002736BA">
        <w:rPr>
          <w:lang w:val="en-US"/>
        </w:rPr>
        <w:instrText>Report</w:instrText>
      </w:r>
      <w:r w:rsidR="002736BA" w:rsidRPr="0089207C">
        <w:instrText xml:space="preserve"> </w:instrText>
      </w:r>
      <w:r w:rsidR="002736BA">
        <w:rPr>
          <w:lang w:val="en-US"/>
        </w:rPr>
        <w:instrText>on</w:instrText>
      </w:r>
      <w:r w:rsidR="002736BA" w:rsidRPr="0089207C">
        <w:instrText xml:space="preserve"> </w:instrText>
      </w:r>
      <w:r w:rsidR="002736BA">
        <w:rPr>
          <w:lang w:val="en-US"/>
        </w:rPr>
        <w:instrText>the</w:instrText>
      </w:r>
      <w:r w:rsidR="002736BA" w:rsidRPr="0089207C">
        <w:instrText xml:space="preserve"> </w:instrText>
      </w:r>
      <w:r w:rsidR="002736BA">
        <w:rPr>
          <w:lang w:val="en-US"/>
        </w:rPr>
        <w:instrText>First</w:instrText>
      </w:r>
      <w:r w:rsidR="002736BA" w:rsidRPr="0089207C">
        <w:instrText xml:space="preserve"> </w:instrText>
      </w:r>
      <w:r w:rsidR="002736BA">
        <w:rPr>
          <w:lang w:val="en-US"/>
        </w:rPr>
        <w:instrText>International</w:instrText>
      </w:r>
      <w:r w:rsidR="002736BA" w:rsidRPr="0089207C">
        <w:instrText xml:space="preserve"> </w:instrText>
      </w:r>
      <w:r w:rsidR="002736BA">
        <w:rPr>
          <w:lang w:val="en-US"/>
        </w:rPr>
        <w:instrText>Workshop</w:instrText>
      </w:r>
      <w:r w:rsidR="002736BA" w:rsidRPr="0089207C">
        <w:instrText xml:space="preserve"> </w:instrText>
      </w:r>
      <w:r w:rsidR="002736BA">
        <w:rPr>
          <w:lang w:val="en-US"/>
        </w:rPr>
        <w:instrText>on</w:instrText>
      </w:r>
      <w:r w:rsidR="002736BA" w:rsidRPr="0089207C">
        <w:instrText xml:space="preserve"> </w:instrText>
      </w:r>
      <w:r w:rsidR="002736BA">
        <w:rPr>
          <w:lang w:val="en-US"/>
        </w:rPr>
        <w:instrText>interim</w:instrText>
      </w:r>
      <w:r w:rsidR="002736BA" w:rsidRPr="0089207C">
        <w:instrText>-</w:instrText>
      </w:r>
      <w:r w:rsidR="002736BA">
        <w:rPr>
          <w:lang w:val="en-US"/>
        </w:rPr>
        <w:instrText>PET</w:instrText>
      </w:r>
      <w:r w:rsidR="002736BA" w:rsidRPr="0089207C">
        <w:instrText xml:space="preserve"> </w:instrText>
      </w:r>
      <w:r w:rsidR="002736BA">
        <w:rPr>
          <w:lang w:val="en-US"/>
        </w:rPr>
        <w:instrText>scan</w:instrText>
      </w:r>
      <w:r w:rsidR="002736BA" w:rsidRPr="0089207C">
        <w:instrText xml:space="preserve"> </w:instrText>
      </w:r>
      <w:r w:rsidR="002736BA">
        <w:rPr>
          <w:lang w:val="en-US"/>
        </w:rPr>
        <w:instrText>in</w:instrText>
      </w:r>
      <w:r w:rsidR="002736BA" w:rsidRPr="0089207C">
        <w:instrText xml:space="preserve"> </w:instrText>
      </w:r>
      <w:r w:rsidR="002736BA">
        <w:rPr>
          <w:lang w:val="en-US"/>
        </w:rPr>
        <w:instrText>lymphoma</w:instrText>
      </w:r>
      <w:r w:rsidR="002736BA" w:rsidRPr="0089207C">
        <w:instrText>","</w:instrText>
      </w:r>
      <w:r w:rsidR="002736BA">
        <w:rPr>
          <w:lang w:val="en-US"/>
        </w:rPr>
        <w:instrText>type</w:instrText>
      </w:r>
      <w:r w:rsidR="002736BA" w:rsidRPr="0089207C">
        <w:instrText>":"</w:instrText>
      </w:r>
      <w:r w:rsidR="002736BA">
        <w:rPr>
          <w:lang w:val="en-US"/>
        </w:rPr>
        <w:instrText>paper</w:instrText>
      </w:r>
      <w:r w:rsidR="002736BA" w:rsidRPr="0089207C">
        <w:instrText>-</w:instrText>
      </w:r>
      <w:r w:rsidR="002736BA">
        <w:rPr>
          <w:lang w:val="en-US"/>
        </w:rPr>
        <w:instrText>conference</w:instrText>
      </w:r>
      <w:r w:rsidR="002736BA" w:rsidRPr="0089207C">
        <w:instrText>","</w:instrText>
      </w:r>
      <w:r w:rsidR="002736BA">
        <w:rPr>
          <w:lang w:val="en-US"/>
        </w:rPr>
        <w:instrText>volume</w:instrText>
      </w:r>
      <w:r w:rsidR="002736BA" w:rsidRPr="0089207C">
        <w:instrText>":"50"},"</w:instrText>
      </w:r>
      <w:r w:rsidR="002736BA">
        <w:rPr>
          <w:lang w:val="en-US"/>
        </w:rPr>
        <w:instrText>uris</w:instrText>
      </w:r>
      <w:r w:rsidR="002736BA" w:rsidRPr="0089207C">
        <w:instrText>":["</w:instrText>
      </w:r>
      <w:r w:rsidR="002736BA">
        <w:rPr>
          <w:lang w:val="en-US"/>
        </w:rPr>
        <w:instrText>http</w:instrText>
      </w:r>
      <w:r w:rsidR="002736BA" w:rsidRPr="0089207C">
        <w:instrText>://</w:instrText>
      </w:r>
      <w:r w:rsidR="002736BA">
        <w:rPr>
          <w:lang w:val="en-US"/>
        </w:rPr>
        <w:instrText>www</w:instrText>
      </w:r>
      <w:r w:rsidR="002736BA" w:rsidRPr="0089207C">
        <w:instrText>.</w:instrText>
      </w:r>
      <w:r w:rsidR="002736BA">
        <w:rPr>
          <w:lang w:val="en-US"/>
        </w:rPr>
        <w:instrText>mendeley</w:instrText>
      </w:r>
      <w:r w:rsidR="002736BA" w:rsidRPr="0089207C">
        <w:instrText>.</w:instrText>
      </w:r>
      <w:r w:rsidR="002736BA">
        <w:rPr>
          <w:lang w:val="en-US"/>
        </w:rPr>
        <w:instrText>com</w:instrText>
      </w:r>
      <w:r w:rsidR="002736BA" w:rsidRPr="0089207C">
        <w:instrText>/</w:instrText>
      </w:r>
      <w:r w:rsidR="002736BA">
        <w:rPr>
          <w:lang w:val="en-US"/>
        </w:rPr>
        <w:instrText>documents</w:instrText>
      </w:r>
      <w:r w:rsidR="002736BA" w:rsidRPr="0089207C">
        <w:instrText>/?</w:instrText>
      </w:r>
      <w:r w:rsidR="002736BA">
        <w:rPr>
          <w:lang w:val="en-US"/>
        </w:rPr>
        <w:instrText>uuid</w:instrText>
      </w:r>
      <w:r w:rsidR="002736BA" w:rsidRPr="0089207C">
        <w:instrText>=</w:instrText>
      </w:r>
      <w:r w:rsidR="002736BA">
        <w:rPr>
          <w:lang w:val="en-US"/>
        </w:rPr>
        <w:instrText>fc</w:instrText>
      </w:r>
      <w:r w:rsidR="002736BA" w:rsidRPr="0089207C">
        <w:instrText>9</w:instrText>
      </w:r>
      <w:r w:rsidR="002736BA">
        <w:rPr>
          <w:lang w:val="en-US"/>
        </w:rPr>
        <w:instrText>f</w:instrText>
      </w:r>
      <w:r w:rsidR="002736BA" w:rsidRPr="0089207C">
        <w:instrText>795</w:instrText>
      </w:r>
      <w:r w:rsidR="002736BA">
        <w:rPr>
          <w:lang w:val="en-US"/>
        </w:rPr>
        <w:instrText>a</w:instrText>
      </w:r>
      <w:r w:rsidR="002736BA" w:rsidRPr="0089207C">
        <w:instrText>-</w:instrText>
      </w:r>
      <w:r w:rsidR="002736BA">
        <w:rPr>
          <w:lang w:val="en-US"/>
        </w:rPr>
        <w:instrText>d</w:instrText>
      </w:r>
      <w:r w:rsidR="002736BA" w:rsidRPr="0089207C">
        <w:instrText>2</w:instrText>
      </w:r>
      <w:r w:rsidR="002736BA">
        <w:rPr>
          <w:lang w:val="en-US"/>
        </w:rPr>
        <w:instrText>b</w:instrText>
      </w:r>
      <w:r w:rsidR="002736BA" w:rsidRPr="0089207C">
        <w:instrText>4-36</w:instrText>
      </w:r>
      <w:r w:rsidR="002736BA">
        <w:rPr>
          <w:lang w:val="en-US"/>
        </w:rPr>
        <w:instrText>db</w:instrText>
      </w:r>
      <w:r w:rsidR="002736BA" w:rsidRPr="0089207C">
        <w:instrText>-</w:instrText>
      </w:r>
      <w:r w:rsidR="002736BA">
        <w:rPr>
          <w:lang w:val="en-US"/>
        </w:rPr>
        <w:instrText>aea</w:instrText>
      </w:r>
      <w:r w:rsidR="002736BA" w:rsidRPr="0089207C">
        <w:instrText>1-317</w:instrText>
      </w:r>
      <w:r w:rsidR="002736BA">
        <w:rPr>
          <w:lang w:val="en-US"/>
        </w:rPr>
        <w:instrText>b</w:instrText>
      </w:r>
      <w:r w:rsidR="002736BA" w:rsidRPr="0089207C">
        <w:instrText>258251</w:instrText>
      </w:r>
      <w:r w:rsidR="002736BA">
        <w:rPr>
          <w:lang w:val="en-US"/>
        </w:rPr>
        <w:instrText>ba</w:instrText>
      </w:r>
      <w:r w:rsidR="002736BA" w:rsidRPr="0089207C">
        <w:instrText>"]}],"</w:instrText>
      </w:r>
      <w:r w:rsidR="002736BA">
        <w:rPr>
          <w:lang w:val="en-US"/>
        </w:rPr>
        <w:instrText>mendeley</w:instrText>
      </w:r>
      <w:r w:rsidR="002736BA" w:rsidRPr="0089207C">
        <w:instrText>":{"</w:instrText>
      </w:r>
      <w:r w:rsidR="002736BA">
        <w:rPr>
          <w:lang w:val="en-US"/>
        </w:rPr>
        <w:instrText>formattedCitation</w:instrText>
      </w:r>
      <w:r w:rsidR="002736BA" w:rsidRPr="0089207C">
        <w:instrText>":"[269]","</w:instrText>
      </w:r>
      <w:r w:rsidR="002736BA">
        <w:rPr>
          <w:lang w:val="en-US"/>
        </w:rPr>
        <w:instrText>plainTextFormattedCitation</w:instrText>
      </w:r>
      <w:r w:rsidR="002736BA" w:rsidRPr="0089207C">
        <w:instrText>":"[269]","</w:instrText>
      </w:r>
      <w:r w:rsidR="002736BA">
        <w:rPr>
          <w:lang w:val="en-US"/>
        </w:rPr>
        <w:instrText>previouslyFormattedCitation</w:instrText>
      </w:r>
      <w:r w:rsidR="002736BA" w:rsidRPr="0089207C">
        <w:instrText>":"[269]"},"</w:instrText>
      </w:r>
      <w:r w:rsidR="002736BA">
        <w:rPr>
          <w:lang w:val="en-US"/>
        </w:rPr>
        <w:instrText>properties</w:instrText>
      </w:r>
      <w:r w:rsidR="002736BA" w:rsidRPr="0089207C">
        <w:instrText>":{"</w:instrText>
      </w:r>
      <w:r w:rsidR="002736BA">
        <w:rPr>
          <w:lang w:val="en-US"/>
        </w:rPr>
        <w:instrText>noteIndex</w:instrText>
      </w:r>
      <w:r w:rsidR="002736BA" w:rsidRPr="0089207C">
        <w:instrText>":0},"</w:instrText>
      </w:r>
      <w:r w:rsidR="002736BA">
        <w:rPr>
          <w:lang w:val="en-US"/>
        </w:rPr>
        <w:instrText>schema</w:instrText>
      </w:r>
      <w:r w:rsidR="002736BA" w:rsidRPr="0089207C">
        <w:instrText>":"</w:instrText>
      </w:r>
      <w:r w:rsidR="002736BA">
        <w:rPr>
          <w:lang w:val="en-US"/>
        </w:rPr>
        <w:instrText>https</w:instrText>
      </w:r>
      <w:r w:rsidR="002736BA" w:rsidRPr="0089207C">
        <w:instrText>://</w:instrText>
      </w:r>
      <w:r w:rsidR="002736BA">
        <w:rPr>
          <w:lang w:val="en-US"/>
        </w:rPr>
        <w:instrText>github</w:instrText>
      </w:r>
      <w:r w:rsidR="002736BA" w:rsidRPr="0089207C">
        <w:instrText>.</w:instrText>
      </w:r>
      <w:r w:rsidR="002736BA">
        <w:rPr>
          <w:lang w:val="en-US"/>
        </w:rPr>
        <w:instrText>com</w:instrText>
      </w:r>
      <w:r w:rsidR="002736BA" w:rsidRPr="0089207C">
        <w:instrText>/</w:instrText>
      </w:r>
      <w:r w:rsidR="002736BA">
        <w:rPr>
          <w:lang w:val="en-US"/>
        </w:rPr>
        <w:instrText>citation</w:instrText>
      </w:r>
      <w:r w:rsidR="002736BA" w:rsidRPr="0089207C">
        <w:instrText>-</w:instrText>
      </w:r>
      <w:r w:rsidR="002736BA">
        <w:rPr>
          <w:lang w:val="en-US"/>
        </w:rPr>
        <w:instrText>style</w:instrText>
      </w:r>
      <w:r w:rsidR="002736BA" w:rsidRPr="0089207C">
        <w:instrText>-</w:instrText>
      </w:r>
      <w:r w:rsidR="002736BA">
        <w:rPr>
          <w:lang w:val="en-US"/>
        </w:rPr>
        <w:instrText>language</w:instrText>
      </w:r>
      <w:r w:rsidR="002736BA" w:rsidRPr="0089207C">
        <w:instrText>/</w:instrText>
      </w:r>
      <w:r w:rsidR="002736BA">
        <w:rPr>
          <w:lang w:val="en-US"/>
        </w:rPr>
        <w:instrText>schema</w:instrText>
      </w:r>
      <w:r w:rsidR="002736BA" w:rsidRPr="0089207C">
        <w:instrText>/</w:instrText>
      </w:r>
      <w:r w:rsidR="002736BA">
        <w:rPr>
          <w:lang w:val="en-US"/>
        </w:rPr>
        <w:instrText>raw</w:instrText>
      </w:r>
      <w:r w:rsidR="002736BA" w:rsidRPr="0089207C">
        <w:instrText>/</w:instrText>
      </w:r>
      <w:r w:rsidR="002736BA">
        <w:rPr>
          <w:lang w:val="en-US"/>
        </w:rPr>
        <w:instrText>master</w:instrText>
      </w:r>
      <w:r w:rsidR="002736BA" w:rsidRPr="0089207C">
        <w:instrText>/</w:instrText>
      </w:r>
      <w:r w:rsidR="002736BA">
        <w:rPr>
          <w:lang w:val="en-US"/>
        </w:rPr>
        <w:instrText>csl</w:instrText>
      </w:r>
      <w:r w:rsidR="002736BA" w:rsidRPr="0089207C">
        <w:instrText>-</w:instrText>
      </w:r>
      <w:r w:rsidR="002736BA">
        <w:rPr>
          <w:lang w:val="en-US"/>
        </w:rPr>
        <w:instrText>citation</w:instrText>
      </w:r>
      <w:r w:rsidR="002736BA" w:rsidRPr="0089207C">
        <w:instrText>.</w:instrText>
      </w:r>
      <w:r w:rsidR="002736BA">
        <w:rPr>
          <w:lang w:val="en-US"/>
        </w:rPr>
        <w:instrText>json</w:instrText>
      </w:r>
      <w:r w:rsidR="002736BA" w:rsidRPr="0089207C">
        <w:instrText>"}</w:instrText>
      </w:r>
      <w:r w:rsidRPr="000322E4">
        <w:fldChar w:fldCharType="separate"/>
      </w:r>
      <w:r w:rsidR="006E1ADA" w:rsidRPr="006E1ADA">
        <w:rPr>
          <w:noProof/>
        </w:rPr>
        <w:t>[269]</w:t>
      </w:r>
      <w:r w:rsidRPr="000322E4">
        <w:fldChar w:fldCharType="end"/>
      </w:r>
    </w:p>
    <w:p w14:paraId="1A9E3C48" w14:textId="77777777" w:rsidR="00A54C2B" w:rsidRPr="000322E4" w:rsidRDefault="00A54C2B" w:rsidP="008E3584">
      <w:r w:rsidRPr="000322E4">
        <w:t>Тип: шкала оценки</w:t>
      </w:r>
    </w:p>
    <w:p w14:paraId="437B53E6" w14:textId="77777777" w:rsidR="00A54C2B" w:rsidRPr="000322E4" w:rsidRDefault="00A54C2B" w:rsidP="008E3584">
      <w:r w:rsidRPr="000322E4">
        <w:t xml:space="preserve">Назначение: </w:t>
      </w:r>
      <w:r w:rsidR="00A519D4" w:rsidRPr="000322E4">
        <w:t>оценка результатов</w:t>
      </w:r>
      <w:r w:rsidR="00CE3F35" w:rsidRPr="000322E4">
        <w:t xml:space="preserve"> ПЭТ или</w:t>
      </w:r>
      <w:r w:rsidR="00A519D4" w:rsidRPr="000322E4">
        <w:t xml:space="preserve"> ПЭТ/КТ исследования</w:t>
      </w:r>
      <w:r w:rsidRPr="000322E4">
        <w:t xml:space="preserve"> </w:t>
      </w:r>
    </w:p>
    <w:p w14:paraId="6D4E6BCE" w14:textId="7E838B3C" w:rsidR="00A54C2B" w:rsidRPr="000322E4" w:rsidRDefault="00A54C2B" w:rsidP="008E3584">
      <w:pPr>
        <w:rPr>
          <w:bCs/>
        </w:rPr>
      </w:pPr>
      <w:r w:rsidRPr="000322E4">
        <w:rPr>
          <w:bCs/>
        </w:rPr>
        <w:t>Содержание и интерпретация:</w:t>
      </w:r>
      <w:r w:rsidR="00A519D4" w:rsidRPr="000322E4">
        <w:rPr>
          <w:bCs/>
        </w:rPr>
        <w:t xml:space="preserve"> </w:t>
      </w:r>
      <w:r w:rsidR="00A519D4" w:rsidRPr="000322E4">
        <w:t xml:space="preserve">для </w:t>
      </w:r>
      <w:r w:rsidRPr="000322E4">
        <w:t>стандартизации, воспроизводимости и возможности сравнения результатов</w:t>
      </w:r>
      <w:r w:rsidR="00CE3F35" w:rsidRPr="000322E4">
        <w:t xml:space="preserve"> ПЭТ или</w:t>
      </w:r>
      <w:r w:rsidRPr="000322E4">
        <w:t xml:space="preserve"> ПЭТ/КТ, полученных в различных медицинских учреждениях, при оценке эффективности лечения у </w:t>
      </w:r>
      <w:r w:rsidR="00103620" w:rsidRPr="000322E4">
        <w:t>пациентов с</w:t>
      </w:r>
      <w:r w:rsidR="00CE3F35" w:rsidRPr="000322E4">
        <w:t xml:space="preserve"> </w:t>
      </w:r>
      <w:r w:rsidRPr="000322E4">
        <w:t>лимфомами используется визуальный анализ ПЭТ-данных по 5-балльной шкале</w:t>
      </w:r>
      <w:r w:rsidR="00A519D4" w:rsidRPr="000322E4">
        <w:t xml:space="preserve"> </w:t>
      </w:r>
      <w:r w:rsidR="00A519D4" w:rsidRPr="000322E4">
        <w:fldChar w:fldCharType="begin" w:fldLock="1"/>
      </w:r>
      <w:r w:rsidR="002736BA">
        <w:instrText>ADDIN CSL_CITATION {"citationItems":[{"id":"ITEM-1","itemData":{"DOI":"10.1080/10428190903040048","ISSN":"10428194","abstract":"An international workshop, under the auspices of Group d'Etude des Lymphomes de l'Adulte (GELA) took place in Deauville, France, in April 3-4, 2009. The European experts with a published or personal experience on interim-PET in lymphoma were invited to the meeting. The aim of the workshop was twofold: (1) to reach a consensus on simple, reproducible criteria for interim-PET interpretation in Hodgkin lymphoma and diffuse large B-cell lymphoma (DLBCL), and (2) to launch two or more international validation studies, in an attempt to validate these rules. We concisely report here the minutes of the meeting and the conclusions/statements that have been reached. © 2009 Informa UK Ltd All rights reserved.","author":[{"dropping-particle":"","family":"Meignan","given":"Michel","non-dropping-particle":"","parse-names":false,"suffix":""},{"dropping-particle":"","family":"Gallamini","given":"Andrea","non-dropping-particle":"","parse-names":false,"suffix":""},{"dropping-particle":"","family":"Haioun","given":"Corinne","non-dropping-particle":"","parse-names":false,"suffix":""}],"container-title":"Leukemia and Lymphoma","id":"ITEM-1","issue":"8","issued":{"date-parts":[["2009"]]},"page":"1257-1260","title":"Report on the First International Workshop on interim-PET scan in lymphoma","type":"paper-conference","volume":"50"},"uris":["http://www.mendeley.com/documents/?uuid=fc9f795a-d2b4-36db-aea1-317b258251ba"]}],"mendeley":{"formattedCitation":"[269]","plainTextFormattedCitation":"[269]","previouslyFormattedCitation":"[269]"},"properties":{"noteIndex":0},"schema":"https://github.com/citation-style-language/schema/raw/master/csl-citation.json"}</w:instrText>
      </w:r>
      <w:r w:rsidR="00A519D4" w:rsidRPr="000322E4">
        <w:fldChar w:fldCharType="separate"/>
      </w:r>
      <w:r w:rsidR="006E1ADA" w:rsidRPr="006E1ADA">
        <w:rPr>
          <w:noProof/>
        </w:rPr>
        <w:t>[269]</w:t>
      </w:r>
      <w:r w:rsidR="00A519D4" w:rsidRPr="000322E4">
        <w:fldChar w:fldCharType="end"/>
      </w:r>
      <w:r w:rsidRPr="000322E4">
        <w:t xml:space="preserve">. При этом интенсивность накопления 18F-ФДГ в патологическом очаге сравнивается с интенсивностью накопления препарата в неизмененных отделах средостения или в правой доле печени: </w:t>
      </w:r>
    </w:p>
    <w:p w14:paraId="748AA216" w14:textId="77777777" w:rsidR="00A54C2B" w:rsidRPr="000322E4" w:rsidRDefault="00A54C2B" w:rsidP="008E3584">
      <w:pPr>
        <w:ind w:left="567" w:right="-142"/>
      </w:pPr>
      <w:r w:rsidRPr="000322E4">
        <w:t xml:space="preserve">1 балл – характеризуется отсутствием накопления препарата в определяемом ранее патологическом очаге; </w:t>
      </w:r>
    </w:p>
    <w:p w14:paraId="057927B2" w14:textId="77777777" w:rsidR="00A54C2B" w:rsidRPr="000322E4" w:rsidRDefault="00A54C2B" w:rsidP="008E3584">
      <w:pPr>
        <w:ind w:left="567" w:right="-142"/>
      </w:pPr>
      <w:r w:rsidRPr="000322E4">
        <w:t xml:space="preserve">2 балла – накопление препарата в патологическом очаге не превышает по интенсивности накопление препарата в неизмененных отделах средостения; </w:t>
      </w:r>
    </w:p>
    <w:p w14:paraId="13F49B54" w14:textId="77777777" w:rsidR="00A54C2B" w:rsidRPr="000322E4" w:rsidRDefault="00A54C2B" w:rsidP="008E3584">
      <w:pPr>
        <w:ind w:left="567" w:right="-142"/>
      </w:pPr>
      <w:r w:rsidRPr="000322E4">
        <w:t xml:space="preserve">3 балла – накопление препарата в патологическом очаге выше, чем в средостении, но не превышает накопление препарата в правой доле печени; </w:t>
      </w:r>
    </w:p>
    <w:p w14:paraId="29F799D1" w14:textId="77777777" w:rsidR="00A54C2B" w:rsidRPr="000322E4" w:rsidRDefault="00A54C2B" w:rsidP="008E3584">
      <w:pPr>
        <w:ind w:left="567" w:right="-142"/>
      </w:pPr>
      <w:r w:rsidRPr="000322E4">
        <w:t xml:space="preserve">4 балла – накопление препарата в патологическом очаге несколько выше, чем в печени; </w:t>
      </w:r>
    </w:p>
    <w:p w14:paraId="1AD4B886" w14:textId="77777777" w:rsidR="00A54C2B" w:rsidRPr="000322E4" w:rsidRDefault="00A54C2B" w:rsidP="008E3584">
      <w:pPr>
        <w:ind w:left="567" w:right="-142"/>
      </w:pPr>
      <w:r w:rsidRPr="000322E4">
        <w:t xml:space="preserve">5 баллов – накопление препарата в патологическом очаге значительно выше, чем в печени, или определяется появление новых патологических очагов, связанных с заболеванием. </w:t>
      </w:r>
    </w:p>
    <w:p w14:paraId="6DB7BF19" w14:textId="77777777" w:rsidR="00A54C2B" w:rsidRPr="000322E4" w:rsidRDefault="00A54C2B" w:rsidP="008E3584">
      <w:pPr>
        <w:ind w:right="-142" w:firstLine="567"/>
      </w:pPr>
      <w:r w:rsidRPr="000322E4">
        <w:t>Также введено понятие Х-баллов, характеризующих наличие очагов накопления 18F-ФДГ неясного, скорее воспалительного генеза, связь которых с основным заболеванием маловероятна.</w:t>
      </w:r>
    </w:p>
    <w:p w14:paraId="3D2B1ACB" w14:textId="77777777" w:rsidR="00A54C2B" w:rsidRPr="000322E4" w:rsidRDefault="00A54C2B" w:rsidP="008E3584">
      <w:pPr>
        <w:ind w:right="-142" w:firstLine="567"/>
      </w:pPr>
      <w:r w:rsidRPr="000322E4">
        <w:t>Интерпретация результатов ПЭТ</w:t>
      </w:r>
      <w:r w:rsidR="00CE3F35" w:rsidRPr="000322E4">
        <w:t xml:space="preserve"> или ПЭТ/КТ</w:t>
      </w:r>
      <w:r w:rsidRPr="000322E4">
        <w:t xml:space="preserve"> по шкале Deauville проводится комплексно с учетом клинических и исходных ПЭТ-данных, этапа лечения, а также других показателей ответа на лечение. </w:t>
      </w:r>
    </w:p>
    <w:p w14:paraId="39AFA933" w14:textId="77777777" w:rsidR="00A54C2B" w:rsidRPr="000322E4" w:rsidRDefault="00A54C2B" w:rsidP="00CA442F">
      <w:pPr>
        <w:pStyle w:val="afffb"/>
        <w:ind w:firstLine="0"/>
      </w:pPr>
    </w:p>
    <w:p w14:paraId="22FADFFF" w14:textId="77777777" w:rsidR="00F82D52" w:rsidRPr="000322E4" w:rsidRDefault="00F82D52" w:rsidP="008E3584">
      <w:pPr>
        <w:pStyle w:val="2"/>
        <w:spacing w:before="0"/>
      </w:pPr>
      <w:bookmarkStart w:id="307" w:name="_Toc66096878"/>
      <w:r w:rsidRPr="000322E4">
        <w:t>Приложение Г3. Шкала Khorana для оценки риска ВТЭО у пациентов, получающих химиотерапию</w:t>
      </w:r>
      <w:bookmarkEnd w:id="307"/>
      <w:r w:rsidRPr="000322E4">
        <w:t xml:space="preserve">  </w:t>
      </w:r>
    </w:p>
    <w:p w14:paraId="0D7004A5" w14:textId="77777777" w:rsidR="00F82D52" w:rsidRPr="000322E4" w:rsidRDefault="00F82D52" w:rsidP="008E3584">
      <w:pPr>
        <w:rPr>
          <w:lang w:val="en-US"/>
        </w:rPr>
      </w:pPr>
      <w:r w:rsidRPr="000322E4">
        <w:t>Оригинальное</w:t>
      </w:r>
      <w:r w:rsidRPr="000322E4">
        <w:rPr>
          <w:lang w:val="en-US"/>
        </w:rPr>
        <w:t xml:space="preserve"> </w:t>
      </w:r>
      <w:r w:rsidRPr="000322E4">
        <w:t>название</w:t>
      </w:r>
      <w:r w:rsidRPr="000322E4">
        <w:rPr>
          <w:lang w:val="en-US"/>
        </w:rPr>
        <w:t xml:space="preserve">: </w:t>
      </w:r>
    </w:p>
    <w:p w14:paraId="1D6EDA9A" w14:textId="7F567A26" w:rsidR="00F82D52" w:rsidRPr="000322E4" w:rsidRDefault="00F82D52" w:rsidP="008E3584">
      <w:r w:rsidRPr="000322E4">
        <w:t>Источник</w:t>
      </w:r>
      <w:r w:rsidRPr="000322E4">
        <w:rPr>
          <w:lang w:val="en-US"/>
        </w:rPr>
        <w:t xml:space="preserve">: </w:t>
      </w:r>
      <w:r w:rsidRPr="000322E4">
        <w:rPr>
          <w:rFonts w:eastAsia="ArialNarrow"/>
          <w:lang w:val="en-US"/>
        </w:rPr>
        <w:t>Development and Validation of a predictive model for chemotherapyassociated thrombosis. Blood</w:t>
      </w:r>
      <w:r w:rsidRPr="000322E4">
        <w:rPr>
          <w:rFonts w:eastAsia="ArialNarrow"/>
        </w:rPr>
        <w:t>. 2008;111(10):4902-4907</w:t>
      </w:r>
      <w:r w:rsidRPr="000322E4">
        <w:t xml:space="preserve"> </w:t>
      </w:r>
      <w:r w:rsidRPr="000322E4">
        <w:fldChar w:fldCharType="begin" w:fldLock="1"/>
      </w:r>
      <w:r w:rsidR="002736BA">
        <w:rPr>
          <w:lang w:val="en-US"/>
        </w:rPr>
        <w:instrText>ADDIN</w:instrText>
      </w:r>
      <w:r w:rsidR="002736BA" w:rsidRPr="0089207C">
        <w:instrText xml:space="preserve"> </w:instrText>
      </w:r>
      <w:r w:rsidR="002736BA">
        <w:rPr>
          <w:lang w:val="en-US"/>
        </w:rPr>
        <w:instrText>CSL</w:instrText>
      </w:r>
      <w:r w:rsidR="002736BA" w:rsidRPr="0089207C">
        <w:instrText>_</w:instrText>
      </w:r>
      <w:r w:rsidR="002736BA">
        <w:rPr>
          <w:lang w:val="en-US"/>
        </w:rPr>
        <w:instrText>CITATION</w:instrText>
      </w:r>
      <w:r w:rsidR="002736BA" w:rsidRPr="0089207C">
        <w:instrText xml:space="preserve"> {"</w:instrText>
      </w:r>
      <w:r w:rsidR="002736BA">
        <w:rPr>
          <w:lang w:val="en-US"/>
        </w:rPr>
        <w:instrText>citationItems</w:instrText>
      </w:r>
      <w:r w:rsidR="002736BA" w:rsidRPr="0089207C">
        <w:instrText>":[{"</w:instrText>
      </w:r>
      <w:r w:rsidR="002736BA">
        <w:rPr>
          <w:lang w:val="en-US"/>
        </w:rPr>
        <w:instrText>id</w:instrText>
      </w:r>
      <w:r w:rsidR="002736BA" w:rsidRPr="0089207C">
        <w:instrText>":"</w:instrText>
      </w:r>
      <w:r w:rsidR="002736BA">
        <w:rPr>
          <w:lang w:val="en-US"/>
        </w:rPr>
        <w:instrText>ITEM</w:instrText>
      </w:r>
      <w:r w:rsidR="002736BA" w:rsidRPr="0089207C">
        <w:instrText>-1","</w:instrText>
      </w:r>
      <w:r w:rsidR="002736BA">
        <w:rPr>
          <w:lang w:val="en-US"/>
        </w:rPr>
        <w:instrText>itemData</w:instrText>
      </w:r>
      <w:r w:rsidR="002736BA" w:rsidRPr="0089207C">
        <w:instrText>":{"</w:instrText>
      </w:r>
      <w:r w:rsidR="002736BA">
        <w:rPr>
          <w:lang w:val="en-US"/>
        </w:rPr>
        <w:instrText>DOI</w:instrText>
      </w:r>
      <w:r w:rsidR="002736BA" w:rsidRPr="0089207C">
        <w:instrText>":"10.1182/</w:instrText>
      </w:r>
      <w:r w:rsidR="002736BA">
        <w:rPr>
          <w:lang w:val="en-US"/>
        </w:rPr>
        <w:instrText>blood</w:instrText>
      </w:r>
      <w:r w:rsidR="002736BA" w:rsidRPr="0089207C">
        <w:instrText>-2007-10-116327","</w:instrText>
      </w:r>
      <w:r w:rsidR="002736BA">
        <w:rPr>
          <w:lang w:val="en-US"/>
        </w:rPr>
        <w:instrText>ISSN</w:instrText>
      </w:r>
      <w:r w:rsidR="002736BA" w:rsidRPr="0089207C">
        <w:instrText>":"00064971","</w:instrText>
      </w:r>
      <w:r w:rsidR="002736BA">
        <w:rPr>
          <w:lang w:val="en-US"/>
        </w:rPr>
        <w:instrText>abstract</w:instrText>
      </w:r>
      <w:r w:rsidR="002736BA" w:rsidRPr="0089207C">
        <w:instrText>":"</w:instrText>
      </w:r>
      <w:r w:rsidR="002736BA">
        <w:rPr>
          <w:lang w:val="en-US"/>
        </w:rPr>
        <w:instrText>Risk</w:instrText>
      </w:r>
      <w:r w:rsidR="002736BA" w:rsidRPr="0089207C">
        <w:instrText xml:space="preserve"> </w:instrText>
      </w:r>
      <w:r w:rsidR="002736BA">
        <w:rPr>
          <w:lang w:val="en-US"/>
        </w:rPr>
        <w:instrText>of</w:instrText>
      </w:r>
      <w:r w:rsidR="002736BA" w:rsidRPr="0089207C">
        <w:instrText xml:space="preserve"> </w:instrText>
      </w:r>
      <w:r w:rsidR="002736BA">
        <w:rPr>
          <w:lang w:val="en-US"/>
        </w:rPr>
        <w:instrText>venous</w:instrText>
      </w:r>
      <w:r w:rsidR="002736BA" w:rsidRPr="0089207C">
        <w:instrText xml:space="preserve"> </w:instrText>
      </w:r>
      <w:r w:rsidR="002736BA">
        <w:rPr>
          <w:lang w:val="en-US"/>
        </w:rPr>
        <w:instrText>thromboembolism</w:instrText>
      </w:r>
      <w:r w:rsidR="002736BA" w:rsidRPr="0089207C">
        <w:instrText xml:space="preserve"> (</w:instrText>
      </w:r>
      <w:r w:rsidR="002736BA">
        <w:rPr>
          <w:lang w:val="en-US"/>
        </w:rPr>
        <w:instrText>VTE</w:instrText>
      </w:r>
      <w:r w:rsidR="002736BA" w:rsidRPr="0089207C">
        <w:instrText xml:space="preserve">) </w:instrText>
      </w:r>
      <w:r w:rsidR="002736BA">
        <w:rPr>
          <w:lang w:val="en-US"/>
        </w:rPr>
        <w:instrText>is</w:instrText>
      </w:r>
      <w:r w:rsidR="002736BA" w:rsidRPr="0089207C">
        <w:instrText xml:space="preserve"> </w:instrText>
      </w:r>
      <w:r w:rsidR="002736BA">
        <w:rPr>
          <w:lang w:val="en-US"/>
        </w:rPr>
        <w:instrText>elevated</w:instrText>
      </w:r>
      <w:r w:rsidR="002736BA" w:rsidRPr="0089207C">
        <w:instrText xml:space="preserve"> </w:instrText>
      </w:r>
      <w:r w:rsidR="002736BA">
        <w:rPr>
          <w:lang w:val="en-US"/>
        </w:rPr>
        <w:instrText>in</w:instrText>
      </w:r>
      <w:r w:rsidR="002736BA" w:rsidRPr="0089207C">
        <w:instrText xml:space="preserve"> </w:instrText>
      </w:r>
      <w:r w:rsidR="002736BA">
        <w:rPr>
          <w:lang w:val="en-US"/>
        </w:rPr>
        <w:instrText>cancer</w:instrText>
      </w:r>
      <w:r w:rsidR="002736BA" w:rsidRPr="0089207C">
        <w:instrText xml:space="preserve">, </w:instrText>
      </w:r>
      <w:r w:rsidR="002736BA">
        <w:rPr>
          <w:lang w:val="en-US"/>
        </w:rPr>
        <w:instrText>but</w:instrText>
      </w:r>
      <w:r w:rsidR="002736BA" w:rsidRPr="0089207C">
        <w:instrText xml:space="preserve"> </w:instrText>
      </w:r>
      <w:r w:rsidR="002736BA">
        <w:rPr>
          <w:lang w:val="en-US"/>
        </w:rPr>
        <w:instrText>individual</w:instrText>
      </w:r>
      <w:r w:rsidR="002736BA" w:rsidRPr="0089207C">
        <w:instrText xml:space="preserve"> </w:instrText>
      </w:r>
      <w:r w:rsidR="002736BA">
        <w:rPr>
          <w:lang w:val="en-US"/>
        </w:rPr>
        <w:instrText>risk</w:instrText>
      </w:r>
      <w:r w:rsidR="002736BA" w:rsidRPr="0089207C">
        <w:instrText xml:space="preserve"> </w:instrText>
      </w:r>
      <w:r w:rsidR="002736BA">
        <w:rPr>
          <w:lang w:val="en-US"/>
        </w:rPr>
        <w:instrText>factors</w:instrText>
      </w:r>
      <w:r w:rsidR="002736BA" w:rsidRPr="0089207C">
        <w:instrText xml:space="preserve"> </w:instrText>
      </w:r>
      <w:r w:rsidR="002736BA">
        <w:rPr>
          <w:lang w:val="en-US"/>
        </w:rPr>
        <w:instrText>cannot</w:instrText>
      </w:r>
      <w:r w:rsidR="002736BA" w:rsidRPr="0089207C">
        <w:instrText xml:space="preserve"> </w:instrText>
      </w:r>
      <w:r w:rsidR="002736BA">
        <w:rPr>
          <w:lang w:val="en-US"/>
        </w:rPr>
        <w:instrText>identify</w:instrText>
      </w:r>
      <w:r w:rsidR="002736BA" w:rsidRPr="0089207C">
        <w:instrText xml:space="preserve"> </w:instrText>
      </w:r>
      <w:r w:rsidR="002736BA">
        <w:rPr>
          <w:lang w:val="en-US"/>
        </w:rPr>
        <w:instrText>a</w:instrText>
      </w:r>
      <w:r w:rsidR="002736BA" w:rsidRPr="0089207C">
        <w:instrText xml:space="preserve"> </w:instrText>
      </w:r>
      <w:r w:rsidR="002736BA">
        <w:rPr>
          <w:lang w:val="en-US"/>
        </w:rPr>
        <w:instrText>sufficiently</w:instrText>
      </w:r>
      <w:r w:rsidR="002736BA" w:rsidRPr="0089207C">
        <w:instrText xml:space="preserve"> </w:instrText>
      </w:r>
      <w:r w:rsidR="002736BA">
        <w:rPr>
          <w:lang w:val="en-US"/>
        </w:rPr>
        <w:instrText>high</w:instrText>
      </w:r>
      <w:r w:rsidR="002736BA" w:rsidRPr="0089207C">
        <w:instrText xml:space="preserve">- </w:instrText>
      </w:r>
      <w:r w:rsidR="002736BA">
        <w:rPr>
          <w:lang w:val="en-US"/>
        </w:rPr>
        <w:instrText>risk</w:instrText>
      </w:r>
      <w:r w:rsidR="002736BA" w:rsidRPr="0089207C">
        <w:instrText xml:space="preserve"> </w:instrText>
      </w:r>
      <w:r w:rsidR="002736BA">
        <w:rPr>
          <w:lang w:val="en-US"/>
        </w:rPr>
        <w:instrText>group</w:instrText>
      </w:r>
      <w:r w:rsidR="002736BA" w:rsidRPr="0089207C">
        <w:instrText xml:space="preserve"> </w:instrText>
      </w:r>
      <w:r w:rsidR="002736BA">
        <w:rPr>
          <w:lang w:val="en-US"/>
        </w:rPr>
        <w:instrText>of</w:instrText>
      </w:r>
      <w:r w:rsidR="002736BA" w:rsidRPr="0089207C">
        <w:instrText xml:space="preserve"> </w:instrText>
      </w:r>
      <w:r w:rsidR="002736BA">
        <w:rPr>
          <w:lang w:val="en-US"/>
        </w:rPr>
        <w:instrText>outpatients</w:instrText>
      </w:r>
      <w:r w:rsidR="002736BA" w:rsidRPr="0089207C">
        <w:instrText xml:space="preserve"> </w:instrText>
      </w:r>
      <w:r w:rsidR="002736BA">
        <w:rPr>
          <w:lang w:val="en-US"/>
        </w:rPr>
        <w:instrText>for</w:instrText>
      </w:r>
      <w:r w:rsidR="002736BA" w:rsidRPr="0089207C">
        <w:instrText xml:space="preserve"> </w:instrText>
      </w:r>
      <w:r w:rsidR="002736BA">
        <w:rPr>
          <w:lang w:val="en-US"/>
        </w:rPr>
        <w:instrText>thromboprophylaxis</w:instrText>
      </w:r>
      <w:r w:rsidR="002736BA" w:rsidRPr="0089207C">
        <w:instrText xml:space="preserve">. </w:instrText>
      </w:r>
      <w:r w:rsidR="002736BA">
        <w:rPr>
          <w:lang w:val="en-US"/>
        </w:rPr>
        <w:instrText>We</w:instrText>
      </w:r>
      <w:r w:rsidR="002736BA" w:rsidRPr="0089207C">
        <w:instrText xml:space="preserve"> </w:instrText>
      </w:r>
      <w:r w:rsidR="002736BA">
        <w:rPr>
          <w:lang w:val="en-US"/>
        </w:rPr>
        <w:instrText>developed</w:instrText>
      </w:r>
      <w:r w:rsidR="002736BA" w:rsidRPr="0089207C">
        <w:instrText xml:space="preserve"> </w:instrText>
      </w:r>
      <w:r w:rsidR="002736BA">
        <w:rPr>
          <w:lang w:val="en-US"/>
        </w:rPr>
        <w:instrText>a</w:instrText>
      </w:r>
      <w:r w:rsidR="002736BA" w:rsidRPr="0089207C">
        <w:instrText xml:space="preserve"> </w:instrText>
      </w:r>
      <w:r w:rsidR="002736BA">
        <w:rPr>
          <w:lang w:val="en-US"/>
        </w:rPr>
        <w:instrText>simple</w:instrText>
      </w:r>
      <w:r w:rsidR="002736BA" w:rsidRPr="0089207C">
        <w:instrText xml:space="preserve"> </w:instrText>
      </w:r>
      <w:r w:rsidR="002736BA">
        <w:rPr>
          <w:lang w:val="en-US"/>
        </w:rPr>
        <w:instrText>model</w:instrText>
      </w:r>
      <w:r w:rsidR="002736BA" w:rsidRPr="0089207C">
        <w:instrText xml:space="preserve"> </w:instrText>
      </w:r>
      <w:r w:rsidR="002736BA">
        <w:rPr>
          <w:lang w:val="en-US"/>
        </w:rPr>
        <w:instrText>for</w:instrText>
      </w:r>
      <w:r w:rsidR="002736BA" w:rsidRPr="0089207C">
        <w:instrText xml:space="preserve"> </w:instrText>
      </w:r>
      <w:r w:rsidR="002736BA">
        <w:rPr>
          <w:lang w:val="en-US"/>
        </w:rPr>
        <w:instrText>predicting</w:instrText>
      </w:r>
      <w:r w:rsidR="002736BA" w:rsidRPr="0089207C">
        <w:instrText xml:space="preserve"> </w:instrText>
      </w:r>
      <w:r w:rsidR="002736BA">
        <w:rPr>
          <w:lang w:val="en-US"/>
        </w:rPr>
        <w:instrText>chemotherapy</w:instrText>
      </w:r>
      <w:r w:rsidR="002736BA" w:rsidRPr="0089207C">
        <w:instrText>-</w:instrText>
      </w:r>
      <w:r w:rsidR="002736BA">
        <w:rPr>
          <w:lang w:val="en-US"/>
        </w:rPr>
        <w:instrText>associated</w:instrText>
      </w:r>
      <w:r w:rsidR="002736BA" w:rsidRPr="0089207C">
        <w:instrText xml:space="preserve"> </w:instrText>
      </w:r>
      <w:r w:rsidR="002736BA">
        <w:rPr>
          <w:lang w:val="en-US"/>
        </w:rPr>
        <w:instrText>VTE</w:instrText>
      </w:r>
      <w:r w:rsidR="002736BA" w:rsidRPr="0089207C">
        <w:instrText xml:space="preserve"> </w:instrText>
      </w:r>
      <w:r w:rsidR="002736BA">
        <w:rPr>
          <w:lang w:val="en-US"/>
        </w:rPr>
        <w:instrText>using</w:instrText>
      </w:r>
      <w:r w:rsidR="002736BA" w:rsidRPr="0089207C">
        <w:instrText xml:space="preserve"> </w:instrText>
      </w:r>
      <w:r w:rsidR="002736BA">
        <w:rPr>
          <w:lang w:val="en-US"/>
        </w:rPr>
        <w:instrText>baseline</w:instrText>
      </w:r>
      <w:r w:rsidR="002736BA" w:rsidRPr="0089207C">
        <w:instrText xml:space="preserve"> </w:instrText>
      </w:r>
      <w:r w:rsidR="002736BA">
        <w:rPr>
          <w:lang w:val="en-US"/>
        </w:rPr>
        <w:instrText>clinical</w:instrText>
      </w:r>
      <w:r w:rsidR="002736BA" w:rsidRPr="0089207C">
        <w:instrText xml:space="preserve"> </w:instrText>
      </w:r>
      <w:r w:rsidR="002736BA">
        <w:rPr>
          <w:lang w:val="en-US"/>
        </w:rPr>
        <w:instrText>and</w:instrText>
      </w:r>
      <w:r w:rsidR="002736BA" w:rsidRPr="0089207C">
        <w:instrText xml:space="preserve"> </w:instrText>
      </w:r>
      <w:r w:rsidR="002736BA">
        <w:rPr>
          <w:lang w:val="en-US"/>
        </w:rPr>
        <w:instrText>laboratory</w:instrText>
      </w:r>
      <w:r w:rsidR="002736BA" w:rsidRPr="0089207C">
        <w:instrText xml:space="preserve"> </w:instrText>
      </w:r>
      <w:r w:rsidR="002736BA">
        <w:rPr>
          <w:lang w:val="en-US"/>
        </w:rPr>
        <w:instrText>variables</w:instrText>
      </w:r>
      <w:r w:rsidR="002736BA" w:rsidRPr="0089207C">
        <w:instrText xml:space="preserve">. </w:instrText>
      </w:r>
      <w:r w:rsidR="002736BA">
        <w:rPr>
          <w:lang w:val="en-US"/>
        </w:rPr>
        <w:instrText>The</w:instrText>
      </w:r>
      <w:r w:rsidR="002736BA" w:rsidRPr="0089207C">
        <w:instrText xml:space="preserve"> </w:instrText>
      </w:r>
      <w:r w:rsidR="002736BA">
        <w:rPr>
          <w:lang w:val="en-US"/>
        </w:rPr>
        <w:instrText>association</w:instrText>
      </w:r>
      <w:r w:rsidR="002736BA" w:rsidRPr="0089207C">
        <w:instrText xml:space="preserve"> </w:instrText>
      </w:r>
      <w:r w:rsidR="002736BA">
        <w:rPr>
          <w:lang w:val="en-US"/>
        </w:rPr>
        <w:instrText>of</w:instrText>
      </w:r>
      <w:r w:rsidR="002736BA" w:rsidRPr="0089207C">
        <w:instrText xml:space="preserve"> </w:instrText>
      </w:r>
      <w:r w:rsidR="002736BA">
        <w:rPr>
          <w:lang w:val="en-US"/>
        </w:rPr>
        <w:instrText>VTE</w:instrText>
      </w:r>
      <w:r w:rsidR="002736BA" w:rsidRPr="0089207C">
        <w:instrText xml:space="preserve"> </w:instrText>
      </w:r>
      <w:r w:rsidR="002736BA">
        <w:rPr>
          <w:lang w:val="en-US"/>
        </w:rPr>
        <w:instrText>with</w:instrText>
      </w:r>
      <w:r w:rsidR="002736BA" w:rsidRPr="0089207C">
        <w:instrText xml:space="preserve"> </w:instrText>
      </w:r>
      <w:r w:rsidR="002736BA">
        <w:rPr>
          <w:lang w:val="en-US"/>
        </w:rPr>
        <w:instrText>multiple</w:instrText>
      </w:r>
      <w:r w:rsidR="002736BA" w:rsidRPr="0089207C">
        <w:instrText xml:space="preserve"> </w:instrText>
      </w:r>
      <w:r w:rsidR="002736BA">
        <w:rPr>
          <w:lang w:val="en-US"/>
        </w:rPr>
        <w:instrText>variables</w:instrText>
      </w:r>
      <w:r w:rsidR="002736BA" w:rsidRPr="0089207C">
        <w:instrText xml:space="preserve"> </w:instrText>
      </w:r>
      <w:r w:rsidR="002736BA">
        <w:rPr>
          <w:lang w:val="en-US"/>
        </w:rPr>
        <w:instrText>was</w:instrText>
      </w:r>
      <w:r w:rsidR="002736BA" w:rsidRPr="0089207C">
        <w:instrText xml:space="preserve"> </w:instrText>
      </w:r>
      <w:r w:rsidR="002736BA">
        <w:rPr>
          <w:lang w:val="en-US"/>
        </w:rPr>
        <w:instrText>characterized</w:instrText>
      </w:r>
      <w:r w:rsidR="002736BA" w:rsidRPr="0089207C">
        <w:instrText xml:space="preserve"> </w:instrText>
      </w:r>
      <w:r w:rsidR="002736BA">
        <w:rPr>
          <w:lang w:val="en-US"/>
        </w:rPr>
        <w:instrText>in</w:instrText>
      </w:r>
      <w:r w:rsidR="002736BA" w:rsidRPr="0089207C">
        <w:instrText xml:space="preserve"> </w:instrText>
      </w:r>
      <w:r w:rsidR="002736BA">
        <w:rPr>
          <w:lang w:val="en-US"/>
        </w:rPr>
        <w:instrText>a</w:instrText>
      </w:r>
      <w:r w:rsidR="002736BA" w:rsidRPr="0089207C">
        <w:instrText xml:space="preserve"> </w:instrText>
      </w:r>
      <w:r w:rsidR="002736BA">
        <w:rPr>
          <w:lang w:val="en-US"/>
        </w:rPr>
        <w:instrText>derivation</w:instrText>
      </w:r>
      <w:r w:rsidR="002736BA" w:rsidRPr="0089207C">
        <w:instrText xml:space="preserve"> </w:instrText>
      </w:r>
      <w:r w:rsidR="002736BA">
        <w:rPr>
          <w:lang w:val="en-US"/>
        </w:rPr>
        <w:instrText>cohort</w:instrText>
      </w:r>
      <w:r w:rsidR="002736BA" w:rsidRPr="0089207C">
        <w:instrText xml:space="preserve"> </w:instrText>
      </w:r>
      <w:r w:rsidR="002736BA">
        <w:rPr>
          <w:lang w:val="en-US"/>
        </w:rPr>
        <w:instrText>of</w:instrText>
      </w:r>
      <w:r w:rsidR="002736BA" w:rsidRPr="0089207C">
        <w:instrText xml:space="preserve"> 2701 </w:instrText>
      </w:r>
      <w:r w:rsidR="002736BA">
        <w:rPr>
          <w:lang w:val="en-US"/>
        </w:rPr>
        <w:instrText>cancer</w:instrText>
      </w:r>
      <w:r w:rsidR="002736BA" w:rsidRPr="0089207C">
        <w:instrText xml:space="preserve"> </w:instrText>
      </w:r>
      <w:r w:rsidR="002736BA">
        <w:rPr>
          <w:lang w:val="en-US"/>
        </w:rPr>
        <w:instrText>outpatients</w:instrText>
      </w:r>
      <w:r w:rsidR="002736BA" w:rsidRPr="0089207C">
        <w:instrText xml:space="preserve"> </w:instrText>
      </w:r>
      <w:r w:rsidR="002736BA">
        <w:rPr>
          <w:lang w:val="en-US"/>
        </w:rPr>
        <w:instrText>from</w:instrText>
      </w:r>
      <w:r w:rsidR="002736BA" w:rsidRPr="0089207C">
        <w:instrText xml:space="preserve"> </w:instrText>
      </w:r>
      <w:r w:rsidR="002736BA">
        <w:rPr>
          <w:lang w:val="en-US"/>
        </w:rPr>
        <w:instrText>a</w:instrText>
      </w:r>
      <w:r w:rsidR="002736BA" w:rsidRPr="0089207C">
        <w:instrText xml:space="preserve"> </w:instrText>
      </w:r>
      <w:r w:rsidR="002736BA">
        <w:rPr>
          <w:lang w:val="en-US"/>
        </w:rPr>
        <w:instrText>prospective</w:instrText>
      </w:r>
      <w:r w:rsidR="002736BA" w:rsidRPr="0089207C">
        <w:instrText xml:space="preserve"> </w:instrText>
      </w:r>
      <w:r w:rsidR="002736BA">
        <w:rPr>
          <w:lang w:val="en-US"/>
        </w:rPr>
        <w:instrText>observational</w:instrText>
      </w:r>
      <w:r w:rsidR="002736BA" w:rsidRPr="0089207C">
        <w:instrText xml:space="preserve"> </w:instrText>
      </w:r>
      <w:r w:rsidR="002736BA">
        <w:rPr>
          <w:lang w:val="en-US"/>
        </w:rPr>
        <w:instrText>study</w:instrText>
      </w:r>
      <w:r w:rsidR="002736BA" w:rsidRPr="0089207C">
        <w:instrText xml:space="preserve">. </w:instrText>
      </w:r>
      <w:r w:rsidR="002736BA">
        <w:rPr>
          <w:lang w:val="en-US"/>
        </w:rPr>
        <w:instrText>A</w:instrText>
      </w:r>
      <w:r w:rsidR="002736BA" w:rsidRPr="0089207C">
        <w:instrText xml:space="preserve"> </w:instrText>
      </w:r>
      <w:r w:rsidR="002736BA">
        <w:rPr>
          <w:lang w:val="en-US"/>
        </w:rPr>
        <w:instrText>risk</w:instrText>
      </w:r>
      <w:r w:rsidR="002736BA" w:rsidRPr="0089207C">
        <w:instrText xml:space="preserve"> </w:instrText>
      </w:r>
      <w:r w:rsidR="002736BA">
        <w:rPr>
          <w:lang w:val="en-US"/>
        </w:rPr>
        <w:instrText>model</w:instrText>
      </w:r>
      <w:r w:rsidR="002736BA" w:rsidRPr="0089207C">
        <w:instrText xml:space="preserve"> </w:instrText>
      </w:r>
      <w:r w:rsidR="002736BA">
        <w:rPr>
          <w:lang w:val="en-US"/>
        </w:rPr>
        <w:instrText>was</w:instrText>
      </w:r>
      <w:r w:rsidR="002736BA" w:rsidRPr="0089207C">
        <w:instrText xml:space="preserve"> </w:instrText>
      </w:r>
      <w:r w:rsidR="002736BA">
        <w:rPr>
          <w:lang w:val="en-US"/>
        </w:rPr>
        <w:instrText>derived</w:instrText>
      </w:r>
      <w:r w:rsidR="002736BA" w:rsidRPr="0089207C">
        <w:instrText xml:space="preserve"> </w:instrText>
      </w:r>
      <w:r w:rsidR="002736BA">
        <w:rPr>
          <w:lang w:val="en-US"/>
        </w:rPr>
        <w:instrText>and</w:instrText>
      </w:r>
      <w:r w:rsidR="002736BA" w:rsidRPr="0089207C">
        <w:instrText xml:space="preserve"> </w:instrText>
      </w:r>
      <w:r w:rsidR="002736BA">
        <w:rPr>
          <w:lang w:val="en-US"/>
        </w:rPr>
        <w:instrText>validated</w:instrText>
      </w:r>
      <w:r w:rsidR="002736BA" w:rsidRPr="0089207C">
        <w:instrText xml:space="preserve"> </w:instrText>
      </w:r>
      <w:r w:rsidR="002736BA">
        <w:rPr>
          <w:lang w:val="en-US"/>
        </w:rPr>
        <w:instrText>in</w:instrText>
      </w:r>
      <w:r w:rsidR="002736BA" w:rsidRPr="0089207C">
        <w:instrText xml:space="preserve"> </w:instrText>
      </w:r>
      <w:r w:rsidR="002736BA">
        <w:rPr>
          <w:lang w:val="en-US"/>
        </w:rPr>
        <w:instrText>an</w:instrText>
      </w:r>
      <w:r w:rsidR="002736BA" w:rsidRPr="0089207C">
        <w:instrText xml:space="preserve"> </w:instrText>
      </w:r>
      <w:r w:rsidR="002736BA">
        <w:rPr>
          <w:lang w:val="en-US"/>
        </w:rPr>
        <w:instrText>independent</w:instrText>
      </w:r>
      <w:r w:rsidR="002736BA" w:rsidRPr="0089207C">
        <w:instrText xml:space="preserve"> </w:instrText>
      </w:r>
      <w:r w:rsidR="002736BA">
        <w:rPr>
          <w:lang w:val="en-US"/>
        </w:rPr>
        <w:instrText>cohort</w:instrText>
      </w:r>
      <w:r w:rsidR="002736BA" w:rsidRPr="0089207C">
        <w:instrText xml:space="preserve"> </w:instrText>
      </w:r>
      <w:r w:rsidR="002736BA">
        <w:rPr>
          <w:lang w:val="en-US"/>
        </w:rPr>
        <w:instrText>of</w:instrText>
      </w:r>
      <w:r w:rsidR="002736BA" w:rsidRPr="0089207C">
        <w:instrText xml:space="preserve"> 1365 </w:instrText>
      </w:r>
      <w:r w:rsidR="002736BA">
        <w:rPr>
          <w:lang w:val="en-US"/>
        </w:rPr>
        <w:instrText>patients</w:instrText>
      </w:r>
      <w:r w:rsidR="002736BA" w:rsidRPr="0089207C">
        <w:instrText xml:space="preserve"> </w:instrText>
      </w:r>
      <w:r w:rsidR="002736BA">
        <w:rPr>
          <w:lang w:val="en-US"/>
        </w:rPr>
        <w:instrText>from</w:instrText>
      </w:r>
      <w:r w:rsidR="002736BA" w:rsidRPr="0089207C">
        <w:instrText xml:space="preserve"> </w:instrText>
      </w:r>
      <w:r w:rsidR="002736BA">
        <w:rPr>
          <w:lang w:val="en-US"/>
        </w:rPr>
        <w:instrText>the</w:instrText>
      </w:r>
      <w:r w:rsidR="002736BA" w:rsidRPr="0089207C">
        <w:instrText xml:space="preserve"> </w:instrText>
      </w:r>
      <w:r w:rsidR="002736BA">
        <w:rPr>
          <w:lang w:val="en-US"/>
        </w:rPr>
        <w:instrText>same</w:instrText>
      </w:r>
      <w:r w:rsidR="002736BA" w:rsidRPr="0089207C">
        <w:instrText xml:space="preserve"> </w:instrText>
      </w:r>
      <w:r w:rsidR="002736BA">
        <w:rPr>
          <w:lang w:val="en-US"/>
        </w:rPr>
        <w:instrText>study</w:instrText>
      </w:r>
      <w:r w:rsidR="002736BA" w:rsidRPr="0089207C">
        <w:instrText xml:space="preserve">. </w:instrText>
      </w:r>
      <w:r w:rsidR="002736BA">
        <w:rPr>
          <w:lang w:val="en-US"/>
        </w:rPr>
        <w:instrText>Five</w:instrText>
      </w:r>
      <w:r w:rsidR="002736BA" w:rsidRPr="0089207C">
        <w:instrText xml:space="preserve"> </w:instrText>
      </w:r>
      <w:r w:rsidR="002736BA">
        <w:rPr>
          <w:lang w:val="en-US"/>
        </w:rPr>
        <w:instrText>predictive</w:instrText>
      </w:r>
      <w:r w:rsidR="002736BA" w:rsidRPr="0089207C">
        <w:instrText xml:space="preserve"> </w:instrText>
      </w:r>
      <w:r w:rsidR="002736BA">
        <w:rPr>
          <w:lang w:val="en-US"/>
        </w:rPr>
        <w:instrText>variables</w:instrText>
      </w:r>
      <w:r w:rsidR="002736BA" w:rsidRPr="0089207C">
        <w:instrText xml:space="preserve"> </w:instrText>
      </w:r>
      <w:r w:rsidR="002736BA">
        <w:rPr>
          <w:lang w:val="en-US"/>
        </w:rPr>
        <w:instrText>were</w:instrText>
      </w:r>
      <w:r w:rsidR="002736BA" w:rsidRPr="0089207C">
        <w:instrText xml:space="preserve"> </w:instrText>
      </w:r>
      <w:r w:rsidR="002736BA">
        <w:rPr>
          <w:lang w:val="en-US"/>
        </w:rPr>
        <w:instrText>identified</w:instrText>
      </w:r>
      <w:r w:rsidR="002736BA" w:rsidRPr="0089207C">
        <w:instrText xml:space="preserve"> </w:instrText>
      </w:r>
      <w:r w:rsidR="002736BA">
        <w:rPr>
          <w:lang w:val="en-US"/>
        </w:rPr>
        <w:instrText>in</w:instrText>
      </w:r>
      <w:r w:rsidR="002736BA" w:rsidRPr="0089207C">
        <w:instrText xml:space="preserve"> </w:instrText>
      </w:r>
      <w:r w:rsidR="002736BA">
        <w:rPr>
          <w:lang w:val="en-US"/>
        </w:rPr>
        <w:instrText>a</w:instrText>
      </w:r>
      <w:r w:rsidR="002736BA" w:rsidRPr="0089207C">
        <w:instrText xml:space="preserve"> </w:instrText>
      </w:r>
      <w:r w:rsidR="002736BA">
        <w:rPr>
          <w:lang w:val="en-US"/>
        </w:rPr>
        <w:instrText>multivariate</w:instrText>
      </w:r>
      <w:r w:rsidR="002736BA" w:rsidRPr="0089207C">
        <w:instrText xml:space="preserve"> </w:instrText>
      </w:r>
      <w:r w:rsidR="002736BA">
        <w:rPr>
          <w:lang w:val="en-US"/>
        </w:rPr>
        <w:instrText>model</w:instrText>
      </w:r>
      <w:r w:rsidR="002736BA" w:rsidRPr="0089207C">
        <w:instrText xml:space="preserve">: </w:instrText>
      </w:r>
      <w:r w:rsidR="002736BA">
        <w:rPr>
          <w:lang w:val="en-US"/>
        </w:rPr>
        <w:instrText>site</w:instrText>
      </w:r>
      <w:r w:rsidR="002736BA" w:rsidRPr="0089207C">
        <w:instrText xml:space="preserve"> </w:instrText>
      </w:r>
      <w:r w:rsidR="002736BA">
        <w:rPr>
          <w:lang w:val="en-US"/>
        </w:rPr>
        <w:instrText>of</w:instrText>
      </w:r>
      <w:r w:rsidR="002736BA" w:rsidRPr="0089207C">
        <w:instrText xml:space="preserve"> </w:instrText>
      </w:r>
      <w:r w:rsidR="002736BA">
        <w:rPr>
          <w:lang w:val="en-US"/>
        </w:rPr>
        <w:instrText>cancer</w:instrText>
      </w:r>
      <w:r w:rsidR="002736BA" w:rsidRPr="0089207C">
        <w:instrText xml:space="preserve"> (2 </w:instrText>
      </w:r>
      <w:r w:rsidR="002736BA">
        <w:rPr>
          <w:lang w:val="en-US"/>
        </w:rPr>
        <w:instrText>points</w:instrText>
      </w:r>
      <w:r w:rsidR="002736BA" w:rsidRPr="0089207C">
        <w:instrText xml:space="preserve"> </w:instrText>
      </w:r>
      <w:r w:rsidR="002736BA">
        <w:rPr>
          <w:lang w:val="en-US"/>
        </w:rPr>
        <w:instrText>for</w:instrText>
      </w:r>
      <w:r w:rsidR="002736BA" w:rsidRPr="0089207C">
        <w:instrText xml:space="preserve"> </w:instrText>
      </w:r>
      <w:r w:rsidR="002736BA">
        <w:rPr>
          <w:lang w:val="en-US"/>
        </w:rPr>
        <w:instrText>very</w:instrText>
      </w:r>
      <w:r w:rsidR="002736BA" w:rsidRPr="0089207C">
        <w:instrText xml:space="preserve"> </w:instrText>
      </w:r>
      <w:r w:rsidR="002736BA">
        <w:rPr>
          <w:lang w:val="en-US"/>
        </w:rPr>
        <w:instrText>high</w:instrText>
      </w:r>
      <w:r w:rsidR="002736BA" w:rsidRPr="0089207C">
        <w:instrText>-</w:instrText>
      </w:r>
      <w:r w:rsidR="002736BA">
        <w:rPr>
          <w:lang w:val="en-US"/>
        </w:rPr>
        <w:instrText>risk</w:instrText>
      </w:r>
      <w:r w:rsidR="002736BA" w:rsidRPr="0089207C">
        <w:instrText xml:space="preserve"> </w:instrText>
      </w:r>
      <w:r w:rsidR="002736BA">
        <w:rPr>
          <w:lang w:val="en-US"/>
        </w:rPr>
        <w:instrText>site</w:instrText>
      </w:r>
      <w:r w:rsidR="002736BA" w:rsidRPr="0089207C">
        <w:instrText xml:space="preserve">, 1 </w:instrText>
      </w:r>
      <w:r w:rsidR="002736BA">
        <w:rPr>
          <w:lang w:val="en-US"/>
        </w:rPr>
        <w:instrText>point</w:instrText>
      </w:r>
      <w:r w:rsidR="002736BA" w:rsidRPr="0089207C">
        <w:instrText xml:space="preserve"> </w:instrText>
      </w:r>
      <w:r w:rsidR="002736BA">
        <w:rPr>
          <w:lang w:val="en-US"/>
        </w:rPr>
        <w:instrText>for</w:instrText>
      </w:r>
      <w:r w:rsidR="002736BA" w:rsidRPr="0089207C">
        <w:instrText xml:space="preserve"> </w:instrText>
      </w:r>
      <w:r w:rsidR="002736BA">
        <w:rPr>
          <w:lang w:val="en-US"/>
        </w:rPr>
        <w:instrText>high</w:instrText>
      </w:r>
      <w:r w:rsidR="002736BA" w:rsidRPr="0089207C">
        <w:instrText xml:space="preserve">- </w:instrText>
      </w:r>
      <w:r w:rsidR="002736BA">
        <w:rPr>
          <w:lang w:val="en-US"/>
        </w:rPr>
        <w:instrText>risk</w:instrText>
      </w:r>
      <w:r w:rsidR="002736BA" w:rsidRPr="0089207C">
        <w:instrText xml:space="preserve"> </w:instrText>
      </w:r>
      <w:r w:rsidR="002736BA">
        <w:rPr>
          <w:lang w:val="en-US"/>
        </w:rPr>
        <w:instrText>site</w:instrText>
      </w:r>
      <w:r w:rsidR="002736BA" w:rsidRPr="0089207C">
        <w:instrText xml:space="preserve">), </w:instrText>
      </w:r>
      <w:r w:rsidR="002736BA">
        <w:rPr>
          <w:lang w:val="en-US"/>
        </w:rPr>
        <w:instrText>platelet</w:instrText>
      </w:r>
      <w:r w:rsidR="002736BA" w:rsidRPr="0089207C">
        <w:instrText xml:space="preserve"> </w:instrText>
      </w:r>
      <w:r w:rsidR="002736BA">
        <w:rPr>
          <w:lang w:val="en-US"/>
        </w:rPr>
        <w:instrText>count</w:instrText>
      </w:r>
      <w:r w:rsidR="002736BA" w:rsidRPr="0089207C">
        <w:instrText xml:space="preserve"> </w:instrText>
      </w:r>
      <w:r w:rsidR="002736BA">
        <w:rPr>
          <w:lang w:val="en-US"/>
        </w:rPr>
        <w:instrText>of</w:instrText>
      </w:r>
      <w:r w:rsidR="002736BA" w:rsidRPr="0089207C">
        <w:instrText xml:space="preserve"> 350 </w:instrText>
      </w:r>
      <w:r w:rsidR="002736BA">
        <w:rPr>
          <w:lang w:val="en-US"/>
        </w:rPr>
        <w:instrText>x</w:instrText>
      </w:r>
      <w:r w:rsidR="002736BA" w:rsidRPr="0089207C">
        <w:instrText xml:space="preserve"> 109/</w:instrText>
      </w:r>
      <w:r w:rsidR="002736BA">
        <w:rPr>
          <w:lang w:val="en-US"/>
        </w:rPr>
        <w:instrText>L</w:instrText>
      </w:r>
      <w:r w:rsidR="002736BA" w:rsidRPr="0089207C">
        <w:instrText xml:space="preserve"> </w:instrText>
      </w:r>
      <w:r w:rsidR="002736BA">
        <w:rPr>
          <w:lang w:val="en-US"/>
        </w:rPr>
        <w:instrText>or</w:instrText>
      </w:r>
      <w:r w:rsidR="002736BA" w:rsidRPr="0089207C">
        <w:instrText xml:space="preserve"> </w:instrText>
      </w:r>
      <w:r w:rsidR="002736BA">
        <w:rPr>
          <w:lang w:val="en-US"/>
        </w:rPr>
        <w:instrText>more</w:instrText>
      </w:r>
      <w:r w:rsidR="002736BA" w:rsidRPr="0089207C">
        <w:instrText xml:space="preserve">, </w:instrText>
      </w:r>
      <w:r w:rsidR="002736BA">
        <w:rPr>
          <w:lang w:val="en-US"/>
        </w:rPr>
        <w:instrText>hemoglobin</w:instrText>
      </w:r>
      <w:r w:rsidR="002736BA" w:rsidRPr="0089207C">
        <w:instrText xml:space="preserve"> </w:instrText>
      </w:r>
      <w:r w:rsidR="002736BA">
        <w:rPr>
          <w:lang w:val="en-US"/>
        </w:rPr>
        <w:instrText>less</w:instrText>
      </w:r>
      <w:r w:rsidR="002736BA" w:rsidRPr="0089207C">
        <w:instrText xml:space="preserve"> </w:instrText>
      </w:r>
      <w:r w:rsidR="002736BA">
        <w:rPr>
          <w:lang w:val="en-US"/>
        </w:rPr>
        <w:instrText>than</w:instrText>
      </w:r>
      <w:r w:rsidR="002736BA" w:rsidRPr="0089207C">
        <w:instrText xml:space="preserve"> 100 </w:instrText>
      </w:r>
      <w:r w:rsidR="002736BA">
        <w:rPr>
          <w:lang w:val="en-US"/>
        </w:rPr>
        <w:instrText>g</w:instrText>
      </w:r>
      <w:r w:rsidR="002736BA" w:rsidRPr="0089207C">
        <w:instrText>/</w:instrText>
      </w:r>
      <w:r w:rsidR="002736BA">
        <w:rPr>
          <w:lang w:val="en-US"/>
        </w:rPr>
        <w:instrText>L</w:instrText>
      </w:r>
      <w:r w:rsidR="002736BA" w:rsidRPr="0089207C">
        <w:instrText xml:space="preserve"> (10</w:instrText>
      </w:r>
      <w:r w:rsidR="002736BA">
        <w:rPr>
          <w:lang w:val="en-US"/>
        </w:rPr>
        <w:instrText>g</w:instrText>
      </w:r>
      <w:r w:rsidR="002736BA" w:rsidRPr="0089207C">
        <w:instrText>/</w:instrText>
      </w:r>
      <w:r w:rsidR="002736BA">
        <w:rPr>
          <w:lang w:val="en-US"/>
        </w:rPr>
        <w:instrText>dL</w:instrText>
      </w:r>
      <w:r w:rsidR="002736BA" w:rsidRPr="0089207C">
        <w:instrText xml:space="preserve">) </w:instrText>
      </w:r>
      <w:r w:rsidR="002736BA">
        <w:rPr>
          <w:lang w:val="en-US"/>
        </w:rPr>
        <w:instrText>and</w:instrText>
      </w:r>
      <w:r w:rsidR="002736BA" w:rsidRPr="0089207C">
        <w:instrText>/</w:instrText>
      </w:r>
      <w:r w:rsidR="002736BA">
        <w:rPr>
          <w:lang w:val="en-US"/>
        </w:rPr>
        <w:instrText>or</w:instrText>
      </w:r>
      <w:r w:rsidR="002736BA" w:rsidRPr="0089207C">
        <w:instrText xml:space="preserve"> </w:instrText>
      </w:r>
      <w:r w:rsidR="002736BA">
        <w:rPr>
          <w:lang w:val="en-US"/>
        </w:rPr>
        <w:instrText>use</w:instrText>
      </w:r>
      <w:r w:rsidR="002736BA" w:rsidRPr="0089207C">
        <w:instrText xml:space="preserve"> </w:instrText>
      </w:r>
      <w:r w:rsidR="002736BA">
        <w:rPr>
          <w:lang w:val="en-US"/>
        </w:rPr>
        <w:instrText>of</w:instrText>
      </w:r>
      <w:r w:rsidR="002736BA" w:rsidRPr="0089207C">
        <w:instrText xml:space="preserve"> </w:instrText>
      </w:r>
      <w:r w:rsidR="002736BA">
        <w:rPr>
          <w:lang w:val="en-US"/>
        </w:rPr>
        <w:instrText>erythropoiesis</w:instrText>
      </w:r>
      <w:r w:rsidR="002736BA" w:rsidRPr="0089207C">
        <w:instrText xml:space="preserve">- </w:instrText>
      </w:r>
      <w:r w:rsidR="002736BA">
        <w:rPr>
          <w:lang w:val="en-US"/>
        </w:rPr>
        <w:instrText>stimulating</w:instrText>
      </w:r>
      <w:r w:rsidR="002736BA" w:rsidRPr="0089207C">
        <w:instrText xml:space="preserve"> </w:instrText>
      </w:r>
      <w:r w:rsidR="002736BA">
        <w:rPr>
          <w:lang w:val="en-US"/>
        </w:rPr>
        <w:instrText>agents</w:instrText>
      </w:r>
      <w:r w:rsidR="002736BA" w:rsidRPr="0089207C">
        <w:instrText xml:space="preserve">, </w:instrText>
      </w:r>
      <w:r w:rsidR="002736BA">
        <w:rPr>
          <w:lang w:val="en-US"/>
        </w:rPr>
        <w:instrText>leukocyte</w:instrText>
      </w:r>
      <w:r w:rsidR="002736BA" w:rsidRPr="0089207C">
        <w:instrText xml:space="preserve"> </w:instrText>
      </w:r>
      <w:r w:rsidR="002736BA">
        <w:rPr>
          <w:lang w:val="en-US"/>
        </w:rPr>
        <w:instrText>count</w:instrText>
      </w:r>
      <w:r w:rsidR="002736BA" w:rsidRPr="0089207C">
        <w:instrText xml:space="preserve"> </w:instrText>
      </w:r>
      <w:r w:rsidR="002736BA">
        <w:rPr>
          <w:lang w:val="en-US"/>
        </w:rPr>
        <w:instrText>more</w:instrText>
      </w:r>
      <w:r w:rsidR="002736BA" w:rsidRPr="0089207C">
        <w:instrText xml:space="preserve"> </w:instrText>
      </w:r>
      <w:r w:rsidR="002736BA">
        <w:rPr>
          <w:lang w:val="en-US"/>
        </w:rPr>
        <w:instrText>than</w:instrText>
      </w:r>
      <w:r w:rsidR="002736BA" w:rsidRPr="0089207C">
        <w:instrText xml:space="preserve"> 11 </w:instrText>
      </w:r>
      <w:r w:rsidR="002736BA">
        <w:rPr>
          <w:lang w:val="en-US"/>
        </w:rPr>
        <w:instrText>x</w:instrText>
      </w:r>
      <w:r w:rsidR="002736BA" w:rsidRPr="0089207C">
        <w:instrText xml:space="preserve"> 109/</w:instrText>
      </w:r>
      <w:r w:rsidR="002736BA">
        <w:rPr>
          <w:lang w:val="en-US"/>
        </w:rPr>
        <w:instrText>L</w:instrText>
      </w:r>
      <w:r w:rsidR="002736BA" w:rsidRPr="0089207C">
        <w:instrText xml:space="preserve">, </w:instrText>
      </w:r>
      <w:r w:rsidR="002736BA">
        <w:rPr>
          <w:lang w:val="en-US"/>
        </w:rPr>
        <w:instrText>and</w:instrText>
      </w:r>
      <w:r w:rsidR="002736BA" w:rsidRPr="0089207C">
        <w:instrText xml:space="preserve"> </w:instrText>
      </w:r>
      <w:r w:rsidR="002736BA">
        <w:rPr>
          <w:lang w:val="en-US"/>
        </w:rPr>
        <w:instrText>body</w:instrText>
      </w:r>
      <w:r w:rsidR="002736BA" w:rsidRPr="0089207C">
        <w:instrText xml:space="preserve"> </w:instrText>
      </w:r>
      <w:r w:rsidR="002736BA">
        <w:rPr>
          <w:lang w:val="en-US"/>
        </w:rPr>
        <w:instrText>mass</w:instrText>
      </w:r>
      <w:r w:rsidR="002736BA" w:rsidRPr="0089207C">
        <w:instrText xml:space="preserve"> </w:instrText>
      </w:r>
      <w:r w:rsidR="002736BA">
        <w:rPr>
          <w:lang w:val="en-US"/>
        </w:rPr>
        <w:instrText>index</w:instrText>
      </w:r>
      <w:r w:rsidR="002736BA" w:rsidRPr="0089207C">
        <w:instrText xml:space="preserve"> </w:instrText>
      </w:r>
      <w:r w:rsidR="002736BA">
        <w:rPr>
          <w:lang w:val="en-US"/>
        </w:rPr>
        <w:instrText>of</w:instrText>
      </w:r>
      <w:r w:rsidR="002736BA" w:rsidRPr="0089207C">
        <w:instrText xml:space="preserve"> 35 </w:instrText>
      </w:r>
      <w:r w:rsidR="002736BA">
        <w:rPr>
          <w:lang w:val="en-US"/>
        </w:rPr>
        <w:instrText>kg</w:instrText>
      </w:r>
      <w:r w:rsidR="002736BA" w:rsidRPr="0089207C">
        <w:instrText>/</w:instrText>
      </w:r>
      <w:r w:rsidR="002736BA">
        <w:rPr>
          <w:lang w:val="en-US"/>
        </w:rPr>
        <w:instrText>m</w:instrText>
      </w:r>
      <w:r w:rsidR="002736BA" w:rsidRPr="0089207C">
        <w:instrText xml:space="preserve"> 2 </w:instrText>
      </w:r>
      <w:r w:rsidR="002736BA">
        <w:rPr>
          <w:lang w:val="en-US"/>
        </w:rPr>
        <w:instrText>or</w:instrText>
      </w:r>
      <w:r w:rsidR="002736BA" w:rsidRPr="0089207C">
        <w:instrText xml:space="preserve"> </w:instrText>
      </w:r>
      <w:r w:rsidR="002736BA">
        <w:rPr>
          <w:lang w:val="en-US"/>
        </w:rPr>
        <w:instrText>more</w:instrText>
      </w:r>
      <w:r w:rsidR="002736BA" w:rsidRPr="0089207C">
        <w:instrText xml:space="preserve"> (1 </w:instrText>
      </w:r>
      <w:r w:rsidR="002736BA">
        <w:rPr>
          <w:lang w:val="en-US"/>
        </w:rPr>
        <w:instrText>point</w:instrText>
      </w:r>
      <w:r w:rsidR="002736BA" w:rsidRPr="0089207C">
        <w:instrText xml:space="preserve"> </w:instrText>
      </w:r>
      <w:r w:rsidR="002736BA">
        <w:rPr>
          <w:lang w:val="en-US"/>
        </w:rPr>
        <w:instrText>each</w:instrText>
      </w:r>
      <w:r w:rsidR="002736BA" w:rsidRPr="0089207C">
        <w:instrText xml:space="preserve">). </w:instrText>
      </w:r>
      <w:r w:rsidR="002736BA">
        <w:rPr>
          <w:lang w:val="en-US"/>
        </w:rPr>
        <w:instrText>Rates</w:instrText>
      </w:r>
      <w:r w:rsidR="002736BA" w:rsidRPr="0089207C">
        <w:instrText xml:space="preserve"> </w:instrText>
      </w:r>
      <w:r w:rsidR="002736BA">
        <w:rPr>
          <w:lang w:val="en-US"/>
        </w:rPr>
        <w:instrText>of</w:instrText>
      </w:r>
      <w:r w:rsidR="002736BA" w:rsidRPr="0089207C">
        <w:instrText xml:space="preserve"> </w:instrText>
      </w:r>
      <w:r w:rsidR="002736BA">
        <w:rPr>
          <w:lang w:val="en-US"/>
        </w:rPr>
        <w:instrText>VTE</w:instrText>
      </w:r>
      <w:r w:rsidR="002736BA" w:rsidRPr="0089207C">
        <w:instrText xml:space="preserve"> </w:instrText>
      </w:r>
      <w:r w:rsidR="002736BA">
        <w:rPr>
          <w:lang w:val="en-US"/>
        </w:rPr>
        <w:instrText>in</w:instrText>
      </w:r>
      <w:r w:rsidR="002736BA" w:rsidRPr="0089207C">
        <w:instrText xml:space="preserve"> </w:instrText>
      </w:r>
      <w:r w:rsidR="002736BA">
        <w:rPr>
          <w:lang w:val="en-US"/>
        </w:rPr>
        <w:instrText>the</w:instrText>
      </w:r>
      <w:r w:rsidR="002736BA" w:rsidRPr="0089207C">
        <w:instrText xml:space="preserve"> </w:instrText>
      </w:r>
      <w:r w:rsidR="002736BA">
        <w:rPr>
          <w:lang w:val="en-US"/>
        </w:rPr>
        <w:instrText>derivation</w:instrText>
      </w:r>
      <w:r w:rsidR="002736BA" w:rsidRPr="0089207C">
        <w:instrText xml:space="preserve"> </w:instrText>
      </w:r>
      <w:r w:rsidR="002736BA">
        <w:rPr>
          <w:lang w:val="en-US"/>
        </w:rPr>
        <w:instrText>and</w:instrText>
      </w:r>
      <w:r w:rsidR="002736BA" w:rsidRPr="0089207C">
        <w:instrText xml:space="preserve"> </w:instrText>
      </w:r>
      <w:r w:rsidR="002736BA">
        <w:rPr>
          <w:lang w:val="en-US"/>
        </w:rPr>
        <w:instrText>validation</w:instrText>
      </w:r>
      <w:r w:rsidR="002736BA" w:rsidRPr="0089207C">
        <w:instrText xml:space="preserve"> </w:instrText>
      </w:r>
      <w:r w:rsidR="002736BA">
        <w:rPr>
          <w:lang w:val="en-US"/>
        </w:rPr>
        <w:instrText>cohorts</w:instrText>
      </w:r>
      <w:r w:rsidR="002736BA" w:rsidRPr="0089207C">
        <w:instrText xml:space="preserve">, </w:instrText>
      </w:r>
      <w:r w:rsidR="002736BA">
        <w:rPr>
          <w:lang w:val="en-US"/>
        </w:rPr>
        <w:instrText>respectively</w:instrText>
      </w:r>
      <w:r w:rsidR="002736BA" w:rsidRPr="0089207C">
        <w:instrText xml:space="preserve">, </w:instrText>
      </w:r>
      <w:r w:rsidR="002736BA">
        <w:rPr>
          <w:lang w:val="en-US"/>
        </w:rPr>
        <w:instrText>were</w:instrText>
      </w:r>
      <w:r w:rsidR="002736BA" w:rsidRPr="0089207C">
        <w:instrText xml:space="preserve"> 0.8% </w:instrText>
      </w:r>
      <w:r w:rsidR="002736BA">
        <w:rPr>
          <w:lang w:val="en-US"/>
        </w:rPr>
        <w:instrText>and</w:instrText>
      </w:r>
      <w:r w:rsidR="002736BA" w:rsidRPr="0089207C">
        <w:instrText xml:space="preserve"> 0.3% </w:instrText>
      </w:r>
      <w:r w:rsidR="002736BA">
        <w:rPr>
          <w:lang w:val="en-US"/>
        </w:rPr>
        <w:instrText>in</w:instrText>
      </w:r>
      <w:r w:rsidR="002736BA" w:rsidRPr="0089207C">
        <w:instrText xml:space="preserve"> </w:instrText>
      </w:r>
      <w:r w:rsidR="002736BA">
        <w:rPr>
          <w:lang w:val="en-US"/>
        </w:rPr>
        <w:instrText>low</w:instrText>
      </w:r>
      <w:r w:rsidR="002736BA" w:rsidRPr="0089207C">
        <w:instrText>-</w:instrText>
      </w:r>
      <w:r w:rsidR="002736BA">
        <w:rPr>
          <w:lang w:val="en-US"/>
        </w:rPr>
        <w:instrText>risk</w:instrText>
      </w:r>
      <w:r w:rsidR="002736BA" w:rsidRPr="0089207C">
        <w:instrText xml:space="preserve"> (</w:instrText>
      </w:r>
      <w:r w:rsidR="002736BA">
        <w:rPr>
          <w:lang w:val="en-US"/>
        </w:rPr>
        <w:instrText>score</w:instrText>
      </w:r>
      <w:r w:rsidR="002736BA" w:rsidRPr="0089207C">
        <w:instrText xml:space="preserve"> = 0), 1.8% </w:instrText>
      </w:r>
      <w:r w:rsidR="002736BA">
        <w:rPr>
          <w:lang w:val="en-US"/>
        </w:rPr>
        <w:instrText>and</w:instrText>
      </w:r>
      <w:r w:rsidR="002736BA" w:rsidRPr="0089207C">
        <w:instrText xml:space="preserve"> 2% </w:instrText>
      </w:r>
      <w:r w:rsidR="002736BA">
        <w:rPr>
          <w:lang w:val="en-US"/>
        </w:rPr>
        <w:instrText>in</w:instrText>
      </w:r>
      <w:r w:rsidR="002736BA" w:rsidRPr="0089207C">
        <w:instrText xml:space="preserve"> </w:instrText>
      </w:r>
      <w:r w:rsidR="002736BA">
        <w:rPr>
          <w:lang w:val="en-US"/>
        </w:rPr>
        <w:instrText>intermediate</w:instrText>
      </w:r>
      <w:r w:rsidR="002736BA" w:rsidRPr="0089207C">
        <w:instrText>-</w:instrText>
      </w:r>
      <w:r w:rsidR="002736BA">
        <w:rPr>
          <w:lang w:val="en-US"/>
        </w:rPr>
        <w:instrText>risk</w:instrText>
      </w:r>
      <w:r w:rsidR="002736BA" w:rsidRPr="0089207C">
        <w:instrText xml:space="preserve"> (</w:instrText>
      </w:r>
      <w:r w:rsidR="002736BA">
        <w:rPr>
          <w:lang w:val="en-US"/>
        </w:rPr>
        <w:instrText>score</w:instrText>
      </w:r>
      <w:r w:rsidR="002736BA" w:rsidRPr="0089207C">
        <w:instrText xml:space="preserve"> = 1-2), </w:instrText>
      </w:r>
      <w:r w:rsidR="002736BA">
        <w:rPr>
          <w:lang w:val="en-US"/>
        </w:rPr>
        <w:instrText>and</w:instrText>
      </w:r>
      <w:r w:rsidR="002736BA" w:rsidRPr="0089207C">
        <w:instrText xml:space="preserve"> 7.1% </w:instrText>
      </w:r>
      <w:r w:rsidR="002736BA">
        <w:rPr>
          <w:lang w:val="en-US"/>
        </w:rPr>
        <w:instrText>and</w:instrText>
      </w:r>
      <w:r w:rsidR="002736BA" w:rsidRPr="0089207C">
        <w:instrText xml:space="preserve"> 6.7% </w:instrText>
      </w:r>
      <w:r w:rsidR="002736BA">
        <w:rPr>
          <w:lang w:val="en-US"/>
        </w:rPr>
        <w:instrText>in</w:instrText>
      </w:r>
      <w:r w:rsidR="002736BA" w:rsidRPr="0089207C">
        <w:instrText xml:space="preserve"> </w:instrText>
      </w:r>
      <w:r w:rsidR="002736BA">
        <w:rPr>
          <w:lang w:val="en-US"/>
        </w:rPr>
        <w:instrText>high</w:instrText>
      </w:r>
      <w:r w:rsidR="002736BA" w:rsidRPr="0089207C">
        <w:instrText>-</w:instrText>
      </w:r>
      <w:r w:rsidR="002736BA">
        <w:rPr>
          <w:lang w:val="en-US"/>
        </w:rPr>
        <w:instrText>risk</w:instrText>
      </w:r>
      <w:r w:rsidR="002736BA" w:rsidRPr="0089207C">
        <w:instrText xml:space="preserve"> (</w:instrText>
      </w:r>
      <w:r w:rsidR="002736BA">
        <w:rPr>
          <w:lang w:val="en-US"/>
        </w:rPr>
        <w:instrText>score</w:instrText>
      </w:r>
      <w:r w:rsidR="002736BA" w:rsidRPr="0089207C">
        <w:instrText xml:space="preserve"> =: 3) </w:instrText>
      </w:r>
      <w:r w:rsidR="002736BA">
        <w:rPr>
          <w:lang w:val="en-US"/>
        </w:rPr>
        <w:instrText>category</w:instrText>
      </w:r>
      <w:r w:rsidR="002736BA" w:rsidRPr="0089207C">
        <w:instrText xml:space="preserve"> </w:instrText>
      </w:r>
      <w:r w:rsidR="002736BA">
        <w:rPr>
          <w:lang w:val="en-US"/>
        </w:rPr>
        <w:instrText>over</w:instrText>
      </w:r>
      <w:r w:rsidR="002736BA" w:rsidRPr="0089207C">
        <w:instrText xml:space="preserve"> </w:instrText>
      </w:r>
      <w:r w:rsidR="002736BA">
        <w:rPr>
          <w:lang w:val="en-US"/>
        </w:rPr>
        <w:instrText>a</w:instrText>
      </w:r>
      <w:r w:rsidR="002736BA" w:rsidRPr="0089207C">
        <w:instrText xml:space="preserve"> </w:instrText>
      </w:r>
      <w:r w:rsidR="002736BA">
        <w:rPr>
          <w:lang w:val="en-US"/>
        </w:rPr>
        <w:instrText>median</w:instrText>
      </w:r>
      <w:r w:rsidR="002736BA" w:rsidRPr="0089207C">
        <w:instrText xml:space="preserve"> </w:instrText>
      </w:r>
      <w:r w:rsidR="002736BA">
        <w:rPr>
          <w:lang w:val="en-US"/>
        </w:rPr>
        <w:instrText>of</w:instrText>
      </w:r>
      <w:r w:rsidR="002736BA" w:rsidRPr="0089207C">
        <w:instrText xml:space="preserve"> 2.5 </w:instrText>
      </w:r>
      <w:r w:rsidR="002736BA">
        <w:rPr>
          <w:lang w:val="en-US"/>
        </w:rPr>
        <w:instrText>months</w:instrText>
      </w:r>
      <w:r w:rsidR="002736BA" w:rsidRPr="0089207C">
        <w:instrText xml:space="preserve"> (</w:instrText>
      </w:r>
      <w:r w:rsidR="002736BA">
        <w:rPr>
          <w:lang w:val="en-US"/>
        </w:rPr>
        <w:instrText>C</w:instrText>
      </w:r>
      <w:r w:rsidR="002736BA" w:rsidRPr="0089207C">
        <w:instrText xml:space="preserve">- </w:instrText>
      </w:r>
      <w:r w:rsidR="002736BA">
        <w:rPr>
          <w:lang w:val="en-US"/>
        </w:rPr>
        <w:instrText>statistic</w:instrText>
      </w:r>
      <w:r w:rsidR="002736BA" w:rsidRPr="0089207C">
        <w:instrText xml:space="preserve"> = 0.7 </w:instrText>
      </w:r>
      <w:r w:rsidR="002736BA">
        <w:rPr>
          <w:lang w:val="en-US"/>
        </w:rPr>
        <w:instrText>for</w:instrText>
      </w:r>
      <w:r w:rsidR="002736BA" w:rsidRPr="0089207C">
        <w:instrText xml:space="preserve"> </w:instrText>
      </w:r>
      <w:r w:rsidR="002736BA">
        <w:rPr>
          <w:lang w:val="en-US"/>
        </w:rPr>
        <w:instrText>both</w:instrText>
      </w:r>
      <w:r w:rsidR="002736BA" w:rsidRPr="0089207C">
        <w:instrText xml:space="preserve"> </w:instrText>
      </w:r>
      <w:r w:rsidR="002736BA">
        <w:rPr>
          <w:lang w:val="en-US"/>
        </w:rPr>
        <w:instrText>cohorts</w:instrText>
      </w:r>
      <w:r w:rsidR="002736BA" w:rsidRPr="0089207C">
        <w:instrText xml:space="preserve">). </w:instrText>
      </w:r>
      <w:r w:rsidR="002736BA">
        <w:rPr>
          <w:lang w:val="en-US"/>
        </w:rPr>
        <w:instrText>This</w:instrText>
      </w:r>
      <w:r w:rsidR="002736BA" w:rsidRPr="0089207C">
        <w:instrText xml:space="preserve"> </w:instrText>
      </w:r>
      <w:r w:rsidR="002736BA">
        <w:rPr>
          <w:lang w:val="en-US"/>
        </w:rPr>
        <w:instrText>model</w:instrText>
      </w:r>
      <w:r w:rsidR="002736BA" w:rsidRPr="0089207C">
        <w:instrText xml:space="preserve"> </w:instrText>
      </w:r>
      <w:r w:rsidR="002736BA">
        <w:rPr>
          <w:lang w:val="en-US"/>
        </w:rPr>
        <w:instrText>can</w:instrText>
      </w:r>
      <w:r w:rsidR="002736BA" w:rsidRPr="0089207C">
        <w:instrText xml:space="preserve"> </w:instrText>
      </w:r>
      <w:r w:rsidR="002736BA">
        <w:rPr>
          <w:lang w:val="en-US"/>
        </w:rPr>
        <w:instrText>identify</w:instrText>
      </w:r>
      <w:r w:rsidR="002736BA" w:rsidRPr="0089207C">
        <w:instrText xml:space="preserve"> </w:instrText>
      </w:r>
      <w:r w:rsidR="002736BA">
        <w:rPr>
          <w:lang w:val="en-US"/>
        </w:rPr>
        <w:instrText>patients</w:instrText>
      </w:r>
      <w:r w:rsidR="002736BA" w:rsidRPr="0089207C">
        <w:instrText xml:space="preserve"> </w:instrText>
      </w:r>
      <w:r w:rsidR="002736BA">
        <w:rPr>
          <w:lang w:val="en-US"/>
        </w:rPr>
        <w:instrText>with</w:instrText>
      </w:r>
      <w:r w:rsidR="002736BA" w:rsidRPr="0089207C">
        <w:instrText xml:space="preserve"> </w:instrText>
      </w:r>
      <w:r w:rsidR="002736BA">
        <w:rPr>
          <w:lang w:val="en-US"/>
        </w:rPr>
        <w:instrText>a</w:instrText>
      </w:r>
      <w:r w:rsidR="002736BA" w:rsidRPr="0089207C">
        <w:instrText xml:space="preserve"> </w:instrText>
      </w:r>
      <w:r w:rsidR="002736BA">
        <w:rPr>
          <w:lang w:val="en-US"/>
        </w:rPr>
        <w:instrText>nearly</w:instrText>
      </w:r>
      <w:r w:rsidR="002736BA" w:rsidRPr="0089207C">
        <w:instrText xml:space="preserve"> 7% </w:instrText>
      </w:r>
      <w:r w:rsidR="002736BA">
        <w:rPr>
          <w:lang w:val="en-US"/>
        </w:rPr>
        <w:instrText>short</w:instrText>
      </w:r>
      <w:r w:rsidR="002736BA" w:rsidRPr="0089207C">
        <w:instrText>-</w:instrText>
      </w:r>
      <w:r w:rsidR="002736BA">
        <w:rPr>
          <w:lang w:val="en-US"/>
        </w:rPr>
        <w:instrText>term</w:instrText>
      </w:r>
      <w:r w:rsidR="002736BA" w:rsidRPr="0089207C">
        <w:instrText xml:space="preserve"> </w:instrText>
      </w:r>
      <w:r w:rsidR="002736BA">
        <w:rPr>
          <w:lang w:val="en-US"/>
        </w:rPr>
        <w:instrText>risk</w:instrText>
      </w:r>
      <w:r w:rsidR="002736BA" w:rsidRPr="0089207C">
        <w:instrText xml:space="preserve"> </w:instrText>
      </w:r>
      <w:r w:rsidR="002736BA">
        <w:rPr>
          <w:lang w:val="en-US"/>
        </w:rPr>
        <w:instrText>of</w:instrText>
      </w:r>
      <w:r w:rsidR="002736BA" w:rsidRPr="0089207C">
        <w:instrText xml:space="preserve"> </w:instrText>
      </w:r>
      <w:r w:rsidR="002736BA">
        <w:rPr>
          <w:lang w:val="en-US"/>
        </w:rPr>
        <w:instrText>symptomatic</w:instrText>
      </w:r>
      <w:r w:rsidR="002736BA" w:rsidRPr="0089207C">
        <w:instrText xml:space="preserve"> </w:instrText>
      </w:r>
      <w:r w:rsidR="002736BA">
        <w:rPr>
          <w:lang w:val="en-US"/>
        </w:rPr>
        <w:instrText>VTE</w:instrText>
      </w:r>
      <w:r w:rsidR="002736BA" w:rsidRPr="0089207C">
        <w:instrText xml:space="preserve"> </w:instrText>
      </w:r>
      <w:r w:rsidR="002736BA">
        <w:rPr>
          <w:lang w:val="en-US"/>
        </w:rPr>
        <w:instrText>and</w:instrText>
      </w:r>
      <w:r w:rsidR="002736BA" w:rsidRPr="0089207C">
        <w:instrText xml:space="preserve"> </w:instrText>
      </w:r>
      <w:r w:rsidR="002736BA">
        <w:rPr>
          <w:lang w:val="en-US"/>
        </w:rPr>
        <w:instrText>may</w:instrText>
      </w:r>
      <w:r w:rsidR="002736BA" w:rsidRPr="0089207C">
        <w:instrText xml:space="preserve"> </w:instrText>
      </w:r>
      <w:r w:rsidR="002736BA">
        <w:rPr>
          <w:lang w:val="en-US"/>
        </w:rPr>
        <w:instrText>be</w:instrText>
      </w:r>
      <w:r w:rsidR="002736BA" w:rsidRPr="0089207C">
        <w:instrText xml:space="preserve"> </w:instrText>
      </w:r>
      <w:r w:rsidR="002736BA">
        <w:rPr>
          <w:lang w:val="en-US"/>
        </w:rPr>
        <w:instrText>used</w:instrText>
      </w:r>
      <w:r w:rsidR="002736BA" w:rsidRPr="0089207C">
        <w:instrText xml:space="preserve"> </w:instrText>
      </w:r>
      <w:r w:rsidR="002736BA">
        <w:rPr>
          <w:lang w:val="en-US"/>
        </w:rPr>
        <w:instrText>to</w:instrText>
      </w:r>
      <w:r w:rsidR="002736BA" w:rsidRPr="0089207C">
        <w:instrText xml:space="preserve"> </w:instrText>
      </w:r>
      <w:r w:rsidR="002736BA">
        <w:rPr>
          <w:lang w:val="en-US"/>
        </w:rPr>
        <w:instrText>select</w:instrText>
      </w:r>
      <w:r w:rsidR="002736BA" w:rsidRPr="0089207C">
        <w:instrText xml:space="preserve"> </w:instrText>
      </w:r>
      <w:r w:rsidR="002736BA">
        <w:rPr>
          <w:lang w:val="en-US"/>
        </w:rPr>
        <w:instrText>cancer</w:instrText>
      </w:r>
      <w:r w:rsidR="002736BA" w:rsidRPr="0089207C">
        <w:instrText xml:space="preserve"> </w:instrText>
      </w:r>
      <w:r w:rsidR="002736BA">
        <w:rPr>
          <w:lang w:val="en-US"/>
        </w:rPr>
        <w:instrText>outpatients</w:instrText>
      </w:r>
      <w:r w:rsidR="002736BA" w:rsidRPr="0089207C">
        <w:instrText xml:space="preserve"> </w:instrText>
      </w:r>
      <w:r w:rsidR="002736BA">
        <w:rPr>
          <w:lang w:val="en-US"/>
        </w:rPr>
        <w:instrText>for</w:instrText>
      </w:r>
      <w:r w:rsidR="002736BA" w:rsidRPr="0089207C">
        <w:instrText xml:space="preserve"> </w:instrText>
      </w:r>
      <w:r w:rsidR="002736BA">
        <w:rPr>
          <w:lang w:val="en-US"/>
        </w:rPr>
        <w:instrText>studies</w:instrText>
      </w:r>
      <w:r w:rsidR="002736BA" w:rsidRPr="0089207C">
        <w:instrText xml:space="preserve"> </w:instrText>
      </w:r>
      <w:r w:rsidR="002736BA">
        <w:rPr>
          <w:lang w:val="en-US"/>
        </w:rPr>
        <w:instrText>of</w:instrText>
      </w:r>
      <w:r w:rsidR="002736BA" w:rsidRPr="0089207C">
        <w:instrText xml:space="preserve"> </w:instrText>
      </w:r>
      <w:r w:rsidR="002736BA">
        <w:rPr>
          <w:lang w:val="en-US"/>
        </w:rPr>
        <w:instrText>thromboprophylaxis</w:instrText>
      </w:r>
      <w:r w:rsidR="002736BA" w:rsidRPr="0089207C">
        <w:instrText>.","</w:instrText>
      </w:r>
      <w:r w:rsidR="002736BA">
        <w:rPr>
          <w:lang w:val="en-US"/>
        </w:rPr>
        <w:instrText>author</w:instrText>
      </w:r>
      <w:r w:rsidR="002736BA" w:rsidRPr="0089207C">
        <w:instrText>":[{"</w:instrText>
      </w:r>
      <w:r w:rsidR="002736BA">
        <w:rPr>
          <w:lang w:val="en-US"/>
        </w:rPr>
        <w:instrText>dropping</w:instrText>
      </w:r>
      <w:r w:rsidR="002736BA" w:rsidRPr="0089207C">
        <w:instrText>-</w:instrText>
      </w:r>
      <w:r w:rsidR="002736BA">
        <w:rPr>
          <w:lang w:val="en-US"/>
        </w:rPr>
        <w:instrText>particle</w:instrText>
      </w:r>
      <w:r w:rsidR="002736BA" w:rsidRPr="0089207C">
        <w:instrText>":"","</w:instrText>
      </w:r>
      <w:r w:rsidR="002736BA">
        <w:rPr>
          <w:lang w:val="en-US"/>
        </w:rPr>
        <w:instrText>family</w:instrText>
      </w:r>
      <w:r w:rsidR="002736BA" w:rsidRPr="0089207C">
        <w:instrText>":"</w:instrText>
      </w:r>
      <w:r w:rsidR="002736BA">
        <w:rPr>
          <w:lang w:val="en-US"/>
        </w:rPr>
        <w:instrText>Khorana</w:instrText>
      </w:r>
      <w:r w:rsidR="002736BA" w:rsidRPr="0089207C">
        <w:instrText>","</w:instrText>
      </w:r>
      <w:r w:rsidR="002736BA">
        <w:rPr>
          <w:lang w:val="en-US"/>
        </w:rPr>
        <w:instrText>given</w:instrText>
      </w:r>
      <w:r w:rsidR="002736BA" w:rsidRPr="0089207C">
        <w:instrText>":"</w:instrText>
      </w:r>
      <w:r w:rsidR="002736BA">
        <w:rPr>
          <w:lang w:val="en-US"/>
        </w:rPr>
        <w:instrText>Aloka</w:instrText>
      </w:r>
      <w:r w:rsidR="002736BA" w:rsidRPr="0089207C">
        <w:instrText>","</w:instrText>
      </w:r>
      <w:r w:rsidR="002736BA">
        <w:rPr>
          <w:lang w:val="en-US"/>
        </w:rPr>
        <w:instrText>non</w:instrText>
      </w:r>
      <w:r w:rsidR="002736BA" w:rsidRPr="0089207C">
        <w:instrText>-</w:instrText>
      </w:r>
      <w:r w:rsidR="002736BA">
        <w:rPr>
          <w:lang w:val="en-US"/>
        </w:rPr>
        <w:instrText>dropping</w:instrText>
      </w:r>
      <w:r w:rsidR="002736BA" w:rsidRPr="0089207C">
        <w:instrText>-</w:instrText>
      </w:r>
      <w:r w:rsidR="002736BA">
        <w:rPr>
          <w:lang w:val="en-US"/>
        </w:rPr>
        <w:instrText>particle</w:instrText>
      </w:r>
      <w:r w:rsidR="002736BA" w:rsidRPr="0089207C">
        <w:instrText>":"","</w:instrText>
      </w:r>
      <w:r w:rsidR="002736BA">
        <w:rPr>
          <w:lang w:val="en-US"/>
        </w:rPr>
        <w:instrText>parse</w:instrText>
      </w:r>
      <w:r w:rsidR="002736BA" w:rsidRPr="0089207C">
        <w:instrText>-</w:instrText>
      </w:r>
      <w:r w:rsidR="002736BA">
        <w:rPr>
          <w:lang w:val="en-US"/>
        </w:rPr>
        <w:instrText>names</w:instrText>
      </w:r>
      <w:r w:rsidR="002736BA" w:rsidRPr="0089207C">
        <w:instrText>":</w:instrText>
      </w:r>
      <w:r w:rsidR="002736BA">
        <w:rPr>
          <w:lang w:val="en-US"/>
        </w:rPr>
        <w:instrText>false</w:instrText>
      </w:r>
      <w:r w:rsidR="002736BA" w:rsidRPr="0089207C">
        <w:instrText>,"</w:instrText>
      </w:r>
      <w:r w:rsidR="002736BA">
        <w:rPr>
          <w:lang w:val="en-US"/>
        </w:rPr>
        <w:instrText>suffix</w:instrText>
      </w:r>
      <w:r w:rsidR="002736BA" w:rsidRPr="0089207C">
        <w:instrText>":""},{"</w:instrText>
      </w:r>
      <w:r w:rsidR="002736BA">
        <w:rPr>
          <w:lang w:val="en-US"/>
        </w:rPr>
        <w:instrText>dropping</w:instrText>
      </w:r>
      <w:r w:rsidR="002736BA" w:rsidRPr="0089207C">
        <w:instrText>-</w:instrText>
      </w:r>
      <w:r w:rsidR="002736BA">
        <w:rPr>
          <w:lang w:val="en-US"/>
        </w:rPr>
        <w:instrText>particle</w:instrText>
      </w:r>
      <w:r w:rsidR="002736BA" w:rsidRPr="0089207C">
        <w:instrText>":"","</w:instrText>
      </w:r>
      <w:r w:rsidR="002736BA">
        <w:rPr>
          <w:lang w:val="en-US"/>
        </w:rPr>
        <w:instrText>family</w:instrText>
      </w:r>
      <w:r w:rsidR="002736BA" w:rsidRPr="0089207C">
        <w:instrText>":"</w:instrText>
      </w:r>
      <w:r w:rsidR="002736BA">
        <w:rPr>
          <w:lang w:val="en-US"/>
        </w:rPr>
        <w:instrText>Kuderer</w:instrText>
      </w:r>
      <w:r w:rsidR="002736BA" w:rsidRPr="0089207C">
        <w:instrText>","</w:instrText>
      </w:r>
      <w:r w:rsidR="002736BA">
        <w:rPr>
          <w:lang w:val="en-US"/>
        </w:rPr>
        <w:instrText>given</w:instrText>
      </w:r>
      <w:r w:rsidR="002736BA" w:rsidRPr="0089207C">
        <w:instrText>":"</w:instrText>
      </w:r>
      <w:r w:rsidR="002736BA">
        <w:rPr>
          <w:lang w:val="en-US"/>
        </w:rPr>
        <w:instrText>Nicole</w:instrText>
      </w:r>
      <w:r w:rsidR="002736BA" w:rsidRPr="0089207C">
        <w:instrText xml:space="preserve"> </w:instrText>
      </w:r>
      <w:r w:rsidR="002736BA">
        <w:rPr>
          <w:lang w:val="en-US"/>
        </w:rPr>
        <w:instrText>M</w:instrText>
      </w:r>
      <w:r w:rsidR="002736BA" w:rsidRPr="0089207C">
        <w:instrText>.","</w:instrText>
      </w:r>
      <w:r w:rsidR="002736BA">
        <w:rPr>
          <w:lang w:val="en-US"/>
        </w:rPr>
        <w:instrText>non</w:instrText>
      </w:r>
      <w:r w:rsidR="002736BA" w:rsidRPr="0089207C">
        <w:instrText>-</w:instrText>
      </w:r>
      <w:r w:rsidR="002736BA">
        <w:rPr>
          <w:lang w:val="en-US"/>
        </w:rPr>
        <w:instrText>dropping</w:instrText>
      </w:r>
      <w:r w:rsidR="002736BA" w:rsidRPr="0089207C">
        <w:instrText>-</w:instrText>
      </w:r>
      <w:r w:rsidR="002736BA">
        <w:rPr>
          <w:lang w:val="en-US"/>
        </w:rPr>
        <w:instrText>particle</w:instrText>
      </w:r>
      <w:r w:rsidR="002736BA" w:rsidRPr="0089207C">
        <w:instrText>":"","</w:instrText>
      </w:r>
      <w:r w:rsidR="002736BA">
        <w:rPr>
          <w:lang w:val="en-US"/>
        </w:rPr>
        <w:instrText>parse</w:instrText>
      </w:r>
      <w:r w:rsidR="002736BA" w:rsidRPr="0089207C">
        <w:instrText>-</w:instrText>
      </w:r>
      <w:r w:rsidR="002736BA">
        <w:rPr>
          <w:lang w:val="en-US"/>
        </w:rPr>
        <w:instrText>names</w:instrText>
      </w:r>
      <w:r w:rsidR="002736BA" w:rsidRPr="0089207C">
        <w:instrText>":</w:instrText>
      </w:r>
      <w:r w:rsidR="002736BA">
        <w:rPr>
          <w:lang w:val="en-US"/>
        </w:rPr>
        <w:instrText>false</w:instrText>
      </w:r>
      <w:r w:rsidR="002736BA" w:rsidRPr="0089207C">
        <w:instrText>,"</w:instrText>
      </w:r>
      <w:r w:rsidR="002736BA">
        <w:rPr>
          <w:lang w:val="en-US"/>
        </w:rPr>
        <w:instrText>suffix</w:instrText>
      </w:r>
      <w:r w:rsidR="002736BA" w:rsidRPr="0089207C">
        <w:instrText>":""},{"</w:instrText>
      </w:r>
      <w:r w:rsidR="002736BA">
        <w:rPr>
          <w:lang w:val="en-US"/>
        </w:rPr>
        <w:instrText>dropping</w:instrText>
      </w:r>
      <w:r w:rsidR="002736BA" w:rsidRPr="0089207C">
        <w:instrText>-</w:instrText>
      </w:r>
      <w:r w:rsidR="002736BA">
        <w:rPr>
          <w:lang w:val="en-US"/>
        </w:rPr>
        <w:instrText>particle</w:instrText>
      </w:r>
      <w:r w:rsidR="002736BA" w:rsidRPr="0089207C">
        <w:instrText>":"","</w:instrText>
      </w:r>
      <w:r w:rsidR="002736BA">
        <w:rPr>
          <w:lang w:val="en-US"/>
        </w:rPr>
        <w:instrText>family</w:instrText>
      </w:r>
      <w:r w:rsidR="002736BA" w:rsidRPr="0089207C">
        <w:instrText>":"</w:instrText>
      </w:r>
      <w:r w:rsidR="002736BA">
        <w:rPr>
          <w:lang w:val="en-US"/>
        </w:rPr>
        <w:instrText>Culakova</w:instrText>
      </w:r>
      <w:r w:rsidR="002736BA" w:rsidRPr="0089207C">
        <w:instrText>","</w:instrText>
      </w:r>
      <w:r w:rsidR="002736BA">
        <w:rPr>
          <w:lang w:val="en-US"/>
        </w:rPr>
        <w:instrText>given</w:instrText>
      </w:r>
      <w:r w:rsidR="002736BA" w:rsidRPr="0089207C">
        <w:instrText>":"</w:instrText>
      </w:r>
      <w:r w:rsidR="002736BA">
        <w:rPr>
          <w:lang w:val="en-US"/>
        </w:rPr>
        <w:instrText>Eva</w:instrText>
      </w:r>
      <w:r w:rsidR="002736BA" w:rsidRPr="0089207C">
        <w:instrText>","</w:instrText>
      </w:r>
      <w:r w:rsidR="002736BA">
        <w:rPr>
          <w:lang w:val="en-US"/>
        </w:rPr>
        <w:instrText>non</w:instrText>
      </w:r>
      <w:r w:rsidR="002736BA" w:rsidRPr="0089207C">
        <w:instrText>-</w:instrText>
      </w:r>
      <w:r w:rsidR="002736BA">
        <w:rPr>
          <w:lang w:val="en-US"/>
        </w:rPr>
        <w:instrText>dropping</w:instrText>
      </w:r>
      <w:r w:rsidR="002736BA" w:rsidRPr="0089207C">
        <w:instrText>-</w:instrText>
      </w:r>
      <w:r w:rsidR="002736BA">
        <w:rPr>
          <w:lang w:val="en-US"/>
        </w:rPr>
        <w:instrText>particle</w:instrText>
      </w:r>
      <w:r w:rsidR="002736BA" w:rsidRPr="0089207C">
        <w:instrText>":"","</w:instrText>
      </w:r>
      <w:r w:rsidR="002736BA">
        <w:rPr>
          <w:lang w:val="en-US"/>
        </w:rPr>
        <w:instrText>parse</w:instrText>
      </w:r>
      <w:r w:rsidR="002736BA" w:rsidRPr="0089207C">
        <w:instrText>-</w:instrText>
      </w:r>
      <w:r w:rsidR="002736BA">
        <w:rPr>
          <w:lang w:val="en-US"/>
        </w:rPr>
        <w:instrText>names</w:instrText>
      </w:r>
      <w:r w:rsidR="002736BA" w:rsidRPr="0089207C">
        <w:instrText>":</w:instrText>
      </w:r>
      <w:r w:rsidR="002736BA">
        <w:rPr>
          <w:lang w:val="en-US"/>
        </w:rPr>
        <w:instrText>false</w:instrText>
      </w:r>
      <w:r w:rsidR="002736BA" w:rsidRPr="0089207C">
        <w:instrText>,"</w:instrText>
      </w:r>
      <w:r w:rsidR="002736BA">
        <w:rPr>
          <w:lang w:val="en-US"/>
        </w:rPr>
        <w:instrText>suffix</w:instrText>
      </w:r>
      <w:r w:rsidR="002736BA" w:rsidRPr="0089207C">
        <w:instrText>":""},{"</w:instrText>
      </w:r>
      <w:r w:rsidR="002736BA">
        <w:rPr>
          <w:lang w:val="en-US"/>
        </w:rPr>
        <w:instrText>dropping</w:instrText>
      </w:r>
      <w:r w:rsidR="002736BA" w:rsidRPr="0089207C">
        <w:instrText>-</w:instrText>
      </w:r>
      <w:r w:rsidR="002736BA">
        <w:rPr>
          <w:lang w:val="en-US"/>
        </w:rPr>
        <w:instrText>particle</w:instrText>
      </w:r>
      <w:r w:rsidR="002736BA" w:rsidRPr="0089207C">
        <w:instrText>":"","</w:instrText>
      </w:r>
      <w:r w:rsidR="002736BA">
        <w:rPr>
          <w:lang w:val="en-US"/>
        </w:rPr>
        <w:instrText>family</w:instrText>
      </w:r>
      <w:r w:rsidR="002736BA" w:rsidRPr="0089207C">
        <w:instrText>":"</w:instrText>
      </w:r>
      <w:r w:rsidR="002736BA">
        <w:rPr>
          <w:lang w:val="en-US"/>
        </w:rPr>
        <w:instrText>Lyman</w:instrText>
      </w:r>
      <w:r w:rsidR="002736BA" w:rsidRPr="0089207C">
        <w:instrText>","</w:instrText>
      </w:r>
      <w:r w:rsidR="002736BA">
        <w:rPr>
          <w:lang w:val="en-US"/>
        </w:rPr>
        <w:instrText>given</w:instrText>
      </w:r>
      <w:r w:rsidR="002736BA" w:rsidRPr="0089207C">
        <w:instrText>":"</w:instrText>
      </w:r>
      <w:r w:rsidR="002736BA">
        <w:rPr>
          <w:lang w:val="en-US"/>
        </w:rPr>
        <w:instrText>Gary</w:instrText>
      </w:r>
      <w:r w:rsidR="002736BA" w:rsidRPr="0089207C">
        <w:instrText xml:space="preserve"> </w:instrText>
      </w:r>
      <w:r w:rsidR="002736BA">
        <w:rPr>
          <w:lang w:val="en-US"/>
        </w:rPr>
        <w:instrText>H</w:instrText>
      </w:r>
      <w:r w:rsidR="002736BA" w:rsidRPr="0089207C">
        <w:instrText>.","</w:instrText>
      </w:r>
      <w:r w:rsidR="002736BA">
        <w:rPr>
          <w:lang w:val="en-US"/>
        </w:rPr>
        <w:instrText>non</w:instrText>
      </w:r>
      <w:r w:rsidR="002736BA" w:rsidRPr="0089207C">
        <w:instrText>-</w:instrText>
      </w:r>
      <w:r w:rsidR="002736BA">
        <w:rPr>
          <w:lang w:val="en-US"/>
        </w:rPr>
        <w:instrText>dropping</w:instrText>
      </w:r>
      <w:r w:rsidR="002736BA" w:rsidRPr="0089207C">
        <w:instrText>-</w:instrText>
      </w:r>
      <w:r w:rsidR="002736BA">
        <w:rPr>
          <w:lang w:val="en-US"/>
        </w:rPr>
        <w:instrText>particle</w:instrText>
      </w:r>
      <w:r w:rsidR="002736BA" w:rsidRPr="0089207C">
        <w:instrText>":"","</w:instrText>
      </w:r>
      <w:r w:rsidR="002736BA">
        <w:rPr>
          <w:lang w:val="en-US"/>
        </w:rPr>
        <w:instrText>parse</w:instrText>
      </w:r>
      <w:r w:rsidR="002736BA" w:rsidRPr="0089207C">
        <w:instrText>-</w:instrText>
      </w:r>
      <w:r w:rsidR="002736BA">
        <w:rPr>
          <w:lang w:val="en-US"/>
        </w:rPr>
        <w:instrText>names</w:instrText>
      </w:r>
      <w:r w:rsidR="002736BA" w:rsidRPr="0089207C">
        <w:instrText>":</w:instrText>
      </w:r>
      <w:r w:rsidR="002736BA">
        <w:rPr>
          <w:lang w:val="en-US"/>
        </w:rPr>
        <w:instrText>false</w:instrText>
      </w:r>
      <w:r w:rsidR="002736BA" w:rsidRPr="0089207C">
        <w:instrText>,"</w:instrText>
      </w:r>
      <w:r w:rsidR="002736BA">
        <w:rPr>
          <w:lang w:val="en-US"/>
        </w:rPr>
        <w:instrText>suffix</w:instrText>
      </w:r>
      <w:r w:rsidR="002736BA" w:rsidRPr="0089207C">
        <w:instrText>":""},{"</w:instrText>
      </w:r>
      <w:r w:rsidR="002736BA">
        <w:rPr>
          <w:lang w:val="en-US"/>
        </w:rPr>
        <w:instrText>dropping</w:instrText>
      </w:r>
      <w:r w:rsidR="002736BA" w:rsidRPr="0089207C">
        <w:instrText>-</w:instrText>
      </w:r>
      <w:r w:rsidR="002736BA">
        <w:rPr>
          <w:lang w:val="en-US"/>
        </w:rPr>
        <w:instrText>particle</w:instrText>
      </w:r>
      <w:r w:rsidR="002736BA" w:rsidRPr="0089207C">
        <w:instrText>":"","</w:instrText>
      </w:r>
      <w:r w:rsidR="002736BA">
        <w:rPr>
          <w:lang w:val="en-US"/>
        </w:rPr>
        <w:instrText>family</w:instrText>
      </w:r>
      <w:r w:rsidR="002736BA" w:rsidRPr="0089207C">
        <w:instrText>":"</w:instrText>
      </w:r>
      <w:r w:rsidR="002736BA">
        <w:rPr>
          <w:lang w:val="en-US"/>
        </w:rPr>
        <w:instrText>Francis</w:instrText>
      </w:r>
      <w:r w:rsidR="002736BA" w:rsidRPr="0089207C">
        <w:instrText>","</w:instrText>
      </w:r>
      <w:r w:rsidR="002736BA">
        <w:rPr>
          <w:lang w:val="en-US"/>
        </w:rPr>
        <w:instrText>given</w:instrText>
      </w:r>
      <w:r w:rsidR="002736BA" w:rsidRPr="0089207C">
        <w:instrText>":"</w:instrText>
      </w:r>
      <w:r w:rsidR="002736BA">
        <w:rPr>
          <w:lang w:val="en-US"/>
        </w:rPr>
        <w:instrText>Charles</w:instrText>
      </w:r>
      <w:r w:rsidR="002736BA" w:rsidRPr="0089207C">
        <w:instrText xml:space="preserve"> </w:instrText>
      </w:r>
      <w:r w:rsidR="002736BA">
        <w:rPr>
          <w:lang w:val="en-US"/>
        </w:rPr>
        <w:instrText>W</w:instrText>
      </w:r>
      <w:r w:rsidR="002736BA" w:rsidRPr="0089207C">
        <w:instrText>.","</w:instrText>
      </w:r>
      <w:r w:rsidR="002736BA">
        <w:rPr>
          <w:lang w:val="en-US"/>
        </w:rPr>
        <w:instrText>non</w:instrText>
      </w:r>
      <w:r w:rsidR="002736BA" w:rsidRPr="0089207C">
        <w:instrText>-</w:instrText>
      </w:r>
      <w:r w:rsidR="002736BA">
        <w:rPr>
          <w:lang w:val="en-US"/>
        </w:rPr>
        <w:instrText>dropping</w:instrText>
      </w:r>
      <w:r w:rsidR="002736BA" w:rsidRPr="0089207C">
        <w:instrText>-</w:instrText>
      </w:r>
      <w:r w:rsidR="002736BA">
        <w:rPr>
          <w:lang w:val="en-US"/>
        </w:rPr>
        <w:instrText>particle</w:instrText>
      </w:r>
      <w:r w:rsidR="002736BA" w:rsidRPr="0089207C">
        <w:instrText>":"","</w:instrText>
      </w:r>
      <w:r w:rsidR="002736BA">
        <w:rPr>
          <w:lang w:val="en-US"/>
        </w:rPr>
        <w:instrText>parse</w:instrText>
      </w:r>
      <w:r w:rsidR="002736BA" w:rsidRPr="0089207C">
        <w:instrText>-</w:instrText>
      </w:r>
      <w:r w:rsidR="002736BA">
        <w:rPr>
          <w:lang w:val="en-US"/>
        </w:rPr>
        <w:instrText>names</w:instrText>
      </w:r>
      <w:r w:rsidR="002736BA" w:rsidRPr="0089207C">
        <w:instrText>":</w:instrText>
      </w:r>
      <w:r w:rsidR="002736BA">
        <w:rPr>
          <w:lang w:val="en-US"/>
        </w:rPr>
        <w:instrText>false</w:instrText>
      </w:r>
      <w:r w:rsidR="002736BA" w:rsidRPr="0089207C">
        <w:instrText>,"</w:instrText>
      </w:r>
      <w:r w:rsidR="002736BA">
        <w:rPr>
          <w:lang w:val="en-US"/>
        </w:rPr>
        <w:instrText>suffix</w:instrText>
      </w:r>
      <w:r w:rsidR="002736BA" w:rsidRPr="0089207C">
        <w:instrText>":""}],"</w:instrText>
      </w:r>
      <w:r w:rsidR="002736BA">
        <w:rPr>
          <w:lang w:val="en-US"/>
        </w:rPr>
        <w:instrText>container</w:instrText>
      </w:r>
      <w:r w:rsidR="002736BA" w:rsidRPr="0089207C">
        <w:instrText>-</w:instrText>
      </w:r>
      <w:r w:rsidR="002736BA">
        <w:rPr>
          <w:lang w:val="en-US"/>
        </w:rPr>
        <w:instrText>title</w:instrText>
      </w:r>
      <w:r w:rsidR="002736BA" w:rsidRPr="0089207C">
        <w:instrText>":"</w:instrText>
      </w:r>
      <w:r w:rsidR="002736BA">
        <w:rPr>
          <w:lang w:val="en-US"/>
        </w:rPr>
        <w:instrText>Blood</w:instrText>
      </w:r>
      <w:r w:rsidR="002736BA" w:rsidRPr="0089207C">
        <w:instrText>","</w:instrText>
      </w:r>
      <w:r w:rsidR="002736BA">
        <w:rPr>
          <w:lang w:val="en-US"/>
        </w:rPr>
        <w:instrText>id</w:instrText>
      </w:r>
      <w:r w:rsidR="002736BA" w:rsidRPr="0089207C">
        <w:instrText>":"</w:instrText>
      </w:r>
      <w:r w:rsidR="002736BA">
        <w:rPr>
          <w:lang w:val="en-US"/>
        </w:rPr>
        <w:instrText>ITEM</w:instrText>
      </w:r>
      <w:r w:rsidR="002736BA" w:rsidRPr="0089207C">
        <w:instrText>-1","</w:instrText>
      </w:r>
      <w:r w:rsidR="002736BA">
        <w:rPr>
          <w:lang w:val="en-US"/>
        </w:rPr>
        <w:instrText>issue</w:instrText>
      </w:r>
      <w:r w:rsidR="002736BA" w:rsidRPr="0089207C">
        <w:instrText>":"10","</w:instrText>
      </w:r>
      <w:r w:rsidR="002736BA">
        <w:rPr>
          <w:lang w:val="en-US"/>
        </w:rPr>
        <w:instrText>issued</w:instrText>
      </w:r>
      <w:r w:rsidR="002736BA" w:rsidRPr="0089207C">
        <w:instrText>":{"</w:instrText>
      </w:r>
      <w:r w:rsidR="002736BA">
        <w:rPr>
          <w:lang w:val="en-US"/>
        </w:rPr>
        <w:instrText>date</w:instrText>
      </w:r>
      <w:r w:rsidR="002736BA" w:rsidRPr="0089207C">
        <w:instrText>-</w:instrText>
      </w:r>
      <w:r w:rsidR="002736BA">
        <w:rPr>
          <w:lang w:val="en-US"/>
        </w:rPr>
        <w:instrText>parts</w:instrText>
      </w:r>
      <w:r w:rsidR="002736BA" w:rsidRPr="0089207C">
        <w:instrText>":[["2008","5","15"]]},"</w:instrText>
      </w:r>
      <w:r w:rsidR="002736BA">
        <w:rPr>
          <w:lang w:val="en-US"/>
        </w:rPr>
        <w:instrText>page</w:instrText>
      </w:r>
      <w:r w:rsidR="002736BA" w:rsidRPr="0089207C">
        <w:instrText>":"4902-4907","</w:instrText>
      </w:r>
      <w:r w:rsidR="002736BA">
        <w:rPr>
          <w:lang w:val="en-US"/>
        </w:rPr>
        <w:instrText>title</w:instrText>
      </w:r>
      <w:r w:rsidR="002736BA" w:rsidRPr="0089207C">
        <w:instrText>":"</w:instrText>
      </w:r>
      <w:r w:rsidR="002736BA">
        <w:rPr>
          <w:lang w:val="en-US"/>
        </w:rPr>
        <w:instrText>Development</w:instrText>
      </w:r>
      <w:r w:rsidR="002736BA" w:rsidRPr="0089207C">
        <w:instrText xml:space="preserve"> </w:instrText>
      </w:r>
      <w:r w:rsidR="002736BA">
        <w:rPr>
          <w:lang w:val="en-US"/>
        </w:rPr>
        <w:instrText>and</w:instrText>
      </w:r>
      <w:r w:rsidR="002736BA" w:rsidRPr="0089207C">
        <w:instrText xml:space="preserve"> </w:instrText>
      </w:r>
      <w:r w:rsidR="002736BA">
        <w:rPr>
          <w:lang w:val="en-US"/>
        </w:rPr>
        <w:instrText>validation</w:instrText>
      </w:r>
      <w:r w:rsidR="002736BA" w:rsidRPr="0089207C">
        <w:instrText xml:space="preserve"> </w:instrText>
      </w:r>
      <w:r w:rsidR="002736BA">
        <w:rPr>
          <w:lang w:val="en-US"/>
        </w:rPr>
        <w:instrText>of</w:instrText>
      </w:r>
      <w:r w:rsidR="002736BA" w:rsidRPr="0089207C">
        <w:instrText xml:space="preserve"> </w:instrText>
      </w:r>
      <w:r w:rsidR="002736BA">
        <w:rPr>
          <w:lang w:val="en-US"/>
        </w:rPr>
        <w:instrText>a</w:instrText>
      </w:r>
      <w:r w:rsidR="002736BA" w:rsidRPr="0089207C">
        <w:instrText xml:space="preserve"> </w:instrText>
      </w:r>
      <w:r w:rsidR="002736BA">
        <w:rPr>
          <w:lang w:val="en-US"/>
        </w:rPr>
        <w:instrText>predictive</w:instrText>
      </w:r>
      <w:r w:rsidR="002736BA" w:rsidRPr="0089207C">
        <w:instrText xml:space="preserve"> </w:instrText>
      </w:r>
      <w:r w:rsidR="002736BA">
        <w:rPr>
          <w:lang w:val="en-US"/>
        </w:rPr>
        <w:instrText>model</w:instrText>
      </w:r>
      <w:r w:rsidR="002736BA" w:rsidRPr="0089207C">
        <w:instrText xml:space="preserve"> </w:instrText>
      </w:r>
      <w:r w:rsidR="002736BA">
        <w:rPr>
          <w:lang w:val="en-US"/>
        </w:rPr>
        <w:instrText>for</w:instrText>
      </w:r>
      <w:r w:rsidR="002736BA" w:rsidRPr="0089207C">
        <w:instrText xml:space="preserve"> </w:instrText>
      </w:r>
      <w:r w:rsidR="002736BA">
        <w:rPr>
          <w:lang w:val="en-US"/>
        </w:rPr>
        <w:instrText>chemotherapy</w:instrText>
      </w:r>
      <w:r w:rsidR="002736BA" w:rsidRPr="0089207C">
        <w:instrText xml:space="preserve">- </w:instrText>
      </w:r>
      <w:r w:rsidR="002736BA">
        <w:rPr>
          <w:lang w:val="en-US"/>
        </w:rPr>
        <w:instrText>associated</w:instrText>
      </w:r>
      <w:r w:rsidR="002736BA" w:rsidRPr="0089207C">
        <w:instrText xml:space="preserve"> </w:instrText>
      </w:r>
      <w:r w:rsidR="002736BA">
        <w:rPr>
          <w:lang w:val="en-US"/>
        </w:rPr>
        <w:instrText>thrombosis</w:instrText>
      </w:r>
      <w:r w:rsidR="002736BA" w:rsidRPr="0089207C">
        <w:instrText>","</w:instrText>
      </w:r>
      <w:r w:rsidR="002736BA">
        <w:rPr>
          <w:lang w:val="en-US"/>
        </w:rPr>
        <w:instrText>type</w:instrText>
      </w:r>
      <w:r w:rsidR="002736BA" w:rsidRPr="0089207C">
        <w:instrText>":"</w:instrText>
      </w:r>
      <w:r w:rsidR="002736BA">
        <w:rPr>
          <w:lang w:val="en-US"/>
        </w:rPr>
        <w:instrText>article</w:instrText>
      </w:r>
      <w:r w:rsidR="002736BA" w:rsidRPr="0089207C">
        <w:instrText>-</w:instrText>
      </w:r>
      <w:r w:rsidR="002736BA">
        <w:rPr>
          <w:lang w:val="en-US"/>
        </w:rPr>
        <w:instrText>journal</w:instrText>
      </w:r>
      <w:r w:rsidR="002736BA" w:rsidRPr="0089207C">
        <w:instrText>","</w:instrText>
      </w:r>
      <w:r w:rsidR="002736BA">
        <w:rPr>
          <w:lang w:val="en-US"/>
        </w:rPr>
        <w:instrText>volume</w:instrText>
      </w:r>
      <w:r w:rsidR="002736BA" w:rsidRPr="0089207C">
        <w:instrText>":"111"},"</w:instrText>
      </w:r>
      <w:r w:rsidR="002736BA">
        <w:rPr>
          <w:lang w:val="en-US"/>
        </w:rPr>
        <w:instrText>uris</w:instrText>
      </w:r>
      <w:r w:rsidR="002736BA" w:rsidRPr="0089207C">
        <w:instrText>":["</w:instrText>
      </w:r>
      <w:r w:rsidR="002736BA">
        <w:rPr>
          <w:lang w:val="en-US"/>
        </w:rPr>
        <w:instrText>http</w:instrText>
      </w:r>
      <w:r w:rsidR="002736BA" w:rsidRPr="0089207C">
        <w:instrText>://</w:instrText>
      </w:r>
      <w:r w:rsidR="002736BA">
        <w:rPr>
          <w:lang w:val="en-US"/>
        </w:rPr>
        <w:instrText>www</w:instrText>
      </w:r>
      <w:r w:rsidR="002736BA" w:rsidRPr="0089207C">
        <w:instrText>.</w:instrText>
      </w:r>
      <w:r w:rsidR="002736BA">
        <w:rPr>
          <w:lang w:val="en-US"/>
        </w:rPr>
        <w:instrText>mendeley</w:instrText>
      </w:r>
      <w:r w:rsidR="002736BA" w:rsidRPr="0089207C">
        <w:instrText>.</w:instrText>
      </w:r>
      <w:r w:rsidR="002736BA">
        <w:rPr>
          <w:lang w:val="en-US"/>
        </w:rPr>
        <w:instrText>com</w:instrText>
      </w:r>
      <w:r w:rsidR="002736BA" w:rsidRPr="0089207C">
        <w:instrText>/</w:instrText>
      </w:r>
      <w:r w:rsidR="002736BA">
        <w:rPr>
          <w:lang w:val="en-US"/>
        </w:rPr>
        <w:instrText>documents</w:instrText>
      </w:r>
      <w:r w:rsidR="002736BA" w:rsidRPr="0089207C">
        <w:instrText>/?</w:instrText>
      </w:r>
      <w:r w:rsidR="002736BA">
        <w:rPr>
          <w:lang w:val="en-US"/>
        </w:rPr>
        <w:instrText>uuid</w:instrText>
      </w:r>
      <w:r w:rsidR="002736BA" w:rsidRPr="0089207C">
        <w:instrText>=4</w:instrText>
      </w:r>
      <w:r w:rsidR="002736BA">
        <w:rPr>
          <w:lang w:val="en-US"/>
        </w:rPr>
        <w:instrText>c</w:instrText>
      </w:r>
      <w:r w:rsidR="002736BA" w:rsidRPr="0089207C">
        <w:instrText>4</w:instrText>
      </w:r>
      <w:r w:rsidR="002736BA">
        <w:rPr>
          <w:lang w:val="en-US"/>
        </w:rPr>
        <w:instrText>dbd</w:instrText>
      </w:r>
      <w:r w:rsidR="002736BA" w:rsidRPr="0089207C">
        <w:instrText>48-436</w:instrText>
      </w:r>
      <w:r w:rsidR="002736BA">
        <w:rPr>
          <w:lang w:val="en-US"/>
        </w:rPr>
        <w:instrText>b</w:instrText>
      </w:r>
      <w:r w:rsidR="002736BA" w:rsidRPr="0089207C">
        <w:instrText>-35</w:instrText>
      </w:r>
      <w:r w:rsidR="002736BA">
        <w:rPr>
          <w:lang w:val="en-US"/>
        </w:rPr>
        <w:instrText>e</w:instrText>
      </w:r>
      <w:r w:rsidR="002736BA" w:rsidRPr="0089207C">
        <w:instrText>3-9</w:instrText>
      </w:r>
      <w:r w:rsidR="002736BA">
        <w:rPr>
          <w:lang w:val="en-US"/>
        </w:rPr>
        <w:instrText>a</w:instrText>
      </w:r>
      <w:r w:rsidR="002736BA" w:rsidRPr="0089207C">
        <w:instrText>94-775</w:instrText>
      </w:r>
      <w:r w:rsidR="002736BA">
        <w:rPr>
          <w:lang w:val="en-US"/>
        </w:rPr>
        <w:instrText>de</w:instrText>
      </w:r>
      <w:r w:rsidR="002736BA" w:rsidRPr="0089207C">
        <w:instrText>2</w:instrText>
      </w:r>
      <w:r w:rsidR="002736BA">
        <w:rPr>
          <w:lang w:val="en-US"/>
        </w:rPr>
        <w:instrText>fff</w:instrText>
      </w:r>
      <w:r w:rsidR="002736BA" w:rsidRPr="0089207C">
        <w:instrText>380"]}],"</w:instrText>
      </w:r>
      <w:r w:rsidR="002736BA">
        <w:rPr>
          <w:lang w:val="en-US"/>
        </w:rPr>
        <w:instrText>mendeley</w:instrText>
      </w:r>
      <w:r w:rsidR="002736BA" w:rsidRPr="0089207C">
        <w:instrText>":{"</w:instrText>
      </w:r>
      <w:r w:rsidR="002736BA">
        <w:rPr>
          <w:lang w:val="en-US"/>
        </w:rPr>
        <w:instrText>formattedCitation</w:instrText>
      </w:r>
      <w:r w:rsidR="002736BA" w:rsidRPr="0089207C">
        <w:instrText>":"[270]","</w:instrText>
      </w:r>
      <w:r w:rsidR="002736BA">
        <w:rPr>
          <w:lang w:val="en-US"/>
        </w:rPr>
        <w:instrText>plainTextFormattedCitation</w:instrText>
      </w:r>
      <w:r w:rsidR="002736BA" w:rsidRPr="0089207C">
        <w:instrText>":"[270]","</w:instrText>
      </w:r>
      <w:r w:rsidR="002736BA">
        <w:rPr>
          <w:lang w:val="en-US"/>
        </w:rPr>
        <w:instrText>previouslyFormattedCitation</w:instrText>
      </w:r>
      <w:r w:rsidR="002736BA" w:rsidRPr="0089207C">
        <w:instrText>":"[270]"},"</w:instrText>
      </w:r>
      <w:r w:rsidR="002736BA">
        <w:rPr>
          <w:lang w:val="en-US"/>
        </w:rPr>
        <w:instrText>properties</w:instrText>
      </w:r>
      <w:r w:rsidR="002736BA" w:rsidRPr="0089207C">
        <w:instrText>":{"</w:instrText>
      </w:r>
      <w:r w:rsidR="002736BA">
        <w:rPr>
          <w:lang w:val="en-US"/>
        </w:rPr>
        <w:instrText>noteIndex</w:instrText>
      </w:r>
      <w:r w:rsidR="002736BA" w:rsidRPr="0089207C">
        <w:instrText>":0},"</w:instrText>
      </w:r>
      <w:r w:rsidR="002736BA">
        <w:rPr>
          <w:lang w:val="en-US"/>
        </w:rPr>
        <w:instrText>schema</w:instrText>
      </w:r>
      <w:r w:rsidR="002736BA" w:rsidRPr="0089207C">
        <w:instrText>":"</w:instrText>
      </w:r>
      <w:r w:rsidR="002736BA">
        <w:rPr>
          <w:lang w:val="en-US"/>
        </w:rPr>
        <w:instrText>https</w:instrText>
      </w:r>
      <w:r w:rsidR="002736BA" w:rsidRPr="0089207C">
        <w:instrText>://</w:instrText>
      </w:r>
      <w:r w:rsidR="002736BA">
        <w:rPr>
          <w:lang w:val="en-US"/>
        </w:rPr>
        <w:instrText>github</w:instrText>
      </w:r>
      <w:r w:rsidR="002736BA" w:rsidRPr="0089207C">
        <w:instrText>.</w:instrText>
      </w:r>
      <w:r w:rsidR="002736BA">
        <w:rPr>
          <w:lang w:val="en-US"/>
        </w:rPr>
        <w:instrText>com</w:instrText>
      </w:r>
      <w:r w:rsidR="002736BA" w:rsidRPr="0089207C">
        <w:instrText>/</w:instrText>
      </w:r>
      <w:r w:rsidR="002736BA">
        <w:rPr>
          <w:lang w:val="en-US"/>
        </w:rPr>
        <w:instrText>citation</w:instrText>
      </w:r>
      <w:r w:rsidR="002736BA" w:rsidRPr="0089207C">
        <w:instrText>-</w:instrText>
      </w:r>
      <w:r w:rsidR="002736BA">
        <w:rPr>
          <w:lang w:val="en-US"/>
        </w:rPr>
        <w:instrText>style</w:instrText>
      </w:r>
      <w:r w:rsidR="002736BA" w:rsidRPr="0089207C">
        <w:instrText>-</w:instrText>
      </w:r>
      <w:r w:rsidR="002736BA">
        <w:rPr>
          <w:lang w:val="en-US"/>
        </w:rPr>
        <w:instrText>language</w:instrText>
      </w:r>
      <w:r w:rsidR="002736BA" w:rsidRPr="0089207C">
        <w:instrText>/</w:instrText>
      </w:r>
      <w:r w:rsidR="002736BA">
        <w:rPr>
          <w:lang w:val="en-US"/>
        </w:rPr>
        <w:instrText>schema</w:instrText>
      </w:r>
      <w:r w:rsidR="002736BA" w:rsidRPr="0089207C">
        <w:instrText>/</w:instrText>
      </w:r>
      <w:r w:rsidR="002736BA">
        <w:rPr>
          <w:lang w:val="en-US"/>
        </w:rPr>
        <w:instrText>raw</w:instrText>
      </w:r>
      <w:r w:rsidR="002736BA" w:rsidRPr="0089207C">
        <w:instrText>/</w:instrText>
      </w:r>
      <w:r w:rsidR="002736BA">
        <w:rPr>
          <w:lang w:val="en-US"/>
        </w:rPr>
        <w:instrText>master</w:instrText>
      </w:r>
      <w:r w:rsidR="002736BA" w:rsidRPr="0089207C">
        <w:instrText>/</w:instrText>
      </w:r>
      <w:r w:rsidR="002736BA">
        <w:rPr>
          <w:lang w:val="en-US"/>
        </w:rPr>
        <w:instrText>csl</w:instrText>
      </w:r>
      <w:r w:rsidR="002736BA" w:rsidRPr="0089207C">
        <w:instrText>-</w:instrText>
      </w:r>
      <w:r w:rsidR="002736BA">
        <w:rPr>
          <w:lang w:val="en-US"/>
        </w:rPr>
        <w:instrText>citation</w:instrText>
      </w:r>
      <w:r w:rsidR="002736BA" w:rsidRPr="0089207C">
        <w:instrText>.</w:instrText>
      </w:r>
      <w:r w:rsidR="002736BA">
        <w:rPr>
          <w:lang w:val="en-US"/>
        </w:rPr>
        <w:instrText>json</w:instrText>
      </w:r>
      <w:r w:rsidR="002736BA" w:rsidRPr="0089207C">
        <w:instrText>"}</w:instrText>
      </w:r>
      <w:r w:rsidRPr="000322E4">
        <w:fldChar w:fldCharType="separate"/>
      </w:r>
      <w:r w:rsidR="006E1ADA" w:rsidRPr="006E1ADA">
        <w:rPr>
          <w:noProof/>
        </w:rPr>
        <w:t>[270]</w:t>
      </w:r>
      <w:r w:rsidRPr="000322E4">
        <w:fldChar w:fldCharType="end"/>
      </w:r>
    </w:p>
    <w:p w14:paraId="40C50350" w14:textId="77777777" w:rsidR="00F82D52" w:rsidRPr="000322E4" w:rsidRDefault="00F82D52" w:rsidP="008E3584">
      <w:r w:rsidRPr="000322E4">
        <w:t>Тип: шкала оценки</w:t>
      </w:r>
    </w:p>
    <w:p w14:paraId="611CE4D5" w14:textId="77777777" w:rsidR="00F82D52" w:rsidRPr="000322E4" w:rsidRDefault="00F82D52" w:rsidP="008E3584">
      <w:r w:rsidRPr="000322E4">
        <w:t xml:space="preserve">Назначение: клиническая оценка общего состояния пациента </w:t>
      </w:r>
    </w:p>
    <w:p w14:paraId="2C83B83D" w14:textId="77777777" w:rsidR="00F82D52" w:rsidRPr="000322E4" w:rsidRDefault="00F82D52" w:rsidP="008E3584">
      <w:pPr>
        <w:rPr>
          <w:bCs/>
        </w:rPr>
      </w:pPr>
      <w:r w:rsidRPr="000322E4">
        <w:rPr>
          <w:bCs/>
        </w:rPr>
        <w:t>Содержание и интерпретация:</w:t>
      </w:r>
    </w:p>
    <w:p w14:paraId="543FD579" w14:textId="77777777" w:rsidR="00F82D52" w:rsidRPr="000322E4" w:rsidRDefault="00F82D52" w:rsidP="00CA442F">
      <w:pPr>
        <w:pStyle w:val="afffb"/>
        <w:ind w:firstLine="0"/>
      </w:pPr>
    </w:p>
    <w:p w14:paraId="2FED7094" w14:textId="77777777" w:rsidR="00F82D52" w:rsidRPr="000322E4" w:rsidRDefault="00F82D52" w:rsidP="00CA442F">
      <w:pPr>
        <w:pStyle w:val="afffb"/>
        <w:ind w:firstLine="0"/>
      </w:pPr>
    </w:p>
    <w:tbl>
      <w:tblPr>
        <w:tblW w:w="5000" w:type="pct"/>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0" w:type="dxa"/>
          <w:bottom w:w="55" w:type="dxa"/>
          <w:right w:w="55" w:type="dxa"/>
        </w:tblCellMar>
        <w:tblLook w:val="0000" w:firstRow="0" w:lastRow="0" w:firstColumn="0" w:lastColumn="0" w:noHBand="0" w:noVBand="0"/>
      </w:tblPr>
      <w:tblGrid>
        <w:gridCol w:w="5424"/>
        <w:gridCol w:w="3359"/>
      </w:tblGrid>
      <w:tr w:rsidR="00F82D52" w:rsidRPr="000322E4" w14:paraId="2926211E" w14:textId="77777777" w:rsidTr="00CE3F35">
        <w:tc>
          <w:tcPr>
            <w:tcW w:w="3088" w:type="pct"/>
            <w:tcBorders>
              <w:top w:val="single" w:sz="2" w:space="0" w:color="000001"/>
              <w:left w:val="single" w:sz="2" w:space="0" w:color="000001"/>
              <w:bottom w:val="single" w:sz="2" w:space="0" w:color="000001"/>
              <w:right w:val="single" w:sz="2" w:space="0" w:color="000001"/>
            </w:tcBorders>
            <w:shd w:val="clear" w:color="auto" w:fill="auto"/>
          </w:tcPr>
          <w:p w14:paraId="4304ADA4" w14:textId="77777777" w:rsidR="00F82D52" w:rsidRPr="000322E4" w:rsidRDefault="00F82D52" w:rsidP="008E3584">
            <w:pPr>
              <w:rPr>
                <w:b/>
              </w:rPr>
            </w:pPr>
            <w:r w:rsidRPr="000322E4">
              <w:rPr>
                <w:b/>
              </w:rPr>
              <w:t>ФАКТОРЫ РИСКА БАЛЛЫ</w:t>
            </w:r>
          </w:p>
        </w:tc>
        <w:tc>
          <w:tcPr>
            <w:tcW w:w="1912" w:type="pct"/>
            <w:tcBorders>
              <w:top w:val="single" w:sz="2" w:space="0" w:color="000001"/>
              <w:left w:val="single" w:sz="2" w:space="0" w:color="000001"/>
              <w:bottom w:val="single" w:sz="2" w:space="0" w:color="000001"/>
              <w:right w:val="single" w:sz="2" w:space="0" w:color="000001"/>
            </w:tcBorders>
            <w:shd w:val="clear" w:color="auto" w:fill="auto"/>
          </w:tcPr>
          <w:p w14:paraId="2586382F" w14:textId="77777777" w:rsidR="00F82D52" w:rsidRPr="000322E4" w:rsidRDefault="00F82D52" w:rsidP="008E3584">
            <w:pPr>
              <w:rPr>
                <w:b/>
              </w:rPr>
            </w:pPr>
            <w:r w:rsidRPr="000322E4">
              <w:rPr>
                <w:b/>
              </w:rPr>
              <w:t>ФАКТОРЫ РИСКА БАЛЛЫ</w:t>
            </w:r>
          </w:p>
        </w:tc>
      </w:tr>
      <w:tr w:rsidR="00F82D52" w:rsidRPr="000322E4" w14:paraId="2E27DF36" w14:textId="77777777" w:rsidTr="00CE3F35">
        <w:tc>
          <w:tcPr>
            <w:tcW w:w="3088" w:type="pct"/>
            <w:tcBorders>
              <w:top w:val="single" w:sz="2" w:space="0" w:color="000001"/>
              <w:left w:val="single" w:sz="2" w:space="0" w:color="000001"/>
              <w:bottom w:val="single" w:sz="2" w:space="0" w:color="000001"/>
              <w:right w:val="single" w:sz="2" w:space="0" w:color="000001"/>
            </w:tcBorders>
            <w:shd w:val="clear" w:color="auto" w:fill="auto"/>
          </w:tcPr>
          <w:p w14:paraId="36D13EA9" w14:textId="77777777" w:rsidR="00F82D52" w:rsidRPr="000322E4" w:rsidRDefault="00F82D52" w:rsidP="008E3584">
            <w:r w:rsidRPr="000322E4">
              <w:t>Локализация опухоли</w:t>
            </w:r>
          </w:p>
          <w:p w14:paraId="145DAD2B" w14:textId="77777777" w:rsidR="00F82D52" w:rsidRPr="000322E4" w:rsidRDefault="00F82D52" w:rsidP="008E3584">
            <w:r w:rsidRPr="000322E4">
              <w:t>Очень высокий риск (желудок, поджелудочная железа)</w:t>
            </w:r>
          </w:p>
          <w:p w14:paraId="68C900F1" w14:textId="77777777" w:rsidR="00F82D52" w:rsidRPr="000322E4" w:rsidRDefault="00F82D52" w:rsidP="008E3584">
            <w:r w:rsidRPr="000322E4">
              <w:t>Высокий риск (легкие, лимфома, кровь, яички, яичники, матка)</w:t>
            </w:r>
          </w:p>
        </w:tc>
        <w:tc>
          <w:tcPr>
            <w:tcW w:w="1912" w:type="pct"/>
            <w:tcBorders>
              <w:top w:val="single" w:sz="2" w:space="0" w:color="000001"/>
              <w:left w:val="single" w:sz="2" w:space="0" w:color="000001"/>
              <w:bottom w:val="single" w:sz="2" w:space="0" w:color="000001"/>
              <w:right w:val="single" w:sz="2" w:space="0" w:color="000001"/>
            </w:tcBorders>
            <w:shd w:val="clear" w:color="auto" w:fill="auto"/>
          </w:tcPr>
          <w:p w14:paraId="023611D8" w14:textId="77777777" w:rsidR="00F82D52" w:rsidRPr="000322E4" w:rsidRDefault="00F82D52" w:rsidP="008E3584">
            <w:r w:rsidRPr="000322E4">
              <w:t>2</w:t>
            </w:r>
          </w:p>
          <w:p w14:paraId="6F573B58" w14:textId="77777777" w:rsidR="00F82D52" w:rsidRPr="000322E4" w:rsidRDefault="00F82D52" w:rsidP="008E3584"/>
          <w:p w14:paraId="008CA1CD" w14:textId="77777777" w:rsidR="00F82D52" w:rsidRPr="000322E4" w:rsidRDefault="00F82D52" w:rsidP="008E3584">
            <w:r w:rsidRPr="000322E4">
              <w:t>1</w:t>
            </w:r>
          </w:p>
        </w:tc>
      </w:tr>
      <w:tr w:rsidR="00F82D52" w:rsidRPr="000322E4" w14:paraId="2434222D" w14:textId="77777777" w:rsidTr="00CE3F35">
        <w:tc>
          <w:tcPr>
            <w:tcW w:w="3088" w:type="pct"/>
            <w:tcBorders>
              <w:top w:val="single" w:sz="2" w:space="0" w:color="000001"/>
              <w:left w:val="single" w:sz="2" w:space="0" w:color="000001"/>
              <w:bottom w:val="single" w:sz="2" w:space="0" w:color="000001"/>
              <w:right w:val="single" w:sz="2" w:space="0" w:color="000001"/>
            </w:tcBorders>
            <w:shd w:val="clear" w:color="auto" w:fill="auto"/>
          </w:tcPr>
          <w:p w14:paraId="4AAAD4C3" w14:textId="77777777" w:rsidR="00F82D52" w:rsidRPr="000322E4" w:rsidRDefault="00F82D52" w:rsidP="008E3584">
            <w:r w:rsidRPr="000322E4">
              <w:t>Количество тромбоцитов в крови перед началом химиотерапии ≥ 350 000/мл</w:t>
            </w:r>
            <w:r w:rsidRPr="000322E4">
              <w:rPr>
                <w:vertAlign w:val="superscript"/>
              </w:rPr>
              <w:t>3</w:t>
            </w:r>
          </w:p>
        </w:tc>
        <w:tc>
          <w:tcPr>
            <w:tcW w:w="1912" w:type="pct"/>
            <w:tcBorders>
              <w:top w:val="single" w:sz="2" w:space="0" w:color="000001"/>
              <w:left w:val="single" w:sz="2" w:space="0" w:color="000001"/>
              <w:bottom w:val="single" w:sz="2" w:space="0" w:color="000001"/>
              <w:right w:val="single" w:sz="2" w:space="0" w:color="000001"/>
            </w:tcBorders>
            <w:shd w:val="clear" w:color="auto" w:fill="auto"/>
          </w:tcPr>
          <w:p w14:paraId="16B12063" w14:textId="77777777" w:rsidR="00F82D52" w:rsidRPr="000322E4" w:rsidRDefault="00F82D52" w:rsidP="008E3584">
            <w:r w:rsidRPr="000322E4">
              <w:t>1</w:t>
            </w:r>
          </w:p>
        </w:tc>
      </w:tr>
      <w:tr w:rsidR="00F82D52" w:rsidRPr="000322E4" w14:paraId="7FCAEF23" w14:textId="77777777" w:rsidTr="00CE3F35">
        <w:tc>
          <w:tcPr>
            <w:tcW w:w="3088" w:type="pct"/>
            <w:tcBorders>
              <w:top w:val="single" w:sz="2" w:space="0" w:color="000001"/>
              <w:left w:val="single" w:sz="2" w:space="0" w:color="000001"/>
              <w:bottom w:val="single" w:sz="2" w:space="0" w:color="000001"/>
              <w:right w:val="single" w:sz="2" w:space="0" w:color="000001"/>
            </w:tcBorders>
            <w:shd w:val="clear" w:color="auto" w:fill="auto"/>
          </w:tcPr>
          <w:p w14:paraId="7F0FD244" w14:textId="77777777" w:rsidR="00F82D52" w:rsidRPr="000322E4" w:rsidRDefault="00F82D52" w:rsidP="008E3584">
            <w:r w:rsidRPr="000322E4">
              <w:t>Уровень гемоглобина менее 10 г/дл или использование эритропоэтинов</w:t>
            </w:r>
          </w:p>
        </w:tc>
        <w:tc>
          <w:tcPr>
            <w:tcW w:w="1912" w:type="pct"/>
            <w:tcBorders>
              <w:top w:val="single" w:sz="2" w:space="0" w:color="000001"/>
              <w:left w:val="single" w:sz="2" w:space="0" w:color="000001"/>
              <w:bottom w:val="single" w:sz="2" w:space="0" w:color="000001"/>
              <w:right w:val="single" w:sz="2" w:space="0" w:color="000001"/>
            </w:tcBorders>
            <w:shd w:val="clear" w:color="auto" w:fill="auto"/>
          </w:tcPr>
          <w:p w14:paraId="1D026434" w14:textId="77777777" w:rsidR="00F82D52" w:rsidRPr="000322E4" w:rsidRDefault="00F82D52" w:rsidP="008E3584">
            <w:pPr>
              <w:pStyle w:val="affff5"/>
              <w:rPr>
                <w:rFonts w:cs="Times New Roman"/>
                <w:szCs w:val="24"/>
              </w:rPr>
            </w:pPr>
            <w:r w:rsidRPr="000322E4">
              <w:rPr>
                <w:rFonts w:cs="Times New Roman"/>
                <w:szCs w:val="24"/>
              </w:rPr>
              <w:t>1</w:t>
            </w:r>
          </w:p>
        </w:tc>
      </w:tr>
      <w:tr w:rsidR="00F82D52" w:rsidRPr="000322E4" w14:paraId="0774D50B" w14:textId="77777777" w:rsidTr="00CE3F35">
        <w:tc>
          <w:tcPr>
            <w:tcW w:w="3088" w:type="pct"/>
            <w:tcBorders>
              <w:top w:val="single" w:sz="2" w:space="0" w:color="000001"/>
              <w:left w:val="single" w:sz="2" w:space="0" w:color="000001"/>
              <w:bottom w:val="single" w:sz="2" w:space="0" w:color="000001"/>
              <w:right w:val="single" w:sz="2" w:space="0" w:color="000001"/>
            </w:tcBorders>
            <w:shd w:val="clear" w:color="auto" w:fill="auto"/>
          </w:tcPr>
          <w:p w14:paraId="27450029" w14:textId="77777777" w:rsidR="00F82D52" w:rsidRPr="000322E4" w:rsidRDefault="00F82D52" w:rsidP="008E3584">
            <w:r w:rsidRPr="000322E4">
              <w:t>Количество лейкоцитов в крови перед началом химиотерапии &gt; 11 000/мл</w:t>
            </w:r>
            <w:r w:rsidRPr="000322E4">
              <w:rPr>
                <w:vertAlign w:val="superscript"/>
              </w:rPr>
              <w:t>3</w:t>
            </w:r>
          </w:p>
        </w:tc>
        <w:tc>
          <w:tcPr>
            <w:tcW w:w="1912" w:type="pct"/>
            <w:tcBorders>
              <w:top w:val="single" w:sz="2" w:space="0" w:color="000001"/>
              <w:left w:val="single" w:sz="2" w:space="0" w:color="000001"/>
              <w:bottom w:val="single" w:sz="2" w:space="0" w:color="000001"/>
              <w:right w:val="single" w:sz="2" w:space="0" w:color="000001"/>
            </w:tcBorders>
            <w:shd w:val="clear" w:color="auto" w:fill="auto"/>
          </w:tcPr>
          <w:p w14:paraId="1D23F4D8" w14:textId="77777777" w:rsidR="00F82D52" w:rsidRPr="000322E4" w:rsidRDefault="00F82D52" w:rsidP="008E3584">
            <w:pPr>
              <w:pStyle w:val="affff5"/>
              <w:rPr>
                <w:rFonts w:cs="Times New Roman"/>
                <w:szCs w:val="24"/>
              </w:rPr>
            </w:pPr>
            <w:r w:rsidRPr="000322E4">
              <w:rPr>
                <w:rFonts w:cs="Times New Roman"/>
                <w:szCs w:val="24"/>
              </w:rPr>
              <w:t>1</w:t>
            </w:r>
          </w:p>
        </w:tc>
      </w:tr>
      <w:tr w:rsidR="00F82D52" w:rsidRPr="000322E4" w14:paraId="50C5DD79" w14:textId="77777777" w:rsidTr="00CE3F35">
        <w:tc>
          <w:tcPr>
            <w:tcW w:w="3088" w:type="pct"/>
            <w:tcBorders>
              <w:top w:val="single" w:sz="2" w:space="0" w:color="000001"/>
              <w:left w:val="single" w:sz="2" w:space="0" w:color="000001"/>
              <w:bottom w:val="single" w:sz="2" w:space="0" w:color="000001"/>
              <w:right w:val="single" w:sz="2" w:space="0" w:color="000001"/>
            </w:tcBorders>
            <w:shd w:val="clear" w:color="auto" w:fill="auto"/>
          </w:tcPr>
          <w:p w14:paraId="281DC0EB" w14:textId="77777777" w:rsidR="00F82D52" w:rsidRPr="000322E4" w:rsidRDefault="00F82D52" w:rsidP="008E3584">
            <w:r w:rsidRPr="000322E4">
              <w:t>Ожирение (индекс массы тела выше 35 кг/м</w:t>
            </w:r>
            <w:r w:rsidRPr="000322E4">
              <w:rPr>
                <w:vertAlign w:val="superscript"/>
              </w:rPr>
              <w:t>2</w:t>
            </w:r>
            <w:r w:rsidRPr="000322E4">
              <w:t>) и выше</w:t>
            </w:r>
          </w:p>
        </w:tc>
        <w:tc>
          <w:tcPr>
            <w:tcW w:w="1912" w:type="pct"/>
            <w:tcBorders>
              <w:top w:val="single" w:sz="2" w:space="0" w:color="000001"/>
              <w:left w:val="single" w:sz="2" w:space="0" w:color="000001"/>
              <w:bottom w:val="single" w:sz="2" w:space="0" w:color="000001"/>
              <w:right w:val="single" w:sz="2" w:space="0" w:color="000001"/>
            </w:tcBorders>
            <w:shd w:val="clear" w:color="auto" w:fill="auto"/>
          </w:tcPr>
          <w:p w14:paraId="187EBA82" w14:textId="77777777" w:rsidR="00F82D52" w:rsidRPr="000322E4" w:rsidRDefault="00F82D52" w:rsidP="008E3584">
            <w:pPr>
              <w:pStyle w:val="affff5"/>
              <w:rPr>
                <w:rFonts w:cs="Times New Roman"/>
                <w:szCs w:val="24"/>
              </w:rPr>
            </w:pPr>
            <w:r w:rsidRPr="000322E4">
              <w:rPr>
                <w:rFonts w:cs="Times New Roman"/>
                <w:szCs w:val="24"/>
              </w:rPr>
              <w:t>1</w:t>
            </w:r>
          </w:p>
        </w:tc>
      </w:tr>
      <w:tr w:rsidR="00F82D52" w:rsidRPr="000322E4" w14:paraId="64121B58" w14:textId="77777777" w:rsidTr="00CE3F35">
        <w:tc>
          <w:tcPr>
            <w:tcW w:w="3088" w:type="pct"/>
            <w:tcBorders>
              <w:top w:val="single" w:sz="2" w:space="0" w:color="000001"/>
              <w:left w:val="single" w:sz="2" w:space="0" w:color="000001"/>
              <w:bottom w:val="single" w:sz="2" w:space="0" w:color="000001"/>
              <w:right w:val="single" w:sz="2" w:space="0" w:color="000001"/>
            </w:tcBorders>
            <w:shd w:val="clear" w:color="auto" w:fill="auto"/>
          </w:tcPr>
          <w:p w14:paraId="51CE5967" w14:textId="77777777" w:rsidR="00F82D52" w:rsidRPr="000322E4" w:rsidRDefault="00F82D52" w:rsidP="008E3584">
            <w:pPr>
              <w:pStyle w:val="affff5"/>
              <w:rPr>
                <w:rFonts w:cs="Times New Roman"/>
                <w:szCs w:val="24"/>
              </w:rPr>
            </w:pPr>
          </w:p>
        </w:tc>
        <w:tc>
          <w:tcPr>
            <w:tcW w:w="1912" w:type="pct"/>
            <w:tcBorders>
              <w:top w:val="single" w:sz="2" w:space="0" w:color="000001"/>
              <w:left w:val="single" w:sz="2" w:space="0" w:color="000001"/>
              <w:bottom w:val="single" w:sz="2" w:space="0" w:color="000001"/>
              <w:right w:val="single" w:sz="2" w:space="0" w:color="000001"/>
            </w:tcBorders>
            <w:shd w:val="clear" w:color="auto" w:fill="auto"/>
          </w:tcPr>
          <w:p w14:paraId="74489437" w14:textId="77777777" w:rsidR="00F82D52" w:rsidRPr="000322E4" w:rsidRDefault="00F82D52" w:rsidP="008E3584">
            <w:r w:rsidRPr="000322E4">
              <w:t>Риск развития ВТЭО</w:t>
            </w:r>
          </w:p>
          <w:p w14:paraId="1F6AECFB" w14:textId="77777777" w:rsidR="00F82D52" w:rsidRPr="000322E4" w:rsidRDefault="00F82D52" w:rsidP="008E3584">
            <w:r w:rsidRPr="000322E4">
              <w:t>за 2–5 мес. (%)</w:t>
            </w:r>
          </w:p>
        </w:tc>
      </w:tr>
      <w:tr w:rsidR="00F82D52" w:rsidRPr="000322E4" w14:paraId="4623EAA5" w14:textId="77777777" w:rsidTr="00CE3F35">
        <w:tc>
          <w:tcPr>
            <w:tcW w:w="3088" w:type="pct"/>
            <w:tcBorders>
              <w:top w:val="single" w:sz="2" w:space="0" w:color="000001"/>
              <w:left w:val="single" w:sz="2" w:space="0" w:color="000001"/>
              <w:bottom w:val="single" w:sz="2" w:space="0" w:color="000001"/>
              <w:right w:val="single" w:sz="2" w:space="0" w:color="000001"/>
            </w:tcBorders>
            <w:shd w:val="clear" w:color="auto" w:fill="auto"/>
          </w:tcPr>
          <w:p w14:paraId="25AFE7B8" w14:textId="77777777" w:rsidR="00F82D52" w:rsidRPr="000322E4" w:rsidRDefault="00F82D52" w:rsidP="008E3584">
            <w:r w:rsidRPr="000322E4">
              <w:t>Высокий риск, сумма баллов ≥ 3</w:t>
            </w:r>
          </w:p>
        </w:tc>
        <w:tc>
          <w:tcPr>
            <w:tcW w:w="1912" w:type="pct"/>
            <w:tcBorders>
              <w:top w:val="single" w:sz="2" w:space="0" w:color="000001"/>
              <w:left w:val="single" w:sz="2" w:space="0" w:color="000001"/>
              <w:bottom w:val="single" w:sz="2" w:space="0" w:color="000001"/>
              <w:right w:val="single" w:sz="2" w:space="0" w:color="000001"/>
            </w:tcBorders>
            <w:shd w:val="clear" w:color="auto" w:fill="auto"/>
          </w:tcPr>
          <w:p w14:paraId="68595522" w14:textId="77777777" w:rsidR="00F82D52" w:rsidRPr="000322E4" w:rsidRDefault="00F82D52" w:rsidP="008E3584">
            <w:r w:rsidRPr="000322E4">
              <w:t>6,7–7,1</w:t>
            </w:r>
          </w:p>
        </w:tc>
      </w:tr>
      <w:tr w:rsidR="00F82D52" w:rsidRPr="000322E4" w14:paraId="178FB32D" w14:textId="77777777" w:rsidTr="00CE3F35">
        <w:tc>
          <w:tcPr>
            <w:tcW w:w="3088" w:type="pct"/>
            <w:tcBorders>
              <w:top w:val="single" w:sz="2" w:space="0" w:color="000001"/>
              <w:left w:val="single" w:sz="2" w:space="0" w:color="000001"/>
              <w:bottom w:val="single" w:sz="2" w:space="0" w:color="000001"/>
              <w:right w:val="single" w:sz="2" w:space="0" w:color="000001"/>
            </w:tcBorders>
            <w:shd w:val="clear" w:color="auto" w:fill="auto"/>
          </w:tcPr>
          <w:p w14:paraId="6AED87FE" w14:textId="77777777" w:rsidR="00F82D52" w:rsidRPr="000322E4" w:rsidRDefault="00F82D52" w:rsidP="008E3584">
            <w:r w:rsidRPr="000322E4">
              <w:t>Средний риск, сумма баллов 1–2</w:t>
            </w:r>
          </w:p>
        </w:tc>
        <w:tc>
          <w:tcPr>
            <w:tcW w:w="1912" w:type="pct"/>
            <w:tcBorders>
              <w:top w:val="single" w:sz="2" w:space="0" w:color="000001"/>
              <w:left w:val="single" w:sz="2" w:space="0" w:color="000001"/>
              <w:bottom w:val="single" w:sz="2" w:space="0" w:color="000001"/>
              <w:right w:val="single" w:sz="2" w:space="0" w:color="000001"/>
            </w:tcBorders>
            <w:shd w:val="clear" w:color="auto" w:fill="auto"/>
          </w:tcPr>
          <w:p w14:paraId="35870320" w14:textId="77777777" w:rsidR="00F82D52" w:rsidRPr="000322E4" w:rsidRDefault="00F82D52" w:rsidP="008E3584">
            <w:r w:rsidRPr="000322E4">
              <w:t>1,8–2</w:t>
            </w:r>
          </w:p>
        </w:tc>
      </w:tr>
      <w:tr w:rsidR="00F82D52" w:rsidRPr="00154AEE" w14:paraId="685708DB" w14:textId="77777777" w:rsidTr="00CE3F35">
        <w:tc>
          <w:tcPr>
            <w:tcW w:w="3088" w:type="pct"/>
            <w:tcBorders>
              <w:top w:val="single" w:sz="2" w:space="0" w:color="000001"/>
              <w:left w:val="single" w:sz="2" w:space="0" w:color="000001"/>
              <w:bottom w:val="single" w:sz="2" w:space="0" w:color="000001"/>
              <w:right w:val="single" w:sz="2" w:space="0" w:color="000001"/>
            </w:tcBorders>
            <w:shd w:val="clear" w:color="auto" w:fill="auto"/>
          </w:tcPr>
          <w:p w14:paraId="7ED982EF" w14:textId="77777777" w:rsidR="00F82D52" w:rsidRPr="000322E4" w:rsidRDefault="00F82D52" w:rsidP="008E3584">
            <w:r w:rsidRPr="000322E4">
              <w:t>Низкий риск, сумма баллов 0</w:t>
            </w:r>
          </w:p>
        </w:tc>
        <w:tc>
          <w:tcPr>
            <w:tcW w:w="1912" w:type="pct"/>
            <w:tcBorders>
              <w:top w:val="single" w:sz="2" w:space="0" w:color="000001"/>
              <w:left w:val="single" w:sz="2" w:space="0" w:color="000001"/>
              <w:bottom w:val="single" w:sz="2" w:space="0" w:color="000001"/>
              <w:right w:val="single" w:sz="2" w:space="0" w:color="000001"/>
            </w:tcBorders>
            <w:shd w:val="clear" w:color="auto" w:fill="auto"/>
          </w:tcPr>
          <w:p w14:paraId="798116DD" w14:textId="77777777" w:rsidR="00F82D52" w:rsidRPr="00154AEE" w:rsidRDefault="00F82D52" w:rsidP="008E3584">
            <w:r w:rsidRPr="000322E4">
              <w:t>0,3–0,8</w:t>
            </w:r>
          </w:p>
        </w:tc>
      </w:tr>
    </w:tbl>
    <w:p w14:paraId="6DFB9B0A" w14:textId="3073E9C4" w:rsidR="00F82D52" w:rsidRDefault="00F82D52" w:rsidP="00CA442F">
      <w:pPr>
        <w:pStyle w:val="afffb"/>
        <w:ind w:firstLine="0"/>
      </w:pPr>
    </w:p>
    <w:p w14:paraId="69DBD580" w14:textId="319A6C6A" w:rsidR="00A124BA" w:rsidRDefault="00A124BA" w:rsidP="00CA442F">
      <w:pPr>
        <w:pStyle w:val="afffb"/>
        <w:ind w:firstLine="0"/>
      </w:pPr>
    </w:p>
    <w:p w14:paraId="35E852C4" w14:textId="6080125D" w:rsidR="00306810" w:rsidRPr="00306810" w:rsidRDefault="00A124BA" w:rsidP="00306810">
      <w:pPr>
        <w:pStyle w:val="2"/>
        <w:spacing w:before="0"/>
      </w:pPr>
      <w:bookmarkStart w:id="308" w:name="_Toc66096879"/>
      <w:r w:rsidRPr="000322E4">
        <w:t>Приложение Г</w:t>
      </w:r>
      <w:r>
        <w:t xml:space="preserve">4. </w:t>
      </w:r>
      <w:bookmarkStart w:id="309" w:name="_Toc44401120"/>
      <w:r w:rsidR="00306810" w:rsidRPr="00777124">
        <w:rPr>
          <w:rFonts w:eastAsia="SimSun"/>
        </w:rPr>
        <w:t>Расчет трансплантационного риска по шкале EBMT</w:t>
      </w:r>
      <w:bookmarkEnd w:id="308"/>
      <w:bookmarkEnd w:id="309"/>
    </w:p>
    <w:p w14:paraId="419FE7C2" w14:textId="398B1FD8" w:rsidR="00306810" w:rsidRPr="00777124" w:rsidRDefault="00306810" w:rsidP="00306810">
      <w:pPr>
        <w:ind w:firstLine="709"/>
        <w:rPr>
          <w:rFonts w:eastAsia="SimSun"/>
        </w:rPr>
      </w:pPr>
      <w:r w:rsidRPr="00777124">
        <w:rPr>
          <w:rFonts w:eastAsia="SimSun"/>
        </w:rPr>
        <w:t xml:space="preserve">Оценка трансплантационного риска проводится не более чем за 10 дней до начала предтрансплантационного кондиционирования </w:t>
      </w:r>
      <w:r w:rsidRPr="00777124">
        <w:rPr>
          <w:rFonts w:eastAsia="SimSun"/>
        </w:rPr>
        <w:fldChar w:fldCharType="begin" w:fldLock="1"/>
      </w:r>
      <w:r w:rsidR="002736BA">
        <w:rPr>
          <w:rFonts w:eastAsia="SimSun"/>
        </w:rPr>
        <w:instrText>ADDIN CSL_CITATION {"citationItems":[{"id":"ITEM-1","itemData":{"DOI":"10.1038/bmt.2011.110","ISSN":"02683369","PMID":"21643021","abstract":"The European Group for Blood and Marrow Transplantation (EBMT) risk score provides a simple tool to assess instantly chances and risks of hematopoietic SCT(HSCT) for an individual patient pre-transplant. Five factors, age of the patient, stage of the disease, time from diagnosis, donor type and donor recipient gender combination augment risk for an individual patient with increasing score from 0 as best to 7 as worst in an additive way. The score holds for all acquired hematological disorders, for allogeneic and autologous HSCT (score 0-5), is independent of the HSCT technology and is valid for standard or reduced intensity conditioning. Survival is uniformly worse for older patients, transplanted in advanced disease stage after a long-time interval and with a mismatched donor than for younger patients, transplanted soon in early stage with a well matched donor. Additional risk factors such as performance score, CMV serostatus or cytokine polymorphisms improve prediction but to different extents for low or high-risk patients. Comparative assessment of disease risk and global pre-transplant risk should guide decisions for each patient with his/her specific disease between HSCT and a non-transplant approach and replace the traditional 'donor vs no donor' with such a risk-adapted individualized strategy. © 2012 Macmillan Publishers Limited All rights reserved.","author":[{"dropping-particle":"","family":"Gratwohl","given":"A.","non-dropping-particle":"","parse-names":false,"suffix":""}],"container-title":"Bone Marrow Transplantation","id":"ITEM-1","issue":"6","issued":{"date-parts":[["2012","6","6"]]},"page":"749-756","publisher":"Nature Publishing Group","title":"The EBMT risk score","type":"article","volume":"47"},"uris":["http://www.mendeley.com/documents/?uuid=0e80be56-8f6f-3249-9016-dc0bcc819af7"]}],"mendeley":{"formattedCitation":"[271]","plainTextFormattedCitation":"[271]","previouslyFormattedCitation":"[1]"},"properties":{"noteIndex":0},"schema":"https://github.com/citation-style-language/schema/raw/master/csl-citation.json"}</w:instrText>
      </w:r>
      <w:r w:rsidRPr="00777124">
        <w:rPr>
          <w:rFonts w:eastAsia="SimSun"/>
        </w:rPr>
        <w:fldChar w:fldCharType="separate"/>
      </w:r>
      <w:r w:rsidR="002736BA" w:rsidRPr="002736BA">
        <w:rPr>
          <w:rFonts w:eastAsia="SimSun"/>
          <w:noProof/>
        </w:rPr>
        <w:t>[271]</w:t>
      </w:r>
      <w:r w:rsidRPr="00777124">
        <w:rPr>
          <w:rFonts w:eastAsia="SimSun"/>
        </w:rPr>
        <w:fldChar w:fldCharType="end"/>
      </w:r>
      <w:r w:rsidRPr="00777124">
        <w:rPr>
          <w:rFonts w:eastAsia="SimSun"/>
        </w:rPr>
        <w:t>.</w:t>
      </w:r>
    </w:p>
    <w:p w14:paraId="2E8AD0B9" w14:textId="77777777" w:rsidR="00306810" w:rsidRPr="00777124" w:rsidRDefault="00306810" w:rsidP="00306810">
      <w:pPr>
        <w:tabs>
          <w:tab w:val="left" w:pos="567"/>
        </w:tabs>
        <w:spacing w:line="240" w:lineRule="auto"/>
        <w:rPr>
          <w:rFonts w:eastAsia="SimSun"/>
          <w:b/>
        </w:rPr>
      </w:pPr>
    </w:p>
    <w:tbl>
      <w:tblPr>
        <w:tblW w:w="1070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820"/>
        <w:gridCol w:w="4060"/>
        <w:gridCol w:w="1829"/>
      </w:tblGrid>
      <w:tr w:rsidR="00306810" w:rsidRPr="00306810" w14:paraId="5FA5A65A" w14:textId="77777777" w:rsidTr="00306810">
        <w:trPr>
          <w:trHeight w:val="374"/>
        </w:trPr>
        <w:tc>
          <w:tcPr>
            <w:tcW w:w="4820" w:type="dxa"/>
          </w:tcPr>
          <w:p w14:paraId="1E761B7B" w14:textId="77777777" w:rsidR="00306810" w:rsidRPr="00306810" w:rsidRDefault="00306810" w:rsidP="00D47FAA">
            <w:pPr>
              <w:pStyle w:val="table-head-left"/>
              <w:spacing w:line="240" w:lineRule="auto"/>
              <w:ind w:firstLine="0"/>
              <w:rPr>
                <w:kern w:val="2"/>
                <w:sz w:val="24"/>
                <w:szCs w:val="24"/>
                <w:lang w:eastAsia="zh-CN" w:bidi="hi-IN"/>
              </w:rPr>
            </w:pPr>
            <w:r w:rsidRPr="00306810">
              <w:rPr>
                <w:kern w:val="2"/>
                <w:sz w:val="24"/>
                <w:szCs w:val="24"/>
                <w:lang w:eastAsia="zh-CN" w:bidi="hi-IN"/>
              </w:rPr>
              <w:t>Факторы риска</w:t>
            </w:r>
          </w:p>
        </w:tc>
        <w:tc>
          <w:tcPr>
            <w:tcW w:w="4060" w:type="dxa"/>
          </w:tcPr>
          <w:p w14:paraId="34090218" w14:textId="77777777" w:rsidR="00306810" w:rsidRPr="00306810" w:rsidRDefault="00306810" w:rsidP="00D47FAA">
            <w:pPr>
              <w:pStyle w:val="table-head-left"/>
              <w:spacing w:line="240" w:lineRule="auto"/>
              <w:ind w:firstLine="0"/>
              <w:rPr>
                <w:kern w:val="2"/>
                <w:sz w:val="24"/>
                <w:szCs w:val="24"/>
                <w:lang w:eastAsia="zh-CN" w:bidi="hi-IN"/>
              </w:rPr>
            </w:pPr>
            <w:r w:rsidRPr="00306810">
              <w:rPr>
                <w:bCs/>
                <w:kern w:val="2"/>
                <w:sz w:val="24"/>
                <w:szCs w:val="24"/>
                <w:lang w:eastAsia="zh-CN" w:bidi="hi-IN"/>
              </w:rPr>
              <w:t>Характеристика факторов риска</w:t>
            </w:r>
          </w:p>
        </w:tc>
        <w:tc>
          <w:tcPr>
            <w:tcW w:w="1829" w:type="dxa"/>
          </w:tcPr>
          <w:p w14:paraId="58A22656" w14:textId="77777777" w:rsidR="00306810" w:rsidRPr="00306810" w:rsidRDefault="00306810" w:rsidP="00D47FAA">
            <w:pPr>
              <w:pStyle w:val="table-head-left"/>
              <w:spacing w:line="240" w:lineRule="auto"/>
              <w:ind w:firstLine="0"/>
              <w:rPr>
                <w:kern w:val="2"/>
                <w:sz w:val="24"/>
                <w:szCs w:val="24"/>
                <w:lang w:eastAsia="zh-CN" w:bidi="hi-IN"/>
              </w:rPr>
            </w:pPr>
            <w:r w:rsidRPr="00306810">
              <w:rPr>
                <w:bCs/>
                <w:kern w:val="2"/>
                <w:sz w:val="24"/>
                <w:szCs w:val="24"/>
                <w:lang w:eastAsia="zh-CN" w:bidi="hi-IN"/>
              </w:rPr>
              <w:t>Баллы</w:t>
            </w:r>
          </w:p>
        </w:tc>
      </w:tr>
      <w:tr w:rsidR="00306810" w:rsidRPr="00306810" w14:paraId="23456808" w14:textId="77777777" w:rsidTr="00306810">
        <w:trPr>
          <w:trHeight w:val="258"/>
        </w:trPr>
        <w:tc>
          <w:tcPr>
            <w:tcW w:w="4820" w:type="dxa"/>
            <w:vMerge w:val="restart"/>
          </w:tcPr>
          <w:p w14:paraId="70EBC739" w14:textId="77777777" w:rsidR="00306810" w:rsidRPr="00306810" w:rsidRDefault="00306810" w:rsidP="00D47FAA">
            <w:pPr>
              <w:pStyle w:val="table-text-0"/>
              <w:ind w:firstLine="0"/>
              <w:rPr>
                <w:kern w:val="2"/>
                <w:sz w:val="24"/>
                <w:szCs w:val="24"/>
                <w:lang w:eastAsia="zh-CN" w:bidi="hi-IN"/>
              </w:rPr>
            </w:pPr>
            <w:r w:rsidRPr="00306810">
              <w:rPr>
                <w:kern w:val="2"/>
                <w:sz w:val="24"/>
                <w:szCs w:val="24"/>
                <w:lang w:eastAsia="zh-CN" w:bidi="hi-IN"/>
              </w:rPr>
              <w:t>Возраст</w:t>
            </w:r>
          </w:p>
        </w:tc>
        <w:tc>
          <w:tcPr>
            <w:tcW w:w="4060" w:type="dxa"/>
          </w:tcPr>
          <w:p w14:paraId="2046D191" w14:textId="77777777" w:rsidR="00306810" w:rsidRPr="00306810" w:rsidRDefault="00306810" w:rsidP="00D47FAA">
            <w:pPr>
              <w:pStyle w:val="table-text-0"/>
              <w:ind w:firstLine="0"/>
              <w:rPr>
                <w:kern w:val="2"/>
                <w:sz w:val="24"/>
                <w:szCs w:val="24"/>
                <w:lang w:eastAsia="zh-CN" w:bidi="hi-IN"/>
              </w:rPr>
            </w:pPr>
            <w:r w:rsidRPr="00306810">
              <w:rPr>
                <w:kern w:val="2"/>
                <w:sz w:val="24"/>
                <w:szCs w:val="24"/>
                <w:lang w:eastAsia="zh-CN" w:bidi="hi-IN"/>
              </w:rPr>
              <w:t xml:space="preserve">&lt; 20 лет </w:t>
            </w:r>
          </w:p>
        </w:tc>
        <w:tc>
          <w:tcPr>
            <w:tcW w:w="1829" w:type="dxa"/>
          </w:tcPr>
          <w:p w14:paraId="57E264E4" w14:textId="77777777" w:rsidR="00306810" w:rsidRPr="00306810" w:rsidRDefault="00306810" w:rsidP="00D47FAA">
            <w:pPr>
              <w:pStyle w:val="table-text-0"/>
              <w:ind w:firstLine="0"/>
              <w:rPr>
                <w:kern w:val="2"/>
                <w:sz w:val="24"/>
                <w:szCs w:val="24"/>
                <w:lang w:eastAsia="zh-CN" w:bidi="hi-IN"/>
              </w:rPr>
            </w:pPr>
            <w:r w:rsidRPr="00306810">
              <w:rPr>
                <w:kern w:val="2"/>
                <w:sz w:val="24"/>
                <w:szCs w:val="24"/>
                <w:lang w:eastAsia="zh-CN" w:bidi="hi-IN"/>
              </w:rPr>
              <w:t>0</w:t>
            </w:r>
          </w:p>
        </w:tc>
      </w:tr>
      <w:tr w:rsidR="00306810" w:rsidRPr="00306810" w14:paraId="144AF5F3" w14:textId="77777777" w:rsidTr="00306810">
        <w:trPr>
          <w:trHeight w:val="107"/>
        </w:trPr>
        <w:tc>
          <w:tcPr>
            <w:tcW w:w="4820" w:type="dxa"/>
            <w:vMerge/>
          </w:tcPr>
          <w:p w14:paraId="38B4AF48" w14:textId="77777777" w:rsidR="00306810" w:rsidRPr="00306810" w:rsidRDefault="00306810" w:rsidP="00D47FAA">
            <w:pPr>
              <w:pStyle w:val="table-text-0"/>
              <w:ind w:firstLine="0"/>
              <w:rPr>
                <w:kern w:val="2"/>
                <w:sz w:val="24"/>
                <w:szCs w:val="24"/>
                <w:lang w:eastAsia="zh-CN" w:bidi="hi-IN"/>
              </w:rPr>
            </w:pPr>
          </w:p>
        </w:tc>
        <w:tc>
          <w:tcPr>
            <w:tcW w:w="4060" w:type="dxa"/>
          </w:tcPr>
          <w:p w14:paraId="06B535BA" w14:textId="77777777" w:rsidR="00306810" w:rsidRPr="00306810" w:rsidRDefault="00306810" w:rsidP="00D47FAA">
            <w:pPr>
              <w:pStyle w:val="table-text-0"/>
              <w:ind w:firstLine="0"/>
              <w:rPr>
                <w:kern w:val="2"/>
                <w:sz w:val="24"/>
                <w:szCs w:val="24"/>
                <w:lang w:eastAsia="zh-CN" w:bidi="hi-IN"/>
              </w:rPr>
            </w:pPr>
            <w:r w:rsidRPr="00306810">
              <w:rPr>
                <w:kern w:val="2"/>
                <w:sz w:val="24"/>
                <w:szCs w:val="24"/>
                <w:lang w:eastAsia="zh-CN" w:bidi="hi-IN"/>
              </w:rPr>
              <w:t>20–40 лет</w:t>
            </w:r>
          </w:p>
        </w:tc>
        <w:tc>
          <w:tcPr>
            <w:tcW w:w="1829" w:type="dxa"/>
          </w:tcPr>
          <w:p w14:paraId="70DAC881" w14:textId="77777777" w:rsidR="00306810" w:rsidRPr="00306810" w:rsidRDefault="00306810" w:rsidP="00D47FAA">
            <w:pPr>
              <w:pStyle w:val="table-text-0"/>
              <w:ind w:firstLine="0"/>
              <w:rPr>
                <w:kern w:val="2"/>
                <w:sz w:val="24"/>
                <w:szCs w:val="24"/>
                <w:lang w:eastAsia="zh-CN" w:bidi="hi-IN"/>
              </w:rPr>
            </w:pPr>
            <w:r w:rsidRPr="00306810">
              <w:rPr>
                <w:kern w:val="2"/>
                <w:sz w:val="24"/>
                <w:szCs w:val="24"/>
                <w:lang w:eastAsia="zh-CN" w:bidi="hi-IN"/>
              </w:rPr>
              <w:t>1</w:t>
            </w:r>
          </w:p>
        </w:tc>
      </w:tr>
      <w:tr w:rsidR="00306810" w:rsidRPr="00306810" w14:paraId="2A4ED486" w14:textId="77777777" w:rsidTr="00306810">
        <w:trPr>
          <w:trHeight w:val="107"/>
        </w:trPr>
        <w:tc>
          <w:tcPr>
            <w:tcW w:w="4820" w:type="dxa"/>
            <w:vMerge/>
          </w:tcPr>
          <w:p w14:paraId="1ACA3323" w14:textId="77777777" w:rsidR="00306810" w:rsidRPr="00306810" w:rsidRDefault="00306810" w:rsidP="00D47FAA">
            <w:pPr>
              <w:pStyle w:val="table-text-0"/>
              <w:ind w:firstLine="0"/>
              <w:rPr>
                <w:kern w:val="2"/>
                <w:sz w:val="24"/>
                <w:szCs w:val="24"/>
                <w:lang w:eastAsia="zh-CN" w:bidi="hi-IN"/>
              </w:rPr>
            </w:pPr>
          </w:p>
        </w:tc>
        <w:tc>
          <w:tcPr>
            <w:tcW w:w="4060" w:type="dxa"/>
          </w:tcPr>
          <w:p w14:paraId="5A18809B" w14:textId="77777777" w:rsidR="00306810" w:rsidRPr="00306810" w:rsidRDefault="00306810" w:rsidP="00D47FAA">
            <w:pPr>
              <w:pStyle w:val="table-text-0"/>
              <w:ind w:firstLine="0"/>
              <w:rPr>
                <w:kern w:val="2"/>
                <w:sz w:val="24"/>
                <w:szCs w:val="24"/>
                <w:lang w:eastAsia="zh-CN" w:bidi="hi-IN"/>
              </w:rPr>
            </w:pPr>
            <w:r w:rsidRPr="00306810">
              <w:rPr>
                <w:kern w:val="2"/>
                <w:sz w:val="24"/>
                <w:szCs w:val="24"/>
                <w:lang w:eastAsia="zh-CN" w:bidi="hi-IN"/>
              </w:rPr>
              <w:t>&gt; 40 лет</w:t>
            </w:r>
          </w:p>
        </w:tc>
        <w:tc>
          <w:tcPr>
            <w:tcW w:w="1829" w:type="dxa"/>
          </w:tcPr>
          <w:p w14:paraId="790AB1AB" w14:textId="77777777" w:rsidR="00306810" w:rsidRPr="00306810" w:rsidRDefault="00306810" w:rsidP="00D47FAA">
            <w:pPr>
              <w:pStyle w:val="table-text-0"/>
              <w:ind w:firstLine="0"/>
              <w:rPr>
                <w:kern w:val="2"/>
                <w:sz w:val="24"/>
                <w:szCs w:val="24"/>
                <w:lang w:eastAsia="zh-CN" w:bidi="hi-IN"/>
              </w:rPr>
            </w:pPr>
            <w:r w:rsidRPr="00306810">
              <w:rPr>
                <w:kern w:val="2"/>
                <w:sz w:val="24"/>
                <w:szCs w:val="24"/>
                <w:lang w:eastAsia="zh-CN" w:bidi="hi-IN"/>
              </w:rPr>
              <w:t>2</w:t>
            </w:r>
          </w:p>
        </w:tc>
      </w:tr>
      <w:tr w:rsidR="00306810" w:rsidRPr="00306810" w14:paraId="7629FD65" w14:textId="77777777" w:rsidTr="00306810">
        <w:trPr>
          <w:trHeight w:val="258"/>
        </w:trPr>
        <w:tc>
          <w:tcPr>
            <w:tcW w:w="4820" w:type="dxa"/>
            <w:vMerge w:val="restart"/>
          </w:tcPr>
          <w:p w14:paraId="2D3BE5A2" w14:textId="77777777" w:rsidR="00306810" w:rsidRPr="00306810" w:rsidRDefault="00306810" w:rsidP="00D47FAA">
            <w:pPr>
              <w:pStyle w:val="table-text-0"/>
              <w:ind w:firstLine="0"/>
              <w:rPr>
                <w:kern w:val="2"/>
                <w:sz w:val="24"/>
                <w:szCs w:val="24"/>
                <w:lang w:eastAsia="zh-CN" w:bidi="hi-IN"/>
              </w:rPr>
            </w:pPr>
            <w:r w:rsidRPr="00306810">
              <w:rPr>
                <w:kern w:val="2"/>
                <w:sz w:val="24"/>
                <w:szCs w:val="24"/>
                <w:lang w:eastAsia="zh-CN" w:bidi="hi-IN"/>
              </w:rPr>
              <w:t>Статус заболевания</w:t>
            </w:r>
            <w:r w:rsidRPr="00306810">
              <w:rPr>
                <w:kern w:val="2"/>
                <w:sz w:val="24"/>
                <w:szCs w:val="24"/>
                <w:vertAlign w:val="superscript"/>
                <w:lang w:eastAsia="zh-CN" w:bidi="hi-IN"/>
              </w:rPr>
              <w:t>1</w:t>
            </w:r>
          </w:p>
        </w:tc>
        <w:tc>
          <w:tcPr>
            <w:tcW w:w="4060" w:type="dxa"/>
          </w:tcPr>
          <w:p w14:paraId="6DE5403B" w14:textId="77777777" w:rsidR="00306810" w:rsidRPr="00306810" w:rsidRDefault="00306810" w:rsidP="00D47FAA">
            <w:pPr>
              <w:pStyle w:val="table-text-0"/>
              <w:ind w:firstLine="0"/>
              <w:rPr>
                <w:kern w:val="2"/>
                <w:sz w:val="24"/>
                <w:szCs w:val="24"/>
                <w:lang w:eastAsia="zh-CN" w:bidi="hi-IN"/>
              </w:rPr>
            </w:pPr>
            <w:r w:rsidRPr="00306810">
              <w:rPr>
                <w:kern w:val="2"/>
                <w:sz w:val="24"/>
                <w:szCs w:val="24"/>
                <w:lang w:eastAsia="zh-CN" w:bidi="hi-IN"/>
              </w:rPr>
              <w:t>Ранний</w:t>
            </w:r>
          </w:p>
        </w:tc>
        <w:tc>
          <w:tcPr>
            <w:tcW w:w="1829" w:type="dxa"/>
          </w:tcPr>
          <w:p w14:paraId="0EDE031C" w14:textId="77777777" w:rsidR="00306810" w:rsidRPr="00306810" w:rsidRDefault="00306810" w:rsidP="00D47FAA">
            <w:pPr>
              <w:pStyle w:val="table-text-0"/>
              <w:ind w:firstLine="0"/>
              <w:rPr>
                <w:kern w:val="2"/>
                <w:sz w:val="24"/>
                <w:szCs w:val="24"/>
                <w:lang w:eastAsia="zh-CN" w:bidi="hi-IN"/>
              </w:rPr>
            </w:pPr>
            <w:r w:rsidRPr="00306810">
              <w:rPr>
                <w:kern w:val="2"/>
                <w:sz w:val="24"/>
                <w:szCs w:val="24"/>
                <w:lang w:eastAsia="zh-CN" w:bidi="hi-IN"/>
              </w:rPr>
              <w:t>0</w:t>
            </w:r>
          </w:p>
        </w:tc>
      </w:tr>
      <w:tr w:rsidR="00306810" w:rsidRPr="00306810" w14:paraId="374AC5E9" w14:textId="77777777" w:rsidTr="00306810">
        <w:trPr>
          <w:trHeight w:val="107"/>
        </w:trPr>
        <w:tc>
          <w:tcPr>
            <w:tcW w:w="4820" w:type="dxa"/>
            <w:vMerge/>
          </w:tcPr>
          <w:p w14:paraId="43EAFCAF" w14:textId="77777777" w:rsidR="00306810" w:rsidRPr="00306810" w:rsidRDefault="00306810" w:rsidP="00D47FAA">
            <w:pPr>
              <w:pStyle w:val="table-text-0"/>
              <w:ind w:firstLine="0"/>
              <w:rPr>
                <w:kern w:val="2"/>
                <w:sz w:val="24"/>
                <w:szCs w:val="24"/>
                <w:lang w:eastAsia="zh-CN" w:bidi="hi-IN"/>
              </w:rPr>
            </w:pPr>
          </w:p>
        </w:tc>
        <w:tc>
          <w:tcPr>
            <w:tcW w:w="4060" w:type="dxa"/>
          </w:tcPr>
          <w:p w14:paraId="28EC9C1E" w14:textId="77777777" w:rsidR="00306810" w:rsidRPr="00306810" w:rsidRDefault="00306810" w:rsidP="00D47FAA">
            <w:pPr>
              <w:pStyle w:val="table-text-0"/>
              <w:ind w:firstLine="0"/>
              <w:rPr>
                <w:kern w:val="2"/>
                <w:sz w:val="24"/>
                <w:szCs w:val="24"/>
                <w:lang w:eastAsia="zh-CN" w:bidi="hi-IN"/>
              </w:rPr>
            </w:pPr>
            <w:r w:rsidRPr="00306810">
              <w:rPr>
                <w:kern w:val="2"/>
                <w:sz w:val="24"/>
                <w:szCs w:val="24"/>
                <w:lang w:eastAsia="zh-CN" w:bidi="hi-IN"/>
              </w:rPr>
              <w:t>Промежуточный</w:t>
            </w:r>
          </w:p>
        </w:tc>
        <w:tc>
          <w:tcPr>
            <w:tcW w:w="1829" w:type="dxa"/>
          </w:tcPr>
          <w:p w14:paraId="182DFCDF" w14:textId="77777777" w:rsidR="00306810" w:rsidRPr="00306810" w:rsidRDefault="00306810" w:rsidP="00D47FAA">
            <w:pPr>
              <w:pStyle w:val="table-text-0"/>
              <w:ind w:firstLine="0"/>
              <w:rPr>
                <w:kern w:val="2"/>
                <w:sz w:val="24"/>
                <w:szCs w:val="24"/>
                <w:lang w:eastAsia="zh-CN" w:bidi="hi-IN"/>
              </w:rPr>
            </w:pPr>
            <w:r w:rsidRPr="00306810">
              <w:rPr>
                <w:kern w:val="2"/>
                <w:sz w:val="24"/>
                <w:szCs w:val="24"/>
                <w:lang w:eastAsia="zh-CN" w:bidi="hi-IN"/>
              </w:rPr>
              <w:t>1</w:t>
            </w:r>
          </w:p>
        </w:tc>
      </w:tr>
      <w:tr w:rsidR="00306810" w:rsidRPr="00306810" w14:paraId="0EF5B2CE" w14:textId="77777777" w:rsidTr="00306810">
        <w:trPr>
          <w:trHeight w:val="107"/>
        </w:trPr>
        <w:tc>
          <w:tcPr>
            <w:tcW w:w="4820" w:type="dxa"/>
            <w:vMerge/>
          </w:tcPr>
          <w:p w14:paraId="4A975FC0" w14:textId="77777777" w:rsidR="00306810" w:rsidRPr="00306810" w:rsidRDefault="00306810" w:rsidP="00D47FAA">
            <w:pPr>
              <w:pStyle w:val="table-text-0"/>
              <w:ind w:firstLine="0"/>
              <w:rPr>
                <w:kern w:val="2"/>
                <w:sz w:val="24"/>
                <w:szCs w:val="24"/>
                <w:lang w:eastAsia="zh-CN" w:bidi="hi-IN"/>
              </w:rPr>
            </w:pPr>
          </w:p>
        </w:tc>
        <w:tc>
          <w:tcPr>
            <w:tcW w:w="4060" w:type="dxa"/>
          </w:tcPr>
          <w:p w14:paraId="2C411601" w14:textId="77777777" w:rsidR="00306810" w:rsidRPr="00306810" w:rsidRDefault="00306810" w:rsidP="00D47FAA">
            <w:pPr>
              <w:pStyle w:val="table-text-0"/>
              <w:ind w:firstLine="0"/>
              <w:rPr>
                <w:kern w:val="2"/>
                <w:sz w:val="24"/>
                <w:szCs w:val="24"/>
                <w:lang w:eastAsia="zh-CN" w:bidi="hi-IN"/>
              </w:rPr>
            </w:pPr>
            <w:r w:rsidRPr="00306810">
              <w:rPr>
                <w:kern w:val="2"/>
                <w:sz w:val="24"/>
                <w:szCs w:val="24"/>
                <w:lang w:eastAsia="zh-CN" w:bidi="hi-IN"/>
              </w:rPr>
              <w:t>Развернутый</w:t>
            </w:r>
          </w:p>
        </w:tc>
        <w:tc>
          <w:tcPr>
            <w:tcW w:w="1829" w:type="dxa"/>
          </w:tcPr>
          <w:p w14:paraId="57F5E241" w14:textId="77777777" w:rsidR="00306810" w:rsidRPr="00306810" w:rsidRDefault="00306810" w:rsidP="00D47FAA">
            <w:pPr>
              <w:pStyle w:val="table-text-0"/>
              <w:ind w:firstLine="0"/>
              <w:rPr>
                <w:kern w:val="2"/>
                <w:sz w:val="24"/>
                <w:szCs w:val="24"/>
                <w:lang w:eastAsia="zh-CN" w:bidi="hi-IN"/>
              </w:rPr>
            </w:pPr>
            <w:r w:rsidRPr="00306810">
              <w:rPr>
                <w:kern w:val="2"/>
                <w:sz w:val="24"/>
                <w:szCs w:val="24"/>
                <w:lang w:eastAsia="zh-CN" w:bidi="hi-IN"/>
              </w:rPr>
              <w:t>2</w:t>
            </w:r>
          </w:p>
        </w:tc>
      </w:tr>
      <w:tr w:rsidR="00306810" w:rsidRPr="00306810" w14:paraId="711F160B" w14:textId="77777777" w:rsidTr="00306810">
        <w:trPr>
          <w:trHeight w:val="258"/>
        </w:trPr>
        <w:tc>
          <w:tcPr>
            <w:tcW w:w="4820" w:type="dxa"/>
            <w:vMerge w:val="restart"/>
          </w:tcPr>
          <w:p w14:paraId="02D93E7D" w14:textId="77777777" w:rsidR="00306810" w:rsidRPr="00306810" w:rsidRDefault="00306810" w:rsidP="00D47FAA">
            <w:pPr>
              <w:pStyle w:val="table-text-0"/>
              <w:ind w:firstLine="0"/>
              <w:rPr>
                <w:kern w:val="2"/>
                <w:sz w:val="24"/>
                <w:szCs w:val="24"/>
                <w:lang w:val="ru-RU" w:eastAsia="zh-CN" w:bidi="hi-IN"/>
              </w:rPr>
            </w:pPr>
            <w:r w:rsidRPr="00306810">
              <w:rPr>
                <w:kern w:val="2"/>
                <w:sz w:val="24"/>
                <w:szCs w:val="24"/>
                <w:lang w:val="ru-RU" w:eastAsia="zh-CN" w:bidi="hi-IN"/>
              </w:rPr>
              <w:t>Время от постановки диагноза до ТГСК</w:t>
            </w:r>
            <w:r w:rsidRPr="00306810">
              <w:rPr>
                <w:kern w:val="2"/>
                <w:sz w:val="24"/>
                <w:szCs w:val="24"/>
                <w:vertAlign w:val="superscript"/>
                <w:lang w:val="ru-RU" w:eastAsia="zh-CN" w:bidi="hi-IN"/>
              </w:rPr>
              <w:t>2</w:t>
            </w:r>
          </w:p>
        </w:tc>
        <w:tc>
          <w:tcPr>
            <w:tcW w:w="4060" w:type="dxa"/>
          </w:tcPr>
          <w:p w14:paraId="633EF6FB" w14:textId="77777777" w:rsidR="00306810" w:rsidRPr="00306810" w:rsidRDefault="00306810" w:rsidP="00D47FAA">
            <w:pPr>
              <w:pStyle w:val="table-text-0"/>
              <w:ind w:firstLine="0"/>
              <w:rPr>
                <w:kern w:val="2"/>
                <w:sz w:val="24"/>
                <w:szCs w:val="24"/>
                <w:lang w:eastAsia="zh-CN" w:bidi="hi-IN"/>
              </w:rPr>
            </w:pPr>
            <w:r w:rsidRPr="00306810">
              <w:rPr>
                <w:kern w:val="2"/>
                <w:sz w:val="24"/>
                <w:szCs w:val="24"/>
                <w:lang w:eastAsia="zh-CN" w:bidi="hi-IN"/>
              </w:rPr>
              <w:t>&lt; 12 мес</w:t>
            </w:r>
          </w:p>
        </w:tc>
        <w:tc>
          <w:tcPr>
            <w:tcW w:w="1829" w:type="dxa"/>
          </w:tcPr>
          <w:p w14:paraId="0195F686" w14:textId="77777777" w:rsidR="00306810" w:rsidRPr="00306810" w:rsidRDefault="00306810" w:rsidP="00D47FAA">
            <w:pPr>
              <w:pStyle w:val="table-text-0"/>
              <w:ind w:firstLine="0"/>
              <w:rPr>
                <w:kern w:val="2"/>
                <w:sz w:val="24"/>
                <w:szCs w:val="24"/>
                <w:lang w:eastAsia="zh-CN" w:bidi="hi-IN"/>
              </w:rPr>
            </w:pPr>
            <w:r w:rsidRPr="00306810">
              <w:rPr>
                <w:kern w:val="2"/>
                <w:sz w:val="24"/>
                <w:szCs w:val="24"/>
                <w:lang w:eastAsia="zh-CN" w:bidi="hi-IN"/>
              </w:rPr>
              <w:t>0</w:t>
            </w:r>
          </w:p>
        </w:tc>
      </w:tr>
      <w:tr w:rsidR="00306810" w:rsidRPr="00306810" w14:paraId="4FA9CA12" w14:textId="77777777" w:rsidTr="00306810">
        <w:trPr>
          <w:trHeight w:val="107"/>
        </w:trPr>
        <w:tc>
          <w:tcPr>
            <w:tcW w:w="4820" w:type="dxa"/>
            <w:vMerge/>
          </w:tcPr>
          <w:p w14:paraId="509D9A02" w14:textId="77777777" w:rsidR="00306810" w:rsidRPr="00306810" w:rsidRDefault="00306810" w:rsidP="00D47FAA">
            <w:pPr>
              <w:pStyle w:val="table-text-0"/>
              <w:ind w:firstLine="0"/>
              <w:rPr>
                <w:kern w:val="2"/>
                <w:sz w:val="24"/>
                <w:szCs w:val="24"/>
                <w:lang w:eastAsia="zh-CN" w:bidi="hi-IN"/>
              </w:rPr>
            </w:pPr>
          </w:p>
        </w:tc>
        <w:tc>
          <w:tcPr>
            <w:tcW w:w="4060" w:type="dxa"/>
          </w:tcPr>
          <w:p w14:paraId="492A2767" w14:textId="77777777" w:rsidR="00306810" w:rsidRPr="00306810" w:rsidRDefault="00306810" w:rsidP="00D47FAA">
            <w:pPr>
              <w:pStyle w:val="table-text-0"/>
              <w:ind w:firstLine="0"/>
              <w:rPr>
                <w:kern w:val="2"/>
                <w:sz w:val="24"/>
                <w:szCs w:val="24"/>
                <w:lang w:eastAsia="zh-CN" w:bidi="hi-IN"/>
              </w:rPr>
            </w:pPr>
            <w:r w:rsidRPr="00306810">
              <w:rPr>
                <w:color w:val="222222"/>
                <w:kern w:val="2"/>
                <w:sz w:val="24"/>
                <w:szCs w:val="24"/>
                <w:lang w:eastAsia="zh-CN" w:bidi="hi-IN"/>
              </w:rPr>
              <w:t>≥ 12 мес</w:t>
            </w:r>
          </w:p>
        </w:tc>
        <w:tc>
          <w:tcPr>
            <w:tcW w:w="1829" w:type="dxa"/>
          </w:tcPr>
          <w:p w14:paraId="71366ABD" w14:textId="77777777" w:rsidR="00306810" w:rsidRPr="00306810" w:rsidRDefault="00306810" w:rsidP="00D47FAA">
            <w:pPr>
              <w:pStyle w:val="table-text-0"/>
              <w:ind w:firstLine="0"/>
              <w:rPr>
                <w:kern w:val="2"/>
                <w:sz w:val="24"/>
                <w:szCs w:val="24"/>
                <w:lang w:eastAsia="zh-CN" w:bidi="hi-IN"/>
              </w:rPr>
            </w:pPr>
            <w:r w:rsidRPr="00306810">
              <w:rPr>
                <w:kern w:val="2"/>
                <w:sz w:val="24"/>
                <w:szCs w:val="24"/>
                <w:lang w:eastAsia="zh-CN" w:bidi="hi-IN"/>
              </w:rPr>
              <w:t>1</w:t>
            </w:r>
          </w:p>
        </w:tc>
      </w:tr>
      <w:tr w:rsidR="00306810" w:rsidRPr="00306810" w14:paraId="09932D32" w14:textId="77777777" w:rsidTr="00306810">
        <w:trPr>
          <w:trHeight w:val="232"/>
        </w:trPr>
        <w:tc>
          <w:tcPr>
            <w:tcW w:w="4820" w:type="dxa"/>
            <w:vMerge w:val="restart"/>
          </w:tcPr>
          <w:p w14:paraId="3FBA06A8" w14:textId="77777777" w:rsidR="00306810" w:rsidRPr="00306810" w:rsidRDefault="00306810" w:rsidP="00D47FAA">
            <w:pPr>
              <w:pStyle w:val="table-text-0"/>
              <w:ind w:firstLine="0"/>
              <w:rPr>
                <w:kern w:val="2"/>
                <w:sz w:val="24"/>
                <w:szCs w:val="24"/>
                <w:lang w:eastAsia="zh-CN" w:bidi="hi-IN"/>
              </w:rPr>
            </w:pPr>
            <w:r w:rsidRPr="00306810">
              <w:rPr>
                <w:kern w:val="2"/>
                <w:sz w:val="24"/>
                <w:szCs w:val="24"/>
                <w:lang w:eastAsia="zh-CN" w:bidi="hi-IN"/>
              </w:rPr>
              <w:t>Донор</w:t>
            </w:r>
          </w:p>
        </w:tc>
        <w:tc>
          <w:tcPr>
            <w:tcW w:w="4060" w:type="dxa"/>
          </w:tcPr>
          <w:p w14:paraId="5E9E2702" w14:textId="77777777" w:rsidR="00306810" w:rsidRPr="00306810" w:rsidRDefault="00306810" w:rsidP="00D47FAA">
            <w:pPr>
              <w:pStyle w:val="table-text-0"/>
              <w:ind w:firstLine="0"/>
              <w:rPr>
                <w:kern w:val="2"/>
                <w:sz w:val="24"/>
                <w:szCs w:val="24"/>
                <w:lang w:eastAsia="zh-CN" w:bidi="hi-IN"/>
              </w:rPr>
            </w:pPr>
            <w:r w:rsidRPr="00306810">
              <w:rPr>
                <w:kern w:val="2"/>
                <w:sz w:val="24"/>
                <w:szCs w:val="24"/>
                <w:lang w:eastAsia="zh-CN" w:bidi="hi-IN"/>
              </w:rPr>
              <w:t>HLA-идентичный сиблинг</w:t>
            </w:r>
          </w:p>
        </w:tc>
        <w:tc>
          <w:tcPr>
            <w:tcW w:w="1829" w:type="dxa"/>
          </w:tcPr>
          <w:p w14:paraId="744B589B" w14:textId="77777777" w:rsidR="00306810" w:rsidRPr="00306810" w:rsidRDefault="00306810" w:rsidP="00D47FAA">
            <w:pPr>
              <w:pStyle w:val="table-text-0"/>
              <w:ind w:firstLine="0"/>
              <w:rPr>
                <w:kern w:val="2"/>
                <w:sz w:val="24"/>
                <w:szCs w:val="24"/>
                <w:lang w:eastAsia="zh-CN" w:bidi="hi-IN"/>
              </w:rPr>
            </w:pPr>
            <w:r w:rsidRPr="00306810">
              <w:rPr>
                <w:kern w:val="2"/>
                <w:sz w:val="24"/>
                <w:szCs w:val="24"/>
                <w:lang w:eastAsia="zh-CN" w:bidi="hi-IN"/>
              </w:rPr>
              <w:t>0</w:t>
            </w:r>
          </w:p>
        </w:tc>
      </w:tr>
      <w:tr w:rsidR="00306810" w:rsidRPr="00306810" w14:paraId="2E1D4531" w14:textId="77777777" w:rsidTr="00306810">
        <w:trPr>
          <w:trHeight w:val="107"/>
        </w:trPr>
        <w:tc>
          <w:tcPr>
            <w:tcW w:w="4820" w:type="dxa"/>
            <w:vMerge/>
          </w:tcPr>
          <w:p w14:paraId="6E398671" w14:textId="77777777" w:rsidR="00306810" w:rsidRPr="00306810" w:rsidRDefault="00306810" w:rsidP="00D47FAA">
            <w:pPr>
              <w:pStyle w:val="table-text-0"/>
              <w:ind w:firstLine="0"/>
              <w:rPr>
                <w:kern w:val="2"/>
                <w:sz w:val="24"/>
                <w:szCs w:val="24"/>
                <w:lang w:eastAsia="zh-CN" w:bidi="hi-IN"/>
              </w:rPr>
            </w:pPr>
          </w:p>
        </w:tc>
        <w:tc>
          <w:tcPr>
            <w:tcW w:w="4060" w:type="dxa"/>
          </w:tcPr>
          <w:p w14:paraId="2FE78E7E" w14:textId="77777777" w:rsidR="00306810" w:rsidRPr="00306810" w:rsidRDefault="00306810" w:rsidP="00D47FAA">
            <w:pPr>
              <w:pStyle w:val="table-text-0"/>
              <w:ind w:firstLine="0"/>
              <w:rPr>
                <w:kern w:val="2"/>
                <w:sz w:val="24"/>
                <w:szCs w:val="24"/>
                <w:lang w:eastAsia="zh-CN" w:bidi="hi-IN"/>
              </w:rPr>
            </w:pPr>
            <w:r w:rsidRPr="00306810">
              <w:rPr>
                <w:kern w:val="2"/>
                <w:sz w:val="24"/>
                <w:szCs w:val="24"/>
                <w:lang w:eastAsia="zh-CN" w:bidi="hi-IN"/>
              </w:rPr>
              <w:t>Неродственный донор</w:t>
            </w:r>
          </w:p>
        </w:tc>
        <w:tc>
          <w:tcPr>
            <w:tcW w:w="1829" w:type="dxa"/>
          </w:tcPr>
          <w:p w14:paraId="615251E9" w14:textId="77777777" w:rsidR="00306810" w:rsidRPr="00306810" w:rsidRDefault="00306810" w:rsidP="00D47FAA">
            <w:pPr>
              <w:pStyle w:val="table-text-0"/>
              <w:ind w:firstLine="0"/>
              <w:rPr>
                <w:kern w:val="2"/>
                <w:sz w:val="24"/>
                <w:szCs w:val="24"/>
                <w:lang w:eastAsia="zh-CN" w:bidi="hi-IN"/>
              </w:rPr>
            </w:pPr>
            <w:r w:rsidRPr="00306810">
              <w:rPr>
                <w:kern w:val="2"/>
                <w:sz w:val="24"/>
                <w:szCs w:val="24"/>
                <w:lang w:eastAsia="zh-CN" w:bidi="hi-IN"/>
              </w:rPr>
              <w:t>1</w:t>
            </w:r>
          </w:p>
        </w:tc>
      </w:tr>
      <w:tr w:rsidR="00306810" w:rsidRPr="00306810" w14:paraId="61CFDAFA" w14:textId="77777777" w:rsidTr="00306810">
        <w:trPr>
          <w:trHeight w:val="242"/>
        </w:trPr>
        <w:tc>
          <w:tcPr>
            <w:tcW w:w="4820" w:type="dxa"/>
            <w:vMerge w:val="restart"/>
          </w:tcPr>
          <w:p w14:paraId="33F431B5" w14:textId="77777777" w:rsidR="00306810" w:rsidRPr="00306810" w:rsidRDefault="00306810" w:rsidP="00D47FAA">
            <w:pPr>
              <w:pStyle w:val="table-text-0"/>
              <w:ind w:firstLine="0"/>
              <w:rPr>
                <w:kern w:val="2"/>
                <w:sz w:val="24"/>
                <w:szCs w:val="24"/>
                <w:lang w:eastAsia="zh-CN" w:bidi="hi-IN"/>
              </w:rPr>
            </w:pPr>
            <w:r w:rsidRPr="00306810">
              <w:rPr>
                <w:kern w:val="2"/>
                <w:sz w:val="24"/>
                <w:szCs w:val="24"/>
                <w:lang w:eastAsia="zh-CN" w:bidi="hi-IN"/>
              </w:rPr>
              <w:t>Пол донора и реципиента</w:t>
            </w:r>
          </w:p>
        </w:tc>
        <w:tc>
          <w:tcPr>
            <w:tcW w:w="4060" w:type="dxa"/>
          </w:tcPr>
          <w:p w14:paraId="3A23BC7A" w14:textId="77777777" w:rsidR="00306810" w:rsidRPr="00306810" w:rsidRDefault="00306810" w:rsidP="00D47FAA">
            <w:pPr>
              <w:pStyle w:val="table-text-0"/>
              <w:ind w:firstLine="0"/>
              <w:rPr>
                <w:kern w:val="2"/>
                <w:sz w:val="24"/>
                <w:szCs w:val="24"/>
                <w:lang w:eastAsia="zh-CN" w:bidi="hi-IN"/>
              </w:rPr>
            </w:pPr>
            <w:r w:rsidRPr="00306810">
              <w:rPr>
                <w:kern w:val="2"/>
                <w:sz w:val="24"/>
                <w:szCs w:val="24"/>
                <w:lang w:eastAsia="zh-CN" w:bidi="hi-IN"/>
              </w:rPr>
              <w:t>Донор — женщина, реципиент —мужчина</w:t>
            </w:r>
          </w:p>
        </w:tc>
        <w:tc>
          <w:tcPr>
            <w:tcW w:w="1829" w:type="dxa"/>
          </w:tcPr>
          <w:p w14:paraId="0802785A" w14:textId="77777777" w:rsidR="00306810" w:rsidRPr="00306810" w:rsidRDefault="00306810" w:rsidP="00D47FAA">
            <w:pPr>
              <w:pStyle w:val="table-text-0"/>
              <w:ind w:firstLine="0"/>
              <w:rPr>
                <w:kern w:val="2"/>
                <w:sz w:val="24"/>
                <w:szCs w:val="24"/>
                <w:lang w:eastAsia="zh-CN" w:bidi="hi-IN"/>
              </w:rPr>
            </w:pPr>
            <w:r w:rsidRPr="00306810">
              <w:rPr>
                <w:kern w:val="2"/>
                <w:sz w:val="24"/>
                <w:szCs w:val="24"/>
                <w:lang w:eastAsia="zh-CN" w:bidi="hi-IN"/>
              </w:rPr>
              <w:t>1</w:t>
            </w:r>
          </w:p>
        </w:tc>
      </w:tr>
      <w:tr w:rsidR="00306810" w:rsidRPr="00306810" w14:paraId="4FB3983D" w14:textId="77777777" w:rsidTr="00306810">
        <w:trPr>
          <w:trHeight w:val="107"/>
        </w:trPr>
        <w:tc>
          <w:tcPr>
            <w:tcW w:w="4820" w:type="dxa"/>
            <w:vMerge/>
          </w:tcPr>
          <w:p w14:paraId="7E109131" w14:textId="77777777" w:rsidR="00306810" w:rsidRPr="00306810" w:rsidRDefault="00306810" w:rsidP="00D47FAA">
            <w:pPr>
              <w:pStyle w:val="table-text-0"/>
              <w:ind w:firstLine="0"/>
              <w:rPr>
                <w:kern w:val="2"/>
                <w:sz w:val="24"/>
                <w:szCs w:val="24"/>
                <w:lang w:eastAsia="zh-CN" w:bidi="hi-IN"/>
              </w:rPr>
            </w:pPr>
          </w:p>
        </w:tc>
        <w:tc>
          <w:tcPr>
            <w:tcW w:w="4060" w:type="dxa"/>
          </w:tcPr>
          <w:p w14:paraId="5C9F05FA" w14:textId="77777777" w:rsidR="00306810" w:rsidRPr="00306810" w:rsidRDefault="00306810" w:rsidP="00D47FAA">
            <w:pPr>
              <w:pStyle w:val="table-text-0"/>
              <w:ind w:firstLine="0"/>
              <w:rPr>
                <w:kern w:val="2"/>
                <w:sz w:val="24"/>
                <w:szCs w:val="24"/>
                <w:lang w:eastAsia="zh-CN" w:bidi="hi-IN"/>
              </w:rPr>
            </w:pPr>
            <w:r w:rsidRPr="00306810">
              <w:rPr>
                <w:kern w:val="2"/>
                <w:sz w:val="24"/>
                <w:szCs w:val="24"/>
                <w:lang w:eastAsia="zh-CN" w:bidi="hi-IN"/>
              </w:rPr>
              <w:t>Другие сочетания</w:t>
            </w:r>
          </w:p>
        </w:tc>
        <w:tc>
          <w:tcPr>
            <w:tcW w:w="1829" w:type="dxa"/>
          </w:tcPr>
          <w:p w14:paraId="5BB5275A" w14:textId="77777777" w:rsidR="00306810" w:rsidRPr="00306810" w:rsidRDefault="00306810" w:rsidP="00D47FAA">
            <w:pPr>
              <w:pStyle w:val="table-text-0"/>
              <w:ind w:firstLine="0"/>
              <w:rPr>
                <w:kern w:val="2"/>
                <w:sz w:val="24"/>
                <w:szCs w:val="24"/>
                <w:lang w:eastAsia="zh-CN" w:bidi="hi-IN"/>
              </w:rPr>
            </w:pPr>
            <w:r w:rsidRPr="00306810">
              <w:rPr>
                <w:kern w:val="2"/>
                <w:sz w:val="24"/>
                <w:szCs w:val="24"/>
                <w:lang w:eastAsia="zh-CN" w:bidi="hi-IN"/>
              </w:rPr>
              <w:t>0</w:t>
            </w:r>
          </w:p>
        </w:tc>
      </w:tr>
      <w:tr w:rsidR="00306810" w:rsidRPr="00306810" w14:paraId="73566D6C" w14:textId="77777777" w:rsidTr="00306810">
        <w:trPr>
          <w:trHeight w:val="107"/>
        </w:trPr>
        <w:tc>
          <w:tcPr>
            <w:tcW w:w="10709" w:type="dxa"/>
            <w:gridSpan w:val="3"/>
          </w:tcPr>
          <w:p w14:paraId="37E42F42" w14:textId="77777777" w:rsidR="00306810" w:rsidRPr="00306810" w:rsidRDefault="00306810" w:rsidP="00D47FAA">
            <w:pPr>
              <w:pStyle w:val="table-ref"/>
              <w:spacing w:line="240" w:lineRule="auto"/>
              <w:ind w:firstLine="0"/>
              <w:rPr>
                <w:rFonts w:eastAsia="SimSun"/>
                <w:sz w:val="24"/>
                <w:szCs w:val="24"/>
              </w:rPr>
            </w:pPr>
            <w:r w:rsidRPr="00306810">
              <w:rPr>
                <w:rFonts w:eastAsia="SimSun"/>
                <w:sz w:val="24"/>
                <w:szCs w:val="24"/>
                <w:vertAlign w:val="superscript"/>
              </w:rPr>
              <w:t>1</w:t>
            </w:r>
            <w:r w:rsidRPr="00306810">
              <w:rPr>
                <w:rFonts w:eastAsia="SimSun"/>
                <w:sz w:val="24"/>
                <w:szCs w:val="24"/>
              </w:rPr>
              <w:t xml:space="preserve"> Не применяется у пациентов с АА. </w:t>
            </w:r>
          </w:p>
          <w:p w14:paraId="47F5BB50" w14:textId="77777777" w:rsidR="00306810" w:rsidRPr="00306810" w:rsidRDefault="00306810" w:rsidP="00D47FAA">
            <w:pPr>
              <w:pStyle w:val="table-ref"/>
              <w:spacing w:line="240" w:lineRule="auto"/>
              <w:ind w:firstLine="0"/>
              <w:rPr>
                <w:rFonts w:eastAsia="SimSun"/>
                <w:sz w:val="24"/>
                <w:szCs w:val="24"/>
              </w:rPr>
            </w:pPr>
            <w:r w:rsidRPr="00306810">
              <w:rPr>
                <w:rFonts w:eastAsia="SimSun"/>
                <w:sz w:val="24"/>
                <w:szCs w:val="24"/>
              </w:rPr>
              <w:t>Ранний — острый лейкоз в ПР1; МДС в ПР1 или без предшествующего лечения; ХМЛ в 1 хронической фазе; НХЛ нелеченная или в ПР1; ММ нелеченная или в ПР1.</w:t>
            </w:r>
          </w:p>
          <w:p w14:paraId="391FB8B7" w14:textId="77777777" w:rsidR="00306810" w:rsidRPr="00306810" w:rsidRDefault="00306810" w:rsidP="00D47FAA">
            <w:pPr>
              <w:pStyle w:val="table-ref"/>
              <w:spacing w:line="240" w:lineRule="auto"/>
              <w:ind w:firstLine="0"/>
              <w:rPr>
                <w:rFonts w:eastAsia="SimSun"/>
                <w:sz w:val="24"/>
                <w:szCs w:val="24"/>
              </w:rPr>
            </w:pPr>
            <w:r w:rsidRPr="00306810">
              <w:rPr>
                <w:rFonts w:eastAsia="SimSun"/>
                <w:sz w:val="24"/>
                <w:szCs w:val="24"/>
              </w:rPr>
              <w:t>Промежуточный — острый лейкоз в ПР2; ХМЛ за исключением хронической фазы 1 и БК; МДС в ПР2 или ЧР; НХЛ в ПР2, ЧР или стабилизация заболевания; ММ в ПР2, ЧР или стабилизация заболевания.</w:t>
            </w:r>
          </w:p>
          <w:p w14:paraId="10FE175B" w14:textId="77777777" w:rsidR="00306810" w:rsidRPr="00306810" w:rsidRDefault="00306810" w:rsidP="00D47FAA">
            <w:pPr>
              <w:pStyle w:val="table-ref"/>
              <w:spacing w:line="240" w:lineRule="auto"/>
              <w:ind w:firstLine="0"/>
              <w:rPr>
                <w:rFonts w:eastAsia="SimSun"/>
                <w:sz w:val="24"/>
                <w:szCs w:val="24"/>
              </w:rPr>
            </w:pPr>
            <w:r w:rsidRPr="00306810">
              <w:rPr>
                <w:rFonts w:eastAsia="SimSun"/>
                <w:sz w:val="24"/>
                <w:szCs w:val="24"/>
              </w:rPr>
              <w:t>Развернутый — острый лейкоз в других стадиях кроме ПР1 и ПР2; ХМЛ в БК; МДС во всех других стадиях; НХЛ во всех других стадиях; ММ во всех других стадиях.</w:t>
            </w:r>
          </w:p>
          <w:p w14:paraId="7ED2AD7C" w14:textId="77777777" w:rsidR="00306810" w:rsidRPr="00306810" w:rsidRDefault="00306810" w:rsidP="00D47FAA">
            <w:pPr>
              <w:pStyle w:val="table-ref"/>
              <w:spacing w:line="240" w:lineRule="auto"/>
              <w:ind w:firstLine="0"/>
              <w:rPr>
                <w:rFonts w:eastAsia="SimSun"/>
                <w:sz w:val="24"/>
                <w:szCs w:val="24"/>
              </w:rPr>
            </w:pPr>
            <w:r w:rsidRPr="00306810">
              <w:rPr>
                <w:rFonts w:eastAsia="SimSun"/>
                <w:sz w:val="24"/>
                <w:szCs w:val="24"/>
                <w:vertAlign w:val="superscript"/>
              </w:rPr>
              <w:t>2</w:t>
            </w:r>
            <w:r w:rsidRPr="00306810">
              <w:rPr>
                <w:rFonts w:eastAsia="SimSun"/>
                <w:sz w:val="24"/>
                <w:szCs w:val="24"/>
              </w:rPr>
              <w:t xml:space="preserve"> Не применяется у пациентов в ПР1.</w:t>
            </w:r>
          </w:p>
        </w:tc>
      </w:tr>
    </w:tbl>
    <w:p w14:paraId="55B0C058" w14:textId="77777777" w:rsidR="00306810" w:rsidRPr="00777124" w:rsidRDefault="00306810" w:rsidP="00306810">
      <w:pPr>
        <w:spacing w:line="240" w:lineRule="auto"/>
        <w:rPr>
          <w:rFonts w:eastAsia="SimSun"/>
        </w:rPr>
      </w:pPr>
    </w:p>
    <w:p w14:paraId="78CFD066" w14:textId="77777777" w:rsidR="00306810" w:rsidRPr="00D47FAA" w:rsidRDefault="00306810" w:rsidP="00D47FAA">
      <w:pPr>
        <w:pStyle w:val="table-name"/>
        <w:spacing w:before="0" w:line="360" w:lineRule="auto"/>
        <w:ind w:firstLine="709"/>
        <w:rPr>
          <w:rFonts w:eastAsia="SimSun"/>
          <w:b w:val="0"/>
          <w:bCs w:val="0"/>
          <w:sz w:val="24"/>
          <w:szCs w:val="24"/>
          <w:lang w:val="ru-RU"/>
        </w:rPr>
      </w:pPr>
      <w:r w:rsidRPr="00D47FAA">
        <w:rPr>
          <w:rFonts w:eastAsia="SimSun"/>
          <w:b w:val="0"/>
          <w:bCs w:val="0"/>
          <w:sz w:val="24"/>
          <w:szCs w:val="24"/>
          <w:lang w:val="ru-RU"/>
        </w:rPr>
        <w:t xml:space="preserve">Пятилетняя летальность (%), связанная с трансплантацией, согласно шкале риска </w:t>
      </w:r>
      <w:r w:rsidRPr="00D47FAA">
        <w:rPr>
          <w:rFonts w:eastAsia="SimSun"/>
          <w:b w:val="0"/>
          <w:bCs w:val="0"/>
          <w:sz w:val="24"/>
          <w:szCs w:val="24"/>
        </w:rPr>
        <w:t>EBMT</w:t>
      </w:r>
    </w:p>
    <w:tbl>
      <w:tblPr>
        <w:tblW w:w="1072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1314"/>
        <w:gridCol w:w="1314"/>
        <w:gridCol w:w="1314"/>
        <w:gridCol w:w="1314"/>
        <w:gridCol w:w="1314"/>
        <w:gridCol w:w="1314"/>
        <w:gridCol w:w="1314"/>
      </w:tblGrid>
      <w:tr w:rsidR="00306810" w:rsidRPr="00D47FAA" w14:paraId="0182B433" w14:textId="77777777" w:rsidTr="00D47FAA">
        <w:trPr>
          <w:trHeight w:val="360"/>
        </w:trPr>
        <w:tc>
          <w:tcPr>
            <w:tcW w:w="1531" w:type="dxa"/>
          </w:tcPr>
          <w:p w14:paraId="577AD07D" w14:textId="77777777" w:rsidR="00306810" w:rsidRPr="00D47FAA" w:rsidRDefault="00306810" w:rsidP="00706C57">
            <w:pPr>
              <w:pStyle w:val="table-head-left"/>
              <w:spacing w:before="0" w:line="240" w:lineRule="auto"/>
              <w:ind w:firstLine="0"/>
              <w:rPr>
                <w:kern w:val="2"/>
                <w:sz w:val="24"/>
                <w:szCs w:val="24"/>
                <w:lang w:eastAsia="zh-CN" w:bidi="hi-IN"/>
              </w:rPr>
            </w:pPr>
            <w:r w:rsidRPr="00D47FAA">
              <w:rPr>
                <w:kern w:val="2"/>
                <w:sz w:val="24"/>
                <w:szCs w:val="24"/>
                <w:lang w:eastAsia="zh-CN" w:bidi="hi-IN"/>
              </w:rPr>
              <w:t>Баллы</w:t>
            </w:r>
          </w:p>
        </w:tc>
        <w:tc>
          <w:tcPr>
            <w:tcW w:w="1314" w:type="dxa"/>
          </w:tcPr>
          <w:p w14:paraId="1D9D39EF" w14:textId="77777777" w:rsidR="00306810" w:rsidRPr="00D47FAA" w:rsidRDefault="00306810" w:rsidP="00706C57">
            <w:pPr>
              <w:pStyle w:val="table-head-left"/>
              <w:spacing w:before="0" w:line="240" w:lineRule="auto"/>
              <w:ind w:firstLine="0"/>
              <w:rPr>
                <w:kern w:val="2"/>
                <w:sz w:val="24"/>
                <w:szCs w:val="24"/>
                <w:lang w:eastAsia="zh-CN" w:bidi="hi-IN"/>
              </w:rPr>
            </w:pPr>
            <w:r w:rsidRPr="00D47FAA">
              <w:rPr>
                <w:kern w:val="2"/>
                <w:sz w:val="24"/>
                <w:szCs w:val="24"/>
                <w:lang w:eastAsia="zh-CN" w:bidi="hi-IN"/>
              </w:rPr>
              <w:t>0</w:t>
            </w:r>
          </w:p>
        </w:tc>
        <w:tc>
          <w:tcPr>
            <w:tcW w:w="1314" w:type="dxa"/>
          </w:tcPr>
          <w:p w14:paraId="33C4363B" w14:textId="77777777" w:rsidR="00306810" w:rsidRPr="00D47FAA" w:rsidRDefault="00306810" w:rsidP="00706C57">
            <w:pPr>
              <w:pStyle w:val="table-head-left"/>
              <w:spacing w:before="0" w:line="240" w:lineRule="auto"/>
              <w:ind w:firstLine="0"/>
              <w:rPr>
                <w:kern w:val="2"/>
                <w:sz w:val="24"/>
                <w:szCs w:val="24"/>
                <w:lang w:eastAsia="zh-CN" w:bidi="hi-IN"/>
              </w:rPr>
            </w:pPr>
            <w:r w:rsidRPr="00D47FAA">
              <w:rPr>
                <w:kern w:val="2"/>
                <w:sz w:val="24"/>
                <w:szCs w:val="24"/>
                <w:lang w:eastAsia="zh-CN" w:bidi="hi-IN"/>
              </w:rPr>
              <w:t>1</w:t>
            </w:r>
          </w:p>
        </w:tc>
        <w:tc>
          <w:tcPr>
            <w:tcW w:w="1314" w:type="dxa"/>
          </w:tcPr>
          <w:p w14:paraId="096135F3" w14:textId="77777777" w:rsidR="00306810" w:rsidRPr="00D47FAA" w:rsidRDefault="00306810" w:rsidP="00706C57">
            <w:pPr>
              <w:pStyle w:val="table-head-left"/>
              <w:spacing w:before="0" w:line="240" w:lineRule="auto"/>
              <w:ind w:firstLine="0"/>
              <w:rPr>
                <w:kern w:val="2"/>
                <w:sz w:val="24"/>
                <w:szCs w:val="24"/>
                <w:lang w:eastAsia="zh-CN" w:bidi="hi-IN"/>
              </w:rPr>
            </w:pPr>
            <w:r w:rsidRPr="00D47FAA">
              <w:rPr>
                <w:kern w:val="2"/>
                <w:sz w:val="24"/>
                <w:szCs w:val="24"/>
                <w:lang w:eastAsia="zh-CN" w:bidi="hi-IN"/>
              </w:rPr>
              <w:t>2</w:t>
            </w:r>
          </w:p>
        </w:tc>
        <w:tc>
          <w:tcPr>
            <w:tcW w:w="1314" w:type="dxa"/>
          </w:tcPr>
          <w:p w14:paraId="715F6DD0" w14:textId="77777777" w:rsidR="00306810" w:rsidRPr="00D47FAA" w:rsidRDefault="00306810" w:rsidP="00706C57">
            <w:pPr>
              <w:pStyle w:val="table-head-left"/>
              <w:spacing w:before="0" w:line="240" w:lineRule="auto"/>
              <w:ind w:firstLine="0"/>
              <w:rPr>
                <w:kern w:val="2"/>
                <w:sz w:val="24"/>
                <w:szCs w:val="24"/>
                <w:lang w:eastAsia="zh-CN" w:bidi="hi-IN"/>
              </w:rPr>
            </w:pPr>
            <w:r w:rsidRPr="00D47FAA">
              <w:rPr>
                <w:kern w:val="2"/>
                <w:sz w:val="24"/>
                <w:szCs w:val="24"/>
                <w:lang w:eastAsia="zh-CN" w:bidi="hi-IN"/>
              </w:rPr>
              <w:t>3</w:t>
            </w:r>
          </w:p>
        </w:tc>
        <w:tc>
          <w:tcPr>
            <w:tcW w:w="1314" w:type="dxa"/>
          </w:tcPr>
          <w:p w14:paraId="7504A9CA" w14:textId="77777777" w:rsidR="00306810" w:rsidRPr="00D47FAA" w:rsidRDefault="00306810" w:rsidP="00706C57">
            <w:pPr>
              <w:pStyle w:val="table-head-left"/>
              <w:spacing w:before="0" w:line="240" w:lineRule="auto"/>
              <w:ind w:firstLine="0"/>
              <w:rPr>
                <w:kern w:val="2"/>
                <w:sz w:val="24"/>
                <w:szCs w:val="24"/>
                <w:lang w:eastAsia="zh-CN" w:bidi="hi-IN"/>
              </w:rPr>
            </w:pPr>
            <w:r w:rsidRPr="00D47FAA">
              <w:rPr>
                <w:kern w:val="2"/>
                <w:sz w:val="24"/>
                <w:szCs w:val="24"/>
                <w:lang w:eastAsia="zh-CN" w:bidi="hi-IN"/>
              </w:rPr>
              <w:t>4</w:t>
            </w:r>
          </w:p>
        </w:tc>
        <w:tc>
          <w:tcPr>
            <w:tcW w:w="1314" w:type="dxa"/>
          </w:tcPr>
          <w:p w14:paraId="4EF29382" w14:textId="77777777" w:rsidR="00306810" w:rsidRPr="00D47FAA" w:rsidRDefault="00306810" w:rsidP="00706C57">
            <w:pPr>
              <w:pStyle w:val="table-head-left"/>
              <w:spacing w:before="0" w:line="240" w:lineRule="auto"/>
              <w:ind w:firstLine="0"/>
              <w:rPr>
                <w:kern w:val="2"/>
                <w:sz w:val="24"/>
                <w:szCs w:val="24"/>
                <w:lang w:eastAsia="zh-CN" w:bidi="hi-IN"/>
              </w:rPr>
            </w:pPr>
            <w:r w:rsidRPr="00D47FAA">
              <w:rPr>
                <w:kern w:val="2"/>
                <w:sz w:val="24"/>
                <w:szCs w:val="24"/>
                <w:lang w:eastAsia="zh-CN" w:bidi="hi-IN"/>
              </w:rPr>
              <w:t>5</w:t>
            </w:r>
          </w:p>
        </w:tc>
        <w:tc>
          <w:tcPr>
            <w:tcW w:w="1314" w:type="dxa"/>
          </w:tcPr>
          <w:p w14:paraId="4B11B612" w14:textId="77777777" w:rsidR="00306810" w:rsidRPr="00D47FAA" w:rsidRDefault="00306810" w:rsidP="00706C57">
            <w:pPr>
              <w:pStyle w:val="table-head-left"/>
              <w:spacing w:before="0" w:line="240" w:lineRule="auto"/>
              <w:ind w:firstLine="0"/>
              <w:rPr>
                <w:kern w:val="2"/>
                <w:sz w:val="24"/>
                <w:szCs w:val="24"/>
                <w:lang w:eastAsia="zh-CN" w:bidi="hi-IN"/>
              </w:rPr>
            </w:pPr>
            <w:r w:rsidRPr="00D47FAA">
              <w:rPr>
                <w:kern w:val="2"/>
                <w:sz w:val="24"/>
                <w:szCs w:val="24"/>
                <w:lang w:eastAsia="zh-CN" w:bidi="hi-IN"/>
              </w:rPr>
              <w:t>6–7</w:t>
            </w:r>
          </w:p>
        </w:tc>
      </w:tr>
      <w:tr w:rsidR="00306810" w:rsidRPr="00D47FAA" w14:paraId="47045C63" w14:textId="77777777" w:rsidTr="00D47FAA">
        <w:trPr>
          <w:trHeight w:val="360"/>
        </w:trPr>
        <w:tc>
          <w:tcPr>
            <w:tcW w:w="1531" w:type="dxa"/>
          </w:tcPr>
          <w:p w14:paraId="0E47ABF9"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eastAsia="zh-CN" w:bidi="hi-IN"/>
              </w:rPr>
              <w:t>ОМЛ</w:t>
            </w:r>
          </w:p>
        </w:tc>
        <w:tc>
          <w:tcPr>
            <w:tcW w:w="1314" w:type="dxa"/>
          </w:tcPr>
          <w:p w14:paraId="6E9D1FB6"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14</w:t>
            </w:r>
          </w:p>
        </w:tc>
        <w:tc>
          <w:tcPr>
            <w:tcW w:w="1314" w:type="dxa"/>
          </w:tcPr>
          <w:p w14:paraId="1CD66D90"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20</w:t>
            </w:r>
          </w:p>
        </w:tc>
        <w:tc>
          <w:tcPr>
            <w:tcW w:w="1314" w:type="dxa"/>
          </w:tcPr>
          <w:p w14:paraId="6935E07D"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25</w:t>
            </w:r>
          </w:p>
        </w:tc>
        <w:tc>
          <w:tcPr>
            <w:tcW w:w="1314" w:type="dxa"/>
          </w:tcPr>
          <w:p w14:paraId="52F1F792"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30</w:t>
            </w:r>
          </w:p>
        </w:tc>
        <w:tc>
          <w:tcPr>
            <w:tcW w:w="1314" w:type="dxa"/>
          </w:tcPr>
          <w:p w14:paraId="27B385EA"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36</w:t>
            </w:r>
          </w:p>
        </w:tc>
        <w:tc>
          <w:tcPr>
            <w:tcW w:w="1314" w:type="dxa"/>
          </w:tcPr>
          <w:p w14:paraId="2D252EBC"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40</w:t>
            </w:r>
          </w:p>
        </w:tc>
        <w:tc>
          <w:tcPr>
            <w:tcW w:w="1314" w:type="dxa"/>
          </w:tcPr>
          <w:p w14:paraId="067EBC24"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41</w:t>
            </w:r>
          </w:p>
        </w:tc>
      </w:tr>
      <w:tr w:rsidR="00306810" w:rsidRPr="00D47FAA" w14:paraId="0CFBAE32" w14:textId="77777777" w:rsidTr="00D47FAA">
        <w:trPr>
          <w:trHeight w:val="360"/>
        </w:trPr>
        <w:tc>
          <w:tcPr>
            <w:tcW w:w="1531" w:type="dxa"/>
          </w:tcPr>
          <w:p w14:paraId="0D591B5C"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eastAsia="zh-CN" w:bidi="hi-IN"/>
              </w:rPr>
              <w:t>ОЛЛ</w:t>
            </w:r>
          </w:p>
        </w:tc>
        <w:tc>
          <w:tcPr>
            <w:tcW w:w="1314" w:type="dxa"/>
          </w:tcPr>
          <w:p w14:paraId="2E7B4049"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15</w:t>
            </w:r>
          </w:p>
        </w:tc>
        <w:tc>
          <w:tcPr>
            <w:tcW w:w="1314" w:type="dxa"/>
          </w:tcPr>
          <w:p w14:paraId="495DFC46"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23</w:t>
            </w:r>
          </w:p>
        </w:tc>
        <w:tc>
          <w:tcPr>
            <w:tcW w:w="1314" w:type="dxa"/>
          </w:tcPr>
          <w:p w14:paraId="35A3D568"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24</w:t>
            </w:r>
          </w:p>
        </w:tc>
        <w:tc>
          <w:tcPr>
            <w:tcW w:w="1314" w:type="dxa"/>
          </w:tcPr>
          <w:p w14:paraId="693ED7A9"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30</w:t>
            </w:r>
          </w:p>
        </w:tc>
        <w:tc>
          <w:tcPr>
            <w:tcW w:w="1314" w:type="dxa"/>
          </w:tcPr>
          <w:p w14:paraId="2AE46947"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40</w:t>
            </w:r>
          </w:p>
        </w:tc>
        <w:tc>
          <w:tcPr>
            <w:tcW w:w="1314" w:type="dxa"/>
          </w:tcPr>
          <w:p w14:paraId="17A79E70"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47</w:t>
            </w:r>
          </w:p>
        </w:tc>
        <w:tc>
          <w:tcPr>
            <w:tcW w:w="1314" w:type="dxa"/>
          </w:tcPr>
          <w:p w14:paraId="1475F9C5"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53</w:t>
            </w:r>
          </w:p>
        </w:tc>
      </w:tr>
      <w:tr w:rsidR="00306810" w:rsidRPr="00D47FAA" w14:paraId="31C97113" w14:textId="77777777" w:rsidTr="00D47FAA">
        <w:trPr>
          <w:trHeight w:val="360"/>
        </w:trPr>
        <w:tc>
          <w:tcPr>
            <w:tcW w:w="1531" w:type="dxa"/>
          </w:tcPr>
          <w:p w14:paraId="2E566D69"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eastAsia="zh-CN" w:bidi="hi-IN"/>
              </w:rPr>
              <w:t>ХМЛ</w:t>
            </w:r>
          </w:p>
        </w:tc>
        <w:tc>
          <w:tcPr>
            <w:tcW w:w="1314" w:type="dxa"/>
          </w:tcPr>
          <w:p w14:paraId="44B0264B"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15</w:t>
            </w:r>
          </w:p>
        </w:tc>
        <w:tc>
          <w:tcPr>
            <w:tcW w:w="1314" w:type="dxa"/>
          </w:tcPr>
          <w:p w14:paraId="34B9DA39"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22</w:t>
            </w:r>
          </w:p>
        </w:tc>
        <w:tc>
          <w:tcPr>
            <w:tcW w:w="1314" w:type="dxa"/>
          </w:tcPr>
          <w:p w14:paraId="58F5816A"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30</w:t>
            </w:r>
          </w:p>
        </w:tc>
        <w:tc>
          <w:tcPr>
            <w:tcW w:w="1314" w:type="dxa"/>
          </w:tcPr>
          <w:p w14:paraId="5D72AF00"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38</w:t>
            </w:r>
          </w:p>
        </w:tc>
        <w:tc>
          <w:tcPr>
            <w:tcW w:w="1314" w:type="dxa"/>
          </w:tcPr>
          <w:p w14:paraId="13B077A2"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45</w:t>
            </w:r>
          </w:p>
        </w:tc>
        <w:tc>
          <w:tcPr>
            <w:tcW w:w="1314" w:type="dxa"/>
          </w:tcPr>
          <w:p w14:paraId="73EA3327"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52</w:t>
            </w:r>
          </w:p>
        </w:tc>
        <w:tc>
          <w:tcPr>
            <w:tcW w:w="1314" w:type="dxa"/>
          </w:tcPr>
          <w:p w14:paraId="7AB94CEF"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55</w:t>
            </w:r>
          </w:p>
        </w:tc>
      </w:tr>
      <w:tr w:rsidR="00306810" w:rsidRPr="00D47FAA" w14:paraId="4FBD6F4D" w14:textId="77777777" w:rsidTr="00D47FAA">
        <w:trPr>
          <w:trHeight w:val="360"/>
        </w:trPr>
        <w:tc>
          <w:tcPr>
            <w:tcW w:w="1531" w:type="dxa"/>
          </w:tcPr>
          <w:p w14:paraId="1803B04F"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eastAsia="zh-CN" w:bidi="hi-IN"/>
              </w:rPr>
              <w:t>АА</w:t>
            </w:r>
          </w:p>
        </w:tc>
        <w:tc>
          <w:tcPr>
            <w:tcW w:w="1314" w:type="dxa"/>
          </w:tcPr>
          <w:p w14:paraId="608F8856"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18</w:t>
            </w:r>
          </w:p>
        </w:tc>
        <w:tc>
          <w:tcPr>
            <w:tcW w:w="1314" w:type="dxa"/>
          </w:tcPr>
          <w:p w14:paraId="7D6E2993"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26</w:t>
            </w:r>
          </w:p>
        </w:tc>
        <w:tc>
          <w:tcPr>
            <w:tcW w:w="1314" w:type="dxa"/>
          </w:tcPr>
          <w:p w14:paraId="063DE08C"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40</w:t>
            </w:r>
          </w:p>
        </w:tc>
        <w:tc>
          <w:tcPr>
            <w:tcW w:w="1314" w:type="dxa"/>
          </w:tcPr>
          <w:p w14:paraId="0EDBFCF5"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49</w:t>
            </w:r>
          </w:p>
        </w:tc>
        <w:tc>
          <w:tcPr>
            <w:tcW w:w="1314" w:type="dxa"/>
          </w:tcPr>
          <w:p w14:paraId="2883E8EB"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52</w:t>
            </w:r>
          </w:p>
        </w:tc>
        <w:tc>
          <w:tcPr>
            <w:tcW w:w="1314" w:type="dxa"/>
          </w:tcPr>
          <w:p w14:paraId="678B55C3"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eastAsia="zh-CN" w:bidi="hi-IN"/>
              </w:rPr>
              <w:t>–</w:t>
            </w:r>
          </w:p>
        </w:tc>
        <w:tc>
          <w:tcPr>
            <w:tcW w:w="1314" w:type="dxa"/>
          </w:tcPr>
          <w:p w14:paraId="6766043C"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eastAsia="zh-CN" w:bidi="hi-IN"/>
              </w:rPr>
              <w:t>–</w:t>
            </w:r>
          </w:p>
        </w:tc>
      </w:tr>
      <w:tr w:rsidR="00306810" w:rsidRPr="00D47FAA" w14:paraId="74663D8F" w14:textId="77777777" w:rsidTr="00D47FAA">
        <w:trPr>
          <w:trHeight w:val="360"/>
        </w:trPr>
        <w:tc>
          <w:tcPr>
            <w:tcW w:w="1531" w:type="dxa"/>
          </w:tcPr>
          <w:p w14:paraId="3163C054"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eastAsia="zh-CN" w:bidi="hi-IN"/>
              </w:rPr>
              <w:t>МДС</w:t>
            </w:r>
          </w:p>
        </w:tc>
        <w:tc>
          <w:tcPr>
            <w:tcW w:w="1314" w:type="dxa"/>
          </w:tcPr>
          <w:p w14:paraId="5AD62ACF"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25</w:t>
            </w:r>
          </w:p>
        </w:tc>
        <w:tc>
          <w:tcPr>
            <w:tcW w:w="1314" w:type="dxa"/>
          </w:tcPr>
          <w:p w14:paraId="65352E4C"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28</w:t>
            </w:r>
          </w:p>
        </w:tc>
        <w:tc>
          <w:tcPr>
            <w:tcW w:w="1314" w:type="dxa"/>
          </w:tcPr>
          <w:p w14:paraId="443E176A"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30</w:t>
            </w:r>
          </w:p>
        </w:tc>
        <w:tc>
          <w:tcPr>
            <w:tcW w:w="1314" w:type="dxa"/>
          </w:tcPr>
          <w:p w14:paraId="1D151660"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35</w:t>
            </w:r>
          </w:p>
        </w:tc>
        <w:tc>
          <w:tcPr>
            <w:tcW w:w="1314" w:type="dxa"/>
          </w:tcPr>
          <w:p w14:paraId="4D0824AF"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38</w:t>
            </w:r>
          </w:p>
        </w:tc>
        <w:tc>
          <w:tcPr>
            <w:tcW w:w="1314" w:type="dxa"/>
          </w:tcPr>
          <w:p w14:paraId="4C74362C"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46</w:t>
            </w:r>
          </w:p>
        </w:tc>
        <w:tc>
          <w:tcPr>
            <w:tcW w:w="1314" w:type="dxa"/>
          </w:tcPr>
          <w:p w14:paraId="214F25B4"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50</w:t>
            </w:r>
          </w:p>
        </w:tc>
      </w:tr>
      <w:tr w:rsidR="00306810" w:rsidRPr="00D47FAA" w14:paraId="3C45ADFD" w14:textId="77777777" w:rsidTr="00D47FAA">
        <w:trPr>
          <w:trHeight w:val="360"/>
        </w:trPr>
        <w:tc>
          <w:tcPr>
            <w:tcW w:w="1531" w:type="dxa"/>
          </w:tcPr>
          <w:p w14:paraId="1154889E"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eastAsia="zh-CN" w:bidi="hi-IN"/>
              </w:rPr>
              <w:t>ММ</w:t>
            </w:r>
          </w:p>
        </w:tc>
        <w:tc>
          <w:tcPr>
            <w:tcW w:w="1314" w:type="dxa"/>
          </w:tcPr>
          <w:p w14:paraId="7309DE00"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eastAsia="zh-CN" w:bidi="hi-IN"/>
              </w:rPr>
              <w:t>–</w:t>
            </w:r>
          </w:p>
        </w:tc>
        <w:tc>
          <w:tcPr>
            <w:tcW w:w="1314" w:type="dxa"/>
          </w:tcPr>
          <w:p w14:paraId="5C96A693"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eastAsia="zh-CN" w:bidi="hi-IN"/>
              </w:rPr>
              <w:t>–</w:t>
            </w:r>
          </w:p>
        </w:tc>
        <w:tc>
          <w:tcPr>
            <w:tcW w:w="1314" w:type="dxa"/>
          </w:tcPr>
          <w:p w14:paraId="1A8149EB"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29</w:t>
            </w:r>
          </w:p>
        </w:tc>
        <w:tc>
          <w:tcPr>
            <w:tcW w:w="1314" w:type="dxa"/>
          </w:tcPr>
          <w:p w14:paraId="6CFD8127"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35</w:t>
            </w:r>
          </w:p>
        </w:tc>
        <w:tc>
          <w:tcPr>
            <w:tcW w:w="1314" w:type="dxa"/>
          </w:tcPr>
          <w:p w14:paraId="5450ABA1"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40</w:t>
            </w:r>
          </w:p>
        </w:tc>
        <w:tc>
          <w:tcPr>
            <w:tcW w:w="1314" w:type="dxa"/>
          </w:tcPr>
          <w:p w14:paraId="35D52012"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42</w:t>
            </w:r>
          </w:p>
        </w:tc>
        <w:tc>
          <w:tcPr>
            <w:tcW w:w="1314" w:type="dxa"/>
          </w:tcPr>
          <w:p w14:paraId="4C3C318C"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52</w:t>
            </w:r>
          </w:p>
        </w:tc>
      </w:tr>
      <w:tr w:rsidR="00306810" w:rsidRPr="00D47FAA" w14:paraId="07792F74" w14:textId="77777777" w:rsidTr="00D47FAA">
        <w:trPr>
          <w:trHeight w:val="360"/>
        </w:trPr>
        <w:tc>
          <w:tcPr>
            <w:tcW w:w="1531" w:type="dxa"/>
          </w:tcPr>
          <w:p w14:paraId="58308C7D"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eastAsia="zh-CN" w:bidi="hi-IN"/>
              </w:rPr>
              <w:t>НХЛ</w:t>
            </w:r>
          </w:p>
        </w:tc>
        <w:tc>
          <w:tcPr>
            <w:tcW w:w="1314" w:type="dxa"/>
          </w:tcPr>
          <w:p w14:paraId="598A7F7C"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15</w:t>
            </w:r>
          </w:p>
        </w:tc>
        <w:tc>
          <w:tcPr>
            <w:tcW w:w="1314" w:type="dxa"/>
          </w:tcPr>
          <w:p w14:paraId="31499D5A"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24</w:t>
            </w:r>
          </w:p>
        </w:tc>
        <w:tc>
          <w:tcPr>
            <w:tcW w:w="1314" w:type="dxa"/>
          </w:tcPr>
          <w:p w14:paraId="70264F59"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28</w:t>
            </w:r>
          </w:p>
        </w:tc>
        <w:tc>
          <w:tcPr>
            <w:tcW w:w="1314" w:type="dxa"/>
          </w:tcPr>
          <w:p w14:paraId="08BEF861"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30</w:t>
            </w:r>
          </w:p>
        </w:tc>
        <w:tc>
          <w:tcPr>
            <w:tcW w:w="1314" w:type="dxa"/>
          </w:tcPr>
          <w:p w14:paraId="214B5C36"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34</w:t>
            </w:r>
          </w:p>
        </w:tc>
        <w:tc>
          <w:tcPr>
            <w:tcW w:w="1314" w:type="dxa"/>
          </w:tcPr>
          <w:p w14:paraId="631D3538"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36</w:t>
            </w:r>
          </w:p>
        </w:tc>
        <w:tc>
          <w:tcPr>
            <w:tcW w:w="1314" w:type="dxa"/>
          </w:tcPr>
          <w:p w14:paraId="728F889F" w14:textId="77777777" w:rsidR="00306810" w:rsidRPr="00D47FAA" w:rsidRDefault="00306810" w:rsidP="00706C57">
            <w:pPr>
              <w:pStyle w:val="table-text-0"/>
              <w:spacing w:before="0"/>
              <w:ind w:firstLine="0"/>
              <w:rPr>
                <w:kern w:val="2"/>
                <w:sz w:val="24"/>
                <w:szCs w:val="24"/>
                <w:lang w:eastAsia="zh-CN" w:bidi="hi-IN"/>
              </w:rPr>
            </w:pPr>
            <w:r w:rsidRPr="00D47FAA">
              <w:rPr>
                <w:kern w:val="2"/>
                <w:sz w:val="24"/>
                <w:szCs w:val="24"/>
                <w:lang w:val="x-none" w:eastAsia="zh-CN" w:bidi="hi-IN"/>
              </w:rPr>
              <w:t>38</w:t>
            </w:r>
          </w:p>
        </w:tc>
      </w:tr>
    </w:tbl>
    <w:p w14:paraId="4F1E3A00" w14:textId="77777777" w:rsidR="00306810" w:rsidRPr="00777124" w:rsidRDefault="00306810" w:rsidP="00306810">
      <w:pPr>
        <w:pStyle w:val="2"/>
        <w:rPr>
          <w:rFonts w:eastAsia="SimSun"/>
        </w:rPr>
      </w:pPr>
    </w:p>
    <w:p w14:paraId="6362CD29" w14:textId="013066CC" w:rsidR="00DC0931" w:rsidRPr="00DC0931" w:rsidRDefault="00706C57" w:rsidP="00DC0931">
      <w:pPr>
        <w:pStyle w:val="2"/>
        <w:spacing w:before="0"/>
      </w:pPr>
      <w:bookmarkStart w:id="310" w:name="_Toc66096880"/>
      <w:r w:rsidRPr="000322E4">
        <w:t>Приложение Г</w:t>
      </w:r>
      <w:r>
        <w:t xml:space="preserve">5. </w:t>
      </w:r>
      <w:bookmarkStart w:id="311" w:name="_Toc44401121"/>
      <w:r w:rsidR="00DC0931" w:rsidRPr="00C04462">
        <w:rPr>
          <w:rFonts w:eastAsia="SimSun"/>
        </w:rPr>
        <w:t>Расчет трансплантационного риска по шкале HCT-CI</w:t>
      </w:r>
      <w:bookmarkEnd w:id="310"/>
      <w:bookmarkEnd w:id="311"/>
    </w:p>
    <w:p w14:paraId="60659182" w14:textId="4F5A330B" w:rsidR="00DC0931" w:rsidRPr="00A74B56" w:rsidRDefault="00DC0931" w:rsidP="00DC0931">
      <w:pPr>
        <w:ind w:firstLine="709"/>
        <w:rPr>
          <w:rFonts w:eastAsia="SimSun"/>
        </w:rPr>
      </w:pPr>
      <w:r w:rsidRPr="00A74B56">
        <w:rPr>
          <w:rFonts w:eastAsia="SimSun"/>
        </w:rPr>
        <w:t xml:space="preserve">Оценка трансплантационного риска проводится при первичном рассмотрении пациента в качестве кандидата на проведение алло-ТГСК и повторно не более чем за 10 дней до начала предтрансплантационного кондиционирования </w:t>
      </w:r>
      <w:r w:rsidRPr="00A74B56">
        <w:rPr>
          <w:rFonts w:eastAsia="SimSun"/>
        </w:rPr>
        <w:fldChar w:fldCharType="begin" w:fldLock="1"/>
      </w:r>
      <w:r w:rsidR="002736BA">
        <w:rPr>
          <w:rFonts w:eastAsia="SimSun"/>
        </w:rPr>
        <w:instrText>ADDIN CSL_CITATION {"citationItems":[{"id":"ITEM-1","itemData":{"DOI":"10.1182/blood-2005-05-2004","ISSN":"0006-4971","PMID":"15994282","abstract":"We previously reported that the Charlson Comorbidity Index (CCI) was useful for predicting outcomes in patients undergoing allogeneic hematopoietic cell transplantation (HCT). However, the sample size of patients with scores of 1 or more, captured by the CCI, did not exceed 35%. Further, some comorbidities were rarely found among patients who underwent HCT. Therefore, the current study was designed to (1) better define previously identified comorbidities using pretransplant laboratory data, (2) investigate additional HCT-related comorbidities, and (3) establish comorbidity scores that were suited for HCT. Data were collected from 1055 patients, and then randomly divided into training and validation sets. Weights were assigned to individual comorbidities according to their prognostic significance in Cox proportional hazard models. The new index was then validated. The new index proved to be more sensitive than the CCI since it captured 62% of patients with scores more than 0 compared with 12%, respectively. Further, the new index showed better survival prediction than the CCI (likelihood ratio of 23.7 versus 7.1 and c statistics of 0.661 versus 0.561, respectively, P &lt; .001). In conclusion, the new simple index provided valid and reliable scoring of pretransplant comorbidities that predicted nonrelapse mortality and survival. This index will be useful for clinical trials and patient counseling before HCT.","author":[{"dropping-particle":"","family":"Sorror","given":"Mohamed L","non-dropping-particle":"","parse-names":false,"suffix":""},{"dropping-particle":"","family":"Maris","given":"Michael B","non-dropping-particle":"","parse-names":false,"suffix":""},{"dropping-particle":"","family":"Storb","given":"Rainer","non-dropping-particle":"","parse-names":false,"suffix":""},{"dropping-particle":"","family":"Baron","given":"Frederic","non-dropping-particle":"","parse-names":false,"suffix":""},{"dropping-particle":"","family":"Sandmaier","given":"Brenda M","non-dropping-particle":"","parse-names":false,"suffix":""},{"dropping-particle":"","family":"Maloney","given":"David G","non-dropping-particle":"","parse-names":false,"suffix":""},{"dropping-particle":"","family":"Storer","given":"Barry","non-dropping-particle":"","parse-names":false,"suffix":""}],"container-title":"Blood","id":"ITEM-1","issue":"8","issued":{"date-parts":[["2005","10","15"]]},"page":"2912-9","publisher":"The American Society of Hematology","title":"Hematopoietic cell transplantation (HCT)-specific comorbidity index: a new tool for risk assessment before allogeneic HCT.","type":"article-journal","volume":"106"},"uris":["http://www.mendeley.com/documents/?uuid=93f8ea95-5d4b-450a-a6fa-9a8772dd6e52"]},{"id":"ITEM-2","itemData":{"DOI":"10.1016/j.bbmt.2015.04.004","ISSN":"15236536","PMID":"25862591","abstract":"Prospective validation of the hematopoietic cell transplantation-comorbidity index (HCT-CI) using contemporary patients treated with hematopoietic cell transplantation (HCT) across the Unites States is necessary to confirm its widespread applicability. We performed a prospective observational study including all patients (8115 recipients of allogeneic and 11,652 recipients of autologous HCT) who underwent a first HCT that was reported to the Center for International Blood and Marrow Transplant Research between 2007 and 2009. In proportional hazards models, increased HCT-CI scores were independent</w:instrText>
      </w:r>
      <w:r w:rsidR="002736BA">
        <w:rPr>
          <w:rFonts w:eastAsia="SimSun" w:hint="eastAsia"/>
        </w:rPr>
        <w:instrText xml:space="preserve">ly associated with increases in hazard ratios for nonrelapse mortality (NRM) (P &lt;.0001) and overall mortality (P &lt;.0001) among recipients of allogeneic HCT. HCT-CI scores of </w:instrText>
      </w:r>
      <w:r w:rsidR="002736BA">
        <w:rPr>
          <w:rFonts w:eastAsia="SimSun" w:hint="eastAsia"/>
        </w:rPr>
        <w:instrText>≥</w:instrText>
      </w:r>
      <w:r w:rsidR="002736BA">
        <w:rPr>
          <w:rFonts w:eastAsia="SimSun" w:hint="eastAsia"/>
        </w:rPr>
        <w:instrText>3 were uniformly associated with higher risks for outcomes in both allogeneic an</w:instrText>
      </w:r>
      <w:r w:rsidR="002736BA">
        <w:rPr>
          <w:rFonts w:eastAsia="SimSun"/>
        </w:rPr>
        <w:instrText>d autologous HCT and in all subgroups, regardless of diagnoses, age, and conditioning intensity. Recipients of allogeneic HCT with scores of 1 and 2 who were ages &lt; 18 years or were treated with lower intensity conditioning regimens had similar outcomes compared with those with a score of 0. Higher risks for overall mortality, but not for NRM, were observed among recipients of autologous HCT with scores of 1 and 2 versus 0. Our results confirm the validity the HCT-CI in both allogeneic and autologous HCT. The index should be used as a valid standard-of-care health measure in counseling patients for HCT, in clinical trial design, and in adjusting outcome analyses.","author":[{"dropping-particle":"","family":"Sorror","given":"Mohamed L.","non-dropping-particle":"","parse-names":false,"suffix":""},{"dropping-particle":"","family":"Logan","given":"Brent R.","non-dropping-particle":"","parse-names":false,"suffix":""},{"dropping-particle":"","family":"Zhu","given":"Xiaochun","non-dropping-particle":"","parse-names":false,"suffix":""},{"dropping-particle":"","family":"Rizzo","given":"J. Douglas","non-dropping-particle":"","parse-names":false,"suffix":""},{"dropping-particle":"","family":"Cooke","given":"Kenneth R.","non-dropping-particle":"","parse-names":false,"suffix":""},{"dropping-particle":"","family":"McCarthy","given":"Philip L.","non-dropping-particle":"","parse-names":false,"suffix":""},{"dropping-particle":"","family":"Ho","given":"Vincent T.","non-dropping-particle":"","parse-names":false,"suffix":""},{"dropping-particle":"","family":"Horowitz","given":"Mary M.","non-dropping-particle":"","parse-names":false,"suffix":""},{"dropping-particle":"","family":"Pasquini","given":"Marcelo C.","non-dropping-particle":"","parse-names":false,"suffix":""}],"container-title":"Biology of Blood and Marrow Transplantation","id":"ITEM-2","issue":"8","issued":{"date-parts":[["2015","8","1"]]},"page":"1479-1487","publisher":"Elsevier Inc.","title":"Prospective Validation of the Predictive Power of the Hematopoietic Cell Transplantation Comorbidity Index: A Center for International Blood and Marrow Transplant Research Study","type":"article-journal","volume":"21"},"uris":["http://www.mendeley.com/documents/?uuid=1496af32-057f-32b7-b663-4fa3a7769799"]}],"mendeley":{"formattedCitation":"[272,273]","plainTextFormattedCitation":"[272,273]","previouslyFormattedCitation":"[1,2]"},"properties":{"noteIndex":0},"schema":"https://github.com/citation-style-language/schema/raw/master/csl-citation.json"}</w:instrText>
      </w:r>
      <w:r w:rsidRPr="00A74B56">
        <w:rPr>
          <w:rFonts w:eastAsia="SimSun"/>
        </w:rPr>
        <w:fldChar w:fldCharType="separate"/>
      </w:r>
      <w:r w:rsidR="002736BA" w:rsidRPr="002736BA">
        <w:rPr>
          <w:rFonts w:eastAsia="SimSun"/>
          <w:noProof/>
        </w:rPr>
        <w:t>[272,273]</w:t>
      </w:r>
      <w:r w:rsidRPr="00A74B56">
        <w:rPr>
          <w:rFonts w:eastAsia="SimSun"/>
        </w:rPr>
        <w:fldChar w:fldCharType="end"/>
      </w:r>
      <w:r w:rsidRPr="00A74B56">
        <w:rPr>
          <w:rFonts w:eastAsia="SimSun"/>
        </w:rPr>
        <w:t>.</w:t>
      </w:r>
    </w:p>
    <w:p w14:paraId="03F91A1F" w14:textId="4B268700" w:rsidR="00DC0931" w:rsidRPr="00A74B56" w:rsidRDefault="00DC0931" w:rsidP="00DC0931">
      <w:pPr>
        <w:ind w:firstLine="709"/>
        <w:rPr>
          <w:rFonts w:eastAsia="SimSun"/>
        </w:rPr>
      </w:pPr>
    </w:p>
    <w:tbl>
      <w:tblPr>
        <w:tblW w:w="1009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00"/>
        <w:gridCol w:w="1195"/>
      </w:tblGrid>
      <w:tr w:rsidR="00DC0931" w:rsidRPr="00DC0931" w14:paraId="578CCB44" w14:textId="77777777" w:rsidTr="00DC0931">
        <w:tc>
          <w:tcPr>
            <w:tcW w:w="8900" w:type="dxa"/>
            <w:vAlign w:val="center"/>
          </w:tcPr>
          <w:p w14:paraId="066BC5F2" w14:textId="77777777" w:rsidR="00DC0931" w:rsidRPr="00DC0931" w:rsidRDefault="00DC0931" w:rsidP="00DC0931">
            <w:pPr>
              <w:pStyle w:val="table-name"/>
              <w:spacing w:before="0" w:line="360" w:lineRule="auto"/>
              <w:ind w:firstLine="0"/>
              <w:rPr>
                <w:rFonts w:eastAsia="SimSun"/>
                <w:sz w:val="24"/>
                <w:szCs w:val="24"/>
              </w:rPr>
            </w:pPr>
            <w:r w:rsidRPr="00DC0931">
              <w:rPr>
                <w:rFonts w:eastAsia="SimSun"/>
                <w:sz w:val="24"/>
                <w:szCs w:val="24"/>
              </w:rPr>
              <w:t>Статус</w:t>
            </w:r>
          </w:p>
        </w:tc>
        <w:tc>
          <w:tcPr>
            <w:tcW w:w="1195" w:type="dxa"/>
            <w:vAlign w:val="center"/>
          </w:tcPr>
          <w:p w14:paraId="6F958E9B" w14:textId="77777777" w:rsidR="00DC0931" w:rsidRPr="00DC0931" w:rsidRDefault="00DC0931" w:rsidP="00DC0931">
            <w:pPr>
              <w:pStyle w:val="table-name"/>
              <w:spacing w:before="0" w:line="360" w:lineRule="auto"/>
              <w:ind w:firstLine="0"/>
              <w:rPr>
                <w:rFonts w:eastAsia="SimSun"/>
                <w:sz w:val="24"/>
                <w:szCs w:val="24"/>
              </w:rPr>
            </w:pPr>
            <w:r w:rsidRPr="00DC0931">
              <w:rPr>
                <w:rFonts w:eastAsia="SimSun"/>
                <w:sz w:val="24"/>
                <w:szCs w:val="24"/>
              </w:rPr>
              <w:t>Баллы</w:t>
            </w:r>
          </w:p>
        </w:tc>
      </w:tr>
      <w:tr w:rsidR="00DC0931" w:rsidRPr="00DC0931" w14:paraId="163521DC" w14:textId="77777777" w:rsidTr="00DC0931">
        <w:tc>
          <w:tcPr>
            <w:tcW w:w="8900" w:type="dxa"/>
            <w:vAlign w:val="center"/>
          </w:tcPr>
          <w:p w14:paraId="4F5ECC64" w14:textId="77777777" w:rsidR="00DC0931" w:rsidRPr="00DC0931" w:rsidRDefault="00DC0931" w:rsidP="00DC0931">
            <w:pPr>
              <w:pStyle w:val="table-head-left"/>
              <w:spacing w:before="0" w:after="0"/>
              <w:ind w:firstLine="0"/>
              <w:rPr>
                <w:rFonts w:eastAsia="SimSun"/>
                <w:sz w:val="24"/>
                <w:szCs w:val="24"/>
              </w:rPr>
            </w:pPr>
            <w:r w:rsidRPr="00DC0931">
              <w:rPr>
                <w:rFonts w:eastAsia="SimSun"/>
                <w:sz w:val="24"/>
                <w:szCs w:val="24"/>
              </w:rPr>
              <w:t>Дыхательная система</w:t>
            </w:r>
          </w:p>
        </w:tc>
        <w:tc>
          <w:tcPr>
            <w:tcW w:w="1195" w:type="dxa"/>
            <w:vAlign w:val="center"/>
          </w:tcPr>
          <w:p w14:paraId="02D3E642" w14:textId="77777777" w:rsidR="00DC0931" w:rsidRPr="00DC0931" w:rsidRDefault="00DC0931" w:rsidP="00DC0931">
            <w:pPr>
              <w:pStyle w:val="table-head-left"/>
              <w:spacing w:before="0" w:after="0"/>
              <w:ind w:firstLine="0"/>
              <w:rPr>
                <w:rFonts w:eastAsia="SimSun"/>
                <w:sz w:val="24"/>
                <w:szCs w:val="24"/>
              </w:rPr>
            </w:pPr>
          </w:p>
        </w:tc>
      </w:tr>
      <w:tr w:rsidR="00DC0931" w:rsidRPr="00DC0931" w14:paraId="7E39056D" w14:textId="77777777" w:rsidTr="00DC0931">
        <w:tc>
          <w:tcPr>
            <w:tcW w:w="8900" w:type="dxa"/>
            <w:vAlign w:val="center"/>
          </w:tcPr>
          <w:p w14:paraId="0F60AB07" w14:textId="77777777" w:rsidR="00DC0931" w:rsidRPr="00DC0931" w:rsidRDefault="00DC0931" w:rsidP="00DC0931">
            <w:pPr>
              <w:pStyle w:val="table-text-0"/>
              <w:spacing w:before="0" w:line="360" w:lineRule="auto"/>
              <w:ind w:firstLine="0"/>
              <w:rPr>
                <w:rFonts w:eastAsia="SimSun"/>
                <w:sz w:val="24"/>
                <w:szCs w:val="24"/>
                <w:lang w:val="ru-RU"/>
              </w:rPr>
            </w:pPr>
            <w:r w:rsidRPr="00DC0931">
              <w:rPr>
                <w:sz w:val="24"/>
                <w:szCs w:val="24"/>
                <w:lang w:val="ru-RU"/>
              </w:rPr>
              <w:t>ОФВ1 66–80% или одышка при небольшой физической нагрузке</w:t>
            </w:r>
          </w:p>
        </w:tc>
        <w:tc>
          <w:tcPr>
            <w:tcW w:w="1195" w:type="dxa"/>
            <w:vAlign w:val="center"/>
          </w:tcPr>
          <w:p w14:paraId="0A8DD535" w14:textId="77777777" w:rsidR="00DC0931" w:rsidRPr="00DC0931" w:rsidRDefault="00DC0931" w:rsidP="00DC0931">
            <w:pPr>
              <w:pStyle w:val="table-text-0"/>
              <w:spacing w:before="0" w:line="360" w:lineRule="auto"/>
              <w:ind w:firstLine="0"/>
              <w:rPr>
                <w:rFonts w:eastAsia="SimSun"/>
                <w:sz w:val="24"/>
                <w:szCs w:val="24"/>
              </w:rPr>
            </w:pPr>
            <w:r w:rsidRPr="00DC0931">
              <w:rPr>
                <w:rFonts w:eastAsia="SimSun"/>
                <w:sz w:val="24"/>
                <w:szCs w:val="24"/>
              </w:rPr>
              <w:t>2</w:t>
            </w:r>
          </w:p>
        </w:tc>
      </w:tr>
      <w:tr w:rsidR="00DC0931" w:rsidRPr="00DC0931" w14:paraId="49B9EF42" w14:textId="77777777" w:rsidTr="00DC0931">
        <w:tc>
          <w:tcPr>
            <w:tcW w:w="8900" w:type="dxa"/>
            <w:vAlign w:val="center"/>
          </w:tcPr>
          <w:p w14:paraId="6C92291F" w14:textId="77777777" w:rsidR="00DC0931" w:rsidRPr="00DC0931" w:rsidRDefault="00DC0931" w:rsidP="00DC0931">
            <w:pPr>
              <w:pStyle w:val="table-text-0"/>
              <w:spacing w:before="0" w:line="360" w:lineRule="auto"/>
              <w:ind w:firstLine="0"/>
              <w:rPr>
                <w:sz w:val="24"/>
                <w:szCs w:val="24"/>
                <w:lang w:val="ru-RU"/>
              </w:rPr>
            </w:pPr>
            <w:r w:rsidRPr="00DC0931">
              <w:rPr>
                <w:sz w:val="24"/>
                <w:szCs w:val="24"/>
                <w:lang w:val="ru-RU"/>
              </w:rPr>
              <w:t xml:space="preserve">ОФВ1 </w:t>
            </w:r>
            <w:r w:rsidRPr="00DC0931">
              <w:rPr>
                <w:rFonts w:eastAsia="SimSun"/>
                <w:sz w:val="24"/>
                <w:szCs w:val="24"/>
                <w:lang w:val="ru-RU"/>
              </w:rPr>
              <w:t>≤</w:t>
            </w:r>
            <w:r w:rsidRPr="00DC0931">
              <w:rPr>
                <w:sz w:val="24"/>
                <w:szCs w:val="24"/>
                <w:lang w:val="ru-RU"/>
              </w:rPr>
              <w:t xml:space="preserve"> 65% или одышка в покое или потребность в кислородной поддержке</w:t>
            </w:r>
          </w:p>
        </w:tc>
        <w:tc>
          <w:tcPr>
            <w:tcW w:w="1195" w:type="dxa"/>
            <w:vAlign w:val="center"/>
          </w:tcPr>
          <w:p w14:paraId="3E407449" w14:textId="77777777" w:rsidR="00DC0931" w:rsidRPr="00DC0931" w:rsidRDefault="00DC0931" w:rsidP="00DC0931">
            <w:pPr>
              <w:pStyle w:val="table-text-0"/>
              <w:spacing w:before="0" w:line="360" w:lineRule="auto"/>
              <w:ind w:firstLine="0"/>
              <w:rPr>
                <w:rFonts w:eastAsia="SimSun"/>
                <w:sz w:val="24"/>
                <w:szCs w:val="24"/>
              </w:rPr>
            </w:pPr>
            <w:r w:rsidRPr="00DC0931">
              <w:rPr>
                <w:rFonts w:eastAsia="SimSun"/>
                <w:sz w:val="24"/>
                <w:szCs w:val="24"/>
              </w:rPr>
              <w:t>3</w:t>
            </w:r>
          </w:p>
        </w:tc>
      </w:tr>
      <w:tr w:rsidR="00DC0931" w:rsidRPr="00DC0931" w14:paraId="766E85E7" w14:textId="77777777" w:rsidTr="00DC0931">
        <w:tc>
          <w:tcPr>
            <w:tcW w:w="8900" w:type="dxa"/>
            <w:vAlign w:val="center"/>
          </w:tcPr>
          <w:p w14:paraId="7D1C8F8A" w14:textId="77777777" w:rsidR="00DC0931" w:rsidRPr="00DC0931" w:rsidRDefault="00DC0931" w:rsidP="00DC0931">
            <w:pPr>
              <w:pStyle w:val="table-head-left"/>
              <w:spacing w:before="0" w:after="0"/>
              <w:ind w:firstLine="0"/>
              <w:rPr>
                <w:rFonts w:eastAsia="SimSun"/>
                <w:sz w:val="24"/>
                <w:szCs w:val="24"/>
              </w:rPr>
            </w:pPr>
            <w:r w:rsidRPr="00DC0931">
              <w:rPr>
                <w:rFonts w:eastAsia="SimSun"/>
                <w:sz w:val="24"/>
                <w:szCs w:val="24"/>
              </w:rPr>
              <w:t>Сердечно-сосудистая система</w:t>
            </w:r>
          </w:p>
        </w:tc>
        <w:tc>
          <w:tcPr>
            <w:tcW w:w="1195" w:type="dxa"/>
            <w:vAlign w:val="center"/>
          </w:tcPr>
          <w:p w14:paraId="4BBB95CC" w14:textId="77777777" w:rsidR="00DC0931" w:rsidRPr="00DC0931" w:rsidRDefault="00DC0931" w:rsidP="00DC0931">
            <w:pPr>
              <w:tabs>
                <w:tab w:val="left" w:pos="567"/>
              </w:tabs>
              <w:jc w:val="center"/>
              <w:rPr>
                <w:rFonts w:eastAsia="SimSun"/>
              </w:rPr>
            </w:pPr>
          </w:p>
        </w:tc>
      </w:tr>
      <w:tr w:rsidR="00DC0931" w:rsidRPr="00DC0931" w14:paraId="5EB76149" w14:textId="77777777" w:rsidTr="00DC0931">
        <w:tc>
          <w:tcPr>
            <w:tcW w:w="8900" w:type="dxa"/>
            <w:vAlign w:val="center"/>
          </w:tcPr>
          <w:p w14:paraId="0913E41C" w14:textId="77777777" w:rsidR="00DC0931" w:rsidRPr="00DC0931" w:rsidRDefault="00DC0931" w:rsidP="00DC0931">
            <w:pPr>
              <w:pStyle w:val="table-text-0"/>
              <w:spacing w:before="0" w:line="360" w:lineRule="auto"/>
              <w:ind w:firstLine="0"/>
              <w:rPr>
                <w:rFonts w:eastAsia="SimSun"/>
                <w:sz w:val="24"/>
                <w:szCs w:val="24"/>
                <w:lang w:val="ru-RU"/>
              </w:rPr>
            </w:pPr>
            <w:r w:rsidRPr="00DC0931">
              <w:rPr>
                <w:sz w:val="24"/>
                <w:szCs w:val="24"/>
                <w:lang w:val="ru-RU"/>
              </w:rPr>
              <w:t>Мерцательная аритмия или трепетание предсердий, синдром слабости синусового узла или желудочковые аритмии</w:t>
            </w:r>
          </w:p>
        </w:tc>
        <w:tc>
          <w:tcPr>
            <w:tcW w:w="1195" w:type="dxa"/>
            <w:vAlign w:val="center"/>
          </w:tcPr>
          <w:p w14:paraId="5B22BCF1" w14:textId="77777777" w:rsidR="00DC0931" w:rsidRPr="00DC0931" w:rsidRDefault="00DC0931" w:rsidP="00DC0931">
            <w:pPr>
              <w:pStyle w:val="table-text-0"/>
              <w:spacing w:before="0" w:line="360" w:lineRule="auto"/>
              <w:ind w:firstLine="0"/>
              <w:rPr>
                <w:rFonts w:eastAsia="SimSun"/>
                <w:sz w:val="24"/>
                <w:szCs w:val="24"/>
              </w:rPr>
            </w:pPr>
            <w:r w:rsidRPr="00DC0931">
              <w:rPr>
                <w:rFonts w:eastAsia="SimSun"/>
                <w:sz w:val="24"/>
                <w:szCs w:val="24"/>
              </w:rPr>
              <w:t>1</w:t>
            </w:r>
          </w:p>
        </w:tc>
      </w:tr>
      <w:tr w:rsidR="00DC0931" w:rsidRPr="00DC0931" w14:paraId="3BC4AD75" w14:textId="77777777" w:rsidTr="00DC0931">
        <w:tc>
          <w:tcPr>
            <w:tcW w:w="8900" w:type="dxa"/>
            <w:vAlign w:val="center"/>
          </w:tcPr>
          <w:p w14:paraId="3C1C1166" w14:textId="77777777" w:rsidR="00DC0931" w:rsidRPr="00DC0931" w:rsidRDefault="00DC0931" w:rsidP="00DC0931">
            <w:pPr>
              <w:pStyle w:val="table-text-0"/>
              <w:spacing w:before="0" w:line="360" w:lineRule="auto"/>
              <w:ind w:firstLine="0"/>
              <w:rPr>
                <w:rFonts w:eastAsia="SimSun"/>
                <w:sz w:val="24"/>
                <w:szCs w:val="24"/>
                <w:lang w:val="ru-RU"/>
              </w:rPr>
            </w:pPr>
            <w:r w:rsidRPr="00DC0931">
              <w:rPr>
                <w:sz w:val="24"/>
                <w:szCs w:val="24"/>
                <w:lang w:val="ru-RU"/>
              </w:rPr>
              <w:t>Ишемическая болезнь сердца, застойная сердечная недостаточность, инфаркт миокарда или фракция выброса менее 50%</w:t>
            </w:r>
          </w:p>
        </w:tc>
        <w:tc>
          <w:tcPr>
            <w:tcW w:w="1195" w:type="dxa"/>
            <w:vAlign w:val="center"/>
          </w:tcPr>
          <w:p w14:paraId="1BD454C4" w14:textId="77777777" w:rsidR="00DC0931" w:rsidRPr="00DC0931" w:rsidRDefault="00DC0931" w:rsidP="00DC0931">
            <w:pPr>
              <w:pStyle w:val="table-text-0"/>
              <w:spacing w:before="0" w:line="360" w:lineRule="auto"/>
              <w:ind w:firstLine="0"/>
              <w:rPr>
                <w:rFonts w:eastAsia="SimSun"/>
                <w:sz w:val="24"/>
                <w:szCs w:val="24"/>
              </w:rPr>
            </w:pPr>
            <w:r w:rsidRPr="00DC0931">
              <w:rPr>
                <w:rFonts w:eastAsia="SimSun"/>
                <w:sz w:val="24"/>
                <w:szCs w:val="24"/>
              </w:rPr>
              <w:t>1</w:t>
            </w:r>
          </w:p>
        </w:tc>
      </w:tr>
      <w:tr w:rsidR="00DC0931" w:rsidRPr="00DC0931" w14:paraId="5AC55AA4" w14:textId="77777777" w:rsidTr="00DC0931">
        <w:tc>
          <w:tcPr>
            <w:tcW w:w="8900" w:type="dxa"/>
            <w:vAlign w:val="center"/>
          </w:tcPr>
          <w:p w14:paraId="033F3B92" w14:textId="77777777" w:rsidR="00DC0931" w:rsidRPr="00DC0931" w:rsidRDefault="00DC0931" w:rsidP="00DC0931">
            <w:pPr>
              <w:pStyle w:val="table-text-0"/>
              <w:spacing w:before="0" w:line="360" w:lineRule="auto"/>
              <w:ind w:firstLine="0"/>
              <w:rPr>
                <w:rFonts w:eastAsia="SimSun"/>
                <w:sz w:val="24"/>
                <w:szCs w:val="24"/>
                <w:lang w:val="ru-RU"/>
              </w:rPr>
            </w:pPr>
            <w:r w:rsidRPr="00DC0931">
              <w:rPr>
                <w:sz w:val="24"/>
                <w:szCs w:val="24"/>
                <w:lang w:val="ru-RU"/>
              </w:rPr>
              <w:t>Пороки сердца за исключением пролапса митрального клапана</w:t>
            </w:r>
          </w:p>
        </w:tc>
        <w:tc>
          <w:tcPr>
            <w:tcW w:w="1195" w:type="dxa"/>
            <w:vAlign w:val="center"/>
          </w:tcPr>
          <w:p w14:paraId="2BDD1041" w14:textId="77777777" w:rsidR="00DC0931" w:rsidRPr="00DC0931" w:rsidRDefault="00DC0931" w:rsidP="00DC0931">
            <w:pPr>
              <w:pStyle w:val="table-text-0"/>
              <w:spacing w:before="0" w:line="360" w:lineRule="auto"/>
              <w:ind w:firstLine="0"/>
              <w:rPr>
                <w:rFonts w:eastAsia="SimSun"/>
                <w:sz w:val="24"/>
                <w:szCs w:val="24"/>
              </w:rPr>
            </w:pPr>
            <w:r w:rsidRPr="00DC0931">
              <w:rPr>
                <w:rFonts w:eastAsia="SimSun"/>
                <w:sz w:val="24"/>
                <w:szCs w:val="24"/>
              </w:rPr>
              <w:t>1</w:t>
            </w:r>
          </w:p>
        </w:tc>
      </w:tr>
      <w:tr w:rsidR="00DC0931" w:rsidRPr="00DC0931" w14:paraId="13EE4AA1" w14:textId="77777777" w:rsidTr="00DC0931">
        <w:tc>
          <w:tcPr>
            <w:tcW w:w="8900" w:type="dxa"/>
            <w:vAlign w:val="center"/>
          </w:tcPr>
          <w:p w14:paraId="60332BEE" w14:textId="77777777" w:rsidR="00DC0931" w:rsidRPr="00DC0931" w:rsidRDefault="00DC0931" w:rsidP="00DC0931">
            <w:pPr>
              <w:pStyle w:val="table-head-left"/>
              <w:spacing w:before="0" w:after="0"/>
              <w:ind w:firstLine="0"/>
              <w:rPr>
                <w:rFonts w:eastAsia="SimSun"/>
                <w:sz w:val="24"/>
                <w:szCs w:val="24"/>
              </w:rPr>
            </w:pPr>
            <w:r w:rsidRPr="00DC0931">
              <w:rPr>
                <w:rFonts w:eastAsia="SimSun"/>
                <w:sz w:val="24"/>
                <w:szCs w:val="24"/>
              </w:rPr>
              <w:t>ЖКТ</w:t>
            </w:r>
          </w:p>
        </w:tc>
        <w:tc>
          <w:tcPr>
            <w:tcW w:w="1195" w:type="dxa"/>
            <w:vAlign w:val="center"/>
          </w:tcPr>
          <w:p w14:paraId="262927F3" w14:textId="77777777" w:rsidR="00DC0931" w:rsidRPr="00DC0931" w:rsidRDefault="00DC0931" w:rsidP="00DC0931">
            <w:pPr>
              <w:pStyle w:val="table-head-left"/>
              <w:spacing w:before="0" w:after="0"/>
              <w:ind w:firstLine="0"/>
              <w:rPr>
                <w:rFonts w:eastAsia="SimSun"/>
                <w:sz w:val="24"/>
                <w:szCs w:val="24"/>
              </w:rPr>
            </w:pPr>
          </w:p>
        </w:tc>
      </w:tr>
      <w:tr w:rsidR="00DC0931" w:rsidRPr="00DC0931" w14:paraId="38324471" w14:textId="77777777" w:rsidTr="00DC0931">
        <w:tc>
          <w:tcPr>
            <w:tcW w:w="8900" w:type="dxa"/>
            <w:vAlign w:val="center"/>
          </w:tcPr>
          <w:p w14:paraId="37B1C28E" w14:textId="77777777" w:rsidR="00DC0931" w:rsidRPr="00DC0931" w:rsidRDefault="00DC0931" w:rsidP="00DC0931">
            <w:pPr>
              <w:pStyle w:val="table-text-0"/>
              <w:spacing w:before="0" w:line="360" w:lineRule="auto"/>
              <w:ind w:firstLine="0"/>
              <w:rPr>
                <w:rFonts w:eastAsia="SimSun"/>
                <w:sz w:val="24"/>
                <w:szCs w:val="24"/>
                <w:lang w:val="ru-RU"/>
              </w:rPr>
            </w:pPr>
            <w:r w:rsidRPr="00DC0931">
              <w:rPr>
                <w:sz w:val="24"/>
                <w:szCs w:val="24"/>
                <w:lang w:val="ru-RU"/>
              </w:rPr>
              <w:t>Хронический гепатит, билирубин до 1,5 норм или АЛТ либо АСТ до 2,5 норм</w:t>
            </w:r>
          </w:p>
        </w:tc>
        <w:tc>
          <w:tcPr>
            <w:tcW w:w="1195" w:type="dxa"/>
            <w:vAlign w:val="center"/>
          </w:tcPr>
          <w:p w14:paraId="398180AD" w14:textId="77777777" w:rsidR="00DC0931" w:rsidRPr="00DC0931" w:rsidRDefault="00DC0931" w:rsidP="00DC0931">
            <w:pPr>
              <w:pStyle w:val="table-text-0"/>
              <w:spacing w:before="0" w:line="360" w:lineRule="auto"/>
              <w:ind w:firstLine="0"/>
              <w:rPr>
                <w:rFonts w:eastAsia="SimSun"/>
                <w:sz w:val="24"/>
                <w:szCs w:val="24"/>
              </w:rPr>
            </w:pPr>
            <w:r w:rsidRPr="00DC0931">
              <w:rPr>
                <w:rFonts w:eastAsia="SimSun"/>
                <w:sz w:val="24"/>
                <w:szCs w:val="24"/>
              </w:rPr>
              <w:t>1</w:t>
            </w:r>
          </w:p>
        </w:tc>
      </w:tr>
      <w:tr w:rsidR="00DC0931" w:rsidRPr="00DC0931" w14:paraId="5680B707" w14:textId="77777777" w:rsidTr="00DC0931">
        <w:tc>
          <w:tcPr>
            <w:tcW w:w="8900" w:type="dxa"/>
            <w:vAlign w:val="center"/>
          </w:tcPr>
          <w:p w14:paraId="7B78637C" w14:textId="77777777" w:rsidR="00DC0931" w:rsidRPr="00DC0931" w:rsidRDefault="00DC0931" w:rsidP="00DC0931">
            <w:pPr>
              <w:pStyle w:val="table-text-0"/>
              <w:spacing w:before="0" w:line="360" w:lineRule="auto"/>
              <w:ind w:firstLine="0"/>
              <w:rPr>
                <w:rFonts w:eastAsia="SimSun"/>
                <w:sz w:val="24"/>
                <w:szCs w:val="24"/>
                <w:lang w:val="ru-RU"/>
              </w:rPr>
            </w:pPr>
            <w:r w:rsidRPr="00DC0931">
              <w:rPr>
                <w:sz w:val="24"/>
                <w:szCs w:val="24"/>
                <w:lang w:val="ru-RU"/>
              </w:rPr>
              <w:t>Цирроз, билирубин более 1,5 норм или АЛТ либо АСТ более 2,5 норм</w:t>
            </w:r>
          </w:p>
        </w:tc>
        <w:tc>
          <w:tcPr>
            <w:tcW w:w="1195" w:type="dxa"/>
            <w:vAlign w:val="center"/>
          </w:tcPr>
          <w:p w14:paraId="548D9457" w14:textId="77777777" w:rsidR="00DC0931" w:rsidRPr="00DC0931" w:rsidRDefault="00DC0931" w:rsidP="00DC0931">
            <w:pPr>
              <w:pStyle w:val="table-text-0"/>
              <w:spacing w:before="0" w:line="360" w:lineRule="auto"/>
              <w:ind w:firstLine="0"/>
              <w:rPr>
                <w:rFonts w:eastAsia="SimSun"/>
                <w:sz w:val="24"/>
                <w:szCs w:val="24"/>
              </w:rPr>
            </w:pPr>
            <w:r w:rsidRPr="00DC0931">
              <w:rPr>
                <w:rFonts w:eastAsia="SimSun"/>
                <w:sz w:val="24"/>
                <w:szCs w:val="24"/>
              </w:rPr>
              <w:t>3</w:t>
            </w:r>
          </w:p>
        </w:tc>
      </w:tr>
      <w:tr w:rsidR="00DC0931" w:rsidRPr="00DC0931" w14:paraId="1278BB01" w14:textId="77777777" w:rsidTr="00DC0931">
        <w:tc>
          <w:tcPr>
            <w:tcW w:w="8900" w:type="dxa"/>
            <w:vAlign w:val="center"/>
          </w:tcPr>
          <w:p w14:paraId="22FA7730" w14:textId="77777777" w:rsidR="00DC0931" w:rsidRPr="00DC0931" w:rsidRDefault="00DC0931" w:rsidP="00DC0931">
            <w:pPr>
              <w:pStyle w:val="table-text-0"/>
              <w:spacing w:before="0" w:line="360" w:lineRule="auto"/>
              <w:ind w:firstLine="0"/>
              <w:rPr>
                <w:sz w:val="24"/>
                <w:szCs w:val="24"/>
                <w:lang w:val="ru-RU"/>
              </w:rPr>
            </w:pPr>
            <w:r w:rsidRPr="00DC0931">
              <w:rPr>
                <w:sz w:val="24"/>
                <w:szCs w:val="24"/>
                <w:lang w:val="ru-RU"/>
              </w:rPr>
              <w:t>Болезнь Крона или язвенный колит</w:t>
            </w:r>
          </w:p>
        </w:tc>
        <w:tc>
          <w:tcPr>
            <w:tcW w:w="1195" w:type="dxa"/>
            <w:vAlign w:val="center"/>
          </w:tcPr>
          <w:p w14:paraId="7DBB38A3" w14:textId="77777777" w:rsidR="00DC0931" w:rsidRPr="00DC0931" w:rsidRDefault="00DC0931" w:rsidP="00DC0931">
            <w:pPr>
              <w:pStyle w:val="table-text-0"/>
              <w:spacing w:before="0" w:line="360" w:lineRule="auto"/>
              <w:ind w:firstLine="0"/>
              <w:rPr>
                <w:rFonts w:eastAsia="SimSun"/>
                <w:sz w:val="24"/>
                <w:szCs w:val="24"/>
              </w:rPr>
            </w:pPr>
            <w:r w:rsidRPr="00DC0931">
              <w:rPr>
                <w:rFonts w:eastAsia="SimSun"/>
                <w:sz w:val="24"/>
                <w:szCs w:val="24"/>
              </w:rPr>
              <w:t>1</w:t>
            </w:r>
          </w:p>
        </w:tc>
      </w:tr>
      <w:tr w:rsidR="00DC0931" w:rsidRPr="00DC0931" w14:paraId="7D862281" w14:textId="77777777" w:rsidTr="00DC0931">
        <w:tc>
          <w:tcPr>
            <w:tcW w:w="8900" w:type="dxa"/>
          </w:tcPr>
          <w:p w14:paraId="3CAADD85" w14:textId="77777777" w:rsidR="00DC0931" w:rsidRPr="00DC0931" w:rsidRDefault="00DC0931" w:rsidP="00DC0931">
            <w:pPr>
              <w:pStyle w:val="table-text-0"/>
              <w:spacing w:before="0" w:line="360" w:lineRule="auto"/>
              <w:ind w:firstLine="0"/>
              <w:rPr>
                <w:sz w:val="24"/>
                <w:szCs w:val="24"/>
              </w:rPr>
            </w:pPr>
            <w:r w:rsidRPr="00DC0931">
              <w:rPr>
                <w:sz w:val="24"/>
                <w:szCs w:val="24"/>
              </w:rPr>
              <w:t>Язвенная болезнь, требующая лечения</w:t>
            </w:r>
          </w:p>
        </w:tc>
        <w:tc>
          <w:tcPr>
            <w:tcW w:w="1195" w:type="dxa"/>
          </w:tcPr>
          <w:p w14:paraId="02010E16" w14:textId="77777777" w:rsidR="00DC0931" w:rsidRPr="00DC0931" w:rsidRDefault="00DC0931" w:rsidP="00DC0931">
            <w:pPr>
              <w:pStyle w:val="table-text-0"/>
              <w:spacing w:before="0" w:line="360" w:lineRule="auto"/>
              <w:ind w:firstLine="0"/>
              <w:rPr>
                <w:rFonts w:eastAsia="SimSun"/>
                <w:sz w:val="24"/>
                <w:szCs w:val="24"/>
              </w:rPr>
            </w:pPr>
            <w:r w:rsidRPr="00DC0931">
              <w:rPr>
                <w:rFonts w:eastAsia="SimSun"/>
                <w:sz w:val="24"/>
                <w:szCs w:val="24"/>
              </w:rPr>
              <w:t>2</w:t>
            </w:r>
          </w:p>
        </w:tc>
      </w:tr>
      <w:tr w:rsidR="00DC0931" w:rsidRPr="00DC0931" w14:paraId="1DCD4265" w14:textId="77777777" w:rsidTr="00DC0931">
        <w:tc>
          <w:tcPr>
            <w:tcW w:w="8900" w:type="dxa"/>
          </w:tcPr>
          <w:p w14:paraId="1DE697C5" w14:textId="77777777" w:rsidR="00DC0931" w:rsidRPr="00DC0931" w:rsidRDefault="00DC0931" w:rsidP="00DC0931">
            <w:pPr>
              <w:pStyle w:val="table-head-left"/>
              <w:spacing w:before="0" w:after="0"/>
              <w:ind w:firstLine="0"/>
              <w:rPr>
                <w:sz w:val="24"/>
                <w:szCs w:val="24"/>
              </w:rPr>
            </w:pPr>
            <w:r w:rsidRPr="00DC0931">
              <w:rPr>
                <w:sz w:val="24"/>
                <w:szCs w:val="24"/>
              </w:rPr>
              <w:t>Нарушение обмена</w:t>
            </w:r>
          </w:p>
        </w:tc>
        <w:tc>
          <w:tcPr>
            <w:tcW w:w="1195" w:type="dxa"/>
          </w:tcPr>
          <w:p w14:paraId="32591026" w14:textId="77777777" w:rsidR="00DC0931" w:rsidRPr="00DC0931" w:rsidRDefault="00DC0931" w:rsidP="00DC0931">
            <w:pPr>
              <w:pStyle w:val="table-head-left"/>
              <w:spacing w:before="0" w:after="0"/>
              <w:ind w:firstLine="0"/>
              <w:rPr>
                <w:rFonts w:eastAsia="SimSun"/>
                <w:sz w:val="24"/>
                <w:szCs w:val="24"/>
              </w:rPr>
            </w:pPr>
          </w:p>
        </w:tc>
      </w:tr>
      <w:tr w:rsidR="00DC0931" w:rsidRPr="00DC0931" w14:paraId="4852597E" w14:textId="77777777" w:rsidTr="00DC0931">
        <w:tc>
          <w:tcPr>
            <w:tcW w:w="8900" w:type="dxa"/>
          </w:tcPr>
          <w:p w14:paraId="6678E632" w14:textId="77777777" w:rsidR="00DC0931" w:rsidRPr="00DC0931" w:rsidRDefault="00DC0931" w:rsidP="00DC0931">
            <w:pPr>
              <w:pStyle w:val="table-text-0"/>
              <w:spacing w:before="0" w:line="360" w:lineRule="auto"/>
              <w:ind w:firstLine="0"/>
              <w:rPr>
                <w:sz w:val="24"/>
                <w:szCs w:val="24"/>
              </w:rPr>
            </w:pPr>
            <w:r w:rsidRPr="00DC0931">
              <w:rPr>
                <w:sz w:val="24"/>
                <w:szCs w:val="24"/>
              </w:rPr>
              <w:t>Сахарный диабет, требующий лечения</w:t>
            </w:r>
          </w:p>
        </w:tc>
        <w:tc>
          <w:tcPr>
            <w:tcW w:w="1195" w:type="dxa"/>
          </w:tcPr>
          <w:p w14:paraId="4723ED45" w14:textId="77777777" w:rsidR="00DC0931" w:rsidRPr="00DC0931" w:rsidRDefault="00DC0931" w:rsidP="00DC0931">
            <w:pPr>
              <w:pStyle w:val="table-text-0"/>
              <w:spacing w:before="0" w:line="360" w:lineRule="auto"/>
              <w:ind w:firstLine="0"/>
              <w:rPr>
                <w:rFonts w:eastAsia="SimSun"/>
                <w:sz w:val="24"/>
                <w:szCs w:val="24"/>
              </w:rPr>
            </w:pPr>
            <w:r w:rsidRPr="00DC0931">
              <w:rPr>
                <w:rFonts w:eastAsia="SimSun"/>
                <w:sz w:val="24"/>
                <w:szCs w:val="24"/>
              </w:rPr>
              <w:t>1</w:t>
            </w:r>
          </w:p>
        </w:tc>
      </w:tr>
      <w:tr w:rsidR="00DC0931" w:rsidRPr="00DC0931" w14:paraId="01BF1750" w14:textId="77777777" w:rsidTr="00DC0931">
        <w:tc>
          <w:tcPr>
            <w:tcW w:w="8900" w:type="dxa"/>
          </w:tcPr>
          <w:p w14:paraId="1A40000E" w14:textId="77777777" w:rsidR="00DC0931" w:rsidRPr="00DC0931" w:rsidRDefault="00DC0931" w:rsidP="00DC0931">
            <w:pPr>
              <w:pStyle w:val="table-text-0"/>
              <w:spacing w:before="0" w:line="360" w:lineRule="auto"/>
              <w:ind w:firstLine="0"/>
              <w:rPr>
                <w:sz w:val="24"/>
                <w:szCs w:val="24"/>
                <w:lang w:val="ru-RU"/>
              </w:rPr>
            </w:pPr>
            <w:r w:rsidRPr="00DC0931">
              <w:rPr>
                <w:sz w:val="24"/>
                <w:szCs w:val="24"/>
                <w:lang w:val="ru-RU"/>
              </w:rPr>
              <w:t>Индекс массы тела &gt; 35 кг/м</w:t>
            </w:r>
            <w:r w:rsidRPr="00DC0931">
              <w:rPr>
                <w:sz w:val="24"/>
                <w:szCs w:val="24"/>
                <w:vertAlign w:val="superscript"/>
                <w:lang w:val="ru-RU"/>
              </w:rPr>
              <w:t>2</w:t>
            </w:r>
          </w:p>
        </w:tc>
        <w:tc>
          <w:tcPr>
            <w:tcW w:w="1195" w:type="dxa"/>
          </w:tcPr>
          <w:p w14:paraId="244EE54A" w14:textId="77777777" w:rsidR="00DC0931" w:rsidRPr="00DC0931" w:rsidRDefault="00DC0931" w:rsidP="00DC0931">
            <w:pPr>
              <w:pStyle w:val="table-text-0"/>
              <w:spacing w:before="0" w:line="360" w:lineRule="auto"/>
              <w:ind w:firstLine="0"/>
              <w:rPr>
                <w:rFonts w:eastAsia="SimSun"/>
                <w:sz w:val="24"/>
                <w:szCs w:val="24"/>
              </w:rPr>
            </w:pPr>
            <w:r w:rsidRPr="00DC0931">
              <w:rPr>
                <w:rFonts w:eastAsia="SimSun"/>
                <w:sz w:val="24"/>
                <w:szCs w:val="24"/>
              </w:rPr>
              <w:t>1</w:t>
            </w:r>
          </w:p>
        </w:tc>
      </w:tr>
      <w:tr w:rsidR="00DC0931" w:rsidRPr="00DC0931" w14:paraId="5E4CF708" w14:textId="77777777" w:rsidTr="00DC0931">
        <w:tc>
          <w:tcPr>
            <w:tcW w:w="8900" w:type="dxa"/>
          </w:tcPr>
          <w:p w14:paraId="1AEDF9DC" w14:textId="77777777" w:rsidR="00DC0931" w:rsidRPr="00DC0931" w:rsidRDefault="00DC0931" w:rsidP="00DC0931">
            <w:pPr>
              <w:pStyle w:val="table-head-left"/>
              <w:spacing w:before="0" w:after="0"/>
              <w:ind w:firstLine="0"/>
              <w:rPr>
                <w:sz w:val="24"/>
                <w:szCs w:val="24"/>
              </w:rPr>
            </w:pPr>
            <w:r w:rsidRPr="00DC0931">
              <w:rPr>
                <w:sz w:val="24"/>
                <w:szCs w:val="24"/>
              </w:rPr>
              <w:t>Неврологический статус</w:t>
            </w:r>
          </w:p>
        </w:tc>
        <w:tc>
          <w:tcPr>
            <w:tcW w:w="1195" w:type="dxa"/>
          </w:tcPr>
          <w:p w14:paraId="36971D54" w14:textId="77777777" w:rsidR="00DC0931" w:rsidRPr="00DC0931" w:rsidRDefault="00DC0931" w:rsidP="00DC0931">
            <w:pPr>
              <w:pStyle w:val="table-head-left"/>
              <w:spacing w:before="0" w:after="0"/>
              <w:ind w:firstLine="0"/>
              <w:rPr>
                <w:rFonts w:eastAsia="SimSun"/>
                <w:sz w:val="24"/>
                <w:szCs w:val="24"/>
              </w:rPr>
            </w:pPr>
          </w:p>
        </w:tc>
      </w:tr>
      <w:tr w:rsidR="00DC0931" w:rsidRPr="00DC0931" w14:paraId="34407C18" w14:textId="77777777" w:rsidTr="00DC0931">
        <w:tc>
          <w:tcPr>
            <w:tcW w:w="8900" w:type="dxa"/>
          </w:tcPr>
          <w:p w14:paraId="49ADCDBD" w14:textId="77777777" w:rsidR="00DC0931" w:rsidRPr="00DC0931" w:rsidRDefault="00DC0931" w:rsidP="00DC0931">
            <w:pPr>
              <w:pStyle w:val="table-text-0"/>
              <w:spacing w:before="0" w:line="360" w:lineRule="auto"/>
              <w:ind w:firstLine="0"/>
              <w:rPr>
                <w:sz w:val="24"/>
                <w:szCs w:val="24"/>
                <w:lang w:val="ru-RU"/>
              </w:rPr>
            </w:pPr>
            <w:r w:rsidRPr="00DC0931">
              <w:rPr>
                <w:sz w:val="24"/>
                <w:szCs w:val="24"/>
                <w:lang w:val="ru-RU"/>
              </w:rPr>
              <w:t>Транзиторная ишемическая атака или острое нарушение мозгового кровообращения в анамнезе</w:t>
            </w:r>
          </w:p>
        </w:tc>
        <w:tc>
          <w:tcPr>
            <w:tcW w:w="1195" w:type="dxa"/>
          </w:tcPr>
          <w:p w14:paraId="2BBAB1B7" w14:textId="77777777" w:rsidR="00DC0931" w:rsidRPr="00DC0931" w:rsidRDefault="00DC0931" w:rsidP="00DC0931">
            <w:pPr>
              <w:pStyle w:val="table-text-0"/>
              <w:spacing w:before="0" w:line="360" w:lineRule="auto"/>
              <w:ind w:firstLine="0"/>
              <w:rPr>
                <w:rFonts w:eastAsia="SimSun"/>
                <w:sz w:val="24"/>
                <w:szCs w:val="24"/>
              </w:rPr>
            </w:pPr>
            <w:r w:rsidRPr="00DC0931">
              <w:rPr>
                <w:rFonts w:eastAsia="SimSun"/>
                <w:sz w:val="24"/>
                <w:szCs w:val="24"/>
              </w:rPr>
              <w:t>1</w:t>
            </w:r>
          </w:p>
        </w:tc>
      </w:tr>
      <w:tr w:rsidR="00DC0931" w:rsidRPr="00DC0931" w14:paraId="14B50D59" w14:textId="77777777" w:rsidTr="00DC0931">
        <w:tc>
          <w:tcPr>
            <w:tcW w:w="8900" w:type="dxa"/>
          </w:tcPr>
          <w:p w14:paraId="28E56A8E" w14:textId="77777777" w:rsidR="00DC0931" w:rsidRPr="00DC0931" w:rsidRDefault="00DC0931" w:rsidP="00DC0931">
            <w:pPr>
              <w:pStyle w:val="table-head-left"/>
              <w:spacing w:before="0" w:after="0"/>
              <w:ind w:firstLine="0"/>
              <w:rPr>
                <w:sz w:val="24"/>
                <w:szCs w:val="24"/>
              </w:rPr>
            </w:pPr>
            <w:r w:rsidRPr="00DC0931">
              <w:rPr>
                <w:sz w:val="24"/>
                <w:szCs w:val="24"/>
              </w:rPr>
              <w:t>Психический статус</w:t>
            </w:r>
          </w:p>
        </w:tc>
        <w:tc>
          <w:tcPr>
            <w:tcW w:w="1195" w:type="dxa"/>
          </w:tcPr>
          <w:p w14:paraId="04358828" w14:textId="77777777" w:rsidR="00DC0931" w:rsidRPr="00DC0931" w:rsidRDefault="00DC0931" w:rsidP="00DC0931">
            <w:pPr>
              <w:pStyle w:val="table-head-left"/>
              <w:spacing w:before="0" w:after="0"/>
              <w:ind w:firstLine="0"/>
              <w:rPr>
                <w:rFonts w:eastAsia="SimSun"/>
                <w:sz w:val="24"/>
                <w:szCs w:val="24"/>
              </w:rPr>
            </w:pPr>
          </w:p>
        </w:tc>
      </w:tr>
      <w:tr w:rsidR="00DC0931" w:rsidRPr="00DC0931" w14:paraId="144D5B60" w14:textId="77777777" w:rsidTr="00DC0931">
        <w:tc>
          <w:tcPr>
            <w:tcW w:w="8900" w:type="dxa"/>
          </w:tcPr>
          <w:p w14:paraId="00CDC642" w14:textId="77777777" w:rsidR="00DC0931" w:rsidRPr="00DC0931" w:rsidRDefault="00DC0931" w:rsidP="00DC0931">
            <w:pPr>
              <w:pStyle w:val="table-text-0"/>
              <w:spacing w:before="0" w:line="360" w:lineRule="auto"/>
              <w:ind w:firstLine="0"/>
              <w:rPr>
                <w:sz w:val="24"/>
                <w:szCs w:val="24"/>
                <w:lang w:val="ru-RU"/>
              </w:rPr>
            </w:pPr>
            <w:r w:rsidRPr="00DC0931">
              <w:rPr>
                <w:sz w:val="24"/>
                <w:szCs w:val="24"/>
                <w:lang w:val="ru-RU"/>
              </w:rPr>
              <w:t>Депрессия или тревога, требующие консультации психиатра или лечения</w:t>
            </w:r>
          </w:p>
        </w:tc>
        <w:tc>
          <w:tcPr>
            <w:tcW w:w="1195" w:type="dxa"/>
          </w:tcPr>
          <w:p w14:paraId="713B8AEB" w14:textId="77777777" w:rsidR="00DC0931" w:rsidRPr="00DC0931" w:rsidRDefault="00DC0931" w:rsidP="00DC0931">
            <w:pPr>
              <w:pStyle w:val="table-text-0"/>
              <w:spacing w:before="0" w:line="360" w:lineRule="auto"/>
              <w:ind w:firstLine="0"/>
              <w:rPr>
                <w:rFonts w:eastAsia="SimSun"/>
                <w:sz w:val="24"/>
                <w:szCs w:val="24"/>
              </w:rPr>
            </w:pPr>
            <w:r w:rsidRPr="00DC0931">
              <w:rPr>
                <w:rFonts w:eastAsia="SimSun"/>
                <w:sz w:val="24"/>
                <w:szCs w:val="24"/>
              </w:rPr>
              <w:t>1</w:t>
            </w:r>
          </w:p>
        </w:tc>
      </w:tr>
      <w:tr w:rsidR="00DC0931" w:rsidRPr="00DC0931" w14:paraId="759D7563" w14:textId="77777777" w:rsidTr="00DC0931">
        <w:tc>
          <w:tcPr>
            <w:tcW w:w="8900" w:type="dxa"/>
          </w:tcPr>
          <w:p w14:paraId="76B73695" w14:textId="77777777" w:rsidR="00DC0931" w:rsidRPr="00DC0931" w:rsidRDefault="00DC0931" w:rsidP="00DC0931">
            <w:pPr>
              <w:pStyle w:val="table-head-left"/>
              <w:spacing w:before="0" w:after="0"/>
              <w:ind w:firstLine="0"/>
              <w:rPr>
                <w:sz w:val="24"/>
                <w:szCs w:val="24"/>
              </w:rPr>
            </w:pPr>
            <w:r w:rsidRPr="00DC0931">
              <w:rPr>
                <w:sz w:val="24"/>
                <w:szCs w:val="24"/>
              </w:rPr>
              <w:t>Мочевыделительная система</w:t>
            </w:r>
          </w:p>
        </w:tc>
        <w:tc>
          <w:tcPr>
            <w:tcW w:w="1195" w:type="dxa"/>
          </w:tcPr>
          <w:p w14:paraId="6DB5E19F" w14:textId="77777777" w:rsidR="00DC0931" w:rsidRPr="00DC0931" w:rsidRDefault="00DC0931" w:rsidP="00DC0931">
            <w:pPr>
              <w:pStyle w:val="table-head-left"/>
              <w:spacing w:before="0" w:after="0"/>
              <w:ind w:firstLine="0"/>
              <w:rPr>
                <w:rFonts w:eastAsia="SimSun"/>
                <w:sz w:val="24"/>
                <w:szCs w:val="24"/>
              </w:rPr>
            </w:pPr>
          </w:p>
        </w:tc>
      </w:tr>
      <w:tr w:rsidR="00DC0931" w:rsidRPr="00DC0931" w14:paraId="7BAD0790" w14:textId="77777777" w:rsidTr="00DC0931">
        <w:trPr>
          <w:trHeight w:val="370"/>
        </w:trPr>
        <w:tc>
          <w:tcPr>
            <w:tcW w:w="8900" w:type="dxa"/>
          </w:tcPr>
          <w:p w14:paraId="34AD5512" w14:textId="77777777" w:rsidR="00DC0931" w:rsidRPr="00DC0931" w:rsidRDefault="00DC0931" w:rsidP="00DC0931">
            <w:pPr>
              <w:pStyle w:val="table-text-0"/>
              <w:spacing w:before="0" w:line="360" w:lineRule="auto"/>
              <w:ind w:firstLine="0"/>
              <w:rPr>
                <w:sz w:val="24"/>
                <w:szCs w:val="24"/>
                <w:lang w:val="ru-RU"/>
              </w:rPr>
            </w:pPr>
            <w:r w:rsidRPr="00DC0931">
              <w:rPr>
                <w:sz w:val="24"/>
                <w:szCs w:val="24"/>
                <w:lang w:val="ru-RU"/>
              </w:rPr>
              <w:t>Концентрация креатинина сыворотки &gt; 176 мкмоль/л, диализ или почечный трансплантат</w:t>
            </w:r>
          </w:p>
        </w:tc>
        <w:tc>
          <w:tcPr>
            <w:tcW w:w="1195" w:type="dxa"/>
          </w:tcPr>
          <w:p w14:paraId="78A561FC" w14:textId="77777777" w:rsidR="00DC0931" w:rsidRPr="00DC0931" w:rsidRDefault="00DC0931" w:rsidP="00DC0931">
            <w:pPr>
              <w:pStyle w:val="table-text-0"/>
              <w:spacing w:before="0" w:line="360" w:lineRule="auto"/>
              <w:ind w:firstLine="0"/>
              <w:rPr>
                <w:rFonts w:eastAsia="SimSun"/>
                <w:sz w:val="24"/>
                <w:szCs w:val="24"/>
              </w:rPr>
            </w:pPr>
            <w:r w:rsidRPr="00DC0931">
              <w:rPr>
                <w:sz w:val="24"/>
                <w:szCs w:val="24"/>
              </w:rPr>
              <w:t>2</w:t>
            </w:r>
          </w:p>
        </w:tc>
      </w:tr>
      <w:tr w:rsidR="00DC0931" w:rsidRPr="00DC0931" w14:paraId="10147575" w14:textId="77777777" w:rsidTr="00DC0931">
        <w:tc>
          <w:tcPr>
            <w:tcW w:w="8900" w:type="dxa"/>
          </w:tcPr>
          <w:p w14:paraId="38082BCE" w14:textId="77777777" w:rsidR="00DC0931" w:rsidRPr="00DC0931" w:rsidRDefault="00DC0931" w:rsidP="00DC0931">
            <w:pPr>
              <w:pStyle w:val="table-head-left"/>
              <w:spacing w:before="0" w:after="0"/>
              <w:ind w:firstLine="0"/>
              <w:rPr>
                <w:sz w:val="24"/>
                <w:szCs w:val="24"/>
              </w:rPr>
            </w:pPr>
            <w:r w:rsidRPr="00DC0931">
              <w:rPr>
                <w:sz w:val="24"/>
                <w:szCs w:val="24"/>
              </w:rPr>
              <w:t>Системные заболевания</w:t>
            </w:r>
          </w:p>
        </w:tc>
        <w:tc>
          <w:tcPr>
            <w:tcW w:w="1195" w:type="dxa"/>
          </w:tcPr>
          <w:p w14:paraId="2C85477E" w14:textId="77777777" w:rsidR="00DC0931" w:rsidRPr="00DC0931" w:rsidRDefault="00DC0931" w:rsidP="00DC0931">
            <w:pPr>
              <w:pStyle w:val="table-head-left"/>
              <w:spacing w:before="0" w:after="0"/>
              <w:ind w:firstLine="0"/>
              <w:rPr>
                <w:rFonts w:eastAsia="SimSun"/>
                <w:sz w:val="24"/>
                <w:szCs w:val="24"/>
              </w:rPr>
            </w:pPr>
          </w:p>
        </w:tc>
      </w:tr>
      <w:tr w:rsidR="00DC0931" w:rsidRPr="00DC0931" w14:paraId="0BE1C63D" w14:textId="77777777" w:rsidTr="00DC0931">
        <w:tc>
          <w:tcPr>
            <w:tcW w:w="8900" w:type="dxa"/>
          </w:tcPr>
          <w:p w14:paraId="7BEAC452" w14:textId="77777777" w:rsidR="00DC0931" w:rsidRPr="00DC0931" w:rsidRDefault="00DC0931" w:rsidP="00DC0931">
            <w:pPr>
              <w:pStyle w:val="table-text-0"/>
              <w:spacing w:before="0" w:line="360" w:lineRule="auto"/>
              <w:ind w:firstLine="0"/>
              <w:rPr>
                <w:sz w:val="24"/>
                <w:szCs w:val="24"/>
                <w:lang w:val="ru-RU"/>
              </w:rPr>
            </w:pPr>
            <w:r w:rsidRPr="00DC0931">
              <w:rPr>
                <w:sz w:val="24"/>
                <w:szCs w:val="24"/>
                <w:lang w:val="ru-RU"/>
              </w:rPr>
              <w:t>Системная красная волчанка, ревматоидный артрит, полимиозит и другие болезни соединительной ткани, требующие лечения</w:t>
            </w:r>
          </w:p>
        </w:tc>
        <w:tc>
          <w:tcPr>
            <w:tcW w:w="1195" w:type="dxa"/>
          </w:tcPr>
          <w:p w14:paraId="787A6E2E" w14:textId="77777777" w:rsidR="00DC0931" w:rsidRPr="00DC0931" w:rsidRDefault="00DC0931" w:rsidP="00DC0931">
            <w:pPr>
              <w:pStyle w:val="table-text-0"/>
              <w:spacing w:before="0" w:line="360" w:lineRule="auto"/>
              <w:ind w:firstLine="0"/>
              <w:rPr>
                <w:rFonts w:eastAsia="SimSun"/>
                <w:sz w:val="24"/>
                <w:szCs w:val="24"/>
              </w:rPr>
            </w:pPr>
            <w:r w:rsidRPr="00DC0931">
              <w:rPr>
                <w:rFonts w:eastAsia="SimSun"/>
                <w:sz w:val="24"/>
                <w:szCs w:val="24"/>
              </w:rPr>
              <w:t>2</w:t>
            </w:r>
          </w:p>
        </w:tc>
      </w:tr>
      <w:tr w:rsidR="00DC0931" w:rsidRPr="00DC0931" w14:paraId="4B7B443F" w14:textId="77777777" w:rsidTr="00DC0931">
        <w:tc>
          <w:tcPr>
            <w:tcW w:w="8900" w:type="dxa"/>
          </w:tcPr>
          <w:p w14:paraId="6F7EB872" w14:textId="77777777" w:rsidR="00DC0931" w:rsidRPr="00DC0931" w:rsidRDefault="00DC0931" w:rsidP="00DC0931">
            <w:pPr>
              <w:pStyle w:val="table-head-left"/>
              <w:spacing w:before="0" w:after="0"/>
              <w:ind w:firstLine="0"/>
              <w:rPr>
                <w:sz w:val="24"/>
                <w:szCs w:val="24"/>
              </w:rPr>
            </w:pPr>
            <w:r w:rsidRPr="00DC0931">
              <w:rPr>
                <w:sz w:val="24"/>
                <w:szCs w:val="24"/>
              </w:rPr>
              <w:t>Инфекции</w:t>
            </w:r>
          </w:p>
        </w:tc>
        <w:tc>
          <w:tcPr>
            <w:tcW w:w="1195" w:type="dxa"/>
          </w:tcPr>
          <w:p w14:paraId="6B76E6A5" w14:textId="77777777" w:rsidR="00DC0931" w:rsidRPr="00DC0931" w:rsidRDefault="00DC0931" w:rsidP="00DC0931">
            <w:pPr>
              <w:pStyle w:val="table-head-left"/>
              <w:spacing w:before="0" w:after="0"/>
              <w:ind w:firstLine="0"/>
              <w:rPr>
                <w:rFonts w:eastAsia="SimSun"/>
                <w:sz w:val="24"/>
                <w:szCs w:val="24"/>
              </w:rPr>
            </w:pPr>
          </w:p>
        </w:tc>
      </w:tr>
      <w:tr w:rsidR="00DC0931" w:rsidRPr="00DC0931" w14:paraId="1537ABAC" w14:textId="77777777" w:rsidTr="00DC0931">
        <w:tc>
          <w:tcPr>
            <w:tcW w:w="8900" w:type="dxa"/>
          </w:tcPr>
          <w:p w14:paraId="52F60BEA" w14:textId="77777777" w:rsidR="00DC0931" w:rsidRPr="00DC0931" w:rsidRDefault="00DC0931" w:rsidP="00DC0931">
            <w:pPr>
              <w:pStyle w:val="table-text-0"/>
              <w:spacing w:before="0" w:line="360" w:lineRule="auto"/>
              <w:ind w:firstLine="0"/>
              <w:rPr>
                <w:sz w:val="24"/>
                <w:szCs w:val="24"/>
                <w:lang w:val="ru-RU"/>
              </w:rPr>
            </w:pPr>
            <w:r w:rsidRPr="00DC0931">
              <w:rPr>
                <w:sz w:val="24"/>
                <w:szCs w:val="24"/>
                <w:lang w:val="ru-RU"/>
              </w:rPr>
              <w:t>Инфекционные осложнения, требующие терапии до и после трансплантации</w:t>
            </w:r>
          </w:p>
        </w:tc>
        <w:tc>
          <w:tcPr>
            <w:tcW w:w="1195" w:type="dxa"/>
          </w:tcPr>
          <w:p w14:paraId="4433E07B" w14:textId="77777777" w:rsidR="00DC0931" w:rsidRPr="00DC0931" w:rsidRDefault="00DC0931" w:rsidP="00DC0931">
            <w:pPr>
              <w:pStyle w:val="table-text-0"/>
              <w:spacing w:before="0" w:line="360" w:lineRule="auto"/>
              <w:ind w:firstLine="0"/>
              <w:rPr>
                <w:rFonts w:eastAsia="SimSun"/>
                <w:sz w:val="24"/>
                <w:szCs w:val="24"/>
              </w:rPr>
            </w:pPr>
            <w:r w:rsidRPr="00DC0931">
              <w:rPr>
                <w:rFonts w:eastAsia="SimSun"/>
                <w:sz w:val="24"/>
                <w:szCs w:val="24"/>
              </w:rPr>
              <w:t>1</w:t>
            </w:r>
          </w:p>
        </w:tc>
      </w:tr>
      <w:tr w:rsidR="00DC0931" w:rsidRPr="00DC0931" w14:paraId="74E35EBB" w14:textId="77777777" w:rsidTr="00DC0931">
        <w:tc>
          <w:tcPr>
            <w:tcW w:w="8900" w:type="dxa"/>
          </w:tcPr>
          <w:p w14:paraId="13C1A8EC" w14:textId="77777777" w:rsidR="00DC0931" w:rsidRPr="00DC0931" w:rsidRDefault="00DC0931" w:rsidP="00DC0931">
            <w:pPr>
              <w:pStyle w:val="table-head-left"/>
              <w:spacing w:before="0" w:after="0"/>
              <w:ind w:firstLine="0"/>
              <w:rPr>
                <w:sz w:val="24"/>
                <w:szCs w:val="24"/>
              </w:rPr>
            </w:pPr>
            <w:r w:rsidRPr="00DC0931">
              <w:rPr>
                <w:sz w:val="24"/>
                <w:szCs w:val="24"/>
              </w:rPr>
              <w:t>Онкологические заболевания</w:t>
            </w:r>
          </w:p>
        </w:tc>
        <w:tc>
          <w:tcPr>
            <w:tcW w:w="1195" w:type="dxa"/>
          </w:tcPr>
          <w:p w14:paraId="077A2B7F" w14:textId="77777777" w:rsidR="00DC0931" w:rsidRPr="00DC0931" w:rsidRDefault="00DC0931" w:rsidP="00DC0931">
            <w:pPr>
              <w:pStyle w:val="table-head-left"/>
              <w:spacing w:before="0" w:after="0"/>
              <w:ind w:firstLine="0"/>
              <w:rPr>
                <w:rFonts w:eastAsia="SimSun"/>
                <w:sz w:val="24"/>
                <w:szCs w:val="24"/>
              </w:rPr>
            </w:pPr>
          </w:p>
        </w:tc>
      </w:tr>
      <w:tr w:rsidR="00DC0931" w:rsidRPr="00DC0931" w14:paraId="7E37C3B0" w14:textId="77777777" w:rsidTr="00DC0931">
        <w:tc>
          <w:tcPr>
            <w:tcW w:w="8900" w:type="dxa"/>
          </w:tcPr>
          <w:p w14:paraId="51B62398" w14:textId="77777777" w:rsidR="00DC0931" w:rsidRPr="00DC0931" w:rsidRDefault="00DC0931" w:rsidP="00DC0931">
            <w:pPr>
              <w:pStyle w:val="table-text-0"/>
              <w:spacing w:before="0" w:line="360" w:lineRule="auto"/>
              <w:ind w:firstLine="0"/>
              <w:rPr>
                <w:sz w:val="24"/>
                <w:szCs w:val="24"/>
                <w:lang w:val="ru-RU"/>
              </w:rPr>
            </w:pPr>
            <w:r w:rsidRPr="00DC0931">
              <w:rPr>
                <w:sz w:val="24"/>
                <w:szCs w:val="24"/>
                <w:lang w:val="ru-RU"/>
              </w:rPr>
              <w:t>Любые опухоли в анамнезе, кроме рака кожи (исключая меланому)</w:t>
            </w:r>
          </w:p>
        </w:tc>
        <w:tc>
          <w:tcPr>
            <w:tcW w:w="1195" w:type="dxa"/>
          </w:tcPr>
          <w:p w14:paraId="53805B34" w14:textId="77777777" w:rsidR="00DC0931" w:rsidRPr="00DC0931" w:rsidRDefault="00DC0931" w:rsidP="00DC0931">
            <w:pPr>
              <w:pStyle w:val="table-text-0"/>
              <w:spacing w:before="0" w:line="360" w:lineRule="auto"/>
              <w:ind w:firstLine="0"/>
              <w:rPr>
                <w:rFonts w:eastAsia="SimSun"/>
                <w:sz w:val="24"/>
                <w:szCs w:val="24"/>
              </w:rPr>
            </w:pPr>
            <w:r w:rsidRPr="00DC0931">
              <w:rPr>
                <w:rFonts w:eastAsia="SimSun"/>
                <w:sz w:val="24"/>
                <w:szCs w:val="24"/>
              </w:rPr>
              <w:t>3</w:t>
            </w:r>
          </w:p>
        </w:tc>
      </w:tr>
    </w:tbl>
    <w:p w14:paraId="3C5B230F" w14:textId="77777777" w:rsidR="00DC0931" w:rsidRPr="00C07B2E" w:rsidRDefault="00DC0931" w:rsidP="00DC0931">
      <w:pPr>
        <w:rPr>
          <w:sz w:val="28"/>
          <w:szCs w:val="28"/>
          <w:lang w:val="en-US"/>
        </w:rPr>
      </w:pPr>
    </w:p>
    <w:p w14:paraId="2015D807" w14:textId="77777777" w:rsidR="00DC0931" w:rsidRPr="00A74B56" w:rsidRDefault="00DC0931" w:rsidP="00DC0931">
      <w:pPr>
        <w:ind w:firstLine="709"/>
        <w:rPr>
          <w:rFonts w:eastAsia="SimSun"/>
        </w:rPr>
      </w:pPr>
      <w:r w:rsidRPr="00A74B56">
        <w:rPr>
          <w:rFonts w:eastAsia="SimSun"/>
        </w:rPr>
        <w:t>Низкий риск — 0 баллов.</w:t>
      </w:r>
    </w:p>
    <w:p w14:paraId="010D53E5" w14:textId="77777777" w:rsidR="00DC0931" w:rsidRPr="00A74B56" w:rsidRDefault="00DC0931" w:rsidP="00DC0931">
      <w:pPr>
        <w:ind w:firstLine="709"/>
        <w:rPr>
          <w:rFonts w:eastAsia="SimSun"/>
        </w:rPr>
      </w:pPr>
      <w:r w:rsidRPr="00A74B56">
        <w:rPr>
          <w:rFonts w:eastAsia="SimSun"/>
        </w:rPr>
        <w:t>Промежуточный риск — 1–2 балла.</w:t>
      </w:r>
    </w:p>
    <w:p w14:paraId="77583960" w14:textId="77777777" w:rsidR="00DC0931" w:rsidRPr="00A74B56" w:rsidRDefault="00DC0931" w:rsidP="00DC0931">
      <w:pPr>
        <w:ind w:firstLine="709"/>
        <w:rPr>
          <w:rFonts w:eastAsia="SimSun"/>
        </w:rPr>
      </w:pPr>
      <w:r w:rsidRPr="00A74B56">
        <w:rPr>
          <w:rFonts w:eastAsia="SimSun"/>
        </w:rPr>
        <w:t>Высокий риск — 3–4 балла.</w:t>
      </w:r>
    </w:p>
    <w:p w14:paraId="1798FE5C" w14:textId="0E9E1921" w:rsidR="00DC0931" w:rsidRPr="00DC0931" w:rsidRDefault="00DC0931" w:rsidP="00DC0931">
      <w:pPr>
        <w:ind w:firstLine="709"/>
        <w:rPr>
          <w:rFonts w:eastAsia="SimSun"/>
        </w:rPr>
      </w:pPr>
      <w:r w:rsidRPr="00A74B56">
        <w:rPr>
          <w:rFonts w:eastAsia="SimSun"/>
        </w:rPr>
        <w:t>Крайне высокий — 5 и более баллов.</w:t>
      </w:r>
    </w:p>
    <w:p w14:paraId="55A3E911" w14:textId="77777777" w:rsidR="00306810" w:rsidRPr="00777124" w:rsidRDefault="00306810" w:rsidP="00306810">
      <w:pPr>
        <w:rPr>
          <w:lang w:val="en-US"/>
        </w:rPr>
      </w:pPr>
    </w:p>
    <w:p w14:paraId="728365E1" w14:textId="77777777" w:rsidR="00306810" w:rsidRPr="000322E4" w:rsidRDefault="00306810" w:rsidP="00A124BA">
      <w:pPr>
        <w:pStyle w:val="2"/>
        <w:spacing w:before="0"/>
      </w:pPr>
    </w:p>
    <w:p w14:paraId="0C3DDAFA" w14:textId="77777777" w:rsidR="00A124BA" w:rsidRPr="00583004" w:rsidRDefault="00A124BA" w:rsidP="00CA442F">
      <w:pPr>
        <w:pStyle w:val="afffb"/>
        <w:ind w:firstLine="0"/>
      </w:pPr>
    </w:p>
    <w:sectPr w:rsidR="00A124BA" w:rsidRPr="00583004" w:rsidSect="00B075C5">
      <w:headerReference w:type="default" r:id="rId25"/>
      <w:footerReference w:type="default" r:id="rId26"/>
      <w:pgSz w:w="11906" w:h="16838"/>
      <w:pgMar w:top="1134" w:right="1416" w:bottom="1134" w:left="1701" w:header="708" w:footer="708" w:gutter="0"/>
      <w:cols w:space="720"/>
      <w:formProt w:val="0"/>
      <w:titlePg/>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B719AD" w14:textId="77777777" w:rsidR="00A679EB" w:rsidRDefault="00A679EB">
      <w:r>
        <w:separator/>
      </w:r>
    </w:p>
    <w:p w14:paraId="4060C9B4" w14:textId="77777777" w:rsidR="00A679EB" w:rsidRDefault="00A679EB"/>
  </w:endnote>
  <w:endnote w:type="continuationSeparator" w:id="0">
    <w:p w14:paraId="5A5EB44D" w14:textId="77777777" w:rsidR="00A679EB" w:rsidRDefault="00A679EB">
      <w:r>
        <w:continuationSeparator/>
      </w:r>
    </w:p>
    <w:p w14:paraId="7E37D55F" w14:textId="77777777" w:rsidR="00A679EB" w:rsidRDefault="00A679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ans">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ill Sans">
    <w:altName w:val="Gill Sans"/>
    <w:charset w:val="B1"/>
    <w:family w:val="swiss"/>
    <w:pitch w:val="variable"/>
    <w:sig w:usb0="80000A67" w:usb1="00000000" w:usb2="00000000" w:usb3="00000000" w:csb0="000001F7" w:csb1="00000000"/>
  </w:font>
  <w:font w:name="OpenSymbol">
    <w:altName w:val="Arial Unicode MS"/>
    <w:charset w:val="00"/>
    <w:family w:val="auto"/>
    <w:pitch w:val="variable"/>
    <w:sig w:usb0="800000AF" w:usb1="1807ECEA" w:usb2="00000010" w:usb3="00000000" w:csb0="00020001" w:csb1="00000000"/>
  </w:font>
  <w:font w:name="Palatino Linotype">
    <w:panose1 w:val="02040502050505030304"/>
    <w:charset w:val="CC"/>
    <w:family w:val="roman"/>
    <w:pitch w:val="variable"/>
    <w:sig w:usb0="E0000287" w:usb1="40000013" w:usb2="00000000" w:usb3="00000000" w:csb0="0000019F" w:csb1="00000000"/>
  </w:font>
  <w:font w:name="Helvetica Neue">
    <w:altName w:val="Helvetica Neue"/>
    <w:panose1 w:val="00000000000000000000"/>
    <w:charset w:val="00"/>
    <w:family w:val="auto"/>
    <w:notTrueType/>
    <w:pitch w:val="variable"/>
    <w:sig w:usb0="E50002FF" w:usb1="500079DB" w:usb2="00000010" w:usb3="00000000" w:csb0="00000001" w:csb1="00000000"/>
  </w:font>
  <w:font w:name="TimesNewRomanPS-ItalicMT">
    <w:altName w:val="Times New Roman"/>
    <w:charset w:val="00"/>
    <w:family w:val="roman"/>
    <w:pitch w:val="variable"/>
    <w:sig w:usb0="E0000AFF" w:usb1="00007843" w:usb2="0000000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BalticaC">
    <w:altName w:val="Yu Gothic UI"/>
    <w:panose1 w:val="00000000000000000000"/>
    <w:charset w:val="80"/>
    <w:family w:val="auto"/>
    <w:notTrueType/>
    <w:pitch w:val="default"/>
    <w:sig w:usb0="00000001" w:usb1="08070000" w:usb2="00000010" w:usb3="00000000" w:csb0="00020000" w:csb1="00000000"/>
  </w:font>
  <w:font w:name="+mj-ea">
    <w:panose1 w:val="00000000000000000000"/>
    <w:charset w:val="00"/>
    <w:family w:val="roman"/>
    <w:notTrueType/>
    <w:pitch w:val="default"/>
  </w:font>
  <w:font w:name="GaramondC-Light">
    <w:charset w:val="80"/>
    <w:family w:val="auto"/>
    <w:pitch w:val="default"/>
    <w:sig w:usb0="00000000" w:usb1="08070000" w:usb2="00000010" w:usb3="00000000" w:csb0="00020000" w:csb1="00000000"/>
  </w:font>
  <w:font w:name="ArialNarrow">
    <w:altName w:val="Times New Roman"/>
    <w:charset w:val="CC"/>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2CE86" w14:textId="77777777" w:rsidR="0089207C" w:rsidRDefault="0089207C">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209B8" w14:textId="77777777" w:rsidR="0089207C" w:rsidRDefault="0089207C">
    <w:pPr>
      <w:pStyle w:val="af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2A7DA" w14:textId="77777777" w:rsidR="0089207C" w:rsidRDefault="0089207C">
    <w:pPr>
      <w:pStyle w:val="af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8DC3C" w14:textId="77777777" w:rsidR="0089207C" w:rsidRDefault="0089207C">
    <w:pPr>
      <w:pStyle w:val="af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B11C0" w14:textId="77777777" w:rsidR="0089207C" w:rsidRDefault="0089207C">
    <w:pPr>
      <w:pStyle w:val="af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023EA" w14:textId="77777777" w:rsidR="0089207C" w:rsidRDefault="0089207C">
    <w:pPr>
      <w:pStyle w:val="af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7631649"/>
      <w:docPartObj>
        <w:docPartGallery w:val="Page Numbers (Bottom of Page)"/>
        <w:docPartUnique/>
      </w:docPartObj>
    </w:sdtPr>
    <w:sdtEndPr/>
    <w:sdtContent>
      <w:p w14:paraId="53CAA3D8" w14:textId="77777777" w:rsidR="00F35A3E" w:rsidRDefault="00F35A3E">
        <w:pPr>
          <w:pStyle w:val="afc"/>
          <w:jc w:val="center"/>
        </w:pPr>
        <w:r>
          <w:fldChar w:fldCharType="begin"/>
        </w:r>
        <w:r>
          <w:instrText>PAGE</w:instrText>
        </w:r>
        <w:r>
          <w:fldChar w:fldCharType="separate"/>
        </w:r>
        <w:r w:rsidR="00B779CA">
          <w:rPr>
            <w:noProof/>
          </w:rPr>
          <w:t>46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03276F" w14:textId="77777777" w:rsidR="00A679EB" w:rsidRDefault="00A679EB">
      <w:r>
        <w:separator/>
      </w:r>
    </w:p>
    <w:p w14:paraId="700C7868" w14:textId="77777777" w:rsidR="00A679EB" w:rsidRDefault="00A679EB"/>
  </w:footnote>
  <w:footnote w:type="continuationSeparator" w:id="0">
    <w:p w14:paraId="65E1B339" w14:textId="77777777" w:rsidR="00A679EB" w:rsidRDefault="00A679EB">
      <w:r>
        <w:continuationSeparator/>
      </w:r>
    </w:p>
    <w:p w14:paraId="1EA590A3" w14:textId="77777777" w:rsidR="00A679EB" w:rsidRDefault="00A679EB"/>
  </w:footnote>
  <w:footnote w:id="1">
    <w:p w14:paraId="67D80D46" w14:textId="77777777" w:rsidR="0089207C" w:rsidRPr="00611832" w:rsidRDefault="0089207C" w:rsidP="0089207C">
      <w:pPr>
        <w:pStyle w:val="aff7"/>
      </w:pPr>
      <w:r w:rsidRPr="00522016">
        <w:rPr>
          <w:rStyle w:val="af5"/>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r>
        <w:rPr>
          <w:rFonts w:eastAsia="SimSun"/>
          <w:szCs w:val="24"/>
        </w:rPr>
        <w:t xml:space="preserve"> </w:t>
      </w:r>
    </w:p>
  </w:footnote>
  <w:footnote w:id="2">
    <w:p w14:paraId="66822E17" w14:textId="77777777" w:rsidR="0089207C" w:rsidRPr="00F2645D" w:rsidRDefault="0089207C" w:rsidP="0089207C">
      <w:pPr>
        <w:pStyle w:val="aff7"/>
      </w:pPr>
      <w:r w:rsidRPr="00522016">
        <w:rPr>
          <w:rStyle w:val="af5"/>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3">
    <w:p w14:paraId="2B2F0545" w14:textId="77777777" w:rsidR="0089207C" w:rsidRPr="00F2645D" w:rsidRDefault="0089207C" w:rsidP="0089207C">
      <w:pPr>
        <w:pStyle w:val="aff7"/>
      </w:pPr>
      <w:r w:rsidRPr="00522016">
        <w:rPr>
          <w:rStyle w:val="af5"/>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4">
    <w:p w14:paraId="45E9E489" w14:textId="77777777" w:rsidR="0089207C" w:rsidRPr="00F2645D" w:rsidRDefault="0089207C" w:rsidP="0089207C">
      <w:pPr>
        <w:pStyle w:val="aff7"/>
      </w:pPr>
      <w:r w:rsidRPr="00522016">
        <w:rPr>
          <w:rStyle w:val="af5"/>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5">
    <w:p w14:paraId="38F125A6" w14:textId="77777777" w:rsidR="0089207C" w:rsidRPr="00611832" w:rsidRDefault="0089207C" w:rsidP="0089207C">
      <w:pPr>
        <w:pStyle w:val="aff7"/>
      </w:pPr>
      <w:r w:rsidRPr="00522016">
        <w:rPr>
          <w:rStyle w:val="af5"/>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r>
        <w:rPr>
          <w:rFonts w:eastAsia="SimSun"/>
          <w:szCs w:val="24"/>
        </w:rPr>
        <w:t xml:space="preserve"> </w:t>
      </w:r>
    </w:p>
  </w:footnote>
  <w:footnote w:id="6">
    <w:p w14:paraId="163E2EE5" w14:textId="77777777" w:rsidR="0089207C" w:rsidRPr="006155FD" w:rsidRDefault="0089207C" w:rsidP="0089207C">
      <w:pPr>
        <w:pStyle w:val="aff7"/>
      </w:pPr>
      <w:r w:rsidRPr="00522016">
        <w:rPr>
          <w:rStyle w:val="af5"/>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7">
    <w:p w14:paraId="6A99B5A5" w14:textId="77777777" w:rsidR="0089207C" w:rsidRPr="006155FD" w:rsidRDefault="0089207C" w:rsidP="0089207C">
      <w:pPr>
        <w:pStyle w:val="aff7"/>
      </w:pPr>
      <w:r w:rsidRPr="00522016">
        <w:rPr>
          <w:rStyle w:val="af5"/>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8">
    <w:p w14:paraId="25DA6C76" w14:textId="77777777" w:rsidR="0089207C" w:rsidRPr="00F2645D" w:rsidRDefault="0089207C" w:rsidP="0089207C">
      <w:pPr>
        <w:pStyle w:val="aff7"/>
      </w:pPr>
      <w:r w:rsidRPr="00522016">
        <w:rPr>
          <w:rStyle w:val="af5"/>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9">
    <w:p w14:paraId="477FA576" w14:textId="77777777" w:rsidR="0089207C" w:rsidRPr="006155FD" w:rsidRDefault="0089207C" w:rsidP="0089207C">
      <w:pPr>
        <w:pStyle w:val="aff7"/>
      </w:pPr>
      <w:r w:rsidRPr="00522016">
        <w:rPr>
          <w:rStyle w:val="af5"/>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0">
    <w:p w14:paraId="06FB7B5C" w14:textId="77777777" w:rsidR="0089207C" w:rsidRPr="006155FD" w:rsidRDefault="0089207C" w:rsidP="0089207C">
      <w:pPr>
        <w:pStyle w:val="aff7"/>
      </w:pPr>
      <w:r w:rsidRPr="00522016">
        <w:rPr>
          <w:rStyle w:val="af5"/>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1">
    <w:p w14:paraId="78B82394" w14:textId="77777777" w:rsidR="0089207C" w:rsidRPr="006155FD" w:rsidRDefault="0089207C" w:rsidP="0089207C">
      <w:pPr>
        <w:pStyle w:val="aff7"/>
      </w:pPr>
      <w:r w:rsidRPr="00522016">
        <w:rPr>
          <w:rStyle w:val="af5"/>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2">
    <w:p w14:paraId="4B39D695" w14:textId="77777777" w:rsidR="0089207C" w:rsidRPr="006155FD" w:rsidRDefault="0089207C" w:rsidP="0089207C">
      <w:pPr>
        <w:pStyle w:val="aff7"/>
      </w:pPr>
      <w:r w:rsidRPr="00522016">
        <w:rPr>
          <w:rStyle w:val="af5"/>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3">
    <w:p w14:paraId="04E9E8AD" w14:textId="77777777" w:rsidR="0089207C" w:rsidRPr="006155FD" w:rsidRDefault="0089207C" w:rsidP="0089207C">
      <w:pPr>
        <w:pStyle w:val="aff7"/>
      </w:pPr>
      <w:r w:rsidRPr="00522016">
        <w:rPr>
          <w:rStyle w:val="af5"/>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4">
    <w:p w14:paraId="1C8FE075" w14:textId="77777777" w:rsidR="0089207C" w:rsidRPr="00DE2136" w:rsidRDefault="0089207C" w:rsidP="0089207C">
      <w:pPr>
        <w:pStyle w:val="aff7"/>
      </w:pPr>
      <w:r w:rsidRPr="00522016">
        <w:rPr>
          <w:rStyle w:val="af5"/>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r>
        <w:rPr>
          <w:rFonts w:eastAsia="SimSun"/>
          <w:szCs w:val="24"/>
        </w:rPr>
        <w:t xml:space="preserve"> </w:t>
      </w:r>
    </w:p>
  </w:footnote>
  <w:footnote w:id="15">
    <w:p w14:paraId="56A2B767" w14:textId="77777777" w:rsidR="0089207C" w:rsidRPr="00F2645D" w:rsidRDefault="0089207C" w:rsidP="0089207C">
      <w:pPr>
        <w:pStyle w:val="aff7"/>
      </w:pPr>
      <w:r w:rsidRPr="00522016">
        <w:rPr>
          <w:rStyle w:val="af5"/>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05822" w14:textId="77777777" w:rsidR="0089207C" w:rsidRPr="00A97CBF" w:rsidRDefault="0089207C" w:rsidP="0080666E">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46C46" w14:textId="77777777" w:rsidR="0089207C" w:rsidRDefault="0089207C">
    <w:pPr>
      <w:pStyle w:val="af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20E58" w14:textId="77777777" w:rsidR="00F35A3E" w:rsidRDefault="00F35A3E" w:rsidP="00186C35">
    <w:pPr>
      <w:pStyle w:val="afb"/>
      <w:ind w:firstLine="0"/>
      <w:rPr>
        <w:i/>
      </w:rPr>
    </w:pPr>
  </w:p>
  <w:p w14:paraId="4DAD2919" w14:textId="77777777" w:rsidR="00F35A3E" w:rsidRDefault="00F35A3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4"/>
    <w:multiLevelType w:val="singleLevel"/>
    <w:tmpl w:val="00000004"/>
    <w:name w:val="WW8Num4"/>
    <w:lvl w:ilvl="0">
      <w:numFmt w:val="bullet"/>
      <w:lvlText w:val=""/>
      <w:lvlJc w:val="left"/>
      <w:pPr>
        <w:tabs>
          <w:tab w:val="num" w:pos="0"/>
        </w:tabs>
        <w:ind w:left="158" w:hanging="423"/>
      </w:pPr>
      <w:rPr>
        <w:rFonts w:ascii="Symbol" w:hAnsi="Symbol" w:cs="Symbol" w:hint="default"/>
        <w:w w:val="99"/>
        <w:sz w:val="28"/>
        <w:szCs w:val="28"/>
        <w:lang w:val="ru-RU"/>
      </w:rPr>
    </w:lvl>
  </w:abstractNum>
  <w:abstractNum w:abstractNumId="2" w15:restartNumberingAfterBreak="0">
    <w:nsid w:val="0000000D"/>
    <w:multiLevelType w:val="singleLevel"/>
    <w:tmpl w:val="0000000D"/>
    <w:name w:val="WW8Num13"/>
    <w:lvl w:ilvl="0">
      <w:numFmt w:val="bullet"/>
      <w:lvlText w:val=""/>
      <w:lvlJc w:val="left"/>
      <w:pPr>
        <w:tabs>
          <w:tab w:val="num" w:pos="708"/>
        </w:tabs>
        <w:ind w:left="158" w:hanging="423"/>
      </w:pPr>
      <w:rPr>
        <w:rFonts w:ascii="Symbol" w:hAnsi="Symbol" w:cs="Symbol" w:hint="default"/>
        <w:w w:val="99"/>
        <w:sz w:val="28"/>
        <w:szCs w:val="28"/>
        <w:lang w:val="ru-RU"/>
      </w:rPr>
    </w:lvl>
  </w:abstractNum>
  <w:abstractNum w:abstractNumId="3" w15:restartNumberingAfterBreak="0">
    <w:nsid w:val="00000016"/>
    <w:multiLevelType w:val="singleLevel"/>
    <w:tmpl w:val="00000016"/>
    <w:name w:val="WW8Num24"/>
    <w:lvl w:ilvl="0">
      <w:numFmt w:val="bullet"/>
      <w:lvlText w:val=""/>
      <w:lvlJc w:val="left"/>
      <w:pPr>
        <w:tabs>
          <w:tab w:val="num" w:pos="708"/>
        </w:tabs>
        <w:ind w:left="158" w:hanging="423"/>
      </w:pPr>
      <w:rPr>
        <w:rFonts w:ascii="Symbol" w:hAnsi="Symbol" w:cs="Symbol" w:hint="default"/>
        <w:w w:val="99"/>
        <w:sz w:val="28"/>
        <w:szCs w:val="28"/>
        <w:lang w:val="ru-RU"/>
      </w:rPr>
    </w:lvl>
  </w:abstractNum>
  <w:abstractNum w:abstractNumId="4" w15:restartNumberingAfterBreak="0">
    <w:nsid w:val="00000019"/>
    <w:multiLevelType w:val="singleLevel"/>
    <w:tmpl w:val="00000019"/>
    <w:name w:val="WW8Num28"/>
    <w:lvl w:ilvl="0">
      <w:start w:val="1"/>
      <w:numFmt w:val="decimal"/>
      <w:lvlText w:val="%1."/>
      <w:lvlJc w:val="left"/>
      <w:pPr>
        <w:tabs>
          <w:tab w:val="num" w:pos="0"/>
        </w:tabs>
        <w:ind w:left="720" w:hanging="360"/>
      </w:pPr>
    </w:lvl>
  </w:abstractNum>
  <w:abstractNum w:abstractNumId="5" w15:restartNumberingAfterBreak="0">
    <w:nsid w:val="0000001B"/>
    <w:multiLevelType w:val="singleLevel"/>
    <w:tmpl w:val="0000001B"/>
    <w:name w:val="WW8Num30"/>
    <w:lvl w:ilvl="0">
      <w:start w:val="1"/>
      <w:numFmt w:val="bullet"/>
      <w:lvlText w:val=""/>
      <w:lvlJc w:val="left"/>
      <w:pPr>
        <w:tabs>
          <w:tab w:val="num" w:pos="0"/>
        </w:tabs>
        <w:ind w:left="1414" w:hanging="705"/>
      </w:pPr>
      <w:rPr>
        <w:rFonts w:ascii="Symbol" w:hAnsi="Symbol" w:cs="Symbol" w:hint="default"/>
      </w:rPr>
    </w:lvl>
  </w:abstractNum>
  <w:abstractNum w:abstractNumId="6" w15:restartNumberingAfterBreak="0">
    <w:nsid w:val="0000002B"/>
    <w:multiLevelType w:val="singleLevel"/>
    <w:tmpl w:val="0000002B"/>
    <w:name w:val="WW8Num46"/>
    <w:lvl w:ilvl="0">
      <w:numFmt w:val="bullet"/>
      <w:lvlText w:val=""/>
      <w:lvlJc w:val="left"/>
      <w:pPr>
        <w:tabs>
          <w:tab w:val="num" w:pos="708"/>
        </w:tabs>
        <w:ind w:left="423" w:hanging="423"/>
      </w:pPr>
      <w:rPr>
        <w:rFonts w:ascii="Symbol" w:hAnsi="Symbol" w:cs="Symbol" w:hint="default"/>
        <w:w w:val="99"/>
        <w:sz w:val="28"/>
        <w:szCs w:val="28"/>
        <w:lang w:val="ru-RU"/>
      </w:rPr>
    </w:lvl>
  </w:abstractNum>
  <w:abstractNum w:abstractNumId="7" w15:restartNumberingAfterBreak="0">
    <w:nsid w:val="0000002C"/>
    <w:multiLevelType w:val="singleLevel"/>
    <w:tmpl w:val="0000002C"/>
    <w:name w:val="WW8Num47"/>
    <w:lvl w:ilvl="0">
      <w:numFmt w:val="bullet"/>
      <w:lvlText w:val="•"/>
      <w:lvlJc w:val="left"/>
      <w:pPr>
        <w:tabs>
          <w:tab w:val="num" w:pos="0"/>
        </w:tabs>
        <w:ind w:left="705" w:hanging="705"/>
      </w:pPr>
      <w:rPr>
        <w:rFonts w:ascii="Calibri" w:hAnsi="Calibri" w:cs="Calibri" w:hint="default"/>
      </w:rPr>
    </w:lvl>
  </w:abstractNum>
  <w:abstractNum w:abstractNumId="8" w15:restartNumberingAfterBreak="0">
    <w:nsid w:val="012A5807"/>
    <w:multiLevelType w:val="hybridMultilevel"/>
    <w:tmpl w:val="B490AF0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16A70C7"/>
    <w:multiLevelType w:val="hybridMultilevel"/>
    <w:tmpl w:val="B4025D86"/>
    <w:lvl w:ilvl="0" w:tplc="05063346">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01CC1387"/>
    <w:multiLevelType w:val="hybridMultilevel"/>
    <w:tmpl w:val="B3A08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1E96A89"/>
    <w:multiLevelType w:val="hybridMultilevel"/>
    <w:tmpl w:val="ABB25E8C"/>
    <w:lvl w:ilvl="0" w:tplc="05063346">
      <w:start w:val="1"/>
      <w:numFmt w:val="bullet"/>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12" w15:restartNumberingAfterBreak="0">
    <w:nsid w:val="02B87A7F"/>
    <w:multiLevelType w:val="hybridMultilevel"/>
    <w:tmpl w:val="7C822F20"/>
    <w:lvl w:ilvl="0" w:tplc="FC4EE27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036614BD"/>
    <w:multiLevelType w:val="hybridMultilevel"/>
    <w:tmpl w:val="8C901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4113974"/>
    <w:multiLevelType w:val="hybridMultilevel"/>
    <w:tmpl w:val="FA4A8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4403F8D"/>
    <w:multiLevelType w:val="hybridMultilevel"/>
    <w:tmpl w:val="93CEEDF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51F37FD"/>
    <w:multiLevelType w:val="hybridMultilevel"/>
    <w:tmpl w:val="439E6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5A4236C"/>
    <w:multiLevelType w:val="hybridMultilevel"/>
    <w:tmpl w:val="3B14FE3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5D62440"/>
    <w:multiLevelType w:val="hybridMultilevel"/>
    <w:tmpl w:val="E0A809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064C3959"/>
    <w:multiLevelType w:val="hybridMultilevel"/>
    <w:tmpl w:val="B872A730"/>
    <w:lvl w:ilvl="0" w:tplc="8682C048">
      <w:start w:val="1"/>
      <w:numFmt w:val="decimal"/>
      <w:lvlText w:val="%1."/>
      <w:lvlJc w:val="left"/>
      <w:pPr>
        <w:ind w:left="717" w:hanging="360"/>
      </w:pPr>
      <w:rPr>
        <w:rFonts w:hint="default"/>
      </w:rPr>
    </w:lvl>
    <w:lvl w:ilvl="1" w:tplc="8FAC328C">
      <w:start w:val="1"/>
      <w:numFmt w:val="decimal"/>
      <w:lvlText w:val="%2."/>
      <w:lvlJc w:val="left"/>
      <w:pPr>
        <w:ind w:left="1437" w:hanging="360"/>
      </w:pPr>
      <w:rPr>
        <w:rFonts w:hint="default"/>
      </w:r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0" w15:restartNumberingAfterBreak="0">
    <w:nsid w:val="06615864"/>
    <w:multiLevelType w:val="hybridMultilevel"/>
    <w:tmpl w:val="8230E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69B225E"/>
    <w:multiLevelType w:val="hybridMultilevel"/>
    <w:tmpl w:val="1700E0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076A0D58"/>
    <w:multiLevelType w:val="hybridMultilevel"/>
    <w:tmpl w:val="534AC682"/>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3" w15:restartNumberingAfterBreak="0">
    <w:nsid w:val="076C5C1C"/>
    <w:multiLevelType w:val="hybridMultilevel"/>
    <w:tmpl w:val="E5A230F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77372DE"/>
    <w:multiLevelType w:val="hybridMultilevel"/>
    <w:tmpl w:val="EE34D9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07AA397F"/>
    <w:multiLevelType w:val="hybridMultilevel"/>
    <w:tmpl w:val="E31C6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7D1015B"/>
    <w:multiLevelType w:val="hybridMultilevel"/>
    <w:tmpl w:val="3DD476BA"/>
    <w:lvl w:ilvl="0" w:tplc="04190003">
      <w:start w:val="1"/>
      <w:numFmt w:val="bullet"/>
      <w:lvlText w:val="o"/>
      <w:lvlJc w:val="left"/>
      <w:pPr>
        <w:ind w:left="1440" w:hanging="360"/>
      </w:pPr>
      <w:rPr>
        <w:rFonts w:ascii="Courier New" w:hAnsi="Courier New" w:cs="Courier New" w:hint="default"/>
      </w:rPr>
    </w:lvl>
    <w:lvl w:ilvl="1" w:tplc="04190001">
      <w:start w:val="1"/>
      <w:numFmt w:val="bullet"/>
      <w:lvlText w:val=""/>
      <w:lvlJc w:val="left"/>
      <w:pPr>
        <w:ind w:left="1788" w:hanging="360"/>
      </w:pPr>
      <w:rPr>
        <w:rFonts w:ascii="Symbol" w:hAnsi="Symbol"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15:restartNumberingAfterBreak="0">
    <w:nsid w:val="08E3117B"/>
    <w:multiLevelType w:val="hybridMultilevel"/>
    <w:tmpl w:val="877E7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97617AD"/>
    <w:multiLevelType w:val="hybridMultilevel"/>
    <w:tmpl w:val="0EFEA22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9803113"/>
    <w:multiLevelType w:val="hybridMultilevel"/>
    <w:tmpl w:val="A8B834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A6A3687"/>
    <w:multiLevelType w:val="hybridMultilevel"/>
    <w:tmpl w:val="31CA6D48"/>
    <w:styleLink w:val="1ai"/>
    <w:lvl w:ilvl="0" w:tplc="A75AA490">
      <w:start w:val="1"/>
      <w:numFmt w:val="bullet"/>
      <w:lvlText w:val=""/>
      <w:lvlJc w:val="left"/>
      <w:pPr>
        <w:ind w:left="720" w:hanging="360"/>
      </w:pPr>
      <w:rPr>
        <w:rFonts w:ascii="Symbol" w:hAnsi="Symbol" w:hint="default"/>
      </w:rPr>
    </w:lvl>
    <w:lvl w:ilvl="1" w:tplc="B406001A" w:tentative="1">
      <w:start w:val="1"/>
      <w:numFmt w:val="bullet"/>
      <w:lvlText w:val="o"/>
      <w:lvlJc w:val="left"/>
      <w:pPr>
        <w:ind w:left="1440" w:hanging="360"/>
      </w:pPr>
      <w:rPr>
        <w:rFonts w:ascii="Courier New" w:hAnsi="Courier New" w:cs="Courier New" w:hint="default"/>
      </w:rPr>
    </w:lvl>
    <w:lvl w:ilvl="2" w:tplc="577203BE" w:tentative="1">
      <w:start w:val="1"/>
      <w:numFmt w:val="bullet"/>
      <w:lvlText w:val=""/>
      <w:lvlJc w:val="left"/>
      <w:pPr>
        <w:ind w:left="2160" w:hanging="360"/>
      </w:pPr>
      <w:rPr>
        <w:rFonts w:ascii="Wingdings" w:hAnsi="Wingdings" w:hint="default"/>
      </w:rPr>
    </w:lvl>
    <w:lvl w:ilvl="3" w:tplc="12C8FB5A" w:tentative="1">
      <w:start w:val="1"/>
      <w:numFmt w:val="bullet"/>
      <w:lvlText w:val=""/>
      <w:lvlJc w:val="left"/>
      <w:pPr>
        <w:ind w:left="2880" w:hanging="360"/>
      </w:pPr>
      <w:rPr>
        <w:rFonts w:ascii="Symbol" w:hAnsi="Symbol" w:hint="default"/>
      </w:rPr>
    </w:lvl>
    <w:lvl w:ilvl="4" w:tplc="7374A596" w:tentative="1">
      <w:start w:val="1"/>
      <w:numFmt w:val="bullet"/>
      <w:lvlText w:val="o"/>
      <w:lvlJc w:val="left"/>
      <w:pPr>
        <w:ind w:left="3600" w:hanging="360"/>
      </w:pPr>
      <w:rPr>
        <w:rFonts w:ascii="Courier New" w:hAnsi="Courier New" w:cs="Courier New" w:hint="default"/>
      </w:rPr>
    </w:lvl>
    <w:lvl w:ilvl="5" w:tplc="E2044D6C" w:tentative="1">
      <w:start w:val="1"/>
      <w:numFmt w:val="bullet"/>
      <w:lvlText w:val=""/>
      <w:lvlJc w:val="left"/>
      <w:pPr>
        <w:ind w:left="4320" w:hanging="360"/>
      </w:pPr>
      <w:rPr>
        <w:rFonts w:ascii="Wingdings" w:hAnsi="Wingdings" w:hint="default"/>
      </w:rPr>
    </w:lvl>
    <w:lvl w:ilvl="6" w:tplc="7F9E63CE" w:tentative="1">
      <w:start w:val="1"/>
      <w:numFmt w:val="bullet"/>
      <w:lvlText w:val=""/>
      <w:lvlJc w:val="left"/>
      <w:pPr>
        <w:ind w:left="5040" w:hanging="360"/>
      </w:pPr>
      <w:rPr>
        <w:rFonts w:ascii="Symbol" w:hAnsi="Symbol" w:hint="default"/>
      </w:rPr>
    </w:lvl>
    <w:lvl w:ilvl="7" w:tplc="5A7A8954" w:tentative="1">
      <w:start w:val="1"/>
      <w:numFmt w:val="bullet"/>
      <w:lvlText w:val="o"/>
      <w:lvlJc w:val="left"/>
      <w:pPr>
        <w:ind w:left="5760" w:hanging="360"/>
      </w:pPr>
      <w:rPr>
        <w:rFonts w:ascii="Courier New" w:hAnsi="Courier New" w:cs="Courier New" w:hint="default"/>
      </w:rPr>
    </w:lvl>
    <w:lvl w:ilvl="8" w:tplc="EC48257A" w:tentative="1">
      <w:start w:val="1"/>
      <w:numFmt w:val="bullet"/>
      <w:lvlText w:val=""/>
      <w:lvlJc w:val="left"/>
      <w:pPr>
        <w:ind w:left="6480" w:hanging="360"/>
      </w:pPr>
      <w:rPr>
        <w:rFonts w:ascii="Wingdings" w:hAnsi="Wingdings" w:hint="default"/>
      </w:rPr>
    </w:lvl>
  </w:abstractNum>
  <w:abstractNum w:abstractNumId="31" w15:restartNumberingAfterBreak="0">
    <w:nsid w:val="0A7302E0"/>
    <w:multiLevelType w:val="multilevel"/>
    <w:tmpl w:val="F758790E"/>
    <w:lvl w:ilvl="0">
      <w:start w:val="1"/>
      <w:numFmt w:val="bullet"/>
      <w:lvlText w:val=""/>
      <w:lvlJc w:val="left"/>
      <w:pPr>
        <w:ind w:left="720" w:hanging="360"/>
      </w:pPr>
      <w:rPr>
        <w:rFonts w:ascii="Symbol" w:hAnsi="Symbol" w:cs="Symbol" w:hint="default"/>
        <w:b w:val="0"/>
        <w:sz w:val="24"/>
      </w:rPr>
    </w:lvl>
    <w:lvl w:ilvl="1">
      <w:start w:val="1"/>
      <w:numFmt w:val="decimal"/>
      <w:lvlText w:val="%2)"/>
      <w:lvlJc w:val="left"/>
      <w:pPr>
        <w:ind w:left="1440" w:hanging="360"/>
      </w:p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0AD2445A"/>
    <w:multiLevelType w:val="hybridMultilevel"/>
    <w:tmpl w:val="0A8CFB3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B090C2C"/>
    <w:multiLevelType w:val="hybridMultilevel"/>
    <w:tmpl w:val="70329C8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B1B3D13"/>
    <w:multiLevelType w:val="hybridMultilevel"/>
    <w:tmpl w:val="7608AA5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CEF690B"/>
    <w:multiLevelType w:val="multilevel"/>
    <w:tmpl w:val="51268A1A"/>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6" w15:restartNumberingAfterBreak="0">
    <w:nsid w:val="0D0D5CFA"/>
    <w:multiLevelType w:val="hybridMultilevel"/>
    <w:tmpl w:val="501CD3C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0D16377A"/>
    <w:multiLevelType w:val="hybridMultilevel"/>
    <w:tmpl w:val="1BCEF5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0D743AAD"/>
    <w:multiLevelType w:val="multilevel"/>
    <w:tmpl w:val="12BE655A"/>
    <w:lvl w:ilvl="0">
      <w:start w:val="1"/>
      <w:numFmt w:val="decimal"/>
      <w:lvlText w:val="%1)"/>
      <w:lvlJc w:val="left"/>
      <w:pPr>
        <w:tabs>
          <w:tab w:val="num" w:pos="1069"/>
        </w:tabs>
        <w:ind w:left="1069" w:hanging="360"/>
      </w:p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39" w15:restartNumberingAfterBreak="0">
    <w:nsid w:val="0EED4B52"/>
    <w:multiLevelType w:val="hybridMultilevel"/>
    <w:tmpl w:val="8DFC94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0F1C4733"/>
    <w:multiLevelType w:val="hybridMultilevel"/>
    <w:tmpl w:val="6D027C68"/>
    <w:lvl w:ilvl="0" w:tplc="04190001">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41" w15:restartNumberingAfterBreak="0">
    <w:nsid w:val="0F804A37"/>
    <w:multiLevelType w:val="multilevel"/>
    <w:tmpl w:val="0090D9A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FD92B03"/>
    <w:multiLevelType w:val="hybridMultilevel"/>
    <w:tmpl w:val="BE6A865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3" w15:restartNumberingAfterBreak="0">
    <w:nsid w:val="100074B4"/>
    <w:multiLevelType w:val="hybridMultilevel"/>
    <w:tmpl w:val="E30CEB64"/>
    <w:lvl w:ilvl="0" w:tplc="0AB06D68">
      <w:start w:val="1"/>
      <w:numFmt w:val="bullet"/>
      <w:lvlText w:val="•"/>
      <w:lvlJc w:val="left"/>
      <w:pPr>
        <w:tabs>
          <w:tab w:val="num" w:pos="720"/>
        </w:tabs>
        <w:ind w:left="720" w:hanging="360"/>
      </w:pPr>
      <w:rPr>
        <w:rFonts w:ascii="Arial" w:hAnsi="Arial" w:hint="default"/>
      </w:rPr>
    </w:lvl>
    <w:lvl w:ilvl="1" w:tplc="9D9857E0" w:tentative="1">
      <w:start w:val="1"/>
      <w:numFmt w:val="bullet"/>
      <w:lvlText w:val="•"/>
      <w:lvlJc w:val="left"/>
      <w:pPr>
        <w:tabs>
          <w:tab w:val="num" w:pos="1440"/>
        </w:tabs>
        <w:ind w:left="1440" w:hanging="360"/>
      </w:pPr>
      <w:rPr>
        <w:rFonts w:ascii="Arial" w:hAnsi="Arial" w:hint="default"/>
      </w:rPr>
    </w:lvl>
    <w:lvl w:ilvl="2" w:tplc="8168F5BE" w:tentative="1">
      <w:start w:val="1"/>
      <w:numFmt w:val="bullet"/>
      <w:lvlText w:val="•"/>
      <w:lvlJc w:val="left"/>
      <w:pPr>
        <w:tabs>
          <w:tab w:val="num" w:pos="2160"/>
        </w:tabs>
        <w:ind w:left="2160" w:hanging="360"/>
      </w:pPr>
      <w:rPr>
        <w:rFonts w:ascii="Arial" w:hAnsi="Arial" w:hint="default"/>
      </w:rPr>
    </w:lvl>
    <w:lvl w:ilvl="3" w:tplc="002ACBCC" w:tentative="1">
      <w:start w:val="1"/>
      <w:numFmt w:val="bullet"/>
      <w:lvlText w:val="•"/>
      <w:lvlJc w:val="left"/>
      <w:pPr>
        <w:tabs>
          <w:tab w:val="num" w:pos="2880"/>
        </w:tabs>
        <w:ind w:left="2880" w:hanging="360"/>
      </w:pPr>
      <w:rPr>
        <w:rFonts w:ascii="Arial" w:hAnsi="Arial" w:hint="default"/>
      </w:rPr>
    </w:lvl>
    <w:lvl w:ilvl="4" w:tplc="E67A6770" w:tentative="1">
      <w:start w:val="1"/>
      <w:numFmt w:val="bullet"/>
      <w:lvlText w:val="•"/>
      <w:lvlJc w:val="left"/>
      <w:pPr>
        <w:tabs>
          <w:tab w:val="num" w:pos="3600"/>
        </w:tabs>
        <w:ind w:left="3600" w:hanging="360"/>
      </w:pPr>
      <w:rPr>
        <w:rFonts w:ascii="Arial" w:hAnsi="Arial" w:hint="default"/>
      </w:rPr>
    </w:lvl>
    <w:lvl w:ilvl="5" w:tplc="8CD42242" w:tentative="1">
      <w:start w:val="1"/>
      <w:numFmt w:val="bullet"/>
      <w:lvlText w:val="•"/>
      <w:lvlJc w:val="left"/>
      <w:pPr>
        <w:tabs>
          <w:tab w:val="num" w:pos="4320"/>
        </w:tabs>
        <w:ind w:left="4320" w:hanging="360"/>
      </w:pPr>
      <w:rPr>
        <w:rFonts w:ascii="Arial" w:hAnsi="Arial" w:hint="default"/>
      </w:rPr>
    </w:lvl>
    <w:lvl w:ilvl="6" w:tplc="8DA8123C" w:tentative="1">
      <w:start w:val="1"/>
      <w:numFmt w:val="bullet"/>
      <w:lvlText w:val="•"/>
      <w:lvlJc w:val="left"/>
      <w:pPr>
        <w:tabs>
          <w:tab w:val="num" w:pos="5040"/>
        </w:tabs>
        <w:ind w:left="5040" w:hanging="360"/>
      </w:pPr>
      <w:rPr>
        <w:rFonts w:ascii="Arial" w:hAnsi="Arial" w:hint="default"/>
      </w:rPr>
    </w:lvl>
    <w:lvl w:ilvl="7" w:tplc="D4B6D4DC" w:tentative="1">
      <w:start w:val="1"/>
      <w:numFmt w:val="bullet"/>
      <w:lvlText w:val="•"/>
      <w:lvlJc w:val="left"/>
      <w:pPr>
        <w:tabs>
          <w:tab w:val="num" w:pos="5760"/>
        </w:tabs>
        <w:ind w:left="5760" w:hanging="360"/>
      </w:pPr>
      <w:rPr>
        <w:rFonts w:ascii="Arial" w:hAnsi="Arial" w:hint="default"/>
      </w:rPr>
    </w:lvl>
    <w:lvl w:ilvl="8" w:tplc="BC4A1AF4"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105D60C4"/>
    <w:multiLevelType w:val="hybridMultilevel"/>
    <w:tmpl w:val="48C06D6C"/>
    <w:lvl w:ilvl="0" w:tplc="2AD23686">
      <w:start w:val="1"/>
      <w:numFmt w:val="bullet"/>
      <w:pStyle w:val="a"/>
      <w:lvlText w:val=""/>
      <w:lvlJc w:val="left"/>
      <w:pPr>
        <w:ind w:left="9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15:restartNumberingAfterBreak="0">
    <w:nsid w:val="10AA0379"/>
    <w:multiLevelType w:val="hybridMultilevel"/>
    <w:tmpl w:val="D6D40F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113446B"/>
    <w:multiLevelType w:val="multilevel"/>
    <w:tmpl w:val="12BE655A"/>
    <w:lvl w:ilvl="0">
      <w:start w:val="1"/>
      <w:numFmt w:val="decimal"/>
      <w:lvlText w:val="%1)"/>
      <w:lvlJc w:val="left"/>
      <w:pPr>
        <w:tabs>
          <w:tab w:val="num" w:pos="1069"/>
        </w:tabs>
        <w:ind w:left="1069" w:hanging="360"/>
      </w:p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47" w15:restartNumberingAfterBreak="0">
    <w:nsid w:val="11313628"/>
    <w:multiLevelType w:val="hybridMultilevel"/>
    <w:tmpl w:val="0ACEF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30C550D"/>
    <w:multiLevelType w:val="hybridMultilevel"/>
    <w:tmpl w:val="16A6669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3374BA8"/>
    <w:multiLevelType w:val="hybridMultilevel"/>
    <w:tmpl w:val="659A61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13794F9A"/>
    <w:multiLevelType w:val="hybridMultilevel"/>
    <w:tmpl w:val="296EBB5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14037E02"/>
    <w:multiLevelType w:val="hybridMultilevel"/>
    <w:tmpl w:val="B4107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42F7239"/>
    <w:multiLevelType w:val="multilevel"/>
    <w:tmpl w:val="6B42494C"/>
    <w:lvl w:ilvl="0">
      <w:start w:val="1"/>
      <w:numFmt w:val="decimal"/>
      <w:lvlText w:val="%1."/>
      <w:lvlJc w:val="left"/>
      <w:pPr>
        <w:ind w:left="502" w:hanging="360"/>
      </w:pPr>
      <w:rPr>
        <w:rFonts w:hint="default"/>
      </w:rPr>
    </w:lvl>
    <w:lvl w:ilvl="1">
      <w:start w:val="2"/>
      <w:numFmt w:val="decimal"/>
      <w:isLgl/>
      <w:lvlText w:val="%1.%2."/>
      <w:lvlJc w:val="left"/>
      <w:pPr>
        <w:ind w:left="798" w:hanging="585"/>
      </w:pPr>
      <w:rPr>
        <w:rFonts w:hint="default"/>
      </w:rPr>
    </w:lvl>
    <w:lvl w:ilvl="2">
      <w:start w:val="5"/>
      <w:numFmt w:val="decimal"/>
      <w:isLgl/>
      <w:lvlText w:val="%1.%2.%3."/>
      <w:lvlJc w:val="left"/>
      <w:pPr>
        <w:ind w:left="1004" w:hanging="720"/>
      </w:pPr>
      <w:rPr>
        <w:rFonts w:hint="default"/>
      </w:rPr>
    </w:lvl>
    <w:lvl w:ilvl="3">
      <w:start w:val="1"/>
      <w:numFmt w:val="decimal"/>
      <w:isLgl/>
      <w:lvlText w:val="%1.%2.%3.%4."/>
      <w:lvlJc w:val="left"/>
      <w:pPr>
        <w:ind w:left="1075"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77"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79" w:hanging="1440"/>
      </w:pPr>
      <w:rPr>
        <w:rFonts w:hint="default"/>
      </w:rPr>
    </w:lvl>
    <w:lvl w:ilvl="8">
      <w:start w:val="1"/>
      <w:numFmt w:val="decimal"/>
      <w:isLgl/>
      <w:lvlText w:val="%1.%2.%3.%4.%5.%6.%7.%8.%9."/>
      <w:lvlJc w:val="left"/>
      <w:pPr>
        <w:ind w:left="2510" w:hanging="1800"/>
      </w:pPr>
      <w:rPr>
        <w:rFonts w:hint="default"/>
      </w:rPr>
    </w:lvl>
  </w:abstractNum>
  <w:abstractNum w:abstractNumId="53" w15:restartNumberingAfterBreak="0">
    <w:nsid w:val="153242F3"/>
    <w:multiLevelType w:val="hybridMultilevel"/>
    <w:tmpl w:val="4F6AE4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163F1B45"/>
    <w:multiLevelType w:val="hybridMultilevel"/>
    <w:tmpl w:val="6C78B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6F57D17"/>
    <w:multiLevelType w:val="hybridMultilevel"/>
    <w:tmpl w:val="91806E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171C52BE"/>
    <w:multiLevelType w:val="hybridMultilevel"/>
    <w:tmpl w:val="E34ECE2C"/>
    <w:lvl w:ilvl="0" w:tplc="52FABE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15:restartNumberingAfterBreak="0">
    <w:nsid w:val="178E4FB1"/>
    <w:multiLevelType w:val="hybridMultilevel"/>
    <w:tmpl w:val="F5509A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18082E01"/>
    <w:multiLevelType w:val="hybridMultilevel"/>
    <w:tmpl w:val="0B3A2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8B750CE"/>
    <w:multiLevelType w:val="hybridMultilevel"/>
    <w:tmpl w:val="E25EE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9255EDC"/>
    <w:multiLevelType w:val="hybridMultilevel"/>
    <w:tmpl w:val="F04889CA"/>
    <w:lvl w:ilvl="0" w:tplc="504CF1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1ABE24B2"/>
    <w:multiLevelType w:val="hybridMultilevel"/>
    <w:tmpl w:val="E1D4317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AEC1080"/>
    <w:multiLevelType w:val="multilevel"/>
    <w:tmpl w:val="E230D3C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AF61062"/>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4" w15:restartNumberingAfterBreak="0">
    <w:nsid w:val="1AF73943"/>
    <w:multiLevelType w:val="hybridMultilevel"/>
    <w:tmpl w:val="01C41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BC33AC5"/>
    <w:multiLevelType w:val="hybridMultilevel"/>
    <w:tmpl w:val="A88C88C2"/>
    <w:lvl w:ilvl="0" w:tplc="8682C048">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66" w15:restartNumberingAfterBreak="0">
    <w:nsid w:val="1CB62D3D"/>
    <w:multiLevelType w:val="hybridMultilevel"/>
    <w:tmpl w:val="5AC47FFA"/>
    <w:lvl w:ilvl="0" w:tplc="0419000F">
      <w:start w:val="1"/>
      <w:numFmt w:val="bullet"/>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67" w15:restartNumberingAfterBreak="0">
    <w:nsid w:val="1D0C0A31"/>
    <w:multiLevelType w:val="hybridMultilevel"/>
    <w:tmpl w:val="E51E3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DA871A9"/>
    <w:multiLevelType w:val="hybridMultilevel"/>
    <w:tmpl w:val="60A65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DB567F2"/>
    <w:multiLevelType w:val="hybridMultilevel"/>
    <w:tmpl w:val="809C6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DDD6F7A"/>
    <w:multiLevelType w:val="hybridMultilevel"/>
    <w:tmpl w:val="B4A48EF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E432273"/>
    <w:multiLevelType w:val="hybridMultilevel"/>
    <w:tmpl w:val="B0AC2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ED34941"/>
    <w:multiLevelType w:val="hybridMultilevel"/>
    <w:tmpl w:val="5FBC03FC"/>
    <w:lvl w:ilvl="0" w:tplc="C3E25982">
      <w:start w:val="1"/>
      <w:numFmt w:val="decimal"/>
      <w:lvlText w:val="%1."/>
      <w:lvlJc w:val="left"/>
      <w:pPr>
        <w:ind w:left="1060" w:hanging="7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1EDF0E41"/>
    <w:multiLevelType w:val="hybridMultilevel"/>
    <w:tmpl w:val="1B0E4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EED2CD2"/>
    <w:multiLevelType w:val="hybridMultilevel"/>
    <w:tmpl w:val="8236E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F3E3951"/>
    <w:multiLevelType w:val="multilevel"/>
    <w:tmpl w:val="49E2D460"/>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6" w15:restartNumberingAfterBreak="0">
    <w:nsid w:val="1FC92CBC"/>
    <w:multiLevelType w:val="hybridMultilevel"/>
    <w:tmpl w:val="0DCC8EC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0E11FF9"/>
    <w:multiLevelType w:val="hybridMultilevel"/>
    <w:tmpl w:val="97D44F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20FA4456"/>
    <w:multiLevelType w:val="hybridMultilevel"/>
    <w:tmpl w:val="B8DA2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20FF163F"/>
    <w:multiLevelType w:val="hybridMultilevel"/>
    <w:tmpl w:val="685ABD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15:restartNumberingAfterBreak="0">
    <w:nsid w:val="213D6439"/>
    <w:multiLevelType w:val="hybridMultilevel"/>
    <w:tmpl w:val="67FA64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2166005B"/>
    <w:multiLevelType w:val="hybridMultilevel"/>
    <w:tmpl w:val="96EEC2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21F72B4D"/>
    <w:multiLevelType w:val="hybridMultilevel"/>
    <w:tmpl w:val="B6508FE4"/>
    <w:lvl w:ilvl="0" w:tplc="0419000F">
      <w:start w:val="1"/>
      <w:numFmt w:val="bullet"/>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83" w15:restartNumberingAfterBreak="0">
    <w:nsid w:val="22204C5C"/>
    <w:multiLevelType w:val="hybridMultilevel"/>
    <w:tmpl w:val="776CE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2FA79B0"/>
    <w:multiLevelType w:val="hybridMultilevel"/>
    <w:tmpl w:val="E4C6FF36"/>
    <w:lvl w:ilvl="0" w:tplc="04190001">
      <w:start w:val="1"/>
      <w:numFmt w:val="bullet"/>
      <w:lvlText w:val=""/>
      <w:lvlJc w:val="left"/>
      <w:pPr>
        <w:ind w:left="1777" w:hanging="360"/>
      </w:pPr>
      <w:rPr>
        <w:rFonts w:ascii="Symbol" w:hAnsi="Symbol" w:hint="default"/>
      </w:rPr>
    </w:lvl>
    <w:lvl w:ilvl="1" w:tplc="04190003">
      <w:start w:val="1"/>
      <w:numFmt w:val="bullet"/>
      <w:lvlText w:val="o"/>
      <w:lvlJc w:val="left"/>
      <w:pPr>
        <w:ind w:left="2487" w:hanging="360"/>
      </w:pPr>
      <w:rPr>
        <w:rFonts w:ascii="Courier New" w:hAnsi="Courier New" w:cs="Courier New" w:hint="default"/>
      </w:rPr>
    </w:lvl>
    <w:lvl w:ilvl="2" w:tplc="04190003">
      <w:start w:val="1"/>
      <w:numFmt w:val="bullet"/>
      <w:lvlText w:val="o"/>
      <w:lvlJc w:val="left"/>
      <w:pPr>
        <w:ind w:left="1440" w:hanging="360"/>
      </w:pPr>
      <w:rPr>
        <w:rFonts w:ascii="Courier New" w:hAnsi="Courier New" w:cs="Courier New" w:hint="default"/>
      </w:rPr>
    </w:lvl>
    <w:lvl w:ilvl="3" w:tplc="04190001" w:tentative="1">
      <w:start w:val="1"/>
      <w:numFmt w:val="bullet"/>
      <w:lvlText w:val=""/>
      <w:lvlJc w:val="left"/>
      <w:pPr>
        <w:ind w:left="3937" w:hanging="360"/>
      </w:pPr>
      <w:rPr>
        <w:rFonts w:ascii="Symbol" w:hAnsi="Symbol" w:hint="default"/>
      </w:rPr>
    </w:lvl>
    <w:lvl w:ilvl="4" w:tplc="04190003" w:tentative="1">
      <w:start w:val="1"/>
      <w:numFmt w:val="bullet"/>
      <w:lvlText w:val="o"/>
      <w:lvlJc w:val="left"/>
      <w:pPr>
        <w:ind w:left="4657" w:hanging="360"/>
      </w:pPr>
      <w:rPr>
        <w:rFonts w:ascii="Courier New" w:hAnsi="Courier New" w:cs="Courier New" w:hint="default"/>
      </w:rPr>
    </w:lvl>
    <w:lvl w:ilvl="5" w:tplc="04190005" w:tentative="1">
      <w:start w:val="1"/>
      <w:numFmt w:val="bullet"/>
      <w:lvlText w:val=""/>
      <w:lvlJc w:val="left"/>
      <w:pPr>
        <w:ind w:left="5377" w:hanging="360"/>
      </w:pPr>
      <w:rPr>
        <w:rFonts w:ascii="Wingdings" w:hAnsi="Wingdings" w:hint="default"/>
      </w:rPr>
    </w:lvl>
    <w:lvl w:ilvl="6" w:tplc="04190001" w:tentative="1">
      <w:start w:val="1"/>
      <w:numFmt w:val="bullet"/>
      <w:lvlText w:val=""/>
      <w:lvlJc w:val="left"/>
      <w:pPr>
        <w:ind w:left="6097" w:hanging="360"/>
      </w:pPr>
      <w:rPr>
        <w:rFonts w:ascii="Symbol" w:hAnsi="Symbol" w:hint="default"/>
      </w:rPr>
    </w:lvl>
    <w:lvl w:ilvl="7" w:tplc="04190003" w:tentative="1">
      <w:start w:val="1"/>
      <w:numFmt w:val="bullet"/>
      <w:lvlText w:val="o"/>
      <w:lvlJc w:val="left"/>
      <w:pPr>
        <w:ind w:left="6817" w:hanging="360"/>
      </w:pPr>
      <w:rPr>
        <w:rFonts w:ascii="Courier New" w:hAnsi="Courier New" w:cs="Courier New" w:hint="default"/>
      </w:rPr>
    </w:lvl>
    <w:lvl w:ilvl="8" w:tplc="04190005" w:tentative="1">
      <w:start w:val="1"/>
      <w:numFmt w:val="bullet"/>
      <w:lvlText w:val=""/>
      <w:lvlJc w:val="left"/>
      <w:pPr>
        <w:ind w:left="7537" w:hanging="360"/>
      </w:pPr>
      <w:rPr>
        <w:rFonts w:ascii="Wingdings" w:hAnsi="Wingdings" w:hint="default"/>
      </w:rPr>
    </w:lvl>
  </w:abstractNum>
  <w:abstractNum w:abstractNumId="85" w15:restartNumberingAfterBreak="0">
    <w:nsid w:val="233978D9"/>
    <w:multiLevelType w:val="hybridMultilevel"/>
    <w:tmpl w:val="C78E15D6"/>
    <w:lvl w:ilvl="0" w:tplc="0456C786">
      <w:numFmt w:val="bullet"/>
      <w:lvlText w:val="•"/>
      <w:lvlJc w:val="left"/>
      <w:rPr>
        <w:rFonts w:ascii="Cambria Math" w:hAnsi="Cambria Math"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23437769"/>
    <w:multiLevelType w:val="hybridMultilevel"/>
    <w:tmpl w:val="63BEF63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258E74BE"/>
    <w:multiLevelType w:val="hybridMultilevel"/>
    <w:tmpl w:val="0AA268D6"/>
    <w:lvl w:ilvl="0" w:tplc="29E6D5D0">
      <w:start w:val="1"/>
      <w:numFmt w:val="decimal"/>
      <w:lvlText w:val="%1."/>
      <w:lvlJc w:val="left"/>
      <w:pPr>
        <w:ind w:left="1109" w:hanging="4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15:restartNumberingAfterBreak="0">
    <w:nsid w:val="25EC195C"/>
    <w:multiLevelType w:val="hybridMultilevel"/>
    <w:tmpl w:val="4D82F190"/>
    <w:styleLink w:val="1ai1"/>
    <w:lvl w:ilvl="0" w:tplc="29A64A5E">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89" w15:restartNumberingAfterBreak="0">
    <w:nsid w:val="26001ACC"/>
    <w:multiLevelType w:val="hybridMultilevel"/>
    <w:tmpl w:val="83F0F3F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0" w15:restartNumberingAfterBreak="0">
    <w:nsid w:val="266A5A47"/>
    <w:multiLevelType w:val="hybridMultilevel"/>
    <w:tmpl w:val="DD6887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26E55635"/>
    <w:multiLevelType w:val="hybridMultilevel"/>
    <w:tmpl w:val="EBCC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27274BBC"/>
    <w:multiLevelType w:val="hybridMultilevel"/>
    <w:tmpl w:val="AB6CD2E6"/>
    <w:lvl w:ilvl="0" w:tplc="1A5EEBF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27B03510"/>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4" w15:restartNumberingAfterBreak="0">
    <w:nsid w:val="28E51F7D"/>
    <w:multiLevelType w:val="hybridMultilevel"/>
    <w:tmpl w:val="4FD89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29845A96"/>
    <w:multiLevelType w:val="hybridMultilevel"/>
    <w:tmpl w:val="E0AE17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6" w15:restartNumberingAfterBreak="0">
    <w:nsid w:val="29862D22"/>
    <w:multiLevelType w:val="hybridMultilevel"/>
    <w:tmpl w:val="CC903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2A180DC9"/>
    <w:multiLevelType w:val="hybridMultilevel"/>
    <w:tmpl w:val="C14C1B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8" w15:restartNumberingAfterBreak="0">
    <w:nsid w:val="2A203B18"/>
    <w:multiLevelType w:val="hybridMultilevel"/>
    <w:tmpl w:val="9918B3A0"/>
    <w:lvl w:ilvl="0" w:tplc="63BA4DF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9" w15:restartNumberingAfterBreak="0">
    <w:nsid w:val="2A6A6397"/>
    <w:multiLevelType w:val="hybridMultilevel"/>
    <w:tmpl w:val="AC64127C"/>
    <w:lvl w:ilvl="0" w:tplc="64FA2BD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2AB52F31"/>
    <w:multiLevelType w:val="hybridMultilevel"/>
    <w:tmpl w:val="3B989FD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2ACB6068"/>
    <w:multiLevelType w:val="hybridMultilevel"/>
    <w:tmpl w:val="186A0532"/>
    <w:lvl w:ilvl="0" w:tplc="38C65AF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2" w15:restartNumberingAfterBreak="0">
    <w:nsid w:val="2B230778"/>
    <w:multiLevelType w:val="hybridMultilevel"/>
    <w:tmpl w:val="7D104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2B657FF0"/>
    <w:multiLevelType w:val="hybridMultilevel"/>
    <w:tmpl w:val="CDB2AB66"/>
    <w:styleLink w:val="11111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B8E0F97"/>
    <w:multiLevelType w:val="hybridMultilevel"/>
    <w:tmpl w:val="A8184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2C585995"/>
    <w:multiLevelType w:val="hybridMultilevel"/>
    <w:tmpl w:val="C66A7C86"/>
    <w:lvl w:ilvl="0" w:tplc="728ABAA4">
      <w:start w:val="1"/>
      <w:numFmt w:val="bullet"/>
      <w:lvlText w:val=""/>
      <w:lvlJc w:val="left"/>
      <w:pPr>
        <w:ind w:left="720" w:hanging="360"/>
      </w:pPr>
      <w:rPr>
        <w:rFonts w:ascii="Symbol" w:hAnsi="Symbol" w:cs="Symbol" w:hint="default"/>
      </w:rPr>
    </w:lvl>
    <w:lvl w:ilvl="1" w:tplc="C8A2AB44">
      <w:start w:val="1"/>
      <w:numFmt w:val="bullet"/>
      <w:lvlText w:val="o"/>
      <w:lvlJc w:val="left"/>
      <w:pPr>
        <w:ind w:left="1440" w:hanging="360"/>
      </w:pPr>
      <w:rPr>
        <w:rFonts w:ascii="Courier New" w:hAnsi="Courier New" w:cs="Courier New" w:hint="default"/>
      </w:rPr>
    </w:lvl>
    <w:lvl w:ilvl="2" w:tplc="D16C9390">
      <w:start w:val="1"/>
      <w:numFmt w:val="bullet"/>
      <w:lvlText w:val=""/>
      <w:lvlJc w:val="left"/>
      <w:pPr>
        <w:ind w:left="2160" w:hanging="360"/>
      </w:pPr>
      <w:rPr>
        <w:rFonts w:ascii="Wingdings" w:hAnsi="Wingdings" w:cs="Wingdings" w:hint="default"/>
      </w:rPr>
    </w:lvl>
    <w:lvl w:ilvl="3" w:tplc="86B445C4">
      <w:start w:val="1"/>
      <w:numFmt w:val="bullet"/>
      <w:lvlText w:val=""/>
      <w:lvlJc w:val="left"/>
      <w:pPr>
        <w:ind w:left="2880" w:hanging="360"/>
      </w:pPr>
      <w:rPr>
        <w:rFonts w:ascii="Symbol" w:hAnsi="Symbol" w:cs="Symbol" w:hint="default"/>
      </w:rPr>
    </w:lvl>
    <w:lvl w:ilvl="4" w:tplc="0276BFF8">
      <w:start w:val="1"/>
      <w:numFmt w:val="bullet"/>
      <w:lvlText w:val="o"/>
      <w:lvlJc w:val="left"/>
      <w:pPr>
        <w:ind w:left="3600" w:hanging="360"/>
      </w:pPr>
      <w:rPr>
        <w:rFonts w:ascii="Courier New" w:hAnsi="Courier New" w:cs="Courier New" w:hint="default"/>
      </w:rPr>
    </w:lvl>
    <w:lvl w:ilvl="5" w:tplc="2EF4CFF0">
      <w:start w:val="1"/>
      <w:numFmt w:val="bullet"/>
      <w:lvlText w:val=""/>
      <w:lvlJc w:val="left"/>
      <w:pPr>
        <w:ind w:left="4320" w:hanging="360"/>
      </w:pPr>
      <w:rPr>
        <w:rFonts w:ascii="Wingdings" w:hAnsi="Wingdings" w:cs="Wingdings" w:hint="default"/>
      </w:rPr>
    </w:lvl>
    <w:lvl w:ilvl="6" w:tplc="C0C4C408">
      <w:start w:val="1"/>
      <w:numFmt w:val="bullet"/>
      <w:lvlText w:val=""/>
      <w:lvlJc w:val="left"/>
      <w:pPr>
        <w:ind w:left="5040" w:hanging="360"/>
      </w:pPr>
      <w:rPr>
        <w:rFonts w:ascii="Symbol" w:hAnsi="Symbol" w:cs="Symbol" w:hint="default"/>
      </w:rPr>
    </w:lvl>
    <w:lvl w:ilvl="7" w:tplc="EE00031E">
      <w:start w:val="1"/>
      <w:numFmt w:val="bullet"/>
      <w:lvlText w:val="o"/>
      <w:lvlJc w:val="left"/>
      <w:pPr>
        <w:ind w:left="5760" w:hanging="360"/>
      </w:pPr>
      <w:rPr>
        <w:rFonts w:ascii="Courier New" w:hAnsi="Courier New" w:cs="Courier New" w:hint="default"/>
      </w:rPr>
    </w:lvl>
    <w:lvl w:ilvl="8" w:tplc="E01660BA">
      <w:start w:val="1"/>
      <w:numFmt w:val="bullet"/>
      <w:lvlText w:val=""/>
      <w:lvlJc w:val="left"/>
      <w:pPr>
        <w:ind w:left="6480" w:hanging="360"/>
      </w:pPr>
      <w:rPr>
        <w:rFonts w:ascii="Wingdings" w:hAnsi="Wingdings" w:cs="Wingdings" w:hint="default"/>
      </w:rPr>
    </w:lvl>
  </w:abstractNum>
  <w:abstractNum w:abstractNumId="106" w15:restartNumberingAfterBreak="0">
    <w:nsid w:val="2C9F7B5D"/>
    <w:multiLevelType w:val="hybridMultilevel"/>
    <w:tmpl w:val="F52C27E2"/>
    <w:lvl w:ilvl="0" w:tplc="04190001">
      <w:start w:val="1"/>
      <w:numFmt w:val="bullet"/>
      <w:lvlText w:val=""/>
      <w:lvlJc w:val="left"/>
      <w:pPr>
        <w:ind w:left="504" w:hanging="360"/>
      </w:pPr>
      <w:rPr>
        <w:rFonts w:ascii="Symbol" w:hAnsi="Symbol" w:hint="default"/>
      </w:rPr>
    </w:lvl>
    <w:lvl w:ilvl="1" w:tplc="04190003" w:tentative="1">
      <w:start w:val="1"/>
      <w:numFmt w:val="bullet"/>
      <w:lvlText w:val="o"/>
      <w:lvlJc w:val="left"/>
      <w:pPr>
        <w:ind w:left="1224" w:hanging="360"/>
      </w:pPr>
      <w:rPr>
        <w:rFonts w:ascii="Courier New" w:hAnsi="Courier New" w:cs="Courier New" w:hint="default"/>
      </w:rPr>
    </w:lvl>
    <w:lvl w:ilvl="2" w:tplc="04190005" w:tentative="1">
      <w:start w:val="1"/>
      <w:numFmt w:val="bullet"/>
      <w:lvlText w:val=""/>
      <w:lvlJc w:val="left"/>
      <w:pPr>
        <w:ind w:left="1944" w:hanging="360"/>
      </w:pPr>
      <w:rPr>
        <w:rFonts w:ascii="Wingdings" w:hAnsi="Wingdings" w:hint="default"/>
      </w:rPr>
    </w:lvl>
    <w:lvl w:ilvl="3" w:tplc="04190001" w:tentative="1">
      <w:start w:val="1"/>
      <w:numFmt w:val="bullet"/>
      <w:lvlText w:val=""/>
      <w:lvlJc w:val="left"/>
      <w:pPr>
        <w:ind w:left="2664" w:hanging="360"/>
      </w:pPr>
      <w:rPr>
        <w:rFonts w:ascii="Symbol" w:hAnsi="Symbol" w:hint="default"/>
      </w:rPr>
    </w:lvl>
    <w:lvl w:ilvl="4" w:tplc="04190003" w:tentative="1">
      <w:start w:val="1"/>
      <w:numFmt w:val="bullet"/>
      <w:lvlText w:val="o"/>
      <w:lvlJc w:val="left"/>
      <w:pPr>
        <w:ind w:left="3384" w:hanging="360"/>
      </w:pPr>
      <w:rPr>
        <w:rFonts w:ascii="Courier New" w:hAnsi="Courier New" w:cs="Courier New" w:hint="default"/>
      </w:rPr>
    </w:lvl>
    <w:lvl w:ilvl="5" w:tplc="04190005" w:tentative="1">
      <w:start w:val="1"/>
      <w:numFmt w:val="bullet"/>
      <w:lvlText w:val=""/>
      <w:lvlJc w:val="left"/>
      <w:pPr>
        <w:ind w:left="4104" w:hanging="360"/>
      </w:pPr>
      <w:rPr>
        <w:rFonts w:ascii="Wingdings" w:hAnsi="Wingdings" w:hint="default"/>
      </w:rPr>
    </w:lvl>
    <w:lvl w:ilvl="6" w:tplc="04190001" w:tentative="1">
      <w:start w:val="1"/>
      <w:numFmt w:val="bullet"/>
      <w:lvlText w:val=""/>
      <w:lvlJc w:val="left"/>
      <w:pPr>
        <w:ind w:left="4824" w:hanging="360"/>
      </w:pPr>
      <w:rPr>
        <w:rFonts w:ascii="Symbol" w:hAnsi="Symbol" w:hint="default"/>
      </w:rPr>
    </w:lvl>
    <w:lvl w:ilvl="7" w:tplc="04190003" w:tentative="1">
      <w:start w:val="1"/>
      <w:numFmt w:val="bullet"/>
      <w:lvlText w:val="o"/>
      <w:lvlJc w:val="left"/>
      <w:pPr>
        <w:ind w:left="5544" w:hanging="360"/>
      </w:pPr>
      <w:rPr>
        <w:rFonts w:ascii="Courier New" w:hAnsi="Courier New" w:cs="Courier New" w:hint="default"/>
      </w:rPr>
    </w:lvl>
    <w:lvl w:ilvl="8" w:tplc="04190005" w:tentative="1">
      <w:start w:val="1"/>
      <w:numFmt w:val="bullet"/>
      <w:lvlText w:val=""/>
      <w:lvlJc w:val="left"/>
      <w:pPr>
        <w:ind w:left="6264" w:hanging="360"/>
      </w:pPr>
      <w:rPr>
        <w:rFonts w:ascii="Wingdings" w:hAnsi="Wingdings" w:hint="default"/>
      </w:rPr>
    </w:lvl>
  </w:abstractNum>
  <w:abstractNum w:abstractNumId="107" w15:restartNumberingAfterBreak="0">
    <w:nsid w:val="2CA15120"/>
    <w:multiLevelType w:val="hybridMultilevel"/>
    <w:tmpl w:val="BC3AAA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8" w15:restartNumberingAfterBreak="0">
    <w:nsid w:val="2CAB5E62"/>
    <w:multiLevelType w:val="hybridMultilevel"/>
    <w:tmpl w:val="60DC6A4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2D4D1BA9"/>
    <w:multiLevelType w:val="hybridMultilevel"/>
    <w:tmpl w:val="CCC2A93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2DC05429"/>
    <w:multiLevelType w:val="hybridMultilevel"/>
    <w:tmpl w:val="D2F21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2E99702F"/>
    <w:multiLevelType w:val="hybridMultilevel"/>
    <w:tmpl w:val="F462DD2C"/>
    <w:lvl w:ilvl="0" w:tplc="0BEA7B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2" w15:restartNumberingAfterBreak="0">
    <w:nsid w:val="2F005901"/>
    <w:multiLevelType w:val="multilevel"/>
    <w:tmpl w:val="66E0365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3" w15:restartNumberingAfterBreak="0">
    <w:nsid w:val="2F047352"/>
    <w:multiLevelType w:val="hybridMultilevel"/>
    <w:tmpl w:val="BCD4AE86"/>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4" w15:restartNumberingAfterBreak="0">
    <w:nsid w:val="2F50420A"/>
    <w:multiLevelType w:val="hybridMultilevel"/>
    <w:tmpl w:val="86448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0393A78"/>
    <w:multiLevelType w:val="hybridMultilevel"/>
    <w:tmpl w:val="A468B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307F2DBF"/>
    <w:multiLevelType w:val="hybridMultilevel"/>
    <w:tmpl w:val="45C4F31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17" w15:restartNumberingAfterBreak="0">
    <w:nsid w:val="30E86D49"/>
    <w:multiLevelType w:val="hybridMultilevel"/>
    <w:tmpl w:val="913AC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315C42B1"/>
    <w:multiLevelType w:val="hybridMultilevel"/>
    <w:tmpl w:val="64904FC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9" w15:restartNumberingAfterBreak="0">
    <w:nsid w:val="31635227"/>
    <w:multiLevelType w:val="hybridMultilevel"/>
    <w:tmpl w:val="C2D4C02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0" w15:restartNumberingAfterBreak="0">
    <w:nsid w:val="328A218F"/>
    <w:multiLevelType w:val="hybridMultilevel"/>
    <w:tmpl w:val="215072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1" w15:restartNumberingAfterBreak="0">
    <w:nsid w:val="32D002B2"/>
    <w:multiLevelType w:val="hybridMultilevel"/>
    <w:tmpl w:val="D77E79D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2" w15:restartNumberingAfterBreak="0">
    <w:nsid w:val="33477A51"/>
    <w:multiLevelType w:val="hybridMultilevel"/>
    <w:tmpl w:val="D3363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334D4E75"/>
    <w:multiLevelType w:val="hybridMultilevel"/>
    <w:tmpl w:val="DEE0B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33A32DB3"/>
    <w:multiLevelType w:val="hybridMultilevel"/>
    <w:tmpl w:val="F1DC4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33AC1BDC"/>
    <w:multiLevelType w:val="hybridMultilevel"/>
    <w:tmpl w:val="D9B0DF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346B37C6"/>
    <w:multiLevelType w:val="hybridMultilevel"/>
    <w:tmpl w:val="14927E2C"/>
    <w:lvl w:ilvl="0" w:tplc="BFFE2E26">
      <w:start w:val="1"/>
      <w:numFmt w:val="bullet"/>
      <w:lvlText w:val="•"/>
      <w:lvlJc w:val="left"/>
      <w:pPr>
        <w:ind w:left="720" w:hanging="360"/>
      </w:pPr>
      <w:rPr>
        <w:rFonts w:ascii="Arial" w:hAnsi="Aria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7" w15:restartNumberingAfterBreak="0">
    <w:nsid w:val="35BB0925"/>
    <w:multiLevelType w:val="hybridMultilevel"/>
    <w:tmpl w:val="270657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360945F5"/>
    <w:multiLevelType w:val="hybridMultilevel"/>
    <w:tmpl w:val="0B727090"/>
    <w:lvl w:ilvl="0" w:tplc="04190011">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129" w15:restartNumberingAfterBreak="0">
    <w:nsid w:val="37AC6E4B"/>
    <w:multiLevelType w:val="hybridMultilevel"/>
    <w:tmpl w:val="C11A92B4"/>
    <w:lvl w:ilvl="0" w:tplc="04190001">
      <w:start w:val="1"/>
      <w:numFmt w:val="bullet"/>
      <w:lvlText w:val=""/>
      <w:lvlJc w:val="left"/>
      <w:pPr>
        <w:ind w:left="1429" w:hanging="360"/>
      </w:pPr>
      <w:rPr>
        <w:rFonts w:ascii="Symbol" w:hAnsi="Symbol" w:hint="default"/>
      </w:rPr>
    </w:lvl>
    <w:lvl w:ilvl="1" w:tplc="8676CE10">
      <w:start w:val="2"/>
      <w:numFmt w:val="bullet"/>
      <w:lvlText w:val="•"/>
      <w:lvlJc w:val="left"/>
      <w:pPr>
        <w:ind w:left="2509" w:hanging="72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38A42892"/>
    <w:multiLevelType w:val="hybridMultilevel"/>
    <w:tmpl w:val="4CDAC1EE"/>
    <w:lvl w:ilvl="0" w:tplc="04190001">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131" w15:restartNumberingAfterBreak="0">
    <w:nsid w:val="38EF7B49"/>
    <w:multiLevelType w:val="hybridMultilevel"/>
    <w:tmpl w:val="043A837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38F66456"/>
    <w:multiLevelType w:val="hybridMultilevel"/>
    <w:tmpl w:val="298AE7A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39B63A74"/>
    <w:multiLevelType w:val="hybridMultilevel"/>
    <w:tmpl w:val="E13C37CE"/>
    <w:lvl w:ilvl="0" w:tplc="A378BA5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3A6B6607"/>
    <w:multiLevelType w:val="hybridMultilevel"/>
    <w:tmpl w:val="E44CCE10"/>
    <w:lvl w:ilvl="0" w:tplc="0419000F">
      <w:start w:val="1"/>
      <w:numFmt w:val="bullet"/>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135" w15:restartNumberingAfterBreak="0">
    <w:nsid w:val="3AEE74B1"/>
    <w:multiLevelType w:val="hybridMultilevel"/>
    <w:tmpl w:val="D1702BF8"/>
    <w:lvl w:ilvl="0" w:tplc="2FC2A5E6">
      <w:start w:val="1"/>
      <w:numFmt w:val="bullet"/>
      <w:lvlText w:val="•"/>
      <w:lvlJc w:val="left"/>
      <w:pPr>
        <w:tabs>
          <w:tab w:val="num" w:pos="720"/>
        </w:tabs>
        <w:ind w:left="720" w:hanging="360"/>
      </w:pPr>
      <w:rPr>
        <w:rFonts w:ascii="Arial" w:hAnsi="Arial" w:hint="default"/>
      </w:rPr>
    </w:lvl>
    <w:lvl w:ilvl="1" w:tplc="00C842DC" w:tentative="1">
      <w:start w:val="1"/>
      <w:numFmt w:val="bullet"/>
      <w:lvlText w:val="•"/>
      <w:lvlJc w:val="left"/>
      <w:pPr>
        <w:tabs>
          <w:tab w:val="num" w:pos="1440"/>
        </w:tabs>
        <w:ind w:left="1440" w:hanging="360"/>
      </w:pPr>
      <w:rPr>
        <w:rFonts w:ascii="Arial" w:hAnsi="Arial" w:hint="default"/>
      </w:rPr>
    </w:lvl>
    <w:lvl w:ilvl="2" w:tplc="5106BF54" w:tentative="1">
      <w:start w:val="1"/>
      <w:numFmt w:val="bullet"/>
      <w:lvlText w:val="•"/>
      <w:lvlJc w:val="left"/>
      <w:pPr>
        <w:tabs>
          <w:tab w:val="num" w:pos="2160"/>
        </w:tabs>
        <w:ind w:left="2160" w:hanging="360"/>
      </w:pPr>
      <w:rPr>
        <w:rFonts w:ascii="Arial" w:hAnsi="Arial" w:hint="default"/>
      </w:rPr>
    </w:lvl>
    <w:lvl w:ilvl="3" w:tplc="80886C6E" w:tentative="1">
      <w:start w:val="1"/>
      <w:numFmt w:val="bullet"/>
      <w:lvlText w:val="•"/>
      <w:lvlJc w:val="left"/>
      <w:pPr>
        <w:tabs>
          <w:tab w:val="num" w:pos="2880"/>
        </w:tabs>
        <w:ind w:left="2880" w:hanging="360"/>
      </w:pPr>
      <w:rPr>
        <w:rFonts w:ascii="Arial" w:hAnsi="Arial" w:hint="default"/>
      </w:rPr>
    </w:lvl>
    <w:lvl w:ilvl="4" w:tplc="367A6298" w:tentative="1">
      <w:start w:val="1"/>
      <w:numFmt w:val="bullet"/>
      <w:lvlText w:val="•"/>
      <w:lvlJc w:val="left"/>
      <w:pPr>
        <w:tabs>
          <w:tab w:val="num" w:pos="3600"/>
        </w:tabs>
        <w:ind w:left="3600" w:hanging="360"/>
      </w:pPr>
      <w:rPr>
        <w:rFonts w:ascii="Arial" w:hAnsi="Arial" w:hint="default"/>
      </w:rPr>
    </w:lvl>
    <w:lvl w:ilvl="5" w:tplc="DD06D10C" w:tentative="1">
      <w:start w:val="1"/>
      <w:numFmt w:val="bullet"/>
      <w:lvlText w:val="•"/>
      <w:lvlJc w:val="left"/>
      <w:pPr>
        <w:tabs>
          <w:tab w:val="num" w:pos="4320"/>
        </w:tabs>
        <w:ind w:left="4320" w:hanging="360"/>
      </w:pPr>
      <w:rPr>
        <w:rFonts w:ascii="Arial" w:hAnsi="Arial" w:hint="default"/>
      </w:rPr>
    </w:lvl>
    <w:lvl w:ilvl="6" w:tplc="746E3562" w:tentative="1">
      <w:start w:val="1"/>
      <w:numFmt w:val="bullet"/>
      <w:lvlText w:val="•"/>
      <w:lvlJc w:val="left"/>
      <w:pPr>
        <w:tabs>
          <w:tab w:val="num" w:pos="5040"/>
        </w:tabs>
        <w:ind w:left="5040" w:hanging="360"/>
      </w:pPr>
      <w:rPr>
        <w:rFonts w:ascii="Arial" w:hAnsi="Arial" w:hint="default"/>
      </w:rPr>
    </w:lvl>
    <w:lvl w:ilvl="7" w:tplc="4F3AE39C" w:tentative="1">
      <w:start w:val="1"/>
      <w:numFmt w:val="bullet"/>
      <w:lvlText w:val="•"/>
      <w:lvlJc w:val="left"/>
      <w:pPr>
        <w:tabs>
          <w:tab w:val="num" w:pos="5760"/>
        </w:tabs>
        <w:ind w:left="5760" w:hanging="360"/>
      </w:pPr>
      <w:rPr>
        <w:rFonts w:ascii="Arial" w:hAnsi="Arial" w:hint="default"/>
      </w:rPr>
    </w:lvl>
    <w:lvl w:ilvl="8" w:tplc="7EC821FE" w:tentative="1">
      <w:start w:val="1"/>
      <w:numFmt w:val="bullet"/>
      <w:lvlText w:val="•"/>
      <w:lvlJc w:val="left"/>
      <w:pPr>
        <w:tabs>
          <w:tab w:val="num" w:pos="6480"/>
        </w:tabs>
        <w:ind w:left="6480" w:hanging="360"/>
      </w:pPr>
      <w:rPr>
        <w:rFonts w:ascii="Arial" w:hAnsi="Arial" w:hint="default"/>
      </w:rPr>
    </w:lvl>
  </w:abstractNum>
  <w:abstractNum w:abstractNumId="136" w15:restartNumberingAfterBreak="0">
    <w:nsid w:val="3C5C4AAA"/>
    <w:multiLevelType w:val="hybridMultilevel"/>
    <w:tmpl w:val="BF06C0B0"/>
    <w:lvl w:ilvl="0" w:tplc="6AFCAB1E">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3D3B3E26"/>
    <w:multiLevelType w:val="hybridMultilevel"/>
    <w:tmpl w:val="9460D1A8"/>
    <w:lvl w:ilvl="0" w:tplc="93E8D15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8" w15:restartNumberingAfterBreak="0">
    <w:nsid w:val="3E200F46"/>
    <w:multiLevelType w:val="hybridMultilevel"/>
    <w:tmpl w:val="50068776"/>
    <w:lvl w:ilvl="0" w:tplc="64569F7E">
      <w:start w:val="1"/>
      <w:numFmt w:val="bullet"/>
      <w:lvlText w:val="•"/>
      <w:lvlJc w:val="left"/>
      <w:pPr>
        <w:tabs>
          <w:tab w:val="num" w:pos="720"/>
        </w:tabs>
        <w:ind w:left="720" w:hanging="360"/>
      </w:pPr>
      <w:rPr>
        <w:rFonts w:ascii="Arial" w:hAnsi="Arial" w:hint="default"/>
      </w:rPr>
    </w:lvl>
    <w:lvl w:ilvl="1" w:tplc="33D27E1E" w:tentative="1">
      <w:start w:val="1"/>
      <w:numFmt w:val="bullet"/>
      <w:lvlText w:val="•"/>
      <w:lvlJc w:val="left"/>
      <w:pPr>
        <w:tabs>
          <w:tab w:val="num" w:pos="1440"/>
        </w:tabs>
        <w:ind w:left="1440" w:hanging="360"/>
      </w:pPr>
      <w:rPr>
        <w:rFonts w:ascii="Arial" w:hAnsi="Arial" w:hint="default"/>
      </w:rPr>
    </w:lvl>
    <w:lvl w:ilvl="2" w:tplc="AC7CB716" w:tentative="1">
      <w:start w:val="1"/>
      <w:numFmt w:val="bullet"/>
      <w:lvlText w:val="•"/>
      <w:lvlJc w:val="left"/>
      <w:pPr>
        <w:tabs>
          <w:tab w:val="num" w:pos="2160"/>
        </w:tabs>
        <w:ind w:left="2160" w:hanging="360"/>
      </w:pPr>
      <w:rPr>
        <w:rFonts w:ascii="Arial" w:hAnsi="Arial" w:hint="default"/>
      </w:rPr>
    </w:lvl>
    <w:lvl w:ilvl="3" w:tplc="7158BAF0" w:tentative="1">
      <w:start w:val="1"/>
      <w:numFmt w:val="bullet"/>
      <w:lvlText w:val="•"/>
      <w:lvlJc w:val="left"/>
      <w:pPr>
        <w:tabs>
          <w:tab w:val="num" w:pos="2880"/>
        </w:tabs>
        <w:ind w:left="2880" w:hanging="360"/>
      </w:pPr>
      <w:rPr>
        <w:rFonts w:ascii="Arial" w:hAnsi="Arial" w:hint="default"/>
      </w:rPr>
    </w:lvl>
    <w:lvl w:ilvl="4" w:tplc="FD7C29BC" w:tentative="1">
      <w:start w:val="1"/>
      <w:numFmt w:val="bullet"/>
      <w:lvlText w:val="•"/>
      <w:lvlJc w:val="left"/>
      <w:pPr>
        <w:tabs>
          <w:tab w:val="num" w:pos="3600"/>
        </w:tabs>
        <w:ind w:left="3600" w:hanging="360"/>
      </w:pPr>
      <w:rPr>
        <w:rFonts w:ascii="Arial" w:hAnsi="Arial" w:hint="default"/>
      </w:rPr>
    </w:lvl>
    <w:lvl w:ilvl="5" w:tplc="7CA2D29A" w:tentative="1">
      <w:start w:val="1"/>
      <w:numFmt w:val="bullet"/>
      <w:lvlText w:val="•"/>
      <w:lvlJc w:val="left"/>
      <w:pPr>
        <w:tabs>
          <w:tab w:val="num" w:pos="4320"/>
        </w:tabs>
        <w:ind w:left="4320" w:hanging="360"/>
      </w:pPr>
      <w:rPr>
        <w:rFonts w:ascii="Arial" w:hAnsi="Arial" w:hint="default"/>
      </w:rPr>
    </w:lvl>
    <w:lvl w:ilvl="6" w:tplc="E2988B64" w:tentative="1">
      <w:start w:val="1"/>
      <w:numFmt w:val="bullet"/>
      <w:lvlText w:val="•"/>
      <w:lvlJc w:val="left"/>
      <w:pPr>
        <w:tabs>
          <w:tab w:val="num" w:pos="5040"/>
        </w:tabs>
        <w:ind w:left="5040" w:hanging="360"/>
      </w:pPr>
      <w:rPr>
        <w:rFonts w:ascii="Arial" w:hAnsi="Arial" w:hint="default"/>
      </w:rPr>
    </w:lvl>
    <w:lvl w:ilvl="7" w:tplc="DF0EE008" w:tentative="1">
      <w:start w:val="1"/>
      <w:numFmt w:val="bullet"/>
      <w:lvlText w:val="•"/>
      <w:lvlJc w:val="left"/>
      <w:pPr>
        <w:tabs>
          <w:tab w:val="num" w:pos="5760"/>
        </w:tabs>
        <w:ind w:left="5760" w:hanging="360"/>
      </w:pPr>
      <w:rPr>
        <w:rFonts w:ascii="Arial" w:hAnsi="Arial" w:hint="default"/>
      </w:rPr>
    </w:lvl>
    <w:lvl w:ilvl="8" w:tplc="1E1C805E"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3EAB7338"/>
    <w:multiLevelType w:val="hybridMultilevel"/>
    <w:tmpl w:val="458A317A"/>
    <w:lvl w:ilvl="0" w:tplc="AA62F688">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0" w15:restartNumberingAfterBreak="0">
    <w:nsid w:val="3EBB5F12"/>
    <w:multiLevelType w:val="hybridMultilevel"/>
    <w:tmpl w:val="F86E5E7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41" w15:restartNumberingAfterBreak="0">
    <w:nsid w:val="3F01408C"/>
    <w:multiLevelType w:val="hybridMultilevel"/>
    <w:tmpl w:val="E02ED63A"/>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42" w15:restartNumberingAfterBreak="0">
    <w:nsid w:val="3F7D6042"/>
    <w:multiLevelType w:val="hybridMultilevel"/>
    <w:tmpl w:val="FF4234C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43" w15:restartNumberingAfterBreak="0">
    <w:nsid w:val="40065B7D"/>
    <w:multiLevelType w:val="hybridMultilevel"/>
    <w:tmpl w:val="13EEE0DE"/>
    <w:lvl w:ilvl="0" w:tplc="0419000F">
      <w:start w:val="1"/>
      <w:numFmt w:val="bullet"/>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144" w15:restartNumberingAfterBreak="0">
    <w:nsid w:val="403D17B0"/>
    <w:multiLevelType w:val="hybridMultilevel"/>
    <w:tmpl w:val="13D0519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405C414E"/>
    <w:multiLevelType w:val="hybridMultilevel"/>
    <w:tmpl w:val="87483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40F00836"/>
    <w:multiLevelType w:val="hybridMultilevel"/>
    <w:tmpl w:val="488C873E"/>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7" w15:restartNumberingAfterBreak="0">
    <w:nsid w:val="412E44F8"/>
    <w:multiLevelType w:val="hybridMultilevel"/>
    <w:tmpl w:val="5A94606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15:restartNumberingAfterBreak="0">
    <w:nsid w:val="41F926C8"/>
    <w:multiLevelType w:val="hybridMultilevel"/>
    <w:tmpl w:val="967C8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42991DAF"/>
    <w:multiLevelType w:val="multilevel"/>
    <w:tmpl w:val="0ADC0DB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0" w15:restartNumberingAfterBreak="0">
    <w:nsid w:val="43265C3D"/>
    <w:multiLevelType w:val="hybridMultilevel"/>
    <w:tmpl w:val="A3662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436671F2"/>
    <w:multiLevelType w:val="hybridMultilevel"/>
    <w:tmpl w:val="589CD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43752FBF"/>
    <w:multiLevelType w:val="hybridMultilevel"/>
    <w:tmpl w:val="DE0650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3" w15:restartNumberingAfterBreak="0">
    <w:nsid w:val="440C4110"/>
    <w:multiLevelType w:val="hybridMultilevel"/>
    <w:tmpl w:val="A87ACD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46F431F7"/>
    <w:multiLevelType w:val="hybridMultilevel"/>
    <w:tmpl w:val="11C03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47497BE7"/>
    <w:multiLevelType w:val="hybridMultilevel"/>
    <w:tmpl w:val="531CB4D6"/>
    <w:lvl w:ilvl="0" w:tplc="04190001">
      <w:start w:val="1"/>
      <w:numFmt w:val="bullet"/>
      <w:lvlText w:val=""/>
      <w:lvlJc w:val="left"/>
      <w:pPr>
        <w:ind w:left="1069" w:hanging="360"/>
      </w:pPr>
      <w:rPr>
        <w:rFonts w:ascii="Symbol" w:hAnsi="Symbol" w:hint="default"/>
      </w:rPr>
    </w:lvl>
    <w:lvl w:ilvl="1" w:tplc="04190001">
      <w:start w:val="1"/>
      <w:numFmt w:val="bullet"/>
      <w:lvlText w:val=""/>
      <w:lvlJc w:val="left"/>
      <w:pPr>
        <w:ind w:left="2134" w:hanging="705"/>
      </w:pPr>
      <w:rPr>
        <w:rFonts w:ascii="Symbol" w:hAnsi="Symbol"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6" w15:restartNumberingAfterBreak="0">
    <w:nsid w:val="474E3A23"/>
    <w:multiLevelType w:val="hybridMultilevel"/>
    <w:tmpl w:val="2CB0D6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47500D16"/>
    <w:multiLevelType w:val="hybridMultilevel"/>
    <w:tmpl w:val="D312DB6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47803458"/>
    <w:multiLevelType w:val="multilevel"/>
    <w:tmpl w:val="E0804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8"/>
      <w:numFmt w:val="bullet"/>
      <w:lvlText w:val=""/>
      <w:lvlJc w:val="left"/>
      <w:pPr>
        <w:ind w:left="2160" w:hanging="360"/>
      </w:pPr>
      <w:rPr>
        <w:rFonts w:ascii="Wingdings" w:eastAsiaTheme="minorHAnsi" w:hAnsi="Wingdings"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7E14443"/>
    <w:multiLevelType w:val="hybridMultilevel"/>
    <w:tmpl w:val="EE26E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47F836B7"/>
    <w:multiLevelType w:val="hybridMultilevel"/>
    <w:tmpl w:val="C8284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480F1C15"/>
    <w:multiLevelType w:val="multilevel"/>
    <w:tmpl w:val="32B6D122"/>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62" w15:restartNumberingAfterBreak="0">
    <w:nsid w:val="48A1119A"/>
    <w:multiLevelType w:val="hybridMultilevel"/>
    <w:tmpl w:val="EC341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48CC0A55"/>
    <w:multiLevelType w:val="hybridMultilevel"/>
    <w:tmpl w:val="13225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49AF70B8"/>
    <w:multiLevelType w:val="hybridMultilevel"/>
    <w:tmpl w:val="1EFC1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4AA610D1"/>
    <w:multiLevelType w:val="hybridMultilevel"/>
    <w:tmpl w:val="C75EF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4AE857F8"/>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7" w15:restartNumberingAfterBreak="0">
    <w:nsid w:val="4AEF0A1E"/>
    <w:multiLevelType w:val="hybridMultilevel"/>
    <w:tmpl w:val="86C254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15:restartNumberingAfterBreak="0">
    <w:nsid w:val="4B912FC9"/>
    <w:multiLevelType w:val="hybridMultilevel"/>
    <w:tmpl w:val="F8BE31C4"/>
    <w:styleLink w:val="1"/>
    <w:lvl w:ilvl="0" w:tplc="B97EBB6A">
      <w:start w:val="1"/>
      <w:numFmt w:val="bullet"/>
      <w:lvlText w:val="·"/>
      <w:lvlJc w:val="left"/>
      <w:pPr>
        <w:ind w:left="967"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182848">
      <w:start w:val="1"/>
      <w:numFmt w:val="bullet"/>
      <w:lvlText w:val="o"/>
      <w:lvlJc w:val="left"/>
      <w:pPr>
        <w:tabs>
          <w:tab w:val="num" w:pos="1761"/>
        </w:tabs>
        <w:ind w:left="1364" w:firstLine="15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0ECE9D2">
      <w:start w:val="1"/>
      <w:numFmt w:val="bullet"/>
      <w:lvlText w:val="▪"/>
      <w:lvlJc w:val="left"/>
      <w:pPr>
        <w:ind w:left="219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745518">
      <w:start w:val="1"/>
      <w:numFmt w:val="bullet"/>
      <w:lvlText w:val="·"/>
      <w:lvlJc w:val="left"/>
      <w:pPr>
        <w:ind w:left="2914"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B2730C">
      <w:start w:val="1"/>
      <w:numFmt w:val="bullet"/>
      <w:lvlText w:val="o"/>
      <w:lvlJc w:val="left"/>
      <w:pPr>
        <w:ind w:left="363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60F3CA">
      <w:start w:val="1"/>
      <w:numFmt w:val="bullet"/>
      <w:lvlText w:val="▪"/>
      <w:lvlJc w:val="left"/>
      <w:pPr>
        <w:ind w:left="435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03C1838">
      <w:start w:val="1"/>
      <w:numFmt w:val="bullet"/>
      <w:lvlText w:val="·"/>
      <w:lvlJc w:val="left"/>
      <w:pPr>
        <w:ind w:left="5074"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12015A">
      <w:start w:val="1"/>
      <w:numFmt w:val="bullet"/>
      <w:lvlText w:val="o"/>
      <w:lvlJc w:val="left"/>
      <w:pPr>
        <w:ind w:left="579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ACA0E84">
      <w:start w:val="1"/>
      <w:numFmt w:val="bullet"/>
      <w:lvlText w:val="▪"/>
      <w:lvlJc w:val="left"/>
      <w:pPr>
        <w:ind w:left="651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9" w15:restartNumberingAfterBreak="0">
    <w:nsid w:val="4BBF220D"/>
    <w:multiLevelType w:val="hybridMultilevel"/>
    <w:tmpl w:val="0FE66328"/>
    <w:lvl w:ilvl="0" w:tplc="04190001">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170" w15:restartNumberingAfterBreak="0">
    <w:nsid w:val="4C150BCE"/>
    <w:multiLevelType w:val="hybridMultilevel"/>
    <w:tmpl w:val="B57CFDE0"/>
    <w:lvl w:ilvl="0" w:tplc="234C896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4C6E52F0"/>
    <w:multiLevelType w:val="hybridMultilevel"/>
    <w:tmpl w:val="00F27DB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2" w15:restartNumberingAfterBreak="0">
    <w:nsid w:val="4D4633B7"/>
    <w:multiLevelType w:val="hybridMultilevel"/>
    <w:tmpl w:val="4E94F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4D477266"/>
    <w:multiLevelType w:val="hybridMultilevel"/>
    <w:tmpl w:val="EA68324C"/>
    <w:lvl w:ilvl="0" w:tplc="196A3E4A">
      <w:start w:val="1"/>
      <w:numFmt w:val="bullet"/>
      <w:lvlText w:val="•"/>
      <w:lvlJc w:val="left"/>
      <w:pPr>
        <w:tabs>
          <w:tab w:val="num" w:pos="720"/>
        </w:tabs>
        <w:ind w:left="720" w:hanging="360"/>
      </w:pPr>
      <w:rPr>
        <w:rFonts w:ascii="Arial" w:hAnsi="Arial" w:hint="default"/>
      </w:rPr>
    </w:lvl>
    <w:lvl w:ilvl="1" w:tplc="EB743F26" w:tentative="1">
      <w:start w:val="1"/>
      <w:numFmt w:val="bullet"/>
      <w:lvlText w:val="•"/>
      <w:lvlJc w:val="left"/>
      <w:pPr>
        <w:tabs>
          <w:tab w:val="num" w:pos="1440"/>
        </w:tabs>
        <w:ind w:left="1440" w:hanging="360"/>
      </w:pPr>
      <w:rPr>
        <w:rFonts w:ascii="Arial" w:hAnsi="Arial" w:hint="default"/>
      </w:rPr>
    </w:lvl>
    <w:lvl w:ilvl="2" w:tplc="25442FA2" w:tentative="1">
      <w:start w:val="1"/>
      <w:numFmt w:val="bullet"/>
      <w:lvlText w:val="•"/>
      <w:lvlJc w:val="left"/>
      <w:pPr>
        <w:tabs>
          <w:tab w:val="num" w:pos="2160"/>
        </w:tabs>
        <w:ind w:left="2160" w:hanging="360"/>
      </w:pPr>
      <w:rPr>
        <w:rFonts w:ascii="Arial" w:hAnsi="Arial" w:hint="default"/>
      </w:rPr>
    </w:lvl>
    <w:lvl w:ilvl="3" w:tplc="A5100978" w:tentative="1">
      <w:start w:val="1"/>
      <w:numFmt w:val="bullet"/>
      <w:lvlText w:val="•"/>
      <w:lvlJc w:val="left"/>
      <w:pPr>
        <w:tabs>
          <w:tab w:val="num" w:pos="2880"/>
        </w:tabs>
        <w:ind w:left="2880" w:hanging="360"/>
      </w:pPr>
      <w:rPr>
        <w:rFonts w:ascii="Arial" w:hAnsi="Arial" w:hint="default"/>
      </w:rPr>
    </w:lvl>
    <w:lvl w:ilvl="4" w:tplc="9708A15E" w:tentative="1">
      <w:start w:val="1"/>
      <w:numFmt w:val="bullet"/>
      <w:lvlText w:val="•"/>
      <w:lvlJc w:val="left"/>
      <w:pPr>
        <w:tabs>
          <w:tab w:val="num" w:pos="3600"/>
        </w:tabs>
        <w:ind w:left="3600" w:hanging="360"/>
      </w:pPr>
      <w:rPr>
        <w:rFonts w:ascii="Arial" w:hAnsi="Arial" w:hint="default"/>
      </w:rPr>
    </w:lvl>
    <w:lvl w:ilvl="5" w:tplc="4560E776" w:tentative="1">
      <w:start w:val="1"/>
      <w:numFmt w:val="bullet"/>
      <w:lvlText w:val="•"/>
      <w:lvlJc w:val="left"/>
      <w:pPr>
        <w:tabs>
          <w:tab w:val="num" w:pos="4320"/>
        </w:tabs>
        <w:ind w:left="4320" w:hanging="360"/>
      </w:pPr>
      <w:rPr>
        <w:rFonts w:ascii="Arial" w:hAnsi="Arial" w:hint="default"/>
      </w:rPr>
    </w:lvl>
    <w:lvl w:ilvl="6" w:tplc="38C43DA4" w:tentative="1">
      <w:start w:val="1"/>
      <w:numFmt w:val="bullet"/>
      <w:lvlText w:val="•"/>
      <w:lvlJc w:val="left"/>
      <w:pPr>
        <w:tabs>
          <w:tab w:val="num" w:pos="5040"/>
        </w:tabs>
        <w:ind w:left="5040" w:hanging="360"/>
      </w:pPr>
      <w:rPr>
        <w:rFonts w:ascii="Arial" w:hAnsi="Arial" w:hint="default"/>
      </w:rPr>
    </w:lvl>
    <w:lvl w:ilvl="7" w:tplc="306AC712" w:tentative="1">
      <w:start w:val="1"/>
      <w:numFmt w:val="bullet"/>
      <w:lvlText w:val="•"/>
      <w:lvlJc w:val="left"/>
      <w:pPr>
        <w:tabs>
          <w:tab w:val="num" w:pos="5760"/>
        </w:tabs>
        <w:ind w:left="5760" w:hanging="360"/>
      </w:pPr>
      <w:rPr>
        <w:rFonts w:ascii="Arial" w:hAnsi="Arial" w:hint="default"/>
      </w:rPr>
    </w:lvl>
    <w:lvl w:ilvl="8" w:tplc="81B6BAF4" w:tentative="1">
      <w:start w:val="1"/>
      <w:numFmt w:val="bullet"/>
      <w:lvlText w:val="•"/>
      <w:lvlJc w:val="left"/>
      <w:pPr>
        <w:tabs>
          <w:tab w:val="num" w:pos="6480"/>
        </w:tabs>
        <w:ind w:left="6480" w:hanging="360"/>
      </w:pPr>
      <w:rPr>
        <w:rFonts w:ascii="Arial" w:hAnsi="Arial" w:hint="default"/>
      </w:rPr>
    </w:lvl>
  </w:abstractNum>
  <w:abstractNum w:abstractNumId="174" w15:restartNumberingAfterBreak="0">
    <w:nsid w:val="4E002C25"/>
    <w:multiLevelType w:val="hybridMultilevel"/>
    <w:tmpl w:val="9E525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4ED33599"/>
    <w:multiLevelType w:val="multilevel"/>
    <w:tmpl w:val="F5BE2E16"/>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6" w15:restartNumberingAfterBreak="0">
    <w:nsid w:val="4EF30506"/>
    <w:multiLevelType w:val="multilevel"/>
    <w:tmpl w:val="E2FC6E58"/>
    <w:lvl w:ilvl="0">
      <w:start w:val="1"/>
      <w:numFmt w:val="bullet"/>
      <w:lvlText w:val=""/>
      <w:lvlJc w:val="left"/>
      <w:pPr>
        <w:ind w:left="720" w:hanging="360"/>
      </w:pPr>
      <w:rPr>
        <w:rFonts w:ascii="Symbol" w:hAnsi="Symbol" w:cs="Symbol" w:hint="default"/>
        <w:b w:val="0"/>
        <w:sz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4FE67E18"/>
    <w:multiLevelType w:val="hybridMultilevel"/>
    <w:tmpl w:val="505405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51003E57"/>
    <w:multiLevelType w:val="hybridMultilevel"/>
    <w:tmpl w:val="AA7602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51557028"/>
    <w:multiLevelType w:val="hybridMultilevel"/>
    <w:tmpl w:val="E0A83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51E0408F"/>
    <w:multiLevelType w:val="hybridMultilevel"/>
    <w:tmpl w:val="C5F624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15:restartNumberingAfterBreak="0">
    <w:nsid w:val="5236352A"/>
    <w:multiLevelType w:val="hybridMultilevel"/>
    <w:tmpl w:val="840E83A8"/>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2" w15:restartNumberingAfterBreak="0">
    <w:nsid w:val="54A15903"/>
    <w:multiLevelType w:val="hybridMultilevel"/>
    <w:tmpl w:val="974CA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5551501A"/>
    <w:multiLevelType w:val="hybridMultilevel"/>
    <w:tmpl w:val="9434FB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55DD441C"/>
    <w:multiLevelType w:val="hybridMultilevel"/>
    <w:tmpl w:val="C71CFD9E"/>
    <w:lvl w:ilvl="0" w:tplc="70B68430">
      <w:start w:val="1"/>
      <w:numFmt w:val="decimal"/>
      <w:lvlText w:val="%1."/>
      <w:lvlJc w:val="left"/>
      <w:pPr>
        <w:ind w:left="720" w:hanging="360"/>
      </w:pPr>
      <w:rPr>
        <w:rFonts w:cs="Times New Roman"/>
      </w:rPr>
    </w:lvl>
    <w:lvl w:ilvl="1" w:tplc="04190003">
      <w:start w:val="1"/>
      <w:numFmt w:val="decimal"/>
      <w:lvlText w:val="%2)"/>
      <w:lvlJc w:val="left"/>
      <w:pPr>
        <w:ind w:left="1470" w:hanging="390"/>
      </w:pPr>
      <w:rPr>
        <w:rFonts w:hint="default"/>
      </w:rPr>
    </w:lvl>
    <w:lvl w:ilvl="2" w:tplc="04190005">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85" w15:restartNumberingAfterBreak="0">
    <w:nsid w:val="561D52BA"/>
    <w:multiLevelType w:val="hybridMultilevel"/>
    <w:tmpl w:val="566013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6" w15:restartNumberingAfterBreak="0">
    <w:nsid w:val="562B7A6E"/>
    <w:multiLevelType w:val="hybridMultilevel"/>
    <w:tmpl w:val="31B43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56D57828"/>
    <w:multiLevelType w:val="hybridMultilevel"/>
    <w:tmpl w:val="051A2E54"/>
    <w:lvl w:ilvl="0" w:tplc="9CFE2CFA">
      <w:start w:val="1"/>
      <w:numFmt w:val="bullet"/>
      <w:pStyle w:val="a0"/>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58197E79"/>
    <w:multiLevelType w:val="hybridMultilevel"/>
    <w:tmpl w:val="0DFE2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581B54C9"/>
    <w:multiLevelType w:val="hybridMultilevel"/>
    <w:tmpl w:val="D34240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15:restartNumberingAfterBreak="0">
    <w:nsid w:val="585C1AAF"/>
    <w:multiLevelType w:val="multilevel"/>
    <w:tmpl w:val="DAFEE6C4"/>
    <w:lvl w:ilvl="0">
      <w:start w:val="1"/>
      <w:numFmt w:val="decimal"/>
      <w:lvlText w:val="%1)"/>
      <w:lvlJc w:val="left"/>
      <w:pPr>
        <w:ind w:left="1428" w:hanging="360"/>
      </w:pPr>
      <w:rPr>
        <w:b w:val="0"/>
        <w:bCs/>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15:restartNumberingAfterBreak="0">
    <w:nsid w:val="58E929BE"/>
    <w:multiLevelType w:val="hybridMultilevel"/>
    <w:tmpl w:val="35683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59A30498"/>
    <w:multiLevelType w:val="hybridMultilevel"/>
    <w:tmpl w:val="F142F3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15:restartNumberingAfterBreak="0">
    <w:nsid w:val="59C05CD2"/>
    <w:multiLevelType w:val="hybridMultilevel"/>
    <w:tmpl w:val="7C486182"/>
    <w:lvl w:ilvl="0" w:tplc="5E5A3708">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4" w15:restartNumberingAfterBreak="0">
    <w:nsid w:val="5B0E6EBF"/>
    <w:multiLevelType w:val="hybridMultilevel"/>
    <w:tmpl w:val="ADD2C438"/>
    <w:lvl w:ilvl="0" w:tplc="87207520">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95" w15:restartNumberingAfterBreak="0">
    <w:nsid w:val="5BBD3B17"/>
    <w:multiLevelType w:val="hybridMultilevel"/>
    <w:tmpl w:val="299476A2"/>
    <w:lvl w:ilvl="0" w:tplc="0419000F">
      <w:start w:val="1"/>
      <w:numFmt w:val="bullet"/>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196" w15:restartNumberingAfterBreak="0">
    <w:nsid w:val="5C11366E"/>
    <w:multiLevelType w:val="hybridMultilevel"/>
    <w:tmpl w:val="4BE27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5C655BEF"/>
    <w:multiLevelType w:val="hybridMultilevel"/>
    <w:tmpl w:val="B35C4DF6"/>
    <w:lvl w:ilvl="0" w:tplc="6FE65B0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8" w15:restartNumberingAfterBreak="0">
    <w:nsid w:val="5C754B14"/>
    <w:multiLevelType w:val="hybridMultilevel"/>
    <w:tmpl w:val="5C70A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5C8C22B6"/>
    <w:multiLevelType w:val="hybridMultilevel"/>
    <w:tmpl w:val="BB82E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5CBA206A"/>
    <w:multiLevelType w:val="hybridMultilevel"/>
    <w:tmpl w:val="927AE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5CEE57BB"/>
    <w:multiLevelType w:val="hybridMultilevel"/>
    <w:tmpl w:val="A524D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5CF55CB1"/>
    <w:multiLevelType w:val="hybridMultilevel"/>
    <w:tmpl w:val="61543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5D0F5891"/>
    <w:multiLevelType w:val="hybridMultilevel"/>
    <w:tmpl w:val="0B704676"/>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04" w15:restartNumberingAfterBreak="0">
    <w:nsid w:val="5D8A3271"/>
    <w:multiLevelType w:val="hybridMultilevel"/>
    <w:tmpl w:val="427CF01E"/>
    <w:lvl w:ilvl="0" w:tplc="09DA5912">
      <w:start w:val="1"/>
      <w:numFmt w:val="bullet"/>
      <w:lvlText w:val=""/>
      <w:lvlJc w:val="left"/>
      <w:pPr>
        <w:ind w:left="720" w:hanging="360"/>
      </w:pPr>
      <w:rPr>
        <w:rFonts w:ascii="Symbol" w:hAnsi="Symbol" w:cs="Symbol" w:hint="default"/>
      </w:rPr>
    </w:lvl>
    <w:lvl w:ilvl="1" w:tplc="04190019">
      <w:start w:val="1"/>
      <w:numFmt w:val="bullet"/>
      <w:lvlText w:val="o"/>
      <w:lvlJc w:val="left"/>
      <w:pPr>
        <w:ind w:left="1495"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205" w15:restartNumberingAfterBreak="0">
    <w:nsid w:val="5DBB20C8"/>
    <w:multiLevelType w:val="hybridMultilevel"/>
    <w:tmpl w:val="8632A7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5E0E191C"/>
    <w:multiLevelType w:val="hybridMultilevel"/>
    <w:tmpl w:val="E3806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5E3E40E7"/>
    <w:multiLevelType w:val="hybridMultilevel"/>
    <w:tmpl w:val="774AA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5E42575E"/>
    <w:multiLevelType w:val="hybridMultilevel"/>
    <w:tmpl w:val="2DE07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5E57728D"/>
    <w:multiLevelType w:val="hybridMultilevel"/>
    <w:tmpl w:val="57747EAE"/>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15:restartNumberingAfterBreak="0">
    <w:nsid w:val="5EB57E18"/>
    <w:multiLevelType w:val="hybridMultilevel"/>
    <w:tmpl w:val="0114B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15:restartNumberingAfterBreak="0">
    <w:nsid w:val="5F3834EF"/>
    <w:multiLevelType w:val="hybridMultilevel"/>
    <w:tmpl w:val="D11CB15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2" w15:restartNumberingAfterBreak="0">
    <w:nsid w:val="5FD6635B"/>
    <w:multiLevelType w:val="hybridMultilevel"/>
    <w:tmpl w:val="3B80EA4A"/>
    <w:lvl w:ilvl="0" w:tplc="0456C786">
      <w:numFmt w:val="bullet"/>
      <w:lvlText w:val="•"/>
      <w:lvlJc w:val="left"/>
      <w:rPr>
        <w:rFonts w:ascii="Cambria Math" w:hAnsi="Cambria Math"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602776A7"/>
    <w:multiLevelType w:val="hybridMultilevel"/>
    <w:tmpl w:val="4EA802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15:restartNumberingAfterBreak="0">
    <w:nsid w:val="602B1DB1"/>
    <w:multiLevelType w:val="multilevel"/>
    <w:tmpl w:val="79CADAFC"/>
    <w:lvl w:ilvl="0">
      <w:start w:val="1"/>
      <w:numFmt w:val="bullet"/>
      <w:lvlText w:val=""/>
      <w:lvlJc w:val="left"/>
      <w:pPr>
        <w:ind w:left="1068" w:hanging="360"/>
      </w:pPr>
      <w:rPr>
        <w:rFonts w:ascii="Symbol" w:hAnsi="Symbol" w:cs="Symbol" w:hint="default"/>
        <w:sz w:val="24"/>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15" w15:restartNumberingAfterBreak="0">
    <w:nsid w:val="60514436"/>
    <w:multiLevelType w:val="hybridMultilevel"/>
    <w:tmpl w:val="91806E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607D666F"/>
    <w:multiLevelType w:val="hybridMultilevel"/>
    <w:tmpl w:val="FAC28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60C062FF"/>
    <w:multiLevelType w:val="hybridMultilevel"/>
    <w:tmpl w:val="040A4DCE"/>
    <w:lvl w:ilvl="0" w:tplc="D76CC41E">
      <w:start w:val="1"/>
      <w:numFmt w:val="bullet"/>
      <w:lvlText w:val="•"/>
      <w:lvlJc w:val="left"/>
      <w:pPr>
        <w:ind w:left="1146" w:hanging="360"/>
      </w:pPr>
      <w:rPr>
        <w:rFonts w:ascii="Arial" w:hAnsi="Aria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8" w15:restartNumberingAfterBreak="0">
    <w:nsid w:val="6122328E"/>
    <w:multiLevelType w:val="hybridMultilevel"/>
    <w:tmpl w:val="7F320E1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19" w15:restartNumberingAfterBreak="0">
    <w:nsid w:val="6228685B"/>
    <w:multiLevelType w:val="hybridMultilevel"/>
    <w:tmpl w:val="7264E0E6"/>
    <w:lvl w:ilvl="0" w:tplc="0419000F">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8FD68728">
      <w:start w:val="1"/>
      <w:numFmt w:val="decimal"/>
      <w:lvlText w:val="%4."/>
      <w:lvlJc w:val="left"/>
      <w:pPr>
        <w:ind w:left="3087" w:hanging="360"/>
      </w:pPr>
      <w:rPr>
        <w:rFonts w:ascii="Times New Roman" w:eastAsia="Calibri" w:hAnsi="Times New Roman" w:cs="Times New Roman"/>
      </w:r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20" w15:restartNumberingAfterBreak="0">
    <w:nsid w:val="62675A40"/>
    <w:multiLevelType w:val="hybridMultilevel"/>
    <w:tmpl w:val="1528F354"/>
    <w:lvl w:ilvl="0" w:tplc="89E234D0">
      <w:start w:val="1"/>
      <w:numFmt w:val="bullet"/>
      <w:lvlText w:val=""/>
      <w:lvlJc w:val="left"/>
      <w:pPr>
        <w:tabs>
          <w:tab w:val="num" w:pos="720"/>
        </w:tabs>
        <w:ind w:left="720" w:hanging="360"/>
      </w:pPr>
      <w:rPr>
        <w:rFonts w:ascii="Wingdings" w:hAnsi="Wingdings" w:hint="default"/>
      </w:rPr>
    </w:lvl>
    <w:lvl w:ilvl="1" w:tplc="83CC9474" w:tentative="1">
      <w:start w:val="1"/>
      <w:numFmt w:val="bullet"/>
      <w:lvlText w:val=""/>
      <w:lvlJc w:val="left"/>
      <w:pPr>
        <w:tabs>
          <w:tab w:val="num" w:pos="1440"/>
        </w:tabs>
        <w:ind w:left="1440" w:hanging="360"/>
      </w:pPr>
      <w:rPr>
        <w:rFonts w:ascii="Wingdings" w:hAnsi="Wingdings" w:hint="default"/>
      </w:rPr>
    </w:lvl>
    <w:lvl w:ilvl="2" w:tplc="91E45A7C" w:tentative="1">
      <w:start w:val="1"/>
      <w:numFmt w:val="bullet"/>
      <w:lvlText w:val=""/>
      <w:lvlJc w:val="left"/>
      <w:pPr>
        <w:tabs>
          <w:tab w:val="num" w:pos="2160"/>
        </w:tabs>
        <w:ind w:left="2160" w:hanging="360"/>
      </w:pPr>
      <w:rPr>
        <w:rFonts w:ascii="Wingdings" w:hAnsi="Wingdings" w:hint="default"/>
      </w:rPr>
    </w:lvl>
    <w:lvl w:ilvl="3" w:tplc="9872CDFA" w:tentative="1">
      <w:start w:val="1"/>
      <w:numFmt w:val="bullet"/>
      <w:lvlText w:val=""/>
      <w:lvlJc w:val="left"/>
      <w:pPr>
        <w:tabs>
          <w:tab w:val="num" w:pos="2880"/>
        </w:tabs>
        <w:ind w:left="2880" w:hanging="360"/>
      </w:pPr>
      <w:rPr>
        <w:rFonts w:ascii="Wingdings" w:hAnsi="Wingdings" w:hint="default"/>
      </w:rPr>
    </w:lvl>
    <w:lvl w:ilvl="4" w:tplc="6DA85EEC" w:tentative="1">
      <w:start w:val="1"/>
      <w:numFmt w:val="bullet"/>
      <w:lvlText w:val=""/>
      <w:lvlJc w:val="left"/>
      <w:pPr>
        <w:tabs>
          <w:tab w:val="num" w:pos="3600"/>
        </w:tabs>
        <w:ind w:left="3600" w:hanging="360"/>
      </w:pPr>
      <w:rPr>
        <w:rFonts w:ascii="Wingdings" w:hAnsi="Wingdings" w:hint="default"/>
      </w:rPr>
    </w:lvl>
    <w:lvl w:ilvl="5" w:tplc="EDBAB3BE" w:tentative="1">
      <w:start w:val="1"/>
      <w:numFmt w:val="bullet"/>
      <w:lvlText w:val=""/>
      <w:lvlJc w:val="left"/>
      <w:pPr>
        <w:tabs>
          <w:tab w:val="num" w:pos="4320"/>
        </w:tabs>
        <w:ind w:left="4320" w:hanging="360"/>
      </w:pPr>
      <w:rPr>
        <w:rFonts w:ascii="Wingdings" w:hAnsi="Wingdings" w:hint="default"/>
      </w:rPr>
    </w:lvl>
    <w:lvl w:ilvl="6" w:tplc="3744B4A4" w:tentative="1">
      <w:start w:val="1"/>
      <w:numFmt w:val="bullet"/>
      <w:lvlText w:val=""/>
      <w:lvlJc w:val="left"/>
      <w:pPr>
        <w:tabs>
          <w:tab w:val="num" w:pos="5040"/>
        </w:tabs>
        <w:ind w:left="5040" w:hanging="360"/>
      </w:pPr>
      <w:rPr>
        <w:rFonts w:ascii="Wingdings" w:hAnsi="Wingdings" w:hint="default"/>
      </w:rPr>
    </w:lvl>
    <w:lvl w:ilvl="7" w:tplc="6ACEDAC8" w:tentative="1">
      <w:start w:val="1"/>
      <w:numFmt w:val="bullet"/>
      <w:lvlText w:val=""/>
      <w:lvlJc w:val="left"/>
      <w:pPr>
        <w:tabs>
          <w:tab w:val="num" w:pos="5760"/>
        </w:tabs>
        <w:ind w:left="5760" w:hanging="360"/>
      </w:pPr>
      <w:rPr>
        <w:rFonts w:ascii="Wingdings" w:hAnsi="Wingdings" w:hint="default"/>
      </w:rPr>
    </w:lvl>
    <w:lvl w:ilvl="8" w:tplc="CC18735C" w:tentative="1">
      <w:start w:val="1"/>
      <w:numFmt w:val="bullet"/>
      <w:lvlText w:val=""/>
      <w:lvlJc w:val="left"/>
      <w:pPr>
        <w:tabs>
          <w:tab w:val="num" w:pos="6480"/>
        </w:tabs>
        <w:ind w:left="6480" w:hanging="360"/>
      </w:pPr>
      <w:rPr>
        <w:rFonts w:ascii="Wingdings" w:hAnsi="Wingdings" w:hint="default"/>
      </w:rPr>
    </w:lvl>
  </w:abstractNum>
  <w:abstractNum w:abstractNumId="221" w15:restartNumberingAfterBreak="0">
    <w:nsid w:val="631B5061"/>
    <w:multiLevelType w:val="hybridMultilevel"/>
    <w:tmpl w:val="9CB41666"/>
    <w:lvl w:ilvl="0" w:tplc="04190001">
      <w:start w:val="1"/>
      <w:numFmt w:val="bullet"/>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222" w15:restartNumberingAfterBreak="0">
    <w:nsid w:val="63AA35FD"/>
    <w:multiLevelType w:val="multilevel"/>
    <w:tmpl w:val="79984E7E"/>
    <w:lvl w:ilvl="0">
      <w:start w:val="1"/>
      <w:numFmt w:val="bullet"/>
      <w:pStyle w:val="10"/>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63C72227"/>
    <w:multiLevelType w:val="hybridMultilevel"/>
    <w:tmpl w:val="E5C8A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640C6E06"/>
    <w:multiLevelType w:val="hybridMultilevel"/>
    <w:tmpl w:val="28523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64BF4139"/>
    <w:multiLevelType w:val="hybridMultilevel"/>
    <w:tmpl w:val="BDBA2C9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6" w15:restartNumberingAfterBreak="0">
    <w:nsid w:val="64CB17D4"/>
    <w:multiLevelType w:val="hybridMultilevel"/>
    <w:tmpl w:val="B944F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65582988"/>
    <w:multiLevelType w:val="hybridMultilevel"/>
    <w:tmpl w:val="DF66F51E"/>
    <w:lvl w:ilvl="0" w:tplc="74FC6A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8" w15:restartNumberingAfterBreak="0">
    <w:nsid w:val="65890E2C"/>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9" w15:restartNumberingAfterBreak="0">
    <w:nsid w:val="65EE1CD2"/>
    <w:multiLevelType w:val="hybridMultilevel"/>
    <w:tmpl w:val="D4FAF1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15:restartNumberingAfterBreak="0">
    <w:nsid w:val="65FB0DEB"/>
    <w:multiLevelType w:val="hybridMultilevel"/>
    <w:tmpl w:val="336C1E0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65FC491C"/>
    <w:multiLevelType w:val="hybridMultilevel"/>
    <w:tmpl w:val="F8BE31C4"/>
    <w:numStyleLink w:val="1"/>
  </w:abstractNum>
  <w:abstractNum w:abstractNumId="232" w15:restartNumberingAfterBreak="0">
    <w:nsid w:val="665352F1"/>
    <w:multiLevelType w:val="hybridMultilevel"/>
    <w:tmpl w:val="37181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66E51975"/>
    <w:multiLevelType w:val="hybridMultilevel"/>
    <w:tmpl w:val="7A7C6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67464575"/>
    <w:multiLevelType w:val="hybridMultilevel"/>
    <w:tmpl w:val="AAC275A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678F247B"/>
    <w:multiLevelType w:val="hybridMultilevel"/>
    <w:tmpl w:val="7F36A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67B673E9"/>
    <w:multiLevelType w:val="hybridMultilevel"/>
    <w:tmpl w:val="EE26C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68D9229D"/>
    <w:multiLevelType w:val="hybridMultilevel"/>
    <w:tmpl w:val="1C9AAC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15:restartNumberingAfterBreak="0">
    <w:nsid w:val="698D0AC0"/>
    <w:multiLevelType w:val="hybridMultilevel"/>
    <w:tmpl w:val="11E85E72"/>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39" w15:restartNumberingAfterBreak="0">
    <w:nsid w:val="69995AA4"/>
    <w:multiLevelType w:val="hybridMultilevel"/>
    <w:tmpl w:val="34E0D3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15:restartNumberingAfterBreak="0">
    <w:nsid w:val="69E82B41"/>
    <w:multiLevelType w:val="hybridMultilevel"/>
    <w:tmpl w:val="485AF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6A150589"/>
    <w:multiLevelType w:val="hybridMultilevel"/>
    <w:tmpl w:val="296EBB5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15:restartNumberingAfterBreak="0">
    <w:nsid w:val="6A15066B"/>
    <w:multiLevelType w:val="hybridMultilevel"/>
    <w:tmpl w:val="DA8A817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3" w15:restartNumberingAfterBreak="0">
    <w:nsid w:val="6AFF0605"/>
    <w:multiLevelType w:val="hybridMultilevel"/>
    <w:tmpl w:val="9F60A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6CE277CD"/>
    <w:multiLevelType w:val="hybridMultilevel"/>
    <w:tmpl w:val="F6E2D132"/>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15:restartNumberingAfterBreak="0">
    <w:nsid w:val="6D384105"/>
    <w:multiLevelType w:val="multilevel"/>
    <w:tmpl w:val="54E08D8C"/>
    <w:lvl w:ilvl="0">
      <w:start w:val="1"/>
      <w:numFmt w:val="decimal"/>
      <w:lvlText w:val="%1."/>
      <w:lvlJc w:val="left"/>
      <w:pPr>
        <w:ind w:left="502" w:hanging="360"/>
      </w:pPr>
      <w:rPr>
        <w:rFonts w:hint="default"/>
      </w:rPr>
    </w:lvl>
    <w:lvl w:ilvl="1">
      <w:start w:val="2"/>
      <w:numFmt w:val="decimal"/>
      <w:isLgl/>
      <w:lvlText w:val="%1.%2."/>
      <w:lvlJc w:val="left"/>
      <w:pPr>
        <w:ind w:left="798" w:hanging="585"/>
      </w:pPr>
      <w:rPr>
        <w:rFonts w:hint="default"/>
      </w:rPr>
    </w:lvl>
    <w:lvl w:ilvl="2">
      <w:start w:val="5"/>
      <w:numFmt w:val="decimal"/>
      <w:isLgl/>
      <w:lvlText w:val="%1.%2.%3."/>
      <w:lvlJc w:val="left"/>
      <w:pPr>
        <w:ind w:left="1004" w:hanging="720"/>
      </w:pPr>
      <w:rPr>
        <w:rFonts w:hint="default"/>
      </w:rPr>
    </w:lvl>
    <w:lvl w:ilvl="3">
      <w:start w:val="1"/>
      <w:numFmt w:val="decimal"/>
      <w:isLgl/>
      <w:lvlText w:val="%1.%2.%3.%4."/>
      <w:lvlJc w:val="left"/>
      <w:pPr>
        <w:ind w:left="1075"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77"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79" w:hanging="1440"/>
      </w:pPr>
      <w:rPr>
        <w:rFonts w:hint="default"/>
      </w:rPr>
    </w:lvl>
    <w:lvl w:ilvl="8">
      <w:start w:val="1"/>
      <w:numFmt w:val="decimal"/>
      <w:isLgl/>
      <w:lvlText w:val="%1.%2.%3.%4.%5.%6.%7.%8.%9."/>
      <w:lvlJc w:val="left"/>
      <w:pPr>
        <w:ind w:left="2510" w:hanging="1800"/>
      </w:pPr>
      <w:rPr>
        <w:rFonts w:hint="default"/>
      </w:rPr>
    </w:lvl>
  </w:abstractNum>
  <w:abstractNum w:abstractNumId="246" w15:restartNumberingAfterBreak="0">
    <w:nsid w:val="6E2010A3"/>
    <w:multiLevelType w:val="hybridMultilevel"/>
    <w:tmpl w:val="0BD07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6E24223D"/>
    <w:multiLevelType w:val="hybridMultilevel"/>
    <w:tmpl w:val="7450BC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6EAA4F89"/>
    <w:multiLevelType w:val="hybridMultilevel"/>
    <w:tmpl w:val="EB40BDBE"/>
    <w:lvl w:ilvl="0" w:tplc="04190001">
      <w:start w:val="1"/>
      <w:numFmt w:val="bullet"/>
      <w:lvlText w:val=""/>
      <w:lvlJc w:val="left"/>
      <w:pPr>
        <w:ind w:left="1145" w:hanging="360"/>
      </w:pPr>
      <w:rPr>
        <w:rFonts w:ascii="Symbol" w:hAnsi="Symbol" w:hint="default"/>
      </w:rPr>
    </w:lvl>
    <w:lvl w:ilvl="1" w:tplc="04190003">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49" w15:restartNumberingAfterBreak="0">
    <w:nsid w:val="6EFA2964"/>
    <w:multiLevelType w:val="hybridMultilevel"/>
    <w:tmpl w:val="2EF24D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15:restartNumberingAfterBreak="0">
    <w:nsid w:val="6F2B1C15"/>
    <w:multiLevelType w:val="hybridMultilevel"/>
    <w:tmpl w:val="34F63D40"/>
    <w:lvl w:ilvl="0" w:tplc="04190001">
      <w:start w:val="1"/>
      <w:numFmt w:val="bullet"/>
      <w:lvlText w:val=""/>
      <w:lvlJc w:val="left"/>
      <w:pPr>
        <w:ind w:left="1992" w:hanging="360"/>
      </w:pPr>
      <w:rPr>
        <w:rFonts w:ascii="Symbol" w:hAnsi="Symbol" w:hint="default"/>
      </w:rPr>
    </w:lvl>
    <w:lvl w:ilvl="1" w:tplc="04190003" w:tentative="1">
      <w:start w:val="1"/>
      <w:numFmt w:val="bullet"/>
      <w:lvlText w:val="o"/>
      <w:lvlJc w:val="left"/>
      <w:pPr>
        <w:ind w:left="2712" w:hanging="360"/>
      </w:pPr>
      <w:rPr>
        <w:rFonts w:ascii="Courier New" w:hAnsi="Courier New" w:cs="Courier New" w:hint="default"/>
      </w:rPr>
    </w:lvl>
    <w:lvl w:ilvl="2" w:tplc="04190005" w:tentative="1">
      <w:start w:val="1"/>
      <w:numFmt w:val="bullet"/>
      <w:lvlText w:val=""/>
      <w:lvlJc w:val="left"/>
      <w:pPr>
        <w:ind w:left="3432" w:hanging="360"/>
      </w:pPr>
      <w:rPr>
        <w:rFonts w:ascii="Wingdings" w:hAnsi="Wingdings" w:hint="default"/>
      </w:rPr>
    </w:lvl>
    <w:lvl w:ilvl="3" w:tplc="04190001" w:tentative="1">
      <w:start w:val="1"/>
      <w:numFmt w:val="bullet"/>
      <w:lvlText w:val=""/>
      <w:lvlJc w:val="left"/>
      <w:pPr>
        <w:ind w:left="4152" w:hanging="360"/>
      </w:pPr>
      <w:rPr>
        <w:rFonts w:ascii="Symbol" w:hAnsi="Symbol" w:hint="default"/>
      </w:rPr>
    </w:lvl>
    <w:lvl w:ilvl="4" w:tplc="04190003" w:tentative="1">
      <w:start w:val="1"/>
      <w:numFmt w:val="bullet"/>
      <w:lvlText w:val="o"/>
      <w:lvlJc w:val="left"/>
      <w:pPr>
        <w:ind w:left="4872" w:hanging="360"/>
      </w:pPr>
      <w:rPr>
        <w:rFonts w:ascii="Courier New" w:hAnsi="Courier New" w:cs="Courier New" w:hint="default"/>
      </w:rPr>
    </w:lvl>
    <w:lvl w:ilvl="5" w:tplc="04190005" w:tentative="1">
      <w:start w:val="1"/>
      <w:numFmt w:val="bullet"/>
      <w:lvlText w:val=""/>
      <w:lvlJc w:val="left"/>
      <w:pPr>
        <w:ind w:left="5592" w:hanging="360"/>
      </w:pPr>
      <w:rPr>
        <w:rFonts w:ascii="Wingdings" w:hAnsi="Wingdings" w:hint="default"/>
      </w:rPr>
    </w:lvl>
    <w:lvl w:ilvl="6" w:tplc="04190001" w:tentative="1">
      <w:start w:val="1"/>
      <w:numFmt w:val="bullet"/>
      <w:lvlText w:val=""/>
      <w:lvlJc w:val="left"/>
      <w:pPr>
        <w:ind w:left="6312" w:hanging="360"/>
      </w:pPr>
      <w:rPr>
        <w:rFonts w:ascii="Symbol" w:hAnsi="Symbol" w:hint="default"/>
      </w:rPr>
    </w:lvl>
    <w:lvl w:ilvl="7" w:tplc="04190003" w:tentative="1">
      <w:start w:val="1"/>
      <w:numFmt w:val="bullet"/>
      <w:lvlText w:val="o"/>
      <w:lvlJc w:val="left"/>
      <w:pPr>
        <w:ind w:left="7032" w:hanging="360"/>
      </w:pPr>
      <w:rPr>
        <w:rFonts w:ascii="Courier New" w:hAnsi="Courier New" w:cs="Courier New" w:hint="default"/>
      </w:rPr>
    </w:lvl>
    <w:lvl w:ilvl="8" w:tplc="04190005" w:tentative="1">
      <w:start w:val="1"/>
      <w:numFmt w:val="bullet"/>
      <w:lvlText w:val=""/>
      <w:lvlJc w:val="left"/>
      <w:pPr>
        <w:ind w:left="7752" w:hanging="360"/>
      </w:pPr>
      <w:rPr>
        <w:rFonts w:ascii="Wingdings" w:hAnsi="Wingdings" w:hint="default"/>
      </w:rPr>
    </w:lvl>
  </w:abstractNum>
  <w:abstractNum w:abstractNumId="251" w15:restartNumberingAfterBreak="0">
    <w:nsid w:val="6FDC162F"/>
    <w:multiLevelType w:val="hybridMultilevel"/>
    <w:tmpl w:val="7FEAD3B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700A7B43"/>
    <w:multiLevelType w:val="hybridMultilevel"/>
    <w:tmpl w:val="32F2F2D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53" w15:restartNumberingAfterBreak="0">
    <w:nsid w:val="710E7B94"/>
    <w:multiLevelType w:val="hybridMultilevel"/>
    <w:tmpl w:val="6090CD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4" w15:restartNumberingAfterBreak="0">
    <w:nsid w:val="71E367CF"/>
    <w:multiLevelType w:val="hybridMultilevel"/>
    <w:tmpl w:val="7098D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71F87B85"/>
    <w:multiLevelType w:val="hybridMultilevel"/>
    <w:tmpl w:val="DF404D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728773B1"/>
    <w:multiLevelType w:val="hybridMultilevel"/>
    <w:tmpl w:val="98B4C9C0"/>
    <w:lvl w:ilvl="0" w:tplc="6E760F10">
      <w:start w:val="1"/>
      <w:numFmt w:val="decimal"/>
      <w:lvlText w:val="%1."/>
      <w:lvlJc w:val="left"/>
      <w:pPr>
        <w:ind w:left="720"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15:restartNumberingAfterBreak="0">
    <w:nsid w:val="73781A9D"/>
    <w:multiLevelType w:val="hybridMultilevel"/>
    <w:tmpl w:val="52888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73857C0E"/>
    <w:multiLevelType w:val="hybridMultilevel"/>
    <w:tmpl w:val="ED986C6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9" w15:restartNumberingAfterBreak="0">
    <w:nsid w:val="74233B1A"/>
    <w:multiLevelType w:val="hybridMultilevel"/>
    <w:tmpl w:val="40625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745A7484"/>
    <w:multiLevelType w:val="hybridMultilevel"/>
    <w:tmpl w:val="59B87F60"/>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74BE66AC"/>
    <w:multiLevelType w:val="hybridMultilevel"/>
    <w:tmpl w:val="86D87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74FB01F8"/>
    <w:multiLevelType w:val="hybridMultilevel"/>
    <w:tmpl w:val="87B48F6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75C2543E"/>
    <w:multiLevelType w:val="hybridMultilevel"/>
    <w:tmpl w:val="43A231C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4" w15:restartNumberingAfterBreak="0">
    <w:nsid w:val="75D82873"/>
    <w:multiLevelType w:val="hybridMultilevel"/>
    <w:tmpl w:val="EFDA391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5" w15:restartNumberingAfterBreak="0">
    <w:nsid w:val="760F7789"/>
    <w:multiLevelType w:val="hybridMultilevel"/>
    <w:tmpl w:val="A976A3F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6" w15:restartNumberingAfterBreak="0">
    <w:nsid w:val="765F70D1"/>
    <w:multiLevelType w:val="hybridMultilevel"/>
    <w:tmpl w:val="B0288ABE"/>
    <w:lvl w:ilvl="0" w:tplc="A378BA54">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7" w15:restartNumberingAfterBreak="0">
    <w:nsid w:val="767717B0"/>
    <w:multiLevelType w:val="hybridMultilevel"/>
    <w:tmpl w:val="E056D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15:restartNumberingAfterBreak="0">
    <w:nsid w:val="767A098F"/>
    <w:multiLevelType w:val="hybridMultilevel"/>
    <w:tmpl w:val="CD04CE36"/>
    <w:lvl w:ilvl="0" w:tplc="04190001">
      <w:start w:val="1"/>
      <w:numFmt w:val="bullet"/>
      <w:lvlText w:val=""/>
      <w:lvlJc w:val="left"/>
      <w:pPr>
        <w:ind w:left="1145" w:hanging="360"/>
      </w:pPr>
      <w:rPr>
        <w:rFonts w:ascii="Symbol" w:hAnsi="Symbol" w:hint="default"/>
      </w:rPr>
    </w:lvl>
    <w:lvl w:ilvl="1" w:tplc="04190003">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69" w15:restartNumberingAfterBreak="0">
    <w:nsid w:val="76AD17CF"/>
    <w:multiLevelType w:val="hybridMultilevel"/>
    <w:tmpl w:val="031A4B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0" w15:restartNumberingAfterBreak="0">
    <w:nsid w:val="76C81E5F"/>
    <w:multiLevelType w:val="hybridMultilevel"/>
    <w:tmpl w:val="A644E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76E33EC4"/>
    <w:multiLevelType w:val="hybridMultilevel"/>
    <w:tmpl w:val="47E20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76E4605F"/>
    <w:multiLevelType w:val="hybridMultilevel"/>
    <w:tmpl w:val="D99A684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73" w15:restartNumberingAfterBreak="0">
    <w:nsid w:val="777107AF"/>
    <w:multiLevelType w:val="hybridMultilevel"/>
    <w:tmpl w:val="D63A2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78F23F89"/>
    <w:multiLevelType w:val="hybridMultilevel"/>
    <w:tmpl w:val="6D20048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75" w15:restartNumberingAfterBreak="0">
    <w:nsid w:val="796E5432"/>
    <w:multiLevelType w:val="hybridMultilevel"/>
    <w:tmpl w:val="91501A8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6" w15:restartNumberingAfterBreak="0">
    <w:nsid w:val="79713416"/>
    <w:multiLevelType w:val="hybridMultilevel"/>
    <w:tmpl w:val="D548C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79CC6B63"/>
    <w:multiLevelType w:val="hybridMultilevel"/>
    <w:tmpl w:val="9A760E64"/>
    <w:lvl w:ilvl="0" w:tplc="A7444C9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78" w15:restartNumberingAfterBreak="0">
    <w:nsid w:val="79DD6991"/>
    <w:multiLevelType w:val="hybridMultilevel"/>
    <w:tmpl w:val="4B2E8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7B332143"/>
    <w:multiLevelType w:val="hybridMultilevel"/>
    <w:tmpl w:val="7FBA8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7B651D20"/>
    <w:multiLevelType w:val="hybridMultilevel"/>
    <w:tmpl w:val="F1B43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15:restartNumberingAfterBreak="0">
    <w:nsid w:val="7BAB11B1"/>
    <w:multiLevelType w:val="hybridMultilevel"/>
    <w:tmpl w:val="F0D6F0BA"/>
    <w:lvl w:ilvl="0" w:tplc="D76CC41E">
      <w:start w:val="1"/>
      <w:numFmt w:val="bullet"/>
      <w:lvlText w:val="•"/>
      <w:lvlJc w:val="left"/>
      <w:pPr>
        <w:tabs>
          <w:tab w:val="num" w:pos="720"/>
        </w:tabs>
        <w:ind w:left="720" w:hanging="360"/>
      </w:pPr>
      <w:rPr>
        <w:rFonts w:ascii="Arial" w:hAnsi="Arial" w:hint="default"/>
      </w:rPr>
    </w:lvl>
    <w:lvl w:ilvl="1" w:tplc="2F8ECD54" w:tentative="1">
      <w:start w:val="1"/>
      <w:numFmt w:val="bullet"/>
      <w:lvlText w:val="•"/>
      <w:lvlJc w:val="left"/>
      <w:pPr>
        <w:tabs>
          <w:tab w:val="num" w:pos="1440"/>
        </w:tabs>
        <w:ind w:left="1440" w:hanging="360"/>
      </w:pPr>
      <w:rPr>
        <w:rFonts w:ascii="Arial" w:hAnsi="Arial" w:hint="default"/>
      </w:rPr>
    </w:lvl>
    <w:lvl w:ilvl="2" w:tplc="CE8C5248" w:tentative="1">
      <w:start w:val="1"/>
      <w:numFmt w:val="bullet"/>
      <w:lvlText w:val="•"/>
      <w:lvlJc w:val="left"/>
      <w:pPr>
        <w:tabs>
          <w:tab w:val="num" w:pos="2160"/>
        </w:tabs>
        <w:ind w:left="2160" w:hanging="360"/>
      </w:pPr>
      <w:rPr>
        <w:rFonts w:ascii="Arial" w:hAnsi="Arial" w:hint="default"/>
      </w:rPr>
    </w:lvl>
    <w:lvl w:ilvl="3" w:tplc="225EDACA" w:tentative="1">
      <w:start w:val="1"/>
      <w:numFmt w:val="bullet"/>
      <w:lvlText w:val="•"/>
      <w:lvlJc w:val="left"/>
      <w:pPr>
        <w:tabs>
          <w:tab w:val="num" w:pos="2880"/>
        </w:tabs>
        <w:ind w:left="2880" w:hanging="360"/>
      </w:pPr>
      <w:rPr>
        <w:rFonts w:ascii="Arial" w:hAnsi="Arial" w:hint="default"/>
      </w:rPr>
    </w:lvl>
    <w:lvl w:ilvl="4" w:tplc="0626367E" w:tentative="1">
      <w:start w:val="1"/>
      <w:numFmt w:val="bullet"/>
      <w:lvlText w:val="•"/>
      <w:lvlJc w:val="left"/>
      <w:pPr>
        <w:tabs>
          <w:tab w:val="num" w:pos="3600"/>
        </w:tabs>
        <w:ind w:left="3600" w:hanging="360"/>
      </w:pPr>
      <w:rPr>
        <w:rFonts w:ascii="Arial" w:hAnsi="Arial" w:hint="default"/>
      </w:rPr>
    </w:lvl>
    <w:lvl w:ilvl="5" w:tplc="F3F24E2C" w:tentative="1">
      <w:start w:val="1"/>
      <w:numFmt w:val="bullet"/>
      <w:lvlText w:val="•"/>
      <w:lvlJc w:val="left"/>
      <w:pPr>
        <w:tabs>
          <w:tab w:val="num" w:pos="4320"/>
        </w:tabs>
        <w:ind w:left="4320" w:hanging="360"/>
      </w:pPr>
      <w:rPr>
        <w:rFonts w:ascii="Arial" w:hAnsi="Arial" w:hint="default"/>
      </w:rPr>
    </w:lvl>
    <w:lvl w:ilvl="6" w:tplc="66CAD2A8" w:tentative="1">
      <w:start w:val="1"/>
      <w:numFmt w:val="bullet"/>
      <w:lvlText w:val="•"/>
      <w:lvlJc w:val="left"/>
      <w:pPr>
        <w:tabs>
          <w:tab w:val="num" w:pos="5040"/>
        </w:tabs>
        <w:ind w:left="5040" w:hanging="360"/>
      </w:pPr>
      <w:rPr>
        <w:rFonts w:ascii="Arial" w:hAnsi="Arial" w:hint="default"/>
      </w:rPr>
    </w:lvl>
    <w:lvl w:ilvl="7" w:tplc="2D2688B4" w:tentative="1">
      <w:start w:val="1"/>
      <w:numFmt w:val="bullet"/>
      <w:lvlText w:val="•"/>
      <w:lvlJc w:val="left"/>
      <w:pPr>
        <w:tabs>
          <w:tab w:val="num" w:pos="5760"/>
        </w:tabs>
        <w:ind w:left="5760" w:hanging="360"/>
      </w:pPr>
      <w:rPr>
        <w:rFonts w:ascii="Arial" w:hAnsi="Arial" w:hint="default"/>
      </w:rPr>
    </w:lvl>
    <w:lvl w:ilvl="8" w:tplc="D7D0C13C" w:tentative="1">
      <w:start w:val="1"/>
      <w:numFmt w:val="bullet"/>
      <w:lvlText w:val="•"/>
      <w:lvlJc w:val="left"/>
      <w:pPr>
        <w:tabs>
          <w:tab w:val="num" w:pos="6480"/>
        </w:tabs>
        <w:ind w:left="6480" w:hanging="360"/>
      </w:pPr>
      <w:rPr>
        <w:rFonts w:ascii="Arial" w:hAnsi="Arial" w:hint="default"/>
      </w:rPr>
    </w:lvl>
  </w:abstractNum>
  <w:abstractNum w:abstractNumId="282" w15:restartNumberingAfterBreak="0">
    <w:nsid w:val="7C2D2F11"/>
    <w:multiLevelType w:val="hybridMultilevel"/>
    <w:tmpl w:val="AAC2850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7CEE1064"/>
    <w:multiLevelType w:val="multilevel"/>
    <w:tmpl w:val="DE00292C"/>
    <w:lvl w:ilvl="0">
      <w:start w:val="1"/>
      <w:numFmt w:val="decimal"/>
      <w:lvlText w:val="%1."/>
      <w:lvlJc w:val="left"/>
      <w:pPr>
        <w:ind w:left="720" w:hanging="360"/>
      </w:pPr>
      <w:rPr>
        <w:rFonts w:cs="Times New Roman"/>
      </w:rPr>
    </w:lvl>
    <w:lvl w:ilvl="1">
      <w:start w:val="3"/>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4" w15:restartNumberingAfterBreak="0">
    <w:nsid w:val="7D0B5D6E"/>
    <w:multiLevelType w:val="hybridMultilevel"/>
    <w:tmpl w:val="28E8C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7D253A11"/>
    <w:multiLevelType w:val="hybridMultilevel"/>
    <w:tmpl w:val="CDC45FAE"/>
    <w:lvl w:ilvl="0" w:tplc="D948574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6" w15:restartNumberingAfterBreak="0">
    <w:nsid w:val="7D352FBE"/>
    <w:multiLevelType w:val="hybridMultilevel"/>
    <w:tmpl w:val="9F224F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7D6F5A43"/>
    <w:multiLevelType w:val="hybridMultilevel"/>
    <w:tmpl w:val="EBDCF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7DBA29FE"/>
    <w:multiLevelType w:val="hybridMultilevel"/>
    <w:tmpl w:val="CDDCE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7E5726EA"/>
    <w:multiLevelType w:val="hybridMultilevel"/>
    <w:tmpl w:val="2D64D7C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0" w15:restartNumberingAfterBreak="0">
    <w:nsid w:val="7E612FB6"/>
    <w:multiLevelType w:val="hybridMultilevel"/>
    <w:tmpl w:val="77D21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7EAF518E"/>
    <w:multiLevelType w:val="hybridMultilevel"/>
    <w:tmpl w:val="D0BA0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7F3D118A"/>
    <w:multiLevelType w:val="hybridMultilevel"/>
    <w:tmpl w:val="FB78D584"/>
    <w:lvl w:ilvl="0" w:tplc="04190001">
      <w:start w:val="1"/>
      <w:numFmt w:val="bullet"/>
      <w:lvlText w:val=""/>
      <w:lvlJc w:val="left"/>
      <w:pPr>
        <w:ind w:left="177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9F66AA4E">
      <w:start w:val="3"/>
      <w:numFmt w:val="bullet"/>
      <w:lvlText w:val="-"/>
      <w:lvlJc w:val="left"/>
      <w:pPr>
        <w:ind w:left="2869" w:hanging="360"/>
      </w:pPr>
      <w:rPr>
        <w:rFonts w:ascii="Times New Roman" w:eastAsiaTheme="minorHAnsi"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3" w15:restartNumberingAfterBreak="0">
    <w:nsid w:val="7F547EB9"/>
    <w:multiLevelType w:val="hybridMultilevel"/>
    <w:tmpl w:val="975C1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7FC164C6"/>
    <w:multiLevelType w:val="hybridMultilevel"/>
    <w:tmpl w:val="9F087242"/>
    <w:styleLink w:val="111111"/>
    <w:lvl w:ilvl="0" w:tplc="70B684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7FCE568C"/>
    <w:multiLevelType w:val="hybridMultilevel"/>
    <w:tmpl w:val="F0E2B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2"/>
  </w:num>
  <w:num w:numId="2">
    <w:abstractNumId w:val="265"/>
  </w:num>
  <w:num w:numId="3">
    <w:abstractNumId w:val="187"/>
  </w:num>
  <w:num w:numId="4">
    <w:abstractNumId w:val="97"/>
  </w:num>
  <w:num w:numId="5">
    <w:abstractNumId w:val="286"/>
  </w:num>
  <w:num w:numId="6">
    <w:abstractNumId w:val="292"/>
  </w:num>
  <w:num w:numId="7">
    <w:abstractNumId w:val="26"/>
  </w:num>
  <w:num w:numId="8">
    <w:abstractNumId w:val="158"/>
  </w:num>
  <w:num w:numId="9">
    <w:abstractNumId w:val="84"/>
  </w:num>
  <w:num w:numId="10">
    <w:abstractNumId w:val="155"/>
  </w:num>
  <w:num w:numId="11">
    <w:abstractNumId w:val="294"/>
  </w:num>
  <w:num w:numId="12">
    <w:abstractNumId w:val="30"/>
  </w:num>
  <w:num w:numId="13">
    <w:abstractNumId w:val="103"/>
  </w:num>
  <w:num w:numId="14">
    <w:abstractNumId w:val="88"/>
  </w:num>
  <w:num w:numId="15">
    <w:abstractNumId w:val="44"/>
  </w:num>
  <w:num w:numId="16">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2"/>
  </w:num>
  <w:num w:numId="18">
    <w:abstractNumId w:val="41"/>
  </w:num>
  <w:num w:numId="19">
    <w:abstractNumId w:val="145"/>
  </w:num>
  <w:num w:numId="20">
    <w:abstractNumId w:val="9"/>
  </w:num>
  <w:num w:numId="21">
    <w:abstractNumId w:val="184"/>
  </w:num>
  <w:num w:numId="22">
    <w:abstractNumId w:val="283"/>
  </w:num>
  <w:num w:numId="23">
    <w:abstractNumId w:val="40"/>
  </w:num>
  <w:num w:numId="2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7"/>
  </w:num>
  <w:num w:numId="26">
    <w:abstractNumId w:val="99"/>
  </w:num>
  <w:num w:numId="27">
    <w:abstractNumId w:val="173"/>
  </w:num>
  <w:num w:numId="28">
    <w:abstractNumId w:val="43"/>
  </w:num>
  <w:num w:numId="29">
    <w:abstractNumId w:val="138"/>
  </w:num>
  <w:num w:numId="30">
    <w:abstractNumId w:val="229"/>
  </w:num>
  <w:num w:numId="31">
    <w:abstractNumId w:val="181"/>
  </w:num>
  <w:num w:numId="32">
    <w:abstractNumId w:val="49"/>
  </w:num>
  <w:num w:numId="33">
    <w:abstractNumId w:val="237"/>
  </w:num>
  <w:num w:numId="34">
    <w:abstractNumId w:val="129"/>
  </w:num>
  <w:num w:numId="35">
    <w:abstractNumId w:val="169"/>
  </w:num>
  <w:num w:numId="36">
    <w:abstractNumId w:val="7"/>
  </w:num>
  <w:num w:numId="37">
    <w:abstractNumId w:val="118"/>
  </w:num>
  <w:num w:numId="38">
    <w:abstractNumId w:val="4"/>
  </w:num>
  <w:num w:numId="39">
    <w:abstractNumId w:val="204"/>
  </w:num>
  <w:num w:numId="40">
    <w:abstractNumId w:val="264"/>
  </w:num>
  <w:num w:numId="41">
    <w:abstractNumId w:val="89"/>
  </w:num>
  <w:num w:numId="42">
    <w:abstractNumId w:val="82"/>
  </w:num>
  <w:num w:numId="43">
    <w:abstractNumId w:val="11"/>
  </w:num>
  <w:num w:numId="44">
    <w:abstractNumId w:val="22"/>
  </w:num>
  <w:num w:numId="45">
    <w:abstractNumId w:val="66"/>
  </w:num>
  <w:num w:numId="46">
    <w:abstractNumId w:val="134"/>
  </w:num>
  <w:num w:numId="47">
    <w:abstractNumId w:val="195"/>
  </w:num>
  <w:num w:numId="48">
    <w:abstractNumId w:val="221"/>
  </w:num>
  <w:num w:numId="49">
    <w:abstractNumId w:val="289"/>
  </w:num>
  <w:num w:numId="50">
    <w:abstractNumId w:val="105"/>
  </w:num>
  <w:num w:numId="51">
    <w:abstractNumId w:val="242"/>
  </w:num>
  <w:num w:numId="52">
    <w:abstractNumId w:val="143"/>
  </w:num>
  <w:num w:numId="53">
    <w:abstractNumId w:val="0"/>
  </w:num>
  <w:num w:numId="54">
    <w:abstractNumId w:val="212"/>
  </w:num>
  <w:num w:numId="55">
    <w:abstractNumId w:val="85"/>
  </w:num>
  <w:num w:numId="56">
    <w:abstractNumId w:val="280"/>
  </w:num>
  <w:num w:numId="57">
    <w:abstractNumId w:val="176"/>
  </w:num>
  <w:num w:numId="58">
    <w:abstractNumId w:val="214"/>
  </w:num>
  <w:num w:numId="59">
    <w:abstractNumId w:val="149"/>
  </w:num>
  <w:num w:numId="60">
    <w:abstractNumId w:val="75"/>
  </w:num>
  <w:num w:numId="61">
    <w:abstractNumId w:val="35"/>
  </w:num>
  <w:num w:numId="62">
    <w:abstractNumId w:val="161"/>
  </w:num>
  <w:num w:numId="63">
    <w:abstractNumId w:val="46"/>
  </w:num>
  <w:num w:numId="64">
    <w:abstractNumId w:val="63"/>
  </w:num>
  <w:num w:numId="65">
    <w:abstractNumId w:val="175"/>
  </w:num>
  <w:num w:numId="66">
    <w:abstractNumId w:val="112"/>
  </w:num>
  <w:num w:numId="67">
    <w:abstractNumId w:val="190"/>
  </w:num>
  <w:num w:numId="68">
    <w:abstractNumId w:val="38"/>
  </w:num>
  <w:num w:numId="69">
    <w:abstractNumId w:val="192"/>
  </w:num>
  <w:num w:numId="70">
    <w:abstractNumId w:val="228"/>
  </w:num>
  <w:num w:numId="71">
    <w:abstractNumId w:val="93"/>
  </w:num>
  <w:num w:numId="72">
    <w:abstractNumId w:val="166"/>
  </w:num>
  <w:num w:numId="73">
    <w:abstractNumId w:val="31"/>
  </w:num>
  <w:num w:numId="74">
    <w:abstractNumId w:val="256"/>
  </w:num>
  <w:num w:numId="75">
    <w:abstractNumId w:val="144"/>
  </w:num>
  <w:num w:numId="76">
    <w:abstractNumId w:val="193"/>
  </w:num>
  <w:num w:numId="77">
    <w:abstractNumId w:val="101"/>
  </w:num>
  <w:num w:numId="78">
    <w:abstractNumId w:val="79"/>
  </w:num>
  <w:num w:numId="79">
    <w:abstractNumId w:val="36"/>
  </w:num>
  <w:num w:numId="80">
    <w:abstractNumId w:val="202"/>
  </w:num>
  <w:num w:numId="81">
    <w:abstractNumId w:val="139"/>
  </w:num>
  <w:num w:numId="82">
    <w:abstractNumId w:val="87"/>
  </w:num>
  <w:num w:numId="83">
    <w:abstractNumId w:val="58"/>
  </w:num>
  <w:num w:numId="84">
    <w:abstractNumId w:val="220"/>
  </w:num>
  <w:num w:numId="85">
    <w:abstractNumId w:val="146"/>
  </w:num>
  <w:num w:numId="86">
    <w:abstractNumId w:val="277"/>
  </w:num>
  <w:num w:numId="87">
    <w:abstractNumId w:val="12"/>
  </w:num>
  <w:num w:numId="88">
    <w:abstractNumId w:val="194"/>
  </w:num>
  <w:num w:numId="89">
    <w:abstractNumId w:val="153"/>
  </w:num>
  <w:num w:numId="90">
    <w:abstractNumId w:val="213"/>
  </w:num>
  <w:num w:numId="91">
    <w:abstractNumId w:val="189"/>
  </w:num>
  <w:num w:numId="92">
    <w:abstractNumId w:val="57"/>
  </w:num>
  <w:num w:numId="93">
    <w:abstractNumId w:val="141"/>
  </w:num>
  <w:num w:numId="94">
    <w:abstractNumId w:val="24"/>
  </w:num>
  <w:num w:numId="95">
    <w:abstractNumId w:val="167"/>
  </w:num>
  <w:num w:numId="96">
    <w:abstractNumId w:val="238"/>
  </w:num>
  <w:num w:numId="97">
    <w:abstractNumId w:val="180"/>
  </w:num>
  <w:num w:numId="98">
    <w:abstractNumId w:val="227"/>
  </w:num>
  <w:num w:numId="99">
    <w:abstractNumId w:val="56"/>
  </w:num>
  <w:num w:numId="100">
    <w:abstractNumId w:val="20"/>
  </w:num>
  <w:num w:numId="101">
    <w:abstractNumId w:val="80"/>
  </w:num>
  <w:num w:numId="102">
    <w:abstractNumId w:val="102"/>
  </w:num>
  <w:num w:numId="103">
    <w:abstractNumId w:val="111"/>
  </w:num>
  <w:num w:numId="104">
    <w:abstractNumId w:val="127"/>
  </w:num>
  <w:num w:numId="105">
    <w:abstractNumId w:val="183"/>
  </w:num>
  <w:num w:numId="106">
    <w:abstractNumId w:val="287"/>
  </w:num>
  <w:num w:numId="107">
    <w:abstractNumId w:val="150"/>
  </w:num>
  <w:num w:numId="108">
    <w:abstractNumId w:val="152"/>
  </w:num>
  <w:num w:numId="109">
    <w:abstractNumId w:val="120"/>
  </w:num>
  <w:num w:numId="110">
    <w:abstractNumId w:val="177"/>
  </w:num>
  <w:num w:numId="111">
    <w:abstractNumId w:val="113"/>
  </w:num>
  <w:num w:numId="112">
    <w:abstractNumId w:val="135"/>
  </w:num>
  <w:num w:numId="113">
    <w:abstractNumId w:val="39"/>
  </w:num>
  <w:num w:numId="114">
    <w:abstractNumId w:val="156"/>
  </w:num>
  <w:num w:numId="115">
    <w:abstractNumId w:val="257"/>
  </w:num>
  <w:num w:numId="116">
    <w:abstractNumId w:val="100"/>
  </w:num>
  <w:num w:numId="117">
    <w:abstractNumId w:val="267"/>
  </w:num>
  <w:num w:numId="118">
    <w:abstractNumId w:val="72"/>
  </w:num>
  <w:num w:numId="119">
    <w:abstractNumId w:val="165"/>
  </w:num>
  <w:num w:numId="120">
    <w:abstractNumId w:val="168"/>
  </w:num>
  <w:num w:numId="121">
    <w:abstractNumId w:val="122"/>
  </w:num>
  <w:num w:numId="122">
    <w:abstractNumId w:val="69"/>
  </w:num>
  <w:num w:numId="123">
    <w:abstractNumId w:val="54"/>
  </w:num>
  <w:num w:numId="124">
    <w:abstractNumId w:val="243"/>
  </w:num>
  <w:num w:numId="125">
    <w:abstractNumId w:val="225"/>
  </w:num>
  <w:num w:numId="126">
    <w:abstractNumId w:val="263"/>
  </w:num>
  <w:num w:numId="127">
    <w:abstractNumId w:val="211"/>
  </w:num>
  <w:num w:numId="128">
    <w:abstractNumId w:val="288"/>
  </w:num>
  <w:num w:numId="129">
    <w:abstractNumId w:val="60"/>
  </w:num>
  <w:num w:numId="130">
    <w:abstractNumId w:val="241"/>
  </w:num>
  <w:num w:numId="131">
    <w:abstractNumId w:val="260"/>
  </w:num>
  <w:num w:numId="132">
    <w:abstractNumId w:val="50"/>
  </w:num>
  <w:num w:numId="133">
    <w:abstractNumId w:val="239"/>
  </w:num>
  <w:num w:numId="134">
    <w:abstractNumId w:val="53"/>
  </w:num>
  <w:num w:numId="135">
    <w:abstractNumId w:val="136"/>
  </w:num>
  <w:num w:numId="136">
    <w:abstractNumId w:val="92"/>
  </w:num>
  <w:num w:numId="137">
    <w:abstractNumId w:val="170"/>
  </w:num>
  <w:num w:numId="138">
    <w:abstractNumId w:val="275"/>
  </w:num>
  <w:num w:numId="139">
    <w:abstractNumId w:val="171"/>
  </w:num>
  <w:num w:numId="140">
    <w:abstractNumId w:val="219"/>
  </w:num>
  <w:num w:numId="141">
    <w:abstractNumId w:val="18"/>
  </w:num>
  <w:num w:numId="142">
    <w:abstractNumId w:val="78"/>
  </w:num>
  <w:num w:numId="143">
    <w:abstractNumId w:val="37"/>
  </w:num>
  <w:num w:numId="144">
    <w:abstractNumId w:val="249"/>
  </w:num>
  <w:num w:numId="145">
    <w:abstractNumId w:val="291"/>
  </w:num>
  <w:num w:numId="146">
    <w:abstractNumId w:val="130"/>
  </w:num>
  <w:num w:numId="147">
    <w:abstractNumId w:val="106"/>
  </w:num>
  <w:num w:numId="148">
    <w:abstractNumId w:val="95"/>
  </w:num>
  <w:num w:numId="149">
    <w:abstractNumId w:val="215"/>
  </w:num>
  <w:num w:numId="150">
    <w:abstractNumId w:val="55"/>
  </w:num>
  <w:num w:numId="151">
    <w:abstractNumId w:val="17"/>
  </w:num>
  <w:num w:numId="152">
    <w:abstractNumId w:val="119"/>
  </w:num>
  <w:num w:numId="153">
    <w:abstractNumId w:val="250"/>
  </w:num>
  <w:num w:numId="154">
    <w:abstractNumId w:val="81"/>
  </w:num>
  <w:num w:numId="155">
    <w:abstractNumId w:val="77"/>
  </w:num>
  <w:num w:numId="156">
    <w:abstractNumId w:val="154"/>
  </w:num>
  <w:num w:numId="157">
    <w:abstractNumId w:val="231"/>
  </w:num>
  <w:num w:numId="158">
    <w:abstractNumId w:val="244"/>
  </w:num>
  <w:num w:numId="159">
    <w:abstractNumId w:val="209"/>
  </w:num>
  <w:num w:numId="160">
    <w:abstractNumId w:val="248"/>
  </w:num>
  <w:num w:numId="161">
    <w:abstractNumId w:val="117"/>
  </w:num>
  <w:num w:numId="162">
    <w:abstractNumId w:val="91"/>
  </w:num>
  <w:num w:numId="163">
    <w:abstractNumId w:val="254"/>
  </w:num>
  <w:num w:numId="164">
    <w:abstractNumId w:val="10"/>
  </w:num>
  <w:num w:numId="165">
    <w:abstractNumId w:val="19"/>
  </w:num>
  <w:num w:numId="166">
    <w:abstractNumId w:val="65"/>
  </w:num>
  <w:num w:numId="167">
    <w:abstractNumId w:val="71"/>
  </w:num>
  <w:num w:numId="168">
    <w:abstractNumId w:val="278"/>
  </w:num>
  <w:num w:numId="169">
    <w:abstractNumId w:val="279"/>
  </w:num>
  <w:num w:numId="170">
    <w:abstractNumId w:val="199"/>
  </w:num>
  <w:num w:numId="171">
    <w:abstractNumId w:val="293"/>
  </w:num>
  <w:num w:numId="172">
    <w:abstractNumId w:val="115"/>
  </w:num>
  <w:num w:numId="173">
    <w:abstractNumId w:val="94"/>
  </w:num>
  <w:num w:numId="174">
    <w:abstractNumId w:val="236"/>
  </w:num>
  <w:num w:numId="175">
    <w:abstractNumId w:val="200"/>
  </w:num>
  <w:num w:numId="176">
    <w:abstractNumId w:val="179"/>
  </w:num>
  <w:num w:numId="177">
    <w:abstractNumId w:val="270"/>
  </w:num>
  <w:num w:numId="178">
    <w:abstractNumId w:val="210"/>
  </w:num>
  <w:num w:numId="179">
    <w:abstractNumId w:val="137"/>
  </w:num>
  <w:num w:numId="180">
    <w:abstractNumId w:val="197"/>
  </w:num>
  <w:num w:numId="181">
    <w:abstractNumId w:val="98"/>
  </w:num>
  <w:num w:numId="182">
    <w:abstractNumId w:val="285"/>
  </w:num>
  <w:num w:numId="183">
    <w:abstractNumId w:val="198"/>
  </w:num>
  <w:num w:numId="184">
    <w:abstractNumId w:val="162"/>
  </w:num>
  <w:num w:numId="185">
    <w:abstractNumId w:val="124"/>
  </w:num>
  <w:num w:numId="186">
    <w:abstractNumId w:val="271"/>
  </w:num>
  <w:num w:numId="187">
    <w:abstractNumId w:val="205"/>
  </w:num>
  <w:num w:numId="188">
    <w:abstractNumId w:val="246"/>
  </w:num>
  <w:num w:numId="189">
    <w:abstractNumId w:val="206"/>
  </w:num>
  <w:num w:numId="190">
    <w:abstractNumId w:val="131"/>
  </w:num>
  <w:num w:numId="191">
    <w:abstractNumId w:val="273"/>
  </w:num>
  <w:num w:numId="192">
    <w:abstractNumId w:val="196"/>
  </w:num>
  <w:num w:numId="193">
    <w:abstractNumId w:val="8"/>
  </w:num>
  <w:num w:numId="194">
    <w:abstractNumId w:val="123"/>
  </w:num>
  <w:num w:numId="195">
    <w:abstractNumId w:val="233"/>
  </w:num>
  <w:num w:numId="196">
    <w:abstractNumId w:val="59"/>
  </w:num>
  <w:num w:numId="197">
    <w:abstractNumId w:val="15"/>
  </w:num>
  <w:num w:numId="198">
    <w:abstractNumId w:val="259"/>
  </w:num>
  <w:num w:numId="199">
    <w:abstractNumId w:val="232"/>
  </w:num>
  <w:num w:numId="200">
    <w:abstractNumId w:val="64"/>
  </w:num>
  <w:num w:numId="201">
    <w:abstractNumId w:val="13"/>
  </w:num>
  <w:num w:numId="202">
    <w:abstractNumId w:val="295"/>
  </w:num>
  <w:num w:numId="203">
    <w:abstractNumId w:val="14"/>
  </w:num>
  <w:num w:numId="204">
    <w:abstractNumId w:val="230"/>
  </w:num>
  <w:num w:numId="205">
    <w:abstractNumId w:val="16"/>
  </w:num>
  <w:num w:numId="206">
    <w:abstractNumId w:val="226"/>
  </w:num>
  <w:num w:numId="207">
    <w:abstractNumId w:val="27"/>
  </w:num>
  <w:num w:numId="208">
    <w:abstractNumId w:val="28"/>
  </w:num>
  <w:num w:numId="209">
    <w:abstractNumId w:val="174"/>
  </w:num>
  <w:num w:numId="210">
    <w:abstractNumId w:val="32"/>
  </w:num>
  <w:num w:numId="211">
    <w:abstractNumId w:val="96"/>
  </w:num>
  <w:num w:numId="212">
    <w:abstractNumId w:val="290"/>
  </w:num>
  <w:num w:numId="213">
    <w:abstractNumId w:val="224"/>
  </w:num>
  <w:num w:numId="214">
    <w:abstractNumId w:val="109"/>
  </w:num>
  <w:num w:numId="215">
    <w:abstractNumId w:val="23"/>
  </w:num>
  <w:num w:numId="216">
    <w:abstractNumId w:val="261"/>
  </w:num>
  <w:num w:numId="217">
    <w:abstractNumId w:val="234"/>
  </w:num>
  <w:num w:numId="218">
    <w:abstractNumId w:val="160"/>
  </w:num>
  <w:num w:numId="219">
    <w:abstractNumId w:val="34"/>
  </w:num>
  <w:num w:numId="220">
    <w:abstractNumId w:val="159"/>
  </w:num>
  <w:num w:numId="221">
    <w:abstractNumId w:val="157"/>
  </w:num>
  <w:num w:numId="222">
    <w:abstractNumId w:val="83"/>
  </w:num>
  <w:num w:numId="223">
    <w:abstractNumId w:val="25"/>
  </w:num>
  <w:num w:numId="224">
    <w:abstractNumId w:val="282"/>
  </w:num>
  <w:num w:numId="225">
    <w:abstractNumId w:val="284"/>
  </w:num>
  <w:num w:numId="226">
    <w:abstractNumId w:val="110"/>
  </w:num>
  <w:num w:numId="227">
    <w:abstractNumId w:val="208"/>
  </w:num>
  <w:num w:numId="228">
    <w:abstractNumId w:val="148"/>
  </w:num>
  <w:num w:numId="229">
    <w:abstractNumId w:val="108"/>
  </w:num>
  <w:num w:numId="230">
    <w:abstractNumId w:val="70"/>
  </w:num>
  <w:num w:numId="231">
    <w:abstractNumId w:val="33"/>
  </w:num>
  <w:num w:numId="232">
    <w:abstractNumId w:val="76"/>
  </w:num>
  <w:num w:numId="233">
    <w:abstractNumId w:val="73"/>
  </w:num>
  <w:num w:numId="234">
    <w:abstractNumId w:val="223"/>
  </w:num>
  <w:num w:numId="235">
    <w:abstractNumId w:val="201"/>
  </w:num>
  <w:num w:numId="236">
    <w:abstractNumId w:val="86"/>
  </w:num>
  <w:num w:numId="237">
    <w:abstractNumId w:val="276"/>
  </w:num>
  <w:num w:numId="238">
    <w:abstractNumId w:val="251"/>
  </w:num>
  <w:num w:numId="239">
    <w:abstractNumId w:val="235"/>
  </w:num>
  <w:num w:numId="240">
    <w:abstractNumId w:val="48"/>
  </w:num>
  <w:num w:numId="241">
    <w:abstractNumId w:val="247"/>
  </w:num>
  <w:num w:numId="242">
    <w:abstractNumId w:val="255"/>
  </w:num>
  <w:num w:numId="243">
    <w:abstractNumId w:val="45"/>
  </w:num>
  <w:num w:numId="244">
    <w:abstractNumId w:val="90"/>
  </w:num>
  <w:num w:numId="245">
    <w:abstractNumId w:val="67"/>
  </w:num>
  <w:num w:numId="246">
    <w:abstractNumId w:val="240"/>
  </w:num>
  <w:num w:numId="247">
    <w:abstractNumId w:val="191"/>
  </w:num>
  <w:num w:numId="248">
    <w:abstractNumId w:val="68"/>
  </w:num>
  <w:num w:numId="249">
    <w:abstractNumId w:val="188"/>
  </w:num>
  <w:num w:numId="250">
    <w:abstractNumId w:val="178"/>
  </w:num>
  <w:num w:numId="251">
    <w:abstractNumId w:val="51"/>
  </w:num>
  <w:num w:numId="252">
    <w:abstractNumId w:val="125"/>
  </w:num>
  <w:num w:numId="253">
    <w:abstractNumId w:val="207"/>
  </w:num>
  <w:num w:numId="254">
    <w:abstractNumId w:val="216"/>
  </w:num>
  <w:num w:numId="255">
    <w:abstractNumId w:val="29"/>
  </w:num>
  <w:num w:numId="256">
    <w:abstractNumId w:val="104"/>
  </w:num>
  <w:num w:numId="257">
    <w:abstractNumId w:val="114"/>
  </w:num>
  <w:num w:numId="258">
    <w:abstractNumId w:val="163"/>
  </w:num>
  <w:num w:numId="259">
    <w:abstractNumId w:val="186"/>
  </w:num>
  <w:num w:numId="260">
    <w:abstractNumId w:val="182"/>
  </w:num>
  <w:num w:numId="261">
    <w:abstractNumId w:val="262"/>
  </w:num>
  <w:num w:numId="262">
    <w:abstractNumId w:val="164"/>
  </w:num>
  <w:num w:numId="263">
    <w:abstractNumId w:val="151"/>
  </w:num>
  <w:num w:numId="264">
    <w:abstractNumId w:val="132"/>
  </w:num>
  <w:num w:numId="265">
    <w:abstractNumId w:val="61"/>
  </w:num>
  <w:num w:numId="266">
    <w:abstractNumId w:val="172"/>
  </w:num>
  <w:num w:numId="267">
    <w:abstractNumId w:val="74"/>
  </w:num>
  <w:num w:numId="268">
    <w:abstractNumId w:val="253"/>
  </w:num>
  <w:num w:numId="269">
    <w:abstractNumId w:val="281"/>
  </w:num>
  <w:num w:numId="270">
    <w:abstractNumId w:val="266"/>
  </w:num>
  <w:num w:numId="271">
    <w:abstractNumId w:val="133"/>
  </w:num>
  <w:num w:numId="272">
    <w:abstractNumId w:val="47"/>
  </w:num>
  <w:num w:numId="273">
    <w:abstractNumId w:val="126"/>
  </w:num>
  <w:num w:numId="274">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52"/>
  </w:num>
  <w:num w:numId="279">
    <w:abstractNumId w:val="245"/>
  </w:num>
  <w:num w:numId="280">
    <w:abstractNumId w:val="258"/>
  </w:num>
  <w:num w:numId="281">
    <w:abstractNumId w:val="217"/>
  </w:num>
  <w:num w:numId="282">
    <w:abstractNumId w:val="140"/>
  </w:num>
  <w:num w:numId="283">
    <w:abstractNumId w:val="268"/>
  </w:num>
  <w:num w:numId="284">
    <w:abstractNumId w:val="142"/>
  </w:num>
  <w:num w:numId="285">
    <w:abstractNumId w:val="218"/>
  </w:num>
  <w:num w:numId="286">
    <w:abstractNumId w:val="116"/>
  </w:num>
  <w:num w:numId="287">
    <w:abstractNumId w:val="274"/>
  </w:num>
  <w:num w:numId="288">
    <w:abstractNumId w:val="42"/>
  </w:num>
  <w:num w:numId="289">
    <w:abstractNumId w:val="252"/>
  </w:num>
  <w:num w:numId="290">
    <w:abstractNumId w:val="272"/>
  </w:num>
  <w:num w:numId="291">
    <w:abstractNumId w:val="203"/>
  </w:num>
  <w:numIdMacAtCleanup w:val="2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U2NLE0MjYwNTQ0NzVU0lEKTi0uzszPAykwrAUAaRCJPCwAAAA="/>
  </w:docVars>
  <w:rsids>
    <w:rsidRoot w:val="00187BA3"/>
    <w:rsid w:val="00001800"/>
    <w:rsid w:val="0001073F"/>
    <w:rsid w:val="00013C75"/>
    <w:rsid w:val="00015B13"/>
    <w:rsid w:val="00015EE5"/>
    <w:rsid w:val="000171A1"/>
    <w:rsid w:val="000178E1"/>
    <w:rsid w:val="000215FE"/>
    <w:rsid w:val="00021FC9"/>
    <w:rsid w:val="00021FEA"/>
    <w:rsid w:val="000309FC"/>
    <w:rsid w:val="000314A6"/>
    <w:rsid w:val="000322E4"/>
    <w:rsid w:val="00034E4B"/>
    <w:rsid w:val="000366BC"/>
    <w:rsid w:val="00040660"/>
    <w:rsid w:val="000414F6"/>
    <w:rsid w:val="00043202"/>
    <w:rsid w:val="00043F95"/>
    <w:rsid w:val="00047821"/>
    <w:rsid w:val="00051F38"/>
    <w:rsid w:val="000555C9"/>
    <w:rsid w:val="00056C09"/>
    <w:rsid w:val="000578EF"/>
    <w:rsid w:val="00057D82"/>
    <w:rsid w:val="0006156A"/>
    <w:rsid w:val="00062D82"/>
    <w:rsid w:val="000638F3"/>
    <w:rsid w:val="00063D1A"/>
    <w:rsid w:val="000648CE"/>
    <w:rsid w:val="00064FEC"/>
    <w:rsid w:val="000653FA"/>
    <w:rsid w:val="000657A8"/>
    <w:rsid w:val="00065D0C"/>
    <w:rsid w:val="000718D1"/>
    <w:rsid w:val="00071B0D"/>
    <w:rsid w:val="0007206A"/>
    <w:rsid w:val="00072ECA"/>
    <w:rsid w:val="0007729C"/>
    <w:rsid w:val="0007784C"/>
    <w:rsid w:val="00077D58"/>
    <w:rsid w:val="00080840"/>
    <w:rsid w:val="00080B1D"/>
    <w:rsid w:val="00085E80"/>
    <w:rsid w:val="00087552"/>
    <w:rsid w:val="00094ED6"/>
    <w:rsid w:val="000958E3"/>
    <w:rsid w:val="00096860"/>
    <w:rsid w:val="00097073"/>
    <w:rsid w:val="00097E92"/>
    <w:rsid w:val="000A277C"/>
    <w:rsid w:val="000A457B"/>
    <w:rsid w:val="000A6C7F"/>
    <w:rsid w:val="000A6EAB"/>
    <w:rsid w:val="000B0DCD"/>
    <w:rsid w:val="000B247A"/>
    <w:rsid w:val="000B7635"/>
    <w:rsid w:val="000B7A71"/>
    <w:rsid w:val="000C58AB"/>
    <w:rsid w:val="000C7575"/>
    <w:rsid w:val="000D4484"/>
    <w:rsid w:val="000D5584"/>
    <w:rsid w:val="000E02DD"/>
    <w:rsid w:val="000E123F"/>
    <w:rsid w:val="000E14DB"/>
    <w:rsid w:val="000E2605"/>
    <w:rsid w:val="000E2BA9"/>
    <w:rsid w:val="000E45D4"/>
    <w:rsid w:val="000E5A78"/>
    <w:rsid w:val="000E7A54"/>
    <w:rsid w:val="000F1BAF"/>
    <w:rsid w:val="000F4D7F"/>
    <w:rsid w:val="00101310"/>
    <w:rsid w:val="00101F95"/>
    <w:rsid w:val="001035CE"/>
    <w:rsid w:val="00103620"/>
    <w:rsid w:val="0011642B"/>
    <w:rsid w:val="00116B73"/>
    <w:rsid w:val="00122110"/>
    <w:rsid w:val="00125C10"/>
    <w:rsid w:val="001260FA"/>
    <w:rsid w:val="00131A9A"/>
    <w:rsid w:val="00135B14"/>
    <w:rsid w:val="00140246"/>
    <w:rsid w:val="00143DAF"/>
    <w:rsid w:val="00144C58"/>
    <w:rsid w:val="00146FA3"/>
    <w:rsid w:val="00150FA6"/>
    <w:rsid w:val="0015288D"/>
    <w:rsid w:val="001528A9"/>
    <w:rsid w:val="00152CDD"/>
    <w:rsid w:val="0015481C"/>
    <w:rsid w:val="00155462"/>
    <w:rsid w:val="001565D2"/>
    <w:rsid w:val="00161351"/>
    <w:rsid w:val="00164FEE"/>
    <w:rsid w:val="001662C9"/>
    <w:rsid w:val="00170E50"/>
    <w:rsid w:val="00171D80"/>
    <w:rsid w:val="00172112"/>
    <w:rsid w:val="001730AB"/>
    <w:rsid w:val="001739BA"/>
    <w:rsid w:val="00174593"/>
    <w:rsid w:val="0017531C"/>
    <w:rsid w:val="00175C52"/>
    <w:rsid w:val="00182B95"/>
    <w:rsid w:val="00185239"/>
    <w:rsid w:val="00185A7E"/>
    <w:rsid w:val="00186C35"/>
    <w:rsid w:val="00187BA3"/>
    <w:rsid w:val="00193D82"/>
    <w:rsid w:val="001A3F5A"/>
    <w:rsid w:val="001A55B7"/>
    <w:rsid w:val="001B13FE"/>
    <w:rsid w:val="001B6771"/>
    <w:rsid w:val="001B6C0A"/>
    <w:rsid w:val="001C217F"/>
    <w:rsid w:val="001C476D"/>
    <w:rsid w:val="001C71C5"/>
    <w:rsid w:val="001D24E4"/>
    <w:rsid w:val="001D28F8"/>
    <w:rsid w:val="001D40F8"/>
    <w:rsid w:val="001D484A"/>
    <w:rsid w:val="001E05D1"/>
    <w:rsid w:val="001E1A3A"/>
    <w:rsid w:val="001E4047"/>
    <w:rsid w:val="001E738E"/>
    <w:rsid w:val="001E7C83"/>
    <w:rsid w:val="001F1449"/>
    <w:rsid w:val="001F2346"/>
    <w:rsid w:val="001F29B4"/>
    <w:rsid w:val="001F4833"/>
    <w:rsid w:val="001F4A3C"/>
    <w:rsid w:val="001F5BC1"/>
    <w:rsid w:val="001F60B9"/>
    <w:rsid w:val="001F6712"/>
    <w:rsid w:val="002022B0"/>
    <w:rsid w:val="002024D4"/>
    <w:rsid w:val="00204469"/>
    <w:rsid w:val="00207691"/>
    <w:rsid w:val="0020771B"/>
    <w:rsid w:val="00210FA0"/>
    <w:rsid w:val="00212EF5"/>
    <w:rsid w:val="002145F1"/>
    <w:rsid w:val="002165EA"/>
    <w:rsid w:val="0021676E"/>
    <w:rsid w:val="002177F4"/>
    <w:rsid w:val="00221384"/>
    <w:rsid w:val="002215D8"/>
    <w:rsid w:val="00224547"/>
    <w:rsid w:val="00227150"/>
    <w:rsid w:val="00231660"/>
    <w:rsid w:val="00231F54"/>
    <w:rsid w:val="00233F79"/>
    <w:rsid w:val="00247551"/>
    <w:rsid w:val="0025228A"/>
    <w:rsid w:val="00255B40"/>
    <w:rsid w:val="00256D37"/>
    <w:rsid w:val="00260AFA"/>
    <w:rsid w:val="00260D24"/>
    <w:rsid w:val="00262CC3"/>
    <w:rsid w:val="00263322"/>
    <w:rsid w:val="00265111"/>
    <w:rsid w:val="002651E9"/>
    <w:rsid w:val="002667AE"/>
    <w:rsid w:val="00270A52"/>
    <w:rsid w:val="00270FAF"/>
    <w:rsid w:val="00271F07"/>
    <w:rsid w:val="002736BA"/>
    <w:rsid w:val="002758A4"/>
    <w:rsid w:val="00275A41"/>
    <w:rsid w:val="00284A3D"/>
    <w:rsid w:val="002853BB"/>
    <w:rsid w:val="00285B5C"/>
    <w:rsid w:val="00286EF8"/>
    <w:rsid w:val="002902DF"/>
    <w:rsid w:val="00290650"/>
    <w:rsid w:val="002929B1"/>
    <w:rsid w:val="00293480"/>
    <w:rsid w:val="002A0C02"/>
    <w:rsid w:val="002A1864"/>
    <w:rsid w:val="002A5F06"/>
    <w:rsid w:val="002A607D"/>
    <w:rsid w:val="002A7272"/>
    <w:rsid w:val="002B377C"/>
    <w:rsid w:val="002B5243"/>
    <w:rsid w:val="002C0F8E"/>
    <w:rsid w:val="002C165F"/>
    <w:rsid w:val="002C2CFC"/>
    <w:rsid w:val="002C5128"/>
    <w:rsid w:val="002C7010"/>
    <w:rsid w:val="002D13CA"/>
    <w:rsid w:val="002D2CF7"/>
    <w:rsid w:val="002D6604"/>
    <w:rsid w:val="002E0979"/>
    <w:rsid w:val="002E0F4E"/>
    <w:rsid w:val="002E5945"/>
    <w:rsid w:val="002E6441"/>
    <w:rsid w:val="002E6588"/>
    <w:rsid w:val="002E6B0E"/>
    <w:rsid w:val="002E6C4C"/>
    <w:rsid w:val="002E795F"/>
    <w:rsid w:val="002E7C19"/>
    <w:rsid w:val="002F1B85"/>
    <w:rsid w:val="002F38B6"/>
    <w:rsid w:val="002F7719"/>
    <w:rsid w:val="003002AD"/>
    <w:rsid w:val="00301C01"/>
    <w:rsid w:val="00303629"/>
    <w:rsid w:val="00306810"/>
    <w:rsid w:val="00310255"/>
    <w:rsid w:val="00311757"/>
    <w:rsid w:val="003117D0"/>
    <w:rsid w:val="003122E1"/>
    <w:rsid w:val="00315A5D"/>
    <w:rsid w:val="003177AD"/>
    <w:rsid w:val="0032061E"/>
    <w:rsid w:val="003263CD"/>
    <w:rsid w:val="0033051F"/>
    <w:rsid w:val="003329C6"/>
    <w:rsid w:val="00334F6C"/>
    <w:rsid w:val="00337A20"/>
    <w:rsid w:val="00342EE0"/>
    <w:rsid w:val="003430E6"/>
    <w:rsid w:val="00347A28"/>
    <w:rsid w:val="00350858"/>
    <w:rsid w:val="003527A8"/>
    <w:rsid w:val="0035419A"/>
    <w:rsid w:val="00354395"/>
    <w:rsid w:val="00357C19"/>
    <w:rsid w:val="00364741"/>
    <w:rsid w:val="003670CE"/>
    <w:rsid w:val="0036727F"/>
    <w:rsid w:val="00370263"/>
    <w:rsid w:val="00371DE0"/>
    <w:rsid w:val="003730F6"/>
    <w:rsid w:val="003741B5"/>
    <w:rsid w:val="0037752C"/>
    <w:rsid w:val="0038078F"/>
    <w:rsid w:val="00381476"/>
    <w:rsid w:val="00384B6A"/>
    <w:rsid w:val="0038545E"/>
    <w:rsid w:val="0039190D"/>
    <w:rsid w:val="00392E36"/>
    <w:rsid w:val="00396F46"/>
    <w:rsid w:val="003A0423"/>
    <w:rsid w:val="003A0E7E"/>
    <w:rsid w:val="003A282F"/>
    <w:rsid w:val="003A4E57"/>
    <w:rsid w:val="003A661A"/>
    <w:rsid w:val="003B006C"/>
    <w:rsid w:val="003B0404"/>
    <w:rsid w:val="003B13B6"/>
    <w:rsid w:val="003B1A7D"/>
    <w:rsid w:val="003B35F7"/>
    <w:rsid w:val="003B392D"/>
    <w:rsid w:val="003B604F"/>
    <w:rsid w:val="003C0FA3"/>
    <w:rsid w:val="003D3A29"/>
    <w:rsid w:val="003D6DE3"/>
    <w:rsid w:val="003D7CD6"/>
    <w:rsid w:val="003E0500"/>
    <w:rsid w:val="003E2397"/>
    <w:rsid w:val="003E254E"/>
    <w:rsid w:val="003E29AE"/>
    <w:rsid w:val="003F0349"/>
    <w:rsid w:val="003F04E7"/>
    <w:rsid w:val="003F0AA9"/>
    <w:rsid w:val="003F7029"/>
    <w:rsid w:val="00401821"/>
    <w:rsid w:val="00401CD5"/>
    <w:rsid w:val="00402333"/>
    <w:rsid w:val="0040701D"/>
    <w:rsid w:val="00407213"/>
    <w:rsid w:val="00407F32"/>
    <w:rsid w:val="00410741"/>
    <w:rsid w:val="004158BC"/>
    <w:rsid w:val="00416CC7"/>
    <w:rsid w:val="00417BB2"/>
    <w:rsid w:val="00422C46"/>
    <w:rsid w:val="004252FC"/>
    <w:rsid w:val="00427B0E"/>
    <w:rsid w:val="004307E2"/>
    <w:rsid w:val="00434A06"/>
    <w:rsid w:val="00435096"/>
    <w:rsid w:val="00435A99"/>
    <w:rsid w:val="00441E32"/>
    <w:rsid w:val="004436C7"/>
    <w:rsid w:val="0044532A"/>
    <w:rsid w:val="00455425"/>
    <w:rsid w:val="00456685"/>
    <w:rsid w:val="0045789C"/>
    <w:rsid w:val="004617E2"/>
    <w:rsid w:val="00467FA0"/>
    <w:rsid w:val="0047349C"/>
    <w:rsid w:val="00476949"/>
    <w:rsid w:val="00480B19"/>
    <w:rsid w:val="0048745A"/>
    <w:rsid w:val="004914BD"/>
    <w:rsid w:val="004930CF"/>
    <w:rsid w:val="00494319"/>
    <w:rsid w:val="004957AB"/>
    <w:rsid w:val="004957E5"/>
    <w:rsid w:val="0049584C"/>
    <w:rsid w:val="00496F35"/>
    <w:rsid w:val="00497137"/>
    <w:rsid w:val="004978B3"/>
    <w:rsid w:val="004A0BA3"/>
    <w:rsid w:val="004A21C0"/>
    <w:rsid w:val="004A345B"/>
    <w:rsid w:val="004A4684"/>
    <w:rsid w:val="004A588D"/>
    <w:rsid w:val="004A7406"/>
    <w:rsid w:val="004A781E"/>
    <w:rsid w:val="004B1A79"/>
    <w:rsid w:val="004B7BA3"/>
    <w:rsid w:val="004C0214"/>
    <w:rsid w:val="004C0EED"/>
    <w:rsid w:val="004C2E09"/>
    <w:rsid w:val="004C3380"/>
    <w:rsid w:val="004C51FF"/>
    <w:rsid w:val="004C6DE4"/>
    <w:rsid w:val="004C7535"/>
    <w:rsid w:val="004D011A"/>
    <w:rsid w:val="004D0FE7"/>
    <w:rsid w:val="004D1259"/>
    <w:rsid w:val="004D1B5D"/>
    <w:rsid w:val="004D306A"/>
    <w:rsid w:val="004D6B87"/>
    <w:rsid w:val="004E1288"/>
    <w:rsid w:val="004E5E50"/>
    <w:rsid w:val="004F0134"/>
    <w:rsid w:val="004F413D"/>
    <w:rsid w:val="004F4F24"/>
    <w:rsid w:val="004F7E2E"/>
    <w:rsid w:val="005008F9"/>
    <w:rsid w:val="00510F53"/>
    <w:rsid w:val="00512374"/>
    <w:rsid w:val="00514D9A"/>
    <w:rsid w:val="0052193F"/>
    <w:rsid w:val="005219AF"/>
    <w:rsid w:val="0052462B"/>
    <w:rsid w:val="0052679E"/>
    <w:rsid w:val="00527A4D"/>
    <w:rsid w:val="00537471"/>
    <w:rsid w:val="005413BC"/>
    <w:rsid w:val="00543365"/>
    <w:rsid w:val="00546683"/>
    <w:rsid w:val="005469FC"/>
    <w:rsid w:val="00554450"/>
    <w:rsid w:val="00557EAE"/>
    <w:rsid w:val="00562435"/>
    <w:rsid w:val="005627B3"/>
    <w:rsid w:val="00562845"/>
    <w:rsid w:val="0056407D"/>
    <w:rsid w:val="00566FC8"/>
    <w:rsid w:val="005708CB"/>
    <w:rsid w:val="00571482"/>
    <w:rsid w:val="0057542B"/>
    <w:rsid w:val="00576B90"/>
    <w:rsid w:val="00577102"/>
    <w:rsid w:val="005802BC"/>
    <w:rsid w:val="00583004"/>
    <w:rsid w:val="00586362"/>
    <w:rsid w:val="005873C2"/>
    <w:rsid w:val="00587F4A"/>
    <w:rsid w:val="00593501"/>
    <w:rsid w:val="0059540F"/>
    <w:rsid w:val="00597026"/>
    <w:rsid w:val="005A2396"/>
    <w:rsid w:val="005A50FB"/>
    <w:rsid w:val="005B0324"/>
    <w:rsid w:val="005B0A67"/>
    <w:rsid w:val="005B2989"/>
    <w:rsid w:val="005B54C3"/>
    <w:rsid w:val="005B6D15"/>
    <w:rsid w:val="005B7062"/>
    <w:rsid w:val="005B7DE0"/>
    <w:rsid w:val="005C1E9B"/>
    <w:rsid w:val="005C2AD2"/>
    <w:rsid w:val="005C2F6B"/>
    <w:rsid w:val="005C347F"/>
    <w:rsid w:val="005C5D2F"/>
    <w:rsid w:val="005C7877"/>
    <w:rsid w:val="005D0A68"/>
    <w:rsid w:val="005D4E90"/>
    <w:rsid w:val="005D72F0"/>
    <w:rsid w:val="005E0445"/>
    <w:rsid w:val="005E0767"/>
    <w:rsid w:val="005E12CF"/>
    <w:rsid w:val="005F2D66"/>
    <w:rsid w:val="005F44A0"/>
    <w:rsid w:val="005F4BC9"/>
    <w:rsid w:val="005F668D"/>
    <w:rsid w:val="0060254C"/>
    <w:rsid w:val="00613DB8"/>
    <w:rsid w:val="00622670"/>
    <w:rsid w:val="00623BAE"/>
    <w:rsid w:val="00624119"/>
    <w:rsid w:val="00624531"/>
    <w:rsid w:val="006250AC"/>
    <w:rsid w:val="0062529D"/>
    <w:rsid w:val="0062583E"/>
    <w:rsid w:val="006364D5"/>
    <w:rsid w:val="006371BE"/>
    <w:rsid w:val="0064071E"/>
    <w:rsid w:val="006409DD"/>
    <w:rsid w:val="006425FF"/>
    <w:rsid w:val="006446FF"/>
    <w:rsid w:val="006447F6"/>
    <w:rsid w:val="00647F84"/>
    <w:rsid w:val="006534F0"/>
    <w:rsid w:val="00653525"/>
    <w:rsid w:val="00655C97"/>
    <w:rsid w:val="006619AD"/>
    <w:rsid w:val="00663970"/>
    <w:rsid w:val="0066485C"/>
    <w:rsid w:val="0066496D"/>
    <w:rsid w:val="00665A6C"/>
    <w:rsid w:val="00665C29"/>
    <w:rsid w:val="00666D68"/>
    <w:rsid w:val="0066740A"/>
    <w:rsid w:val="00674635"/>
    <w:rsid w:val="00684975"/>
    <w:rsid w:val="00685BEC"/>
    <w:rsid w:val="0068676A"/>
    <w:rsid w:val="0068704A"/>
    <w:rsid w:val="00690549"/>
    <w:rsid w:val="0069234F"/>
    <w:rsid w:val="00695151"/>
    <w:rsid w:val="00697943"/>
    <w:rsid w:val="006A5F00"/>
    <w:rsid w:val="006A608F"/>
    <w:rsid w:val="006A6862"/>
    <w:rsid w:val="006B29A4"/>
    <w:rsid w:val="006B6073"/>
    <w:rsid w:val="006C029F"/>
    <w:rsid w:val="006C0C64"/>
    <w:rsid w:val="006C3E0B"/>
    <w:rsid w:val="006C476A"/>
    <w:rsid w:val="006C4781"/>
    <w:rsid w:val="006C6AB6"/>
    <w:rsid w:val="006C7FA2"/>
    <w:rsid w:val="006D0BE5"/>
    <w:rsid w:val="006D2D89"/>
    <w:rsid w:val="006D44E2"/>
    <w:rsid w:val="006E0A80"/>
    <w:rsid w:val="006E172F"/>
    <w:rsid w:val="006E1ADA"/>
    <w:rsid w:val="006E20DB"/>
    <w:rsid w:val="006E5F42"/>
    <w:rsid w:val="006E5FC2"/>
    <w:rsid w:val="006E60A8"/>
    <w:rsid w:val="006E6304"/>
    <w:rsid w:val="006F29CD"/>
    <w:rsid w:val="007026B1"/>
    <w:rsid w:val="00702D8D"/>
    <w:rsid w:val="00706C57"/>
    <w:rsid w:val="0071141A"/>
    <w:rsid w:val="00716437"/>
    <w:rsid w:val="00721F93"/>
    <w:rsid w:val="00722E18"/>
    <w:rsid w:val="00723D11"/>
    <w:rsid w:val="0072615F"/>
    <w:rsid w:val="00733711"/>
    <w:rsid w:val="00733D6C"/>
    <w:rsid w:val="00737866"/>
    <w:rsid w:val="0074040E"/>
    <w:rsid w:val="007466F7"/>
    <w:rsid w:val="00746BF7"/>
    <w:rsid w:val="007501FB"/>
    <w:rsid w:val="0075206A"/>
    <w:rsid w:val="007524DF"/>
    <w:rsid w:val="00754DD3"/>
    <w:rsid w:val="00762B40"/>
    <w:rsid w:val="007671CE"/>
    <w:rsid w:val="007717F3"/>
    <w:rsid w:val="007726E0"/>
    <w:rsid w:val="0077688A"/>
    <w:rsid w:val="007818F7"/>
    <w:rsid w:val="00782FD6"/>
    <w:rsid w:val="0079074D"/>
    <w:rsid w:val="00791E66"/>
    <w:rsid w:val="0079328C"/>
    <w:rsid w:val="007936C4"/>
    <w:rsid w:val="00796731"/>
    <w:rsid w:val="007A10E9"/>
    <w:rsid w:val="007A1EFD"/>
    <w:rsid w:val="007A344D"/>
    <w:rsid w:val="007A52E6"/>
    <w:rsid w:val="007A7BCA"/>
    <w:rsid w:val="007B6060"/>
    <w:rsid w:val="007B620C"/>
    <w:rsid w:val="007B637A"/>
    <w:rsid w:val="007B772C"/>
    <w:rsid w:val="007C056A"/>
    <w:rsid w:val="007C15F9"/>
    <w:rsid w:val="007C17A0"/>
    <w:rsid w:val="007C1C15"/>
    <w:rsid w:val="007C378F"/>
    <w:rsid w:val="007C3C41"/>
    <w:rsid w:val="007D2D2B"/>
    <w:rsid w:val="007D42AC"/>
    <w:rsid w:val="007D4302"/>
    <w:rsid w:val="007E1018"/>
    <w:rsid w:val="007E272E"/>
    <w:rsid w:val="007E3301"/>
    <w:rsid w:val="007E429F"/>
    <w:rsid w:val="007E7369"/>
    <w:rsid w:val="007F2CD8"/>
    <w:rsid w:val="007F4661"/>
    <w:rsid w:val="007F529C"/>
    <w:rsid w:val="007F575F"/>
    <w:rsid w:val="007F6483"/>
    <w:rsid w:val="007F6C2B"/>
    <w:rsid w:val="007F72A9"/>
    <w:rsid w:val="007F795C"/>
    <w:rsid w:val="007F7B87"/>
    <w:rsid w:val="008001E4"/>
    <w:rsid w:val="008006F0"/>
    <w:rsid w:val="00802EFF"/>
    <w:rsid w:val="00803655"/>
    <w:rsid w:val="008042FE"/>
    <w:rsid w:val="008119CC"/>
    <w:rsid w:val="008141CB"/>
    <w:rsid w:val="0081627D"/>
    <w:rsid w:val="008174F3"/>
    <w:rsid w:val="008216A7"/>
    <w:rsid w:val="008243BE"/>
    <w:rsid w:val="00827223"/>
    <w:rsid w:val="00827F70"/>
    <w:rsid w:val="00831EAA"/>
    <w:rsid w:val="008327E3"/>
    <w:rsid w:val="00833EB7"/>
    <w:rsid w:val="00834102"/>
    <w:rsid w:val="00834AEB"/>
    <w:rsid w:val="008358AE"/>
    <w:rsid w:val="008371F9"/>
    <w:rsid w:val="00837BC5"/>
    <w:rsid w:val="00841C19"/>
    <w:rsid w:val="00841FEF"/>
    <w:rsid w:val="00845520"/>
    <w:rsid w:val="00853F07"/>
    <w:rsid w:val="00855E45"/>
    <w:rsid w:val="00861F2F"/>
    <w:rsid w:val="00864FD4"/>
    <w:rsid w:val="008679B5"/>
    <w:rsid w:val="00871548"/>
    <w:rsid w:val="00872B84"/>
    <w:rsid w:val="008762E9"/>
    <w:rsid w:val="00877EF5"/>
    <w:rsid w:val="00880FB4"/>
    <w:rsid w:val="00880FB8"/>
    <w:rsid w:val="00886B7D"/>
    <w:rsid w:val="00890B9B"/>
    <w:rsid w:val="00890C4B"/>
    <w:rsid w:val="0089207C"/>
    <w:rsid w:val="00894642"/>
    <w:rsid w:val="00895771"/>
    <w:rsid w:val="008964CF"/>
    <w:rsid w:val="00897B91"/>
    <w:rsid w:val="008A24EB"/>
    <w:rsid w:val="008A2747"/>
    <w:rsid w:val="008A39E5"/>
    <w:rsid w:val="008A40EA"/>
    <w:rsid w:val="008A7169"/>
    <w:rsid w:val="008A7E1B"/>
    <w:rsid w:val="008B02FA"/>
    <w:rsid w:val="008B0A4A"/>
    <w:rsid w:val="008B322C"/>
    <w:rsid w:val="008B453D"/>
    <w:rsid w:val="008B54CB"/>
    <w:rsid w:val="008C0296"/>
    <w:rsid w:val="008C24B5"/>
    <w:rsid w:val="008D5C85"/>
    <w:rsid w:val="008D6C00"/>
    <w:rsid w:val="008D6D89"/>
    <w:rsid w:val="008D6F8C"/>
    <w:rsid w:val="008E19BB"/>
    <w:rsid w:val="008E1B7D"/>
    <w:rsid w:val="008E1EF9"/>
    <w:rsid w:val="008E2118"/>
    <w:rsid w:val="008E3584"/>
    <w:rsid w:val="008E7EEC"/>
    <w:rsid w:val="008F298C"/>
    <w:rsid w:val="008F7A7C"/>
    <w:rsid w:val="00903272"/>
    <w:rsid w:val="00906BDC"/>
    <w:rsid w:val="00910303"/>
    <w:rsid w:val="009103C4"/>
    <w:rsid w:val="00911FEB"/>
    <w:rsid w:val="009133CF"/>
    <w:rsid w:val="0091604A"/>
    <w:rsid w:val="0092166A"/>
    <w:rsid w:val="00924161"/>
    <w:rsid w:val="00924918"/>
    <w:rsid w:val="009318D0"/>
    <w:rsid w:val="009324BA"/>
    <w:rsid w:val="009345DD"/>
    <w:rsid w:val="00934A9D"/>
    <w:rsid w:val="009359F4"/>
    <w:rsid w:val="009375D9"/>
    <w:rsid w:val="0094088A"/>
    <w:rsid w:val="009417DC"/>
    <w:rsid w:val="00941EC3"/>
    <w:rsid w:val="009423C8"/>
    <w:rsid w:val="009462E4"/>
    <w:rsid w:val="00946706"/>
    <w:rsid w:val="009470C1"/>
    <w:rsid w:val="00950846"/>
    <w:rsid w:val="009512F1"/>
    <w:rsid w:val="00953640"/>
    <w:rsid w:val="009554D6"/>
    <w:rsid w:val="009565AD"/>
    <w:rsid w:val="00960259"/>
    <w:rsid w:val="009631F9"/>
    <w:rsid w:val="009647C3"/>
    <w:rsid w:val="009673D9"/>
    <w:rsid w:val="0097294B"/>
    <w:rsid w:val="00972FD1"/>
    <w:rsid w:val="00973A7E"/>
    <w:rsid w:val="009749DB"/>
    <w:rsid w:val="00981BC3"/>
    <w:rsid w:val="00981E11"/>
    <w:rsid w:val="00982813"/>
    <w:rsid w:val="00985FE3"/>
    <w:rsid w:val="009878CA"/>
    <w:rsid w:val="00991BF8"/>
    <w:rsid w:val="009A20F4"/>
    <w:rsid w:val="009A2FEF"/>
    <w:rsid w:val="009B18E5"/>
    <w:rsid w:val="009B3194"/>
    <w:rsid w:val="009B4039"/>
    <w:rsid w:val="009B70C4"/>
    <w:rsid w:val="009B77D9"/>
    <w:rsid w:val="009C0364"/>
    <w:rsid w:val="009C1934"/>
    <w:rsid w:val="009C3091"/>
    <w:rsid w:val="009C36FB"/>
    <w:rsid w:val="009C533D"/>
    <w:rsid w:val="009C6B5A"/>
    <w:rsid w:val="009C7671"/>
    <w:rsid w:val="009D1643"/>
    <w:rsid w:val="009D5799"/>
    <w:rsid w:val="009D7E19"/>
    <w:rsid w:val="009E28A6"/>
    <w:rsid w:val="009E2C2B"/>
    <w:rsid w:val="009E685D"/>
    <w:rsid w:val="009F2091"/>
    <w:rsid w:val="009F286F"/>
    <w:rsid w:val="009F4636"/>
    <w:rsid w:val="009F4FA6"/>
    <w:rsid w:val="009F5D92"/>
    <w:rsid w:val="009F6196"/>
    <w:rsid w:val="009F6EC8"/>
    <w:rsid w:val="009F744C"/>
    <w:rsid w:val="009F7A84"/>
    <w:rsid w:val="00A054AC"/>
    <w:rsid w:val="00A07386"/>
    <w:rsid w:val="00A1176C"/>
    <w:rsid w:val="00A124BA"/>
    <w:rsid w:val="00A16E51"/>
    <w:rsid w:val="00A203FD"/>
    <w:rsid w:val="00A231F6"/>
    <w:rsid w:val="00A26422"/>
    <w:rsid w:val="00A311CB"/>
    <w:rsid w:val="00A33C04"/>
    <w:rsid w:val="00A4325F"/>
    <w:rsid w:val="00A43CE5"/>
    <w:rsid w:val="00A45883"/>
    <w:rsid w:val="00A45E2F"/>
    <w:rsid w:val="00A46466"/>
    <w:rsid w:val="00A519D4"/>
    <w:rsid w:val="00A53CD4"/>
    <w:rsid w:val="00A54B16"/>
    <w:rsid w:val="00A54C2B"/>
    <w:rsid w:val="00A54E67"/>
    <w:rsid w:val="00A55F6F"/>
    <w:rsid w:val="00A571EA"/>
    <w:rsid w:val="00A6186F"/>
    <w:rsid w:val="00A61993"/>
    <w:rsid w:val="00A61C76"/>
    <w:rsid w:val="00A666D3"/>
    <w:rsid w:val="00A679EB"/>
    <w:rsid w:val="00A70014"/>
    <w:rsid w:val="00A70F44"/>
    <w:rsid w:val="00A74B4C"/>
    <w:rsid w:val="00A75C08"/>
    <w:rsid w:val="00A76511"/>
    <w:rsid w:val="00A81848"/>
    <w:rsid w:val="00A82372"/>
    <w:rsid w:val="00A836D8"/>
    <w:rsid w:val="00A848C4"/>
    <w:rsid w:val="00A84901"/>
    <w:rsid w:val="00A8531D"/>
    <w:rsid w:val="00A859D3"/>
    <w:rsid w:val="00A85B34"/>
    <w:rsid w:val="00A86E5F"/>
    <w:rsid w:val="00A87256"/>
    <w:rsid w:val="00A91645"/>
    <w:rsid w:val="00A9169E"/>
    <w:rsid w:val="00A96B2C"/>
    <w:rsid w:val="00AA1C98"/>
    <w:rsid w:val="00AA49EC"/>
    <w:rsid w:val="00AB384B"/>
    <w:rsid w:val="00AB3FBF"/>
    <w:rsid w:val="00AB4DB0"/>
    <w:rsid w:val="00AB6FCB"/>
    <w:rsid w:val="00AC04BE"/>
    <w:rsid w:val="00AC3ED1"/>
    <w:rsid w:val="00AC70EE"/>
    <w:rsid w:val="00AD0C41"/>
    <w:rsid w:val="00AE3406"/>
    <w:rsid w:val="00AE5DB2"/>
    <w:rsid w:val="00AE61A0"/>
    <w:rsid w:val="00AE77FF"/>
    <w:rsid w:val="00AF07AB"/>
    <w:rsid w:val="00AF3168"/>
    <w:rsid w:val="00AF52E2"/>
    <w:rsid w:val="00AF7684"/>
    <w:rsid w:val="00B006A6"/>
    <w:rsid w:val="00B03B24"/>
    <w:rsid w:val="00B0429E"/>
    <w:rsid w:val="00B0565A"/>
    <w:rsid w:val="00B057FE"/>
    <w:rsid w:val="00B075C5"/>
    <w:rsid w:val="00B104EF"/>
    <w:rsid w:val="00B145CD"/>
    <w:rsid w:val="00B16826"/>
    <w:rsid w:val="00B21452"/>
    <w:rsid w:val="00B23363"/>
    <w:rsid w:val="00B264A8"/>
    <w:rsid w:val="00B356F3"/>
    <w:rsid w:val="00B4008F"/>
    <w:rsid w:val="00B415FE"/>
    <w:rsid w:val="00B43407"/>
    <w:rsid w:val="00B46390"/>
    <w:rsid w:val="00B468B9"/>
    <w:rsid w:val="00B569C3"/>
    <w:rsid w:val="00B570E9"/>
    <w:rsid w:val="00B573AE"/>
    <w:rsid w:val="00B57ECE"/>
    <w:rsid w:val="00B57EFF"/>
    <w:rsid w:val="00B6021C"/>
    <w:rsid w:val="00B61B42"/>
    <w:rsid w:val="00B61BD5"/>
    <w:rsid w:val="00B6445C"/>
    <w:rsid w:val="00B65A2B"/>
    <w:rsid w:val="00B706A9"/>
    <w:rsid w:val="00B7479D"/>
    <w:rsid w:val="00B747FD"/>
    <w:rsid w:val="00B7749F"/>
    <w:rsid w:val="00B779CA"/>
    <w:rsid w:val="00B80D71"/>
    <w:rsid w:val="00B8195D"/>
    <w:rsid w:val="00B8218A"/>
    <w:rsid w:val="00B8401B"/>
    <w:rsid w:val="00B8507B"/>
    <w:rsid w:val="00B85809"/>
    <w:rsid w:val="00B9412E"/>
    <w:rsid w:val="00B96A78"/>
    <w:rsid w:val="00BA157E"/>
    <w:rsid w:val="00BA2398"/>
    <w:rsid w:val="00BA2C65"/>
    <w:rsid w:val="00BA46B4"/>
    <w:rsid w:val="00BA5B48"/>
    <w:rsid w:val="00BB3904"/>
    <w:rsid w:val="00BB661F"/>
    <w:rsid w:val="00BB6D57"/>
    <w:rsid w:val="00BB7996"/>
    <w:rsid w:val="00BB7C62"/>
    <w:rsid w:val="00BC0F0B"/>
    <w:rsid w:val="00BC3865"/>
    <w:rsid w:val="00BD1243"/>
    <w:rsid w:val="00BD1ED5"/>
    <w:rsid w:val="00BD2E10"/>
    <w:rsid w:val="00BD30F5"/>
    <w:rsid w:val="00BD6E2A"/>
    <w:rsid w:val="00BE5D4B"/>
    <w:rsid w:val="00BE61A4"/>
    <w:rsid w:val="00BE6B57"/>
    <w:rsid w:val="00BF1B99"/>
    <w:rsid w:val="00BF3A59"/>
    <w:rsid w:val="00BF3F8D"/>
    <w:rsid w:val="00BF4184"/>
    <w:rsid w:val="00BF6032"/>
    <w:rsid w:val="00C026F9"/>
    <w:rsid w:val="00C10D41"/>
    <w:rsid w:val="00C10DBD"/>
    <w:rsid w:val="00C114E4"/>
    <w:rsid w:val="00C12369"/>
    <w:rsid w:val="00C12988"/>
    <w:rsid w:val="00C1789B"/>
    <w:rsid w:val="00C20DD2"/>
    <w:rsid w:val="00C3406E"/>
    <w:rsid w:val="00C346EB"/>
    <w:rsid w:val="00C34847"/>
    <w:rsid w:val="00C3662B"/>
    <w:rsid w:val="00C36E4E"/>
    <w:rsid w:val="00C37789"/>
    <w:rsid w:val="00C4469F"/>
    <w:rsid w:val="00C44D3B"/>
    <w:rsid w:val="00C452E1"/>
    <w:rsid w:val="00C4630C"/>
    <w:rsid w:val="00C50E9F"/>
    <w:rsid w:val="00C511A4"/>
    <w:rsid w:val="00C51648"/>
    <w:rsid w:val="00C51C7E"/>
    <w:rsid w:val="00C55C6D"/>
    <w:rsid w:val="00C57AE8"/>
    <w:rsid w:val="00C6020A"/>
    <w:rsid w:val="00C628DB"/>
    <w:rsid w:val="00C6417C"/>
    <w:rsid w:val="00C65E68"/>
    <w:rsid w:val="00C7174F"/>
    <w:rsid w:val="00C7219D"/>
    <w:rsid w:val="00C76650"/>
    <w:rsid w:val="00C82C65"/>
    <w:rsid w:val="00C85A73"/>
    <w:rsid w:val="00C9051B"/>
    <w:rsid w:val="00C90650"/>
    <w:rsid w:val="00C92724"/>
    <w:rsid w:val="00C93F08"/>
    <w:rsid w:val="00C9728F"/>
    <w:rsid w:val="00CA22E4"/>
    <w:rsid w:val="00CA3A78"/>
    <w:rsid w:val="00CA3E60"/>
    <w:rsid w:val="00CA442F"/>
    <w:rsid w:val="00CA64E2"/>
    <w:rsid w:val="00CB29F4"/>
    <w:rsid w:val="00CB562F"/>
    <w:rsid w:val="00CB5766"/>
    <w:rsid w:val="00CB68F0"/>
    <w:rsid w:val="00CB6FFD"/>
    <w:rsid w:val="00CB71DA"/>
    <w:rsid w:val="00CC24FE"/>
    <w:rsid w:val="00CC3F7E"/>
    <w:rsid w:val="00CC4998"/>
    <w:rsid w:val="00CC4F53"/>
    <w:rsid w:val="00CC5156"/>
    <w:rsid w:val="00CC5BAC"/>
    <w:rsid w:val="00CC7701"/>
    <w:rsid w:val="00CC7927"/>
    <w:rsid w:val="00CD01CE"/>
    <w:rsid w:val="00CD0739"/>
    <w:rsid w:val="00CD2797"/>
    <w:rsid w:val="00CD4024"/>
    <w:rsid w:val="00CD75E6"/>
    <w:rsid w:val="00CD77AA"/>
    <w:rsid w:val="00CE0D10"/>
    <w:rsid w:val="00CE0E26"/>
    <w:rsid w:val="00CE3AE3"/>
    <w:rsid w:val="00CE3F35"/>
    <w:rsid w:val="00CF0CD2"/>
    <w:rsid w:val="00CF18C6"/>
    <w:rsid w:val="00CF72A1"/>
    <w:rsid w:val="00CF74E8"/>
    <w:rsid w:val="00D051CB"/>
    <w:rsid w:val="00D07C36"/>
    <w:rsid w:val="00D16E33"/>
    <w:rsid w:val="00D17164"/>
    <w:rsid w:val="00D2153B"/>
    <w:rsid w:val="00D22084"/>
    <w:rsid w:val="00D2226B"/>
    <w:rsid w:val="00D2304E"/>
    <w:rsid w:val="00D234C0"/>
    <w:rsid w:val="00D254F2"/>
    <w:rsid w:val="00D25525"/>
    <w:rsid w:val="00D26A78"/>
    <w:rsid w:val="00D3063E"/>
    <w:rsid w:val="00D30F0A"/>
    <w:rsid w:val="00D32112"/>
    <w:rsid w:val="00D3329D"/>
    <w:rsid w:val="00D36123"/>
    <w:rsid w:val="00D36141"/>
    <w:rsid w:val="00D41455"/>
    <w:rsid w:val="00D41707"/>
    <w:rsid w:val="00D43393"/>
    <w:rsid w:val="00D44FB9"/>
    <w:rsid w:val="00D462F1"/>
    <w:rsid w:val="00D472A4"/>
    <w:rsid w:val="00D476E4"/>
    <w:rsid w:val="00D47FAA"/>
    <w:rsid w:val="00D5342C"/>
    <w:rsid w:val="00D5432B"/>
    <w:rsid w:val="00D570F8"/>
    <w:rsid w:val="00D60231"/>
    <w:rsid w:val="00D61017"/>
    <w:rsid w:val="00D611C5"/>
    <w:rsid w:val="00D63FBB"/>
    <w:rsid w:val="00D67C73"/>
    <w:rsid w:val="00D7072C"/>
    <w:rsid w:val="00D74813"/>
    <w:rsid w:val="00D74C6E"/>
    <w:rsid w:val="00D75819"/>
    <w:rsid w:val="00D763A5"/>
    <w:rsid w:val="00D80973"/>
    <w:rsid w:val="00D84C86"/>
    <w:rsid w:val="00D85B71"/>
    <w:rsid w:val="00D865BC"/>
    <w:rsid w:val="00D90134"/>
    <w:rsid w:val="00D916F1"/>
    <w:rsid w:val="00D9209D"/>
    <w:rsid w:val="00D928DC"/>
    <w:rsid w:val="00D92BF9"/>
    <w:rsid w:val="00D95B78"/>
    <w:rsid w:val="00D96EAB"/>
    <w:rsid w:val="00D977B1"/>
    <w:rsid w:val="00DA1752"/>
    <w:rsid w:val="00DA1F72"/>
    <w:rsid w:val="00DB0D55"/>
    <w:rsid w:val="00DB4171"/>
    <w:rsid w:val="00DC0931"/>
    <w:rsid w:val="00DC18EF"/>
    <w:rsid w:val="00DC1F88"/>
    <w:rsid w:val="00DC2554"/>
    <w:rsid w:val="00DD28C7"/>
    <w:rsid w:val="00DD62F5"/>
    <w:rsid w:val="00DE2B04"/>
    <w:rsid w:val="00DE2B5B"/>
    <w:rsid w:val="00DE3AE7"/>
    <w:rsid w:val="00DE6A24"/>
    <w:rsid w:val="00DF14AA"/>
    <w:rsid w:val="00DF723B"/>
    <w:rsid w:val="00DF784A"/>
    <w:rsid w:val="00DF7E3C"/>
    <w:rsid w:val="00E0145A"/>
    <w:rsid w:val="00E03984"/>
    <w:rsid w:val="00E0494A"/>
    <w:rsid w:val="00E05B2D"/>
    <w:rsid w:val="00E07D1C"/>
    <w:rsid w:val="00E10DBD"/>
    <w:rsid w:val="00E12857"/>
    <w:rsid w:val="00E13065"/>
    <w:rsid w:val="00E136D2"/>
    <w:rsid w:val="00E16010"/>
    <w:rsid w:val="00E252A0"/>
    <w:rsid w:val="00E25A52"/>
    <w:rsid w:val="00E26065"/>
    <w:rsid w:val="00E30AEE"/>
    <w:rsid w:val="00E4137C"/>
    <w:rsid w:val="00E450EB"/>
    <w:rsid w:val="00E45C65"/>
    <w:rsid w:val="00E47E08"/>
    <w:rsid w:val="00E47FC8"/>
    <w:rsid w:val="00E55C77"/>
    <w:rsid w:val="00E606F0"/>
    <w:rsid w:val="00E61A9E"/>
    <w:rsid w:val="00E63CAA"/>
    <w:rsid w:val="00E65564"/>
    <w:rsid w:val="00E67C82"/>
    <w:rsid w:val="00E67C8E"/>
    <w:rsid w:val="00E74758"/>
    <w:rsid w:val="00E74FBD"/>
    <w:rsid w:val="00E75CF1"/>
    <w:rsid w:val="00E80F3F"/>
    <w:rsid w:val="00E84AA6"/>
    <w:rsid w:val="00E904D8"/>
    <w:rsid w:val="00E90592"/>
    <w:rsid w:val="00E96E4B"/>
    <w:rsid w:val="00E974B2"/>
    <w:rsid w:val="00EA4E78"/>
    <w:rsid w:val="00EA5B5D"/>
    <w:rsid w:val="00EA74D7"/>
    <w:rsid w:val="00EB0681"/>
    <w:rsid w:val="00EB08D0"/>
    <w:rsid w:val="00EB2B59"/>
    <w:rsid w:val="00EB4C46"/>
    <w:rsid w:val="00EB78B2"/>
    <w:rsid w:val="00EC13BC"/>
    <w:rsid w:val="00EC4000"/>
    <w:rsid w:val="00EC5E28"/>
    <w:rsid w:val="00ED28B4"/>
    <w:rsid w:val="00ED4DB4"/>
    <w:rsid w:val="00ED5598"/>
    <w:rsid w:val="00ED5D26"/>
    <w:rsid w:val="00ED5E5C"/>
    <w:rsid w:val="00EE3B0B"/>
    <w:rsid w:val="00EE59C2"/>
    <w:rsid w:val="00EE74A4"/>
    <w:rsid w:val="00EF12FD"/>
    <w:rsid w:val="00EF53E3"/>
    <w:rsid w:val="00EF5C06"/>
    <w:rsid w:val="00F015A9"/>
    <w:rsid w:val="00F02F1F"/>
    <w:rsid w:val="00F03161"/>
    <w:rsid w:val="00F037C8"/>
    <w:rsid w:val="00F03E80"/>
    <w:rsid w:val="00F100D2"/>
    <w:rsid w:val="00F109FA"/>
    <w:rsid w:val="00F12200"/>
    <w:rsid w:val="00F12E3F"/>
    <w:rsid w:val="00F201E7"/>
    <w:rsid w:val="00F35A3E"/>
    <w:rsid w:val="00F414BF"/>
    <w:rsid w:val="00F42580"/>
    <w:rsid w:val="00F42D54"/>
    <w:rsid w:val="00F43101"/>
    <w:rsid w:val="00F4712A"/>
    <w:rsid w:val="00F533A5"/>
    <w:rsid w:val="00F542DA"/>
    <w:rsid w:val="00F543FD"/>
    <w:rsid w:val="00F5607D"/>
    <w:rsid w:val="00F569D1"/>
    <w:rsid w:val="00F5789A"/>
    <w:rsid w:val="00F609E5"/>
    <w:rsid w:val="00F6558C"/>
    <w:rsid w:val="00F65B65"/>
    <w:rsid w:val="00F66932"/>
    <w:rsid w:val="00F756F0"/>
    <w:rsid w:val="00F76439"/>
    <w:rsid w:val="00F8063E"/>
    <w:rsid w:val="00F807A4"/>
    <w:rsid w:val="00F80DBE"/>
    <w:rsid w:val="00F81529"/>
    <w:rsid w:val="00F81854"/>
    <w:rsid w:val="00F8226D"/>
    <w:rsid w:val="00F82D52"/>
    <w:rsid w:val="00F82F9F"/>
    <w:rsid w:val="00F83A02"/>
    <w:rsid w:val="00FA47CA"/>
    <w:rsid w:val="00FB0125"/>
    <w:rsid w:val="00FB0205"/>
    <w:rsid w:val="00FB58EF"/>
    <w:rsid w:val="00FC0391"/>
    <w:rsid w:val="00FC0FDC"/>
    <w:rsid w:val="00FC2402"/>
    <w:rsid w:val="00FC258E"/>
    <w:rsid w:val="00FC25DA"/>
    <w:rsid w:val="00FC31C8"/>
    <w:rsid w:val="00FC49E2"/>
    <w:rsid w:val="00FC577B"/>
    <w:rsid w:val="00FC6F6E"/>
    <w:rsid w:val="00FC7C18"/>
    <w:rsid w:val="00FD0E36"/>
    <w:rsid w:val="00FD245A"/>
    <w:rsid w:val="00FD4028"/>
    <w:rsid w:val="00FD4952"/>
    <w:rsid w:val="00FD701B"/>
    <w:rsid w:val="00FE0969"/>
    <w:rsid w:val="00FE1379"/>
    <w:rsid w:val="00FE2B46"/>
    <w:rsid w:val="00FE42B8"/>
    <w:rsid w:val="00FE4AC0"/>
    <w:rsid w:val="00FE7926"/>
    <w:rsid w:val="00FF47BC"/>
    <w:rsid w:val="00FF4D6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25CFB4"/>
  <w15:docId w15:val="{726741E1-1F7E-F24F-BF4B-AB471F640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aliases w:val="Термины"/>
    <w:qFormat/>
    <w:rsid w:val="00C93F08"/>
    <w:pPr>
      <w:spacing w:line="360" w:lineRule="auto"/>
      <w:jc w:val="both"/>
    </w:pPr>
    <w:rPr>
      <w:rFonts w:ascii="Times New Roman" w:eastAsia="Times New Roman" w:hAnsi="Times New Roman" w:cs="Times New Roman"/>
      <w:sz w:val="24"/>
      <w:szCs w:val="24"/>
      <w:lang w:eastAsia="ru-RU"/>
    </w:rPr>
  </w:style>
  <w:style w:type="paragraph" w:styleId="11">
    <w:name w:val="heading 1"/>
    <w:basedOn w:val="2"/>
    <w:link w:val="12"/>
    <w:qFormat/>
    <w:rsid w:val="00183653"/>
    <w:pPr>
      <w:ind w:firstLine="0"/>
      <w:outlineLvl w:val="0"/>
    </w:pPr>
  </w:style>
  <w:style w:type="paragraph" w:styleId="2">
    <w:name w:val="heading 2"/>
    <w:aliases w:val="Наим. подраздела"/>
    <w:basedOn w:val="a2"/>
    <w:link w:val="20"/>
    <w:unhideWhenUsed/>
    <w:qFormat/>
    <w:rsid w:val="002F7719"/>
    <w:pPr>
      <w:outlineLvl w:val="1"/>
    </w:pPr>
  </w:style>
  <w:style w:type="paragraph" w:styleId="3">
    <w:name w:val="heading 3"/>
    <w:basedOn w:val="a1"/>
    <w:next w:val="a1"/>
    <w:link w:val="30"/>
    <w:unhideWhenUsed/>
    <w:qFormat/>
    <w:rsid w:val="009C36FB"/>
    <w:pPr>
      <w:keepNext/>
      <w:keepLines/>
      <w:spacing w:before="40"/>
      <w:ind w:firstLine="709"/>
      <w:outlineLvl w:val="2"/>
    </w:pPr>
    <w:rPr>
      <w:rFonts w:asciiTheme="majorHAnsi" w:eastAsiaTheme="majorEastAsia" w:hAnsiTheme="majorHAnsi" w:cstheme="majorBidi"/>
      <w:color w:val="1F4D78" w:themeColor="accent1" w:themeShade="7F"/>
      <w:lang w:eastAsia="en-US"/>
    </w:rPr>
  </w:style>
  <w:style w:type="paragraph" w:styleId="4">
    <w:name w:val="heading 4"/>
    <w:basedOn w:val="a1"/>
    <w:next w:val="a1"/>
    <w:link w:val="40"/>
    <w:qFormat/>
    <w:rsid w:val="00204469"/>
    <w:pPr>
      <w:keepNext/>
      <w:shd w:val="clear" w:color="auto" w:fill="FFFFFF"/>
      <w:tabs>
        <w:tab w:val="num" w:pos="0"/>
      </w:tabs>
      <w:suppressAutoHyphens/>
      <w:spacing w:line="348" w:lineRule="atLeast"/>
      <w:outlineLvl w:val="3"/>
    </w:pPr>
    <w:rPr>
      <w:rFonts w:eastAsia="Calibri"/>
      <w:b/>
      <w:sz w:val="20"/>
      <w:szCs w:val="20"/>
      <w:lang w:val="en-US" w:eastAsia="zh-CN"/>
    </w:rPr>
  </w:style>
  <w:style w:type="paragraph" w:styleId="5">
    <w:name w:val="heading 5"/>
    <w:basedOn w:val="13"/>
    <w:next w:val="a3"/>
    <w:link w:val="50"/>
    <w:qFormat/>
    <w:rsid w:val="00204469"/>
    <w:pPr>
      <w:keepNext w:val="0"/>
      <w:tabs>
        <w:tab w:val="num" w:pos="0"/>
      </w:tabs>
      <w:suppressAutoHyphens/>
      <w:spacing w:before="120" w:after="60"/>
      <w:ind w:firstLine="0"/>
      <w:jc w:val="center"/>
      <w:outlineLvl w:val="4"/>
    </w:pPr>
    <w:rPr>
      <w:rFonts w:ascii="Calibri Light" w:eastAsia="Times New Roman" w:hAnsi="Calibri Light" w:cs="Calibri Light"/>
      <w:b/>
      <w:bCs/>
      <w:kern w:val="1"/>
      <w:sz w:val="24"/>
      <w:szCs w:val="24"/>
      <w:lang w:eastAsia="zh-CN"/>
    </w:rPr>
  </w:style>
  <w:style w:type="paragraph" w:styleId="6">
    <w:name w:val="heading 6"/>
    <w:basedOn w:val="13"/>
    <w:next w:val="a3"/>
    <w:link w:val="60"/>
    <w:qFormat/>
    <w:rsid w:val="00204469"/>
    <w:pPr>
      <w:keepNext w:val="0"/>
      <w:tabs>
        <w:tab w:val="num" w:pos="0"/>
      </w:tabs>
      <w:suppressAutoHyphens/>
      <w:spacing w:before="60" w:after="60"/>
      <w:ind w:firstLine="0"/>
      <w:jc w:val="center"/>
      <w:outlineLvl w:val="5"/>
    </w:pPr>
    <w:rPr>
      <w:rFonts w:ascii="Calibri Light" w:eastAsia="Times New Roman" w:hAnsi="Calibri Light" w:cs="Calibri Light"/>
      <w:b/>
      <w:bCs/>
      <w:i/>
      <w:iCs/>
      <w:kern w:val="1"/>
      <w:sz w:val="24"/>
      <w:szCs w:val="24"/>
      <w:lang w:eastAsia="zh-CN"/>
    </w:rPr>
  </w:style>
  <w:style w:type="paragraph" w:styleId="7">
    <w:name w:val="heading 7"/>
    <w:basedOn w:val="13"/>
    <w:next w:val="a3"/>
    <w:link w:val="70"/>
    <w:qFormat/>
    <w:rsid w:val="00204469"/>
    <w:pPr>
      <w:keepNext w:val="0"/>
      <w:tabs>
        <w:tab w:val="num" w:pos="0"/>
      </w:tabs>
      <w:suppressAutoHyphens/>
      <w:spacing w:before="60" w:after="60"/>
      <w:ind w:firstLine="0"/>
      <w:jc w:val="center"/>
      <w:outlineLvl w:val="6"/>
    </w:pPr>
    <w:rPr>
      <w:rFonts w:ascii="Calibri Light" w:eastAsia="Times New Roman" w:hAnsi="Calibri Light" w:cs="Calibri Light"/>
      <w:b/>
      <w:bCs/>
      <w:kern w:val="1"/>
      <w:sz w:val="22"/>
      <w:szCs w:val="22"/>
      <w:lang w:eastAsia="zh-CN"/>
    </w:rPr>
  </w:style>
  <w:style w:type="paragraph" w:styleId="8">
    <w:name w:val="heading 8"/>
    <w:basedOn w:val="13"/>
    <w:next w:val="a3"/>
    <w:link w:val="80"/>
    <w:qFormat/>
    <w:rsid w:val="00204469"/>
    <w:pPr>
      <w:keepNext w:val="0"/>
      <w:tabs>
        <w:tab w:val="num" w:pos="0"/>
      </w:tabs>
      <w:suppressAutoHyphens/>
      <w:spacing w:before="60" w:after="60"/>
      <w:ind w:firstLine="0"/>
      <w:jc w:val="center"/>
      <w:outlineLvl w:val="7"/>
    </w:pPr>
    <w:rPr>
      <w:rFonts w:ascii="Calibri Light" w:eastAsia="Times New Roman" w:hAnsi="Calibri Light" w:cs="Calibri Light"/>
      <w:b/>
      <w:bCs/>
      <w:i/>
      <w:iCs/>
      <w:kern w:val="1"/>
      <w:sz w:val="22"/>
      <w:szCs w:val="22"/>
      <w:lang w:eastAsia="zh-CN"/>
    </w:rPr>
  </w:style>
  <w:style w:type="paragraph" w:styleId="9">
    <w:name w:val="heading 9"/>
    <w:basedOn w:val="13"/>
    <w:next w:val="a3"/>
    <w:link w:val="90"/>
    <w:qFormat/>
    <w:rsid w:val="00204469"/>
    <w:pPr>
      <w:keepNext w:val="0"/>
      <w:tabs>
        <w:tab w:val="num" w:pos="0"/>
      </w:tabs>
      <w:suppressAutoHyphens/>
      <w:spacing w:before="60" w:after="60"/>
      <w:ind w:firstLine="0"/>
      <w:jc w:val="center"/>
      <w:outlineLvl w:val="8"/>
    </w:pPr>
    <w:rPr>
      <w:rFonts w:ascii="Calibri Light" w:eastAsia="Times New Roman" w:hAnsi="Calibri Light" w:cs="Calibri Light"/>
      <w:b/>
      <w:bCs/>
      <w:kern w:val="1"/>
      <w:sz w:val="21"/>
      <w:szCs w:val="21"/>
      <w:lang w:eastAsia="zh-CN"/>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a7">
    <w:name w:val="Верхний колонтитул Знак"/>
    <w:basedOn w:val="a4"/>
    <w:rsid w:val="00C15E9F"/>
  </w:style>
  <w:style w:type="character" w:customStyle="1" w:styleId="a8">
    <w:name w:val="Нижний колонтитул Знак"/>
    <w:basedOn w:val="a4"/>
    <w:rsid w:val="00C15E9F"/>
  </w:style>
  <w:style w:type="character" w:customStyle="1" w:styleId="apple-converted-space">
    <w:name w:val="apple-converted-space"/>
    <w:basedOn w:val="a4"/>
    <w:rsid w:val="004B3C53"/>
  </w:style>
  <w:style w:type="character" w:customStyle="1" w:styleId="-">
    <w:name w:val="Интернет-ссылка"/>
    <w:basedOn w:val="a4"/>
    <w:uiPriority w:val="99"/>
    <w:unhideWhenUsed/>
    <w:rsid w:val="004B3C53"/>
    <w:rPr>
      <w:color w:val="0000FF"/>
      <w:u w:val="single"/>
    </w:rPr>
  </w:style>
  <w:style w:type="character" w:customStyle="1" w:styleId="12">
    <w:name w:val="Заголовок 1 Знак"/>
    <w:basedOn w:val="a4"/>
    <w:link w:val="11"/>
    <w:qFormat/>
    <w:rsid w:val="00183653"/>
    <w:rPr>
      <w:rFonts w:ascii="Times New Roman" w:hAnsi="Times New Roman" w:cs="Times New Roman"/>
      <w:b/>
      <w:sz w:val="24"/>
      <w:szCs w:val="24"/>
      <w:u w:val="single"/>
    </w:rPr>
  </w:style>
  <w:style w:type="character" w:customStyle="1" w:styleId="a9">
    <w:name w:val="Текст выноски Знак"/>
    <w:basedOn w:val="a4"/>
    <w:uiPriority w:val="99"/>
    <w:qFormat/>
    <w:rsid w:val="00E9341B"/>
    <w:rPr>
      <w:rFonts w:ascii="Tahoma" w:hAnsi="Tahoma" w:cs="Tahoma"/>
      <w:sz w:val="16"/>
      <w:szCs w:val="16"/>
    </w:rPr>
  </w:style>
  <w:style w:type="character" w:customStyle="1" w:styleId="aa">
    <w:name w:val="Подзаголовок Знак"/>
    <w:basedOn w:val="a4"/>
    <w:uiPriority w:val="11"/>
    <w:rsid w:val="00181EC4"/>
    <w:rPr>
      <w:rFonts w:ascii="Times New Roman" w:hAnsi="Times New Roman" w:cs="Times New Roman"/>
      <w:b/>
      <w:sz w:val="24"/>
      <w:szCs w:val="24"/>
      <w:u w:val="single"/>
    </w:rPr>
  </w:style>
  <w:style w:type="character" w:styleId="ab">
    <w:name w:val="Subtle Reference"/>
    <w:uiPriority w:val="31"/>
    <w:qFormat/>
    <w:rsid w:val="00181EC4"/>
    <w:rPr>
      <w:rFonts w:ascii="Times New Roman" w:hAnsi="Times New Roman" w:cs="Times New Roman"/>
      <w:b/>
      <w:sz w:val="24"/>
      <w:szCs w:val="24"/>
    </w:rPr>
  </w:style>
  <w:style w:type="character" w:customStyle="1" w:styleId="ac">
    <w:name w:val="Абзац списка Знак"/>
    <w:basedOn w:val="a4"/>
    <w:uiPriority w:val="34"/>
    <w:rsid w:val="00300F50"/>
  </w:style>
  <w:style w:type="character" w:customStyle="1" w:styleId="ad">
    <w:name w:val="Без интервала Знак"/>
    <w:basedOn w:val="ac"/>
    <w:uiPriority w:val="1"/>
    <w:rsid w:val="008B1499"/>
    <w:rPr>
      <w:rFonts w:ascii="Times New Roman" w:hAnsi="Times New Roman" w:cs="Times New Roman"/>
      <w:sz w:val="24"/>
      <w:szCs w:val="24"/>
    </w:rPr>
  </w:style>
  <w:style w:type="character" w:customStyle="1" w:styleId="ae">
    <w:name w:val="УД Знак"/>
    <w:basedOn w:val="ad"/>
    <w:rsid w:val="00300F50"/>
    <w:rPr>
      <w:rFonts w:ascii="Times New Roman" w:hAnsi="Times New Roman" w:cs="Times New Roman"/>
      <w:b/>
      <w:sz w:val="24"/>
      <w:szCs w:val="24"/>
    </w:rPr>
  </w:style>
  <w:style w:type="character" w:customStyle="1" w:styleId="af">
    <w:name w:val="Ком Знак"/>
    <w:basedOn w:val="ac"/>
    <w:rsid w:val="008B1499"/>
    <w:rPr>
      <w:rFonts w:ascii="Times New Roman" w:hAnsi="Times New Roman" w:cs="Times New Roman"/>
      <w:i/>
      <w:sz w:val="24"/>
      <w:szCs w:val="24"/>
    </w:rPr>
  </w:style>
  <w:style w:type="character" w:styleId="af0">
    <w:name w:val="annotation reference"/>
    <w:basedOn w:val="a4"/>
    <w:unhideWhenUsed/>
    <w:qFormat/>
    <w:rsid w:val="009C1F13"/>
    <w:rPr>
      <w:sz w:val="16"/>
      <w:szCs w:val="16"/>
    </w:rPr>
  </w:style>
  <w:style w:type="character" w:customStyle="1" w:styleId="af1">
    <w:name w:val="Текст примечания Знак"/>
    <w:basedOn w:val="a4"/>
    <w:uiPriority w:val="99"/>
    <w:qFormat/>
    <w:rsid w:val="009C1F13"/>
    <w:rPr>
      <w:rFonts w:ascii="Times New Roman" w:hAnsi="Times New Roman"/>
      <w:sz w:val="20"/>
      <w:szCs w:val="20"/>
    </w:rPr>
  </w:style>
  <w:style w:type="character" w:customStyle="1" w:styleId="af2">
    <w:name w:val="Тема примечания Знак"/>
    <w:basedOn w:val="af1"/>
    <w:uiPriority w:val="99"/>
    <w:qFormat/>
    <w:rsid w:val="009C1F13"/>
    <w:rPr>
      <w:rFonts w:ascii="Times New Roman" w:hAnsi="Times New Roman"/>
      <w:b/>
      <w:bCs/>
      <w:sz w:val="20"/>
      <w:szCs w:val="20"/>
    </w:rPr>
  </w:style>
  <w:style w:type="character" w:customStyle="1" w:styleId="af3">
    <w:name w:val="Название Знак"/>
    <w:basedOn w:val="a4"/>
    <w:rsid w:val="00A43933"/>
    <w:rPr>
      <w:rFonts w:ascii="Times New Roman" w:eastAsiaTheme="majorEastAsia" w:hAnsi="Times New Roman" w:cstheme="majorBidi"/>
      <w:spacing w:val="-10"/>
      <w:sz w:val="28"/>
      <w:szCs w:val="56"/>
      <w:u w:val="single"/>
    </w:rPr>
  </w:style>
  <w:style w:type="character" w:customStyle="1" w:styleId="pop-slug-vol">
    <w:name w:val="pop-slug-vol"/>
    <w:uiPriority w:val="99"/>
    <w:qFormat/>
    <w:rsid w:val="00A43933"/>
    <w:rPr>
      <w:rFonts w:cs="Times New Roman"/>
    </w:rPr>
  </w:style>
  <w:style w:type="character" w:customStyle="1" w:styleId="af4">
    <w:name w:val="Текст сноски Знак"/>
    <w:basedOn w:val="a4"/>
    <w:rsid w:val="004008B9"/>
    <w:rPr>
      <w:rFonts w:ascii="Calibri" w:eastAsia="Calibri" w:hAnsi="Calibri" w:cs="Times New Roman"/>
      <w:sz w:val="20"/>
      <w:szCs w:val="20"/>
    </w:rPr>
  </w:style>
  <w:style w:type="character" w:styleId="af5">
    <w:name w:val="footnote reference"/>
    <w:unhideWhenUsed/>
    <w:qFormat/>
    <w:rsid w:val="004008B9"/>
    <w:rPr>
      <w:vertAlign w:val="superscript"/>
    </w:rPr>
  </w:style>
  <w:style w:type="character" w:customStyle="1" w:styleId="20">
    <w:name w:val="Заголовок 2 Знак"/>
    <w:aliases w:val="Наим. подраздела Знак"/>
    <w:basedOn w:val="a4"/>
    <w:link w:val="2"/>
    <w:qFormat/>
    <w:rsid w:val="002F7719"/>
    <w:rPr>
      <w:rFonts w:ascii="Times New Roman" w:hAnsi="Times New Roman" w:cs="Times New Roman"/>
      <w:b/>
      <w:sz w:val="24"/>
      <w:szCs w:val="24"/>
      <w:u w:val="single"/>
    </w:rPr>
  </w:style>
  <w:style w:type="character" w:customStyle="1" w:styleId="Normal1">
    <w:name w:val="Normal1 Знак"/>
    <w:basedOn w:val="a4"/>
    <w:uiPriority w:val="99"/>
    <w:rsid w:val="003F4166"/>
    <w:rPr>
      <w:rFonts w:ascii="Times New Roman" w:eastAsia="Times New Roman" w:hAnsi="Times New Roman" w:cs="Times New Roman"/>
      <w:sz w:val="20"/>
      <w:szCs w:val="20"/>
      <w:lang w:eastAsia="ru-RU"/>
    </w:rPr>
  </w:style>
  <w:style w:type="character" w:customStyle="1" w:styleId="14">
    <w:name w:val="Стиль1 Знак"/>
    <w:basedOn w:val="Normal1"/>
    <w:rsid w:val="003F4166"/>
    <w:rPr>
      <w:rFonts w:ascii="Times New Roman" w:eastAsiaTheme="majorEastAsia" w:hAnsi="Times New Roman" w:cs="Times New Roman"/>
      <w:sz w:val="24"/>
      <w:szCs w:val="24"/>
      <w:lang w:eastAsia="ru-RU"/>
    </w:rPr>
  </w:style>
  <w:style w:type="character" w:customStyle="1" w:styleId="ListLabel1">
    <w:name w:val="ListLabel 1"/>
    <w:rsid w:val="00275A41"/>
    <w:rPr>
      <w:rFonts w:cs="Courier New"/>
    </w:rPr>
  </w:style>
  <w:style w:type="character" w:customStyle="1" w:styleId="ListLabel2">
    <w:name w:val="ListLabel 2"/>
    <w:rsid w:val="00275A41"/>
    <w:rPr>
      <w:rFonts w:cs="Courier New"/>
    </w:rPr>
  </w:style>
  <w:style w:type="character" w:customStyle="1" w:styleId="ListLabel3">
    <w:name w:val="ListLabel 3"/>
    <w:rsid w:val="00275A41"/>
    <w:rPr>
      <w:rFonts w:cs="Courier New"/>
    </w:rPr>
  </w:style>
  <w:style w:type="character" w:customStyle="1" w:styleId="ListLabel4">
    <w:name w:val="ListLabel 4"/>
    <w:rsid w:val="00275A41"/>
    <w:rPr>
      <w:rFonts w:cs="Courier New"/>
    </w:rPr>
  </w:style>
  <w:style w:type="character" w:customStyle="1" w:styleId="ListLabel5">
    <w:name w:val="ListLabel 5"/>
    <w:rsid w:val="00275A41"/>
    <w:rPr>
      <w:rFonts w:cs="Courier New"/>
    </w:rPr>
  </w:style>
  <w:style w:type="character" w:customStyle="1" w:styleId="ListLabel6">
    <w:name w:val="ListLabel 6"/>
    <w:rsid w:val="00275A41"/>
    <w:rPr>
      <w:rFonts w:cs="Courier New"/>
    </w:rPr>
  </w:style>
  <w:style w:type="character" w:customStyle="1" w:styleId="ListLabel7">
    <w:name w:val="ListLabel 7"/>
    <w:rsid w:val="00275A41"/>
    <w:rPr>
      <w:rFonts w:cs="Courier New"/>
    </w:rPr>
  </w:style>
  <w:style w:type="character" w:customStyle="1" w:styleId="ListLabel8">
    <w:name w:val="ListLabel 8"/>
    <w:rsid w:val="00275A41"/>
    <w:rPr>
      <w:rFonts w:cs="Courier New"/>
    </w:rPr>
  </w:style>
  <w:style w:type="character" w:customStyle="1" w:styleId="ListLabel9">
    <w:name w:val="ListLabel 9"/>
    <w:rsid w:val="00275A41"/>
    <w:rPr>
      <w:rFonts w:cs="Courier New"/>
    </w:rPr>
  </w:style>
  <w:style w:type="character" w:customStyle="1" w:styleId="ListLabel10">
    <w:name w:val="ListLabel 10"/>
    <w:rsid w:val="00275A41"/>
    <w:rPr>
      <w:rFonts w:cs="Courier New"/>
      <w:sz w:val="24"/>
    </w:rPr>
  </w:style>
  <w:style w:type="character" w:customStyle="1" w:styleId="ListLabel11">
    <w:name w:val="ListLabel 11"/>
    <w:rsid w:val="00275A41"/>
    <w:rPr>
      <w:rFonts w:cs="Courier New"/>
    </w:rPr>
  </w:style>
  <w:style w:type="character" w:customStyle="1" w:styleId="ListLabel12">
    <w:name w:val="ListLabel 12"/>
    <w:rsid w:val="00275A41"/>
    <w:rPr>
      <w:rFonts w:cs="Courier New"/>
    </w:rPr>
  </w:style>
  <w:style w:type="character" w:customStyle="1" w:styleId="ListLabel13">
    <w:name w:val="ListLabel 13"/>
    <w:rsid w:val="00275A41"/>
    <w:rPr>
      <w:rFonts w:cs="Courier New"/>
    </w:rPr>
  </w:style>
  <w:style w:type="character" w:customStyle="1" w:styleId="ListLabel14">
    <w:name w:val="ListLabel 14"/>
    <w:rsid w:val="00275A41"/>
    <w:rPr>
      <w:rFonts w:cs="Courier New"/>
    </w:rPr>
  </w:style>
  <w:style w:type="character" w:customStyle="1" w:styleId="ListLabel15">
    <w:name w:val="ListLabel 15"/>
    <w:rsid w:val="00275A41"/>
    <w:rPr>
      <w:rFonts w:cs="Courier New"/>
    </w:rPr>
  </w:style>
  <w:style w:type="character" w:customStyle="1" w:styleId="ListLabel16">
    <w:name w:val="ListLabel 16"/>
    <w:rsid w:val="00275A41"/>
    <w:rPr>
      <w:rFonts w:cs="Courier New"/>
    </w:rPr>
  </w:style>
  <w:style w:type="character" w:customStyle="1" w:styleId="ListLabel17">
    <w:name w:val="ListLabel 17"/>
    <w:rsid w:val="00275A41"/>
    <w:rPr>
      <w:rFonts w:cs="Courier New"/>
    </w:rPr>
  </w:style>
  <w:style w:type="character" w:customStyle="1" w:styleId="ListLabel18">
    <w:name w:val="ListLabel 18"/>
    <w:rsid w:val="00275A41"/>
    <w:rPr>
      <w:rFonts w:cs="Courier New"/>
    </w:rPr>
  </w:style>
  <w:style w:type="character" w:customStyle="1" w:styleId="ListLabel19">
    <w:name w:val="ListLabel 19"/>
    <w:rsid w:val="00275A41"/>
    <w:rPr>
      <w:rFonts w:cs="Courier New"/>
    </w:rPr>
  </w:style>
  <w:style w:type="character" w:customStyle="1" w:styleId="ListLabel20">
    <w:name w:val="ListLabel 20"/>
    <w:rsid w:val="00275A41"/>
    <w:rPr>
      <w:rFonts w:cs="Courier New"/>
    </w:rPr>
  </w:style>
  <w:style w:type="character" w:customStyle="1" w:styleId="ListLabel21">
    <w:name w:val="ListLabel 21"/>
    <w:rsid w:val="00275A41"/>
    <w:rPr>
      <w:rFonts w:cs="Courier New"/>
    </w:rPr>
  </w:style>
  <w:style w:type="character" w:customStyle="1" w:styleId="ListLabel22">
    <w:name w:val="ListLabel 22"/>
    <w:rsid w:val="00275A41"/>
    <w:rPr>
      <w:rFonts w:cs="Courier New"/>
    </w:rPr>
  </w:style>
  <w:style w:type="character" w:customStyle="1" w:styleId="ListLabel23">
    <w:name w:val="ListLabel 23"/>
    <w:rsid w:val="00275A41"/>
    <w:rPr>
      <w:rFonts w:cs="Courier New"/>
    </w:rPr>
  </w:style>
  <w:style w:type="character" w:customStyle="1" w:styleId="ListLabel24">
    <w:name w:val="ListLabel 24"/>
    <w:rsid w:val="00275A41"/>
    <w:rPr>
      <w:rFonts w:cs="Courier New"/>
    </w:rPr>
  </w:style>
  <w:style w:type="character" w:customStyle="1" w:styleId="ListLabel25">
    <w:name w:val="ListLabel 25"/>
    <w:rsid w:val="00275A41"/>
    <w:rPr>
      <w:rFonts w:cs="Courier New"/>
    </w:rPr>
  </w:style>
  <w:style w:type="character" w:customStyle="1" w:styleId="ListLabel26">
    <w:name w:val="ListLabel 26"/>
    <w:rsid w:val="00275A41"/>
    <w:rPr>
      <w:rFonts w:cs="Courier New"/>
    </w:rPr>
  </w:style>
  <w:style w:type="character" w:customStyle="1" w:styleId="ListLabel27">
    <w:name w:val="ListLabel 27"/>
    <w:rsid w:val="00275A41"/>
    <w:rPr>
      <w:rFonts w:cs="Courier New"/>
    </w:rPr>
  </w:style>
  <w:style w:type="character" w:customStyle="1" w:styleId="ListLabel28">
    <w:name w:val="ListLabel 28"/>
    <w:rsid w:val="00275A41"/>
    <w:rPr>
      <w:rFonts w:cs="Courier New"/>
    </w:rPr>
  </w:style>
  <w:style w:type="character" w:customStyle="1" w:styleId="ListLabel29">
    <w:name w:val="ListLabel 29"/>
    <w:rsid w:val="00275A41"/>
    <w:rPr>
      <w:rFonts w:cs="Courier New"/>
    </w:rPr>
  </w:style>
  <w:style w:type="character" w:customStyle="1" w:styleId="ListLabel30">
    <w:name w:val="ListLabel 30"/>
    <w:rsid w:val="00275A41"/>
    <w:rPr>
      <w:rFonts w:cs="Courier New"/>
    </w:rPr>
  </w:style>
  <w:style w:type="character" w:customStyle="1" w:styleId="ListLabel31">
    <w:name w:val="ListLabel 31"/>
    <w:rsid w:val="00275A41"/>
    <w:rPr>
      <w:rFonts w:cs="Courier New"/>
    </w:rPr>
  </w:style>
  <w:style w:type="character" w:customStyle="1" w:styleId="ListLabel32">
    <w:name w:val="ListLabel 32"/>
    <w:rsid w:val="00275A41"/>
    <w:rPr>
      <w:rFonts w:cs="Courier New"/>
    </w:rPr>
  </w:style>
  <w:style w:type="character" w:customStyle="1" w:styleId="ListLabel33">
    <w:name w:val="ListLabel 33"/>
    <w:rsid w:val="00275A41"/>
    <w:rPr>
      <w:rFonts w:cs="Courier New"/>
    </w:rPr>
  </w:style>
  <w:style w:type="character" w:customStyle="1" w:styleId="ListLabel34">
    <w:name w:val="ListLabel 34"/>
    <w:rsid w:val="00275A41"/>
    <w:rPr>
      <w:rFonts w:cs="Courier New"/>
    </w:rPr>
  </w:style>
  <w:style w:type="character" w:customStyle="1" w:styleId="ListLabel35">
    <w:name w:val="ListLabel 35"/>
    <w:rsid w:val="00275A41"/>
    <w:rPr>
      <w:rFonts w:cs="Courier New"/>
    </w:rPr>
  </w:style>
  <w:style w:type="character" w:customStyle="1" w:styleId="ListLabel36">
    <w:name w:val="ListLabel 36"/>
    <w:rsid w:val="00275A41"/>
    <w:rPr>
      <w:rFonts w:cs="Courier New"/>
      <w:b/>
      <w:sz w:val="24"/>
    </w:rPr>
  </w:style>
  <w:style w:type="character" w:customStyle="1" w:styleId="ListLabel37">
    <w:name w:val="ListLabel 37"/>
    <w:rsid w:val="00275A41"/>
    <w:rPr>
      <w:rFonts w:cs="Courier New"/>
    </w:rPr>
  </w:style>
  <w:style w:type="character" w:customStyle="1" w:styleId="ListLabel38">
    <w:name w:val="ListLabel 38"/>
    <w:rsid w:val="00275A41"/>
    <w:rPr>
      <w:rFonts w:cs="Courier New"/>
    </w:rPr>
  </w:style>
  <w:style w:type="character" w:customStyle="1" w:styleId="ListLabel39">
    <w:name w:val="ListLabel 39"/>
    <w:rsid w:val="00275A41"/>
    <w:rPr>
      <w:rFonts w:cs="Courier New"/>
    </w:rPr>
  </w:style>
  <w:style w:type="character" w:customStyle="1" w:styleId="af6">
    <w:name w:val="Ссылка указателя"/>
    <w:qFormat/>
    <w:rsid w:val="00275A41"/>
  </w:style>
  <w:style w:type="paragraph" w:customStyle="1" w:styleId="13">
    <w:name w:val="Заголовок1"/>
    <w:basedOn w:val="a1"/>
    <w:next w:val="a3"/>
    <w:rsid w:val="00275A41"/>
    <w:pPr>
      <w:keepNext/>
      <w:spacing w:before="240" w:after="120"/>
      <w:ind w:firstLine="709"/>
    </w:pPr>
    <w:rPr>
      <w:rFonts w:ascii="Liberation Sans" w:eastAsia="Microsoft YaHei" w:hAnsi="Liberation Sans" w:cs="Mangal"/>
      <w:sz w:val="28"/>
      <w:szCs w:val="28"/>
      <w:lang w:eastAsia="en-US"/>
    </w:rPr>
  </w:style>
  <w:style w:type="paragraph" w:styleId="a3">
    <w:name w:val="Body Text"/>
    <w:basedOn w:val="a1"/>
    <w:link w:val="af7"/>
    <w:rsid w:val="00275A41"/>
    <w:pPr>
      <w:spacing w:after="140" w:line="288" w:lineRule="auto"/>
      <w:ind w:firstLine="709"/>
    </w:pPr>
    <w:rPr>
      <w:rFonts w:eastAsiaTheme="minorHAnsi" w:cstheme="minorBidi"/>
      <w:szCs w:val="22"/>
      <w:lang w:eastAsia="en-US"/>
    </w:rPr>
  </w:style>
  <w:style w:type="paragraph" w:styleId="af8">
    <w:name w:val="List"/>
    <w:basedOn w:val="a3"/>
    <w:rsid w:val="00275A41"/>
    <w:rPr>
      <w:rFonts w:cs="Mangal"/>
    </w:rPr>
  </w:style>
  <w:style w:type="paragraph" w:styleId="af9">
    <w:name w:val="caption"/>
    <w:basedOn w:val="a1"/>
    <w:qFormat/>
    <w:rsid w:val="00275A41"/>
    <w:pPr>
      <w:suppressLineNumbers/>
      <w:spacing w:before="120" w:after="120"/>
      <w:ind w:firstLine="709"/>
    </w:pPr>
    <w:rPr>
      <w:rFonts w:eastAsiaTheme="minorHAnsi" w:cs="Mangal"/>
      <w:i/>
      <w:iCs/>
      <w:lang w:eastAsia="en-US"/>
    </w:rPr>
  </w:style>
  <w:style w:type="paragraph" w:styleId="afa">
    <w:name w:val="index heading"/>
    <w:basedOn w:val="a1"/>
    <w:rsid w:val="00275A41"/>
    <w:pPr>
      <w:suppressLineNumbers/>
      <w:ind w:firstLine="709"/>
    </w:pPr>
    <w:rPr>
      <w:rFonts w:eastAsiaTheme="minorHAnsi" w:cs="Mangal"/>
      <w:szCs w:val="22"/>
      <w:lang w:eastAsia="en-US"/>
    </w:rPr>
  </w:style>
  <w:style w:type="paragraph" w:styleId="afb">
    <w:name w:val="header"/>
    <w:basedOn w:val="a1"/>
    <w:link w:val="15"/>
    <w:unhideWhenUsed/>
    <w:qFormat/>
    <w:rsid w:val="00C15E9F"/>
    <w:pPr>
      <w:tabs>
        <w:tab w:val="center" w:pos="4677"/>
        <w:tab w:val="right" w:pos="9355"/>
      </w:tabs>
      <w:ind w:firstLine="709"/>
    </w:pPr>
    <w:rPr>
      <w:rFonts w:eastAsiaTheme="minorHAnsi" w:cstheme="minorBidi"/>
      <w:szCs w:val="22"/>
      <w:lang w:eastAsia="en-US"/>
    </w:rPr>
  </w:style>
  <w:style w:type="paragraph" w:styleId="afc">
    <w:name w:val="footer"/>
    <w:basedOn w:val="a1"/>
    <w:link w:val="16"/>
    <w:unhideWhenUsed/>
    <w:qFormat/>
    <w:rsid w:val="00C15E9F"/>
    <w:pPr>
      <w:tabs>
        <w:tab w:val="center" w:pos="4677"/>
        <w:tab w:val="right" w:pos="9355"/>
      </w:tabs>
      <w:ind w:firstLine="709"/>
    </w:pPr>
    <w:rPr>
      <w:rFonts w:eastAsiaTheme="minorHAnsi" w:cstheme="minorBidi"/>
      <w:szCs w:val="22"/>
      <w:lang w:eastAsia="en-US"/>
    </w:rPr>
  </w:style>
  <w:style w:type="paragraph" w:styleId="afd">
    <w:name w:val="Normal (Web)"/>
    <w:basedOn w:val="a1"/>
    <w:link w:val="17"/>
    <w:uiPriority w:val="99"/>
    <w:unhideWhenUsed/>
    <w:qFormat/>
    <w:rsid w:val="00990719"/>
    <w:pPr>
      <w:spacing w:beforeAutospacing="1" w:afterAutospacing="1" w:line="288" w:lineRule="auto"/>
      <w:ind w:firstLine="709"/>
    </w:pPr>
  </w:style>
  <w:style w:type="paragraph" w:styleId="afe">
    <w:name w:val="List Paragraph"/>
    <w:basedOn w:val="a1"/>
    <w:link w:val="18"/>
    <w:uiPriority w:val="34"/>
    <w:qFormat/>
    <w:rsid w:val="006B7CAB"/>
    <w:pPr>
      <w:ind w:left="720" w:firstLine="709"/>
      <w:contextualSpacing/>
    </w:pPr>
    <w:rPr>
      <w:rFonts w:eastAsiaTheme="minorHAnsi" w:cstheme="minorBidi"/>
      <w:szCs w:val="22"/>
      <w:lang w:eastAsia="en-US"/>
    </w:rPr>
  </w:style>
  <w:style w:type="paragraph" w:customStyle="1" w:styleId="desc">
    <w:name w:val="desc"/>
    <w:basedOn w:val="a1"/>
    <w:rsid w:val="006B7CAB"/>
    <w:pPr>
      <w:spacing w:beforeAutospacing="1" w:afterAutospacing="1"/>
      <w:ind w:firstLine="709"/>
    </w:pPr>
  </w:style>
  <w:style w:type="paragraph" w:styleId="aff">
    <w:name w:val="TOC Heading"/>
    <w:basedOn w:val="11"/>
    <w:uiPriority w:val="39"/>
    <w:unhideWhenUsed/>
    <w:qFormat/>
    <w:rsid w:val="00E9341B"/>
    <w:pPr>
      <w:spacing w:line="276" w:lineRule="auto"/>
    </w:pPr>
  </w:style>
  <w:style w:type="paragraph" w:styleId="aff0">
    <w:name w:val="Balloon Text"/>
    <w:basedOn w:val="a1"/>
    <w:link w:val="19"/>
    <w:unhideWhenUsed/>
    <w:qFormat/>
    <w:rsid w:val="00E9341B"/>
    <w:pPr>
      <w:ind w:firstLine="709"/>
    </w:pPr>
    <w:rPr>
      <w:rFonts w:ascii="Tahoma" w:eastAsiaTheme="minorHAnsi" w:hAnsi="Tahoma" w:cs="Tahoma"/>
      <w:sz w:val="16"/>
      <w:szCs w:val="16"/>
      <w:lang w:eastAsia="en-US"/>
    </w:rPr>
  </w:style>
  <w:style w:type="paragraph" w:styleId="1a">
    <w:name w:val="toc 1"/>
    <w:basedOn w:val="a1"/>
    <w:autoRedefine/>
    <w:uiPriority w:val="39"/>
    <w:unhideWhenUsed/>
    <w:qFormat/>
    <w:rsid w:val="00186C35"/>
    <w:pPr>
      <w:tabs>
        <w:tab w:val="right" w:leader="dot" w:pos="9345"/>
      </w:tabs>
      <w:spacing w:after="100"/>
    </w:pPr>
    <w:rPr>
      <w:rFonts w:eastAsiaTheme="minorHAnsi" w:cstheme="minorBidi"/>
      <w:szCs w:val="22"/>
      <w:lang w:eastAsia="en-US"/>
    </w:rPr>
  </w:style>
  <w:style w:type="paragraph" w:styleId="a2">
    <w:name w:val="Subtitle"/>
    <w:basedOn w:val="a1"/>
    <w:link w:val="1b"/>
    <w:uiPriority w:val="11"/>
    <w:qFormat/>
    <w:rsid w:val="00181EC4"/>
    <w:pPr>
      <w:suppressAutoHyphens/>
      <w:spacing w:before="240"/>
      <w:ind w:firstLine="709"/>
    </w:pPr>
    <w:rPr>
      <w:rFonts w:eastAsiaTheme="minorHAnsi"/>
      <w:b/>
      <w:u w:val="single"/>
      <w:lang w:eastAsia="en-US"/>
    </w:rPr>
  </w:style>
  <w:style w:type="paragraph" w:styleId="aff1">
    <w:name w:val="No Spacing"/>
    <w:basedOn w:val="afe"/>
    <w:uiPriority w:val="1"/>
    <w:qFormat/>
    <w:rsid w:val="008B1499"/>
    <w:pPr>
      <w:spacing w:before="240"/>
      <w:ind w:left="851" w:hanging="425"/>
    </w:pPr>
    <w:rPr>
      <w:rFonts w:cs="Times New Roman"/>
      <w:szCs w:val="24"/>
    </w:rPr>
  </w:style>
  <w:style w:type="paragraph" w:customStyle="1" w:styleId="aff2">
    <w:name w:val="УДД;УУР"/>
    <w:basedOn w:val="aff1"/>
    <w:qFormat/>
    <w:rsid w:val="00B104EF"/>
    <w:pPr>
      <w:spacing w:before="0"/>
      <w:ind w:left="709" w:firstLine="0"/>
    </w:pPr>
    <w:rPr>
      <w:b/>
    </w:rPr>
  </w:style>
  <w:style w:type="paragraph" w:customStyle="1" w:styleId="aff3">
    <w:name w:val="Ком"/>
    <w:basedOn w:val="aff2"/>
    <w:qFormat/>
    <w:rsid w:val="00334F6C"/>
    <w:rPr>
      <w:b w:val="0"/>
    </w:rPr>
  </w:style>
  <w:style w:type="paragraph" w:styleId="aff4">
    <w:name w:val="annotation text"/>
    <w:basedOn w:val="a1"/>
    <w:link w:val="1c"/>
    <w:unhideWhenUsed/>
    <w:qFormat/>
    <w:rsid w:val="009C1F13"/>
    <w:pPr>
      <w:ind w:firstLine="709"/>
    </w:pPr>
    <w:rPr>
      <w:rFonts w:eastAsiaTheme="minorHAnsi" w:cstheme="minorBidi"/>
      <w:sz w:val="20"/>
      <w:szCs w:val="20"/>
      <w:lang w:eastAsia="en-US"/>
    </w:rPr>
  </w:style>
  <w:style w:type="paragraph" w:styleId="aff5">
    <w:name w:val="annotation subject"/>
    <w:basedOn w:val="aff4"/>
    <w:link w:val="1d"/>
    <w:unhideWhenUsed/>
    <w:qFormat/>
    <w:rsid w:val="009C1F13"/>
    <w:rPr>
      <w:b/>
      <w:bCs/>
    </w:rPr>
  </w:style>
  <w:style w:type="paragraph" w:styleId="aff6">
    <w:name w:val="Title"/>
    <w:aliases w:val="Заголовок мой,Название1"/>
    <w:basedOn w:val="a1"/>
    <w:link w:val="1e"/>
    <w:qFormat/>
    <w:rsid w:val="00A43933"/>
    <w:pPr>
      <w:ind w:firstLine="709"/>
      <w:contextualSpacing/>
      <w:jc w:val="center"/>
    </w:pPr>
    <w:rPr>
      <w:rFonts w:eastAsiaTheme="majorEastAsia" w:cstheme="majorBidi"/>
      <w:spacing w:val="-10"/>
      <w:sz w:val="28"/>
      <w:szCs w:val="56"/>
      <w:u w:val="single"/>
      <w:lang w:eastAsia="en-US"/>
    </w:rPr>
  </w:style>
  <w:style w:type="paragraph" w:styleId="21">
    <w:name w:val="toc 2"/>
    <w:basedOn w:val="a1"/>
    <w:autoRedefine/>
    <w:uiPriority w:val="39"/>
    <w:qFormat/>
    <w:rsid w:val="00186C35"/>
    <w:pPr>
      <w:tabs>
        <w:tab w:val="right" w:leader="dot" w:pos="9345"/>
      </w:tabs>
      <w:spacing w:after="200" w:line="276" w:lineRule="auto"/>
      <w:ind w:left="220" w:firstLine="64"/>
    </w:pPr>
    <w:rPr>
      <w:rFonts w:ascii="Calibri" w:eastAsia="Calibri" w:hAnsi="Calibri"/>
      <w:sz w:val="22"/>
      <w:szCs w:val="22"/>
      <w:lang w:eastAsia="en-US"/>
    </w:rPr>
  </w:style>
  <w:style w:type="paragraph" w:customStyle="1" w:styleId="Normal10">
    <w:name w:val="Normal1"/>
    <w:uiPriority w:val="99"/>
    <w:rsid w:val="004008B9"/>
    <w:pPr>
      <w:widowControl w:val="0"/>
      <w:jc w:val="both"/>
    </w:pPr>
    <w:rPr>
      <w:rFonts w:ascii="Times New Roman" w:eastAsia="Times New Roman" w:hAnsi="Times New Roman" w:cs="Times New Roman"/>
      <w:szCs w:val="20"/>
      <w:lang w:eastAsia="ru-RU"/>
    </w:rPr>
  </w:style>
  <w:style w:type="paragraph" w:styleId="aff7">
    <w:name w:val="footnote text"/>
    <w:basedOn w:val="a1"/>
    <w:link w:val="1f"/>
    <w:unhideWhenUsed/>
    <w:qFormat/>
    <w:rsid w:val="004008B9"/>
    <w:pPr>
      <w:spacing w:after="200" w:line="276" w:lineRule="auto"/>
      <w:ind w:firstLine="709"/>
    </w:pPr>
    <w:rPr>
      <w:rFonts w:ascii="Calibri" w:eastAsia="Calibri" w:hAnsi="Calibri"/>
      <w:sz w:val="20"/>
      <w:szCs w:val="20"/>
      <w:lang w:eastAsia="en-US"/>
    </w:rPr>
  </w:style>
  <w:style w:type="paragraph" w:customStyle="1" w:styleId="1f0">
    <w:name w:val="Оглавление 1 Знак"/>
    <w:basedOn w:val="Normal10"/>
    <w:qFormat/>
    <w:rsid w:val="003F4166"/>
    <w:pPr>
      <w:spacing w:line="360" w:lineRule="auto"/>
      <w:ind w:left="709" w:hanging="283"/>
    </w:pPr>
    <w:rPr>
      <w:rFonts w:eastAsiaTheme="majorEastAsia"/>
      <w:sz w:val="24"/>
      <w:szCs w:val="24"/>
    </w:rPr>
  </w:style>
  <w:style w:type="paragraph" w:customStyle="1" w:styleId="aff8">
    <w:name w:val="Содержимое врезки"/>
    <w:basedOn w:val="a1"/>
    <w:uiPriority w:val="99"/>
    <w:qFormat/>
    <w:rsid w:val="00275A41"/>
    <w:pPr>
      <w:ind w:firstLine="709"/>
    </w:pPr>
    <w:rPr>
      <w:rFonts w:eastAsiaTheme="minorHAnsi" w:cstheme="minorBidi"/>
      <w:szCs w:val="22"/>
      <w:lang w:eastAsia="en-US"/>
    </w:rPr>
  </w:style>
  <w:style w:type="table" w:styleId="aff9">
    <w:name w:val="Table Grid"/>
    <w:basedOn w:val="a5"/>
    <w:rsid w:val="00D71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qFormat/>
    <w:rsid w:val="00275A41"/>
    <w:pPr>
      <w:keepNext/>
      <w:keepLines/>
      <w:spacing w:line="276" w:lineRule="auto"/>
      <w:contextualSpacing/>
      <w:outlineLvl w:val="0"/>
    </w:pPr>
    <w:rPr>
      <w:rFonts w:ascii="Times New Roman" w:eastAsia="Sans" w:hAnsi="Times New Roman"/>
      <w:sz w:val="24"/>
    </w:rPr>
  </w:style>
  <w:style w:type="paragraph" w:customStyle="1" w:styleId="CustomContentNormal">
    <w:name w:val="Custom Content Normal"/>
    <w:link w:val="CustomContentNormal0"/>
    <w:rsid w:val="00B104EF"/>
    <w:pPr>
      <w:keepNext/>
      <w:keepLines/>
      <w:spacing w:before="240" w:line="360" w:lineRule="auto"/>
      <w:contextualSpacing/>
      <w:jc w:val="center"/>
      <w:outlineLvl w:val="0"/>
    </w:pPr>
    <w:rPr>
      <w:rFonts w:ascii="Times New Roman" w:eastAsia="Sans" w:hAnsi="Times New Roman"/>
      <w:b/>
      <w:sz w:val="28"/>
    </w:rPr>
  </w:style>
  <w:style w:type="character" w:styleId="affb">
    <w:name w:val="Strong"/>
    <w:basedOn w:val="a4"/>
    <w:uiPriority w:val="22"/>
    <w:qFormat/>
    <w:rsid w:val="009E685D"/>
    <w:rPr>
      <w:b/>
      <w:bCs/>
    </w:rPr>
  </w:style>
  <w:style w:type="character" w:styleId="affc">
    <w:name w:val="Emphasis"/>
    <w:basedOn w:val="a4"/>
    <w:uiPriority w:val="20"/>
    <w:qFormat/>
    <w:rsid w:val="002F7719"/>
    <w:rPr>
      <w:i/>
      <w:iCs/>
    </w:rPr>
  </w:style>
  <w:style w:type="character" w:styleId="affd">
    <w:name w:val="Hyperlink"/>
    <w:basedOn w:val="a4"/>
    <w:uiPriority w:val="99"/>
    <w:unhideWhenUsed/>
    <w:rsid w:val="00275A41"/>
    <w:rPr>
      <w:color w:val="0000FF"/>
      <w:u w:val="single"/>
    </w:rPr>
  </w:style>
  <w:style w:type="paragraph" w:customStyle="1" w:styleId="10">
    <w:name w:val="Стиль1"/>
    <w:basedOn w:val="a1"/>
    <w:link w:val="110"/>
    <w:rsid w:val="00EE59C2"/>
    <w:pPr>
      <w:numPr>
        <w:numId w:val="1"/>
      </w:numPr>
      <w:tabs>
        <w:tab w:val="clear" w:pos="720"/>
      </w:tabs>
      <w:spacing w:before="240"/>
      <w:ind w:left="709" w:hanging="425"/>
    </w:pPr>
    <w:rPr>
      <w:rFonts w:cstheme="minorBidi"/>
      <w:szCs w:val="22"/>
      <w:lang w:eastAsia="en-US"/>
    </w:rPr>
  </w:style>
  <w:style w:type="character" w:customStyle="1" w:styleId="110">
    <w:name w:val="Стиль1 Знак1"/>
    <w:basedOn w:val="a4"/>
    <w:link w:val="10"/>
    <w:rsid w:val="00EE59C2"/>
    <w:rPr>
      <w:rFonts w:ascii="Times New Roman" w:eastAsia="Times New Roman" w:hAnsi="Times New Roman"/>
      <w:sz w:val="24"/>
    </w:rPr>
  </w:style>
  <w:style w:type="character" w:customStyle="1" w:styleId="apple-style-span">
    <w:name w:val="apple-style-span"/>
    <w:rsid w:val="00021FEA"/>
  </w:style>
  <w:style w:type="paragraph" w:styleId="affe">
    <w:name w:val="Revision"/>
    <w:hidden/>
    <w:uiPriority w:val="99"/>
    <w:rsid w:val="00AE3406"/>
    <w:rPr>
      <w:rFonts w:ascii="Times New Roman" w:hAnsi="Times New Roman"/>
      <w:sz w:val="24"/>
    </w:rPr>
  </w:style>
  <w:style w:type="paragraph" w:customStyle="1" w:styleId="a0">
    <w:name w:val="Список ключевых слов"/>
    <w:basedOn w:val="afe"/>
    <w:link w:val="afff"/>
    <w:qFormat/>
    <w:rsid w:val="0021676E"/>
    <w:pPr>
      <w:numPr>
        <w:numId w:val="3"/>
      </w:numPr>
      <w:ind w:left="0" w:firstLine="709"/>
    </w:pPr>
    <w:rPr>
      <w:szCs w:val="28"/>
    </w:rPr>
  </w:style>
  <w:style w:type="paragraph" w:customStyle="1" w:styleId="afff0">
    <w:name w:val="Сокращения"/>
    <w:basedOn w:val="a1"/>
    <w:link w:val="afff1"/>
    <w:qFormat/>
    <w:rsid w:val="0021676E"/>
    <w:pPr>
      <w:ind w:firstLine="709"/>
    </w:pPr>
    <w:rPr>
      <w:rFonts w:eastAsiaTheme="minorHAnsi" w:cstheme="minorBidi"/>
      <w:szCs w:val="22"/>
      <w:lang w:eastAsia="en-US"/>
    </w:rPr>
  </w:style>
  <w:style w:type="character" w:customStyle="1" w:styleId="18">
    <w:name w:val="Абзац списка Знак1"/>
    <w:basedOn w:val="a4"/>
    <w:link w:val="afe"/>
    <w:uiPriority w:val="34"/>
    <w:rsid w:val="0021676E"/>
    <w:rPr>
      <w:rFonts w:ascii="Times New Roman" w:hAnsi="Times New Roman"/>
      <w:sz w:val="24"/>
    </w:rPr>
  </w:style>
  <w:style w:type="character" w:customStyle="1" w:styleId="afff">
    <w:name w:val="Список ключевых слов Знак"/>
    <w:basedOn w:val="18"/>
    <w:link w:val="a0"/>
    <w:rsid w:val="0021676E"/>
    <w:rPr>
      <w:rFonts w:ascii="Times New Roman" w:hAnsi="Times New Roman"/>
      <w:sz w:val="24"/>
      <w:szCs w:val="28"/>
    </w:rPr>
  </w:style>
  <w:style w:type="paragraph" w:customStyle="1" w:styleId="afff2">
    <w:name w:val="Наим. раздела"/>
    <w:basedOn w:val="CustomContentNormal"/>
    <w:link w:val="afff3"/>
    <w:qFormat/>
    <w:rsid w:val="00C4630C"/>
  </w:style>
  <w:style w:type="character" w:customStyle="1" w:styleId="afff1">
    <w:name w:val="Сокращения Знак"/>
    <w:basedOn w:val="a4"/>
    <w:link w:val="afff0"/>
    <w:rsid w:val="0021676E"/>
    <w:rPr>
      <w:rFonts w:ascii="Times New Roman" w:hAnsi="Times New Roman"/>
      <w:sz w:val="24"/>
    </w:rPr>
  </w:style>
  <w:style w:type="paragraph" w:customStyle="1" w:styleId="1f1">
    <w:name w:val="Текст в 1 разделе"/>
    <w:basedOn w:val="a1"/>
    <w:link w:val="1f2"/>
    <w:qFormat/>
    <w:rsid w:val="0021676E"/>
    <w:pPr>
      <w:ind w:firstLine="709"/>
    </w:pPr>
    <w:rPr>
      <w:lang w:eastAsia="en-US"/>
    </w:rPr>
  </w:style>
  <w:style w:type="character" w:customStyle="1" w:styleId="CustomContentNormal0">
    <w:name w:val="Custom Content Normal Знак"/>
    <w:basedOn w:val="a4"/>
    <w:link w:val="CustomContentNormal"/>
    <w:rsid w:val="0021676E"/>
    <w:rPr>
      <w:rFonts w:ascii="Times New Roman" w:eastAsia="Sans" w:hAnsi="Times New Roman"/>
      <w:b/>
      <w:sz w:val="28"/>
    </w:rPr>
  </w:style>
  <w:style w:type="character" w:customStyle="1" w:styleId="afff3">
    <w:name w:val="Наим. раздела Знак"/>
    <w:basedOn w:val="CustomContentNormal0"/>
    <w:link w:val="afff2"/>
    <w:rsid w:val="00C4630C"/>
    <w:rPr>
      <w:rFonts w:ascii="Times New Roman" w:eastAsia="Sans" w:hAnsi="Times New Roman"/>
      <w:b/>
      <w:sz w:val="28"/>
    </w:rPr>
  </w:style>
  <w:style w:type="paragraph" w:customStyle="1" w:styleId="afff4">
    <w:name w:val="Таблицы"/>
    <w:basedOn w:val="afd"/>
    <w:link w:val="afff5"/>
    <w:qFormat/>
    <w:rsid w:val="0021676E"/>
    <w:pPr>
      <w:spacing w:line="240" w:lineRule="auto"/>
      <w:ind w:firstLine="0"/>
    </w:pPr>
  </w:style>
  <w:style w:type="character" w:customStyle="1" w:styleId="1f2">
    <w:name w:val="Текст в 1 разделе Знак"/>
    <w:basedOn w:val="a4"/>
    <w:link w:val="1f1"/>
    <w:rsid w:val="0021676E"/>
    <w:rPr>
      <w:rFonts w:ascii="Times New Roman" w:eastAsia="Times New Roman" w:hAnsi="Times New Roman" w:cs="Times New Roman"/>
      <w:sz w:val="24"/>
      <w:szCs w:val="24"/>
    </w:rPr>
  </w:style>
  <w:style w:type="paragraph" w:customStyle="1" w:styleId="afff6">
    <w:name w:val="Наим. табл"/>
    <w:basedOn w:val="a1"/>
    <w:link w:val="afff7"/>
    <w:qFormat/>
    <w:rsid w:val="0021676E"/>
    <w:pPr>
      <w:ind w:firstLine="709"/>
    </w:pPr>
    <w:rPr>
      <w:rFonts w:eastAsiaTheme="minorHAnsi" w:cstheme="minorBidi"/>
      <w:szCs w:val="22"/>
      <w:lang w:eastAsia="en-US"/>
    </w:rPr>
  </w:style>
  <w:style w:type="character" w:customStyle="1" w:styleId="17">
    <w:name w:val="Обычный (веб) Знак1"/>
    <w:basedOn w:val="a4"/>
    <w:link w:val="afd"/>
    <w:rsid w:val="0021676E"/>
    <w:rPr>
      <w:rFonts w:ascii="Times New Roman" w:eastAsia="Times New Roman" w:hAnsi="Times New Roman" w:cs="Times New Roman"/>
      <w:sz w:val="24"/>
      <w:szCs w:val="24"/>
      <w:lang w:eastAsia="ru-RU"/>
    </w:rPr>
  </w:style>
  <w:style w:type="character" w:customStyle="1" w:styleId="afff5">
    <w:name w:val="Таблицы Знак"/>
    <w:basedOn w:val="17"/>
    <w:link w:val="afff4"/>
    <w:rsid w:val="0021676E"/>
    <w:rPr>
      <w:rFonts w:ascii="Times New Roman" w:eastAsia="Times New Roman" w:hAnsi="Times New Roman" w:cs="Times New Roman"/>
      <w:sz w:val="24"/>
      <w:szCs w:val="24"/>
      <w:lang w:eastAsia="ru-RU"/>
    </w:rPr>
  </w:style>
  <w:style w:type="paragraph" w:customStyle="1" w:styleId="2-6">
    <w:name w:val="Вводный текст 2-6 разделы"/>
    <w:basedOn w:val="a1"/>
    <w:link w:val="2-60"/>
    <w:qFormat/>
    <w:rsid w:val="00334F6C"/>
    <w:pPr>
      <w:ind w:firstLine="709"/>
    </w:pPr>
    <w:rPr>
      <w:rFonts w:eastAsiaTheme="minorHAnsi" w:cstheme="minorBidi"/>
      <w:lang w:eastAsia="en-US"/>
    </w:rPr>
  </w:style>
  <w:style w:type="character" w:customStyle="1" w:styleId="afff7">
    <w:name w:val="Наим. табл Знак"/>
    <w:basedOn w:val="a4"/>
    <w:link w:val="afff6"/>
    <w:rsid w:val="0021676E"/>
    <w:rPr>
      <w:rFonts w:ascii="Times New Roman" w:hAnsi="Times New Roman"/>
      <w:sz w:val="24"/>
    </w:rPr>
  </w:style>
  <w:style w:type="paragraph" w:customStyle="1" w:styleId="afff8">
    <w:name w:val="Рекомендация"/>
    <w:basedOn w:val="10"/>
    <w:link w:val="afff9"/>
    <w:qFormat/>
    <w:rsid w:val="0021676E"/>
  </w:style>
  <w:style w:type="character" w:customStyle="1" w:styleId="2-60">
    <w:name w:val="Вводный текст 2-6 разделы Знак"/>
    <w:basedOn w:val="a4"/>
    <w:link w:val="2-6"/>
    <w:rsid w:val="00334F6C"/>
    <w:rPr>
      <w:rFonts w:ascii="Times New Roman" w:hAnsi="Times New Roman"/>
      <w:sz w:val="24"/>
      <w:szCs w:val="24"/>
    </w:rPr>
  </w:style>
  <w:style w:type="paragraph" w:customStyle="1" w:styleId="afffa">
    <w:name w:val="УДД"/>
    <w:aliases w:val="УУР"/>
    <w:basedOn w:val="aff2"/>
    <w:rsid w:val="0021676E"/>
  </w:style>
  <w:style w:type="character" w:customStyle="1" w:styleId="afff9">
    <w:name w:val="Рекомендация Знак"/>
    <w:basedOn w:val="110"/>
    <w:link w:val="afff8"/>
    <w:rsid w:val="0021676E"/>
    <w:rPr>
      <w:rFonts w:ascii="Times New Roman" w:eastAsia="Times New Roman" w:hAnsi="Times New Roman"/>
      <w:sz w:val="24"/>
    </w:rPr>
  </w:style>
  <w:style w:type="paragraph" w:customStyle="1" w:styleId="Default">
    <w:name w:val="Default"/>
    <w:rsid w:val="00BF3A59"/>
    <w:pPr>
      <w:autoSpaceDE w:val="0"/>
      <w:autoSpaceDN w:val="0"/>
      <w:adjustRightInd w:val="0"/>
    </w:pPr>
    <w:rPr>
      <w:rFonts w:ascii="Times New Roman" w:hAnsi="Times New Roman" w:cs="Times New Roman"/>
      <w:color w:val="000000"/>
      <w:sz w:val="24"/>
      <w:szCs w:val="24"/>
    </w:rPr>
  </w:style>
  <w:style w:type="paragraph" w:customStyle="1" w:styleId="afffb">
    <w:name w:val="Памятки"/>
    <w:basedOn w:val="1f1"/>
    <w:link w:val="afffc"/>
    <w:uiPriority w:val="99"/>
    <w:qFormat/>
    <w:rsid w:val="00094ED6"/>
    <w:rPr>
      <w:i/>
      <w:color w:val="FF0000"/>
      <w:sz w:val="18"/>
    </w:rPr>
  </w:style>
  <w:style w:type="character" w:customStyle="1" w:styleId="afffc">
    <w:name w:val="Памятки Знак"/>
    <w:basedOn w:val="1f2"/>
    <w:link w:val="afffb"/>
    <w:uiPriority w:val="99"/>
    <w:rsid w:val="00094ED6"/>
    <w:rPr>
      <w:rFonts w:ascii="Times New Roman" w:eastAsia="Times New Roman" w:hAnsi="Times New Roman" w:cs="Times New Roman"/>
      <w:i/>
      <w:color w:val="FF0000"/>
      <w:sz w:val="18"/>
      <w:szCs w:val="24"/>
    </w:rPr>
  </w:style>
  <w:style w:type="table" w:customStyle="1" w:styleId="71">
    <w:name w:val="Сетка таблицы7"/>
    <w:basedOn w:val="a5"/>
    <w:next w:val="aff9"/>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5"/>
    <w:next w:val="aff9"/>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5"/>
    <w:next w:val="aff9"/>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3">
    <w:name w:val="Сетка таблицы1"/>
    <w:basedOn w:val="a5"/>
    <w:next w:val="aff9"/>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5"/>
    <w:next w:val="aff9"/>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5"/>
    <w:next w:val="aff9"/>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5"/>
    <w:next w:val="aff9"/>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d">
    <w:name w:val="ссылка"/>
    <w:basedOn w:val="a1"/>
    <w:link w:val="afffe"/>
    <w:qFormat/>
    <w:rsid w:val="00A91645"/>
    <w:pPr>
      <w:ind w:firstLine="709"/>
    </w:pPr>
    <w:rPr>
      <w:i/>
      <w:color w:val="0070C0"/>
      <w:u w:val="single"/>
      <w:lang w:eastAsia="en-US"/>
    </w:rPr>
  </w:style>
  <w:style w:type="character" w:customStyle="1" w:styleId="afffe">
    <w:name w:val="ссылка Знак"/>
    <w:basedOn w:val="a4"/>
    <w:link w:val="afffd"/>
    <w:rsid w:val="00A91645"/>
    <w:rPr>
      <w:rFonts w:ascii="Times New Roman" w:eastAsia="Times New Roman" w:hAnsi="Times New Roman" w:cs="Times New Roman"/>
      <w:i/>
      <w:color w:val="0070C0"/>
      <w:sz w:val="24"/>
      <w:szCs w:val="24"/>
      <w:u w:val="single"/>
    </w:rPr>
  </w:style>
  <w:style w:type="character" w:customStyle="1" w:styleId="affff">
    <w:name w:val="Основной текст_"/>
    <w:basedOn w:val="a4"/>
    <w:link w:val="1f4"/>
    <w:rsid w:val="00C4630C"/>
    <w:rPr>
      <w:rFonts w:ascii="Times New Roman" w:eastAsia="Times New Roman" w:hAnsi="Times New Roman" w:cs="Times New Roman"/>
      <w:sz w:val="28"/>
      <w:szCs w:val="28"/>
      <w:shd w:val="clear" w:color="auto" w:fill="FFFFFF"/>
    </w:rPr>
  </w:style>
  <w:style w:type="character" w:customStyle="1" w:styleId="22">
    <w:name w:val="Заголовок №2_"/>
    <w:basedOn w:val="a4"/>
    <w:link w:val="23"/>
    <w:rsid w:val="00C4630C"/>
    <w:rPr>
      <w:rFonts w:ascii="Times New Roman" w:eastAsia="Times New Roman" w:hAnsi="Times New Roman" w:cs="Times New Roman"/>
      <w:b/>
      <w:bCs/>
      <w:sz w:val="28"/>
      <w:szCs w:val="28"/>
      <w:shd w:val="clear" w:color="auto" w:fill="FFFFFF"/>
    </w:rPr>
  </w:style>
  <w:style w:type="paragraph" w:customStyle="1" w:styleId="1f4">
    <w:name w:val="Основной текст1"/>
    <w:basedOn w:val="a1"/>
    <w:link w:val="affff"/>
    <w:rsid w:val="00C4630C"/>
    <w:pPr>
      <w:widowControl w:val="0"/>
      <w:shd w:val="clear" w:color="auto" w:fill="FFFFFF"/>
      <w:ind w:firstLine="400"/>
    </w:pPr>
    <w:rPr>
      <w:sz w:val="28"/>
      <w:szCs w:val="28"/>
      <w:lang w:eastAsia="en-US"/>
    </w:rPr>
  </w:style>
  <w:style w:type="paragraph" w:customStyle="1" w:styleId="23">
    <w:name w:val="Заголовок №2"/>
    <w:basedOn w:val="a1"/>
    <w:link w:val="22"/>
    <w:rsid w:val="00C4630C"/>
    <w:pPr>
      <w:widowControl w:val="0"/>
      <w:shd w:val="clear" w:color="auto" w:fill="FFFFFF"/>
      <w:spacing w:after="160"/>
      <w:ind w:right="100"/>
      <w:jc w:val="center"/>
      <w:outlineLvl w:val="1"/>
    </w:pPr>
    <w:rPr>
      <w:b/>
      <w:bCs/>
      <w:sz w:val="28"/>
      <w:szCs w:val="28"/>
      <w:lang w:eastAsia="en-US"/>
    </w:rPr>
  </w:style>
  <w:style w:type="paragraph" w:customStyle="1" w:styleId="affff0">
    <w:basedOn w:val="a1"/>
    <w:next w:val="afd"/>
    <w:link w:val="affff1"/>
    <w:unhideWhenUsed/>
    <w:qFormat/>
    <w:rsid w:val="000578EF"/>
    <w:pPr>
      <w:ind w:firstLine="709"/>
    </w:pPr>
    <w:rPr>
      <w:rFonts w:cstheme="minorBidi"/>
      <w:lang w:eastAsia="en-US"/>
    </w:rPr>
  </w:style>
  <w:style w:type="character" w:customStyle="1" w:styleId="affff1">
    <w:name w:val="Обычный (веб) Знак"/>
    <w:link w:val="affff0"/>
    <w:rsid w:val="000578EF"/>
    <w:rPr>
      <w:rFonts w:ascii="Times New Roman" w:eastAsia="Times New Roman" w:hAnsi="Times New Roman"/>
      <w:sz w:val="24"/>
      <w:szCs w:val="24"/>
    </w:rPr>
  </w:style>
  <w:style w:type="table" w:customStyle="1" w:styleId="-131">
    <w:name w:val="Список-таблица 1 светлая — акцент 31"/>
    <w:basedOn w:val="a5"/>
    <w:uiPriority w:val="46"/>
    <w:rsid w:val="000578EF"/>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Paragraph">
    <w:name w:val="Table Paragraph"/>
    <w:basedOn w:val="a1"/>
    <w:qFormat/>
    <w:rsid w:val="000578EF"/>
    <w:pPr>
      <w:widowControl w:val="0"/>
      <w:ind w:left="103"/>
    </w:pPr>
    <w:rPr>
      <w:rFonts w:ascii="Calibri" w:hAnsi="Calibri" w:cs="Calibri"/>
      <w:sz w:val="22"/>
      <w:szCs w:val="22"/>
      <w:lang w:val="en-US" w:eastAsia="en-US"/>
    </w:rPr>
  </w:style>
  <w:style w:type="character" w:customStyle="1" w:styleId="1c">
    <w:name w:val="Текст примечания Знак1"/>
    <w:basedOn w:val="a4"/>
    <w:link w:val="aff4"/>
    <w:uiPriority w:val="99"/>
    <w:rsid w:val="000578EF"/>
    <w:rPr>
      <w:rFonts w:ascii="Times New Roman" w:hAnsi="Times New Roman"/>
      <w:szCs w:val="20"/>
    </w:rPr>
  </w:style>
  <w:style w:type="character" w:customStyle="1" w:styleId="1e">
    <w:name w:val="Название Знак1"/>
    <w:aliases w:val="Заголовок мой Знак,Название1 Знак"/>
    <w:basedOn w:val="a4"/>
    <w:link w:val="aff6"/>
    <w:rsid w:val="000578EF"/>
    <w:rPr>
      <w:rFonts w:ascii="Times New Roman" w:eastAsiaTheme="majorEastAsia" w:hAnsi="Times New Roman" w:cstheme="majorBidi"/>
      <w:spacing w:val="-10"/>
      <w:sz w:val="28"/>
      <w:szCs w:val="56"/>
      <w:u w:val="single"/>
    </w:rPr>
  </w:style>
  <w:style w:type="table" w:customStyle="1" w:styleId="-11">
    <w:name w:val="Таблица-сетка 1 светлая1"/>
    <w:basedOn w:val="a5"/>
    <w:uiPriority w:val="46"/>
    <w:rsid w:val="000578EF"/>
    <w:rPr>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111111">
    <w:name w:val="1 / 1.1 / 1.1.11"/>
    <w:basedOn w:val="a6"/>
    <w:next w:val="111111"/>
    <w:rsid w:val="000578EF"/>
    <w:pPr>
      <w:numPr>
        <w:numId w:val="13"/>
      </w:numPr>
    </w:pPr>
  </w:style>
  <w:style w:type="numbering" w:customStyle="1" w:styleId="1ai1">
    <w:name w:val="1 / a / i1"/>
    <w:basedOn w:val="a6"/>
    <w:next w:val="1ai"/>
    <w:rsid w:val="000578EF"/>
    <w:pPr>
      <w:numPr>
        <w:numId w:val="14"/>
      </w:numPr>
    </w:pPr>
  </w:style>
  <w:style w:type="numbering" w:styleId="111111">
    <w:name w:val="Outline List 2"/>
    <w:basedOn w:val="a6"/>
    <w:uiPriority w:val="99"/>
    <w:semiHidden/>
    <w:unhideWhenUsed/>
    <w:rsid w:val="000578EF"/>
    <w:pPr>
      <w:numPr>
        <w:numId w:val="11"/>
      </w:numPr>
    </w:pPr>
  </w:style>
  <w:style w:type="numbering" w:styleId="1ai">
    <w:name w:val="Outline List 1"/>
    <w:basedOn w:val="a6"/>
    <w:uiPriority w:val="99"/>
    <w:semiHidden/>
    <w:unhideWhenUsed/>
    <w:rsid w:val="000578EF"/>
    <w:pPr>
      <w:numPr>
        <w:numId w:val="12"/>
      </w:numPr>
    </w:pPr>
  </w:style>
  <w:style w:type="character" w:styleId="affff2">
    <w:name w:val="FollowedHyperlink"/>
    <w:basedOn w:val="a4"/>
    <w:uiPriority w:val="99"/>
    <w:unhideWhenUsed/>
    <w:rsid w:val="000578EF"/>
    <w:rPr>
      <w:color w:val="954F72" w:themeColor="followedHyperlink"/>
      <w:u w:val="single"/>
    </w:rPr>
  </w:style>
  <w:style w:type="paragraph" w:customStyle="1" w:styleId="msonormal0">
    <w:name w:val="msonormal"/>
    <w:basedOn w:val="a1"/>
    <w:qFormat/>
    <w:rsid w:val="000578EF"/>
    <w:pPr>
      <w:spacing w:before="100" w:beforeAutospacing="1" w:after="100" w:afterAutospacing="1" w:line="288" w:lineRule="auto"/>
    </w:pPr>
  </w:style>
  <w:style w:type="character" w:customStyle="1" w:styleId="1f5">
    <w:name w:val="Заголовок Знак1"/>
    <w:aliases w:val="Заголовок мой Знак1"/>
    <w:basedOn w:val="a4"/>
    <w:rsid w:val="000578EF"/>
    <w:rPr>
      <w:rFonts w:asciiTheme="majorHAnsi" w:eastAsiaTheme="majorEastAsia" w:hAnsiTheme="majorHAnsi" w:cstheme="majorBidi"/>
      <w:spacing w:val="-10"/>
      <w:kern w:val="28"/>
      <w:sz w:val="56"/>
      <w:szCs w:val="56"/>
    </w:rPr>
  </w:style>
  <w:style w:type="paragraph" w:customStyle="1" w:styleId="a">
    <w:name w:val="рек"/>
    <w:basedOn w:val="afe"/>
    <w:link w:val="affff3"/>
    <w:qFormat/>
    <w:rsid w:val="000578EF"/>
    <w:pPr>
      <w:numPr>
        <w:numId w:val="15"/>
      </w:numPr>
      <w:tabs>
        <w:tab w:val="left" w:pos="1134"/>
      </w:tabs>
      <w:spacing w:before="240"/>
      <w:ind w:left="709" w:hanging="425"/>
      <w:contextualSpacing w:val="0"/>
    </w:pPr>
    <w:rPr>
      <w:rFonts w:cs="Times New Roman"/>
      <w:szCs w:val="24"/>
    </w:rPr>
  </w:style>
  <w:style w:type="character" w:customStyle="1" w:styleId="affff3">
    <w:name w:val="рек Знак"/>
    <w:basedOn w:val="ac"/>
    <w:link w:val="a"/>
    <w:rsid w:val="000578EF"/>
    <w:rPr>
      <w:rFonts w:ascii="Times New Roman" w:hAnsi="Times New Roman" w:cs="Times New Roman"/>
      <w:sz w:val="24"/>
      <w:szCs w:val="24"/>
    </w:rPr>
  </w:style>
  <w:style w:type="paragraph" w:customStyle="1" w:styleId="1f6">
    <w:name w:val="Обычный с отступом 1 см"/>
    <w:basedOn w:val="a1"/>
    <w:rsid w:val="003F0AA9"/>
    <w:pPr>
      <w:widowControl w:val="0"/>
      <w:ind w:firstLine="680"/>
    </w:pPr>
    <w:rPr>
      <w:rFonts w:ascii="Arial" w:hAnsi="Arial"/>
      <w:bCs/>
      <w:iCs/>
      <w:sz w:val="28"/>
      <w:szCs w:val="20"/>
    </w:rPr>
  </w:style>
  <w:style w:type="character" w:styleId="affff4">
    <w:name w:val="endnote reference"/>
    <w:basedOn w:val="a4"/>
    <w:unhideWhenUsed/>
    <w:rsid w:val="0015288D"/>
    <w:rPr>
      <w:vertAlign w:val="superscript"/>
    </w:rPr>
  </w:style>
  <w:style w:type="character" w:customStyle="1" w:styleId="ListLabel67">
    <w:name w:val="ListLabel 67"/>
    <w:qFormat/>
    <w:rsid w:val="003329C6"/>
    <w:rPr>
      <w:sz w:val="20"/>
    </w:rPr>
  </w:style>
  <w:style w:type="paragraph" w:customStyle="1" w:styleId="affff5">
    <w:name w:val="Содержимое таблицы"/>
    <w:basedOn w:val="a1"/>
    <w:qFormat/>
    <w:rsid w:val="00F82D52"/>
    <w:pPr>
      <w:suppressLineNumbers/>
    </w:pPr>
    <w:rPr>
      <w:rFonts w:eastAsia="Calibri" w:cs="Tahoma"/>
      <w:szCs w:val="22"/>
      <w:lang w:eastAsia="en-US"/>
    </w:rPr>
  </w:style>
  <w:style w:type="character" w:styleId="affff6">
    <w:name w:val="Placeholder Text"/>
    <w:basedOn w:val="a4"/>
    <w:uiPriority w:val="99"/>
    <w:semiHidden/>
    <w:rsid w:val="00D85B71"/>
    <w:rPr>
      <w:color w:val="808080"/>
    </w:rPr>
  </w:style>
  <w:style w:type="character" w:customStyle="1" w:styleId="30">
    <w:name w:val="Заголовок 3 Знак"/>
    <w:basedOn w:val="a4"/>
    <w:link w:val="3"/>
    <w:rsid w:val="009C36FB"/>
    <w:rPr>
      <w:rFonts w:asciiTheme="majorHAnsi" w:eastAsiaTheme="majorEastAsia" w:hAnsiTheme="majorHAnsi" w:cstheme="majorBidi"/>
      <w:color w:val="1F4D78" w:themeColor="accent1" w:themeShade="7F"/>
      <w:sz w:val="24"/>
      <w:szCs w:val="24"/>
    </w:rPr>
  </w:style>
  <w:style w:type="character" w:customStyle="1" w:styleId="WW8Num60z8">
    <w:name w:val="WW8Num60z8"/>
    <w:rsid w:val="000718D1"/>
  </w:style>
  <w:style w:type="character" w:customStyle="1" w:styleId="1f7">
    <w:name w:val="Строгий1"/>
    <w:basedOn w:val="a4"/>
    <w:rsid w:val="000718D1"/>
    <w:rPr>
      <w:b/>
      <w:bCs/>
    </w:rPr>
  </w:style>
  <w:style w:type="character" w:customStyle="1" w:styleId="WW8Num37z5">
    <w:name w:val="WW8Num37z5"/>
    <w:rsid w:val="00D41707"/>
  </w:style>
  <w:style w:type="character" w:customStyle="1" w:styleId="WW8Num37z0">
    <w:name w:val="WW8Num37z0"/>
    <w:rsid w:val="00EA74D7"/>
  </w:style>
  <w:style w:type="character" w:customStyle="1" w:styleId="40">
    <w:name w:val="Заголовок 4 Знак"/>
    <w:basedOn w:val="a4"/>
    <w:link w:val="4"/>
    <w:rsid w:val="00204469"/>
    <w:rPr>
      <w:rFonts w:ascii="Times New Roman" w:eastAsia="Calibri" w:hAnsi="Times New Roman" w:cs="Times New Roman"/>
      <w:b/>
      <w:szCs w:val="20"/>
      <w:shd w:val="clear" w:color="auto" w:fill="FFFFFF"/>
      <w:lang w:val="en-US" w:eastAsia="zh-CN"/>
    </w:rPr>
  </w:style>
  <w:style w:type="character" w:customStyle="1" w:styleId="50">
    <w:name w:val="Заголовок 5 Знак"/>
    <w:basedOn w:val="a4"/>
    <w:link w:val="5"/>
    <w:rsid w:val="00204469"/>
    <w:rPr>
      <w:rFonts w:ascii="Calibri Light" w:eastAsia="Times New Roman" w:hAnsi="Calibri Light" w:cs="Calibri Light"/>
      <w:b/>
      <w:bCs/>
      <w:kern w:val="1"/>
      <w:sz w:val="24"/>
      <w:szCs w:val="24"/>
      <w:lang w:eastAsia="zh-CN"/>
    </w:rPr>
  </w:style>
  <w:style w:type="character" w:customStyle="1" w:styleId="60">
    <w:name w:val="Заголовок 6 Знак"/>
    <w:basedOn w:val="a4"/>
    <w:link w:val="6"/>
    <w:rsid w:val="00204469"/>
    <w:rPr>
      <w:rFonts w:ascii="Calibri Light" w:eastAsia="Times New Roman" w:hAnsi="Calibri Light" w:cs="Calibri Light"/>
      <w:b/>
      <w:bCs/>
      <w:i/>
      <w:iCs/>
      <w:kern w:val="1"/>
      <w:sz w:val="24"/>
      <w:szCs w:val="24"/>
      <w:lang w:eastAsia="zh-CN"/>
    </w:rPr>
  </w:style>
  <w:style w:type="character" w:customStyle="1" w:styleId="70">
    <w:name w:val="Заголовок 7 Знак"/>
    <w:basedOn w:val="a4"/>
    <w:link w:val="7"/>
    <w:rsid w:val="00204469"/>
    <w:rPr>
      <w:rFonts w:ascii="Calibri Light" w:eastAsia="Times New Roman" w:hAnsi="Calibri Light" w:cs="Calibri Light"/>
      <w:b/>
      <w:bCs/>
      <w:kern w:val="1"/>
      <w:sz w:val="22"/>
      <w:lang w:eastAsia="zh-CN"/>
    </w:rPr>
  </w:style>
  <w:style w:type="character" w:customStyle="1" w:styleId="80">
    <w:name w:val="Заголовок 8 Знак"/>
    <w:basedOn w:val="a4"/>
    <w:link w:val="8"/>
    <w:rsid w:val="00204469"/>
    <w:rPr>
      <w:rFonts w:ascii="Calibri Light" w:eastAsia="Times New Roman" w:hAnsi="Calibri Light" w:cs="Calibri Light"/>
      <w:b/>
      <w:bCs/>
      <w:i/>
      <w:iCs/>
      <w:kern w:val="1"/>
      <w:sz w:val="22"/>
      <w:lang w:eastAsia="zh-CN"/>
    </w:rPr>
  </w:style>
  <w:style w:type="character" w:customStyle="1" w:styleId="90">
    <w:name w:val="Заголовок 9 Знак"/>
    <w:basedOn w:val="a4"/>
    <w:link w:val="9"/>
    <w:rsid w:val="00204469"/>
    <w:rPr>
      <w:rFonts w:ascii="Calibri Light" w:eastAsia="Times New Roman" w:hAnsi="Calibri Light" w:cs="Calibri Light"/>
      <w:b/>
      <w:bCs/>
      <w:kern w:val="1"/>
      <w:sz w:val="21"/>
      <w:szCs w:val="21"/>
      <w:lang w:eastAsia="zh-CN"/>
    </w:rPr>
  </w:style>
  <w:style w:type="character" w:customStyle="1" w:styleId="highlight">
    <w:name w:val="highlight"/>
    <w:basedOn w:val="a4"/>
    <w:rsid w:val="00981E11"/>
  </w:style>
  <w:style w:type="paragraph" w:customStyle="1" w:styleId="ConsPlusNormal">
    <w:name w:val="ConsPlusNormal"/>
    <w:qFormat/>
    <w:rsid w:val="00E0494A"/>
    <w:pPr>
      <w:widowControl w:val="0"/>
      <w:autoSpaceDE w:val="0"/>
      <w:autoSpaceDN w:val="0"/>
    </w:pPr>
    <w:rPr>
      <w:rFonts w:ascii="Calibri" w:eastAsia="Times New Roman" w:hAnsi="Calibri" w:cs="Calibri"/>
      <w:sz w:val="22"/>
      <w:szCs w:val="20"/>
      <w:lang w:eastAsia="ru-RU"/>
    </w:rPr>
  </w:style>
  <w:style w:type="paragraph" w:customStyle="1" w:styleId="-51">
    <w:name w:val="Светлый список - Акцент 51"/>
    <w:basedOn w:val="a1"/>
    <w:uiPriority w:val="34"/>
    <w:qFormat/>
    <w:rsid w:val="00D80973"/>
    <w:pPr>
      <w:suppressAutoHyphens/>
      <w:ind w:left="708"/>
    </w:pPr>
    <w:rPr>
      <w:rFonts w:eastAsia="Calibri"/>
      <w:szCs w:val="22"/>
      <w:lang w:eastAsia="zh-CN"/>
    </w:rPr>
  </w:style>
  <w:style w:type="paragraph" w:customStyle="1" w:styleId="1f8">
    <w:name w:val="Абзац списка1"/>
    <w:basedOn w:val="a1"/>
    <w:uiPriority w:val="34"/>
    <w:qFormat/>
    <w:rsid w:val="009B70C4"/>
    <w:pPr>
      <w:spacing w:after="160"/>
      <w:ind w:left="720" w:firstLine="709"/>
      <w:contextualSpacing/>
    </w:pPr>
    <w:rPr>
      <w:szCs w:val="22"/>
      <w:lang w:eastAsia="en-US"/>
    </w:rPr>
  </w:style>
  <w:style w:type="character" w:customStyle="1" w:styleId="af7">
    <w:name w:val="Основной текст Знак"/>
    <w:basedOn w:val="a4"/>
    <w:link w:val="a3"/>
    <w:rsid w:val="00666D68"/>
    <w:rPr>
      <w:rFonts w:ascii="Times New Roman" w:hAnsi="Times New Roman"/>
      <w:sz w:val="24"/>
    </w:rPr>
  </w:style>
  <w:style w:type="paragraph" w:styleId="1f9">
    <w:name w:val="index 1"/>
    <w:basedOn w:val="a1"/>
    <w:next w:val="a1"/>
    <w:autoRedefine/>
    <w:uiPriority w:val="99"/>
    <w:semiHidden/>
    <w:unhideWhenUsed/>
    <w:rsid w:val="00666D68"/>
    <w:pPr>
      <w:ind w:left="240" w:hanging="240"/>
    </w:pPr>
    <w:rPr>
      <w:rFonts w:eastAsiaTheme="minorHAnsi" w:cstheme="minorBidi"/>
      <w:szCs w:val="22"/>
      <w:lang w:eastAsia="en-US"/>
    </w:rPr>
  </w:style>
  <w:style w:type="character" w:customStyle="1" w:styleId="15">
    <w:name w:val="Верхний колонтитул Знак1"/>
    <w:basedOn w:val="a4"/>
    <w:link w:val="afb"/>
    <w:uiPriority w:val="99"/>
    <w:rsid w:val="00666D68"/>
    <w:rPr>
      <w:rFonts w:ascii="Times New Roman" w:hAnsi="Times New Roman"/>
      <w:sz w:val="24"/>
    </w:rPr>
  </w:style>
  <w:style w:type="character" w:customStyle="1" w:styleId="16">
    <w:name w:val="Нижний колонтитул Знак1"/>
    <w:basedOn w:val="a4"/>
    <w:link w:val="afc"/>
    <w:uiPriority w:val="99"/>
    <w:rsid w:val="00666D68"/>
    <w:rPr>
      <w:rFonts w:ascii="Times New Roman" w:hAnsi="Times New Roman"/>
      <w:sz w:val="24"/>
    </w:rPr>
  </w:style>
  <w:style w:type="character" w:customStyle="1" w:styleId="19">
    <w:name w:val="Текст выноски Знак1"/>
    <w:basedOn w:val="a4"/>
    <w:link w:val="aff0"/>
    <w:uiPriority w:val="99"/>
    <w:rsid w:val="00666D68"/>
    <w:rPr>
      <w:rFonts w:ascii="Tahoma" w:hAnsi="Tahoma" w:cs="Tahoma"/>
      <w:sz w:val="16"/>
      <w:szCs w:val="16"/>
    </w:rPr>
  </w:style>
  <w:style w:type="character" w:customStyle="1" w:styleId="1b">
    <w:name w:val="Подзаголовок Знак1"/>
    <w:basedOn w:val="a4"/>
    <w:link w:val="a2"/>
    <w:uiPriority w:val="11"/>
    <w:rsid w:val="00666D68"/>
    <w:rPr>
      <w:rFonts w:ascii="Times New Roman" w:hAnsi="Times New Roman" w:cs="Times New Roman"/>
      <w:b/>
      <w:sz w:val="24"/>
      <w:szCs w:val="24"/>
      <w:u w:val="single"/>
    </w:rPr>
  </w:style>
  <w:style w:type="character" w:customStyle="1" w:styleId="1d">
    <w:name w:val="Тема примечания Знак1"/>
    <w:basedOn w:val="1c"/>
    <w:link w:val="aff5"/>
    <w:uiPriority w:val="99"/>
    <w:rsid w:val="00666D68"/>
    <w:rPr>
      <w:rFonts w:ascii="Times New Roman" w:hAnsi="Times New Roman"/>
      <w:b/>
      <w:bCs/>
      <w:szCs w:val="20"/>
    </w:rPr>
  </w:style>
  <w:style w:type="character" w:customStyle="1" w:styleId="1f">
    <w:name w:val="Текст сноски Знак1"/>
    <w:basedOn w:val="a4"/>
    <w:link w:val="aff7"/>
    <w:uiPriority w:val="99"/>
    <w:rsid w:val="00666D68"/>
    <w:rPr>
      <w:rFonts w:ascii="Calibri" w:eastAsia="Calibri" w:hAnsi="Calibri" w:cs="Times New Roman"/>
      <w:szCs w:val="20"/>
    </w:rPr>
  </w:style>
  <w:style w:type="character" w:customStyle="1" w:styleId="1fa">
    <w:name w:val="Неразрешенное упоминание1"/>
    <w:basedOn w:val="a4"/>
    <w:uiPriority w:val="99"/>
    <w:semiHidden/>
    <w:unhideWhenUsed/>
    <w:rsid w:val="00666D68"/>
    <w:rPr>
      <w:color w:val="605E5C"/>
      <w:shd w:val="clear" w:color="auto" w:fill="E1DFDD"/>
    </w:rPr>
  </w:style>
  <w:style w:type="paragraph" w:styleId="HTML">
    <w:name w:val="HTML Preformatted"/>
    <w:basedOn w:val="a1"/>
    <w:link w:val="HTML0"/>
    <w:unhideWhenUsed/>
    <w:rsid w:val="001A55B7"/>
    <w:pPr>
      <w:ind w:firstLine="709"/>
    </w:pPr>
    <w:rPr>
      <w:rFonts w:ascii="Consolas" w:eastAsiaTheme="minorHAnsi" w:hAnsi="Consolas" w:cs="Consolas"/>
      <w:sz w:val="20"/>
      <w:szCs w:val="20"/>
      <w:lang w:eastAsia="en-US"/>
    </w:rPr>
  </w:style>
  <w:style w:type="character" w:customStyle="1" w:styleId="HTML0">
    <w:name w:val="Стандартный HTML Знак"/>
    <w:basedOn w:val="a4"/>
    <w:link w:val="HTML"/>
    <w:rsid w:val="001A55B7"/>
    <w:rPr>
      <w:rFonts w:ascii="Consolas" w:hAnsi="Consolas" w:cs="Consolas"/>
      <w:szCs w:val="20"/>
    </w:rPr>
  </w:style>
  <w:style w:type="character" w:customStyle="1" w:styleId="24">
    <w:name w:val="Неразрешенное упоминание2"/>
    <w:basedOn w:val="a4"/>
    <w:uiPriority w:val="99"/>
    <w:semiHidden/>
    <w:unhideWhenUsed/>
    <w:rsid w:val="001F5BC1"/>
    <w:rPr>
      <w:color w:val="605E5C"/>
      <w:shd w:val="clear" w:color="auto" w:fill="E1DFDD"/>
    </w:rPr>
  </w:style>
  <w:style w:type="character" w:customStyle="1" w:styleId="32">
    <w:name w:val="Неразрешенное упоминание3"/>
    <w:basedOn w:val="a4"/>
    <w:uiPriority w:val="99"/>
    <w:semiHidden/>
    <w:unhideWhenUsed/>
    <w:rsid w:val="00247551"/>
    <w:rPr>
      <w:color w:val="605E5C"/>
      <w:shd w:val="clear" w:color="auto" w:fill="E1DFDD"/>
    </w:rPr>
  </w:style>
  <w:style w:type="paragraph" w:customStyle="1" w:styleId="Numlist">
    <w:name w:val="Num_list"/>
    <w:basedOn w:val="a1"/>
    <w:qFormat/>
    <w:rsid w:val="009F7A84"/>
    <w:pPr>
      <w:overflowPunct w:val="0"/>
      <w:spacing w:line="240" w:lineRule="auto"/>
      <w:ind w:firstLine="708"/>
      <w:jc w:val="left"/>
      <w:textAlignment w:val="baseline"/>
    </w:pPr>
  </w:style>
  <w:style w:type="table" w:customStyle="1" w:styleId="1fb">
    <w:name w:val="Сетка таблицы светлая1"/>
    <w:basedOn w:val="a5"/>
    <w:uiPriority w:val="40"/>
    <w:rsid w:val="009F7A84"/>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paragraph" w:customStyle="1" w:styleId="Normal11">
    <w:name w:val="Normal 1"/>
    <w:basedOn w:val="a1"/>
    <w:rsid w:val="007F7B87"/>
    <w:pPr>
      <w:shd w:val="clear" w:color="auto" w:fill="FFFFFF"/>
      <w:tabs>
        <w:tab w:val="left" w:pos="394"/>
      </w:tabs>
      <w:overflowPunct w:val="0"/>
      <w:autoSpaceDE w:val="0"/>
      <w:autoSpaceDN w:val="0"/>
      <w:adjustRightInd w:val="0"/>
      <w:spacing w:before="5" w:line="240" w:lineRule="auto"/>
      <w:ind w:left="10" w:hanging="10"/>
      <w:jc w:val="left"/>
      <w:textAlignment w:val="baseline"/>
    </w:pPr>
    <w:rPr>
      <w:color w:val="000000"/>
      <w:spacing w:val="4"/>
      <w:szCs w:val="20"/>
    </w:rPr>
  </w:style>
  <w:style w:type="paragraph" w:customStyle="1" w:styleId="Number1">
    <w:name w:val="Number1"/>
    <w:basedOn w:val="a1"/>
    <w:rsid w:val="007F7B87"/>
    <w:pPr>
      <w:shd w:val="clear" w:color="auto" w:fill="FFFFFF"/>
      <w:tabs>
        <w:tab w:val="left" w:pos="394"/>
      </w:tabs>
      <w:overflowPunct w:val="0"/>
      <w:autoSpaceDE w:val="0"/>
      <w:autoSpaceDN w:val="0"/>
      <w:adjustRightInd w:val="0"/>
      <w:spacing w:before="5" w:line="240" w:lineRule="auto"/>
      <w:ind w:left="284" w:hanging="284"/>
      <w:jc w:val="left"/>
      <w:textAlignment w:val="baseline"/>
    </w:pPr>
    <w:rPr>
      <w:color w:val="000000"/>
      <w:spacing w:val="-1"/>
      <w:szCs w:val="20"/>
    </w:rPr>
  </w:style>
  <w:style w:type="paragraph" w:customStyle="1" w:styleId="Author">
    <w:name w:val="Author"/>
    <w:basedOn w:val="a1"/>
    <w:rsid w:val="007F7B87"/>
    <w:pPr>
      <w:overflowPunct w:val="0"/>
      <w:autoSpaceDE w:val="0"/>
      <w:autoSpaceDN w:val="0"/>
      <w:adjustRightInd w:val="0"/>
      <w:spacing w:line="240" w:lineRule="auto"/>
      <w:ind w:firstLine="284"/>
      <w:jc w:val="center"/>
      <w:textAlignment w:val="baseline"/>
    </w:pPr>
    <w:rPr>
      <w:i/>
      <w:szCs w:val="20"/>
    </w:rPr>
  </w:style>
  <w:style w:type="paragraph" w:customStyle="1" w:styleId="affff7">
    <w:name w:val="Стиль"/>
    <w:uiPriority w:val="99"/>
    <w:rsid w:val="004957E5"/>
    <w:pPr>
      <w:keepNext/>
      <w:keepLines/>
      <w:spacing w:line="276" w:lineRule="auto"/>
      <w:outlineLvl w:val="0"/>
    </w:pPr>
    <w:rPr>
      <w:rFonts w:ascii="Times New Roman" w:eastAsia="Calibri" w:hAnsi="Times New Roman" w:cs="Times New Roman"/>
      <w:sz w:val="24"/>
    </w:rPr>
  </w:style>
  <w:style w:type="paragraph" w:customStyle="1" w:styleId="1fc">
    <w:name w:val="УДД1"/>
    <w:aliases w:val="УУР1"/>
    <w:basedOn w:val="afffa"/>
    <w:uiPriority w:val="99"/>
    <w:rsid w:val="004957E5"/>
    <w:pPr>
      <w:contextualSpacing w:val="0"/>
    </w:pPr>
    <w:rPr>
      <w:rFonts w:eastAsia="Calibri"/>
    </w:rPr>
  </w:style>
  <w:style w:type="paragraph" w:styleId="33">
    <w:name w:val="toc 3"/>
    <w:basedOn w:val="a1"/>
    <w:next w:val="a1"/>
    <w:autoRedefine/>
    <w:uiPriority w:val="39"/>
    <w:unhideWhenUsed/>
    <w:qFormat/>
    <w:rsid w:val="004957E5"/>
    <w:pPr>
      <w:ind w:left="480" w:firstLine="709"/>
      <w:jc w:val="left"/>
    </w:pPr>
    <w:rPr>
      <w:rFonts w:asciiTheme="minorHAnsi" w:eastAsia="Calibri" w:hAnsiTheme="minorHAnsi"/>
      <w:sz w:val="20"/>
      <w:szCs w:val="20"/>
      <w:lang w:eastAsia="en-US"/>
    </w:rPr>
  </w:style>
  <w:style w:type="numbering" w:customStyle="1" w:styleId="1fd">
    <w:name w:val="Нет списка1"/>
    <w:next w:val="a6"/>
    <w:uiPriority w:val="99"/>
    <w:semiHidden/>
    <w:unhideWhenUsed/>
    <w:rsid w:val="004957E5"/>
  </w:style>
  <w:style w:type="numbering" w:customStyle="1" w:styleId="25">
    <w:name w:val="Нет списка2"/>
    <w:next w:val="a6"/>
    <w:uiPriority w:val="99"/>
    <w:semiHidden/>
    <w:unhideWhenUsed/>
    <w:rsid w:val="004957E5"/>
  </w:style>
  <w:style w:type="numbering" w:customStyle="1" w:styleId="34">
    <w:name w:val="Нет списка3"/>
    <w:next w:val="a6"/>
    <w:uiPriority w:val="99"/>
    <w:semiHidden/>
    <w:unhideWhenUsed/>
    <w:rsid w:val="004957E5"/>
  </w:style>
  <w:style w:type="paragraph" w:styleId="affff8">
    <w:name w:val="endnote text"/>
    <w:basedOn w:val="a1"/>
    <w:link w:val="affff9"/>
    <w:uiPriority w:val="99"/>
    <w:unhideWhenUsed/>
    <w:rsid w:val="004957E5"/>
    <w:pPr>
      <w:spacing w:line="240" w:lineRule="auto"/>
      <w:ind w:firstLine="567"/>
    </w:pPr>
    <w:rPr>
      <w:rFonts w:ascii="Calibri" w:eastAsia="Calibri" w:hAnsi="Calibri"/>
      <w:sz w:val="20"/>
      <w:szCs w:val="20"/>
      <w:lang w:eastAsia="en-US"/>
    </w:rPr>
  </w:style>
  <w:style w:type="character" w:customStyle="1" w:styleId="affff9">
    <w:name w:val="Текст концевой сноски Знак"/>
    <w:basedOn w:val="a4"/>
    <w:link w:val="affff8"/>
    <w:uiPriority w:val="99"/>
    <w:rsid w:val="004957E5"/>
    <w:rPr>
      <w:rFonts w:ascii="Calibri" w:eastAsia="Calibri" w:hAnsi="Calibri" w:cs="Times New Roman"/>
      <w:szCs w:val="20"/>
    </w:rPr>
  </w:style>
  <w:style w:type="paragraph" w:customStyle="1" w:styleId="310">
    <w:name w:val="Основной текст с отступом 31"/>
    <w:basedOn w:val="a1"/>
    <w:rsid w:val="004957E5"/>
    <w:pPr>
      <w:suppressAutoHyphens/>
      <w:spacing w:after="120" w:line="240" w:lineRule="auto"/>
      <w:ind w:left="283" w:firstLine="567"/>
    </w:pPr>
    <w:rPr>
      <w:rFonts w:cs="Calibri"/>
      <w:sz w:val="16"/>
      <w:szCs w:val="16"/>
      <w:lang w:eastAsia="ar-SA"/>
    </w:rPr>
  </w:style>
  <w:style w:type="table" w:customStyle="1" w:styleId="26">
    <w:name w:val="Сетка таблицы2"/>
    <w:basedOn w:val="a5"/>
    <w:next w:val="aff9"/>
    <w:uiPriority w:val="59"/>
    <w:rsid w:val="004957E5"/>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ial105pt">
    <w:name w:val="Основной текст + Arial;10;5 pt"/>
    <w:rsid w:val="004957E5"/>
    <w:rPr>
      <w:rFonts w:ascii="Arial" w:eastAsia="Arial" w:hAnsi="Arial" w:cs="Arial"/>
      <w:b w:val="0"/>
      <w:bCs w:val="0"/>
      <w:i w:val="0"/>
      <w:iCs w:val="0"/>
      <w:smallCaps w:val="0"/>
      <w:strike w:val="0"/>
      <w:color w:val="000000"/>
      <w:spacing w:val="0"/>
      <w:w w:val="100"/>
      <w:position w:val="0"/>
      <w:sz w:val="21"/>
      <w:szCs w:val="21"/>
      <w:u w:val="none"/>
      <w:lang w:val="ru-RU"/>
    </w:rPr>
  </w:style>
  <w:style w:type="character" w:customStyle="1" w:styleId="src">
    <w:name w:val="src"/>
    <w:rsid w:val="004957E5"/>
  </w:style>
  <w:style w:type="paragraph" w:customStyle="1" w:styleId="firstlast">
    <w:name w:val="first last"/>
    <w:basedOn w:val="a1"/>
    <w:uiPriority w:val="99"/>
    <w:rsid w:val="004957E5"/>
    <w:pPr>
      <w:spacing w:before="100" w:beforeAutospacing="1" w:after="100" w:afterAutospacing="1" w:line="240" w:lineRule="auto"/>
      <w:ind w:firstLine="567"/>
    </w:pPr>
  </w:style>
  <w:style w:type="paragraph" w:customStyle="1" w:styleId="last">
    <w:name w:val="last"/>
    <w:basedOn w:val="a1"/>
    <w:uiPriority w:val="99"/>
    <w:rsid w:val="004957E5"/>
    <w:pPr>
      <w:spacing w:before="100" w:beforeAutospacing="1" w:after="100" w:afterAutospacing="1" w:line="240" w:lineRule="auto"/>
      <w:ind w:firstLine="567"/>
    </w:pPr>
  </w:style>
  <w:style w:type="paragraph" w:customStyle="1" w:styleId="para">
    <w:name w:val="para"/>
    <w:basedOn w:val="a1"/>
    <w:uiPriority w:val="99"/>
    <w:rsid w:val="004957E5"/>
    <w:pPr>
      <w:spacing w:before="100" w:beforeAutospacing="1" w:after="100" w:afterAutospacing="1" w:line="240" w:lineRule="auto"/>
      <w:ind w:firstLine="567"/>
    </w:pPr>
    <w:rPr>
      <w:rFonts w:ascii="Arial" w:hAnsi="Arial" w:cs="Arial"/>
      <w:color w:val="000000"/>
      <w:sz w:val="26"/>
      <w:szCs w:val="26"/>
    </w:rPr>
  </w:style>
  <w:style w:type="character" w:customStyle="1" w:styleId="selectbg">
    <w:name w:val="select_bg"/>
    <w:rsid w:val="004957E5"/>
  </w:style>
  <w:style w:type="character" w:customStyle="1" w:styleId="postbody1">
    <w:name w:val="postbody1"/>
    <w:rsid w:val="004957E5"/>
    <w:rPr>
      <w:sz w:val="18"/>
      <w:szCs w:val="18"/>
    </w:rPr>
  </w:style>
  <w:style w:type="character" w:customStyle="1" w:styleId="volume">
    <w:name w:val="volume"/>
    <w:rsid w:val="004957E5"/>
  </w:style>
  <w:style w:type="character" w:customStyle="1" w:styleId="issue">
    <w:name w:val="issue"/>
    <w:rsid w:val="004957E5"/>
  </w:style>
  <w:style w:type="character" w:customStyle="1" w:styleId="pages">
    <w:name w:val="pages"/>
    <w:rsid w:val="004957E5"/>
  </w:style>
  <w:style w:type="paragraph" w:customStyle="1" w:styleId="210">
    <w:name w:val="Основной текст 21"/>
    <w:basedOn w:val="a1"/>
    <w:rsid w:val="004957E5"/>
    <w:pPr>
      <w:suppressAutoHyphens/>
      <w:spacing w:line="240" w:lineRule="auto"/>
      <w:ind w:firstLine="567"/>
    </w:pPr>
    <w:rPr>
      <w:rFonts w:cs="Calibri"/>
      <w:szCs w:val="20"/>
      <w:lang w:eastAsia="ar-SA"/>
    </w:rPr>
  </w:style>
  <w:style w:type="paragraph" w:customStyle="1" w:styleId="220">
    <w:name w:val="Основной текст 22"/>
    <w:basedOn w:val="a1"/>
    <w:rsid w:val="004957E5"/>
    <w:pPr>
      <w:suppressAutoHyphens/>
      <w:spacing w:line="100" w:lineRule="atLeast"/>
      <w:ind w:firstLine="567"/>
    </w:pPr>
    <w:rPr>
      <w:kern w:val="1"/>
      <w:lang w:eastAsia="ar-SA"/>
    </w:rPr>
  </w:style>
  <w:style w:type="paragraph" w:styleId="affffa">
    <w:name w:val="Body Text Indent"/>
    <w:basedOn w:val="a1"/>
    <w:link w:val="affffb"/>
    <w:uiPriority w:val="99"/>
    <w:unhideWhenUsed/>
    <w:rsid w:val="004957E5"/>
    <w:pPr>
      <w:spacing w:after="120" w:line="288" w:lineRule="auto"/>
      <w:ind w:left="283" w:firstLine="567"/>
    </w:pPr>
    <w:rPr>
      <w:rFonts w:ascii="Calibri" w:eastAsia="Calibri" w:hAnsi="Calibri"/>
      <w:sz w:val="22"/>
      <w:szCs w:val="22"/>
      <w:lang w:eastAsia="en-US"/>
    </w:rPr>
  </w:style>
  <w:style w:type="character" w:customStyle="1" w:styleId="affffb">
    <w:name w:val="Основной текст с отступом Знак"/>
    <w:basedOn w:val="a4"/>
    <w:link w:val="affffa"/>
    <w:uiPriority w:val="99"/>
    <w:rsid w:val="004957E5"/>
    <w:rPr>
      <w:rFonts w:ascii="Calibri" w:eastAsia="Calibri" w:hAnsi="Calibri" w:cs="Times New Roman"/>
      <w:sz w:val="22"/>
    </w:rPr>
  </w:style>
  <w:style w:type="paragraph" w:customStyle="1" w:styleId="TextDrugs">
    <w:name w:val="Text_Drugs"/>
    <w:basedOn w:val="a1"/>
    <w:rsid w:val="004957E5"/>
    <w:pPr>
      <w:suppressAutoHyphens/>
      <w:spacing w:line="100" w:lineRule="atLeast"/>
      <w:ind w:firstLine="567"/>
    </w:pPr>
    <w:rPr>
      <w:rFonts w:ascii="Cambria" w:eastAsia="MS Mincho" w:hAnsi="Cambria"/>
      <w:kern w:val="1"/>
      <w:lang w:val="de-DE" w:eastAsia="ar-SA"/>
    </w:rPr>
  </w:style>
  <w:style w:type="character" w:customStyle="1" w:styleId="jrnl">
    <w:name w:val="jrnl"/>
    <w:rsid w:val="004957E5"/>
  </w:style>
  <w:style w:type="character" w:customStyle="1" w:styleId="maintextbldleft">
    <w:name w:val="maintextbldleft"/>
    <w:rsid w:val="004957E5"/>
  </w:style>
  <w:style w:type="character" w:customStyle="1" w:styleId="maintextleft">
    <w:name w:val="maintextleft"/>
    <w:rsid w:val="004957E5"/>
  </w:style>
  <w:style w:type="paragraph" w:customStyle="1" w:styleId="27">
    <w:name w:val="Абзац списка2"/>
    <w:basedOn w:val="a1"/>
    <w:rsid w:val="004957E5"/>
    <w:pPr>
      <w:suppressAutoHyphens/>
      <w:spacing w:after="200" w:line="276" w:lineRule="auto"/>
      <w:ind w:firstLine="567"/>
    </w:pPr>
    <w:rPr>
      <w:rFonts w:ascii="Calibri" w:eastAsia="Calibri" w:hAnsi="Calibri" w:cs="Calibri"/>
      <w:sz w:val="22"/>
      <w:szCs w:val="22"/>
      <w:lang w:val="nl-NL" w:eastAsia="ar-SA"/>
    </w:rPr>
  </w:style>
  <w:style w:type="paragraph" w:customStyle="1" w:styleId="230">
    <w:name w:val="Основной текст 23"/>
    <w:basedOn w:val="a1"/>
    <w:rsid w:val="004957E5"/>
    <w:pPr>
      <w:suppressAutoHyphens/>
      <w:spacing w:line="100" w:lineRule="atLeast"/>
      <w:ind w:firstLine="567"/>
    </w:pPr>
    <w:rPr>
      <w:kern w:val="1"/>
      <w:lang w:eastAsia="ar-SA"/>
    </w:rPr>
  </w:style>
  <w:style w:type="character" w:customStyle="1" w:styleId="hps">
    <w:name w:val="hps"/>
    <w:rsid w:val="004957E5"/>
  </w:style>
  <w:style w:type="paragraph" w:styleId="28">
    <w:name w:val="Body Text 2"/>
    <w:basedOn w:val="a1"/>
    <w:link w:val="29"/>
    <w:semiHidden/>
    <w:rsid w:val="004957E5"/>
    <w:pPr>
      <w:spacing w:line="240" w:lineRule="auto"/>
      <w:ind w:firstLine="567"/>
    </w:pPr>
    <w:rPr>
      <w:szCs w:val="20"/>
    </w:rPr>
  </w:style>
  <w:style w:type="character" w:customStyle="1" w:styleId="29">
    <w:name w:val="Основной текст 2 Знак"/>
    <w:basedOn w:val="a4"/>
    <w:link w:val="28"/>
    <w:semiHidden/>
    <w:rsid w:val="004957E5"/>
    <w:rPr>
      <w:rFonts w:ascii="Times New Roman" w:eastAsia="Times New Roman" w:hAnsi="Times New Roman" w:cs="Times New Roman"/>
      <w:sz w:val="24"/>
      <w:szCs w:val="20"/>
      <w:lang w:eastAsia="ru-RU"/>
    </w:rPr>
  </w:style>
  <w:style w:type="paragraph" w:customStyle="1" w:styleId="Number">
    <w:name w:val="Number"/>
    <w:basedOn w:val="a1"/>
    <w:uiPriority w:val="99"/>
    <w:rsid w:val="004957E5"/>
    <w:pPr>
      <w:autoSpaceDE w:val="0"/>
      <w:autoSpaceDN w:val="0"/>
      <w:adjustRightInd w:val="0"/>
      <w:spacing w:before="40"/>
      <w:ind w:left="715" w:hanging="6"/>
    </w:pPr>
    <w:rPr>
      <w:color w:val="000000"/>
    </w:rPr>
  </w:style>
  <w:style w:type="character" w:customStyle="1" w:styleId="highwire-citation-authors">
    <w:name w:val="highwire-citation-authors"/>
    <w:rsid w:val="004957E5"/>
  </w:style>
  <w:style w:type="character" w:customStyle="1" w:styleId="nlm-given-names">
    <w:name w:val="nlm-given-names"/>
    <w:rsid w:val="004957E5"/>
  </w:style>
  <w:style w:type="character" w:customStyle="1" w:styleId="nlm-surname">
    <w:name w:val="nlm-surname"/>
    <w:rsid w:val="004957E5"/>
  </w:style>
  <w:style w:type="character" w:customStyle="1" w:styleId="highwire-cite-metadata-journal">
    <w:name w:val="highwire-cite-metadata-journal"/>
    <w:rsid w:val="004957E5"/>
  </w:style>
  <w:style w:type="character" w:customStyle="1" w:styleId="highwire-cite-metadata-date">
    <w:name w:val="highwire-cite-metadata-date"/>
    <w:rsid w:val="004957E5"/>
  </w:style>
  <w:style w:type="character" w:customStyle="1" w:styleId="highwire-cite-metadata-volume-pages">
    <w:name w:val="highwire-cite-metadata-volume-pages"/>
    <w:rsid w:val="004957E5"/>
  </w:style>
  <w:style w:type="character" w:customStyle="1" w:styleId="highwire-cite-metadata-doi">
    <w:name w:val="highwire-cite-metadata-doi"/>
    <w:rsid w:val="004957E5"/>
  </w:style>
  <w:style w:type="character" w:customStyle="1" w:styleId="freeaccess">
    <w:name w:val="freeaccess"/>
    <w:rsid w:val="004957E5"/>
  </w:style>
  <w:style w:type="character" w:styleId="affffc">
    <w:name w:val="page number"/>
    <w:uiPriority w:val="99"/>
    <w:rsid w:val="004957E5"/>
  </w:style>
  <w:style w:type="paragraph" w:customStyle="1" w:styleId="35">
    <w:name w:val="Абзац списка3"/>
    <w:basedOn w:val="a1"/>
    <w:rsid w:val="004957E5"/>
    <w:pPr>
      <w:spacing w:line="240" w:lineRule="auto"/>
      <w:ind w:left="720" w:firstLine="567"/>
    </w:pPr>
    <w:rPr>
      <w:rFonts w:eastAsia="Calibri"/>
    </w:rPr>
  </w:style>
  <w:style w:type="character" w:customStyle="1" w:styleId="WW8Num3z0">
    <w:name w:val="WW8Num3z0"/>
    <w:rsid w:val="004957E5"/>
    <w:rPr>
      <w:rFonts w:ascii="Symbol" w:hAnsi="Symbol" w:cs="Symbol"/>
    </w:rPr>
  </w:style>
  <w:style w:type="character" w:customStyle="1" w:styleId="WW8Num3z1">
    <w:name w:val="WW8Num3z1"/>
    <w:rsid w:val="004957E5"/>
    <w:rPr>
      <w:rFonts w:ascii="Courier New" w:hAnsi="Courier New" w:cs="Courier New"/>
    </w:rPr>
  </w:style>
  <w:style w:type="character" w:customStyle="1" w:styleId="WW8Num3z2">
    <w:name w:val="WW8Num3z2"/>
    <w:rsid w:val="004957E5"/>
    <w:rPr>
      <w:rFonts w:ascii="Wingdings" w:hAnsi="Wingdings" w:cs="Wingdings"/>
    </w:rPr>
  </w:style>
  <w:style w:type="character" w:customStyle="1" w:styleId="WW8Num3z4">
    <w:name w:val="WW8Num3z4"/>
    <w:rsid w:val="004957E5"/>
    <w:rPr>
      <w:rFonts w:ascii="Courier New" w:hAnsi="Courier New" w:cs="Courier New"/>
    </w:rPr>
  </w:style>
  <w:style w:type="character" w:customStyle="1" w:styleId="WW8Num4z0">
    <w:name w:val="WW8Num4z0"/>
    <w:rsid w:val="004957E5"/>
    <w:rPr>
      <w:rFonts w:ascii="Symbol" w:hAnsi="Symbol" w:cs="Symbol"/>
    </w:rPr>
  </w:style>
  <w:style w:type="character" w:customStyle="1" w:styleId="WW8Num5z0">
    <w:name w:val="WW8Num5z0"/>
    <w:rsid w:val="004957E5"/>
    <w:rPr>
      <w:rFonts w:ascii="Calibri" w:hAnsi="Calibri" w:cs="Calibri"/>
    </w:rPr>
  </w:style>
  <w:style w:type="character" w:customStyle="1" w:styleId="WW8Num5z1">
    <w:name w:val="WW8Num5z1"/>
    <w:rsid w:val="004957E5"/>
    <w:rPr>
      <w:rFonts w:ascii="Calibri" w:hAnsi="Calibri" w:cs="Calibri"/>
    </w:rPr>
  </w:style>
  <w:style w:type="character" w:customStyle="1" w:styleId="WW8Num5z2">
    <w:name w:val="WW8Num5z2"/>
    <w:rsid w:val="004957E5"/>
    <w:rPr>
      <w:rFonts w:ascii="Wingdings" w:hAnsi="Wingdings" w:cs="Wingdings"/>
    </w:rPr>
  </w:style>
  <w:style w:type="character" w:customStyle="1" w:styleId="WW8Num5z4">
    <w:name w:val="WW8Num5z4"/>
    <w:rsid w:val="004957E5"/>
    <w:rPr>
      <w:rFonts w:ascii="Courier New" w:hAnsi="Courier New" w:cs="Courier New"/>
    </w:rPr>
  </w:style>
  <w:style w:type="character" w:customStyle="1" w:styleId="WW8Num6z0">
    <w:name w:val="WW8Num6z0"/>
    <w:rsid w:val="004957E5"/>
    <w:rPr>
      <w:rFonts w:ascii="Gill Sans" w:hAnsi="Gill Sans" w:cs="Gill Sans"/>
      <w:sz w:val="28"/>
      <w:szCs w:val="22"/>
    </w:rPr>
  </w:style>
  <w:style w:type="character" w:customStyle="1" w:styleId="WW8Num6z1">
    <w:name w:val="WW8Num6z1"/>
    <w:rsid w:val="004957E5"/>
    <w:rPr>
      <w:rFonts w:ascii="Courier New" w:hAnsi="Courier New" w:cs="Courier New"/>
    </w:rPr>
  </w:style>
  <w:style w:type="character" w:customStyle="1" w:styleId="WW8Num6z2">
    <w:name w:val="WW8Num6z2"/>
    <w:rsid w:val="004957E5"/>
    <w:rPr>
      <w:rFonts w:ascii="Wingdings" w:hAnsi="Wingdings" w:cs="Wingdings"/>
    </w:rPr>
  </w:style>
  <w:style w:type="character" w:customStyle="1" w:styleId="WW8Num7z0">
    <w:name w:val="WW8Num7z0"/>
    <w:rsid w:val="004957E5"/>
    <w:rPr>
      <w:rFonts w:ascii="Symbol" w:hAnsi="Symbol" w:cs="Symbol"/>
    </w:rPr>
  </w:style>
  <w:style w:type="character" w:customStyle="1" w:styleId="WW8Num7z1">
    <w:name w:val="WW8Num7z1"/>
    <w:rsid w:val="004957E5"/>
    <w:rPr>
      <w:rFonts w:ascii="Calibri" w:hAnsi="Calibri" w:cs="Calibri"/>
    </w:rPr>
  </w:style>
  <w:style w:type="character" w:customStyle="1" w:styleId="WW8Num8z0">
    <w:name w:val="WW8Num8z0"/>
    <w:rsid w:val="004957E5"/>
    <w:rPr>
      <w:rFonts w:ascii="Symbol" w:hAnsi="Symbol" w:cs="Symbol"/>
    </w:rPr>
  </w:style>
  <w:style w:type="character" w:customStyle="1" w:styleId="WW8Num9z0">
    <w:name w:val="WW8Num9z0"/>
    <w:rsid w:val="004957E5"/>
    <w:rPr>
      <w:rFonts w:ascii="Calibri" w:eastAsia="Times New Roman" w:hAnsi="Calibri" w:cs="Times New Roman"/>
    </w:rPr>
  </w:style>
  <w:style w:type="character" w:customStyle="1" w:styleId="WW8Num10z0">
    <w:name w:val="WW8Num10z0"/>
    <w:rsid w:val="004957E5"/>
    <w:rPr>
      <w:b w:val="0"/>
      <w:i w:val="0"/>
    </w:rPr>
  </w:style>
  <w:style w:type="character" w:customStyle="1" w:styleId="WW8Num11z0">
    <w:name w:val="WW8Num11z0"/>
    <w:rsid w:val="004957E5"/>
    <w:rPr>
      <w:rFonts w:ascii="Symbol" w:hAnsi="Symbol" w:cs="Symbol"/>
    </w:rPr>
  </w:style>
  <w:style w:type="character" w:customStyle="1" w:styleId="WW8Num12z0">
    <w:name w:val="WW8Num12z0"/>
    <w:rsid w:val="004957E5"/>
    <w:rPr>
      <w:rFonts w:ascii="Symbol" w:hAnsi="Symbol" w:cs="Symbol"/>
    </w:rPr>
  </w:style>
  <w:style w:type="character" w:customStyle="1" w:styleId="WW8Num13z0">
    <w:name w:val="WW8Num13z0"/>
    <w:rsid w:val="004957E5"/>
    <w:rPr>
      <w:rFonts w:ascii="Symbol" w:hAnsi="Symbol" w:cs="Symbol"/>
    </w:rPr>
  </w:style>
  <w:style w:type="character" w:customStyle="1" w:styleId="WW8Num14z0">
    <w:name w:val="WW8Num14z0"/>
    <w:rsid w:val="004957E5"/>
    <w:rPr>
      <w:rFonts w:ascii="Calibri" w:hAnsi="Calibri" w:cs="Calibri"/>
    </w:rPr>
  </w:style>
  <w:style w:type="character" w:customStyle="1" w:styleId="WW8Num15z0">
    <w:name w:val="WW8Num15z0"/>
    <w:rsid w:val="004957E5"/>
    <w:rPr>
      <w:rFonts w:ascii="Symbol" w:hAnsi="Symbol" w:cs="Symbol"/>
    </w:rPr>
  </w:style>
  <w:style w:type="character" w:customStyle="1" w:styleId="WW8Num16z0">
    <w:name w:val="WW8Num16z0"/>
    <w:rsid w:val="004957E5"/>
    <w:rPr>
      <w:rFonts w:ascii="Symbol" w:hAnsi="Symbol" w:cs="Symbol"/>
    </w:rPr>
  </w:style>
  <w:style w:type="character" w:customStyle="1" w:styleId="WW8Num17z0">
    <w:name w:val="WW8Num17z0"/>
    <w:rsid w:val="004957E5"/>
    <w:rPr>
      <w:rFonts w:ascii="Calibri" w:hAnsi="Calibri" w:cs="Calibri"/>
    </w:rPr>
  </w:style>
  <w:style w:type="character" w:customStyle="1" w:styleId="WW8Num18z0">
    <w:name w:val="WW8Num18z0"/>
    <w:rsid w:val="004957E5"/>
    <w:rPr>
      <w:rFonts w:ascii="Symbol" w:hAnsi="Symbol" w:cs="Symbol"/>
    </w:rPr>
  </w:style>
  <w:style w:type="character" w:customStyle="1" w:styleId="WW8Num19z0">
    <w:name w:val="WW8Num19z0"/>
    <w:rsid w:val="004957E5"/>
    <w:rPr>
      <w:rFonts w:ascii="Symbol" w:hAnsi="Symbol" w:cs="Symbol"/>
    </w:rPr>
  </w:style>
  <w:style w:type="character" w:customStyle="1" w:styleId="WW8Num20z0">
    <w:name w:val="WW8Num20z0"/>
    <w:rsid w:val="004957E5"/>
    <w:rPr>
      <w:rFonts w:ascii="Symbol" w:hAnsi="Symbol" w:cs="Symbol"/>
    </w:rPr>
  </w:style>
  <w:style w:type="character" w:customStyle="1" w:styleId="WW8Num21z0">
    <w:name w:val="WW8Num21z0"/>
    <w:rsid w:val="004957E5"/>
    <w:rPr>
      <w:rFonts w:ascii="Symbol" w:hAnsi="Symbol" w:cs="Symbol"/>
    </w:rPr>
  </w:style>
  <w:style w:type="character" w:customStyle="1" w:styleId="WW8Num22z0">
    <w:name w:val="WW8Num22z0"/>
    <w:rsid w:val="004957E5"/>
    <w:rPr>
      <w:rFonts w:ascii="Symbol" w:hAnsi="Symbol" w:cs="Symbol"/>
    </w:rPr>
  </w:style>
  <w:style w:type="character" w:customStyle="1" w:styleId="WW8Num23z0">
    <w:name w:val="WW8Num23z0"/>
    <w:rsid w:val="004957E5"/>
    <w:rPr>
      <w:rFonts w:ascii="Symbol" w:hAnsi="Symbol" w:cs="Symbol"/>
    </w:rPr>
  </w:style>
  <w:style w:type="character" w:customStyle="1" w:styleId="WW8Num24z0">
    <w:name w:val="WW8Num24z0"/>
    <w:rsid w:val="004957E5"/>
    <w:rPr>
      <w:rFonts w:ascii="Symbol" w:hAnsi="Symbol" w:cs="Symbol"/>
    </w:rPr>
  </w:style>
  <w:style w:type="character" w:customStyle="1" w:styleId="WW8Num25z0">
    <w:name w:val="WW8Num25z0"/>
    <w:rsid w:val="004957E5"/>
    <w:rPr>
      <w:rFonts w:ascii="Symbol" w:hAnsi="Symbol" w:cs="Symbol"/>
    </w:rPr>
  </w:style>
  <w:style w:type="character" w:customStyle="1" w:styleId="WW8Num26z0">
    <w:name w:val="WW8Num26z0"/>
    <w:rsid w:val="004957E5"/>
    <w:rPr>
      <w:rFonts w:ascii="Symbol" w:hAnsi="Symbol" w:cs="Symbol"/>
    </w:rPr>
  </w:style>
  <w:style w:type="character" w:customStyle="1" w:styleId="WW8Num27z0">
    <w:name w:val="WW8Num27z0"/>
    <w:rsid w:val="004957E5"/>
    <w:rPr>
      <w:rFonts w:ascii="Calibri" w:hAnsi="Calibri" w:cs="Calibri"/>
    </w:rPr>
  </w:style>
  <w:style w:type="character" w:customStyle="1" w:styleId="WW8Num27z1">
    <w:name w:val="WW8Num27z1"/>
    <w:rsid w:val="004957E5"/>
    <w:rPr>
      <w:rFonts w:ascii="Courier New" w:hAnsi="Courier New" w:cs="Courier New"/>
    </w:rPr>
  </w:style>
  <w:style w:type="character" w:customStyle="1" w:styleId="WW8Num27z2">
    <w:name w:val="WW8Num27z2"/>
    <w:rsid w:val="004957E5"/>
    <w:rPr>
      <w:rFonts w:ascii="Wingdings" w:hAnsi="Wingdings" w:cs="Wingdings"/>
    </w:rPr>
  </w:style>
  <w:style w:type="character" w:customStyle="1" w:styleId="WW8Num27z4">
    <w:name w:val="WW8Num27z4"/>
    <w:rsid w:val="004957E5"/>
    <w:rPr>
      <w:rFonts w:ascii="Courier New" w:hAnsi="Courier New" w:cs="Courier New"/>
    </w:rPr>
  </w:style>
  <w:style w:type="character" w:customStyle="1" w:styleId="WW8Num28z0">
    <w:name w:val="WW8Num28z0"/>
    <w:rsid w:val="004957E5"/>
    <w:rPr>
      <w:rFonts w:ascii="Symbol" w:hAnsi="Symbol" w:cs="Symbol"/>
    </w:rPr>
  </w:style>
  <w:style w:type="character" w:customStyle="1" w:styleId="WW8Num29z0">
    <w:name w:val="WW8Num29z0"/>
    <w:rsid w:val="004957E5"/>
    <w:rPr>
      <w:rFonts w:ascii="Symbol" w:hAnsi="Symbol" w:cs="Symbol"/>
    </w:rPr>
  </w:style>
  <w:style w:type="character" w:customStyle="1" w:styleId="WW8Num30z0">
    <w:name w:val="WW8Num30z0"/>
    <w:rsid w:val="004957E5"/>
    <w:rPr>
      <w:rFonts w:ascii="Symbol" w:hAnsi="Symbol" w:cs="Symbol"/>
    </w:rPr>
  </w:style>
  <w:style w:type="character" w:customStyle="1" w:styleId="WW8Num31z0">
    <w:name w:val="WW8Num31z0"/>
    <w:rsid w:val="004957E5"/>
    <w:rPr>
      <w:b w:val="0"/>
      <w:i w:val="0"/>
      <w:kern w:val="1"/>
    </w:rPr>
  </w:style>
  <w:style w:type="character" w:customStyle="1" w:styleId="WW8Num32z0">
    <w:name w:val="WW8Num32z0"/>
    <w:rsid w:val="004957E5"/>
    <w:rPr>
      <w:rFonts w:ascii="Symbol" w:hAnsi="Symbol" w:cs="Symbol"/>
    </w:rPr>
  </w:style>
  <w:style w:type="character" w:customStyle="1" w:styleId="WW8Num34z0">
    <w:name w:val="WW8Num34z0"/>
    <w:rsid w:val="004957E5"/>
    <w:rPr>
      <w:rFonts w:ascii="Symbol" w:hAnsi="Symbol" w:cs="Symbol"/>
    </w:rPr>
  </w:style>
  <w:style w:type="character" w:customStyle="1" w:styleId="WW8Num34z1">
    <w:name w:val="WW8Num34z1"/>
    <w:rsid w:val="004957E5"/>
    <w:rPr>
      <w:rFonts w:ascii="Courier New" w:hAnsi="Courier New" w:cs="Courier New"/>
    </w:rPr>
  </w:style>
  <w:style w:type="character" w:customStyle="1" w:styleId="WW8Num34z2">
    <w:name w:val="WW8Num34z2"/>
    <w:rsid w:val="004957E5"/>
    <w:rPr>
      <w:rFonts w:ascii="Wingdings" w:hAnsi="Wingdings" w:cs="Wingdings"/>
    </w:rPr>
  </w:style>
  <w:style w:type="character" w:customStyle="1" w:styleId="WW8Num34z4">
    <w:name w:val="WW8Num34z4"/>
    <w:rsid w:val="004957E5"/>
    <w:rPr>
      <w:rFonts w:ascii="Courier New" w:hAnsi="Courier New" w:cs="Courier New"/>
    </w:rPr>
  </w:style>
  <w:style w:type="character" w:customStyle="1" w:styleId="WW8Num35z0">
    <w:name w:val="WW8Num35z0"/>
    <w:rsid w:val="004957E5"/>
    <w:rPr>
      <w:rFonts w:ascii="Calibri" w:hAnsi="Calibri" w:cs="Calibri"/>
    </w:rPr>
  </w:style>
  <w:style w:type="character" w:customStyle="1" w:styleId="WW8Num36z0">
    <w:name w:val="WW8Num36z0"/>
    <w:rsid w:val="004957E5"/>
    <w:rPr>
      <w:rFonts w:ascii="Symbol" w:hAnsi="Symbol" w:cs="Symbol"/>
    </w:rPr>
  </w:style>
  <w:style w:type="character" w:customStyle="1" w:styleId="WW8Num38z0">
    <w:name w:val="WW8Num38z0"/>
    <w:rsid w:val="004957E5"/>
    <w:rPr>
      <w:rFonts w:ascii="Symbol" w:hAnsi="Symbol" w:cs="Symbol"/>
    </w:rPr>
  </w:style>
  <w:style w:type="character" w:customStyle="1" w:styleId="WW8Num39z0">
    <w:name w:val="WW8Num39z0"/>
    <w:rsid w:val="004957E5"/>
    <w:rPr>
      <w:rFonts w:ascii="Symbol" w:hAnsi="Symbol" w:cs="Symbol"/>
    </w:rPr>
  </w:style>
  <w:style w:type="character" w:customStyle="1" w:styleId="WW8Num40z0">
    <w:name w:val="WW8Num40z0"/>
    <w:rsid w:val="004957E5"/>
    <w:rPr>
      <w:rFonts w:ascii="Symbol" w:hAnsi="Symbol" w:cs="Symbol"/>
    </w:rPr>
  </w:style>
  <w:style w:type="character" w:customStyle="1" w:styleId="WW8Num41z0">
    <w:name w:val="WW8Num41z0"/>
    <w:rsid w:val="004957E5"/>
    <w:rPr>
      <w:rFonts w:ascii="Calibri" w:hAnsi="Calibri" w:cs="Calibri"/>
    </w:rPr>
  </w:style>
  <w:style w:type="character" w:customStyle="1" w:styleId="WW8Num42z0">
    <w:name w:val="WW8Num42z0"/>
    <w:rsid w:val="004957E5"/>
    <w:rPr>
      <w:rFonts w:ascii="Symbol" w:hAnsi="Symbol" w:cs="Symbol"/>
    </w:rPr>
  </w:style>
  <w:style w:type="character" w:customStyle="1" w:styleId="WW8Num43z0">
    <w:name w:val="WW8Num43z0"/>
    <w:rsid w:val="004957E5"/>
    <w:rPr>
      <w:rFonts w:ascii="Symbol" w:hAnsi="Symbol" w:cs="Symbol"/>
    </w:rPr>
  </w:style>
  <w:style w:type="character" w:customStyle="1" w:styleId="WW8Num44z0">
    <w:name w:val="WW8Num44z0"/>
    <w:rsid w:val="004957E5"/>
    <w:rPr>
      <w:rFonts w:ascii="Symbol" w:hAnsi="Symbol" w:cs="Symbol"/>
    </w:rPr>
  </w:style>
  <w:style w:type="character" w:customStyle="1" w:styleId="WW8Num45z0">
    <w:name w:val="WW8Num45z0"/>
    <w:rsid w:val="004957E5"/>
    <w:rPr>
      <w:rFonts w:ascii="Symbol" w:hAnsi="Symbol" w:cs="Symbol"/>
    </w:rPr>
  </w:style>
  <w:style w:type="character" w:customStyle="1" w:styleId="WW8Num46z0">
    <w:name w:val="WW8Num46z0"/>
    <w:rsid w:val="004957E5"/>
    <w:rPr>
      <w:rFonts w:ascii="Symbol" w:hAnsi="Symbol" w:cs="Symbol"/>
    </w:rPr>
  </w:style>
  <w:style w:type="character" w:customStyle="1" w:styleId="WW8Num47z0">
    <w:name w:val="WW8Num47z0"/>
    <w:rsid w:val="004957E5"/>
    <w:rPr>
      <w:rFonts w:ascii="Calibri" w:hAnsi="Calibri" w:cs="Calibri"/>
    </w:rPr>
  </w:style>
  <w:style w:type="character" w:customStyle="1" w:styleId="WW8Num48z0">
    <w:name w:val="WW8Num48z0"/>
    <w:rsid w:val="004957E5"/>
    <w:rPr>
      <w:rFonts w:ascii="Symbol" w:hAnsi="Symbol" w:cs="Symbol"/>
    </w:rPr>
  </w:style>
  <w:style w:type="character" w:customStyle="1" w:styleId="WW8Num49z0">
    <w:name w:val="WW8Num49z0"/>
    <w:rsid w:val="004957E5"/>
    <w:rPr>
      <w:rFonts w:ascii="Symbol" w:hAnsi="Symbol" w:cs="Symbol"/>
    </w:rPr>
  </w:style>
  <w:style w:type="character" w:customStyle="1" w:styleId="WW8Num49z1">
    <w:name w:val="WW8Num49z1"/>
    <w:rsid w:val="004957E5"/>
    <w:rPr>
      <w:rFonts w:ascii="Courier New" w:hAnsi="Courier New" w:cs="Courier New"/>
    </w:rPr>
  </w:style>
  <w:style w:type="character" w:customStyle="1" w:styleId="WW8Num49z2">
    <w:name w:val="WW8Num49z2"/>
    <w:rsid w:val="004957E5"/>
    <w:rPr>
      <w:rFonts w:ascii="Wingdings" w:hAnsi="Wingdings" w:cs="Wingdings"/>
    </w:rPr>
  </w:style>
  <w:style w:type="character" w:customStyle="1" w:styleId="WW8Num50z0">
    <w:name w:val="WW8Num50z0"/>
    <w:rsid w:val="004957E5"/>
    <w:rPr>
      <w:rFonts w:ascii="Symbol" w:hAnsi="Symbol" w:cs="Symbol"/>
    </w:rPr>
  </w:style>
  <w:style w:type="character" w:customStyle="1" w:styleId="2a">
    <w:name w:val="Основной шрифт абзаца2"/>
    <w:rsid w:val="004957E5"/>
  </w:style>
  <w:style w:type="character" w:customStyle="1" w:styleId="WW8Num4z1">
    <w:name w:val="WW8Num4z1"/>
    <w:rsid w:val="004957E5"/>
    <w:rPr>
      <w:rFonts w:ascii="Courier New" w:hAnsi="Courier New" w:cs="Courier New"/>
      <w:color w:val="000000"/>
    </w:rPr>
  </w:style>
  <w:style w:type="character" w:customStyle="1" w:styleId="WW8Num4z2">
    <w:name w:val="WW8Num4z2"/>
    <w:rsid w:val="004957E5"/>
    <w:rPr>
      <w:rFonts w:ascii="Wingdings" w:hAnsi="Wingdings" w:cs="Wingdings"/>
    </w:rPr>
  </w:style>
  <w:style w:type="character" w:customStyle="1" w:styleId="WW8Num4z4">
    <w:name w:val="WW8Num4z4"/>
    <w:rsid w:val="004957E5"/>
    <w:rPr>
      <w:rFonts w:ascii="Courier New" w:hAnsi="Courier New" w:cs="Courier New"/>
    </w:rPr>
  </w:style>
  <w:style w:type="character" w:customStyle="1" w:styleId="WW8Num7z2">
    <w:name w:val="WW8Num7z2"/>
    <w:rsid w:val="004957E5"/>
    <w:rPr>
      <w:rFonts w:ascii="Wingdings" w:hAnsi="Wingdings" w:cs="Wingdings"/>
    </w:rPr>
  </w:style>
  <w:style w:type="character" w:customStyle="1" w:styleId="WW8Num7z4">
    <w:name w:val="WW8Num7z4"/>
    <w:rsid w:val="004957E5"/>
    <w:rPr>
      <w:rFonts w:ascii="Courier New" w:hAnsi="Courier New" w:cs="Courier New"/>
    </w:rPr>
  </w:style>
  <w:style w:type="character" w:customStyle="1" w:styleId="WW8Num8z1">
    <w:name w:val="WW8Num8z1"/>
    <w:rsid w:val="004957E5"/>
    <w:rPr>
      <w:rFonts w:ascii="Courier New" w:hAnsi="Courier New" w:cs="Courier New"/>
    </w:rPr>
  </w:style>
  <w:style w:type="character" w:customStyle="1" w:styleId="WW8Num8z2">
    <w:name w:val="WW8Num8z2"/>
    <w:rsid w:val="004957E5"/>
    <w:rPr>
      <w:rFonts w:ascii="Wingdings" w:hAnsi="Wingdings" w:cs="Wingdings"/>
    </w:rPr>
  </w:style>
  <w:style w:type="character" w:customStyle="1" w:styleId="WW8Num9z1">
    <w:name w:val="WW8Num9z1"/>
    <w:rsid w:val="004957E5"/>
    <w:rPr>
      <w:rFonts w:ascii="Symbol" w:hAnsi="Symbol" w:cs="Courier New"/>
    </w:rPr>
  </w:style>
  <w:style w:type="character" w:customStyle="1" w:styleId="WW8Num15z1">
    <w:name w:val="WW8Num15z1"/>
    <w:rsid w:val="004957E5"/>
    <w:rPr>
      <w:rFonts w:ascii="Courier New" w:hAnsi="Courier New" w:cs="Courier New"/>
    </w:rPr>
  </w:style>
  <w:style w:type="character" w:customStyle="1" w:styleId="WW8Num15z2">
    <w:name w:val="WW8Num15z2"/>
    <w:rsid w:val="004957E5"/>
    <w:rPr>
      <w:rFonts w:ascii="Wingdings" w:hAnsi="Wingdings" w:cs="Wingdings"/>
    </w:rPr>
  </w:style>
  <w:style w:type="character" w:customStyle="1" w:styleId="WW8Num16z1">
    <w:name w:val="WW8Num16z1"/>
    <w:rsid w:val="004957E5"/>
    <w:rPr>
      <w:rFonts w:ascii="Courier New" w:hAnsi="Courier New" w:cs="Courier New"/>
    </w:rPr>
  </w:style>
  <w:style w:type="character" w:customStyle="1" w:styleId="WW8Num16z2">
    <w:name w:val="WW8Num16z2"/>
    <w:rsid w:val="004957E5"/>
    <w:rPr>
      <w:rFonts w:ascii="Wingdings" w:hAnsi="Wingdings" w:cs="Wingdings"/>
    </w:rPr>
  </w:style>
  <w:style w:type="character" w:customStyle="1" w:styleId="WW8Num17z1">
    <w:name w:val="WW8Num17z1"/>
    <w:rsid w:val="004957E5"/>
    <w:rPr>
      <w:rFonts w:ascii="Courier New" w:hAnsi="Courier New" w:cs="Courier New"/>
    </w:rPr>
  </w:style>
  <w:style w:type="character" w:customStyle="1" w:styleId="WW8Num17z2">
    <w:name w:val="WW8Num17z2"/>
    <w:rsid w:val="004957E5"/>
    <w:rPr>
      <w:rFonts w:ascii="Wingdings" w:hAnsi="Wingdings" w:cs="Wingdings"/>
    </w:rPr>
  </w:style>
  <w:style w:type="character" w:customStyle="1" w:styleId="WW8Num17z3">
    <w:name w:val="WW8Num17z3"/>
    <w:rsid w:val="004957E5"/>
    <w:rPr>
      <w:rFonts w:ascii="Symbol" w:hAnsi="Symbol" w:cs="Symbol"/>
    </w:rPr>
  </w:style>
  <w:style w:type="character" w:customStyle="1" w:styleId="WW8Num18z1">
    <w:name w:val="WW8Num18z1"/>
    <w:rsid w:val="004957E5"/>
    <w:rPr>
      <w:rFonts w:ascii="Courier New" w:hAnsi="Courier New" w:cs="Courier New"/>
    </w:rPr>
  </w:style>
  <w:style w:type="character" w:customStyle="1" w:styleId="WW8Num18z2">
    <w:name w:val="WW8Num18z2"/>
    <w:rsid w:val="004957E5"/>
    <w:rPr>
      <w:rFonts w:ascii="Wingdings" w:hAnsi="Wingdings" w:cs="Wingdings"/>
    </w:rPr>
  </w:style>
  <w:style w:type="character" w:customStyle="1" w:styleId="WW8Num19z1">
    <w:name w:val="WW8Num19z1"/>
    <w:rsid w:val="004957E5"/>
    <w:rPr>
      <w:rFonts w:ascii="Courier New" w:hAnsi="Courier New" w:cs="Courier New"/>
    </w:rPr>
  </w:style>
  <w:style w:type="character" w:customStyle="1" w:styleId="WW8Num19z2">
    <w:name w:val="WW8Num19z2"/>
    <w:rsid w:val="004957E5"/>
    <w:rPr>
      <w:rFonts w:ascii="Wingdings" w:hAnsi="Wingdings" w:cs="Wingdings"/>
    </w:rPr>
  </w:style>
  <w:style w:type="character" w:customStyle="1" w:styleId="WW8Num20z1">
    <w:name w:val="WW8Num20z1"/>
    <w:rsid w:val="004957E5"/>
    <w:rPr>
      <w:rFonts w:ascii="Courier New" w:hAnsi="Courier New" w:cs="Courier New"/>
    </w:rPr>
  </w:style>
  <w:style w:type="character" w:customStyle="1" w:styleId="WW8Num20z2">
    <w:name w:val="WW8Num20z2"/>
    <w:rsid w:val="004957E5"/>
    <w:rPr>
      <w:rFonts w:ascii="Wingdings" w:hAnsi="Wingdings" w:cs="Wingdings"/>
    </w:rPr>
  </w:style>
  <w:style w:type="character" w:customStyle="1" w:styleId="WW8Num21z1">
    <w:name w:val="WW8Num21z1"/>
    <w:rsid w:val="004957E5"/>
    <w:rPr>
      <w:rFonts w:ascii="Courier New" w:hAnsi="Courier New" w:cs="Courier New"/>
    </w:rPr>
  </w:style>
  <w:style w:type="character" w:customStyle="1" w:styleId="WW8Num21z2">
    <w:name w:val="WW8Num21z2"/>
    <w:rsid w:val="004957E5"/>
    <w:rPr>
      <w:rFonts w:ascii="Wingdings" w:hAnsi="Wingdings" w:cs="Wingdings"/>
    </w:rPr>
  </w:style>
  <w:style w:type="character" w:customStyle="1" w:styleId="WW8Num22z1">
    <w:name w:val="WW8Num22z1"/>
    <w:rsid w:val="004957E5"/>
    <w:rPr>
      <w:rFonts w:ascii="Courier New" w:hAnsi="Courier New" w:cs="Courier New"/>
    </w:rPr>
  </w:style>
  <w:style w:type="character" w:customStyle="1" w:styleId="WW8Num22z2">
    <w:name w:val="WW8Num22z2"/>
    <w:rsid w:val="004957E5"/>
    <w:rPr>
      <w:rFonts w:ascii="Wingdings" w:hAnsi="Wingdings" w:cs="Wingdings"/>
    </w:rPr>
  </w:style>
  <w:style w:type="character" w:customStyle="1" w:styleId="WW8Num23z1">
    <w:name w:val="WW8Num23z1"/>
    <w:rsid w:val="004957E5"/>
    <w:rPr>
      <w:rFonts w:ascii="Courier New" w:hAnsi="Courier New" w:cs="Courier New"/>
    </w:rPr>
  </w:style>
  <w:style w:type="character" w:customStyle="1" w:styleId="WW8Num23z2">
    <w:name w:val="WW8Num23z2"/>
    <w:rsid w:val="004957E5"/>
    <w:rPr>
      <w:rFonts w:ascii="Wingdings" w:hAnsi="Wingdings" w:cs="Wingdings"/>
    </w:rPr>
  </w:style>
  <w:style w:type="character" w:customStyle="1" w:styleId="WW8Num24z1">
    <w:name w:val="WW8Num24z1"/>
    <w:rsid w:val="004957E5"/>
    <w:rPr>
      <w:rFonts w:ascii="Courier New" w:hAnsi="Courier New" w:cs="Courier New"/>
    </w:rPr>
  </w:style>
  <w:style w:type="character" w:customStyle="1" w:styleId="WW8Num24z2">
    <w:name w:val="WW8Num24z2"/>
    <w:rsid w:val="004957E5"/>
    <w:rPr>
      <w:rFonts w:ascii="Wingdings" w:hAnsi="Wingdings" w:cs="Wingdings"/>
    </w:rPr>
  </w:style>
  <w:style w:type="character" w:customStyle="1" w:styleId="WW8Num25z1">
    <w:name w:val="WW8Num25z1"/>
    <w:rsid w:val="004957E5"/>
    <w:rPr>
      <w:rFonts w:ascii="Courier New" w:hAnsi="Courier New" w:cs="Courier New"/>
    </w:rPr>
  </w:style>
  <w:style w:type="character" w:customStyle="1" w:styleId="WW8Num25z2">
    <w:name w:val="WW8Num25z2"/>
    <w:rsid w:val="004957E5"/>
    <w:rPr>
      <w:rFonts w:ascii="Wingdings" w:hAnsi="Wingdings" w:cs="Wingdings"/>
    </w:rPr>
  </w:style>
  <w:style w:type="character" w:customStyle="1" w:styleId="WW8Num26z1">
    <w:name w:val="WW8Num26z1"/>
    <w:rsid w:val="004957E5"/>
    <w:rPr>
      <w:rFonts w:ascii="Courier New" w:hAnsi="Courier New" w:cs="Courier New"/>
    </w:rPr>
  </w:style>
  <w:style w:type="character" w:customStyle="1" w:styleId="WW8Num26z2">
    <w:name w:val="WW8Num26z2"/>
    <w:rsid w:val="004957E5"/>
    <w:rPr>
      <w:rFonts w:ascii="Wingdings" w:hAnsi="Wingdings" w:cs="Wingdings"/>
    </w:rPr>
  </w:style>
  <w:style w:type="character" w:customStyle="1" w:styleId="WW8Num27z3">
    <w:name w:val="WW8Num27z3"/>
    <w:rsid w:val="004957E5"/>
    <w:rPr>
      <w:rFonts w:ascii="Symbol" w:hAnsi="Symbol" w:cs="Symbol"/>
    </w:rPr>
  </w:style>
  <w:style w:type="character" w:customStyle="1" w:styleId="WW8Num28z1">
    <w:name w:val="WW8Num28z1"/>
    <w:rsid w:val="004957E5"/>
    <w:rPr>
      <w:rFonts w:ascii="Courier New" w:hAnsi="Courier New" w:cs="Courier New"/>
    </w:rPr>
  </w:style>
  <w:style w:type="character" w:customStyle="1" w:styleId="WW8Num28z2">
    <w:name w:val="WW8Num28z2"/>
    <w:rsid w:val="004957E5"/>
    <w:rPr>
      <w:rFonts w:ascii="Wingdings" w:hAnsi="Wingdings" w:cs="Wingdings"/>
    </w:rPr>
  </w:style>
  <w:style w:type="character" w:customStyle="1" w:styleId="WW8Num29z1">
    <w:name w:val="WW8Num29z1"/>
    <w:rsid w:val="004957E5"/>
    <w:rPr>
      <w:rFonts w:ascii="Courier New" w:hAnsi="Courier New" w:cs="Courier New"/>
    </w:rPr>
  </w:style>
  <w:style w:type="character" w:customStyle="1" w:styleId="WW8Num29z2">
    <w:name w:val="WW8Num29z2"/>
    <w:rsid w:val="004957E5"/>
    <w:rPr>
      <w:rFonts w:ascii="Wingdings" w:hAnsi="Wingdings" w:cs="Wingdings"/>
    </w:rPr>
  </w:style>
  <w:style w:type="character" w:customStyle="1" w:styleId="WW8Num32z1">
    <w:name w:val="WW8Num32z1"/>
    <w:rsid w:val="004957E5"/>
    <w:rPr>
      <w:rFonts w:ascii="Calibri" w:hAnsi="Calibri" w:cs="Calibri"/>
    </w:rPr>
  </w:style>
  <w:style w:type="character" w:customStyle="1" w:styleId="WW8Num32z2">
    <w:name w:val="WW8Num32z2"/>
    <w:rsid w:val="004957E5"/>
    <w:rPr>
      <w:rFonts w:ascii="Wingdings" w:hAnsi="Wingdings" w:cs="Wingdings"/>
    </w:rPr>
  </w:style>
  <w:style w:type="character" w:customStyle="1" w:styleId="WW8Num32z4">
    <w:name w:val="WW8Num32z4"/>
    <w:rsid w:val="004957E5"/>
    <w:rPr>
      <w:rFonts w:ascii="Courier New" w:hAnsi="Courier New" w:cs="Courier New"/>
    </w:rPr>
  </w:style>
  <w:style w:type="character" w:customStyle="1" w:styleId="WW8Num33z0">
    <w:name w:val="WW8Num33z0"/>
    <w:rsid w:val="004957E5"/>
    <w:rPr>
      <w:rFonts w:ascii="Symbol" w:hAnsi="Symbol" w:cs="Symbol"/>
    </w:rPr>
  </w:style>
  <w:style w:type="character" w:customStyle="1" w:styleId="WW8Num35z1">
    <w:name w:val="WW8Num35z1"/>
    <w:rsid w:val="004957E5"/>
    <w:rPr>
      <w:rFonts w:ascii="Courier New" w:hAnsi="Courier New" w:cs="Courier New"/>
    </w:rPr>
  </w:style>
  <w:style w:type="character" w:customStyle="1" w:styleId="WW8Num35z2">
    <w:name w:val="WW8Num35z2"/>
    <w:rsid w:val="004957E5"/>
    <w:rPr>
      <w:rFonts w:ascii="Wingdings" w:hAnsi="Wingdings" w:cs="Wingdings"/>
    </w:rPr>
  </w:style>
  <w:style w:type="character" w:customStyle="1" w:styleId="WW8Num35z3">
    <w:name w:val="WW8Num35z3"/>
    <w:rsid w:val="004957E5"/>
    <w:rPr>
      <w:rFonts w:ascii="Symbol" w:hAnsi="Symbol" w:cs="Symbol"/>
    </w:rPr>
  </w:style>
  <w:style w:type="character" w:customStyle="1" w:styleId="WW8Num36z1">
    <w:name w:val="WW8Num36z1"/>
    <w:rsid w:val="004957E5"/>
    <w:rPr>
      <w:rFonts w:ascii="Courier New" w:hAnsi="Courier New" w:cs="Courier New"/>
    </w:rPr>
  </w:style>
  <w:style w:type="character" w:customStyle="1" w:styleId="WW8Num36z2">
    <w:name w:val="WW8Num36z2"/>
    <w:rsid w:val="004957E5"/>
    <w:rPr>
      <w:rFonts w:ascii="Wingdings" w:hAnsi="Wingdings" w:cs="Wingdings"/>
    </w:rPr>
  </w:style>
  <w:style w:type="character" w:customStyle="1" w:styleId="WW8Num37z1">
    <w:name w:val="WW8Num37z1"/>
    <w:rsid w:val="004957E5"/>
    <w:rPr>
      <w:rFonts w:ascii="Courier New" w:hAnsi="Courier New" w:cs="Courier New"/>
    </w:rPr>
  </w:style>
  <w:style w:type="character" w:customStyle="1" w:styleId="WW8Num37z2">
    <w:name w:val="WW8Num37z2"/>
    <w:rsid w:val="004957E5"/>
    <w:rPr>
      <w:rFonts w:ascii="Wingdings" w:hAnsi="Wingdings" w:cs="Wingdings"/>
    </w:rPr>
  </w:style>
  <w:style w:type="character" w:customStyle="1" w:styleId="WW8Num39z1">
    <w:name w:val="WW8Num39z1"/>
    <w:rsid w:val="004957E5"/>
    <w:rPr>
      <w:rFonts w:ascii="Calibri" w:hAnsi="Calibri" w:cs="Calibri"/>
    </w:rPr>
  </w:style>
  <w:style w:type="character" w:customStyle="1" w:styleId="WW8Num39z2">
    <w:name w:val="WW8Num39z2"/>
    <w:rsid w:val="004957E5"/>
    <w:rPr>
      <w:rFonts w:ascii="Wingdings" w:hAnsi="Wingdings" w:cs="Wingdings"/>
    </w:rPr>
  </w:style>
  <w:style w:type="character" w:customStyle="1" w:styleId="WW8Num39z4">
    <w:name w:val="WW8Num39z4"/>
    <w:rsid w:val="004957E5"/>
    <w:rPr>
      <w:rFonts w:ascii="Courier New" w:hAnsi="Courier New" w:cs="Courier New"/>
    </w:rPr>
  </w:style>
  <w:style w:type="character" w:customStyle="1" w:styleId="WW8Num40z1">
    <w:name w:val="WW8Num40z1"/>
    <w:rsid w:val="004957E5"/>
    <w:rPr>
      <w:rFonts w:ascii="Courier New" w:hAnsi="Courier New" w:cs="Courier New"/>
    </w:rPr>
  </w:style>
  <w:style w:type="character" w:customStyle="1" w:styleId="WW8Num40z2">
    <w:name w:val="WW8Num40z2"/>
    <w:rsid w:val="004957E5"/>
    <w:rPr>
      <w:rFonts w:ascii="Wingdings" w:hAnsi="Wingdings" w:cs="Wingdings"/>
    </w:rPr>
  </w:style>
  <w:style w:type="character" w:customStyle="1" w:styleId="WW8Num41z1">
    <w:name w:val="WW8Num41z1"/>
    <w:rsid w:val="004957E5"/>
    <w:rPr>
      <w:rFonts w:ascii="Courier New" w:hAnsi="Courier New" w:cs="Courier New"/>
    </w:rPr>
  </w:style>
  <w:style w:type="character" w:customStyle="1" w:styleId="WW8Num41z2">
    <w:name w:val="WW8Num41z2"/>
    <w:rsid w:val="004957E5"/>
    <w:rPr>
      <w:rFonts w:ascii="Wingdings" w:hAnsi="Wingdings" w:cs="Wingdings"/>
    </w:rPr>
  </w:style>
  <w:style w:type="character" w:customStyle="1" w:styleId="WW8Num41z3">
    <w:name w:val="WW8Num41z3"/>
    <w:rsid w:val="004957E5"/>
    <w:rPr>
      <w:rFonts w:ascii="Symbol" w:hAnsi="Symbol" w:cs="Symbol"/>
    </w:rPr>
  </w:style>
  <w:style w:type="character" w:customStyle="1" w:styleId="WW8Num42z1">
    <w:name w:val="WW8Num42z1"/>
    <w:rsid w:val="004957E5"/>
    <w:rPr>
      <w:rFonts w:ascii="Courier New" w:hAnsi="Courier New" w:cs="Courier New"/>
    </w:rPr>
  </w:style>
  <w:style w:type="character" w:customStyle="1" w:styleId="WW8Num42z2">
    <w:name w:val="WW8Num42z2"/>
    <w:rsid w:val="004957E5"/>
    <w:rPr>
      <w:rFonts w:ascii="Wingdings" w:hAnsi="Wingdings" w:cs="Wingdings"/>
    </w:rPr>
  </w:style>
  <w:style w:type="character" w:customStyle="1" w:styleId="WW8Num43z1">
    <w:name w:val="WW8Num43z1"/>
    <w:rsid w:val="004957E5"/>
    <w:rPr>
      <w:rFonts w:ascii="Courier New" w:hAnsi="Courier New" w:cs="Courier New"/>
    </w:rPr>
  </w:style>
  <w:style w:type="character" w:customStyle="1" w:styleId="WW8Num43z2">
    <w:name w:val="WW8Num43z2"/>
    <w:rsid w:val="004957E5"/>
    <w:rPr>
      <w:rFonts w:ascii="Wingdings" w:hAnsi="Wingdings" w:cs="Wingdings"/>
    </w:rPr>
  </w:style>
  <w:style w:type="character" w:customStyle="1" w:styleId="WW8Num44z1">
    <w:name w:val="WW8Num44z1"/>
    <w:rsid w:val="004957E5"/>
    <w:rPr>
      <w:rFonts w:ascii="Courier New" w:hAnsi="Courier New" w:cs="Courier New"/>
    </w:rPr>
  </w:style>
  <w:style w:type="character" w:customStyle="1" w:styleId="WW8Num44z2">
    <w:name w:val="WW8Num44z2"/>
    <w:rsid w:val="004957E5"/>
    <w:rPr>
      <w:rFonts w:ascii="Wingdings" w:hAnsi="Wingdings" w:cs="Wingdings"/>
    </w:rPr>
  </w:style>
  <w:style w:type="character" w:customStyle="1" w:styleId="WW8Num45z1">
    <w:name w:val="WW8Num45z1"/>
    <w:rsid w:val="004957E5"/>
    <w:rPr>
      <w:rFonts w:ascii="Courier New" w:hAnsi="Courier New" w:cs="Courier New"/>
    </w:rPr>
  </w:style>
  <w:style w:type="character" w:customStyle="1" w:styleId="WW8Num45z2">
    <w:name w:val="WW8Num45z2"/>
    <w:rsid w:val="004957E5"/>
    <w:rPr>
      <w:rFonts w:ascii="Wingdings" w:hAnsi="Wingdings" w:cs="Wingdings"/>
    </w:rPr>
  </w:style>
  <w:style w:type="character" w:customStyle="1" w:styleId="WW8Num46z1">
    <w:name w:val="WW8Num46z1"/>
    <w:rsid w:val="004957E5"/>
    <w:rPr>
      <w:rFonts w:ascii="Courier New" w:hAnsi="Courier New" w:cs="Courier New"/>
    </w:rPr>
  </w:style>
  <w:style w:type="character" w:customStyle="1" w:styleId="WW8Num46z2">
    <w:name w:val="WW8Num46z2"/>
    <w:rsid w:val="004957E5"/>
    <w:rPr>
      <w:rFonts w:ascii="Wingdings" w:hAnsi="Wingdings" w:cs="Wingdings"/>
    </w:rPr>
  </w:style>
  <w:style w:type="character" w:customStyle="1" w:styleId="WW8Num47z1">
    <w:name w:val="WW8Num47z1"/>
    <w:rsid w:val="004957E5"/>
    <w:rPr>
      <w:rFonts w:ascii="Courier New" w:hAnsi="Courier New" w:cs="Courier New"/>
    </w:rPr>
  </w:style>
  <w:style w:type="character" w:customStyle="1" w:styleId="WW8Num47z2">
    <w:name w:val="WW8Num47z2"/>
    <w:rsid w:val="004957E5"/>
    <w:rPr>
      <w:rFonts w:ascii="Wingdings" w:hAnsi="Wingdings" w:cs="Wingdings"/>
    </w:rPr>
  </w:style>
  <w:style w:type="character" w:customStyle="1" w:styleId="WW8Num47z3">
    <w:name w:val="WW8Num47z3"/>
    <w:rsid w:val="004957E5"/>
    <w:rPr>
      <w:rFonts w:ascii="Symbol" w:hAnsi="Symbol" w:cs="Symbol"/>
    </w:rPr>
  </w:style>
  <w:style w:type="character" w:customStyle="1" w:styleId="WW8Num48z1">
    <w:name w:val="WW8Num48z1"/>
    <w:rsid w:val="004957E5"/>
    <w:rPr>
      <w:rFonts w:ascii="Courier New" w:hAnsi="Courier New" w:cs="Courier New"/>
    </w:rPr>
  </w:style>
  <w:style w:type="character" w:customStyle="1" w:styleId="WW8Num48z2">
    <w:name w:val="WW8Num48z2"/>
    <w:rsid w:val="004957E5"/>
    <w:rPr>
      <w:rFonts w:ascii="Wingdings" w:hAnsi="Wingdings" w:cs="Wingdings"/>
    </w:rPr>
  </w:style>
  <w:style w:type="character" w:customStyle="1" w:styleId="WW8Num50z1">
    <w:name w:val="WW8Num50z1"/>
    <w:rsid w:val="004957E5"/>
    <w:rPr>
      <w:rFonts w:ascii="Courier New" w:hAnsi="Courier New" w:cs="Courier New"/>
    </w:rPr>
  </w:style>
  <w:style w:type="character" w:customStyle="1" w:styleId="WW8Num50z2">
    <w:name w:val="WW8Num50z2"/>
    <w:rsid w:val="004957E5"/>
    <w:rPr>
      <w:rFonts w:ascii="Wingdings" w:hAnsi="Wingdings" w:cs="Wingdings"/>
    </w:rPr>
  </w:style>
  <w:style w:type="character" w:customStyle="1" w:styleId="WW8Num51z0">
    <w:name w:val="WW8Num51z0"/>
    <w:rsid w:val="004957E5"/>
    <w:rPr>
      <w:rFonts w:ascii="Symbol" w:hAnsi="Symbol" w:cs="Symbol"/>
    </w:rPr>
  </w:style>
  <w:style w:type="character" w:customStyle="1" w:styleId="WW8Num51z1">
    <w:name w:val="WW8Num51z1"/>
    <w:rsid w:val="004957E5"/>
    <w:rPr>
      <w:rFonts w:ascii="Courier New" w:hAnsi="Courier New" w:cs="Courier New"/>
    </w:rPr>
  </w:style>
  <w:style w:type="character" w:customStyle="1" w:styleId="WW8Num51z2">
    <w:name w:val="WW8Num51z2"/>
    <w:rsid w:val="004957E5"/>
    <w:rPr>
      <w:rFonts w:ascii="Wingdings" w:hAnsi="Wingdings" w:cs="Wingdings"/>
    </w:rPr>
  </w:style>
  <w:style w:type="character" w:customStyle="1" w:styleId="WW8Num52z0">
    <w:name w:val="WW8Num52z0"/>
    <w:rsid w:val="004957E5"/>
    <w:rPr>
      <w:rFonts w:ascii="Symbol" w:hAnsi="Symbol" w:cs="Symbol"/>
    </w:rPr>
  </w:style>
  <w:style w:type="character" w:customStyle="1" w:styleId="WW8Num52z1">
    <w:name w:val="WW8Num52z1"/>
    <w:rsid w:val="004957E5"/>
    <w:rPr>
      <w:rFonts w:ascii="Courier New" w:hAnsi="Courier New" w:cs="Courier New"/>
    </w:rPr>
  </w:style>
  <w:style w:type="character" w:customStyle="1" w:styleId="WW8Num52z2">
    <w:name w:val="WW8Num52z2"/>
    <w:rsid w:val="004957E5"/>
    <w:rPr>
      <w:rFonts w:ascii="Wingdings" w:hAnsi="Wingdings" w:cs="Wingdings"/>
    </w:rPr>
  </w:style>
  <w:style w:type="character" w:customStyle="1" w:styleId="WW8Num53z0">
    <w:name w:val="WW8Num53z0"/>
    <w:rsid w:val="004957E5"/>
    <w:rPr>
      <w:rFonts w:ascii="Symbol" w:hAnsi="Symbol" w:cs="Symbol"/>
    </w:rPr>
  </w:style>
  <w:style w:type="character" w:customStyle="1" w:styleId="WW8Num53z1">
    <w:name w:val="WW8Num53z1"/>
    <w:rsid w:val="004957E5"/>
    <w:rPr>
      <w:rFonts w:ascii="Courier New" w:hAnsi="Courier New" w:cs="Courier New"/>
    </w:rPr>
  </w:style>
  <w:style w:type="character" w:customStyle="1" w:styleId="WW8Num53z2">
    <w:name w:val="WW8Num53z2"/>
    <w:rsid w:val="004957E5"/>
    <w:rPr>
      <w:rFonts w:ascii="Wingdings" w:hAnsi="Wingdings" w:cs="Wingdings"/>
    </w:rPr>
  </w:style>
  <w:style w:type="character" w:customStyle="1" w:styleId="WW8Num54z0">
    <w:name w:val="WW8Num54z0"/>
    <w:rsid w:val="004957E5"/>
    <w:rPr>
      <w:rFonts w:ascii="Symbol" w:hAnsi="Symbol" w:cs="Symbol"/>
    </w:rPr>
  </w:style>
  <w:style w:type="character" w:customStyle="1" w:styleId="WW8Num54z1">
    <w:name w:val="WW8Num54z1"/>
    <w:rsid w:val="004957E5"/>
    <w:rPr>
      <w:rFonts w:ascii="Courier New" w:hAnsi="Courier New" w:cs="Courier New"/>
    </w:rPr>
  </w:style>
  <w:style w:type="character" w:customStyle="1" w:styleId="WW8Num54z2">
    <w:name w:val="WW8Num54z2"/>
    <w:rsid w:val="004957E5"/>
    <w:rPr>
      <w:rFonts w:ascii="Wingdings" w:hAnsi="Wingdings" w:cs="Wingdings"/>
    </w:rPr>
  </w:style>
  <w:style w:type="character" w:customStyle="1" w:styleId="1fe">
    <w:name w:val="Основной шрифт абзаца1"/>
    <w:rsid w:val="004957E5"/>
  </w:style>
  <w:style w:type="character" w:customStyle="1" w:styleId="affffd">
    <w:name w:val="Символ сноски"/>
    <w:rsid w:val="004957E5"/>
    <w:rPr>
      <w:rFonts w:cs="Times New Roman"/>
      <w:vertAlign w:val="superscript"/>
    </w:rPr>
  </w:style>
  <w:style w:type="character" w:customStyle="1" w:styleId="affffe">
    <w:name w:val="Символы концевой сноски"/>
    <w:rsid w:val="004957E5"/>
    <w:rPr>
      <w:vertAlign w:val="superscript"/>
    </w:rPr>
  </w:style>
  <w:style w:type="character" w:customStyle="1" w:styleId="afffff">
    <w:name w:val="Маркеры списка"/>
    <w:rsid w:val="004957E5"/>
    <w:rPr>
      <w:rFonts w:ascii="OpenSymbol" w:eastAsia="OpenSymbol" w:hAnsi="OpenSymbol" w:cs="OpenSymbol"/>
    </w:rPr>
  </w:style>
  <w:style w:type="paragraph" w:customStyle="1" w:styleId="2b">
    <w:name w:val="Название2"/>
    <w:basedOn w:val="a1"/>
    <w:rsid w:val="004957E5"/>
    <w:pPr>
      <w:suppressLineNumbers/>
      <w:suppressAutoHyphens/>
      <w:spacing w:before="120" w:after="120" w:line="288" w:lineRule="auto"/>
      <w:ind w:firstLine="567"/>
    </w:pPr>
    <w:rPr>
      <w:rFonts w:ascii="Calibri" w:eastAsia="Calibri" w:hAnsi="Calibri" w:cs="Mangal"/>
      <w:i/>
      <w:iCs/>
      <w:lang w:eastAsia="ar-SA"/>
    </w:rPr>
  </w:style>
  <w:style w:type="paragraph" w:customStyle="1" w:styleId="2c">
    <w:name w:val="Указатель2"/>
    <w:basedOn w:val="a1"/>
    <w:rsid w:val="004957E5"/>
    <w:pPr>
      <w:suppressLineNumbers/>
      <w:suppressAutoHyphens/>
      <w:spacing w:line="288" w:lineRule="auto"/>
      <w:ind w:firstLine="567"/>
    </w:pPr>
    <w:rPr>
      <w:rFonts w:ascii="Calibri" w:eastAsia="Calibri" w:hAnsi="Calibri" w:cs="Mangal"/>
      <w:sz w:val="22"/>
      <w:szCs w:val="22"/>
      <w:lang w:eastAsia="ar-SA"/>
    </w:rPr>
  </w:style>
  <w:style w:type="paragraph" w:customStyle="1" w:styleId="1ff">
    <w:name w:val="Указатель1"/>
    <w:basedOn w:val="a1"/>
    <w:rsid w:val="004957E5"/>
    <w:pPr>
      <w:suppressLineNumbers/>
      <w:suppressAutoHyphens/>
      <w:spacing w:line="288" w:lineRule="auto"/>
      <w:ind w:firstLine="567"/>
    </w:pPr>
    <w:rPr>
      <w:rFonts w:ascii="Calibri" w:eastAsia="Calibri" w:hAnsi="Calibri" w:cs="Mangal"/>
      <w:sz w:val="22"/>
      <w:szCs w:val="22"/>
      <w:lang w:eastAsia="ar-SA"/>
    </w:rPr>
  </w:style>
  <w:style w:type="paragraph" w:customStyle="1" w:styleId="afffff0">
    <w:name w:val="Заголовок таблицы"/>
    <w:basedOn w:val="affff5"/>
    <w:rsid w:val="004957E5"/>
    <w:pPr>
      <w:widowControl w:val="0"/>
      <w:suppressAutoHyphens/>
      <w:spacing w:line="240" w:lineRule="auto"/>
      <w:ind w:firstLine="567"/>
      <w:jc w:val="center"/>
    </w:pPr>
    <w:rPr>
      <w:rFonts w:ascii="Arial" w:eastAsia="Arial Unicode MS" w:hAnsi="Arial" w:cs="Times New Roman"/>
      <w:b/>
      <w:bCs/>
      <w:kern w:val="1"/>
      <w:sz w:val="20"/>
      <w:szCs w:val="24"/>
      <w:lang w:eastAsia="ar-SA"/>
    </w:rPr>
  </w:style>
  <w:style w:type="character" w:customStyle="1" w:styleId="slug-pub-date3">
    <w:name w:val="slug-pub-date3"/>
    <w:rsid w:val="004957E5"/>
    <w:rPr>
      <w:b/>
      <w:bCs/>
    </w:rPr>
  </w:style>
  <w:style w:type="character" w:customStyle="1" w:styleId="slug-vol">
    <w:name w:val="slug-vol"/>
    <w:rsid w:val="004957E5"/>
  </w:style>
  <w:style w:type="character" w:customStyle="1" w:styleId="slug-issue">
    <w:name w:val="slug-issue"/>
    <w:rsid w:val="004957E5"/>
  </w:style>
  <w:style w:type="character" w:customStyle="1" w:styleId="slug-pages3">
    <w:name w:val="slug-pages3"/>
    <w:rsid w:val="004957E5"/>
    <w:rPr>
      <w:b/>
      <w:bCs/>
    </w:rPr>
  </w:style>
  <w:style w:type="paragraph" w:customStyle="1" w:styleId="LTGliederung1">
    <w:name w:val="???????~LT~Gliederung 1"/>
    <w:rsid w:val="004957E5"/>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Mangal" w:eastAsia="Mangal" w:hAnsi="Mangal" w:cs="Mangal"/>
      <w:color w:val="000000"/>
      <w:sz w:val="64"/>
      <w:szCs w:val="64"/>
      <w:lang w:eastAsia="hi-IN" w:bidi="hi-IN"/>
    </w:rPr>
  </w:style>
  <w:style w:type="character" w:customStyle="1" w:styleId="9PalatinoLinotype">
    <w:name w:val="Основной текст (9) + Palatino Linotype"/>
    <w:aliases w:val="7,5 pt"/>
    <w:uiPriority w:val="99"/>
    <w:rsid w:val="004957E5"/>
    <w:rPr>
      <w:rFonts w:ascii="Palatino Linotype" w:hAnsi="Palatino Linotype" w:cs="Palatino Linotype"/>
      <w:spacing w:val="0"/>
      <w:sz w:val="15"/>
      <w:szCs w:val="15"/>
    </w:rPr>
  </w:style>
  <w:style w:type="table" w:customStyle="1" w:styleId="510">
    <w:name w:val="Таблица простая 51"/>
    <w:basedOn w:val="a5"/>
    <w:uiPriority w:val="45"/>
    <w:rsid w:val="004957E5"/>
    <w:rPr>
      <w:rFonts w:ascii="Calibri" w:eastAsia="Calibri" w:hAnsi="Calibri" w:cs="Times New Roman"/>
      <w:szCs w:val="20"/>
      <w:lang w:eastAsia="ru-RU"/>
    </w:rPr>
    <w:tblPr>
      <w:tblStyleRowBandSize w:val="1"/>
      <w:tblStyleColBandSize w:val="1"/>
    </w:tblPr>
    <w:tblStylePr w:type="firstRow">
      <w:rPr>
        <w:rFonts w:ascii="Arial Unicode MS" w:eastAsia="Times New Roman" w:hAnsi="Arial Unicode MS" w:cs="Times New Roman"/>
        <w:i/>
        <w:iCs/>
        <w:sz w:val="26"/>
      </w:rPr>
      <w:tblPr/>
      <w:tcPr>
        <w:tcBorders>
          <w:bottom w:val="single" w:sz="4" w:space="0" w:color="7F7F7F"/>
        </w:tcBorders>
        <w:shd w:val="clear" w:color="auto" w:fill="FFFFFF"/>
      </w:tcPr>
    </w:tblStylePr>
    <w:tblStylePr w:type="lastRow">
      <w:rPr>
        <w:rFonts w:ascii="Arial Unicode MS" w:eastAsia="Times New Roman" w:hAnsi="Arial Unicode MS" w:cs="Times New Roman"/>
        <w:i/>
        <w:iCs/>
        <w:sz w:val="26"/>
      </w:rPr>
      <w:tblPr/>
      <w:tcPr>
        <w:tcBorders>
          <w:top w:val="single" w:sz="4" w:space="0" w:color="7F7F7F"/>
        </w:tcBorders>
        <w:shd w:val="clear" w:color="auto" w:fill="FFFFFF"/>
      </w:tcPr>
    </w:tblStylePr>
    <w:tblStylePr w:type="firstCol">
      <w:pPr>
        <w:jc w:val="right"/>
      </w:pPr>
      <w:rPr>
        <w:rFonts w:ascii="Arial Unicode MS" w:eastAsia="Times New Roman" w:hAnsi="Arial Unicode MS" w:cs="Times New Roman"/>
        <w:i/>
        <w:iCs/>
        <w:sz w:val="26"/>
      </w:rPr>
      <w:tblPr/>
      <w:tcPr>
        <w:tcBorders>
          <w:right w:val="single" w:sz="4" w:space="0" w:color="7F7F7F"/>
        </w:tcBorders>
        <w:shd w:val="clear" w:color="auto" w:fill="FFFFFF"/>
      </w:tcPr>
    </w:tblStylePr>
    <w:tblStylePr w:type="lastCol">
      <w:rPr>
        <w:rFonts w:ascii="Arial Unicode MS" w:eastAsia="Times New Roman" w:hAnsi="Arial Unicode M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bsatz-Standardschriftart">
    <w:name w:val="Absatz-Standardschriftart"/>
    <w:rsid w:val="004957E5"/>
  </w:style>
  <w:style w:type="character" w:customStyle="1" w:styleId="WW-Absatz-Standardschriftart">
    <w:name w:val="WW-Absatz-Standardschriftart"/>
    <w:rsid w:val="004957E5"/>
  </w:style>
  <w:style w:type="paragraph" w:customStyle="1" w:styleId="p1">
    <w:name w:val="p1"/>
    <w:basedOn w:val="a1"/>
    <w:rsid w:val="004957E5"/>
    <w:pPr>
      <w:spacing w:line="240" w:lineRule="auto"/>
      <w:jc w:val="left"/>
    </w:pPr>
    <w:rPr>
      <w:rFonts w:ascii="Helvetica Neue" w:eastAsia="Calibri" w:hAnsi="Helvetica Neue"/>
      <w:color w:val="000000"/>
      <w:sz w:val="20"/>
      <w:szCs w:val="20"/>
    </w:rPr>
  </w:style>
  <w:style w:type="paragraph" w:customStyle="1" w:styleId="ListParagraph1">
    <w:name w:val="List Paragraph1"/>
    <w:basedOn w:val="a1"/>
    <w:rsid w:val="004957E5"/>
    <w:pPr>
      <w:suppressAutoHyphens/>
      <w:spacing w:after="200" w:line="276" w:lineRule="auto"/>
      <w:jc w:val="left"/>
    </w:pPr>
    <w:rPr>
      <w:rFonts w:ascii="Calibri" w:eastAsia="Calibri" w:hAnsi="Calibri" w:cs="Calibri"/>
      <w:sz w:val="22"/>
      <w:szCs w:val="22"/>
      <w:lang w:val="nl-NL" w:eastAsia="ar-SA"/>
    </w:rPr>
  </w:style>
  <w:style w:type="character" w:customStyle="1" w:styleId="Caaieiaie1Ciae">
    <w:name w:val="Caaieiaie 1 Ciae"/>
    <w:uiPriority w:val="99"/>
    <w:rsid w:val="004957E5"/>
    <w:rPr>
      <w:rFonts w:ascii="Cambria" w:hAnsi="Cambria" w:cs="Cambria"/>
      <w:b/>
      <w:bCs/>
      <w:kern w:val="32"/>
      <w:sz w:val="32"/>
      <w:szCs w:val="32"/>
    </w:rPr>
  </w:style>
  <w:style w:type="character" w:customStyle="1" w:styleId="Caaieiaie2Ciae">
    <w:name w:val="Caaieiaie 2 Ciae"/>
    <w:uiPriority w:val="99"/>
    <w:rsid w:val="004957E5"/>
    <w:rPr>
      <w:rFonts w:ascii="Cambria" w:hAnsi="Cambria" w:cs="Cambria"/>
      <w:b/>
      <w:bCs/>
      <w:i/>
      <w:iCs/>
      <w:sz w:val="28"/>
      <w:szCs w:val="28"/>
    </w:rPr>
  </w:style>
  <w:style w:type="character" w:customStyle="1" w:styleId="Caaieiaie3Ciae">
    <w:name w:val="Caaieiaie 3 Ciae"/>
    <w:uiPriority w:val="99"/>
    <w:rsid w:val="004957E5"/>
    <w:rPr>
      <w:rFonts w:ascii="Cambria" w:hAnsi="Cambria" w:cs="Cambria"/>
      <w:b/>
      <w:bCs/>
      <w:sz w:val="26"/>
      <w:szCs w:val="26"/>
    </w:rPr>
  </w:style>
  <w:style w:type="character" w:customStyle="1" w:styleId="Caaieiaie4Ciae">
    <w:name w:val="Caaieiaie 4 Ciae"/>
    <w:uiPriority w:val="99"/>
    <w:rsid w:val="004957E5"/>
    <w:rPr>
      <w:rFonts w:ascii="Times New Roman" w:hAnsi="Times New Roman" w:cs="Times New Roman"/>
      <w:b/>
      <w:bCs/>
      <w:sz w:val="28"/>
      <w:szCs w:val="28"/>
    </w:rPr>
  </w:style>
  <w:style w:type="character" w:customStyle="1" w:styleId="Caaieiaie5Ciae">
    <w:name w:val="Caaieiaie 5 Ciae"/>
    <w:uiPriority w:val="99"/>
    <w:rsid w:val="004957E5"/>
    <w:rPr>
      <w:rFonts w:cs="Times New Roman"/>
      <w:b/>
      <w:bCs/>
      <w:i/>
      <w:iCs/>
      <w:sz w:val="26"/>
      <w:szCs w:val="26"/>
    </w:rPr>
  </w:style>
  <w:style w:type="character" w:customStyle="1" w:styleId="Caaieiaie6Ciae">
    <w:name w:val="Caaieiaie 6 Ciae"/>
    <w:uiPriority w:val="99"/>
    <w:rsid w:val="004957E5"/>
    <w:rPr>
      <w:rFonts w:cs="Times New Roman"/>
      <w:b/>
      <w:bCs/>
    </w:rPr>
  </w:style>
  <w:style w:type="character" w:customStyle="1" w:styleId="Caaieiaie7Ciae">
    <w:name w:val="Caaieiaie 7 Ciae"/>
    <w:uiPriority w:val="99"/>
    <w:rsid w:val="004957E5"/>
    <w:rPr>
      <w:rFonts w:cs="Times New Roman"/>
      <w:sz w:val="24"/>
      <w:szCs w:val="24"/>
    </w:rPr>
  </w:style>
  <w:style w:type="character" w:customStyle="1" w:styleId="Caaieiaie1Ciae1">
    <w:name w:val="Caaieiaie 1 Ciae1"/>
    <w:uiPriority w:val="99"/>
    <w:rsid w:val="004957E5"/>
    <w:rPr>
      <w:rFonts w:ascii="Cambria" w:hAnsi="Cambria" w:cs="Cambria"/>
      <w:b/>
      <w:bCs/>
      <w:kern w:val="32"/>
      <w:sz w:val="32"/>
      <w:szCs w:val="32"/>
    </w:rPr>
  </w:style>
  <w:style w:type="character" w:customStyle="1" w:styleId="Caaieiaie2Ciae1">
    <w:name w:val="Caaieiaie 2 Ciae1"/>
    <w:uiPriority w:val="99"/>
    <w:rsid w:val="004957E5"/>
    <w:rPr>
      <w:rFonts w:ascii="Cambria" w:hAnsi="Cambria" w:cs="Cambria"/>
      <w:b/>
      <w:bCs/>
      <w:i/>
      <w:iCs/>
      <w:sz w:val="28"/>
      <w:szCs w:val="28"/>
    </w:rPr>
  </w:style>
  <w:style w:type="character" w:customStyle="1" w:styleId="Caaieiaie3Ciae1">
    <w:name w:val="Caaieiaie 3 Ciae1"/>
    <w:uiPriority w:val="99"/>
    <w:rsid w:val="004957E5"/>
    <w:rPr>
      <w:rFonts w:ascii="Cambria" w:hAnsi="Cambria" w:cs="Cambria"/>
      <w:b/>
      <w:bCs/>
      <w:sz w:val="26"/>
      <w:szCs w:val="26"/>
    </w:rPr>
  </w:style>
  <w:style w:type="character" w:customStyle="1" w:styleId="Caaieiaie4Ciae1">
    <w:name w:val="Caaieiaie 4 Ciae1"/>
    <w:uiPriority w:val="99"/>
    <w:rsid w:val="004957E5"/>
    <w:rPr>
      <w:rFonts w:ascii="Times New Roman" w:hAnsi="Times New Roman" w:cs="Times New Roman"/>
      <w:b/>
      <w:bCs/>
      <w:sz w:val="28"/>
      <w:szCs w:val="28"/>
    </w:rPr>
  </w:style>
  <w:style w:type="character" w:customStyle="1" w:styleId="Caaieiaie5Ciae1">
    <w:name w:val="Caaieiaie 5 Ciae1"/>
    <w:uiPriority w:val="99"/>
    <w:rsid w:val="004957E5"/>
    <w:rPr>
      <w:rFonts w:cs="Times New Roman"/>
      <w:b/>
      <w:bCs/>
      <w:i/>
      <w:iCs/>
      <w:sz w:val="26"/>
      <w:szCs w:val="26"/>
    </w:rPr>
  </w:style>
  <w:style w:type="character" w:customStyle="1" w:styleId="Caaieiaie6Ciae1">
    <w:name w:val="Caaieiaie 6 Ciae1"/>
    <w:uiPriority w:val="99"/>
    <w:rsid w:val="004957E5"/>
    <w:rPr>
      <w:rFonts w:cs="Times New Roman"/>
      <w:b/>
      <w:bCs/>
    </w:rPr>
  </w:style>
  <w:style w:type="character" w:customStyle="1" w:styleId="Caaieiaie7Ciae1">
    <w:name w:val="Caaieiaie 7 Ciae1"/>
    <w:uiPriority w:val="99"/>
    <w:rsid w:val="004957E5"/>
    <w:rPr>
      <w:rFonts w:cs="Times New Roman"/>
      <w:sz w:val="24"/>
      <w:szCs w:val="24"/>
    </w:rPr>
  </w:style>
  <w:style w:type="paragraph" w:customStyle="1" w:styleId="Heading5">
    <w:name w:val="Heading5"/>
    <w:basedOn w:val="a1"/>
    <w:uiPriority w:val="99"/>
    <w:rsid w:val="004957E5"/>
    <w:pPr>
      <w:autoSpaceDE w:val="0"/>
      <w:autoSpaceDN w:val="0"/>
      <w:adjustRightInd w:val="0"/>
      <w:spacing w:before="100" w:after="100" w:line="240" w:lineRule="auto"/>
      <w:jc w:val="left"/>
    </w:pPr>
    <w:rPr>
      <w:b/>
      <w:bCs/>
      <w:i/>
      <w:iCs/>
    </w:rPr>
  </w:style>
  <w:style w:type="paragraph" w:customStyle="1" w:styleId="FitzBullet">
    <w:name w:val="FitzBullet"/>
    <w:basedOn w:val="a1"/>
    <w:uiPriority w:val="99"/>
    <w:rsid w:val="004957E5"/>
    <w:pPr>
      <w:shd w:val="clear" w:color="auto" w:fill="FFFFFF"/>
      <w:tabs>
        <w:tab w:val="left" w:pos="317"/>
      </w:tabs>
      <w:autoSpaceDE w:val="0"/>
      <w:autoSpaceDN w:val="0"/>
      <w:adjustRightInd w:val="0"/>
      <w:spacing w:before="60" w:after="60" w:line="240" w:lineRule="auto"/>
      <w:ind w:left="283" w:hanging="283"/>
      <w:jc w:val="left"/>
    </w:pPr>
    <w:rPr>
      <w:color w:val="000000"/>
    </w:rPr>
  </w:style>
  <w:style w:type="paragraph" w:customStyle="1" w:styleId="author0">
    <w:name w:val="author"/>
    <w:basedOn w:val="3"/>
    <w:uiPriority w:val="99"/>
    <w:rsid w:val="004957E5"/>
    <w:pPr>
      <w:widowControl w:val="0"/>
      <w:shd w:val="clear" w:color="auto" w:fill="FFFFFF"/>
      <w:autoSpaceDE w:val="0"/>
      <w:autoSpaceDN w:val="0"/>
      <w:adjustRightInd w:val="0"/>
      <w:spacing w:after="40" w:line="240" w:lineRule="auto"/>
      <w:jc w:val="left"/>
      <w:outlineLvl w:val="9"/>
    </w:pPr>
    <w:rPr>
      <w:rFonts w:ascii="Arial" w:eastAsia="Times New Roman" w:hAnsi="Arial" w:cs="Arial"/>
      <w:color w:val="auto"/>
      <w:sz w:val="26"/>
      <w:szCs w:val="26"/>
      <w:lang w:val="en-US" w:eastAsia="ru-RU"/>
    </w:rPr>
  </w:style>
  <w:style w:type="paragraph" w:customStyle="1" w:styleId="Bullet-2">
    <w:name w:val="Bullet-2"/>
    <w:basedOn w:val="FitzBullet"/>
    <w:uiPriority w:val="99"/>
    <w:rsid w:val="004957E5"/>
    <w:pPr>
      <w:tabs>
        <w:tab w:val="clear" w:pos="317"/>
        <w:tab w:val="left" w:pos="1134"/>
      </w:tabs>
      <w:ind w:left="1417"/>
    </w:pPr>
    <w:rPr>
      <w:lang w:val="en-US"/>
    </w:rPr>
  </w:style>
  <w:style w:type="character" w:customStyle="1" w:styleId="sokr">
    <w:name w:val="sokr"/>
    <w:rsid w:val="004957E5"/>
  </w:style>
  <w:style w:type="paragraph" w:customStyle="1" w:styleId="opisdvfld">
    <w:name w:val="opis_dvfld"/>
    <w:basedOn w:val="a1"/>
    <w:rsid w:val="004957E5"/>
    <w:pPr>
      <w:spacing w:before="100" w:beforeAutospacing="1" w:after="100" w:afterAutospacing="1" w:line="240" w:lineRule="auto"/>
      <w:jc w:val="left"/>
    </w:pPr>
  </w:style>
  <w:style w:type="paragraph" w:customStyle="1" w:styleId="afffff1">
    <w:name w:val="Литература"/>
    <w:basedOn w:val="a1"/>
    <w:qFormat/>
    <w:rsid w:val="004957E5"/>
    <w:pPr>
      <w:suppressAutoHyphens/>
      <w:spacing w:after="120" w:line="240" w:lineRule="auto"/>
      <w:jc w:val="left"/>
    </w:pPr>
    <w:rPr>
      <w:rFonts w:eastAsia="Calibri"/>
      <w:i/>
      <w:kern w:val="2"/>
      <w:lang w:val="en-US" w:eastAsia="en-US"/>
    </w:rPr>
  </w:style>
  <w:style w:type="character" w:customStyle="1" w:styleId="cit">
    <w:name w:val="cit"/>
    <w:basedOn w:val="a4"/>
    <w:rsid w:val="004957E5"/>
  </w:style>
  <w:style w:type="character" w:customStyle="1" w:styleId="al-author-delim">
    <w:name w:val="al-author-delim"/>
    <w:basedOn w:val="a4"/>
    <w:rsid w:val="004957E5"/>
  </w:style>
  <w:style w:type="character" w:styleId="afffff2">
    <w:name w:val="line number"/>
    <w:basedOn w:val="a4"/>
    <w:uiPriority w:val="99"/>
    <w:semiHidden/>
    <w:unhideWhenUsed/>
    <w:rsid w:val="004957E5"/>
  </w:style>
  <w:style w:type="character" w:customStyle="1" w:styleId="author-sup-separator">
    <w:name w:val="author-sup-separator"/>
    <w:rsid w:val="004957E5"/>
  </w:style>
  <w:style w:type="character" w:customStyle="1" w:styleId="comma">
    <w:name w:val="comma"/>
    <w:rsid w:val="004957E5"/>
  </w:style>
  <w:style w:type="character" w:customStyle="1" w:styleId="citation-doi">
    <w:name w:val="citation-doi"/>
    <w:rsid w:val="004957E5"/>
  </w:style>
  <w:style w:type="character" w:customStyle="1" w:styleId="st">
    <w:name w:val="st"/>
    <w:rsid w:val="004957E5"/>
  </w:style>
  <w:style w:type="character" w:customStyle="1" w:styleId="2d">
    <w:name w:val="Строгий2"/>
    <w:rsid w:val="004957E5"/>
  </w:style>
  <w:style w:type="character" w:customStyle="1" w:styleId="pagelast">
    <w:name w:val="pagelast"/>
    <w:uiPriority w:val="99"/>
    <w:rsid w:val="004957E5"/>
    <w:rPr>
      <w:rFonts w:cs="Times New Roman"/>
    </w:rPr>
  </w:style>
  <w:style w:type="paragraph" w:customStyle="1" w:styleId="Autor">
    <w:name w:val="Autor"/>
    <w:basedOn w:val="a1"/>
    <w:rsid w:val="004957E5"/>
    <w:pPr>
      <w:widowControl w:val="0"/>
      <w:shd w:val="clear" w:color="auto" w:fill="FFFFFF"/>
      <w:overflowPunct w:val="0"/>
      <w:autoSpaceDE w:val="0"/>
      <w:autoSpaceDN w:val="0"/>
      <w:adjustRightInd w:val="0"/>
      <w:spacing w:before="120" w:line="240" w:lineRule="atLeast"/>
      <w:jc w:val="left"/>
      <w:textAlignment w:val="baseline"/>
    </w:pPr>
    <w:rPr>
      <w:rFonts w:eastAsia="Calibri"/>
      <w:i/>
      <w:iCs/>
      <w:sz w:val="22"/>
      <w:szCs w:val="22"/>
      <w:lang w:val="en-US"/>
    </w:rPr>
  </w:style>
  <w:style w:type="paragraph" w:customStyle="1" w:styleId="table-name">
    <w:name w:val="table-name"/>
    <w:basedOn w:val="a1"/>
    <w:rsid w:val="004957E5"/>
    <w:pPr>
      <w:autoSpaceDE w:val="0"/>
      <w:autoSpaceDN w:val="0"/>
      <w:adjustRightInd w:val="0"/>
      <w:spacing w:before="40" w:line="240" w:lineRule="auto"/>
      <w:ind w:firstLine="425"/>
      <w:jc w:val="left"/>
    </w:pPr>
    <w:rPr>
      <w:b/>
      <w:bCs/>
      <w:color w:val="000000"/>
      <w:sz w:val="20"/>
      <w:szCs w:val="20"/>
      <w:lang w:val="en-US"/>
    </w:rPr>
  </w:style>
  <w:style w:type="paragraph" w:customStyle="1" w:styleId="Table-head-italic">
    <w:name w:val="Table-head-italic"/>
    <w:basedOn w:val="a1"/>
    <w:rsid w:val="004957E5"/>
    <w:pPr>
      <w:widowControl w:val="0"/>
      <w:shd w:val="clear" w:color="auto" w:fill="FFFFFF"/>
      <w:autoSpaceDE w:val="0"/>
      <w:autoSpaceDN w:val="0"/>
      <w:adjustRightInd w:val="0"/>
      <w:spacing w:line="240" w:lineRule="auto"/>
      <w:jc w:val="left"/>
    </w:pPr>
    <w:rPr>
      <w:i/>
      <w:iCs/>
      <w:sz w:val="18"/>
      <w:szCs w:val="18"/>
      <w:lang w:val="en-US"/>
    </w:rPr>
  </w:style>
  <w:style w:type="paragraph" w:customStyle="1" w:styleId="table-text-0">
    <w:name w:val="table-text-0"/>
    <w:basedOn w:val="a1"/>
    <w:rsid w:val="004957E5"/>
    <w:pPr>
      <w:autoSpaceDE w:val="0"/>
      <w:autoSpaceDN w:val="0"/>
      <w:adjustRightInd w:val="0"/>
      <w:spacing w:before="40" w:line="240" w:lineRule="auto"/>
      <w:ind w:left="113" w:firstLine="425"/>
      <w:jc w:val="left"/>
    </w:pPr>
    <w:rPr>
      <w:sz w:val="20"/>
      <w:szCs w:val="20"/>
      <w:lang w:val="en-US"/>
    </w:rPr>
  </w:style>
  <w:style w:type="paragraph" w:customStyle="1" w:styleId="FitzFootnote">
    <w:name w:val="FitzFootnote"/>
    <w:basedOn w:val="a1"/>
    <w:rsid w:val="004957E5"/>
    <w:pPr>
      <w:shd w:val="clear" w:color="auto" w:fill="FFFFFF"/>
      <w:autoSpaceDE w:val="0"/>
      <w:autoSpaceDN w:val="0"/>
      <w:adjustRightInd w:val="0"/>
      <w:spacing w:before="60" w:after="60" w:line="240" w:lineRule="auto"/>
      <w:jc w:val="left"/>
    </w:pPr>
    <w:rPr>
      <w:color w:val="000000"/>
      <w:sz w:val="18"/>
      <w:szCs w:val="18"/>
      <w:lang w:val="en-US"/>
    </w:rPr>
  </w:style>
  <w:style w:type="paragraph" w:customStyle="1" w:styleId="table-text-1">
    <w:name w:val="table-text-1"/>
    <w:basedOn w:val="a1"/>
    <w:rsid w:val="004957E5"/>
    <w:pPr>
      <w:overflowPunct w:val="0"/>
      <w:autoSpaceDE w:val="0"/>
      <w:autoSpaceDN w:val="0"/>
      <w:adjustRightInd w:val="0"/>
      <w:spacing w:before="40" w:after="40" w:line="240" w:lineRule="auto"/>
      <w:ind w:left="340" w:hanging="170"/>
      <w:jc w:val="left"/>
      <w:textAlignment w:val="baseline"/>
    </w:pPr>
    <w:rPr>
      <w:color w:val="000000"/>
      <w:sz w:val="17"/>
      <w:szCs w:val="20"/>
    </w:rPr>
  </w:style>
  <w:style w:type="paragraph" w:customStyle="1" w:styleId="formula">
    <w:name w:val="formula"/>
    <w:basedOn w:val="a1"/>
    <w:rsid w:val="004957E5"/>
    <w:pPr>
      <w:shd w:val="clear" w:color="auto" w:fill="FFFFFF"/>
      <w:tabs>
        <w:tab w:val="left" w:pos="394"/>
      </w:tabs>
      <w:overflowPunct w:val="0"/>
      <w:autoSpaceDE w:val="0"/>
      <w:autoSpaceDN w:val="0"/>
      <w:adjustRightInd w:val="0"/>
      <w:spacing w:before="60" w:after="60" w:line="240" w:lineRule="auto"/>
      <w:ind w:firstLine="227"/>
      <w:jc w:val="left"/>
      <w:textAlignment w:val="baseline"/>
    </w:pPr>
    <w:rPr>
      <w:sz w:val="20"/>
      <w:szCs w:val="20"/>
    </w:rPr>
  </w:style>
  <w:style w:type="paragraph" w:customStyle="1" w:styleId="1ff0">
    <w:name w:val="Обычный (веб)1"/>
    <w:basedOn w:val="a1"/>
    <w:uiPriority w:val="99"/>
    <w:unhideWhenUsed/>
    <w:qFormat/>
    <w:rsid w:val="004957E5"/>
    <w:pPr>
      <w:spacing w:beforeAutospacing="1" w:afterAutospacing="1" w:line="288" w:lineRule="auto"/>
      <w:jc w:val="left"/>
    </w:pPr>
  </w:style>
  <w:style w:type="character" w:customStyle="1" w:styleId="highlight1">
    <w:name w:val="highlight1"/>
    <w:basedOn w:val="a4"/>
    <w:rsid w:val="004957E5"/>
  </w:style>
  <w:style w:type="character" w:customStyle="1" w:styleId="element-citation">
    <w:name w:val="element-citation"/>
    <w:basedOn w:val="a4"/>
    <w:rsid w:val="004957E5"/>
  </w:style>
  <w:style w:type="character" w:customStyle="1" w:styleId="ref-journal">
    <w:name w:val="ref-journal"/>
    <w:basedOn w:val="a4"/>
    <w:rsid w:val="004957E5"/>
  </w:style>
  <w:style w:type="character" w:customStyle="1" w:styleId="ref-vol">
    <w:name w:val="ref-vol"/>
    <w:basedOn w:val="a4"/>
    <w:rsid w:val="004957E5"/>
  </w:style>
  <w:style w:type="character" w:customStyle="1" w:styleId="nowrap">
    <w:name w:val="nowrap"/>
    <w:basedOn w:val="a4"/>
    <w:rsid w:val="004957E5"/>
  </w:style>
  <w:style w:type="paragraph" w:customStyle="1" w:styleId="1ff1">
    <w:name w:val="Заголовок оглавления1"/>
    <w:basedOn w:val="11"/>
    <w:rsid w:val="004957E5"/>
    <w:pPr>
      <w:suppressAutoHyphens w:val="0"/>
      <w:spacing w:after="120" w:line="276" w:lineRule="auto"/>
      <w:jc w:val="center"/>
    </w:pPr>
    <w:rPr>
      <w:rFonts w:eastAsia="Times New Roman"/>
      <w:sz w:val="22"/>
      <w:szCs w:val="20"/>
      <w:u w:val="none"/>
    </w:rPr>
  </w:style>
  <w:style w:type="paragraph" w:customStyle="1" w:styleId="36">
    <w:name w:val="3"/>
    <w:basedOn w:val="a1"/>
    <w:link w:val="37"/>
    <w:qFormat/>
    <w:rsid w:val="004957E5"/>
    <w:pPr>
      <w:ind w:left="142"/>
      <w:contextualSpacing/>
    </w:pPr>
    <w:rPr>
      <w:rFonts w:eastAsia="Calibri"/>
      <w:szCs w:val="22"/>
      <w:lang w:eastAsia="en-US"/>
    </w:rPr>
  </w:style>
  <w:style w:type="character" w:customStyle="1" w:styleId="37">
    <w:name w:val="3 Знак"/>
    <w:basedOn w:val="a4"/>
    <w:link w:val="36"/>
    <w:rsid w:val="004957E5"/>
    <w:rPr>
      <w:rFonts w:ascii="Times New Roman" w:eastAsia="Calibri" w:hAnsi="Times New Roman" w:cs="Times New Roman"/>
      <w:sz w:val="24"/>
    </w:rPr>
  </w:style>
  <w:style w:type="paragraph" w:styleId="42">
    <w:name w:val="toc 4"/>
    <w:basedOn w:val="a1"/>
    <w:next w:val="a1"/>
    <w:autoRedefine/>
    <w:uiPriority w:val="39"/>
    <w:unhideWhenUsed/>
    <w:rsid w:val="004957E5"/>
    <w:pPr>
      <w:ind w:left="720" w:firstLine="709"/>
      <w:jc w:val="left"/>
    </w:pPr>
    <w:rPr>
      <w:rFonts w:asciiTheme="minorHAnsi" w:eastAsia="Calibri" w:hAnsiTheme="minorHAnsi"/>
      <w:sz w:val="20"/>
      <w:szCs w:val="20"/>
      <w:lang w:eastAsia="en-US"/>
    </w:rPr>
  </w:style>
  <w:style w:type="paragraph" w:styleId="52">
    <w:name w:val="toc 5"/>
    <w:basedOn w:val="a1"/>
    <w:next w:val="a1"/>
    <w:autoRedefine/>
    <w:uiPriority w:val="39"/>
    <w:unhideWhenUsed/>
    <w:rsid w:val="004957E5"/>
    <w:pPr>
      <w:ind w:left="960" w:firstLine="709"/>
      <w:jc w:val="left"/>
    </w:pPr>
    <w:rPr>
      <w:rFonts w:asciiTheme="minorHAnsi" w:eastAsia="Calibri" w:hAnsiTheme="minorHAnsi"/>
      <w:sz w:val="20"/>
      <w:szCs w:val="20"/>
      <w:lang w:eastAsia="en-US"/>
    </w:rPr>
  </w:style>
  <w:style w:type="paragraph" w:styleId="61">
    <w:name w:val="toc 6"/>
    <w:basedOn w:val="a1"/>
    <w:next w:val="a1"/>
    <w:autoRedefine/>
    <w:uiPriority w:val="39"/>
    <w:unhideWhenUsed/>
    <w:rsid w:val="004957E5"/>
    <w:pPr>
      <w:ind w:left="1200" w:firstLine="709"/>
      <w:jc w:val="left"/>
    </w:pPr>
    <w:rPr>
      <w:rFonts w:asciiTheme="minorHAnsi" w:eastAsia="Calibri" w:hAnsiTheme="minorHAnsi"/>
      <w:sz w:val="20"/>
      <w:szCs w:val="20"/>
      <w:lang w:eastAsia="en-US"/>
    </w:rPr>
  </w:style>
  <w:style w:type="paragraph" w:styleId="72">
    <w:name w:val="toc 7"/>
    <w:basedOn w:val="a1"/>
    <w:next w:val="a1"/>
    <w:autoRedefine/>
    <w:uiPriority w:val="39"/>
    <w:unhideWhenUsed/>
    <w:rsid w:val="004957E5"/>
    <w:pPr>
      <w:ind w:left="1440" w:firstLine="709"/>
      <w:jc w:val="left"/>
    </w:pPr>
    <w:rPr>
      <w:rFonts w:asciiTheme="minorHAnsi" w:eastAsia="Calibri" w:hAnsiTheme="minorHAnsi"/>
      <w:sz w:val="20"/>
      <w:szCs w:val="20"/>
      <w:lang w:eastAsia="en-US"/>
    </w:rPr>
  </w:style>
  <w:style w:type="paragraph" w:styleId="82">
    <w:name w:val="toc 8"/>
    <w:basedOn w:val="a1"/>
    <w:next w:val="a1"/>
    <w:autoRedefine/>
    <w:uiPriority w:val="39"/>
    <w:unhideWhenUsed/>
    <w:rsid w:val="004957E5"/>
    <w:pPr>
      <w:ind w:left="1680" w:firstLine="709"/>
      <w:jc w:val="left"/>
    </w:pPr>
    <w:rPr>
      <w:rFonts w:asciiTheme="minorHAnsi" w:eastAsia="Calibri" w:hAnsiTheme="minorHAnsi"/>
      <w:sz w:val="20"/>
      <w:szCs w:val="20"/>
      <w:lang w:eastAsia="en-US"/>
    </w:rPr>
  </w:style>
  <w:style w:type="paragraph" w:styleId="92">
    <w:name w:val="toc 9"/>
    <w:basedOn w:val="a1"/>
    <w:next w:val="a1"/>
    <w:autoRedefine/>
    <w:uiPriority w:val="39"/>
    <w:unhideWhenUsed/>
    <w:rsid w:val="004957E5"/>
    <w:pPr>
      <w:ind w:left="1920" w:firstLine="709"/>
      <w:jc w:val="left"/>
    </w:pPr>
    <w:rPr>
      <w:rFonts w:asciiTheme="minorHAnsi" w:eastAsia="Calibri" w:hAnsiTheme="minorHAnsi"/>
      <w:sz w:val="20"/>
      <w:szCs w:val="20"/>
      <w:lang w:eastAsia="en-US"/>
    </w:rPr>
  </w:style>
  <w:style w:type="paragraph" w:customStyle="1" w:styleId="table-head-bold">
    <w:name w:val="table-head-bold"/>
    <w:basedOn w:val="a1"/>
    <w:uiPriority w:val="99"/>
    <w:rsid w:val="00FC2402"/>
    <w:pPr>
      <w:autoSpaceDE w:val="0"/>
      <w:autoSpaceDN w:val="0"/>
      <w:adjustRightInd w:val="0"/>
      <w:spacing w:before="40"/>
    </w:pPr>
    <w:rPr>
      <w:rFonts w:eastAsia="Calibri"/>
      <w:b/>
      <w:bCs/>
      <w:sz w:val="20"/>
      <w:szCs w:val="20"/>
    </w:rPr>
  </w:style>
  <w:style w:type="paragraph" w:customStyle="1" w:styleId="table-ref">
    <w:name w:val="table-ref"/>
    <w:basedOn w:val="a1"/>
    <w:rsid w:val="00FC2402"/>
    <w:pPr>
      <w:shd w:val="clear" w:color="auto" w:fill="FFFFFF"/>
      <w:tabs>
        <w:tab w:val="left" w:pos="394"/>
      </w:tabs>
      <w:overflowPunct w:val="0"/>
      <w:autoSpaceDE w:val="0"/>
      <w:autoSpaceDN w:val="0"/>
      <w:adjustRightInd w:val="0"/>
      <w:spacing w:before="40" w:after="40"/>
      <w:ind w:left="10" w:firstLine="284"/>
      <w:textAlignment w:val="baseline"/>
    </w:pPr>
    <w:rPr>
      <w:rFonts w:eastAsia="Calibri"/>
      <w:color w:val="000000"/>
      <w:spacing w:val="-5"/>
      <w:sz w:val="15"/>
      <w:szCs w:val="20"/>
    </w:rPr>
  </w:style>
  <w:style w:type="paragraph" w:customStyle="1" w:styleId="1ff2">
    <w:name w:val="Обычный1"/>
    <w:rsid w:val="00FC2402"/>
    <w:pPr>
      <w:widowControl w:val="0"/>
      <w:overflowPunct w:val="0"/>
      <w:autoSpaceDE w:val="0"/>
      <w:autoSpaceDN w:val="0"/>
      <w:adjustRightInd w:val="0"/>
      <w:textAlignment w:val="baseline"/>
    </w:pPr>
    <w:rPr>
      <w:rFonts w:ascii="Times New Roman" w:eastAsia="Times New Roman" w:hAnsi="Times New Roman" w:cs="Times New Roman"/>
      <w:szCs w:val="20"/>
      <w:lang w:eastAsia="ru-RU"/>
    </w:rPr>
  </w:style>
  <w:style w:type="paragraph" w:customStyle="1" w:styleId="bullet">
    <w:name w:val="bullet"/>
    <w:rsid w:val="00510F53"/>
    <w:pPr>
      <w:shd w:val="clear" w:color="auto" w:fill="FFFFFF"/>
      <w:tabs>
        <w:tab w:val="left" w:pos="360"/>
        <w:tab w:val="left" w:pos="394"/>
        <w:tab w:val="left" w:pos="1364"/>
      </w:tabs>
      <w:ind w:firstLine="397"/>
    </w:pPr>
    <w:rPr>
      <w:rFonts w:ascii="Times New Roman" w:eastAsia="Arial Unicode MS" w:hAnsi="Times New Roman" w:cs="Arial Unicode MS"/>
      <w:color w:val="000000"/>
      <w:spacing w:val="-7"/>
      <w:sz w:val="24"/>
      <w:szCs w:val="24"/>
      <w:u w:color="000000"/>
      <w:lang w:eastAsia="ru-RU"/>
    </w:rPr>
  </w:style>
  <w:style w:type="paragraph" w:customStyle="1" w:styleId="Literature">
    <w:name w:val="Literature"/>
    <w:rsid w:val="00510F53"/>
    <w:pPr>
      <w:shd w:val="clear" w:color="auto" w:fill="FFFFFF"/>
      <w:tabs>
        <w:tab w:val="left" w:pos="1068"/>
      </w:tabs>
      <w:spacing w:before="5"/>
      <w:ind w:left="720" w:hanging="360"/>
    </w:pPr>
    <w:rPr>
      <w:rFonts w:ascii="Times New Roman" w:eastAsia="Arial Unicode MS" w:hAnsi="Times New Roman" w:cs="Arial Unicode MS"/>
      <w:color w:val="000000"/>
      <w:spacing w:val="-1"/>
      <w:sz w:val="24"/>
      <w:szCs w:val="24"/>
      <w:u w:color="000000"/>
      <w:lang w:eastAsia="ru-RU"/>
    </w:rPr>
  </w:style>
  <w:style w:type="numbering" w:customStyle="1" w:styleId="1">
    <w:name w:val="Импортированный стиль 1"/>
    <w:rsid w:val="00510F53"/>
    <w:pPr>
      <w:numPr>
        <w:numId w:val="120"/>
      </w:numPr>
    </w:pPr>
  </w:style>
  <w:style w:type="character" w:customStyle="1" w:styleId="html-italic">
    <w:name w:val="html-italic"/>
    <w:basedOn w:val="a4"/>
    <w:rsid w:val="00510F53"/>
  </w:style>
  <w:style w:type="character" w:customStyle="1" w:styleId="highwire-cite-metadata-volume">
    <w:name w:val="highwire-cite-metadata-volume"/>
    <w:basedOn w:val="a4"/>
    <w:rsid w:val="00510F53"/>
  </w:style>
  <w:style w:type="character" w:customStyle="1" w:styleId="infolabel">
    <w:name w:val="info_label"/>
    <w:basedOn w:val="a4"/>
    <w:rsid w:val="00510F53"/>
  </w:style>
  <w:style w:type="character" w:customStyle="1" w:styleId="infovalue">
    <w:name w:val="info_value"/>
    <w:basedOn w:val="a4"/>
    <w:rsid w:val="00510F53"/>
  </w:style>
  <w:style w:type="paragraph" w:customStyle="1" w:styleId="table-head-left">
    <w:name w:val="table-head-left"/>
    <w:basedOn w:val="a1"/>
    <w:rsid w:val="00C1789B"/>
    <w:pPr>
      <w:widowControl w:val="0"/>
      <w:shd w:val="clear" w:color="auto" w:fill="FFFFFF"/>
      <w:tabs>
        <w:tab w:val="left" w:pos="394"/>
      </w:tabs>
      <w:overflowPunct w:val="0"/>
      <w:autoSpaceDE w:val="0"/>
      <w:autoSpaceDN w:val="0"/>
      <w:adjustRightInd w:val="0"/>
      <w:spacing w:before="40" w:after="40"/>
      <w:ind w:left="57" w:hanging="57"/>
      <w:textAlignment w:val="baseline"/>
    </w:pPr>
    <w:rPr>
      <w:rFonts w:eastAsia="Arial Unicode MS"/>
      <w:color w:val="000000"/>
      <w:spacing w:val="-5"/>
      <w:sz w:val="17"/>
      <w:szCs w:val="20"/>
    </w:rPr>
  </w:style>
  <w:style w:type="paragraph" w:customStyle="1" w:styleId="Insert">
    <w:name w:val="Insert"/>
    <w:basedOn w:val="a1"/>
    <w:autoRedefine/>
    <w:rsid w:val="0089207C"/>
    <w:pPr>
      <w:widowControl w:val="0"/>
      <w:overflowPunct w:val="0"/>
      <w:autoSpaceDE w:val="0"/>
      <w:autoSpaceDN w:val="0"/>
      <w:adjustRightInd w:val="0"/>
      <w:spacing w:line="264" w:lineRule="auto"/>
      <w:ind w:left="397" w:firstLine="425"/>
      <w:jc w:val="left"/>
      <w:textAlignment w:val="baseline"/>
    </w:pPr>
    <w:rPr>
      <w:color w:val="000000"/>
      <w:szCs w:val="20"/>
      <w:lang w:val="en-US"/>
    </w:rPr>
  </w:style>
  <w:style w:type="paragraph" w:customStyle="1" w:styleId="Number2">
    <w:name w:val="Number2"/>
    <w:basedOn w:val="Number1"/>
    <w:rsid w:val="0089207C"/>
    <w:pPr>
      <w:spacing w:line="264" w:lineRule="auto"/>
      <w:ind w:left="426" w:hanging="142"/>
    </w:pPr>
  </w:style>
  <w:style w:type="paragraph" w:customStyle="1" w:styleId="figure">
    <w:name w:val="figure"/>
    <w:basedOn w:val="a1"/>
    <w:rsid w:val="0089207C"/>
    <w:pPr>
      <w:overflowPunct w:val="0"/>
      <w:autoSpaceDE w:val="0"/>
      <w:autoSpaceDN w:val="0"/>
      <w:adjustRightInd w:val="0"/>
      <w:spacing w:before="240" w:after="40" w:line="264" w:lineRule="auto"/>
      <w:ind w:firstLine="425"/>
      <w:jc w:val="left"/>
      <w:textAlignment w:val="baseline"/>
    </w:pPr>
    <w:rPr>
      <w:szCs w:val="20"/>
    </w:rPr>
  </w:style>
  <w:style w:type="paragraph" w:customStyle="1" w:styleId="author-1">
    <w:name w:val="author-1"/>
    <w:basedOn w:val="Author"/>
    <w:rsid w:val="0089207C"/>
    <w:pPr>
      <w:keepNext/>
      <w:keepLines/>
      <w:overflowPunct/>
      <w:spacing w:before="60" w:after="120" w:line="264" w:lineRule="auto"/>
      <w:ind w:firstLine="425"/>
      <w:jc w:val="right"/>
      <w:textAlignment w:val="auto"/>
    </w:pPr>
    <w:rPr>
      <w:b/>
      <w:iCs/>
      <w:noProof/>
      <w:color w:val="000000"/>
      <w:sz w:val="20"/>
      <w:lang w:val="en-US"/>
    </w:rPr>
  </w:style>
  <w:style w:type="paragraph" w:customStyle="1" w:styleId="Insert1">
    <w:name w:val="Insert 1"/>
    <w:basedOn w:val="Insert"/>
    <w:rsid w:val="0089207C"/>
    <w:pPr>
      <w:ind w:left="0"/>
    </w:pPr>
    <w:rPr>
      <w:sz w:val="20"/>
      <w:lang w:val="ru-RU"/>
    </w:rPr>
  </w:style>
  <w:style w:type="paragraph" w:customStyle="1" w:styleId="Bullit-2">
    <w:name w:val="Bullit-2"/>
    <w:basedOn w:val="a1"/>
    <w:rsid w:val="0089207C"/>
    <w:pPr>
      <w:tabs>
        <w:tab w:val="left" w:pos="0"/>
        <w:tab w:val="left" w:pos="1160"/>
      </w:tabs>
      <w:autoSpaceDE w:val="0"/>
      <w:autoSpaceDN w:val="0"/>
      <w:adjustRightInd w:val="0"/>
      <w:spacing w:line="264" w:lineRule="auto"/>
      <w:ind w:left="754" w:hanging="357"/>
      <w:jc w:val="left"/>
    </w:pPr>
    <w:rPr>
      <w:rFonts w:eastAsia="MS Mincho"/>
      <w:color w:val="000000"/>
      <w:szCs w:val="22"/>
      <w:lang w:val="en-US" w:eastAsia="ja-JP"/>
    </w:rPr>
  </w:style>
  <w:style w:type="character" w:customStyle="1" w:styleId="extended-textshort">
    <w:name w:val="extended-text__short"/>
    <w:basedOn w:val="a4"/>
    <w:rsid w:val="0089207C"/>
  </w:style>
  <w:style w:type="paragraph" w:customStyle="1" w:styleId="Normalfirst">
    <w:name w:val="Normalfirst"/>
    <w:basedOn w:val="a1"/>
    <w:rsid w:val="0089207C"/>
    <w:pPr>
      <w:autoSpaceDE w:val="0"/>
      <w:autoSpaceDN w:val="0"/>
      <w:adjustRightInd w:val="0"/>
      <w:spacing w:line="240" w:lineRule="auto"/>
      <w:jc w:val="left"/>
    </w:pPr>
    <w:rPr>
      <w:rFonts w:eastAsia="MS Mincho"/>
      <w:lang w:eastAsia="ja-JP"/>
    </w:rPr>
  </w:style>
  <w:style w:type="paragraph" w:customStyle="1" w:styleId="xl68">
    <w:name w:val="xl68"/>
    <w:basedOn w:val="a1"/>
    <w:rsid w:val="0089207C"/>
    <w:pPr>
      <w:spacing w:before="100" w:beforeAutospacing="1" w:after="100" w:afterAutospacing="1" w:line="240" w:lineRule="auto"/>
      <w:jc w:val="left"/>
    </w:pPr>
  </w:style>
  <w:style w:type="paragraph" w:customStyle="1" w:styleId="xl69">
    <w:name w:val="xl69"/>
    <w:basedOn w:val="a1"/>
    <w:rsid w:val="008920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0"/>
      <w:szCs w:val="20"/>
    </w:rPr>
  </w:style>
  <w:style w:type="paragraph" w:customStyle="1" w:styleId="xl70">
    <w:name w:val="xl70"/>
    <w:basedOn w:val="a1"/>
    <w:rsid w:val="008920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sz w:val="20"/>
      <w:szCs w:val="20"/>
    </w:rPr>
  </w:style>
  <w:style w:type="paragraph" w:customStyle="1" w:styleId="xl71">
    <w:name w:val="xl71"/>
    <w:basedOn w:val="a1"/>
    <w:rsid w:val="008920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sz w:val="20"/>
      <w:szCs w:val="20"/>
    </w:rPr>
  </w:style>
  <w:style w:type="paragraph" w:customStyle="1" w:styleId="xl65">
    <w:name w:val="xl65"/>
    <w:basedOn w:val="a1"/>
    <w:rsid w:val="0089207C"/>
    <w:pPr>
      <w:pBdr>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Arial" w:hAnsi="Arial" w:cs="Arial"/>
      <w:color w:val="000000"/>
      <w:sz w:val="20"/>
      <w:szCs w:val="20"/>
    </w:rPr>
  </w:style>
  <w:style w:type="paragraph" w:customStyle="1" w:styleId="xl66">
    <w:name w:val="xl66"/>
    <w:basedOn w:val="a1"/>
    <w:rsid w:val="0089207C"/>
    <w:pPr>
      <w:pBdr>
        <w:bottom w:val="single" w:sz="8" w:space="0" w:color="auto"/>
        <w:right w:val="single" w:sz="8" w:space="0" w:color="auto"/>
      </w:pBdr>
      <w:spacing w:before="100" w:beforeAutospacing="1" w:after="100" w:afterAutospacing="1" w:line="240" w:lineRule="auto"/>
      <w:jc w:val="left"/>
      <w:textAlignment w:val="center"/>
    </w:pPr>
    <w:rPr>
      <w:rFonts w:ascii="Arial" w:hAnsi="Arial" w:cs="Arial"/>
      <w:color w:val="000000"/>
      <w:sz w:val="20"/>
      <w:szCs w:val="20"/>
    </w:rPr>
  </w:style>
  <w:style w:type="paragraph" w:customStyle="1" w:styleId="xl67">
    <w:name w:val="xl67"/>
    <w:basedOn w:val="a1"/>
    <w:rsid w:val="0089207C"/>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w:hAnsi="Arial" w:cs="Arial"/>
      <w:color w:val="000000"/>
      <w:sz w:val="20"/>
      <w:szCs w:val="20"/>
    </w:rPr>
  </w:style>
  <w:style w:type="paragraph" w:customStyle="1" w:styleId="afffff3">
    <w:basedOn w:val="a1"/>
    <w:next w:val="afd"/>
    <w:uiPriority w:val="99"/>
    <w:unhideWhenUsed/>
    <w:rsid w:val="0089207C"/>
    <w:pPr>
      <w:spacing w:before="100" w:beforeAutospacing="1" w:after="100" w:afterAutospacing="1" w:line="240" w:lineRule="auto"/>
      <w:jc w:val="left"/>
    </w:pPr>
  </w:style>
  <w:style w:type="paragraph" w:customStyle="1" w:styleId="Standard">
    <w:name w:val="Standard"/>
    <w:rsid w:val="0089207C"/>
    <w:pPr>
      <w:suppressAutoHyphens/>
      <w:autoSpaceDN w:val="0"/>
      <w:spacing w:line="264" w:lineRule="auto"/>
      <w:ind w:firstLine="425"/>
      <w:textAlignment w:val="baseline"/>
    </w:pPr>
    <w:rPr>
      <w:rFonts w:ascii="Times New Roman" w:eastAsia="Times New Roman" w:hAnsi="Times New Roman" w:cs="Times New Roman"/>
      <w:kern w:val="3"/>
      <w:sz w:val="24"/>
      <w:szCs w:val="20"/>
      <w:lang w:val="en-GB" w:eastAsia="ru-RU"/>
    </w:rPr>
  </w:style>
  <w:style w:type="character" w:customStyle="1" w:styleId="fontstyle01">
    <w:name w:val="fontstyle01"/>
    <w:rsid w:val="0089207C"/>
    <w:rPr>
      <w:rFonts w:ascii="TimesNewRomanPS-ItalicMT" w:hAnsi="TimesNewRomanPS-ItalicMT" w:hint="default"/>
      <w:b w:val="0"/>
      <w:bCs w:val="0"/>
      <w:i/>
      <w:iCs/>
      <w:color w:val="FFFFFF"/>
      <w:sz w:val="32"/>
      <w:szCs w:val="32"/>
    </w:rPr>
  </w:style>
  <w:style w:type="character" w:customStyle="1" w:styleId="UnresolvedMention">
    <w:name w:val="Unresolved Mention"/>
    <w:uiPriority w:val="99"/>
    <w:semiHidden/>
    <w:unhideWhenUsed/>
    <w:rsid w:val="008920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7915">
      <w:bodyDiv w:val="1"/>
      <w:marLeft w:val="0"/>
      <w:marRight w:val="0"/>
      <w:marTop w:val="0"/>
      <w:marBottom w:val="0"/>
      <w:divBdr>
        <w:top w:val="none" w:sz="0" w:space="0" w:color="auto"/>
        <w:left w:val="none" w:sz="0" w:space="0" w:color="auto"/>
        <w:bottom w:val="none" w:sz="0" w:space="0" w:color="auto"/>
        <w:right w:val="none" w:sz="0" w:space="0" w:color="auto"/>
      </w:divBdr>
    </w:div>
    <w:div w:id="12608737">
      <w:bodyDiv w:val="1"/>
      <w:marLeft w:val="0"/>
      <w:marRight w:val="0"/>
      <w:marTop w:val="0"/>
      <w:marBottom w:val="0"/>
      <w:divBdr>
        <w:top w:val="none" w:sz="0" w:space="0" w:color="auto"/>
        <w:left w:val="none" w:sz="0" w:space="0" w:color="auto"/>
        <w:bottom w:val="none" w:sz="0" w:space="0" w:color="auto"/>
        <w:right w:val="none" w:sz="0" w:space="0" w:color="auto"/>
      </w:divBdr>
    </w:div>
    <w:div w:id="34082226">
      <w:bodyDiv w:val="1"/>
      <w:marLeft w:val="0"/>
      <w:marRight w:val="0"/>
      <w:marTop w:val="0"/>
      <w:marBottom w:val="0"/>
      <w:divBdr>
        <w:top w:val="none" w:sz="0" w:space="0" w:color="auto"/>
        <w:left w:val="none" w:sz="0" w:space="0" w:color="auto"/>
        <w:bottom w:val="none" w:sz="0" w:space="0" w:color="auto"/>
        <w:right w:val="none" w:sz="0" w:space="0" w:color="auto"/>
      </w:divBdr>
    </w:div>
    <w:div w:id="42482027">
      <w:bodyDiv w:val="1"/>
      <w:marLeft w:val="0"/>
      <w:marRight w:val="0"/>
      <w:marTop w:val="0"/>
      <w:marBottom w:val="0"/>
      <w:divBdr>
        <w:top w:val="none" w:sz="0" w:space="0" w:color="auto"/>
        <w:left w:val="none" w:sz="0" w:space="0" w:color="auto"/>
        <w:bottom w:val="none" w:sz="0" w:space="0" w:color="auto"/>
        <w:right w:val="none" w:sz="0" w:space="0" w:color="auto"/>
      </w:divBdr>
    </w:div>
    <w:div w:id="49771666">
      <w:bodyDiv w:val="1"/>
      <w:marLeft w:val="0"/>
      <w:marRight w:val="0"/>
      <w:marTop w:val="0"/>
      <w:marBottom w:val="0"/>
      <w:divBdr>
        <w:top w:val="none" w:sz="0" w:space="0" w:color="auto"/>
        <w:left w:val="none" w:sz="0" w:space="0" w:color="auto"/>
        <w:bottom w:val="none" w:sz="0" w:space="0" w:color="auto"/>
        <w:right w:val="none" w:sz="0" w:space="0" w:color="auto"/>
      </w:divBdr>
    </w:div>
    <w:div w:id="78521815">
      <w:bodyDiv w:val="1"/>
      <w:marLeft w:val="0"/>
      <w:marRight w:val="0"/>
      <w:marTop w:val="0"/>
      <w:marBottom w:val="0"/>
      <w:divBdr>
        <w:top w:val="none" w:sz="0" w:space="0" w:color="auto"/>
        <w:left w:val="none" w:sz="0" w:space="0" w:color="auto"/>
        <w:bottom w:val="none" w:sz="0" w:space="0" w:color="auto"/>
        <w:right w:val="none" w:sz="0" w:space="0" w:color="auto"/>
      </w:divBdr>
    </w:div>
    <w:div w:id="105782722">
      <w:bodyDiv w:val="1"/>
      <w:marLeft w:val="0"/>
      <w:marRight w:val="0"/>
      <w:marTop w:val="0"/>
      <w:marBottom w:val="0"/>
      <w:divBdr>
        <w:top w:val="none" w:sz="0" w:space="0" w:color="auto"/>
        <w:left w:val="none" w:sz="0" w:space="0" w:color="auto"/>
        <w:bottom w:val="none" w:sz="0" w:space="0" w:color="auto"/>
        <w:right w:val="none" w:sz="0" w:space="0" w:color="auto"/>
      </w:divBdr>
    </w:div>
    <w:div w:id="129131041">
      <w:bodyDiv w:val="1"/>
      <w:marLeft w:val="0"/>
      <w:marRight w:val="0"/>
      <w:marTop w:val="0"/>
      <w:marBottom w:val="0"/>
      <w:divBdr>
        <w:top w:val="none" w:sz="0" w:space="0" w:color="auto"/>
        <w:left w:val="none" w:sz="0" w:space="0" w:color="auto"/>
        <w:bottom w:val="none" w:sz="0" w:space="0" w:color="auto"/>
        <w:right w:val="none" w:sz="0" w:space="0" w:color="auto"/>
      </w:divBdr>
    </w:div>
    <w:div w:id="133647194">
      <w:bodyDiv w:val="1"/>
      <w:marLeft w:val="0"/>
      <w:marRight w:val="0"/>
      <w:marTop w:val="0"/>
      <w:marBottom w:val="0"/>
      <w:divBdr>
        <w:top w:val="none" w:sz="0" w:space="0" w:color="auto"/>
        <w:left w:val="none" w:sz="0" w:space="0" w:color="auto"/>
        <w:bottom w:val="none" w:sz="0" w:space="0" w:color="auto"/>
        <w:right w:val="none" w:sz="0" w:space="0" w:color="auto"/>
      </w:divBdr>
    </w:div>
    <w:div w:id="134757537">
      <w:bodyDiv w:val="1"/>
      <w:marLeft w:val="0"/>
      <w:marRight w:val="0"/>
      <w:marTop w:val="0"/>
      <w:marBottom w:val="0"/>
      <w:divBdr>
        <w:top w:val="none" w:sz="0" w:space="0" w:color="auto"/>
        <w:left w:val="none" w:sz="0" w:space="0" w:color="auto"/>
        <w:bottom w:val="none" w:sz="0" w:space="0" w:color="auto"/>
        <w:right w:val="none" w:sz="0" w:space="0" w:color="auto"/>
      </w:divBdr>
    </w:div>
    <w:div w:id="225116363">
      <w:bodyDiv w:val="1"/>
      <w:marLeft w:val="0"/>
      <w:marRight w:val="0"/>
      <w:marTop w:val="0"/>
      <w:marBottom w:val="0"/>
      <w:divBdr>
        <w:top w:val="none" w:sz="0" w:space="0" w:color="auto"/>
        <w:left w:val="none" w:sz="0" w:space="0" w:color="auto"/>
        <w:bottom w:val="none" w:sz="0" w:space="0" w:color="auto"/>
        <w:right w:val="none" w:sz="0" w:space="0" w:color="auto"/>
      </w:divBdr>
    </w:div>
    <w:div w:id="265238084">
      <w:bodyDiv w:val="1"/>
      <w:marLeft w:val="0"/>
      <w:marRight w:val="0"/>
      <w:marTop w:val="0"/>
      <w:marBottom w:val="0"/>
      <w:divBdr>
        <w:top w:val="none" w:sz="0" w:space="0" w:color="auto"/>
        <w:left w:val="none" w:sz="0" w:space="0" w:color="auto"/>
        <w:bottom w:val="none" w:sz="0" w:space="0" w:color="auto"/>
        <w:right w:val="none" w:sz="0" w:space="0" w:color="auto"/>
      </w:divBdr>
    </w:div>
    <w:div w:id="266810958">
      <w:bodyDiv w:val="1"/>
      <w:marLeft w:val="0"/>
      <w:marRight w:val="0"/>
      <w:marTop w:val="0"/>
      <w:marBottom w:val="0"/>
      <w:divBdr>
        <w:top w:val="none" w:sz="0" w:space="0" w:color="auto"/>
        <w:left w:val="none" w:sz="0" w:space="0" w:color="auto"/>
        <w:bottom w:val="none" w:sz="0" w:space="0" w:color="auto"/>
        <w:right w:val="none" w:sz="0" w:space="0" w:color="auto"/>
      </w:divBdr>
    </w:div>
    <w:div w:id="286276941">
      <w:bodyDiv w:val="1"/>
      <w:marLeft w:val="0"/>
      <w:marRight w:val="0"/>
      <w:marTop w:val="0"/>
      <w:marBottom w:val="0"/>
      <w:divBdr>
        <w:top w:val="none" w:sz="0" w:space="0" w:color="auto"/>
        <w:left w:val="none" w:sz="0" w:space="0" w:color="auto"/>
        <w:bottom w:val="none" w:sz="0" w:space="0" w:color="auto"/>
        <w:right w:val="none" w:sz="0" w:space="0" w:color="auto"/>
      </w:divBdr>
    </w:div>
    <w:div w:id="320155829">
      <w:bodyDiv w:val="1"/>
      <w:marLeft w:val="0"/>
      <w:marRight w:val="0"/>
      <w:marTop w:val="0"/>
      <w:marBottom w:val="0"/>
      <w:divBdr>
        <w:top w:val="none" w:sz="0" w:space="0" w:color="auto"/>
        <w:left w:val="none" w:sz="0" w:space="0" w:color="auto"/>
        <w:bottom w:val="none" w:sz="0" w:space="0" w:color="auto"/>
        <w:right w:val="none" w:sz="0" w:space="0" w:color="auto"/>
      </w:divBdr>
    </w:div>
    <w:div w:id="323972881">
      <w:bodyDiv w:val="1"/>
      <w:marLeft w:val="0"/>
      <w:marRight w:val="0"/>
      <w:marTop w:val="0"/>
      <w:marBottom w:val="0"/>
      <w:divBdr>
        <w:top w:val="none" w:sz="0" w:space="0" w:color="auto"/>
        <w:left w:val="none" w:sz="0" w:space="0" w:color="auto"/>
        <w:bottom w:val="none" w:sz="0" w:space="0" w:color="auto"/>
        <w:right w:val="none" w:sz="0" w:space="0" w:color="auto"/>
      </w:divBdr>
    </w:div>
    <w:div w:id="361856538">
      <w:bodyDiv w:val="1"/>
      <w:marLeft w:val="0"/>
      <w:marRight w:val="0"/>
      <w:marTop w:val="0"/>
      <w:marBottom w:val="0"/>
      <w:divBdr>
        <w:top w:val="none" w:sz="0" w:space="0" w:color="auto"/>
        <w:left w:val="none" w:sz="0" w:space="0" w:color="auto"/>
        <w:bottom w:val="none" w:sz="0" w:space="0" w:color="auto"/>
        <w:right w:val="none" w:sz="0" w:space="0" w:color="auto"/>
      </w:divBdr>
    </w:div>
    <w:div w:id="370232997">
      <w:bodyDiv w:val="1"/>
      <w:marLeft w:val="0"/>
      <w:marRight w:val="0"/>
      <w:marTop w:val="0"/>
      <w:marBottom w:val="0"/>
      <w:divBdr>
        <w:top w:val="none" w:sz="0" w:space="0" w:color="auto"/>
        <w:left w:val="none" w:sz="0" w:space="0" w:color="auto"/>
        <w:bottom w:val="none" w:sz="0" w:space="0" w:color="auto"/>
        <w:right w:val="none" w:sz="0" w:space="0" w:color="auto"/>
      </w:divBdr>
    </w:div>
    <w:div w:id="371927521">
      <w:bodyDiv w:val="1"/>
      <w:marLeft w:val="0"/>
      <w:marRight w:val="0"/>
      <w:marTop w:val="0"/>
      <w:marBottom w:val="0"/>
      <w:divBdr>
        <w:top w:val="none" w:sz="0" w:space="0" w:color="auto"/>
        <w:left w:val="none" w:sz="0" w:space="0" w:color="auto"/>
        <w:bottom w:val="none" w:sz="0" w:space="0" w:color="auto"/>
        <w:right w:val="none" w:sz="0" w:space="0" w:color="auto"/>
      </w:divBdr>
    </w:div>
    <w:div w:id="402873853">
      <w:bodyDiv w:val="1"/>
      <w:marLeft w:val="0"/>
      <w:marRight w:val="0"/>
      <w:marTop w:val="0"/>
      <w:marBottom w:val="0"/>
      <w:divBdr>
        <w:top w:val="none" w:sz="0" w:space="0" w:color="auto"/>
        <w:left w:val="none" w:sz="0" w:space="0" w:color="auto"/>
        <w:bottom w:val="none" w:sz="0" w:space="0" w:color="auto"/>
        <w:right w:val="none" w:sz="0" w:space="0" w:color="auto"/>
      </w:divBdr>
    </w:div>
    <w:div w:id="576134796">
      <w:bodyDiv w:val="1"/>
      <w:marLeft w:val="0"/>
      <w:marRight w:val="0"/>
      <w:marTop w:val="0"/>
      <w:marBottom w:val="0"/>
      <w:divBdr>
        <w:top w:val="none" w:sz="0" w:space="0" w:color="auto"/>
        <w:left w:val="none" w:sz="0" w:space="0" w:color="auto"/>
        <w:bottom w:val="none" w:sz="0" w:space="0" w:color="auto"/>
        <w:right w:val="none" w:sz="0" w:space="0" w:color="auto"/>
      </w:divBdr>
    </w:div>
    <w:div w:id="591548568">
      <w:bodyDiv w:val="1"/>
      <w:marLeft w:val="0"/>
      <w:marRight w:val="0"/>
      <w:marTop w:val="0"/>
      <w:marBottom w:val="0"/>
      <w:divBdr>
        <w:top w:val="none" w:sz="0" w:space="0" w:color="auto"/>
        <w:left w:val="none" w:sz="0" w:space="0" w:color="auto"/>
        <w:bottom w:val="none" w:sz="0" w:space="0" w:color="auto"/>
        <w:right w:val="none" w:sz="0" w:space="0" w:color="auto"/>
      </w:divBdr>
    </w:div>
    <w:div w:id="591862432">
      <w:bodyDiv w:val="1"/>
      <w:marLeft w:val="0"/>
      <w:marRight w:val="0"/>
      <w:marTop w:val="0"/>
      <w:marBottom w:val="0"/>
      <w:divBdr>
        <w:top w:val="none" w:sz="0" w:space="0" w:color="auto"/>
        <w:left w:val="none" w:sz="0" w:space="0" w:color="auto"/>
        <w:bottom w:val="none" w:sz="0" w:space="0" w:color="auto"/>
        <w:right w:val="none" w:sz="0" w:space="0" w:color="auto"/>
      </w:divBdr>
    </w:div>
    <w:div w:id="701857167">
      <w:bodyDiv w:val="1"/>
      <w:marLeft w:val="0"/>
      <w:marRight w:val="0"/>
      <w:marTop w:val="0"/>
      <w:marBottom w:val="0"/>
      <w:divBdr>
        <w:top w:val="none" w:sz="0" w:space="0" w:color="auto"/>
        <w:left w:val="none" w:sz="0" w:space="0" w:color="auto"/>
        <w:bottom w:val="none" w:sz="0" w:space="0" w:color="auto"/>
        <w:right w:val="none" w:sz="0" w:space="0" w:color="auto"/>
      </w:divBdr>
      <w:divsChild>
        <w:div w:id="761877380">
          <w:marLeft w:val="240"/>
          <w:marRight w:val="0"/>
          <w:marTop w:val="60"/>
          <w:marBottom w:val="0"/>
          <w:divBdr>
            <w:top w:val="none" w:sz="0" w:space="0" w:color="auto"/>
            <w:left w:val="none" w:sz="0" w:space="0" w:color="auto"/>
            <w:bottom w:val="none" w:sz="0" w:space="0" w:color="auto"/>
            <w:right w:val="none" w:sz="0" w:space="0" w:color="auto"/>
          </w:divBdr>
        </w:div>
        <w:div w:id="392780507">
          <w:marLeft w:val="240"/>
          <w:marRight w:val="0"/>
          <w:marTop w:val="60"/>
          <w:marBottom w:val="0"/>
          <w:divBdr>
            <w:top w:val="none" w:sz="0" w:space="0" w:color="auto"/>
            <w:left w:val="none" w:sz="0" w:space="0" w:color="auto"/>
            <w:bottom w:val="none" w:sz="0" w:space="0" w:color="auto"/>
            <w:right w:val="none" w:sz="0" w:space="0" w:color="auto"/>
          </w:divBdr>
        </w:div>
      </w:divsChild>
    </w:div>
    <w:div w:id="750543080">
      <w:bodyDiv w:val="1"/>
      <w:marLeft w:val="0"/>
      <w:marRight w:val="0"/>
      <w:marTop w:val="0"/>
      <w:marBottom w:val="0"/>
      <w:divBdr>
        <w:top w:val="none" w:sz="0" w:space="0" w:color="auto"/>
        <w:left w:val="none" w:sz="0" w:space="0" w:color="auto"/>
        <w:bottom w:val="none" w:sz="0" w:space="0" w:color="auto"/>
        <w:right w:val="none" w:sz="0" w:space="0" w:color="auto"/>
      </w:divBdr>
    </w:div>
    <w:div w:id="816385406">
      <w:bodyDiv w:val="1"/>
      <w:marLeft w:val="0"/>
      <w:marRight w:val="0"/>
      <w:marTop w:val="0"/>
      <w:marBottom w:val="0"/>
      <w:divBdr>
        <w:top w:val="none" w:sz="0" w:space="0" w:color="auto"/>
        <w:left w:val="none" w:sz="0" w:space="0" w:color="auto"/>
        <w:bottom w:val="none" w:sz="0" w:space="0" w:color="auto"/>
        <w:right w:val="none" w:sz="0" w:space="0" w:color="auto"/>
      </w:divBdr>
    </w:div>
    <w:div w:id="831608673">
      <w:bodyDiv w:val="1"/>
      <w:marLeft w:val="0"/>
      <w:marRight w:val="0"/>
      <w:marTop w:val="0"/>
      <w:marBottom w:val="0"/>
      <w:divBdr>
        <w:top w:val="none" w:sz="0" w:space="0" w:color="auto"/>
        <w:left w:val="none" w:sz="0" w:space="0" w:color="auto"/>
        <w:bottom w:val="none" w:sz="0" w:space="0" w:color="auto"/>
        <w:right w:val="none" w:sz="0" w:space="0" w:color="auto"/>
      </w:divBdr>
    </w:div>
    <w:div w:id="874585724">
      <w:bodyDiv w:val="1"/>
      <w:marLeft w:val="0"/>
      <w:marRight w:val="0"/>
      <w:marTop w:val="0"/>
      <w:marBottom w:val="0"/>
      <w:divBdr>
        <w:top w:val="none" w:sz="0" w:space="0" w:color="auto"/>
        <w:left w:val="none" w:sz="0" w:space="0" w:color="auto"/>
        <w:bottom w:val="none" w:sz="0" w:space="0" w:color="auto"/>
        <w:right w:val="none" w:sz="0" w:space="0" w:color="auto"/>
      </w:divBdr>
    </w:div>
    <w:div w:id="897278808">
      <w:bodyDiv w:val="1"/>
      <w:marLeft w:val="0"/>
      <w:marRight w:val="0"/>
      <w:marTop w:val="0"/>
      <w:marBottom w:val="0"/>
      <w:divBdr>
        <w:top w:val="none" w:sz="0" w:space="0" w:color="auto"/>
        <w:left w:val="none" w:sz="0" w:space="0" w:color="auto"/>
        <w:bottom w:val="none" w:sz="0" w:space="0" w:color="auto"/>
        <w:right w:val="none" w:sz="0" w:space="0" w:color="auto"/>
      </w:divBdr>
    </w:div>
    <w:div w:id="904753761">
      <w:bodyDiv w:val="1"/>
      <w:marLeft w:val="0"/>
      <w:marRight w:val="0"/>
      <w:marTop w:val="0"/>
      <w:marBottom w:val="0"/>
      <w:divBdr>
        <w:top w:val="none" w:sz="0" w:space="0" w:color="auto"/>
        <w:left w:val="none" w:sz="0" w:space="0" w:color="auto"/>
        <w:bottom w:val="none" w:sz="0" w:space="0" w:color="auto"/>
        <w:right w:val="none" w:sz="0" w:space="0" w:color="auto"/>
      </w:divBdr>
    </w:div>
    <w:div w:id="945381997">
      <w:bodyDiv w:val="1"/>
      <w:marLeft w:val="0"/>
      <w:marRight w:val="0"/>
      <w:marTop w:val="0"/>
      <w:marBottom w:val="0"/>
      <w:divBdr>
        <w:top w:val="none" w:sz="0" w:space="0" w:color="auto"/>
        <w:left w:val="none" w:sz="0" w:space="0" w:color="auto"/>
        <w:bottom w:val="none" w:sz="0" w:space="0" w:color="auto"/>
        <w:right w:val="none" w:sz="0" w:space="0" w:color="auto"/>
      </w:divBdr>
    </w:div>
    <w:div w:id="971135122">
      <w:bodyDiv w:val="1"/>
      <w:marLeft w:val="0"/>
      <w:marRight w:val="0"/>
      <w:marTop w:val="0"/>
      <w:marBottom w:val="0"/>
      <w:divBdr>
        <w:top w:val="none" w:sz="0" w:space="0" w:color="auto"/>
        <w:left w:val="none" w:sz="0" w:space="0" w:color="auto"/>
        <w:bottom w:val="none" w:sz="0" w:space="0" w:color="auto"/>
        <w:right w:val="none" w:sz="0" w:space="0" w:color="auto"/>
      </w:divBdr>
    </w:div>
    <w:div w:id="989602893">
      <w:bodyDiv w:val="1"/>
      <w:marLeft w:val="0"/>
      <w:marRight w:val="0"/>
      <w:marTop w:val="0"/>
      <w:marBottom w:val="0"/>
      <w:divBdr>
        <w:top w:val="none" w:sz="0" w:space="0" w:color="auto"/>
        <w:left w:val="none" w:sz="0" w:space="0" w:color="auto"/>
        <w:bottom w:val="none" w:sz="0" w:space="0" w:color="auto"/>
        <w:right w:val="none" w:sz="0" w:space="0" w:color="auto"/>
      </w:divBdr>
    </w:div>
    <w:div w:id="997004063">
      <w:bodyDiv w:val="1"/>
      <w:marLeft w:val="0"/>
      <w:marRight w:val="0"/>
      <w:marTop w:val="0"/>
      <w:marBottom w:val="0"/>
      <w:divBdr>
        <w:top w:val="none" w:sz="0" w:space="0" w:color="auto"/>
        <w:left w:val="none" w:sz="0" w:space="0" w:color="auto"/>
        <w:bottom w:val="none" w:sz="0" w:space="0" w:color="auto"/>
        <w:right w:val="none" w:sz="0" w:space="0" w:color="auto"/>
      </w:divBdr>
    </w:div>
    <w:div w:id="1029450706">
      <w:bodyDiv w:val="1"/>
      <w:marLeft w:val="0"/>
      <w:marRight w:val="0"/>
      <w:marTop w:val="0"/>
      <w:marBottom w:val="0"/>
      <w:divBdr>
        <w:top w:val="none" w:sz="0" w:space="0" w:color="auto"/>
        <w:left w:val="none" w:sz="0" w:space="0" w:color="auto"/>
        <w:bottom w:val="none" w:sz="0" w:space="0" w:color="auto"/>
        <w:right w:val="none" w:sz="0" w:space="0" w:color="auto"/>
      </w:divBdr>
    </w:div>
    <w:div w:id="1032193553">
      <w:bodyDiv w:val="1"/>
      <w:marLeft w:val="0"/>
      <w:marRight w:val="0"/>
      <w:marTop w:val="0"/>
      <w:marBottom w:val="0"/>
      <w:divBdr>
        <w:top w:val="none" w:sz="0" w:space="0" w:color="auto"/>
        <w:left w:val="none" w:sz="0" w:space="0" w:color="auto"/>
        <w:bottom w:val="none" w:sz="0" w:space="0" w:color="auto"/>
        <w:right w:val="none" w:sz="0" w:space="0" w:color="auto"/>
      </w:divBdr>
    </w:div>
    <w:div w:id="1040938942">
      <w:bodyDiv w:val="1"/>
      <w:marLeft w:val="0"/>
      <w:marRight w:val="0"/>
      <w:marTop w:val="0"/>
      <w:marBottom w:val="0"/>
      <w:divBdr>
        <w:top w:val="none" w:sz="0" w:space="0" w:color="auto"/>
        <w:left w:val="none" w:sz="0" w:space="0" w:color="auto"/>
        <w:bottom w:val="none" w:sz="0" w:space="0" w:color="auto"/>
        <w:right w:val="none" w:sz="0" w:space="0" w:color="auto"/>
      </w:divBdr>
    </w:div>
    <w:div w:id="1050304772">
      <w:bodyDiv w:val="1"/>
      <w:marLeft w:val="0"/>
      <w:marRight w:val="0"/>
      <w:marTop w:val="0"/>
      <w:marBottom w:val="0"/>
      <w:divBdr>
        <w:top w:val="none" w:sz="0" w:space="0" w:color="auto"/>
        <w:left w:val="none" w:sz="0" w:space="0" w:color="auto"/>
        <w:bottom w:val="none" w:sz="0" w:space="0" w:color="auto"/>
        <w:right w:val="none" w:sz="0" w:space="0" w:color="auto"/>
      </w:divBdr>
    </w:div>
    <w:div w:id="1092124345">
      <w:bodyDiv w:val="1"/>
      <w:marLeft w:val="0"/>
      <w:marRight w:val="0"/>
      <w:marTop w:val="0"/>
      <w:marBottom w:val="0"/>
      <w:divBdr>
        <w:top w:val="none" w:sz="0" w:space="0" w:color="auto"/>
        <w:left w:val="none" w:sz="0" w:space="0" w:color="auto"/>
        <w:bottom w:val="none" w:sz="0" w:space="0" w:color="auto"/>
        <w:right w:val="none" w:sz="0" w:space="0" w:color="auto"/>
      </w:divBdr>
    </w:div>
    <w:div w:id="1155073778">
      <w:bodyDiv w:val="1"/>
      <w:marLeft w:val="0"/>
      <w:marRight w:val="0"/>
      <w:marTop w:val="0"/>
      <w:marBottom w:val="0"/>
      <w:divBdr>
        <w:top w:val="none" w:sz="0" w:space="0" w:color="auto"/>
        <w:left w:val="none" w:sz="0" w:space="0" w:color="auto"/>
        <w:bottom w:val="none" w:sz="0" w:space="0" w:color="auto"/>
        <w:right w:val="none" w:sz="0" w:space="0" w:color="auto"/>
      </w:divBdr>
    </w:div>
    <w:div w:id="1219434925">
      <w:bodyDiv w:val="1"/>
      <w:marLeft w:val="0"/>
      <w:marRight w:val="0"/>
      <w:marTop w:val="0"/>
      <w:marBottom w:val="0"/>
      <w:divBdr>
        <w:top w:val="none" w:sz="0" w:space="0" w:color="auto"/>
        <w:left w:val="none" w:sz="0" w:space="0" w:color="auto"/>
        <w:bottom w:val="none" w:sz="0" w:space="0" w:color="auto"/>
        <w:right w:val="none" w:sz="0" w:space="0" w:color="auto"/>
      </w:divBdr>
    </w:div>
    <w:div w:id="1243374241">
      <w:bodyDiv w:val="1"/>
      <w:marLeft w:val="0"/>
      <w:marRight w:val="0"/>
      <w:marTop w:val="0"/>
      <w:marBottom w:val="0"/>
      <w:divBdr>
        <w:top w:val="none" w:sz="0" w:space="0" w:color="auto"/>
        <w:left w:val="none" w:sz="0" w:space="0" w:color="auto"/>
        <w:bottom w:val="none" w:sz="0" w:space="0" w:color="auto"/>
        <w:right w:val="none" w:sz="0" w:space="0" w:color="auto"/>
      </w:divBdr>
    </w:div>
    <w:div w:id="1260796605">
      <w:bodyDiv w:val="1"/>
      <w:marLeft w:val="0"/>
      <w:marRight w:val="0"/>
      <w:marTop w:val="0"/>
      <w:marBottom w:val="0"/>
      <w:divBdr>
        <w:top w:val="none" w:sz="0" w:space="0" w:color="auto"/>
        <w:left w:val="none" w:sz="0" w:space="0" w:color="auto"/>
        <w:bottom w:val="none" w:sz="0" w:space="0" w:color="auto"/>
        <w:right w:val="none" w:sz="0" w:space="0" w:color="auto"/>
      </w:divBdr>
    </w:div>
    <w:div w:id="1325891271">
      <w:bodyDiv w:val="1"/>
      <w:marLeft w:val="0"/>
      <w:marRight w:val="0"/>
      <w:marTop w:val="0"/>
      <w:marBottom w:val="0"/>
      <w:divBdr>
        <w:top w:val="none" w:sz="0" w:space="0" w:color="auto"/>
        <w:left w:val="none" w:sz="0" w:space="0" w:color="auto"/>
        <w:bottom w:val="none" w:sz="0" w:space="0" w:color="auto"/>
        <w:right w:val="none" w:sz="0" w:space="0" w:color="auto"/>
      </w:divBdr>
    </w:div>
    <w:div w:id="1333020968">
      <w:bodyDiv w:val="1"/>
      <w:marLeft w:val="0"/>
      <w:marRight w:val="0"/>
      <w:marTop w:val="0"/>
      <w:marBottom w:val="0"/>
      <w:divBdr>
        <w:top w:val="none" w:sz="0" w:space="0" w:color="auto"/>
        <w:left w:val="none" w:sz="0" w:space="0" w:color="auto"/>
        <w:bottom w:val="none" w:sz="0" w:space="0" w:color="auto"/>
        <w:right w:val="none" w:sz="0" w:space="0" w:color="auto"/>
      </w:divBdr>
    </w:div>
    <w:div w:id="1379161233">
      <w:bodyDiv w:val="1"/>
      <w:marLeft w:val="0"/>
      <w:marRight w:val="0"/>
      <w:marTop w:val="0"/>
      <w:marBottom w:val="0"/>
      <w:divBdr>
        <w:top w:val="none" w:sz="0" w:space="0" w:color="auto"/>
        <w:left w:val="none" w:sz="0" w:space="0" w:color="auto"/>
        <w:bottom w:val="none" w:sz="0" w:space="0" w:color="auto"/>
        <w:right w:val="none" w:sz="0" w:space="0" w:color="auto"/>
      </w:divBdr>
    </w:div>
    <w:div w:id="1483958660">
      <w:bodyDiv w:val="1"/>
      <w:marLeft w:val="0"/>
      <w:marRight w:val="0"/>
      <w:marTop w:val="0"/>
      <w:marBottom w:val="0"/>
      <w:divBdr>
        <w:top w:val="none" w:sz="0" w:space="0" w:color="auto"/>
        <w:left w:val="none" w:sz="0" w:space="0" w:color="auto"/>
        <w:bottom w:val="none" w:sz="0" w:space="0" w:color="auto"/>
        <w:right w:val="none" w:sz="0" w:space="0" w:color="auto"/>
      </w:divBdr>
    </w:div>
    <w:div w:id="1485198990">
      <w:bodyDiv w:val="1"/>
      <w:marLeft w:val="0"/>
      <w:marRight w:val="0"/>
      <w:marTop w:val="0"/>
      <w:marBottom w:val="0"/>
      <w:divBdr>
        <w:top w:val="none" w:sz="0" w:space="0" w:color="auto"/>
        <w:left w:val="none" w:sz="0" w:space="0" w:color="auto"/>
        <w:bottom w:val="none" w:sz="0" w:space="0" w:color="auto"/>
        <w:right w:val="none" w:sz="0" w:space="0" w:color="auto"/>
      </w:divBdr>
    </w:div>
    <w:div w:id="1496992077">
      <w:bodyDiv w:val="1"/>
      <w:marLeft w:val="0"/>
      <w:marRight w:val="0"/>
      <w:marTop w:val="0"/>
      <w:marBottom w:val="0"/>
      <w:divBdr>
        <w:top w:val="none" w:sz="0" w:space="0" w:color="auto"/>
        <w:left w:val="none" w:sz="0" w:space="0" w:color="auto"/>
        <w:bottom w:val="none" w:sz="0" w:space="0" w:color="auto"/>
        <w:right w:val="none" w:sz="0" w:space="0" w:color="auto"/>
      </w:divBdr>
    </w:div>
    <w:div w:id="1551838190">
      <w:bodyDiv w:val="1"/>
      <w:marLeft w:val="0"/>
      <w:marRight w:val="0"/>
      <w:marTop w:val="0"/>
      <w:marBottom w:val="0"/>
      <w:divBdr>
        <w:top w:val="none" w:sz="0" w:space="0" w:color="auto"/>
        <w:left w:val="none" w:sz="0" w:space="0" w:color="auto"/>
        <w:bottom w:val="none" w:sz="0" w:space="0" w:color="auto"/>
        <w:right w:val="none" w:sz="0" w:space="0" w:color="auto"/>
      </w:divBdr>
    </w:div>
    <w:div w:id="1560432205">
      <w:bodyDiv w:val="1"/>
      <w:marLeft w:val="0"/>
      <w:marRight w:val="0"/>
      <w:marTop w:val="0"/>
      <w:marBottom w:val="0"/>
      <w:divBdr>
        <w:top w:val="none" w:sz="0" w:space="0" w:color="auto"/>
        <w:left w:val="none" w:sz="0" w:space="0" w:color="auto"/>
        <w:bottom w:val="none" w:sz="0" w:space="0" w:color="auto"/>
        <w:right w:val="none" w:sz="0" w:space="0" w:color="auto"/>
      </w:divBdr>
    </w:div>
    <w:div w:id="1582063603">
      <w:bodyDiv w:val="1"/>
      <w:marLeft w:val="0"/>
      <w:marRight w:val="0"/>
      <w:marTop w:val="0"/>
      <w:marBottom w:val="0"/>
      <w:divBdr>
        <w:top w:val="none" w:sz="0" w:space="0" w:color="auto"/>
        <w:left w:val="none" w:sz="0" w:space="0" w:color="auto"/>
        <w:bottom w:val="none" w:sz="0" w:space="0" w:color="auto"/>
        <w:right w:val="none" w:sz="0" w:space="0" w:color="auto"/>
      </w:divBdr>
    </w:div>
    <w:div w:id="1626155923">
      <w:bodyDiv w:val="1"/>
      <w:marLeft w:val="0"/>
      <w:marRight w:val="0"/>
      <w:marTop w:val="0"/>
      <w:marBottom w:val="0"/>
      <w:divBdr>
        <w:top w:val="none" w:sz="0" w:space="0" w:color="auto"/>
        <w:left w:val="none" w:sz="0" w:space="0" w:color="auto"/>
        <w:bottom w:val="none" w:sz="0" w:space="0" w:color="auto"/>
        <w:right w:val="none" w:sz="0" w:space="0" w:color="auto"/>
      </w:divBdr>
    </w:div>
    <w:div w:id="1647053396">
      <w:bodyDiv w:val="1"/>
      <w:marLeft w:val="0"/>
      <w:marRight w:val="0"/>
      <w:marTop w:val="0"/>
      <w:marBottom w:val="0"/>
      <w:divBdr>
        <w:top w:val="none" w:sz="0" w:space="0" w:color="auto"/>
        <w:left w:val="none" w:sz="0" w:space="0" w:color="auto"/>
        <w:bottom w:val="none" w:sz="0" w:space="0" w:color="auto"/>
        <w:right w:val="none" w:sz="0" w:space="0" w:color="auto"/>
      </w:divBdr>
      <w:divsChild>
        <w:div w:id="764688137">
          <w:marLeft w:val="0"/>
          <w:marRight w:val="0"/>
          <w:marTop w:val="0"/>
          <w:marBottom w:val="0"/>
          <w:divBdr>
            <w:top w:val="none" w:sz="0" w:space="0" w:color="auto"/>
            <w:left w:val="none" w:sz="0" w:space="0" w:color="auto"/>
            <w:bottom w:val="none" w:sz="0" w:space="0" w:color="auto"/>
            <w:right w:val="none" w:sz="0" w:space="0" w:color="auto"/>
          </w:divBdr>
        </w:div>
      </w:divsChild>
    </w:div>
    <w:div w:id="1653948401">
      <w:bodyDiv w:val="1"/>
      <w:marLeft w:val="0"/>
      <w:marRight w:val="0"/>
      <w:marTop w:val="0"/>
      <w:marBottom w:val="0"/>
      <w:divBdr>
        <w:top w:val="none" w:sz="0" w:space="0" w:color="auto"/>
        <w:left w:val="none" w:sz="0" w:space="0" w:color="auto"/>
        <w:bottom w:val="none" w:sz="0" w:space="0" w:color="auto"/>
        <w:right w:val="none" w:sz="0" w:space="0" w:color="auto"/>
      </w:divBdr>
    </w:div>
    <w:div w:id="1717243123">
      <w:bodyDiv w:val="1"/>
      <w:marLeft w:val="0"/>
      <w:marRight w:val="0"/>
      <w:marTop w:val="0"/>
      <w:marBottom w:val="0"/>
      <w:divBdr>
        <w:top w:val="none" w:sz="0" w:space="0" w:color="auto"/>
        <w:left w:val="none" w:sz="0" w:space="0" w:color="auto"/>
        <w:bottom w:val="none" w:sz="0" w:space="0" w:color="auto"/>
        <w:right w:val="none" w:sz="0" w:space="0" w:color="auto"/>
      </w:divBdr>
    </w:div>
    <w:div w:id="1717661548">
      <w:bodyDiv w:val="1"/>
      <w:marLeft w:val="0"/>
      <w:marRight w:val="0"/>
      <w:marTop w:val="0"/>
      <w:marBottom w:val="0"/>
      <w:divBdr>
        <w:top w:val="none" w:sz="0" w:space="0" w:color="auto"/>
        <w:left w:val="none" w:sz="0" w:space="0" w:color="auto"/>
        <w:bottom w:val="none" w:sz="0" w:space="0" w:color="auto"/>
        <w:right w:val="none" w:sz="0" w:space="0" w:color="auto"/>
      </w:divBdr>
    </w:div>
    <w:div w:id="1726029577">
      <w:bodyDiv w:val="1"/>
      <w:marLeft w:val="0"/>
      <w:marRight w:val="0"/>
      <w:marTop w:val="0"/>
      <w:marBottom w:val="0"/>
      <w:divBdr>
        <w:top w:val="none" w:sz="0" w:space="0" w:color="auto"/>
        <w:left w:val="none" w:sz="0" w:space="0" w:color="auto"/>
        <w:bottom w:val="none" w:sz="0" w:space="0" w:color="auto"/>
        <w:right w:val="none" w:sz="0" w:space="0" w:color="auto"/>
      </w:divBdr>
    </w:div>
    <w:div w:id="1756973031">
      <w:bodyDiv w:val="1"/>
      <w:marLeft w:val="0"/>
      <w:marRight w:val="0"/>
      <w:marTop w:val="0"/>
      <w:marBottom w:val="0"/>
      <w:divBdr>
        <w:top w:val="none" w:sz="0" w:space="0" w:color="auto"/>
        <w:left w:val="none" w:sz="0" w:space="0" w:color="auto"/>
        <w:bottom w:val="none" w:sz="0" w:space="0" w:color="auto"/>
        <w:right w:val="none" w:sz="0" w:space="0" w:color="auto"/>
      </w:divBdr>
    </w:div>
    <w:div w:id="1757557760">
      <w:bodyDiv w:val="1"/>
      <w:marLeft w:val="0"/>
      <w:marRight w:val="0"/>
      <w:marTop w:val="0"/>
      <w:marBottom w:val="0"/>
      <w:divBdr>
        <w:top w:val="none" w:sz="0" w:space="0" w:color="auto"/>
        <w:left w:val="none" w:sz="0" w:space="0" w:color="auto"/>
        <w:bottom w:val="none" w:sz="0" w:space="0" w:color="auto"/>
        <w:right w:val="none" w:sz="0" w:space="0" w:color="auto"/>
      </w:divBdr>
    </w:div>
    <w:div w:id="1767193717">
      <w:bodyDiv w:val="1"/>
      <w:marLeft w:val="0"/>
      <w:marRight w:val="0"/>
      <w:marTop w:val="0"/>
      <w:marBottom w:val="0"/>
      <w:divBdr>
        <w:top w:val="none" w:sz="0" w:space="0" w:color="auto"/>
        <w:left w:val="none" w:sz="0" w:space="0" w:color="auto"/>
        <w:bottom w:val="none" w:sz="0" w:space="0" w:color="auto"/>
        <w:right w:val="none" w:sz="0" w:space="0" w:color="auto"/>
      </w:divBdr>
    </w:div>
    <w:div w:id="1810782368">
      <w:bodyDiv w:val="1"/>
      <w:marLeft w:val="0"/>
      <w:marRight w:val="0"/>
      <w:marTop w:val="0"/>
      <w:marBottom w:val="0"/>
      <w:divBdr>
        <w:top w:val="none" w:sz="0" w:space="0" w:color="auto"/>
        <w:left w:val="none" w:sz="0" w:space="0" w:color="auto"/>
        <w:bottom w:val="none" w:sz="0" w:space="0" w:color="auto"/>
        <w:right w:val="none" w:sz="0" w:space="0" w:color="auto"/>
      </w:divBdr>
    </w:div>
    <w:div w:id="1822382791">
      <w:bodyDiv w:val="1"/>
      <w:marLeft w:val="0"/>
      <w:marRight w:val="0"/>
      <w:marTop w:val="0"/>
      <w:marBottom w:val="0"/>
      <w:divBdr>
        <w:top w:val="none" w:sz="0" w:space="0" w:color="auto"/>
        <w:left w:val="none" w:sz="0" w:space="0" w:color="auto"/>
        <w:bottom w:val="none" w:sz="0" w:space="0" w:color="auto"/>
        <w:right w:val="none" w:sz="0" w:space="0" w:color="auto"/>
      </w:divBdr>
    </w:div>
    <w:div w:id="1855800048">
      <w:bodyDiv w:val="1"/>
      <w:marLeft w:val="0"/>
      <w:marRight w:val="0"/>
      <w:marTop w:val="0"/>
      <w:marBottom w:val="0"/>
      <w:divBdr>
        <w:top w:val="none" w:sz="0" w:space="0" w:color="auto"/>
        <w:left w:val="none" w:sz="0" w:space="0" w:color="auto"/>
        <w:bottom w:val="none" w:sz="0" w:space="0" w:color="auto"/>
        <w:right w:val="none" w:sz="0" w:space="0" w:color="auto"/>
      </w:divBdr>
    </w:div>
    <w:div w:id="1871381745">
      <w:bodyDiv w:val="1"/>
      <w:marLeft w:val="0"/>
      <w:marRight w:val="0"/>
      <w:marTop w:val="0"/>
      <w:marBottom w:val="0"/>
      <w:divBdr>
        <w:top w:val="none" w:sz="0" w:space="0" w:color="auto"/>
        <w:left w:val="none" w:sz="0" w:space="0" w:color="auto"/>
        <w:bottom w:val="none" w:sz="0" w:space="0" w:color="auto"/>
        <w:right w:val="none" w:sz="0" w:space="0" w:color="auto"/>
      </w:divBdr>
      <w:divsChild>
        <w:div w:id="130247951">
          <w:marLeft w:val="360"/>
          <w:marRight w:val="0"/>
          <w:marTop w:val="60"/>
          <w:marBottom w:val="0"/>
          <w:divBdr>
            <w:top w:val="none" w:sz="0" w:space="0" w:color="auto"/>
            <w:left w:val="single" w:sz="24" w:space="24" w:color="BBBBAA"/>
            <w:bottom w:val="none" w:sz="0" w:space="0" w:color="auto"/>
            <w:right w:val="none" w:sz="0" w:space="0" w:color="auto"/>
          </w:divBdr>
        </w:div>
      </w:divsChild>
    </w:div>
    <w:div w:id="1892956598">
      <w:bodyDiv w:val="1"/>
      <w:marLeft w:val="0"/>
      <w:marRight w:val="0"/>
      <w:marTop w:val="0"/>
      <w:marBottom w:val="0"/>
      <w:divBdr>
        <w:top w:val="none" w:sz="0" w:space="0" w:color="auto"/>
        <w:left w:val="none" w:sz="0" w:space="0" w:color="auto"/>
        <w:bottom w:val="none" w:sz="0" w:space="0" w:color="auto"/>
        <w:right w:val="none" w:sz="0" w:space="0" w:color="auto"/>
      </w:divBdr>
    </w:div>
    <w:div w:id="1960646376">
      <w:bodyDiv w:val="1"/>
      <w:marLeft w:val="0"/>
      <w:marRight w:val="0"/>
      <w:marTop w:val="0"/>
      <w:marBottom w:val="0"/>
      <w:divBdr>
        <w:top w:val="none" w:sz="0" w:space="0" w:color="auto"/>
        <w:left w:val="none" w:sz="0" w:space="0" w:color="auto"/>
        <w:bottom w:val="none" w:sz="0" w:space="0" w:color="auto"/>
        <w:right w:val="none" w:sz="0" w:space="0" w:color="auto"/>
      </w:divBdr>
    </w:div>
    <w:div w:id="1980574084">
      <w:bodyDiv w:val="1"/>
      <w:marLeft w:val="0"/>
      <w:marRight w:val="0"/>
      <w:marTop w:val="0"/>
      <w:marBottom w:val="0"/>
      <w:divBdr>
        <w:top w:val="none" w:sz="0" w:space="0" w:color="auto"/>
        <w:left w:val="none" w:sz="0" w:space="0" w:color="auto"/>
        <w:bottom w:val="none" w:sz="0" w:space="0" w:color="auto"/>
        <w:right w:val="none" w:sz="0" w:space="0" w:color="auto"/>
      </w:divBdr>
    </w:div>
    <w:div w:id="1987970812">
      <w:bodyDiv w:val="1"/>
      <w:marLeft w:val="0"/>
      <w:marRight w:val="0"/>
      <w:marTop w:val="0"/>
      <w:marBottom w:val="0"/>
      <w:divBdr>
        <w:top w:val="none" w:sz="0" w:space="0" w:color="auto"/>
        <w:left w:val="none" w:sz="0" w:space="0" w:color="auto"/>
        <w:bottom w:val="none" w:sz="0" w:space="0" w:color="auto"/>
        <w:right w:val="none" w:sz="0" w:space="0" w:color="auto"/>
      </w:divBdr>
    </w:div>
    <w:div w:id="2025396603">
      <w:bodyDiv w:val="1"/>
      <w:marLeft w:val="0"/>
      <w:marRight w:val="0"/>
      <w:marTop w:val="0"/>
      <w:marBottom w:val="0"/>
      <w:divBdr>
        <w:top w:val="none" w:sz="0" w:space="0" w:color="auto"/>
        <w:left w:val="none" w:sz="0" w:space="0" w:color="auto"/>
        <w:bottom w:val="none" w:sz="0" w:space="0" w:color="auto"/>
        <w:right w:val="none" w:sz="0" w:space="0" w:color="auto"/>
      </w:divBdr>
    </w:div>
    <w:div w:id="2034071516">
      <w:bodyDiv w:val="1"/>
      <w:marLeft w:val="0"/>
      <w:marRight w:val="0"/>
      <w:marTop w:val="0"/>
      <w:marBottom w:val="0"/>
      <w:divBdr>
        <w:top w:val="none" w:sz="0" w:space="0" w:color="auto"/>
        <w:left w:val="none" w:sz="0" w:space="0" w:color="auto"/>
        <w:bottom w:val="none" w:sz="0" w:space="0" w:color="auto"/>
        <w:right w:val="none" w:sz="0" w:space="0" w:color="auto"/>
      </w:divBdr>
    </w:div>
    <w:div w:id="2039043231">
      <w:bodyDiv w:val="1"/>
      <w:marLeft w:val="0"/>
      <w:marRight w:val="0"/>
      <w:marTop w:val="0"/>
      <w:marBottom w:val="0"/>
      <w:divBdr>
        <w:top w:val="none" w:sz="0" w:space="0" w:color="auto"/>
        <w:left w:val="none" w:sz="0" w:space="0" w:color="auto"/>
        <w:bottom w:val="none" w:sz="0" w:space="0" w:color="auto"/>
        <w:right w:val="none" w:sz="0" w:space="0" w:color="auto"/>
      </w:divBdr>
    </w:div>
    <w:div w:id="2072730472">
      <w:bodyDiv w:val="1"/>
      <w:marLeft w:val="0"/>
      <w:marRight w:val="0"/>
      <w:marTop w:val="0"/>
      <w:marBottom w:val="0"/>
      <w:divBdr>
        <w:top w:val="none" w:sz="0" w:space="0" w:color="auto"/>
        <w:left w:val="none" w:sz="0" w:space="0" w:color="auto"/>
        <w:bottom w:val="none" w:sz="0" w:space="0" w:color="auto"/>
        <w:right w:val="none" w:sz="0" w:space="0" w:color="auto"/>
      </w:divBdr>
    </w:div>
    <w:div w:id="2121337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4.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s://www.vidal.ru/drugs/molecule/569"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FCCE4-A44F-4B4F-A3A4-2E8205FA1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417924</Words>
  <Characters>2382173</Characters>
  <Application>Microsoft Office Word</Application>
  <DocSecurity>0</DocSecurity>
  <Lines>19851</Lines>
  <Paragraphs>5589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2794508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ФГБУ "ЦЭККМП" Минздрава России</dc:creator>
  <dc:description/>
  <cp:lastModifiedBy>Аль-Ради Любовь Саттаровна</cp:lastModifiedBy>
  <cp:revision>3</cp:revision>
  <cp:lastPrinted>2016-10-07T10:24:00Z</cp:lastPrinted>
  <dcterms:created xsi:type="dcterms:W3CDTF">2021-03-24T11:32:00Z</dcterms:created>
  <dcterms:modified xsi:type="dcterms:W3CDTF">2021-03-24T11:32:00Z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Mendeley Recent Style Id 0_1">
    <vt:lpwstr>http://www.zotero.org/styles/american-political-science-association</vt:lpwstr>
  </property>
  <property fmtid="{D5CDD505-2E9C-101B-9397-08002B2CF9AE}" pid="10" name="Mendeley Recent Style Name 0_1">
    <vt:lpwstr>American Political Science Association</vt:lpwstr>
  </property>
  <property fmtid="{D5CDD505-2E9C-101B-9397-08002B2CF9AE}" pid="11" name="Mendeley Recent Style Id 1_1">
    <vt:lpwstr>http://www.zotero.org/styles/american-sociological-association</vt:lpwstr>
  </property>
  <property fmtid="{D5CDD505-2E9C-101B-9397-08002B2CF9AE}" pid="12" name="Mendeley Recent Style Name 1_1">
    <vt:lpwstr>American Sociological Association</vt:lpwstr>
  </property>
  <property fmtid="{D5CDD505-2E9C-101B-9397-08002B2CF9AE}" pid="13" name="Mendeley Recent Style Id 2_1">
    <vt:lpwstr>http://www.zotero.org/styles/chicago-author-date</vt:lpwstr>
  </property>
  <property fmtid="{D5CDD505-2E9C-101B-9397-08002B2CF9AE}" pid="14" name="Mendeley Recent Style Name 2_1">
    <vt:lpwstr>Chicago Manual of Style 17th edition (author-date)</vt:lpwstr>
  </property>
  <property fmtid="{D5CDD505-2E9C-101B-9397-08002B2CF9AE}" pid="15" name="Mendeley Recent Style Id 3_1">
    <vt:lpwstr>http://www.zotero.org/styles/harvard-cite-them-right</vt:lpwstr>
  </property>
  <property fmtid="{D5CDD505-2E9C-101B-9397-08002B2CF9AE}" pid="16" name="Mendeley Recent Style Name 3_1">
    <vt:lpwstr>Cite Them Right 10th edition - Harvard</vt:lpwstr>
  </property>
  <property fmtid="{D5CDD505-2E9C-101B-9397-08002B2CF9AE}" pid="17" name="Mendeley Recent Style Id 4_1">
    <vt:lpwstr>http://www.zotero.org/styles/elsevier-vancouver</vt:lpwstr>
  </property>
  <property fmtid="{D5CDD505-2E9C-101B-9397-08002B2CF9AE}" pid="18" name="Mendeley Recent Style Name 4_1">
    <vt:lpwstr>Elsevier - Vancouver</vt:lpwstr>
  </property>
  <property fmtid="{D5CDD505-2E9C-101B-9397-08002B2CF9AE}" pid="19" name="Mendeley Recent Style Id 5_1">
    <vt:lpwstr>http://csl.mendeley.com/styles/466348871/elsevier-vancouver</vt:lpwstr>
  </property>
  <property fmtid="{D5CDD505-2E9C-101B-9397-08002B2CF9AE}" pid="20" name="Mendeley Recent Style Name 5_1">
    <vt:lpwstr>Elsevier - Vancouver - Vitaly Latyshev</vt:lpwstr>
  </property>
  <property fmtid="{D5CDD505-2E9C-101B-9397-08002B2CF9AE}" pid="21" name="Mendeley Recent Style Id 6_1">
    <vt:lpwstr>http://www.zotero.org/styles/ieee</vt:lpwstr>
  </property>
  <property fmtid="{D5CDD505-2E9C-101B-9397-08002B2CF9AE}" pid="22" name="Mendeley Recent Style Name 6_1">
    <vt:lpwstr>IEEE</vt:lpwstr>
  </property>
  <property fmtid="{D5CDD505-2E9C-101B-9397-08002B2CF9AE}" pid="23" name="Mendeley Recent Style Id 7_1">
    <vt:lpwstr>http://www.zotero.org/styles/modern-humanities-research-association</vt:lpwstr>
  </property>
  <property fmtid="{D5CDD505-2E9C-101B-9397-08002B2CF9AE}" pid="24" name="Mendeley Recent Style Name 7_1">
    <vt:lpwstr>Modern Humanities Research Association 3rd edition (note with bibliography)</vt:lpwstr>
  </property>
  <property fmtid="{D5CDD505-2E9C-101B-9397-08002B2CF9AE}" pid="25" name="Mendeley Recent Style Id 8_1">
    <vt:lpwstr>http://www.zotero.org/styles/modern-language-association</vt:lpwstr>
  </property>
  <property fmtid="{D5CDD505-2E9C-101B-9397-08002B2CF9AE}" pid="26" name="Mendeley Recent Style Name 8_1">
    <vt:lpwstr>Modern Language Association 8th edition</vt:lpwstr>
  </property>
  <property fmtid="{D5CDD505-2E9C-101B-9397-08002B2CF9AE}" pid="27" name="Mendeley Recent Style Id 9_1">
    <vt:lpwstr>http://www.zotero.org/styles/gost-r-7-0-5-2008-numeric</vt:lpwstr>
  </property>
  <property fmtid="{D5CDD505-2E9C-101B-9397-08002B2CF9AE}" pid="28" name="Mendeley Recent Style Name 9_1">
    <vt:lpwstr>Russian GOST R 7.0.5-2008 (numeric)</vt:lpwstr>
  </property>
  <property fmtid="{D5CDD505-2E9C-101B-9397-08002B2CF9AE}" pid="29" name="Mendeley Document_1">
    <vt:lpwstr>True</vt:lpwstr>
  </property>
  <property fmtid="{D5CDD505-2E9C-101B-9397-08002B2CF9AE}" pid="30" name="Mendeley Unique User Id_1">
    <vt:lpwstr>557ca738-a0c4-3a69-aff2-aa601aaa397d</vt:lpwstr>
  </property>
  <property fmtid="{D5CDD505-2E9C-101B-9397-08002B2CF9AE}" pid="31" name="Mendeley Citation Style_1">
    <vt:lpwstr>http://www.zotero.org/styles/gost-r-7-0-5-2008-numeric</vt:lpwstr>
  </property>
</Properties>
</file>